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17412" w14:textId="2DEAAF2A" w:rsidR="00A0265D" w:rsidRPr="00173155" w:rsidRDefault="00A0265D" w:rsidP="009745AC">
      <w:pPr>
        <w:pStyle w:val="Heading1"/>
        <w:ind w:right="5387"/>
        <w:rPr>
          <w:color w:val="313F4A" w:themeColor="text1" w:themeShade="BF"/>
          <w:sz w:val="60"/>
          <w:szCs w:val="60"/>
        </w:rPr>
      </w:pPr>
      <w:bookmarkStart w:id="0" w:name="_Ref228970386"/>
      <w:r w:rsidRPr="00173155">
        <w:rPr>
          <w:color w:val="313F4A" w:themeColor="text1" w:themeShade="BF"/>
          <w:sz w:val="60"/>
          <w:szCs w:val="60"/>
        </w:rPr>
        <w:t>Evaluation of the Support for Trafficked People Program Report</w:t>
      </w:r>
      <w:bookmarkEnd w:id="0"/>
    </w:p>
    <w:p w14:paraId="34564826" w14:textId="02005CD2" w:rsidR="00173155" w:rsidRPr="00173155" w:rsidRDefault="00173155" w:rsidP="00173155">
      <w:pPr>
        <w:spacing w:before="0"/>
        <w:rPr>
          <w:rFonts w:asciiTheme="majorHAnsi" w:hAnsiTheme="majorHAnsi"/>
          <w:sz w:val="40"/>
          <w:szCs w:val="44"/>
        </w:rPr>
      </w:pPr>
      <w:r w:rsidRPr="00EC4526">
        <w:rPr>
          <w:rFonts w:asciiTheme="majorHAnsi" w:hAnsiTheme="majorHAnsi"/>
          <w:sz w:val="40"/>
          <w:szCs w:val="44"/>
        </w:rPr>
        <w:t>Department of Social Services</w:t>
      </w:r>
    </w:p>
    <w:p w14:paraId="548CBC67" w14:textId="04971D93" w:rsidR="66BB3FCB" w:rsidRPr="00EC4526" w:rsidRDefault="00A0265D" w:rsidP="00EC4526">
      <w:pPr>
        <w:rPr>
          <w:rFonts w:asciiTheme="majorHAnsi" w:hAnsiTheme="majorHAnsi"/>
        </w:rPr>
      </w:pPr>
      <w:r w:rsidRPr="00EC4526">
        <w:rPr>
          <w:rFonts w:asciiTheme="majorHAnsi" w:hAnsiTheme="majorHAnsi"/>
        </w:rPr>
        <w:t>July 2025</w:t>
      </w:r>
    </w:p>
    <w:p w14:paraId="4EECBA9F" w14:textId="01636C1E" w:rsidR="00592DC5" w:rsidRDefault="00592DC5" w:rsidP="00E55F27">
      <w:pPr>
        <w:sectPr w:rsidR="00592DC5" w:rsidSect="00592DC5">
          <w:headerReference w:type="even" r:id="rId8"/>
          <w:headerReference w:type="default" r:id="rId9"/>
          <w:footerReference w:type="even" r:id="rId10"/>
          <w:footerReference w:type="default" r:id="rId11"/>
          <w:headerReference w:type="first" r:id="rId12"/>
          <w:footerReference w:type="first" r:id="rId13"/>
          <w:pgSz w:w="11907" w:h="16840" w:code="9"/>
          <w:pgMar w:top="2410" w:right="851" w:bottom="1418" w:left="851" w:header="425" w:footer="845" w:gutter="0"/>
          <w:cols w:space="708"/>
          <w:docGrid w:linePitch="360"/>
        </w:sectPr>
      </w:pPr>
    </w:p>
    <w:p w14:paraId="6AC056AD" w14:textId="77777777" w:rsidR="00592DC5" w:rsidRPr="00107500" w:rsidRDefault="00592DC5" w:rsidP="00FF1848">
      <w:pPr>
        <w:pStyle w:val="TOCHeading"/>
      </w:pPr>
      <w:r>
        <w:lastRenderedPageBreak/>
        <w:t xml:space="preserve">Table of </w:t>
      </w:r>
      <w:r>
        <w:br/>
        <w:t>contents</w:t>
      </w:r>
    </w:p>
    <w:p w14:paraId="379F5972" w14:textId="035C24D3" w:rsidR="66BB3FCB" w:rsidRDefault="66BB3FCB" w:rsidP="66BB3FCB">
      <w:pPr>
        <w:pStyle w:val="TOC1"/>
        <w:rPr>
          <w:color w:val="auto"/>
        </w:rPr>
      </w:pPr>
    </w:p>
    <w:p w14:paraId="1123414D" w14:textId="36E7D606" w:rsidR="66BB3FCB" w:rsidRDefault="66BB3FCB" w:rsidP="66BB3FCB">
      <w:pPr>
        <w:pStyle w:val="TOC1"/>
        <w:rPr>
          <w:color w:val="auto"/>
        </w:rPr>
      </w:pPr>
    </w:p>
    <w:p w14:paraId="6852DFBD" w14:textId="2A74E7FC" w:rsidR="003D0872" w:rsidRDefault="00592DC5">
      <w:pPr>
        <w:pStyle w:val="TOC1"/>
        <w:rPr>
          <w:rFonts w:eastAsiaTheme="minorEastAsia"/>
          <w:color w:val="auto"/>
          <w:kern w:val="2"/>
          <w:sz w:val="24"/>
          <w:szCs w:val="24"/>
          <w:lang w:eastAsia="en-AU"/>
          <w14:ligatures w14:val="standardContextual"/>
        </w:rPr>
      </w:pPr>
      <w:r>
        <w:rPr>
          <w:caps/>
          <w:color w:val="00BE6E" w:themeColor="text2"/>
        </w:rPr>
        <w:fldChar w:fldCharType="begin"/>
      </w:r>
      <w:r>
        <w:rPr>
          <w:caps/>
          <w:color w:val="00BE6E" w:themeColor="text2"/>
        </w:rPr>
        <w:instrText xml:space="preserve"> TOC \o "1-2" \h \z \t "Section Heading,1" </w:instrText>
      </w:r>
      <w:r>
        <w:rPr>
          <w:caps/>
          <w:color w:val="00BE6E" w:themeColor="text2"/>
        </w:rPr>
        <w:fldChar w:fldCharType="separate"/>
      </w:r>
      <w:hyperlink w:anchor="_Toc201908100" w:history="1">
        <w:r w:rsidR="003D0872" w:rsidRPr="00450166">
          <w:rPr>
            <w:rStyle w:val="Hyperlink"/>
            <w:color w:val="auto"/>
          </w:rPr>
          <w:t>Acknowledgements</w:t>
        </w:r>
        <w:r w:rsidR="003D0872">
          <w:rPr>
            <w:webHidden/>
          </w:rPr>
          <w:tab/>
        </w:r>
        <w:r w:rsidR="003D0872">
          <w:rPr>
            <w:webHidden/>
          </w:rPr>
          <w:fldChar w:fldCharType="begin"/>
        </w:r>
        <w:r w:rsidR="003D0872">
          <w:rPr>
            <w:webHidden/>
          </w:rPr>
          <w:instrText xml:space="preserve"> PAGEREF _Toc201908100 \h </w:instrText>
        </w:r>
        <w:r w:rsidR="003D0872">
          <w:rPr>
            <w:webHidden/>
          </w:rPr>
        </w:r>
        <w:r w:rsidR="003D0872">
          <w:rPr>
            <w:webHidden/>
          </w:rPr>
          <w:fldChar w:fldCharType="separate"/>
        </w:r>
        <w:r w:rsidR="00D9323B">
          <w:rPr>
            <w:webHidden/>
          </w:rPr>
          <w:t>3</w:t>
        </w:r>
        <w:r w:rsidR="003D0872">
          <w:rPr>
            <w:webHidden/>
          </w:rPr>
          <w:fldChar w:fldCharType="end"/>
        </w:r>
      </w:hyperlink>
    </w:p>
    <w:p w14:paraId="4E5E4D35" w14:textId="124A0101" w:rsidR="003D0872" w:rsidRDefault="003D0872">
      <w:pPr>
        <w:pStyle w:val="TOC1"/>
        <w:rPr>
          <w:rFonts w:eastAsiaTheme="minorEastAsia"/>
          <w:color w:val="auto"/>
          <w:kern w:val="2"/>
          <w:sz w:val="24"/>
          <w:szCs w:val="24"/>
          <w:lang w:eastAsia="en-AU"/>
          <w14:ligatures w14:val="standardContextual"/>
        </w:rPr>
      </w:pPr>
      <w:hyperlink w:anchor="_Toc201908101" w:history="1">
        <w:r w:rsidRPr="00450166">
          <w:rPr>
            <w:rStyle w:val="Hyperlink"/>
            <w:color w:val="auto"/>
          </w:rPr>
          <w:t>Acronyms, abbreviations and terminology</w:t>
        </w:r>
        <w:r>
          <w:rPr>
            <w:webHidden/>
          </w:rPr>
          <w:tab/>
        </w:r>
        <w:r>
          <w:rPr>
            <w:webHidden/>
          </w:rPr>
          <w:fldChar w:fldCharType="begin"/>
        </w:r>
        <w:r>
          <w:rPr>
            <w:webHidden/>
          </w:rPr>
          <w:instrText xml:space="preserve"> PAGEREF _Toc201908101 \h </w:instrText>
        </w:r>
        <w:r>
          <w:rPr>
            <w:webHidden/>
          </w:rPr>
        </w:r>
        <w:r>
          <w:rPr>
            <w:webHidden/>
          </w:rPr>
          <w:fldChar w:fldCharType="separate"/>
        </w:r>
        <w:r w:rsidR="00D9323B">
          <w:rPr>
            <w:webHidden/>
          </w:rPr>
          <w:t>4</w:t>
        </w:r>
        <w:r>
          <w:rPr>
            <w:webHidden/>
          </w:rPr>
          <w:fldChar w:fldCharType="end"/>
        </w:r>
      </w:hyperlink>
    </w:p>
    <w:p w14:paraId="12C4CFDC" w14:textId="166F7610" w:rsidR="003D0872" w:rsidRDefault="003D0872">
      <w:pPr>
        <w:pStyle w:val="TOC1"/>
        <w:rPr>
          <w:rFonts w:eastAsiaTheme="minorEastAsia"/>
          <w:color w:val="auto"/>
          <w:kern w:val="2"/>
          <w:sz w:val="24"/>
          <w:szCs w:val="24"/>
          <w:lang w:eastAsia="en-AU"/>
          <w14:ligatures w14:val="standardContextual"/>
        </w:rPr>
      </w:pPr>
      <w:hyperlink w:anchor="_Toc201908102" w:history="1">
        <w:r w:rsidRPr="00450166">
          <w:rPr>
            <w:rStyle w:val="Hyperlink"/>
            <w:color w:val="auto"/>
          </w:rPr>
          <w:t>Executive summary and summary of recommendations</w:t>
        </w:r>
        <w:r>
          <w:rPr>
            <w:webHidden/>
          </w:rPr>
          <w:tab/>
        </w:r>
        <w:r>
          <w:rPr>
            <w:webHidden/>
          </w:rPr>
          <w:fldChar w:fldCharType="begin"/>
        </w:r>
        <w:r>
          <w:rPr>
            <w:webHidden/>
          </w:rPr>
          <w:instrText xml:space="preserve"> PAGEREF _Toc201908102 \h </w:instrText>
        </w:r>
        <w:r>
          <w:rPr>
            <w:webHidden/>
          </w:rPr>
        </w:r>
        <w:r>
          <w:rPr>
            <w:webHidden/>
          </w:rPr>
          <w:fldChar w:fldCharType="separate"/>
        </w:r>
        <w:r w:rsidR="00D9323B">
          <w:rPr>
            <w:webHidden/>
          </w:rPr>
          <w:t>5</w:t>
        </w:r>
        <w:r>
          <w:rPr>
            <w:webHidden/>
          </w:rPr>
          <w:fldChar w:fldCharType="end"/>
        </w:r>
      </w:hyperlink>
    </w:p>
    <w:p w14:paraId="3E2F2C8D" w14:textId="207B3195" w:rsidR="003D0872" w:rsidRDefault="003D0872">
      <w:pPr>
        <w:pStyle w:val="TOC1"/>
        <w:rPr>
          <w:rFonts w:eastAsiaTheme="minorEastAsia"/>
          <w:color w:val="auto"/>
          <w:kern w:val="2"/>
          <w:sz w:val="24"/>
          <w:szCs w:val="24"/>
          <w:lang w:eastAsia="en-AU"/>
          <w14:ligatures w14:val="standardContextual"/>
        </w:rPr>
      </w:pPr>
      <w:hyperlink w:anchor="_Toc201908104" w:history="1">
        <w:r w:rsidRPr="00450166">
          <w:rPr>
            <w:rStyle w:val="Hyperlink"/>
            <w:color w:val="auto"/>
          </w:rPr>
          <w:t>Introduction</w:t>
        </w:r>
        <w:r>
          <w:rPr>
            <w:webHidden/>
          </w:rPr>
          <w:tab/>
        </w:r>
        <w:r>
          <w:rPr>
            <w:webHidden/>
          </w:rPr>
          <w:fldChar w:fldCharType="begin"/>
        </w:r>
        <w:r>
          <w:rPr>
            <w:webHidden/>
          </w:rPr>
          <w:instrText xml:space="preserve"> PAGEREF _Toc201908104 \h </w:instrText>
        </w:r>
        <w:r>
          <w:rPr>
            <w:webHidden/>
          </w:rPr>
        </w:r>
        <w:r>
          <w:rPr>
            <w:webHidden/>
          </w:rPr>
          <w:fldChar w:fldCharType="separate"/>
        </w:r>
        <w:r w:rsidR="00D9323B">
          <w:rPr>
            <w:webHidden/>
          </w:rPr>
          <w:t>12</w:t>
        </w:r>
        <w:r>
          <w:rPr>
            <w:webHidden/>
          </w:rPr>
          <w:fldChar w:fldCharType="end"/>
        </w:r>
      </w:hyperlink>
    </w:p>
    <w:p w14:paraId="048E278A" w14:textId="2D216C3B" w:rsidR="003D0872" w:rsidRDefault="003D0872">
      <w:pPr>
        <w:pStyle w:val="TOC1"/>
        <w:rPr>
          <w:rFonts w:eastAsiaTheme="minorEastAsia"/>
          <w:color w:val="auto"/>
          <w:kern w:val="2"/>
          <w:sz w:val="24"/>
          <w:szCs w:val="24"/>
          <w:lang w:eastAsia="en-AU"/>
          <w14:ligatures w14:val="standardContextual"/>
        </w:rPr>
      </w:pPr>
      <w:hyperlink w:anchor="_Toc201908107" w:history="1">
        <w:r w:rsidRPr="00450166">
          <w:rPr>
            <w:rStyle w:val="Hyperlink"/>
            <w:color w:val="auto"/>
          </w:rPr>
          <w:t>Findings</w:t>
        </w:r>
        <w:r>
          <w:rPr>
            <w:webHidden/>
          </w:rPr>
          <w:tab/>
        </w:r>
        <w:r>
          <w:rPr>
            <w:webHidden/>
          </w:rPr>
          <w:fldChar w:fldCharType="begin"/>
        </w:r>
        <w:r>
          <w:rPr>
            <w:webHidden/>
          </w:rPr>
          <w:instrText xml:space="preserve"> PAGEREF _Toc201908107 \h </w:instrText>
        </w:r>
        <w:r>
          <w:rPr>
            <w:webHidden/>
          </w:rPr>
        </w:r>
        <w:r>
          <w:rPr>
            <w:webHidden/>
          </w:rPr>
          <w:fldChar w:fldCharType="separate"/>
        </w:r>
        <w:r w:rsidR="00D9323B">
          <w:rPr>
            <w:webHidden/>
          </w:rPr>
          <w:t>17</w:t>
        </w:r>
        <w:r>
          <w:rPr>
            <w:webHidden/>
          </w:rPr>
          <w:fldChar w:fldCharType="end"/>
        </w:r>
      </w:hyperlink>
    </w:p>
    <w:p w14:paraId="5C8F86EA" w14:textId="597D9082" w:rsidR="003D0872" w:rsidRDefault="003D0872">
      <w:pPr>
        <w:pStyle w:val="TOC1"/>
        <w:rPr>
          <w:rFonts w:eastAsiaTheme="minorEastAsia"/>
          <w:color w:val="auto"/>
          <w:kern w:val="2"/>
          <w:sz w:val="24"/>
          <w:szCs w:val="24"/>
          <w:lang w:eastAsia="en-AU"/>
          <w14:ligatures w14:val="standardContextual"/>
        </w:rPr>
      </w:pPr>
      <w:hyperlink w:anchor="_Toc201908108" w:history="1">
        <w:r w:rsidRPr="00450166">
          <w:rPr>
            <w:rStyle w:val="Hyperlink"/>
            <w:color w:val="auto"/>
          </w:rPr>
          <w:t>1. STPP - Effectiveness</w:t>
        </w:r>
        <w:r>
          <w:rPr>
            <w:webHidden/>
          </w:rPr>
          <w:tab/>
        </w:r>
        <w:r>
          <w:rPr>
            <w:webHidden/>
          </w:rPr>
          <w:fldChar w:fldCharType="begin"/>
        </w:r>
        <w:r>
          <w:rPr>
            <w:webHidden/>
          </w:rPr>
          <w:instrText xml:space="preserve"> PAGEREF _Toc201908108 \h </w:instrText>
        </w:r>
        <w:r>
          <w:rPr>
            <w:webHidden/>
          </w:rPr>
        </w:r>
        <w:r>
          <w:rPr>
            <w:webHidden/>
          </w:rPr>
          <w:fldChar w:fldCharType="separate"/>
        </w:r>
        <w:r w:rsidR="00D9323B">
          <w:rPr>
            <w:webHidden/>
          </w:rPr>
          <w:t>17</w:t>
        </w:r>
        <w:r>
          <w:rPr>
            <w:webHidden/>
          </w:rPr>
          <w:fldChar w:fldCharType="end"/>
        </w:r>
      </w:hyperlink>
    </w:p>
    <w:p w14:paraId="7CD8EE03" w14:textId="292A10A9" w:rsidR="003D0872" w:rsidRDefault="003D0872">
      <w:pPr>
        <w:pStyle w:val="TOC1"/>
        <w:rPr>
          <w:rFonts w:eastAsiaTheme="minorEastAsia"/>
          <w:color w:val="auto"/>
          <w:kern w:val="2"/>
          <w:sz w:val="24"/>
          <w:szCs w:val="24"/>
          <w:lang w:eastAsia="en-AU"/>
          <w14:ligatures w14:val="standardContextual"/>
        </w:rPr>
      </w:pPr>
      <w:hyperlink w:anchor="_Toc201908112" w:history="1">
        <w:r w:rsidRPr="00450166">
          <w:rPr>
            <w:rStyle w:val="Hyperlink"/>
            <w:color w:val="auto"/>
          </w:rPr>
          <w:t>2. STPP - Efficiency</w:t>
        </w:r>
        <w:r>
          <w:rPr>
            <w:webHidden/>
          </w:rPr>
          <w:tab/>
        </w:r>
        <w:r>
          <w:rPr>
            <w:webHidden/>
          </w:rPr>
          <w:fldChar w:fldCharType="begin"/>
        </w:r>
        <w:r>
          <w:rPr>
            <w:webHidden/>
          </w:rPr>
          <w:instrText xml:space="preserve"> PAGEREF _Toc201908112 \h </w:instrText>
        </w:r>
        <w:r>
          <w:rPr>
            <w:webHidden/>
          </w:rPr>
        </w:r>
        <w:r>
          <w:rPr>
            <w:webHidden/>
          </w:rPr>
          <w:fldChar w:fldCharType="separate"/>
        </w:r>
        <w:r w:rsidR="00D9323B">
          <w:rPr>
            <w:webHidden/>
          </w:rPr>
          <w:t>39</w:t>
        </w:r>
        <w:r>
          <w:rPr>
            <w:webHidden/>
          </w:rPr>
          <w:fldChar w:fldCharType="end"/>
        </w:r>
      </w:hyperlink>
    </w:p>
    <w:p w14:paraId="6A8FDA2B" w14:textId="6F8D5A17" w:rsidR="003D0872" w:rsidRDefault="003D0872">
      <w:pPr>
        <w:pStyle w:val="TOC1"/>
        <w:rPr>
          <w:rFonts w:eastAsiaTheme="minorEastAsia"/>
          <w:color w:val="auto"/>
          <w:kern w:val="2"/>
          <w:sz w:val="24"/>
          <w:szCs w:val="24"/>
          <w:lang w:eastAsia="en-AU"/>
          <w14:ligatures w14:val="standardContextual"/>
        </w:rPr>
      </w:pPr>
      <w:hyperlink w:anchor="_Toc201908120" w:history="1">
        <w:r w:rsidRPr="00450166">
          <w:rPr>
            <w:rStyle w:val="Hyperlink"/>
            <w:color w:val="auto"/>
          </w:rPr>
          <w:t>4. ARP - Effectiveness (implementation)</w:t>
        </w:r>
        <w:r>
          <w:rPr>
            <w:webHidden/>
          </w:rPr>
          <w:tab/>
        </w:r>
        <w:r>
          <w:rPr>
            <w:webHidden/>
          </w:rPr>
          <w:fldChar w:fldCharType="begin"/>
        </w:r>
        <w:r>
          <w:rPr>
            <w:webHidden/>
          </w:rPr>
          <w:instrText xml:space="preserve"> PAGEREF _Toc201908120 \h </w:instrText>
        </w:r>
        <w:r>
          <w:rPr>
            <w:webHidden/>
          </w:rPr>
        </w:r>
        <w:r>
          <w:rPr>
            <w:webHidden/>
          </w:rPr>
          <w:fldChar w:fldCharType="separate"/>
        </w:r>
        <w:r w:rsidR="00D9323B">
          <w:rPr>
            <w:webHidden/>
          </w:rPr>
          <w:t>58</w:t>
        </w:r>
        <w:r>
          <w:rPr>
            <w:webHidden/>
          </w:rPr>
          <w:fldChar w:fldCharType="end"/>
        </w:r>
      </w:hyperlink>
    </w:p>
    <w:p w14:paraId="76C03E81" w14:textId="77FC9920" w:rsidR="003D0872" w:rsidRDefault="003D0872">
      <w:pPr>
        <w:pStyle w:val="TOC1"/>
        <w:rPr>
          <w:rFonts w:eastAsiaTheme="minorEastAsia"/>
          <w:color w:val="auto"/>
          <w:kern w:val="2"/>
          <w:sz w:val="24"/>
          <w:szCs w:val="24"/>
          <w:lang w:eastAsia="en-AU"/>
          <w14:ligatures w14:val="standardContextual"/>
        </w:rPr>
      </w:pPr>
      <w:hyperlink w:anchor="_Toc201908125" w:history="1">
        <w:r w:rsidRPr="00450166">
          <w:rPr>
            <w:rStyle w:val="Hyperlink"/>
            <w:color w:val="auto"/>
          </w:rPr>
          <w:t>5. ARP - Effectiveness (outcomes)</w:t>
        </w:r>
        <w:r>
          <w:rPr>
            <w:webHidden/>
          </w:rPr>
          <w:tab/>
        </w:r>
        <w:r>
          <w:rPr>
            <w:webHidden/>
          </w:rPr>
          <w:fldChar w:fldCharType="begin"/>
        </w:r>
        <w:r>
          <w:rPr>
            <w:webHidden/>
          </w:rPr>
          <w:instrText xml:space="preserve"> PAGEREF _Toc201908125 \h </w:instrText>
        </w:r>
        <w:r>
          <w:rPr>
            <w:webHidden/>
          </w:rPr>
        </w:r>
        <w:r>
          <w:rPr>
            <w:webHidden/>
          </w:rPr>
          <w:fldChar w:fldCharType="separate"/>
        </w:r>
        <w:r w:rsidR="00D9323B">
          <w:rPr>
            <w:webHidden/>
          </w:rPr>
          <w:t>64</w:t>
        </w:r>
        <w:r>
          <w:rPr>
            <w:webHidden/>
          </w:rPr>
          <w:fldChar w:fldCharType="end"/>
        </w:r>
      </w:hyperlink>
    </w:p>
    <w:p w14:paraId="065418B4" w14:textId="6C39EBC4" w:rsidR="003D0872" w:rsidRDefault="003D0872">
      <w:pPr>
        <w:pStyle w:val="TOC1"/>
        <w:rPr>
          <w:rFonts w:eastAsiaTheme="minorEastAsia"/>
          <w:color w:val="auto"/>
          <w:kern w:val="2"/>
          <w:sz w:val="24"/>
          <w:szCs w:val="24"/>
          <w:lang w:eastAsia="en-AU"/>
          <w14:ligatures w14:val="standardContextual"/>
        </w:rPr>
      </w:pPr>
      <w:hyperlink w:anchor="_Toc201908130" w:history="1">
        <w:r w:rsidRPr="00450166">
          <w:rPr>
            <w:rStyle w:val="Hyperlink"/>
            <w:color w:val="auto"/>
          </w:rPr>
          <w:t>Conclusion</w:t>
        </w:r>
        <w:r>
          <w:rPr>
            <w:webHidden/>
          </w:rPr>
          <w:tab/>
        </w:r>
        <w:r>
          <w:rPr>
            <w:webHidden/>
          </w:rPr>
          <w:fldChar w:fldCharType="begin"/>
        </w:r>
        <w:r>
          <w:rPr>
            <w:webHidden/>
          </w:rPr>
          <w:instrText xml:space="preserve"> PAGEREF _Toc201908130 \h </w:instrText>
        </w:r>
        <w:r>
          <w:rPr>
            <w:webHidden/>
          </w:rPr>
        </w:r>
        <w:r>
          <w:rPr>
            <w:webHidden/>
          </w:rPr>
          <w:fldChar w:fldCharType="separate"/>
        </w:r>
        <w:r w:rsidR="00D9323B">
          <w:rPr>
            <w:webHidden/>
          </w:rPr>
          <w:t>68</w:t>
        </w:r>
        <w:r>
          <w:rPr>
            <w:webHidden/>
          </w:rPr>
          <w:fldChar w:fldCharType="end"/>
        </w:r>
      </w:hyperlink>
    </w:p>
    <w:p w14:paraId="6344750D" w14:textId="51B0AED7" w:rsidR="003D0872" w:rsidRDefault="003D0872">
      <w:pPr>
        <w:pStyle w:val="TOC1"/>
        <w:rPr>
          <w:rFonts w:eastAsiaTheme="minorEastAsia"/>
          <w:color w:val="auto"/>
          <w:kern w:val="2"/>
          <w:sz w:val="24"/>
          <w:szCs w:val="24"/>
          <w:lang w:eastAsia="en-AU"/>
          <w14:ligatures w14:val="standardContextual"/>
        </w:rPr>
      </w:pPr>
      <w:hyperlink w:anchor="_Toc201908131" w:history="1">
        <w:r w:rsidRPr="00450166">
          <w:rPr>
            <w:rStyle w:val="Hyperlink"/>
            <w:color w:val="auto"/>
          </w:rPr>
          <w:t>Appendix 1. Program logics and evaluation framework</w:t>
        </w:r>
        <w:r>
          <w:rPr>
            <w:webHidden/>
          </w:rPr>
          <w:tab/>
        </w:r>
        <w:r>
          <w:rPr>
            <w:webHidden/>
          </w:rPr>
          <w:fldChar w:fldCharType="begin"/>
        </w:r>
        <w:r>
          <w:rPr>
            <w:webHidden/>
          </w:rPr>
          <w:instrText xml:space="preserve"> PAGEREF _Toc201908131 \h </w:instrText>
        </w:r>
        <w:r>
          <w:rPr>
            <w:webHidden/>
          </w:rPr>
        </w:r>
        <w:r>
          <w:rPr>
            <w:webHidden/>
          </w:rPr>
          <w:fldChar w:fldCharType="separate"/>
        </w:r>
        <w:r w:rsidR="00D9323B">
          <w:rPr>
            <w:webHidden/>
          </w:rPr>
          <w:t>69</w:t>
        </w:r>
        <w:r>
          <w:rPr>
            <w:webHidden/>
          </w:rPr>
          <w:fldChar w:fldCharType="end"/>
        </w:r>
      </w:hyperlink>
    </w:p>
    <w:p w14:paraId="544B4E63" w14:textId="1108834E" w:rsidR="003D0872" w:rsidRDefault="003D0872">
      <w:pPr>
        <w:pStyle w:val="TOC1"/>
        <w:rPr>
          <w:rFonts w:eastAsiaTheme="minorEastAsia"/>
          <w:color w:val="auto"/>
          <w:kern w:val="2"/>
          <w:sz w:val="24"/>
          <w:szCs w:val="24"/>
          <w:lang w:eastAsia="en-AU"/>
          <w14:ligatures w14:val="standardContextual"/>
        </w:rPr>
      </w:pPr>
      <w:hyperlink w:anchor="_Toc201908132" w:history="1">
        <w:r w:rsidRPr="00450166">
          <w:rPr>
            <w:rStyle w:val="Hyperlink"/>
            <w:color w:val="auto"/>
          </w:rPr>
          <w:t>Appendix 2. Methodology in detail</w:t>
        </w:r>
        <w:r>
          <w:rPr>
            <w:webHidden/>
          </w:rPr>
          <w:tab/>
        </w:r>
        <w:r>
          <w:rPr>
            <w:webHidden/>
          </w:rPr>
          <w:fldChar w:fldCharType="begin"/>
        </w:r>
        <w:r>
          <w:rPr>
            <w:webHidden/>
          </w:rPr>
          <w:instrText xml:space="preserve"> PAGEREF _Toc201908132 \h </w:instrText>
        </w:r>
        <w:r>
          <w:rPr>
            <w:webHidden/>
          </w:rPr>
        </w:r>
        <w:r>
          <w:rPr>
            <w:webHidden/>
          </w:rPr>
          <w:fldChar w:fldCharType="separate"/>
        </w:r>
        <w:r w:rsidR="00D9323B">
          <w:rPr>
            <w:webHidden/>
          </w:rPr>
          <w:t>85</w:t>
        </w:r>
        <w:r>
          <w:rPr>
            <w:webHidden/>
          </w:rPr>
          <w:fldChar w:fldCharType="end"/>
        </w:r>
      </w:hyperlink>
    </w:p>
    <w:p w14:paraId="680AFD8F" w14:textId="78873612" w:rsidR="003D0872" w:rsidRDefault="003D0872">
      <w:pPr>
        <w:pStyle w:val="TOC1"/>
        <w:rPr>
          <w:rFonts w:eastAsiaTheme="minorEastAsia"/>
          <w:color w:val="auto"/>
          <w:kern w:val="2"/>
          <w:sz w:val="24"/>
          <w:szCs w:val="24"/>
          <w:lang w:eastAsia="en-AU"/>
          <w14:ligatures w14:val="standardContextual"/>
        </w:rPr>
      </w:pPr>
      <w:hyperlink w:anchor="_Toc201908133" w:history="1">
        <w:r w:rsidRPr="00450166">
          <w:rPr>
            <w:rStyle w:val="Hyperlink"/>
            <w:color w:val="auto"/>
          </w:rPr>
          <w:t>References</w:t>
        </w:r>
        <w:r>
          <w:rPr>
            <w:webHidden/>
          </w:rPr>
          <w:tab/>
        </w:r>
        <w:r>
          <w:rPr>
            <w:webHidden/>
          </w:rPr>
          <w:fldChar w:fldCharType="begin"/>
        </w:r>
        <w:r>
          <w:rPr>
            <w:webHidden/>
          </w:rPr>
          <w:instrText xml:space="preserve"> PAGEREF _Toc201908133 \h </w:instrText>
        </w:r>
        <w:r>
          <w:rPr>
            <w:webHidden/>
          </w:rPr>
        </w:r>
        <w:r>
          <w:rPr>
            <w:webHidden/>
          </w:rPr>
          <w:fldChar w:fldCharType="separate"/>
        </w:r>
        <w:r w:rsidR="00D9323B">
          <w:rPr>
            <w:webHidden/>
          </w:rPr>
          <w:t>89</w:t>
        </w:r>
        <w:r>
          <w:rPr>
            <w:webHidden/>
          </w:rPr>
          <w:fldChar w:fldCharType="end"/>
        </w:r>
      </w:hyperlink>
    </w:p>
    <w:p w14:paraId="5695D788" w14:textId="7066E43F" w:rsidR="00D568ED" w:rsidRDefault="00592DC5" w:rsidP="006C2BBF">
      <w:pPr>
        <w:rPr>
          <w:rFonts w:asciiTheme="majorHAnsi" w:eastAsiaTheme="majorEastAsia" w:hAnsiTheme="majorHAnsi" w:cstheme="majorBidi"/>
          <w:sz w:val="32"/>
          <w:szCs w:val="26"/>
        </w:rPr>
      </w:pPr>
      <w:r>
        <w:fldChar w:fldCharType="end"/>
      </w:r>
      <w:r w:rsidR="00D568ED">
        <w:br w:type="page"/>
      </w:r>
    </w:p>
    <w:p w14:paraId="54D331A7" w14:textId="77777777" w:rsidR="00592DC5" w:rsidRDefault="00592DC5" w:rsidP="007A34BB">
      <w:pPr>
        <w:sectPr w:rsidR="00592DC5" w:rsidSect="00592DC5">
          <w:headerReference w:type="even" r:id="rId14"/>
          <w:headerReference w:type="default" r:id="rId15"/>
          <w:footerReference w:type="even" r:id="rId16"/>
          <w:footerReference w:type="default" r:id="rId17"/>
          <w:headerReference w:type="first" r:id="rId18"/>
          <w:footerReference w:type="first" r:id="rId19"/>
          <w:pgSz w:w="11907" w:h="16840" w:code="9"/>
          <w:pgMar w:top="2410" w:right="851" w:bottom="1418" w:left="851" w:header="425" w:footer="516" w:gutter="0"/>
          <w:cols w:space="708"/>
          <w:docGrid w:linePitch="360"/>
        </w:sectPr>
      </w:pPr>
    </w:p>
    <w:p w14:paraId="12AB3EE0" w14:textId="29985DEE" w:rsidR="00625736" w:rsidRDefault="00625736" w:rsidP="007E0AFE">
      <w:pPr>
        <w:pStyle w:val="Heading2"/>
      </w:pPr>
      <w:bookmarkStart w:id="1" w:name="_Toc201908100"/>
      <w:bookmarkStart w:id="2" w:name="_Toc190875652"/>
      <w:r>
        <w:lastRenderedPageBreak/>
        <w:t>Acknowledgements</w:t>
      </w:r>
      <w:bookmarkEnd w:id="1"/>
    </w:p>
    <w:p w14:paraId="191C7A94" w14:textId="3B3E86A0" w:rsidR="00E7037A" w:rsidRDefault="005C1AE4" w:rsidP="007E0AFE">
      <w:pPr>
        <w:rPr>
          <w:lang w:eastAsia="en-AU"/>
        </w:rPr>
      </w:pPr>
      <w:proofErr w:type="spellStart"/>
      <w:r>
        <w:rPr>
          <w:lang w:eastAsia="en-AU"/>
        </w:rPr>
        <w:t>Where</w:t>
      </w:r>
      <w:r w:rsidRPr="006C2BBF">
        <w:rPr>
          <w:i/>
          <w:iCs/>
          <w:lang w:eastAsia="en-AU"/>
        </w:rPr>
        <w:t>to</w:t>
      </w:r>
      <w:proofErr w:type="spellEnd"/>
      <w:r>
        <w:rPr>
          <w:lang w:eastAsia="en-AU"/>
        </w:rPr>
        <w:t xml:space="preserve"> </w:t>
      </w:r>
      <w:r w:rsidR="001D2C46">
        <w:rPr>
          <w:lang w:eastAsia="en-AU"/>
        </w:rPr>
        <w:t>acknowledge</w:t>
      </w:r>
      <w:r>
        <w:rPr>
          <w:lang w:eastAsia="en-AU"/>
        </w:rPr>
        <w:t>s</w:t>
      </w:r>
      <w:r w:rsidR="001D2C46">
        <w:rPr>
          <w:lang w:eastAsia="en-AU"/>
        </w:rPr>
        <w:t xml:space="preserve"> </w:t>
      </w:r>
      <w:r w:rsidR="00A70432">
        <w:rPr>
          <w:lang w:eastAsia="en-AU"/>
        </w:rPr>
        <w:t xml:space="preserve">the </w:t>
      </w:r>
      <w:r>
        <w:rPr>
          <w:lang w:eastAsia="en-AU"/>
        </w:rPr>
        <w:t>contributions to this evaluation</w:t>
      </w:r>
      <w:r w:rsidR="00D37576">
        <w:rPr>
          <w:lang w:eastAsia="en-AU"/>
        </w:rPr>
        <w:t xml:space="preserve">. </w:t>
      </w:r>
      <w:r w:rsidR="00E7037A">
        <w:rPr>
          <w:lang w:eastAsia="en-AU"/>
        </w:rPr>
        <w:t>Most of all, we’d like to thank the people with experiences of human trafficking and modern slavery who participated in this evaluation and acknowledge their invaluable expertise.</w:t>
      </w:r>
    </w:p>
    <w:p w14:paraId="084137F8" w14:textId="6B315CC0" w:rsidR="00625736" w:rsidRDefault="00532E60" w:rsidP="007E0AFE">
      <w:pPr>
        <w:rPr>
          <w:lang w:eastAsia="en-AU"/>
        </w:rPr>
      </w:pPr>
      <w:r>
        <w:rPr>
          <w:lang w:eastAsia="en-AU"/>
        </w:rPr>
        <w:t>We also thank</w:t>
      </w:r>
      <w:r w:rsidR="00741E4A">
        <w:rPr>
          <w:lang w:eastAsia="en-AU"/>
        </w:rPr>
        <w:t xml:space="preserve"> Modern</w:t>
      </w:r>
      <w:r w:rsidR="005F56A0" w:rsidRPr="005F56A0">
        <w:rPr>
          <w:lang w:eastAsia="en-AU"/>
        </w:rPr>
        <w:t xml:space="preserve"> Slavery &amp; Forced Marriage</w:t>
      </w:r>
      <w:r w:rsidR="005F56A0">
        <w:rPr>
          <w:lang w:eastAsia="en-AU"/>
        </w:rPr>
        <w:t xml:space="preserve"> team at the </w:t>
      </w:r>
      <w:r w:rsidR="00FF02D8">
        <w:rPr>
          <w:lang w:eastAsia="en-AU"/>
        </w:rPr>
        <w:t>Department of Social Services</w:t>
      </w:r>
      <w:r w:rsidR="005F56A0">
        <w:rPr>
          <w:lang w:eastAsia="en-AU"/>
        </w:rPr>
        <w:t xml:space="preserve">, </w:t>
      </w:r>
      <w:r w:rsidR="00CD0BB7">
        <w:rPr>
          <w:lang w:eastAsia="en-AU"/>
        </w:rPr>
        <w:t>the Department of Home Affairs</w:t>
      </w:r>
      <w:r w:rsidR="00200E55">
        <w:rPr>
          <w:lang w:eastAsia="en-AU"/>
        </w:rPr>
        <w:t xml:space="preserve">, </w:t>
      </w:r>
      <w:r w:rsidR="002E0966">
        <w:rPr>
          <w:lang w:eastAsia="en-AU"/>
        </w:rPr>
        <w:t>t</w:t>
      </w:r>
      <w:r w:rsidR="002E0966" w:rsidRPr="002E0966">
        <w:rPr>
          <w:lang w:eastAsia="en-AU"/>
        </w:rPr>
        <w:t>he Attorney-General’s Department</w:t>
      </w:r>
      <w:r w:rsidR="002E0966">
        <w:rPr>
          <w:lang w:eastAsia="en-AU"/>
        </w:rPr>
        <w:t>,</w:t>
      </w:r>
      <w:r w:rsidR="00824A05">
        <w:rPr>
          <w:lang w:eastAsia="en-AU"/>
        </w:rPr>
        <w:t xml:space="preserve"> the Australian Institute of Criminology, Australian Border Force,</w:t>
      </w:r>
      <w:r w:rsidR="002E0966">
        <w:rPr>
          <w:lang w:eastAsia="en-AU"/>
        </w:rPr>
        <w:t xml:space="preserve"> </w:t>
      </w:r>
      <w:r w:rsidR="00EF041D">
        <w:rPr>
          <w:lang w:eastAsia="en-AU"/>
        </w:rPr>
        <w:t xml:space="preserve">Australian Red Cross, </w:t>
      </w:r>
      <w:r w:rsidR="00824A05">
        <w:rPr>
          <w:lang w:eastAsia="en-AU"/>
        </w:rPr>
        <w:t>T</w:t>
      </w:r>
      <w:r w:rsidR="00EF041D">
        <w:rPr>
          <w:lang w:eastAsia="en-AU"/>
        </w:rPr>
        <w:t xml:space="preserve">he Salvation Army, Anti-Slavery Australia, </w:t>
      </w:r>
      <w:r w:rsidR="003974BF" w:rsidRPr="003974BF">
        <w:rPr>
          <w:lang w:eastAsia="en-AU"/>
        </w:rPr>
        <w:t>Australian Muslim Women’s Centre for Human Rights, Project Respect and Scarlet Alliance</w:t>
      </w:r>
      <w:r w:rsidR="00B2243E">
        <w:rPr>
          <w:lang w:eastAsia="en-AU"/>
        </w:rPr>
        <w:t>.</w:t>
      </w:r>
    </w:p>
    <w:p w14:paraId="2DF0D28E" w14:textId="68BF718D" w:rsidR="00E7204C" w:rsidRDefault="00E7204C" w:rsidP="007E0AFE">
      <w:pPr>
        <w:rPr>
          <w:rFonts w:asciiTheme="majorHAnsi" w:eastAsiaTheme="majorEastAsia" w:hAnsiTheme="majorHAnsi" w:cstheme="majorBidi"/>
          <w:color w:val="00BE6E" w:themeColor="text2"/>
          <w:sz w:val="44"/>
          <w:szCs w:val="32"/>
          <w:lang w:eastAsia="en-AU"/>
        </w:rPr>
      </w:pPr>
      <w:r>
        <w:br w:type="page"/>
      </w:r>
    </w:p>
    <w:p w14:paraId="165CF293" w14:textId="57DB49CE" w:rsidR="006C3F3E" w:rsidRPr="00B97899" w:rsidRDefault="006C3F3E" w:rsidP="007E0AFE">
      <w:pPr>
        <w:pStyle w:val="Heading2"/>
      </w:pPr>
      <w:bookmarkStart w:id="3" w:name="_Toc201908101"/>
      <w:r>
        <w:lastRenderedPageBreak/>
        <w:t>Acronyms</w:t>
      </w:r>
      <w:r w:rsidR="0079089D">
        <w:t xml:space="preserve">, </w:t>
      </w:r>
      <w:r>
        <w:t>abbreviations</w:t>
      </w:r>
      <w:bookmarkEnd w:id="2"/>
      <w:r w:rsidR="0079089D">
        <w:t xml:space="preserve"> and terminology</w:t>
      </w:r>
      <w:bookmarkEnd w:id="3"/>
    </w:p>
    <w:p w14:paraId="1E18C892" w14:textId="61FC22FD" w:rsidR="00FC7B2E" w:rsidRDefault="00FC7B2E" w:rsidP="007E0AFE">
      <w:pPr>
        <w:pStyle w:val="Caption"/>
      </w:pPr>
      <w:r>
        <w:t xml:space="preserve">Table </w:t>
      </w:r>
      <w:r w:rsidR="00FD1F67">
        <w:fldChar w:fldCharType="begin"/>
      </w:r>
      <w:r w:rsidR="00FD1F67">
        <w:instrText xml:space="preserve"> SEQ Table \* ARABIC </w:instrText>
      </w:r>
      <w:r w:rsidR="00FD1F67">
        <w:fldChar w:fldCharType="separate"/>
      </w:r>
      <w:r w:rsidR="00D9323B">
        <w:rPr>
          <w:noProof/>
        </w:rPr>
        <w:t>1</w:t>
      </w:r>
      <w:r w:rsidR="00FD1F67">
        <w:rPr>
          <w:noProof/>
        </w:rPr>
        <w:fldChar w:fldCharType="end"/>
      </w:r>
      <w:r>
        <w:t xml:space="preserve">. </w:t>
      </w:r>
      <w:r w:rsidRPr="00FC7B2E">
        <w:t>Acronyms, abbreviations and terminology</w:t>
      </w:r>
    </w:p>
    <w:tbl>
      <w:tblPr>
        <w:tblStyle w:val="TableGrid"/>
        <w:tblW w:w="9764" w:type="dxa"/>
        <w:tblLook w:val="04A0" w:firstRow="1" w:lastRow="0" w:firstColumn="1" w:lastColumn="0" w:noHBand="0" w:noVBand="1"/>
      </w:tblPr>
      <w:tblGrid>
        <w:gridCol w:w="1980"/>
        <w:gridCol w:w="7784"/>
      </w:tblGrid>
      <w:tr w:rsidR="007E0AFE" w:rsidRPr="000C5A7B" w14:paraId="322B35EB" w14:textId="77777777" w:rsidTr="00B274E4">
        <w:trPr>
          <w:trHeight w:val="313"/>
        </w:trPr>
        <w:tc>
          <w:tcPr>
            <w:tcW w:w="1980" w:type="dxa"/>
            <w:shd w:val="clear" w:color="auto" w:fill="425563" w:themeFill="text1"/>
          </w:tcPr>
          <w:p w14:paraId="79BFE284" w14:textId="676363CC" w:rsidR="007E0AFE" w:rsidRPr="000C5A7B" w:rsidRDefault="009B7515" w:rsidP="009B7515">
            <w:pPr>
              <w:pStyle w:val="Tableheadwhite"/>
              <w:rPr>
                <w:lang w:eastAsia="en-AU"/>
              </w:rPr>
            </w:pPr>
            <w:r>
              <w:rPr>
                <w:lang w:eastAsia="en-AU"/>
              </w:rPr>
              <w:t>Short name</w:t>
            </w:r>
          </w:p>
        </w:tc>
        <w:tc>
          <w:tcPr>
            <w:tcW w:w="7784" w:type="dxa"/>
            <w:shd w:val="clear" w:color="auto" w:fill="425563" w:themeFill="text1"/>
          </w:tcPr>
          <w:p w14:paraId="5161DB69" w14:textId="07B8D1A2" w:rsidR="007E0AFE" w:rsidRPr="000C5A7B" w:rsidRDefault="009B7515" w:rsidP="009B7515">
            <w:pPr>
              <w:pStyle w:val="Tableheadwhite"/>
              <w:rPr>
                <w:lang w:eastAsia="en-AU"/>
              </w:rPr>
            </w:pPr>
            <w:r>
              <w:rPr>
                <w:lang w:eastAsia="en-AU"/>
              </w:rPr>
              <w:t>Full name</w:t>
            </w:r>
          </w:p>
        </w:tc>
      </w:tr>
      <w:tr w:rsidR="008B1824" w:rsidRPr="000C5A7B" w14:paraId="624E2351" w14:textId="77777777" w:rsidTr="006A2BDB">
        <w:trPr>
          <w:trHeight w:val="313"/>
        </w:trPr>
        <w:tc>
          <w:tcPr>
            <w:tcW w:w="1980" w:type="dxa"/>
          </w:tcPr>
          <w:p w14:paraId="19922BB2" w14:textId="77777777" w:rsidR="008B1824" w:rsidRPr="000C5A7B" w:rsidRDefault="008B1824" w:rsidP="007E0AFE">
            <w:pPr>
              <w:spacing w:before="0" w:after="0" w:line="264" w:lineRule="auto"/>
              <w:rPr>
                <w:sz w:val="18"/>
                <w:szCs w:val="20"/>
                <w:lang w:eastAsia="en-AU"/>
              </w:rPr>
            </w:pPr>
            <w:r w:rsidRPr="000C5A7B">
              <w:rPr>
                <w:sz w:val="18"/>
                <w:szCs w:val="20"/>
                <w:lang w:eastAsia="en-AU"/>
              </w:rPr>
              <w:t>ABF</w:t>
            </w:r>
          </w:p>
        </w:tc>
        <w:tc>
          <w:tcPr>
            <w:tcW w:w="7784" w:type="dxa"/>
          </w:tcPr>
          <w:p w14:paraId="17A2F999"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Australian Border Force</w:t>
            </w:r>
          </w:p>
        </w:tc>
      </w:tr>
      <w:tr w:rsidR="008B67C4" w:rsidRPr="000C5A7B" w14:paraId="68797884" w14:textId="77777777" w:rsidTr="006A2BDB">
        <w:trPr>
          <w:trHeight w:val="313"/>
        </w:trPr>
        <w:tc>
          <w:tcPr>
            <w:tcW w:w="1980" w:type="dxa"/>
          </w:tcPr>
          <w:p w14:paraId="58805712" w14:textId="6D1AA966" w:rsidR="008B67C4" w:rsidRPr="000C5A7B" w:rsidRDefault="008B67C4" w:rsidP="007E0AFE">
            <w:pPr>
              <w:spacing w:before="0" w:after="0" w:line="264" w:lineRule="auto"/>
              <w:rPr>
                <w:sz w:val="18"/>
                <w:szCs w:val="20"/>
                <w:lang w:eastAsia="en-AU"/>
              </w:rPr>
            </w:pPr>
            <w:r>
              <w:rPr>
                <w:sz w:val="18"/>
                <w:szCs w:val="20"/>
                <w:lang w:eastAsia="en-AU"/>
              </w:rPr>
              <w:t>ACIC</w:t>
            </w:r>
          </w:p>
        </w:tc>
        <w:tc>
          <w:tcPr>
            <w:tcW w:w="7784" w:type="dxa"/>
          </w:tcPr>
          <w:p w14:paraId="4E9941AD" w14:textId="283F1DEE" w:rsidR="008B67C4" w:rsidRPr="000C5A7B" w:rsidRDefault="008B67C4" w:rsidP="007E0AFE">
            <w:pPr>
              <w:spacing w:before="0" w:after="0" w:line="264" w:lineRule="auto"/>
              <w:rPr>
                <w:sz w:val="18"/>
                <w:szCs w:val="20"/>
                <w:lang w:eastAsia="en-AU"/>
              </w:rPr>
            </w:pPr>
            <w:r>
              <w:rPr>
                <w:sz w:val="18"/>
                <w:szCs w:val="20"/>
                <w:lang w:eastAsia="en-AU"/>
              </w:rPr>
              <w:t>Australian Criminal Intelligence Commission</w:t>
            </w:r>
          </w:p>
        </w:tc>
      </w:tr>
      <w:tr w:rsidR="008B1824" w:rsidRPr="000C5A7B" w14:paraId="6D0FD5C8" w14:textId="77777777" w:rsidTr="006A2BDB">
        <w:trPr>
          <w:trHeight w:val="313"/>
        </w:trPr>
        <w:tc>
          <w:tcPr>
            <w:tcW w:w="1980" w:type="dxa"/>
          </w:tcPr>
          <w:p w14:paraId="6AADD83A" w14:textId="77777777" w:rsidR="008B1824" w:rsidRPr="000C5A7B" w:rsidRDefault="008B1824" w:rsidP="007E0AFE">
            <w:pPr>
              <w:spacing w:before="0" w:after="0" w:line="264" w:lineRule="auto"/>
              <w:rPr>
                <w:sz w:val="18"/>
                <w:szCs w:val="20"/>
                <w:lang w:eastAsia="en-AU"/>
              </w:rPr>
            </w:pPr>
            <w:r w:rsidRPr="000C5A7B">
              <w:rPr>
                <w:sz w:val="18"/>
                <w:szCs w:val="20"/>
                <w:lang w:eastAsia="en-AU"/>
              </w:rPr>
              <w:t>AFP</w:t>
            </w:r>
          </w:p>
        </w:tc>
        <w:tc>
          <w:tcPr>
            <w:tcW w:w="7784" w:type="dxa"/>
          </w:tcPr>
          <w:p w14:paraId="2A4D284D"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Australian Federal Police</w:t>
            </w:r>
          </w:p>
        </w:tc>
      </w:tr>
      <w:tr w:rsidR="008B1824" w:rsidRPr="000C5A7B" w14:paraId="3A833B0D" w14:textId="77777777" w:rsidTr="006A2BDB">
        <w:trPr>
          <w:trHeight w:val="313"/>
        </w:trPr>
        <w:tc>
          <w:tcPr>
            <w:tcW w:w="1980" w:type="dxa"/>
          </w:tcPr>
          <w:p w14:paraId="13894242" w14:textId="77777777" w:rsidR="008B1824" w:rsidRPr="000C5A7B" w:rsidRDefault="008B1824" w:rsidP="007E0AFE">
            <w:pPr>
              <w:spacing w:before="0" w:after="0" w:line="264" w:lineRule="auto"/>
              <w:rPr>
                <w:sz w:val="18"/>
                <w:szCs w:val="20"/>
                <w:lang w:eastAsia="en-AU"/>
              </w:rPr>
            </w:pPr>
            <w:r w:rsidRPr="000C5A7B">
              <w:rPr>
                <w:sz w:val="18"/>
                <w:szCs w:val="20"/>
                <w:lang w:eastAsia="en-AU"/>
              </w:rPr>
              <w:t>AGD</w:t>
            </w:r>
          </w:p>
        </w:tc>
        <w:tc>
          <w:tcPr>
            <w:tcW w:w="7784" w:type="dxa"/>
          </w:tcPr>
          <w:p w14:paraId="13BFA756"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Attorney-General’s Department</w:t>
            </w:r>
          </w:p>
        </w:tc>
      </w:tr>
      <w:tr w:rsidR="008B1824" w:rsidRPr="000C5A7B" w14:paraId="2B356226" w14:textId="77777777" w:rsidTr="006A2BDB">
        <w:trPr>
          <w:trHeight w:val="313"/>
        </w:trPr>
        <w:tc>
          <w:tcPr>
            <w:tcW w:w="1980" w:type="dxa"/>
          </w:tcPr>
          <w:p w14:paraId="577D2D06" w14:textId="77777777" w:rsidR="008B1824" w:rsidRPr="000C5A7B" w:rsidRDefault="008B1824" w:rsidP="007E0AFE">
            <w:pPr>
              <w:spacing w:before="0" w:after="0" w:line="264" w:lineRule="auto"/>
              <w:rPr>
                <w:sz w:val="18"/>
                <w:szCs w:val="20"/>
                <w:lang w:eastAsia="en-AU"/>
              </w:rPr>
            </w:pPr>
            <w:r w:rsidRPr="000C5A7B">
              <w:rPr>
                <w:sz w:val="18"/>
                <w:szCs w:val="20"/>
                <w:lang w:eastAsia="en-AU"/>
              </w:rPr>
              <w:t>AIC</w:t>
            </w:r>
          </w:p>
        </w:tc>
        <w:tc>
          <w:tcPr>
            <w:tcW w:w="7784" w:type="dxa"/>
          </w:tcPr>
          <w:p w14:paraId="78352E12" w14:textId="77777777" w:rsidR="008B1824" w:rsidRPr="000C5A7B" w:rsidRDefault="008B1824" w:rsidP="007E0AFE">
            <w:pPr>
              <w:spacing w:before="0" w:after="0" w:line="264" w:lineRule="auto"/>
              <w:rPr>
                <w:sz w:val="18"/>
                <w:szCs w:val="20"/>
                <w:lang w:eastAsia="en-AU"/>
              </w:rPr>
            </w:pPr>
            <w:r w:rsidRPr="000C5A7B">
              <w:rPr>
                <w:sz w:val="18"/>
                <w:szCs w:val="20"/>
                <w:lang w:eastAsia="en-AU"/>
              </w:rPr>
              <w:t>Australian Institute of Criminology</w:t>
            </w:r>
          </w:p>
        </w:tc>
      </w:tr>
      <w:tr w:rsidR="008B1824" w:rsidRPr="000C5A7B" w14:paraId="70B18F5B" w14:textId="77777777" w:rsidTr="006A2BDB">
        <w:trPr>
          <w:trHeight w:val="313"/>
        </w:trPr>
        <w:tc>
          <w:tcPr>
            <w:tcW w:w="1980" w:type="dxa"/>
          </w:tcPr>
          <w:p w14:paraId="3A031E27" w14:textId="77777777" w:rsidR="008B1824" w:rsidRPr="000C5A7B" w:rsidRDefault="008B1824" w:rsidP="007E0AFE">
            <w:pPr>
              <w:spacing w:before="0" w:after="0" w:line="264" w:lineRule="auto"/>
              <w:rPr>
                <w:sz w:val="18"/>
                <w:szCs w:val="20"/>
                <w:lang w:eastAsia="en-AU"/>
              </w:rPr>
            </w:pPr>
            <w:r w:rsidRPr="000C5A7B">
              <w:rPr>
                <w:sz w:val="18"/>
                <w:szCs w:val="20"/>
                <w:lang w:eastAsia="en-AU"/>
              </w:rPr>
              <w:t>ARP Pilot</w:t>
            </w:r>
          </w:p>
        </w:tc>
        <w:tc>
          <w:tcPr>
            <w:tcW w:w="7784" w:type="dxa"/>
          </w:tcPr>
          <w:p w14:paraId="24A8898C" w14:textId="77777777" w:rsidR="008B1824" w:rsidRPr="000C5A7B" w:rsidRDefault="008B1824" w:rsidP="007E0AFE">
            <w:pPr>
              <w:spacing w:before="0" w:after="0" w:line="264" w:lineRule="auto"/>
              <w:rPr>
                <w:sz w:val="18"/>
                <w:szCs w:val="20"/>
                <w:lang w:eastAsia="en-AU"/>
              </w:rPr>
            </w:pPr>
            <w:r w:rsidRPr="000C5A7B">
              <w:rPr>
                <w:sz w:val="18"/>
                <w:szCs w:val="20"/>
                <w:lang w:eastAsia="en-AU"/>
              </w:rPr>
              <w:t>Additional Referral Pathway Pilot</w:t>
            </w:r>
          </w:p>
        </w:tc>
      </w:tr>
      <w:tr w:rsidR="008B1824" w:rsidRPr="000C5A7B" w14:paraId="151ED81E" w14:textId="77777777" w:rsidTr="006A2BDB">
        <w:trPr>
          <w:trHeight w:val="313"/>
        </w:trPr>
        <w:tc>
          <w:tcPr>
            <w:tcW w:w="1980" w:type="dxa"/>
          </w:tcPr>
          <w:p w14:paraId="66D58B8B" w14:textId="77777777" w:rsidR="008B1824" w:rsidRPr="000C5A7B" w:rsidRDefault="008B1824" w:rsidP="007E0AFE">
            <w:pPr>
              <w:spacing w:before="0" w:after="0" w:line="264" w:lineRule="auto"/>
              <w:rPr>
                <w:sz w:val="18"/>
                <w:szCs w:val="20"/>
                <w:lang w:eastAsia="en-AU"/>
              </w:rPr>
            </w:pPr>
            <w:r w:rsidRPr="000C5A7B">
              <w:rPr>
                <w:sz w:val="18"/>
                <w:szCs w:val="20"/>
                <w:lang w:eastAsia="en-AU"/>
              </w:rPr>
              <w:t>CALD </w:t>
            </w:r>
          </w:p>
        </w:tc>
        <w:tc>
          <w:tcPr>
            <w:tcW w:w="7784" w:type="dxa"/>
          </w:tcPr>
          <w:p w14:paraId="29574C82" w14:textId="2CA0C757" w:rsidR="008B1824" w:rsidRPr="000C5A7B" w:rsidRDefault="008B1824" w:rsidP="007E0AFE">
            <w:pPr>
              <w:spacing w:before="0" w:after="0" w:line="264" w:lineRule="auto"/>
              <w:rPr>
                <w:sz w:val="18"/>
                <w:szCs w:val="20"/>
                <w:lang w:eastAsia="en-AU"/>
              </w:rPr>
            </w:pPr>
            <w:r w:rsidRPr="000C5A7B">
              <w:rPr>
                <w:sz w:val="18"/>
                <w:szCs w:val="20"/>
                <w:lang w:eastAsia="en-AU"/>
              </w:rPr>
              <w:t xml:space="preserve">Culturally and </w:t>
            </w:r>
            <w:r w:rsidR="0038691E" w:rsidRPr="000C5A7B">
              <w:rPr>
                <w:sz w:val="18"/>
                <w:szCs w:val="20"/>
                <w:lang w:eastAsia="en-AU"/>
              </w:rPr>
              <w:t>l</w:t>
            </w:r>
            <w:r w:rsidRPr="000C5A7B">
              <w:rPr>
                <w:sz w:val="18"/>
                <w:szCs w:val="20"/>
                <w:lang w:eastAsia="en-AU"/>
              </w:rPr>
              <w:t xml:space="preserve">inguistically </w:t>
            </w:r>
            <w:r w:rsidR="0038691E" w:rsidRPr="000C5A7B">
              <w:rPr>
                <w:sz w:val="18"/>
                <w:szCs w:val="20"/>
                <w:lang w:eastAsia="en-AU"/>
              </w:rPr>
              <w:t>d</w:t>
            </w:r>
            <w:r w:rsidRPr="000C5A7B">
              <w:rPr>
                <w:sz w:val="18"/>
                <w:szCs w:val="20"/>
                <w:lang w:eastAsia="en-AU"/>
              </w:rPr>
              <w:t>iverse </w:t>
            </w:r>
          </w:p>
        </w:tc>
      </w:tr>
      <w:tr w:rsidR="008B1824" w:rsidRPr="000C5A7B" w14:paraId="1EDBE56A" w14:textId="77777777" w:rsidTr="006A2BDB">
        <w:trPr>
          <w:trHeight w:val="313"/>
        </w:trPr>
        <w:tc>
          <w:tcPr>
            <w:tcW w:w="1980" w:type="dxa"/>
          </w:tcPr>
          <w:p w14:paraId="5B55B5E9" w14:textId="77777777" w:rsidR="008B1824" w:rsidRPr="000C5A7B" w:rsidRDefault="008B1824" w:rsidP="007E0AFE">
            <w:pPr>
              <w:spacing w:before="0" w:after="0" w:line="264" w:lineRule="auto"/>
              <w:rPr>
                <w:sz w:val="18"/>
                <w:szCs w:val="20"/>
                <w:lang w:eastAsia="en-AU"/>
              </w:rPr>
            </w:pPr>
            <w:r w:rsidRPr="000C5A7B">
              <w:rPr>
                <w:sz w:val="18"/>
                <w:szCs w:val="20"/>
                <w:lang w:eastAsia="en-AU"/>
              </w:rPr>
              <w:t>CDPP</w:t>
            </w:r>
          </w:p>
        </w:tc>
        <w:tc>
          <w:tcPr>
            <w:tcW w:w="7784" w:type="dxa"/>
          </w:tcPr>
          <w:p w14:paraId="0230A2A2"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Commonwealth Director of Public Prosecutions</w:t>
            </w:r>
          </w:p>
        </w:tc>
      </w:tr>
      <w:tr w:rsidR="008B1824" w:rsidRPr="000C5A7B" w14:paraId="12FFE7C6" w14:textId="77777777" w:rsidTr="006A2BDB">
        <w:trPr>
          <w:trHeight w:val="313"/>
        </w:trPr>
        <w:tc>
          <w:tcPr>
            <w:tcW w:w="1980" w:type="dxa"/>
          </w:tcPr>
          <w:p w14:paraId="74FCCEB3" w14:textId="77777777" w:rsidR="008B1824" w:rsidRPr="000C5A7B" w:rsidRDefault="008B1824" w:rsidP="007E0AFE">
            <w:pPr>
              <w:spacing w:before="0" w:after="0" w:line="264" w:lineRule="auto"/>
              <w:rPr>
                <w:sz w:val="18"/>
                <w:szCs w:val="20"/>
                <w:lang w:eastAsia="en-AU"/>
              </w:rPr>
            </w:pPr>
            <w:r w:rsidRPr="000C5A7B">
              <w:rPr>
                <w:sz w:val="18"/>
                <w:szCs w:val="20"/>
                <w:lang w:eastAsia="en-AU"/>
              </w:rPr>
              <w:t>CEDAW</w:t>
            </w:r>
          </w:p>
        </w:tc>
        <w:tc>
          <w:tcPr>
            <w:tcW w:w="7784" w:type="dxa"/>
          </w:tcPr>
          <w:p w14:paraId="2192ACE7" w14:textId="77777777" w:rsidR="008B1824" w:rsidRPr="000C5A7B" w:rsidRDefault="008B1824" w:rsidP="007E0AFE">
            <w:pPr>
              <w:spacing w:before="0" w:after="0" w:line="264" w:lineRule="auto"/>
              <w:rPr>
                <w:sz w:val="18"/>
                <w:szCs w:val="20"/>
                <w:lang w:eastAsia="en-AU"/>
              </w:rPr>
            </w:pPr>
            <w:r w:rsidRPr="000C5A7B">
              <w:rPr>
                <w:sz w:val="18"/>
                <w:szCs w:val="20"/>
              </w:rPr>
              <w:t>Convention on the Elimination of all Discrimination Against Women</w:t>
            </w:r>
          </w:p>
        </w:tc>
      </w:tr>
      <w:tr w:rsidR="005E240D" w:rsidRPr="000C5A7B" w14:paraId="168B2B69" w14:textId="77777777" w:rsidTr="006A2BDB">
        <w:trPr>
          <w:trHeight w:val="313"/>
        </w:trPr>
        <w:tc>
          <w:tcPr>
            <w:tcW w:w="1980" w:type="dxa"/>
          </w:tcPr>
          <w:p w14:paraId="0C9B3190" w14:textId="2AF9376E" w:rsidR="005E240D" w:rsidRPr="000C5A7B" w:rsidRDefault="003D4C69" w:rsidP="007E0AFE">
            <w:pPr>
              <w:spacing w:before="0" w:after="0" w:line="264" w:lineRule="auto"/>
              <w:rPr>
                <w:sz w:val="18"/>
                <w:szCs w:val="20"/>
                <w:lang w:eastAsia="en-AU"/>
              </w:rPr>
            </w:pPr>
            <w:r w:rsidRPr="000C5A7B">
              <w:rPr>
                <w:sz w:val="18"/>
                <w:szCs w:val="20"/>
                <w:lang w:eastAsia="en-AU"/>
              </w:rPr>
              <w:t>CRC</w:t>
            </w:r>
          </w:p>
        </w:tc>
        <w:tc>
          <w:tcPr>
            <w:tcW w:w="7784" w:type="dxa"/>
          </w:tcPr>
          <w:p w14:paraId="38C91DDB" w14:textId="1A1FDB45" w:rsidR="005E240D" w:rsidRPr="000C5A7B" w:rsidRDefault="007654CF" w:rsidP="007E0AFE">
            <w:pPr>
              <w:spacing w:before="0" w:after="0" w:line="264" w:lineRule="auto"/>
              <w:rPr>
                <w:sz w:val="18"/>
                <w:szCs w:val="20"/>
              </w:rPr>
            </w:pPr>
            <w:r w:rsidRPr="000C5A7B">
              <w:rPr>
                <w:sz w:val="18"/>
                <w:szCs w:val="20"/>
              </w:rPr>
              <w:t>Convention on the Rights of the Child</w:t>
            </w:r>
          </w:p>
        </w:tc>
      </w:tr>
      <w:tr w:rsidR="008B1824" w:rsidRPr="000C5A7B" w14:paraId="1CD06E06" w14:textId="77777777" w:rsidTr="006A2BDB">
        <w:trPr>
          <w:trHeight w:val="313"/>
        </w:trPr>
        <w:tc>
          <w:tcPr>
            <w:tcW w:w="1980" w:type="dxa"/>
            <w:hideMark/>
          </w:tcPr>
          <w:p w14:paraId="7E6B3FD6" w14:textId="2F0C1F29" w:rsidR="008B1824" w:rsidRPr="000C5A7B" w:rsidRDefault="008B1824" w:rsidP="007E0AFE">
            <w:pPr>
              <w:spacing w:before="0" w:after="0" w:line="264" w:lineRule="auto"/>
              <w:rPr>
                <w:sz w:val="18"/>
                <w:szCs w:val="20"/>
                <w:lang w:eastAsia="en-AU"/>
              </w:rPr>
            </w:pPr>
            <w:r w:rsidRPr="000C5A7B">
              <w:rPr>
                <w:sz w:val="18"/>
                <w:szCs w:val="20"/>
                <w:lang w:eastAsia="en-AU"/>
              </w:rPr>
              <w:t>Department/DSS </w:t>
            </w:r>
          </w:p>
        </w:tc>
        <w:tc>
          <w:tcPr>
            <w:tcW w:w="7784" w:type="dxa"/>
            <w:hideMark/>
          </w:tcPr>
          <w:p w14:paraId="737CFBAF"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Department of Social Services </w:t>
            </w:r>
          </w:p>
        </w:tc>
      </w:tr>
      <w:tr w:rsidR="00EE0023" w:rsidRPr="000C5A7B" w14:paraId="7E2F63D6" w14:textId="77777777" w:rsidTr="006A2BDB">
        <w:trPr>
          <w:trHeight w:val="313"/>
        </w:trPr>
        <w:tc>
          <w:tcPr>
            <w:tcW w:w="1980" w:type="dxa"/>
          </w:tcPr>
          <w:p w14:paraId="3ADB751C" w14:textId="572ABD00" w:rsidR="00EE0023" w:rsidRPr="000C5A7B" w:rsidRDefault="00EE0023" w:rsidP="007E0AFE">
            <w:pPr>
              <w:spacing w:before="0" w:after="0" w:line="264" w:lineRule="auto"/>
              <w:rPr>
                <w:sz w:val="18"/>
                <w:szCs w:val="20"/>
                <w:lang w:eastAsia="en-AU"/>
              </w:rPr>
            </w:pPr>
            <w:r>
              <w:rPr>
                <w:sz w:val="18"/>
                <w:szCs w:val="20"/>
                <w:lang w:eastAsia="en-AU"/>
              </w:rPr>
              <w:t>DEWR</w:t>
            </w:r>
          </w:p>
        </w:tc>
        <w:tc>
          <w:tcPr>
            <w:tcW w:w="7784" w:type="dxa"/>
          </w:tcPr>
          <w:p w14:paraId="1028897E" w14:textId="27133DC6" w:rsidR="00EE0023" w:rsidRPr="000C5A7B" w:rsidRDefault="00EE0023" w:rsidP="007E0AFE">
            <w:pPr>
              <w:spacing w:before="0" w:after="0" w:line="264" w:lineRule="auto"/>
              <w:rPr>
                <w:sz w:val="18"/>
                <w:szCs w:val="20"/>
                <w:lang w:eastAsia="en-AU"/>
              </w:rPr>
            </w:pPr>
            <w:r>
              <w:rPr>
                <w:sz w:val="18"/>
                <w:szCs w:val="20"/>
                <w:lang w:eastAsia="en-AU"/>
              </w:rPr>
              <w:t>Department of Employment and Workplace Relations</w:t>
            </w:r>
          </w:p>
        </w:tc>
      </w:tr>
      <w:tr w:rsidR="008B1824" w:rsidRPr="000C5A7B" w14:paraId="3D441793" w14:textId="77777777" w:rsidTr="006A2BDB">
        <w:trPr>
          <w:trHeight w:val="313"/>
        </w:trPr>
        <w:tc>
          <w:tcPr>
            <w:tcW w:w="1980" w:type="dxa"/>
          </w:tcPr>
          <w:p w14:paraId="0319A2FE" w14:textId="77777777" w:rsidR="008B1824" w:rsidRPr="000C5A7B" w:rsidRDefault="008B1824" w:rsidP="007E0AFE">
            <w:pPr>
              <w:spacing w:before="0" w:after="0" w:line="264" w:lineRule="auto"/>
              <w:rPr>
                <w:sz w:val="18"/>
                <w:szCs w:val="20"/>
                <w:lang w:eastAsia="en-AU"/>
              </w:rPr>
            </w:pPr>
            <w:r w:rsidRPr="000C5A7B">
              <w:rPr>
                <w:sz w:val="18"/>
                <w:szCs w:val="20"/>
                <w:lang w:eastAsia="en-AU"/>
              </w:rPr>
              <w:t>DFAT</w:t>
            </w:r>
          </w:p>
        </w:tc>
        <w:tc>
          <w:tcPr>
            <w:tcW w:w="7784" w:type="dxa"/>
          </w:tcPr>
          <w:p w14:paraId="098E9057"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Department of Foreign Affairs and Trade</w:t>
            </w:r>
          </w:p>
        </w:tc>
      </w:tr>
      <w:tr w:rsidR="008B1824" w:rsidRPr="000C5A7B" w14:paraId="756BDCA4" w14:textId="77777777" w:rsidTr="006A2BDB">
        <w:trPr>
          <w:trHeight w:val="313"/>
        </w:trPr>
        <w:tc>
          <w:tcPr>
            <w:tcW w:w="1980" w:type="dxa"/>
            <w:hideMark/>
          </w:tcPr>
          <w:p w14:paraId="78493530" w14:textId="77777777" w:rsidR="008B1824" w:rsidRPr="000C5A7B" w:rsidRDefault="008B1824" w:rsidP="007E0AFE">
            <w:pPr>
              <w:spacing w:before="0" w:after="0" w:line="264" w:lineRule="auto"/>
              <w:rPr>
                <w:sz w:val="18"/>
                <w:szCs w:val="20"/>
                <w:lang w:eastAsia="en-AU"/>
              </w:rPr>
            </w:pPr>
            <w:r w:rsidRPr="000C5A7B">
              <w:rPr>
                <w:sz w:val="18"/>
                <w:szCs w:val="20"/>
                <w:lang w:eastAsia="en-AU"/>
              </w:rPr>
              <w:t>FDSV </w:t>
            </w:r>
          </w:p>
        </w:tc>
        <w:tc>
          <w:tcPr>
            <w:tcW w:w="7784" w:type="dxa"/>
            <w:hideMark/>
          </w:tcPr>
          <w:p w14:paraId="2B8A5857"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Family domestic and sexual violence </w:t>
            </w:r>
          </w:p>
        </w:tc>
      </w:tr>
      <w:tr w:rsidR="008B1824" w:rsidRPr="000C5A7B" w14:paraId="507A57D0" w14:textId="77777777" w:rsidTr="006A2BDB">
        <w:trPr>
          <w:trHeight w:val="313"/>
        </w:trPr>
        <w:tc>
          <w:tcPr>
            <w:tcW w:w="1980" w:type="dxa"/>
          </w:tcPr>
          <w:p w14:paraId="45FC7404" w14:textId="77777777" w:rsidR="008B1824" w:rsidRPr="000C5A7B" w:rsidRDefault="008B1824" w:rsidP="007E0AFE">
            <w:pPr>
              <w:spacing w:before="0" w:after="0" w:line="264" w:lineRule="auto"/>
              <w:rPr>
                <w:sz w:val="18"/>
                <w:szCs w:val="20"/>
                <w:lang w:eastAsia="en-AU"/>
              </w:rPr>
            </w:pPr>
            <w:r w:rsidRPr="000C5A7B">
              <w:rPr>
                <w:sz w:val="18"/>
                <w:szCs w:val="20"/>
                <w:lang w:eastAsia="en-AU"/>
              </w:rPr>
              <w:t>FM</w:t>
            </w:r>
          </w:p>
        </w:tc>
        <w:tc>
          <w:tcPr>
            <w:tcW w:w="7784" w:type="dxa"/>
          </w:tcPr>
          <w:p w14:paraId="00FBA1C9" w14:textId="77777777" w:rsidR="008B1824" w:rsidRPr="000C5A7B" w:rsidRDefault="008B1824" w:rsidP="007E0AFE">
            <w:pPr>
              <w:spacing w:before="0" w:after="0" w:line="264" w:lineRule="auto"/>
              <w:rPr>
                <w:sz w:val="18"/>
                <w:szCs w:val="20"/>
                <w:lang w:eastAsia="en-AU"/>
              </w:rPr>
            </w:pPr>
            <w:r w:rsidRPr="000C5A7B">
              <w:rPr>
                <w:sz w:val="18"/>
                <w:szCs w:val="20"/>
                <w:lang w:eastAsia="en-AU"/>
              </w:rPr>
              <w:t>Forced Marriage</w:t>
            </w:r>
          </w:p>
        </w:tc>
      </w:tr>
      <w:tr w:rsidR="000C5A7B" w:rsidRPr="000C5A7B" w14:paraId="2E3252CE" w14:textId="77777777" w:rsidTr="006A2BDB">
        <w:trPr>
          <w:trHeight w:val="313"/>
        </w:trPr>
        <w:tc>
          <w:tcPr>
            <w:tcW w:w="1980" w:type="dxa"/>
          </w:tcPr>
          <w:p w14:paraId="3B676D87" w14:textId="79B88A90" w:rsidR="000C5A7B" w:rsidRPr="000C5A7B" w:rsidRDefault="000C5A7B" w:rsidP="007E0AFE">
            <w:pPr>
              <w:spacing w:before="0" w:after="0" w:line="264" w:lineRule="auto"/>
              <w:rPr>
                <w:sz w:val="18"/>
                <w:szCs w:val="20"/>
                <w:lang w:eastAsia="en-AU"/>
              </w:rPr>
            </w:pPr>
            <w:r w:rsidRPr="000C5A7B">
              <w:rPr>
                <w:sz w:val="18"/>
                <w:szCs w:val="20"/>
                <w:lang w:eastAsia="en-AU"/>
              </w:rPr>
              <w:t>FMSSP</w:t>
            </w:r>
          </w:p>
        </w:tc>
        <w:tc>
          <w:tcPr>
            <w:tcW w:w="7784" w:type="dxa"/>
          </w:tcPr>
          <w:p w14:paraId="09E19589" w14:textId="42A4A36D" w:rsidR="000C5A7B" w:rsidRPr="000C5A7B" w:rsidRDefault="000C5A7B" w:rsidP="007E0AFE">
            <w:pPr>
              <w:spacing w:before="0" w:after="0" w:line="264" w:lineRule="auto"/>
              <w:rPr>
                <w:sz w:val="18"/>
                <w:szCs w:val="20"/>
                <w:lang w:eastAsia="en-AU"/>
              </w:rPr>
            </w:pPr>
            <w:r w:rsidRPr="000C5A7B">
              <w:rPr>
                <w:sz w:val="18"/>
                <w:szCs w:val="20"/>
                <w:lang w:eastAsia="en-AU"/>
              </w:rPr>
              <w:t>Forced Marriage Specialist Support Program</w:t>
            </w:r>
          </w:p>
        </w:tc>
      </w:tr>
      <w:tr w:rsidR="00EE0023" w:rsidRPr="000C5A7B" w14:paraId="3393E283" w14:textId="77777777" w:rsidTr="006A2BDB">
        <w:trPr>
          <w:trHeight w:val="313"/>
        </w:trPr>
        <w:tc>
          <w:tcPr>
            <w:tcW w:w="1980" w:type="dxa"/>
          </w:tcPr>
          <w:p w14:paraId="1B99C909" w14:textId="4A20A7EC" w:rsidR="00EE0023" w:rsidRPr="000C5A7B" w:rsidRDefault="00EE0023" w:rsidP="007E0AFE">
            <w:pPr>
              <w:spacing w:before="0" w:after="0" w:line="264" w:lineRule="auto"/>
              <w:rPr>
                <w:sz w:val="18"/>
                <w:szCs w:val="20"/>
                <w:lang w:eastAsia="en-AU"/>
              </w:rPr>
            </w:pPr>
            <w:r>
              <w:rPr>
                <w:sz w:val="18"/>
                <w:szCs w:val="20"/>
                <w:lang w:eastAsia="en-AU"/>
              </w:rPr>
              <w:t>FWO</w:t>
            </w:r>
          </w:p>
        </w:tc>
        <w:tc>
          <w:tcPr>
            <w:tcW w:w="7784" w:type="dxa"/>
          </w:tcPr>
          <w:p w14:paraId="75C221B4" w14:textId="146B3089" w:rsidR="00EE0023" w:rsidRPr="000C5A7B" w:rsidRDefault="00EE0023" w:rsidP="007E0AFE">
            <w:pPr>
              <w:spacing w:before="0" w:after="0" w:line="264" w:lineRule="auto"/>
              <w:rPr>
                <w:sz w:val="18"/>
                <w:szCs w:val="20"/>
                <w:lang w:eastAsia="en-AU"/>
              </w:rPr>
            </w:pPr>
            <w:r>
              <w:rPr>
                <w:sz w:val="18"/>
                <w:szCs w:val="20"/>
                <w:lang w:eastAsia="en-AU"/>
              </w:rPr>
              <w:t>Fair Work Ombuds</w:t>
            </w:r>
            <w:r w:rsidR="00D43293">
              <w:rPr>
                <w:sz w:val="18"/>
                <w:szCs w:val="20"/>
                <w:lang w:eastAsia="en-AU"/>
              </w:rPr>
              <w:t>man</w:t>
            </w:r>
          </w:p>
        </w:tc>
      </w:tr>
      <w:tr w:rsidR="008B1824" w:rsidRPr="000C5A7B" w14:paraId="602793CD" w14:textId="77777777" w:rsidTr="006A2BDB">
        <w:trPr>
          <w:trHeight w:val="313"/>
        </w:trPr>
        <w:tc>
          <w:tcPr>
            <w:tcW w:w="1980" w:type="dxa"/>
            <w:hideMark/>
          </w:tcPr>
          <w:p w14:paraId="00879E75" w14:textId="77777777" w:rsidR="008B1824" w:rsidRPr="000C5A7B" w:rsidRDefault="008B1824" w:rsidP="007E0AFE">
            <w:pPr>
              <w:spacing w:before="0" w:after="0" w:line="264" w:lineRule="auto"/>
              <w:rPr>
                <w:sz w:val="18"/>
                <w:szCs w:val="20"/>
                <w:lang w:eastAsia="en-AU"/>
              </w:rPr>
            </w:pPr>
            <w:r w:rsidRPr="000C5A7B">
              <w:rPr>
                <w:sz w:val="18"/>
                <w:szCs w:val="20"/>
                <w:lang w:eastAsia="en-AU"/>
              </w:rPr>
              <w:t>GBV </w:t>
            </w:r>
          </w:p>
        </w:tc>
        <w:tc>
          <w:tcPr>
            <w:tcW w:w="7784" w:type="dxa"/>
            <w:hideMark/>
          </w:tcPr>
          <w:p w14:paraId="6DD6AFEA"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Gender-based violence </w:t>
            </w:r>
          </w:p>
        </w:tc>
      </w:tr>
      <w:tr w:rsidR="008B1824" w:rsidRPr="000C5A7B" w14:paraId="13D2B76A" w14:textId="77777777" w:rsidTr="006A2BDB">
        <w:trPr>
          <w:trHeight w:val="313"/>
        </w:trPr>
        <w:tc>
          <w:tcPr>
            <w:tcW w:w="1980" w:type="dxa"/>
          </w:tcPr>
          <w:p w14:paraId="695E0526" w14:textId="77777777" w:rsidR="008B1824" w:rsidRPr="000C5A7B" w:rsidRDefault="008B1824" w:rsidP="007E0AFE">
            <w:pPr>
              <w:spacing w:before="0" w:after="0" w:line="264" w:lineRule="auto"/>
              <w:rPr>
                <w:sz w:val="18"/>
                <w:szCs w:val="20"/>
                <w:lang w:eastAsia="en-AU"/>
              </w:rPr>
            </w:pPr>
            <w:r w:rsidRPr="000C5A7B">
              <w:rPr>
                <w:sz w:val="18"/>
                <w:szCs w:val="20"/>
                <w:lang w:eastAsia="en-AU"/>
              </w:rPr>
              <w:t>Home Affairs</w:t>
            </w:r>
          </w:p>
        </w:tc>
        <w:tc>
          <w:tcPr>
            <w:tcW w:w="7784" w:type="dxa"/>
          </w:tcPr>
          <w:p w14:paraId="56F86F4D"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Department of Home Affairs</w:t>
            </w:r>
          </w:p>
        </w:tc>
      </w:tr>
      <w:tr w:rsidR="008B1824" w:rsidRPr="000C5A7B" w14:paraId="5FEFCF48" w14:textId="77777777" w:rsidTr="006A2BDB">
        <w:trPr>
          <w:trHeight w:val="313"/>
        </w:trPr>
        <w:tc>
          <w:tcPr>
            <w:tcW w:w="1980" w:type="dxa"/>
            <w:hideMark/>
          </w:tcPr>
          <w:p w14:paraId="15D31A34" w14:textId="77777777" w:rsidR="008B1824" w:rsidRPr="000C5A7B" w:rsidRDefault="008B1824" w:rsidP="007E0AFE">
            <w:pPr>
              <w:spacing w:before="0" w:after="0" w:line="264" w:lineRule="auto"/>
              <w:rPr>
                <w:sz w:val="18"/>
                <w:szCs w:val="20"/>
                <w:lang w:eastAsia="en-AU"/>
              </w:rPr>
            </w:pPr>
            <w:r w:rsidRPr="000C5A7B">
              <w:rPr>
                <w:sz w:val="18"/>
                <w:szCs w:val="20"/>
                <w:lang w:eastAsia="en-AU"/>
              </w:rPr>
              <w:t>HREC </w:t>
            </w:r>
          </w:p>
        </w:tc>
        <w:tc>
          <w:tcPr>
            <w:tcW w:w="7784" w:type="dxa"/>
            <w:hideMark/>
          </w:tcPr>
          <w:p w14:paraId="5EA0F54F"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Human Research Ethics Committee </w:t>
            </w:r>
          </w:p>
        </w:tc>
      </w:tr>
      <w:tr w:rsidR="008B1824" w:rsidRPr="000C5A7B" w14:paraId="62A5E3CB" w14:textId="77777777" w:rsidTr="006A2BDB">
        <w:trPr>
          <w:trHeight w:val="313"/>
        </w:trPr>
        <w:tc>
          <w:tcPr>
            <w:tcW w:w="1980" w:type="dxa"/>
          </w:tcPr>
          <w:p w14:paraId="0DEFF977" w14:textId="77777777" w:rsidR="008B1824" w:rsidRPr="000C5A7B" w:rsidRDefault="008B1824" w:rsidP="007E0AFE">
            <w:pPr>
              <w:spacing w:before="0" w:after="0" w:line="264" w:lineRule="auto"/>
              <w:rPr>
                <w:sz w:val="18"/>
                <w:szCs w:val="20"/>
                <w:lang w:eastAsia="en-AU"/>
              </w:rPr>
            </w:pPr>
            <w:r w:rsidRPr="000C5A7B">
              <w:rPr>
                <w:sz w:val="18"/>
                <w:szCs w:val="20"/>
                <w:lang w:eastAsia="en-AU"/>
              </w:rPr>
              <w:t>HTMS</w:t>
            </w:r>
          </w:p>
        </w:tc>
        <w:tc>
          <w:tcPr>
            <w:tcW w:w="7784" w:type="dxa"/>
          </w:tcPr>
          <w:p w14:paraId="4A420AD1" w14:textId="202AA49E" w:rsidR="008B1824" w:rsidRPr="000C5A7B" w:rsidRDefault="008B1824" w:rsidP="007E0AFE">
            <w:pPr>
              <w:spacing w:before="0" w:after="0" w:line="264" w:lineRule="auto"/>
              <w:rPr>
                <w:sz w:val="18"/>
                <w:szCs w:val="20"/>
                <w:lang w:eastAsia="en-AU"/>
              </w:rPr>
            </w:pPr>
            <w:r w:rsidRPr="000C5A7B">
              <w:rPr>
                <w:sz w:val="18"/>
                <w:szCs w:val="20"/>
              </w:rPr>
              <w:t>Human trafficking</w:t>
            </w:r>
            <w:r w:rsidR="33673330" w:rsidRPr="000C5A7B">
              <w:rPr>
                <w:sz w:val="18"/>
                <w:szCs w:val="20"/>
              </w:rPr>
              <w:t xml:space="preserve"> and</w:t>
            </w:r>
            <w:r w:rsidRPr="000C5A7B">
              <w:rPr>
                <w:sz w:val="18"/>
                <w:szCs w:val="20"/>
              </w:rPr>
              <w:t xml:space="preserve"> modern slavery</w:t>
            </w:r>
            <w:r w:rsidRPr="000C5A7B">
              <w:rPr>
                <w:sz w:val="18"/>
                <w:szCs w:val="20"/>
                <w:lang w:eastAsia="en-AU"/>
              </w:rPr>
              <w:t xml:space="preserve"> </w:t>
            </w:r>
          </w:p>
        </w:tc>
      </w:tr>
      <w:tr w:rsidR="008B1824" w:rsidRPr="000C5A7B" w14:paraId="5E5B7C0A" w14:textId="77777777" w:rsidTr="006A2BDB">
        <w:trPr>
          <w:trHeight w:val="313"/>
        </w:trPr>
        <w:tc>
          <w:tcPr>
            <w:tcW w:w="1980" w:type="dxa"/>
          </w:tcPr>
          <w:p w14:paraId="1120C3DB" w14:textId="77777777" w:rsidR="008B1824" w:rsidRPr="000C5A7B" w:rsidRDefault="008B1824" w:rsidP="007E0AFE">
            <w:pPr>
              <w:spacing w:before="0" w:after="0" w:line="264" w:lineRule="auto"/>
              <w:rPr>
                <w:sz w:val="18"/>
                <w:szCs w:val="20"/>
                <w:lang w:eastAsia="en-AU"/>
              </w:rPr>
            </w:pPr>
            <w:r w:rsidRPr="000C5A7B">
              <w:rPr>
                <w:sz w:val="18"/>
                <w:szCs w:val="20"/>
                <w:lang w:eastAsia="en-AU"/>
              </w:rPr>
              <w:t>HTVF</w:t>
            </w:r>
          </w:p>
        </w:tc>
        <w:tc>
          <w:tcPr>
            <w:tcW w:w="7784" w:type="dxa"/>
          </w:tcPr>
          <w:p w14:paraId="31066B9F" w14:textId="77777777" w:rsidR="008B1824" w:rsidRPr="000C5A7B" w:rsidRDefault="008B1824" w:rsidP="007E0AFE">
            <w:pPr>
              <w:spacing w:before="0" w:after="0" w:line="264" w:lineRule="auto"/>
              <w:rPr>
                <w:rFonts w:ascii="Times New Roman" w:hAnsi="Times New Roman"/>
                <w:sz w:val="18"/>
                <w:szCs w:val="20"/>
                <w:lang w:eastAsia="en-AU"/>
              </w:rPr>
            </w:pPr>
            <w:r w:rsidRPr="000C5A7B">
              <w:rPr>
                <w:sz w:val="18"/>
                <w:szCs w:val="20"/>
                <w:lang w:eastAsia="en-AU"/>
              </w:rPr>
              <w:t>Human Trafficking Visa Framework</w:t>
            </w:r>
          </w:p>
        </w:tc>
      </w:tr>
      <w:tr w:rsidR="009F0300" w:rsidRPr="000C5A7B" w14:paraId="707EAE8B" w14:textId="77777777" w:rsidTr="006A2BDB">
        <w:trPr>
          <w:trHeight w:val="313"/>
        </w:trPr>
        <w:tc>
          <w:tcPr>
            <w:tcW w:w="1980" w:type="dxa"/>
          </w:tcPr>
          <w:p w14:paraId="3541E671" w14:textId="39790B8B" w:rsidR="009F0300" w:rsidRPr="000C5A7B" w:rsidRDefault="009F0300" w:rsidP="007E0AFE">
            <w:pPr>
              <w:spacing w:before="0" w:after="0" w:line="264" w:lineRule="auto"/>
              <w:rPr>
                <w:sz w:val="18"/>
                <w:szCs w:val="20"/>
                <w:lang w:eastAsia="en-AU"/>
              </w:rPr>
            </w:pPr>
            <w:r w:rsidRPr="000C5A7B">
              <w:rPr>
                <w:sz w:val="18"/>
                <w:szCs w:val="20"/>
                <w:lang w:eastAsia="en-AU"/>
              </w:rPr>
              <w:t>I</w:t>
            </w:r>
            <w:r w:rsidR="00FC60DD" w:rsidRPr="000C5A7B">
              <w:rPr>
                <w:sz w:val="18"/>
                <w:szCs w:val="20"/>
                <w:lang w:eastAsia="en-AU"/>
              </w:rPr>
              <w:t>CCPR</w:t>
            </w:r>
          </w:p>
        </w:tc>
        <w:tc>
          <w:tcPr>
            <w:tcW w:w="7784" w:type="dxa"/>
          </w:tcPr>
          <w:p w14:paraId="3C324B47" w14:textId="67095FE3" w:rsidR="009F0300" w:rsidRPr="000C5A7B" w:rsidRDefault="00FC60DD" w:rsidP="007E0AFE">
            <w:pPr>
              <w:spacing w:before="0" w:after="0" w:line="264" w:lineRule="auto"/>
              <w:rPr>
                <w:sz w:val="18"/>
                <w:szCs w:val="20"/>
                <w:lang w:eastAsia="en-AU"/>
              </w:rPr>
            </w:pPr>
            <w:r w:rsidRPr="000C5A7B">
              <w:rPr>
                <w:sz w:val="18"/>
                <w:szCs w:val="20"/>
                <w:lang w:eastAsia="en-AU"/>
              </w:rPr>
              <w:t>International Covenant on Civil and Political Rights</w:t>
            </w:r>
          </w:p>
        </w:tc>
      </w:tr>
      <w:tr w:rsidR="00CD434F" w:rsidRPr="000C5A7B" w14:paraId="0A5FAC30" w14:textId="77777777" w:rsidTr="006A2BDB">
        <w:trPr>
          <w:trHeight w:val="313"/>
        </w:trPr>
        <w:tc>
          <w:tcPr>
            <w:tcW w:w="1980" w:type="dxa"/>
          </w:tcPr>
          <w:p w14:paraId="42F8D1B2" w14:textId="376F2745" w:rsidR="00CD434F" w:rsidRPr="000C5A7B" w:rsidRDefault="00CD434F" w:rsidP="007E0AFE">
            <w:pPr>
              <w:spacing w:before="0" w:after="0" w:line="264" w:lineRule="auto"/>
              <w:rPr>
                <w:sz w:val="18"/>
                <w:szCs w:val="20"/>
                <w:lang w:eastAsia="en-AU"/>
              </w:rPr>
            </w:pPr>
            <w:r w:rsidRPr="000C5A7B">
              <w:rPr>
                <w:sz w:val="18"/>
                <w:szCs w:val="20"/>
                <w:lang w:eastAsia="en-AU"/>
              </w:rPr>
              <w:t>ISS</w:t>
            </w:r>
          </w:p>
        </w:tc>
        <w:tc>
          <w:tcPr>
            <w:tcW w:w="7784" w:type="dxa"/>
          </w:tcPr>
          <w:p w14:paraId="5E9161BE" w14:textId="5724B089" w:rsidR="00CD434F" w:rsidRPr="000C5A7B" w:rsidRDefault="000049BB" w:rsidP="007E0AFE">
            <w:pPr>
              <w:spacing w:before="0" w:after="0" w:line="264" w:lineRule="auto"/>
              <w:rPr>
                <w:sz w:val="18"/>
                <w:szCs w:val="20"/>
                <w:lang w:eastAsia="en-AU"/>
              </w:rPr>
            </w:pPr>
            <w:r w:rsidRPr="000C5A7B">
              <w:rPr>
                <w:sz w:val="18"/>
                <w:szCs w:val="20"/>
                <w:lang w:eastAsia="en-AU"/>
              </w:rPr>
              <w:t>Intensive Support Stream</w:t>
            </w:r>
          </w:p>
        </w:tc>
      </w:tr>
      <w:tr w:rsidR="00CD434F" w:rsidRPr="000C5A7B" w14:paraId="6E6F3793" w14:textId="77777777" w:rsidTr="006A2BDB">
        <w:trPr>
          <w:trHeight w:val="313"/>
        </w:trPr>
        <w:tc>
          <w:tcPr>
            <w:tcW w:w="1980" w:type="dxa"/>
          </w:tcPr>
          <w:p w14:paraId="24791D82" w14:textId="3DC44912" w:rsidR="00CD434F" w:rsidRPr="000C5A7B" w:rsidRDefault="00CD434F" w:rsidP="007E0AFE">
            <w:pPr>
              <w:spacing w:before="0" w:after="0" w:line="264" w:lineRule="auto"/>
              <w:rPr>
                <w:sz w:val="18"/>
                <w:szCs w:val="20"/>
                <w:lang w:eastAsia="en-AU"/>
              </w:rPr>
            </w:pPr>
            <w:r w:rsidRPr="000C5A7B">
              <w:rPr>
                <w:sz w:val="18"/>
                <w:szCs w:val="20"/>
                <w:lang w:eastAsia="en-AU"/>
              </w:rPr>
              <w:t>JSS</w:t>
            </w:r>
          </w:p>
        </w:tc>
        <w:tc>
          <w:tcPr>
            <w:tcW w:w="7784" w:type="dxa"/>
          </w:tcPr>
          <w:p w14:paraId="556DC018" w14:textId="0042FAE5" w:rsidR="00CD434F" w:rsidRPr="000C5A7B" w:rsidRDefault="00AF2E13" w:rsidP="007E0AFE">
            <w:pPr>
              <w:spacing w:before="0" w:after="0" w:line="264" w:lineRule="auto"/>
              <w:rPr>
                <w:sz w:val="18"/>
                <w:szCs w:val="20"/>
                <w:lang w:eastAsia="en-AU"/>
              </w:rPr>
            </w:pPr>
            <w:r w:rsidRPr="000C5A7B">
              <w:rPr>
                <w:sz w:val="18"/>
                <w:szCs w:val="20"/>
                <w:lang w:eastAsia="en-AU"/>
              </w:rPr>
              <w:t>Justice Support Stream</w:t>
            </w:r>
          </w:p>
        </w:tc>
      </w:tr>
      <w:tr w:rsidR="008B1824" w:rsidRPr="000C5A7B" w14:paraId="75DC0DCB" w14:textId="77777777" w:rsidTr="006A2BDB">
        <w:trPr>
          <w:trHeight w:val="313"/>
        </w:trPr>
        <w:tc>
          <w:tcPr>
            <w:tcW w:w="1980" w:type="dxa"/>
            <w:hideMark/>
          </w:tcPr>
          <w:p w14:paraId="76B27E32" w14:textId="22DA4226" w:rsidR="008B1824" w:rsidRPr="000C5A7B" w:rsidRDefault="008B1824" w:rsidP="007E0AFE">
            <w:pPr>
              <w:spacing w:before="0" w:after="0" w:line="264" w:lineRule="auto"/>
              <w:rPr>
                <w:sz w:val="18"/>
                <w:szCs w:val="20"/>
                <w:lang w:eastAsia="en-AU"/>
              </w:rPr>
            </w:pPr>
            <w:r w:rsidRPr="000C5A7B">
              <w:rPr>
                <w:sz w:val="18"/>
                <w:szCs w:val="20"/>
                <w:lang w:eastAsia="en-AU"/>
              </w:rPr>
              <w:t>LGBTIQA+ </w:t>
            </w:r>
          </w:p>
        </w:tc>
        <w:tc>
          <w:tcPr>
            <w:tcW w:w="7784" w:type="dxa"/>
            <w:hideMark/>
          </w:tcPr>
          <w:p w14:paraId="38A039F4" w14:textId="77777777" w:rsidR="008B1824" w:rsidRPr="000C5A7B" w:rsidRDefault="008B1824" w:rsidP="007E0AFE">
            <w:pPr>
              <w:spacing w:before="0" w:after="0" w:line="264" w:lineRule="auto"/>
              <w:rPr>
                <w:sz w:val="18"/>
                <w:szCs w:val="20"/>
                <w:lang w:eastAsia="en-AU"/>
              </w:rPr>
            </w:pPr>
            <w:r w:rsidRPr="000C5A7B">
              <w:rPr>
                <w:sz w:val="18"/>
                <w:szCs w:val="20"/>
                <w:lang w:eastAsia="en-AU"/>
              </w:rPr>
              <w:t>People who identify as lesbian, gay, bisexual, transgender, intersex, queer/questioning, asexual and include a broad spectrum of other sexual or gender identities </w:t>
            </w:r>
          </w:p>
        </w:tc>
      </w:tr>
      <w:tr w:rsidR="008B1824" w:rsidRPr="000C5A7B" w14:paraId="481EC0E4" w14:textId="77777777" w:rsidTr="006A2BDB">
        <w:trPr>
          <w:trHeight w:val="313"/>
        </w:trPr>
        <w:tc>
          <w:tcPr>
            <w:tcW w:w="1980" w:type="dxa"/>
          </w:tcPr>
          <w:p w14:paraId="160A21E1" w14:textId="09B2240A" w:rsidR="008B1824" w:rsidRPr="000C5A7B" w:rsidRDefault="008B1824" w:rsidP="007E0AFE">
            <w:pPr>
              <w:spacing w:before="0" w:after="0" w:line="264" w:lineRule="auto"/>
              <w:rPr>
                <w:sz w:val="18"/>
                <w:szCs w:val="20"/>
                <w:lang w:eastAsia="en-AU"/>
              </w:rPr>
            </w:pPr>
            <w:r w:rsidRPr="000C5A7B">
              <w:rPr>
                <w:sz w:val="18"/>
                <w:szCs w:val="20"/>
                <w:lang w:eastAsia="en-AU"/>
              </w:rPr>
              <w:t xml:space="preserve">National </w:t>
            </w:r>
            <w:r w:rsidR="00834384">
              <w:rPr>
                <w:sz w:val="18"/>
                <w:szCs w:val="20"/>
                <w:lang w:eastAsia="en-AU"/>
              </w:rPr>
              <w:t xml:space="preserve">Action </w:t>
            </w:r>
            <w:r w:rsidRPr="000C5A7B">
              <w:rPr>
                <w:sz w:val="18"/>
                <w:szCs w:val="20"/>
                <w:lang w:eastAsia="en-AU"/>
              </w:rPr>
              <w:t>Plan </w:t>
            </w:r>
          </w:p>
        </w:tc>
        <w:tc>
          <w:tcPr>
            <w:tcW w:w="7784" w:type="dxa"/>
          </w:tcPr>
          <w:p w14:paraId="1DC27567" w14:textId="3738D6D6" w:rsidR="008B1824" w:rsidRPr="000C5A7B" w:rsidRDefault="008B1824" w:rsidP="007E0AFE">
            <w:pPr>
              <w:spacing w:before="0" w:after="0" w:line="264" w:lineRule="auto"/>
              <w:rPr>
                <w:sz w:val="18"/>
                <w:szCs w:val="20"/>
              </w:rPr>
            </w:pPr>
            <w:r w:rsidRPr="000C5A7B">
              <w:rPr>
                <w:sz w:val="18"/>
                <w:szCs w:val="20"/>
              </w:rPr>
              <w:t xml:space="preserve">The </w:t>
            </w:r>
            <w:r w:rsidRPr="000C5A7B">
              <w:rPr>
                <w:i/>
                <w:sz w:val="18"/>
                <w:szCs w:val="20"/>
              </w:rPr>
              <w:t xml:space="preserve">National Action Plan to Combat </w:t>
            </w:r>
            <w:r w:rsidR="4787741B" w:rsidRPr="000C5A7B">
              <w:rPr>
                <w:i/>
                <w:iCs/>
                <w:sz w:val="18"/>
                <w:szCs w:val="20"/>
              </w:rPr>
              <w:t xml:space="preserve">Human Trafficking and </w:t>
            </w:r>
            <w:r w:rsidRPr="000C5A7B">
              <w:rPr>
                <w:i/>
                <w:sz w:val="18"/>
                <w:szCs w:val="20"/>
              </w:rPr>
              <w:t>Modern Slavery 2020-25</w:t>
            </w:r>
          </w:p>
        </w:tc>
      </w:tr>
      <w:tr w:rsidR="00C327F5" w:rsidRPr="000C5A7B" w14:paraId="5B661487" w14:textId="77777777" w:rsidTr="006A2BDB">
        <w:trPr>
          <w:trHeight w:val="313"/>
        </w:trPr>
        <w:tc>
          <w:tcPr>
            <w:tcW w:w="1980" w:type="dxa"/>
          </w:tcPr>
          <w:p w14:paraId="63CCB220" w14:textId="66DDAF90" w:rsidR="00C327F5" w:rsidRPr="000C5A7B" w:rsidRDefault="008D4881" w:rsidP="007E0AFE">
            <w:pPr>
              <w:spacing w:before="0" w:after="0" w:line="264" w:lineRule="auto"/>
              <w:rPr>
                <w:sz w:val="18"/>
                <w:szCs w:val="20"/>
                <w:lang w:eastAsia="en-AU"/>
              </w:rPr>
            </w:pPr>
            <w:r w:rsidRPr="000C5A7B">
              <w:rPr>
                <w:sz w:val="18"/>
                <w:szCs w:val="20"/>
                <w:lang w:eastAsia="en-AU"/>
              </w:rPr>
              <w:t>O</w:t>
            </w:r>
            <w:r w:rsidR="00F725A9" w:rsidRPr="000C5A7B">
              <w:rPr>
                <w:sz w:val="18"/>
                <w:szCs w:val="20"/>
                <w:lang w:eastAsia="en-AU"/>
              </w:rPr>
              <w:t>HCHR</w:t>
            </w:r>
          </w:p>
        </w:tc>
        <w:tc>
          <w:tcPr>
            <w:tcW w:w="7784" w:type="dxa"/>
          </w:tcPr>
          <w:p w14:paraId="3EDA651E" w14:textId="49C2FCE0" w:rsidR="00C327F5" w:rsidRPr="000C5A7B" w:rsidRDefault="00C327F5" w:rsidP="007E0AFE">
            <w:pPr>
              <w:spacing w:before="0" w:after="0" w:line="264" w:lineRule="auto"/>
              <w:rPr>
                <w:sz w:val="18"/>
                <w:szCs w:val="20"/>
              </w:rPr>
            </w:pPr>
            <w:r w:rsidRPr="000C5A7B">
              <w:rPr>
                <w:sz w:val="18"/>
                <w:szCs w:val="20"/>
              </w:rPr>
              <w:t>Office of the United Nations High Commissioner for Human Rights</w:t>
            </w:r>
          </w:p>
        </w:tc>
      </w:tr>
      <w:tr w:rsidR="008B1824" w:rsidRPr="000C5A7B" w14:paraId="7CED958A" w14:textId="77777777" w:rsidTr="006A2BDB">
        <w:trPr>
          <w:trHeight w:val="70"/>
        </w:trPr>
        <w:tc>
          <w:tcPr>
            <w:tcW w:w="1980" w:type="dxa"/>
          </w:tcPr>
          <w:p w14:paraId="5EDAC7D0" w14:textId="77777777" w:rsidR="008B1824" w:rsidRPr="000C5A7B" w:rsidRDefault="008B1824" w:rsidP="007E0AFE">
            <w:pPr>
              <w:spacing w:before="0" w:after="0" w:line="264" w:lineRule="auto"/>
              <w:rPr>
                <w:sz w:val="18"/>
                <w:szCs w:val="20"/>
                <w:lang w:eastAsia="en-AU"/>
              </w:rPr>
            </w:pPr>
            <w:r w:rsidRPr="000C5A7B">
              <w:rPr>
                <w:sz w:val="18"/>
                <w:szCs w:val="20"/>
                <w:lang w:eastAsia="en-AU"/>
              </w:rPr>
              <w:t>Participant</w:t>
            </w:r>
          </w:p>
        </w:tc>
        <w:tc>
          <w:tcPr>
            <w:tcW w:w="7784" w:type="dxa"/>
          </w:tcPr>
          <w:p w14:paraId="0A30605D" w14:textId="77777777" w:rsidR="008B1824" w:rsidRPr="000C5A7B" w:rsidRDefault="008B1824" w:rsidP="007E0AFE">
            <w:pPr>
              <w:spacing w:before="0" w:after="0" w:line="264" w:lineRule="auto"/>
              <w:rPr>
                <w:sz w:val="18"/>
                <w:szCs w:val="20"/>
                <w:lang w:eastAsia="en-AU"/>
              </w:rPr>
            </w:pPr>
            <w:r w:rsidRPr="000C5A7B">
              <w:rPr>
                <w:sz w:val="18"/>
                <w:szCs w:val="20"/>
                <w:lang w:eastAsia="en-AU"/>
              </w:rPr>
              <w:t>Refers to a person currently or previously enrolled on the STPP</w:t>
            </w:r>
          </w:p>
        </w:tc>
      </w:tr>
      <w:tr w:rsidR="00D740D9" w:rsidRPr="000C5A7B" w14:paraId="09EEA042" w14:textId="77777777" w:rsidTr="006A2BDB">
        <w:trPr>
          <w:trHeight w:val="313"/>
        </w:trPr>
        <w:tc>
          <w:tcPr>
            <w:tcW w:w="1980" w:type="dxa"/>
          </w:tcPr>
          <w:p w14:paraId="336E3DAF" w14:textId="599204E4" w:rsidR="00D740D9" w:rsidRPr="000C5A7B" w:rsidRDefault="00D740D9" w:rsidP="007E0AFE">
            <w:pPr>
              <w:spacing w:before="0" w:after="0" w:line="264" w:lineRule="auto"/>
              <w:rPr>
                <w:sz w:val="18"/>
                <w:szCs w:val="20"/>
                <w:lang w:eastAsia="en-AU"/>
              </w:rPr>
            </w:pPr>
            <w:r>
              <w:rPr>
                <w:sz w:val="18"/>
                <w:szCs w:val="20"/>
                <w:lang w:eastAsia="en-AU"/>
              </w:rPr>
              <w:t>PM&amp;C</w:t>
            </w:r>
          </w:p>
        </w:tc>
        <w:tc>
          <w:tcPr>
            <w:tcW w:w="7784" w:type="dxa"/>
          </w:tcPr>
          <w:p w14:paraId="274129D5" w14:textId="47F05EB9" w:rsidR="00D740D9" w:rsidRPr="000C5A7B" w:rsidRDefault="00D740D9" w:rsidP="007E0AFE">
            <w:pPr>
              <w:spacing w:before="0" w:after="0" w:line="264" w:lineRule="auto"/>
              <w:rPr>
                <w:sz w:val="18"/>
                <w:szCs w:val="20"/>
              </w:rPr>
            </w:pPr>
            <w:r>
              <w:rPr>
                <w:sz w:val="18"/>
                <w:szCs w:val="20"/>
              </w:rPr>
              <w:t>Department of the Prime Minister and Cabinet</w:t>
            </w:r>
          </w:p>
        </w:tc>
      </w:tr>
      <w:tr w:rsidR="008B1824" w:rsidRPr="000C5A7B" w14:paraId="4E585520" w14:textId="77777777" w:rsidTr="006A2BDB">
        <w:trPr>
          <w:trHeight w:val="313"/>
        </w:trPr>
        <w:tc>
          <w:tcPr>
            <w:tcW w:w="1980" w:type="dxa"/>
          </w:tcPr>
          <w:p w14:paraId="418ED375" w14:textId="77777777" w:rsidR="008B1824" w:rsidRPr="000C5A7B" w:rsidRDefault="008B1824" w:rsidP="007E0AFE">
            <w:pPr>
              <w:spacing w:before="0" w:after="0" w:line="264" w:lineRule="auto"/>
              <w:rPr>
                <w:sz w:val="18"/>
                <w:szCs w:val="20"/>
                <w:lang w:eastAsia="en-AU"/>
              </w:rPr>
            </w:pPr>
            <w:r w:rsidRPr="000C5A7B">
              <w:rPr>
                <w:sz w:val="18"/>
                <w:szCs w:val="20"/>
                <w:lang w:eastAsia="en-AU"/>
              </w:rPr>
              <w:t>STPP</w:t>
            </w:r>
          </w:p>
        </w:tc>
        <w:tc>
          <w:tcPr>
            <w:tcW w:w="7784" w:type="dxa"/>
          </w:tcPr>
          <w:p w14:paraId="1F5300F4" w14:textId="77777777" w:rsidR="008B1824" w:rsidRPr="000C5A7B" w:rsidRDefault="008B1824" w:rsidP="007E0AFE">
            <w:pPr>
              <w:spacing w:before="0" w:after="0" w:line="264" w:lineRule="auto"/>
              <w:rPr>
                <w:sz w:val="18"/>
                <w:szCs w:val="20"/>
              </w:rPr>
            </w:pPr>
            <w:r w:rsidRPr="000C5A7B">
              <w:rPr>
                <w:sz w:val="18"/>
                <w:szCs w:val="20"/>
              </w:rPr>
              <w:t>Support for Trafficked People Program</w:t>
            </w:r>
          </w:p>
        </w:tc>
      </w:tr>
    </w:tbl>
    <w:p w14:paraId="087A9CFD" w14:textId="77777777" w:rsidR="006A2BDB" w:rsidRDefault="006A2BDB" w:rsidP="007E0AFE">
      <w:bookmarkStart w:id="4" w:name="_Toc201908102"/>
      <w:bookmarkStart w:id="5" w:name="_Toc183712674"/>
      <w:bookmarkStart w:id="6" w:name="_Toc183876500"/>
      <w:bookmarkStart w:id="7" w:name="_Toc183030627"/>
      <w:bookmarkStart w:id="8" w:name="_Toc127122825"/>
    </w:p>
    <w:p w14:paraId="0ED60851" w14:textId="77777777" w:rsidR="006A2BDB" w:rsidRDefault="006A2BDB" w:rsidP="007E0AFE">
      <w:pPr>
        <w:spacing w:before="0" w:after="160" w:line="259" w:lineRule="auto"/>
        <w:rPr>
          <w:rFonts w:asciiTheme="majorHAnsi" w:eastAsiaTheme="majorEastAsia" w:hAnsiTheme="majorHAnsi" w:cstheme="majorBidi"/>
          <w:color w:val="425563" w:themeColor="text1"/>
          <w:sz w:val="44"/>
          <w:szCs w:val="32"/>
          <w:lang w:eastAsia="en-AU"/>
        </w:rPr>
      </w:pPr>
      <w:r>
        <w:br w:type="page"/>
      </w:r>
    </w:p>
    <w:p w14:paraId="0BC9D313" w14:textId="12E135A4" w:rsidR="00BC2D02" w:rsidRPr="00FF1848" w:rsidRDefault="00BC2D02" w:rsidP="007E0AFE">
      <w:pPr>
        <w:pStyle w:val="Heading2"/>
      </w:pPr>
      <w:r w:rsidRPr="00FF1848">
        <w:lastRenderedPageBreak/>
        <w:t>Executive summary</w:t>
      </w:r>
      <w:r w:rsidR="00712ECD" w:rsidRPr="00FF1848">
        <w:t xml:space="preserve"> </w:t>
      </w:r>
      <w:bookmarkEnd w:id="4"/>
    </w:p>
    <w:p w14:paraId="2D460DF5" w14:textId="44E7425B" w:rsidR="0008034F" w:rsidRPr="00FE22B1" w:rsidRDefault="0008034F" w:rsidP="00FE22B1">
      <w:pPr>
        <w:pStyle w:val="Heading3"/>
        <w:rPr>
          <w:sz w:val="32"/>
          <w:szCs w:val="32"/>
        </w:rPr>
      </w:pPr>
      <w:r w:rsidRPr="00FE22B1">
        <w:rPr>
          <w:sz w:val="32"/>
          <w:szCs w:val="32"/>
        </w:rPr>
        <w:t>Support for Trafficked People Program and Additional Referral Pathway</w:t>
      </w:r>
      <w:r w:rsidR="00D954CB" w:rsidRPr="00FE22B1">
        <w:rPr>
          <w:sz w:val="32"/>
          <w:szCs w:val="32"/>
        </w:rPr>
        <w:t xml:space="preserve"> </w:t>
      </w:r>
    </w:p>
    <w:p w14:paraId="67898E69" w14:textId="276B1250" w:rsidR="000C5B10" w:rsidRDefault="000C5B10" w:rsidP="007E0AFE">
      <w:r w:rsidRPr="00EB3E36">
        <w:t>Slavery and slavery-like practices, including human trafficking and modern slavery</w:t>
      </w:r>
      <w:r>
        <w:t xml:space="preserve"> (HTMS)</w:t>
      </w:r>
      <w:r w:rsidRPr="00EB3E36">
        <w:t>, affect millions of people globally. According to the 2021 Global Estimates report, 50 million people (or one in every 150 people in the world) are victims</w:t>
      </w:r>
      <w:r>
        <w:t xml:space="preserve"> and survivors</w:t>
      </w:r>
      <w:r w:rsidRPr="00EB3E36">
        <w:t xml:space="preserve"> of modern slavery on any given day.</w:t>
      </w:r>
      <w:r w:rsidR="0068527E">
        <w:rPr>
          <w:rStyle w:val="FootnoteReference"/>
        </w:rPr>
        <w:footnoteReference w:id="2"/>
      </w:r>
      <w:r w:rsidRPr="00EB3E36">
        <w:t xml:space="preserve"> Women and girls are disproportionately affected and </w:t>
      </w:r>
      <w:r>
        <w:t xml:space="preserve">are estimated to </w:t>
      </w:r>
      <w:r w:rsidRPr="00EB3E36">
        <w:t>make up more than 70 percent of victims and survivors.</w:t>
      </w:r>
      <w:r w:rsidR="0016600E">
        <w:rPr>
          <w:rStyle w:val="FootnoteReference"/>
        </w:rPr>
        <w:footnoteReference w:id="3"/>
      </w:r>
      <w:r w:rsidRPr="00EB3E36">
        <w:t xml:space="preserve"> </w:t>
      </w:r>
      <w:r w:rsidRPr="0008034F">
        <w:t xml:space="preserve">  </w:t>
      </w:r>
    </w:p>
    <w:p w14:paraId="4BA3D21C" w14:textId="43ADE418" w:rsidR="0008034F" w:rsidRPr="00EB3E36" w:rsidRDefault="000C5B10" w:rsidP="007E0AFE">
      <w:r w:rsidRPr="0008034F">
        <w:t>Australia's commitment to comba</w:t>
      </w:r>
      <w:r w:rsidR="00FF1848">
        <w:t>t</w:t>
      </w:r>
      <w:r w:rsidRPr="0008034F">
        <w:t>ting</w:t>
      </w:r>
      <w:r>
        <w:t xml:space="preserve"> HTMS </w:t>
      </w:r>
      <w:r w:rsidRPr="00EB3E36">
        <w:t>encompass</w:t>
      </w:r>
      <w:r w:rsidR="00FF1848">
        <w:t>es</w:t>
      </w:r>
      <w:r w:rsidRPr="00EB3E36">
        <w:t xml:space="preserve"> prevention, protection, and prosecution; aimed at disrupting trafficking networks while providing robust support systems for survivors.</w:t>
      </w:r>
      <w:r w:rsidR="0016600E">
        <w:rPr>
          <w:rStyle w:val="FootnoteReference"/>
        </w:rPr>
        <w:footnoteReference w:id="4"/>
      </w:r>
      <w:r>
        <w:t xml:space="preserve"> </w:t>
      </w:r>
      <w:r w:rsidR="0008034F">
        <w:t>The</w:t>
      </w:r>
      <w:r w:rsidR="0008034F" w:rsidRPr="0008034F">
        <w:t xml:space="preserve"> </w:t>
      </w:r>
      <w:r>
        <w:t>Support for Trafficked People Program (</w:t>
      </w:r>
      <w:r w:rsidR="0008034F">
        <w:t>STPP</w:t>
      </w:r>
      <w:r>
        <w:t>)</w:t>
      </w:r>
      <w:r w:rsidR="0008034F">
        <w:t xml:space="preserve"> </w:t>
      </w:r>
      <w:r w:rsidR="0008034F" w:rsidRPr="00EB3E36">
        <w:t xml:space="preserve">has been an </w:t>
      </w:r>
      <w:r w:rsidR="0008034F" w:rsidRPr="006B1F8A">
        <w:t>integral part of the Australian Government’s strategy to combat</w:t>
      </w:r>
      <w:bookmarkStart w:id="9" w:name="_Hlk171593798"/>
      <w:r w:rsidR="0008034F" w:rsidRPr="006B1F8A">
        <w:t xml:space="preserve"> </w:t>
      </w:r>
      <w:r>
        <w:t>HTMS</w:t>
      </w:r>
      <w:r w:rsidR="0008034F" w:rsidRPr="006B1F8A">
        <w:t xml:space="preserve"> since </w:t>
      </w:r>
      <w:bookmarkEnd w:id="9"/>
      <w:r w:rsidR="0008034F" w:rsidRPr="006B1F8A">
        <w:t xml:space="preserve">its inception in 2004. The program, administered by the </w:t>
      </w:r>
      <w:r w:rsidR="00B44F6C">
        <w:t>D</w:t>
      </w:r>
      <w:r w:rsidR="0008034F" w:rsidRPr="006B1F8A">
        <w:t xml:space="preserve">epartment of Social Services </w:t>
      </w:r>
      <w:r w:rsidR="00B44F6C">
        <w:t xml:space="preserve">(DSS) </w:t>
      </w:r>
      <w:r w:rsidR="0008034F" w:rsidRPr="006B1F8A">
        <w:t>and delivered by the Australian Red Cross since 2009, offers comprehensive support and assistance to victims and survivors of human trafficking, slavery, and related practices who meet specific eligibility criteria.</w:t>
      </w:r>
      <w:r w:rsidR="0008034F">
        <w:t xml:space="preserve"> </w:t>
      </w:r>
      <w:r w:rsidR="0008034F" w:rsidRPr="003C0C36">
        <w:t>The</w:t>
      </w:r>
      <w:r w:rsidR="0008034F">
        <w:t xml:space="preserve"> Additional Referral Pathway (ARP) </w:t>
      </w:r>
      <w:r w:rsidR="0008034F" w:rsidRPr="003C0C36">
        <w:t>pilot</w:t>
      </w:r>
      <w:r w:rsidR="0008034F">
        <w:t xml:space="preserve">, delivered by </w:t>
      </w:r>
      <w:r w:rsidR="002C0D57">
        <w:t xml:space="preserve">a consortium led by </w:t>
      </w:r>
      <w:r w:rsidR="003B7FB9">
        <w:t>T</w:t>
      </w:r>
      <w:r w:rsidR="0008034F">
        <w:t xml:space="preserve">he Salvation </w:t>
      </w:r>
      <w:r w:rsidR="0008034F" w:rsidRPr="00141547">
        <w:t>Army</w:t>
      </w:r>
      <w:r w:rsidR="00111142">
        <w:t>,</w:t>
      </w:r>
      <w:r w:rsidR="0008034F" w:rsidRPr="00141547">
        <w:t xml:space="preserve"> commence</w:t>
      </w:r>
      <w:r w:rsidR="00B5004B" w:rsidRPr="00F323B1">
        <w:t>d</w:t>
      </w:r>
      <w:r w:rsidR="0008034F" w:rsidRPr="00141547">
        <w:t xml:space="preserve"> in July</w:t>
      </w:r>
      <w:r w:rsidR="00141547" w:rsidRPr="00F323B1">
        <w:t xml:space="preserve"> </w:t>
      </w:r>
      <w:r w:rsidR="00B5004B" w:rsidRPr="00141547">
        <w:t>2024</w:t>
      </w:r>
      <w:r w:rsidR="0008034F" w:rsidRPr="00141547">
        <w:t xml:space="preserve"> and</w:t>
      </w:r>
      <w:r w:rsidR="0008034F">
        <w:t xml:space="preserve"> </w:t>
      </w:r>
      <w:r w:rsidR="0008034F" w:rsidRPr="003C0C36">
        <w:t>will run until November 2025</w:t>
      </w:r>
      <w:r w:rsidR="0008034F">
        <w:t xml:space="preserve">. The pilot </w:t>
      </w:r>
      <w:r>
        <w:t>enables</w:t>
      </w:r>
      <w:r w:rsidR="0008034F" w:rsidRPr="003C0C36">
        <w:t xml:space="preserve"> referrals to the STPP without having to engage with </w:t>
      </w:r>
      <w:r w:rsidR="0008034F">
        <w:t xml:space="preserve">the Australian Federal </w:t>
      </w:r>
      <w:r w:rsidR="0008034F" w:rsidRPr="003C0C36">
        <w:t>P</w:t>
      </w:r>
      <w:r w:rsidR="0008034F">
        <w:t>olice (AFP)</w:t>
      </w:r>
      <w:r w:rsidR="0008034F" w:rsidRPr="003C0C36">
        <w:t xml:space="preserve">. </w:t>
      </w:r>
    </w:p>
    <w:p w14:paraId="5E0349EE" w14:textId="1FD5BA4C" w:rsidR="005E7F7E" w:rsidRPr="00FE22B1" w:rsidRDefault="00B44F6C" w:rsidP="00FE22B1">
      <w:pPr>
        <w:pStyle w:val="Heading3"/>
        <w:rPr>
          <w:sz w:val="32"/>
          <w:szCs w:val="32"/>
        </w:rPr>
      </w:pPr>
      <w:bookmarkStart w:id="10" w:name="_Toc201908103"/>
      <w:r w:rsidRPr="00FE22B1">
        <w:rPr>
          <w:sz w:val="32"/>
          <w:szCs w:val="32"/>
        </w:rPr>
        <w:t>This evaluation</w:t>
      </w:r>
      <w:bookmarkEnd w:id="10"/>
      <w:r w:rsidRPr="00FE22B1">
        <w:rPr>
          <w:sz w:val="32"/>
          <w:szCs w:val="32"/>
        </w:rPr>
        <w:t xml:space="preserve"> </w:t>
      </w:r>
    </w:p>
    <w:p w14:paraId="2739A382" w14:textId="59301426" w:rsidR="00D568ED" w:rsidRDefault="005E7F7E" w:rsidP="007E0AFE">
      <w:pPr>
        <w:rPr>
          <w:lang w:eastAsia="en-AU"/>
        </w:rPr>
      </w:pPr>
      <w:r w:rsidRPr="00BB69D6">
        <w:t xml:space="preserve">In 2024 </w:t>
      </w:r>
      <w:r w:rsidR="006B74FE" w:rsidRPr="00BB69D6">
        <w:t>DSS</w:t>
      </w:r>
      <w:r w:rsidRPr="00BB69D6">
        <w:t xml:space="preserve"> commissioned Where</w:t>
      </w:r>
      <w:r w:rsidRPr="00F03A70">
        <w:rPr>
          <w:i/>
        </w:rPr>
        <w:t>to</w:t>
      </w:r>
      <w:r w:rsidRPr="00BB69D6">
        <w:t xml:space="preserve"> to undertake an evaluation of </w:t>
      </w:r>
      <w:r w:rsidRPr="00141547">
        <w:t xml:space="preserve">the </w:t>
      </w:r>
      <w:r w:rsidR="006B74FE" w:rsidRPr="00BB69D6">
        <w:t>STP</w:t>
      </w:r>
      <w:r w:rsidR="001734B2">
        <w:t>P</w:t>
      </w:r>
      <w:r w:rsidRPr="00141547">
        <w:t xml:space="preserve"> an</w:t>
      </w:r>
      <w:r w:rsidRPr="00BB69D6">
        <w:t>d ARP</w:t>
      </w:r>
      <w:r w:rsidR="006B74FE" w:rsidRPr="00BB69D6">
        <w:t>, assessing</w:t>
      </w:r>
      <w:r w:rsidRPr="00F323B1">
        <w:t xml:space="preserve"> effectiveness, efficiency and appropriateness for the STPP and implementation and outcomes effectiveness for the ARP.</w:t>
      </w:r>
      <w:r w:rsidR="00532E60">
        <w:t xml:space="preserve"> </w:t>
      </w:r>
      <w:r w:rsidR="000C5B10" w:rsidRPr="00F323B1">
        <w:t>Th</w:t>
      </w:r>
      <w:r w:rsidR="000C5B10">
        <w:t>e</w:t>
      </w:r>
      <w:r w:rsidR="00836F84" w:rsidRPr="00F323B1">
        <w:t xml:space="preserve"> mixed-methods </w:t>
      </w:r>
      <w:r w:rsidR="00D10F89" w:rsidRPr="00F323B1">
        <w:t xml:space="preserve">evaluation </w:t>
      </w:r>
      <w:r w:rsidR="00D10F89" w:rsidRPr="00BB69D6">
        <w:t>collected</w:t>
      </w:r>
      <w:r w:rsidR="00FF1848">
        <w:t xml:space="preserve"> and analysed</w:t>
      </w:r>
      <w:r w:rsidR="00836F84" w:rsidRPr="00F323B1">
        <w:t xml:space="preserve"> qualitative data </w:t>
      </w:r>
      <w:r w:rsidR="00D10F89" w:rsidRPr="00BB69D6">
        <w:t>(with feedback provided by 42 program participants, 32 program provider/delivery partner staff</w:t>
      </w:r>
      <w:r w:rsidR="000A6C8C" w:rsidRPr="00BB69D6">
        <w:t xml:space="preserve">, </w:t>
      </w:r>
      <w:r w:rsidR="00656434" w:rsidRPr="00BB69D6">
        <w:t xml:space="preserve">17 </w:t>
      </w:r>
      <w:r w:rsidR="00D61B04">
        <w:t xml:space="preserve">organisations who </w:t>
      </w:r>
      <w:r w:rsidR="003563AD">
        <w:t>receive referrals from</w:t>
      </w:r>
      <w:r w:rsidR="00006697">
        <w:t>,</w:t>
      </w:r>
      <w:r w:rsidR="003563AD">
        <w:t xml:space="preserve"> or </w:t>
      </w:r>
      <w:r w:rsidR="00656434" w:rsidRPr="00BB69D6">
        <w:t>refer to</w:t>
      </w:r>
      <w:r w:rsidR="00006697">
        <w:t>,</w:t>
      </w:r>
      <w:r w:rsidR="00656434" w:rsidRPr="00BB69D6">
        <w:t xml:space="preserve"> the </w:t>
      </w:r>
      <w:r w:rsidR="00006697">
        <w:t>STPP</w:t>
      </w:r>
      <w:r w:rsidR="00593BC0">
        <w:t>/</w:t>
      </w:r>
      <w:r w:rsidR="00006697">
        <w:t>ARP</w:t>
      </w:r>
      <w:r w:rsidR="00656434" w:rsidRPr="00BB69D6">
        <w:t xml:space="preserve"> and 22 </w:t>
      </w:r>
      <w:r w:rsidR="00D10F89" w:rsidRPr="00BB69D6">
        <w:t>government officials</w:t>
      </w:r>
      <w:r w:rsidR="00656434" w:rsidRPr="00BB69D6">
        <w:t xml:space="preserve">), </w:t>
      </w:r>
      <w:r w:rsidR="00836F84" w:rsidRPr="00BB69D6">
        <w:t xml:space="preserve">administrative data </w:t>
      </w:r>
      <w:r w:rsidR="00656434" w:rsidRPr="00BB69D6">
        <w:t xml:space="preserve">and </w:t>
      </w:r>
      <w:r w:rsidR="00836F84" w:rsidRPr="00BB69D6">
        <w:t>documentation</w:t>
      </w:r>
      <w:r w:rsidR="00656434" w:rsidRPr="00BB69D6">
        <w:t xml:space="preserve"> and publicly available</w:t>
      </w:r>
      <w:r w:rsidR="00836F84" w:rsidRPr="00BB69D6">
        <w:t xml:space="preserve"> statistical </w:t>
      </w:r>
      <w:r w:rsidR="00656434" w:rsidRPr="00BB69D6">
        <w:t xml:space="preserve">collections.  </w:t>
      </w:r>
      <w:r w:rsidR="00836F84" w:rsidRPr="00BB69D6">
        <w:t xml:space="preserve">The evaluation was conducted between June 2024 and May 2025, and evaluation findings relate to implementation </w:t>
      </w:r>
      <w:r w:rsidR="00593BC0">
        <w:t>to end</w:t>
      </w:r>
      <w:r w:rsidR="00836F84" w:rsidRPr="00BB69D6">
        <w:t xml:space="preserve"> March 2025 (when data collection was finalised).</w:t>
      </w:r>
    </w:p>
    <w:p w14:paraId="68D24BA0" w14:textId="548075AC" w:rsidR="00111DE0" w:rsidRPr="00FE22B1" w:rsidRDefault="00656434" w:rsidP="00FE22B1">
      <w:pPr>
        <w:pStyle w:val="Heading3"/>
        <w:rPr>
          <w:sz w:val="32"/>
          <w:szCs w:val="32"/>
        </w:rPr>
      </w:pPr>
      <w:r w:rsidRPr="00FE22B1">
        <w:rPr>
          <w:sz w:val="32"/>
          <w:szCs w:val="32"/>
          <w:lang w:eastAsia="en-AU"/>
        </w:rPr>
        <w:t>Key findings</w:t>
      </w:r>
    </w:p>
    <w:p w14:paraId="17813A69" w14:textId="5E94EF98" w:rsidR="00FC7B2E" w:rsidRDefault="00FC7B2E" w:rsidP="007E0AFE">
      <w:pPr>
        <w:pStyle w:val="Caption"/>
      </w:pPr>
      <w:r>
        <w:t xml:space="preserve">Table </w:t>
      </w:r>
      <w:r w:rsidR="00FD1F67">
        <w:fldChar w:fldCharType="begin"/>
      </w:r>
      <w:r w:rsidR="00FD1F67">
        <w:instrText xml:space="preserve"> SEQ Table \* ARABIC </w:instrText>
      </w:r>
      <w:r w:rsidR="00FD1F67">
        <w:fldChar w:fldCharType="separate"/>
      </w:r>
      <w:r w:rsidR="00D9323B">
        <w:rPr>
          <w:noProof/>
        </w:rPr>
        <w:t>2</w:t>
      </w:r>
      <w:r w:rsidR="00FD1F67">
        <w:rPr>
          <w:noProof/>
        </w:rPr>
        <w:fldChar w:fldCharType="end"/>
      </w:r>
      <w:r>
        <w:t>. Key findings</w:t>
      </w:r>
      <w:r w:rsidR="006219FC">
        <w:t xml:space="preserve"> (1 of </w:t>
      </w:r>
      <w:r w:rsidR="0026343C">
        <w:t>5</w:t>
      </w:r>
      <w:r w:rsidR="006219FC">
        <w:t>)</w:t>
      </w:r>
      <w:r w:rsidR="00300FC3">
        <w:t>: Access</w:t>
      </w:r>
    </w:p>
    <w:tbl>
      <w:tblPr>
        <w:tblStyle w:val="TableGrid"/>
        <w:tblW w:w="5000" w:type="pct"/>
        <w:tblLook w:val="04A0" w:firstRow="1" w:lastRow="0" w:firstColumn="1" w:lastColumn="0" w:noHBand="0" w:noVBand="1"/>
      </w:tblPr>
      <w:tblGrid>
        <w:gridCol w:w="3256"/>
        <w:gridCol w:w="7201"/>
      </w:tblGrid>
      <w:tr w:rsidR="00300FC3" w14:paraId="2F7FE278" w14:textId="77777777" w:rsidTr="0026343C">
        <w:trPr>
          <w:cantSplit/>
          <w:trHeight w:val="287"/>
          <w:tblHeader/>
        </w:trPr>
        <w:tc>
          <w:tcPr>
            <w:tcW w:w="1557" w:type="pct"/>
            <w:shd w:val="clear" w:color="auto" w:fill="425563" w:themeFill="text1"/>
            <w:vAlign w:val="center"/>
          </w:tcPr>
          <w:p w14:paraId="1A299E62" w14:textId="58927BFE" w:rsidR="00300FC3" w:rsidRPr="009F5EF1" w:rsidRDefault="006B473F" w:rsidP="00AD7761">
            <w:pPr>
              <w:pStyle w:val="Tableheadwhite"/>
            </w:pPr>
            <w:r>
              <w:t>Key messages</w:t>
            </w:r>
          </w:p>
        </w:tc>
        <w:tc>
          <w:tcPr>
            <w:tcW w:w="3443" w:type="pct"/>
            <w:shd w:val="clear" w:color="auto" w:fill="425563" w:themeFill="text1"/>
            <w:vAlign w:val="center"/>
          </w:tcPr>
          <w:p w14:paraId="49ADE6E6" w14:textId="77777777" w:rsidR="00300FC3" w:rsidRPr="009F5EF1" w:rsidRDefault="00300FC3" w:rsidP="00AD7761">
            <w:pPr>
              <w:pStyle w:val="Tableheadwhite"/>
            </w:pPr>
            <w:r>
              <w:t>Findings</w:t>
            </w:r>
          </w:p>
        </w:tc>
      </w:tr>
      <w:tr w:rsidR="00300FC3" w14:paraId="017DD14A" w14:textId="77777777" w:rsidTr="00AD7761">
        <w:trPr>
          <w:cantSplit/>
        </w:trPr>
        <w:tc>
          <w:tcPr>
            <w:tcW w:w="1557" w:type="pct"/>
            <w:shd w:val="clear" w:color="auto" w:fill="F6F9F7"/>
          </w:tcPr>
          <w:p w14:paraId="581FD20F"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Key message 1.</w:t>
            </w:r>
          </w:p>
          <w:p w14:paraId="57CA79B1" w14:textId="77777777" w:rsidR="00300FC3" w:rsidRDefault="00300FC3" w:rsidP="00AD7761">
            <w:pPr>
              <w:widowControl w:val="0"/>
            </w:pPr>
            <w:r>
              <w:t xml:space="preserve">The STPP is supporting increased numbers of people with HTMS experiences </w:t>
            </w:r>
          </w:p>
        </w:tc>
        <w:tc>
          <w:tcPr>
            <w:tcW w:w="3443" w:type="pct"/>
          </w:tcPr>
          <w:p w14:paraId="0DAB58E4" w14:textId="77777777" w:rsidR="00300FC3" w:rsidRPr="001701E6" w:rsidRDefault="00300FC3" w:rsidP="00300FC3">
            <w:pPr>
              <w:pStyle w:val="Tabledot2"/>
            </w:pPr>
            <w:r w:rsidRPr="001701E6">
              <w:t>The STPP has supported significantly more participants in recent years, with an 85% increase in caseload from FY19 to FY24. Lack of prevalence data means the evaluation can’t comment on the gap between people supported and population of people with HTMS experiences, however estimates suggest this is likely to be significant.</w:t>
            </w:r>
          </w:p>
        </w:tc>
      </w:tr>
      <w:tr w:rsidR="00300FC3" w14:paraId="7FA91504" w14:textId="77777777" w:rsidTr="00AD7761">
        <w:trPr>
          <w:cantSplit/>
        </w:trPr>
        <w:tc>
          <w:tcPr>
            <w:tcW w:w="1557" w:type="pct"/>
            <w:shd w:val="clear" w:color="auto" w:fill="F6F9F7"/>
          </w:tcPr>
          <w:p w14:paraId="52D2A8AC"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Key message 2.</w:t>
            </w:r>
          </w:p>
          <w:p w14:paraId="769DAF71" w14:textId="77777777" w:rsidR="00300FC3" w:rsidRPr="00DE4AED" w:rsidRDefault="00300FC3" w:rsidP="00AD7761">
            <w:pPr>
              <w:rPr>
                <w:rFonts w:asciiTheme="majorHAnsi" w:hAnsiTheme="majorHAnsi"/>
              </w:rPr>
            </w:pPr>
            <w:r>
              <w:t>Lack of understanding of HTMS in the community limits referral to the STPP</w:t>
            </w:r>
          </w:p>
        </w:tc>
        <w:tc>
          <w:tcPr>
            <w:tcW w:w="3443" w:type="pct"/>
          </w:tcPr>
          <w:p w14:paraId="1A606901" w14:textId="77777777" w:rsidR="00300FC3" w:rsidRPr="00F323B1" w:rsidRDefault="00300FC3" w:rsidP="00300FC3">
            <w:pPr>
              <w:pStyle w:val="Tabledot2"/>
            </w:pPr>
            <w:r w:rsidRPr="00F323B1">
              <w:t>Stakeholders report that increased capacity to identify and respond to people with HTMS experiences in the community and adjacent service sector</w:t>
            </w:r>
            <w:r>
              <w:t>s</w:t>
            </w:r>
            <w:r w:rsidRPr="00F323B1">
              <w:t xml:space="preserve"> would strengthen referrals to the STPP</w:t>
            </w:r>
            <w:r>
              <w:t>, including via the ARP</w:t>
            </w:r>
            <w:r w:rsidRPr="00F323B1">
              <w:t xml:space="preserve">. There are opportunities to improve promotion of the STPP </w:t>
            </w:r>
            <w:r>
              <w:t>and</w:t>
            </w:r>
            <w:r w:rsidRPr="00F323B1">
              <w:t xml:space="preserve"> community understanding of HTMS and relevant supports.</w:t>
            </w:r>
          </w:p>
        </w:tc>
      </w:tr>
      <w:tr w:rsidR="00300FC3" w14:paraId="4CBAB63B" w14:textId="77777777" w:rsidTr="00AD7761">
        <w:trPr>
          <w:cantSplit/>
        </w:trPr>
        <w:tc>
          <w:tcPr>
            <w:tcW w:w="1557" w:type="pct"/>
            <w:shd w:val="clear" w:color="auto" w:fill="F6F9F7"/>
          </w:tcPr>
          <w:p w14:paraId="14982980"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lastRenderedPageBreak/>
              <w:t>Key message 3.</w:t>
            </w:r>
          </w:p>
          <w:p w14:paraId="2C7CCE78" w14:textId="77777777" w:rsidR="00300FC3" w:rsidRPr="00DE4AED" w:rsidRDefault="00300FC3" w:rsidP="00AD7761">
            <w:pPr>
              <w:rPr>
                <w:rFonts w:asciiTheme="majorHAnsi" w:hAnsiTheme="majorHAnsi"/>
              </w:rPr>
            </w:pPr>
            <w:r>
              <w:t xml:space="preserve">The ARP is strengthening equitable access to the STPP and the alternative service sector for people with HTMS experiences </w:t>
            </w:r>
          </w:p>
        </w:tc>
        <w:tc>
          <w:tcPr>
            <w:tcW w:w="3443" w:type="pct"/>
          </w:tcPr>
          <w:p w14:paraId="4B09A98F" w14:textId="77777777" w:rsidR="00300FC3" w:rsidRPr="008A2E8A" w:rsidRDefault="00300FC3" w:rsidP="00300FC3">
            <w:pPr>
              <w:pStyle w:val="Tabledot2"/>
            </w:pPr>
            <w:r w:rsidRPr="00290FA7">
              <w:t xml:space="preserve">Early evidence suggests that the ARP will be effective in increasing equitable access because this removes the requirement for initial engagement with the AFP and because of the </w:t>
            </w:r>
            <w:r>
              <w:t xml:space="preserve">service </w:t>
            </w:r>
            <w:r w:rsidRPr="00290FA7">
              <w:t xml:space="preserve">expertise and </w:t>
            </w:r>
            <w:r>
              <w:t xml:space="preserve">community </w:t>
            </w:r>
            <w:r w:rsidRPr="00290FA7">
              <w:t xml:space="preserve">networks </w:t>
            </w:r>
            <w:r>
              <w:t>held by the consortium. Where people are not eligible for the STPP, the ARP provides a pathway to alternative support.</w:t>
            </w:r>
            <w:r w:rsidRPr="00290FA7">
              <w:t xml:space="preserve"> Providing ongoing funding for this referral channel is advised.</w:t>
            </w:r>
            <w:r w:rsidRPr="00290FA7">
              <w:rPr>
                <w:rStyle w:val="FootnoteReference"/>
                <w:sz w:val="19"/>
                <w:szCs w:val="19"/>
              </w:rPr>
              <w:footnoteReference w:id="5"/>
            </w:r>
            <w:r w:rsidRPr="00F323B1">
              <w:t xml:space="preserve"> </w:t>
            </w:r>
          </w:p>
        </w:tc>
      </w:tr>
      <w:tr w:rsidR="00300FC3" w14:paraId="11AAA61C" w14:textId="77777777" w:rsidTr="00AD7761">
        <w:trPr>
          <w:cantSplit/>
        </w:trPr>
        <w:tc>
          <w:tcPr>
            <w:tcW w:w="1557" w:type="pct"/>
            <w:shd w:val="clear" w:color="auto" w:fill="F6F9F7"/>
          </w:tcPr>
          <w:p w14:paraId="31EDC2C3"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Key message 4.</w:t>
            </w:r>
          </w:p>
          <w:p w14:paraId="095577B4" w14:textId="77777777" w:rsidR="00300FC3" w:rsidRDefault="00300FC3" w:rsidP="00AD7761">
            <w:r>
              <w:t xml:space="preserve">There is not a clear trendline for future demand </w:t>
            </w:r>
          </w:p>
        </w:tc>
        <w:tc>
          <w:tcPr>
            <w:tcW w:w="3443" w:type="pct"/>
          </w:tcPr>
          <w:p w14:paraId="2EDDE518" w14:textId="77777777" w:rsidR="00300FC3" w:rsidRPr="00140740" w:rsidRDefault="00300FC3" w:rsidP="00300FC3">
            <w:pPr>
              <w:pStyle w:val="Tabledot2"/>
            </w:pPr>
            <w:r>
              <w:t>T</w:t>
            </w:r>
            <w:r w:rsidRPr="00140740">
              <w:t>he introduction of a specialist Australian Government forced marriage support program from January 2025 will</w:t>
            </w:r>
            <w:r>
              <w:t xml:space="preserve"> likely </w:t>
            </w:r>
            <w:r w:rsidRPr="00140740">
              <w:t xml:space="preserve">divert some future referrals </w:t>
            </w:r>
            <w:r>
              <w:t xml:space="preserve">from the STPP </w:t>
            </w:r>
            <w:r w:rsidRPr="00140740">
              <w:t xml:space="preserve">to that program. In addition, demand for the STPP </w:t>
            </w:r>
            <w:r w:rsidRPr="006C2BBF">
              <w:t xml:space="preserve">appears at least partly reliant on community awareness of HTMS and operational </w:t>
            </w:r>
            <w:r w:rsidRPr="00140740">
              <w:t>activities by government law enforcement authorities – it is</w:t>
            </w:r>
            <w:r>
              <w:t xml:space="preserve"> un</w:t>
            </w:r>
            <w:r w:rsidRPr="00140740">
              <w:t>clear what this will be in the future. This makes it hard to predict future demand for the STPP</w:t>
            </w:r>
            <w:r>
              <w:t xml:space="preserve"> despite growing referrals via the ARP</w:t>
            </w:r>
            <w:r w:rsidRPr="00140740">
              <w:t xml:space="preserve">. </w:t>
            </w:r>
          </w:p>
        </w:tc>
      </w:tr>
    </w:tbl>
    <w:p w14:paraId="699F0AB6" w14:textId="76F53323" w:rsidR="006B473F" w:rsidRDefault="006B473F" w:rsidP="006B473F">
      <w:pPr>
        <w:pStyle w:val="Caption"/>
      </w:pPr>
      <w:r>
        <w:t xml:space="preserve">Table </w:t>
      </w:r>
      <w:r>
        <w:fldChar w:fldCharType="begin"/>
      </w:r>
      <w:r>
        <w:instrText xml:space="preserve"> SEQ Table \* ARABIC </w:instrText>
      </w:r>
      <w:r>
        <w:fldChar w:fldCharType="separate"/>
      </w:r>
      <w:r w:rsidR="00D9323B">
        <w:rPr>
          <w:noProof/>
        </w:rPr>
        <w:t>3</w:t>
      </w:r>
      <w:r>
        <w:fldChar w:fldCharType="end"/>
      </w:r>
      <w:r>
        <w:t>. Key findings (</w:t>
      </w:r>
      <w:r w:rsidR="0026343C">
        <w:t>2</w:t>
      </w:r>
      <w:r>
        <w:t xml:space="preserve"> of </w:t>
      </w:r>
      <w:r w:rsidR="0026343C">
        <w:t>5</w:t>
      </w:r>
      <w:r>
        <w:t>): Outcomes</w:t>
      </w:r>
    </w:p>
    <w:tbl>
      <w:tblPr>
        <w:tblStyle w:val="TableGrid"/>
        <w:tblW w:w="5000" w:type="pct"/>
        <w:tblLook w:val="04A0" w:firstRow="1" w:lastRow="0" w:firstColumn="1" w:lastColumn="0" w:noHBand="0" w:noVBand="1"/>
      </w:tblPr>
      <w:tblGrid>
        <w:gridCol w:w="3256"/>
        <w:gridCol w:w="7201"/>
      </w:tblGrid>
      <w:tr w:rsidR="00300FC3" w14:paraId="5E1B3813" w14:textId="77777777" w:rsidTr="0026343C">
        <w:trPr>
          <w:cantSplit/>
          <w:tblHeader/>
        </w:trPr>
        <w:tc>
          <w:tcPr>
            <w:tcW w:w="1557" w:type="pct"/>
            <w:shd w:val="clear" w:color="auto" w:fill="425563" w:themeFill="text1"/>
          </w:tcPr>
          <w:p w14:paraId="083C199F" w14:textId="2B0B6875" w:rsidR="00300FC3" w:rsidRPr="00183C9D" w:rsidRDefault="006B473F" w:rsidP="00AD7761">
            <w:pPr>
              <w:pStyle w:val="Tableheadwhite"/>
            </w:pPr>
            <w:r>
              <w:t>Key messages</w:t>
            </w:r>
          </w:p>
        </w:tc>
        <w:tc>
          <w:tcPr>
            <w:tcW w:w="3443" w:type="pct"/>
            <w:shd w:val="clear" w:color="auto" w:fill="425563" w:themeFill="text1"/>
          </w:tcPr>
          <w:p w14:paraId="04AF8F5B" w14:textId="77777777" w:rsidR="00300FC3" w:rsidRPr="00183C9D" w:rsidRDefault="00300FC3" w:rsidP="00AD7761">
            <w:pPr>
              <w:pStyle w:val="Tableheadwhite"/>
            </w:pPr>
            <w:r>
              <w:t>Findings</w:t>
            </w:r>
          </w:p>
        </w:tc>
      </w:tr>
      <w:tr w:rsidR="00300FC3" w14:paraId="346D7192" w14:textId="77777777" w:rsidTr="00AD7761">
        <w:trPr>
          <w:cantSplit/>
        </w:trPr>
        <w:tc>
          <w:tcPr>
            <w:tcW w:w="1557" w:type="pct"/>
            <w:shd w:val="clear" w:color="auto" w:fill="F6F9F7"/>
          </w:tcPr>
          <w:p w14:paraId="55431C93"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 xml:space="preserve">Key message 5. </w:t>
            </w:r>
          </w:p>
          <w:p w14:paraId="0AAC0DEB" w14:textId="77777777" w:rsidR="00300FC3" w:rsidRDefault="00300FC3" w:rsidP="00AD7761">
            <w:r>
              <w:t xml:space="preserve">The STPP is most suited to meeting short-term stabilisation needs </w:t>
            </w:r>
          </w:p>
        </w:tc>
        <w:tc>
          <w:tcPr>
            <w:tcW w:w="3443" w:type="pct"/>
          </w:tcPr>
          <w:p w14:paraId="059EB409" w14:textId="77777777" w:rsidR="00300FC3" w:rsidRPr="00F323B1" w:rsidRDefault="00300FC3" w:rsidP="00300FC3">
            <w:pPr>
              <w:pStyle w:val="Tabledot2"/>
            </w:pPr>
            <w:r>
              <w:t xml:space="preserve">The STPP plays a much-needed role in the Australian HTMS ecosystem, enabling people with HTMS experiences to access a variety of supports. </w:t>
            </w:r>
          </w:p>
        </w:tc>
      </w:tr>
      <w:tr w:rsidR="00300FC3" w14:paraId="1E5374B1" w14:textId="77777777" w:rsidTr="00AD7761">
        <w:trPr>
          <w:cantSplit/>
        </w:trPr>
        <w:tc>
          <w:tcPr>
            <w:tcW w:w="1557" w:type="pct"/>
            <w:shd w:val="clear" w:color="auto" w:fill="F6F9F7"/>
          </w:tcPr>
          <w:p w14:paraId="65AABFA2"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 xml:space="preserve">Key message 5. </w:t>
            </w:r>
          </w:p>
          <w:p w14:paraId="6286A2A2" w14:textId="77777777" w:rsidR="00300FC3" w:rsidRPr="001E72BA" w:rsidRDefault="00300FC3" w:rsidP="00AD7761">
            <w:pPr>
              <w:rPr>
                <w:rFonts w:asciiTheme="majorHAnsi" w:hAnsiTheme="majorHAnsi"/>
                <w:color w:val="425563" w:themeColor="text1"/>
              </w:rPr>
            </w:pPr>
            <w:r>
              <w:t>The STPP is most suited to meeting short-term stabilisation needs</w:t>
            </w:r>
          </w:p>
        </w:tc>
        <w:tc>
          <w:tcPr>
            <w:tcW w:w="3443" w:type="pct"/>
          </w:tcPr>
          <w:p w14:paraId="621A198F" w14:textId="77777777" w:rsidR="00300FC3" w:rsidRDefault="00300FC3" w:rsidP="00300FC3">
            <w:pPr>
              <w:pStyle w:val="Tabledot2"/>
            </w:pPr>
            <w:r w:rsidRPr="00D3780D">
              <w:t xml:space="preserve">STPP participants reported </w:t>
            </w:r>
            <w:proofErr w:type="gramStart"/>
            <w:r w:rsidRPr="00D3780D">
              <w:t>a number of</w:t>
            </w:r>
            <w:proofErr w:type="gramEnd"/>
            <w:r w:rsidRPr="00D3780D">
              <w:t xml:space="preserve"> positive, and even transformative outcomes. There is some evidence to suggest that the STPP supports immediate stabilisation needs, including direct social support, help navigating social security, healthcare and other support systems and helping to generate a sense of confidence/optimism about next steps. Other outcomes associated with the STPP include increased access to income streams, stable accommodation, and social connection. </w:t>
            </w:r>
          </w:p>
        </w:tc>
      </w:tr>
      <w:tr w:rsidR="00300FC3" w14:paraId="1D64CB54" w14:textId="77777777" w:rsidTr="00AD7761">
        <w:trPr>
          <w:cantSplit/>
        </w:trPr>
        <w:tc>
          <w:tcPr>
            <w:tcW w:w="1557" w:type="pct"/>
            <w:shd w:val="clear" w:color="auto" w:fill="F6F9F7"/>
          </w:tcPr>
          <w:p w14:paraId="02B079CE"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 xml:space="preserve">Key message 5. </w:t>
            </w:r>
          </w:p>
          <w:p w14:paraId="473D7C99" w14:textId="77777777" w:rsidR="00300FC3" w:rsidRPr="001E72BA" w:rsidRDefault="00300FC3" w:rsidP="00AD7761">
            <w:pPr>
              <w:rPr>
                <w:rFonts w:asciiTheme="majorHAnsi" w:hAnsiTheme="majorHAnsi"/>
                <w:color w:val="425563" w:themeColor="text1"/>
              </w:rPr>
            </w:pPr>
            <w:r>
              <w:t>The STPP is most suited to meeting short-term stabilisation needs</w:t>
            </w:r>
          </w:p>
        </w:tc>
        <w:tc>
          <w:tcPr>
            <w:tcW w:w="3443" w:type="pct"/>
          </w:tcPr>
          <w:p w14:paraId="1CE1CC3C" w14:textId="77777777" w:rsidR="00300FC3" w:rsidRDefault="00300FC3" w:rsidP="00300FC3">
            <w:pPr>
              <w:pStyle w:val="Tabledot2"/>
            </w:pPr>
            <w:r w:rsidRPr="00F323B1">
              <w:t>The STPP can face challenges supporting access to community services such as mental health and social housing due to system scarcity, as well as meeting healing needs over time.</w:t>
            </w:r>
          </w:p>
        </w:tc>
      </w:tr>
      <w:tr w:rsidR="00300FC3" w14:paraId="5DA12F40" w14:textId="77777777" w:rsidTr="00AD7761">
        <w:trPr>
          <w:cantSplit/>
        </w:trPr>
        <w:tc>
          <w:tcPr>
            <w:tcW w:w="1557" w:type="pct"/>
            <w:shd w:val="clear" w:color="auto" w:fill="F6F9F7"/>
          </w:tcPr>
          <w:p w14:paraId="3ED90B77"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 xml:space="preserve">Key message 6. </w:t>
            </w:r>
          </w:p>
          <w:p w14:paraId="2799A5AE" w14:textId="77777777" w:rsidR="00300FC3" w:rsidRPr="00DE4AED" w:rsidRDefault="00300FC3" w:rsidP="00AD7761">
            <w:r>
              <w:t xml:space="preserve">Data measuring STPP outcomes can be strengthened </w:t>
            </w:r>
          </w:p>
        </w:tc>
        <w:tc>
          <w:tcPr>
            <w:tcW w:w="3443" w:type="pct"/>
          </w:tcPr>
          <w:p w14:paraId="4C75C8B2" w14:textId="77777777" w:rsidR="00300FC3" w:rsidRPr="00F323B1" w:rsidRDefault="00300FC3" w:rsidP="00300FC3">
            <w:pPr>
              <w:pStyle w:val="Tabledot2"/>
            </w:pPr>
            <w:r w:rsidRPr="00F323B1">
              <w:t xml:space="preserve">Evidence for participant outcomes relies on participant and caseworker self-report and is </w:t>
            </w:r>
            <w:r w:rsidRPr="006C2BBF">
              <w:t xml:space="preserve">largely limited to </w:t>
            </w:r>
            <w:r w:rsidRPr="005E5BB9">
              <w:t>in-program outcomes</w:t>
            </w:r>
            <w:r>
              <w:t>.</w:t>
            </w:r>
            <w:r w:rsidRPr="005E5BB9">
              <w:t xml:space="preserve"> </w:t>
            </w:r>
            <w:r w:rsidRPr="00F323B1">
              <w:t xml:space="preserve">More robust measurement, and measurement over time would result in an improved understanding of outcomes.  </w:t>
            </w:r>
            <w:r w:rsidRPr="005E5BB9">
              <w:t xml:space="preserve">Relevant metrics for monitoring outcomes are discussed in the body of the report. </w:t>
            </w:r>
          </w:p>
        </w:tc>
      </w:tr>
      <w:tr w:rsidR="00300FC3" w14:paraId="558996B4" w14:textId="77777777" w:rsidTr="00AD7761">
        <w:trPr>
          <w:cantSplit/>
          <w:trHeight w:val="1520"/>
        </w:trPr>
        <w:tc>
          <w:tcPr>
            <w:tcW w:w="1557" w:type="pct"/>
            <w:shd w:val="clear" w:color="auto" w:fill="F6F9F7"/>
          </w:tcPr>
          <w:p w14:paraId="0B9E9B3F"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 xml:space="preserve">Key message 7. </w:t>
            </w:r>
          </w:p>
          <w:p w14:paraId="5EB67010" w14:textId="77777777" w:rsidR="00300FC3" w:rsidRPr="00014867" w:rsidRDefault="00300FC3" w:rsidP="00AD7761">
            <w:pPr>
              <w:rPr>
                <w:rFonts w:asciiTheme="majorHAnsi" w:hAnsiTheme="majorHAnsi"/>
              </w:rPr>
            </w:pPr>
            <w:r w:rsidRPr="006C2BBF">
              <w:t xml:space="preserve">Whilst the STPP </w:t>
            </w:r>
            <w:r>
              <w:t xml:space="preserve">provides </w:t>
            </w:r>
            <w:r w:rsidRPr="006C2BBF">
              <w:t>effective support</w:t>
            </w:r>
            <w:r>
              <w:t xml:space="preserve"> to</w:t>
            </w:r>
            <w:r w:rsidRPr="006C2BBF">
              <w:t xml:space="preserve"> participants pursu</w:t>
            </w:r>
            <w:r>
              <w:t>ing</w:t>
            </w:r>
            <w:r w:rsidRPr="006C2BBF">
              <w:t xml:space="preserve"> criminal justice outcomes</w:t>
            </w:r>
            <w:r w:rsidRPr="006747C5">
              <w:t xml:space="preserve">, </w:t>
            </w:r>
            <w:r>
              <w:t xml:space="preserve">it is also associated with varied criminal justice outcomes </w:t>
            </w:r>
          </w:p>
        </w:tc>
        <w:tc>
          <w:tcPr>
            <w:tcW w:w="3443" w:type="pct"/>
          </w:tcPr>
          <w:p w14:paraId="17F60E26" w14:textId="77777777" w:rsidR="00300FC3" w:rsidRPr="001B66F5" w:rsidRDefault="00300FC3" w:rsidP="00300FC3">
            <w:pPr>
              <w:pStyle w:val="Tabledot2"/>
            </w:pPr>
            <w:r>
              <w:t>Stakeholders report that the STPP helps achieve criminal justice outcomes by supporting participants to engage with the AFP and criminal justice matters.</w:t>
            </w:r>
          </w:p>
        </w:tc>
      </w:tr>
      <w:tr w:rsidR="00300FC3" w14:paraId="0D1FD589" w14:textId="77777777" w:rsidTr="00AD7761">
        <w:trPr>
          <w:cantSplit/>
          <w:trHeight w:val="557"/>
        </w:trPr>
        <w:tc>
          <w:tcPr>
            <w:tcW w:w="1557" w:type="pct"/>
            <w:shd w:val="clear" w:color="auto" w:fill="F6F9F7"/>
          </w:tcPr>
          <w:p w14:paraId="1A675B7F"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lastRenderedPageBreak/>
              <w:t xml:space="preserve">Key message 7. </w:t>
            </w:r>
          </w:p>
          <w:p w14:paraId="0A2DE464" w14:textId="77777777" w:rsidR="00300FC3" w:rsidRPr="001E72BA" w:rsidRDefault="00300FC3" w:rsidP="00AD7761">
            <w:pPr>
              <w:rPr>
                <w:rFonts w:asciiTheme="majorHAnsi" w:hAnsiTheme="majorHAnsi"/>
                <w:color w:val="425563" w:themeColor="text1"/>
              </w:rPr>
            </w:pPr>
            <w:r w:rsidRPr="006C2BBF">
              <w:t xml:space="preserve">Whilst the STPP </w:t>
            </w:r>
            <w:r>
              <w:t xml:space="preserve">provides </w:t>
            </w:r>
            <w:r w:rsidRPr="006C2BBF">
              <w:t>effective support</w:t>
            </w:r>
            <w:r>
              <w:t xml:space="preserve"> to</w:t>
            </w:r>
            <w:r w:rsidRPr="006C2BBF">
              <w:t xml:space="preserve"> participants pursu</w:t>
            </w:r>
            <w:r>
              <w:t>ing</w:t>
            </w:r>
            <w:r w:rsidRPr="006C2BBF">
              <w:t xml:space="preserve"> criminal justice outcomes</w:t>
            </w:r>
            <w:r w:rsidRPr="006747C5">
              <w:t xml:space="preserve">, </w:t>
            </w:r>
            <w:r>
              <w:t>it is also associated with varied criminal justice outcomes</w:t>
            </w:r>
          </w:p>
        </w:tc>
        <w:tc>
          <w:tcPr>
            <w:tcW w:w="3443" w:type="pct"/>
          </w:tcPr>
          <w:p w14:paraId="1D9F8E39" w14:textId="77777777" w:rsidR="00300FC3" w:rsidRDefault="00300FC3" w:rsidP="00300FC3">
            <w:pPr>
              <w:pStyle w:val="Tabledot2"/>
            </w:pPr>
            <w:r w:rsidRPr="004167AB">
              <w:t xml:space="preserve">A very small number of </w:t>
            </w:r>
            <w:r>
              <w:t xml:space="preserve">STPP </w:t>
            </w:r>
            <w:r w:rsidRPr="004167AB">
              <w:t xml:space="preserve">participants </w:t>
            </w:r>
            <w:r>
              <w:t>have been involved in criminal justice processes that result in a court case</w:t>
            </w:r>
            <w:r w:rsidRPr="004167AB">
              <w:t xml:space="preserve">.  A total of nine participants from July 2018 to Dec 2024 (3%) had their criminal justice </w:t>
            </w:r>
            <w:r>
              <w:t xml:space="preserve">matter proceed to court and </w:t>
            </w:r>
            <w:r w:rsidRPr="004167AB">
              <w:t>finalised (it is not clear from the program data how many resulted in convictions)</w:t>
            </w:r>
            <w:r>
              <w:t>. Case attrition can be attributed to the difficulties of prosecuting HTMS cases rather than any failing of the STPP but has consequences for STPP participants seeking healing through this.</w:t>
            </w:r>
            <w:r>
              <w:rPr>
                <w:rStyle w:val="FootnoteReference"/>
                <w:sz w:val="19"/>
                <w:szCs w:val="19"/>
              </w:rPr>
              <w:footnoteReference w:id="6"/>
            </w:r>
          </w:p>
        </w:tc>
      </w:tr>
      <w:tr w:rsidR="00300FC3" w14:paraId="225E96B7" w14:textId="77777777" w:rsidTr="00AD7761">
        <w:trPr>
          <w:cantSplit/>
          <w:trHeight w:val="1987"/>
        </w:trPr>
        <w:tc>
          <w:tcPr>
            <w:tcW w:w="1557" w:type="pct"/>
            <w:shd w:val="clear" w:color="auto" w:fill="F6F9F7"/>
          </w:tcPr>
          <w:p w14:paraId="194F9E6C"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 xml:space="preserve">Key message 7. </w:t>
            </w:r>
          </w:p>
          <w:p w14:paraId="1E7D4ACF" w14:textId="77777777" w:rsidR="00300FC3" w:rsidRPr="001E72BA" w:rsidRDefault="00300FC3" w:rsidP="00AD7761">
            <w:pPr>
              <w:rPr>
                <w:rFonts w:asciiTheme="majorHAnsi" w:hAnsiTheme="majorHAnsi"/>
                <w:color w:val="425563" w:themeColor="text1"/>
              </w:rPr>
            </w:pPr>
            <w:r w:rsidRPr="006C2BBF">
              <w:t xml:space="preserve">Whilst the STPP </w:t>
            </w:r>
            <w:r>
              <w:t xml:space="preserve">provides </w:t>
            </w:r>
            <w:r w:rsidRPr="006C2BBF">
              <w:t>effective support</w:t>
            </w:r>
            <w:r>
              <w:t xml:space="preserve"> to</w:t>
            </w:r>
            <w:r w:rsidRPr="006C2BBF">
              <w:t xml:space="preserve"> participants pursu</w:t>
            </w:r>
            <w:r>
              <w:t>ing</w:t>
            </w:r>
            <w:r w:rsidRPr="006C2BBF">
              <w:t xml:space="preserve"> criminal justice outcomes</w:t>
            </w:r>
            <w:r w:rsidRPr="006747C5">
              <w:t xml:space="preserve">, </w:t>
            </w:r>
            <w:r>
              <w:t>it is also associated with varied criminal justice outcomes</w:t>
            </w:r>
          </w:p>
        </w:tc>
        <w:tc>
          <w:tcPr>
            <w:tcW w:w="3443" w:type="pct"/>
          </w:tcPr>
          <w:p w14:paraId="47ABBC2B" w14:textId="77777777" w:rsidR="00300FC3" w:rsidRDefault="00300FC3" w:rsidP="00300FC3">
            <w:pPr>
              <w:pStyle w:val="Tabledot2"/>
            </w:pPr>
            <w:r>
              <w:t>Stakeholders note that completed court cases are only one measure of success with respect to criminal justice outcomes, and that a wider range of healing, disruption and deterrence outcomes are supported through STPP involvement.</w:t>
            </w:r>
          </w:p>
        </w:tc>
      </w:tr>
    </w:tbl>
    <w:p w14:paraId="2176C5ED" w14:textId="23CF5555" w:rsidR="006B473F" w:rsidRDefault="006B473F" w:rsidP="006B473F">
      <w:pPr>
        <w:pStyle w:val="Caption"/>
      </w:pPr>
      <w:r>
        <w:t xml:space="preserve">Table </w:t>
      </w:r>
      <w:r>
        <w:fldChar w:fldCharType="begin"/>
      </w:r>
      <w:r>
        <w:instrText xml:space="preserve"> SEQ Table \* ARABIC </w:instrText>
      </w:r>
      <w:r>
        <w:fldChar w:fldCharType="separate"/>
      </w:r>
      <w:r w:rsidR="00D9323B">
        <w:rPr>
          <w:noProof/>
        </w:rPr>
        <w:t>4</w:t>
      </w:r>
      <w:r>
        <w:fldChar w:fldCharType="end"/>
      </w:r>
      <w:r>
        <w:t>.</w:t>
      </w:r>
      <w:r w:rsidRPr="006B473F">
        <w:t xml:space="preserve"> </w:t>
      </w:r>
      <w:r>
        <w:t>Key findings (</w:t>
      </w:r>
      <w:r w:rsidR="0026343C">
        <w:t>3</w:t>
      </w:r>
      <w:r>
        <w:t xml:space="preserve"> of </w:t>
      </w:r>
      <w:r w:rsidR="0026343C">
        <w:t>5</w:t>
      </w:r>
      <w:r>
        <w:t xml:space="preserve">): </w:t>
      </w:r>
      <w:r w:rsidR="00B93FAD">
        <w:t>Efficiency</w:t>
      </w:r>
    </w:p>
    <w:tbl>
      <w:tblPr>
        <w:tblStyle w:val="TableGrid"/>
        <w:tblW w:w="5000" w:type="pct"/>
        <w:tblLook w:val="04A0" w:firstRow="1" w:lastRow="0" w:firstColumn="1" w:lastColumn="0" w:noHBand="0" w:noVBand="1"/>
      </w:tblPr>
      <w:tblGrid>
        <w:gridCol w:w="3256"/>
        <w:gridCol w:w="7201"/>
      </w:tblGrid>
      <w:tr w:rsidR="00300FC3" w14:paraId="12D4F464" w14:textId="77777777" w:rsidTr="0026343C">
        <w:trPr>
          <w:cantSplit/>
          <w:trHeight w:val="23"/>
          <w:tblHeader/>
        </w:trPr>
        <w:tc>
          <w:tcPr>
            <w:tcW w:w="1557" w:type="pct"/>
            <w:shd w:val="clear" w:color="auto" w:fill="425563" w:themeFill="text1"/>
          </w:tcPr>
          <w:p w14:paraId="5D4ED0E3" w14:textId="3B16676A" w:rsidR="00300FC3" w:rsidRPr="001B66F5" w:rsidRDefault="00B93FAD" w:rsidP="00AD7761">
            <w:pPr>
              <w:pStyle w:val="Tableheadwhite"/>
            </w:pPr>
            <w:r>
              <w:t>Key messages</w:t>
            </w:r>
          </w:p>
        </w:tc>
        <w:tc>
          <w:tcPr>
            <w:tcW w:w="3443" w:type="pct"/>
            <w:shd w:val="clear" w:color="auto" w:fill="425563" w:themeFill="text1"/>
          </w:tcPr>
          <w:p w14:paraId="33B07067" w14:textId="77777777" w:rsidR="00300FC3" w:rsidRPr="001B66F5" w:rsidRDefault="00300FC3" w:rsidP="00AD7761">
            <w:pPr>
              <w:pStyle w:val="Tableheadwhite"/>
            </w:pPr>
            <w:r>
              <w:t>Findings</w:t>
            </w:r>
          </w:p>
        </w:tc>
      </w:tr>
      <w:tr w:rsidR="00300FC3" w14:paraId="425BF5C4" w14:textId="77777777" w:rsidTr="00AD7761">
        <w:trPr>
          <w:cantSplit/>
          <w:trHeight w:val="23"/>
        </w:trPr>
        <w:tc>
          <w:tcPr>
            <w:tcW w:w="1557" w:type="pct"/>
            <w:shd w:val="clear" w:color="auto" w:fill="F6F9F7"/>
          </w:tcPr>
          <w:p w14:paraId="0EB0530F"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 xml:space="preserve">Key message 8. </w:t>
            </w:r>
          </w:p>
          <w:p w14:paraId="1D6F18CE" w14:textId="77777777" w:rsidR="00300FC3" w:rsidRPr="00F72F2D" w:rsidRDefault="00300FC3" w:rsidP="00AD7761">
            <w:r>
              <w:t>Improved b</w:t>
            </w:r>
            <w:r w:rsidRPr="00CC601E">
              <w:t xml:space="preserve">udget planning </w:t>
            </w:r>
            <w:r>
              <w:t xml:space="preserve">is required to continue to deliver </w:t>
            </w:r>
            <w:r w:rsidRPr="00CC601E">
              <w:t xml:space="preserve">tailored </w:t>
            </w:r>
            <w:r>
              <w:t>support in the face of</w:t>
            </w:r>
            <w:r w:rsidRPr="00CC601E">
              <w:t xml:space="preserve"> rising </w:t>
            </w:r>
            <w:r>
              <w:t xml:space="preserve">costs to deliver and a changing participant cohort </w:t>
            </w:r>
          </w:p>
        </w:tc>
        <w:tc>
          <w:tcPr>
            <w:tcW w:w="3443" w:type="pct"/>
          </w:tcPr>
          <w:p w14:paraId="4A174CB6" w14:textId="77777777" w:rsidR="00300FC3" w:rsidRDefault="00300FC3" w:rsidP="00300FC3">
            <w:pPr>
              <w:pStyle w:val="Tabledot2"/>
            </w:pPr>
            <w:r>
              <w:t xml:space="preserve">Administrative and participant related cost to deliver the STPP are increasing, at least partly driven by inflation and increased use of temporary accommodation. </w:t>
            </w:r>
          </w:p>
          <w:p w14:paraId="7AE6AC98" w14:textId="77777777" w:rsidR="00300FC3" w:rsidRDefault="00300FC3" w:rsidP="00300FC3">
            <w:pPr>
              <w:pStyle w:val="Tabledot2"/>
            </w:pPr>
            <w:r>
              <w:t xml:space="preserve">Improved linkage between funding data, outgoing referral data, casework data (e.g. frequency and purpose of sessions) and entry, exit and post exit reports is recommended to support decision-making efficiency and forecasting capability. </w:t>
            </w:r>
          </w:p>
          <w:p w14:paraId="7E78322F" w14:textId="77777777" w:rsidR="00300FC3" w:rsidRDefault="00300FC3" w:rsidP="00AD7761">
            <w:pPr>
              <w:pStyle w:val="Tabledot2"/>
              <w:numPr>
                <w:ilvl w:val="0"/>
                <w:numId w:val="0"/>
              </w:numPr>
              <w:ind w:left="363" w:hanging="360"/>
            </w:pPr>
          </w:p>
          <w:p w14:paraId="642A35B9" w14:textId="77777777" w:rsidR="00300FC3" w:rsidRPr="00F323B1" w:rsidRDefault="00300FC3" w:rsidP="00AD7761">
            <w:pPr>
              <w:pStyle w:val="Tabledot2"/>
              <w:numPr>
                <w:ilvl w:val="0"/>
                <w:numId w:val="0"/>
              </w:numPr>
              <w:ind w:left="363" w:hanging="360"/>
            </w:pPr>
          </w:p>
        </w:tc>
      </w:tr>
    </w:tbl>
    <w:p w14:paraId="51093017" w14:textId="589B514A" w:rsidR="00B93FAD" w:rsidRDefault="00B93FAD" w:rsidP="00B93FAD">
      <w:pPr>
        <w:pStyle w:val="Caption"/>
      </w:pPr>
      <w:r>
        <w:t xml:space="preserve">Table </w:t>
      </w:r>
      <w:r>
        <w:fldChar w:fldCharType="begin"/>
      </w:r>
      <w:r>
        <w:instrText xml:space="preserve"> SEQ Table \* ARABIC </w:instrText>
      </w:r>
      <w:r>
        <w:fldChar w:fldCharType="separate"/>
      </w:r>
      <w:r w:rsidR="00D9323B">
        <w:rPr>
          <w:noProof/>
        </w:rPr>
        <w:t>5</w:t>
      </w:r>
      <w:r>
        <w:fldChar w:fldCharType="end"/>
      </w:r>
      <w:r>
        <w:t>. Key findings (</w:t>
      </w:r>
      <w:r w:rsidR="0026343C">
        <w:t>4</w:t>
      </w:r>
      <w:r>
        <w:t xml:space="preserve"> of </w:t>
      </w:r>
      <w:r w:rsidR="0026343C">
        <w:t>5</w:t>
      </w:r>
      <w:r>
        <w:t>): Alignment with better practice</w:t>
      </w:r>
    </w:p>
    <w:tbl>
      <w:tblPr>
        <w:tblStyle w:val="TableGrid"/>
        <w:tblW w:w="5000" w:type="pct"/>
        <w:tblLook w:val="04A0" w:firstRow="1" w:lastRow="0" w:firstColumn="1" w:lastColumn="0" w:noHBand="0" w:noVBand="1"/>
      </w:tblPr>
      <w:tblGrid>
        <w:gridCol w:w="3256"/>
        <w:gridCol w:w="7201"/>
      </w:tblGrid>
      <w:tr w:rsidR="00300FC3" w14:paraId="775B6DDC" w14:textId="77777777" w:rsidTr="0026343C">
        <w:trPr>
          <w:cantSplit/>
          <w:trHeight w:val="23"/>
          <w:tblHeader/>
        </w:trPr>
        <w:tc>
          <w:tcPr>
            <w:tcW w:w="1557" w:type="pct"/>
            <w:shd w:val="clear" w:color="auto" w:fill="425563" w:themeFill="text1"/>
          </w:tcPr>
          <w:p w14:paraId="2DF85166" w14:textId="3D981B2E" w:rsidR="00300FC3" w:rsidRDefault="00B93FAD" w:rsidP="00AD7761">
            <w:pPr>
              <w:pStyle w:val="Tableheadwhite"/>
            </w:pPr>
            <w:r>
              <w:t>Key messages</w:t>
            </w:r>
          </w:p>
        </w:tc>
        <w:tc>
          <w:tcPr>
            <w:tcW w:w="3443" w:type="pct"/>
            <w:shd w:val="clear" w:color="auto" w:fill="425563" w:themeFill="text1"/>
          </w:tcPr>
          <w:p w14:paraId="2A576F74" w14:textId="77777777" w:rsidR="00300FC3" w:rsidRDefault="00300FC3" w:rsidP="00AD7761">
            <w:pPr>
              <w:pStyle w:val="Tableheadwhite"/>
            </w:pPr>
            <w:r>
              <w:t>Findings</w:t>
            </w:r>
          </w:p>
        </w:tc>
      </w:tr>
      <w:tr w:rsidR="00300FC3" w14:paraId="5BC72D85" w14:textId="77777777" w:rsidTr="00AD7761">
        <w:trPr>
          <w:cantSplit/>
          <w:trHeight w:val="23"/>
        </w:trPr>
        <w:tc>
          <w:tcPr>
            <w:tcW w:w="1557" w:type="pct"/>
            <w:shd w:val="clear" w:color="auto" w:fill="F6F9F7"/>
          </w:tcPr>
          <w:p w14:paraId="09927E05"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Key message 9.</w:t>
            </w:r>
          </w:p>
          <w:p w14:paraId="53F94B46" w14:textId="77777777" w:rsidR="00300FC3" w:rsidRPr="00392604" w:rsidRDefault="00300FC3" w:rsidP="00AD7761">
            <w:pPr>
              <w:rPr>
                <w:rFonts w:asciiTheme="majorHAnsi" w:hAnsiTheme="majorHAnsi"/>
              </w:rPr>
            </w:pPr>
            <w:r>
              <w:t xml:space="preserve">The STPP is partially aligned with international better practice </w:t>
            </w:r>
            <w:r w:rsidRPr="00392604">
              <w:t xml:space="preserve"> </w:t>
            </w:r>
          </w:p>
        </w:tc>
        <w:tc>
          <w:tcPr>
            <w:tcW w:w="3443" w:type="pct"/>
          </w:tcPr>
          <w:p w14:paraId="1DC9A4E2" w14:textId="77777777" w:rsidR="00300FC3" w:rsidRPr="00F323B1" w:rsidRDefault="00300FC3" w:rsidP="00300FC3">
            <w:pPr>
              <w:pStyle w:val="Tabledot2"/>
            </w:pPr>
            <w:r w:rsidRPr="00F323B1">
              <w:t xml:space="preserve">The STPP’s holistic casework model, and wide range of supports compare favourably with international </w:t>
            </w:r>
            <w:r>
              <w:t xml:space="preserve">practice. </w:t>
            </w:r>
            <w:r w:rsidRPr="00F323B1">
              <w:t xml:space="preserve"> Opportunities for i</w:t>
            </w:r>
            <w:r>
              <w:t xml:space="preserve">ncreased alignment with international better practice </w:t>
            </w:r>
            <w:r w:rsidRPr="00F323B1">
              <w:t xml:space="preserve">include providing </w:t>
            </w:r>
            <w:r>
              <w:t xml:space="preserve">more enduring </w:t>
            </w:r>
            <w:r w:rsidRPr="00F323B1">
              <w:t>support that isn’t conditional on participation in the criminal justice process, needs rather than time-based criteria for allocating funding</w:t>
            </w:r>
            <w:r>
              <w:t xml:space="preserve">, support for children as victims and </w:t>
            </w:r>
            <w:proofErr w:type="gramStart"/>
            <w:r>
              <w:t>survivors in their own right,</w:t>
            </w:r>
            <w:r w:rsidRPr="00F323B1">
              <w:t xml:space="preserve"> and</w:t>
            </w:r>
            <w:proofErr w:type="gramEnd"/>
            <w:r w:rsidRPr="00F323B1">
              <w:t xml:space="preserve"> increased lived experience involvement in design and delivery. </w:t>
            </w:r>
          </w:p>
        </w:tc>
      </w:tr>
      <w:tr w:rsidR="00300FC3" w14:paraId="4921CCA3" w14:textId="77777777" w:rsidTr="00AD7761">
        <w:trPr>
          <w:cantSplit/>
          <w:trHeight w:val="23"/>
        </w:trPr>
        <w:tc>
          <w:tcPr>
            <w:tcW w:w="1557" w:type="pct"/>
            <w:shd w:val="clear" w:color="auto" w:fill="F6F9F7"/>
          </w:tcPr>
          <w:p w14:paraId="032A22BC" w14:textId="77777777" w:rsidR="00300FC3" w:rsidRPr="001E72BA" w:rsidRDefault="00300FC3" w:rsidP="00AD7761">
            <w:pPr>
              <w:rPr>
                <w:rFonts w:asciiTheme="majorHAnsi" w:hAnsiTheme="majorHAnsi"/>
                <w:color w:val="425563" w:themeColor="text1"/>
              </w:rPr>
            </w:pPr>
            <w:r w:rsidRPr="001E72BA">
              <w:rPr>
                <w:rFonts w:asciiTheme="majorHAnsi" w:hAnsiTheme="majorHAnsi"/>
                <w:color w:val="425563" w:themeColor="text1"/>
              </w:rPr>
              <w:t>Key message 9.</w:t>
            </w:r>
          </w:p>
          <w:p w14:paraId="02832A7E" w14:textId="77777777" w:rsidR="00300FC3" w:rsidRPr="001E72BA" w:rsidRDefault="00300FC3" w:rsidP="00AD7761">
            <w:pPr>
              <w:rPr>
                <w:rFonts w:asciiTheme="majorHAnsi" w:hAnsiTheme="majorHAnsi"/>
                <w:color w:val="425563" w:themeColor="text1"/>
              </w:rPr>
            </w:pPr>
            <w:r>
              <w:t xml:space="preserve">The STPP is partially aligned with international better practice </w:t>
            </w:r>
            <w:r w:rsidRPr="00392604">
              <w:t xml:space="preserve"> </w:t>
            </w:r>
          </w:p>
        </w:tc>
        <w:tc>
          <w:tcPr>
            <w:tcW w:w="3443" w:type="pct"/>
          </w:tcPr>
          <w:p w14:paraId="7D01CCFC" w14:textId="77777777" w:rsidR="00300FC3" w:rsidRPr="00F323B1" w:rsidRDefault="00300FC3" w:rsidP="00300FC3">
            <w:pPr>
              <w:pStyle w:val="Tabledot2"/>
            </w:pPr>
            <w:r w:rsidRPr="00F323B1">
              <w:t xml:space="preserve">Changing program eligibility criteria </w:t>
            </w:r>
            <w:r>
              <w:t xml:space="preserve">to reduce the requirement for </w:t>
            </w:r>
            <w:r w:rsidRPr="00F323B1">
              <w:t xml:space="preserve">criminal justice system involvement </w:t>
            </w:r>
            <w:r>
              <w:t xml:space="preserve">for longer-term needs-based support </w:t>
            </w:r>
            <w:r w:rsidRPr="00F323B1">
              <w:t xml:space="preserve">may have significant implications for resourcing as well as equity and effectiveness. </w:t>
            </w:r>
            <w:r>
              <w:t xml:space="preserve">This may also have ramifications for Australia’s visa framework. </w:t>
            </w:r>
            <w:r w:rsidRPr="00F323B1">
              <w:t>Modelling scenarios</w:t>
            </w:r>
            <w:r>
              <w:t xml:space="preserve"> (considering variations in changing demand and need)</w:t>
            </w:r>
            <w:r w:rsidRPr="00F323B1">
              <w:t xml:space="preserve"> and consideration of program sustainability will be required.</w:t>
            </w:r>
          </w:p>
        </w:tc>
      </w:tr>
    </w:tbl>
    <w:p w14:paraId="57B76934" w14:textId="513A432E" w:rsidR="0040355D" w:rsidRDefault="0040355D" w:rsidP="0040355D">
      <w:pPr>
        <w:pStyle w:val="Caption"/>
      </w:pPr>
      <w:r>
        <w:lastRenderedPageBreak/>
        <w:t xml:space="preserve">Table </w:t>
      </w:r>
      <w:r>
        <w:fldChar w:fldCharType="begin"/>
      </w:r>
      <w:r>
        <w:instrText xml:space="preserve"> SEQ Table \* ARABIC </w:instrText>
      </w:r>
      <w:r>
        <w:fldChar w:fldCharType="separate"/>
      </w:r>
      <w:r w:rsidR="00D9323B">
        <w:rPr>
          <w:noProof/>
        </w:rPr>
        <w:t>6</w:t>
      </w:r>
      <w:r>
        <w:fldChar w:fldCharType="end"/>
      </w:r>
      <w:r>
        <w:t>.</w:t>
      </w:r>
      <w:r w:rsidRPr="0040355D">
        <w:t xml:space="preserve"> </w:t>
      </w:r>
      <w:r>
        <w:t>Key findings (</w:t>
      </w:r>
      <w:r w:rsidR="0026343C">
        <w:t>5</w:t>
      </w:r>
      <w:r>
        <w:t xml:space="preserve"> of </w:t>
      </w:r>
      <w:r w:rsidR="0026343C">
        <w:t>5</w:t>
      </w:r>
      <w:r>
        <w:t>): Cross cutting learnings</w:t>
      </w:r>
    </w:p>
    <w:tbl>
      <w:tblPr>
        <w:tblStyle w:val="TableGrid"/>
        <w:tblW w:w="5000" w:type="pct"/>
        <w:tblLook w:val="04A0" w:firstRow="1" w:lastRow="0" w:firstColumn="1" w:lastColumn="0" w:noHBand="0" w:noVBand="1"/>
      </w:tblPr>
      <w:tblGrid>
        <w:gridCol w:w="3256"/>
        <w:gridCol w:w="7201"/>
      </w:tblGrid>
      <w:tr w:rsidR="00547B6D" w14:paraId="6F586733" w14:textId="77777777" w:rsidTr="0040355D">
        <w:trPr>
          <w:cantSplit/>
          <w:trHeight w:val="23"/>
          <w:tblHeader/>
        </w:trPr>
        <w:tc>
          <w:tcPr>
            <w:tcW w:w="1557" w:type="pct"/>
            <w:shd w:val="clear" w:color="auto" w:fill="425563" w:themeFill="text1"/>
          </w:tcPr>
          <w:p w14:paraId="05172473" w14:textId="4DFCD0CD" w:rsidR="00547B6D" w:rsidRPr="00046A14" w:rsidRDefault="0040355D" w:rsidP="007E0AFE">
            <w:pPr>
              <w:pStyle w:val="Tableheadwhite"/>
            </w:pPr>
            <w:r>
              <w:t>Key messages</w:t>
            </w:r>
          </w:p>
        </w:tc>
        <w:tc>
          <w:tcPr>
            <w:tcW w:w="3443" w:type="pct"/>
            <w:shd w:val="clear" w:color="auto" w:fill="425563" w:themeFill="text1"/>
          </w:tcPr>
          <w:p w14:paraId="256358F5" w14:textId="2BF05357" w:rsidR="00547B6D" w:rsidRPr="00046A14" w:rsidRDefault="00E05ACA" w:rsidP="007E0AFE">
            <w:pPr>
              <w:pStyle w:val="Tableheadwhite"/>
            </w:pPr>
            <w:r>
              <w:t>Findings</w:t>
            </w:r>
          </w:p>
        </w:tc>
      </w:tr>
      <w:tr w:rsidR="00046A14" w14:paraId="4F02DCA6" w14:textId="77777777" w:rsidTr="00E44963">
        <w:trPr>
          <w:cantSplit/>
          <w:trHeight w:val="23"/>
        </w:trPr>
        <w:tc>
          <w:tcPr>
            <w:tcW w:w="1557" w:type="pct"/>
            <w:shd w:val="clear" w:color="auto" w:fill="F6F9F7"/>
          </w:tcPr>
          <w:p w14:paraId="120F1817" w14:textId="09284FB5" w:rsidR="00046A14" w:rsidRPr="001E72BA" w:rsidRDefault="00046A14" w:rsidP="007E0AFE">
            <w:pPr>
              <w:rPr>
                <w:rFonts w:asciiTheme="majorHAnsi" w:hAnsiTheme="majorHAnsi"/>
                <w:color w:val="425563" w:themeColor="text1"/>
              </w:rPr>
            </w:pPr>
            <w:r w:rsidRPr="001E72BA">
              <w:rPr>
                <w:rFonts w:asciiTheme="majorHAnsi" w:hAnsiTheme="majorHAnsi"/>
                <w:color w:val="425563" w:themeColor="text1"/>
              </w:rPr>
              <w:t xml:space="preserve">Key message </w:t>
            </w:r>
            <w:r w:rsidR="0056518A" w:rsidRPr="001E72BA">
              <w:rPr>
                <w:rFonts w:asciiTheme="majorHAnsi" w:hAnsiTheme="majorHAnsi"/>
                <w:color w:val="425563" w:themeColor="text1"/>
              </w:rPr>
              <w:t>10</w:t>
            </w:r>
            <w:r w:rsidRPr="001E72BA">
              <w:rPr>
                <w:rFonts w:asciiTheme="majorHAnsi" w:hAnsiTheme="majorHAnsi"/>
                <w:color w:val="425563" w:themeColor="text1"/>
              </w:rPr>
              <w:t>.</w:t>
            </w:r>
          </w:p>
          <w:p w14:paraId="2D7BF236" w14:textId="7FA7560E" w:rsidR="00046A14" w:rsidRDefault="00046A14" w:rsidP="007E0AFE">
            <w:pPr>
              <w:rPr>
                <w:rFonts w:asciiTheme="majorHAnsi" w:hAnsiTheme="majorHAnsi"/>
              </w:rPr>
            </w:pPr>
            <w:r>
              <w:t>Many of the barriers and opportunities identified for the STPP also apply to other DSS policy/program areas</w:t>
            </w:r>
          </w:p>
        </w:tc>
        <w:tc>
          <w:tcPr>
            <w:tcW w:w="3443" w:type="pct"/>
          </w:tcPr>
          <w:p w14:paraId="50BF3782" w14:textId="539032DD" w:rsidR="00046A14" w:rsidRDefault="00EA0894" w:rsidP="007E0AFE">
            <w:pPr>
              <w:pStyle w:val="Tabledot2"/>
            </w:pPr>
            <w:r>
              <w:t xml:space="preserve">Issues discussed for the STPP are relevant to many other DSS programs. There are opportunities for cross-cutting learning with respect to promoting agency in programs for people with trauma experiences, measuring outcomes for person-centred programs, lived-experience and peer support led delivery amongst other items. </w:t>
            </w:r>
          </w:p>
          <w:p w14:paraId="0707BDA3" w14:textId="0F4B7E6F" w:rsidR="000D6B50" w:rsidRPr="00F323B1" w:rsidRDefault="000D6B50" w:rsidP="007E0AFE"/>
        </w:tc>
      </w:tr>
    </w:tbl>
    <w:p w14:paraId="5F762748" w14:textId="128178FC" w:rsidR="003E75E1" w:rsidRPr="00F368CB" w:rsidRDefault="007D2D03" w:rsidP="00F368CB">
      <w:pPr>
        <w:pStyle w:val="Heading3"/>
        <w:rPr>
          <w:sz w:val="32"/>
          <w:szCs w:val="32"/>
          <w:lang w:eastAsia="en-AU"/>
        </w:rPr>
      </w:pPr>
      <w:r w:rsidRPr="00F368CB">
        <w:rPr>
          <w:sz w:val="32"/>
          <w:szCs w:val="32"/>
          <w:lang w:eastAsia="en-AU"/>
        </w:rPr>
        <w:t>S</w:t>
      </w:r>
      <w:r w:rsidR="00712ECD" w:rsidRPr="00F368CB">
        <w:rPr>
          <w:sz w:val="32"/>
          <w:szCs w:val="32"/>
          <w:lang w:eastAsia="en-AU"/>
        </w:rPr>
        <w:t xml:space="preserve">ummary of </w:t>
      </w:r>
      <w:r w:rsidR="00046A14" w:rsidRPr="00F368CB">
        <w:rPr>
          <w:sz w:val="32"/>
          <w:szCs w:val="32"/>
          <w:lang w:eastAsia="en-AU"/>
        </w:rPr>
        <w:t>recommendation</w:t>
      </w:r>
      <w:r w:rsidRPr="00F368CB">
        <w:rPr>
          <w:sz w:val="32"/>
          <w:szCs w:val="32"/>
          <w:lang w:eastAsia="en-AU"/>
        </w:rPr>
        <w:t>s</w:t>
      </w:r>
      <w:r w:rsidR="00046A14" w:rsidRPr="00F368CB">
        <w:rPr>
          <w:sz w:val="32"/>
          <w:szCs w:val="32"/>
          <w:lang w:eastAsia="en-AU"/>
        </w:rPr>
        <w:t xml:space="preserve"> </w:t>
      </w:r>
    </w:p>
    <w:p w14:paraId="45CA838C" w14:textId="489AB41E" w:rsidR="00267E1D" w:rsidRDefault="00267E1D" w:rsidP="007E0AFE">
      <w:pPr>
        <w:rPr>
          <w:lang w:eastAsia="en-AU"/>
        </w:rPr>
      </w:pPr>
      <w:r>
        <w:rPr>
          <w:lang w:eastAsia="en-AU"/>
        </w:rPr>
        <w:t>Below we summarise recommendations to improve the:</w:t>
      </w:r>
      <w:r w:rsidR="00623108">
        <w:rPr>
          <w:lang w:eastAsia="en-AU"/>
        </w:rPr>
        <w:t xml:space="preserve"> </w:t>
      </w:r>
      <w:r>
        <w:rPr>
          <w:lang w:eastAsia="en-AU"/>
        </w:rPr>
        <w:t>STPP as it is currently designed</w:t>
      </w:r>
      <w:r w:rsidR="00623108">
        <w:rPr>
          <w:lang w:eastAsia="en-AU"/>
        </w:rPr>
        <w:t xml:space="preserve">, </w:t>
      </w:r>
      <w:r>
        <w:rPr>
          <w:lang w:eastAsia="en-AU"/>
        </w:rPr>
        <w:t>STPP design</w:t>
      </w:r>
      <w:r w:rsidR="00623108">
        <w:rPr>
          <w:lang w:eastAsia="en-AU"/>
        </w:rPr>
        <w:t xml:space="preserve"> and </w:t>
      </w:r>
      <w:r>
        <w:rPr>
          <w:lang w:eastAsia="en-AU"/>
        </w:rPr>
        <w:t xml:space="preserve">broader system for improved STPP performance. </w:t>
      </w:r>
    </w:p>
    <w:p w14:paraId="53ADE09D" w14:textId="0C0B05FF" w:rsidR="00FF4C66" w:rsidRDefault="007E53D9" w:rsidP="007E0AFE">
      <w:pPr>
        <w:rPr>
          <w:lang w:eastAsia="en-AU"/>
        </w:rPr>
      </w:pPr>
      <w:r>
        <w:rPr>
          <w:lang w:eastAsia="en-AU"/>
        </w:rPr>
        <w:t xml:space="preserve">All the recommendations have potential for high impact, however, </w:t>
      </w:r>
      <w:r w:rsidR="00FF4C66">
        <w:rPr>
          <w:lang w:eastAsia="en-AU"/>
        </w:rPr>
        <w:t xml:space="preserve">depending on whether changes are to the current program, to redesign the program, or to reshape the broader context, they will </w:t>
      </w:r>
      <w:r w:rsidR="009150F5">
        <w:rPr>
          <w:lang w:eastAsia="en-AU"/>
        </w:rPr>
        <w:t>likely</w:t>
      </w:r>
      <w:r w:rsidR="00FF4C66">
        <w:rPr>
          <w:lang w:eastAsia="en-AU"/>
        </w:rPr>
        <w:t xml:space="preserve"> affect different numbers of people.</w:t>
      </w:r>
      <w:r w:rsidR="00E54FAC">
        <w:rPr>
          <w:lang w:eastAsia="en-AU"/>
        </w:rPr>
        <w:t xml:space="preserve"> </w:t>
      </w:r>
      <w:r w:rsidR="000D766F">
        <w:rPr>
          <w:lang w:eastAsia="en-AU"/>
        </w:rPr>
        <w:t xml:space="preserve">In addition, some recommendations </w:t>
      </w:r>
      <w:r w:rsidR="00AB45E4">
        <w:rPr>
          <w:lang w:eastAsia="en-AU"/>
        </w:rPr>
        <w:t>will support delivery of others (i.e. data improvements will support program re-design), and program strengthening can occur</w:t>
      </w:r>
      <w:r w:rsidR="000D766F">
        <w:rPr>
          <w:lang w:eastAsia="en-AU"/>
        </w:rPr>
        <w:t xml:space="preserve"> </w:t>
      </w:r>
      <w:r w:rsidR="000001FD">
        <w:rPr>
          <w:lang w:eastAsia="en-AU"/>
        </w:rPr>
        <w:t xml:space="preserve">in tandem with co-design. </w:t>
      </w:r>
    </w:p>
    <w:p w14:paraId="3B6651CF" w14:textId="5C2A5D97" w:rsidR="00842A7F" w:rsidRDefault="00842A7F" w:rsidP="007E0AFE">
      <w:pPr>
        <w:rPr>
          <w:lang w:eastAsia="en-AU"/>
        </w:rPr>
      </w:pPr>
      <w:r>
        <w:rPr>
          <w:lang w:eastAsia="en-AU"/>
        </w:rPr>
        <w:t xml:space="preserve">Given multifaceted responsibility for addressing HTMS, this will require concerted action from DSS, as well as other </w:t>
      </w:r>
      <w:r w:rsidR="00267E1D">
        <w:rPr>
          <w:lang w:eastAsia="en-AU"/>
        </w:rPr>
        <w:t xml:space="preserve">Australian </w:t>
      </w:r>
      <w:r>
        <w:rPr>
          <w:lang w:eastAsia="en-AU"/>
        </w:rPr>
        <w:t>and state government agencies.</w:t>
      </w:r>
      <w:r w:rsidR="00267E1D">
        <w:rPr>
          <w:lang w:eastAsia="en-AU"/>
        </w:rPr>
        <w:t xml:space="preserve"> A</w:t>
      </w:r>
      <w:r>
        <w:rPr>
          <w:lang w:eastAsia="en-AU"/>
        </w:rPr>
        <w:t xml:space="preserve">ddressing the recommendations will have cost </w:t>
      </w:r>
      <w:r w:rsidR="003772CE">
        <w:rPr>
          <w:lang w:eastAsia="en-AU"/>
        </w:rPr>
        <w:t>and, in some instances,</w:t>
      </w:r>
      <w:r w:rsidR="005F6813">
        <w:rPr>
          <w:lang w:eastAsia="en-AU"/>
        </w:rPr>
        <w:t xml:space="preserve"> significant implications for current </w:t>
      </w:r>
      <w:r>
        <w:rPr>
          <w:lang w:eastAsia="en-AU"/>
        </w:rPr>
        <w:t>policy setting</w:t>
      </w:r>
      <w:r w:rsidR="005F6813">
        <w:rPr>
          <w:lang w:eastAsia="en-AU"/>
        </w:rPr>
        <w:t>s</w:t>
      </w:r>
      <w:r w:rsidR="002740A6">
        <w:rPr>
          <w:lang w:eastAsia="en-AU"/>
        </w:rPr>
        <w:t>, including Australia’s visa framework</w:t>
      </w:r>
      <w:r w:rsidR="005F6813">
        <w:rPr>
          <w:lang w:eastAsia="en-AU"/>
        </w:rPr>
        <w:t xml:space="preserve">. </w:t>
      </w:r>
      <w:r w:rsidR="002740A6">
        <w:rPr>
          <w:lang w:eastAsia="en-AU"/>
        </w:rPr>
        <w:t xml:space="preserve">This will require further investigation and modelling by government. </w:t>
      </w:r>
      <w:r w:rsidR="005F6813">
        <w:rPr>
          <w:lang w:eastAsia="en-AU"/>
        </w:rPr>
        <w:t xml:space="preserve">Further, </w:t>
      </w:r>
      <w:r w:rsidR="00B008BA">
        <w:rPr>
          <w:lang w:eastAsia="en-AU"/>
        </w:rPr>
        <w:t>different views on utility and value</w:t>
      </w:r>
      <w:r w:rsidR="00267E1D">
        <w:rPr>
          <w:lang w:eastAsia="en-AU"/>
        </w:rPr>
        <w:t xml:space="preserve"> means that additional </w:t>
      </w:r>
      <w:r w:rsidR="00B008BA">
        <w:rPr>
          <w:lang w:eastAsia="en-AU"/>
        </w:rPr>
        <w:t xml:space="preserve">co-design </w:t>
      </w:r>
      <w:r w:rsidR="00267E1D">
        <w:rPr>
          <w:lang w:eastAsia="en-AU"/>
        </w:rPr>
        <w:t xml:space="preserve">with stakeholders to inform change will be important. </w:t>
      </w:r>
      <w:r w:rsidR="00FF7840">
        <w:rPr>
          <w:lang w:eastAsia="en-AU"/>
        </w:rPr>
        <w:t>The inte</w:t>
      </w:r>
      <w:r w:rsidR="009F5EF1">
        <w:rPr>
          <w:lang w:eastAsia="en-AU"/>
        </w:rPr>
        <w:t>r</w:t>
      </w:r>
      <w:r w:rsidR="00FF7840">
        <w:rPr>
          <w:lang w:eastAsia="en-AU"/>
        </w:rPr>
        <w:t>de</w:t>
      </w:r>
      <w:r w:rsidR="009F5EF1">
        <w:rPr>
          <w:lang w:eastAsia="en-AU"/>
        </w:rPr>
        <w:t>pende</w:t>
      </w:r>
      <w:r w:rsidR="00FF7840">
        <w:rPr>
          <w:lang w:eastAsia="en-AU"/>
        </w:rPr>
        <w:t xml:space="preserve">ncies and contested environment involved in addressing recommendations suggest a stepped change process will be required. An example is </w:t>
      </w:r>
      <w:r w:rsidR="005F6813">
        <w:rPr>
          <w:lang w:eastAsia="en-AU"/>
        </w:rPr>
        <w:t>articulated below.</w:t>
      </w:r>
    </w:p>
    <w:p w14:paraId="06036567" w14:textId="61DACB5A" w:rsidR="005F597A" w:rsidRDefault="005F597A" w:rsidP="005F597A">
      <w:pPr>
        <w:pStyle w:val="Caption"/>
      </w:pPr>
      <w:r>
        <w:t xml:space="preserve">Table </w:t>
      </w:r>
      <w:r>
        <w:fldChar w:fldCharType="begin"/>
      </w:r>
      <w:r>
        <w:instrText xml:space="preserve"> SEQ Table \* ARABIC </w:instrText>
      </w:r>
      <w:r>
        <w:fldChar w:fldCharType="separate"/>
      </w:r>
      <w:r w:rsidR="00D9323B">
        <w:rPr>
          <w:noProof/>
        </w:rPr>
        <w:t>7</w:t>
      </w:r>
      <w:r>
        <w:fldChar w:fldCharType="end"/>
      </w:r>
      <w:r>
        <w:t xml:space="preserve">. Example </w:t>
      </w:r>
      <w:r w:rsidR="00A36D88">
        <w:t>stepped change process timeline</w:t>
      </w:r>
    </w:p>
    <w:tbl>
      <w:tblPr>
        <w:tblStyle w:val="TableGrid"/>
        <w:tblW w:w="0" w:type="auto"/>
        <w:tblLook w:val="04A0" w:firstRow="1" w:lastRow="0" w:firstColumn="1" w:lastColumn="0" w:noHBand="0" w:noVBand="1"/>
      </w:tblPr>
      <w:tblGrid>
        <w:gridCol w:w="3469"/>
        <w:gridCol w:w="3471"/>
        <w:gridCol w:w="3467"/>
      </w:tblGrid>
      <w:tr w:rsidR="000001FD" w14:paraId="78887F57" w14:textId="77777777" w:rsidTr="003D15AF">
        <w:trPr>
          <w:trHeight w:val="362"/>
        </w:trPr>
        <w:tc>
          <w:tcPr>
            <w:tcW w:w="3469" w:type="dxa"/>
            <w:shd w:val="clear" w:color="auto" w:fill="425563" w:themeFill="text1"/>
            <w:vAlign w:val="center"/>
          </w:tcPr>
          <w:p w14:paraId="60429643" w14:textId="78B0EFCA" w:rsidR="000001FD" w:rsidRPr="00547B6D" w:rsidRDefault="000001FD" w:rsidP="007E0AFE">
            <w:pPr>
              <w:pStyle w:val="Tableheadwhite"/>
              <w:rPr>
                <w:lang w:eastAsia="en-AU"/>
              </w:rPr>
            </w:pPr>
            <w:r w:rsidRPr="00547B6D">
              <w:rPr>
                <w:lang w:eastAsia="en-AU"/>
              </w:rPr>
              <w:t xml:space="preserve">Year 1 </w:t>
            </w:r>
            <w:r w:rsidR="00E816E9" w:rsidRPr="00547B6D">
              <w:rPr>
                <w:lang w:eastAsia="en-AU"/>
              </w:rPr>
              <w:t xml:space="preserve">- </w:t>
            </w:r>
            <w:r w:rsidRPr="00547B6D">
              <w:rPr>
                <w:lang w:eastAsia="en-AU"/>
              </w:rPr>
              <w:t>FY26</w:t>
            </w:r>
            <w:r w:rsidR="005F6813" w:rsidRPr="00547B6D">
              <w:rPr>
                <w:lang w:eastAsia="en-AU"/>
              </w:rPr>
              <w:t>-27</w:t>
            </w:r>
          </w:p>
        </w:tc>
        <w:tc>
          <w:tcPr>
            <w:tcW w:w="3471" w:type="dxa"/>
            <w:shd w:val="clear" w:color="auto" w:fill="425563" w:themeFill="text1"/>
            <w:vAlign w:val="center"/>
          </w:tcPr>
          <w:p w14:paraId="758B7103" w14:textId="1CDEB601" w:rsidR="000001FD" w:rsidRPr="00547B6D" w:rsidRDefault="00E816E9" w:rsidP="007E0AFE">
            <w:pPr>
              <w:pStyle w:val="Tableheadwhite"/>
              <w:rPr>
                <w:lang w:eastAsia="en-AU"/>
              </w:rPr>
            </w:pPr>
            <w:r w:rsidRPr="00547B6D">
              <w:rPr>
                <w:lang w:eastAsia="en-AU"/>
              </w:rPr>
              <w:t xml:space="preserve">Year </w:t>
            </w:r>
            <w:r w:rsidR="000001FD" w:rsidRPr="00547B6D">
              <w:rPr>
                <w:lang w:eastAsia="en-AU"/>
              </w:rPr>
              <w:t>2</w:t>
            </w:r>
            <w:r w:rsidRPr="00547B6D">
              <w:rPr>
                <w:lang w:eastAsia="en-AU"/>
              </w:rPr>
              <w:t xml:space="preserve"> </w:t>
            </w:r>
            <w:r w:rsidR="00487893" w:rsidRPr="00547B6D">
              <w:rPr>
                <w:lang w:eastAsia="en-AU"/>
              </w:rPr>
              <w:t xml:space="preserve">- </w:t>
            </w:r>
            <w:r w:rsidR="000001FD" w:rsidRPr="00547B6D">
              <w:rPr>
                <w:lang w:eastAsia="en-AU"/>
              </w:rPr>
              <w:t>FY27</w:t>
            </w:r>
            <w:r w:rsidR="006537DE" w:rsidRPr="00547B6D">
              <w:rPr>
                <w:lang w:eastAsia="en-AU"/>
              </w:rPr>
              <w:t>-28</w:t>
            </w:r>
            <w:r w:rsidR="000001FD" w:rsidRPr="00547B6D">
              <w:rPr>
                <w:lang w:eastAsia="en-AU"/>
              </w:rPr>
              <w:t xml:space="preserve"> </w:t>
            </w:r>
          </w:p>
        </w:tc>
        <w:tc>
          <w:tcPr>
            <w:tcW w:w="3467" w:type="dxa"/>
            <w:shd w:val="clear" w:color="auto" w:fill="425563" w:themeFill="text1"/>
            <w:vAlign w:val="center"/>
          </w:tcPr>
          <w:p w14:paraId="017B76C8" w14:textId="2AB105F5" w:rsidR="000001FD" w:rsidRPr="00547B6D" w:rsidRDefault="00487893" w:rsidP="007E0AFE">
            <w:pPr>
              <w:pStyle w:val="Tableheadwhite"/>
              <w:rPr>
                <w:lang w:eastAsia="en-AU"/>
              </w:rPr>
            </w:pPr>
            <w:r w:rsidRPr="00547B6D">
              <w:rPr>
                <w:lang w:eastAsia="en-AU"/>
              </w:rPr>
              <w:t>Y</w:t>
            </w:r>
            <w:r w:rsidR="00547B6D">
              <w:rPr>
                <w:lang w:eastAsia="en-AU"/>
              </w:rPr>
              <w:t xml:space="preserve">ear </w:t>
            </w:r>
            <w:r w:rsidRPr="00547B6D">
              <w:rPr>
                <w:lang w:eastAsia="en-AU"/>
              </w:rPr>
              <w:t xml:space="preserve">3 – FY28 </w:t>
            </w:r>
            <w:r w:rsidR="00A53FD1" w:rsidRPr="00547B6D">
              <w:rPr>
                <w:lang w:eastAsia="en-AU"/>
              </w:rPr>
              <w:t xml:space="preserve">onwards </w:t>
            </w:r>
            <w:r w:rsidR="000001FD" w:rsidRPr="00547B6D">
              <w:rPr>
                <w:lang w:eastAsia="en-AU"/>
              </w:rPr>
              <w:t xml:space="preserve"> </w:t>
            </w:r>
          </w:p>
        </w:tc>
      </w:tr>
      <w:tr w:rsidR="00E816E9" w14:paraId="00B92B00" w14:textId="77777777" w:rsidTr="003D15AF">
        <w:tc>
          <w:tcPr>
            <w:tcW w:w="3469" w:type="dxa"/>
          </w:tcPr>
          <w:p w14:paraId="4874489C" w14:textId="77777777" w:rsidR="000001FD" w:rsidRDefault="000001FD" w:rsidP="007E0AFE">
            <w:pPr>
              <w:rPr>
                <w:noProof/>
                <w:lang w:eastAsia="en-AU"/>
              </w:rPr>
            </w:pPr>
            <w:r>
              <w:rPr>
                <w:noProof/>
                <w:lang w:eastAsia="en-AU"/>
              </w:rPr>
              <w:t>Program improvement</w:t>
            </w:r>
          </w:p>
          <w:p w14:paraId="03CC1532" w14:textId="097FD110" w:rsidR="000001FD" w:rsidRDefault="000001FD" w:rsidP="007E0AFE">
            <w:pPr>
              <w:rPr>
                <w:lang w:eastAsia="en-AU"/>
              </w:rPr>
            </w:pPr>
            <w:r w:rsidRPr="007453F3">
              <w:rPr>
                <w:lang w:eastAsia="en-AU"/>
              </w:rPr>
              <w:t xml:space="preserve">Includes data strengthening </w:t>
            </w:r>
            <w:r w:rsidR="00B6623C">
              <w:rPr>
                <w:lang w:eastAsia="en-AU"/>
              </w:rPr>
              <w:t>to</w:t>
            </w:r>
            <w:r w:rsidR="00B6623C" w:rsidRPr="007453F3">
              <w:rPr>
                <w:lang w:eastAsia="en-AU"/>
              </w:rPr>
              <w:t xml:space="preserve"> </w:t>
            </w:r>
            <w:r w:rsidRPr="007453F3">
              <w:rPr>
                <w:lang w:eastAsia="en-AU"/>
              </w:rPr>
              <w:t>support re-design</w:t>
            </w:r>
            <w:r>
              <w:rPr>
                <w:lang w:eastAsia="en-AU"/>
              </w:rPr>
              <w:t xml:space="preserve"> </w:t>
            </w:r>
          </w:p>
          <w:p w14:paraId="02D5C5CE" w14:textId="72178CD6" w:rsidR="005F6813" w:rsidRDefault="005F6813" w:rsidP="007E0AFE">
            <w:pPr>
              <w:rPr>
                <w:lang w:eastAsia="en-AU"/>
              </w:rPr>
            </w:pPr>
            <w:r>
              <w:rPr>
                <w:lang w:eastAsia="en-AU"/>
              </w:rPr>
              <w:t xml:space="preserve">Agencies with HTMS policy and delivery responsibility provide further consideration for key recommendations  </w:t>
            </w:r>
          </w:p>
          <w:p w14:paraId="278A1EA6" w14:textId="30AE7ABB" w:rsidR="003D15AF" w:rsidRDefault="005F6813" w:rsidP="007E0AFE">
            <w:pPr>
              <w:rPr>
                <w:lang w:eastAsia="en-AU"/>
              </w:rPr>
            </w:pPr>
            <w:r>
              <w:rPr>
                <w:lang w:eastAsia="en-AU"/>
              </w:rPr>
              <w:t xml:space="preserve">Co-design future program, including changes to eligibility, and sustainability  </w:t>
            </w:r>
          </w:p>
        </w:tc>
        <w:tc>
          <w:tcPr>
            <w:tcW w:w="3471" w:type="dxa"/>
          </w:tcPr>
          <w:p w14:paraId="78C696D9" w14:textId="712B3CF2" w:rsidR="00E816E9" w:rsidRDefault="00E816E9" w:rsidP="007E0AFE">
            <w:pPr>
              <w:pStyle w:val="Bullet1"/>
              <w:numPr>
                <w:ilvl w:val="0"/>
                <w:numId w:val="0"/>
              </w:numPr>
              <w:rPr>
                <w:lang w:eastAsia="en-AU"/>
              </w:rPr>
            </w:pPr>
            <w:r>
              <w:rPr>
                <w:lang w:eastAsia="en-AU"/>
              </w:rPr>
              <w:t xml:space="preserve">Seek interagency consensus on future design and </w:t>
            </w:r>
            <w:r w:rsidR="00D6050F">
              <w:rPr>
                <w:lang w:eastAsia="en-AU"/>
              </w:rPr>
              <w:t>investigate and inform possible changes to relevant frameworks</w:t>
            </w:r>
            <w:r>
              <w:rPr>
                <w:lang w:eastAsia="en-AU"/>
              </w:rPr>
              <w:t xml:space="preserve">. </w:t>
            </w:r>
          </w:p>
        </w:tc>
        <w:tc>
          <w:tcPr>
            <w:tcW w:w="3467" w:type="dxa"/>
          </w:tcPr>
          <w:p w14:paraId="75960D26" w14:textId="030883EA" w:rsidR="000001FD" w:rsidRDefault="00487893" w:rsidP="007E0AFE">
            <w:pPr>
              <w:rPr>
                <w:lang w:eastAsia="en-AU"/>
              </w:rPr>
            </w:pPr>
            <w:r>
              <w:rPr>
                <w:lang w:eastAsia="en-AU"/>
              </w:rPr>
              <w:t xml:space="preserve">Implement re-designed program </w:t>
            </w:r>
            <w:r w:rsidR="002B1466">
              <w:rPr>
                <w:lang w:eastAsia="en-AU"/>
              </w:rPr>
              <w:t>(from 1 July 2027)</w:t>
            </w:r>
            <w:r>
              <w:rPr>
                <w:lang w:eastAsia="en-AU"/>
              </w:rPr>
              <w:t xml:space="preserve"> </w:t>
            </w:r>
          </w:p>
          <w:p w14:paraId="188350A3" w14:textId="02C5F073" w:rsidR="000001FD" w:rsidRDefault="000001FD" w:rsidP="007E0AFE">
            <w:pPr>
              <w:rPr>
                <w:lang w:eastAsia="en-AU"/>
              </w:rPr>
            </w:pPr>
          </w:p>
        </w:tc>
      </w:tr>
    </w:tbl>
    <w:p w14:paraId="45EA4610" w14:textId="401CC0BE" w:rsidR="00A37092" w:rsidRPr="00F368CB" w:rsidRDefault="00392305" w:rsidP="00F368CB">
      <w:pPr>
        <w:pStyle w:val="Heading4"/>
        <w:spacing w:before="40" w:after="0" w:line="240" w:lineRule="auto"/>
        <w:rPr>
          <w:sz w:val="24"/>
          <w:szCs w:val="24"/>
        </w:rPr>
      </w:pPr>
      <w:r w:rsidRPr="00F368CB">
        <w:rPr>
          <w:sz w:val="24"/>
          <w:szCs w:val="24"/>
        </w:rPr>
        <w:t>Improve the STPP as it is currently</w:t>
      </w:r>
      <w:r w:rsidR="00A016D9" w:rsidRPr="00F368CB">
        <w:rPr>
          <w:sz w:val="24"/>
          <w:szCs w:val="24"/>
        </w:rPr>
        <w:t xml:space="preserve"> designed </w:t>
      </w:r>
    </w:p>
    <w:p w14:paraId="3BB632D7" w14:textId="2F520949"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8</w:t>
      </w:r>
      <w:r>
        <w:fldChar w:fldCharType="end"/>
      </w:r>
      <w:r>
        <w:t xml:space="preserve">. </w:t>
      </w:r>
      <w:r w:rsidRPr="00A36D88">
        <w:t>Caseworker practice</w:t>
      </w:r>
    </w:p>
    <w:tbl>
      <w:tblPr>
        <w:tblStyle w:val="WTTable2"/>
        <w:tblpPr w:leftFromText="180" w:rightFromText="180" w:vertAnchor="text" w:tblpY="1"/>
        <w:tblW w:w="5000" w:type="pct"/>
        <w:tblLook w:val="04A0" w:firstRow="1" w:lastRow="0" w:firstColumn="1" w:lastColumn="0" w:noHBand="0" w:noVBand="1"/>
      </w:tblPr>
      <w:tblGrid>
        <w:gridCol w:w="7940"/>
        <w:gridCol w:w="2527"/>
      </w:tblGrid>
      <w:tr w:rsidR="00A37092" w:rsidRPr="00C10C0B" w14:paraId="6E9A5559" w14:textId="77777777" w:rsidTr="00A37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pct"/>
          </w:tcPr>
          <w:p w14:paraId="0585ACA8" w14:textId="5120ACEE" w:rsidR="00A37092" w:rsidRPr="007B74D0" w:rsidRDefault="00A37092" w:rsidP="007E0AFE">
            <w:pPr>
              <w:pStyle w:val="Tabledot2"/>
              <w:numPr>
                <w:ilvl w:val="0"/>
                <w:numId w:val="0"/>
              </w:numPr>
              <w:ind w:left="363" w:hanging="360"/>
            </w:pPr>
            <w:r w:rsidRPr="00547B6D">
              <w:rPr>
                <w:rFonts w:asciiTheme="majorHAnsi" w:hAnsiTheme="majorHAnsi"/>
                <w:color w:val="FFFFFF" w:themeColor="background1"/>
              </w:rPr>
              <w:t xml:space="preserve">Recommendation </w:t>
            </w:r>
          </w:p>
        </w:tc>
        <w:tc>
          <w:tcPr>
            <w:tcW w:w="1207" w:type="pct"/>
          </w:tcPr>
          <w:p w14:paraId="743D4C05" w14:textId="68E7B5DA" w:rsidR="00A37092" w:rsidRPr="00C10C0B" w:rsidRDefault="00A37092" w:rsidP="007E0AFE">
            <w:pPr>
              <w:pStyle w:val="TableText"/>
              <w:cnfStyle w:val="100000000000" w:firstRow="1" w:lastRow="0" w:firstColumn="0" w:lastColumn="0" w:oddVBand="0" w:evenVBand="0" w:oddHBand="0" w:evenHBand="0" w:firstRowFirstColumn="0" w:firstRowLastColumn="0" w:lastRowFirstColumn="0" w:lastRowLastColumn="0"/>
            </w:pPr>
            <w:r w:rsidRPr="00547B6D">
              <w:rPr>
                <w:rFonts w:asciiTheme="majorHAnsi" w:hAnsiTheme="majorHAnsi"/>
                <w:color w:val="FFFFFF" w:themeColor="background1"/>
              </w:rPr>
              <w:t>Organisations involved</w:t>
            </w:r>
            <w:r w:rsidRPr="00547B6D">
              <w:rPr>
                <w:rStyle w:val="FootnoteReference"/>
                <w:rFonts w:asciiTheme="majorHAnsi" w:hAnsiTheme="majorHAnsi"/>
                <w:color w:val="FFFFFF" w:themeColor="background1"/>
              </w:rPr>
              <w:footnoteReference w:id="7"/>
            </w:r>
          </w:p>
        </w:tc>
      </w:tr>
      <w:tr w:rsidR="00A37092" w:rsidRPr="00C10C0B" w14:paraId="63A105BF" w14:textId="77777777" w:rsidTr="00A37092">
        <w:tc>
          <w:tcPr>
            <w:cnfStyle w:val="001000000000" w:firstRow="0" w:lastRow="0" w:firstColumn="1" w:lastColumn="0" w:oddVBand="0" w:evenVBand="0" w:oddHBand="0" w:evenHBand="0" w:firstRowFirstColumn="0" w:firstRowLastColumn="0" w:lastRowFirstColumn="0" w:lastRowLastColumn="0"/>
            <w:tcW w:w="3793" w:type="pct"/>
          </w:tcPr>
          <w:p w14:paraId="7DFF9843" w14:textId="77777777" w:rsidR="00A37092" w:rsidRPr="00C10C0B" w:rsidRDefault="00A37092" w:rsidP="007E0AFE">
            <w:pPr>
              <w:pStyle w:val="Tabledot2"/>
            </w:pPr>
            <w:r w:rsidRPr="007B74D0">
              <w:t>Include component training for caseworker/management on how to effectively support participants to understand their safety risks, rights and support options.</w:t>
            </w:r>
          </w:p>
        </w:tc>
        <w:tc>
          <w:tcPr>
            <w:tcW w:w="1207" w:type="pct"/>
          </w:tcPr>
          <w:p w14:paraId="51812CD0" w14:textId="77777777"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C10C0B">
              <w:t>STPP provider</w:t>
            </w:r>
          </w:p>
        </w:tc>
      </w:tr>
      <w:tr w:rsidR="00A37092" w:rsidRPr="00C10C0B" w14:paraId="4C99E65F" w14:textId="77777777" w:rsidTr="00A37092">
        <w:trPr>
          <w:trHeight w:val="70"/>
        </w:trPr>
        <w:tc>
          <w:tcPr>
            <w:cnfStyle w:val="001000000000" w:firstRow="0" w:lastRow="0" w:firstColumn="1" w:lastColumn="0" w:oddVBand="0" w:evenVBand="0" w:oddHBand="0" w:evenHBand="0" w:firstRowFirstColumn="0" w:firstRowLastColumn="0" w:lastRowFirstColumn="0" w:lastRowLastColumn="0"/>
            <w:tcW w:w="3793" w:type="pct"/>
          </w:tcPr>
          <w:p w14:paraId="33665697" w14:textId="77777777" w:rsidR="00A37092" w:rsidRPr="00C10C0B" w:rsidRDefault="00A37092" w:rsidP="007E0AFE">
            <w:pPr>
              <w:pStyle w:val="Tabledot2"/>
            </w:pPr>
            <w:r>
              <w:t>Continue to build capability of caseworkers to better meet the needs of participants with complex mental health and addiction needs.</w:t>
            </w:r>
          </w:p>
        </w:tc>
        <w:tc>
          <w:tcPr>
            <w:tcW w:w="1207" w:type="pct"/>
          </w:tcPr>
          <w:p w14:paraId="7814AF66" w14:textId="77777777"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C10C0B">
              <w:t>STPP provider</w:t>
            </w:r>
          </w:p>
        </w:tc>
      </w:tr>
      <w:tr w:rsidR="00A37092" w:rsidRPr="00C10C0B" w14:paraId="4573380B" w14:textId="77777777" w:rsidTr="00A37092">
        <w:trPr>
          <w:trHeight w:val="70"/>
        </w:trPr>
        <w:tc>
          <w:tcPr>
            <w:cnfStyle w:val="001000000000" w:firstRow="0" w:lastRow="0" w:firstColumn="1" w:lastColumn="0" w:oddVBand="0" w:evenVBand="0" w:oddHBand="0" w:evenHBand="0" w:firstRowFirstColumn="0" w:firstRowLastColumn="0" w:lastRowFirstColumn="0" w:lastRowLastColumn="0"/>
            <w:tcW w:w="3793" w:type="pct"/>
          </w:tcPr>
          <w:p w14:paraId="4727B057" w14:textId="77777777" w:rsidR="00A37092" w:rsidRDefault="00A37092" w:rsidP="007E0AFE">
            <w:pPr>
              <w:pStyle w:val="Tabledot2"/>
            </w:pPr>
            <w:r>
              <w:t xml:space="preserve">Ensure that the needs of the changing caseload are reflected in practice frameworks, </w:t>
            </w:r>
            <w:r>
              <w:lastRenderedPageBreak/>
              <w:t>policies and training.</w:t>
            </w:r>
          </w:p>
        </w:tc>
        <w:tc>
          <w:tcPr>
            <w:tcW w:w="1207" w:type="pct"/>
          </w:tcPr>
          <w:p w14:paraId="58A4CDAD" w14:textId="77777777"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C10C0B">
              <w:lastRenderedPageBreak/>
              <w:t>STPP provider</w:t>
            </w:r>
          </w:p>
        </w:tc>
      </w:tr>
      <w:tr w:rsidR="00A37092" w:rsidRPr="00C10C0B" w14:paraId="28D7056F" w14:textId="77777777" w:rsidTr="00A37092">
        <w:trPr>
          <w:trHeight w:val="70"/>
        </w:trPr>
        <w:tc>
          <w:tcPr>
            <w:cnfStyle w:val="001000000000" w:firstRow="0" w:lastRow="0" w:firstColumn="1" w:lastColumn="0" w:oddVBand="0" w:evenVBand="0" w:oddHBand="0" w:evenHBand="0" w:firstRowFirstColumn="0" w:firstRowLastColumn="0" w:lastRowFirstColumn="0" w:lastRowLastColumn="0"/>
            <w:tcW w:w="3793" w:type="pct"/>
          </w:tcPr>
          <w:p w14:paraId="7039E1CC" w14:textId="77777777" w:rsidR="00A37092" w:rsidRPr="00D40C51" w:rsidRDefault="00A37092" w:rsidP="007E0AFE">
            <w:pPr>
              <w:pStyle w:val="Tabledot2"/>
            </w:pPr>
            <w:r w:rsidRPr="00317B70">
              <w:t>Develop strategies for managing participant dependency on caseworkers and safe exit</w:t>
            </w:r>
            <w:r>
              <w:t xml:space="preserve"> from exploitation</w:t>
            </w:r>
            <w:r w:rsidRPr="00317B70">
              <w:t>.</w:t>
            </w:r>
          </w:p>
        </w:tc>
        <w:tc>
          <w:tcPr>
            <w:tcW w:w="1207" w:type="pct"/>
          </w:tcPr>
          <w:p w14:paraId="77984D36" w14:textId="77777777"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provider</w:t>
            </w:r>
          </w:p>
        </w:tc>
      </w:tr>
    </w:tbl>
    <w:p w14:paraId="1266270E" w14:textId="278BA573"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9</w:t>
      </w:r>
      <w:r>
        <w:fldChar w:fldCharType="end"/>
      </w:r>
      <w:r>
        <w:t>.</w:t>
      </w:r>
      <w:r w:rsidRPr="00A36D88">
        <w:t xml:space="preserve"> Quality assurance</w:t>
      </w:r>
    </w:p>
    <w:tbl>
      <w:tblPr>
        <w:tblStyle w:val="WTTable2"/>
        <w:tblpPr w:leftFromText="180" w:rightFromText="180" w:vertAnchor="text" w:tblpY="1"/>
        <w:tblW w:w="5000" w:type="pct"/>
        <w:tblLook w:val="04A0" w:firstRow="1" w:lastRow="0" w:firstColumn="1" w:lastColumn="0" w:noHBand="0" w:noVBand="1"/>
      </w:tblPr>
      <w:tblGrid>
        <w:gridCol w:w="7940"/>
        <w:gridCol w:w="2527"/>
      </w:tblGrid>
      <w:tr w:rsidR="00A37092" w:rsidRPr="00C10C0B" w14:paraId="50410070" w14:textId="77777777" w:rsidTr="007E1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pct"/>
          </w:tcPr>
          <w:p w14:paraId="60408D9D" w14:textId="77777777" w:rsidR="00A37092" w:rsidRPr="007B74D0" w:rsidRDefault="00A37092" w:rsidP="007E0AFE">
            <w:pPr>
              <w:pStyle w:val="Tabledot2"/>
              <w:numPr>
                <w:ilvl w:val="0"/>
                <w:numId w:val="0"/>
              </w:numPr>
              <w:ind w:left="363" w:hanging="360"/>
            </w:pPr>
            <w:r w:rsidRPr="00547B6D">
              <w:rPr>
                <w:rFonts w:asciiTheme="majorHAnsi" w:hAnsiTheme="majorHAnsi"/>
                <w:color w:val="FFFFFF" w:themeColor="background1"/>
              </w:rPr>
              <w:t xml:space="preserve">Recommendation </w:t>
            </w:r>
          </w:p>
        </w:tc>
        <w:tc>
          <w:tcPr>
            <w:tcW w:w="1207" w:type="pct"/>
          </w:tcPr>
          <w:p w14:paraId="2785BA18" w14:textId="77777777" w:rsidR="00A37092" w:rsidRPr="00C10C0B" w:rsidRDefault="00A37092" w:rsidP="007E0AFE">
            <w:pPr>
              <w:pStyle w:val="TableText"/>
              <w:cnfStyle w:val="100000000000" w:firstRow="1" w:lastRow="0" w:firstColumn="0" w:lastColumn="0" w:oddVBand="0" w:evenVBand="0" w:oddHBand="0" w:evenHBand="0" w:firstRowFirstColumn="0" w:firstRowLastColumn="0" w:lastRowFirstColumn="0" w:lastRowLastColumn="0"/>
            </w:pPr>
            <w:r w:rsidRPr="00547B6D">
              <w:rPr>
                <w:rFonts w:asciiTheme="majorHAnsi" w:hAnsiTheme="majorHAnsi"/>
                <w:color w:val="FFFFFF" w:themeColor="background1"/>
              </w:rPr>
              <w:t>Organisations involved</w:t>
            </w:r>
            <w:r w:rsidRPr="00547B6D">
              <w:rPr>
                <w:rStyle w:val="FootnoteReference"/>
                <w:rFonts w:asciiTheme="majorHAnsi" w:hAnsiTheme="majorHAnsi"/>
                <w:color w:val="FFFFFF" w:themeColor="background1"/>
              </w:rPr>
              <w:footnoteReference w:id="8"/>
            </w:r>
          </w:p>
        </w:tc>
      </w:tr>
      <w:tr w:rsidR="00A37092" w:rsidRPr="00C10C0B" w14:paraId="7379CF3D" w14:textId="77777777">
        <w:tc>
          <w:tcPr>
            <w:cnfStyle w:val="001000000000" w:firstRow="0" w:lastRow="0" w:firstColumn="1" w:lastColumn="0" w:oddVBand="0" w:evenVBand="0" w:oddHBand="0" w:evenHBand="0" w:firstRowFirstColumn="0" w:firstRowLastColumn="0" w:lastRowFirstColumn="0" w:lastRowLastColumn="0"/>
            <w:tcW w:w="3793" w:type="pct"/>
          </w:tcPr>
          <w:p w14:paraId="68BA9ABB" w14:textId="48E76501" w:rsidR="00A37092" w:rsidRPr="00C10C0B" w:rsidRDefault="00A37092" w:rsidP="007E0AFE">
            <w:pPr>
              <w:pStyle w:val="Tabledot2"/>
            </w:pPr>
            <w:r>
              <w:t xml:space="preserve">Continue and strengthen </w:t>
            </w:r>
            <w:r w:rsidRPr="00317B70">
              <w:t>routine/random quality audit of caseworker interaction with participants as part of quality assurance.</w:t>
            </w:r>
          </w:p>
        </w:tc>
        <w:tc>
          <w:tcPr>
            <w:tcW w:w="1207" w:type="pct"/>
          </w:tcPr>
          <w:p w14:paraId="59CEF42A" w14:textId="4A74906B"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provider</w:t>
            </w:r>
          </w:p>
        </w:tc>
      </w:tr>
      <w:tr w:rsidR="00A37092" w:rsidRPr="00C10C0B" w14:paraId="36B661B7" w14:textId="77777777">
        <w:trPr>
          <w:trHeight w:val="70"/>
        </w:trPr>
        <w:tc>
          <w:tcPr>
            <w:cnfStyle w:val="001000000000" w:firstRow="0" w:lastRow="0" w:firstColumn="1" w:lastColumn="0" w:oddVBand="0" w:evenVBand="0" w:oddHBand="0" w:evenHBand="0" w:firstRowFirstColumn="0" w:firstRowLastColumn="0" w:lastRowFirstColumn="0" w:lastRowLastColumn="0"/>
            <w:tcW w:w="3793" w:type="pct"/>
          </w:tcPr>
          <w:p w14:paraId="23104B27" w14:textId="303596BE" w:rsidR="00A37092" w:rsidRPr="00C10C0B" w:rsidRDefault="00A37092" w:rsidP="007E0AFE">
            <w:pPr>
              <w:pStyle w:val="Tabledot2"/>
            </w:pPr>
            <w:r w:rsidRPr="00BC3B5A">
              <w:t xml:space="preserve">Explore </w:t>
            </w:r>
            <w:r>
              <w:t xml:space="preserve">more </w:t>
            </w:r>
            <w:r w:rsidRPr="00BC3B5A">
              <w:t>cost</w:t>
            </w:r>
            <w:r>
              <w:t>-</w:t>
            </w:r>
            <w:r w:rsidRPr="00BC3B5A">
              <w:t>efficien</w:t>
            </w:r>
            <w:r>
              <w:t>t</w:t>
            </w:r>
            <w:r w:rsidRPr="00BC3B5A">
              <w:t xml:space="preserve"> </w:t>
            </w:r>
            <w:r>
              <w:t>alternatives</w:t>
            </w:r>
            <w:r w:rsidRPr="00BC3B5A">
              <w:t xml:space="preserve"> for high spend items such as accommodation</w:t>
            </w:r>
            <w:r>
              <w:t>.</w:t>
            </w:r>
          </w:p>
        </w:tc>
        <w:tc>
          <w:tcPr>
            <w:tcW w:w="1207" w:type="pct"/>
          </w:tcPr>
          <w:p w14:paraId="431FD18A" w14:textId="6BACA84E"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BC3B5A">
              <w:t>STPP provider</w:t>
            </w:r>
            <w:r>
              <w:t>/DSS</w:t>
            </w:r>
          </w:p>
        </w:tc>
      </w:tr>
      <w:tr w:rsidR="00A37092" w:rsidRPr="00C10C0B" w14:paraId="38BE885A" w14:textId="77777777">
        <w:trPr>
          <w:trHeight w:val="70"/>
        </w:trPr>
        <w:tc>
          <w:tcPr>
            <w:cnfStyle w:val="001000000000" w:firstRow="0" w:lastRow="0" w:firstColumn="1" w:lastColumn="0" w:oddVBand="0" w:evenVBand="0" w:oddHBand="0" w:evenHBand="0" w:firstRowFirstColumn="0" w:firstRowLastColumn="0" w:lastRowFirstColumn="0" w:lastRowLastColumn="0"/>
            <w:tcW w:w="3793" w:type="pct"/>
          </w:tcPr>
          <w:p w14:paraId="0DCF875E" w14:textId="74F738BA" w:rsidR="00A37092" w:rsidRDefault="00A37092" w:rsidP="007E0AFE">
            <w:pPr>
              <w:pStyle w:val="Tabledot2"/>
            </w:pPr>
            <w:r>
              <w:t xml:space="preserve">Model </w:t>
            </w:r>
            <w:r w:rsidRPr="00BC3B5A">
              <w:t xml:space="preserve">funding </w:t>
            </w:r>
            <w:r>
              <w:t xml:space="preserve">required </w:t>
            </w:r>
            <w:r w:rsidRPr="00BC3B5A">
              <w:t xml:space="preserve">for different complexity </w:t>
            </w:r>
            <w:r>
              <w:t>participants</w:t>
            </w:r>
            <w:r w:rsidRPr="00BC3B5A">
              <w:t xml:space="preserve"> and use this as a basis for business planning and supporting the STPP to flexibly meet the needs of a changing cohort</w:t>
            </w:r>
            <w:r>
              <w:t>.</w:t>
            </w:r>
            <w:r w:rsidRPr="00BC3B5A">
              <w:t xml:space="preserve"> </w:t>
            </w:r>
          </w:p>
        </w:tc>
        <w:tc>
          <w:tcPr>
            <w:tcW w:w="1207" w:type="pct"/>
          </w:tcPr>
          <w:p w14:paraId="6D88EB7A" w14:textId="296E7CAF"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BC3B5A">
              <w:t xml:space="preserve">STPP </w:t>
            </w:r>
            <w:r>
              <w:t>provider/DSS</w:t>
            </w:r>
          </w:p>
        </w:tc>
      </w:tr>
    </w:tbl>
    <w:p w14:paraId="623FF99A" w14:textId="77777777" w:rsidR="00A36D88" w:rsidRDefault="00A36D88" w:rsidP="00A36D88">
      <w:pPr>
        <w:pStyle w:val="Caption"/>
      </w:pPr>
    </w:p>
    <w:p w14:paraId="78419E5E" w14:textId="46E6FEDC"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10</w:t>
      </w:r>
      <w:r>
        <w:fldChar w:fldCharType="end"/>
      </w:r>
      <w:r>
        <w:t xml:space="preserve">. </w:t>
      </w:r>
      <w:r w:rsidRPr="00A36D88">
        <w:t>Measuring outcomes</w:t>
      </w:r>
    </w:p>
    <w:tbl>
      <w:tblPr>
        <w:tblStyle w:val="WTTable2"/>
        <w:tblpPr w:leftFromText="180" w:rightFromText="180" w:vertAnchor="text" w:tblpY="1"/>
        <w:tblW w:w="5000" w:type="pct"/>
        <w:tblLook w:val="04A0" w:firstRow="1" w:lastRow="0" w:firstColumn="1" w:lastColumn="0" w:noHBand="0" w:noVBand="1"/>
      </w:tblPr>
      <w:tblGrid>
        <w:gridCol w:w="7940"/>
        <w:gridCol w:w="2527"/>
      </w:tblGrid>
      <w:tr w:rsidR="00A37092" w:rsidRPr="00C10C0B" w14:paraId="471F8CB4" w14:textId="77777777" w:rsidTr="00A36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pct"/>
          </w:tcPr>
          <w:p w14:paraId="23603EEF" w14:textId="77777777" w:rsidR="00A37092" w:rsidRPr="007B74D0" w:rsidRDefault="00A37092" w:rsidP="007E0AFE">
            <w:pPr>
              <w:pStyle w:val="Tabledot2"/>
              <w:numPr>
                <w:ilvl w:val="0"/>
                <w:numId w:val="0"/>
              </w:numPr>
              <w:ind w:left="363" w:hanging="360"/>
            </w:pPr>
            <w:r w:rsidRPr="00547B6D">
              <w:rPr>
                <w:rFonts w:asciiTheme="majorHAnsi" w:hAnsiTheme="majorHAnsi"/>
                <w:color w:val="FFFFFF" w:themeColor="background1"/>
              </w:rPr>
              <w:t xml:space="preserve">Recommendation </w:t>
            </w:r>
          </w:p>
        </w:tc>
        <w:tc>
          <w:tcPr>
            <w:tcW w:w="1207" w:type="pct"/>
          </w:tcPr>
          <w:p w14:paraId="3E5B141E" w14:textId="77777777" w:rsidR="00A37092" w:rsidRPr="00C10C0B" w:rsidRDefault="00A37092" w:rsidP="007E0AFE">
            <w:pPr>
              <w:pStyle w:val="TableText"/>
              <w:cnfStyle w:val="100000000000" w:firstRow="1" w:lastRow="0" w:firstColumn="0" w:lastColumn="0" w:oddVBand="0" w:evenVBand="0" w:oddHBand="0" w:evenHBand="0" w:firstRowFirstColumn="0" w:firstRowLastColumn="0" w:lastRowFirstColumn="0" w:lastRowLastColumn="0"/>
            </w:pPr>
            <w:r w:rsidRPr="00547B6D">
              <w:rPr>
                <w:rFonts w:asciiTheme="majorHAnsi" w:hAnsiTheme="majorHAnsi"/>
                <w:color w:val="FFFFFF" w:themeColor="background1"/>
              </w:rPr>
              <w:t>Organisations involved</w:t>
            </w:r>
            <w:r w:rsidRPr="00547B6D">
              <w:rPr>
                <w:rStyle w:val="FootnoteReference"/>
                <w:rFonts w:asciiTheme="majorHAnsi" w:hAnsiTheme="majorHAnsi"/>
                <w:color w:val="FFFFFF" w:themeColor="background1"/>
              </w:rPr>
              <w:footnoteReference w:id="9"/>
            </w:r>
          </w:p>
        </w:tc>
      </w:tr>
      <w:tr w:rsidR="00A37092" w:rsidRPr="00C10C0B" w14:paraId="363AE7E7" w14:textId="77777777" w:rsidTr="00A36D88">
        <w:trPr>
          <w:cantSplit/>
        </w:trPr>
        <w:tc>
          <w:tcPr>
            <w:cnfStyle w:val="001000000000" w:firstRow="0" w:lastRow="0" w:firstColumn="1" w:lastColumn="0" w:oddVBand="0" w:evenVBand="0" w:oddHBand="0" w:evenHBand="0" w:firstRowFirstColumn="0" w:firstRowLastColumn="0" w:lastRowFirstColumn="0" w:lastRowLastColumn="0"/>
            <w:tcW w:w="3793" w:type="pct"/>
          </w:tcPr>
          <w:p w14:paraId="2065AC03" w14:textId="32A7630B" w:rsidR="00A37092" w:rsidRPr="00C10C0B" w:rsidRDefault="00A37092" w:rsidP="007E0AFE">
            <w:pPr>
              <w:pStyle w:val="Tabledot2"/>
            </w:pPr>
            <w:r w:rsidRPr="00317B70">
              <w:t>Test (with participants and caseworkers) and establish data points in the participant journey that indicate the participant’s level of understanding of their safety risks, rights and support options.</w:t>
            </w:r>
          </w:p>
        </w:tc>
        <w:tc>
          <w:tcPr>
            <w:tcW w:w="1207" w:type="pct"/>
          </w:tcPr>
          <w:p w14:paraId="7784A1AA" w14:textId="4A75FC71"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provider/DSS</w:t>
            </w:r>
          </w:p>
        </w:tc>
      </w:tr>
      <w:tr w:rsidR="00A37092" w:rsidRPr="00C10C0B" w14:paraId="50A8196E" w14:textId="77777777" w:rsidTr="00A36D88">
        <w:trPr>
          <w:cantSplit/>
          <w:trHeight w:val="70"/>
        </w:trPr>
        <w:tc>
          <w:tcPr>
            <w:cnfStyle w:val="001000000000" w:firstRow="0" w:lastRow="0" w:firstColumn="1" w:lastColumn="0" w:oddVBand="0" w:evenVBand="0" w:oddHBand="0" w:evenHBand="0" w:firstRowFirstColumn="0" w:firstRowLastColumn="0" w:lastRowFirstColumn="0" w:lastRowLastColumn="0"/>
            <w:tcW w:w="3793" w:type="pct"/>
          </w:tcPr>
          <w:p w14:paraId="0CDF4730" w14:textId="78E64366" w:rsidR="00A37092" w:rsidRPr="00C10C0B" w:rsidRDefault="00A37092" w:rsidP="007E0AFE">
            <w:pPr>
              <w:pStyle w:val="Tabledot2"/>
            </w:pPr>
            <w:r w:rsidRPr="00317B70">
              <w:t xml:space="preserve">Collect quantitative data for the outcomes hypothesised </w:t>
            </w:r>
            <w:r>
              <w:t>in this evaluation</w:t>
            </w:r>
            <w:r w:rsidRPr="00317B70">
              <w:t xml:space="preserve"> (</w:t>
            </w:r>
            <w:r>
              <w:t xml:space="preserve">e.g. </w:t>
            </w:r>
            <w:r w:rsidRPr="00317B70">
              <w:t xml:space="preserve">stabilisation, healing) </w:t>
            </w:r>
            <w:r>
              <w:t>at</w:t>
            </w:r>
            <w:r w:rsidRPr="00317B70">
              <w:t xml:space="preserve"> entry, point in time and exit </w:t>
            </w:r>
            <w:r>
              <w:t>in addition to</w:t>
            </w:r>
            <w:r w:rsidRPr="00317B70">
              <w:t xml:space="preserve"> the post-program survey. </w:t>
            </w:r>
          </w:p>
        </w:tc>
        <w:tc>
          <w:tcPr>
            <w:tcW w:w="1207" w:type="pct"/>
          </w:tcPr>
          <w:p w14:paraId="6CBAADBD" w14:textId="0F6981D4"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provider/DSS</w:t>
            </w:r>
          </w:p>
        </w:tc>
      </w:tr>
      <w:tr w:rsidR="00A37092" w:rsidRPr="00C10C0B" w14:paraId="11D316EE" w14:textId="77777777" w:rsidTr="00A36D88">
        <w:trPr>
          <w:cantSplit/>
          <w:trHeight w:val="70"/>
        </w:trPr>
        <w:tc>
          <w:tcPr>
            <w:cnfStyle w:val="001000000000" w:firstRow="0" w:lastRow="0" w:firstColumn="1" w:lastColumn="0" w:oddVBand="0" w:evenVBand="0" w:oddHBand="0" w:evenHBand="0" w:firstRowFirstColumn="0" w:firstRowLastColumn="0" w:lastRowFirstColumn="0" w:lastRowLastColumn="0"/>
            <w:tcW w:w="3793" w:type="pct"/>
          </w:tcPr>
          <w:p w14:paraId="5BE46ED8" w14:textId="53219DD0" w:rsidR="00A37092" w:rsidRDefault="00A37092" w:rsidP="007E0AFE">
            <w:pPr>
              <w:pStyle w:val="Tabledot2"/>
            </w:pPr>
            <w:r w:rsidRPr="0036668D">
              <w:t>Consider administrative data linkage (e.g. DOMINO) for impact measurement.</w:t>
            </w:r>
          </w:p>
        </w:tc>
        <w:tc>
          <w:tcPr>
            <w:tcW w:w="1207" w:type="pct"/>
          </w:tcPr>
          <w:p w14:paraId="657D4529" w14:textId="3D3C2A8C" w:rsidR="00A37092" w:rsidRPr="00C10C0B"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provider/DSS</w:t>
            </w:r>
          </w:p>
        </w:tc>
      </w:tr>
      <w:tr w:rsidR="00A37092" w:rsidRPr="00C10C0B" w14:paraId="0AAC6070" w14:textId="77777777" w:rsidTr="00A36D88">
        <w:trPr>
          <w:cantSplit/>
          <w:trHeight w:val="70"/>
        </w:trPr>
        <w:tc>
          <w:tcPr>
            <w:cnfStyle w:val="001000000000" w:firstRow="0" w:lastRow="0" w:firstColumn="1" w:lastColumn="0" w:oddVBand="0" w:evenVBand="0" w:oddHBand="0" w:evenHBand="0" w:firstRowFirstColumn="0" w:firstRowLastColumn="0" w:lastRowFirstColumn="0" w:lastRowLastColumn="0"/>
            <w:tcW w:w="3793" w:type="pct"/>
          </w:tcPr>
          <w:p w14:paraId="0AC98E9C" w14:textId="48390624" w:rsidR="00A37092" w:rsidRDefault="00A37092" w:rsidP="007E0AFE">
            <w:pPr>
              <w:pStyle w:val="Tabledot2"/>
            </w:pPr>
            <w:r w:rsidRPr="00317B70">
              <w:t xml:space="preserve">Seek structured, quantitative feedback on effects on participants arising from criminal justice system involvement and satisfaction with STPP provider support. </w:t>
            </w:r>
          </w:p>
        </w:tc>
        <w:tc>
          <w:tcPr>
            <w:tcW w:w="1207" w:type="pct"/>
          </w:tcPr>
          <w:p w14:paraId="7170AD11" w14:textId="4EAD5F48" w:rsidR="00A37092" w:rsidRPr="00BC3B5A"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provider/DSS</w:t>
            </w:r>
          </w:p>
        </w:tc>
      </w:tr>
      <w:tr w:rsidR="00A37092" w:rsidRPr="00C10C0B" w14:paraId="3E9AA35A" w14:textId="77777777" w:rsidTr="00A36D88">
        <w:trPr>
          <w:cantSplit/>
          <w:trHeight w:val="70"/>
        </w:trPr>
        <w:tc>
          <w:tcPr>
            <w:cnfStyle w:val="001000000000" w:firstRow="0" w:lastRow="0" w:firstColumn="1" w:lastColumn="0" w:oddVBand="0" w:evenVBand="0" w:oddHBand="0" w:evenHBand="0" w:firstRowFirstColumn="0" w:firstRowLastColumn="0" w:lastRowFirstColumn="0" w:lastRowLastColumn="0"/>
            <w:tcW w:w="3793" w:type="pct"/>
          </w:tcPr>
          <w:p w14:paraId="6A4BBB00" w14:textId="6C2D1C94" w:rsidR="00A37092" w:rsidRDefault="00A37092" w:rsidP="007E0AFE">
            <w:pPr>
              <w:pStyle w:val="Tabledot2"/>
            </w:pPr>
            <w:r w:rsidRPr="00317B70">
              <w:t>Facilitate more powerful analysis of the impact of service provision through systematically</w:t>
            </w:r>
            <w:r>
              <w:t xml:space="preserve"> linking the following data points: </w:t>
            </w:r>
            <w:r w:rsidRPr="00317B70">
              <w:t>referrals to external organisations, dates and details of casework sessions</w:t>
            </w:r>
            <w:r>
              <w:t>,</w:t>
            </w:r>
            <w:r w:rsidRPr="00317B70">
              <w:t xml:space="preserve"> expenditure data </w:t>
            </w:r>
            <w:r>
              <w:t>and</w:t>
            </w:r>
            <w:r w:rsidRPr="00317B70">
              <w:t xml:space="preserve"> participant administrative records.</w:t>
            </w:r>
          </w:p>
        </w:tc>
        <w:tc>
          <w:tcPr>
            <w:tcW w:w="1207" w:type="pct"/>
          </w:tcPr>
          <w:p w14:paraId="7651E3BC" w14:textId="19AE484A" w:rsidR="00A37092" w:rsidRPr="00BC3B5A"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provider/DSS</w:t>
            </w:r>
          </w:p>
        </w:tc>
      </w:tr>
      <w:tr w:rsidR="00A37092" w:rsidRPr="00C10C0B" w14:paraId="796BA40F" w14:textId="77777777" w:rsidTr="00A36D88">
        <w:trPr>
          <w:cantSplit/>
          <w:trHeight w:val="70"/>
        </w:trPr>
        <w:tc>
          <w:tcPr>
            <w:cnfStyle w:val="001000000000" w:firstRow="0" w:lastRow="0" w:firstColumn="1" w:lastColumn="0" w:oddVBand="0" w:evenVBand="0" w:oddHBand="0" w:evenHBand="0" w:firstRowFirstColumn="0" w:firstRowLastColumn="0" w:lastRowFirstColumn="0" w:lastRowLastColumn="0"/>
            <w:tcW w:w="3793" w:type="pct"/>
          </w:tcPr>
          <w:p w14:paraId="091C3697" w14:textId="4E17EF5C" w:rsidR="00A37092" w:rsidRDefault="00A37092" w:rsidP="007E0AFE">
            <w:pPr>
              <w:pStyle w:val="Tabledot2"/>
            </w:pPr>
            <w:r>
              <w:t>DSS c</w:t>
            </w:r>
            <w:r w:rsidRPr="00317B70">
              <w:t xml:space="preserve">oordinate with </w:t>
            </w:r>
            <w:r>
              <w:t>the STPP and ARP providers</w:t>
            </w:r>
            <w:r w:rsidRPr="00317B70">
              <w:t xml:space="preserve"> to standardise data collection and </w:t>
            </w:r>
            <w:r>
              <w:t>link records for</w:t>
            </w:r>
            <w:r w:rsidRPr="00317B70">
              <w:t xml:space="preserve"> shared </w:t>
            </w:r>
            <w:r>
              <w:t>clients</w:t>
            </w:r>
            <w:r w:rsidRPr="00317B70">
              <w:t>.</w:t>
            </w:r>
          </w:p>
        </w:tc>
        <w:tc>
          <w:tcPr>
            <w:tcW w:w="1207" w:type="pct"/>
          </w:tcPr>
          <w:p w14:paraId="1A66EBAA" w14:textId="07468A45" w:rsidR="00A37092" w:rsidRPr="00BC3B5A" w:rsidRDefault="00A37092" w:rsidP="007E0AFE">
            <w:pPr>
              <w:pStyle w:val="TableText"/>
              <w:cnfStyle w:val="000000000000" w:firstRow="0" w:lastRow="0" w:firstColumn="0" w:lastColumn="0" w:oddVBand="0" w:evenVBand="0" w:oddHBand="0" w:evenHBand="0" w:firstRowFirstColumn="0" w:firstRowLastColumn="0" w:lastRowFirstColumn="0" w:lastRowLastColumn="0"/>
            </w:pPr>
            <w:r w:rsidRPr="00317B70">
              <w:t>STPP and ARP providers /DSS</w:t>
            </w:r>
          </w:p>
        </w:tc>
      </w:tr>
    </w:tbl>
    <w:p w14:paraId="2461B64E" w14:textId="77777777" w:rsidR="00A37092" w:rsidRPr="00A37092" w:rsidRDefault="00A37092" w:rsidP="007E0AFE"/>
    <w:p w14:paraId="087129DF" w14:textId="77777777" w:rsidR="00623108" w:rsidRDefault="00623108" w:rsidP="00A36D88"/>
    <w:p w14:paraId="143F3D6F" w14:textId="77777777" w:rsidR="00623108" w:rsidRDefault="00623108" w:rsidP="007E0AFE">
      <w:pPr>
        <w:spacing w:before="0" w:after="160" w:line="259" w:lineRule="auto"/>
        <w:rPr>
          <w:rFonts w:asciiTheme="majorHAnsi" w:eastAsiaTheme="majorEastAsia" w:hAnsiTheme="majorHAnsi" w:cstheme="majorBidi"/>
          <w:color w:val="425563" w:themeColor="text1"/>
          <w:sz w:val="22"/>
          <w:szCs w:val="24"/>
        </w:rPr>
      </w:pPr>
      <w:r>
        <w:br w:type="page"/>
      </w:r>
    </w:p>
    <w:p w14:paraId="7470CB43" w14:textId="5DD75DF2" w:rsidR="007567B4" w:rsidRPr="00F368CB" w:rsidRDefault="007567B4" w:rsidP="00F368CB">
      <w:pPr>
        <w:pStyle w:val="Heading4"/>
        <w:spacing w:before="40" w:after="0" w:line="240" w:lineRule="auto"/>
        <w:rPr>
          <w:sz w:val="24"/>
          <w:szCs w:val="24"/>
        </w:rPr>
      </w:pPr>
      <w:r w:rsidRPr="00F368CB">
        <w:rPr>
          <w:sz w:val="24"/>
          <w:szCs w:val="24"/>
        </w:rPr>
        <w:lastRenderedPageBreak/>
        <w:t xml:space="preserve">Improve the STPP </w:t>
      </w:r>
      <w:r w:rsidR="00DA7E27" w:rsidRPr="00F368CB">
        <w:rPr>
          <w:sz w:val="24"/>
          <w:szCs w:val="24"/>
        </w:rPr>
        <w:t>(ARP)</w:t>
      </w:r>
      <w:r w:rsidRPr="00F368CB">
        <w:rPr>
          <w:sz w:val="24"/>
          <w:szCs w:val="24"/>
        </w:rPr>
        <w:t xml:space="preserve"> </w:t>
      </w:r>
      <w:r w:rsidR="003C2767" w:rsidRPr="00F368CB">
        <w:rPr>
          <w:sz w:val="24"/>
          <w:szCs w:val="24"/>
        </w:rPr>
        <w:t>d</w:t>
      </w:r>
      <w:r w:rsidRPr="00F368CB">
        <w:rPr>
          <w:sz w:val="24"/>
          <w:szCs w:val="24"/>
        </w:rPr>
        <w:t>esign</w:t>
      </w:r>
    </w:p>
    <w:p w14:paraId="7D8CA4C3" w14:textId="4447D1BF"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11</w:t>
      </w:r>
      <w:r>
        <w:fldChar w:fldCharType="end"/>
      </w:r>
      <w:r>
        <w:t xml:space="preserve">. </w:t>
      </w:r>
      <w:r w:rsidRPr="00A36D88">
        <w:t>Design process</w:t>
      </w:r>
    </w:p>
    <w:tbl>
      <w:tblPr>
        <w:tblStyle w:val="TableGrid"/>
        <w:tblpPr w:leftFromText="180" w:rightFromText="180" w:vertAnchor="text" w:tblpY="1"/>
        <w:tblW w:w="5000" w:type="pct"/>
        <w:tblLayout w:type="fixed"/>
        <w:tblLook w:val="04A0" w:firstRow="1" w:lastRow="0" w:firstColumn="1" w:lastColumn="0" w:noHBand="0" w:noVBand="1"/>
      </w:tblPr>
      <w:tblGrid>
        <w:gridCol w:w="7205"/>
        <w:gridCol w:w="3252"/>
      </w:tblGrid>
      <w:tr w:rsidR="00B97499" w:rsidRPr="00E30FF9" w14:paraId="480E5CF8" w14:textId="77777777">
        <w:tc>
          <w:tcPr>
            <w:tcW w:w="3445" w:type="pct"/>
            <w:shd w:val="clear" w:color="auto" w:fill="425563" w:themeFill="text1"/>
          </w:tcPr>
          <w:p w14:paraId="68B60269" w14:textId="77777777" w:rsidR="00B97499" w:rsidRPr="00C10C0B" w:rsidRDefault="00B97499" w:rsidP="007E0AFE">
            <w:pPr>
              <w:pStyle w:val="Tableheadwhite"/>
            </w:pPr>
            <w:r w:rsidRPr="00C10C0B">
              <w:t>Opportunity</w:t>
            </w:r>
          </w:p>
        </w:tc>
        <w:tc>
          <w:tcPr>
            <w:tcW w:w="1555" w:type="pct"/>
            <w:shd w:val="clear" w:color="auto" w:fill="425563" w:themeFill="text1"/>
          </w:tcPr>
          <w:p w14:paraId="29875681" w14:textId="77777777" w:rsidR="00B97499" w:rsidRPr="00E30FF9" w:rsidRDefault="00B97499" w:rsidP="007E0AFE">
            <w:pPr>
              <w:rPr>
                <w:rFonts w:asciiTheme="majorHAnsi" w:hAnsiTheme="majorHAnsi"/>
                <w:color w:val="FFFFFF" w:themeColor="background1"/>
                <w:highlight w:val="yellow"/>
              </w:rPr>
            </w:pPr>
            <w:r>
              <w:rPr>
                <w:rFonts w:asciiTheme="majorHAnsi" w:hAnsiTheme="majorHAnsi"/>
                <w:color w:val="FFFFFF" w:themeColor="background1"/>
              </w:rPr>
              <w:t>Organisations involved</w:t>
            </w:r>
          </w:p>
        </w:tc>
      </w:tr>
      <w:tr w:rsidR="00B97499" w:rsidRPr="00E35F9D" w14:paraId="51CECA52" w14:textId="77777777">
        <w:tc>
          <w:tcPr>
            <w:tcW w:w="3445" w:type="pct"/>
          </w:tcPr>
          <w:p w14:paraId="5CFFE54B" w14:textId="77777777" w:rsidR="00B97499" w:rsidRPr="00E35F9D" w:rsidRDefault="00B97499" w:rsidP="007E0AFE">
            <w:pPr>
              <w:pStyle w:val="Tabledot2"/>
            </w:pPr>
            <w:r>
              <w:t xml:space="preserve">Co-design program improvements with </w:t>
            </w:r>
            <w:r w:rsidRPr="00E35F9D">
              <w:t xml:space="preserve">people with HTMS experiences </w:t>
            </w:r>
          </w:p>
        </w:tc>
        <w:tc>
          <w:tcPr>
            <w:tcW w:w="1555" w:type="pct"/>
          </w:tcPr>
          <w:p w14:paraId="600C4563" w14:textId="77777777" w:rsidR="00B97499" w:rsidRPr="00E35F9D" w:rsidRDefault="00B97499" w:rsidP="007E0AFE">
            <w:pPr>
              <w:pStyle w:val="TableText"/>
            </w:pPr>
            <w:r w:rsidRPr="00E35F9D">
              <w:t>DSS/STPP provider</w:t>
            </w:r>
          </w:p>
        </w:tc>
      </w:tr>
    </w:tbl>
    <w:p w14:paraId="54627AFD" w14:textId="73C9A48D"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12</w:t>
      </w:r>
      <w:r>
        <w:fldChar w:fldCharType="end"/>
      </w:r>
      <w:r>
        <w:t xml:space="preserve">. </w:t>
      </w:r>
      <w:r w:rsidRPr="00A36D88">
        <w:t>Alignment with better practice</w:t>
      </w:r>
    </w:p>
    <w:tbl>
      <w:tblPr>
        <w:tblStyle w:val="TableGrid"/>
        <w:tblpPr w:leftFromText="180" w:rightFromText="180" w:vertAnchor="text" w:tblpY="1"/>
        <w:tblW w:w="5000" w:type="pct"/>
        <w:tblLayout w:type="fixed"/>
        <w:tblLook w:val="04A0" w:firstRow="1" w:lastRow="0" w:firstColumn="1" w:lastColumn="0" w:noHBand="0" w:noVBand="1"/>
      </w:tblPr>
      <w:tblGrid>
        <w:gridCol w:w="7205"/>
        <w:gridCol w:w="3252"/>
      </w:tblGrid>
      <w:tr w:rsidR="00B97499" w:rsidRPr="00E30FF9" w14:paraId="6C3C5AC7" w14:textId="77777777">
        <w:tc>
          <w:tcPr>
            <w:tcW w:w="3445" w:type="pct"/>
            <w:shd w:val="clear" w:color="auto" w:fill="425563" w:themeFill="text1"/>
          </w:tcPr>
          <w:p w14:paraId="5A558287" w14:textId="77777777" w:rsidR="00B97499" w:rsidRPr="00C10C0B" w:rsidRDefault="00B97499" w:rsidP="007E0AFE">
            <w:pPr>
              <w:pStyle w:val="Tableheadwhite"/>
            </w:pPr>
            <w:r w:rsidRPr="00C10C0B">
              <w:t>Opportunity</w:t>
            </w:r>
          </w:p>
        </w:tc>
        <w:tc>
          <w:tcPr>
            <w:tcW w:w="1555" w:type="pct"/>
            <w:shd w:val="clear" w:color="auto" w:fill="425563" w:themeFill="text1"/>
          </w:tcPr>
          <w:p w14:paraId="1D7D5541" w14:textId="77777777" w:rsidR="00B97499" w:rsidRPr="00E30FF9" w:rsidRDefault="00B97499" w:rsidP="007E0AFE">
            <w:pPr>
              <w:rPr>
                <w:rFonts w:asciiTheme="majorHAnsi" w:hAnsiTheme="majorHAnsi"/>
                <w:color w:val="FFFFFF" w:themeColor="background1"/>
                <w:highlight w:val="yellow"/>
              </w:rPr>
            </w:pPr>
            <w:r>
              <w:rPr>
                <w:rFonts w:asciiTheme="majorHAnsi" w:hAnsiTheme="majorHAnsi"/>
                <w:color w:val="FFFFFF" w:themeColor="background1"/>
              </w:rPr>
              <w:t>Organisations involved</w:t>
            </w:r>
          </w:p>
        </w:tc>
      </w:tr>
      <w:tr w:rsidR="00B97499" w:rsidRPr="00E35F9D" w14:paraId="4F0BE550" w14:textId="77777777">
        <w:tc>
          <w:tcPr>
            <w:tcW w:w="3445" w:type="pct"/>
          </w:tcPr>
          <w:p w14:paraId="62737F06" w14:textId="52A992B0" w:rsidR="00B97499" w:rsidRPr="00E35F9D" w:rsidRDefault="00B97499" w:rsidP="007E0AFE">
            <w:pPr>
              <w:pStyle w:val="Tabledot2"/>
            </w:pPr>
            <w:r>
              <w:t>Explore the feasibility of decoupling program access from cooperation with criminal cases considering the full range of policy implications, including for program cost, the visa framework and support for criminal justice outcomes.</w:t>
            </w:r>
            <w:r>
              <w:rPr>
                <w:rStyle w:val="FootnoteReference"/>
              </w:rPr>
              <w:footnoteReference w:id="10"/>
            </w:r>
            <w:r>
              <w:t xml:space="preserve"> </w:t>
            </w:r>
          </w:p>
        </w:tc>
        <w:tc>
          <w:tcPr>
            <w:tcW w:w="1555" w:type="pct"/>
          </w:tcPr>
          <w:p w14:paraId="03DCF767" w14:textId="6D0BD8F1" w:rsidR="00B97499" w:rsidRPr="00E35F9D" w:rsidRDefault="00B97499" w:rsidP="007E0AFE">
            <w:pPr>
              <w:pStyle w:val="TableText"/>
            </w:pPr>
            <w:r w:rsidRPr="00E35F9D">
              <w:t>DSS/AFP/Attorney-General's Department/Home Affairs</w:t>
            </w:r>
          </w:p>
        </w:tc>
      </w:tr>
      <w:tr w:rsidR="00B97499" w:rsidRPr="00E35F9D" w14:paraId="387E6DBF" w14:textId="77777777">
        <w:tc>
          <w:tcPr>
            <w:tcW w:w="3445" w:type="pct"/>
          </w:tcPr>
          <w:p w14:paraId="0D057D26" w14:textId="7A8E7E72" w:rsidR="00B97499" w:rsidRDefault="00B97499" w:rsidP="007E0AFE">
            <w:pPr>
              <w:pStyle w:val="Tabledot2"/>
            </w:pPr>
            <w:r>
              <w:t>Consider moving away from a duration-based model of support.</w:t>
            </w:r>
            <w:r>
              <w:rPr>
                <w:rStyle w:val="FootnoteReference"/>
              </w:rPr>
              <w:footnoteReference w:id="11"/>
            </w:r>
            <w:r>
              <w:t xml:space="preserve"> </w:t>
            </w:r>
          </w:p>
        </w:tc>
        <w:tc>
          <w:tcPr>
            <w:tcW w:w="1555" w:type="pct"/>
          </w:tcPr>
          <w:p w14:paraId="269EE330" w14:textId="5CCBFA7C" w:rsidR="00B97499" w:rsidRPr="00E35F9D" w:rsidRDefault="00B97499" w:rsidP="007E0AFE">
            <w:pPr>
              <w:pStyle w:val="TableText"/>
            </w:pPr>
            <w:r>
              <w:t>DSS</w:t>
            </w:r>
          </w:p>
        </w:tc>
      </w:tr>
      <w:tr w:rsidR="00B97499" w:rsidRPr="00E35F9D" w14:paraId="27F51872" w14:textId="77777777">
        <w:tc>
          <w:tcPr>
            <w:tcW w:w="3445" w:type="pct"/>
          </w:tcPr>
          <w:p w14:paraId="7344676D" w14:textId="1855612F" w:rsidR="00B97499" w:rsidRDefault="00B97499" w:rsidP="007E0AFE">
            <w:pPr>
              <w:pStyle w:val="Tabledot2"/>
            </w:pPr>
            <w:r w:rsidRPr="002C0D57">
              <w:t>Explore mechanisms to expand access to legal and migration advice to improve access to the justice and the broader support system.</w:t>
            </w:r>
          </w:p>
        </w:tc>
        <w:tc>
          <w:tcPr>
            <w:tcW w:w="1555" w:type="pct"/>
          </w:tcPr>
          <w:p w14:paraId="2240B88F" w14:textId="1E7DFE66" w:rsidR="00B97499" w:rsidRPr="00E35F9D" w:rsidRDefault="00B97499" w:rsidP="007E0AFE">
            <w:pPr>
              <w:pStyle w:val="TableText"/>
            </w:pPr>
            <w:r>
              <w:t>DSS/</w:t>
            </w:r>
            <w:r w:rsidRPr="00317B70">
              <w:t xml:space="preserve">STPP </w:t>
            </w:r>
            <w:r>
              <w:t xml:space="preserve">and ARP </w:t>
            </w:r>
            <w:r w:rsidRPr="00317B70">
              <w:t>provider</w:t>
            </w:r>
            <w:r>
              <w:t>s</w:t>
            </w:r>
          </w:p>
        </w:tc>
      </w:tr>
      <w:tr w:rsidR="00B97499" w:rsidRPr="00E35F9D" w14:paraId="0E825A55" w14:textId="77777777">
        <w:tc>
          <w:tcPr>
            <w:tcW w:w="3445" w:type="pct"/>
          </w:tcPr>
          <w:p w14:paraId="0713F6AE" w14:textId="62955CFA" w:rsidR="00B97499" w:rsidRDefault="00B97499" w:rsidP="007E0AFE">
            <w:pPr>
              <w:pStyle w:val="Tabledot2"/>
            </w:pPr>
            <w:r>
              <w:t>Address opportunities already identified by the STPP provider to meet the needs of children.</w:t>
            </w:r>
          </w:p>
        </w:tc>
        <w:tc>
          <w:tcPr>
            <w:tcW w:w="1555" w:type="pct"/>
          </w:tcPr>
          <w:p w14:paraId="23EB21F4" w14:textId="171CDF6E" w:rsidR="00B97499" w:rsidRPr="00E35F9D" w:rsidRDefault="00B97499" w:rsidP="007E0AFE">
            <w:pPr>
              <w:pStyle w:val="TableText"/>
            </w:pPr>
            <w:r>
              <w:t>DSS/</w:t>
            </w:r>
            <w:r w:rsidRPr="00317B70">
              <w:t xml:space="preserve">STPP </w:t>
            </w:r>
            <w:r>
              <w:t xml:space="preserve">and ARP </w:t>
            </w:r>
            <w:r w:rsidRPr="00317B70">
              <w:t>provider</w:t>
            </w:r>
            <w:r>
              <w:t>s</w:t>
            </w:r>
          </w:p>
        </w:tc>
      </w:tr>
      <w:tr w:rsidR="00B97499" w:rsidRPr="00E35F9D" w14:paraId="477019D8" w14:textId="77777777">
        <w:tc>
          <w:tcPr>
            <w:tcW w:w="3445" w:type="pct"/>
          </w:tcPr>
          <w:p w14:paraId="0B215D62" w14:textId="49B4350F" w:rsidR="00B97499" w:rsidRDefault="00B97499" w:rsidP="007E0AFE">
            <w:pPr>
              <w:pStyle w:val="Tabledot2"/>
            </w:pPr>
            <w:r w:rsidRPr="00E35F9D">
              <w:t>Embed the voices of people with HTMS experiences more directly in program delivery, including through peer support delivery</w:t>
            </w:r>
            <w:r>
              <w:t>.</w:t>
            </w:r>
          </w:p>
        </w:tc>
        <w:tc>
          <w:tcPr>
            <w:tcW w:w="1555" w:type="pct"/>
          </w:tcPr>
          <w:p w14:paraId="1A0831ED" w14:textId="21645FD6" w:rsidR="00B97499" w:rsidRPr="00E35F9D" w:rsidRDefault="00B97499" w:rsidP="007E0AFE">
            <w:pPr>
              <w:pStyle w:val="TableText"/>
            </w:pPr>
            <w:r w:rsidRPr="00E35F9D">
              <w:t>DSS/STPP provider</w:t>
            </w:r>
          </w:p>
        </w:tc>
      </w:tr>
    </w:tbl>
    <w:p w14:paraId="6DEE4B74" w14:textId="0476A4C1"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13</w:t>
      </w:r>
      <w:r>
        <w:fldChar w:fldCharType="end"/>
      </w:r>
      <w:r>
        <w:t xml:space="preserve">. </w:t>
      </w:r>
      <w:r w:rsidRPr="00A36D88">
        <w:t>Implementation effectiveness</w:t>
      </w:r>
    </w:p>
    <w:tbl>
      <w:tblPr>
        <w:tblStyle w:val="TableGrid"/>
        <w:tblpPr w:leftFromText="180" w:rightFromText="180" w:vertAnchor="text" w:tblpY="1"/>
        <w:tblW w:w="5000" w:type="pct"/>
        <w:tblLayout w:type="fixed"/>
        <w:tblLook w:val="04A0" w:firstRow="1" w:lastRow="0" w:firstColumn="1" w:lastColumn="0" w:noHBand="0" w:noVBand="1"/>
      </w:tblPr>
      <w:tblGrid>
        <w:gridCol w:w="7205"/>
        <w:gridCol w:w="3252"/>
      </w:tblGrid>
      <w:tr w:rsidR="00B97499" w:rsidRPr="00E30FF9" w14:paraId="6AA41D40" w14:textId="77777777">
        <w:tc>
          <w:tcPr>
            <w:tcW w:w="3445" w:type="pct"/>
            <w:shd w:val="clear" w:color="auto" w:fill="425563" w:themeFill="text1"/>
          </w:tcPr>
          <w:p w14:paraId="76E541C6" w14:textId="77777777" w:rsidR="00B97499" w:rsidRPr="00C10C0B" w:rsidRDefault="00B97499" w:rsidP="007E0AFE">
            <w:pPr>
              <w:pStyle w:val="Tableheadwhite"/>
            </w:pPr>
            <w:r w:rsidRPr="00C10C0B">
              <w:t>Opportunity</w:t>
            </w:r>
          </w:p>
        </w:tc>
        <w:tc>
          <w:tcPr>
            <w:tcW w:w="1555" w:type="pct"/>
            <w:shd w:val="clear" w:color="auto" w:fill="425563" w:themeFill="text1"/>
          </w:tcPr>
          <w:p w14:paraId="54195379" w14:textId="77777777" w:rsidR="00B97499" w:rsidRPr="00E30FF9" w:rsidRDefault="00B97499" w:rsidP="007E0AFE">
            <w:pPr>
              <w:rPr>
                <w:rFonts w:asciiTheme="majorHAnsi" w:hAnsiTheme="majorHAnsi"/>
                <w:color w:val="FFFFFF" w:themeColor="background1"/>
                <w:highlight w:val="yellow"/>
              </w:rPr>
            </w:pPr>
            <w:r>
              <w:rPr>
                <w:rFonts w:asciiTheme="majorHAnsi" w:hAnsiTheme="majorHAnsi"/>
                <w:color w:val="FFFFFF" w:themeColor="background1"/>
              </w:rPr>
              <w:t>Organisations involved</w:t>
            </w:r>
          </w:p>
        </w:tc>
      </w:tr>
      <w:tr w:rsidR="00732D7E" w:rsidRPr="00E35F9D" w14:paraId="70A61A94" w14:textId="77777777">
        <w:tc>
          <w:tcPr>
            <w:tcW w:w="3445" w:type="pct"/>
          </w:tcPr>
          <w:p w14:paraId="3503075A" w14:textId="08063EF0" w:rsidR="00732D7E" w:rsidRPr="00E35F9D" w:rsidRDefault="00732D7E" w:rsidP="007E0AFE">
            <w:pPr>
              <w:pStyle w:val="Tabledot2"/>
            </w:pPr>
            <w:r w:rsidRPr="007E36B5">
              <w:t xml:space="preserve">Increase community and service sector awareness of the </w:t>
            </w:r>
            <w:r>
              <w:t xml:space="preserve">ARP and </w:t>
            </w:r>
            <w:r w:rsidRPr="007E36B5">
              <w:t>STPP to support improved identification and referral.</w:t>
            </w:r>
          </w:p>
        </w:tc>
        <w:tc>
          <w:tcPr>
            <w:tcW w:w="1555" w:type="pct"/>
          </w:tcPr>
          <w:p w14:paraId="503DDF23" w14:textId="622C8ADE" w:rsidR="00732D7E" w:rsidRPr="00E35F9D" w:rsidRDefault="00732D7E" w:rsidP="007E0AFE">
            <w:pPr>
              <w:pStyle w:val="TableText"/>
            </w:pPr>
            <w:r w:rsidRPr="00CE28B6">
              <w:t>STPP provider</w:t>
            </w:r>
            <w:r>
              <w:t>/</w:t>
            </w:r>
            <w:r w:rsidRPr="00CE28B6">
              <w:t>ARP</w:t>
            </w:r>
            <w:r>
              <w:t xml:space="preserve"> provider/ DSS/AGD/AFP/ Home Affairs</w:t>
            </w:r>
          </w:p>
        </w:tc>
      </w:tr>
      <w:tr w:rsidR="00732D7E" w:rsidRPr="00E35F9D" w14:paraId="021F829D" w14:textId="77777777">
        <w:tc>
          <w:tcPr>
            <w:tcW w:w="3445" w:type="pct"/>
          </w:tcPr>
          <w:p w14:paraId="2F5689F1" w14:textId="408AC8F2" w:rsidR="00732D7E" w:rsidRDefault="00732D7E" w:rsidP="007E0AFE">
            <w:pPr>
              <w:pStyle w:val="Tabledot2"/>
            </w:pPr>
            <w:r w:rsidRPr="007E36B5">
              <w:t>Continue funding the ARP following the pilot, recognising that it is showing promising signs.</w:t>
            </w:r>
          </w:p>
        </w:tc>
        <w:tc>
          <w:tcPr>
            <w:tcW w:w="1555" w:type="pct"/>
          </w:tcPr>
          <w:p w14:paraId="25F6A4DD" w14:textId="77777777" w:rsidR="00732D7E" w:rsidRPr="00E35F9D" w:rsidRDefault="00732D7E" w:rsidP="007E0AFE">
            <w:pPr>
              <w:pStyle w:val="TableText"/>
            </w:pPr>
            <w:r w:rsidRPr="00547B6D">
              <w:t>DSS</w:t>
            </w:r>
          </w:p>
        </w:tc>
      </w:tr>
      <w:tr w:rsidR="00732D7E" w:rsidRPr="00E35F9D" w14:paraId="61C8457A" w14:textId="77777777">
        <w:tc>
          <w:tcPr>
            <w:tcW w:w="3445" w:type="pct"/>
          </w:tcPr>
          <w:p w14:paraId="0DE269B9" w14:textId="60A9D1BB" w:rsidR="00732D7E" w:rsidRDefault="00732D7E" w:rsidP="007E0AFE">
            <w:pPr>
              <w:pStyle w:val="Tabledot2"/>
            </w:pPr>
            <w:r>
              <w:t>Consider opportunities for broader outreach through the ARP, including through funding additional frontline workers.</w:t>
            </w:r>
          </w:p>
        </w:tc>
        <w:tc>
          <w:tcPr>
            <w:tcW w:w="1555" w:type="pct"/>
          </w:tcPr>
          <w:p w14:paraId="41FEA9E3" w14:textId="4209A833" w:rsidR="00732D7E" w:rsidRPr="00E35F9D" w:rsidRDefault="00732D7E" w:rsidP="007E0AFE">
            <w:pPr>
              <w:pStyle w:val="TableText"/>
            </w:pPr>
            <w:r w:rsidRPr="00E35F9D">
              <w:t>DSS</w:t>
            </w:r>
          </w:p>
        </w:tc>
      </w:tr>
      <w:tr w:rsidR="00732D7E" w:rsidRPr="00E35F9D" w14:paraId="349A9201" w14:textId="77777777">
        <w:tc>
          <w:tcPr>
            <w:tcW w:w="3445" w:type="pct"/>
          </w:tcPr>
          <w:p w14:paraId="5B1E3542" w14:textId="4E9898EC" w:rsidR="00732D7E" w:rsidRDefault="00732D7E" w:rsidP="007E0AFE">
            <w:pPr>
              <w:pStyle w:val="Tabledot2"/>
            </w:pPr>
            <w:r>
              <w:t>Seek funding for the v</w:t>
            </w:r>
            <w:r w:rsidRPr="00317B70">
              <w:t>alidat</w:t>
            </w:r>
            <w:r>
              <w:t>ion of</w:t>
            </w:r>
            <w:r w:rsidRPr="00317B70">
              <w:t xml:space="preserve"> the ARP assessment tool</w:t>
            </w:r>
            <w:r>
              <w:t xml:space="preserve"> (potentially through partnering with the Australian Institute of Criminology (AIC) or through an additional National Action Plan grant)</w:t>
            </w:r>
            <w:r w:rsidRPr="00317B70">
              <w:t>.</w:t>
            </w:r>
          </w:p>
        </w:tc>
        <w:tc>
          <w:tcPr>
            <w:tcW w:w="1555" w:type="pct"/>
          </w:tcPr>
          <w:p w14:paraId="30EDF9F2" w14:textId="6D19C691" w:rsidR="00732D7E" w:rsidRPr="00E35F9D" w:rsidRDefault="00732D7E" w:rsidP="007E0AFE">
            <w:pPr>
              <w:pStyle w:val="TableText"/>
            </w:pPr>
            <w:r>
              <w:t>DSS/AGD/</w:t>
            </w:r>
            <w:r w:rsidRPr="00317B70">
              <w:t>ARP provider</w:t>
            </w:r>
          </w:p>
        </w:tc>
      </w:tr>
    </w:tbl>
    <w:p w14:paraId="4132FCD3" w14:textId="7ED24009"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14</w:t>
      </w:r>
      <w:r>
        <w:fldChar w:fldCharType="end"/>
      </w:r>
      <w:r>
        <w:t xml:space="preserve">. </w:t>
      </w:r>
      <w:r w:rsidRPr="00A36D88">
        <w:t>Design process</w:t>
      </w:r>
    </w:p>
    <w:tbl>
      <w:tblPr>
        <w:tblStyle w:val="TableGrid"/>
        <w:tblpPr w:leftFromText="180" w:rightFromText="180" w:vertAnchor="text" w:tblpY="1"/>
        <w:tblW w:w="5000" w:type="pct"/>
        <w:tblLayout w:type="fixed"/>
        <w:tblLook w:val="04A0" w:firstRow="1" w:lastRow="0" w:firstColumn="1" w:lastColumn="0" w:noHBand="0" w:noVBand="1"/>
      </w:tblPr>
      <w:tblGrid>
        <w:gridCol w:w="7205"/>
        <w:gridCol w:w="3252"/>
      </w:tblGrid>
      <w:tr w:rsidR="00732D7E" w:rsidRPr="00E30FF9" w14:paraId="4E7135AE" w14:textId="77777777">
        <w:tc>
          <w:tcPr>
            <w:tcW w:w="3445" w:type="pct"/>
            <w:shd w:val="clear" w:color="auto" w:fill="425563" w:themeFill="text1"/>
          </w:tcPr>
          <w:p w14:paraId="294E3D7B" w14:textId="77777777" w:rsidR="00732D7E" w:rsidRPr="00C10C0B" w:rsidRDefault="00732D7E" w:rsidP="007E0AFE">
            <w:pPr>
              <w:pStyle w:val="Tableheadwhite"/>
            </w:pPr>
            <w:r w:rsidRPr="00C10C0B">
              <w:t>Opportunity</w:t>
            </w:r>
          </w:p>
        </w:tc>
        <w:tc>
          <w:tcPr>
            <w:tcW w:w="1555" w:type="pct"/>
            <w:shd w:val="clear" w:color="auto" w:fill="425563" w:themeFill="text1"/>
          </w:tcPr>
          <w:p w14:paraId="3999702D" w14:textId="77777777" w:rsidR="00732D7E" w:rsidRPr="00E30FF9" w:rsidRDefault="00732D7E" w:rsidP="007E0AFE">
            <w:pPr>
              <w:rPr>
                <w:rFonts w:asciiTheme="majorHAnsi" w:hAnsiTheme="majorHAnsi"/>
                <w:color w:val="FFFFFF" w:themeColor="background1"/>
                <w:highlight w:val="yellow"/>
              </w:rPr>
            </w:pPr>
            <w:r>
              <w:rPr>
                <w:rFonts w:asciiTheme="majorHAnsi" w:hAnsiTheme="majorHAnsi"/>
                <w:color w:val="FFFFFF" w:themeColor="background1"/>
              </w:rPr>
              <w:t>Organisations involved</w:t>
            </w:r>
          </w:p>
        </w:tc>
      </w:tr>
      <w:tr w:rsidR="00732D7E" w:rsidRPr="00E35F9D" w14:paraId="6FB7C274" w14:textId="77777777">
        <w:tc>
          <w:tcPr>
            <w:tcW w:w="3445" w:type="pct"/>
          </w:tcPr>
          <w:p w14:paraId="68252B0D" w14:textId="267E5337" w:rsidR="00732D7E" w:rsidRPr="00E35F9D" w:rsidRDefault="00732D7E" w:rsidP="007E0AFE">
            <w:pPr>
              <w:pStyle w:val="Tabledot2"/>
            </w:pPr>
            <w:r>
              <w:t>Investigate</w:t>
            </w:r>
            <w:r w:rsidRPr="00E35F9D">
              <w:t xml:space="preserve"> a </w:t>
            </w:r>
            <w:r>
              <w:t>‘</w:t>
            </w:r>
            <w:r w:rsidRPr="00E35F9D">
              <w:t>triage' assessment model to guide investment relative to need.</w:t>
            </w:r>
          </w:p>
        </w:tc>
        <w:tc>
          <w:tcPr>
            <w:tcW w:w="1555" w:type="pct"/>
          </w:tcPr>
          <w:p w14:paraId="74F17F91" w14:textId="7B45E083" w:rsidR="00732D7E" w:rsidRPr="00E35F9D" w:rsidRDefault="00732D7E" w:rsidP="007E0AFE">
            <w:pPr>
              <w:pStyle w:val="TableText"/>
            </w:pPr>
            <w:r w:rsidRPr="00E35F9D">
              <w:t>DSS/STPP provider</w:t>
            </w:r>
          </w:p>
        </w:tc>
      </w:tr>
    </w:tbl>
    <w:p w14:paraId="1C228D63" w14:textId="77777777" w:rsidR="00B97499" w:rsidRDefault="00B97499" w:rsidP="007E0AFE"/>
    <w:p w14:paraId="28909144" w14:textId="77777777" w:rsidR="00732D7E" w:rsidRDefault="00732D7E" w:rsidP="007E0AFE"/>
    <w:p w14:paraId="5F33A7FC" w14:textId="3C85AC9F" w:rsidR="00332926" w:rsidRPr="00F368CB" w:rsidRDefault="00332926" w:rsidP="00F368CB">
      <w:pPr>
        <w:pStyle w:val="Heading3"/>
        <w:rPr>
          <w:sz w:val="32"/>
          <w:szCs w:val="32"/>
        </w:rPr>
      </w:pPr>
      <w:r w:rsidRPr="00F368CB">
        <w:rPr>
          <w:sz w:val="32"/>
          <w:szCs w:val="32"/>
        </w:rPr>
        <w:lastRenderedPageBreak/>
        <w:t xml:space="preserve">Improve the </w:t>
      </w:r>
      <w:r w:rsidR="00C95039" w:rsidRPr="00F368CB">
        <w:rPr>
          <w:sz w:val="32"/>
          <w:szCs w:val="32"/>
        </w:rPr>
        <w:t>s</w:t>
      </w:r>
      <w:r w:rsidRPr="00F368CB">
        <w:rPr>
          <w:sz w:val="32"/>
          <w:szCs w:val="32"/>
        </w:rPr>
        <w:t>ystem</w:t>
      </w:r>
    </w:p>
    <w:p w14:paraId="08A0CF69" w14:textId="724FDECC"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15</w:t>
      </w:r>
      <w:r>
        <w:fldChar w:fldCharType="end"/>
      </w:r>
      <w:r>
        <w:t xml:space="preserve">. </w:t>
      </w:r>
      <w:r w:rsidRPr="00A36D88">
        <w:t>Improved access and accountability</w:t>
      </w:r>
    </w:p>
    <w:tbl>
      <w:tblPr>
        <w:tblStyle w:val="TableGrid"/>
        <w:tblpPr w:leftFromText="180" w:rightFromText="180" w:vertAnchor="text" w:tblpY="1"/>
        <w:tblW w:w="5000" w:type="pct"/>
        <w:tblLayout w:type="fixed"/>
        <w:tblLook w:val="04A0" w:firstRow="1" w:lastRow="0" w:firstColumn="1" w:lastColumn="0" w:noHBand="0" w:noVBand="1"/>
      </w:tblPr>
      <w:tblGrid>
        <w:gridCol w:w="7205"/>
        <w:gridCol w:w="3252"/>
      </w:tblGrid>
      <w:tr w:rsidR="00732D7E" w:rsidRPr="00E30FF9" w14:paraId="495D70E5" w14:textId="77777777">
        <w:tc>
          <w:tcPr>
            <w:tcW w:w="3445" w:type="pct"/>
            <w:shd w:val="clear" w:color="auto" w:fill="425563" w:themeFill="text1"/>
          </w:tcPr>
          <w:p w14:paraId="19A20CA7" w14:textId="77777777" w:rsidR="00732D7E" w:rsidRPr="00C10C0B" w:rsidRDefault="00732D7E" w:rsidP="007E0AFE">
            <w:pPr>
              <w:pStyle w:val="Tableheadwhite"/>
            </w:pPr>
            <w:r w:rsidRPr="00C10C0B">
              <w:t>Opportunity</w:t>
            </w:r>
          </w:p>
        </w:tc>
        <w:tc>
          <w:tcPr>
            <w:tcW w:w="1555" w:type="pct"/>
            <w:shd w:val="clear" w:color="auto" w:fill="425563" w:themeFill="text1"/>
          </w:tcPr>
          <w:p w14:paraId="78CC1C0F" w14:textId="77777777" w:rsidR="00732D7E" w:rsidRPr="00E30FF9" w:rsidRDefault="00732D7E" w:rsidP="007E0AFE">
            <w:pPr>
              <w:rPr>
                <w:rFonts w:asciiTheme="majorHAnsi" w:hAnsiTheme="majorHAnsi"/>
                <w:color w:val="FFFFFF" w:themeColor="background1"/>
                <w:highlight w:val="yellow"/>
              </w:rPr>
            </w:pPr>
            <w:r>
              <w:rPr>
                <w:rFonts w:asciiTheme="majorHAnsi" w:hAnsiTheme="majorHAnsi"/>
                <w:color w:val="FFFFFF" w:themeColor="background1"/>
              </w:rPr>
              <w:t>Organisations involved</w:t>
            </w:r>
          </w:p>
        </w:tc>
      </w:tr>
      <w:tr w:rsidR="00732D7E" w:rsidRPr="00E35F9D" w14:paraId="24E425F3" w14:textId="77777777">
        <w:tc>
          <w:tcPr>
            <w:tcW w:w="3445" w:type="pct"/>
          </w:tcPr>
          <w:p w14:paraId="20C0EE5D" w14:textId="5F5EAD37" w:rsidR="00732D7E" w:rsidRPr="00E35F9D" w:rsidRDefault="00732D7E" w:rsidP="007E0AFE">
            <w:pPr>
              <w:pStyle w:val="Tabledot2"/>
            </w:pPr>
            <w:r w:rsidRPr="00E35F9D">
              <w:t>Implement a 24-hour national access point (such as a hotline) for people seeking information and support relating to HTMS</w:t>
            </w:r>
            <w:r>
              <w:t>.</w:t>
            </w:r>
          </w:p>
        </w:tc>
        <w:tc>
          <w:tcPr>
            <w:tcW w:w="1555" w:type="pct"/>
          </w:tcPr>
          <w:p w14:paraId="24853237" w14:textId="6FC11DC4" w:rsidR="00732D7E" w:rsidRPr="00E35F9D" w:rsidRDefault="00732D7E" w:rsidP="007E0AFE">
            <w:pPr>
              <w:pStyle w:val="TableText"/>
            </w:pPr>
            <w:r w:rsidRPr="00367E55">
              <w:t xml:space="preserve">Interdepartmental Committee on Human Trafficking and Slavery </w:t>
            </w:r>
            <w:r>
              <w:t>(IDC) agencies</w:t>
            </w:r>
          </w:p>
        </w:tc>
      </w:tr>
      <w:tr w:rsidR="00732D7E" w:rsidRPr="00E35F9D" w14:paraId="2F400946" w14:textId="77777777">
        <w:tc>
          <w:tcPr>
            <w:tcW w:w="3445" w:type="pct"/>
          </w:tcPr>
          <w:p w14:paraId="5F909712" w14:textId="352B4BFB" w:rsidR="00732D7E" w:rsidRDefault="00732D7E" w:rsidP="007E0AFE">
            <w:pPr>
              <w:pStyle w:val="Tabledot2"/>
            </w:pPr>
            <w:r w:rsidRPr="007E36B5">
              <w:t>Increase community and service sector awareness of HTMS to support improved identification and referral.</w:t>
            </w:r>
          </w:p>
        </w:tc>
        <w:tc>
          <w:tcPr>
            <w:tcW w:w="1555" w:type="pct"/>
          </w:tcPr>
          <w:p w14:paraId="4900656E" w14:textId="234782EA" w:rsidR="00732D7E" w:rsidRPr="00E35F9D" w:rsidRDefault="00732D7E" w:rsidP="007E0AFE">
            <w:pPr>
              <w:pStyle w:val="TableText"/>
            </w:pPr>
            <w:r>
              <w:t>IDC agencies</w:t>
            </w:r>
          </w:p>
        </w:tc>
      </w:tr>
      <w:tr w:rsidR="00732D7E" w:rsidRPr="00E35F9D" w14:paraId="6B8ADC4B" w14:textId="77777777">
        <w:tc>
          <w:tcPr>
            <w:tcW w:w="3445" w:type="pct"/>
          </w:tcPr>
          <w:p w14:paraId="46B093E0" w14:textId="1381D53E" w:rsidR="00732D7E" w:rsidRDefault="00732D7E" w:rsidP="007E0AFE">
            <w:pPr>
              <w:pStyle w:val="Tabledot2"/>
            </w:pPr>
            <w:r w:rsidRPr="007E36B5">
              <w:t>Fund improved measurement of prevalence for people with HTMS experiences.</w:t>
            </w:r>
          </w:p>
        </w:tc>
        <w:tc>
          <w:tcPr>
            <w:tcW w:w="1555" w:type="pct"/>
          </w:tcPr>
          <w:p w14:paraId="7F25E338" w14:textId="4B627B02" w:rsidR="00732D7E" w:rsidRPr="00E35F9D" w:rsidRDefault="00732D7E" w:rsidP="007E0AFE">
            <w:pPr>
              <w:pStyle w:val="TableText"/>
            </w:pPr>
            <w:r>
              <w:t>IDC agencies</w:t>
            </w:r>
          </w:p>
        </w:tc>
      </w:tr>
    </w:tbl>
    <w:p w14:paraId="4B429D80" w14:textId="389069A9" w:rsidR="00A36D88" w:rsidRDefault="00A36D88" w:rsidP="00A36D88">
      <w:pPr>
        <w:pStyle w:val="Caption"/>
      </w:pPr>
      <w:r>
        <w:t xml:space="preserve">Table </w:t>
      </w:r>
      <w:r>
        <w:fldChar w:fldCharType="begin"/>
      </w:r>
      <w:r>
        <w:instrText xml:space="preserve"> SEQ Table \* ARABIC </w:instrText>
      </w:r>
      <w:r>
        <w:fldChar w:fldCharType="separate"/>
      </w:r>
      <w:r w:rsidR="00D9323B">
        <w:rPr>
          <w:noProof/>
        </w:rPr>
        <w:t>16</w:t>
      </w:r>
      <w:r>
        <w:fldChar w:fldCharType="end"/>
      </w:r>
      <w:r>
        <w:t xml:space="preserve">. </w:t>
      </w:r>
      <w:r w:rsidRPr="00A36D88">
        <w:t>Joined up service delivery</w:t>
      </w:r>
    </w:p>
    <w:tbl>
      <w:tblPr>
        <w:tblStyle w:val="TableGrid"/>
        <w:tblpPr w:leftFromText="180" w:rightFromText="180" w:vertAnchor="text" w:tblpY="1"/>
        <w:tblW w:w="5000" w:type="pct"/>
        <w:tblLayout w:type="fixed"/>
        <w:tblLook w:val="04A0" w:firstRow="1" w:lastRow="0" w:firstColumn="1" w:lastColumn="0" w:noHBand="0" w:noVBand="1"/>
      </w:tblPr>
      <w:tblGrid>
        <w:gridCol w:w="7205"/>
        <w:gridCol w:w="3252"/>
      </w:tblGrid>
      <w:tr w:rsidR="00732D7E" w:rsidRPr="00E30FF9" w14:paraId="7C759E83" w14:textId="77777777">
        <w:tc>
          <w:tcPr>
            <w:tcW w:w="3445" w:type="pct"/>
            <w:shd w:val="clear" w:color="auto" w:fill="425563" w:themeFill="text1"/>
          </w:tcPr>
          <w:p w14:paraId="0D449E4C" w14:textId="77777777" w:rsidR="00732D7E" w:rsidRPr="00C10C0B" w:rsidRDefault="00732D7E" w:rsidP="007E0AFE">
            <w:pPr>
              <w:pStyle w:val="Tableheadwhite"/>
            </w:pPr>
            <w:r w:rsidRPr="00C10C0B">
              <w:t>Opportunity</w:t>
            </w:r>
          </w:p>
        </w:tc>
        <w:tc>
          <w:tcPr>
            <w:tcW w:w="1555" w:type="pct"/>
            <w:shd w:val="clear" w:color="auto" w:fill="425563" w:themeFill="text1"/>
          </w:tcPr>
          <w:p w14:paraId="1C7981CF" w14:textId="77777777" w:rsidR="00732D7E" w:rsidRPr="00E30FF9" w:rsidRDefault="00732D7E" w:rsidP="007E0AFE">
            <w:pPr>
              <w:rPr>
                <w:rFonts w:asciiTheme="majorHAnsi" w:hAnsiTheme="majorHAnsi"/>
                <w:color w:val="FFFFFF" w:themeColor="background1"/>
                <w:highlight w:val="yellow"/>
              </w:rPr>
            </w:pPr>
            <w:r>
              <w:rPr>
                <w:rFonts w:asciiTheme="majorHAnsi" w:hAnsiTheme="majorHAnsi"/>
                <w:color w:val="FFFFFF" w:themeColor="background1"/>
              </w:rPr>
              <w:t>Organisations involved</w:t>
            </w:r>
          </w:p>
        </w:tc>
      </w:tr>
      <w:tr w:rsidR="00732D7E" w:rsidRPr="00E35F9D" w14:paraId="202C47E8" w14:textId="77777777">
        <w:tc>
          <w:tcPr>
            <w:tcW w:w="3445" w:type="pct"/>
          </w:tcPr>
          <w:p w14:paraId="474F1042" w14:textId="77AF8E18" w:rsidR="00732D7E" w:rsidRPr="00E35F9D" w:rsidRDefault="00732D7E" w:rsidP="007E0AFE">
            <w:pPr>
              <w:pStyle w:val="Tabledot2"/>
            </w:pPr>
            <w:r w:rsidRPr="007E36B5">
              <w:t>Develop a national framework for HTMS service delivery outlining aspirations and mechanisms for improving joined-up service delivery.</w:t>
            </w:r>
          </w:p>
        </w:tc>
        <w:tc>
          <w:tcPr>
            <w:tcW w:w="1555" w:type="pct"/>
          </w:tcPr>
          <w:p w14:paraId="3F2F99CE" w14:textId="6E5F9AE0" w:rsidR="00732D7E" w:rsidRPr="00E35F9D" w:rsidRDefault="00732D7E" w:rsidP="007E0AFE">
            <w:pPr>
              <w:pStyle w:val="TableText"/>
            </w:pPr>
            <w:r w:rsidRPr="002F7614">
              <w:t xml:space="preserve">IDC agencies /State and Territory Governments (including child protection services), </w:t>
            </w:r>
          </w:p>
        </w:tc>
      </w:tr>
    </w:tbl>
    <w:p w14:paraId="2D073AA9" w14:textId="77777777" w:rsidR="00732D7E" w:rsidRPr="00732D7E" w:rsidRDefault="00732D7E" w:rsidP="007E0AFE"/>
    <w:p w14:paraId="08C6609A" w14:textId="77777777" w:rsidR="00F11056" w:rsidRDefault="00F11056" w:rsidP="007E0AFE">
      <w:pPr>
        <w:spacing w:before="0" w:after="160" w:line="259" w:lineRule="auto"/>
        <w:rPr>
          <w:rFonts w:asciiTheme="majorHAnsi" w:eastAsiaTheme="majorEastAsia" w:hAnsiTheme="majorHAnsi" w:cstheme="majorBidi"/>
          <w:color w:val="00BE6E" w:themeColor="text2"/>
          <w:sz w:val="44"/>
          <w:szCs w:val="32"/>
          <w:lang w:eastAsia="en-AU"/>
        </w:rPr>
      </w:pPr>
      <w:r>
        <w:br w:type="page"/>
      </w:r>
    </w:p>
    <w:p w14:paraId="20D532A0" w14:textId="5E2496C5" w:rsidR="002E41A8" w:rsidRDefault="002E41A8" w:rsidP="007E0AFE">
      <w:pPr>
        <w:pStyle w:val="Heading2"/>
      </w:pPr>
      <w:bookmarkStart w:id="11" w:name="_Toc201908104"/>
      <w:bookmarkStart w:id="12" w:name="_Toc198367917"/>
      <w:r>
        <w:lastRenderedPageBreak/>
        <w:t>Introduction</w:t>
      </w:r>
      <w:bookmarkEnd w:id="11"/>
    </w:p>
    <w:p w14:paraId="30E7F81F" w14:textId="1B39D858" w:rsidR="007B0B21" w:rsidRDefault="007B0B21" w:rsidP="007E0AFE">
      <w:pPr>
        <w:pStyle w:val="Heading3"/>
        <w:rPr>
          <w:lang w:eastAsia="en-AU"/>
        </w:rPr>
      </w:pPr>
      <w:bookmarkStart w:id="13" w:name="_Toc201908105"/>
      <w:r>
        <w:rPr>
          <w:lang w:eastAsia="en-AU"/>
        </w:rPr>
        <w:t>Addressing HTMS in Australia</w:t>
      </w:r>
      <w:bookmarkEnd w:id="13"/>
    </w:p>
    <w:p w14:paraId="702DA702" w14:textId="66403112" w:rsidR="007B0B21" w:rsidRDefault="005F5BBF" w:rsidP="007E0AFE">
      <w:pPr>
        <w:rPr>
          <w:lang w:eastAsia="en-AU"/>
        </w:rPr>
      </w:pPr>
      <w:r w:rsidRPr="007B0B21">
        <w:t xml:space="preserve">The Australian Government </w:t>
      </w:r>
      <w:r>
        <w:t>has</w:t>
      </w:r>
      <w:r w:rsidRPr="007B0B21">
        <w:t xml:space="preserve"> a comprehensive, whole-of-government approach to tackling human trafficking, slavery, and slavery-like practices. This involves collaboration with various stakeholders, including government agencies, businesses, civil society organi</w:t>
      </w:r>
      <w:r w:rsidR="00C74BD7">
        <w:t>s</w:t>
      </w:r>
      <w:r w:rsidRPr="007B0B21">
        <w:t>ations, and international partners.</w:t>
      </w:r>
      <w:r>
        <w:t xml:space="preserve"> </w:t>
      </w:r>
      <w:r w:rsidR="007B0B21">
        <w:rPr>
          <w:lang w:eastAsia="en-AU"/>
        </w:rPr>
        <w:t xml:space="preserve">Multiple actors </w:t>
      </w:r>
      <w:r>
        <w:rPr>
          <w:lang w:eastAsia="en-AU"/>
        </w:rPr>
        <w:t xml:space="preserve">across government </w:t>
      </w:r>
      <w:r w:rsidR="007B0B21">
        <w:rPr>
          <w:lang w:eastAsia="en-AU"/>
        </w:rPr>
        <w:t>are responsible for addressing HTMS in Australia</w:t>
      </w:r>
      <w:r w:rsidR="007B0B21" w:rsidRPr="007B0B21">
        <w:rPr>
          <w:lang w:eastAsia="en-AU"/>
        </w:rPr>
        <w:t>:</w:t>
      </w:r>
    </w:p>
    <w:p w14:paraId="2E2E5F56" w14:textId="2B48D575" w:rsidR="003C703D" w:rsidRDefault="003C703D" w:rsidP="007E0AFE">
      <w:pPr>
        <w:pStyle w:val="Bullet1"/>
      </w:pPr>
      <w:r>
        <w:t xml:space="preserve">Attorney-General’s Department (AGD): </w:t>
      </w:r>
      <w:r w:rsidR="00BC5497">
        <w:t xml:space="preserve">responsible for </w:t>
      </w:r>
      <w:r w:rsidR="00B540D8">
        <w:t>overseeing whole-of-government</w:t>
      </w:r>
      <w:r w:rsidR="00BC5497">
        <w:t xml:space="preserve"> implementation and evaluation of the </w:t>
      </w:r>
      <w:r w:rsidR="004221E3" w:rsidRPr="004221E3">
        <w:t>National Action Plan to Combat Modern Slavery 2020-25</w:t>
      </w:r>
      <w:r w:rsidR="001B2F1D">
        <w:t>,</w:t>
      </w:r>
      <w:r w:rsidR="00857058">
        <w:t xml:space="preserve"> </w:t>
      </w:r>
      <w:r w:rsidR="00734AA0">
        <w:t xml:space="preserve">administering the </w:t>
      </w:r>
      <w:r w:rsidR="00734AA0" w:rsidRPr="00922883">
        <w:rPr>
          <w:i/>
        </w:rPr>
        <w:t>Modern Slavery Act 2018</w:t>
      </w:r>
      <w:r w:rsidR="001B2F1D">
        <w:rPr>
          <w:i/>
        </w:rPr>
        <w:t xml:space="preserve"> (</w:t>
      </w:r>
      <w:proofErr w:type="spellStart"/>
      <w:r w:rsidR="001B2F1D">
        <w:rPr>
          <w:i/>
        </w:rPr>
        <w:t>Cth</w:t>
      </w:r>
      <w:proofErr w:type="spellEnd"/>
      <w:r w:rsidR="001B2F1D">
        <w:rPr>
          <w:i/>
        </w:rPr>
        <w:t>)</w:t>
      </w:r>
      <w:r w:rsidR="005833BA">
        <w:rPr>
          <w:i/>
        </w:rPr>
        <w:t xml:space="preserve"> </w:t>
      </w:r>
      <w:r w:rsidR="005833BA">
        <w:rPr>
          <w:iCs/>
        </w:rPr>
        <w:t xml:space="preserve">and the modern slavery offences in the </w:t>
      </w:r>
      <w:r w:rsidR="005833BA">
        <w:rPr>
          <w:i/>
        </w:rPr>
        <w:t>Criminal Cose Act 1995 (</w:t>
      </w:r>
      <w:proofErr w:type="spellStart"/>
      <w:r w:rsidR="005833BA">
        <w:rPr>
          <w:i/>
        </w:rPr>
        <w:t>Cth</w:t>
      </w:r>
      <w:proofErr w:type="spellEnd"/>
      <w:r w:rsidR="005833BA">
        <w:rPr>
          <w:i/>
        </w:rPr>
        <w:t>)</w:t>
      </w:r>
      <w:r w:rsidR="004221E3">
        <w:t>.</w:t>
      </w:r>
      <w:r w:rsidR="009609B4">
        <w:t xml:space="preserve"> </w:t>
      </w:r>
      <w:r w:rsidR="003742DA" w:rsidRPr="003742DA">
        <w:t>Assistant Secretary, Modern Slavery and Human Trafficking Branch</w:t>
      </w:r>
      <w:r w:rsidR="00BC2F27">
        <w:t xml:space="preserve">, </w:t>
      </w:r>
      <w:r w:rsidR="00317C89">
        <w:t>AGD</w:t>
      </w:r>
      <w:r w:rsidR="00317C89" w:rsidRPr="00367E55">
        <w:t xml:space="preserve"> chairs the Interdepartmental Committee on Human Trafficking and Slavery (IDC), which provides oversight of Australia's whole-of-government response to human trafficking and modern slavery</w:t>
      </w:r>
      <w:r w:rsidR="00317C89">
        <w:t>.</w:t>
      </w:r>
    </w:p>
    <w:p w14:paraId="730ED91D" w14:textId="77777777" w:rsidR="007B0B21" w:rsidRDefault="007B0B21" w:rsidP="007E0AFE">
      <w:pPr>
        <w:pStyle w:val="Bullet1"/>
      </w:pPr>
      <w:r w:rsidRPr="007B0B21">
        <w:t>Australian Anti-Slavery Commissioner: An independent position created to work across government, business, and civil society to prevent and respond to modern slavery. Mr. Chris Evans was appointed as Australia's first federal Anti-Slavery Commissioner in November 2024 and commenced his 5-year term on December 2, 2024.</w:t>
      </w:r>
    </w:p>
    <w:p w14:paraId="20A96EC0" w14:textId="23D2AC90" w:rsidR="00CD1720" w:rsidRDefault="007B0B21" w:rsidP="007E0AFE">
      <w:pPr>
        <w:pStyle w:val="Bullet1"/>
      </w:pPr>
      <w:r w:rsidRPr="007B0B21">
        <w:t>Australian Federal Police (AFP): The lead agency for investigating human trafficking and other modern slavery crimes in Australia. They have dedicated human trafficking investigation teams and work with state, territory, and international partners.</w:t>
      </w:r>
      <w:r w:rsidR="003E06C8">
        <w:t xml:space="preserve"> AFP also ref</w:t>
      </w:r>
      <w:r w:rsidR="00C52B16">
        <w:t xml:space="preserve">er victims and survivors to the STPP. </w:t>
      </w:r>
    </w:p>
    <w:p w14:paraId="5D113BAF" w14:textId="77777777" w:rsidR="003C703D" w:rsidRDefault="003C703D" w:rsidP="007E0AFE">
      <w:pPr>
        <w:pStyle w:val="Bullet1"/>
      </w:pPr>
      <w:r>
        <w:t xml:space="preserve">Department of Social Services (DSS): Responsible for the STPP, ARP and FMSSP. </w:t>
      </w:r>
    </w:p>
    <w:p w14:paraId="2A367C1B" w14:textId="38331082" w:rsidR="008339E7" w:rsidRPr="007B0B21" w:rsidRDefault="002B067C" w:rsidP="007E0AFE">
      <w:pPr>
        <w:pStyle w:val="Bullet1"/>
      </w:pPr>
      <w:r>
        <w:t>Department of Home Affairs</w:t>
      </w:r>
      <w:r w:rsidR="00A55B37">
        <w:t xml:space="preserve">: </w:t>
      </w:r>
      <w:r w:rsidR="007303A9">
        <w:t>Administers the Human Trafficking Visa Framework (HTVF)</w:t>
      </w:r>
      <w:r w:rsidR="00513DAE">
        <w:t xml:space="preserve"> and includes </w:t>
      </w:r>
      <w:r w:rsidR="008339E7">
        <w:t>Australian Border Force</w:t>
      </w:r>
      <w:r w:rsidR="00A95AFA">
        <w:t xml:space="preserve"> (ABF). </w:t>
      </w:r>
      <w:r w:rsidR="00536B92" w:rsidRPr="00536B92">
        <w:t xml:space="preserve"> </w:t>
      </w:r>
      <w:r w:rsidR="00A95AFA">
        <w:t xml:space="preserve">ABF </w:t>
      </w:r>
      <w:r w:rsidR="00536B92" w:rsidRPr="00536B92">
        <w:t>Human Trafficking Contact Officers (HTCOs) are onshore specialist</w:t>
      </w:r>
      <w:r w:rsidR="004041FD">
        <w:t xml:space="preserve"> officers</w:t>
      </w:r>
      <w:r w:rsidR="00536B92" w:rsidRPr="00536B92">
        <w:t xml:space="preserve"> </w:t>
      </w:r>
      <w:r w:rsidR="00602B47">
        <w:t>who</w:t>
      </w:r>
      <w:r w:rsidR="00536B92" w:rsidRPr="00536B92">
        <w:t xml:space="preserve"> identify possible indicators of human trafficking</w:t>
      </w:r>
      <w:r w:rsidR="00317C89">
        <w:t xml:space="preserve"> </w:t>
      </w:r>
      <w:r w:rsidR="00B11974">
        <w:t xml:space="preserve">and </w:t>
      </w:r>
      <w:r w:rsidR="00536B92">
        <w:t>report</w:t>
      </w:r>
      <w:r w:rsidR="00970C92">
        <w:t xml:space="preserve"> </w:t>
      </w:r>
      <w:r w:rsidR="004041FD">
        <w:t>matters</w:t>
      </w:r>
      <w:r w:rsidR="00970C92">
        <w:t xml:space="preserve"> </w:t>
      </w:r>
      <w:r w:rsidR="00970C92" w:rsidRPr="00AF3E76">
        <w:t xml:space="preserve">to AFP. </w:t>
      </w:r>
    </w:p>
    <w:p w14:paraId="228CA1D7" w14:textId="6E19DCC2" w:rsidR="00CD1720" w:rsidRDefault="007B0B21" w:rsidP="007E0AFE">
      <w:pPr>
        <w:pStyle w:val="Bullet1"/>
      </w:pPr>
      <w:r w:rsidRPr="007B0B21">
        <w:t>Fair Work Ombudsman</w:t>
      </w:r>
      <w:r w:rsidR="00B52CDC">
        <w:t xml:space="preserve"> (FWO)</w:t>
      </w:r>
      <w:r w:rsidRPr="007B0B21">
        <w:t xml:space="preserve">: </w:t>
      </w:r>
      <w:r w:rsidR="00794F29">
        <w:t>an independent regul</w:t>
      </w:r>
      <w:r w:rsidR="00302783">
        <w:t>ator r</w:t>
      </w:r>
      <w:r w:rsidRPr="007B0B21">
        <w:t>esponsible for enforcing Australia's workplace laws, providing education, assistance, advice, and guidance to employers and employees, including vulnerable workers.</w:t>
      </w:r>
    </w:p>
    <w:p w14:paraId="65B3B6F6" w14:textId="6432CB0E" w:rsidR="00CD1720" w:rsidRDefault="007B0B21" w:rsidP="007E0AFE">
      <w:pPr>
        <w:pStyle w:val="Bullet1"/>
      </w:pPr>
      <w:r w:rsidRPr="007B0B21">
        <w:t>Office of the Commonwealth Director of Public Prosecutions (CDPP): Prosecutes offenses against Commonwealth law, including modern slavery offenses, based on referrals from AFP and other investigative agencies.</w:t>
      </w:r>
    </w:p>
    <w:p w14:paraId="3ED43752" w14:textId="719DD3E8" w:rsidR="003C703D" w:rsidRDefault="007B0B21" w:rsidP="007E0AFE">
      <w:pPr>
        <w:pStyle w:val="Bullet1"/>
      </w:pPr>
      <w:r w:rsidRPr="007B0B21">
        <w:t>Department of Foreign Affairs and Trade (DFAT): Leads Australia’s whole-of-government international engagement to counter human trafficking and other forms of modern slavery</w:t>
      </w:r>
      <w:r w:rsidR="00E01084">
        <w:t>;</w:t>
      </w:r>
      <w:r w:rsidR="007977EE">
        <w:t xml:space="preserve"> responsible for </w:t>
      </w:r>
      <w:r w:rsidR="00E01084" w:rsidRPr="00E01084">
        <w:t xml:space="preserve">the development, implementation and </w:t>
      </w:r>
      <w:r w:rsidR="00E01084">
        <w:t>e</w:t>
      </w:r>
      <w:r w:rsidR="00E01084" w:rsidRPr="00E01084">
        <w:t xml:space="preserve">valuation of the </w:t>
      </w:r>
      <w:r w:rsidR="00E01084" w:rsidRPr="00E01084">
        <w:rPr>
          <w:i/>
          <w:iCs/>
        </w:rPr>
        <w:t>International Engagement Strategy on Human Trafficking and Modern Slavery: Delivering in Partnership</w:t>
      </w:r>
      <w:r w:rsidR="00E01084" w:rsidRPr="00E01084">
        <w:t>.</w:t>
      </w:r>
      <w:r w:rsidR="005F5BBF">
        <w:t xml:space="preserve"> </w:t>
      </w:r>
      <w:r w:rsidR="003C703D">
        <w:t xml:space="preserve">(As part of DFAT) </w:t>
      </w:r>
      <w:r w:rsidR="003C703D" w:rsidRPr="007B0B21">
        <w:t>Australian Ambassador to Counter Modern Slavery, People Smuggling and Human Trafficking: Plays a leading role in driving international cooperation and working with regional partners to strengthen responses to modern slavery.</w:t>
      </w:r>
    </w:p>
    <w:p w14:paraId="18741672" w14:textId="064075C2" w:rsidR="003C10E9" w:rsidRDefault="003C10E9" w:rsidP="007E0AFE">
      <w:pPr>
        <w:pStyle w:val="Bullet1"/>
      </w:pPr>
      <w:r w:rsidRPr="003C10E9">
        <w:t>Interdepartmental Committee on Human Trafficking and Slavery (IDC)</w:t>
      </w:r>
      <w:r>
        <w:t>:</w:t>
      </w:r>
      <w:r w:rsidRPr="003C10E9">
        <w:t xml:space="preserve"> provides oversight of Australia's whole-of-government response to human trafficking and modern slavery.</w:t>
      </w:r>
      <w:r w:rsidR="008B1D9A">
        <w:t xml:space="preserve"> The IDC comprises </w:t>
      </w:r>
      <w:r w:rsidR="00C1281A">
        <w:t xml:space="preserve">representation </w:t>
      </w:r>
      <w:r w:rsidR="00C1281A" w:rsidRPr="006E7CF3">
        <w:t>by</w:t>
      </w:r>
      <w:r w:rsidR="00FC18C6" w:rsidRPr="004B4CD1">
        <w:t xml:space="preserve"> </w:t>
      </w:r>
      <w:r w:rsidR="0075255A">
        <w:t>AGD</w:t>
      </w:r>
      <w:r w:rsidR="00D27794">
        <w:t xml:space="preserve"> (</w:t>
      </w:r>
      <w:r w:rsidR="00D27794" w:rsidRPr="00D27794">
        <w:t>Assistant Secretary, Modern Slavery and Human Trafficking Branch</w:t>
      </w:r>
      <w:r w:rsidR="00284304">
        <w:t xml:space="preserve"> is</w:t>
      </w:r>
      <w:r w:rsidR="00FC18C6" w:rsidRPr="004B4CD1">
        <w:t xml:space="preserve"> Chair</w:t>
      </w:r>
      <w:r w:rsidR="00C1281A">
        <w:t xml:space="preserve">), </w:t>
      </w:r>
      <w:r w:rsidR="00160C3C" w:rsidRPr="006E7CF3">
        <w:t>AFP</w:t>
      </w:r>
      <w:r w:rsidR="00160C3C">
        <w:t xml:space="preserve">, AIC, </w:t>
      </w:r>
      <w:r w:rsidR="00374E58">
        <w:t>Australian Criminal Intelligence Commission (</w:t>
      </w:r>
      <w:r w:rsidR="00317C89">
        <w:t>ACIC</w:t>
      </w:r>
      <w:r w:rsidR="00374E58">
        <w:t>),</w:t>
      </w:r>
      <w:r w:rsidR="00160C3C">
        <w:t xml:space="preserve"> </w:t>
      </w:r>
      <w:r w:rsidR="00374E58">
        <w:t>Commonwealth Director of Public Prosecutions (</w:t>
      </w:r>
      <w:r w:rsidR="00160C3C">
        <w:t>CDPP</w:t>
      </w:r>
      <w:r w:rsidR="00374E58">
        <w:t>)</w:t>
      </w:r>
      <w:r w:rsidR="00160C3C">
        <w:t>, DFAT, De</w:t>
      </w:r>
      <w:r w:rsidR="00B52CDC">
        <w:t>partment of Home Affairs</w:t>
      </w:r>
      <w:r w:rsidR="0075255A">
        <w:t xml:space="preserve"> and AB</w:t>
      </w:r>
      <w:r w:rsidR="00FD3AA8">
        <w:t>F</w:t>
      </w:r>
      <w:r w:rsidR="00B52CDC">
        <w:t>, DSS, FWO</w:t>
      </w:r>
      <w:r w:rsidR="00317C89">
        <w:t xml:space="preserve">, </w:t>
      </w:r>
      <w:r w:rsidR="004C0285">
        <w:t>Department of Employment and Workplace Relations (</w:t>
      </w:r>
      <w:r w:rsidR="00317C89">
        <w:t>DEWR</w:t>
      </w:r>
      <w:r w:rsidR="004C0285">
        <w:t>)</w:t>
      </w:r>
      <w:r w:rsidR="00317C89">
        <w:t xml:space="preserve">, </w:t>
      </w:r>
      <w:r w:rsidR="00CF3B24">
        <w:t>Department of Education</w:t>
      </w:r>
      <w:r w:rsidR="00317C89">
        <w:t xml:space="preserve">, </w:t>
      </w:r>
      <w:r w:rsidR="009A3E89">
        <w:t>Department of the Prime Minister and Cabinet (</w:t>
      </w:r>
      <w:r w:rsidR="00317C89">
        <w:t>PM&amp;C</w:t>
      </w:r>
      <w:r w:rsidR="009A3E89">
        <w:t>)</w:t>
      </w:r>
      <w:r w:rsidR="00B52CDC">
        <w:t>.</w:t>
      </w:r>
    </w:p>
    <w:p w14:paraId="60084653" w14:textId="0988BE33" w:rsidR="00A50A28" w:rsidRDefault="00A50A28" w:rsidP="007E0AFE">
      <w:pPr>
        <w:pStyle w:val="Bullet1"/>
      </w:pPr>
      <w:r>
        <w:t xml:space="preserve">Operational Working Group (OWG): The OWG is a subcommittee of the </w:t>
      </w:r>
      <w:r w:rsidR="00A241D5">
        <w:t>IDC and chaired by AGD</w:t>
      </w:r>
      <w:r w:rsidR="00A241D5" w:rsidRPr="00A241D5">
        <w:t xml:space="preserve">. The OWG focuses on </w:t>
      </w:r>
      <w:r w:rsidR="003B6B38">
        <w:t xml:space="preserve">broad </w:t>
      </w:r>
      <w:r w:rsidR="00A241D5" w:rsidRPr="00A241D5">
        <w:t xml:space="preserve">operational matters, including victim support </w:t>
      </w:r>
      <w:r w:rsidR="00A86541">
        <w:t xml:space="preserve">processes </w:t>
      </w:r>
      <w:r w:rsidR="00A241D5" w:rsidRPr="00A241D5">
        <w:t xml:space="preserve">and resolving individual case issues, and escalates policy concerns to the IDC. </w:t>
      </w:r>
      <w:r w:rsidR="004C47F1">
        <w:t>A</w:t>
      </w:r>
      <w:r w:rsidR="00A241D5" w:rsidRPr="00A241D5">
        <w:t xml:space="preserve">gencies </w:t>
      </w:r>
      <w:r w:rsidR="004C47F1">
        <w:t>represented on the OWG are</w:t>
      </w:r>
      <w:r w:rsidR="00A241D5" w:rsidRPr="00A241D5">
        <w:t xml:space="preserve"> AGD, AFP, CDPP, DFAT, Home Affairs</w:t>
      </w:r>
      <w:r w:rsidR="00FD3AA8">
        <w:t xml:space="preserve"> and ABF</w:t>
      </w:r>
      <w:r w:rsidR="00A241D5" w:rsidRPr="00A241D5">
        <w:t>, and DSS</w:t>
      </w:r>
      <w:r w:rsidR="004C47F1">
        <w:t>.</w:t>
      </w:r>
    </w:p>
    <w:p w14:paraId="32D96D7B" w14:textId="71A5C56E" w:rsidR="004221E3" w:rsidRDefault="009609B4" w:rsidP="007E0AFE">
      <w:r w:rsidRPr="009609B4">
        <w:t xml:space="preserve">State and territory governments in Australia have responsibilities </w:t>
      </w:r>
      <w:r w:rsidR="004221E3">
        <w:t xml:space="preserve">related to </w:t>
      </w:r>
      <w:r w:rsidRPr="009609B4">
        <w:t xml:space="preserve">addressing </w:t>
      </w:r>
      <w:r w:rsidR="004221E3">
        <w:t>HTMS</w:t>
      </w:r>
      <w:r w:rsidRPr="009609B4">
        <w:t>, including</w:t>
      </w:r>
      <w:r w:rsidR="003C42E8">
        <w:t xml:space="preserve"> through</w:t>
      </w:r>
      <w:r w:rsidR="004221E3">
        <w:t>:</w:t>
      </w:r>
    </w:p>
    <w:p w14:paraId="711D1ABD" w14:textId="64F7C8EC" w:rsidR="004221E3" w:rsidRDefault="004221E3" w:rsidP="007E0AFE">
      <w:pPr>
        <w:pStyle w:val="Bullet1"/>
      </w:pPr>
      <w:r>
        <w:t>c</w:t>
      </w:r>
      <w:r w:rsidR="009609B4" w:rsidRPr="009609B4">
        <w:t>hild protection: protecting children within their jurisdictions, which includes safeguarding them from trafficking and exploitation</w:t>
      </w:r>
      <w:r w:rsidR="00CB1470">
        <w:t>.</w:t>
      </w:r>
    </w:p>
    <w:p w14:paraId="203FB2CF" w14:textId="79FE775F" w:rsidR="004221E3" w:rsidRDefault="002D7191" w:rsidP="007E0AFE">
      <w:pPr>
        <w:pStyle w:val="Bullet1"/>
      </w:pPr>
      <w:r>
        <w:t xml:space="preserve">family and </w:t>
      </w:r>
      <w:r w:rsidR="004221E3">
        <w:t>d</w:t>
      </w:r>
      <w:r w:rsidR="009609B4" w:rsidRPr="009609B4">
        <w:t xml:space="preserve">omestic violence: which can be a </w:t>
      </w:r>
      <w:r w:rsidR="009609B4" w:rsidRPr="006E7CF3">
        <w:t xml:space="preserve">factor </w:t>
      </w:r>
      <w:r w:rsidR="009609B4" w:rsidRPr="004B4CD1">
        <w:t xml:space="preserve">in </w:t>
      </w:r>
      <w:r w:rsidR="002635AA" w:rsidRPr="006E7CF3">
        <w:t>modern</w:t>
      </w:r>
      <w:r w:rsidR="002635AA">
        <w:t xml:space="preserve"> slavery</w:t>
      </w:r>
      <w:r w:rsidR="009609B4" w:rsidRPr="009609B4">
        <w:t xml:space="preserve"> cases.</w:t>
      </w:r>
    </w:p>
    <w:p w14:paraId="3A81650A" w14:textId="63EFEBED" w:rsidR="004221E3" w:rsidRDefault="004221E3" w:rsidP="007E0AFE">
      <w:pPr>
        <w:pStyle w:val="Bullet1"/>
      </w:pPr>
      <w:r>
        <w:lastRenderedPageBreak/>
        <w:t>f</w:t>
      </w:r>
      <w:r w:rsidR="009609B4" w:rsidRPr="009609B4">
        <w:t xml:space="preserve">inancial assistance to victims of </w:t>
      </w:r>
      <w:r w:rsidR="008364D6" w:rsidRPr="009609B4">
        <w:t xml:space="preserve">crime, </w:t>
      </w:r>
      <w:r w:rsidR="008364D6">
        <w:t>including for people with HTMS experience</w:t>
      </w:r>
      <w:r w:rsidR="00CB1470">
        <w:t>.</w:t>
      </w:r>
      <w:r w:rsidR="008364D6">
        <w:t xml:space="preserve"> </w:t>
      </w:r>
    </w:p>
    <w:p w14:paraId="3458F4B2" w14:textId="02060C8A" w:rsidR="009609B4" w:rsidRDefault="003C42E8" w:rsidP="007E0AFE">
      <w:pPr>
        <w:pStyle w:val="Bullet1"/>
      </w:pPr>
      <w:r>
        <w:t>f</w:t>
      </w:r>
      <w:r w:rsidR="009609B4" w:rsidRPr="009609B4">
        <w:t>rontline</w:t>
      </w:r>
      <w:r w:rsidR="008364D6">
        <w:t xml:space="preserve"> health, legal, housing </w:t>
      </w:r>
      <w:r w:rsidR="00C21358">
        <w:t>etc.</w:t>
      </w:r>
      <w:r w:rsidR="009609B4" w:rsidRPr="009609B4">
        <w:t xml:space="preserve"> agencies are key partners in identifying and supporting victims and survivors of modern slavery.</w:t>
      </w:r>
    </w:p>
    <w:p w14:paraId="2052A7A3" w14:textId="0C78BCD7" w:rsidR="0087674F" w:rsidRDefault="0087674F" w:rsidP="007E0AFE">
      <w:pPr>
        <w:pStyle w:val="Bullet1"/>
      </w:pPr>
      <w:r>
        <w:t>New South Wales Anti-slavery commissioner</w:t>
      </w:r>
      <w:r w:rsidR="002A7DDA">
        <w:t>:</w:t>
      </w:r>
      <w:r w:rsidR="00A02CE5" w:rsidRPr="00A02CE5">
        <w:t xml:space="preserve"> identifying and supporting survivors, monitoring the effectiveness of state anti-slavery laws and policies</w:t>
      </w:r>
      <w:r w:rsidR="00A02CE5">
        <w:t xml:space="preserve"> and</w:t>
      </w:r>
      <w:r w:rsidR="00A02CE5" w:rsidRPr="00A02CE5">
        <w:t xml:space="preserve"> advising on and supporting NSW public entities to address modern slavery risks within their operations and supply chains.</w:t>
      </w:r>
      <w:r w:rsidR="002A7DDA">
        <w:t xml:space="preserve"> </w:t>
      </w:r>
    </w:p>
    <w:p w14:paraId="53EBB74C" w14:textId="1AEAEC76" w:rsidR="005E12DE" w:rsidRDefault="00C21358" w:rsidP="007E0AFE">
      <w:pPr>
        <w:pStyle w:val="Heading4"/>
        <w:rPr>
          <w:lang w:eastAsia="en-AU"/>
        </w:rPr>
      </w:pPr>
      <w:bookmarkStart w:id="14" w:name="_Toc183030629"/>
      <w:bookmarkEnd w:id="5"/>
      <w:bookmarkEnd w:id="6"/>
      <w:bookmarkEnd w:id="7"/>
      <w:bookmarkEnd w:id="12"/>
      <w:r>
        <w:rPr>
          <w:lang w:eastAsia="en-AU"/>
        </w:rPr>
        <w:t>STPP</w:t>
      </w:r>
    </w:p>
    <w:p w14:paraId="15B45A30" w14:textId="16CD8C47" w:rsidR="00C21358" w:rsidRDefault="0082271F" w:rsidP="007E0AFE">
      <w:pPr>
        <w:spacing w:before="0" w:after="160" w:line="259" w:lineRule="auto"/>
        <w:rPr>
          <w:lang w:eastAsia="en-AU"/>
        </w:rPr>
      </w:pPr>
      <w:r w:rsidRPr="0082271F">
        <w:rPr>
          <w:lang w:eastAsia="en-AU"/>
        </w:rPr>
        <w:t xml:space="preserve">The STPP is </w:t>
      </w:r>
      <w:r w:rsidR="73848D32" w:rsidRPr="3357A333">
        <w:rPr>
          <w:lang w:eastAsia="en-AU"/>
        </w:rPr>
        <w:t xml:space="preserve">the </w:t>
      </w:r>
      <w:r w:rsidR="009048A9">
        <w:rPr>
          <w:lang w:eastAsia="en-AU"/>
        </w:rPr>
        <w:t xml:space="preserve">only national comprehensive support program for </w:t>
      </w:r>
      <w:r w:rsidR="00A22B67">
        <w:rPr>
          <w:lang w:eastAsia="en-AU"/>
        </w:rPr>
        <w:t>people with</w:t>
      </w:r>
      <w:r w:rsidR="009048A9">
        <w:rPr>
          <w:lang w:eastAsia="en-AU"/>
        </w:rPr>
        <w:t xml:space="preserve"> HTMS </w:t>
      </w:r>
      <w:r w:rsidR="00A22B67">
        <w:rPr>
          <w:lang w:eastAsia="en-AU"/>
        </w:rPr>
        <w:t>experiences</w:t>
      </w:r>
      <w:r w:rsidR="009048A9">
        <w:rPr>
          <w:lang w:eastAsia="en-AU"/>
        </w:rPr>
        <w:t xml:space="preserve"> in Australia and, combined with the national footprint</w:t>
      </w:r>
      <w:r w:rsidR="73848D32" w:rsidRPr="3357A333">
        <w:rPr>
          <w:lang w:eastAsia="en-AU"/>
        </w:rPr>
        <w:t xml:space="preserve"> of </w:t>
      </w:r>
      <w:r w:rsidR="009048A9">
        <w:rPr>
          <w:lang w:eastAsia="en-AU"/>
        </w:rPr>
        <w:t xml:space="preserve">the recently implemented ARP, represents a very significant component of Australia’s </w:t>
      </w:r>
      <w:r w:rsidR="007A5911">
        <w:rPr>
          <w:lang w:eastAsia="en-AU"/>
        </w:rPr>
        <w:t xml:space="preserve">victim support </w:t>
      </w:r>
      <w:r w:rsidR="009048A9">
        <w:rPr>
          <w:lang w:eastAsia="en-AU"/>
        </w:rPr>
        <w:t xml:space="preserve">response to HTMS. </w:t>
      </w:r>
      <w:r w:rsidRPr="0082271F">
        <w:rPr>
          <w:lang w:eastAsia="en-AU"/>
        </w:rPr>
        <w:t xml:space="preserve">The STPP provides support to individuals who have experienced </w:t>
      </w:r>
      <w:r w:rsidR="004B1894">
        <w:rPr>
          <w:lang w:eastAsia="en-AU"/>
        </w:rPr>
        <w:t xml:space="preserve">HTMS in Australia. </w:t>
      </w:r>
      <w:r w:rsidRPr="0082271F">
        <w:rPr>
          <w:lang w:eastAsia="en-AU"/>
        </w:rPr>
        <w:t xml:space="preserve">The STPP was established in 2004, with the Australian Red Cross delivering the program nationally since 2009. </w:t>
      </w:r>
    </w:p>
    <w:p w14:paraId="7C9FBFAA" w14:textId="0583987C" w:rsidR="003D18FD" w:rsidRDefault="00A46CD2" w:rsidP="00A36D88">
      <w:pPr>
        <w:spacing w:before="0" w:after="160" w:line="259" w:lineRule="auto"/>
        <w:rPr>
          <w:lang w:eastAsia="en-AU"/>
        </w:rPr>
      </w:pPr>
      <w:r>
        <w:rPr>
          <w:lang w:eastAsia="en-AU"/>
        </w:rPr>
        <w:t xml:space="preserve">The </w:t>
      </w:r>
      <w:r w:rsidRPr="00734EBF">
        <w:rPr>
          <w:rFonts w:asciiTheme="majorHAnsi" w:hAnsiTheme="majorHAnsi"/>
          <w:lang w:eastAsia="en-AU"/>
        </w:rPr>
        <w:t>key objectives</w:t>
      </w:r>
      <w:r>
        <w:rPr>
          <w:lang w:eastAsia="en-AU"/>
        </w:rPr>
        <w:t xml:space="preserve"> of the STPP a</w:t>
      </w:r>
      <w:r w:rsidR="001D1E90">
        <w:rPr>
          <w:lang w:eastAsia="en-AU"/>
        </w:rPr>
        <w:t>re</w:t>
      </w:r>
      <w:r w:rsidR="00B31324">
        <w:rPr>
          <w:lang w:eastAsia="en-AU"/>
        </w:rPr>
        <w:t xml:space="preserve"> to</w:t>
      </w:r>
      <w:r w:rsidR="001D1E90">
        <w:rPr>
          <w:lang w:eastAsia="en-AU"/>
        </w:rPr>
        <w:t>:</w:t>
      </w:r>
    </w:p>
    <w:p w14:paraId="69D93EE6" w14:textId="568367C9" w:rsidR="00B2744D" w:rsidRPr="00B2744D" w:rsidRDefault="00B2744D" w:rsidP="007E0AFE">
      <w:pPr>
        <w:pStyle w:val="NumList"/>
        <w:rPr>
          <w:lang w:eastAsia="en-AU"/>
        </w:rPr>
      </w:pPr>
      <w:r w:rsidRPr="00B2744D">
        <w:rPr>
          <w:lang w:eastAsia="en-AU"/>
        </w:rPr>
        <w:t>To support those who have experienced HTMS to recover from their experiences</w:t>
      </w:r>
    </w:p>
    <w:p w14:paraId="4E4EF07E" w14:textId="12BEB340" w:rsidR="00B2744D" w:rsidRPr="00B2744D" w:rsidRDefault="00B2744D" w:rsidP="007E0AFE">
      <w:pPr>
        <w:pStyle w:val="NumList"/>
        <w:rPr>
          <w:lang w:eastAsia="en-AU"/>
        </w:rPr>
      </w:pPr>
      <w:r w:rsidRPr="00B2744D">
        <w:rPr>
          <w:lang w:eastAsia="en-AU"/>
        </w:rPr>
        <w:t>To enable participation in the criminal justice process</w:t>
      </w:r>
    </w:p>
    <w:p w14:paraId="7B75AA1E" w14:textId="76645211" w:rsidR="00B2744D" w:rsidRPr="00B2744D" w:rsidRDefault="00B2744D" w:rsidP="007E0AFE">
      <w:pPr>
        <w:pStyle w:val="NumList"/>
        <w:rPr>
          <w:lang w:eastAsia="en-AU"/>
        </w:rPr>
      </w:pPr>
      <w:r w:rsidRPr="00B2744D">
        <w:rPr>
          <w:lang w:eastAsia="en-AU"/>
        </w:rPr>
        <w:t>To help individuals rebuild their lives</w:t>
      </w:r>
    </w:p>
    <w:p w14:paraId="3D3E539A" w14:textId="62C2480B" w:rsidR="00F11056" w:rsidRPr="0082271F" w:rsidRDefault="00BA2AD1" w:rsidP="007E0AFE">
      <w:pPr>
        <w:rPr>
          <w:noProof/>
          <w:lang w:eastAsia="en-AU"/>
        </w:rPr>
      </w:pPr>
      <w:r w:rsidRPr="00BA2AD1">
        <w:rPr>
          <w:lang w:eastAsia="en-AU"/>
        </w:rPr>
        <w:t xml:space="preserve">To be eligible for the STPP, individuals must be reasonably suspected of being a victim-survivor of modern slavery offenses under Australian law, </w:t>
      </w:r>
      <w:proofErr w:type="gramStart"/>
      <w:r w:rsidRPr="00BA2AD1">
        <w:rPr>
          <w:lang w:eastAsia="en-AU"/>
        </w:rPr>
        <w:t>be located in</w:t>
      </w:r>
      <w:proofErr w:type="gramEnd"/>
      <w:r w:rsidRPr="00BA2AD1">
        <w:rPr>
          <w:lang w:eastAsia="en-AU"/>
        </w:rPr>
        <w:t xml:space="preserve"> Australia, and hold a valid visa or be an Australian citizen</w:t>
      </w:r>
      <w:r>
        <w:rPr>
          <w:lang w:eastAsia="en-AU"/>
        </w:rPr>
        <w:t xml:space="preserve">. </w:t>
      </w:r>
      <w:r w:rsidR="008F5D88">
        <w:rPr>
          <w:lang w:eastAsia="en-AU"/>
        </w:rPr>
        <w:t xml:space="preserve">People </w:t>
      </w:r>
      <w:r w:rsidR="00964D8A">
        <w:rPr>
          <w:lang w:eastAsia="en-AU"/>
        </w:rPr>
        <w:t>eligible for the STPP</w:t>
      </w:r>
      <w:r w:rsidR="00EF0FBB">
        <w:rPr>
          <w:lang w:eastAsia="en-AU"/>
        </w:rPr>
        <w:t xml:space="preserve"> are referred</w:t>
      </w:r>
      <w:r w:rsidR="00964D8A" w:rsidRPr="0082271F">
        <w:rPr>
          <w:lang w:eastAsia="en-AU"/>
        </w:rPr>
        <w:t xml:space="preserve"> </w:t>
      </w:r>
      <w:r w:rsidR="00FB395C">
        <w:rPr>
          <w:lang w:eastAsia="en-AU"/>
        </w:rPr>
        <w:t xml:space="preserve">either </w:t>
      </w:r>
      <w:r w:rsidR="00964D8A" w:rsidRPr="0082271F">
        <w:rPr>
          <w:lang w:eastAsia="en-AU"/>
        </w:rPr>
        <w:t>by AFP</w:t>
      </w:r>
      <w:r w:rsidR="009823F2">
        <w:rPr>
          <w:lang w:eastAsia="en-AU"/>
        </w:rPr>
        <w:t xml:space="preserve"> </w:t>
      </w:r>
      <w:r w:rsidR="00CB2E0D">
        <w:rPr>
          <w:lang w:eastAsia="en-AU"/>
        </w:rPr>
        <w:t xml:space="preserve">or the ARP </w:t>
      </w:r>
      <w:r w:rsidR="009823F2">
        <w:rPr>
          <w:lang w:eastAsia="en-AU"/>
        </w:rPr>
        <w:t>after being assessed</w:t>
      </w:r>
      <w:r w:rsidR="006E0F50">
        <w:rPr>
          <w:lang w:eastAsia="en-AU"/>
        </w:rPr>
        <w:t xml:space="preserve"> </w:t>
      </w:r>
      <w:r w:rsidR="00835C26">
        <w:rPr>
          <w:lang w:eastAsia="en-AU"/>
        </w:rPr>
        <w:t>for ind</w:t>
      </w:r>
      <w:r w:rsidR="008E6B64">
        <w:rPr>
          <w:lang w:eastAsia="en-AU"/>
        </w:rPr>
        <w:t>icators of HTMS</w:t>
      </w:r>
      <w:r w:rsidR="00EF0FBB" w:rsidRPr="79CC7185">
        <w:rPr>
          <w:lang w:eastAsia="en-AU"/>
        </w:rPr>
        <w:t>.</w:t>
      </w:r>
      <w:r w:rsidR="00EF0FBB">
        <w:rPr>
          <w:lang w:eastAsia="en-AU"/>
        </w:rPr>
        <w:t xml:space="preserve"> If </w:t>
      </w:r>
      <w:r w:rsidR="001B5028">
        <w:rPr>
          <w:lang w:eastAsia="en-AU"/>
        </w:rPr>
        <w:t xml:space="preserve">potential STPP participants do not have a </w:t>
      </w:r>
      <w:r w:rsidR="00886415">
        <w:rPr>
          <w:lang w:eastAsia="en-AU"/>
        </w:rPr>
        <w:t>visa</w:t>
      </w:r>
      <w:r w:rsidR="00886415" w:rsidRPr="79CC7185">
        <w:rPr>
          <w:lang w:eastAsia="en-AU"/>
        </w:rPr>
        <w:t xml:space="preserve"> and</w:t>
      </w:r>
      <w:r w:rsidR="00E32EB4">
        <w:rPr>
          <w:lang w:eastAsia="en-AU"/>
        </w:rPr>
        <w:t xml:space="preserve"> are </w:t>
      </w:r>
      <w:r w:rsidR="006A0C56">
        <w:rPr>
          <w:lang w:eastAsia="en-AU"/>
        </w:rPr>
        <w:t xml:space="preserve">referred to the STPP by AFP (not the ARP), </w:t>
      </w:r>
      <w:r w:rsidR="00B32385">
        <w:rPr>
          <w:lang w:eastAsia="en-AU"/>
        </w:rPr>
        <w:t xml:space="preserve">AFP can apply for </w:t>
      </w:r>
      <w:r w:rsidR="004008F9">
        <w:rPr>
          <w:lang w:eastAsia="en-AU"/>
        </w:rPr>
        <w:t xml:space="preserve">a Bridging </w:t>
      </w:r>
      <w:r w:rsidR="00A4479F">
        <w:rPr>
          <w:lang w:eastAsia="en-AU"/>
        </w:rPr>
        <w:t xml:space="preserve">F </w:t>
      </w:r>
      <w:r w:rsidR="004008F9">
        <w:rPr>
          <w:lang w:eastAsia="en-AU"/>
        </w:rPr>
        <w:t xml:space="preserve">Visa </w:t>
      </w:r>
      <w:r w:rsidR="00B32385">
        <w:rPr>
          <w:lang w:eastAsia="en-AU"/>
        </w:rPr>
        <w:t xml:space="preserve">to </w:t>
      </w:r>
      <w:r w:rsidR="004008F9">
        <w:rPr>
          <w:lang w:eastAsia="en-AU"/>
        </w:rPr>
        <w:t>be granted by</w:t>
      </w:r>
      <w:r w:rsidR="001B5028">
        <w:rPr>
          <w:lang w:eastAsia="en-AU"/>
        </w:rPr>
        <w:t xml:space="preserve"> </w:t>
      </w:r>
      <w:r w:rsidR="00964D8A" w:rsidRPr="0082271F">
        <w:rPr>
          <w:lang w:eastAsia="en-AU"/>
        </w:rPr>
        <w:t>the Department of Home Affairs</w:t>
      </w:r>
      <w:r w:rsidR="0097001A">
        <w:rPr>
          <w:lang w:eastAsia="en-AU"/>
        </w:rPr>
        <w:t xml:space="preserve"> to enable </w:t>
      </w:r>
      <w:r w:rsidR="00700A76" w:rsidRPr="00700A76">
        <w:rPr>
          <w:lang w:eastAsia="en-AU"/>
        </w:rPr>
        <w:t xml:space="preserve">a </w:t>
      </w:r>
      <w:r w:rsidR="00B205B4" w:rsidRPr="00700A76">
        <w:rPr>
          <w:lang w:eastAsia="en-AU"/>
        </w:rPr>
        <w:t>person</w:t>
      </w:r>
      <w:r w:rsidR="00700A76" w:rsidRPr="00700A76">
        <w:rPr>
          <w:lang w:eastAsia="en-AU"/>
        </w:rPr>
        <w:t xml:space="preserve"> to remain lawfully in Australia to facilitate participation in the criminal justice process</w:t>
      </w:r>
      <w:r w:rsidR="0097001A">
        <w:rPr>
          <w:lang w:eastAsia="en-AU"/>
        </w:rPr>
        <w:t xml:space="preserve">. </w:t>
      </w:r>
      <w:r w:rsidR="00CB2E0D">
        <w:rPr>
          <w:lang w:eastAsia="en-AU"/>
        </w:rPr>
        <w:t>A Bridging F V</w:t>
      </w:r>
      <w:r w:rsidR="00DE0F55">
        <w:rPr>
          <w:lang w:eastAsia="en-AU"/>
        </w:rPr>
        <w:t xml:space="preserve">isa is granted for 45 days </w:t>
      </w:r>
      <w:r w:rsidR="007412AB">
        <w:rPr>
          <w:lang w:eastAsia="en-AU"/>
        </w:rPr>
        <w:t>initially,</w:t>
      </w:r>
      <w:r w:rsidR="00DE0F55">
        <w:rPr>
          <w:lang w:eastAsia="en-AU"/>
        </w:rPr>
        <w:t xml:space="preserve"> and a subsequent 45 days can be granted</w:t>
      </w:r>
      <w:r w:rsidR="007412AB">
        <w:rPr>
          <w:lang w:eastAsia="en-AU"/>
        </w:rPr>
        <w:t xml:space="preserve"> upon request and approval.</w:t>
      </w:r>
      <w:r w:rsidR="00DE0F55">
        <w:rPr>
          <w:lang w:eastAsia="en-AU"/>
        </w:rPr>
        <w:t xml:space="preserve"> </w:t>
      </w:r>
      <w:r w:rsidR="0082271F" w:rsidRPr="0082271F">
        <w:rPr>
          <w:lang w:eastAsia="en-AU"/>
        </w:rPr>
        <w:t xml:space="preserve">The STPP provides support through several </w:t>
      </w:r>
      <w:r w:rsidR="00F11056">
        <w:rPr>
          <w:lang w:eastAsia="en-AU"/>
        </w:rPr>
        <w:t>‘</w:t>
      </w:r>
      <w:r w:rsidR="0082271F" w:rsidRPr="0082271F">
        <w:rPr>
          <w:lang w:eastAsia="en-AU"/>
        </w:rPr>
        <w:t>streams</w:t>
      </w:r>
      <w:r w:rsidR="00F11056">
        <w:rPr>
          <w:lang w:eastAsia="en-AU"/>
        </w:rPr>
        <w:t>’ of activity</w:t>
      </w:r>
      <w:r w:rsidR="0082271F" w:rsidRPr="0082271F">
        <w:rPr>
          <w:lang w:eastAsia="en-AU"/>
        </w:rPr>
        <w:t xml:space="preserve">, depending on the </w:t>
      </w:r>
      <w:r w:rsidR="343DBB7C" w:rsidRPr="4F56074C">
        <w:rPr>
          <w:lang w:eastAsia="en-AU"/>
        </w:rPr>
        <w:t>participant</w:t>
      </w:r>
      <w:r w:rsidR="0082271F" w:rsidRPr="4F56074C">
        <w:rPr>
          <w:lang w:eastAsia="en-AU"/>
        </w:rPr>
        <w:t>'s</w:t>
      </w:r>
      <w:r w:rsidR="0082271F" w:rsidRPr="0082271F">
        <w:rPr>
          <w:lang w:eastAsia="en-AU"/>
        </w:rPr>
        <w:t xml:space="preserve"> circumstances</w:t>
      </w:r>
      <w:r w:rsidR="00AE5EDA">
        <w:rPr>
          <w:lang w:eastAsia="en-AU"/>
        </w:rPr>
        <w:t xml:space="preserve"> and</w:t>
      </w:r>
      <w:r w:rsidR="00765E93">
        <w:rPr>
          <w:lang w:eastAsia="en-AU"/>
        </w:rPr>
        <w:t xml:space="preserve"> whether they are </w:t>
      </w:r>
      <w:r w:rsidR="008F06D7">
        <w:rPr>
          <w:lang w:eastAsia="en-AU"/>
        </w:rPr>
        <w:t xml:space="preserve">assisting AFP </w:t>
      </w:r>
      <w:r w:rsidR="00765E93">
        <w:rPr>
          <w:lang w:eastAsia="en-AU"/>
        </w:rPr>
        <w:t xml:space="preserve">with criminal </w:t>
      </w:r>
      <w:r w:rsidR="009B4823">
        <w:rPr>
          <w:lang w:eastAsia="en-AU"/>
        </w:rPr>
        <w:t xml:space="preserve">investigations </w:t>
      </w:r>
      <w:r w:rsidR="00CA17CB">
        <w:rPr>
          <w:lang w:eastAsia="en-AU"/>
        </w:rPr>
        <w:t xml:space="preserve">and what stage </w:t>
      </w:r>
      <w:r w:rsidR="009B4823">
        <w:rPr>
          <w:lang w:eastAsia="en-AU"/>
        </w:rPr>
        <w:t>the</w:t>
      </w:r>
      <w:r w:rsidR="00897E8A">
        <w:rPr>
          <w:lang w:eastAsia="en-AU"/>
        </w:rPr>
        <w:t xml:space="preserve"> </w:t>
      </w:r>
      <w:r w:rsidR="00CA17CB">
        <w:rPr>
          <w:lang w:eastAsia="en-AU"/>
        </w:rPr>
        <w:t>investigation is at</w:t>
      </w:r>
      <w:r w:rsidR="00E54FB8">
        <w:rPr>
          <w:lang w:eastAsia="en-AU"/>
        </w:rPr>
        <w:t>:</w:t>
      </w:r>
      <w:r w:rsidR="00CA6216" w:rsidRPr="00CA6216">
        <w:rPr>
          <w:noProof/>
          <w:lang w:eastAsia="en-AU"/>
        </w:rPr>
        <w:t xml:space="preserve"> </w:t>
      </w:r>
    </w:p>
    <w:p w14:paraId="54247BE6" w14:textId="6DF7E5AD" w:rsidR="00B2744D" w:rsidRPr="00B2744D" w:rsidRDefault="00B2744D" w:rsidP="007E0AFE">
      <w:pPr>
        <w:pStyle w:val="NumList"/>
        <w:numPr>
          <w:ilvl w:val="0"/>
          <w:numId w:val="19"/>
        </w:numPr>
        <w:rPr>
          <w:noProof/>
        </w:rPr>
      </w:pPr>
      <w:r w:rsidRPr="00B2744D">
        <w:rPr>
          <w:noProof/>
        </w:rPr>
        <w:t xml:space="preserve"> Intensive Support Stream: This is the entry stream, providing support for 90 days for all program participants.</w:t>
      </w:r>
    </w:p>
    <w:p w14:paraId="16B1FDB3" w14:textId="6C849528" w:rsidR="00B2744D" w:rsidRPr="00B2744D" w:rsidRDefault="00B2744D" w:rsidP="007E0AFE">
      <w:pPr>
        <w:pStyle w:val="NumList"/>
        <w:rPr>
          <w:noProof/>
        </w:rPr>
      </w:pPr>
      <w:r w:rsidRPr="00B2744D">
        <w:rPr>
          <w:noProof/>
        </w:rPr>
        <w:t>Justice Support Stream: Provides support for those assisting the AFP until the investigation reaches a conclusion (either proceeding to trial or not).</w:t>
      </w:r>
    </w:p>
    <w:p w14:paraId="455E7905" w14:textId="7BDFA5B8" w:rsidR="00B2744D" w:rsidRPr="00B2744D" w:rsidRDefault="00B2744D" w:rsidP="007E0AFE">
      <w:pPr>
        <w:pStyle w:val="NumList"/>
        <w:rPr>
          <w:noProof/>
        </w:rPr>
      </w:pPr>
      <w:r w:rsidRPr="00B2744D">
        <w:rPr>
          <w:noProof/>
        </w:rPr>
        <w:t>Transition Stream: Provides an additional 20 working days of intensive support as people leave the program.</w:t>
      </w:r>
    </w:p>
    <w:p w14:paraId="5455891C" w14:textId="02C5CD71" w:rsidR="00B2744D" w:rsidRPr="00B2744D" w:rsidRDefault="00B2744D" w:rsidP="007E0AFE">
      <w:pPr>
        <w:pStyle w:val="NumList"/>
        <w:rPr>
          <w:noProof/>
        </w:rPr>
      </w:pPr>
      <w:r w:rsidRPr="00B2744D">
        <w:rPr>
          <w:noProof/>
        </w:rPr>
        <w:t>Forced Marriage Support Stream: Provides intensive support for up to 90 days for people who are in, or at risk of, a forced marriage regardless of participation in criminal justice processes.</w:t>
      </w:r>
    </w:p>
    <w:p w14:paraId="38D6C27D" w14:textId="490469B0" w:rsidR="00B2744D" w:rsidRPr="00B2744D" w:rsidRDefault="00B2744D" w:rsidP="007E0AFE">
      <w:pPr>
        <w:pStyle w:val="NumList"/>
        <w:rPr>
          <w:noProof/>
        </w:rPr>
      </w:pPr>
      <w:r w:rsidRPr="00B2744D">
        <w:rPr>
          <w:noProof/>
        </w:rPr>
        <w:t>Temporary Trial Support Stream: Provides intensive support for trafficked people who return to Australia to give evidence in a human trafficking prosecution.</w:t>
      </w:r>
      <w:r w:rsidR="002B69EE" w:rsidRPr="00B2744D">
        <w:rPr>
          <w:noProof/>
        </w:rPr>
        <w:t xml:space="preserve"> </w:t>
      </w:r>
    </w:p>
    <w:p w14:paraId="3B553B6D" w14:textId="69848B17" w:rsidR="003A77E2" w:rsidRDefault="003A77E2" w:rsidP="007E0AFE">
      <w:pPr>
        <w:spacing w:before="0" w:after="160" w:line="259" w:lineRule="auto"/>
        <w:rPr>
          <w:lang w:eastAsia="en-AU"/>
        </w:rPr>
      </w:pPr>
      <w:r w:rsidRPr="0082271F">
        <w:rPr>
          <w:lang w:eastAsia="en-AU"/>
        </w:rPr>
        <w:t xml:space="preserve">The STPP provides a </w:t>
      </w:r>
      <w:r w:rsidRPr="00606E53">
        <w:rPr>
          <w:rFonts w:asciiTheme="majorHAnsi" w:hAnsiTheme="majorHAnsi"/>
          <w:lang w:eastAsia="en-AU"/>
        </w:rPr>
        <w:t>range of supports</w:t>
      </w:r>
      <w:r w:rsidRPr="0082271F">
        <w:rPr>
          <w:lang w:eastAsia="en-AU"/>
        </w:rPr>
        <w:t>, including:</w:t>
      </w:r>
    </w:p>
    <w:p w14:paraId="457E8301" w14:textId="68865666" w:rsidR="00B2744D" w:rsidRPr="00B2744D" w:rsidRDefault="00B2744D" w:rsidP="007E0AFE">
      <w:pPr>
        <w:pStyle w:val="NumList"/>
        <w:numPr>
          <w:ilvl w:val="0"/>
          <w:numId w:val="20"/>
        </w:numPr>
        <w:rPr>
          <w:lang w:eastAsia="en-AU"/>
        </w:rPr>
      </w:pPr>
      <w:r w:rsidRPr="00B2744D">
        <w:rPr>
          <w:lang w:eastAsia="en-AU"/>
        </w:rPr>
        <w:t>Case management support: A dedicated case manager works with the client to assess their needs and develop a tailored support plan.</w:t>
      </w:r>
    </w:p>
    <w:p w14:paraId="21749F99" w14:textId="33C64FD1" w:rsidR="00B2744D" w:rsidRPr="00B2744D" w:rsidRDefault="00B2744D" w:rsidP="007E0AFE">
      <w:pPr>
        <w:pStyle w:val="NumList"/>
        <w:rPr>
          <w:lang w:eastAsia="en-AU"/>
        </w:rPr>
      </w:pPr>
      <w:r w:rsidRPr="00B2744D">
        <w:rPr>
          <w:lang w:eastAsia="en-AU"/>
        </w:rPr>
        <w:t xml:space="preserve">Financial assistance: The STPP provides financial assistance to clients via a framework that stipulates amounts and eligibility criteria to support with costs such as emergency items, accommodation, education and training needs, medical costs not covered by Medicare, psychology and counselling and costs associated with dependants. </w:t>
      </w:r>
    </w:p>
    <w:p w14:paraId="4BD63CBC" w14:textId="7BD40258" w:rsidR="00B2744D" w:rsidRPr="00B2744D" w:rsidRDefault="00B2744D" w:rsidP="007E0AFE">
      <w:pPr>
        <w:pStyle w:val="NumList"/>
        <w:rPr>
          <w:lang w:eastAsia="en-AU"/>
        </w:rPr>
      </w:pPr>
      <w:r w:rsidRPr="00B2744D">
        <w:rPr>
          <w:lang w:eastAsia="en-AU"/>
        </w:rPr>
        <w:t>Support and access to other services: The STPP also facilitates access to a range of external services, including accommodation, medical treatment (clients are eligible to access Medicare), counselling, legal and migration advice, skills development, including English language and vocational guidance and social support.</w:t>
      </w:r>
    </w:p>
    <w:p w14:paraId="7DEECAEB" w14:textId="4A7343BE" w:rsidR="0082271F" w:rsidRPr="0082271F" w:rsidRDefault="00C21358" w:rsidP="007E0AFE">
      <w:pPr>
        <w:pStyle w:val="Heading4"/>
        <w:rPr>
          <w:lang w:eastAsia="en-AU"/>
        </w:rPr>
      </w:pPr>
      <w:r>
        <w:rPr>
          <w:lang w:eastAsia="en-AU"/>
        </w:rPr>
        <w:t>ARP</w:t>
      </w:r>
    </w:p>
    <w:p w14:paraId="62ED98D5" w14:textId="48EBC596" w:rsidR="002C0D57" w:rsidRPr="002C0D57" w:rsidRDefault="002C0D57" w:rsidP="007E0AFE">
      <w:pPr>
        <w:rPr>
          <w:lang w:eastAsia="en-AU"/>
        </w:rPr>
      </w:pPr>
      <w:r w:rsidRPr="002C0D57">
        <w:rPr>
          <w:lang w:eastAsia="en-AU"/>
        </w:rPr>
        <w:t xml:space="preserve">The ARP </w:t>
      </w:r>
      <w:r w:rsidR="001213A0">
        <w:rPr>
          <w:lang w:eastAsia="en-AU"/>
        </w:rPr>
        <w:t xml:space="preserve">launched as a pilot </w:t>
      </w:r>
      <w:r w:rsidRPr="002C0D57">
        <w:rPr>
          <w:lang w:eastAsia="en-AU"/>
        </w:rPr>
        <w:t>in July 2024</w:t>
      </w:r>
      <w:r w:rsidR="001213A0">
        <w:rPr>
          <w:lang w:eastAsia="en-AU"/>
        </w:rPr>
        <w:t xml:space="preserve"> and will run</w:t>
      </w:r>
      <w:r w:rsidR="001213A0" w:rsidRPr="002C0D57">
        <w:rPr>
          <w:lang w:eastAsia="en-AU"/>
        </w:rPr>
        <w:t xml:space="preserve"> until November 2025</w:t>
      </w:r>
      <w:r w:rsidRPr="002C0D57">
        <w:rPr>
          <w:lang w:eastAsia="en-AU"/>
        </w:rPr>
        <w:t xml:space="preserve">. It provides an alternative entry point to the STPP, recognising that some people with HTMS experiences are unwilling or unable to engage with AFP </w:t>
      </w:r>
      <w:proofErr w:type="gramStart"/>
      <w:r w:rsidRPr="002C0D57">
        <w:rPr>
          <w:lang w:eastAsia="en-AU"/>
        </w:rPr>
        <w:t xml:space="preserve">at </w:t>
      </w:r>
      <w:r w:rsidR="001213A0">
        <w:rPr>
          <w:lang w:eastAsia="en-AU"/>
        </w:rPr>
        <w:t>this time</w:t>
      </w:r>
      <w:proofErr w:type="gramEnd"/>
      <w:r w:rsidRPr="002C0D57">
        <w:rPr>
          <w:lang w:eastAsia="en-AU"/>
        </w:rPr>
        <w:t>. The ARP was developed</w:t>
      </w:r>
      <w:r w:rsidR="001213A0">
        <w:rPr>
          <w:lang w:eastAsia="en-AU"/>
        </w:rPr>
        <w:t>,</w:t>
      </w:r>
      <w:r w:rsidRPr="002C0D57">
        <w:rPr>
          <w:lang w:eastAsia="en-AU"/>
        </w:rPr>
        <w:t xml:space="preserve"> and is delivered by</w:t>
      </w:r>
      <w:r w:rsidR="001213A0">
        <w:rPr>
          <w:lang w:eastAsia="en-AU"/>
        </w:rPr>
        <w:t>,</w:t>
      </w:r>
      <w:r w:rsidRPr="002C0D57">
        <w:rPr>
          <w:lang w:eastAsia="en-AU"/>
        </w:rPr>
        <w:t xml:space="preserve"> a consortium of experienced civil society organisations. </w:t>
      </w:r>
      <w:r w:rsidR="001213A0">
        <w:rPr>
          <w:lang w:eastAsia="en-AU"/>
        </w:rPr>
        <w:t>Prior to establishing the ARP, t</w:t>
      </w:r>
      <w:r w:rsidRPr="002C0D57">
        <w:rPr>
          <w:lang w:eastAsia="en-AU"/>
        </w:rPr>
        <w:t xml:space="preserve">hese organisations had been involved in longstanding advocacy for an expanded range of pathways into the STPP. </w:t>
      </w:r>
      <w:r w:rsidRPr="002C0D57">
        <w:rPr>
          <w:lang w:eastAsia="en-AU"/>
        </w:rPr>
        <w:lastRenderedPageBreak/>
        <w:t>The consortium model of delivery is designed to leverage the frontline knowledge, community and sector embeddedness, of organisations specialising in distinct populations, forms of HTMS and legal contexts:</w:t>
      </w:r>
    </w:p>
    <w:p w14:paraId="650CB00A" w14:textId="0A149887" w:rsidR="00514AFA" w:rsidRPr="00514AFA" w:rsidRDefault="002C0D57" w:rsidP="007E0AFE">
      <w:pPr>
        <w:pStyle w:val="Bullet1"/>
        <w:rPr>
          <w:lang w:eastAsia="en-AU"/>
        </w:rPr>
      </w:pPr>
      <w:r w:rsidRPr="002C0D57">
        <w:rPr>
          <w:lang w:eastAsia="en-AU"/>
        </w:rPr>
        <w:t xml:space="preserve">The Salvation Army leads the consortium and is a large, nationally established non-government social service organisation with case coordination, social work and administrative functions. </w:t>
      </w:r>
      <w:r w:rsidR="00514AFA">
        <w:rPr>
          <w:lang w:eastAsia="en-AU"/>
        </w:rPr>
        <w:t xml:space="preserve"> T</w:t>
      </w:r>
      <w:r w:rsidR="00514AFA" w:rsidRPr="00514AFA">
        <w:rPr>
          <w:lang w:eastAsia="en-AU"/>
        </w:rPr>
        <w:t xml:space="preserve">he Salvation Army has provided specialist support to survivors of modern slavery in Australia since 2008, when its Trafficking and Slavery Safe House </w:t>
      </w:r>
      <w:proofErr w:type="gramStart"/>
      <w:r w:rsidR="00514AFA" w:rsidRPr="00514AFA">
        <w:rPr>
          <w:lang w:eastAsia="en-AU"/>
        </w:rPr>
        <w:t>was</w:t>
      </w:r>
      <w:proofErr w:type="gramEnd"/>
      <w:r w:rsidR="00514AFA" w:rsidRPr="00514AFA">
        <w:rPr>
          <w:lang w:eastAsia="en-AU"/>
        </w:rPr>
        <w:t xml:space="preserve"> established.</w:t>
      </w:r>
    </w:p>
    <w:p w14:paraId="212C730C" w14:textId="2C0FF940" w:rsidR="002C0D57" w:rsidRPr="002C0D57" w:rsidRDefault="002C0D57" w:rsidP="007E0AFE">
      <w:pPr>
        <w:pStyle w:val="Bullet1"/>
        <w:rPr>
          <w:lang w:eastAsia="en-AU"/>
        </w:rPr>
      </w:pPr>
      <w:r w:rsidRPr="002C0D57">
        <w:rPr>
          <w:lang w:eastAsia="en-AU"/>
        </w:rPr>
        <w:t>Anti-Slavery Australia (ASA) contributes legal advice and representation, with specific expertise in migration and complex legal pathways.</w:t>
      </w:r>
    </w:p>
    <w:p w14:paraId="040B0441" w14:textId="36FB0135" w:rsidR="00514AFA" w:rsidRPr="002C0D57" w:rsidRDefault="00514AFA" w:rsidP="007E0AFE">
      <w:pPr>
        <w:pStyle w:val="Bullet1"/>
        <w:rPr>
          <w:lang w:eastAsia="en-AU"/>
        </w:rPr>
      </w:pPr>
      <w:r w:rsidRPr="00514AFA">
        <w:rPr>
          <w:lang w:eastAsia="en-AU"/>
        </w:rPr>
        <w:t>Project Respect (PR) specialises in frontline social work, case management, counselling and community engagement, supporting women and gender-diverse people with experience in the sex industry, and supporting women and gender diverse people with experience of sexual exploitation (including trafficking).</w:t>
      </w:r>
      <w:r w:rsidRPr="00514AFA" w:rsidDel="00514AFA">
        <w:rPr>
          <w:lang w:eastAsia="en-AU"/>
        </w:rPr>
        <w:t xml:space="preserve"> </w:t>
      </w:r>
    </w:p>
    <w:p w14:paraId="42C472A2" w14:textId="1D78882D" w:rsidR="002C0D57" w:rsidRPr="002C0D57" w:rsidRDefault="002C0D57" w:rsidP="007E0AFE">
      <w:pPr>
        <w:pStyle w:val="Bullet1"/>
        <w:rPr>
          <w:lang w:eastAsia="en-AU"/>
        </w:rPr>
      </w:pPr>
      <w:r w:rsidRPr="002C0D57">
        <w:rPr>
          <w:lang w:eastAsia="en-AU"/>
        </w:rPr>
        <w:t>The Australian Muslim Women's Centre for Human Rights (AMWCHR) provides specialised support to Muslim and migrant women who may be at risk of or experiencing forced marriage and complex settlement needs.</w:t>
      </w:r>
    </w:p>
    <w:p w14:paraId="056E9AE1" w14:textId="64F3EC7E" w:rsidR="002C0D57" w:rsidRPr="002C0D57" w:rsidRDefault="002C0D57" w:rsidP="007E0AFE">
      <w:pPr>
        <w:pStyle w:val="Bullet1"/>
        <w:rPr>
          <w:lang w:eastAsia="en-AU"/>
        </w:rPr>
      </w:pPr>
      <w:r w:rsidRPr="002C0D57">
        <w:rPr>
          <w:lang w:eastAsia="en-AU"/>
        </w:rPr>
        <w:t>Scarlet Alliance (SA) is the national peak body for sex workers, with specialist knowledge regarding exploitation indicators affecting migrant sex workers.</w:t>
      </w:r>
    </w:p>
    <w:p w14:paraId="153B822B" w14:textId="6AB3BC7D" w:rsidR="00467B79" w:rsidRDefault="002C0D57" w:rsidP="007E0AFE">
      <w:pPr>
        <w:spacing w:before="0" w:after="160" w:line="259" w:lineRule="auto"/>
        <w:rPr>
          <w:lang w:eastAsia="en-AU"/>
        </w:rPr>
      </w:pPr>
      <w:r w:rsidRPr="002C0D57">
        <w:rPr>
          <w:lang w:eastAsia="en-AU"/>
        </w:rPr>
        <w:t xml:space="preserve">The ARP functions as a coordinated intake, screening, and assessment service. Core services provided by the consortium include safety planning, initial legal advice, short-term casework, and immediate assistance with welfare needs. STPP eligibility assessments are performed by any of the consortium organisations, with ASA providing legal oversight and review of decisions where requested. As the lead, </w:t>
      </w:r>
      <w:r w:rsidR="007A1607">
        <w:rPr>
          <w:lang w:eastAsia="en-AU"/>
        </w:rPr>
        <w:t>The Salvation Army</w:t>
      </w:r>
      <w:r w:rsidRPr="002C0D57">
        <w:rPr>
          <w:lang w:eastAsia="en-AU"/>
        </w:rPr>
        <w:t xml:space="preserve"> coordinates the operational relationships among the partner organisations and acts as the central administrative and clearinghouse organisation. Individuals may either self-refer or be referred by mainstream services directly to </w:t>
      </w:r>
      <w:r w:rsidR="00514AFA">
        <w:rPr>
          <w:lang w:eastAsia="en-AU"/>
        </w:rPr>
        <w:t>the ARP. T</w:t>
      </w:r>
      <w:r w:rsidRPr="002C0D57">
        <w:rPr>
          <w:lang w:eastAsia="en-AU"/>
        </w:rPr>
        <w:t>he program can be accessed by people aged 16 and above (and children under 16 who need support and have a safe legal guardian). For non-citizens, there are no visa requirements for accessing the ARP, however people do require a visa to be referred to the STPP.</w:t>
      </w:r>
      <w:r w:rsidR="001213A0">
        <w:rPr>
          <w:lang w:eastAsia="en-AU"/>
        </w:rPr>
        <w:t xml:space="preserve"> </w:t>
      </w:r>
      <w:r w:rsidR="00936EF8">
        <w:rPr>
          <w:lang w:eastAsia="en-AU"/>
        </w:rPr>
        <w:t xml:space="preserve">The </w:t>
      </w:r>
      <w:r w:rsidR="00936EF8" w:rsidRPr="53E5B613">
        <w:rPr>
          <w:rFonts w:asciiTheme="majorHAnsi" w:hAnsiTheme="majorHAnsi"/>
          <w:lang w:eastAsia="en-AU"/>
        </w:rPr>
        <w:t xml:space="preserve">key </w:t>
      </w:r>
      <w:r w:rsidR="004927BD" w:rsidRPr="53E5B613">
        <w:rPr>
          <w:rFonts w:asciiTheme="majorHAnsi" w:hAnsiTheme="majorHAnsi"/>
          <w:lang w:eastAsia="en-AU"/>
        </w:rPr>
        <w:t xml:space="preserve">elements of the </w:t>
      </w:r>
      <w:r w:rsidR="0082271F" w:rsidRPr="53E5B613">
        <w:rPr>
          <w:rFonts w:asciiTheme="majorHAnsi" w:hAnsiTheme="majorHAnsi"/>
          <w:lang w:eastAsia="en-AU"/>
        </w:rPr>
        <w:t>ARP</w:t>
      </w:r>
      <w:r w:rsidR="004927BD" w:rsidRPr="53E5B613">
        <w:rPr>
          <w:rFonts w:asciiTheme="majorHAnsi" w:hAnsiTheme="majorHAnsi"/>
          <w:lang w:eastAsia="en-AU"/>
        </w:rPr>
        <w:t xml:space="preserve"> </w:t>
      </w:r>
      <w:r w:rsidR="004927BD">
        <w:rPr>
          <w:lang w:eastAsia="en-AU"/>
        </w:rPr>
        <w:t>include</w:t>
      </w:r>
      <w:r w:rsidR="00467B79">
        <w:rPr>
          <w:lang w:eastAsia="en-AU"/>
        </w:rPr>
        <w:t>:</w:t>
      </w:r>
    </w:p>
    <w:p w14:paraId="2E43D6F4" w14:textId="2A111848" w:rsidR="00CD3D1F" w:rsidRDefault="00CD3D1F" w:rsidP="00CD3D1F">
      <w:pPr>
        <w:pStyle w:val="NumList"/>
        <w:numPr>
          <w:ilvl w:val="0"/>
          <w:numId w:val="25"/>
        </w:numPr>
        <w:rPr>
          <w:lang w:eastAsia="en-AU"/>
        </w:rPr>
      </w:pPr>
      <w:r w:rsidRPr="00CD3D1F">
        <w:rPr>
          <w:rFonts w:asciiTheme="majorHAnsi" w:hAnsiTheme="majorHAnsi"/>
          <w:lang w:eastAsia="en-AU"/>
        </w:rPr>
        <w:t>Assessment for and referral to the STPP.</w:t>
      </w:r>
      <w:r>
        <w:rPr>
          <w:rStyle w:val="FootnoteReference"/>
          <w:rFonts w:asciiTheme="majorHAnsi" w:hAnsiTheme="majorHAnsi"/>
          <w:lang w:eastAsia="en-AU"/>
        </w:rPr>
        <w:footnoteReference w:id="12"/>
      </w:r>
      <w:r>
        <w:rPr>
          <w:lang w:eastAsia="en-AU"/>
        </w:rPr>
        <w:t xml:space="preserve"> </w:t>
      </w:r>
      <w:r w:rsidRPr="000305FF">
        <w:rPr>
          <w:lang w:eastAsia="en-AU"/>
        </w:rPr>
        <w:t xml:space="preserve">Assessment, using a tool designed by </w:t>
      </w:r>
      <w:r>
        <w:rPr>
          <w:lang w:eastAsia="en-AU"/>
        </w:rPr>
        <w:t xml:space="preserve">the </w:t>
      </w:r>
      <w:r w:rsidRPr="000305FF">
        <w:rPr>
          <w:lang w:eastAsia="en-AU"/>
        </w:rPr>
        <w:t xml:space="preserve">consortium to determine if the individual has experienced HTMS, and </w:t>
      </w:r>
      <w:r>
        <w:rPr>
          <w:lang w:eastAsia="en-AU"/>
        </w:rPr>
        <w:t>meets the STPP</w:t>
      </w:r>
      <w:r w:rsidRPr="000305FF">
        <w:rPr>
          <w:lang w:eastAsia="en-AU"/>
        </w:rPr>
        <w:t xml:space="preserve"> eligibility criteria</w:t>
      </w:r>
      <w:r>
        <w:rPr>
          <w:lang w:eastAsia="en-AU"/>
        </w:rPr>
        <w:t>.</w:t>
      </w:r>
    </w:p>
    <w:p w14:paraId="24A73463" w14:textId="2DA4E5D0" w:rsidR="00CD3D1F" w:rsidRDefault="00CD3D1F" w:rsidP="00CD3D1F">
      <w:pPr>
        <w:pStyle w:val="NumList"/>
        <w:rPr>
          <w:lang w:eastAsia="en-AU"/>
        </w:rPr>
      </w:pPr>
      <w:r w:rsidRPr="009D116E">
        <w:rPr>
          <w:rFonts w:asciiTheme="majorHAnsi" w:hAnsiTheme="majorHAnsi"/>
          <w:lang w:eastAsia="en-AU"/>
        </w:rPr>
        <w:t>Delivery of immediate supports</w:t>
      </w:r>
      <w:r>
        <w:rPr>
          <w:lang w:eastAsia="en-AU"/>
        </w:rPr>
        <w:t>,</w:t>
      </w:r>
      <w:r w:rsidRPr="005A1145">
        <w:rPr>
          <w:lang w:eastAsia="en-AU"/>
        </w:rPr>
        <w:t xml:space="preserve"> including safety planning, legal advice, two weeks of casework, and help with urgent needs</w:t>
      </w:r>
      <w:r>
        <w:rPr>
          <w:lang w:eastAsia="en-AU"/>
        </w:rPr>
        <w:t>.</w:t>
      </w:r>
    </w:p>
    <w:p w14:paraId="2341C695" w14:textId="6C87B7D9" w:rsidR="00CD3D1F" w:rsidRDefault="00CD3D1F" w:rsidP="00CD3D1F">
      <w:pPr>
        <w:pStyle w:val="NumList"/>
        <w:rPr>
          <w:lang w:eastAsia="en-AU"/>
        </w:rPr>
      </w:pPr>
      <w:r w:rsidRPr="009D116E">
        <w:rPr>
          <w:rFonts w:asciiTheme="majorHAnsi" w:hAnsiTheme="majorHAnsi"/>
          <w:lang w:eastAsia="en-AU"/>
        </w:rPr>
        <w:t>Connection with other community-based support services</w:t>
      </w:r>
      <w:r w:rsidRPr="005A1145">
        <w:rPr>
          <w:lang w:eastAsia="en-AU"/>
        </w:rPr>
        <w:t xml:space="preserve"> for those </w:t>
      </w:r>
      <w:r w:rsidRPr="32B78C4F">
        <w:rPr>
          <w:lang w:eastAsia="en-AU"/>
        </w:rPr>
        <w:t xml:space="preserve">people </w:t>
      </w:r>
      <w:r w:rsidRPr="005A1145">
        <w:rPr>
          <w:lang w:eastAsia="en-AU"/>
        </w:rPr>
        <w:t xml:space="preserve">ineligible </w:t>
      </w:r>
      <w:r>
        <w:rPr>
          <w:lang w:eastAsia="en-AU"/>
        </w:rPr>
        <w:t>for (or do not consent to participate in)</w:t>
      </w:r>
      <w:r w:rsidRPr="005A1145">
        <w:rPr>
          <w:lang w:eastAsia="en-AU"/>
        </w:rPr>
        <w:t xml:space="preserve"> the STPP</w:t>
      </w:r>
      <w:r>
        <w:rPr>
          <w:lang w:eastAsia="en-AU"/>
        </w:rPr>
        <w:t>.</w:t>
      </w:r>
    </w:p>
    <w:p w14:paraId="521D76C4" w14:textId="7277C151" w:rsidR="007570E9" w:rsidRPr="00F368CB" w:rsidRDefault="007570E9" w:rsidP="00F368CB">
      <w:pPr>
        <w:pStyle w:val="Heading5"/>
        <w:spacing w:before="40" w:after="0" w:line="240" w:lineRule="auto"/>
        <w:rPr>
          <w:sz w:val="24"/>
        </w:rPr>
      </w:pPr>
      <w:bookmarkStart w:id="15" w:name="_Toc198367920"/>
      <w:bookmarkStart w:id="16" w:name="_Toc201908106"/>
      <w:r w:rsidRPr="00F368CB">
        <w:rPr>
          <w:sz w:val="24"/>
        </w:rPr>
        <w:t>This evaluation</w:t>
      </w:r>
      <w:bookmarkEnd w:id="15"/>
      <w:bookmarkEnd w:id="16"/>
      <w:r w:rsidRPr="00F368CB">
        <w:rPr>
          <w:sz w:val="24"/>
        </w:rPr>
        <w:t xml:space="preserve"> </w:t>
      </w:r>
    </w:p>
    <w:p w14:paraId="3FAEAAAC" w14:textId="08860198" w:rsidR="006B7473" w:rsidRDefault="00C21358" w:rsidP="007E0AFE">
      <w:pPr>
        <w:jc w:val="both"/>
        <w:rPr>
          <w:rFonts w:asciiTheme="majorHAnsi" w:eastAsiaTheme="majorEastAsia" w:hAnsiTheme="majorHAnsi" w:cstheme="majorBidi"/>
          <w:sz w:val="28"/>
          <w:szCs w:val="24"/>
          <w:lang w:eastAsia="en-AU"/>
        </w:rPr>
      </w:pPr>
      <w:r>
        <w:t xml:space="preserve">In 2024 the </w:t>
      </w:r>
      <w:r w:rsidR="001213A0">
        <w:t>DSS</w:t>
      </w:r>
      <w:r>
        <w:t xml:space="preserve"> commissioned Where</w:t>
      </w:r>
      <w:r w:rsidRPr="1ACCA7C0">
        <w:rPr>
          <w:i/>
          <w:iCs/>
        </w:rPr>
        <w:t>to</w:t>
      </w:r>
      <w:r>
        <w:t xml:space="preserve"> to undertake an evaluation of the </w:t>
      </w:r>
      <w:r w:rsidRPr="00FF6B7A">
        <w:t xml:space="preserve">STPP </w:t>
      </w:r>
      <w:r>
        <w:t xml:space="preserve">(since 2018) </w:t>
      </w:r>
      <w:r w:rsidRPr="00FF6B7A">
        <w:t xml:space="preserve">and </w:t>
      </w:r>
      <w:r>
        <w:t xml:space="preserve">the </w:t>
      </w:r>
      <w:r w:rsidRPr="00FF6B7A">
        <w:t>ARP</w:t>
      </w:r>
      <w:r>
        <w:t xml:space="preserve"> (since its inception in July 2024). </w:t>
      </w:r>
      <w:r w:rsidR="00390C69">
        <w:rPr>
          <w:lang w:eastAsia="en-AU"/>
        </w:rPr>
        <w:t xml:space="preserve">This evaluation has assessed effectiveness, efficiency and appropriateness for the STPP and explored implementation and outcomes effectiveness for the ARP. </w:t>
      </w:r>
      <w:r w:rsidR="00390C69">
        <w:t xml:space="preserve">Recommendations on whether the current STPP and ARP providers should continue to be contracted to deliver the programs, or whether they should be retendered were not part of the scope of this evaluation. </w:t>
      </w:r>
      <w:r>
        <w:t>The evaluation was conducted between June 2024 and May 2025, and evaluation findings relate to implementation up until end of March 2025 (when data collection was finalised).</w:t>
      </w:r>
      <w:r w:rsidR="00C506E8">
        <w:t xml:space="preserve"> </w:t>
      </w:r>
      <w:r w:rsidR="00390C69">
        <w:t xml:space="preserve">Some additional qualitative data were provided in finalising the report. </w:t>
      </w:r>
    </w:p>
    <w:p w14:paraId="79152C8D" w14:textId="2BFA62D7" w:rsidR="00836F84" w:rsidRPr="00F368CB" w:rsidRDefault="00836F84" w:rsidP="00F368CB">
      <w:pPr>
        <w:pStyle w:val="Heading4"/>
      </w:pPr>
      <w:r w:rsidRPr="00F368CB">
        <w:t>Key evaluation questions (KEQs)</w:t>
      </w:r>
    </w:p>
    <w:p w14:paraId="643849F6" w14:textId="2512ADCC" w:rsidR="0006602E" w:rsidRDefault="0006602E" w:rsidP="007E0AFE">
      <w:pPr>
        <w:widowControl w:val="0"/>
        <w:rPr>
          <w:lang w:eastAsia="en-AU"/>
        </w:rPr>
      </w:pPr>
      <w:r>
        <w:rPr>
          <w:lang w:eastAsia="en-AU"/>
        </w:rPr>
        <w:t xml:space="preserve">The </w:t>
      </w:r>
      <w:r w:rsidR="00836F84">
        <w:rPr>
          <w:lang w:eastAsia="en-AU"/>
        </w:rPr>
        <w:t>KEQs</w:t>
      </w:r>
      <w:r>
        <w:rPr>
          <w:lang w:eastAsia="en-AU"/>
        </w:rPr>
        <w:t xml:space="preserve"> </w:t>
      </w:r>
      <w:r w:rsidR="00BA0EF5">
        <w:rPr>
          <w:lang w:eastAsia="en-AU"/>
        </w:rPr>
        <w:t>were</w:t>
      </w:r>
      <w:r>
        <w:rPr>
          <w:lang w:eastAsia="en-AU"/>
        </w:rPr>
        <w:t>:</w:t>
      </w:r>
    </w:p>
    <w:p w14:paraId="6483789E" w14:textId="58A23D14" w:rsidR="00896001" w:rsidRPr="00F368CB" w:rsidRDefault="00C21358" w:rsidP="00F368CB">
      <w:pPr>
        <w:pStyle w:val="Heading5"/>
        <w:spacing w:before="40" w:after="0" w:line="240" w:lineRule="auto"/>
        <w:rPr>
          <w:sz w:val="24"/>
        </w:rPr>
      </w:pPr>
      <w:r w:rsidRPr="00F368CB">
        <w:rPr>
          <w:sz w:val="24"/>
        </w:rPr>
        <w:t>STPP</w:t>
      </w:r>
    </w:p>
    <w:p w14:paraId="4CCE0C30" w14:textId="77777777" w:rsidR="00BA0EF5" w:rsidRPr="00F368CB" w:rsidRDefault="00BA0EF5" w:rsidP="00F368CB">
      <w:pPr>
        <w:pStyle w:val="Heading6"/>
        <w:rPr>
          <w:i/>
          <w:iCs/>
          <w:sz w:val="20"/>
          <w:szCs w:val="20"/>
        </w:rPr>
      </w:pPr>
      <w:r w:rsidRPr="00F368CB">
        <w:rPr>
          <w:i/>
          <w:iCs/>
          <w:sz w:val="20"/>
          <w:szCs w:val="20"/>
        </w:rPr>
        <w:t>Effectiveness</w:t>
      </w:r>
    </w:p>
    <w:p w14:paraId="5853256E" w14:textId="284895D8" w:rsidR="00BA0EF5" w:rsidRPr="00680816" w:rsidRDefault="00BA0EF5" w:rsidP="007E0AFE">
      <w:pPr>
        <w:pStyle w:val="NumList"/>
        <w:widowControl w:val="0"/>
        <w:numPr>
          <w:ilvl w:val="0"/>
          <w:numId w:val="13"/>
        </w:numPr>
      </w:pPr>
      <w:r w:rsidRPr="00680816">
        <w:t>To what extent have the intended outcomes of the STPP been achieved?</w:t>
      </w:r>
    </w:p>
    <w:p w14:paraId="262A16B9" w14:textId="758C122C" w:rsidR="00BA0EF5" w:rsidRPr="006C5ACD" w:rsidRDefault="00BA0EF5" w:rsidP="007E0AFE">
      <w:pPr>
        <w:pStyle w:val="NumList"/>
        <w:widowControl w:val="0"/>
        <w:numPr>
          <w:ilvl w:val="1"/>
          <w:numId w:val="13"/>
        </w:numPr>
      </w:pPr>
      <w:r w:rsidRPr="006C5ACD">
        <w:t xml:space="preserve">Have participants’ needs been met by the STPP, and to what extent? </w:t>
      </w:r>
    </w:p>
    <w:p w14:paraId="37B689A1" w14:textId="77777777" w:rsidR="00BA0EF5" w:rsidRPr="006C5ACD" w:rsidRDefault="00BA0EF5" w:rsidP="007E0AFE">
      <w:pPr>
        <w:pStyle w:val="NumList"/>
        <w:numPr>
          <w:ilvl w:val="1"/>
          <w:numId w:val="13"/>
        </w:numPr>
      </w:pPr>
      <w:r w:rsidRPr="006C5ACD">
        <w:lastRenderedPageBreak/>
        <w:t xml:space="preserve">What needs </w:t>
      </w:r>
      <w:proofErr w:type="gramStart"/>
      <w:r w:rsidRPr="006C5ACD">
        <w:t>were not able to</w:t>
      </w:r>
      <w:proofErr w:type="gramEnd"/>
      <w:r w:rsidRPr="006C5ACD">
        <w:t xml:space="preserve"> be met by the STPP? </w:t>
      </w:r>
    </w:p>
    <w:p w14:paraId="70CAB7D5" w14:textId="77777777" w:rsidR="00BA0EF5" w:rsidRPr="006C5ACD" w:rsidRDefault="00BA0EF5" w:rsidP="007E0AFE">
      <w:pPr>
        <w:pStyle w:val="NumList"/>
        <w:numPr>
          <w:ilvl w:val="1"/>
          <w:numId w:val="13"/>
        </w:numPr>
      </w:pPr>
      <w:r w:rsidRPr="006C5ACD">
        <w:t xml:space="preserve">Has there been any variation in outcomes across different participant groups? </w:t>
      </w:r>
    </w:p>
    <w:p w14:paraId="5641A386" w14:textId="63C240A9" w:rsidR="00BA0EF5" w:rsidRPr="00F368CB" w:rsidRDefault="6356C837" w:rsidP="00F368CB">
      <w:pPr>
        <w:pStyle w:val="Heading6"/>
        <w:rPr>
          <w:i/>
          <w:iCs/>
          <w:sz w:val="20"/>
          <w:szCs w:val="20"/>
        </w:rPr>
      </w:pPr>
      <w:r w:rsidRPr="00F368CB">
        <w:rPr>
          <w:i/>
          <w:iCs/>
          <w:sz w:val="20"/>
          <w:szCs w:val="20"/>
        </w:rPr>
        <w:t>Efficiency</w:t>
      </w:r>
    </w:p>
    <w:p w14:paraId="0B60F239" w14:textId="15AC321B" w:rsidR="006C5ACD" w:rsidRDefault="006C5ACD" w:rsidP="007E0AFE">
      <w:pPr>
        <w:pStyle w:val="NumList"/>
      </w:pPr>
      <w:r>
        <w:t>Has the STPP been delivered efficiently?</w:t>
      </w:r>
    </w:p>
    <w:p w14:paraId="037E722D" w14:textId="63DA0DD9" w:rsidR="00BA0EF5" w:rsidRPr="00BA0EF5" w:rsidRDefault="6356C837" w:rsidP="007E0AFE">
      <w:pPr>
        <w:pStyle w:val="NumList"/>
        <w:numPr>
          <w:ilvl w:val="1"/>
          <w:numId w:val="9"/>
        </w:numPr>
      </w:pPr>
      <w:r>
        <w:t>To what extent does the funding model of the STPP efficiently meet program operational and delivery needs?</w:t>
      </w:r>
    </w:p>
    <w:p w14:paraId="4A6167D0" w14:textId="251A2BC9" w:rsidR="00BA0EF5" w:rsidRPr="00BA0EF5" w:rsidRDefault="6356C837" w:rsidP="007E0AFE">
      <w:pPr>
        <w:pStyle w:val="NumList"/>
        <w:numPr>
          <w:ilvl w:val="1"/>
          <w:numId w:val="9"/>
        </w:numPr>
      </w:pPr>
      <w:r>
        <w:t>Are there areas to improve administrative efficiency for the STPP?</w:t>
      </w:r>
    </w:p>
    <w:p w14:paraId="75E627A3" w14:textId="60A24F5E" w:rsidR="00BA0EF5" w:rsidRPr="00F368CB" w:rsidRDefault="00BA0EF5" w:rsidP="00F368CB">
      <w:pPr>
        <w:pStyle w:val="Heading6"/>
        <w:rPr>
          <w:i/>
          <w:iCs/>
          <w:sz w:val="20"/>
          <w:szCs w:val="20"/>
        </w:rPr>
      </w:pPr>
      <w:r w:rsidRPr="00F368CB">
        <w:rPr>
          <w:i/>
          <w:iCs/>
          <w:sz w:val="20"/>
          <w:szCs w:val="20"/>
        </w:rPr>
        <w:t>Appropriateness</w:t>
      </w:r>
    </w:p>
    <w:p w14:paraId="26CF45AC" w14:textId="1F5BCE3F" w:rsidR="00794C67" w:rsidRDefault="00227579" w:rsidP="007E0AFE">
      <w:pPr>
        <w:pStyle w:val="NumList"/>
      </w:pPr>
      <w:r>
        <w:t>Is the design of the STPP appropriately aligned with best practice?</w:t>
      </w:r>
    </w:p>
    <w:p w14:paraId="1C726FE7" w14:textId="11591B29" w:rsidR="0006602E" w:rsidRDefault="0006602E" w:rsidP="007E0AFE">
      <w:pPr>
        <w:pStyle w:val="NumList"/>
        <w:numPr>
          <w:ilvl w:val="1"/>
          <w:numId w:val="9"/>
        </w:numPr>
      </w:pPr>
      <w:r w:rsidRPr="000401E3">
        <w:t xml:space="preserve">To what extent is the STPP aligned with principles under the </w:t>
      </w:r>
      <w:r w:rsidRPr="6A5C23B2">
        <w:t>National Action Plan to Combat Human Trafficking and Slavery 2020-25</w:t>
      </w:r>
      <w:r w:rsidRPr="000401E3">
        <w:t>?</w:t>
      </w:r>
      <w:r>
        <w:t xml:space="preserve"> </w:t>
      </w:r>
    </w:p>
    <w:p w14:paraId="6D3BA058" w14:textId="0DC57783" w:rsidR="0006602E" w:rsidRDefault="0006602E" w:rsidP="007E0AFE">
      <w:pPr>
        <w:pStyle w:val="NumList"/>
        <w:numPr>
          <w:ilvl w:val="1"/>
          <w:numId w:val="9"/>
        </w:numPr>
      </w:pPr>
      <w:r w:rsidRPr="000401E3">
        <w:t>To what extent is the STPP consistent with the international principles and evidence regarding support for people with experience of HTMS?</w:t>
      </w:r>
    </w:p>
    <w:p w14:paraId="20A29F22" w14:textId="2183879D" w:rsidR="00BA0EF5" w:rsidRPr="00F368CB" w:rsidRDefault="001701E6" w:rsidP="00F368CB">
      <w:pPr>
        <w:pStyle w:val="Heading5"/>
        <w:spacing w:before="40" w:after="0" w:line="240" w:lineRule="auto"/>
        <w:rPr>
          <w:sz w:val="24"/>
        </w:rPr>
      </w:pPr>
      <w:r w:rsidRPr="00F368CB">
        <w:rPr>
          <w:sz w:val="24"/>
        </w:rPr>
        <w:t>ARP</w:t>
      </w:r>
    </w:p>
    <w:p w14:paraId="57B3C6EB" w14:textId="124AAF1D" w:rsidR="00BA0EF5" w:rsidRPr="00F368CB" w:rsidRDefault="00BA0EF5" w:rsidP="00F368CB">
      <w:pPr>
        <w:pStyle w:val="Heading6"/>
        <w:rPr>
          <w:i/>
          <w:iCs/>
          <w:sz w:val="20"/>
          <w:szCs w:val="20"/>
        </w:rPr>
      </w:pPr>
      <w:r w:rsidRPr="00F368CB">
        <w:rPr>
          <w:i/>
          <w:iCs/>
          <w:sz w:val="20"/>
          <w:szCs w:val="20"/>
        </w:rPr>
        <w:t>Implementation effectiveness</w:t>
      </w:r>
    </w:p>
    <w:p w14:paraId="50E242D6" w14:textId="7C739D25" w:rsidR="00BA0EF5" w:rsidRDefault="00BA0EF5" w:rsidP="007E0AFE">
      <w:pPr>
        <w:pStyle w:val="NumList"/>
      </w:pPr>
      <w:r>
        <w:t xml:space="preserve">To what extent is the ARP achieving intended activities and outputs? </w:t>
      </w:r>
    </w:p>
    <w:p w14:paraId="73652C61" w14:textId="02C90905" w:rsidR="00BA0EF5" w:rsidRPr="002C34B2" w:rsidRDefault="00BA0EF5" w:rsidP="007E0AFE">
      <w:pPr>
        <w:pStyle w:val="NumList"/>
        <w:numPr>
          <w:ilvl w:val="1"/>
          <w:numId w:val="9"/>
        </w:numPr>
      </w:pPr>
      <w:r w:rsidRPr="002C34B2">
        <w:t>To what extent are relevant organisations aware of the ARP and referring people likely to meet the eligibility criteria?</w:t>
      </w:r>
      <w:r>
        <w:t xml:space="preserve"> </w:t>
      </w:r>
    </w:p>
    <w:p w14:paraId="0B647C01" w14:textId="1D216F60" w:rsidR="00BA0EF5" w:rsidRPr="00917B94" w:rsidRDefault="00BA0EF5" w:rsidP="007E0AFE">
      <w:pPr>
        <w:pStyle w:val="NumList"/>
        <w:numPr>
          <w:ilvl w:val="1"/>
          <w:numId w:val="9"/>
        </w:numPr>
      </w:pPr>
      <w:r w:rsidRPr="00917B94">
        <w:t xml:space="preserve">How effective is the STPP eligibility assessment process? </w:t>
      </w:r>
    </w:p>
    <w:p w14:paraId="28F5E218" w14:textId="6EE62003" w:rsidR="00BA0EF5" w:rsidRPr="00E637BE" w:rsidRDefault="00BA0EF5" w:rsidP="007E0AFE">
      <w:pPr>
        <w:pStyle w:val="NumList"/>
        <w:numPr>
          <w:ilvl w:val="1"/>
          <w:numId w:val="9"/>
        </w:numPr>
      </w:pPr>
      <w:r w:rsidRPr="002C34B2">
        <w:t xml:space="preserve">How do the ARP processes address safety, security and visa status issues for </w:t>
      </w:r>
      <w:r w:rsidR="00A22B67">
        <w:t xml:space="preserve">people with HTMS experiences? </w:t>
      </w:r>
      <w:r>
        <w:t xml:space="preserve"> </w:t>
      </w:r>
    </w:p>
    <w:p w14:paraId="2086F2C8" w14:textId="535228BF" w:rsidR="007570E9" w:rsidRPr="00F368CB" w:rsidRDefault="00BA0EF5" w:rsidP="00F368CB">
      <w:pPr>
        <w:pStyle w:val="Heading6"/>
        <w:rPr>
          <w:i/>
          <w:iCs/>
          <w:sz w:val="20"/>
          <w:szCs w:val="20"/>
        </w:rPr>
      </w:pPr>
      <w:r w:rsidRPr="00F368CB">
        <w:rPr>
          <w:i/>
          <w:iCs/>
          <w:sz w:val="20"/>
          <w:szCs w:val="20"/>
        </w:rPr>
        <w:t xml:space="preserve">Outcomes </w:t>
      </w:r>
      <w:r w:rsidR="125AE0BC" w:rsidRPr="00F368CB">
        <w:rPr>
          <w:i/>
          <w:iCs/>
          <w:sz w:val="20"/>
          <w:szCs w:val="20"/>
        </w:rPr>
        <w:t>effectiveness</w:t>
      </w:r>
    </w:p>
    <w:p w14:paraId="741CA590" w14:textId="44E086C5" w:rsidR="007570E9" w:rsidRDefault="007570E9" w:rsidP="007E0AFE">
      <w:pPr>
        <w:pStyle w:val="NumList"/>
      </w:pPr>
      <w:r w:rsidRPr="009873C4">
        <w:t xml:space="preserve">To what extent is the ARP achieving outcomes for </w:t>
      </w:r>
      <w:r w:rsidR="00A22B67">
        <w:t>people with HTMS experiences</w:t>
      </w:r>
      <w:r w:rsidRPr="009873C4">
        <w:t>?</w:t>
      </w:r>
    </w:p>
    <w:p w14:paraId="0A088D63" w14:textId="6B937435" w:rsidR="007570E9" w:rsidRDefault="007570E9" w:rsidP="007E0AFE">
      <w:pPr>
        <w:pStyle w:val="NumList"/>
        <w:numPr>
          <w:ilvl w:val="1"/>
          <w:numId w:val="9"/>
        </w:numPr>
      </w:pPr>
      <w:r w:rsidRPr="007B2E2E">
        <w:t xml:space="preserve">Could the service delivery model be improved to deliver better outcomes for </w:t>
      </w:r>
      <w:r w:rsidR="00A22B67" w:rsidRPr="007B2E2E">
        <w:t>people with HTMS experiences</w:t>
      </w:r>
      <w:r w:rsidR="007B2E2E">
        <w:t>?</w:t>
      </w:r>
    </w:p>
    <w:p w14:paraId="7B8CF356" w14:textId="43B59C07" w:rsidR="007570E9" w:rsidRDefault="00BA0EF5" w:rsidP="007E0AFE">
      <w:pPr>
        <w:pStyle w:val="Heading4"/>
        <w:rPr>
          <w:lang w:eastAsia="en-AU"/>
        </w:rPr>
      </w:pPr>
      <w:r w:rsidRPr="00A1689F">
        <w:rPr>
          <w:lang w:eastAsia="en-AU"/>
        </w:rPr>
        <w:t xml:space="preserve">Summary </w:t>
      </w:r>
      <w:r w:rsidR="004C6278" w:rsidRPr="00A1689F">
        <w:rPr>
          <w:lang w:eastAsia="en-AU"/>
        </w:rPr>
        <w:t xml:space="preserve">of </w:t>
      </w:r>
      <w:r w:rsidR="00CA6216">
        <w:rPr>
          <w:lang w:eastAsia="en-AU"/>
        </w:rPr>
        <w:t xml:space="preserve">the </w:t>
      </w:r>
      <w:r w:rsidRPr="00A1689F">
        <w:rPr>
          <w:lang w:eastAsia="en-AU"/>
        </w:rPr>
        <w:t>methodology</w:t>
      </w:r>
    </w:p>
    <w:bookmarkEnd w:id="14"/>
    <w:p w14:paraId="24727127" w14:textId="6BEF323C" w:rsidR="004C6278" w:rsidRPr="004C6278" w:rsidRDefault="004C6278" w:rsidP="007E0AFE">
      <w:pPr>
        <w:rPr>
          <w:lang w:eastAsia="en-AU"/>
        </w:rPr>
      </w:pPr>
      <w:r w:rsidRPr="004C6278">
        <w:rPr>
          <w:lang w:eastAsia="en-AU"/>
        </w:rPr>
        <w:t xml:space="preserve">This evaluation used a mixed-methods approach, incorporating both qualitative and quantitative data from a variety of secondary and primary sources to ensure a comprehensive picture of the </w:t>
      </w:r>
      <w:r w:rsidR="00A1689F" w:rsidRPr="004C6278">
        <w:rPr>
          <w:lang w:eastAsia="en-AU"/>
        </w:rPr>
        <w:t>programs</w:t>
      </w:r>
      <w:r w:rsidRPr="004C6278">
        <w:rPr>
          <w:lang w:eastAsia="en-AU"/>
        </w:rPr>
        <w:t xml:space="preserve"> from multiple sources and perspectives. The project began in June 2024, </w:t>
      </w:r>
      <w:r w:rsidR="00DA7D77">
        <w:rPr>
          <w:lang w:eastAsia="en-AU"/>
        </w:rPr>
        <w:t>when</w:t>
      </w:r>
      <w:r w:rsidRPr="004C6278">
        <w:rPr>
          <w:lang w:eastAsia="en-AU"/>
        </w:rPr>
        <w:t xml:space="preserve"> the objectives of the evaluation and the approach required to meet these objectives</w:t>
      </w:r>
      <w:r w:rsidR="00DA7D77">
        <w:rPr>
          <w:lang w:eastAsia="en-AU"/>
        </w:rPr>
        <w:t xml:space="preserve"> were defined</w:t>
      </w:r>
      <w:r w:rsidRPr="004C6278">
        <w:rPr>
          <w:lang w:eastAsia="en-AU"/>
        </w:rPr>
        <w:t>. Data collection occurred between September 2024 and March 2025</w:t>
      </w:r>
      <w:r w:rsidR="008A3B0D">
        <w:rPr>
          <w:lang w:eastAsia="en-AU"/>
        </w:rPr>
        <w:t>,</w:t>
      </w:r>
      <w:r w:rsidRPr="004C6278">
        <w:rPr>
          <w:lang w:eastAsia="en-AU"/>
        </w:rPr>
        <w:t xml:space="preserve"> following Human Ethics Research Committee approval</w:t>
      </w:r>
      <w:r w:rsidR="006327BE">
        <w:rPr>
          <w:lang w:eastAsia="en-AU"/>
        </w:rPr>
        <w:t xml:space="preserve"> (</w:t>
      </w:r>
      <w:r w:rsidR="006327BE" w:rsidRPr="006327BE">
        <w:rPr>
          <w:lang w:eastAsia="en-AU"/>
        </w:rPr>
        <w:t>Victoria University Human Research Ethics Committee Reference Number: EXT_HRE24-004</w:t>
      </w:r>
      <w:r w:rsidR="006327BE">
        <w:rPr>
          <w:lang w:eastAsia="en-AU"/>
        </w:rPr>
        <w:t>)</w:t>
      </w:r>
      <w:r w:rsidRPr="004C6278">
        <w:rPr>
          <w:lang w:eastAsia="en-AU"/>
        </w:rPr>
        <w:t xml:space="preserve"> and the signing of a data sharing agreement</w:t>
      </w:r>
      <w:r w:rsidR="004B5206">
        <w:rPr>
          <w:lang w:eastAsia="en-AU"/>
        </w:rPr>
        <w:t xml:space="preserve"> between the STPP service provider </w:t>
      </w:r>
      <w:r w:rsidR="00791BA9">
        <w:rPr>
          <w:lang w:eastAsia="en-AU"/>
        </w:rPr>
        <w:t>(</w:t>
      </w:r>
      <w:r w:rsidR="00710D91">
        <w:rPr>
          <w:lang w:eastAsia="en-AU"/>
        </w:rPr>
        <w:t xml:space="preserve">Australian Red Cross) </w:t>
      </w:r>
      <w:r w:rsidR="004B5206">
        <w:rPr>
          <w:lang w:eastAsia="en-AU"/>
        </w:rPr>
        <w:t xml:space="preserve">and </w:t>
      </w:r>
      <w:proofErr w:type="gramStart"/>
      <w:r w:rsidR="004B5206">
        <w:rPr>
          <w:lang w:eastAsia="en-AU"/>
        </w:rPr>
        <w:t>Where</w:t>
      </w:r>
      <w:r w:rsidR="004B5206" w:rsidRPr="00F323B1">
        <w:rPr>
          <w:i/>
          <w:lang w:eastAsia="en-AU"/>
        </w:rPr>
        <w:t>to</w:t>
      </w:r>
      <w:proofErr w:type="gramEnd"/>
      <w:r w:rsidRPr="004C6278">
        <w:rPr>
          <w:lang w:eastAsia="en-AU"/>
        </w:rPr>
        <w:t xml:space="preserve">. An interim report focusing on the ARP implementation was delivered in December 2024. The current report, delivered in May 2025, represents </w:t>
      </w:r>
      <w:r w:rsidR="008A3B0D">
        <w:rPr>
          <w:lang w:eastAsia="en-AU"/>
        </w:rPr>
        <w:t>the synthesis</w:t>
      </w:r>
      <w:r w:rsidRPr="004C6278">
        <w:rPr>
          <w:lang w:eastAsia="en-AU"/>
        </w:rPr>
        <w:t xml:space="preserve"> of all data sources and analysis.</w:t>
      </w:r>
    </w:p>
    <w:p w14:paraId="3D3FF295" w14:textId="77777777" w:rsidR="008B67D8" w:rsidRDefault="004C6278" w:rsidP="007E0AFE">
      <w:pPr>
        <w:rPr>
          <w:lang w:eastAsia="en-AU"/>
        </w:rPr>
      </w:pPr>
      <w:r w:rsidRPr="004C6278">
        <w:rPr>
          <w:lang w:eastAsia="en-AU"/>
        </w:rPr>
        <w:t>Secondary data sources include program and administrative data provided by the DSS, ARP and STPP service providers as well as policy, and other relevant documentation. Quantitative data provided by the STPP and ARP service providers w</w:t>
      </w:r>
      <w:r w:rsidR="00823673">
        <w:rPr>
          <w:lang w:eastAsia="en-AU"/>
        </w:rPr>
        <w:t>ere</w:t>
      </w:r>
      <w:r w:rsidRPr="004C6278">
        <w:rPr>
          <w:lang w:eastAsia="en-AU"/>
        </w:rPr>
        <w:t xml:space="preserve"> analysed using descriptive statistics and </w:t>
      </w:r>
      <w:r w:rsidR="00D03F2E">
        <w:rPr>
          <w:lang w:eastAsia="en-AU"/>
        </w:rPr>
        <w:t>the Q</w:t>
      </w:r>
      <w:r w:rsidRPr="004C6278">
        <w:rPr>
          <w:lang w:eastAsia="en-AU"/>
        </w:rPr>
        <w:t xml:space="preserve"> statistical software </w:t>
      </w:r>
      <w:r w:rsidR="00D03F2E">
        <w:rPr>
          <w:lang w:eastAsia="en-AU"/>
        </w:rPr>
        <w:t>package</w:t>
      </w:r>
      <w:r w:rsidRPr="004C6278">
        <w:rPr>
          <w:lang w:eastAsia="en-AU"/>
        </w:rPr>
        <w:t xml:space="preserve">. </w:t>
      </w:r>
    </w:p>
    <w:p w14:paraId="753A8853" w14:textId="77777777" w:rsidR="002C0D57" w:rsidRDefault="004C6278" w:rsidP="007E0AFE">
      <w:pPr>
        <w:rPr>
          <w:lang w:eastAsia="en-AU"/>
        </w:rPr>
      </w:pPr>
      <w:r w:rsidRPr="004C6278">
        <w:rPr>
          <w:lang w:eastAsia="en-AU"/>
        </w:rPr>
        <w:t>Primary data was collected through semi-structured interviews with stakeholders and STPP participants. A total of 72 individual stakeholders were engaged, including 33 program providers and delivery partners (</w:t>
      </w:r>
      <w:r w:rsidR="00670FEC">
        <w:rPr>
          <w:lang w:eastAsia="en-AU"/>
        </w:rPr>
        <w:t xml:space="preserve">Australian </w:t>
      </w:r>
      <w:r w:rsidRPr="004C6278">
        <w:rPr>
          <w:lang w:eastAsia="en-AU"/>
        </w:rPr>
        <w:t xml:space="preserve">Red Cross, </w:t>
      </w:r>
      <w:r w:rsidR="00953A56">
        <w:rPr>
          <w:lang w:eastAsia="en-AU"/>
        </w:rPr>
        <w:t xml:space="preserve">The </w:t>
      </w:r>
      <w:r w:rsidRPr="004C6278">
        <w:rPr>
          <w:lang w:eastAsia="en-AU"/>
        </w:rPr>
        <w:t>Salvation Army, consortium organisations</w:t>
      </w:r>
      <w:r w:rsidR="00670FEC">
        <w:rPr>
          <w:lang w:eastAsia="en-AU"/>
        </w:rPr>
        <w:t xml:space="preserve"> and </w:t>
      </w:r>
      <w:r w:rsidRPr="004C6278">
        <w:rPr>
          <w:lang w:eastAsia="en-AU"/>
        </w:rPr>
        <w:t xml:space="preserve">AFP) 22 government stakeholders (DSS, AIC, AGD, Home Affairs, ABF) and 17 individuals from </w:t>
      </w:r>
      <w:r w:rsidR="00CC1988">
        <w:rPr>
          <w:lang w:eastAsia="en-AU"/>
        </w:rPr>
        <w:t xml:space="preserve">organisations </w:t>
      </w:r>
      <w:r w:rsidR="003C3297">
        <w:rPr>
          <w:lang w:eastAsia="en-AU"/>
        </w:rPr>
        <w:t xml:space="preserve">that </w:t>
      </w:r>
      <w:r w:rsidR="006F26AC">
        <w:rPr>
          <w:lang w:eastAsia="en-AU"/>
        </w:rPr>
        <w:t xml:space="preserve">are referred to </w:t>
      </w:r>
      <w:r w:rsidR="00050DE8">
        <w:rPr>
          <w:lang w:eastAsia="en-AU"/>
        </w:rPr>
        <w:t xml:space="preserve">by the STPP, </w:t>
      </w:r>
      <w:r w:rsidRPr="004C6278">
        <w:rPr>
          <w:lang w:eastAsia="en-AU"/>
        </w:rPr>
        <w:t xml:space="preserve">and other agencies supporting or advocating for </w:t>
      </w:r>
      <w:r w:rsidR="006D5A5E">
        <w:t>p</w:t>
      </w:r>
      <w:r w:rsidR="006D5A5E" w:rsidRPr="002558C7">
        <w:t>eople with HTMS experiences</w:t>
      </w:r>
      <w:r w:rsidRPr="00870DFE">
        <w:rPr>
          <w:lang w:eastAsia="en-AU"/>
        </w:rPr>
        <w:t xml:space="preserve">. </w:t>
      </w:r>
    </w:p>
    <w:p w14:paraId="34F90251" w14:textId="25A2E511" w:rsidR="00C939AE" w:rsidRDefault="004C6278" w:rsidP="007E0AFE">
      <w:r w:rsidRPr="006C2BBF">
        <w:t xml:space="preserve">A total of 42 individuals who had lived experience of the STPP program were engaged, with 36 participating in an interview and </w:t>
      </w:r>
      <w:r w:rsidR="00870DFE">
        <w:t>six</w:t>
      </w:r>
      <w:r w:rsidR="00870DFE" w:rsidRPr="006C2BBF">
        <w:t xml:space="preserve"> </w:t>
      </w:r>
      <w:r w:rsidRPr="006C2BBF">
        <w:t xml:space="preserve">providing written feedback. </w:t>
      </w:r>
      <w:r w:rsidR="00AD3BAE" w:rsidRPr="006C2BBF">
        <w:t xml:space="preserve">39 of these individuals were recruited via the STPP service provider and </w:t>
      </w:r>
      <w:r w:rsidR="00870DFE">
        <w:t>three</w:t>
      </w:r>
      <w:r w:rsidR="00870DFE" w:rsidRPr="006C2BBF">
        <w:t xml:space="preserve"> </w:t>
      </w:r>
      <w:r w:rsidR="001C7042" w:rsidRPr="006C2BBF">
        <w:t>were recruit</w:t>
      </w:r>
      <w:r w:rsidR="002A1FC8" w:rsidRPr="006C2BBF">
        <w:t xml:space="preserve">ed through </w:t>
      </w:r>
      <w:r w:rsidR="009E6854" w:rsidRPr="006C2BBF">
        <w:t>snowballing sampling from stakeholder interviews</w:t>
      </w:r>
      <w:r w:rsidR="00A81D97" w:rsidRPr="006C2BBF">
        <w:t xml:space="preserve">. </w:t>
      </w:r>
      <w:r w:rsidR="004419C2" w:rsidRPr="006C2BBF">
        <w:t xml:space="preserve">Of the participants recruited via the </w:t>
      </w:r>
      <w:r w:rsidR="004419C2" w:rsidRPr="006C2BBF">
        <w:lastRenderedPageBreak/>
        <w:t>STPP provider</w:t>
      </w:r>
      <w:r w:rsidR="0095442D">
        <w:t>,</w:t>
      </w:r>
      <w:r w:rsidR="005557B3" w:rsidRPr="006C2BBF">
        <w:t xml:space="preserve"> </w:t>
      </w:r>
      <w:r w:rsidR="005557B3" w:rsidRPr="00870DFE">
        <w:t>3</w:t>
      </w:r>
      <w:r w:rsidR="00A83D6E" w:rsidRPr="006C2BBF">
        <w:t>4</w:t>
      </w:r>
      <w:r w:rsidR="005557B3" w:rsidRPr="00870DFE">
        <w:t xml:space="preserve"> </w:t>
      </w:r>
      <w:r w:rsidR="005557B3" w:rsidRPr="006C2BBF">
        <w:t xml:space="preserve">were </w:t>
      </w:r>
      <w:r w:rsidR="005557B3" w:rsidRPr="00870DFE">
        <w:t>current</w:t>
      </w:r>
      <w:r w:rsidR="005557B3" w:rsidRPr="006C2BBF">
        <w:t>ly on the STPP and</w:t>
      </w:r>
      <w:r w:rsidR="005557B3" w:rsidRPr="00870DFE">
        <w:t xml:space="preserve"> </w:t>
      </w:r>
      <w:r w:rsidR="00870DFE">
        <w:t>six</w:t>
      </w:r>
      <w:r w:rsidR="00870DFE" w:rsidRPr="00870DFE">
        <w:t xml:space="preserve"> </w:t>
      </w:r>
      <w:r w:rsidR="005557B3" w:rsidRPr="006C2BBF">
        <w:t>had exited the progra</w:t>
      </w:r>
      <w:r w:rsidR="00D43D36" w:rsidRPr="006C2BBF">
        <w:t xml:space="preserve">m; </w:t>
      </w:r>
      <w:r w:rsidR="00870DFE">
        <w:t>five</w:t>
      </w:r>
      <w:r w:rsidR="00870DFE" w:rsidRPr="006C2BBF">
        <w:t xml:space="preserve"> </w:t>
      </w:r>
      <w:r w:rsidR="000069A4" w:rsidRPr="006C2BBF">
        <w:t>had been referred via the ARP</w:t>
      </w:r>
      <w:r w:rsidR="001E0266" w:rsidRPr="006C2BBF">
        <w:t xml:space="preserve"> and 3</w:t>
      </w:r>
      <w:r w:rsidR="00D67DBA" w:rsidRPr="006C2BBF">
        <w:t>5</w:t>
      </w:r>
      <w:r w:rsidR="001E0266" w:rsidRPr="006C2BBF">
        <w:t xml:space="preserve"> via </w:t>
      </w:r>
      <w:r w:rsidR="00823C42" w:rsidRPr="006C2BBF">
        <w:t xml:space="preserve">AFP. </w:t>
      </w:r>
      <w:r w:rsidR="007F01D6" w:rsidRPr="006C2BBF">
        <w:t>S</w:t>
      </w:r>
      <w:r w:rsidR="00E53865" w:rsidRPr="006C2BBF">
        <w:t>ee Appendix 2 for a detailed methodology description.</w:t>
      </w:r>
    </w:p>
    <w:p w14:paraId="590FCDD3" w14:textId="34FCA044" w:rsidR="005557B3" w:rsidRPr="009A0C7F" w:rsidRDefault="00C939AE" w:rsidP="009A0C7F">
      <w:pPr>
        <w:pStyle w:val="Heading5"/>
        <w:spacing w:before="40" w:after="0" w:line="240" w:lineRule="auto"/>
        <w:rPr>
          <w:sz w:val="24"/>
        </w:rPr>
      </w:pPr>
      <w:r w:rsidRPr="009A0C7F">
        <w:rPr>
          <w:sz w:val="24"/>
        </w:rPr>
        <w:t xml:space="preserve">Summary of </w:t>
      </w:r>
      <w:r w:rsidR="00C21358" w:rsidRPr="009A0C7F">
        <w:rPr>
          <w:sz w:val="24"/>
        </w:rPr>
        <w:t xml:space="preserve">methodological </w:t>
      </w:r>
      <w:r w:rsidRPr="009A0C7F">
        <w:rPr>
          <w:sz w:val="24"/>
        </w:rPr>
        <w:t>limitations</w:t>
      </w:r>
    </w:p>
    <w:p w14:paraId="340D38FB" w14:textId="1567CE90" w:rsidR="00AB5AD5" w:rsidRDefault="00117949" w:rsidP="007E0AFE">
      <w:r w:rsidRPr="00932B07">
        <w:t xml:space="preserve">Each of the data sources used </w:t>
      </w:r>
      <w:r w:rsidR="004F6173" w:rsidRPr="00932B07">
        <w:t>in this evaluation has limitations.</w:t>
      </w:r>
      <w:r w:rsidR="00A520CD">
        <w:t xml:space="preserve"> Program and administrative data </w:t>
      </w:r>
      <w:r w:rsidR="00517C01">
        <w:t>are</w:t>
      </w:r>
      <w:r w:rsidR="0076239C">
        <w:t xml:space="preserve"> well suited to </w:t>
      </w:r>
      <w:r w:rsidR="00517C01">
        <w:t>their</w:t>
      </w:r>
      <w:r w:rsidR="0076239C">
        <w:t xml:space="preserve"> primary purpose of program delivery at </w:t>
      </w:r>
      <w:r w:rsidR="00EC323C">
        <w:t>an individual participant level</w:t>
      </w:r>
      <w:r w:rsidR="0076239C">
        <w:t xml:space="preserve">, but poorly suited </w:t>
      </w:r>
      <w:r w:rsidR="00EE34E3">
        <w:t>for analysis impact or effectiveness</w:t>
      </w:r>
      <w:r w:rsidR="009146CB">
        <w:t xml:space="preserve"> d</w:t>
      </w:r>
      <w:r w:rsidR="00C7562B">
        <w:t>ue to the lack of participant-</w:t>
      </w:r>
      <w:r w:rsidR="00F90C88">
        <w:t>reported outcome measures</w:t>
      </w:r>
      <w:r w:rsidR="00517C01">
        <w:t>,</w:t>
      </w:r>
      <w:r w:rsidR="00F90C88">
        <w:t xml:space="preserve"> amongst other issues</w:t>
      </w:r>
      <w:r w:rsidR="00EE34E3">
        <w:t>.</w:t>
      </w:r>
      <w:r w:rsidR="00517C01">
        <w:t xml:space="preserve"> </w:t>
      </w:r>
      <w:r w:rsidR="00F90C88">
        <w:t xml:space="preserve">Qualitative data </w:t>
      </w:r>
      <w:r w:rsidR="008E64FD">
        <w:t>are limited primarily in terms of a small sample size and potential sampling bias.</w:t>
      </w:r>
    </w:p>
    <w:p w14:paraId="669FD0FF" w14:textId="22440A94" w:rsidR="00453887" w:rsidRPr="00932B07" w:rsidRDefault="008E64FD" w:rsidP="007E0AFE">
      <w:r>
        <w:t xml:space="preserve">See </w:t>
      </w:r>
      <w:r w:rsidR="001E1AA5">
        <w:fldChar w:fldCharType="begin"/>
      </w:r>
      <w:r w:rsidR="001E1AA5">
        <w:instrText xml:space="preserve"> REF _Ref200111881 \h </w:instrText>
      </w:r>
      <w:r w:rsidR="001E1AA5">
        <w:fldChar w:fldCharType="separate"/>
      </w:r>
      <w:r w:rsidR="00D9323B">
        <w:t>Appendix 2. Methodology in detail</w:t>
      </w:r>
      <w:r w:rsidR="001E1AA5">
        <w:fldChar w:fldCharType="end"/>
      </w:r>
      <w:r w:rsidR="001E1AA5">
        <w:t xml:space="preserve"> for a full description of methodological limitations.</w:t>
      </w:r>
    </w:p>
    <w:p w14:paraId="24ED8B46" w14:textId="0E8AEC5F" w:rsidR="00C52EF7" w:rsidRPr="009A0C7F" w:rsidRDefault="00C52EF7" w:rsidP="009A0C7F">
      <w:pPr>
        <w:pStyle w:val="Heading5"/>
        <w:spacing w:before="40" w:after="0" w:line="240" w:lineRule="auto"/>
        <w:rPr>
          <w:sz w:val="24"/>
        </w:rPr>
      </w:pPr>
      <w:r w:rsidRPr="009A0C7F">
        <w:rPr>
          <w:sz w:val="24"/>
        </w:rPr>
        <w:t>Development of the program logic</w:t>
      </w:r>
    </w:p>
    <w:p w14:paraId="504C6A96" w14:textId="184F4447" w:rsidR="00013F33" w:rsidRPr="00932B07" w:rsidRDefault="00013F33" w:rsidP="007E0AFE">
      <w:r w:rsidRPr="00932B07">
        <w:t>The STPP program logic, which was previously developed by the department, was reviewed and updated as part of this evaluation. An evaluation planning workshop was held on 25 June 2024 and attended by departmental staff. This workshop included a review of the STPP program logic and ARP theory of change, with discussion of potential updates.</w:t>
      </w:r>
      <w:r w:rsidR="00E46757" w:rsidRPr="00932B07">
        <w:t xml:space="preserve"> The workshop covered:</w:t>
      </w:r>
    </w:p>
    <w:p w14:paraId="21194CD3" w14:textId="77777777" w:rsidR="00E46757" w:rsidRPr="00932B07" w:rsidRDefault="00E46757" w:rsidP="007E0AFE">
      <w:pPr>
        <w:pStyle w:val="Bullet1"/>
        <w:widowControl/>
        <w:numPr>
          <w:ilvl w:val="0"/>
          <w:numId w:val="1"/>
        </w:numPr>
        <w:ind w:right="0"/>
      </w:pPr>
      <w:r w:rsidRPr="00932B07">
        <w:t>program need and objectives</w:t>
      </w:r>
    </w:p>
    <w:p w14:paraId="62A4F864" w14:textId="77777777" w:rsidR="00E46757" w:rsidRPr="00932B07" w:rsidRDefault="00E46757" w:rsidP="007E0AFE">
      <w:pPr>
        <w:pStyle w:val="Bullet1"/>
        <w:widowControl/>
        <w:numPr>
          <w:ilvl w:val="0"/>
          <w:numId w:val="1"/>
        </w:numPr>
        <w:ind w:right="0"/>
      </w:pPr>
      <w:r w:rsidRPr="00932B07">
        <w:t>inputs (financial, human resource, governance, other)</w:t>
      </w:r>
    </w:p>
    <w:p w14:paraId="6DDA07F1" w14:textId="77777777" w:rsidR="00E46757" w:rsidRPr="00932B07" w:rsidRDefault="00E46757" w:rsidP="007E0AFE">
      <w:pPr>
        <w:pStyle w:val="Bullet1"/>
        <w:widowControl/>
        <w:numPr>
          <w:ilvl w:val="0"/>
          <w:numId w:val="1"/>
        </w:numPr>
        <w:ind w:right="0"/>
      </w:pPr>
      <w:r w:rsidRPr="00932B07">
        <w:t xml:space="preserve">activities (the actions to be taken </w:t>
      </w:r>
      <w:proofErr w:type="gramStart"/>
      <w:r w:rsidRPr="00932B07">
        <w:t>as a result of</w:t>
      </w:r>
      <w:proofErr w:type="gramEnd"/>
      <w:r w:rsidRPr="00932B07">
        <w:t xml:space="preserve"> the program)</w:t>
      </w:r>
    </w:p>
    <w:p w14:paraId="606F8CCE" w14:textId="77777777" w:rsidR="00E46757" w:rsidRPr="00932B07" w:rsidRDefault="00E46757" w:rsidP="007E0AFE">
      <w:pPr>
        <w:pStyle w:val="Bullet1"/>
        <w:widowControl/>
        <w:numPr>
          <w:ilvl w:val="0"/>
          <w:numId w:val="1"/>
        </w:numPr>
        <w:ind w:right="0"/>
      </w:pPr>
      <w:r w:rsidRPr="00932B07">
        <w:t>outputs (quantitative and qualitative measures, assessments, reports, referrals)</w:t>
      </w:r>
    </w:p>
    <w:p w14:paraId="3279962D" w14:textId="77777777" w:rsidR="00E46757" w:rsidRPr="00932B07" w:rsidRDefault="00E46757" w:rsidP="007E0AFE">
      <w:pPr>
        <w:pStyle w:val="Bullet1"/>
        <w:widowControl/>
        <w:numPr>
          <w:ilvl w:val="0"/>
          <w:numId w:val="1"/>
        </w:numPr>
        <w:ind w:right="0"/>
      </w:pPr>
      <w:r w:rsidRPr="00932B07">
        <w:t>outcomes (changes within and without the timeframe of participation in the program)</w:t>
      </w:r>
    </w:p>
    <w:p w14:paraId="7949C95D" w14:textId="106191B9" w:rsidR="00C86CF2" w:rsidDel="00C52EF7" w:rsidRDefault="00013F33" w:rsidP="007E0AFE">
      <w:pPr>
        <w:spacing w:before="0" w:after="160" w:line="259" w:lineRule="auto"/>
        <w:rPr>
          <w:rFonts w:asciiTheme="majorHAnsi" w:eastAsiaTheme="majorEastAsia" w:hAnsiTheme="majorHAnsi" w:cstheme="majorBidi"/>
          <w:color w:val="00BE6E" w:themeColor="text2"/>
          <w:sz w:val="44"/>
          <w:szCs w:val="32"/>
          <w:lang w:eastAsia="en-AU"/>
        </w:rPr>
      </w:pPr>
      <w:r w:rsidRPr="00932B07">
        <w:t>Insights from this workshop, along with further review of material provided by the department and key stakeholders informed the development of a revised program logic and evaluation frameworks for the STPP and the ARP. The evaluation frameworks also included the key evaluation questions stipulated by the department, designed to address the scope of the evaluation for both the STPP and the ARP. The program logic and evaluation frameworks were further reviewed and refined in consultation with the department and informed by lived experience and further stakeholder input later in the evaluation.</w:t>
      </w:r>
      <w:r w:rsidR="00EE21CC" w:rsidRPr="00932B07">
        <w:t xml:space="preserve"> </w:t>
      </w:r>
      <w:r w:rsidR="00C47F40" w:rsidRPr="00932B07">
        <w:t xml:space="preserve">The finalised program logic is </w:t>
      </w:r>
      <w:r w:rsidR="00754FF0" w:rsidRPr="00932B07">
        <w:t xml:space="preserve">included in </w:t>
      </w:r>
      <w:r w:rsidR="009D3353" w:rsidRPr="00932B07">
        <w:fldChar w:fldCharType="begin"/>
      </w:r>
      <w:r w:rsidR="009D3353" w:rsidRPr="00932B07">
        <w:instrText xml:space="preserve"> REF _Ref200036543 \h </w:instrText>
      </w:r>
      <w:r w:rsidR="00836F84" w:rsidRPr="00F323B1">
        <w:instrText xml:space="preserve"> \* MERGEFORMAT</w:instrText>
      </w:r>
      <w:r w:rsidR="00836F84" w:rsidRPr="00932B07">
        <w:instrText xml:space="preserve"> </w:instrText>
      </w:r>
      <w:r w:rsidR="009D3353" w:rsidRPr="00932B07">
        <w:fldChar w:fldCharType="separate"/>
      </w:r>
      <w:r w:rsidR="00D9323B">
        <w:t>Appendix 1. Program logics and evaluation framework</w:t>
      </w:r>
      <w:r w:rsidR="009D3353" w:rsidRPr="00932B07">
        <w:fldChar w:fldCharType="end"/>
      </w:r>
      <w:r w:rsidR="009D3353" w:rsidRPr="00932B07">
        <w:t xml:space="preserve"> of this report.</w:t>
      </w:r>
      <w:r w:rsidR="00C21358">
        <w:br w:type="page"/>
      </w:r>
    </w:p>
    <w:p w14:paraId="7C0766EF" w14:textId="5AF08DBE" w:rsidR="00592DC5" w:rsidRDefault="006E5CB1" w:rsidP="007E0AFE">
      <w:pPr>
        <w:pStyle w:val="Heading2"/>
      </w:pPr>
      <w:bookmarkStart w:id="17" w:name="_Toc201908107"/>
      <w:r>
        <w:lastRenderedPageBreak/>
        <w:t>F</w:t>
      </w:r>
      <w:r w:rsidR="00592DC5">
        <w:t>indings</w:t>
      </w:r>
      <w:bookmarkEnd w:id="17"/>
    </w:p>
    <w:p w14:paraId="31FBCB97" w14:textId="7D6A313D" w:rsidR="00E30928" w:rsidRDefault="0014610B" w:rsidP="007E0AFE">
      <w:r>
        <w:t>Th</w:t>
      </w:r>
      <w:r w:rsidR="3AC13B5F">
        <w:t>is</w:t>
      </w:r>
      <w:r w:rsidR="00B64DD0">
        <w:t xml:space="preserve"> </w:t>
      </w:r>
      <w:r>
        <w:t>section details findings against the key evaluation questions</w:t>
      </w:r>
      <w:r w:rsidR="00E30928">
        <w:t xml:space="preserve"> for the STPP and ARP, including for:</w:t>
      </w:r>
    </w:p>
    <w:p w14:paraId="4CC46F98" w14:textId="3BC92ACE" w:rsidR="00663E74" w:rsidRDefault="00663E74" w:rsidP="007E0AFE">
      <w:pPr>
        <w:rPr>
          <w:rFonts w:asciiTheme="majorHAnsi" w:hAnsiTheme="majorHAnsi"/>
        </w:rPr>
      </w:pPr>
      <w:r w:rsidRPr="00BD5538">
        <w:rPr>
          <w:rFonts w:asciiTheme="majorHAnsi" w:hAnsiTheme="majorHAnsi"/>
        </w:rPr>
        <w:t>STPP</w:t>
      </w:r>
    </w:p>
    <w:p w14:paraId="38EE1CCC" w14:textId="77777777" w:rsidR="00663E74" w:rsidRPr="00FF6B7A" w:rsidRDefault="00663E74" w:rsidP="00663E74">
      <w:pPr>
        <w:pStyle w:val="NumList"/>
        <w:numPr>
          <w:ilvl w:val="0"/>
          <w:numId w:val="26"/>
        </w:numPr>
      </w:pPr>
      <w:r w:rsidRPr="00FF6B7A">
        <w:t>Effectiveness (outcomes)</w:t>
      </w:r>
    </w:p>
    <w:p w14:paraId="21D39E18" w14:textId="77777777" w:rsidR="00663E74" w:rsidRPr="00FF6B7A" w:rsidRDefault="00663E74" w:rsidP="00663E74">
      <w:pPr>
        <w:pStyle w:val="NumList"/>
      </w:pPr>
      <w:r w:rsidRPr="00FF6B7A">
        <w:t xml:space="preserve">Efficiency </w:t>
      </w:r>
    </w:p>
    <w:p w14:paraId="140257C7" w14:textId="4E64CC58" w:rsidR="00663E74" w:rsidRDefault="00663E74" w:rsidP="00663E74">
      <w:pPr>
        <w:pStyle w:val="NumList"/>
      </w:pPr>
      <w:r w:rsidRPr="00FF6B7A">
        <w:t>Appropriateness</w:t>
      </w:r>
    </w:p>
    <w:p w14:paraId="048DF049" w14:textId="5447DF62" w:rsidR="00663E74" w:rsidRDefault="00663E74" w:rsidP="00663E74">
      <w:pPr>
        <w:rPr>
          <w:rFonts w:asciiTheme="majorHAnsi" w:hAnsiTheme="majorHAnsi"/>
        </w:rPr>
      </w:pPr>
      <w:r w:rsidRPr="00BD5538">
        <w:rPr>
          <w:rFonts w:asciiTheme="majorHAnsi" w:hAnsiTheme="majorHAnsi"/>
        </w:rPr>
        <w:t>ARP</w:t>
      </w:r>
    </w:p>
    <w:p w14:paraId="4B017E80" w14:textId="77777777" w:rsidR="00663E74" w:rsidRPr="00FF6B7A" w:rsidRDefault="00663E74" w:rsidP="00663E74">
      <w:pPr>
        <w:pStyle w:val="NumList"/>
      </w:pPr>
      <w:r w:rsidRPr="00FF6B7A">
        <w:t>Effectiveness (implementation)</w:t>
      </w:r>
    </w:p>
    <w:p w14:paraId="096856F7" w14:textId="3C9ADD10" w:rsidR="00736526" w:rsidRDefault="00663E74" w:rsidP="005D6E4E">
      <w:pPr>
        <w:pStyle w:val="NumList"/>
      </w:pPr>
      <w:r w:rsidRPr="00FF6B7A">
        <w:t>Effectiveness (outcomes)</w:t>
      </w:r>
    </w:p>
    <w:p w14:paraId="01D2B472" w14:textId="77777777" w:rsidR="005D6E4E" w:rsidRPr="00BD5538" w:rsidRDefault="005D6E4E" w:rsidP="005D6E4E">
      <w:pPr>
        <w:pStyle w:val="NumList"/>
        <w:numPr>
          <w:ilvl w:val="0"/>
          <w:numId w:val="0"/>
        </w:numPr>
      </w:pPr>
    </w:p>
    <w:p w14:paraId="569AC57D" w14:textId="6954BABC" w:rsidR="00E30928" w:rsidRDefault="00E30928" w:rsidP="007E0AFE">
      <w:pPr>
        <w:widowControl w:val="0"/>
      </w:pPr>
      <w:r>
        <w:t>Each section addresses:</w:t>
      </w:r>
    </w:p>
    <w:p w14:paraId="598FC292" w14:textId="30DD034E" w:rsidR="00E30928" w:rsidRDefault="00E30928" w:rsidP="007E0AFE">
      <w:pPr>
        <w:pStyle w:val="Bullet1"/>
      </w:pPr>
      <w:r>
        <w:t>KEQ</w:t>
      </w:r>
      <w:r w:rsidR="00844B08">
        <w:t>s</w:t>
      </w:r>
    </w:p>
    <w:p w14:paraId="58088A5E" w14:textId="3B727AF1" w:rsidR="00B64DD0" w:rsidRDefault="00C21358" w:rsidP="007E0AFE">
      <w:pPr>
        <w:pStyle w:val="Bullet1"/>
      </w:pPr>
      <w:r>
        <w:t>summary</w:t>
      </w:r>
      <w:r w:rsidR="00E30928">
        <w:t xml:space="preserve"> assessment</w:t>
      </w:r>
    </w:p>
    <w:p w14:paraId="387D8C46" w14:textId="54D9B9F7" w:rsidR="00E30928" w:rsidRDefault="00C21358" w:rsidP="007E0AFE">
      <w:pPr>
        <w:pStyle w:val="Bullet1"/>
      </w:pPr>
      <w:r>
        <w:t>discussion</w:t>
      </w:r>
    </w:p>
    <w:p w14:paraId="044C171F" w14:textId="59C7E3E5" w:rsidR="00E30928" w:rsidRDefault="00C21358" w:rsidP="007E0AFE">
      <w:pPr>
        <w:pStyle w:val="Bullet1"/>
      </w:pPr>
      <w:r>
        <w:t>recommendations</w:t>
      </w:r>
      <w:r w:rsidR="00E30928">
        <w:t xml:space="preserve"> for strengthening</w:t>
      </w:r>
      <w:r w:rsidR="00130270">
        <w:t>.</w:t>
      </w:r>
      <w:r w:rsidR="00FE3DA2">
        <w:rPr>
          <w:rStyle w:val="FootnoteReference"/>
        </w:rPr>
        <w:footnoteReference w:id="13"/>
      </w:r>
      <w:r w:rsidR="00E30928">
        <w:t xml:space="preserve"> </w:t>
      </w:r>
    </w:p>
    <w:p w14:paraId="66E81DE4" w14:textId="54357E64" w:rsidR="00557745" w:rsidRDefault="00C43FDC" w:rsidP="007E0AFE">
      <w:pPr>
        <w:widowControl w:val="0"/>
      </w:pPr>
      <w:r>
        <w:t>T</w:t>
      </w:r>
      <w:r w:rsidR="004D6A6E">
        <w:t xml:space="preserve">hree </w:t>
      </w:r>
      <w:r w:rsidR="00F55438">
        <w:t>case studies</w:t>
      </w:r>
      <w:r w:rsidR="004D6A6E">
        <w:t xml:space="preserve"> </w:t>
      </w:r>
      <w:r>
        <w:t>are</w:t>
      </w:r>
      <w:r w:rsidR="004D6A6E">
        <w:t xml:space="preserve"> presented </w:t>
      </w:r>
      <w:r>
        <w:t>in this section of</w:t>
      </w:r>
      <w:r w:rsidR="004D6A6E">
        <w:t xml:space="preserve"> the report. </w:t>
      </w:r>
      <w:bookmarkStart w:id="18" w:name="_Toc183712678"/>
      <w:bookmarkStart w:id="19" w:name="_Toc183876504"/>
      <w:r w:rsidR="00557745">
        <w:t>These are</w:t>
      </w:r>
      <w:r w:rsidR="00557745" w:rsidRPr="003D70FC">
        <w:t xml:space="preserve"> derived from </w:t>
      </w:r>
      <w:r w:rsidR="00557745">
        <w:t>STPP</w:t>
      </w:r>
      <w:r w:rsidR="00557745" w:rsidRPr="003D70FC">
        <w:t xml:space="preserve"> participant </w:t>
      </w:r>
      <w:r w:rsidR="00557745">
        <w:t>interviews</w:t>
      </w:r>
      <w:r w:rsidR="00557745" w:rsidRPr="003D70FC">
        <w:t xml:space="preserve">. To ensure anonymity and confidentiality, </w:t>
      </w:r>
      <w:r w:rsidR="00557745">
        <w:t>specific details have been replaced</w:t>
      </w:r>
      <w:r w:rsidR="00557745" w:rsidRPr="003D70FC">
        <w:t xml:space="preserve"> and, </w:t>
      </w:r>
      <w:r w:rsidR="00557745">
        <w:t xml:space="preserve">in some cases, </w:t>
      </w:r>
      <w:r w:rsidR="00557745" w:rsidRPr="003D70FC">
        <w:t>descriptions from multiple participants have been merged to create generali</w:t>
      </w:r>
      <w:r w:rsidR="00557745">
        <w:t>s</w:t>
      </w:r>
      <w:r w:rsidR="00557745" w:rsidRPr="003D70FC">
        <w:t xml:space="preserve">ed representations. </w:t>
      </w:r>
      <w:r w:rsidR="00557745">
        <w:t>T</w:t>
      </w:r>
      <w:r w:rsidR="00557745" w:rsidRPr="003D70FC">
        <w:t xml:space="preserve">he names used are pseudonyms and </w:t>
      </w:r>
      <w:r w:rsidR="00557745">
        <w:t xml:space="preserve">the </w:t>
      </w:r>
      <w:r w:rsidR="00557745" w:rsidRPr="003D70FC">
        <w:t>images are stock photos</w:t>
      </w:r>
      <w:r w:rsidR="00557745">
        <w:t>.</w:t>
      </w:r>
      <w:r w:rsidR="00557745" w:rsidRPr="003D70FC">
        <w:t xml:space="preserve"> </w:t>
      </w:r>
    </w:p>
    <w:p w14:paraId="4C4892E3" w14:textId="129BB077" w:rsidR="00592DC5" w:rsidRDefault="000A58AD" w:rsidP="007E0AFE">
      <w:pPr>
        <w:pStyle w:val="Heading2"/>
      </w:pPr>
      <w:bookmarkStart w:id="20" w:name="_Toc201908108"/>
      <w:r>
        <w:t xml:space="preserve">1. </w:t>
      </w:r>
      <w:r w:rsidR="003D0872">
        <w:t>STPP</w:t>
      </w:r>
      <w:r w:rsidR="00B64DD0">
        <w:t xml:space="preserve"> - </w:t>
      </w:r>
      <w:r w:rsidR="00592DC5">
        <w:t>Effectiveness</w:t>
      </w:r>
      <w:bookmarkEnd w:id="20"/>
      <w:r w:rsidR="00592DC5">
        <w:t xml:space="preserve"> </w:t>
      </w:r>
    </w:p>
    <w:p w14:paraId="0F83A997" w14:textId="5C099900" w:rsidR="005208D3" w:rsidRDefault="000A58AD" w:rsidP="007E0AFE">
      <w:pPr>
        <w:pStyle w:val="Heading3"/>
      </w:pPr>
      <w:bookmarkStart w:id="21" w:name="_Toc198367923"/>
      <w:bookmarkStart w:id="22" w:name="_Toc201908109"/>
      <w:r>
        <w:t>KEQ1</w:t>
      </w:r>
      <w:r w:rsidR="00844B08">
        <w:t xml:space="preserve">. To what extent have </w:t>
      </w:r>
      <w:r w:rsidR="00B677D2">
        <w:t xml:space="preserve">the intended outcomes of the </w:t>
      </w:r>
      <w:r w:rsidR="003D0872">
        <w:t xml:space="preserve">STPP </w:t>
      </w:r>
      <w:r w:rsidR="00B677D2">
        <w:t>been achieved?</w:t>
      </w:r>
      <w:bookmarkEnd w:id="21"/>
      <w:bookmarkEnd w:id="22"/>
    </w:p>
    <w:p w14:paraId="4403C257" w14:textId="7550974D" w:rsidR="00B677D2" w:rsidRPr="00663899" w:rsidRDefault="005B2FD8" w:rsidP="00663899">
      <w:pPr>
        <w:spacing w:before="240" w:after="60" w:line="204" w:lineRule="auto"/>
        <w:rPr>
          <w:rFonts w:asciiTheme="majorHAnsi" w:hAnsiTheme="majorHAnsi"/>
          <w:color w:val="425563"/>
          <w:sz w:val="28"/>
          <w:szCs w:val="28"/>
        </w:rPr>
      </w:pPr>
      <w:r w:rsidRPr="00663899">
        <w:rPr>
          <w:rFonts w:asciiTheme="majorHAnsi" w:hAnsiTheme="majorHAnsi"/>
          <w:color w:val="425563"/>
          <w:sz w:val="28"/>
          <w:szCs w:val="28"/>
        </w:rPr>
        <w:t>Sub</w:t>
      </w:r>
      <w:r w:rsidR="4D0EE9F6" w:rsidRPr="00663899">
        <w:rPr>
          <w:rFonts w:asciiTheme="majorHAnsi" w:hAnsiTheme="majorHAnsi"/>
          <w:color w:val="425563"/>
          <w:sz w:val="28"/>
          <w:szCs w:val="28"/>
        </w:rPr>
        <w:t>-q</w:t>
      </w:r>
      <w:r w:rsidRPr="00663899">
        <w:rPr>
          <w:rFonts w:asciiTheme="majorHAnsi" w:hAnsiTheme="majorHAnsi"/>
          <w:color w:val="425563"/>
          <w:sz w:val="28"/>
          <w:szCs w:val="28"/>
        </w:rPr>
        <w:t>uestions:</w:t>
      </w:r>
    </w:p>
    <w:p w14:paraId="5890EEC1" w14:textId="4729C224" w:rsidR="005B2FD8" w:rsidRPr="00B811B7" w:rsidRDefault="005B2FD8" w:rsidP="007E0AFE">
      <w:pPr>
        <w:widowControl w:val="0"/>
        <w:rPr>
          <w:color w:val="425563" w:themeColor="text1"/>
        </w:rPr>
      </w:pPr>
      <w:r w:rsidRPr="00B811B7">
        <w:rPr>
          <w:rFonts w:asciiTheme="majorHAnsi" w:hAnsiTheme="majorHAnsi"/>
          <w:color w:val="425563" w:themeColor="text1"/>
        </w:rPr>
        <w:t>KEQ1a.</w:t>
      </w:r>
      <w:r w:rsidRPr="00B811B7">
        <w:rPr>
          <w:color w:val="425563" w:themeColor="text1"/>
        </w:rPr>
        <w:t xml:space="preserve"> Have participants’ needs been met by the STPP, and to what extent?</w:t>
      </w:r>
    </w:p>
    <w:p w14:paraId="4B24458B" w14:textId="4A8D93C1" w:rsidR="005B2FD8" w:rsidRPr="00B811B7" w:rsidRDefault="005B2FD8" w:rsidP="007E0AFE">
      <w:pPr>
        <w:widowControl w:val="0"/>
        <w:rPr>
          <w:color w:val="425563" w:themeColor="text1"/>
        </w:rPr>
      </w:pPr>
      <w:r w:rsidRPr="00B811B7">
        <w:rPr>
          <w:rFonts w:asciiTheme="majorHAnsi" w:hAnsiTheme="majorHAnsi"/>
          <w:color w:val="425563" w:themeColor="text1"/>
        </w:rPr>
        <w:t>KEQ1b.</w:t>
      </w:r>
      <w:r w:rsidRPr="00B811B7">
        <w:rPr>
          <w:color w:val="425563" w:themeColor="text1"/>
        </w:rPr>
        <w:t xml:space="preserve"> What needs </w:t>
      </w:r>
      <w:proofErr w:type="gramStart"/>
      <w:r w:rsidRPr="00B811B7">
        <w:rPr>
          <w:color w:val="425563" w:themeColor="text1"/>
        </w:rPr>
        <w:t>were not able to</w:t>
      </w:r>
      <w:proofErr w:type="gramEnd"/>
      <w:r w:rsidRPr="00B811B7">
        <w:rPr>
          <w:color w:val="425563" w:themeColor="text1"/>
        </w:rPr>
        <w:t xml:space="preserve"> be met by the STPP?</w:t>
      </w:r>
    </w:p>
    <w:p w14:paraId="64DA86AA" w14:textId="370DCA1A" w:rsidR="00DA3798" w:rsidRPr="00B811B7" w:rsidRDefault="005B2FD8" w:rsidP="007E0AFE">
      <w:pPr>
        <w:widowControl w:val="0"/>
        <w:rPr>
          <w:color w:val="425563" w:themeColor="text1"/>
        </w:rPr>
      </w:pPr>
      <w:r w:rsidRPr="00B811B7">
        <w:rPr>
          <w:rFonts w:asciiTheme="majorHAnsi" w:hAnsiTheme="majorHAnsi"/>
          <w:color w:val="425563" w:themeColor="text1"/>
        </w:rPr>
        <w:t>KEQ1c.</w:t>
      </w:r>
      <w:r w:rsidRPr="00B811B7">
        <w:rPr>
          <w:color w:val="425563" w:themeColor="text1"/>
        </w:rPr>
        <w:t xml:space="preserve"> Has there been any variation in outcomes across different participant groups?</w:t>
      </w:r>
    </w:p>
    <w:p w14:paraId="25F3ACC6" w14:textId="7244A2FC" w:rsidR="00E53266" w:rsidRDefault="00E53266" w:rsidP="007E0AFE">
      <w:pPr>
        <w:pStyle w:val="Heading3"/>
      </w:pPr>
      <w:bookmarkStart w:id="23" w:name="_Toc198367924"/>
      <w:bookmarkStart w:id="24" w:name="_Toc201908110"/>
      <w:r>
        <w:t>Summary finding</w:t>
      </w:r>
      <w:r w:rsidR="00D63281">
        <w:t>s</w:t>
      </w:r>
      <w:bookmarkEnd w:id="23"/>
      <w:bookmarkEnd w:id="24"/>
    </w:p>
    <w:p w14:paraId="529D4393" w14:textId="734721E4" w:rsidR="002206DF" w:rsidRPr="002206DF" w:rsidRDefault="00E53266" w:rsidP="007E0AFE">
      <w:pPr>
        <w:widowControl w:val="0"/>
      </w:pPr>
      <w:r w:rsidRPr="002206DF">
        <w:t>The STPP has supported significantly more participants in recent years</w:t>
      </w:r>
      <w:r w:rsidR="00807D6C">
        <w:t xml:space="preserve"> than in the years </w:t>
      </w:r>
      <w:r w:rsidR="002B0BCC">
        <w:t>prior to the COVID pandemic</w:t>
      </w:r>
      <w:r w:rsidRPr="002206DF">
        <w:t>, with an 85% increase in caseload from FY2</w:t>
      </w:r>
      <w:r w:rsidR="00682FA7">
        <w:t>0</w:t>
      </w:r>
      <w:r w:rsidRPr="002206DF">
        <w:t>19 to FY</w:t>
      </w:r>
      <w:r w:rsidR="00682FA7">
        <w:t>20</w:t>
      </w:r>
      <w:r w:rsidRPr="002206DF">
        <w:t>24.</w:t>
      </w:r>
      <w:r w:rsidR="002206DF" w:rsidRPr="002206DF">
        <w:t xml:space="preserve"> </w:t>
      </w:r>
    </w:p>
    <w:p w14:paraId="7CA1F6CE" w14:textId="4627502B" w:rsidR="00D54BC4" w:rsidRDefault="000A150F" w:rsidP="007E0AFE">
      <w:pPr>
        <w:pStyle w:val="Bullet1"/>
        <w:numPr>
          <w:ilvl w:val="0"/>
          <w:numId w:val="0"/>
        </w:numPr>
      </w:pPr>
      <w:r>
        <w:t xml:space="preserve">Participants reported highly positive, and even transformative outcomes. </w:t>
      </w:r>
      <w:r w:rsidR="00E53266" w:rsidRPr="002206DF">
        <w:t xml:space="preserve">There is </w:t>
      </w:r>
      <w:r w:rsidR="00786E91">
        <w:t xml:space="preserve">some </w:t>
      </w:r>
      <w:r w:rsidR="00E53266" w:rsidRPr="002206DF">
        <w:t>evidence to suggest that the STPP supports immediate stabilisation</w:t>
      </w:r>
      <w:r w:rsidR="003A5ED6">
        <w:t xml:space="preserve"> needs</w:t>
      </w:r>
      <w:r w:rsidR="00E53266" w:rsidRPr="002206DF">
        <w:t xml:space="preserve">, including </w:t>
      </w:r>
      <w:r w:rsidR="007F2C09">
        <w:t>direct</w:t>
      </w:r>
      <w:r w:rsidR="00E53266" w:rsidRPr="002206DF">
        <w:t xml:space="preserve"> social</w:t>
      </w:r>
      <w:r w:rsidR="00AC5409">
        <w:t xml:space="preserve"> support</w:t>
      </w:r>
      <w:r w:rsidR="00880C2F">
        <w:t xml:space="preserve">, </w:t>
      </w:r>
      <w:r w:rsidR="00462303">
        <w:t xml:space="preserve">help </w:t>
      </w:r>
      <w:r w:rsidR="006F0CC1" w:rsidRPr="002206DF">
        <w:t>navigat</w:t>
      </w:r>
      <w:r w:rsidR="006F0CC1">
        <w:t>ing</w:t>
      </w:r>
      <w:r w:rsidR="006F0CC1" w:rsidRPr="002206DF">
        <w:t xml:space="preserve"> </w:t>
      </w:r>
      <w:r w:rsidR="006E04AC">
        <w:t xml:space="preserve">social security, healthcare and other </w:t>
      </w:r>
      <w:r w:rsidR="00E53266" w:rsidRPr="002206DF">
        <w:t>support</w:t>
      </w:r>
      <w:r w:rsidR="007F2C09">
        <w:t xml:space="preserve"> systems</w:t>
      </w:r>
      <w:r w:rsidR="00E53266" w:rsidRPr="002206DF">
        <w:t xml:space="preserve"> and </w:t>
      </w:r>
      <w:r w:rsidR="00D63281">
        <w:t xml:space="preserve">helping to generate </w:t>
      </w:r>
      <w:r w:rsidR="00E53266" w:rsidRPr="002206DF">
        <w:t>a sense of confidence/optimism about next steps.</w:t>
      </w:r>
      <w:r w:rsidR="00D63281">
        <w:t xml:space="preserve"> </w:t>
      </w:r>
      <w:r w:rsidR="00E53266" w:rsidRPr="002206DF">
        <w:t xml:space="preserve">Other outcomes associated with the STPP include increased access to income streams, stable accommodation, </w:t>
      </w:r>
      <w:r w:rsidR="002A5297">
        <w:t xml:space="preserve">and </w:t>
      </w:r>
      <w:r w:rsidR="00E53266" w:rsidRPr="002206DF">
        <w:t>social connection</w:t>
      </w:r>
      <w:r w:rsidR="00AA1ABD">
        <w:t xml:space="preserve">. </w:t>
      </w:r>
      <w:r w:rsidR="00786E91">
        <w:t xml:space="preserve">However, data to support </w:t>
      </w:r>
      <w:r w:rsidR="00AB266C">
        <w:t xml:space="preserve">outcomes </w:t>
      </w:r>
      <w:r w:rsidR="7816872D">
        <w:t>are</w:t>
      </w:r>
      <w:r w:rsidR="00786E91">
        <w:t xml:space="preserve"> largely qualitative, and there are opportunities to improve </w:t>
      </w:r>
      <w:r w:rsidR="00786E91">
        <w:lastRenderedPageBreak/>
        <w:t xml:space="preserve">impact measurement </w:t>
      </w:r>
      <w:r w:rsidR="00D54BC4">
        <w:t xml:space="preserve">at scale. </w:t>
      </w:r>
    </w:p>
    <w:p w14:paraId="4448889C" w14:textId="1B242BD7" w:rsidR="00AB266C" w:rsidRDefault="00AB266C" w:rsidP="007E0AFE">
      <w:pPr>
        <w:pStyle w:val="Bullet1"/>
        <w:numPr>
          <w:ilvl w:val="0"/>
          <w:numId w:val="0"/>
        </w:numPr>
      </w:pPr>
      <w:r>
        <w:t xml:space="preserve">Observed limits with respect to achieving outcomes include: </w:t>
      </w:r>
    </w:p>
    <w:p w14:paraId="1E3C6564" w14:textId="77777777" w:rsidR="00AB266C" w:rsidRDefault="00D92744" w:rsidP="007E0AFE">
      <w:pPr>
        <w:pStyle w:val="Bullet1"/>
      </w:pPr>
      <w:r>
        <w:t xml:space="preserve">The </w:t>
      </w:r>
      <w:r w:rsidRPr="00DA3798">
        <w:t>STPP can face challenges</w:t>
      </w:r>
      <w:r w:rsidRPr="00A25507">
        <w:t xml:space="preserve"> supporting</w:t>
      </w:r>
      <w:r>
        <w:t xml:space="preserve"> </w:t>
      </w:r>
      <w:r w:rsidRPr="00DA3798">
        <w:t>access to</w:t>
      </w:r>
      <w:r w:rsidR="00E50612">
        <w:t xml:space="preserve"> </w:t>
      </w:r>
      <w:r>
        <w:t xml:space="preserve">community </w:t>
      </w:r>
      <w:r w:rsidR="00783DCD">
        <w:t>services (e.g. refuges</w:t>
      </w:r>
      <w:r w:rsidR="00BE2F84">
        <w:t xml:space="preserve"> and other supported accommodation) </w:t>
      </w:r>
      <w:r w:rsidR="009E7F5A">
        <w:t xml:space="preserve">and </w:t>
      </w:r>
      <w:r w:rsidR="00682FA7" w:rsidRPr="00AB266C">
        <w:t>general</w:t>
      </w:r>
      <w:r w:rsidR="00682FA7">
        <w:t xml:space="preserve"> needs</w:t>
      </w:r>
      <w:r>
        <w:t xml:space="preserve"> </w:t>
      </w:r>
      <w:r w:rsidR="00BE2F84">
        <w:t>(e.g. housing</w:t>
      </w:r>
      <w:r w:rsidR="004361D6">
        <w:t>)</w:t>
      </w:r>
      <w:r w:rsidR="00AB266C">
        <w:t>, reflecting generalised system constraints</w:t>
      </w:r>
      <w:r w:rsidR="002C1950">
        <w:t>.</w:t>
      </w:r>
      <w:r w:rsidR="00AB266C" w:rsidRPr="00AB266C">
        <w:t xml:space="preserve"> </w:t>
      </w:r>
    </w:p>
    <w:p w14:paraId="4F0A4591" w14:textId="6544DF6E" w:rsidR="00AB266C" w:rsidRDefault="00AB266C" w:rsidP="007E0AFE">
      <w:pPr>
        <w:pStyle w:val="Bullet1"/>
      </w:pPr>
      <w:r>
        <w:t xml:space="preserve">It appears that the STPP is less </w:t>
      </w:r>
      <w:r w:rsidRPr="00AB266C">
        <w:t>able</w:t>
      </w:r>
      <w:r>
        <w:t xml:space="preserve"> to meet the needs of children and young people and people with complex mental health and addiction needs (this is primarily due to design and systemic constraints). </w:t>
      </w:r>
    </w:p>
    <w:p w14:paraId="0FE5C7F7" w14:textId="7CA6D305" w:rsidR="004C6929" w:rsidRDefault="00E42D8F" w:rsidP="007E0AFE">
      <w:pPr>
        <w:pStyle w:val="Bullet1"/>
      </w:pPr>
      <w:r>
        <w:t>H</w:t>
      </w:r>
      <w:r w:rsidR="00574E88">
        <w:t xml:space="preserve">ealing </w:t>
      </w:r>
      <w:r w:rsidR="00976E92">
        <w:t xml:space="preserve">is </w:t>
      </w:r>
      <w:r>
        <w:t>a complex, non-linear process, and</w:t>
      </w:r>
      <w:r w:rsidR="00B30A5B">
        <w:t xml:space="preserve"> </w:t>
      </w:r>
      <w:r w:rsidR="00533AAB">
        <w:t>the</w:t>
      </w:r>
      <w:r w:rsidR="00F0722A">
        <w:t xml:space="preserve">re are </w:t>
      </w:r>
      <w:r w:rsidR="00F0722A" w:rsidRPr="00AB266C">
        <w:t>instances</w:t>
      </w:r>
      <w:r w:rsidR="00F0722A">
        <w:t xml:space="preserve"> where</w:t>
      </w:r>
      <w:r w:rsidR="00324F90">
        <w:t xml:space="preserve"> STPP </w:t>
      </w:r>
      <w:r w:rsidR="001346DA">
        <w:t>doesn’t</w:t>
      </w:r>
      <w:r w:rsidR="00B806CC">
        <w:t xml:space="preserve"> meet partici</w:t>
      </w:r>
      <w:r w:rsidR="00FB6E33">
        <w:t>pants</w:t>
      </w:r>
      <w:r w:rsidR="00A814DE">
        <w:t>’</w:t>
      </w:r>
      <w:r w:rsidR="00FB6E33">
        <w:t xml:space="preserve"> needs</w:t>
      </w:r>
      <w:r w:rsidR="00AB266C">
        <w:t xml:space="preserve">, including </w:t>
      </w:r>
      <w:r w:rsidR="002C1950">
        <w:t>due to</w:t>
      </w:r>
      <w:r w:rsidR="000F1039">
        <w:t xml:space="preserve"> </w:t>
      </w:r>
      <w:r w:rsidR="00FE5D7A">
        <w:t>time-limi</w:t>
      </w:r>
      <w:r w:rsidR="000F1039">
        <w:t>t</w:t>
      </w:r>
      <w:r w:rsidR="002C1950">
        <w:t>s</w:t>
      </w:r>
      <w:r w:rsidR="000F1039">
        <w:t xml:space="preserve"> on support</w:t>
      </w:r>
      <w:r w:rsidR="00FE5D7A">
        <w:t xml:space="preserve"> </w:t>
      </w:r>
      <w:r w:rsidR="002C1950">
        <w:t xml:space="preserve">driven by timeframes for criminal justice matters and </w:t>
      </w:r>
      <w:r w:rsidR="00B30A5B">
        <w:t>for participants</w:t>
      </w:r>
      <w:r w:rsidR="004C6929">
        <w:t xml:space="preserve"> who choose not to or are not able to pursue a criminal justice matter</w:t>
      </w:r>
      <w:r w:rsidR="003312E5">
        <w:t>.</w:t>
      </w:r>
      <w:r w:rsidR="001D6072">
        <w:rPr>
          <w:rStyle w:val="FootnoteReference"/>
        </w:rPr>
        <w:footnoteReference w:id="14"/>
      </w:r>
    </w:p>
    <w:p w14:paraId="0E65CFB3" w14:textId="0443934E" w:rsidR="00CD75A7" w:rsidRDefault="00CD75A7" w:rsidP="007E0AFE">
      <w:pPr>
        <w:pStyle w:val="Bullet1"/>
      </w:pPr>
      <w:r>
        <w:t>Delivery of the program does not always meet t</w:t>
      </w:r>
      <w:r w:rsidRPr="00DA3798">
        <w:t xml:space="preserve">rauma-informed </w:t>
      </w:r>
      <w:r w:rsidR="002C1950">
        <w:t>principles</w:t>
      </w:r>
      <w:r w:rsidR="002C1950" w:rsidRPr="00DA3798">
        <w:t xml:space="preserve"> </w:t>
      </w:r>
      <w:r>
        <w:t>with respect to</w:t>
      </w:r>
      <w:r w:rsidRPr="00DA3798">
        <w:t xml:space="preserve"> transparency and choic</w:t>
      </w:r>
      <w:r>
        <w:t>e</w:t>
      </w:r>
      <w:r w:rsidR="007A325C">
        <w:t xml:space="preserve">, </w:t>
      </w:r>
      <w:r w:rsidR="009A4EB9">
        <w:t>including due to delivery settings on communicating options to participants, the</w:t>
      </w:r>
      <w:r w:rsidR="007A325C">
        <w:t xml:space="preserve"> time-limited nature of the program</w:t>
      </w:r>
      <w:r w:rsidR="00DE1F25">
        <w:t xml:space="preserve"> </w:t>
      </w:r>
      <w:r w:rsidR="009A4EB9">
        <w:t>and</w:t>
      </w:r>
      <w:r w:rsidR="00DE1F25">
        <w:t xml:space="preserve"> </w:t>
      </w:r>
      <w:r w:rsidR="00EF2C50">
        <w:t xml:space="preserve">capacity issues in the </w:t>
      </w:r>
      <w:r w:rsidR="00192989" w:rsidRPr="00AB266C">
        <w:t>broader</w:t>
      </w:r>
      <w:r w:rsidR="00192989">
        <w:t xml:space="preserve"> </w:t>
      </w:r>
      <w:r w:rsidR="00EF2C50">
        <w:t>service system</w:t>
      </w:r>
      <w:r>
        <w:t>.</w:t>
      </w:r>
      <w:r w:rsidR="00D54BC4">
        <w:t xml:space="preserve"> </w:t>
      </w:r>
      <w:r w:rsidR="00DE1F25">
        <w:t>T</w:t>
      </w:r>
      <w:r w:rsidR="00D54BC4">
        <w:t xml:space="preserve">here are opportunities to improve service provision within the current design and </w:t>
      </w:r>
      <w:r w:rsidR="00DE1F25">
        <w:t>to optimise</w:t>
      </w:r>
      <w:r w:rsidR="008705BA">
        <w:t xml:space="preserve"> the STPP design so that </w:t>
      </w:r>
      <w:r w:rsidR="009937EC">
        <w:t xml:space="preserve">it </w:t>
      </w:r>
      <w:r w:rsidR="008705BA">
        <w:t>reflects variation in participant needs, including for timeframes for healing.</w:t>
      </w:r>
    </w:p>
    <w:p w14:paraId="312CDC36" w14:textId="2F76DC4F" w:rsidR="00FA5663" w:rsidRDefault="00F85AE6" w:rsidP="007E0AFE">
      <w:pPr>
        <w:pStyle w:val="Bullet1"/>
        <w:numPr>
          <w:ilvl w:val="0"/>
          <w:numId w:val="0"/>
        </w:numPr>
      </w:pPr>
      <w:r w:rsidRPr="00DA3798">
        <w:t>Lack of prevalence data means the evaluation ca</w:t>
      </w:r>
      <w:r w:rsidR="00C8164F">
        <w:t>nnot</w:t>
      </w:r>
      <w:r w:rsidRPr="00DA3798">
        <w:t xml:space="preserve"> comment on the gap between people supported and population of people with HTMS experience</w:t>
      </w:r>
      <w:r w:rsidR="009F1FE1">
        <w:t>, however estimates suggest this is likely to be significant. Stakeholders emphasise</w:t>
      </w:r>
      <w:r w:rsidR="1AED31E4">
        <w:t>d</w:t>
      </w:r>
      <w:r w:rsidR="009F1FE1">
        <w:t xml:space="preserve"> the need to </w:t>
      </w:r>
      <w:r w:rsidR="001F39B8">
        <w:t xml:space="preserve">improve prevention of, and identification and referral </w:t>
      </w:r>
      <w:r w:rsidR="00AA1ABD">
        <w:t>pathways</w:t>
      </w:r>
      <w:r w:rsidR="001F39B8">
        <w:t xml:space="preserve"> for people with, HTMS</w:t>
      </w:r>
      <w:r w:rsidR="00AA1ABD">
        <w:t xml:space="preserve"> experiences</w:t>
      </w:r>
      <w:r w:rsidR="00CC1E00">
        <w:t xml:space="preserve"> to support increased STPP participation</w:t>
      </w:r>
      <w:r w:rsidR="002C4BD3">
        <w:t>.</w:t>
      </w:r>
    </w:p>
    <w:p w14:paraId="035A585F" w14:textId="63285708" w:rsidR="00556D48" w:rsidRDefault="00F91504" w:rsidP="007E0AFE">
      <w:pPr>
        <w:pStyle w:val="Heading3"/>
      </w:pPr>
      <w:bookmarkStart w:id="25" w:name="_Toc198367925"/>
      <w:bookmarkStart w:id="26" w:name="_Toc201908111"/>
      <w:r>
        <w:t>Findings</w:t>
      </w:r>
      <w:bookmarkEnd w:id="25"/>
      <w:bookmarkEnd w:id="26"/>
    </w:p>
    <w:p w14:paraId="7145CBA3" w14:textId="4B3B3ACA" w:rsidR="00EA1762" w:rsidRDefault="00EA1762" w:rsidP="007E0AFE">
      <w:r>
        <w:t>Th</w:t>
      </w:r>
      <w:r w:rsidR="1A75830A">
        <w:t>is</w:t>
      </w:r>
      <w:r>
        <w:t xml:space="preserve"> section addresses the extent to which the STPP has achieved outcomes</w:t>
      </w:r>
      <w:bookmarkStart w:id="27" w:name="_Ref200037477"/>
      <w:r w:rsidR="00032C66">
        <w:rPr>
          <w:rStyle w:val="FootnoteReference"/>
        </w:rPr>
        <w:footnoteReference w:id="15"/>
      </w:r>
      <w:bookmarkEnd w:id="27"/>
      <w:r>
        <w:t xml:space="preserve">, including: </w:t>
      </w:r>
    </w:p>
    <w:p w14:paraId="7898A1DF" w14:textId="62BDC395" w:rsidR="00AB266C" w:rsidRPr="0081581A" w:rsidRDefault="00AB266C" w:rsidP="0081581A">
      <w:pPr>
        <w:spacing w:before="40" w:after="0"/>
        <w:rPr>
          <w:rFonts w:asciiTheme="majorHAnsi" w:hAnsiTheme="majorHAnsi"/>
          <w:i/>
          <w:iCs/>
          <w:color w:val="425563"/>
        </w:rPr>
      </w:pPr>
      <w:r w:rsidRPr="0081581A">
        <w:rPr>
          <w:rFonts w:asciiTheme="majorHAnsi" w:hAnsiTheme="majorHAnsi"/>
          <w:i/>
          <w:iCs/>
          <w:color w:val="425563"/>
        </w:rPr>
        <w:t xml:space="preserve">Participant </w:t>
      </w:r>
      <w:r w:rsidR="00EA1762" w:rsidRPr="0081581A">
        <w:rPr>
          <w:rFonts w:asciiTheme="majorHAnsi" w:hAnsiTheme="majorHAnsi"/>
          <w:i/>
          <w:iCs/>
          <w:color w:val="425563"/>
        </w:rPr>
        <w:t>outcomes</w:t>
      </w:r>
      <w:r w:rsidR="009D3353" w:rsidRPr="0081581A">
        <w:rPr>
          <w:rFonts w:asciiTheme="majorHAnsi" w:hAnsiTheme="majorHAnsi"/>
          <w:i/>
          <w:iCs/>
          <w:color w:val="425563"/>
        </w:rPr>
        <w:t>:</w:t>
      </w:r>
      <w:r w:rsidR="00F418BD" w:rsidRPr="0081581A">
        <w:rPr>
          <w:rFonts w:asciiTheme="majorHAnsi" w:hAnsiTheme="majorHAnsi"/>
          <w:i/>
          <w:iCs/>
          <w:color w:val="425563"/>
        </w:rPr>
        <w:t xml:space="preserve"> </w:t>
      </w:r>
    </w:p>
    <w:p w14:paraId="7E3E3C31" w14:textId="463BA0E7" w:rsidR="00EA1762" w:rsidRDefault="00F418BD" w:rsidP="007E0AFE">
      <w:pPr>
        <w:pStyle w:val="Bullet1"/>
      </w:pPr>
      <w:r>
        <w:t>people with HTMS experiences</w:t>
      </w:r>
    </w:p>
    <w:p w14:paraId="457905CE" w14:textId="18EC1A05" w:rsidR="00265801" w:rsidRDefault="00265801" w:rsidP="007E0AFE">
      <w:pPr>
        <w:pStyle w:val="Bullet2"/>
      </w:pPr>
      <w:r>
        <w:t>are informed of and understand their safety risks, rights, and support options</w:t>
      </w:r>
    </w:p>
    <w:p w14:paraId="6860B04A" w14:textId="33886C77" w:rsidR="00C34D16" w:rsidRDefault="00265801" w:rsidP="007E0AFE">
      <w:pPr>
        <w:pStyle w:val="Bullet2"/>
      </w:pPr>
      <w:r>
        <w:t>access appropriate support through STPP to meet their identified needs (</w:t>
      </w:r>
      <w:r w:rsidR="00513591">
        <w:t>e.g.</w:t>
      </w:r>
      <w:r>
        <w:t xml:space="preserve"> living in safe and stable accommodation, feel</w:t>
      </w:r>
      <w:r w:rsidR="00513591">
        <w:t>ing</w:t>
      </w:r>
      <w:r>
        <w:t xml:space="preserve"> empowered to heal and rebuild their lives and</w:t>
      </w:r>
      <w:r w:rsidR="00513591">
        <w:t xml:space="preserve"> </w:t>
      </w:r>
      <w:r>
        <w:t>develop</w:t>
      </w:r>
      <w:r w:rsidR="00513591">
        <w:t>ing</w:t>
      </w:r>
      <w:r>
        <w:t xml:space="preserve"> trusted relationships and supportive family and community connections with services provided through the STPP)</w:t>
      </w:r>
    </w:p>
    <w:p w14:paraId="6553DFA3" w14:textId="25050711" w:rsidR="00AB266C" w:rsidRPr="0081581A" w:rsidRDefault="00AB266C" w:rsidP="0081581A">
      <w:pPr>
        <w:spacing w:before="40" w:after="0"/>
        <w:rPr>
          <w:rFonts w:asciiTheme="majorHAnsi" w:hAnsiTheme="majorHAnsi"/>
          <w:i/>
          <w:iCs/>
          <w:color w:val="425563"/>
        </w:rPr>
      </w:pPr>
      <w:r w:rsidRPr="0081581A">
        <w:rPr>
          <w:rFonts w:asciiTheme="majorHAnsi" w:hAnsiTheme="majorHAnsi"/>
          <w:i/>
          <w:iCs/>
          <w:color w:val="425563"/>
        </w:rPr>
        <w:t xml:space="preserve">Justice </w:t>
      </w:r>
      <w:r w:rsidR="00EA1762" w:rsidRPr="0081581A">
        <w:rPr>
          <w:rFonts w:asciiTheme="majorHAnsi" w:hAnsiTheme="majorHAnsi"/>
          <w:i/>
          <w:iCs/>
          <w:color w:val="425563"/>
        </w:rPr>
        <w:t>outcomes</w:t>
      </w:r>
      <w:r w:rsidR="00D01E4F" w:rsidRPr="0081581A">
        <w:rPr>
          <w:rFonts w:asciiTheme="majorHAnsi" w:hAnsiTheme="majorHAnsi"/>
          <w:i/>
          <w:iCs/>
          <w:color w:val="425563"/>
        </w:rPr>
        <w:t xml:space="preserve">: </w:t>
      </w:r>
    </w:p>
    <w:p w14:paraId="349830E4" w14:textId="21E83C09" w:rsidR="00EA1762" w:rsidRDefault="00D01E4F" w:rsidP="007E0AFE">
      <w:pPr>
        <w:pStyle w:val="Bullet1"/>
      </w:pPr>
      <w:r>
        <w:t xml:space="preserve">people with HTMS experiences </w:t>
      </w:r>
      <w:r w:rsidRPr="00D01E4F">
        <w:t>who elect to do so, are supported to participate in the criminal justice process</w:t>
      </w:r>
    </w:p>
    <w:p w14:paraId="527F9C8A" w14:textId="382C2088" w:rsidR="00AB266C" w:rsidRPr="0081581A" w:rsidRDefault="00AB266C" w:rsidP="0081581A">
      <w:pPr>
        <w:spacing w:before="40" w:after="0"/>
        <w:rPr>
          <w:rFonts w:asciiTheme="majorHAnsi" w:hAnsiTheme="majorHAnsi"/>
          <w:i/>
          <w:iCs/>
          <w:color w:val="425563"/>
        </w:rPr>
      </w:pPr>
      <w:r w:rsidRPr="0081581A">
        <w:rPr>
          <w:rFonts w:asciiTheme="majorHAnsi" w:hAnsiTheme="majorHAnsi"/>
          <w:i/>
          <w:iCs/>
          <w:color w:val="425563"/>
        </w:rPr>
        <w:t xml:space="preserve">Program </w:t>
      </w:r>
      <w:r w:rsidR="00EA1762" w:rsidRPr="0081581A">
        <w:rPr>
          <w:rFonts w:asciiTheme="majorHAnsi" w:hAnsiTheme="majorHAnsi"/>
          <w:i/>
          <w:iCs/>
          <w:color w:val="425563"/>
        </w:rPr>
        <w:t>outcomes</w:t>
      </w:r>
      <w:r w:rsidR="00D01E4F" w:rsidRPr="0081581A">
        <w:rPr>
          <w:rFonts w:asciiTheme="majorHAnsi" w:hAnsiTheme="majorHAnsi"/>
          <w:i/>
          <w:iCs/>
          <w:color w:val="425563"/>
        </w:rPr>
        <w:t xml:space="preserve">: </w:t>
      </w:r>
    </w:p>
    <w:p w14:paraId="4D9875DE" w14:textId="6DF105FD" w:rsidR="00EA1762" w:rsidRDefault="00D01E4F" w:rsidP="007E0AFE">
      <w:pPr>
        <w:pStyle w:val="Bullet1"/>
      </w:pPr>
      <w:r w:rsidRPr="00D01E4F">
        <w:t>STPP and ARP providers support collaborative responses to modern slavery that are inclusive, trauma-informed and lived experience centred</w:t>
      </w:r>
    </w:p>
    <w:p w14:paraId="72F24C04" w14:textId="0FE8DA20" w:rsidR="00420F13" w:rsidRPr="0081581A" w:rsidRDefault="00AB266C" w:rsidP="0081581A">
      <w:pPr>
        <w:spacing w:before="40" w:after="0"/>
        <w:rPr>
          <w:rFonts w:asciiTheme="majorHAnsi" w:hAnsiTheme="majorHAnsi"/>
          <w:i/>
          <w:iCs/>
          <w:color w:val="425563"/>
        </w:rPr>
      </w:pPr>
      <w:r w:rsidRPr="0081581A">
        <w:rPr>
          <w:rFonts w:asciiTheme="majorHAnsi" w:hAnsiTheme="majorHAnsi"/>
          <w:i/>
          <w:iCs/>
          <w:color w:val="425563"/>
        </w:rPr>
        <w:t xml:space="preserve">Community </w:t>
      </w:r>
      <w:r w:rsidR="00EA1762" w:rsidRPr="0081581A">
        <w:rPr>
          <w:rFonts w:asciiTheme="majorHAnsi" w:hAnsiTheme="majorHAnsi"/>
          <w:i/>
          <w:iCs/>
          <w:color w:val="425563"/>
        </w:rPr>
        <w:t>outcomes</w:t>
      </w:r>
      <w:r w:rsidR="00D01E4F" w:rsidRPr="0081581A">
        <w:rPr>
          <w:rFonts w:asciiTheme="majorHAnsi" w:hAnsiTheme="majorHAnsi"/>
          <w:i/>
          <w:iCs/>
          <w:color w:val="425563"/>
        </w:rPr>
        <w:t>:</w:t>
      </w:r>
    </w:p>
    <w:p w14:paraId="6851DC04" w14:textId="13B5D45F" w:rsidR="00420F13" w:rsidRDefault="00E34485" w:rsidP="007E0AFE">
      <w:pPr>
        <w:pStyle w:val="Bullet1"/>
      </w:pPr>
      <w:r w:rsidRPr="00B2315D">
        <w:t>peo</w:t>
      </w:r>
      <w:r>
        <w:t xml:space="preserve">ple </w:t>
      </w:r>
      <w:r w:rsidR="00420F13">
        <w:t>are aware of the ARP and STPP</w:t>
      </w:r>
    </w:p>
    <w:p w14:paraId="049777CE" w14:textId="554D1322" w:rsidR="00420F13" w:rsidRDefault="00E34485" w:rsidP="007E0AFE">
      <w:pPr>
        <w:pStyle w:val="Bullet1"/>
      </w:pPr>
      <w:r>
        <w:t>people</w:t>
      </w:r>
      <w:r w:rsidR="00420F13">
        <w:t xml:space="preserve"> know how to recognise risks, safely respond or seek support when they witness or experience HTMS</w:t>
      </w:r>
    </w:p>
    <w:p w14:paraId="6CEE93B9" w14:textId="7DEE9109" w:rsidR="00EA1762" w:rsidRDefault="00E34485" w:rsidP="007E0AFE">
      <w:pPr>
        <w:pStyle w:val="Bullet1"/>
      </w:pPr>
      <w:r>
        <w:t>civil</w:t>
      </w:r>
      <w:r w:rsidR="00420F13">
        <w:t xml:space="preserve"> society and other HTMS/FDV community providers comprehend the </w:t>
      </w:r>
      <w:r w:rsidR="00A2779B">
        <w:t>STPP,</w:t>
      </w:r>
      <w:r w:rsidR="00420F13">
        <w:t xml:space="preserve"> and the scope of services provided, or not, through it</w:t>
      </w:r>
    </w:p>
    <w:p w14:paraId="4A9C2F0A" w14:textId="47E217D3" w:rsidR="00D97170" w:rsidRPr="00AA51CC" w:rsidRDefault="00D97170" w:rsidP="007E0AFE">
      <w:pPr>
        <w:pStyle w:val="Heading4"/>
      </w:pPr>
      <w:bookmarkStart w:id="28" w:name="_Toc198367926"/>
      <w:r w:rsidRPr="00AA51CC">
        <w:lastRenderedPageBreak/>
        <w:t>Participant outcomes</w:t>
      </w:r>
      <w:bookmarkEnd w:id="28"/>
    </w:p>
    <w:p w14:paraId="01ED6CAD" w14:textId="0C0A85D0" w:rsidR="00AA51CC" w:rsidRPr="00AA51CC" w:rsidRDefault="00AA51CC" w:rsidP="007E0AFE">
      <w:r w:rsidRPr="006D3E18">
        <w:t xml:space="preserve">The evaluation assessed </w:t>
      </w:r>
      <w:r w:rsidR="00EA1762" w:rsidRPr="006D3E18">
        <w:t>two</w:t>
      </w:r>
      <w:r w:rsidRPr="006D3E18">
        <w:t xml:space="preserve"> participant outcomes</w:t>
      </w:r>
      <w:r w:rsidR="00947224" w:rsidRPr="006D3E18">
        <w:rPr>
          <w:rStyle w:val="FootnoteReference"/>
        </w:rPr>
        <w:fldChar w:fldCharType="begin"/>
      </w:r>
      <w:r w:rsidR="00947224" w:rsidRPr="00F323B1">
        <w:rPr>
          <w:rStyle w:val="FootnoteReference"/>
        </w:rPr>
        <w:instrText xml:space="preserve"> NOTEREF _Ref200037477 \h </w:instrText>
      </w:r>
      <w:r w:rsidR="00947224" w:rsidRPr="006D3E18">
        <w:rPr>
          <w:rStyle w:val="FootnoteReference"/>
        </w:rPr>
        <w:instrText xml:space="preserve"> \* MERGEFORMAT </w:instrText>
      </w:r>
      <w:r w:rsidR="00947224" w:rsidRPr="006D3E18">
        <w:rPr>
          <w:rStyle w:val="FootnoteReference"/>
        </w:rPr>
      </w:r>
      <w:r w:rsidR="00947224" w:rsidRPr="006D3E18">
        <w:rPr>
          <w:rStyle w:val="FootnoteReference"/>
        </w:rPr>
        <w:fldChar w:fldCharType="separate"/>
      </w:r>
      <w:r w:rsidR="00D9323B">
        <w:rPr>
          <w:rStyle w:val="FootnoteReference"/>
        </w:rPr>
        <w:t>14</w:t>
      </w:r>
      <w:r w:rsidR="00947224" w:rsidRPr="006D3E18">
        <w:rPr>
          <w:rStyle w:val="FootnoteReference"/>
        </w:rPr>
        <w:fldChar w:fldCharType="end"/>
      </w:r>
      <w:r w:rsidRPr="006D3E18">
        <w:t>:</w:t>
      </w:r>
    </w:p>
    <w:p w14:paraId="0C6EE864" w14:textId="2B970EB6" w:rsidR="00AA51CC" w:rsidRPr="00AA51CC" w:rsidRDefault="005D1C7A" w:rsidP="007E0AFE">
      <w:pPr>
        <w:pStyle w:val="Bullet1"/>
        <w:numPr>
          <w:ilvl w:val="0"/>
          <w:numId w:val="0"/>
        </w:numPr>
      </w:pPr>
      <w:r>
        <w:t>1a</w:t>
      </w:r>
      <w:r w:rsidR="00490626">
        <w:t xml:space="preserve">: </w:t>
      </w:r>
      <w:r w:rsidR="00D6453D">
        <w:t>People with HTMS experiences</w:t>
      </w:r>
      <w:r w:rsidR="00AA51CC" w:rsidRPr="00AA51CC">
        <w:t xml:space="preserve"> are informed of and understand their rights and support options</w:t>
      </w:r>
    </w:p>
    <w:p w14:paraId="392B9116" w14:textId="3D7CD91F" w:rsidR="00AA51CC" w:rsidRDefault="00490626" w:rsidP="007E0AFE">
      <w:pPr>
        <w:pStyle w:val="Bullet1"/>
        <w:numPr>
          <w:ilvl w:val="0"/>
          <w:numId w:val="0"/>
        </w:numPr>
      </w:pPr>
      <w:r>
        <w:t xml:space="preserve">1b: </w:t>
      </w:r>
      <w:r w:rsidR="00D6453D">
        <w:t>People with HTMS experiences</w:t>
      </w:r>
      <w:r w:rsidR="00AA51CC" w:rsidRPr="00AA51CC">
        <w:t xml:space="preserve"> access appropriate support through </w:t>
      </w:r>
      <w:r w:rsidR="00AF25B8">
        <w:t xml:space="preserve">the </w:t>
      </w:r>
      <w:r w:rsidR="00AA51CC" w:rsidRPr="00AA51CC">
        <w:t>STPP to meet their needs</w:t>
      </w:r>
    </w:p>
    <w:p w14:paraId="34D385C8" w14:textId="7C4241B4" w:rsidR="00A13FAD" w:rsidRPr="0098237B" w:rsidRDefault="00A13FAD" w:rsidP="007E0AFE">
      <w:pPr>
        <w:pStyle w:val="Heading5"/>
      </w:pPr>
      <w:r w:rsidRPr="0098237B">
        <w:t xml:space="preserve">Outcome </w:t>
      </w:r>
      <w:r w:rsidR="00B3655D" w:rsidRPr="0098237B">
        <w:t>1</w:t>
      </w:r>
      <w:r w:rsidRPr="0098237B">
        <w:t xml:space="preserve">a: </w:t>
      </w:r>
      <w:r w:rsidR="00A22B67" w:rsidRPr="0098237B">
        <w:t>People with HTMS experiences</w:t>
      </w:r>
      <w:r w:rsidRPr="0098237B">
        <w:t xml:space="preserve"> are informed of and </w:t>
      </w:r>
      <w:r w:rsidR="00D97170" w:rsidRPr="0098237B">
        <w:t xml:space="preserve">understand </w:t>
      </w:r>
      <w:r w:rsidRPr="0098237B">
        <w:t>their rights and support options</w:t>
      </w:r>
      <w:r w:rsidR="00C57DD5" w:rsidRPr="0098237B">
        <w:t xml:space="preserve"> </w:t>
      </w:r>
    </w:p>
    <w:p w14:paraId="7DB59E2E" w14:textId="6E009ADB" w:rsidR="001C09AB" w:rsidRDefault="006518B4" w:rsidP="007E0AFE">
      <w:pPr>
        <w:pStyle w:val="Heading6"/>
      </w:pPr>
      <w:r w:rsidRPr="003C545B">
        <w:t xml:space="preserve">Outcome 1a, Indicator 1: Increase understanding </w:t>
      </w:r>
      <w:r w:rsidR="00A22B67">
        <w:t>for participants</w:t>
      </w:r>
      <w:r w:rsidRPr="003C545B">
        <w:t xml:space="preserve"> of their rights and support options</w:t>
      </w:r>
    </w:p>
    <w:p w14:paraId="73132B7D" w14:textId="0AB5030B" w:rsidR="002E347F" w:rsidRDefault="002E347F" w:rsidP="002E347F">
      <w:pPr>
        <w:pStyle w:val="Caption"/>
      </w:pPr>
      <w:r>
        <w:t xml:space="preserve">Table </w:t>
      </w:r>
      <w:r>
        <w:fldChar w:fldCharType="begin"/>
      </w:r>
      <w:r>
        <w:instrText xml:space="preserve"> SEQ Table \* ARABIC </w:instrText>
      </w:r>
      <w:r>
        <w:fldChar w:fldCharType="separate"/>
      </w:r>
      <w:r w:rsidR="00D9323B">
        <w:rPr>
          <w:noProof/>
        </w:rPr>
        <w:t>17</w:t>
      </w:r>
      <w:r>
        <w:fldChar w:fldCharType="end"/>
      </w:r>
      <w:r>
        <w:t>.</w:t>
      </w:r>
      <w:r w:rsidR="009D6DC4">
        <w:t xml:space="preserve"> Outcome 1a, Outcomes identified</w:t>
      </w:r>
      <w:r w:rsidR="002C6EDF" w:rsidRPr="002C6EDF">
        <w:t xml:space="preserve"> </w:t>
      </w:r>
      <w:r w:rsidR="002C6EDF">
        <w:t>in evaluation</w:t>
      </w:r>
      <w:r w:rsidR="009D6DC4">
        <w:t>, Discussion of supporting evidence</w:t>
      </w:r>
      <w:r w:rsidR="009A6E4D">
        <w:t xml:space="preserve"> &amp; Recommendations to strengthen</w:t>
      </w:r>
    </w:p>
    <w:tbl>
      <w:tblPr>
        <w:tblStyle w:val="TableGrid"/>
        <w:tblW w:w="0" w:type="auto"/>
        <w:tblLook w:val="04A0" w:firstRow="1" w:lastRow="0" w:firstColumn="1" w:lastColumn="0" w:noHBand="0" w:noVBand="1"/>
      </w:tblPr>
      <w:tblGrid>
        <w:gridCol w:w="2972"/>
        <w:gridCol w:w="7485"/>
      </w:tblGrid>
      <w:tr w:rsidR="00077AB1" w14:paraId="30E85E2E" w14:textId="77777777" w:rsidTr="002C6EDF">
        <w:trPr>
          <w:cantSplit/>
          <w:tblHeader/>
        </w:trPr>
        <w:tc>
          <w:tcPr>
            <w:tcW w:w="2972" w:type="dxa"/>
            <w:shd w:val="clear" w:color="auto" w:fill="425563" w:themeFill="text1"/>
          </w:tcPr>
          <w:p w14:paraId="4EA10386" w14:textId="1F912219" w:rsidR="00077AB1" w:rsidRPr="00CD26F6" w:rsidRDefault="00077AB1" w:rsidP="00077AB1">
            <w:pPr>
              <w:pStyle w:val="Tableheadwhite"/>
            </w:pPr>
            <w:r>
              <w:t>Area</w:t>
            </w:r>
          </w:p>
        </w:tc>
        <w:tc>
          <w:tcPr>
            <w:tcW w:w="7485" w:type="dxa"/>
            <w:shd w:val="clear" w:color="auto" w:fill="425563" w:themeFill="text1"/>
          </w:tcPr>
          <w:p w14:paraId="1210FDE1" w14:textId="422C6D18" w:rsidR="00077AB1" w:rsidRPr="00DD63F9" w:rsidRDefault="00077AB1" w:rsidP="00077AB1">
            <w:pPr>
              <w:pStyle w:val="Tableheadwhite"/>
            </w:pPr>
            <w:r>
              <w:t>Detail</w:t>
            </w:r>
          </w:p>
        </w:tc>
      </w:tr>
      <w:tr w:rsidR="00A13427" w14:paraId="64EB6520" w14:textId="77777777" w:rsidTr="002C6EDF">
        <w:trPr>
          <w:cantSplit/>
        </w:trPr>
        <w:tc>
          <w:tcPr>
            <w:tcW w:w="2972" w:type="dxa"/>
            <w:shd w:val="clear" w:color="auto" w:fill="F6F9F7"/>
          </w:tcPr>
          <w:p w14:paraId="4BB47C95" w14:textId="77777777" w:rsidR="00A13427" w:rsidRDefault="00A13427" w:rsidP="007E0AFE">
            <w:pPr>
              <w:pStyle w:val="TableHeader"/>
            </w:pPr>
            <w:r w:rsidRPr="00CD26F6">
              <w:t>Outcomes identified in evaluation</w:t>
            </w:r>
          </w:p>
        </w:tc>
        <w:tc>
          <w:tcPr>
            <w:tcW w:w="7485" w:type="dxa"/>
          </w:tcPr>
          <w:p w14:paraId="661C40B6" w14:textId="695D932E" w:rsidR="00A13427" w:rsidRPr="00DD63F9" w:rsidRDefault="00A13427" w:rsidP="007E0AFE">
            <w:pPr>
              <w:pStyle w:val="Tabledot2"/>
            </w:pPr>
            <w:r w:rsidRPr="00DD63F9">
              <w:t>Qualitative data suggest a variable understanding of rights and options</w:t>
            </w:r>
            <w:r w:rsidR="01EF490D" w:rsidRPr="00DD63F9">
              <w:t>.</w:t>
            </w:r>
            <w:r w:rsidR="00506AE3" w:rsidRPr="005F141C">
              <w:t xml:space="preserve"> </w:t>
            </w:r>
            <w:r w:rsidRPr="00DD63F9">
              <w:t xml:space="preserve">Limits on understanding </w:t>
            </w:r>
            <w:r w:rsidR="00506AE3" w:rsidRPr="005F141C">
              <w:t xml:space="preserve">are </w:t>
            </w:r>
            <w:r w:rsidRPr="00DD63F9">
              <w:t>associated with life complexity and language barriers</w:t>
            </w:r>
            <w:r w:rsidR="57364E96" w:rsidRPr="00DD63F9">
              <w:t>.</w:t>
            </w:r>
            <w:r w:rsidR="00506AE3" w:rsidRPr="005F141C">
              <w:t xml:space="preserve"> </w:t>
            </w:r>
          </w:p>
        </w:tc>
      </w:tr>
      <w:tr w:rsidR="00A13427" w14:paraId="72934540" w14:textId="77777777" w:rsidTr="002C6EDF">
        <w:trPr>
          <w:cantSplit/>
        </w:trPr>
        <w:tc>
          <w:tcPr>
            <w:tcW w:w="2972" w:type="dxa"/>
            <w:shd w:val="clear" w:color="auto" w:fill="F6F9F7"/>
          </w:tcPr>
          <w:p w14:paraId="359362C1" w14:textId="77777777" w:rsidR="00A13427" w:rsidRDefault="00A13427" w:rsidP="007E0AFE">
            <w:pPr>
              <w:pStyle w:val="TableHeader"/>
            </w:pPr>
            <w:r w:rsidRPr="00CD26F6">
              <w:t>Discussion of supporting evidence</w:t>
            </w:r>
          </w:p>
        </w:tc>
        <w:tc>
          <w:tcPr>
            <w:tcW w:w="7485" w:type="dxa"/>
          </w:tcPr>
          <w:p w14:paraId="22B5F66E" w14:textId="6D99C909" w:rsidR="00A13427" w:rsidRDefault="00EA7F6E" w:rsidP="007E0AFE">
            <w:pPr>
              <w:pStyle w:val="Tabledot2"/>
            </w:pPr>
            <w:r>
              <w:t>Stakeholder feedback</w:t>
            </w:r>
            <w:r w:rsidR="00A13427" w:rsidRPr="00DD63F9">
              <w:t xml:space="preserve"> indicated variability in </w:t>
            </w:r>
            <w:r w:rsidR="7AB85491" w:rsidRPr="00DD63F9">
              <w:t>participa</w:t>
            </w:r>
            <w:r w:rsidR="730A83D6" w:rsidRPr="00DD63F9">
              <w:t>nt</w:t>
            </w:r>
            <w:r w:rsidR="00A13427" w:rsidRPr="00DD63F9">
              <w:t xml:space="preserve"> understanding of their rights and support options</w:t>
            </w:r>
            <w:r w:rsidR="00E75C86" w:rsidRPr="00DD63F9">
              <w:t xml:space="preserve">. This is </w:t>
            </w:r>
            <w:r w:rsidR="00A13427" w:rsidRPr="00DD63F9">
              <w:t xml:space="preserve">due to </w:t>
            </w:r>
            <w:r w:rsidR="008752C8" w:rsidRPr="00DD63F9">
              <w:t>several</w:t>
            </w:r>
            <w:r w:rsidR="00E75C86" w:rsidRPr="00DD63F9">
              <w:t xml:space="preserve"> </w:t>
            </w:r>
            <w:r w:rsidR="00A13427" w:rsidRPr="00DD63F9">
              <w:t>factors</w:t>
            </w:r>
            <w:r w:rsidR="00E75C86" w:rsidRPr="00DD63F9">
              <w:t>, including that</w:t>
            </w:r>
            <w:r w:rsidR="00A13427" w:rsidRPr="00DD63F9">
              <w:t xml:space="preserve"> some </w:t>
            </w:r>
            <w:r w:rsidR="4493E835" w:rsidRPr="00DD63F9">
              <w:t>participa</w:t>
            </w:r>
            <w:r w:rsidR="730A83D6" w:rsidRPr="00DD63F9">
              <w:t>nts</w:t>
            </w:r>
            <w:r w:rsidR="00A13427" w:rsidRPr="00DD63F9">
              <w:t xml:space="preserve"> enter</w:t>
            </w:r>
            <w:r w:rsidR="00A13427" w:rsidRPr="00484B72">
              <w:rPr>
                <w:sz w:val="16"/>
                <w:szCs w:val="16"/>
              </w:rPr>
              <w:t xml:space="preserve"> </w:t>
            </w:r>
            <w:r w:rsidR="00A13427" w:rsidRPr="00DD63F9">
              <w:t xml:space="preserve">the program in a state of crisis, </w:t>
            </w:r>
            <w:r w:rsidR="00E75C86" w:rsidRPr="00DD63F9">
              <w:t xml:space="preserve">the </w:t>
            </w:r>
            <w:r w:rsidR="00A13427" w:rsidRPr="00DD63F9">
              <w:t>program itself is complex</w:t>
            </w:r>
            <w:r w:rsidR="00E75C86" w:rsidRPr="00DD63F9">
              <w:t xml:space="preserve"> and difficult to understand</w:t>
            </w:r>
            <w:r w:rsidR="00A13427" w:rsidRPr="00DD63F9">
              <w:t>, and limits in program transparency</w:t>
            </w:r>
            <w:r w:rsidR="00E75C86" w:rsidRPr="00DD63F9">
              <w:t xml:space="preserve"> (the level of information</w:t>
            </w:r>
            <w:r w:rsidR="00A13427" w:rsidRPr="00DD63F9">
              <w:t xml:space="preserve"> shared by </w:t>
            </w:r>
            <w:r w:rsidR="00E75C86" w:rsidRPr="00DD63F9">
              <w:t xml:space="preserve">caseworkers with </w:t>
            </w:r>
            <w:r w:rsidR="0097675C" w:rsidRPr="00DD63F9">
              <w:t>participants</w:t>
            </w:r>
            <w:r w:rsidR="00E75C86" w:rsidRPr="00DD63F9">
              <w:t xml:space="preserve"> about what they can access</w:t>
            </w:r>
            <w:r w:rsidR="4AEAAD25">
              <w:t>)</w:t>
            </w:r>
            <w:r w:rsidR="0097675C">
              <w:t>.</w:t>
            </w:r>
            <w:r w:rsidR="0097675C" w:rsidRPr="00DD63F9">
              <w:t xml:space="preserve"> Participant </w:t>
            </w:r>
            <w:r w:rsidR="00576B90">
              <w:t xml:space="preserve">life </w:t>
            </w:r>
            <w:r w:rsidR="0097675C" w:rsidRPr="00DD63F9">
              <w:t>complexity and English language/literacy skills</w:t>
            </w:r>
            <w:r w:rsidR="00E221CA">
              <w:t xml:space="preserve"> (</w:t>
            </w:r>
            <w:r w:rsidR="00295C65">
              <w:t>and the need to use interpreters)</w:t>
            </w:r>
            <w:r w:rsidR="0097675C" w:rsidRPr="00DD63F9">
              <w:t xml:space="preserve"> reportedly also play a role in this.</w:t>
            </w:r>
          </w:p>
          <w:p w14:paraId="3B4FD07D" w14:textId="48CB396E" w:rsidR="00EA7F6E" w:rsidRDefault="00B028DE" w:rsidP="007E0AFE">
            <w:pPr>
              <w:pStyle w:val="Tabledot2"/>
            </w:pPr>
            <w:r>
              <w:t xml:space="preserve">Whilst program documentation indicates that safety planning is undertaken for all participants, </w:t>
            </w:r>
            <w:r w:rsidR="00671BF1">
              <w:t xml:space="preserve">there isn’t sufficient </w:t>
            </w:r>
            <w:r w:rsidR="00E6157C">
              <w:t>quantitative</w:t>
            </w:r>
            <w:r w:rsidR="00671BF1">
              <w:t xml:space="preserve"> data </w:t>
            </w:r>
            <w:r w:rsidRPr="00DD63F9">
              <w:t>to measure the extent to which participants are informed of, or understand, their safety risks</w:t>
            </w:r>
            <w:r w:rsidR="00EA7F6E">
              <w:t xml:space="preserve"> and subsequent</w:t>
            </w:r>
            <w:r w:rsidRPr="00DD63F9">
              <w:t xml:space="preserve"> options.</w:t>
            </w:r>
          </w:p>
          <w:p w14:paraId="283E2161" w14:textId="1E00A685" w:rsidR="00A13427" w:rsidRDefault="00EA7F6E" w:rsidP="007E0AFE">
            <w:pPr>
              <w:pStyle w:val="Tabledot2"/>
            </w:pPr>
            <w:r>
              <w:t xml:space="preserve">These findings reply </w:t>
            </w:r>
            <w:r w:rsidR="00B028DE" w:rsidRPr="00DD63F9">
              <w:t>on data from qualitative interviews with caseworkers and participants and case notes</w:t>
            </w:r>
            <w:r w:rsidR="00B028DE">
              <w:t>.</w:t>
            </w:r>
            <w:r w:rsidR="00364460">
              <w:t xml:space="preserve"> </w:t>
            </w:r>
            <w:r w:rsidR="00772957">
              <w:t>Although</w:t>
            </w:r>
            <w:r w:rsidR="00A7012E">
              <w:t xml:space="preserve"> t</w:t>
            </w:r>
            <w:r w:rsidR="00364460">
              <w:t>he program provider’s current Strengths and Needs Assessment (SANA) tool capture</w:t>
            </w:r>
            <w:r w:rsidR="00A7012E">
              <w:t>s</w:t>
            </w:r>
            <w:r w:rsidR="00364460">
              <w:t xml:space="preserve"> quantitative data points related to </w:t>
            </w:r>
            <w:r w:rsidR="00E05235">
              <w:t xml:space="preserve">participants’ </w:t>
            </w:r>
            <w:r w:rsidR="00A7012E">
              <w:t>access to lega</w:t>
            </w:r>
            <w:r w:rsidR="00D22600">
              <w:t xml:space="preserve">l and migration advice and </w:t>
            </w:r>
            <w:r w:rsidR="00E05235">
              <w:t>understanding of</w:t>
            </w:r>
            <w:r w:rsidR="008514DC">
              <w:t xml:space="preserve"> their rights</w:t>
            </w:r>
            <w:r w:rsidR="00D22600">
              <w:t xml:space="preserve">, </w:t>
            </w:r>
            <w:r w:rsidR="00E04010">
              <w:t>th</w:t>
            </w:r>
            <w:r w:rsidR="00986F10">
              <w:t>e</w:t>
            </w:r>
            <w:r w:rsidR="00D079B0">
              <w:t>se data were only available for a minority of participants and could not be assumed to be representative</w:t>
            </w:r>
            <w:r w:rsidR="00364460">
              <w:t>.</w:t>
            </w:r>
          </w:p>
        </w:tc>
      </w:tr>
      <w:tr w:rsidR="00A13427" w14:paraId="39E19367" w14:textId="77777777" w:rsidTr="002C6EDF">
        <w:trPr>
          <w:cantSplit/>
        </w:trPr>
        <w:tc>
          <w:tcPr>
            <w:tcW w:w="2972" w:type="dxa"/>
            <w:shd w:val="clear" w:color="auto" w:fill="F6F9F7"/>
          </w:tcPr>
          <w:p w14:paraId="16D49F3D" w14:textId="47599465" w:rsidR="00A13427" w:rsidRDefault="00A3477F" w:rsidP="007E0AFE">
            <w:pPr>
              <w:pStyle w:val="TableHeader"/>
            </w:pPr>
            <w:r>
              <w:t xml:space="preserve">Recommendations </w:t>
            </w:r>
            <w:r w:rsidR="00A13427">
              <w:t xml:space="preserve">to strengthen </w:t>
            </w:r>
          </w:p>
        </w:tc>
        <w:tc>
          <w:tcPr>
            <w:tcW w:w="7485" w:type="dxa"/>
          </w:tcPr>
          <w:p w14:paraId="1A6EAEFB" w14:textId="6455194A" w:rsidR="001D507D" w:rsidRDefault="001D507D" w:rsidP="007E0AFE">
            <w:pPr>
              <w:pStyle w:val="TableHeader"/>
            </w:pPr>
            <w:r>
              <w:t xml:space="preserve">Program improvement </w:t>
            </w:r>
          </w:p>
          <w:p w14:paraId="4E069C6C" w14:textId="4F350B5A" w:rsidR="00A13427" w:rsidRPr="00DD63F9" w:rsidRDefault="00A13427" w:rsidP="007E0AFE">
            <w:pPr>
              <w:pStyle w:val="Tabledot2"/>
            </w:pPr>
            <w:r w:rsidRPr="00DD63F9">
              <w:t xml:space="preserve">Test (with </w:t>
            </w:r>
            <w:r w:rsidR="6AF1C5A8" w:rsidRPr="00DD63F9">
              <w:t>participa</w:t>
            </w:r>
            <w:r w:rsidRPr="00DD63F9">
              <w:t xml:space="preserve">nts and caseworkers) and establish data points in the </w:t>
            </w:r>
            <w:r w:rsidR="105DE918" w:rsidRPr="00DD63F9">
              <w:t>participa</w:t>
            </w:r>
            <w:r w:rsidRPr="00DD63F9">
              <w:t xml:space="preserve">nt journey (initially after </w:t>
            </w:r>
            <w:r w:rsidR="07922B06" w:rsidRPr="00DD63F9">
              <w:t>participa</w:t>
            </w:r>
            <w:r w:rsidRPr="00DD63F9">
              <w:t xml:space="preserve">nt has been informed, and at exit) </w:t>
            </w:r>
            <w:r w:rsidR="00364460" w:rsidRPr="00DD63F9">
              <w:t>t</w:t>
            </w:r>
            <w:r w:rsidR="00364460">
              <w:t xml:space="preserve">o establish </w:t>
            </w:r>
            <w:r w:rsidR="3DA6585C" w:rsidRPr="00DD63F9">
              <w:t>participa</w:t>
            </w:r>
            <w:r w:rsidRPr="00DD63F9">
              <w:t>nt</w:t>
            </w:r>
            <w:r w:rsidR="00364460">
              <w:t xml:space="preserve"> </w:t>
            </w:r>
            <w:r w:rsidRPr="00DD63F9">
              <w:t>understanding of their safety risks, rights and support options.</w:t>
            </w:r>
            <w:r w:rsidR="002A0817">
              <w:t xml:space="preserve"> </w:t>
            </w:r>
            <w:r w:rsidR="00DE50B2">
              <w:t>To be successful, t</w:t>
            </w:r>
            <w:r w:rsidR="00B4120B">
              <w:t>he mapping process wou</w:t>
            </w:r>
            <w:r w:rsidR="00DE50B2">
              <w:t>ld require</w:t>
            </w:r>
            <w:r w:rsidR="008F2804">
              <w:t xml:space="preserve"> independent validation </w:t>
            </w:r>
            <w:r w:rsidR="002B7443">
              <w:t>that in</w:t>
            </w:r>
            <w:r w:rsidR="00B92327">
              <w:t xml:space="preserve">volved input from STPP provider management, caseworkers and </w:t>
            </w:r>
            <w:r w:rsidR="009A4997">
              <w:t>program participants and their advocates.</w:t>
            </w:r>
          </w:p>
          <w:p w14:paraId="75EDABB7" w14:textId="338AF524" w:rsidR="00A13427" w:rsidRDefault="00A13427" w:rsidP="007E0AFE">
            <w:pPr>
              <w:pStyle w:val="Tabledot2"/>
            </w:pPr>
            <w:r w:rsidRPr="00DD63F9">
              <w:t>Include component training for caseworker/m</w:t>
            </w:r>
            <w:r w:rsidR="47A903D7" w:rsidRPr="00DD63F9">
              <w:t>anagemen</w:t>
            </w:r>
            <w:r w:rsidRPr="00DD63F9">
              <w:t xml:space="preserve">t on how to effectively support </w:t>
            </w:r>
            <w:r w:rsidR="43979A0D" w:rsidRPr="00DD63F9">
              <w:t>participa</w:t>
            </w:r>
            <w:r w:rsidRPr="00DD63F9">
              <w:t>nts to understand their safety risks, rights and support options.</w:t>
            </w:r>
          </w:p>
        </w:tc>
      </w:tr>
    </w:tbl>
    <w:p w14:paraId="74EA562F" w14:textId="28B8DD17" w:rsidR="00F12FF2" w:rsidRDefault="005661E8" w:rsidP="007E0AFE">
      <w:pPr>
        <w:pStyle w:val="Heading6"/>
      </w:pPr>
      <w:r>
        <w:t xml:space="preserve">Outcome </w:t>
      </w:r>
      <w:r w:rsidR="00B3655D">
        <w:t>1</w:t>
      </w:r>
      <w:r>
        <w:t xml:space="preserve">b: </w:t>
      </w:r>
      <w:r w:rsidR="00AC157F">
        <w:t xml:space="preserve">People </w:t>
      </w:r>
      <w:r w:rsidR="00A37641">
        <w:t>with HTMS experiences</w:t>
      </w:r>
      <w:r w:rsidRPr="00A07E09">
        <w:t xml:space="preserve"> access appropriate support through STPP to meet their needs</w:t>
      </w:r>
    </w:p>
    <w:p w14:paraId="71988BCC" w14:textId="683DA181" w:rsidR="005661E8" w:rsidRDefault="005661E8" w:rsidP="007E0AFE">
      <w:pPr>
        <w:pStyle w:val="Heading7"/>
      </w:pPr>
      <w:r>
        <w:t xml:space="preserve">Outcome </w:t>
      </w:r>
      <w:r w:rsidR="00B3655D">
        <w:t>1</w:t>
      </w:r>
      <w:r>
        <w:t xml:space="preserve">b, Indicator 1: </w:t>
      </w:r>
      <w:r w:rsidR="6CD24170">
        <w:t>I</w:t>
      </w:r>
      <w:r>
        <w:t>ncrease</w:t>
      </w:r>
      <w:r w:rsidRPr="00A07E09">
        <w:t xml:space="preserve"> in </w:t>
      </w:r>
      <w:r w:rsidR="000E5E3D">
        <w:t>people</w:t>
      </w:r>
      <w:r w:rsidRPr="00A07E09">
        <w:t xml:space="preserve"> referred to STPP</w:t>
      </w:r>
    </w:p>
    <w:p w14:paraId="2A5F9CAB" w14:textId="7DE46EAE" w:rsidR="009A6E4D" w:rsidRDefault="009A6E4D" w:rsidP="009A6E4D">
      <w:pPr>
        <w:pStyle w:val="Caption"/>
      </w:pPr>
      <w:r>
        <w:t xml:space="preserve">Table </w:t>
      </w:r>
      <w:r>
        <w:fldChar w:fldCharType="begin"/>
      </w:r>
      <w:r>
        <w:instrText xml:space="preserve"> SEQ Table \* ARABIC </w:instrText>
      </w:r>
      <w:r>
        <w:fldChar w:fldCharType="separate"/>
      </w:r>
      <w:r w:rsidR="00D9323B">
        <w:rPr>
          <w:noProof/>
        </w:rPr>
        <w:t>18</w:t>
      </w:r>
      <w:r>
        <w:fldChar w:fldCharType="end"/>
      </w:r>
      <w:r>
        <w:t xml:space="preserve">. Outcome 1b, </w:t>
      </w:r>
      <w:r w:rsidR="001507C3">
        <w:t xml:space="preserve">Indicator 2, </w:t>
      </w:r>
      <w:r>
        <w:t>Outcomes identified,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077AB1" w14:paraId="4CE3E538" w14:textId="77777777" w:rsidTr="002C6EDF">
        <w:trPr>
          <w:cantSplit/>
          <w:tblHeader/>
        </w:trPr>
        <w:tc>
          <w:tcPr>
            <w:tcW w:w="2972" w:type="dxa"/>
            <w:shd w:val="clear" w:color="auto" w:fill="425563" w:themeFill="text1"/>
          </w:tcPr>
          <w:p w14:paraId="7B054B85" w14:textId="1F910916" w:rsidR="00077AB1" w:rsidRPr="00CD26F6" w:rsidRDefault="00077AB1" w:rsidP="00077AB1">
            <w:pPr>
              <w:pStyle w:val="Tableheadwhite"/>
            </w:pPr>
            <w:r>
              <w:t>Area</w:t>
            </w:r>
          </w:p>
        </w:tc>
        <w:tc>
          <w:tcPr>
            <w:tcW w:w="7485" w:type="dxa"/>
            <w:shd w:val="clear" w:color="auto" w:fill="425563" w:themeFill="text1"/>
          </w:tcPr>
          <w:p w14:paraId="152F267A" w14:textId="1A16672A" w:rsidR="00077AB1" w:rsidRDefault="00077AB1" w:rsidP="00077AB1">
            <w:pPr>
              <w:pStyle w:val="Tableheadwhite"/>
            </w:pPr>
            <w:r>
              <w:t>Detail</w:t>
            </w:r>
          </w:p>
        </w:tc>
      </w:tr>
      <w:tr w:rsidR="00077AB1" w14:paraId="2910D481" w14:textId="77777777" w:rsidTr="002C6EDF">
        <w:trPr>
          <w:cantSplit/>
        </w:trPr>
        <w:tc>
          <w:tcPr>
            <w:tcW w:w="2972" w:type="dxa"/>
            <w:shd w:val="clear" w:color="auto" w:fill="F6F9F7"/>
          </w:tcPr>
          <w:p w14:paraId="4435C0ED" w14:textId="77777777" w:rsidR="00077AB1" w:rsidRDefault="00077AB1" w:rsidP="00077AB1">
            <w:pPr>
              <w:pStyle w:val="TableHeader"/>
            </w:pPr>
            <w:r w:rsidRPr="00CD26F6">
              <w:t>Outcomes identified in evaluation</w:t>
            </w:r>
          </w:p>
        </w:tc>
        <w:tc>
          <w:tcPr>
            <w:tcW w:w="7485" w:type="dxa"/>
          </w:tcPr>
          <w:p w14:paraId="5D372EF2" w14:textId="0C2D8018" w:rsidR="00077AB1" w:rsidRPr="00AA4105" w:rsidRDefault="00077AB1" w:rsidP="00077AB1">
            <w:pPr>
              <w:pStyle w:val="Tabledot2"/>
            </w:pPr>
            <w:r>
              <w:t>STPP</w:t>
            </w:r>
            <w:r w:rsidRPr="00AA4105">
              <w:t xml:space="preserve"> administrative data show that the </w:t>
            </w:r>
            <w:r>
              <w:t>program</w:t>
            </w:r>
            <w:r w:rsidRPr="00AA4105">
              <w:t xml:space="preserve"> has seen steady growth in both referrals and active caseload since 2018</w:t>
            </w:r>
            <w:r>
              <w:t>.</w:t>
            </w:r>
            <w:r w:rsidRPr="00AA4105">
              <w:t xml:space="preserve"> </w:t>
            </w:r>
          </w:p>
        </w:tc>
      </w:tr>
      <w:tr w:rsidR="00077AB1" w14:paraId="1F2C3FF5" w14:textId="77777777" w:rsidTr="002C6EDF">
        <w:trPr>
          <w:cantSplit/>
        </w:trPr>
        <w:tc>
          <w:tcPr>
            <w:tcW w:w="2972" w:type="dxa"/>
            <w:shd w:val="clear" w:color="auto" w:fill="F6F9F7"/>
          </w:tcPr>
          <w:p w14:paraId="05B5237F" w14:textId="77777777" w:rsidR="00077AB1" w:rsidRDefault="00077AB1" w:rsidP="00077AB1">
            <w:pPr>
              <w:pStyle w:val="TableHeader"/>
            </w:pPr>
            <w:r w:rsidRPr="00CD26F6">
              <w:lastRenderedPageBreak/>
              <w:t>Discussion of supporting evidence</w:t>
            </w:r>
          </w:p>
        </w:tc>
        <w:tc>
          <w:tcPr>
            <w:tcW w:w="7485" w:type="dxa"/>
          </w:tcPr>
          <w:p w14:paraId="5CF75293" w14:textId="127D8BA3" w:rsidR="00077AB1" w:rsidRPr="000E7A84" w:rsidRDefault="00077AB1" w:rsidP="00077AB1">
            <w:pPr>
              <w:pStyle w:val="Tabledot2"/>
            </w:pPr>
            <w:r w:rsidRPr="000E7A84">
              <w:t>The average number of STPP participants has more than doubled since 2018-19</w:t>
            </w:r>
            <w:r>
              <w:t>.</w:t>
            </w:r>
          </w:p>
          <w:p w14:paraId="7974ED84" w14:textId="57BCF3E4" w:rsidR="00077AB1" w:rsidRDefault="00077AB1" w:rsidP="00077AB1">
            <w:pPr>
              <w:pStyle w:val="Tabledot2"/>
            </w:pPr>
            <w:r>
              <w:t>F</w:t>
            </w:r>
            <w:r w:rsidRPr="00AA4105">
              <w:t>actors</w:t>
            </w:r>
            <w:r w:rsidRPr="0063563F">
              <w:t xml:space="preserve"> that have driven an increase in program numbers</w:t>
            </w:r>
            <w:r>
              <w:t xml:space="preserve"> may</w:t>
            </w:r>
            <w:r w:rsidRPr="0063563F">
              <w:t xml:space="preserve"> include implementation of the ARP, an increase in </w:t>
            </w:r>
            <w:r>
              <w:t>reporting/identification</w:t>
            </w:r>
            <w:r w:rsidRPr="0063563F">
              <w:t xml:space="preserve"> for HTMS</w:t>
            </w:r>
            <w:r>
              <w:t xml:space="preserve"> (which may or may not correspond to an increase in prevalence)</w:t>
            </w:r>
            <w:r w:rsidRPr="0063563F">
              <w:t xml:space="preserve">, government regulatory </w:t>
            </w:r>
            <w:r>
              <w:t>activities</w:t>
            </w:r>
            <w:r w:rsidRPr="0063563F">
              <w:t xml:space="preserve"> such as strengthening worker protections in the </w:t>
            </w:r>
            <w:r w:rsidRPr="52C06B4E">
              <w:t>Pacific Australia Labour Mobility</w:t>
            </w:r>
            <w:r>
              <w:t xml:space="preserve"> </w:t>
            </w:r>
            <w:r w:rsidRPr="0063563F">
              <w:t>scheme, and the roll out of the Look a Little Deeper campaign.</w:t>
            </w:r>
            <w:r w:rsidRPr="0063563F">
              <w:rPr>
                <w:rStyle w:val="FootnoteReference"/>
              </w:rPr>
              <w:footnoteReference w:id="16"/>
            </w:r>
          </w:p>
          <w:p w14:paraId="414069F8" w14:textId="77777777" w:rsidR="00077AB1" w:rsidRDefault="00077AB1" w:rsidP="00077AB1">
            <w:pPr>
              <w:pStyle w:val="Tabledot2"/>
            </w:pPr>
            <w:r w:rsidRPr="0063563F">
              <w:t xml:space="preserve">Future impacts on STPP numbers </w:t>
            </w:r>
            <w:r>
              <w:t xml:space="preserve">(increase/decrease) </w:t>
            </w:r>
            <w:r w:rsidRPr="0063563F">
              <w:t>may arise from</w:t>
            </w:r>
            <w:r>
              <w:t>:</w:t>
            </w:r>
          </w:p>
          <w:p w14:paraId="42BF1558" w14:textId="75629C64" w:rsidR="00077AB1" w:rsidRDefault="00077AB1" w:rsidP="00077AB1">
            <w:pPr>
              <w:pStyle w:val="Tabledot22"/>
            </w:pPr>
            <w:r w:rsidRPr="0063563F">
              <w:t>implementation of the Forced Marriage Specialist Support Program (</w:t>
            </w:r>
            <w:r>
              <w:t>decrease</w:t>
            </w:r>
            <w:r w:rsidRPr="0063563F">
              <w:t>)</w:t>
            </w:r>
          </w:p>
          <w:p w14:paraId="4FA384DE" w14:textId="5CCDF7EB" w:rsidR="00077AB1" w:rsidRDefault="00077AB1" w:rsidP="00077AB1">
            <w:pPr>
              <w:pStyle w:val="Tabledot22"/>
            </w:pPr>
            <w:r w:rsidRPr="0063563F">
              <w:t>increase in community awareness arising from the National Action Plan</w:t>
            </w:r>
            <w:r>
              <w:t xml:space="preserve"> (increase)</w:t>
            </w:r>
          </w:p>
          <w:p w14:paraId="62F6A490" w14:textId="55A9F3B3" w:rsidR="00077AB1" w:rsidRDefault="00077AB1" w:rsidP="00077AB1">
            <w:pPr>
              <w:pStyle w:val="Tabledot22"/>
            </w:pPr>
            <w:r w:rsidRPr="0063563F">
              <w:t>advocate actions and compliance and enforcement activity</w:t>
            </w:r>
            <w:r>
              <w:t xml:space="preserve"> (increase)</w:t>
            </w:r>
          </w:p>
          <w:p w14:paraId="7DFE4865" w14:textId="761E68CE" w:rsidR="00077AB1" w:rsidRPr="0063563F" w:rsidRDefault="00077AB1" w:rsidP="00077AB1">
            <w:pPr>
              <w:pStyle w:val="Tabledot22"/>
            </w:pPr>
            <w:r>
              <w:t>a potential extension of the ARP (increase).</w:t>
            </w:r>
          </w:p>
        </w:tc>
      </w:tr>
      <w:tr w:rsidR="00077AB1" w14:paraId="100D465D" w14:textId="77777777" w:rsidTr="002C6EDF">
        <w:trPr>
          <w:cantSplit/>
        </w:trPr>
        <w:tc>
          <w:tcPr>
            <w:tcW w:w="2972" w:type="dxa"/>
            <w:shd w:val="clear" w:color="auto" w:fill="F6F9F7"/>
          </w:tcPr>
          <w:p w14:paraId="7F9E57D1" w14:textId="73F70266" w:rsidR="00077AB1" w:rsidRDefault="00077AB1" w:rsidP="00077AB1">
            <w:pPr>
              <w:pStyle w:val="TableHeader"/>
            </w:pPr>
            <w:r>
              <w:t xml:space="preserve">Recommendations to strengthen </w:t>
            </w:r>
          </w:p>
        </w:tc>
        <w:tc>
          <w:tcPr>
            <w:tcW w:w="7485" w:type="dxa"/>
          </w:tcPr>
          <w:p w14:paraId="536BE422" w14:textId="6E4295FE" w:rsidR="00077AB1" w:rsidRDefault="00077AB1" w:rsidP="00077AB1">
            <w:pPr>
              <w:pStyle w:val="TableHeader"/>
            </w:pPr>
            <w:r>
              <w:t xml:space="preserve">Program improvement </w:t>
            </w:r>
          </w:p>
          <w:p w14:paraId="7FB23570" w14:textId="4C825387" w:rsidR="00077AB1" w:rsidRDefault="00077AB1" w:rsidP="00077AB1">
            <w:pPr>
              <w:pStyle w:val="Tabledot2"/>
            </w:pPr>
            <w:r>
              <w:t>Conduct</w:t>
            </w:r>
            <w:r w:rsidRPr="0063563F">
              <w:t xml:space="preserve"> STPP business planning to </w:t>
            </w:r>
            <w:r w:rsidRPr="0076075B">
              <w:t xml:space="preserve">ensuring </w:t>
            </w:r>
            <w:r w:rsidRPr="0063563F">
              <w:t xml:space="preserve">that the </w:t>
            </w:r>
            <w:r>
              <w:t>service</w:t>
            </w:r>
            <w:r w:rsidRPr="0063563F">
              <w:t xml:space="preserve"> model </w:t>
            </w:r>
            <w:r>
              <w:t>is sustainable and</w:t>
            </w:r>
            <w:r w:rsidRPr="0063563F">
              <w:t xml:space="preserve"> can pivot to meet demand</w:t>
            </w:r>
            <w:r>
              <w:t xml:space="preserve"> and a changing participant base</w:t>
            </w:r>
            <w:r w:rsidRPr="00AA4105">
              <w:t xml:space="preserve">. </w:t>
            </w:r>
          </w:p>
          <w:p w14:paraId="4A8FBB3A" w14:textId="6F621736" w:rsidR="00077AB1" w:rsidRPr="0063563F" w:rsidRDefault="00077AB1" w:rsidP="00077AB1">
            <w:pPr>
              <w:pStyle w:val="TableHeader"/>
            </w:pPr>
            <w:r>
              <w:t xml:space="preserve">Design improvement </w:t>
            </w:r>
          </w:p>
          <w:p w14:paraId="18250355" w14:textId="3ECB3AAF" w:rsidR="00077AB1" w:rsidRDefault="00077AB1" w:rsidP="00077AB1">
            <w:pPr>
              <w:pStyle w:val="Tabledot2"/>
            </w:pPr>
            <w:r>
              <w:t xml:space="preserve">Investigate </w:t>
            </w:r>
            <w:r w:rsidRPr="00AA4105">
              <w:t>a ‘triage’ assessment model (like that adopted for the Escaping Violence Payment</w:t>
            </w:r>
            <w:r>
              <w:t>), to</w:t>
            </w:r>
            <w:r w:rsidRPr="00AA4105">
              <w:t xml:space="preserve"> help guide investment relative to need</w:t>
            </w:r>
            <w:r>
              <w:t xml:space="preserve"> and improve program efficiency and therefore sustainability</w:t>
            </w:r>
            <w:r w:rsidRPr="00AA4105">
              <w:t>.</w:t>
            </w:r>
            <w:r>
              <w:t xml:space="preserve"> A triage assessment model would still need to be person-centred, trauma-informed and allow for re-triaging of participants as their circumstances change.</w:t>
            </w:r>
          </w:p>
          <w:p w14:paraId="2FA95D23" w14:textId="42987CAD" w:rsidR="00077AB1" w:rsidRDefault="00077AB1" w:rsidP="00077AB1">
            <w:pPr>
              <w:pStyle w:val="TableHeader"/>
            </w:pPr>
            <w:r>
              <w:t>System improvement</w:t>
            </w:r>
          </w:p>
          <w:p w14:paraId="789BE781" w14:textId="2A5390CB" w:rsidR="00077AB1" w:rsidRPr="00AA4105" w:rsidRDefault="00077AB1" w:rsidP="00077AB1">
            <w:pPr>
              <w:pStyle w:val="Tabledot2"/>
            </w:pPr>
            <w:r>
              <w:t>Explore social marketing opportunities to lift understanding of HTMS and capability to address it amongst organisations and communities where interactions with people with HTMS experiences are expected</w:t>
            </w:r>
            <w:r w:rsidRPr="00AA4105">
              <w:t>.</w:t>
            </w:r>
          </w:p>
        </w:tc>
      </w:tr>
    </w:tbl>
    <w:p w14:paraId="70E333FC" w14:textId="33599780" w:rsidR="005B304E" w:rsidRPr="005B304E" w:rsidRDefault="005B304E" w:rsidP="005B304E">
      <w:pPr>
        <w:shd w:val="clear" w:color="auto" w:fill="EEF6F6" w:themeFill="background2" w:themeFillTint="33"/>
        <w:rPr>
          <w:rFonts w:asciiTheme="majorHAnsi" w:hAnsiTheme="majorHAnsi"/>
        </w:rPr>
      </w:pPr>
      <w:r w:rsidRPr="005B304E">
        <w:rPr>
          <w:rFonts w:asciiTheme="majorHAnsi" w:hAnsiTheme="majorHAnsi"/>
        </w:rPr>
        <w:t>System learning</w:t>
      </w:r>
      <w:r>
        <w:rPr>
          <w:rFonts w:asciiTheme="majorHAnsi" w:hAnsiTheme="majorHAnsi"/>
        </w:rPr>
        <w:t>:</w:t>
      </w:r>
    </w:p>
    <w:p w14:paraId="574E2E93" w14:textId="77777777" w:rsidR="005B304E" w:rsidRDefault="005B304E" w:rsidP="005B304E">
      <w:pPr>
        <w:shd w:val="clear" w:color="auto" w:fill="EEF6F6" w:themeFill="background2" w:themeFillTint="33"/>
      </w:pPr>
      <w:r>
        <w:t xml:space="preserve">Demand for the STPP is influenced by a range of government activity including compliance and enforcement. Forward planning and demand modelling could be better informed by early intelligence from agencies such as the Department of Workplace Relations (proposed migrant worker schemes or changes to existing scheme) as well as the AFP and Department of Home Affairs (compliance and investigation).  </w:t>
      </w:r>
    </w:p>
    <w:p w14:paraId="6D5DAA1F" w14:textId="0F15D541" w:rsidR="005B304E" w:rsidRPr="005B304E" w:rsidRDefault="005B304E" w:rsidP="005B304E">
      <w:pPr>
        <w:shd w:val="clear" w:color="auto" w:fill="EEF6F6" w:themeFill="background2" w:themeFillTint="33"/>
        <w:rPr>
          <w:rFonts w:asciiTheme="majorHAnsi" w:hAnsiTheme="majorHAnsi"/>
        </w:rPr>
      </w:pPr>
      <w:r w:rsidRPr="005B304E">
        <w:rPr>
          <w:rFonts w:asciiTheme="majorHAnsi" w:hAnsiTheme="majorHAnsi"/>
        </w:rPr>
        <w:t>Cross cutting learning</w:t>
      </w:r>
      <w:r>
        <w:rPr>
          <w:rFonts w:asciiTheme="majorHAnsi" w:hAnsiTheme="majorHAnsi"/>
        </w:rPr>
        <w:t>:</w:t>
      </w:r>
    </w:p>
    <w:p w14:paraId="0D57B945" w14:textId="5E11B156" w:rsidR="005B304E" w:rsidRDefault="005B304E" w:rsidP="005B304E">
      <w:pPr>
        <w:shd w:val="clear" w:color="auto" w:fill="EEF6F6" w:themeFill="background2" w:themeFillTint="33"/>
      </w:pPr>
      <w:r>
        <w:t>DSS funds a range of programs involving case work, and in some instances, brokerage. The issue of transparency (including providing participants with full knowledge of what they can have access to) arises in instances other than the STPP. For example, this was also raised in the progress evaluation report for the Escaping Violence Payment also conducted by Where</w:t>
      </w:r>
      <w:r w:rsidRPr="0097675C">
        <w:rPr>
          <w:i/>
          <w:iCs/>
        </w:rPr>
        <w:t>to</w:t>
      </w:r>
      <w:r>
        <w:t xml:space="preserve">. In the evaluators’ experience, the argument against providing full information is usually that this will have negative, unintended consequences for participants. In contrast, trauma-informed approaches emphasise the importance of agency and empowerment. This highlights the importance of explicitly addressing these factors in program design and articulating a vision for how they will be implemented to guide service provision. </w:t>
      </w:r>
    </w:p>
    <w:p w14:paraId="600EF0A9" w14:textId="61F56806" w:rsidR="00A574FE" w:rsidRDefault="005B304E" w:rsidP="007E0AFE">
      <w:pPr>
        <w:pStyle w:val="Heading7"/>
      </w:pPr>
      <w:r>
        <w:t>O</w:t>
      </w:r>
      <w:r w:rsidR="005661E8" w:rsidRPr="00FF6B7A">
        <w:t xml:space="preserve">utcome </w:t>
      </w:r>
      <w:r w:rsidR="00FF6B7A" w:rsidRPr="00FF6B7A">
        <w:t>1</w:t>
      </w:r>
      <w:r w:rsidR="005661E8" w:rsidRPr="00FF6B7A">
        <w:t xml:space="preserve">b, </w:t>
      </w:r>
      <w:r w:rsidR="00A574FE" w:rsidRPr="00FF6B7A">
        <w:t xml:space="preserve">Indicator 2: Decrease in </w:t>
      </w:r>
      <w:r w:rsidR="00FF6B7A">
        <w:t>people with HTMS experiences</w:t>
      </w:r>
      <w:r w:rsidR="00A574FE" w:rsidRPr="00FF6B7A">
        <w:t xml:space="preserve"> who do not access STPP</w:t>
      </w:r>
      <w:r w:rsidR="00A574FE">
        <w:t xml:space="preserve"> </w:t>
      </w:r>
    </w:p>
    <w:p w14:paraId="174A2FA3" w14:textId="16C79DCF" w:rsidR="000F01DF" w:rsidRDefault="000F01DF" w:rsidP="000F01DF">
      <w:pPr>
        <w:pStyle w:val="Caption"/>
      </w:pPr>
      <w:r>
        <w:t xml:space="preserve">Table </w:t>
      </w:r>
      <w:r>
        <w:fldChar w:fldCharType="begin"/>
      </w:r>
      <w:r>
        <w:instrText xml:space="preserve"> SEQ Table \* ARABIC </w:instrText>
      </w:r>
      <w:r>
        <w:fldChar w:fldCharType="separate"/>
      </w:r>
      <w:r w:rsidR="00D9323B">
        <w:rPr>
          <w:noProof/>
        </w:rPr>
        <w:t>19</w:t>
      </w:r>
      <w:r>
        <w:fldChar w:fldCharType="end"/>
      </w:r>
      <w:r>
        <w:t>.</w:t>
      </w:r>
      <w:r w:rsidRPr="000F01DF">
        <w:t xml:space="preserve"> </w:t>
      </w:r>
      <w:r>
        <w:t>Outcome 1b, Indicator 2, Outcomes identified</w:t>
      </w:r>
      <w:r w:rsidR="002C6EDF" w:rsidRPr="002C6EDF">
        <w:t xml:space="preserve"> </w:t>
      </w:r>
      <w:r w:rsidR="002C6EDF">
        <w:t>in evaluation</w:t>
      </w:r>
      <w:r>
        <w:t>, Discussion of supporting evidence &amp; Recommendations to strengthen</w:t>
      </w:r>
    </w:p>
    <w:tbl>
      <w:tblPr>
        <w:tblStyle w:val="TableGrid"/>
        <w:tblW w:w="5000" w:type="pct"/>
        <w:tblLook w:val="0420" w:firstRow="1" w:lastRow="0" w:firstColumn="0" w:lastColumn="0" w:noHBand="0" w:noVBand="1"/>
      </w:tblPr>
      <w:tblGrid>
        <w:gridCol w:w="2974"/>
        <w:gridCol w:w="7483"/>
      </w:tblGrid>
      <w:tr w:rsidR="00077AB1" w14:paraId="4B4B3E9F" w14:textId="77777777" w:rsidTr="002C6EDF">
        <w:trPr>
          <w:cantSplit/>
          <w:tblHeader/>
        </w:trPr>
        <w:tc>
          <w:tcPr>
            <w:tcW w:w="1422" w:type="pct"/>
            <w:shd w:val="clear" w:color="auto" w:fill="425563" w:themeFill="text1"/>
          </w:tcPr>
          <w:p w14:paraId="668636CC" w14:textId="0A83625B" w:rsidR="00077AB1" w:rsidRPr="00CD26F6" w:rsidRDefault="00077AB1" w:rsidP="00077AB1">
            <w:pPr>
              <w:pStyle w:val="Tableheadwhite"/>
            </w:pPr>
            <w:r>
              <w:t>Area</w:t>
            </w:r>
          </w:p>
        </w:tc>
        <w:tc>
          <w:tcPr>
            <w:tcW w:w="3578" w:type="pct"/>
            <w:shd w:val="clear" w:color="auto" w:fill="425563" w:themeFill="text1"/>
          </w:tcPr>
          <w:p w14:paraId="45F10B4C" w14:textId="6D610417" w:rsidR="00077AB1" w:rsidRPr="00EB5051" w:rsidRDefault="00077AB1" w:rsidP="00077AB1">
            <w:pPr>
              <w:pStyle w:val="Tableheadwhite"/>
            </w:pPr>
            <w:r>
              <w:t>Detail</w:t>
            </w:r>
          </w:p>
        </w:tc>
      </w:tr>
      <w:bookmarkEnd w:id="18"/>
      <w:bookmarkEnd w:id="19"/>
      <w:tr w:rsidR="00507AF7" w14:paraId="43381CA0" w14:textId="77777777" w:rsidTr="002C6EDF">
        <w:trPr>
          <w:cantSplit/>
        </w:trPr>
        <w:tc>
          <w:tcPr>
            <w:tcW w:w="1422" w:type="pct"/>
            <w:shd w:val="clear" w:color="auto" w:fill="F6F9F7"/>
          </w:tcPr>
          <w:p w14:paraId="3D309431" w14:textId="77777777" w:rsidR="00507AF7" w:rsidRDefault="00507AF7" w:rsidP="007E0AFE">
            <w:pPr>
              <w:pStyle w:val="TableHeader"/>
            </w:pPr>
            <w:r w:rsidRPr="00CD26F6">
              <w:t>Outcomes identified in evaluation</w:t>
            </w:r>
          </w:p>
        </w:tc>
        <w:tc>
          <w:tcPr>
            <w:tcW w:w="3578" w:type="pct"/>
          </w:tcPr>
          <w:p w14:paraId="0BB1E8AE" w14:textId="5DFDE806" w:rsidR="00507AF7" w:rsidRPr="00EB5051" w:rsidRDefault="00507AF7" w:rsidP="007E0AFE">
            <w:pPr>
              <w:pStyle w:val="Tabledot2"/>
            </w:pPr>
            <w:r w:rsidRPr="00EB5051">
              <w:t>No</w:t>
            </w:r>
            <w:r w:rsidR="000C3B3C">
              <w:t>t determined</w:t>
            </w:r>
            <w:r w:rsidR="5D0BE375" w:rsidRPr="00EB5051">
              <w:t>.</w:t>
            </w:r>
          </w:p>
        </w:tc>
      </w:tr>
      <w:tr w:rsidR="00507AF7" w14:paraId="3B75558B" w14:textId="77777777" w:rsidTr="002C6EDF">
        <w:trPr>
          <w:cantSplit/>
        </w:trPr>
        <w:tc>
          <w:tcPr>
            <w:tcW w:w="1422" w:type="pct"/>
            <w:shd w:val="clear" w:color="auto" w:fill="F6F9F7"/>
          </w:tcPr>
          <w:p w14:paraId="5AAEEF8E" w14:textId="1644C55E" w:rsidR="00507AF7" w:rsidRDefault="00507AF7" w:rsidP="007E0AFE">
            <w:pPr>
              <w:pStyle w:val="TableHeader"/>
            </w:pPr>
            <w:r w:rsidRPr="00CD26F6">
              <w:lastRenderedPageBreak/>
              <w:t>Discussion of supporting evidence</w:t>
            </w:r>
          </w:p>
        </w:tc>
        <w:tc>
          <w:tcPr>
            <w:tcW w:w="3578" w:type="pct"/>
          </w:tcPr>
          <w:p w14:paraId="5B0920B3" w14:textId="78E129B2" w:rsidR="00507AF7" w:rsidRPr="0063563F" w:rsidRDefault="00EB5051" w:rsidP="007E0AFE">
            <w:pPr>
              <w:pStyle w:val="Tabledot2"/>
            </w:pPr>
            <w:r>
              <w:t>I</w:t>
            </w:r>
            <w:r w:rsidR="00507AF7" w:rsidRPr="00EB5051">
              <w:t xml:space="preserve">t </w:t>
            </w:r>
            <w:r>
              <w:t xml:space="preserve">is not possible </w:t>
            </w:r>
            <w:r w:rsidR="00507AF7" w:rsidRPr="00EB5051">
              <w:t xml:space="preserve">to determine whether the </w:t>
            </w:r>
            <w:r>
              <w:t xml:space="preserve">STPP </w:t>
            </w:r>
            <w:r w:rsidR="00507AF7" w:rsidRPr="00EB5051">
              <w:t>is meeting the full extent of need</w:t>
            </w:r>
            <w:r>
              <w:t xml:space="preserve"> for people with HTMS experiences</w:t>
            </w:r>
            <w:r w:rsidR="00C25F0E">
              <w:t xml:space="preserve">. Therefore, this </w:t>
            </w:r>
            <w:r w:rsidR="00507AF7" w:rsidRPr="00EB5051">
              <w:t>indicator can</w:t>
            </w:r>
            <w:r w:rsidR="00C25F0E">
              <w:t>not</w:t>
            </w:r>
            <w:r w:rsidR="00507AF7" w:rsidRPr="00EB5051">
              <w:t xml:space="preserve"> be assessed.</w:t>
            </w:r>
          </w:p>
          <w:p w14:paraId="0EF180C0" w14:textId="1F999050" w:rsidR="00507AF7" w:rsidRDefault="00507AF7" w:rsidP="007E0AFE">
            <w:pPr>
              <w:pStyle w:val="Tabledot2"/>
            </w:pPr>
            <w:r w:rsidRPr="00EB5051">
              <w:t xml:space="preserve">The </w:t>
            </w:r>
            <w:r w:rsidR="004D3B1C">
              <w:t xml:space="preserve">precise </w:t>
            </w:r>
            <w:r w:rsidRPr="00EB5051">
              <w:t>prevalence of HTMS in Australia is</w:t>
            </w:r>
            <w:r w:rsidR="00C25F0E">
              <w:t xml:space="preserve"> </w:t>
            </w:r>
            <w:r w:rsidR="00634D91">
              <w:t>un</w:t>
            </w:r>
            <w:r w:rsidR="00C25F0E">
              <w:t>known. This reflects</w:t>
            </w:r>
            <w:r w:rsidRPr="00EB5051">
              <w:t xml:space="preserve"> the clandestine nature of modern slavery offences, distrust of authorities and fear of deportation amongst </w:t>
            </w:r>
            <w:r w:rsidR="001C39B0">
              <w:t xml:space="preserve">people with HTMS experiences </w:t>
            </w:r>
            <w:r w:rsidR="00A22B67">
              <w:t xml:space="preserve">and this cohort </w:t>
            </w:r>
            <w:r w:rsidR="001C39B0">
              <w:t xml:space="preserve">not </w:t>
            </w:r>
            <w:r w:rsidRPr="00EB5051">
              <w:t>always identify</w:t>
            </w:r>
            <w:r w:rsidR="001C39B0">
              <w:t>ing these</w:t>
            </w:r>
            <w:r w:rsidR="00747990">
              <w:t xml:space="preserve"> situations</w:t>
            </w:r>
            <w:r w:rsidR="001C39B0">
              <w:t xml:space="preserve">, </w:t>
            </w:r>
            <w:r w:rsidR="004D3B1C">
              <w:t xml:space="preserve">and lack of capability amongst the service sector to </w:t>
            </w:r>
            <w:r w:rsidRPr="00EB5051">
              <w:t>recognise and report offences.</w:t>
            </w:r>
          </w:p>
          <w:p w14:paraId="16BF142A" w14:textId="0AE481C6" w:rsidR="00507AF7" w:rsidRPr="0063563F" w:rsidRDefault="001D507D" w:rsidP="007E0AFE">
            <w:pPr>
              <w:pStyle w:val="Tabledot2"/>
            </w:pPr>
            <w:r w:rsidRPr="000C330F">
              <w:t>Estimates</w:t>
            </w:r>
            <w:r w:rsidRPr="0063563F">
              <w:t xml:space="preserve"> of HTMS prevalence in Australia vary significantly depending on the source. Differences in reported figures reflect variations in categorisation (e.g. the terminology used to refer to </w:t>
            </w:r>
            <w:r w:rsidR="005704CA">
              <w:t>HTMS</w:t>
            </w:r>
            <w:r w:rsidRPr="0063563F">
              <w:t xml:space="preserve"> and data collection methods.</w:t>
            </w:r>
            <w:r w:rsidRPr="0063563F">
              <w:rPr>
                <w:rStyle w:val="FootnoteReference"/>
              </w:rPr>
              <w:footnoteReference w:id="17"/>
            </w:r>
            <w:r w:rsidRPr="0063563F">
              <w:t xml:space="preserve"> Because of the barriers to accurate statistics noted above, it is not possible to say to what extent the consistent increases in AFP statistics reflect changes in the underlying prevalence of modern slavery in Australia and to what extent they reflect ameliorations of the known barriers to accurate reporting.</w:t>
            </w:r>
          </w:p>
        </w:tc>
      </w:tr>
      <w:tr w:rsidR="00507AF7" w14:paraId="6983B35F" w14:textId="77777777" w:rsidTr="002C6EDF">
        <w:trPr>
          <w:cantSplit/>
        </w:trPr>
        <w:tc>
          <w:tcPr>
            <w:tcW w:w="1422" w:type="pct"/>
            <w:shd w:val="clear" w:color="auto" w:fill="F6F9F7"/>
          </w:tcPr>
          <w:p w14:paraId="1F5F7783" w14:textId="5188C0FD" w:rsidR="00507AF7" w:rsidRDefault="00A3477F" w:rsidP="007E0AFE">
            <w:pPr>
              <w:pStyle w:val="TableHeader"/>
            </w:pPr>
            <w:r>
              <w:t xml:space="preserve">Recommendations </w:t>
            </w:r>
            <w:r w:rsidR="00507AF7">
              <w:t xml:space="preserve">to strengthen </w:t>
            </w:r>
          </w:p>
        </w:tc>
        <w:tc>
          <w:tcPr>
            <w:tcW w:w="3578" w:type="pct"/>
          </w:tcPr>
          <w:p w14:paraId="5F9846F7" w14:textId="77777777" w:rsidR="00507AF7" w:rsidRDefault="001D507D" w:rsidP="007E0AFE">
            <w:pPr>
              <w:pStyle w:val="TableHeader"/>
            </w:pPr>
            <w:r>
              <w:t xml:space="preserve">System improvement </w:t>
            </w:r>
          </w:p>
          <w:p w14:paraId="19F86692" w14:textId="6B483F52" w:rsidR="00507AF7" w:rsidRPr="0063563F" w:rsidRDefault="0033503F" w:rsidP="007E0AFE">
            <w:pPr>
              <w:pStyle w:val="Tabledot2"/>
            </w:pPr>
            <w:r>
              <w:t>Fund</w:t>
            </w:r>
            <w:r w:rsidR="001D507D">
              <w:t xml:space="preserve"> improve</w:t>
            </w:r>
            <w:r w:rsidR="00CF49A4">
              <w:t>d</w:t>
            </w:r>
            <w:r w:rsidR="001D507D">
              <w:t xml:space="preserve"> measurement of prevalence for people with HTMS experiences. </w:t>
            </w:r>
          </w:p>
        </w:tc>
      </w:tr>
    </w:tbl>
    <w:p w14:paraId="7F0B2AE3" w14:textId="77777777" w:rsidR="007F35C2" w:rsidRDefault="007F35C2" w:rsidP="007E0AFE">
      <w:pPr>
        <w:rPr>
          <w:sz w:val="4"/>
          <w:szCs w:val="6"/>
        </w:rPr>
      </w:pPr>
    </w:p>
    <w:p w14:paraId="762F4CD3" w14:textId="464F06F9" w:rsidR="004513C2" w:rsidRPr="004513C2" w:rsidRDefault="004513C2" w:rsidP="004513C2">
      <w:pPr>
        <w:shd w:val="clear" w:color="auto" w:fill="EEF6F6" w:themeFill="background2" w:themeFillTint="33"/>
        <w:rPr>
          <w:rFonts w:asciiTheme="majorHAnsi" w:hAnsiTheme="majorHAnsi"/>
        </w:rPr>
      </w:pPr>
      <w:r w:rsidRPr="004513C2">
        <w:rPr>
          <w:rFonts w:asciiTheme="majorHAnsi" w:hAnsiTheme="majorHAnsi"/>
        </w:rPr>
        <w:t>Cross cutting learning:</w:t>
      </w:r>
    </w:p>
    <w:p w14:paraId="0FA3377C" w14:textId="77777777" w:rsidR="004513C2" w:rsidRPr="006A2BDB" w:rsidRDefault="004513C2" w:rsidP="004513C2">
      <w:pPr>
        <w:shd w:val="clear" w:color="auto" w:fill="EEF6F6" w:themeFill="background2" w:themeFillTint="33"/>
      </w:pPr>
      <w:r w:rsidRPr="006A2BDB">
        <w:t>Lack of prevalence data and estimates of need also characterises the domestic, family and sexual violence sector. Agreed methodologies for decision-making without certainty on evidence would support policy makers. This could be as simple as rules of thumb or more sophisticated but should be explicit. Guidance on how to develop such methodologies could be sought from Australian Public Service Commission (APSC) and/or the Australia and New Zealand School of Government (ANZSOG).</w:t>
      </w:r>
    </w:p>
    <w:p w14:paraId="03945B34" w14:textId="60CB46D6" w:rsidR="004513C2" w:rsidRPr="004513C2" w:rsidRDefault="004513C2" w:rsidP="004513C2">
      <w:pPr>
        <w:shd w:val="clear" w:color="auto" w:fill="EEF6F6" w:themeFill="background2" w:themeFillTint="33"/>
        <w:rPr>
          <w:rFonts w:asciiTheme="majorHAnsi" w:hAnsiTheme="majorHAnsi"/>
        </w:rPr>
      </w:pPr>
      <w:r w:rsidRPr="004513C2">
        <w:rPr>
          <w:rFonts w:asciiTheme="majorHAnsi" w:hAnsiTheme="majorHAnsi"/>
        </w:rPr>
        <w:t>System learning</w:t>
      </w:r>
      <w:r>
        <w:rPr>
          <w:rFonts w:asciiTheme="majorHAnsi" w:hAnsiTheme="majorHAnsi"/>
        </w:rPr>
        <w:t>:</w:t>
      </w:r>
    </w:p>
    <w:p w14:paraId="5715B0DF" w14:textId="6D7B947B" w:rsidR="004513C2" w:rsidRPr="001E72BA" w:rsidRDefault="004513C2" w:rsidP="004513C2">
      <w:pPr>
        <w:shd w:val="clear" w:color="auto" w:fill="EEF6F6" w:themeFill="background2" w:themeFillTint="33"/>
        <w:rPr>
          <w:sz w:val="4"/>
          <w:szCs w:val="6"/>
        </w:rPr>
      </w:pPr>
      <w:r>
        <w:t xml:space="preserve">Lack of robust prevalence data prevents outcomes measurement for the STPP </w:t>
      </w:r>
      <w:proofErr w:type="gramStart"/>
      <w:r>
        <w:t>and also</w:t>
      </w:r>
      <w:proofErr w:type="gramEnd"/>
      <w:r>
        <w:t xml:space="preserve"> other actions under the </w:t>
      </w:r>
      <w:r w:rsidRPr="003C6199">
        <w:rPr>
          <w:i/>
          <w:iCs/>
        </w:rPr>
        <w:t>National Action Plan to Combat Modern Slavery 2020-25</w:t>
      </w:r>
      <w:r>
        <w:t xml:space="preserve">. Acknowledging the difficulties in developing a prevalence methodology, this is a valuable future focus to support accountability for the broader system under the </w:t>
      </w:r>
      <w:r w:rsidRPr="004A58AA">
        <w:rPr>
          <w:i/>
          <w:iCs/>
        </w:rPr>
        <w:t>National Action Plan</w:t>
      </w:r>
      <w:r>
        <w:t>.</w:t>
      </w:r>
    </w:p>
    <w:p w14:paraId="5A5CE5CF" w14:textId="340B11F2" w:rsidR="00D2776D" w:rsidRDefault="005661E8" w:rsidP="008B28A1">
      <w:pPr>
        <w:pStyle w:val="Heading7"/>
      </w:pPr>
      <w:bookmarkStart w:id="29" w:name="_Ref200046796"/>
      <w:r>
        <w:t xml:space="preserve">Outcome </w:t>
      </w:r>
      <w:r w:rsidR="00B3655D">
        <w:t>1</w:t>
      </w:r>
      <w:r>
        <w:t xml:space="preserve">b, </w:t>
      </w:r>
      <w:r w:rsidR="00D2776D" w:rsidRPr="003578D1">
        <w:t>Indicator</w:t>
      </w:r>
      <w:r w:rsidR="005D5425">
        <w:t xml:space="preserve"> 3</w:t>
      </w:r>
      <w:r w:rsidR="00D2776D">
        <w:t xml:space="preserve">: </w:t>
      </w:r>
      <w:r w:rsidR="00D2776D" w:rsidRPr="00A07E09">
        <w:t>Increase in needs met by the STPP</w:t>
      </w:r>
      <w:bookmarkEnd w:id="29"/>
    </w:p>
    <w:p w14:paraId="0402C8DC" w14:textId="3AE97FCB" w:rsidR="001507C3" w:rsidRDefault="001507C3" w:rsidP="001507C3">
      <w:pPr>
        <w:pStyle w:val="Caption"/>
      </w:pPr>
      <w:r>
        <w:t xml:space="preserve">Table </w:t>
      </w:r>
      <w:r>
        <w:fldChar w:fldCharType="begin"/>
      </w:r>
      <w:r>
        <w:instrText xml:space="preserve"> SEQ Table \* ARABIC </w:instrText>
      </w:r>
      <w:r>
        <w:fldChar w:fldCharType="separate"/>
      </w:r>
      <w:r w:rsidR="00D9323B">
        <w:rPr>
          <w:noProof/>
        </w:rPr>
        <w:t>20</w:t>
      </w:r>
      <w:r>
        <w:fldChar w:fldCharType="end"/>
      </w:r>
      <w:r>
        <w:t>.</w:t>
      </w:r>
      <w:r w:rsidRPr="001507C3">
        <w:t xml:space="preserve"> </w:t>
      </w:r>
      <w:r>
        <w:t xml:space="preserve">Outcome 1b, </w:t>
      </w:r>
      <w:r w:rsidR="008E72C5">
        <w:t xml:space="preserve">Indicator 3, </w:t>
      </w:r>
      <w:r>
        <w:t>Outcomes identified</w:t>
      </w:r>
      <w:r w:rsidR="002C6EDF">
        <w:t xml:space="preserve"> in evaluation</w:t>
      </w:r>
      <w:r>
        <w:t>,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077AB1" w14:paraId="4F26F3C1" w14:textId="77777777" w:rsidTr="002C6EDF">
        <w:trPr>
          <w:cantSplit/>
          <w:tblHeader/>
        </w:trPr>
        <w:tc>
          <w:tcPr>
            <w:tcW w:w="2972" w:type="dxa"/>
            <w:shd w:val="clear" w:color="auto" w:fill="425563" w:themeFill="text1"/>
          </w:tcPr>
          <w:p w14:paraId="2C4D57BA" w14:textId="6ED77EF2" w:rsidR="00077AB1" w:rsidRPr="00CD26F6" w:rsidRDefault="00077AB1" w:rsidP="00077AB1">
            <w:pPr>
              <w:pStyle w:val="Tableheadwhite"/>
            </w:pPr>
            <w:r>
              <w:t>Area</w:t>
            </w:r>
          </w:p>
        </w:tc>
        <w:tc>
          <w:tcPr>
            <w:tcW w:w="7485" w:type="dxa"/>
            <w:shd w:val="clear" w:color="auto" w:fill="425563" w:themeFill="text1"/>
          </w:tcPr>
          <w:p w14:paraId="2E2B5349" w14:textId="5C2E05B2" w:rsidR="00077AB1" w:rsidRDefault="00077AB1" w:rsidP="00077AB1">
            <w:pPr>
              <w:pStyle w:val="Tableheadwhite"/>
            </w:pPr>
            <w:r>
              <w:t>Detail</w:t>
            </w:r>
          </w:p>
        </w:tc>
      </w:tr>
      <w:tr w:rsidR="000300C2" w14:paraId="164FFE66" w14:textId="77777777" w:rsidTr="002C6EDF">
        <w:trPr>
          <w:cantSplit/>
        </w:trPr>
        <w:tc>
          <w:tcPr>
            <w:tcW w:w="2972" w:type="dxa"/>
            <w:shd w:val="clear" w:color="auto" w:fill="F6F9F7"/>
          </w:tcPr>
          <w:p w14:paraId="52721E80" w14:textId="7F8EDCE3" w:rsidR="000300C2" w:rsidRDefault="000300C2" w:rsidP="007E0AFE">
            <w:pPr>
              <w:pStyle w:val="TableHeader"/>
            </w:pPr>
            <w:r w:rsidRPr="00CD26F6">
              <w:t>Outcomes identified in evaluation</w:t>
            </w:r>
          </w:p>
        </w:tc>
        <w:tc>
          <w:tcPr>
            <w:tcW w:w="7485" w:type="dxa"/>
          </w:tcPr>
          <w:p w14:paraId="7F08F946" w14:textId="27583EE0" w:rsidR="00885BC9" w:rsidRPr="0063563F" w:rsidRDefault="0033503F" w:rsidP="007E0AFE">
            <w:pPr>
              <w:pStyle w:val="Tabledot2"/>
            </w:pPr>
            <w:r>
              <w:t>There is s</w:t>
            </w:r>
            <w:r w:rsidR="00885BC9" w:rsidRPr="0063563F">
              <w:t xml:space="preserve">ome evidence to suggest </w:t>
            </w:r>
            <w:r>
              <w:t>that the STPP meets needs with respect to</w:t>
            </w:r>
            <w:r w:rsidR="00885BC9">
              <w:t xml:space="preserve"> sta</w:t>
            </w:r>
            <w:r w:rsidR="00885BC9" w:rsidRPr="0063563F">
              <w:t xml:space="preserve">bilisation, accommodation, social connection and access to an income stream. </w:t>
            </w:r>
          </w:p>
        </w:tc>
      </w:tr>
      <w:tr w:rsidR="000300C2" w14:paraId="549EB899" w14:textId="77777777" w:rsidTr="002C6EDF">
        <w:trPr>
          <w:cantSplit/>
        </w:trPr>
        <w:tc>
          <w:tcPr>
            <w:tcW w:w="2972" w:type="dxa"/>
            <w:shd w:val="clear" w:color="auto" w:fill="F6F9F7"/>
          </w:tcPr>
          <w:p w14:paraId="15DF4E39" w14:textId="7D6370EA" w:rsidR="000300C2" w:rsidRDefault="000300C2" w:rsidP="007E0AFE">
            <w:pPr>
              <w:pStyle w:val="TableHeader"/>
            </w:pPr>
            <w:r w:rsidRPr="00CD26F6">
              <w:lastRenderedPageBreak/>
              <w:t>Discussion of supporting evidence</w:t>
            </w:r>
          </w:p>
        </w:tc>
        <w:tc>
          <w:tcPr>
            <w:tcW w:w="7485" w:type="dxa"/>
          </w:tcPr>
          <w:p w14:paraId="2705392F" w14:textId="1548B355" w:rsidR="0033503F" w:rsidRDefault="000300C2" w:rsidP="007E0AFE">
            <w:pPr>
              <w:pStyle w:val="Tabledot2"/>
            </w:pPr>
            <w:r w:rsidRPr="0063563F">
              <w:t xml:space="preserve">The STPP does not generate impact measures of the extent to which </w:t>
            </w:r>
            <w:r w:rsidR="00A22B67">
              <w:t>the</w:t>
            </w:r>
            <w:r w:rsidRPr="0063563F">
              <w:t xml:space="preserve"> needs </w:t>
            </w:r>
            <w:r w:rsidR="00A22B67">
              <w:t xml:space="preserve">of people with HTMS experiences </w:t>
            </w:r>
            <w:r w:rsidRPr="0063563F">
              <w:t xml:space="preserve">have been met by the program. The evaluation has relied on data on participant goals, as measured by caseworkers upon entry to and exit from the program, financial data on support-related expenditure and interviews with program participants, staff and other stakeholders. Goal-setting data has also provided some indication of the extent to which the program is meeting participants’ needs. </w:t>
            </w:r>
            <w:r w:rsidR="00A62C05" w:rsidRPr="0063563F">
              <w:t>This allows the evaluation to comment on the range of supports being supplied and reported benefits of these, but not on impact.</w:t>
            </w:r>
          </w:p>
          <w:p w14:paraId="53125A6F" w14:textId="0F3FD827" w:rsidR="000300C2" w:rsidRPr="0063563F" w:rsidRDefault="00A62C05" w:rsidP="007E0AFE">
            <w:pPr>
              <w:pStyle w:val="Tabledot2"/>
            </w:pPr>
            <w:r w:rsidRPr="0063563F">
              <w:t xml:space="preserve">There were positive </w:t>
            </w:r>
            <w:r w:rsidRPr="000C330F">
              <w:t>reports</w:t>
            </w:r>
            <w:r w:rsidRPr="0063563F">
              <w:t xml:space="preserve"> in the qualitative interviews on provision of short-term material and safety supports. This STPP offer is believed by provider staff to be generous compared to those available through comparable programs for people with experiences of </w:t>
            </w:r>
            <w:r w:rsidRPr="0A79D92E">
              <w:t>family</w:t>
            </w:r>
            <w:r w:rsidRPr="77EF3CC8">
              <w:t xml:space="preserve"> </w:t>
            </w:r>
            <w:r w:rsidRPr="69FD1A30">
              <w:t>domestic and sexual violence in Australia.</w:t>
            </w:r>
            <w:r>
              <w:t xml:space="preserve"> Goal-setting data</w:t>
            </w:r>
            <w:r w:rsidR="000300C2" w:rsidRPr="0063563F">
              <w:t xml:space="preserve"> has suggested a correlation between participation in the STPP and outcomes for accessing an income stream, accommodation and social support. </w:t>
            </w:r>
          </w:p>
          <w:p w14:paraId="3CA9A3C9" w14:textId="5F695C4C" w:rsidR="000300C2" w:rsidRPr="0063563F" w:rsidRDefault="000300C2" w:rsidP="007E0AFE">
            <w:pPr>
              <w:pStyle w:val="Tabledot2"/>
            </w:pPr>
            <w:r w:rsidRPr="0063563F">
              <w:t xml:space="preserve">STPP support was reported to be especially valued if participants had </w:t>
            </w:r>
            <w:r w:rsidR="00A206AF">
              <w:t xml:space="preserve">access to </w:t>
            </w:r>
            <w:r w:rsidRPr="0063563F">
              <w:t>fewer resources outside of the STPP (e.g. a source of income, emotional supports, connections to community, knowledge of the Australian system</w:t>
            </w:r>
            <w:r w:rsidR="005B6266">
              <w:t>, access to healthcare</w:t>
            </w:r>
            <w:r w:rsidRPr="0063563F">
              <w:t xml:space="preserve">). </w:t>
            </w:r>
          </w:p>
          <w:p w14:paraId="32C898E8" w14:textId="1E28838E" w:rsidR="008010DA" w:rsidRPr="0063563F" w:rsidRDefault="000300C2" w:rsidP="007E0AFE">
            <w:pPr>
              <w:pStyle w:val="Tabledot2"/>
            </w:pPr>
            <w:r w:rsidRPr="0063563F">
              <w:t xml:space="preserve">For some </w:t>
            </w:r>
            <w:r w:rsidR="736D0811" w:rsidRPr="0063563F">
              <w:t>participa</w:t>
            </w:r>
            <w:r w:rsidRPr="0063563F">
              <w:t xml:space="preserve">nts, the impact of these supports </w:t>
            </w:r>
            <w:r w:rsidR="00EB1966">
              <w:t>was reported</w:t>
            </w:r>
            <w:r w:rsidRPr="0063563F">
              <w:t xml:space="preserve"> to </w:t>
            </w:r>
            <w:r w:rsidR="00EB1966">
              <w:t>be</w:t>
            </w:r>
            <w:r w:rsidRPr="0063563F">
              <w:t xml:space="preserve"> transformative</w:t>
            </w:r>
            <w:r w:rsidR="00EB1966">
              <w:t xml:space="preserve">. Our sample included people who </w:t>
            </w:r>
            <w:r w:rsidRPr="0063563F">
              <w:t xml:space="preserve">credited the </w:t>
            </w:r>
            <w:r w:rsidR="00EB1966">
              <w:t>STPP</w:t>
            </w:r>
            <w:r w:rsidRPr="0063563F">
              <w:t xml:space="preserve"> with saving their lives. They </w:t>
            </w:r>
            <w:r w:rsidR="00EB1966">
              <w:t>said</w:t>
            </w:r>
            <w:r w:rsidRPr="0063563F">
              <w:t xml:space="preserve"> that without the material supports and help they received to navigate systems</w:t>
            </w:r>
            <w:r w:rsidR="0FA5B191" w:rsidRPr="0063563F">
              <w:t>,</w:t>
            </w:r>
            <w:r w:rsidRPr="0063563F">
              <w:t xml:space="preserve"> they would have likely ended up homeless or having no choice but to return to the abuser/abusive situation.</w:t>
            </w:r>
            <w:r w:rsidR="00664BB4" w:rsidDel="00664BB4">
              <w:t xml:space="preserve"> </w:t>
            </w:r>
          </w:p>
        </w:tc>
      </w:tr>
      <w:tr w:rsidR="000300C2" w14:paraId="70A93250" w14:textId="77777777" w:rsidTr="002C6EDF">
        <w:trPr>
          <w:cantSplit/>
        </w:trPr>
        <w:tc>
          <w:tcPr>
            <w:tcW w:w="2972" w:type="dxa"/>
            <w:shd w:val="clear" w:color="auto" w:fill="F6F9F7"/>
          </w:tcPr>
          <w:p w14:paraId="681CA7E3" w14:textId="07D9AE13" w:rsidR="000300C2" w:rsidRPr="00681407" w:rsidRDefault="00A3477F" w:rsidP="007E0AFE">
            <w:pPr>
              <w:pStyle w:val="TableHeader"/>
            </w:pPr>
            <w:r>
              <w:t xml:space="preserve">Recommendations </w:t>
            </w:r>
            <w:r w:rsidR="000300C2" w:rsidRPr="00681407">
              <w:t xml:space="preserve">to strengthen </w:t>
            </w:r>
          </w:p>
        </w:tc>
        <w:tc>
          <w:tcPr>
            <w:tcW w:w="7485" w:type="dxa"/>
          </w:tcPr>
          <w:p w14:paraId="494EB15D" w14:textId="465ECCE8" w:rsidR="001D507D" w:rsidRDefault="001D507D" w:rsidP="007E0AFE">
            <w:pPr>
              <w:pStyle w:val="TableHeader"/>
            </w:pPr>
            <w:r>
              <w:t xml:space="preserve">Program improvement </w:t>
            </w:r>
          </w:p>
          <w:p w14:paraId="12068DB3" w14:textId="03235A91" w:rsidR="00681407" w:rsidRPr="0063563F" w:rsidRDefault="00D47952" w:rsidP="007E0AFE">
            <w:pPr>
              <w:pStyle w:val="Tabledot2"/>
            </w:pPr>
            <w:r>
              <w:t>Collect q</w:t>
            </w:r>
            <w:r w:rsidR="00681407" w:rsidRPr="00AD6548">
              <w:t xml:space="preserve">uantitative data for the outcomes hypothesised above (stabilisation, healing) </w:t>
            </w:r>
            <w:r>
              <w:t>at</w:t>
            </w:r>
            <w:r w:rsidR="00681407" w:rsidRPr="00AD6548">
              <w:t xml:space="preserve"> entry, point in time and exit as well as through the post</w:t>
            </w:r>
            <w:r w:rsidR="62C9EC4D" w:rsidRPr="0063563F">
              <w:t>-</w:t>
            </w:r>
            <w:r w:rsidR="00681407" w:rsidRPr="0063563F">
              <w:t>program survey.</w:t>
            </w:r>
            <w:r w:rsidR="00AD6548">
              <w:t xml:space="preserve"> </w:t>
            </w:r>
            <w:r w:rsidR="00681407" w:rsidRPr="0063563F">
              <w:t xml:space="preserve">Acknowledging the limits of the goals data, outcomes data should be collected </w:t>
            </w:r>
            <w:r w:rsidR="004F3B85">
              <w:t xml:space="preserve">with a view to measuring the impact of the program </w:t>
            </w:r>
            <w:r w:rsidR="004D1932">
              <w:t>to better facilitate continuous improvement</w:t>
            </w:r>
            <w:r w:rsidR="00681407" w:rsidRPr="0063563F">
              <w:t xml:space="preserve">. </w:t>
            </w:r>
          </w:p>
          <w:p w14:paraId="37CB81BB" w14:textId="1D9AE381" w:rsidR="00AD6548" w:rsidRPr="00AD6548" w:rsidRDefault="00D47952" w:rsidP="007E0AFE">
            <w:pPr>
              <w:pStyle w:val="Tabledot2"/>
            </w:pPr>
            <w:r>
              <w:t>Consider a</w:t>
            </w:r>
            <w:r w:rsidR="00AD6548">
              <w:t xml:space="preserve">dministrative data linkage </w:t>
            </w:r>
            <w:r w:rsidR="00736706">
              <w:t xml:space="preserve">(e.g. with </w:t>
            </w:r>
            <w:r w:rsidR="00B95CA8">
              <w:t xml:space="preserve">the </w:t>
            </w:r>
            <w:r w:rsidR="00B95CA8" w:rsidRPr="00B95CA8">
              <w:t>Data Over Multiple Individual Occurrences (DOMINO)</w:t>
            </w:r>
            <w:r w:rsidR="00B95CA8">
              <w:t xml:space="preserve"> dataset) </w:t>
            </w:r>
            <w:r w:rsidR="00AD6548">
              <w:t>for impact measures</w:t>
            </w:r>
            <w:r w:rsidR="00F24CEC">
              <w:t>, particularly long-term impacts that are unlikely to be measured through program data alone</w:t>
            </w:r>
            <w:r w:rsidR="00AD6548">
              <w:t>.</w:t>
            </w:r>
            <w:r w:rsidR="00B26E89">
              <w:t xml:space="preserve"> </w:t>
            </w:r>
            <w:r w:rsidR="00AD6548">
              <w:t xml:space="preserve"> </w:t>
            </w:r>
          </w:p>
          <w:p w14:paraId="2E61954B" w14:textId="4D6B6CCE" w:rsidR="000B4A91" w:rsidRPr="00681407" w:rsidRDefault="00D47952" w:rsidP="007E0AFE">
            <w:pPr>
              <w:pStyle w:val="Tabledot2"/>
            </w:pPr>
            <w:r>
              <w:t>Develop</w:t>
            </w:r>
            <w:r w:rsidR="00681407" w:rsidRPr="0063563F">
              <w:t xml:space="preserve"> strategies for managing </w:t>
            </w:r>
            <w:r w:rsidR="000B4A91" w:rsidRPr="0063563F">
              <w:t xml:space="preserve">participant dependency on caseworkers </w:t>
            </w:r>
            <w:r w:rsidR="00681407" w:rsidRPr="0063563F">
              <w:t>and safe exit.</w:t>
            </w:r>
            <w:r w:rsidR="00681407" w:rsidRPr="00681407">
              <w:t xml:space="preserve"> </w:t>
            </w:r>
          </w:p>
        </w:tc>
      </w:tr>
    </w:tbl>
    <w:p w14:paraId="6858B510" w14:textId="77777777" w:rsidR="00105E91" w:rsidRPr="001061D5" w:rsidRDefault="00105E91" w:rsidP="001061D5">
      <w:pPr>
        <w:shd w:val="clear" w:color="auto" w:fill="EEF6F6" w:themeFill="background2" w:themeFillTint="33"/>
        <w:rPr>
          <w:rFonts w:asciiTheme="majorHAnsi" w:hAnsiTheme="majorHAnsi"/>
        </w:rPr>
      </w:pPr>
      <w:r w:rsidRPr="001061D5">
        <w:rPr>
          <w:rFonts w:asciiTheme="majorHAnsi" w:hAnsiTheme="majorHAnsi"/>
        </w:rPr>
        <w:t>Cross cutting learning</w:t>
      </w:r>
    </w:p>
    <w:p w14:paraId="69685CB2" w14:textId="1C386CA4" w:rsidR="000A1EFF" w:rsidRDefault="00105E91" w:rsidP="001061D5">
      <w:pPr>
        <w:shd w:val="clear" w:color="auto" w:fill="EEF6F6" w:themeFill="background2" w:themeFillTint="33"/>
      </w:pPr>
      <w:r>
        <w:t>Developing impact measures, and collecting evidence, for programs that support people with (complex) trauma can be challenging. However, this is a regular focus for programs administered by the DSS. We suggest that a departmental-wide view on appropriate methodologies would support strengthened program design and accountability. We note that the current SCORE measurement process, is not well suited to ascertaining impact</w:t>
      </w:r>
      <w:r w:rsidR="00DF646A">
        <w:t xml:space="preserve"> (which should consider </w:t>
      </w:r>
      <w:r w:rsidR="00A060C6">
        <w:t xml:space="preserve">how well participant outcomes sustain beyond the program and </w:t>
      </w:r>
      <w:r w:rsidR="00046173">
        <w:t>the extent to which the program has</w:t>
      </w:r>
      <w:r w:rsidR="00DF392E">
        <w:t xml:space="preserve"> supported the broader population of people with HTMS experiences</w:t>
      </w:r>
      <w:r w:rsidR="002744E1">
        <w:t>, amongst other considerations</w:t>
      </w:r>
      <w:r w:rsidR="00DF392E">
        <w:t>)</w:t>
      </w:r>
      <w:r>
        <w:t>, and that alternatives to this could be investigated. It is likely that any alternative would need to be developed rather than adopted. A successful methodology would likely involve development of a logic model</w:t>
      </w:r>
      <w:r w:rsidR="000A1EFF">
        <w:t xml:space="preserve"> that clearly</w:t>
      </w:r>
      <w:r>
        <w:t>, articulat</w:t>
      </w:r>
      <w:r w:rsidR="000A1EFF">
        <w:t xml:space="preserve">es </w:t>
      </w:r>
      <w:r>
        <w:t>a theory of change</w:t>
      </w:r>
      <w:r w:rsidR="00AF3E4F">
        <w:t xml:space="preserve"> and </w:t>
      </w:r>
      <w:r w:rsidR="000A1EFF">
        <w:t xml:space="preserve">Performance Management Framework that includes objective measures of participant impact. These would ideally be collected through routine program delivery by the STPP provider; </w:t>
      </w:r>
      <w:r w:rsidR="009A2641">
        <w:t>however,</w:t>
      </w:r>
      <w:r w:rsidR="000A1EFF">
        <w:t xml:space="preserve"> the latter would likely require technical support to do this. </w:t>
      </w:r>
    </w:p>
    <w:p w14:paraId="761EE88E" w14:textId="2D8E061E" w:rsidR="00C36CEF" w:rsidRDefault="00C36CEF" w:rsidP="007E0AFE">
      <w:pPr>
        <w:pStyle w:val="Heading6"/>
      </w:pPr>
      <w:r>
        <w:t>Reported benefits</w:t>
      </w:r>
    </w:p>
    <w:p w14:paraId="2E22CA29" w14:textId="05DC514B" w:rsidR="00DF671A" w:rsidRDefault="00DF671A" w:rsidP="007E0AFE">
      <w:r>
        <w:t>This section provides a thematic analysis of key reported benefits for the STPP:</w:t>
      </w:r>
    </w:p>
    <w:p w14:paraId="7C7A3997" w14:textId="0CCFCD5D" w:rsidR="00DF671A" w:rsidRDefault="00DF671A" w:rsidP="007E0AFE">
      <w:pPr>
        <w:pStyle w:val="Bullet1"/>
      </w:pPr>
      <w:r>
        <w:t>access to an income stream</w:t>
      </w:r>
    </w:p>
    <w:p w14:paraId="16A19A9E" w14:textId="538E40AF" w:rsidR="00DF671A" w:rsidRDefault="00DF671A" w:rsidP="007E0AFE">
      <w:pPr>
        <w:pStyle w:val="Bullet1"/>
      </w:pPr>
      <w:r>
        <w:t xml:space="preserve">access to safe and stable accommodation </w:t>
      </w:r>
    </w:p>
    <w:p w14:paraId="53F1C12E" w14:textId="017EDA71" w:rsidR="00DF671A" w:rsidRPr="005C7F8D" w:rsidRDefault="00DF671A" w:rsidP="007E0AFE">
      <w:pPr>
        <w:pStyle w:val="Bullet1"/>
      </w:pPr>
      <w:r w:rsidRPr="005C7F8D">
        <w:lastRenderedPageBreak/>
        <w:t xml:space="preserve">healing and </w:t>
      </w:r>
      <w:r w:rsidR="000708DC">
        <w:t>feeling empowered</w:t>
      </w:r>
      <w:r w:rsidRPr="005C7F8D">
        <w:t xml:space="preserve"> to rebuild lives </w:t>
      </w:r>
    </w:p>
    <w:p w14:paraId="7034F678" w14:textId="4D5E9E7D" w:rsidR="00DF671A" w:rsidRDefault="00DF671A" w:rsidP="007E0AFE">
      <w:pPr>
        <w:pStyle w:val="Bullet1"/>
      </w:pPr>
      <w:r>
        <w:t>improved social connection</w:t>
      </w:r>
      <w:r w:rsidR="00AB266C">
        <w:t>.</w:t>
      </w:r>
    </w:p>
    <w:p w14:paraId="7DFAFBEE" w14:textId="62683C37" w:rsidR="00895034" w:rsidRPr="00895034" w:rsidRDefault="005704CA" w:rsidP="007E0AFE">
      <w:r>
        <w:t>W</w:t>
      </w:r>
      <w:r w:rsidR="00895034">
        <w:t>e use goal</w:t>
      </w:r>
      <w:r w:rsidR="00895FFF">
        <w:t>-</w:t>
      </w:r>
      <w:r w:rsidR="00895034">
        <w:t xml:space="preserve">setting </w:t>
      </w:r>
      <w:r w:rsidR="00CA0143">
        <w:t xml:space="preserve">data </w:t>
      </w:r>
      <w:r w:rsidR="00C057B2">
        <w:t xml:space="preserve">collected by the program provider during entry and exit status </w:t>
      </w:r>
      <w:r w:rsidR="00AE7638">
        <w:t>assessments</w:t>
      </w:r>
      <w:r w:rsidR="006932D1">
        <w:t xml:space="preserve"> to </w:t>
      </w:r>
      <w:r w:rsidR="00144C9C">
        <w:t>measure improv</w:t>
      </w:r>
      <w:r w:rsidR="006D5901">
        <w:t>ements in participants’ circumstances</w:t>
      </w:r>
      <w:r w:rsidR="00AE7638">
        <w:t>.</w:t>
      </w:r>
      <w:r w:rsidR="006D5901">
        <w:t xml:space="preserve"> For clarity, </w:t>
      </w:r>
      <w:r w:rsidR="003006FB">
        <w:t>each</w:t>
      </w:r>
      <w:r w:rsidR="006D5901">
        <w:t xml:space="preserve"> analysis </w:t>
      </w:r>
      <w:r w:rsidR="003006FB">
        <w:t>uses</w:t>
      </w:r>
      <w:r w:rsidR="006D5901">
        <w:t xml:space="preserve"> on</w:t>
      </w:r>
      <w:r w:rsidR="003006FB">
        <w:t>ly</w:t>
      </w:r>
      <w:r w:rsidR="006D5901">
        <w:t xml:space="preserve"> participants for whom we have both entry status and exit status data points.</w:t>
      </w:r>
    </w:p>
    <w:p w14:paraId="59EB8CEF" w14:textId="12B3D408" w:rsidR="000300C2" w:rsidRDefault="001538E8" w:rsidP="007E0AFE">
      <w:pPr>
        <w:pStyle w:val="Heading7"/>
      </w:pPr>
      <w:r>
        <w:t xml:space="preserve">Access to </w:t>
      </w:r>
      <w:r w:rsidR="00430B29">
        <w:t xml:space="preserve">an </w:t>
      </w:r>
      <w:r>
        <w:t>income stream</w:t>
      </w:r>
    </w:p>
    <w:p w14:paraId="3F9C7F0C" w14:textId="5AAD242E" w:rsidR="00D629FD" w:rsidRPr="00C52D27" w:rsidRDefault="00927650" w:rsidP="007E0AFE">
      <w:pPr>
        <w:widowControl w:val="0"/>
      </w:pPr>
      <w:r w:rsidRPr="00C52D27">
        <w:t xml:space="preserve">Goal-setting data </w:t>
      </w:r>
      <w:r w:rsidRPr="00927650">
        <w:t>suggest</w:t>
      </w:r>
      <w:r w:rsidRPr="00C52D27">
        <w:t xml:space="preserve"> gains in financial stability for many STPP participants between entry and exit.</w:t>
      </w:r>
      <w:r w:rsidR="00D629FD" w:rsidRPr="00D629FD">
        <w:t xml:space="preserve"> </w:t>
      </w:r>
      <w:r w:rsidR="00D629FD" w:rsidRPr="00C52D27">
        <w:t xml:space="preserve">The proportion </w:t>
      </w:r>
      <w:r w:rsidR="00D629FD">
        <w:t xml:space="preserve">of participants </w:t>
      </w:r>
      <w:r w:rsidR="00D629FD" w:rsidRPr="00C52D27">
        <w:t xml:space="preserve">accessing Centrelink payments suggests improved connection to mainstream income support systems. </w:t>
      </w:r>
      <w:r w:rsidR="00D629FD" w:rsidRPr="00170069">
        <w:t xml:space="preserve"> </w:t>
      </w:r>
    </w:p>
    <w:p w14:paraId="5E005369" w14:textId="327001E3" w:rsidR="00037D1F" w:rsidRDefault="00037D1F" w:rsidP="007E0AFE">
      <w:pPr>
        <w:pStyle w:val="Caption"/>
      </w:pPr>
      <w:r>
        <w:t xml:space="preserve">Figure </w:t>
      </w:r>
      <w:r w:rsidR="00C27E6C">
        <w:fldChar w:fldCharType="begin"/>
      </w:r>
      <w:r w:rsidR="00C27E6C">
        <w:instrText xml:space="preserve"> SEQ Figure \* ARABIC </w:instrText>
      </w:r>
      <w:r w:rsidR="00C27E6C">
        <w:fldChar w:fldCharType="separate"/>
      </w:r>
      <w:r w:rsidR="00D9323B">
        <w:rPr>
          <w:noProof/>
        </w:rPr>
        <w:t>1</w:t>
      </w:r>
      <w:r w:rsidR="00C27E6C">
        <w:rPr>
          <w:noProof/>
        </w:rPr>
        <w:fldChar w:fldCharType="end"/>
      </w:r>
      <w:r>
        <w:t xml:space="preserve">: Access to an income stream </w:t>
      </w:r>
      <w:r w:rsidR="00143069">
        <w:t>(at entry and exit of STPP)</w:t>
      </w:r>
    </w:p>
    <w:p w14:paraId="14E23B5C" w14:textId="584A4625" w:rsidR="00927650" w:rsidRDefault="003F4744" w:rsidP="007E0AFE">
      <w:pPr>
        <w:widowControl w:val="0"/>
      </w:pPr>
      <w:r w:rsidRPr="003F4744">
        <w:rPr>
          <w:noProof/>
        </w:rPr>
        <w:drawing>
          <wp:inline distT="0" distB="0" distL="0" distR="0" wp14:anchorId="3471D66E" wp14:editId="16A1B1F5">
            <wp:extent cx="6646545" cy="1755140"/>
            <wp:effectExtent l="0" t="0" r="0" b="0"/>
            <wp:docPr id="1381256184" name="Graphic 1" descr="This chart represents the proportion of participants who entered and exited the STPP between July 2018 and December 2024 that:&#10;- Were accessing Centrelink payments: 29% At entry, 49% At exit.&#10;- Had access to an income stream outside of STPP: 18% At entry, 45% At exit.&#10;- Were employed in any type of work (casual, part-time, full-time): 12% At entry, 29% At exit.&#10;Source: Exit status reports (Participants who entered and exited the STPP between Jul 2018 and Dec 2024)&#10;Base: Total Sample, n=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56184" name="Graphic 1" descr="This chart represents the proportion of participants who entered and exited the STPP between July 2018 and December 2024 that:&#10;- Were accessing Centrelink payments: 29% At entry, 49% At exit.&#10;- Had access to an income stream outside of STPP: 18% At entry, 45% At exit.&#10;- Were employed in any type of work (casual, part-time, full-time): 12% At entry, 29% At exit.&#10;Source: Exit status reports (Participants who entered and exited the STPP between Jul 2018 and Dec 2024)&#10;Base: Total Sample, n=302."/>
                    <pic:cNvPicPr/>
                  </pic:nvPicPr>
                  <pic:blipFill>
                    <a:blip r:embed="rId20">
                      <a:extLst>
                        <a:ext uri="{96DAC541-7B7A-43D3-8B79-37D633B846F1}">
                          <asvg:svgBlip xmlns:asvg="http://schemas.microsoft.com/office/drawing/2016/SVG/main" r:embed="rId21"/>
                        </a:ext>
                      </a:extLst>
                    </a:blip>
                    <a:stretch>
                      <a:fillRect/>
                    </a:stretch>
                  </pic:blipFill>
                  <pic:spPr>
                    <a:xfrm>
                      <a:off x="0" y="0"/>
                      <a:ext cx="6646545" cy="1755140"/>
                    </a:xfrm>
                    <a:prstGeom prst="rect">
                      <a:avLst/>
                    </a:prstGeom>
                  </pic:spPr>
                </pic:pic>
              </a:graphicData>
            </a:graphic>
          </wp:inline>
        </w:drawing>
      </w:r>
    </w:p>
    <w:p w14:paraId="32541298" w14:textId="77777777" w:rsidR="0076681E" w:rsidRPr="00474B76" w:rsidRDefault="0076681E" w:rsidP="0076681E">
      <w:pPr>
        <w:pStyle w:val="TableFootnote"/>
        <w:spacing w:before="0" w:after="0"/>
        <w:rPr>
          <w:color w:val="212A31" w:themeColor="text1" w:themeShade="80"/>
          <w:sz w:val="16"/>
          <w:szCs w:val="16"/>
        </w:rPr>
      </w:pPr>
      <w:r w:rsidRPr="00474B76">
        <w:rPr>
          <w:color w:val="212A31" w:themeColor="text1" w:themeShade="80"/>
          <w:sz w:val="16"/>
          <w:szCs w:val="16"/>
        </w:rPr>
        <w:t>Source: Exit status reports (Participants who entered and exited the STPP between Jul 2018 and Dec 2024)</w:t>
      </w:r>
    </w:p>
    <w:p w14:paraId="5E5A2656" w14:textId="77777777" w:rsidR="0076681E" w:rsidRPr="00474B76" w:rsidRDefault="0076681E" w:rsidP="0076681E">
      <w:pPr>
        <w:pStyle w:val="TableFootnote"/>
        <w:spacing w:before="0"/>
        <w:rPr>
          <w:color w:val="212A31" w:themeColor="text1" w:themeShade="80"/>
          <w:sz w:val="16"/>
          <w:szCs w:val="16"/>
        </w:rPr>
      </w:pPr>
      <w:r w:rsidRPr="00474B76">
        <w:rPr>
          <w:color w:val="212A31" w:themeColor="text1" w:themeShade="80"/>
          <w:sz w:val="16"/>
          <w:szCs w:val="16"/>
        </w:rPr>
        <w:t>Base: Total Sample, n=302.</w:t>
      </w:r>
    </w:p>
    <w:p w14:paraId="2BC1C174" w14:textId="2802AA76" w:rsidR="00B2744D" w:rsidRDefault="00B2744D" w:rsidP="007E0AFE">
      <w:pPr>
        <w:widowControl w:val="0"/>
      </w:pPr>
      <w:r>
        <w:t>The proportion of participants who entered and exited the STPP between July 2018 and December 2024:</w:t>
      </w:r>
    </w:p>
    <w:p w14:paraId="43275A07" w14:textId="3457BABF" w:rsidR="00B2744D" w:rsidRDefault="00B2744D" w:rsidP="007E0AFE">
      <w:pPr>
        <w:pStyle w:val="Bullet1"/>
      </w:pPr>
      <w:proofErr w:type="spellStart"/>
      <w:r>
        <w:t>Were</w:t>
      </w:r>
      <w:proofErr w:type="spellEnd"/>
      <w:r>
        <w:t xml:space="preserve"> accessing Centrelink payments: 29% At entry, 49% At exit.</w:t>
      </w:r>
    </w:p>
    <w:p w14:paraId="57B5A50B" w14:textId="41F6CB28" w:rsidR="00B2744D" w:rsidRDefault="00B2744D" w:rsidP="007E0AFE">
      <w:pPr>
        <w:pStyle w:val="Bullet1"/>
      </w:pPr>
      <w:r>
        <w:t>Had access to an income stream outside of STPP: 18% At entry, 45% At exit.</w:t>
      </w:r>
    </w:p>
    <w:p w14:paraId="6E89836A" w14:textId="3276B45D" w:rsidR="00B2744D" w:rsidRDefault="00B2744D" w:rsidP="007E0AFE">
      <w:pPr>
        <w:pStyle w:val="Bullet1"/>
      </w:pPr>
      <w:r>
        <w:t>Were employed in any type of work (casual, part-time, full-time): 12% At entry, 29% At exit.</w:t>
      </w:r>
    </w:p>
    <w:p w14:paraId="389FC773" w14:textId="2C837358" w:rsidR="00B2744D" w:rsidRPr="00B2744D" w:rsidRDefault="00B2744D" w:rsidP="007E0AFE">
      <w:pPr>
        <w:widowControl w:val="0"/>
        <w:rPr>
          <w:i/>
          <w:iCs/>
        </w:rPr>
      </w:pPr>
      <w:r w:rsidRPr="00B2744D">
        <w:rPr>
          <w:i/>
          <w:iCs/>
        </w:rPr>
        <w:t>Source: Exit status reports (Participants who entered and exited the STPP between Jul 2018 and Dec 2024)</w:t>
      </w:r>
    </w:p>
    <w:p w14:paraId="0D769F05" w14:textId="772D8E4A" w:rsidR="00282189" w:rsidRDefault="001538E8" w:rsidP="007E0AFE">
      <w:pPr>
        <w:pStyle w:val="Heading7"/>
      </w:pPr>
      <w:r>
        <w:t>Access to safe and</w:t>
      </w:r>
      <w:r w:rsidR="00282189" w:rsidRPr="004C743E">
        <w:t xml:space="preserve"> stable accommodation </w:t>
      </w:r>
    </w:p>
    <w:p w14:paraId="203B0001" w14:textId="7675605D" w:rsidR="003E14E8" w:rsidRDefault="003E14E8" w:rsidP="007E0AFE">
      <w:pPr>
        <w:widowControl w:val="0"/>
      </w:pPr>
      <w:r>
        <w:t>The STPP has a focus on ensuring that people with HTMS experiences referred to the program have a safe place to stay. The allowance framework includes a range of financial assistance for accommodation including for short-term stays in hotels or serviced apartments, a once-off payment to cover the cost of bond and initial rent for longer</w:t>
      </w:r>
      <w:r w:rsidR="00895FFF">
        <w:t>-</w:t>
      </w:r>
      <w:r>
        <w:t>term accommodation</w:t>
      </w:r>
      <w:r w:rsidR="00DF77EB">
        <w:t xml:space="preserve">, </w:t>
      </w:r>
      <w:r w:rsidR="009527F0">
        <w:t xml:space="preserve">for support to find accommodation in refuges and homelessness services, </w:t>
      </w:r>
      <w:r>
        <w:t>for items needed to set up a new home</w:t>
      </w:r>
      <w:r w:rsidR="009A664A">
        <w:t xml:space="preserve"> and for maintaining existing accommodation arrangements when they are deemed safe and suitable</w:t>
      </w:r>
      <w:r>
        <w:t xml:space="preserve">. Transitions between temporary and longer-term housing could be challenging. Caseworkers reported that they faced challenges in supporting participants to access sustainable long-term housing. This was due to </w:t>
      </w:r>
      <w:r w:rsidR="00EF4994">
        <w:t>several</w:t>
      </w:r>
      <w:r>
        <w:t xml:space="preserve"> factors, including:</w:t>
      </w:r>
    </w:p>
    <w:p w14:paraId="5CE4ADA8" w14:textId="1FEDF247" w:rsidR="003E14E8" w:rsidRDefault="003E14E8" w:rsidP="007E0AFE">
      <w:pPr>
        <w:pStyle w:val="Bullet1"/>
      </w:pPr>
      <w:r>
        <w:t xml:space="preserve">a shortage of affordable housing in areas where participants wish to live </w:t>
      </w:r>
    </w:p>
    <w:p w14:paraId="746651B7" w14:textId="0674476B" w:rsidR="003E14E8" w:rsidRDefault="003E14E8" w:rsidP="007E0AFE">
      <w:pPr>
        <w:pStyle w:val="Bullet1"/>
      </w:pPr>
      <w:r>
        <w:t xml:space="preserve">participants on temporary visas struggling to compete with Australian residents for long-term rentals </w:t>
      </w:r>
    </w:p>
    <w:p w14:paraId="2A41DDF5" w14:textId="35E47B22" w:rsidR="003E14E8" w:rsidRDefault="003E14E8" w:rsidP="007E0AFE">
      <w:pPr>
        <w:pStyle w:val="Bullet1"/>
      </w:pPr>
      <w:r>
        <w:t xml:space="preserve">waits of 18 months or more to access social housing </w:t>
      </w:r>
    </w:p>
    <w:p w14:paraId="3CB03580" w14:textId="33E3D605" w:rsidR="003E14E8" w:rsidRDefault="003E14E8" w:rsidP="007E0AFE">
      <w:pPr>
        <w:pStyle w:val="Bullet1"/>
      </w:pPr>
      <w:r>
        <w:t>a lack of suitable accommodation and housing services for unaccompanied minors and people with complex mental health issues</w:t>
      </w:r>
      <w:r w:rsidR="00AB266C">
        <w:t>.</w:t>
      </w:r>
    </w:p>
    <w:p w14:paraId="42D82409" w14:textId="77777777" w:rsidR="00D17E0B" w:rsidRDefault="00D17E0B" w:rsidP="007E0AFE">
      <w:pPr>
        <w:pStyle w:val="Bullet1"/>
        <w:numPr>
          <w:ilvl w:val="0"/>
          <w:numId w:val="0"/>
        </w:numPr>
        <w:ind w:left="363" w:hanging="357"/>
      </w:pPr>
    </w:p>
    <w:p w14:paraId="67224051" w14:textId="6264DF7A" w:rsidR="00143069" w:rsidRDefault="00143069" w:rsidP="007E0AFE">
      <w:pPr>
        <w:pStyle w:val="Caption"/>
      </w:pPr>
      <w:r>
        <w:t xml:space="preserve">Figure </w:t>
      </w:r>
      <w:r w:rsidR="00C27E6C">
        <w:fldChar w:fldCharType="begin"/>
      </w:r>
      <w:r w:rsidR="00C27E6C">
        <w:instrText xml:space="preserve"> SEQ Figure \* ARABIC </w:instrText>
      </w:r>
      <w:r w:rsidR="00C27E6C">
        <w:fldChar w:fldCharType="separate"/>
      </w:r>
      <w:r w:rsidR="00D9323B">
        <w:rPr>
          <w:noProof/>
        </w:rPr>
        <w:t>2</w:t>
      </w:r>
      <w:r w:rsidR="00C27E6C">
        <w:rPr>
          <w:noProof/>
        </w:rPr>
        <w:fldChar w:fldCharType="end"/>
      </w:r>
      <w:r>
        <w:t>: Access to safe and stable accommodation (at entry and exit of STPP)</w:t>
      </w:r>
    </w:p>
    <w:p w14:paraId="72EEC78B" w14:textId="3E6252D3" w:rsidR="00D17E0B" w:rsidRDefault="00CE5175" w:rsidP="007E0AFE">
      <w:pPr>
        <w:pStyle w:val="Bullet1"/>
        <w:numPr>
          <w:ilvl w:val="0"/>
          <w:numId w:val="0"/>
        </w:numPr>
        <w:ind w:left="363" w:hanging="357"/>
      </w:pPr>
      <w:r w:rsidRPr="00CE5175">
        <w:rPr>
          <w:noProof/>
        </w:rPr>
        <w:drawing>
          <wp:inline distT="0" distB="0" distL="0" distR="0" wp14:anchorId="5D1041E5" wp14:editId="106D2AE7">
            <wp:extent cx="6646545" cy="709930"/>
            <wp:effectExtent l="0" t="0" r="1905" b="0"/>
            <wp:docPr id="695650915" name="Graphic 1" descr="This chart represents the proportion of participants who entered and exited the STPP between July 2018 and December 2024 that were:&#10;- In stable accommodation: 51% At entry; 91% At exit.&#10;Source: Exit status reports (Participants who entered and exited the STPP between Jul 2018 and Dec 2024)&#10;Base: Total Sample, n=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50915" name="Graphic 1" descr="This chart represents the proportion of participants who entered and exited the STPP between July 2018 and December 2024 that were:&#10;- In stable accommodation: 51% At entry; 91% At exit.&#10;Source: Exit status reports (Participants who entered and exited the STPP between Jul 2018 and Dec 2024)&#10;Base: Total Sample, n=302."/>
                    <pic:cNvPicPr/>
                  </pic:nvPicPr>
                  <pic:blipFill>
                    <a:blip r:embed="rId22">
                      <a:extLst>
                        <a:ext uri="{96DAC541-7B7A-43D3-8B79-37D633B846F1}">
                          <asvg:svgBlip xmlns:asvg="http://schemas.microsoft.com/office/drawing/2016/SVG/main" r:embed="rId23"/>
                        </a:ext>
                      </a:extLst>
                    </a:blip>
                    <a:stretch>
                      <a:fillRect/>
                    </a:stretch>
                  </pic:blipFill>
                  <pic:spPr>
                    <a:xfrm>
                      <a:off x="0" y="0"/>
                      <a:ext cx="6646545" cy="709930"/>
                    </a:xfrm>
                    <a:prstGeom prst="rect">
                      <a:avLst/>
                    </a:prstGeom>
                  </pic:spPr>
                </pic:pic>
              </a:graphicData>
            </a:graphic>
          </wp:inline>
        </w:drawing>
      </w:r>
    </w:p>
    <w:p w14:paraId="6D6B81F2" w14:textId="77777777" w:rsidR="0076681E" w:rsidRPr="00474B76" w:rsidRDefault="0076681E" w:rsidP="0076681E">
      <w:pPr>
        <w:pStyle w:val="TableFootnote"/>
        <w:spacing w:before="0" w:after="0"/>
        <w:rPr>
          <w:color w:val="212A31" w:themeColor="text1" w:themeShade="80"/>
          <w:sz w:val="16"/>
          <w:szCs w:val="16"/>
        </w:rPr>
      </w:pPr>
      <w:r w:rsidRPr="00474B76">
        <w:rPr>
          <w:color w:val="212A31" w:themeColor="text1" w:themeShade="80"/>
          <w:sz w:val="16"/>
          <w:szCs w:val="16"/>
        </w:rPr>
        <w:lastRenderedPageBreak/>
        <w:t>Source: Exit status reports (Participants who entered and exited the STPP between Jul 2018 and Dec 2024)</w:t>
      </w:r>
    </w:p>
    <w:p w14:paraId="34EFC529" w14:textId="6378AFF1" w:rsidR="0076681E" w:rsidRPr="0076681E" w:rsidRDefault="0076681E" w:rsidP="0076681E">
      <w:pPr>
        <w:pStyle w:val="TableFootnote"/>
        <w:spacing w:before="0"/>
        <w:rPr>
          <w:color w:val="212A31" w:themeColor="text1" w:themeShade="80"/>
          <w:sz w:val="16"/>
          <w:szCs w:val="16"/>
        </w:rPr>
      </w:pPr>
      <w:r w:rsidRPr="00474B76">
        <w:rPr>
          <w:color w:val="212A31" w:themeColor="text1" w:themeShade="80"/>
          <w:sz w:val="16"/>
          <w:szCs w:val="16"/>
        </w:rPr>
        <w:t>Base: Total Sample, n=302.</w:t>
      </w:r>
    </w:p>
    <w:p w14:paraId="116F7C00" w14:textId="47196977" w:rsidR="00B2744D" w:rsidRDefault="00B2744D" w:rsidP="007E0AFE">
      <w:r>
        <w:t>The proportion of participants who entered and exited the STPP between July 2018 and December 2024 were:</w:t>
      </w:r>
    </w:p>
    <w:p w14:paraId="4CA56486" w14:textId="7CF4B85B" w:rsidR="00105E91" w:rsidRDefault="00B2744D" w:rsidP="007E0AFE">
      <w:pPr>
        <w:pStyle w:val="Bullet1"/>
        <w:numPr>
          <w:ilvl w:val="0"/>
          <w:numId w:val="0"/>
        </w:numPr>
        <w:ind w:left="363" w:hanging="357"/>
      </w:pPr>
      <w:r>
        <w:t>- In stable accommodation: 51% At entry; 91% At exit.</w:t>
      </w:r>
    </w:p>
    <w:p w14:paraId="138052CD" w14:textId="53E53A15" w:rsidR="00DA70BD" w:rsidRPr="00DA70BD" w:rsidRDefault="00DA70BD" w:rsidP="007E0AFE">
      <w:pPr>
        <w:widowControl w:val="0"/>
      </w:pPr>
      <w:r>
        <w:t xml:space="preserve">Participants reported that the practical and financial support they received from the STPP to find or remain in safe and stable accommodation played an important role in establishing both physical and psychological safety. Some said that without this support they may have had no choice but to return to the situation where they were being exploited. Looking back, some described it as a major turning point in their lives, </w:t>
      </w:r>
      <w:r w:rsidR="29E313AD">
        <w:t>giving</w:t>
      </w:r>
      <w:r>
        <w:t xml:space="preserve"> them a sense of hope and optimism about their future, and a belief that recovery from their ordeal might be possible.</w:t>
      </w:r>
      <w:r w:rsidR="003E14E8" w:rsidDel="003E14E8">
        <w:rPr>
          <w:rStyle w:val="FootnoteReference"/>
        </w:rPr>
        <w:t xml:space="preserve"> </w:t>
      </w:r>
    </w:p>
    <w:p w14:paraId="38216D5F" w14:textId="4B0E6B3D" w:rsidR="00F40EB3" w:rsidRDefault="00355034" w:rsidP="007E0AFE">
      <w:pPr>
        <w:pStyle w:val="Heading7"/>
      </w:pPr>
      <w:r w:rsidRPr="000708DC">
        <w:t>Healing and feeling empowered to rebuild lives</w:t>
      </w:r>
    </w:p>
    <w:p w14:paraId="7E235211" w14:textId="78B8CD84" w:rsidR="00856CE8" w:rsidRDefault="00FB0CF8" w:rsidP="007E0AFE">
      <w:pPr>
        <w:widowControl w:val="0"/>
      </w:pPr>
      <w:r>
        <w:t xml:space="preserve">Assessment of this outcome is based largely on qualitative interviews and written feedback from participants, supplemented by caseworkers’ observations. </w:t>
      </w:r>
      <w:r w:rsidR="4D1EA99F">
        <w:t xml:space="preserve">There </w:t>
      </w:r>
      <w:r w:rsidR="00A64ED9">
        <w:t>are</w:t>
      </w:r>
      <w:r w:rsidR="4D1EA99F">
        <w:t xml:space="preserve"> n</w:t>
      </w:r>
      <w:r>
        <w:t>o</w:t>
      </w:r>
      <w:r w:rsidRPr="00FB0CF8">
        <w:t xml:space="preserve"> quantitative measures of participants’ sense of empowerment</w:t>
      </w:r>
      <w:r>
        <w:t>.</w:t>
      </w:r>
    </w:p>
    <w:p w14:paraId="7DFFFFB3" w14:textId="77777777" w:rsidR="00B2744D" w:rsidRDefault="00B2744D" w:rsidP="007E0AFE">
      <w:pPr>
        <w:widowControl w:val="0"/>
      </w:pPr>
      <w:r>
        <w:t>Healing and rebuilding life was described by program participants as a holistic process, where feeling empowered through safety, support, respect and the development of practical skills enabled them to take control, build confidence and take steps to achieve their goals.</w:t>
      </w:r>
    </w:p>
    <w:p w14:paraId="61017C13" w14:textId="05BA7C76" w:rsidR="00B2744D" w:rsidRDefault="00B2744D" w:rsidP="007E0AFE">
      <w:pPr>
        <w:widowControl w:val="0"/>
      </w:pPr>
      <w:r>
        <w:t>Although recovery is not linear, having basic needs met for food, shelter and accommodation also helped create the foundation for healing and recovery and was often described as an important first step towards re-building their lives. This was a particularly strong finding amongst those who had no social supports and a limited understanding of how to navigate services and systems prior to entering the program. The validation and reassurance they received from STPP staff also helped to create a sense of psychological safety and hope.</w:t>
      </w:r>
    </w:p>
    <w:p w14:paraId="6EA09D42" w14:textId="745533A8" w:rsidR="002958FF" w:rsidRPr="00712B95" w:rsidRDefault="00B2744D" w:rsidP="00712B95">
      <w:pPr>
        <w:widowControl w:val="0"/>
      </w:pPr>
      <w:r>
        <w:t>STPP participants often reported that being part of the program helped them to gain a sense of safety and control over their lives. According to many participants, being part of the STPP has helped to create a safe, stable environment and re-build their trust in relationships, which were seen as essential for healing to take place. Reported enablers included being treated with respect and compassion by staff, not having to retell their stories, and being supported by caseworkers to identify their needs, goals and next steps.</w:t>
      </w:r>
    </w:p>
    <w:p w14:paraId="04D1ACF8" w14:textId="42D651B1" w:rsidR="006A432C" w:rsidRDefault="006A432C" w:rsidP="007E0AFE">
      <w:pPr>
        <w:pStyle w:val="Heading7"/>
      </w:pPr>
      <w:r>
        <w:t>Improved social connection</w:t>
      </w:r>
    </w:p>
    <w:p w14:paraId="1C96DB00" w14:textId="02B28673" w:rsidR="00873239" w:rsidRPr="00873239" w:rsidRDefault="00873239" w:rsidP="007E0AFE">
      <w:pPr>
        <w:widowControl w:val="0"/>
      </w:pPr>
      <w:r w:rsidRPr="007A4C26">
        <w:t xml:space="preserve">Goal-setting data </w:t>
      </w:r>
      <w:r>
        <w:t xml:space="preserve">show </w:t>
      </w:r>
      <w:r w:rsidR="00E96860">
        <w:t xml:space="preserve">a significant reduction in the proportion of participants experiencing isolation </w:t>
      </w:r>
      <w:r w:rsidR="00992094">
        <w:t>between entry to and exit from the program.</w:t>
      </w:r>
    </w:p>
    <w:p w14:paraId="41619888" w14:textId="10ACA45F" w:rsidR="00B47785" w:rsidRDefault="00B47785" w:rsidP="007E0AFE">
      <w:pPr>
        <w:pStyle w:val="Caption"/>
      </w:pPr>
      <w:r>
        <w:t xml:space="preserve">Figure </w:t>
      </w:r>
      <w:r w:rsidR="00C27E6C">
        <w:fldChar w:fldCharType="begin"/>
      </w:r>
      <w:r w:rsidR="00C27E6C">
        <w:instrText xml:space="preserve"> SEQ Figure \* ARABIC </w:instrText>
      </w:r>
      <w:r w:rsidR="00C27E6C">
        <w:fldChar w:fldCharType="separate"/>
      </w:r>
      <w:r w:rsidR="00D9323B">
        <w:rPr>
          <w:noProof/>
        </w:rPr>
        <w:t>3</w:t>
      </w:r>
      <w:r w:rsidR="00C27E6C">
        <w:rPr>
          <w:noProof/>
        </w:rPr>
        <w:fldChar w:fldCharType="end"/>
      </w:r>
      <w:r>
        <w:t>: Experiencing isolation (at entry and exit from STPP)</w:t>
      </w:r>
    </w:p>
    <w:p w14:paraId="68FC779C" w14:textId="78E5ECB1" w:rsidR="001509CB" w:rsidRPr="001509CB" w:rsidRDefault="00D17558" w:rsidP="00474B76">
      <w:pPr>
        <w:widowControl w:val="0"/>
        <w:spacing w:after="0"/>
      </w:pPr>
      <w:r w:rsidRPr="00D17558">
        <w:rPr>
          <w:noProof/>
        </w:rPr>
        <w:drawing>
          <wp:inline distT="0" distB="0" distL="0" distR="0" wp14:anchorId="27B6286E" wp14:editId="26DF5934">
            <wp:extent cx="6646545" cy="736600"/>
            <wp:effectExtent l="0" t="0" r="0" b="0"/>
            <wp:docPr id="533160516" name="Graphic 1" descr="This chart represents the proportion of participants who entered and exited the STPP between July 2018 and December 2024 that were experiencing isolation between entry and exit from the program: 35% At entry; 8% At exit.&#10;Source: Exit status reports (Participants who entered and exited the STPP between Jul 2018 and Dec 2024)&#10;Base: Total Sample, n=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60516" name="Graphic 1" descr="This chart represents the proportion of participants who entered and exited the STPP between July 2018 and December 2024 that were experiencing isolation between entry and exit from the program: 35% At entry; 8% At exit.&#10;Source: Exit status reports (Participants who entered and exited the STPP between Jul 2018 and Dec 2024)&#10;Base: Total Sample, n=302."/>
                    <pic:cNvPicPr/>
                  </pic:nvPicPr>
                  <pic:blipFill>
                    <a:blip r:embed="rId24">
                      <a:extLst>
                        <a:ext uri="{96DAC541-7B7A-43D3-8B79-37D633B846F1}">
                          <asvg:svgBlip xmlns:asvg="http://schemas.microsoft.com/office/drawing/2016/SVG/main" r:embed="rId25"/>
                        </a:ext>
                      </a:extLst>
                    </a:blip>
                    <a:stretch>
                      <a:fillRect/>
                    </a:stretch>
                  </pic:blipFill>
                  <pic:spPr>
                    <a:xfrm>
                      <a:off x="0" y="0"/>
                      <a:ext cx="6646545" cy="736600"/>
                    </a:xfrm>
                    <a:prstGeom prst="rect">
                      <a:avLst/>
                    </a:prstGeom>
                  </pic:spPr>
                </pic:pic>
              </a:graphicData>
            </a:graphic>
          </wp:inline>
        </w:drawing>
      </w:r>
    </w:p>
    <w:p w14:paraId="0DDE8538" w14:textId="77777777" w:rsidR="00474B76" w:rsidRPr="00474B76" w:rsidRDefault="00474B76" w:rsidP="00474B76">
      <w:pPr>
        <w:pStyle w:val="TableFootnote"/>
        <w:spacing w:before="0" w:after="0"/>
        <w:rPr>
          <w:color w:val="212A31" w:themeColor="text1" w:themeShade="80"/>
          <w:sz w:val="16"/>
          <w:szCs w:val="16"/>
        </w:rPr>
      </w:pPr>
      <w:r w:rsidRPr="00474B76">
        <w:rPr>
          <w:color w:val="212A31" w:themeColor="text1" w:themeShade="80"/>
          <w:sz w:val="16"/>
          <w:szCs w:val="16"/>
        </w:rPr>
        <w:t>Source: Exit status reports (Participants who entered and exited the STPP between Jul 2018 and Dec 2024)</w:t>
      </w:r>
    </w:p>
    <w:p w14:paraId="6B24E297" w14:textId="67399CAF" w:rsidR="00474B76" w:rsidRPr="00474B76" w:rsidRDefault="00474B76" w:rsidP="00474B76">
      <w:pPr>
        <w:pStyle w:val="TableFootnote"/>
        <w:spacing w:before="0"/>
        <w:rPr>
          <w:color w:val="212A31" w:themeColor="text1" w:themeShade="80"/>
          <w:sz w:val="16"/>
          <w:szCs w:val="16"/>
        </w:rPr>
      </w:pPr>
      <w:r w:rsidRPr="00474B76">
        <w:rPr>
          <w:color w:val="212A31" w:themeColor="text1" w:themeShade="80"/>
          <w:sz w:val="16"/>
          <w:szCs w:val="16"/>
        </w:rPr>
        <w:t>Base: Total Sample, n=302.</w:t>
      </w:r>
    </w:p>
    <w:p w14:paraId="70B5A8EE" w14:textId="146E1400" w:rsidR="00B2744D" w:rsidRDefault="00B2744D" w:rsidP="007E0AFE">
      <w:pPr>
        <w:widowControl w:val="0"/>
      </w:pPr>
      <w:r>
        <w:t>The proportion of participants who entered and exited the STPP between July 2018 and December 2024 that were experiencing isolation between entry and exit from the program: 35% At entry; 8% At exit.</w:t>
      </w:r>
    </w:p>
    <w:p w14:paraId="7A5A0FAB" w14:textId="530921E8" w:rsidR="007C1767" w:rsidRPr="0020740D" w:rsidRDefault="007C1767" w:rsidP="007E0AFE">
      <w:pPr>
        <w:widowControl w:val="0"/>
      </w:pPr>
      <w:r w:rsidRPr="00606314">
        <w:t xml:space="preserve">Qualitative feedback from participants and caseworkers </w:t>
      </w:r>
      <w:r w:rsidR="00D97184">
        <w:t>suggest that p</w:t>
      </w:r>
      <w:r w:rsidRPr="0020740D">
        <w:t xml:space="preserve">articipant goals for social connection </w:t>
      </w:r>
      <w:r>
        <w:t>vary</w:t>
      </w:r>
      <w:r w:rsidRPr="0020740D">
        <w:t xml:space="preserve"> widely. For instance, some actively seek to reconnect with cultural or spiritual communities, while others </w:t>
      </w:r>
      <w:r>
        <w:t>avoid</w:t>
      </w:r>
      <w:r w:rsidRPr="0020740D">
        <w:t xml:space="preserve"> this due to past harm. </w:t>
      </w:r>
    </w:p>
    <w:p w14:paraId="6F9C4C13" w14:textId="7B360CAD" w:rsidR="007C1767" w:rsidRPr="0020740D" w:rsidRDefault="007C1767" w:rsidP="007E0AFE">
      <w:r w:rsidRPr="0020740D">
        <w:t xml:space="preserve">Whilst reduction in isolation cannot be directly attributed to the STPP based on the available data, qualitative evidence suggests that the program plays an active and often central role in facilitating social connection. Participants described caseworkers as key sources of emotional support, trusted confidants. They reported that being part of the program made them feel less alone. This feeling of connection was attributed to regular contact and check-ins with their caseworkers. </w:t>
      </w:r>
    </w:p>
    <w:p w14:paraId="4736977A" w14:textId="614DB3F5" w:rsidR="005C79A2" w:rsidRPr="00BF7846" w:rsidRDefault="007C1767" w:rsidP="007E0AFE">
      <w:pPr>
        <w:pStyle w:val="Bullet1"/>
        <w:numPr>
          <w:ilvl w:val="0"/>
          <w:numId w:val="0"/>
        </w:numPr>
        <w:rPr>
          <w:rFonts w:asciiTheme="majorHAnsi" w:hAnsiTheme="majorHAnsi"/>
        </w:rPr>
      </w:pPr>
      <w:r w:rsidRPr="0020740D">
        <w:t xml:space="preserve">Participants valued knowing that there was someone they could reach out to for advice, help or emotional support if they were feeling down. In some cases, having a strong and trusted relationship with their caseworker helped increase </w:t>
      </w:r>
      <w:r w:rsidR="409ED989">
        <w:t>participa</w:t>
      </w:r>
      <w:r>
        <w:t>nts’</w:t>
      </w:r>
      <w:r w:rsidRPr="0020740D">
        <w:t xml:space="preserve"> confidence in dealing with other people, including other services.  </w:t>
      </w:r>
    </w:p>
    <w:p w14:paraId="00D48CD4" w14:textId="6AB253FB" w:rsidR="006141CB" w:rsidRDefault="006141CB" w:rsidP="007E0AFE">
      <w:pPr>
        <w:pStyle w:val="Heading6"/>
      </w:pPr>
      <w:r w:rsidRPr="006141CB">
        <w:lastRenderedPageBreak/>
        <w:t>Post</w:t>
      </w:r>
      <w:r w:rsidR="05DDEF28">
        <w:t>-</w:t>
      </w:r>
      <w:r w:rsidRPr="006141CB">
        <w:t>program outcomes</w:t>
      </w:r>
    </w:p>
    <w:p w14:paraId="5F7A256A" w14:textId="3EBB4DF4" w:rsidR="007D1534" w:rsidRDefault="003D5C0E" w:rsidP="006A2742">
      <w:pPr>
        <w:widowControl w:val="0"/>
        <w:spacing w:before="0"/>
      </w:pPr>
      <w:r w:rsidRPr="001701E6">
        <w:t xml:space="preserve">The data </w:t>
      </w:r>
      <w:r w:rsidR="00E602F0" w:rsidRPr="001701E6">
        <w:t>on</w:t>
      </w:r>
      <w:r w:rsidRPr="001701E6">
        <w:t xml:space="preserve"> post-program outcomes are </w:t>
      </w:r>
      <w:r w:rsidR="009F3714" w:rsidRPr="001701E6">
        <w:t xml:space="preserve">somewhat </w:t>
      </w:r>
      <w:r w:rsidRPr="001701E6">
        <w:t>limited</w:t>
      </w:r>
      <w:r w:rsidR="0054642F" w:rsidRPr="001701E6">
        <w:t>.</w:t>
      </w:r>
      <w:r w:rsidR="0054642F">
        <w:rPr>
          <w:rFonts w:asciiTheme="majorHAnsi" w:hAnsiTheme="majorHAnsi"/>
          <w:lang w:val="en-US"/>
        </w:rPr>
        <w:t xml:space="preserve"> </w:t>
      </w:r>
      <w:r w:rsidR="000D0CA9">
        <w:rPr>
          <w:lang w:val="en-US"/>
        </w:rPr>
        <w:t xml:space="preserve">This includes a small </w:t>
      </w:r>
      <w:r w:rsidRPr="006141CB">
        <w:rPr>
          <w:lang w:val="en-US"/>
        </w:rPr>
        <w:t>sample of post-exit check-in data (n=47)</w:t>
      </w:r>
      <w:r w:rsidR="006C1BB8">
        <w:rPr>
          <w:lang w:val="en-US"/>
        </w:rPr>
        <w:t>,</w:t>
      </w:r>
      <w:r w:rsidRPr="006141CB">
        <w:rPr>
          <w:lang w:val="en-US"/>
        </w:rPr>
        <w:t xml:space="preserve"> </w:t>
      </w:r>
      <w:r w:rsidR="5D9F5EF2">
        <w:rPr>
          <w:lang w:val="en-US"/>
        </w:rPr>
        <w:t>four</w:t>
      </w:r>
      <w:r w:rsidRPr="006141CB">
        <w:rPr>
          <w:lang w:val="en-US"/>
        </w:rPr>
        <w:t xml:space="preserve"> qualitative </w:t>
      </w:r>
      <w:r w:rsidRPr="00F477DF">
        <w:rPr>
          <w:lang w:val="en-US"/>
        </w:rPr>
        <w:t>interviews with</w:t>
      </w:r>
      <w:r w:rsidR="00784A3F">
        <w:rPr>
          <w:lang w:val="en-US"/>
        </w:rPr>
        <w:t>,</w:t>
      </w:r>
      <w:r w:rsidR="00214714">
        <w:rPr>
          <w:lang w:val="en-US"/>
        </w:rPr>
        <w:t xml:space="preserve"> and</w:t>
      </w:r>
      <w:r w:rsidR="006C1BB8">
        <w:rPr>
          <w:lang w:val="en-US"/>
        </w:rPr>
        <w:t xml:space="preserve"> one written feedback form </w:t>
      </w:r>
      <w:r w:rsidR="00290A4A">
        <w:rPr>
          <w:lang w:val="en-US"/>
        </w:rPr>
        <w:t>from</w:t>
      </w:r>
      <w:r w:rsidR="00784A3F">
        <w:rPr>
          <w:lang w:val="en-US"/>
        </w:rPr>
        <w:t>,</w:t>
      </w:r>
      <w:r w:rsidR="00290A4A">
        <w:rPr>
          <w:lang w:val="en-US"/>
        </w:rPr>
        <w:t xml:space="preserve"> </w:t>
      </w:r>
      <w:r w:rsidR="00214714" w:rsidRPr="00F477DF">
        <w:rPr>
          <w:lang w:val="en-US"/>
        </w:rPr>
        <w:t>former participants</w:t>
      </w:r>
      <w:r w:rsidR="0013346C">
        <w:rPr>
          <w:lang w:val="en-US"/>
        </w:rPr>
        <w:t xml:space="preserve"> as well as feedback from STPP</w:t>
      </w:r>
      <w:r>
        <w:rPr>
          <w:lang w:val="en-US"/>
        </w:rPr>
        <w:t xml:space="preserve"> caseworkers</w:t>
      </w:r>
      <w:r w:rsidRPr="00F477DF">
        <w:rPr>
          <w:lang w:val="en-US"/>
        </w:rPr>
        <w:t>.</w:t>
      </w:r>
      <w:r w:rsidR="006A6CEB" w:rsidRPr="0020740D">
        <w:rPr>
          <w:i/>
          <w:iCs/>
        </w:rPr>
        <w:t xml:space="preserve"> </w:t>
      </w:r>
      <w:r w:rsidR="00C4503F">
        <w:t>Th</w:t>
      </w:r>
      <w:r w:rsidR="00A64ED9">
        <w:t>ese</w:t>
      </w:r>
      <w:r w:rsidR="00C4503F">
        <w:t xml:space="preserve"> </w:t>
      </w:r>
      <w:r w:rsidR="00342667" w:rsidRPr="00C4503F">
        <w:t>indicat</w:t>
      </w:r>
      <w:r w:rsidR="00342667">
        <w:t>ive</w:t>
      </w:r>
      <w:r w:rsidR="00C4503F" w:rsidRPr="00C4503F">
        <w:t xml:space="preserve"> data suggest</w:t>
      </w:r>
      <w:r>
        <w:rPr>
          <w:i/>
        </w:rPr>
        <w:t xml:space="preserve"> </w:t>
      </w:r>
      <w:r w:rsidRPr="00F477DF">
        <w:t xml:space="preserve">mixed </w:t>
      </w:r>
      <w:r>
        <w:t>outcomes post-program</w:t>
      </w:r>
      <w:r w:rsidR="4A94DCC5">
        <w:t>,</w:t>
      </w:r>
      <w:r w:rsidR="00342667">
        <w:t xml:space="preserve"> includ</w:t>
      </w:r>
      <w:r w:rsidR="0427A9AB">
        <w:t>ing</w:t>
      </w:r>
      <w:r w:rsidRPr="00F477DF">
        <w:t xml:space="preserve"> challenges </w:t>
      </w:r>
      <w:r w:rsidR="00342667">
        <w:t>such as</w:t>
      </w:r>
      <w:r w:rsidRPr="00F477DF">
        <w:t xml:space="preserve"> unmet expectations </w:t>
      </w:r>
      <w:r w:rsidR="00534ADE">
        <w:t>for</w:t>
      </w:r>
      <w:r w:rsidRPr="00F477DF">
        <w:t xml:space="preserve"> housing and education, and distress during program transition.</w:t>
      </w:r>
    </w:p>
    <w:p w14:paraId="1445D4E1" w14:textId="22D1A380" w:rsidR="005E40D1" w:rsidRDefault="00115658" w:rsidP="007E0AFE">
      <w:pPr>
        <w:widowControl w:val="0"/>
      </w:pPr>
      <w:r w:rsidRPr="00F477DF">
        <w:t xml:space="preserve">From 1 July 2023, </w:t>
      </w:r>
      <w:r>
        <w:t xml:space="preserve">the </w:t>
      </w:r>
      <w:r w:rsidRPr="00F477DF">
        <w:rPr>
          <w:shd w:val="clear" w:color="auto" w:fill="FFFFFF" w:themeFill="background1"/>
        </w:rPr>
        <w:t xml:space="preserve">Australian Red Cross introduced a new process where </w:t>
      </w:r>
      <w:r>
        <w:rPr>
          <w:noProof/>
        </w:rPr>
        <w:t>participants</w:t>
      </w:r>
      <w:r w:rsidRPr="00F477DF">
        <w:rPr>
          <w:shd w:val="clear" w:color="auto" w:fill="FFFFFF" w:themeFill="background1"/>
        </w:rPr>
        <w:t xml:space="preserve"> (if they </w:t>
      </w:r>
      <w:r w:rsidR="000B44BA">
        <w:rPr>
          <w:shd w:val="clear" w:color="auto" w:fill="FFFFFF" w:themeFill="background1"/>
        </w:rPr>
        <w:t xml:space="preserve">consent and remain in Australia after </w:t>
      </w:r>
      <w:r w:rsidR="005E40D1">
        <w:rPr>
          <w:shd w:val="clear" w:color="auto" w:fill="FFFFFF" w:themeFill="background1"/>
        </w:rPr>
        <w:t>exiting the program</w:t>
      </w:r>
      <w:r w:rsidRPr="00F477DF">
        <w:rPr>
          <w:shd w:val="clear" w:color="auto" w:fill="FFFFFF" w:themeFill="background1"/>
        </w:rPr>
        <w:t>)</w:t>
      </w:r>
      <w:r w:rsidRPr="00F477DF">
        <w:t xml:space="preserve"> are contacted at 3-, 6- and 12-months following exit from the support program to check in on their progress and outcomes. The intention of this follow-up contact is to ensure outcomes are being maintained and to address any risks of re-trafficking that may be identified. </w:t>
      </w:r>
      <w:r w:rsidR="0011697F">
        <w:t>As this process commenced part way through the eval</w:t>
      </w:r>
      <w:r w:rsidR="00332025">
        <w:t xml:space="preserve">uation timeframe, </w:t>
      </w:r>
      <w:r w:rsidR="00C012B2">
        <w:t xml:space="preserve">data are only available for </w:t>
      </w:r>
      <w:r w:rsidR="000905FA">
        <w:t xml:space="preserve">a minority of participants </w:t>
      </w:r>
      <w:r w:rsidR="003060D1">
        <w:t xml:space="preserve">whose data informed this evaluation. </w:t>
      </w:r>
      <w:r w:rsidR="008566B8">
        <w:t>However, i</w:t>
      </w:r>
      <w:r w:rsidR="00C658DF">
        <w:t xml:space="preserve">t is notable that </w:t>
      </w:r>
      <w:r w:rsidR="004C3FD4">
        <w:t>40</w:t>
      </w:r>
      <w:r w:rsidR="00C658DF" w:rsidRPr="003072E1">
        <w:t>% of</w:t>
      </w:r>
      <w:r w:rsidR="00C658DF">
        <w:t xml:space="preserve"> eligible participants </w:t>
      </w:r>
      <w:r w:rsidR="008566B8">
        <w:t xml:space="preserve">participated in the post-exit </w:t>
      </w:r>
      <w:r w:rsidR="00042F05">
        <w:t xml:space="preserve">process since its inception, suggesting that it will be a rich data source </w:t>
      </w:r>
      <w:r w:rsidR="00354741">
        <w:t>for analysis of sustained outcomes in the future.</w:t>
      </w:r>
    </w:p>
    <w:p w14:paraId="7F8F3D57" w14:textId="064659D2" w:rsidR="005D068C" w:rsidRDefault="006A2742" w:rsidP="005D068C">
      <w:pPr>
        <w:shd w:val="clear" w:color="auto" w:fill="F6F9F7"/>
      </w:pPr>
      <w:r w:rsidRPr="006A2742">
        <w:rPr>
          <w:rFonts w:asciiTheme="majorHAnsi" w:hAnsiTheme="majorHAnsi"/>
        </w:rPr>
        <w:t>Quote (Former STPP participant)</w:t>
      </w:r>
      <w:proofErr w:type="gramStart"/>
      <w:r w:rsidRPr="006A2742">
        <w:rPr>
          <w:rFonts w:asciiTheme="majorHAnsi" w:hAnsiTheme="majorHAnsi"/>
        </w:rPr>
        <w:t>:</w:t>
      </w:r>
      <w:r>
        <w:t xml:space="preserve"> </w:t>
      </w:r>
      <w:r w:rsidR="008933DA">
        <w:t>”</w:t>
      </w:r>
      <w:r w:rsidR="008933DA" w:rsidRPr="006F7FD7">
        <w:t>The</w:t>
      </w:r>
      <w:proofErr w:type="gramEnd"/>
      <w:r w:rsidR="005D068C" w:rsidRPr="006F7FD7">
        <w:t xml:space="preserve"> federal police dropped the case. Then Red Cross finished. I had to walk out [of the hotel where I was staying]. I took a bag of clothes and a bed cover and slept on the streets… The</w:t>
      </w:r>
      <w:r w:rsidR="005D068C">
        <w:t>y</w:t>
      </w:r>
      <w:r w:rsidR="005D068C" w:rsidRPr="006F7FD7">
        <w:t xml:space="preserve"> said they could continue renting a place for $200 a month </w:t>
      </w:r>
      <w:r w:rsidR="005D068C">
        <w:t>[</w:t>
      </w:r>
      <w:r w:rsidR="005D068C" w:rsidRPr="006F7FD7">
        <w:t>but I don’t have work rights and am not eligible for Centrelink]. They provided an address for housing providers, I went to see them, but they only provide homes for people on permanent visa, and I was on a temporary visa.</w:t>
      </w:r>
      <w:r w:rsidR="001529BD">
        <w:t>”</w:t>
      </w:r>
      <w:r w:rsidR="005D068C" w:rsidRPr="006F7FD7">
        <w:t xml:space="preserve"> </w:t>
      </w:r>
    </w:p>
    <w:p w14:paraId="048C36E3" w14:textId="435F0139" w:rsidR="00115658" w:rsidRDefault="00115658" w:rsidP="007E0AFE">
      <w:pPr>
        <w:widowControl w:val="0"/>
      </w:pPr>
      <w:r w:rsidRPr="00F477DF">
        <w:t>Initial findings from the check-ins suggest a generally positive short-term trajectory for many participants, particularly in housing stability, mental health and community connection. However, financial independence remains a more difficult goal to achieve and sustain. Outcomes varied significantly, and it is not possible to determine from available data how much of the post-exit progress can be attributed directly to the program.</w:t>
      </w:r>
    </w:p>
    <w:p w14:paraId="396D4C77" w14:textId="41746D00" w:rsidR="003D5C0E" w:rsidRDefault="003D5C0E" w:rsidP="007E0AFE">
      <w:pPr>
        <w:widowControl w:val="0"/>
      </w:pPr>
      <w:r w:rsidRPr="00F477DF">
        <w:t>Caseworker</w:t>
      </w:r>
      <w:r>
        <w:t xml:space="preserve">s and participants </w:t>
      </w:r>
      <w:r w:rsidRPr="00F477DF">
        <w:t xml:space="preserve">further </w:t>
      </w:r>
      <w:r>
        <w:t>suggest</w:t>
      </w:r>
      <w:r w:rsidR="2BF86555">
        <w:t>ed</w:t>
      </w:r>
      <w:r w:rsidRPr="00F477DF">
        <w:t xml:space="preserve"> that language barriers, complex health needs or insecure visa status </w:t>
      </w:r>
      <w:r>
        <w:t>can contribute to vulnerability post-</w:t>
      </w:r>
      <w:r w:rsidRPr="00F477DF">
        <w:t>exit</w:t>
      </w:r>
      <w:r w:rsidR="00534ADE">
        <w:t xml:space="preserve">, </w:t>
      </w:r>
      <w:r w:rsidRPr="00F477DF">
        <w:t xml:space="preserve">particularly if support ends before </w:t>
      </w:r>
      <w:r>
        <w:t xml:space="preserve">people </w:t>
      </w:r>
      <w:r w:rsidRPr="00F477DF">
        <w:t xml:space="preserve">are equipped to navigate systems </w:t>
      </w:r>
      <w:r w:rsidR="00290A4A" w:rsidRPr="00F477DF">
        <w:t>independently</w:t>
      </w:r>
      <w:r w:rsidR="00290A4A">
        <w:t xml:space="preserve"> or</w:t>
      </w:r>
      <w:r>
        <w:t xml:space="preserve"> have challenges finding</w:t>
      </w:r>
      <w:r w:rsidRPr="00F477DF">
        <w:t xml:space="preserve"> work </w:t>
      </w:r>
      <w:r>
        <w:t>or</w:t>
      </w:r>
      <w:r w:rsidRPr="00F477DF">
        <w:t xml:space="preserve"> adequate or stable accommodation.</w:t>
      </w:r>
    </w:p>
    <w:p w14:paraId="5E8D7725" w14:textId="710AE490" w:rsidR="00B4657C" w:rsidRDefault="003D5C0E" w:rsidP="007E0AFE">
      <w:r>
        <w:t xml:space="preserve">Of the four former participants who took part in qualitative interviews for this evaluation, two were financially independent and either studying or employed. However, the other two were </w:t>
      </w:r>
      <w:r w:rsidR="0000685D">
        <w:t>facing crisis situations</w:t>
      </w:r>
      <w:r>
        <w:t xml:space="preserve">. In one case, a former participant </w:t>
      </w:r>
      <w:r w:rsidR="005C60AB">
        <w:t>was homeless</w:t>
      </w:r>
      <w:r>
        <w:t xml:space="preserve"> after spending </w:t>
      </w:r>
      <w:r w:rsidR="007C65C1">
        <w:t xml:space="preserve">several </w:t>
      </w:r>
      <w:r>
        <w:t xml:space="preserve">months in a serviced hotel paid for by </w:t>
      </w:r>
      <w:r w:rsidR="7263FF75">
        <w:t xml:space="preserve">the </w:t>
      </w:r>
      <w:r>
        <w:t>STPP. They were no longer eligible to receive supports because the AFP had ceased the investigation into their case, their bridging visa was</w:t>
      </w:r>
      <w:r w:rsidR="001C771C">
        <w:t xml:space="preserve"> </w:t>
      </w:r>
      <w:r w:rsidR="005E4667">
        <w:t>cancelled,</w:t>
      </w:r>
      <w:r w:rsidR="00AB1BA0">
        <w:t xml:space="preserve"> and t</w:t>
      </w:r>
      <w:r w:rsidR="00E576C5">
        <w:t>heir immigration status was unresolved</w:t>
      </w:r>
      <w:r w:rsidR="00F7110F">
        <w:rPr>
          <w:rStyle w:val="FootnoteReference"/>
        </w:rPr>
        <w:footnoteReference w:id="18"/>
      </w:r>
      <w:r>
        <w:t xml:space="preserve">. </w:t>
      </w:r>
      <w:r w:rsidR="005C60AB">
        <w:t xml:space="preserve">Addressing this circumstance within the STPP requires a change in program eligibility and the Australian visa </w:t>
      </w:r>
      <w:proofErr w:type="gramStart"/>
      <w:r w:rsidR="005C60AB">
        <w:t>framework</w:t>
      </w:r>
      <w:r w:rsidR="00B4657C">
        <w:t>, and</w:t>
      </w:r>
      <w:proofErr w:type="gramEnd"/>
      <w:r w:rsidR="00B4657C">
        <w:t xml:space="preserve"> will likely have considerable cost considerations. Modelling this change is outside the scope of this </w:t>
      </w:r>
      <w:proofErr w:type="gramStart"/>
      <w:r w:rsidR="00B4657C">
        <w:t>evaluation, and</w:t>
      </w:r>
      <w:proofErr w:type="gramEnd"/>
      <w:r w:rsidR="00B4657C">
        <w:t xml:space="preserve"> has been recommended as an area of future action for government. </w:t>
      </w:r>
    </w:p>
    <w:p w14:paraId="551301C6" w14:textId="4D50B791" w:rsidR="00291463" w:rsidRDefault="00291463" w:rsidP="00291463">
      <w:pPr>
        <w:spacing w:before="0"/>
      </w:pPr>
      <w:r>
        <w:t>There may also be support options outside the STPP.</w:t>
      </w:r>
    </w:p>
    <w:p w14:paraId="3AD668F0" w14:textId="62A00032" w:rsidR="00076508" w:rsidRDefault="006A2742" w:rsidP="006A7532">
      <w:pPr>
        <w:shd w:val="clear" w:color="auto" w:fill="F6F9F7"/>
      </w:pPr>
      <w:r w:rsidRPr="006A2742">
        <w:rPr>
          <w:rFonts w:asciiTheme="majorHAnsi" w:hAnsiTheme="majorHAnsi"/>
        </w:rPr>
        <w:t>Quote (STPP participant)</w:t>
      </w:r>
      <w:proofErr w:type="gramStart"/>
      <w:r w:rsidRPr="006A2742">
        <w:rPr>
          <w:rFonts w:asciiTheme="majorHAnsi" w:hAnsiTheme="majorHAnsi"/>
        </w:rPr>
        <w:t>:</w:t>
      </w:r>
      <w:r>
        <w:t xml:space="preserve"> </w:t>
      </w:r>
      <w:r w:rsidR="006A7532">
        <w:t>”</w:t>
      </w:r>
      <w:r w:rsidR="00076508">
        <w:t>They</w:t>
      </w:r>
      <w:proofErr w:type="gramEnd"/>
      <w:r w:rsidR="00076508">
        <w:t xml:space="preserve"> made me feel I was not alone and that really made me feel secure and safe. (STPP participant)</w:t>
      </w:r>
    </w:p>
    <w:p w14:paraId="4E8495A7" w14:textId="77777777" w:rsidR="00076508" w:rsidRDefault="00076508" w:rsidP="006A7532">
      <w:pPr>
        <w:shd w:val="clear" w:color="auto" w:fill="F6F9F7"/>
      </w:pPr>
      <w:r>
        <w:t>They made sure I never felt alone throughout the process, constantly checking in and offering a safe space for me to share my feelings... They were there when I needed someone to talk to, and it gave me the confidence to keep going. (STPP participant)</w:t>
      </w:r>
    </w:p>
    <w:p w14:paraId="4F6E1909" w14:textId="00E815FB" w:rsidR="00076508" w:rsidRDefault="00076508" w:rsidP="006A2742">
      <w:pPr>
        <w:shd w:val="clear" w:color="auto" w:fill="F6F9F7"/>
        <w:spacing w:after="0"/>
      </w:pPr>
      <w:r>
        <w:t>The</w:t>
      </w:r>
      <w:r w:rsidRPr="00266FEB">
        <w:t xml:space="preserve"> thing that I found helpful is that I got connected to other lived experience survivors… so I didn’t feel isolated. We can understand each other… we all come from a place of pain… I love our facilitator as well… [What would be good is to] have some sort of peer support outside of the program, like people we can call on to come with to appointments. It should be able to go on beyond the life of STPP.</w:t>
      </w:r>
      <w:r w:rsidR="006A7532">
        <w:t>”</w:t>
      </w:r>
      <w:r w:rsidRPr="00266FEB">
        <w:t xml:space="preserve"> </w:t>
      </w:r>
    </w:p>
    <w:p w14:paraId="19C9AE53" w14:textId="3007AE3D" w:rsidR="00B31597" w:rsidRPr="00B31597" w:rsidRDefault="00A4023E" w:rsidP="00392B32">
      <w:pPr>
        <w:pStyle w:val="Heading6"/>
        <w:rPr>
          <w:noProof/>
        </w:rPr>
      </w:pPr>
      <w:r>
        <w:rPr>
          <w:noProof/>
        </w:rPr>
        <w:t>Case</w:t>
      </w:r>
      <w:r w:rsidR="00E501FD">
        <w:rPr>
          <w:noProof/>
        </w:rPr>
        <w:t xml:space="preserve"> study</w:t>
      </w:r>
      <w:r w:rsidR="00273E87">
        <w:rPr>
          <w:noProof/>
        </w:rPr>
        <w:t xml:space="preserve"> 1: Priy</w:t>
      </w:r>
      <w:r w:rsidR="00990F8A">
        <w:rPr>
          <w:noProof/>
        </w:rPr>
        <w:t>a</w:t>
      </w:r>
    </w:p>
    <w:p w14:paraId="36E0CBCA" w14:textId="17A80E32" w:rsidR="00B2744D" w:rsidRDefault="00B2744D" w:rsidP="007E0AFE">
      <w:r>
        <w:t xml:space="preserve">Priya* (*pseudonym) returned to Australia after a call from the AFP—bringing only her three-year-old son and a suitcase. She had no support network, no bank account, and little idea how to navigate life here. </w:t>
      </w:r>
    </w:p>
    <w:p w14:paraId="68F6E63D" w14:textId="77777777" w:rsidR="00B2744D" w:rsidRDefault="00B2744D" w:rsidP="007E0AFE">
      <w:r>
        <w:lastRenderedPageBreak/>
        <w:t>The STPP helped with the basics—shelter, food, safety—but she quickly realised support was limited, especially for her son. A turning point came when another mother asked which preschool he attended. Until then, she hadn’t known that was even an option. Although her caseworker referred her to Centrelink, it was other mums at the playground who helped her enrol him. She struggled to balance his medical needs with casual work and limited childcare. Despite being a qualified medical professional, her degree wasn’t recognised in Australia. Early support gaps left her scrambling for information and fighting for access to care.</w:t>
      </w:r>
    </w:p>
    <w:p w14:paraId="62EB948A" w14:textId="77777777" w:rsidR="00B2744D" w:rsidRDefault="00B2744D" w:rsidP="007E0AFE">
      <w:r>
        <w:t>Today, her son is thriving. She’s grateful for the caseworker’s guidance and Australia’s healthcare, but the ongoing AFP case and uncertain visa status still weigh heavily. The fear of being forced to leave, of uprooting her son from the life he’s built, is constant. She’s more confident now, but the future remains uncertain.</w:t>
      </w:r>
    </w:p>
    <w:p w14:paraId="767CA068" w14:textId="1C6C5F2D" w:rsidR="00B2744D" w:rsidRDefault="00B2744D" w:rsidP="007E0AFE">
      <w:r>
        <w:t xml:space="preserve">Quote: </w:t>
      </w:r>
      <w:r w:rsidR="005B79F4">
        <w:t>“</w:t>
      </w:r>
      <w:r>
        <w:t xml:space="preserve">I'm grateful for the support, but the uncertainty of how long this will last and what happens after is always hanging over me. I </w:t>
      </w:r>
      <w:proofErr w:type="gramStart"/>
      <w:r>
        <w:t>have to</w:t>
      </w:r>
      <w:proofErr w:type="gramEnd"/>
      <w:r>
        <w:t xml:space="preserve"> keep fighting for my son's future, but it's exhausting.</w:t>
      </w:r>
      <w:r w:rsidR="005B79F4">
        <w:t>”</w:t>
      </w:r>
    </w:p>
    <w:p w14:paraId="2622AEB8" w14:textId="77777777" w:rsidR="00B2744D" w:rsidRPr="00EE6425" w:rsidRDefault="00B2744D" w:rsidP="007E0AFE">
      <w:pPr>
        <w:rPr>
          <w:rFonts w:asciiTheme="majorHAnsi" w:hAnsiTheme="majorHAnsi"/>
        </w:rPr>
      </w:pPr>
      <w:r w:rsidRPr="00EE6425">
        <w:rPr>
          <w:rFonts w:asciiTheme="majorHAnsi" w:hAnsiTheme="majorHAnsi"/>
        </w:rPr>
        <w:t>Pathway to STPP:</w:t>
      </w:r>
    </w:p>
    <w:p w14:paraId="1B9599D8" w14:textId="636EC7A1" w:rsidR="00B2744D" w:rsidRDefault="00B2744D" w:rsidP="007E0AFE">
      <w:pPr>
        <w:pStyle w:val="NumList"/>
        <w:numPr>
          <w:ilvl w:val="0"/>
          <w:numId w:val="21"/>
        </w:numPr>
      </w:pPr>
      <w:r>
        <w:t>Returned to home overseas following experience of exploitation.</w:t>
      </w:r>
    </w:p>
    <w:p w14:paraId="553BB481" w14:textId="7E0AD38D" w:rsidR="00B2744D" w:rsidRDefault="00B2744D" w:rsidP="007E0AFE">
      <w:pPr>
        <w:pStyle w:val="NumList"/>
      </w:pPr>
      <w:r>
        <w:t>Contacted by AFP about an investigation into the exploitation.</w:t>
      </w:r>
    </w:p>
    <w:p w14:paraId="6E88AC2D" w14:textId="02BA98BF" w:rsidR="00B2744D" w:rsidRDefault="00B2744D" w:rsidP="007E0AFE">
      <w:pPr>
        <w:pStyle w:val="NumList"/>
      </w:pPr>
      <w:r>
        <w:t>Returned to Australia to assist with the investigation, with support of the STPP.</w:t>
      </w:r>
    </w:p>
    <w:p w14:paraId="0C422918" w14:textId="77777777" w:rsidR="00B2744D" w:rsidRPr="00EE6425" w:rsidRDefault="00B2744D" w:rsidP="007E0AFE">
      <w:pPr>
        <w:rPr>
          <w:rFonts w:asciiTheme="majorHAnsi" w:hAnsiTheme="majorHAnsi"/>
        </w:rPr>
      </w:pPr>
      <w:r w:rsidRPr="00EE6425">
        <w:rPr>
          <w:rFonts w:asciiTheme="majorHAnsi" w:hAnsiTheme="majorHAnsi"/>
        </w:rPr>
        <w:t>Feelings:</w:t>
      </w:r>
    </w:p>
    <w:p w14:paraId="612F432D" w14:textId="77777777" w:rsidR="00B2744D" w:rsidRDefault="00B2744D" w:rsidP="007E0AFE">
      <w:pPr>
        <w:pStyle w:val="Bullet1"/>
      </w:pPr>
      <w:r>
        <w:t>On entry: Overwhelmed but relief at having immediate needs met; Supported by caseworker; Motivated by prospect of justice.</w:t>
      </w:r>
    </w:p>
    <w:p w14:paraId="6D30FDCC" w14:textId="77777777" w:rsidR="00B2744D" w:rsidRDefault="00B2744D" w:rsidP="007E0AFE">
      <w:pPr>
        <w:pStyle w:val="Bullet1"/>
      </w:pPr>
      <w:r>
        <w:t xml:space="preserve">After ISS: Sense of normalcy/routine with part-time work; Joy in seeing son thrive at childcare and then school; Frustration with navigating complex </w:t>
      </w:r>
      <w:proofErr w:type="gramStart"/>
      <w:r>
        <w:t>systems .</w:t>
      </w:r>
      <w:proofErr w:type="gramEnd"/>
    </w:p>
    <w:p w14:paraId="0B855CE5" w14:textId="311BFFBF" w:rsidR="00B2744D" w:rsidRDefault="00B2744D" w:rsidP="007E0AFE">
      <w:pPr>
        <w:pStyle w:val="Bullet1"/>
      </w:pPr>
      <w:r>
        <w:t>Current: Anxiety about potential program exit and its impact on her and her son's stability; Frustration at not being able to make long term plans; Stability feels precarious.</w:t>
      </w:r>
    </w:p>
    <w:p w14:paraId="16497252" w14:textId="77777777" w:rsidR="00B2744D" w:rsidRPr="00EE6425" w:rsidRDefault="00B2744D" w:rsidP="007E0AFE">
      <w:pPr>
        <w:rPr>
          <w:rFonts w:asciiTheme="majorHAnsi" w:hAnsiTheme="majorHAnsi"/>
        </w:rPr>
      </w:pPr>
      <w:r w:rsidRPr="00EE6425">
        <w:rPr>
          <w:rFonts w:asciiTheme="majorHAnsi" w:hAnsiTheme="majorHAnsi"/>
        </w:rPr>
        <w:t>Program goals &amp; support</w:t>
      </w:r>
    </w:p>
    <w:p w14:paraId="1AB35EF3" w14:textId="5D4FEDCF" w:rsidR="00B2744D" w:rsidRDefault="00B2744D" w:rsidP="007E0AFE">
      <w:pPr>
        <w:pStyle w:val="Bullet1"/>
      </w:pPr>
      <w:r>
        <w:t>Goals: Stability for herself and her son; Return to professional career; Son’s long term medical and education needs met; Seeking justice.</w:t>
      </w:r>
    </w:p>
    <w:p w14:paraId="6E4E5BBA" w14:textId="15C6E9D3" w:rsidR="00B2744D" w:rsidRDefault="00B2744D" w:rsidP="007E0AFE">
      <w:pPr>
        <w:pStyle w:val="Bullet1"/>
      </w:pPr>
      <w:r>
        <w:t>Support received: Initial accommodation; Letter of support for long-term lease agreement; Medicare card; Bank account set up; Referral to counsellor; Emotional and service navigation support.</w:t>
      </w:r>
    </w:p>
    <w:p w14:paraId="0A36C3F2" w14:textId="14E25BBC" w:rsidR="00DC06D8" w:rsidRDefault="00B2744D" w:rsidP="007E0AFE">
      <w:pPr>
        <w:pStyle w:val="Bullet1"/>
      </w:pPr>
      <w:r>
        <w:t xml:space="preserve">Monetary allowance: </w:t>
      </w:r>
      <w:proofErr w:type="gramStart"/>
      <w:r>
        <w:t>Short and Long Term</w:t>
      </w:r>
      <w:proofErr w:type="gramEnd"/>
      <w:r>
        <w:t xml:space="preserve"> Accommodation Allowances; Household Set-up Allowance; Counselling/Psychology Allowance; Dependents Allowance; Emergency items allowance.</w:t>
      </w:r>
    </w:p>
    <w:p w14:paraId="5C61EE46" w14:textId="40A806DC" w:rsidR="00DC0B4B" w:rsidRPr="00FF6B7A" w:rsidRDefault="003D4BE6" w:rsidP="007E0AFE">
      <w:pPr>
        <w:pStyle w:val="Heading4"/>
      </w:pPr>
      <w:bookmarkStart w:id="30" w:name="_Toc198367927"/>
      <w:r w:rsidRPr="00FF6B7A">
        <w:t>Justice outcomes</w:t>
      </w:r>
      <w:bookmarkEnd w:id="30"/>
    </w:p>
    <w:p w14:paraId="59B3202F" w14:textId="096D77DC" w:rsidR="00F969FB" w:rsidRPr="00FF6B7A" w:rsidRDefault="00F969FB" w:rsidP="007E0AFE">
      <w:r w:rsidRPr="00FF6B7A">
        <w:t xml:space="preserve">The evaluation assessed </w:t>
      </w:r>
      <w:r w:rsidR="003548F0">
        <w:t>one</w:t>
      </w:r>
      <w:r w:rsidRPr="00FF6B7A">
        <w:t xml:space="preserve"> justice system outcome</w:t>
      </w:r>
      <w:r w:rsidR="003548F0">
        <w:t xml:space="preserve">: </w:t>
      </w:r>
      <w:r w:rsidR="00A22B67">
        <w:t>People with HTMS experiences</w:t>
      </w:r>
      <w:r w:rsidR="00FB50B2" w:rsidRPr="00FF6B7A">
        <w:t xml:space="preserve"> who elect to do so are supported to participate in the criminal justice process</w:t>
      </w:r>
      <w:r w:rsidR="00772096" w:rsidRPr="00FF6B7A">
        <w:t>.</w:t>
      </w:r>
      <w:r w:rsidR="008C3D06">
        <w:t xml:space="preserve"> </w:t>
      </w:r>
      <w:r w:rsidR="00BE7CA0">
        <w:t xml:space="preserve">Long term </w:t>
      </w:r>
      <w:r w:rsidR="008C3D06">
        <w:t xml:space="preserve">justice system outcomes </w:t>
      </w:r>
      <w:proofErr w:type="gramStart"/>
      <w:r w:rsidR="008C3D06">
        <w:t xml:space="preserve">were not </w:t>
      </w:r>
      <w:r w:rsidR="00C846CC">
        <w:t>able to</w:t>
      </w:r>
      <w:proofErr w:type="gramEnd"/>
      <w:r w:rsidR="00C846CC">
        <w:t xml:space="preserve"> be </w:t>
      </w:r>
      <w:r w:rsidR="008C3D06">
        <w:t xml:space="preserve">addressed </w:t>
      </w:r>
      <w:r w:rsidR="00C846CC">
        <w:t>wi</w:t>
      </w:r>
      <w:r w:rsidR="00814E41">
        <w:t>th the participant dataset used in this evaluation (i.e. 2018 onwards)</w:t>
      </w:r>
      <w:r w:rsidR="00957A8A">
        <w:t>.</w:t>
      </w:r>
    </w:p>
    <w:p w14:paraId="33EE1661" w14:textId="6B6592EC" w:rsidR="00281AF9" w:rsidRPr="00400424" w:rsidRDefault="0063617F" w:rsidP="00400424">
      <w:pPr>
        <w:pStyle w:val="Heading5"/>
        <w:spacing w:before="40" w:after="0" w:line="240" w:lineRule="auto"/>
        <w:rPr>
          <w:sz w:val="24"/>
        </w:rPr>
      </w:pPr>
      <w:bookmarkStart w:id="31" w:name="_Ref196384752"/>
      <w:r w:rsidRPr="00400424">
        <w:rPr>
          <w:sz w:val="24"/>
        </w:rPr>
        <w:lastRenderedPageBreak/>
        <w:t xml:space="preserve">Outcome </w:t>
      </w:r>
      <w:r w:rsidR="00B3655D" w:rsidRPr="00400424">
        <w:rPr>
          <w:sz w:val="24"/>
        </w:rPr>
        <w:t>1</w:t>
      </w:r>
      <w:r w:rsidR="00F969FB" w:rsidRPr="00400424">
        <w:rPr>
          <w:sz w:val="24"/>
        </w:rPr>
        <w:t>c</w:t>
      </w:r>
      <w:r w:rsidRPr="00400424">
        <w:rPr>
          <w:sz w:val="24"/>
        </w:rPr>
        <w:t xml:space="preserve">: </w:t>
      </w:r>
      <w:r w:rsidR="00A22B67" w:rsidRPr="00400424">
        <w:rPr>
          <w:sz w:val="24"/>
        </w:rPr>
        <w:t>People with HTMS experiences</w:t>
      </w:r>
      <w:r w:rsidR="003D4BE6" w:rsidRPr="00400424">
        <w:rPr>
          <w:sz w:val="24"/>
        </w:rPr>
        <w:t xml:space="preserve"> who elect to do so are supported to participate in the criminal justice process</w:t>
      </w:r>
      <w:bookmarkEnd w:id="31"/>
    </w:p>
    <w:p w14:paraId="53237FEB" w14:textId="23A97CE4" w:rsidR="003D4BE6" w:rsidRPr="00400424" w:rsidRDefault="00F969FB" w:rsidP="00400424">
      <w:pPr>
        <w:pStyle w:val="Heading6"/>
        <w:rPr>
          <w:i/>
          <w:iCs/>
          <w:sz w:val="20"/>
          <w:szCs w:val="20"/>
        </w:rPr>
      </w:pPr>
      <w:r w:rsidRPr="00400424">
        <w:rPr>
          <w:i/>
          <w:iCs/>
          <w:sz w:val="20"/>
          <w:szCs w:val="20"/>
        </w:rPr>
        <w:t xml:space="preserve">Outcome </w:t>
      </w:r>
      <w:r w:rsidR="00B3655D" w:rsidRPr="00400424">
        <w:rPr>
          <w:i/>
          <w:iCs/>
          <w:sz w:val="20"/>
          <w:szCs w:val="20"/>
        </w:rPr>
        <w:t>1</w:t>
      </w:r>
      <w:r w:rsidRPr="00400424">
        <w:rPr>
          <w:i/>
          <w:iCs/>
          <w:sz w:val="20"/>
          <w:szCs w:val="20"/>
        </w:rPr>
        <w:t xml:space="preserve">c, </w:t>
      </w:r>
      <w:r w:rsidR="00D35F17" w:rsidRPr="00400424">
        <w:rPr>
          <w:i/>
          <w:iCs/>
          <w:sz w:val="20"/>
          <w:szCs w:val="20"/>
        </w:rPr>
        <w:t>Indicator</w:t>
      </w:r>
      <w:r w:rsidRPr="00400424">
        <w:rPr>
          <w:i/>
          <w:iCs/>
          <w:sz w:val="20"/>
          <w:szCs w:val="20"/>
        </w:rPr>
        <w:t xml:space="preserve"> 1</w:t>
      </w:r>
      <w:r w:rsidR="00D35F17" w:rsidRPr="00400424">
        <w:rPr>
          <w:i/>
          <w:iCs/>
          <w:sz w:val="20"/>
          <w:szCs w:val="20"/>
        </w:rPr>
        <w:t xml:space="preserve">: Number and proportion of </w:t>
      </w:r>
      <w:r w:rsidR="00A22B67" w:rsidRPr="00400424">
        <w:rPr>
          <w:i/>
          <w:iCs/>
          <w:sz w:val="20"/>
          <w:szCs w:val="20"/>
        </w:rPr>
        <w:t>people with HTMS experiences</w:t>
      </w:r>
      <w:r w:rsidR="00D35F17" w:rsidRPr="00400424">
        <w:rPr>
          <w:i/>
          <w:iCs/>
          <w:sz w:val="20"/>
          <w:szCs w:val="20"/>
        </w:rPr>
        <w:t xml:space="preserve"> who participate in criminal justice processes</w:t>
      </w:r>
    </w:p>
    <w:p w14:paraId="24615C27" w14:textId="788F4BDA" w:rsidR="00291463" w:rsidRDefault="00291463" w:rsidP="00291463">
      <w:pPr>
        <w:pStyle w:val="Caption"/>
      </w:pPr>
      <w:r>
        <w:t xml:space="preserve">Table </w:t>
      </w:r>
      <w:r>
        <w:fldChar w:fldCharType="begin"/>
      </w:r>
      <w:r>
        <w:instrText xml:space="preserve"> SEQ Table \* ARABIC </w:instrText>
      </w:r>
      <w:r>
        <w:fldChar w:fldCharType="separate"/>
      </w:r>
      <w:r w:rsidR="00D9323B">
        <w:rPr>
          <w:noProof/>
        </w:rPr>
        <w:t>21</w:t>
      </w:r>
      <w:r>
        <w:fldChar w:fldCharType="end"/>
      </w:r>
      <w:r>
        <w:t>.</w:t>
      </w:r>
      <w:r w:rsidRPr="00291463">
        <w:t xml:space="preserve"> </w:t>
      </w:r>
      <w:r>
        <w:t>Outcome 1c, Indicator 1, Outcomes identified</w:t>
      </w:r>
      <w:r w:rsidR="004807F5" w:rsidRPr="004807F5">
        <w:t xml:space="preserve"> </w:t>
      </w:r>
      <w:r w:rsidR="004807F5">
        <w:t>in evaluation</w:t>
      </w:r>
      <w:r>
        <w:t>,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291463" w14:paraId="42DB37A8" w14:textId="77777777" w:rsidTr="00B8428F">
        <w:trPr>
          <w:cantSplit/>
          <w:tblHeader/>
        </w:trPr>
        <w:tc>
          <w:tcPr>
            <w:tcW w:w="2972" w:type="dxa"/>
            <w:shd w:val="clear" w:color="auto" w:fill="425563" w:themeFill="text1"/>
          </w:tcPr>
          <w:p w14:paraId="0BD8379B" w14:textId="49172969" w:rsidR="00291463" w:rsidRPr="00CD26F6" w:rsidRDefault="00291463" w:rsidP="00291463">
            <w:pPr>
              <w:pStyle w:val="Tableheadwhite"/>
            </w:pPr>
            <w:r>
              <w:t>Area</w:t>
            </w:r>
          </w:p>
        </w:tc>
        <w:tc>
          <w:tcPr>
            <w:tcW w:w="7485" w:type="dxa"/>
            <w:shd w:val="clear" w:color="auto" w:fill="425563" w:themeFill="text1"/>
          </w:tcPr>
          <w:p w14:paraId="00D9E963" w14:textId="53AC0E1B" w:rsidR="00291463" w:rsidRPr="00534ADE" w:rsidRDefault="00291463" w:rsidP="00291463">
            <w:pPr>
              <w:pStyle w:val="Tableheadwhite"/>
            </w:pPr>
            <w:r>
              <w:t>Detail</w:t>
            </w:r>
          </w:p>
        </w:tc>
      </w:tr>
      <w:tr w:rsidR="00963F68" w14:paraId="131D7C94" w14:textId="77777777" w:rsidTr="00B8428F">
        <w:trPr>
          <w:cantSplit/>
        </w:trPr>
        <w:tc>
          <w:tcPr>
            <w:tcW w:w="2972" w:type="dxa"/>
            <w:shd w:val="clear" w:color="auto" w:fill="F6F9F7"/>
          </w:tcPr>
          <w:p w14:paraId="773D0C1A" w14:textId="77777777" w:rsidR="00963F68" w:rsidRDefault="00963F68" w:rsidP="007E0AFE">
            <w:pPr>
              <w:pStyle w:val="TableHeader"/>
            </w:pPr>
            <w:r w:rsidRPr="00CD26F6">
              <w:t>Outcomes identified in evaluation</w:t>
            </w:r>
          </w:p>
        </w:tc>
        <w:tc>
          <w:tcPr>
            <w:tcW w:w="7485" w:type="dxa"/>
          </w:tcPr>
          <w:p w14:paraId="2BD69297" w14:textId="7EAE1763" w:rsidR="0094287D" w:rsidRPr="006C2BBF" w:rsidRDefault="00B43199" w:rsidP="007E0AFE">
            <w:pPr>
              <w:pStyle w:val="Tabledot2"/>
            </w:pPr>
            <w:r w:rsidRPr="00534ADE">
              <w:t>A total of nine participants from July 2018 to Dec 2024 (3%) had their criminal justice process finalised</w:t>
            </w:r>
            <w:r w:rsidR="00ED3E92">
              <w:t xml:space="preserve"> (</w:t>
            </w:r>
            <w:r w:rsidR="00782C9A">
              <w:t>it is not clear from the program data how many resulted in convictions</w:t>
            </w:r>
            <w:r w:rsidR="004D642F">
              <w:t>, and this evaluation</w:t>
            </w:r>
            <w:r w:rsidR="00E261A3">
              <w:t xml:space="preserve"> did not receive these data from AFP</w:t>
            </w:r>
            <w:r w:rsidR="00782C9A">
              <w:t>)</w:t>
            </w:r>
            <w:r w:rsidRPr="00534ADE">
              <w:t>, with their HTMS case proceeding to court</w:t>
            </w:r>
            <w:r>
              <w:t>.</w:t>
            </w:r>
          </w:p>
          <w:p w14:paraId="7C062745" w14:textId="4BCCD89A" w:rsidR="00963F68" w:rsidRPr="00534ADE" w:rsidRDefault="008C7291" w:rsidP="007E0AFE">
            <w:pPr>
              <w:pStyle w:val="Tabledot2"/>
            </w:pPr>
            <w:r>
              <w:t>The STPP provider</w:t>
            </w:r>
            <w:r w:rsidRPr="005C60AB">
              <w:t xml:space="preserve"> </w:t>
            </w:r>
            <w:r w:rsidR="005C60AB">
              <w:t>has</w:t>
            </w:r>
            <w:r>
              <w:t xml:space="preserve"> noted that </w:t>
            </w:r>
            <w:r w:rsidR="003B2711">
              <w:t>in addition to</w:t>
            </w:r>
            <w:r w:rsidRPr="005C60AB">
              <w:t xml:space="preserve"> </w:t>
            </w:r>
            <w:r w:rsidR="0094287D">
              <w:t xml:space="preserve">finalised criminal justice processes </w:t>
            </w:r>
            <w:r w:rsidR="003B2711">
              <w:t xml:space="preserve">other criminal justice outcomes aided by the STPP include </w:t>
            </w:r>
            <w:r w:rsidR="0006271D">
              <w:t xml:space="preserve">healing for people with HTMS experiences </w:t>
            </w:r>
            <w:r w:rsidR="003B2711">
              <w:t xml:space="preserve">(via support to participant in criminal </w:t>
            </w:r>
            <w:r w:rsidR="00D02F68">
              <w:t xml:space="preserve">matters) </w:t>
            </w:r>
            <w:r w:rsidR="00D02F68" w:rsidRPr="005C60AB">
              <w:t>and</w:t>
            </w:r>
            <w:r w:rsidR="0006271D">
              <w:t xml:space="preserve"> disruption and deterrence </w:t>
            </w:r>
            <w:r w:rsidR="003E04E2">
              <w:t xml:space="preserve">(via support to AFP </w:t>
            </w:r>
            <w:r w:rsidR="003F00F3">
              <w:t>activities</w:t>
            </w:r>
            <w:r w:rsidR="003E04E2">
              <w:t xml:space="preserve">). </w:t>
            </w:r>
          </w:p>
        </w:tc>
      </w:tr>
      <w:tr w:rsidR="00963F68" w14:paraId="790A9101" w14:textId="77777777" w:rsidTr="00B8428F">
        <w:trPr>
          <w:cantSplit/>
        </w:trPr>
        <w:tc>
          <w:tcPr>
            <w:tcW w:w="2972" w:type="dxa"/>
            <w:shd w:val="clear" w:color="auto" w:fill="F6F9F7"/>
          </w:tcPr>
          <w:p w14:paraId="6D40ECA4" w14:textId="77777777" w:rsidR="00963F68" w:rsidRDefault="00963F68" w:rsidP="007E0AFE">
            <w:pPr>
              <w:pStyle w:val="TableHeader"/>
            </w:pPr>
            <w:r w:rsidRPr="00CD26F6">
              <w:t>Discussion of supporting evidence</w:t>
            </w:r>
          </w:p>
        </w:tc>
        <w:tc>
          <w:tcPr>
            <w:tcW w:w="7485" w:type="dxa"/>
          </w:tcPr>
          <w:p w14:paraId="16B600BF" w14:textId="13591811" w:rsidR="00D42CF2" w:rsidRDefault="00D42CF2" w:rsidP="007E0AFE">
            <w:pPr>
              <w:pStyle w:val="Tabledot2"/>
            </w:pPr>
            <w:r>
              <w:t>The above</w:t>
            </w:r>
            <w:r w:rsidRPr="00534ADE">
              <w:t xml:space="preserve"> </w:t>
            </w:r>
            <w:r w:rsidR="00963F68" w:rsidRPr="00534ADE">
              <w:t xml:space="preserve">data </w:t>
            </w:r>
            <w:r w:rsidR="00B43199" w:rsidRPr="003A2B26">
              <w:t>w</w:t>
            </w:r>
            <w:r w:rsidR="003A2B26" w:rsidRPr="003A2B26">
              <w:t>ere</w:t>
            </w:r>
            <w:r w:rsidR="00B43199">
              <w:t xml:space="preserve"> </w:t>
            </w:r>
            <w:r w:rsidR="00963F68" w:rsidRPr="00534ADE">
              <w:t>supplied by the Red Cross.</w:t>
            </w:r>
          </w:p>
          <w:p w14:paraId="60821272" w14:textId="760A5899" w:rsidR="00963F68" w:rsidRPr="00534ADE" w:rsidRDefault="00D42CF2" w:rsidP="007E0AFE">
            <w:pPr>
              <w:pStyle w:val="Tabledot2"/>
            </w:pPr>
            <w:r>
              <w:t xml:space="preserve">A </w:t>
            </w:r>
            <w:r w:rsidR="00EB32C8">
              <w:t xml:space="preserve">2021 </w:t>
            </w:r>
            <w:r>
              <w:t>report by the AIC</w:t>
            </w:r>
            <w:r w:rsidR="007640B1">
              <w:t xml:space="preserve"> </w:t>
            </w:r>
            <w:r w:rsidR="000000F8">
              <w:t xml:space="preserve">provides </w:t>
            </w:r>
            <w:r w:rsidR="00EB32C8">
              <w:t xml:space="preserve">further evidence </w:t>
            </w:r>
            <w:r w:rsidR="0022530E">
              <w:t xml:space="preserve">of the high attrition rate </w:t>
            </w:r>
            <w:r w:rsidR="00F47DA7">
              <w:t>of HTMS</w:t>
            </w:r>
            <w:r w:rsidR="006F3A59">
              <w:t xml:space="preserve"> cases</w:t>
            </w:r>
            <w:r w:rsidR="00217268">
              <w:t>.</w:t>
            </w:r>
            <w:r w:rsidR="00217268">
              <w:rPr>
                <w:rStyle w:val="FootnoteReference"/>
              </w:rPr>
              <w:footnoteReference w:id="19"/>
            </w:r>
            <w:r w:rsidR="006F3A59">
              <w:t xml:space="preserve"> </w:t>
            </w:r>
            <w:r w:rsidR="00963F68" w:rsidRPr="00534ADE">
              <w:t xml:space="preserve"> </w:t>
            </w:r>
          </w:p>
        </w:tc>
      </w:tr>
      <w:tr w:rsidR="00963F68" w14:paraId="3A7857CC" w14:textId="77777777" w:rsidTr="00B8428F">
        <w:trPr>
          <w:cantSplit/>
        </w:trPr>
        <w:tc>
          <w:tcPr>
            <w:tcW w:w="2972" w:type="dxa"/>
            <w:shd w:val="clear" w:color="auto" w:fill="F6F9F7"/>
          </w:tcPr>
          <w:p w14:paraId="2569BB4A" w14:textId="5BFD0284" w:rsidR="00963F68" w:rsidRDefault="00A3477F" w:rsidP="007E0AFE">
            <w:pPr>
              <w:pStyle w:val="TableHeader"/>
            </w:pPr>
            <w:r>
              <w:t xml:space="preserve">Recommendations </w:t>
            </w:r>
            <w:r w:rsidR="00963F68">
              <w:t xml:space="preserve">to strengthen </w:t>
            </w:r>
          </w:p>
        </w:tc>
        <w:tc>
          <w:tcPr>
            <w:tcW w:w="7485" w:type="dxa"/>
          </w:tcPr>
          <w:p w14:paraId="476E2338" w14:textId="21F1EE73" w:rsidR="001D507D" w:rsidRDefault="001D507D" w:rsidP="007E0AFE">
            <w:pPr>
              <w:pStyle w:val="TableHeader"/>
            </w:pPr>
            <w:r>
              <w:t xml:space="preserve">Design improvement </w:t>
            </w:r>
          </w:p>
          <w:p w14:paraId="10DF41BD" w14:textId="220FF1B0" w:rsidR="00521970" w:rsidRDefault="00D91A22" w:rsidP="007E0AFE">
            <w:pPr>
              <w:pStyle w:val="Tabledot2"/>
            </w:pPr>
            <w:r w:rsidRPr="00A43555">
              <w:t xml:space="preserve">The low number of </w:t>
            </w:r>
            <w:r w:rsidR="009A0300">
              <w:t xml:space="preserve">finalised criminal justice </w:t>
            </w:r>
            <w:r w:rsidR="006E60A1">
              <w:t xml:space="preserve">cases </w:t>
            </w:r>
            <w:r w:rsidRPr="00A43555">
              <w:t xml:space="preserve">arising from the STPP participant cohort </w:t>
            </w:r>
            <w:r w:rsidR="0006271D">
              <w:t xml:space="preserve">provides further support </w:t>
            </w:r>
            <w:r w:rsidR="003E04E2">
              <w:t xml:space="preserve">for </w:t>
            </w:r>
            <w:r w:rsidR="00E2290B">
              <w:t xml:space="preserve">arguments to </w:t>
            </w:r>
            <w:r w:rsidR="0006271D">
              <w:t>reconsider criminal justice outcomes</w:t>
            </w:r>
            <w:r w:rsidRPr="00A43555">
              <w:t xml:space="preserve"> as </w:t>
            </w:r>
            <w:r w:rsidR="0006271D">
              <w:t xml:space="preserve">the primary </w:t>
            </w:r>
            <w:r w:rsidRPr="00A43555">
              <w:t>program rationale</w:t>
            </w:r>
            <w:r w:rsidR="00521970">
              <w:t xml:space="preserve"> (i.e. condition for medium to long term support)</w:t>
            </w:r>
            <w:r w:rsidRPr="00A43555">
              <w:t xml:space="preserve">. </w:t>
            </w:r>
          </w:p>
          <w:p w14:paraId="32351BCD" w14:textId="0E25574A" w:rsidR="00963F68" w:rsidRPr="00A43555" w:rsidRDefault="00E2290B" w:rsidP="007E0AFE">
            <w:pPr>
              <w:pStyle w:val="Tabledot2"/>
            </w:pPr>
            <w:r>
              <w:t>Suggestions for</w:t>
            </w:r>
            <w:r w:rsidR="00521970">
              <w:t xml:space="preserve"> decoupling of criminal justice outcomes and program eligibility </w:t>
            </w:r>
            <w:r>
              <w:t>do not infer that supporting</w:t>
            </w:r>
            <w:r w:rsidR="00521970">
              <w:t xml:space="preserve"> criminal justice outcomes </w:t>
            </w:r>
            <w:r w:rsidR="00D91A22" w:rsidRPr="00A43555">
              <w:t xml:space="preserve">should </w:t>
            </w:r>
            <w:r w:rsidR="00521970">
              <w:t xml:space="preserve">not </w:t>
            </w:r>
            <w:r w:rsidR="00D91A22" w:rsidRPr="00A43555">
              <w:t>be a</w:t>
            </w:r>
            <w:r>
              <w:t>n ongoing</w:t>
            </w:r>
            <w:r w:rsidR="00D91A22" w:rsidRPr="00A43555">
              <w:t xml:space="preserve"> program </w:t>
            </w:r>
            <w:r w:rsidR="00521970">
              <w:t>function</w:t>
            </w:r>
            <w:r w:rsidR="009C22A8">
              <w:t>.</w:t>
            </w:r>
            <w:r w:rsidR="00521970">
              <w:t xml:space="preserve"> </w:t>
            </w:r>
            <w:r w:rsidR="009C22A8">
              <w:t>This would also require a significant adjustment to Australia’s visa framework</w:t>
            </w:r>
            <w:r w:rsidR="00322CFC">
              <w:t xml:space="preserve"> and potentially has significant cost </w:t>
            </w:r>
            <w:proofErr w:type="gramStart"/>
            <w:r w:rsidR="00322CFC">
              <w:t>implications</w:t>
            </w:r>
            <w:r w:rsidR="009C22A8">
              <w:t>, and</w:t>
            </w:r>
            <w:proofErr w:type="gramEnd"/>
            <w:r w:rsidR="009C22A8">
              <w:t xml:space="preserve"> </w:t>
            </w:r>
            <w:r w:rsidR="00322CFC">
              <w:t xml:space="preserve">hence </w:t>
            </w:r>
            <w:r w:rsidR="009C22A8">
              <w:t xml:space="preserve">require governments to invest in a future policy process before determining a way forward. </w:t>
            </w:r>
          </w:p>
        </w:tc>
      </w:tr>
    </w:tbl>
    <w:p w14:paraId="459A87CF" w14:textId="77777777" w:rsidR="005966D8" w:rsidRDefault="005966D8" w:rsidP="007E0AFE"/>
    <w:p w14:paraId="1FF8BC8A" w14:textId="35A993DE" w:rsidR="00D35F17" w:rsidRPr="00400424" w:rsidRDefault="00F969FB" w:rsidP="00400424">
      <w:pPr>
        <w:pStyle w:val="Heading6"/>
        <w:rPr>
          <w:i/>
          <w:iCs/>
          <w:sz w:val="20"/>
          <w:szCs w:val="20"/>
        </w:rPr>
      </w:pPr>
      <w:r w:rsidRPr="00400424">
        <w:rPr>
          <w:i/>
          <w:iCs/>
          <w:sz w:val="20"/>
          <w:szCs w:val="20"/>
        </w:rPr>
        <w:t xml:space="preserve">Outcome </w:t>
      </w:r>
      <w:r w:rsidR="00B3655D" w:rsidRPr="00400424">
        <w:rPr>
          <w:i/>
          <w:iCs/>
          <w:sz w:val="20"/>
          <w:szCs w:val="20"/>
        </w:rPr>
        <w:t>1</w:t>
      </w:r>
      <w:r w:rsidR="00AC157F" w:rsidRPr="00400424">
        <w:rPr>
          <w:i/>
          <w:iCs/>
          <w:sz w:val="20"/>
          <w:szCs w:val="20"/>
        </w:rPr>
        <w:t>c</w:t>
      </w:r>
      <w:r w:rsidRPr="00400424">
        <w:rPr>
          <w:i/>
          <w:iCs/>
          <w:sz w:val="20"/>
          <w:szCs w:val="20"/>
        </w:rPr>
        <w:t xml:space="preserve">, Indicator 2: </w:t>
      </w:r>
      <w:r w:rsidR="00D35F17" w:rsidRPr="00400424">
        <w:rPr>
          <w:i/>
          <w:iCs/>
          <w:sz w:val="20"/>
          <w:szCs w:val="20"/>
        </w:rPr>
        <w:t xml:space="preserve">Number and proportion of </w:t>
      </w:r>
      <w:r w:rsidR="449D9C95" w:rsidRPr="00400424">
        <w:rPr>
          <w:i/>
          <w:iCs/>
          <w:sz w:val="20"/>
          <w:szCs w:val="20"/>
        </w:rPr>
        <w:t>participa</w:t>
      </w:r>
      <w:r w:rsidR="00D35F17" w:rsidRPr="00400424">
        <w:rPr>
          <w:i/>
          <w:iCs/>
          <w:sz w:val="20"/>
          <w:szCs w:val="20"/>
        </w:rPr>
        <w:t>nts reporting positive experience with the criminal justice process</w:t>
      </w:r>
    </w:p>
    <w:p w14:paraId="29F64F25" w14:textId="75E556C0" w:rsidR="00291463" w:rsidRDefault="00291463" w:rsidP="00291463">
      <w:pPr>
        <w:pStyle w:val="Caption"/>
      </w:pPr>
      <w:r>
        <w:t xml:space="preserve">Table </w:t>
      </w:r>
      <w:r>
        <w:fldChar w:fldCharType="begin"/>
      </w:r>
      <w:r>
        <w:instrText xml:space="preserve"> SEQ Table \* ARABIC </w:instrText>
      </w:r>
      <w:r>
        <w:fldChar w:fldCharType="separate"/>
      </w:r>
      <w:r w:rsidR="00D9323B">
        <w:rPr>
          <w:noProof/>
        </w:rPr>
        <w:t>22</w:t>
      </w:r>
      <w:r>
        <w:fldChar w:fldCharType="end"/>
      </w:r>
      <w:r>
        <w:t>. Outcome 1c, Indicator 2, Outcomes identified</w:t>
      </w:r>
      <w:r w:rsidR="004807F5" w:rsidRPr="004807F5">
        <w:t xml:space="preserve"> </w:t>
      </w:r>
      <w:r w:rsidR="004807F5">
        <w:t>in evaluation</w:t>
      </w:r>
      <w:r>
        <w:t>,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291463" w14:paraId="24E9A918" w14:textId="77777777" w:rsidTr="00136A53">
        <w:trPr>
          <w:cantSplit/>
          <w:tblHeader/>
        </w:trPr>
        <w:tc>
          <w:tcPr>
            <w:tcW w:w="2972" w:type="dxa"/>
            <w:shd w:val="clear" w:color="auto" w:fill="425563" w:themeFill="text1"/>
          </w:tcPr>
          <w:p w14:paraId="091295AA" w14:textId="6426DA00" w:rsidR="00291463" w:rsidRPr="00CD26F6" w:rsidRDefault="00291463" w:rsidP="00291463">
            <w:pPr>
              <w:pStyle w:val="Tableheadwhite"/>
            </w:pPr>
            <w:r>
              <w:t>Area</w:t>
            </w:r>
          </w:p>
        </w:tc>
        <w:tc>
          <w:tcPr>
            <w:tcW w:w="7485" w:type="dxa"/>
            <w:shd w:val="clear" w:color="auto" w:fill="425563" w:themeFill="text1"/>
          </w:tcPr>
          <w:p w14:paraId="29044C23" w14:textId="4186264A" w:rsidR="00291463" w:rsidRPr="00B43199" w:rsidRDefault="00291463" w:rsidP="00291463">
            <w:pPr>
              <w:pStyle w:val="Tableheadwhite"/>
            </w:pPr>
            <w:r>
              <w:t>Detail</w:t>
            </w:r>
          </w:p>
        </w:tc>
      </w:tr>
      <w:tr w:rsidR="008267C4" w14:paraId="49819C31" w14:textId="77777777" w:rsidTr="00136A53">
        <w:trPr>
          <w:cantSplit/>
        </w:trPr>
        <w:tc>
          <w:tcPr>
            <w:tcW w:w="2972" w:type="dxa"/>
            <w:shd w:val="clear" w:color="auto" w:fill="F6F9F7"/>
          </w:tcPr>
          <w:p w14:paraId="2C7943B3" w14:textId="77777777" w:rsidR="008267C4" w:rsidRDefault="008267C4" w:rsidP="007E0AFE">
            <w:pPr>
              <w:pStyle w:val="TableHeader"/>
            </w:pPr>
            <w:r w:rsidRPr="00CD26F6">
              <w:t>Outcomes identified in evaluation</w:t>
            </w:r>
          </w:p>
        </w:tc>
        <w:tc>
          <w:tcPr>
            <w:tcW w:w="7485" w:type="dxa"/>
          </w:tcPr>
          <w:p w14:paraId="4326FB40" w14:textId="7377499B" w:rsidR="008267C4" w:rsidRPr="00B43199" w:rsidRDefault="008267C4" w:rsidP="007E0AFE">
            <w:pPr>
              <w:pStyle w:val="Tabledot2"/>
            </w:pPr>
            <w:r w:rsidRPr="00B43199">
              <w:t>No</w:t>
            </w:r>
            <w:r w:rsidR="001D38F7">
              <w:t>t</w:t>
            </w:r>
            <w:r w:rsidRPr="00B43199">
              <w:t xml:space="preserve"> </w:t>
            </w:r>
            <w:r w:rsidR="001D38F7">
              <w:t>determined</w:t>
            </w:r>
            <w:r w:rsidRPr="00B43199">
              <w:t>.</w:t>
            </w:r>
          </w:p>
        </w:tc>
      </w:tr>
      <w:tr w:rsidR="008267C4" w14:paraId="663C0981" w14:textId="77777777" w:rsidTr="00136A53">
        <w:trPr>
          <w:cantSplit/>
        </w:trPr>
        <w:tc>
          <w:tcPr>
            <w:tcW w:w="2972" w:type="dxa"/>
            <w:shd w:val="clear" w:color="auto" w:fill="F6F9F7"/>
          </w:tcPr>
          <w:p w14:paraId="0C51EAC1" w14:textId="77777777" w:rsidR="008267C4" w:rsidRDefault="008267C4" w:rsidP="007E0AFE">
            <w:pPr>
              <w:pStyle w:val="TableHeader"/>
            </w:pPr>
            <w:r w:rsidRPr="00CD26F6">
              <w:lastRenderedPageBreak/>
              <w:t>Discussion of supporting evidence</w:t>
            </w:r>
          </w:p>
        </w:tc>
        <w:tc>
          <w:tcPr>
            <w:tcW w:w="7485" w:type="dxa"/>
          </w:tcPr>
          <w:p w14:paraId="11EA95A6" w14:textId="5021A8AE" w:rsidR="008267C4" w:rsidRPr="00A43555" w:rsidRDefault="008267C4" w:rsidP="007E0AFE">
            <w:pPr>
              <w:pStyle w:val="Tabledot2"/>
            </w:pPr>
            <w:r w:rsidRPr="00B43199">
              <w:t xml:space="preserve">There </w:t>
            </w:r>
            <w:r w:rsidR="003A2B26">
              <w:t>are</w:t>
            </w:r>
            <w:r w:rsidRPr="00B43199">
              <w:t xml:space="preserve"> no quantitative data </w:t>
            </w:r>
            <w:r w:rsidR="006D02CB">
              <w:t>on</w:t>
            </w:r>
            <w:r w:rsidRPr="00B43199">
              <w:t xml:space="preserve"> whether </w:t>
            </w:r>
            <w:r w:rsidR="00B43199">
              <w:t>STPP participants</w:t>
            </w:r>
            <w:r w:rsidRPr="00B43199">
              <w:t xml:space="preserve"> view criminal justice processes as an overall positive or negative experience. Qualitative data suggest that </w:t>
            </w:r>
            <w:r w:rsidR="006D02CB">
              <w:t xml:space="preserve">while </w:t>
            </w:r>
            <w:r w:rsidRPr="00B43199">
              <w:t xml:space="preserve">achieving justice outcomes can be viewed as healing, positive experiences </w:t>
            </w:r>
            <w:r w:rsidR="00283ED6">
              <w:t>can be</w:t>
            </w:r>
            <w:r w:rsidRPr="00B43199">
              <w:t xml:space="preserve"> undermined by </w:t>
            </w:r>
            <w:r w:rsidR="00283ED6">
              <w:t xml:space="preserve">a sense of coercion (participating in justice outcomes is required if people are to have more than </w:t>
            </w:r>
            <w:r w:rsidR="00934CC6">
              <w:t xml:space="preserve">90 days of support via </w:t>
            </w:r>
            <w:r>
              <w:t xml:space="preserve">the </w:t>
            </w:r>
            <w:r w:rsidR="00934CC6">
              <w:t>STPP</w:t>
            </w:r>
            <w:r w:rsidR="00283ED6">
              <w:t>)</w:t>
            </w:r>
            <w:r w:rsidR="00934CC6">
              <w:t xml:space="preserve">, </w:t>
            </w:r>
            <w:r w:rsidR="23C798B4">
              <w:t>the</w:t>
            </w:r>
            <w:r w:rsidR="7D31E25F">
              <w:t xml:space="preserve"> </w:t>
            </w:r>
            <w:r w:rsidR="00934CC6">
              <w:t>combative</w:t>
            </w:r>
            <w:r>
              <w:t xml:space="preserve"> </w:t>
            </w:r>
            <w:r w:rsidRPr="00B43199">
              <w:t xml:space="preserve">nature of the process </w:t>
            </w:r>
            <w:r w:rsidR="00934CC6">
              <w:t xml:space="preserve">and </w:t>
            </w:r>
            <w:r>
              <w:t>un</w:t>
            </w:r>
            <w:r w:rsidRPr="00B43199">
              <w:t>certain timeframes</w:t>
            </w:r>
            <w:r>
              <w:t>.</w:t>
            </w:r>
            <w:r w:rsidRPr="00A43555">
              <w:t xml:space="preserve"> </w:t>
            </w:r>
          </w:p>
          <w:p w14:paraId="7CED3CA5" w14:textId="6DF70443" w:rsidR="008267C4" w:rsidRPr="00A43555" w:rsidRDefault="008267C4" w:rsidP="007E0AFE">
            <w:pPr>
              <w:pStyle w:val="Tabledot2"/>
            </w:pPr>
            <w:r w:rsidRPr="00B43199">
              <w:t xml:space="preserve">Among STPP participants who were consulted for the evaluation, some saw the attainment of criminal justice as a fundamental part of their healing journey. They stressed the responsibility they felt to do everything they could to prevent other people being </w:t>
            </w:r>
            <w:r w:rsidR="00A22B67">
              <w:t>exploited</w:t>
            </w:r>
            <w:r w:rsidRPr="00B43199">
              <w:t xml:space="preserve">. </w:t>
            </w:r>
          </w:p>
          <w:p w14:paraId="343C7C54" w14:textId="57C2BEA9" w:rsidR="008267C4" w:rsidRPr="00A43555" w:rsidRDefault="008267C4" w:rsidP="007E0AFE">
            <w:pPr>
              <w:pStyle w:val="Tabledot2"/>
            </w:pPr>
            <w:r w:rsidRPr="00B43199">
              <w:t xml:space="preserve">However, the uncertainty and length of time associated with criminal matters often eroded positive experiences. Not knowing how long they would be able to access support </w:t>
            </w:r>
            <w:r w:rsidR="556919B1" w:rsidRPr="00A43555">
              <w:t xml:space="preserve">for </w:t>
            </w:r>
            <w:r w:rsidR="18E85F4A" w:rsidRPr="00A43555">
              <w:t>was</w:t>
            </w:r>
            <w:r w:rsidRPr="00A43555">
              <w:t xml:space="preserve"> a source of considerable stress for some </w:t>
            </w:r>
            <w:r w:rsidR="59FA5C26" w:rsidRPr="00A43555">
              <w:t>participa</w:t>
            </w:r>
            <w:r w:rsidR="18E85F4A" w:rsidRPr="00A43555">
              <w:t>nts</w:t>
            </w:r>
            <w:r w:rsidRPr="00A43555">
              <w:t xml:space="preserve">, particularly if </w:t>
            </w:r>
            <w:r w:rsidR="00173482">
              <w:t xml:space="preserve">they </w:t>
            </w:r>
            <w:r w:rsidR="00F07510">
              <w:t xml:space="preserve">were on a </w:t>
            </w:r>
            <w:r w:rsidR="001B072A">
              <w:t>B</w:t>
            </w:r>
            <w:r w:rsidR="00F07510">
              <w:t xml:space="preserve">ridging F </w:t>
            </w:r>
            <w:r w:rsidR="001B072A">
              <w:t>V</w:t>
            </w:r>
            <w:r w:rsidR="00F07510">
              <w:t>isa</w:t>
            </w:r>
            <w:r w:rsidRPr="00A43555">
              <w:t xml:space="preserve">. Some described being in a state of ‘limbo’ while waiting for court dates and said it was hard to plan when their future </w:t>
            </w:r>
            <w:r w:rsidR="18E85F4A" w:rsidRPr="00A43555">
              <w:t>depend</w:t>
            </w:r>
            <w:r w:rsidR="0FA3F71A" w:rsidRPr="00A43555">
              <w:t>ed</w:t>
            </w:r>
            <w:r w:rsidRPr="00A43555">
              <w:t xml:space="preserve"> on events they </w:t>
            </w:r>
            <w:r w:rsidR="18E85F4A" w:rsidRPr="00A43555">
              <w:t>c</w:t>
            </w:r>
            <w:r w:rsidR="76B32BAD" w:rsidRPr="00A43555">
              <w:t xml:space="preserve">ould </w:t>
            </w:r>
            <w:r w:rsidR="18E85F4A" w:rsidRPr="00A43555">
              <w:t>not</w:t>
            </w:r>
            <w:r w:rsidRPr="00A43555">
              <w:t xml:space="preserve"> control. </w:t>
            </w:r>
            <w:r w:rsidR="2A7BF4CE" w:rsidRPr="00A43555">
              <w:t>Participa</w:t>
            </w:r>
            <w:r w:rsidR="18E85F4A" w:rsidRPr="00A43555">
              <w:t>nts</w:t>
            </w:r>
            <w:r w:rsidRPr="00A43555">
              <w:t xml:space="preserve"> also reported that concerns </w:t>
            </w:r>
            <w:r w:rsidR="001B072A">
              <w:t>that</w:t>
            </w:r>
            <w:r w:rsidR="001B072A" w:rsidRPr="00A43555">
              <w:t xml:space="preserve"> </w:t>
            </w:r>
            <w:r w:rsidRPr="00A43555">
              <w:t xml:space="preserve">being removed from the program before all their needs are met </w:t>
            </w:r>
            <w:r w:rsidR="18E85F4A" w:rsidRPr="00A43555">
              <w:t>c</w:t>
            </w:r>
            <w:r w:rsidR="64D1AF86" w:rsidRPr="00A43555">
              <w:t>ould</w:t>
            </w:r>
            <w:r w:rsidRPr="00A43555">
              <w:t xml:space="preserve"> adversely impact on their mental health.</w:t>
            </w:r>
            <w:r w:rsidR="007B61ED">
              <w:t xml:space="preserve"> </w:t>
            </w:r>
          </w:p>
          <w:p w14:paraId="0F7A7C0F" w14:textId="6B2A26A4" w:rsidR="008267C4" w:rsidRPr="00A43555" w:rsidRDefault="008267C4" w:rsidP="007E0AFE">
            <w:pPr>
              <w:pStyle w:val="Tabledot2"/>
            </w:pPr>
            <w:r w:rsidRPr="00B43199">
              <w:t xml:space="preserve">Some STPP participants </w:t>
            </w:r>
            <w:r w:rsidR="18E85F4A" w:rsidRPr="00B43199">
              <w:t>fe</w:t>
            </w:r>
            <w:r w:rsidR="1B9A5E12" w:rsidRPr="00B43199">
              <w:t>lt</w:t>
            </w:r>
            <w:r w:rsidRPr="00B43199">
              <w:t xml:space="preserve"> that they </w:t>
            </w:r>
            <w:r w:rsidR="18E85F4A" w:rsidRPr="00B43199">
              <w:t>need</w:t>
            </w:r>
            <w:r w:rsidR="19964630" w:rsidRPr="00B43199">
              <w:t>ed</w:t>
            </w:r>
            <w:r w:rsidRPr="00B43199">
              <w:t xml:space="preserve"> to proceed with a criminal matter to access support</w:t>
            </w:r>
            <w:r w:rsidR="00E5327F">
              <w:t xml:space="preserve"> (e.g. infers that the process is coercive)</w:t>
            </w:r>
            <w:r w:rsidRPr="00B43199">
              <w:t xml:space="preserve">. This </w:t>
            </w:r>
            <w:r w:rsidR="5055CCCC" w:rsidRPr="00B43199">
              <w:t>wa</w:t>
            </w:r>
            <w:r w:rsidR="18E85F4A" w:rsidRPr="00B43199">
              <w:t>s</w:t>
            </w:r>
            <w:r w:rsidRPr="00B43199">
              <w:t xml:space="preserve"> particularly true where visa status </w:t>
            </w:r>
            <w:r w:rsidR="25250C5D" w:rsidRPr="00B43199">
              <w:t>wa</w:t>
            </w:r>
            <w:r w:rsidR="18E85F4A" w:rsidRPr="00B43199">
              <w:t>s</w:t>
            </w:r>
            <w:r w:rsidRPr="00B43199">
              <w:t xml:space="preserve"> contingent on cooperation. In contrast, </w:t>
            </w:r>
            <w:r w:rsidR="003515B0">
              <w:t>criminal justice system involvement</w:t>
            </w:r>
            <w:r w:rsidRPr="00B43199">
              <w:t xml:space="preserve"> has reportedly been a deterrent to participation for people with experiences of forced marriage, especially minors</w:t>
            </w:r>
            <w:r w:rsidR="0E9079E0" w:rsidRPr="00A43555">
              <w:t>,</w:t>
            </w:r>
            <w:r w:rsidRPr="00A43555">
              <w:t xml:space="preserve"> due to the relational nature of the harm and fear of family or community retaliation. </w:t>
            </w:r>
          </w:p>
          <w:p w14:paraId="3DA7B79E" w14:textId="28C251AF" w:rsidR="008267C4" w:rsidRPr="00B43199" w:rsidRDefault="0068749B" w:rsidP="007E0AFE">
            <w:pPr>
              <w:pStyle w:val="Tabledot2"/>
            </w:pPr>
            <w:r>
              <w:t>Being</w:t>
            </w:r>
            <w:r w:rsidR="008267C4">
              <w:t xml:space="preserve"> </w:t>
            </w:r>
            <w:r w:rsidR="008267C4" w:rsidRPr="00B43199">
              <w:t>removed from the</w:t>
            </w:r>
            <w:r w:rsidR="008267C4">
              <w:t xml:space="preserve"> </w:t>
            </w:r>
            <w:r>
              <w:t>STPP</w:t>
            </w:r>
            <w:r w:rsidR="008267C4" w:rsidRPr="00B43199">
              <w:t xml:space="preserve"> once a decision had been made not to progress with their case</w:t>
            </w:r>
            <w:r>
              <w:t xml:space="preserve"> could leave people</w:t>
            </w:r>
            <w:r w:rsidR="008267C4">
              <w:t xml:space="preserve"> </w:t>
            </w:r>
            <w:r w:rsidR="008267C4" w:rsidRPr="00B43199">
              <w:t>feeling that they were not worthy of support and that police and/or courts didn’t believe what happened to them. This could be deeply re</w:t>
            </w:r>
            <w:r w:rsidR="006249BD">
              <w:t>-</w:t>
            </w:r>
            <w:r w:rsidR="008267C4" w:rsidRPr="00B43199">
              <w:t>traumatising.</w:t>
            </w:r>
          </w:p>
        </w:tc>
      </w:tr>
      <w:tr w:rsidR="008267C4" w14:paraId="2B4A5276" w14:textId="77777777" w:rsidTr="00136A53">
        <w:trPr>
          <w:cantSplit/>
        </w:trPr>
        <w:tc>
          <w:tcPr>
            <w:tcW w:w="2972" w:type="dxa"/>
            <w:shd w:val="clear" w:color="auto" w:fill="F6F9F7"/>
          </w:tcPr>
          <w:p w14:paraId="2845834A" w14:textId="245DF79D" w:rsidR="008267C4" w:rsidRDefault="00A3477F" w:rsidP="007E0AFE">
            <w:pPr>
              <w:pStyle w:val="TableHeader"/>
            </w:pPr>
            <w:r>
              <w:t xml:space="preserve">Recommendations </w:t>
            </w:r>
            <w:r w:rsidR="008267C4">
              <w:t xml:space="preserve">to strengthen </w:t>
            </w:r>
          </w:p>
        </w:tc>
        <w:tc>
          <w:tcPr>
            <w:tcW w:w="7485" w:type="dxa"/>
          </w:tcPr>
          <w:p w14:paraId="5C3F5FD8" w14:textId="1205DAD0" w:rsidR="001D507D" w:rsidRDefault="001D507D" w:rsidP="007E0AFE">
            <w:pPr>
              <w:pStyle w:val="TableHeader"/>
            </w:pPr>
            <w:r>
              <w:t xml:space="preserve">Design improvement </w:t>
            </w:r>
          </w:p>
          <w:p w14:paraId="0DCA772B" w14:textId="54955287" w:rsidR="008267C4" w:rsidRPr="009C22AC" w:rsidRDefault="009F10B9" w:rsidP="007E0AFE">
            <w:pPr>
              <w:pStyle w:val="Tabledot2"/>
            </w:pPr>
            <w:r>
              <w:t xml:space="preserve">Consider de-linking </w:t>
            </w:r>
            <w:r w:rsidR="0068749B">
              <w:t xml:space="preserve">involvement in </w:t>
            </w:r>
            <w:r w:rsidR="009C22AC">
              <w:t xml:space="preserve">the criminal justice system </w:t>
            </w:r>
            <w:r w:rsidR="00615936">
              <w:t>and</w:t>
            </w:r>
            <w:r w:rsidR="00F40E22">
              <w:t xml:space="preserve"> support</w:t>
            </w:r>
            <w:r w:rsidR="00201504">
              <w:t xml:space="preserve"> provision</w:t>
            </w:r>
            <w:r w:rsidR="00F40E22">
              <w:t xml:space="preserve"> </w:t>
            </w:r>
            <w:r w:rsidR="0068749B">
              <w:t xml:space="preserve">due to the potential for this element to lead to the program doing harm. </w:t>
            </w:r>
          </w:p>
        </w:tc>
      </w:tr>
    </w:tbl>
    <w:p w14:paraId="747E77A0" w14:textId="77777777" w:rsidR="005966D8" w:rsidRDefault="005966D8" w:rsidP="007E0AFE"/>
    <w:p w14:paraId="40E65079" w14:textId="5458FA12" w:rsidR="00044EDE" w:rsidRPr="00400424" w:rsidRDefault="00F969FB" w:rsidP="00400424">
      <w:pPr>
        <w:pStyle w:val="Heading6"/>
        <w:rPr>
          <w:i/>
          <w:iCs/>
          <w:sz w:val="20"/>
          <w:szCs w:val="20"/>
        </w:rPr>
      </w:pPr>
      <w:r w:rsidRPr="00400424">
        <w:rPr>
          <w:i/>
          <w:iCs/>
          <w:sz w:val="20"/>
          <w:szCs w:val="20"/>
        </w:rPr>
        <w:t xml:space="preserve">Outcome </w:t>
      </w:r>
      <w:r w:rsidR="00B3655D" w:rsidRPr="00400424">
        <w:rPr>
          <w:i/>
          <w:iCs/>
          <w:sz w:val="20"/>
          <w:szCs w:val="20"/>
        </w:rPr>
        <w:t>1</w:t>
      </w:r>
      <w:r w:rsidR="00AC157F" w:rsidRPr="00400424">
        <w:rPr>
          <w:i/>
          <w:iCs/>
          <w:sz w:val="20"/>
          <w:szCs w:val="20"/>
        </w:rPr>
        <w:t>c</w:t>
      </w:r>
      <w:r w:rsidRPr="00400424">
        <w:rPr>
          <w:i/>
          <w:iCs/>
          <w:sz w:val="20"/>
          <w:szCs w:val="20"/>
        </w:rPr>
        <w:t xml:space="preserve">, Indicator 3: </w:t>
      </w:r>
      <w:r w:rsidR="00D35F17" w:rsidRPr="00400424">
        <w:rPr>
          <w:i/>
          <w:iCs/>
          <w:sz w:val="20"/>
          <w:szCs w:val="20"/>
        </w:rPr>
        <w:t xml:space="preserve">Extent to which </w:t>
      </w:r>
      <w:r w:rsidR="28E821D4" w:rsidRPr="00400424">
        <w:rPr>
          <w:i/>
          <w:iCs/>
          <w:sz w:val="20"/>
          <w:szCs w:val="20"/>
        </w:rPr>
        <w:t>participa</w:t>
      </w:r>
      <w:r w:rsidR="00D35F17" w:rsidRPr="00400424">
        <w:rPr>
          <w:i/>
          <w:iCs/>
          <w:sz w:val="20"/>
          <w:szCs w:val="20"/>
        </w:rPr>
        <w:t>nts are supported to manage effects</w:t>
      </w:r>
      <w:r w:rsidR="00412C5B" w:rsidRPr="00400424">
        <w:rPr>
          <w:i/>
          <w:iCs/>
          <w:sz w:val="20"/>
          <w:szCs w:val="20"/>
        </w:rPr>
        <w:t xml:space="preserve"> of the criminal justice system</w:t>
      </w:r>
    </w:p>
    <w:p w14:paraId="29C18B3E" w14:textId="7C47A10F" w:rsidR="00291463" w:rsidRDefault="00291463" w:rsidP="00291463">
      <w:pPr>
        <w:pStyle w:val="Caption"/>
      </w:pPr>
      <w:r>
        <w:t xml:space="preserve">Table </w:t>
      </w:r>
      <w:r>
        <w:fldChar w:fldCharType="begin"/>
      </w:r>
      <w:r>
        <w:instrText xml:space="preserve"> SEQ Table \* ARABIC </w:instrText>
      </w:r>
      <w:r>
        <w:fldChar w:fldCharType="separate"/>
      </w:r>
      <w:r w:rsidR="00D9323B">
        <w:rPr>
          <w:noProof/>
        </w:rPr>
        <w:t>23</w:t>
      </w:r>
      <w:r>
        <w:fldChar w:fldCharType="end"/>
      </w:r>
      <w:r>
        <w:t>. Outcome 1c, Indicator 3, Outcomes identified</w:t>
      </w:r>
      <w:r w:rsidR="004807F5" w:rsidRPr="004807F5">
        <w:t xml:space="preserve"> </w:t>
      </w:r>
      <w:r w:rsidR="004807F5">
        <w:t>in evaluation</w:t>
      </w:r>
      <w:r>
        <w:t>,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291463" w14:paraId="2BB947A7" w14:textId="77777777" w:rsidTr="00B8428F">
        <w:trPr>
          <w:cantSplit/>
          <w:tblHeader/>
        </w:trPr>
        <w:tc>
          <w:tcPr>
            <w:tcW w:w="2972" w:type="dxa"/>
            <w:shd w:val="clear" w:color="auto" w:fill="425563" w:themeFill="text1"/>
          </w:tcPr>
          <w:p w14:paraId="243AC35A" w14:textId="43055DBB" w:rsidR="00291463" w:rsidRPr="00CD26F6" w:rsidRDefault="00291463" w:rsidP="00291463">
            <w:pPr>
              <w:pStyle w:val="Tableheadwhite"/>
            </w:pPr>
            <w:r>
              <w:t>Area</w:t>
            </w:r>
          </w:p>
        </w:tc>
        <w:tc>
          <w:tcPr>
            <w:tcW w:w="7485" w:type="dxa"/>
            <w:shd w:val="clear" w:color="auto" w:fill="425563" w:themeFill="text1"/>
          </w:tcPr>
          <w:p w14:paraId="7D65213E" w14:textId="3FE9B104" w:rsidR="00291463" w:rsidRDefault="00291463" w:rsidP="00291463">
            <w:pPr>
              <w:pStyle w:val="Tableheadwhite"/>
            </w:pPr>
            <w:r>
              <w:t>Detail</w:t>
            </w:r>
          </w:p>
        </w:tc>
      </w:tr>
      <w:tr w:rsidR="00CD0F01" w14:paraId="58D8F4E8" w14:textId="77777777" w:rsidTr="00B8428F">
        <w:trPr>
          <w:cantSplit/>
        </w:trPr>
        <w:tc>
          <w:tcPr>
            <w:tcW w:w="2972" w:type="dxa"/>
            <w:shd w:val="clear" w:color="auto" w:fill="F6F9F7"/>
          </w:tcPr>
          <w:p w14:paraId="7C680D7C" w14:textId="77777777" w:rsidR="00CD0F01" w:rsidRDefault="00CD0F01" w:rsidP="007E0AFE">
            <w:pPr>
              <w:pStyle w:val="TableHeader"/>
            </w:pPr>
            <w:r w:rsidRPr="00CD26F6">
              <w:t>Outcomes identified in evaluation</w:t>
            </w:r>
          </w:p>
        </w:tc>
        <w:tc>
          <w:tcPr>
            <w:tcW w:w="7485" w:type="dxa"/>
          </w:tcPr>
          <w:p w14:paraId="3EDA5418" w14:textId="77777777" w:rsidR="00CD0F01" w:rsidRPr="00A43555" w:rsidRDefault="00CD0F01" w:rsidP="007E0AFE">
            <w:pPr>
              <w:pStyle w:val="Tabledot2"/>
            </w:pPr>
            <w:r>
              <w:t xml:space="preserve">There is qualitative evidence to suggest that </w:t>
            </w:r>
            <w:r w:rsidRPr="00B43199">
              <w:t>participants appreciated their caseworkers</w:t>
            </w:r>
            <w:r>
              <w:t xml:space="preserve">’ </w:t>
            </w:r>
            <w:r w:rsidRPr="00B43199">
              <w:t>support</w:t>
            </w:r>
            <w:r>
              <w:t xml:space="preserve"> </w:t>
            </w:r>
            <w:r w:rsidRPr="00B43199">
              <w:t>to participate in the justice process</w:t>
            </w:r>
            <w:r>
              <w:t>.</w:t>
            </w:r>
            <w:r>
              <w:rPr>
                <w:rStyle w:val="FootnoteReference"/>
              </w:rPr>
              <w:footnoteReference w:id="20"/>
            </w:r>
          </w:p>
        </w:tc>
      </w:tr>
      <w:tr w:rsidR="00CD0F01" w14:paraId="6436A053" w14:textId="77777777" w:rsidTr="00B8428F">
        <w:trPr>
          <w:cantSplit/>
          <w:trHeight w:val="70"/>
        </w:trPr>
        <w:tc>
          <w:tcPr>
            <w:tcW w:w="2972" w:type="dxa"/>
            <w:shd w:val="clear" w:color="auto" w:fill="F6F9F7"/>
          </w:tcPr>
          <w:p w14:paraId="16386078" w14:textId="77777777" w:rsidR="00CD0F01" w:rsidRDefault="00CD0F01" w:rsidP="007E0AFE">
            <w:pPr>
              <w:pStyle w:val="TableHeader"/>
            </w:pPr>
            <w:r w:rsidRPr="00CD26F6">
              <w:lastRenderedPageBreak/>
              <w:t>Discussion of supporting evidence</w:t>
            </w:r>
          </w:p>
        </w:tc>
        <w:tc>
          <w:tcPr>
            <w:tcW w:w="7485" w:type="dxa"/>
          </w:tcPr>
          <w:p w14:paraId="0BD99C8F" w14:textId="3E6FCDA5" w:rsidR="00CD0F01" w:rsidRPr="00622A76" w:rsidRDefault="00CD0F01" w:rsidP="007E0AFE">
            <w:pPr>
              <w:pStyle w:val="Tabledot2"/>
            </w:pPr>
            <w:r w:rsidRPr="00622A76">
              <w:t xml:space="preserve">There is no quantitative data on </w:t>
            </w:r>
            <w:r w:rsidR="00A22B67">
              <w:t>STPP participant</w:t>
            </w:r>
            <w:r w:rsidRPr="00622A76">
              <w:t xml:space="preserve"> experience with the criminal justice process, their level of trust in the process, or the extent to which they are supported to manage the effects. </w:t>
            </w:r>
          </w:p>
          <w:p w14:paraId="3657DFEF" w14:textId="7F8BE373" w:rsidR="00CD0F01" w:rsidRPr="00622A76" w:rsidRDefault="00CD0F01" w:rsidP="007E0AFE">
            <w:pPr>
              <w:pStyle w:val="Tabledot2"/>
            </w:pPr>
            <w:r w:rsidRPr="00622A76">
              <w:t xml:space="preserve">Qualitative feedback from </w:t>
            </w:r>
            <w:r w:rsidR="00A22B67">
              <w:t>STPP participants</w:t>
            </w:r>
            <w:r w:rsidRPr="00622A76">
              <w:t xml:space="preserve"> suggests that </w:t>
            </w:r>
            <w:r w:rsidR="00A22B67">
              <w:t>they</w:t>
            </w:r>
            <w:r w:rsidRPr="00622A76">
              <w:t xml:space="preserve"> appreciate the emotional and practical support they receive from the program</w:t>
            </w:r>
            <w:r>
              <w:t xml:space="preserve"> to engage with the A</w:t>
            </w:r>
            <w:r w:rsidR="174E9DE2">
              <w:t>FP</w:t>
            </w:r>
            <w:r>
              <w:t xml:space="preserve"> investigation and court process</w:t>
            </w:r>
            <w:r w:rsidRPr="00622A76">
              <w:t>.</w:t>
            </w:r>
            <w:r>
              <w:t xml:space="preserve"> However, </w:t>
            </w:r>
            <w:r w:rsidR="00744D7B">
              <w:t>there isn’t quantitative data to suggest</w:t>
            </w:r>
            <w:r>
              <w:t xml:space="preserve"> the </w:t>
            </w:r>
            <w:r w:rsidRPr="00622A76">
              <w:t>extent to which this reduces the mental and physical effects of participating in the criminal justice system longer term.</w:t>
            </w:r>
          </w:p>
        </w:tc>
      </w:tr>
      <w:tr w:rsidR="00CD0F01" w14:paraId="4F41BCCE" w14:textId="77777777" w:rsidTr="00B8428F">
        <w:trPr>
          <w:cantSplit/>
          <w:trHeight w:val="695"/>
        </w:trPr>
        <w:tc>
          <w:tcPr>
            <w:tcW w:w="2972" w:type="dxa"/>
            <w:shd w:val="clear" w:color="auto" w:fill="F6F9F7"/>
          </w:tcPr>
          <w:p w14:paraId="1EB17B74" w14:textId="43F10F49" w:rsidR="00CD0F01" w:rsidRDefault="00A3477F" w:rsidP="007E0AFE">
            <w:pPr>
              <w:pStyle w:val="TableHeader"/>
            </w:pPr>
            <w:r>
              <w:t xml:space="preserve">Recommendations </w:t>
            </w:r>
            <w:r w:rsidR="00CD0F01">
              <w:t xml:space="preserve">to strengthen </w:t>
            </w:r>
          </w:p>
        </w:tc>
        <w:tc>
          <w:tcPr>
            <w:tcW w:w="7485" w:type="dxa"/>
          </w:tcPr>
          <w:p w14:paraId="19D9C8D1" w14:textId="77777777" w:rsidR="00CD0F01" w:rsidRDefault="00CD0F01" w:rsidP="007E0AFE">
            <w:pPr>
              <w:pStyle w:val="TableHeader"/>
            </w:pPr>
            <w:r>
              <w:t xml:space="preserve">Program improvement </w:t>
            </w:r>
          </w:p>
          <w:p w14:paraId="52F9ABD4" w14:textId="70DF4066" w:rsidR="00CD0F01" w:rsidRPr="00622A76" w:rsidRDefault="00CD0F01" w:rsidP="007E0AFE">
            <w:pPr>
              <w:pStyle w:val="Tabledot2"/>
            </w:pPr>
            <w:r>
              <w:t xml:space="preserve">Seek structured, quantitative feedback on effects arising from criminal justice system involvement and satisfaction with STPP provider support for this. </w:t>
            </w:r>
            <w:r w:rsidR="008B5F07">
              <w:t xml:space="preserve">See discussion of this above. </w:t>
            </w:r>
          </w:p>
        </w:tc>
      </w:tr>
    </w:tbl>
    <w:p w14:paraId="22040237" w14:textId="2DD65458" w:rsidR="00EC6361" w:rsidRPr="002958FF" w:rsidRDefault="00EC6361" w:rsidP="007E0AFE">
      <w:pPr>
        <w:rPr>
          <w:sz w:val="2"/>
          <w:szCs w:val="4"/>
        </w:rPr>
      </w:pPr>
      <w:bookmarkStart w:id="32" w:name="_Toc198367928"/>
    </w:p>
    <w:p w14:paraId="021ABB33" w14:textId="5312C058" w:rsidR="005B79F4" w:rsidRPr="005B79F4" w:rsidRDefault="005B79F4" w:rsidP="005B79F4">
      <w:pPr>
        <w:shd w:val="clear" w:color="auto" w:fill="EEF6F6" w:themeFill="background2" w:themeFillTint="33"/>
        <w:rPr>
          <w:rFonts w:asciiTheme="majorHAnsi" w:hAnsiTheme="majorHAnsi"/>
          <w:noProof/>
        </w:rPr>
      </w:pPr>
      <w:r w:rsidRPr="005B79F4">
        <w:rPr>
          <w:rFonts w:asciiTheme="majorHAnsi" w:hAnsiTheme="majorHAnsi"/>
          <w:noProof/>
        </w:rPr>
        <w:t>System learning:</w:t>
      </w:r>
    </w:p>
    <w:p w14:paraId="568C4F3F" w14:textId="77777777" w:rsidR="005B79F4" w:rsidRDefault="005B79F4" w:rsidP="005B79F4">
      <w:pPr>
        <w:shd w:val="clear" w:color="auto" w:fill="EEF6F6" w:themeFill="background2" w:themeFillTint="33"/>
        <w:rPr>
          <w:noProof/>
        </w:rPr>
      </w:pPr>
      <w:r>
        <w:rPr>
          <w:noProof/>
        </w:rPr>
        <w:t>The STPP reflects a program that is trying to achieve multiple aims within the system – criminal justice and healing outcomes. This evaluation has suggested that the two aims can align (seeking justice and preventing harm to others can be healing) but also be in conflict and do harm (where criminal justice system involvement is perceived as coercive or where the uncertainty associated with this detracts from healing). This issue should be considered holistically in the STPP design, and also in the evaluation of the National Action Plan to Combat Modern Slavery 2020-25</w:t>
      </w:r>
    </w:p>
    <w:p w14:paraId="5FC8F4CF" w14:textId="1169DD71" w:rsidR="005B79F4" w:rsidRPr="005B79F4" w:rsidRDefault="005B79F4" w:rsidP="005B79F4">
      <w:pPr>
        <w:shd w:val="clear" w:color="auto" w:fill="EEF6F6" w:themeFill="background2" w:themeFillTint="33"/>
        <w:rPr>
          <w:rFonts w:asciiTheme="majorHAnsi" w:hAnsiTheme="majorHAnsi"/>
          <w:noProof/>
        </w:rPr>
      </w:pPr>
      <w:r w:rsidRPr="005B79F4">
        <w:rPr>
          <w:rFonts w:asciiTheme="majorHAnsi" w:hAnsiTheme="majorHAnsi"/>
          <w:noProof/>
        </w:rPr>
        <w:t>Cross cutting learning:</w:t>
      </w:r>
    </w:p>
    <w:p w14:paraId="5535D0BE" w14:textId="38B42791" w:rsidR="005B79F4" w:rsidRDefault="005B79F4" w:rsidP="005B79F4">
      <w:pPr>
        <w:shd w:val="clear" w:color="auto" w:fill="EEF6F6" w:themeFill="background2" w:themeFillTint="33"/>
        <w:rPr>
          <w:noProof/>
        </w:rPr>
      </w:pPr>
      <w:r>
        <w:rPr>
          <w:noProof/>
        </w:rPr>
        <w:t xml:space="preserve">The impacts of criminal justice system involvement for people with trauma experiences is an emerging field of study, and relevant to several DSS policy areas. There are opportunities to better consider both problem and solution across the department.  </w:t>
      </w:r>
    </w:p>
    <w:p w14:paraId="6AAA99AC" w14:textId="048BF234" w:rsidR="00EC6361" w:rsidRPr="001F4868" w:rsidRDefault="00E501FD" w:rsidP="001F4868">
      <w:pPr>
        <w:pStyle w:val="Heading5"/>
        <w:spacing w:before="40" w:after="0" w:line="240" w:lineRule="auto"/>
        <w:rPr>
          <w:sz w:val="24"/>
        </w:rPr>
      </w:pPr>
      <w:r w:rsidRPr="001F4868">
        <w:rPr>
          <w:noProof/>
          <w:sz w:val="24"/>
        </w:rPr>
        <w:t>Case study</w:t>
      </w:r>
      <w:r w:rsidR="00990F8A" w:rsidRPr="001F4868">
        <w:rPr>
          <w:noProof/>
          <w:sz w:val="24"/>
        </w:rPr>
        <w:t xml:space="preserve"> 2: Sam</w:t>
      </w:r>
      <w:r w:rsidR="00990F8A" w:rsidRPr="001F4868">
        <w:rPr>
          <w:sz w:val="24"/>
        </w:rPr>
        <w:t xml:space="preserve"> </w:t>
      </w:r>
    </w:p>
    <w:p w14:paraId="4BA9273E" w14:textId="6DB27FE4" w:rsidR="00001D9F" w:rsidRDefault="00001D9F" w:rsidP="007E0AFE">
      <w:r>
        <w:t>Sam* (*pseudonym) arrived in Australia in 2021, seeking farm work to support his family back home. Instead, he endured a year of exploitation before the AFP brought him and friends to safety. Immensely grateful for the STPP, he was housed in a hotel and later a shared rental, with the program aiding in securing the lease and furnishings. Sam found community at a local church, volunteering in their fundraising efforts.</w:t>
      </w:r>
    </w:p>
    <w:p w14:paraId="33535E0D" w14:textId="77777777" w:rsidR="00001D9F" w:rsidRDefault="00001D9F" w:rsidP="007E0AFE">
      <w:r>
        <w:t xml:space="preserve">Now employed full-time as a kitchen hand and holding a driver's license, Sam proudly sends money home, to support his three children. He values his busy life and ability to provide. He doesn’t want to dwell on the past and wants to make sure that the opportunities provided by the STPP and Australia aren’t wasted. </w:t>
      </w:r>
    </w:p>
    <w:p w14:paraId="204BDB1D" w14:textId="77777777" w:rsidR="00001D9F" w:rsidRDefault="00001D9F" w:rsidP="007E0AFE">
      <w:r>
        <w:t xml:space="preserve">The investigation is still going. It’s taking a long time, but Sam has faith in the criminal justice system. He knows that when it finishes his visa will end. He’s heard that some people can get another visa that allows them to stay and eventually have their kids come over too. Sam isn’t sure that he’ll get that, but he </w:t>
      </w:r>
      <w:proofErr w:type="gramStart"/>
      <w:r>
        <w:t>has to</w:t>
      </w:r>
      <w:proofErr w:type="gramEnd"/>
      <w:r>
        <w:t xml:space="preserve"> hope that he will. He doesn’t like to think about what will happen if he </w:t>
      </w:r>
      <w:proofErr w:type="gramStart"/>
      <w:r>
        <w:t>has to</w:t>
      </w:r>
      <w:proofErr w:type="gramEnd"/>
      <w:r>
        <w:t xml:space="preserve"> leave Australia. </w:t>
      </w:r>
    </w:p>
    <w:p w14:paraId="38E2D829" w14:textId="41DE8076" w:rsidR="00001D9F" w:rsidRDefault="00001D9F" w:rsidP="007E0AFE">
      <w:r>
        <w:t xml:space="preserve">Quote: </w:t>
      </w:r>
      <w:r w:rsidR="005B79F4">
        <w:t>“</w:t>
      </w:r>
      <w:r>
        <w:t>The program has been incredible. Just having someone who listened and helped navigate everything made a huge difference. I don't feel so alone anymore.</w:t>
      </w:r>
      <w:r w:rsidR="005B79F4">
        <w:t>”</w:t>
      </w:r>
    </w:p>
    <w:p w14:paraId="718B68F2" w14:textId="77777777" w:rsidR="00001D9F" w:rsidRPr="00EE6425" w:rsidRDefault="00001D9F" w:rsidP="007E0AFE">
      <w:pPr>
        <w:rPr>
          <w:rFonts w:asciiTheme="majorHAnsi" w:hAnsiTheme="majorHAnsi"/>
        </w:rPr>
      </w:pPr>
      <w:r w:rsidRPr="00EE6425">
        <w:rPr>
          <w:rFonts w:asciiTheme="majorHAnsi" w:hAnsiTheme="majorHAnsi"/>
        </w:rPr>
        <w:t>Pathway to STPP:</w:t>
      </w:r>
    </w:p>
    <w:p w14:paraId="0C45F3C5" w14:textId="7A3D2E36" w:rsidR="00001D9F" w:rsidRDefault="00001D9F" w:rsidP="007E0AFE">
      <w:pPr>
        <w:pStyle w:val="NumList"/>
        <w:numPr>
          <w:ilvl w:val="0"/>
          <w:numId w:val="22"/>
        </w:numPr>
      </w:pPr>
      <w:r>
        <w:t>Came to Australia to work on a farm.</w:t>
      </w:r>
    </w:p>
    <w:p w14:paraId="72A576C0" w14:textId="29174D2F" w:rsidR="00001D9F" w:rsidRDefault="00001D9F" w:rsidP="007E0AFE">
      <w:pPr>
        <w:pStyle w:val="NumList"/>
      </w:pPr>
      <w:r>
        <w:t>AFP raided the farm and began investigation into exploitation.</w:t>
      </w:r>
    </w:p>
    <w:p w14:paraId="50C987B4" w14:textId="56FE6D60" w:rsidR="00001D9F" w:rsidRDefault="00001D9F" w:rsidP="007E0AFE">
      <w:pPr>
        <w:pStyle w:val="NumList"/>
      </w:pPr>
      <w:r>
        <w:t>AFP referred Sam to STPP.</w:t>
      </w:r>
    </w:p>
    <w:p w14:paraId="5E67EA37" w14:textId="77777777" w:rsidR="00001D9F" w:rsidRPr="00EE6425" w:rsidRDefault="00001D9F" w:rsidP="007E0AFE">
      <w:pPr>
        <w:rPr>
          <w:rFonts w:asciiTheme="majorHAnsi" w:hAnsiTheme="majorHAnsi"/>
        </w:rPr>
      </w:pPr>
      <w:r w:rsidRPr="00EE6425">
        <w:rPr>
          <w:rFonts w:asciiTheme="majorHAnsi" w:hAnsiTheme="majorHAnsi"/>
        </w:rPr>
        <w:t>Feelings:</w:t>
      </w:r>
    </w:p>
    <w:p w14:paraId="53913A6A" w14:textId="77777777" w:rsidR="00001D9F" w:rsidRDefault="00001D9F" w:rsidP="007E0AFE">
      <w:pPr>
        <w:pStyle w:val="Bullet1"/>
      </w:pPr>
      <w:r>
        <w:t>On entry: Surprised at the level of support; Worried about his friends who were in the same situation; Relieved; Rested.</w:t>
      </w:r>
    </w:p>
    <w:p w14:paraId="057AC6B5" w14:textId="77777777" w:rsidR="00001D9F" w:rsidRDefault="00001D9F" w:rsidP="007E0AFE">
      <w:pPr>
        <w:pStyle w:val="Bullet1"/>
      </w:pPr>
      <w:r>
        <w:t>After ISS: Sense of duty to ‘give back’ to the community; Enjoys work; Grateful.</w:t>
      </w:r>
    </w:p>
    <w:p w14:paraId="5225CB32" w14:textId="77777777" w:rsidR="00001D9F" w:rsidRDefault="00001D9F" w:rsidP="007E0AFE">
      <w:pPr>
        <w:pStyle w:val="Bullet1"/>
      </w:pPr>
      <w:r>
        <w:lastRenderedPageBreak/>
        <w:t>Current: Pride in being able to send money home; Pride in assisting the AFP; Hopeful he’ll be able to stay in Australia and bring his kids over.</w:t>
      </w:r>
    </w:p>
    <w:p w14:paraId="0EF114E9" w14:textId="77777777" w:rsidR="00001D9F" w:rsidRPr="00EE6425" w:rsidRDefault="00001D9F" w:rsidP="007E0AFE">
      <w:pPr>
        <w:rPr>
          <w:rFonts w:asciiTheme="majorHAnsi" w:hAnsiTheme="majorHAnsi"/>
        </w:rPr>
      </w:pPr>
      <w:r w:rsidRPr="00EE6425">
        <w:rPr>
          <w:rFonts w:asciiTheme="majorHAnsi" w:hAnsiTheme="majorHAnsi"/>
        </w:rPr>
        <w:t>Program goals &amp; support</w:t>
      </w:r>
    </w:p>
    <w:p w14:paraId="51BBD6A8" w14:textId="7CCBE7F5" w:rsidR="00001D9F" w:rsidRDefault="00001D9F" w:rsidP="007E0AFE">
      <w:pPr>
        <w:pStyle w:val="Bullet1"/>
      </w:pPr>
      <w:r>
        <w:t>Goals: Secure a pathway to remain in Australia; Reunite with children, give them a better life in Australia; Give back to the community.</w:t>
      </w:r>
    </w:p>
    <w:p w14:paraId="2E26C4B9" w14:textId="3A620EE7" w:rsidR="00001D9F" w:rsidRDefault="00001D9F" w:rsidP="007E0AFE">
      <w:pPr>
        <w:pStyle w:val="Bullet1"/>
      </w:pPr>
      <w:r>
        <w:t>Support received: Initial hotel accommodation; Assistance securing long-term rental with friends; Referral to lawyer; English classes; Driver’s licence; Support to find work.</w:t>
      </w:r>
    </w:p>
    <w:p w14:paraId="39F449F1" w14:textId="770A4567" w:rsidR="00001D9F" w:rsidRDefault="00001D9F" w:rsidP="007E0AFE">
      <w:pPr>
        <w:pStyle w:val="Bullet1"/>
      </w:pPr>
      <w:r>
        <w:t>Monetary allowance: Short Term Accommodation Allowance</w:t>
      </w:r>
    </w:p>
    <w:p w14:paraId="33366E0C" w14:textId="77777777" w:rsidR="00AE25E1" w:rsidRDefault="00AE25E1">
      <w:pPr>
        <w:spacing w:before="0" w:after="160" w:line="259" w:lineRule="auto"/>
        <w:rPr>
          <w:rFonts w:asciiTheme="majorHAnsi" w:eastAsiaTheme="majorEastAsia" w:hAnsiTheme="majorHAnsi" w:cstheme="majorBidi"/>
          <w:iCs/>
          <w:color w:val="425563" w:themeColor="text1"/>
          <w:sz w:val="32"/>
        </w:rPr>
      </w:pPr>
      <w:r>
        <w:br w:type="page"/>
      </w:r>
    </w:p>
    <w:p w14:paraId="7D0F6DE2" w14:textId="60157BAC" w:rsidR="009413CF" w:rsidRDefault="005C1AD7" w:rsidP="007E0AFE">
      <w:pPr>
        <w:pStyle w:val="Heading4"/>
      </w:pPr>
      <w:r>
        <w:lastRenderedPageBreak/>
        <w:t xml:space="preserve">Program </w:t>
      </w:r>
      <w:r w:rsidR="009413CF">
        <w:t>outcomes</w:t>
      </w:r>
      <w:bookmarkEnd w:id="32"/>
      <w:r w:rsidR="009413CF">
        <w:t xml:space="preserve"> </w:t>
      </w:r>
    </w:p>
    <w:p w14:paraId="473C9A44" w14:textId="3FF2F110" w:rsidR="007D23FD" w:rsidRPr="00BC5DFF" w:rsidRDefault="009B59E3" w:rsidP="007E0AFE">
      <w:r w:rsidRPr="00AA51CC">
        <w:t xml:space="preserve">The evaluation assessed </w:t>
      </w:r>
      <w:r w:rsidR="007D23FD">
        <w:t>one</w:t>
      </w:r>
      <w:r w:rsidRPr="00AA51CC">
        <w:t xml:space="preserve"> </w:t>
      </w:r>
      <w:r w:rsidR="00BC5DFF">
        <w:t>program</w:t>
      </w:r>
      <w:r>
        <w:t xml:space="preserve"> </w:t>
      </w:r>
      <w:r w:rsidRPr="00AA51CC">
        <w:t>outcome:</w:t>
      </w:r>
      <w:r w:rsidR="00BC5DFF">
        <w:t xml:space="preserve"> </w:t>
      </w:r>
      <w:r w:rsidR="007D23FD">
        <w:t>DSS</w:t>
      </w:r>
      <w:r w:rsidR="00CD0F01">
        <w:t xml:space="preserve"> and</w:t>
      </w:r>
      <w:r w:rsidR="007D23FD">
        <w:t xml:space="preserve"> the </w:t>
      </w:r>
      <w:r w:rsidR="007D4BF3">
        <w:t xml:space="preserve">STPP </w:t>
      </w:r>
      <w:r w:rsidR="007D23FD">
        <w:t xml:space="preserve">and </w:t>
      </w:r>
      <w:r w:rsidR="007D4BF3">
        <w:t>ARP provider</w:t>
      </w:r>
      <w:r w:rsidR="00CD0F01">
        <w:t>s</w:t>
      </w:r>
      <w:r w:rsidR="007D23FD" w:rsidRPr="00BC5DFF">
        <w:t xml:space="preserve"> support collaborative responses to modern slavery that are inclusive, trauma</w:t>
      </w:r>
      <w:r w:rsidR="0019518B" w:rsidRPr="00BC5DFF">
        <w:t>-</w:t>
      </w:r>
      <w:r w:rsidR="007D23FD" w:rsidRPr="00BC5DFF">
        <w:t>informed and lived experience centred</w:t>
      </w:r>
      <w:r w:rsidR="3A488C3C">
        <w:t>.</w:t>
      </w:r>
    </w:p>
    <w:p w14:paraId="3EFA7F8F" w14:textId="45001C1C" w:rsidR="00BF2A4B" w:rsidRPr="003D27DB" w:rsidRDefault="0063617F" w:rsidP="003D27DB">
      <w:pPr>
        <w:pStyle w:val="Heading5"/>
        <w:spacing w:before="40" w:after="0" w:line="240" w:lineRule="auto"/>
        <w:rPr>
          <w:sz w:val="24"/>
        </w:rPr>
      </w:pPr>
      <w:r w:rsidRPr="003D27DB">
        <w:rPr>
          <w:sz w:val="24"/>
        </w:rPr>
        <w:t xml:space="preserve">Outcome </w:t>
      </w:r>
      <w:r w:rsidR="00B3655D" w:rsidRPr="003D27DB">
        <w:rPr>
          <w:sz w:val="24"/>
        </w:rPr>
        <w:t>1</w:t>
      </w:r>
      <w:r w:rsidR="007B74D0" w:rsidRPr="003D27DB">
        <w:rPr>
          <w:sz w:val="24"/>
        </w:rPr>
        <w:t>d</w:t>
      </w:r>
      <w:r w:rsidRPr="003D27DB">
        <w:rPr>
          <w:sz w:val="24"/>
        </w:rPr>
        <w:t xml:space="preserve">: </w:t>
      </w:r>
      <w:r w:rsidR="00BF2A4B" w:rsidRPr="003D27DB">
        <w:rPr>
          <w:sz w:val="24"/>
        </w:rPr>
        <w:t>DSS</w:t>
      </w:r>
      <w:r w:rsidR="00CD0F01" w:rsidRPr="003D27DB">
        <w:rPr>
          <w:sz w:val="24"/>
        </w:rPr>
        <w:t xml:space="preserve"> and </w:t>
      </w:r>
      <w:r w:rsidR="00BF2A4B" w:rsidRPr="003D27DB">
        <w:rPr>
          <w:sz w:val="24"/>
        </w:rPr>
        <w:t xml:space="preserve">the </w:t>
      </w:r>
      <w:r w:rsidR="007D4BF3" w:rsidRPr="003D27DB">
        <w:rPr>
          <w:sz w:val="24"/>
        </w:rPr>
        <w:t xml:space="preserve">STPP </w:t>
      </w:r>
      <w:r w:rsidR="05E1774A" w:rsidRPr="003D27DB">
        <w:rPr>
          <w:sz w:val="24"/>
        </w:rPr>
        <w:t xml:space="preserve">and </w:t>
      </w:r>
      <w:r w:rsidR="007D4BF3" w:rsidRPr="003D27DB">
        <w:rPr>
          <w:sz w:val="24"/>
        </w:rPr>
        <w:t>ARP provider</w:t>
      </w:r>
      <w:r w:rsidR="00CD0F01" w:rsidRPr="003D27DB">
        <w:rPr>
          <w:sz w:val="24"/>
        </w:rPr>
        <w:t>s</w:t>
      </w:r>
      <w:r w:rsidR="00BF2A4B" w:rsidRPr="003D27DB">
        <w:rPr>
          <w:sz w:val="24"/>
        </w:rPr>
        <w:t xml:space="preserve"> support collaborative responses to modern slavery that are inclusive, trauma</w:t>
      </w:r>
      <w:r w:rsidR="0019518B" w:rsidRPr="003D27DB">
        <w:rPr>
          <w:sz w:val="24"/>
        </w:rPr>
        <w:t>-</w:t>
      </w:r>
      <w:r w:rsidR="00BF2A4B" w:rsidRPr="003D27DB">
        <w:rPr>
          <w:sz w:val="24"/>
        </w:rPr>
        <w:t xml:space="preserve">informed and lived experience centred </w:t>
      </w:r>
      <w:r w:rsidR="007D4BF3" w:rsidRPr="003D27DB">
        <w:rPr>
          <w:sz w:val="24"/>
        </w:rPr>
        <w:t xml:space="preserve"> </w:t>
      </w:r>
    </w:p>
    <w:p w14:paraId="59CCA0EB" w14:textId="707138CA" w:rsidR="00443030" w:rsidRPr="003D27DB" w:rsidRDefault="00881E1B" w:rsidP="003D27DB">
      <w:pPr>
        <w:pStyle w:val="Heading6"/>
        <w:rPr>
          <w:i/>
          <w:iCs/>
          <w:sz w:val="20"/>
          <w:szCs w:val="20"/>
        </w:rPr>
      </w:pPr>
      <w:r w:rsidRPr="003D27DB">
        <w:rPr>
          <w:i/>
          <w:iCs/>
          <w:sz w:val="20"/>
          <w:szCs w:val="20"/>
        </w:rPr>
        <w:t xml:space="preserve">Outcome </w:t>
      </w:r>
      <w:r w:rsidR="00A75CCF" w:rsidRPr="003D27DB">
        <w:rPr>
          <w:i/>
          <w:iCs/>
          <w:sz w:val="20"/>
          <w:szCs w:val="20"/>
        </w:rPr>
        <w:t>1</w:t>
      </w:r>
      <w:r w:rsidR="007B74D0" w:rsidRPr="003D27DB">
        <w:rPr>
          <w:i/>
          <w:iCs/>
          <w:sz w:val="20"/>
          <w:szCs w:val="20"/>
        </w:rPr>
        <w:t>d</w:t>
      </w:r>
      <w:r w:rsidRPr="003D27DB">
        <w:rPr>
          <w:i/>
          <w:iCs/>
          <w:sz w:val="20"/>
          <w:szCs w:val="20"/>
        </w:rPr>
        <w:t xml:space="preserve">, </w:t>
      </w:r>
      <w:r w:rsidR="00E1052F" w:rsidRPr="003D27DB">
        <w:rPr>
          <w:i/>
          <w:iCs/>
          <w:sz w:val="20"/>
          <w:szCs w:val="20"/>
        </w:rPr>
        <w:t>Indicator</w:t>
      </w:r>
      <w:r w:rsidRPr="003D27DB">
        <w:rPr>
          <w:i/>
          <w:iCs/>
          <w:sz w:val="20"/>
          <w:szCs w:val="20"/>
        </w:rPr>
        <w:t xml:space="preserve"> 1</w:t>
      </w:r>
      <w:r w:rsidR="00E1052F" w:rsidRPr="003D27DB">
        <w:rPr>
          <w:i/>
          <w:iCs/>
          <w:sz w:val="20"/>
          <w:szCs w:val="20"/>
        </w:rPr>
        <w:t xml:space="preserve">: </w:t>
      </w:r>
      <w:r w:rsidR="008418C9" w:rsidRPr="003D27DB">
        <w:rPr>
          <w:i/>
          <w:iCs/>
          <w:sz w:val="20"/>
          <w:szCs w:val="20"/>
        </w:rPr>
        <w:t>The STPP</w:t>
      </w:r>
      <w:r w:rsidR="00E1052F" w:rsidRPr="003D27DB">
        <w:rPr>
          <w:i/>
          <w:iCs/>
          <w:sz w:val="20"/>
          <w:szCs w:val="20"/>
        </w:rPr>
        <w:t xml:space="preserve"> response</w:t>
      </w:r>
      <w:r w:rsidR="008418C9" w:rsidRPr="003D27DB">
        <w:rPr>
          <w:i/>
          <w:iCs/>
          <w:sz w:val="20"/>
          <w:szCs w:val="20"/>
        </w:rPr>
        <w:t xml:space="preserve"> is </w:t>
      </w:r>
      <w:r w:rsidR="00E1052F" w:rsidRPr="003D27DB">
        <w:rPr>
          <w:i/>
          <w:iCs/>
          <w:sz w:val="20"/>
          <w:szCs w:val="20"/>
        </w:rPr>
        <w:t>trauma</w:t>
      </w:r>
      <w:r w:rsidR="0019518B" w:rsidRPr="003D27DB">
        <w:rPr>
          <w:i/>
          <w:iCs/>
          <w:sz w:val="20"/>
          <w:szCs w:val="20"/>
        </w:rPr>
        <w:t>-</w:t>
      </w:r>
      <w:r w:rsidR="00E1052F" w:rsidRPr="003D27DB">
        <w:rPr>
          <w:i/>
          <w:iCs/>
          <w:sz w:val="20"/>
          <w:szCs w:val="20"/>
        </w:rPr>
        <w:t xml:space="preserve">informed and lived experience centred </w:t>
      </w:r>
    </w:p>
    <w:p w14:paraId="05845679" w14:textId="0922F7D9" w:rsidR="00AE25E1" w:rsidRDefault="00AE25E1" w:rsidP="003D27DB">
      <w:pPr>
        <w:pStyle w:val="Caption"/>
        <w:spacing w:before="40" w:after="0"/>
      </w:pPr>
      <w:r>
        <w:t xml:space="preserve">Table </w:t>
      </w:r>
      <w:r>
        <w:fldChar w:fldCharType="begin"/>
      </w:r>
      <w:r>
        <w:instrText xml:space="preserve"> SEQ Table \* ARABIC </w:instrText>
      </w:r>
      <w:r>
        <w:fldChar w:fldCharType="separate"/>
      </w:r>
      <w:r w:rsidR="00D9323B">
        <w:rPr>
          <w:noProof/>
        </w:rPr>
        <w:t>24</w:t>
      </w:r>
      <w:r>
        <w:fldChar w:fldCharType="end"/>
      </w:r>
      <w:r>
        <w:t>.</w:t>
      </w:r>
      <w:r w:rsidRPr="00AE25E1">
        <w:t xml:space="preserve"> </w:t>
      </w:r>
      <w:r>
        <w:t>Outcome 1d, Indicator 1, Outcomes identified</w:t>
      </w:r>
      <w:r w:rsidR="004807F5" w:rsidRPr="004807F5">
        <w:t xml:space="preserve"> </w:t>
      </w:r>
      <w:r w:rsidR="004807F5">
        <w:t>in evaluation</w:t>
      </w:r>
      <w:r>
        <w:t>, Discussion of supporting evidence &amp; Recommendations to strengthen</w:t>
      </w:r>
    </w:p>
    <w:tbl>
      <w:tblPr>
        <w:tblStyle w:val="TableGrid"/>
        <w:tblW w:w="0" w:type="auto"/>
        <w:tblLook w:val="04A0" w:firstRow="1" w:lastRow="0" w:firstColumn="1" w:lastColumn="0" w:noHBand="0" w:noVBand="1"/>
      </w:tblPr>
      <w:tblGrid>
        <w:gridCol w:w="2133"/>
        <w:gridCol w:w="8324"/>
      </w:tblGrid>
      <w:tr w:rsidR="00AE25E1" w14:paraId="1A15807D" w14:textId="77777777" w:rsidTr="0022038C">
        <w:trPr>
          <w:cantSplit/>
          <w:tblHeader/>
        </w:trPr>
        <w:tc>
          <w:tcPr>
            <w:tcW w:w="2133" w:type="dxa"/>
            <w:shd w:val="clear" w:color="auto" w:fill="425563" w:themeFill="text1"/>
          </w:tcPr>
          <w:p w14:paraId="51D7135B" w14:textId="07946292" w:rsidR="00AE25E1" w:rsidRPr="00CD26F6" w:rsidRDefault="00AE25E1" w:rsidP="00AE25E1">
            <w:pPr>
              <w:pStyle w:val="Tableheadwhite"/>
            </w:pPr>
            <w:r>
              <w:t>Area</w:t>
            </w:r>
          </w:p>
        </w:tc>
        <w:tc>
          <w:tcPr>
            <w:tcW w:w="8324" w:type="dxa"/>
            <w:shd w:val="clear" w:color="auto" w:fill="425563" w:themeFill="text1"/>
          </w:tcPr>
          <w:p w14:paraId="430E63BF" w14:textId="6296412C" w:rsidR="00AE25E1" w:rsidRPr="007F35C2" w:rsidRDefault="00AE25E1" w:rsidP="00AE25E1">
            <w:pPr>
              <w:pStyle w:val="Tableheadwhite"/>
              <w:rPr>
                <w:szCs w:val="18"/>
              </w:rPr>
            </w:pPr>
            <w:r>
              <w:t>Detail</w:t>
            </w:r>
          </w:p>
        </w:tc>
      </w:tr>
      <w:tr w:rsidR="009E1EC4" w14:paraId="751046CD" w14:textId="77777777" w:rsidTr="0022038C">
        <w:trPr>
          <w:cantSplit/>
        </w:trPr>
        <w:tc>
          <w:tcPr>
            <w:tcW w:w="2133" w:type="dxa"/>
            <w:shd w:val="clear" w:color="auto" w:fill="F6F9F7"/>
          </w:tcPr>
          <w:p w14:paraId="0A95FAF8" w14:textId="70E33DD6" w:rsidR="009E1EC4" w:rsidRPr="00CD26F6" w:rsidRDefault="009E1EC4" w:rsidP="007E0AFE">
            <w:pPr>
              <w:pStyle w:val="TableHeader"/>
            </w:pPr>
            <w:r w:rsidRPr="00CD26F6">
              <w:t>Outcomes identified in evaluation</w:t>
            </w:r>
          </w:p>
        </w:tc>
        <w:tc>
          <w:tcPr>
            <w:tcW w:w="8324" w:type="dxa"/>
          </w:tcPr>
          <w:p w14:paraId="36C9C17A" w14:textId="1C097416" w:rsidR="009E1EC4" w:rsidRPr="007F35C2" w:rsidRDefault="009E1EC4" w:rsidP="007E0AFE">
            <w:pPr>
              <w:pStyle w:val="Bullet1"/>
              <w:rPr>
                <w:sz w:val="18"/>
                <w:szCs w:val="18"/>
              </w:rPr>
            </w:pPr>
            <w:r w:rsidRPr="007F35C2">
              <w:rPr>
                <w:sz w:val="18"/>
                <w:szCs w:val="18"/>
              </w:rPr>
              <w:t>Stakeholder feedback suggests that the delivery of the current program is largely trauma-informed and lived experience centred – as far as it can be within its design. However, the design itself does not meet this standard.</w:t>
            </w:r>
          </w:p>
        </w:tc>
      </w:tr>
      <w:tr w:rsidR="007F35C2" w14:paraId="5FC13067" w14:textId="77777777" w:rsidTr="0022038C">
        <w:trPr>
          <w:cantSplit/>
          <w:trHeight w:val="70"/>
        </w:trPr>
        <w:tc>
          <w:tcPr>
            <w:tcW w:w="2133" w:type="dxa"/>
            <w:shd w:val="clear" w:color="auto" w:fill="F6F9F7"/>
          </w:tcPr>
          <w:p w14:paraId="1D4086EE" w14:textId="77777777" w:rsidR="007F35C2" w:rsidRDefault="007F35C2" w:rsidP="007E0AFE">
            <w:pPr>
              <w:pStyle w:val="TableHeader"/>
            </w:pPr>
            <w:r w:rsidRPr="00CD26F6">
              <w:t>Discussion of supporting evidence</w:t>
            </w:r>
          </w:p>
        </w:tc>
        <w:tc>
          <w:tcPr>
            <w:tcW w:w="8324" w:type="dxa"/>
          </w:tcPr>
          <w:p w14:paraId="4F851561" w14:textId="77777777" w:rsidR="007F35C2" w:rsidRPr="00A43555" w:rsidRDefault="007F35C2" w:rsidP="007E0AFE">
            <w:pPr>
              <w:pStyle w:val="Tabledot2"/>
            </w:pPr>
            <w:r w:rsidRPr="00A43555">
              <w:t xml:space="preserve">The evidence for this indicator is qualitative, reflecting caseworker and participant feedback, as well as stakeholder input. </w:t>
            </w:r>
          </w:p>
          <w:p w14:paraId="5DD33A89" w14:textId="07041ECE" w:rsidR="007F35C2" w:rsidRPr="001D507D" w:rsidRDefault="007F35C2" w:rsidP="007E0AFE">
            <w:pPr>
              <w:pStyle w:val="Tabledot2"/>
            </w:pPr>
            <w:r>
              <w:t>K</w:t>
            </w:r>
            <w:r w:rsidRPr="00A43555">
              <w:t xml:space="preserve">ey aspects of STPP operations </w:t>
            </w:r>
            <w:r>
              <w:t xml:space="preserve">and casework practice </w:t>
            </w:r>
            <w:r w:rsidRPr="00A43555">
              <w:t xml:space="preserve">are trauma-informed and lived experience centred. </w:t>
            </w:r>
            <w:r>
              <w:t xml:space="preserve">Participants reported that the program helped them to develop a sense of self-belief and agency, and that they were provided with choice regarding referral to other services (within the structural limits on service availability).  They described feeling ‘heard’ and ‘believed’ by caseworkers which was linked to empowerment. </w:t>
            </w:r>
            <w:r w:rsidRPr="001D507D">
              <w:t>However, the extent to which these aims are realised in practice varies. Instances where the program was reported not to be trauma-informed include</w:t>
            </w:r>
            <w:r>
              <w:t xml:space="preserve"> </w:t>
            </w:r>
            <w:r w:rsidRPr="001D507D">
              <w:t xml:space="preserve">where: caseworkers appeared to participants to lack </w:t>
            </w:r>
            <w:r w:rsidRPr="000C0AC4">
              <w:t>understanding about their experiences and the impact of trauma on their lives, participants felt pressure to engage in the criminal justice process to maintain a visa and support, uncer</w:t>
            </w:r>
            <w:r w:rsidRPr="001D507D">
              <w:t>tainty about the duration of support created significant stress for participants and negatively impacted their mental health and recovery, cessation of support being re</w:t>
            </w:r>
            <w:r>
              <w:t>-</w:t>
            </w:r>
            <w:r w:rsidRPr="001D507D">
              <w:t xml:space="preserve">traumatising, leaving </w:t>
            </w:r>
            <w:r>
              <w:t>participants</w:t>
            </w:r>
            <w:r w:rsidRPr="001D507D">
              <w:t xml:space="preserve"> feeling unworthy and disbelieved.</w:t>
            </w:r>
          </w:p>
          <w:p w14:paraId="75D0077A" w14:textId="5D29BB86" w:rsidR="007F35C2" w:rsidRDefault="007F35C2" w:rsidP="007E0AFE">
            <w:pPr>
              <w:pStyle w:val="Tabledot2"/>
            </w:pPr>
            <w:r w:rsidRPr="00A43555">
              <w:t xml:space="preserve">A key issue for the program </w:t>
            </w:r>
            <w:r>
              <w:t>i</w:t>
            </w:r>
            <w:r w:rsidRPr="00A43555">
              <w:t>s transparency and choice (key trauma-informed principles) with respect to funding allocation. STPP funds are allocated by caseworkers, and the framework for this is not made available to participants. Participants report</w:t>
            </w:r>
            <w:r>
              <w:t>ed</w:t>
            </w:r>
            <w:r w:rsidRPr="00A43555">
              <w:t xml:space="preserve"> that this can be a barrier to asking for help or receiving the right assistance and reinforce feelings of powerlessness. Stakeholders </w:t>
            </w:r>
            <w:r>
              <w:t xml:space="preserve">also </w:t>
            </w:r>
            <w:r w:rsidRPr="00A43555">
              <w:t>argued that the time-limited structure of the STPP does not adequately align with meeting complex, long-term needs and fails to recognise the potentially non-linear, complex nature of healing.</w:t>
            </w:r>
            <w:r>
              <w:t xml:space="preserve"> </w:t>
            </w:r>
          </w:p>
          <w:p w14:paraId="4CEA9E21" w14:textId="0378D3F9" w:rsidR="007F35C2" w:rsidRDefault="007F35C2" w:rsidP="007E0AFE">
            <w:pPr>
              <w:pStyle w:val="Tabledot2"/>
            </w:pPr>
            <w:r w:rsidRPr="007278CF">
              <w:t xml:space="preserve">Beyond the initial 90-day ISS and the subsequent 20-working-day Transition Stream, continued participation in the STPP </w:t>
            </w:r>
            <w:r>
              <w:t>(via the JSS)</w:t>
            </w:r>
            <w:r w:rsidRPr="007278CF">
              <w:t xml:space="preserve"> typically requires active involvement in criminal justice </w:t>
            </w:r>
            <w:r>
              <w:t>matters</w:t>
            </w:r>
            <w:r w:rsidRPr="007278CF">
              <w:t>. Individuals unwilling to engage with the justice system, or whose criminal proceedings have concluded or cannot proceed, will be exited from the program</w:t>
            </w:r>
            <w:r>
              <w:t xml:space="preserve">. </w:t>
            </w:r>
            <w:r w:rsidRPr="00146BF9">
              <w:t>A trauma-informed approach recogni</w:t>
            </w:r>
            <w:r>
              <w:t>s</w:t>
            </w:r>
            <w:r w:rsidRPr="00146BF9">
              <w:t>es that recovery is a complex, individual process that may not align with the pace or demands of a criminal investigation</w:t>
            </w:r>
            <w:r>
              <w:t>.</w:t>
            </w:r>
          </w:p>
        </w:tc>
      </w:tr>
      <w:tr w:rsidR="007F35C2" w14:paraId="32D55C29" w14:textId="77777777" w:rsidTr="0022038C">
        <w:trPr>
          <w:cantSplit/>
        </w:trPr>
        <w:tc>
          <w:tcPr>
            <w:tcW w:w="2133" w:type="dxa"/>
            <w:shd w:val="clear" w:color="auto" w:fill="F6F9F7"/>
          </w:tcPr>
          <w:p w14:paraId="116AC626" w14:textId="7DA2521D" w:rsidR="007F35C2" w:rsidRDefault="007F35C2" w:rsidP="007E0AFE">
            <w:pPr>
              <w:pStyle w:val="TableHeader"/>
            </w:pPr>
            <w:r>
              <w:lastRenderedPageBreak/>
              <w:t xml:space="preserve">Recommendations to strengthen </w:t>
            </w:r>
          </w:p>
        </w:tc>
        <w:tc>
          <w:tcPr>
            <w:tcW w:w="8324" w:type="dxa"/>
          </w:tcPr>
          <w:p w14:paraId="48405467" w14:textId="77777777" w:rsidR="007F35C2" w:rsidRDefault="007F35C2" w:rsidP="007E0AFE">
            <w:pPr>
              <w:pStyle w:val="TableHeader"/>
            </w:pPr>
            <w:r>
              <w:t>Program improvement</w:t>
            </w:r>
          </w:p>
          <w:p w14:paraId="66F2E0E3" w14:textId="2BBADC89" w:rsidR="007F35C2" w:rsidRPr="00A43555" w:rsidRDefault="007F35C2" w:rsidP="007E0AFE">
            <w:pPr>
              <w:pStyle w:val="Tabledot2"/>
            </w:pPr>
            <w:r w:rsidRPr="00A43555">
              <w:t>Increase coaching and supervision as well as quality assurance for trauma-informed practice for caseworkers.</w:t>
            </w:r>
          </w:p>
          <w:p w14:paraId="0EAA4CC5" w14:textId="77777777" w:rsidR="007F35C2" w:rsidRPr="00A43555" w:rsidRDefault="007F35C2" w:rsidP="007E0AFE">
            <w:pPr>
              <w:pStyle w:val="Tabledot2"/>
            </w:pPr>
            <w:r w:rsidRPr="00A43555">
              <w:t xml:space="preserve">Increase transparency and agency for what funding is available to participants. </w:t>
            </w:r>
          </w:p>
          <w:p w14:paraId="364FCF0C" w14:textId="325DD17E" w:rsidR="007F35C2" w:rsidRPr="00A43555" w:rsidRDefault="007F35C2" w:rsidP="007E0AFE">
            <w:pPr>
              <w:pStyle w:val="Tabledot2"/>
            </w:pPr>
            <w:r>
              <w:t xml:space="preserve">Monitor the impact of the post-exit surveys on the overall </w:t>
            </w:r>
            <w:r w:rsidRPr="00A43555">
              <w:t>opportunities for participant feedback in ongoing program improvement</w:t>
            </w:r>
            <w:r>
              <w:t>. Initial signs are promising</w:t>
            </w:r>
            <w:r w:rsidRPr="00A43555">
              <w:t xml:space="preserve">. </w:t>
            </w:r>
          </w:p>
          <w:p w14:paraId="6D01346B" w14:textId="064DB594" w:rsidR="007F35C2" w:rsidRPr="00F50DA4" w:rsidRDefault="007F35C2" w:rsidP="007E0AFE">
            <w:pPr>
              <w:pStyle w:val="Tabledot2"/>
            </w:pPr>
            <w:r>
              <w:t xml:space="preserve">Include program administrative data in activity work plans to monitor whether early </w:t>
            </w:r>
            <w:r w:rsidRPr="00F50DA4">
              <w:t>referral</w:t>
            </w:r>
            <w:r>
              <w:t>s</w:t>
            </w:r>
            <w:r w:rsidRPr="00F50DA4">
              <w:t xml:space="preserve"> </w:t>
            </w:r>
            <w:r>
              <w:t xml:space="preserve">are made </w:t>
            </w:r>
            <w:r w:rsidRPr="00F50DA4">
              <w:t>to migration agent</w:t>
            </w:r>
            <w:r>
              <w:t xml:space="preserve">s and/or </w:t>
            </w:r>
            <w:r w:rsidRPr="00F50DA4">
              <w:t>legal officer</w:t>
            </w:r>
            <w:r>
              <w:t>s</w:t>
            </w:r>
            <w:r w:rsidRPr="00F50DA4">
              <w:t xml:space="preserve"> to outline migration/visa options whether participating in criminal justice</w:t>
            </w:r>
            <w:r>
              <w:t xml:space="preserve"> processes</w:t>
            </w:r>
            <w:r w:rsidRPr="00F50DA4">
              <w:t xml:space="preserve"> or not.</w:t>
            </w:r>
            <w:r>
              <w:t xml:space="preserve"> </w:t>
            </w:r>
            <w:r w:rsidRPr="00F50DA4">
              <w:t>Ensur</w:t>
            </w:r>
            <w:r>
              <w:t>e that</w:t>
            </w:r>
            <w:r w:rsidRPr="00F50DA4">
              <w:t xml:space="preserve"> </w:t>
            </w:r>
            <w:r>
              <w:t>these</w:t>
            </w:r>
            <w:r w:rsidRPr="00F50DA4">
              <w:t xml:space="preserve"> interactions are tailored and include the appropriate assistance </w:t>
            </w:r>
            <w:r>
              <w:t xml:space="preserve">(e.g., </w:t>
            </w:r>
            <w:r w:rsidRPr="00F50DA4">
              <w:t>interpreters</w:t>
            </w:r>
            <w:r>
              <w:t>)</w:t>
            </w:r>
            <w:r w:rsidRPr="00F50DA4">
              <w:t xml:space="preserve"> to ensure understanding of options and pathways.</w:t>
            </w:r>
          </w:p>
          <w:p w14:paraId="2EC6E304" w14:textId="77777777" w:rsidR="007F35C2" w:rsidRDefault="007F35C2" w:rsidP="007E0AFE">
            <w:pPr>
              <w:pStyle w:val="TableHeader"/>
            </w:pPr>
            <w:r>
              <w:t>Design improvement</w:t>
            </w:r>
          </w:p>
          <w:p w14:paraId="1EFFDA43" w14:textId="232F5B1A" w:rsidR="007F35C2" w:rsidRDefault="007F35C2" w:rsidP="007E0AFE">
            <w:pPr>
              <w:pStyle w:val="Tabledot2"/>
            </w:pPr>
            <w:r w:rsidRPr="00A43555">
              <w:t>Re</w:t>
            </w:r>
            <w:r>
              <w:t>move</w:t>
            </w:r>
            <w:r w:rsidRPr="00A43555">
              <w:t xml:space="preserve"> criminal justice involvement as a requirement</w:t>
            </w:r>
            <w:r>
              <w:t xml:space="preserve"> for</w:t>
            </w:r>
            <w:r w:rsidRPr="00A43555">
              <w:t xml:space="preserve"> eligibility (given the contribution of this to doing harm). Related to this, </w:t>
            </w:r>
            <w:r>
              <w:t>transition from a time-limited model to</w:t>
            </w:r>
            <w:r w:rsidRPr="00A43555">
              <w:t xml:space="preserve"> a needs-based model. </w:t>
            </w:r>
          </w:p>
          <w:p w14:paraId="6A38EA63" w14:textId="77E98FEC" w:rsidR="007F35C2" w:rsidRPr="00A43555" w:rsidRDefault="007F35C2" w:rsidP="007E0AFE">
            <w:pPr>
              <w:pStyle w:val="Tabledot2"/>
            </w:pPr>
            <w:r>
              <w:t>Consider adoption of a peer support delivery model, in addition to case management. Peer support delivered during the program also has the potential to sustain after participants have left the program.</w:t>
            </w:r>
          </w:p>
          <w:p w14:paraId="5864EC98" w14:textId="77777777" w:rsidR="007F35C2" w:rsidRDefault="007F35C2" w:rsidP="007E0AFE">
            <w:pPr>
              <w:pStyle w:val="Tabledot2"/>
            </w:pPr>
            <w:r w:rsidRPr="00A43555">
              <w:t>Increase opportunities for lived experience to guide program design and delivery, including through best practice peer support models.</w:t>
            </w:r>
            <w:r>
              <w:t xml:space="preserve"> </w:t>
            </w:r>
          </w:p>
        </w:tc>
      </w:tr>
    </w:tbl>
    <w:p w14:paraId="0C6388AD" w14:textId="0E9EC254" w:rsidR="0022038C" w:rsidRPr="0022038C" w:rsidRDefault="0022038C" w:rsidP="0022038C">
      <w:pPr>
        <w:shd w:val="clear" w:color="auto" w:fill="EEF6F6" w:themeFill="background2" w:themeFillTint="33"/>
        <w:rPr>
          <w:rFonts w:asciiTheme="majorHAnsi" w:hAnsiTheme="majorHAnsi"/>
        </w:rPr>
      </w:pPr>
      <w:r w:rsidRPr="0022038C">
        <w:rPr>
          <w:rFonts w:asciiTheme="majorHAnsi" w:hAnsiTheme="majorHAnsi"/>
        </w:rPr>
        <w:t>Cross cutting learning</w:t>
      </w:r>
      <w:r>
        <w:rPr>
          <w:rFonts w:asciiTheme="majorHAnsi" w:hAnsiTheme="majorHAnsi"/>
        </w:rPr>
        <w:t>:</w:t>
      </w:r>
    </w:p>
    <w:p w14:paraId="617F19DB" w14:textId="77777777" w:rsidR="0022038C" w:rsidRDefault="0022038C" w:rsidP="0022038C">
      <w:pPr>
        <w:shd w:val="clear" w:color="auto" w:fill="EEF6F6" w:themeFill="background2" w:themeFillTint="33"/>
      </w:pPr>
      <w:r>
        <w:t xml:space="preserve">In the experience of the evaluator, the role of peer support delivery models and lived experience involvement in policy and program design and delivery is increasingly expected. A departmental position on best practice would support a uniform approach across diverse policy areas such as the NDIS, support for people with forced adoption or intercountry adoption experiences, </w:t>
      </w:r>
      <w:r w:rsidRPr="00F52B9A">
        <w:t>Transition to Independent Living Allowance</w:t>
      </w:r>
      <w:r>
        <w:t xml:space="preserve"> (TILA) program, the National Redress Scheme, to name just a few. </w:t>
      </w:r>
    </w:p>
    <w:p w14:paraId="640FCB8F" w14:textId="247098B3" w:rsidR="0022038C" w:rsidRPr="0022038C" w:rsidRDefault="0022038C" w:rsidP="0022038C">
      <w:pPr>
        <w:shd w:val="clear" w:color="auto" w:fill="EEF6F6" w:themeFill="background2" w:themeFillTint="33"/>
        <w:rPr>
          <w:rFonts w:asciiTheme="majorHAnsi" w:hAnsiTheme="majorHAnsi"/>
        </w:rPr>
      </w:pPr>
      <w:r w:rsidRPr="0022038C">
        <w:rPr>
          <w:rFonts w:asciiTheme="majorHAnsi" w:hAnsiTheme="majorHAnsi"/>
        </w:rPr>
        <w:t>Implementation advice</w:t>
      </w:r>
      <w:r>
        <w:rPr>
          <w:rFonts w:asciiTheme="majorHAnsi" w:hAnsiTheme="majorHAnsi"/>
        </w:rPr>
        <w:t>:</w:t>
      </w:r>
    </w:p>
    <w:p w14:paraId="4D012775" w14:textId="77777777" w:rsidR="0022038C" w:rsidRDefault="0022038C" w:rsidP="0022038C">
      <w:pPr>
        <w:shd w:val="clear" w:color="auto" w:fill="EEF6F6" w:themeFill="background2" w:themeFillTint="33"/>
      </w:pPr>
      <w:r>
        <w:t xml:space="preserve">A key stakeholder criticism of the STPP is that it has not effectively incorporated lived experience voices in design and delivery. In addition, future design will need to prioritise a number of </w:t>
      </w:r>
      <w:proofErr w:type="gramStart"/>
      <w:r>
        <w:t>policy</w:t>
      </w:r>
      <w:proofErr w:type="gramEnd"/>
      <w:r>
        <w:t xml:space="preserve"> aims sitting in different government agencies (e.g. criminal justice in the AFP, immigration in the Department of Home Affairs, overall HTMS in the Attorney-General’s Department). We suggest that whilst this evaluation has identified opportunities for program strengthening, these are unlikely to have buy-in if they are not deliberated as part of a transparent co-design process. </w:t>
      </w:r>
    </w:p>
    <w:p w14:paraId="40538CAB" w14:textId="2048603C" w:rsidR="0022038C" w:rsidRPr="0022038C" w:rsidRDefault="0022038C" w:rsidP="0022038C">
      <w:pPr>
        <w:shd w:val="clear" w:color="auto" w:fill="EEF6F6" w:themeFill="background2" w:themeFillTint="33"/>
        <w:rPr>
          <w:rFonts w:asciiTheme="majorHAnsi" w:hAnsiTheme="majorHAnsi"/>
        </w:rPr>
      </w:pPr>
      <w:r w:rsidRPr="0022038C">
        <w:rPr>
          <w:rFonts w:asciiTheme="majorHAnsi" w:hAnsiTheme="majorHAnsi"/>
        </w:rPr>
        <w:t>System / cross cutting learning</w:t>
      </w:r>
      <w:r>
        <w:rPr>
          <w:rFonts w:asciiTheme="majorHAnsi" w:hAnsiTheme="majorHAnsi"/>
        </w:rPr>
        <w:t>:</w:t>
      </w:r>
    </w:p>
    <w:p w14:paraId="0F0D4AA3" w14:textId="53CEB646" w:rsidR="001E72BA" w:rsidRPr="0022038C" w:rsidRDefault="0022038C" w:rsidP="0022038C">
      <w:pPr>
        <w:shd w:val="clear" w:color="auto" w:fill="EEF6F6" w:themeFill="background2" w:themeFillTint="33"/>
        <w:rPr>
          <w:sz w:val="6"/>
          <w:szCs w:val="8"/>
        </w:rPr>
      </w:pPr>
      <w:r>
        <w:t>The STPP is an example of a program where achieving outcomes for participants is complicated by the need to work across multiple service settings and a federated service delivery system. Considering mechanisms for coordination such as a national framework that sets expectations and service delivery standards may support progress. However, this challenge relates to many DSS policy areas, and testing solutions in different contexts and applying the learnings across the department may fast track improvement.</w:t>
      </w:r>
    </w:p>
    <w:p w14:paraId="5A8517DD" w14:textId="31BCCD1D" w:rsidR="007069DE" w:rsidRPr="003D27DB" w:rsidRDefault="007069DE" w:rsidP="003D27DB">
      <w:pPr>
        <w:pStyle w:val="Heading6"/>
        <w:rPr>
          <w:i/>
          <w:iCs/>
          <w:sz w:val="20"/>
          <w:szCs w:val="20"/>
        </w:rPr>
      </w:pPr>
      <w:r w:rsidRPr="003D27DB">
        <w:rPr>
          <w:i/>
          <w:iCs/>
          <w:sz w:val="20"/>
          <w:szCs w:val="20"/>
        </w:rPr>
        <w:t xml:space="preserve">Outcome 1d, Indicator 2: There is effective collaboration between stakeholders </w:t>
      </w:r>
    </w:p>
    <w:p w14:paraId="30410528" w14:textId="30A4F8C0" w:rsidR="00AE25E1" w:rsidRDefault="00AE25E1" w:rsidP="003D27DB">
      <w:pPr>
        <w:pStyle w:val="Caption"/>
        <w:spacing w:before="40" w:after="0"/>
      </w:pPr>
      <w:r>
        <w:t xml:space="preserve">Table </w:t>
      </w:r>
      <w:r>
        <w:fldChar w:fldCharType="begin"/>
      </w:r>
      <w:r>
        <w:instrText xml:space="preserve"> SEQ Table \* ARABIC </w:instrText>
      </w:r>
      <w:r>
        <w:fldChar w:fldCharType="separate"/>
      </w:r>
      <w:r w:rsidR="00D9323B">
        <w:rPr>
          <w:noProof/>
        </w:rPr>
        <w:t>25</w:t>
      </w:r>
      <w:r>
        <w:fldChar w:fldCharType="end"/>
      </w:r>
      <w:r>
        <w:t>.</w:t>
      </w:r>
      <w:r w:rsidRPr="00AE25E1">
        <w:t xml:space="preserve"> </w:t>
      </w:r>
      <w:r>
        <w:t>Outcome 1d, Indicator 2, Outcomes identified</w:t>
      </w:r>
      <w:r w:rsidR="004807F5" w:rsidRPr="004807F5">
        <w:t xml:space="preserve"> </w:t>
      </w:r>
      <w:r w:rsidR="004807F5">
        <w:t>in evaluation</w:t>
      </w:r>
      <w:r>
        <w:t>,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AE25E1" w14:paraId="48AF7D2E" w14:textId="77777777" w:rsidTr="0022038C">
        <w:trPr>
          <w:cantSplit/>
          <w:tblHeader/>
        </w:trPr>
        <w:tc>
          <w:tcPr>
            <w:tcW w:w="2972" w:type="dxa"/>
            <w:shd w:val="clear" w:color="auto" w:fill="425563" w:themeFill="text1"/>
          </w:tcPr>
          <w:p w14:paraId="567CA0FC" w14:textId="643E4C0A" w:rsidR="00AE25E1" w:rsidRPr="00CD26F6" w:rsidRDefault="00AE25E1" w:rsidP="00AE25E1">
            <w:pPr>
              <w:pStyle w:val="Tableheadwhite"/>
            </w:pPr>
            <w:r>
              <w:t>Area</w:t>
            </w:r>
          </w:p>
        </w:tc>
        <w:tc>
          <w:tcPr>
            <w:tcW w:w="7485" w:type="dxa"/>
            <w:shd w:val="clear" w:color="auto" w:fill="425563" w:themeFill="text1"/>
          </w:tcPr>
          <w:p w14:paraId="0638B61F" w14:textId="1C218CB1" w:rsidR="00AE25E1" w:rsidRDefault="00AE25E1" w:rsidP="00AE25E1">
            <w:pPr>
              <w:pStyle w:val="Tableheadwhite"/>
            </w:pPr>
            <w:r>
              <w:t>Detail</w:t>
            </w:r>
          </w:p>
        </w:tc>
      </w:tr>
      <w:tr w:rsidR="007069DE" w14:paraId="08B3A689" w14:textId="77777777" w:rsidTr="0022038C">
        <w:trPr>
          <w:cantSplit/>
        </w:trPr>
        <w:tc>
          <w:tcPr>
            <w:tcW w:w="2972" w:type="dxa"/>
            <w:shd w:val="clear" w:color="auto" w:fill="F6F9F7"/>
          </w:tcPr>
          <w:p w14:paraId="3EF15213" w14:textId="77777777" w:rsidR="007069DE" w:rsidRDefault="007069DE" w:rsidP="007E0AFE">
            <w:pPr>
              <w:pStyle w:val="TableHeader"/>
            </w:pPr>
            <w:r w:rsidRPr="00CD26F6">
              <w:t>Outcomes identified in evaluation</w:t>
            </w:r>
          </w:p>
        </w:tc>
        <w:tc>
          <w:tcPr>
            <w:tcW w:w="7485" w:type="dxa"/>
          </w:tcPr>
          <w:p w14:paraId="4AE6861B" w14:textId="77777777" w:rsidR="007069DE" w:rsidRPr="006D3101" w:rsidRDefault="007069DE" w:rsidP="007E0AFE">
            <w:pPr>
              <w:pStyle w:val="Tabledot2"/>
            </w:pPr>
            <w:r>
              <w:t xml:space="preserve">There is qualitative evidence for effective collaboration between organisations who deliver the STPP and ARP. Stakeholder reporting suggested that there isn’t effective collaboration in the broader service sector with respect to HTMS, in terms of referring into the STPP and referring from the STPP. </w:t>
            </w:r>
          </w:p>
        </w:tc>
      </w:tr>
      <w:tr w:rsidR="007069DE" w14:paraId="164ACA96" w14:textId="77777777" w:rsidTr="0022038C">
        <w:trPr>
          <w:cantSplit/>
        </w:trPr>
        <w:tc>
          <w:tcPr>
            <w:tcW w:w="2972" w:type="dxa"/>
            <w:shd w:val="clear" w:color="auto" w:fill="F6F9F7"/>
          </w:tcPr>
          <w:p w14:paraId="6F087862" w14:textId="77777777" w:rsidR="007069DE" w:rsidRDefault="007069DE" w:rsidP="007E0AFE">
            <w:pPr>
              <w:pStyle w:val="TableHeader"/>
            </w:pPr>
            <w:r w:rsidRPr="00CD26F6">
              <w:lastRenderedPageBreak/>
              <w:t>Discussion of supporting evidence</w:t>
            </w:r>
          </w:p>
        </w:tc>
        <w:tc>
          <w:tcPr>
            <w:tcW w:w="7485" w:type="dxa"/>
          </w:tcPr>
          <w:p w14:paraId="05F9C105" w14:textId="6FBF5F55" w:rsidR="007069DE" w:rsidRDefault="007069DE" w:rsidP="007E0AFE">
            <w:pPr>
              <w:pStyle w:val="Tabledot2"/>
            </w:pPr>
            <w:r>
              <w:t xml:space="preserve">Findings for this outcome reflect qualitative reports by stakeholders. </w:t>
            </w:r>
            <w:r w:rsidRPr="006D3101">
              <w:t xml:space="preserve">Stakeholders </w:t>
            </w:r>
            <w:r>
              <w:t>recognised</w:t>
            </w:r>
            <w:r w:rsidRPr="006D3101">
              <w:t xml:space="preserve"> the importance of strong networks and collaboration between multiple organisations for the STPP to work effectively.</w:t>
            </w:r>
            <w:r>
              <w:t xml:space="preserve"> C</w:t>
            </w:r>
            <w:r w:rsidRPr="006D3101">
              <w:t xml:space="preserve">onscious efforts have been made to build partnerships between the AFP, the STPP service provider, the ARP </w:t>
            </w:r>
            <w:r w:rsidR="00514AFA">
              <w:t>lead and</w:t>
            </w:r>
            <w:r w:rsidRPr="006D3101">
              <w:t xml:space="preserve"> consortium partners</w:t>
            </w:r>
            <w:r>
              <w:t>. The parties reported that for the most part these relationships work well, although there are some inefficiencies and instances of duplication/lack of role clarity. The latter are further discussed in the efficiency section below.</w:t>
            </w:r>
          </w:p>
          <w:p w14:paraId="596E8414" w14:textId="583177C9" w:rsidR="007069DE" w:rsidRDefault="007069DE" w:rsidP="007E0AFE">
            <w:pPr>
              <w:pStyle w:val="Tabledot2"/>
            </w:pPr>
            <w:r>
              <w:t>The STPP provider reported having a good network of organisations to whom they can refer, although reported that there are system limits, particularly with respect to service availability, including for accommodation</w:t>
            </w:r>
            <w:r w:rsidR="007B7D83">
              <w:t>,</w:t>
            </w:r>
            <w:r>
              <w:t xml:space="preserve"> mental health support</w:t>
            </w:r>
            <w:r w:rsidR="007B7D83">
              <w:t xml:space="preserve"> and legal advice</w:t>
            </w:r>
            <w:r>
              <w:t xml:space="preserve">. </w:t>
            </w:r>
          </w:p>
          <w:p w14:paraId="7FCDD3FF" w14:textId="77777777" w:rsidR="007069DE" w:rsidRPr="00C72D3F" w:rsidRDefault="007069DE" w:rsidP="007E0AFE">
            <w:pPr>
              <w:pStyle w:val="Tabledot2"/>
              <w:rPr>
                <w:rFonts w:asciiTheme="majorHAnsi" w:hAnsiTheme="majorHAnsi"/>
              </w:rPr>
            </w:pPr>
            <w:r>
              <w:t xml:space="preserve">The STPP and ARP providers promote their programs through </w:t>
            </w:r>
            <w:r w:rsidRPr="00B10113">
              <w:t xml:space="preserve">jurisdictional Modern Slavery and Forced Marriage Network </w:t>
            </w:r>
            <w:r>
              <w:t>meetings, emails</w:t>
            </w:r>
            <w:r w:rsidRPr="00B10113">
              <w:t xml:space="preserve"> and </w:t>
            </w:r>
            <w:r>
              <w:t xml:space="preserve">community events. However, they also reported that lack of </w:t>
            </w:r>
            <w:r w:rsidRPr="00EB1256">
              <w:t xml:space="preserve">understanding of </w:t>
            </w:r>
            <w:r>
              <w:t>HTMS and their programs in the broader system limit the extent to which identification and referral can occur.</w:t>
            </w:r>
          </w:p>
        </w:tc>
      </w:tr>
      <w:tr w:rsidR="007069DE" w14:paraId="430C005C" w14:textId="77777777" w:rsidTr="0022038C">
        <w:trPr>
          <w:cantSplit/>
        </w:trPr>
        <w:tc>
          <w:tcPr>
            <w:tcW w:w="2972" w:type="dxa"/>
            <w:shd w:val="clear" w:color="auto" w:fill="F6F9F7"/>
          </w:tcPr>
          <w:p w14:paraId="4E4A942A" w14:textId="7E5FEDC3" w:rsidR="009E18A6" w:rsidRDefault="00A3477F" w:rsidP="007E0AFE">
            <w:pPr>
              <w:pStyle w:val="TableHeader"/>
            </w:pPr>
            <w:r>
              <w:t xml:space="preserve">Recommendations </w:t>
            </w:r>
            <w:r w:rsidR="007069DE">
              <w:t xml:space="preserve">to strengthen </w:t>
            </w:r>
          </w:p>
        </w:tc>
        <w:tc>
          <w:tcPr>
            <w:tcW w:w="7485" w:type="dxa"/>
          </w:tcPr>
          <w:p w14:paraId="1E22E787" w14:textId="77777777" w:rsidR="007069DE" w:rsidRPr="005B318B" w:rsidRDefault="007069DE" w:rsidP="007E0AFE">
            <w:pPr>
              <w:pStyle w:val="TableHeader"/>
            </w:pPr>
            <w:r w:rsidRPr="005B318B">
              <w:t xml:space="preserve">Program strengthening </w:t>
            </w:r>
          </w:p>
          <w:p w14:paraId="3C18D878" w14:textId="77777777" w:rsidR="007069DE" w:rsidRPr="005B318B" w:rsidRDefault="007069DE" w:rsidP="007E0AFE">
            <w:pPr>
              <w:pStyle w:val="Tabledot2"/>
            </w:pPr>
            <w:r w:rsidRPr="005B318B">
              <w:t xml:space="preserve">Efficiency questions </w:t>
            </w:r>
            <w:r>
              <w:t xml:space="preserve">are dealt with in the next section. </w:t>
            </w:r>
          </w:p>
          <w:p w14:paraId="203556CD" w14:textId="77777777" w:rsidR="007069DE" w:rsidRPr="005B318B" w:rsidRDefault="007069DE" w:rsidP="007E0AFE">
            <w:pPr>
              <w:pStyle w:val="TableHeader"/>
            </w:pPr>
            <w:r w:rsidRPr="005B318B">
              <w:t xml:space="preserve">System strengthening </w:t>
            </w:r>
          </w:p>
          <w:p w14:paraId="394FBCD5" w14:textId="197DD056" w:rsidR="007069DE" w:rsidRPr="005B318B" w:rsidRDefault="007069DE" w:rsidP="007E0AFE">
            <w:pPr>
              <w:pStyle w:val="Tabledot2"/>
            </w:pPr>
            <w:r>
              <w:t>Develop</w:t>
            </w:r>
            <w:r w:rsidRPr="005B318B">
              <w:t xml:space="preserve"> a national framework for HTMS service delivery</w:t>
            </w:r>
            <w:r>
              <w:t xml:space="preserve"> outlining aspirations and mechanisms for improving joined-up service delivery.</w:t>
            </w:r>
            <w:r w:rsidR="005A64F5">
              <w:t xml:space="preserve"> This could fall under the auspice of the </w:t>
            </w:r>
            <w:r w:rsidR="005A64F5">
              <w:rPr>
                <w:i/>
                <w:iCs/>
              </w:rPr>
              <w:t>National Action Plan</w:t>
            </w:r>
            <w:r w:rsidR="00BD5566">
              <w:rPr>
                <w:i/>
                <w:iCs/>
              </w:rPr>
              <w:t xml:space="preserve"> </w:t>
            </w:r>
            <w:r w:rsidR="00BD5566" w:rsidRPr="00F323B1">
              <w:t xml:space="preserve">but would require a governance structure that included </w:t>
            </w:r>
            <w:r w:rsidR="00C74E32" w:rsidRPr="00F323B1">
              <w:t>all governmental jurisdictions</w:t>
            </w:r>
            <w:r w:rsidR="00C74E32">
              <w:rPr>
                <w:i/>
                <w:iCs/>
              </w:rPr>
              <w:t>.</w:t>
            </w:r>
          </w:p>
        </w:tc>
      </w:tr>
    </w:tbl>
    <w:p w14:paraId="18C6E88B" w14:textId="77777777" w:rsidR="009E18A6" w:rsidRDefault="009E18A6" w:rsidP="007E0AFE">
      <w:pPr>
        <w:rPr>
          <w:rFonts w:asciiTheme="majorHAnsi" w:eastAsiaTheme="majorEastAsia" w:hAnsiTheme="majorHAnsi" w:cstheme="majorBidi"/>
          <w:iCs/>
          <w:sz w:val="24"/>
        </w:rPr>
      </w:pPr>
    </w:p>
    <w:p w14:paraId="5825DAE0" w14:textId="77777777" w:rsidR="009E18A6" w:rsidRDefault="009E18A6">
      <w:pPr>
        <w:spacing w:before="0" w:after="160" w:line="259" w:lineRule="auto"/>
        <w:rPr>
          <w:rFonts w:asciiTheme="majorHAnsi" w:eastAsiaTheme="majorEastAsia" w:hAnsiTheme="majorHAnsi" w:cstheme="majorBidi"/>
          <w:iCs/>
          <w:sz w:val="24"/>
        </w:rPr>
      </w:pPr>
      <w:r>
        <w:rPr>
          <w:rFonts w:asciiTheme="majorHAnsi" w:eastAsiaTheme="majorEastAsia" w:hAnsiTheme="majorHAnsi" w:cstheme="majorBidi"/>
          <w:iCs/>
          <w:sz w:val="24"/>
        </w:rPr>
        <w:br w:type="page"/>
      </w:r>
    </w:p>
    <w:p w14:paraId="3C49D4F1" w14:textId="7B6CFCC9" w:rsidR="009E18A6" w:rsidRDefault="0065263E" w:rsidP="00BE472D">
      <w:pPr>
        <w:shd w:val="clear" w:color="auto" w:fill="F6F9F7"/>
        <w:rPr>
          <w:noProof/>
        </w:rPr>
      </w:pPr>
      <w:r>
        <w:rPr>
          <w:noProof/>
        </w:rPr>
        <w:lastRenderedPageBreak/>
        <w:drawing>
          <wp:anchor distT="0" distB="0" distL="114300" distR="114300" simplePos="0" relativeHeight="251658240" behindDoc="0" locked="0" layoutInCell="1" allowOverlap="1" wp14:anchorId="3447807B" wp14:editId="113C20C2">
            <wp:simplePos x="0" y="0"/>
            <wp:positionH relativeFrom="page">
              <wp:posOffset>3604260</wp:posOffset>
            </wp:positionH>
            <wp:positionV relativeFrom="margin">
              <wp:align>top</wp:align>
            </wp:positionV>
            <wp:extent cx="3740150" cy="9081770"/>
            <wp:effectExtent l="0" t="0" r="0" b="0"/>
            <wp:wrapSquare wrapText="bothSides"/>
            <wp:docPr id="14849989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897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606"/>
                    <a:stretch/>
                  </pic:blipFill>
                  <pic:spPr bwMode="auto">
                    <a:xfrm>
                      <a:off x="0" y="0"/>
                      <a:ext cx="3740150" cy="908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Quote (Current/former program participant):”</w:t>
      </w:r>
      <w:r w:rsidR="009E18A6">
        <w:rPr>
          <w:noProof/>
        </w:rPr>
        <w:t>I think they do a really good job of addressing people’s immediate needs but they shouldn’t release people from the program until they have reached stability.</w:t>
      </w:r>
      <w:r>
        <w:rPr>
          <w:noProof/>
        </w:rPr>
        <w:t>”</w:t>
      </w:r>
      <w:r w:rsidR="009E18A6">
        <w:rPr>
          <w:noProof/>
        </w:rPr>
        <w:t xml:space="preserve"> </w:t>
      </w:r>
    </w:p>
    <w:p w14:paraId="777AF7A4" w14:textId="4DF44903" w:rsidR="009E18A6" w:rsidRDefault="009E18A6" w:rsidP="00BE472D">
      <w:pPr>
        <w:shd w:val="clear" w:color="auto" w:fill="F6F9F7"/>
        <w:rPr>
          <w:noProof/>
        </w:rPr>
      </w:pPr>
    </w:p>
    <w:p w14:paraId="437B4377" w14:textId="4FE76726" w:rsidR="009E18A6" w:rsidRDefault="0065263E" w:rsidP="00BE472D">
      <w:pPr>
        <w:shd w:val="clear" w:color="auto" w:fill="F6F9F7"/>
        <w:rPr>
          <w:noProof/>
        </w:rPr>
      </w:pPr>
      <w:r>
        <w:rPr>
          <w:noProof/>
        </w:rPr>
        <w:t>Quote (Current/former program participant):</w:t>
      </w:r>
      <w:r w:rsidR="009E18A6">
        <w:rPr>
          <w:noProof/>
        </w:rPr>
        <w:t>People’s needs are different…but the support is very uniform…some people might need support for legal, but don’t need the education. But you can’t spend the $1,000 on education or lawyer. There isn’t the flexibility.</w:t>
      </w:r>
      <w:r>
        <w:rPr>
          <w:noProof/>
        </w:rPr>
        <w:t>”</w:t>
      </w:r>
      <w:r w:rsidR="009E18A6">
        <w:rPr>
          <w:noProof/>
        </w:rPr>
        <w:t xml:space="preserve"> </w:t>
      </w:r>
    </w:p>
    <w:p w14:paraId="6AD813DB" w14:textId="7193DCC1" w:rsidR="009E18A6" w:rsidRDefault="009E18A6" w:rsidP="00BE472D">
      <w:pPr>
        <w:shd w:val="clear" w:color="auto" w:fill="F6F9F7"/>
        <w:rPr>
          <w:noProof/>
        </w:rPr>
      </w:pPr>
    </w:p>
    <w:p w14:paraId="7E7E9A69" w14:textId="50F576EF" w:rsidR="009E18A6" w:rsidRDefault="0065263E" w:rsidP="00BE472D">
      <w:pPr>
        <w:shd w:val="clear" w:color="auto" w:fill="F6F9F7"/>
        <w:rPr>
          <w:noProof/>
        </w:rPr>
      </w:pPr>
      <w:r>
        <w:rPr>
          <w:noProof/>
        </w:rPr>
        <w:t>Quote (Current/former program participant): “</w:t>
      </w:r>
      <w:r w:rsidR="009E18A6">
        <w:rPr>
          <w:noProof/>
        </w:rPr>
        <w:t>When I arrived in Australia, I didn’t have the word for trafficking… I didn’t have a name for it. I knew I was in a very bad situation, but I didn’t know it was trafficking until later. I wasn’t ready to pursue the case at first because I didn’t know how the law works in Australia…took several months to get the courage to report the case to police. They called in The Salvation Army, who identified it as trafficking, and they referred me to AFP and Red Cross.</w:t>
      </w:r>
      <w:r>
        <w:rPr>
          <w:noProof/>
        </w:rPr>
        <w:t>”</w:t>
      </w:r>
      <w:r w:rsidR="009E18A6">
        <w:rPr>
          <w:noProof/>
        </w:rPr>
        <w:t xml:space="preserve"> </w:t>
      </w:r>
    </w:p>
    <w:p w14:paraId="59F6B70A" w14:textId="1A800827" w:rsidR="009E18A6" w:rsidRDefault="009E18A6" w:rsidP="00BE472D">
      <w:pPr>
        <w:shd w:val="clear" w:color="auto" w:fill="F6F9F7"/>
        <w:rPr>
          <w:noProof/>
        </w:rPr>
      </w:pPr>
    </w:p>
    <w:p w14:paraId="68D8CF13" w14:textId="4CE6F7FC" w:rsidR="009E18A6" w:rsidRDefault="0065263E" w:rsidP="00BE472D">
      <w:pPr>
        <w:shd w:val="clear" w:color="auto" w:fill="F6F9F7"/>
        <w:rPr>
          <w:noProof/>
        </w:rPr>
      </w:pPr>
      <w:r>
        <w:rPr>
          <w:noProof/>
        </w:rPr>
        <w:t>Quote (Current/former program participant): “</w:t>
      </w:r>
      <w:r w:rsidR="009E18A6">
        <w:rPr>
          <w:noProof/>
        </w:rPr>
        <w:t>For the first time in my life, I felt like I was believed and that what had happened to me was true. This was a life-changing moment for me.</w:t>
      </w:r>
      <w:r>
        <w:rPr>
          <w:noProof/>
        </w:rPr>
        <w:t>”</w:t>
      </w:r>
      <w:r w:rsidR="009E18A6">
        <w:rPr>
          <w:noProof/>
        </w:rPr>
        <w:t xml:space="preserve"> </w:t>
      </w:r>
    </w:p>
    <w:p w14:paraId="608D00F0" w14:textId="2AFAB72A" w:rsidR="009E18A6" w:rsidRDefault="009E18A6" w:rsidP="00BE472D">
      <w:pPr>
        <w:shd w:val="clear" w:color="auto" w:fill="F6F9F7"/>
        <w:rPr>
          <w:noProof/>
        </w:rPr>
      </w:pPr>
    </w:p>
    <w:p w14:paraId="1C69ECC1" w14:textId="7E79F9C2" w:rsidR="009E18A6" w:rsidRDefault="0065263E" w:rsidP="00BE472D">
      <w:pPr>
        <w:shd w:val="clear" w:color="auto" w:fill="F6F9F7"/>
        <w:rPr>
          <w:noProof/>
        </w:rPr>
      </w:pPr>
      <w:r>
        <w:rPr>
          <w:noProof/>
        </w:rPr>
        <w:t>Quote (Current/former program participant): “</w:t>
      </w:r>
      <w:r w:rsidR="009E18A6">
        <w:rPr>
          <w:noProof/>
        </w:rPr>
        <w:t>The other thing I really like about it is that they are really empathetic and understanding. Whatever is included in the program, they never make it difficult to access.</w:t>
      </w:r>
      <w:r>
        <w:rPr>
          <w:noProof/>
        </w:rPr>
        <w:t>”</w:t>
      </w:r>
      <w:r w:rsidR="009E18A6">
        <w:rPr>
          <w:noProof/>
        </w:rPr>
        <w:t xml:space="preserve"> </w:t>
      </w:r>
    </w:p>
    <w:p w14:paraId="26AC5B5E" w14:textId="5B1EDEE5" w:rsidR="009E18A6" w:rsidRDefault="009E18A6" w:rsidP="00BE472D">
      <w:pPr>
        <w:shd w:val="clear" w:color="auto" w:fill="F6F9F7"/>
        <w:rPr>
          <w:noProof/>
        </w:rPr>
      </w:pPr>
    </w:p>
    <w:p w14:paraId="3D39E1EA" w14:textId="757CF422" w:rsidR="009E18A6" w:rsidRDefault="0065263E" w:rsidP="00BE472D">
      <w:pPr>
        <w:shd w:val="clear" w:color="auto" w:fill="F6F9F7"/>
        <w:rPr>
          <w:noProof/>
        </w:rPr>
      </w:pPr>
      <w:r>
        <w:rPr>
          <w:noProof/>
        </w:rPr>
        <w:t>Quote (Current/former program participant): “</w:t>
      </w:r>
      <w:r w:rsidR="009E18A6">
        <w:rPr>
          <w:noProof/>
        </w:rPr>
        <w:t>Case managers at Red Cross operate a bit differently to</w:t>
      </w:r>
      <w:r w:rsidR="009E18A6" w:rsidRPr="00CF4596">
        <w:rPr>
          <w:noProof/>
        </w:rPr>
        <w:t xml:space="preserve"> [</w:t>
      </w:r>
      <w:r w:rsidR="009E18A6">
        <w:rPr>
          <w:noProof/>
        </w:rPr>
        <w:t>other services that] want to know your story. At Red Cross they don’t know your story or understand your needs very well. Some of the things they say are triggering. It feels like they say things that are a bit judgemental. It would be helpful if they know more about your story.</w:t>
      </w:r>
      <w:r>
        <w:rPr>
          <w:noProof/>
        </w:rPr>
        <w:t>”</w:t>
      </w:r>
      <w:r w:rsidR="009E18A6">
        <w:rPr>
          <w:noProof/>
        </w:rPr>
        <w:t xml:space="preserve"> </w:t>
      </w:r>
    </w:p>
    <w:p w14:paraId="709CB3C2" w14:textId="63391535" w:rsidR="009E18A6" w:rsidRDefault="009E18A6" w:rsidP="00BE472D">
      <w:pPr>
        <w:shd w:val="clear" w:color="auto" w:fill="F6F9F7"/>
        <w:rPr>
          <w:noProof/>
        </w:rPr>
      </w:pPr>
    </w:p>
    <w:p w14:paraId="46A90CF1" w14:textId="4D0371A8" w:rsidR="009E18A6" w:rsidRDefault="0065263E" w:rsidP="00BE472D">
      <w:pPr>
        <w:shd w:val="clear" w:color="auto" w:fill="F6F9F7"/>
        <w:rPr>
          <w:noProof/>
        </w:rPr>
      </w:pPr>
      <w:r>
        <w:rPr>
          <w:noProof/>
        </w:rPr>
        <w:t>Quote (Current/former program participant): “</w:t>
      </w:r>
      <w:r w:rsidR="009E18A6">
        <w:rPr>
          <w:noProof/>
        </w:rPr>
        <w:t>I have no idea how the case is progressing. This is very stressful. I don’t know what is happening…If the AFP drops my case, I’ll be out of the program. This is scary for me. This is the reason I get anxious very often…there’s a lot of uncertainty in my life and I can’t move on.</w:t>
      </w:r>
      <w:r>
        <w:rPr>
          <w:noProof/>
        </w:rPr>
        <w:t>”</w:t>
      </w:r>
      <w:r w:rsidR="009E18A6" w:rsidRPr="009820FF">
        <w:rPr>
          <w:noProof/>
        </w:rPr>
        <w:t xml:space="preserve"> </w:t>
      </w:r>
    </w:p>
    <w:p w14:paraId="5E624FF1" w14:textId="4A127769" w:rsidR="009E18A6" w:rsidRDefault="009E18A6" w:rsidP="009E18A6">
      <w:pPr>
        <w:pStyle w:val="TableText"/>
        <w:rPr>
          <w:noProof/>
        </w:rPr>
      </w:pPr>
    </w:p>
    <w:p w14:paraId="34781454" w14:textId="6F6D391C" w:rsidR="00335274" w:rsidRDefault="008103FE" w:rsidP="007E0AFE">
      <w:pPr>
        <w:rPr>
          <w:rFonts w:asciiTheme="majorHAnsi" w:eastAsiaTheme="majorEastAsia" w:hAnsiTheme="majorHAnsi" w:cstheme="majorBidi"/>
          <w:iCs/>
          <w:sz w:val="24"/>
        </w:rPr>
      </w:pPr>
      <w:r>
        <w:rPr>
          <w:noProof/>
        </w:rPr>
        <mc:AlternateContent>
          <mc:Choice Requires="wps">
            <w:drawing>
              <wp:anchor distT="45720" distB="45720" distL="114300" distR="114300" simplePos="0" relativeHeight="251658241" behindDoc="0" locked="0" layoutInCell="1" allowOverlap="1" wp14:anchorId="3241DAE8" wp14:editId="49D8A44F">
                <wp:simplePos x="0" y="0"/>
                <wp:positionH relativeFrom="column">
                  <wp:posOffset>5512085</wp:posOffset>
                </wp:positionH>
                <wp:positionV relativeFrom="paragraph">
                  <wp:posOffset>8600868</wp:posOffset>
                </wp:positionV>
                <wp:extent cx="841882" cy="359596"/>
                <wp:effectExtent l="0" t="0" r="0" b="2540"/>
                <wp:wrapNone/>
                <wp:docPr id="577104557" name="Text Box 2" descr="Text box clarifying the image is a stoc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882" cy="359596"/>
                        </a:xfrm>
                        <a:prstGeom prst="rect">
                          <a:avLst/>
                        </a:prstGeom>
                        <a:noFill/>
                        <a:ln w="9525">
                          <a:noFill/>
                          <a:miter lim="800000"/>
                          <a:headEnd/>
                          <a:tailEnd/>
                        </a:ln>
                      </wps:spPr>
                      <wps:txbx>
                        <w:txbxContent>
                          <w:p w14:paraId="3A994DCE" w14:textId="77777777" w:rsidR="008103FE" w:rsidRPr="004A58AA" w:rsidRDefault="000C116E">
                            <w:pPr>
                              <w:rPr>
                                <w:i/>
                                <w:iCs/>
                                <w:color w:val="FFFFFF" w:themeColor="background1"/>
                                <w:sz w:val="16"/>
                                <w:szCs w:val="16"/>
                              </w:rPr>
                            </w:pPr>
                            <w:r>
                              <w:rPr>
                                <w:i/>
                                <w:iCs/>
                                <w:color w:val="FFFFFF" w:themeColor="background1"/>
                                <w:sz w:val="16"/>
                                <w:szCs w:val="16"/>
                              </w:rPr>
                              <w:t>*</w:t>
                            </w:r>
                            <w:r w:rsidRPr="004A58AA">
                              <w:rPr>
                                <w:i/>
                                <w:iCs/>
                                <w:color w:val="FFFFFF" w:themeColor="background1"/>
                                <w:sz w:val="16"/>
                                <w:szCs w:val="16"/>
                              </w:rPr>
                              <w:t>Stock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1DAE8" id="_x0000_t202" coordsize="21600,21600" o:spt="202" path="m,l,21600r21600,l21600,xe">
                <v:stroke joinstyle="miter"/>
                <v:path gradientshapeok="t" o:connecttype="rect"/>
              </v:shapetype>
              <v:shape id="Text Box 2" o:spid="_x0000_s1026" type="#_x0000_t202" alt="Text box clarifying the image is a stock image" style="position:absolute;margin-left:434pt;margin-top:677.25pt;width:66.3pt;height:28.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" filled="f" stroked="f">
                <v:textbox>
                  <w:txbxContent>
                    <w:p w14:paraId="3A994DCE" w14:textId="77777777" w:rsidR="008103FE" w:rsidRPr="004A58AA" w:rsidRDefault="000C116E">
                      <w:pPr>
                        <w:rPr>
                          <w:i/>
                          <w:iCs/>
                          <w:color w:val="FFFFFF" w:themeColor="background1"/>
                          <w:sz w:val="16"/>
                          <w:szCs w:val="16"/>
                        </w:rPr>
                      </w:pPr>
                      <w:r>
                        <w:rPr>
                          <w:i/>
                          <w:iCs/>
                          <w:color w:val="FFFFFF" w:themeColor="background1"/>
                          <w:sz w:val="16"/>
                          <w:szCs w:val="16"/>
                        </w:rPr>
                        <w:t>*</w:t>
                      </w:r>
                      <w:r w:rsidRPr="004A58AA">
                        <w:rPr>
                          <w:i/>
                          <w:iCs/>
                          <w:color w:val="FFFFFF" w:themeColor="background1"/>
                          <w:sz w:val="16"/>
                          <w:szCs w:val="16"/>
                        </w:rPr>
                        <w:t>Stock image</w:t>
                      </w:r>
                    </w:p>
                  </w:txbxContent>
                </v:textbox>
              </v:shape>
            </w:pict>
          </mc:Fallback>
        </mc:AlternateContent>
      </w:r>
    </w:p>
    <w:p w14:paraId="11814541" w14:textId="61238929" w:rsidR="00F46D34" w:rsidRPr="00716C95" w:rsidRDefault="00881E1B" w:rsidP="00716C95">
      <w:pPr>
        <w:pStyle w:val="Heading6"/>
        <w:rPr>
          <w:i/>
          <w:iCs/>
          <w:noProof/>
          <w:sz w:val="20"/>
          <w:szCs w:val="20"/>
        </w:rPr>
      </w:pPr>
      <w:r w:rsidRPr="00716C95">
        <w:rPr>
          <w:i/>
          <w:iCs/>
          <w:sz w:val="20"/>
          <w:szCs w:val="20"/>
        </w:rPr>
        <w:lastRenderedPageBreak/>
        <w:t xml:space="preserve">Outcome </w:t>
      </w:r>
      <w:r w:rsidR="00176552" w:rsidRPr="00716C95">
        <w:rPr>
          <w:i/>
          <w:iCs/>
          <w:sz w:val="20"/>
          <w:szCs w:val="20"/>
        </w:rPr>
        <w:t>1</w:t>
      </w:r>
      <w:r w:rsidR="007B74D0" w:rsidRPr="00716C95">
        <w:rPr>
          <w:i/>
          <w:iCs/>
          <w:sz w:val="20"/>
          <w:szCs w:val="20"/>
        </w:rPr>
        <w:t>d</w:t>
      </w:r>
      <w:r w:rsidR="009B59E3" w:rsidRPr="00716C95">
        <w:rPr>
          <w:i/>
          <w:iCs/>
          <w:sz w:val="20"/>
          <w:szCs w:val="20"/>
        </w:rPr>
        <w:t>,</w:t>
      </w:r>
      <w:r w:rsidRPr="00716C95">
        <w:rPr>
          <w:i/>
          <w:iCs/>
          <w:sz w:val="20"/>
          <w:szCs w:val="20"/>
        </w:rPr>
        <w:t xml:space="preserve"> </w:t>
      </w:r>
      <w:r w:rsidR="00F46D34" w:rsidRPr="00716C95">
        <w:rPr>
          <w:i/>
          <w:iCs/>
          <w:sz w:val="20"/>
          <w:szCs w:val="20"/>
        </w:rPr>
        <w:t>Indicator</w:t>
      </w:r>
      <w:r w:rsidRPr="00716C95">
        <w:rPr>
          <w:i/>
          <w:iCs/>
          <w:sz w:val="20"/>
          <w:szCs w:val="20"/>
        </w:rPr>
        <w:t xml:space="preserve"> 3</w:t>
      </w:r>
      <w:r w:rsidR="00F46D34" w:rsidRPr="00716C95">
        <w:rPr>
          <w:i/>
          <w:iCs/>
          <w:sz w:val="20"/>
          <w:szCs w:val="20"/>
        </w:rPr>
        <w:t xml:space="preserve">: </w:t>
      </w:r>
      <w:r w:rsidR="003013DE" w:rsidRPr="00716C95">
        <w:rPr>
          <w:i/>
          <w:iCs/>
          <w:sz w:val="20"/>
          <w:szCs w:val="20"/>
        </w:rPr>
        <w:t>The</w:t>
      </w:r>
      <w:r w:rsidR="00F46D34" w:rsidRPr="00716C95">
        <w:rPr>
          <w:i/>
          <w:iCs/>
          <w:sz w:val="20"/>
          <w:szCs w:val="20"/>
        </w:rPr>
        <w:t xml:space="preserve"> needs of all </w:t>
      </w:r>
      <w:r w:rsidR="1C9B01BD" w:rsidRPr="00716C95">
        <w:rPr>
          <w:i/>
          <w:iCs/>
          <w:sz w:val="20"/>
          <w:szCs w:val="20"/>
        </w:rPr>
        <w:t>participant</w:t>
      </w:r>
      <w:r w:rsidR="00F46D34" w:rsidRPr="00716C95">
        <w:rPr>
          <w:i/>
          <w:iCs/>
          <w:sz w:val="20"/>
          <w:szCs w:val="20"/>
        </w:rPr>
        <w:t>s</w:t>
      </w:r>
      <w:r w:rsidR="009470EA" w:rsidRPr="00716C95">
        <w:rPr>
          <w:i/>
          <w:iCs/>
          <w:sz w:val="20"/>
          <w:szCs w:val="20"/>
        </w:rPr>
        <w:t xml:space="preserve"> are met</w:t>
      </w:r>
      <w:r w:rsidR="00CA4AD9" w:rsidRPr="00716C95">
        <w:rPr>
          <w:i/>
          <w:iCs/>
          <w:noProof/>
          <w:sz w:val="20"/>
          <w:szCs w:val="20"/>
        </w:rPr>
        <w:t xml:space="preserve"> </w:t>
      </w:r>
    </w:p>
    <w:p w14:paraId="5D18754F" w14:textId="341F7AF2" w:rsidR="00E63010" w:rsidRPr="00F323B1" w:rsidRDefault="00DA058A" w:rsidP="007E0AFE">
      <w:r>
        <w:t>In a</w:t>
      </w:r>
      <w:r w:rsidR="009E3289">
        <w:t>ssess</w:t>
      </w:r>
      <w:r>
        <w:t>ing this</w:t>
      </w:r>
      <w:r w:rsidR="00E63010">
        <w:t xml:space="preserve"> indicator</w:t>
      </w:r>
      <w:r>
        <w:t>, we are</w:t>
      </w:r>
      <w:r w:rsidR="009E3289">
        <w:t xml:space="preserve"> </w:t>
      </w:r>
      <w:r w:rsidR="005E4F1C">
        <w:t>interested in</w:t>
      </w:r>
      <w:r w:rsidR="009E3289">
        <w:t xml:space="preserve"> </w:t>
      </w:r>
      <w:r w:rsidR="001314D7">
        <w:t xml:space="preserve">variation in </w:t>
      </w:r>
      <w:r w:rsidR="005E4F1C">
        <w:t xml:space="preserve">the </w:t>
      </w:r>
      <w:r w:rsidR="001314D7">
        <w:t>experiences of STPP participants based on their differ</w:t>
      </w:r>
      <w:r w:rsidR="009703D2">
        <w:t>ent circumstances or demographic characteristics</w:t>
      </w:r>
      <w:r w:rsidR="00F6673E">
        <w:t xml:space="preserve">. See </w:t>
      </w:r>
      <w:r w:rsidR="00597272" w:rsidRPr="00F323B1">
        <w:rPr>
          <w:i/>
          <w:iCs/>
        </w:rPr>
        <w:fldChar w:fldCharType="begin"/>
      </w:r>
      <w:r w:rsidR="00597272" w:rsidRPr="00F323B1">
        <w:rPr>
          <w:i/>
          <w:iCs/>
        </w:rPr>
        <w:instrText xml:space="preserve"> REF _Ref200046796 \h </w:instrText>
      </w:r>
      <w:r w:rsidR="00597272">
        <w:rPr>
          <w:i/>
          <w:iCs/>
        </w:rPr>
        <w:instrText xml:space="preserve"> \* MERGEFORMAT </w:instrText>
      </w:r>
      <w:r w:rsidR="00597272" w:rsidRPr="00F323B1">
        <w:rPr>
          <w:i/>
          <w:iCs/>
        </w:rPr>
      </w:r>
      <w:r w:rsidR="00597272" w:rsidRPr="00F323B1">
        <w:rPr>
          <w:i/>
          <w:iCs/>
        </w:rPr>
        <w:fldChar w:fldCharType="separate"/>
      </w:r>
      <w:r w:rsidR="00D9323B" w:rsidRPr="00D9323B">
        <w:rPr>
          <w:i/>
          <w:iCs/>
        </w:rPr>
        <w:t>Outcome 1b, Indicator 3: Increase in needs met by the STPP</w:t>
      </w:r>
      <w:r w:rsidR="00597272" w:rsidRPr="00F323B1">
        <w:rPr>
          <w:i/>
          <w:iCs/>
        </w:rPr>
        <w:fldChar w:fldCharType="end"/>
      </w:r>
      <w:r w:rsidR="00597272">
        <w:t xml:space="preserve"> f</w:t>
      </w:r>
      <w:r w:rsidR="00F6673E">
        <w:t>or assessment of the extent to which the needs of the overall cohort of participants have been met.</w:t>
      </w:r>
    </w:p>
    <w:p w14:paraId="3CDFDD87" w14:textId="17FB9875" w:rsidR="00B15858" w:rsidRDefault="00B15858" w:rsidP="00B15858">
      <w:pPr>
        <w:pStyle w:val="Caption"/>
      </w:pPr>
      <w:r>
        <w:t xml:space="preserve">Table </w:t>
      </w:r>
      <w:r>
        <w:fldChar w:fldCharType="begin"/>
      </w:r>
      <w:r>
        <w:instrText xml:space="preserve"> SEQ Table \* ARABIC </w:instrText>
      </w:r>
      <w:r>
        <w:fldChar w:fldCharType="separate"/>
      </w:r>
      <w:r w:rsidR="00D9323B">
        <w:rPr>
          <w:noProof/>
        </w:rPr>
        <w:t>26</w:t>
      </w:r>
      <w:r>
        <w:fldChar w:fldCharType="end"/>
      </w:r>
      <w:r>
        <w:t>.</w:t>
      </w:r>
      <w:r w:rsidR="00EF0ABC" w:rsidRPr="00EF0ABC">
        <w:t xml:space="preserve"> </w:t>
      </w:r>
      <w:r w:rsidR="00EF0ABC">
        <w:t xml:space="preserve">Outcome 1d. Indicator 3: </w:t>
      </w:r>
      <w:r w:rsidR="007B4581">
        <w:t>Outcomes identified</w:t>
      </w:r>
      <w:r w:rsidR="004807F5">
        <w:t xml:space="preserve"> in evaluation</w:t>
      </w:r>
      <w:r w:rsidR="007B4581">
        <w:t>,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352B0F" w14:paraId="07B57845" w14:textId="77777777" w:rsidTr="00EF0ABC">
        <w:trPr>
          <w:cantSplit/>
          <w:tblHeader/>
        </w:trPr>
        <w:tc>
          <w:tcPr>
            <w:tcW w:w="2972" w:type="dxa"/>
            <w:shd w:val="clear" w:color="auto" w:fill="425563" w:themeFill="text1"/>
          </w:tcPr>
          <w:p w14:paraId="50AF1C8D" w14:textId="6D091D6F" w:rsidR="00352B0F" w:rsidRPr="00CD26F6" w:rsidRDefault="00352B0F" w:rsidP="00352B0F">
            <w:pPr>
              <w:pStyle w:val="Tableheadwhite"/>
            </w:pPr>
            <w:r>
              <w:t>Area</w:t>
            </w:r>
          </w:p>
        </w:tc>
        <w:tc>
          <w:tcPr>
            <w:tcW w:w="7485" w:type="dxa"/>
            <w:shd w:val="clear" w:color="auto" w:fill="425563" w:themeFill="text1"/>
          </w:tcPr>
          <w:p w14:paraId="68E72CFB" w14:textId="11BB22C3" w:rsidR="00352B0F" w:rsidRDefault="00352B0F" w:rsidP="00352B0F">
            <w:pPr>
              <w:pStyle w:val="Tableheadwhite"/>
            </w:pPr>
            <w:r>
              <w:t>Detail</w:t>
            </w:r>
          </w:p>
        </w:tc>
      </w:tr>
      <w:tr w:rsidR="00755669" w14:paraId="3A4F77AA" w14:textId="77777777" w:rsidTr="00EF0ABC">
        <w:trPr>
          <w:cantSplit/>
        </w:trPr>
        <w:tc>
          <w:tcPr>
            <w:tcW w:w="2972" w:type="dxa"/>
            <w:shd w:val="clear" w:color="auto" w:fill="F6F9F7"/>
          </w:tcPr>
          <w:p w14:paraId="4A56C0BC" w14:textId="77777777" w:rsidR="00755669" w:rsidRDefault="00755669" w:rsidP="007E0AFE">
            <w:pPr>
              <w:pStyle w:val="TableHeader"/>
            </w:pPr>
            <w:r w:rsidRPr="00CD26F6">
              <w:t>Outcomes identified in evaluation</w:t>
            </w:r>
          </w:p>
        </w:tc>
        <w:tc>
          <w:tcPr>
            <w:tcW w:w="7485" w:type="dxa"/>
          </w:tcPr>
          <w:p w14:paraId="7D2CCA07" w14:textId="0CDF5BDD" w:rsidR="00755669" w:rsidRPr="00887B54" w:rsidRDefault="00ED13EF" w:rsidP="007E0AFE">
            <w:pPr>
              <w:pStyle w:val="Tabledot2"/>
            </w:pPr>
            <w:r>
              <w:t xml:space="preserve">Qualitative evidence suggests that the program is less well suited to meeting </w:t>
            </w:r>
            <w:r w:rsidRPr="000A2C95">
              <w:t>complex mental health and addiction needs, needs over time, and the needs of children.</w:t>
            </w:r>
          </w:p>
        </w:tc>
      </w:tr>
      <w:tr w:rsidR="00755669" w14:paraId="6B794EF2" w14:textId="77777777" w:rsidTr="00EF0ABC">
        <w:trPr>
          <w:cantSplit/>
          <w:trHeight w:val="70"/>
        </w:trPr>
        <w:tc>
          <w:tcPr>
            <w:tcW w:w="2972" w:type="dxa"/>
            <w:shd w:val="clear" w:color="auto" w:fill="F6F9F7"/>
          </w:tcPr>
          <w:p w14:paraId="15AE77D2" w14:textId="72633217" w:rsidR="00755669" w:rsidRDefault="00755669" w:rsidP="007E0AFE">
            <w:pPr>
              <w:pStyle w:val="TableHeader"/>
            </w:pPr>
            <w:r w:rsidRPr="00CD26F6">
              <w:t>Discussion of supporting evidence</w:t>
            </w:r>
          </w:p>
        </w:tc>
        <w:tc>
          <w:tcPr>
            <w:tcW w:w="7485" w:type="dxa"/>
          </w:tcPr>
          <w:p w14:paraId="291340DD" w14:textId="0331962E" w:rsidR="00755669" w:rsidRPr="00887B54" w:rsidRDefault="00755669" w:rsidP="007E0AFE">
            <w:pPr>
              <w:pStyle w:val="Tabledot2"/>
            </w:pPr>
            <w:r w:rsidRPr="00887B54">
              <w:t>Complex mental health/addiction needs</w:t>
            </w:r>
            <w:r w:rsidR="00443EF7">
              <w:t xml:space="preserve">. </w:t>
            </w:r>
            <w:r w:rsidRPr="00443EF7">
              <w:t xml:space="preserve">The ARP has reportedly increased the extent to which people with complex or undiagnosed mental health needs are referred to the STPP, with implications for service design and providing informed consent to </w:t>
            </w:r>
            <w:r w:rsidR="004C55F3" w:rsidRPr="00443EF7">
              <w:t>enter</w:t>
            </w:r>
            <w:r w:rsidRPr="00443EF7">
              <w:t xml:space="preserve"> criminal justice pathways. We discuss this further in the ARP section below. </w:t>
            </w:r>
          </w:p>
          <w:p w14:paraId="7F37CBBD" w14:textId="5B3912C2" w:rsidR="00755669" w:rsidRPr="00887B54" w:rsidRDefault="00755669" w:rsidP="007E0AFE">
            <w:pPr>
              <w:pStyle w:val="Tabledot2"/>
            </w:pPr>
            <w:r w:rsidRPr="000A2C95">
              <w:t>Needs over time</w:t>
            </w:r>
            <w:r w:rsidR="007E7B61" w:rsidRPr="000A2C95">
              <w:t xml:space="preserve">. </w:t>
            </w:r>
            <w:r w:rsidRPr="00887B54">
              <w:t xml:space="preserve">Not all </w:t>
            </w:r>
            <w:r w:rsidR="007869DC">
              <w:t>participants</w:t>
            </w:r>
            <w:r w:rsidRPr="00887B54">
              <w:t xml:space="preserve"> readily engage with the STPP and can take time to build trust. There can be psychological barriers to </w:t>
            </w:r>
            <w:r w:rsidR="465E1445">
              <w:t>participa</w:t>
            </w:r>
            <w:r w:rsidR="0B22ED92">
              <w:t>nts</w:t>
            </w:r>
            <w:r w:rsidRPr="00887B54">
              <w:t xml:space="preserve"> asking for and accepting help (e.g. due to shame and low self-esteem associated with the trauma experience). In addition, healing is a complex process, and needs can change over time. The time-limited nature of the Intensive Support Stream may inadvertently pressure </w:t>
            </w:r>
            <w:r w:rsidR="0F4C2D93">
              <w:t>participa</w:t>
            </w:r>
            <w:r w:rsidR="0B22ED92">
              <w:t>nts</w:t>
            </w:r>
            <w:r w:rsidRPr="00887B54">
              <w:t xml:space="preserve"> to progress faster than they are emotionally prepared for, potentially hindering their healing process.  </w:t>
            </w:r>
          </w:p>
          <w:p w14:paraId="28B2B93E" w14:textId="1CA7C63D" w:rsidR="00755669" w:rsidRPr="00887B54" w:rsidRDefault="00755669" w:rsidP="007E0AFE">
            <w:pPr>
              <w:pStyle w:val="Tabledot2"/>
            </w:pPr>
            <w:r w:rsidRPr="00887B54">
              <w:t>Needs of children</w:t>
            </w:r>
            <w:r w:rsidR="007E7B61">
              <w:t xml:space="preserve">. </w:t>
            </w:r>
            <w:r w:rsidRPr="00887B54">
              <w:t>The current design of the STPP does not sufficiently recognise</w:t>
            </w:r>
            <w:r w:rsidR="00F443F7">
              <w:t xml:space="preserve"> </w:t>
            </w:r>
            <w:r w:rsidRPr="00887B54">
              <w:t xml:space="preserve">children as </w:t>
            </w:r>
            <w:r w:rsidR="00EF0C86">
              <w:t xml:space="preserve">people with HTMS </w:t>
            </w:r>
            <w:proofErr w:type="gramStart"/>
            <w:r w:rsidR="00EF0C86">
              <w:t>experiences</w:t>
            </w:r>
            <w:r w:rsidRPr="00887B54">
              <w:t xml:space="preserve"> in their own </w:t>
            </w:r>
            <w:r w:rsidRPr="000A2C95">
              <w:t>right</w:t>
            </w:r>
            <w:proofErr w:type="gramEnd"/>
            <w:r w:rsidR="008C6773">
              <w:t xml:space="preserve"> (either as dependents, or as program participants)</w:t>
            </w:r>
            <w:r w:rsidRPr="00887B54">
              <w:t xml:space="preserve">. </w:t>
            </w:r>
            <w:r w:rsidR="00747D2D">
              <w:t>The program</w:t>
            </w:r>
            <w:r w:rsidR="00752C90">
              <w:t xml:space="preserve"> </w:t>
            </w:r>
            <w:r w:rsidR="007F6F87">
              <w:t xml:space="preserve">eligibility criteria, </w:t>
            </w:r>
            <w:r w:rsidR="00697D2D">
              <w:t xml:space="preserve">its </w:t>
            </w:r>
            <w:r w:rsidR="007F6F87">
              <w:t xml:space="preserve">focus on meeting the needs of the protective parent rather than child, </w:t>
            </w:r>
            <w:r w:rsidR="00F87D1A">
              <w:t xml:space="preserve">the inability of dependent children to access </w:t>
            </w:r>
            <w:r w:rsidR="007F6F87">
              <w:t xml:space="preserve">casework, the </w:t>
            </w:r>
            <w:r w:rsidR="00F87D1A">
              <w:t xml:space="preserve">unsuitability of the </w:t>
            </w:r>
            <w:r w:rsidR="007F6F87">
              <w:t>allowance framework</w:t>
            </w:r>
            <w:r w:rsidR="00F87D1A">
              <w:t xml:space="preserve"> to </w:t>
            </w:r>
            <w:r w:rsidR="003E231F">
              <w:t>children’s</w:t>
            </w:r>
            <w:r w:rsidR="00F87D1A">
              <w:t xml:space="preserve"> needs</w:t>
            </w:r>
            <w:r w:rsidR="007F6F87">
              <w:t xml:space="preserve"> and </w:t>
            </w:r>
            <w:r w:rsidR="00D001F2">
              <w:t xml:space="preserve">with </w:t>
            </w:r>
            <w:r w:rsidR="007F6F87">
              <w:t>caseworker skills/experience not reflecting the needs of children</w:t>
            </w:r>
            <w:r w:rsidR="0014056A">
              <w:t xml:space="preserve"> and lack of appropriate data collection</w:t>
            </w:r>
            <w:r w:rsidR="009A647C">
              <w:t xml:space="preserve">. </w:t>
            </w:r>
            <w:r w:rsidR="00CA255B">
              <w:t>Additional</w:t>
            </w:r>
            <w:r w:rsidR="005D1D58">
              <w:t xml:space="preserve"> complexities include</w:t>
            </w:r>
            <w:r w:rsidR="00CA255B">
              <w:t xml:space="preserve"> </w:t>
            </w:r>
            <w:r w:rsidR="00D17A96">
              <w:t>difficulties</w:t>
            </w:r>
            <w:r w:rsidR="007F6F87">
              <w:t xml:space="preserve"> referring to external services </w:t>
            </w:r>
            <w:r w:rsidR="00353E86">
              <w:t>without parental consent</w:t>
            </w:r>
            <w:r w:rsidR="0035052B">
              <w:t xml:space="preserve"> and</w:t>
            </w:r>
            <w:r w:rsidR="00353E86">
              <w:t xml:space="preserve"> </w:t>
            </w:r>
            <w:r w:rsidR="0035052B">
              <w:t>the</w:t>
            </w:r>
            <w:r w:rsidR="00353E86">
              <w:t xml:space="preserve"> </w:t>
            </w:r>
            <w:r w:rsidR="00760CBB">
              <w:t xml:space="preserve">practical difficulties of engaging </w:t>
            </w:r>
            <w:r w:rsidR="005334C7">
              <w:t xml:space="preserve">overstretched agencies </w:t>
            </w:r>
            <w:r w:rsidR="007F6F87">
              <w:t>such as child protection</w:t>
            </w:r>
            <w:r w:rsidR="005334C7">
              <w:t xml:space="preserve"> services in multiple </w:t>
            </w:r>
            <w:r w:rsidR="00232515">
              <w:t>jurisdictions. The STPP provider has invested in</w:t>
            </w:r>
            <w:r w:rsidR="0014056A">
              <w:t xml:space="preserve"> independent research and made recommendations for addressing the needs of children.</w:t>
            </w:r>
            <w:r w:rsidR="00232515">
              <w:t xml:space="preserve"> </w:t>
            </w:r>
            <w:r w:rsidR="003940BD">
              <w:rPr>
                <w:rStyle w:val="FootnoteReference"/>
              </w:rPr>
              <w:footnoteReference w:id="21"/>
            </w:r>
            <w:r w:rsidR="007F6F87">
              <w:t xml:space="preserve"> </w:t>
            </w:r>
          </w:p>
        </w:tc>
      </w:tr>
      <w:tr w:rsidR="00755669" w14:paraId="7696F61A" w14:textId="77777777" w:rsidTr="00EF0ABC">
        <w:trPr>
          <w:cantSplit/>
        </w:trPr>
        <w:tc>
          <w:tcPr>
            <w:tcW w:w="2972" w:type="dxa"/>
            <w:shd w:val="clear" w:color="auto" w:fill="F6F9F7"/>
          </w:tcPr>
          <w:p w14:paraId="27D6886F" w14:textId="12FFFD5A" w:rsidR="00755669" w:rsidRDefault="00A3477F" w:rsidP="007E0AFE">
            <w:pPr>
              <w:pStyle w:val="TableHeader"/>
            </w:pPr>
            <w:r>
              <w:t xml:space="preserve">Recommendations </w:t>
            </w:r>
            <w:r w:rsidR="00755669">
              <w:t xml:space="preserve">to strengthen </w:t>
            </w:r>
          </w:p>
        </w:tc>
        <w:tc>
          <w:tcPr>
            <w:tcW w:w="7485" w:type="dxa"/>
          </w:tcPr>
          <w:p w14:paraId="28C73FBA" w14:textId="374E1954" w:rsidR="00B174D1" w:rsidRPr="00B174D1" w:rsidRDefault="00B174D1" w:rsidP="007E0AFE">
            <w:pPr>
              <w:pStyle w:val="TableHeader"/>
            </w:pPr>
            <w:r>
              <w:t xml:space="preserve">Program improvement  </w:t>
            </w:r>
          </w:p>
          <w:p w14:paraId="4F383390" w14:textId="3CC8C7A2" w:rsidR="00736983" w:rsidRDefault="00736983" w:rsidP="007E0AFE">
            <w:pPr>
              <w:pStyle w:val="Tabledot2"/>
            </w:pPr>
            <w:r>
              <w:t xml:space="preserve">Adapt </w:t>
            </w:r>
            <w:r w:rsidR="2AC070ED">
              <w:t>caseworker</w:t>
            </w:r>
            <w:r>
              <w:t xml:space="preserve"> practice support and skills mix (e.g. considering hiring </w:t>
            </w:r>
            <w:r w:rsidR="00B174D1">
              <w:t>psychologists and other mental health practitioners</w:t>
            </w:r>
            <w:r>
              <w:t>) to meet the needs of participants with complex mental health and addiction needs.</w:t>
            </w:r>
          </w:p>
          <w:p w14:paraId="5308F12B" w14:textId="77777777" w:rsidR="00B174D1" w:rsidRDefault="00B174D1" w:rsidP="007E0AFE">
            <w:pPr>
              <w:pStyle w:val="TableHeader"/>
            </w:pPr>
            <w:r>
              <w:t xml:space="preserve">Design improvement </w:t>
            </w:r>
          </w:p>
          <w:p w14:paraId="1197FA6C" w14:textId="77777777" w:rsidR="00C422BF" w:rsidRDefault="007D7B19" w:rsidP="007E0AFE">
            <w:pPr>
              <w:pStyle w:val="Tabledot2"/>
            </w:pPr>
            <w:r>
              <w:t xml:space="preserve">Explore adoption of a </w:t>
            </w:r>
            <w:r w:rsidR="00B174D1">
              <w:t>needs</w:t>
            </w:r>
            <w:r w:rsidR="33CAC285">
              <w:t>-</w:t>
            </w:r>
            <w:r w:rsidR="00B174D1">
              <w:t xml:space="preserve">based program </w:t>
            </w:r>
            <w:r>
              <w:t xml:space="preserve">model </w:t>
            </w:r>
            <w:r w:rsidR="00271A04">
              <w:t xml:space="preserve">as an alternative to </w:t>
            </w:r>
            <w:r w:rsidR="00A24F60">
              <w:t>eligibility</w:t>
            </w:r>
            <w:r w:rsidR="00271A04">
              <w:t xml:space="preserve"> based on</w:t>
            </w:r>
            <w:r w:rsidR="00B174D1">
              <w:t xml:space="preserve"> criminal justice system involvement</w:t>
            </w:r>
            <w:r w:rsidR="00A24F60">
              <w:t>.</w:t>
            </w:r>
            <w:r w:rsidR="00B174D1">
              <w:t xml:space="preserve"> The evaluators note that if this is the case, another ‘rationing’ mechanism may need to be considered to support program sustainability.</w:t>
            </w:r>
          </w:p>
          <w:p w14:paraId="6C3CE12A" w14:textId="79F27B49" w:rsidR="00755669" w:rsidRPr="00B174D1" w:rsidRDefault="00AD4ABA" w:rsidP="007E0AFE">
            <w:pPr>
              <w:pStyle w:val="Tabledot2"/>
            </w:pPr>
            <w:r>
              <w:t>Several</w:t>
            </w:r>
            <w:r w:rsidR="00D54495">
              <w:t xml:space="preserve"> recommendations</w:t>
            </w:r>
            <w:r>
              <w:t xml:space="preserve"> to improve support to children</w:t>
            </w:r>
            <w:r w:rsidR="0045541D">
              <w:t xml:space="preserve"> </w:t>
            </w:r>
            <w:r>
              <w:t>were</w:t>
            </w:r>
            <w:r w:rsidR="00D54495">
              <w:t xml:space="preserve"> made in </w:t>
            </w:r>
            <w:r w:rsidR="0045541D">
              <w:t>a</w:t>
            </w:r>
            <w:r w:rsidR="00D54495">
              <w:t xml:space="preserve"> 2023 detailed report on </w:t>
            </w:r>
            <w:r w:rsidR="00D54495" w:rsidRPr="00D54495">
              <w:t>support of the dependants of victim-survivors of modern slavery in Australia</w:t>
            </w:r>
            <w:r w:rsidR="00091A44">
              <w:t xml:space="preserve">. </w:t>
            </w:r>
            <w:r w:rsidR="00024FF6">
              <w:t>Go</w:t>
            </w:r>
            <w:r w:rsidR="00A54B47">
              <w:t>vernment has responded to s</w:t>
            </w:r>
            <w:r w:rsidR="00024FF6">
              <w:t>ome of those recommendations</w:t>
            </w:r>
            <w:r w:rsidR="00A54B47">
              <w:t xml:space="preserve"> (e.g.</w:t>
            </w:r>
            <w:r w:rsidR="00024FF6">
              <w:t xml:space="preserve"> </w:t>
            </w:r>
            <w:r w:rsidR="00A54B47">
              <w:t xml:space="preserve">changes to the </w:t>
            </w:r>
            <w:r w:rsidR="00422585">
              <w:t xml:space="preserve">STPP </w:t>
            </w:r>
            <w:r w:rsidR="00A54B47">
              <w:t>allowance framework</w:t>
            </w:r>
            <w:r w:rsidR="00422585">
              <w:t xml:space="preserve">) but other elements of government’s response are unknown to this evaluation. </w:t>
            </w:r>
            <w:r w:rsidR="0014056A">
              <w:t xml:space="preserve">We recommend that the government formally respond to this report in full. </w:t>
            </w:r>
          </w:p>
        </w:tc>
      </w:tr>
    </w:tbl>
    <w:p w14:paraId="66CB608F" w14:textId="2098994F" w:rsidR="007F6F87" w:rsidRPr="001E72BA" w:rsidRDefault="007F6F87" w:rsidP="007E0AFE">
      <w:pPr>
        <w:rPr>
          <w:sz w:val="16"/>
          <w:szCs w:val="18"/>
        </w:rPr>
      </w:pPr>
    </w:p>
    <w:p w14:paraId="62E2CEF5" w14:textId="6C2877D6" w:rsidR="00EF0ABC" w:rsidRPr="00EF0ABC" w:rsidRDefault="00EF0ABC" w:rsidP="00E62DE3">
      <w:pPr>
        <w:shd w:val="clear" w:color="auto" w:fill="EEF6F6" w:themeFill="background2" w:themeFillTint="33"/>
        <w:rPr>
          <w:rFonts w:asciiTheme="majorHAnsi" w:hAnsiTheme="majorHAnsi"/>
        </w:rPr>
      </w:pPr>
      <w:r w:rsidRPr="00EF0ABC">
        <w:rPr>
          <w:rFonts w:asciiTheme="majorHAnsi" w:hAnsiTheme="majorHAnsi"/>
        </w:rPr>
        <w:lastRenderedPageBreak/>
        <w:t>System learning:</w:t>
      </w:r>
    </w:p>
    <w:p w14:paraId="322A7827" w14:textId="77777777" w:rsidR="00EF0ABC" w:rsidRDefault="00EF0ABC" w:rsidP="00E62DE3">
      <w:pPr>
        <w:shd w:val="clear" w:color="auto" w:fill="EEF6F6" w:themeFill="background2" w:themeFillTint="33"/>
      </w:pPr>
      <w:r>
        <w:t xml:space="preserve">Lack of knowledge about HTMS in the community and service sector has been identified as a consistent barrier to identifying and responding to people with HTMS experiences. Lack of capacity in the broader service sector (notably for mental health and accommodation) is a barrier to meeting the needs of STPP participants. </w:t>
      </w:r>
    </w:p>
    <w:p w14:paraId="22504045" w14:textId="678A381D" w:rsidR="00EF0ABC" w:rsidRPr="00EF0ABC" w:rsidRDefault="00EF0ABC" w:rsidP="00E62DE3">
      <w:pPr>
        <w:shd w:val="clear" w:color="auto" w:fill="EEF6F6" w:themeFill="background2" w:themeFillTint="33"/>
        <w:rPr>
          <w:rFonts w:asciiTheme="majorHAnsi" w:hAnsiTheme="majorHAnsi"/>
        </w:rPr>
      </w:pPr>
      <w:r w:rsidRPr="00EF0ABC">
        <w:rPr>
          <w:rFonts w:asciiTheme="majorHAnsi" w:hAnsiTheme="majorHAnsi"/>
        </w:rPr>
        <w:t>Cross cutting learnings:</w:t>
      </w:r>
    </w:p>
    <w:p w14:paraId="7BBE5135" w14:textId="3C5C5CD2" w:rsidR="00EF0ABC" w:rsidRDefault="00EF0ABC" w:rsidP="00E62DE3">
      <w:pPr>
        <w:pStyle w:val="NumList"/>
        <w:numPr>
          <w:ilvl w:val="0"/>
          <w:numId w:val="27"/>
        </w:numPr>
        <w:shd w:val="clear" w:color="auto" w:fill="EEF6F6" w:themeFill="background2" w:themeFillTint="33"/>
      </w:pPr>
      <w:r>
        <w:t>Limits in system ability to meet the needs of children and young people due to questions of consent, intersections with child protection services, and lack of tailored available services in the broader system is a pressing issue across DSS policy topics and program areas. A department-wide position for addressing this and a joined-up focus for addressing the issue will likely support more effective action.</w:t>
      </w:r>
    </w:p>
    <w:p w14:paraId="3A5F2A02" w14:textId="4AB3AD2F" w:rsidR="00EF0ABC" w:rsidRDefault="00EF0ABC" w:rsidP="00E62DE3">
      <w:pPr>
        <w:pStyle w:val="NumList"/>
        <w:shd w:val="clear" w:color="auto" w:fill="EEF6F6" w:themeFill="background2" w:themeFillTint="33"/>
      </w:pPr>
      <w:r>
        <w:t>Issues of access related to visa status apply to other DSS programs. Similarly to the above, a cross-departmental and cross-government position on addressing this would help promote improved service access and equity</w:t>
      </w:r>
    </w:p>
    <w:p w14:paraId="379B6051" w14:textId="2C6F06A8" w:rsidR="00D60731" w:rsidRDefault="00881E1B" w:rsidP="007E0AFE">
      <w:pPr>
        <w:pStyle w:val="Heading7"/>
      </w:pPr>
      <w:r>
        <w:t xml:space="preserve">Outcome </w:t>
      </w:r>
      <w:r w:rsidR="00B3655D">
        <w:t>1</w:t>
      </w:r>
      <w:r w:rsidR="00227139">
        <w:t>d</w:t>
      </w:r>
      <w:r>
        <w:t xml:space="preserve">, </w:t>
      </w:r>
      <w:r w:rsidR="00D60731">
        <w:t>Indicator</w:t>
      </w:r>
      <w:r>
        <w:t xml:space="preserve"> 4</w:t>
      </w:r>
      <w:r w:rsidR="00D60731">
        <w:t>: Extent to which STPP is evidence</w:t>
      </w:r>
      <w:r w:rsidR="00C05CB5">
        <w:t>-</w:t>
      </w:r>
      <w:r w:rsidR="00D60731">
        <w:t>based and contributes to</w:t>
      </w:r>
      <w:r w:rsidR="00297626">
        <w:t xml:space="preserve"> HTMS system</w:t>
      </w:r>
      <w:r w:rsidR="00D60731">
        <w:t xml:space="preserve"> data </w:t>
      </w:r>
    </w:p>
    <w:p w14:paraId="1C10996D" w14:textId="727F8E99" w:rsidR="00B15858" w:rsidRDefault="00B15858" w:rsidP="00B15858">
      <w:pPr>
        <w:pStyle w:val="Caption"/>
      </w:pPr>
      <w:r>
        <w:t xml:space="preserve">Table </w:t>
      </w:r>
      <w:r>
        <w:fldChar w:fldCharType="begin"/>
      </w:r>
      <w:r>
        <w:instrText xml:space="preserve"> SEQ Table \* ARABIC </w:instrText>
      </w:r>
      <w:r>
        <w:fldChar w:fldCharType="separate"/>
      </w:r>
      <w:r w:rsidR="00D9323B">
        <w:rPr>
          <w:noProof/>
        </w:rPr>
        <w:t>27</w:t>
      </w:r>
      <w:r>
        <w:fldChar w:fldCharType="end"/>
      </w:r>
      <w:r>
        <w:t>.</w:t>
      </w:r>
      <w:r w:rsidR="00EF0ABC" w:rsidRPr="00EF0ABC">
        <w:t xml:space="preserve"> </w:t>
      </w:r>
      <w:r w:rsidR="00EF0ABC">
        <w:t>Outcome 1</w:t>
      </w:r>
      <w:r w:rsidR="00E62DE3">
        <w:t>d, Indicator 4</w:t>
      </w:r>
      <w:r w:rsidR="004807F5">
        <w:t>: Outcomes identified in evaluation,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352B0F" w14:paraId="7D1A4D8B" w14:textId="77777777" w:rsidTr="00E62DE3">
        <w:trPr>
          <w:cantSplit/>
          <w:tblHeader/>
        </w:trPr>
        <w:tc>
          <w:tcPr>
            <w:tcW w:w="2972" w:type="dxa"/>
            <w:shd w:val="clear" w:color="auto" w:fill="425563" w:themeFill="text1"/>
          </w:tcPr>
          <w:p w14:paraId="34E421F9" w14:textId="1E8D4A85" w:rsidR="00352B0F" w:rsidRPr="00CD26F6" w:rsidRDefault="00352B0F" w:rsidP="00352B0F">
            <w:pPr>
              <w:pStyle w:val="Tableheadwhite"/>
            </w:pPr>
            <w:r>
              <w:t>Area</w:t>
            </w:r>
          </w:p>
        </w:tc>
        <w:tc>
          <w:tcPr>
            <w:tcW w:w="7485" w:type="dxa"/>
            <w:shd w:val="clear" w:color="auto" w:fill="425563" w:themeFill="text1"/>
          </w:tcPr>
          <w:p w14:paraId="2EF80D13" w14:textId="2D70A4C3" w:rsidR="00352B0F" w:rsidRDefault="00352B0F" w:rsidP="00352B0F">
            <w:pPr>
              <w:pStyle w:val="Tableheadwhite"/>
            </w:pPr>
            <w:r>
              <w:t>Detail</w:t>
            </w:r>
          </w:p>
        </w:tc>
      </w:tr>
      <w:tr w:rsidR="00992AFF" w14:paraId="06D3044E" w14:textId="77777777" w:rsidTr="00E62DE3">
        <w:trPr>
          <w:cantSplit/>
        </w:trPr>
        <w:tc>
          <w:tcPr>
            <w:tcW w:w="2972" w:type="dxa"/>
            <w:shd w:val="clear" w:color="auto" w:fill="F6F9F7"/>
          </w:tcPr>
          <w:p w14:paraId="4C624456" w14:textId="77777777" w:rsidR="00992AFF" w:rsidRDefault="00992AFF" w:rsidP="007E0AFE">
            <w:pPr>
              <w:pStyle w:val="TableHeader"/>
            </w:pPr>
            <w:r w:rsidRPr="00CD26F6">
              <w:t>Outcomes identified in evaluation</w:t>
            </w:r>
          </w:p>
        </w:tc>
        <w:tc>
          <w:tcPr>
            <w:tcW w:w="7485" w:type="dxa"/>
          </w:tcPr>
          <w:p w14:paraId="70E47114" w14:textId="1BC25ED4" w:rsidR="00992AFF" w:rsidRPr="003D01BC" w:rsidRDefault="0049164B" w:rsidP="007E0AFE">
            <w:pPr>
              <w:pStyle w:val="Tabledot2"/>
            </w:pPr>
            <w:r>
              <w:t>Analysis of</w:t>
            </w:r>
            <w:r w:rsidR="00836D2E">
              <w:t xml:space="preserve"> the STPP’s </w:t>
            </w:r>
            <w:r w:rsidR="00EB5693">
              <w:t xml:space="preserve">design against the evidence for </w:t>
            </w:r>
            <w:r w:rsidR="00836D2E">
              <w:t>effectiveness suggests that the program can largely claim to be evidence</w:t>
            </w:r>
            <w:r w:rsidR="7611ACEC">
              <w:t>-</w:t>
            </w:r>
            <w:r w:rsidR="00836D2E">
              <w:t xml:space="preserve">based. </w:t>
            </w:r>
          </w:p>
        </w:tc>
      </w:tr>
      <w:tr w:rsidR="00992AFF" w14:paraId="59DE670B" w14:textId="77777777" w:rsidTr="00E62DE3">
        <w:trPr>
          <w:cantSplit/>
          <w:trHeight w:val="70"/>
        </w:trPr>
        <w:tc>
          <w:tcPr>
            <w:tcW w:w="2972" w:type="dxa"/>
            <w:shd w:val="clear" w:color="auto" w:fill="F6F9F7"/>
          </w:tcPr>
          <w:p w14:paraId="6858D783" w14:textId="77777777" w:rsidR="00992AFF" w:rsidRDefault="00992AFF" w:rsidP="007E0AFE">
            <w:pPr>
              <w:pStyle w:val="TableHeader"/>
            </w:pPr>
            <w:r w:rsidRPr="00CD26F6">
              <w:t>Discussion of supporting evidence</w:t>
            </w:r>
          </w:p>
        </w:tc>
        <w:tc>
          <w:tcPr>
            <w:tcW w:w="7485" w:type="dxa"/>
          </w:tcPr>
          <w:p w14:paraId="11F9AF22" w14:textId="08043437" w:rsidR="0040730D" w:rsidRDefault="0040730D" w:rsidP="007E0AFE">
            <w:pPr>
              <w:pStyle w:val="Tabledot2"/>
            </w:pPr>
            <w:r>
              <w:t xml:space="preserve">Many aspects of the STPP’s design reflect the evidence for best </w:t>
            </w:r>
            <w:r w:rsidR="002B12A5">
              <w:t xml:space="preserve">or better </w:t>
            </w:r>
            <w:r>
              <w:t>practice.</w:t>
            </w:r>
            <w:r w:rsidR="0094168B">
              <w:rPr>
                <w:rStyle w:val="FootnoteReference"/>
              </w:rPr>
              <w:footnoteReference w:id="22"/>
            </w:r>
            <w:r>
              <w:t xml:space="preserve"> This includes its case management approach. However, </w:t>
            </w:r>
            <w:r w:rsidR="00C044F0">
              <w:t xml:space="preserve">other aspects of program design show less evidence for effectiveness – this includes alignment of program access to criminal justice system involvement, and lack of a specific program for children. </w:t>
            </w:r>
          </w:p>
          <w:p w14:paraId="275B9701" w14:textId="2A4D3C6D" w:rsidR="00E52A1E" w:rsidRPr="003D01BC" w:rsidRDefault="00E52A1E" w:rsidP="007E0AFE">
            <w:pPr>
              <w:pStyle w:val="Tabledot2"/>
            </w:pPr>
            <w:r w:rsidRPr="003D01BC">
              <w:t>The STPP’s contribution to data for program measurement and understanding of HTMS in Australia has been limited. This includes:</w:t>
            </w:r>
            <w:r w:rsidR="0040730D" w:rsidRPr="003013DE">
              <w:t xml:space="preserve"> </w:t>
            </w:r>
            <w:r w:rsidRPr="003013DE">
              <w:t xml:space="preserve">a program dataset that supports casework but not measurement of </w:t>
            </w:r>
            <w:r w:rsidR="003B136E">
              <w:t>participant outcomes</w:t>
            </w:r>
            <w:r w:rsidRPr="003013DE">
              <w:t xml:space="preserve">, service utilisation, </w:t>
            </w:r>
            <w:r w:rsidR="00560476">
              <w:t>enquiry outcomes</w:t>
            </w:r>
            <w:r w:rsidRPr="003013DE">
              <w:t>, cost-effectiveness and impact</w:t>
            </w:r>
            <w:r w:rsidR="0040730D">
              <w:t xml:space="preserve">; </w:t>
            </w:r>
            <w:r w:rsidRPr="003013DE">
              <w:t>limited opportunities for STPP participants to provide feedback on their experiences.</w:t>
            </w:r>
            <w:r w:rsidR="0040730D" w:rsidRPr="003D01BC">
              <w:t xml:space="preserve"> </w:t>
            </w:r>
            <w:r w:rsidRPr="003D01BC">
              <w:t>These</w:t>
            </w:r>
            <w:r w:rsidR="70DE7B40">
              <w:t xml:space="preserve"> </w:t>
            </w:r>
            <w:r w:rsidR="43564C3E">
              <w:t>areas</w:t>
            </w:r>
            <w:r w:rsidRPr="003D01BC">
              <w:t xml:space="preserve"> represent opportunities for improvement. </w:t>
            </w:r>
          </w:p>
          <w:p w14:paraId="7FBCD6DA" w14:textId="034BEFB9" w:rsidR="00E52A1E" w:rsidRPr="003D01BC" w:rsidRDefault="00E52A1E" w:rsidP="007E0AFE">
            <w:pPr>
              <w:pStyle w:val="Tabledot2"/>
            </w:pPr>
            <w:r w:rsidRPr="003D01BC">
              <w:t xml:space="preserve">The STPP </w:t>
            </w:r>
            <w:r w:rsidRPr="003D01BC">
              <w:rPr>
                <w:i/>
              </w:rPr>
              <w:t>contributes to datasets</w:t>
            </w:r>
            <w:r w:rsidRPr="003D01BC">
              <w:t xml:space="preserve"> related to HTMS in Australia. De-identified </w:t>
            </w:r>
            <w:r w:rsidR="4FAC9D84" w:rsidRPr="003D01BC">
              <w:t>participa</w:t>
            </w:r>
            <w:r w:rsidRPr="003D01BC">
              <w:t>nt information is shared with government agencies and external organisations for reporting, evaluation, research and service improvement, including:</w:t>
            </w:r>
          </w:p>
          <w:p w14:paraId="0301E765" w14:textId="57261C63" w:rsidR="00DD1448" w:rsidRDefault="00E52A1E" w:rsidP="007E0AFE">
            <w:pPr>
              <w:pStyle w:val="Tabledot22"/>
            </w:pPr>
            <w:r w:rsidRPr="003D01BC">
              <w:t>contribution to the Human Trafficking and Modern Slavery National Minimum Dataset</w:t>
            </w:r>
          </w:p>
          <w:p w14:paraId="220D5FE5" w14:textId="718CB7C7" w:rsidR="005217E8" w:rsidRDefault="008A0F3E" w:rsidP="007E0AFE">
            <w:pPr>
              <w:pStyle w:val="Tabledot22"/>
            </w:pPr>
            <w:r>
              <w:t xml:space="preserve">2024 </w:t>
            </w:r>
            <w:r w:rsidR="00795E5B">
              <w:t>United Nations Office on Drugs and Crime T</w:t>
            </w:r>
            <w:r w:rsidR="00DD1448">
              <w:t xml:space="preserve">rafficking in </w:t>
            </w:r>
            <w:r w:rsidR="00795E5B">
              <w:t>Persons Report</w:t>
            </w:r>
          </w:p>
          <w:p w14:paraId="5F945DC6" w14:textId="3E733166" w:rsidR="00992AFF" w:rsidRDefault="00E52A1E" w:rsidP="007E0AFE">
            <w:pPr>
              <w:pStyle w:val="Tabledot22"/>
            </w:pPr>
            <w:r w:rsidRPr="003D01BC">
              <w:t xml:space="preserve">quarterly reports provided to DSS, the </w:t>
            </w:r>
            <w:r w:rsidRPr="0086301B">
              <w:t>O</w:t>
            </w:r>
            <w:r w:rsidR="00F94041" w:rsidRPr="0086301B">
              <w:t xml:space="preserve">perational </w:t>
            </w:r>
            <w:r w:rsidRPr="0086301B">
              <w:t>W</w:t>
            </w:r>
            <w:r w:rsidR="00F94041" w:rsidRPr="0086301B">
              <w:t xml:space="preserve">orking </w:t>
            </w:r>
            <w:r w:rsidRPr="0086301B">
              <w:t>G</w:t>
            </w:r>
            <w:r w:rsidR="00F94041">
              <w:t>roup</w:t>
            </w:r>
            <w:r w:rsidRPr="003D01BC">
              <w:t xml:space="preserve"> and the </w:t>
            </w:r>
            <w:r w:rsidRPr="0086301B">
              <w:t>I</w:t>
            </w:r>
            <w:r w:rsidR="00F94041" w:rsidRPr="0086301B">
              <w:t xml:space="preserve">nterdepartmental </w:t>
            </w:r>
            <w:r w:rsidRPr="0086301B">
              <w:t>C</w:t>
            </w:r>
            <w:r w:rsidR="00F94041">
              <w:t xml:space="preserve">ommittee </w:t>
            </w:r>
            <w:r w:rsidRPr="003D01BC">
              <w:t>inform policy and program improvement discussion</w:t>
            </w:r>
            <w:r w:rsidR="00227FD6">
              <w:t xml:space="preserve"> and ad hoc reports to Senate </w:t>
            </w:r>
            <w:r w:rsidR="00613E4F">
              <w:t>committees</w:t>
            </w:r>
            <w:r w:rsidR="00227FD6">
              <w:t xml:space="preserve">. </w:t>
            </w:r>
            <w:r w:rsidRPr="003D01BC">
              <w:t>These reports contain data about demographic factors, critical incidents, issues impacting program management, funding and policy.</w:t>
            </w:r>
          </w:p>
        </w:tc>
      </w:tr>
      <w:tr w:rsidR="00992AFF" w14:paraId="1A032F26" w14:textId="77777777" w:rsidTr="00E62DE3">
        <w:trPr>
          <w:cantSplit/>
          <w:trHeight w:val="851"/>
        </w:trPr>
        <w:tc>
          <w:tcPr>
            <w:tcW w:w="2972" w:type="dxa"/>
            <w:shd w:val="clear" w:color="auto" w:fill="F6F9F7"/>
          </w:tcPr>
          <w:p w14:paraId="44240356" w14:textId="46E354F4" w:rsidR="00992AFF" w:rsidRDefault="00D966FF" w:rsidP="007E0AFE">
            <w:pPr>
              <w:pStyle w:val="TableHeader"/>
            </w:pPr>
            <w:r>
              <w:lastRenderedPageBreak/>
              <w:t>Recommendations to</w:t>
            </w:r>
            <w:r w:rsidR="00992AFF">
              <w:t xml:space="preserve"> strengthen </w:t>
            </w:r>
          </w:p>
        </w:tc>
        <w:tc>
          <w:tcPr>
            <w:tcW w:w="7485" w:type="dxa"/>
          </w:tcPr>
          <w:p w14:paraId="143B0C91" w14:textId="5FCB5453" w:rsidR="00C044F0" w:rsidRDefault="00C044F0" w:rsidP="007E0AFE">
            <w:pPr>
              <w:pStyle w:val="TableHeader"/>
            </w:pPr>
            <w:r>
              <w:t xml:space="preserve">Program improvement </w:t>
            </w:r>
          </w:p>
          <w:p w14:paraId="5E3B305F" w14:textId="12E91E46" w:rsidR="009F2170" w:rsidRPr="0018108E" w:rsidRDefault="007E423F" w:rsidP="007E0AFE">
            <w:pPr>
              <w:pStyle w:val="Tabledot2"/>
            </w:pPr>
            <w:r w:rsidRPr="003D01BC">
              <w:t>Improvements in STPP data collection with respect to impact measurement and participant feedback would further be expected to improve the STPP’s contribution to HTMS system data collection.</w:t>
            </w:r>
            <w:r w:rsidR="00443EF7">
              <w:t xml:space="preserve"> </w:t>
            </w:r>
            <w:r w:rsidR="009F2170" w:rsidRPr="0018108E">
              <w:t>Potential improvements include:</w:t>
            </w:r>
          </w:p>
          <w:p w14:paraId="1FBB83E1" w14:textId="1A3EF6E0" w:rsidR="009F2170" w:rsidRPr="003D01BC" w:rsidRDefault="4FC414F1" w:rsidP="007E0AFE">
            <w:pPr>
              <w:pStyle w:val="Tabledot22"/>
              <w:rPr>
                <w:lang w:eastAsia="en-AU"/>
              </w:rPr>
            </w:pPr>
            <w:r w:rsidRPr="003D01BC">
              <w:rPr>
                <w:lang w:eastAsia="en-AU"/>
              </w:rPr>
              <w:t>c</w:t>
            </w:r>
            <w:r w:rsidR="009F2170" w:rsidRPr="003D01BC">
              <w:rPr>
                <w:lang w:eastAsia="en-AU"/>
              </w:rPr>
              <w:t xml:space="preserve">ollecting feedback and impact measurement data from </w:t>
            </w:r>
            <w:r w:rsidR="00560476">
              <w:rPr>
                <w:lang w:eastAsia="en-AU"/>
              </w:rPr>
              <w:t xml:space="preserve">the perspectives of </w:t>
            </w:r>
            <w:r w:rsidR="009F2170" w:rsidRPr="003D01BC">
              <w:rPr>
                <w:lang w:eastAsia="en-AU"/>
              </w:rPr>
              <w:t>participants</w:t>
            </w:r>
          </w:p>
          <w:p w14:paraId="77BF20A2" w14:textId="73250251" w:rsidR="009F2170" w:rsidRPr="003D01BC" w:rsidRDefault="66640152" w:rsidP="007E0AFE">
            <w:pPr>
              <w:pStyle w:val="Tabledot22"/>
              <w:rPr>
                <w:lang w:eastAsia="en-AU"/>
              </w:rPr>
            </w:pPr>
            <w:r w:rsidRPr="003D01BC">
              <w:rPr>
                <w:lang w:eastAsia="en-AU"/>
              </w:rPr>
              <w:t>a</w:t>
            </w:r>
            <w:r w:rsidR="009F2170" w:rsidRPr="003D01BC">
              <w:rPr>
                <w:lang w:eastAsia="en-AU"/>
              </w:rPr>
              <w:t>dapting data collection at program exit to better support program improvement (e.g. measure participants' satisfaction with specific supports provided, perceptions of the appropriateness and quality of service they received and the extent to which the program met their needs in each domain of support)</w:t>
            </w:r>
            <w:r w:rsidR="1CD24248" w:rsidRPr="003D01BC">
              <w:rPr>
                <w:lang w:eastAsia="en-AU"/>
              </w:rPr>
              <w:t>.</w:t>
            </w:r>
          </w:p>
          <w:p w14:paraId="7A53D525" w14:textId="643AE34E" w:rsidR="009F2170" w:rsidRPr="003D01BC" w:rsidRDefault="008D3441" w:rsidP="007E0AFE">
            <w:pPr>
              <w:pStyle w:val="Tabledot2"/>
              <w:rPr>
                <w:lang w:eastAsia="en-AU"/>
              </w:rPr>
            </w:pPr>
            <w:r>
              <w:rPr>
                <w:lang w:eastAsia="en-AU"/>
              </w:rPr>
              <w:t>Improve program data linkage t</w:t>
            </w:r>
            <w:r w:rsidR="009F2170" w:rsidRPr="003D01BC">
              <w:rPr>
                <w:lang w:eastAsia="en-AU"/>
              </w:rPr>
              <w:t>o facilitate more powerful analysis of the impact of service provision</w:t>
            </w:r>
            <w:r w:rsidR="00110CF9">
              <w:rPr>
                <w:lang w:eastAsia="en-AU"/>
              </w:rPr>
              <w:t>. Specific data to link includes</w:t>
            </w:r>
            <w:r w:rsidR="009F2170" w:rsidRPr="003D01BC">
              <w:rPr>
                <w:lang w:eastAsia="en-AU"/>
              </w:rPr>
              <w:t>:</w:t>
            </w:r>
          </w:p>
          <w:p w14:paraId="7D24D4AA" w14:textId="422F0B97" w:rsidR="009F2170" w:rsidRPr="003D01BC" w:rsidRDefault="00110CF9" w:rsidP="007E0AFE">
            <w:pPr>
              <w:pStyle w:val="Tabledot22"/>
            </w:pPr>
            <w:r>
              <w:t>r</w:t>
            </w:r>
            <w:r w:rsidR="00A924E2" w:rsidRPr="003D01BC">
              <w:t>eferrals to external organisations</w:t>
            </w:r>
          </w:p>
          <w:p w14:paraId="08FF7113" w14:textId="21DC7B0C" w:rsidR="009F2170" w:rsidRPr="003D01BC" w:rsidRDefault="00A924E2" w:rsidP="007E0AFE">
            <w:pPr>
              <w:pStyle w:val="Tabledot22"/>
            </w:pPr>
            <w:r w:rsidRPr="003D01BC">
              <w:t>dates and details of casework sessions</w:t>
            </w:r>
          </w:p>
          <w:p w14:paraId="561F270C" w14:textId="3889F5AA" w:rsidR="00110CF9" w:rsidRDefault="00A924E2" w:rsidP="007E0AFE">
            <w:pPr>
              <w:pStyle w:val="Tabledot22"/>
            </w:pPr>
            <w:r w:rsidRPr="003D01BC">
              <w:t>expenditure data</w:t>
            </w:r>
          </w:p>
          <w:p w14:paraId="208EE026" w14:textId="0BA5F690" w:rsidR="0043770E" w:rsidRDefault="0043770E" w:rsidP="007E0AFE">
            <w:pPr>
              <w:pStyle w:val="Tabledot22"/>
            </w:pPr>
            <w:r>
              <w:t>entry and exit reports</w:t>
            </w:r>
          </w:p>
          <w:p w14:paraId="5A51A92D" w14:textId="2AC32FD7" w:rsidR="0043770E" w:rsidRDefault="0043770E" w:rsidP="007E0AFE">
            <w:pPr>
              <w:pStyle w:val="Tabledot22"/>
            </w:pPr>
            <w:r>
              <w:t>post exit surveys</w:t>
            </w:r>
          </w:p>
          <w:p w14:paraId="58C80719" w14:textId="2CE9FD76" w:rsidR="003D5111" w:rsidRDefault="003D5111" w:rsidP="007E0AFE">
            <w:pPr>
              <w:pStyle w:val="Tabledot22"/>
            </w:pPr>
            <w:r>
              <w:t>participant feedback</w:t>
            </w:r>
          </w:p>
          <w:p w14:paraId="4AA1AE5C" w14:textId="4D371B4D" w:rsidR="009F2170" w:rsidRPr="003D01BC" w:rsidRDefault="00A924E2" w:rsidP="007E0AFE">
            <w:pPr>
              <w:pStyle w:val="Tabledot22"/>
            </w:pPr>
            <w:r w:rsidRPr="003D01BC">
              <w:t>participant administrative records.</w:t>
            </w:r>
          </w:p>
          <w:p w14:paraId="37AACBB3" w14:textId="7678D96D" w:rsidR="009F2170" w:rsidRPr="003D01BC" w:rsidRDefault="009F2170" w:rsidP="007E0AFE">
            <w:pPr>
              <w:pStyle w:val="Tabledot2"/>
              <w:rPr>
                <w:lang w:eastAsia="en-AU"/>
              </w:rPr>
            </w:pPr>
            <w:r w:rsidRPr="003D01BC">
              <w:rPr>
                <w:lang w:eastAsia="en-AU"/>
              </w:rPr>
              <w:t xml:space="preserve">Coordinate with the department and ARP </w:t>
            </w:r>
            <w:r w:rsidR="00514AFA">
              <w:rPr>
                <w:lang w:eastAsia="en-AU"/>
              </w:rPr>
              <w:t xml:space="preserve">lead and consortium partners </w:t>
            </w:r>
            <w:r w:rsidRPr="003D01BC">
              <w:rPr>
                <w:lang w:eastAsia="en-AU"/>
              </w:rPr>
              <w:t>to standardise expectations of data collection and develop shared data dictionaries and a shared outcomes measurement framework.</w:t>
            </w:r>
          </w:p>
          <w:p w14:paraId="34A0DB20" w14:textId="7C91A7DE" w:rsidR="00992AFF" w:rsidRDefault="002A7F3B" w:rsidP="007E0AFE">
            <w:pPr>
              <w:pStyle w:val="Tabledot2"/>
              <w:rPr>
                <w:lang w:eastAsia="en-AU"/>
              </w:rPr>
            </w:pPr>
            <w:r>
              <w:rPr>
                <w:lang w:eastAsia="en-AU"/>
              </w:rPr>
              <w:t xml:space="preserve">Establish </w:t>
            </w:r>
            <w:r w:rsidR="004D44D2">
              <w:rPr>
                <w:lang w:eastAsia="en-AU"/>
              </w:rPr>
              <w:t xml:space="preserve">data linkage between the STPP and </w:t>
            </w:r>
            <w:r w:rsidR="009F2170" w:rsidRPr="003D01BC">
              <w:rPr>
                <w:lang w:eastAsia="en-AU"/>
              </w:rPr>
              <w:t>ARP providers to connect data on enquiries to STPP administrative records to facilitate analysis of enquiries mechanisms.</w:t>
            </w:r>
          </w:p>
        </w:tc>
      </w:tr>
    </w:tbl>
    <w:p w14:paraId="60847B81" w14:textId="11A8B6C6" w:rsidR="009413CF" w:rsidRPr="009B59E3" w:rsidRDefault="009413CF" w:rsidP="007E0AFE">
      <w:pPr>
        <w:pStyle w:val="Heading4"/>
      </w:pPr>
      <w:bookmarkStart w:id="33" w:name="_Toc198367929"/>
      <w:r w:rsidRPr="009B59E3">
        <w:t>Community</w:t>
      </w:r>
      <w:r w:rsidR="003D4BE6" w:rsidRPr="009B59E3">
        <w:t xml:space="preserve"> </w:t>
      </w:r>
      <w:r w:rsidRPr="009B59E3">
        <w:t>outcomes</w:t>
      </w:r>
      <w:bookmarkEnd w:id="33"/>
      <w:r w:rsidRPr="009B59E3">
        <w:t xml:space="preserve"> </w:t>
      </w:r>
    </w:p>
    <w:p w14:paraId="1B599E6A" w14:textId="7581F861" w:rsidR="00A004D8" w:rsidRPr="00E720EF" w:rsidRDefault="0063617F" w:rsidP="00E720EF">
      <w:pPr>
        <w:pStyle w:val="Heading5"/>
        <w:spacing w:before="40" w:after="0" w:line="240" w:lineRule="auto"/>
        <w:rPr>
          <w:sz w:val="24"/>
        </w:rPr>
      </w:pPr>
      <w:r w:rsidRPr="00E720EF">
        <w:rPr>
          <w:sz w:val="24"/>
        </w:rPr>
        <w:t xml:space="preserve">Outcome </w:t>
      </w:r>
      <w:r w:rsidR="00B3655D" w:rsidRPr="00E720EF">
        <w:rPr>
          <w:sz w:val="24"/>
        </w:rPr>
        <w:t>1</w:t>
      </w:r>
      <w:r w:rsidR="001D688B" w:rsidRPr="00E720EF">
        <w:rPr>
          <w:sz w:val="24"/>
        </w:rPr>
        <w:t>e</w:t>
      </w:r>
      <w:r w:rsidR="00A004D8" w:rsidRPr="00E720EF">
        <w:rPr>
          <w:sz w:val="24"/>
        </w:rPr>
        <w:t>: People are aware of the STPP</w:t>
      </w:r>
    </w:p>
    <w:p w14:paraId="20A18FE3" w14:textId="65E4D4F2" w:rsidR="001D688B" w:rsidRPr="00E720EF" w:rsidRDefault="001D688B" w:rsidP="00E720EF">
      <w:pPr>
        <w:pStyle w:val="Heading6"/>
        <w:rPr>
          <w:i/>
          <w:iCs/>
          <w:sz w:val="20"/>
          <w:szCs w:val="20"/>
        </w:rPr>
      </w:pPr>
      <w:r w:rsidRPr="00E720EF">
        <w:rPr>
          <w:i/>
          <w:iCs/>
          <w:sz w:val="20"/>
          <w:szCs w:val="20"/>
        </w:rPr>
        <w:t xml:space="preserve">Outcome 1e, </w:t>
      </w:r>
      <w:r w:rsidR="007547A9" w:rsidRPr="00E720EF">
        <w:rPr>
          <w:i/>
          <w:iCs/>
          <w:sz w:val="20"/>
          <w:szCs w:val="20"/>
        </w:rPr>
        <w:t>Indicator 1. A high proportion of community organisations are aware of the STPP</w:t>
      </w:r>
    </w:p>
    <w:p w14:paraId="6B8D7EA8" w14:textId="029F8467" w:rsidR="00B15858" w:rsidRDefault="00B15858" w:rsidP="00B15858">
      <w:pPr>
        <w:pStyle w:val="Caption"/>
      </w:pPr>
      <w:r>
        <w:t xml:space="preserve">Table </w:t>
      </w:r>
      <w:r>
        <w:fldChar w:fldCharType="begin"/>
      </w:r>
      <w:r>
        <w:instrText xml:space="preserve"> SEQ Table \* ARABIC </w:instrText>
      </w:r>
      <w:r>
        <w:fldChar w:fldCharType="separate"/>
      </w:r>
      <w:r w:rsidR="00D9323B">
        <w:rPr>
          <w:noProof/>
        </w:rPr>
        <w:t>28</w:t>
      </w:r>
      <w:r>
        <w:fldChar w:fldCharType="end"/>
      </w:r>
      <w:r>
        <w:t>.</w:t>
      </w:r>
      <w:r w:rsidR="00EF0ABC" w:rsidRPr="00EF0ABC">
        <w:t xml:space="preserve"> </w:t>
      </w:r>
      <w:r w:rsidR="00EF0ABC">
        <w:t>Outcome 1</w:t>
      </w:r>
      <w:r w:rsidR="00E62DE3">
        <w:t>e</w:t>
      </w:r>
      <w:r w:rsidR="007B4581">
        <w:t>, Indicator 1</w:t>
      </w:r>
      <w:r w:rsidR="004807F5">
        <w:t>: Outcomes identified in evaluation,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352B0F" w14:paraId="07ACA2DB" w14:textId="77777777" w:rsidTr="007B4581">
        <w:trPr>
          <w:cantSplit/>
          <w:tblHeader/>
        </w:trPr>
        <w:tc>
          <w:tcPr>
            <w:tcW w:w="2972" w:type="dxa"/>
            <w:shd w:val="clear" w:color="auto" w:fill="425563" w:themeFill="text1"/>
          </w:tcPr>
          <w:p w14:paraId="7058648A" w14:textId="30510452" w:rsidR="00352B0F" w:rsidRPr="00CD26F6" w:rsidRDefault="00352B0F" w:rsidP="00352B0F">
            <w:pPr>
              <w:pStyle w:val="Tableheadwhite"/>
            </w:pPr>
            <w:r>
              <w:t>Area</w:t>
            </w:r>
          </w:p>
        </w:tc>
        <w:tc>
          <w:tcPr>
            <w:tcW w:w="7485" w:type="dxa"/>
            <w:shd w:val="clear" w:color="auto" w:fill="425563" w:themeFill="text1"/>
          </w:tcPr>
          <w:p w14:paraId="0A15F6E0" w14:textId="2F1F8F9D" w:rsidR="00352B0F" w:rsidRDefault="00352B0F" w:rsidP="00352B0F">
            <w:pPr>
              <w:pStyle w:val="Tableheadwhite"/>
            </w:pPr>
            <w:r>
              <w:t>Detail</w:t>
            </w:r>
          </w:p>
        </w:tc>
      </w:tr>
      <w:tr w:rsidR="00A0078B" w14:paraId="3635CACF" w14:textId="77777777" w:rsidTr="007B4581">
        <w:trPr>
          <w:cantSplit/>
        </w:trPr>
        <w:tc>
          <w:tcPr>
            <w:tcW w:w="2972" w:type="dxa"/>
            <w:shd w:val="clear" w:color="auto" w:fill="F6F9F7"/>
          </w:tcPr>
          <w:p w14:paraId="089C002B" w14:textId="77777777" w:rsidR="00A0078B" w:rsidRDefault="00A0078B" w:rsidP="007E0AFE">
            <w:pPr>
              <w:pStyle w:val="TableHeader"/>
            </w:pPr>
            <w:r w:rsidRPr="00CD26F6">
              <w:t>Outcomes identified in evaluation</w:t>
            </w:r>
          </w:p>
        </w:tc>
        <w:tc>
          <w:tcPr>
            <w:tcW w:w="7485" w:type="dxa"/>
          </w:tcPr>
          <w:p w14:paraId="63BF1FDA" w14:textId="30413712" w:rsidR="00A0078B" w:rsidRPr="00CF2D2F" w:rsidRDefault="00B327F4" w:rsidP="007E0AFE">
            <w:pPr>
              <w:pStyle w:val="Tabledot2"/>
            </w:pPr>
            <w:r>
              <w:t>There is low awareness of STPP. There is no quantitative evidence for awareness of the ARP</w:t>
            </w:r>
            <w:r w:rsidR="00A0078B" w:rsidRPr="00CF2D2F">
              <w:t xml:space="preserve">.  </w:t>
            </w:r>
          </w:p>
        </w:tc>
      </w:tr>
      <w:tr w:rsidR="00A0078B" w14:paraId="2C79E94F" w14:textId="77777777" w:rsidTr="007B4581">
        <w:trPr>
          <w:cantSplit/>
          <w:trHeight w:val="70"/>
        </w:trPr>
        <w:tc>
          <w:tcPr>
            <w:tcW w:w="2972" w:type="dxa"/>
            <w:shd w:val="clear" w:color="auto" w:fill="F6F9F7"/>
          </w:tcPr>
          <w:p w14:paraId="48B22E28" w14:textId="77777777" w:rsidR="00A0078B" w:rsidRDefault="00A0078B" w:rsidP="007E0AFE">
            <w:pPr>
              <w:pStyle w:val="TableHeader"/>
            </w:pPr>
            <w:r w:rsidRPr="00CD26F6">
              <w:t>Discussion of supporting evidence</w:t>
            </w:r>
          </w:p>
        </w:tc>
        <w:tc>
          <w:tcPr>
            <w:tcW w:w="7485" w:type="dxa"/>
          </w:tcPr>
          <w:p w14:paraId="40E7400F" w14:textId="61E2DCEB" w:rsidR="00A0078B" w:rsidRPr="00CF2D2F" w:rsidRDefault="00A0078B" w:rsidP="007E0AFE">
            <w:pPr>
              <w:pStyle w:val="Tabledot2"/>
            </w:pPr>
            <w:r w:rsidRPr="00B327F4">
              <w:t xml:space="preserve">Results of the 2023 </w:t>
            </w:r>
            <w:r w:rsidR="3B3425EE" w:rsidRPr="00B327F4">
              <w:t>Australian Institute of Criminology</w:t>
            </w:r>
            <w:r w:rsidRPr="00CF2D2F">
              <w:t xml:space="preserve"> </w:t>
            </w:r>
            <w:r w:rsidR="0719BE7C" w:rsidRPr="00CF2D2F">
              <w:t xml:space="preserve">survey on </w:t>
            </w:r>
            <w:r w:rsidRPr="00CF2D2F">
              <w:t xml:space="preserve">community awareness </w:t>
            </w:r>
            <w:r w:rsidR="0719BE7C" w:rsidRPr="00CF2D2F">
              <w:t>of modern slavery in Australia</w:t>
            </w:r>
            <w:r w:rsidR="004F052D">
              <w:rPr>
                <w:rStyle w:val="FootnoteReference"/>
              </w:rPr>
              <w:footnoteReference w:id="23"/>
            </w:r>
            <w:r w:rsidRPr="00CF2D2F">
              <w:t xml:space="preserve"> and insights provided by stakeholders interviewed for this evaluation indicate that while there is some evidence of increasing general awareness of HTMS indicators in Australia, awareness of the STPP and ARP remain low. </w:t>
            </w:r>
            <w:r w:rsidR="1F43192E" w:rsidRPr="00CF2D2F">
              <w:t>According to the 2023 survey</w:t>
            </w:r>
            <w:r w:rsidRPr="00CF2D2F">
              <w:t>:</w:t>
            </w:r>
          </w:p>
          <w:p w14:paraId="02915073" w14:textId="77777777" w:rsidR="00A0078B" w:rsidRPr="00B327F4" w:rsidRDefault="00A0078B" w:rsidP="007E0AFE">
            <w:pPr>
              <w:pStyle w:val="Tabledot22"/>
            </w:pPr>
            <w:r w:rsidRPr="00B327F4">
              <w:t xml:space="preserve">6% of the total weighted sample of 4,997 respondents reported being aware of the STPP </w:t>
            </w:r>
          </w:p>
          <w:p w14:paraId="1BC80CD1" w14:textId="77777777" w:rsidR="00A0078B" w:rsidRPr="00B327F4" w:rsidRDefault="00A0078B" w:rsidP="007E0AFE">
            <w:pPr>
              <w:pStyle w:val="Tabledot22"/>
            </w:pPr>
            <w:r w:rsidRPr="00B327F4">
              <w:t>younger respondents were significantly more likely to be aware of the STPP compared to older respondents</w:t>
            </w:r>
          </w:p>
          <w:p w14:paraId="64A07AE1" w14:textId="77777777" w:rsidR="00A0078B" w:rsidRPr="00B327F4" w:rsidRDefault="00A0078B" w:rsidP="007E0AFE">
            <w:pPr>
              <w:pStyle w:val="Tabledot22"/>
            </w:pPr>
            <w:r w:rsidRPr="00B327F4">
              <w:t>CALD respondents were significantly more likely to have heard of the STPP compared to non-CALD respondents.</w:t>
            </w:r>
          </w:p>
          <w:p w14:paraId="14D43820" w14:textId="3E8D19C5" w:rsidR="00A0078B" w:rsidRPr="00B327F4" w:rsidRDefault="00A0078B" w:rsidP="007E0AFE">
            <w:pPr>
              <w:pStyle w:val="Tabledot2"/>
            </w:pPr>
            <w:r w:rsidRPr="00B327F4">
              <w:t xml:space="preserve">The </w:t>
            </w:r>
            <w:r>
              <w:t>A</w:t>
            </w:r>
            <w:r w:rsidR="614C387E">
              <w:t>ustralian Institute of Criminology</w:t>
            </w:r>
            <w:r w:rsidRPr="00B327F4">
              <w:t xml:space="preserve"> community awareness survey did not include the ARP in the list of government initiatives put to respondents</w:t>
            </w:r>
            <w:r w:rsidR="00C46567">
              <w:t xml:space="preserve"> (the</w:t>
            </w:r>
            <w:r w:rsidR="00DE772D">
              <w:t xml:space="preserve"> ARP had not commenced at the time)</w:t>
            </w:r>
            <w:r w:rsidRPr="00B327F4">
              <w:t xml:space="preserve">. </w:t>
            </w:r>
          </w:p>
        </w:tc>
      </w:tr>
      <w:tr w:rsidR="00A0078B" w14:paraId="0878E062" w14:textId="77777777" w:rsidTr="007B4581">
        <w:trPr>
          <w:cantSplit/>
        </w:trPr>
        <w:tc>
          <w:tcPr>
            <w:tcW w:w="2972" w:type="dxa"/>
            <w:shd w:val="clear" w:color="auto" w:fill="F6F9F7"/>
          </w:tcPr>
          <w:p w14:paraId="5BF852B1" w14:textId="487C12C9" w:rsidR="00A0078B" w:rsidRPr="00B327F4" w:rsidRDefault="00237A58" w:rsidP="007E0AFE">
            <w:pPr>
              <w:pStyle w:val="TableHeader"/>
            </w:pPr>
            <w:r>
              <w:lastRenderedPageBreak/>
              <w:t xml:space="preserve">Recommendations </w:t>
            </w:r>
            <w:r w:rsidRPr="00B327F4">
              <w:t>to</w:t>
            </w:r>
            <w:r w:rsidR="00A0078B" w:rsidRPr="00B327F4">
              <w:t xml:space="preserve"> strengthen</w:t>
            </w:r>
            <w:r w:rsidR="00A0078B">
              <w:t xml:space="preserve"> </w:t>
            </w:r>
          </w:p>
        </w:tc>
        <w:tc>
          <w:tcPr>
            <w:tcW w:w="7485" w:type="dxa"/>
          </w:tcPr>
          <w:p w14:paraId="1DE7AA7D" w14:textId="3F3790B8" w:rsidR="007B74D0" w:rsidRDefault="007B74D0" w:rsidP="007E0AFE">
            <w:pPr>
              <w:pStyle w:val="TableHeader"/>
            </w:pPr>
            <w:r>
              <w:t xml:space="preserve">System improvement </w:t>
            </w:r>
          </w:p>
          <w:p w14:paraId="608925B8" w14:textId="5AE99763" w:rsidR="00A0078B" w:rsidRDefault="0086301B" w:rsidP="007E0AFE">
            <w:pPr>
              <w:pStyle w:val="Tabledot2"/>
            </w:pPr>
            <w:r>
              <w:t>I</w:t>
            </w:r>
            <w:r w:rsidR="00B327F4" w:rsidRPr="00B327F4">
              <w:t>ncreas</w:t>
            </w:r>
            <w:r>
              <w:t>e</w:t>
            </w:r>
            <w:r w:rsidR="00B327F4" w:rsidRPr="00B327F4">
              <w:t xml:space="preserve"> community awareness of the STPP</w:t>
            </w:r>
            <w:r w:rsidR="00B924B4">
              <w:t xml:space="preserve"> and ARP</w:t>
            </w:r>
            <w:r w:rsidR="004C4130">
              <w:t xml:space="preserve"> through </w:t>
            </w:r>
            <w:r w:rsidR="00B9748D">
              <w:t>targeted</w:t>
            </w:r>
            <w:r w:rsidR="006975FC">
              <w:t xml:space="preserve"> social marketing</w:t>
            </w:r>
            <w:r w:rsidR="00B327F4" w:rsidRPr="00B327F4">
              <w:t>.</w:t>
            </w:r>
            <w:r w:rsidR="00F74CA7">
              <w:t xml:space="preserve"> </w:t>
            </w:r>
            <w:r w:rsidR="00CA6CA4">
              <w:t xml:space="preserve">This work could fall under the auspices of </w:t>
            </w:r>
            <w:r w:rsidR="0028604C">
              <w:t xml:space="preserve">the </w:t>
            </w:r>
            <w:r w:rsidR="0028604C">
              <w:rPr>
                <w:i/>
                <w:iCs/>
              </w:rPr>
              <w:t xml:space="preserve">National Action Plan </w:t>
            </w:r>
            <w:r w:rsidR="0028604C">
              <w:t>and r</w:t>
            </w:r>
            <w:r w:rsidR="00F74CA7">
              <w:t xml:space="preserve">esponsibility </w:t>
            </w:r>
            <w:r w:rsidR="00552283">
              <w:t>could lie with AGD</w:t>
            </w:r>
            <w:r w:rsidR="0028604C">
              <w:t>.</w:t>
            </w:r>
            <w:r w:rsidR="00D40C51">
              <w:t xml:space="preserve"> </w:t>
            </w:r>
          </w:p>
        </w:tc>
      </w:tr>
    </w:tbl>
    <w:p w14:paraId="3868C265" w14:textId="1BF8D58D" w:rsidR="00A004D8" w:rsidRPr="004B50BB" w:rsidRDefault="0063617F" w:rsidP="004B50BB">
      <w:pPr>
        <w:pStyle w:val="Heading5"/>
        <w:spacing w:before="40" w:after="0" w:line="240" w:lineRule="auto"/>
        <w:rPr>
          <w:sz w:val="24"/>
        </w:rPr>
      </w:pPr>
      <w:r w:rsidRPr="004B50BB">
        <w:rPr>
          <w:sz w:val="24"/>
        </w:rPr>
        <w:t xml:space="preserve">Outcome </w:t>
      </w:r>
      <w:r w:rsidR="00B3655D" w:rsidRPr="004B50BB">
        <w:rPr>
          <w:sz w:val="24"/>
        </w:rPr>
        <w:t>1</w:t>
      </w:r>
      <w:r w:rsidR="001D688B" w:rsidRPr="004B50BB">
        <w:rPr>
          <w:sz w:val="24"/>
        </w:rPr>
        <w:t>f</w:t>
      </w:r>
      <w:r w:rsidR="008D3A5A" w:rsidRPr="004B50BB">
        <w:rPr>
          <w:sz w:val="24"/>
        </w:rPr>
        <w:t xml:space="preserve">: </w:t>
      </w:r>
      <w:r w:rsidR="00A004D8" w:rsidRPr="004B50BB">
        <w:rPr>
          <w:sz w:val="24"/>
        </w:rPr>
        <w:t>People know how to recognise risks, safely respond or seek support when they witness or experience HTMS</w:t>
      </w:r>
    </w:p>
    <w:p w14:paraId="0387196F" w14:textId="4592FA5C" w:rsidR="001D688B" w:rsidRPr="004B50BB" w:rsidRDefault="001D688B" w:rsidP="004B50BB">
      <w:pPr>
        <w:pStyle w:val="Heading6"/>
        <w:rPr>
          <w:i/>
          <w:iCs/>
          <w:sz w:val="20"/>
          <w:szCs w:val="20"/>
        </w:rPr>
      </w:pPr>
      <w:r w:rsidRPr="004B50BB">
        <w:rPr>
          <w:i/>
          <w:iCs/>
          <w:sz w:val="20"/>
          <w:szCs w:val="20"/>
        </w:rPr>
        <w:t>Outcome 1f, Indicator 1. Increased community awareness of HTMS</w:t>
      </w:r>
    </w:p>
    <w:p w14:paraId="245BEBED" w14:textId="777F9B75" w:rsidR="004807F5" w:rsidRDefault="00B15858" w:rsidP="004807F5">
      <w:pPr>
        <w:pStyle w:val="Caption"/>
      </w:pPr>
      <w:r>
        <w:t xml:space="preserve">Table </w:t>
      </w:r>
      <w:r>
        <w:fldChar w:fldCharType="begin"/>
      </w:r>
      <w:r>
        <w:instrText xml:space="preserve"> SEQ Table \* ARABIC </w:instrText>
      </w:r>
      <w:r>
        <w:fldChar w:fldCharType="separate"/>
      </w:r>
      <w:r w:rsidR="00D9323B">
        <w:rPr>
          <w:noProof/>
        </w:rPr>
        <w:t>29</w:t>
      </w:r>
      <w:r>
        <w:fldChar w:fldCharType="end"/>
      </w:r>
      <w:r>
        <w:t>.</w:t>
      </w:r>
      <w:r w:rsidR="00EF0ABC" w:rsidRPr="00EF0ABC">
        <w:t xml:space="preserve"> </w:t>
      </w:r>
      <w:r w:rsidR="00EF0ABC">
        <w:t>Outcome 1</w:t>
      </w:r>
      <w:r w:rsidR="007B4581">
        <w:t>f, Indicator 1</w:t>
      </w:r>
      <w:r w:rsidR="004807F5">
        <w:t>: Outcomes identified in evaluation,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352B0F" w14:paraId="49F2D0D3" w14:textId="77777777" w:rsidTr="007B4581">
        <w:trPr>
          <w:cantSplit/>
          <w:tblHeader/>
        </w:trPr>
        <w:tc>
          <w:tcPr>
            <w:tcW w:w="2972" w:type="dxa"/>
            <w:shd w:val="clear" w:color="auto" w:fill="425563" w:themeFill="text1"/>
          </w:tcPr>
          <w:p w14:paraId="4D74B9DC" w14:textId="7E1EF2C4" w:rsidR="00352B0F" w:rsidRPr="00CD26F6" w:rsidRDefault="00352B0F" w:rsidP="00352B0F">
            <w:pPr>
              <w:pStyle w:val="Tableheadwhite"/>
            </w:pPr>
            <w:r>
              <w:t>Area</w:t>
            </w:r>
          </w:p>
        </w:tc>
        <w:tc>
          <w:tcPr>
            <w:tcW w:w="7485" w:type="dxa"/>
            <w:shd w:val="clear" w:color="auto" w:fill="425563" w:themeFill="text1"/>
          </w:tcPr>
          <w:p w14:paraId="120AF8AD" w14:textId="04545180" w:rsidR="00352B0F" w:rsidRDefault="00352B0F" w:rsidP="00352B0F">
            <w:pPr>
              <w:pStyle w:val="Tableheadwhite"/>
            </w:pPr>
            <w:r>
              <w:t>Detail</w:t>
            </w:r>
          </w:p>
        </w:tc>
      </w:tr>
      <w:tr w:rsidR="00A0078B" w14:paraId="0AFED97D" w14:textId="77777777" w:rsidTr="007B4581">
        <w:trPr>
          <w:cantSplit/>
        </w:trPr>
        <w:tc>
          <w:tcPr>
            <w:tcW w:w="2972" w:type="dxa"/>
            <w:shd w:val="clear" w:color="auto" w:fill="F6F9F7"/>
          </w:tcPr>
          <w:p w14:paraId="3F4AC6CC" w14:textId="77777777" w:rsidR="00A0078B" w:rsidRDefault="00A0078B" w:rsidP="007E0AFE">
            <w:pPr>
              <w:pStyle w:val="TableHeader"/>
            </w:pPr>
            <w:r w:rsidRPr="00CD26F6">
              <w:t>Outcomes identified in evaluation</w:t>
            </w:r>
          </w:p>
        </w:tc>
        <w:tc>
          <w:tcPr>
            <w:tcW w:w="7485" w:type="dxa"/>
          </w:tcPr>
          <w:p w14:paraId="32B95501" w14:textId="3EA53EA1" w:rsidR="00A0078B" w:rsidRPr="005B6687" w:rsidRDefault="0086301B" w:rsidP="007E0AFE">
            <w:pPr>
              <w:pStyle w:val="Tabledot2"/>
            </w:pPr>
            <w:r>
              <w:t xml:space="preserve">There is low awareness of </w:t>
            </w:r>
            <w:r w:rsidRPr="0086301B">
              <w:t>how to recognise risks, safely respond or seek support when they witness or experience HTMS</w:t>
            </w:r>
            <w:r w:rsidR="04CB4C13">
              <w:t>.</w:t>
            </w:r>
          </w:p>
        </w:tc>
      </w:tr>
      <w:tr w:rsidR="00A0078B" w14:paraId="133F6669" w14:textId="77777777" w:rsidTr="007B4581">
        <w:trPr>
          <w:cantSplit/>
          <w:trHeight w:val="973"/>
        </w:trPr>
        <w:tc>
          <w:tcPr>
            <w:tcW w:w="2972" w:type="dxa"/>
            <w:shd w:val="clear" w:color="auto" w:fill="F6F9F7"/>
          </w:tcPr>
          <w:p w14:paraId="6DEA46E1" w14:textId="77777777" w:rsidR="00A0078B" w:rsidRDefault="00A0078B" w:rsidP="007E0AFE">
            <w:pPr>
              <w:pStyle w:val="TableHeader"/>
            </w:pPr>
            <w:r w:rsidRPr="00CD26F6">
              <w:t>Discussion of supporting evidence</w:t>
            </w:r>
          </w:p>
        </w:tc>
        <w:tc>
          <w:tcPr>
            <w:tcW w:w="7485" w:type="dxa"/>
          </w:tcPr>
          <w:p w14:paraId="40DA56C4" w14:textId="7651A7BD" w:rsidR="00A0078B" w:rsidRPr="00B327F4" w:rsidRDefault="00A0078B" w:rsidP="007E0AFE">
            <w:pPr>
              <w:pStyle w:val="Tabledot2"/>
            </w:pPr>
            <w:r w:rsidRPr="005B6687">
              <w:t>The 2023 A</w:t>
            </w:r>
            <w:r w:rsidR="4CE73E40" w:rsidRPr="005B6687">
              <w:t>ustralian Institute of Criminology</w:t>
            </w:r>
            <w:r w:rsidRPr="005B6687">
              <w:t xml:space="preserve"> community awareness survey found that respondents were generally aware of common types of HTMS offences and high-risk industries. Awareness and understanding of labour exploitation indicators were most identified by respondents. </w:t>
            </w:r>
            <w:r w:rsidR="00B327F4">
              <w:t>D</w:t>
            </w:r>
            <w:r w:rsidRPr="005B6687">
              <w:t>etailed awareness of specific risks, behaviours, practices (beyond general understanding) and available response mechanisms remains low.</w:t>
            </w:r>
          </w:p>
        </w:tc>
      </w:tr>
      <w:tr w:rsidR="00A0078B" w14:paraId="114E99CE" w14:textId="77777777" w:rsidTr="007B4581">
        <w:trPr>
          <w:cantSplit/>
        </w:trPr>
        <w:tc>
          <w:tcPr>
            <w:tcW w:w="2972" w:type="dxa"/>
            <w:shd w:val="clear" w:color="auto" w:fill="F6F9F7"/>
          </w:tcPr>
          <w:p w14:paraId="02488F62" w14:textId="124A0DA7" w:rsidR="00A0078B" w:rsidRDefault="00237A58" w:rsidP="007E0AFE">
            <w:pPr>
              <w:pStyle w:val="TableHeader"/>
            </w:pPr>
            <w:r>
              <w:t>Recommendations to</w:t>
            </w:r>
            <w:r w:rsidR="00A0078B">
              <w:t xml:space="preserve"> strengthen </w:t>
            </w:r>
          </w:p>
        </w:tc>
        <w:tc>
          <w:tcPr>
            <w:tcW w:w="7485" w:type="dxa"/>
          </w:tcPr>
          <w:p w14:paraId="3A388D1D" w14:textId="2C4FEF5A" w:rsidR="007B74D0" w:rsidRDefault="007B74D0" w:rsidP="007E0AFE">
            <w:pPr>
              <w:pStyle w:val="TableHeader"/>
            </w:pPr>
            <w:r>
              <w:t xml:space="preserve">System improvement </w:t>
            </w:r>
          </w:p>
          <w:p w14:paraId="34B14FC9" w14:textId="3DFA8175" w:rsidR="00A0078B" w:rsidRPr="005B6687" w:rsidRDefault="0086301B" w:rsidP="007E0AFE">
            <w:pPr>
              <w:pStyle w:val="Tabledot2"/>
            </w:pPr>
            <w:r>
              <w:t>I</w:t>
            </w:r>
            <w:r w:rsidRPr="00B327F4">
              <w:t>ncreas</w:t>
            </w:r>
            <w:r>
              <w:t>e</w:t>
            </w:r>
            <w:r w:rsidRPr="00B327F4">
              <w:t xml:space="preserve"> community awareness of the </w:t>
            </w:r>
            <w:r>
              <w:t>STPP</w:t>
            </w:r>
            <w:r w:rsidR="000E606B">
              <w:t xml:space="preserve"> and ARP</w:t>
            </w:r>
            <w:r w:rsidRPr="00B327F4">
              <w:t xml:space="preserve"> </w:t>
            </w:r>
            <w:r w:rsidR="00B924B4">
              <w:t>and how to access the program</w:t>
            </w:r>
            <w:r w:rsidR="000E606B">
              <w:t>s</w:t>
            </w:r>
            <w:r w:rsidR="00B924B4">
              <w:t xml:space="preserve"> </w:t>
            </w:r>
            <w:r w:rsidRPr="00B327F4">
              <w:t>to support improved referral to the STPP</w:t>
            </w:r>
            <w:r w:rsidR="4B40C40E">
              <w:t>.</w:t>
            </w:r>
          </w:p>
        </w:tc>
      </w:tr>
    </w:tbl>
    <w:p w14:paraId="23A4D6CD" w14:textId="31B6CD83" w:rsidR="004839E4" w:rsidRPr="004B50BB" w:rsidRDefault="0063617F" w:rsidP="004B50BB">
      <w:pPr>
        <w:pStyle w:val="Heading5"/>
        <w:spacing w:before="40" w:after="0" w:line="240" w:lineRule="auto"/>
        <w:rPr>
          <w:sz w:val="24"/>
        </w:rPr>
      </w:pPr>
      <w:r w:rsidRPr="004B50BB">
        <w:rPr>
          <w:sz w:val="24"/>
        </w:rPr>
        <w:t xml:space="preserve">Outcome </w:t>
      </w:r>
      <w:r w:rsidR="00B3655D" w:rsidRPr="004B50BB">
        <w:rPr>
          <w:sz w:val="24"/>
        </w:rPr>
        <w:t>1</w:t>
      </w:r>
      <w:r w:rsidR="001D688B" w:rsidRPr="004B50BB">
        <w:rPr>
          <w:sz w:val="24"/>
        </w:rPr>
        <w:t>g</w:t>
      </w:r>
      <w:r w:rsidR="00C05CB5" w:rsidRPr="004B50BB">
        <w:rPr>
          <w:sz w:val="24"/>
        </w:rPr>
        <w:t>:</w:t>
      </w:r>
      <w:r w:rsidR="0046379B" w:rsidRPr="004B50BB">
        <w:rPr>
          <w:sz w:val="24"/>
        </w:rPr>
        <w:t xml:space="preserve"> </w:t>
      </w:r>
      <w:r w:rsidR="00A004D8" w:rsidRPr="004B50BB">
        <w:rPr>
          <w:sz w:val="24"/>
        </w:rPr>
        <w:t>Civil society and other HTMS/FD</w:t>
      </w:r>
      <w:r w:rsidR="2952CD49" w:rsidRPr="004B50BB">
        <w:rPr>
          <w:sz w:val="24"/>
        </w:rPr>
        <w:t>S</w:t>
      </w:r>
      <w:r w:rsidR="00A004D8" w:rsidRPr="004B50BB">
        <w:rPr>
          <w:sz w:val="24"/>
        </w:rPr>
        <w:t>V community providers comprehend the STPP and the scope of services</w:t>
      </w:r>
    </w:p>
    <w:p w14:paraId="77B1316F" w14:textId="5794146E" w:rsidR="001D688B" w:rsidRPr="004B50BB" w:rsidRDefault="00D40C51" w:rsidP="004B50BB">
      <w:pPr>
        <w:pStyle w:val="Heading6"/>
        <w:rPr>
          <w:i/>
          <w:iCs/>
          <w:sz w:val="20"/>
          <w:szCs w:val="20"/>
        </w:rPr>
      </w:pPr>
      <w:r w:rsidRPr="004B50BB">
        <w:rPr>
          <w:i/>
          <w:iCs/>
          <w:sz w:val="20"/>
          <w:szCs w:val="20"/>
        </w:rPr>
        <w:t>Outcome</w:t>
      </w:r>
      <w:r w:rsidR="001D688B" w:rsidRPr="004B50BB">
        <w:rPr>
          <w:i/>
          <w:iCs/>
          <w:sz w:val="20"/>
          <w:szCs w:val="20"/>
        </w:rPr>
        <w:t xml:space="preserve"> 1</w:t>
      </w:r>
      <w:r w:rsidR="00146553" w:rsidRPr="004B50BB">
        <w:rPr>
          <w:i/>
          <w:iCs/>
          <w:sz w:val="20"/>
          <w:szCs w:val="20"/>
        </w:rPr>
        <w:t>g</w:t>
      </w:r>
      <w:r w:rsidRPr="004B50BB">
        <w:rPr>
          <w:i/>
          <w:iCs/>
          <w:sz w:val="20"/>
          <w:szCs w:val="20"/>
        </w:rPr>
        <w:t xml:space="preserve">, </w:t>
      </w:r>
      <w:r w:rsidR="001D688B" w:rsidRPr="004B50BB">
        <w:rPr>
          <w:i/>
          <w:iCs/>
          <w:sz w:val="20"/>
          <w:szCs w:val="20"/>
        </w:rPr>
        <w:t xml:space="preserve">Indicator </w:t>
      </w:r>
      <w:r w:rsidRPr="004B50BB">
        <w:rPr>
          <w:i/>
          <w:iCs/>
          <w:sz w:val="20"/>
          <w:szCs w:val="20"/>
        </w:rPr>
        <w:t>1</w:t>
      </w:r>
      <w:r w:rsidR="001D688B" w:rsidRPr="004B50BB">
        <w:rPr>
          <w:i/>
          <w:iCs/>
          <w:sz w:val="20"/>
          <w:szCs w:val="20"/>
        </w:rPr>
        <w:t xml:space="preserve"> Increased civil society and other HTMS/FDSV community provider understanding of STPP scope of services</w:t>
      </w:r>
    </w:p>
    <w:p w14:paraId="09B7F12D" w14:textId="2FE7D916" w:rsidR="00B15858" w:rsidRDefault="00B15858" w:rsidP="00B15858">
      <w:pPr>
        <w:pStyle w:val="Caption"/>
      </w:pPr>
      <w:r>
        <w:t xml:space="preserve">Table </w:t>
      </w:r>
      <w:r>
        <w:fldChar w:fldCharType="begin"/>
      </w:r>
      <w:r>
        <w:instrText xml:space="preserve"> SEQ Table \* ARABIC </w:instrText>
      </w:r>
      <w:r>
        <w:fldChar w:fldCharType="separate"/>
      </w:r>
      <w:r w:rsidR="00D9323B">
        <w:rPr>
          <w:noProof/>
        </w:rPr>
        <w:t>30</w:t>
      </w:r>
      <w:r>
        <w:fldChar w:fldCharType="end"/>
      </w:r>
      <w:r>
        <w:t>.</w:t>
      </w:r>
      <w:r w:rsidR="00EF0ABC">
        <w:t xml:space="preserve"> Outcome 1g</w:t>
      </w:r>
      <w:r w:rsidR="007B4581">
        <w:t>, Indicator 1</w:t>
      </w:r>
      <w:r w:rsidR="004807F5">
        <w:t>: Outcomes identified in evaluation,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215349" w14:paraId="6BE97C9F" w14:textId="77777777" w:rsidTr="007B4581">
        <w:trPr>
          <w:cantSplit/>
          <w:tblHeader/>
        </w:trPr>
        <w:tc>
          <w:tcPr>
            <w:tcW w:w="2972" w:type="dxa"/>
            <w:shd w:val="clear" w:color="auto" w:fill="425563" w:themeFill="text1"/>
          </w:tcPr>
          <w:p w14:paraId="6ECF1F87" w14:textId="5C3490B8" w:rsidR="00215349" w:rsidRPr="00CD26F6" w:rsidRDefault="00352B0F" w:rsidP="00352B0F">
            <w:pPr>
              <w:pStyle w:val="Tableheadwhite"/>
            </w:pPr>
            <w:r>
              <w:t>Area</w:t>
            </w:r>
          </w:p>
        </w:tc>
        <w:tc>
          <w:tcPr>
            <w:tcW w:w="7485" w:type="dxa"/>
            <w:shd w:val="clear" w:color="auto" w:fill="425563" w:themeFill="text1"/>
          </w:tcPr>
          <w:p w14:paraId="1AF96020" w14:textId="1FB4E12A" w:rsidR="00215349" w:rsidRDefault="00352B0F" w:rsidP="00352B0F">
            <w:pPr>
              <w:pStyle w:val="Tableheadwhite"/>
            </w:pPr>
            <w:r>
              <w:t>Detail</w:t>
            </w:r>
          </w:p>
        </w:tc>
      </w:tr>
      <w:tr w:rsidR="00A0078B" w14:paraId="7E7AB202" w14:textId="77777777" w:rsidTr="007B4581">
        <w:trPr>
          <w:cantSplit/>
        </w:trPr>
        <w:tc>
          <w:tcPr>
            <w:tcW w:w="2972" w:type="dxa"/>
            <w:shd w:val="clear" w:color="auto" w:fill="F6F9F7"/>
          </w:tcPr>
          <w:p w14:paraId="6B437151" w14:textId="77777777" w:rsidR="00A0078B" w:rsidRDefault="00A0078B" w:rsidP="007E0AFE">
            <w:pPr>
              <w:pStyle w:val="TableHeader"/>
            </w:pPr>
            <w:r w:rsidRPr="00CD26F6">
              <w:t>Outcomes identified in evaluation</w:t>
            </w:r>
          </w:p>
        </w:tc>
        <w:tc>
          <w:tcPr>
            <w:tcW w:w="7485" w:type="dxa"/>
          </w:tcPr>
          <w:p w14:paraId="155F277D" w14:textId="5CED2A92" w:rsidR="00A0078B" w:rsidRDefault="0086301B" w:rsidP="007E0AFE">
            <w:pPr>
              <w:pStyle w:val="Tabledot2"/>
            </w:pPr>
            <w:r>
              <w:t xml:space="preserve">Stakeholders </w:t>
            </w:r>
            <w:r w:rsidR="0AEC7AD8">
              <w:t>report</w:t>
            </w:r>
            <w:r w:rsidR="34BA4659">
              <w:t>ed</w:t>
            </w:r>
            <w:r>
              <w:t xml:space="preserve"> generally poor understanding of the STPP outside organisations immediately involved </w:t>
            </w:r>
            <w:r w:rsidR="00500BEE">
              <w:t xml:space="preserve">in the </w:t>
            </w:r>
            <w:r>
              <w:t xml:space="preserve">HTMS </w:t>
            </w:r>
            <w:r w:rsidR="00500BEE">
              <w:t xml:space="preserve">sector </w:t>
            </w:r>
            <w:r>
              <w:t xml:space="preserve">or </w:t>
            </w:r>
            <w:r w:rsidR="00500BEE">
              <w:t xml:space="preserve">with </w:t>
            </w:r>
            <w:r>
              <w:t xml:space="preserve">the STPP provider. </w:t>
            </w:r>
          </w:p>
        </w:tc>
      </w:tr>
      <w:tr w:rsidR="00A0078B" w14:paraId="10339763" w14:textId="77777777" w:rsidTr="007B4581">
        <w:trPr>
          <w:cantSplit/>
          <w:trHeight w:val="70"/>
        </w:trPr>
        <w:tc>
          <w:tcPr>
            <w:tcW w:w="2972" w:type="dxa"/>
            <w:shd w:val="clear" w:color="auto" w:fill="F6F9F7"/>
          </w:tcPr>
          <w:p w14:paraId="440C017E" w14:textId="77777777" w:rsidR="00A0078B" w:rsidRDefault="00A0078B" w:rsidP="007E0AFE">
            <w:pPr>
              <w:pStyle w:val="TableHeader"/>
            </w:pPr>
            <w:r w:rsidRPr="00CD26F6">
              <w:t>Discussion of supporting evidence</w:t>
            </w:r>
          </w:p>
        </w:tc>
        <w:tc>
          <w:tcPr>
            <w:tcW w:w="7485" w:type="dxa"/>
          </w:tcPr>
          <w:p w14:paraId="5D0B0597" w14:textId="6DB24AB3" w:rsidR="006374F6" w:rsidRDefault="006374F6" w:rsidP="007E0AFE">
            <w:pPr>
              <w:pStyle w:val="Tabledot2"/>
            </w:pPr>
            <w:r w:rsidRPr="00F96EDB">
              <w:t>Quantitative data regarding the extent to which civil society and other HTMS/</w:t>
            </w:r>
            <w:r w:rsidRPr="5309DA0A">
              <w:t>FDSV</w:t>
            </w:r>
            <w:r w:rsidRPr="00F96EDB">
              <w:t xml:space="preserve"> community providers</w:t>
            </w:r>
            <w:r w:rsidR="00933F16">
              <w:t xml:space="preserve"> understand </w:t>
            </w:r>
            <w:r w:rsidRPr="006374F6">
              <w:t xml:space="preserve">the </w:t>
            </w:r>
            <w:r w:rsidR="00F97745" w:rsidRPr="006374F6">
              <w:t>STPP</w:t>
            </w:r>
            <w:r w:rsidR="00933F16">
              <w:t xml:space="preserve"> does not exist. </w:t>
            </w:r>
          </w:p>
          <w:p w14:paraId="45B37245" w14:textId="6472DDA4" w:rsidR="00A0078B" w:rsidRPr="00A0078B" w:rsidRDefault="007439E2" w:rsidP="007E0AFE">
            <w:pPr>
              <w:pStyle w:val="Tabledot2"/>
            </w:pPr>
            <w:r w:rsidRPr="007439E2">
              <w:t xml:space="preserve">Stakeholders reported that awareness of the STPP is generally low among community providers in related sectors. </w:t>
            </w:r>
            <w:r w:rsidR="002A04C6">
              <w:t>F</w:t>
            </w:r>
            <w:r w:rsidRPr="007439E2">
              <w:t xml:space="preserve">unding mechanisms for state-based </w:t>
            </w:r>
            <w:r w:rsidR="002A04C6">
              <w:t xml:space="preserve">universal </w:t>
            </w:r>
            <w:r w:rsidRPr="007439E2">
              <w:t xml:space="preserve">services </w:t>
            </w:r>
            <w:r w:rsidR="002A04C6">
              <w:t>typically</w:t>
            </w:r>
            <w:r w:rsidRPr="007439E2">
              <w:t xml:space="preserve"> do not facilitate specific budgets or frameworks for modern slavery</w:t>
            </w:r>
            <w:r w:rsidR="002A04C6">
              <w:t>.</w:t>
            </w:r>
            <w:r w:rsidR="002A04C6" w:rsidRPr="007439E2">
              <w:t xml:space="preserve"> </w:t>
            </w:r>
            <w:r w:rsidR="002A04C6">
              <w:t>This</w:t>
            </w:r>
            <w:r w:rsidR="002A04C6" w:rsidRPr="007439E2">
              <w:t xml:space="preserve"> hinder</w:t>
            </w:r>
            <w:r w:rsidR="002A04C6">
              <w:t>s</w:t>
            </w:r>
            <w:r w:rsidR="002A04C6" w:rsidRPr="007439E2">
              <w:t xml:space="preserve"> identification and referral</w:t>
            </w:r>
            <w:r w:rsidR="002A04C6" w:rsidDel="007439E2">
              <w:t xml:space="preserve"> </w:t>
            </w:r>
          </w:p>
        </w:tc>
      </w:tr>
      <w:tr w:rsidR="00A0078B" w14:paraId="6A69C899" w14:textId="77777777" w:rsidTr="007B4581">
        <w:trPr>
          <w:cantSplit/>
        </w:trPr>
        <w:tc>
          <w:tcPr>
            <w:tcW w:w="2972" w:type="dxa"/>
            <w:shd w:val="clear" w:color="auto" w:fill="F6F9F7"/>
          </w:tcPr>
          <w:p w14:paraId="26436E09" w14:textId="4E9F470A" w:rsidR="00A0078B" w:rsidRDefault="00237A58" w:rsidP="007E0AFE">
            <w:pPr>
              <w:pStyle w:val="TableHeader"/>
            </w:pPr>
            <w:r>
              <w:t>Recommendations to</w:t>
            </w:r>
            <w:r w:rsidR="00A0078B">
              <w:t xml:space="preserve"> strengthen </w:t>
            </w:r>
          </w:p>
        </w:tc>
        <w:tc>
          <w:tcPr>
            <w:tcW w:w="7485" w:type="dxa"/>
          </w:tcPr>
          <w:p w14:paraId="03E1042C" w14:textId="61602E02" w:rsidR="00A0078B" w:rsidRDefault="003A10E4" w:rsidP="007E0AFE">
            <w:pPr>
              <w:pStyle w:val="Tabledot2"/>
            </w:pPr>
            <w:r>
              <w:t>Explore opportunities to i</w:t>
            </w:r>
            <w:r w:rsidRPr="00F96EDB">
              <w:t xml:space="preserve">mprove </w:t>
            </w:r>
            <w:r w:rsidR="00F51012" w:rsidRPr="00F96EDB">
              <w:t>training and awareness-raising initiatives across the service landscape</w:t>
            </w:r>
            <w:r w:rsidR="00582BE5">
              <w:t xml:space="preserve"> using existing infrastructure</w:t>
            </w:r>
            <w:r w:rsidR="008C4C9F">
              <w:t xml:space="preserve">. </w:t>
            </w:r>
            <w:r w:rsidR="00C61D9D">
              <w:t>Potential opportunities</w:t>
            </w:r>
            <w:r w:rsidR="007179C3">
              <w:t xml:space="preserve"> may mirror those being used </w:t>
            </w:r>
            <w:r w:rsidR="008D152D">
              <w:t>to improve responses to family, domestic and sexual violence</w:t>
            </w:r>
            <w:r w:rsidR="00B32D77">
              <w:t>.</w:t>
            </w:r>
            <w:r w:rsidR="00B32D77">
              <w:rPr>
                <w:rStyle w:val="FootnoteReference"/>
              </w:rPr>
              <w:footnoteReference w:id="24"/>
            </w:r>
            <w:r w:rsidR="008C4C9F">
              <w:t xml:space="preserve"> </w:t>
            </w:r>
          </w:p>
        </w:tc>
      </w:tr>
    </w:tbl>
    <w:p w14:paraId="7E3705EE" w14:textId="1FA24FBB" w:rsidR="006047C9" w:rsidRDefault="000A58AD" w:rsidP="007E0AFE">
      <w:pPr>
        <w:pStyle w:val="Heading2"/>
      </w:pPr>
      <w:bookmarkStart w:id="34" w:name="_Toc201908112"/>
      <w:r>
        <w:lastRenderedPageBreak/>
        <w:t xml:space="preserve">2. </w:t>
      </w:r>
      <w:r w:rsidR="003D0872">
        <w:t>STPP</w:t>
      </w:r>
      <w:r w:rsidR="00896001" w:rsidRPr="00896001">
        <w:t xml:space="preserve"> </w:t>
      </w:r>
      <w:r w:rsidR="00B64DD0">
        <w:t xml:space="preserve">- </w:t>
      </w:r>
      <w:r w:rsidR="006047C9" w:rsidRPr="00DC0AE7">
        <w:t>Eff</w:t>
      </w:r>
      <w:r w:rsidR="006047C9">
        <w:t>iciency</w:t>
      </w:r>
      <w:bookmarkEnd w:id="34"/>
    </w:p>
    <w:p w14:paraId="13FB66AB" w14:textId="30D96BA9" w:rsidR="00E6717F" w:rsidRDefault="00E6717F" w:rsidP="007E0AFE">
      <w:pPr>
        <w:pStyle w:val="Heading3"/>
      </w:pPr>
      <w:bookmarkStart w:id="35" w:name="_Toc198367932"/>
      <w:bookmarkStart w:id="36" w:name="_Toc201908113"/>
      <w:r>
        <w:t>KEQ</w:t>
      </w:r>
      <w:r w:rsidR="00173C59">
        <w:t xml:space="preserve">2. </w:t>
      </w:r>
      <w:r w:rsidR="00F11056">
        <w:t xml:space="preserve">Has the </w:t>
      </w:r>
      <w:r w:rsidR="003D0872">
        <w:t>STPP</w:t>
      </w:r>
      <w:r w:rsidR="00F11056">
        <w:t xml:space="preserve"> been delivered efficiently?</w:t>
      </w:r>
      <w:bookmarkEnd w:id="35"/>
      <w:bookmarkEnd w:id="36"/>
    </w:p>
    <w:p w14:paraId="1B1A8702" w14:textId="77777777" w:rsidR="00173C59" w:rsidRPr="00450166" w:rsidRDefault="00173C59" w:rsidP="007E0AFE">
      <w:pPr>
        <w:rPr>
          <w:rFonts w:asciiTheme="majorHAnsi" w:hAnsiTheme="majorHAnsi"/>
          <w:color w:val="auto"/>
          <w:sz w:val="22"/>
        </w:rPr>
      </w:pPr>
      <w:r w:rsidRPr="00450166">
        <w:rPr>
          <w:rFonts w:asciiTheme="majorHAnsi" w:hAnsiTheme="majorHAnsi"/>
          <w:color w:val="auto"/>
          <w:sz w:val="22"/>
        </w:rPr>
        <w:t>Sub-questions:</w:t>
      </w:r>
    </w:p>
    <w:p w14:paraId="63BA286C" w14:textId="242CD927" w:rsidR="00173C59" w:rsidRDefault="00173C59" w:rsidP="007E0AFE">
      <w:r w:rsidRPr="00A92A81">
        <w:rPr>
          <w:rFonts w:asciiTheme="majorHAnsi" w:hAnsiTheme="majorHAnsi"/>
        </w:rPr>
        <w:t>KEQ</w:t>
      </w:r>
      <w:r>
        <w:rPr>
          <w:rFonts w:asciiTheme="majorHAnsi" w:hAnsiTheme="majorHAnsi"/>
        </w:rPr>
        <w:t>2</w:t>
      </w:r>
      <w:r w:rsidRPr="00A92A81">
        <w:rPr>
          <w:rFonts w:asciiTheme="majorHAnsi" w:hAnsiTheme="majorHAnsi"/>
        </w:rPr>
        <w:t>a.</w:t>
      </w:r>
      <w:r>
        <w:t xml:space="preserve"> To what extent does the funding model of the STPP efficiently meet program operational and delivery needs?</w:t>
      </w:r>
    </w:p>
    <w:p w14:paraId="77ADA91F" w14:textId="460AFD6A" w:rsidR="00173C59" w:rsidRDefault="00173C59" w:rsidP="007E0AFE">
      <w:r w:rsidRPr="00A92A81">
        <w:rPr>
          <w:rFonts w:asciiTheme="majorHAnsi" w:hAnsiTheme="majorHAnsi"/>
        </w:rPr>
        <w:t>KEQ</w:t>
      </w:r>
      <w:r>
        <w:rPr>
          <w:rFonts w:asciiTheme="majorHAnsi" w:hAnsiTheme="majorHAnsi"/>
        </w:rPr>
        <w:t>2</w:t>
      </w:r>
      <w:r w:rsidRPr="00A92A81">
        <w:rPr>
          <w:rFonts w:asciiTheme="majorHAnsi" w:hAnsiTheme="majorHAnsi"/>
        </w:rPr>
        <w:t>b.</w:t>
      </w:r>
      <w:r>
        <w:t xml:space="preserve"> Are there areas to improve administrative efficiency for the STPP?</w:t>
      </w:r>
    </w:p>
    <w:p w14:paraId="22AEC29A" w14:textId="33CCE594" w:rsidR="00E6717F" w:rsidRDefault="00E6717F" w:rsidP="007E0AFE">
      <w:pPr>
        <w:pStyle w:val="Heading3"/>
      </w:pPr>
      <w:bookmarkStart w:id="37" w:name="_Toc198367933"/>
      <w:bookmarkStart w:id="38" w:name="_Toc201908114"/>
      <w:r w:rsidRPr="00FF6B7A">
        <w:t xml:space="preserve">Summary </w:t>
      </w:r>
      <w:r w:rsidR="007547A9">
        <w:t>findings</w:t>
      </w:r>
      <w:bookmarkEnd w:id="37"/>
      <w:bookmarkEnd w:id="38"/>
    </w:p>
    <w:p w14:paraId="70C2A892" w14:textId="1D6406F0" w:rsidR="007547A9" w:rsidRPr="002C29B8" w:rsidRDefault="007547A9" w:rsidP="007E0AFE">
      <w:pPr>
        <w:pStyle w:val="Bullet1"/>
        <w:numPr>
          <w:ilvl w:val="0"/>
          <w:numId w:val="0"/>
        </w:numPr>
      </w:pPr>
      <w:r>
        <w:t>The c</w:t>
      </w:r>
      <w:r w:rsidRPr="002C29B8">
        <w:t xml:space="preserve">urrent </w:t>
      </w:r>
      <w:r w:rsidR="003B2711">
        <w:t xml:space="preserve">STPP </w:t>
      </w:r>
      <w:r w:rsidRPr="002C29B8">
        <w:t>funding model is opaque</w:t>
      </w:r>
      <w:r w:rsidR="00F11056">
        <w:t>, limiting the ability of the evaluation to make judgements on efficiency</w:t>
      </w:r>
      <w:r>
        <w:t xml:space="preserve">. Whilst the </w:t>
      </w:r>
      <w:r w:rsidR="002A04C6">
        <w:t xml:space="preserve">DSS </w:t>
      </w:r>
      <w:r w:rsidR="00FB2C06">
        <w:t xml:space="preserve">financial contribution and funding for the STPP and ARP providers is clear, there is </w:t>
      </w:r>
      <w:r w:rsidRPr="002C29B8">
        <w:t xml:space="preserve">no evidence for </w:t>
      </w:r>
      <w:r w:rsidR="14D6C4B5">
        <w:t>the</w:t>
      </w:r>
      <w:r w:rsidR="532D6CA0">
        <w:t xml:space="preserve"> A</w:t>
      </w:r>
      <w:r w:rsidR="459D64AF">
        <w:t>FP</w:t>
      </w:r>
      <w:r w:rsidR="00FB2C06">
        <w:t xml:space="preserve"> and Department of Home Affairs’</w:t>
      </w:r>
      <w:r w:rsidRPr="002C29B8">
        <w:t xml:space="preserve"> financial contribution</w:t>
      </w:r>
      <w:r w:rsidR="00747094" w:rsidRPr="005E2115">
        <w:t xml:space="preserve"> (in terms of fulfilling their roles in referring people to STPP </w:t>
      </w:r>
      <w:r w:rsidR="001C34EC" w:rsidRPr="005E2115">
        <w:t>/</w:t>
      </w:r>
      <w:r w:rsidR="00747094" w:rsidRPr="005E2115">
        <w:t xml:space="preserve"> undertaking the criminal justice process and administering the visa arrangements for STPP clients</w:t>
      </w:r>
      <w:r w:rsidR="005E2115" w:rsidRPr="005E2115">
        <w:t>, r</w:t>
      </w:r>
      <w:r w:rsidR="001C34EC" w:rsidRPr="005E2115">
        <w:t>espectively</w:t>
      </w:r>
      <w:r w:rsidR="00A737CB">
        <w:t>)</w:t>
      </w:r>
      <w:r w:rsidR="00FB2C06" w:rsidRPr="005E2115">
        <w:t>.</w:t>
      </w:r>
      <w:r w:rsidR="00FB2C06">
        <w:t xml:space="preserve"> </w:t>
      </w:r>
    </w:p>
    <w:p w14:paraId="2EEE031F" w14:textId="66418984" w:rsidR="001069A4" w:rsidRDefault="003C0E52" w:rsidP="007E0AFE">
      <w:pPr>
        <w:pStyle w:val="Bullet1"/>
        <w:numPr>
          <w:ilvl w:val="0"/>
          <w:numId w:val="0"/>
        </w:numPr>
      </w:pPr>
      <w:r>
        <w:t>STPP e</w:t>
      </w:r>
      <w:r w:rsidRPr="001A34A3">
        <w:t xml:space="preserve">xpenditure per participant varies significantly depending on duration on program, needs, visa type, family composition, and impact of trauma among other </w:t>
      </w:r>
      <w:r>
        <w:t>factors</w:t>
      </w:r>
      <w:r w:rsidRPr="001A34A3">
        <w:t>.</w:t>
      </w:r>
      <w:r w:rsidR="00510EB6">
        <w:t xml:space="preserve"> </w:t>
      </w:r>
      <w:r w:rsidR="001A34A3" w:rsidRPr="001A34A3">
        <w:t xml:space="preserve">The funding structure of STPP is not </w:t>
      </w:r>
      <w:r w:rsidR="00251642">
        <w:t xml:space="preserve">currently </w:t>
      </w:r>
      <w:r w:rsidR="001A34A3" w:rsidRPr="001A34A3">
        <w:t xml:space="preserve">modelled </w:t>
      </w:r>
      <w:r w:rsidR="00510EB6">
        <w:t xml:space="preserve">in a way </w:t>
      </w:r>
      <w:r w:rsidR="0017220E">
        <w:t>that reflects this</w:t>
      </w:r>
      <w:r w:rsidR="001A34A3" w:rsidRPr="001A34A3">
        <w:t xml:space="preserve"> complexity </w:t>
      </w:r>
      <w:r w:rsidR="00C26A6E">
        <w:t>or</w:t>
      </w:r>
      <w:r w:rsidR="001A34A3" w:rsidRPr="001A34A3">
        <w:t xml:space="preserve"> </w:t>
      </w:r>
      <w:r w:rsidR="00C26A6E">
        <w:t xml:space="preserve">is responsive to changes in </w:t>
      </w:r>
      <w:r w:rsidR="001069A4">
        <w:t>needs etc.</w:t>
      </w:r>
      <w:r w:rsidR="00AF011A">
        <w:t xml:space="preserve"> of the caseload</w:t>
      </w:r>
      <w:r w:rsidR="001A34A3" w:rsidRPr="001A34A3">
        <w:t>. </w:t>
      </w:r>
      <w:r w:rsidR="000D0F89">
        <w:t>Whilst t</w:t>
      </w:r>
      <w:r w:rsidR="000D0F89" w:rsidRPr="000D0F89">
        <w:t>he STPP provider collects detailed data on participant expenditure</w:t>
      </w:r>
      <w:r w:rsidR="005201DE">
        <w:t>, these data cannot currently</w:t>
      </w:r>
      <w:r w:rsidR="000D0F89" w:rsidRPr="000D0F89">
        <w:t xml:space="preserve"> be linked to other participant data, such as entry and exit reports, and without better data linkage, it is not possible to model resource requirements for program delivery to different cohorts. The absence of modelling does not support forward business planning and a focus on efficient delivery.</w:t>
      </w:r>
    </w:p>
    <w:p w14:paraId="76C9E5A5" w14:textId="33344C83" w:rsidR="007547A9" w:rsidRDefault="00D078CB" w:rsidP="007E0AFE">
      <w:pPr>
        <w:pStyle w:val="Bullet1"/>
        <w:numPr>
          <w:ilvl w:val="0"/>
          <w:numId w:val="0"/>
        </w:numPr>
      </w:pPr>
      <w:r>
        <w:t xml:space="preserve">In recent years, </w:t>
      </w:r>
      <w:r w:rsidR="004A6786">
        <w:t xml:space="preserve">spending per participant has increased </w:t>
      </w:r>
      <w:r w:rsidR="00EF3E2E" w:rsidRPr="00EF3E2E">
        <w:t>significantly due to the changes to the delivery model (increase from 45 days of intensive support to 90 days for all participants with access to short term accommodation and living allowance), amendments to the allowances framework (including dependents allowance, ongoing living allowance in certain circumstances, increase of the cost per night for short term accommodation, flexibility in using some of the allowances that originally were established for clients on the Justice Support Stream only)</w:t>
      </w:r>
      <w:r w:rsidR="00DA40DA">
        <w:t xml:space="preserve"> and</w:t>
      </w:r>
      <w:r w:rsidR="00EF3E2E" w:rsidRPr="00EF3E2E">
        <w:t xml:space="preserve"> increased needs for dental work, detox programs and mental health treatments in private facilities.</w:t>
      </w:r>
      <w:r w:rsidR="00DA40DA">
        <w:t xml:space="preserve"> G</w:t>
      </w:r>
      <w:r w:rsidR="00B13C30">
        <w:t>iven the data suggest a potentially changing profile for the STPP participant prof</w:t>
      </w:r>
      <w:r>
        <w:t xml:space="preserve">ile, </w:t>
      </w:r>
      <w:r w:rsidR="004A6786">
        <w:t xml:space="preserve">it will be important to have good financial data for </w:t>
      </w:r>
      <w:r w:rsidR="007547A9" w:rsidRPr="002C29B8">
        <w:t xml:space="preserve">flexibility and to develop needs-based models. </w:t>
      </w:r>
    </w:p>
    <w:p w14:paraId="04B083F3" w14:textId="24F1C844" w:rsidR="007547A9" w:rsidRDefault="004A6786" w:rsidP="007E0AFE">
      <w:pPr>
        <w:pStyle w:val="Bullet1"/>
        <w:numPr>
          <w:ilvl w:val="0"/>
          <w:numId w:val="0"/>
        </w:numPr>
      </w:pPr>
      <w:r>
        <w:t>With respect to</w:t>
      </w:r>
      <w:r w:rsidR="00F11056">
        <w:t xml:space="preserve"> improving </w:t>
      </w:r>
      <w:r>
        <w:t xml:space="preserve">efficiency, there are </w:t>
      </w:r>
      <w:r w:rsidR="007547A9" w:rsidRPr="00F323B1">
        <w:t>three key opportunities:</w:t>
      </w:r>
      <w:r w:rsidRPr="00F323B1">
        <w:t xml:space="preserve"> </w:t>
      </w:r>
      <w:r w:rsidR="007547A9" w:rsidRPr="00F46BAE">
        <w:t xml:space="preserve">develop role clarity and reduce duplication between </w:t>
      </w:r>
      <w:r>
        <w:t xml:space="preserve">the STPP provider, </w:t>
      </w:r>
      <w:r w:rsidR="01B2A59A">
        <w:t>D</w:t>
      </w:r>
      <w:r w:rsidR="30DB0C7E">
        <w:t>SS</w:t>
      </w:r>
      <w:r>
        <w:t xml:space="preserve"> and </w:t>
      </w:r>
      <w:r w:rsidR="01B2A59A">
        <w:t>A</w:t>
      </w:r>
      <w:r w:rsidR="678D1174">
        <w:t>FP;</w:t>
      </w:r>
      <w:r w:rsidR="01B2A59A">
        <w:t xml:space="preserve"> </w:t>
      </w:r>
      <w:r w:rsidR="5FC056ED">
        <w:t xml:space="preserve">streamline </w:t>
      </w:r>
      <w:r w:rsidR="20F36313">
        <w:t>the</w:t>
      </w:r>
      <w:r w:rsidR="007547A9" w:rsidRPr="00F46BAE">
        <w:t xml:space="preserve"> </w:t>
      </w:r>
      <w:r w:rsidR="00105DC6">
        <w:t xml:space="preserve">participant </w:t>
      </w:r>
      <w:r w:rsidR="007547A9" w:rsidRPr="00F46BAE">
        <w:t xml:space="preserve">funding allocation process through promoting </w:t>
      </w:r>
      <w:r w:rsidR="00632022">
        <w:t xml:space="preserve">a more detailed </w:t>
      </w:r>
      <w:r w:rsidR="003B2464">
        <w:t>decision-making</w:t>
      </w:r>
      <w:r w:rsidR="00632022">
        <w:t xml:space="preserve"> framework,</w:t>
      </w:r>
      <w:r w:rsidR="007547A9" w:rsidRPr="00F46BAE">
        <w:t xml:space="preserve"> </w:t>
      </w:r>
      <w:r w:rsidR="00632022">
        <w:t xml:space="preserve">increased </w:t>
      </w:r>
      <w:r w:rsidR="007547A9" w:rsidRPr="00F46BAE">
        <w:t>flexibility</w:t>
      </w:r>
      <w:r w:rsidR="00632022">
        <w:t xml:space="preserve"> to tailor the allocation framework to meet the needs of different participant</w:t>
      </w:r>
      <w:r w:rsidR="00A737CB">
        <w:t>s</w:t>
      </w:r>
      <w:r>
        <w:t xml:space="preserve">; and </w:t>
      </w:r>
      <w:r w:rsidR="007547A9" w:rsidRPr="00F46BAE">
        <w:t>improve data collection to promote business planning as well as outcomes.</w:t>
      </w:r>
    </w:p>
    <w:p w14:paraId="0EFBDFA1" w14:textId="3870EA8C" w:rsidR="009B59E3" w:rsidRDefault="007547A9" w:rsidP="007E0AFE">
      <w:pPr>
        <w:pStyle w:val="Heading3"/>
      </w:pPr>
      <w:bookmarkStart w:id="39" w:name="_Toc198367934"/>
      <w:bookmarkStart w:id="40" w:name="_Toc201908115"/>
      <w:r>
        <w:t>Findings</w:t>
      </w:r>
      <w:bookmarkEnd w:id="39"/>
      <w:bookmarkEnd w:id="40"/>
      <w:r>
        <w:t xml:space="preserve"> </w:t>
      </w:r>
    </w:p>
    <w:p w14:paraId="0DA2927A" w14:textId="6A9C9DEF" w:rsidR="00A2466D" w:rsidRPr="0058664F" w:rsidRDefault="00E6717F" w:rsidP="0058664F">
      <w:pPr>
        <w:pStyle w:val="Heading4"/>
        <w:spacing w:before="40" w:after="0" w:line="240" w:lineRule="auto"/>
        <w:rPr>
          <w:sz w:val="24"/>
          <w:szCs w:val="24"/>
        </w:rPr>
      </w:pPr>
      <w:r w:rsidRPr="0058664F">
        <w:rPr>
          <w:sz w:val="24"/>
          <w:szCs w:val="24"/>
        </w:rPr>
        <w:t>KEQ</w:t>
      </w:r>
      <w:r w:rsidR="00FB6A72" w:rsidRPr="0058664F">
        <w:rPr>
          <w:sz w:val="24"/>
          <w:szCs w:val="24"/>
        </w:rPr>
        <w:t>2</w:t>
      </w:r>
      <w:r w:rsidRPr="0058664F">
        <w:rPr>
          <w:sz w:val="24"/>
          <w:szCs w:val="24"/>
        </w:rPr>
        <w:t>a</w:t>
      </w:r>
      <w:r w:rsidR="005208D3" w:rsidRPr="0058664F">
        <w:rPr>
          <w:sz w:val="24"/>
          <w:szCs w:val="24"/>
        </w:rPr>
        <w:t xml:space="preserve">. </w:t>
      </w:r>
      <w:r w:rsidR="009B59E3" w:rsidRPr="0058664F">
        <w:rPr>
          <w:sz w:val="24"/>
          <w:szCs w:val="24"/>
        </w:rPr>
        <w:t xml:space="preserve">To what extent does the funding model of the </w:t>
      </w:r>
      <w:r w:rsidR="003D0872" w:rsidRPr="0058664F">
        <w:rPr>
          <w:sz w:val="24"/>
          <w:szCs w:val="24"/>
        </w:rPr>
        <w:t>STPP</w:t>
      </w:r>
      <w:r w:rsidR="009B59E3" w:rsidRPr="0058664F">
        <w:rPr>
          <w:sz w:val="24"/>
          <w:szCs w:val="24"/>
        </w:rPr>
        <w:t xml:space="preserve"> efficiently meet program operational and delivery needs?</w:t>
      </w:r>
    </w:p>
    <w:p w14:paraId="4F65E189" w14:textId="35539A1D" w:rsidR="00BC1574" w:rsidRDefault="00BC1574" w:rsidP="007E0AFE">
      <w:r>
        <w:t>The STPP is a demand</w:t>
      </w:r>
      <w:r w:rsidR="00646027">
        <w:t>-</w:t>
      </w:r>
      <w:r>
        <w:t xml:space="preserve">driven model, with </w:t>
      </w:r>
      <w:r w:rsidR="00646027">
        <w:t xml:space="preserve">the </w:t>
      </w:r>
      <w:r>
        <w:t xml:space="preserve">Australian Red Cross required to support all participants referred by the AFP and </w:t>
      </w:r>
      <w:r w:rsidR="00FB6A72">
        <w:t xml:space="preserve">via the </w:t>
      </w:r>
      <w:r>
        <w:t xml:space="preserve">ARP. </w:t>
      </w:r>
    </w:p>
    <w:p w14:paraId="767245A8" w14:textId="6C803DDB" w:rsidR="00FB6A72" w:rsidRDefault="00A7207A" w:rsidP="007E0AFE">
      <w:r w:rsidRPr="005208D3">
        <w:t xml:space="preserve">The </w:t>
      </w:r>
      <w:r w:rsidR="00A454A7">
        <w:t xml:space="preserve">overall </w:t>
      </w:r>
      <w:r w:rsidRPr="005208D3">
        <w:t xml:space="preserve">current level of funding for the STPP </w:t>
      </w:r>
      <w:r w:rsidR="005208D3" w:rsidRPr="005208D3">
        <w:t>was not available to the evaluation team</w:t>
      </w:r>
      <w:r w:rsidR="00A454A7">
        <w:t>.</w:t>
      </w:r>
      <w:r w:rsidRPr="005208D3">
        <w:t xml:space="preserve"> The STPP requires resources across </w:t>
      </w:r>
      <w:r w:rsidR="003B2857" w:rsidRPr="005208D3">
        <w:t>several</w:t>
      </w:r>
      <w:r w:rsidRPr="005208D3">
        <w:t xml:space="preserve"> organisations</w:t>
      </w:r>
      <w:r w:rsidR="00A65908" w:rsidRPr="005208D3">
        <w:t>:</w:t>
      </w:r>
      <w:r w:rsidRPr="005208D3">
        <w:t xml:space="preserve"> </w:t>
      </w:r>
      <w:r w:rsidR="00646027" w:rsidRPr="005208D3">
        <w:t>DSS</w:t>
      </w:r>
      <w:r w:rsidRPr="005208D3">
        <w:t xml:space="preserve">, </w:t>
      </w:r>
      <w:r w:rsidR="00FB6A72" w:rsidRPr="005208D3">
        <w:t xml:space="preserve">the </w:t>
      </w:r>
      <w:r w:rsidR="00646027" w:rsidRPr="005208D3">
        <w:t>AFP</w:t>
      </w:r>
      <w:r w:rsidR="00FB6A72" w:rsidRPr="005208D3">
        <w:t xml:space="preserve">, the Department of Home Affairs </w:t>
      </w:r>
      <w:r w:rsidRPr="005208D3">
        <w:t xml:space="preserve">and </w:t>
      </w:r>
      <w:r w:rsidR="00FB6A72" w:rsidRPr="005208D3">
        <w:t>STPP provider</w:t>
      </w:r>
      <w:r w:rsidRPr="005208D3">
        <w:t>.</w:t>
      </w:r>
      <w:r>
        <w:t xml:space="preserve"> </w:t>
      </w:r>
      <w:r w:rsidR="005208D3">
        <w:t xml:space="preserve">Only </w:t>
      </w:r>
      <w:r w:rsidR="00A65908">
        <w:t xml:space="preserve">DSS </w:t>
      </w:r>
      <w:r w:rsidR="00FB6A72">
        <w:t xml:space="preserve">inputs and </w:t>
      </w:r>
      <w:r w:rsidR="005208D3">
        <w:t xml:space="preserve">level of </w:t>
      </w:r>
      <w:r w:rsidR="00FB6A72">
        <w:t>funding to the STPP provider</w:t>
      </w:r>
      <w:r w:rsidR="005208D3">
        <w:t xml:space="preserve"> w</w:t>
      </w:r>
      <w:r w:rsidR="7AEAB4E9">
        <w:t>ere</w:t>
      </w:r>
      <w:r w:rsidR="005208D3">
        <w:t xml:space="preserve"> made available to the </w:t>
      </w:r>
      <w:r w:rsidR="00AA13DB">
        <w:t>evaluation (</w:t>
      </w:r>
      <w:r w:rsidR="00FB6A72">
        <w:t xml:space="preserve">this is detailed below). </w:t>
      </w:r>
      <w:r w:rsidR="00F47BF7">
        <w:t xml:space="preserve">The resources </w:t>
      </w:r>
      <w:r w:rsidR="00EE0685">
        <w:t>required</w:t>
      </w:r>
      <w:r w:rsidR="00F70F5D">
        <w:t xml:space="preserve"> by</w:t>
      </w:r>
      <w:r w:rsidR="00764271">
        <w:t xml:space="preserve"> the AFP and Home Affairs </w:t>
      </w:r>
      <w:r w:rsidR="00EE0685">
        <w:t>to fulfil their relevant duties are unknown to this evaluation.</w:t>
      </w:r>
      <w:r w:rsidR="00FB6A72">
        <w:t xml:space="preserve"> </w:t>
      </w:r>
    </w:p>
    <w:p w14:paraId="215D32B3" w14:textId="40CED54D" w:rsidR="00DF4BD3" w:rsidRPr="000D08CD" w:rsidRDefault="00DF4BD3" w:rsidP="007E0AFE">
      <w:r>
        <w:t xml:space="preserve">DSS have </w:t>
      </w:r>
      <w:r w:rsidR="00A65908">
        <w:t>four</w:t>
      </w:r>
      <w:r w:rsidR="00B75AB3">
        <w:t xml:space="preserve"> </w:t>
      </w:r>
      <w:r w:rsidR="00A65908">
        <w:t>f</w:t>
      </w:r>
      <w:r w:rsidR="002234C3">
        <w:t>ull</w:t>
      </w:r>
      <w:r w:rsidR="22794894">
        <w:t>-</w:t>
      </w:r>
      <w:r w:rsidR="00A65908">
        <w:t>t</w:t>
      </w:r>
      <w:r w:rsidR="002234C3">
        <w:t xml:space="preserve">ime </w:t>
      </w:r>
      <w:r w:rsidR="00A65908">
        <w:t>e</w:t>
      </w:r>
      <w:r w:rsidR="002234C3">
        <w:t>quivalent</w:t>
      </w:r>
      <w:r>
        <w:t xml:space="preserve"> staff </w:t>
      </w:r>
      <w:r w:rsidR="004E52F0">
        <w:t>who contribute to the management of the STPP</w:t>
      </w:r>
      <w:r w:rsidR="00A80ADE">
        <w:t xml:space="preserve">, ARP and </w:t>
      </w:r>
      <w:r w:rsidR="00C21631">
        <w:t>Forced Marriage Specialist Support Program</w:t>
      </w:r>
      <w:r w:rsidR="00F659F5">
        <w:t xml:space="preserve">. </w:t>
      </w:r>
      <w:r w:rsidR="00D35E39">
        <w:t>This is i</w:t>
      </w:r>
      <w:r w:rsidR="00F659F5">
        <w:t xml:space="preserve">n </w:t>
      </w:r>
      <w:r w:rsidR="00D35E39">
        <w:t xml:space="preserve">addition to </w:t>
      </w:r>
      <w:r w:rsidR="00D62424">
        <w:t>funding of</w:t>
      </w:r>
      <w:r w:rsidR="00E155AE">
        <w:t xml:space="preserve"> approximately</w:t>
      </w:r>
      <w:r w:rsidR="00D62424">
        <w:t xml:space="preserve"> </w:t>
      </w:r>
      <w:r w:rsidR="00CE2E62" w:rsidRPr="00CE2E62">
        <w:t>$</w:t>
      </w:r>
      <w:r w:rsidR="00E25359" w:rsidRPr="0086301B">
        <w:t>7</w:t>
      </w:r>
      <w:r w:rsidR="480CE10E" w:rsidRPr="0086301B">
        <w:t xml:space="preserve"> million</w:t>
      </w:r>
      <w:r w:rsidR="00D62424">
        <w:t xml:space="preserve"> </w:t>
      </w:r>
      <w:r w:rsidR="00B52D73">
        <w:t>for the STPP and ARP</w:t>
      </w:r>
      <w:r w:rsidR="00D62424">
        <w:t xml:space="preserve"> </w:t>
      </w:r>
      <w:r w:rsidR="00660FFC">
        <w:t>providers</w:t>
      </w:r>
      <w:r w:rsidR="00D62424">
        <w:t xml:space="preserve"> in the most recent financial year</w:t>
      </w:r>
      <w:r w:rsidR="00B52D73">
        <w:t>, as per the grant agreement for those programs</w:t>
      </w:r>
      <w:r w:rsidR="00D62424">
        <w:t>.</w:t>
      </w:r>
    </w:p>
    <w:p w14:paraId="500086B3" w14:textId="35A1C1D6" w:rsidR="005208D3" w:rsidRDefault="00FB6A72" w:rsidP="007E0AFE">
      <w:r>
        <w:t>In 2023-24</w:t>
      </w:r>
      <w:r w:rsidR="00A65908">
        <w:t>,</w:t>
      </w:r>
      <w:r>
        <w:t xml:space="preserve"> </w:t>
      </w:r>
      <w:r w:rsidR="005208D3">
        <w:t xml:space="preserve">funding to the STPP provider </w:t>
      </w:r>
      <w:r>
        <w:t xml:space="preserve">increased to </w:t>
      </w:r>
      <w:r w:rsidRPr="0086301B">
        <w:t>$6.</w:t>
      </w:r>
      <w:r w:rsidR="00E20FD0" w:rsidRPr="0086301B">
        <w:t xml:space="preserve">506 </w:t>
      </w:r>
      <w:r w:rsidRPr="0086301B">
        <w:t>million</w:t>
      </w:r>
      <w:r w:rsidR="00F42254">
        <w:t xml:space="preserve"> for the financial year</w:t>
      </w:r>
      <w:r>
        <w:t xml:space="preserve">. </w:t>
      </w:r>
      <w:r w:rsidR="005208D3">
        <w:t>Of note:</w:t>
      </w:r>
    </w:p>
    <w:p w14:paraId="10F524F7" w14:textId="110861DD" w:rsidR="005208D3" w:rsidRDefault="00CC0D4F" w:rsidP="007E0AFE">
      <w:pPr>
        <w:pStyle w:val="Bullet1"/>
      </w:pPr>
      <w:r>
        <w:t>b</w:t>
      </w:r>
      <w:r w:rsidR="00FB6A72">
        <w:t>oth participant and operational costs have grown over time</w:t>
      </w:r>
    </w:p>
    <w:p w14:paraId="2328AEB9" w14:textId="49E09563" w:rsidR="005208D3" w:rsidRDefault="39C9D2F4" w:rsidP="007E0AFE">
      <w:pPr>
        <w:pStyle w:val="Bullet1"/>
      </w:pPr>
      <w:r>
        <w:t>o</w:t>
      </w:r>
      <w:r w:rsidR="00FB6A72">
        <w:t xml:space="preserve">perational costs have increased approximately in proportion to the caseload, whereas participant costs have </w:t>
      </w:r>
      <w:r w:rsidR="00FB6A72">
        <w:lastRenderedPageBreak/>
        <w:t xml:space="preserve">grown more substantially in the most recent financial year </w:t>
      </w:r>
      <w:r w:rsidR="005208D3">
        <w:t>(</w:t>
      </w:r>
      <w:r w:rsidR="00FB6A72">
        <w:t>and now represent 44% of total expenditure</w:t>
      </w:r>
      <w:r w:rsidR="005208D3">
        <w:t>)</w:t>
      </w:r>
    </w:p>
    <w:p w14:paraId="281C28B0" w14:textId="3EA707F4" w:rsidR="00250CA9" w:rsidRDefault="19D2CAA6" w:rsidP="007E0AFE">
      <w:pPr>
        <w:pStyle w:val="Bullet1"/>
      </w:pPr>
      <w:r>
        <w:t>t</w:t>
      </w:r>
      <w:r w:rsidR="00FB6A72">
        <w:t xml:space="preserve">he recent growth in participant costs has been driven by </w:t>
      </w:r>
      <w:r w:rsidR="00ED7B41">
        <w:t>several</w:t>
      </w:r>
      <w:r w:rsidR="00250CA9">
        <w:t xml:space="preserve"> factors</w:t>
      </w:r>
      <w:r w:rsidR="00BD7AC9">
        <w:t xml:space="preserve"> (</w:t>
      </w:r>
      <w:r w:rsidR="004E0BCE">
        <w:t>including changes to program design)</w:t>
      </w:r>
      <w:r w:rsidR="00250CA9">
        <w:t>:</w:t>
      </w:r>
    </w:p>
    <w:p w14:paraId="5A800A1C" w14:textId="53A8A482" w:rsidR="00201BC0" w:rsidRDefault="00201BC0" w:rsidP="007E0AFE">
      <w:pPr>
        <w:pStyle w:val="Bullet2"/>
      </w:pPr>
      <w:r>
        <w:t xml:space="preserve">the move from </w:t>
      </w:r>
      <w:r w:rsidR="007A7094">
        <w:t xml:space="preserve">the assessment stream to the ISS doubled the duration of support for some </w:t>
      </w:r>
      <w:r w:rsidR="00BD7AC9">
        <w:t>participants</w:t>
      </w:r>
    </w:p>
    <w:p w14:paraId="35027065" w14:textId="0F118AB6" w:rsidR="00BD7AC9" w:rsidRDefault="00BD7AC9" w:rsidP="007E0AFE">
      <w:pPr>
        <w:pStyle w:val="Bullet2"/>
      </w:pPr>
      <w:r w:rsidRPr="00BD7AC9">
        <w:t xml:space="preserve">the program </w:t>
      </w:r>
      <w:r>
        <w:t xml:space="preserve">now </w:t>
      </w:r>
      <w:r w:rsidRPr="00BD7AC9">
        <w:t>provide</w:t>
      </w:r>
      <w:r>
        <w:t>s</w:t>
      </w:r>
      <w:r w:rsidRPr="00BD7AC9">
        <w:t xml:space="preserve"> ongoing living allowance for people that are not eligible for Centrelink and with no work</w:t>
      </w:r>
      <w:r w:rsidR="00B5152B">
        <w:t>ing</w:t>
      </w:r>
      <w:r w:rsidRPr="00BD7AC9">
        <w:t xml:space="preserve"> rights</w:t>
      </w:r>
      <w:r w:rsidR="00B5152B">
        <w:t xml:space="preserve"> on their visa</w:t>
      </w:r>
    </w:p>
    <w:p w14:paraId="2C903E27" w14:textId="6220EA44" w:rsidR="00524F13" w:rsidRDefault="00524F13" w:rsidP="007E0AFE">
      <w:pPr>
        <w:pStyle w:val="Bullet2"/>
      </w:pPr>
      <w:r>
        <w:t>adjustments to the allowance framework</w:t>
      </w:r>
    </w:p>
    <w:p w14:paraId="772CEC99" w14:textId="7850288D" w:rsidR="00FB6A72" w:rsidRDefault="00FB6A72" w:rsidP="007E0AFE">
      <w:pPr>
        <w:pStyle w:val="Bullet2"/>
      </w:pPr>
      <w:r>
        <w:t>large increases in financial support for</w:t>
      </w:r>
      <w:r w:rsidRPr="00BE0A24">
        <w:t xml:space="preserve"> short-term accommodation and living allowances</w:t>
      </w:r>
    </w:p>
    <w:p w14:paraId="3E2AB005" w14:textId="38A43A63" w:rsidR="00554044" w:rsidRDefault="00554044" w:rsidP="007E0AFE">
      <w:pPr>
        <w:pStyle w:val="Caption"/>
      </w:pPr>
      <w:r w:rsidRPr="00AD6CAD">
        <w:t xml:space="preserve">Figure </w:t>
      </w:r>
      <w:r w:rsidR="00C27E6C">
        <w:fldChar w:fldCharType="begin"/>
      </w:r>
      <w:r w:rsidR="00C27E6C">
        <w:instrText xml:space="preserve"> SEQ Figure \* ARABIC </w:instrText>
      </w:r>
      <w:r w:rsidR="00C27E6C">
        <w:fldChar w:fldCharType="separate"/>
      </w:r>
      <w:r w:rsidR="00D9323B">
        <w:rPr>
          <w:noProof/>
        </w:rPr>
        <w:t>4</w:t>
      </w:r>
      <w:r w:rsidR="00C27E6C">
        <w:rPr>
          <w:noProof/>
        </w:rPr>
        <w:fldChar w:fldCharType="end"/>
      </w:r>
      <w:r w:rsidRPr="00F03A70">
        <w:t>:</w:t>
      </w:r>
      <w:r w:rsidRPr="00AD6CAD">
        <w:t xml:space="preserve"> Operational and participant expenditure and average caseload, FY2018-19 to FY2023-24</w:t>
      </w:r>
    </w:p>
    <w:p w14:paraId="07A617EC" w14:textId="6548206F" w:rsidR="00577C0F" w:rsidRPr="00577C0F" w:rsidRDefault="00B8236B" w:rsidP="003C11FA">
      <w:pPr>
        <w:spacing w:after="0"/>
      </w:pPr>
      <w:r w:rsidRPr="00B8236B">
        <w:rPr>
          <w:noProof/>
        </w:rPr>
        <w:drawing>
          <wp:inline distT="0" distB="0" distL="0" distR="0" wp14:anchorId="1B1121B6" wp14:editId="3DC41450">
            <wp:extent cx="6646545" cy="2616835"/>
            <wp:effectExtent l="0" t="0" r="1905" b="0"/>
            <wp:docPr id="1260176743" name="Graphic 1" descr="This chart represents the operational and participant expenditure and average caseload from the 2018-19 financial year through to the 2023-24 financial year.&#10;The data in the chart is outlined below:&#10;FY2018-19: Average quarterly case load, $1,342,000; Participant costs, $513,000; Operational costs, 109.&#10;FY2019-20: Average quarterly case load, $1,927,000; Participant costs, $1,298,000; Operational costs, 141.&#10;FY2020-21: Average quarterly case load, $2,430,000; Participant costs, $1,273,000; Operational costs, 143.&#10;FY2021-22: Average quarterly case load, $2,628,000; Participant costs, $935,000; Operational costs, 142.&#10;FY2022-23: Average quarterly case load, $2,654,000; Participant costs, $1,163,000; Operational costs, 157.&#10;FY2023-24: Average quarterly case load, $3,530,000; Participant costs, $2,765,000; Operational costs, 202.&#10;Source: STPP data. Operational and participant expenditure and average caseload, FY2018-19 to FY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76743" name="Graphic 1" descr="This chart represents the operational and participant expenditure and average caseload from the 2018-19 financial year through to the 2023-24 financial year.&#10;The data in the chart is outlined below:&#10;FY2018-19: Average quarterly case load, $1,342,000; Participant costs, $513,000; Operational costs, 109.&#10;FY2019-20: Average quarterly case load, $1,927,000; Participant costs, $1,298,000; Operational costs, 141.&#10;FY2020-21: Average quarterly case load, $2,430,000; Participant costs, $1,273,000; Operational costs, 143.&#10;FY2021-22: Average quarterly case load, $2,628,000; Participant costs, $935,000; Operational costs, 142.&#10;FY2022-23: Average quarterly case load, $2,654,000; Participant costs, $1,163,000; Operational costs, 157.&#10;FY2023-24: Average quarterly case load, $3,530,000; Participant costs, $2,765,000; Operational costs, 202.&#10;Source: STPP data. Operational and participant expenditure and average caseload, FY2018-19 to FY2023-24."/>
                    <pic:cNvPicPr/>
                  </pic:nvPicPr>
                  <pic:blipFill>
                    <a:blip r:embed="rId27">
                      <a:extLst>
                        <a:ext uri="{96DAC541-7B7A-43D3-8B79-37D633B846F1}">
                          <asvg:svgBlip xmlns:asvg="http://schemas.microsoft.com/office/drawing/2016/SVG/main" r:embed="rId28"/>
                        </a:ext>
                      </a:extLst>
                    </a:blip>
                    <a:stretch>
                      <a:fillRect/>
                    </a:stretch>
                  </pic:blipFill>
                  <pic:spPr>
                    <a:xfrm>
                      <a:off x="0" y="0"/>
                      <a:ext cx="6646545" cy="2616835"/>
                    </a:xfrm>
                    <a:prstGeom prst="rect">
                      <a:avLst/>
                    </a:prstGeom>
                  </pic:spPr>
                </pic:pic>
              </a:graphicData>
            </a:graphic>
          </wp:inline>
        </w:drawing>
      </w:r>
    </w:p>
    <w:p w14:paraId="7FF36D21" w14:textId="727DB6C0" w:rsidR="003C11FA" w:rsidRPr="001F0A32" w:rsidRDefault="003C11FA" w:rsidP="003C11FA">
      <w:pPr>
        <w:pStyle w:val="TableFootnote"/>
        <w:spacing w:before="0"/>
        <w:rPr>
          <w:color w:val="212A31" w:themeColor="text1" w:themeShade="80"/>
          <w:sz w:val="16"/>
          <w:szCs w:val="16"/>
        </w:rPr>
      </w:pPr>
      <w:r w:rsidRPr="001F0A32">
        <w:rPr>
          <w:color w:val="212A31" w:themeColor="text1" w:themeShade="80"/>
          <w:sz w:val="16"/>
          <w:szCs w:val="16"/>
        </w:rPr>
        <w:t>Source: STPP data. Operational and participant expenditure and average caseload, FY2018-19 to FY2023-24</w:t>
      </w:r>
    </w:p>
    <w:p w14:paraId="1B744A97" w14:textId="515CDF92" w:rsidR="00577C0F" w:rsidRDefault="00554044" w:rsidP="007E0AFE">
      <w:pPr>
        <w:pStyle w:val="Caption"/>
      </w:pPr>
      <w:r w:rsidRPr="00AD6CAD">
        <w:t xml:space="preserve">Figure </w:t>
      </w:r>
      <w:r w:rsidR="00C27E6C">
        <w:fldChar w:fldCharType="begin"/>
      </w:r>
      <w:r w:rsidR="00C27E6C">
        <w:instrText xml:space="preserve"> SEQ Figure \* ARABIC </w:instrText>
      </w:r>
      <w:r w:rsidR="00C27E6C">
        <w:fldChar w:fldCharType="separate"/>
      </w:r>
      <w:r w:rsidR="00D9323B">
        <w:rPr>
          <w:noProof/>
        </w:rPr>
        <w:t>5</w:t>
      </w:r>
      <w:r w:rsidR="00C27E6C">
        <w:rPr>
          <w:noProof/>
        </w:rPr>
        <w:fldChar w:fldCharType="end"/>
      </w:r>
      <w:r w:rsidRPr="00AD6CAD">
        <w:t xml:space="preserve">: </w:t>
      </w:r>
      <w:r w:rsidR="00BB4BC6" w:rsidRPr="00AD6CAD">
        <w:t>Participant expenditure by category, FY2018-19 to FY</w:t>
      </w:r>
      <w:r w:rsidR="005F0389" w:rsidRPr="00AD6CAD">
        <w:t>2023-24</w:t>
      </w:r>
    </w:p>
    <w:p w14:paraId="7C7B21D7" w14:textId="1088DCBF" w:rsidR="002C3339" w:rsidRPr="002C3339" w:rsidRDefault="00FB3A9D" w:rsidP="001F0A32">
      <w:pPr>
        <w:spacing w:after="0"/>
      </w:pPr>
      <w:r w:rsidRPr="00FB3A9D">
        <w:rPr>
          <w:noProof/>
        </w:rPr>
        <w:drawing>
          <wp:inline distT="0" distB="0" distL="0" distR="0" wp14:anchorId="6D894E72" wp14:editId="043F55F5">
            <wp:extent cx="6646545" cy="2763520"/>
            <wp:effectExtent l="0" t="0" r="0" b="0"/>
            <wp:docPr id="596951272" name="Graphic 1" descr="This chart represents participant expenditure by category for the 2018-19 financial year through to the 2023-24 financial year.&#10;The categories included in the chart are: Short-Term Accommodation, Client General Support, Household set up, Translating &amp; Interpreting, Counselling, Living Allowances, Emergency Items, Bond and advanced rent, Medical, Legal and Migration, Education and Training, Client domestic travel, Dependent allowance, Post-Exit allowance, and Referred stay visa application.&#10;Data in the chart indicates that across each category, participant expenditure was relatively stable from the 2018-19 financial year through to the 2022-23 financial year, before a notable increase during the 2023-24 financial year. Expenditure saw a decrease in the 2024-25 financial year compared to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51272" name="Graphic 1" descr="This chart represents participant expenditure by category for the 2018-19 financial year through to the 2023-24 financial year.&#10;The categories included in the chart are: Short-Term Accommodation, Client General Support, Household set up, Translating &amp; Interpreting, Counselling, Living Allowances, Emergency Items, Bond and advanced rent, Medical, Legal and Migration, Education and Training, Client domestic travel, Dependent allowance, Post-Exit allowance, and Referred stay visa application.&#10;Data in the chart indicates that across each category, participant expenditure was relatively stable from the 2018-19 financial year through to the 2022-23 financial year, before a notable increase during the 2023-24 financial year. Expenditure saw a decrease in the 2024-25 financial year compared to the previous year."/>
                    <pic:cNvPicPr/>
                  </pic:nvPicPr>
                  <pic:blipFill>
                    <a:blip r:embed="rId29">
                      <a:extLst>
                        <a:ext uri="{96DAC541-7B7A-43D3-8B79-37D633B846F1}">
                          <asvg:svgBlip xmlns:asvg="http://schemas.microsoft.com/office/drawing/2016/SVG/main" r:embed="rId30"/>
                        </a:ext>
                      </a:extLst>
                    </a:blip>
                    <a:stretch>
                      <a:fillRect/>
                    </a:stretch>
                  </pic:blipFill>
                  <pic:spPr>
                    <a:xfrm>
                      <a:off x="0" y="0"/>
                      <a:ext cx="6646545" cy="2763520"/>
                    </a:xfrm>
                    <a:prstGeom prst="rect">
                      <a:avLst/>
                    </a:prstGeom>
                  </pic:spPr>
                </pic:pic>
              </a:graphicData>
            </a:graphic>
          </wp:inline>
        </w:drawing>
      </w:r>
    </w:p>
    <w:p w14:paraId="3338B158" w14:textId="134F7FFA" w:rsidR="001F0A32" w:rsidRPr="001F0A32" w:rsidRDefault="001F0A32" w:rsidP="001F0A32">
      <w:pPr>
        <w:spacing w:before="0"/>
        <w:rPr>
          <w:color w:val="212A31" w:themeColor="text1" w:themeShade="80"/>
          <w:sz w:val="16"/>
          <w:szCs w:val="18"/>
        </w:rPr>
      </w:pPr>
      <w:r w:rsidRPr="001F0A32">
        <w:rPr>
          <w:color w:val="212A31" w:themeColor="text1" w:themeShade="80"/>
          <w:sz w:val="16"/>
          <w:szCs w:val="18"/>
          <w:lang w:val="en-US"/>
        </w:rPr>
        <w:t>Source: STPP data. Participant expenditure by category, FY2018-19 to FY2023-24</w:t>
      </w:r>
    </w:p>
    <w:p w14:paraId="48451841" w14:textId="431FBA3E" w:rsidR="001E72BA" w:rsidRDefault="001E72BA" w:rsidP="007E0AFE">
      <w:r>
        <w:t>The financial data for individual participant cases provided by the STPP provider was unable to be linked to other participant data. This, combined with the very individual needs of the STPP participant population, means that the evaluation is limited in the extent to which it can judge whether delivery has been efficient.</w:t>
      </w:r>
    </w:p>
    <w:p w14:paraId="1DC045B7" w14:textId="77777777" w:rsidR="001E72BA" w:rsidRDefault="001E72BA" w:rsidP="007E0AFE">
      <w:r>
        <w:t xml:space="preserve">Lack of modelling poses a risk for program flexibility. The introduction of the ARP has led to a changing participant cohort that the current program has (reportedly) struggled to adapt to, given constraints imposed by the program design (for example, some of the clients that have been referred through the ARP have presented with significant and complex needs that require more time to stabilise, even with support, than is available on the Intensive Support Stream. The introduction of the Forced Marriage Specialist Support Program and the evolving HTMS sector may lead to further changes in the </w:t>
      </w:r>
      <w:r>
        <w:lastRenderedPageBreak/>
        <w:t xml:space="preserve">volume of referrals and the support needs of the overall participant caseload. In addition, a shift away from criminal justice system involvement as a ‘gateway’ to determining eligibility means that careful planning will be required for program sustainability. A data-driven approach to modelling the investment needed to meet different participant profiles and needs will likely be required to build an investment case for change. In addition, good business practice suggests that average spend per participant should be tracked in quarterly reporting. </w:t>
      </w:r>
    </w:p>
    <w:p w14:paraId="6CA62187" w14:textId="351DFD58" w:rsidR="00086D73" w:rsidRDefault="00086D73" w:rsidP="007E0AFE">
      <w:pPr>
        <w:pStyle w:val="Heading4"/>
      </w:pPr>
      <w:r>
        <w:t>KEQ</w:t>
      </w:r>
      <w:r w:rsidR="00ED667E">
        <w:t>2</w:t>
      </w:r>
      <w:r>
        <w:t>b</w:t>
      </w:r>
      <w:r w:rsidR="00ED667E">
        <w:t xml:space="preserve">. </w:t>
      </w:r>
      <w:r w:rsidR="00ED667E" w:rsidRPr="00ED667E">
        <w:t>Are there areas to improve administrative efficiency for the</w:t>
      </w:r>
      <w:r>
        <w:t xml:space="preserve"> </w:t>
      </w:r>
      <w:r w:rsidR="003D0872">
        <w:t>STPP?</w:t>
      </w:r>
      <w:r>
        <w:t xml:space="preserve"> </w:t>
      </w:r>
    </w:p>
    <w:p w14:paraId="31BA05F1" w14:textId="26B2CC56" w:rsidR="008A0F01" w:rsidRDefault="00654621" w:rsidP="007E0AFE">
      <w:r>
        <w:t xml:space="preserve">Stakeholders </w:t>
      </w:r>
      <w:r w:rsidR="00C70938">
        <w:t xml:space="preserve">reported </w:t>
      </w:r>
      <w:r w:rsidR="00C01102">
        <w:t>several</w:t>
      </w:r>
      <w:r>
        <w:t xml:space="preserve"> </w:t>
      </w:r>
      <w:r w:rsidR="00C70938">
        <w:t xml:space="preserve">areas of administrative inefficiency </w:t>
      </w:r>
      <w:r>
        <w:t>for the STPP</w:t>
      </w:r>
      <w:r w:rsidR="000756A4">
        <w:t xml:space="preserve"> associate</w:t>
      </w:r>
      <w:r w:rsidR="0F6AAAB0">
        <w:t>d</w:t>
      </w:r>
      <w:r w:rsidR="000756A4">
        <w:t xml:space="preserve"> with lack of </w:t>
      </w:r>
      <w:r w:rsidR="00C70938">
        <w:t>role clarity and managing relationships between the different agencies involved in delivery</w:t>
      </w:r>
      <w:r w:rsidR="6A94311F">
        <w:t>,</w:t>
      </w:r>
      <w:r w:rsidR="00BC6BC3">
        <w:t xml:space="preserve"> includ</w:t>
      </w:r>
      <w:r w:rsidR="276D48C5">
        <w:t>ing</w:t>
      </w:r>
      <w:r w:rsidR="00BC6BC3">
        <w:t xml:space="preserve">: </w:t>
      </w:r>
    </w:p>
    <w:p w14:paraId="251229A6" w14:textId="6A3EBA1D" w:rsidR="00ED667E" w:rsidRDefault="006C525E" w:rsidP="007E0AFE">
      <w:pPr>
        <w:pStyle w:val="Bullet1"/>
      </w:pPr>
      <w:r>
        <w:t>managing the uncertainty associated with cases where p</w:t>
      </w:r>
      <w:r w:rsidR="56DE32CC">
        <w:t>articipants</w:t>
      </w:r>
      <w:r>
        <w:t xml:space="preserve"> are on the Intensive Support Stream, and it is not clear whether a criminal investigation or access to the Justice Support Stream (and potentially ongoing visa access) will eventuate</w:t>
      </w:r>
      <w:r w:rsidR="004863D0">
        <w:t xml:space="preserve">. </w:t>
      </w:r>
      <w:r w:rsidR="001B3E7B">
        <w:t xml:space="preserve">Uncertainty of program tenure </w:t>
      </w:r>
      <w:r w:rsidR="004B36AF">
        <w:t>limits</w:t>
      </w:r>
      <w:r w:rsidR="001B3E7B">
        <w:t xml:space="preserve"> </w:t>
      </w:r>
      <w:r w:rsidR="004B36AF">
        <w:t>caseworkers’ ability to plan support</w:t>
      </w:r>
      <w:r w:rsidR="00C36443">
        <w:t xml:space="preserve"> delivery in an efficient manner (</w:t>
      </w:r>
      <w:r w:rsidR="00E779B8">
        <w:t xml:space="preserve">for example, a </w:t>
      </w:r>
      <w:r w:rsidR="00505326">
        <w:t>requirement for short-term</w:t>
      </w:r>
      <w:r w:rsidR="00C36443">
        <w:t xml:space="preserve"> accommodation </w:t>
      </w:r>
      <w:r w:rsidR="00505326">
        <w:t>that sustains for a long period of time increase</w:t>
      </w:r>
      <w:r w:rsidR="00BB2CF0">
        <w:t>s</w:t>
      </w:r>
      <w:r w:rsidR="00505326">
        <w:t xml:space="preserve"> costs</w:t>
      </w:r>
      <w:r w:rsidR="00BB2CF0">
        <w:t>).</w:t>
      </w:r>
    </w:p>
    <w:p w14:paraId="548AF743" w14:textId="1D6ADE64" w:rsidR="006C525E" w:rsidRPr="008A0F01" w:rsidRDefault="006C525E" w:rsidP="007E0AFE">
      <w:pPr>
        <w:pStyle w:val="Bullet1"/>
      </w:pPr>
      <w:r w:rsidRPr="005938D0">
        <w:t xml:space="preserve">making </w:t>
      </w:r>
      <w:r w:rsidRPr="006C2BBF">
        <w:t>decisions on expenditure</w:t>
      </w:r>
      <w:r w:rsidRPr="005938D0">
        <w:t>, which</w:t>
      </w:r>
      <w:r>
        <w:t xml:space="preserve"> can require escalation from STPP caseworkers to the National Office and </w:t>
      </w:r>
      <w:r w:rsidR="00A65908">
        <w:t>DSS</w:t>
      </w:r>
      <w:r w:rsidR="001D027C">
        <w:t xml:space="preserve"> and where meeting </w:t>
      </w:r>
      <w:r w:rsidR="0D0E6FC2">
        <w:t>participa</w:t>
      </w:r>
      <w:r w:rsidR="001D027C">
        <w:t>nt needs is undermined by a funding allocation model</w:t>
      </w:r>
      <w:r w:rsidR="00880727">
        <w:t xml:space="preserve"> that is not geared to</w:t>
      </w:r>
      <w:r w:rsidR="005B1370">
        <w:t>wards needs-based support</w:t>
      </w:r>
      <w:r>
        <w:t>.</w:t>
      </w:r>
      <w:r w:rsidR="00096421">
        <w:rPr>
          <w:rStyle w:val="FootnoteReference"/>
        </w:rPr>
        <w:footnoteReference w:id="25"/>
      </w:r>
      <w:r>
        <w:t xml:space="preserve"> </w:t>
      </w:r>
    </w:p>
    <w:p w14:paraId="1FA4C2C0" w14:textId="37908CB7" w:rsidR="001D027C" w:rsidRDefault="009A06A0" w:rsidP="007E0AFE">
      <w:r>
        <w:t>Each of these instances reportedly leads to unnecessary friction, however</w:t>
      </w:r>
      <w:r w:rsidR="3D85B7F4">
        <w:t>,</w:t>
      </w:r>
      <w:r>
        <w:t xml:space="preserve"> </w:t>
      </w:r>
      <w:r w:rsidR="65F06771">
        <w:t>each</w:t>
      </w:r>
      <w:r>
        <w:t xml:space="preserve"> has a different solution:</w:t>
      </w:r>
    </w:p>
    <w:p w14:paraId="44FEC275" w14:textId="463D0010" w:rsidR="009A06A0" w:rsidRPr="00536884" w:rsidRDefault="004C4372" w:rsidP="007E0AFE">
      <w:pPr>
        <w:pStyle w:val="Bullet1"/>
      </w:pPr>
      <w:r>
        <w:t>consensus</w:t>
      </w:r>
      <w:r w:rsidR="0098029B">
        <w:t xml:space="preserve"> should be reached</w:t>
      </w:r>
      <w:r w:rsidR="00E12762">
        <w:t xml:space="preserve"> regarding</w:t>
      </w:r>
      <w:r w:rsidR="009A06A0" w:rsidRPr="00536884">
        <w:t xml:space="preserve"> safety planning for people accessing the ST</w:t>
      </w:r>
      <w:r w:rsidR="00B32584" w:rsidRPr="00536884">
        <w:t>PP via the ARP</w:t>
      </w:r>
    </w:p>
    <w:p w14:paraId="63144EA1" w14:textId="41E192C6" w:rsidR="00B32584" w:rsidRPr="00536884" w:rsidRDefault="00B32584" w:rsidP="007E0AFE">
      <w:pPr>
        <w:pStyle w:val="Bullet1"/>
      </w:pPr>
      <w:r w:rsidRPr="00536884">
        <w:t>streamlining processes that have built up over time with respect to the STPP and criminal justice system involvement</w:t>
      </w:r>
    </w:p>
    <w:p w14:paraId="0BC08CF1" w14:textId="1169EC3B" w:rsidR="008835D1" w:rsidRDefault="00894B0D" w:rsidP="007E0AFE">
      <w:pPr>
        <w:pStyle w:val="Bullet1"/>
      </w:pPr>
      <w:r w:rsidRPr="00273C47">
        <w:t xml:space="preserve">shifting to a funding allocation model </w:t>
      </w:r>
      <w:r w:rsidR="005959B0" w:rsidRPr="00273C47">
        <w:t xml:space="preserve">for participants </w:t>
      </w:r>
      <w:r w:rsidRPr="00273C47">
        <w:t>bas</w:t>
      </w:r>
      <w:r>
        <w:t xml:space="preserve">ed on tiers of need with clear rules for </w:t>
      </w:r>
      <w:r w:rsidR="00A2215A">
        <w:t>making decision</w:t>
      </w:r>
      <w:r w:rsidR="3C050DC0">
        <w:t>s</w:t>
      </w:r>
      <w:r w:rsidR="00A2215A">
        <w:t>, reduci</w:t>
      </w:r>
      <w:r w:rsidR="0001502A">
        <w:t xml:space="preserve">ng the </w:t>
      </w:r>
      <w:r w:rsidR="00A2215A">
        <w:t>inefficiencies associated with current decision</w:t>
      </w:r>
      <w:r w:rsidR="3F71BCFE">
        <w:t>-</w:t>
      </w:r>
      <w:r w:rsidR="00A2215A">
        <w:t>making.</w:t>
      </w:r>
      <w:r w:rsidR="00900CFA">
        <w:rPr>
          <w:rStyle w:val="FootnoteReference"/>
        </w:rPr>
        <w:footnoteReference w:id="26"/>
      </w:r>
      <w:r w:rsidR="00A2215A">
        <w:t xml:space="preserve"> </w:t>
      </w:r>
    </w:p>
    <w:p w14:paraId="4EA0548A" w14:textId="77777777" w:rsidR="000A4066" w:rsidRPr="000A4066" w:rsidRDefault="000A4066" w:rsidP="000A4066">
      <w:pPr>
        <w:shd w:val="clear" w:color="auto" w:fill="EEF6F6" w:themeFill="background2" w:themeFillTint="33"/>
        <w:rPr>
          <w:rFonts w:asciiTheme="majorHAnsi" w:hAnsiTheme="majorHAnsi"/>
        </w:rPr>
      </w:pPr>
      <w:r w:rsidRPr="000A4066">
        <w:rPr>
          <w:rFonts w:asciiTheme="majorHAnsi" w:hAnsiTheme="majorHAnsi"/>
        </w:rPr>
        <w:t>Cross cutting learning</w:t>
      </w:r>
    </w:p>
    <w:p w14:paraId="5DD71A65" w14:textId="77D822BF" w:rsidR="000A4066" w:rsidRDefault="000A4066" w:rsidP="000A4066">
      <w:pPr>
        <w:shd w:val="clear" w:color="auto" w:fill="EEF6F6" w:themeFill="background2" w:themeFillTint="33"/>
      </w:pPr>
      <w:r>
        <w:t>DSS funds numerous programs and grants involving delivery of case work to vulnerable people. A norms database of cost to deliver would support the department to better monitor efficiency on an ongoing basis.</w:t>
      </w:r>
    </w:p>
    <w:p w14:paraId="12B78CD2" w14:textId="258E5A65" w:rsidR="00AA51CC" w:rsidRDefault="000A58AD" w:rsidP="007E0AFE">
      <w:pPr>
        <w:pStyle w:val="Heading2"/>
      </w:pPr>
      <w:bookmarkStart w:id="41" w:name="_Ref200045711"/>
      <w:bookmarkStart w:id="42" w:name="_Toc201908116"/>
      <w:r>
        <w:t xml:space="preserve">3. </w:t>
      </w:r>
      <w:r w:rsidR="003D0872">
        <w:t>STPP</w:t>
      </w:r>
      <w:r w:rsidR="00AA51CC">
        <w:t xml:space="preserve"> - </w:t>
      </w:r>
      <w:r w:rsidR="00AA51CC" w:rsidRPr="00B94483">
        <w:t>Appropriateness</w:t>
      </w:r>
      <w:bookmarkEnd w:id="41"/>
      <w:bookmarkEnd w:id="42"/>
    </w:p>
    <w:p w14:paraId="0CE4ACFC" w14:textId="612EA1B7" w:rsidR="00173C59" w:rsidRDefault="00173C59" w:rsidP="007E0AFE">
      <w:pPr>
        <w:pStyle w:val="Heading3"/>
      </w:pPr>
      <w:bookmarkStart w:id="43" w:name="_Toc198367937"/>
      <w:bookmarkStart w:id="44" w:name="_Toc201908117"/>
      <w:r>
        <w:t xml:space="preserve">KEQ3. </w:t>
      </w:r>
      <w:r w:rsidR="00A96F63">
        <w:t xml:space="preserve">Is the design of the </w:t>
      </w:r>
      <w:r w:rsidR="003D0872">
        <w:t>STPP</w:t>
      </w:r>
      <w:r w:rsidR="00A96F63">
        <w:t xml:space="preserve"> appropriate</w:t>
      </w:r>
      <w:r w:rsidR="00F11056">
        <w:t>ly aligned with best practice?</w:t>
      </w:r>
      <w:bookmarkEnd w:id="43"/>
      <w:bookmarkEnd w:id="44"/>
      <w:r w:rsidR="00F11056">
        <w:t xml:space="preserve">  </w:t>
      </w:r>
    </w:p>
    <w:p w14:paraId="3BCD06BB" w14:textId="77777777" w:rsidR="00173C59" w:rsidRPr="00450166" w:rsidRDefault="00173C59" w:rsidP="007E0AFE">
      <w:pPr>
        <w:rPr>
          <w:rFonts w:asciiTheme="majorHAnsi" w:hAnsiTheme="majorHAnsi"/>
          <w:color w:val="auto"/>
          <w:sz w:val="22"/>
        </w:rPr>
      </w:pPr>
      <w:r w:rsidRPr="00450166">
        <w:rPr>
          <w:rFonts w:asciiTheme="majorHAnsi" w:hAnsiTheme="majorHAnsi"/>
          <w:color w:val="auto"/>
          <w:sz w:val="22"/>
        </w:rPr>
        <w:t>Sub-questions:</w:t>
      </w:r>
    </w:p>
    <w:p w14:paraId="46C54F22" w14:textId="77777777" w:rsidR="00173C59" w:rsidRDefault="00173C59" w:rsidP="007E0AFE">
      <w:r w:rsidRPr="00A92A81">
        <w:rPr>
          <w:rFonts w:asciiTheme="majorHAnsi" w:hAnsiTheme="majorHAnsi"/>
        </w:rPr>
        <w:t>KEQ</w:t>
      </w:r>
      <w:r>
        <w:rPr>
          <w:rFonts w:asciiTheme="majorHAnsi" w:hAnsiTheme="majorHAnsi"/>
        </w:rPr>
        <w:t>3</w:t>
      </w:r>
      <w:r w:rsidRPr="00A92A81">
        <w:rPr>
          <w:rFonts w:asciiTheme="majorHAnsi" w:hAnsiTheme="majorHAnsi"/>
        </w:rPr>
        <w:t>a.</w:t>
      </w:r>
      <w:r>
        <w:t xml:space="preserve"> </w:t>
      </w:r>
      <w:r w:rsidRPr="00E779CC">
        <w:t xml:space="preserve">To what extent is the STPP aligned with victim support principles under the </w:t>
      </w:r>
      <w:r w:rsidRPr="7C8F3A14">
        <w:rPr>
          <w:i/>
        </w:rPr>
        <w:t>National Action Plan to Combat Human Trafficking and Slavery 2020-25</w:t>
      </w:r>
      <w:r w:rsidRPr="00E779CC">
        <w:t>?</w:t>
      </w:r>
    </w:p>
    <w:p w14:paraId="52FB93D4" w14:textId="5D4093D7" w:rsidR="00173C59" w:rsidRDefault="00173C59" w:rsidP="007E0AFE">
      <w:r w:rsidRPr="00A92A81">
        <w:rPr>
          <w:rFonts w:asciiTheme="majorHAnsi" w:hAnsiTheme="majorHAnsi"/>
        </w:rPr>
        <w:t>KEQ</w:t>
      </w:r>
      <w:r>
        <w:rPr>
          <w:rFonts w:asciiTheme="majorHAnsi" w:hAnsiTheme="majorHAnsi"/>
        </w:rPr>
        <w:t>3</w:t>
      </w:r>
      <w:r w:rsidRPr="00A92A81">
        <w:rPr>
          <w:rFonts w:asciiTheme="majorHAnsi" w:hAnsiTheme="majorHAnsi"/>
        </w:rPr>
        <w:t>b.</w:t>
      </w:r>
      <w:r>
        <w:t xml:space="preserve"> </w:t>
      </w:r>
      <w:r w:rsidRPr="00E779CC">
        <w:t>To what extent is the STPP consistent with the international principles and evidence regarding support for people with experience of HTMS and international programs?</w:t>
      </w:r>
    </w:p>
    <w:p w14:paraId="52FB45AA" w14:textId="30FFD561" w:rsidR="00173C59" w:rsidRDefault="00654E65" w:rsidP="007E0AFE">
      <w:pPr>
        <w:pStyle w:val="Heading3"/>
      </w:pPr>
      <w:bookmarkStart w:id="45" w:name="_Toc198367938"/>
      <w:bookmarkStart w:id="46" w:name="_Toc201908118"/>
      <w:r>
        <w:lastRenderedPageBreak/>
        <w:t>Summary findings</w:t>
      </w:r>
      <w:bookmarkEnd w:id="45"/>
      <w:bookmarkEnd w:id="46"/>
    </w:p>
    <w:p w14:paraId="3A751042" w14:textId="1D6AAD4B" w:rsidR="00690E06" w:rsidRPr="00293024" w:rsidRDefault="00654E65" w:rsidP="007E0AFE">
      <w:pPr>
        <w:pStyle w:val="Bullet1"/>
        <w:numPr>
          <w:ilvl w:val="0"/>
          <w:numId w:val="0"/>
        </w:numPr>
      </w:pPr>
      <w:r w:rsidRPr="009708CE">
        <w:t>The STPP is only partly aligned with the victim support principles in the National Action Plan</w:t>
      </w:r>
      <w:r w:rsidR="718C2638">
        <w:t>.</w:t>
      </w:r>
      <w:r w:rsidRPr="00293024">
        <w:t xml:space="preserve"> Change is needed across STPP operation and design, and to the broader HTMS system</w:t>
      </w:r>
      <w:r w:rsidR="00E97F04">
        <w:t xml:space="preserve"> to support better alignment</w:t>
      </w:r>
      <w:r w:rsidRPr="00293024">
        <w:t xml:space="preserve">. </w:t>
      </w:r>
      <w:r w:rsidR="00690E06" w:rsidRPr="00293024">
        <w:t>The STPP is partly aligned with international</w:t>
      </w:r>
      <w:r w:rsidR="00880747">
        <w:t xml:space="preserve"> </w:t>
      </w:r>
      <w:r w:rsidR="00760B7C">
        <w:t>good</w:t>
      </w:r>
      <w:r w:rsidR="00690E06" w:rsidRPr="00293024">
        <w:t xml:space="preserve"> practice</w:t>
      </w:r>
      <w:r w:rsidR="00201241" w:rsidRPr="00293024">
        <w:t xml:space="preserve">. </w:t>
      </w:r>
      <w:r w:rsidR="00880747" w:rsidRPr="00293024">
        <w:t>Australia</w:t>
      </w:r>
      <w:r w:rsidR="00690E06" w:rsidRPr="00293024">
        <w:t xml:space="preserve"> </w:t>
      </w:r>
      <w:r w:rsidR="00424F21">
        <w:t>does not perform as well as some other countries with respect to the requirement</w:t>
      </w:r>
      <w:r w:rsidR="00690E06" w:rsidRPr="00293024">
        <w:t xml:space="preserve"> for criminal justice involvement </w:t>
      </w:r>
      <w:r w:rsidR="00DD3B40">
        <w:t xml:space="preserve">to receive </w:t>
      </w:r>
      <w:r w:rsidR="00E068DF">
        <w:t xml:space="preserve">medium-long </w:t>
      </w:r>
      <w:r w:rsidR="00DD3B40">
        <w:t>term support</w:t>
      </w:r>
      <w:r w:rsidR="00424F21">
        <w:t xml:space="preserve"> and a</w:t>
      </w:r>
      <w:r w:rsidR="00424F21" w:rsidRPr="00293024">
        <w:t xml:space="preserve"> </w:t>
      </w:r>
      <w:r w:rsidR="00690E06" w:rsidRPr="00293024">
        <w:t>coordinated approach</w:t>
      </w:r>
      <w:r w:rsidR="00424F21">
        <w:t xml:space="preserve"> to addressing HTMS experiences. (</w:t>
      </w:r>
      <w:r w:rsidR="00690E06" w:rsidRPr="00293024">
        <w:t>The UK</w:t>
      </w:r>
      <w:r w:rsidR="00424F21">
        <w:t xml:space="preserve">, for instance </w:t>
      </w:r>
      <w:r w:rsidR="00690E06" w:rsidRPr="00293024">
        <w:t>offers a ‘be</w:t>
      </w:r>
      <w:r w:rsidR="00424F21">
        <w:t>tter</w:t>
      </w:r>
      <w:r w:rsidR="00690E06" w:rsidRPr="00293024">
        <w:t xml:space="preserve"> practice’ model for person-centred design.</w:t>
      </w:r>
      <w:r w:rsidR="00424F21">
        <w:t>)</w:t>
      </w:r>
    </w:p>
    <w:p w14:paraId="130FCF41" w14:textId="73EC703B" w:rsidR="003C5038" w:rsidRDefault="00293024" w:rsidP="007E0AFE">
      <w:pPr>
        <w:pStyle w:val="Bullet1"/>
        <w:numPr>
          <w:ilvl w:val="0"/>
          <w:numId w:val="0"/>
        </w:numPr>
      </w:pPr>
      <w:r w:rsidRPr="00293024">
        <w:t xml:space="preserve">Overall, while the STPP demonstrates positive evolution and partial alignment with domestic and international </w:t>
      </w:r>
      <w:r w:rsidR="00760B7C">
        <w:t>good practice</w:t>
      </w:r>
      <w:r w:rsidRPr="00293024">
        <w:t>, further policy and structural reform is needed for full consistency with Australia’s stated commitments to victim-centred, trauma-informed and rights-based approaches.</w:t>
      </w:r>
      <w:r w:rsidR="003C5038">
        <w:t xml:space="preserve"> </w:t>
      </w:r>
      <w:r w:rsidRPr="00293024">
        <w:t>T</w:t>
      </w:r>
      <w:r w:rsidR="00424F21">
        <w:t>h</w:t>
      </w:r>
      <w:r w:rsidRPr="00293024">
        <w:t xml:space="preserve">e evaluation </w:t>
      </w:r>
      <w:r w:rsidR="003C5038">
        <w:t>has</w:t>
      </w:r>
      <w:r w:rsidRPr="00293024">
        <w:t xml:space="preserve"> identified several opportunities</w:t>
      </w:r>
      <w:r w:rsidR="00D11EE2">
        <w:t xml:space="preserve"> </w:t>
      </w:r>
      <w:r w:rsidR="003C5038">
        <w:t>for strengthening:</w:t>
      </w:r>
    </w:p>
    <w:p w14:paraId="23E7B54C" w14:textId="503D8332" w:rsidR="00293024" w:rsidRPr="00293024" w:rsidRDefault="00293024" w:rsidP="007E0AFE">
      <w:pPr>
        <w:pStyle w:val="Bullet1"/>
      </w:pPr>
      <w:r w:rsidRPr="00293024">
        <w:t>redefin</w:t>
      </w:r>
      <w:r w:rsidR="0047736A">
        <w:t>ing</w:t>
      </w:r>
      <w:r w:rsidRPr="00293024">
        <w:t xml:space="preserve"> and operationalis</w:t>
      </w:r>
      <w:r w:rsidR="0047736A">
        <w:t>ing</w:t>
      </w:r>
      <w:r w:rsidRPr="00293024">
        <w:t xml:space="preserve"> victim support principles in the National Action Plan to support clearer alignment and accountability</w:t>
      </w:r>
    </w:p>
    <w:p w14:paraId="0B22F6CF" w14:textId="58C85BE0" w:rsidR="00293024" w:rsidRPr="00293024" w:rsidRDefault="00293024" w:rsidP="007E0AFE">
      <w:pPr>
        <w:pStyle w:val="Bullet1"/>
      </w:pPr>
      <w:r w:rsidRPr="00293024">
        <w:t>reform</w:t>
      </w:r>
      <w:r w:rsidR="003C5038">
        <w:t>ing</w:t>
      </w:r>
      <w:r w:rsidRPr="00293024">
        <w:t xml:space="preserve"> STPP eligibility criteria and support duration to reflect a participant-centred needs-based model</w:t>
      </w:r>
    </w:p>
    <w:p w14:paraId="576320A4" w14:textId="1B49F0EE" w:rsidR="00293024" w:rsidRPr="006C2BBF" w:rsidRDefault="0047736A" w:rsidP="007E0AFE">
      <w:pPr>
        <w:pStyle w:val="Bullet1"/>
      </w:pPr>
      <w:r w:rsidRPr="0047736A">
        <w:t>remov</w:t>
      </w:r>
      <w:r>
        <w:t>ing</w:t>
      </w:r>
      <w:r w:rsidRPr="0047736A">
        <w:t xml:space="preserve"> reliance</w:t>
      </w:r>
      <w:r w:rsidR="00293024" w:rsidRPr="006C2BBF">
        <w:t xml:space="preserve"> on criminal justice cooperation for ongoing support and visa access</w:t>
      </w:r>
    </w:p>
    <w:p w14:paraId="10E80B53" w14:textId="34106635" w:rsidR="00293024" w:rsidRPr="006C2BBF" w:rsidRDefault="00293024" w:rsidP="007E0AFE">
      <w:pPr>
        <w:pStyle w:val="Bullet1"/>
      </w:pPr>
      <w:r w:rsidRPr="00293024">
        <w:t>address</w:t>
      </w:r>
      <w:r w:rsidR="0047736A">
        <w:t>ing</w:t>
      </w:r>
      <w:r w:rsidRPr="00293024">
        <w:t xml:space="preserve"> gaps in the broader service system, including </w:t>
      </w:r>
      <w:r w:rsidR="00106AFC">
        <w:t>lack of</w:t>
      </w:r>
      <w:r w:rsidRPr="00293024">
        <w:t xml:space="preserve"> child-specific services, long-term case management, and recovery-oriented care</w:t>
      </w:r>
      <w:r w:rsidR="00106AFC">
        <w:t xml:space="preserve"> (service availability) as well </w:t>
      </w:r>
      <w:r w:rsidR="00106AFC" w:rsidRPr="006C2BBF">
        <w:t xml:space="preserve">as barriers due to the current visa framework </w:t>
      </w:r>
    </w:p>
    <w:p w14:paraId="3107172A" w14:textId="701D7FAC" w:rsidR="00293024" w:rsidRPr="00293024" w:rsidRDefault="00293024" w:rsidP="007E0AFE">
      <w:pPr>
        <w:pStyle w:val="Bullet1"/>
      </w:pPr>
      <w:r w:rsidRPr="00293024">
        <w:t>embed</w:t>
      </w:r>
      <w:r w:rsidR="0047736A">
        <w:t>ding</w:t>
      </w:r>
      <w:r w:rsidRPr="00293024">
        <w:t xml:space="preserve"> </w:t>
      </w:r>
      <w:r w:rsidR="00606F29">
        <w:t>the</w:t>
      </w:r>
      <w:r w:rsidRPr="00293024">
        <w:t xml:space="preserve"> voice</w:t>
      </w:r>
      <w:r w:rsidR="00606F29">
        <w:t>s of people with HTMS experiences</w:t>
      </w:r>
      <w:r w:rsidRPr="00293024">
        <w:t xml:space="preserve"> more directly in both program delivery and system design.</w:t>
      </w:r>
    </w:p>
    <w:p w14:paraId="327E4118" w14:textId="32FD1F3A" w:rsidR="00C27E6C" w:rsidRDefault="00C27E6C" w:rsidP="007E0AFE">
      <w:pPr>
        <w:pStyle w:val="Caption"/>
      </w:pPr>
      <w:r>
        <w:t xml:space="preserve">Figure </w:t>
      </w:r>
      <w:r>
        <w:fldChar w:fldCharType="begin"/>
      </w:r>
      <w:r>
        <w:instrText xml:space="preserve"> SEQ Figure \* ARABIC </w:instrText>
      </w:r>
      <w:r>
        <w:fldChar w:fldCharType="separate"/>
      </w:r>
      <w:r w:rsidR="00D9323B">
        <w:rPr>
          <w:noProof/>
        </w:rPr>
        <w:t>6</w:t>
      </w:r>
      <w:r>
        <w:rPr>
          <w:noProof/>
        </w:rPr>
        <w:fldChar w:fldCharType="end"/>
      </w:r>
      <w:r>
        <w:t xml:space="preserve">: </w:t>
      </w:r>
      <w:r w:rsidRPr="00765200">
        <w:t>Internal and external opportunities for improvement</w:t>
      </w:r>
    </w:p>
    <w:p w14:paraId="0E4453DE" w14:textId="4727D633" w:rsidR="00362B0A" w:rsidRDefault="00362B0A" w:rsidP="007E0AFE">
      <w:pPr>
        <w:rPr>
          <w:noProof/>
        </w:rPr>
      </w:pPr>
      <w:r>
        <w:rPr>
          <w:noProof/>
        </w:rPr>
        <w:drawing>
          <wp:inline distT="0" distB="0" distL="0" distR="0" wp14:anchorId="61190DEE" wp14:editId="7C106F23">
            <wp:extent cx="3177540" cy="3177540"/>
            <wp:effectExtent l="0" t="0" r="3810" b="3810"/>
            <wp:docPr id="1626965951" name="Picture 93" descr="This is a concentric circles diagram that outlines the internal and external opportunities for improvement.&#10;Inner circle: STTP program as designed mostly functions well, some opportunities for improvement - changes make for low to medium impact.&#10;Middle circle: STTP program design - requires adjustment to align with National Action Plan principles – changes for medium impact.&#10;Outer circle: Broader ecosystem – where changes are most likely to have a higher impact.&#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65951" name="Picture 93" descr="This is a concentric circles diagram that outlines the internal and external opportunities for improvement.&#10;Inner circle: STTP program as designed mostly functions well, some opportunities for improvement - changes make for low to medium impact.&#10;Middle circle: STTP program design - requires adjustment to align with National Action Plan principles – changes for medium impact.&#10;Outer circle: Broader ecosystem – where changes are most likely to have a higher impact.&#10;&#10;">
                      <a:extLst>
                        <a:ext uri="{C183D7F6-B498-43B3-948B-1728B52AA6E4}">
                          <adec:decorative xmlns:adec="http://schemas.microsoft.com/office/drawing/2017/decorative" val="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7822" cy="3177822"/>
                    </a:xfrm>
                    <a:prstGeom prst="rect">
                      <a:avLst/>
                    </a:prstGeom>
                    <a:noFill/>
                  </pic:spPr>
                </pic:pic>
              </a:graphicData>
            </a:graphic>
          </wp:inline>
        </w:drawing>
      </w:r>
    </w:p>
    <w:p w14:paraId="6A5E4A21" w14:textId="53D4300D" w:rsidR="00293024" w:rsidRDefault="00690E06" w:rsidP="007E0AFE">
      <w:r w:rsidRPr="00293024">
        <w:t>Whilst adjusting program delivery is likely to improve performance against the principles, d</w:t>
      </w:r>
      <w:r w:rsidR="00654E65" w:rsidRPr="00293024">
        <w:t>esign and system environmental levers are likely to achieve most change.</w:t>
      </w:r>
      <w:r w:rsidRPr="00293024">
        <w:t xml:space="preserve"> However, magnitude of change impact also reflects the ease and investment required to achieve this. </w:t>
      </w:r>
      <w:r w:rsidR="00654E65" w:rsidRPr="00293024">
        <w:t xml:space="preserve"> </w:t>
      </w:r>
    </w:p>
    <w:p w14:paraId="35C0DF48" w14:textId="177605EE" w:rsidR="005D3143" w:rsidRPr="00293024" w:rsidRDefault="00293024" w:rsidP="007E0AFE">
      <w:r w:rsidRPr="00293024">
        <w:t xml:space="preserve">This evaluation has suggested that a co-design process with government and </w:t>
      </w:r>
      <w:r w:rsidR="00606F29">
        <w:t>people with HTMS experiences</w:t>
      </w:r>
      <w:r w:rsidRPr="00293024">
        <w:t xml:space="preserve"> is required to resolve the issues. This should consider other person-centred models of support (for instance, offering a ‘budget over time’ rather than constraining type of spending or timeframe for spending, or a triage model that supports more funding being directed to those in need). </w:t>
      </w:r>
    </w:p>
    <w:p w14:paraId="0BC73986" w14:textId="19207B43" w:rsidR="00AA51CC" w:rsidRPr="007842F4" w:rsidRDefault="009708CE" w:rsidP="007E0AFE">
      <w:pPr>
        <w:pStyle w:val="Heading3"/>
      </w:pPr>
      <w:bookmarkStart w:id="47" w:name="_Toc198367939"/>
      <w:bookmarkStart w:id="48" w:name="_Toc201908119"/>
      <w:r>
        <w:lastRenderedPageBreak/>
        <w:t>Findings</w:t>
      </w:r>
      <w:bookmarkEnd w:id="47"/>
      <w:bookmarkEnd w:id="48"/>
      <w:r>
        <w:t xml:space="preserve"> </w:t>
      </w:r>
    </w:p>
    <w:p w14:paraId="6139601D" w14:textId="509A7A39" w:rsidR="00AA51CC" w:rsidRDefault="00AA51CC" w:rsidP="007E0AFE">
      <w:pPr>
        <w:pStyle w:val="Heading4"/>
      </w:pPr>
      <w:bookmarkStart w:id="49" w:name="_Ref200047029"/>
      <w:r>
        <w:t>K</w:t>
      </w:r>
      <w:r w:rsidRPr="00F46BAE">
        <w:t>EQ</w:t>
      </w:r>
      <w:r w:rsidR="00F46BAE" w:rsidRPr="00F46BAE">
        <w:t>3</w:t>
      </w:r>
      <w:r w:rsidRPr="00F46BAE">
        <w:t>a</w:t>
      </w:r>
      <w:r w:rsidR="007A4D08">
        <w:t xml:space="preserve">. </w:t>
      </w:r>
      <w:r w:rsidR="007B2E2E" w:rsidRPr="00E779CC">
        <w:t xml:space="preserve">To what extent is the </w:t>
      </w:r>
      <w:r w:rsidR="003D0872">
        <w:t>STPP</w:t>
      </w:r>
      <w:r w:rsidR="007B2E2E" w:rsidRPr="00E779CC">
        <w:t xml:space="preserve"> aligned with victim support principles under the </w:t>
      </w:r>
      <w:r w:rsidR="007B2E2E" w:rsidRPr="7C8F3A14">
        <w:rPr>
          <w:i/>
        </w:rPr>
        <w:t>National Action Plan to Combat Human Trafficking and Slavery 2020-25</w:t>
      </w:r>
      <w:r w:rsidR="007B2E2E" w:rsidRPr="00E779CC">
        <w:t>?</w:t>
      </w:r>
      <w:r w:rsidR="007029CA" w:rsidRPr="0053650C">
        <w:rPr>
          <w:rStyle w:val="FootnoteReference"/>
        </w:rPr>
        <w:footnoteReference w:id="27"/>
      </w:r>
      <w:bookmarkEnd w:id="49"/>
    </w:p>
    <w:p w14:paraId="5AFAD3E6" w14:textId="4F2993B4" w:rsidR="001C2AEB" w:rsidRDefault="001C2AEB" w:rsidP="007E0AFE">
      <w:r w:rsidRPr="007842F4">
        <w:t>The STPP model was originally developed to support criminal justice outcomes and has been adapted over time to better meet the needs of people with HTMS experiences. Changes have included developing</w:t>
      </w:r>
      <w:r w:rsidRPr="00AF70E8">
        <w:t xml:space="preserve"> </w:t>
      </w:r>
      <w:r w:rsidR="00147B79">
        <w:t>the</w:t>
      </w:r>
      <w:r w:rsidR="00147B79" w:rsidRPr="00AF70E8">
        <w:t xml:space="preserve"> </w:t>
      </w:r>
      <w:r>
        <w:t xml:space="preserve">ARP </w:t>
      </w:r>
      <w:r w:rsidRPr="00AF70E8">
        <w:t>and increasing the time allowed on the Intensive Support Stream</w:t>
      </w:r>
      <w:r>
        <w:t xml:space="preserve"> without criminal justice involvement, and introduction of a separate forced marriage program reflecting the specialist needs of this cohort. </w:t>
      </w:r>
    </w:p>
    <w:p w14:paraId="4D8EA20B" w14:textId="77777777" w:rsidR="009E34AA" w:rsidRDefault="009E34AA" w:rsidP="007E0AFE">
      <w:r>
        <w:t xml:space="preserve">However, when judged against the guiding principles laid out in the </w:t>
      </w:r>
      <w:r w:rsidRPr="00F37DA6">
        <w:rPr>
          <w:i/>
          <w:iCs/>
        </w:rPr>
        <w:t xml:space="preserve">National Action Plan to Combat </w:t>
      </w:r>
      <w:r w:rsidRPr="7367959F">
        <w:rPr>
          <w:i/>
          <w:iCs/>
        </w:rPr>
        <w:t>Human Trafficking and Modern</w:t>
      </w:r>
      <w:r w:rsidRPr="00F37DA6">
        <w:rPr>
          <w:i/>
          <w:iCs/>
        </w:rPr>
        <w:t xml:space="preserve"> Slavery 2020–2</w:t>
      </w:r>
      <w:r>
        <w:rPr>
          <w:i/>
          <w:iCs/>
        </w:rPr>
        <w:t>5</w:t>
      </w:r>
      <w:r>
        <w:t>, the program achieves low-medium alignment.</w:t>
      </w:r>
      <w:r w:rsidRPr="00D05CCF">
        <w:rPr>
          <w:rStyle w:val="FootnoteReference"/>
        </w:rPr>
        <w:t xml:space="preserve"> </w:t>
      </w:r>
      <w:r>
        <w:rPr>
          <w:rStyle w:val="FootnoteReference"/>
        </w:rPr>
        <w:footnoteReference w:id="28"/>
      </w:r>
      <w:r>
        <w:t xml:space="preserve"> This assessment reflects:</w:t>
      </w:r>
    </w:p>
    <w:p w14:paraId="73EB4CCB" w14:textId="77777777" w:rsidR="009E34AA" w:rsidRDefault="009E34AA" w:rsidP="007E0AFE">
      <w:pPr>
        <w:pStyle w:val="Bullet1"/>
      </w:pPr>
      <w:r>
        <w:t>gaps in the broader service system</w:t>
      </w:r>
    </w:p>
    <w:p w14:paraId="24EE0EEB" w14:textId="77777777" w:rsidR="009E34AA" w:rsidRDefault="009E34AA" w:rsidP="007E0AFE">
      <w:pPr>
        <w:pStyle w:val="Bullet1"/>
      </w:pPr>
      <w:r>
        <w:t xml:space="preserve">opportunities to improve program design (especially with respect to eligibility and timeframes for support).  </w:t>
      </w:r>
    </w:p>
    <w:p w14:paraId="5BBF1AEC" w14:textId="35948BC1" w:rsidR="009E34AA" w:rsidRDefault="009E34AA" w:rsidP="007E0AFE">
      <w:r>
        <w:t>The section below addresses the extent to which the STPP is aligned to each principle. The following assessment scale was used:</w:t>
      </w:r>
    </w:p>
    <w:p w14:paraId="058AA140" w14:textId="4D55BEA0" w:rsidR="00B15858" w:rsidRDefault="00B15858" w:rsidP="00B15858">
      <w:pPr>
        <w:pStyle w:val="Caption"/>
      </w:pPr>
      <w:r>
        <w:t xml:space="preserve">Table </w:t>
      </w:r>
      <w:r>
        <w:fldChar w:fldCharType="begin"/>
      </w:r>
      <w:r>
        <w:instrText xml:space="preserve"> SEQ Table \* ARABIC </w:instrText>
      </w:r>
      <w:r>
        <w:fldChar w:fldCharType="separate"/>
      </w:r>
      <w:r w:rsidR="00D9323B">
        <w:rPr>
          <w:noProof/>
        </w:rPr>
        <w:t>31</w:t>
      </w:r>
      <w:r>
        <w:fldChar w:fldCharType="end"/>
      </w:r>
      <w:r>
        <w:t>.</w:t>
      </w:r>
    </w:p>
    <w:tbl>
      <w:tblPr>
        <w:tblStyle w:val="WTTable2"/>
        <w:tblW w:w="0" w:type="auto"/>
        <w:tblLook w:val="04A0" w:firstRow="1" w:lastRow="0" w:firstColumn="1" w:lastColumn="0" w:noHBand="0" w:noVBand="1"/>
      </w:tblPr>
      <w:tblGrid>
        <w:gridCol w:w="3489"/>
        <w:gridCol w:w="3489"/>
        <w:gridCol w:w="3489"/>
      </w:tblGrid>
      <w:tr w:rsidR="009E34AA" w14:paraId="42E01345" w14:textId="77777777" w:rsidTr="00284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14:paraId="4D78A97F" w14:textId="77777777" w:rsidR="009E34AA" w:rsidRPr="006B0283" w:rsidRDefault="009E34AA" w:rsidP="007E0AFE">
            <w:pPr>
              <w:rPr>
                <w:color w:val="FFFFFF" w:themeColor="background1"/>
              </w:rPr>
            </w:pPr>
            <w:r w:rsidRPr="006B0283">
              <w:rPr>
                <w:b/>
                <w:color w:val="FFFFFF" w:themeColor="background1"/>
              </w:rPr>
              <w:t>Low alignment</w:t>
            </w:r>
          </w:p>
        </w:tc>
        <w:tc>
          <w:tcPr>
            <w:tcW w:w="3489" w:type="dxa"/>
          </w:tcPr>
          <w:p w14:paraId="290B5E35" w14:textId="77777777" w:rsidR="009E34AA" w:rsidRPr="006B0283" w:rsidRDefault="009E34AA" w:rsidP="007E0AF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B0283">
              <w:rPr>
                <w:rFonts w:asciiTheme="majorHAnsi" w:hAnsiTheme="majorHAnsi"/>
                <w:color w:val="FFFFFF" w:themeColor="background1"/>
              </w:rPr>
              <w:t>Medium alignment</w:t>
            </w:r>
          </w:p>
        </w:tc>
        <w:tc>
          <w:tcPr>
            <w:tcW w:w="3489" w:type="dxa"/>
          </w:tcPr>
          <w:p w14:paraId="3429CE67" w14:textId="77777777" w:rsidR="009E34AA" w:rsidRPr="006B0283" w:rsidRDefault="009E34AA" w:rsidP="007E0AF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B0283">
              <w:rPr>
                <w:rFonts w:asciiTheme="majorHAnsi" w:hAnsiTheme="majorHAnsi"/>
                <w:color w:val="FFFFFF" w:themeColor="background1"/>
              </w:rPr>
              <w:t>High alignment</w:t>
            </w:r>
          </w:p>
        </w:tc>
      </w:tr>
      <w:tr w:rsidR="009E34AA" w14:paraId="7A9AC68A" w14:textId="77777777" w:rsidTr="00284978">
        <w:trPr>
          <w:cantSplit/>
        </w:trPr>
        <w:tc>
          <w:tcPr>
            <w:cnfStyle w:val="001000000000" w:firstRow="0" w:lastRow="0" w:firstColumn="1" w:lastColumn="0" w:oddVBand="0" w:evenVBand="0" w:oddHBand="0" w:evenHBand="0" w:firstRowFirstColumn="0" w:firstRowLastColumn="0" w:lastRowFirstColumn="0" w:lastRowLastColumn="0"/>
            <w:tcW w:w="3489" w:type="dxa"/>
          </w:tcPr>
          <w:p w14:paraId="29500D58" w14:textId="77777777" w:rsidR="009E34AA" w:rsidRPr="001E72BA" w:rsidRDefault="009E34AA" w:rsidP="007E0AFE">
            <w:pPr>
              <w:rPr>
                <w:rFonts w:asciiTheme="minorHAnsi" w:hAnsiTheme="minorHAnsi"/>
                <w:sz w:val="18"/>
                <w:szCs w:val="20"/>
              </w:rPr>
            </w:pPr>
            <w:r w:rsidRPr="001E72BA">
              <w:rPr>
                <w:rFonts w:asciiTheme="minorHAnsi" w:hAnsiTheme="minorHAnsi"/>
                <w:sz w:val="18"/>
                <w:szCs w:val="20"/>
              </w:rPr>
              <w:t>Indicates significant gaps or inconsistencies between the STPP and the principle. The program may address the principle in a limited way or not at all. There may be substantial barriers or challenges hindering alignment. The program likely requires significant changes to achieve better alignment.</w:t>
            </w:r>
          </w:p>
        </w:tc>
        <w:tc>
          <w:tcPr>
            <w:tcW w:w="3489" w:type="dxa"/>
          </w:tcPr>
          <w:p w14:paraId="7F1CA32F" w14:textId="77777777" w:rsidR="009E34AA" w:rsidRPr="001E72BA" w:rsidRDefault="009E34AA" w:rsidP="007E0AFE">
            <w:pPr>
              <w:cnfStyle w:val="000000000000" w:firstRow="0" w:lastRow="0" w:firstColumn="0" w:lastColumn="0" w:oddVBand="0" w:evenVBand="0" w:oddHBand="0" w:evenHBand="0" w:firstRowFirstColumn="0" w:firstRowLastColumn="0" w:lastRowFirstColumn="0" w:lastRowLastColumn="0"/>
              <w:rPr>
                <w:sz w:val="18"/>
                <w:szCs w:val="20"/>
              </w:rPr>
            </w:pPr>
            <w:r w:rsidRPr="001E72BA">
              <w:rPr>
                <w:sz w:val="18"/>
                <w:szCs w:val="20"/>
              </w:rPr>
              <w:t>Suggests partial alignment with the principle. The program addresses the principle to some extent, but there are notable gaps or areas for improvement. There may be a mix of strengths and weaknesses in how the program reflects the principle. Moderate changes or adjustments are likely needed to enhance alignment.</w:t>
            </w:r>
          </w:p>
        </w:tc>
        <w:tc>
          <w:tcPr>
            <w:tcW w:w="3489" w:type="dxa"/>
          </w:tcPr>
          <w:p w14:paraId="08AD4773" w14:textId="77777777" w:rsidR="009E34AA" w:rsidRPr="001E72BA" w:rsidRDefault="009E34AA" w:rsidP="007E0AFE">
            <w:pPr>
              <w:cnfStyle w:val="000000000000" w:firstRow="0" w:lastRow="0" w:firstColumn="0" w:lastColumn="0" w:oddVBand="0" w:evenVBand="0" w:oddHBand="0" w:evenHBand="0" w:firstRowFirstColumn="0" w:firstRowLastColumn="0" w:lastRowFirstColumn="0" w:lastRowLastColumn="0"/>
              <w:rPr>
                <w:sz w:val="18"/>
                <w:szCs w:val="20"/>
              </w:rPr>
            </w:pPr>
            <w:r w:rsidRPr="001E72BA">
              <w:rPr>
                <w:sz w:val="18"/>
                <w:szCs w:val="20"/>
              </w:rPr>
              <w:t>Indicates strong alignment between the STPP and the principle. The program effectively addresses the principle in a comprehensive and consistent manner. There may be minor gaps or areas for refinement, but overall, the program demonstrates a strong implementation of the principle.</w:t>
            </w:r>
          </w:p>
        </w:tc>
      </w:tr>
    </w:tbl>
    <w:p w14:paraId="1EBF8C14" w14:textId="44A9686D" w:rsidR="009E34AA" w:rsidRDefault="009E34AA" w:rsidP="007E0AFE">
      <w:r>
        <w:t>When reading this, it should be remembered that the STPP is only one aspect of Australia’s response to HTMS, and that this section addresses the STPP, rather than Australia’s overall effort.</w:t>
      </w:r>
    </w:p>
    <w:p w14:paraId="53F9E925" w14:textId="53151550" w:rsidR="00F11056" w:rsidRDefault="00F11056" w:rsidP="007E0AFE">
      <w:pPr>
        <w:pStyle w:val="Caption"/>
      </w:pPr>
      <w:r>
        <w:lastRenderedPageBreak/>
        <w:t xml:space="preserve">Table </w:t>
      </w:r>
      <w:r w:rsidR="00FD1F67">
        <w:fldChar w:fldCharType="begin"/>
      </w:r>
      <w:r w:rsidR="00FD1F67">
        <w:instrText xml:space="preserve"> SEQ Table \* ARABIC </w:instrText>
      </w:r>
      <w:r w:rsidR="00FD1F67">
        <w:fldChar w:fldCharType="separate"/>
      </w:r>
      <w:r w:rsidR="00D9323B">
        <w:rPr>
          <w:noProof/>
        </w:rPr>
        <w:t>32</w:t>
      </w:r>
      <w:r w:rsidR="00FD1F67">
        <w:rPr>
          <w:noProof/>
        </w:rPr>
        <w:fldChar w:fldCharType="end"/>
      </w:r>
      <w:r>
        <w:t xml:space="preserve">. Alignment with National Action Plan </w:t>
      </w:r>
    </w:p>
    <w:tbl>
      <w:tblPr>
        <w:tblStyle w:val="TableGrid"/>
        <w:tblW w:w="5000" w:type="pct"/>
        <w:tblLook w:val="04A0" w:firstRow="1" w:lastRow="0" w:firstColumn="1" w:lastColumn="0" w:noHBand="0" w:noVBand="1"/>
      </w:tblPr>
      <w:tblGrid>
        <w:gridCol w:w="2972"/>
        <w:gridCol w:w="7485"/>
      </w:tblGrid>
      <w:tr w:rsidR="00D56D71" w:rsidRPr="00400054" w14:paraId="41E3217B" w14:textId="77777777" w:rsidTr="008F64CA">
        <w:trPr>
          <w:cantSplit/>
          <w:tblHeader/>
        </w:trPr>
        <w:tc>
          <w:tcPr>
            <w:tcW w:w="1421" w:type="pct"/>
            <w:shd w:val="clear" w:color="auto" w:fill="425563" w:themeFill="text1"/>
          </w:tcPr>
          <w:p w14:paraId="05F69B18" w14:textId="1E4BBEE1" w:rsidR="008B75AA" w:rsidRPr="0097092F" w:rsidRDefault="008B75AA" w:rsidP="007E0AFE">
            <w:pPr>
              <w:pStyle w:val="Tableheadwhite"/>
            </w:pPr>
            <w:r w:rsidRPr="0097092F">
              <w:t xml:space="preserve">Principles </w:t>
            </w:r>
          </w:p>
        </w:tc>
        <w:tc>
          <w:tcPr>
            <w:tcW w:w="3579" w:type="pct"/>
            <w:shd w:val="clear" w:color="auto" w:fill="425563" w:themeFill="text1"/>
          </w:tcPr>
          <w:p w14:paraId="60A8AC34" w14:textId="77777777" w:rsidR="008B75AA" w:rsidRPr="0097092F" w:rsidRDefault="008B75AA" w:rsidP="007E0AFE">
            <w:pPr>
              <w:pStyle w:val="Tableheadwhite"/>
            </w:pPr>
            <w:r w:rsidRPr="0097092F">
              <w:t xml:space="preserve">To what extent it is provided in the STPP </w:t>
            </w:r>
          </w:p>
        </w:tc>
      </w:tr>
      <w:tr w:rsidR="008B75AA" w:rsidRPr="00400054" w14:paraId="79928BEB" w14:textId="77777777" w:rsidTr="008F64CA">
        <w:trPr>
          <w:cantSplit/>
        </w:trPr>
        <w:tc>
          <w:tcPr>
            <w:tcW w:w="1421" w:type="pct"/>
            <w:shd w:val="clear" w:color="auto" w:fill="F6F9F7"/>
          </w:tcPr>
          <w:p w14:paraId="6C647D18" w14:textId="77777777" w:rsidR="008B75AA" w:rsidRDefault="008B75AA" w:rsidP="00284978">
            <w:pPr>
              <w:pStyle w:val="TableHeader"/>
            </w:pPr>
            <w:r w:rsidRPr="005E6B27">
              <w:t>Principle 1</w:t>
            </w:r>
            <w:r>
              <w:t>. Australia r</w:t>
            </w:r>
            <w:r w:rsidRPr="005E6B27">
              <w:t xml:space="preserve">esponds to modern slavery in a manner that is comprehensive, effective, timely, coordinated and consistent with our international obligations </w:t>
            </w:r>
          </w:p>
          <w:p w14:paraId="704B1947" w14:textId="4C4CFBB6" w:rsidR="008B75AA" w:rsidRPr="00400054" w:rsidRDefault="008B75AA" w:rsidP="00284978">
            <w:pPr>
              <w:pStyle w:val="TableHeader"/>
            </w:pPr>
          </w:p>
        </w:tc>
        <w:tc>
          <w:tcPr>
            <w:tcW w:w="3579" w:type="pct"/>
          </w:tcPr>
          <w:p w14:paraId="756848D9" w14:textId="4426257D" w:rsidR="008B75AA" w:rsidRDefault="666C57F4" w:rsidP="007E0AFE">
            <w:pPr>
              <w:pStyle w:val="TableHeader"/>
            </w:pPr>
            <w:r>
              <w:t>Principle 1 -</w:t>
            </w:r>
            <w:r w:rsidR="008B75AA">
              <w:t xml:space="preserve"> </w:t>
            </w:r>
            <w:r w:rsidR="00D25E40">
              <w:t xml:space="preserve">medium </w:t>
            </w:r>
            <w:r w:rsidR="008B75AA">
              <w:t xml:space="preserve">alignment </w:t>
            </w:r>
          </w:p>
          <w:p w14:paraId="67AD9780" w14:textId="7A226B12" w:rsidR="008B75AA" w:rsidRPr="00A93C44" w:rsidRDefault="008B75AA" w:rsidP="007E0AFE">
            <w:pPr>
              <w:pStyle w:val="Tabledot2"/>
            </w:pPr>
            <w:r>
              <w:t>The STPP contributes to Australia’s response to modern slavery by providing direct short</w:t>
            </w:r>
            <w:r w:rsidR="260D4690">
              <w:t>-</w:t>
            </w:r>
            <w:r>
              <w:t xml:space="preserve"> to medium-term support to some people with HTMS experiences. It is primarily a crisis response service with some support for healing and recovery.  </w:t>
            </w:r>
          </w:p>
          <w:p w14:paraId="0999FF97" w14:textId="067908CD" w:rsidR="008B75AA" w:rsidRDefault="00AF4410" w:rsidP="007E0AFE">
            <w:pPr>
              <w:pStyle w:val="Tabledot2"/>
            </w:pPr>
            <w:r>
              <w:t xml:space="preserve">Comprehensive: </w:t>
            </w:r>
            <w:r w:rsidR="008B75AA" w:rsidRPr="00A93C44">
              <w:t xml:space="preserve">The STPP </w:t>
            </w:r>
            <w:r w:rsidR="005D3143">
              <w:t>is</w:t>
            </w:r>
            <w:r w:rsidR="008B75AA">
              <w:t xml:space="preserve"> </w:t>
            </w:r>
            <w:r w:rsidR="008B75AA" w:rsidRPr="00A93C44">
              <w:t xml:space="preserve">comprehensive in </w:t>
            </w:r>
            <w:r w:rsidR="008B75AA">
              <w:t xml:space="preserve">that it </w:t>
            </w:r>
            <w:r w:rsidR="008B75AA" w:rsidRPr="00A93C44">
              <w:t>address</w:t>
            </w:r>
            <w:r w:rsidR="008B75AA">
              <w:t>es</w:t>
            </w:r>
            <w:r w:rsidR="008B75AA" w:rsidRPr="00A93C44">
              <w:t xml:space="preserve"> </w:t>
            </w:r>
            <w:r w:rsidR="008B75AA">
              <w:t>many</w:t>
            </w:r>
            <w:r w:rsidR="008B75AA" w:rsidRPr="00A93C44">
              <w:t xml:space="preserve"> forms of HTMS</w:t>
            </w:r>
            <w:r w:rsidR="008B75AA">
              <w:rPr>
                <w:rStyle w:val="FootnoteReference"/>
              </w:rPr>
              <w:footnoteReference w:id="29"/>
            </w:r>
            <w:r w:rsidR="008B75AA">
              <w:t xml:space="preserve"> </w:t>
            </w:r>
            <w:r w:rsidR="008B75AA" w:rsidRPr="00A93C44">
              <w:t>and provid</w:t>
            </w:r>
            <w:r w:rsidR="008B75AA">
              <w:t xml:space="preserve">es </w:t>
            </w:r>
            <w:r w:rsidR="008B75AA" w:rsidRPr="00A93C44">
              <w:t xml:space="preserve">support </w:t>
            </w:r>
            <w:r w:rsidR="008B75AA">
              <w:t xml:space="preserve">to </w:t>
            </w:r>
            <w:r w:rsidR="008B75AA" w:rsidRPr="00A93C44">
              <w:t xml:space="preserve">access </w:t>
            </w:r>
            <w:r w:rsidR="008B75AA">
              <w:t xml:space="preserve">a range of services, including </w:t>
            </w:r>
            <w:r w:rsidR="008B75AA" w:rsidRPr="00A93C44">
              <w:t xml:space="preserve">physical and mental health, education and employment and migration. However, the narrow eligibility criteria for the program, the extent to which </w:t>
            </w:r>
            <w:r w:rsidR="008B75AA">
              <w:t xml:space="preserve">mainstream </w:t>
            </w:r>
            <w:r w:rsidR="008B75AA" w:rsidRPr="00A93C44">
              <w:t>services are available</w:t>
            </w:r>
            <w:r w:rsidR="008B75AA">
              <w:t xml:space="preserve"> to STPP participants</w:t>
            </w:r>
            <w:r w:rsidR="008B75AA" w:rsidRPr="00A93C44">
              <w:t xml:space="preserve">, </w:t>
            </w:r>
            <w:r w:rsidR="008B75AA">
              <w:t xml:space="preserve">and timeframes for support limit </w:t>
            </w:r>
            <w:r w:rsidR="00FF6BC7">
              <w:t>comprehensiveness</w:t>
            </w:r>
            <w:r w:rsidR="008B75AA">
              <w:t xml:space="preserve">.  </w:t>
            </w:r>
          </w:p>
          <w:p w14:paraId="73EF0185" w14:textId="5B74D9F2" w:rsidR="008B75AA" w:rsidRDefault="00AF4410" w:rsidP="007E0AFE">
            <w:pPr>
              <w:pStyle w:val="Tabledot2"/>
            </w:pPr>
            <w:r>
              <w:t xml:space="preserve">Timely: </w:t>
            </w:r>
            <w:r w:rsidR="008B75AA">
              <w:t>The STPP is timely in that once a potential participant has been defined as eligible, they are very quickly connected to the program and provided with support</w:t>
            </w:r>
            <w:r w:rsidR="000C5B6B">
              <w:t xml:space="preserve"> (median </w:t>
            </w:r>
            <w:r w:rsidR="005D4214">
              <w:t xml:space="preserve">time </w:t>
            </w:r>
            <w:r w:rsidR="000C5B6B">
              <w:t>of two days)</w:t>
            </w:r>
            <w:r w:rsidR="008B75AA">
              <w:t xml:space="preserve">. However, claims as to timeliness also need to be considered within the broader system response </w:t>
            </w:r>
            <w:r w:rsidR="00747A0F">
              <w:t>and</w:t>
            </w:r>
            <w:r w:rsidR="008B75AA">
              <w:t xml:space="preserve"> need for </w:t>
            </w:r>
            <w:r w:rsidR="00747A0F">
              <w:t>improved</w:t>
            </w:r>
            <w:r w:rsidR="008B75AA">
              <w:t xml:space="preserve"> prevention and early </w:t>
            </w:r>
            <w:r w:rsidR="00FF6BC7">
              <w:t xml:space="preserve">intervention </w:t>
            </w:r>
            <w:r w:rsidR="000C5A97">
              <w:t>(identifying</w:t>
            </w:r>
            <w:r w:rsidR="008B75AA">
              <w:t xml:space="preserve"> and supporting people with potential or actual HTMS experiences before they require a crisis response</w:t>
            </w:r>
            <w:r w:rsidR="00747A0F">
              <w:t>)</w:t>
            </w:r>
            <w:r w:rsidR="008B75AA">
              <w:t xml:space="preserve">. </w:t>
            </w:r>
          </w:p>
          <w:p w14:paraId="0FE1C0E5" w14:textId="1A4F01D2" w:rsidR="008B75AA" w:rsidRDefault="00AF4410" w:rsidP="007E0AFE">
            <w:pPr>
              <w:pStyle w:val="Tabledot2"/>
            </w:pPr>
            <w:r>
              <w:t xml:space="preserve">Coordinated: </w:t>
            </w:r>
            <w:r w:rsidR="008B75AA">
              <w:t xml:space="preserve">The STPP is coordinated in that it involves collective efforts from DSS (national policy responsibility and program </w:t>
            </w:r>
            <w:r w:rsidR="008B75AA" w:rsidRPr="00D83A50">
              <w:t>funding)</w:t>
            </w:r>
            <w:r w:rsidR="0A68047A" w:rsidRPr="00D83A50">
              <w:t>,</w:t>
            </w:r>
            <w:r w:rsidR="008B75AA" w:rsidRPr="00D83A50">
              <w:t xml:space="preserve"> the AFP (responsible for </w:t>
            </w:r>
            <w:r w:rsidR="00B300CC" w:rsidRPr="00D83A50">
              <w:t>the investigation of HTMS-related criminal offences</w:t>
            </w:r>
            <w:r w:rsidR="008B75AA" w:rsidRPr="00D83A50">
              <w:t xml:space="preserve">), </w:t>
            </w:r>
            <w:r w:rsidR="008B75AA" w:rsidRPr="006C2BBF">
              <w:t>the Department of Home Affairs (migration policy responsibility and granting visas)</w:t>
            </w:r>
            <w:r w:rsidR="008B75AA" w:rsidRPr="00D83A50">
              <w:t xml:space="preserve"> and the </w:t>
            </w:r>
            <w:r w:rsidR="00747A0F">
              <w:t xml:space="preserve">STPP </w:t>
            </w:r>
            <w:r w:rsidR="008B75AA" w:rsidRPr="00D83A50">
              <w:t>service</w:t>
            </w:r>
            <w:r w:rsidR="008B75AA">
              <w:t xml:space="preserve"> provider. At service delivery level, there are practice-based relationships between the STPP provider and other </w:t>
            </w:r>
            <w:r w:rsidR="00747A0F">
              <w:t>sectors</w:t>
            </w:r>
            <w:r w:rsidR="008B75AA">
              <w:t>, including child protection services and police.</w:t>
            </w:r>
            <w:r w:rsidR="00AD247F">
              <w:t xml:space="preserve"> However, </w:t>
            </w:r>
            <w:r w:rsidR="00DB0530">
              <w:t>challenges</w:t>
            </w:r>
            <w:r w:rsidR="00757A3F">
              <w:t xml:space="preserve"> were reported</w:t>
            </w:r>
            <w:r w:rsidR="00DB0530">
              <w:t xml:space="preserve"> in coordinating services between the STPP and state</w:t>
            </w:r>
            <w:r w:rsidR="00757A3F">
              <w:t>/</w:t>
            </w:r>
            <w:r w:rsidR="00FF6BC7">
              <w:t>territory-based</w:t>
            </w:r>
            <w:r w:rsidR="00757A3F">
              <w:t xml:space="preserve"> services</w:t>
            </w:r>
            <w:r w:rsidR="00133D5F">
              <w:t xml:space="preserve"> </w:t>
            </w:r>
            <w:r w:rsidR="000302B8">
              <w:t>including</w:t>
            </w:r>
            <w:r w:rsidR="002215D4">
              <w:t xml:space="preserve"> variability </w:t>
            </w:r>
            <w:r w:rsidR="003632D6">
              <w:t>across jurisdictions</w:t>
            </w:r>
            <w:r w:rsidR="00757A3F">
              <w:t>.</w:t>
            </w:r>
            <w:r w:rsidR="008B75AA">
              <w:t xml:space="preserve"> The STPP </w:t>
            </w:r>
            <w:r w:rsidR="00747A0F">
              <w:t>provider</w:t>
            </w:r>
            <w:r w:rsidR="008B75AA">
              <w:t xml:space="preserve"> works closely with civil society organisations including community legal centres, non-government organisation victim support programs, and national charities delivering material and social support</w:t>
            </w:r>
            <w:r w:rsidR="00AD247F">
              <w:t xml:space="preserve">. </w:t>
            </w:r>
            <w:r w:rsidR="008B75AA">
              <w:t>Whilst there are opportunities to improve the efficiency of inter-organisation interactions and resolve competing policy tensions, these organisations were for the most part observed to have high-functioning relationships around delivering the STPP, characterised by shared values in supporting people with HTMS experiences. The STPP is further coordinated in that it is a focus for the intergovernm</w:t>
            </w:r>
            <w:r w:rsidR="008B75AA" w:rsidRPr="00914A01">
              <w:t>ental Operational Working Group on Human Trafficking and Slavery</w:t>
            </w:r>
            <w:r w:rsidR="008B75AA">
              <w:t xml:space="preserve">. </w:t>
            </w:r>
          </w:p>
          <w:p w14:paraId="36C33344" w14:textId="0E5B6C51" w:rsidR="008B75AA" w:rsidRPr="00400054" w:rsidRDefault="008B75AA" w:rsidP="007E0AFE">
            <w:pPr>
              <w:pStyle w:val="Tabledot2"/>
            </w:pPr>
            <w:r>
              <w:t>International obligations are</w:t>
            </w:r>
            <w:r w:rsidR="005E11DF">
              <w:t xml:space="preserve"> addressed below. </w:t>
            </w:r>
          </w:p>
        </w:tc>
      </w:tr>
      <w:tr w:rsidR="008B75AA" w:rsidRPr="00400054" w14:paraId="11C53CA7" w14:textId="77777777" w:rsidTr="008F64CA">
        <w:trPr>
          <w:cantSplit/>
        </w:trPr>
        <w:tc>
          <w:tcPr>
            <w:tcW w:w="1421" w:type="pct"/>
            <w:shd w:val="clear" w:color="auto" w:fill="F6F9F7"/>
          </w:tcPr>
          <w:p w14:paraId="7E706C48" w14:textId="312F847C" w:rsidR="008B75AA" w:rsidRPr="00400054" w:rsidRDefault="008B75AA" w:rsidP="00284978">
            <w:pPr>
              <w:pStyle w:val="TableHeader"/>
            </w:pPr>
            <w:r w:rsidRPr="008B75AA">
              <w:t>Principle 2: Australia addresses the unique needs of women and children, who are disproportionately affected by modern slavery</w:t>
            </w:r>
          </w:p>
        </w:tc>
        <w:tc>
          <w:tcPr>
            <w:tcW w:w="3579" w:type="pct"/>
          </w:tcPr>
          <w:p w14:paraId="6A8A0208" w14:textId="24E318C9" w:rsidR="008B75AA" w:rsidRDefault="1012AB95" w:rsidP="007E0AFE">
            <w:pPr>
              <w:pStyle w:val="TableHeader"/>
            </w:pPr>
            <w:r w:rsidRPr="52C06B4E">
              <w:t xml:space="preserve">Principle 2 - </w:t>
            </w:r>
            <w:r w:rsidR="00C07234">
              <w:t>medium</w:t>
            </w:r>
            <w:r w:rsidR="00C07234" w:rsidRPr="52C06B4E">
              <w:t xml:space="preserve"> </w:t>
            </w:r>
            <w:r w:rsidR="008B75AA" w:rsidRPr="52C06B4E">
              <w:t xml:space="preserve">alignment </w:t>
            </w:r>
          </w:p>
          <w:p w14:paraId="2CACD691" w14:textId="77777777" w:rsidR="008B75AA" w:rsidRPr="002C29B8" w:rsidRDefault="008B75AA" w:rsidP="007E0AFE">
            <w:pPr>
              <w:pStyle w:val="Tabledot2"/>
            </w:pPr>
            <w:r w:rsidRPr="002C29B8">
              <w:t xml:space="preserve">The STPP policy framework recognises the gendered nature of modern slavery. This is reflected in the development of a specialised separate program addressing the needs of people with forced marriage experiences, and STPP participant demographic profiles, which skew towards women and girls. </w:t>
            </w:r>
          </w:p>
          <w:p w14:paraId="7DB0360A" w14:textId="61E72EEF" w:rsidR="008B75AA" w:rsidRPr="002C29B8" w:rsidRDefault="008B75AA" w:rsidP="007E0AFE">
            <w:pPr>
              <w:pStyle w:val="Tabledot2"/>
            </w:pPr>
            <w:r w:rsidRPr="002C29B8">
              <w:t xml:space="preserve">However, there are limits on the extent to which the STPP </w:t>
            </w:r>
            <w:proofErr w:type="gramStart"/>
            <w:r w:rsidRPr="002C29B8">
              <w:t>has</w:t>
            </w:r>
            <w:r w:rsidR="00E75267">
              <w:t xml:space="preserve"> the</w:t>
            </w:r>
            <w:r w:rsidRPr="002C29B8">
              <w:t xml:space="preserve"> a</w:t>
            </w:r>
            <w:r w:rsidR="00E75267">
              <w:t>bilit</w:t>
            </w:r>
            <w:r w:rsidRPr="002C29B8">
              <w:t>y to</w:t>
            </w:r>
            <w:proofErr w:type="gramEnd"/>
            <w:r w:rsidRPr="002C29B8">
              <w:t xml:space="preserve"> target gendered forms of HTMS (e.g. sexual exploitation, domestic servitude, forced marriage). This focus </w:t>
            </w:r>
            <w:r w:rsidR="00FB6F12">
              <w:t>is</w:t>
            </w:r>
            <w:r w:rsidRPr="002C29B8">
              <w:t xml:space="preserve"> determined outside the program, and by the enforcement focus of the AFP and Australian Border Force, and the policy and legislative focus of the Australian Government. For instance, this is reflected in the recent increase in participants with experience of the Pacific Australia Labour Mobility visa scheme.</w:t>
            </w:r>
          </w:p>
          <w:p w14:paraId="55935F8B" w14:textId="2407E37B" w:rsidR="008B75AA" w:rsidRPr="00400054" w:rsidRDefault="008B75AA" w:rsidP="007E0AFE">
            <w:pPr>
              <w:pStyle w:val="Tabledot2"/>
            </w:pPr>
            <w:r w:rsidRPr="007A4D08">
              <w:t xml:space="preserve">In addition, the program does not currently meet the needs of children as </w:t>
            </w:r>
            <w:r w:rsidR="00BE5201">
              <w:t xml:space="preserve">people with HTMS </w:t>
            </w:r>
            <w:proofErr w:type="gramStart"/>
            <w:r w:rsidR="00BE5201">
              <w:t>experiences</w:t>
            </w:r>
            <w:r w:rsidRPr="007A4D08">
              <w:t xml:space="preserve"> in their own right, with</w:t>
            </w:r>
            <w:proofErr w:type="gramEnd"/>
            <w:r w:rsidRPr="007A4D08">
              <w:t xml:space="preserve"> potentially severe impacts </w:t>
            </w:r>
            <w:r w:rsidR="105F03A0">
              <w:t>for</w:t>
            </w:r>
            <w:r w:rsidRPr="007A4D08">
              <w:t xml:space="preserve"> this cohort and their protective parents. This shortcoming is intended to be partly addressed through implementation of the </w:t>
            </w:r>
            <w:r w:rsidR="72F2C7F9" w:rsidRPr="007A4D08">
              <w:t>F</w:t>
            </w:r>
            <w:r w:rsidRPr="007A4D08">
              <w:t xml:space="preserve">orced </w:t>
            </w:r>
            <w:r w:rsidR="5195AB2E" w:rsidRPr="007A4D08">
              <w:t>M</w:t>
            </w:r>
            <w:r w:rsidRPr="007A4D08">
              <w:t xml:space="preserve">arriage </w:t>
            </w:r>
            <w:r w:rsidR="4E21B07E" w:rsidRPr="007A4D08">
              <w:t xml:space="preserve">Specialist Support </w:t>
            </w:r>
            <w:r w:rsidR="2EE00AD4" w:rsidRPr="007A4D08">
              <w:t>Program but</w:t>
            </w:r>
            <w:r w:rsidRPr="007A4D08">
              <w:t xml:space="preserve"> remains a focus for future program strengthening.</w:t>
            </w:r>
            <w:r w:rsidRPr="002C29B8">
              <w:t xml:space="preserve"> </w:t>
            </w:r>
          </w:p>
        </w:tc>
      </w:tr>
      <w:tr w:rsidR="008B75AA" w:rsidRPr="00400054" w14:paraId="33EB407F" w14:textId="77777777" w:rsidTr="008F64CA">
        <w:trPr>
          <w:cantSplit/>
        </w:trPr>
        <w:tc>
          <w:tcPr>
            <w:tcW w:w="1421" w:type="pct"/>
            <w:shd w:val="clear" w:color="auto" w:fill="F6F9F7"/>
          </w:tcPr>
          <w:p w14:paraId="67C73CE3" w14:textId="3078B3B7" w:rsidR="008B75AA" w:rsidRPr="000B34E6" w:rsidRDefault="008B75AA" w:rsidP="00284978">
            <w:pPr>
              <w:pStyle w:val="TableHeader"/>
            </w:pPr>
            <w:r w:rsidRPr="12FDB987">
              <w:lastRenderedPageBreak/>
              <w:t>Principle 3: Australia maintains a strong deterrence framework which promotes investigations, prosecutions and the enforcement of civil sanctions, and penalises offenders to the full extent of the law</w:t>
            </w:r>
          </w:p>
        </w:tc>
        <w:tc>
          <w:tcPr>
            <w:tcW w:w="3579" w:type="pct"/>
          </w:tcPr>
          <w:p w14:paraId="66FE542A" w14:textId="6405A35D" w:rsidR="008B75AA" w:rsidRDefault="008B75AA" w:rsidP="007E0AFE">
            <w:pPr>
              <w:pStyle w:val="TableHeader"/>
              <w:rPr>
                <w:szCs w:val="20"/>
              </w:rPr>
            </w:pPr>
            <w:r>
              <w:t xml:space="preserve">Principle 3 – low </w:t>
            </w:r>
            <w:r w:rsidR="0069563A">
              <w:t xml:space="preserve">alignment </w:t>
            </w:r>
          </w:p>
          <w:p w14:paraId="2A703C50" w14:textId="6F755CB8" w:rsidR="008B75AA" w:rsidRPr="002C29B8" w:rsidRDefault="008B75AA" w:rsidP="007E0AFE">
            <w:pPr>
              <w:pStyle w:val="Tabledot2"/>
            </w:pPr>
            <w:r w:rsidRPr="002C29B8">
              <w:t xml:space="preserve">The STPP contributes to the aims of Principle 3 by providing support that enables people with HTMS experiences to participate in the criminal justice process. However, program data suggest that criminal justice outcomes are infrequent. </w:t>
            </w:r>
            <w:r w:rsidR="00C5644E">
              <w:t xml:space="preserve">Research undertaken by the AIC suggests that </w:t>
            </w:r>
            <w:r w:rsidR="003164E5">
              <w:t xml:space="preserve">attrition of </w:t>
            </w:r>
            <w:r w:rsidR="001C5273">
              <w:t>HTMS cases is largely unrelated to the STPP.</w:t>
            </w:r>
          </w:p>
          <w:p w14:paraId="47CA38A0" w14:textId="19DC2CEF" w:rsidR="008B75AA" w:rsidRPr="00400054" w:rsidRDefault="008B75AA" w:rsidP="007E0AFE">
            <w:pPr>
              <w:pStyle w:val="Tabledot2"/>
            </w:pPr>
            <w:r w:rsidRPr="002C29B8">
              <w:t xml:space="preserve">Other systems elements (e.g. prevention, early intervention and other justice system responses) would be expected to have a greater impact on alignment. </w:t>
            </w:r>
          </w:p>
        </w:tc>
      </w:tr>
      <w:tr w:rsidR="008B75AA" w:rsidRPr="00400054" w14:paraId="38B2A91D" w14:textId="77777777" w:rsidTr="008F64CA">
        <w:trPr>
          <w:cantSplit/>
        </w:trPr>
        <w:tc>
          <w:tcPr>
            <w:tcW w:w="1421" w:type="pct"/>
            <w:shd w:val="clear" w:color="auto" w:fill="F6F9F7"/>
          </w:tcPr>
          <w:p w14:paraId="6095C2D9" w14:textId="2208C99A" w:rsidR="008B75AA" w:rsidRPr="00400054" w:rsidRDefault="005A1A54" w:rsidP="00284978">
            <w:pPr>
              <w:pStyle w:val="TableHeader"/>
            </w:pPr>
            <w:r w:rsidRPr="12FDB987">
              <w:lastRenderedPageBreak/>
              <w:t>Principle 4: Australia provides holistic, gender-sensitive, culturally responsive, trauma-informed, victim-centred protection and support to all victims and survivors of modern slavery</w:t>
            </w:r>
          </w:p>
        </w:tc>
        <w:tc>
          <w:tcPr>
            <w:tcW w:w="3579" w:type="pct"/>
          </w:tcPr>
          <w:p w14:paraId="2887E4B7" w14:textId="77777777" w:rsidR="005A1A54" w:rsidRDefault="005A1A54" w:rsidP="007E0AFE">
            <w:pPr>
              <w:pStyle w:val="TableHeader"/>
            </w:pPr>
            <w:r>
              <w:t>Principle 4 – low alignment</w:t>
            </w:r>
          </w:p>
          <w:p w14:paraId="6E513849" w14:textId="7C395361" w:rsidR="005A1A54" w:rsidRPr="002C29B8" w:rsidRDefault="005A1A54" w:rsidP="007E0AFE">
            <w:pPr>
              <w:pStyle w:val="Tabledot2"/>
            </w:pPr>
            <w:r w:rsidRPr="002C29B8">
              <w:t xml:space="preserve">Aligning the STPP with Principle 4 currently presents a tension, as (in the main) limiting access to the STPP to </w:t>
            </w:r>
            <w:r w:rsidR="00BE5201">
              <w:t>people with HTMS experiences who are</w:t>
            </w:r>
            <w:r w:rsidRPr="002C29B8">
              <w:t xml:space="preserve"> involved in criminal matters also limits the extent to which this can provide ‘holistic, gender-sensitive, culturally responsive, trauma-informed, victim-centred protection and support to all victims and survivors of modern slavery’. The need to address this tension is a key finding of this evaluation.</w:t>
            </w:r>
          </w:p>
          <w:p w14:paraId="3CE935B1" w14:textId="47AB97F6" w:rsidR="005A1A54" w:rsidRPr="006C2BBF" w:rsidRDefault="00520293" w:rsidP="007E0AFE">
            <w:pPr>
              <w:pStyle w:val="Tabledot2"/>
            </w:pPr>
            <w:r>
              <w:t xml:space="preserve">Holistic: </w:t>
            </w:r>
            <w:r w:rsidR="005A1A54" w:rsidRPr="002C29B8">
              <w:t xml:space="preserve">The STPP is holistic in that the resources it provides are relatively wide-ranging. This includes immediate crisis support as well as addressing participant overall wellbeing, and physical, emotional, social, economic, justice/legal and cultural needs. However, as mentioned above against comprehensiveness, there are limits related to prevention and early intervention, eligibility and service availability, and the extent to which the program promotes self-determination. An issue requiring resolution is supports for people who do not wish to be involved in criminal matters, and who have low system trust (this appears to only partly being met via the ARP). In addition, evaluation findings suggest that the program is better at meeting rapid response needs than other needs and has </w:t>
            </w:r>
            <w:r w:rsidR="005A1A54" w:rsidRPr="006C2BBF">
              <w:t xml:space="preserve">key limitations in cases where a participant’s visa status is uncertain. </w:t>
            </w:r>
          </w:p>
          <w:p w14:paraId="59BD93CD" w14:textId="15B986B4" w:rsidR="005A1A54" w:rsidRPr="002C29B8" w:rsidRDefault="005A1A54" w:rsidP="007E0AFE">
            <w:pPr>
              <w:pStyle w:val="Tabledot2"/>
            </w:pPr>
            <w:r w:rsidRPr="00AF4477">
              <w:t>Gender</w:t>
            </w:r>
            <w:r w:rsidR="263E72B9" w:rsidRPr="002C29B8">
              <w:t>-</w:t>
            </w:r>
            <w:r w:rsidR="006C24B2" w:rsidRPr="002C29B8">
              <w:t>sensitive addressed</w:t>
            </w:r>
            <w:r w:rsidRPr="002C29B8">
              <w:t xml:space="preserve"> above in Principle 2. </w:t>
            </w:r>
          </w:p>
          <w:p w14:paraId="58DC0AC5" w14:textId="47590AF7" w:rsidR="005A1A54" w:rsidRPr="002C29B8" w:rsidRDefault="00E00641" w:rsidP="007E0AFE">
            <w:pPr>
              <w:pStyle w:val="Tabledot2"/>
            </w:pPr>
            <w:r>
              <w:t xml:space="preserve">Culturally responsive: </w:t>
            </w:r>
            <w:r w:rsidR="005A1A54" w:rsidRPr="00AF4477">
              <w:t xml:space="preserve">The STPP is broadly culturally responsive in that the </w:t>
            </w:r>
            <w:r w:rsidR="00B25F48" w:rsidRPr="00AF4477">
              <w:t>STPP p</w:t>
            </w:r>
            <w:r w:rsidR="005A1A54" w:rsidRPr="00AF4477">
              <w:t xml:space="preserve">ractice </w:t>
            </w:r>
            <w:r w:rsidR="00B25F48" w:rsidRPr="00AF4477">
              <w:t>f</w:t>
            </w:r>
            <w:r w:rsidR="005A1A54" w:rsidRPr="00AF4477">
              <w:t>ramework and staff training and resources support this, as well as having a high proportion of caseworkers with multicultural backgrounds. Caseworkers present as curious and non-judgemental in meeting participant needs. However,</w:t>
            </w:r>
            <w:r w:rsidR="005A1A54" w:rsidRPr="002C29B8">
              <w:t xml:space="preserve"> there can be </w:t>
            </w:r>
            <w:r w:rsidR="005A1A54" w:rsidRPr="006C2BBF">
              <w:t>limitations in accessing interpreter services</w:t>
            </w:r>
            <w:r w:rsidR="0042653D" w:rsidRPr="006C2BBF">
              <w:t xml:space="preserve"> (due to limitations</w:t>
            </w:r>
            <w:r w:rsidR="002D0ACD">
              <w:t xml:space="preserve"> in the availability of interpreters</w:t>
            </w:r>
            <w:r w:rsidR="0042653D" w:rsidRPr="006C2BBF">
              <w:t>)</w:t>
            </w:r>
            <w:r w:rsidR="005A1A54" w:rsidRPr="002C29B8">
              <w:t>. There are also opportunities to further improve the extent to which the STPP model reflects where systemic bias and discrimination may impact on access. This includes the role of stigma and language/digital divide barriers in identification and referral, shame as a barrier to help-seeking, and further recognising the diversity of individuals who have experienced exploitation.</w:t>
            </w:r>
          </w:p>
          <w:p w14:paraId="0C96059B" w14:textId="0C600391" w:rsidR="005A1A54" w:rsidRPr="002C29B8" w:rsidRDefault="001401BE" w:rsidP="007E0AFE">
            <w:pPr>
              <w:pStyle w:val="Tabledot2"/>
            </w:pPr>
            <w:r>
              <w:t xml:space="preserve">Victim-centred: </w:t>
            </w:r>
            <w:r w:rsidR="005A1A54" w:rsidRPr="002C29B8">
              <w:t xml:space="preserve">The STPP is victim-centred in that </w:t>
            </w:r>
            <w:proofErr w:type="gramStart"/>
            <w:r w:rsidR="005A1A54" w:rsidRPr="002C29B8">
              <w:t>caseworkers</w:t>
            </w:r>
            <w:proofErr w:type="gramEnd"/>
            <w:r w:rsidR="005A1A54" w:rsidRPr="002C29B8">
              <w:t xml:space="preserve"> tailor supports to the needs of participants. The types of supports that are made available through the STPP are based on participants’ individual needs and goals, as determined by the STPP Strengths And Needs Assessment tool as well as ongoing conversations between caseworkers and </w:t>
            </w:r>
            <w:r w:rsidR="3A35C1AC" w:rsidRPr="002C29B8">
              <w:t>participant</w:t>
            </w:r>
            <w:r w:rsidR="005A1A54" w:rsidRPr="002C29B8">
              <w:t xml:space="preserve">s. This approach meets the needs of some, but not all, participants. Gaps include where participants are not in a good position to articulate their needs, or where they wish for more self-determination in allocating funds. As flagged above, the eligibility criteria of the program, which restricts access based on involvement in criminal matters, is a strong barrier to the STPP’s </w:t>
            </w:r>
            <w:r>
              <w:t xml:space="preserve">ability </w:t>
            </w:r>
            <w:r w:rsidR="005A1A54" w:rsidRPr="002C29B8">
              <w:t xml:space="preserve">to be </w:t>
            </w:r>
            <w:proofErr w:type="gramStart"/>
            <w:r w:rsidR="005A1A54" w:rsidRPr="002C29B8">
              <w:t>victim-centred</w:t>
            </w:r>
            <w:proofErr w:type="gramEnd"/>
            <w:r w:rsidR="005A1A54" w:rsidRPr="002C29B8">
              <w:t xml:space="preserve">. </w:t>
            </w:r>
          </w:p>
          <w:p w14:paraId="7261BD35" w14:textId="4E55941F" w:rsidR="005A1A54" w:rsidRPr="002C29B8" w:rsidRDefault="001401BE" w:rsidP="007E0AFE">
            <w:pPr>
              <w:pStyle w:val="Tabledot2"/>
            </w:pPr>
            <w:r>
              <w:t>Trauma</w:t>
            </w:r>
            <w:r w:rsidR="00A35E3F">
              <w:t xml:space="preserve">-informed: </w:t>
            </w:r>
            <w:r w:rsidR="005A1A54" w:rsidRPr="002C29B8">
              <w:t>The STPP is aligned with trauma-informed principles to an extent. The practice framework places high importance on engaging with program participants in a way that seeks to minimise further trauma. This is reflected in many aspects of practice; however, STPP participants also report</w:t>
            </w:r>
            <w:r w:rsidR="0621C9FC" w:rsidRPr="002C29B8">
              <w:t>ed</w:t>
            </w:r>
            <w:r w:rsidR="005A1A54" w:rsidRPr="002C29B8">
              <w:t xml:space="preserve"> instances where caseworker practice did not reflect trauma-informed principles. In addition, the eligibility criteria and timeframes for access do not reflect contemporary understandings of the impacts of trauma and subsequent needs. </w:t>
            </w:r>
          </w:p>
          <w:p w14:paraId="5C8A1774" w14:textId="58BB4CD2" w:rsidR="008B75AA" w:rsidRPr="00400054" w:rsidRDefault="00A35E3F" w:rsidP="007E0AFE">
            <w:pPr>
              <w:pStyle w:val="Tabledot2"/>
            </w:pPr>
            <w:r>
              <w:t xml:space="preserve">All </w:t>
            </w:r>
            <w:r w:rsidR="00804FD6">
              <w:t>victims</w:t>
            </w:r>
            <w:r>
              <w:t xml:space="preserve"> and survivors of modern slavery: </w:t>
            </w:r>
            <w:r w:rsidR="005A1A54" w:rsidRPr="00F106FF">
              <w:t xml:space="preserve">As mentioned above, the STPP does not provide support to all </w:t>
            </w:r>
            <w:r w:rsidR="00456407">
              <w:t>people with HTMS experiences</w:t>
            </w:r>
            <w:r w:rsidR="005A1A54" w:rsidRPr="00F106FF">
              <w:t xml:space="preserve">. </w:t>
            </w:r>
            <w:r w:rsidR="001F4C73">
              <w:t>Many more people with HTMS experiences are unidentified</w:t>
            </w:r>
            <w:r w:rsidR="002E053F">
              <w:t xml:space="preserve"> or face barriers to referral (e.g. reluctance to engage with the AFP, </w:t>
            </w:r>
            <w:r w:rsidR="00A1540C">
              <w:t xml:space="preserve">no </w:t>
            </w:r>
            <w:r w:rsidR="0078102A">
              <w:t>connect</w:t>
            </w:r>
            <w:r w:rsidR="00A1540C">
              <w:t xml:space="preserve">ion to the </w:t>
            </w:r>
            <w:r w:rsidR="0078102A">
              <w:t xml:space="preserve">ARP, </w:t>
            </w:r>
            <w:r w:rsidR="002F3C49">
              <w:t>unable to safely exit the situation of exploitation).</w:t>
            </w:r>
            <w:r w:rsidR="001F4C73">
              <w:t xml:space="preserve"> </w:t>
            </w:r>
            <w:r w:rsidR="005A1A54" w:rsidRPr="00F106FF">
              <w:t xml:space="preserve">As the only national crisis response program, </w:t>
            </w:r>
            <w:r w:rsidR="00107E93" w:rsidRPr="00F106FF">
              <w:t>except for</w:t>
            </w:r>
            <w:r w:rsidR="005A1A54" w:rsidRPr="00F106FF">
              <w:t xml:space="preserve"> the new </w:t>
            </w:r>
            <w:r w:rsidR="004047B4">
              <w:t>F</w:t>
            </w:r>
            <w:r w:rsidR="005A1A54" w:rsidRPr="00F106FF">
              <w:t xml:space="preserve">orced </w:t>
            </w:r>
            <w:r w:rsidR="004047B4">
              <w:t>M</w:t>
            </w:r>
            <w:r w:rsidR="005A1A54" w:rsidRPr="00F106FF">
              <w:t xml:space="preserve">arriage </w:t>
            </w:r>
            <w:r w:rsidR="004047B4">
              <w:t>Specialist Support P</w:t>
            </w:r>
            <w:r w:rsidR="005A1A54" w:rsidRPr="00F106FF">
              <w:t>rogram,</w:t>
            </w:r>
            <w:r w:rsidR="005A1A54" w:rsidRPr="002C29B8">
              <w:t xml:space="preserve"> this creates a gap in supports nationally. </w:t>
            </w:r>
          </w:p>
        </w:tc>
      </w:tr>
      <w:tr w:rsidR="008B75AA" w:rsidRPr="00400054" w14:paraId="4BDD0E7A" w14:textId="77777777" w:rsidTr="008F64CA">
        <w:trPr>
          <w:cantSplit/>
        </w:trPr>
        <w:tc>
          <w:tcPr>
            <w:tcW w:w="1421" w:type="pct"/>
            <w:shd w:val="clear" w:color="auto" w:fill="F6F9F7"/>
          </w:tcPr>
          <w:p w14:paraId="7E59807C" w14:textId="17997958" w:rsidR="008B75AA" w:rsidRPr="00454CF9" w:rsidRDefault="005A1A54" w:rsidP="00284978">
            <w:pPr>
              <w:pStyle w:val="TableHeader"/>
            </w:pPr>
            <w:r w:rsidRPr="12FDB987">
              <w:lastRenderedPageBreak/>
              <w:t>Principle 5: Affords victims and survivors of modern slavery access to effective remedies</w:t>
            </w:r>
          </w:p>
        </w:tc>
        <w:tc>
          <w:tcPr>
            <w:tcW w:w="3579" w:type="pct"/>
          </w:tcPr>
          <w:p w14:paraId="7BBAEB31" w14:textId="25F24A3F" w:rsidR="005A1A54" w:rsidRPr="00CD26F6" w:rsidRDefault="005A1A54" w:rsidP="007E0AFE">
            <w:pPr>
              <w:pStyle w:val="TableHeader"/>
              <w:rPr>
                <w:color w:val="425563" w:themeColor="text1"/>
                <w:szCs w:val="20"/>
                <w14:textFill>
                  <w14:solidFill>
                    <w14:schemeClr w14:val="tx1">
                      <w14:lumMod w14:val="20000"/>
                      <w14:lumOff w14:val="80000"/>
                      <w14:lumMod w14:val="75000"/>
                    </w14:schemeClr>
                  </w14:solidFill>
                </w14:textFill>
              </w:rPr>
            </w:pPr>
            <w:r>
              <w:t xml:space="preserve">Principle 5 – low </w:t>
            </w:r>
            <w:r w:rsidR="0069563A">
              <w:t xml:space="preserve">alignment </w:t>
            </w:r>
          </w:p>
          <w:p w14:paraId="282EA13A" w14:textId="681FBCCB" w:rsidR="00337AAB" w:rsidRPr="002C29B8" w:rsidRDefault="00337AAB" w:rsidP="007E0AFE">
            <w:pPr>
              <w:pStyle w:val="Tabledot2"/>
            </w:pPr>
            <w:r w:rsidRPr="002C29B8">
              <w:t xml:space="preserve">As mentioned above, the STPP provides some remedies for people with HTMS experiences, including </w:t>
            </w:r>
            <w:r w:rsidR="008F338A">
              <w:t xml:space="preserve">supporting </w:t>
            </w:r>
            <w:r w:rsidR="00087A5C">
              <w:t xml:space="preserve">participants to seek </w:t>
            </w:r>
            <w:r w:rsidRPr="002C29B8">
              <w:t>reparations through the justice system</w:t>
            </w:r>
            <w:r w:rsidR="00087A5C">
              <w:t xml:space="preserve"> by meeting their </w:t>
            </w:r>
            <w:r w:rsidR="006A6ADA">
              <w:t>needs, providing emotional support</w:t>
            </w:r>
            <w:r w:rsidR="00AE0CFC">
              <w:t xml:space="preserve"> and referring to legal services</w:t>
            </w:r>
            <w:r w:rsidRPr="002C29B8">
              <w:t>.</w:t>
            </w:r>
            <w:r w:rsidRPr="002C29B8">
              <w:rPr>
                <w:rStyle w:val="FootnoteReference"/>
              </w:rPr>
              <w:footnoteReference w:id="30"/>
            </w:r>
            <w:r w:rsidRPr="002C29B8">
              <w:t xml:space="preserve"> However, it is not a compensation scheme. </w:t>
            </w:r>
          </w:p>
          <w:p w14:paraId="6DCC260F" w14:textId="2C4E6F28" w:rsidR="008B75AA" w:rsidRPr="00400054" w:rsidRDefault="00337AAB" w:rsidP="007E0AFE">
            <w:pPr>
              <w:pStyle w:val="Tabledot2"/>
            </w:pPr>
            <w:r w:rsidRPr="002C29B8">
              <w:t>Whilst there has been advocacy for a national redress scheme for people with HTMS experiences, there is nothing to suggest that this should be a role for the STPP as opposed to the establishment of a separate program.</w:t>
            </w:r>
          </w:p>
        </w:tc>
      </w:tr>
      <w:tr w:rsidR="008B75AA" w:rsidRPr="00400054" w14:paraId="23BD9F1A" w14:textId="77777777" w:rsidTr="008F64CA">
        <w:trPr>
          <w:cantSplit/>
        </w:trPr>
        <w:tc>
          <w:tcPr>
            <w:tcW w:w="1421" w:type="pct"/>
            <w:shd w:val="clear" w:color="auto" w:fill="F6F9F7"/>
          </w:tcPr>
          <w:p w14:paraId="66737A24" w14:textId="77777777" w:rsidR="00337AAB" w:rsidRPr="00EB444A" w:rsidRDefault="00337AAB" w:rsidP="007E0AFE">
            <w:pPr>
              <w:pStyle w:val="TableHeader"/>
            </w:pPr>
            <w:r w:rsidRPr="00EB444A">
              <w:t xml:space="preserve">Principle 6: Requires strong partnerships between all levels of government, non-governmental organisations, businesses, unions, academic institutions, and the </w:t>
            </w:r>
            <w:proofErr w:type="gramStart"/>
            <w:r w:rsidRPr="00EB444A">
              <w:t>general public</w:t>
            </w:r>
            <w:proofErr w:type="gramEnd"/>
          </w:p>
          <w:p w14:paraId="491DDC89" w14:textId="1BACCB75" w:rsidR="008B75AA" w:rsidRPr="00EB444A" w:rsidRDefault="008B75AA" w:rsidP="007E0AFE">
            <w:pPr>
              <w:pStyle w:val="TableHeader"/>
            </w:pPr>
          </w:p>
        </w:tc>
        <w:tc>
          <w:tcPr>
            <w:tcW w:w="3579" w:type="pct"/>
          </w:tcPr>
          <w:p w14:paraId="01A0FB86" w14:textId="77777777" w:rsidR="00337AAB" w:rsidRDefault="00337AAB" w:rsidP="007E0AFE">
            <w:pPr>
              <w:pStyle w:val="TableHeader"/>
              <w:rPr>
                <w:szCs w:val="20"/>
              </w:rPr>
            </w:pPr>
            <w:r>
              <w:t>Principle 6 – medium alignment</w:t>
            </w:r>
          </w:p>
          <w:p w14:paraId="0032463F" w14:textId="106BCFB1" w:rsidR="008B75AA" w:rsidRPr="001B7CF6" w:rsidRDefault="001B7CF6" w:rsidP="007E0AFE">
            <w:pPr>
              <w:pStyle w:val="Tabledot2"/>
            </w:pPr>
            <w:r w:rsidRPr="002C29B8">
              <w:t xml:space="preserve">As mentioned above, the STPP involves a partnership approach between government and the Australian Red Cross, and this is broadly effective, with some areas for improvement. However, more critically, there does not appear to be a well-functioning HTMS ‘system’ in Australia that would support prevention and early intervention. Related to this, there isn’t good data available on prevalence and service need that would enable judgements on whether the STPP has effectively addressed the needs of the target cohort and on proper resourcing of future outcomes. </w:t>
            </w:r>
          </w:p>
        </w:tc>
      </w:tr>
      <w:tr w:rsidR="001B7CF6" w:rsidRPr="00400054" w14:paraId="1DE04680" w14:textId="77777777" w:rsidTr="008F64CA">
        <w:trPr>
          <w:cantSplit/>
        </w:trPr>
        <w:tc>
          <w:tcPr>
            <w:tcW w:w="1421" w:type="pct"/>
            <w:shd w:val="clear" w:color="auto" w:fill="F6F9F7"/>
          </w:tcPr>
          <w:p w14:paraId="5FBFAF9C" w14:textId="027B24A2" w:rsidR="001B7CF6" w:rsidRPr="00EB444A" w:rsidRDefault="001B7CF6" w:rsidP="007E0AFE">
            <w:pPr>
              <w:pStyle w:val="TableHeader"/>
            </w:pPr>
            <w:r w:rsidRPr="00EB444A">
              <w:t>Principle 7: Strives to be an international and regional leader and partner in deterring and combating modern slavery, and works cooperatively with other governments both internationally and regionally towards this end</w:t>
            </w:r>
          </w:p>
        </w:tc>
        <w:tc>
          <w:tcPr>
            <w:tcW w:w="3579" w:type="pct"/>
          </w:tcPr>
          <w:p w14:paraId="57C0E364" w14:textId="65C36010" w:rsidR="001B7CF6" w:rsidRPr="006C2BBF" w:rsidRDefault="001B7CF6" w:rsidP="007E0AFE">
            <w:pPr>
              <w:rPr>
                <w:rFonts w:asciiTheme="majorHAnsi" w:hAnsiTheme="majorHAnsi"/>
                <w:bCs/>
                <w:sz w:val="18"/>
                <w:szCs w:val="18"/>
              </w:rPr>
            </w:pPr>
            <w:r w:rsidRPr="001E72BA">
              <w:rPr>
                <w:rFonts w:asciiTheme="majorHAnsi" w:eastAsiaTheme="minorEastAsia" w:hAnsiTheme="majorHAnsi" w:cs="Calibri"/>
                <w:bCs/>
                <w:color w:val="313F4A" w:themeColor="text1" w:themeShade="BF"/>
                <w:sz w:val="18"/>
                <w:szCs w:val="18"/>
              </w:rPr>
              <w:t xml:space="preserve">No </w:t>
            </w:r>
            <w:r w:rsidR="008C7564" w:rsidRPr="001E72BA">
              <w:rPr>
                <w:rFonts w:asciiTheme="majorHAnsi" w:eastAsiaTheme="minorEastAsia" w:hAnsiTheme="majorHAnsi" w:cs="Calibri"/>
                <w:bCs/>
                <w:color w:val="313F4A" w:themeColor="text1" w:themeShade="BF"/>
                <w:sz w:val="18"/>
                <w:szCs w:val="18"/>
              </w:rPr>
              <w:t>relevance</w:t>
            </w:r>
            <w:r w:rsidR="008C7564" w:rsidRPr="006C2BBF">
              <w:rPr>
                <w:rFonts w:asciiTheme="majorHAnsi" w:hAnsiTheme="majorHAnsi"/>
                <w:bCs/>
                <w:sz w:val="18"/>
                <w:szCs w:val="18"/>
              </w:rPr>
              <w:t xml:space="preserve"> </w:t>
            </w:r>
          </w:p>
        </w:tc>
      </w:tr>
      <w:tr w:rsidR="0030543A" w:rsidRPr="00400054" w14:paraId="7D4240D2" w14:textId="77777777" w:rsidTr="008F64CA">
        <w:trPr>
          <w:cantSplit/>
        </w:trPr>
        <w:tc>
          <w:tcPr>
            <w:tcW w:w="1421" w:type="pct"/>
            <w:shd w:val="clear" w:color="auto" w:fill="F6F9F7"/>
          </w:tcPr>
          <w:p w14:paraId="4B96D59D" w14:textId="22DAC8C6" w:rsidR="0030543A" w:rsidRPr="0098237B" w:rsidRDefault="0030543A" w:rsidP="007E0AFE">
            <w:pPr>
              <w:pStyle w:val="TableHeader"/>
            </w:pPr>
            <w:r w:rsidRPr="0098237B">
              <w:t>Principle 8: Promotes an evidence-based response to modern slavery, and its root causes and drivers, to build our understanding of modern slavery and how to prevent it</w:t>
            </w:r>
          </w:p>
        </w:tc>
        <w:tc>
          <w:tcPr>
            <w:tcW w:w="3579" w:type="pct"/>
          </w:tcPr>
          <w:p w14:paraId="6518420A" w14:textId="373AA40C" w:rsidR="0030543A" w:rsidRPr="00DE3BD6" w:rsidRDefault="00FD5D49" w:rsidP="007E0AFE">
            <w:pPr>
              <w:pStyle w:val="TableHeader"/>
            </w:pPr>
            <w:r>
              <w:t xml:space="preserve">Principle 8 – medium alignment </w:t>
            </w:r>
          </w:p>
          <w:p w14:paraId="6EAA623B" w14:textId="77777777" w:rsidR="0030543A" w:rsidRPr="002C29B8" w:rsidRDefault="0030543A" w:rsidP="007E0AFE">
            <w:pPr>
              <w:pStyle w:val="Tabledot2"/>
            </w:pPr>
            <w:r w:rsidRPr="002C29B8">
              <w:t>The STPP has contributed to the evidence base through program evaluation and collaboration with the Australian Institute of Criminology to develop a National Minimum Dataset for HTMS. However, data quality issues are limiting the extent to which the STPP can make an effective contribution.</w:t>
            </w:r>
          </w:p>
          <w:p w14:paraId="19876128" w14:textId="57B36F3D" w:rsidR="0030543A" w:rsidRPr="002C29B8" w:rsidRDefault="0030543A" w:rsidP="007E0AFE">
            <w:pPr>
              <w:pStyle w:val="Tabledot2"/>
            </w:pPr>
            <w:r w:rsidRPr="002C29B8">
              <w:t xml:space="preserve">The service provider is involved in advocacy for policy change through briefings and submissions to government, using evidence from the program to inform this work while upholding impartiality. The service provider is represented on the National Roundtable </w:t>
            </w:r>
            <w:r w:rsidR="7D0A3F24" w:rsidRPr="002C29B8">
              <w:t xml:space="preserve">and </w:t>
            </w:r>
            <w:r w:rsidRPr="002C29B8">
              <w:t>the advisory panel of the NSW Anti-Slavery Commissioner</w:t>
            </w:r>
            <w:r w:rsidR="4DCDC0C6" w:rsidRPr="002C29B8">
              <w:t>,</w:t>
            </w:r>
            <w:r w:rsidRPr="002C29B8">
              <w:t xml:space="preserve"> </w:t>
            </w:r>
            <w:r w:rsidR="50E54A41" w:rsidRPr="002C29B8">
              <w:t>and</w:t>
            </w:r>
            <w:r w:rsidRPr="002C29B8">
              <w:t xml:space="preserve"> co-chairs the human trafficking and forced marriage networks across Australia. </w:t>
            </w:r>
          </w:p>
          <w:p w14:paraId="748DC16C" w14:textId="43CBDE9F" w:rsidR="0030543A" w:rsidRPr="0030543A" w:rsidRDefault="00E20BA9" w:rsidP="007E0AFE">
            <w:pPr>
              <w:pStyle w:val="Tabledot2"/>
            </w:pPr>
            <w:r>
              <w:t>T</w:t>
            </w:r>
            <w:r w:rsidR="0030543A" w:rsidRPr="002C29B8">
              <w:t xml:space="preserve">he STPP plays a role in addressing root causes and drivers of HTMS </w:t>
            </w:r>
            <w:r>
              <w:t xml:space="preserve">through </w:t>
            </w:r>
            <w:r w:rsidR="0030543A" w:rsidRPr="002C29B8">
              <w:t>contribut</w:t>
            </w:r>
            <w:r w:rsidR="007D09A4">
              <w:t>ing</w:t>
            </w:r>
            <w:r w:rsidR="0030543A" w:rsidRPr="002C29B8">
              <w:t xml:space="preserve"> to the National Minimum Dataset</w:t>
            </w:r>
            <w:r w:rsidR="004C107D">
              <w:t xml:space="preserve"> (a limi</w:t>
            </w:r>
            <w:r w:rsidR="00CD3554">
              <w:t>tation of scope, rather than execution)</w:t>
            </w:r>
            <w:r w:rsidR="007D09A4">
              <w:t xml:space="preserve">, </w:t>
            </w:r>
            <w:r w:rsidR="0030543A" w:rsidRPr="002C29B8">
              <w:t>providing evidence informing victim support responses</w:t>
            </w:r>
            <w:r w:rsidR="007D09A4">
              <w:t xml:space="preserve"> and advocacy </w:t>
            </w:r>
            <w:r w:rsidR="00B205B4">
              <w:t>work.</w:t>
            </w:r>
          </w:p>
        </w:tc>
      </w:tr>
      <w:tr w:rsidR="008B75AA" w:rsidRPr="00400054" w14:paraId="0AFC0470" w14:textId="77777777" w:rsidTr="008F64CA">
        <w:trPr>
          <w:cantSplit/>
        </w:trPr>
        <w:tc>
          <w:tcPr>
            <w:tcW w:w="1421" w:type="pct"/>
            <w:shd w:val="clear" w:color="auto" w:fill="F6F9F7"/>
          </w:tcPr>
          <w:p w14:paraId="5A824B6F" w14:textId="77777777" w:rsidR="0030543A" w:rsidRPr="00EB444A" w:rsidRDefault="0030543A" w:rsidP="007E0AFE">
            <w:pPr>
              <w:pStyle w:val="TableHeader"/>
            </w:pPr>
            <w:r w:rsidRPr="00EB444A">
              <w:t>Principle 9: Ensures the voices of victims and survivors, particularly women and children, inform responses to modern slavery</w:t>
            </w:r>
          </w:p>
          <w:p w14:paraId="54B5E90E" w14:textId="77777777" w:rsidR="008B75AA" w:rsidRPr="00EB444A" w:rsidRDefault="008B75AA" w:rsidP="007E0AFE">
            <w:pPr>
              <w:pStyle w:val="TableHeader"/>
            </w:pPr>
          </w:p>
        </w:tc>
        <w:tc>
          <w:tcPr>
            <w:tcW w:w="3579" w:type="pct"/>
          </w:tcPr>
          <w:p w14:paraId="50C93E17" w14:textId="77777777" w:rsidR="008B75AA" w:rsidRDefault="008B75AA" w:rsidP="007E0AFE">
            <w:pPr>
              <w:pStyle w:val="TableHeader"/>
              <w:rPr>
                <w:szCs w:val="20"/>
              </w:rPr>
            </w:pPr>
            <w:r>
              <w:t xml:space="preserve">Principle 9 – low alignment </w:t>
            </w:r>
          </w:p>
          <w:p w14:paraId="50B35621" w14:textId="131B6065" w:rsidR="008B75AA" w:rsidRPr="00400054" w:rsidRDefault="0030543A" w:rsidP="007E0AFE">
            <w:pPr>
              <w:pStyle w:val="Tabledot2"/>
            </w:pPr>
            <w:r w:rsidRPr="002C29B8">
              <w:t xml:space="preserve">Whilst the STPP provider </w:t>
            </w:r>
            <w:r w:rsidR="000D7153" w:rsidRPr="002C29B8">
              <w:t>aspires</w:t>
            </w:r>
            <w:r w:rsidRPr="002C29B8">
              <w:t xml:space="preserve"> to be led by lived experience and is putting more resources towards this, </w:t>
            </w:r>
            <w:r w:rsidR="00451E9E">
              <w:t>some stakeholders have raised</w:t>
            </w:r>
            <w:r w:rsidRPr="002C29B8">
              <w:t xml:space="preserve"> concerns about lack of transparency within the program and lack of leadership </w:t>
            </w:r>
            <w:r w:rsidR="00802D64">
              <w:t xml:space="preserve">from people with experiences of HTMS </w:t>
            </w:r>
            <w:r w:rsidRPr="002C29B8">
              <w:t>in program design. Both can be strengthened.</w:t>
            </w:r>
          </w:p>
        </w:tc>
      </w:tr>
    </w:tbl>
    <w:p w14:paraId="1FBF5EDD" w14:textId="1C4DCA07" w:rsidR="00AA51CC" w:rsidRDefault="00AA51CC" w:rsidP="007E0AFE">
      <w:pPr>
        <w:pStyle w:val="Heading4"/>
      </w:pPr>
      <w:bookmarkStart w:id="50" w:name="_Ref197602355"/>
      <w:bookmarkStart w:id="51" w:name="_Ref200047024"/>
      <w:r w:rsidRPr="00F46BAE">
        <w:lastRenderedPageBreak/>
        <w:t>KEQ</w:t>
      </w:r>
      <w:r w:rsidR="00F46BAE" w:rsidRPr="00F46BAE">
        <w:t>3</w:t>
      </w:r>
      <w:r w:rsidRPr="00F46BAE">
        <w:t>b</w:t>
      </w:r>
      <w:bookmarkEnd w:id="50"/>
      <w:r w:rsidR="2A9D1337">
        <w:t>.</w:t>
      </w:r>
      <w:r w:rsidR="00DE08EE" w:rsidRPr="00DE08EE">
        <w:t xml:space="preserve"> To what extent is the </w:t>
      </w:r>
      <w:r w:rsidR="003D0872">
        <w:t>STPP</w:t>
      </w:r>
      <w:r w:rsidR="00DE08EE" w:rsidRPr="00DE08EE">
        <w:t xml:space="preserve"> consistent with the international principles and evidence regarding support for people with experience of HTMS and international programs?</w:t>
      </w:r>
      <w:bookmarkEnd w:id="51"/>
    </w:p>
    <w:p w14:paraId="7B71DC79" w14:textId="5B171A38" w:rsidR="001C2AEB" w:rsidRPr="00F55AB0" w:rsidRDefault="001C2AEB" w:rsidP="007E0AFE">
      <w:r>
        <w:t xml:space="preserve">The international context to evaluating the program includes </w:t>
      </w:r>
      <w:r w:rsidR="00815721">
        <w:t>international frameworks,</w:t>
      </w:r>
      <w:r>
        <w:t xml:space="preserve"> comparable programs being implemented in other countries and the research and evidence base. T</w:t>
      </w:r>
      <w:r w:rsidRPr="00A71FF8">
        <w:t xml:space="preserve">he STPP is partially aligned with internationally recognised victim support principles and broadly reflects the structural features of many comparable international programs. </w:t>
      </w:r>
      <w:r w:rsidRPr="00F55AB0">
        <w:t>However,</w:t>
      </w:r>
      <w:r>
        <w:t xml:space="preserve"> across these commitments and comparable international jurisdictions, </w:t>
      </w:r>
      <w:r w:rsidRPr="00F55AB0">
        <w:t xml:space="preserve">Australia </w:t>
      </w:r>
      <w:r w:rsidR="00305075" w:rsidRPr="00F55AB0">
        <w:t>is an</w:t>
      </w:r>
      <w:r w:rsidRPr="00F55AB0">
        <w:t xml:space="preserve"> outlier in several respects:</w:t>
      </w:r>
    </w:p>
    <w:p w14:paraId="5A240312" w14:textId="2A8F1E59" w:rsidR="001C2AEB" w:rsidRPr="006C2BBF" w:rsidRDefault="001C2AEB" w:rsidP="007E0AFE">
      <w:pPr>
        <w:pStyle w:val="Bullet1"/>
      </w:pPr>
      <w:r w:rsidRPr="006C2BBF">
        <w:t>participation in the program</w:t>
      </w:r>
      <w:r w:rsidR="00FC6C51">
        <w:t xml:space="preserve"> (beyond</w:t>
      </w:r>
      <w:r w:rsidR="00233A15">
        <w:t xml:space="preserve"> the ARP and</w:t>
      </w:r>
      <w:r w:rsidR="00FC6C51">
        <w:t xml:space="preserve"> </w:t>
      </w:r>
      <w:r w:rsidR="000A29BB">
        <w:t xml:space="preserve">90 days </w:t>
      </w:r>
      <w:r w:rsidR="00AA149A">
        <w:t>i</w:t>
      </w:r>
      <w:r w:rsidR="000A29BB">
        <w:t xml:space="preserve">n </w:t>
      </w:r>
      <w:r w:rsidR="00290780">
        <w:t>the Intensive Support Stream)</w:t>
      </w:r>
      <w:r w:rsidRPr="006C2BBF">
        <w:t xml:space="preserve"> </w:t>
      </w:r>
      <w:r w:rsidR="00451E9E">
        <w:t xml:space="preserve">is dependent </w:t>
      </w:r>
      <w:r w:rsidRPr="006C2BBF">
        <w:t>on criminal justice system involvement</w:t>
      </w:r>
    </w:p>
    <w:p w14:paraId="32969FC8" w14:textId="77777777" w:rsidR="001C2AEB" w:rsidRPr="00400054" w:rsidRDefault="001C2AEB" w:rsidP="007E0AFE">
      <w:pPr>
        <w:pStyle w:val="Bullet1"/>
      </w:pPr>
      <w:r w:rsidRPr="00400054">
        <w:t>lack of a coordinated national entry point to access supports for people with HTMS experiences.</w:t>
      </w:r>
    </w:p>
    <w:p w14:paraId="212AF21D" w14:textId="2055AD30" w:rsidR="00AA51CC" w:rsidRDefault="00AA51CC" w:rsidP="007E0AFE">
      <w:r>
        <w:t>This section presents a comparison of the STPP against key elements of ‘</w:t>
      </w:r>
      <w:r w:rsidR="002B12A5">
        <w:t xml:space="preserve">better </w:t>
      </w:r>
      <w:r>
        <w:t xml:space="preserve">practice’ (sourced and summarised from across the empirical </w:t>
      </w:r>
      <w:r w:rsidRPr="00400054">
        <w:t>evidence, international frameworks and international approaches).</w:t>
      </w:r>
    </w:p>
    <w:p w14:paraId="54FDB8CF" w14:textId="7DE0354F" w:rsidR="00636F7C" w:rsidRPr="00400054" w:rsidRDefault="00636F7C" w:rsidP="007E0AFE">
      <w:r>
        <w:t xml:space="preserve">When reading this, it should be remembered that the STPP is only one aspect of Australia’s response to HTMS, and that this section addresses the STPP, rather than Australia’s overall effort. </w:t>
      </w:r>
      <w:r w:rsidR="000D2D73">
        <w:t>I</w:t>
      </w:r>
      <w:r w:rsidR="000D2D73" w:rsidRPr="000D2D73">
        <w:t>t is not an assessment of whether Australia is meeting its international obligations</w:t>
      </w:r>
      <w:r w:rsidR="000D2D73">
        <w:t>.</w:t>
      </w:r>
    </w:p>
    <w:p w14:paraId="5161F440" w14:textId="77777777" w:rsidR="008B75AA" w:rsidRPr="00400054" w:rsidRDefault="008B75AA" w:rsidP="007E0AFE">
      <w:pPr>
        <w:pStyle w:val="Heading5"/>
      </w:pPr>
      <w:r w:rsidRPr="00400054">
        <w:t>Principles drawn from international frameworks</w:t>
      </w:r>
    </w:p>
    <w:p w14:paraId="55723B3F" w14:textId="5668DD14" w:rsidR="00AA51CC" w:rsidRDefault="00AA51CC" w:rsidP="007E0AFE">
      <w:r w:rsidRPr="00400054">
        <w:t>The</w:t>
      </w:r>
      <w:r w:rsidR="00313E56" w:rsidRPr="00400054">
        <w:t xml:space="preserve"> </w:t>
      </w:r>
      <w:r w:rsidR="000E56BD" w:rsidRPr="00400054">
        <w:t xml:space="preserve">rubric </w:t>
      </w:r>
      <w:r w:rsidR="00313E56" w:rsidRPr="00400054">
        <w:t xml:space="preserve">below </w:t>
      </w:r>
      <w:r w:rsidRPr="00400054">
        <w:t xml:space="preserve">is a thematic summary of </w:t>
      </w:r>
      <w:r w:rsidR="00815721">
        <w:t>principles articulated</w:t>
      </w:r>
      <w:r w:rsidRPr="00400054">
        <w:t xml:space="preserve"> in </w:t>
      </w:r>
      <w:r w:rsidR="009C170F">
        <w:t>relevant</w:t>
      </w:r>
      <w:r w:rsidRPr="00400054">
        <w:t xml:space="preserve"> international legal </w:t>
      </w:r>
      <w:r w:rsidR="005A5A78">
        <w:t xml:space="preserve">instruments </w:t>
      </w:r>
      <w:r w:rsidR="001E54CD">
        <w:t>ratified by Australia</w:t>
      </w:r>
      <w:r w:rsidRPr="00400054">
        <w:t xml:space="preserve">, and an assessment of the extent to which the STPP aligns with these. The following assessment </w:t>
      </w:r>
      <w:r w:rsidR="000E56BD" w:rsidRPr="00400054">
        <w:t xml:space="preserve">scale </w:t>
      </w:r>
      <w:r w:rsidRPr="00400054">
        <w:t xml:space="preserve">was used: </w:t>
      </w:r>
    </w:p>
    <w:p w14:paraId="09AD3A2F" w14:textId="775DA73D" w:rsidR="003F3AF4" w:rsidRDefault="003F3AF4" w:rsidP="007E0AFE">
      <w:pPr>
        <w:pStyle w:val="Caption"/>
      </w:pPr>
      <w:r>
        <w:t xml:space="preserve">Table </w:t>
      </w:r>
      <w:r w:rsidR="00FD1F67">
        <w:fldChar w:fldCharType="begin"/>
      </w:r>
      <w:r w:rsidR="00FD1F67">
        <w:instrText xml:space="preserve"> SEQ Table \* ARABIC </w:instrText>
      </w:r>
      <w:r w:rsidR="00FD1F67">
        <w:fldChar w:fldCharType="separate"/>
      </w:r>
      <w:r w:rsidR="00D9323B">
        <w:rPr>
          <w:noProof/>
        </w:rPr>
        <w:t>33</w:t>
      </w:r>
      <w:r w:rsidR="00FD1F67">
        <w:rPr>
          <w:noProof/>
        </w:rPr>
        <w:fldChar w:fldCharType="end"/>
      </w:r>
      <w:r>
        <w:t>: Assessment scale rubric</w:t>
      </w:r>
    </w:p>
    <w:tbl>
      <w:tblPr>
        <w:tblStyle w:val="TableGrid"/>
        <w:tblW w:w="0" w:type="auto"/>
        <w:tblLook w:val="04A0" w:firstRow="1" w:lastRow="0" w:firstColumn="1" w:lastColumn="0" w:noHBand="0" w:noVBand="1"/>
      </w:tblPr>
      <w:tblGrid>
        <w:gridCol w:w="1129"/>
        <w:gridCol w:w="9328"/>
      </w:tblGrid>
      <w:tr w:rsidR="00FB0670" w14:paraId="1669AF6D" w14:textId="77777777" w:rsidTr="00731275">
        <w:trPr>
          <w:cantSplit/>
          <w:tblHeader/>
        </w:trPr>
        <w:tc>
          <w:tcPr>
            <w:tcW w:w="1129" w:type="dxa"/>
            <w:shd w:val="clear" w:color="auto" w:fill="425563" w:themeFill="text1"/>
          </w:tcPr>
          <w:p w14:paraId="49E25EC7" w14:textId="7CC08110" w:rsidR="00FB0670" w:rsidRPr="00C27E6C" w:rsidRDefault="00731275" w:rsidP="00FB0670">
            <w:pPr>
              <w:pStyle w:val="Tableheadwhite"/>
            </w:pPr>
            <w:r>
              <w:t>Alignment</w:t>
            </w:r>
          </w:p>
        </w:tc>
        <w:tc>
          <w:tcPr>
            <w:tcW w:w="9328" w:type="dxa"/>
            <w:shd w:val="clear" w:color="auto" w:fill="425563" w:themeFill="text1"/>
          </w:tcPr>
          <w:p w14:paraId="0C5AE757" w14:textId="367C6D3F" w:rsidR="00FB0670" w:rsidRPr="006C2BBF" w:rsidRDefault="00731275" w:rsidP="00FB0670">
            <w:pPr>
              <w:pStyle w:val="Tableheadwhite"/>
            </w:pPr>
            <w:r>
              <w:t>Detail</w:t>
            </w:r>
          </w:p>
        </w:tc>
      </w:tr>
      <w:tr w:rsidR="00C27E6C" w14:paraId="523BD119" w14:textId="77777777" w:rsidTr="00731275">
        <w:trPr>
          <w:cantSplit/>
        </w:trPr>
        <w:tc>
          <w:tcPr>
            <w:tcW w:w="1129" w:type="dxa"/>
            <w:shd w:val="clear" w:color="auto" w:fill="F6F9F7"/>
          </w:tcPr>
          <w:p w14:paraId="654316B9" w14:textId="75BAD8F4" w:rsidR="00C27E6C" w:rsidRPr="00C27E6C" w:rsidRDefault="00C27E6C" w:rsidP="007E0AFE">
            <w:pPr>
              <w:rPr>
                <w:rFonts w:asciiTheme="majorHAnsi" w:eastAsiaTheme="majorEastAsia" w:hAnsiTheme="majorHAnsi" w:cstheme="majorBidi"/>
                <w:sz w:val="18"/>
                <w:szCs w:val="20"/>
              </w:rPr>
            </w:pPr>
            <w:r w:rsidRPr="00C27E6C">
              <w:rPr>
                <w:rFonts w:asciiTheme="majorHAnsi" w:eastAsiaTheme="majorEastAsia" w:hAnsiTheme="majorHAnsi" w:cstheme="majorBidi"/>
                <w:sz w:val="18"/>
                <w:szCs w:val="20"/>
              </w:rPr>
              <w:t>Low alignment</w:t>
            </w:r>
          </w:p>
        </w:tc>
        <w:tc>
          <w:tcPr>
            <w:tcW w:w="9328" w:type="dxa"/>
          </w:tcPr>
          <w:p w14:paraId="48E9F3D3" w14:textId="7CD105ED" w:rsidR="00C27E6C" w:rsidRPr="006C2BBF" w:rsidRDefault="00C27E6C" w:rsidP="007E0AFE">
            <w:pPr>
              <w:rPr>
                <w:sz w:val="18"/>
                <w:szCs w:val="20"/>
              </w:rPr>
            </w:pPr>
            <w:r w:rsidRPr="006C2BBF">
              <w:rPr>
                <w:sz w:val="18"/>
                <w:szCs w:val="20"/>
              </w:rPr>
              <w:t>Indicates significant gaps or inconsistencies between the STPP and the international principle. The program may address the principle in a limited way or not at all. There may be substantial barriers or challenges hindering alignment. The program likely requires significant changes to achieve better alignment.</w:t>
            </w:r>
          </w:p>
        </w:tc>
      </w:tr>
      <w:tr w:rsidR="00C27E6C" w14:paraId="12C3211D" w14:textId="77777777" w:rsidTr="00731275">
        <w:trPr>
          <w:cantSplit/>
        </w:trPr>
        <w:tc>
          <w:tcPr>
            <w:tcW w:w="1129" w:type="dxa"/>
            <w:shd w:val="clear" w:color="auto" w:fill="F6F9F7"/>
          </w:tcPr>
          <w:p w14:paraId="3B2557C9" w14:textId="0DF90690" w:rsidR="00C27E6C" w:rsidRPr="00C27E6C" w:rsidRDefault="00C27E6C" w:rsidP="007E0AFE">
            <w:pPr>
              <w:rPr>
                <w:rFonts w:asciiTheme="majorHAnsi" w:eastAsiaTheme="majorEastAsia" w:hAnsiTheme="majorHAnsi" w:cstheme="majorBidi"/>
                <w:sz w:val="18"/>
                <w:szCs w:val="20"/>
              </w:rPr>
            </w:pPr>
            <w:r w:rsidRPr="00C27E6C">
              <w:rPr>
                <w:rFonts w:asciiTheme="majorHAnsi" w:eastAsiaTheme="majorEastAsia" w:hAnsiTheme="majorHAnsi" w:cstheme="majorBidi"/>
                <w:sz w:val="18"/>
                <w:szCs w:val="20"/>
              </w:rPr>
              <w:t>Medium alignment</w:t>
            </w:r>
          </w:p>
        </w:tc>
        <w:tc>
          <w:tcPr>
            <w:tcW w:w="9328" w:type="dxa"/>
          </w:tcPr>
          <w:p w14:paraId="5BD1980D" w14:textId="79DD44F6" w:rsidR="00C27E6C" w:rsidRPr="006C2BBF" w:rsidRDefault="00C27E6C" w:rsidP="007E0AFE">
            <w:pPr>
              <w:rPr>
                <w:sz w:val="18"/>
                <w:szCs w:val="20"/>
              </w:rPr>
            </w:pPr>
            <w:r w:rsidRPr="006C2BBF">
              <w:rPr>
                <w:sz w:val="18"/>
                <w:szCs w:val="20"/>
              </w:rPr>
              <w:t>Suggests partial alignment with the international principle. The program addresses the principle to some extent, but there are notable gaps or areas for improvement. There may be a mix of strengths and weaknesses in how the program reflects the principle. Moderate changes or adjustments are likely needed to enhance alignment.</w:t>
            </w:r>
          </w:p>
        </w:tc>
      </w:tr>
      <w:tr w:rsidR="00C27E6C" w14:paraId="618D0A47" w14:textId="77777777" w:rsidTr="00731275">
        <w:trPr>
          <w:cantSplit/>
        </w:trPr>
        <w:tc>
          <w:tcPr>
            <w:tcW w:w="1129" w:type="dxa"/>
            <w:shd w:val="clear" w:color="auto" w:fill="F6F9F7"/>
          </w:tcPr>
          <w:p w14:paraId="70FDD58C" w14:textId="27297743" w:rsidR="00C27E6C" w:rsidRPr="00C27E6C" w:rsidRDefault="00C27E6C" w:rsidP="007E0AFE">
            <w:pPr>
              <w:rPr>
                <w:rFonts w:asciiTheme="majorHAnsi" w:eastAsiaTheme="majorEastAsia" w:hAnsiTheme="majorHAnsi" w:cstheme="majorBidi"/>
                <w:sz w:val="18"/>
                <w:szCs w:val="20"/>
              </w:rPr>
            </w:pPr>
            <w:r w:rsidRPr="00C27E6C">
              <w:rPr>
                <w:rFonts w:asciiTheme="majorHAnsi" w:eastAsiaTheme="majorEastAsia" w:hAnsiTheme="majorHAnsi" w:cstheme="majorBidi"/>
                <w:sz w:val="18"/>
                <w:szCs w:val="20"/>
              </w:rPr>
              <w:t>High alignment</w:t>
            </w:r>
          </w:p>
        </w:tc>
        <w:tc>
          <w:tcPr>
            <w:tcW w:w="9328" w:type="dxa"/>
          </w:tcPr>
          <w:p w14:paraId="62DA08B6" w14:textId="38AB98EA" w:rsidR="00C27E6C" w:rsidRPr="006C2BBF" w:rsidRDefault="00C27E6C" w:rsidP="007E0AFE">
            <w:pPr>
              <w:rPr>
                <w:sz w:val="18"/>
                <w:szCs w:val="20"/>
              </w:rPr>
            </w:pPr>
            <w:r w:rsidRPr="006C2BBF">
              <w:rPr>
                <w:sz w:val="18"/>
                <w:szCs w:val="20"/>
              </w:rPr>
              <w:t>Indicates strong alignment between the STPP and the international principle. The program effectively addresses the principle in a comprehensive and consistent manner. There may be minor gaps or areas for refinement, but overall, the program demonstrates a strong implementation of the principle.</w:t>
            </w:r>
          </w:p>
        </w:tc>
      </w:tr>
    </w:tbl>
    <w:p w14:paraId="2952C3BD" w14:textId="68C68074" w:rsidR="00AA51CC" w:rsidRDefault="00AA51CC" w:rsidP="007E0AFE">
      <w:pPr>
        <w:pStyle w:val="Caption"/>
      </w:pPr>
      <w:r w:rsidRPr="00BE6F83">
        <w:lastRenderedPageBreak/>
        <w:t xml:space="preserve">Table </w:t>
      </w:r>
      <w:r w:rsidR="00122711" w:rsidRPr="006C2BBF">
        <w:fldChar w:fldCharType="begin"/>
      </w:r>
      <w:r w:rsidR="00122711" w:rsidRPr="00BE6F83">
        <w:instrText xml:space="preserve"> SEQ Table \* ARABIC </w:instrText>
      </w:r>
      <w:r w:rsidR="00122711" w:rsidRPr="006C2BBF">
        <w:fldChar w:fldCharType="separate"/>
      </w:r>
      <w:r w:rsidR="00D9323B">
        <w:rPr>
          <w:noProof/>
        </w:rPr>
        <w:t>34</w:t>
      </w:r>
      <w:r w:rsidR="00122711" w:rsidRPr="006C2BBF">
        <w:fldChar w:fldCharType="end"/>
      </w:r>
      <w:r w:rsidRPr="00BE6F83">
        <w:t xml:space="preserve">: Summary of STPP alignment with international victim support principles </w:t>
      </w:r>
    </w:p>
    <w:tbl>
      <w:tblPr>
        <w:tblStyle w:val="TableGrid"/>
        <w:tblW w:w="5005" w:type="pct"/>
        <w:tblInd w:w="-5" w:type="dxa"/>
        <w:tblLook w:val="04A0" w:firstRow="1" w:lastRow="0" w:firstColumn="1" w:lastColumn="0" w:noHBand="0" w:noVBand="1"/>
      </w:tblPr>
      <w:tblGrid>
        <w:gridCol w:w="1786"/>
        <w:gridCol w:w="2897"/>
        <w:gridCol w:w="2426"/>
        <w:gridCol w:w="3358"/>
      </w:tblGrid>
      <w:tr w:rsidR="001C43E9" w:rsidRPr="00400054" w14:paraId="19031E06" w14:textId="77777777" w:rsidTr="00731275">
        <w:trPr>
          <w:cantSplit/>
          <w:tblHeader/>
        </w:trPr>
        <w:tc>
          <w:tcPr>
            <w:tcW w:w="745" w:type="pct"/>
            <w:shd w:val="clear" w:color="auto" w:fill="425563" w:themeFill="text1"/>
            <w:hideMark/>
          </w:tcPr>
          <w:p w14:paraId="672BE646" w14:textId="1828F19C" w:rsidR="0077724A" w:rsidRPr="00A73C03" w:rsidRDefault="00233A15" w:rsidP="00A73C03">
            <w:pPr>
              <w:pStyle w:val="Tableheadwhite"/>
            </w:pPr>
            <w:r w:rsidRPr="00A73C03">
              <w:t xml:space="preserve">Principle </w:t>
            </w:r>
          </w:p>
        </w:tc>
        <w:tc>
          <w:tcPr>
            <w:tcW w:w="1420" w:type="pct"/>
            <w:shd w:val="clear" w:color="auto" w:fill="425563" w:themeFill="text1"/>
          </w:tcPr>
          <w:p w14:paraId="1311768B" w14:textId="75C9A856" w:rsidR="0077724A" w:rsidRPr="00A73C03" w:rsidRDefault="0077724A" w:rsidP="00A73C03">
            <w:pPr>
              <w:pStyle w:val="Tableheadwhite"/>
            </w:pPr>
            <w:r w:rsidRPr="00A73C03">
              <w:t>Relevant</w:t>
            </w:r>
            <w:r w:rsidR="00145FA8" w:rsidRPr="00A73C03">
              <w:t xml:space="preserve"> international frameworks</w:t>
            </w:r>
          </w:p>
        </w:tc>
        <w:tc>
          <w:tcPr>
            <w:tcW w:w="1195" w:type="pct"/>
            <w:shd w:val="clear" w:color="auto" w:fill="425563" w:themeFill="text1"/>
            <w:hideMark/>
          </w:tcPr>
          <w:p w14:paraId="1A2E099D" w14:textId="0D5BBA94" w:rsidR="0077724A" w:rsidRPr="00A73C03" w:rsidRDefault="0077724A" w:rsidP="00A73C03">
            <w:pPr>
              <w:pStyle w:val="Tableheadwhite"/>
            </w:pPr>
            <w:r w:rsidRPr="00A73C03">
              <w:t xml:space="preserve">Articulation  </w:t>
            </w:r>
          </w:p>
        </w:tc>
        <w:tc>
          <w:tcPr>
            <w:tcW w:w="1640" w:type="pct"/>
            <w:shd w:val="clear" w:color="auto" w:fill="425563" w:themeFill="text1"/>
          </w:tcPr>
          <w:p w14:paraId="73337B03" w14:textId="77777777" w:rsidR="0077724A" w:rsidRPr="00A73C03" w:rsidRDefault="0077724A" w:rsidP="00A73C03">
            <w:pPr>
              <w:pStyle w:val="Tableheadwhite"/>
            </w:pPr>
            <w:r w:rsidRPr="00A73C03">
              <w:t xml:space="preserve">Assessment of STPP against this </w:t>
            </w:r>
          </w:p>
        </w:tc>
      </w:tr>
      <w:tr w:rsidR="001473D2" w:rsidRPr="00400054" w14:paraId="5A44DFCB" w14:textId="77777777" w:rsidTr="00731275">
        <w:trPr>
          <w:cantSplit/>
        </w:trPr>
        <w:tc>
          <w:tcPr>
            <w:tcW w:w="745" w:type="pct"/>
            <w:hideMark/>
          </w:tcPr>
          <w:p w14:paraId="5258274D" w14:textId="77777777" w:rsidR="0077724A" w:rsidRPr="00400054" w:rsidRDefault="0077724A" w:rsidP="007E0AFE">
            <w:pPr>
              <w:pStyle w:val="TableText"/>
            </w:pPr>
            <w:r w:rsidRPr="00400054">
              <w:t>Human rights and victim-centred approach</w:t>
            </w:r>
          </w:p>
        </w:tc>
        <w:tc>
          <w:tcPr>
            <w:tcW w:w="1420" w:type="pct"/>
          </w:tcPr>
          <w:p w14:paraId="751A5F59" w14:textId="6638392B" w:rsidR="00A157A6" w:rsidRPr="002C29B8" w:rsidRDefault="008C5AD2" w:rsidP="007E0AFE">
            <w:pPr>
              <w:pStyle w:val="Tabledot2"/>
            </w:pPr>
            <w:r w:rsidRPr="002C29B8">
              <w:t>UN Palermo Protocol</w:t>
            </w:r>
          </w:p>
          <w:p w14:paraId="5ABCCBE5" w14:textId="508283F3" w:rsidR="009E3A35" w:rsidRPr="002C29B8" w:rsidRDefault="00563785" w:rsidP="007E0AFE">
            <w:pPr>
              <w:pStyle w:val="Tabledot2"/>
            </w:pPr>
            <w:r w:rsidRPr="00563785">
              <w:t xml:space="preserve">UN Convention on the Rights of the Child </w:t>
            </w:r>
            <w:r w:rsidR="00357DBA">
              <w:t>(</w:t>
            </w:r>
            <w:r w:rsidR="0026273F" w:rsidRPr="002C29B8">
              <w:t>CRC</w:t>
            </w:r>
            <w:r w:rsidR="00357DBA">
              <w:t>)</w:t>
            </w:r>
          </w:p>
          <w:p w14:paraId="3B27386C" w14:textId="77777777" w:rsidR="00AD0E7C" w:rsidRDefault="00AD0E7C" w:rsidP="007E0AFE">
            <w:pPr>
              <w:pStyle w:val="Tabledot2"/>
            </w:pPr>
            <w:r w:rsidRPr="00AD0E7C">
              <w:t xml:space="preserve">Convention on the Elimination of All Forms of Discrimination Against Women (CEDAW) </w:t>
            </w:r>
          </w:p>
          <w:p w14:paraId="31565A8D" w14:textId="1DBE96DE" w:rsidR="00F6523F" w:rsidRPr="00400054" w:rsidRDefault="006E62BC" w:rsidP="007E0AFE">
            <w:pPr>
              <w:pStyle w:val="Tabledot2"/>
            </w:pPr>
            <w:r w:rsidRPr="006E62BC">
              <w:t xml:space="preserve">International Covenant on Civil and Political Rights </w:t>
            </w:r>
            <w:r>
              <w:t>(</w:t>
            </w:r>
            <w:r w:rsidR="009C73EF" w:rsidRPr="002C29B8">
              <w:t>ICCPR</w:t>
            </w:r>
            <w:r>
              <w:t>)</w:t>
            </w:r>
          </w:p>
        </w:tc>
        <w:tc>
          <w:tcPr>
            <w:tcW w:w="1195" w:type="pct"/>
            <w:hideMark/>
          </w:tcPr>
          <w:p w14:paraId="1AE89183" w14:textId="4CC4B4BB" w:rsidR="0077724A" w:rsidRPr="00400054" w:rsidRDefault="0077724A" w:rsidP="007E0AFE">
            <w:pPr>
              <w:pStyle w:val="TableText"/>
            </w:pPr>
            <w:r w:rsidRPr="00400054">
              <w:t xml:space="preserve">Trafficking violates human rights, requiring victim-centred, trauma-informed, and culturally appropriate responses. </w:t>
            </w:r>
          </w:p>
        </w:tc>
        <w:tc>
          <w:tcPr>
            <w:tcW w:w="1640" w:type="pct"/>
          </w:tcPr>
          <w:p w14:paraId="67230E94" w14:textId="77777777" w:rsidR="0077724A" w:rsidRPr="001E72BA" w:rsidRDefault="0077724A" w:rsidP="007E0AFE">
            <w:pPr>
              <w:pStyle w:val="TableText"/>
              <w:rPr>
                <w:rFonts w:asciiTheme="majorHAnsi" w:hAnsiTheme="majorHAnsi"/>
              </w:rPr>
            </w:pPr>
            <w:r w:rsidRPr="001E72BA">
              <w:rPr>
                <w:rFonts w:asciiTheme="majorHAnsi" w:hAnsiTheme="majorHAnsi"/>
              </w:rPr>
              <w:t xml:space="preserve">Low alignment </w:t>
            </w:r>
          </w:p>
          <w:p w14:paraId="46F32240" w14:textId="1A4B538A" w:rsidR="0077724A" w:rsidRDefault="0077724A" w:rsidP="007E0AFE">
            <w:pPr>
              <w:pStyle w:val="Tabledot2"/>
            </w:pPr>
            <w:r w:rsidRPr="002C29B8">
              <w:t xml:space="preserve">The STPP is designed to provide broad needs-based, trauma-informed, culturally appropriate support but gaps exist in service delivery, transparency and consistent inclusion of a lived experience voice in design and operation. </w:t>
            </w:r>
          </w:p>
          <w:p w14:paraId="7875CCF6" w14:textId="334CFF32" w:rsidR="0077724A" w:rsidRPr="00400054" w:rsidRDefault="001E4CDC" w:rsidP="007E0AFE">
            <w:pPr>
              <w:pStyle w:val="Tabledot2"/>
            </w:pPr>
            <w:r>
              <w:t>Linking support</w:t>
            </w:r>
            <w:r w:rsidRPr="002C29B8">
              <w:t xml:space="preserve"> to criminal justice </w:t>
            </w:r>
            <w:r>
              <w:t xml:space="preserve">system </w:t>
            </w:r>
            <w:r w:rsidR="00B52CCC">
              <w:t xml:space="preserve">involvement </w:t>
            </w:r>
            <w:r w:rsidR="00B52CCC" w:rsidRPr="002C29B8">
              <w:t>is</w:t>
            </w:r>
            <w:r w:rsidRPr="002C29B8">
              <w:t xml:space="preserve"> </w:t>
            </w:r>
            <w:r w:rsidR="00B52CCC">
              <w:t>at</w:t>
            </w:r>
            <w:r w:rsidRPr="002C29B8">
              <w:t xml:space="preserve"> odds with a </w:t>
            </w:r>
            <w:r>
              <w:t>h</w:t>
            </w:r>
            <w:r w:rsidRPr="00E032D6">
              <w:t>uman rights and victim-centred approach</w:t>
            </w:r>
            <w:r>
              <w:t>.</w:t>
            </w:r>
            <w:r w:rsidR="00E032D6" w:rsidRPr="00E032D6" w:rsidDel="008E39A8">
              <w:t xml:space="preserve"> </w:t>
            </w:r>
            <w:r w:rsidR="008E39A8">
              <w:t xml:space="preserve"> </w:t>
            </w:r>
          </w:p>
        </w:tc>
      </w:tr>
      <w:tr w:rsidR="001473D2" w:rsidRPr="00400054" w14:paraId="59515979" w14:textId="77777777" w:rsidTr="00731275">
        <w:trPr>
          <w:cantSplit/>
        </w:trPr>
        <w:tc>
          <w:tcPr>
            <w:tcW w:w="745" w:type="pct"/>
            <w:hideMark/>
          </w:tcPr>
          <w:p w14:paraId="576117DC" w14:textId="77777777" w:rsidR="0077724A" w:rsidRPr="00400054" w:rsidRDefault="0077724A" w:rsidP="007E0AFE">
            <w:pPr>
              <w:pStyle w:val="TableText"/>
            </w:pPr>
            <w:r w:rsidRPr="00400054">
              <w:t>Supports are provided on an informed basis</w:t>
            </w:r>
          </w:p>
        </w:tc>
        <w:tc>
          <w:tcPr>
            <w:tcW w:w="1420" w:type="pct"/>
          </w:tcPr>
          <w:p w14:paraId="28869B45" w14:textId="77777777" w:rsidR="0077724A" w:rsidRPr="002C29B8" w:rsidRDefault="00AD78A8" w:rsidP="007E0AFE">
            <w:pPr>
              <w:pStyle w:val="Tabledot2"/>
            </w:pPr>
            <w:r w:rsidRPr="002C29B8">
              <w:t>Palermo Protocol</w:t>
            </w:r>
          </w:p>
          <w:p w14:paraId="4D71721A" w14:textId="77777777" w:rsidR="00230BD7" w:rsidRPr="00230BD7" w:rsidRDefault="00205808" w:rsidP="007E0AFE">
            <w:pPr>
              <w:pStyle w:val="Tabledot2"/>
            </w:pPr>
            <w:r w:rsidRPr="00205808">
              <w:t>CRC</w:t>
            </w:r>
          </w:p>
          <w:p w14:paraId="36A1567D" w14:textId="10C7DD83" w:rsidR="00493E8B" w:rsidRPr="00400054" w:rsidRDefault="00493E8B" w:rsidP="007E0AFE">
            <w:pPr>
              <w:pStyle w:val="Tabledot2"/>
              <w:numPr>
                <w:ilvl w:val="0"/>
                <w:numId w:val="0"/>
              </w:numPr>
              <w:ind w:left="363"/>
            </w:pPr>
          </w:p>
        </w:tc>
        <w:tc>
          <w:tcPr>
            <w:tcW w:w="1195" w:type="pct"/>
            <w:hideMark/>
          </w:tcPr>
          <w:p w14:paraId="42DD2E69" w14:textId="408B2F46" w:rsidR="0077724A" w:rsidRPr="00400054" w:rsidRDefault="0077724A" w:rsidP="007E0AFE">
            <w:pPr>
              <w:pStyle w:val="TableText"/>
            </w:pPr>
            <w:r w:rsidRPr="00400054">
              <w:t xml:space="preserve">Support measures should be provided on an informed basis. </w:t>
            </w:r>
          </w:p>
          <w:p w14:paraId="3A4A43AB" w14:textId="2AA410DE" w:rsidR="0077724A" w:rsidRPr="00400054" w:rsidRDefault="0077724A" w:rsidP="007E0AFE">
            <w:pPr>
              <w:pStyle w:val="TableText"/>
            </w:pPr>
            <w:r w:rsidRPr="00400054">
              <w:t>Victims have the right to make decisions about support</w:t>
            </w:r>
            <w:r w:rsidR="00591EBD">
              <w:t xml:space="preserve"> and make </w:t>
            </w:r>
            <w:r w:rsidRPr="00400054">
              <w:t>informed decisions.</w:t>
            </w:r>
          </w:p>
        </w:tc>
        <w:tc>
          <w:tcPr>
            <w:tcW w:w="1640" w:type="pct"/>
          </w:tcPr>
          <w:p w14:paraId="4E12C293" w14:textId="77777777" w:rsidR="0077724A" w:rsidRPr="001E72BA" w:rsidRDefault="0077724A" w:rsidP="007E0AFE">
            <w:pPr>
              <w:pStyle w:val="TableText"/>
              <w:rPr>
                <w:rFonts w:asciiTheme="majorHAnsi" w:hAnsiTheme="majorHAnsi"/>
              </w:rPr>
            </w:pPr>
            <w:r w:rsidRPr="001E72BA">
              <w:rPr>
                <w:rFonts w:asciiTheme="majorHAnsi" w:hAnsiTheme="majorHAnsi"/>
              </w:rPr>
              <w:t xml:space="preserve">Medium alignment </w:t>
            </w:r>
          </w:p>
          <w:p w14:paraId="40BF57DF" w14:textId="77777777" w:rsidR="0077724A" w:rsidRPr="002C29B8" w:rsidRDefault="0077724A" w:rsidP="007E0AFE">
            <w:pPr>
              <w:pStyle w:val="Tabledot2"/>
            </w:pPr>
            <w:r w:rsidRPr="002C29B8">
              <w:t xml:space="preserve">Informed consent and choice are key components of the STPP model. </w:t>
            </w:r>
          </w:p>
          <w:p w14:paraId="079AD105" w14:textId="1C31D686" w:rsidR="0077724A" w:rsidRPr="00400054" w:rsidRDefault="0077724A" w:rsidP="007E0AFE">
            <w:pPr>
              <w:pStyle w:val="Tabledot2"/>
            </w:pPr>
            <w:r w:rsidRPr="002C29B8">
              <w:t>There are opportunities to increase transparency in how support is allocated and improve tailoring of information.</w:t>
            </w:r>
          </w:p>
        </w:tc>
      </w:tr>
      <w:tr w:rsidR="001473D2" w:rsidRPr="00400054" w14:paraId="4441C08E" w14:textId="77777777" w:rsidTr="00731275">
        <w:trPr>
          <w:cantSplit/>
        </w:trPr>
        <w:tc>
          <w:tcPr>
            <w:tcW w:w="745" w:type="pct"/>
            <w:hideMark/>
          </w:tcPr>
          <w:p w14:paraId="20E25AB0" w14:textId="3EFF8F13" w:rsidR="0077724A" w:rsidRPr="00400054" w:rsidRDefault="0077724A" w:rsidP="007E0AFE">
            <w:pPr>
              <w:pStyle w:val="TableText"/>
            </w:pPr>
            <w:r w:rsidRPr="00400054">
              <w:t>Non-discrimination and inclusivity</w:t>
            </w:r>
          </w:p>
        </w:tc>
        <w:tc>
          <w:tcPr>
            <w:tcW w:w="1420" w:type="pct"/>
          </w:tcPr>
          <w:p w14:paraId="4F0A879B" w14:textId="680F004C" w:rsidR="002C4F31" w:rsidRDefault="002C4F31" w:rsidP="007E0AFE">
            <w:pPr>
              <w:pStyle w:val="Tabledot2"/>
            </w:pPr>
            <w:r>
              <w:t>Palermo Protocol</w:t>
            </w:r>
          </w:p>
          <w:p w14:paraId="4ABDAA67" w14:textId="7AD81780" w:rsidR="0077724A" w:rsidRPr="002C29B8" w:rsidRDefault="003F4469" w:rsidP="007E0AFE">
            <w:pPr>
              <w:pStyle w:val="Tabledot2"/>
            </w:pPr>
            <w:r w:rsidRPr="002C29B8">
              <w:t>CRC</w:t>
            </w:r>
          </w:p>
          <w:p w14:paraId="7D4B7978" w14:textId="78C47982" w:rsidR="003F4469" w:rsidRPr="002C29B8" w:rsidRDefault="000B3164" w:rsidP="007E0AFE">
            <w:pPr>
              <w:pStyle w:val="Tabledot2"/>
            </w:pPr>
            <w:r w:rsidRPr="002C29B8">
              <w:t>ICCPR</w:t>
            </w:r>
          </w:p>
          <w:p w14:paraId="5A5AA3AB" w14:textId="635F6A70" w:rsidR="000B3164" w:rsidRPr="002C29B8" w:rsidRDefault="000B3164" w:rsidP="007E0AFE">
            <w:pPr>
              <w:pStyle w:val="Tabledot2"/>
            </w:pPr>
            <w:r w:rsidRPr="002C29B8">
              <w:t>CEDAW</w:t>
            </w:r>
          </w:p>
          <w:p w14:paraId="391FBA9E" w14:textId="06685D8F" w:rsidR="00267E4C" w:rsidRPr="00400054" w:rsidRDefault="00267E4C" w:rsidP="007E0AFE">
            <w:pPr>
              <w:pStyle w:val="Tabledot2"/>
              <w:numPr>
                <w:ilvl w:val="0"/>
                <w:numId w:val="0"/>
              </w:numPr>
              <w:ind w:left="363"/>
            </w:pPr>
          </w:p>
        </w:tc>
        <w:tc>
          <w:tcPr>
            <w:tcW w:w="1195" w:type="pct"/>
            <w:hideMark/>
          </w:tcPr>
          <w:p w14:paraId="26BDE2B6" w14:textId="6E86816A" w:rsidR="0077724A" w:rsidRPr="00400054" w:rsidRDefault="0077724A" w:rsidP="007E0AFE">
            <w:pPr>
              <w:pStyle w:val="TableText"/>
            </w:pPr>
            <w:r w:rsidRPr="00400054">
              <w:t xml:space="preserve">Safeguards to protect victims of trafficking should be extended to all victims, without discrimination. </w:t>
            </w:r>
          </w:p>
        </w:tc>
        <w:tc>
          <w:tcPr>
            <w:tcW w:w="1640" w:type="pct"/>
          </w:tcPr>
          <w:p w14:paraId="5DAF329D" w14:textId="77777777" w:rsidR="0077724A" w:rsidRPr="001E72BA" w:rsidRDefault="0077724A" w:rsidP="007E0AFE">
            <w:pPr>
              <w:pStyle w:val="TableText"/>
              <w:rPr>
                <w:rFonts w:asciiTheme="majorHAnsi" w:hAnsiTheme="majorHAnsi"/>
              </w:rPr>
            </w:pPr>
            <w:r w:rsidRPr="001E72BA">
              <w:rPr>
                <w:rFonts w:asciiTheme="majorHAnsi" w:hAnsiTheme="majorHAnsi"/>
              </w:rPr>
              <w:t xml:space="preserve">Low alignment </w:t>
            </w:r>
          </w:p>
          <w:p w14:paraId="25358A5A" w14:textId="7CDC2A86" w:rsidR="0077724A" w:rsidRPr="002C29B8" w:rsidRDefault="0077724A" w:rsidP="007E0AFE">
            <w:pPr>
              <w:pStyle w:val="Tabledot2"/>
            </w:pPr>
            <w:r w:rsidRPr="002C29B8">
              <w:t xml:space="preserve">The STPP is not available to people who do not wish to engage with the AFP beyond the Intensive Support Stream and do not hold a </w:t>
            </w:r>
            <w:r w:rsidR="001E4CDC">
              <w:t xml:space="preserve">valid </w:t>
            </w:r>
            <w:r w:rsidRPr="002C29B8">
              <w:t xml:space="preserve">visa. </w:t>
            </w:r>
          </w:p>
          <w:p w14:paraId="120965F5" w14:textId="60209ADF" w:rsidR="0077724A" w:rsidRPr="002C29B8" w:rsidRDefault="0077724A" w:rsidP="007E0AFE">
            <w:pPr>
              <w:pStyle w:val="Tabledot2"/>
            </w:pPr>
            <w:r w:rsidRPr="002C29B8">
              <w:t>The STPP is not available to people in Australia whose exploitation does not have a nexus to Australia</w:t>
            </w:r>
            <w:r w:rsidR="00FF49A8">
              <w:rPr>
                <w:rStyle w:val="FootnoteReference"/>
              </w:rPr>
              <w:footnoteReference w:id="31"/>
            </w:r>
            <w:r w:rsidRPr="002C29B8">
              <w:t>.</w:t>
            </w:r>
          </w:p>
          <w:p w14:paraId="0D991185" w14:textId="5EBA9E2F" w:rsidR="0077724A" w:rsidRPr="00400054" w:rsidRDefault="0077724A" w:rsidP="007E0AFE">
            <w:pPr>
              <w:pStyle w:val="Tabledot2"/>
            </w:pPr>
            <w:r w:rsidRPr="002C29B8">
              <w:t xml:space="preserve">There is evidence of low awareness of the ARP/STPP in Australia, which hinders the inclusivity of the STPP. </w:t>
            </w:r>
          </w:p>
        </w:tc>
      </w:tr>
      <w:tr w:rsidR="001473D2" w:rsidRPr="00400054" w14:paraId="53CB3B3E" w14:textId="77777777" w:rsidTr="00731275">
        <w:trPr>
          <w:cantSplit/>
        </w:trPr>
        <w:tc>
          <w:tcPr>
            <w:tcW w:w="745" w:type="pct"/>
            <w:hideMark/>
          </w:tcPr>
          <w:p w14:paraId="2984EBFE" w14:textId="77777777" w:rsidR="0077724A" w:rsidRPr="00400054" w:rsidRDefault="0077724A" w:rsidP="007E0AFE">
            <w:pPr>
              <w:pStyle w:val="TableText"/>
            </w:pPr>
            <w:r w:rsidRPr="00400054">
              <w:lastRenderedPageBreak/>
              <w:t>Individualised, flexible, and needs-based</w:t>
            </w:r>
          </w:p>
        </w:tc>
        <w:tc>
          <w:tcPr>
            <w:tcW w:w="1420" w:type="pct"/>
          </w:tcPr>
          <w:p w14:paraId="6B9B54EA" w14:textId="77777777" w:rsidR="0077724A" w:rsidRPr="002C29B8" w:rsidRDefault="00423668" w:rsidP="007E0AFE">
            <w:pPr>
              <w:pStyle w:val="Tabledot2"/>
            </w:pPr>
            <w:r w:rsidRPr="002C29B8">
              <w:t>Palermo Protocol</w:t>
            </w:r>
          </w:p>
          <w:p w14:paraId="56581BF1" w14:textId="2F6778CC" w:rsidR="00423668" w:rsidRPr="002C29B8" w:rsidRDefault="00423668" w:rsidP="007E0AFE">
            <w:pPr>
              <w:pStyle w:val="Tabledot2"/>
            </w:pPr>
            <w:r w:rsidRPr="002C29B8">
              <w:t>CRC</w:t>
            </w:r>
          </w:p>
          <w:p w14:paraId="516FDFE6" w14:textId="5E14634C" w:rsidR="004A53C3" w:rsidRPr="002C29B8" w:rsidRDefault="004A53C3" w:rsidP="007E0AFE">
            <w:pPr>
              <w:pStyle w:val="Tabledot2"/>
            </w:pPr>
            <w:r w:rsidRPr="009B44DA">
              <w:t xml:space="preserve">UN Human Rights Council Resolution concerning </w:t>
            </w:r>
            <w:r>
              <w:t>t</w:t>
            </w:r>
            <w:r w:rsidRPr="009B44DA">
              <w:t>rafficking in persons</w:t>
            </w:r>
          </w:p>
          <w:p w14:paraId="2BB52779" w14:textId="4A84FF39" w:rsidR="00423668" w:rsidRPr="00400054" w:rsidRDefault="00423668" w:rsidP="007E0AFE">
            <w:pPr>
              <w:pStyle w:val="Tabledot2"/>
              <w:numPr>
                <w:ilvl w:val="0"/>
                <w:numId w:val="0"/>
              </w:numPr>
            </w:pPr>
          </w:p>
        </w:tc>
        <w:tc>
          <w:tcPr>
            <w:tcW w:w="1195" w:type="pct"/>
            <w:hideMark/>
          </w:tcPr>
          <w:p w14:paraId="6B5E3208" w14:textId="209CC5A1" w:rsidR="0077724A" w:rsidRPr="00400054" w:rsidRDefault="0077724A" w:rsidP="007E0AFE">
            <w:pPr>
              <w:pStyle w:val="TableText"/>
            </w:pPr>
            <w:r w:rsidRPr="00400054">
              <w:t xml:space="preserve">Support should be tailored to the individual needs of each victim and adapt as needs and situations change over time. </w:t>
            </w:r>
          </w:p>
        </w:tc>
        <w:tc>
          <w:tcPr>
            <w:tcW w:w="1640" w:type="pct"/>
          </w:tcPr>
          <w:p w14:paraId="17B2570B" w14:textId="77777777" w:rsidR="0077724A" w:rsidRPr="001E72BA" w:rsidRDefault="0077724A" w:rsidP="007E0AFE">
            <w:pPr>
              <w:pStyle w:val="TableText"/>
              <w:rPr>
                <w:rFonts w:asciiTheme="majorHAnsi" w:hAnsiTheme="majorHAnsi"/>
              </w:rPr>
            </w:pPr>
            <w:r w:rsidRPr="001E72BA">
              <w:rPr>
                <w:rFonts w:asciiTheme="majorHAnsi" w:hAnsiTheme="majorHAnsi"/>
              </w:rPr>
              <w:t xml:space="preserve">Medium alignment </w:t>
            </w:r>
          </w:p>
          <w:p w14:paraId="2FC1F778" w14:textId="77777777" w:rsidR="0077724A" w:rsidRPr="002C29B8" w:rsidRDefault="0077724A" w:rsidP="007E0AFE">
            <w:pPr>
              <w:pStyle w:val="Tabledot2"/>
            </w:pPr>
            <w:r w:rsidRPr="002C29B8">
              <w:t>The STPP offers tailored support based on assessment of needs.</w:t>
            </w:r>
          </w:p>
          <w:p w14:paraId="3F3F9275" w14:textId="77777777" w:rsidR="0077724A" w:rsidRPr="002C29B8" w:rsidRDefault="0077724A" w:rsidP="007E0AFE">
            <w:pPr>
              <w:pStyle w:val="Tabledot2"/>
            </w:pPr>
            <w:r w:rsidRPr="002C29B8">
              <w:t xml:space="preserve">There are reports that the allocation of monetary supports is not flexible enough to meet all needs. </w:t>
            </w:r>
          </w:p>
          <w:p w14:paraId="04E26082" w14:textId="4E93D3BA" w:rsidR="0077724A" w:rsidRPr="002C29B8" w:rsidRDefault="0077724A" w:rsidP="007E0AFE">
            <w:pPr>
              <w:pStyle w:val="Tabledot2"/>
            </w:pPr>
            <w:r w:rsidRPr="002C29B8">
              <w:t xml:space="preserve">The needs of dependants of </w:t>
            </w:r>
            <w:r w:rsidR="00F03E42">
              <w:t>participants</w:t>
            </w:r>
            <w:r w:rsidRPr="002C29B8">
              <w:t xml:space="preserve"> appear to be met only to a limited degree by the STPP. </w:t>
            </w:r>
          </w:p>
          <w:p w14:paraId="7B9D1212" w14:textId="188BB76E" w:rsidR="0077724A" w:rsidRPr="00400054" w:rsidRDefault="0E3464C5" w:rsidP="007E0AFE">
            <w:pPr>
              <w:pStyle w:val="Tabledot2"/>
            </w:pPr>
            <w:r w:rsidRPr="002C29B8">
              <w:t>Long-term needs may not be met depending on the length of criminal justice processes</w:t>
            </w:r>
            <w:r w:rsidR="7379B162" w:rsidRPr="002C29B8">
              <w:t>,</w:t>
            </w:r>
            <w:r w:rsidRPr="002C29B8">
              <w:t xml:space="preserve"> which determines the duration of support.</w:t>
            </w:r>
          </w:p>
        </w:tc>
      </w:tr>
      <w:tr w:rsidR="001473D2" w:rsidRPr="00400054" w14:paraId="1D83969F" w14:textId="77777777" w:rsidTr="00731275">
        <w:trPr>
          <w:cantSplit/>
        </w:trPr>
        <w:tc>
          <w:tcPr>
            <w:tcW w:w="745" w:type="pct"/>
            <w:hideMark/>
          </w:tcPr>
          <w:p w14:paraId="36AC995C" w14:textId="77777777" w:rsidR="0077724A" w:rsidRPr="00400054" w:rsidRDefault="0077724A" w:rsidP="007E0AFE">
            <w:pPr>
              <w:pStyle w:val="TableText"/>
            </w:pPr>
            <w:r w:rsidRPr="00400054">
              <w:t>Safety and security</w:t>
            </w:r>
          </w:p>
        </w:tc>
        <w:tc>
          <w:tcPr>
            <w:tcW w:w="1420" w:type="pct"/>
          </w:tcPr>
          <w:p w14:paraId="7E457E3E" w14:textId="652CA3A2" w:rsidR="009B44DA" w:rsidRPr="009B44DA" w:rsidRDefault="009B44DA" w:rsidP="007E0AFE">
            <w:pPr>
              <w:pStyle w:val="Tabledot2"/>
            </w:pPr>
            <w:r w:rsidRPr="009B44DA">
              <w:t>Palermo Protocol</w:t>
            </w:r>
          </w:p>
          <w:p w14:paraId="4B46EA1D" w14:textId="5898CFCF" w:rsidR="009B44DA" w:rsidRPr="009B44DA" w:rsidRDefault="009B44DA" w:rsidP="007E0AFE">
            <w:pPr>
              <w:pStyle w:val="Tabledot2"/>
            </w:pPr>
            <w:r w:rsidRPr="009B44DA">
              <w:t>CRC</w:t>
            </w:r>
          </w:p>
          <w:p w14:paraId="2E0D5FED" w14:textId="58AC5A43" w:rsidR="00CA4D7D" w:rsidRPr="00400054" w:rsidRDefault="00CA4D7D" w:rsidP="007E0AFE">
            <w:pPr>
              <w:pStyle w:val="Tabledot2"/>
              <w:numPr>
                <w:ilvl w:val="0"/>
                <w:numId w:val="0"/>
              </w:numPr>
              <w:ind w:left="363"/>
            </w:pPr>
          </w:p>
        </w:tc>
        <w:tc>
          <w:tcPr>
            <w:tcW w:w="1195" w:type="pct"/>
            <w:hideMark/>
          </w:tcPr>
          <w:p w14:paraId="16841E1D" w14:textId="69930CA4" w:rsidR="0077724A" w:rsidRPr="00400054" w:rsidRDefault="0077724A" w:rsidP="007E0AFE">
            <w:pPr>
              <w:pStyle w:val="TableText"/>
            </w:pPr>
            <w:r w:rsidRPr="00400054">
              <w:t>Due account should be taken of the victim’s safety and protection needs</w:t>
            </w:r>
            <w:r w:rsidR="009B44DA">
              <w:t xml:space="preserve"> including re-victimisation</w:t>
            </w:r>
            <w:r w:rsidRPr="00400054">
              <w:t>.</w:t>
            </w:r>
          </w:p>
        </w:tc>
        <w:tc>
          <w:tcPr>
            <w:tcW w:w="1640" w:type="pct"/>
          </w:tcPr>
          <w:p w14:paraId="65840125" w14:textId="77777777" w:rsidR="0077724A" w:rsidRPr="001E72BA" w:rsidRDefault="0077724A" w:rsidP="007E0AFE">
            <w:pPr>
              <w:pStyle w:val="TableText"/>
              <w:rPr>
                <w:rFonts w:asciiTheme="majorHAnsi" w:hAnsiTheme="majorHAnsi"/>
              </w:rPr>
            </w:pPr>
            <w:r w:rsidRPr="001E72BA">
              <w:rPr>
                <w:rFonts w:asciiTheme="majorHAnsi" w:hAnsiTheme="majorHAnsi"/>
              </w:rPr>
              <w:t xml:space="preserve">Medium alignment </w:t>
            </w:r>
          </w:p>
          <w:p w14:paraId="142CD4A4" w14:textId="4F7C684A" w:rsidR="0077724A" w:rsidRPr="002C29B8" w:rsidRDefault="0077724A" w:rsidP="007E0AFE">
            <w:pPr>
              <w:pStyle w:val="Tabledot2"/>
            </w:pPr>
            <w:r w:rsidRPr="002C29B8">
              <w:t>Safety and security needs appear generally met during time on the STPP.</w:t>
            </w:r>
            <w:r w:rsidR="001B7151">
              <w:t xml:space="preserve"> However, </w:t>
            </w:r>
            <w:r w:rsidR="001A1CC9">
              <w:t xml:space="preserve">safe exit from situations of exploitation for those referred via ARP </w:t>
            </w:r>
            <w:r w:rsidR="004C1DB1">
              <w:t xml:space="preserve">reportedly </w:t>
            </w:r>
            <w:r w:rsidR="00733B92">
              <w:t>involves practice challenges</w:t>
            </w:r>
            <w:r w:rsidR="00444A44">
              <w:t>.</w:t>
            </w:r>
          </w:p>
          <w:p w14:paraId="16E65625" w14:textId="77777777" w:rsidR="0077724A" w:rsidRPr="00400054" w:rsidRDefault="0077724A" w:rsidP="007E0AFE">
            <w:pPr>
              <w:pStyle w:val="Tabledot2"/>
            </w:pPr>
            <w:r w:rsidRPr="002C29B8">
              <w:t xml:space="preserve">There are reports of individuals exiting the STPP into situations at high risk of further exploitation, in some cases due to lack of access to services and financial assistance because of visa status. </w:t>
            </w:r>
          </w:p>
        </w:tc>
      </w:tr>
      <w:tr w:rsidR="001473D2" w:rsidRPr="00400054" w14:paraId="5390D379" w14:textId="77777777" w:rsidTr="00731275">
        <w:trPr>
          <w:cantSplit/>
        </w:trPr>
        <w:tc>
          <w:tcPr>
            <w:tcW w:w="745" w:type="pct"/>
            <w:hideMark/>
          </w:tcPr>
          <w:p w14:paraId="5C3608AF" w14:textId="77777777" w:rsidR="0077724A" w:rsidRPr="00400054" w:rsidRDefault="0077724A" w:rsidP="007E0AFE">
            <w:pPr>
              <w:pStyle w:val="TableText"/>
            </w:pPr>
            <w:r w:rsidRPr="00400054">
              <w:t>Confidentiality and privacy</w:t>
            </w:r>
          </w:p>
        </w:tc>
        <w:tc>
          <w:tcPr>
            <w:tcW w:w="1420" w:type="pct"/>
          </w:tcPr>
          <w:p w14:paraId="0431B361" w14:textId="77777777" w:rsidR="007E0F72" w:rsidRPr="002C29B8" w:rsidRDefault="007E0F72" w:rsidP="007E0AFE">
            <w:pPr>
              <w:pStyle w:val="Tabledot2"/>
            </w:pPr>
            <w:r w:rsidRPr="00307224">
              <w:t>Palermo Protocol</w:t>
            </w:r>
          </w:p>
          <w:p w14:paraId="66CEA105" w14:textId="6F276A8E" w:rsidR="004C18AA" w:rsidRPr="002C29B8" w:rsidRDefault="004C18AA" w:rsidP="007E0AFE">
            <w:pPr>
              <w:pStyle w:val="Tabledot2"/>
            </w:pPr>
            <w:r w:rsidRPr="00307224">
              <w:t>CRC</w:t>
            </w:r>
          </w:p>
          <w:p w14:paraId="4D909A97" w14:textId="49255F4D" w:rsidR="007D72FE" w:rsidRPr="00400054" w:rsidRDefault="002D285C" w:rsidP="007E0AFE">
            <w:pPr>
              <w:pStyle w:val="Tabledot2"/>
            </w:pPr>
            <w:r w:rsidRPr="00307224">
              <w:t>UN Human Rights Council Resolution concerning trafficking in persons</w:t>
            </w:r>
          </w:p>
        </w:tc>
        <w:tc>
          <w:tcPr>
            <w:tcW w:w="1195" w:type="pct"/>
            <w:hideMark/>
          </w:tcPr>
          <w:p w14:paraId="1FF800E3" w14:textId="38451703" w:rsidR="0077724A" w:rsidRPr="00400054" w:rsidRDefault="0077724A" w:rsidP="007E0AFE">
            <w:pPr>
              <w:pStyle w:val="TableText"/>
            </w:pPr>
            <w:r w:rsidRPr="00400054">
              <w:t xml:space="preserve">Information should only be shared when a victim gives consent and should be confined to as few people as possible. </w:t>
            </w:r>
          </w:p>
        </w:tc>
        <w:tc>
          <w:tcPr>
            <w:tcW w:w="1640" w:type="pct"/>
          </w:tcPr>
          <w:p w14:paraId="0846B9BE" w14:textId="77777777" w:rsidR="0077724A" w:rsidRPr="001E72BA" w:rsidRDefault="0077724A" w:rsidP="007E0AFE">
            <w:pPr>
              <w:pStyle w:val="TableText"/>
              <w:rPr>
                <w:rFonts w:asciiTheme="majorHAnsi" w:hAnsiTheme="majorHAnsi"/>
              </w:rPr>
            </w:pPr>
            <w:r w:rsidRPr="001E72BA">
              <w:rPr>
                <w:rFonts w:asciiTheme="majorHAnsi" w:hAnsiTheme="majorHAnsi"/>
              </w:rPr>
              <w:t xml:space="preserve">High alignment </w:t>
            </w:r>
          </w:p>
          <w:p w14:paraId="1C50671F" w14:textId="77777777" w:rsidR="0077724A" w:rsidRPr="00400054" w:rsidRDefault="0077724A" w:rsidP="007E0AFE">
            <w:pPr>
              <w:pStyle w:val="Tabledot2"/>
            </w:pPr>
            <w:r w:rsidRPr="002C29B8">
              <w:t>The STPP and ARP have stringent confidentiality and privacy protocols which include consent mechanisms and only sharing information when necessary.</w:t>
            </w:r>
          </w:p>
        </w:tc>
      </w:tr>
      <w:tr w:rsidR="001473D2" w:rsidRPr="00400054" w14:paraId="7AC113E9" w14:textId="77777777" w:rsidTr="00731275">
        <w:trPr>
          <w:cantSplit/>
        </w:trPr>
        <w:tc>
          <w:tcPr>
            <w:tcW w:w="745" w:type="pct"/>
            <w:hideMark/>
          </w:tcPr>
          <w:p w14:paraId="760DA02C" w14:textId="0103FDF2" w:rsidR="0077724A" w:rsidRPr="00400054" w:rsidRDefault="00766AF4" w:rsidP="007E0AFE">
            <w:pPr>
              <w:pStyle w:val="TableText"/>
            </w:pPr>
            <w:r w:rsidRPr="00766AF4">
              <w:lastRenderedPageBreak/>
              <w:t xml:space="preserve">Special </w:t>
            </w:r>
            <w:r>
              <w:t>p</w:t>
            </w:r>
            <w:r w:rsidRPr="00766AF4">
              <w:t xml:space="preserve">rotection and </w:t>
            </w:r>
            <w:r>
              <w:t>a</w:t>
            </w:r>
            <w:r w:rsidRPr="00766AF4">
              <w:t xml:space="preserve">ssistance for </w:t>
            </w:r>
            <w:r w:rsidR="009A67A8">
              <w:t>c</w:t>
            </w:r>
            <w:r w:rsidRPr="00766AF4">
              <w:t xml:space="preserve">hild </w:t>
            </w:r>
            <w:r w:rsidR="009A67A8">
              <w:t>v</w:t>
            </w:r>
            <w:r w:rsidRPr="00766AF4">
              <w:t>ictims</w:t>
            </w:r>
          </w:p>
        </w:tc>
        <w:tc>
          <w:tcPr>
            <w:tcW w:w="1420" w:type="pct"/>
          </w:tcPr>
          <w:p w14:paraId="5C76ECC3" w14:textId="77777777" w:rsidR="00F845D8" w:rsidRPr="002C29B8" w:rsidRDefault="00F845D8" w:rsidP="007E0AFE">
            <w:pPr>
              <w:pStyle w:val="Tabledot2"/>
            </w:pPr>
            <w:r w:rsidRPr="00307224">
              <w:t>Palermo Protocol</w:t>
            </w:r>
          </w:p>
          <w:p w14:paraId="772A4843" w14:textId="77777777" w:rsidR="00745D97" w:rsidRPr="00745D97" w:rsidRDefault="00745D97" w:rsidP="007E0AFE">
            <w:pPr>
              <w:pStyle w:val="Tabledot2"/>
            </w:pPr>
            <w:r w:rsidRPr="00307224">
              <w:t>CRC</w:t>
            </w:r>
          </w:p>
          <w:p w14:paraId="4FE86A52" w14:textId="3C8587F1" w:rsidR="00DB04A7" w:rsidRPr="00400054" w:rsidRDefault="00DB04A7" w:rsidP="007E0AFE">
            <w:pPr>
              <w:pStyle w:val="Tabledot2"/>
              <w:numPr>
                <w:ilvl w:val="0"/>
                <w:numId w:val="0"/>
              </w:numPr>
              <w:ind w:left="363"/>
            </w:pPr>
          </w:p>
        </w:tc>
        <w:tc>
          <w:tcPr>
            <w:tcW w:w="1195" w:type="pct"/>
            <w:hideMark/>
          </w:tcPr>
          <w:p w14:paraId="03C6A250" w14:textId="04E4727D" w:rsidR="0077724A" w:rsidRPr="00400054" w:rsidRDefault="00671CD9" w:rsidP="007E0AFE">
            <w:pPr>
              <w:pStyle w:val="TableText"/>
            </w:pPr>
            <w:r>
              <w:t>C</w:t>
            </w:r>
            <w:r w:rsidRPr="00671CD9">
              <w:t>hild victims are entitled to specific measures for their protection, recovery and reintegration, including appropriate housing, education and care</w:t>
            </w:r>
            <w:r>
              <w:t>. T</w:t>
            </w:r>
            <w:r w:rsidRPr="00400054">
              <w:t>he</w:t>
            </w:r>
            <w:r w:rsidR="0077724A" w:rsidRPr="00400054">
              <w:t xml:space="preserve"> best interests of the child must be a primary consideration</w:t>
            </w:r>
            <w:r w:rsidR="7ACD7CC4">
              <w:t>.</w:t>
            </w:r>
          </w:p>
        </w:tc>
        <w:tc>
          <w:tcPr>
            <w:tcW w:w="1640" w:type="pct"/>
          </w:tcPr>
          <w:p w14:paraId="08D68ABB" w14:textId="3BDC4603" w:rsidR="0077724A" w:rsidRPr="001E72BA" w:rsidRDefault="0077724A" w:rsidP="007E0AFE">
            <w:pPr>
              <w:pStyle w:val="TableText"/>
              <w:rPr>
                <w:rFonts w:asciiTheme="majorHAnsi" w:hAnsiTheme="majorHAnsi"/>
              </w:rPr>
            </w:pPr>
            <w:r w:rsidRPr="001E72BA">
              <w:rPr>
                <w:rFonts w:asciiTheme="majorHAnsi" w:hAnsiTheme="majorHAnsi"/>
              </w:rPr>
              <w:t xml:space="preserve">Low alignment </w:t>
            </w:r>
          </w:p>
          <w:p w14:paraId="1658B25C" w14:textId="443D0CF6" w:rsidR="0077724A" w:rsidRPr="00535D6C" w:rsidRDefault="0077724A" w:rsidP="007E0AFE">
            <w:pPr>
              <w:pStyle w:val="Tabledot2"/>
            </w:pPr>
            <w:r w:rsidRPr="00535D6C">
              <w:t xml:space="preserve">STPP does not consistently and comprehensively address the needs of </w:t>
            </w:r>
            <w:r w:rsidR="00001CBD" w:rsidRPr="00535D6C">
              <w:t>participants</w:t>
            </w:r>
            <w:r w:rsidR="00CF1131" w:rsidRPr="00535D6C">
              <w:t xml:space="preserve">’ </w:t>
            </w:r>
            <w:proofErr w:type="gramStart"/>
            <w:r w:rsidRPr="00535D6C">
              <w:t>children in their own right</w:t>
            </w:r>
            <w:proofErr w:type="gramEnd"/>
            <w:r w:rsidRPr="00535D6C">
              <w:t xml:space="preserve">. </w:t>
            </w:r>
          </w:p>
          <w:p w14:paraId="63BF435E" w14:textId="692DDF4B" w:rsidR="0077724A" w:rsidRPr="006C2BBF" w:rsidRDefault="0077724A" w:rsidP="007E0AFE">
            <w:pPr>
              <w:pStyle w:val="Tabledot2"/>
            </w:pPr>
            <w:r w:rsidRPr="006C2BBF">
              <w:t>Monetary allowances are reported to be insufficient to meet children’s needs</w:t>
            </w:r>
            <w:r w:rsidR="00935B71" w:rsidRPr="006C2BBF">
              <w:t xml:space="preserve"> – either as dependents or as program participants</w:t>
            </w:r>
            <w:r w:rsidRPr="006C2BBF">
              <w:t>.</w:t>
            </w:r>
            <w:r w:rsidR="00F971A8" w:rsidRPr="006C2BBF">
              <w:t xml:space="preserve"> </w:t>
            </w:r>
            <w:r w:rsidR="0052000D" w:rsidRPr="006C2BBF">
              <w:t>The dependents’ allowance</w:t>
            </w:r>
            <w:r w:rsidRPr="006C2BBF">
              <w:t xml:space="preserve"> </w:t>
            </w:r>
            <w:r w:rsidR="0052000D" w:rsidRPr="006C2BBF">
              <w:t xml:space="preserve">is insufficient to cover </w:t>
            </w:r>
            <w:r w:rsidR="00D97EF5" w:rsidRPr="006C2BBF">
              <w:t>ancillary schooling costs (uniform, laptop etc.)</w:t>
            </w:r>
            <w:r w:rsidR="00935B71" w:rsidRPr="006C2BBF">
              <w:t xml:space="preserve"> and the allowances framework is not suited to child participants (e.g. small education allowance</w:t>
            </w:r>
            <w:r w:rsidR="00535D6C" w:rsidRPr="006C2BBF">
              <w:t>)</w:t>
            </w:r>
          </w:p>
          <w:p w14:paraId="3B886615" w14:textId="476010BA" w:rsidR="0077724A" w:rsidRPr="00535D6C" w:rsidRDefault="0077724A" w:rsidP="007E0AFE">
            <w:pPr>
              <w:pStyle w:val="Tabledot2"/>
            </w:pPr>
            <w:r w:rsidRPr="00535D6C">
              <w:t>STPP is limited in supports it can provide to ensure that the best interests of the child are a primary consideration.</w:t>
            </w:r>
          </w:p>
        </w:tc>
      </w:tr>
      <w:tr w:rsidR="001473D2" w:rsidRPr="00400054" w14:paraId="7BEF663F" w14:textId="77777777" w:rsidTr="00731275">
        <w:trPr>
          <w:cantSplit/>
        </w:trPr>
        <w:tc>
          <w:tcPr>
            <w:tcW w:w="745" w:type="pct"/>
            <w:hideMark/>
          </w:tcPr>
          <w:p w14:paraId="5C25BB24" w14:textId="649363F7" w:rsidR="0077724A" w:rsidRPr="00400054" w:rsidRDefault="0077724A" w:rsidP="007E0AFE">
            <w:pPr>
              <w:pStyle w:val="TableText"/>
            </w:pPr>
            <w:r w:rsidRPr="00400054">
              <w:t>Cooperation and coordination</w:t>
            </w:r>
          </w:p>
        </w:tc>
        <w:tc>
          <w:tcPr>
            <w:tcW w:w="1420" w:type="pct"/>
          </w:tcPr>
          <w:p w14:paraId="07E2C573" w14:textId="53F31A6F" w:rsidR="0077724A" w:rsidRPr="002C29B8" w:rsidRDefault="00CE6E2D" w:rsidP="007E0AFE">
            <w:pPr>
              <w:pStyle w:val="Tabledot2"/>
            </w:pPr>
            <w:r w:rsidRPr="00307224">
              <w:t>Palermo Protocol</w:t>
            </w:r>
          </w:p>
          <w:p w14:paraId="06DB6918" w14:textId="51749312" w:rsidR="00311351" w:rsidRPr="00400054" w:rsidRDefault="00311351" w:rsidP="007E0AFE">
            <w:pPr>
              <w:pStyle w:val="Tabledot2"/>
              <w:numPr>
                <w:ilvl w:val="0"/>
                <w:numId w:val="0"/>
              </w:numPr>
              <w:ind w:left="363"/>
            </w:pPr>
          </w:p>
        </w:tc>
        <w:tc>
          <w:tcPr>
            <w:tcW w:w="1195" w:type="pct"/>
            <w:hideMark/>
          </w:tcPr>
          <w:p w14:paraId="2E894AB1" w14:textId="3EBA299E" w:rsidR="0077724A" w:rsidRPr="00400054" w:rsidRDefault="0077724A" w:rsidP="007E0AFE">
            <w:pPr>
              <w:pStyle w:val="TableText"/>
            </w:pPr>
            <w:r w:rsidRPr="00400054">
              <w:t xml:space="preserve">Cooperation with non-governmental organisations, other relevant organisations, and civil society is crucial and should be formalised where possible. </w:t>
            </w:r>
          </w:p>
        </w:tc>
        <w:tc>
          <w:tcPr>
            <w:tcW w:w="1640" w:type="pct"/>
          </w:tcPr>
          <w:p w14:paraId="64033061" w14:textId="77777777" w:rsidR="0077724A" w:rsidRPr="001E72BA" w:rsidRDefault="0077724A" w:rsidP="007E0AFE">
            <w:pPr>
              <w:pStyle w:val="TableText"/>
              <w:rPr>
                <w:rFonts w:asciiTheme="majorHAnsi" w:hAnsiTheme="majorHAnsi"/>
              </w:rPr>
            </w:pPr>
            <w:r w:rsidRPr="001E72BA">
              <w:rPr>
                <w:rFonts w:asciiTheme="majorHAnsi" w:hAnsiTheme="majorHAnsi"/>
              </w:rPr>
              <w:t xml:space="preserve">Medium alignment </w:t>
            </w:r>
          </w:p>
          <w:p w14:paraId="6963EF66" w14:textId="77777777" w:rsidR="0077724A" w:rsidRPr="002C29B8" w:rsidRDefault="0077724A" w:rsidP="007E0AFE">
            <w:pPr>
              <w:pStyle w:val="Tabledot2"/>
            </w:pPr>
            <w:r w:rsidRPr="002C29B8">
              <w:t>The STPP cooperates with a range of government, social service and civil society organisations, with generally high-functioning relationships.</w:t>
            </w:r>
          </w:p>
          <w:p w14:paraId="39E4070E" w14:textId="70DC5630" w:rsidR="0077724A" w:rsidRPr="00400054" w:rsidRDefault="0E3464C5" w:rsidP="007E0AFE">
            <w:pPr>
              <w:pStyle w:val="Tabledot2"/>
            </w:pPr>
            <w:r w:rsidRPr="002C29B8">
              <w:t xml:space="preserve">There are reports that coordination between federal and state-based agencies could be strengthened and concern </w:t>
            </w:r>
            <w:r w:rsidR="48C8CC25" w:rsidRPr="002C29B8">
              <w:t>wa</w:t>
            </w:r>
            <w:r w:rsidRPr="002C29B8">
              <w:t>s expressed regarding a perceived absence of a well-functioning, national HTMS ‘system’ in Australia to support prevention and early intervention.</w:t>
            </w:r>
          </w:p>
        </w:tc>
      </w:tr>
    </w:tbl>
    <w:p w14:paraId="2A3267A3" w14:textId="3EA67DC9" w:rsidR="00AA51CC" w:rsidRPr="00400054" w:rsidRDefault="00AA51CC" w:rsidP="007E0AFE">
      <w:pPr>
        <w:pStyle w:val="Heading5"/>
      </w:pPr>
      <w:r w:rsidRPr="00400054">
        <w:t xml:space="preserve">Program features from </w:t>
      </w:r>
      <w:r w:rsidR="00B87AEA" w:rsidRPr="00400054">
        <w:t>i</w:t>
      </w:r>
      <w:r w:rsidRPr="00400054">
        <w:t xml:space="preserve">nternational approaches to support for </w:t>
      </w:r>
      <w:r w:rsidR="00CF1131">
        <w:t>people with HTMS experience</w:t>
      </w:r>
      <w:r w:rsidRPr="00400054">
        <w:t>s</w:t>
      </w:r>
    </w:p>
    <w:p w14:paraId="440D1201" w14:textId="22E993D7" w:rsidR="00016019" w:rsidRPr="00400054" w:rsidRDefault="00AA51CC" w:rsidP="007E0AFE">
      <w:r w:rsidRPr="00400054">
        <w:t xml:space="preserve">International approaches to supporting </w:t>
      </w:r>
      <w:r w:rsidR="004B4C61">
        <w:t>people with</w:t>
      </w:r>
      <w:r w:rsidRPr="00400054">
        <w:t xml:space="preserve"> HTMS </w:t>
      </w:r>
      <w:r w:rsidR="004B4C61">
        <w:t>experiences</w:t>
      </w:r>
      <w:r w:rsidRPr="00400054">
        <w:t xml:space="preserve"> vary significantly regarding who identifies victims, how victim status is determined and linked to legal processes, and how services are delivered and funded.</w:t>
      </w:r>
    </w:p>
    <w:p w14:paraId="48544B10" w14:textId="5167EE22" w:rsidR="008622CE" w:rsidRDefault="001D05CD" w:rsidP="007E0AFE">
      <w:r w:rsidRPr="00400054">
        <w:t xml:space="preserve">The rubric </w:t>
      </w:r>
      <w:r w:rsidR="00F417DE">
        <w:t xml:space="preserve">below </w:t>
      </w:r>
      <w:r w:rsidRPr="00400054">
        <w:t>provides a</w:t>
      </w:r>
      <w:r w:rsidR="00786BBC" w:rsidRPr="00400054">
        <w:t xml:space="preserve"> summary of comparative analysis </w:t>
      </w:r>
      <w:r w:rsidR="00723ADE" w:rsidRPr="00400054">
        <w:t>of international</w:t>
      </w:r>
      <w:r w:rsidR="0068558D" w:rsidRPr="00400054">
        <w:t xml:space="preserve"> </w:t>
      </w:r>
      <w:r w:rsidR="002B12A5" w:rsidRPr="00400054">
        <w:t>be</w:t>
      </w:r>
      <w:r w:rsidR="002B12A5">
        <w:t>tter</w:t>
      </w:r>
      <w:r w:rsidR="002B12A5" w:rsidRPr="00400054">
        <w:t xml:space="preserve"> </w:t>
      </w:r>
      <w:r w:rsidR="0068558D" w:rsidRPr="00400054">
        <w:t>practice</w:t>
      </w:r>
      <w:r w:rsidR="00723ADE" w:rsidRPr="00400054">
        <w:t xml:space="preserve"> approaches</w:t>
      </w:r>
      <w:r w:rsidR="0068558D" w:rsidRPr="00400054">
        <w:t xml:space="preserve"> </w:t>
      </w:r>
      <w:r w:rsidR="00786BBC" w:rsidRPr="00400054">
        <w:t>t</w:t>
      </w:r>
      <w:r w:rsidR="00723ADE" w:rsidRPr="00400054">
        <w:t xml:space="preserve">o supporting </w:t>
      </w:r>
      <w:r w:rsidR="0003331D">
        <w:t>people with HTMS experiences</w:t>
      </w:r>
      <w:r w:rsidR="00723ADE" w:rsidRPr="00400054">
        <w:t xml:space="preserve"> </w:t>
      </w:r>
      <w:r w:rsidR="0068558D" w:rsidRPr="00400054">
        <w:t>and how Australia’s effort compares to this</w:t>
      </w:r>
      <w:r w:rsidRPr="00400054">
        <w:t xml:space="preserve">. </w:t>
      </w:r>
    </w:p>
    <w:p w14:paraId="2600F3CE" w14:textId="0F40460D" w:rsidR="00090220" w:rsidRDefault="00090220" w:rsidP="007E0AFE">
      <w:pPr>
        <w:pStyle w:val="Caption"/>
      </w:pPr>
      <w:r>
        <w:lastRenderedPageBreak/>
        <w:t xml:space="preserve">Table </w:t>
      </w:r>
      <w:r w:rsidR="00FD1F67">
        <w:fldChar w:fldCharType="begin"/>
      </w:r>
      <w:r w:rsidR="00FD1F67">
        <w:instrText xml:space="preserve"> SEQ Table \* ARABIC </w:instrText>
      </w:r>
      <w:r w:rsidR="00FD1F67">
        <w:fldChar w:fldCharType="separate"/>
      </w:r>
      <w:r w:rsidR="00D9323B">
        <w:rPr>
          <w:noProof/>
        </w:rPr>
        <w:t>35</w:t>
      </w:r>
      <w:r w:rsidR="00FD1F67">
        <w:rPr>
          <w:noProof/>
        </w:rPr>
        <w:fldChar w:fldCharType="end"/>
      </w:r>
      <w:r>
        <w:t>: Assessment scale rubric</w:t>
      </w:r>
    </w:p>
    <w:tbl>
      <w:tblPr>
        <w:tblStyle w:val="TableGrid"/>
        <w:tblW w:w="0" w:type="auto"/>
        <w:tblLook w:val="04A0" w:firstRow="1" w:lastRow="0" w:firstColumn="1" w:lastColumn="0" w:noHBand="0" w:noVBand="1"/>
      </w:tblPr>
      <w:tblGrid>
        <w:gridCol w:w="1555"/>
        <w:gridCol w:w="8902"/>
      </w:tblGrid>
      <w:tr w:rsidR="000A2EA4" w:rsidRPr="00090220" w14:paraId="711DE21F" w14:textId="77777777" w:rsidTr="004E553E">
        <w:trPr>
          <w:cantSplit/>
          <w:tblHeader/>
        </w:trPr>
        <w:tc>
          <w:tcPr>
            <w:tcW w:w="1555" w:type="dxa"/>
            <w:shd w:val="clear" w:color="auto" w:fill="425563" w:themeFill="text1"/>
          </w:tcPr>
          <w:p w14:paraId="1EEB3812" w14:textId="16FC5F7E" w:rsidR="000A2EA4" w:rsidRPr="00090220" w:rsidRDefault="004E553E" w:rsidP="004E553E">
            <w:pPr>
              <w:pStyle w:val="Tableheadwhite"/>
            </w:pPr>
            <w:r>
              <w:t>Alignment</w:t>
            </w:r>
          </w:p>
        </w:tc>
        <w:tc>
          <w:tcPr>
            <w:tcW w:w="8902" w:type="dxa"/>
            <w:shd w:val="clear" w:color="auto" w:fill="425563" w:themeFill="text1"/>
          </w:tcPr>
          <w:p w14:paraId="40D2C6B5" w14:textId="5C04585E" w:rsidR="000A2EA4" w:rsidRPr="00090220" w:rsidRDefault="004E553E" w:rsidP="004E553E">
            <w:pPr>
              <w:pStyle w:val="Tableheadwhite"/>
            </w:pPr>
            <w:r>
              <w:t>Detail</w:t>
            </w:r>
          </w:p>
        </w:tc>
      </w:tr>
      <w:tr w:rsidR="008622CE" w:rsidRPr="00090220" w14:paraId="0F704BD8" w14:textId="77777777" w:rsidTr="004E553E">
        <w:trPr>
          <w:cantSplit/>
        </w:trPr>
        <w:tc>
          <w:tcPr>
            <w:tcW w:w="1555" w:type="dxa"/>
            <w:shd w:val="clear" w:color="auto" w:fill="F6F9F7"/>
          </w:tcPr>
          <w:p w14:paraId="2612F15B" w14:textId="1547F9AB" w:rsidR="008622CE" w:rsidRPr="00090220" w:rsidRDefault="008622CE" w:rsidP="007E0AFE">
            <w:pPr>
              <w:rPr>
                <w:sz w:val="18"/>
                <w:szCs w:val="18"/>
              </w:rPr>
            </w:pPr>
            <w:r w:rsidRPr="00090220">
              <w:rPr>
                <w:rFonts w:asciiTheme="majorHAnsi" w:hAnsiTheme="majorHAnsi"/>
                <w:sz w:val="18"/>
                <w:szCs w:val="18"/>
              </w:rPr>
              <w:t>Low alignment</w:t>
            </w:r>
          </w:p>
        </w:tc>
        <w:tc>
          <w:tcPr>
            <w:tcW w:w="8902" w:type="dxa"/>
          </w:tcPr>
          <w:p w14:paraId="3FC1F8BD" w14:textId="1755B7A4" w:rsidR="008622CE" w:rsidRPr="00090220" w:rsidRDefault="008622CE" w:rsidP="007E0AFE">
            <w:pPr>
              <w:rPr>
                <w:sz w:val="18"/>
                <w:szCs w:val="18"/>
              </w:rPr>
            </w:pPr>
            <w:r w:rsidRPr="00090220">
              <w:rPr>
                <w:sz w:val="18"/>
                <w:szCs w:val="18"/>
              </w:rPr>
              <w:t>Indicates significant gaps or inconsistencies between the STPP and international approaches to supporting people with HTMS experiences. The program may address international best practice in a limited way or not at all. There may be substantial barriers or challenges hindering alignment. The program likely requires significant changes to achieve better alignment.</w:t>
            </w:r>
          </w:p>
        </w:tc>
      </w:tr>
      <w:tr w:rsidR="008622CE" w:rsidRPr="00090220" w14:paraId="119945F9" w14:textId="77777777" w:rsidTr="004E553E">
        <w:trPr>
          <w:cantSplit/>
        </w:trPr>
        <w:tc>
          <w:tcPr>
            <w:tcW w:w="1555" w:type="dxa"/>
            <w:shd w:val="clear" w:color="auto" w:fill="F6F9F7"/>
          </w:tcPr>
          <w:p w14:paraId="621A677F" w14:textId="44617D59" w:rsidR="008622CE" w:rsidRPr="00090220" w:rsidRDefault="008622CE" w:rsidP="007E0AFE">
            <w:pPr>
              <w:rPr>
                <w:sz w:val="18"/>
                <w:szCs w:val="18"/>
              </w:rPr>
            </w:pPr>
            <w:r w:rsidRPr="00090220">
              <w:rPr>
                <w:rFonts w:asciiTheme="majorHAnsi" w:hAnsiTheme="majorHAnsi"/>
                <w:sz w:val="18"/>
                <w:szCs w:val="18"/>
              </w:rPr>
              <w:t>Medium alignment</w:t>
            </w:r>
          </w:p>
        </w:tc>
        <w:tc>
          <w:tcPr>
            <w:tcW w:w="8902" w:type="dxa"/>
          </w:tcPr>
          <w:p w14:paraId="2A015EA9" w14:textId="5A013AC5" w:rsidR="008622CE" w:rsidRPr="00090220" w:rsidRDefault="008622CE" w:rsidP="007E0AFE">
            <w:pPr>
              <w:rPr>
                <w:sz w:val="18"/>
                <w:szCs w:val="18"/>
              </w:rPr>
            </w:pPr>
            <w:r w:rsidRPr="00090220">
              <w:rPr>
                <w:sz w:val="18"/>
                <w:szCs w:val="18"/>
              </w:rPr>
              <w:t>Suggest partial alignment with international best practice in approaches to supporting people with HTMS experiences, but there are notable gaps in areas for improvement. There may be a mix of strengths and weaknesses in how Australia’s program reflects best practice. Moderate changes or adjustments are likely needed to enhance alignment.</w:t>
            </w:r>
          </w:p>
        </w:tc>
      </w:tr>
      <w:tr w:rsidR="008622CE" w:rsidRPr="00090220" w14:paraId="19E347E3" w14:textId="77777777" w:rsidTr="004E553E">
        <w:trPr>
          <w:cantSplit/>
        </w:trPr>
        <w:tc>
          <w:tcPr>
            <w:tcW w:w="1555" w:type="dxa"/>
            <w:shd w:val="clear" w:color="auto" w:fill="F6F9F7"/>
          </w:tcPr>
          <w:p w14:paraId="401E2D5C" w14:textId="6DF69829" w:rsidR="008622CE" w:rsidRPr="00090220" w:rsidRDefault="008622CE" w:rsidP="007E0AFE">
            <w:pPr>
              <w:rPr>
                <w:sz w:val="18"/>
                <w:szCs w:val="18"/>
              </w:rPr>
            </w:pPr>
            <w:r w:rsidRPr="00090220">
              <w:rPr>
                <w:rFonts w:asciiTheme="majorHAnsi" w:hAnsiTheme="majorHAnsi"/>
                <w:sz w:val="18"/>
                <w:szCs w:val="18"/>
              </w:rPr>
              <w:t>High alignment</w:t>
            </w:r>
          </w:p>
        </w:tc>
        <w:tc>
          <w:tcPr>
            <w:tcW w:w="8902" w:type="dxa"/>
          </w:tcPr>
          <w:p w14:paraId="60BEFC56" w14:textId="5F872F55" w:rsidR="008622CE" w:rsidRPr="00090220" w:rsidRDefault="008622CE" w:rsidP="007E0AFE">
            <w:pPr>
              <w:rPr>
                <w:sz w:val="18"/>
                <w:szCs w:val="18"/>
              </w:rPr>
            </w:pPr>
            <w:r w:rsidRPr="00090220">
              <w:rPr>
                <w:sz w:val="18"/>
                <w:szCs w:val="18"/>
              </w:rPr>
              <w:t>Indicates strong alignment between the STPP and international approaches, where Australia is showing progress toward best practice. The program effectively addresses the principle in a comprehensive and consistent manner. There may be minor gaps or areas for refinement, but overall, the program demonstrates a strong commitment to the principle.</w:t>
            </w:r>
          </w:p>
        </w:tc>
      </w:tr>
    </w:tbl>
    <w:p w14:paraId="09C8BD24" w14:textId="1A0725E4" w:rsidR="00090220" w:rsidRPr="00090220" w:rsidRDefault="0025332A" w:rsidP="007E0AFE">
      <w:pPr>
        <w:pStyle w:val="Caption"/>
        <w:keepNext w:val="0"/>
        <w:rPr>
          <w:rFonts w:asciiTheme="minorHAnsi" w:eastAsiaTheme="minorEastAsia" w:hAnsiTheme="minorHAnsi" w:cs="Calibri"/>
          <w:iCs w:val="0"/>
          <w:sz w:val="20"/>
          <w:szCs w:val="20"/>
        </w:rPr>
      </w:pPr>
      <w:r w:rsidRPr="0025332A">
        <w:rPr>
          <w:rFonts w:asciiTheme="minorHAnsi" w:eastAsiaTheme="minorEastAsia" w:hAnsiTheme="minorHAnsi" w:cs="Calibri"/>
          <w:iCs w:val="0"/>
          <w:sz w:val="20"/>
          <w:szCs w:val="20"/>
        </w:rPr>
        <w:t>Below is an assessment</w:t>
      </w:r>
      <w:r w:rsidR="00AD7538" w:rsidRPr="0025332A">
        <w:rPr>
          <w:rFonts w:asciiTheme="minorHAnsi" w:eastAsiaTheme="minorEastAsia" w:hAnsiTheme="minorHAnsi" w:cs="Calibri"/>
          <w:sz w:val="20"/>
          <w:szCs w:val="20"/>
        </w:rPr>
        <w:t xml:space="preserve"> of the STPP </w:t>
      </w:r>
      <w:r w:rsidRPr="0025332A">
        <w:rPr>
          <w:rFonts w:asciiTheme="minorHAnsi" w:eastAsiaTheme="minorEastAsia" w:hAnsiTheme="minorHAnsi" w:cs="Calibri"/>
          <w:iCs w:val="0"/>
          <w:sz w:val="20"/>
          <w:szCs w:val="20"/>
        </w:rPr>
        <w:t xml:space="preserve">compared to </w:t>
      </w:r>
      <w:r w:rsidR="0089746C" w:rsidRPr="0025332A">
        <w:rPr>
          <w:rFonts w:asciiTheme="minorHAnsi" w:eastAsiaTheme="minorEastAsia" w:hAnsiTheme="minorHAnsi" w:cs="Calibri"/>
          <w:sz w:val="20"/>
          <w:szCs w:val="20"/>
        </w:rPr>
        <w:t>inte</w:t>
      </w:r>
      <w:r w:rsidR="002C7790" w:rsidRPr="0025332A">
        <w:rPr>
          <w:rFonts w:asciiTheme="minorHAnsi" w:eastAsiaTheme="minorEastAsia" w:hAnsiTheme="minorHAnsi" w:cs="Calibri"/>
          <w:sz w:val="20"/>
          <w:szCs w:val="20"/>
        </w:rPr>
        <w:t>rnational approaches</w:t>
      </w:r>
      <w:r w:rsidRPr="0025332A">
        <w:rPr>
          <w:rFonts w:asciiTheme="minorHAnsi" w:eastAsiaTheme="minorEastAsia" w:hAnsiTheme="minorHAnsi" w:cs="Calibri"/>
          <w:iCs w:val="0"/>
          <w:sz w:val="20"/>
          <w:szCs w:val="20"/>
        </w:rPr>
        <w:t>.</w:t>
      </w:r>
      <w:r w:rsidR="002C7790" w:rsidRPr="0025332A">
        <w:rPr>
          <w:rFonts w:asciiTheme="minorHAnsi" w:eastAsiaTheme="minorEastAsia" w:hAnsiTheme="minorHAnsi" w:cs="Calibri"/>
          <w:sz w:val="20"/>
          <w:szCs w:val="20"/>
        </w:rPr>
        <w:t xml:space="preserve"> </w:t>
      </w:r>
      <w:r w:rsidR="009C2FE1" w:rsidRPr="0025332A">
        <w:rPr>
          <w:rFonts w:asciiTheme="minorHAnsi" w:eastAsiaTheme="minorEastAsia" w:hAnsiTheme="minorHAnsi" w:cs="Calibri"/>
          <w:sz w:val="20"/>
          <w:szCs w:val="20"/>
        </w:rPr>
        <w:t>The U</w:t>
      </w:r>
      <w:r w:rsidR="009C2FE1">
        <w:rPr>
          <w:rFonts w:asciiTheme="minorHAnsi" w:eastAsiaTheme="minorEastAsia" w:hAnsiTheme="minorHAnsi" w:cs="Calibri"/>
          <w:sz w:val="20"/>
          <w:szCs w:val="20"/>
        </w:rPr>
        <w:t xml:space="preserve">nited </w:t>
      </w:r>
      <w:r w:rsidR="009C2FE1" w:rsidRPr="0025332A">
        <w:rPr>
          <w:rFonts w:asciiTheme="minorHAnsi" w:eastAsiaTheme="minorEastAsia" w:hAnsiTheme="minorHAnsi" w:cs="Calibri"/>
          <w:sz w:val="20"/>
          <w:szCs w:val="20"/>
        </w:rPr>
        <w:t>K</w:t>
      </w:r>
      <w:r w:rsidR="009C2FE1">
        <w:rPr>
          <w:rFonts w:asciiTheme="minorHAnsi" w:eastAsiaTheme="minorEastAsia" w:hAnsiTheme="minorHAnsi" w:cs="Calibri"/>
          <w:sz w:val="20"/>
          <w:szCs w:val="20"/>
        </w:rPr>
        <w:t>ingdom (UK)</w:t>
      </w:r>
      <w:r w:rsidR="009C2FE1" w:rsidRPr="0025332A">
        <w:rPr>
          <w:rFonts w:asciiTheme="minorHAnsi" w:eastAsiaTheme="minorEastAsia" w:hAnsiTheme="minorHAnsi" w:cs="Calibri"/>
          <w:sz w:val="20"/>
          <w:szCs w:val="20"/>
        </w:rPr>
        <w:t>, U</w:t>
      </w:r>
      <w:r w:rsidR="009C2FE1">
        <w:rPr>
          <w:rFonts w:asciiTheme="minorHAnsi" w:eastAsiaTheme="minorEastAsia" w:hAnsiTheme="minorHAnsi" w:cs="Calibri"/>
          <w:sz w:val="20"/>
          <w:szCs w:val="20"/>
        </w:rPr>
        <w:t xml:space="preserve">nited </w:t>
      </w:r>
      <w:r w:rsidR="009C2FE1" w:rsidRPr="0025332A">
        <w:rPr>
          <w:rFonts w:asciiTheme="minorHAnsi" w:eastAsiaTheme="minorEastAsia" w:hAnsiTheme="minorHAnsi" w:cs="Calibri"/>
          <w:sz w:val="20"/>
          <w:szCs w:val="20"/>
        </w:rPr>
        <w:t>S</w:t>
      </w:r>
      <w:r w:rsidR="009C2FE1">
        <w:rPr>
          <w:rFonts w:asciiTheme="minorHAnsi" w:eastAsiaTheme="minorEastAsia" w:hAnsiTheme="minorHAnsi" w:cs="Calibri"/>
          <w:sz w:val="20"/>
          <w:szCs w:val="20"/>
        </w:rPr>
        <w:t>tates (US)</w:t>
      </w:r>
      <w:r w:rsidR="009C2FE1" w:rsidRPr="0025332A">
        <w:rPr>
          <w:rFonts w:asciiTheme="minorHAnsi" w:eastAsiaTheme="minorEastAsia" w:hAnsiTheme="minorHAnsi" w:cs="Calibri"/>
          <w:sz w:val="20"/>
          <w:szCs w:val="20"/>
        </w:rPr>
        <w:t xml:space="preserve">, </w:t>
      </w:r>
      <w:r w:rsidR="003A1374">
        <w:rPr>
          <w:rFonts w:asciiTheme="minorHAnsi" w:eastAsiaTheme="minorEastAsia" w:hAnsiTheme="minorHAnsi" w:cs="Calibri"/>
          <w:sz w:val="20"/>
          <w:szCs w:val="20"/>
        </w:rPr>
        <w:t xml:space="preserve">and </w:t>
      </w:r>
      <w:r w:rsidR="009C2FE1" w:rsidRPr="0025332A">
        <w:rPr>
          <w:rFonts w:asciiTheme="minorHAnsi" w:eastAsiaTheme="minorEastAsia" w:hAnsiTheme="minorHAnsi" w:cs="Calibri"/>
          <w:sz w:val="20"/>
          <w:szCs w:val="20"/>
        </w:rPr>
        <w:t xml:space="preserve">Canada were </w:t>
      </w:r>
      <w:r w:rsidRPr="0025332A">
        <w:rPr>
          <w:rFonts w:asciiTheme="minorHAnsi" w:eastAsiaTheme="minorEastAsia" w:hAnsiTheme="minorHAnsi" w:cs="Calibri"/>
          <w:iCs w:val="0"/>
          <w:sz w:val="20"/>
          <w:szCs w:val="20"/>
        </w:rPr>
        <w:t>selected</w:t>
      </w:r>
      <w:r w:rsidR="009C2FE1" w:rsidRPr="0025332A">
        <w:rPr>
          <w:rFonts w:asciiTheme="minorHAnsi" w:eastAsiaTheme="minorEastAsia" w:hAnsiTheme="minorHAnsi" w:cs="Calibri"/>
          <w:sz w:val="20"/>
          <w:szCs w:val="20"/>
        </w:rPr>
        <w:t xml:space="preserve"> as comparator countries </w:t>
      </w:r>
      <w:r w:rsidRPr="0025332A">
        <w:rPr>
          <w:rFonts w:asciiTheme="minorHAnsi" w:eastAsiaTheme="minorEastAsia" w:hAnsiTheme="minorHAnsi" w:cs="Calibri"/>
          <w:iCs w:val="0"/>
          <w:sz w:val="20"/>
          <w:szCs w:val="20"/>
        </w:rPr>
        <w:t>because they share similar</w:t>
      </w:r>
      <w:r w:rsidR="00B74EA8" w:rsidRPr="0025332A">
        <w:rPr>
          <w:rFonts w:asciiTheme="minorHAnsi" w:eastAsiaTheme="minorEastAsia" w:hAnsiTheme="minorHAnsi" w:cs="Calibri"/>
          <w:sz w:val="20"/>
          <w:szCs w:val="20"/>
        </w:rPr>
        <w:t xml:space="preserve"> democratic </w:t>
      </w:r>
      <w:r w:rsidRPr="0025332A">
        <w:rPr>
          <w:rFonts w:asciiTheme="minorHAnsi" w:eastAsiaTheme="minorEastAsia" w:hAnsiTheme="minorHAnsi" w:cs="Calibri"/>
          <w:iCs w:val="0"/>
          <w:sz w:val="20"/>
          <w:szCs w:val="20"/>
        </w:rPr>
        <w:t>systems</w:t>
      </w:r>
      <w:r w:rsidR="00895947" w:rsidRPr="0025332A">
        <w:rPr>
          <w:rFonts w:asciiTheme="minorHAnsi" w:eastAsiaTheme="minorEastAsia" w:hAnsiTheme="minorHAnsi" w:cs="Calibri"/>
          <w:sz w:val="20"/>
          <w:szCs w:val="20"/>
        </w:rPr>
        <w:t xml:space="preserve"> with Australia</w:t>
      </w:r>
      <w:r w:rsidRPr="0025332A">
        <w:rPr>
          <w:rFonts w:asciiTheme="minorHAnsi" w:eastAsiaTheme="minorEastAsia" w:hAnsiTheme="minorHAnsi" w:cs="Calibri"/>
          <w:iCs w:val="0"/>
          <w:sz w:val="20"/>
          <w:szCs w:val="20"/>
        </w:rPr>
        <w:t xml:space="preserve"> and are relevant</w:t>
      </w:r>
      <w:r w:rsidR="002868A9" w:rsidRPr="0025332A">
        <w:rPr>
          <w:rFonts w:asciiTheme="minorHAnsi" w:eastAsiaTheme="minorEastAsia" w:hAnsiTheme="minorHAnsi" w:cs="Calibri"/>
          <w:sz w:val="20"/>
          <w:szCs w:val="20"/>
        </w:rPr>
        <w:t xml:space="preserve"> to </w:t>
      </w:r>
      <w:r w:rsidR="00877947" w:rsidRPr="0025332A">
        <w:rPr>
          <w:rFonts w:asciiTheme="minorHAnsi" w:eastAsiaTheme="minorEastAsia" w:hAnsiTheme="minorHAnsi" w:cs="Calibri"/>
          <w:sz w:val="20"/>
          <w:szCs w:val="20"/>
        </w:rPr>
        <w:t xml:space="preserve">aspects of the STPP highlighted in </w:t>
      </w:r>
      <w:r w:rsidR="006A6422" w:rsidRPr="0025332A">
        <w:rPr>
          <w:rFonts w:asciiTheme="minorHAnsi" w:eastAsiaTheme="minorEastAsia" w:hAnsiTheme="minorHAnsi" w:cs="Calibri"/>
          <w:sz w:val="20"/>
          <w:szCs w:val="20"/>
        </w:rPr>
        <w:t>this evaluation</w:t>
      </w:r>
      <w:r w:rsidR="24242B9E" w:rsidRPr="12FDB987">
        <w:rPr>
          <w:rFonts w:asciiTheme="minorHAnsi" w:eastAsiaTheme="minorEastAsia" w:hAnsiTheme="minorHAnsi" w:cs="Calibri"/>
          <w:sz w:val="20"/>
          <w:szCs w:val="20"/>
        </w:rPr>
        <w:t>,</w:t>
      </w:r>
      <w:r w:rsidR="00924B0D">
        <w:rPr>
          <w:rFonts w:asciiTheme="minorHAnsi" w:eastAsiaTheme="minorEastAsia" w:hAnsiTheme="minorHAnsi" w:cs="Calibri"/>
          <w:iCs w:val="0"/>
          <w:sz w:val="20"/>
          <w:szCs w:val="20"/>
        </w:rPr>
        <w:t xml:space="preserve"> </w:t>
      </w:r>
      <w:r w:rsidR="00083256">
        <w:rPr>
          <w:rFonts w:asciiTheme="minorHAnsi" w:eastAsiaTheme="minorEastAsia" w:hAnsiTheme="minorHAnsi" w:cs="Calibri"/>
          <w:iCs w:val="0"/>
          <w:sz w:val="20"/>
          <w:szCs w:val="20"/>
        </w:rPr>
        <w:t xml:space="preserve">either </w:t>
      </w:r>
      <w:r w:rsidR="00932CF6">
        <w:rPr>
          <w:rFonts w:asciiTheme="minorHAnsi" w:eastAsiaTheme="minorEastAsia" w:hAnsiTheme="minorHAnsi" w:cs="Calibri"/>
          <w:iCs w:val="0"/>
          <w:sz w:val="20"/>
          <w:szCs w:val="20"/>
        </w:rPr>
        <w:t>by alignment or divergence</w:t>
      </w:r>
      <w:r w:rsidRPr="0025332A">
        <w:rPr>
          <w:rFonts w:asciiTheme="minorHAnsi" w:eastAsiaTheme="minorEastAsia" w:hAnsiTheme="minorHAnsi" w:cs="Calibri"/>
          <w:iCs w:val="0"/>
          <w:sz w:val="20"/>
          <w:szCs w:val="20"/>
        </w:rPr>
        <w:t>.</w:t>
      </w:r>
      <w:r w:rsidR="006A6422" w:rsidRPr="0025332A">
        <w:rPr>
          <w:rFonts w:asciiTheme="minorHAnsi" w:eastAsiaTheme="minorEastAsia" w:hAnsiTheme="minorHAnsi" w:cs="Calibri"/>
          <w:sz w:val="20"/>
          <w:szCs w:val="20"/>
        </w:rPr>
        <w:t xml:space="preserve"> </w:t>
      </w:r>
      <w:r w:rsidR="00D12B72" w:rsidRPr="0025332A">
        <w:rPr>
          <w:rFonts w:asciiTheme="minorHAnsi" w:eastAsiaTheme="minorEastAsia" w:hAnsiTheme="minorHAnsi" w:cs="Calibri"/>
          <w:sz w:val="20"/>
          <w:szCs w:val="20"/>
        </w:rPr>
        <w:t xml:space="preserve">The </w:t>
      </w:r>
      <w:r w:rsidR="008D115C" w:rsidRPr="0025332A">
        <w:rPr>
          <w:rFonts w:asciiTheme="minorHAnsi" w:eastAsiaTheme="minorEastAsia" w:hAnsiTheme="minorHAnsi" w:cs="Calibri"/>
          <w:sz w:val="20"/>
          <w:szCs w:val="20"/>
        </w:rPr>
        <w:t xml:space="preserve">assessment is </w:t>
      </w:r>
      <w:r w:rsidRPr="0025332A">
        <w:rPr>
          <w:rFonts w:asciiTheme="minorHAnsi" w:eastAsiaTheme="minorEastAsia" w:hAnsiTheme="minorHAnsi" w:cs="Calibri"/>
          <w:iCs w:val="0"/>
          <w:sz w:val="20"/>
          <w:szCs w:val="20"/>
        </w:rPr>
        <w:t>organised</w:t>
      </w:r>
      <w:r w:rsidR="0034599F" w:rsidRPr="0025332A">
        <w:rPr>
          <w:rFonts w:asciiTheme="minorHAnsi" w:eastAsiaTheme="minorEastAsia" w:hAnsiTheme="minorHAnsi" w:cs="Calibri"/>
          <w:sz w:val="20"/>
          <w:szCs w:val="20"/>
        </w:rPr>
        <w:t xml:space="preserve"> by </w:t>
      </w:r>
      <w:r w:rsidR="00E21A4D" w:rsidRPr="0025332A">
        <w:rPr>
          <w:rFonts w:asciiTheme="minorHAnsi" w:eastAsiaTheme="minorEastAsia" w:hAnsiTheme="minorHAnsi" w:cs="Calibri"/>
          <w:sz w:val="20"/>
          <w:szCs w:val="20"/>
        </w:rPr>
        <w:t>key support dimensions</w:t>
      </w:r>
      <w:r w:rsidR="00155CE3" w:rsidRPr="0025332A">
        <w:rPr>
          <w:rFonts w:asciiTheme="minorHAnsi" w:eastAsiaTheme="minorEastAsia" w:hAnsiTheme="minorHAnsi" w:cs="Calibri"/>
          <w:sz w:val="20"/>
          <w:szCs w:val="20"/>
        </w:rPr>
        <w:t xml:space="preserve"> </w:t>
      </w:r>
      <w:r w:rsidR="0096007D" w:rsidRPr="0025332A">
        <w:rPr>
          <w:rFonts w:asciiTheme="minorHAnsi" w:eastAsiaTheme="minorEastAsia" w:hAnsiTheme="minorHAnsi" w:cs="Calibri"/>
          <w:sz w:val="20"/>
          <w:szCs w:val="20"/>
        </w:rPr>
        <w:t xml:space="preserve">identified </w:t>
      </w:r>
      <w:r w:rsidR="00763B21" w:rsidRPr="0025332A">
        <w:rPr>
          <w:rFonts w:asciiTheme="minorHAnsi" w:eastAsiaTheme="minorEastAsia" w:hAnsiTheme="minorHAnsi" w:cs="Calibri"/>
          <w:sz w:val="20"/>
          <w:szCs w:val="20"/>
        </w:rPr>
        <w:t xml:space="preserve">through </w:t>
      </w:r>
      <w:r w:rsidRPr="0025332A">
        <w:rPr>
          <w:rFonts w:asciiTheme="minorHAnsi" w:eastAsiaTheme="minorEastAsia" w:hAnsiTheme="minorHAnsi" w:cs="Calibri"/>
          <w:iCs w:val="0"/>
          <w:sz w:val="20"/>
          <w:szCs w:val="20"/>
        </w:rPr>
        <w:t xml:space="preserve">a </w:t>
      </w:r>
      <w:r w:rsidR="004842A0" w:rsidRPr="0025332A">
        <w:rPr>
          <w:rFonts w:asciiTheme="minorHAnsi" w:eastAsiaTheme="minorEastAsia" w:hAnsiTheme="minorHAnsi" w:cs="Calibri"/>
          <w:sz w:val="20"/>
          <w:szCs w:val="20"/>
        </w:rPr>
        <w:t xml:space="preserve">thematic review of </w:t>
      </w:r>
      <w:r w:rsidR="00C563BB" w:rsidRPr="0025332A">
        <w:rPr>
          <w:rFonts w:asciiTheme="minorHAnsi" w:eastAsiaTheme="minorEastAsia" w:hAnsiTheme="minorHAnsi" w:cs="Calibri"/>
          <w:sz w:val="20"/>
          <w:szCs w:val="20"/>
        </w:rPr>
        <w:t>relevant literature</w:t>
      </w:r>
      <w:r w:rsidRPr="0025332A">
        <w:rPr>
          <w:rFonts w:asciiTheme="minorHAnsi" w:eastAsiaTheme="minorEastAsia" w:hAnsiTheme="minorHAnsi" w:cs="Calibri"/>
          <w:iCs w:val="0"/>
          <w:sz w:val="20"/>
          <w:szCs w:val="20"/>
        </w:rPr>
        <w:t>,</w:t>
      </w:r>
      <w:r w:rsidR="00C563BB" w:rsidRPr="0025332A">
        <w:rPr>
          <w:rFonts w:asciiTheme="minorHAnsi" w:eastAsiaTheme="minorEastAsia" w:hAnsiTheme="minorHAnsi" w:cs="Calibri"/>
          <w:sz w:val="20"/>
          <w:szCs w:val="20"/>
        </w:rPr>
        <w:t xml:space="preserve"> with consideration </w:t>
      </w:r>
      <w:r w:rsidRPr="0025332A">
        <w:rPr>
          <w:rFonts w:asciiTheme="minorHAnsi" w:eastAsiaTheme="minorEastAsia" w:hAnsiTheme="minorHAnsi" w:cs="Calibri"/>
          <w:iCs w:val="0"/>
          <w:sz w:val="20"/>
          <w:szCs w:val="20"/>
        </w:rPr>
        <w:t xml:space="preserve">for </w:t>
      </w:r>
      <w:r w:rsidR="00567DBB" w:rsidRPr="0025332A">
        <w:rPr>
          <w:rFonts w:asciiTheme="minorHAnsi" w:eastAsiaTheme="minorEastAsia" w:hAnsiTheme="minorHAnsi" w:cs="Calibri"/>
          <w:sz w:val="20"/>
          <w:szCs w:val="20"/>
        </w:rPr>
        <w:t xml:space="preserve">this </w:t>
      </w:r>
      <w:r w:rsidRPr="0025332A">
        <w:rPr>
          <w:rFonts w:asciiTheme="minorHAnsi" w:eastAsiaTheme="minorEastAsia" w:hAnsiTheme="minorHAnsi" w:cs="Calibri"/>
          <w:iCs w:val="0"/>
          <w:sz w:val="20"/>
          <w:szCs w:val="20"/>
        </w:rPr>
        <w:t>evaluation's focus.</w:t>
      </w:r>
      <w:r w:rsidR="00A24709">
        <w:rPr>
          <w:rFonts w:asciiTheme="minorHAnsi" w:eastAsiaTheme="minorEastAsia" w:hAnsiTheme="minorHAnsi" w:cs="Calibri"/>
          <w:iCs w:val="0"/>
          <w:sz w:val="20"/>
          <w:szCs w:val="20"/>
        </w:rPr>
        <w:t xml:space="preserve"> This analysis is based purely on publicly available data</w:t>
      </w:r>
      <w:r w:rsidR="001D77C6">
        <w:rPr>
          <w:rFonts w:asciiTheme="minorHAnsi" w:eastAsiaTheme="minorEastAsia" w:hAnsiTheme="minorHAnsi" w:cs="Calibri"/>
          <w:iCs w:val="0"/>
          <w:sz w:val="20"/>
          <w:szCs w:val="20"/>
        </w:rPr>
        <w:t xml:space="preserve">, meaning that comparisons </w:t>
      </w:r>
      <w:r w:rsidR="00EC626F">
        <w:rPr>
          <w:rFonts w:asciiTheme="minorHAnsi" w:eastAsiaTheme="minorEastAsia" w:hAnsiTheme="minorHAnsi" w:cs="Calibri"/>
          <w:iCs w:val="0"/>
          <w:sz w:val="20"/>
          <w:szCs w:val="20"/>
        </w:rPr>
        <w:t>don’t</w:t>
      </w:r>
      <w:r w:rsidR="001D77C6">
        <w:rPr>
          <w:rFonts w:asciiTheme="minorHAnsi" w:eastAsiaTheme="minorEastAsia" w:hAnsiTheme="minorHAnsi" w:cs="Calibri"/>
          <w:iCs w:val="0"/>
          <w:sz w:val="20"/>
          <w:szCs w:val="20"/>
        </w:rPr>
        <w:t xml:space="preserve"> </w:t>
      </w:r>
      <w:r w:rsidR="00882DF0">
        <w:rPr>
          <w:rFonts w:asciiTheme="minorHAnsi" w:eastAsiaTheme="minorEastAsia" w:hAnsiTheme="minorHAnsi" w:cs="Calibri"/>
          <w:iCs w:val="0"/>
          <w:sz w:val="20"/>
          <w:szCs w:val="20"/>
        </w:rPr>
        <w:t xml:space="preserve">take </w:t>
      </w:r>
      <w:r w:rsidR="00EC626F">
        <w:rPr>
          <w:rFonts w:asciiTheme="minorHAnsi" w:eastAsiaTheme="minorEastAsia" w:hAnsiTheme="minorHAnsi" w:cs="Calibri"/>
          <w:iCs w:val="0"/>
          <w:sz w:val="20"/>
          <w:szCs w:val="20"/>
        </w:rPr>
        <w:t xml:space="preserve">every </w:t>
      </w:r>
      <w:r w:rsidR="00882DF0">
        <w:rPr>
          <w:rFonts w:asciiTheme="minorHAnsi" w:eastAsiaTheme="minorEastAsia" w:hAnsiTheme="minorHAnsi" w:cs="Calibri"/>
          <w:iCs w:val="0"/>
          <w:sz w:val="20"/>
          <w:szCs w:val="20"/>
        </w:rPr>
        <w:t>consideration</w:t>
      </w:r>
      <w:r w:rsidR="00EC626F">
        <w:rPr>
          <w:rFonts w:asciiTheme="minorHAnsi" w:eastAsiaTheme="minorEastAsia" w:hAnsiTheme="minorHAnsi" w:cs="Calibri"/>
          <w:iCs w:val="0"/>
          <w:sz w:val="20"/>
          <w:szCs w:val="20"/>
        </w:rPr>
        <w:t xml:space="preserve"> into account</w:t>
      </w:r>
      <w:r w:rsidR="00882DF0">
        <w:rPr>
          <w:rFonts w:asciiTheme="minorHAnsi" w:eastAsiaTheme="minorEastAsia" w:hAnsiTheme="minorHAnsi" w:cs="Calibri"/>
          <w:iCs w:val="0"/>
          <w:sz w:val="20"/>
          <w:szCs w:val="20"/>
        </w:rPr>
        <w:t>.</w:t>
      </w:r>
    </w:p>
    <w:p w14:paraId="306598E6" w14:textId="58BCC24F" w:rsidR="00AA51CC" w:rsidRPr="00A0249F" w:rsidRDefault="00AA51CC" w:rsidP="007E0AFE">
      <w:pPr>
        <w:pStyle w:val="Caption"/>
      </w:pPr>
      <w:r w:rsidRPr="00CE7F06">
        <w:lastRenderedPageBreak/>
        <w:t xml:space="preserve">Table </w:t>
      </w:r>
      <w:r w:rsidR="00FD1F67">
        <w:fldChar w:fldCharType="begin"/>
      </w:r>
      <w:r w:rsidR="00FD1F67">
        <w:instrText xml:space="preserve"> SEQ Table \* ARABIC </w:instrText>
      </w:r>
      <w:r w:rsidR="00FD1F67">
        <w:fldChar w:fldCharType="separate"/>
      </w:r>
      <w:r w:rsidR="00D9323B">
        <w:rPr>
          <w:noProof/>
        </w:rPr>
        <w:t>36</w:t>
      </w:r>
      <w:r w:rsidR="00FD1F67">
        <w:rPr>
          <w:noProof/>
        </w:rPr>
        <w:fldChar w:fldCharType="end"/>
      </w:r>
      <w:r w:rsidRPr="00CE7F06">
        <w:t xml:space="preserve">: Extent to which Australia aligns with international approaches to supporting </w:t>
      </w:r>
      <w:r w:rsidR="00047DC0" w:rsidRPr="00CE7F06">
        <w:t>people with HTMS experiences</w:t>
      </w:r>
    </w:p>
    <w:tbl>
      <w:tblPr>
        <w:tblStyle w:val="TableGrid"/>
        <w:tblW w:w="10490" w:type="dxa"/>
        <w:tblLook w:val="04A0" w:firstRow="1" w:lastRow="0" w:firstColumn="1" w:lastColumn="0" w:noHBand="0" w:noVBand="1"/>
      </w:tblPr>
      <w:tblGrid>
        <w:gridCol w:w="1745"/>
        <w:gridCol w:w="5271"/>
        <w:gridCol w:w="3474"/>
      </w:tblGrid>
      <w:tr w:rsidR="001C43E9" w:rsidRPr="00400054" w14:paraId="3BDC852F" w14:textId="77777777" w:rsidTr="0020250C">
        <w:trPr>
          <w:cantSplit/>
          <w:trHeight w:val="504"/>
          <w:tblHeader/>
        </w:trPr>
        <w:tc>
          <w:tcPr>
            <w:tcW w:w="1418" w:type="dxa"/>
            <w:shd w:val="clear" w:color="auto" w:fill="425563" w:themeFill="text1"/>
          </w:tcPr>
          <w:p w14:paraId="3A6EF2F6" w14:textId="48F53376" w:rsidR="00395F22" w:rsidRPr="00A37092" w:rsidRDefault="00395F22" w:rsidP="007E0AFE">
            <w:pPr>
              <w:pStyle w:val="TableText"/>
              <w:rPr>
                <w:rFonts w:asciiTheme="majorHAnsi" w:hAnsiTheme="majorHAnsi"/>
                <w:color w:val="FFFFFF"/>
              </w:rPr>
            </w:pPr>
            <w:r w:rsidRPr="00A37092">
              <w:rPr>
                <w:rFonts w:asciiTheme="majorHAnsi" w:hAnsiTheme="majorHAnsi"/>
                <w:color w:val="FFFFFF"/>
              </w:rPr>
              <w:t>Component</w:t>
            </w:r>
          </w:p>
        </w:tc>
        <w:tc>
          <w:tcPr>
            <w:tcW w:w="5463" w:type="dxa"/>
            <w:shd w:val="clear" w:color="auto" w:fill="425563" w:themeFill="text1"/>
          </w:tcPr>
          <w:p w14:paraId="4D6B9465" w14:textId="17418D21" w:rsidR="00395F22" w:rsidRPr="00A37092" w:rsidRDefault="00395F22" w:rsidP="007E0AFE">
            <w:pPr>
              <w:pStyle w:val="TableText"/>
              <w:rPr>
                <w:rFonts w:asciiTheme="majorHAnsi" w:hAnsiTheme="majorHAnsi"/>
                <w:color w:val="FFFFFF"/>
              </w:rPr>
            </w:pPr>
            <w:r w:rsidRPr="00A37092">
              <w:rPr>
                <w:rFonts w:asciiTheme="majorHAnsi" w:hAnsiTheme="majorHAnsi"/>
                <w:color w:val="FFFFFF"/>
              </w:rPr>
              <w:t xml:space="preserve">International </w:t>
            </w:r>
            <w:r w:rsidR="0037774F" w:rsidRPr="00A37092">
              <w:rPr>
                <w:rFonts w:asciiTheme="majorHAnsi" w:hAnsiTheme="majorHAnsi"/>
                <w:color w:val="FFFFFF"/>
              </w:rPr>
              <w:t>a</w:t>
            </w:r>
            <w:r w:rsidRPr="00A37092">
              <w:rPr>
                <w:rFonts w:asciiTheme="majorHAnsi" w:hAnsiTheme="majorHAnsi"/>
                <w:color w:val="FFFFFF"/>
              </w:rPr>
              <w:t>pproaches</w:t>
            </w:r>
          </w:p>
        </w:tc>
        <w:tc>
          <w:tcPr>
            <w:tcW w:w="3609" w:type="dxa"/>
            <w:shd w:val="clear" w:color="auto" w:fill="425563" w:themeFill="text1"/>
          </w:tcPr>
          <w:p w14:paraId="3328B60B" w14:textId="2E54029E" w:rsidR="00395F22" w:rsidRPr="00A37092" w:rsidRDefault="008B75AA" w:rsidP="007E0AFE">
            <w:pPr>
              <w:pStyle w:val="TableText"/>
              <w:rPr>
                <w:rFonts w:asciiTheme="majorHAnsi" w:hAnsiTheme="majorHAnsi"/>
                <w:color w:val="FFFFFF"/>
              </w:rPr>
            </w:pPr>
            <w:r w:rsidRPr="00A37092">
              <w:rPr>
                <w:rFonts w:asciiTheme="majorHAnsi" w:hAnsiTheme="majorHAnsi"/>
                <w:color w:val="FFFFFF"/>
              </w:rPr>
              <w:t xml:space="preserve">Assessment of STPP against this </w:t>
            </w:r>
          </w:p>
        </w:tc>
      </w:tr>
      <w:tr w:rsidR="00C63F3D" w:rsidRPr="00400054" w14:paraId="72AD85BF" w14:textId="77777777" w:rsidTr="0020250C">
        <w:trPr>
          <w:cantSplit/>
          <w:trHeight w:val="601"/>
        </w:trPr>
        <w:tc>
          <w:tcPr>
            <w:tcW w:w="1418" w:type="dxa"/>
            <w:shd w:val="clear" w:color="auto" w:fill="F6F9F7"/>
          </w:tcPr>
          <w:p w14:paraId="4FCBC6AB" w14:textId="77777777" w:rsidR="00AA51CC" w:rsidRPr="001E72BA" w:rsidRDefault="00AA51CC" w:rsidP="007E0AFE">
            <w:pPr>
              <w:pStyle w:val="TableText"/>
              <w:rPr>
                <w:rFonts w:asciiTheme="majorHAnsi" w:hAnsiTheme="majorHAnsi"/>
              </w:rPr>
            </w:pPr>
            <w:r w:rsidRPr="001E72BA">
              <w:rPr>
                <w:rFonts w:asciiTheme="majorHAnsi" w:hAnsiTheme="majorHAnsi"/>
              </w:rPr>
              <w:t>Identification processes</w:t>
            </w:r>
          </w:p>
          <w:p w14:paraId="57917D04" w14:textId="77777777" w:rsidR="00AA51CC" w:rsidRPr="0097092F" w:rsidRDefault="00AA51CC" w:rsidP="007E0AFE">
            <w:pPr>
              <w:pStyle w:val="TableText"/>
            </w:pPr>
          </w:p>
        </w:tc>
        <w:tc>
          <w:tcPr>
            <w:tcW w:w="5463" w:type="dxa"/>
          </w:tcPr>
          <w:p w14:paraId="0BD47718" w14:textId="77777777" w:rsidR="00D27DDB" w:rsidRDefault="00AA51CC" w:rsidP="007E0AFE">
            <w:pPr>
              <w:pStyle w:val="TableText"/>
            </w:pPr>
            <w:r w:rsidRPr="00400054">
              <w:t xml:space="preserve">International approaches to identifying </w:t>
            </w:r>
            <w:r w:rsidR="00400054">
              <w:t xml:space="preserve">people with </w:t>
            </w:r>
            <w:r w:rsidRPr="00400054">
              <w:t xml:space="preserve">HTMS </w:t>
            </w:r>
            <w:r w:rsidR="00400054">
              <w:t xml:space="preserve">experiences </w:t>
            </w:r>
            <w:r w:rsidR="00027810">
              <w:t xml:space="preserve">are characterised by multiple channels and single national entry points. </w:t>
            </w:r>
          </w:p>
          <w:p w14:paraId="5DCDA7D3" w14:textId="7422B40C" w:rsidR="00D27DDB" w:rsidRDefault="00D27DDB" w:rsidP="007E0AFE">
            <w:pPr>
              <w:pStyle w:val="TableHeader"/>
            </w:pPr>
            <w:r>
              <w:t>UK:</w:t>
            </w:r>
          </w:p>
          <w:p w14:paraId="0375D5B4" w14:textId="6B1588B3" w:rsidR="00AA51CC" w:rsidRDefault="00D27DDB" w:rsidP="007E0AFE">
            <w:pPr>
              <w:pStyle w:val="TableText"/>
              <w:rPr>
                <w:rFonts w:ascii="Barlow" w:hAnsi="Barlow"/>
                <w:szCs w:val="20"/>
              </w:rPr>
            </w:pPr>
            <w:r w:rsidRPr="003C4CEF">
              <w:t>Potential victims are identified and referred</w:t>
            </w:r>
            <w:r w:rsidR="00596FB9">
              <w:t xml:space="preserve"> through the National Referral Mechanism (NRM)</w:t>
            </w:r>
            <w:r w:rsidRPr="003C4CEF">
              <w:t xml:space="preserve"> by designated "First Responder" organisations (FROs), including police, immigration authorities (UKVI, Border Force), local authorities, and certain NGOs. </w:t>
            </w:r>
            <w:r w:rsidR="0017130B">
              <w:t xml:space="preserve">Verification of victim status is a </w:t>
            </w:r>
            <w:r w:rsidR="006105D1">
              <w:t>two-step</w:t>
            </w:r>
            <w:r w:rsidR="0017130B">
              <w:t xml:space="preserve"> process. </w:t>
            </w:r>
            <w:r w:rsidR="00BC5593">
              <w:t xml:space="preserve">A </w:t>
            </w:r>
            <w:r w:rsidR="00BC5593" w:rsidRPr="00AC7703">
              <w:rPr>
                <w:rFonts w:ascii="Barlow" w:hAnsi="Barlow"/>
                <w:szCs w:val="20"/>
              </w:rPr>
              <w:t xml:space="preserve">Reasonable Grounds (RG) </w:t>
            </w:r>
            <w:r w:rsidR="00BC5593">
              <w:rPr>
                <w:rFonts w:ascii="Barlow" w:hAnsi="Barlow"/>
                <w:szCs w:val="20"/>
              </w:rPr>
              <w:t>d</w:t>
            </w:r>
            <w:r w:rsidR="00BC5593" w:rsidRPr="00AC7703">
              <w:rPr>
                <w:rFonts w:ascii="Barlow" w:hAnsi="Barlow"/>
                <w:szCs w:val="20"/>
              </w:rPr>
              <w:t xml:space="preserve">ecision </w:t>
            </w:r>
            <w:r w:rsidR="005E205E">
              <w:rPr>
                <w:rFonts w:ascii="Barlow" w:hAnsi="Barlow"/>
                <w:szCs w:val="20"/>
              </w:rPr>
              <w:t>a</w:t>
            </w:r>
            <w:r w:rsidR="00BC5593" w:rsidRPr="00AC7703">
              <w:rPr>
                <w:rFonts w:ascii="Barlow" w:hAnsi="Barlow"/>
                <w:szCs w:val="20"/>
              </w:rPr>
              <w:t>ims to determine if there are "reasonable grounds" to believe an individual is a potential victim. This is considered a "low" threshold. A positive RG decision entitles the survivor to immediate support</w:t>
            </w:r>
            <w:r w:rsidR="00BC5593">
              <w:rPr>
                <w:rFonts w:ascii="Barlow" w:hAnsi="Barlow"/>
                <w:szCs w:val="20"/>
              </w:rPr>
              <w:t xml:space="preserve">. </w:t>
            </w:r>
            <w:r w:rsidR="0017130B">
              <w:t>A C</w:t>
            </w:r>
            <w:r w:rsidR="00975E15" w:rsidRPr="00AC7703">
              <w:rPr>
                <w:rFonts w:ascii="Barlow" w:hAnsi="Barlow"/>
                <w:szCs w:val="20"/>
              </w:rPr>
              <w:t xml:space="preserve">onclusive Grounds (CG) Decision </w:t>
            </w:r>
            <w:r w:rsidR="00076754">
              <w:rPr>
                <w:rFonts w:ascii="Barlow" w:hAnsi="Barlow"/>
                <w:szCs w:val="20"/>
              </w:rPr>
              <w:t>d</w:t>
            </w:r>
            <w:r w:rsidR="00975E15" w:rsidRPr="00AC7703">
              <w:rPr>
                <w:rFonts w:ascii="Barlow" w:hAnsi="Barlow"/>
                <w:szCs w:val="20"/>
              </w:rPr>
              <w:t xml:space="preserve">etermines, "on the balance of probabilities," whether a person is or was a victim of modern slavery. </w:t>
            </w:r>
            <w:r w:rsidR="00975E15" w:rsidRPr="00AB6D05">
              <w:rPr>
                <w:rFonts w:ascii="Barlow" w:hAnsi="Barlow"/>
                <w:szCs w:val="20"/>
              </w:rPr>
              <w:t xml:space="preserve">The Single Competent Authority (SCA) is </w:t>
            </w:r>
            <w:r w:rsidR="00975E15">
              <w:rPr>
                <w:rFonts w:ascii="Barlow" w:hAnsi="Barlow"/>
                <w:szCs w:val="20"/>
              </w:rPr>
              <w:t>a</w:t>
            </w:r>
            <w:r w:rsidR="00975E15" w:rsidRPr="00AB6D05">
              <w:rPr>
                <w:rFonts w:ascii="Barlow" w:hAnsi="Barlow"/>
                <w:szCs w:val="20"/>
              </w:rPr>
              <w:t xml:space="preserve"> decision-making bod</w:t>
            </w:r>
            <w:r w:rsidR="00975E15">
              <w:rPr>
                <w:rFonts w:ascii="Barlow" w:hAnsi="Barlow"/>
                <w:szCs w:val="20"/>
              </w:rPr>
              <w:t>y</w:t>
            </w:r>
            <w:r w:rsidR="00975E15" w:rsidRPr="00AB6D05">
              <w:rPr>
                <w:rFonts w:ascii="Barlow" w:hAnsi="Barlow"/>
                <w:szCs w:val="20"/>
              </w:rPr>
              <w:t xml:space="preserve">, composed of trained specialists, responsible for making </w:t>
            </w:r>
            <w:r w:rsidR="00975E15">
              <w:rPr>
                <w:rFonts w:ascii="Barlow" w:hAnsi="Barlow"/>
                <w:szCs w:val="20"/>
              </w:rPr>
              <w:t>RG and CG</w:t>
            </w:r>
            <w:r w:rsidR="00975E15" w:rsidRPr="00AB6D05">
              <w:rPr>
                <w:rFonts w:ascii="Barlow" w:hAnsi="Barlow"/>
                <w:szCs w:val="20"/>
              </w:rPr>
              <w:t xml:space="preserve"> decisions and, based on support worker recommendations, deciding the need and duration of ongoing support through the Modern Slavery Victim Care Contract (MSVCC)</w:t>
            </w:r>
            <w:r w:rsidR="006105D1">
              <w:rPr>
                <w:rFonts w:ascii="Barlow" w:hAnsi="Barlow"/>
                <w:szCs w:val="20"/>
              </w:rPr>
              <w:t xml:space="preserve"> </w:t>
            </w:r>
            <w:r w:rsidR="00506448" w:rsidRPr="00AC7703">
              <w:rPr>
                <w:rFonts w:ascii="Barlow" w:hAnsi="Barlow"/>
                <w:szCs w:val="20"/>
              </w:rPr>
              <w:t xml:space="preserve">Victims are automatically considered for </w:t>
            </w:r>
            <w:r w:rsidR="007D39E7">
              <w:rPr>
                <w:rFonts w:ascii="Barlow" w:hAnsi="Barlow"/>
                <w:szCs w:val="20"/>
              </w:rPr>
              <w:t xml:space="preserve">a </w:t>
            </w:r>
            <w:r w:rsidR="007D39E7" w:rsidRPr="00AC7703">
              <w:rPr>
                <w:rFonts w:ascii="Barlow" w:hAnsi="Barlow"/>
                <w:szCs w:val="20"/>
              </w:rPr>
              <w:t xml:space="preserve">Temporary Permission to Stay </w:t>
            </w:r>
            <w:r w:rsidR="007D39E7">
              <w:rPr>
                <w:rFonts w:ascii="Barlow" w:hAnsi="Barlow"/>
                <w:szCs w:val="20"/>
              </w:rPr>
              <w:t>(</w:t>
            </w:r>
            <w:r w:rsidR="00506448" w:rsidRPr="00AC7703">
              <w:rPr>
                <w:rFonts w:ascii="Barlow" w:hAnsi="Barlow"/>
                <w:szCs w:val="20"/>
              </w:rPr>
              <w:t>VTS</w:t>
            </w:r>
            <w:r w:rsidR="007D39E7">
              <w:rPr>
                <w:rFonts w:ascii="Barlow" w:hAnsi="Barlow"/>
                <w:szCs w:val="20"/>
              </w:rPr>
              <w:t>)</w:t>
            </w:r>
            <w:r w:rsidR="00506448" w:rsidRPr="00AC7703">
              <w:rPr>
                <w:rFonts w:ascii="Barlow" w:hAnsi="Barlow"/>
                <w:szCs w:val="20"/>
              </w:rPr>
              <w:t xml:space="preserve"> after a positive CG</w:t>
            </w:r>
            <w:r w:rsidR="00BB6015">
              <w:rPr>
                <w:rFonts w:ascii="Barlow" w:hAnsi="Barlow"/>
                <w:szCs w:val="20"/>
              </w:rPr>
              <w:t>.</w:t>
            </w:r>
          </w:p>
          <w:p w14:paraId="45786F62" w14:textId="62C96A9F" w:rsidR="00B47A4D" w:rsidRDefault="00B47A4D" w:rsidP="007E0AFE">
            <w:pPr>
              <w:pStyle w:val="TableHeader"/>
            </w:pPr>
            <w:r>
              <w:t>US:</w:t>
            </w:r>
          </w:p>
          <w:p w14:paraId="1BF62946" w14:textId="5D96485D" w:rsidR="00381947" w:rsidRDefault="00B47A4D" w:rsidP="007E0AFE">
            <w:pPr>
              <w:pStyle w:val="TableText"/>
              <w:rPr>
                <w:rFonts w:ascii="Barlow" w:hAnsi="Barlow"/>
                <w:szCs w:val="20"/>
              </w:rPr>
            </w:pPr>
            <w:r>
              <w:t>V</w:t>
            </w:r>
            <w:r w:rsidRPr="003C4CEF">
              <w:t xml:space="preserve">ictim identification can be made by law enforcement, other agencies, or individuals. </w:t>
            </w:r>
            <w:proofErr w:type="gramStart"/>
            <w:r w:rsidRPr="003C4CEF">
              <w:t>In order to</w:t>
            </w:r>
            <w:proofErr w:type="gramEnd"/>
            <w:r w:rsidRPr="003C4CEF">
              <w:t xml:space="preserve"> access services, non-citizens need to have a Continued Presence (CP) designation</w:t>
            </w:r>
            <w:r w:rsidR="00381947">
              <w:t xml:space="preserve">. </w:t>
            </w:r>
            <w:r w:rsidR="004420DA">
              <w:t>CP is</w:t>
            </w:r>
            <w:r w:rsidR="00381947" w:rsidRPr="00AC7703">
              <w:rPr>
                <w:rFonts w:ascii="Barlow" w:hAnsi="Barlow"/>
                <w:szCs w:val="20"/>
              </w:rPr>
              <w:t xml:space="preserve"> provided to individuals identified by law enforcement as </w:t>
            </w:r>
            <w:r w:rsidR="00381947">
              <w:rPr>
                <w:rFonts w:ascii="Barlow" w:hAnsi="Barlow"/>
                <w:szCs w:val="20"/>
              </w:rPr>
              <w:t>victims</w:t>
            </w:r>
            <w:r w:rsidR="00381947" w:rsidRPr="00AC7703">
              <w:rPr>
                <w:rFonts w:ascii="Barlow" w:hAnsi="Barlow"/>
                <w:szCs w:val="20"/>
              </w:rPr>
              <w:t xml:space="preserve"> who may be potential witnesses. </w:t>
            </w:r>
            <w:r w:rsidR="00381947">
              <w:rPr>
                <w:rFonts w:ascii="Barlow" w:hAnsi="Barlow"/>
                <w:szCs w:val="20"/>
              </w:rPr>
              <w:t xml:space="preserve">While law enforcement must lodge the application for CP, cooperation with law enforcement is not required for CP to be granted. </w:t>
            </w:r>
            <w:r w:rsidR="00115BA1" w:rsidRPr="00115BA1">
              <w:rPr>
                <w:rFonts w:ascii="Barlow" w:hAnsi="Barlow"/>
                <w:szCs w:val="20"/>
              </w:rPr>
              <w:t>CP is appropriate if the totality of the circumstances indicate the individual is a trafficking victim and may be a potential witness</w:t>
            </w:r>
            <w:r w:rsidR="00AF53C7">
              <w:rPr>
                <w:rFonts w:ascii="Barlow" w:hAnsi="Barlow"/>
                <w:szCs w:val="20"/>
              </w:rPr>
              <w:t xml:space="preserve">. </w:t>
            </w:r>
            <w:r w:rsidR="00381947">
              <w:rPr>
                <w:rFonts w:ascii="Barlow" w:hAnsi="Barlow"/>
                <w:szCs w:val="20"/>
              </w:rPr>
              <w:t xml:space="preserve">CP is granted initially for up to 2 years and can be renewed. </w:t>
            </w:r>
            <w:r w:rsidR="004420DA">
              <w:rPr>
                <w:rFonts w:ascii="Barlow" w:hAnsi="Barlow"/>
                <w:szCs w:val="20"/>
              </w:rPr>
              <w:t>Longer-term visa</w:t>
            </w:r>
            <w:r w:rsidR="002D317B">
              <w:rPr>
                <w:rFonts w:ascii="Barlow" w:hAnsi="Barlow"/>
                <w:szCs w:val="20"/>
              </w:rPr>
              <w:t xml:space="preserve">s include the T Visa and the U Visa. </w:t>
            </w:r>
          </w:p>
          <w:p w14:paraId="44E3F56A" w14:textId="67DF9416" w:rsidR="0038050C" w:rsidRDefault="0038050C" w:rsidP="007E0AFE">
            <w:pPr>
              <w:pStyle w:val="TableHeader"/>
            </w:pPr>
            <w:r>
              <w:t>Canada:</w:t>
            </w:r>
          </w:p>
          <w:p w14:paraId="0212FAC0" w14:textId="09DA1922" w:rsidR="00AA51CC" w:rsidRPr="00400054" w:rsidRDefault="0038050C" w:rsidP="007E0AFE">
            <w:pPr>
              <w:pStyle w:val="TableText"/>
            </w:pPr>
            <w:r w:rsidRPr="00AC7703">
              <w:t>Victims can self-identify to Immigration, Refugees and Citizenship Canada (IRCC) or be referred by law enforcement or non-governmental organi</w:t>
            </w:r>
            <w:r w:rsidR="00076754">
              <w:t>s</w:t>
            </w:r>
            <w:r w:rsidRPr="00AC7703">
              <w:t>ations. Verification of victim status to access the Temporary Resident Permit (TRP) is</w:t>
            </w:r>
            <w:r w:rsidR="00465F88">
              <w:t xml:space="preserve"> made by</w:t>
            </w:r>
            <w:r w:rsidR="00465F88" w:rsidRPr="00465F88">
              <w:t xml:space="preserve"> IRCC </w:t>
            </w:r>
            <w:r w:rsidR="00465F88">
              <w:t>based on</w:t>
            </w:r>
            <w:r w:rsidR="00465F88" w:rsidRPr="00465F88">
              <w:t xml:space="preserve"> whether there are reasonable grounds to believe the applicant is a victim of trafficking and whether issuing the permit is justified in the circumstances. </w:t>
            </w:r>
            <w:r w:rsidR="00BD0DD1" w:rsidRPr="0040558E">
              <w:t>Immigration officials can issue short-term TRPs for up to 180 days or long-term TRPs for three years. These permits allow victims to remain legally, access healthcare, and in some cases, work permits</w:t>
            </w:r>
            <w:r w:rsidR="00465F88">
              <w:t>.</w:t>
            </w:r>
            <w:r w:rsidR="473E696D" w:rsidRPr="002C29B8">
              <w:t xml:space="preserve"> </w:t>
            </w:r>
          </w:p>
        </w:tc>
        <w:tc>
          <w:tcPr>
            <w:tcW w:w="3609" w:type="dxa"/>
          </w:tcPr>
          <w:p w14:paraId="2D2A4DDA" w14:textId="38690ED3" w:rsidR="00AA51CC" w:rsidRPr="00D7668C" w:rsidRDefault="00027810" w:rsidP="007E0AFE">
            <w:pPr>
              <w:rPr>
                <w:rFonts w:asciiTheme="majorHAnsi" w:hAnsiTheme="majorHAnsi"/>
                <w:sz w:val="18"/>
                <w:szCs w:val="20"/>
              </w:rPr>
            </w:pPr>
            <w:r w:rsidRPr="00D7668C">
              <w:rPr>
                <w:rFonts w:asciiTheme="majorHAnsi" w:hAnsiTheme="majorHAnsi"/>
                <w:sz w:val="18"/>
                <w:szCs w:val="20"/>
              </w:rPr>
              <w:t>Medium</w:t>
            </w:r>
            <w:r w:rsidR="00D5414D" w:rsidRPr="00D7668C">
              <w:rPr>
                <w:rFonts w:asciiTheme="majorHAnsi" w:hAnsiTheme="majorHAnsi"/>
                <w:sz w:val="18"/>
                <w:szCs w:val="20"/>
              </w:rPr>
              <w:t xml:space="preserve"> alignment</w:t>
            </w:r>
          </w:p>
          <w:p w14:paraId="4AF95D38" w14:textId="49564561" w:rsidR="00AA51CC" w:rsidRPr="0035360D" w:rsidRDefault="473E696D" w:rsidP="007E0AFE">
            <w:pPr>
              <w:rPr>
                <w:sz w:val="18"/>
                <w:szCs w:val="20"/>
              </w:rPr>
            </w:pPr>
            <w:r w:rsidRPr="0035360D">
              <w:rPr>
                <w:sz w:val="18"/>
                <w:szCs w:val="20"/>
              </w:rPr>
              <w:t xml:space="preserve">The introduction of the ARP widens entry pathways to the STPP and supports equity and access. Limited awareness of this </w:t>
            </w:r>
            <w:r w:rsidR="2480A319" w:rsidRPr="0035360D">
              <w:rPr>
                <w:sz w:val="18"/>
                <w:szCs w:val="20"/>
              </w:rPr>
              <w:t>leads to</w:t>
            </w:r>
            <w:r w:rsidRPr="0035360D">
              <w:rPr>
                <w:sz w:val="18"/>
                <w:szCs w:val="20"/>
              </w:rPr>
              <w:t xml:space="preserve"> limited effectiveness. </w:t>
            </w:r>
          </w:p>
          <w:p w14:paraId="1ECE7D66" w14:textId="2DF157E6" w:rsidR="00AA51CC" w:rsidRPr="00400054" w:rsidRDefault="00AA51CC" w:rsidP="007E0AFE">
            <w:r w:rsidRPr="0035360D">
              <w:rPr>
                <w:sz w:val="18"/>
                <w:szCs w:val="20"/>
              </w:rPr>
              <w:t xml:space="preserve">The ARP phone line operates only during business hours, limiting immediate accessibility compared to international </w:t>
            </w:r>
            <w:r w:rsidR="00233A15" w:rsidRPr="00400054">
              <w:t>be</w:t>
            </w:r>
            <w:r w:rsidR="00233A15">
              <w:t>tter</w:t>
            </w:r>
            <w:r w:rsidR="00233A15" w:rsidRPr="0035360D">
              <w:rPr>
                <w:sz w:val="18"/>
                <w:szCs w:val="20"/>
              </w:rPr>
              <w:t xml:space="preserve"> practice</w:t>
            </w:r>
            <w:r w:rsidRPr="0035360D">
              <w:rPr>
                <w:sz w:val="18"/>
                <w:szCs w:val="20"/>
              </w:rPr>
              <w:t xml:space="preserve"> models that offer continuous, centralised access and multi-step entry pathways.</w:t>
            </w:r>
          </w:p>
        </w:tc>
      </w:tr>
      <w:tr w:rsidR="00AA51CC" w:rsidRPr="00400054" w14:paraId="0B145C07" w14:textId="77777777" w:rsidTr="0020250C">
        <w:trPr>
          <w:cantSplit/>
        </w:trPr>
        <w:tc>
          <w:tcPr>
            <w:tcW w:w="1418" w:type="dxa"/>
            <w:shd w:val="clear" w:color="auto" w:fill="F6F9F7"/>
          </w:tcPr>
          <w:p w14:paraId="05F0EC79" w14:textId="77777777" w:rsidR="00AA51CC" w:rsidRPr="0097092F" w:rsidRDefault="00AA51CC" w:rsidP="007E0AFE">
            <w:pPr>
              <w:pStyle w:val="TableText"/>
            </w:pPr>
            <w:r w:rsidRPr="001E72BA">
              <w:rPr>
                <w:rFonts w:asciiTheme="majorHAnsi" w:hAnsiTheme="majorHAnsi"/>
              </w:rPr>
              <w:lastRenderedPageBreak/>
              <w:t>Conditionality of assistance and link to law enforcement</w:t>
            </w:r>
          </w:p>
        </w:tc>
        <w:tc>
          <w:tcPr>
            <w:tcW w:w="5463" w:type="dxa"/>
          </w:tcPr>
          <w:p w14:paraId="5BD8FA3A" w14:textId="3B01372D" w:rsidR="00160ADF" w:rsidRPr="00400054" w:rsidRDefault="00160ADF" w:rsidP="007E0AFE">
            <w:pPr>
              <w:pStyle w:val="TableText"/>
            </w:pPr>
            <w:r>
              <w:t xml:space="preserve">Most </w:t>
            </w:r>
            <w:r w:rsidR="004B292E">
              <w:t xml:space="preserve">other countries </w:t>
            </w:r>
            <w:r>
              <w:t xml:space="preserve">do not </w:t>
            </w:r>
            <w:r w:rsidR="004B292E">
              <w:t xml:space="preserve">require cooperation </w:t>
            </w:r>
            <w:r w:rsidR="00407647">
              <w:t xml:space="preserve">in criminal matters as a condition of support. </w:t>
            </w:r>
            <w:r>
              <w:t xml:space="preserve">The exception is France. </w:t>
            </w:r>
          </w:p>
          <w:p w14:paraId="48715ECE" w14:textId="77777777" w:rsidR="00AA51CC" w:rsidRDefault="00470443" w:rsidP="007E0AFE">
            <w:pPr>
              <w:pStyle w:val="TableHeader"/>
            </w:pPr>
            <w:r>
              <w:t>UK:</w:t>
            </w:r>
          </w:p>
          <w:p w14:paraId="16079259" w14:textId="77777777" w:rsidR="00470443" w:rsidRDefault="00470443" w:rsidP="007E0AFE">
            <w:pPr>
              <w:pStyle w:val="TableText"/>
            </w:pPr>
            <w:r w:rsidRPr="00AC7703">
              <w:t xml:space="preserve">Victims do not have to give evidence in court unless they choose to. VTS can be granted to enable cooperation with an investigation or criminal proceedings, but also for recovery or seeking compensation. </w:t>
            </w:r>
            <w:r>
              <w:t>Support is not conditional on engagement with law enforcement.</w:t>
            </w:r>
          </w:p>
          <w:p w14:paraId="7C0D7FC4" w14:textId="77777777" w:rsidR="002645CF" w:rsidRDefault="002645CF" w:rsidP="007E0AFE">
            <w:pPr>
              <w:pStyle w:val="TableHeader"/>
            </w:pPr>
            <w:r>
              <w:t>US:</w:t>
            </w:r>
          </w:p>
          <w:p w14:paraId="4DEA618B" w14:textId="1F292B2C" w:rsidR="002645CF" w:rsidRDefault="008820F8" w:rsidP="007E0AFE">
            <w:pPr>
              <w:pStyle w:val="TableText"/>
            </w:pPr>
            <w:r>
              <w:t xml:space="preserve">Initial CP status does not require cooperation with law </w:t>
            </w:r>
            <w:r w:rsidR="00884BD7">
              <w:t>enforcement (</w:t>
            </w:r>
            <w:r w:rsidR="00965075">
              <w:t>though</w:t>
            </w:r>
            <w:r w:rsidR="00884BD7">
              <w:t xml:space="preserve"> the application </w:t>
            </w:r>
            <w:r w:rsidR="00965075">
              <w:t>must be lodged by them)</w:t>
            </w:r>
            <w:r>
              <w:t xml:space="preserve">. T Visa applications are typically granted </w:t>
            </w:r>
            <w:r w:rsidR="00884BD7">
              <w:t xml:space="preserve">to those assisting </w:t>
            </w:r>
            <w:r w:rsidR="00C94093">
              <w:t xml:space="preserve">or having assisted </w:t>
            </w:r>
            <w:r w:rsidR="00884BD7">
              <w:t>law enforcement unless an exemption is granted due to inability to assist police due to trauma from the trafficking experience or due to age (&lt;18 years).</w:t>
            </w:r>
            <w:r w:rsidR="00E80DD4">
              <w:t xml:space="preserve"> </w:t>
            </w:r>
            <w:r w:rsidR="000E48BA">
              <w:t xml:space="preserve">CP or T Visa status allows eligibility </w:t>
            </w:r>
            <w:r w:rsidR="00E80DD4" w:rsidRPr="00E80DD4">
              <w:t>for federally funded benefits and services to the same extent as refugees, including cash and medical assistance, the Matching Grant Program, the Public Housing Program, and Job Corps</w:t>
            </w:r>
          </w:p>
          <w:p w14:paraId="6154ED3F" w14:textId="77777777" w:rsidR="00C94093" w:rsidRDefault="00C94093" w:rsidP="007E0AFE">
            <w:pPr>
              <w:pStyle w:val="TableHeader"/>
            </w:pPr>
            <w:r>
              <w:t>Canada:</w:t>
            </w:r>
          </w:p>
          <w:p w14:paraId="7A2C0809" w14:textId="77777777" w:rsidR="000E48BA" w:rsidRDefault="00C94093" w:rsidP="007E0AFE">
            <w:pPr>
              <w:pStyle w:val="TableText"/>
              <w:rPr>
                <w:rFonts w:ascii="Barlow" w:hAnsi="Barlow"/>
                <w:szCs w:val="20"/>
              </w:rPr>
            </w:pPr>
            <w:r>
              <w:t>TRP and access to support is not dependent on any</w:t>
            </w:r>
            <w:r w:rsidR="00076754">
              <w:t xml:space="preserve"> engagement with law enforcement.</w:t>
            </w:r>
            <w:r w:rsidR="000E48BA">
              <w:t xml:space="preserve"> </w:t>
            </w:r>
            <w:r w:rsidR="000E48BA" w:rsidRPr="0040558E">
              <w:t>These permits allow victims to remain legally, access healthcare, and in some cases, work permits</w:t>
            </w:r>
            <w:r w:rsidR="000E48BA">
              <w:t>.</w:t>
            </w:r>
          </w:p>
          <w:p w14:paraId="5AE7AB65" w14:textId="063D2E4B" w:rsidR="00C94093" w:rsidRPr="00400054" w:rsidRDefault="00C94093" w:rsidP="007E0AFE">
            <w:pPr>
              <w:pStyle w:val="TableText"/>
            </w:pPr>
          </w:p>
        </w:tc>
        <w:tc>
          <w:tcPr>
            <w:tcW w:w="3609" w:type="dxa"/>
          </w:tcPr>
          <w:p w14:paraId="04A735AF" w14:textId="23E1F575" w:rsidR="00AA51CC" w:rsidRPr="001E72BA" w:rsidRDefault="00D5414D" w:rsidP="007E0AFE">
            <w:pPr>
              <w:pStyle w:val="TableText"/>
              <w:rPr>
                <w:rFonts w:asciiTheme="majorHAnsi" w:hAnsiTheme="majorHAnsi"/>
              </w:rPr>
            </w:pPr>
            <w:r w:rsidRPr="001E72BA">
              <w:rPr>
                <w:rFonts w:asciiTheme="majorHAnsi" w:hAnsiTheme="majorHAnsi"/>
              </w:rPr>
              <w:t>Low alignment</w:t>
            </w:r>
          </w:p>
          <w:p w14:paraId="1DC334F2" w14:textId="7CD91064" w:rsidR="00AA51CC" w:rsidRPr="00400054" w:rsidRDefault="00AA51CC" w:rsidP="007E0AFE">
            <w:pPr>
              <w:pStyle w:val="TableText"/>
            </w:pPr>
            <w:r>
              <w:t>Australia</w:t>
            </w:r>
            <w:r w:rsidR="00160ADF">
              <w:t xml:space="preserve"> is</w:t>
            </w:r>
            <w:r>
              <w:t xml:space="preserve"> </w:t>
            </w:r>
            <w:r w:rsidR="70864841">
              <w:t xml:space="preserve">an </w:t>
            </w:r>
            <w:r>
              <w:t>outlier in linking ongoing access to the STPP</w:t>
            </w:r>
            <w:r w:rsidR="00160ADF">
              <w:t xml:space="preserve"> (beyond the Intensive Support Stream) </w:t>
            </w:r>
            <w:r>
              <w:t>and the duration of support</w:t>
            </w:r>
            <w:r w:rsidR="357324EF">
              <w:t xml:space="preserve"> </w:t>
            </w:r>
            <w:r>
              <w:t xml:space="preserve">to participation in the criminal justice process. </w:t>
            </w:r>
          </w:p>
          <w:p w14:paraId="64D2EE7F" w14:textId="77777777" w:rsidR="00AA51CC" w:rsidRPr="00400054" w:rsidRDefault="00AA51CC" w:rsidP="007E0AFE">
            <w:pPr>
              <w:pStyle w:val="TableText"/>
            </w:pPr>
          </w:p>
        </w:tc>
      </w:tr>
      <w:tr w:rsidR="00AA51CC" w:rsidRPr="00400054" w14:paraId="0F9381BD" w14:textId="77777777" w:rsidTr="0020250C">
        <w:trPr>
          <w:cantSplit/>
        </w:trPr>
        <w:tc>
          <w:tcPr>
            <w:tcW w:w="1418" w:type="dxa"/>
            <w:shd w:val="clear" w:color="auto" w:fill="F6F9F7"/>
          </w:tcPr>
          <w:p w14:paraId="271B1C83" w14:textId="77777777" w:rsidR="00AA51CC" w:rsidRPr="0097092F" w:rsidRDefault="00AA51CC" w:rsidP="007E0AFE">
            <w:pPr>
              <w:pStyle w:val="TableText"/>
            </w:pPr>
            <w:r w:rsidRPr="001E72BA">
              <w:rPr>
                <w:rFonts w:asciiTheme="majorHAnsi" w:hAnsiTheme="majorHAnsi"/>
              </w:rPr>
              <w:lastRenderedPageBreak/>
              <w:t>Duration of support</w:t>
            </w:r>
          </w:p>
        </w:tc>
        <w:tc>
          <w:tcPr>
            <w:tcW w:w="5463" w:type="dxa"/>
          </w:tcPr>
          <w:p w14:paraId="5F752E6E" w14:textId="2BD23B00" w:rsidR="00AA51CC" w:rsidRPr="00400054" w:rsidRDefault="00AA51CC" w:rsidP="007E0AFE">
            <w:pPr>
              <w:pStyle w:val="TableText"/>
            </w:pPr>
            <w:r>
              <w:t xml:space="preserve">The length of support offered by comparator countries typically depends on time periods set either by duration of temporary visa (e.g. initial 180 days in Canada) or by individual program structures (France and Italy).  </w:t>
            </w:r>
          </w:p>
          <w:p w14:paraId="4A505CC6" w14:textId="26E575C0" w:rsidR="00E3789F" w:rsidRDefault="00E3789F" w:rsidP="007E0AFE">
            <w:pPr>
              <w:pStyle w:val="TableHeader"/>
            </w:pPr>
            <w:r>
              <w:t>UK:</w:t>
            </w:r>
          </w:p>
          <w:p w14:paraId="4FC8D04C" w14:textId="61C82526" w:rsidR="00E3789F" w:rsidRDefault="00E3789F" w:rsidP="007E0AFE">
            <w:pPr>
              <w:pStyle w:val="TableText"/>
            </w:pPr>
            <w:r w:rsidRPr="00AC7703">
              <w:t xml:space="preserve">Initial </w:t>
            </w:r>
            <w:r w:rsidR="005549FD">
              <w:t xml:space="preserve">support post RG decision for a </w:t>
            </w:r>
            <w:r w:rsidRPr="00AC7703">
              <w:t>minimum of 30 days or until a C</w:t>
            </w:r>
            <w:r w:rsidR="005549FD">
              <w:t>G</w:t>
            </w:r>
            <w:r w:rsidRPr="00AC7703">
              <w:t xml:space="preserve"> decision is made. Post-C</w:t>
            </w:r>
            <w:r w:rsidR="00103067">
              <w:t>G</w:t>
            </w:r>
            <w:r w:rsidRPr="00AC7703">
              <w:t xml:space="preserve"> </w:t>
            </w:r>
            <w:r w:rsidR="00103067">
              <w:t>decision</w:t>
            </w:r>
            <w:r w:rsidR="00901140">
              <w:t>,</w:t>
            </w:r>
            <w:r w:rsidR="00103067">
              <w:t xml:space="preserve"> a</w:t>
            </w:r>
            <w:r w:rsidRPr="00AC7703">
              <w:t xml:space="preserve"> Recovery Needs Assessment (RNA) is conducted to determine ongoing </w:t>
            </w:r>
            <w:r w:rsidR="00FB3E56" w:rsidRPr="00AC7703">
              <w:t>needs and</w:t>
            </w:r>
            <w:r>
              <w:t xml:space="preserve"> is reassessed 6 monthly with support provided until it is no longer required or until the person transitions to other supports.</w:t>
            </w:r>
            <w:r w:rsidRPr="00AC7703">
              <w:t xml:space="preserve"> </w:t>
            </w:r>
          </w:p>
          <w:p w14:paraId="08E04FF2" w14:textId="42C585D7" w:rsidR="00A15634" w:rsidRDefault="00E3789F" w:rsidP="007E0AFE">
            <w:pPr>
              <w:pStyle w:val="TableText"/>
            </w:pPr>
            <w:r>
              <w:t xml:space="preserve">Support is provided by an NGO who holds the Modern Slavery Victim Care Contract (Salvation Army since 2011) and other agencies </w:t>
            </w:r>
            <w:r w:rsidRPr="006C2BBF">
              <w:t>such</w:t>
            </w:r>
            <w:r>
              <w:t xml:space="preserve"> as the NHS and local government. Support</w:t>
            </w:r>
            <w:r w:rsidRPr="00AC7703">
              <w:t xml:space="preserve"> includes accommodation, psychological assistance, financial support, emergency medical treatment, translation, counselling, assistance in criminal proceedings</w:t>
            </w:r>
            <w:r>
              <w:t xml:space="preserve"> </w:t>
            </w:r>
            <w:r w:rsidRPr="00AC7703">
              <w:t xml:space="preserve">and reintegration programs. </w:t>
            </w:r>
            <w:r w:rsidR="00AA51CC" w:rsidRPr="00400054">
              <w:t xml:space="preserve"> </w:t>
            </w:r>
          </w:p>
          <w:p w14:paraId="17BD1474" w14:textId="77777777" w:rsidR="00A15634" w:rsidRDefault="00A15634" w:rsidP="007E0AFE">
            <w:pPr>
              <w:pStyle w:val="TableHeader"/>
            </w:pPr>
            <w:r>
              <w:t>US:</w:t>
            </w:r>
          </w:p>
          <w:p w14:paraId="177D0087" w14:textId="349F6881" w:rsidR="002C0D1F" w:rsidRDefault="000D67EA" w:rsidP="007E0AFE">
            <w:pPr>
              <w:pStyle w:val="TableText"/>
            </w:pPr>
            <w:r>
              <w:t xml:space="preserve">CP status is typically granted for an initial 2 years. </w:t>
            </w:r>
            <w:r w:rsidR="0078368F" w:rsidRPr="00CC18BB">
              <w:t>T</w:t>
            </w:r>
            <w:r w:rsidR="0078368F" w:rsidRPr="0078368F">
              <w:t> </w:t>
            </w:r>
            <w:r w:rsidR="00863F37">
              <w:t>Visa status is typically granted</w:t>
            </w:r>
            <w:r w:rsidR="0078368F" w:rsidRPr="0078368F">
              <w:t xml:space="preserve"> for </w:t>
            </w:r>
            <w:r w:rsidR="00863F37">
              <w:t>an initial 4 years</w:t>
            </w:r>
            <w:r w:rsidR="00B100D8">
              <w:t xml:space="preserve">. </w:t>
            </w:r>
            <w:r w:rsidR="006711A9">
              <w:t>Support for trafficking survivors in the US is delivered through a multi-agency framework. The government provides funding and sets standards (via grant requirements</w:t>
            </w:r>
            <w:r w:rsidR="00FB3E56">
              <w:t>),</w:t>
            </w:r>
            <w:r w:rsidR="006711A9">
              <w:t xml:space="preserve"> while NGOs, local agencies, and international organisations implement front-line services. HHS/OTIP administers the Trafficking Victim Assistance Program (TVAP) via grants to NGOs. DOJ/OVC also provides grants to victim service organisations (governmental and nonprofit).</w:t>
            </w:r>
          </w:p>
          <w:p w14:paraId="1D5E625C" w14:textId="77777777" w:rsidR="002C0D1F" w:rsidRDefault="002C0D1F" w:rsidP="007E0AFE">
            <w:pPr>
              <w:pStyle w:val="TableHeader"/>
            </w:pPr>
            <w:r>
              <w:t xml:space="preserve">Canada: </w:t>
            </w:r>
          </w:p>
          <w:p w14:paraId="2D8325BA" w14:textId="728F150B" w:rsidR="00AA51CC" w:rsidRPr="00400054" w:rsidRDefault="00A23A14" w:rsidP="007E0AFE">
            <w:pPr>
              <w:pStyle w:val="TableText"/>
            </w:pPr>
            <w:r w:rsidRPr="0040558E">
              <w:t>Immigration officials can issue short-term TRPs for up to 180 days or long-term TRPs for three years</w:t>
            </w:r>
            <w:r>
              <w:t>.</w:t>
            </w:r>
            <w:r w:rsidR="00A81F42">
              <w:t xml:space="preserve"> </w:t>
            </w:r>
            <w:r w:rsidR="00EF089D">
              <w:t>Services delivered primarily by NGOs and community agencies. The approach is decentralised but guided by a National Strategy.</w:t>
            </w:r>
            <w:r w:rsidR="00FA7633">
              <w:t xml:space="preserve"> Specialist NGO’s run shelters, counselling and outreach services. </w:t>
            </w:r>
          </w:p>
        </w:tc>
        <w:tc>
          <w:tcPr>
            <w:tcW w:w="3609" w:type="dxa"/>
          </w:tcPr>
          <w:p w14:paraId="1B4B1C66" w14:textId="0963A5F3" w:rsidR="00AA51CC" w:rsidRPr="001E72BA" w:rsidRDefault="00160ADF" w:rsidP="007E0AFE">
            <w:pPr>
              <w:pStyle w:val="TableText"/>
              <w:rPr>
                <w:rFonts w:asciiTheme="majorHAnsi" w:hAnsiTheme="majorHAnsi"/>
              </w:rPr>
            </w:pPr>
            <w:r w:rsidRPr="001E72BA">
              <w:rPr>
                <w:rFonts w:asciiTheme="majorHAnsi" w:hAnsiTheme="majorHAnsi"/>
              </w:rPr>
              <w:t xml:space="preserve">Medium </w:t>
            </w:r>
            <w:r w:rsidR="00D5414D" w:rsidRPr="001E72BA">
              <w:rPr>
                <w:rFonts w:asciiTheme="majorHAnsi" w:hAnsiTheme="majorHAnsi"/>
              </w:rPr>
              <w:t>alignment</w:t>
            </w:r>
          </w:p>
          <w:p w14:paraId="2B8D4800" w14:textId="2AC867D4" w:rsidR="00AA51CC" w:rsidRPr="00400054" w:rsidRDefault="00160ADF" w:rsidP="007E0AFE">
            <w:pPr>
              <w:pStyle w:val="TableText"/>
            </w:pPr>
            <w:r>
              <w:t xml:space="preserve">Australia broadly aligns with comparator countries, noting the UK offers a </w:t>
            </w:r>
            <w:r w:rsidR="00AA2A5F" w:rsidRPr="00400054">
              <w:t>be</w:t>
            </w:r>
            <w:r w:rsidR="00AA2A5F">
              <w:t>tter practice</w:t>
            </w:r>
            <w:r w:rsidR="23C0AE58">
              <w:t>, needs</w:t>
            </w:r>
            <w:r w:rsidR="3387EB7D">
              <w:t>-</w:t>
            </w:r>
            <w:r w:rsidR="23C0AE58">
              <w:t xml:space="preserve">based, rather than time-limited, support. </w:t>
            </w:r>
          </w:p>
          <w:p w14:paraId="661004C2" w14:textId="77777777" w:rsidR="00AA51CC" w:rsidRPr="00400054" w:rsidRDefault="00AA51CC" w:rsidP="007E0AFE">
            <w:pPr>
              <w:pStyle w:val="TableText"/>
            </w:pPr>
          </w:p>
        </w:tc>
      </w:tr>
      <w:tr w:rsidR="00AA51CC" w:rsidRPr="00400054" w14:paraId="43D2D67A" w14:textId="77777777" w:rsidTr="0020250C">
        <w:trPr>
          <w:cantSplit/>
        </w:trPr>
        <w:tc>
          <w:tcPr>
            <w:tcW w:w="1418" w:type="dxa"/>
            <w:shd w:val="clear" w:color="auto" w:fill="F6F9F7"/>
          </w:tcPr>
          <w:p w14:paraId="28E4DB6C" w14:textId="5283CCC1" w:rsidR="00AA51CC" w:rsidRPr="0097092F" w:rsidRDefault="00AA51CC" w:rsidP="007E0AFE">
            <w:pPr>
              <w:pStyle w:val="TableText"/>
            </w:pPr>
            <w:r w:rsidRPr="001E72BA">
              <w:rPr>
                <w:rFonts w:asciiTheme="majorHAnsi" w:hAnsiTheme="majorHAnsi"/>
              </w:rPr>
              <w:t xml:space="preserve">Collaboration </w:t>
            </w:r>
            <w:r w:rsidR="006105D1" w:rsidRPr="001E72BA">
              <w:rPr>
                <w:rFonts w:asciiTheme="majorHAnsi" w:hAnsiTheme="majorHAnsi"/>
              </w:rPr>
              <w:t xml:space="preserve">&amp; </w:t>
            </w:r>
            <w:r w:rsidRPr="001E72BA">
              <w:rPr>
                <w:rFonts w:asciiTheme="majorHAnsi" w:hAnsiTheme="majorHAnsi"/>
              </w:rPr>
              <w:t>partnerships</w:t>
            </w:r>
          </w:p>
        </w:tc>
        <w:tc>
          <w:tcPr>
            <w:tcW w:w="5463" w:type="dxa"/>
          </w:tcPr>
          <w:p w14:paraId="5041D8F9" w14:textId="17632686" w:rsidR="00AA51CC" w:rsidRPr="00400054" w:rsidRDefault="00AA51CC" w:rsidP="007E0AFE">
            <w:pPr>
              <w:pStyle w:val="TableText"/>
            </w:pPr>
            <w:r>
              <w:t xml:space="preserve">International approaches presented here all involve government and </w:t>
            </w:r>
            <w:r w:rsidR="21FC050B">
              <w:t>non-government organisation</w:t>
            </w:r>
            <w:r>
              <w:t xml:space="preserve"> partnerships. </w:t>
            </w:r>
            <w:r w:rsidR="5CD6BF23">
              <w:t>Some are centralised (Italy, UK) whilst others are more fragmented (US, Canada)</w:t>
            </w:r>
            <w:r w:rsidR="5086454A">
              <w:t>.</w:t>
            </w:r>
          </w:p>
        </w:tc>
        <w:tc>
          <w:tcPr>
            <w:tcW w:w="3609" w:type="dxa"/>
          </w:tcPr>
          <w:p w14:paraId="092DB6E8" w14:textId="3CF20712" w:rsidR="00AA51CC" w:rsidRPr="001E72BA" w:rsidRDefault="00D5414D" w:rsidP="007E0AFE">
            <w:pPr>
              <w:pStyle w:val="TableText"/>
              <w:rPr>
                <w:rFonts w:asciiTheme="majorHAnsi" w:hAnsiTheme="majorHAnsi"/>
              </w:rPr>
            </w:pPr>
            <w:r w:rsidRPr="001E72BA">
              <w:rPr>
                <w:rFonts w:asciiTheme="majorHAnsi" w:hAnsiTheme="majorHAnsi"/>
              </w:rPr>
              <w:t>Medium alignment</w:t>
            </w:r>
          </w:p>
          <w:p w14:paraId="44B8C2C1" w14:textId="77777777" w:rsidR="00686A3E" w:rsidRDefault="00686A3E" w:rsidP="007E0AFE">
            <w:pPr>
              <w:pStyle w:val="TableText"/>
            </w:pPr>
            <w:r>
              <w:t xml:space="preserve">Core STPP delivery agencies have strong relationships, and the STPP provider has good relationships with agencies that refer to and are referred to from the service. </w:t>
            </w:r>
          </w:p>
          <w:p w14:paraId="39CE8BB8" w14:textId="6639EF63" w:rsidR="00AA51CC" w:rsidRPr="00400054" w:rsidRDefault="00686A3E" w:rsidP="007E0AFE">
            <w:pPr>
              <w:pStyle w:val="TableText"/>
            </w:pPr>
            <w:r>
              <w:t xml:space="preserve">However, the Australian HTMS sector is immature, limiting the effectiveness of collaboration and partnerships.  </w:t>
            </w:r>
          </w:p>
        </w:tc>
      </w:tr>
      <w:tr w:rsidR="00AA51CC" w:rsidRPr="00400054" w14:paraId="239AB37F" w14:textId="77777777" w:rsidTr="0020250C">
        <w:trPr>
          <w:cantSplit/>
        </w:trPr>
        <w:tc>
          <w:tcPr>
            <w:tcW w:w="1418" w:type="dxa"/>
            <w:shd w:val="clear" w:color="auto" w:fill="F6F9F7"/>
          </w:tcPr>
          <w:p w14:paraId="0A7AEED9" w14:textId="77777777" w:rsidR="00AA51CC" w:rsidRPr="0097092F" w:rsidRDefault="00AA51CC" w:rsidP="007E0AFE">
            <w:pPr>
              <w:pStyle w:val="TableText"/>
            </w:pPr>
            <w:r w:rsidRPr="001E72BA">
              <w:rPr>
                <w:rFonts w:asciiTheme="majorHAnsi" w:hAnsiTheme="majorHAnsi"/>
              </w:rPr>
              <w:lastRenderedPageBreak/>
              <w:t>Types of support</w:t>
            </w:r>
          </w:p>
        </w:tc>
        <w:tc>
          <w:tcPr>
            <w:tcW w:w="5463" w:type="dxa"/>
          </w:tcPr>
          <w:p w14:paraId="2F1CE29E" w14:textId="77777777" w:rsidR="00AA51CC" w:rsidRDefault="00AA51CC" w:rsidP="007E0AFE">
            <w:pPr>
              <w:pStyle w:val="TableText"/>
            </w:pPr>
            <w:r w:rsidRPr="00400054">
              <w:t>Types of support offered by international programs include safe shelter, legal and medical assistance, and psychological care. They also facilitate social integration through language and vocational training, and provide help with employment, childcare, and navigating legal and administrative systems.</w:t>
            </w:r>
            <w:r w:rsidR="006754BF">
              <w:t xml:space="preserve"> </w:t>
            </w:r>
          </w:p>
          <w:p w14:paraId="2929BD38" w14:textId="6D5BD6A4" w:rsidR="00AA51CC" w:rsidRPr="00400054" w:rsidRDefault="00EE2E5B" w:rsidP="007E0AFE">
            <w:pPr>
              <w:pStyle w:val="TableText"/>
            </w:pPr>
            <w:r>
              <w:t xml:space="preserve">UK, US and Canada reportedly </w:t>
            </w:r>
            <w:r w:rsidR="00E111E4">
              <w:t xml:space="preserve">face long waiting lists for some services and the UK’s NRM can involve significant delay in CG decisions being made. The STPP is notable for </w:t>
            </w:r>
            <w:r w:rsidR="00D179CE">
              <w:t>being a specialist national and holistic service.</w:t>
            </w:r>
          </w:p>
        </w:tc>
        <w:tc>
          <w:tcPr>
            <w:tcW w:w="3609" w:type="dxa"/>
          </w:tcPr>
          <w:p w14:paraId="414CE4A3" w14:textId="2C060639" w:rsidR="00AA51CC" w:rsidRPr="001E72BA" w:rsidRDefault="00D5414D" w:rsidP="007E0AFE">
            <w:pPr>
              <w:pStyle w:val="TableText"/>
              <w:rPr>
                <w:rFonts w:asciiTheme="majorHAnsi" w:hAnsiTheme="majorHAnsi"/>
              </w:rPr>
            </w:pPr>
            <w:r w:rsidRPr="001E72BA">
              <w:rPr>
                <w:rFonts w:asciiTheme="majorHAnsi" w:hAnsiTheme="majorHAnsi"/>
              </w:rPr>
              <w:t>High alignment</w:t>
            </w:r>
          </w:p>
          <w:p w14:paraId="3DEC0C25" w14:textId="64B4954D" w:rsidR="00AA51CC" w:rsidRPr="00400054" w:rsidRDefault="00686A3E" w:rsidP="007E0AFE">
            <w:pPr>
              <w:pStyle w:val="TableText"/>
            </w:pPr>
            <w:r>
              <w:t xml:space="preserve">The STPP offers a similar range of services to international organisations. </w:t>
            </w:r>
          </w:p>
        </w:tc>
      </w:tr>
    </w:tbl>
    <w:p w14:paraId="00E4D0A1" w14:textId="1B74E09A" w:rsidR="00AA51CC" w:rsidRPr="00400054" w:rsidRDefault="00AA51CC" w:rsidP="007E0AFE">
      <w:pPr>
        <w:pStyle w:val="Heading5"/>
      </w:pPr>
      <w:r w:rsidRPr="00400054">
        <w:t xml:space="preserve">Practice evidence: learnings from research and evaluation </w:t>
      </w:r>
    </w:p>
    <w:p w14:paraId="11E40413" w14:textId="696C740C" w:rsidR="002C4AB2" w:rsidRPr="00400054" w:rsidRDefault="00AA51CC" w:rsidP="007E0AFE">
      <w:r w:rsidRPr="00400054">
        <w:t xml:space="preserve">This section reports on empirical evidence demonstrating what key elements of support are required for effectiveness. Methodological issues in determining </w:t>
      </w:r>
      <w:r w:rsidR="002B12A5" w:rsidRPr="00400054">
        <w:t>be</w:t>
      </w:r>
      <w:r w:rsidR="002B12A5">
        <w:t>tter</w:t>
      </w:r>
      <w:r w:rsidRPr="00400054">
        <w:t xml:space="preserve"> practice for supporting </w:t>
      </w:r>
      <w:r w:rsidR="00047DC0">
        <w:t>people with HTMS experiences</w:t>
      </w:r>
      <w:r w:rsidRPr="00400054">
        <w:t xml:space="preserve"> are significant</w:t>
      </w:r>
      <w:r w:rsidR="0014090A">
        <w:rPr>
          <w:rStyle w:val="FootnoteReference"/>
        </w:rPr>
        <w:footnoteReference w:id="32"/>
      </w:r>
      <w:r w:rsidRPr="00400054">
        <w:t xml:space="preserve">. </w:t>
      </w:r>
      <w:r w:rsidR="00F57420">
        <w:t xml:space="preserve"> However, there are </w:t>
      </w:r>
      <w:r w:rsidRPr="00400054">
        <w:t>key elements</w:t>
      </w:r>
      <w:r w:rsidR="00F57420">
        <w:t xml:space="preserve"> of</w:t>
      </w:r>
      <w:r w:rsidR="003653DA">
        <w:t xml:space="preserve"> effective</w:t>
      </w:r>
      <w:r w:rsidR="00F57420">
        <w:t xml:space="preserve"> victim support which are </w:t>
      </w:r>
      <w:r w:rsidR="003653DA">
        <w:t>supported by evidence from research and evaluation.</w:t>
      </w:r>
      <w:r w:rsidR="002C4AB2" w:rsidRPr="00400054">
        <w:t xml:space="preserve"> </w:t>
      </w:r>
    </w:p>
    <w:p w14:paraId="530ABAAC" w14:textId="65B76CE3" w:rsidR="00480FEC" w:rsidRDefault="002C4AB2" w:rsidP="007E0AFE">
      <w:r w:rsidRPr="00CE7F06">
        <w:t>O</w:t>
      </w:r>
      <w:r w:rsidR="00AA51CC" w:rsidRPr="00CE7F06">
        <w:t xml:space="preserve">utlined in the </w:t>
      </w:r>
      <w:r w:rsidR="00F4115B" w:rsidRPr="00CE7F06">
        <w:t>rubric</w:t>
      </w:r>
      <w:r w:rsidRPr="00CE7F06">
        <w:t xml:space="preserve"> </w:t>
      </w:r>
      <w:r w:rsidR="00CE7F06" w:rsidRPr="00CE7F06">
        <w:t>to the right</w:t>
      </w:r>
      <w:r w:rsidRPr="00CE7F06">
        <w:t xml:space="preserve"> </w:t>
      </w:r>
      <w:r w:rsidR="0005650F" w:rsidRPr="00CE7F06">
        <w:t xml:space="preserve">is an assessment of key elements and the </w:t>
      </w:r>
      <w:r w:rsidR="00AA51CC" w:rsidRPr="00CE7F06">
        <w:t>extent to which these</w:t>
      </w:r>
      <w:r w:rsidR="00FA7784" w:rsidRPr="00CE7F06">
        <w:t xml:space="preserve"> are included in</w:t>
      </w:r>
      <w:r w:rsidR="00AA51CC" w:rsidRPr="00CE7F06">
        <w:t xml:space="preserve"> the STPP</w:t>
      </w:r>
      <w:r w:rsidR="0005650F" w:rsidRPr="00CE7F06">
        <w:t>.</w:t>
      </w:r>
    </w:p>
    <w:p w14:paraId="785724D1" w14:textId="6D83A1F9" w:rsidR="002106E3" w:rsidRDefault="002106E3" w:rsidP="007E0AFE">
      <w:pPr>
        <w:pStyle w:val="Caption"/>
      </w:pPr>
      <w:r>
        <w:t xml:space="preserve">Table </w:t>
      </w:r>
      <w:r w:rsidR="00FD1F67">
        <w:fldChar w:fldCharType="begin"/>
      </w:r>
      <w:r w:rsidR="00FD1F67">
        <w:instrText xml:space="preserve"> SEQ Table \* ARABIC </w:instrText>
      </w:r>
      <w:r w:rsidR="00FD1F67">
        <w:fldChar w:fldCharType="separate"/>
      </w:r>
      <w:r w:rsidR="00D9323B">
        <w:rPr>
          <w:noProof/>
        </w:rPr>
        <w:t>37</w:t>
      </w:r>
      <w:r w:rsidR="00FD1F67">
        <w:rPr>
          <w:noProof/>
        </w:rPr>
        <w:fldChar w:fldCharType="end"/>
      </w:r>
      <w:r>
        <w:t>: Assessment scale rubric</w:t>
      </w:r>
    </w:p>
    <w:tbl>
      <w:tblPr>
        <w:tblStyle w:val="TableGrid"/>
        <w:tblW w:w="0" w:type="auto"/>
        <w:tblLook w:val="04A0" w:firstRow="1" w:lastRow="0" w:firstColumn="1" w:lastColumn="0" w:noHBand="0" w:noVBand="1"/>
      </w:tblPr>
      <w:tblGrid>
        <w:gridCol w:w="1555"/>
        <w:gridCol w:w="8902"/>
      </w:tblGrid>
      <w:tr w:rsidR="000A2EA4" w:rsidRPr="00090220" w14:paraId="6B9238D4" w14:textId="77777777" w:rsidTr="0020250C">
        <w:trPr>
          <w:cantSplit/>
          <w:tblHeader/>
        </w:trPr>
        <w:tc>
          <w:tcPr>
            <w:tcW w:w="1555" w:type="dxa"/>
            <w:shd w:val="clear" w:color="auto" w:fill="425563" w:themeFill="text1"/>
          </w:tcPr>
          <w:p w14:paraId="7A3982A2" w14:textId="7DD76BF8" w:rsidR="000A2EA4" w:rsidRPr="00090220" w:rsidRDefault="0020250C" w:rsidP="0020250C">
            <w:pPr>
              <w:pStyle w:val="Tableheadwhite"/>
            </w:pPr>
            <w:r>
              <w:t>Alignment</w:t>
            </w:r>
          </w:p>
        </w:tc>
        <w:tc>
          <w:tcPr>
            <w:tcW w:w="8902" w:type="dxa"/>
            <w:shd w:val="clear" w:color="auto" w:fill="425563" w:themeFill="text1"/>
          </w:tcPr>
          <w:p w14:paraId="0B5589C0" w14:textId="010BA30B" w:rsidR="000A2EA4" w:rsidRPr="00480FEC" w:rsidRDefault="0020250C" w:rsidP="0020250C">
            <w:pPr>
              <w:pStyle w:val="Tableheadwhite"/>
            </w:pPr>
            <w:r>
              <w:t>Detail</w:t>
            </w:r>
          </w:p>
        </w:tc>
      </w:tr>
      <w:tr w:rsidR="00480FEC" w:rsidRPr="00090220" w14:paraId="3E8E2A8A" w14:textId="77777777" w:rsidTr="0020250C">
        <w:trPr>
          <w:cantSplit/>
        </w:trPr>
        <w:tc>
          <w:tcPr>
            <w:tcW w:w="1555" w:type="dxa"/>
            <w:shd w:val="clear" w:color="auto" w:fill="F6F9F7"/>
          </w:tcPr>
          <w:p w14:paraId="5E116004" w14:textId="77777777" w:rsidR="00480FEC" w:rsidRPr="00090220" w:rsidRDefault="00480FEC" w:rsidP="007E0AFE">
            <w:pPr>
              <w:rPr>
                <w:sz w:val="18"/>
                <w:szCs w:val="18"/>
              </w:rPr>
            </w:pPr>
            <w:r w:rsidRPr="00090220">
              <w:rPr>
                <w:rFonts w:asciiTheme="majorHAnsi" w:hAnsiTheme="majorHAnsi"/>
                <w:sz w:val="18"/>
                <w:szCs w:val="18"/>
              </w:rPr>
              <w:t>Low alignment</w:t>
            </w:r>
          </w:p>
        </w:tc>
        <w:tc>
          <w:tcPr>
            <w:tcW w:w="8902" w:type="dxa"/>
          </w:tcPr>
          <w:p w14:paraId="5B9D59E2" w14:textId="30777EF2" w:rsidR="00480FEC" w:rsidRPr="00090220" w:rsidRDefault="00480FEC" w:rsidP="007E0AFE">
            <w:pPr>
              <w:rPr>
                <w:sz w:val="18"/>
                <w:szCs w:val="18"/>
              </w:rPr>
            </w:pPr>
            <w:r w:rsidRPr="00480FEC">
              <w:rPr>
                <w:sz w:val="18"/>
                <w:szCs w:val="18"/>
              </w:rPr>
              <w:t>Indicates significant gaps or inconsistencies between the STPP and the key elements of program effectiveness. The STTP may include the key element in a limited way or not at all. There may be substantial barriers or challenges hindering alignment. The program likely requires significant changes to achieve better alignment.</w:t>
            </w:r>
          </w:p>
        </w:tc>
      </w:tr>
      <w:tr w:rsidR="00480FEC" w:rsidRPr="00090220" w14:paraId="16728467" w14:textId="77777777" w:rsidTr="0020250C">
        <w:trPr>
          <w:cantSplit/>
        </w:trPr>
        <w:tc>
          <w:tcPr>
            <w:tcW w:w="1555" w:type="dxa"/>
            <w:shd w:val="clear" w:color="auto" w:fill="F6F9F7"/>
          </w:tcPr>
          <w:p w14:paraId="6F02B823" w14:textId="77777777" w:rsidR="00480FEC" w:rsidRPr="00090220" w:rsidRDefault="00480FEC" w:rsidP="007E0AFE">
            <w:pPr>
              <w:rPr>
                <w:sz w:val="18"/>
                <w:szCs w:val="18"/>
              </w:rPr>
            </w:pPr>
            <w:r w:rsidRPr="00090220">
              <w:rPr>
                <w:rFonts w:asciiTheme="majorHAnsi" w:hAnsiTheme="majorHAnsi"/>
                <w:sz w:val="18"/>
                <w:szCs w:val="18"/>
              </w:rPr>
              <w:t>Medium alignment</w:t>
            </w:r>
          </w:p>
        </w:tc>
        <w:tc>
          <w:tcPr>
            <w:tcW w:w="8902" w:type="dxa"/>
          </w:tcPr>
          <w:p w14:paraId="565F05E8" w14:textId="4C3C1CD9" w:rsidR="00480FEC" w:rsidRPr="00090220" w:rsidRDefault="00480FEC" w:rsidP="007E0AFE">
            <w:pPr>
              <w:rPr>
                <w:sz w:val="18"/>
                <w:szCs w:val="18"/>
              </w:rPr>
            </w:pPr>
            <w:r w:rsidRPr="00480FEC">
              <w:rPr>
                <w:sz w:val="18"/>
                <w:szCs w:val="18"/>
              </w:rPr>
              <w:t>Suggests partial alignment with key elements of program effectiveness. The STTP includes the key element to some extent, but there are notable gaps or areas for improvement. There may be a mix of strengths and weaknesses in how the program reflects the key element. Moderate changes or adjustments are likely needed to enhance alignment.</w:t>
            </w:r>
          </w:p>
        </w:tc>
      </w:tr>
      <w:tr w:rsidR="00480FEC" w:rsidRPr="00090220" w14:paraId="606F98CA" w14:textId="77777777" w:rsidTr="0020250C">
        <w:trPr>
          <w:cantSplit/>
        </w:trPr>
        <w:tc>
          <w:tcPr>
            <w:tcW w:w="1555" w:type="dxa"/>
            <w:shd w:val="clear" w:color="auto" w:fill="F6F9F7"/>
          </w:tcPr>
          <w:p w14:paraId="424E2535" w14:textId="77777777" w:rsidR="00480FEC" w:rsidRPr="00090220" w:rsidRDefault="00480FEC" w:rsidP="007E0AFE">
            <w:pPr>
              <w:rPr>
                <w:sz w:val="18"/>
                <w:szCs w:val="18"/>
              </w:rPr>
            </w:pPr>
            <w:r w:rsidRPr="00090220">
              <w:rPr>
                <w:rFonts w:asciiTheme="majorHAnsi" w:hAnsiTheme="majorHAnsi"/>
                <w:sz w:val="18"/>
                <w:szCs w:val="18"/>
              </w:rPr>
              <w:t>High alignment</w:t>
            </w:r>
          </w:p>
        </w:tc>
        <w:tc>
          <w:tcPr>
            <w:tcW w:w="8902" w:type="dxa"/>
          </w:tcPr>
          <w:p w14:paraId="4AF62829" w14:textId="629DA69A" w:rsidR="00480FEC" w:rsidRPr="00090220" w:rsidRDefault="00480FEC" w:rsidP="007E0AFE">
            <w:pPr>
              <w:rPr>
                <w:sz w:val="18"/>
                <w:szCs w:val="18"/>
              </w:rPr>
            </w:pPr>
            <w:r w:rsidRPr="00480FEC">
              <w:rPr>
                <w:sz w:val="18"/>
                <w:szCs w:val="18"/>
              </w:rPr>
              <w:t>Indicates strong alignment between the STPP and the key element of program effectiveness. The program effectively includes the key element in a comprehensive and consistent manner. There may be minor gaps or areas for refinement, but overall, the program demonstrates a strong commitment to the principle.</w:t>
            </w:r>
          </w:p>
        </w:tc>
      </w:tr>
    </w:tbl>
    <w:p w14:paraId="3ED5520C" w14:textId="6ADA9EC1" w:rsidR="00AA51CC" w:rsidRPr="00400054" w:rsidRDefault="00AA51CC" w:rsidP="007E0AFE">
      <w:pPr>
        <w:pStyle w:val="Caption"/>
      </w:pPr>
      <w:r w:rsidRPr="00CE7F06">
        <w:lastRenderedPageBreak/>
        <w:t xml:space="preserve">Table </w:t>
      </w:r>
      <w:r w:rsidR="00FD1F67">
        <w:fldChar w:fldCharType="begin"/>
      </w:r>
      <w:r w:rsidR="00FD1F67">
        <w:instrText xml:space="preserve"> SEQ Table \* ARABIC </w:instrText>
      </w:r>
      <w:r w:rsidR="00FD1F67">
        <w:fldChar w:fldCharType="separate"/>
      </w:r>
      <w:r w:rsidR="00D9323B">
        <w:rPr>
          <w:noProof/>
        </w:rPr>
        <w:t>38</w:t>
      </w:r>
      <w:r w:rsidR="00FD1F67">
        <w:rPr>
          <w:noProof/>
        </w:rPr>
        <w:fldChar w:fldCharType="end"/>
      </w:r>
      <w:r w:rsidRPr="00CE7F06">
        <w:t xml:space="preserve">: Extent to which key elements of support identified by empirical evidence are provided </w:t>
      </w:r>
      <w:r w:rsidR="00AF73A9" w:rsidRPr="00CE7F06">
        <w:t xml:space="preserve">in </w:t>
      </w:r>
      <w:r w:rsidRPr="00CE7F06">
        <w:t>the STPP</w:t>
      </w:r>
    </w:p>
    <w:tbl>
      <w:tblPr>
        <w:tblStyle w:val="TableGrid"/>
        <w:tblW w:w="10490" w:type="dxa"/>
        <w:tblLook w:val="04A0" w:firstRow="1" w:lastRow="0" w:firstColumn="1" w:lastColumn="0" w:noHBand="0" w:noVBand="1"/>
      </w:tblPr>
      <w:tblGrid>
        <w:gridCol w:w="3845"/>
        <w:gridCol w:w="6645"/>
      </w:tblGrid>
      <w:tr w:rsidR="00E60358" w:rsidRPr="00400054" w14:paraId="389EE57C" w14:textId="77777777" w:rsidTr="0020250C">
        <w:trPr>
          <w:cantSplit/>
          <w:tblHeader/>
        </w:trPr>
        <w:tc>
          <w:tcPr>
            <w:tcW w:w="0" w:type="dxa"/>
            <w:shd w:val="clear" w:color="auto" w:fill="425563" w:themeFill="text1"/>
          </w:tcPr>
          <w:p w14:paraId="18B97A17" w14:textId="12813C6A" w:rsidR="00AA51CC" w:rsidRPr="00A37092" w:rsidRDefault="00AA51CC" w:rsidP="007E0AFE">
            <w:pPr>
              <w:pStyle w:val="TableText"/>
              <w:rPr>
                <w:rFonts w:asciiTheme="majorHAnsi" w:hAnsiTheme="majorHAnsi"/>
                <w:color w:val="FFFFFF"/>
              </w:rPr>
            </w:pPr>
            <w:r w:rsidRPr="00A37092">
              <w:rPr>
                <w:rFonts w:asciiTheme="majorHAnsi" w:hAnsiTheme="majorHAnsi"/>
                <w:color w:val="FFFFFF"/>
              </w:rPr>
              <w:t>Key elements</w:t>
            </w:r>
            <w:r w:rsidR="00DD76EA" w:rsidRPr="00A37092">
              <w:rPr>
                <w:rFonts w:asciiTheme="majorHAnsi" w:hAnsiTheme="majorHAnsi"/>
                <w:color w:val="FFFFFF"/>
              </w:rPr>
              <w:t xml:space="preserve"> of program effectiveness</w:t>
            </w:r>
            <w:r w:rsidRPr="00A37092">
              <w:rPr>
                <w:rFonts w:asciiTheme="majorHAnsi" w:hAnsiTheme="majorHAnsi"/>
                <w:color w:val="FFFFFF"/>
              </w:rPr>
              <w:t xml:space="preserve"> identified in the evidence </w:t>
            </w:r>
          </w:p>
        </w:tc>
        <w:tc>
          <w:tcPr>
            <w:tcW w:w="3686" w:type="dxa"/>
            <w:shd w:val="clear" w:color="auto" w:fill="425563" w:themeFill="text1"/>
          </w:tcPr>
          <w:p w14:paraId="1E8D9521" w14:textId="7000A312" w:rsidR="00AA51CC" w:rsidRPr="00A37092" w:rsidRDefault="00DD76EA" w:rsidP="007E0AFE">
            <w:pPr>
              <w:pStyle w:val="TableText"/>
              <w:rPr>
                <w:rFonts w:asciiTheme="majorHAnsi" w:hAnsiTheme="majorHAnsi"/>
                <w:color w:val="FFFFFF"/>
              </w:rPr>
            </w:pPr>
            <w:r w:rsidRPr="00A37092">
              <w:rPr>
                <w:rFonts w:asciiTheme="majorHAnsi" w:hAnsiTheme="majorHAnsi"/>
                <w:color w:val="FFFFFF"/>
              </w:rPr>
              <w:t xml:space="preserve">To what extent </w:t>
            </w:r>
            <w:r w:rsidR="003B7DCD" w:rsidRPr="00A37092">
              <w:rPr>
                <w:rFonts w:asciiTheme="majorHAnsi" w:hAnsiTheme="majorHAnsi"/>
                <w:color w:val="FFFFFF"/>
              </w:rPr>
              <w:t>it is p</w:t>
            </w:r>
            <w:r w:rsidR="00A10112" w:rsidRPr="00A37092">
              <w:rPr>
                <w:rFonts w:asciiTheme="majorHAnsi" w:hAnsiTheme="majorHAnsi"/>
                <w:color w:val="FFFFFF"/>
              </w:rPr>
              <w:t>rovided</w:t>
            </w:r>
            <w:r w:rsidR="00AA51CC" w:rsidRPr="00A37092">
              <w:rPr>
                <w:rFonts w:asciiTheme="majorHAnsi" w:hAnsiTheme="majorHAnsi"/>
                <w:color w:val="FFFFFF"/>
              </w:rPr>
              <w:t xml:space="preserve"> </w:t>
            </w:r>
            <w:r w:rsidR="00AF73A9" w:rsidRPr="00A37092">
              <w:rPr>
                <w:rFonts w:asciiTheme="majorHAnsi" w:hAnsiTheme="majorHAnsi"/>
                <w:color w:val="FFFFFF"/>
              </w:rPr>
              <w:t xml:space="preserve">in </w:t>
            </w:r>
            <w:r w:rsidR="00A10112" w:rsidRPr="00A37092">
              <w:rPr>
                <w:rFonts w:asciiTheme="majorHAnsi" w:hAnsiTheme="majorHAnsi"/>
                <w:color w:val="FFFFFF"/>
              </w:rPr>
              <w:t xml:space="preserve">the </w:t>
            </w:r>
            <w:r w:rsidR="00AA51CC" w:rsidRPr="00A37092">
              <w:rPr>
                <w:rFonts w:asciiTheme="majorHAnsi" w:hAnsiTheme="majorHAnsi"/>
                <w:color w:val="FFFFFF"/>
              </w:rPr>
              <w:t xml:space="preserve">STPP </w:t>
            </w:r>
          </w:p>
        </w:tc>
      </w:tr>
      <w:tr w:rsidR="00AA51CC" w:rsidRPr="00400054" w14:paraId="7CEE68F8" w14:textId="77777777" w:rsidTr="0020250C">
        <w:trPr>
          <w:cantSplit/>
        </w:trPr>
        <w:tc>
          <w:tcPr>
            <w:tcW w:w="0" w:type="dxa"/>
            <w:shd w:val="clear" w:color="auto" w:fill="F6F9F7"/>
          </w:tcPr>
          <w:p w14:paraId="5D67B9CC" w14:textId="62B23043" w:rsidR="00AA51CC" w:rsidRPr="008175C0" w:rsidRDefault="00AA51CC" w:rsidP="007E0AFE">
            <w:pPr>
              <w:pStyle w:val="TableText"/>
            </w:pPr>
            <w:r w:rsidRPr="001E72BA">
              <w:rPr>
                <w:rFonts w:asciiTheme="majorHAnsi" w:hAnsiTheme="majorHAnsi"/>
              </w:rPr>
              <w:t>Individualised and needs-based support</w:t>
            </w:r>
            <w:r w:rsidR="00C210DF">
              <w:rPr>
                <w:rStyle w:val="FootnoteReference"/>
                <w:i/>
              </w:rPr>
              <w:footnoteReference w:id="33"/>
            </w:r>
            <w:r w:rsidR="00C614CD">
              <w:t>,</w:t>
            </w:r>
            <w:r w:rsidR="00EE5D6C">
              <w:rPr>
                <w:rStyle w:val="FootnoteReference"/>
                <w:i/>
              </w:rPr>
              <w:footnoteReference w:id="34"/>
            </w:r>
            <w:r w:rsidR="00C614CD">
              <w:t>,</w:t>
            </w:r>
            <w:r w:rsidR="00C96825">
              <w:rPr>
                <w:rStyle w:val="FootnoteReference"/>
                <w:i/>
              </w:rPr>
              <w:footnoteReference w:id="35"/>
            </w:r>
          </w:p>
          <w:p w14:paraId="3EAC7A0B" w14:textId="1B8C40F4" w:rsidR="00AA51CC" w:rsidRPr="008175C0" w:rsidRDefault="00AA51CC" w:rsidP="007E0AFE">
            <w:pPr>
              <w:pStyle w:val="TableText"/>
            </w:pPr>
            <w:r w:rsidRPr="008175C0">
              <w:t>Effective approaches towards support are tailored to an individual's specific needs and circumstances</w:t>
            </w:r>
            <w:r w:rsidR="009B0A26" w:rsidRPr="008175C0">
              <w:t xml:space="preserve">, including </w:t>
            </w:r>
            <w:r w:rsidRPr="008175C0">
              <w:t xml:space="preserve">for differences such as gender, age, type of trafficking, cultural background and complex needs. </w:t>
            </w:r>
          </w:p>
          <w:p w14:paraId="264A819E" w14:textId="7E2F8BAF" w:rsidR="00AA51CC" w:rsidRPr="008175C0" w:rsidRDefault="00AA51CC" w:rsidP="007E0AFE">
            <w:pPr>
              <w:pStyle w:val="TableText"/>
            </w:pPr>
            <w:r w:rsidRPr="008175C0">
              <w:t xml:space="preserve">Support should be flexible and adjustable </w:t>
            </w:r>
            <w:r w:rsidR="28B08D94" w:rsidRPr="008175C0">
              <w:t xml:space="preserve">as </w:t>
            </w:r>
            <w:r w:rsidR="009B0A26" w:rsidRPr="008175C0">
              <w:t xml:space="preserve">needs change. </w:t>
            </w:r>
          </w:p>
        </w:tc>
        <w:tc>
          <w:tcPr>
            <w:tcW w:w="3686" w:type="dxa"/>
          </w:tcPr>
          <w:p w14:paraId="135B4884" w14:textId="0F2AB1C3" w:rsidR="00AA51CC" w:rsidRPr="001E72BA" w:rsidRDefault="009B0A26" w:rsidP="007E0AFE">
            <w:pPr>
              <w:pStyle w:val="TableText"/>
              <w:rPr>
                <w:rFonts w:asciiTheme="majorHAnsi" w:hAnsiTheme="majorHAnsi"/>
              </w:rPr>
            </w:pPr>
            <w:r w:rsidRPr="001E72BA">
              <w:rPr>
                <w:rFonts w:asciiTheme="majorHAnsi" w:hAnsiTheme="majorHAnsi"/>
              </w:rPr>
              <w:t xml:space="preserve">Medium alignment </w:t>
            </w:r>
          </w:p>
          <w:p w14:paraId="5340EDC4" w14:textId="317CEEBC" w:rsidR="00AA51CC" w:rsidRPr="008175C0" w:rsidRDefault="00AA51CC" w:rsidP="007E0AFE">
            <w:pPr>
              <w:pStyle w:val="TableText"/>
            </w:pPr>
            <w:r w:rsidRPr="008175C0">
              <w:t xml:space="preserve">The STPP provides </w:t>
            </w:r>
            <w:r w:rsidR="009B0A26" w:rsidRPr="008175C0">
              <w:t>a good range of supports, however with insufficient tailoring (for needs over time, children, people with complex needs, people who are not eligible</w:t>
            </w:r>
            <w:r w:rsidR="3EA4CC98" w:rsidRPr="008175C0">
              <w:t>)</w:t>
            </w:r>
            <w:r w:rsidR="19DDAAA7" w:rsidRPr="008175C0">
              <w:t>.</w:t>
            </w:r>
            <w:r w:rsidR="009B0A26" w:rsidRPr="008175C0">
              <w:t xml:space="preserve"> </w:t>
            </w:r>
          </w:p>
        </w:tc>
      </w:tr>
      <w:tr w:rsidR="00AA51CC" w:rsidRPr="00400054" w14:paraId="22F3F690" w14:textId="77777777" w:rsidTr="0020250C">
        <w:trPr>
          <w:cantSplit/>
        </w:trPr>
        <w:tc>
          <w:tcPr>
            <w:tcW w:w="0" w:type="dxa"/>
            <w:shd w:val="clear" w:color="auto" w:fill="F6F9F7"/>
          </w:tcPr>
          <w:p w14:paraId="613DDA18" w14:textId="4A77C4E6" w:rsidR="00AA51CC" w:rsidRPr="00400054" w:rsidRDefault="00AA51CC" w:rsidP="007E0AFE">
            <w:pPr>
              <w:pStyle w:val="TableText"/>
            </w:pPr>
            <w:r w:rsidRPr="001E72BA">
              <w:rPr>
                <w:rFonts w:asciiTheme="majorHAnsi" w:hAnsiTheme="majorHAnsi"/>
              </w:rPr>
              <w:t>Trauma-informed care</w:t>
            </w:r>
            <w:r w:rsidR="00BD115E">
              <w:rPr>
                <w:rStyle w:val="FootnoteReference"/>
                <w:i/>
              </w:rPr>
              <w:footnoteReference w:id="36"/>
            </w:r>
            <w:r w:rsidR="001F7866">
              <w:t>,</w:t>
            </w:r>
            <w:r w:rsidR="001F7866">
              <w:rPr>
                <w:rStyle w:val="FootnoteReference"/>
                <w:i/>
              </w:rPr>
              <w:footnoteReference w:id="37"/>
            </w:r>
            <w:r w:rsidR="00070DBF">
              <w:t>,</w:t>
            </w:r>
            <w:bookmarkStart w:id="52" w:name="_Ref199939655"/>
            <w:r w:rsidR="00070DBF">
              <w:rPr>
                <w:rStyle w:val="FootnoteReference"/>
                <w:i/>
              </w:rPr>
              <w:footnoteReference w:id="38"/>
            </w:r>
            <w:bookmarkEnd w:id="52"/>
          </w:p>
          <w:p w14:paraId="1CE4A90E" w14:textId="38BBB340" w:rsidR="00AA51CC" w:rsidRPr="00400054" w:rsidRDefault="00AA51CC" w:rsidP="007E0AFE">
            <w:pPr>
              <w:pStyle w:val="TableText"/>
            </w:pPr>
            <w:r w:rsidRPr="00400054">
              <w:t>This approach prioritises safety, trust, empowerment and choice. This includes compassionate staff who treat survivors as human beings, listen to their needs and build trusting relationships.</w:t>
            </w:r>
          </w:p>
        </w:tc>
        <w:tc>
          <w:tcPr>
            <w:tcW w:w="3686" w:type="dxa"/>
          </w:tcPr>
          <w:p w14:paraId="736AA666" w14:textId="77777777" w:rsidR="009B0A26" w:rsidRPr="001E72BA" w:rsidRDefault="009B0A26" w:rsidP="007E0AFE">
            <w:pPr>
              <w:pStyle w:val="TableText"/>
              <w:rPr>
                <w:rFonts w:asciiTheme="majorHAnsi" w:hAnsiTheme="majorHAnsi"/>
              </w:rPr>
            </w:pPr>
            <w:r w:rsidRPr="001E72BA">
              <w:rPr>
                <w:rFonts w:asciiTheme="majorHAnsi" w:hAnsiTheme="majorHAnsi"/>
              </w:rPr>
              <w:t xml:space="preserve">Medium alignment </w:t>
            </w:r>
          </w:p>
          <w:p w14:paraId="3D092597" w14:textId="54A214B6" w:rsidR="00AA51CC" w:rsidRPr="00400054" w:rsidRDefault="009B0A26" w:rsidP="007E0AFE">
            <w:pPr>
              <w:pStyle w:val="TableText"/>
            </w:pPr>
            <w:r>
              <w:t xml:space="preserve">As far as possible within the current program design, the STPP mostly aligns to trauma-informed care. The design itself does not. </w:t>
            </w:r>
          </w:p>
        </w:tc>
      </w:tr>
      <w:tr w:rsidR="00AA51CC" w:rsidRPr="00400054" w14:paraId="412BC63A" w14:textId="77777777" w:rsidTr="0020250C">
        <w:trPr>
          <w:cantSplit/>
        </w:trPr>
        <w:tc>
          <w:tcPr>
            <w:tcW w:w="0" w:type="dxa"/>
            <w:shd w:val="clear" w:color="auto" w:fill="F6F9F7"/>
          </w:tcPr>
          <w:p w14:paraId="0446AA96" w14:textId="781EC386" w:rsidR="00AA51CC" w:rsidRPr="00F323B1" w:rsidRDefault="00AA51CC" w:rsidP="007E0AFE">
            <w:pPr>
              <w:pStyle w:val="TableText"/>
              <w:rPr>
                <w:vertAlign w:val="superscript"/>
              </w:rPr>
            </w:pPr>
            <w:r w:rsidRPr="001E72BA">
              <w:rPr>
                <w:rFonts w:asciiTheme="majorHAnsi" w:hAnsiTheme="majorHAnsi"/>
              </w:rPr>
              <w:t>Case management</w:t>
            </w:r>
            <w:r w:rsidR="00C94628">
              <w:rPr>
                <w:vertAlign w:val="superscript"/>
              </w:rPr>
              <w:t>20,</w:t>
            </w:r>
            <w:bookmarkStart w:id="53" w:name="_Ref199939802"/>
            <w:r w:rsidR="009B219C">
              <w:rPr>
                <w:rStyle w:val="FootnoteReference"/>
                <w:i/>
              </w:rPr>
              <w:footnoteReference w:id="39"/>
            </w:r>
            <w:bookmarkEnd w:id="53"/>
          </w:p>
          <w:p w14:paraId="260AFFC8" w14:textId="617565A7" w:rsidR="00AA51CC" w:rsidRPr="00400054" w:rsidRDefault="00AA51CC" w:rsidP="007E0AFE">
            <w:pPr>
              <w:pStyle w:val="TableText"/>
            </w:pPr>
            <w:r w:rsidRPr="00400054">
              <w:t>Most evaluations also emphasise the importance of intensive case management in providing effective support</w:t>
            </w:r>
            <w:r w:rsidR="3E3B25E8" w:rsidRPr="6065506C">
              <w:t>.</w:t>
            </w:r>
            <w:r w:rsidRPr="6065506C">
              <w:rPr>
                <w:rFonts w:ascii="Times New Roman" w:hAnsi="Times New Roman" w:cs="Times New Roman"/>
              </w:rPr>
              <w:t>​</w:t>
            </w:r>
            <w:r w:rsidRPr="00400054">
              <w:t xml:space="preserve"> </w:t>
            </w:r>
            <w:r w:rsidR="009B0A26">
              <w:t xml:space="preserve">This includes </w:t>
            </w:r>
            <w:r w:rsidRPr="00400054">
              <w:t xml:space="preserve">having a single knowledgeable advocate (caseworker) who </w:t>
            </w:r>
            <w:r w:rsidR="1BC64EEC" w:rsidRPr="12FDB987">
              <w:t>help</w:t>
            </w:r>
            <w:r w:rsidR="5D0F88A2" w:rsidRPr="12FDB987">
              <w:t>s</w:t>
            </w:r>
            <w:r w:rsidRPr="00400054">
              <w:t xml:space="preserve"> to build trust and coordinate the many services they require. </w:t>
            </w:r>
          </w:p>
        </w:tc>
        <w:tc>
          <w:tcPr>
            <w:tcW w:w="3686" w:type="dxa"/>
          </w:tcPr>
          <w:p w14:paraId="0F03537B" w14:textId="063827D4" w:rsidR="00AA51CC" w:rsidRPr="001E72BA" w:rsidRDefault="009B0A26" w:rsidP="007E0AFE">
            <w:pPr>
              <w:pStyle w:val="TableText"/>
              <w:rPr>
                <w:rFonts w:asciiTheme="majorHAnsi" w:hAnsiTheme="majorHAnsi"/>
              </w:rPr>
            </w:pPr>
            <w:r w:rsidRPr="001E72BA">
              <w:rPr>
                <w:rFonts w:asciiTheme="majorHAnsi" w:hAnsiTheme="majorHAnsi"/>
              </w:rPr>
              <w:t>High alignment</w:t>
            </w:r>
          </w:p>
          <w:p w14:paraId="0DA65587" w14:textId="53884D3A" w:rsidR="00AA51CC" w:rsidRPr="00400054" w:rsidRDefault="00AA51CC" w:rsidP="007E0AFE">
            <w:pPr>
              <w:pStyle w:val="TableText"/>
            </w:pPr>
            <w:r w:rsidRPr="00400054">
              <w:t xml:space="preserve">The STPP </w:t>
            </w:r>
            <w:r w:rsidR="009B0A26">
              <w:t xml:space="preserve">aligns to this model. </w:t>
            </w:r>
            <w:r w:rsidRPr="00400054">
              <w:t xml:space="preserve"> </w:t>
            </w:r>
          </w:p>
        </w:tc>
      </w:tr>
      <w:tr w:rsidR="00AA51CC" w:rsidRPr="00400054" w14:paraId="1F2E56BD" w14:textId="77777777" w:rsidTr="0020250C">
        <w:trPr>
          <w:cantSplit/>
        </w:trPr>
        <w:tc>
          <w:tcPr>
            <w:tcW w:w="0" w:type="dxa"/>
            <w:shd w:val="clear" w:color="auto" w:fill="F6F9F7"/>
          </w:tcPr>
          <w:p w14:paraId="47608306" w14:textId="68E056D2" w:rsidR="00AA51CC" w:rsidRPr="00400054" w:rsidRDefault="00AA51CC" w:rsidP="007E0AFE">
            <w:pPr>
              <w:pStyle w:val="TableText"/>
              <w:rPr>
                <w:i/>
              </w:rPr>
            </w:pPr>
            <w:r w:rsidRPr="12FDB987">
              <w:rPr>
                <w:i/>
              </w:rPr>
              <w:t>Long-term and consistent support</w:t>
            </w:r>
            <w:bookmarkStart w:id="54" w:name="_Ref199939988"/>
            <w:r w:rsidR="008976FA">
              <w:rPr>
                <w:rStyle w:val="FootnoteReference"/>
                <w:i/>
              </w:rPr>
              <w:footnoteReference w:id="40"/>
            </w:r>
            <w:bookmarkEnd w:id="54"/>
            <w:r w:rsidR="00884BD3">
              <w:rPr>
                <w:i/>
              </w:rPr>
              <w:t>,</w:t>
            </w:r>
            <w:r w:rsidR="003C2FA9" w:rsidRPr="00F323B1">
              <w:rPr>
                <w:rStyle w:val="FootnoteReference"/>
              </w:rPr>
              <w:fldChar w:fldCharType="begin"/>
            </w:r>
            <w:r w:rsidR="003C2FA9" w:rsidRPr="00F323B1">
              <w:rPr>
                <w:rStyle w:val="FootnoteReference"/>
              </w:rPr>
              <w:instrText xml:space="preserve"> NOTEREF _Ref199939655 \h </w:instrText>
            </w:r>
            <w:r w:rsidR="00884BD3">
              <w:rPr>
                <w:rStyle w:val="FootnoteReference"/>
              </w:rPr>
              <w:instrText xml:space="preserve"> \* MERGEFORMAT </w:instrText>
            </w:r>
            <w:r w:rsidR="003C2FA9" w:rsidRPr="00F323B1">
              <w:rPr>
                <w:rStyle w:val="FootnoteReference"/>
              </w:rPr>
            </w:r>
            <w:r w:rsidR="003C2FA9" w:rsidRPr="00F323B1">
              <w:rPr>
                <w:rStyle w:val="FootnoteReference"/>
              </w:rPr>
              <w:fldChar w:fldCharType="separate"/>
            </w:r>
            <w:r w:rsidR="00D9323B">
              <w:rPr>
                <w:rStyle w:val="FootnoteReference"/>
              </w:rPr>
              <w:t>37</w:t>
            </w:r>
            <w:r w:rsidR="003C2FA9" w:rsidRPr="00F323B1">
              <w:rPr>
                <w:rStyle w:val="FootnoteReference"/>
              </w:rPr>
              <w:fldChar w:fldCharType="end"/>
            </w:r>
            <w:r w:rsidR="00A1505C">
              <w:t>,</w:t>
            </w:r>
            <w:r w:rsidR="00A1505C">
              <w:rPr>
                <w:rStyle w:val="FootnoteReference"/>
              </w:rPr>
              <w:footnoteReference w:id="41"/>
            </w:r>
            <w:r w:rsidR="00B1117F">
              <w:t>,</w:t>
            </w:r>
            <w:r w:rsidR="00B1117F" w:rsidRPr="00F323B1">
              <w:rPr>
                <w:rStyle w:val="FootnoteReference"/>
              </w:rPr>
              <w:fldChar w:fldCharType="begin"/>
            </w:r>
            <w:r w:rsidR="00B1117F" w:rsidRPr="00F323B1">
              <w:rPr>
                <w:rStyle w:val="FootnoteReference"/>
              </w:rPr>
              <w:instrText xml:space="preserve"> NOTEREF _Ref199939802 \h </w:instrText>
            </w:r>
            <w:r w:rsidR="00B1117F">
              <w:rPr>
                <w:rStyle w:val="FootnoteReference"/>
              </w:rPr>
              <w:instrText xml:space="preserve"> \* MERGEFORMAT </w:instrText>
            </w:r>
            <w:r w:rsidR="00B1117F" w:rsidRPr="00F323B1">
              <w:rPr>
                <w:rStyle w:val="FootnoteReference"/>
              </w:rPr>
            </w:r>
            <w:r w:rsidR="00B1117F" w:rsidRPr="00F323B1">
              <w:rPr>
                <w:rStyle w:val="FootnoteReference"/>
              </w:rPr>
              <w:fldChar w:fldCharType="separate"/>
            </w:r>
            <w:r w:rsidR="00D9323B">
              <w:rPr>
                <w:rStyle w:val="FootnoteReference"/>
              </w:rPr>
              <w:t>38</w:t>
            </w:r>
            <w:r w:rsidR="00B1117F" w:rsidRPr="00F323B1">
              <w:rPr>
                <w:rStyle w:val="FootnoteReference"/>
              </w:rPr>
              <w:fldChar w:fldCharType="end"/>
            </w:r>
          </w:p>
          <w:p w14:paraId="5C8F62DB" w14:textId="2BDBFC86" w:rsidR="00AA51CC" w:rsidRPr="00400054" w:rsidRDefault="00AA51CC" w:rsidP="007E0AFE">
            <w:pPr>
              <w:pStyle w:val="TableText"/>
            </w:pPr>
            <w:r w:rsidRPr="00400054">
              <w:t>Providing extended support beyond an initial stabilisation period is considered crucial for achieving longer</w:t>
            </w:r>
            <w:r w:rsidR="00ED5E54">
              <w:t>-</w:t>
            </w:r>
            <w:r w:rsidRPr="00400054">
              <w:t>term outcomes, along with working to overcome systemic barriers such as housing shortages and legal/immigration issues. A UK evaluation of the STEP pilot project explicitly recommends at least 12 months of continued support post-identification.</w:t>
            </w:r>
          </w:p>
        </w:tc>
        <w:tc>
          <w:tcPr>
            <w:tcW w:w="3686" w:type="dxa"/>
          </w:tcPr>
          <w:p w14:paraId="03D0580F" w14:textId="5F1E7491" w:rsidR="00AA51CC" w:rsidRPr="001E72BA" w:rsidRDefault="009B0A26" w:rsidP="007E0AFE">
            <w:pPr>
              <w:pStyle w:val="TableText"/>
              <w:rPr>
                <w:rFonts w:asciiTheme="majorHAnsi" w:hAnsiTheme="majorHAnsi"/>
              </w:rPr>
            </w:pPr>
            <w:r w:rsidRPr="001E72BA">
              <w:rPr>
                <w:rFonts w:asciiTheme="majorHAnsi" w:hAnsiTheme="majorHAnsi"/>
              </w:rPr>
              <w:t xml:space="preserve">Low-medium alignment </w:t>
            </w:r>
          </w:p>
          <w:p w14:paraId="6ACEEB86" w14:textId="7E9E89DA" w:rsidR="00AA51CC" w:rsidRPr="00400054" w:rsidRDefault="009B0A26" w:rsidP="007E0AFE">
            <w:pPr>
              <w:pStyle w:val="TableText"/>
            </w:pPr>
            <w:r>
              <w:t>The STPP offers longer term support for those who participate in criminal justice processes</w:t>
            </w:r>
            <w:r w:rsidR="007740AE">
              <w:t xml:space="preserve">, </w:t>
            </w:r>
            <w:r w:rsidR="17484ACF">
              <w:t>but</w:t>
            </w:r>
            <w:r w:rsidR="007740AE">
              <w:t xml:space="preserve"> otherwise support is limited to</w:t>
            </w:r>
            <w:r w:rsidR="00D849FE">
              <w:t xml:space="preserve"> </w:t>
            </w:r>
            <w:r w:rsidR="4F2AB224">
              <w:t>two</w:t>
            </w:r>
            <w:r w:rsidR="00D849FE">
              <w:t xml:space="preserve"> weeks (ARP only) or </w:t>
            </w:r>
            <w:r w:rsidR="6709CE8F">
              <w:t>three</w:t>
            </w:r>
            <w:r w:rsidR="00D849FE">
              <w:t xml:space="preserve"> months (</w:t>
            </w:r>
            <w:r w:rsidR="00454CF9">
              <w:t>Intensive</w:t>
            </w:r>
            <w:r w:rsidR="00D849FE">
              <w:t xml:space="preserve"> Support </w:t>
            </w:r>
            <w:r w:rsidR="00965EF7">
              <w:t>Stream)</w:t>
            </w:r>
            <w:r w:rsidR="2E7FC0FE">
              <w:t>.</w:t>
            </w:r>
          </w:p>
        </w:tc>
      </w:tr>
      <w:tr w:rsidR="00AA51CC" w:rsidRPr="00400054" w14:paraId="3A78ECF0" w14:textId="77777777" w:rsidTr="0020250C">
        <w:trPr>
          <w:cantSplit/>
        </w:trPr>
        <w:tc>
          <w:tcPr>
            <w:tcW w:w="0" w:type="dxa"/>
            <w:shd w:val="clear" w:color="auto" w:fill="F6F9F7"/>
          </w:tcPr>
          <w:p w14:paraId="4FC2493B" w14:textId="542CEDA0" w:rsidR="00AA51CC" w:rsidRPr="00400054" w:rsidRDefault="00AA51CC" w:rsidP="007E0AFE">
            <w:pPr>
              <w:pStyle w:val="TableText"/>
              <w:rPr>
                <w:i/>
              </w:rPr>
            </w:pPr>
            <w:r w:rsidRPr="001E72BA">
              <w:rPr>
                <w:rFonts w:asciiTheme="majorHAnsi" w:hAnsiTheme="majorHAnsi"/>
              </w:rPr>
              <w:lastRenderedPageBreak/>
              <w:t>Survivor involvement and empowerment</w:t>
            </w:r>
            <w:r w:rsidR="00E801A6">
              <w:rPr>
                <w:rStyle w:val="FootnoteReference"/>
              </w:rPr>
              <w:footnoteReference w:id="42"/>
            </w:r>
            <w:r w:rsidR="00E03C89" w:rsidRPr="00F323B1">
              <w:rPr>
                <w:rStyle w:val="FootnoteReference"/>
              </w:rPr>
              <w:t>,</w:t>
            </w:r>
            <w:r w:rsidR="005B2296" w:rsidRPr="00F323B1">
              <w:rPr>
                <w:rStyle w:val="FootnoteReference"/>
              </w:rPr>
              <w:fldChar w:fldCharType="begin"/>
            </w:r>
            <w:r w:rsidR="005B2296" w:rsidRPr="00F323B1">
              <w:rPr>
                <w:rStyle w:val="FootnoteReference"/>
              </w:rPr>
              <w:instrText xml:space="preserve"> NOTEREF _Ref199939988 \h </w:instrText>
            </w:r>
            <w:r w:rsidR="005B2296">
              <w:rPr>
                <w:rStyle w:val="FootnoteReference"/>
              </w:rPr>
              <w:instrText xml:space="preserve"> \* MERGEFORMAT </w:instrText>
            </w:r>
            <w:r w:rsidR="005B2296" w:rsidRPr="00F323B1">
              <w:rPr>
                <w:rStyle w:val="FootnoteReference"/>
              </w:rPr>
            </w:r>
            <w:r w:rsidR="005B2296" w:rsidRPr="00F323B1">
              <w:rPr>
                <w:rStyle w:val="FootnoteReference"/>
              </w:rPr>
              <w:fldChar w:fldCharType="separate"/>
            </w:r>
            <w:r w:rsidR="00D9323B">
              <w:rPr>
                <w:rStyle w:val="FootnoteReference"/>
              </w:rPr>
              <w:t>39</w:t>
            </w:r>
            <w:r w:rsidR="005B2296" w:rsidRPr="00F323B1">
              <w:rPr>
                <w:rStyle w:val="FootnoteReference"/>
              </w:rPr>
              <w:fldChar w:fldCharType="end"/>
            </w:r>
            <w:r w:rsidR="00CC6F1A">
              <w:t>,</w:t>
            </w:r>
            <w:r w:rsidR="00CC6F1A" w:rsidRPr="008860D4">
              <w:rPr>
                <w:rStyle w:val="FootnoteReference"/>
              </w:rPr>
              <w:t xml:space="preserve"> </w:t>
            </w:r>
            <w:r w:rsidR="00CC6F1A" w:rsidRPr="008860D4">
              <w:rPr>
                <w:rStyle w:val="FootnoteReference"/>
              </w:rPr>
              <w:fldChar w:fldCharType="begin"/>
            </w:r>
            <w:r w:rsidR="00CC6F1A" w:rsidRPr="008860D4">
              <w:rPr>
                <w:rStyle w:val="FootnoteReference"/>
              </w:rPr>
              <w:instrText xml:space="preserve"> NOTEREF _Ref199939655 \h </w:instrText>
            </w:r>
            <w:r w:rsidR="00CC6F1A">
              <w:rPr>
                <w:rStyle w:val="FootnoteReference"/>
              </w:rPr>
              <w:instrText xml:space="preserve"> \* MERGEFORMAT </w:instrText>
            </w:r>
            <w:r w:rsidR="00CC6F1A" w:rsidRPr="008860D4">
              <w:rPr>
                <w:rStyle w:val="FootnoteReference"/>
              </w:rPr>
            </w:r>
            <w:r w:rsidR="00CC6F1A" w:rsidRPr="008860D4">
              <w:rPr>
                <w:rStyle w:val="FootnoteReference"/>
              </w:rPr>
              <w:fldChar w:fldCharType="separate"/>
            </w:r>
            <w:r w:rsidR="00D9323B">
              <w:rPr>
                <w:rStyle w:val="FootnoteReference"/>
              </w:rPr>
              <w:t>37</w:t>
            </w:r>
            <w:r w:rsidR="00CC6F1A" w:rsidRPr="008860D4">
              <w:rPr>
                <w:rStyle w:val="FootnoteReference"/>
              </w:rPr>
              <w:fldChar w:fldCharType="end"/>
            </w:r>
          </w:p>
          <w:p w14:paraId="317B03EC" w14:textId="4C4C43FD" w:rsidR="00AA51CC" w:rsidRPr="00454CF9" w:rsidRDefault="00454CF9" w:rsidP="007E0AFE">
            <w:pPr>
              <w:pStyle w:val="TableText"/>
              <w:rPr>
                <w:rFonts w:cs="Times New Roman"/>
              </w:rPr>
            </w:pPr>
            <w:r>
              <w:t>Lived experience led</w:t>
            </w:r>
            <w:r w:rsidR="00AA51CC" w:rsidRPr="00400054">
              <w:t xml:space="preserve"> design, implementation and evaluation of support services is considered </w:t>
            </w:r>
            <w:r w:rsidR="00233A15" w:rsidRPr="002B12A5">
              <w:t>better</w:t>
            </w:r>
            <w:r w:rsidR="00233A15" w:rsidRPr="00400054">
              <w:t xml:space="preserve"> practice</w:t>
            </w:r>
            <w:r w:rsidR="00AA51CC" w:rsidRPr="00400054">
              <w:t xml:space="preserve"> and improves the relevance and trustworthiness of services. </w:t>
            </w:r>
          </w:p>
        </w:tc>
        <w:tc>
          <w:tcPr>
            <w:tcW w:w="3686" w:type="dxa"/>
          </w:tcPr>
          <w:p w14:paraId="57523625" w14:textId="34C9660D" w:rsidR="00AA51CC" w:rsidRPr="001E72BA" w:rsidRDefault="00D20579" w:rsidP="007E0AFE">
            <w:pPr>
              <w:pStyle w:val="TableText"/>
              <w:rPr>
                <w:rFonts w:asciiTheme="majorHAnsi" w:hAnsiTheme="majorHAnsi"/>
              </w:rPr>
            </w:pPr>
            <w:r w:rsidRPr="001E72BA">
              <w:rPr>
                <w:rFonts w:asciiTheme="majorHAnsi" w:hAnsiTheme="majorHAnsi"/>
              </w:rPr>
              <w:t xml:space="preserve">Medium </w:t>
            </w:r>
            <w:r w:rsidR="00454CF9" w:rsidRPr="001E72BA">
              <w:rPr>
                <w:rFonts w:asciiTheme="majorHAnsi" w:hAnsiTheme="majorHAnsi"/>
              </w:rPr>
              <w:t xml:space="preserve">alignment </w:t>
            </w:r>
          </w:p>
          <w:p w14:paraId="07F4193D" w14:textId="2D5CC06A" w:rsidR="00AA51CC" w:rsidRPr="00400054" w:rsidRDefault="00454CF9" w:rsidP="007E0AFE">
            <w:pPr>
              <w:pStyle w:val="TableText"/>
            </w:pPr>
            <w:r>
              <w:t xml:space="preserve">The STPP model is characterised by </w:t>
            </w:r>
            <w:r w:rsidR="00D20579">
              <w:t>mixed</w:t>
            </w:r>
            <w:r>
              <w:t xml:space="preserve"> empowerment for participants (</w:t>
            </w:r>
            <w:r w:rsidR="00D20579">
              <w:t xml:space="preserve">some </w:t>
            </w:r>
            <w:r>
              <w:t xml:space="preserve">agency sits with caseworkers) and little broader lived experience </w:t>
            </w:r>
            <w:r w:rsidR="008A6A6A">
              <w:t xml:space="preserve">involvement. </w:t>
            </w:r>
          </w:p>
        </w:tc>
      </w:tr>
      <w:tr w:rsidR="00AA51CC" w:rsidRPr="00400054" w14:paraId="2879C789" w14:textId="77777777" w:rsidTr="0020250C">
        <w:trPr>
          <w:cantSplit/>
        </w:trPr>
        <w:tc>
          <w:tcPr>
            <w:tcW w:w="0" w:type="dxa"/>
            <w:shd w:val="clear" w:color="auto" w:fill="F6F9F7"/>
          </w:tcPr>
          <w:p w14:paraId="4C267A5E" w14:textId="0747AD3C" w:rsidR="00AA51CC" w:rsidRPr="00400054" w:rsidRDefault="00AA51CC" w:rsidP="007E0AFE">
            <w:pPr>
              <w:pStyle w:val="TableText"/>
            </w:pPr>
            <w:r w:rsidRPr="001E72BA">
              <w:rPr>
                <w:rFonts w:asciiTheme="majorHAnsi" w:hAnsiTheme="majorHAnsi"/>
              </w:rPr>
              <w:t>Multi-agency collaboration</w:t>
            </w:r>
            <w:r w:rsidR="003C70FD">
              <w:rPr>
                <w:rStyle w:val="FootnoteReference"/>
                <w:i/>
              </w:rPr>
              <w:footnoteReference w:id="43"/>
            </w:r>
            <w:r w:rsidR="00F71FD3">
              <w:t>,</w:t>
            </w:r>
            <w:r w:rsidR="00F71FD3">
              <w:rPr>
                <w:rStyle w:val="FootnoteReference"/>
                <w:i/>
              </w:rPr>
              <w:footnoteReference w:id="44"/>
            </w:r>
            <w:r w:rsidR="00D752FF">
              <w:t>,</w:t>
            </w:r>
            <w:r w:rsidR="00D752FF">
              <w:rPr>
                <w:rStyle w:val="FootnoteReference"/>
                <w:i/>
              </w:rPr>
              <w:footnoteReference w:id="45"/>
            </w:r>
          </w:p>
          <w:p w14:paraId="7B31576A" w14:textId="7CF9E661" w:rsidR="00AA51CC" w:rsidRPr="00400054" w:rsidRDefault="00AA51CC" w:rsidP="007E0AFE">
            <w:pPr>
              <w:pStyle w:val="TableText"/>
            </w:pPr>
            <w:r w:rsidRPr="00400054">
              <w:t>Multi-sector partnership approach</w:t>
            </w:r>
            <w:r w:rsidR="00965EF7">
              <w:t xml:space="preserve">es are </w:t>
            </w:r>
            <w:r w:rsidRPr="00400054">
              <w:t xml:space="preserve">seen as important for avoiding service gaps, and for providing integrated and comprehensive support required to meet needs. Partnerships must be coordinated and include cross-border cooperation. </w:t>
            </w:r>
          </w:p>
        </w:tc>
        <w:tc>
          <w:tcPr>
            <w:tcW w:w="3686" w:type="dxa"/>
          </w:tcPr>
          <w:p w14:paraId="2EF37399" w14:textId="0B13DA3D" w:rsidR="00AA51CC" w:rsidRPr="001E72BA" w:rsidRDefault="00965EF7" w:rsidP="007E0AFE">
            <w:pPr>
              <w:pStyle w:val="TableText"/>
              <w:rPr>
                <w:rFonts w:asciiTheme="majorHAnsi" w:hAnsiTheme="majorHAnsi"/>
              </w:rPr>
            </w:pPr>
            <w:r w:rsidRPr="001E72BA">
              <w:rPr>
                <w:rFonts w:asciiTheme="majorHAnsi" w:hAnsiTheme="majorHAnsi"/>
              </w:rPr>
              <w:t xml:space="preserve">Medium alignment </w:t>
            </w:r>
          </w:p>
          <w:p w14:paraId="4CA6723F" w14:textId="6A02E4B2" w:rsidR="00AA51CC" w:rsidRPr="00400054" w:rsidRDefault="00965EF7" w:rsidP="007E0AFE">
            <w:pPr>
              <w:pStyle w:val="TableText"/>
            </w:pPr>
            <w:r>
              <w:t>Collaboration for the STPP is good, but narrow</w:t>
            </w:r>
            <w:r w:rsidR="006C388C">
              <w:t xml:space="preserve"> (despite significant efforts by the STPP provider, there is still limited understanding of the program in the adjacent services sector)</w:t>
            </w:r>
            <w:r>
              <w:t xml:space="preserve">. A stronger range of civil sector and lived experience advocate collaborators would strengthen this. </w:t>
            </w:r>
          </w:p>
        </w:tc>
      </w:tr>
      <w:tr w:rsidR="00AA51CC" w:rsidRPr="00400054" w14:paraId="4C87352E" w14:textId="77777777" w:rsidTr="0020250C">
        <w:trPr>
          <w:cantSplit/>
        </w:trPr>
        <w:tc>
          <w:tcPr>
            <w:tcW w:w="0" w:type="dxa"/>
            <w:shd w:val="clear" w:color="auto" w:fill="F6F9F7"/>
          </w:tcPr>
          <w:p w14:paraId="62E894C8" w14:textId="3ECE89F5" w:rsidR="00AA51CC" w:rsidRPr="00400054" w:rsidRDefault="00AA51CC" w:rsidP="007E0AFE">
            <w:pPr>
              <w:pStyle w:val="TableText"/>
              <w:rPr>
                <w:i/>
              </w:rPr>
            </w:pPr>
            <w:r w:rsidRPr="001E72BA">
              <w:rPr>
                <w:rFonts w:asciiTheme="majorHAnsi" w:hAnsiTheme="majorHAnsi"/>
              </w:rPr>
              <w:t>Culturally responsive services</w:t>
            </w:r>
            <w:r w:rsidR="00451573" w:rsidRPr="00F323B1">
              <w:rPr>
                <w:rStyle w:val="FootnoteReference"/>
              </w:rPr>
              <w:fldChar w:fldCharType="begin"/>
            </w:r>
            <w:r w:rsidR="00451573" w:rsidRPr="00F323B1">
              <w:rPr>
                <w:rStyle w:val="FootnoteReference"/>
              </w:rPr>
              <w:instrText xml:space="preserve"> NOTEREF _Ref199939655 \h </w:instrText>
            </w:r>
            <w:r w:rsidR="00AD7938" w:rsidRPr="00F323B1">
              <w:rPr>
                <w:rStyle w:val="FootnoteReference"/>
              </w:rPr>
              <w:instrText xml:space="preserve"> \* MERGEFORMAT </w:instrText>
            </w:r>
            <w:r w:rsidR="00451573" w:rsidRPr="00F323B1">
              <w:rPr>
                <w:rStyle w:val="FootnoteReference"/>
              </w:rPr>
            </w:r>
            <w:r w:rsidR="00451573" w:rsidRPr="00F323B1">
              <w:rPr>
                <w:rStyle w:val="FootnoteReference"/>
              </w:rPr>
              <w:fldChar w:fldCharType="separate"/>
            </w:r>
            <w:r w:rsidR="00D9323B">
              <w:rPr>
                <w:rStyle w:val="FootnoteReference"/>
              </w:rPr>
              <w:t>37</w:t>
            </w:r>
            <w:r w:rsidR="00451573" w:rsidRPr="00F323B1">
              <w:rPr>
                <w:rStyle w:val="FootnoteReference"/>
              </w:rPr>
              <w:fldChar w:fldCharType="end"/>
            </w:r>
            <w:r w:rsidR="00451573" w:rsidRPr="00F323B1">
              <w:rPr>
                <w:rStyle w:val="FootnoteReference"/>
              </w:rPr>
              <w:t>,</w:t>
            </w:r>
            <w:r w:rsidR="00AD7938" w:rsidRPr="00F323B1">
              <w:rPr>
                <w:rStyle w:val="FootnoteReference"/>
              </w:rPr>
              <w:fldChar w:fldCharType="begin"/>
            </w:r>
            <w:r w:rsidR="00AD7938" w:rsidRPr="00F323B1">
              <w:rPr>
                <w:rStyle w:val="FootnoteReference"/>
              </w:rPr>
              <w:instrText xml:space="preserve"> NOTEREF _Ref199939988 \h  \* MERGEFORMAT </w:instrText>
            </w:r>
            <w:r w:rsidR="00AD7938" w:rsidRPr="00F323B1">
              <w:rPr>
                <w:rStyle w:val="FootnoteReference"/>
              </w:rPr>
            </w:r>
            <w:r w:rsidR="00AD7938" w:rsidRPr="00F323B1">
              <w:rPr>
                <w:rStyle w:val="FootnoteReference"/>
              </w:rPr>
              <w:fldChar w:fldCharType="separate"/>
            </w:r>
            <w:r w:rsidR="00D9323B">
              <w:rPr>
                <w:rStyle w:val="FootnoteReference"/>
              </w:rPr>
              <w:t>39</w:t>
            </w:r>
            <w:r w:rsidR="00AD7938" w:rsidRPr="00F323B1">
              <w:rPr>
                <w:rStyle w:val="FootnoteReference"/>
              </w:rPr>
              <w:fldChar w:fldCharType="end"/>
            </w:r>
          </w:p>
          <w:p w14:paraId="0FA09779" w14:textId="77777777" w:rsidR="00AA51CC" w:rsidRPr="00400054" w:rsidRDefault="00AA51CC" w:rsidP="007E0AFE">
            <w:pPr>
              <w:pStyle w:val="TableText"/>
            </w:pPr>
            <w:r w:rsidRPr="00400054">
              <w:t>This includes tailoring support to specific populations like First Nations communities, those newly arrived in a country, and those from culturally and linguistically diverse backgrounds.</w:t>
            </w:r>
          </w:p>
          <w:p w14:paraId="1EDFB621" w14:textId="77777777" w:rsidR="00AA51CC" w:rsidRPr="00400054" w:rsidRDefault="00AA51CC" w:rsidP="007E0AFE">
            <w:pPr>
              <w:pStyle w:val="TableText"/>
            </w:pPr>
          </w:p>
        </w:tc>
        <w:tc>
          <w:tcPr>
            <w:tcW w:w="3686" w:type="dxa"/>
          </w:tcPr>
          <w:p w14:paraId="075ADA2C" w14:textId="2DA0C61E" w:rsidR="00AA51CC" w:rsidRPr="001E72BA" w:rsidRDefault="00965EF7" w:rsidP="007E0AFE">
            <w:pPr>
              <w:pStyle w:val="TableText"/>
              <w:rPr>
                <w:rFonts w:asciiTheme="majorHAnsi" w:hAnsiTheme="majorHAnsi"/>
              </w:rPr>
            </w:pPr>
            <w:r w:rsidRPr="001E72BA">
              <w:rPr>
                <w:rFonts w:asciiTheme="majorHAnsi" w:hAnsiTheme="majorHAnsi"/>
              </w:rPr>
              <w:t xml:space="preserve">Low alignment </w:t>
            </w:r>
          </w:p>
          <w:p w14:paraId="437076B7" w14:textId="520D8367" w:rsidR="00AA51CC" w:rsidRPr="00400054" w:rsidRDefault="00AA51CC" w:rsidP="007E0AFE">
            <w:pPr>
              <w:pStyle w:val="TableText"/>
            </w:pPr>
            <w:r w:rsidRPr="00400054">
              <w:t>The STPP aims to be culturally responsive but there's room to better address systemic bias, stigma and other culturally relevant barriers to support and healing</w:t>
            </w:r>
            <w:r>
              <w:t>.</w:t>
            </w:r>
          </w:p>
        </w:tc>
      </w:tr>
    </w:tbl>
    <w:p w14:paraId="498EF507" w14:textId="5A4E651E" w:rsidR="00D73AF5" w:rsidRDefault="000A58AD" w:rsidP="007E0AFE">
      <w:pPr>
        <w:pStyle w:val="Heading2"/>
      </w:pPr>
      <w:bookmarkStart w:id="55" w:name="_Toc201908120"/>
      <w:r>
        <w:t xml:space="preserve">4. </w:t>
      </w:r>
      <w:r w:rsidR="0029458F">
        <w:t>ARP</w:t>
      </w:r>
      <w:r w:rsidR="00B64DD0">
        <w:t xml:space="preserve"> - </w:t>
      </w:r>
      <w:r w:rsidR="00D73AF5" w:rsidRPr="00035767">
        <w:t>Effectiveness (implementation</w:t>
      </w:r>
      <w:r w:rsidR="00D73AF5">
        <w:t>)</w:t>
      </w:r>
      <w:bookmarkEnd w:id="55"/>
    </w:p>
    <w:p w14:paraId="499CF3C1" w14:textId="0C8A1C19" w:rsidR="00173C59" w:rsidRDefault="00173C59" w:rsidP="007E0AFE">
      <w:pPr>
        <w:pStyle w:val="Heading3"/>
      </w:pPr>
      <w:bookmarkStart w:id="56" w:name="_Toc198367942"/>
      <w:bookmarkStart w:id="57" w:name="_Toc201908121"/>
      <w:r>
        <w:t xml:space="preserve">KEQ4. To what extent is the </w:t>
      </w:r>
      <w:r w:rsidR="0029458F">
        <w:t>ARP</w:t>
      </w:r>
      <w:r>
        <w:t xml:space="preserve"> achieving </w:t>
      </w:r>
      <w:r w:rsidR="00724B4F">
        <w:t>intended activities and outputs</w:t>
      </w:r>
      <w:r w:rsidR="00F11056">
        <w:t>?</w:t>
      </w:r>
      <w:bookmarkEnd w:id="56"/>
      <w:bookmarkEnd w:id="57"/>
      <w:r w:rsidR="00F11056">
        <w:t xml:space="preserve"> </w:t>
      </w:r>
    </w:p>
    <w:p w14:paraId="253FFECB" w14:textId="77777777" w:rsidR="00173C59" w:rsidRPr="00021A6B" w:rsidRDefault="00173C59" w:rsidP="00021A6B">
      <w:pPr>
        <w:spacing w:before="240" w:after="60" w:line="204" w:lineRule="auto"/>
        <w:rPr>
          <w:rFonts w:asciiTheme="majorHAnsi" w:hAnsiTheme="majorHAnsi"/>
          <w:color w:val="425563"/>
          <w:sz w:val="28"/>
          <w:szCs w:val="28"/>
        </w:rPr>
      </w:pPr>
      <w:r w:rsidRPr="00021A6B">
        <w:rPr>
          <w:rFonts w:asciiTheme="majorHAnsi" w:hAnsiTheme="majorHAnsi"/>
          <w:color w:val="425563"/>
          <w:sz w:val="28"/>
          <w:szCs w:val="28"/>
        </w:rPr>
        <w:t>Sub-questions:</w:t>
      </w:r>
    </w:p>
    <w:p w14:paraId="231E76C2" w14:textId="0FEA44EA" w:rsidR="00173C59" w:rsidRPr="00D62536" w:rsidRDefault="00173C59" w:rsidP="007E0AFE">
      <w:r w:rsidRPr="001E72BA">
        <w:rPr>
          <w:rFonts w:asciiTheme="majorHAnsi" w:hAnsiTheme="majorHAnsi"/>
          <w:color w:val="425563" w:themeColor="text1"/>
        </w:rPr>
        <w:t>KEQ</w:t>
      </w:r>
      <w:r w:rsidR="00724B4F" w:rsidRPr="001E72BA">
        <w:rPr>
          <w:rFonts w:asciiTheme="majorHAnsi" w:hAnsiTheme="majorHAnsi"/>
          <w:color w:val="425563" w:themeColor="text1"/>
        </w:rPr>
        <w:t>4</w:t>
      </w:r>
      <w:r w:rsidRPr="001E72BA">
        <w:rPr>
          <w:rFonts w:asciiTheme="majorHAnsi" w:hAnsiTheme="majorHAnsi"/>
          <w:color w:val="425563" w:themeColor="text1"/>
        </w:rPr>
        <w:t>a.</w:t>
      </w:r>
      <w:r w:rsidRPr="001E72BA">
        <w:rPr>
          <w:color w:val="425563" w:themeColor="text1"/>
        </w:rPr>
        <w:t xml:space="preserve"> </w:t>
      </w:r>
      <w:r w:rsidR="00724B4F" w:rsidRPr="00D62536">
        <w:t>To what extent are relevant organisations aware of the ARP and referring people likely to meet the eligibility criteria?</w:t>
      </w:r>
    </w:p>
    <w:p w14:paraId="62BEAF1D" w14:textId="76595DAE" w:rsidR="00173C59" w:rsidRDefault="00173C59" w:rsidP="007E0AFE">
      <w:r w:rsidRPr="001E72BA">
        <w:rPr>
          <w:rFonts w:asciiTheme="majorHAnsi" w:hAnsiTheme="majorHAnsi"/>
          <w:color w:val="425563" w:themeColor="text1"/>
        </w:rPr>
        <w:t>KEQ</w:t>
      </w:r>
      <w:r w:rsidR="00724B4F" w:rsidRPr="001E72BA">
        <w:rPr>
          <w:rFonts w:asciiTheme="majorHAnsi" w:hAnsiTheme="majorHAnsi"/>
          <w:color w:val="425563" w:themeColor="text1"/>
        </w:rPr>
        <w:t>4</w:t>
      </w:r>
      <w:r w:rsidRPr="001E72BA">
        <w:rPr>
          <w:rFonts w:asciiTheme="majorHAnsi" w:hAnsiTheme="majorHAnsi"/>
          <w:color w:val="425563" w:themeColor="text1"/>
        </w:rPr>
        <w:t>b.</w:t>
      </w:r>
      <w:r w:rsidRPr="001E72BA">
        <w:rPr>
          <w:color w:val="425563" w:themeColor="text1"/>
        </w:rPr>
        <w:t xml:space="preserve"> </w:t>
      </w:r>
      <w:r w:rsidR="00724B4F" w:rsidRPr="00724B4F">
        <w:t>How effective is the STPP eligibility assessment process?</w:t>
      </w:r>
    </w:p>
    <w:p w14:paraId="5B93B44B" w14:textId="3382DFE0" w:rsidR="00724B4F" w:rsidRDefault="00724B4F" w:rsidP="007E0AFE">
      <w:r w:rsidRPr="001E72BA">
        <w:rPr>
          <w:rFonts w:asciiTheme="majorHAnsi" w:hAnsiTheme="majorHAnsi"/>
          <w:color w:val="425563" w:themeColor="text1"/>
        </w:rPr>
        <w:t>KEQ4c.</w:t>
      </w:r>
      <w:r w:rsidRPr="001E72BA">
        <w:rPr>
          <w:color w:val="425563" w:themeColor="text1"/>
        </w:rPr>
        <w:t xml:space="preserve"> </w:t>
      </w:r>
      <w:r w:rsidRPr="00724B4F">
        <w:t>How do the ARP processes address safety, security and visa status issues for people with HTMS experiences?</w:t>
      </w:r>
    </w:p>
    <w:p w14:paraId="25E19B9B" w14:textId="7DC3A863" w:rsidR="00BC203A" w:rsidRDefault="003767A0" w:rsidP="007E0AFE">
      <w:pPr>
        <w:pStyle w:val="Heading3"/>
      </w:pPr>
      <w:bookmarkStart w:id="58" w:name="_Toc198367943"/>
      <w:bookmarkStart w:id="59" w:name="_Toc201908122"/>
      <w:r w:rsidRPr="00D62536">
        <w:t>Summary</w:t>
      </w:r>
      <w:r w:rsidR="00BC203A">
        <w:t xml:space="preserve"> finding</w:t>
      </w:r>
      <w:r w:rsidR="005B1028">
        <w:t>s</w:t>
      </w:r>
      <w:bookmarkEnd w:id="58"/>
      <w:bookmarkEnd w:id="59"/>
    </w:p>
    <w:p w14:paraId="57639810" w14:textId="230A4789" w:rsidR="003D321C" w:rsidRDefault="003D321C" w:rsidP="007E0AFE">
      <w:pPr>
        <w:pStyle w:val="Bullet1"/>
        <w:numPr>
          <w:ilvl w:val="0"/>
          <w:numId w:val="0"/>
        </w:numPr>
      </w:pPr>
      <w:r w:rsidRPr="003D321C">
        <w:t xml:space="preserve">The findings presented in this evaluation </w:t>
      </w:r>
      <w:r w:rsidR="004E6CFF">
        <w:t xml:space="preserve">should </w:t>
      </w:r>
      <w:r w:rsidRPr="003D321C">
        <w:t xml:space="preserve">be interpreted within the context of the ARP operating as a pilot program. </w:t>
      </w:r>
      <w:r w:rsidR="007A1607">
        <w:t xml:space="preserve">The timing of the evaluation </w:t>
      </w:r>
      <w:r w:rsidRPr="003D321C">
        <w:t>meant that initial caseload, assessment and referral numbers were small, awareness-raising efforts were nascent, and</w:t>
      </w:r>
      <w:r w:rsidR="007A1607">
        <w:t xml:space="preserve"> hence</w:t>
      </w:r>
      <w:r w:rsidRPr="003D321C">
        <w:t xml:space="preserve"> the available data for making robust early assessments were restricted.</w:t>
      </w:r>
    </w:p>
    <w:p w14:paraId="2B7727F8" w14:textId="5122664C" w:rsidR="00A1540C" w:rsidRDefault="00A1540C" w:rsidP="007E0AFE">
      <w:r>
        <w:t xml:space="preserve">Early findings suggest that the ARP has strong potential to improve equitable access to a range of support services, including the STPP. This is partly through removing the requirement to engage with the AFP at entry, </w:t>
      </w:r>
      <w:proofErr w:type="gramStart"/>
      <w:r>
        <w:t>however</w:t>
      </w:r>
      <w:proofErr w:type="gramEnd"/>
      <w:r>
        <w:t xml:space="preserve"> also </w:t>
      </w:r>
      <w:r>
        <w:lastRenderedPageBreak/>
        <w:t>reflects the quality of the</w:t>
      </w:r>
      <w:r w:rsidR="00514AFA">
        <w:t xml:space="preserve"> A</w:t>
      </w:r>
      <w:r w:rsidR="00B811B7">
        <w:t>RP</w:t>
      </w:r>
      <w:r w:rsidR="00514AFA">
        <w:t xml:space="preserve"> lead and</w:t>
      </w:r>
      <w:r>
        <w:t xml:space="preserve"> consortium partners. The latter bring the relationships of trust and legal and casework expertise required to successfully engage and support an emerging, additional cohort. </w:t>
      </w:r>
    </w:p>
    <w:p w14:paraId="1C9C553B" w14:textId="74251610" w:rsidR="00BC203A" w:rsidRDefault="00BC203A" w:rsidP="007E0AFE">
      <w:pPr>
        <w:pStyle w:val="Bullet1"/>
        <w:numPr>
          <w:ilvl w:val="0"/>
          <w:numId w:val="0"/>
        </w:numPr>
      </w:pPr>
      <w:r w:rsidRPr="00444FCF">
        <w:t>Awareness</w:t>
      </w:r>
      <w:r w:rsidR="00F11056">
        <w:t xml:space="preserve"> of the ARP </w:t>
      </w:r>
      <w:r w:rsidR="007255AB">
        <w:t xml:space="preserve">amongst organisations likely to refer </w:t>
      </w:r>
      <w:r w:rsidR="00F11056">
        <w:t xml:space="preserve">is still emergent, which is appropriate given </w:t>
      </w:r>
      <w:r w:rsidR="00431122">
        <w:t>program maturity</w:t>
      </w:r>
      <w:r w:rsidR="00111FC1">
        <w:t xml:space="preserve"> (the pilot commenced in July 2024)</w:t>
      </w:r>
      <w:r w:rsidR="00431122">
        <w:t xml:space="preserve"> and low understanding of the issue of HTMS in the community. </w:t>
      </w:r>
      <w:r w:rsidR="007A1607">
        <w:t xml:space="preserve">Further communication, </w:t>
      </w:r>
      <w:r w:rsidRPr="00444FCF">
        <w:t>combining national (top-down) with ground-up (place-based, via trusted services) resourcing.</w:t>
      </w:r>
      <w:r w:rsidR="00523FAB">
        <w:t xml:space="preserve"> </w:t>
      </w:r>
      <w:r w:rsidR="007A1607">
        <w:t>T</w:t>
      </w:r>
      <w:r w:rsidR="00523FAB">
        <w:t xml:space="preserve">he ARP </w:t>
      </w:r>
      <w:r w:rsidR="07403AE3">
        <w:t>c</w:t>
      </w:r>
      <w:r w:rsidR="04F21EE9">
        <w:t>onsortium</w:t>
      </w:r>
      <w:r w:rsidR="00523FAB">
        <w:t xml:space="preserve"> partners are well placed to support </w:t>
      </w:r>
      <w:proofErr w:type="gramStart"/>
      <w:r w:rsidR="00523FAB">
        <w:t>outreach</w:t>
      </w:r>
      <w:r w:rsidR="007A1607">
        <w:t>,</w:t>
      </w:r>
      <w:proofErr w:type="gramEnd"/>
      <w:r w:rsidR="007A1607">
        <w:t xml:space="preserve"> however it must be recognised that community awareness raising is not the sole responsibility of the consortium. </w:t>
      </w:r>
    </w:p>
    <w:p w14:paraId="7B8D408F" w14:textId="6D1186B7" w:rsidR="00045F95" w:rsidRDefault="003D321C" w:rsidP="007E0AFE">
      <w:r w:rsidRPr="003D321C">
        <w:t xml:space="preserve">ARP assessment tools </w:t>
      </w:r>
      <w:r w:rsidR="008A559C">
        <w:t xml:space="preserve">and collaborative assessment, including involving the ASA, </w:t>
      </w:r>
      <w:r w:rsidRPr="003D321C">
        <w:t>are reported to support quality assessment, although further reassurance would be provided through formal validation of these</w:t>
      </w:r>
      <w:r w:rsidR="00717044">
        <w:t xml:space="preserve">. </w:t>
      </w:r>
      <w:r w:rsidR="007A1607">
        <w:t xml:space="preserve">However, </w:t>
      </w:r>
      <w:r w:rsidR="00717044">
        <w:t>c</w:t>
      </w:r>
      <w:r w:rsidR="00BC203A" w:rsidRPr="00444FCF">
        <w:t>omplexity of need can complicate eligibility assessment and on-referral options where people are not eligible for the STPP. Risk assessment and safety planning</w:t>
      </w:r>
      <w:r w:rsidR="00E93FF6">
        <w:t xml:space="preserve"> are reported to be</w:t>
      </w:r>
      <w:r w:rsidR="00BC203A" w:rsidRPr="00444FCF">
        <w:t xml:space="preserve"> well embedded in ARP </w:t>
      </w:r>
      <w:r w:rsidR="1DB6C4C9">
        <w:t>process</w:t>
      </w:r>
      <w:r w:rsidR="7A2E2FCC">
        <w:t>es</w:t>
      </w:r>
      <w:r w:rsidR="00BC203A" w:rsidRPr="00444FCF">
        <w:t>, including assistance with practical safety.</w:t>
      </w:r>
      <w:r w:rsidR="00785E34">
        <w:rPr>
          <w:rStyle w:val="FootnoteReference"/>
        </w:rPr>
        <w:footnoteReference w:id="46"/>
      </w:r>
    </w:p>
    <w:p w14:paraId="0D94170C" w14:textId="12C382C7" w:rsidR="005A6492" w:rsidRDefault="005A6492" w:rsidP="007E0AFE">
      <w:pPr>
        <w:pStyle w:val="Bullet1"/>
        <w:numPr>
          <w:ilvl w:val="0"/>
          <w:numId w:val="0"/>
        </w:numPr>
      </w:pPr>
      <w:r>
        <w:t>Introduction of the ARP has not removed visa status as a barrier to accessing the STPP</w:t>
      </w:r>
      <w:r w:rsidR="008555C6">
        <w:t xml:space="preserve"> for people who don’t have access to a visa that allows them to remain in Australia, or who don’t wish to</w:t>
      </w:r>
      <w:r w:rsidR="0062335A">
        <w:t>,</w:t>
      </w:r>
      <w:r w:rsidR="008555C6">
        <w:t xml:space="preserve"> or can’t</w:t>
      </w:r>
      <w:r w:rsidR="00A42DB3">
        <w:t>,</w:t>
      </w:r>
      <w:r w:rsidR="008555C6">
        <w:t xml:space="preserve"> access the Bridging Visa F through engagement with the AFP. </w:t>
      </w:r>
      <w:r w:rsidR="008A559C">
        <w:t xml:space="preserve">Long-term support via the STPP is still reliant on engagement with the AFP. </w:t>
      </w:r>
      <w:r w:rsidR="008555C6">
        <w:t xml:space="preserve">Addressing this requires broader consideration of the </w:t>
      </w:r>
      <w:r w:rsidR="008A559C">
        <w:t xml:space="preserve">STPP eligibility criteria and </w:t>
      </w:r>
      <w:r w:rsidR="008555C6">
        <w:t xml:space="preserve">visa framework. </w:t>
      </w:r>
    </w:p>
    <w:p w14:paraId="41F512B2" w14:textId="3DD9EA41" w:rsidR="003705B6" w:rsidRPr="007304E3" w:rsidRDefault="00F11056" w:rsidP="007E0AFE">
      <w:pPr>
        <w:pStyle w:val="Heading3"/>
      </w:pPr>
      <w:bookmarkStart w:id="60" w:name="_Toc198367944"/>
      <w:bookmarkStart w:id="61" w:name="_Toc201908123"/>
      <w:r>
        <w:t>Findings</w:t>
      </w:r>
      <w:bookmarkEnd w:id="60"/>
      <w:bookmarkEnd w:id="61"/>
      <w:r>
        <w:t xml:space="preserve"> </w:t>
      </w:r>
    </w:p>
    <w:p w14:paraId="6D89FF3D" w14:textId="03B5F7E5" w:rsidR="00397D53" w:rsidRDefault="00F400EC" w:rsidP="007E0AFE">
      <w:pPr>
        <w:pStyle w:val="Heading4"/>
      </w:pPr>
      <w:r>
        <w:t>KEQ4a</w:t>
      </w:r>
      <w:r w:rsidR="00A621A7">
        <w:t xml:space="preserve">. </w:t>
      </w:r>
      <w:r w:rsidR="00A621A7" w:rsidRPr="005B2A0B">
        <w:t xml:space="preserve">To what extent are relevant organisations aware of the </w:t>
      </w:r>
      <w:r w:rsidR="0029458F">
        <w:t>ARP</w:t>
      </w:r>
      <w:r w:rsidR="00A621A7" w:rsidRPr="005B2A0B">
        <w:t xml:space="preserve"> and referring people likely to meet the eligibility criteria?</w:t>
      </w:r>
    </w:p>
    <w:p w14:paraId="26DFED16" w14:textId="50570710" w:rsidR="00885BC9" w:rsidRPr="00924C57" w:rsidRDefault="00FB1674" w:rsidP="00924C57">
      <w:pPr>
        <w:pStyle w:val="Heading5"/>
        <w:spacing w:before="40" w:after="0" w:line="240" w:lineRule="auto"/>
        <w:rPr>
          <w:i/>
          <w:iCs/>
          <w:sz w:val="20"/>
          <w:szCs w:val="20"/>
        </w:rPr>
      </w:pPr>
      <w:r w:rsidRPr="00924C57">
        <w:rPr>
          <w:i/>
          <w:iCs/>
          <w:sz w:val="20"/>
          <w:szCs w:val="20"/>
        </w:rPr>
        <w:t>Indicator</w:t>
      </w:r>
      <w:r w:rsidR="00507AF7" w:rsidRPr="00924C57">
        <w:rPr>
          <w:i/>
          <w:iCs/>
          <w:sz w:val="20"/>
          <w:szCs w:val="20"/>
        </w:rPr>
        <w:t>:</w:t>
      </w:r>
      <w:r w:rsidR="00D626DF" w:rsidRPr="00924C57">
        <w:rPr>
          <w:i/>
          <w:iCs/>
          <w:sz w:val="20"/>
          <w:szCs w:val="20"/>
        </w:rPr>
        <w:t xml:space="preserve"> </w:t>
      </w:r>
      <w:r w:rsidR="002558C7" w:rsidRPr="00924C57">
        <w:rPr>
          <w:i/>
          <w:iCs/>
          <w:sz w:val="20"/>
          <w:szCs w:val="20"/>
        </w:rPr>
        <w:t>Widespread awareness amongst potential referring</w:t>
      </w:r>
      <w:r w:rsidRPr="00924C57">
        <w:rPr>
          <w:i/>
          <w:iCs/>
          <w:sz w:val="20"/>
          <w:szCs w:val="20"/>
        </w:rPr>
        <w:t xml:space="preserve"> organisations </w:t>
      </w:r>
      <w:r w:rsidR="005B4905" w:rsidRPr="00924C57">
        <w:rPr>
          <w:i/>
          <w:iCs/>
          <w:sz w:val="20"/>
          <w:szCs w:val="20"/>
        </w:rPr>
        <w:t>of</w:t>
      </w:r>
      <w:r w:rsidRPr="00924C57">
        <w:rPr>
          <w:i/>
          <w:iCs/>
          <w:sz w:val="20"/>
          <w:szCs w:val="20"/>
        </w:rPr>
        <w:t xml:space="preserve"> the ARP</w:t>
      </w:r>
    </w:p>
    <w:p w14:paraId="19C0B762" w14:textId="21422A5E" w:rsidR="00B15858" w:rsidRDefault="00B15858" w:rsidP="00B15858">
      <w:pPr>
        <w:pStyle w:val="Caption"/>
      </w:pPr>
      <w:r>
        <w:t xml:space="preserve">Table </w:t>
      </w:r>
      <w:r>
        <w:fldChar w:fldCharType="begin"/>
      </w:r>
      <w:r>
        <w:instrText xml:space="preserve"> SEQ Table \* ARABIC </w:instrText>
      </w:r>
      <w:r>
        <w:fldChar w:fldCharType="separate"/>
      </w:r>
      <w:r w:rsidR="00D9323B">
        <w:rPr>
          <w:noProof/>
        </w:rPr>
        <w:t>39</w:t>
      </w:r>
      <w:r>
        <w:fldChar w:fldCharType="end"/>
      </w:r>
      <w:r>
        <w:t>.</w:t>
      </w:r>
      <w:r w:rsidR="0020250C" w:rsidRPr="0020250C">
        <w:t xml:space="preserve"> </w:t>
      </w:r>
      <w:r w:rsidR="0020250C">
        <w:t>KEQ4a indicator findings,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3D3FF5" w14:paraId="08B3F7D8" w14:textId="77777777" w:rsidTr="0020250C">
        <w:trPr>
          <w:cantSplit/>
          <w:tblHeader/>
        </w:trPr>
        <w:tc>
          <w:tcPr>
            <w:tcW w:w="2972" w:type="dxa"/>
            <w:shd w:val="clear" w:color="auto" w:fill="425563" w:themeFill="text1"/>
          </w:tcPr>
          <w:p w14:paraId="4502F3E0" w14:textId="259E1466" w:rsidR="003D3FF5" w:rsidRDefault="003D3FF5" w:rsidP="003D3FF5">
            <w:pPr>
              <w:pStyle w:val="Tableheadwhite"/>
            </w:pPr>
            <w:r>
              <w:t>Area</w:t>
            </w:r>
          </w:p>
        </w:tc>
        <w:tc>
          <w:tcPr>
            <w:tcW w:w="7485" w:type="dxa"/>
            <w:shd w:val="clear" w:color="auto" w:fill="425563" w:themeFill="text1"/>
          </w:tcPr>
          <w:p w14:paraId="1D52B344" w14:textId="3C814B3F" w:rsidR="003D3FF5" w:rsidRPr="004518A4" w:rsidRDefault="003D3FF5" w:rsidP="003D3FF5">
            <w:pPr>
              <w:pStyle w:val="Tableheadwhite"/>
            </w:pPr>
            <w:r>
              <w:t>Detail</w:t>
            </w:r>
          </w:p>
        </w:tc>
      </w:tr>
      <w:tr w:rsidR="003D3FF5" w14:paraId="68A50039" w14:textId="77777777" w:rsidTr="0020250C">
        <w:trPr>
          <w:cantSplit/>
        </w:trPr>
        <w:tc>
          <w:tcPr>
            <w:tcW w:w="2972" w:type="dxa"/>
            <w:shd w:val="clear" w:color="auto" w:fill="F6F9F7"/>
          </w:tcPr>
          <w:p w14:paraId="43648FD2" w14:textId="35542409" w:rsidR="003D3FF5" w:rsidRDefault="003D3FF5" w:rsidP="003D3FF5">
            <w:pPr>
              <w:pStyle w:val="TableHeader"/>
            </w:pPr>
            <w:r>
              <w:t xml:space="preserve">Indicator findings </w:t>
            </w:r>
          </w:p>
        </w:tc>
        <w:tc>
          <w:tcPr>
            <w:tcW w:w="7485" w:type="dxa"/>
          </w:tcPr>
          <w:p w14:paraId="2CC85E80" w14:textId="1C122139" w:rsidR="003D3FF5" w:rsidRPr="004518A4" w:rsidRDefault="003D3FF5" w:rsidP="003D3FF5">
            <w:pPr>
              <w:pStyle w:val="Tabledot2"/>
            </w:pPr>
            <w:r w:rsidRPr="004518A4">
              <w:t>Awareness of the ARP</w:t>
            </w:r>
            <w:r>
              <w:t xml:space="preserve"> amongst referring organisations</w:t>
            </w:r>
            <w:r w:rsidRPr="004518A4">
              <w:t xml:space="preserve"> appears to be </w:t>
            </w:r>
            <w:r>
              <w:t>due to</w:t>
            </w:r>
            <w:r w:rsidRPr="004518A4">
              <w:t xml:space="preserve"> an existing interest in HTMS experiences and opportunistic awareness via Google search. </w:t>
            </w:r>
          </w:p>
          <w:p w14:paraId="03EE50F9" w14:textId="128CD0F3" w:rsidR="003D3FF5" w:rsidRPr="003206C6" w:rsidRDefault="003D3FF5" w:rsidP="003D3FF5">
            <w:pPr>
              <w:pStyle w:val="Tabledot2"/>
            </w:pPr>
            <w:r w:rsidRPr="003206C6">
              <w:t>The ARP consorti</w:t>
            </w:r>
            <w:r>
              <w:t>um</w:t>
            </w:r>
            <w:r w:rsidRPr="003206C6">
              <w:t xml:space="preserve"> record </w:t>
            </w:r>
            <w:r>
              <w:t>that</w:t>
            </w:r>
            <w:r w:rsidRPr="003206C6">
              <w:t xml:space="preserve"> 52 organisations who have enquired about or referred to the pilot. This includes domestic and family violence, </w:t>
            </w:r>
            <w:r w:rsidRPr="008E1DB9">
              <w:t>legal, and multicultural and refugee support organisations.</w:t>
            </w:r>
          </w:p>
        </w:tc>
      </w:tr>
      <w:tr w:rsidR="003D3FF5" w14:paraId="0206EA3D" w14:textId="77777777" w:rsidTr="0020250C">
        <w:trPr>
          <w:cantSplit/>
        </w:trPr>
        <w:tc>
          <w:tcPr>
            <w:tcW w:w="2972" w:type="dxa"/>
            <w:shd w:val="clear" w:color="auto" w:fill="F6F9F7"/>
          </w:tcPr>
          <w:p w14:paraId="1D068B83" w14:textId="54C31B0D" w:rsidR="003D3FF5" w:rsidRDefault="003D3FF5" w:rsidP="003D3FF5">
            <w:pPr>
              <w:pStyle w:val="TableHeader"/>
            </w:pPr>
            <w:r w:rsidRPr="00CD26F6">
              <w:lastRenderedPageBreak/>
              <w:t>Discussion of supporting evidence</w:t>
            </w:r>
          </w:p>
        </w:tc>
        <w:tc>
          <w:tcPr>
            <w:tcW w:w="7485" w:type="dxa"/>
          </w:tcPr>
          <w:p w14:paraId="00E3631B" w14:textId="787117A0" w:rsidR="003D3FF5" w:rsidRPr="008E1DB9" w:rsidRDefault="003D3FF5" w:rsidP="003D3FF5">
            <w:pPr>
              <w:pStyle w:val="Tabledot2"/>
            </w:pPr>
            <w:r>
              <w:t>Since July 2024, t</w:t>
            </w:r>
            <w:r w:rsidRPr="008E1DB9">
              <w:t>he ARP consortium has conducted 94 engagement events, involving at least 1,675 attendees. HTMS advocacy organisations are adapting their outreach materials to include ARP information, conducting targeted outreach (e.g. hospitals, schools) and hosting webinars due to perceived awareness gaps.</w:t>
            </w:r>
            <w:r>
              <w:t xml:space="preserve"> In addition, the ARP consortium have developed, and are in the process of executing and monitoring, a detailed communication and awareness raising plan.</w:t>
            </w:r>
            <w:r w:rsidRPr="008E1DB9">
              <w:t xml:space="preserve"> The NSW Anti-slavery Commissioner also facilitates awareness through programs such as </w:t>
            </w:r>
            <w:r w:rsidRPr="008E1DB9">
              <w:rPr>
                <w:i/>
              </w:rPr>
              <w:t>It’s</w:t>
            </w:r>
            <w:r w:rsidRPr="008E1DB9">
              <w:t xml:space="preserve"> </w:t>
            </w:r>
            <w:r w:rsidRPr="008E1DB9">
              <w:rPr>
                <w:i/>
              </w:rPr>
              <w:t>Healthy to Fight Modern Slavery</w:t>
            </w:r>
            <w:r>
              <w:rPr>
                <w:rStyle w:val="FootnoteReference"/>
                <w:i/>
              </w:rPr>
              <w:footnoteReference w:id="47"/>
            </w:r>
            <w:r w:rsidRPr="008E1DB9">
              <w:rPr>
                <w:i/>
              </w:rPr>
              <w:t xml:space="preserve"> </w:t>
            </w:r>
            <w:r w:rsidRPr="008E1DB9">
              <w:t>that support awareness-raising of the ARP with healthcare providers.</w:t>
            </w:r>
          </w:p>
          <w:p w14:paraId="4B680C40" w14:textId="452A1F56" w:rsidR="003D3FF5" w:rsidRPr="008E1DB9" w:rsidRDefault="003D3FF5" w:rsidP="003D3FF5">
            <w:pPr>
              <w:pStyle w:val="Tabledot2"/>
            </w:pPr>
            <w:r w:rsidRPr="008E1DB9">
              <w:t xml:space="preserve">Since the launch of the updated ARP webpages in late June 2024, the site has recorded 469 clicks and 3,410 impressions in Google Search. Clicks have remained steady, with occasional spikes, while impressions have gradually increased. The most common search terms leading to the site include "additional referral pathway", "salvation army referral form", and "salvation army ARP". These are specific, high-intent queries, suggesting that users (likely from relevant services) are actively seeking information about referrals or the ARP Pilot. </w:t>
            </w:r>
          </w:p>
          <w:p w14:paraId="76273F45" w14:textId="3543BEB9" w:rsidR="003D3FF5" w:rsidRDefault="003D3FF5" w:rsidP="003D3FF5">
            <w:pPr>
              <w:pStyle w:val="Tabledot2"/>
            </w:pPr>
            <w:r w:rsidRPr="008E1DB9">
              <w:t>Stakeholders reported misconceptions amongst potential referring services about ARP eligibility and supports</w:t>
            </w:r>
            <w:r>
              <w:t xml:space="preserve"> and a lack of accessible detailed information available online</w:t>
            </w:r>
            <w:r w:rsidRPr="008E1DB9">
              <w:t>. This includes that a visa is needed to access any support from the ARP, and that the ARP only does STPP assessments. In addition, there is confusion about when referrals should more appropriately be made to the ARP, AFP or the Forced Marriage Specialist Support Program.</w:t>
            </w:r>
            <w:r>
              <w:t xml:space="preserve"> </w:t>
            </w:r>
          </w:p>
          <w:p w14:paraId="60FDC1F6" w14:textId="2A68162B" w:rsidR="003D3FF5" w:rsidRPr="003206C6" w:rsidRDefault="003D3FF5" w:rsidP="003D3FF5">
            <w:pPr>
              <w:pStyle w:val="Tabledot2"/>
            </w:pPr>
            <w:r w:rsidRPr="003206C6">
              <w:t xml:space="preserve">Both ARP and STPP providers </w:t>
            </w:r>
            <w:r w:rsidRPr="008E1DB9">
              <w:t>reported</w:t>
            </w:r>
            <w:r w:rsidRPr="003206C6">
              <w:t xml:space="preserve"> current misunderstanding </w:t>
            </w:r>
            <w:r>
              <w:t xml:space="preserve">among potential points of referral </w:t>
            </w:r>
            <w:r w:rsidRPr="003206C6">
              <w:t xml:space="preserve">regarding the STPP ‘nexus to Australia’ eligibility requirement. This nexus exists if the exploitation happened in Australia, was performed by an Australian citizen or permanent resident, or was in collaboration with an Australian citizen or permanent resident. </w:t>
            </w:r>
            <w:r>
              <w:t xml:space="preserve">It was reported that </w:t>
            </w:r>
            <w:r w:rsidRPr="003206C6">
              <w:t xml:space="preserve">communities </w:t>
            </w:r>
            <w:r>
              <w:t xml:space="preserve">were </w:t>
            </w:r>
            <w:r w:rsidRPr="003206C6">
              <w:t xml:space="preserve">receiving information about the ARP/STPP without this point being mentioned, potentially leading to false hope and assessments resulting in ineligibility. </w:t>
            </w:r>
          </w:p>
        </w:tc>
      </w:tr>
      <w:tr w:rsidR="003D3FF5" w14:paraId="231116F9" w14:textId="77777777" w:rsidTr="0020250C">
        <w:trPr>
          <w:cantSplit/>
        </w:trPr>
        <w:tc>
          <w:tcPr>
            <w:tcW w:w="2972" w:type="dxa"/>
            <w:shd w:val="clear" w:color="auto" w:fill="F6F9F7"/>
          </w:tcPr>
          <w:p w14:paraId="5E54E0E7" w14:textId="79C80538" w:rsidR="003D3FF5" w:rsidRDefault="003D3FF5" w:rsidP="003D3FF5">
            <w:pPr>
              <w:pStyle w:val="TableHeader"/>
            </w:pPr>
            <w:r>
              <w:t xml:space="preserve">Recommendations to strengthen </w:t>
            </w:r>
          </w:p>
        </w:tc>
        <w:tc>
          <w:tcPr>
            <w:tcW w:w="7485" w:type="dxa"/>
          </w:tcPr>
          <w:p w14:paraId="739A33F5" w14:textId="040FBBC7" w:rsidR="003D3FF5" w:rsidRPr="005B4905" w:rsidRDefault="003D3FF5" w:rsidP="003D3FF5">
            <w:pPr>
              <w:pStyle w:val="TableHeader"/>
            </w:pPr>
            <w:r>
              <w:t>Program</w:t>
            </w:r>
            <w:r w:rsidRPr="008E1DB9">
              <w:t xml:space="preserve"> improvement</w:t>
            </w:r>
          </w:p>
          <w:p w14:paraId="47E79ACE" w14:textId="114B185F" w:rsidR="003D3FF5" w:rsidRDefault="003D3FF5" w:rsidP="003D3FF5">
            <w:pPr>
              <w:pStyle w:val="Tabledot2"/>
            </w:pPr>
            <w:r>
              <w:t>The ARP</w:t>
            </w:r>
            <w:r w:rsidRPr="005B4905">
              <w:t xml:space="preserve"> provider</w:t>
            </w:r>
            <w:r>
              <w:t xml:space="preserve"> continue to strengthen communication, in line with growing program maturity</w:t>
            </w:r>
            <w:r w:rsidRPr="005B4905">
              <w:t xml:space="preserve">. </w:t>
            </w:r>
          </w:p>
          <w:p w14:paraId="567008DE" w14:textId="036983EC" w:rsidR="003D3FF5" w:rsidRPr="003206C6" w:rsidRDefault="003D3FF5" w:rsidP="003D3FF5">
            <w:pPr>
              <w:pStyle w:val="Tabledot2"/>
            </w:pPr>
            <w:r w:rsidRPr="005B4905">
              <w:t xml:space="preserve">Improve data collection on </w:t>
            </w:r>
            <w:r>
              <w:t xml:space="preserve">community </w:t>
            </w:r>
            <w:r w:rsidRPr="005B4905">
              <w:t>awareness.</w:t>
            </w:r>
            <w:r>
              <w:t xml:space="preserve"> </w:t>
            </w:r>
            <w:r w:rsidRPr="008E1DB9">
              <w:t xml:space="preserve"> </w:t>
            </w:r>
          </w:p>
        </w:tc>
      </w:tr>
    </w:tbl>
    <w:p w14:paraId="7AE889F3" w14:textId="072935FE" w:rsidR="00322C1C" w:rsidRPr="00924C57" w:rsidRDefault="002558C7" w:rsidP="00924C57">
      <w:pPr>
        <w:pStyle w:val="Heading5"/>
        <w:spacing w:before="40" w:after="0" w:line="240" w:lineRule="auto"/>
        <w:rPr>
          <w:i/>
          <w:iCs/>
          <w:sz w:val="20"/>
          <w:szCs w:val="20"/>
        </w:rPr>
      </w:pPr>
      <w:r w:rsidRPr="00924C57">
        <w:rPr>
          <w:i/>
          <w:iCs/>
          <w:sz w:val="20"/>
          <w:szCs w:val="20"/>
        </w:rPr>
        <w:t>Measure</w:t>
      </w:r>
      <w:r w:rsidR="00322C1C" w:rsidRPr="00924C57">
        <w:rPr>
          <w:i/>
          <w:iCs/>
          <w:sz w:val="20"/>
          <w:szCs w:val="20"/>
        </w:rPr>
        <w:t xml:space="preserve">: </w:t>
      </w:r>
      <w:r w:rsidR="00DF545B" w:rsidRPr="00924C57">
        <w:rPr>
          <w:i/>
          <w:iCs/>
          <w:sz w:val="20"/>
          <w:szCs w:val="20"/>
        </w:rPr>
        <w:t xml:space="preserve">Appropriate number and type of referrals are made </w:t>
      </w:r>
    </w:p>
    <w:p w14:paraId="17FD56E9" w14:textId="7A53EACF" w:rsidR="00B15858" w:rsidRDefault="00B15858" w:rsidP="00B15858">
      <w:pPr>
        <w:pStyle w:val="Caption"/>
      </w:pPr>
      <w:r>
        <w:t xml:space="preserve">Table </w:t>
      </w:r>
      <w:r>
        <w:fldChar w:fldCharType="begin"/>
      </w:r>
      <w:r>
        <w:instrText xml:space="preserve"> SEQ Table \* ARABIC </w:instrText>
      </w:r>
      <w:r>
        <w:fldChar w:fldCharType="separate"/>
      </w:r>
      <w:r w:rsidR="00D9323B">
        <w:rPr>
          <w:noProof/>
        </w:rPr>
        <w:t>40</w:t>
      </w:r>
      <w:r>
        <w:fldChar w:fldCharType="end"/>
      </w:r>
      <w:r>
        <w:t>.</w:t>
      </w:r>
      <w:r w:rsidR="00896898">
        <w:t xml:space="preserve"> </w:t>
      </w:r>
      <w:r w:rsidR="00E24A75">
        <w:t xml:space="preserve">KEQ4a measure: indicator findings, </w:t>
      </w:r>
      <w:r w:rsidR="0020250C">
        <w:t>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B15858" w14:paraId="40065BF6" w14:textId="77777777" w:rsidTr="0020250C">
        <w:trPr>
          <w:cantSplit/>
          <w:tblHeader/>
        </w:trPr>
        <w:tc>
          <w:tcPr>
            <w:tcW w:w="2972" w:type="dxa"/>
            <w:shd w:val="clear" w:color="auto" w:fill="425563" w:themeFill="text1"/>
          </w:tcPr>
          <w:p w14:paraId="6EE87955" w14:textId="5C1BDC1C" w:rsidR="00B15858" w:rsidRDefault="003D3FF5" w:rsidP="003D3FF5">
            <w:pPr>
              <w:pStyle w:val="Tableheadwhite"/>
            </w:pPr>
            <w:r>
              <w:t>Area</w:t>
            </w:r>
          </w:p>
        </w:tc>
        <w:tc>
          <w:tcPr>
            <w:tcW w:w="7485" w:type="dxa"/>
            <w:shd w:val="clear" w:color="auto" w:fill="425563" w:themeFill="text1"/>
          </w:tcPr>
          <w:p w14:paraId="6783A2B8" w14:textId="07BE6083" w:rsidR="00B15858" w:rsidRPr="00E72217" w:rsidRDefault="003D3FF5" w:rsidP="003D3FF5">
            <w:pPr>
              <w:pStyle w:val="Tableheadwhite"/>
            </w:pPr>
            <w:r>
              <w:t>Detail</w:t>
            </w:r>
          </w:p>
        </w:tc>
      </w:tr>
      <w:tr w:rsidR="00B2242E" w14:paraId="255BF460" w14:textId="77777777" w:rsidTr="0020250C">
        <w:trPr>
          <w:cantSplit/>
        </w:trPr>
        <w:tc>
          <w:tcPr>
            <w:tcW w:w="2972" w:type="dxa"/>
            <w:shd w:val="clear" w:color="auto" w:fill="F6F9F7"/>
          </w:tcPr>
          <w:p w14:paraId="675BAECE" w14:textId="1B8B8B9A" w:rsidR="00B2242E" w:rsidRDefault="007934C6" w:rsidP="007E0AFE">
            <w:pPr>
              <w:pStyle w:val="TableHeader"/>
            </w:pPr>
            <w:r>
              <w:t>Indicator</w:t>
            </w:r>
            <w:r w:rsidR="00B2242E">
              <w:t xml:space="preserve"> findings </w:t>
            </w:r>
          </w:p>
        </w:tc>
        <w:tc>
          <w:tcPr>
            <w:tcW w:w="7485" w:type="dxa"/>
          </w:tcPr>
          <w:p w14:paraId="434E13D7" w14:textId="3BB0D292" w:rsidR="00B2242E" w:rsidRPr="00412F85" w:rsidRDefault="00412F85" w:rsidP="007E0AFE">
            <w:pPr>
              <w:pStyle w:val="Tabledot2"/>
            </w:pPr>
            <w:r w:rsidRPr="00E72217">
              <w:t xml:space="preserve">Between the commencement of the pilot and </w:t>
            </w:r>
            <w:r w:rsidR="0F8B8A4A">
              <w:t xml:space="preserve">31 </w:t>
            </w:r>
            <w:r w:rsidRPr="00E72217">
              <w:t xml:space="preserve">March 2025, a total of 257 enquiries were received by consortium members, resulting in 68 referrals </w:t>
            </w:r>
            <w:r>
              <w:t>to the STPP.</w:t>
            </w:r>
          </w:p>
        </w:tc>
      </w:tr>
      <w:tr w:rsidR="00B2242E" w14:paraId="647133C0" w14:textId="77777777" w:rsidTr="0020250C">
        <w:trPr>
          <w:cantSplit/>
        </w:trPr>
        <w:tc>
          <w:tcPr>
            <w:tcW w:w="2972" w:type="dxa"/>
            <w:shd w:val="clear" w:color="auto" w:fill="F6F9F7"/>
          </w:tcPr>
          <w:p w14:paraId="53BAD579" w14:textId="77777777" w:rsidR="00B2242E" w:rsidRDefault="00B2242E" w:rsidP="007E0AFE">
            <w:pPr>
              <w:pStyle w:val="TableHeader"/>
            </w:pPr>
            <w:r w:rsidRPr="00CD26F6">
              <w:lastRenderedPageBreak/>
              <w:t>Discussion of supporting evidence</w:t>
            </w:r>
          </w:p>
        </w:tc>
        <w:tc>
          <w:tcPr>
            <w:tcW w:w="7485" w:type="dxa"/>
          </w:tcPr>
          <w:p w14:paraId="29FB022C" w14:textId="7823186E" w:rsidR="00B2242E" w:rsidRPr="00412F85" w:rsidRDefault="00B2242E" w:rsidP="007E0AFE">
            <w:pPr>
              <w:pStyle w:val="Tabledot2"/>
            </w:pPr>
            <w:r w:rsidRPr="00412F85">
              <w:t xml:space="preserve">35 </w:t>
            </w:r>
            <w:r w:rsidR="00B847DC" w:rsidRPr="00412F85">
              <w:t xml:space="preserve">of the </w:t>
            </w:r>
            <w:r w:rsidR="00412F85" w:rsidRPr="00412F85">
              <w:t>referrals</w:t>
            </w:r>
            <w:r w:rsidR="00B847DC" w:rsidRPr="00412F85">
              <w:t xml:space="preserve"> to the STPP</w:t>
            </w:r>
            <w:r w:rsidR="0059176D" w:rsidRPr="00412F85">
              <w:t xml:space="preserve"> (51%)</w:t>
            </w:r>
            <w:r w:rsidR="00B847DC" w:rsidRPr="00412F85">
              <w:t xml:space="preserve"> </w:t>
            </w:r>
            <w:r w:rsidRPr="00412F85">
              <w:t>came from organisations or agencies</w:t>
            </w:r>
            <w:r w:rsidR="00943550" w:rsidRPr="00412F85">
              <w:t xml:space="preserve"> assisting or acting on behalf of people with HTMS experiences</w:t>
            </w:r>
            <w:r w:rsidRPr="00412F85">
              <w:t xml:space="preserve">. </w:t>
            </w:r>
          </w:p>
          <w:p w14:paraId="154B71B2" w14:textId="43988E3B" w:rsidR="008B2E11" w:rsidRDefault="00B6005A" w:rsidP="007E0AFE">
            <w:pPr>
              <w:pStyle w:val="Tabledot2"/>
            </w:pPr>
            <w:r w:rsidRPr="00412F85">
              <w:t xml:space="preserve">Data provided by </w:t>
            </w:r>
            <w:r w:rsidR="00953A56">
              <w:t>The Salvation Army</w:t>
            </w:r>
            <w:r w:rsidRPr="00412F85">
              <w:t xml:space="preserve"> </w:t>
            </w:r>
            <w:r w:rsidR="2EAC0AF5">
              <w:t>show</w:t>
            </w:r>
            <w:r w:rsidR="00F963C2" w:rsidRPr="00E72217">
              <w:t xml:space="preserve"> tha</w:t>
            </w:r>
            <w:r w:rsidR="00A1540C">
              <w:t xml:space="preserve">t most </w:t>
            </w:r>
            <w:r w:rsidR="00A8483A" w:rsidRPr="00E72217">
              <w:t xml:space="preserve">assessments (65%) led to </w:t>
            </w:r>
            <w:r w:rsidR="00C206E2" w:rsidRPr="00E72217">
              <w:t>a referral</w:t>
            </w:r>
            <w:r w:rsidR="00557AC1" w:rsidRPr="00E72217">
              <w:t xml:space="preserve"> </w:t>
            </w:r>
            <w:r w:rsidR="00B61C82" w:rsidRPr="00E72217">
              <w:t>to the STPP</w:t>
            </w:r>
            <w:r w:rsidR="00627E21" w:rsidRPr="0024369A">
              <w:t>.</w:t>
            </w:r>
            <w:r w:rsidR="00164647" w:rsidRPr="0024369A">
              <w:t xml:space="preserve"> </w:t>
            </w:r>
            <w:proofErr w:type="gramStart"/>
            <w:r w:rsidR="00706593">
              <w:t>Non referral</w:t>
            </w:r>
            <w:proofErr w:type="gramEnd"/>
            <w:r w:rsidR="00706593">
              <w:t xml:space="preserve"> can </w:t>
            </w:r>
            <w:r w:rsidR="00A1540C">
              <w:t xml:space="preserve">reflect </w:t>
            </w:r>
            <w:r w:rsidR="00DD7FE9" w:rsidRPr="0024369A">
              <w:t>enquir</w:t>
            </w:r>
            <w:r w:rsidR="00F15FA5" w:rsidRPr="0024369A">
              <w:t>ies</w:t>
            </w:r>
            <w:r w:rsidR="00DD7FE9">
              <w:t xml:space="preserve"> </w:t>
            </w:r>
            <w:r w:rsidR="00F15FA5">
              <w:t>at an early information-</w:t>
            </w:r>
            <w:r w:rsidR="00DD7FE9">
              <w:t xml:space="preserve">seeking </w:t>
            </w:r>
            <w:r w:rsidR="00F15FA5">
              <w:t>stage</w:t>
            </w:r>
            <w:r w:rsidR="00706593">
              <w:t xml:space="preserve">, </w:t>
            </w:r>
            <w:r w:rsidR="00F15FA5">
              <w:t>enquirers with</w:t>
            </w:r>
            <w:r w:rsidR="00596D67">
              <w:t>out indicators of modern slavery</w:t>
            </w:r>
            <w:r w:rsidR="00706593">
              <w:t xml:space="preserve"> and </w:t>
            </w:r>
            <w:r w:rsidR="0096262C">
              <w:t xml:space="preserve">unwillingness for </w:t>
            </w:r>
            <w:r w:rsidR="00E2346D">
              <w:t>the enquirer to leave a situation of exploitation</w:t>
            </w:r>
            <w:r w:rsidR="00706593">
              <w:t>.</w:t>
            </w:r>
          </w:p>
          <w:p w14:paraId="225E9023" w14:textId="4791EE0F" w:rsidR="00131271" w:rsidRPr="00E72217" w:rsidRDefault="00514AFA" w:rsidP="007E0AFE">
            <w:pPr>
              <w:pStyle w:val="Tabledot2"/>
            </w:pPr>
            <w:r>
              <w:t>The ARP lead and c</w:t>
            </w:r>
            <w:r w:rsidR="00131271">
              <w:t xml:space="preserve">onsortium partners report that moving from enquiry to referral can be an extended process, reflecting the need to build trust with potential STPP participants, limited physical safety and the need for careful safety planning, and potential participants having to carefully weigh options for leaving a situation of exploitation (particularly if only limited options for meeting needs such as housing, food and medication are available).  </w:t>
            </w:r>
          </w:p>
          <w:p w14:paraId="548098C2" w14:textId="5300B991" w:rsidR="00B2242E" w:rsidRPr="00412F85" w:rsidRDefault="00706593" w:rsidP="007E0AFE">
            <w:pPr>
              <w:pStyle w:val="Tabledot2"/>
            </w:pPr>
            <w:r>
              <w:t xml:space="preserve">Data on referrals outside the STPP were not available to the evaluation. This reflects that during the </w:t>
            </w:r>
            <w:proofErr w:type="gramStart"/>
            <w:r>
              <w:t>evaluation, and</w:t>
            </w:r>
            <w:proofErr w:type="gramEnd"/>
            <w:r>
              <w:t xml:space="preserve"> r</w:t>
            </w:r>
            <w:r w:rsidR="00B2242E" w:rsidRPr="00E72217">
              <w:t xml:space="preserve">ecognising the value of consistent assessment and recording practices to ensure clarity on </w:t>
            </w:r>
            <w:r w:rsidR="12BDE028" w:rsidRPr="00E72217">
              <w:t>participant</w:t>
            </w:r>
            <w:r w:rsidR="00B2242E" w:rsidRPr="00E72217">
              <w:t xml:space="preserve"> pathways and reach, the ARP </w:t>
            </w:r>
            <w:r w:rsidR="00514AFA">
              <w:t>lead</w:t>
            </w:r>
            <w:r w:rsidR="00B2242E" w:rsidRPr="00E72217">
              <w:t xml:space="preserve"> has worked with consortium partners to standardise data collection</w:t>
            </w:r>
            <w:r>
              <w:t xml:space="preserve">. </w:t>
            </w:r>
          </w:p>
        </w:tc>
      </w:tr>
      <w:tr w:rsidR="00B2242E" w14:paraId="12EDC2F5" w14:textId="77777777" w:rsidTr="0020250C">
        <w:trPr>
          <w:cantSplit/>
        </w:trPr>
        <w:tc>
          <w:tcPr>
            <w:tcW w:w="2972" w:type="dxa"/>
            <w:shd w:val="clear" w:color="auto" w:fill="F6F9F7"/>
          </w:tcPr>
          <w:p w14:paraId="65DB2E74" w14:textId="237C0D9C" w:rsidR="00B2242E" w:rsidRDefault="00D11EE2" w:rsidP="007E0AFE">
            <w:pPr>
              <w:pStyle w:val="TableHeader"/>
            </w:pPr>
            <w:r>
              <w:t>Recommendations</w:t>
            </w:r>
            <w:r w:rsidR="00B2242E">
              <w:t xml:space="preserve"> to strengthen </w:t>
            </w:r>
          </w:p>
        </w:tc>
        <w:tc>
          <w:tcPr>
            <w:tcW w:w="7485" w:type="dxa"/>
          </w:tcPr>
          <w:p w14:paraId="5239C11B" w14:textId="4D5A39AD" w:rsidR="00412F85" w:rsidRDefault="00412F85" w:rsidP="007E0AFE">
            <w:pPr>
              <w:pStyle w:val="TableHeader"/>
            </w:pPr>
            <w:r>
              <w:t xml:space="preserve">Program improvement </w:t>
            </w:r>
          </w:p>
          <w:p w14:paraId="63E75069" w14:textId="5CDE62E1" w:rsidR="00131271" w:rsidRDefault="00514AFA" w:rsidP="007E0AFE">
            <w:pPr>
              <w:pStyle w:val="Tabledot2"/>
            </w:pPr>
            <w:r w:rsidRPr="00514AFA">
              <w:t>Consider increasing local/state-based frontline worker</w:t>
            </w:r>
            <w:r w:rsidRPr="00514AFA" w:rsidDel="00514AFA">
              <w:t xml:space="preserve"> </w:t>
            </w:r>
            <w:r w:rsidR="00131271">
              <w:t>frontline workers</w:t>
            </w:r>
            <w:r>
              <w:t xml:space="preserve"> or increasing the numbers of</w:t>
            </w:r>
            <w:r w:rsidR="00131271">
              <w:t xml:space="preserve"> community organisations tasked with outreach and recruitment.</w:t>
            </w:r>
            <w:r>
              <w:t xml:space="preserve"> </w:t>
            </w:r>
          </w:p>
          <w:p w14:paraId="249212F3" w14:textId="29A64513" w:rsidR="00B2242E" w:rsidRPr="00412F85" w:rsidRDefault="00706593" w:rsidP="007E0AFE">
            <w:pPr>
              <w:pStyle w:val="Tabledot2"/>
            </w:pPr>
            <w:r>
              <w:t xml:space="preserve">Confirm that data strengthening meets program learning needs. </w:t>
            </w:r>
          </w:p>
        </w:tc>
      </w:tr>
    </w:tbl>
    <w:p w14:paraId="769B88E7" w14:textId="0318AEA4" w:rsidR="00F77E9D" w:rsidRPr="00F301CE" w:rsidRDefault="00E501FD" w:rsidP="00F301CE">
      <w:pPr>
        <w:pStyle w:val="Heading5"/>
        <w:spacing w:before="40" w:after="0"/>
        <w:rPr>
          <w:sz w:val="24"/>
          <w:highlight w:val="yellow"/>
        </w:rPr>
      </w:pPr>
      <w:r w:rsidRPr="00F301CE">
        <w:rPr>
          <w:noProof/>
          <w:sz w:val="24"/>
        </w:rPr>
        <w:t>Case study</w:t>
      </w:r>
      <w:r w:rsidR="00990F8A" w:rsidRPr="00F301CE">
        <w:rPr>
          <w:noProof/>
          <w:sz w:val="24"/>
        </w:rPr>
        <w:t xml:space="preserve"> 3: Alex</w:t>
      </w:r>
    </w:p>
    <w:p w14:paraId="5E8FB6ED" w14:textId="0DAF42F4" w:rsidR="00001D9F" w:rsidRDefault="00001D9F" w:rsidP="007E0AFE">
      <w:pPr>
        <w:spacing w:before="0" w:after="160" w:line="259" w:lineRule="auto"/>
        <w:rPr>
          <w:noProof/>
        </w:rPr>
      </w:pPr>
      <w:r>
        <w:rPr>
          <w:noProof/>
        </w:rPr>
        <w:t>Alex* (*pseudonym ), an Australian citizen in their mid-twenties, endured significant exploitation at the hands of an ex-partner and their associates. Returning to the family home offered physical safety, but the psychological and physical impact of the experience shattered Alex’s trust in people. Fear of family repercussions silenced any police report, and Alex was unaware that any support existed. A recent hospital stay for exploitation-related medical issues led to a social worker's intervention, connecting Alex with the STPP.</w:t>
      </w:r>
    </w:p>
    <w:p w14:paraId="4A698288" w14:textId="77777777" w:rsidR="00001D9F" w:rsidRDefault="00001D9F" w:rsidP="007E0AFE">
      <w:pPr>
        <w:spacing w:before="0" w:after="160" w:line="259" w:lineRule="auto"/>
        <w:rPr>
          <w:noProof/>
        </w:rPr>
      </w:pPr>
      <w:r>
        <w:rPr>
          <w:noProof/>
        </w:rPr>
        <w:t>Alex calls the program "incredible," highlighting their caseworker's non-judgmental guidance and frequent check-ins. Navigating overwhelming systems became manageable with this support. Material aid, including payment of psychology appointments, meant Alex could start to heal. Support letters helped get Alex on the waiting list for community housing. While healing will be a long-term process, Alex feels as though there is a way through. The STPP has felt like someone walking alongside Alex on the early parts of their healing and rebuilding journey. Alex now feels able to tackle the next part of their journey.</w:t>
      </w:r>
    </w:p>
    <w:p w14:paraId="336B72B1" w14:textId="7AEE5261" w:rsidR="00001D9F" w:rsidRDefault="00001D9F" w:rsidP="007E0AFE">
      <w:pPr>
        <w:spacing w:before="0" w:after="160" w:line="259" w:lineRule="auto"/>
        <w:rPr>
          <w:noProof/>
        </w:rPr>
      </w:pPr>
      <w:r>
        <w:rPr>
          <w:noProof/>
        </w:rPr>
        <w:t xml:space="preserve">Quote: </w:t>
      </w:r>
      <w:r w:rsidR="003D3FF5">
        <w:rPr>
          <w:noProof/>
        </w:rPr>
        <w:t>“</w:t>
      </w:r>
      <w:r>
        <w:rPr>
          <w:noProof/>
        </w:rPr>
        <w:t>The program has been incredible. Just having someone who listened and helped navigate everything made a huge difference. I don't feel so alone anymore.</w:t>
      </w:r>
      <w:r w:rsidR="003D3FF5">
        <w:rPr>
          <w:noProof/>
        </w:rPr>
        <w:t>”</w:t>
      </w:r>
    </w:p>
    <w:p w14:paraId="3C1BB922" w14:textId="77777777" w:rsidR="00001D9F" w:rsidRPr="00001D9F" w:rsidRDefault="00001D9F" w:rsidP="007E0AFE">
      <w:pPr>
        <w:spacing w:before="0" w:after="160" w:line="259" w:lineRule="auto"/>
        <w:rPr>
          <w:rFonts w:asciiTheme="majorHAnsi" w:hAnsiTheme="majorHAnsi"/>
          <w:noProof/>
        </w:rPr>
      </w:pPr>
      <w:r w:rsidRPr="00001D9F">
        <w:rPr>
          <w:rFonts w:asciiTheme="majorHAnsi" w:hAnsiTheme="majorHAnsi"/>
          <w:noProof/>
        </w:rPr>
        <w:t>Pathway to STPP:</w:t>
      </w:r>
    </w:p>
    <w:p w14:paraId="0E9A161C" w14:textId="5C41AA37" w:rsidR="00001D9F" w:rsidRDefault="00001D9F" w:rsidP="007E0AFE">
      <w:pPr>
        <w:pStyle w:val="NumList"/>
        <w:numPr>
          <w:ilvl w:val="0"/>
          <w:numId w:val="23"/>
        </w:numPr>
        <w:rPr>
          <w:noProof/>
        </w:rPr>
      </w:pPr>
      <w:r>
        <w:rPr>
          <w:noProof/>
        </w:rPr>
        <w:t>Hospital stay for medical consequences of exploitation.</w:t>
      </w:r>
    </w:p>
    <w:p w14:paraId="484EF1F5" w14:textId="5E9F4FDD" w:rsidR="00001D9F" w:rsidRDefault="00001D9F" w:rsidP="007E0AFE">
      <w:pPr>
        <w:pStyle w:val="NumList"/>
        <w:rPr>
          <w:noProof/>
        </w:rPr>
      </w:pPr>
      <w:r>
        <w:rPr>
          <w:noProof/>
        </w:rPr>
        <w:t>Didn’t know support existed, fearful of going to police.</w:t>
      </w:r>
    </w:p>
    <w:p w14:paraId="17A53047" w14:textId="640C936D" w:rsidR="00001D9F" w:rsidRDefault="00001D9F" w:rsidP="007E0AFE">
      <w:pPr>
        <w:pStyle w:val="NumList"/>
        <w:rPr>
          <w:noProof/>
        </w:rPr>
      </w:pPr>
      <w:r>
        <w:rPr>
          <w:noProof/>
        </w:rPr>
        <w:t>Referred to ARP by hospital social worker and assessed by TSA then referred to STPP.</w:t>
      </w:r>
    </w:p>
    <w:p w14:paraId="3739D954" w14:textId="77777777" w:rsidR="00001D9F" w:rsidRPr="00001D9F" w:rsidRDefault="00001D9F" w:rsidP="007E0AFE">
      <w:pPr>
        <w:spacing w:before="0" w:after="160" w:line="259" w:lineRule="auto"/>
        <w:rPr>
          <w:rFonts w:asciiTheme="majorHAnsi" w:hAnsiTheme="majorHAnsi"/>
          <w:noProof/>
        </w:rPr>
      </w:pPr>
      <w:r w:rsidRPr="00001D9F">
        <w:rPr>
          <w:rFonts w:asciiTheme="majorHAnsi" w:hAnsiTheme="majorHAnsi"/>
          <w:noProof/>
        </w:rPr>
        <w:t>Feelings:</w:t>
      </w:r>
    </w:p>
    <w:p w14:paraId="41533492" w14:textId="77777777" w:rsidR="00001D9F" w:rsidRDefault="00001D9F" w:rsidP="007E0AFE">
      <w:pPr>
        <w:pStyle w:val="Bullet1"/>
        <w:rPr>
          <w:noProof/>
        </w:rPr>
      </w:pPr>
      <w:r>
        <w:rPr>
          <w:noProof/>
        </w:rPr>
        <w:t>On entry: Fearful; Physically unwell; Shattered trust and confidence.</w:t>
      </w:r>
    </w:p>
    <w:p w14:paraId="3014A2B3" w14:textId="77777777" w:rsidR="00001D9F" w:rsidRDefault="00001D9F" w:rsidP="007E0AFE">
      <w:pPr>
        <w:pStyle w:val="Bullet1"/>
        <w:rPr>
          <w:noProof/>
        </w:rPr>
      </w:pPr>
      <w:r>
        <w:rPr>
          <w:noProof/>
        </w:rPr>
        <w:t>After ISS: Grateful; Supported; Less alone.</w:t>
      </w:r>
    </w:p>
    <w:p w14:paraId="22B288D1" w14:textId="77777777" w:rsidR="00001D9F" w:rsidRDefault="00001D9F" w:rsidP="007E0AFE">
      <w:pPr>
        <w:pStyle w:val="Bullet1"/>
        <w:rPr>
          <w:noProof/>
        </w:rPr>
      </w:pPr>
      <w:r>
        <w:rPr>
          <w:noProof/>
        </w:rPr>
        <w:t>Current: Rebuilding confidence and trust; Hopeful; Cautiously optimistic.</w:t>
      </w:r>
    </w:p>
    <w:p w14:paraId="363780F5" w14:textId="77777777" w:rsidR="00001D9F" w:rsidRPr="00001D9F" w:rsidRDefault="00001D9F" w:rsidP="007E0AFE">
      <w:pPr>
        <w:spacing w:before="0" w:after="160" w:line="259" w:lineRule="auto"/>
        <w:rPr>
          <w:rFonts w:asciiTheme="majorHAnsi" w:hAnsiTheme="majorHAnsi"/>
          <w:noProof/>
        </w:rPr>
      </w:pPr>
      <w:r w:rsidRPr="00001D9F">
        <w:rPr>
          <w:rFonts w:asciiTheme="majorHAnsi" w:hAnsiTheme="majorHAnsi"/>
          <w:noProof/>
        </w:rPr>
        <w:t>Program goals &amp; support</w:t>
      </w:r>
    </w:p>
    <w:p w14:paraId="0A5B1857" w14:textId="1D9E207F" w:rsidR="00001D9F" w:rsidRDefault="00001D9F" w:rsidP="007E0AFE">
      <w:pPr>
        <w:pStyle w:val="Bullet1"/>
        <w:rPr>
          <w:noProof/>
        </w:rPr>
      </w:pPr>
      <w:r>
        <w:rPr>
          <w:noProof/>
        </w:rPr>
        <w:lastRenderedPageBreak/>
        <w:t>Goals: Heal from psychological and physical impacts of exploitation; Regain trust; Secure stable long-term housing; Greater independence.</w:t>
      </w:r>
    </w:p>
    <w:p w14:paraId="63C17335" w14:textId="0EF730E0" w:rsidR="00001D9F" w:rsidRDefault="00001D9F" w:rsidP="007E0AFE">
      <w:pPr>
        <w:pStyle w:val="Bullet1"/>
        <w:rPr>
          <w:noProof/>
        </w:rPr>
      </w:pPr>
      <w:r>
        <w:rPr>
          <w:noProof/>
        </w:rPr>
        <w:t>Support received: Non-judgemental caseworker support and guidance; Support to access medical specialists; Referral to counsellor with expertise in HTMS; Support letters to get on waiting list for social housing.</w:t>
      </w:r>
    </w:p>
    <w:p w14:paraId="18B1D251" w14:textId="6A2283A3" w:rsidR="00001D9F" w:rsidRDefault="00001D9F" w:rsidP="007E0AFE">
      <w:pPr>
        <w:pStyle w:val="Bullet1"/>
        <w:rPr>
          <w:noProof/>
        </w:rPr>
      </w:pPr>
      <w:r>
        <w:rPr>
          <w:noProof/>
        </w:rPr>
        <w:t>Monetary allowance: Counselling/Psychology Allowance.</w:t>
      </w:r>
    </w:p>
    <w:p w14:paraId="2F76D65C" w14:textId="76F3BEEA" w:rsidR="00DF545B" w:rsidRPr="0023186C" w:rsidRDefault="00DF545B" w:rsidP="007E0AFE">
      <w:pPr>
        <w:pStyle w:val="Heading4"/>
      </w:pPr>
      <w:r w:rsidRPr="001D56C6">
        <w:t>KEQ4b</w:t>
      </w:r>
      <w:r w:rsidR="3746ABA7">
        <w:t>.</w:t>
      </w:r>
      <w:r w:rsidRPr="001D56C6">
        <w:t xml:space="preserve"> How </w:t>
      </w:r>
      <w:r w:rsidRPr="00491B15">
        <w:t>effective</w:t>
      </w:r>
      <w:r w:rsidRPr="001D56C6">
        <w:t xml:space="preserve"> is the </w:t>
      </w:r>
      <w:r w:rsidR="0029458F">
        <w:t>ARP</w:t>
      </w:r>
      <w:r w:rsidRPr="001D56C6">
        <w:t xml:space="preserve"> eligibility assessment process?</w:t>
      </w:r>
    </w:p>
    <w:p w14:paraId="1DCFF4D4" w14:textId="22459346" w:rsidR="002558C7" w:rsidRPr="00B3141F" w:rsidRDefault="002558C7" w:rsidP="00B3141F">
      <w:pPr>
        <w:pStyle w:val="Heading5"/>
        <w:spacing w:before="40" w:after="0" w:line="240" w:lineRule="auto"/>
        <w:rPr>
          <w:i/>
          <w:iCs/>
          <w:sz w:val="20"/>
          <w:szCs w:val="20"/>
        </w:rPr>
      </w:pPr>
      <w:r w:rsidRPr="00B3141F">
        <w:rPr>
          <w:i/>
          <w:iCs/>
          <w:sz w:val="20"/>
          <w:szCs w:val="20"/>
        </w:rPr>
        <w:t>Indicators: The ARP eligibility assessment process results in accurate referrals to the STPP</w:t>
      </w:r>
      <w:r w:rsidR="4B843963" w:rsidRPr="00B3141F">
        <w:rPr>
          <w:i/>
          <w:iCs/>
          <w:sz w:val="20"/>
          <w:szCs w:val="20"/>
        </w:rPr>
        <w:t>/</w:t>
      </w:r>
      <w:r w:rsidRPr="00B3141F">
        <w:rPr>
          <w:i/>
          <w:iCs/>
          <w:sz w:val="20"/>
          <w:szCs w:val="20"/>
        </w:rPr>
        <w:t xml:space="preserve">The ARP eligibility process supports a good access experience  </w:t>
      </w:r>
    </w:p>
    <w:p w14:paraId="7B23C3B9" w14:textId="7B401647"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41</w:t>
      </w:r>
      <w:r>
        <w:fldChar w:fldCharType="end"/>
      </w:r>
      <w:r>
        <w:t>.</w:t>
      </w:r>
      <w:r w:rsidR="003D3FF5" w:rsidRPr="003D3FF5">
        <w:t xml:space="preserve"> </w:t>
      </w:r>
      <w:r w:rsidR="003D3FF5">
        <w:t>KEQ4b measure findings,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047811" w14:paraId="469D891B" w14:textId="77777777" w:rsidTr="003D3FF5">
        <w:trPr>
          <w:cantSplit/>
          <w:tblHeader/>
        </w:trPr>
        <w:tc>
          <w:tcPr>
            <w:tcW w:w="2972" w:type="dxa"/>
            <w:shd w:val="clear" w:color="auto" w:fill="425563" w:themeFill="text1"/>
          </w:tcPr>
          <w:p w14:paraId="7DA13FBC" w14:textId="5E2C7C03" w:rsidR="00047811" w:rsidRDefault="00047811" w:rsidP="00047811">
            <w:pPr>
              <w:pStyle w:val="Tableheadwhite"/>
            </w:pPr>
            <w:r>
              <w:t>Area</w:t>
            </w:r>
          </w:p>
        </w:tc>
        <w:tc>
          <w:tcPr>
            <w:tcW w:w="7485" w:type="dxa"/>
            <w:shd w:val="clear" w:color="auto" w:fill="425563" w:themeFill="text1"/>
          </w:tcPr>
          <w:p w14:paraId="2E17156C" w14:textId="6B9E6B6F" w:rsidR="00047811" w:rsidRDefault="00047811" w:rsidP="00047811">
            <w:pPr>
              <w:pStyle w:val="Tableheadwhite"/>
            </w:pPr>
            <w:r>
              <w:t>Detail</w:t>
            </w:r>
          </w:p>
        </w:tc>
      </w:tr>
      <w:tr w:rsidR="00B2242E" w14:paraId="5CC26BA1" w14:textId="77777777" w:rsidTr="003D3FF5">
        <w:trPr>
          <w:cantSplit/>
        </w:trPr>
        <w:tc>
          <w:tcPr>
            <w:tcW w:w="2972" w:type="dxa"/>
            <w:shd w:val="clear" w:color="auto" w:fill="F6F9F7"/>
          </w:tcPr>
          <w:p w14:paraId="0FFD0D2B" w14:textId="77777777" w:rsidR="00B2242E" w:rsidRDefault="00B2242E" w:rsidP="007E0AFE">
            <w:pPr>
              <w:pStyle w:val="TableHeader"/>
            </w:pPr>
            <w:r>
              <w:t xml:space="preserve">Measure findings </w:t>
            </w:r>
          </w:p>
        </w:tc>
        <w:tc>
          <w:tcPr>
            <w:tcW w:w="7485" w:type="dxa"/>
          </w:tcPr>
          <w:p w14:paraId="79EEE48A" w14:textId="11EC5445" w:rsidR="00B2242E" w:rsidRPr="00A77394" w:rsidRDefault="00412F85" w:rsidP="007E0AFE">
            <w:pPr>
              <w:pStyle w:val="Tabledot2"/>
            </w:pPr>
            <w:r>
              <w:t xml:space="preserve">The assessment tool is believed to be accurate (although not </w:t>
            </w:r>
            <w:r w:rsidR="00A1540C">
              <w:t xml:space="preserve">yet </w:t>
            </w:r>
            <w:r>
              <w:t xml:space="preserve">validated). </w:t>
            </w:r>
          </w:p>
        </w:tc>
      </w:tr>
      <w:tr w:rsidR="00B2242E" w14:paraId="016C0941" w14:textId="77777777" w:rsidTr="003D3FF5">
        <w:trPr>
          <w:cantSplit/>
        </w:trPr>
        <w:tc>
          <w:tcPr>
            <w:tcW w:w="2972" w:type="dxa"/>
            <w:shd w:val="clear" w:color="auto" w:fill="F6F9F7"/>
          </w:tcPr>
          <w:p w14:paraId="29A7F61A" w14:textId="77777777" w:rsidR="00B2242E" w:rsidRDefault="00B2242E" w:rsidP="007E0AFE">
            <w:pPr>
              <w:pStyle w:val="TableHeader"/>
            </w:pPr>
            <w:r w:rsidRPr="00CD26F6">
              <w:t>Discussion of supporting evidence</w:t>
            </w:r>
          </w:p>
        </w:tc>
        <w:tc>
          <w:tcPr>
            <w:tcW w:w="7485" w:type="dxa"/>
          </w:tcPr>
          <w:p w14:paraId="7A8AC512" w14:textId="55C127D5" w:rsidR="00B2242E" w:rsidRDefault="00706593" w:rsidP="007E0AFE">
            <w:pPr>
              <w:pStyle w:val="Tabledot2"/>
            </w:pPr>
            <w:r>
              <w:t xml:space="preserve">The </w:t>
            </w:r>
            <w:r w:rsidR="00B2242E" w:rsidRPr="00A77394">
              <w:t>assessment tool</w:t>
            </w:r>
            <w:r>
              <w:t xml:space="preserve"> is</w:t>
            </w:r>
            <w:r w:rsidR="00E530AC" w:rsidRPr="00A77394">
              <w:t xml:space="preserve"> reported </w:t>
            </w:r>
            <w:r w:rsidR="00B2242E" w:rsidRPr="00A77394">
              <w:t xml:space="preserve">to be effective in determining STPP eligibility by the </w:t>
            </w:r>
            <w:r w:rsidR="00514AFA">
              <w:t>ARP consortium lead and partners</w:t>
            </w:r>
            <w:r>
              <w:t xml:space="preserve"> </w:t>
            </w:r>
            <w:r w:rsidR="00346FEF" w:rsidRPr="00A77394">
              <w:t xml:space="preserve">who hold key expertise in HTMS. </w:t>
            </w:r>
            <w:r w:rsidR="00B2242E" w:rsidRPr="00A77394">
              <w:t xml:space="preserve"> </w:t>
            </w:r>
          </w:p>
          <w:p w14:paraId="75878272" w14:textId="77777777" w:rsidR="003E67A1" w:rsidRPr="00B92BEA" w:rsidRDefault="003E67A1" w:rsidP="007E0AFE">
            <w:pPr>
              <w:pStyle w:val="Tabledot2"/>
            </w:pPr>
            <w:r>
              <w:t>The ARP has i</w:t>
            </w:r>
            <w:r w:rsidRPr="00B92BEA">
              <w:t xml:space="preserve">mplemented </w:t>
            </w:r>
            <w:r>
              <w:t xml:space="preserve">practices </w:t>
            </w:r>
            <w:r w:rsidRPr="00B92BEA">
              <w:t xml:space="preserve">to promote consistency in assessment and eligibility decisions across all ARP organisations </w:t>
            </w:r>
            <w:r>
              <w:t>including:</w:t>
            </w:r>
            <w:r w:rsidRPr="00B92BEA">
              <w:t xml:space="preserve"> </w:t>
            </w:r>
            <w:r>
              <w:t xml:space="preserve">co-development of the assessment tools utilising the diverse expertise of members, </w:t>
            </w:r>
            <w:r w:rsidRPr="00B92BEA">
              <w:t>collaborative discussions of case examples</w:t>
            </w:r>
            <w:r>
              <w:t xml:space="preserve"> including through regular community of practice meetings</w:t>
            </w:r>
            <w:r w:rsidRPr="00B92BEA">
              <w:t xml:space="preserve">, the provision of consistent training, and the </w:t>
            </w:r>
            <w:r>
              <w:t xml:space="preserve">provision of </w:t>
            </w:r>
            <w:r w:rsidRPr="00B92BEA">
              <w:t>legal advice on HTMS indicators</w:t>
            </w:r>
            <w:r>
              <w:t xml:space="preserve"> by ASA</w:t>
            </w:r>
            <w:r w:rsidRPr="00B92BEA">
              <w:t xml:space="preserve"> to other partners where clarification on potential indicators is </w:t>
            </w:r>
            <w:r>
              <w:t>needed</w:t>
            </w:r>
            <w:r w:rsidRPr="00B92BEA">
              <w:t>.</w:t>
            </w:r>
          </w:p>
          <w:p w14:paraId="1AD06160" w14:textId="3B06FAD1" w:rsidR="007E2C34" w:rsidRDefault="00514AFA" w:rsidP="007E0AFE">
            <w:pPr>
              <w:pStyle w:val="Tabledot2"/>
            </w:pPr>
            <w:r>
              <w:t>Some c</w:t>
            </w:r>
            <w:r w:rsidR="00E530AC" w:rsidRPr="00A77394">
              <w:t xml:space="preserve">onsortium partners </w:t>
            </w:r>
            <w:r w:rsidR="52712E3C">
              <w:t>report</w:t>
            </w:r>
            <w:r w:rsidR="1DA23E50">
              <w:t>ed</w:t>
            </w:r>
            <w:r w:rsidR="00B2242E" w:rsidRPr="00A77394">
              <w:t xml:space="preserve"> </w:t>
            </w:r>
            <w:r w:rsidR="0079642A" w:rsidRPr="00A77394">
              <w:t>that</w:t>
            </w:r>
            <w:r w:rsidR="00B2242E" w:rsidRPr="00A77394">
              <w:t xml:space="preserve"> the</w:t>
            </w:r>
            <w:r w:rsidR="00E530AC" w:rsidRPr="00A77394">
              <w:t xml:space="preserve"> </w:t>
            </w:r>
            <w:r w:rsidR="00E530AC" w:rsidRPr="00412F85">
              <w:t>requirement for people to have left the situation of exploitation before accessing the STPP</w:t>
            </w:r>
            <w:r w:rsidR="005142C8" w:rsidRPr="00412F85">
              <w:t xml:space="preserve"> can be difficult to implement in </w:t>
            </w:r>
            <w:r w:rsidR="00412F85" w:rsidRPr="00412F85">
              <w:t>practice. Combined</w:t>
            </w:r>
            <w:r w:rsidR="00E530AC" w:rsidRPr="00412F85">
              <w:t xml:space="preserve"> with the single</w:t>
            </w:r>
            <w:r w:rsidR="3CA3D451" w:rsidRPr="00412F85">
              <w:t>-</w:t>
            </w:r>
            <w:r w:rsidR="00E530AC" w:rsidRPr="00412F85">
              <w:t xml:space="preserve">entry </w:t>
            </w:r>
            <w:r w:rsidR="0018244B">
              <w:t>per experience</w:t>
            </w:r>
            <w:r w:rsidR="00E530AC" w:rsidRPr="00412F85">
              <w:t xml:space="preserve"> rule for the STPP, this can deter </w:t>
            </w:r>
            <w:r w:rsidR="00412F85">
              <w:t xml:space="preserve">access. They also </w:t>
            </w:r>
            <w:r w:rsidR="49B7619C">
              <w:t>report</w:t>
            </w:r>
            <w:r w:rsidR="0839CDF3">
              <w:t>ed</w:t>
            </w:r>
            <w:r w:rsidR="00412F85">
              <w:t xml:space="preserve"> difficulty assessing people with very complex mental ill health</w:t>
            </w:r>
            <w:r w:rsidR="004E1F17">
              <w:t xml:space="preserve"> and cognitive impairment. </w:t>
            </w:r>
          </w:p>
          <w:p w14:paraId="0586049F" w14:textId="10D6A510" w:rsidR="00B2242E" w:rsidRPr="00A77394" w:rsidRDefault="00412F85" w:rsidP="007E0AFE">
            <w:pPr>
              <w:pStyle w:val="Tabledot2"/>
            </w:pPr>
            <w:r>
              <w:t xml:space="preserve">Consortium partners </w:t>
            </w:r>
            <w:r w:rsidR="49B7619C">
              <w:t>report</w:t>
            </w:r>
            <w:r w:rsidR="3C963F4A">
              <w:t>ed</w:t>
            </w:r>
            <w:r>
              <w:t xml:space="preserve"> that some potential </w:t>
            </w:r>
            <w:r w:rsidR="49B7619C">
              <w:t>S</w:t>
            </w:r>
            <w:r w:rsidR="1897FC1C">
              <w:t>T</w:t>
            </w:r>
            <w:r w:rsidR="49B7619C">
              <w:t>PP</w:t>
            </w:r>
            <w:r>
              <w:t xml:space="preserve"> participants disengage </w:t>
            </w:r>
            <w:r w:rsidR="00706593">
              <w:t xml:space="preserve">at assessment </w:t>
            </w:r>
            <w:r>
              <w:t xml:space="preserve">because of concerns about </w:t>
            </w:r>
            <w:r w:rsidR="00706593">
              <w:t xml:space="preserve">sharing data </w:t>
            </w:r>
            <w:r>
              <w:t>with government</w:t>
            </w:r>
            <w:r w:rsidR="00706593">
              <w:t xml:space="preserve">. </w:t>
            </w:r>
          </w:p>
        </w:tc>
      </w:tr>
      <w:tr w:rsidR="00B2242E" w14:paraId="11966D37" w14:textId="77777777" w:rsidTr="003D3FF5">
        <w:trPr>
          <w:cantSplit/>
        </w:trPr>
        <w:tc>
          <w:tcPr>
            <w:tcW w:w="2972" w:type="dxa"/>
            <w:shd w:val="clear" w:color="auto" w:fill="F6F9F7"/>
          </w:tcPr>
          <w:p w14:paraId="28ABACA6" w14:textId="67B33E78" w:rsidR="00B2242E" w:rsidRDefault="00D11EE2" w:rsidP="007E0AFE">
            <w:pPr>
              <w:pStyle w:val="TableHeader"/>
            </w:pPr>
            <w:r>
              <w:t>Recommendations</w:t>
            </w:r>
            <w:r w:rsidR="00B2242E">
              <w:t xml:space="preserve"> to strengthen </w:t>
            </w:r>
          </w:p>
        </w:tc>
        <w:tc>
          <w:tcPr>
            <w:tcW w:w="7485" w:type="dxa"/>
          </w:tcPr>
          <w:p w14:paraId="2E8A0892" w14:textId="1156BD1F" w:rsidR="00412F85" w:rsidRPr="009665F6" w:rsidRDefault="00412F85" w:rsidP="007E0AFE">
            <w:pPr>
              <w:pStyle w:val="TableHeader"/>
            </w:pPr>
            <w:r w:rsidRPr="009665F6">
              <w:t xml:space="preserve">Program improvement </w:t>
            </w:r>
          </w:p>
          <w:p w14:paraId="5AFDF08C" w14:textId="55EE109E" w:rsidR="008271E4" w:rsidRDefault="008271E4" w:rsidP="007E0AFE">
            <w:pPr>
              <w:pStyle w:val="Tabledot2"/>
            </w:pPr>
            <w:r>
              <w:t>Seek funding for the validation of the ARP assessment tool(s)</w:t>
            </w:r>
            <w:r w:rsidR="00131271">
              <w:t xml:space="preserve">, </w:t>
            </w:r>
            <w:r>
              <w:t>potentially through partnering with the AIC or through an additional National Action Plan grant.</w:t>
            </w:r>
            <w:r w:rsidR="00706593">
              <w:t xml:space="preserve"> </w:t>
            </w:r>
            <w:r>
              <w:t>Further development of the tool is needed for effective use with varied populations including children and those with cognitive impairment.</w:t>
            </w:r>
          </w:p>
          <w:p w14:paraId="7C1E4349" w14:textId="77777777" w:rsidR="008271E4" w:rsidRDefault="008271E4" w:rsidP="007E0AFE">
            <w:pPr>
              <w:pStyle w:val="Tabledot2"/>
            </w:pPr>
            <w:r>
              <w:t xml:space="preserve">Continue to improve data collection related to enquiries and referrals to appropriate alternative services. </w:t>
            </w:r>
          </w:p>
          <w:p w14:paraId="5D0B3252" w14:textId="31E32F74" w:rsidR="00D67D48" w:rsidRPr="009665F6" w:rsidRDefault="008271E4" w:rsidP="007E0AFE">
            <w:pPr>
              <w:pStyle w:val="Tabledot2"/>
            </w:pPr>
            <w:r>
              <w:t xml:space="preserve">Explore mechanism to enable the ARP/STPP providers to collaboratively better support people to feel informed enough to make decisions about leaving their situation of </w:t>
            </w:r>
            <w:proofErr w:type="gramStart"/>
            <w:r>
              <w:t>exploitation .</w:t>
            </w:r>
            <w:proofErr w:type="gramEnd"/>
          </w:p>
        </w:tc>
      </w:tr>
    </w:tbl>
    <w:p w14:paraId="22F46463" w14:textId="23474C21" w:rsidR="004D14DC" w:rsidRPr="00462D7D" w:rsidRDefault="00F400EC" w:rsidP="007E0AFE">
      <w:pPr>
        <w:pStyle w:val="Heading4"/>
      </w:pPr>
      <w:r>
        <w:lastRenderedPageBreak/>
        <w:t>KEQ4</w:t>
      </w:r>
      <w:r w:rsidR="00585B59">
        <w:t>c</w:t>
      </w:r>
      <w:r w:rsidR="7FC9BE81">
        <w:t>.</w:t>
      </w:r>
      <w:r w:rsidRPr="00045A80">
        <w:t xml:space="preserve"> </w:t>
      </w:r>
      <w:r w:rsidR="004D14DC" w:rsidRPr="00045A80">
        <w:t xml:space="preserve">How do the </w:t>
      </w:r>
      <w:r w:rsidR="0029458F">
        <w:t>ARP</w:t>
      </w:r>
      <w:r w:rsidR="004D14DC" w:rsidRPr="00045A80">
        <w:t xml:space="preserve"> processes address safety, security and visa status issues for </w:t>
      </w:r>
      <w:r w:rsidR="00444FCF">
        <w:t xml:space="preserve">people with </w:t>
      </w:r>
      <w:r w:rsidR="00B819C0">
        <w:t>HTMS</w:t>
      </w:r>
      <w:r w:rsidR="00B819C0" w:rsidDel="00B819C0">
        <w:t xml:space="preserve"> </w:t>
      </w:r>
      <w:r w:rsidR="00444FCF">
        <w:t xml:space="preserve">experiences? </w:t>
      </w:r>
    </w:p>
    <w:p w14:paraId="181FD5AF" w14:textId="7BE936BF" w:rsidR="0023186C" w:rsidRPr="00B3141F" w:rsidRDefault="0023186C" w:rsidP="00B3141F">
      <w:pPr>
        <w:pStyle w:val="Heading5"/>
        <w:spacing w:before="40" w:after="0" w:line="240" w:lineRule="auto"/>
        <w:rPr>
          <w:i/>
          <w:iCs/>
          <w:sz w:val="20"/>
          <w:szCs w:val="20"/>
        </w:rPr>
      </w:pPr>
      <w:r w:rsidRPr="00B3141F">
        <w:rPr>
          <w:i/>
          <w:iCs/>
          <w:sz w:val="20"/>
          <w:szCs w:val="20"/>
        </w:rPr>
        <w:t>Measure: Extent to which barriers to safety</w:t>
      </w:r>
      <w:r w:rsidR="00ED29EE" w:rsidRPr="00B3141F">
        <w:rPr>
          <w:i/>
          <w:iCs/>
          <w:sz w:val="20"/>
          <w:szCs w:val="20"/>
        </w:rPr>
        <w:t xml:space="preserve"> and</w:t>
      </w:r>
      <w:r w:rsidRPr="00B3141F">
        <w:rPr>
          <w:i/>
          <w:iCs/>
          <w:sz w:val="20"/>
          <w:szCs w:val="20"/>
        </w:rPr>
        <w:t xml:space="preserve"> security are reported</w:t>
      </w:r>
    </w:p>
    <w:p w14:paraId="1C665C1C" w14:textId="1E72C469"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42</w:t>
      </w:r>
      <w:r>
        <w:fldChar w:fldCharType="end"/>
      </w:r>
      <w:r>
        <w:t>.</w:t>
      </w:r>
      <w:r w:rsidR="003D3FF5">
        <w:t xml:space="preserve"> KEQ4c measure findings, discussion of supporting evidence &amp; recommendations to strengthen</w:t>
      </w:r>
    </w:p>
    <w:tbl>
      <w:tblPr>
        <w:tblStyle w:val="TableGrid"/>
        <w:tblW w:w="0" w:type="auto"/>
        <w:tblLook w:val="04A0" w:firstRow="1" w:lastRow="0" w:firstColumn="1" w:lastColumn="0" w:noHBand="0" w:noVBand="1"/>
      </w:tblPr>
      <w:tblGrid>
        <w:gridCol w:w="2972"/>
        <w:gridCol w:w="7485"/>
      </w:tblGrid>
      <w:tr w:rsidR="00047811" w:rsidRPr="00A77394" w14:paraId="5AD518E3" w14:textId="77777777" w:rsidTr="003D3FF5">
        <w:trPr>
          <w:cantSplit/>
          <w:tblHeader/>
        </w:trPr>
        <w:tc>
          <w:tcPr>
            <w:tcW w:w="2972" w:type="dxa"/>
            <w:shd w:val="clear" w:color="auto" w:fill="425563" w:themeFill="text1"/>
          </w:tcPr>
          <w:p w14:paraId="443E292A" w14:textId="1124733F" w:rsidR="00047811" w:rsidRDefault="00047811" w:rsidP="00047811">
            <w:pPr>
              <w:pStyle w:val="Tableheadwhite"/>
            </w:pPr>
            <w:r>
              <w:t>Area</w:t>
            </w:r>
          </w:p>
        </w:tc>
        <w:tc>
          <w:tcPr>
            <w:tcW w:w="7485" w:type="dxa"/>
            <w:shd w:val="clear" w:color="auto" w:fill="425563" w:themeFill="text1"/>
          </w:tcPr>
          <w:p w14:paraId="1FBE1916" w14:textId="3E65EFA2" w:rsidR="00047811" w:rsidRDefault="00047811" w:rsidP="00047811">
            <w:pPr>
              <w:pStyle w:val="Tableheadwhite"/>
            </w:pPr>
            <w:r>
              <w:t>Detail</w:t>
            </w:r>
          </w:p>
        </w:tc>
      </w:tr>
      <w:tr w:rsidR="00412F85" w:rsidRPr="00A77394" w14:paraId="1666C8AD" w14:textId="77777777" w:rsidTr="003D3FF5">
        <w:trPr>
          <w:cantSplit/>
        </w:trPr>
        <w:tc>
          <w:tcPr>
            <w:tcW w:w="2972" w:type="dxa"/>
            <w:shd w:val="clear" w:color="auto" w:fill="F6F9F7"/>
          </w:tcPr>
          <w:p w14:paraId="08957E71" w14:textId="77777777" w:rsidR="00412F85" w:rsidRDefault="00412F85" w:rsidP="007E0AFE">
            <w:pPr>
              <w:pStyle w:val="TableHeader"/>
            </w:pPr>
            <w:r>
              <w:t xml:space="preserve">Measure findings </w:t>
            </w:r>
          </w:p>
        </w:tc>
        <w:tc>
          <w:tcPr>
            <w:tcW w:w="7485" w:type="dxa"/>
          </w:tcPr>
          <w:p w14:paraId="25537C1D" w14:textId="77777777" w:rsidR="008271E4" w:rsidRDefault="00412F85" w:rsidP="007E0AFE">
            <w:pPr>
              <w:pStyle w:val="Tabledot2"/>
            </w:pPr>
            <w:r>
              <w:t>The ARP provider is believed to provide</w:t>
            </w:r>
            <w:r w:rsidR="00E9604F">
              <w:t xml:space="preserve"> a good level of safety planning</w:t>
            </w:r>
            <w:r w:rsidR="00863960">
              <w:t xml:space="preserve"> and risk assessments and safety planning are part of referrals from the ARP provider to the STPP provider</w:t>
            </w:r>
            <w:r w:rsidR="2F30D4AF">
              <w:t>.</w:t>
            </w:r>
          </w:p>
          <w:p w14:paraId="668E34D6" w14:textId="63B8219E" w:rsidR="00412F85" w:rsidRDefault="00A519C7" w:rsidP="007E0AFE">
            <w:pPr>
              <w:pStyle w:val="Tabledot2"/>
            </w:pPr>
            <w:r>
              <w:t xml:space="preserve">The STPP provider has noted </w:t>
            </w:r>
            <w:r w:rsidR="00581C5C">
              <w:t xml:space="preserve">instances of their caseworkers </w:t>
            </w:r>
            <w:r w:rsidR="00840F6B">
              <w:t>identifying safety issues in cases</w:t>
            </w:r>
            <w:r>
              <w:t xml:space="preserve"> referr</w:t>
            </w:r>
            <w:r w:rsidR="00840F6B">
              <w:t>ed</w:t>
            </w:r>
            <w:r>
              <w:t xml:space="preserve"> from the ARP</w:t>
            </w:r>
            <w:r w:rsidR="00A122CD">
              <w:t>, but these are believed to be instances where a participant has returned to a situation of exploitation</w:t>
            </w:r>
            <w:r w:rsidR="005955F2">
              <w:t xml:space="preserve"> after referral from the ARP (e.g. where the </w:t>
            </w:r>
            <w:r w:rsidR="00E93654">
              <w:t xml:space="preserve">perpetrator is an intimate partner). </w:t>
            </w:r>
          </w:p>
          <w:p w14:paraId="79E662BC" w14:textId="170A6C0B" w:rsidR="00412F85" w:rsidRPr="00A77394" w:rsidRDefault="00412F85" w:rsidP="007E0AFE">
            <w:pPr>
              <w:pStyle w:val="Tabledot2"/>
            </w:pPr>
            <w:r>
              <w:t xml:space="preserve">There is a lack of support for </w:t>
            </w:r>
            <w:r w:rsidR="005201DC">
              <w:t xml:space="preserve">some </w:t>
            </w:r>
            <w:r>
              <w:t xml:space="preserve">potential ARP/STPP participants who </w:t>
            </w:r>
            <w:r w:rsidR="006D2BFB">
              <w:t>need</w:t>
            </w:r>
            <w:r>
              <w:t xml:space="preserve"> to leave a </w:t>
            </w:r>
            <w:r w:rsidR="006D2BFB">
              <w:t xml:space="preserve">situation of exploitation before accessing the </w:t>
            </w:r>
            <w:r w:rsidR="005201DC">
              <w:t>STPP</w:t>
            </w:r>
            <w:r>
              <w:t xml:space="preserve">. </w:t>
            </w:r>
            <w:r w:rsidR="007E6C12">
              <w:t xml:space="preserve">Whilst the </w:t>
            </w:r>
            <w:r w:rsidR="00211C03" w:rsidRPr="00211C03">
              <w:t xml:space="preserve">ARP </w:t>
            </w:r>
            <w:r w:rsidR="007E6C12">
              <w:t xml:space="preserve">provider </w:t>
            </w:r>
            <w:r w:rsidR="00211C03" w:rsidRPr="00211C03">
              <w:t xml:space="preserve">has worked with people who </w:t>
            </w:r>
            <w:r w:rsidR="007E6C12">
              <w:t>wer</w:t>
            </w:r>
            <w:r w:rsidR="00211C03" w:rsidRPr="00211C03">
              <w:t>e in situations of exploitation</w:t>
            </w:r>
            <w:r w:rsidR="007E6C12">
              <w:t>, t</w:t>
            </w:r>
            <w:r w:rsidR="00211C03" w:rsidRPr="00211C03">
              <w:t>he</w:t>
            </w:r>
            <w:r w:rsidR="00EA5119">
              <w:t>ir</w:t>
            </w:r>
            <w:r w:rsidR="00211C03" w:rsidRPr="00211C03">
              <w:t xml:space="preserve"> ability to meet the individual’s safety needs in leaving such a situation vary based on the individual’s case. Some individuals may be supported</w:t>
            </w:r>
            <w:r w:rsidR="00F50789">
              <w:t xml:space="preserve"> to</w:t>
            </w:r>
            <w:r w:rsidR="00211C03" w:rsidRPr="00211C03">
              <w:t xml:space="preserve"> leave safely without other intervention, some may require additional services and resources in place</w:t>
            </w:r>
            <w:r w:rsidR="00FB7A0D">
              <w:t xml:space="preserve"> and others</w:t>
            </w:r>
            <w:r w:rsidR="00211C03" w:rsidRPr="00211C03">
              <w:t xml:space="preserve"> may only be safe with law enforcement engagement, which </w:t>
            </w:r>
            <w:r w:rsidR="00FB7A0D">
              <w:t>has been</w:t>
            </w:r>
            <w:r w:rsidR="00211C03" w:rsidRPr="00211C03">
              <w:t xml:space="preserve"> difficult </w:t>
            </w:r>
            <w:r w:rsidR="005F2822">
              <w:t>for the provider to</w:t>
            </w:r>
            <w:r w:rsidR="00211C03" w:rsidRPr="00211C03">
              <w:t xml:space="preserve"> engage appropriately.</w:t>
            </w:r>
            <w:r w:rsidR="004A0F0A">
              <w:t xml:space="preserve"> </w:t>
            </w:r>
          </w:p>
        </w:tc>
      </w:tr>
      <w:tr w:rsidR="00412F85" w:rsidRPr="00A77394" w14:paraId="21A2B39C" w14:textId="77777777" w:rsidTr="003D3FF5">
        <w:trPr>
          <w:cantSplit/>
        </w:trPr>
        <w:tc>
          <w:tcPr>
            <w:tcW w:w="2972" w:type="dxa"/>
            <w:shd w:val="clear" w:color="auto" w:fill="F6F9F7"/>
          </w:tcPr>
          <w:p w14:paraId="002D4A6D" w14:textId="77777777" w:rsidR="00412F85" w:rsidRDefault="00412F85" w:rsidP="007E0AFE">
            <w:pPr>
              <w:pStyle w:val="TableHeader"/>
            </w:pPr>
            <w:r w:rsidRPr="00CD26F6">
              <w:t>Discussion of supporting evidence</w:t>
            </w:r>
          </w:p>
        </w:tc>
        <w:tc>
          <w:tcPr>
            <w:tcW w:w="7485" w:type="dxa"/>
          </w:tcPr>
          <w:p w14:paraId="23CD9A3C" w14:textId="5685D1F9" w:rsidR="00412F85" w:rsidRPr="00B8400A" w:rsidRDefault="00412F85" w:rsidP="007E0AFE">
            <w:pPr>
              <w:pStyle w:val="Tabledot2"/>
            </w:pPr>
            <w:r w:rsidRPr="00A77394">
              <w:t xml:space="preserve">Assessment of this measure has largely relied on qualitative findings. </w:t>
            </w:r>
          </w:p>
        </w:tc>
      </w:tr>
      <w:tr w:rsidR="00412F85" w:rsidRPr="00A77394" w14:paraId="45C3E84E" w14:textId="77777777" w:rsidTr="003D3FF5">
        <w:trPr>
          <w:cantSplit/>
        </w:trPr>
        <w:tc>
          <w:tcPr>
            <w:tcW w:w="2972" w:type="dxa"/>
            <w:shd w:val="clear" w:color="auto" w:fill="F6F9F7"/>
          </w:tcPr>
          <w:p w14:paraId="79D129E8" w14:textId="62705FC7" w:rsidR="00412F85" w:rsidRDefault="00D11EE2" w:rsidP="007E0AFE">
            <w:pPr>
              <w:pStyle w:val="TableHeader"/>
            </w:pPr>
            <w:r>
              <w:t>Recommendations</w:t>
            </w:r>
            <w:r w:rsidR="00412F85">
              <w:t xml:space="preserve"> to strengthen </w:t>
            </w:r>
          </w:p>
        </w:tc>
        <w:tc>
          <w:tcPr>
            <w:tcW w:w="7485" w:type="dxa"/>
          </w:tcPr>
          <w:p w14:paraId="684198FF" w14:textId="77777777" w:rsidR="00412F85" w:rsidRPr="009665F6" w:rsidRDefault="00412F85" w:rsidP="007E0AFE">
            <w:pPr>
              <w:pStyle w:val="TableHeader"/>
            </w:pPr>
            <w:r w:rsidRPr="009665F6">
              <w:t xml:space="preserve">Program improvement </w:t>
            </w:r>
          </w:p>
          <w:p w14:paraId="5C416473" w14:textId="3987902D" w:rsidR="009665F6" w:rsidRPr="009665F6" w:rsidRDefault="002D2AA5" w:rsidP="007E0AFE">
            <w:pPr>
              <w:pStyle w:val="Tabledot2"/>
            </w:pPr>
            <w:r>
              <w:t>Seek funding for the v</w:t>
            </w:r>
            <w:r w:rsidRPr="00317B70">
              <w:t>alidat</w:t>
            </w:r>
            <w:r>
              <w:t>ion of</w:t>
            </w:r>
            <w:r w:rsidRPr="00317B70">
              <w:t xml:space="preserve"> the ARP assessment tool</w:t>
            </w:r>
            <w:r w:rsidR="009665F6" w:rsidRPr="009665F6">
              <w:t>.</w:t>
            </w:r>
          </w:p>
          <w:p w14:paraId="615330A1" w14:textId="745E6BC0" w:rsidR="00412F85" w:rsidRDefault="00D30E6A" w:rsidP="007E0AFE">
            <w:pPr>
              <w:pStyle w:val="Tabledot2"/>
            </w:pPr>
            <w:r>
              <w:t xml:space="preserve">Strengthen </w:t>
            </w:r>
            <w:r w:rsidR="00EB444A">
              <w:t xml:space="preserve">resources </w:t>
            </w:r>
            <w:r>
              <w:t xml:space="preserve">with respect to safe exit. </w:t>
            </w:r>
            <w:r w:rsidR="00171C51">
              <w:t xml:space="preserve"> </w:t>
            </w:r>
            <w:r w:rsidR="00412F85" w:rsidRPr="009665F6">
              <w:t xml:space="preserve"> </w:t>
            </w:r>
          </w:p>
          <w:p w14:paraId="61D5BA3A" w14:textId="11A7C93E" w:rsidR="00800801" w:rsidRPr="00800801" w:rsidRDefault="00800801" w:rsidP="007E0AFE">
            <w:pPr>
              <w:pStyle w:val="TableHeader"/>
            </w:pPr>
            <w:r>
              <w:t>Design</w:t>
            </w:r>
            <w:r w:rsidRPr="009665F6">
              <w:t xml:space="preserve"> improvement</w:t>
            </w:r>
          </w:p>
          <w:p w14:paraId="46870B28" w14:textId="3F88F6B4" w:rsidR="00412F85" w:rsidRPr="009665F6" w:rsidRDefault="00800801" w:rsidP="007E0AFE">
            <w:pPr>
              <w:pStyle w:val="Tabledot2"/>
            </w:pPr>
            <w:r>
              <w:t xml:space="preserve">As noted previously, potential program participants without a visa must still deal with the AFP </w:t>
            </w:r>
            <w:proofErr w:type="gramStart"/>
            <w:r>
              <w:t>in order to</w:t>
            </w:r>
            <w:proofErr w:type="gramEnd"/>
            <w:r>
              <w:t xml:space="preserve"> participate in the STPP due to their need to attain a Bridging F Visa, negating some of the benefits of the ARP as an alternative pathway. Our recommendation is to explore avenues for resolving this contradiction. This would require whole of government discussion</w:t>
            </w:r>
          </w:p>
        </w:tc>
      </w:tr>
    </w:tbl>
    <w:p w14:paraId="75A418D1" w14:textId="77777777" w:rsidR="00C61206" w:rsidRDefault="00C61206" w:rsidP="00C61206">
      <w:pPr>
        <w:pStyle w:val="TableHeader"/>
      </w:pPr>
      <w:bookmarkStart w:id="62" w:name="_Toc198367945"/>
      <w:bookmarkStart w:id="63" w:name="_Toc201908124"/>
    </w:p>
    <w:p w14:paraId="01508537" w14:textId="59AA4EF6" w:rsidR="00C61206" w:rsidRPr="00785E34" w:rsidRDefault="00C61206" w:rsidP="00C61206">
      <w:pPr>
        <w:pStyle w:val="TableHeader"/>
        <w:shd w:val="clear" w:color="auto" w:fill="EEF6F6" w:themeFill="background2" w:themeFillTint="33"/>
      </w:pPr>
      <w:r>
        <w:t xml:space="preserve">System </w:t>
      </w:r>
      <w:r w:rsidRPr="00785E34">
        <w:t xml:space="preserve">learning </w:t>
      </w:r>
    </w:p>
    <w:p w14:paraId="748C426A" w14:textId="5A5C399F" w:rsidR="00C61206" w:rsidRDefault="00C61206" w:rsidP="00C61206">
      <w:pPr>
        <w:pStyle w:val="TableText"/>
        <w:shd w:val="clear" w:color="auto" w:fill="EEF6F6" w:themeFill="background2" w:themeFillTint="33"/>
      </w:pPr>
      <w:r>
        <w:t>Regularised immigration status</w:t>
      </w:r>
      <w:r w:rsidRPr="006C2BBF">
        <w:t xml:space="preserve"> as a barrier to system access</w:t>
      </w:r>
      <w:r w:rsidRPr="00785E34">
        <w:t xml:space="preserve"> (and help seeking) is also commonly raised with respect to addressing family, domestic and sexual violence. Addressing this issue at a system, rather than program level will likely help ensure stronger and more consistent outcomes across both policy areas</w:t>
      </w:r>
      <w:r>
        <w:t xml:space="preserve">. </w:t>
      </w:r>
    </w:p>
    <w:p w14:paraId="0775B9C2" w14:textId="2E4D0916" w:rsidR="000D1378" w:rsidRDefault="0029458F" w:rsidP="007E0AFE">
      <w:pPr>
        <w:pStyle w:val="Heading3"/>
      </w:pPr>
      <w:r>
        <w:t>ARP</w:t>
      </w:r>
      <w:r w:rsidR="000D1378">
        <w:t xml:space="preserve"> </w:t>
      </w:r>
      <w:r w:rsidR="00A005D2">
        <w:t>Implementation</w:t>
      </w:r>
      <w:r w:rsidR="000D1378" w:rsidRPr="00400054">
        <w:t xml:space="preserve"> – </w:t>
      </w:r>
      <w:r w:rsidR="00D11EE2">
        <w:t>recommendations</w:t>
      </w:r>
      <w:r w:rsidR="000D1378" w:rsidRPr="00400054">
        <w:t xml:space="preserve"> for strengthening</w:t>
      </w:r>
      <w:bookmarkEnd w:id="62"/>
      <w:bookmarkEnd w:id="63"/>
      <w:r w:rsidR="000D1378" w:rsidRPr="00400054">
        <w:t xml:space="preserve"> </w:t>
      </w:r>
    </w:p>
    <w:p w14:paraId="0EBBC811" w14:textId="330BC46A" w:rsidR="00A005D2" w:rsidRPr="00BC3B5A" w:rsidRDefault="00A005D2" w:rsidP="007E0AFE">
      <w:pPr>
        <w:pStyle w:val="Heading4"/>
      </w:pPr>
      <w:r>
        <w:t xml:space="preserve">Program improvement </w:t>
      </w:r>
    </w:p>
    <w:p w14:paraId="1CC877F1" w14:textId="32FAC6FB"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43</w:t>
      </w:r>
      <w:r>
        <w:fldChar w:fldCharType="end"/>
      </w:r>
      <w:r>
        <w:t>.</w:t>
      </w:r>
      <w:r w:rsidR="00047811" w:rsidRPr="00047811">
        <w:t xml:space="preserve"> </w:t>
      </w:r>
      <w:r w:rsidR="00047811">
        <w:t>Opportunity:</w:t>
      </w:r>
      <w:r w:rsidR="00047811" w:rsidRPr="00047811">
        <w:t xml:space="preserve"> Alignment with better practice international standards</w:t>
      </w:r>
    </w:p>
    <w:tbl>
      <w:tblPr>
        <w:tblStyle w:val="WTTable2"/>
        <w:tblW w:w="0" w:type="auto"/>
        <w:tblLook w:val="0420" w:firstRow="1" w:lastRow="0" w:firstColumn="0" w:lastColumn="0" w:noHBand="0" w:noVBand="1"/>
      </w:tblPr>
      <w:tblGrid>
        <w:gridCol w:w="5240"/>
        <w:gridCol w:w="3691"/>
        <w:gridCol w:w="1526"/>
      </w:tblGrid>
      <w:tr w:rsidR="00200E55" w:rsidRPr="00BC3B5A" w14:paraId="4B5BAB56" w14:textId="77777777" w:rsidTr="003D3FF5">
        <w:trPr>
          <w:cnfStyle w:val="100000000000" w:firstRow="1" w:lastRow="0" w:firstColumn="0" w:lastColumn="0" w:oddVBand="0" w:evenVBand="0" w:oddHBand="0" w:evenHBand="0" w:firstRowFirstColumn="0" w:firstRowLastColumn="0" w:lastRowFirstColumn="0" w:lastRowLastColumn="0"/>
        </w:trPr>
        <w:tc>
          <w:tcPr>
            <w:tcW w:w="5240" w:type="dxa"/>
          </w:tcPr>
          <w:p w14:paraId="54F6F9EF" w14:textId="77777777" w:rsidR="00A005D2" w:rsidRPr="0097092F" w:rsidRDefault="00A005D2" w:rsidP="007E0AFE">
            <w:pPr>
              <w:rPr>
                <w:rFonts w:asciiTheme="majorHAnsi" w:hAnsiTheme="majorHAnsi"/>
                <w:color w:val="FFFFFF" w:themeColor="background1"/>
              </w:rPr>
            </w:pPr>
            <w:r w:rsidRPr="0097092F">
              <w:rPr>
                <w:rFonts w:asciiTheme="majorHAnsi" w:hAnsiTheme="majorHAnsi"/>
                <w:color w:val="FFFFFF" w:themeColor="background1"/>
              </w:rPr>
              <w:t>Opportunity</w:t>
            </w:r>
          </w:p>
        </w:tc>
        <w:tc>
          <w:tcPr>
            <w:tcW w:w="3691" w:type="dxa"/>
          </w:tcPr>
          <w:p w14:paraId="21DF23C9" w14:textId="66D52814" w:rsidR="00A005D2" w:rsidRPr="0097092F" w:rsidRDefault="00FC61D2" w:rsidP="007E0AFE">
            <w:pPr>
              <w:rPr>
                <w:rFonts w:asciiTheme="majorHAnsi" w:hAnsiTheme="majorHAnsi"/>
                <w:color w:val="FFFFFF" w:themeColor="background1"/>
              </w:rPr>
            </w:pPr>
            <w:r w:rsidRPr="0097092F">
              <w:rPr>
                <w:rFonts w:asciiTheme="majorHAnsi" w:hAnsiTheme="majorHAnsi"/>
                <w:color w:val="FFFFFF" w:themeColor="background1"/>
              </w:rPr>
              <w:t>Organisations involved</w:t>
            </w:r>
          </w:p>
        </w:tc>
        <w:tc>
          <w:tcPr>
            <w:tcW w:w="1526" w:type="dxa"/>
          </w:tcPr>
          <w:p w14:paraId="086CA752" w14:textId="725247AF" w:rsidR="00A005D2" w:rsidRPr="0097092F" w:rsidRDefault="00A04D74" w:rsidP="007E0AFE">
            <w:pPr>
              <w:rPr>
                <w:rFonts w:asciiTheme="majorHAnsi" w:hAnsiTheme="majorHAnsi"/>
                <w:color w:val="FFFFFF" w:themeColor="background1"/>
              </w:rPr>
            </w:pPr>
            <w:r w:rsidRPr="0097092F">
              <w:rPr>
                <w:rFonts w:asciiTheme="majorHAnsi" w:hAnsiTheme="majorHAnsi"/>
                <w:color w:val="FFFFFF" w:themeColor="background1"/>
              </w:rPr>
              <w:t>Priority</w:t>
            </w:r>
            <w:r w:rsidR="00A005D2" w:rsidRPr="0097092F">
              <w:rPr>
                <w:rFonts w:asciiTheme="majorHAnsi" w:hAnsiTheme="majorHAnsi"/>
                <w:color w:val="FFFFFF" w:themeColor="background1"/>
              </w:rPr>
              <w:t xml:space="preserve">  </w:t>
            </w:r>
          </w:p>
        </w:tc>
      </w:tr>
      <w:tr w:rsidR="00A005D2" w:rsidRPr="00BC3B5A" w14:paraId="52247D38" w14:textId="77777777" w:rsidTr="003D3FF5">
        <w:trPr>
          <w:cantSplit/>
        </w:trPr>
        <w:tc>
          <w:tcPr>
            <w:tcW w:w="5240" w:type="dxa"/>
          </w:tcPr>
          <w:p w14:paraId="51B17D3E" w14:textId="5E39A5ED" w:rsidR="00A005D2" w:rsidRPr="00EB444A" w:rsidRDefault="00616976" w:rsidP="007E0AFE">
            <w:pPr>
              <w:pStyle w:val="TableText"/>
            </w:pPr>
            <w:r w:rsidRPr="00EB444A">
              <w:t>Seek funding for the validation of the ARP assessment tool</w:t>
            </w:r>
            <w:r w:rsidR="3B474E98" w:rsidRPr="00EB444A">
              <w:t>.</w:t>
            </w:r>
            <w:r w:rsidR="00A005D2" w:rsidRPr="00EB444A">
              <w:t xml:space="preserve"> </w:t>
            </w:r>
          </w:p>
        </w:tc>
        <w:tc>
          <w:tcPr>
            <w:tcW w:w="3691" w:type="dxa"/>
          </w:tcPr>
          <w:p w14:paraId="211E8858" w14:textId="4A43001E" w:rsidR="00A005D2" w:rsidRPr="00EB444A" w:rsidRDefault="00616976" w:rsidP="007E0AFE">
            <w:pPr>
              <w:pStyle w:val="TableText"/>
            </w:pPr>
            <w:r w:rsidRPr="00EB444A">
              <w:t>DSS</w:t>
            </w:r>
            <w:r w:rsidR="00CE21FA" w:rsidRPr="00EB444A">
              <w:t>/</w:t>
            </w:r>
            <w:r w:rsidR="00D30E84" w:rsidRPr="00EB444A">
              <w:t>AGD/</w:t>
            </w:r>
            <w:r w:rsidR="00A005D2" w:rsidRPr="00EB444A">
              <w:t xml:space="preserve">ARP provider </w:t>
            </w:r>
          </w:p>
        </w:tc>
        <w:tc>
          <w:tcPr>
            <w:tcW w:w="1526" w:type="dxa"/>
          </w:tcPr>
          <w:p w14:paraId="2B616320" w14:textId="77777777" w:rsidR="00A005D2" w:rsidRPr="00EB444A" w:rsidRDefault="00A005D2" w:rsidP="007E0AFE">
            <w:pPr>
              <w:pStyle w:val="TableText"/>
            </w:pPr>
            <w:r w:rsidRPr="00EB444A">
              <w:t>Medium</w:t>
            </w:r>
          </w:p>
        </w:tc>
      </w:tr>
      <w:tr w:rsidR="00A005D2" w:rsidRPr="00BC3B5A" w14:paraId="118D1BFB" w14:textId="77777777" w:rsidTr="003D3FF5">
        <w:trPr>
          <w:cantSplit/>
        </w:trPr>
        <w:tc>
          <w:tcPr>
            <w:tcW w:w="5240" w:type="dxa"/>
          </w:tcPr>
          <w:p w14:paraId="5CE4A8D4" w14:textId="2732C4BA" w:rsidR="00A005D2" w:rsidRPr="00EB444A" w:rsidRDefault="00A005D2" w:rsidP="007E0AFE">
            <w:pPr>
              <w:pStyle w:val="TableText"/>
            </w:pPr>
            <w:r w:rsidRPr="00EB444A">
              <w:t>Improve extent and coordination of ARP promotions</w:t>
            </w:r>
            <w:r w:rsidR="559EC0BC" w:rsidRPr="00EB444A">
              <w:t>.</w:t>
            </w:r>
            <w:r w:rsidRPr="00EB444A">
              <w:t xml:space="preserve"> </w:t>
            </w:r>
          </w:p>
        </w:tc>
        <w:tc>
          <w:tcPr>
            <w:tcW w:w="3691" w:type="dxa"/>
          </w:tcPr>
          <w:p w14:paraId="4B2DC4E7" w14:textId="2C941F7B" w:rsidR="00A005D2" w:rsidRPr="00EB444A" w:rsidRDefault="00A005D2" w:rsidP="007E0AFE">
            <w:pPr>
              <w:pStyle w:val="TableText"/>
            </w:pPr>
            <w:r w:rsidRPr="00EB444A">
              <w:t>ARP provider</w:t>
            </w:r>
          </w:p>
        </w:tc>
        <w:tc>
          <w:tcPr>
            <w:tcW w:w="1526" w:type="dxa"/>
          </w:tcPr>
          <w:p w14:paraId="35E79D5F" w14:textId="77777777" w:rsidR="00A005D2" w:rsidRPr="00EB444A" w:rsidRDefault="00A005D2" w:rsidP="007E0AFE">
            <w:pPr>
              <w:pStyle w:val="TableText"/>
            </w:pPr>
            <w:r w:rsidRPr="00EB444A">
              <w:t xml:space="preserve">Medium </w:t>
            </w:r>
          </w:p>
        </w:tc>
      </w:tr>
      <w:tr w:rsidR="00F319B7" w:rsidRPr="00BC3B5A" w14:paraId="066CA132" w14:textId="77777777" w:rsidTr="003D3FF5">
        <w:trPr>
          <w:cantSplit/>
        </w:trPr>
        <w:tc>
          <w:tcPr>
            <w:tcW w:w="5240" w:type="dxa"/>
          </w:tcPr>
          <w:p w14:paraId="1C9C821F" w14:textId="64DF9DB8" w:rsidR="00F319B7" w:rsidRPr="00EB444A" w:rsidRDefault="00F319B7" w:rsidP="007E0AFE">
            <w:pPr>
              <w:pStyle w:val="TableText"/>
            </w:pPr>
            <w:r w:rsidRPr="00EB444A">
              <w:lastRenderedPageBreak/>
              <w:t xml:space="preserve">Improve access to </w:t>
            </w:r>
            <w:r w:rsidR="001C356A" w:rsidRPr="00EB444A">
              <w:t xml:space="preserve">police </w:t>
            </w:r>
            <w:r w:rsidR="00774DF2" w:rsidRPr="00EB444A">
              <w:t xml:space="preserve">assistance with </w:t>
            </w:r>
            <w:r w:rsidRPr="00EB444A">
              <w:t>safe exit</w:t>
            </w:r>
            <w:r w:rsidR="00774DF2" w:rsidRPr="00EB444A">
              <w:t xml:space="preserve"> from the situation of exploitation</w:t>
            </w:r>
            <w:r w:rsidR="76851512" w:rsidRPr="00EB444A">
              <w:t>.</w:t>
            </w:r>
            <w:r w:rsidRPr="00EB444A">
              <w:t xml:space="preserve"> </w:t>
            </w:r>
          </w:p>
        </w:tc>
        <w:tc>
          <w:tcPr>
            <w:tcW w:w="3691" w:type="dxa"/>
          </w:tcPr>
          <w:p w14:paraId="3B3898F5" w14:textId="14E51650" w:rsidR="00F319B7" w:rsidRPr="00EB444A" w:rsidRDefault="5050FBEB" w:rsidP="007E0AFE">
            <w:pPr>
              <w:pStyle w:val="TableText"/>
            </w:pPr>
            <w:r w:rsidRPr="00EB444A">
              <w:t>D</w:t>
            </w:r>
            <w:r w:rsidR="0715A087" w:rsidRPr="00EB444A">
              <w:t>SS</w:t>
            </w:r>
            <w:r w:rsidRPr="00EB444A">
              <w:t>/</w:t>
            </w:r>
            <w:r w:rsidR="001C356A" w:rsidRPr="00EB444A">
              <w:t>AFP/State and Territory police forces/</w:t>
            </w:r>
            <w:r w:rsidR="00F319B7" w:rsidRPr="00EB444A">
              <w:t xml:space="preserve">ARP </w:t>
            </w:r>
            <w:r w:rsidR="00881FA8" w:rsidRPr="00EB444A">
              <w:t xml:space="preserve">and STPP providers </w:t>
            </w:r>
          </w:p>
        </w:tc>
        <w:tc>
          <w:tcPr>
            <w:tcW w:w="1526" w:type="dxa"/>
          </w:tcPr>
          <w:p w14:paraId="0550C39A" w14:textId="5C377ECF" w:rsidR="00F319B7" w:rsidRPr="00EB444A" w:rsidRDefault="00F319B7" w:rsidP="007E0AFE">
            <w:pPr>
              <w:pStyle w:val="TableText"/>
            </w:pPr>
            <w:r w:rsidRPr="00EB444A">
              <w:t xml:space="preserve">Medium </w:t>
            </w:r>
          </w:p>
        </w:tc>
      </w:tr>
      <w:tr w:rsidR="00CD78D6" w:rsidRPr="00BC3B5A" w14:paraId="66F767E5" w14:textId="77777777" w:rsidTr="003D3FF5">
        <w:trPr>
          <w:cantSplit/>
        </w:trPr>
        <w:tc>
          <w:tcPr>
            <w:tcW w:w="5240" w:type="dxa"/>
          </w:tcPr>
          <w:p w14:paraId="62885177" w14:textId="65FA700C" w:rsidR="00CD78D6" w:rsidRPr="00EB444A" w:rsidRDefault="00CD78D6" w:rsidP="007E0AFE">
            <w:pPr>
              <w:pStyle w:val="TableText"/>
            </w:pPr>
            <w:r w:rsidRPr="00EB444A">
              <w:t xml:space="preserve">Review definition of ‘leaving’ a </w:t>
            </w:r>
            <w:r w:rsidR="00704D9C" w:rsidRPr="00EB444A">
              <w:t>situation of exploitation</w:t>
            </w:r>
            <w:r w:rsidRPr="00EB444A">
              <w:t xml:space="preserve"> with respect to this being an access barrier</w:t>
            </w:r>
            <w:r w:rsidR="363AAEC5" w:rsidRPr="00EB444A">
              <w:t>.</w:t>
            </w:r>
            <w:r w:rsidRPr="00EB444A">
              <w:t xml:space="preserve"> </w:t>
            </w:r>
          </w:p>
        </w:tc>
        <w:tc>
          <w:tcPr>
            <w:tcW w:w="3691" w:type="dxa"/>
          </w:tcPr>
          <w:p w14:paraId="22AA383F" w14:textId="2D899194" w:rsidR="00CD78D6" w:rsidRPr="00EB444A" w:rsidRDefault="7FC3DF10" w:rsidP="007E0AFE">
            <w:pPr>
              <w:pStyle w:val="TableText"/>
            </w:pPr>
            <w:r w:rsidRPr="00EB444A">
              <w:t>D</w:t>
            </w:r>
            <w:r w:rsidR="37C5B276" w:rsidRPr="00EB444A">
              <w:t>SS</w:t>
            </w:r>
            <w:r w:rsidRPr="00EB444A">
              <w:t>/</w:t>
            </w:r>
            <w:r w:rsidR="00CD78D6" w:rsidRPr="00EB444A">
              <w:t xml:space="preserve">ARP and STPP providers </w:t>
            </w:r>
          </w:p>
        </w:tc>
        <w:tc>
          <w:tcPr>
            <w:tcW w:w="1526" w:type="dxa"/>
          </w:tcPr>
          <w:p w14:paraId="773C7F95" w14:textId="314AA234" w:rsidR="00CD78D6" w:rsidRPr="00EB444A" w:rsidRDefault="00CD78D6" w:rsidP="007E0AFE">
            <w:pPr>
              <w:pStyle w:val="TableText"/>
            </w:pPr>
            <w:r w:rsidRPr="00EB444A">
              <w:t xml:space="preserve">Medium </w:t>
            </w:r>
          </w:p>
        </w:tc>
      </w:tr>
    </w:tbl>
    <w:p w14:paraId="4A64079D" w14:textId="77777777" w:rsidR="000D1378" w:rsidRPr="00BC3B5A" w:rsidRDefault="000D1378" w:rsidP="007E0AFE">
      <w:pPr>
        <w:pStyle w:val="Heading4"/>
      </w:pPr>
      <w:r>
        <w:t xml:space="preserve">Design improvement </w:t>
      </w:r>
    </w:p>
    <w:p w14:paraId="185EFC8D" w14:textId="02F21EF8"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44</w:t>
      </w:r>
      <w:r>
        <w:fldChar w:fldCharType="end"/>
      </w:r>
      <w:r>
        <w:t>.</w:t>
      </w:r>
      <w:r w:rsidR="00047811" w:rsidRPr="00047811">
        <w:t xml:space="preserve"> </w:t>
      </w:r>
      <w:r w:rsidR="00047811">
        <w:t>Opportunity:</w:t>
      </w:r>
      <w:r w:rsidR="00047811" w:rsidRPr="00047811">
        <w:t xml:space="preserve"> Alignment with better practice/international standards</w:t>
      </w:r>
    </w:p>
    <w:tbl>
      <w:tblPr>
        <w:tblStyle w:val="WTTable2"/>
        <w:tblW w:w="0" w:type="auto"/>
        <w:tblLook w:val="0420" w:firstRow="1" w:lastRow="0" w:firstColumn="0" w:lastColumn="0" w:noHBand="0" w:noVBand="1"/>
      </w:tblPr>
      <w:tblGrid>
        <w:gridCol w:w="5240"/>
        <w:gridCol w:w="3691"/>
        <w:gridCol w:w="1526"/>
      </w:tblGrid>
      <w:tr w:rsidR="00FC61D2" w:rsidRPr="00BC3B5A" w14:paraId="2EA04901" w14:textId="77777777" w:rsidTr="001E72BA">
        <w:trPr>
          <w:cnfStyle w:val="100000000000" w:firstRow="1" w:lastRow="0" w:firstColumn="0" w:lastColumn="0" w:oddVBand="0" w:evenVBand="0" w:oddHBand="0" w:evenHBand="0" w:firstRowFirstColumn="0" w:firstRowLastColumn="0" w:lastRowFirstColumn="0" w:lastRowLastColumn="0"/>
        </w:trPr>
        <w:tc>
          <w:tcPr>
            <w:tcW w:w="5240" w:type="dxa"/>
          </w:tcPr>
          <w:p w14:paraId="7A84FE74" w14:textId="77777777" w:rsidR="00FC61D2" w:rsidRPr="0097092F" w:rsidRDefault="00FC61D2" w:rsidP="007E0AFE">
            <w:pPr>
              <w:rPr>
                <w:rFonts w:asciiTheme="majorHAnsi" w:hAnsiTheme="majorHAnsi"/>
                <w:color w:val="FFFFFF" w:themeColor="background1"/>
              </w:rPr>
            </w:pPr>
            <w:r w:rsidRPr="0097092F">
              <w:rPr>
                <w:rFonts w:asciiTheme="majorHAnsi" w:hAnsiTheme="majorHAnsi"/>
                <w:color w:val="FFFFFF" w:themeColor="background1"/>
              </w:rPr>
              <w:t>Opportunity</w:t>
            </w:r>
          </w:p>
        </w:tc>
        <w:tc>
          <w:tcPr>
            <w:tcW w:w="3691" w:type="dxa"/>
          </w:tcPr>
          <w:p w14:paraId="5B22A1F9" w14:textId="014A47DA" w:rsidR="00FC61D2" w:rsidRPr="0097092F" w:rsidRDefault="00FC61D2" w:rsidP="007E0AFE">
            <w:pPr>
              <w:rPr>
                <w:rFonts w:asciiTheme="majorHAnsi" w:hAnsiTheme="majorHAnsi"/>
                <w:color w:val="FFFFFF" w:themeColor="background1"/>
              </w:rPr>
            </w:pPr>
            <w:r w:rsidRPr="0097092F">
              <w:rPr>
                <w:rFonts w:asciiTheme="majorHAnsi" w:hAnsiTheme="majorHAnsi"/>
                <w:color w:val="FFFFFF" w:themeColor="background1"/>
              </w:rPr>
              <w:t>Organisations involved</w:t>
            </w:r>
          </w:p>
        </w:tc>
        <w:tc>
          <w:tcPr>
            <w:tcW w:w="1526" w:type="dxa"/>
          </w:tcPr>
          <w:p w14:paraId="5AACB4C8" w14:textId="5994E887" w:rsidR="00FC61D2" w:rsidRPr="0097092F" w:rsidRDefault="00FC61D2" w:rsidP="007E0AFE">
            <w:pPr>
              <w:rPr>
                <w:rFonts w:asciiTheme="majorHAnsi" w:hAnsiTheme="majorHAnsi"/>
                <w:color w:val="FFFFFF" w:themeColor="background1"/>
              </w:rPr>
            </w:pPr>
            <w:r w:rsidRPr="0097092F">
              <w:rPr>
                <w:rFonts w:asciiTheme="majorHAnsi" w:hAnsiTheme="majorHAnsi"/>
                <w:color w:val="FFFFFF" w:themeColor="background1"/>
              </w:rPr>
              <w:t xml:space="preserve">Priority  </w:t>
            </w:r>
          </w:p>
        </w:tc>
      </w:tr>
      <w:tr w:rsidR="000D1378" w:rsidRPr="00BC3B5A" w14:paraId="17D39842" w14:textId="77777777" w:rsidTr="001E72BA">
        <w:tc>
          <w:tcPr>
            <w:tcW w:w="5240" w:type="dxa"/>
          </w:tcPr>
          <w:p w14:paraId="7D12829C" w14:textId="70F52B55" w:rsidR="000D1378" w:rsidRPr="00EB444A" w:rsidRDefault="00131271" w:rsidP="007E0AFE">
            <w:pPr>
              <w:pStyle w:val="TableText"/>
            </w:pPr>
            <w:r>
              <w:t>Consider e</w:t>
            </w:r>
            <w:r w:rsidR="00A005D2" w:rsidRPr="00EB444A">
              <w:t xml:space="preserve">xtend the model to include a wider range of frontline </w:t>
            </w:r>
            <w:r>
              <w:t>workers or community partners</w:t>
            </w:r>
            <w:r w:rsidR="00EA5686" w:rsidRPr="00EB444A">
              <w:t xml:space="preserve"> to</w:t>
            </w:r>
            <w:r w:rsidR="00C51F86" w:rsidRPr="00EB444A">
              <w:t xml:space="preserve"> reach more </w:t>
            </w:r>
            <w:r w:rsidR="00441780" w:rsidRPr="00EB444A">
              <w:t>people with HTMS experiences</w:t>
            </w:r>
            <w:r w:rsidR="0704FF8E" w:rsidRPr="00EB444A">
              <w:t>.</w:t>
            </w:r>
            <w:r w:rsidR="00A005D2" w:rsidRPr="00EB444A">
              <w:t xml:space="preserve"> </w:t>
            </w:r>
          </w:p>
        </w:tc>
        <w:tc>
          <w:tcPr>
            <w:tcW w:w="3691" w:type="dxa"/>
          </w:tcPr>
          <w:p w14:paraId="4A298AC4" w14:textId="522D2BC6" w:rsidR="000D1378" w:rsidRPr="00EB444A" w:rsidRDefault="35C0DA2F" w:rsidP="007E0AFE">
            <w:pPr>
              <w:pStyle w:val="TableText"/>
            </w:pPr>
            <w:r w:rsidRPr="00EB444A">
              <w:t>D</w:t>
            </w:r>
            <w:r w:rsidR="581FE399" w:rsidRPr="00EB444A">
              <w:t>SS</w:t>
            </w:r>
            <w:r w:rsidR="00F4599A" w:rsidRPr="00EB444A">
              <w:t>/ARP provider</w:t>
            </w:r>
          </w:p>
        </w:tc>
        <w:tc>
          <w:tcPr>
            <w:tcW w:w="1526" w:type="dxa"/>
          </w:tcPr>
          <w:p w14:paraId="36BD50DA" w14:textId="77777777" w:rsidR="000D1378" w:rsidRPr="00EB444A" w:rsidRDefault="000D1378" w:rsidP="007E0AFE">
            <w:pPr>
              <w:pStyle w:val="TableText"/>
            </w:pPr>
            <w:r w:rsidRPr="00EB444A">
              <w:t xml:space="preserve">Medium </w:t>
            </w:r>
          </w:p>
        </w:tc>
      </w:tr>
    </w:tbl>
    <w:p w14:paraId="29FB83A1" w14:textId="2F73D3A7" w:rsidR="00A005D2" w:rsidRPr="00BC3B5A" w:rsidRDefault="00A005D2" w:rsidP="007E0AFE">
      <w:pPr>
        <w:pStyle w:val="Heading4"/>
      </w:pPr>
      <w:r>
        <w:t xml:space="preserve">System improvement </w:t>
      </w:r>
    </w:p>
    <w:p w14:paraId="559C9571" w14:textId="43F76BA6"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45</w:t>
      </w:r>
      <w:r>
        <w:fldChar w:fldCharType="end"/>
      </w:r>
      <w:r>
        <w:t>.</w:t>
      </w:r>
      <w:r w:rsidR="00047811" w:rsidRPr="00047811">
        <w:t xml:space="preserve"> </w:t>
      </w:r>
      <w:r w:rsidR="00047811">
        <w:t>Opportunity:</w:t>
      </w:r>
      <w:r w:rsidR="00047811" w:rsidRPr="00047811">
        <w:t xml:space="preserve"> Alignment with better practice/international standards</w:t>
      </w:r>
    </w:p>
    <w:tbl>
      <w:tblPr>
        <w:tblStyle w:val="WTTable2"/>
        <w:tblW w:w="5000" w:type="pct"/>
        <w:tblLook w:val="04A0" w:firstRow="1" w:lastRow="0" w:firstColumn="1" w:lastColumn="0" w:noHBand="0" w:noVBand="1"/>
      </w:tblPr>
      <w:tblGrid>
        <w:gridCol w:w="5244"/>
        <w:gridCol w:w="3686"/>
        <w:gridCol w:w="1537"/>
      </w:tblGrid>
      <w:tr w:rsidR="002106E3" w:rsidRPr="002106E3" w14:paraId="64EE33C9" w14:textId="77777777" w:rsidTr="001E72BA">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2505" w:type="pct"/>
          </w:tcPr>
          <w:p w14:paraId="30F57A40" w14:textId="77777777" w:rsidR="00FC61D2" w:rsidRPr="0097092F" w:rsidRDefault="00FC61D2" w:rsidP="007E0AFE">
            <w:pPr>
              <w:rPr>
                <w:color w:val="FFFFFF" w:themeColor="background1"/>
              </w:rPr>
            </w:pPr>
            <w:r w:rsidRPr="0097092F">
              <w:rPr>
                <w:color w:val="FFFFFF" w:themeColor="background1"/>
              </w:rPr>
              <w:t>Opportunity</w:t>
            </w:r>
          </w:p>
        </w:tc>
        <w:tc>
          <w:tcPr>
            <w:tcW w:w="1761" w:type="pct"/>
          </w:tcPr>
          <w:p w14:paraId="545FBD05" w14:textId="33FDCAD5" w:rsidR="00FC61D2" w:rsidRPr="0097092F" w:rsidRDefault="00FC61D2" w:rsidP="007E0AF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7092F">
              <w:rPr>
                <w:rFonts w:asciiTheme="majorHAnsi" w:hAnsiTheme="majorHAnsi"/>
                <w:color w:val="FFFFFF" w:themeColor="background1"/>
              </w:rPr>
              <w:t>Organisations involved</w:t>
            </w:r>
          </w:p>
        </w:tc>
        <w:tc>
          <w:tcPr>
            <w:tcW w:w="734" w:type="pct"/>
          </w:tcPr>
          <w:p w14:paraId="77E34580" w14:textId="40A968DF" w:rsidR="00FC61D2" w:rsidRPr="0097092F" w:rsidRDefault="00FC61D2" w:rsidP="007E0AFE">
            <w:pPr>
              <w:cnfStyle w:val="100000000000" w:firstRow="1" w:lastRow="0" w:firstColumn="0" w:lastColumn="0" w:oddVBand="0" w:evenVBand="0" w:oddHBand="0" w:evenHBand="0" w:firstRowFirstColumn="0" w:firstRowLastColumn="0" w:lastRowFirstColumn="0" w:lastRowLastColumn="0"/>
              <w:rPr>
                <w:rFonts w:ascii="Barlow SemiBold" w:hAnsi="Barlow SemiBold"/>
                <w:color w:val="FFFFFF" w:themeColor="background1"/>
              </w:rPr>
            </w:pPr>
            <w:r w:rsidRPr="0097092F">
              <w:rPr>
                <w:rFonts w:ascii="Barlow SemiBold" w:hAnsi="Barlow SemiBold"/>
                <w:color w:val="FFFFFF" w:themeColor="background1"/>
              </w:rPr>
              <w:t xml:space="preserve">Priority  </w:t>
            </w:r>
          </w:p>
        </w:tc>
      </w:tr>
      <w:tr w:rsidR="002106E3" w:rsidRPr="002106E3" w14:paraId="317A2857" w14:textId="77777777" w:rsidTr="001E72BA">
        <w:tc>
          <w:tcPr>
            <w:cnfStyle w:val="001000000000" w:firstRow="0" w:lastRow="0" w:firstColumn="1" w:lastColumn="0" w:oddVBand="0" w:evenVBand="0" w:oddHBand="0" w:evenHBand="0" w:firstRowFirstColumn="0" w:firstRowLastColumn="0" w:lastRowFirstColumn="0" w:lastRowLastColumn="0"/>
            <w:tcW w:w="2505" w:type="pct"/>
          </w:tcPr>
          <w:p w14:paraId="558F49E0" w14:textId="15408EEF" w:rsidR="00A005D2" w:rsidRPr="008A37C1" w:rsidRDefault="00A005D2" w:rsidP="007E0AFE">
            <w:pPr>
              <w:pStyle w:val="TableText"/>
            </w:pPr>
            <w:r w:rsidRPr="008A37C1">
              <w:t>Consider widening access</w:t>
            </w:r>
            <w:r w:rsidR="0088331D" w:rsidRPr="008A37C1">
              <w:t xml:space="preserve"> to visas </w:t>
            </w:r>
            <w:r w:rsidRPr="008A37C1">
              <w:t>(visa type and access to support) for people with HTMS</w:t>
            </w:r>
            <w:r w:rsidR="0088331D" w:rsidRPr="008A37C1">
              <w:t xml:space="preserve"> experiences</w:t>
            </w:r>
            <w:r w:rsidR="0AA2021B" w:rsidRPr="008A37C1">
              <w:t>.</w:t>
            </w:r>
            <w:r w:rsidR="0088331D" w:rsidRPr="008A37C1">
              <w:t xml:space="preserve"> </w:t>
            </w:r>
          </w:p>
        </w:tc>
        <w:tc>
          <w:tcPr>
            <w:tcW w:w="1761" w:type="pct"/>
          </w:tcPr>
          <w:p w14:paraId="7511F8FA" w14:textId="29060BD1" w:rsidR="00A005D2" w:rsidRPr="00EB444A" w:rsidRDefault="72703881" w:rsidP="007E0AFE">
            <w:pPr>
              <w:pStyle w:val="TableText"/>
              <w:cnfStyle w:val="000000000000" w:firstRow="0" w:lastRow="0" w:firstColumn="0" w:lastColumn="0" w:oddVBand="0" w:evenVBand="0" w:oddHBand="0" w:evenHBand="0" w:firstRowFirstColumn="0" w:firstRowLastColumn="0" w:lastRowFirstColumn="0" w:lastRowLastColumn="0"/>
            </w:pPr>
            <w:r w:rsidRPr="00EB444A">
              <w:t>D</w:t>
            </w:r>
            <w:r w:rsidR="55275F09" w:rsidRPr="00EB444A">
              <w:t>SS</w:t>
            </w:r>
            <w:r w:rsidR="005B06C5" w:rsidRPr="00EB444A">
              <w:t>/</w:t>
            </w:r>
            <w:r w:rsidR="00A439D7" w:rsidRPr="00EB444A">
              <w:t>Home Affairs</w:t>
            </w:r>
          </w:p>
        </w:tc>
        <w:tc>
          <w:tcPr>
            <w:tcW w:w="734" w:type="pct"/>
          </w:tcPr>
          <w:p w14:paraId="4D899085" w14:textId="77777777" w:rsidR="00A005D2" w:rsidRPr="00EB444A" w:rsidRDefault="00A005D2" w:rsidP="007E0AFE">
            <w:pPr>
              <w:pStyle w:val="TableText"/>
              <w:cnfStyle w:val="000000000000" w:firstRow="0" w:lastRow="0" w:firstColumn="0" w:lastColumn="0" w:oddVBand="0" w:evenVBand="0" w:oddHBand="0" w:evenHBand="0" w:firstRowFirstColumn="0" w:firstRowLastColumn="0" w:lastRowFirstColumn="0" w:lastRowLastColumn="0"/>
            </w:pPr>
            <w:r w:rsidRPr="00EB444A">
              <w:t>Medium</w:t>
            </w:r>
          </w:p>
        </w:tc>
      </w:tr>
    </w:tbl>
    <w:p w14:paraId="5BD6BA01" w14:textId="68002704" w:rsidR="00893478" w:rsidRDefault="000A58AD" w:rsidP="007E0AFE">
      <w:pPr>
        <w:pStyle w:val="Heading2"/>
      </w:pPr>
      <w:bookmarkStart w:id="64" w:name="_Toc201908125"/>
      <w:r>
        <w:t xml:space="preserve">5. </w:t>
      </w:r>
      <w:r w:rsidR="0029458F">
        <w:t>ARP</w:t>
      </w:r>
      <w:r w:rsidR="00B64DD0">
        <w:t xml:space="preserve"> - </w:t>
      </w:r>
      <w:r w:rsidR="00893478">
        <w:t>Effectiveness (</w:t>
      </w:r>
      <w:r w:rsidR="00746F32">
        <w:t>o</w:t>
      </w:r>
      <w:r w:rsidR="00893478">
        <w:t>utcomes)</w:t>
      </w:r>
      <w:bookmarkEnd w:id="64"/>
    </w:p>
    <w:p w14:paraId="4508633B" w14:textId="41F4E45C" w:rsidR="00F400EC" w:rsidRDefault="00F400EC" w:rsidP="007E0AFE">
      <w:pPr>
        <w:pStyle w:val="Heading3"/>
      </w:pPr>
      <w:bookmarkStart w:id="65" w:name="_Toc198367947"/>
      <w:bookmarkStart w:id="66" w:name="_Toc201908126"/>
      <w:r>
        <w:t>KEQ</w:t>
      </w:r>
      <w:r w:rsidR="00724B4F">
        <w:t xml:space="preserve">5. To what extent is the </w:t>
      </w:r>
      <w:r w:rsidR="0029458F">
        <w:t>ARP</w:t>
      </w:r>
      <w:r w:rsidR="00724B4F">
        <w:t xml:space="preserve"> achieving outcomes for </w:t>
      </w:r>
      <w:r w:rsidR="00444FCF">
        <w:t xml:space="preserve">people with </w:t>
      </w:r>
      <w:r w:rsidR="00B819C0">
        <w:t>HTMS</w:t>
      </w:r>
      <w:r w:rsidR="00B819C0" w:rsidDel="00B819C0">
        <w:t xml:space="preserve"> </w:t>
      </w:r>
      <w:r w:rsidR="00444FCF">
        <w:t>experiences?</w:t>
      </w:r>
      <w:bookmarkEnd w:id="65"/>
      <w:bookmarkEnd w:id="66"/>
      <w:r w:rsidR="00444FCF">
        <w:t xml:space="preserve"> </w:t>
      </w:r>
    </w:p>
    <w:p w14:paraId="57D77E0C" w14:textId="08BFBF7E" w:rsidR="00724B4F" w:rsidRPr="00B3141F" w:rsidRDefault="00724B4F" w:rsidP="00B3141F">
      <w:pPr>
        <w:rPr>
          <w:rFonts w:asciiTheme="majorHAnsi" w:hAnsiTheme="majorHAnsi"/>
          <w:color w:val="425563"/>
          <w:sz w:val="28"/>
          <w:szCs w:val="28"/>
        </w:rPr>
      </w:pPr>
      <w:r w:rsidRPr="00B3141F">
        <w:rPr>
          <w:rFonts w:asciiTheme="majorHAnsi" w:hAnsiTheme="majorHAnsi"/>
          <w:color w:val="425563"/>
          <w:sz w:val="28"/>
          <w:szCs w:val="28"/>
        </w:rPr>
        <w:t>Sub-</w:t>
      </w:r>
      <w:r w:rsidR="774E5A17" w:rsidRPr="00B3141F">
        <w:rPr>
          <w:rFonts w:asciiTheme="majorHAnsi" w:hAnsiTheme="majorHAnsi"/>
          <w:color w:val="425563"/>
          <w:sz w:val="28"/>
          <w:szCs w:val="28"/>
        </w:rPr>
        <w:t>question</w:t>
      </w:r>
      <w:r w:rsidRPr="00B3141F">
        <w:rPr>
          <w:rFonts w:asciiTheme="majorHAnsi" w:hAnsiTheme="majorHAnsi"/>
          <w:color w:val="425563"/>
          <w:sz w:val="28"/>
          <w:szCs w:val="28"/>
        </w:rPr>
        <w:t>:</w:t>
      </w:r>
      <w:r w:rsidR="005B1028" w:rsidRPr="00B3141F">
        <w:rPr>
          <w:rFonts w:asciiTheme="majorHAnsi" w:hAnsiTheme="majorHAnsi"/>
          <w:color w:val="425563"/>
          <w:sz w:val="28"/>
          <w:szCs w:val="28"/>
        </w:rPr>
        <w:t xml:space="preserve"> </w:t>
      </w:r>
    </w:p>
    <w:p w14:paraId="010B68FB" w14:textId="470182D3" w:rsidR="00724B4F" w:rsidRDefault="00724B4F" w:rsidP="007E0AFE">
      <w:r w:rsidRPr="001701E6">
        <w:rPr>
          <w:rFonts w:asciiTheme="majorHAnsi" w:hAnsiTheme="majorHAnsi"/>
          <w:color w:val="425563" w:themeColor="text1"/>
        </w:rPr>
        <w:t>KEQ5a.</w:t>
      </w:r>
      <w:r w:rsidRPr="001701E6">
        <w:rPr>
          <w:color w:val="425563" w:themeColor="text1"/>
        </w:rPr>
        <w:t xml:space="preserve"> </w:t>
      </w:r>
      <w:r w:rsidRPr="002558C7">
        <w:t xml:space="preserve">Could the service delivery model be improved to deliver better outcomes for </w:t>
      </w:r>
      <w:r w:rsidR="006D5A5E">
        <w:t>people with HTMS experiences</w:t>
      </w:r>
      <w:r w:rsidRPr="002558C7">
        <w:t>?</w:t>
      </w:r>
    </w:p>
    <w:p w14:paraId="28DFEFD0" w14:textId="7BA7D4BA" w:rsidR="005B1028" w:rsidRPr="00C97AA0" w:rsidRDefault="005B1028" w:rsidP="007E0AFE">
      <w:pPr>
        <w:pStyle w:val="Heading3"/>
      </w:pPr>
      <w:bookmarkStart w:id="67" w:name="_Toc198367948"/>
      <w:bookmarkStart w:id="68" w:name="_Toc201908127"/>
      <w:r w:rsidRPr="00C97AA0">
        <w:t>Summary findings</w:t>
      </w:r>
      <w:bookmarkEnd w:id="67"/>
      <w:bookmarkEnd w:id="68"/>
    </w:p>
    <w:p w14:paraId="7F57C1D3" w14:textId="0808F8A9" w:rsidR="00131271" w:rsidRDefault="00CD78D6" w:rsidP="007E0AFE">
      <w:pPr>
        <w:pStyle w:val="Bullet1"/>
      </w:pPr>
      <w:r w:rsidRPr="00C97AA0">
        <w:t xml:space="preserve">The </w:t>
      </w:r>
      <w:r w:rsidR="00FB0C81" w:rsidRPr="00C97AA0">
        <w:t>ARP</w:t>
      </w:r>
      <w:r w:rsidRPr="00C97AA0">
        <w:t xml:space="preserve"> </w:t>
      </w:r>
      <w:r w:rsidR="00D47993" w:rsidRPr="00C97AA0">
        <w:t>has provided direct support</w:t>
      </w:r>
      <w:r w:rsidR="00491B15" w:rsidRPr="00D5064B">
        <w:t xml:space="preserve"> to people with HTMS experiences, as well as </w:t>
      </w:r>
      <w:r w:rsidR="00D47993" w:rsidRPr="00C97AA0">
        <w:t xml:space="preserve">access to the STPP and to other external services. </w:t>
      </w:r>
      <w:r w:rsidR="00EB444A">
        <w:t>At the time of writing the report, the ARP was the main referral pathway to the STPP</w:t>
      </w:r>
      <w:r w:rsidR="00131271">
        <w:t xml:space="preserve">. </w:t>
      </w:r>
      <w:r w:rsidR="00D47993" w:rsidRPr="00C97AA0">
        <w:t>Whilst the program shows promising signs with respect to extending the reach of the STPP</w:t>
      </w:r>
      <w:r w:rsidR="00E2734F" w:rsidRPr="00C97AA0">
        <w:t xml:space="preserve"> (fulfilling its design intent)</w:t>
      </w:r>
      <w:r w:rsidR="00D47993" w:rsidRPr="00C97AA0">
        <w:t xml:space="preserve">, </w:t>
      </w:r>
      <w:r w:rsidR="00491B15" w:rsidRPr="00D5064B">
        <w:t>because the evaluation occurred at an early stage of the pilot</w:t>
      </w:r>
      <w:r w:rsidR="00C97AA0" w:rsidRPr="00D5064B">
        <w:t xml:space="preserve"> this has pointed to the need to further develop the evidence for outcomes. </w:t>
      </w:r>
    </w:p>
    <w:p w14:paraId="78A45838" w14:textId="6E57DA54" w:rsidR="00FD1323" w:rsidRPr="00C97AA0" w:rsidRDefault="00514AFA" w:rsidP="007E0AFE">
      <w:pPr>
        <w:pStyle w:val="Bullet1"/>
      </w:pPr>
      <w:r>
        <w:t>The ARP lead and c</w:t>
      </w:r>
      <w:r w:rsidR="00131271">
        <w:t xml:space="preserve">onsortium partners report that the potential of the ARP is that it strengthens not only the </w:t>
      </w:r>
      <w:proofErr w:type="gramStart"/>
      <w:r w:rsidR="00131271">
        <w:t>STPP, but</w:t>
      </w:r>
      <w:proofErr w:type="gramEnd"/>
      <w:r w:rsidR="00131271">
        <w:t xml:space="preserve"> also supports earlier intervention (preventing vulnerable people </w:t>
      </w:r>
      <w:proofErr w:type="gramStart"/>
      <w:r w:rsidR="00131271">
        <w:t>entering into</w:t>
      </w:r>
      <w:proofErr w:type="gramEnd"/>
      <w:r w:rsidR="00131271">
        <w:t xml:space="preserve"> situations of HTMS) and providing an access point for more marginalised people, and a system access point for people not eligible for the STPP.</w:t>
      </w:r>
    </w:p>
    <w:p w14:paraId="09673046" w14:textId="3D332B60" w:rsidR="00E95A07" w:rsidRPr="00C97AA0" w:rsidRDefault="00C97AA0" w:rsidP="007E0AFE">
      <w:pPr>
        <w:pStyle w:val="Bullet1"/>
      </w:pPr>
      <w:r w:rsidRPr="00D5064B">
        <w:t>This evaluation has suggested that there are</w:t>
      </w:r>
      <w:r w:rsidR="00CE4D0D" w:rsidRPr="00C97AA0">
        <w:t xml:space="preserve"> </w:t>
      </w:r>
      <w:r w:rsidR="00D47993" w:rsidRPr="00C97AA0">
        <w:t xml:space="preserve">delivery and design elements that require </w:t>
      </w:r>
      <w:r w:rsidR="00CE4D0D" w:rsidRPr="00C97AA0">
        <w:t>further consideration</w:t>
      </w:r>
      <w:r w:rsidR="00D47993" w:rsidRPr="00C97AA0">
        <w:t>, including the need for participants to retell stories</w:t>
      </w:r>
      <w:r w:rsidR="000C4ACE" w:rsidRPr="00C97AA0">
        <w:t xml:space="preserve"> to the AFP</w:t>
      </w:r>
      <w:r w:rsidR="00D47993" w:rsidRPr="00C97AA0">
        <w:t xml:space="preserve">, and barriers to access posed by lack of access to visas and </w:t>
      </w:r>
      <w:r w:rsidR="170FEAC0" w:rsidRPr="00C97AA0">
        <w:t>A</w:t>
      </w:r>
      <w:r w:rsidR="013C5920" w:rsidRPr="00C97AA0">
        <w:t>FP</w:t>
      </w:r>
      <w:r w:rsidR="170FEAC0" w:rsidRPr="00C97AA0">
        <w:t xml:space="preserve"> processes</w:t>
      </w:r>
      <w:r w:rsidRPr="00D5064B">
        <w:t xml:space="preserve">, and </w:t>
      </w:r>
      <w:r w:rsidR="002512CD" w:rsidRPr="00C97AA0">
        <w:t>resourcing safe</w:t>
      </w:r>
      <w:r w:rsidR="00E95A07" w:rsidRPr="00C97AA0">
        <w:t xml:space="preserve"> exit from situations of </w:t>
      </w:r>
      <w:r w:rsidR="00583008" w:rsidRPr="00C97AA0">
        <w:t>exploitation.</w:t>
      </w:r>
      <w:r w:rsidR="00131271">
        <w:t xml:space="preserve"> These issues reflect the interaction between the ARP and broader service system, rather than issues internal to the ARP. </w:t>
      </w:r>
    </w:p>
    <w:p w14:paraId="759FF835" w14:textId="77777777" w:rsidR="00FF374E" w:rsidRDefault="00FB0C81" w:rsidP="007E0AFE">
      <w:pPr>
        <w:pStyle w:val="Heading3"/>
      </w:pPr>
      <w:bookmarkStart w:id="69" w:name="_Toc198367949"/>
      <w:bookmarkStart w:id="70" w:name="_Toc201908128"/>
      <w:r>
        <w:lastRenderedPageBreak/>
        <w:t>Findings</w:t>
      </w:r>
      <w:bookmarkEnd w:id="69"/>
      <w:bookmarkEnd w:id="70"/>
      <w:r w:rsidR="004D4AA8">
        <w:t xml:space="preserve"> </w:t>
      </w:r>
    </w:p>
    <w:p w14:paraId="1DCBA3BF" w14:textId="217285D2" w:rsidR="004D4AA8" w:rsidRDefault="000C4060" w:rsidP="007E0AFE">
      <w:pPr>
        <w:pStyle w:val="Heading4"/>
      </w:pPr>
      <w:r>
        <w:t>Outcome</w:t>
      </w:r>
      <w:r w:rsidR="004D4AA8">
        <w:t xml:space="preserve"> 5a</w:t>
      </w:r>
      <w:r>
        <w:t xml:space="preserve">: </w:t>
      </w:r>
      <w:r w:rsidR="00444FCF">
        <w:t xml:space="preserve">People with </w:t>
      </w:r>
      <w:r w:rsidR="00B819C0">
        <w:t>HTMS</w:t>
      </w:r>
      <w:r w:rsidR="00B819C0" w:rsidRPr="008A3B1D" w:rsidDel="00B819C0">
        <w:t xml:space="preserve"> </w:t>
      </w:r>
      <w:r w:rsidR="00444FCF">
        <w:t>experiences</w:t>
      </w:r>
      <w:r w:rsidRPr="00A230BA">
        <w:t xml:space="preserve"> are informed of and understand their rights and support options</w:t>
      </w:r>
      <w:r w:rsidR="008E1E09">
        <w:t xml:space="preserve"> during </w:t>
      </w:r>
      <w:r w:rsidR="0029458F">
        <w:t>ARP</w:t>
      </w:r>
      <w:r w:rsidR="008E1E09">
        <w:t xml:space="preserve"> referral </w:t>
      </w:r>
      <w:r w:rsidR="00A439D7">
        <w:t>processes</w:t>
      </w:r>
    </w:p>
    <w:p w14:paraId="638993D3" w14:textId="391393F6" w:rsidR="002558C7" w:rsidRPr="00B3141F" w:rsidRDefault="002558C7" w:rsidP="00B3141F">
      <w:pPr>
        <w:pStyle w:val="Heading5"/>
        <w:spacing w:before="40" w:after="0" w:line="240" w:lineRule="auto"/>
        <w:rPr>
          <w:i/>
          <w:iCs/>
          <w:sz w:val="20"/>
          <w:szCs w:val="20"/>
        </w:rPr>
      </w:pPr>
      <w:r w:rsidRPr="00B3141F">
        <w:rPr>
          <w:i/>
          <w:iCs/>
          <w:sz w:val="20"/>
          <w:szCs w:val="20"/>
        </w:rPr>
        <w:t>Indicator: Increase in participants who understand their rights and support options</w:t>
      </w:r>
    </w:p>
    <w:p w14:paraId="446C9560" w14:textId="323B765B"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46</w:t>
      </w:r>
      <w:r>
        <w:fldChar w:fldCharType="end"/>
      </w:r>
      <w:r>
        <w:t>.</w:t>
      </w:r>
      <w:r w:rsidR="00DD2811">
        <w:t xml:space="preserve"> Outcome 5</w:t>
      </w:r>
      <w:r w:rsidR="002557A7">
        <w:t>a outcomes identified, discussion of supporting evidence &amp;recommendations to strengthen</w:t>
      </w:r>
    </w:p>
    <w:tbl>
      <w:tblPr>
        <w:tblStyle w:val="TableGrid"/>
        <w:tblW w:w="0" w:type="auto"/>
        <w:tblLook w:val="04A0" w:firstRow="1" w:lastRow="0" w:firstColumn="1" w:lastColumn="0" w:noHBand="0" w:noVBand="1"/>
      </w:tblPr>
      <w:tblGrid>
        <w:gridCol w:w="2972"/>
        <w:gridCol w:w="7485"/>
      </w:tblGrid>
      <w:tr w:rsidR="00DE06B3" w14:paraId="362DEC76" w14:textId="77777777" w:rsidTr="00591BDD">
        <w:trPr>
          <w:cantSplit/>
          <w:tblHeader/>
        </w:trPr>
        <w:tc>
          <w:tcPr>
            <w:tcW w:w="2972" w:type="dxa"/>
            <w:shd w:val="clear" w:color="auto" w:fill="425563" w:themeFill="text1"/>
          </w:tcPr>
          <w:p w14:paraId="0E50CB45" w14:textId="44F13EED" w:rsidR="00DE06B3" w:rsidRPr="00CD26F6" w:rsidRDefault="00DE06B3" w:rsidP="00DE06B3">
            <w:pPr>
              <w:pStyle w:val="Tableheadwhite"/>
            </w:pPr>
            <w:r>
              <w:t>Area</w:t>
            </w:r>
          </w:p>
        </w:tc>
        <w:tc>
          <w:tcPr>
            <w:tcW w:w="7485" w:type="dxa"/>
            <w:shd w:val="clear" w:color="auto" w:fill="425563" w:themeFill="text1"/>
          </w:tcPr>
          <w:p w14:paraId="4C92C8CB" w14:textId="7607F0F9" w:rsidR="00DE06B3" w:rsidRDefault="00DE06B3" w:rsidP="00DE06B3">
            <w:pPr>
              <w:pStyle w:val="Tableheadwhite"/>
            </w:pPr>
            <w:r>
              <w:t>Detail</w:t>
            </w:r>
          </w:p>
        </w:tc>
      </w:tr>
      <w:tr w:rsidR="004D4AA8" w14:paraId="256F9ACB" w14:textId="77777777" w:rsidTr="00591BDD">
        <w:trPr>
          <w:cantSplit/>
        </w:trPr>
        <w:tc>
          <w:tcPr>
            <w:tcW w:w="2972" w:type="dxa"/>
            <w:shd w:val="clear" w:color="auto" w:fill="F6F9F7"/>
          </w:tcPr>
          <w:p w14:paraId="628B5697" w14:textId="77777777" w:rsidR="004D4AA8" w:rsidRDefault="004D4AA8" w:rsidP="007E0AFE">
            <w:pPr>
              <w:pStyle w:val="TableHeader"/>
            </w:pPr>
            <w:r w:rsidRPr="00CD26F6">
              <w:t>Outcomes identified in evaluation</w:t>
            </w:r>
          </w:p>
        </w:tc>
        <w:tc>
          <w:tcPr>
            <w:tcW w:w="7485" w:type="dxa"/>
          </w:tcPr>
          <w:p w14:paraId="1685C8A8" w14:textId="64D091AA" w:rsidR="004D4AA8" w:rsidRDefault="00A96F63" w:rsidP="007E0AFE">
            <w:pPr>
              <w:pStyle w:val="Tabledot2"/>
            </w:pPr>
            <w:r>
              <w:t xml:space="preserve">Qualitative evidence suggests </w:t>
            </w:r>
            <w:r w:rsidR="00D5064B">
              <w:t>participants can have mixed information at the time of referral</w:t>
            </w:r>
            <w:r>
              <w:t xml:space="preserve">. </w:t>
            </w:r>
          </w:p>
        </w:tc>
      </w:tr>
      <w:tr w:rsidR="004D4AA8" w14:paraId="62DC54DD" w14:textId="77777777" w:rsidTr="00591BDD">
        <w:trPr>
          <w:cantSplit/>
        </w:trPr>
        <w:tc>
          <w:tcPr>
            <w:tcW w:w="2972" w:type="dxa"/>
            <w:shd w:val="clear" w:color="auto" w:fill="F6F9F7"/>
          </w:tcPr>
          <w:p w14:paraId="45921558" w14:textId="77777777" w:rsidR="004D4AA8" w:rsidRDefault="004D4AA8" w:rsidP="007E0AFE">
            <w:pPr>
              <w:pStyle w:val="TableHeader"/>
            </w:pPr>
            <w:r w:rsidRPr="00CD26F6">
              <w:t>Discussion of supporting evidence</w:t>
            </w:r>
          </w:p>
        </w:tc>
        <w:tc>
          <w:tcPr>
            <w:tcW w:w="7485" w:type="dxa"/>
          </w:tcPr>
          <w:p w14:paraId="5AE96BD7" w14:textId="3C037B26" w:rsidR="00D5064B" w:rsidRDefault="00D5064B" w:rsidP="007E0AFE">
            <w:pPr>
              <w:pStyle w:val="Tabledot2"/>
            </w:pPr>
            <w:r>
              <w:t>Qualitative reports suggest that</w:t>
            </w:r>
            <w:r w:rsidR="00FC7844">
              <w:t xml:space="preserve"> </w:t>
            </w:r>
            <w:r w:rsidR="00FC7844" w:rsidRPr="00FA0838">
              <w:t>participant</w:t>
            </w:r>
            <w:r w:rsidR="00FC7844" w:rsidRPr="009C0F3A">
              <w:t xml:space="preserve"> understand</w:t>
            </w:r>
            <w:r w:rsidR="00FC7844">
              <w:t>ing of</w:t>
            </w:r>
            <w:r w:rsidR="00FC7844" w:rsidRPr="009C0F3A">
              <w:t xml:space="preserve"> the </w:t>
            </w:r>
            <w:r w:rsidR="00FC7844">
              <w:t xml:space="preserve">STPP when referred via the ARP can </w:t>
            </w:r>
            <w:r w:rsidR="00EB444A">
              <w:t>vary</w:t>
            </w:r>
            <w:r w:rsidR="00FC7844">
              <w:t xml:space="preserve"> depend</w:t>
            </w:r>
            <w:r w:rsidR="00EB444A">
              <w:t>ing</w:t>
            </w:r>
            <w:r w:rsidR="00FC7844">
              <w:t xml:space="preserve"> on </w:t>
            </w:r>
            <w:r w:rsidR="00EB444A">
              <w:t xml:space="preserve">factors such as </w:t>
            </w:r>
            <w:r w:rsidR="00FC7844" w:rsidRPr="009C0F3A">
              <w:t>level</w:t>
            </w:r>
            <w:r w:rsidR="00EB444A">
              <w:t>s</w:t>
            </w:r>
            <w:r w:rsidR="00FC7844" w:rsidRPr="009C0F3A">
              <w:t xml:space="preserve"> of distress</w:t>
            </w:r>
            <w:r w:rsidR="00FC7844">
              <w:t>, English language and</w:t>
            </w:r>
            <w:r w:rsidR="00FC7844" w:rsidRPr="009C0F3A">
              <w:t xml:space="preserve"> literacy</w:t>
            </w:r>
            <w:r w:rsidR="00FC7844">
              <w:t>, and hence, is mixed</w:t>
            </w:r>
            <w:r w:rsidR="00FC7844" w:rsidRPr="009C0F3A">
              <w:t>.</w:t>
            </w:r>
          </w:p>
          <w:p w14:paraId="5B9688AF" w14:textId="103FA2C8" w:rsidR="00EA44B9" w:rsidRPr="00FA0838" w:rsidRDefault="00EA44B9" w:rsidP="007E0AFE">
            <w:pPr>
              <w:pStyle w:val="Tabledot2"/>
            </w:pPr>
            <w:r w:rsidRPr="009C0F3A">
              <w:t>One consortium partner reported</w:t>
            </w:r>
            <w:r w:rsidR="00D5064B">
              <w:t xml:space="preserve"> a tension between participant need for certainty and information available on the STPP given the </w:t>
            </w:r>
            <w:proofErr w:type="gramStart"/>
            <w:r w:rsidR="00D5064B">
              <w:t>person centred</w:t>
            </w:r>
            <w:proofErr w:type="gramEnd"/>
            <w:r w:rsidR="00D5064B">
              <w:t xml:space="preserve"> nature of the latter</w:t>
            </w:r>
            <w:r w:rsidRPr="00FA0838">
              <w:t xml:space="preserve">. Because the support provided by the STPP is tailored to the individual’s needs, the consortium partner felt constrained in what concrete information </w:t>
            </w:r>
            <w:r w:rsidR="00FC7844">
              <w:t>c</w:t>
            </w:r>
            <w:r w:rsidR="00FC7844" w:rsidRPr="00FA0838">
              <w:t xml:space="preserve">ould </w:t>
            </w:r>
            <w:r w:rsidRPr="00FA0838">
              <w:t xml:space="preserve">be provided </w:t>
            </w:r>
            <w:r w:rsidR="00D5064B">
              <w:t>about</w:t>
            </w:r>
            <w:r w:rsidR="00D5064B" w:rsidRPr="00FA0838">
              <w:t xml:space="preserve"> </w:t>
            </w:r>
            <w:r w:rsidRPr="00FA0838">
              <w:t xml:space="preserve">the STPP. It was suggested that </w:t>
            </w:r>
            <w:r w:rsidR="00D5064B">
              <w:t xml:space="preserve">involvement of </w:t>
            </w:r>
            <w:r w:rsidRPr="00FA0838">
              <w:t xml:space="preserve">STPP caseworker would be best placed to provide this information. </w:t>
            </w:r>
          </w:p>
          <w:p w14:paraId="28FBEEF3" w14:textId="2DDE082E" w:rsidR="00F21E4D" w:rsidRDefault="00EA44B9" w:rsidP="007E0AFE">
            <w:pPr>
              <w:pStyle w:val="Tabledot2"/>
            </w:pPr>
            <w:r w:rsidRPr="009C0F3A">
              <w:t xml:space="preserve">STPP caseworkers reported that </w:t>
            </w:r>
            <w:r w:rsidR="00F21E4D">
              <w:t xml:space="preserve">in some instances </w:t>
            </w:r>
            <w:r w:rsidRPr="009C0F3A">
              <w:t xml:space="preserve">there </w:t>
            </w:r>
            <w:r w:rsidR="00F21E4D">
              <w:t>could</w:t>
            </w:r>
            <w:r w:rsidRPr="009C0F3A">
              <w:t xml:space="preserve"> be</w:t>
            </w:r>
            <w:r w:rsidR="00EB444A">
              <w:t xml:space="preserve"> lack of alignment in </w:t>
            </w:r>
            <w:r w:rsidRPr="009C0F3A">
              <w:t xml:space="preserve">expectations </w:t>
            </w:r>
            <w:r w:rsidRPr="00FA0838">
              <w:t>regarding the</w:t>
            </w:r>
            <w:r w:rsidR="00F21E4D">
              <w:t xml:space="preserve"> level of</w:t>
            </w:r>
            <w:r w:rsidRPr="00FA0838">
              <w:t xml:space="preserve"> support</w:t>
            </w:r>
            <w:r w:rsidR="00F21E4D">
              <w:t xml:space="preserve"> the</w:t>
            </w:r>
            <w:r w:rsidRPr="00FA0838">
              <w:t xml:space="preserve"> STPP can provide. For instance, </w:t>
            </w:r>
            <w:r w:rsidR="00F21E4D">
              <w:t>there was a report of som</w:t>
            </w:r>
            <w:r w:rsidRPr="00FA0838">
              <w:t xml:space="preserve">e ARP </w:t>
            </w:r>
            <w:r w:rsidR="00F21E4D">
              <w:t xml:space="preserve">referred </w:t>
            </w:r>
            <w:r w:rsidR="6FEAF66A" w:rsidRPr="00FA0838">
              <w:t>participa</w:t>
            </w:r>
            <w:r w:rsidRPr="00FA0838">
              <w:t xml:space="preserve">nts </w:t>
            </w:r>
            <w:r w:rsidR="00F21E4D">
              <w:t xml:space="preserve">expecting </w:t>
            </w:r>
            <w:r w:rsidRPr="00FA0838">
              <w:t>specific allowances</w:t>
            </w:r>
            <w:r w:rsidR="00F21E4D">
              <w:t xml:space="preserve"> that that </w:t>
            </w:r>
            <w:r w:rsidRPr="00FA0838">
              <w:t xml:space="preserve">may not </w:t>
            </w:r>
            <w:r w:rsidR="00F21E4D">
              <w:t xml:space="preserve">be on offer for all </w:t>
            </w:r>
            <w:r w:rsidRPr="00FA0838">
              <w:t>individuals.</w:t>
            </w:r>
            <w:r w:rsidR="00F21E4D">
              <w:t xml:space="preserve"> </w:t>
            </w:r>
            <w:r w:rsidR="00F21E4D" w:rsidRPr="009C0F3A">
              <w:t>The STPP service provider suggested that th</w:t>
            </w:r>
            <w:r w:rsidR="00EB444A">
              <w:t xml:space="preserve">ese </w:t>
            </w:r>
            <w:r w:rsidR="00F21E4D" w:rsidRPr="009C0F3A">
              <w:t xml:space="preserve">expectations may </w:t>
            </w:r>
            <w:r w:rsidR="00EB444A">
              <w:t xml:space="preserve">partly </w:t>
            </w:r>
            <w:r w:rsidR="00F21E4D" w:rsidRPr="009C0F3A">
              <w:t xml:space="preserve">be due to word-of-mouth information-sharing among </w:t>
            </w:r>
            <w:r w:rsidR="00F21E4D">
              <w:t>people with HTMS experiences</w:t>
            </w:r>
            <w:r w:rsidR="00F21E4D" w:rsidRPr="00FA0838">
              <w:t>.</w:t>
            </w:r>
            <w:r w:rsidR="00F21E4D" w:rsidRPr="009C0F3A">
              <w:t xml:space="preserve"> It may seem that all </w:t>
            </w:r>
            <w:r w:rsidR="00F21E4D" w:rsidRPr="00FA0838">
              <w:t>participants can access a certain amount of funding but, in practice, the allowances received by participants are only in response to an individual’s needs, which may be assessed as different to their peers.</w:t>
            </w:r>
          </w:p>
          <w:p w14:paraId="73E2E79D" w14:textId="030A080E" w:rsidR="004D4AA8" w:rsidRPr="009C0F3A" w:rsidRDefault="00EA44B9" w:rsidP="007E0AFE">
            <w:pPr>
              <w:pStyle w:val="Tabledot2"/>
            </w:pPr>
            <w:r w:rsidRPr="00FA0838">
              <w:t xml:space="preserve">We note broader concerns around the limits of transparency regarding available monetary allowances and the length of support offered for STPP </w:t>
            </w:r>
            <w:r w:rsidR="7F67EE5E" w:rsidRPr="00FA0838">
              <w:t>participa</w:t>
            </w:r>
            <w:r w:rsidR="36C0CDA2" w:rsidRPr="00FA0838">
              <w:t>nts</w:t>
            </w:r>
            <w:r w:rsidRPr="00FA0838">
              <w:t xml:space="preserve"> in general (beyond those coming from the ARP).</w:t>
            </w:r>
          </w:p>
        </w:tc>
      </w:tr>
      <w:tr w:rsidR="004D4AA8" w14:paraId="636DB932" w14:textId="77777777" w:rsidTr="00591BDD">
        <w:trPr>
          <w:cantSplit/>
        </w:trPr>
        <w:tc>
          <w:tcPr>
            <w:tcW w:w="2972" w:type="dxa"/>
            <w:shd w:val="clear" w:color="auto" w:fill="F6F9F7"/>
          </w:tcPr>
          <w:p w14:paraId="39B0929A" w14:textId="2004BC76" w:rsidR="004D4AA8" w:rsidRDefault="00D11EE2" w:rsidP="007E0AFE">
            <w:pPr>
              <w:pStyle w:val="TableHeader"/>
            </w:pPr>
            <w:r>
              <w:t>Recommendations</w:t>
            </w:r>
            <w:r w:rsidR="004D4AA8">
              <w:t xml:space="preserve"> to strengthen </w:t>
            </w:r>
          </w:p>
        </w:tc>
        <w:tc>
          <w:tcPr>
            <w:tcW w:w="7485" w:type="dxa"/>
          </w:tcPr>
          <w:p w14:paraId="06850254" w14:textId="0608A6E2" w:rsidR="002558C7" w:rsidRDefault="002558C7" w:rsidP="007E0AFE">
            <w:pPr>
              <w:pStyle w:val="TableHeader"/>
            </w:pPr>
            <w:r>
              <w:t xml:space="preserve">Program improvement </w:t>
            </w:r>
          </w:p>
          <w:p w14:paraId="45F50280" w14:textId="5A54186C" w:rsidR="004D4AA8" w:rsidRPr="009C0F3A" w:rsidRDefault="00B803EF" w:rsidP="007E0AFE">
            <w:pPr>
              <w:pStyle w:val="Tabledot2"/>
            </w:pPr>
            <w:r>
              <w:t xml:space="preserve">Strengthen provision of information by the ARP and </w:t>
            </w:r>
            <w:r w:rsidR="00F5509C" w:rsidRPr="00417101">
              <w:t>STPP provider</w:t>
            </w:r>
            <w:r>
              <w:t>s</w:t>
            </w:r>
            <w:r w:rsidR="00F5509C" w:rsidRPr="00417101">
              <w:t>.</w:t>
            </w:r>
            <w:r>
              <w:t xml:space="preserve"> This includes w</w:t>
            </w:r>
            <w:r w:rsidR="00F5509C" w:rsidRPr="00417101">
              <w:t>ritten</w:t>
            </w:r>
            <w:r w:rsidR="00F5509C" w:rsidRPr="009C0F3A">
              <w:t xml:space="preserve"> information about the ARP and STPP, including clear pathways, support options and eligibility criteria, designed for accessibility and clarity, </w:t>
            </w:r>
            <w:r>
              <w:t>and</w:t>
            </w:r>
            <w:r w:rsidR="00F5509C" w:rsidRPr="009C0F3A">
              <w:t xml:space="preserve"> help people make informed decisions.</w:t>
            </w:r>
            <w:r w:rsidR="00EB444A">
              <w:t xml:space="preserve"> Specific guidelines </w:t>
            </w:r>
            <w:proofErr w:type="gramStart"/>
            <w:r w:rsidR="00514AFA">
              <w:t>is</w:t>
            </w:r>
            <w:proofErr w:type="gramEnd"/>
            <w:r w:rsidR="00514AFA">
              <w:t xml:space="preserve"> required </w:t>
            </w:r>
            <w:r w:rsidR="00EB444A">
              <w:t xml:space="preserve">on what constitutes legal advice, and where this should be provided by a lawyer to ensure informed consent with respect to visa </w:t>
            </w:r>
            <w:r w:rsidR="00AB06DD">
              <w:t xml:space="preserve">and justice options. </w:t>
            </w:r>
            <w:r w:rsidR="00EB444A">
              <w:t xml:space="preserve"> </w:t>
            </w:r>
          </w:p>
        </w:tc>
      </w:tr>
    </w:tbl>
    <w:p w14:paraId="7FC6EDBC" w14:textId="15903BE6" w:rsidR="008B6E24" w:rsidRDefault="008B6E24" w:rsidP="007E0AFE">
      <w:pPr>
        <w:pStyle w:val="Heading4"/>
      </w:pPr>
      <w:r>
        <w:t xml:space="preserve">Outcome 5b: </w:t>
      </w:r>
      <w:r w:rsidR="0029458F">
        <w:t>ARP</w:t>
      </w:r>
      <w:r w:rsidR="002D178E">
        <w:t xml:space="preserve"> improves access to the </w:t>
      </w:r>
      <w:r w:rsidR="0029458F">
        <w:t>STPP</w:t>
      </w:r>
    </w:p>
    <w:p w14:paraId="1726DD80" w14:textId="05260C8C" w:rsidR="002558C7" w:rsidRPr="00B3141F" w:rsidRDefault="002558C7" w:rsidP="00B3141F">
      <w:pPr>
        <w:pStyle w:val="Heading5"/>
        <w:spacing w:before="40" w:after="0" w:line="240" w:lineRule="auto"/>
        <w:rPr>
          <w:i/>
          <w:iCs/>
          <w:sz w:val="20"/>
          <w:szCs w:val="20"/>
        </w:rPr>
      </w:pPr>
      <w:r w:rsidRPr="00B3141F">
        <w:rPr>
          <w:i/>
          <w:iCs/>
          <w:sz w:val="20"/>
          <w:szCs w:val="20"/>
        </w:rPr>
        <w:t>Indicator</w:t>
      </w:r>
      <w:r w:rsidR="0098076A" w:rsidRPr="00B3141F">
        <w:rPr>
          <w:i/>
          <w:iCs/>
          <w:sz w:val="20"/>
          <w:szCs w:val="20"/>
        </w:rPr>
        <w:t xml:space="preserve"> 1</w:t>
      </w:r>
      <w:r w:rsidRPr="00B3141F">
        <w:rPr>
          <w:i/>
          <w:iCs/>
          <w:sz w:val="20"/>
          <w:szCs w:val="20"/>
        </w:rPr>
        <w:t>: Increase in people with HTMS experiences accessing appropriate supports</w:t>
      </w:r>
    </w:p>
    <w:p w14:paraId="1201AEE4" w14:textId="6CB751AA"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47</w:t>
      </w:r>
      <w:r>
        <w:fldChar w:fldCharType="end"/>
      </w:r>
      <w:r>
        <w:t>.</w:t>
      </w:r>
      <w:r w:rsidR="00F01610">
        <w:t xml:space="preserve"> Outcome 5b, Indicator 1 outcomes identified, discussion of supporting evidence &amp;recommendations to strengthen</w:t>
      </w:r>
    </w:p>
    <w:tbl>
      <w:tblPr>
        <w:tblStyle w:val="TableGrid"/>
        <w:tblW w:w="0" w:type="auto"/>
        <w:tblLook w:val="04A0" w:firstRow="1" w:lastRow="0" w:firstColumn="1" w:lastColumn="0" w:noHBand="0" w:noVBand="1"/>
      </w:tblPr>
      <w:tblGrid>
        <w:gridCol w:w="2972"/>
        <w:gridCol w:w="7485"/>
      </w:tblGrid>
      <w:tr w:rsidR="00DE06B3" w14:paraId="14513C5B" w14:textId="77777777" w:rsidTr="00591BDD">
        <w:trPr>
          <w:cantSplit/>
          <w:tblHeader/>
        </w:trPr>
        <w:tc>
          <w:tcPr>
            <w:tcW w:w="2972" w:type="dxa"/>
            <w:shd w:val="clear" w:color="auto" w:fill="425563" w:themeFill="text1"/>
          </w:tcPr>
          <w:p w14:paraId="6FD95C7C" w14:textId="1DCA38A0" w:rsidR="00DE06B3" w:rsidRPr="00EB444A" w:rsidRDefault="00DE06B3" w:rsidP="00DE06B3">
            <w:pPr>
              <w:pStyle w:val="Tableheadwhite"/>
            </w:pPr>
            <w:r>
              <w:t>Area</w:t>
            </w:r>
          </w:p>
        </w:tc>
        <w:tc>
          <w:tcPr>
            <w:tcW w:w="7485" w:type="dxa"/>
            <w:shd w:val="clear" w:color="auto" w:fill="425563" w:themeFill="text1"/>
          </w:tcPr>
          <w:p w14:paraId="00BE01A1" w14:textId="71EB03F3" w:rsidR="00DE06B3" w:rsidRPr="00EB444A" w:rsidRDefault="00DE06B3" w:rsidP="00DE06B3">
            <w:pPr>
              <w:pStyle w:val="Tableheadwhite"/>
            </w:pPr>
            <w:r>
              <w:t>Detail</w:t>
            </w:r>
          </w:p>
        </w:tc>
      </w:tr>
      <w:tr w:rsidR="00400054" w14:paraId="6401EA49" w14:textId="77777777" w:rsidTr="00591BDD">
        <w:trPr>
          <w:cantSplit/>
        </w:trPr>
        <w:tc>
          <w:tcPr>
            <w:tcW w:w="2972" w:type="dxa"/>
            <w:shd w:val="clear" w:color="auto" w:fill="F6F9F7"/>
          </w:tcPr>
          <w:p w14:paraId="3E19D0F7" w14:textId="77777777" w:rsidR="00400054" w:rsidRPr="00EB444A" w:rsidRDefault="00400054" w:rsidP="007E0AFE">
            <w:pPr>
              <w:pStyle w:val="TableHeader"/>
            </w:pPr>
            <w:r w:rsidRPr="00EB444A">
              <w:t>Outcomes identified in evaluation</w:t>
            </w:r>
          </w:p>
        </w:tc>
        <w:tc>
          <w:tcPr>
            <w:tcW w:w="7485" w:type="dxa"/>
          </w:tcPr>
          <w:p w14:paraId="6620D57D" w14:textId="4CE8FDFB" w:rsidR="00400054" w:rsidRPr="00EB444A" w:rsidRDefault="0074630D" w:rsidP="007E0AFE">
            <w:pPr>
              <w:pStyle w:val="Tabledot2"/>
            </w:pPr>
            <w:r w:rsidRPr="00EB444A">
              <w:t xml:space="preserve">At the time of writing the report, the ARP was the main referral pathway to the STPP, suggesting that this has provided an </w:t>
            </w:r>
            <w:r w:rsidR="002F35B3" w:rsidRPr="00EB444A">
              <w:t xml:space="preserve">additional </w:t>
            </w:r>
            <w:r w:rsidRPr="00EB444A">
              <w:t xml:space="preserve">pathway to the program. </w:t>
            </w:r>
          </w:p>
          <w:p w14:paraId="7F726E64" w14:textId="65D7016D" w:rsidR="00400054" w:rsidRDefault="0074630D" w:rsidP="007E0AFE">
            <w:pPr>
              <w:pStyle w:val="Tabledot2"/>
            </w:pPr>
            <w:r w:rsidRPr="00EB444A">
              <w:t xml:space="preserve">STPP </w:t>
            </w:r>
            <w:r w:rsidR="2AFD79F8" w:rsidRPr="00EB444A">
              <w:t>caseworkers report</w:t>
            </w:r>
            <w:r w:rsidR="1A447F1A" w:rsidRPr="00EB444A">
              <w:t>ed</w:t>
            </w:r>
            <w:r w:rsidRPr="00EB444A">
              <w:t xml:space="preserve"> that participants who access the program via the ARP appear to have a quite different needs profile, indicating that </w:t>
            </w:r>
            <w:r w:rsidR="000F5299" w:rsidRPr="00EB444A">
              <w:t xml:space="preserve">the ARP may be engaging a different cohort </w:t>
            </w:r>
            <w:r w:rsidR="5212B2E7" w:rsidRPr="00EB444A">
              <w:t>from</w:t>
            </w:r>
            <w:r w:rsidR="000F5299" w:rsidRPr="00EB444A">
              <w:t xml:space="preserve"> the AFP</w:t>
            </w:r>
            <w:r w:rsidR="000F5299">
              <w:t xml:space="preserve">. </w:t>
            </w:r>
          </w:p>
        </w:tc>
      </w:tr>
      <w:tr w:rsidR="00400054" w14:paraId="19452BD8" w14:textId="77777777" w:rsidTr="00591BDD">
        <w:trPr>
          <w:cantSplit/>
        </w:trPr>
        <w:tc>
          <w:tcPr>
            <w:tcW w:w="2972" w:type="dxa"/>
            <w:shd w:val="clear" w:color="auto" w:fill="F6F9F7"/>
          </w:tcPr>
          <w:p w14:paraId="3885EB61" w14:textId="77777777" w:rsidR="00400054" w:rsidRPr="00EB444A" w:rsidRDefault="00400054" w:rsidP="007E0AFE">
            <w:pPr>
              <w:pStyle w:val="TableHeader"/>
            </w:pPr>
            <w:r w:rsidRPr="00EB444A">
              <w:lastRenderedPageBreak/>
              <w:t>Discussion of supporting evidence</w:t>
            </w:r>
          </w:p>
        </w:tc>
        <w:tc>
          <w:tcPr>
            <w:tcW w:w="7485" w:type="dxa"/>
          </w:tcPr>
          <w:p w14:paraId="5B54360E" w14:textId="18B29BE0" w:rsidR="00A9025A" w:rsidRPr="009D301D" w:rsidRDefault="00A9025A" w:rsidP="007E0AFE">
            <w:pPr>
              <w:pStyle w:val="Tabledot2"/>
            </w:pPr>
            <w:r w:rsidRPr="009D301D">
              <w:t>60 individuals accessed the STPP via the ARP between July 2024 and March 2025.</w:t>
            </w:r>
            <w:r w:rsidR="000F5299">
              <w:t xml:space="preserve"> </w:t>
            </w:r>
            <w:r w:rsidR="000F5299" w:rsidRPr="00194C7E">
              <w:t>Entry status reports show that between January and March 2025, the ARP overtook the AFP as the primary source of participant referrals into the STPP</w:t>
            </w:r>
            <w:r w:rsidR="000F5299" w:rsidRPr="006540E6">
              <w:t>, accounting for 65% of referrals during that period</w:t>
            </w:r>
            <w:r w:rsidR="7DB3F796">
              <w:t xml:space="preserve"> (</w:t>
            </w:r>
            <w:r w:rsidR="000F5299" w:rsidRPr="006540E6">
              <w:t>up from 38% between July and September 2024</w:t>
            </w:r>
            <w:r w:rsidR="527D6E05">
              <w:t>).</w:t>
            </w:r>
          </w:p>
          <w:p w14:paraId="43E36375" w14:textId="17BD1EEF" w:rsidR="00400054" w:rsidRPr="009D301D" w:rsidRDefault="00400054" w:rsidP="007E0AFE">
            <w:pPr>
              <w:pStyle w:val="Tabledot2"/>
            </w:pPr>
            <w:r w:rsidRPr="009D301D">
              <w:t xml:space="preserve">The prevailing view among stakeholders </w:t>
            </w:r>
            <w:r w:rsidR="0A716824" w:rsidRPr="009D301D">
              <w:t>wa</w:t>
            </w:r>
            <w:r w:rsidR="73DC8B28" w:rsidRPr="009D301D">
              <w:t>s</w:t>
            </w:r>
            <w:r w:rsidRPr="009D301D">
              <w:t xml:space="preserve"> that the ARP is successfully fulfilling its design intent to increase access to the STPP</w:t>
            </w:r>
            <w:r w:rsidR="000F5299">
              <w:t>, especially</w:t>
            </w:r>
            <w:r w:rsidRPr="009D301D">
              <w:t xml:space="preserve"> for individuals who may be fearful or distrustful of the </w:t>
            </w:r>
            <w:r w:rsidR="00EB444A">
              <w:t>AFP</w:t>
            </w:r>
            <w:r w:rsidRPr="009D301D">
              <w:t>.</w:t>
            </w:r>
          </w:p>
          <w:p w14:paraId="04A3C18F" w14:textId="03817BA1" w:rsidR="00400054" w:rsidRDefault="000F5299" w:rsidP="007E0AFE">
            <w:pPr>
              <w:pStyle w:val="Tabledot2"/>
            </w:pPr>
            <w:r>
              <w:t>Administrative data</w:t>
            </w:r>
            <w:r w:rsidR="005538D1">
              <w:t xml:space="preserve"> </w:t>
            </w:r>
            <w:r w:rsidR="00A94B24">
              <w:t xml:space="preserve">show that </w:t>
            </w:r>
            <w:r w:rsidR="006540E6" w:rsidRPr="006540E6">
              <w:t xml:space="preserve">ARP participants </w:t>
            </w:r>
            <w:r w:rsidR="006540E6">
              <w:t>are</w:t>
            </w:r>
            <w:r w:rsidR="006540E6" w:rsidRPr="006540E6">
              <w:t xml:space="preserve"> more likely to have diagnosed mental health issues (30.9% compared to 11.3% of AFP </w:t>
            </w:r>
            <w:r w:rsidR="00E747F2">
              <w:t>referrals</w:t>
            </w:r>
            <w:r w:rsidR="006540E6" w:rsidRPr="006540E6">
              <w:t xml:space="preserve">) and are more likely to experience unstable or unsuitable housing (51.7% compared to 37.7%). </w:t>
            </w:r>
          </w:p>
        </w:tc>
      </w:tr>
      <w:tr w:rsidR="00400054" w14:paraId="4B35E971" w14:textId="77777777" w:rsidTr="00591BDD">
        <w:trPr>
          <w:cantSplit/>
        </w:trPr>
        <w:tc>
          <w:tcPr>
            <w:tcW w:w="2972" w:type="dxa"/>
            <w:shd w:val="clear" w:color="auto" w:fill="F6F9F7"/>
          </w:tcPr>
          <w:p w14:paraId="0DAFCD59" w14:textId="70BEAC3E" w:rsidR="00400054" w:rsidRPr="00B803EF" w:rsidRDefault="00D966FF" w:rsidP="007E0AFE">
            <w:pPr>
              <w:pStyle w:val="TableHeader"/>
            </w:pPr>
            <w:r>
              <w:t>Recommendations</w:t>
            </w:r>
            <w:r w:rsidR="00400054" w:rsidRPr="00B803EF">
              <w:t xml:space="preserve"> to strengthen</w:t>
            </w:r>
            <w:r w:rsidR="00400054">
              <w:t xml:space="preserve"> </w:t>
            </w:r>
          </w:p>
        </w:tc>
        <w:tc>
          <w:tcPr>
            <w:tcW w:w="7485" w:type="dxa"/>
          </w:tcPr>
          <w:p w14:paraId="784B11DF" w14:textId="77777777" w:rsidR="00400054" w:rsidRDefault="000F5299" w:rsidP="007E0AFE">
            <w:pPr>
              <w:pStyle w:val="TableHeader"/>
            </w:pPr>
            <w:r>
              <w:t>Design improvement</w:t>
            </w:r>
          </w:p>
          <w:p w14:paraId="2C657493" w14:textId="53644D96" w:rsidR="00400054" w:rsidRDefault="00B803EF" w:rsidP="007E0AFE">
            <w:pPr>
              <w:pStyle w:val="Tabledot2"/>
            </w:pPr>
            <w:r>
              <w:t>Continue funding</w:t>
            </w:r>
            <w:r w:rsidR="000F5299">
              <w:t xml:space="preserve"> the ARP </w:t>
            </w:r>
            <w:r w:rsidR="0B92C8AE">
              <w:t>following</w:t>
            </w:r>
            <w:r w:rsidR="47DACCCB">
              <w:t xml:space="preserve"> the</w:t>
            </w:r>
            <w:r w:rsidR="000F5299">
              <w:t xml:space="preserve"> pilot, </w:t>
            </w:r>
            <w:r w:rsidR="005B1028" w:rsidRPr="00B803EF">
              <w:t>recognising</w:t>
            </w:r>
            <w:r w:rsidR="000F5299">
              <w:t xml:space="preserve"> that it is showing promising signs</w:t>
            </w:r>
            <w:r w:rsidR="573B7970">
              <w:t>.</w:t>
            </w:r>
          </w:p>
        </w:tc>
      </w:tr>
    </w:tbl>
    <w:p w14:paraId="7B122BD6" w14:textId="77777777" w:rsidR="00591BDD" w:rsidRDefault="00591BDD" w:rsidP="00591BDD"/>
    <w:p w14:paraId="1F7D8A6F" w14:textId="2C595B59" w:rsidR="00B44DCB" w:rsidRPr="00D25921" w:rsidRDefault="00765402" w:rsidP="00D25921">
      <w:pPr>
        <w:pStyle w:val="Heading5"/>
        <w:spacing w:before="40" w:after="0" w:line="240" w:lineRule="auto"/>
        <w:rPr>
          <w:i/>
          <w:iCs/>
          <w:sz w:val="20"/>
          <w:szCs w:val="20"/>
        </w:rPr>
      </w:pPr>
      <w:r w:rsidRPr="00D25921">
        <w:rPr>
          <w:i/>
          <w:iCs/>
          <w:sz w:val="20"/>
          <w:szCs w:val="20"/>
        </w:rPr>
        <w:t>Indicator</w:t>
      </w:r>
      <w:r w:rsidR="0098076A" w:rsidRPr="00D25921">
        <w:rPr>
          <w:i/>
          <w:iCs/>
          <w:sz w:val="20"/>
          <w:szCs w:val="20"/>
        </w:rPr>
        <w:t xml:space="preserve"> 2</w:t>
      </w:r>
      <w:r w:rsidRPr="00D25921">
        <w:rPr>
          <w:i/>
          <w:iCs/>
          <w:sz w:val="20"/>
          <w:szCs w:val="20"/>
        </w:rPr>
        <w:t xml:space="preserve">: </w:t>
      </w:r>
      <w:r w:rsidR="0088331D" w:rsidRPr="00D25921">
        <w:rPr>
          <w:i/>
          <w:iCs/>
          <w:sz w:val="20"/>
          <w:szCs w:val="20"/>
        </w:rPr>
        <w:t>People with</w:t>
      </w:r>
      <w:r w:rsidR="00B803EF" w:rsidRPr="00D25921">
        <w:rPr>
          <w:i/>
          <w:iCs/>
          <w:sz w:val="20"/>
          <w:szCs w:val="20"/>
        </w:rPr>
        <w:t xml:space="preserve"> HTMS experiences</w:t>
      </w:r>
      <w:r w:rsidR="008B6E24" w:rsidRPr="00D25921">
        <w:rPr>
          <w:i/>
          <w:iCs/>
          <w:sz w:val="20"/>
          <w:szCs w:val="20"/>
        </w:rPr>
        <w:t xml:space="preserve"> have access to a range of services and supports that meet their identified needs</w:t>
      </w:r>
    </w:p>
    <w:p w14:paraId="72D65F64" w14:textId="6E33B948"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48</w:t>
      </w:r>
      <w:r>
        <w:fldChar w:fldCharType="end"/>
      </w:r>
      <w:r>
        <w:t>.</w:t>
      </w:r>
      <w:r w:rsidR="00F01610">
        <w:t xml:space="preserve"> Outcome 5b, Indicator 2 outcomes identified, discussion of supporting evidence &amp;recommendations to strengthen</w:t>
      </w:r>
    </w:p>
    <w:tbl>
      <w:tblPr>
        <w:tblStyle w:val="TableGrid"/>
        <w:tblW w:w="0" w:type="auto"/>
        <w:tblLook w:val="04A0" w:firstRow="1" w:lastRow="0" w:firstColumn="1" w:lastColumn="0" w:noHBand="0" w:noVBand="1"/>
      </w:tblPr>
      <w:tblGrid>
        <w:gridCol w:w="2976"/>
        <w:gridCol w:w="7481"/>
      </w:tblGrid>
      <w:tr w:rsidR="00E041CF" w14:paraId="02577E95" w14:textId="77777777" w:rsidTr="00591BDD">
        <w:trPr>
          <w:cantSplit/>
          <w:tblHeader/>
        </w:trPr>
        <w:tc>
          <w:tcPr>
            <w:tcW w:w="2976" w:type="dxa"/>
            <w:shd w:val="clear" w:color="auto" w:fill="425563" w:themeFill="text1"/>
          </w:tcPr>
          <w:p w14:paraId="10A20366" w14:textId="303DBD7C" w:rsidR="00E041CF" w:rsidRPr="00CD26F6" w:rsidRDefault="00DE06B3" w:rsidP="00DE06B3">
            <w:pPr>
              <w:pStyle w:val="Tableheadwhite"/>
            </w:pPr>
            <w:r>
              <w:t>Area</w:t>
            </w:r>
          </w:p>
        </w:tc>
        <w:tc>
          <w:tcPr>
            <w:tcW w:w="7481" w:type="dxa"/>
            <w:shd w:val="clear" w:color="auto" w:fill="425563" w:themeFill="text1"/>
          </w:tcPr>
          <w:p w14:paraId="326907A8" w14:textId="25D0F30A" w:rsidR="00E041CF" w:rsidRDefault="00DE06B3" w:rsidP="00DE06B3">
            <w:pPr>
              <w:pStyle w:val="Tableheadwhite"/>
            </w:pPr>
            <w:r>
              <w:t>Detail</w:t>
            </w:r>
          </w:p>
        </w:tc>
      </w:tr>
      <w:tr w:rsidR="00765402" w14:paraId="6C954754" w14:textId="77777777" w:rsidTr="00591BDD">
        <w:trPr>
          <w:cantSplit/>
        </w:trPr>
        <w:tc>
          <w:tcPr>
            <w:tcW w:w="2976" w:type="dxa"/>
            <w:shd w:val="clear" w:color="auto" w:fill="F6F9F7"/>
          </w:tcPr>
          <w:p w14:paraId="04B41488" w14:textId="77777777" w:rsidR="00765402" w:rsidRDefault="00765402" w:rsidP="007E0AFE">
            <w:pPr>
              <w:pStyle w:val="TableHeader"/>
            </w:pPr>
            <w:r w:rsidRPr="00CD26F6">
              <w:t>Outcomes identified in evaluation</w:t>
            </w:r>
          </w:p>
        </w:tc>
        <w:tc>
          <w:tcPr>
            <w:tcW w:w="7481" w:type="dxa"/>
          </w:tcPr>
          <w:p w14:paraId="0B84469A" w14:textId="5736F0A1" w:rsidR="00765402" w:rsidRDefault="00326048" w:rsidP="007E0AFE">
            <w:pPr>
              <w:pStyle w:val="Tabledot2"/>
            </w:pPr>
            <w:r>
              <w:t xml:space="preserve">The ARP is showing initial promising signs with respect to supporting access to a range of services and supports. </w:t>
            </w:r>
          </w:p>
        </w:tc>
      </w:tr>
      <w:tr w:rsidR="00765402" w14:paraId="59DC9AF6" w14:textId="77777777" w:rsidTr="00591BDD">
        <w:trPr>
          <w:cantSplit/>
        </w:trPr>
        <w:tc>
          <w:tcPr>
            <w:tcW w:w="2976" w:type="dxa"/>
            <w:shd w:val="clear" w:color="auto" w:fill="F6F9F7"/>
          </w:tcPr>
          <w:p w14:paraId="35DE4300" w14:textId="77777777" w:rsidR="00765402" w:rsidRDefault="00765402" w:rsidP="007E0AFE">
            <w:pPr>
              <w:pStyle w:val="TableHeader"/>
            </w:pPr>
            <w:r w:rsidRPr="00CD26F6">
              <w:lastRenderedPageBreak/>
              <w:t>Discussion of supporting evidence</w:t>
            </w:r>
          </w:p>
        </w:tc>
        <w:tc>
          <w:tcPr>
            <w:tcW w:w="7481" w:type="dxa"/>
          </w:tcPr>
          <w:p w14:paraId="2046E4B5" w14:textId="5F691D32" w:rsidR="00B803EF" w:rsidRDefault="00B803EF" w:rsidP="007E0AFE">
            <w:pPr>
              <w:pStyle w:val="Tabledot2"/>
            </w:pPr>
            <w:r>
              <w:t xml:space="preserve">Needs are being met in three ways via the ARP: referrals to </w:t>
            </w:r>
            <w:r w:rsidR="00D75EDB">
              <w:t>external</w:t>
            </w:r>
            <w:r>
              <w:t xml:space="preserve"> services, through the ARP </w:t>
            </w:r>
            <w:r w:rsidR="099781D6">
              <w:t>two-</w:t>
            </w:r>
            <w:r>
              <w:t xml:space="preserve">week service delivery window, and through referral to the </w:t>
            </w:r>
            <w:r w:rsidR="004D5145">
              <w:t>STPP</w:t>
            </w:r>
            <w:r>
              <w:t xml:space="preserve">. </w:t>
            </w:r>
          </w:p>
          <w:p w14:paraId="3BF0F796" w14:textId="4E608F57" w:rsidR="00B021FC" w:rsidRDefault="008D2C76" w:rsidP="007E0AFE">
            <w:pPr>
              <w:pStyle w:val="Tabledot2"/>
            </w:pPr>
            <w:r>
              <w:t>A range of supports are be</w:t>
            </w:r>
            <w:r w:rsidR="003E5F73">
              <w:t xml:space="preserve">ing directly delivered by the </w:t>
            </w:r>
            <w:r w:rsidR="000D5404" w:rsidRPr="00B803EF">
              <w:t>ARP</w:t>
            </w:r>
            <w:r w:rsidR="003E5F73">
              <w:t>. This includes</w:t>
            </w:r>
            <w:r w:rsidR="00B021FC">
              <w:t xml:space="preserve"> welfare support, risk assessment and safety planning, assistance </w:t>
            </w:r>
            <w:r w:rsidR="00B021FC" w:rsidRPr="001D18E8">
              <w:t>leaving situations of exploitation</w:t>
            </w:r>
            <w:r w:rsidR="00B021FC">
              <w:t>, referral and information</w:t>
            </w:r>
            <w:r w:rsidR="53D6B2B6">
              <w:t>-</w:t>
            </w:r>
            <w:r w:rsidR="00B021FC">
              <w:t xml:space="preserve">sharing, facilitating access </w:t>
            </w:r>
            <w:r w:rsidR="003E5F73">
              <w:t>to</w:t>
            </w:r>
            <w:r w:rsidR="00B021FC">
              <w:t xml:space="preserve"> accommodation</w:t>
            </w:r>
            <w:r w:rsidR="4FA78299">
              <w:t>, and</w:t>
            </w:r>
            <w:r w:rsidR="00B021FC">
              <w:t xml:space="preserve"> to </w:t>
            </w:r>
            <w:r w:rsidR="00B021FC" w:rsidRPr="006C2BBF">
              <w:t>legal services for migration and vi</w:t>
            </w:r>
            <w:r w:rsidR="00C1204F" w:rsidRPr="006C2BBF">
              <w:t>s</w:t>
            </w:r>
            <w:r w:rsidR="00B021FC" w:rsidRPr="006C2BBF">
              <w:t>a issues</w:t>
            </w:r>
            <w:r w:rsidR="00B021FC">
              <w:t xml:space="preserve">. </w:t>
            </w:r>
            <w:r w:rsidR="00DC0C01" w:rsidRPr="00B803EF">
              <w:t xml:space="preserve">ARP </w:t>
            </w:r>
            <w:proofErr w:type="gramStart"/>
            <w:r w:rsidR="00514AFA">
              <w:t>lead</w:t>
            </w:r>
            <w:proofErr w:type="gramEnd"/>
            <w:r w:rsidR="00514AFA">
              <w:t xml:space="preserve"> and </w:t>
            </w:r>
            <w:r w:rsidR="00DC0C01" w:rsidRPr="00B803EF">
              <w:t>consortium partners reported that being able to leverage the ARP provider’s national network of support services has been beneficial in facilitating timely referral to short-term crisis accommodation services.</w:t>
            </w:r>
            <w:r w:rsidR="003E5F73">
              <w:t xml:space="preserve"> </w:t>
            </w:r>
          </w:p>
          <w:p w14:paraId="70EFB9B0" w14:textId="61EDD5FF" w:rsidR="000D5404" w:rsidRPr="000D26D8" w:rsidRDefault="003E5F73" w:rsidP="007E0AFE">
            <w:pPr>
              <w:pStyle w:val="Tabledot2"/>
            </w:pPr>
            <w:r>
              <w:t>The ARP provider believes that warm referrals to those</w:t>
            </w:r>
            <w:r w:rsidR="000D26D8">
              <w:t xml:space="preserve"> external services and the STPP are being made in a more timely and appropriate manner than if contact were being made through the A</w:t>
            </w:r>
            <w:r w:rsidR="69270788">
              <w:t>FP</w:t>
            </w:r>
            <w:r w:rsidR="000D5404" w:rsidRPr="000D26D8">
              <w:t xml:space="preserve"> National Operations State Service Centre</w:t>
            </w:r>
            <w:r w:rsidR="00BD5DA5">
              <w:t xml:space="preserve"> (</w:t>
            </w:r>
            <w:r w:rsidR="00783DD4">
              <w:t>NOSSC)</w:t>
            </w:r>
            <w:r w:rsidR="000D5404" w:rsidRPr="000D26D8">
              <w:t>.</w:t>
            </w:r>
            <w:r w:rsidR="00DC0C01">
              <w:t xml:space="preserve"> However, once enrolled in the STPP, there are reportedly still difficulties in contacting the </w:t>
            </w:r>
            <w:r w:rsidR="00783DD4">
              <w:t xml:space="preserve">appropriate </w:t>
            </w:r>
            <w:r w:rsidR="00DC0C01">
              <w:t>A</w:t>
            </w:r>
            <w:r w:rsidR="49AE8078">
              <w:t>FP</w:t>
            </w:r>
            <w:r w:rsidR="00DC0C01">
              <w:t xml:space="preserve"> </w:t>
            </w:r>
            <w:r w:rsidR="00783DD4">
              <w:t xml:space="preserve">staff </w:t>
            </w:r>
            <w:r w:rsidR="00DC0C01">
              <w:t xml:space="preserve">through </w:t>
            </w:r>
            <w:r w:rsidR="00783DD4">
              <w:t>NOSSC</w:t>
            </w:r>
            <w:r w:rsidR="00DC0C01">
              <w:t xml:space="preserve">, for the purposes of establishing eligibility for the STPP Justice Support Stream. </w:t>
            </w:r>
          </w:p>
          <w:p w14:paraId="729AADEA" w14:textId="58FB90CE" w:rsidR="00A9025A" w:rsidRDefault="00A87613" w:rsidP="007E0AFE">
            <w:pPr>
              <w:pStyle w:val="Tabledot2"/>
            </w:pPr>
            <w:r w:rsidRPr="00B803EF">
              <w:t xml:space="preserve">There were some reports of inconsistent access and handover processes between the ARP and STPP, leading to delays and uncertainty for potential </w:t>
            </w:r>
            <w:r w:rsidR="347FF2BC">
              <w:t>participants</w:t>
            </w:r>
            <w:r w:rsidR="00326048">
              <w:t>.</w:t>
            </w:r>
            <w:r>
              <w:t xml:space="preserve"> </w:t>
            </w:r>
            <w:r w:rsidR="00A9025A" w:rsidRPr="00DF02BF">
              <w:t xml:space="preserve">The STPP service provider, caseworkers and team leaders </w:t>
            </w:r>
            <w:r w:rsidR="00A9025A" w:rsidRPr="00326048">
              <w:t>report</w:t>
            </w:r>
            <w:r w:rsidR="1BD951D4" w:rsidRPr="00326048">
              <w:t>ed</w:t>
            </w:r>
            <w:r w:rsidR="00A9025A" w:rsidRPr="00DF02BF">
              <w:t xml:space="preserve"> that the ARP cohort presents with higher complexity, including mental health, </w:t>
            </w:r>
            <w:r w:rsidR="312535D2" w:rsidRPr="00326048">
              <w:t>alcohol and drug</w:t>
            </w:r>
            <w:r w:rsidR="00A9025A" w:rsidRPr="00DF02BF">
              <w:t xml:space="preserve"> issues, family and domestic violence, co-occurring disabilities</w:t>
            </w:r>
            <w:r w:rsidR="00FF0D15" w:rsidRPr="00326048">
              <w:t xml:space="preserve">. STPP caseworkers </w:t>
            </w:r>
            <w:r w:rsidR="00FF0D15">
              <w:t>report</w:t>
            </w:r>
            <w:r w:rsidR="185AB301">
              <w:t>ed</w:t>
            </w:r>
            <w:r w:rsidR="00FF0D15" w:rsidRPr="00326048">
              <w:t xml:space="preserve"> that</w:t>
            </w:r>
            <w:r w:rsidR="002041DE">
              <w:t xml:space="preserve"> meeting these needs within 90 days (for those who do not want to proceed with criminal justice system involvement) can be challenging. </w:t>
            </w:r>
          </w:p>
          <w:p w14:paraId="7A438790" w14:textId="5E622DA4" w:rsidR="008A37C1" w:rsidRDefault="00976FE2" w:rsidP="007E0AFE">
            <w:pPr>
              <w:pStyle w:val="Tabledot2"/>
            </w:pPr>
            <w:r w:rsidRPr="00976FE2">
              <w:t xml:space="preserve">Concern has been identified regarding the current process for STPP participants initially referred via the ARP who then wish to engage with the AFP.  For these individuals, the process of reporting </w:t>
            </w:r>
            <w:r w:rsidR="00D02B7A">
              <w:t xml:space="preserve">to </w:t>
            </w:r>
            <w:r w:rsidRPr="00976FE2">
              <w:t>the AFP is the same as it is for members of the public (filling out an online form then being contacted by the AFP).</w:t>
            </w:r>
            <w:r w:rsidR="008A37C1">
              <w:t xml:space="preserve"> </w:t>
            </w:r>
            <w:r w:rsidRPr="00976FE2">
              <w:t>In these cases, individuals are required to tell their story initially to the ARP (</w:t>
            </w:r>
            <w:proofErr w:type="gramStart"/>
            <w:r w:rsidRPr="00976FE2">
              <w:t>in order to</w:t>
            </w:r>
            <w:proofErr w:type="gramEnd"/>
            <w:r w:rsidRPr="00976FE2">
              <w:t xml:space="preserve"> determine STPP eligibility), then when filling out the online AFP report, and then when AFP contacts them for further information. For those referred to the STPP via the AFP the assessment of eligibility for STPP and for investigative purposes is done between the individual and one agency (AFP). </w:t>
            </w:r>
            <w:r w:rsidR="008A37C1" w:rsidRPr="00B803EF">
              <w:t xml:space="preserve">For </w:t>
            </w:r>
            <w:r w:rsidR="008A37C1">
              <w:t>participants</w:t>
            </w:r>
            <w:r w:rsidR="008A37C1" w:rsidRPr="00B803EF">
              <w:t xml:space="preserve"> who do </w:t>
            </w:r>
            <w:r w:rsidR="008A37C1">
              <w:t>want</w:t>
            </w:r>
            <w:r w:rsidR="008A37C1" w:rsidRPr="00B803EF">
              <w:t xml:space="preserve"> criminal justice system involvement, there are issues </w:t>
            </w:r>
            <w:r w:rsidR="008A37C1">
              <w:t>around</w:t>
            </w:r>
            <w:r w:rsidR="008A37C1" w:rsidRPr="00B803EF">
              <w:t xml:space="preserve"> having to repeat one’s story. This</w:t>
            </w:r>
            <w:r w:rsidR="008A37C1">
              <w:t xml:space="preserve"> can </w:t>
            </w:r>
            <w:r w:rsidR="008A37C1" w:rsidRPr="00B803EF">
              <w:t>re</w:t>
            </w:r>
            <w:r w:rsidR="008A37C1">
              <w:t>-</w:t>
            </w:r>
            <w:r w:rsidR="008A37C1" w:rsidRPr="00B803EF">
              <w:t>traumatis</w:t>
            </w:r>
            <w:r w:rsidR="008A37C1">
              <w:t>e a</w:t>
            </w:r>
            <w:r w:rsidR="008A37C1" w:rsidRPr="00B803EF">
              <w:t xml:space="preserve">nd </w:t>
            </w:r>
            <w:r w:rsidR="008A37C1">
              <w:t xml:space="preserve">can reportedly be </w:t>
            </w:r>
            <w:r w:rsidR="008A37C1" w:rsidRPr="00B803EF">
              <w:t xml:space="preserve">a barrier to achieving justice outcomes. </w:t>
            </w:r>
            <w:r w:rsidR="008A37C1">
              <w:t xml:space="preserve"> </w:t>
            </w:r>
          </w:p>
          <w:p w14:paraId="2BB85689" w14:textId="023BAEEA" w:rsidR="00A9025A" w:rsidRDefault="00976FE2" w:rsidP="007E0AFE">
            <w:pPr>
              <w:pStyle w:val="Tabledot2"/>
            </w:pPr>
            <w:r w:rsidRPr="00976FE2">
              <w:t xml:space="preserve">The STPP generally requires individuals not initially referred by the AFP to obtain legal advice before engaging with the AFP because engagement with the AFP could reveal unmet legal </w:t>
            </w:r>
            <w:r w:rsidR="00687760">
              <w:t>issues</w:t>
            </w:r>
            <w:r w:rsidR="00687760" w:rsidRPr="00976FE2">
              <w:t xml:space="preserve"> </w:t>
            </w:r>
            <w:r w:rsidRPr="00976FE2">
              <w:t>or other information detrimental to the individual.</w:t>
            </w:r>
            <w:r w:rsidR="008A37C1">
              <w:t xml:space="preserve"> Interviewees suggested that early engagement with specialist legal advice </w:t>
            </w:r>
            <w:r w:rsidR="008A37C1" w:rsidRPr="008A37C1">
              <w:t>provided</w:t>
            </w:r>
            <w:r w:rsidR="008A37C1">
              <w:t xml:space="preserve"> through the ASA </w:t>
            </w:r>
            <w:r w:rsidR="00514AFA">
              <w:t>can promote</w:t>
            </w:r>
            <w:r w:rsidR="008A37C1">
              <w:t xml:space="preserve"> effective access. </w:t>
            </w:r>
          </w:p>
        </w:tc>
      </w:tr>
      <w:tr w:rsidR="00765402" w14:paraId="245F251C" w14:textId="77777777" w:rsidTr="00591BDD">
        <w:trPr>
          <w:cantSplit/>
        </w:trPr>
        <w:tc>
          <w:tcPr>
            <w:tcW w:w="2976" w:type="dxa"/>
            <w:shd w:val="clear" w:color="auto" w:fill="F6F9F7"/>
          </w:tcPr>
          <w:p w14:paraId="7F31BD5C" w14:textId="3E1B51FE" w:rsidR="00765402" w:rsidRDefault="00D966FF" w:rsidP="007E0AFE">
            <w:pPr>
              <w:pStyle w:val="TableHeader"/>
            </w:pPr>
            <w:r>
              <w:t>Recommendations</w:t>
            </w:r>
            <w:r w:rsidR="00765402">
              <w:t xml:space="preserve"> to strengthen </w:t>
            </w:r>
          </w:p>
        </w:tc>
        <w:tc>
          <w:tcPr>
            <w:tcW w:w="7481" w:type="dxa"/>
          </w:tcPr>
          <w:p w14:paraId="1995AF7C" w14:textId="7451C87C" w:rsidR="00326048" w:rsidRDefault="00326048" w:rsidP="007E0AFE">
            <w:pPr>
              <w:pStyle w:val="TableHeader"/>
            </w:pPr>
            <w:r>
              <w:t>Program improvement</w:t>
            </w:r>
          </w:p>
          <w:p w14:paraId="43951D70" w14:textId="3A9690F9" w:rsidR="00326048" w:rsidRDefault="005553C1" w:rsidP="007E0AFE">
            <w:pPr>
              <w:pStyle w:val="Tabledot2"/>
            </w:pPr>
            <w:r>
              <w:t xml:space="preserve">Address </w:t>
            </w:r>
            <w:r w:rsidR="008A37C1">
              <w:t>earlier</w:t>
            </w:r>
            <w:r>
              <w:t xml:space="preserve"> access to legal advice</w:t>
            </w:r>
            <w:r w:rsidR="008A37C1">
              <w:t>.</w:t>
            </w:r>
          </w:p>
          <w:p w14:paraId="2BB048E8" w14:textId="63F6961D" w:rsidR="00326048" w:rsidRDefault="00326048" w:rsidP="007E0AFE">
            <w:pPr>
              <w:pStyle w:val="TableHeader"/>
            </w:pPr>
            <w:r>
              <w:t xml:space="preserve">Design improvement  </w:t>
            </w:r>
          </w:p>
          <w:p w14:paraId="01AD95BE" w14:textId="700FB2FE" w:rsidR="00765402" w:rsidRDefault="005553C1" w:rsidP="007E0AFE">
            <w:pPr>
              <w:pStyle w:val="Tabledot2"/>
            </w:pPr>
            <w:r>
              <w:t xml:space="preserve">Reflect provider strengths in future iterations of the ARP, including </w:t>
            </w:r>
            <w:r w:rsidR="0021006F">
              <w:t xml:space="preserve">by </w:t>
            </w:r>
            <w:r>
              <w:t>increasing referral capacity in frontline partners</w:t>
            </w:r>
            <w:r w:rsidR="006D3CBE">
              <w:t xml:space="preserve"> through outreach</w:t>
            </w:r>
            <w:r w:rsidR="69D60EC1">
              <w:t>.</w:t>
            </w:r>
          </w:p>
          <w:p w14:paraId="115C7E1F" w14:textId="51F89731" w:rsidR="00765402" w:rsidRDefault="00895DE8" w:rsidP="007E0AFE">
            <w:pPr>
              <w:pStyle w:val="Tabledot2"/>
            </w:pPr>
            <w:r>
              <w:t xml:space="preserve">Scope </w:t>
            </w:r>
            <w:r w:rsidR="00B218A2">
              <w:t>potential improvements to communication</w:t>
            </w:r>
            <w:r w:rsidR="00B40305">
              <w:t xml:space="preserve"> and information sharing</w:t>
            </w:r>
            <w:r w:rsidR="00B218A2">
              <w:t xml:space="preserve"> protocols between the ARP provider and</w:t>
            </w:r>
            <w:r w:rsidR="008946B3">
              <w:t xml:space="preserve"> the</w:t>
            </w:r>
            <w:r w:rsidR="005553C1">
              <w:t xml:space="preserve"> </w:t>
            </w:r>
            <w:r w:rsidR="08AA8022">
              <w:t>AFP</w:t>
            </w:r>
            <w:r w:rsidR="549D8716">
              <w:t>.</w:t>
            </w:r>
            <w:r w:rsidR="005553C1">
              <w:t xml:space="preserve"> </w:t>
            </w:r>
          </w:p>
        </w:tc>
      </w:tr>
    </w:tbl>
    <w:p w14:paraId="467B1B58" w14:textId="013A9C2F" w:rsidR="00326048" w:rsidRDefault="0029458F" w:rsidP="007E0AFE">
      <w:pPr>
        <w:pStyle w:val="Heading3"/>
      </w:pPr>
      <w:bookmarkStart w:id="71" w:name="_Toc198367950"/>
      <w:bookmarkStart w:id="72" w:name="_Toc201908129"/>
      <w:r>
        <w:lastRenderedPageBreak/>
        <w:t>ARP</w:t>
      </w:r>
      <w:r w:rsidR="00326048">
        <w:t xml:space="preserve"> Effectiveness </w:t>
      </w:r>
      <w:r w:rsidR="00326048" w:rsidRPr="00400054">
        <w:t xml:space="preserve">– </w:t>
      </w:r>
      <w:r w:rsidR="00D966FF">
        <w:t>recommendations</w:t>
      </w:r>
      <w:r w:rsidR="00326048" w:rsidRPr="00400054">
        <w:t xml:space="preserve"> for strengthening</w:t>
      </w:r>
      <w:bookmarkEnd w:id="71"/>
      <w:bookmarkEnd w:id="72"/>
      <w:r w:rsidR="00326048" w:rsidRPr="00400054">
        <w:t xml:space="preserve"> </w:t>
      </w:r>
    </w:p>
    <w:p w14:paraId="7BD4EBB0" w14:textId="77777777" w:rsidR="00326048" w:rsidRPr="00BC3B5A" w:rsidRDefault="00326048" w:rsidP="007E0AFE">
      <w:pPr>
        <w:pStyle w:val="Heading4"/>
      </w:pPr>
      <w:r>
        <w:t xml:space="preserve">Program improvement </w:t>
      </w:r>
    </w:p>
    <w:p w14:paraId="64443CE0" w14:textId="42AB2E34"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49</w:t>
      </w:r>
      <w:r>
        <w:fldChar w:fldCharType="end"/>
      </w:r>
      <w:r>
        <w:t>.</w:t>
      </w:r>
      <w:r w:rsidR="00DE06B3" w:rsidRPr="00DE06B3">
        <w:t xml:space="preserve"> </w:t>
      </w:r>
      <w:r w:rsidR="00DE06B3">
        <w:t>Opportunity:</w:t>
      </w:r>
      <w:r w:rsidR="00DE06B3" w:rsidRPr="00DE06B3">
        <w:t xml:space="preserve"> Supporting equitable access</w:t>
      </w:r>
    </w:p>
    <w:tbl>
      <w:tblPr>
        <w:tblStyle w:val="WTTable2"/>
        <w:tblW w:w="0" w:type="auto"/>
        <w:tblLook w:val="04A0" w:firstRow="1" w:lastRow="0" w:firstColumn="1" w:lastColumn="0" w:noHBand="0" w:noVBand="1"/>
      </w:tblPr>
      <w:tblGrid>
        <w:gridCol w:w="5240"/>
        <w:gridCol w:w="2550"/>
        <w:gridCol w:w="2667"/>
      </w:tblGrid>
      <w:tr w:rsidR="00DE06B3" w:rsidRPr="002106E3" w14:paraId="28956D77" w14:textId="77777777" w:rsidTr="00970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262AE48" w14:textId="63C05CC0" w:rsidR="00DE06B3" w:rsidRPr="00A37092" w:rsidRDefault="00DE06B3" w:rsidP="00DE06B3">
            <w:pPr>
              <w:rPr>
                <w:color w:val="FFFFFF" w:themeColor="background1"/>
                <w:sz w:val="18"/>
                <w:szCs w:val="20"/>
              </w:rPr>
            </w:pPr>
            <w:r w:rsidRPr="00A37092">
              <w:rPr>
                <w:color w:val="FFFFFF" w:themeColor="background1"/>
                <w:sz w:val="18"/>
                <w:szCs w:val="20"/>
              </w:rPr>
              <w:t>Opportunity</w:t>
            </w:r>
            <w:r>
              <w:rPr>
                <w:color w:val="FFFFFF" w:themeColor="background1"/>
                <w:sz w:val="18"/>
                <w:szCs w:val="20"/>
              </w:rPr>
              <w:t xml:space="preserve"> detail</w:t>
            </w:r>
          </w:p>
        </w:tc>
        <w:tc>
          <w:tcPr>
            <w:tcW w:w="2550" w:type="dxa"/>
          </w:tcPr>
          <w:p w14:paraId="0EC4D700" w14:textId="26E82DD4" w:rsidR="00DE06B3" w:rsidRPr="00A37092" w:rsidRDefault="00DE06B3" w:rsidP="00DE06B3">
            <w:pP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A37092">
              <w:rPr>
                <w:rFonts w:asciiTheme="majorHAnsi" w:hAnsiTheme="majorHAnsi"/>
                <w:color w:val="FFFFFF" w:themeColor="background1"/>
                <w:sz w:val="18"/>
                <w:szCs w:val="20"/>
              </w:rPr>
              <w:t>Organisations involved</w:t>
            </w:r>
          </w:p>
        </w:tc>
        <w:tc>
          <w:tcPr>
            <w:tcW w:w="2667" w:type="dxa"/>
          </w:tcPr>
          <w:p w14:paraId="3078E27C" w14:textId="66D1191F" w:rsidR="00DE06B3" w:rsidRPr="00A37092" w:rsidRDefault="00DE06B3" w:rsidP="00DE06B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8"/>
                <w:szCs w:val="20"/>
              </w:rPr>
            </w:pPr>
            <w:r w:rsidRPr="00A37092">
              <w:rPr>
                <w:rFonts w:asciiTheme="majorHAnsi" w:hAnsiTheme="majorHAnsi"/>
                <w:color w:val="FFFFFF" w:themeColor="background1"/>
                <w:sz w:val="18"/>
                <w:szCs w:val="20"/>
              </w:rPr>
              <w:t xml:space="preserve">Priority  </w:t>
            </w:r>
          </w:p>
        </w:tc>
      </w:tr>
      <w:tr w:rsidR="00DE06B3" w:rsidRPr="002106E3" w14:paraId="5FE5BB4B" w14:textId="77777777" w:rsidTr="0097092F">
        <w:tc>
          <w:tcPr>
            <w:cnfStyle w:val="001000000000" w:firstRow="0" w:lastRow="0" w:firstColumn="1" w:lastColumn="0" w:oddVBand="0" w:evenVBand="0" w:oddHBand="0" w:evenHBand="0" w:firstRowFirstColumn="0" w:firstRowLastColumn="0" w:lastRowFirstColumn="0" w:lastRowLastColumn="0"/>
            <w:tcW w:w="5240" w:type="dxa"/>
          </w:tcPr>
          <w:p w14:paraId="6EC0499A" w14:textId="79E927D3" w:rsidR="00DE06B3" w:rsidRPr="008A37C1" w:rsidRDefault="00DE06B3" w:rsidP="00DE06B3">
            <w:pPr>
              <w:pStyle w:val="TableText"/>
            </w:pPr>
            <w:r w:rsidRPr="008A37C1">
              <w:t>Address barriers to meeting complex needs, including considering practice leadership and recruiting specialist staff (mental health professionals).</w:t>
            </w:r>
          </w:p>
        </w:tc>
        <w:tc>
          <w:tcPr>
            <w:tcW w:w="2550" w:type="dxa"/>
          </w:tcPr>
          <w:p w14:paraId="61D47B1A" w14:textId="4FCD5314" w:rsidR="00DE06B3" w:rsidRPr="008A37C1" w:rsidRDefault="00DE06B3" w:rsidP="00DE06B3">
            <w:pPr>
              <w:pStyle w:val="TableText"/>
              <w:cnfStyle w:val="000000000000" w:firstRow="0" w:lastRow="0" w:firstColumn="0" w:lastColumn="0" w:oddVBand="0" w:evenVBand="0" w:oddHBand="0" w:evenHBand="0" w:firstRowFirstColumn="0" w:firstRowLastColumn="0" w:lastRowFirstColumn="0" w:lastRowLastColumn="0"/>
            </w:pPr>
            <w:r w:rsidRPr="008A37C1">
              <w:t>ARP and STPP providers</w:t>
            </w:r>
          </w:p>
        </w:tc>
        <w:tc>
          <w:tcPr>
            <w:tcW w:w="2667" w:type="dxa"/>
          </w:tcPr>
          <w:p w14:paraId="2F836C7D" w14:textId="77777777" w:rsidR="00DE06B3" w:rsidRPr="008A37C1" w:rsidRDefault="00DE06B3" w:rsidP="00DE06B3">
            <w:pPr>
              <w:pStyle w:val="TableText"/>
              <w:cnfStyle w:val="000000000000" w:firstRow="0" w:lastRow="0" w:firstColumn="0" w:lastColumn="0" w:oddVBand="0" w:evenVBand="0" w:oddHBand="0" w:evenHBand="0" w:firstRowFirstColumn="0" w:firstRowLastColumn="0" w:lastRowFirstColumn="0" w:lastRowLastColumn="0"/>
            </w:pPr>
            <w:r w:rsidRPr="008A37C1">
              <w:t xml:space="preserve">Medium </w:t>
            </w:r>
          </w:p>
        </w:tc>
      </w:tr>
    </w:tbl>
    <w:p w14:paraId="0B4F1BD1" w14:textId="77777777" w:rsidR="00326048" w:rsidRPr="00BC3B5A" w:rsidRDefault="00326048" w:rsidP="007E0AFE">
      <w:pPr>
        <w:pStyle w:val="Heading4"/>
      </w:pPr>
      <w:r>
        <w:t xml:space="preserve">Design improvement </w:t>
      </w:r>
    </w:p>
    <w:p w14:paraId="78BAA63D" w14:textId="7162A705"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50</w:t>
      </w:r>
      <w:r>
        <w:fldChar w:fldCharType="end"/>
      </w:r>
      <w:r>
        <w:t>.</w:t>
      </w:r>
      <w:r w:rsidR="004248C2">
        <w:t xml:space="preserve"> Opportunity: </w:t>
      </w:r>
      <w:r w:rsidR="004248C2" w:rsidRPr="004248C2">
        <w:t>Alignment with better practice/international standards</w:t>
      </w:r>
    </w:p>
    <w:tbl>
      <w:tblPr>
        <w:tblStyle w:val="WTTable2"/>
        <w:tblW w:w="0" w:type="auto"/>
        <w:tblLook w:val="04A0" w:firstRow="1" w:lastRow="0" w:firstColumn="1" w:lastColumn="0" w:noHBand="0" w:noVBand="1"/>
      </w:tblPr>
      <w:tblGrid>
        <w:gridCol w:w="5245"/>
        <w:gridCol w:w="2552"/>
        <w:gridCol w:w="2670"/>
      </w:tblGrid>
      <w:tr w:rsidR="002106E3" w:rsidRPr="002106E3" w14:paraId="0741F99E" w14:textId="77777777" w:rsidTr="00970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4EAE628" w14:textId="5760C557" w:rsidR="00FC61D2" w:rsidRPr="00A37092" w:rsidRDefault="00FC61D2" w:rsidP="007E0AFE">
            <w:pPr>
              <w:rPr>
                <w:color w:val="FFFFFF" w:themeColor="background1"/>
                <w:sz w:val="18"/>
                <w:szCs w:val="20"/>
              </w:rPr>
            </w:pPr>
            <w:r w:rsidRPr="00A37092">
              <w:rPr>
                <w:color w:val="FFFFFF" w:themeColor="background1"/>
                <w:sz w:val="18"/>
                <w:szCs w:val="20"/>
              </w:rPr>
              <w:t>Opportunity</w:t>
            </w:r>
            <w:r w:rsidR="004248C2">
              <w:rPr>
                <w:color w:val="FFFFFF" w:themeColor="background1"/>
                <w:sz w:val="18"/>
                <w:szCs w:val="20"/>
              </w:rPr>
              <w:t xml:space="preserve"> detail</w:t>
            </w:r>
          </w:p>
        </w:tc>
        <w:tc>
          <w:tcPr>
            <w:tcW w:w="2552" w:type="dxa"/>
          </w:tcPr>
          <w:p w14:paraId="728C8670" w14:textId="089E4EE8" w:rsidR="00FC61D2" w:rsidRPr="00A37092" w:rsidRDefault="00FC61D2" w:rsidP="007E0AFE">
            <w:pP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A37092">
              <w:rPr>
                <w:rFonts w:asciiTheme="majorHAnsi" w:hAnsiTheme="majorHAnsi"/>
                <w:color w:val="FFFFFF" w:themeColor="background1"/>
                <w:sz w:val="18"/>
                <w:szCs w:val="20"/>
              </w:rPr>
              <w:t>Organisations involved</w:t>
            </w:r>
          </w:p>
        </w:tc>
        <w:tc>
          <w:tcPr>
            <w:tcW w:w="2670" w:type="dxa"/>
          </w:tcPr>
          <w:p w14:paraId="140E64E9" w14:textId="7EBDA87A" w:rsidR="00FC61D2" w:rsidRPr="00A37092" w:rsidRDefault="00FC61D2" w:rsidP="007E0AFE">
            <w:pPr>
              <w:cnfStyle w:val="100000000000" w:firstRow="1" w:lastRow="0" w:firstColumn="0" w:lastColumn="0" w:oddVBand="0" w:evenVBand="0" w:oddHBand="0" w:evenHBand="0" w:firstRowFirstColumn="0" w:firstRowLastColumn="0" w:lastRowFirstColumn="0" w:lastRowLastColumn="0"/>
              <w:rPr>
                <w:rFonts w:ascii="Barlow SemiBold" w:hAnsi="Barlow SemiBold"/>
                <w:color w:val="FFFFFF" w:themeColor="background1"/>
                <w:sz w:val="18"/>
                <w:szCs w:val="20"/>
              </w:rPr>
            </w:pPr>
            <w:r w:rsidRPr="00A37092">
              <w:rPr>
                <w:rFonts w:ascii="Barlow SemiBold" w:hAnsi="Barlow SemiBold"/>
                <w:color w:val="FFFFFF" w:themeColor="background1"/>
                <w:sz w:val="18"/>
                <w:szCs w:val="20"/>
              </w:rPr>
              <w:t xml:space="preserve">Priority  </w:t>
            </w:r>
          </w:p>
        </w:tc>
      </w:tr>
      <w:tr w:rsidR="002106E3" w:rsidRPr="002106E3" w14:paraId="0832ECB9" w14:textId="77777777" w:rsidTr="0097092F">
        <w:tc>
          <w:tcPr>
            <w:cnfStyle w:val="001000000000" w:firstRow="0" w:lastRow="0" w:firstColumn="1" w:lastColumn="0" w:oddVBand="0" w:evenVBand="0" w:oddHBand="0" w:evenHBand="0" w:firstRowFirstColumn="0" w:firstRowLastColumn="0" w:lastRowFirstColumn="0" w:lastRowLastColumn="0"/>
            <w:tcW w:w="5245" w:type="dxa"/>
          </w:tcPr>
          <w:p w14:paraId="4CFB827B" w14:textId="5573EE05" w:rsidR="00326048" w:rsidRPr="008A37C1" w:rsidRDefault="005553C1" w:rsidP="007E0AFE">
            <w:pPr>
              <w:pStyle w:val="TableText"/>
            </w:pPr>
            <w:r w:rsidRPr="008A37C1">
              <w:t>Reflect provider strengths in future iterations of the ARP, including increasing referral capacity in frontline partners</w:t>
            </w:r>
            <w:r w:rsidR="00937A00" w:rsidRPr="008A37C1">
              <w:t xml:space="preserve"> through outreach</w:t>
            </w:r>
            <w:r w:rsidR="34225DF2" w:rsidRPr="008A37C1">
              <w:t>.</w:t>
            </w:r>
            <w:r w:rsidR="00F975E3" w:rsidRPr="008A37C1">
              <w:t xml:space="preserve"> </w:t>
            </w:r>
          </w:p>
        </w:tc>
        <w:tc>
          <w:tcPr>
            <w:tcW w:w="2552" w:type="dxa"/>
          </w:tcPr>
          <w:p w14:paraId="67C993E7" w14:textId="71ED0E87" w:rsidR="00326048" w:rsidRPr="008A37C1" w:rsidRDefault="00326048" w:rsidP="007E0AFE">
            <w:pPr>
              <w:pStyle w:val="TableText"/>
              <w:cnfStyle w:val="000000000000" w:firstRow="0" w:lastRow="0" w:firstColumn="0" w:lastColumn="0" w:oddVBand="0" w:evenVBand="0" w:oddHBand="0" w:evenHBand="0" w:firstRowFirstColumn="0" w:firstRowLastColumn="0" w:lastRowFirstColumn="0" w:lastRowLastColumn="0"/>
            </w:pPr>
            <w:r w:rsidRPr="008A37C1">
              <w:t>D</w:t>
            </w:r>
            <w:r w:rsidR="31B17766" w:rsidRPr="008A37C1">
              <w:t>SS</w:t>
            </w:r>
          </w:p>
        </w:tc>
        <w:tc>
          <w:tcPr>
            <w:tcW w:w="2670" w:type="dxa"/>
          </w:tcPr>
          <w:p w14:paraId="3B3C0259" w14:textId="77777777" w:rsidR="00326048" w:rsidRPr="008A37C1" w:rsidRDefault="00326048" w:rsidP="007E0AFE">
            <w:pPr>
              <w:pStyle w:val="TableText"/>
              <w:cnfStyle w:val="000000000000" w:firstRow="0" w:lastRow="0" w:firstColumn="0" w:lastColumn="0" w:oddVBand="0" w:evenVBand="0" w:oddHBand="0" w:evenHBand="0" w:firstRowFirstColumn="0" w:firstRowLastColumn="0" w:lastRowFirstColumn="0" w:lastRowLastColumn="0"/>
            </w:pPr>
            <w:r w:rsidRPr="008A37C1">
              <w:t>Medium</w:t>
            </w:r>
          </w:p>
        </w:tc>
      </w:tr>
    </w:tbl>
    <w:p w14:paraId="4BF3F28F" w14:textId="1FE2F50D" w:rsidR="00326048" w:rsidRPr="00BC3B5A" w:rsidRDefault="00326048" w:rsidP="007E0AFE">
      <w:pPr>
        <w:pStyle w:val="Heading4"/>
      </w:pPr>
      <w:r>
        <w:t xml:space="preserve">System improvement </w:t>
      </w:r>
    </w:p>
    <w:p w14:paraId="5301A122" w14:textId="62C5C589"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51</w:t>
      </w:r>
      <w:r>
        <w:fldChar w:fldCharType="end"/>
      </w:r>
      <w:r>
        <w:t>.</w:t>
      </w:r>
      <w:r w:rsidR="004248C2">
        <w:t xml:space="preserve"> Opportunity</w:t>
      </w:r>
      <w:r w:rsidR="00DE06B3">
        <w:t xml:space="preserve">: </w:t>
      </w:r>
      <w:r w:rsidR="00DE06B3" w:rsidRPr="00DE06B3">
        <w:t>Alignment with better practice/international standards</w:t>
      </w:r>
    </w:p>
    <w:tbl>
      <w:tblPr>
        <w:tblStyle w:val="WTTable2"/>
        <w:tblW w:w="0" w:type="auto"/>
        <w:tblLook w:val="04A0" w:firstRow="1" w:lastRow="0" w:firstColumn="1" w:lastColumn="0" w:noHBand="0" w:noVBand="1"/>
      </w:tblPr>
      <w:tblGrid>
        <w:gridCol w:w="5240"/>
        <w:gridCol w:w="2550"/>
        <w:gridCol w:w="2667"/>
      </w:tblGrid>
      <w:tr w:rsidR="002106E3" w:rsidRPr="002106E3" w14:paraId="2A19F453" w14:textId="77777777" w:rsidTr="00970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8AD2BCB" w14:textId="14833F19" w:rsidR="00FC61D2" w:rsidRPr="00A37092" w:rsidRDefault="00FC61D2" w:rsidP="007E0AFE">
            <w:pPr>
              <w:rPr>
                <w:color w:val="FFFFFF" w:themeColor="background1"/>
                <w:sz w:val="18"/>
                <w:szCs w:val="20"/>
              </w:rPr>
            </w:pPr>
            <w:r w:rsidRPr="00A37092">
              <w:rPr>
                <w:color w:val="FFFFFF" w:themeColor="background1"/>
                <w:sz w:val="18"/>
                <w:szCs w:val="20"/>
              </w:rPr>
              <w:t>Opportunity</w:t>
            </w:r>
            <w:r w:rsidR="004248C2">
              <w:rPr>
                <w:color w:val="FFFFFF" w:themeColor="background1"/>
                <w:sz w:val="18"/>
                <w:szCs w:val="20"/>
              </w:rPr>
              <w:t xml:space="preserve"> detail</w:t>
            </w:r>
          </w:p>
        </w:tc>
        <w:tc>
          <w:tcPr>
            <w:tcW w:w="2550" w:type="dxa"/>
          </w:tcPr>
          <w:p w14:paraId="5675EE66" w14:textId="34BE7CA4" w:rsidR="00FC61D2" w:rsidRPr="00A37092" w:rsidRDefault="00FC61D2" w:rsidP="007E0AFE">
            <w:pPr>
              <w:cnfStyle w:val="100000000000" w:firstRow="1" w:lastRow="0" w:firstColumn="0" w:lastColumn="0" w:oddVBand="0" w:evenVBand="0" w:oddHBand="0" w:evenHBand="0" w:firstRowFirstColumn="0" w:firstRowLastColumn="0" w:lastRowFirstColumn="0" w:lastRowLastColumn="0"/>
              <w:rPr>
                <w:color w:val="FFFFFF" w:themeColor="background1"/>
                <w:sz w:val="18"/>
                <w:szCs w:val="20"/>
              </w:rPr>
            </w:pPr>
            <w:r w:rsidRPr="00A37092">
              <w:rPr>
                <w:rFonts w:asciiTheme="majorHAnsi" w:hAnsiTheme="majorHAnsi"/>
                <w:color w:val="FFFFFF" w:themeColor="background1"/>
                <w:sz w:val="18"/>
                <w:szCs w:val="20"/>
              </w:rPr>
              <w:t>Organisations involved</w:t>
            </w:r>
          </w:p>
        </w:tc>
        <w:tc>
          <w:tcPr>
            <w:tcW w:w="2667" w:type="dxa"/>
          </w:tcPr>
          <w:p w14:paraId="0547AF3A" w14:textId="4CF557F1" w:rsidR="00FC61D2" w:rsidRPr="00A37092" w:rsidRDefault="00FC61D2" w:rsidP="007E0AFE">
            <w:pPr>
              <w:cnfStyle w:val="100000000000" w:firstRow="1" w:lastRow="0" w:firstColumn="0" w:lastColumn="0" w:oddVBand="0" w:evenVBand="0" w:oddHBand="0" w:evenHBand="0" w:firstRowFirstColumn="0" w:firstRowLastColumn="0" w:lastRowFirstColumn="0" w:lastRowLastColumn="0"/>
              <w:rPr>
                <w:rFonts w:ascii="Barlow SemiBold" w:hAnsi="Barlow SemiBold"/>
                <w:color w:val="FFFFFF" w:themeColor="background1"/>
                <w:sz w:val="18"/>
                <w:szCs w:val="20"/>
              </w:rPr>
            </w:pPr>
            <w:r w:rsidRPr="00A37092">
              <w:rPr>
                <w:rFonts w:ascii="Barlow SemiBold" w:hAnsi="Barlow SemiBold"/>
                <w:color w:val="FFFFFF" w:themeColor="background1"/>
                <w:sz w:val="18"/>
                <w:szCs w:val="20"/>
              </w:rPr>
              <w:t xml:space="preserve">Priority  </w:t>
            </w:r>
          </w:p>
        </w:tc>
      </w:tr>
      <w:tr w:rsidR="002106E3" w:rsidRPr="002106E3" w14:paraId="4F06F809" w14:textId="77777777" w:rsidTr="0097092F">
        <w:tc>
          <w:tcPr>
            <w:cnfStyle w:val="001000000000" w:firstRow="0" w:lastRow="0" w:firstColumn="1" w:lastColumn="0" w:oddVBand="0" w:evenVBand="0" w:oddHBand="0" w:evenHBand="0" w:firstRowFirstColumn="0" w:firstRowLastColumn="0" w:lastRowFirstColumn="0" w:lastRowLastColumn="0"/>
            <w:tcW w:w="5240" w:type="dxa"/>
          </w:tcPr>
          <w:p w14:paraId="7CA6F89D" w14:textId="3BED2951" w:rsidR="00326048" w:rsidRPr="002106E3" w:rsidRDefault="00326048" w:rsidP="007E0AFE">
            <w:pPr>
              <w:pStyle w:val="Tabledot2"/>
              <w:numPr>
                <w:ilvl w:val="0"/>
                <w:numId w:val="0"/>
              </w:numPr>
            </w:pPr>
            <w:r w:rsidRPr="002106E3">
              <w:t xml:space="preserve">Continue funding the ARP </w:t>
            </w:r>
            <w:r w:rsidR="5CFBAAE9" w:rsidRPr="002106E3">
              <w:t>following the</w:t>
            </w:r>
            <w:r w:rsidRPr="002106E3">
              <w:t xml:space="preserve"> pilot, recognising that it is showing </w:t>
            </w:r>
            <w:r w:rsidRPr="001701E6">
              <w:rPr>
                <w:rStyle w:val="TableTextChar"/>
                <w:color w:val="313F4A" w:themeColor="text1" w:themeShade="BF"/>
              </w:rPr>
              <w:t>promising signs</w:t>
            </w:r>
            <w:r w:rsidR="0605BF8A" w:rsidRPr="002106E3">
              <w:t>.</w:t>
            </w:r>
          </w:p>
        </w:tc>
        <w:tc>
          <w:tcPr>
            <w:tcW w:w="2550" w:type="dxa"/>
          </w:tcPr>
          <w:p w14:paraId="2C9C8F34" w14:textId="49C991CB" w:rsidR="00326048" w:rsidRPr="002106E3" w:rsidRDefault="00326048" w:rsidP="007E0AFE">
            <w:pPr>
              <w:pStyle w:val="TableText"/>
              <w:cnfStyle w:val="000000000000" w:firstRow="0" w:lastRow="0" w:firstColumn="0" w:lastColumn="0" w:oddVBand="0" w:evenVBand="0" w:oddHBand="0" w:evenHBand="0" w:firstRowFirstColumn="0" w:firstRowLastColumn="0" w:lastRowFirstColumn="0" w:lastRowLastColumn="0"/>
            </w:pPr>
            <w:r w:rsidRPr="002106E3">
              <w:t>D</w:t>
            </w:r>
            <w:r w:rsidR="1BA2572F" w:rsidRPr="002106E3">
              <w:t>SS</w:t>
            </w:r>
            <w:r w:rsidR="33CD3332" w:rsidRPr="002106E3">
              <w:t xml:space="preserve"> </w:t>
            </w:r>
          </w:p>
        </w:tc>
        <w:tc>
          <w:tcPr>
            <w:tcW w:w="2667" w:type="dxa"/>
          </w:tcPr>
          <w:p w14:paraId="0D2E9496" w14:textId="77777777" w:rsidR="00326048" w:rsidRPr="002106E3" w:rsidRDefault="00326048" w:rsidP="007E0AFE">
            <w:pPr>
              <w:pStyle w:val="TableText"/>
              <w:cnfStyle w:val="000000000000" w:firstRow="0" w:lastRow="0" w:firstColumn="0" w:lastColumn="0" w:oddVBand="0" w:evenVBand="0" w:oddHBand="0" w:evenHBand="0" w:firstRowFirstColumn="0" w:firstRowLastColumn="0" w:lastRowFirstColumn="0" w:lastRowLastColumn="0"/>
            </w:pPr>
            <w:r w:rsidRPr="002106E3">
              <w:t>Medium</w:t>
            </w:r>
          </w:p>
        </w:tc>
      </w:tr>
      <w:tr w:rsidR="002106E3" w:rsidRPr="002106E3" w14:paraId="680D03ED" w14:textId="77777777" w:rsidTr="0097092F">
        <w:tc>
          <w:tcPr>
            <w:cnfStyle w:val="001000000000" w:firstRow="0" w:lastRow="0" w:firstColumn="1" w:lastColumn="0" w:oddVBand="0" w:evenVBand="0" w:oddHBand="0" w:evenHBand="0" w:firstRowFirstColumn="0" w:firstRowLastColumn="0" w:lastRowFirstColumn="0" w:lastRowLastColumn="0"/>
            <w:tcW w:w="5240" w:type="dxa"/>
          </w:tcPr>
          <w:p w14:paraId="370B797F" w14:textId="7067D891" w:rsidR="005553C1" w:rsidRPr="008A37C1" w:rsidRDefault="008946B3" w:rsidP="007E0AFE">
            <w:pPr>
              <w:pStyle w:val="TableText"/>
            </w:pPr>
            <w:r w:rsidRPr="008A37C1">
              <w:t xml:space="preserve">Scope potential improvements to communication </w:t>
            </w:r>
            <w:r w:rsidR="00B40305" w:rsidRPr="008A37C1">
              <w:t xml:space="preserve">and information sharing </w:t>
            </w:r>
            <w:r w:rsidRPr="008A37C1">
              <w:t xml:space="preserve">protocols between the </w:t>
            </w:r>
            <w:r w:rsidR="001701E6">
              <w:t>STPP</w:t>
            </w:r>
            <w:r w:rsidR="009F5EF1">
              <w:t xml:space="preserve"> and ARP</w:t>
            </w:r>
            <w:r w:rsidR="001701E6" w:rsidRPr="008A37C1">
              <w:t xml:space="preserve"> </w:t>
            </w:r>
            <w:r w:rsidRPr="008A37C1">
              <w:t>provider</w:t>
            </w:r>
            <w:r w:rsidR="009F5EF1">
              <w:t>s</w:t>
            </w:r>
            <w:r w:rsidRPr="008A37C1">
              <w:t xml:space="preserve"> and the AFP</w:t>
            </w:r>
          </w:p>
        </w:tc>
        <w:tc>
          <w:tcPr>
            <w:tcW w:w="2550" w:type="dxa"/>
          </w:tcPr>
          <w:p w14:paraId="4E40D673" w14:textId="1E4C2C9B" w:rsidR="005553C1" w:rsidRPr="008A37C1" w:rsidRDefault="009F5EF1" w:rsidP="007E0AFE">
            <w:pPr>
              <w:pStyle w:val="TableText"/>
              <w:cnfStyle w:val="000000000000" w:firstRow="0" w:lastRow="0" w:firstColumn="0" w:lastColumn="0" w:oddVBand="0" w:evenVBand="0" w:oddHBand="0" w:evenHBand="0" w:firstRowFirstColumn="0" w:firstRowLastColumn="0" w:lastRowFirstColumn="0" w:lastRowLastColumn="0"/>
            </w:pPr>
            <w:r>
              <w:t xml:space="preserve">STPP and </w:t>
            </w:r>
            <w:r w:rsidR="008946B3" w:rsidRPr="008A37C1">
              <w:t>ARP provider/</w:t>
            </w:r>
            <w:r w:rsidR="005553C1" w:rsidRPr="008A37C1">
              <w:t>A</w:t>
            </w:r>
            <w:r w:rsidR="1F73DCDE" w:rsidRPr="008A37C1">
              <w:t>FP</w:t>
            </w:r>
            <w:r w:rsidR="005553C1" w:rsidRPr="008A37C1">
              <w:t xml:space="preserve"> </w:t>
            </w:r>
          </w:p>
        </w:tc>
        <w:tc>
          <w:tcPr>
            <w:tcW w:w="2667" w:type="dxa"/>
          </w:tcPr>
          <w:p w14:paraId="286FE766" w14:textId="4244BCE1" w:rsidR="005553C1" w:rsidRPr="008A37C1" w:rsidRDefault="005553C1" w:rsidP="007E0AFE">
            <w:pPr>
              <w:pStyle w:val="TableText"/>
              <w:cnfStyle w:val="000000000000" w:firstRow="0" w:lastRow="0" w:firstColumn="0" w:lastColumn="0" w:oddVBand="0" w:evenVBand="0" w:oddHBand="0" w:evenHBand="0" w:firstRowFirstColumn="0" w:firstRowLastColumn="0" w:lastRowFirstColumn="0" w:lastRowLastColumn="0"/>
            </w:pPr>
            <w:r w:rsidRPr="008A37C1">
              <w:t xml:space="preserve">Medium </w:t>
            </w:r>
          </w:p>
        </w:tc>
      </w:tr>
    </w:tbl>
    <w:p w14:paraId="22F8FE23" w14:textId="33AFF387" w:rsidR="00592DC5" w:rsidRDefault="00592DC5" w:rsidP="007E0AFE">
      <w:pPr>
        <w:pStyle w:val="Heading2"/>
      </w:pPr>
      <w:bookmarkStart w:id="73" w:name="_Toc183712684"/>
      <w:bookmarkStart w:id="74" w:name="_Toc183876510"/>
      <w:bookmarkStart w:id="75" w:name="_Toc201908130"/>
      <w:r>
        <w:t>Conclusion</w:t>
      </w:r>
      <w:bookmarkEnd w:id="73"/>
      <w:bookmarkEnd w:id="74"/>
      <w:bookmarkEnd w:id="75"/>
    </w:p>
    <w:p w14:paraId="1D0472EE" w14:textId="40865D70" w:rsidR="00FD1E41" w:rsidRDefault="00FD1E41" w:rsidP="007E0AFE">
      <w:r>
        <w:t>This</w:t>
      </w:r>
      <w:r w:rsidR="003D0872" w:rsidRPr="00F323B1">
        <w:t xml:space="preserve"> mixed-methods evaluation </w:t>
      </w:r>
      <w:r>
        <w:t xml:space="preserve">of the STPP and ARP has suggested that the STPP is improving access to supports with STPP experiences. It is doing this best for people willing and able to be involved in AFP criminal justice matters, </w:t>
      </w:r>
      <w:r w:rsidR="00B5610C">
        <w:t>however,</w:t>
      </w:r>
      <w:r>
        <w:t xml:space="preserve"> is less successful with respect to meeting the needs of others. The introduction of the ARP has partly mitigated this access issue, through offering short-term support for people who do not wish to/cannot access AFP pathways to support. </w:t>
      </w:r>
      <w:r w:rsidR="000817FD">
        <w:t xml:space="preserve">The ARP is recommended for ongoing funding. </w:t>
      </w:r>
    </w:p>
    <w:p w14:paraId="3BA4130A" w14:textId="73DEA14C" w:rsidR="00FD1E41" w:rsidRDefault="00FD1E41" w:rsidP="007E0AFE">
      <w:pPr>
        <w:rPr>
          <w:lang w:eastAsia="en-AU"/>
        </w:rPr>
      </w:pPr>
      <w:r>
        <w:t xml:space="preserve">This evaluation has suggested that the STPP </w:t>
      </w:r>
      <w:r>
        <w:rPr>
          <w:lang w:eastAsia="en-AU"/>
        </w:rPr>
        <w:t xml:space="preserve">is most suited to meeting short-term stabilisation needs, including direct social support, help navigating social security, healthcare and other support systems and helping to generate a sense of confidence/optimism about next steps.  Other outcomes associated with the STPP include increased access to income streams, stable accommodation, and social connection. </w:t>
      </w:r>
    </w:p>
    <w:p w14:paraId="4C29B519" w14:textId="1334F662" w:rsidR="0018441E" w:rsidRPr="0018441E" w:rsidRDefault="000817FD" w:rsidP="007E0AFE">
      <w:pPr>
        <w:rPr>
          <w:lang w:eastAsia="en-AU"/>
        </w:rPr>
      </w:pPr>
      <w:r>
        <w:rPr>
          <w:lang w:eastAsia="en-AU"/>
        </w:rPr>
        <w:t xml:space="preserve">The evaluation has identified </w:t>
      </w:r>
      <w:proofErr w:type="gramStart"/>
      <w:r>
        <w:rPr>
          <w:lang w:eastAsia="en-AU"/>
        </w:rPr>
        <w:t>a number of</w:t>
      </w:r>
      <w:proofErr w:type="gramEnd"/>
      <w:r>
        <w:rPr>
          <w:lang w:eastAsia="en-AU"/>
        </w:rPr>
        <w:t xml:space="preserve"> opportunities to improve the delivery and design the STPP. Changes have implications for multi-agency policy and will require a coordinated approach, and co-design with people with HTMS experiences if they are to be successfully addressed. </w:t>
      </w:r>
    </w:p>
    <w:p w14:paraId="465F24C5" w14:textId="77777777" w:rsidR="00B803EF" w:rsidRDefault="00B803EF" w:rsidP="007E0AFE">
      <w:pPr>
        <w:spacing w:before="0" w:after="160" w:line="259" w:lineRule="auto"/>
        <w:rPr>
          <w:rFonts w:asciiTheme="majorHAnsi" w:eastAsiaTheme="majorEastAsia" w:hAnsiTheme="majorHAnsi" w:cstheme="majorBidi"/>
          <w:color w:val="00BE6E" w:themeColor="text2"/>
          <w:sz w:val="44"/>
          <w:szCs w:val="32"/>
          <w:lang w:eastAsia="en-AU"/>
        </w:rPr>
      </w:pPr>
      <w:r>
        <w:br w:type="page"/>
      </w:r>
    </w:p>
    <w:p w14:paraId="14F6ED80" w14:textId="77777777" w:rsidR="00A47BDB" w:rsidRDefault="00A47BDB" w:rsidP="007E0AFE">
      <w:pPr>
        <w:pStyle w:val="Tabledot2"/>
        <w:numPr>
          <w:ilvl w:val="0"/>
          <w:numId w:val="0"/>
        </w:numPr>
        <w:ind w:left="363"/>
        <w:sectPr w:rsidR="00A47BDB" w:rsidSect="006A2BDB">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134" w:right="720" w:bottom="1843" w:left="720" w:header="425" w:footer="516" w:gutter="0"/>
          <w:cols w:space="708"/>
          <w:docGrid w:linePitch="360"/>
        </w:sectPr>
      </w:pPr>
      <w:bookmarkStart w:id="76" w:name="_Toc196581398"/>
      <w:bookmarkStart w:id="77" w:name="_Toc198367954"/>
      <w:bookmarkEnd w:id="8"/>
    </w:p>
    <w:p w14:paraId="6C54E3F7" w14:textId="77777777" w:rsidR="00574810" w:rsidRDefault="00574810" w:rsidP="007E0AFE">
      <w:pPr>
        <w:pStyle w:val="Heading2"/>
      </w:pPr>
      <w:bookmarkStart w:id="78" w:name="_Ref200036536"/>
      <w:bookmarkStart w:id="79" w:name="_Ref200036543"/>
      <w:bookmarkStart w:id="80" w:name="_Ref200037213"/>
      <w:bookmarkStart w:id="81" w:name="_Toc201908131"/>
      <w:r>
        <w:lastRenderedPageBreak/>
        <w:t>Appendix 1. Program logics and evaluation framework</w:t>
      </w:r>
      <w:bookmarkEnd w:id="78"/>
      <w:bookmarkEnd w:id="79"/>
      <w:bookmarkEnd w:id="80"/>
      <w:bookmarkEnd w:id="81"/>
      <w:r>
        <w:t xml:space="preserve"> </w:t>
      </w:r>
    </w:p>
    <w:p w14:paraId="0FBA626F" w14:textId="502CD7FB" w:rsidR="00574810" w:rsidRPr="00D50E71" w:rsidRDefault="00574810" w:rsidP="00D50E71">
      <w:pPr>
        <w:pStyle w:val="Heading4"/>
        <w:rPr>
          <w:sz w:val="28"/>
          <w:szCs w:val="28"/>
        </w:rPr>
      </w:pPr>
      <w:bookmarkStart w:id="82" w:name="_Toc196581397"/>
      <w:bookmarkStart w:id="83" w:name="_Toc198367953"/>
      <w:r w:rsidRPr="00D50E71">
        <w:rPr>
          <w:sz w:val="28"/>
          <w:szCs w:val="28"/>
        </w:rPr>
        <w:t>Program logics</w:t>
      </w:r>
      <w:bookmarkEnd w:id="82"/>
      <w:r w:rsidRPr="00D50E71">
        <w:rPr>
          <w:sz w:val="28"/>
          <w:szCs w:val="28"/>
        </w:rPr>
        <w:t xml:space="preserve"> </w:t>
      </w:r>
      <w:bookmarkEnd w:id="83"/>
    </w:p>
    <w:p w14:paraId="4CB6014C" w14:textId="77777777" w:rsidR="00A47BDB" w:rsidRPr="00556582" w:rsidRDefault="00A47BDB" w:rsidP="007E0AFE"/>
    <w:p w14:paraId="3CE4E3B5" w14:textId="6197FD29" w:rsidR="00E041CF" w:rsidRDefault="00E041CF" w:rsidP="00E041CF">
      <w:pPr>
        <w:pStyle w:val="Caption"/>
      </w:pPr>
      <w:r>
        <w:t xml:space="preserve">Table </w:t>
      </w:r>
      <w:r>
        <w:fldChar w:fldCharType="begin"/>
      </w:r>
      <w:r>
        <w:instrText xml:space="preserve"> SEQ Table \* ARABIC </w:instrText>
      </w:r>
      <w:r>
        <w:fldChar w:fldCharType="separate"/>
      </w:r>
      <w:r w:rsidR="00D9323B">
        <w:rPr>
          <w:noProof/>
        </w:rPr>
        <w:t>52</w:t>
      </w:r>
      <w:r>
        <w:fldChar w:fldCharType="end"/>
      </w:r>
      <w:r>
        <w:t>.</w:t>
      </w:r>
      <w:r w:rsidR="006D65D0">
        <w:t xml:space="preserve"> Program Need and Objectives</w:t>
      </w:r>
    </w:p>
    <w:tbl>
      <w:tblPr>
        <w:tblStyle w:val="TableGrid"/>
        <w:tblW w:w="0" w:type="auto"/>
        <w:tblInd w:w="-431" w:type="dxa"/>
        <w:tblLook w:val="04A0" w:firstRow="1" w:lastRow="0" w:firstColumn="1" w:lastColumn="0" w:noHBand="0" w:noVBand="1"/>
      </w:tblPr>
      <w:tblGrid>
        <w:gridCol w:w="2269"/>
        <w:gridCol w:w="11873"/>
      </w:tblGrid>
      <w:tr w:rsidR="00835D4D" w:rsidRPr="00F7140C" w14:paraId="680D7EA7" w14:textId="77777777" w:rsidTr="00835D4D">
        <w:tc>
          <w:tcPr>
            <w:tcW w:w="2269" w:type="dxa"/>
            <w:shd w:val="clear" w:color="auto" w:fill="425563" w:themeFill="text1"/>
          </w:tcPr>
          <w:p w14:paraId="64BB4320" w14:textId="54563DB1" w:rsidR="00835D4D" w:rsidRPr="00574810" w:rsidRDefault="006D65D0" w:rsidP="006D65D0">
            <w:pPr>
              <w:pStyle w:val="Tableheadwhite"/>
            </w:pPr>
            <w:r>
              <w:t>Area</w:t>
            </w:r>
          </w:p>
        </w:tc>
        <w:tc>
          <w:tcPr>
            <w:tcW w:w="11873" w:type="dxa"/>
            <w:shd w:val="clear" w:color="auto" w:fill="425563" w:themeFill="text1"/>
          </w:tcPr>
          <w:p w14:paraId="7F0B1ABB" w14:textId="16E3E714" w:rsidR="00835D4D" w:rsidRPr="00556582" w:rsidRDefault="006D65D0" w:rsidP="006D65D0">
            <w:pPr>
              <w:pStyle w:val="Tableheadwhite"/>
            </w:pPr>
            <w:r>
              <w:t>Detail</w:t>
            </w:r>
          </w:p>
        </w:tc>
      </w:tr>
      <w:tr w:rsidR="00574810" w:rsidRPr="00F7140C" w14:paraId="3F1A3454" w14:textId="77777777" w:rsidTr="00835D4D">
        <w:tc>
          <w:tcPr>
            <w:tcW w:w="2269" w:type="dxa"/>
            <w:shd w:val="clear" w:color="auto" w:fill="EEF6F6" w:themeFill="background2" w:themeFillTint="33"/>
          </w:tcPr>
          <w:p w14:paraId="63F64A53" w14:textId="77777777" w:rsidR="00574810" w:rsidRPr="00835D4D" w:rsidRDefault="00574810" w:rsidP="007E0AFE">
            <w:pPr>
              <w:rPr>
                <w:rFonts w:asciiTheme="majorHAnsi" w:hAnsiTheme="majorHAnsi"/>
                <w:color w:val="313F4A" w:themeColor="text1" w:themeShade="BF"/>
              </w:rPr>
            </w:pPr>
            <w:r w:rsidRPr="00835D4D">
              <w:rPr>
                <w:rFonts w:asciiTheme="majorHAnsi" w:hAnsiTheme="majorHAnsi"/>
                <w:color w:val="313F4A" w:themeColor="text1" w:themeShade="BF"/>
              </w:rPr>
              <w:t>Program need:</w:t>
            </w:r>
          </w:p>
        </w:tc>
        <w:tc>
          <w:tcPr>
            <w:tcW w:w="11873" w:type="dxa"/>
          </w:tcPr>
          <w:p w14:paraId="7A8E45D7" w14:textId="7B3B89B2" w:rsidR="00574810" w:rsidRPr="00556582" w:rsidRDefault="00574810" w:rsidP="007E0AFE">
            <w:pPr>
              <w:pStyle w:val="TableText"/>
            </w:pPr>
            <w:r w:rsidRPr="00556582">
              <w:t xml:space="preserve">Demand for support from </w:t>
            </w:r>
            <w:r w:rsidR="006D5A5E">
              <w:t>people with HTMS experiences</w:t>
            </w:r>
            <w:r w:rsidRPr="00556582">
              <w:t xml:space="preserve"> of human trafficking, slavery and slavery-like practices (modern slavery), including forced marriage and forced labour</w:t>
            </w:r>
          </w:p>
        </w:tc>
      </w:tr>
      <w:tr w:rsidR="00574810" w:rsidRPr="00F7140C" w14:paraId="0DE2136A" w14:textId="77777777" w:rsidTr="00835D4D">
        <w:tc>
          <w:tcPr>
            <w:tcW w:w="2269" w:type="dxa"/>
            <w:shd w:val="clear" w:color="auto" w:fill="EEF6F6" w:themeFill="background2" w:themeFillTint="33"/>
          </w:tcPr>
          <w:p w14:paraId="6B5651A8" w14:textId="77777777" w:rsidR="00574810" w:rsidRPr="00835D4D" w:rsidRDefault="00574810" w:rsidP="007E0AFE">
            <w:pPr>
              <w:rPr>
                <w:rFonts w:asciiTheme="majorHAnsi" w:hAnsiTheme="majorHAnsi"/>
                <w:color w:val="313F4A" w:themeColor="text1" w:themeShade="BF"/>
              </w:rPr>
            </w:pPr>
            <w:r w:rsidRPr="00835D4D">
              <w:rPr>
                <w:rFonts w:asciiTheme="majorHAnsi" w:hAnsiTheme="majorHAnsi"/>
                <w:color w:val="313F4A" w:themeColor="text1" w:themeShade="BF"/>
              </w:rPr>
              <w:t>Program objectives:</w:t>
            </w:r>
          </w:p>
        </w:tc>
        <w:tc>
          <w:tcPr>
            <w:tcW w:w="11873" w:type="dxa"/>
          </w:tcPr>
          <w:p w14:paraId="69877D62" w14:textId="458382C9" w:rsidR="00574810" w:rsidRPr="00F7140C" w:rsidRDefault="00574810" w:rsidP="007E0AFE">
            <w:pPr>
              <w:pStyle w:val="TableText"/>
              <w:rPr>
                <w:lang w:val="en-US"/>
              </w:rPr>
            </w:pPr>
            <w:r w:rsidRPr="00F7140C">
              <w:rPr>
                <w:lang w:val="en-US"/>
              </w:rPr>
              <w:t xml:space="preserve">To assist </w:t>
            </w:r>
            <w:r w:rsidR="006D5A5E">
              <w:rPr>
                <w:lang w:val="en-US"/>
              </w:rPr>
              <w:t>people with HTMS experiences</w:t>
            </w:r>
            <w:r w:rsidRPr="00F7140C">
              <w:rPr>
                <w:lang w:val="en-US"/>
              </w:rPr>
              <w:t xml:space="preserve"> in meeting their safety, security, </w:t>
            </w:r>
            <w:r w:rsidR="005420ED" w:rsidRPr="00F7140C">
              <w:rPr>
                <w:lang w:val="en-US"/>
              </w:rPr>
              <w:t>health,</w:t>
            </w:r>
            <w:r w:rsidRPr="00F7140C">
              <w:rPr>
                <w:lang w:val="en-US"/>
              </w:rPr>
              <w:t xml:space="preserve"> and well-being needs, and to develop options for life after they leave the STPP</w:t>
            </w:r>
          </w:p>
        </w:tc>
      </w:tr>
    </w:tbl>
    <w:p w14:paraId="4C70328C" w14:textId="15412B4A" w:rsidR="00835D4D" w:rsidRDefault="00835D4D" w:rsidP="00835D4D">
      <w:pPr>
        <w:pStyle w:val="Caption"/>
      </w:pPr>
      <w:r>
        <w:t xml:space="preserve">Table </w:t>
      </w:r>
      <w:r>
        <w:fldChar w:fldCharType="begin"/>
      </w:r>
      <w:r>
        <w:instrText xml:space="preserve"> SEQ Table \* ARABIC </w:instrText>
      </w:r>
      <w:r>
        <w:fldChar w:fldCharType="separate"/>
      </w:r>
      <w:r w:rsidR="00D9323B">
        <w:rPr>
          <w:noProof/>
        </w:rPr>
        <w:t>53</w:t>
      </w:r>
      <w:r>
        <w:fldChar w:fldCharType="end"/>
      </w:r>
      <w:r>
        <w:t>.</w:t>
      </w:r>
      <w:r w:rsidR="00981634">
        <w:t xml:space="preserve"> Inputs</w:t>
      </w:r>
    </w:p>
    <w:tbl>
      <w:tblPr>
        <w:tblStyle w:val="ListTable3"/>
        <w:tblW w:w="5159" w:type="pct"/>
        <w:tblInd w:w="-431" w:type="dxa"/>
        <w:tblBorders>
          <w:insideH w:val="single" w:sz="4" w:space="0" w:color="212A31" w:themeColor="text1" w:themeShade="80"/>
          <w:insideV w:val="single" w:sz="4" w:space="0" w:color="212A31" w:themeColor="text1" w:themeShade="80"/>
        </w:tblBorders>
        <w:tblLook w:val="04A0" w:firstRow="1" w:lastRow="0" w:firstColumn="1" w:lastColumn="0" w:noHBand="0" w:noVBand="1"/>
      </w:tblPr>
      <w:tblGrid>
        <w:gridCol w:w="7073"/>
        <w:gridCol w:w="7074"/>
      </w:tblGrid>
      <w:tr w:rsidR="00BF722F" w:rsidRPr="00930AA5" w14:paraId="3FD0A673" w14:textId="77777777" w:rsidTr="006D65D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00" w:type="pct"/>
            <w:tcBorders>
              <w:top w:val="single" w:sz="4" w:space="0" w:color="425563" w:themeColor="text1"/>
              <w:bottom w:val="single" w:sz="4" w:space="0" w:color="212A31" w:themeColor="text1" w:themeShade="80"/>
            </w:tcBorders>
          </w:tcPr>
          <w:p w14:paraId="17FF155D" w14:textId="77777777" w:rsidR="00BF722F" w:rsidRPr="00930AA5" w:rsidRDefault="00BF722F" w:rsidP="007E0AFE">
            <w:pPr>
              <w:rPr>
                <w:rFonts w:asciiTheme="majorHAnsi" w:hAnsiTheme="majorHAnsi"/>
                <w:bCs w:val="0"/>
                <w:color w:val="FFFFFF" w:themeColor="background1"/>
                <w:sz w:val="16"/>
                <w:szCs w:val="16"/>
              </w:rPr>
            </w:pPr>
            <w:r w:rsidRPr="00930AA5">
              <w:rPr>
                <w:rFonts w:asciiTheme="majorHAnsi" w:hAnsiTheme="majorHAnsi"/>
                <w:b w:val="0"/>
                <w:color w:val="FFFFFF" w:themeColor="background1"/>
                <w:sz w:val="16"/>
                <w:szCs w:val="16"/>
              </w:rPr>
              <w:t>INPUTS</w:t>
            </w:r>
          </w:p>
        </w:tc>
        <w:tc>
          <w:tcPr>
            <w:tcW w:w="2500" w:type="pct"/>
            <w:tcBorders>
              <w:top w:val="single" w:sz="4" w:space="0" w:color="425563" w:themeColor="text1"/>
              <w:bottom w:val="single" w:sz="4" w:space="0" w:color="212A31" w:themeColor="text1" w:themeShade="80"/>
            </w:tcBorders>
          </w:tcPr>
          <w:p w14:paraId="3DC814BF" w14:textId="1716DDAF" w:rsidR="00BF722F" w:rsidRPr="00930AA5" w:rsidRDefault="00CF2C0E" w:rsidP="007E0AFE">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sz w:val="16"/>
                <w:szCs w:val="16"/>
              </w:rPr>
            </w:pPr>
            <w:r>
              <w:rPr>
                <w:rFonts w:asciiTheme="majorHAnsi" w:hAnsiTheme="majorHAnsi"/>
                <w:b w:val="0"/>
                <w:color w:val="FFFFFF" w:themeColor="background1"/>
                <w:sz w:val="16"/>
                <w:szCs w:val="16"/>
              </w:rPr>
              <w:t>Detail</w:t>
            </w:r>
          </w:p>
        </w:tc>
      </w:tr>
      <w:tr w:rsidR="00DB3F1A" w:rsidRPr="00574810" w14:paraId="59D1FF32"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3358E7FB" w14:textId="77777777" w:rsidR="00DB3F1A" w:rsidRPr="00574810" w:rsidRDefault="00DB3F1A" w:rsidP="007E0AFE">
            <w:pPr>
              <w:rPr>
                <w:rFonts w:asciiTheme="majorHAnsi" w:hAnsiTheme="majorHAnsi"/>
                <w:bCs w:val="0"/>
                <w:sz w:val="16"/>
                <w:szCs w:val="16"/>
              </w:rPr>
            </w:pPr>
            <w:r w:rsidRPr="00574810">
              <w:rPr>
                <w:rFonts w:asciiTheme="majorHAnsi" w:hAnsiTheme="majorHAnsi"/>
                <w:b w:val="0"/>
                <w:sz w:val="16"/>
                <w:szCs w:val="16"/>
              </w:rPr>
              <w:t>Funding</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4916B67" w14:textId="0CABBC06" w:rsidR="00DB3F1A" w:rsidRPr="00DB3F1A" w:rsidRDefault="00DB3F1A" w:rsidP="007E0AFE">
            <w:pPr>
              <w:cnfStyle w:val="000000100000" w:firstRow="0" w:lastRow="0" w:firstColumn="0" w:lastColumn="0" w:oddVBand="0" w:evenVBand="0" w:oddHBand="1" w:evenHBand="0" w:firstRowFirstColumn="0" w:firstRowLastColumn="0" w:lastRowFirstColumn="0" w:lastRowLastColumn="0"/>
              <w:rPr>
                <w:sz w:val="16"/>
                <w:szCs w:val="16"/>
              </w:rPr>
            </w:pPr>
            <w:r w:rsidRPr="00B32A60">
              <w:rPr>
                <w:sz w:val="16"/>
                <w:szCs w:val="16"/>
              </w:rPr>
              <w:t>$24.3M over 4 years from 2023-24 to 2026-27 to deliver the STPP and ARP</w:t>
            </w:r>
          </w:p>
        </w:tc>
      </w:tr>
      <w:tr w:rsidR="00DB3F1A" w:rsidRPr="00574810" w14:paraId="33E20BA3"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A0AAE2A" w14:textId="097C31BB" w:rsidR="00DB3F1A" w:rsidRPr="00DB3F1A" w:rsidRDefault="00DB3F1A" w:rsidP="007E0AFE">
            <w:pPr>
              <w:rPr>
                <w:rFonts w:asciiTheme="majorHAnsi" w:hAnsiTheme="majorHAnsi"/>
                <w:b w:val="0"/>
                <w:sz w:val="16"/>
                <w:szCs w:val="16"/>
              </w:rPr>
            </w:pPr>
            <w:r w:rsidRPr="00574810">
              <w:rPr>
                <w:rFonts w:asciiTheme="majorHAnsi" w:hAnsiTheme="majorHAnsi"/>
                <w:b w:val="0"/>
                <w:sz w:val="16"/>
                <w:szCs w:val="16"/>
              </w:rPr>
              <w:t>Delivery Stakeholders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6C8794A" w14:textId="5A057014" w:rsidR="00DB3F1A" w:rsidRPr="00DB3F1A" w:rsidRDefault="00DB3F1A"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574810">
              <w:rPr>
                <w:sz w:val="16"/>
                <w:szCs w:val="16"/>
              </w:rPr>
              <w:t>Department of Social Services (DSS) – Administrator</w:t>
            </w:r>
          </w:p>
        </w:tc>
      </w:tr>
      <w:tr w:rsidR="00DB3F1A" w:rsidRPr="00574810" w14:paraId="059DE87E"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3D202D53" w14:textId="1BF8FA54" w:rsidR="00DB3F1A" w:rsidRPr="00DB3F1A" w:rsidRDefault="00DB3F1A" w:rsidP="007E0AFE">
            <w:pPr>
              <w:rPr>
                <w:rFonts w:asciiTheme="majorHAnsi" w:hAnsiTheme="majorHAnsi"/>
                <w:b w:val="0"/>
                <w:sz w:val="16"/>
                <w:szCs w:val="16"/>
              </w:rPr>
            </w:pPr>
            <w:r w:rsidRPr="00574810">
              <w:rPr>
                <w:rFonts w:asciiTheme="majorHAnsi" w:hAnsiTheme="majorHAnsi"/>
                <w:b w:val="0"/>
                <w:sz w:val="16"/>
                <w:szCs w:val="16"/>
              </w:rPr>
              <w:t>Delivery Stakeholders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16779BBA" w14:textId="0710F068" w:rsidR="00DB3F1A" w:rsidRPr="00574810" w:rsidRDefault="00DB3F1A" w:rsidP="007E0AFE">
            <w:pPr>
              <w:cnfStyle w:val="000000100000" w:firstRow="0" w:lastRow="0" w:firstColumn="0" w:lastColumn="0" w:oddVBand="0" w:evenVBand="0" w:oddHBand="1" w:evenHBand="0" w:firstRowFirstColumn="0" w:firstRowLastColumn="0" w:lastRowFirstColumn="0" w:lastRowLastColumn="0"/>
              <w:rPr>
                <w:sz w:val="16"/>
                <w:szCs w:val="16"/>
              </w:rPr>
            </w:pPr>
            <w:r w:rsidRPr="00574810">
              <w:rPr>
                <w:sz w:val="16"/>
                <w:szCs w:val="16"/>
              </w:rPr>
              <w:t>Australian Red Cross (ARC) – STPP Service Provider</w:t>
            </w:r>
          </w:p>
        </w:tc>
      </w:tr>
      <w:tr w:rsidR="00DB3F1A" w:rsidRPr="00574810" w14:paraId="4F58C7E2"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31A7D66C" w14:textId="04240C2C" w:rsidR="00DB3F1A" w:rsidRPr="00DB3F1A" w:rsidRDefault="00DB3F1A" w:rsidP="007E0AFE">
            <w:pPr>
              <w:rPr>
                <w:rFonts w:asciiTheme="majorHAnsi" w:hAnsiTheme="majorHAnsi"/>
                <w:b w:val="0"/>
                <w:sz w:val="16"/>
                <w:szCs w:val="16"/>
              </w:rPr>
            </w:pPr>
            <w:r w:rsidRPr="00574810">
              <w:rPr>
                <w:rFonts w:asciiTheme="majorHAnsi" w:hAnsiTheme="majorHAnsi"/>
                <w:b w:val="0"/>
                <w:sz w:val="16"/>
                <w:szCs w:val="16"/>
              </w:rPr>
              <w:t>Referral Pathway Stakeholders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ED9A9EE" w14:textId="45451CE3" w:rsidR="00DB3F1A" w:rsidRPr="00DB3F1A" w:rsidRDefault="00DB3F1A"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574810">
              <w:rPr>
                <w:sz w:val="16"/>
                <w:szCs w:val="16"/>
              </w:rPr>
              <w:t>Australian Federal Police (AFP)</w:t>
            </w:r>
          </w:p>
        </w:tc>
      </w:tr>
      <w:tr w:rsidR="00DB3F1A" w:rsidRPr="00574810" w14:paraId="570311C1"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76F9013" w14:textId="77777777" w:rsidR="00DB3F1A" w:rsidRPr="00DB3F1A" w:rsidRDefault="00DB3F1A" w:rsidP="007E0AFE">
            <w:pPr>
              <w:rPr>
                <w:rFonts w:asciiTheme="majorHAnsi" w:hAnsiTheme="majorHAnsi"/>
                <w:bCs w:val="0"/>
                <w:sz w:val="16"/>
                <w:szCs w:val="16"/>
              </w:rPr>
            </w:pPr>
            <w:r w:rsidRPr="00574810">
              <w:rPr>
                <w:rFonts w:asciiTheme="majorHAnsi" w:hAnsiTheme="majorHAnsi"/>
                <w:b w:val="0"/>
                <w:sz w:val="16"/>
                <w:szCs w:val="16"/>
              </w:rPr>
              <w:t>Referral Pathway Stakeholders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2461CD05" w14:textId="5DF6DC00" w:rsidR="00DB3F1A" w:rsidRPr="00DB3F1A" w:rsidRDefault="00DB3F1A" w:rsidP="007E0AFE">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574810">
              <w:rPr>
                <w:sz w:val="16"/>
                <w:szCs w:val="16"/>
              </w:rPr>
              <w:t>The Salvation Army consortium (ARP)</w:t>
            </w:r>
          </w:p>
        </w:tc>
      </w:tr>
      <w:tr w:rsidR="00DB3F1A" w:rsidRPr="00574810" w14:paraId="25ABE846"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27A0C07C" w14:textId="492189D0" w:rsidR="00DB3F1A" w:rsidRPr="00DB3F1A" w:rsidRDefault="00DB3F1A" w:rsidP="007E0AFE">
            <w:pPr>
              <w:rPr>
                <w:rFonts w:asciiTheme="majorHAnsi" w:hAnsiTheme="majorHAnsi"/>
                <w:b w:val="0"/>
                <w:sz w:val="16"/>
                <w:szCs w:val="16"/>
              </w:rPr>
            </w:pPr>
            <w:r w:rsidRPr="00B32A60">
              <w:rPr>
                <w:rFonts w:asciiTheme="majorHAnsi" w:hAnsiTheme="majorHAnsi"/>
                <w:b w:val="0"/>
                <w:sz w:val="16"/>
                <w:szCs w:val="16"/>
              </w:rPr>
              <w:t>Other Government Stakeholders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5D050C0B" w14:textId="5DA3019A" w:rsidR="00DB3F1A" w:rsidRPr="00574810" w:rsidRDefault="00DB3F1A" w:rsidP="007E0AFE">
            <w:pPr>
              <w:cnfStyle w:val="000000000000" w:firstRow="0" w:lastRow="0" w:firstColumn="0" w:lastColumn="0" w:oddVBand="0" w:evenVBand="0" w:oddHBand="0" w:evenHBand="0" w:firstRowFirstColumn="0" w:firstRowLastColumn="0" w:lastRowFirstColumn="0" w:lastRowLastColumn="0"/>
              <w:rPr>
                <w:sz w:val="16"/>
                <w:szCs w:val="16"/>
              </w:rPr>
            </w:pPr>
            <w:r w:rsidRPr="00574810">
              <w:rPr>
                <w:sz w:val="16"/>
                <w:szCs w:val="16"/>
              </w:rPr>
              <w:t xml:space="preserve">Attorney General’s </w:t>
            </w:r>
            <w:r w:rsidRPr="00FE788A">
              <w:rPr>
                <w:sz w:val="16"/>
                <w:szCs w:val="16"/>
              </w:rPr>
              <w:t>Department (AGD)</w:t>
            </w:r>
          </w:p>
        </w:tc>
      </w:tr>
      <w:tr w:rsidR="00DB3F1A" w:rsidRPr="00574810" w14:paraId="0770DA16"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451CEF0" w14:textId="3C063E90" w:rsidR="00DB3F1A" w:rsidRPr="00DB3F1A" w:rsidRDefault="00DB3F1A" w:rsidP="007E0AFE">
            <w:pPr>
              <w:rPr>
                <w:rFonts w:asciiTheme="majorHAnsi" w:hAnsiTheme="majorHAnsi"/>
                <w:b w:val="0"/>
                <w:bCs w:val="0"/>
                <w:sz w:val="16"/>
                <w:szCs w:val="16"/>
              </w:rPr>
            </w:pPr>
            <w:r w:rsidRPr="006C2BBF">
              <w:rPr>
                <w:rFonts w:asciiTheme="majorHAnsi" w:hAnsiTheme="majorHAnsi"/>
                <w:b w:val="0"/>
                <w:bCs w:val="0"/>
                <w:sz w:val="16"/>
              </w:rPr>
              <w:t>Australian Border Force (ABF)</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17CAFCB" w14:textId="480C9DCE" w:rsidR="00DB3F1A" w:rsidRPr="00261CD7" w:rsidRDefault="00261CD7" w:rsidP="007E0AFE">
            <w:pPr>
              <w:cnfStyle w:val="000000100000" w:firstRow="0" w:lastRow="0" w:firstColumn="0" w:lastColumn="0" w:oddVBand="0" w:evenVBand="0" w:oddHBand="1" w:evenHBand="0" w:firstRowFirstColumn="0" w:firstRowLastColumn="0" w:lastRowFirstColumn="0" w:lastRowLastColumn="0"/>
              <w:rPr>
                <w:b/>
                <w:sz w:val="16"/>
                <w:szCs w:val="16"/>
              </w:rPr>
            </w:pPr>
            <w:r w:rsidRPr="00FE788A">
              <w:rPr>
                <w:sz w:val="16"/>
                <w:szCs w:val="16"/>
              </w:rPr>
              <w:t>Australian Federal Police (AFP)</w:t>
            </w:r>
          </w:p>
        </w:tc>
      </w:tr>
      <w:tr w:rsidR="00DB3F1A" w:rsidRPr="00574810" w14:paraId="771AB8BB"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52B069C" w14:textId="569AE730" w:rsidR="00DB3F1A" w:rsidRPr="006C2BBF" w:rsidRDefault="00DB3F1A" w:rsidP="007E0AFE">
            <w:pPr>
              <w:rPr>
                <w:rFonts w:asciiTheme="majorHAnsi" w:hAnsiTheme="majorHAnsi"/>
                <w:sz w:val="16"/>
              </w:rPr>
            </w:pPr>
            <w:r w:rsidRPr="006C2BBF">
              <w:rPr>
                <w:rFonts w:asciiTheme="majorHAnsi" w:hAnsiTheme="majorHAnsi"/>
                <w:b w:val="0"/>
                <w:bCs w:val="0"/>
                <w:sz w:val="16"/>
              </w:rPr>
              <w:t>Australian Border Force (ABF)</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EA97C84" w14:textId="4E204BE6" w:rsidR="00DB3F1A" w:rsidRPr="00261CD7" w:rsidRDefault="00261CD7"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FE788A">
              <w:rPr>
                <w:sz w:val="16"/>
                <w:szCs w:val="16"/>
              </w:rPr>
              <w:t>Commonwealth Director of Public Prosecutions (CDPP)</w:t>
            </w:r>
          </w:p>
        </w:tc>
      </w:tr>
      <w:tr w:rsidR="00DB3F1A" w:rsidRPr="00574810" w14:paraId="42836A72"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B854548" w14:textId="46977526" w:rsidR="00DB3F1A" w:rsidRPr="006C2BBF" w:rsidRDefault="00DB3F1A" w:rsidP="007E0AFE">
            <w:pPr>
              <w:rPr>
                <w:rFonts w:asciiTheme="majorHAnsi" w:hAnsiTheme="majorHAnsi"/>
                <w:sz w:val="16"/>
              </w:rPr>
            </w:pPr>
            <w:r w:rsidRPr="006C2BBF">
              <w:rPr>
                <w:rFonts w:asciiTheme="majorHAnsi" w:hAnsiTheme="majorHAnsi"/>
                <w:b w:val="0"/>
                <w:bCs w:val="0"/>
                <w:sz w:val="16"/>
              </w:rPr>
              <w:t>Australian Border Force (ABF)</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2BFC8B3" w14:textId="3D24328B" w:rsidR="00DB3F1A" w:rsidRPr="00574810" w:rsidRDefault="00261CD7" w:rsidP="007E0AFE">
            <w:pPr>
              <w:cnfStyle w:val="000000100000" w:firstRow="0" w:lastRow="0" w:firstColumn="0" w:lastColumn="0" w:oddVBand="0" w:evenVBand="0" w:oddHBand="1" w:evenHBand="0" w:firstRowFirstColumn="0" w:firstRowLastColumn="0" w:lastRowFirstColumn="0" w:lastRowLastColumn="0"/>
              <w:rPr>
                <w:sz w:val="16"/>
                <w:szCs w:val="16"/>
              </w:rPr>
            </w:pPr>
            <w:r w:rsidRPr="00FE788A">
              <w:rPr>
                <w:sz w:val="16"/>
                <w:szCs w:val="16"/>
              </w:rPr>
              <w:t>Department of Foreign Affairs and Trade (DFAT)</w:t>
            </w:r>
          </w:p>
        </w:tc>
      </w:tr>
      <w:tr w:rsidR="00261CD7" w:rsidRPr="00574810" w14:paraId="5275A07B"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A9CC5C3" w14:textId="55795120" w:rsidR="00261CD7" w:rsidRPr="00261CD7" w:rsidRDefault="00261CD7" w:rsidP="007E0AFE">
            <w:pPr>
              <w:rPr>
                <w:rFonts w:ascii="Barlow SemiBold" w:hAnsi="Barlow SemiBold"/>
                <w:b w:val="0"/>
                <w:bCs w:val="0"/>
                <w:sz w:val="16"/>
                <w:szCs w:val="16"/>
              </w:rPr>
            </w:pPr>
            <w:r w:rsidRPr="006C2BBF">
              <w:rPr>
                <w:rFonts w:ascii="Barlow SemiBold" w:hAnsi="Barlow SemiBold"/>
                <w:b w:val="0"/>
                <w:bCs w:val="0"/>
                <w:sz w:val="16"/>
              </w:rPr>
              <w:t>Department of Home Affairs (Home Affairs)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B5B8E7A" w14:textId="2A8ABC7F" w:rsidR="00261CD7" w:rsidRPr="00261CD7" w:rsidRDefault="00261CD7"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574810">
              <w:rPr>
                <w:sz w:val="16"/>
                <w:szCs w:val="16"/>
              </w:rPr>
              <w:t>Australian Institute of Criminology (AIC)</w:t>
            </w:r>
          </w:p>
        </w:tc>
      </w:tr>
      <w:tr w:rsidR="00261CD7" w:rsidRPr="00574810" w14:paraId="3FC8C479"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3400608E" w14:textId="716AD56D" w:rsidR="00261CD7" w:rsidRPr="006C2BBF" w:rsidRDefault="00261CD7" w:rsidP="007E0AFE">
            <w:pPr>
              <w:rPr>
                <w:rFonts w:ascii="Barlow SemiBold" w:hAnsi="Barlow SemiBold"/>
                <w:sz w:val="16"/>
              </w:rPr>
            </w:pPr>
            <w:r w:rsidRPr="006C2BBF">
              <w:rPr>
                <w:rFonts w:ascii="Barlow SemiBold" w:hAnsi="Barlow SemiBold"/>
                <w:b w:val="0"/>
                <w:bCs w:val="0"/>
                <w:sz w:val="16"/>
              </w:rPr>
              <w:t>Department of Home Affairs (Home Affairs)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D84EEC5" w14:textId="1680683E" w:rsidR="00261CD7" w:rsidRPr="00574810" w:rsidRDefault="00261CD7" w:rsidP="007E0AFE">
            <w:pPr>
              <w:cnfStyle w:val="000000100000" w:firstRow="0" w:lastRow="0" w:firstColumn="0" w:lastColumn="0" w:oddVBand="0" w:evenVBand="0" w:oddHBand="1" w:evenHBand="0" w:firstRowFirstColumn="0" w:firstRowLastColumn="0" w:lastRowFirstColumn="0" w:lastRowLastColumn="0"/>
              <w:rPr>
                <w:sz w:val="16"/>
                <w:szCs w:val="16"/>
              </w:rPr>
            </w:pPr>
            <w:r w:rsidRPr="00574810">
              <w:rPr>
                <w:sz w:val="16"/>
                <w:szCs w:val="16"/>
              </w:rPr>
              <w:t>State and Territory Child Protection, Housing and Support Services</w:t>
            </w:r>
          </w:p>
        </w:tc>
      </w:tr>
      <w:tr w:rsidR="00261CD7" w:rsidRPr="00574810" w14:paraId="3254A951"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433FEF87" w14:textId="18F4607E" w:rsidR="00261CD7" w:rsidRPr="00261CD7" w:rsidRDefault="00261CD7" w:rsidP="007E0AFE">
            <w:pPr>
              <w:rPr>
                <w:rFonts w:asciiTheme="majorHAnsi" w:hAnsiTheme="majorHAnsi"/>
                <w:b w:val="0"/>
                <w:sz w:val="16"/>
                <w:szCs w:val="16"/>
              </w:rPr>
            </w:pPr>
            <w:r w:rsidRPr="00574810">
              <w:rPr>
                <w:rFonts w:asciiTheme="majorHAnsi" w:hAnsiTheme="majorHAnsi"/>
                <w:b w:val="0"/>
                <w:sz w:val="16"/>
                <w:szCs w:val="16"/>
              </w:rPr>
              <w:t>Governance Framework</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6D4F200" w14:textId="72269159" w:rsidR="00261CD7" w:rsidRPr="00261CD7" w:rsidRDefault="00261CD7"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574810">
              <w:rPr>
                <w:sz w:val="16"/>
                <w:szCs w:val="16"/>
              </w:rPr>
              <w:t xml:space="preserve">National Roundtable on Human Trafficking and Slavery and its sub-committees, Senior Officials Meeting of the National Roundtable on Human Trafficking and Slavery (SOM) </w:t>
            </w:r>
          </w:p>
        </w:tc>
      </w:tr>
      <w:tr w:rsidR="00261CD7" w:rsidRPr="00574810" w14:paraId="16CFD196"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7DF7585" w14:textId="0302AEB1" w:rsidR="00261CD7" w:rsidRPr="00261CD7" w:rsidRDefault="00261CD7" w:rsidP="007E0AFE">
            <w:pPr>
              <w:rPr>
                <w:rFonts w:asciiTheme="majorHAnsi" w:hAnsiTheme="majorHAnsi"/>
                <w:b w:val="0"/>
                <w:sz w:val="16"/>
                <w:szCs w:val="16"/>
              </w:rPr>
            </w:pPr>
            <w:r w:rsidRPr="00574810">
              <w:rPr>
                <w:rFonts w:asciiTheme="majorHAnsi" w:hAnsiTheme="majorHAnsi"/>
                <w:b w:val="0"/>
                <w:sz w:val="16"/>
                <w:szCs w:val="16"/>
              </w:rPr>
              <w:lastRenderedPageBreak/>
              <w:t>Governance Framework</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2AC4B41" w14:textId="5381FE52" w:rsidR="00261CD7" w:rsidRPr="00574810" w:rsidRDefault="00261CD7" w:rsidP="007E0AFE">
            <w:pPr>
              <w:cnfStyle w:val="000000100000" w:firstRow="0" w:lastRow="0" w:firstColumn="0" w:lastColumn="0" w:oddVBand="0" w:evenVBand="0" w:oddHBand="1" w:evenHBand="0" w:firstRowFirstColumn="0" w:firstRowLastColumn="0" w:lastRowFirstColumn="0" w:lastRowLastColumn="0"/>
              <w:rPr>
                <w:sz w:val="16"/>
                <w:szCs w:val="16"/>
              </w:rPr>
            </w:pPr>
            <w:r w:rsidRPr="00574810">
              <w:rPr>
                <w:sz w:val="16"/>
                <w:szCs w:val="16"/>
              </w:rPr>
              <w:t>Interdepartmental Committee on Human Trafficking and Slavery (IDC) and its sub-committee, Operational Working Group (OWG)</w:t>
            </w:r>
          </w:p>
        </w:tc>
      </w:tr>
      <w:tr w:rsidR="00261CD7" w:rsidRPr="00574810" w14:paraId="7A82D057"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2497F40" w14:textId="45142DC2" w:rsidR="00261CD7" w:rsidRPr="00261CD7" w:rsidRDefault="00261CD7" w:rsidP="007E0AFE">
            <w:pPr>
              <w:rPr>
                <w:rFonts w:asciiTheme="majorHAnsi" w:hAnsiTheme="majorHAnsi"/>
                <w:b w:val="0"/>
                <w:sz w:val="16"/>
                <w:szCs w:val="16"/>
              </w:rPr>
            </w:pPr>
            <w:r w:rsidRPr="00574810">
              <w:rPr>
                <w:rFonts w:asciiTheme="majorHAnsi" w:hAnsiTheme="majorHAnsi"/>
                <w:b w:val="0"/>
                <w:sz w:val="16"/>
                <w:szCs w:val="16"/>
              </w:rPr>
              <w:t>Participants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8A3AF24" w14:textId="4F034370" w:rsidR="00261CD7" w:rsidRPr="00574810" w:rsidRDefault="00261CD7" w:rsidP="007E0AF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People with HTMS experiences</w:t>
            </w:r>
            <w:r w:rsidRPr="00574810">
              <w:rPr>
                <w:sz w:val="16"/>
                <w:szCs w:val="16"/>
              </w:rPr>
              <w:t xml:space="preserve"> as outlined in s270 and s271 of the Criminal Code and referred to the STPP by the </w:t>
            </w:r>
            <w:r>
              <w:rPr>
                <w:sz w:val="16"/>
                <w:szCs w:val="16"/>
              </w:rPr>
              <w:t xml:space="preserve">Additional </w:t>
            </w:r>
            <w:r w:rsidRPr="00574810">
              <w:rPr>
                <w:sz w:val="16"/>
                <w:szCs w:val="16"/>
              </w:rPr>
              <w:t>Referral Pathway Stakeholders.</w:t>
            </w:r>
          </w:p>
        </w:tc>
      </w:tr>
    </w:tbl>
    <w:p w14:paraId="724F1182" w14:textId="340ACB75" w:rsidR="00835D4D" w:rsidRDefault="00835D4D" w:rsidP="00835D4D">
      <w:pPr>
        <w:pStyle w:val="Caption"/>
      </w:pPr>
      <w:r>
        <w:t xml:space="preserve">Table </w:t>
      </w:r>
      <w:r>
        <w:fldChar w:fldCharType="begin"/>
      </w:r>
      <w:r>
        <w:instrText xml:space="preserve"> SEQ Table \* ARABIC </w:instrText>
      </w:r>
      <w:r>
        <w:fldChar w:fldCharType="separate"/>
      </w:r>
      <w:r w:rsidR="00D9323B">
        <w:rPr>
          <w:noProof/>
        </w:rPr>
        <w:t>54</w:t>
      </w:r>
      <w:r>
        <w:fldChar w:fldCharType="end"/>
      </w:r>
      <w:r>
        <w:t>.</w:t>
      </w:r>
      <w:r w:rsidR="00981634" w:rsidRPr="00981634">
        <w:t xml:space="preserve"> Activities</w:t>
      </w:r>
    </w:p>
    <w:tbl>
      <w:tblPr>
        <w:tblStyle w:val="ListTable3"/>
        <w:tblW w:w="5159" w:type="pct"/>
        <w:tblInd w:w="-431" w:type="dxa"/>
        <w:tblBorders>
          <w:insideH w:val="single" w:sz="4" w:space="0" w:color="212A31" w:themeColor="text1" w:themeShade="80"/>
          <w:insideV w:val="single" w:sz="4" w:space="0" w:color="212A31" w:themeColor="text1" w:themeShade="80"/>
        </w:tblBorders>
        <w:tblLook w:val="04A0" w:firstRow="1" w:lastRow="0" w:firstColumn="1" w:lastColumn="0" w:noHBand="0" w:noVBand="1"/>
      </w:tblPr>
      <w:tblGrid>
        <w:gridCol w:w="7073"/>
        <w:gridCol w:w="7074"/>
      </w:tblGrid>
      <w:tr w:rsidR="00981634" w:rsidRPr="00930AA5" w14:paraId="0810567A" w14:textId="77777777" w:rsidTr="006D65D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00" w:type="pct"/>
            <w:tcBorders>
              <w:top w:val="single" w:sz="4" w:space="0" w:color="425563" w:themeColor="text1"/>
              <w:bottom w:val="single" w:sz="4" w:space="0" w:color="212A31" w:themeColor="text1" w:themeShade="80"/>
            </w:tcBorders>
          </w:tcPr>
          <w:p w14:paraId="58F50AF7" w14:textId="5CDA3E06" w:rsidR="00981634" w:rsidRPr="00930AA5" w:rsidRDefault="00981634" w:rsidP="007E0AFE">
            <w:pPr>
              <w:rPr>
                <w:rFonts w:asciiTheme="majorHAnsi" w:hAnsiTheme="majorHAnsi"/>
                <w:bCs w:val="0"/>
                <w:color w:val="FFFFFF" w:themeColor="background1"/>
                <w:sz w:val="16"/>
                <w:szCs w:val="16"/>
              </w:rPr>
            </w:pPr>
            <w:r>
              <w:rPr>
                <w:rFonts w:asciiTheme="majorHAnsi" w:hAnsiTheme="majorHAnsi"/>
                <w:color w:val="FFFFFF" w:themeColor="background1"/>
                <w:sz w:val="16"/>
                <w:szCs w:val="16"/>
              </w:rPr>
              <w:t>Stakeholder</w:t>
            </w:r>
          </w:p>
        </w:tc>
        <w:tc>
          <w:tcPr>
            <w:tcW w:w="2500" w:type="pct"/>
            <w:tcBorders>
              <w:top w:val="single" w:sz="4" w:space="0" w:color="425563" w:themeColor="text1"/>
              <w:bottom w:val="single" w:sz="4" w:space="0" w:color="212A31" w:themeColor="text1" w:themeShade="80"/>
            </w:tcBorders>
          </w:tcPr>
          <w:p w14:paraId="0CEA000B" w14:textId="0227976E" w:rsidR="00981634" w:rsidRPr="00930AA5" w:rsidRDefault="00981634" w:rsidP="007E0AFE">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sz w:val="16"/>
                <w:szCs w:val="16"/>
              </w:rPr>
            </w:pPr>
            <w:r>
              <w:rPr>
                <w:rFonts w:asciiTheme="majorHAnsi" w:hAnsiTheme="majorHAnsi"/>
                <w:b w:val="0"/>
                <w:color w:val="FFFFFF" w:themeColor="background1"/>
                <w:sz w:val="16"/>
                <w:szCs w:val="16"/>
              </w:rPr>
              <w:t>Activities</w:t>
            </w:r>
          </w:p>
        </w:tc>
      </w:tr>
      <w:tr w:rsidR="00261CD7" w:rsidRPr="00574810" w14:paraId="2B33FAEE"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75D24DCD" w14:textId="38A704BA" w:rsidR="00261CD7" w:rsidRPr="00574810" w:rsidRDefault="00261CD7" w:rsidP="007E0AFE">
            <w:pPr>
              <w:rPr>
                <w:rFonts w:asciiTheme="majorHAnsi" w:hAnsiTheme="majorHAnsi"/>
                <w:bCs w:val="0"/>
                <w:sz w:val="16"/>
                <w:szCs w:val="16"/>
              </w:rPr>
            </w:pPr>
            <w:r w:rsidRPr="001B5777">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1FFF9641" w14:textId="7A08AD0B" w:rsidR="00261CD7" w:rsidRPr="00DB3F1A" w:rsidRDefault="00261CD7" w:rsidP="007E0AFE">
            <w:pPr>
              <w:cnfStyle w:val="000000100000" w:firstRow="0" w:lastRow="0" w:firstColumn="0" w:lastColumn="0" w:oddVBand="0" w:evenVBand="0" w:oddHBand="1" w:evenHBand="0" w:firstRowFirstColumn="0" w:firstRowLastColumn="0" w:lastRowFirstColumn="0" w:lastRowLastColumn="0"/>
              <w:rPr>
                <w:sz w:val="16"/>
                <w:szCs w:val="16"/>
              </w:rPr>
            </w:pPr>
            <w:r w:rsidRPr="007D489A">
              <w:rPr>
                <w:sz w:val="16"/>
                <w:szCs w:val="16"/>
              </w:rPr>
              <w:t xml:space="preserve">Support the </w:t>
            </w:r>
            <w:hyperlink r:id="rId38" w:history="1">
              <w:r w:rsidRPr="007D489A">
                <w:rPr>
                  <w:sz w:val="16"/>
                  <w:szCs w:val="16"/>
                </w:rPr>
                <w:t>National Action Plan to Combat Modern Slavery 2020-25</w:t>
              </w:r>
            </w:hyperlink>
            <w:r w:rsidRPr="007D489A">
              <w:rPr>
                <w:sz w:val="16"/>
                <w:szCs w:val="16"/>
              </w:rPr>
              <w:t xml:space="preserve"> (National Action Plan) and assist the </w:t>
            </w:r>
            <w:hyperlink r:id="rId39" w:history="1">
              <w:r w:rsidRPr="007D489A">
                <w:rPr>
                  <w:sz w:val="16"/>
                  <w:szCs w:val="16"/>
                </w:rPr>
                <w:t>National Plan to End Violence against Women and Children 2022-2032</w:t>
              </w:r>
            </w:hyperlink>
            <w:r w:rsidRPr="007D489A">
              <w:rPr>
                <w:sz w:val="16"/>
                <w:szCs w:val="16"/>
              </w:rPr>
              <w:t xml:space="preserve"> (National Plan)</w:t>
            </w:r>
          </w:p>
        </w:tc>
      </w:tr>
      <w:tr w:rsidR="00261CD7" w:rsidRPr="00574810" w14:paraId="6E095F15"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42E4299" w14:textId="47BEFA79" w:rsidR="00261CD7" w:rsidRPr="00DB3F1A" w:rsidRDefault="00261CD7" w:rsidP="007E0AFE">
            <w:pPr>
              <w:rPr>
                <w:rFonts w:asciiTheme="majorHAnsi" w:hAnsiTheme="majorHAnsi"/>
                <w:b w:val="0"/>
                <w:sz w:val="16"/>
                <w:szCs w:val="16"/>
              </w:rPr>
            </w:pPr>
            <w:r w:rsidRPr="001B5777">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DBD9BA7" w14:textId="677F7A1A" w:rsidR="00261CD7" w:rsidRPr="00DB3F1A" w:rsidRDefault="00261CD7"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7D489A">
              <w:rPr>
                <w:sz w:val="16"/>
                <w:szCs w:val="16"/>
              </w:rPr>
              <w:t xml:space="preserve">Design, implement and operate the STPP and ARP and any enhancements </w:t>
            </w:r>
          </w:p>
        </w:tc>
      </w:tr>
      <w:tr w:rsidR="00261CD7" w:rsidRPr="00574810" w14:paraId="74795D9F"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7891ADEC" w14:textId="6A0A4792" w:rsidR="00261CD7" w:rsidRPr="00DB3F1A" w:rsidRDefault="00261CD7" w:rsidP="007E0AFE">
            <w:pPr>
              <w:rPr>
                <w:rFonts w:asciiTheme="majorHAnsi" w:hAnsiTheme="majorHAnsi"/>
                <w:b w:val="0"/>
                <w:sz w:val="16"/>
                <w:szCs w:val="16"/>
              </w:rPr>
            </w:pPr>
            <w:r w:rsidRPr="001B5777">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7CA3C56" w14:textId="56F15E2D" w:rsidR="00261CD7" w:rsidRPr="00574810" w:rsidRDefault="00261CD7" w:rsidP="007E0AFE">
            <w:pPr>
              <w:cnfStyle w:val="000000100000" w:firstRow="0" w:lastRow="0" w:firstColumn="0" w:lastColumn="0" w:oddVBand="0" w:evenVBand="0" w:oddHBand="1" w:evenHBand="0" w:firstRowFirstColumn="0" w:firstRowLastColumn="0" w:lastRowFirstColumn="0" w:lastRowLastColumn="0"/>
              <w:rPr>
                <w:sz w:val="16"/>
                <w:szCs w:val="16"/>
              </w:rPr>
            </w:pPr>
            <w:r w:rsidRPr="007D489A">
              <w:rPr>
                <w:sz w:val="16"/>
                <w:szCs w:val="16"/>
              </w:rPr>
              <w:t>Stakeholder engagement</w:t>
            </w:r>
          </w:p>
        </w:tc>
      </w:tr>
      <w:tr w:rsidR="00261CD7" w:rsidRPr="00574810" w14:paraId="0F145B3A"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F09874F" w14:textId="720701D6" w:rsidR="00261CD7" w:rsidRPr="00DB3F1A" w:rsidRDefault="00261CD7" w:rsidP="007E0AFE">
            <w:pPr>
              <w:rPr>
                <w:rFonts w:asciiTheme="majorHAnsi" w:hAnsiTheme="majorHAnsi"/>
                <w:b w:val="0"/>
                <w:sz w:val="16"/>
                <w:szCs w:val="16"/>
              </w:rPr>
            </w:pPr>
            <w:r w:rsidRPr="001B5777">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5B98C6ED" w14:textId="734056DF" w:rsidR="00261CD7" w:rsidRPr="00DB3F1A" w:rsidRDefault="00261CD7"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7D489A">
              <w:rPr>
                <w:sz w:val="16"/>
                <w:szCs w:val="16"/>
              </w:rPr>
              <w:t xml:space="preserve">Data collection and reporting </w:t>
            </w:r>
          </w:p>
        </w:tc>
      </w:tr>
      <w:tr w:rsidR="00261CD7" w:rsidRPr="00574810" w14:paraId="748620A6"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AFC6D7B" w14:textId="1AE62799" w:rsidR="00261CD7" w:rsidRPr="00DB3F1A" w:rsidRDefault="00261CD7" w:rsidP="007E0AFE">
            <w:pPr>
              <w:rPr>
                <w:rFonts w:asciiTheme="majorHAnsi" w:hAnsiTheme="majorHAnsi"/>
                <w:bCs w:val="0"/>
                <w:sz w:val="16"/>
                <w:szCs w:val="16"/>
              </w:rPr>
            </w:pPr>
            <w:r w:rsidRPr="001B5777">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100BE01" w14:textId="04EC9F48" w:rsidR="00261CD7" w:rsidRPr="00DB3F1A" w:rsidRDefault="00261CD7" w:rsidP="007E0AFE">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7D489A">
              <w:rPr>
                <w:sz w:val="16"/>
                <w:szCs w:val="16"/>
              </w:rPr>
              <w:t>Manage grant agreements with service providers</w:t>
            </w:r>
          </w:p>
        </w:tc>
      </w:tr>
      <w:tr w:rsidR="00261CD7" w:rsidRPr="00574810" w14:paraId="6ABD7210"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89F7CE9" w14:textId="658B346B" w:rsidR="00261CD7" w:rsidRPr="00DB3F1A" w:rsidRDefault="00261CD7" w:rsidP="007E0AFE">
            <w:pPr>
              <w:rPr>
                <w:rFonts w:asciiTheme="majorHAnsi" w:hAnsiTheme="majorHAnsi"/>
                <w:b w:val="0"/>
                <w:sz w:val="16"/>
                <w:szCs w:val="16"/>
              </w:rPr>
            </w:pPr>
            <w:r w:rsidRPr="001B5777">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987D32E" w14:textId="1FB4F509" w:rsidR="00261CD7" w:rsidRPr="00574810" w:rsidRDefault="00261CD7" w:rsidP="007E0AFE">
            <w:pPr>
              <w:cnfStyle w:val="000000000000" w:firstRow="0" w:lastRow="0" w:firstColumn="0" w:lastColumn="0" w:oddVBand="0" w:evenVBand="0" w:oddHBand="0" w:evenHBand="0" w:firstRowFirstColumn="0" w:firstRowLastColumn="0" w:lastRowFirstColumn="0" w:lastRowLastColumn="0"/>
              <w:rPr>
                <w:sz w:val="16"/>
                <w:szCs w:val="16"/>
              </w:rPr>
            </w:pPr>
            <w:r w:rsidRPr="007D489A">
              <w:rPr>
                <w:sz w:val="16"/>
                <w:szCs w:val="16"/>
              </w:rPr>
              <w:t>Continue to enhance the program and the body of knowledge on human trafficking and modern slavery (HTMS) in Australia</w:t>
            </w:r>
          </w:p>
        </w:tc>
      </w:tr>
      <w:tr w:rsidR="00261CD7" w:rsidRPr="00574810" w14:paraId="35C28500"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0CDAE73" w14:textId="0C96C6A0" w:rsidR="00261CD7" w:rsidRPr="00DB3F1A" w:rsidRDefault="00261CD7" w:rsidP="007E0AFE">
            <w:pPr>
              <w:rPr>
                <w:rFonts w:asciiTheme="majorHAnsi" w:hAnsiTheme="majorHAnsi"/>
                <w:b w:val="0"/>
                <w:bCs w:val="0"/>
                <w:sz w:val="16"/>
                <w:szCs w:val="16"/>
              </w:rPr>
            </w:pPr>
            <w:r w:rsidRPr="001B5777">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DAA350F" w14:textId="4E82843D" w:rsidR="00261CD7" w:rsidRPr="00261CD7" w:rsidRDefault="00261CD7" w:rsidP="007E0AFE">
            <w:pPr>
              <w:cnfStyle w:val="000000100000" w:firstRow="0" w:lastRow="0" w:firstColumn="0" w:lastColumn="0" w:oddVBand="0" w:evenVBand="0" w:oddHBand="1" w:evenHBand="0" w:firstRowFirstColumn="0" w:firstRowLastColumn="0" w:lastRowFirstColumn="0" w:lastRowLastColumn="0"/>
              <w:rPr>
                <w:b/>
                <w:sz w:val="16"/>
                <w:szCs w:val="16"/>
              </w:rPr>
            </w:pPr>
            <w:r w:rsidRPr="007D489A">
              <w:rPr>
                <w:sz w:val="16"/>
                <w:szCs w:val="16"/>
              </w:rPr>
              <w:t>Awareness raising of ARP and STPP</w:t>
            </w:r>
          </w:p>
        </w:tc>
      </w:tr>
      <w:tr w:rsidR="00261CD7" w:rsidRPr="00574810" w14:paraId="390D7FAE"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2751C75" w14:textId="0B432FA0" w:rsidR="00261CD7" w:rsidRPr="00261CD7" w:rsidRDefault="00261CD7" w:rsidP="007E0AFE">
            <w:pPr>
              <w:rPr>
                <w:rFonts w:asciiTheme="majorHAnsi" w:hAnsiTheme="majorHAnsi"/>
                <w:b w:val="0"/>
                <w:bCs w:val="0"/>
                <w:sz w:val="16"/>
                <w:szCs w:val="16"/>
              </w:rPr>
            </w:pPr>
            <w:r w:rsidRPr="00DB3F1A">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1D1649B" w14:textId="404E0BF5" w:rsidR="00261CD7" w:rsidRPr="00261CD7" w:rsidRDefault="00261CD7"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B10A90">
              <w:rPr>
                <w:sz w:val="16"/>
                <w:szCs w:val="16"/>
              </w:rPr>
              <w:t xml:space="preserve">Conduct safety risk assessments and implement Safety Plans for </w:t>
            </w:r>
            <w:proofErr w:type="gramStart"/>
            <w:r w:rsidRPr="00B10A90">
              <w:rPr>
                <w:sz w:val="16"/>
                <w:szCs w:val="16"/>
              </w:rPr>
              <w:t>each individual</w:t>
            </w:r>
            <w:proofErr w:type="gramEnd"/>
          </w:p>
        </w:tc>
      </w:tr>
      <w:tr w:rsidR="00261CD7" w:rsidRPr="00574810" w14:paraId="562B5072"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5E7F9DF" w14:textId="43145E67" w:rsidR="00261CD7" w:rsidRPr="006C2BBF" w:rsidRDefault="00261CD7" w:rsidP="007E0AFE">
            <w:pPr>
              <w:rPr>
                <w:rFonts w:asciiTheme="majorHAnsi" w:hAnsiTheme="majorHAnsi"/>
                <w:sz w:val="16"/>
              </w:rPr>
            </w:pPr>
            <w:r w:rsidRPr="00DB3F1A">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F69BAAD" w14:textId="255F00E3" w:rsidR="00261CD7" w:rsidRPr="00574810" w:rsidRDefault="00261CD7" w:rsidP="007E0AFE">
            <w:pPr>
              <w:cnfStyle w:val="000000100000" w:firstRow="0" w:lastRow="0" w:firstColumn="0" w:lastColumn="0" w:oddVBand="0" w:evenVBand="0" w:oddHBand="1" w:evenHBand="0" w:firstRowFirstColumn="0" w:firstRowLastColumn="0" w:lastRowFirstColumn="0" w:lastRowLastColumn="0"/>
              <w:rPr>
                <w:sz w:val="16"/>
                <w:szCs w:val="16"/>
              </w:rPr>
            </w:pPr>
            <w:r w:rsidRPr="00B10A90">
              <w:rPr>
                <w:sz w:val="16"/>
                <w:szCs w:val="16"/>
              </w:rPr>
              <w:t xml:space="preserve">Provide financial support through the </w:t>
            </w:r>
            <w:proofErr w:type="gramStart"/>
            <w:r w:rsidRPr="00B10A90">
              <w:rPr>
                <w:sz w:val="16"/>
                <w:szCs w:val="16"/>
              </w:rPr>
              <w:t>allowances</w:t>
            </w:r>
            <w:proofErr w:type="gramEnd"/>
            <w:r w:rsidRPr="00B10A90">
              <w:rPr>
                <w:sz w:val="16"/>
                <w:szCs w:val="16"/>
              </w:rPr>
              <w:t xml:space="preserve"> framework </w:t>
            </w:r>
          </w:p>
        </w:tc>
      </w:tr>
      <w:tr w:rsidR="00261CD7" w:rsidRPr="00574810" w14:paraId="509500BC"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6B9F7D6" w14:textId="7D8E6908" w:rsidR="00261CD7" w:rsidRPr="00261CD7" w:rsidRDefault="00261CD7" w:rsidP="007E0AFE">
            <w:pPr>
              <w:rPr>
                <w:rFonts w:ascii="Barlow SemiBold" w:hAnsi="Barlow SemiBold"/>
                <w:b w:val="0"/>
                <w:bCs w:val="0"/>
                <w:sz w:val="16"/>
                <w:szCs w:val="16"/>
              </w:rPr>
            </w:pPr>
            <w:r w:rsidRPr="00DB3F1A">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7659F17" w14:textId="68E9BC2E" w:rsidR="00261CD7" w:rsidRPr="00261CD7" w:rsidRDefault="00261CD7"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B10A90">
              <w:rPr>
                <w:sz w:val="16"/>
                <w:szCs w:val="16"/>
              </w:rPr>
              <w:t>Provide referral and support to access other services as per individual needs</w:t>
            </w:r>
          </w:p>
        </w:tc>
      </w:tr>
      <w:tr w:rsidR="00261CD7" w:rsidRPr="00574810" w14:paraId="3EA32071"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7F49FBCB" w14:textId="1BECE73B" w:rsidR="00261CD7" w:rsidRPr="006C2BBF" w:rsidRDefault="00261CD7" w:rsidP="007E0AFE">
            <w:pPr>
              <w:rPr>
                <w:rFonts w:ascii="Barlow SemiBold" w:hAnsi="Barlow SemiBold"/>
                <w:sz w:val="16"/>
              </w:rPr>
            </w:pPr>
            <w:r w:rsidRPr="00DB3F1A">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0A145DE" w14:textId="77777777" w:rsidR="00261CD7" w:rsidRDefault="00261CD7" w:rsidP="007E0AFE">
            <w:pPr>
              <w:cnfStyle w:val="000000100000" w:firstRow="0" w:lastRow="0" w:firstColumn="0" w:lastColumn="0" w:oddVBand="0" w:evenVBand="0" w:oddHBand="1" w:evenHBand="0" w:firstRowFirstColumn="0" w:firstRowLastColumn="0" w:lastRowFirstColumn="0" w:lastRowLastColumn="0"/>
              <w:rPr>
                <w:sz w:val="16"/>
                <w:szCs w:val="16"/>
              </w:rPr>
            </w:pPr>
            <w:r w:rsidRPr="00B10A90">
              <w:rPr>
                <w:sz w:val="16"/>
                <w:szCs w:val="16"/>
              </w:rPr>
              <w:t>Deliver intensive case management and social support through 5 streams:</w:t>
            </w:r>
          </w:p>
          <w:p w14:paraId="26025122" w14:textId="77777777" w:rsidR="00261CD7" w:rsidRPr="00F54A9C" w:rsidRDefault="00261CD7" w:rsidP="007E0AFE">
            <w:pPr>
              <w:pStyle w:val="Bullet1"/>
              <w:cnfStyle w:val="000000100000" w:firstRow="0" w:lastRow="0" w:firstColumn="0" w:lastColumn="0" w:oddVBand="0" w:evenVBand="0" w:oddHBand="1" w:evenHBand="0" w:firstRowFirstColumn="0" w:firstRowLastColumn="0" w:lastRowFirstColumn="0" w:lastRowLastColumn="0"/>
              <w:rPr>
                <w:sz w:val="16"/>
                <w:szCs w:val="16"/>
              </w:rPr>
            </w:pPr>
            <w:r w:rsidRPr="00F54A9C">
              <w:rPr>
                <w:sz w:val="16"/>
                <w:szCs w:val="16"/>
              </w:rPr>
              <w:t>Intensive Support Stream (ISS) – 90 days of support</w:t>
            </w:r>
          </w:p>
          <w:p w14:paraId="41EF4604" w14:textId="77777777" w:rsidR="00261CD7" w:rsidRPr="00F54A9C" w:rsidRDefault="00261CD7" w:rsidP="007E0AFE">
            <w:pPr>
              <w:pStyle w:val="Bullet1"/>
              <w:cnfStyle w:val="000000100000" w:firstRow="0" w:lastRow="0" w:firstColumn="0" w:lastColumn="0" w:oddVBand="0" w:evenVBand="0" w:oddHBand="1" w:evenHBand="0" w:firstRowFirstColumn="0" w:firstRowLastColumn="0" w:lastRowFirstColumn="0" w:lastRowLastColumn="0"/>
              <w:rPr>
                <w:sz w:val="16"/>
                <w:szCs w:val="16"/>
              </w:rPr>
            </w:pPr>
            <w:r w:rsidRPr="00F54A9C">
              <w:rPr>
                <w:sz w:val="16"/>
                <w:szCs w:val="16"/>
              </w:rPr>
              <w:t>Forced Marriage Support Stream (FMSS) – further 90 days of support</w:t>
            </w:r>
          </w:p>
          <w:p w14:paraId="135DD7EE" w14:textId="77777777" w:rsidR="00261CD7" w:rsidRPr="00F54A9C" w:rsidRDefault="00261CD7" w:rsidP="007E0AFE">
            <w:pPr>
              <w:pStyle w:val="Bullet1"/>
              <w:cnfStyle w:val="000000100000" w:firstRow="0" w:lastRow="0" w:firstColumn="0" w:lastColumn="0" w:oddVBand="0" w:evenVBand="0" w:oddHBand="1" w:evenHBand="0" w:firstRowFirstColumn="0" w:firstRowLastColumn="0" w:lastRowFirstColumn="0" w:lastRowLastColumn="0"/>
              <w:rPr>
                <w:sz w:val="16"/>
                <w:szCs w:val="16"/>
              </w:rPr>
            </w:pPr>
            <w:r w:rsidRPr="00F54A9C">
              <w:rPr>
                <w:sz w:val="16"/>
                <w:szCs w:val="16"/>
              </w:rPr>
              <w:t>Justice Support Stream (JSS) – support until the investigation and any prosecution is finalised</w:t>
            </w:r>
          </w:p>
          <w:p w14:paraId="12317C16" w14:textId="77777777" w:rsidR="00261CD7" w:rsidRPr="00F54A9C" w:rsidRDefault="00261CD7" w:rsidP="007E0AFE">
            <w:pPr>
              <w:pStyle w:val="Bullet1"/>
              <w:cnfStyle w:val="000000100000" w:firstRow="0" w:lastRow="0" w:firstColumn="0" w:lastColumn="0" w:oddVBand="0" w:evenVBand="0" w:oddHBand="1" w:evenHBand="0" w:firstRowFirstColumn="0" w:firstRowLastColumn="0" w:lastRowFirstColumn="0" w:lastRowLastColumn="0"/>
              <w:rPr>
                <w:sz w:val="16"/>
                <w:szCs w:val="16"/>
              </w:rPr>
            </w:pPr>
            <w:r w:rsidRPr="00F54A9C">
              <w:rPr>
                <w:sz w:val="16"/>
                <w:szCs w:val="16"/>
              </w:rPr>
              <w:t>Temporary Trial Support Stream –support for people who return to Australia to give evidence to a prosecution case</w:t>
            </w:r>
          </w:p>
          <w:p w14:paraId="544D903C" w14:textId="2EDE95C5" w:rsidR="00261CD7" w:rsidRPr="00261CD7" w:rsidRDefault="00261CD7" w:rsidP="007E0AFE">
            <w:pPr>
              <w:pStyle w:val="Bullet1"/>
              <w:cnfStyle w:val="000000100000" w:firstRow="0" w:lastRow="0" w:firstColumn="0" w:lastColumn="0" w:oddVBand="0" w:evenVBand="0" w:oddHBand="1" w:evenHBand="0" w:firstRowFirstColumn="0" w:firstRowLastColumn="0" w:lastRowFirstColumn="0" w:lastRowLastColumn="0"/>
              <w:rPr>
                <w:sz w:val="18"/>
                <w:szCs w:val="18"/>
              </w:rPr>
            </w:pPr>
            <w:r w:rsidRPr="00F54A9C">
              <w:rPr>
                <w:sz w:val="16"/>
                <w:szCs w:val="16"/>
              </w:rPr>
              <w:t xml:space="preserve">Transition Stream – 20 working day period for participants leaving the STPP </w:t>
            </w:r>
          </w:p>
        </w:tc>
      </w:tr>
      <w:tr w:rsidR="00F54A9C" w:rsidRPr="00574810" w14:paraId="190F4652"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320764E" w14:textId="04C477A2" w:rsidR="00F54A9C" w:rsidRPr="00261CD7" w:rsidRDefault="00F54A9C" w:rsidP="007E0AFE">
            <w:pPr>
              <w:rPr>
                <w:rFonts w:asciiTheme="majorHAnsi" w:hAnsiTheme="majorHAnsi"/>
                <w:b w:val="0"/>
                <w:sz w:val="16"/>
                <w:szCs w:val="16"/>
              </w:rPr>
            </w:pPr>
            <w:r w:rsidRPr="00DB3F1A">
              <w:rPr>
                <w:rFonts w:asciiTheme="majorHAnsi" w:hAnsiTheme="majorHAnsi"/>
                <w:b w:val="0"/>
                <w:bCs w:val="0"/>
                <w:sz w:val="16"/>
                <w:szCs w:val="16"/>
              </w:rPr>
              <w:lastRenderedPageBreak/>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5F674D59" w14:textId="52C17C7A" w:rsidR="00F54A9C" w:rsidRPr="00261CD7" w:rsidRDefault="00F54A9C"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D62504">
              <w:rPr>
                <w:sz w:val="16"/>
                <w:szCs w:val="16"/>
              </w:rPr>
              <w:t>Post Exit Check-in – caseworker may contact participants in 3, 6, and 12 months to provide some additional assistance to embed positive recovery outcomes</w:t>
            </w:r>
          </w:p>
        </w:tc>
      </w:tr>
      <w:tr w:rsidR="00F54A9C" w:rsidRPr="00574810" w14:paraId="2DDD487D"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7A097C58" w14:textId="080885F5" w:rsidR="00F54A9C" w:rsidRPr="00261CD7" w:rsidRDefault="00F54A9C" w:rsidP="007E0AFE">
            <w:pPr>
              <w:rPr>
                <w:rFonts w:asciiTheme="majorHAnsi" w:hAnsiTheme="majorHAnsi"/>
                <w:b w:val="0"/>
                <w:sz w:val="16"/>
                <w:szCs w:val="16"/>
              </w:rPr>
            </w:pPr>
            <w:r w:rsidRPr="00DB3F1A">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58F443E3" w14:textId="69FBD70A" w:rsidR="00F54A9C" w:rsidRPr="00574810" w:rsidRDefault="00F54A9C" w:rsidP="007E0AFE">
            <w:pPr>
              <w:cnfStyle w:val="000000100000" w:firstRow="0" w:lastRow="0" w:firstColumn="0" w:lastColumn="0" w:oddVBand="0" w:evenVBand="0" w:oddHBand="1" w:evenHBand="0" w:firstRowFirstColumn="0" w:firstRowLastColumn="0" w:lastRowFirstColumn="0" w:lastRowLastColumn="0"/>
              <w:rPr>
                <w:sz w:val="16"/>
                <w:szCs w:val="16"/>
              </w:rPr>
            </w:pPr>
            <w:r w:rsidRPr="00D62504">
              <w:rPr>
                <w:sz w:val="16"/>
                <w:szCs w:val="16"/>
              </w:rPr>
              <w:t xml:space="preserve">Data collection and reporting </w:t>
            </w:r>
          </w:p>
        </w:tc>
      </w:tr>
      <w:tr w:rsidR="00F54A9C" w:rsidRPr="00574810" w14:paraId="70BE6A07"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D32A1E7" w14:textId="276DC9B0" w:rsidR="00F54A9C" w:rsidRPr="00261CD7" w:rsidRDefault="00F54A9C" w:rsidP="007E0AFE">
            <w:pPr>
              <w:rPr>
                <w:rFonts w:asciiTheme="majorHAnsi" w:hAnsiTheme="majorHAnsi"/>
                <w:b w:val="0"/>
                <w:sz w:val="16"/>
                <w:szCs w:val="16"/>
              </w:rPr>
            </w:pPr>
            <w:r w:rsidRPr="00DB3F1A">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A79E120" w14:textId="21F8C9FB" w:rsidR="00F54A9C" w:rsidRPr="00574810" w:rsidRDefault="00F54A9C" w:rsidP="007E0AFE">
            <w:pPr>
              <w:cnfStyle w:val="000000000000" w:firstRow="0" w:lastRow="0" w:firstColumn="0" w:lastColumn="0" w:oddVBand="0" w:evenVBand="0" w:oddHBand="0" w:evenHBand="0" w:firstRowFirstColumn="0" w:firstRowLastColumn="0" w:lastRowFirstColumn="0" w:lastRowLastColumn="0"/>
              <w:rPr>
                <w:sz w:val="16"/>
                <w:szCs w:val="16"/>
              </w:rPr>
            </w:pPr>
            <w:r w:rsidRPr="00D62504">
              <w:rPr>
                <w:sz w:val="16"/>
                <w:szCs w:val="16"/>
              </w:rPr>
              <w:t>Awareness raising of ARP and STPP</w:t>
            </w:r>
          </w:p>
        </w:tc>
      </w:tr>
      <w:tr w:rsidR="00F54A9C" w:rsidRPr="00574810" w14:paraId="3A518B02"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2088B41C" w14:textId="7382C417" w:rsidR="00F54A9C" w:rsidRPr="00DB3F1A" w:rsidRDefault="00F54A9C" w:rsidP="007E0AFE">
            <w:pPr>
              <w:rPr>
                <w:rFonts w:asciiTheme="majorHAnsi" w:hAnsiTheme="majorHAnsi"/>
                <w:sz w:val="16"/>
                <w:szCs w:val="16"/>
              </w:rPr>
            </w:pPr>
            <w:r w:rsidRPr="00E66869">
              <w:rPr>
                <w:rFonts w:asciiTheme="majorHAnsi" w:hAnsiTheme="majorHAnsi"/>
                <w:b w:val="0"/>
                <w:bCs w:val="0"/>
                <w:sz w:val="16"/>
                <w:szCs w:val="16"/>
              </w:rPr>
              <w:t>Service Provider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7726320" w14:textId="54533149" w:rsidR="00F54A9C" w:rsidRPr="00D62504" w:rsidRDefault="00F54A9C" w:rsidP="007E0AFE">
            <w:pPr>
              <w:cnfStyle w:val="000000100000" w:firstRow="0" w:lastRow="0" w:firstColumn="0" w:lastColumn="0" w:oddVBand="0" w:evenVBand="0" w:oddHBand="1" w:evenHBand="0" w:firstRowFirstColumn="0" w:firstRowLastColumn="0" w:lastRowFirstColumn="0" w:lastRowLastColumn="0"/>
              <w:rPr>
                <w:sz w:val="16"/>
                <w:szCs w:val="16"/>
              </w:rPr>
            </w:pPr>
            <w:r w:rsidRPr="00640199">
              <w:rPr>
                <w:sz w:val="16"/>
                <w:szCs w:val="16"/>
              </w:rPr>
              <w:t>Deliver the ARP through assessing eligibility of people with potential experiences of HTMS and making referrals to the STPP</w:t>
            </w:r>
          </w:p>
        </w:tc>
      </w:tr>
      <w:tr w:rsidR="00F54A9C" w:rsidRPr="00574810" w14:paraId="74A04DF8"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45A242AE" w14:textId="7AA9958C" w:rsidR="00F54A9C" w:rsidRPr="00DB3F1A" w:rsidRDefault="00F54A9C" w:rsidP="007E0AFE">
            <w:pPr>
              <w:rPr>
                <w:rFonts w:asciiTheme="majorHAnsi" w:hAnsiTheme="majorHAnsi"/>
                <w:sz w:val="16"/>
                <w:szCs w:val="16"/>
              </w:rPr>
            </w:pPr>
            <w:r w:rsidRPr="00E66869">
              <w:rPr>
                <w:rFonts w:asciiTheme="majorHAnsi" w:hAnsiTheme="majorHAnsi"/>
                <w:b w:val="0"/>
                <w:bCs w:val="0"/>
                <w:sz w:val="16"/>
                <w:szCs w:val="16"/>
              </w:rPr>
              <w:t>Service Provider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CE4E7DF" w14:textId="1696AB71" w:rsidR="00F54A9C" w:rsidRPr="00D62504" w:rsidRDefault="00F54A9C" w:rsidP="007E0AFE">
            <w:pPr>
              <w:cnfStyle w:val="000000000000" w:firstRow="0" w:lastRow="0" w:firstColumn="0" w:lastColumn="0" w:oddVBand="0" w:evenVBand="0" w:oddHBand="0" w:evenHBand="0" w:firstRowFirstColumn="0" w:firstRowLastColumn="0" w:lastRowFirstColumn="0" w:lastRowLastColumn="0"/>
              <w:rPr>
                <w:sz w:val="16"/>
                <w:szCs w:val="16"/>
              </w:rPr>
            </w:pPr>
            <w:r w:rsidRPr="00640199">
              <w:rPr>
                <w:sz w:val="16"/>
                <w:szCs w:val="16"/>
              </w:rPr>
              <w:t>Identify other appropriate support options or information for people assessed as not eligible or who do not wish to be referred to the STPP</w:t>
            </w:r>
          </w:p>
        </w:tc>
      </w:tr>
      <w:tr w:rsidR="00F54A9C" w:rsidRPr="00574810" w14:paraId="137A91CA"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77DB623" w14:textId="56DB0AFA" w:rsidR="00F54A9C" w:rsidRPr="00DB3F1A" w:rsidRDefault="00F54A9C" w:rsidP="007E0AFE">
            <w:pPr>
              <w:rPr>
                <w:rFonts w:asciiTheme="majorHAnsi" w:hAnsiTheme="majorHAnsi"/>
                <w:sz w:val="16"/>
                <w:szCs w:val="16"/>
              </w:rPr>
            </w:pPr>
            <w:r w:rsidRPr="00E66869">
              <w:rPr>
                <w:rFonts w:asciiTheme="majorHAnsi" w:hAnsiTheme="majorHAnsi"/>
                <w:b w:val="0"/>
                <w:bCs w:val="0"/>
                <w:sz w:val="16"/>
                <w:szCs w:val="16"/>
              </w:rPr>
              <w:t>Service Provider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CC1021A" w14:textId="2D3BD370" w:rsidR="00F54A9C" w:rsidRPr="00D62504" w:rsidRDefault="00F54A9C" w:rsidP="007E0AFE">
            <w:pPr>
              <w:cnfStyle w:val="000000100000" w:firstRow="0" w:lastRow="0" w:firstColumn="0" w:lastColumn="0" w:oddVBand="0" w:evenVBand="0" w:oddHBand="1" w:evenHBand="0" w:firstRowFirstColumn="0" w:firstRowLastColumn="0" w:lastRowFirstColumn="0" w:lastRowLastColumn="0"/>
              <w:rPr>
                <w:sz w:val="16"/>
                <w:szCs w:val="16"/>
              </w:rPr>
            </w:pPr>
            <w:r w:rsidRPr="00640199">
              <w:rPr>
                <w:sz w:val="16"/>
                <w:szCs w:val="16"/>
              </w:rPr>
              <w:t xml:space="preserve">Data collection and reporting </w:t>
            </w:r>
          </w:p>
        </w:tc>
      </w:tr>
      <w:tr w:rsidR="00F54A9C" w:rsidRPr="00574810" w14:paraId="574EFEBB"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C84E81C" w14:textId="2C41010C" w:rsidR="00F54A9C" w:rsidRPr="00DB3F1A" w:rsidRDefault="00F54A9C" w:rsidP="007E0AFE">
            <w:pPr>
              <w:rPr>
                <w:rFonts w:asciiTheme="majorHAnsi" w:hAnsiTheme="majorHAnsi"/>
                <w:sz w:val="16"/>
                <w:szCs w:val="16"/>
              </w:rPr>
            </w:pPr>
            <w:r w:rsidRPr="00E66869">
              <w:rPr>
                <w:rFonts w:asciiTheme="majorHAnsi" w:hAnsiTheme="majorHAnsi"/>
                <w:b w:val="0"/>
                <w:bCs w:val="0"/>
                <w:sz w:val="16"/>
                <w:szCs w:val="16"/>
              </w:rPr>
              <w:t>Service Provider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1C96C5C" w14:textId="6B2B2ACE" w:rsidR="00F54A9C" w:rsidRPr="00D62504" w:rsidRDefault="00F54A9C" w:rsidP="007E0AFE">
            <w:pPr>
              <w:cnfStyle w:val="000000000000" w:firstRow="0" w:lastRow="0" w:firstColumn="0" w:lastColumn="0" w:oddVBand="0" w:evenVBand="0" w:oddHBand="0" w:evenHBand="0" w:firstRowFirstColumn="0" w:firstRowLastColumn="0" w:lastRowFirstColumn="0" w:lastRowLastColumn="0"/>
              <w:rPr>
                <w:sz w:val="16"/>
                <w:szCs w:val="16"/>
              </w:rPr>
            </w:pPr>
            <w:r w:rsidRPr="00640199">
              <w:rPr>
                <w:sz w:val="16"/>
                <w:szCs w:val="16"/>
              </w:rPr>
              <w:t>Awareness raising of ARP and STPP</w:t>
            </w:r>
          </w:p>
        </w:tc>
      </w:tr>
      <w:tr w:rsidR="00F54A9C" w:rsidRPr="00574810" w14:paraId="79FE774D" w14:textId="77777777" w:rsidTr="006D65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80A9980" w14:textId="08BA85FD" w:rsidR="00F54A9C" w:rsidRPr="00E66869" w:rsidRDefault="00F54A9C" w:rsidP="007E0AFE">
            <w:pPr>
              <w:rPr>
                <w:rFonts w:asciiTheme="majorHAnsi" w:hAnsiTheme="majorHAnsi"/>
                <w:sz w:val="16"/>
                <w:szCs w:val="16"/>
              </w:rPr>
            </w:pPr>
            <w:r w:rsidRPr="00A57277">
              <w:rPr>
                <w:rFonts w:asciiTheme="majorHAnsi" w:hAnsiTheme="majorHAnsi"/>
                <w:b w:val="0"/>
                <w:bCs w:val="0"/>
                <w:sz w:val="16"/>
                <w:szCs w:val="16"/>
              </w:rPr>
              <w:t>Participants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19AF6D3D" w14:textId="20D976A1" w:rsidR="00F54A9C" w:rsidRPr="00640199" w:rsidRDefault="00F54A9C" w:rsidP="007E0AFE">
            <w:pPr>
              <w:cnfStyle w:val="000000100000" w:firstRow="0" w:lastRow="0" w:firstColumn="0" w:lastColumn="0" w:oddVBand="0" w:evenVBand="0" w:oddHBand="1" w:evenHBand="0" w:firstRowFirstColumn="0" w:firstRowLastColumn="0" w:lastRowFirstColumn="0" w:lastRowLastColumn="0"/>
              <w:rPr>
                <w:sz w:val="16"/>
                <w:szCs w:val="16"/>
              </w:rPr>
            </w:pPr>
            <w:r w:rsidRPr="00B73042">
              <w:rPr>
                <w:sz w:val="16"/>
                <w:szCs w:val="16"/>
              </w:rPr>
              <w:t>Contribute to the development and implementation of their safety plan</w:t>
            </w:r>
          </w:p>
        </w:tc>
      </w:tr>
      <w:tr w:rsidR="00F54A9C" w:rsidRPr="00574810" w14:paraId="494582C8" w14:textId="77777777" w:rsidTr="006D65D0">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200888B4" w14:textId="76B2F92C" w:rsidR="00F54A9C" w:rsidRPr="00E66869" w:rsidRDefault="00F54A9C" w:rsidP="007E0AFE">
            <w:pPr>
              <w:rPr>
                <w:rFonts w:asciiTheme="majorHAnsi" w:hAnsiTheme="majorHAnsi"/>
                <w:sz w:val="16"/>
                <w:szCs w:val="16"/>
              </w:rPr>
            </w:pPr>
            <w:r w:rsidRPr="00A57277">
              <w:rPr>
                <w:rFonts w:asciiTheme="majorHAnsi" w:hAnsiTheme="majorHAnsi"/>
                <w:b w:val="0"/>
                <w:bCs w:val="0"/>
                <w:sz w:val="16"/>
                <w:szCs w:val="16"/>
              </w:rPr>
              <w:t>Participants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2712282" w14:textId="51A8BEA0" w:rsidR="00F54A9C" w:rsidRPr="00640199" w:rsidRDefault="00F54A9C" w:rsidP="007E0AFE">
            <w:pPr>
              <w:cnfStyle w:val="000000000000" w:firstRow="0" w:lastRow="0" w:firstColumn="0" w:lastColumn="0" w:oddVBand="0" w:evenVBand="0" w:oddHBand="0" w:evenHBand="0" w:firstRowFirstColumn="0" w:firstRowLastColumn="0" w:lastRowFirstColumn="0" w:lastRowLastColumn="0"/>
              <w:rPr>
                <w:sz w:val="16"/>
                <w:szCs w:val="16"/>
              </w:rPr>
            </w:pPr>
            <w:r w:rsidRPr="00B73042">
              <w:rPr>
                <w:sz w:val="16"/>
                <w:szCs w:val="16"/>
              </w:rPr>
              <w:t xml:space="preserve">Participate in STPP/ARP through intensive case management </w:t>
            </w:r>
          </w:p>
        </w:tc>
      </w:tr>
    </w:tbl>
    <w:p w14:paraId="53F10D2F" w14:textId="3DB43EA7" w:rsidR="00835D4D" w:rsidRDefault="00835D4D" w:rsidP="00835D4D">
      <w:pPr>
        <w:pStyle w:val="Caption"/>
      </w:pPr>
      <w:r>
        <w:t xml:space="preserve">Table </w:t>
      </w:r>
      <w:r>
        <w:fldChar w:fldCharType="begin"/>
      </w:r>
      <w:r>
        <w:instrText xml:space="preserve"> SEQ Table \* ARABIC </w:instrText>
      </w:r>
      <w:r>
        <w:fldChar w:fldCharType="separate"/>
      </w:r>
      <w:r w:rsidR="00D9323B">
        <w:rPr>
          <w:noProof/>
        </w:rPr>
        <w:t>55</w:t>
      </w:r>
      <w:r>
        <w:fldChar w:fldCharType="end"/>
      </w:r>
      <w:r>
        <w:t>.</w:t>
      </w:r>
      <w:r w:rsidR="001673E8" w:rsidRPr="001673E8">
        <w:t xml:space="preserve"> Outputs</w:t>
      </w:r>
    </w:p>
    <w:tbl>
      <w:tblPr>
        <w:tblStyle w:val="ListTable3"/>
        <w:tblW w:w="5159" w:type="pct"/>
        <w:tblInd w:w="-431" w:type="dxa"/>
        <w:tblBorders>
          <w:insideH w:val="single" w:sz="4" w:space="0" w:color="212A31" w:themeColor="text1" w:themeShade="80"/>
          <w:insideV w:val="single" w:sz="4" w:space="0" w:color="212A31" w:themeColor="text1" w:themeShade="80"/>
        </w:tblBorders>
        <w:tblLook w:val="04A0" w:firstRow="1" w:lastRow="0" w:firstColumn="1" w:lastColumn="0" w:noHBand="0" w:noVBand="1"/>
      </w:tblPr>
      <w:tblGrid>
        <w:gridCol w:w="7073"/>
        <w:gridCol w:w="7074"/>
      </w:tblGrid>
      <w:tr w:rsidR="001673E8" w:rsidRPr="00930AA5" w14:paraId="5EE957E2" w14:textId="77777777" w:rsidTr="0098163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00" w:type="pct"/>
            <w:tcBorders>
              <w:top w:val="single" w:sz="4" w:space="0" w:color="425563" w:themeColor="text1"/>
              <w:bottom w:val="single" w:sz="4" w:space="0" w:color="212A31" w:themeColor="text1" w:themeShade="80"/>
            </w:tcBorders>
          </w:tcPr>
          <w:p w14:paraId="1F8996F9" w14:textId="16BA89E8" w:rsidR="001673E8" w:rsidRPr="00930AA5" w:rsidRDefault="001673E8" w:rsidP="007E0AFE">
            <w:pPr>
              <w:rPr>
                <w:rFonts w:asciiTheme="majorHAnsi" w:hAnsiTheme="majorHAnsi"/>
                <w:bCs w:val="0"/>
                <w:color w:val="FFFFFF" w:themeColor="background1"/>
                <w:sz w:val="16"/>
                <w:szCs w:val="16"/>
              </w:rPr>
            </w:pPr>
            <w:r>
              <w:rPr>
                <w:rFonts w:asciiTheme="majorHAnsi" w:hAnsiTheme="majorHAnsi"/>
                <w:b w:val="0"/>
                <w:color w:val="FFFFFF" w:themeColor="background1"/>
                <w:sz w:val="16"/>
                <w:szCs w:val="16"/>
              </w:rPr>
              <w:t>Stakeholder</w:t>
            </w:r>
          </w:p>
        </w:tc>
        <w:tc>
          <w:tcPr>
            <w:tcW w:w="2500" w:type="pct"/>
            <w:tcBorders>
              <w:top w:val="single" w:sz="4" w:space="0" w:color="425563" w:themeColor="text1"/>
              <w:bottom w:val="single" w:sz="4" w:space="0" w:color="212A31" w:themeColor="text1" w:themeShade="80"/>
            </w:tcBorders>
          </w:tcPr>
          <w:p w14:paraId="3F6D4B2A" w14:textId="62B8ED47" w:rsidR="001673E8" w:rsidRPr="00930AA5" w:rsidRDefault="001673E8" w:rsidP="007E0AFE">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sz w:val="16"/>
                <w:szCs w:val="16"/>
              </w:rPr>
            </w:pPr>
            <w:r>
              <w:rPr>
                <w:rFonts w:asciiTheme="majorHAnsi" w:hAnsiTheme="majorHAnsi"/>
                <w:b w:val="0"/>
                <w:color w:val="FFFFFF" w:themeColor="background1"/>
                <w:sz w:val="16"/>
                <w:szCs w:val="16"/>
              </w:rPr>
              <w:t>Outputs</w:t>
            </w:r>
          </w:p>
        </w:tc>
      </w:tr>
      <w:tr w:rsidR="001736EF" w:rsidRPr="00574810" w14:paraId="19F3A70A" w14:textId="77777777" w:rsidTr="009816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38DD59D6" w14:textId="37075B1B" w:rsidR="001736EF" w:rsidRPr="00574810" w:rsidRDefault="001736EF" w:rsidP="007E0AFE">
            <w:pPr>
              <w:rPr>
                <w:rFonts w:asciiTheme="majorHAnsi" w:hAnsiTheme="majorHAnsi"/>
                <w:bCs w:val="0"/>
                <w:sz w:val="16"/>
                <w:szCs w:val="16"/>
              </w:rPr>
            </w:pPr>
            <w:r w:rsidRPr="0007227D">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1ECC2D54" w14:textId="6AF0F123" w:rsidR="001736EF" w:rsidRPr="00DB3F1A" w:rsidRDefault="001736EF" w:rsidP="007E0AFE">
            <w:pPr>
              <w:cnfStyle w:val="000000100000" w:firstRow="0" w:lastRow="0" w:firstColumn="0" w:lastColumn="0" w:oddVBand="0" w:evenVBand="0" w:oddHBand="1" w:evenHBand="0" w:firstRowFirstColumn="0" w:firstRowLastColumn="0" w:lastRowFirstColumn="0" w:lastRowLastColumn="0"/>
              <w:rPr>
                <w:sz w:val="16"/>
                <w:szCs w:val="16"/>
              </w:rPr>
            </w:pPr>
            <w:r w:rsidRPr="004740B6">
              <w:rPr>
                <w:sz w:val="16"/>
                <w:szCs w:val="16"/>
              </w:rPr>
              <w:t>STPP and ARP program material</w:t>
            </w:r>
          </w:p>
        </w:tc>
      </w:tr>
      <w:tr w:rsidR="001736EF" w:rsidRPr="00574810" w14:paraId="20B8C583" w14:textId="77777777" w:rsidTr="00981634">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335BF4F6" w14:textId="7676986E" w:rsidR="001736EF" w:rsidRPr="00DB3F1A" w:rsidRDefault="001736EF" w:rsidP="007E0AFE">
            <w:pPr>
              <w:rPr>
                <w:rFonts w:asciiTheme="majorHAnsi" w:hAnsiTheme="majorHAnsi"/>
                <w:b w:val="0"/>
                <w:sz w:val="16"/>
                <w:szCs w:val="16"/>
              </w:rPr>
            </w:pPr>
            <w:r w:rsidRPr="0007227D">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9D16266" w14:textId="4E1913EA" w:rsidR="001736EF" w:rsidRPr="00DB3F1A" w:rsidRDefault="001736EF"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4740B6">
              <w:rPr>
                <w:sz w:val="16"/>
                <w:szCs w:val="16"/>
              </w:rPr>
              <w:t>Grant agreements established</w:t>
            </w:r>
          </w:p>
        </w:tc>
      </w:tr>
      <w:tr w:rsidR="001736EF" w:rsidRPr="00574810" w14:paraId="3562DB64" w14:textId="77777777" w:rsidTr="009816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B7DFFFD" w14:textId="4DA36B25" w:rsidR="001736EF" w:rsidRPr="00DB3F1A" w:rsidRDefault="001736EF" w:rsidP="007E0AFE">
            <w:pPr>
              <w:rPr>
                <w:rFonts w:asciiTheme="majorHAnsi" w:hAnsiTheme="majorHAnsi"/>
                <w:b w:val="0"/>
                <w:sz w:val="16"/>
                <w:szCs w:val="16"/>
              </w:rPr>
            </w:pPr>
            <w:r w:rsidRPr="0007227D">
              <w:rPr>
                <w:rFonts w:asciiTheme="majorHAnsi" w:hAnsiTheme="majorHAnsi"/>
                <w:b w:val="0"/>
                <w:bCs w:val="0"/>
                <w:sz w:val="16"/>
                <w:szCs w:val="16"/>
              </w:rPr>
              <w:t>Administrator (DSS)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5BD27F19" w14:textId="1C164BD7" w:rsidR="001736EF" w:rsidRPr="00574810" w:rsidRDefault="001736EF" w:rsidP="007E0AFE">
            <w:pPr>
              <w:cnfStyle w:val="000000100000" w:firstRow="0" w:lastRow="0" w:firstColumn="0" w:lastColumn="0" w:oddVBand="0" w:evenVBand="0" w:oddHBand="1" w:evenHBand="0" w:firstRowFirstColumn="0" w:firstRowLastColumn="0" w:lastRowFirstColumn="0" w:lastRowLastColumn="0"/>
              <w:rPr>
                <w:sz w:val="16"/>
                <w:szCs w:val="16"/>
              </w:rPr>
            </w:pPr>
            <w:r w:rsidRPr="004740B6">
              <w:rPr>
                <w:sz w:val="16"/>
                <w:szCs w:val="16"/>
              </w:rPr>
              <w:t>Reports produced</w:t>
            </w:r>
          </w:p>
        </w:tc>
      </w:tr>
      <w:tr w:rsidR="001736EF" w:rsidRPr="00574810" w14:paraId="60A2DC5F" w14:textId="77777777" w:rsidTr="00981634">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2C876817" w14:textId="34923EA8" w:rsidR="001736EF" w:rsidRPr="00DB3F1A" w:rsidRDefault="001736EF" w:rsidP="007E0AFE">
            <w:pPr>
              <w:rPr>
                <w:rFonts w:asciiTheme="majorHAnsi" w:hAnsiTheme="majorHAnsi"/>
                <w:b w:val="0"/>
                <w:sz w:val="16"/>
                <w:szCs w:val="16"/>
              </w:rPr>
            </w:pPr>
            <w:r w:rsidRPr="00F270A4">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1B10F3F" w14:textId="5104A110" w:rsidR="001736EF" w:rsidRPr="00DB3F1A" w:rsidRDefault="001736EF"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76618C">
              <w:rPr>
                <w:sz w:val="16"/>
                <w:szCs w:val="16"/>
              </w:rPr>
              <w:t>Needs based assessments</w:t>
            </w:r>
          </w:p>
        </w:tc>
      </w:tr>
      <w:tr w:rsidR="001736EF" w:rsidRPr="00574810" w14:paraId="3ACE632A" w14:textId="77777777" w:rsidTr="009816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2ED0559" w14:textId="1C33676E" w:rsidR="001736EF" w:rsidRPr="00DB3F1A" w:rsidRDefault="001736EF" w:rsidP="007E0AFE">
            <w:pPr>
              <w:rPr>
                <w:rFonts w:asciiTheme="majorHAnsi" w:hAnsiTheme="majorHAnsi"/>
                <w:bCs w:val="0"/>
                <w:sz w:val="16"/>
                <w:szCs w:val="16"/>
              </w:rPr>
            </w:pPr>
            <w:r w:rsidRPr="00F270A4">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9F30332" w14:textId="5CF8BCC4" w:rsidR="001736EF" w:rsidRPr="00DB3F1A" w:rsidRDefault="001736EF" w:rsidP="007E0AFE">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76618C">
              <w:rPr>
                <w:sz w:val="16"/>
                <w:szCs w:val="16"/>
              </w:rPr>
              <w:t>Safety plans implemented</w:t>
            </w:r>
          </w:p>
        </w:tc>
      </w:tr>
      <w:tr w:rsidR="001736EF" w:rsidRPr="00574810" w14:paraId="43A7AE95" w14:textId="77777777" w:rsidTr="00981634">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ABF1F79" w14:textId="3B717CD7" w:rsidR="001736EF" w:rsidRPr="00DB3F1A" w:rsidRDefault="001736EF" w:rsidP="007E0AFE">
            <w:pPr>
              <w:rPr>
                <w:rFonts w:asciiTheme="majorHAnsi" w:hAnsiTheme="majorHAnsi"/>
                <w:b w:val="0"/>
                <w:sz w:val="16"/>
                <w:szCs w:val="16"/>
              </w:rPr>
            </w:pPr>
            <w:r w:rsidRPr="00F270A4">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12716EF" w14:textId="249F40E9" w:rsidR="001736EF" w:rsidRPr="00574810" w:rsidRDefault="001736EF" w:rsidP="007E0AFE">
            <w:pPr>
              <w:cnfStyle w:val="000000000000" w:firstRow="0" w:lastRow="0" w:firstColumn="0" w:lastColumn="0" w:oddVBand="0" w:evenVBand="0" w:oddHBand="0" w:evenHBand="0" w:firstRowFirstColumn="0" w:firstRowLastColumn="0" w:lastRowFirstColumn="0" w:lastRowLastColumn="0"/>
              <w:rPr>
                <w:sz w:val="16"/>
                <w:szCs w:val="16"/>
              </w:rPr>
            </w:pPr>
            <w:r w:rsidRPr="0076618C">
              <w:rPr>
                <w:sz w:val="16"/>
                <w:szCs w:val="16"/>
              </w:rPr>
              <w:t>Participants supported</w:t>
            </w:r>
          </w:p>
        </w:tc>
      </w:tr>
      <w:tr w:rsidR="001736EF" w:rsidRPr="00574810" w14:paraId="24E316F1" w14:textId="77777777" w:rsidTr="009816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2E16937" w14:textId="245217DD" w:rsidR="001736EF" w:rsidRPr="00DB3F1A" w:rsidRDefault="001736EF" w:rsidP="007E0AFE">
            <w:pPr>
              <w:rPr>
                <w:rFonts w:asciiTheme="majorHAnsi" w:hAnsiTheme="majorHAnsi"/>
                <w:b w:val="0"/>
                <w:bCs w:val="0"/>
                <w:sz w:val="16"/>
                <w:szCs w:val="16"/>
              </w:rPr>
            </w:pPr>
            <w:r w:rsidRPr="00F270A4">
              <w:rPr>
                <w:rFonts w:asciiTheme="majorHAnsi" w:hAnsiTheme="majorHAnsi"/>
                <w:b w:val="0"/>
                <w:bCs w:val="0"/>
                <w:sz w:val="16"/>
                <w:szCs w:val="16"/>
              </w:rPr>
              <w:lastRenderedPageBreak/>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6004A00F" w14:textId="77777777" w:rsidR="001736EF" w:rsidRDefault="001736EF" w:rsidP="007E0AFE">
            <w:pPr>
              <w:cnfStyle w:val="000000100000" w:firstRow="0" w:lastRow="0" w:firstColumn="0" w:lastColumn="0" w:oddVBand="0" w:evenVBand="0" w:oddHBand="1" w:evenHBand="0" w:firstRowFirstColumn="0" w:firstRowLastColumn="0" w:lastRowFirstColumn="0" w:lastRowLastColumn="0"/>
              <w:rPr>
                <w:sz w:val="16"/>
                <w:szCs w:val="16"/>
              </w:rPr>
            </w:pPr>
            <w:r w:rsidRPr="0076618C">
              <w:rPr>
                <w:sz w:val="16"/>
                <w:szCs w:val="16"/>
              </w:rPr>
              <w:t>Referrals made to other supports:</w:t>
            </w:r>
          </w:p>
          <w:p w14:paraId="4861F2B9" w14:textId="3001349D" w:rsidR="001736EF" w:rsidRPr="001736EF" w:rsidRDefault="001736EF" w:rsidP="007E0AFE">
            <w:pPr>
              <w:pStyle w:val="Bullet1"/>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Accommodation</w:t>
            </w:r>
          </w:p>
          <w:p w14:paraId="2BD59C4E" w14:textId="77777777" w:rsidR="001736EF" w:rsidRPr="001736EF" w:rsidRDefault="001736EF" w:rsidP="007E0AFE">
            <w:pPr>
              <w:pStyle w:val="Tabledot2"/>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migration and legal advice</w:t>
            </w:r>
          </w:p>
          <w:p w14:paraId="3CDA1701" w14:textId="77777777" w:rsidR="001736EF" w:rsidRPr="001736EF" w:rsidRDefault="001736EF" w:rsidP="007E0AFE">
            <w:pPr>
              <w:pStyle w:val="Tabledot2"/>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medical</w:t>
            </w:r>
          </w:p>
          <w:p w14:paraId="15B163D2" w14:textId="77777777" w:rsidR="001736EF" w:rsidRPr="001736EF" w:rsidRDefault="001736EF" w:rsidP="007E0AFE">
            <w:pPr>
              <w:pStyle w:val="Tabledot2"/>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mental health</w:t>
            </w:r>
          </w:p>
          <w:p w14:paraId="514F3CB0" w14:textId="77777777" w:rsidR="001736EF" w:rsidRPr="001736EF" w:rsidRDefault="001736EF" w:rsidP="007E0AFE">
            <w:pPr>
              <w:pStyle w:val="Tabledot2"/>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English language training</w:t>
            </w:r>
          </w:p>
          <w:p w14:paraId="67D81E20" w14:textId="77777777" w:rsidR="001736EF" w:rsidRPr="001736EF" w:rsidRDefault="001736EF" w:rsidP="007E0AFE">
            <w:pPr>
              <w:pStyle w:val="Tabledot2"/>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education and employment services</w:t>
            </w:r>
          </w:p>
          <w:p w14:paraId="6908AAEF" w14:textId="77777777" w:rsidR="001736EF" w:rsidRPr="001736EF" w:rsidRDefault="001736EF" w:rsidP="007E0AFE">
            <w:pPr>
              <w:pStyle w:val="Tabledot2"/>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Interpreters</w:t>
            </w:r>
          </w:p>
          <w:p w14:paraId="6C8E29B6" w14:textId="6E91808D" w:rsidR="001736EF" w:rsidRPr="001736EF" w:rsidRDefault="001736EF" w:rsidP="007E0AFE">
            <w:pPr>
              <w:pStyle w:val="Tabledot2"/>
              <w:cnfStyle w:val="000000100000" w:firstRow="0" w:lastRow="0" w:firstColumn="0" w:lastColumn="0" w:oddVBand="0" w:evenVBand="0" w:oddHBand="1" w:evenHBand="0" w:firstRowFirstColumn="0" w:firstRowLastColumn="0" w:lastRowFirstColumn="0" w:lastRowLastColumn="0"/>
              <w:rPr>
                <w:sz w:val="16"/>
                <w:szCs w:val="16"/>
              </w:rPr>
            </w:pPr>
            <w:r w:rsidRPr="001736EF">
              <w:rPr>
                <w:sz w:val="16"/>
                <w:szCs w:val="16"/>
              </w:rPr>
              <w:t>Centrelink</w:t>
            </w:r>
          </w:p>
        </w:tc>
      </w:tr>
      <w:tr w:rsidR="001736EF" w:rsidRPr="00574810" w14:paraId="023C56F2" w14:textId="77777777" w:rsidTr="00981634">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36F3DDB7" w14:textId="12942BE0" w:rsidR="001736EF" w:rsidRPr="006C2BBF" w:rsidRDefault="001736EF" w:rsidP="007E0AFE">
            <w:pPr>
              <w:rPr>
                <w:rFonts w:asciiTheme="majorHAnsi" w:hAnsiTheme="majorHAnsi"/>
                <w:sz w:val="16"/>
              </w:rPr>
            </w:pPr>
            <w:r w:rsidRPr="00F270A4">
              <w:rPr>
                <w:rFonts w:asciiTheme="majorHAnsi" w:hAnsiTheme="majorHAnsi"/>
                <w:b w:val="0"/>
                <w:bCs w:val="0"/>
                <w:sz w:val="16"/>
                <w:szCs w:val="16"/>
              </w:rPr>
              <w:t>Service Provider (ARC)</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448D77DE" w14:textId="26FF98CE" w:rsidR="001736EF" w:rsidRPr="001736EF" w:rsidRDefault="001736EF" w:rsidP="007E0AFE">
            <w:pPr>
              <w:cnfStyle w:val="000000000000" w:firstRow="0" w:lastRow="0" w:firstColumn="0" w:lastColumn="0" w:oddVBand="0" w:evenVBand="0" w:oddHBand="0" w:evenHBand="0" w:firstRowFirstColumn="0" w:firstRowLastColumn="0" w:lastRowFirstColumn="0" w:lastRowLastColumn="0"/>
              <w:rPr>
                <w:sz w:val="16"/>
                <w:szCs w:val="16"/>
              </w:rPr>
            </w:pPr>
            <w:r w:rsidRPr="001736EF">
              <w:rPr>
                <w:sz w:val="16"/>
                <w:szCs w:val="16"/>
              </w:rPr>
              <w:t>Reports produced</w:t>
            </w:r>
          </w:p>
        </w:tc>
      </w:tr>
      <w:tr w:rsidR="00F54A9C" w:rsidRPr="00574810" w14:paraId="35291327" w14:textId="77777777" w:rsidTr="009816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FE0267A" w14:textId="77777777" w:rsidR="00F54A9C" w:rsidRPr="006C2BBF" w:rsidRDefault="00F54A9C" w:rsidP="007E0AFE">
            <w:pPr>
              <w:rPr>
                <w:rFonts w:asciiTheme="majorHAnsi" w:hAnsiTheme="majorHAnsi"/>
                <w:sz w:val="16"/>
              </w:rPr>
            </w:pPr>
            <w:r w:rsidRPr="006C2BBF">
              <w:rPr>
                <w:rFonts w:asciiTheme="majorHAnsi" w:hAnsiTheme="majorHAnsi"/>
                <w:b w:val="0"/>
                <w:bCs w:val="0"/>
                <w:sz w:val="16"/>
              </w:rPr>
              <w:t>Australian Border Force (ABF)</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53108BD" w14:textId="77777777" w:rsidR="00F54A9C" w:rsidRPr="00574810" w:rsidRDefault="00F54A9C" w:rsidP="007E0AFE">
            <w:pPr>
              <w:cnfStyle w:val="000000100000" w:firstRow="0" w:lastRow="0" w:firstColumn="0" w:lastColumn="0" w:oddVBand="0" w:evenVBand="0" w:oddHBand="1" w:evenHBand="0" w:firstRowFirstColumn="0" w:firstRowLastColumn="0" w:lastRowFirstColumn="0" w:lastRowLastColumn="0"/>
              <w:rPr>
                <w:sz w:val="16"/>
                <w:szCs w:val="16"/>
              </w:rPr>
            </w:pPr>
            <w:r w:rsidRPr="00FE788A">
              <w:rPr>
                <w:sz w:val="16"/>
                <w:szCs w:val="16"/>
              </w:rPr>
              <w:t>Department of Foreign Affairs and Trade (DFAT)</w:t>
            </w:r>
          </w:p>
        </w:tc>
      </w:tr>
      <w:tr w:rsidR="00F54A9C" w:rsidRPr="00574810" w14:paraId="2220FE74" w14:textId="77777777" w:rsidTr="00981634">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3D08681" w14:textId="77777777" w:rsidR="00F54A9C" w:rsidRPr="00261CD7" w:rsidRDefault="00F54A9C" w:rsidP="007E0AFE">
            <w:pPr>
              <w:rPr>
                <w:rFonts w:ascii="Barlow SemiBold" w:hAnsi="Barlow SemiBold"/>
                <w:b w:val="0"/>
                <w:bCs w:val="0"/>
                <w:sz w:val="16"/>
                <w:szCs w:val="16"/>
              </w:rPr>
            </w:pPr>
            <w:r w:rsidRPr="006C2BBF">
              <w:rPr>
                <w:rFonts w:ascii="Barlow SemiBold" w:hAnsi="Barlow SemiBold"/>
                <w:b w:val="0"/>
                <w:bCs w:val="0"/>
                <w:sz w:val="16"/>
              </w:rPr>
              <w:t>Department of Home Affairs (Home Affairs)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1C4B357" w14:textId="77777777" w:rsidR="00F54A9C" w:rsidRPr="00261CD7" w:rsidRDefault="00F54A9C"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574810">
              <w:rPr>
                <w:sz w:val="16"/>
                <w:szCs w:val="16"/>
              </w:rPr>
              <w:t>Australian Institute of Criminology (AIC)</w:t>
            </w:r>
          </w:p>
        </w:tc>
      </w:tr>
      <w:tr w:rsidR="00F54A9C" w:rsidRPr="00574810" w14:paraId="191559C0" w14:textId="77777777" w:rsidTr="009816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6CE66B4" w14:textId="77777777" w:rsidR="00F54A9C" w:rsidRPr="006C2BBF" w:rsidRDefault="00F54A9C" w:rsidP="007E0AFE">
            <w:pPr>
              <w:rPr>
                <w:rFonts w:ascii="Barlow SemiBold" w:hAnsi="Barlow SemiBold"/>
                <w:sz w:val="16"/>
              </w:rPr>
            </w:pPr>
            <w:r w:rsidRPr="006C2BBF">
              <w:rPr>
                <w:rFonts w:ascii="Barlow SemiBold" w:hAnsi="Barlow SemiBold"/>
                <w:b w:val="0"/>
                <w:bCs w:val="0"/>
                <w:sz w:val="16"/>
              </w:rPr>
              <w:t>Department of Home Affairs (Home Affairs)</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1746FAEF" w14:textId="77777777" w:rsidR="00F54A9C" w:rsidRPr="00574810" w:rsidRDefault="00F54A9C" w:rsidP="007E0AFE">
            <w:pPr>
              <w:cnfStyle w:val="000000100000" w:firstRow="0" w:lastRow="0" w:firstColumn="0" w:lastColumn="0" w:oddVBand="0" w:evenVBand="0" w:oddHBand="1" w:evenHBand="0" w:firstRowFirstColumn="0" w:firstRowLastColumn="0" w:lastRowFirstColumn="0" w:lastRowLastColumn="0"/>
              <w:rPr>
                <w:sz w:val="16"/>
                <w:szCs w:val="16"/>
              </w:rPr>
            </w:pPr>
            <w:r w:rsidRPr="00574810">
              <w:rPr>
                <w:sz w:val="16"/>
                <w:szCs w:val="16"/>
              </w:rPr>
              <w:t>State and Territory Child Protection, Housing and Support Services</w:t>
            </w:r>
          </w:p>
        </w:tc>
      </w:tr>
      <w:tr w:rsidR="001736EF" w:rsidRPr="00574810" w14:paraId="54317C6E" w14:textId="77777777" w:rsidTr="00981634">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320D3B2" w14:textId="4CA0580C" w:rsidR="001736EF" w:rsidRPr="00261CD7" w:rsidRDefault="001736EF" w:rsidP="007E0AFE">
            <w:pPr>
              <w:rPr>
                <w:rFonts w:asciiTheme="majorHAnsi" w:hAnsiTheme="majorHAnsi"/>
                <w:b w:val="0"/>
                <w:sz w:val="16"/>
                <w:szCs w:val="16"/>
              </w:rPr>
            </w:pPr>
            <w:r w:rsidRPr="00DC7D85">
              <w:rPr>
                <w:rFonts w:asciiTheme="majorHAnsi" w:hAnsiTheme="majorHAnsi"/>
                <w:b w:val="0"/>
                <w:bCs w:val="0"/>
                <w:sz w:val="16"/>
                <w:szCs w:val="16"/>
              </w:rPr>
              <w:t>Service Provider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D662F4C" w14:textId="3BC1C2E3" w:rsidR="001736EF" w:rsidRPr="00261CD7" w:rsidRDefault="001736EF"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3B23E9">
              <w:rPr>
                <w:sz w:val="16"/>
                <w:szCs w:val="16"/>
              </w:rPr>
              <w:t>ARP eligibility assessments conducted</w:t>
            </w:r>
          </w:p>
        </w:tc>
      </w:tr>
      <w:tr w:rsidR="001736EF" w:rsidRPr="00574810" w14:paraId="214F60A7" w14:textId="77777777" w:rsidTr="0098163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97F71B0" w14:textId="4E5262EC" w:rsidR="001736EF" w:rsidRPr="00261CD7" w:rsidRDefault="001736EF" w:rsidP="007E0AFE">
            <w:pPr>
              <w:rPr>
                <w:rFonts w:asciiTheme="majorHAnsi" w:hAnsiTheme="majorHAnsi"/>
                <w:b w:val="0"/>
                <w:sz w:val="16"/>
                <w:szCs w:val="16"/>
              </w:rPr>
            </w:pPr>
            <w:r w:rsidRPr="00DC7D85">
              <w:rPr>
                <w:rFonts w:asciiTheme="majorHAnsi" w:hAnsiTheme="majorHAnsi"/>
                <w:b w:val="0"/>
                <w:bCs w:val="0"/>
                <w:sz w:val="16"/>
                <w:szCs w:val="16"/>
              </w:rPr>
              <w:t>Service Provider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9392BB9" w14:textId="2579F97E" w:rsidR="001736EF" w:rsidRPr="00574810" w:rsidRDefault="001736EF" w:rsidP="007E0AFE">
            <w:pPr>
              <w:cnfStyle w:val="000000100000" w:firstRow="0" w:lastRow="0" w:firstColumn="0" w:lastColumn="0" w:oddVBand="0" w:evenVBand="0" w:oddHBand="1" w:evenHBand="0" w:firstRowFirstColumn="0" w:firstRowLastColumn="0" w:lastRowFirstColumn="0" w:lastRowLastColumn="0"/>
              <w:rPr>
                <w:sz w:val="16"/>
                <w:szCs w:val="16"/>
              </w:rPr>
            </w:pPr>
            <w:r w:rsidRPr="003B23E9">
              <w:rPr>
                <w:sz w:val="16"/>
                <w:szCs w:val="16"/>
              </w:rPr>
              <w:t>Referrals of eligible victims or survivors to the STPP</w:t>
            </w:r>
          </w:p>
        </w:tc>
      </w:tr>
      <w:tr w:rsidR="001736EF" w:rsidRPr="00574810" w14:paraId="1D67DDD9" w14:textId="77777777" w:rsidTr="00981634">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7D3BB7A9" w14:textId="1626E00E" w:rsidR="001736EF" w:rsidRPr="00261CD7" w:rsidRDefault="001736EF" w:rsidP="007E0AFE">
            <w:pPr>
              <w:rPr>
                <w:rFonts w:asciiTheme="majorHAnsi" w:hAnsiTheme="majorHAnsi"/>
                <w:b w:val="0"/>
                <w:sz w:val="16"/>
                <w:szCs w:val="16"/>
              </w:rPr>
            </w:pPr>
            <w:r w:rsidRPr="00DC7D85">
              <w:rPr>
                <w:rFonts w:asciiTheme="majorHAnsi" w:hAnsiTheme="majorHAnsi"/>
                <w:b w:val="0"/>
                <w:bCs w:val="0"/>
                <w:sz w:val="16"/>
                <w:szCs w:val="16"/>
              </w:rPr>
              <w:t>Service Provider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701DC28" w14:textId="697D25EF" w:rsidR="001736EF" w:rsidRPr="00574810" w:rsidRDefault="001736EF" w:rsidP="007E0AFE">
            <w:pPr>
              <w:cnfStyle w:val="000000000000" w:firstRow="0" w:lastRow="0" w:firstColumn="0" w:lastColumn="0" w:oddVBand="0" w:evenVBand="0" w:oddHBand="0" w:evenHBand="0" w:firstRowFirstColumn="0" w:firstRowLastColumn="0" w:lastRowFirstColumn="0" w:lastRowLastColumn="0"/>
              <w:rPr>
                <w:sz w:val="16"/>
                <w:szCs w:val="16"/>
              </w:rPr>
            </w:pPr>
            <w:r w:rsidRPr="003B23E9">
              <w:rPr>
                <w:sz w:val="16"/>
                <w:szCs w:val="16"/>
              </w:rPr>
              <w:t>Referrals to other appropriate supports for people assessed as ineligible or who do not wish to be referred to the STPP</w:t>
            </w:r>
          </w:p>
        </w:tc>
      </w:tr>
    </w:tbl>
    <w:p w14:paraId="14537302" w14:textId="2FE88C16" w:rsidR="00835D4D" w:rsidRDefault="00835D4D" w:rsidP="00835D4D">
      <w:pPr>
        <w:pStyle w:val="Caption"/>
      </w:pPr>
      <w:r>
        <w:t xml:space="preserve">Table </w:t>
      </w:r>
      <w:r>
        <w:fldChar w:fldCharType="begin"/>
      </w:r>
      <w:r>
        <w:instrText xml:space="preserve"> SEQ Table \* ARABIC </w:instrText>
      </w:r>
      <w:r>
        <w:fldChar w:fldCharType="separate"/>
      </w:r>
      <w:r w:rsidR="00D9323B">
        <w:rPr>
          <w:noProof/>
        </w:rPr>
        <w:t>56</w:t>
      </w:r>
      <w:r>
        <w:fldChar w:fldCharType="end"/>
      </w:r>
      <w:r>
        <w:t>.</w:t>
      </w:r>
      <w:r w:rsidR="00BA0B3D" w:rsidRPr="00BA0B3D">
        <w:t xml:space="preserve"> Outcomes (within </w:t>
      </w:r>
      <w:r w:rsidR="00BA0B3D">
        <w:t>STPP</w:t>
      </w:r>
      <w:r w:rsidR="00BA0B3D" w:rsidRPr="00BA0B3D">
        <w:t xml:space="preserve"> timeframe)</w:t>
      </w:r>
    </w:p>
    <w:tbl>
      <w:tblPr>
        <w:tblStyle w:val="ListTable3"/>
        <w:tblW w:w="5159" w:type="pct"/>
        <w:tblInd w:w="-431" w:type="dxa"/>
        <w:tblBorders>
          <w:insideH w:val="single" w:sz="4" w:space="0" w:color="212A31" w:themeColor="text1" w:themeShade="80"/>
          <w:insideV w:val="single" w:sz="4" w:space="0" w:color="212A31" w:themeColor="text1" w:themeShade="80"/>
        </w:tblBorders>
        <w:tblLook w:val="04A0" w:firstRow="1" w:lastRow="0" w:firstColumn="1" w:lastColumn="0" w:noHBand="0" w:noVBand="1"/>
      </w:tblPr>
      <w:tblGrid>
        <w:gridCol w:w="7073"/>
        <w:gridCol w:w="7074"/>
      </w:tblGrid>
      <w:tr w:rsidR="00BA0B3D" w:rsidRPr="00930AA5" w14:paraId="5B92B3B1" w14:textId="77777777" w:rsidTr="00BA0B3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00" w:type="pct"/>
            <w:tcBorders>
              <w:top w:val="single" w:sz="4" w:space="0" w:color="425563" w:themeColor="text1"/>
              <w:bottom w:val="single" w:sz="4" w:space="0" w:color="212A31" w:themeColor="text1" w:themeShade="80"/>
            </w:tcBorders>
          </w:tcPr>
          <w:p w14:paraId="2ACB4AAA" w14:textId="0F3BE2DA" w:rsidR="00BA0B3D" w:rsidRPr="00930AA5" w:rsidRDefault="00BA0B3D" w:rsidP="00BA0B3D">
            <w:pPr>
              <w:rPr>
                <w:rFonts w:asciiTheme="majorHAnsi" w:hAnsiTheme="majorHAnsi"/>
                <w:bCs w:val="0"/>
                <w:color w:val="FFFFFF" w:themeColor="background1"/>
                <w:sz w:val="16"/>
                <w:szCs w:val="16"/>
              </w:rPr>
            </w:pPr>
            <w:r>
              <w:rPr>
                <w:rFonts w:asciiTheme="majorHAnsi" w:hAnsiTheme="majorHAnsi"/>
                <w:b w:val="0"/>
                <w:color w:val="FFFFFF" w:themeColor="background1"/>
                <w:sz w:val="16"/>
                <w:szCs w:val="16"/>
              </w:rPr>
              <w:t>Stakeholder</w:t>
            </w:r>
          </w:p>
        </w:tc>
        <w:tc>
          <w:tcPr>
            <w:tcW w:w="2500" w:type="pct"/>
            <w:tcBorders>
              <w:top w:val="single" w:sz="4" w:space="0" w:color="425563" w:themeColor="text1"/>
              <w:bottom w:val="single" w:sz="4" w:space="0" w:color="212A31" w:themeColor="text1" w:themeShade="80"/>
            </w:tcBorders>
          </w:tcPr>
          <w:p w14:paraId="3C887F91" w14:textId="077A76E0" w:rsidR="00BA0B3D" w:rsidRPr="00930AA5" w:rsidRDefault="00BA0B3D" w:rsidP="00BA0B3D">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sz w:val="16"/>
                <w:szCs w:val="16"/>
              </w:rPr>
            </w:pPr>
            <w:r>
              <w:rPr>
                <w:rFonts w:asciiTheme="majorHAnsi" w:hAnsiTheme="majorHAnsi"/>
                <w:b w:val="0"/>
                <w:color w:val="FFFFFF" w:themeColor="background1"/>
                <w:sz w:val="16"/>
                <w:szCs w:val="16"/>
              </w:rPr>
              <w:t>Outcomes</w:t>
            </w:r>
          </w:p>
        </w:tc>
      </w:tr>
      <w:tr w:rsidR="001736EF" w:rsidRPr="00574810" w14:paraId="0901F6D7"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26047B39" w14:textId="23B3D1B2" w:rsidR="001736EF" w:rsidRPr="00574810" w:rsidRDefault="001736EF" w:rsidP="007E0AFE">
            <w:pPr>
              <w:rPr>
                <w:rFonts w:asciiTheme="majorHAnsi" w:hAnsiTheme="majorHAnsi"/>
                <w:bCs w:val="0"/>
                <w:sz w:val="16"/>
                <w:szCs w:val="16"/>
              </w:rPr>
            </w:pPr>
            <w:r w:rsidRPr="002F676F">
              <w:rPr>
                <w:rFonts w:asciiTheme="majorHAnsi" w:hAnsiTheme="majorHAnsi"/>
                <w:b w:val="0"/>
                <w:sz w:val="16"/>
                <w:szCs w:val="16"/>
              </w:rPr>
              <w:t>Administrator (DSS) and Service Provider (ARC,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14F7FF18" w14:textId="55F06DB0" w:rsidR="001736EF" w:rsidRPr="00DB3F1A" w:rsidRDefault="001736EF" w:rsidP="007E0AFE">
            <w:pPr>
              <w:cnfStyle w:val="000000100000" w:firstRow="0" w:lastRow="0" w:firstColumn="0" w:lastColumn="0" w:oddVBand="0" w:evenVBand="0" w:oddHBand="1" w:evenHBand="0" w:firstRowFirstColumn="0" w:firstRowLastColumn="0" w:lastRowFirstColumn="0" w:lastRowLastColumn="0"/>
              <w:rPr>
                <w:sz w:val="16"/>
                <w:szCs w:val="16"/>
              </w:rPr>
            </w:pPr>
            <w:r w:rsidRPr="00814786">
              <w:rPr>
                <w:bCs/>
                <w:sz w:val="16"/>
                <w:szCs w:val="16"/>
              </w:rPr>
              <w:t>Collaborative responses to modern slavery that are inclusive, trauma informed and lived experience centred are delivered through STPP and ARP</w:t>
            </w:r>
          </w:p>
        </w:tc>
      </w:tr>
      <w:tr w:rsidR="001736EF" w:rsidRPr="00574810" w14:paraId="54B3EC42" w14:textId="77777777" w:rsidTr="00BA0B3D">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2B6755A5" w14:textId="0DE79888" w:rsidR="001736EF" w:rsidRPr="00DB3F1A" w:rsidRDefault="001736EF" w:rsidP="007E0AFE">
            <w:pPr>
              <w:rPr>
                <w:rFonts w:asciiTheme="majorHAnsi" w:hAnsiTheme="majorHAnsi"/>
                <w:b w:val="0"/>
                <w:sz w:val="16"/>
                <w:szCs w:val="16"/>
              </w:rPr>
            </w:pPr>
            <w:r w:rsidRPr="002F676F">
              <w:rPr>
                <w:rFonts w:asciiTheme="majorHAnsi" w:hAnsiTheme="majorHAnsi"/>
                <w:b w:val="0"/>
                <w:sz w:val="16"/>
                <w:szCs w:val="16"/>
              </w:rPr>
              <w:t>Administrator (DSS) and Service Provider (ARC, The Salvation Army)</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64D75FB" w14:textId="1BC24411" w:rsidR="001736EF" w:rsidRPr="00DB3F1A" w:rsidRDefault="001736EF"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814786">
              <w:rPr>
                <w:bCs/>
                <w:sz w:val="16"/>
                <w:szCs w:val="16"/>
              </w:rPr>
              <w:t xml:space="preserve">ARP improves access to the STPP </w:t>
            </w:r>
          </w:p>
        </w:tc>
      </w:tr>
      <w:tr w:rsidR="001736EF" w:rsidRPr="00574810" w14:paraId="469A93E2"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36A7C3E" w14:textId="77777777" w:rsidR="001736EF" w:rsidRDefault="001736EF" w:rsidP="007E0AFE">
            <w:pPr>
              <w:rPr>
                <w:rFonts w:asciiTheme="majorHAnsi" w:hAnsiTheme="majorHAnsi"/>
                <w:bCs w:val="0"/>
                <w:sz w:val="16"/>
                <w:szCs w:val="16"/>
              </w:rPr>
            </w:pPr>
            <w:r w:rsidRPr="003A7BFE">
              <w:rPr>
                <w:rFonts w:asciiTheme="majorHAnsi" w:hAnsiTheme="majorHAnsi"/>
                <w:b w:val="0"/>
                <w:sz w:val="16"/>
                <w:szCs w:val="16"/>
              </w:rPr>
              <w:t>Participants*</w:t>
            </w:r>
          </w:p>
          <w:p w14:paraId="157B8429" w14:textId="4237FA32" w:rsidR="001736EF" w:rsidRPr="001736EF" w:rsidRDefault="001736EF" w:rsidP="007E0AFE">
            <w:pPr>
              <w:rPr>
                <w:i/>
                <w:iCs/>
              </w:rPr>
            </w:pPr>
            <w:r>
              <w:rPr>
                <w:i/>
                <w:iCs/>
              </w:rPr>
              <w:t>*</w:t>
            </w:r>
            <w:r w:rsidRPr="003B6A03">
              <w:rPr>
                <w:i/>
                <w:iCs/>
              </w:rPr>
              <w:t xml:space="preserve">Note: a participants’ journey is based on their individual needs; outcomes will differ according to their own identified needs and remedy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E89C6C0" w14:textId="0EFDD6F8" w:rsidR="001736EF" w:rsidRPr="00574810" w:rsidRDefault="001736EF" w:rsidP="007E0AFE">
            <w:pPr>
              <w:cnfStyle w:val="000000100000" w:firstRow="0" w:lastRow="0" w:firstColumn="0" w:lastColumn="0" w:oddVBand="0" w:evenVBand="0" w:oddHBand="1" w:evenHBand="0" w:firstRowFirstColumn="0" w:firstRowLastColumn="0" w:lastRowFirstColumn="0" w:lastRowLastColumn="0"/>
              <w:rPr>
                <w:sz w:val="16"/>
                <w:szCs w:val="16"/>
              </w:rPr>
            </w:pPr>
            <w:r w:rsidRPr="00135F29">
              <w:rPr>
                <w:bCs/>
                <w:sz w:val="16"/>
                <w:szCs w:val="16"/>
              </w:rPr>
              <w:t>People with HTMS experiences are informed of and understand their safety risks, rights, and support options</w:t>
            </w:r>
          </w:p>
        </w:tc>
      </w:tr>
      <w:tr w:rsidR="001736EF" w:rsidRPr="00574810" w14:paraId="524F4895" w14:textId="77777777" w:rsidTr="00BA0B3D">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7EB4B1C6" w14:textId="77777777" w:rsidR="001736EF" w:rsidRDefault="001736EF" w:rsidP="007E0AFE">
            <w:pPr>
              <w:rPr>
                <w:rFonts w:asciiTheme="majorHAnsi" w:hAnsiTheme="majorHAnsi"/>
                <w:bCs w:val="0"/>
                <w:sz w:val="16"/>
                <w:szCs w:val="16"/>
              </w:rPr>
            </w:pPr>
            <w:r w:rsidRPr="003A7BFE">
              <w:rPr>
                <w:rFonts w:asciiTheme="majorHAnsi" w:hAnsiTheme="majorHAnsi"/>
                <w:b w:val="0"/>
                <w:sz w:val="16"/>
                <w:szCs w:val="16"/>
              </w:rPr>
              <w:lastRenderedPageBreak/>
              <w:t>Participants*</w:t>
            </w:r>
          </w:p>
          <w:p w14:paraId="332820AA" w14:textId="4B2AC0EC" w:rsidR="001736EF" w:rsidRPr="001736EF" w:rsidRDefault="001736EF" w:rsidP="007E0AFE">
            <w:pPr>
              <w:rPr>
                <w:i/>
                <w:iCs/>
              </w:rPr>
            </w:pPr>
            <w:r>
              <w:rPr>
                <w:i/>
                <w:iCs/>
              </w:rPr>
              <w:t>*</w:t>
            </w:r>
            <w:r w:rsidRPr="003B6A03">
              <w:rPr>
                <w:i/>
                <w:iCs/>
              </w:rPr>
              <w:t xml:space="preserve">Note: a participants’ journey is based on their individual needs; outcomes will differ according to their own identified needs and remedy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2579F240" w14:textId="378A3689" w:rsidR="001736EF" w:rsidRPr="00DB3F1A" w:rsidRDefault="001736EF"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135F29">
              <w:rPr>
                <w:bCs/>
                <w:sz w:val="16"/>
                <w:szCs w:val="16"/>
              </w:rPr>
              <w:t xml:space="preserve">People with HTMS experiences access appropriate support through STPP to meet their identified needs (This includes living in safe and stable accommodation, victims and survivors feel empowered to heal and rebuild their lives and People with HTMS experiences develop trusted relationships and supportive family and community connections with services provided through the STPP) </w:t>
            </w:r>
          </w:p>
        </w:tc>
      </w:tr>
      <w:tr w:rsidR="001736EF" w:rsidRPr="00574810" w14:paraId="6A3798F7"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46A052F9" w14:textId="6EBF3DC3" w:rsidR="001736EF" w:rsidRPr="001736EF" w:rsidRDefault="001736EF" w:rsidP="007E0AFE">
            <w:pPr>
              <w:rPr>
                <w:rFonts w:asciiTheme="majorHAnsi" w:hAnsiTheme="majorHAnsi"/>
                <w:b w:val="0"/>
                <w:i/>
                <w:sz w:val="16"/>
                <w:szCs w:val="16"/>
              </w:rPr>
            </w:pPr>
            <w:r w:rsidRPr="001736EF">
              <w:rPr>
                <w:rFonts w:asciiTheme="majorHAnsi" w:hAnsiTheme="majorHAnsi"/>
                <w:b w:val="0"/>
                <w:i/>
                <w:sz w:val="16"/>
                <w:szCs w:val="16"/>
              </w:rPr>
              <w:t>Justice response</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0F9BE1F1" w14:textId="747E5B76" w:rsidR="001736EF" w:rsidRPr="001736EF" w:rsidRDefault="001736EF" w:rsidP="007E0AFE">
            <w:pPr>
              <w:cnfStyle w:val="000000100000" w:firstRow="0" w:lastRow="0" w:firstColumn="0" w:lastColumn="0" w:oddVBand="0" w:evenVBand="0" w:oddHBand="1" w:evenHBand="0" w:firstRowFirstColumn="0" w:firstRowLastColumn="0" w:lastRowFirstColumn="0" w:lastRowLastColumn="0"/>
              <w:rPr>
                <w:bCs/>
                <w:sz w:val="16"/>
                <w:szCs w:val="16"/>
              </w:rPr>
            </w:pPr>
            <w:r w:rsidRPr="001736EF">
              <w:rPr>
                <w:bCs/>
                <w:sz w:val="16"/>
                <w:szCs w:val="16"/>
              </w:rPr>
              <w:t>People with HTMS experiences who elect to do so, are supported to participate in the criminal justice process</w:t>
            </w:r>
          </w:p>
        </w:tc>
      </w:tr>
      <w:tr w:rsidR="001736EF" w:rsidRPr="00574810" w14:paraId="1583376B" w14:textId="77777777" w:rsidTr="00BA0B3D">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71F42155" w14:textId="48E01C78" w:rsidR="001736EF" w:rsidRPr="00DB3F1A" w:rsidRDefault="001736EF" w:rsidP="007E0AFE">
            <w:pPr>
              <w:rPr>
                <w:rFonts w:asciiTheme="majorHAnsi" w:hAnsiTheme="majorHAnsi"/>
                <w:b w:val="0"/>
                <w:sz w:val="16"/>
                <w:szCs w:val="16"/>
              </w:rPr>
            </w:pPr>
            <w:r w:rsidRPr="001736EF">
              <w:rPr>
                <w:rFonts w:asciiTheme="majorHAnsi" w:hAnsiTheme="majorHAnsi"/>
                <w:b w:val="0"/>
                <w:sz w:val="16"/>
                <w:szCs w:val="16"/>
              </w:rPr>
              <w:t xml:space="preserve">Program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3DAF9F68" w14:textId="7FD476BA" w:rsidR="001736EF" w:rsidRPr="001736EF" w:rsidRDefault="001736EF" w:rsidP="007E0AFE">
            <w:pPr>
              <w:cnfStyle w:val="000000000000" w:firstRow="0" w:lastRow="0" w:firstColumn="0" w:lastColumn="0" w:oddVBand="0" w:evenVBand="0" w:oddHBand="0" w:evenHBand="0" w:firstRowFirstColumn="0" w:firstRowLastColumn="0" w:lastRowFirstColumn="0" w:lastRowLastColumn="0"/>
              <w:rPr>
                <w:bCs/>
                <w:sz w:val="16"/>
                <w:szCs w:val="16"/>
              </w:rPr>
            </w:pPr>
            <w:r w:rsidRPr="001736EF">
              <w:rPr>
                <w:bCs/>
                <w:sz w:val="16"/>
                <w:szCs w:val="16"/>
              </w:rPr>
              <w:t xml:space="preserve">STPP and ARP providers support collaborative responses to modern slavery that are inclusive, trauma-informed and lived experience centred  </w:t>
            </w:r>
          </w:p>
        </w:tc>
      </w:tr>
    </w:tbl>
    <w:p w14:paraId="414AE2C9" w14:textId="4A7B9D4B" w:rsidR="00835D4D" w:rsidRDefault="00835D4D" w:rsidP="00835D4D">
      <w:pPr>
        <w:pStyle w:val="Caption"/>
      </w:pPr>
      <w:r>
        <w:t xml:space="preserve">Table </w:t>
      </w:r>
      <w:r>
        <w:fldChar w:fldCharType="begin"/>
      </w:r>
      <w:r>
        <w:instrText xml:space="preserve"> SEQ Table \* ARABIC </w:instrText>
      </w:r>
      <w:r>
        <w:fldChar w:fldCharType="separate"/>
      </w:r>
      <w:r w:rsidR="00D9323B">
        <w:rPr>
          <w:noProof/>
        </w:rPr>
        <w:t>57</w:t>
      </w:r>
      <w:r>
        <w:fldChar w:fldCharType="end"/>
      </w:r>
      <w:r>
        <w:t>.</w:t>
      </w:r>
      <w:r w:rsidR="00FC6F76">
        <w:t xml:space="preserve"> </w:t>
      </w:r>
      <w:r w:rsidR="00FC6F76" w:rsidRPr="00FC6F76">
        <w:t xml:space="preserve">Outcomes (longer term beyond </w:t>
      </w:r>
      <w:r w:rsidR="00BA0B3D">
        <w:t>STPP</w:t>
      </w:r>
      <w:r w:rsidR="00FC6F76" w:rsidRPr="00FC6F76">
        <w:t>)</w:t>
      </w:r>
    </w:p>
    <w:tbl>
      <w:tblPr>
        <w:tblStyle w:val="ListTable3"/>
        <w:tblW w:w="5159" w:type="pct"/>
        <w:tblInd w:w="-431" w:type="dxa"/>
        <w:tblBorders>
          <w:insideH w:val="single" w:sz="4" w:space="0" w:color="212A31" w:themeColor="text1" w:themeShade="80"/>
          <w:insideV w:val="single" w:sz="4" w:space="0" w:color="212A31" w:themeColor="text1" w:themeShade="80"/>
        </w:tblBorders>
        <w:tblLook w:val="04A0" w:firstRow="1" w:lastRow="0" w:firstColumn="1" w:lastColumn="0" w:noHBand="0" w:noVBand="1"/>
      </w:tblPr>
      <w:tblGrid>
        <w:gridCol w:w="7073"/>
        <w:gridCol w:w="7074"/>
      </w:tblGrid>
      <w:tr w:rsidR="00FC6F76" w:rsidRPr="00930AA5" w14:paraId="55020AA0" w14:textId="77777777" w:rsidTr="00BA0B3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00" w:type="pct"/>
            <w:tcBorders>
              <w:top w:val="single" w:sz="4" w:space="0" w:color="425563" w:themeColor="text1"/>
              <w:bottom w:val="single" w:sz="4" w:space="0" w:color="212A31" w:themeColor="text1" w:themeShade="80"/>
            </w:tcBorders>
          </w:tcPr>
          <w:p w14:paraId="7C515061" w14:textId="021A7F5C" w:rsidR="00FC6F76" w:rsidRPr="00930AA5" w:rsidRDefault="00BA0B3D" w:rsidP="007E0AFE">
            <w:pPr>
              <w:rPr>
                <w:rFonts w:asciiTheme="majorHAnsi" w:hAnsiTheme="majorHAnsi"/>
                <w:bCs w:val="0"/>
                <w:color w:val="FFFFFF" w:themeColor="background1"/>
                <w:sz w:val="16"/>
                <w:szCs w:val="16"/>
              </w:rPr>
            </w:pPr>
            <w:r>
              <w:rPr>
                <w:rFonts w:asciiTheme="majorHAnsi" w:hAnsiTheme="majorHAnsi"/>
                <w:b w:val="0"/>
                <w:color w:val="FFFFFF" w:themeColor="background1"/>
                <w:sz w:val="16"/>
                <w:szCs w:val="16"/>
              </w:rPr>
              <w:t>Stakeholder</w:t>
            </w:r>
          </w:p>
        </w:tc>
        <w:tc>
          <w:tcPr>
            <w:tcW w:w="2500" w:type="pct"/>
            <w:tcBorders>
              <w:top w:val="single" w:sz="4" w:space="0" w:color="425563" w:themeColor="text1"/>
              <w:bottom w:val="single" w:sz="4" w:space="0" w:color="212A31" w:themeColor="text1" w:themeShade="80"/>
            </w:tcBorders>
          </w:tcPr>
          <w:p w14:paraId="0B158E55" w14:textId="3F44E440" w:rsidR="00FC6F76" w:rsidRPr="00930AA5" w:rsidRDefault="00BA0B3D" w:rsidP="007E0AFE">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sz w:val="16"/>
                <w:szCs w:val="16"/>
              </w:rPr>
            </w:pPr>
            <w:r>
              <w:rPr>
                <w:rFonts w:asciiTheme="majorHAnsi" w:hAnsiTheme="majorHAnsi"/>
                <w:b w:val="0"/>
                <w:color w:val="FFFFFF" w:themeColor="background1"/>
                <w:sz w:val="16"/>
                <w:szCs w:val="16"/>
              </w:rPr>
              <w:t>Outcomes</w:t>
            </w:r>
          </w:p>
        </w:tc>
      </w:tr>
      <w:tr w:rsidR="00383B60" w:rsidRPr="00574810" w14:paraId="512D4EEF"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6D7EA5C7" w14:textId="77777777" w:rsidR="00383B60" w:rsidRDefault="00383B60" w:rsidP="007E0AFE">
            <w:pPr>
              <w:rPr>
                <w:rFonts w:asciiTheme="majorHAnsi" w:hAnsiTheme="majorHAnsi"/>
                <w:bCs w:val="0"/>
                <w:sz w:val="16"/>
                <w:szCs w:val="16"/>
              </w:rPr>
            </w:pPr>
            <w:r w:rsidRPr="00C5314E">
              <w:rPr>
                <w:rFonts w:asciiTheme="majorHAnsi" w:hAnsiTheme="majorHAnsi"/>
                <w:b w:val="0"/>
                <w:sz w:val="16"/>
                <w:szCs w:val="16"/>
              </w:rPr>
              <w:t>Participants*</w:t>
            </w:r>
          </w:p>
          <w:p w14:paraId="4A5E7B5C" w14:textId="665A450E" w:rsidR="00383B60" w:rsidRPr="00383B60" w:rsidRDefault="00383B60" w:rsidP="007E0AFE">
            <w:pPr>
              <w:rPr>
                <w:i/>
                <w:iCs/>
              </w:rPr>
            </w:pPr>
            <w:r>
              <w:rPr>
                <w:i/>
                <w:iCs/>
              </w:rPr>
              <w:t>*</w:t>
            </w:r>
            <w:r w:rsidRPr="003B6A03">
              <w:rPr>
                <w:i/>
                <w:iCs/>
              </w:rPr>
              <w:t xml:space="preserve">Note: a participants’ journey is based on their individual needs; outcomes will differ according to their own identified needs and remedy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25AF4D18" w14:textId="2342C08D" w:rsidR="00383B60" w:rsidRPr="00DB3F1A" w:rsidRDefault="00383B60" w:rsidP="007E0AFE">
            <w:pPr>
              <w:cnfStyle w:val="000000100000" w:firstRow="0" w:lastRow="0" w:firstColumn="0" w:lastColumn="0" w:oddVBand="0" w:evenVBand="0" w:oddHBand="1" w:evenHBand="0" w:firstRowFirstColumn="0" w:firstRowLastColumn="0" w:lastRowFirstColumn="0" w:lastRowLastColumn="0"/>
              <w:rPr>
                <w:sz w:val="16"/>
                <w:szCs w:val="16"/>
              </w:rPr>
            </w:pPr>
            <w:r w:rsidRPr="00C84A94">
              <w:rPr>
                <w:bCs/>
                <w:sz w:val="16"/>
                <w:szCs w:val="16"/>
              </w:rPr>
              <w:t>People with HTMS experiences experience personal and financial stability, good health and wellbeing</w:t>
            </w:r>
          </w:p>
        </w:tc>
      </w:tr>
      <w:tr w:rsidR="00383B60" w:rsidRPr="00574810" w14:paraId="57155FEF" w14:textId="77777777" w:rsidTr="00BA0B3D">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CB6BE7E" w14:textId="77777777" w:rsidR="00383B60" w:rsidRDefault="00383B60" w:rsidP="007E0AFE">
            <w:pPr>
              <w:rPr>
                <w:rFonts w:asciiTheme="majorHAnsi" w:hAnsiTheme="majorHAnsi"/>
                <w:bCs w:val="0"/>
                <w:sz w:val="16"/>
                <w:szCs w:val="16"/>
              </w:rPr>
            </w:pPr>
            <w:r w:rsidRPr="00C5314E">
              <w:rPr>
                <w:rFonts w:asciiTheme="majorHAnsi" w:hAnsiTheme="majorHAnsi"/>
                <w:b w:val="0"/>
                <w:sz w:val="16"/>
                <w:szCs w:val="16"/>
              </w:rPr>
              <w:t>Participants*</w:t>
            </w:r>
          </w:p>
          <w:p w14:paraId="523A1006" w14:textId="20C2EAD7" w:rsidR="00383B60" w:rsidRPr="00383B60" w:rsidRDefault="00383B60" w:rsidP="007E0AFE">
            <w:pPr>
              <w:rPr>
                <w:i/>
                <w:iCs/>
              </w:rPr>
            </w:pPr>
            <w:r>
              <w:rPr>
                <w:i/>
                <w:iCs/>
              </w:rPr>
              <w:t>*</w:t>
            </w:r>
            <w:r w:rsidRPr="003B6A03">
              <w:rPr>
                <w:i/>
                <w:iCs/>
              </w:rPr>
              <w:t xml:space="preserve">Note: a participants’ journey is based on their individual needs; outcomes will differ according to their own identified needs and remedy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188590EC" w14:textId="373CD8B8" w:rsidR="00383B60" w:rsidRPr="00DB3F1A" w:rsidRDefault="00383B60"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C84A94">
              <w:rPr>
                <w:bCs/>
                <w:sz w:val="16"/>
                <w:szCs w:val="16"/>
              </w:rPr>
              <w:t>People with HTMS experiences experience trusted relationships and supportive family and community connections</w:t>
            </w:r>
          </w:p>
        </w:tc>
      </w:tr>
      <w:tr w:rsidR="00383B60" w:rsidRPr="00574810" w14:paraId="2CFAFE36"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DC8780B" w14:textId="77777777" w:rsidR="00383B60" w:rsidRDefault="00383B60" w:rsidP="007E0AFE">
            <w:pPr>
              <w:rPr>
                <w:rFonts w:asciiTheme="majorHAnsi" w:hAnsiTheme="majorHAnsi"/>
                <w:bCs w:val="0"/>
                <w:sz w:val="16"/>
                <w:szCs w:val="16"/>
              </w:rPr>
            </w:pPr>
            <w:r w:rsidRPr="00C5314E">
              <w:rPr>
                <w:rFonts w:asciiTheme="majorHAnsi" w:hAnsiTheme="majorHAnsi"/>
                <w:b w:val="0"/>
                <w:sz w:val="16"/>
                <w:szCs w:val="16"/>
              </w:rPr>
              <w:t>Participants*</w:t>
            </w:r>
          </w:p>
          <w:p w14:paraId="6A0E487C" w14:textId="7390F23F" w:rsidR="00383B60" w:rsidRPr="00383B60" w:rsidRDefault="00383B60" w:rsidP="007E0AFE">
            <w:pPr>
              <w:rPr>
                <w:i/>
                <w:iCs/>
              </w:rPr>
            </w:pPr>
            <w:r>
              <w:rPr>
                <w:i/>
                <w:iCs/>
              </w:rPr>
              <w:t>*</w:t>
            </w:r>
            <w:r w:rsidRPr="003B6A03">
              <w:rPr>
                <w:i/>
                <w:iCs/>
              </w:rPr>
              <w:t xml:space="preserve">Note: a participants’ journey is based on their individual needs; outcomes will differ according to their own identified needs and remedy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40FFB622" w14:textId="6BE23652" w:rsidR="00383B60" w:rsidRPr="00574810" w:rsidRDefault="00383B60" w:rsidP="007E0AFE">
            <w:pPr>
              <w:cnfStyle w:val="000000100000" w:firstRow="0" w:lastRow="0" w:firstColumn="0" w:lastColumn="0" w:oddVBand="0" w:evenVBand="0" w:oddHBand="1" w:evenHBand="0" w:firstRowFirstColumn="0" w:firstRowLastColumn="0" w:lastRowFirstColumn="0" w:lastRowLastColumn="0"/>
              <w:rPr>
                <w:sz w:val="16"/>
                <w:szCs w:val="16"/>
              </w:rPr>
            </w:pPr>
            <w:r w:rsidRPr="00C84A94">
              <w:rPr>
                <w:bCs/>
                <w:sz w:val="16"/>
                <w:szCs w:val="16"/>
              </w:rPr>
              <w:t>People with HTMS experiences feel they are heard and accepted and have a sense of dignity</w:t>
            </w:r>
          </w:p>
        </w:tc>
      </w:tr>
      <w:tr w:rsidR="00383B60" w:rsidRPr="00574810" w14:paraId="6892A3E4" w14:textId="77777777" w:rsidTr="00BA0B3D">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4DC835C" w14:textId="77777777" w:rsidR="00383B60" w:rsidRDefault="00383B60" w:rsidP="007E0AFE">
            <w:pPr>
              <w:rPr>
                <w:rFonts w:asciiTheme="majorHAnsi" w:hAnsiTheme="majorHAnsi"/>
                <w:bCs w:val="0"/>
                <w:sz w:val="16"/>
                <w:szCs w:val="16"/>
              </w:rPr>
            </w:pPr>
            <w:r w:rsidRPr="00C5314E">
              <w:rPr>
                <w:rFonts w:asciiTheme="majorHAnsi" w:hAnsiTheme="majorHAnsi"/>
                <w:b w:val="0"/>
                <w:sz w:val="16"/>
                <w:szCs w:val="16"/>
              </w:rPr>
              <w:t>Participants*</w:t>
            </w:r>
          </w:p>
          <w:p w14:paraId="33F71883" w14:textId="155FE593" w:rsidR="00383B60" w:rsidRPr="00383B60" w:rsidRDefault="00383B60" w:rsidP="007E0AFE">
            <w:pPr>
              <w:rPr>
                <w:i/>
                <w:iCs/>
              </w:rPr>
            </w:pPr>
            <w:r>
              <w:rPr>
                <w:i/>
                <w:iCs/>
              </w:rPr>
              <w:t>*</w:t>
            </w:r>
            <w:r w:rsidRPr="003B6A03">
              <w:rPr>
                <w:i/>
                <w:iCs/>
              </w:rPr>
              <w:t xml:space="preserve">Note: a participants’ journey is based on their individual needs; outcomes will differ according to their own identified needs and remedy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29742A97" w14:textId="32430929" w:rsidR="00383B60" w:rsidRPr="00DB3F1A" w:rsidRDefault="00383B60"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C84A94">
              <w:rPr>
                <w:bCs/>
                <w:sz w:val="16"/>
                <w:szCs w:val="16"/>
              </w:rPr>
              <w:t xml:space="preserve">People with HTMS experiences achieve a sense of healing </w:t>
            </w:r>
          </w:p>
        </w:tc>
      </w:tr>
      <w:tr w:rsidR="00383B60" w:rsidRPr="00574810" w14:paraId="1F8047F7"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5CA65524" w14:textId="3551E26B" w:rsidR="00383B60" w:rsidRPr="00DB3F1A" w:rsidRDefault="00383B60" w:rsidP="007E0AFE">
            <w:pPr>
              <w:rPr>
                <w:rFonts w:asciiTheme="majorHAnsi" w:hAnsiTheme="majorHAnsi"/>
                <w:bCs w:val="0"/>
                <w:sz w:val="16"/>
                <w:szCs w:val="16"/>
              </w:rPr>
            </w:pPr>
            <w:r w:rsidRPr="00425393">
              <w:rPr>
                <w:rFonts w:asciiTheme="majorHAnsi" w:hAnsiTheme="majorHAnsi"/>
                <w:b w:val="0"/>
                <w:i/>
                <w:sz w:val="16"/>
                <w:szCs w:val="16"/>
              </w:rPr>
              <w:t>Justice response</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741D34D2" w14:textId="4A384F44" w:rsidR="00383B60" w:rsidRPr="00DB3F1A" w:rsidRDefault="00383B60" w:rsidP="007E0AFE">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CF7C89">
              <w:rPr>
                <w:bCs/>
                <w:sz w:val="16"/>
                <w:szCs w:val="16"/>
              </w:rPr>
              <w:t>Perpetrators of HTMS are held to account</w:t>
            </w:r>
          </w:p>
        </w:tc>
      </w:tr>
      <w:tr w:rsidR="00383B60" w:rsidRPr="00574810" w14:paraId="46640C65" w14:textId="77777777" w:rsidTr="00BA0B3D">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75582F5" w14:textId="2B769963" w:rsidR="00383B60" w:rsidRPr="00DB3F1A" w:rsidRDefault="00383B60" w:rsidP="007E0AFE">
            <w:pPr>
              <w:rPr>
                <w:rFonts w:asciiTheme="majorHAnsi" w:hAnsiTheme="majorHAnsi"/>
                <w:b w:val="0"/>
                <w:sz w:val="16"/>
                <w:szCs w:val="16"/>
              </w:rPr>
            </w:pPr>
            <w:r w:rsidRPr="00425393">
              <w:rPr>
                <w:rFonts w:asciiTheme="majorHAnsi" w:hAnsiTheme="majorHAnsi"/>
                <w:b w:val="0"/>
                <w:i/>
                <w:sz w:val="16"/>
                <w:szCs w:val="16"/>
              </w:rPr>
              <w:t>Justice response</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468DBBA2" w14:textId="291D7CCE" w:rsidR="00383B60" w:rsidRPr="00574810" w:rsidRDefault="00383B60" w:rsidP="007E0AFE">
            <w:pPr>
              <w:cnfStyle w:val="000000000000" w:firstRow="0" w:lastRow="0" w:firstColumn="0" w:lastColumn="0" w:oddVBand="0" w:evenVBand="0" w:oddHBand="0" w:evenHBand="0" w:firstRowFirstColumn="0" w:firstRowLastColumn="0" w:lastRowFirstColumn="0" w:lastRowLastColumn="0"/>
              <w:rPr>
                <w:sz w:val="16"/>
                <w:szCs w:val="16"/>
              </w:rPr>
            </w:pPr>
            <w:r w:rsidRPr="00CF7C89">
              <w:rPr>
                <w:bCs/>
                <w:sz w:val="16"/>
                <w:szCs w:val="16"/>
              </w:rPr>
              <w:t>People with HTMS experiences are supported to manage and minimise effects of the criminal justice process</w:t>
            </w:r>
          </w:p>
        </w:tc>
      </w:tr>
      <w:tr w:rsidR="001736EF" w:rsidRPr="00574810" w14:paraId="0C290924"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073C50AB" w14:textId="49F066DF" w:rsidR="001736EF" w:rsidRPr="00383B60" w:rsidRDefault="00383B60" w:rsidP="007E0AFE">
            <w:pPr>
              <w:rPr>
                <w:rFonts w:asciiTheme="majorHAnsi" w:hAnsiTheme="majorHAnsi"/>
                <w:b w:val="0"/>
                <w:sz w:val="16"/>
                <w:szCs w:val="16"/>
              </w:rPr>
            </w:pPr>
            <w:r w:rsidRPr="001736EF">
              <w:rPr>
                <w:rFonts w:asciiTheme="majorHAnsi" w:hAnsiTheme="majorHAnsi"/>
                <w:b w:val="0"/>
                <w:sz w:val="16"/>
                <w:szCs w:val="16"/>
              </w:rPr>
              <w:t xml:space="preserve">Program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2FEF58A9" w14:textId="5ECB6601" w:rsidR="001736EF" w:rsidRPr="00383B60" w:rsidRDefault="00383B60" w:rsidP="007E0AFE">
            <w:pPr>
              <w:cnfStyle w:val="000000100000" w:firstRow="0" w:lastRow="0" w:firstColumn="0" w:lastColumn="0" w:oddVBand="0" w:evenVBand="0" w:oddHBand="1" w:evenHBand="0" w:firstRowFirstColumn="0" w:firstRowLastColumn="0" w:lastRowFirstColumn="0" w:lastRowLastColumn="0"/>
              <w:rPr>
                <w:bCs/>
                <w:sz w:val="16"/>
                <w:szCs w:val="16"/>
              </w:rPr>
            </w:pPr>
            <w:r w:rsidRPr="001736EF">
              <w:rPr>
                <w:bCs/>
                <w:sz w:val="16"/>
                <w:szCs w:val="16"/>
              </w:rPr>
              <w:t xml:space="preserve">STPP and ARP providers support collaborative responses to modern slavery that are inclusive, trauma-informed and lived experience centred  </w:t>
            </w:r>
          </w:p>
        </w:tc>
      </w:tr>
      <w:tr w:rsidR="00383B60" w:rsidRPr="00574810" w14:paraId="63BC59BC" w14:textId="77777777" w:rsidTr="00BA0B3D">
        <w:trPr>
          <w:cantSplit/>
          <w:trHeight w:val="426"/>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D5050F8" w14:textId="3CEF5B23" w:rsidR="00383B60" w:rsidRPr="00383B60" w:rsidRDefault="00383B60" w:rsidP="007E0AFE">
            <w:pPr>
              <w:rPr>
                <w:rFonts w:asciiTheme="majorHAnsi" w:hAnsiTheme="majorHAnsi"/>
                <w:b w:val="0"/>
                <w:sz w:val="16"/>
                <w:szCs w:val="16"/>
              </w:rPr>
            </w:pPr>
            <w:r w:rsidRPr="001736EF">
              <w:rPr>
                <w:rFonts w:asciiTheme="majorHAnsi" w:hAnsiTheme="majorHAnsi"/>
                <w:b w:val="0"/>
                <w:sz w:val="16"/>
                <w:szCs w:val="16"/>
              </w:rPr>
              <w:lastRenderedPageBreak/>
              <w:t xml:space="preserve">Community  </w:t>
            </w: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2D3EF7FC" w14:textId="403FC7FE" w:rsidR="00383B60" w:rsidRPr="00261CD7" w:rsidRDefault="00383B60" w:rsidP="007E0AFE">
            <w:pPr>
              <w:cnfStyle w:val="000000000000" w:firstRow="0" w:lastRow="0" w:firstColumn="0" w:lastColumn="0" w:oddVBand="0" w:evenVBand="0" w:oddHBand="0" w:evenHBand="0" w:firstRowFirstColumn="0" w:firstRowLastColumn="0" w:lastRowFirstColumn="0" w:lastRowLastColumn="0"/>
              <w:rPr>
                <w:b/>
                <w:sz w:val="16"/>
                <w:szCs w:val="16"/>
              </w:rPr>
            </w:pPr>
            <w:r w:rsidRPr="00672082">
              <w:rPr>
                <w:bCs/>
                <w:sz w:val="16"/>
                <w:szCs w:val="16"/>
              </w:rPr>
              <w:t>People are aware of the ARP and STPP</w:t>
            </w:r>
          </w:p>
        </w:tc>
      </w:tr>
      <w:tr w:rsidR="00383B60" w:rsidRPr="00574810" w14:paraId="26DEF12F" w14:textId="77777777" w:rsidTr="00BA0B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212A31" w:themeColor="text1" w:themeShade="80"/>
              <w:bottom w:val="single" w:sz="4" w:space="0" w:color="212A31" w:themeColor="text1" w:themeShade="80"/>
              <w:right w:val="single" w:sz="4" w:space="0" w:color="425563" w:themeColor="text1"/>
            </w:tcBorders>
          </w:tcPr>
          <w:p w14:paraId="18B61BC8" w14:textId="77777777" w:rsidR="00383B60" w:rsidRPr="001736EF" w:rsidRDefault="00383B60" w:rsidP="007E0AFE">
            <w:pPr>
              <w:rPr>
                <w:rFonts w:asciiTheme="majorHAnsi" w:hAnsiTheme="majorHAnsi"/>
                <w:b w:val="0"/>
                <w:sz w:val="16"/>
                <w:szCs w:val="16"/>
              </w:rPr>
            </w:pPr>
            <w:r w:rsidRPr="001736EF">
              <w:rPr>
                <w:rFonts w:asciiTheme="majorHAnsi" w:hAnsiTheme="majorHAnsi"/>
                <w:b w:val="0"/>
                <w:sz w:val="16"/>
                <w:szCs w:val="16"/>
              </w:rPr>
              <w:t xml:space="preserve">Community  </w:t>
            </w:r>
          </w:p>
          <w:p w14:paraId="4BCB5D4F" w14:textId="6D84BF91" w:rsidR="00383B60" w:rsidRPr="006C2BBF" w:rsidRDefault="00383B60" w:rsidP="007E0AFE">
            <w:pPr>
              <w:rPr>
                <w:rFonts w:asciiTheme="majorHAnsi" w:hAnsiTheme="majorHAnsi"/>
                <w:sz w:val="16"/>
              </w:rPr>
            </w:pPr>
          </w:p>
        </w:tc>
        <w:tc>
          <w:tcPr>
            <w:tcW w:w="2500" w:type="pct"/>
            <w:tcBorders>
              <w:top w:val="single" w:sz="4" w:space="0" w:color="212A31" w:themeColor="text1" w:themeShade="80"/>
              <w:bottom w:val="single" w:sz="4" w:space="0" w:color="212A31" w:themeColor="text1" w:themeShade="80"/>
              <w:right w:val="single" w:sz="4" w:space="0" w:color="425563" w:themeColor="text1"/>
            </w:tcBorders>
          </w:tcPr>
          <w:p w14:paraId="53C77BA3" w14:textId="0AFCFA36" w:rsidR="00383B60" w:rsidRPr="00574810" w:rsidRDefault="00383B60" w:rsidP="007E0AFE">
            <w:pPr>
              <w:cnfStyle w:val="000000100000" w:firstRow="0" w:lastRow="0" w:firstColumn="0" w:lastColumn="0" w:oddVBand="0" w:evenVBand="0" w:oddHBand="1" w:evenHBand="0" w:firstRowFirstColumn="0" w:firstRowLastColumn="0" w:lastRowFirstColumn="0" w:lastRowLastColumn="0"/>
              <w:rPr>
                <w:sz w:val="16"/>
                <w:szCs w:val="16"/>
              </w:rPr>
            </w:pPr>
            <w:r w:rsidRPr="00672082">
              <w:rPr>
                <w:bCs/>
                <w:sz w:val="16"/>
                <w:szCs w:val="16"/>
              </w:rPr>
              <w:t>People know how to recognise risks, safely respond or seek support when they witness or experience HTMS</w:t>
            </w:r>
            <w:r w:rsidRPr="00672082" w:rsidDel="00DF6023">
              <w:rPr>
                <w:bCs/>
                <w:sz w:val="16"/>
                <w:szCs w:val="16"/>
              </w:rPr>
              <w:t xml:space="preserve"> </w:t>
            </w:r>
            <w:r w:rsidRPr="00672082">
              <w:rPr>
                <w:bCs/>
                <w:sz w:val="16"/>
                <w:szCs w:val="16"/>
              </w:rPr>
              <w:t>Civil society and other HTMS/FDV community providers comprehend the STPP, and the scope of services provided, or not, through it</w:t>
            </w:r>
            <w:r w:rsidRPr="00672082" w:rsidDel="00FA7C0E">
              <w:rPr>
                <w:rFonts w:eastAsiaTheme="minorEastAsia" w:cs="Calibri"/>
                <w:bCs/>
                <w:sz w:val="18"/>
                <w:szCs w:val="18"/>
              </w:rPr>
              <w:t xml:space="preserve"> </w:t>
            </w:r>
          </w:p>
        </w:tc>
      </w:tr>
    </w:tbl>
    <w:p w14:paraId="4AF6391B" w14:textId="77777777" w:rsidR="00574810" w:rsidRDefault="00574810" w:rsidP="007E0AFE">
      <w:pPr>
        <w:pStyle w:val="Tabledot2"/>
        <w:numPr>
          <w:ilvl w:val="0"/>
          <w:numId w:val="0"/>
        </w:numPr>
        <w:ind w:left="363"/>
        <w:sectPr w:rsidR="00574810" w:rsidSect="009A588A">
          <w:headerReference w:type="even" r:id="rId40"/>
          <w:headerReference w:type="default" r:id="rId41"/>
          <w:footerReference w:type="even" r:id="rId42"/>
          <w:footerReference w:type="default" r:id="rId43"/>
          <w:headerReference w:type="first" r:id="rId44"/>
          <w:footerReference w:type="first" r:id="rId45"/>
          <w:pgSz w:w="16840" w:h="11907" w:orient="landscape" w:code="9"/>
          <w:pgMar w:top="720" w:right="1276" w:bottom="720" w:left="1843" w:header="425" w:footer="516" w:gutter="0"/>
          <w:cols w:space="708"/>
          <w:docGrid w:linePitch="360"/>
        </w:sectPr>
      </w:pPr>
    </w:p>
    <w:p w14:paraId="700015B5" w14:textId="32619993" w:rsidR="003A2845" w:rsidRPr="00D50E71" w:rsidRDefault="003A2845" w:rsidP="00D50E71">
      <w:pPr>
        <w:pStyle w:val="Heading4"/>
        <w:rPr>
          <w:sz w:val="28"/>
          <w:szCs w:val="28"/>
        </w:rPr>
      </w:pPr>
      <w:r w:rsidRPr="00D50E71">
        <w:rPr>
          <w:sz w:val="28"/>
          <w:szCs w:val="28"/>
        </w:rPr>
        <w:lastRenderedPageBreak/>
        <w:t>Evaluation framework</w:t>
      </w:r>
      <w:bookmarkEnd w:id="76"/>
      <w:r w:rsidRPr="00D50E71">
        <w:rPr>
          <w:sz w:val="28"/>
          <w:szCs w:val="28"/>
        </w:rPr>
        <w:t xml:space="preserve"> -</w:t>
      </w:r>
      <w:bookmarkEnd w:id="77"/>
      <w:r w:rsidR="00676C76" w:rsidRPr="00D50E71">
        <w:rPr>
          <w:sz w:val="28"/>
          <w:szCs w:val="28"/>
        </w:rPr>
        <w:t xml:space="preserve"> Support for Trafficked People Program</w:t>
      </w:r>
    </w:p>
    <w:p w14:paraId="67B8BB02" w14:textId="77777777" w:rsidR="003A2845" w:rsidRPr="00D50E71" w:rsidRDefault="003A2845" w:rsidP="00D50E71">
      <w:pPr>
        <w:pStyle w:val="Heading5"/>
        <w:spacing w:before="40" w:after="0" w:line="240" w:lineRule="auto"/>
        <w:rPr>
          <w:sz w:val="24"/>
        </w:rPr>
      </w:pPr>
      <w:r w:rsidRPr="00D50E71">
        <w:rPr>
          <w:sz w:val="24"/>
        </w:rPr>
        <w:t xml:space="preserve">Effectiveness – KEQs, indicators, measures and data sources </w:t>
      </w:r>
    </w:p>
    <w:p w14:paraId="34EB2574" w14:textId="77777777" w:rsidR="003A2845" w:rsidRPr="00D50E71" w:rsidRDefault="003A2845" w:rsidP="00D50E71">
      <w:pPr>
        <w:pStyle w:val="Heading6"/>
        <w:rPr>
          <w:i/>
          <w:iCs/>
          <w:sz w:val="20"/>
          <w:szCs w:val="20"/>
        </w:rPr>
      </w:pPr>
      <w:r w:rsidRPr="00D50E71">
        <w:rPr>
          <w:i/>
          <w:iCs/>
          <w:sz w:val="20"/>
          <w:szCs w:val="20"/>
        </w:rPr>
        <w:t xml:space="preserve">KEQs </w:t>
      </w:r>
    </w:p>
    <w:p w14:paraId="60D73168" w14:textId="77777777" w:rsidR="00174C1F" w:rsidRDefault="003A2845" w:rsidP="007E0AFE">
      <w:r>
        <w:t xml:space="preserve">The evaluation framework includes one overarching key evaluation question: </w:t>
      </w:r>
    </w:p>
    <w:p w14:paraId="3C0891EE" w14:textId="07EB16D2" w:rsidR="003A2845" w:rsidRDefault="003A2845" w:rsidP="007E0AFE">
      <w:pPr>
        <w:pStyle w:val="NumList"/>
        <w:numPr>
          <w:ilvl w:val="0"/>
          <w:numId w:val="14"/>
        </w:numPr>
      </w:pPr>
      <w:r>
        <w:t>T</w:t>
      </w:r>
      <w:r w:rsidRPr="00E3421C">
        <w:t>o what extent have the intended outcomes of the STPP been achieved?</w:t>
      </w:r>
    </w:p>
    <w:p w14:paraId="2FD3398B" w14:textId="4094ECD4" w:rsidR="003A2845" w:rsidRDefault="003A2845" w:rsidP="007E0AFE">
      <w:r>
        <w:t>The sub</w:t>
      </w:r>
      <w:r w:rsidR="0DCCFD4E">
        <w:t>-</w:t>
      </w:r>
      <w:r>
        <w:t>questions are:</w:t>
      </w:r>
    </w:p>
    <w:p w14:paraId="55535A6B" w14:textId="77777777" w:rsidR="003A2845" w:rsidRPr="006044C3" w:rsidRDefault="003A2845" w:rsidP="007E0AFE">
      <w:pPr>
        <w:pStyle w:val="NumList"/>
        <w:numPr>
          <w:ilvl w:val="1"/>
          <w:numId w:val="9"/>
        </w:numPr>
      </w:pPr>
      <w:r w:rsidRPr="006044C3">
        <w:t xml:space="preserve">Have clients’ needs been met by the STPP, and to what extent? </w:t>
      </w:r>
    </w:p>
    <w:p w14:paraId="79C09B4D" w14:textId="77777777" w:rsidR="003A2845" w:rsidRPr="006044C3" w:rsidRDefault="003A2845" w:rsidP="007E0AFE">
      <w:pPr>
        <w:pStyle w:val="NumList"/>
        <w:numPr>
          <w:ilvl w:val="1"/>
          <w:numId w:val="9"/>
        </w:numPr>
      </w:pPr>
      <w:r w:rsidRPr="471F2310">
        <w:t xml:space="preserve">What needs </w:t>
      </w:r>
      <w:proofErr w:type="gramStart"/>
      <w:r w:rsidRPr="471F2310">
        <w:t>were not able to</w:t>
      </w:r>
      <w:proofErr w:type="gramEnd"/>
      <w:r w:rsidRPr="471F2310">
        <w:t xml:space="preserve"> be met by the STPP? </w:t>
      </w:r>
    </w:p>
    <w:p w14:paraId="6D12D068" w14:textId="51C97D7F" w:rsidR="003A2845" w:rsidRPr="006044C3" w:rsidRDefault="003A2845" w:rsidP="007E0AFE">
      <w:pPr>
        <w:pStyle w:val="NumList"/>
        <w:numPr>
          <w:ilvl w:val="1"/>
          <w:numId w:val="9"/>
        </w:numPr>
      </w:pPr>
      <w:r w:rsidRPr="006044C3">
        <w:t xml:space="preserve">Has there been any variation in outcomes across different </w:t>
      </w:r>
      <w:r w:rsidR="00B327F4">
        <w:t>participant</w:t>
      </w:r>
      <w:r w:rsidRPr="006044C3">
        <w:t xml:space="preserve"> groups? </w:t>
      </w:r>
    </w:p>
    <w:p w14:paraId="5B16B152" w14:textId="57B878EC" w:rsidR="00244A23" w:rsidRDefault="00244A23" w:rsidP="00244A23">
      <w:pPr>
        <w:pStyle w:val="Caption"/>
      </w:pPr>
      <w:r>
        <w:t xml:space="preserve">Table </w:t>
      </w:r>
      <w:r>
        <w:fldChar w:fldCharType="begin"/>
      </w:r>
      <w:r>
        <w:instrText xml:space="preserve"> SEQ Table \* ARABIC </w:instrText>
      </w:r>
      <w:r>
        <w:fldChar w:fldCharType="separate"/>
      </w:r>
      <w:r w:rsidR="00D9323B">
        <w:rPr>
          <w:noProof/>
        </w:rPr>
        <w:t>58</w:t>
      </w:r>
      <w:r>
        <w:fldChar w:fldCharType="end"/>
      </w:r>
      <w:r>
        <w:t>.</w:t>
      </w:r>
      <w:r w:rsidR="00A97A7D">
        <w:t xml:space="preserve"> </w:t>
      </w:r>
      <w:r w:rsidR="006E50E3">
        <w:t xml:space="preserve">Participant– </w:t>
      </w:r>
      <w:r w:rsidR="00430BF6">
        <w:t>d</w:t>
      </w:r>
      <w:r w:rsidR="006E50E3">
        <w:t xml:space="preserve">uring </w:t>
      </w:r>
      <w:r w:rsidR="00430BF6">
        <w:t>p</w:t>
      </w:r>
      <w:r w:rsidR="006E50E3">
        <w:t>rogram</w:t>
      </w:r>
      <w:r w:rsidR="00430BF6">
        <w:t xml:space="preserve"> outcomes (1 of 2): </w:t>
      </w:r>
      <w:r w:rsidR="00430BF6" w:rsidRPr="00430BF6">
        <w:t>People with HTMS experiences are informed of and understand their safety risks, rights and support options</w:t>
      </w:r>
    </w:p>
    <w:tbl>
      <w:tblPr>
        <w:tblStyle w:val="WTTable1"/>
        <w:tblW w:w="0" w:type="auto"/>
        <w:tblLook w:val="0020" w:firstRow="1" w:lastRow="0" w:firstColumn="0" w:lastColumn="0" w:noHBand="0" w:noVBand="0"/>
      </w:tblPr>
      <w:tblGrid>
        <w:gridCol w:w="3489"/>
        <w:gridCol w:w="3489"/>
        <w:gridCol w:w="3489"/>
      </w:tblGrid>
      <w:tr w:rsidR="00061582" w:rsidRPr="006C6529" w14:paraId="3D41397F" w14:textId="77777777" w:rsidTr="009F25AD">
        <w:trPr>
          <w:cnfStyle w:val="100000000000" w:firstRow="1" w:lastRow="0" w:firstColumn="0" w:lastColumn="0" w:oddVBand="0" w:evenVBand="0" w:oddHBand="0" w:evenHBand="0" w:firstRowFirstColumn="0" w:firstRowLastColumn="0" w:lastRowFirstColumn="0" w:lastRowLastColumn="0"/>
        </w:trPr>
        <w:tc>
          <w:tcPr>
            <w:tcW w:w="3489" w:type="dxa"/>
            <w:shd w:val="clear" w:color="auto" w:fill="425563" w:themeFill="text1"/>
          </w:tcPr>
          <w:p w14:paraId="0CA3BDCB" w14:textId="77777777" w:rsidR="00061582" w:rsidRPr="006C6529" w:rsidRDefault="00061582" w:rsidP="00AD7761">
            <w:pPr>
              <w:rPr>
                <w:sz w:val="18"/>
                <w:szCs w:val="18"/>
              </w:rPr>
            </w:pPr>
            <w:r w:rsidRPr="006C6529">
              <w:rPr>
                <w:b/>
                <w:bCs/>
                <w:color w:val="FFFFFF"/>
                <w:sz w:val="18"/>
                <w:szCs w:val="18"/>
              </w:rPr>
              <w:t>Indicator</w:t>
            </w:r>
          </w:p>
        </w:tc>
        <w:tc>
          <w:tcPr>
            <w:tcW w:w="3489" w:type="dxa"/>
            <w:shd w:val="clear" w:color="auto" w:fill="425563" w:themeFill="text1"/>
          </w:tcPr>
          <w:p w14:paraId="00B4D557" w14:textId="77777777" w:rsidR="00061582" w:rsidRPr="006C6529" w:rsidRDefault="00061582" w:rsidP="00AD7761">
            <w:pPr>
              <w:rPr>
                <w:sz w:val="18"/>
                <w:szCs w:val="18"/>
              </w:rPr>
            </w:pPr>
            <w:r w:rsidRPr="006C6529">
              <w:rPr>
                <w:b/>
                <w:bCs/>
                <w:color w:val="FFFFFF"/>
                <w:sz w:val="18"/>
                <w:szCs w:val="18"/>
              </w:rPr>
              <w:t>Measure</w:t>
            </w:r>
          </w:p>
        </w:tc>
        <w:tc>
          <w:tcPr>
            <w:tcW w:w="3489" w:type="dxa"/>
            <w:shd w:val="clear" w:color="auto" w:fill="425563" w:themeFill="text1"/>
          </w:tcPr>
          <w:p w14:paraId="34690DBF" w14:textId="77777777" w:rsidR="00061582" w:rsidRPr="006C6529" w:rsidRDefault="00061582" w:rsidP="00AD7761">
            <w:pPr>
              <w:rPr>
                <w:sz w:val="18"/>
                <w:szCs w:val="18"/>
              </w:rPr>
            </w:pPr>
            <w:r w:rsidRPr="006C6529">
              <w:rPr>
                <w:b/>
                <w:bCs/>
                <w:color w:val="FFFFFF"/>
                <w:sz w:val="18"/>
                <w:szCs w:val="18"/>
              </w:rPr>
              <w:t>Data source</w:t>
            </w:r>
          </w:p>
        </w:tc>
      </w:tr>
      <w:tr w:rsidR="00061582" w:rsidRPr="006C6529" w14:paraId="372714B6" w14:textId="77777777" w:rsidTr="009F25AD">
        <w:trPr>
          <w:cantSplit/>
        </w:trPr>
        <w:tc>
          <w:tcPr>
            <w:tcW w:w="3489" w:type="dxa"/>
          </w:tcPr>
          <w:p w14:paraId="265A8CFD" w14:textId="77777777" w:rsidR="00061582" w:rsidRPr="006C6529" w:rsidRDefault="00061582" w:rsidP="00AD7761">
            <w:pPr>
              <w:spacing w:before="40" w:after="40"/>
              <w:rPr>
                <w:sz w:val="18"/>
                <w:szCs w:val="18"/>
              </w:rPr>
            </w:pPr>
            <w:r w:rsidRPr="006C6529">
              <w:rPr>
                <w:sz w:val="18"/>
                <w:szCs w:val="18"/>
              </w:rPr>
              <w:t>Increase in understanding by people with HTMS experiences of their rights and support options.</w:t>
            </w:r>
          </w:p>
        </w:tc>
        <w:tc>
          <w:tcPr>
            <w:tcW w:w="3489" w:type="dxa"/>
          </w:tcPr>
          <w:p w14:paraId="7ADF91CF" w14:textId="77777777" w:rsidR="00061582" w:rsidRPr="006C6529" w:rsidRDefault="00061582" w:rsidP="00AD7761">
            <w:pPr>
              <w:spacing w:before="40" w:after="40"/>
              <w:rPr>
                <w:sz w:val="18"/>
                <w:szCs w:val="18"/>
              </w:rPr>
            </w:pPr>
            <w:r w:rsidRPr="006C6529">
              <w:rPr>
                <w:sz w:val="18"/>
                <w:szCs w:val="18"/>
              </w:rPr>
              <w:t>Extent to which participants report they understand their rights and support options.</w:t>
            </w:r>
          </w:p>
        </w:tc>
        <w:tc>
          <w:tcPr>
            <w:tcW w:w="3489" w:type="dxa"/>
          </w:tcPr>
          <w:p w14:paraId="6DE9B279" w14:textId="77777777" w:rsidR="00061582" w:rsidRPr="006C6529" w:rsidRDefault="00061582" w:rsidP="00533A54">
            <w:pPr>
              <w:pStyle w:val="ListParagraph"/>
              <w:numPr>
                <w:ilvl w:val="0"/>
                <w:numId w:val="15"/>
              </w:numPr>
              <w:spacing w:before="40" w:after="40"/>
              <w:contextualSpacing w:val="0"/>
              <w:rPr>
                <w:sz w:val="18"/>
                <w:szCs w:val="18"/>
              </w:rPr>
            </w:pPr>
            <w:r w:rsidRPr="006C6529">
              <w:rPr>
                <w:sz w:val="18"/>
                <w:szCs w:val="18"/>
              </w:rPr>
              <w:t>Program and administrative data, 2018–2024</w:t>
            </w:r>
          </w:p>
          <w:p w14:paraId="3970CAF6" w14:textId="77777777" w:rsidR="00061582" w:rsidRPr="006C6529" w:rsidRDefault="00061582" w:rsidP="00533A54">
            <w:pPr>
              <w:pStyle w:val="ListParagraph"/>
              <w:numPr>
                <w:ilvl w:val="0"/>
                <w:numId w:val="15"/>
              </w:numPr>
              <w:spacing w:before="40" w:after="40"/>
              <w:contextualSpacing w:val="0"/>
              <w:rPr>
                <w:sz w:val="18"/>
                <w:szCs w:val="18"/>
              </w:rPr>
            </w:pPr>
            <w:r w:rsidRPr="006C6529">
              <w:rPr>
                <w:sz w:val="18"/>
                <w:szCs w:val="18"/>
              </w:rPr>
              <w:t>Lived experience interviews</w:t>
            </w:r>
          </w:p>
        </w:tc>
      </w:tr>
    </w:tbl>
    <w:p w14:paraId="26ED2BC1" w14:textId="42162B47" w:rsidR="00987669" w:rsidRDefault="00987669" w:rsidP="00987669">
      <w:pPr>
        <w:pStyle w:val="Caption"/>
      </w:pPr>
      <w:r>
        <w:t xml:space="preserve">Table </w:t>
      </w:r>
      <w:r>
        <w:fldChar w:fldCharType="begin"/>
      </w:r>
      <w:r>
        <w:instrText xml:space="preserve"> SEQ Table \* ARABIC </w:instrText>
      </w:r>
      <w:r>
        <w:fldChar w:fldCharType="separate"/>
      </w:r>
      <w:r w:rsidR="00D9323B">
        <w:rPr>
          <w:noProof/>
        </w:rPr>
        <w:t>59</w:t>
      </w:r>
      <w:r>
        <w:fldChar w:fldCharType="end"/>
      </w:r>
      <w:r>
        <w:t>.</w:t>
      </w:r>
      <w:r w:rsidRPr="00987669">
        <w:t xml:space="preserve"> </w:t>
      </w:r>
      <w:r>
        <w:t>Participant– during program outcomes (2of 2):</w:t>
      </w:r>
      <w:r w:rsidRPr="00987669">
        <w:t xml:space="preserve"> People with HTMS experiences access appropriate support through STPP to meet their identified needs</w:t>
      </w:r>
    </w:p>
    <w:tbl>
      <w:tblPr>
        <w:tblStyle w:val="WTTable1"/>
        <w:tblW w:w="0" w:type="auto"/>
        <w:tblLook w:val="0020" w:firstRow="1" w:lastRow="0" w:firstColumn="0" w:lastColumn="0" w:noHBand="0" w:noVBand="0"/>
      </w:tblPr>
      <w:tblGrid>
        <w:gridCol w:w="3489"/>
        <w:gridCol w:w="3489"/>
        <w:gridCol w:w="3489"/>
      </w:tblGrid>
      <w:tr w:rsidR="00EE4502" w:rsidRPr="006C6529" w14:paraId="7918390B" w14:textId="77777777" w:rsidTr="009F25AD">
        <w:trPr>
          <w:cnfStyle w:val="100000000000" w:firstRow="1" w:lastRow="0" w:firstColumn="0" w:lastColumn="0" w:oddVBand="0" w:evenVBand="0" w:oddHBand="0" w:evenHBand="0" w:firstRowFirstColumn="0" w:firstRowLastColumn="0" w:lastRowFirstColumn="0" w:lastRowLastColumn="0"/>
        </w:trPr>
        <w:tc>
          <w:tcPr>
            <w:tcW w:w="3489" w:type="dxa"/>
            <w:shd w:val="clear" w:color="auto" w:fill="425563" w:themeFill="text1"/>
          </w:tcPr>
          <w:p w14:paraId="110C4A71" w14:textId="77777777" w:rsidR="00EE4502" w:rsidRPr="006C6529" w:rsidRDefault="00EE4502" w:rsidP="007E0AFE">
            <w:pPr>
              <w:rPr>
                <w:sz w:val="18"/>
                <w:szCs w:val="18"/>
              </w:rPr>
            </w:pPr>
            <w:r w:rsidRPr="006C6529">
              <w:rPr>
                <w:b/>
                <w:bCs/>
                <w:color w:val="FFFFFF"/>
                <w:sz w:val="18"/>
                <w:szCs w:val="18"/>
              </w:rPr>
              <w:t>Indicator</w:t>
            </w:r>
          </w:p>
        </w:tc>
        <w:tc>
          <w:tcPr>
            <w:tcW w:w="3489" w:type="dxa"/>
            <w:shd w:val="clear" w:color="auto" w:fill="425563" w:themeFill="text1"/>
          </w:tcPr>
          <w:p w14:paraId="1F908BF2" w14:textId="77777777" w:rsidR="00EE4502" w:rsidRPr="006C6529" w:rsidRDefault="00EE4502" w:rsidP="007E0AFE">
            <w:pPr>
              <w:rPr>
                <w:sz w:val="18"/>
                <w:szCs w:val="18"/>
              </w:rPr>
            </w:pPr>
            <w:r w:rsidRPr="006C6529">
              <w:rPr>
                <w:b/>
                <w:bCs/>
                <w:color w:val="FFFFFF"/>
                <w:sz w:val="18"/>
                <w:szCs w:val="18"/>
              </w:rPr>
              <w:t>Measure</w:t>
            </w:r>
          </w:p>
        </w:tc>
        <w:tc>
          <w:tcPr>
            <w:tcW w:w="3489" w:type="dxa"/>
            <w:shd w:val="clear" w:color="auto" w:fill="425563" w:themeFill="text1"/>
          </w:tcPr>
          <w:p w14:paraId="075593EA" w14:textId="77777777" w:rsidR="00EE4502" w:rsidRPr="006C6529" w:rsidRDefault="00EE4502" w:rsidP="007E0AFE">
            <w:pPr>
              <w:rPr>
                <w:sz w:val="18"/>
                <w:szCs w:val="18"/>
              </w:rPr>
            </w:pPr>
            <w:r w:rsidRPr="006C6529">
              <w:rPr>
                <w:b/>
                <w:bCs/>
                <w:color w:val="FFFFFF"/>
                <w:sz w:val="18"/>
                <w:szCs w:val="18"/>
              </w:rPr>
              <w:t>Data source</w:t>
            </w:r>
          </w:p>
        </w:tc>
      </w:tr>
      <w:tr w:rsidR="00EE4502" w:rsidRPr="006C6529" w14:paraId="11BD144A" w14:textId="77777777" w:rsidTr="009F25AD">
        <w:trPr>
          <w:cantSplit/>
        </w:trPr>
        <w:tc>
          <w:tcPr>
            <w:tcW w:w="3489" w:type="dxa"/>
          </w:tcPr>
          <w:p w14:paraId="416AF8CF" w14:textId="77777777" w:rsidR="00EE4502" w:rsidRPr="006C6529" w:rsidRDefault="00EE4502" w:rsidP="007E0AFE">
            <w:pPr>
              <w:spacing w:before="40" w:after="40"/>
              <w:rPr>
                <w:sz w:val="18"/>
                <w:szCs w:val="18"/>
              </w:rPr>
            </w:pPr>
            <w:r w:rsidRPr="006C6529">
              <w:rPr>
                <w:sz w:val="18"/>
                <w:szCs w:val="18"/>
              </w:rPr>
              <w:t>Increase in people with HTMS experiences referred to STPP.</w:t>
            </w:r>
          </w:p>
        </w:tc>
        <w:tc>
          <w:tcPr>
            <w:tcW w:w="3489" w:type="dxa"/>
          </w:tcPr>
          <w:p w14:paraId="3FD7F28B" w14:textId="77777777" w:rsidR="00EE4502" w:rsidRPr="006C6529" w:rsidRDefault="00EE4502" w:rsidP="007E0AFE">
            <w:pPr>
              <w:spacing w:before="40" w:after="40"/>
              <w:rPr>
                <w:sz w:val="18"/>
                <w:szCs w:val="18"/>
              </w:rPr>
            </w:pPr>
            <w:r w:rsidRPr="006C6529">
              <w:rPr>
                <w:sz w:val="18"/>
                <w:szCs w:val="18"/>
              </w:rPr>
              <w:t>Number and proportion of participants referred to STPP, with reference to the overall population.</w:t>
            </w:r>
          </w:p>
        </w:tc>
        <w:tc>
          <w:tcPr>
            <w:tcW w:w="3489" w:type="dxa"/>
          </w:tcPr>
          <w:p w14:paraId="5A809410"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Program and administrative data, 2018–2024</w:t>
            </w:r>
          </w:p>
        </w:tc>
      </w:tr>
      <w:tr w:rsidR="00EE4502" w:rsidRPr="006C6529" w14:paraId="3CDEEE4F" w14:textId="77777777" w:rsidTr="009F25AD">
        <w:trPr>
          <w:cantSplit/>
        </w:trPr>
        <w:tc>
          <w:tcPr>
            <w:tcW w:w="3489" w:type="dxa"/>
          </w:tcPr>
          <w:p w14:paraId="6C9789B8" w14:textId="77777777" w:rsidR="00EE4502" w:rsidRPr="006C6529" w:rsidRDefault="00EE4502" w:rsidP="007E0AFE">
            <w:pPr>
              <w:spacing w:before="40" w:after="40"/>
              <w:rPr>
                <w:sz w:val="18"/>
                <w:szCs w:val="18"/>
              </w:rPr>
            </w:pPr>
            <w:r w:rsidRPr="006C6529">
              <w:rPr>
                <w:sz w:val="18"/>
                <w:szCs w:val="18"/>
              </w:rPr>
              <w:t>Decrease in people with HTMS experiences who do not access STPP.</w:t>
            </w:r>
          </w:p>
        </w:tc>
        <w:tc>
          <w:tcPr>
            <w:tcW w:w="3489" w:type="dxa"/>
          </w:tcPr>
          <w:p w14:paraId="0C8B52E1" w14:textId="77777777" w:rsidR="00EE4502" w:rsidRPr="006C6529" w:rsidRDefault="00EE4502" w:rsidP="007E0AFE">
            <w:pPr>
              <w:spacing w:before="40" w:after="40"/>
              <w:rPr>
                <w:sz w:val="18"/>
                <w:szCs w:val="18"/>
              </w:rPr>
            </w:pPr>
            <w:r w:rsidRPr="006C6529">
              <w:rPr>
                <w:sz w:val="18"/>
                <w:szCs w:val="18"/>
              </w:rPr>
              <w:t>Met and unmet need (to be defined).</w:t>
            </w:r>
          </w:p>
        </w:tc>
        <w:tc>
          <w:tcPr>
            <w:tcW w:w="3489" w:type="dxa"/>
          </w:tcPr>
          <w:p w14:paraId="57F73F1A"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Program and administrative data, 2018–2024</w:t>
            </w:r>
          </w:p>
          <w:p w14:paraId="433CBF95"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Lived experience interviews</w:t>
            </w:r>
          </w:p>
          <w:p w14:paraId="0C8E89A1"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Stakeholder interviews</w:t>
            </w:r>
          </w:p>
          <w:p w14:paraId="53429870"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Secondary published reports</w:t>
            </w:r>
          </w:p>
        </w:tc>
      </w:tr>
      <w:tr w:rsidR="00EE4502" w:rsidRPr="006C6529" w14:paraId="38B01814" w14:textId="77777777" w:rsidTr="009F25AD">
        <w:trPr>
          <w:cantSplit/>
        </w:trPr>
        <w:tc>
          <w:tcPr>
            <w:tcW w:w="3489" w:type="dxa"/>
          </w:tcPr>
          <w:p w14:paraId="0E79FF02" w14:textId="77777777" w:rsidR="00EE4502" w:rsidRPr="006C6529" w:rsidRDefault="00EE4502" w:rsidP="007E0AFE">
            <w:pPr>
              <w:spacing w:before="40" w:after="40"/>
              <w:rPr>
                <w:sz w:val="18"/>
                <w:szCs w:val="18"/>
              </w:rPr>
            </w:pPr>
            <w:r w:rsidRPr="006C6529">
              <w:rPr>
                <w:sz w:val="18"/>
                <w:szCs w:val="18"/>
              </w:rPr>
              <w:t>Decrease in people with HTMS experiences who do not access STPP.</w:t>
            </w:r>
          </w:p>
        </w:tc>
        <w:tc>
          <w:tcPr>
            <w:tcW w:w="3489" w:type="dxa"/>
          </w:tcPr>
          <w:p w14:paraId="7938ADC4" w14:textId="77777777" w:rsidR="00EE4502" w:rsidRPr="006C6529" w:rsidRDefault="00EE4502" w:rsidP="007E0AFE">
            <w:pPr>
              <w:spacing w:before="40" w:after="40"/>
              <w:rPr>
                <w:sz w:val="18"/>
                <w:szCs w:val="18"/>
              </w:rPr>
            </w:pPr>
            <w:r w:rsidRPr="006C6529">
              <w:rPr>
                <w:sz w:val="18"/>
                <w:szCs w:val="18"/>
              </w:rPr>
              <w:t>Extent to which referral enablers or barriers are reported.</w:t>
            </w:r>
          </w:p>
        </w:tc>
        <w:tc>
          <w:tcPr>
            <w:tcW w:w="3489" w:type="dxa"/>
          </w:tcPr>
          <w:p w14:paraId="0E6F2155"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Lived experience interviews</w:t>
            </w:r>
          </w:p>
          <w:p w14:paraId="585E675C"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Stakeholder interviews</w:t>
            </w:r>
          </w:p>
        </w:tc>
      </w:tr>
      <w:tr w:rsidR="00EE4502" w:rsidRPr="006C6529" w14:paraId="63B099C6" w14:textId="77777777" w:rsidTr="009F25AD">
        <w:trPr>
          <w:cantSplit/>
        </w:trPr>
        <w:tc>
          <w:tcPr>
            <w:tcW w:w="3489" w:type="dxa"/>
          </w:tcPr>
          <w:p w14:paraId="339C6628" w14:textId="77777777" w:rsidR="00EE4502" w:rsidRPr="006C6529" w:rsidRDefault="00EE4502" w:rsidP="007E0AFE">
            <w:pPr>
              <w:spacing w:before="40" w:after="40"/>
              <w:rPr>
                <w:sz w:val="18"/>
                <w:szCs w:val="18"/>
              </w:rPr>
            </w:pPr>
            <w:r w:rsidRPr="006C6529">
              <w:rPr>
                <w:sz w:val="18"/>
                <w:szCs w:val="18"/>
              </w:rPr>
              <w:t>Increase in the needs of people with HTMS experiences met by STPP.</w:t>
            </w:r>
          </w:p>
        </w:tc>
        <w:tc>
          <w:tcPr>
            <w:tcW w:w="3489" w:type="dxa"/>
          </w:tcPr>
          <w:p w14:paraId="1207E579" w14:textId="77777777" w:rsidR="00EE4502" w:rsidRPr="006C6529" w:rsidRDefault="00EE4502" w:rsidP="007E0AFE">
            <w:pPr>
              <w:spacing w:before="40" w:after="40"/>
              <w:rPr>
                <w:sz w:val="18"/>
                <w:szCs w:val="18"/>
              </w:rPr>
            </w:pPr>
            <w:r w:rsidRPr="006C6529">
              <w:rPr>
                <w:sz w:val="18"/>
                <w:szCs w:val="18"/>
              </w:rPr>
              <w:t>Number and nature of service needs identified and delivered on.</w:t>
            </w:r>
          </w:p>
        </w:tc>
        <w:tc>
          <w:tcPr>
            <w:tcW w:w="3489" w:type="dxa"/>
          </w:tcPr>
          <w:p w14:paraId="53FB1DBC"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Program and administrative data, 2018–2024</w:t>
            </w:r>
          </w:p>
        </w:tc>
      </w:tr>
      <w:tr w:rsidR="00EE4502" w:rsidRPr="006C6529" w14:paraId="52C9A35B" w14:textId="77777777" w:rsidTr="009F25AD">
        <w:trPr>
          <w:cantSplit/>
        </w:trPr>
        <w:tc>
          <w:tcPr>
            <w:tcW w:w="3489" w:type="dxa"/>
          </w:tcPr>
          <w:p w14:paraId="1A4D82D5" w14:textId="77777777" w:rsidR="00EE4502" w:rsidRPr="006C6529" w:rsidRDefault="00EE4502" w:rsidP="007E0AFE">
            <w:pPr>
              <w:spacing w:before="40" w:after="40"/>
              <w:rPr>
                <w:sz w:val="18"/>
                <w:szCs w:val="18"/>
              </w:rPr>
            </w:pPr>
            <w:r w:rsidRPr="006C6529">
              <w:rPr>
                <w:sz w:val="18"/>
                <w:szCs w:val="18"/>
              </w:rPr>
              <w:t>Increase in the needs of people with HTMS experiences met by STPP.</w:t>
            </w:r>
          </w:p>
        </w:tc>
        <w:tc>
          <w:tcPr>
            <w:tcW w:w="3489" w:type="dxa"/>
          </w:tcPr>
          <w:p w14:paraId="2AA0DC14" w14:textId="77777777" w:rsidR="00EE4502" w:rsidRPr="006C6529" w:rsidRDefault="00EE4502" w:rsidP="007E0AFE">
            <w:pPr>
              <w:spacing w:before="40" w:after="40"/>
              <w:rPr>
                <w:sz w:val="18"/>
                <w:szCs w:val="18"/>
              </w:rPr>
            </w:pPr>
            <w:r w:rsidRPr="006C6529">
              <w:rPr>
                <w:sz w:val="18"/>
                <w:szCs w:val="18"/>
              </w:rPr>
              <w:t>Proportion of participants whose needs were met by STPP, by selected participant characteristics.</w:t>
            </w:r>
          </w:p>
        </w:tc>
        <w:tc>
          <w:tcPr>
            <w:tcW w:w="3489" w:type="dxa"/>
          </w:tcPr>
          <w:p w14:paraId="7827B5AB"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Program and administrative data, 2018–2024</w:t>
            </w:r>
          </w:p>
          <w:p w14:paraId="26714920"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Lived experience interviews</w:t>
            </w:r>
          </w:p>
          <w:p w14:paraId="630F0898"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Stakeholder interviews</w:t>
            </w:r>
          </w:p>
        </w:tc>
      </w:tr>
      <w:tr w:rsidR="00EE4502" w:rsidRPr="006C6529" w14:paraId="6B1C10FF" w14:textId="77777777" w:rsidTr="009F25AD">
        <w:trPr>
          <w:cantSplit/>
        </w:trPr>
        <w:tc>
          <w:tcPr>
            <w:tcW w:w="3489" w:type="dxa"/>
          </w:tcPr>
          <w:p w14:paraId="5FFD6C46" w14:textId="77777777" w:rsidR="00EE4502" w:rsidRPr="006C6529" w:rsidRDefault="00EE4502" w:rsidP="007E0AFE">
            <w:pPr>
              <w:spacing w:before="40" w:after="40"/>
              <w:rPr>
                <w:sz w:val="18"/>
                <w:szCs w:val="18"/>
              </w:rPr>
            </w:pPr>
            <w:r w:rsidRPr="006C6529">
              <w:rPr>
                <w:sz w:val="18"/>
                <w:szCs w:val="18"/>
              </w:rPr>
              <w:t>Increase in participants living in stable accommodation on program exit.</w:t>
            </w:r>
          </w:p>
        </w:tc>
        <w:tc>
          <w:tcPr>
            <w:tcW w:w="3489" w:type="dxa"/>
          </w:tcPr>
          <w:p w14:paraId="182F9811" w14:textId="77777777" w:rsidR="00EE4502" w:rsidRPr="006C6529" w:rsidRDefault="00EE4502" w:rsidP="007E0AFE">
            <w:pPr>
              <w:spacing w:before="40" w:after="40"/>
              <w:rPr>
                <w:sz w:val="18"/>
                <w:szCs w:val="18"/>
              </w:rPr>
            </w:pPr>
            <w:r w:rsidRPr="006C6529">
              <w:rPr>
                <w:sz w:val="18"/>
                <w:szCs w:val="18"/>
              </w:rPr>
              <w:t>Number and proportion of people with HTMS experiences living in accommodation or housing.</w:t>
            </w:r>
          </w:p>
        </w:tc>
        <w:tc>
          <w:tcPr>
            <w:tcW w:w="3489" w:type="dxa"/>
          </w:tcPr>
          <w:p w14:paraId="74E98775"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Entry and exit status reports</w:t>
            </w:r>
          </w:p>
          <w:p w14:paraId="3DFE980D"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Case notes</w:t>
            </w:r>
          </w:p>
        </w:tc>
      </w:tr>
      <w:tr w:rsidR="00EE4502" w:rsidRPr="006C6529" w14:paraId="35D550DD" w14:textId="77777777" w:rsidTr="009F25AD">
        <w:trPr>
          <w:cantSplit/>
        </w:trPr>
        <w:tc>
          <w:tcPr>
            <w:tcW w:w="3489" w:type="dxa"/>
          </w:tcPr>
          <w:p w14:paraId="574B1BC9" w14:textId="77777777" w:rsidR="00EE4502" w:rsidRPr="006C6529" w:rsidRDefault="00EE4502" w:rsidP="007E0AFE">
            <w:pPr>
              <w:spacing w:before="40" w:after="40"/>
              <w:rPr>
                <w:sz w:val="18"/>
                <w:szCs w:val="18"/>
              </w:rPr>
            </w:pPr>
            <w:r w:rsidRPr="006C6529">
              <w:rPr>
                <w:sz w:val="18"/>
                <w:szCs w:val="18"/>
              </w:rPr>
              <w:t>Increase in participants living in stable accommodation on program exit.</w:t>
            </w:r>
          </w:p>
        </w:tc>
        <w:tc>
          <w:tcPr>
            <w:tcW w:w="3489" w:type="dxa"/>
          </w:tcPr>
          <w:p w14:paraId="7775D412" w14:textId="77777777" w:rsidR="00EE4502" w:rsidRPr="006C6529" w:rsidRDefault="00EE4502" w:rsidP="007E0AFE">
            <w:pPr>
              <w:spacing w:before="40" w:after="40"/>
              <w:rPr>
                <w:sz w:val="18"/>
                <w:szCs w:val="18"/>
              </w:rPr>
            </w:pPr>
            <w:r w:rsidRPr="006C6529">
              <w:rPr>
                <w:sz w:val="18"/>
                <w:szCs w:val="18"/>
              </w:rPr>
              <w:t>Extent to which people with HTMS experiences feel their accommodation is safe and stable.</w:t>
            </w:r>
          </w:p>
        </w:tc>
        <w:tc>
          <w:tcPr>
            <w:tcW w:w="3489" w:type="dxa"/>
          </w:tcPr>
          <w:p w14:paraId="7E559F83"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fieldwork with participants and caseworkers</w:t>
            </w:r>
          </w:p>
        </w:tc>
      </w:tr>
      <w:tr w:rsidR="00EE4502" w:rsidRPr="006C6529" w14:paraId="55DC69E4" w14:textId="77777777" w:rsidTr="009F25AD">
        <w:trPr>
          <w:cantSplit/>
        </w:trPr>
        <w:tc>
          <w:tcPr>
            <w:tcW w:w="3489" w:type="dxa"/>
          </w:tcPr>
          <w:p w14:paraId="3B186837" w14:textId="77777777" w:rsidR="00EE4502" w:rsidRPr="006C6529" w:rsidRDefault="00EE4502" w:rsidP="007E0AFE">
            <w:pPr>
              <w:spacing w:before="40" w:after="40"/>
              <w:rPr>
                <w:sz w:val="18"/>
                <w:szCs w:val="18"/>
              </w:rPr>
            </w:pPr>
            <w:r w:rsidRPr="006C6529">
              <w:rPr>
                <w:sz w:val="18"/>
                <w:szCs w:val="18"/>
              </w:rPr>
              <w:t>Increase in participants living in stable accommodation on program exit.</w:t>
            </w:r>
          </w:p>
        </w:tc>
        <w:tc>
          <w:tcPr>
            <w:tcW w:w="3489" w:type="dxa"/>
          </w:tcPr>
          <w:p w14:paraId="3262DF85" w14:textId="77777777" w:rsidR="00EE4502" w:rsidRPr="006C6529" w:rsidRDefault="00EE4502" w:rsidP="007E0AFE">
            <w:pPr>
              <w:spacing w:before="40" w:after="40"/>
              <w:rPr>
                <w:sz w:val="18"/>
                <w:szCs w:val="18"/>
              </w:rPr>
            </w:pPr>
            <w:r w:rsidRPr="006C6529">
              <w:rPr>
                <w:sz w:val="18"/>
                <w:szCs w:val="18"/>
              </w:rPr>
              <w:t>Reported enablers and barriers to stable accommodation.</w:t>
            </w:r>
          </w:p>
        </w:tc>
        <w:tc>
          <w:tcPr>
            <w:tcW w:w="3489" w:type="dxa"/>
          </w:tcPr>
          <w:p w14:paraId="1625CD7B"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fieldwork with participants and caseworkers</w:t>
            </w:r>
          </w:p>
          <w:p w14:paraId="4348AB32"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Case notes</w:t>
            </w:r>
          </w:p>
        </w:tc>
      </w:tr>
      <w:tr w:rsidR="00EE4502" w:rsidRPr="006C6529" w14:paraId="67A4002C" w14:textId="77777777" w:rsidTr="009F25AD">
        <w:trPr>
          <w:cantSplit/>
        </w:trPr>
        <w:tc>
          <w:tcPr>
            <w:tcW w:w="3489" w:type="dxa"/>
          </w:tcPr>
          <w:p w14:paraId="706656CA" w14:textId="77777777" w:rsidR="00EE4502" w:rsidRPr="006C6529" w:rsidRDefault="00EE4502" w:rsidP="007E0AFE">
            <w:pPr>
              <w:spacing w:before="40" w:after="40"/>
              <w:rPr>
                <w:sz w:val="18"/>
                <w:szCs w:val="18"/>
              </w:rPr>
            </w:pPr>
            <w:r w:rsidRPr="006C6529">
              <w:rPr>
                <w:sz w:val="18"/>
                <w:szCs w:val="18"/>
              </w:rPr>
              <w:t>Increase in people with HTMS experiences who report feelings of empowerment to rebuild their lives.</w:t>
            </w:r>
          </w:p>
        </w:tc>
        <w:tc>
          <w:tcPr>
            <w:tcW w:w="3489" w:type="dxa"/>
          </w:tcPr>
          <w:p w14:paraId="211C8323" w14:textId="77777777" w:rsidR="00EE4502" w:rsidRPr="006C6529" w:rsidRDefault="00EE4502" w:rsidP="007E0AFE">
            <w:pPr>
              <w:spacing w:before="40" w:after="40"/>
              <w:rPr>
                <w:sz w:val="18"/>
                <w:szCs w:val="18"/>
              </w:rPr>
            </w:pPr>
            <w:r w:rsidRPr="006C6529">
              <w:rPr>
                <w:sz w:val="18"/>
                <w:szCs w:val="18"/>
              </w:rPr>
              <w:t>Proportion of participants reporting feelings of empowerment to rebuild their lives.</w:t>
            </w:r>
          </w:p>
        </w:tc>
        <w:tc>
          <w:tcPr>
            <w:tcW w:w="3489" w:type="dxa"/>
          </w:tcPr>
          <w:p w14:paraId="5DDFA403"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r w:rsidR="00EE4502" w:rsidRPr="006C6529" w14:paraId="6798F553" w14:textId="77777777" w:rsidTr="009F25AD">
        <w:trPr>
          <w:cantSplit/>
        </w:trPr>
        <w:tc>
          <w:tcPr>
            <w:tcW w:w="3489" w:type="dxa"/>
          </w:tcPr>
          <w:p w14:paraId="4AD45A26" w14:textId="77777777" w:rsidR="00EE4502" w:rsidRPr="006C6529" w:rsidRDefault="00EE4502" w:rsidP="007E0AFE">
            <w:pPr>
              <w:spacing w:before="40" w:after="40"/>
              <w:rPr>
                <w:sz w:val="18"/>
                <w:szCs w:val="18"/>
              </w:rPr>
            </w:pPr>
            <w:r w:rsidRPr="006C6529">
              <w:rPr>
                <w:sz w:val="18"/>
                <w:szCs w:val="18"/>
              </w:rPr>
              <w:lastRenderedPageBreak/>
              <w:t>Increase in people with HTMS experiences who report feelings of empowerment to rebuild their lives.</w:t>
            </w:r>
          </w:p>
        </w:tc>
        <w:tc>
          <w:tcPr>
            <w:tcW w:w="3489" w:type="dxa"/>
          </w:tcPr>
          <w:p w14:paraId="4F9334CD" w14:textId="77777777" w:rsidR="00EE4502" w:rsidRPr="006C6529" w:rsidRDefault="00EE4502" w:rsidP="007E0AFE">
            <w:pPr>
              <w:spacing w:before="40" w:after="40"/>
              <w:rPr>
                <w:sz w:val="18"/>
                <w:szCs w:val="18"/>
              </w:rPr>
            </w:pPr>
            <w:r w:rsidRPr="006C6529">
              <w:rPr>
                <w:sz w:val="18"/>
                <w:szCs w:val="18"/>
              </w:rPr>
              <w:t xml:space="preserve">Nature of healing and empowerment, and what </w:t>
            </w:r>
            <w:proofErr w:type="gramStart"/>
            <w:r w:rsidRPr="006C6529">
              <w:rPr>
                <w:sz w:val="18"/>
                <w:szCs w:val="18"/>
              </w:rPr>
              <w:t>these mean</w:t>
            </w:r>
            <w:proofErr w:type="gramEnd"/>
            <w:r w:rsidRPr="006C6529">
              <w:rPr>
                <w:sz w:val="18"/>
                <w:szCs w:val="18"/>
              </w:rPr>
              <w:t xml:space="preserve"> to people with HTMS experiences.</w:t>
            </w:r>
          </w:p>
        </w:tc>
        <w:tc>
          <w:tcPr>
            <w:tcW w:w="3489" w:type="dxa"/>
          </w:tcPr>
          <w:p w14:paraId="5D5D83DF"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r w:rsidR="00EE4502" w:rsidRPr="006C6529" w14:paraId="6596DBE7" w14:textId="77777777" w:rsidTr="009F25AD">
        <w:trPr>
          <w:cantSplit/>
        </w:trPr>
        <w:tc>
          <w:tcPr>
            <w:tcW w:w="3489" w:type="dxa"/>
          </w:tcPr>
          <w:p w14:paraId="4653BFDD" w14:textId="77777777" w:rsidR="00EE4502" w:rsidRPr="006C6529" w:rsidRDefault="00EE4502" w:rsidP="007E0AFE">
            <w:pPr>
              <w:spacing w:before="40" w:after="40"/>
              <w:rPr>
                <w:sz w:val="18"/>
                <w:szCs w:val="18"/>
              </w:rPr>
            </w:pPr>
            <w:r w:rsidRPr="006C6529">
              <w:rPr>
                <w:sz w:val="18"/>
                <w:szCs w:val="18"/>
              </w:rPr>
              <w:t>Increase in people with HTMS experiences who report feelings of empowerment to rebuild their lives.</w:t>
            </w:r>
          </w:p>
        </w:tc>
        <w:tc>
          <w:tcPr>
            <w:tcW w:w="3489" w:type="dxa"/>
          </w:tcPr>
          <w:p w14:paraId="15F45BE0" w14:textId="77777777" w:rsidR="00EE4502" w:rsidRPr="006C6529" w:rsidRDefault="00EE4502" w:rsidP="007E0AFE">
            <w:pPr>
              <w:spacing w:before="40" w:after="40"/>
              <w:rPr>
                <w:sz w:val="18"/>
                <w:szCs w:val="18"/>
              </w:rPr>
            </w:pPr>
            <w:r w:rsidRPr="006C6529">
              <w:rPr>
                <w:sz w:val="18"/>
                <w:szCs w:val="18"/>
              </w:rPr>
              <w:t>Reported enablers and barriers to empowerment.</w:t>
            </w:r>
          </w:p>
        </w:tc>
        <w:tc>
          <w:tcPr>
            <w:tcW w:w="3489" w:type="dxa"/>
          </w:tcPr>
          <w:p w14:paraId="5A756B01"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r w:rsidR="00EE4502" w:rsidRPr="006C6529" w14:paraId="6B5C0D87" w14:textId="77777777" w:rsidTr="009F25AD">
        <w:trPr>
          <w:cantSplit/>
        </w:trPr>
        <w:tc>
          <w:tcPr>
            <w:tcW w:w="3489" w:type="dxa"/>
          </w:tcPr>
          <w:p w14:paraId="13C4FD84" w14:textId="77777777" w:rsidR="00EE4502" w:rsidRPr="006C6529" w:rsidRDefault="00EE4502" w:rsidP="007E0AFE">
            <w:pPr>
              <w:spacing w:before="40" w:after="40"/>
              <w:rPr>
                <w:sz w:val="18"/>
                <w:szCs w:val="18"/>
              </w:rPr>
            </w:pPr>
            <w:r w:rsidRPr="006C6529">
              <w:rPr>
                <w:sz w:val="18"/>
                <w:szCs w:val="18"/>
              </w:rPr>
              <w:t>Increase in people with HTMS experiences who report trusted relationships and supportive family and community connections through STPP services.</w:t>
            </w:r>
          </w:p>
        </w:tc>
        <w:tc>
          <w:tcPr>
            <w:tcW w:w="3489" w:type="dxa"/>
          </w:tcPr>
          <w:p w14:paraId="073E6EB3" w14:textId="77777777" w:rsidR="00EE4502" w:rsidRPr="006C6529" w:rsidRDefault="00EE4502" w:rsidP="007E0AFE">
            <w:pPr>
              <w:spacing w:before="40" w:after="40"/>
              <w:rPr>
                <w:sz w:val="18"/>
                <w:szCs w:val="18"/>
              </w:rPr>
            </w:pPr>
            <w:r w:rsidRPr="006C6529">
              <w:rPr>
                <w:sz w:val="18"/>
                <w:szCs w:val="18"/>
              </w:rPr>
              <w:t>Extent to which trusted relationships are reported, by people with HTMS experiences and stakeholders.</w:t>
            </w:r>
          </w:p>
        </w:tc>
        <w:tc>
          <w:tcPr>
            <w:tcW w:w="3489" w:type="dxa"/>
          </w:tcPr>
          <w:p w14:paraId="01296FEB"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Administrative data</w:t>
            </w:r>
          </w:p>
          <w:p w14:paraId="2DB74843"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fieldwork with participants and caseworkers</w:t>
            </w:r>
          </w:p>
        </w:tc>
      </w:tr>
      <w:tr w:rsidR="00EE4502" w:rsidRPr="006C6529" w14:paraId="22110327" w14:textId="77777777" w:rsidTr="009F25AD">
        <w:trPr>
          <w:cantSplit/>
        </w:trPr>
        <w:tc>
          <w:tcPr>
            <w:tcW w:w="3489" w:type="dxa"/>
          </w:tcPr>
          <w:p w14:paraId="5516C135" w14:textId="77777777" w:rsidR="00EE4502" w:rsidRPr="006C6529" w:rsidRDefault="00EE4502" w:rsidP="007E0AFE">
            <w:pPr>
              <w:spacing w:before="40" w:after="40"/>
              <w:rPr>
                <w:sz w:val="18"/>
                <w:szCs w:val="18"/>
              </w:rPr>
            </w:pPr>
            <w:r w:rsidRPr="006C6529">
              <w:rPr>
                <w:sz w:val="18"/>
                <w:szCs w:val="18"/>
              </w:rPr>
              <w:t>Increase in people with HTMS experiences who report trusted relationships and supportive family and community connections through STPP services.</w:t>
            </w:r>
          </w:p>
        </w:tc>
        <w:tc>
          <w:tcPr>
            <w:tcW w:w="3489" w:type="dxa"/>
          </w:tcPr>
          <w:p w14:paraId="64FEFA4C" w14:textId="77777777" w:rsidR="00EE4502" w:rsidRPr="006C6529" w:rsidRDefault="00EE4502" w:rsidP="007E0AFE">
            <w:pPr>
              <w:spacing w:before="40" w:after="40"/>
              <w:rPr>
                <w:sz w:val="18"/>
                <w:szCs w:val="18"/>
              </w:rPr>
            </w:pPr>
            <w:r w:rsidRPr="006C6529">
              <w:rPr>
                <w:sz w:val="18"/>
                <w:szCs w:val="18"/>
              </w:rPr>
              <w:t>Nature of trust, and what this means to people with HTMS experiences.</w:t>
            </w:r>
          </w:p>
        </w:tc>
        <w:tc>
          <w:tcPr>
            <w:tcW w:w="3489" w:type="dxa"/>
          </w:tcPr>
          <w:p w14:paraId="24D532F7"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fieldwork with participants and caseworkers</w:t>
            </w:r>
          </w:p>
        </w:tc>
      </w:tr>
      <w:tr w:rsidR="00EE4502" w:rsidRPr="006C6529" w14:paraId="73CC3BFC" w14:textId="77777777" w:rsidTr="009F25AD">
        <w:trPr>
          <w:cantSplit/>
        </w:trPr>
        <w:tc>
          <w:tcPr>
            <w:tcW w:w="3489" w:type="dxa"/>
          </w:tcPr>
          <w:p w14:paraId="3D7DE0F5" w14:textId="77777777" w:rsidR="00EE4502" w:rsidRPr="006C6529" w:rsidRDefault="00EE4502" w:rsidP="007E0AFE">
            <w:pPr>
              <w:spacing w:before="40" w:after="40"/>
              <w:rPr>
                <w:sz w:val="18"/>
                <w:szCs w:val="18"/>
              </w:rPr>
            </w:pPr>
            <w:r w:rsidRPr="006C6529">
              <w:rPr>
                <w:sz w:val="18"/>
                <w:szCs w:val="18"/>
              </w:rPr>
              <w:t>Increase in people with HTMS experiences who report trusted relationships and supportive family and community connections through STPP services.</w:t>
            </w:r>
          </w:p>
        </w:tc>
        <w:tc>
          <w:tcPr>
            <w:tcW w:w="3489" w:type="dxa"/>
          </w:tcPr>
          <w:p w14:paraId="212BF57E" w14:textId="77777777" w:rsidR="00EE4502" w:rsidRPr="006C6529" w:rsidRDefault="00EE4502" w:rsidP="007E0AFE">
            <w:pPr>
              <w:spacing w:before="40" w:after="40"/>
              <w:rPr>
                <w:sz w:val="18"/>
                <w:szCs w:val="18"/>
              </w:rPr>
            </w:pPr>
            <w:r w:rsidRPr="006C6529">
              <w:rPr>
                <w:sz w:val="18"/>
                <w:szCs w:val="18"/>
              </w:rPr>
              <w:t>Reported enablers and barriers to trusted relationships and connections.</w:t>
            </w:r>
          </w:p>
        </w:tc>
        <w:tc>
          <w:tcPr>
            <w:tcW w:w="3489" w:type="dxa"/>
          </w:tcPr>
          <w:p w14:paraId="2E75AF20" w14:textId="77777777" w:rsidR="00EE4502" w:rsidRPr="006C6529" w:rsidRDefault="00EE4502" w:rsidP="007E0AFE">
            <w:pPr>
              <w:pStyle w:val="ListParagraph"/>
              <w:numPr>
                <w:ilvl w:val="0"/>
                <w:numId w:val="15"/>
              </w:numPr>
              <w:spacing w:before="40" w:after="40"/>
              <w:contextualSpacing w:val="0"/>
              <w:rPr>
                <w:sz w:val="18"/>
                <w:szCs w:val="18"/>
              </w:rPr>
            </w:pPr>
            <w:r w:rsidRPr="006C6529">
              <w:rPr>
                <w:sz w:val="18"/>
                <w:szCs w:val="18"/>
              </w:rPr>
              <w:t>Qualitative fieldwork with participants and caseworkers</w:t>
            </w:r>
          </w:p>
        </w:tc>
      </w:tr>
    </w:tbl>
    <w:p w14:paraId="50CB55BF" w14:textId="77777777" w:rsidR="00533A54" w:rsidRDefault="00533A54" w:rsidP="007E0AFE">
      <w:pPr>
        <w:pStyle w:val="Caption"/>
      </w:pPr>
    </w:p>
    <w:p w14:paraId="4A9D9437" w14:textId="0D18717A" w:rsidR="00533A54" w:rsidRDefault="00533A54" w:rsidP="00533A54">
      <w:pPr>
        <w:pStyle w:val="Caption"/>
      </w:pPr>
      <w:r>
        <w:t xml:space="preserve">Table </w:t>
      </w:r>
      <w:r>
        <w:fldChar w:fldCharType="begin"/>
      </w:r>
      <w:r>
        <w:instrText xml:space="preserve"> SEQ Table \* ARABIC </w:instrText>
      </w:r>
      <w:r>
        <w:fldChar w:fldCharType="separate"/>
      </w:r>
      <w:r w:rsidR="00D9323B">
        <w:rPr>
          <w:noProof/>
        </w:rPr>
        <w:t>60</w:t>
      </w:r>
      <w:r>
        <w:fldChar w:fldCharType="end"/>
      </w:r>
      <w:r>
        <w:t>.</w:t>
      </w:r>
      <w:r w:rsidR="009D475E" w:rsidRPr="009D475E">
        <w:t xml:space="preserve"> </w:t>
      </w:r>
      <w:r w:rsidR="009D475E">
        <w:t>Participant– post program outcomes (</w:t>
      </w:r>
      <w:r w:rsidR="00EF1CDC">
        <w:t xml:space="preserve">1 </w:t>
      </w:r>
      <w:r w:rsidR="009D475E">
        <w:t xml:space="preserve">of </w:t>
      </w:r>
      <w:r w:rsidR="00EF1CDC">
        <w:t>3</w:t>
      </w:r>
      <w:r w:rsidR="009D475E">
        <w:t>):</w:t>
      </w:r>
      <w:r w:rsidR="00EF1CDC" w:rsidRPr="00EF1CDC">
        <w:t xml:space="preserve"> People with HTMS experiences experience personal and financial stability, good health and wellbeing</w:t>
      </w:r>
    </w:p>
    <w:tbl>
      <w:tblPr>
        <w:tblStyle w:val="WTTable1"/>
        <w:tblW w:w="0" w:type="auto"/>
        <w:tblLook w:val="0020" w:firstRow="1" w:lastRow="0" w:firstColumn="0" w:lastColumn="0" w:noHBand="0" w:noVBand="0"/>
      </w:tblPr>
      <w:tblGrid>
        <w:gridCol w:w="3489"/>
        <w:gridCol w:w="3489"/>
        <w:gridCol w:w="3489"/>
      </w:tblGrid>
      <w:tr w:rsidR="00393768" w:rsidRPr="006C6529" w14:paraId="4784FE11" w14:textId="77777777" w:rsidTr="009F25AD">
        <w:trPr>
          <w:cnfStyle w:val="100000000000" w:firstRow="1" w:lastRow="0" w:firstColumn="0" w:lastColumn="0" w:oddVBand="0" w:evenVBand="0" w:oddHBand="0" w:evenHBand="0" w:firstRowFirstColumn="0" w:firstRowLastColumn="0" w:lastRowFirstColumn="0" w:lastRowLastColumn="0"/>
        </w:trPr>
        <w:tc>
          <w:tcPr>
            <w:tcW w:w="3489" w:type="dxa"/>
            <w:shd w:val="clear" w:color="auto" w:fill="425563" w:themeFill="text1"/>
          </w:tcPr>
          <w:p w14:paraId="20C1F9DC" w14:textId="77777777" w:rsidR="00393768" w:rsidRPr="006C6529" w:rsidRDefault="00393768" w:rsidP="00AD7761">
            <w:pPr>
              <w:rPr>
                <w:sz w:val="18"/>
                <w:szCs w:val="18"/>
              </w:rPr>
            </w:pPr>
            <w:r w:rsidRPr="006C6529">
              <w:rPr>
                <w:b/>
                <w:bCs/>
                <w:color w:val="FFFFFF"/>
                <w:sz w:val="18"/>
                <w:szCs w:val="18"/>
              </w:rPr>
              <w:t>Indicator</w:t>
            </w:r>
          </w:p>
        </w:tc>
        <w:tc>
          <w:tcPr>
            <w:tcW w:w="3489" w:type="dxa"/>
            <w:shd w:val="clear" w:color="auto" w:fill="425563" w:themeFill="text1"/>
          </w:tcPr>
          <w:p w14:paraId="4C9B3C6C" w14:textId="77777777" w:rsidR="00393768" w:rsidRPr="006C6529" w:rsidRDefault="00393768" w:rsidP="00AD7761">
            <w:pPr>
              <w:rPr>
                <w:sz w:val="18"/>
                <w:szCs w:val="18"/>
              </w:rPr>
            </w:pPr>
            <w:r w:rsidRPr="006C6529">
              <w:rPr>
                <w:b/>
                <w:bCs/>
                <w:color w:val="FFFFFF"/>
                <w:sz w:val="18"/>
                <w:szCs w:val="18"/>
              </w:rPr>
              <w:t>Measure</w:t>
            </w:r>
          </w:p>
        </w:tc>
        <w:tc>
          <w:tcPr>
            <w:tcW w:w="3489" w:type="dxa"/>
            <w:shd w:val="clear" w:color="auto" w:fill="425563" w:themeFill="text1"/>
          </w:tcPr>
          <w:p w14:paraId="7A69CA5B" w14:textId="77777777" w:rsidR="00393768" w:rsidRPr="006C6529" w:rsidRDefault="00393768" w:rsidP="00AD7761">
            <w:pPr>
              <w:rPr>
                <w:sz w:val="18"/>
                <w:szCs w:val="18"/>
              </w:rPr>
            </w:pPr>
            <w:r w:rsidRPr="006C6529">
              <w:rPr>
                <w:b/>
                <w:bCs/>
                <w:color w:val="FFFFFF"/>
                <w:sz w:val="18"/>
                <w:szCs w:val="18"/>
              </w:rPr>
              <w:t>Data source</w:t>
            </w:r>
          </w:p>
        </w:tc>
      </w:tr>
      <w:tr w:rsidR="00393768" w:rsidRPr="006C6529" w14:paraId="762D306F" w14:textId="77777777" w:rsidTr="009F25AD">
        <w:trPr>
          <w:cantSplit/>
        </w:trPr>
        <w:tc>
          <w:tcPr>
            <w:tcW w:w="3489" w:type="dxa"/>
          </w:tcPr>
          <w:p w14:paraId="21E71C2E" w14:textId="77777777" w:rsidR="00393768" w:rsidRPr="006C6529" w:rsidRDefault="00393768" w:rsidP="00AD7761">
            <w:pPr>
              <w:spacing w:before="40" w:after="40"/>
              <w:rPr>
                <w:sz w:val="18"/>
                <w:szCs w:val="18"/>
              </w:rPr>
            </w:pPr>
            <w:r w:rsidRPr="006C6529">
              <w:rPr>
                <w:sz w:val="18"/>
                <w:szCs w:val="18"/>
              </w:rPr>
              <w:t>Increase in participant education and employment opportunities.</w:t>
            </w:r>
          </w:p>
        </w:tc>
        <w:tc>
          <w:tcPr>
            <w:tcW w:w="3489" w:type="dxa"/>
          </w:tcPr>
          <w:p w14:paraId="3A30C862" w14:textId="77777777" w:rsidR="00393768" w:rsidRPr="006C6529" w:rsidRDefault="00393768" w:rsidP="00AD7761">
            <w:pPr>
              <w:spacing w:before="40" w:after="40"/>
              <w:rPr>
                <w:sz w:val="18"/>
                <w:szCs w:val="18"/>
              </w:rPr>
            </w:pPr>
            <w:r w:rsidRPr="006C6529">
              <w:rPr>
                <w:sz w:val="18"/>
                <w:szCs w:val="18"/>
              </w:rPr>
              <w:t>Participation rate in education and employment.</w:t>
            </w:r>
          </w:p>
        </w:tc>
        <w:tc>
          <w:tcPr>
            <w:tcW w:w="3489" w:type="dxa"/>
          </w:tcPr>
          <w:p w14:paraId="7C842FDD"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Referral, exit and post-exit check-in data</w:t>
            </w:r>
          </w:p>
        </w:tc>
      </w:tr>
      <w:tr w:rsidR="00393768" w:rsidRPr="006C6529" w14:paraId="69D6109B" w14:textId="77777777" w:rsidTr="009F25AD">
        <w:trPr>
          <w:cantSplit/>
        </w:trPr>
        <w:tc>
          <w:tcPr>
            <w:tcW w:w="3489" w:type="dxa"/>
          </w:tcPr>
          <w:p w14:paraId="5245C67E" w14:textId="77777777" w:rsidR="00393768" w:rsidRPr="006C6529" w:rsidRDefault="00393768" w:rsidP="00AD7761">
            <w:pPr>
              <w:spacing w:before="40" w:after="40"/>
              <w:rPr>
                <w:sz w:val="18"/>
                <w:szCs w:val="18"/>
              </w:rPr>
            </w:pPr>
            <w:r w:rsidRPr="006C6529">
              <w:rPr>
                <w:sz w:val="18"/>
                <w:szCs w:val="18"/>
              </w:rPr>
              <w:t>Increase in participant education and employment opportunities.</w:t>
            </w:r>
          </w:p>
        </w:tc>
        <w:tc>
          <w:tcPr>
            <w:tcW w:w="3489" w:type="dxa"/>
          </w:tcPr>
          <w:p w14:paraId="59DCC1F7" w14:textId="77777777" w:rsidR="00393768" w:rsidRPr="006C6529" w:rsidRDefault="00393768" w:rsidP="00AD7761">
            <w:pPr>
              <w:spacing w:before="40" w:after="40"/>
              <w:rPr>
                <w:sz w:val="18"/>
                <w:szCs w:val="18"/>
              </w:rPr>
            </w:pPr>
            <w:r w:rsidRPr="006C6529">
              <w:rPr>
                <w:sz w:val="18"/>
                <w:szCs w:val="18"/>
              </w:rPr>
              <w:t>Participation enablers and barriers reported.</w:t>
            </w:r>
          </w:p>
        </w:tc>
        <w:tc>
          <w:tcPr>
            <w:tcW w:w="3489" w:type="dxa"/>
          </w:tcPr>
          <w:p w14:paraId="0509F3AE"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Referral, exit and post-exit check-in data</w:t>
            </w:r>
          </w:p>
        </w:tc>
      </w:tr>
      <w:tr w:rsidR="00393768" w:rsidRPr="006C6529" w14:paraId="0FC8124C" w14:textId="77777777" w:rsidTr="009F25AD">
        <w:trPr>
          <w:cantSplit/>
        </w:trPr>
        <w:tc>
          <w:tcPr>
            <w:tcW w:w="3489" w:type="dxa"/>
          </w:tcPr>
          <w:p w14:paraId="6A0A5DCC" w14:textId="77777777" w:rsidR="00393768" w:rsidRPr="006C6529" w:rsidRDefault="00393768" w:rsidP="00AD7761">
            <w:pPr>
              <w:spacing w:before="40" w:after="40"/>
              <w:rPr>
                <w:sz w:val="18"/>
                <w:szCs w:val="18"/>
              </w:rPr>
            </w:pPr>
            <w:r w:rsidRPr="006C6529">
              <w:rPr>
                <w:sz w:val="18"/>
                <w:szCs w:val="18"/>
              </w:rPr>
              <w:t>Increase in participants living in stable housing.</w:t>
            </w:r>
          </w:p>
        </w:tc>
        <w:tc>
          <w:tcPr>
            <w:tcW w:w="3489" w:type="dxa"/>
          </w:tcPr>
          <w:p w14:paraId="2ABD37F2" w14:textId="77777777" w:rsidR="00393768" w:rsidRPr="006C6529" w:rsidRDefault="00393768" w:rsidP="00AD7761">
            <w:pPr>
              <w:spacing w:before="40" w:after="40"/>
              <w:rPr>
                <w:sz w:val="18"/>
                <w:szCs w:val="18"/>
              </w:rPr>
            </w:pPr>
            <w:r w:rsidRPr="006C6529">
              <w:rPr>
                <w:sz w:val="18"/>
                <w:szCs w:val="18"/>
              </w:rPr>
              <w:t>Number and proportion of participants in stable housing.</w:t>
            </w:r>
          </w:p>
        </w:tc>
        <w:tc>
          <w:tcPr>
            <w:tcW w:w="3489" w:type="dxa"/>
          </w:tcPr>
          <w:p w14:paraId="38181AC7"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Referral, exit and post-exit check-in data</w:t>
            </w:r>
          </w:p>
        </w:tc>
      </w:tr>
      <w:tr w:rsidR="00393768" w:rsidRPr="006C6529" w14:paraId="5DBF8743" w14:textId="77777777" w:rsidTr="009F25AD">
        <w:trPr>
          <w:cantSplit/>
        </w:trPr>
        <w:tc>
          <w:tcPr>
            <w:tcW w:w="3489" w:type="dxa"/>
          </w:tcPr>
          <w:p w14:paraId="0E1BF4D9" w14:textId="77777777" w:rsidR="00393768" w:rsidRPr="006C6529" w:rsidRDefault="00393768" w:rsidP="00AD7761">
            <w:pPr>
              <w:spacing w:before="40" w:after="40"/>
              <w:rPr>
                <w:sz w:val="18"/>
                <w:szCs w:val="18"/>
              </w:rPr>
            </w:pPr>
            <w:r w:rsidRPr="006C6529">
              <w:rPr>
                <w:sz w:val="18"/>
                <w:szCs w:val="18"/>
              </w:rPr>
              <w:t>Increase in stable childcare support.</w:t>
            </w:r>
          </w:p>
        </w:tc>
        <w:tc>
          <w:tcPr>
            <w:tcW w:w="3489" w:type="dxa"/>
          </w:tcPr>
          <w:p w14:paraId="618CE23A" w14:textId="77777777" w:rsidR="00393768" w:rsidRPr="006C6529" w:rsidRDefault="00393768" w:rsidP="00AD7761">
            <w:pPr>
              <w:spacing w:before="40" w:after="40"/>
              <w:rPr>
                <w:sz w:val="18"/>
                <w:szCs w:val="18"/>
              </w:rPr>
            </w:pPr>
            <w:r w:rsidRPr="006C6529">
              <w:rPr>
                <w:sz w:val="18"/>
                <w:szCs w:val="18"/>
              </w:rPr>
              <w:t>Number and proportion of participants reporting stable childcare support.</w:t>
            </w:r>
          </w:p>
        </w:tc>
        <w:tc>
          <w:tcPr>
            <w:tcW w:w="3489" w:type="dxa"/>
          </w:tcPr>
          <w:p w14:paraId="74CFAA27"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Referral, exit and post-exit check-in data</w:t>
            </w:r>
          </w:p>
        </w:tc>
      </w:tr>
      <w:tr w:rsidR="00393768" w:rsidRPr="006C6529" w14:paraId="4AD0FDD0" w14:textId="77777777" w:rsidTr="009F25AD">
        <w:trPr>
          <w:cantSplit/>
        </w:trPr>
        <w:tc>
          <w:tcPr>
            <w:tcW w:w="3489" w:type="dxa"/>
          </w:tcPr>
          <w:p w14:paraId="15FA6A59" w14:textId="77777777" w:rsidR="00393768" w:rsidRPr="006C6529" w:rsidRDefault="00393768" w:rsidP="00AD7761">
            <w:pPr>
              <w:spacing w:before="40" w:after="40"/>
              <w:rPr>
                <w:sz w:val="18"/>
                <w:szCs w:val="18"/>
              </w:rPr>
            </w:pPr>
            <w:r w:rsidRPr="006C6529">
              <w:rPr>
                <w:sz w:val="18"/>
                <w:szCs w:val="18"/>
              </w:rPr>
              <w:t>Improved physical and mental health and wellbeing.</w:t>
            </w:r>
          </w:p>
        </w:tc>
        <w:tc>
          <w:tcPr>
            <w:tcW w:w="3489" w:type="dxa"/>
          </w:tcPr>
          <w:p w14:paraId="42CE93C0" w14:textId="77777777" w:rsidR="00393768" w:rsidRPr="006C6529" w:rsidRDefault="00393768" w:rsidP="00AD7761">
            <w:pPr>
              <w:spacing w:before="40" w:after="40"/>
              <w:rPr>
                <w:sz w:val="18"/>
                <w:szCs w:val="18"/>
              </w:rPr>
            </w:pPr>
            <w:r w:rsidRPr="006C6529">
              <w:rPr>
                <w:sz w:val="18"/>
                <w:szCs w:val="18"/>
              </w:rPr>
              <w:t>Proportion of participants reporting good levels of mental health and wellbeing.</w:t>
            </w:r>
          </w:p>
        </w:tc>
        <w:tc>
          <w:tcPr>
            <w:tcW w:w="3489" w:type="dxa"/>
          </w:tcPr>
          <w:p w14:paraId="0A07082B"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Referral, exit and post-exit check-in data</w:t>
            </w:r>
          </w:p>
        </w:tc>
      </w:tr>
      <w:tr w:rsidR="00393768" w:rsidRPr="006C6529" w14:paraId="35042050" w14:textId="77777777" w:rsidTr="009F25AD">
        <w:trPr>
          <w:cantSplit/>
        </w:trPr>
        <w:tc>
          <w:tcPr>
            <w:tcW w:w="3489" w:type="dxa"/>
          </w:tcPr>
          <w:p w14:paraId="4D2DE8CF" w14:textId="77777777" w:rsidR="00393768" w:rsidRPr="006C6529" w:rsidRDefault="00393768" w:rsidP="00AD7761">
            <w:pPr>
              <w:spacing w:before="40" w:after="40"/>
              <w:rPr>
                <w:sz w:val="18"/>
                <w:szCs w:val="18"/>
              </w:rPr>
            </w:pPr>
            <w:r w:rsidRPr="006C6529">
              <w:rPr>
                <w:sz w:val="18"/>
                <w:szCs w:val="18"/>
              </w:rPr>
              <w:t>Improved physical and mental health and wellbeing.</w:t>
            </w:r>
          </w:p>
        </w:tc>
        <w:tc>
          <w:tcPr>
            <w:tcW w:w="3489" w:type="dxa"/>
          </w:tcPr>
          <w:p w14:paraId="75491BB9" w14:textId="77777777" w:rsidR="00393768" w:rsidRPr="006C6529" w:rsidRDefault="00393768" w:rsidP="00AD7761">
            <w:pPr>
              <w:spacing w:before="40" w:after="40"/>
              <w:rPr>
                <w:sz w:val="18"/>
                <w:szCs w:val="18"/>
              </w:rPr>
            </w:pPr>
            <w:r w:rsidRPr="006C6529">
              <w:rPr>
                <w:sz w:val="18"/>
                <w:szCs w:val="18"/>
              </w:rPr>
              <w:t>Proportion of participants reporting high levels of confidence.</w:t>
            </w:r>
          </w:p>
        </w:tc>
        <w:tc>
          <w:tcPr>
            <w:tcW w:w="3489" w:type="dxa"/>
          </w:tcPr>
          <w:p w14:paraId="10B96FD6"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Referral, exit and post-exit check-in data</w:t>
            </w:r>
          </w:p>
        </w:tc>
      </w:tr>
      <w:tr w:rsidR="00393768" w:rsidRPr="006C6529" w14:paraId="1B6A24A3" w14:textId="77777777" w:rsidTr="009F25AD">
        <w:trPr>
          <w:cantSplit/>
        </w:trPr>
        <w:tc>
          <w:tcPr>
            <w:tcW w:w="3489" w:type="dxa"/>
          </w:tcPr>
          <w:p w14:paraId="2B699509" w14:textId="77777777" w:rsidR="00393768" w:rsidRPr="006C6529" w:rsidRDefault="00393768" w:rsidP="00AD7761">
            <w:pPr>
              <w:spacing w:before="40" w:after="40"/>
              <w:rPr>
                <w:sz w:val="18"/>
                <w:szCs w:val="18"/>
              </w:rPr>
            </w:pPr>
            <w:r w:rsidRPr="006C6529">
              <w:rPr>
                <w:sz w:val="18"/>
                <w:szCs w:val="18"/>
              </w:rPr>
              <w:t>Increase in sense of connection with family and community.</w:t>
            </w:r>
          </w:p>
        </w:tc>
        <w:tc>
          <w:tcPr>
            <w:tcW w:w="3489" w:type="dxa"/>
          </w:tcPr>
          <w:p w14:paraId="0C874AAC" w14:textId="77777777" w:rsidR="00393768" w:rsidRPr="006C6529" w:rsidRDefault="00393768" w:rsidP="00AD7761">
            <w:pPr>
              <w:spacing w:before="40" w:after="40"/>
              <w:rPr>
                <w:sz w:val="18"/>
                <w:szCs w:val="18"/>
              </w:rPr>
            </w:pPr>
            <w:r w:rsidRPr="006C6529">
              <w:rPr>
                <w:sz w:val="18"/>
                <w:szCs w:val="18"/>
              </w:rPr>
              <w:t>Proportion of participants reporting a strong sense of connection with family and community.</w:t>
            </w:r>
          </w:p>
        </w:tc>
        <w:tc>
          <w:tcPr>
            <w:tcW w:w="3489" w:type="dxa"/>
          </w:tcPr>
          <w:p w14:paraId="3D485824"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Referral, exit and post-exit check-in data</w:t>
            </w:r>
          </w:p>
        </w:tc>
      </w:tr>
    </w:tbl>
    <w:p w14:paraId="574B768D" w14:textId="23BCEBD3" w:rsidR="00537420" w:rsidRDefault="00537420" w:rsidP="00537420">
      <w:pPr>
        <w:pStyle w:val="Caption"/>
      </w:pPr>
      <w:r>
        <w:t xml:space="preserve">Table </w:t>
      </w:r>
      <w:r>
        <w:fldChar w:fldCharType="begin"/>
      </w:r>
      <w:r>
        <w:instrText xml:space="preserve"> SEQ Table \* ARABIC </w:instrText>
      </w:r>
      <w:r>
        <w:fldChar w:fldCharType="separate"/>
      </w:r>
      <w:r w:rsidR="00D9323B">
        <w:rPr>
          <w:noProof/>
        </w:rPr>
        <w:t>61</w:t>
      </w:r>
      <w:r>
        <w:fldChar w:fldCharType="end"/>
      </w:r>
      <w:r>
        <w:t>.</w:t>
      </w:r>
      <w:r w:rsidR="00EF1CDC" w:rsidRPr="00EF1CDC">
        <w:t xml:space="preserve"> </w:t>
      </w:r>
      <w:r w:rsidR="00EF1CDC">
        <w:t>Participant– post program outcomes (</w:t>
      </w:r>
      <w:r w:rsidR="00393768">
        <w:t>2</w:t>
      </w:r>
      <w:r w:rsidR="00EF1CDC">
        <w:t xml:space="preserve"> of 3):</w:t>
      </w:r>
      <w:r w:rsidR="00EF1CDC" w:rsidRPr="00EF1CDC">
        <w:t xml:space="preserve"> People with HTMS experiences feel they are heard and accepted and have a sense of dignity</w:t>
      </w:r>
    </w:p>
    <w:tbl>
      <w:tblPr>
        <w:tblStyle w:val="WTTable1"/>
        <w:tblW w:w="0" w:type="auto"/>
        <w:tblLook w:val="0020" w:firstRow="1" w:lastRow="0" w:firstColumn="0" w:lastColumn="0" w:noHBand="0" w:noVBand="0"/>
      </w:tblPr>
      <w:tblGrid>
        <w:gridCol w:w="4871"/>
        <w:gridCol w:w="3074"/>
        <w:gridCol w:w="2522"/>
      </w:tblGrid>
      <w:tr w:rsidR="00393768" w:rsidRPr="006C6529" w14:paraId="689A3F7C" w14:textId="77777777" w:rsidTr="009F25AD">
        <w:trPr>
          <w:cnfStyle w:val="100000000000" w:firstRow="1" w:lastRow="0" w:firstColumn="0" w:lastColumn="0" w:oddVBand="0" w:evenVBand="0" w:oddHBand="0" w:evenHBand="0" w:firstRowFirstColumn="0" w:firstRowLastColumn="0" w:lastRowFirstColumn="0" w:lastRowLastColumn="0"/>
        </w:trPr>
        <w:tc>
          <w:tcPr>
            <w:tcW w:w="0" w:type="auto"/>
            <w:shd w:val="clear" w:color="auto" w:fill="425563" w:themeFill="text1"/>
          </w:tcPr>
          <w:p w14:paraId="086ADB07" w14:textId="77777777" w:rsidR="00393768" w:rsidRPr="006C6529" w:rsidRDefault="00393768" w:rsidP="00AD7761">
            <w:pPr>
              <w:rPr>
                <w:sz w:val="18"/>
                <w:szCs w:val="18"/>
              </w:rPr>
            </w:pPr>
            <w:r w:rsidRPr="006C6529">
              <w:rPr>
                <w:b/>
                <w:bCs/>
                <w:color w:val="FFFFFF"/>
                <w:sz w:val="18"/>
                <w:szCs w:val="18"/>
              </w:rPr>
              <w:t>Indicator</w:t>
            </w:r>
          </w:p>
        </w:tc>
        <w:tc>
          <w:tcPr>
            <w:tcW w:w="0" w:type="auto"/>
            <w:shd w:val="clear" w:color="auto" w:fill="425563" w:themeFill="text1"/>
          </w:tcPr>
          <w:p w14:paraId="06614FEC" w14:textId="77777777" w:rsidR="00393768" w:rsidRPr="006C6529" w:rsidRDefault="00393768" w:rsidP="00AD7761">
            <w:pPr>
              <w:rPr>
                <w:sz w:val="18"/>
                <w:szCs w:val="18"/>
              </w:rPr>
            </w:pPr>
            <w:r w:rsidRPr="006C6529">
              <w:rPr>
                <w:b/>
                <w:bCs/>
                <w:color w:val="FFFFFF"/>
                <w:sz w:val="18"/>
                <w:szCs w:val="18"/>
              </w:rPr>
              <w:t>Measure</w:t>
            </w:r>
          </w:p>
        </w:tc>
        <w:tc>
          <w:tcPr>
            <w:tcW w:w="0" w:type="auto"/>
            <w:shd w:val="clear" w:color="auto" w:fill="425563" w:themeFill="text1"/>
          </w:tcPr>
          <w:p w14:paraId="5E43C2EF" w14:textId="77777777" w:rsidR="00393768" w:rsidRPr="006C6529" w:rsidRDefault="00393768" w:rsidP="00AD7761">
            <w:pPr>
              <w:rPr>
                <w:sz w:val="18"/>
                <w:szCs w:val="18"/>
              </w:rPr>
            </w:pPr>
            <w:r w:rsidRPr="006C6529">
              <w:rPr>
                <w:b/>
                <w:bCs/>
                <w:color w:val="FFFFFF"/>
                <w:sz w:val="18"/>
                <w:szCs w:val="18"/>
              </w:rPr>
              <w:t>Data source</w:t>
            </w:r>
          </w:p>
        </w:tc>
      </w:tr>
      <w:tr w:rsidR="00393768" w:rsidRPr="006C6529" w14:paraId="48FE5C62" w14:textId="77777777" w:rsidTr="009F25AD">
        <w:trPr>
          <w:cantSplit/>
        </w:trPr>
        <w:tc>
          <w:tcPr>
            <w:tcW w:w="0" w:type="auto"/>
          </w:tcPr>
          <w:p w14:paraId="15FABAD5" w14:textId="77777777" w:rsidR="00393768" w:rsidRPr="006C6529" w:rsidRDefault="00393768" w:rsidP="00AD7761">
            <w:pPr>
              <w:spacing w:before="40" w:after="40"/>
              <w:rPr>
                <w:sz w:val="18"/>
                <w:szCs w:val="18"/>
              </w:rPr>
            </w:pPr>
            <w:r w:rsidRPr="006C6529">
              <w:rPr>
                <w:sz w:val="18"/>
                <w:szCs w:val="18"/>
              </w:rPr>
              <w:t>Increase in people with HTMS experiences who report that they were listened to and that their trauma, needs and personhood were treated with respect.</w:t>
            </w:r>
          </w:p>
        </w:tc>
        <w:tc>
          <w:tcPr>
            <w:tcW w:w="0" w:type="auto"/>
          </w:tcPr>
          <w:p w14:paraId="4EDE4D40" w14:textId="77777777" w:rsidR="00393768" w:rsidRPr="006C6529" w:rsidRDefault="00393768" w:rsidP="00AD7761">
            <w:pPr>
              <w:spacing w:before="40" w:after="40"/>
              <w:rPr>
                <w:sz w:val="18"/>
                <w:szCs w:val="18"/>
              </w:rPr>
            </w:pPr>
            <w:r w:rsidRPr="006C6529">
              <w:rPr>
                <w:sz w:val="18"/>
                <w:szCs w:val="18"/>
              </w:rPr>
              <w:t>Proportion of people with HTMS experiences who report being listened to and heard.</w:t>
            </w:r>
          </w:p>
        </w:tc>
        <w:tc>
          <w:tcPr>
            <w:tcW w:w="0" w:type="auto"/>
          </w:tcPr>
          <w:p w14:paraId="41468237"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r w:rsidR="00393768" w:rsidRPr="006C6529" w14:paraId="03F2C63B" w14:textId="77777777" w:rsidTr="009F25AD">
        <w:trPr>
          <w:cantSplit/>
        </w:trPr>
        <w:tc>
          <w:tcPr>
            <w:tcW w:w="0" w:type="auto"/>
          </w:tcPr>
          <w:p w14:paraId="4A612757" w14:textId="77777777" w:rsidR="00393768" w:rsidRPr="006C6529" w:rsidRDefault="00393768" w:rsidP="00AD7761">
            <w:pPr>
              <w:spacing w:before="40" w:after="40"/>
              <w:rPr>
                <w:sz w:val="18"/>
                <w:szCs w:val="18"/>
              </w:rPr>
            </w:pPr>
            <w:r w:rsidRPr="006C6529">
              <w:rPr>
                <w:sz w:val="18"/>
                <w:szCs w:val="18"/>
              </w:rPr>
              <w:t>Increase in people with HTMS experiences who report that they were listened to and that their trauma, needs and personhood were treated with respect.</w:t>
            </w:r>
          </w:p>
        </w:tc>
        <w:tc>
          <w:tcPr>
            <w:tcW w:w="0" w:type="auto"/>
          </w:tcPr>
          <w:p w14:paraId="0C2F114C" w14:textId="77777777" w:rsidR="00393768" w:rsidRPr="006C6529" w:rsidRDefault="00393768" w:rsidP="00AD7761">
            <w:pPr>
              <w:spacing w:before="40" w:after="40"/>
              <w:rPr>
                <w:sz w:val="18"/>
                <w:szCs w:val="18"/>
              </w:rPr>
            </w:pPr>
            <w:r w:rsidRPr="006C6529">
              <w:rPr>
                <w:sz w:val="18"/>
                <w:szCs w:val="18"/>
              </w:rPr>
              <w:t>Reported benefits of being listened to and heard.</w:t>
            </w:r>
          </w:p>
        </w:tc>
        <w:tc>
          <w:tcPr>
            <w:tcW w:w="0" w:type="auto"/>
          </w:tcPr>
          <w:p w14:paraId="04B7382D" w14:textId="77777777" w:rsidR="00393768" w:rsidRPr="006C6529" w:rsidRDefault="00393768" w:rsidP="00537420">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bl>
    <w:p w14:paraId="2C92E24F" w14:textId="77777777" w:rsidR="00537420" w:rsidRDefault="00537420" w:rsidP="00537420"/>
    <w:p w14:paraId="2B1C252B" w14:textId="77777777" w:rsidR="00537420" w:rsidRPr="00537420" w:rsidRDefault="00537420" w:rsidP="00537420"/>
    <w:p w14:paraId="0D3DD577" w14:textId="31B7F630" w:rsidR="00B4325F" w:rsidRDefault="00B4325F" w:rsidP="00B4325F">
      <w:pPr>
        <w:pStyle w:val="Caption"/>
      </w:pPr>
      <w:r>
        <w:lastRenderedPageBreak/>
        <w:t xml:space="preserve">Table </w:t>
      </w:r>
      <w:r>
        <w:fldChar w:fldCharType="begin"/>
      </w:r>
      <w:r>
        <w:instrText xml:space="preserve"> SEQ Table \* ARABIC </w:instrText>
      </w:r>
      <w:r>
        <w:fldChar w:fldCharType="separate"/>
      </w:r>
      <w:r w:rsidR="00D9323B">
        <w:rPr>
          <w:noProof/>
        </w:rPr>
        <w:t>62</w:t>
      </w:r>
      <w:r>
        <w:fldChar w:fldCharType="end"/>
      </w:r>
      <w:r>
        <w:t>.</w:t>
      </w:r>
      <w:r w:rsidR="00EF1CDC" w:rsidRPr="00EF1CDC">
        <w:t xml:space="preserve"> </w:t>
      </w:r>
      <w:r w:rsidR="00EF1CDC">
        <w:t>Participant– post program outcomes (</w:t>
      </w:r>
      <w:r w:rsidR="00393768">
        <w:t xml:space="preserve">3 </w:t>
      </w:r>
      <w:r w:rsidR="00EF1CDC">
        <w:t>of 3):</w:t>
      </w:r>
      <w:r w:rsidR="00EF1CDC" w:rsidRPr="00EF1CDC">
        <w:t xml:space="preserve"> </w:t>
      </w:r>
      <w:r w:rsidR="00393768" w:rsidRPr="00393768">
        <w:t>People with HTMS experiences achieve a sense of healing</w:t>
      </w:r>
    </w:p>
    <w:tbl>
      <w:tblPr>
        <w:tblStyle w:val="WTTable1"/>
        <w:tblW w:w="0" w:type="auto"/>
        <w:tblLook w:val="0020" w:firstRow="1" w:lastRow="0" w:firstColumn="0" w:lastColumn="0" w:noHBand="0" w:noVBand="0"/>
      </w:tblPr>
      <w:tblGrid>
        <w:gridCol w:w="3489"/>
        <w:gridCol w:w="3489"/>
        <w:gridCol w:w="3489"/>
      </w:tblGrid>
      <w:tr w:rsidR="00393768" w:rsidRPr="006C6529" w14:paraId="19619C0E" w14:textId="77777777" w:rsidTr="009F25AD">
        <w:trPr>
          <w:cnfStyle w:val="100000000000" w:firstRow="1" w:lastRow="0" w:firstColumn="0" w:lastColumn="0" w:oddVBand="0" w:evenVBand="0" w:oddHBand="0" w:evenHBand="0" w:firstRowFirstColumn="0" w:firstRowLastColumn="0" w:lastRowFirstColumn="0" w:lastRowLastColumn="0"/>
        </w:trPr>
        <w:tc>
          <w:tcPr>
            <w:tcW w:w="3489" w:type="dxa"/>
            <w:shd w:val="clear" w:color="auto" w:fill="425563" w:themeFill="text1"/>
          </w:tcPr>
          <w:p w14:paraId="50749E2E" w14:textId="77777777" w:rsidR="00393768" w:rsidRPr="006C6529" w:rsidRDefault="00393768" w:rsidP="00AD7761">
            <w:pPr>
              <w:rPr>
                <w:sz w:val="18"/>
                <w:szCs w:val="18"/>
              </w:rPr>
            </w:pPr>
            <w:r w:rsidRPr="006C6529">
              <w:rPr>
                <w:b/>
                <w:bCs/>
                <w:color w:val="FFFFFF"/>
                <w:sz w:val="18"/>
                <w:szCs w:val="18"/>
              </w:rPr>
              <w:t>Indicator</w:t>
            </w:r>
          </w:p>
        </w:tc>
        <w:tc>
          <w:tcPr>
            <w:tcW w:w="3489" w:type="dxa"/>
            <w:shd w:val="clear" w:color="auto" w:fill="425563" w:themeFill="text1"/>
          </w:tcPr>
          <w:p w14:paraId="24E52A65" w14:textId="77777777" w:rsidR="00393768" w:rsidRPr="006C6529" w:rsidRDefault="00393768" w:rsidP="00AD7761">
            <w:pPr>
              <w:rPr>
                <w:sz w:val="18"/>
                <w:szCs w:val="18"/>
              </w:rPr>
            </w:pPr>
            <w:r w:rsidRPr="006C6529">
              <w:rPr>
                <w:b/>
                <w:bCs/>
                <w:color w:val="FFFFFF"/>
                <w:sz w:val="18"/>
                <w:szCs w:val="18"/>
              </w:rPr>
              <w:t>Measure</w:t>
            </w:r>
          </w:p>
        </w:tc>
        <w:tc>
          <w:tcPr>
            <w:tcW w:w="3489" w:type="dxa"/>
            <w:shd w:val="clear" w:color="auto" w:fill="425563" w:themeFill="text1"/>
          </w:tcPr>
          <w:p w14:paraId="06983CD0" w14:textId="77777777" w:rsidR="00393768" w:rsidRPr="006C6529" w:rsidRDefault="00393768" w:rsidP="00AD7761">
            <w:pPr>
              <w:rPr>
                <w:sz w:val="18"/>
                <w:szCs w:val="18"/>
              </w:rPr>
            </w:pPr>
            <w:r w:rsidRPr="006C6529">
              <w:rPr>
                <w:b/>
                <w:bCs/>
                <w:color w:val="FFFFFF"/>
                <w:sz w:val="18"/>
                <w:szCs w:val="18"/>
              </w:rPr>
              <w:t>Data source</w:t>
            </w:r>
          </w:p>
        </w:tc>
      </w:tr>
      <w:tr w:rsidR="00393768" w:rsidRPr="006C6529" w14:paraId="4CC21E97" w14:textId="77777777" w:rsidTr="009F25AD">
        <w:trPr>
          <w:cantSplit/>
        </w:trPr>
        <w:tc>
          <w:tcPr>
            <w:tcW w:w="3489" w:type="dxa"/>
          </w:tcPr>
          <w:p w14:paraId="73B65819" w14:textId="77777777" w:rsidR="00393768" w:rsidRPr="006C6529" w:rsidRDefault="00393768" w:rsidP="00AD7761">
            <w:pPr>
              <w:spacing w:before="40" w:after="40"/>
              <w:rPr>
                <w:sz w:val="18"/>
                <w:szCs w:val="18"/>
              </w:rPr>
            </w:pPr>
            <w:r w:rsidRPr="006C6529">
              <w:rPr>
                <w:sz w:val="18"/>
                <w:szCs w:val="18"/>
              </w:rPr>
              <w:t>Increase in people with HTMS experiences who report progress with respect to healing.</w:t>
            </w:r>
          </w:p>
        </w:tc>
        <w:tc>
          <w:tcPr>
            <w:tcW w:w="3489" w:type="dxa"/>
          </w:tcPr>
          <w:p w14:paraId="355EB304" w14:textId="77777777" w:rsidR="00393768" w:rsidRPr="006C6529" w:rsidRDefault="00393768" w:rsidP="00AD7761">
            <w:pPr>
              <w:spacing w:before="40" w:after="40"/>
              <w:rPr>
                <w:sz w:val="18"/>
                <w:szCs w:val="18"/>
              </w:rPr>
            </w:pPr>
            <w:r w:rsidRPr="006C6529">
              <w:rPr>
                <w:sz w:val="18"/>
                <w:szCs w:val="18"/>
              </w:rPr>
              <w:t>Proportion of participants who report progress with respect to healing.</w:t>
            </w:r>
          </w:p>
        </w:tc>
        <w:tc>
          <w:tcPr>
            <w:tcW w:w="3489" w:type="dxa"/>
          </w:tcPr>
          <w:p w14:paraId="0D067BA5" w14:textId="77777777" w:rsidR="00393768" w:rsidRPr="006C6529" w:rsidRDefault="00393768" w:rsidP="00533A54">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r w:rsidR="00393768" w:rsidRPr="006C6529" w14:paraId="293E6C5A" w14:textId="77777777" w:rsidTr="009F25AD">
        <w:trPr>
          <w:cantSplit/>
        </w:trPr>
        <w:tc>
          <w:tcPr>
            <w:tcW w:w="3489" w:type="dxa"/>
          </w:tcPr>
          <w:p w14:paraId="3206DAB7" w14:textId="77777777" w:rsidR="00393768" w:rsidRPr="006C6529" w:rsidRDefault="00393768" w:rsidP="00AD7761">
            <w:pPr>
              <w:spacing w:before="40" w:after="40"/>
              <w:rPr>
                <w:sz w:val="18"/>
                <w:szCs w:val="18"/>
              </w:rPr>
            </w:pPr>
            <w:r w:rsidRPr="006C6529">
              <w:rPr>
                <w:sz w:val="18"/>
                <w:szCs w:val="18"/>
              </w:rPr>
              <w:t>Increase in people with HTMS experiences who report progress with respect to healing.</w:t>
            </w:r>
          </w:p>
        </w:tc>
        <w:tc>
          <w:tcPr>
            <w:tcW w:w="3489" w:type="dxa"/>
          </w:tcPr>
          <w:p w14:paraId="4C017792" w14:textId="77777777" w:rsidR="00393768" w:rsidRPr="006C6529" w:rsidRDefault="00393768" w:rsidP="00AD7761">
            <w:pPr>
              <w:spacing w:before="40" w:after="40"/>
              <w:rPr>
                <w:sz w:val="18"/>
                <w:szCs w:val="18"/>
              </w:rPr>
            </w:pPr>
            <w:r w:rsidRPr="006C6529">
              <w:rPr>
                <w:sz w:val="18"/>
                <w:szCs w:val="18"/>
              </w:rPr>
              <w:t>Nature of healing and what this means to people with HTMS experiences.</w:t>
            </w:r>
          </w:p>
        </w:tc>
        <w:tc>
          <w:tcPr>
            <w:tcW w:w="3489" w:type="dxa"/>
          </w:tcPr>
          <w:p w14:paraId="6F54F4C0" w14:textId="77777777" w:rsidR="00393768" w:rsidRPr="006C6529" w:rsidRDefault="00393768" w:rsidP="00533A54">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r w:rsidR="00393768" w:rsidRPr="006C6529" w14:paraId="6D347045" w14:textId="77777777" w:rsidTr="009F25AD">
        <w:trPr>
          <w:cantSplit/>
        </w:trPr>
        <w:tc>
          <w:tcPr>
            <w:tcW w:w="3489" w:type="dxa"/>
          </w:tcPr>
          <w:p w14:paraId="65EAFDD2" w14:textId="77777777" w:rsidR="00393768" w:rsidRPr="006C6529" w:rsidRDefault="00393768" w:rsidP="00AD7761">
            <w:pPr>
              <w:spacing w:before="40" w:after="40"/>
              <w:rPr>
                <w:sz w:val="18"/>
                <w:szCs w:val="18"/>
              </w:rPr>
            </w:pPr>
            <w:r w:rsidRPr="006C6529">
              <w:rPr>
                <w:sz w:val="18"/>
                <w:szCs w:val="18"/>
              </w:rPr>
              <w:t>Increase in people with HTMS experiences who report progress with respect to healing.</w:t>
            </w:r>
          </w:p>
        </w:tc>
        <w:tc>
          <w:tcPr>
            <w:tcW w:w="3489" w:type="dxa"/>
          </w:tcPr>
          <w:p w14:paraId="03185DC0" w14:textId="77777777" w:rsidR="00393768" w:rsidRPr="006C6529" w:rsidRDefault="00393768" w:rsidP="00AD7761">
            <w:pPr>
              <w:spacing w:before="40" w:after="40"/>
              <w:rPr>
                <w:sz w:val="18"/>
                <w:szCs w:val="18"/>
              </w:rPr>
            </w:pPr>
            <w:r w:rsidRPr="006C6529">
              <w:rPr>
                <w:sz w:val="18"/>
                <w:szCs w:val="18"/>
              </w:rPr>
              <w:t>Reported enablers and barriers to healing.</w:t>
            </w:r>
          </w:p>
        </w:tc>
        <w:tc>
          <w:tcPr>
            <w:tcW w:w="3489" w:type="dxa"/>
          </w:tcPr>
          <w:p w14:paraId="58D136E9" w14:textId="77777777" w:rsidR="00393768" w:rsidRPr="006C6529" w:rsidRDefault="00393768" w:rsidP="00533A54">
            <w:pPr>
              <w:pStyle w:val="ListParagraph"/>
              <w:numPr>
                <w:ilvl w:val="0"/>
                <w:numId w:val="15"/>
              </w:numPr>
              <w:spacing w:before="40" w:after="40"/>
              <w:contextualSpacing w:val="0"/>
              <w:rPr>
                <w:sz w:val="18"/>
                <w:szCs w:val="18"/>
              </w:rPr>
            </w:pPr>
            <w:r w:rsidRPr="006C6529">
              <w:rPr>
                <w:sz w:val="18"/>
                <w:szCs w:val="18"/>
              </w:rPr>
              <w:t>Qualitative and written fieldwork with participants</w:t>
            </w:r>
          </w:p>
        </w:tc>
      </w:tr>
    </w:tbl>
    <w:p w14:paraId="5FA3E289" w14:textId="7F31FA21" w:rsidR="006C38CF" w:rsidRDefault="006C38CF" w:rsidP="006C38CF">
      <w:pPr>
        <w:pStyle w:val="Caption"/>
      </w:pPr>
      <w:r>
        <w:t xml:space="preserve">Table </w:t>
      </w:r>
      <w:r>
        <w:fldChar w:fldCharType="begin"/>
      </w:r>
      <w:r>
        <w:instrText xml:space="preserve"> SEQ Table \* ARABIC </w:instrText>
      </w:r>
      <w:r>
        <w:fldChar w:fldCharType="separate"/>
      </w:r>
      <w:r w:rsidR="00D9323B">
        <w:rPr>
          <w:noProof/>
        </w:rPr>
        <w:t>63</w:t>
      </w:r>
      <w:r>
        <w:fldChar w:fldCharType="end"/>
      </w:r>
      <w:r>
        <w:t xml:space="preserve">. Justice response – during program outcome: </w:t>
      </w:r>
      <w:r w:rsidRPr="006C38CF">
        <w:t>People with HTMS experiences who elect to do so are supported to participate in the criminal justice process.</w:t>
      </w:r>
    </w:p>
    <w:tbl>
      <w:tblPr>
        <w:tblStyle w:val="WTTable1"/>
        <w:tblW w:w="0" w:type="auto"/>
        <w:tblLook w:val="0020" w:firstRow="1" w:lastRow="0" w:firstColumn="0" w:lastColumn="0" w:noHBand="0" w:noVBand="0"/>
      </w:tblPr>
      <w:tblGrid>
        <w:gridCol w:w="3489"/>
        <w:gridCol w:w="3489"/>
        <w:gridCol w:w="3489"/>
      </w:tblGrid>
      <w:tr w:rsidR="00EE0273" w:rsidRPr="006C6529" w14:paraId="11C5937F" w14:textId="77777777" w:rsidTr="009F25AD">
        <w:trPr>
          <w:cnfStyle w:val="100000000000" w:firstRow="1" w:lastRow="0" w:firstColumn="0" w:lastColumn="0" w:oddVBand="0" w:evenVBand="0" w:oddHBand="0" w:evenHBand="0" w:firstRowFirstColumn="0" w:firstRowLastColumn="0" w:lastRowFirstColumn="0" w:lastRowLastColumn="0"/>
        </w:trPr>
        <w:tc>
          <w:tcPr>
            <w:tcW w:w="3489" w:type="dxa"/>
            <w:shd w:val="clear" w:color="auto" w:fill="425563" w:themeFill="text1"/>
          </w:tcPr>
          <w:p w14:paraId="17650581" w14:textId="77777777" w:rsidR="00EE0273" w:rsidRPr="006C6529" w:rsidRDefault="00EE0273" w:rsidP="00AD7761">
            <w:pPr>
              <w:rPr>
                <w:sz w:val="18"/>
                <w:szCs w:val="18"/>
              </w:rPr>
            </w:pPr>
            <w:r w:rsidRPr="006C6529">
              <w:rPr>
                <w:b/>
                <w:bCs/>
                <w:color w:val="FFFFFF"/>
                <w:sz w:val="18"/>
                <w:szCs w:val="18"/>
              </w:rPr>
              <w:t>Indicator</w:t>
            </w:r>
          </w:p>
        </w:tc>
        <w:tc>
          <w:tcPr>
            <w:tcW w:w="3489" w:type="dxa"/>
            <w:shd w:val="clear" w:color="auto" w:fill="425563" w:themeFill="text1"/>
          </w:tcPr>
          <w:p w14:paraId="1990F48A" w14:textId="77777777" w:rsidR="00EE0273" w:rsidRPr="006C6529" w:rsidRDefault="00EE0273" w:rsidP="00AD7761">
            <w:pPr>
              <w:rPr>
                <w:sz w:val="18"/>
                <w:szCs w:val="18"/>
              </w:rPr>
            </w:pPr>
            <w:r w:rsidRPr="006C6529">
              <w:rPr>
                <w:b/>
                <w:bCs/>
                <w:color w:val="FFFFFF"/>
                <w:sz w:val="18"/>
                <w:szCs w:val="18"/>
              </w:rPr>
              <w:t>Measure</w:t>
            </w:r>
          </w:p>
        </w:tc>
        <w:tc>
          <w:tcPr>
            <w:tcW w:w="3489" w:type="dxa"/>
            <w:shd w:val="clear" w:color="auto" w:fill="425563" w:themeFill="text1"/>
          </w:tcPr>
          <w:p w14:paraId="69022154" w14:textId="77777777" w:rsidR="00EE0273" w:rsidRPr="006C6529" w:rsidRDefault="00EE0273" w:rsidP="00AD7761">
            <w:pPr>
              <w:rPr>
                <w:sz w:val="18"/>
                <w:szCs w:val="18"/>
              </w:rPr>
            </w:pPr>
            <w:r w:rsidRPr="006C6529">
              <w:rPr>
                <w:b/>
                <w:bCs/>
                <w:color w:val="FFFFFF"/>
                <w:sz w:val="18"/>
                <w:szCs w:val="18"/>
              </w:rPr>
              <w:t>Data source</w:t>
            </w:r>
          </w:p>
        </w:tc>
      </w:tr>
      <w:tr w:rsidR="00EE0273" w:rsidRPr="006C6529" w14:paraId="5AA15018" w14:textId="77777777" w:rsidTr="009F25AD">
        <w:trPr>
          <w:cantSplit/>
        </w:trPr>
        <w:tc>
          <w:tcPr>
            <w:tcW w:w="3489" w:type="dxa"/>
          </w:tcPr>
          <w:p w14:paraId="202E69D0" w14:textId="77777777" w:rsidR="00EE0273" w:rsidRPr="006C6529" w:rsidRDefault="00EE0273" w:rsidP="00AD7761">
            <w:pPr>
              <w:spacing w:before="40" w:after="40"/>
              <w:rPr>
                <w:sz w:val="18"/>
                <w:szCs w:val="18"/>
              </w:rPr>
            </w:pPr>
            <w:r w:rsidRPr="006C6529">
              <w:rPr>
                <w:sz w:val="18"/>
                <w:szCs w:val="18"/>
              </w:rPr>
              <w:t>Increase in criminal justice processes commenced.</w:t>
            </w:r>
          </w:p>
        </w:tc>
        <w:tc>
          <w:tcPr>
            <w:tcW w:w="3489" w:type="dxa"/>
          </w:tcPr>
          <w:p w14:paraId="2F9E0DA1" w14:textId="77777777" w:rsidR="00EE0273" w:rsidRPr="006C6529" w:rsidRDefault="00EE0273" w:rsidP="00AD7761">
            <w:pPr>
              <w:spacing w:before="40" w:after="40"/>
              <w:rPr>
                <w:sz w:val="18"/>
                <w:szCs w:val="18"/>
              </w:rPr>
            </w:pPr>
            <w:r w:rsidRPr="006C6529">
              <w:rPr>
                <w:sz w:val="18"/>
                <w:szCs w:val="18"/>
              </w:rPr>
              <w:t>Number and proportion of people with HTMS experiences who participate in criminal justice processes.</w:t>
            </w:r>
          </w:p>
        </w:tc>
        <w:tc>
          <w:tcPr>
            <w:tcW w:w="3489" w:type="dxa"/>
          </w:tcPr>
          <w:p w14:paraId="5D7DB4C0" w14:textId="77777777" w:rsidR="00EE0273" w:rsidRPr="006C6529" w:rsidRDefault="00EE0273" w:rsidP="00053DE6">
            <w:pPr>
              <w:pStyle w:val="ListParagraph"/>
              <w:numPr>
                <w:ilvl w:val="0"/>
                <w:numId w:val="16"/>
              </w:numPr>
              <w:spacing w:before="40" w:after="40"/>
              <w:contextualSpacing w:val="0"/>
              <w:rPr>
                <w:sz w:val="18"/>
                <w:szCs w:val="18"/>
              </w:rPr>
            </w:pPr>
            <w:r w:rsidRPr="006C6529">
              <w:rPr>
                <w:sz w:val="18"/>
                <w:szCs w:val="18"/>
              </w:rPr>
              <w:t>Criminal justice activity data</w:t>
            </w:r>
          </w:p>
          <w:p w14:paraId="3A8C0CBB" w14:textId="77777777" w:rsidR="00EE0273" w:rsidRPr="006C6529" w:rsidRDefault="00EE0273" w:rsidP="00053DE6">
            <w:pPr>
              <w:pStyle w:val="ListParagraph"/>
              <w:numPr>
                <w:ilvl w:val="0"/>
                <w:numId w:val="16"/>
              </w:numPr>
              <w:spacing w:before="40" w:after="40"/>
              <w:contextualSpacing w:val="0"/>
              <w:rPr>
                <w:sz w:val="18"/>
                <w:szCs w:val="18"/>
              </w:rPr>
            </w:pPr>
            <w:r w:rsidRPr="006C6529">
              <w:rPr>
                <w:sz w:val="18"/>
                <w:szCs w:val="18"/>
              </w:rPr>
              <w:t>Participant and caseworker interviews</w:t>
            </w:r>
          </w:p>
          <w:p w14:paraId="29D139C0" w14:textId="77777777" w:rsidR="00EE0273" w:rsidRPr="006C6529" w:rsidRDefault="00EE0273" w:rsidP="00053DE6">
            <w:pPr>
              <w:pStyle w:val="ListParagraph"/>
              <w:numPr>
                <w:ilvl w:val="0"/>
                <w:numId w:val="16"/>
              </w:numPr>
              <w:spacing w:before="40" w:after="40"/>
              <w:contextualSpacing w:val="0"/>
              <w:rPr>
                <w:sz w:val="18"/>
                <w:szCs w:val="18"/>
              </w:rPr>
            </w:pPr>
            <w:r w:rsidRPr="006C6529">
              <w:rPr>
                <w:sz w:val="18"/>
                <w:szCs w:val="18"/>
              </w:rPr>
              <w:t>Stakeholder interviews</w:t>
            </w:r>
          </w:p>
        </w:tc>
      </w:tr>
    </w:tbl>
    <w:p w14:paraId="064FB60D" w14:textId="2F545E07" w:rsidR="00EE0273" w:rsidRDefault="00EE0273" w:rsidP="00EE0273">
      <w:pPr>
        <w:pStyle w:val="Caption"/>
      </w:pPr>
      <w:r>
        <w:t xml:space="preserve">Table </w:t>
      </w:r>
      <w:r>
        <w:fldChar w:fldCharType="begin"/>
      </w:r>
      <w:r>
        <w:instrText xml:space="preserve"> SEQ Table \* ARABIC </w:instrText>
      </w:r>
      <w:r>
        <w:fldChar w:fldCharType="separate"/>
      </w:r>
      <w:r w:rsidR="00D9323B">
        <w:rPr>
          <w:noProof/>
        </w:rPr>
        <w:t>64</w:t>
      </w:r>
      <w:r>
        <w:fldChar w:fldCharType="end"/>
      </w:r>
      <w:r>
        <w:t xml:space="preserve">. Justice response – post program outcome: </w:t>
      </w:r>
      <w:r w:rsidRPr="00EE0273">
        <w:t>People with HTMS experiences are supported to manage and minimise the effects of the criminal justice process.</w:t>
      </w:r>
    </w:p>
    <w:tbl>
      <w:tblPr>
        <w:tblStyle w:val="WTTable1"/>
        <w:tblW w:w="0" w:type="auto"/>
        <w:tblLook w:val="0020" w:firstRow="1" w:lastRow="0" w:firstColumn="0" w:lastColumn="0" w:noHBand="0" w:noVBand="0"/>
      </w:tblPr>
      <w:tblGrid>
        <w:gridCol w:w="3489"/>
        <w:gridCol w:w="3489"/>
        <w:gridCol w:w="3489"/>
      </w:tblGrid>
      <w:tr w:rsidR="00EE0273" w:rsidRPr="006C6529" w14:paraId="04C3D6EB" w14:textId="77777777" w:rsidTr="009F25AD">
        <w:trPr>
          <w:cnfStyle w:val="100000000000" w:firstRow="1" w:lastRow="0" w:firstColumn="0" w:lastColumn="0" w:oddVBand="0" w:evenVBand="0" w:oddHBand="0" w:evenHBand="0" w:firstRowFirstColumn="0" w:firstRowLastColumn="0" w:lastRowFirstColumn="0" w:lastRowLastColumn="0"/>
        </w:trPr>
        <w:tc>
          <w:tcPr>
            <w:tcW w:w="3489" w:type="dxa"/>
            <w:shd w:val="clear" w:color="auto" w:fill="425563" w:themeFill="text1"/>
          </w:tcPr>
          <w:p w14:paraId="150ABF0C" w14:textId="77777777" w:rsidR="00EE0273" w:rsidRPr="006C6529" w:rsidRDefault="00EE0273" w:rsidP="007E0AFE">
            <w:pPr>
              <w:rPr>
                <w:sz w:val="18"/>
                <w:szCs w:val="18"/>
              </w:rPr>
            </w:pPr>
            <w:r w:rsidRPr="006C6529">
              <w:rPr>
                <w:b/>
                <w:bCs/>
                <w:color w:val="FFFFFF"/>
                <w:sz w:val="18"/>
                <w:szCs w:val="18"/>
              </w:rPr>
              <w:t>Indicator</w:t>
            </w:r>
          </w:p>
        </w:tc>
        <w:tc>
          <w:tcPr>
            <w:tcW w:w="3489" w:type="dxa"/>
            <w:shd w:val="clear" w:color="auto" w:fill="425563" w:themeFill="text1"/>
          </w:tcPr>
          <w:p w14:paraId="584FE84E" w14:textId="77777777" w:rsidR="00EE0273" w:rsidRPr="006C6529" w:rsidRDefault="00EE0273" w:rsidP="007E0AFE">
            <w:pPr>
              <w:rPr>
                <w:sz w:val="18"/>
                <w:szCs w:val="18"/>
              </w:rPr>
            </w:pPr>
            <w:r w:rsidRPr="006C6529">
              <w:rPr>
                <w:b/>
                <w:bCs/>
                <w:color w:val="FFFFFF"/>
                <w:sz w:val="18"/>
                <w:szCs w:val="18"/>
              </w:rPr>
              <w:t>Measure</w:t>
            </w:r>
          </w:p>
        </w:tc>
        <w:tc>
          <w:tcPr>
            <w:tcW w:w="3489" w:type="dxa"/>
            <w:shd w:val="clear" w:color="auto" w:fill="425563" w:themeFill="text1"/>
          </w:tcPr>
          <w:p w14:paraId="0C8FD3FA" w14:textId="77777777" w:rsidR="00EE0273" w:rsidRPr="006C6529" w:rsidRDefault="00EE0273" w:rsidP="007E0AFE">
            <w:pPr>
              <w:rPr>
                <w:sz w:val="18"/>
                <w:szCs w:val="18"/>
              </w:rPr>
            </w:pPr>
            <w:r w:rsidRPr="006C6529">
              <w:rPr>
                <w:b/>
                <w:bCs/>
                <w:color w:val="FFFFFF"/>
                <w:sz w:val="18"/>
                <w:szCs w:val="18"/>
              </w:rPr>
              <w:t>Data source</w:t>
            </w:r>
          </w:p>
        </w:tc>
      </w:tr>
      <w:tr w:rsidR="00EE0273" w:rsidRPr="006C6529" w14:paraId="73A7395F" w14:textId="77777777" w:rsidTr="009F25AD">
        <w:trPr>
          <w:cantSplit/>
        </w:trPr>
        <w:tc>
          <w:tcPr>
            <w:tcW w:w="3489" w:type="dxa"/>
          </w:tcPr>
          <w:p w14:paraId="215285B0" w14:textId="77777777" w:rsidR="00EE0273" w:rsidRPr="006C6529" w:rsidRDefault="00EE0273" w:rsidP="007E0AFE">
            <w:pPr>
              <w:spacing w:before="40" w:after="40"/>
              <w:rPr>
                <w:sz w:val="18"/>
                <w:szCs w:val="18"/>
              </w:rPr>
            </w:pPr>
            <w:r w:rsidRPr="006C6529">
              <w:rPr>
                <w:sz w:val="18"/>
                <w:szCs w:val="18"/>
              </w:rPr>
              <w:t>Increased trust and confidence in the criminal justice process.</w:t>
            </w:r>
          </w:p>
        </w:tc>
        <w:tc>
          <w:tcPr>
            <w:tcW w:w="3489" w:type="dxa"/>
          </w:tcPr>
          <w:p w14:paraId="75DF7917" w14:textId="77777777" w:rsidR="00EE0273" w:rsidRPr="006C6529" w:rsidRDefault="00EE0273" w:rsidP="007E0AFE">
            <w:pPr>
              <w:spacing w:before="40" w:after="40"/>
              <w:rPr>
                <w:sz w:val="18"/>
                <w:szCs w:val="18"/>
              </w:rPr>
            </w:pPr>
            <w:r w:rsidRPr="006C6529">
              <w:rPr>
                <w:sz w:val="18"/>
                <w:szCs w:val="18"/>
              </w:rPr>
              <w:t>Number and proportion of participants reporting positive experience with the criminal justice process.</w:t>
            </w:r>
          </w:p>
        </w:tc>
        <w:tc>
          <w:tcPr>
            <w:tcW w:w="3489" w:type="dxa"/>
          </w:tcPr>
          <w:p w14:paraId="1935647D"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Stakeholder interviews with service providers and partners</w:t>
            </w:r>
          </w:p>
          <w:p w14:paraId="305CD013"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Participant interviews</w:t>
            </w:r>
          </w:p>
        </w:tc>
      </w:tr>
      <w:tr w:rsidR="00EE0273" w:rsidRPr="006C6529" w14:paraId="62E44110" w14:textId="77777777" w:rsidTr="009F25AD">
        <w:trPr>
          <w:cantSplit/>
        </w:trPr>
        <w:tc>
          <w:tcPr>
            <w:tcW w:w="3489" w:type="dxa"/>
          </w:tcPr>
          <w:p w14:paraId="49CE85CC" w14:textId="77777777" w:rsidR="00EE0273" w:rsidRPr="006C6529" w:rsidRDefault="00EE0273" w:rsidP="007E0AFE">
            <w:pPr>
              <w:spacing w:before="40" w:after="40"/>
              <w:rPr>
                <w:sz w:val="18"/>
                <w:szCs w:val="18"/>
              </w:rPr>
            </w:pPr>
            <w:r w:rsidRPr="006C6529">
              <w:rPr>
                <w:sz w:val="18"/>
                <w:szCs w:val="18"/>
              </w:rPr>
              <w:t>Increased trust and confidence in the criminal justice process.</w:t>
            </w:r>
          </w:p>
        </w:tc>
        <w:tc>
          <w:tcPr>
            <w:tcW w:w="3489" w:type="dxa"/>
          </w:tcPr>
          <w:p w14:paraId="12EFAFEA" w14:textId="77777777" w:rsidR="00EE0273" w:rsidRPr="006C6529" w:rsidRDefault="00EE0273" w:rsidP="007E0AFE">
            <w:pPr>
              <w:spacing w:before="40" w:after="40"/>
              <w:rPr>
                <w:sz w:val="18"/>
                <w:szCs w:val="18"/>
              </w:rPr>
            </w:pPr>
            <w:r w:rsidRPr="006C6529">
              <w:rPr>
                <w:sz w:val="18"/>
                <w:szCs w:val="18"/>
              </w:rPr>
              <w:t>Proportion of participants reporting a high level of trust in the criminal justice process.</w:t>
            </w:r>
          </w:p>
        </w:tc>
        <w:tc>
          <w:tcPr>
            <w:tcW w:w="3489" w:type="dxa"/>
          </w:tcPr>
          <w:p w14:paraId="103C5E75"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Stakeholder interviews with service providers and partners</w:t>
            </w:r>
          </w:p>
          <w:p w14:paraId="770055B0"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Participant interviews</w:t>
            </w:r>
          </w:p>
        </w:tc>
      </w:tr>
      <w:tr w:rsidR="00EE0273" w:rsidRPr="006C6529" w14:paraId="66766A6B" w14:textId="77777777" w:rsidTr="009F25AD">
        <w:trPr>
          <w:cantSplit/>
        </w:trPr>
        <w:tc>
          <w:tcPr>
            <w:tcW w:w="3489" w:type="dxa"/>
          </w:tcPr>
          <w:p w14:paraId="5EBE9BFD" w14:textId="77777777" w:rsidR="00EE0273" w:rsidRPr="006C6529" w:rsidRDefault="00EE0273" w:rsidP="007E0AFE">
            <w:pPr>
              <w:spacing w:before="40" w:after="40"/>
              <w:rPr>
                <w:sz w:val="18"/>
                <w:szCs w:val="18"/>
              </w:rPr>
            </w:pPr>
            <w:r w:rsidRPr="006C6529">
              <w:rPr>
                <w:sz w:val="18"/>
                <w:szCs w:val="18"/>
              </w:rPr>
              <w:t>Reduced mental and physical effects of the criminal justice process.</w:t>
            </w:r>
          </w:p>
        </w:tc>
        <w:tc>
          <w:tcPr>
            <w:tcW w:w="3489" w:type="dxa"/>
          </w:tcPr>
          <w:p w14:paraId="517324E2" w14:textId="77777777" w:rsidR="00EE0273" w:rsidRPr="006C6529" w:rsidRDefault="00EE0273" w:rsidP="007E0AFE">
            <w:pPr>
              <w:spacing w:before="40" w:after="40"/>
              <w:rPr>
                <w:sz w:val="18"/>
                <w:szCs w:val="18"/>
              </w:rPr>
            </w:pPr>
            <w:r w:rsidRPr="006C6529">
              <w:rPr>
                <w:sz w:val="18"/>
                <w:szCs w:val="18"/>
              </w:rPr>
              <w:t>Nature of mental and physical effects of the criminal justice process.</w:t>
            </w:r>
          </w:p>
        </w:tc>
        <w:tc>
          <w:tcPr>
            <w:tcW w:w="3489" w:type="dxa"/>
          </w:tcPr>
          <w:p w14:paraId="495AC220"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Stakeholder interviews with service providers and partners</w:t>
            </w:r>
          </w:p>
          <w:p w14:paraId="39D61F2A"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Participant interviews</w:t>
            </w:r>
          </w:p>
        </w:tc>
      </w:tr>
      <w:tr w:rsidR="00EE0273" w:rsidRPr="006C6529" w14:paraId="4A77C77A" w14:textId="77777777" w:rsidTr="009F25AD">
        <w:trPr>
          <w:cantSplit/>
        </w:trPr>
        <w:tc>
          <w:tcPr>
            <w:tcW w:w="3489" w:type="dxa"/>
          </w:tcPr>
          <w:p w14:paraId="35D4901D" w14:textId="77777777" w:rsidR="00EE0273" w:rsidRPr="006C6529" w:rsidRDefault="00EE0273" w:rsidP="007E0AFE">
            <w:pPr>
              <w:spacing w:before="40" w:after="40"/>
              <w:rPr>
                <w:sz w:val="18"/>
                <w:szCs w:val="18"/>
              </w:rPr>
            </w:pPr>
            <w:r w:rsidRPr="006C6529">
              <w:rPr>
                <w:sz w:val="18"/>
                <w:szCs w:val="18"/>
              </w:rPr>
              <w:t>Reduced mental and physical effects of the criminal justice process.</w:t>
            </w:r>
          </w:p>
        </w:tc>
        <w:tc>
          <w:tcPr>
            <w:tcW w:w="3489" w:type="dxa"/>
          </w:tcPr>
          <w:p w14:paraId="36A98260" w14:textId="77777777" w:rsidR="00EE0273" w:rsidRPr="006C6529" w:rsidRDefault="00EE0273" w:rsidP="007E0AFE">
            <w:pPr>
              <w:spacing w:before="40" w:after="40"/>
              <w:rPr>
                <w:sz w:val="18"/>
                <w:szCs w:val="18"/>
              </w:rPr>
            </w:pPr>
            <w:r w:rsidRPr="006C6529">
              <w:rPr>
                <w:sz w:val="18"/>
                <w:szCs w:val="18"/>
              </w:rPr>
              <w:t>Extent to which participants are supported to manage these effects.</w:t>
            </w:r>
          </w:p>
        </w:tc>
        <w:tc>
          <w:tcPr>
            <w:tcW w:w="3489" w:type="dxa"/>
          </w:tcPr>
          <w:p w14:paraId="1FFB6E8D"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Stakeholder interviews with service providers and partners</w:t>
            </w:r>
          </w:p>
          <w:p w14:paraId="0BCCCA41" w14:textId="77777777" w:rsidR="00EE0273" w:rsidRPr="006C6529" w:rsidRDefault="00EE0273" w:rsidP="007E0AFE">
            <w:pPr>
              <w:pStyle w:val="ListParagraph"/>
              <w:numPr>
                <w:ilvl w:val="0"/>
                <w:numId w:val="16"/>
              </w:numPr>
              <w:spacing w:before="40" w:after="40"/>
              <w:contextualSpacing w:val="0"/>
              <w:rPr>
                <w:sz w:val="18"/>
                <w:szCs w:val="18"/>
              </w:rPr>
            </w:pPr>
            <w:r w:rsidRPr="006C6529">
              <w:rPr>
                <w:sz w:val="18"/>
                <w:szCs w:val="18"/>
              </w:rPr>
              <w:t>Participant interviews</w:t>
            </w:r>
          </w:p>
        </w:tc>
      </w:tr>
    </w:tbl>
    <w:p w14:paraId="181962A0" w14:textId="7C6D021E" w:rsidR="007229D7" w:rsidRDefault="007229D7" w:rsidP="007229D7">
      <w:pPr>
        <w:pStyle w:val="Caption"/>
      </w:pPr>
      <w:r>
        <w:t xml:space="preserve">Table </w:t>
      </w:r>
      <w:r>
        <w:fldChar w:fldCharType="begin"/>
      </w:r>
      <w:r>
        <w:instrText xml:space="preserve"> SEQ Table \* ARABIC </w:instrText>
      </w:r>
      <w:r>
        <w:fldChar w:fldCharType="separate"/>
      </w:r>
      <w:r w:rsidR="00D9323B">
        <w:rPr>
          <w:noProof/>
        </w:rPr>
        <w:t>65</w:t>
      </w:r>
      <w:r>
        <w:fldChar w:fldCharType="end"/>
      </w:r>
      <w:r>
        <w:t xml:space="preserve">. Program outcomes (during) </w:t>
      </w:r>
    </w:p>
    <w:tbl>
      <w:tblPr>
        <w:tblStyle w:val="WTTable2"/>
        <w:tblW w:w="10490" w:type="dxa"/>
        <w:tblLook w:val="04A0" w:firstRow="1" w:lastRow="0" w:firstColumn="1" w:lastColumn="0" w:noHBand="0" w:noVBand="1"/>
      </w:tblPr>
      <w:tblGrid>
        <w:gridCol w:w="2622"/>
        <w:gridCol w:w="2623"/>
        <w:gridCol w:w="2622"/>
        <w:gridCol w:w="2623"/>
      </w:tblGrid>
      <w:tr w:rsidR="001C43E9" w14:paraId="1391EE70" w14:textId="77777777" w:rsidTr="009F25AD">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622" w:type="dxa"/>
          </w:tcPr>
          <w:p w14:paraId="0C3E5D71" w14:textId="77777777" w:rsidR="003A2845" w:rsidRPr="00EC0120" w:rsidRDefault="003A2845" w:rsidP="007E0AFE">
            <w:pPr>
              <w:pStyle w:val="Tableheadwhite"/>
            </w:pPr>
            <w:r w:rsidRPr="00EC0120">
              <w:t xml:space="preserve">Outcomes </w:t>
            </w:r>
          </w:p>
        </w:tc>
        <w:tc>
          <w:tcPr>
            <w:tcW w:w="2623" w:type="dxa"/>
          </w:tcPr>
          <w:p w14:paraId="4F93660E" w14:textId="77777777" w:rsidR="003A2845" w:rsidRPr="00EC0120" w:rsidRDefault="003A2845" w:rsidP="007E0AFE">
            <w:pPr>
              <w:pStyle w:val="Tableheadwhite"/>
              <w:cnfStyle w:val="100000000000" w:firstRow="1" w:lastRow="0" w:firstColumn="0" w:lastColumn="0" w:oddVBand="0" w:evenVBand="0" w:oddHBand="0" w:evenHBand="0" w:firstRowFirstColumn="0" w:firstRowLastColumn="0" w:lastRowFirstColumn="0" w:lastRowLastColumn="0"/>
            </w:pPr>
            <w:r>
              <w:t>Indicator</w:t>
            </w:r>
          </w:p>
        </w:tc>
        <w:tc>
          <w:tcPr>
            <w:tcW w:w="2622" w:type="dxa"/>
          </w:tcPr>
          <w:p w14:paraId="64BF1527" w14:textId="77777777" w:rsidR="003A2845" w:rsidRPr="00EC0120" w:rsidRDefault="003A2845" w:rsidP="007E0AFE">
            <w:pPr>
              <w:pStyle w:val="Tableheadwhite"/>
              <w:cnfStyle w:val="100000000000" w:firstRow="1" w:lastRow="0" w:firstColumn="0" w:lastColumn="0" w:oddVBand="0" w:evenVBand="0" w:oddHBand="0" w:evenHBand="0" w:firstRowFirstColumn="0" w:firstRowLastColumn="0" w:lastRowFirstColumn="0" w:lastRowLastColumn="0"/>
            </w:pPr>
            <w:r>
              <w:t xml:space="preserve">Measure </w:t>
            </w:r>
          </w:p>
        </w:tc>
        <w:tc>
          <w:tcPr>
            <w:tcW w:w="2623" w:type="dxa"/>
          </w:tcPr>
          <w:p w14:paraId="119B72DB" w14:textId="77777777" w:rsidR="003A2845" w:rsidRDefault="003A2845" w:rsidP="007E0AFE">
            <w:pPr>
              <w:pStyle w:val="Tableheadwhite"/>
              <w:cnfStyle w:val="100000000000" w:firstRow="1" w:lastRow="0" w:firstColumn="0" w:lastColumn="0" w:oddVBand="0" w:evenVBand="0" w:oddHBand="0" w:evenHBand="0" w:firstRowFirstColumn="0" w:firstRowLastColumn="0" w:lastRowFirstColumn="0" w:lastRowLastColumn="0"/>
            </w:pPr>
            <w:r>
              <w:t xml:space="preserve">Data source </w:t>
            </w:r>
          </w:p>
        </w:tc>
      </w:tr>
      <w:tr w:rsidR="00EB5613" w14:paraId="0C21187B"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10CE6D28" w14:textId="27F90AC0" w:rsidR="00EB5613" w:rsidRPr="00EB37DE" w:rsidRDefault="00EB5613" w:rsidP="007E0AFE">
            <w:pPr>
              <w:pStyle w:val="TableText"/>
            </w:pPr>
            <w:r w:rsidRPr="00EB37DE">
              <w:t>DSS</w:t>
            </w:r>
            <w:r>
              <w:t xml:space="preserve"> and STPP and ARP providers</w:t>
            </w:r>
            <w:r w:rsidRPr="00EB37DE">
              <w:t xml:space="preserve"> support collaborative responses to modern slavery that are inclusive, trauma</w:t>
            </w:r>
            <w:r w:rsidRPr="0C015565">
              <w:t>-</w:t>
            </w:r>
            <w:r w:rsidRPr="00EB37DE">
              <w:t>informed and lived experience centred</w:t>
            </w:r>
          </w:p>
        </w:tc>
        <w:tc>
          <w:tcPr>
            <w:tcW w:w="2623" w:type="dxa"/>
          </w:tcPr>
          <w:p w14:paraId="24ECC516" w14:textId="626E09B5"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2127D4">
              <w:t>STPP responses are trauma-informed and lived experience centred</w:t>
            </w:r>
          </w:p>
        </w:tc>
        <w:tc>
          <w:tcPr>
            <w:tcW w:w="2622" w:type="dxa"/>
          </w:tcPr>
          <w:p w14:paraId="2A51AEE4" w14:textId="4FCF7781"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 xml:space="preserve">Extent to which providers, partners and </w:t>
            </w:r>
            <w:r>
              <w:t>participants</w:t>
            </w:r>
            <w:r w:rsidRPr="00EB37DE">
              <w:t xml:space="preserve"> report positive experience with referral and warm handover processes</w:t>
            </w:r>
          </w:p>
          <w:p w14:paraId="4CBB82B4" w14:textId="3BC74CF7"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p>
        </w:tc>
        <w:tc>
          <w:tcPr>
            <w:tcW w:w="2623" w:type="dxa"/>
          </w:tcPr>
          <w:p w14:paraId="50920044" w14:textId="496EF9F4" w:rsidR="00EB5613" w:rsidRPr="00EB37DE" w:rsidRDefault="00EB5613" w:rsidP="007E0AFE">
            <w:pPr>
              <w:pStyle w:val="Tabledot2"/>
              <w:cnfStyle w:val="000000000000" w:firstRow="0" w:lastRow="0" w:firstColumn="0" w:lastColumn="0" w:oddVBand="0" w:evenVBand="0" w:oddHBand="0" w:evenHBand="0" w:firstRowFirstColumn="0" w:firstRowLastColumn="0" w:lastRowFirstColumn="0" w:lastRowLastColumn="0"/>
            </w:pPr>
            <w:r w:rsidRPr="00EB37DE">
              <w:t xml:space="preserve">Stakeholder interviews with government, service providers and partners, and </w:t>
            </w:r>
            <w:r>
              <w:t>participants</w:t>
            </w:r>
          </w:p>
        </w:tc>
      </w:tr>
      <w:tr w:rsidR="00EB5613" w14:paraId="3F281FD0"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601040D1" w14:textId="479C654F" w:rsidR="00EB5613" w:rsidRPr="00EB37DE" w:rsidRDefault="00EB5613" w:rsidP="007E0AFE">
            <w:pPr>
              <w:pStyle w:val="TableText"/>
            </w:pPr>
            <w:r w:rsidRPr="00CD0D9B">
              <w:lastRenderedPageBreak/>
              <w:t>DSS and STPP and ARP providers support collaborative responses to modern slavery that are inclusive, trauma-informed and lived experience centred</w:t>
            </w:r>
          </w:p>
        </w:tc>
        <w:tc>
          <w:tcPr>
            <w:tcW w:w="2623" w:type="dxa"/>
          </w:tcPr>
          <w:p w14:paraId="6A9380F8" w14:textId="3277591E" w:rsidR="00EB5613"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2127D4">
              <w:t>STPP is characterised by effective collaboration between stakeholders</w:t>
            </w:r>
          </w:p>
        </w:tc>
        <w:tc>
          <w:tcPr>
            <w:tcW w:w="2622" w:type="dxa"/>
          </w:tcPr>
          <w:p w14:paraId="0747A68D" w14:textId="77777777"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 xml:space="preserve">Extent to which providers, partners and </w:t>
            </w:r>
            <w:r>
              <w:t>participants</w:t>
            </w:r>
            <w:r w:rsidRPr="00EB37DE">
              <w:t xml:space="preserve"> report positive experience with referral and warm handover processes</w:t>
            </w:r>
          </w:p>
          <w:p w14:paraId="37C78B47" w14:textId="77777777"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p>
        </w:tc>
        <w:tc>
          <w:tcPr>
            <w:tcW w:w="2623" w:type="dxa"/>
          </w:tcPr>
          <w:p w14:paraId="7D36ECD2" w14:textId="1F0BE07F" w:rsidR="00EB5613" w:rsidRPr="00EB37DE" w:rsidRDefault="00EB5613" w:rsidP="007E0AFE">
            <w:pPr>
              <w:pStyle w:val="Tabledot2"/>
              <w:cnfStyle w:val="000000000000" w:firstRow="0" w:lastRow="0" w:firstColumn="0" w:lastColumn="0" w:oddVBand="0" w:evenVBand="0" w:oddHBand="0" w:evenHBand="0" w:firstRowFirstColumn="0" w:firstRowLastColumn="0" w:lastRowFirstColumn="0" w:lastRowLastColumn="0"/>
            </w:pPr>
            <w:r w:rsidRPr="00EB37DE">
              <w:t xml:space="preserve">Stakeholder interviews with government, service providers and partners, and </w:t>
            </w:r>
            <w:r>
              <w:t>participants</w:t>
            </w:r>
          </w:p>
        </w:tc>
      </w:tr>
      <w:tr w:rsidR="00EB5613" w14:paraId="49C9ADC4"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01DD9710" w14:textId="55E76CA0" w:rsidR="00EB5613" w:rsidRPr="00EB37DE" w:rsidRDefault="00EB5613" w:rsidP="007E0AFE">
            <w:pPr>
              <w:pStyle w:val="TableText"/>
            </w:pPr>
            <w:r w:rsidRPr="00CD0D9B">
              <w:t>DSS and STPP and ARP providers support collaborative responses to modern slavery that are inclusive, trauma-informed and lived experience centred</w:t>
            </w:r>
          </w:p>
        </w:tc>
        <w:tc>
          <w:tcPr>
            <w:tcW w:w="2623" w:type="dxa"/>
          </w:tcPr>
          <w:p w14:paraId="2CF8EA19" w14:textId="27A2B11C" w:rsidR="00EB5613"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2127D4">
              <w:t>STPP meets needs of all people with HTMS experiences (inclusive)</w:t>
            </w:r>
          </w:p>
        </w:tc>
        <w:tc>
          <w:tcPr>
            <w:tcW w:w="2622" w:type="dxa"/>
          </w:tcPr>
          <w:p w14:paraId="64399E25" w14:textId="57993278"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0A0E6D">
              <w:t>Enablers and barriers experienced with STPP services and supports</w:t>
            </w:r>
          </w:p>
        </w:tc>
        <w:tc>
          <w:tcPr>
            <w:tcW w:w="2623" w:type="dxa"/>
          </w:tcPr>
          <w:p w14:paraId="1174D2DA" w14:textId="25B01FE3" w:rsidR="00EB5613" w:rsidRPr="00EB37DE" w:rsidRDefault="00EB5613" w:rsidP="007E0AFE">
            <w:pPr>
              <w:pStyle w:val="Tabledot2"/>
              <w:cnfStyle w:val="000000000000" w:firstRow="0" w:lastRow="0" w:firstColumn="0" w:lastColumn="0" w:oddVBand="0" w:evenVBand="0" w:oddHBand="0" w:evenHBand="0" w:firstRowFirstColumn="0" w:firstRowLastColumn="0" w:lastRowFirstColumn="0" w:lastRowLastColumn="0"/>
            </w:pPr>
            <w:r w:rsidRPr="00EB37DE">
              <w:t xml:space="preserve">Stakeholder interviews with government, service providers and partners, and </w:t>
            </w:r>
            <w:r>
              <w:t>participants</w:t>
            </w:r>
          </w:p>
        </w:tc>
      </w:tr>
      <w:tr w:rsidR="00EB5613" w14:paraId="04822111"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50FD31E0" w14:textId="2A3F29AB" w:rsidR="00EB5613" w:rsidRPr="00EB37DE" w:rsidRDefault="00EB5613" w:rsidP="007E0AFE">
            <w:pPr>
              <w:pStyle w:val="TableText"/>
            </w:pPr>
            <w:r w:rsidRPr="00CD0D9B">
              <w:t>DSS and STPP and ARP providers support collaborative responses to modern slavery that are inclusive, trauma-informed and lived experience centred</w:t>
            </w:r>
          </w:p>
        </w:tc>
        <w:tc>
          <w:tcPr>
            <w:tcW w:w="2623" w:type="dxa"/>
          </w:tcPr>
          <w:p w14:paraId="1C6F4B8C" w14:textId="27715784" w:rsidR="00EB5613"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2127D4">
              <w:t>STPP is evidence-based and contributes to the data</w:t>
            </w:r>
          </w:p>
        </w:tc>
        <w:tc>
          <w:tcPr>
            <w:tcW w:w="2622" w:type="dxa"/>
          </w:tcPr>
          <w:p w14:paraId="74B20649" w14:textId="2B3217C9"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0A0E6D">
              <w:t>Areas identified for potential improvements or modification</w:t>
            </w:r>
          </w:p>
        </w:tc>
        <w:tc>
          <w:tcPr>
            <w:tcW w:w="2623" w:type="dxa"/>
          </w:tcPr>
          <w:p w14:paraId="6CA802D9" w14:textId="70C40055" w:rsidR="00EB5613" w:rsidRPr="00EB37DE" w:rsidRDefault="00EB5613" w:rsidP="007E0AFE">
            <w:pPr>
              <w:pStyle w:val="Tabledot2"/>
              <w:cnfStyle w:val="000000000000" w:firstRow="0" w:lastRow="0" w:firstColumn="0" w:lastColumn="0" w:oddVBand="0" w:evenVBand="0" w:oddHBand="0" w:evenHBand="0" w:firstRowFirstColumn="0" w:firstRowLastColumn="0" w:lastRowFirstColumn="0" w:lastRowLastColumn="0"/>
            </w:pPr>
            <w:r w:rsidRPr="00EB37DE">
              <w:t xml:space="preserve">Stakeholder interviews with government, service providers and partners, and </w:t>
            </w:r>
            <w:r>
              <w:t>participants</w:t>
            </w:r>
          </w:p>
        </w:tc>
      </w:tr>
    </w:tbl>
    <w:p w14:paraId="5C508EE2" w14:textId="012A2D76" w:rsidR="007229D7" w:rsidRDefault="007229D7" w:rsidP="007229D7">
      <w:pPr>
        <w:pStyle w:val="Caption"/>
      </w:pPr>
      <w:r>
        <w:t xml:space="preserve">Table </w:t>
      </w:r>
      <w:r>
        <w:fldChar w:fldCharType="begin"/>
      </w:r>
      <w:r>
        <w:instrText xml:space="preserve"> SEQ Table \* ARABIC </w:instrText>
      </w:r>
      <w:r>
        <w:fldChar w:fldCharType="separate"/>
      </w:r>
      <w:r w:rsidR="00D9323B">
        <w:rPr>
          <w:noProof/>
        </w:rPr>
        <w:t>66</w:t>
      </w:r>
      <w:r>
        <w:fldChar w:fldCharType="end"/>
      </w:r>
      <w:r>
        <w:t xml:space="preserve">. </w:t>
      </w:r>
      <w:r w:rsidRPr="007229D7">
        <w:t>Community outcomes (post)</w:t>
      </w:r>
    </w:p>
    <w:tbl>
      <w:tblPr>
        <w:tblStyle w:val="WTTable2"/>
        <w:tblW w:w="10490" w:type="dxa"/>
        <w:tblLook w:val="04A0" w:firstRow="1" w:lastRow="0" w:firstColumn="1" w:lastColumn="0" w:noHBand="0" w:noVBand="1"/>
      </w:tblPr>
      <w:tblGrid>
        <w:gridCol w:w="2622"/>
        <w:gridCol w:w="2623"/>
        <w:gridCol w:w="2622"/>
        <w:gridCol w:w="2623"/>
      </w:tblGrid>
      <w:tr w:rsidR="001C43E9" w14:paraId="507E3683" w14:textId="77777777" w:rsidTr="009F25AD">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622" w:type="dxa"/>
          </w:tcPr>
          <w:p w14:paraId="746C62AC" w14:textId="77777777" w:rsidR="003A2845" w:rsidRPr="00EC0120" w:rsidRDefault="003A2845" w:rsidP="007E0AFE">
            <w:pPr>
              <w:pStyle w:val="Tableheadwhite"/>
            </w:pPr>
            <w:r w:rsidRPr="00EC0120">
              <w:t xml:space="preserve">Outcomes </w:t>
            </w:r>
          </w:p>
        </w:tc>
        <w:tc>
          <w:tcPr>
            <w:tcW w:w="2623" w:type="dxa"/>
          </w:tcPr>
          <w:p w14:paraId="7D124E1A" w14:textId="77777777" w:rsidR="003A2845" w:rsidRPr="00EC0120" w:rsidRDefault="003A2845" w:rsidP="007E0AFE">
            <w:pPr>
              <w:pStyle w:val="Tableheadwhite"/>
              <w:cnfStyle w:val="100000000000" w:firstRow="1" w:lastRow="0" w:firstColumn="0" w:lastColumn="0" w:oddVBand="0" w:evenVBand="0" w:oddHBand="0" w:evenHBand="0" w:firstRowFirstColumn="0" w:firstRowLastColumn="0" w:lastRowFirstColumn="0" w:lastRowLastColumn="0"/>
            </w:pPr>
            <w:r>
              <w:t>Indicator</w:t>
            </w:r>
          </w:p>
        </w:tc>
        <w:tc>
          <w:tcPr>
            <w:tcW w:w="2622" w:type="dxa"/>
          </w:tcPr>
          <w:p w14:paraId="424B31C2" w14:textId="77777777" w:rsidR="003A2845" w:rsidRPr="00EC0120" w:rsidRDefault="003A2845" w:rsidP="007E0AFE">
            <w:pPr>
              <w:pStyle w:val="Tableheadwhite"/>
              <w:cnfStyle w:val="100000000000" w:firstRow="1" w:lastRow="0" w:firstColumn="0" w:lastColumn="0" w:oddVBand="0" w:evenVBand="0" w:oddHBand="0" w:evenHBand="0" w:firstRowFirstColumn="0" w:firstRowLastColumn="0" w:lastRowFirstColumn="0" w:lastRowLastColumn="0"/>
            </w:pPr>
            <w:r>
              <w:t xml:space="preserve">Measure </w:t>
            </w:r>
          </w:p>
        </w:tc>
        <w:tc>
          <w:tcPr>
            <w:tcW w:w="2623" w:type="dxa"/>
          </w:tcPr>
          <w:p w14:paraId="59C0B21F" w14:textId="77777777" w:rsidR="003A2845" w:rsidRDefault="003A2845" w:rsidP="007E0AFE">
            <w:pPr>
              <w:pStyle w:val="Tableheadwhite"/>
              <w:cnfStyle w:val="100000000000" w:firstRow="1" w:lastRow="0" w:firstColumn="0" w:lastColumn="0" w:oddVBand="0" w:evenVBand="0" w:oddHBand="0" w:evenHBand="0" w:firstRowFirstColumn="0" w:firstRowLastColumn="0" w:lastRowFirstColumn="0" w:lastRowLastColumn="0"/>
            </w:pPr>
            <w:r>
              <w:t xml:space="preserve">Data source </w:t>
            </w:r>
          </w:p>
        </w:tc>
      </w:tr>
      <w:tr w:rsidR="003A2845" w14:paraId="193ACBFB"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5F8A6D67" w14:textId="3A65BA06" w:rsidR="003A2845" w:rsidRPr="00EB37DE" w:rsidRDefault="003A2845" w:rsidP="007E0AFE">
            <w:pPr>
              <w:pStyle w:val="TableText"/>
            </w:pPr>
            <w:r w:rsidRPr="00EB37DE">
              <w:t>People are aware of the ARP and STPP</w:t>
            </w:r>
          </w:p>
        </w:tc>
        <w:tc>
          <w:tcPr>
            <w:tcW w:w="2623" w:type="dxa"/>
          </w:tcPr>
          <w:p w14:paraId="5C93EA0C" w14:textId="55FF9A04" w:rsidR="003A2845" w:rsidRPr="00EB37DE" w:rsidRDefault="003A2845"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Increased community awareness of the ARP and STPP</w:t>
            </w:r>
          </w:p>
        </w:tc>
        <w:tc>
          <w:tcPr>
            <w:tcW w:w="2622" w:type="dxa"/>
          </w:tcPr>
          <w:p w14:paraId="3186C233" w14:textId="6D9563F3" w:rsidR="003A2845" w:rsidRPr="00EB37DE" w:rsidRDefault="003A2845"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Proportion of people who report they are aware of the STPP</w:t>
            </w:r>
          </w:p>
        </w:tc>
        <w:tc>
          <w:tcPr>
            <w:tcW w:w="2623" w:type="dxa"/>
          </w:tcPr>
          <w:p w14:paraId="19D4F153" w14:textId="248B7193" w:rsidR="003A2845" w:rsidRPr="00EB37DE" w:rsidRDefault="003A2845" w:rsidP="007E0AFE">
            <w:pPr>
              <w:pStyle w:val="Tabledot2"/>
              <w:cnfStyle w:val="000000000000" w:firstRow="0" w:lastRow="0" w:firstColumn="0" w:lastColumn="0" w:oddVBand="0" w:evenVBand="0" w:oddHBand="0" w:evenHBand="0" w:firstRowFirstColumn="0" w:firstRowLastColumn="0" w:lastRowFirstColumn="0" w:lastRowLastColumn="0"/>
            </w:pPr>
            <w:r>
              <w:t>A</w:t>
            </w:r>
            <w:r w:rsidR="2016497C">
              <w:t>ustralian Institute of Criminology</w:t>
            </w:r>
            <w:r w:rsidRPr="00EB37DE">
              <w:t xml:space="preserve"> survey </w:t>
            </w:r>
          </w:p>
        </w:tc>
      </w:tr>
      <w:tr w:rsidR="003A2845" w14:paraId="572FEEB0"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7FB012F4" w14:textId="1B78C919" w:rsidR="003A2845" w:rsidRPr="00EB37DE" w:rsidRDefault="003A2845" w:rsidP="007E0AFE">
            <w:pPr>
              <w:pStyle w:val="TableText"/>
            </w:pPr>
            <w:r w:rsidRPr="00EB37DE">
              <w:t>People recognise the risks, behaviours and practices that constitute HTMS</w:t>
            </w:r>
          </w:p>
        </w:tc>
        <w:tc>
          <w:tcPr>
            <w:tcW w:w="2623" w:type="dxa"/>
          </w:tcPr>
          <w:p w14:paraId="20D41261" w14:textId="4EB003AA" w:rsidR="003A2845" w:rsidRPr="00EB37DE" w:rsidRDefault="003A2845"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Increased community awareness of HTMS</w:t>
            </w:r>
          </w:p>
        </w:tc>
        <w:tc>
          <w:tcPr>
            <w:tcW w:w="2622" w:type="dxa"/>
          </w:tcPr>
          <w:p w14:paraId="02D1D0E9" w14:textId="4EA7202C" w:rsidR="003A2845" w:rsidRPr="00EB37DE" w:rsidRDefault="003A2845"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Proportion of people who report high level of understanding of risks, behaviours and practices that constitute HTMS</w:t>
            </w:r>
          </w:p>
        </w:tc>
        <w:tc>
          <w:tcPr>
            <w:tcW w:w="2623" w:type="dxa"/>
          </w:tcPr>
          <w:p w14:paraId="46481A90" w14:textId="71A3CC2B" w:rsidR="003A2845" w:rsidRPr="00EB37DE" w:rsidRDefault="6867704D" w:rsidP="007E0AFE">
            <w:pPr>
              <w:pStyle w:val="Tabledot2"/>
              <w:cnfStyle w:val="000000000000" w:firstRow="0" w:lastRow="0" w:firstColumn="0" w:lastColumn="0" w:oddVBand="0" w:evenVBand="0" w:oddHBand="0" w:evenHBand="0" w:firstRowFirstColumn="0" w:firstRowLastColumn="0" w:lastRowFirstColumn="0" w:lastRowLastColumn="0"/>
            </w:pPr>
            <w:r>
              <w:t>Australian Institute of Criminology</w:t>
            </w:r>
            <w:r w:rsidR="003A2845">
              <w:t xml:space="preserve"> survey </w:t>
            </w:r>
          </w:p>
        </w:tc>
      </w:tr>
      <w:tr w:rsidR="003A2845" w14:paraId="363E764C"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64E4C7C0" w14:textId="12262AD4" w:rsidR="003A2845" w:rsidRPr="00EB37DE" w:rsidRDefault="003A2845" w:rsidP="007E0AFE">
            <w:pPr>
              <w:pStyle w:val="TableText"/>
            </w:pPr>
            <w:r w:rsidRPr="00EB37DE">
              <w:t>People know how to recognise risks, safely respond or seek support when they witness or experience HTMS</w:t>
            </w:r>
          </w:p>
        </w:tc>
        <w:tc>
          <w:tcPr>
            <w:tcW w:w="2623" w:type="dxa"/>
          </w:tcPr>
          <w:p w14:paraId="37D00D95" w14:textId="0BAE3237" w:rsidR="003A2845" w:rsidRPr="00EB37DE" w:rsidRDefault="003A2845"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Increased community understanding of HTMS responses</w:t>
            </w:r>
          </w:p>
        </w:tc>
        <w:tc>
          <w:tcPr>
            <w:tcW w:w="2622" w:type="dxa"/>
          </w:tcPr>
          <w:p w14:paraId="43A5D822" w14:textId="0C3F2F2B" w:rsidR="003A2845" w:rsidRPr="00EB37DE" w:rsidRDefault="003A2845"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Proportion of people who report high level of understanding on how to respond if they witness HTMS</w:t>
            </w:r>
          </w:p>
          <w:p w14:paraId="4C61635F" w14:textId="44E2E710" w:rsidR="003A2845" w:rsidRPr="00EB37DE" w:rsidRDefault="003A2845"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p>
        </w:tc>
        <w:tc>
          <w:tcPr>
            <w:tcW w:w="2623" w:type="dxa"/>
          </w:tcPr>
          <w:p w14:paraId="4F2E173E" w14:textId="6517CAC2" w:rsidR="003A2845" w:rsidRPr="00EB37DE" w:rsidRDefault="56258B61" w:rsidP="007E0AFE">
            <w:pPr>
              <w:pStyle w:val="Tabledot2"/>
              <w:cnfStyle w:val="000000000000" w:firstRow="0" w:lastRow="0" w:firstColumn="0" w:lastColumn="0" w:oddVBand="0" w:evenVBand="0" w:oddHBand="0" w:evenHBand="0" w:firstRowFirstColumn="0" w:firstRowLastColumn="0" w:lastRowFirstColumn="0" w:lastRowLastColumn="0"/>
            </w:pPr>
            <w:r>
              <w:t>Australian Institute of Criminology</w:t>
            </w:r>
            <w:r w:rsidR="003A2845">
              <w:t xml:space="preserve"> survey </w:t>
            </w:r>
          </w:p>
        </w:tc>
      </w:tr>
      <w:tr w:rsidR="00EB5613" w14:paraId="5FBD16B5"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533DCACA" w14:textId="4F96CF9B" w:rsidR="00EB5613" w:rsidRPr="00EB37DE" w:rsidRDefault="00EB5613" w:rsidP="007E0AFE">
            <w:pPr>
              <w:pStyle w:val="TableText"/>
            </w:pPr>
            <w:r w:rsidRPr="00EB37DE">
              <w:t>People know how to recognise risks, safely respond or seek support when they witness or experience HTMS</w:t>
            </w:r>
          </w:p>
        </w:tc>
        <w:tc>
          <w:tcPr>
            <w:tcW w:w="2623" w:type="dxa"/>
          </w:tcPr>
          <w:p w14:paraId="04998BF1" w14:textId="67A751A3" w:rsidR="00EB5613"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Increased community understanding of HTMS responses</w:t>
            </w:r>
          </w:p>
        </w:tc>
        <w:tc>
          <w:tcPr>
            <w:tcW w:w="2622" w:type="dxa"/>
          </w:tcPr>
          <w:p w14:paraId="119A46E3" w14:textId="598E6067"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Proportion of people who report high level of understanding on how to seek support if they experience HTMS</w:t>
            </w:r>
          </w:p>
        </w:tc>
        <w:tc>
          <w:tcPr>
            <w:tcW w:w="2623" w:type="dxa"/>
          </w:tcPr>
          <w:p w14:paraId="669E3DFE" w14:textId="46152BBB" w:rsidR="00EB5613" w:rsidRPr="00EB37DE" w:rsidRDefault="00EB5613" w:rsidP="007E0AFE">
            <w:pPr>
              <w:pStyle w:val="Tabledot2"/>
              <w:cnfStyle w:val="000000000000" w:firstRow="0" w:lastRow="0" w:firstColumn="0" w:lastColumn="0" w:oddVBand="0" w:evenVBand="0" w:oddHBand="0" w:evenHBand="0" w:firstRowFirstColumn="0" w:firstRowLastColumn="0" w:lastRowFirstColumn="0" w:lastRowLastColumn="0"/>
            </w:pPr>
            <w:r>
              <w:t xml:space="preserve">Australian Institute of Criminology survey </w:t>
            </w:r>
          </w:p>
        </w:tc>
      </w:tr>
      <w:tr w:rsidR="00EB5613" w14:paraId="59F0F561" w14:textId="77777777" w:rsidTr="009F25AD">
        <w:trPr>
          <w:cantSplit/>
          <w:trHeight w:val="593"/>
        </w:trPr>
        <w:tc>
          <w:tcPr>
            <w:cnfStyle w:val="001000000000" w:firstRow="0" w:lastRow="0" w:firstColumn="1" w:lastColumn="0" w:oddVBand="0" w:evenVBand="0" w:oddHBand="0" w:evenHBand="0" w:firstRowFirstColumn="0" w:firstRowLastColumn="0" w:lastRowFirstColumn="0" w:lastRowLastColumn="0"/>
            <w:tcW w:w="2622" w:type="dxa"/>
          </w:tcPr>
          <w:p w14:paraId="154D141C" w14:textId="54B9D6C0" w:rsidR="00EB5613" w:rsidRPr="00EB37DE" w:rsidRDefault="00EB5613" w:rsidP="007E0AFE">
            <w:pPr>
              <w:pStyle w:val="TableText"/>
            </w:pPr>
            <w:r w:rsidRPr="00EB37DE">
              <w:t>Civil society and other HTMS/</w:t>
            </w:r>
            <w:r w:rsidRPr="31AB4AF7">
              <w:t>FDSV</w:t>
            </w:r>
            <w:r w:rsidRPr="00EB37DE">
              <w:t xml:space="preserve"> community providers comprehend the STPP, and the scope of services provided, or not, through it</w:t>
            </w:r>
          </w:p>
        </w:tc>
        <w:tc>
          <w:tcPr>
            <w:tcW w:w="2623" w:type="dxa"/>
          </w:tcPr>
          <w:p w14:paraId="4909291F" w14:textId="2A08AFCB"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t xml:space="preserve">Increased </w:t>
            </w:r>
            <w:r w:rsidRPr="00EB37DE">
              <w:t>civil society and other HTMS/</w:t>
            </w:r>
            <w:r>
              <w:t>FDSV</w:t>
            </w:r>
            <w:r w:rsidRPr="00EB37DE">
              <w:t xml:space="preserve"> community providers u</w:t>
            </w:r>
            <w:r>
              <w:t>nderstanding of STPP scope of services</w:t>
            </w:r>
          </w:p>
        </w:tc>
        <w:tc>
          <w:tcPr>
            <w:tcW w:w="2622" w:type="dxa"/>
          </w:tcPr>
          <w:p w14:paraId="7F7B77E1" w14:textId="311D2339" w:rsidR="00EB5613" w:rsidRPr="00EB37DE" w:rsidRDefault="00EB5613" w:rsidP="007E0AFE">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EB37DE">
              <w:t>Proportion of staff/providers reporting high level of understanding of STPP scope of services</w:t>
            </w:r>
          </w:p>
        </w:tc>
        <w:tc>
          <w:tcPr>
            <w:tcW w:w="2623" w:type="dxa"/>
          </w:tcPr>
          <w:p w14:paraId="3EB2E8FA" w14:textId="77777777" w:rsidR="00EB5613" w:rsidRPr="00EB37DE" w:rsidRDefault="00EB5613" w:rsidP="007E0AFE">
            <w:pPr>
              <w:pStyle w:val="Tabledot2"/>
              <w:cnfStyle w:val="000000000000" w:firstRow="0" w:lastRow="0" w:firstColumn="0" w:lastColumn="0" w:oddVBand="0" w:evenVBand="0" w:oddHBand="0" w:evenHBand="0" w:firstRowFirstColumn="0" w:firstRowLastColumn="0" w:lastRowFirstColumn="0" w:lastRowLastColumn="0"/>
            </w:pPr>
            <w:r w:rsidRPr="00EB37DE">
              <w:t>Stakeholder interviews with service providers and partners</w:t>
            </w:r>
          </w:p>
          <w:p w14:paraId="70A08A92" w14:textId="77777777" w:rsidR="00EB5613" w:rsidRPr="00EB37DE" w:rsidRDefault="00EB5613" w:rsidP="007E0AFE">
            <w:pPr>
              <w:pStyle w:val="Tabledot2"/>
              <w:numPr>
                <w:ilvl w:val="0"/>
                <w:numId w:val="0"/>
              </w:numPr>
              <w:ind w:left="3"/>
              <w:cnfStyle w:val="000000000000" w:firstRow="0" w:lastRow="0" w:firstColumn="0" w:lastColumn="0" w:oddVBand="0" w:evenVBand="0" w:oddHBand="0" w:evenHBand="0" w:firstRowFirstColumn="0" w:firstRowLastColumn="0" w:lastRowFirstColumn="0" w:lastRowLastColumn="0"/>
            </w:pPr>
          </w:p>
        </w:tc>
      </w:tr>
    </w:tbl>
    <w:p w14:paraId="2E74DF98" w14:textId="77777777" w:rsidR="007229D7" w:rsidRDefault="007229D7" w:rsidP="007229D7"/>
    <w:p w14:paraId="0C026B46" w14:textId="06A97833" w:rsidR="003A2845" w:rsidRPr="006D6079" w:rsidRDefault="003A2845" w:rsidP="006D6079">
      <w:pPr>
        <w:pStyle w:val="Heading5"/>
        <w:spacing w:before="40" w:after="0" w:line="240" w:lineRule="auto"/>
        <w:rPr>
          <w:sz w:val="24"/>
        </w:rPr>
      </w:pPr>
      <w:r w:rsidRPr="006D6079">
        <w:rPr>
          <w:sz w:val="24"/>
        </w:rPr>
        <w:t>Efficiency – KEQ, indicators, measures and data sources</w:t>
      </w:r>
    </w:p>
    <w:p w14:paraId="53DA1885" w14:textId="77777777" w:rsidR="003A2845" w:rsidRPr="006D6079" w:rsidRDefault="003A2845" w:rsidP="006D6079">
      <w:pPr>
        <w:pStyle w:val="Heading6"/>
        <w:rPr>
          <w:i/>
          <w:iCs/>
          <w:sz w:val="20"/>
          <w:szCs w:val="20"/>
        </w:rPr>
      </w:pPr>
      <w:r w:rsidRPr="006D6079">
        <w:rPr>
          <w:i/>
          <w:iCs/>
          <w:sz w:val="20"/>
          <w:szCs w:val="20"/>
        </w:rPr>
        <w:t>KEQs</w:t>
      </w:r>
    </w:p>
    <w:p w14:paraId="70EB9A14" w14:textId="225A3215" w:rsidR="003A2845" w:rsidRDefault="003A2845" w:rsidP="007E0AFE">
      <w:r w:rsidRPr="71675A76">
        <w:t xml:space="preserve">The </w:t>
      </w:r>
      <w:r w:rsidR="004C70FE">
        <w:t xml:space="preserve">KEQ for </w:t>
      </w:r>
      <w:r w:rsidRPr="71675A76">
        <w:t xml:space="preserve">the </w:t>
      </w:r>
      <w:r w:rsidR="00B91DEF">
        <w:t>efficiency</w:t>
      </w:r>
      <w:r>
        <w:t xml:space="preserve"> of</w:t>
      </w:r>
      <w:r w:rsidRPr="71675A76">
        <w:t xml:space="preserve"> the STPP</w:t>
      </w:r>
      <w:r w:rsidR="004C70FE">
        <w:t xml:space="preserve"> is</w:t>
      </w:r>
      <w:r w:rsidRPr="71675A76">
        <w:t>:</w:t>
      </w:r>
    </w:p>
    <w:p w14:paraId="355CCC1E" w14:textId="342069CE" w:rsidR="00902447" w:rsidRDefault="00902447" w:rsidP="007E0AFE">
      <w:pPr>
        <w:pStyle w:val="NumList"/>
      </w:pPr>
      <w:r>
        <w:t>Has the STPP been delivered efficiently?</w:t>
      </w:r>
    </w:p>
    <w:p w14:paraId="6A25AC94" w14:textId="70FE0305" w:rsidR="008A69C0" w:rsidRPr="008A69C0" w:rsidRDefault="008A69C0" w:rsidP="007E0AFE">
      <w:r w:rsidRPr="008A69C0">
        <w:t>The sub-questions are:</w:t>
      </w:r>
    </w:p>
    <w:p w14:paraId="1982E376" w14:textId="64B24233" w:rsidR="003A2845" w:rsidRPr="00E0073E" w:rsidRDefault="003A2845" w:rsidP="007E0AFE">
      <w:pPr>
        <w:pStyle w:val="NumList"/>
        <w:numPr>
          <w:ilvl w:val="1"/>
          <w:numId w:val="9"/>
        </w:numPr>
      </w:pPr>
      <w:r w:rsidRPr="00E0073E">
        <w:t>To what extent does the funding model of the STPP efficiently meet program operational and delivery needs?</w:t>
      </w:r>
    </w:p>
    <w:p w14:paraId="4D5CD273" w14:textId="23C35D14" w:rsidR="003A2845" w:rsidRDefault="003A2845" w:rsidP="007E0AFE">
      <w:pPr>
        <w:pStyle w:val="NumList"/>
        <w:numPr>
          <w:ilvl w:val="1"/>
          <w:numId w:val="9"/>
        </w:numPr>
      </w:pPr>
      <w:r w:rsidRPr="00E0073E">
        <w:t>Are there areas to improve administrative efficiency for the STPP?</w:t>
      </w:r>
    </w:p>
    <w:p w14:paraId="1A6BFC49" w14:textId="03242AE5" w:rsidR="007229D7" w:rsidRDefault="007229D7" w:rsidP="007229D7">
      <w:pPr>
        <w:pStyle w:val="Caption"/>
      </w:pPr>
      <w:r>
        <w:t xml:space="preserve">Table </w:t>
      </w:r>
      <w:r>
        <w:fldChar w:fldCharType="begin"/>
      </w:r>
      <w:r>
        <w:instrText xml:space="preserve"> SEQ Table \* ARABIC </w:instrText>
      </w:r>
      <w:r>
        <w:fldChar w:fldCharType="separate"/>
      </w:r>
      <w:r w:rsidR="00D9323B">
        <w:rPr>
          <w:noProof/>
        </w:rPr>
        <w:t>67</w:t>
      </w:r>
      <w:r>
        <w:fldChar w:fldCharType="end"/>
      </w:r>
      <w:r>
        <w:t>.</w:t>
      </w:r>
      <w:r w:rsidR="007478A1" w:rsidRPr="007478A1">
        <w:t xml:space="preserve"> </w:t>
      </w:r>
      <w:r w:rsidR="007478A1">
        <w:t>KEQ sub-questions a &amp; b: Indicators, measures and data sources</w:t>
      </w:r>
    </w:p>
    <w:tbl>
      <w:tblPr>
        <w:tblStyle w:val="WTTable2"/>
        <w:tblW w:w="5000" w:type="pct"/>
        <w:tblLook w:val="04A0" w:firstRow="1" w:lastRow="0" w:firstColumn="1" w:lastColumn="0" w:noHBand="0" w:noVBand="1"/>
      </w:tblPr>
      <w:tblGrid>
        <w:gridCol w:w="1932"/>
        <w:gridCol w:w="1926"/>
        <w:gridCol w:w="4093"/>
        <w:gridCol w:w="2516"/>
      </w:tblGrid>
      <w:tr w:rsidR="009F25AD" w:rsidRPr="00436981" w14:paraId="2A9EDC12" w14:textId="77777777">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23" w:type="pct"/>
          </w:tcPr>
          <w:p w14:paraId="76E567BC" w14:textId="12A0538E" w:rsidR="009F25AD" w:rsidRPr="00436981" w:rsidRDefault="009F25AD" w:rsidP="009F25AD">
            <w:pPr>
              <w:pStyle w:val="Tableheadwhite"/>
            </w:pPr>
            <w:r>
              <w:t>Sub-questions</w:t>
            </w:r>
          </w:p>
        </w:tc>
        <w:tc>
          <w:tcPr>
            <w:tcW w:w="920" w:type="pct"/>
            <w:hideMark/>
          </w:tcPr>
          <w:p w14:paraId="59C9A177" w14:textId="70F36434" w:rsidR="009F25AD" w:rsidRPr="00436981" w:rsidRDefault="009F25AD" w:rsidP="009F25AD">
            <w:pPr>
              <w:pStyle w:val="Tableheadwhite"/>
              <w:cnfStyle w:val="100000000000" w:firstRow="1" w:lastRow="0" w:firstColumn="0" w:lastColumn="0" w:oddVBand="0" w:evenVBand="0" w:oddHBand="0" w:evenHBand="0" w:firstRowFirstColumn="0" w:firstRowLastColumn="0" w:lastRowFirstColumn="0" w:lastRowLastColumn="0"/>
            </w:pPr>
            <w:r>
              <w:t xml:space="preserve">Indicator </w:t>
            </w:r>
          </w:p>
        </w:tc>
        <w:tc>
          <w:tcPr>
            <w:tcW w:w="1955" w:type="pct"/>
            <w:hideMark/>
          </w:tcPr>
          <w:p w14:paraId="274429F9" w14:textId="77777777" w:rsidR="009F25AD" w:rsidRPr="00436981" w:rsidRDefault="009F25AD" w:rsidP="009F25AD">
            <w:pPr>
              <w:pStyle w:val="Tableheadwhite"/>
              <w:cnfStyle w:val="100000000000" w:firstRow="1" w:lastRow="0" w:firstColumn="0" w:lastColumn="0" w:oddVBand="0" w:evenVBand="0" w:oddHBand="0" w:evenHBand="0" w:firstRowFirstColumn="0" w:firstRowLastColumn="0" w:lastRowFirstColumn="0" w:lastRowLastColumn="0"/>
            </w:pPr>
            <w:r w:rsidRPr="00436981">
              <w:t>Measure</w:t>
            </w:r>
          </w:p>
        </w:tc>
        <w:tc>
          <w:tcPr>
            <w:tcW w:w="1202" w:type="pct"/>
          </w:tcPr>
          <w:p w14:paraId="7D0B03D4" w14:textId="77777777" w:rsidR="009F25AD" w:rsidRPr="00436981" w:rsidRDefault="009F25AD" w:rsidP="009F25AD">
            <w:pPr>
              <w:pStyle w:val="Tableheadwhite"/>
              <w:cnfStyle w:val="100000000000" w:firstRow="1" w:lastRow="0" w:firstColumn="0" w:lastColumn="0" w:oddVBand="0" w:evenVBand="0" w:oddHBand="0" w:evenHBand="0" w:firstRowFirstColumn="0" w:firstRowLastColumn="0" w:lastRowFirstColumn="0" w:lastRowLastColumn="0"/>
            </w:pPr>
            <w:r w:rsidRPr="00436981">
              <w:t>Data source</w:t>
            </w:r>
          </w:p>
        </w:tc>
      </w:tr>
      <w:tr w:rsidR="009F25AD" w:rsidRPr="00436981" w14:paraId="397E68DE" w14:textId="77777777" w:rsidTr="008267C4">
        <w:trPr>
          <w:trHeight w:val="761"/>
        </w:trPr>
        <w:tc>
          <w:tcPr>
            <w:cnfStyle w:val="001000000000" w:firstRow="0" w:lastRow="0" w:firstColumn="1" w:lastColumn="0" w:oddVBand="0" w:evenVBand="0" w:oddHBand="0" w:evenHBand="0" w:firstRowFirstColumn="0" w:firstRowLastColumn="0" w:lastRowFirstColumn="0" w:lastRowLastColumn="0"/>
            <w:tcW w:w="923" w:type="pct"/>
          </w:tcPr>
          <w:p w14:paraId="2B6D625A" w14:textId="4938D145" w:rsidR="009F25AD" w:rsidRPr="008A69C0" w:rsidRDefault="009F25AD" w:rsidP="009F25AD">
            <w:pPr>
              <w:pStyle w:val="TableText"/>
            </w:pPr>
            <w:r w:rsidRPr="008A69C0">
              <w:t xml:space="preserve">2a. To what extent does the funding model of the STPP efficiently meet program operational and delivery needs? </w:t>
            </w:r>
          </w:p>
        </w:tc>
        <w:tc>
          <w:tcPr>
            <w:tcW w:w="920" w:type="pct"/>
            <w:hideMark/>
          </w:tcPr>
          <w:p w14:paraId="1E62D8EF" w14:textId="664FCF4C" w:rsidR="009F25AD" w:rsidRPr="00436981" w:rsidRDefault="009F25AD" w:rsidP="009F25AD">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436981">
              <w:t>STPP operational and delivery needs are efficiently met</w:t>
            </w:r>
          </w:p>
        </w:tc>
        <w:tc>
          <w:tcPr>
            <w:tcW w:w="1955" w:type="pct"/>
            <w:hideMark/>
          </w:tcPr>
          <w:p w14:paraId="5129122E" w14:textId="05A763AC" w:rsidR="009F25AD" w:rsidRPr="00436981" w:rsidRDefault="009F25AD" w:rsidP="009F25AD">
            <w:pPr>
              <w:pStyle w:val="Tabledot2"/>
              <w:numPr>
                <w:ilvl w:val="0"/>
                <w:numId w:val="0"/>
              </w:numPr>
              <w:cnfStyle w:val="000000000000" w:firstRow="0" w:lastRow="0" w:firstColumn="0" w:lastColumn="0" w:oddVBand="0" w:evenVBand="0" w:oddHBand="0" w:evenHBand="0" w:firstRowFirstColumn="0" w:firstRowLastColumn="0" w:lastRowFirstColumn="0" w:lastRowLastColumn="0"/>
            </w:pPr>
            <w:r w:rsidRPr="00436981">
              <w:t>Level of funding (inputs) by source</w:t>
            </w:r>
          </w:p>
          <w:p w14:paraId="2FAB41E2"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Number and nature of operational and delivery STPP activities</w:t>
            </w:r>
          </w:p>
          <w:p w14:paraId="580B4667"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 xml:space="preserve">Average staff time spent on selected STPP operational and administrative processes </w:t>
            </w:r>
          </w:p>
          <w:p w14:paraId="4398CC50"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Enablers and challenges associated with operational and deliver</w:t>
            </w:r>
            <w:r>
              <w:t>y</w:t>
            </w:r>
            <w:r w:rsidRPr="00436981">
              <w:t xml:space="preserve"> activities</w:t>
            </w:r>
          </w:p>
        </w:tc>
        <w:tc>
          <w:tcPr>
            <w:tcW w:w="1202" w:type="pct"/>
          </w:tcPr>
          <w:p w14:paraId="57E2EC4F"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Program and/or service provider financial data</w:t>
            </w:r>
          </w:p>
          <w:p w14:paraId="379064F9"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Stakeholder interviews with government, service providers and partners</w:t>
            </w:r>
          </w:p>
        </w:tc>
      </w:tr>
      <w:tr w:rsidR="009F25AD" w:rsidRPr="00436981" w14:paraId="10C6CDA3" w14:textId="77777777" w:rsidTr="008267C4">
        <w:trPr>
          <w:trHeight w:val="761"/>
        </w:trPr>
        <w:tc>
          <w:tcPr>
            <w:cnfStyle w:val="001000000000" w:firstRow="0" w:lastRow="0" w:firstColumn="1" w:lastColumn="0" w:oddVBand="0" w:evenVBand="0" w:oddHBand="0" w:evenHBand="0" w:firstRowFirstColumn="0" w:firstRowLastColumn="0" w:lastRowFirstColumn="0" w:lastRowLastColumn="0"/>
            <w:tcW w:w="923" w:type="pct"/>
          </w:tcPr>
          <w:p w14:paraId="4189E045" w14:textId="05EAE826" w:rsidR="009F25AD" w:rsidRPr="008A69C0" w:rsidRDefault="009F25AD" w:rsidP="009F25AD">
            <w:pPr>
              <w:pStyle w:val="TableText"/>
            </w:pPr>
            <w:r w:rsidRPr="008A69C0">
              <w:t>2b. Are there areas to improve administrative efficiency for the STPP?</w:t>
            </w:r>
          </w:p>
        </w:tc>
        <w:tc>
          <w:tcPr>
            <w:tcW w:w="920" w:type="pct"/>
          </w:tcPr>
          <w:p w14:paraId="616D85D0" w14:textId="592D41CF" w:rsidR="009F25AD" w:rsidRPr="00436981" w:rsidRDefault="009F25AD" w:rsidP="009F25AD">
            <w:pPr>
              <w:pStyle w:val="Tabledot2"/>
              <w:numPr>
                <w:ilvl w:val="0"/>
                <w:numId w:val="0"/>
              </w:numPr>
              <w:ind w:left="3"/>
              <w:cnfStyle w:val="000000000000" w:firstRow="0" w:lastRow="0" w:firstColumn="0" w:lastColumn="0" w:oddVBand="0" w:evenVBand="0" w:oddHBand="0" w:evenHBand="0" w:firstRowFirstColumn="0" w:firstRowLastColumn="0" w:lastRowFirstColumn="0" w:lastRowLastColumn="0"/>
            </w:pPr>
            <w:r>
              <w:t xml:space="preserve">There are no opportunities to improve administrative efficiency </w:t>
            </w:r>
          </w:p>
        </w:tc>
        <w:tc>
          <w:tcPr>
            <w:tcW w:w="1955" w:type="pct"/>
          </w:tcPr>
          <w:p w14:paraId="41B37918"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Reported areas of administrative inefficiency</w:t>
            </w:r>
          </w:p>
          <w:p w14:paraId="1D396337"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Extent to which improvements to administrative efficiency could be achieved</w:t>
            </w:r>
          </w:p>
        </w:tc>
        <w:tc>
          <w:tcPr>
            <w:tcW w:w="1202" w:type="pct"/>
          </w:tcPr>
          <w:p w14:paraId="3D9FF21F"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Program and/or service provider financial data</w:t>
            </w:r>
          </w:p>
          <w:p w14:paraId="3C18717E" w14:textId="77777777" w:rsidR="009F25AD" w:rsidRPr="00436981" w:rsidRDefault="009F25AD" w:rsidP="009F25AD">
            <w:pPr>
              <w:pStyle w:val="Tabledot2"/>
              <w:cnfStyle w:val="000000000000" w:firstRow="0" w:lastRow="0" w:firstColumn="0" w:lastColumn="0" w:oddVBand="0" w:evenVBand="0" w:oddHBand="0" w:evenHBand="0" w:firstRowFirstColumn="0" w:firstRowLastColumn="0" w:lastRowFirstColumn="0" w:lastRowLastColumn="0"/>
            </w:pPr>
            <w:r w:rsidRPr="00436981">
              <w:t>Stakeholder interviews with government, service providers and partners</w:t>
            </w:r>
          </w:p>
        </w:tc>
      </w:tr>
    </w:tbl>
    <w:p w14:paraId="0FCD7B59" w14:textId="77777777" w:rsidR="00E93FF6" w:rsidRPr="006D6079" w:rsidRDefault="00E93FF6" w:rsidP="006D6079">
      <w:pPr>
        <w:pStyle w:val="Heading5"/>
        <w:spacing w:before="40" w:after="0" w:line="240" w:lineRule="auto"/>
        <w:rPr>
          <w:sz w:val="24"/>
        </w:rPr>
      </w:pPr>
      <w:r w:rsidRPr="006D6079">
        <w:rPr>
          <w:sz w:val="24"/>
        </w:rPr>
        <w:t xml:space="preserve">Appropriateness – KEQ, indicators, measures and data sources </w:t>
      </w:r>
    </w:p>
    <w:p w14:paraId="1BEA8F49" w14:textId="77777777" w:rsidR="008A69C0" w:rsidRPr="006D6079" w:rsidRDefault="008A69C0" w:rsidP="006D6079">
      <w:pPr>
        <w:pStyle w:val="Heading6"/>
        <w:rPr>
          <w:i/>
          <w:iCs/>
          <w:sz w:val="20"/>
          <w:szCs w:val="20"/>
        </w:rPr>
      </w:pPr>
      <w:bookmarkStart w:id="84" w:name="_Toc198367955"/>
      <w:r w:rsidRPr="006D6079">
        <w:rPr>
          <w:i/>
          <w:iCs/>
          <w:sz w:val="20"/>
          <w:szCs w:val="20"/>
        </w:rPr>
        <w:t>KEQs</w:t>
      </w:r>
    </w:p>
    <w:p w14:paraId="6506F2A6" w14:textId="2176B936" w:rsidR="008A69C0" w:rsidRDefault="008A69C0" w:rsidP="007E0AFE">
      <w:r w:rsidRPr="71675A76">
        <w:t xml:space="preserve">The </w:t>
      </w:r>
      <w:r w:rsidR="004C70FE">
        <w:t>KEQ for</w:t>
      </w:r>
      <w:r w:rsidRPr="71675A76">
        <w:t xml:space="preserve"> </w:t>
      </w:r>
      <w:r>
        <w:t>appropriateness of</w:t>
      </w:r>
      <w:r w:rsidRPr="71675A76">
        <w:t xml:space="preserve"> the STPP</w:t>
      </w:r>
      <w:r w:rsidR="004C70FE">
        <w:t xml:space="preserve"> is</w:t>
      </w:r>
      <w:r w:rsidRPr="71675A76">
        <w:t>:</w:t>
      </w:r>
    </w:p>
    <w:p w14:paraId="5901C698" w14:textId="59A0E628" w:rsidR="00E93FF6" w:rsidRDefault="00E93FF6" w:rsidP="007E0AFE">
      <w:pPr>
        <w:pStyle w:val="NumList"/>
      </w:pPr>
      <w:r>
        <w:t>Is the design of the STPP appropriately aligned with best practice?</w:t>
      </w:r>
      <w:bookmarkEnd w:id="84"/>
    </w:p>
    <w:p w14:paraId="147CF53C" w14:textId="43049F7C" w:rsidR="001143C5" w:rsidRPr="001143C5" w:rsidRDefault="001143C5" w:rsidP="007E0AFE">
      <w:r w:rsidRPr="001143C5">
        <w:t>The sub-questions are:</w:t>
      </w:r>
    </w:p>
    <w:p w14:paraId="2DAC9649" w14:textId="77914505" w:rsidR="00E93FF6" w:rsidRDefault="00E93FF6" w:rsidP="007E0AFE">
      <w:pPr>
        <w:pStyle w:val="NumList"/>
        <w:numPr>
          <w:ilvl w:val="1"/>
          <w:numId w:val="9"/>
        </w:numPr>
      </w:pPr>
      <w:r w:rsidRPr="00E779CC">
        <w:t xml:space="preserve">To what extent is the STPP aligned with victim support principles under the </w:t>
      </w:r>
      <w:r w:rsidRPr="7C8F3A14">
        <w:rPr>
          <w:i/>
        </w:rPr>
        <w:t>National Action Plan to Combat Human Trafficking and Slavery 2020-25</w:t>
      </w:r>
      <w:r w:rsidRPr="00E779CC">
        <w:t>?</w:t>
      </w:r>
    </w:p>
    <w:p w14:paraId="510E34F4" w14:textId="2777AB44" w:rsidR="00E93FF6" w:rsidRDefault="00E93FF6" w:rsidP="007E0AFE">
      <w:pPr>
        <w:pStyle w:val="NumList"/>
        <w:numPr>
          <w:ilvl w:val="1"/>
          <w:numId w:val="9"/>
        </w:numPr>
      </w:pPr>
      <w:r w:rsidRPr="00E779CC">
        <w:t>To what extent is the STPP consistent with the international principles and evidence regarding support for people with experience of HTMS and international programs?</w:t>
      </w:r>
    </w:p>
    <w:p w14:paraId="56BFD116" w14:textId="14CBF8B0" w:rsidR="007229D7" w:rsidRDefault="007229D7" w:rsidP="007229D7">
      <w:pPr>
        <w:pStyle w:val="Caption"/>
      </w:pPr>
      <w:r>
        <w:t xml:space="preserve">Table </w:t>
      </w:r>
      <w:r>
        <w:fldChar w:fldCharType="begin"/>
      </w:r>
      <w:r>
        <w:instrText xml:space="preserve"> SEQ Table \* ARABIC </w:instrText>
      </w:r>
      <w:r>
        <w:fldChar w:fldCharType="separate"/>
      </w:r>
      <w:r w:rsidR="00D9323B">
        <w:rPr>
          <w:noProof/>
        </w:rPr>
        <w:t>68</w:t>
      </w:r>
      <w:r>
        <w:fldChar w:fldCharType="end"/>
      </w:r>
      <w:r>
        <w:t xml:space="preserve">. </w:t>
      </w:r>
      <w:r w:rsidR="006C2848">
        <w:t>KEQ sub-questions a</w:t>
      </w:r>
      <w:r w:rsidR="009E03B5">
        <w:t xml:space="preserve"> &amp; b: </w:t>
      </w:r>
      <w:r>
        <w:t>Indicators, measures and data sources</w:t>
      </w:r>
    </w:p>
    <w:tbl>
      <w:tblPr>
        <w:tblStyle w:val="WTTable2"/>
        <w:tblW w:w="5000" w:type="pct"/>
        <w:tblLook w:val="0420" w:firstRow="1" w:lastRow="0" w:firstColumn="0" w:lastColumn="0" w:noHBand="0" w:noVBand="1"/>
      </w:tblPr>
      <w:tblGrid>
        <w:gridCol w:w="3119"/>
        <w:gridCol w:w="1985"/>
        <w:gridCol w:w="2267"/>
        <w:gridCol w:w="3096"/>
      </w:tblGrid>
      <w:tr w:rsidR="001C43E9" w:rsidRPr="00347274" w14:paraId="12D0713B" w14:textId="77777777" w:rsidTr="00DE5303">
        <w:trPr>
          <w:cnfStyle w:val="100000000000" w:firstRow="1" w:lastRow="0" w:firstColumn="0" w:lastColumn="0" w:oddVBand="0" w:evenVBand="0" w:oddHBand="0" w:evenHBand="0" w:firstRowFirstColumn="0" w:firstRowLastColumn="0" w:lastRowFirstColumn="0" w:lastRowLastColumn="0"/>
          <w:trHeight w:val="224"/>
        </w:trPr>
        <w:tc>
          <w:tcPr>
            <w:tcW w:w="1490" w:type="pct"/>
          </w:tcPr>
          <w:p w14:paraId="3CDE276D" w14:textId="6B1A10F9" w:rsidR="00E93FF6" w:rsidRDefault="00E93FF6" w:rsidP="007E0AFE">
            <w:pPr>
              <w:pStyle w:val="Tableheadwhite"/>
            </w:pPr>
            <w:r>
              <w:t>Sub</w:t>
            </w:r>
            <w:r w:rsidR="2EFCC9CF">
              <w:t>-</w:t>
            </w:r>
            <w:r>
              <w:t>questions</w:t>
            </w:r>
          </w:p>
        </w:tc>
        <w:tc>
          <w:tcPr>
            <w:tcW w:w="948" w:type="pct"/>
            <w:hideMark/>
          </w:tcPr>
          <w:p w14:paraId="319B60E2" w14:textId="77777777" w:rsidR="00E93FF6" w:rsidRPr="00347274" w:rsidRDefault="00E93FF6" w:rsidP="007E0AFE">
            <w:pPr>
              <w:pStyle w:val="Tableheadwhite"/>
            </w:pPr>
            <w:r>
              <w:t xml:space="preserve">Indicators </w:t>
            </w:r>
          </w:p>
        </w:tc>
        <w:tc>
          <w:tcPr>
            <w:tcW w:w="1083" w:type="pct"/>
            <w:hideMark/>
          </w:tcPr>
          <w:p w14:paraId="30E0813D" w14:textId="77777777" w:rsidR="00E93FF6" w:rsidRPr="00347274" w:rsidRDefault="00E93FF6" w:rsidP="007E0AFE">
            <w:pPr>
              <w:pStyle w:val="Tableheadwhite"/>
            </w:pPr>
            <w:r w:rsidRPr="00347274">
              <w:t>Measure</w:t>
            </w:r>
          </w:p>
        </w:tc>
        <w:tc>
          <w:tcPr>
            <w:tcW w:w="1479" w:type="pct"/>
            <w:hideMark/>
          </w:tcPr>
          <w:p w14:paraId="2FCAD169" w14:textId="77777777" w:rsidR="00E93FF6" w:rsidRPr="00347274" w:rsidRDefault="00E93FF6" w:rsidP="007E0AFE">
            <w:pPr>
              <w:pStyle w:val="Tableheadwhite"/>
            </w:pPr>
            <w:r w:rsidRPr="00347274">
              <w:t>Data source</w:t>
            </w:r>
          </w:p>
        </w:tc>
      </w:tr>
      <w:tr w:rsidR="00E93FF6" w:rsidRPr="00347274" w14:paraId="5752AE3F" w14:textId="77777777" w:rsidTr="00DE5303">
        <w:trPr>
          <w:trHeight w:val="740"/>
        </w:trPr>
        <w:tc>
          <w:tcPr>
            <w:tcW w:w="1490" w:type="pct"/>
          </w:tcPr>
          <w:p w14:paraId="61948DDE" w14:textId="46CFBCD7" w:rsidR="00E93FF6" w:rsidRPr="001143C5" w:rsidRDefault="00E93FF6" w:rsidP="007E0AFE">
            <w:pPr>
              <w:pStyle w:val="TableText"/>
            </w:pPr>
            <w:r w:rsidRPr="001143C5">
              <w:t>3a</w:t>
            </w:r>
            <w:r w:rsidR="00DE5303">
              <w:t xml:space="preserve">. </w:t>
            </w:r>
            <w:r w:rsidR="00DE5303" w:rsidRPr="00DE5303">
              <w:t>To what extent is the STPP aligned with victim support principles under the National Action Plan to Combat Human Trafficking and Slavery 2020-25?</w:t>
            </w:r>
          </w:p>
        </w:tc>
        <w:tc>
          <w:tcPr>
            <w:tcW w:w="948" w:type="pct"/>
            <w:hideMark/>
          </w:tcPr>
          <w:p w14:paraId="1B1368A6" w14:textId="77777777" w:rsidR="00E93FF6" w:rsidRPr="00347274" w:rsidRDefault="00E93FF6" w:rsidP="007E0AFE">
            <w:pPr>
              <w:pStyle w:val="TableText"/>
            </w:pPr>
            <w:r w:rsidRPr="00347274">
              <w:t>STPP supports and services aligned with National Action Plan principles</w:t>
            </w:r>
          </w:p>
        </w:tc>
        <w:tc>
          <w:tcPr>
            <w:tcW w:w="1083" w:type="pct"/>
            <w:hideMark/>
          </w:tcPr>
          <w:p w14:paraId="52A26A77" w14:textId="29B4FA34" w:rsidR="00E93FF6" w:rsidRPr="00347274" w:rsidRDefault="00E93FF6" w:rsidP="007E0AFE">
            <w:pPr>
              <w:pStyle w:val="TableText"/>
            </w:pPr>
            <w:r w:rsidRPr="00347274">
              <w:t xml:space="preserve">Extent to which STPP is aligned to </w:t>
            </w:r>
            <w:r>
              <w:t xml:space="preserve">the nine principes outlined in the National Action Plan </w:t>
            </w:r>
          </w:p>
        </w:tc>
        <w:tc>
          <w:tcPr>
            <w:tcW w:w="1479" w:type="pct"/>
            <w:hideMark/>
          </w:tcPr>
          <w:p w14:paraId="3BDB3FFB" w14:textId="77777777" w:rsidR="00E93FF6" w:rsidRPr="00CB71B2" w:rsidRDefault="00E93FF6" w:rsidP="007E0AFE">
            <w:pPr>
              <w:pStyle w:val="Tabledot2"/>
            </w:pPr>
            <w:r w:rsidRPr="00CB71B2">
              <w:t xml:space="preserve">Stakeholder interviews with government, service providers and partners, and </w:t>
            </w:r>
            <w:r>
              <w:t>participants</w:t>
            </w:r>
          </w:p>
          <w:p w14:paraId="65325779" w14:textId="77777777" w:rsidR="00E93FF6" w:rsidRPr="00CB71B2" w:rsidRDefault="00E93FF6" w:rsidP="007E0AFE">
            <w:pPr>
              <w:pStyle w:val="Tabledot2"/>
            </w:pPr>
            <w:r w:rsidRPr="00CB71B2">
              <w:t xml:space="preserve">Review of service provider activity workplans, reports, and </w:t>
            </w:r>
            <w:r>
              <w:t>participant</w:t>
            </w:r>
            <w:r w:rsidRPr="00CB71B2">
              <w:t xml:space="preserve"> </w:t>
            </w:r>
            <w:r w:rsidRPr="00CB71B2">
              <w:lastRenderedPageBreak/>
              <w:t>referral and exit data</w:t>
            </w:r>
          </w:p>
        </w:tc>
      </w:tr>
      <w:tr w:rsidR="00E93FF6" w:rsidRPr="00347274" w14:paraId="5869ED12" w14:textId="77777777" w:rsidTr="00DE5303">
        <w:trPr>
          <w:trHeight w:val="477"/>
        </w:trPr>
        <w:tc>
          <w:tcPr>
            <w:tcW w:w="1490" w:type="pct"/>
          </w:tcPr>
          <w:p w14:paraId="19F3994E" w14:textId="3F266A8F" w:rsidR="00E93FF6" w:rsidRPr="001143C5" w:rsidRDefault="00E93FF6" w:rsidP="007E0AFE">
            <w:pPr>
              <w:pStyle w:val="TableText"/>
            </w:pPr>
            <w:r w:rsidRPr="001143C5">
              <w:lastRenderedPageBreak/>
              <w:t>3b</w:t>
            </w:r>
            <w:r w:rsidR="00DE5303">
              <w:t xml:space="preserve">. </w:t>
            </w:r>
            <w:r w:rsidR="00DE5303" w:rsidRPr="00DE5303">
              <w:t>To what extent is the STPP consistent with the international principles and evidence regarding support for people with experience of HTMS and international programs?</w:t>
            </w:r>
          </w:p>
        </w:tc>
        <w:tc>
          <w:tcPr>
            <w:tcW w:w="948" w:type="pct"/>
            <w:hideMark/>
          </w:tcPr>
          <w:p w14:paraId="314D06D3" w14:textId="77777777" w:rsidR="00E93FF6" w:rsidRPr="00347274" w:rsidRDefault="00E93FF6" w:rsidP="007E0AFE">
            <w:pPr>
              <w:pStyle w:val="TableText"/>
            </w:pPr>
            <w:r w:rsidRPr="00347274">
              <w:t xml:space="preserve">STPP supports and services consistent with international principles </w:t>
            </w:r>
          </w:p>
        </w:tc>
        <w:tc>
          <w:tcPr>
            <w:tcW w:w="1083" w:type="pct"/>
            <w:hideMark/>
          </w:tcPr>
          <w:p w14:paraId="730B9D0C" w14:textId="30642032" w:rsidR="00E93FF6" w:rsidRPr="00347274" w:rsidRDefault="00E93FF6" w:rsidP="007E0AFE">
            <w:pPr>
              <w:pStyle w:val="TableText"/>
            </w:pPr>
            <w:r w:rsidRPr="00347274">
              <w:t xml:space="preserve">Extent to which STPP is consistent with international principles and evidence regarding support for </w:t>
            </w:r>
            <w:r w:rsidR="006D5A5E">
              <w:t>people with HTMS experiences</w:t>
            </w:r>
            <w:r w:rsidRPr="00347274">
              <w:t xml:space="preserve"> of human trafficking and slavery</w:t>
            </w:r>
          </w:p>
        </w:tc>
        <w:tc>
          <w:tcPr>
            <w:tcW w:w="1479" w:type="pct"/>
          </w:tcPr>
          <w:p w14:paraId="1F94D1BE" w14:textId="77777777" w:rsidR="00E93FF6" w:rsidRPr="00CB71B2" w:rsidRDefault="00E93FF6" w:rsidP="007E0AFE">
            <w:pPr>
              <w:pStyle w:val="Tabledot2"/>
            </w:pPr>
            <w:r w:rsidRPr="00CB71B2">
              <w:t>Literature review</w:t>
            </w:r>
          </w:p>
          <w:p w14:paraId="2B3F2D95" w14:textId="77777777" w:rsidR="00E93FF6" w:rsidRPr="00CB71B2" w:rsidRDefault="00E93FF6" w:rsidP="007E0AFE">
            <w:pPr>
              <w:pStyle w:val="Tabledot2"/>
            </w:pPr>
            <w:r w:rsidRPr="00CB71B2">
              <w:t xml:space="preserve">Stakeholder interviews with government, service providers and partners, and </w:t>
            </w:r>
            <w:r>
              <w:t>participants</w:t>
            </w:r>
          </w:p>
          <w:p w14:paraId="31C47284" w14:textId="77777777" w:rsidR="00E93FF6" w:rsidRPr="00CB71B2" w:rsidRDefault="00E93FF6" w:rsidP="007E0AFE">
            <w:pPr>
              <w:pStyle w:val="Tabledot2"/>
            </w:pPr>
            <w:r w:rsidRPr="00CB71B2">
              <w:t xml:space="preserve">Review of service provider activity workplans, reports, and </w:t>
            </w:r>
            <w:r>
              <w:t>participant</w:t>
            </w:r>
            <w:r w:rsidRPr="00CB71B2">
              <w:t xml:space="preserve"> referral and exit data</w:t>
            </w:r>
          </w:p>
        </w:tc>
      </w:tr>
    </w:tbl>
    <w:p w14:paraId="35CB980B" w14:textId="49A8A73F" w:rsidR="003A2845" w:rsidRPr="006D6079" w:rsidRDefault="003A2845" w:rsidP="006D6079">
      <w:pPr>
        <w:pStyle w:val="Heading4"/>
        <w:rPr>
          <w:sz w:val="28"/>
          <w:szCs w:val="28"/>
        </w:rPr>
      </w:pPr>
      <w:bookmarkStart w:id="85" w:name="_Toc198367956"/>
      <w:r w:rsidRPr="006D6079">
        <w:rPr>
          <w:sz w:val="28"/>
          <w:szCs w:val="28"/>
        </w:rPr>
        <w:t xml:space="preserve">Evaluation framework – </w:t>
      </w:r>
      <w:bookmarkEnd w:id="85"/>
      <w:r w:rsidR="002470FD" w:rsidRPr="006D6079">
        <w:rPr>
          <w:sz w:val="28"/>
          <w:szCs w:val="28"/>
        </w:rPr>
        <w:t>Additional Referral Pathway</w:t>
      </w:r>
    </w:p>
    <w:p w14:paraId="5E94AFD1" w14:textId="77777777" w:rsidR="003A2845" w:rsidRPr="006D6079" w:rsidRDefault="003A2845" w:rsidP="006D6079">
      <w:pPr>
        <w:pStyle w:val="Heading5"/>
        <w:spacing w:before="40" w:after="0" w:line="240" w:lineRule="auto"/>
        <w:rPr>
          <w:sz w:val="24"/>
        </w:rPr>
      </w:pPr>
      <w:r w:rsidRPr="006D6079">
        <w:rPr>
          <w:sz w:val="24"/>
        </w:rPr>
        <w:t>Effectiveness (implementation) – KEQ, indicators, measures and data sources</w:t>
      </w:r>
    </w:p>
    <w:p w14:paraId="0929CC41" w14:textId="77777777" w:rsidR="003A2845" w:rsidRPr="006D6079" w:rsidRDefault="003A2845" w:rsidP="006D6079">
      <w:pPr>
        <w:pStyle w:val="Heading6"/>
        <w:rPr>
          <w:i/>
          <w:iCs/>
          <w:sz w:val="20"/>
          <w:szCs w:val="20"/>
        </w:rPr>
      </w:pPr>
      <w:r w:rsidRPr="006D6079">
        <w:rPr>
          <w:i/>
          <w:iCs/>
          <w:sz w:val="20"/>
          <w:szCs w:val="20"/>
        </w:rPr>
        <w:t>KEQs</w:t>
      </w:r>
    </w:p>
    <w:p w14:paraId="4ADB608C" w14:textId="77777777" w:rsidR="001143C5" w:rsidRDefault="003A2845" w:rsidP="007E0AFE">
      <w:r>
        <w:t>The KEQ for implementation effective</w:t>
      </w:r>
      <w:r w:rsidR="1171635D">
        <w:t>ness</w:t>
      </w:r>
      <w:r>
        <w:t xml:space="preserve"> for the ARP is:</w:t>
      </w:r>
    </w:p>
    <w:p w14:paraId="238D9F99" w14:textId="44C8A6C5" w:rsidR="003A2845" w:rsidRDefault="003A2845" w:rsidP="007E0AFE">
      <w:pPr>
        <w:pStyle w:val="NumList"/>
      </w:pPr>
      <w:r>
        <w:t>To what extent is the ARP achieving intended activities and outputs?</w:t>
      </w:r>
    </w:p>
    <w:p w14:paraId="6091A3F5" w14:textId="63BC4ABD" w:rsidR="004C70FE" w:rsidRPr="004C70FE" w:rsidRDefault="004C70FE" w:rsidP="007E0AFE">
      <w:r w:rsidRPr="004C70FE">
        <w:t>The sub-questions are:</w:t>
      </w:r>
    </w:p>
    <w:p w14:paraId="5E3B79ED" w14:textId="2EB95CB4" w:rsidR="003A2845" w:rsidRPr="002C34B2" w:rsidRDefault="003A2845" w:rsidP="007E0AFE">
      <w:pPr>
        <w:pStyle w:val="NumList"/>
        <w:numPr>
          <w:ilvl w:val="1"/>
          <w:numId w:val="9"/>
        </w:numPr>
      </w:pPr>
      <w:r w:rsidRPr="002C34B2">
        <w:t>To what extent are relevant organisations aware of the ARP and referring people likely to meet the eligibility criteria?</w:t>
      </w:r>
    </w:p>
    <w:p w14:paraId="2AC15722" w14:textId="2DBE7E35" w:rsidR="003A2845" w:rsidRPr="002C34B2" w:rsidRDefault="003A2845" w:rsidP="007E0AFE">
      <w:pPr>
        <w:pStyle w:val="NumList"/>
        <w:numPr>
          <w:ilvl w:val="1"/>
          <w:numId w:val="9"/>
        </w:numPr>
      </w:pPr>
      <w:r w:rsidRPr="002C34B2">
        <w:t>How effective is the STPP eligibility assessment process?</w:t>
      </w:r>
    </w:p>
    <w:p w14:paraId="4B91E289" w14:textId="5902C881" w:rsidR="00800604" w:rsidRDefault="003A2845" w:rsidP="00B12058">
      <w:pPr>
        <w:pStyle w:val="NumList"/>
        <w:numPr>
          <w:ilvl w:val="1"/>
          <w:numId w:val="9"/>
        </w:numPr>
      </w:pPr>
      <w:r w:rsidRPr="002C34B2">
        <w:t xml:space="preserve">How do the ARP processes address safety, security and visa status issues for </w:t>
      </w:r>
      <w:r w:rsidR="006D5A5E">
        <w:t>people with HTMS experiences</w:t>
      </w:r>
      <w:r w:rsidRPr="002C34B2">
        <w:t>?</w:t>
      </w:r>
    </w:p>
    <w:p w14:paraId="192C2CA5" w14:textId="5574E291" w:rsidR="007229D7" w:rsidRDefault="007229D7" w:rsidP="007229D7">
      <w:pPr>
        <w:pStyle w:val="Caption"/>
      </w:pPr>
      <w:r>
        <w:t xml:space="preserve">Table </w:t>
      </w:r>
      <w:r>
        <w:fldChar w:fldCharType="begin"/>
      </w:r>
      <w:r>
        <w:instrText xml:space="preserve"> SEQ Table \* ARABIC </w:instrText>
      </w:r>
      <w:r>
        <w:fldChar w:fldCharType="separate"/>
      </w:r>
      <w:r w:rsidR="00D9323B">
        <w:rPr>
          <w:noProof/>
        </w:rPr>
        <w:t>69</w:t>
      </w:r>
      <w:r>
        <w:fldChar w:fldCharType="end"/>
      </w:r>
      <w:r>
        <w:t>.</w:t>
      </w:r>
      <w:r w:rsidR="00BD71EC">
        <w:t xml:space="preserve"> KEQ </w:t>
      </w:r>
      <w:r w:rsidR="009E03B5">
        <w:t xml:space="preserve">sub-questions </w:t>
      </w:r>
      <w:r w:rsidR="00BD71EC">
        <w:t>a, b &amp; c</w:t>
      </w:r>
      <w:r w:rsidR="00847A3D">
        <w:t>:</w:t>
      </w:r>
      <w:r w:rsidR="00BD71EC">
        <w:t xml:space="preserve"> </w:t>
      </w:r>
      <w:r w:rsidR="00B12058">
        <w:t>indicators, measures and data sources</w:t>
      </w:r>
    </w:p>
    <w:tbl>
      <w:tblPr>
        <w:tblStyle w:val="WTTable2"/>
        <w:tblW w:w="0" w:type="auto"/>
        <w:tblLook w:val="0420" w:firstRow="1" w:lastRow="0" w:firstColumn="0" w:lastColumn="0" w:noHBand="0" w:noVBand="1"/>
      </w:tblPr>
      <w:tblGrid>
        <w:gridCol w:w="1911"/>
        <w:gridCol w:w="1911"/>
        <w:gridCol w:w="1912"/>
        <w:gridCol w:w="4733"/>
      </w:tblGrid>
      <w:tr w:rsidR="00800604" w14:paraId="72CE7E16" w14:textId="77777777" w:rsidTr="00B12058">
        <w:trPr>
          <w:cnfStyle w:val="100000000000" w:firstRow="1" w:lastRow="0" w:firstColumn="0" w:lastColumn="0" w:oddVBand="0" w:evenVBand="0" w:oddHBand="0" w:evenHBand="0" w:firstRowFirstColumn="0" w:firstRowLastColumn="0" w:lastRowFirstColumn="0" w:lastRowLastColumn="0"/>
        </w:trPr>
        <w:tc>
          <w:tcPr>
            <w:tcW w:w="2206" w:type="dxa"/>
          </w:tcPr>
          <w:p w14:paraId="16C34255" w14:textId="63CC4B0A" w:rsidR="00800604" w:rsidRPr="00A37092" w:rsidRDefault="00B81704" w:rsidP="007E0AFE">
            <w:pPr>
              <w:rPr>
                <w:sz w:val="18"/>
                <w:szCs w:val="18"/>
              </w:rPr>
            </w:pPr>
            <w:r w:rsidRPr="00B81704">
              <w:rPr>
                <w:b/>
                <w:bCs/>
                <w:color w:val="FFFFFF"/>
                <w:sz w:val="18"/>
                <w:szCs w:val="18"/>
              </w:rPr>
              <w:t>Sub-questions</w:t>
            </w:r>
          </w:p>
        </w:tc>
        <w:tc>
          <w:tcPr>
            <w:tcW w:w="2206" w:type="dxa"/>
          </w:tcPr>
          <w:p w14:paraId="5BD472BF" w14:textId="77777777" w:rsidR="00800604" w:rsidRPr="00A37092" w:rsidRDefault="00800604" w:rsidP="007E0AFE">
            <w:pPr>
              <w:rPr>
                <w:sz w:val="18"/>
                <w:szCs w:val="18"/>
              </w:rPr>
            </w:pPr>
            <w:r w:rsidRPr="00A37092">
              <w:rPr>
                <w:b/>
                <w:bCs/>
                <w:color w:val="FFFFFF"/>
                <w:sz w:val="18"/>
                <w:szCs w:val="18"/>
              </w:rPr>
              <w:t>Indicator</w:t>
            </w:r>
          </w:p>
        </w:tc>
        <w:tc>
          <w:tcPr>
            <w:tcW w:w="2207" w:type="dxa"/>
          </w:tcPr>
          <w:p w14:paraId="0042E840" w14:textId="77777777" w:rsidR="00800604" w:rsidRPr="00A37092" w:rsidRDefault="00800604" w:rsidP="007E0AFE">
            <w:pPr>
              <w:rPr>
                <w:sz w:val="18"/>
                <w:szCs w:val="18"/>
              </w:rPr>
            </w:pPr>
            <w:r w:rsidRPr="00A37092">
              <w:rPr>
                <w:b/>
                <w:bCs/>
                <w:color w:val="FFFFFF"/>
                <w:sz w:val="18"/>
                <w:szCs w:val="18"/>
              </w:rPr>
              <w:t>Measure</w:t>
            </w:r>
          </w:p>
        </w:tc>
        <w:tc>
          <w:tcPr>
            <w:tcW w:w="3848" w:type="dxa"/>
          </w:tcPr>
          <w:p w14:paraId="21D49114" w14:textId="77777777" w:rsidR="00800604" w:rsidRPr="00A37092" w:rsidRDefault="00800604" w:rsidP="007E0AFE">
            <w:pPr>
              <w:rPr>
                <w:sz w:val="18"/>
                <w:szCs w:val="18"/>
              </w:rPr>
            </w:pPr>
            <w:r w:rsidRPr="00A37092">
              <w:rPr>
                <w:b/>
                <w:bCs/>
                <w:color w:val="FFFFFF"/>
                <w:sz w:val="18"/>
                <w:szCs w:val="18"/>
              </w:rPr>
              <w:t>Data source</w:t>
            </w:r>
          </w:p>
        </w:tc>
      </w:tr>
      <w:tr w:rsidR="00800604" w14:paraId="0B10165C" w14:textId="77777777" w:rsidTr="00B12058">
        <w:trPr>
          <w:cantSplit/>
        </w:trPr>
        <w:tc>
          <w:tcPr>
            <w:tcW w:w="2206" w:type="dxa"/>
          </w:tcPr>
          <w:p w14:paraId="76C807B4" w14:textId="74E544A0" w:rsidR="00800604" w:rsidRPr="00EE6425" w:rsidRDefault="009B633C" w:rsidP="007E0AFE">
            <w:pPr>
              <w:spacing w:before="40" w:after="40"/>
              <w:rPr>
                <w:sz w:val="18"/>
                <w:szCs w:val="20"/>
              </w:rPr>
            </w:pPr>
            <w:r>
              <w:rPr>
                <w:sz w:val="18"/>
                <w:szCs w:val="20"/>
              </w:rPr>
              <w:t xml:space="preserve">4a. </w:t>
            </w:r>
            <w:r w:rsidR="00800604" w:rsidRPr="00EE6425">
              <w:rPr>
                <w:sz w:val="18"/>
                <w:szCs w:val="20"/>
              </w:rPr>
              <w:t>To what extent are relevant organisations aware of the ARP?</w:t>
            </w:r>
          </w:p>
        </w:tc>
        <w:tc>
          <w:tcPr>
            <w:tcW w:w="2206" w:type="dxa"/>
          </w:tcPr>
          <w:p w14:paraId="72DC6C04" w14:textId="77777777" w:rsidR="00800604" w:rsidRPr="00EE6425" w:rsidRDefault="00800604" w:rsidP="007E0AFE">
            <w:pPr>
              <w:spacing w:before="40" w:after="40"/>
              <w:rPr>
                <w:sz w:val="18"/>
                <w:szCs w:val="20"/>
              </w:rPr>
            </w:pPr>
            <w:r w:rsidRPr="00EE6425">
              <w:rPr>
                <w:sz w:val="18"/>
                <w:szCs w:val="20"/>
              </w:rPr>
              <w:t>Widespread awareness amongst potential referring organisations of the ARP.</w:t>
            </w:r>
          </w:p>
        </w:tc>
        <w:tc>
          <w:tcPr>
            <w:tcW w:w="2207" w:type="dxa"/>
          </w:tcPr>
          <w:p w14:paraId="0D28B763" w14:textId="77777777" w:rsidR="00800604" w:rsidRPr="00EE6425" w:rsidRDefault="00800604" w:rsidP="007E0AFE">
            <w:pPr>
              <w:spacing w:before="40" w:after="40"/>
              <w:rPr>
                <w:sz w:val="18"/>
                <w:szCs w:val="20"/>
              </w:rPr>
            </w:pPr>
            <w:r w:rsidRPr="00EE6425">
              <w:rPr>
                <w:sz w:val="18"/>
                <w:szCs w:val="20"/>
              </w:rPr>
              <w:t>Number of organisations aware of the ARP.</w:t>
            </w:r>
          </w:p>
        </w:tc>
        <w:tc>
          <w:tcPr>
            <w:tcW w:w="0" w:type="auto"/>
          </w:tcPr>
          <w:p w14:paraId="6E101406"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Survey or interviews with organisations</w:t>
            </w:r>
          </w:p>
          <w:p w14:paraId="79DD19D2"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ARP referral data</w:t>
            </w:r>
          </w:p>
          <w:p w14:paraId="32348001"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Stakeholder interviews with government, service providers and partners</w:t>
            </w:r>
          </w:p>
          <w:p w14:paraId="231F83CD"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Participant interviews</w:t>
            </w:r>
          </w:p>
        </w:tc>
      </w:tr>
      <w:tr w:rsidR="00800604" w14:paraId="71F36B2A" w14:textId="77777777" w:rsidTr="00B12058">
        <w:trPr>
          <w:cantSplit/>
        </w:trPr>
        <w:tc>
          <w:tcPr>
            <w:tcW w:w="2206" w:type="dxa"/>
          </w:tcPr>
          <w:p w14:paraId="03367475" w14:textId="37B8CDDB" w:rsidR="00800604" w:rsidRPr="00EE6425" w:rsidRDefault="009B633C" w:rsidP="007E0AFE">
            <w:pPr>
              <w:spacing w:before="40" w:after="40"/>
              <w:rPr>
                <w:sz w:val="18"/>
                <w:szCs w:val="20"/>
              </w:rPr>
            </w:pPr>
            <w:r>
              <w:rPr>
                <w:sz w:val="18"/>
                <w:szCs w:val="20"/>
              </w:rPr>
              <w:t xml:space="preserve">4a. </w:t>
            </w:r>
            <w:r w:rsidR="00800604" w:rsidRPr="00EE6425">
              <w:rPr>
                <w:sz w:val="18"/>
                <w:szCs w:val="20"/>
              </w:rPr>
              <w:t>To what extent are relevant organisations aware of the ARP?</w:t>
            </w:r>
          </w:p>
        </w:tc>
        <w:tc>
          <w:tcPr>
            <w:tcW w:w="2206" w:type="dxa"/>
          </w:tcPr>
          <w:p w14:paraId="5B1E6659" w14:textId="77777777" w:rsidR="00800604" w:rsidRPr="00EE6425" w:rsidRDefault="00800604" w:rsidP="007E0AFE">
            <w:pPr>
              <w:spacing w:before="40" w:after="40"/>
              <w:rPr>
                <w:sz w:val="18"/>
                <w:szCs w:val="20"/>
              </w:rPr>
            </w:pPr>
            <w:r w:rsidRPr="00EE6425">
              <w:rPr>
                <w:sz w:val="18"/>
                <w:szCs w:val="20"/>
              </w:rPr>
              <w:t>Widespread awareness amongst potential referring organisations of the ARP.</w:t>
            </w:r>
          </w:p>
        </w:tc>
        <w:tc>
          <w:tcPr>
            <w:tcW w:w="2207" w:type="dxa"/>
          </w:tcPr>
          <w:p w14:paraId="384946DE" w14:textId="77777777" w:rsidR="00800604" w:rsidRPr="00EE6425" w:rsidRDefault="00800604" w:rsidP="007E0AFE">
            <w:pPr>
              <w:spacing w:before="40" w:after="40"/>
              <w:rPr>
                <w:sz w:val="18"/>
                <w:szCs w:val="20"/>
              </w:rPr>
            </w:pPr>
            <w:r w:rsidRPr="00EE6425">
              <w:rPr>
                <w:sz w:val="18"/>
                <w:szCs w:val="20"/>
              </w:rPr>
              <w:t>Number of organisations referring clients to the ARP.</w:t>
            </w:r>
          </w:p>
        </w:tc>
        <w:tc>
          <w:tcPr>
            <w:tcW w:w="0" w:type="auto"/>
          </w:tcPr>
          <w:p w14:paraId="6E3077A8"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Survey or interviews with organisations</w:t>
            </w:r>
          </w:p>
          <w:p w14:paraId="546B4D09"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ARP referral data</w:t>
            </w:r>
          </w:p>
          <w:p w14:paraId="3377266A"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Stakeholder interviews with government, service providers and partners</w:t>
            </w:r>
          </w:p>
          <w:p w14:paraId="7D0989AB"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Participant interviews</w:t>
            </w:r>
          </w:p>
        </w:tc>
      </w:tr>
      <w:tr w:rsidR="00800604" w14:paraId="6EE8F6EE" w14:textId="77777777" w:rsidTr="00B12058">
        <w:trPr>
          <w:cantSplit/>
        </w:trPr>
        <w:tc>
          <w:tcPr>
            <w:tcW w:w="2206" w:type="dxa"/>
          </w:tcPr>
          <w:p w14:paraId="226328D0" w14:textId="175742A6" w:rsidR="00800604" w:rsidRPr="00EE6425" w:rsidRDefault="009B633C" w:rsidP="007E0AFE">
            <w:pPr>
              <w:spacing w:before="40" w:after="40"/>
              <w:rPr>
                <w:sz w:val="18"/>
                <w:szCs w:val="20"/>
              </w:rPr>
            </w:pPr>
            <w:r>
              <w:rPr>
                <w:sz w:val="18"/>
                <w:szCs w:val="20"/>
              </w:rPr>
              <w:t xml:space="preserve">4a. </w:t>
            </w:r>
            <w:r w:rsidR="00800604" w:rsidRPr="00EE6425">
              <w:rPr>
                <w:sz w:val="18"/>
                <w:szCs w:val="20"/>
              </w:rPr>
              <w:t>To what extent are relevant organisations aware of the ARP?</w:t>
            </w:r>
          </w:p>
        </w:tc>
        <w:tc>
          <w:tcPr>
            <w:tcW w:w="2206" w:type="dxa"/>
          </w:tcPr>
          <w:p w14:paraId="51218575" w14:textId="77777777" w:rsidR="00800604" w:rsidRPr="00EE6425" w:rsidRDefault="00800604" w:rsidP="007E0AFE">
            <w:pPr>
              <w:spacing w:before="40" w:after="40"/>
              <w:rPr>
                <w:sz w:val="18"/>
                <w:szCs w:val="20"/>
              </w:rPr>
            </w:pPr>
            <w:r w:rsidRPr="00EE6425">
              <w:rPr>
                <w:sz w:val="18"/>
                <w:szCs w:val="20"/>
              </w:rPr>
              <w:t>Widespread awareness amongst potential referring organisations of the ARP.</w:t>
            </w:r>
          </w:p>
        </w:tc>
        <w:tc>
          <w:tcPr>
            <w:tcW w:w="2207" w:type="dxa"/>
          </w:tcPr>
          <w:p w14:paraId="0E09C7CD" w14:textId="77777777" w:rsidR="00800604" w:rsidRPr="00EE6425" w:rsidRDefault="00800604" w:rsidP="007E0AFE">
            <w:pPr>
              <w:spacing w:before="40" w:after="40"/>
              <w:rPr>
                <w:sz w:val="18"/>
                <w:szCs w:val="20"/>
              </w:rPr>
            </w:pPr>
            <w:r w:rsidRPr="00EE6425">
              <w:rPr>
                <w:sz w:val="18"/>
                <w:szCs w:val="20"/>
              </w:rPr>
              <w:t>Appropriate number and type of referrals are made.</w:t>
            </w:r>
          </w:p>
        </w:tc>
        <w:tc>
          <w:tcPr>
            <w:tcW w:w="0" w:type="auto"/>
          </w:tcPr>
          <w:p w14:paraId="2842C556"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Survey or interviews with organisations</w:t>
            </w:r>
          </w:p>
          <w:p w14:paraId="2499411F"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ARP referral data</w:t>
            </w:r>
          </w:p>
          <w:p w14:paraId="266403AD"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Stakeholder interviews with government, service providers and partners</w:t>
            </w:r>
          </w:p>
          <w:p w14:paraId="65EDCD47"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Participant interviews</w:t>
            </w:r>
          </w:p>
        </w:tc>
      </w:tr>
      <w:tr w:rsidR="00800604" w14:paraId="3A614B80" w14:textId="77777777" w:rsidTr="00B12058">
        <w:trPr>
          <w:cantSplit/>
        </w:trPr>
        <w:tc>
          <w:tcPr>
            <w:tcW w:w="2206" w:type="dxa"/>
          </w:tcPr>
          <w:p w14:paraId="7A55F601" w14:textId="08579683" w:rsidR="00800604" w:rsidRPr="00EE6425" w:rsidRDefault="009B633C" w:rsidP="007E0AFE">
            <w:pPr>
              <w:spacing w:before="40" w:after="40"/>
              <w:rPr>
                <w:sz w:val="18"/>
                <w:szCs w:val="20"/>
              </w:rPr>
            </w:pPr>
            <w:r>
              <w:rPr>
                <w:sz w:val="18"/>
                <w:szCs w:val="20"/>
              </w:rPr>
              <w:t xml:space="preserve">4b. </w:t>
            </w:r>
            <w:r w:rsidR="00800604" w:rsidRPr="00EE6425">
              <w:rPr>
                <w:sz w:val="18"/>
                <w:szCs w:val="20"/>
              </w:rPr>
              <w:t>How effective is the ARP eligibility assessment process?</w:t>
            </w:r>
          </w:p>
        </w:tc>
        <w:tc>
          <w:tcPr>
            <w:tcW w:w="2206" w:type="dxa"/>
          </w:tcPr>
          <w:p w14:paraId="4ECB73C8" w14:textId="77777777" w:rsidR="00800604" w:rsidRPr="00EE6425" w:rsidRDefault="00800604" w:rsidP="007E0AFE">
            <w:pPr>
              <w:spacing w:before="40" w:after="40"/>
              <w:rPr>
                <w:sz w:val="18"/>
                <w:szCs w:val="20"/>
              </w:rPr>
            </w:pPr>
            <w:r w:rsidRPr="00EE6425">
              <w:rPr>
                <w:sz w:val="18"/>
                <w:szCs w:val="20"/>
              </w:rPr>
              <w:t>The ARP eligibility assessment process results in accurate referrals to STPP.</w:t>
            </w:r>
          </w:p>
        </w:tc>
        <w:tc>
          <w:tcPr>
            <w:tcW w:w="2207" w:type="dxa"/>
          </w:tcPr>
          <w:p w14:paraId="6E259D64" w14:textId="77777777" w:rsidR="00800604" w:rsidRPr="00EE6425" w:rsidRDefault="00800604" w:rsidP="007E0AFE">
            <w:pPr>
              <w:spacing w:before="40" w:after="40"/>
              <w:rPr>
                <w:sz w:val="18"/>
                <w:szCs w:val="20"/>
              </w:rPr>
            </w:pPr>
            <w:r w:rsidRPr="00EE6425">
              <w:rPr>
                <w:sz w:val="18"/>
                <w:szCs w:val="20"/>
              </w:rPr>
              <w:t>Proportion of referrals that meet eligibility criteria.</w:t>
            </w:r>
          </w:p>
        </w:tc>
        <w:tc>
          <w:tcPr>
            <w:tcW w:w="0" w:type="auto"/>
          </w:tcPr>
          <w:p w14:paraId="3413E816"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ARP participant referral assessment data</w:t>
            </w:r>
          </w:p>
          <w:p w14:paraId="7ABB570D"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Stakeholder interviews with government, service providers and partners</w:t>
            </w:r>
          </w:p>
          <w:p w14:paraId="00077D5F"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Participant interviews</w:t>
            </w:r>
          </w:p>
        </w:tc>
      </w:tr>
      <w:tr w:rsidR="00800604" w14:paraId="51D6F1DD" w14:textId="77777777" w:rsidTr="00B12058">
        <w:trPr>
          <w:cantSplit/>
        </w:trPr>
        <w:tc>
          <w:tcPr>
            <w:tcW w:w="2206" w:type="dxa"/>
          </w:tcPr>
          <w:p w14:paraId="419A4ADD" w14:textId="4603B783" w:rsidR="00800604" w:rsidRPr="00EE6425" w:rsidRDefault="009B633C" w:rsidP="007E0AFE">
            <w:pPr>
              <w:spacing w:before="40" w:after="40"/>
              <w:rPr>
                <w:sz w:val="18"/>
                <w:szCs w:val="20"/>
              </w:rPr>
            </w:pPr>
            <w:r>
              <w:rPr>
                <w:sz w:val="18"/>
                <w:szCs w:val="20"/>
              </w:rPr>
              <w:lastRenderedPageBreak/>
              <w:t xml:space="preserve">4b. </w:t>
            </w:r>
            <w:r w:rsidR="00800604" w:rsidRPr="00EE6425">
              <w:rPr>
                <w:sz w:val="18"/>
                <w:szCs w:val="20"/>
              </w:rPr>
              <w:t>How effective is the ARP eligibility assessment process?</w:t>
            </w:r>
          </w:p>
        </w:tc>
        <w:tc>
          <w:tcPr>
            <w:tcW w:w="2206" w:type="dxa"/>
          </w:tcPr>
          <w:p w14:paraId="5736CDD6" w14:textId="77777777" w:rsidR="00800604" w:rsidRPr="00EE6425" w:rsidRDefault="00800604" w:rsidP="007E0AFE">
            <w:pPr>
              <w:spacing w:before="40" w:after="40"/>
              <w:rPr>
                <w:sz w:val="18"/>
                <w:szCs w:val="20"/>
              </w:rPr>
            </w:pPr>
            <w:r w:rsidRPr="00EE6425">
              <w:rPr>
                <w:sz w:val="18"/>
                <w:szCs w:val="20"/>
              </w:rPr>
              <w:t>The ARP eligibility process supports a good access experience.</w:t>
            </w:r>
          </w:p>
        </w:tc>
        <w:tc>
          <w:tcPr>
            <w:tcW w:w="2207" w:type="dxa"/>
          </w:tcPr>
          <w:p w14:paraId="6C836481" w14:textId="77777777" w:rsidR="00800604" w:rsidRPr="00EE6425" w:rsidRDefault="00800604" w:rsidP="007E0AFE">
            <w:pPr>
              <w:spacing w:before="40" w:after="40"/>
              <w:rPr>
                <w:sz w:val="18"/>
                <w:szCs w:val="20"/>
              </w:rPr>
            </w:pPr>
            <w:r w:rsidRPr="00EE6425">
              <w:rPr>
                <w:sz w:val="18"/>
                <w:szCs w:val="20"/>
              </w:rPr>
              <w:t>Extent to which positive experience is reported with the eligibility assessment process.</w:t>
            </w:r>
          </w:p>
        </w:tc>
        <w:tc>
          <w:tcPr>
            <w:tcW w:w="0" w:type="auto"/>
          </w:tcPr>
          <w:p w14:paraId="07B399EF"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ARP participant referral assessment data</w:t>
            </w:r>
          </w:p>
          <w:p w14:paraId="10251D0D"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Stakeholder interviews with government, service providers and partners</w:t>
            </w:r>
          </w:p>
          <w:p w14:paraId="7AD82A2D"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Participant interviews</w:t>
            </w:r>
          </w:p>
        </w:tc>
      </w:tr>
      <w:tr w:rsidR="00800604" w14:paraId="0C08CABA" w14:textId="77777777" w:rsidTr="00B12058">
        <w:trPr>
          <w:cantSplit/>
        </w:trPr>
        <w:tc>
          <w:tcPr>
            <w:tcW w:w="2206" w:type="dxa"/>
          </w:tcPr>
          <w:p w14:paraId="3E098C51" w14:textId="01D941B7" w:rsidR="00800604" w:rsidRPr="00EE6425" w:rsidRDefault="009B633C" w:rsidP="007E0AFE">
            <w:pPr>
              <w:spacing w:before="40" w:after="40"/>
              <w:rPr>
                <w:sz w:val="18"/>
                <w:szCs w:val="20"/>
              </w:rPr>
            </w:pPr>
            <w:r>
              <w:rPr>
                <w:sz w:val="18"/>
                <w:szCs w:val="20"/>
              </w:rPr>
              <w:t xml:space="preserve">4c. </w:t>
            </w:r>
            <w:r w:rsidR="00800604" w:rsidRPr="00EE6425">
              <w:rPr>
                <w:sz w:val="18"/>
                <w:szCs w:val="20"/>
              </w:rPr>
              <w:t>How do the ARP processes address safety, security and visa status issues for people with HTMS experiences?</w:t>
            </w:r>
          </w:p>
        </w:tc>
        <w:tc>
          <w:tcPr>
            <w:tcW w:w="2206" w:type="dxa"/>
          </w:tcPr>
          <w:p w14:paraId="0F58E1E3" w14:textId="77777777" w:rsidR="00800604" w:rsidRPr="00EE6425" w:rsidRDefault="00800604" w:rsidP="007E0AFE">
            <w:pPr>
              <w:spacing w:before="40" w:after="40"/>
              <w:rPr>
                <w:sz w:val="18"/>
                <w:szCs w:val="20"/>
              </w:rPr>
            </w:pPr>
            <w:r w:rsidRPr="00EE6425">
              <w:rPr>
                <w:sz w:val="18"/>
                <w:szCs w:val="20"/>
              </w:rPr>
              <w:t>The ARP eligibility assessment process results in accurate referrals to STPP.</w:t>
            </w:r>
          </w:p>
        </w:tc>
        <w:tc>
          <w:tcPr>
            <w:tcW w:w="2207" w:type="dxa"/>
          </w:tcPr>
          <w:p w14:paraId="5FDE6880" w14:textId="77777777" w:rsidR="00800604" w:rsidRPr="00EE6425" w:rsidRDefault="00800604" w:rsidP="007E0AFE">
            <w:pPr>
              <w:spacing w:before="40" w:after="40"/>
              <w:rPr>
                <w:sz w:val="18"/>
                <w:szCs w:val="20"/>
              </w:rPr>
            </w:pPr>
            <w:r w:rsidRPr="00EE6425">
              <w:rPr>
                <w:sz w:val="18"/>
                <w:szCs w:val="20"/>
              </w:rPr>
              <w:t>Extent to which barriers relating to safety, security and visa status are reported.</w:t>
            </w:r>
          </w:p>
        </w:tc>
        <w:tc>
          <w:tcPr>
            <w:tcW w:w="0" w:type="auto"/>
          </w:tcPr>
          <w:p w14:paraId="725BE8B0"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Participant interviews</w:t>
            </w:r>
          </w:p>
          <w:p w14:paraId="4AFAA13F"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Stakeholder interviews with providers</w:t>
            </w:r>
          </w:p>
        </w:tc>
      </w:tr>
      <w:tr w:rsidR="00800604" w14:paraId="31D5AF97" w14:textId="77777777" w:rsidTr="00B12058">
        <w:trPr>
          <w:cantSplit/>
        </w:trPr>
        <w:tc>
          <w:tcPr>
            <w:tcW w:w="2206" w:type="dxa"/>
          </w:tcPr>
          <w:p w14:paraId="4855F712" w14:textId="1FDB42EE" w:rsidR="00800604" w:rsidRPr="00EE6425" w:rsidRDefault="009B633C" w:rsidP="007E0AFE">
            <w:pPr>
              <w:spacing w:before="40" w:after="40"/>
              <w:rPr>
                <w:sz w:val="18"/>
                <w:szCs w:val="20"/>
              </w:rPr>
            </w:pPr>
            <w:r>
              <w:rPr>
                <w:sz w:val="18"/>
                <w:szCs w:val="20"/>
              </w:rPr>
              <w:t xml:space="preserve">4c. </w:t>
            </w:r>
            <w:r w:rsidR="00800604" w:rsidRPr="00EE6425">
              <w:rPr>
                <w:sz w:val="18"/>
                <w:szCs w:val="20"/>
              </w:rPr>
              <w:t>How do the ARP processes address safety, security and visa status issues for people with HTMS experiences?</w:t>
            </w:r>
          </w:p>
        </w:tc>
        <w:tc>
          <w:tcPr>
            <w:tcW w:w="2206" w:type="dxa"/>
          </w:tcPr>
          <w:p w14:paraId="24F43B8B" w14:textId="77777777" w:rsidR="00800604" w:rsidRPr="00EE6425" w:rsidRDefault="00800604" w:rsidP="007E0AFE">
            <w:pPr>
              <w:spacing w:before="40" w:after="40"/>
              <w:rPr>
                <w:sz w:val="18"/>
                <w:szCs w:val="20"/>
              </w:rPr>
            </w:pPr>
            <w:r w:rsidRPr="00EE6425">
              <w:rPr>
                <w:sz w:val="18"/>
                <w:szCs w:val="20"/>
              </w:rPr>
              <w:t>The ARP eligibility process supports a good access experience.</w:t>
            </w:r>
          </w:p>
        </w:tc>
        <w:tc>
          <w:tcPr>
            <w:tcW w:w="2207" w:type="dxa"/>
          </w:tcPr>
          <w:p w14:paraId="489CFA58" w14:textId="77777777" w:rsidR="00800604" w:rsidRPr="00EE6425" w:rsidRDefault="00800604" w:rsidP="007E0AFE">
            <w:pPr>
              <w:spacing w:before="40" w:after="40"/>
              <w:rPr>
                <w:sz w:val="18"/>
                <w:szCs w:val="20"/>
              </w:rPr>
            </w:pPr>
            <w:r w:rsidRPr="00EE6425">
              <w:rPr>
                <w:sz w:val="18"/>
                <w:szCs w:val="20"/>
              </w:rPr>
              <w:t>Extent to which barriers relating to safety, security and visa status are reported.</w:t>
            </w:r>
          </w:p>
        </w:tc>
        <w:tc>
          <w:tcPr>
            <w:tcW w:w="0" w:type="auto"/>
          </w:tcPr>
          <w:p w14:paraId="493CDA4F"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Participant interviews</w:t>
            </w:r>
          </w:p>
          <w:p w14:paraId="3E8FE875" w14:textId="77777777" w:rsidR="00800604" w:rsidRPr="00EE6425" w:rsidRDefault="00800604" w:rsidP="007E0AFE">
            <w:pPr>
              <w:pStyle w:val="ListParagraph"/>
              <w:numPr>
                <w:ilvl w:val="0"/>
                <w:numId w:val="17"/>
              </w:numPr>
              <w:spacing w:before="40" w:after="40"/>
              <w:contextualSpacing w:val="0"/>
              <w:rPr>
                <w:sz w:val="18"/>
                <w:szCs w:val="20"/>
              </w:rPr>
            </w:pPr>
            <w:r w:rsidRPr="00EE6425">
              <w:rPr>
                <w:sz w:val="18"/>
                <w:szCs w:val="20"/>
              </w:rPr>
              <w:t>Stakeholder interviews with providers</w:t>
            </w:r>
          </w:p>
        </w:tc>
      </w:tr>
    </w:tbl>
    <w:p w14:paraId="536819B7" w14:textId="77777777" w:rsidR="003A2845" w:rsidRPr="006313EB" w:rsidRDefault="003A2845" w:rsidP="006313EB">
      <w:pPr>
        <w:pStyle w:val="Heading5"/>
        <w:spacing w:before="40" w:after="0" w:line="240" w:lineRule="auto"/>
        <w:rPr>
          <w:sz w:val="24"/>
        </w:rPr>
      </w:pPr>
      <w:r w:rsidRPr="006313EB">
        <w:rPr>
          <w:sz w:val="24"/>
        </w:rPr>
        <w:t>Effectiveness (Outcomes) – KEQ, indicators, measures and data sources</w:t>
      </w:r>
    </w:p>
    <w:p w14:paraId="5BAF5699" w14:textId="77777777" w:rsidR="003A2845" w:rsidRPr="006313EB" w:rsidRDefault="003A2845" w:rsidP="006313EB">
      <w:pPr>
        <w:pStyle w:val="Heading6"/>
        <w:rPr>
          <w:i/>
          <w:iCs/>
          <w:sz w:val="20"/>
          <w:szCs w:val="20"/>
        </w:rPr>
      </w:pPr>
      <w:r w:rsidRPr="006313EB">
        <w:rPr>
          <w:i/>
          <w:iCs/>
          <w:sz w:val="20"/>
          <w:szCs w:val="20"/>
        </w:rPr>
        <w:t>KEQs</w:t>
      </w:r>
    </w:p>
    <w:p w14:paraId="4CAE250D" w14:textId="77777777" w:rsidR="004C70FE" w:rsidRDefault="003A2845" w:rsidP="007E0AFE">
      <w:r>
        <w:t>The KEQ for the ARP effectiveness (outcomes) is:</w:t>
      </w:r>
    </w:p>
    <w:p w14:paraId="709A129B" w14:textId="59F40DB0" w:rsidR="003A2845" w:rsidRDefault="003A2845" w:rsidP="007E0AFE">
      <w:pPr>
        <w:pStyle w:val="NumList"/>
      </w:pPr>
      <w:r w:rsidRPr="009873C4">
        <w:t>To what extent is the ARP achieving outcomes for victim survivors?</w:t>
      </w:r>
    </w:p>
    <w:p w14:paraId="2C6EE558" w14:textId="4C1943A0" w:rsidR="004C70FE" w:rsidRPr="004C70FE" w:rsidRDefault="004C70FE" w:rsidP="007E0AFE">
      <w:r w:rsidRPr="004C70FE">
        <w:t>The sub-question</w:t>
      </w:r>
      <w:r>
        <w:t xml:space="preserve"> is</w:t>
      </w:r>
      <w:r w:rsidRPr="004C70FE">
        <w:t>:</w:t>
      </w:r>
    </w:p>
    <w:p w14:paraId="2BBF6F20" w14:textId="6AC6CF7E" w:rsidR="00F90996" w:rsidRDefault="003A2845" w:rsidP="00847A3D">
      <w:pPr>
        <w:pStyle w:val="NumList"/>
        <w:numPr>
          <w:ilvl w:val="1"/>
          <w:numId w:val="9"/>
        </w:numPr>
      </w:pPr>
      <w:r>
        <w:t>Could the</w:t>
      </w:r>
      <w:r w:rsidRPr="009F1A11">
        <w:t xml:space="preserve"> service delivery model could be improved to deliver better outcomes for </w:t>
      </w:r>
      <w:r w:rsidR="006D5A5E">
        <w:t>people with HTMS experiences</w:t>
      </w:r>
      <w:r w:rsidR="640977C6">
        <w:t>?</w:t>
      </w:r>
    </w:p>
    <w:p w14:paraId="6C89D039" w14:textId="770B6335" w:rsidR="007229D7" w:rsidRDefault="007229D7" w:rsidP="007229D7">
      <w:pPr>
        <w:pStyle w:val="Caption"/>
      </w:pPr>
      <w:r>
        <w:t xml:space="preserve">Table </w:t>
      </w:r>
      <w:r>
        <w:fldChar w:fldCharType="begin"/>
      </w:r>
      <w:r>
        <w:instrText xml:space="preserve"> SEQ Table \* ARABIC </w:instrText>
      </w:r>
      <w:r>
        <w:fldChar w:fldCharType="separate"/>
      </w:r>
      <w:r w:rsidR="00D9323B">
        <w:rPr>
          <w:noProof/>
        </w:rPr>
        <w:t>70</w:t>
      </w:r>
      <w:r>
        <w:fldChar w:fldCharType="end"/>
      </w:r>
      <w:r>
        <w:t>.</w:t>
      </w:r>
      <w:r w:rsidR="008B2025">
        <w:t xml:space="preserve"> Short-term </w:t>
      </w:r>
      <w:r w:rsidR="005C55DC">
        <w:t xml:space="preserve">example </w:t>
      </w:r>
      <w:r w:rsidR="008B2025">
        <w:t xml:space="preserve">outcomes (1 of </w:t>
      </w:r>
      <w:r w:rsidR="00A4240B">
        <w:t xml:space="preserve">3): </w:t>
      </w:r>
      <w:r w:rsidR="00A4240B" w:rsidRPr="00A4240B">
        <w:t>People with HTMS experiences are informed of and understand their rights and support options</w:t>
      </w:r>
    </w:p>
    <w:tbl>
      <w:tblPr>
        <w:tblStyle w:val="WTTable2"/>
        <w:tblW w:w="0" w:type="auto"/>
        <w:tblLook w:val="0420" w:firstRow="1" w:lastRow="0" w:firstColumn="0" w:lastColumn="0" w:noHBand="0" w:noVBand="1"/>
      </w:tblPr>
      <w:tblGrid>
        <w:gridCol w:w="3489"/>
        <w:gridCol w:w="3489"/>
        <w:gridCol w:w="3489"/>
      </w:tblGrid>
      <w:tr w:rsidR="005C55DC" w14:paraId="3E9945D6" w14:textId="77777777" w:rsidTr="00847A3D">
        <w:trPr>
          <w:cnfStyle w:val="100000000000" w:firstRow="1" w:lastRow="0" w:firstColumn="0" w:lastColumn="0" w:oddVBand="0" w:evenVBand="0" w:oddHBand="0" w:evenHBand="0" w:firstRowFirstColumn="0" w:firstRowLastColumn="0" w:lastRowFirstColumn="0" w:lastRowLastColumn="0"/>
        </w:trPr>
        <w:tc>
          <w:tcPr>
            <w:tcW w:w="3489" w:type="dxa"/>
          </w:tcPr>
          <w:p w14:paraId="2121C52C" w14:textId="77777777" w:rsidR="005C55DC" w:rsidRPr="00EE6425" w:rsidRDefault="005C55DC" w:rsidP="00AD7761">
            <w:pPr>
              <w:rPr>
                <w:sz w:val="18"/>
                <w:szCs w:val="18"/>
              </w:rPr>
            </w:pPr>
            <w:r w:rsidRPr="00EE6425">
              <w:rPr>
                <w:b/>
                <w:bCs/>
                <w:color w:val="FFFFFF"/>
                <w:sz w:val="18"/>
                <w:szCs w:val="18"/>
              </w:rPr>
              <w:t>Indicator</w:t>
            </w:r>
          </w:p>
        </w:tc>
        <w:tc>
          <w:tcPr>
            <w:tcW w:w="3489" w:type="dxa"/>
          </w:tcPr>
          <w:p w14:paraId="2795E05C" w14:textId="77777777" w:rsidR="005C55DC" w:rsidRPr="00EE6425" w:rsidRDefault="005C55DC" w:rsidP="00AD7761">
            <w:pPr>
              <w:rPr>
                <w:sz w:val="18"/>
                <w:szCs w:val="18"/>
              </w:rPr>
            </w:pPr>
            <w:r w:rsidRPr="00EE6425">
              <w:rPr>
                <w:b/>
                <w:bCs/>
                <w:color w:val="FFFFFF"/>
                <w:sz w:val="18"/>
                <w:szCs w:val="18"/>
              </w:rPr>
              <w:t>Measure</w:t>
            </w:r>
          </w:p>
        </w:tc>
        <w:tc>
          <w:tcPr>
            <w:tcW w:w="3489" w:type="dxa"/>
          </w:tcPr>
          <w:p w14:paraId="3BCCE5D1" w14:textId="77777777" w:rsidR="005C55DC" w:rsidRPr="00EE6425" w:rsidRDefault="005C55DC" w:rsidP="00AD7761">
            <w:pPr>
              <w:rPr>
                <w:sz w:val="18"/>
                <w:szCs w:val="18"/>
              </w:rPr>
            </w:pPr>
            <w:r w:rsidRPr="00EE6425">
              <w:rPr>
                <w:b/>
                <w:bCs/>
                <w:color w:val="FFFFFF"/>
                <w:sz w:val="18"/>
                <w:szCs w:val="18"/>
              </w:rPr>
              <w:t>Data source</w:t>
            </w:r>
          </w:p>
        </w:tc>
      </w:tr>
      <w:tr w:rsidR="005C55DC" w14:paraId="1D1E7C4B" w14:textId="77777777" w:rsidTr="00847A3D">
        <w:trPr>
          <w:cantSplit/>
        </w:trPr>
        <w:tc>
          <w:tcPr>
            <w:tcW w:w="3489" w:type="dxa"/>
          </w:tcPr>
          <w:p w14:paraId="5E1A77F3" w14:textId="1B9524A4" w:rsidR="005C55DC" w:rsidRPr="000501D3" w:rsidRDefault="005C55DC" w:rsidP="005C55DC">
            <w:pPr>
              <w:rPr>
                <w:sz w:val="18"/>
                <w:szCs w:val="20"/>
              </w:rPr>
            </w:pPr>
            <w:r w:rsidRPr="000501D3">
              <w:rPr>
                <w:sz w:val="18"/>
                <w:szCs w:val="20"/>
              </w:rPr>
              <w:t>Increase in participants who understand their rights and support options.</w:t>
            </w:r>
          </w:p>
        </w:tc>
        <w:tc>
          <w:tcPr>
            <w:tcW w:w="3489" w:type="dxa"/>
          </w:tcPr>
          <w:p w14:paraId="38788CD4" w14:textId="77777777" w:rsidR="005C55DC" w:rsidRPr="00EE6425" w:rsidRDefault="005C55DC" w:rsidP="00AD7761">
            <w:pPr>
              <w:spacing w:before="40" w:after="40"/>
              <w:rPr>
                <w:sz w:val="18"/>
                <w:szCs w:val="18"/>
              </w:rPr>
            </w:pPr>
            <w:r w:rsidRPr="00EE6425">
              <w:rPr>
                <w:sz w:val="18"/>
                <w:szCs w:val="18"/>
              </w:rPr>
              <w:t>Extent to which participants report they understand their rights.</w:t>
            </w:r>
          </w:p>
        </w:tc>
        <w:tc>
          <w:tcPr>
            <w:tcW w:w="3489" w:type="dxa"/>
          </w:tcPr>
          <w:p w14:paraId="03BF7BE8" w14:textId="77777777" w:rsidR="005C55DC" w:rsidRPr="00EE6425" w:rsidRDefault="005C55DC" w:rsidP="000501D3">
            <w:pPr>
              <w:pStyle w:val="Tabledot2"/>
            </w:pPr>
            <w:r w:rsidRPr="00EE6425">
              <w:t>Stakeholder interviews and surveys with participants, service providers and partners</w:t>
            </w:r>
          </w:p>
          <w:p w14:paraId="6401336B" w14:textId="77777777" w:rsidR="005C55DC" w:rsidRPr="00EE6425" w:rsidRDefault="005C55DC" w:rsidP="000501D3">
            <w:pPr>
              <w:pStyle w:val="Tabledot2"/>
            </w:pPr>
            <w:r w:rsidRPr="00EE6425">
              <w:t>ARP referral and activity data</w:t>
            </w:r>
          </w:p>
        </w:tc>
      </w:tr>
      <w:tr w:rsidR="005C55DC" w14:paraId="69576152" w14:textId="77777777" w:rsidTr="00847A3D">
        <w:trPr>
          <w:cantSplit/>
        </w:trPr>
        <w:tc>
          <w:tcPr>
            <w:tcW w:w="3489" w:type="dxa"/>
          </w:tcPr>
          <w:p w14:paraId="67C17FA8" w14:textId="77777777" w:rsidR="005C55DC" w:rsidRPr="000501D3" w:rsidRDefault="005C55DC" w:rsidP="005C55DC">
            <w:pPr>
              <w:rPr>
                <w:sz w:val="18"/>
                <w:szCs w:val="20"/>
              </w:rPr>
            </w:pPr>
            <w:r w:rsidRPr="000501D3">
              <w:rPr>
                <w:sz w:val="18"/>
                <w:szCs w:val="20"/>
              </w:rPr>
              <w:t>Increase in participants who understand their rights and support options.</w:t>
            </w:r>
          </w:p>
        </w:tc>
        <w:tc>
          <w:tcPr>
            <w:tcW w:w="3489" w:type="dxa"/>
          </w:tcPr>
          <w:p w14:paraId="054B2E72" w14:textId="77777777" w:rsidR="005C55DC" w:rsidRPr="00EE6425" w:rsidRDefault="005C55DC" w:rsidP="00AD7761">
            <w:pPr>
              <w:spacing w:before="40" w:after="40"/>
              <w:rPr>
                <w:sz w:val="18"/>
                <w:szCs w:val="18"/>
              </w:rPr>
            </w:pPr>
            <w:r w:rsidRPr="00EE6425">
              <w:rPr>
                <w:sz w:val="18"/>
                <w:szCs w:val="18"/>
              </w:rPr>
              <w:t>Reported enablers and barriers to understanding rights and support options.</w:t>
            </w:r>
          </w:p>
        </w:tc>
        <w:tc>
          <w:tcPr>
            <w:tcW w:w="3489" w:type="dxa"/>
          </w:tcPr>
          <w:p w14:paraId="304179CC" w14:textId="77777777" w:rsidR="005C55DC" w:rsidRPr="00EE6425" w:rsidRDefault="005C55DC" w:rsidP="000501D3">
            <w:pPr>
              <w:pStyle w:val="Tabledot2"/>
            </w:pPr>
            <w:r w:rsidRPr="00EE6425">
              <w:t>Stakeholder interviews and surveys with participants, service providers and partners</w:t>
            </w:r>
          </w:p>
          <w:p w14:paraId="5AEA4B4B" w14:textId="77777777" w:rsidR="005C55DC" w:rsidRPr="00EE6425" w:rsidRDefault="005C55DC" w:rsidP="000501D3">
            <w:pPr>
              <w:pStyle w:val="Tabledot2"/>
            </w:pPr>
            <w:r w:rsidRPr="00EE6425">
              <w:t>ARP referral and activity data</w:t>
            </w:r>
          </w:p>
        </w:tc>
      </w:tr>
      <w:tr w:rsidR="005C55DC" w14:paraId="4AE2E790" w14:textId="77777777" w:rsidTr="00847A3D">
        <w:trPr>
          <w:cantSplit/>
        </w:trPr>
        <w:tc>
          <w:tcPr>
            <w:tcW w:w="3489" w:type="dxa"/>
          </w:tcPr>
          <w:p w14:paraId="4BA16DBF" w14:textId="77777777" w:rsidR="005C55DC" w:rsidRPr="000501D3" w:rsidRDefault="005C55DC" w:rsidP="005C55DC">
            <w:pPr>
              <w:rPr>
                <w:sz w:val="18"/>
                <w:szCs w:val="20"/>
              </w:rPr>
            </w:pPr>
            <w:r w:rsidRPr="000501D3">
              <w:rPr>
                <w:sz w:val="18"/>
                <w:szCs w:val="20"/>
              </w:rPr>
              <w:t>Increase in participants who understand their rights and support options.</w:t>
            </w:r>
          </w:p>
        </w:tc>
        <w:tc>
          <w:tcPr>
            <w:tcW w:w="3489" w:type="dxa"/>
          </w:tcPr>
          <w:p w14:paraId="0AFC1873" w14:textId="77777777" w:rsidR="005C55DC" w:rsidRPr="00EE6425" w:rsidRDefault="005C55DC" w:rsidP="00AD7761">
            <w:pPr>
              <w:spacing w:before="40" w:after="40"/>
              <w:rPr>
                <w:sz w:val="18"/>
                <w:szCs w:val="18"/>
              </w:rPr>
            </w:pPr>
            <w:r w:rsidRPr="00EE6425">
              <w:rPr>
                <w:sz w:val="18"/>
                <w:szCs w:val="18"/>
              </w:rPr>
              <w:t>Identified areas for improvement or modification.</w:t>
            </w:r>
          </w:p>
        </w:tc>
        <w:tc>
          <w:tcPr>
            <w:tcW w:w="3489" w:type="dxa"/>
          </w:tcPr>
          <w:p w14:paraId="0442A203" w14:textId="77777777" w:rsidR="005C55DC" w:rsidRPr="00EE6425" w:rsidRDefault="005C55DC" w:rsidP="000501D3">
            <w:pPr>
              <w:pStyle w:val="Tabledot2"/>
            </w:pPr>
            <w:r w:rsidRPr="00EE6425">
              <w:t>Stakeholder interviews and surveys with participants, service providers and partners</w:t>
            </w:r>
          </w:p>
          <w:p w14:paraId="0B4E0357" w14:textId="77777777" w:rsidR="005C55DC" w:rsidRPr="00EE6425" w:rsidRDefault="005C55DC" w:rsidP="000501D3">
            <w:pPr>
              <w:pStyle w:val="Tabledot2"/>
            </w:pPr>
            <w:r w:rsidRPr="00EE6425">
              <w:t>ARP referral and activity data</w:t>
            </w:r>
          </w:p>
        </w:tc>
      </w:tr>
    </w:tbl>
    <w:p w14:paraId="25E74D77" w14:textId="43F617BD" w:rsidR="000501D3" w:rsidRDefault="000501D3" w:rsidP="000501D3">
      <w:pPr>
        <w:pStyle w:val="Caption"/>
      </w:pPr>
      <w:r>
        <w:t xml:space="preserve">Table </w:t>
      </w:r>
      <w:r>
        <w:fldChar w:fldCharType="begin"/>
      </w:r>
      <w:r>
        <w:instrText xml:space="preserve"> SEQ Table \* ARABIC </w:instrText>
      </w:r>
      <w:r>
        <w:fldChar w:fldCharType="separate"/>
      </w:r>
      <w:r w:rsidR="00D9323B">
        <w:rPr>
          <w:noProof/>
        </w:rPr>
        <w:t>71</w:t>
      </w:r>
      <w:r>
        <w:fldChar w:fldCharType="end"/>
      </w:r>
      <w:r>
        <w:t>.</w:t>
      </w:r>
      <w:r w:rsidRPr="000501D3">
        <w:t xml:space="preserve"> </w:t>
      </w:r>
      <w:r>
        <w:t xml:space="preserve">Short-term example outcomes (2 of 3): </w:t>
      </w:r>
      <w:r w:rsidRPr="000501D3">
        <w:t>People with HTMS experiences access appropriate support through ARP and STPP to meet their needs</w:t>
      </w:r>
    </w:p>
    <w:tbl>
      <w:tblPr>
        <w:tblStyle w:val="WTTable2"/>
        <w:tblW w:w="0" w:type="auto"/>
        <w:tblLook w:val="0420" w:firstRow="1" w:lastRow="0" w:firstColumn="0" w:lastColumn="0" w:noHBand="0" w:noVBand="1"/>
      </w:tblPr>
      <w:tblGrid>
        <w:gridCol w:w="3489"/>
        <w:gridCol w:w="3489"/>
        <w:gridCol w:w="3489"/>
      </w:tblGrid>
      <w:tr w:rsidR="000501D3" w14:paraId="244F5D3C" w14:textId="77777777" w:rsidTr="006E2FF1">
        <w:trPr>
          <w:cnfStyle w:val="100000000000" w:firstRow="1" w:lastRow="0" w:firstColumn="0" w:lastColumn="0" w:oddVBand="0" w:evenVBand="0" w:oddHBand="0" w:evenHBand="0" w:firstRowFirstColumn="0" w:firstRowLastColumn="0" w:lastRowFirstColumn="0" w:lastRowLastColumn="0"/>
        </w:trPr>
        <w:tc>
          <w:tcPr>
            <w:tcW w:w="3489" w:type="dxa"/>
          </w:tcPr>
          <w:p w14:paraId="28F5C09E" w14:textId="77777777" w:rsidR="000501D3" w:rsidRPr="00EE6425" w:rsidRDefault="000501D3" w:rsidP="00AD7761">
            <w:pPr>
              <w:rPr>
                <w:sz w:val="18"/>
                <w:szCs w:val="18"/>
              </w:rPr>
            </w:pPr>
            <w:r w:rsidRPr="00EE6425">
              <w:rPr>
                <w:b/>
                <w:bCs/>
                <w:color w:val="FFFFFF"/>
                <w:sz w:val="18"/>
                <w:szCs w:val="18"/>
              </w:rPr>
              <w:t>Indicator</w:t>
            </w:r>
          </w:p>
        </w:tc>
        <w:tc>
          <w:tcPr>
            <w:tcW w:w="3489" w:type="dxa"/>
          </w:tcPr>
          <w:p w14:paraId="76EB3EB1" w14:textId="77777777" w:rsidR="000501D3" w:rsidRPr="00EE6425" w:rsidRDefault="000501D3" w:rsidP="00AD7761">
            <w:pPr>
              <w:rPr>
                <w:sz w:val="18"/>
                <w:szCs w:val="18"/>
              </w:rPr>
            </w:pPr>
            <w:r w:rsidRPr="00EE6425">
              <w:rPr>
                <w:b/>
                <w:bCs/>
                <w:color w:val="FFFFFF"/>
                <w:sz w:val="18"/>
                <w:szCs w:val="18"/>
              </w:rPr>
              <w:t>Measure</w:t>
            </w:r>
          </w:p>
        </w:tc>
        <w:tc>
          <w:tcPr>
            <w:tcW w:w="3489" w:type="dxa"/>
          </w:tcPr>
          <w:p w14:paraId="39D10F93" w14:textId="77777777" w:rsidR="000501D3" w:rsidRPr="00EE6425" w:rsidRDefault="000501D3" w:rsidP="00AD7761">
            <w:pPr>
              <w:rPr>
                <w:sz w:val="18"/>
                <w:szCs w:val="18"/>
              </w:rPr>
            </w:pPr>
            <w:r w:rsidRPr="00EE6425">
              <w:rPr>
                <w:b/>
                <w:bCs/>
                <w:color w:val="FFFFFF"/>
                <w:sz w:val="18"/>
                <w:szCs w:val="18"/>
              </w:rPr>
              <w:t>Data source</w:t>
            </w:r>
          </w:p>
        </w:tc>
      </w:tr>
      <w:tr w:rsidR="000501D3" w14:paraId="4E0CE771" w14:textId="77777777" w:rsidTr="006E2FF1">
        <w:trPr>
          <w:cantSplit/>
        </w:trPr>
        <w:tc>
          <w:tcPr>
            <w:tcW w:w="3489" w:type="dxa"/>
          </w:tcPr>
          <w:p w14:paraId="6757FB75" w14:textId="77777777" w:rsidR="000501D3" w:rsidRPr="00EE6425" w:rsidRDefault="000501D3" w:rsidP="00AD7761">
            <w:pPr>
              <w:spacing w:before="40" w:after="40"/>
              <w:rPr>
                <w:sz w:val="18"/>
                <w:szCs w:val="18"/>
              </w:rPr>
            </w:pPr>
            <w:r w:rsidRPr="00EE6425">
              <w:rPr>
                <w:sz w:val="18"/>
                <w:szCs w:val="18"/>
              </w:rPr>
              <w:t>Increase in people with HTMS experiences accessing appropriate supports.</w:t>
            </w:r>
          </w:p>
        </w:tc>
        <w:tc>
          <w:tcPr>
            <w:tcW w:w="3489" w:type="dxa"/>
          </w:tcPr>
          <w:p w14:paraId="3556A4FA" w14:textId="77777777" w:rsidR="000501D3" w:rsidRPr="00EE6425" w:rsidRDefault="000501D3" w:rsidP="00AD7761">
            <w:pPr>
              <w:spacing w:before="40" w:after="40"/>
              <w:rPr>
                <w:sz w:val="18"/>
                <w:szCs w:val="18"/>
              </w:rPr>
            </w:pPr>
            <w:r w:rsidRPr="00EE6425">
              <w:rPr>
                <w:sz w:val="18"/>
                <w:szCs w:val="18"/>
              </w:rPr>
              <w:t>Number of referrals to the ARP.</w:t>
            </w:r>
          </w:p>
        </w:tc>
        <w:tc>
          <w:tcPr>
            <w:tcW w:w="3489" w:type="dxa"/>
          </w:tcPr>
          <w:p w14:paraId="5803CCC2" w14:textId="77777777" w:rsidR="000501D3" w:rsidRPr="00EE6425" w:rsidRDefault="000501D3" w:rsidP="000501D3">
            <w:pPr>
              <w:pStyle w:val="Tabledot2"/>
            </w:pPr>
            <w:r w:rsidRPr="00EE6425">
              <w:t>ARP referral and activity data</w:t>
            </w:r>
          </w:p>
          <w:p w14:paraId="24D30253" w14:textId="77777777" w:rsidR="000501D3" w:rsidRPr="00EE6425" w:rsidRDefault="000501D3" w:rsidP="000501D3">
            <w:pPr>
              <w:pStyle w:val="Tabledot2"/>
            </w:pPr>
            <w:r w:rsidRPr="00EE6425">
              <w:t>Stakeholder interviews with participants, service providers and partners</w:t>
            </w:r>
          </w:p>
        </w:tc>
      </w:tr>
      <w:tr w:rsidR="000501D3" w14:paraId="2B6AD134" w14:textId="77777777" w:rsidTr="006E2FF1">
        <w:trPr>
          <w:cantSplit/>
        </w:trPr>
        <w:tc>
          <w:tcPr>
            <w:tcW w:w="3489" w:type="dxa"/>
          </w:tcPr>
          <w:p w14:paraId="0BB59CF7" w14:textId="77777777" w:rsidR="000501D3" w:rsidRPr="00EE6425" w:rsidRDefault="000501D3" w:rsidP="00AD7761">
            <w:pPr>
              <w:spacing w:before="40" w:after="40"/>
              <w:rPr>
                <w:sz w:val="18"/>
                <w:szCs w:val="18"/>
              </w:rPr>
            </w:pPr>
            <w:r w:rsidRPr="00EE6425">
              <w:rPr>
                <w:sz w:val="18"/>
                <w:szCs w:val="18"/>
              </w:rPr>
              <w:lastRenderedPageBreak/>
              <w:t>Increase in people with HTMS experiences accessing appropriate supports.</w:t>
            </w:r>
          </w:p>
        </w:tc>
        <w:tc>
          <w:tcPr>
            <w:tcW w:w="3489" w:type="dxa"/>
          </w:tcPr>
          <w:p w14:paraId="5153624E" w14:textId="77777777" w:rsidR="000501D3" w:rsidRPr="00EE6425" w:rsidRDefault="000501D3" w:rsidP="00AD7761">
            <w:pPr>
              <w:spacing w:before="40" w:after="40"/>
              <w:rPr>
                <w:sz w:val="18"/>
                <w:szCs w:val="18"/>
              </w:rPr>
            </w:pPr>
            <w:r w:rsidRPr="00EE6425">
              <w:rPr>
                <w:sz w:val="18"/>
                <w:szCs w:val="18"/>
              </w:rPr>
              <w:t>Extent to which enablers and barriers to accessing the range of services are reported.</w:t>
            </w:r>
          </w:p>
        </w:tc>
        <w:tc>
          <w:tcPr>
            <w:tcW w:w="3489" w:type="dxa"/>
          </w:tcPr>
          <w:p w14:paraId="06EF3B7B" w14:textId="77777777" w:rsidR="000501D3" w:rsidRPr="00EE6425" w:rsidRDefault="000501D3" w:rsidP="000501D3">
            <w:pPr>
              <w:pStyle w:val="Tabledot2"/>
            </w:pPr>
            <w:r w:rsidRPr="00EE6425">
              <w:t>ARP referral and activity data</w:t>
            </w:r>
          </w:p>
          <w:p w14:paraId="22C99BCD" w14:textId="77777777" w:rsidR="000501D3" w:rsidRPr="00EE6425" w:rsidRDefault="000501D3" w:rsidP="000501D3">
            <w:pPr>
              <w:pStyle w:val="Tabledot2"/>
            </w:pPr>
            <w:r w:rsidRPr="00EE6425">
              <w:t>Stakeholder interviews with participants, service providers and partners</w:t>
            </w:r>
          </w:p>
        </w:tc>
      </w:tr>
      <w:tr w:rsidR="000501D3" w14:paraId="3076A7DA" w14:textId="77777777" w:rsidTr="006E2FF1">
        <w:trPr>
          <w:cantSplit/>
        </w:trPr>
        <w:tc>
          <w:tcPr>
            <w:tcW w:w="3489" w:type="dxa"/>
          </w:tcPr>
          <w:p w14:paraId="62A49631" w14:textId="77777777" w:rsidR="000501D3" w:rsidRPr="00EE6425" w:rsidRDefault="000501D3" w:rsidP="00AD7761">
            <w:pPr>
              <w:spacing w:before="40" w:after="40"/>
              <w:rPr>
                <w:sz w:val="18"/>
                <w:szCs w:val="18"/>
              </w:rPr>
            </w:pPr>
            <w:r w:rsidRPr="00EE6425">
              <w:rPr>
                <w:sz w:val="18"/>
                <w:szCs w:val="18"/>
              </w:rPr>
              <w:t>Increase in people with HTMS experiences accessing appropriate supports.</w:t>
            </w:r>
          </w:p>
        </w:tc>
        <w:tc>
          <w:tcPr>
            <w:tcW w:w="3489" w:type="dxa"/>
          </w:tcPr>
          <w:p w14:paraId="5F22C691" w14:textId="77777777" w:rsidR="000501D3" w:rsidRPr="00EE6425" w:rsidRDefault="000501D3" w:rsidP="00AD7761">
            <w:pPr>
              <w:spacing w:before="40" w:after="40"/>
              <w:rPr>
                <w:sz w:val="18"/>
                <w:szCs w:val="18"/>
              </w:rPr>
            </w:pPr>
            <w:r w:rsidRPr="00EE6425">
              <w:rPr>
                <w:sz w:val="18"/>
                <w:szCs w:val="18"/>
              </w:rPr>
              <w:t>Evidence of case management records with comprehensive case notes.</w:t>
            </w:r>
          </w:p>
        </w:tc>
        <w:tc>
          <w:tcPr>
            <w:tcW w:w="3489" w:type="dxa"/>
          </w:tcPr>
          <w:p w14:paraId="542890AD" w14:textId="77777777" w:rsidR="000501D3" w:rsidRPr="00EE6425" w:rsidRDefault="000501D3" w:rsidP="000501D3">
            <w:pPr>
              <w:pStyle w:val="Tabledot2"/>
            </w:pPr>
            <w:r w:rsidRPr="00EE6425">
              <w:t>ARP referral and activity data</w:t>
            </w:r>
          </w:p>
          <w:p w14:paraId="33431B2F" w14:textId="77777777" w:rsidR="000501D3" w:rsidRPr="00EE6425" w:rsidRDefault="000501D3" w:rsidP="000501D3">
            <w:pPr>
              <w:pStyle w:val="Tabledot2"/>
            </w:pPr>
            <w:r w:rsidRPr="00EE6425">
              <w:t>Stakeholder interviews with participants, service providers and partners</w:t>
            </w:r>
          </w:p>
        </w:tc>
      </w:tr>
      <w:tr w:rsidR="000501D3" w14:paraId="50644B1F" w14:textId="77777777" w:rsidTr="006E2FF1">
        <w:trPr>
          <w:cantSplit/>
        </w:trPr>
        <w:tc>
          <w:tcPr>
            <w:tcW w:w="3489" w:type="dxa"/>
          </w:tcPr>
          <w:p w14:paraId="7928F933" w14:textId="77777777" w:rsidR="000501D3" w:rsidRPr="00EE6425" w:rsidRDefault="000501D3" w:rsidP="00AD7761">
            <w:pPr>
              <w:spacing w:before="40" w:after="40"/>
              <w:rPr>
                <w:sz w:val="18"/>
                <w:szCs w:val="18"/>
              </w:rPr>
            </w:pPr>
            <w:r w:rsidRPr="00EE6425">
              <w:rPr>
                <w:sz w:val="18"/>
                <w:szCs w:val="18"/>
              </w:rPr>
              <w:t>Increase in people with HTMS experiences accessing appropriate supports.</w:t>
            </w:r>
          </w:p>
        </w:tc>
        <w:tc>
          <w:tcPr>
            <w:tcW w:w="3489" w:type="dxa"/>
          </w:tcPr>
          <w:p w14:paraId="33ED1E87" w14:textId="77777777" w:rsidR="000501D3" w:rsidRPr="00EE6425" w:rsidRDefault="000501D3" w:rsidP="00AD7761">
            <w:pPr>
              <w:spacing w:before="40" w:after="40"/>
              <w:rPr>
                <w:sz w:val="18"/>
                <w:szCs w:val="18"/>
              </w:rPr>
            </w:pPr>
            <w:r w:rsidRPr="00EE6425">
              <w:rPr>
                <w:sz w:val="18"/>
                <w:szCs w:val="18"/>
              </w:rPr>
              <w:t>Reduced need for people with HTMS experiences to retell their story.</w:t>
            </w:r>
          </w:p>
        </w:tc>
        <w:tc>
          <w:tcPr>
            <w:tcW w:w="3489" w:type="dxa"/>
          </w:tcPr>
          <w:p w14:paraId="2AB8E468" w14:textId="77777777" w:rsidR="000501D3" w:rsidRPr="00EE6425" w:rsidRDefault="000501D3" w:rsidP="000501D3">
            <w:pPr>
              <w:pStyle w:val="Tabledot2"/>
            </w:pPr>
            <w:r w:rsidRPr="00EE6425">
              <w:t>ARP referral and activity data</w:t>
            </w:r>
          </w:p>
          <w:p w14:paraId="121F2893" w14:textId="77777777" w:rsidR="000501D3" w:rsidRPr="00EE6425" w:rsidRDefault="000501D3" w:rsidP="000501D3">
            <w:pPr>
              <w:pStyle w:val="Tabledot2"/>
            </w:pPr>
            <w:r w:rsidRPr="00EE6425">
              <w:t>Stakeholder interviews with participants, service providers and partners</w:t>
            </w:r>
          </w:p>
        </w:tc>
      </w:tr>
      <w:tr w:rsidR="000501D3" w14:paraId="69C3F135" w14:textId="77777777" w:rsidTr="006E2FF1">
        <w:trPr>
          <w:cantSplit/>
        </w:trPr>
        <w:tc>
          <w:tcPr>
            <w:tcW w:w="3489" w:type="dxa"/>
          </w:tcPr>
          <w:p w14:paraId="270DAC82" w14:textId="77777777" w:rsidR="000501D3" w:rsidRPr="00EE6425" w:rsidRDefault="000501D3" w:rsidP="00AD7761">
            <w:pPr>
              <w:spacing w:before="40" w:after="40"/>
              <w:rPr>
                <w:sz w:val="18"/>
                <w:szCs w:val="18"/>
              </w:rPr>
            </w:pPr>
            <w:r w:rsidRPr="00EE6425">
              <w:rPr>
                <w:sz w:val="18"/>
                <w:szCs w:val="18"/>
              </w:rPr>
              <w:t>Increase in people with HTMS experiences accessing appropriate supports.</w:t>
            </w:r>
          </w:p>
        </w:tc>
        <w:tc>
          <w:tcPr>
            <w:tcW w:w="3489" w:type="dxa"/>
          </w:tcPr>
          <w:p w14:paraId="529FC84C" w14:textId="77777777" w:rsidR="000501D3" w:rsidRPr="00EE6425" w:rsidRDefault="000501D3" w:rsidP="00AD7761">
            <w:pPr>
              <w:spacing w:before="40" w:after="40"/>
              <w:rPr>
                <w:sz w:val="18"/>
                <w:szCs w:val="18"/>
              </w:rPr>
            </w:pPr>
            <w:r w:rsidRPr="00EE6425">
              <w:rPr>
                <w:sz w:val="18"/>
                <w:szCs w:val="18"/>
              </w:rPr>
              <w:t>Extent to which barriers to ARP access are reported.</w:t>
            </w:r>
          </w:p>
        </w:tc>
        <w:tc>
          <w:tcPr>
            <w:tcW w:w="3489" w:type="dxa"/>
          </w:tcPr>
          <w:p w14:paraId="56D3F9FA" w14:textId="77777777" w:rsidR="000501D3" w:rsidRPr="00EE6425" w:rsidRDefault="000501D3" w:rsidP="000501D3">
            <w:pPr>
              <w:pStyle w:val="Tabledot2"/>
            </w:pPr>
            <w:r w:rsidRPr="00EE6425">
              <w:t>ARP referral and activity data</w:t>
            </w:r>
          </w:p>
          <w:p w14:paraId="1D29DB04" w14:textId="77777777" w:rsidR="000501D3" w:rsidRPr="00EE6425" w:rsidRDefault="000501D3" w:rsidP="000501D3">
            <w:pPr>
              <w:pStyle w:val="Tabledot2"/>
            </w:pPr>
            <w:r w:rsidRPr="00EE6425">
              <w:t>Stakeholder interviews with participants, service providers and partners</w:t>
            </w:r>
          </w:p>
        </w:tc>
      </w:tr>
      <w:tr w:rsidR="000501D3" w14:paraId="185019D2" w14:textId="77777777" w:rsidTr="006E2FF1">
        <w:trPr>
          <w:cantSplit/>
        </w:trPr>
        <w:tc>
          <w:tcPr>
            <w:tcW w:w="3489" w:type="dxa"/>
          </w:tcPr>
          <w:p w14:paraId="0CAA69B1" w14:textId="77777777" w:rsidR="000501D3" w:rsidRPr="00EE6425" w:rsidRDefault="000501D3" w:rsidP="00AD7761">
            <w:pPr>
              <w:spacing w:before="40" w:after="40"/>
              <w:rPr>
                <w:sz w:val="18"/>
                <w:szCs w:val="18"/>
              </w:rPr>
            </w:pPr>
            <w:r w:rsidRPr="00EE6425">
              <w:rPr>
                <w:sz w:val="18"/>
                <w:szCs w:val="18"/>
              </w:rPr>
              <w:t>Increase in people with HTMS experiences accessing appropriate supports.</w:t>
            </w:r>
          </w:p>
        </w:tc>
        <w:tc>
          <w:tcPr>
            <w:tcW w:w="3489" w:type="dxa"/>
          </w:tcPr>
          <w:p w14:paraId="00A570D7" w14:textId="77777777" w:rsidR="000501D3" w:rsidRPr="00EE6425" w:rsidRDefault="000501D3" w:rsidP="00AD7761">
            <w:pPr>
              <w:spacing w:before="40" w:after="40"/>
              <w:rPr>
                <w:sz w:val="18"/>
                <w:szCs w:val="18"/>
              </w:rPr>
            </w:pPr>
            <w:r w:rsidRPr="00EE6425">
              <w:rPr>
                <w:sz w:val="18"/>
                <w:szCs w:val="18"/>
              </w:rPr>
              <w:t>Identified areas for improvement or modification.</w:t>
            </w:r>
          </w:p>
        </w:tc>
        <w:tc>
          <w:tcPr>
            <w:tcW w:w="3489" w:type="dxa"/>
          </w:tcPr>
          <w:p w14:paraId="65E68ACC" w14:textId="77777777" w:rsidR="000501D3" w:rsidRPr="00EE6425" w:rsidRDefault="000501D3" w:rsidP="000501D3">
            <w:pPr>
              <w:pStyle w:val="Tabledot2"/>
            </w:pPr>
            <w:r w:rsidRPr="00EE6425">
              <w:t>ARP referral and activity data</w:t>
            </w:r>
          </w:p>
          <w:p w14:paraId="586791C5" w14:textId="77777777" w:rsidR="000501D3" w:rsidRPr="00EE6425" w:rsidRDefault="000501D3" w:rsidP="000501D3">
            <w:pPr>
              <w:pStyle w:val="Tabledot2"/>
            </w:pPr>
            <w:r w:rsidRPr="00EE6425">
              <w:t>Stakeholder interviews with participants, service providers and partners</w:t>
            </w:r>
          </w:p>
        </w:tc>
      </w:tr>
    </w:tbl>
    <w:p w14:paraId="6786B2C0" w14:textId="0CC46050" w:rsidR="000501D3" w:rsidRDefault="000501D3" w:rsidP="000501D3">
      <w:pPr>
        <w:pStyle w:val="Caption"/>
      </w:pPr>
      <w:r>
        <w:t xml:space="preserve">Table </w:t>
      </w:r>
      <w:r>
        <w:fldChar w:fldCharType="begin"/>
      </w:r>
      <w:r>
        <w:instrText xml:space="preserve"> SEQ Table \* ARABIC </w:instrText>
      </w:r>
      <w:r>
        <w:fldChar w:fldCharType="separate"/>
      </w:r>
      <w:r w:rsidR="00D9323B">
        <w:rPr>
          <w:noProof/>
        </w:rPr>
        <w:t>72</w:t>
      </w:r>
      <w:r>
        <w:fldChar w:fldCharType="end"/>
      </w:r>
      <w:r>
        <w:t>.</w:t>
      </w:r>
      <w:r w:rsidRPr="000501D3">
        <w:t xml:space="preserve"> </w:t>
      </w:r>
      <w:r>
        <w:t xml:space="preserve">Short-term example outcomes (3 of 3): </w:t>
      </w:r>
      <w:r w:rsidRPr="000501D3">
        <w:t>Collaborative responses to modern slavery are inclusive, trauma-informed and centre lived experience</w:t>
      </w:r>
    </w:p>
    <w:tbl>
      <w:tblPr>
        <w:tblStyle w:val="WTTable2"/>
        <w:tblW w:w="0" w:type="auto"/>
        <w:tblLook w:val="0420" w:firstRow="1" w:lastRow="0" w:firstColumn="0" w:lastColumn="0" w:noHBand="0" w:noVBand="1"/>
      </w:tblPr>
      <w:tblGrid>
        <w:gridCol w:w="3489"/>
        <w:gridCol w:w="3489"/>
        <w:gridCol w:w="3489"/>
      </w:tblGrid>
      <w:tr w:rsidR="000501D3" w14:paraId="6111FF27" w14:textId="77777777" w:rsidTr="000501D3">
        <w:trPr>
          <w:cnfStyle w:val="100000000000" w:firstRow="1" w:lastRow="0" w:firstColumn="0" w:lastColumn="0" w:oddVBand="0" w:evenVBand="0" w:oddHBand="0" w:evenHBand="0" w:firstRowFirstColumn="0" w:firstRowLastColumn="0" w:lastRowFirstColumn="0" w:lastRowLastColumn="0"/>
        </w:trPr>
        <w:tc>
          <w:tcPr>
            <w:tcW w:w="3489" w:type="dxa"/>
          </w:tcPr>
          <w:p w14:paraId="01FF6CA5" w14:textId="77777777" w:rsidR="000501D3" w:rsidRPr="00EE6425" w:rsidRDefault="000501D3" w:rsidP="007E0AFE">
            <w:pPr>
              <w:rPr>
                <w:sz w:val="18"/>
                <w:szCs w:val="18"/>
              </w:rPr>
            </w:pPr>
            <w:r w:rsidRPr="00EE6425">
              <w:rPr>
                <w:b/>
                <w:bCs/>
                <w:color w:val="FFFFFF"/>
                <w:sz w:val="18"/>
                <w:szCs w:val="18"/>
              </w:rPr>
              <w:t>Indicator</w:t>
            </w:r>
          </w:p>
        </w:tc>
        <w:tc>
          <w:tcPr>
            <w:tcW w:w="3489" w:type="dxa"/>
          </w:tcPr>
          <w:p w14:paraId="3EF7AB4A" w14:textId="77777777" w:rsidR="000501D3" w:rsidRPr="00EE6425" w:rsidRDefault="000501D3" w:rsidP="007E0AFE">
            <w:pPr>
              <w:rPr>
                <w:sz w:val="18"/>
                <w:szCs w:val="18"/>
              </w:rPr>
            </w:pPr>
            <w:r w:rsidRPr="00EE6425">
              <w:rPr>
                <w:b/>
                <w:bCs/>
                <w:color w:val="FFFFFF"/>
                <w:sz w:val="18"/>
                <w:szCs w:val="18"/>
              </w:rPr>
              <w:t>Measure</w:t>
            </w:r>
          </w:p>
        </w:tc>
        <w:tc>
          <w:tcPr>
            <w:tcW w:w="3489" w:type="dxa"/>
          </w:tcPr>
          <w:p w14:paraId="3E731C50" w14:textId="77777777" w:rsidR="000501D3" w:rsidRPr="00EE6425" w:rsidRDefault="000501D3" w:rsidP="007E0AFE">
            <w:pPr>
              <w:rPr>
                <w:sz w:val="18"/>
                <w:szCs w:val="18"/>
              </w:rPr>
            </w:pPr>
            <w:r w:rsidRPr="00EE6425">
              <w:rPr>
                <w:b/>
                <w:bCs/>
                <w:color w:val="FFFFFF"/>
                <w:sz w:val="18"/>
                <w:szCs w:val="18"/>
              </w:rPr>
              <w:t>Data source</w:t>
            </w:r>
          </w:p>
        </w:tc>
      </w:tr>
      <w:tr w:rsidR="000501D3" w14:paraId="274481E8" w14:textId="77777777" w:rsidTr="000501D3">
        <w:tc>
          <w:tcPr>
            <w:tcW w:w="3489" w:type="dxa"/>
          </w:tcPr>
          <w:p w14:paraId="2E716E88" w14:textId="77777777" w:rsidR="000501D3" w:rsidRPr="00EE6425" w:rsidRDefault="000501D3" w:rsidP="007E0AFE">
            <w:pPr>
              <w:spacing w:before="40" w:after="40"/>
              <w:rPr>
                <w:sz w:val="18"/>
                <w:szCs w:val="18"/>
              </w:rPr>
            </w:pPr>
            <w:r w:rsidRPr="00EE6425">
              <w:rPr>
                <w:sz w:val="18"/>
                <w:szCs w:val="18"/>
              </w:rPr>
              <w:t>Participants have increased access to a range of services and supports.</w:t>
            </w:r>
          </w:p>
        </w:tc>
        <w:tc>
          <w:tcPr>
            <w:tcW w:w="3489" w:type="dxa"/>
          </w:tcPr>
          <w:p w14:paraId="50AA215C" w14:textId="77777777" w:rsidR="000501D3" w:rsidRPr="00EE6425" w:rsidRDefault="000501D3" w:rsidP="007E0AFE">
            <w:pPr>
              <w:spacing w:before="40" w:after="40"/>
              <w:rPr>
                <w:sz w:val="18"/>
                <w:szCs w:val="18"/>
              </w:rPr>
            </w:pPr>
            <w:r w:rsidRPr="00EE6425">
              <w:rPr>
                <w:sz w:val="18"/>
                <w:szCs w:val="18"/>
              </w:rPr>
              <w:t>Number of participants receiving services.</w:t>
            </w:r>
          </w:p>
        </w:tc>
        <w:tc>
          <w:tcPr>
            <w:tcW w:w="3489" w:type="dxa"/>
          </w:tcPr>
          <w:p w14:paraId="29CEAAFA" w14:textId="77777777" w:rsidR="000501D3" w:rsidRPr="00EE6425" w:rsidRDefault="000501D3" w:rsidP="000501D3">
            <w:pPr>
              <w:pStyle w:val="Tabledot2"/>
            </w:pPr>
            <w:r w:rsidRPr="00EE6425">
              <w:t>STPP referral and activity data</w:t>
            </w:r>
          </w:p>
          <w:p w14:paraId="78820984" w14:textId="77777777" w:rsidR="000501D3" w:rsidRPr="00EE6425" w:rsidRDefault="000501D3" w:rsidP="000501D3">
            <w:pPr>
              <w:pStyle w:val="Tabledot2"/>
            </w:pPr>
            <w:r w:rsidRPr="00EE6425">
              <w:t>Stakeholder interviews with government, service providers and partners</w:t>
            </w:r>
          </w:p>
          <w:p w14:paraId="2FB3FED8" w14:textId="77777777" w:rsidR="000501D3" w:rsidRPr="00EE6425" w:rsidRDefault="000501D3" w:rsidP="000501D3">
            <w:pPr>
              <w:pStyle w:val="Tabledot2"/>
            </w:pPr>
            <w:r w:rsidRPr="00EE6425">
              <w:t>Participant interviews</w:t>
            </w:r>
          </w:p>
        </w:tc>
      </w:tr>
      <w:tr w:rsidR="000501D3" w14:paraId="16F95733" w14:textId="77777777" w:rsidTr="000501D3">
        <w:tc>
          <w:tcPr>
            <w:tcW w:w="3489" w:type="dxa"/>
          </w:tcPr>
          <w:p w14:paraId="3100E6A7" w14:textId="77777777" w:rsidR="000501D3" w:rsidRPr="00EE6425" w:rsidRDefault="000501D3" w:rsidP="007E0AFE">
            <w:pPr>
              <w:spacing w:before="40" w:after="40"/>
              <w:rPr>
                <w:sz w:val="18"/>
                <w:szCs w:val="18"/>
              </w:rPr>
            </w:pPr>
            <w:r w:rsidRPr="00EE6425">
              <w:rPr>
                <w:sz w:val="18"/>
                <w:szCs w:val="18"/>
              </w:rPr>
              <w:t>Participants have increased access to a range of services and supports.</w:t>
            </w:r>
          </w:p>
        </w:tc>
        <w:tc>
          <w:tcPr>
            <w:tcW w:w="3489" w:type="dxa"/>
          </w:tcPr>
          <w:p w14:paraId="0A9D74E1" w14:textId="77777777" w:rsidR="000501D3" w:rsidRPr="00EE6425" w:rsidRDefault="000501D3" w:rsidP="007E0AFE">
            <w:pPr>
              <w:spacing w:before="40" w:after="40"/>
              <w:rPr>
                <w:sz w:val="18"/>
                <w:szCs w:val="18"/>
              </w:rPr>
            </w:pPr>
            <w:r w:rsidRPr="00EE6425">
              <w:rPr>
                <w:sz w:val="18"/>
                <w:szCs w:val="18"/>
              </w:rPr>
              <w:t>Extent to which providers, partners and participants report positive experience with referral and warm handover processes.</w:t>
            </w:r>
          </w:p>
        </w:tc>
        <w:tc>
          <w:tcPr>
            <w:tcW w:w="3489" w:type="dxa"/>
          </w:tcPr>
          <w:p w14:paraId="559997E8" w14:textId="77777777" w:rsidR="000501D3" w:rsidRPr="00EE6425" w:rsidRDefault="000501D3" w:rsidP="000501D3">
            <w:pPr>
              <w:pStyle w:val="Tabledot2"/>
            </w:pPr>
            <w:r w:rsidRPr="00EE6425">
              <w:t>STPP referral and activity data</w:t>
            </w:r>
          </w:p>
          <w:p w14:paraId="006573A8" w14:textId="77777777" w:rsidR="000501D3" w:rsidRPr="00EE6425" w:rsidRDefault="000501D3" w:rsidP="000501D3">
            <w:pPr>
              <w:pStyle w:val="Tabledot2"/>
            </w:pPr>
            <w:r w:rsidRPr="00EE6425">
              <w:t>Stakeholder interviews with government, service providers and partners</w:t>
            </w:r>
          </w:p>
          <w:p w14:paraId="4F129560" w14:textId="77777777" w:rsidR="000501D3" w:rsidRPr="00EE6425" w:rsidRDefault="000501D3" w:rsidP="000501D3">
            <w:pPr>
              <w:pStyle w:val="Tabledot2"/>
            </w:pPr>
            <w:r w:rsidRPr="00EE6425">
              <w:t>Participant interviews</w:t>
            </w:r>
          </w:p>
        </w:tc>
      </w:tr>
      <w:tr w:rsidR="000501D3" w14:paraId="5114646C" w14:textId="77777777" w:rsidTr="000501D3">
        <w:tc>
          <w:tcPr>
            <w:tcW w:w="3489" w:type="dxa"/>
          </w:tcPr>
          <w:p w14:paraId="0092273E" w14:textId="77777777" w:rsidR="000501D3" w:rsidRPr="00EE6425" w:rsidRDefault="000501D3" w:rsidP="007E0AFE">
            <w:pPr>
              <w:spacing w:before="40" w:after="40"/>
              <w:rPr>
                <w:sz w:val="18"/>
                <w:szCs w:val="18"/>
              </w:rPr>
            </w:pPr>
            <w:r w:rsidRPr="00EE6425">
              <w:rPr>
                <w:sz w:val="18"/>
                <w:szCs w:val="18"/>
              </w:rPr>
              <w:t>Participants have increased access to a range of services and supports.</w:t>
            </w:r>
          </w:p>
        </w:tc>
        <w:tc>
          <w:tcPr>
            <w:tcW w:w="3489" w:type="dxa"/>
          </w:tcPr>
          <w:p w14:paraId="01F831B2" w14:textId="77777777" w:rsidR="000501D3" w:rsidRPr="00EE6425" w:rsidRDefault="000501D3" w:rsidP="007E0AFE">
            <w:pPr>
              <w:spacing w:before="40" w:after="40"/>
              <w:rPr>
                <w:sz w:val="18"/>
                <w:szCs w:val="18"/>
              </w:rPr>
            </w:pPr>
            <w:r w:rsidRPr="00EE6425">
              <w:rPr>
                <w:sz w:val="18"/>
                <w:szCs w:val="18"/>
              </w:rPr>
              <w:t>Reported enablers and barriers experienced with STPP services and supports.</w:t>
            </w:r>
          </w:p>
        </w:tc>
        <w:tc>
          <w:tcPr>
            <w:tcW w:w="3489" w:type="dxa"/>
          </w:tcPr>
          <w:p w14:paraId="299727AC" w14:textId="77777777" w:rsidR="000501D3" w:rsidRPr="00EE6425" w:rsidRDefault="000501D3" w:rsidP="000501D3">
            <w:pPr>
              <w:pStyle w:val="Tabledot2"/>
            </w:pPr>
            <w:r w:rsidRPr="00EE6425">
              <w:t>STPP referral and activity data</w:t>
            </w:r>
          </w:p>
          <w:p w14:paraId="26D9C4B1" w14:textId="77777777" w:rsidR="000501D3" w:rsidRPr="00EE6425" w:rsidRDefault="000501D3" w:rsidP="000501D3">
            <w:pPr>
              <w:pStyle w:val="Tabledot2"/>
            </w:pPr>
            <w:r w:rsidRPr="00EE6425">
              <w:t>Stakeholder interviews with government, service providers and partners</w:t>
            </w:r>
          </w:p>
          <w:p w14:paraId="0B5B8545" w14:textId="77777777" w:rsidR="000501D3" w:rsidRPr="00EE6425" w:rsidRDefault="000501D3" w:rsidP="000501D3">
            <w:pPr>
              <w:pStyle w:val="Tabledot2"/>
            </w:pPr>
            <w:r w:rsidRPr="00EE6425">
              <w:t>Participant interviews</w:t>
            </w:r>
          </w:p>
        </w:tc>
      </w:tr>
      <w:tr w:rsidR="000501D3" w14:paraId="745041A5" w14:textId="77777777" w:rsidTr="000501D3">
        <w:tc>
          <w:tcPr>
            <w:tcW w:w="3489" w:type="dxa"/>
          </w:tcPr>
          <w:p w14:paraId="15B31018" w14:textId="77777777" w:rsidR="000501D3" w:rsidRPr="00EE6425" w:rsidRDefault="000501D3" w:rsidP="007E0AFE">
            <w:pPr>
              <w:spacing w:before="40" w:after="40"/>
              <w:rPr>
                <w:sz w:val="18"/>
                <w:szCs w:val="18"/>
              </w:rPr>
            </w:pPr>
            <w:r w:rsidRPr="00EE6425">
              <w:rPr>
                <w:sz w:val="18"/>
                <w:szCs w:val="18"/>
              </w:rPr>
              <w:t>Participants have increased access to a range of services and supports.</w:t>
            </w:r>
          </w:p>
        </w:tc>
        <w:tc>
          <w:tcPr>
            <w:tcW w:w="3489" w:type="dxa"/>
          </w:tcPr>
          <w:p w14:paraId="117D2D48" w14:textId="77777777" w:rsidR="000501D3" w:rsidRPr="00EE6425" w:rsidRDefault="000501D3" w:rsidP="007E0AFE">
            <w:pPr>
              <w:spacing w:before="40" w:after="40"/>
              <w:rPr>
                <w:sz w:val="18"/>
                <w:szCs w:val="18"/>
              </w:rPr>
            </w:pPr>
            <w:r w:rsidRPr="00EE6425">
              <w:rPr>
                <w:sz w:val="18"/>
                <w:szCs w:val="18"/>
              </w:rPr>
              <w:t>Areas identified for potential improvements or modification.</w:t>
            </w:r>
          </w:p>
        </w:tc>
        <w:tc>
          <w:tcPr>
            <w:tcW w:w="3489" w:type="dxa"/>
          </w:tcPr>
          <w:p w14:paraId="0A3EDE5A" w14:textId="77777777" w:rsidR="000501D3" w:rsidRPr="00EE6425" w:rsidRDefault="000501D3" w:rsidP="000501D3">
            <w:pPr>
              <w:pStyle w:val="Tabledot2"/>
            </w:pPr>
            <w:r w:rsidRPr="00EE6425">
              <w:t>STPP referral and activity data</w:t>
            </w:r>
          </w:p>
          <w:p w14:paraId="28E4E934" w14:textId="77777777" w:rsidR="000501D3" w:rsidRPr="00EE6425" w:rsidRDefault="000501D3" w:rsidP="000501D3">
            <w:pPr>
              <w:pStyle w:val="Tabledot2"/>
            </w:pPr>
            <w:r w:rsidRPr="00EE6425">
              <w:t>Stakeholder interviews with government, service providers and partners</w:t>
            </w:r>
          </w:p>
          <w:p w14:paraId="70D346CE" w14:textId="77777777" w:rsidR="000501D3" w:rsidRPr="00EE6425" w:rsidRDefault="000501D3" w:rsidP="000501D3">
            <w:pPr>
              <w:pStyle w:val="Tabledot2"/>
            </w:pPr>
            <w:r w:rsidRPr="00EE6425">
              <w:lastRenderedPageBreak/>
              <w:t>Participant interviews</w:t>
            </w:r>
          </w:p>
        </w:tc>
      </w:tr>
    </w:tbl>
    <w:p w14:paraId="37CC6668" w14:textId="77777777" w:rsidR="00A4240B" w:rsidRDefault="00A4240B" w:rsidP="007E0AFE">
      <w:pPr>
        <w:spacing w:before="0" w:after="160" w:line="259" w:lineRule="auto"/>
      </w:pPr>
    </w:p>
    <w:p w14:paraId="4EAA449E" w14:textId="66D07423" w:rsidR="00A4240B" w:rsidRDefault="00A4240B" w:rsidP="00A4240B">
      <w:pPr>
        <w:pStyle w:val="Caption"/>
      </w:pPr>
      <w:r>
        <w:t xml:space="preserve">Table </w:t>
      </w:r>
      <w:r>
        <w:fldChar w:fldCharType="begin"/>
      </w:r>
      <w:r>
        <w:instrText xml:space="preserve"> SEQ Table \* ARABIC </w:instrText>
      </w:r>
      <w:r>
        <w:fldChar w:fldCharType="separate"/>
      </w:r>
      <w:r w:rsidR="00D9323B">
        <w:rPr>
          <w:noProof/>
        </w:rPr>
        <w:t>73</w:t>
      </w:r>
      <w:r>
        <w:fldChar w:fldCharType="end"/>
      </w:r>
      <w:r>
        <w:t>.</w:t>
      </w:r>
      <w:r w:rsidR="003627E6" w:rsidRPr="003627E6">
        <w:t xml:space="preserve"> </w:t>
      </w:r>
      <w:r w:rsidR="003627E6">
        <w:t xml:space="preserve">Medium-term example outcomes (1 of 2): </w:t>
      </w:r>
      <w:r w:rsidR="003627E6" w:rsidRPr="003627E6">
        <w:t>People with HTMS experiences feel empowered to rebuild their lives.</w:t>
      </w:r>
    </w:p>
    <w:tbl>
      <w:tblPr>
        <w:tblStyle w:val="WTTable2"/>
        <w:tblW w:w="0" w:type="auto"/>
        <w:tblLook w:val="0420" w:firstRow="1" w:lastRow="0" w:firstColumn="0" w:lastColumn="0" w:noHBand="0" w:noVBand="1"/>
      </w:tblPr>
      <w:tblGrid>
        <w:gridCol w:w="3489"/>
        <w:gridCol w:w="3489"/>
        <w:gridCol w:w="3489"/>
      </w:tblGrid>
      <w:tr w:rsidR="003627E6" w:rsidRPr="00A4240B" w14:paraId="170ECCC2" w14:textId="77777777" w:rsidTr="006E2FF1">
        <w:trPr>
          <w:cnfStyle w:val="100000000000" w:firstRow="1" w:lastRow="0" w:firstColumn="0" w:lastColumn="0" w:oddVBand="0" w:evenVBand="0" w:oddHBand="0" w:evenHBand="0" w:firstRowFirstColumn="0" w:firstRowLastColumn="0" w:lastRowFirstColumn="0" w:lastRowLastColumn="0"/>
        </w:trPr>
        <w:tc>
          <w:tcPr>
            <w:tcW w:w="3489" w:type="dxa"/>
          </w:tcPr>
          <w:p w14:paraId="34A0F60C" w14:textId="77777777" w:rsidR="003627E6" w:rsidRPr="00A4240B" w:rsidRDefault="003627E6" w:rsidP="00AD7761">
            <w:pPr>
              <w:rPr>
                <w:sz w:val="18"/>
                <w:szCs w:val="18"/>
              </w:rPr>
            </w:pPr>
            <w:r w:rsidRPr="00A4240B">
              <w:rPr>
                <w:b/>
                <w:bCs/>
                <w:color w:val="FFFFFF"/>
                <w:sz w:val="18"/>
                <w:szCs w:val="18"/>
              </w:rPr>
              <w:t>Indicator</w:t>
            </w:r>
          </w:p>
        </w:tc>
        <w:tc>
          <w:tcPr>
            <w:tcW w:w="3489" w:type="dxa"/>
          </w:tcPr>
          <w:p w14:paraId="1E0BF8A9" w14:textId="77777777" w:rsidR="003627E6" w:rsidRPr="00A4240B" w:rsidRDefault="003627E6" w:rsidP="00AD7761">
            <w:pPr>
              <w:rPr>
                <w:sz w:val="18"/>
                <w:szCs w:val="18"/>
              </w:rPr>
            </w:pPr>
            <w:r w:rsidRPr="00A4240B">
              <w:rPr>
                <w:b/>
                <w:bCs/>
                <w:color w:val="FFFFFF"/>
                <w:sz w:val="18"/>
                <w:szCs w:val="18"/>
              </w:rPr>
              <w:t>Measure</w:t>
            </w:r>
          </w:p>
        </w:tc>
        <w:tc>
          <w:tcPr>
            <w:tcW w:w="3489" w:type="dxa"/>
          </w:tcPr>
          <w:p w14:paraId="4C4F3E1D" w14:textId="77777777" w:rsidR="003627E6" w:rsidRPr="00A4240B" w:rsidRDefault="003627E6" w:rsidP="00AD7761">
            <w:pPr>
              <w:rPr>
                <w:sz w:val="18"/>
                <w:szCs w:val="18"/>
              </w:rPr>
            </w:pPr>
            <w:r w:rsidRPr="00A4240B">
              <w:rPr>
                <w:b/>
                <w:bCs/>
                <w:color w:val="FFFFFF"/>
                <w:sz w:val="18"/>
                <w:szCs w:val="18"/>
              </w:rPr>
              <w:t>Data source</w:t>
            </w:r>
          </w:p>
        </w:tc>
      </w:tr>
      <w:tr w:rsidR="003627E6" w:rsidRPr="00A4240B" w14:paraId="5B709CDC" w14:textId="77777777" w:rsidTr="006E2FF1">
        <w:trPr>
          <w:cantSplit/>
        </w:trPr>
        <w:tc>
          <w:tcPr>
            <w:tcW w:w="3489" w:type="dxa"/>
          </w:tcPr>
          <w:p w14:paraId="266C4971"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234A3C6F" w14:textId="77777777" w:rsidR="003627E6" w:rsidRPr="00A4240B" w:rsidRDefault="003627E6" w:rsidP="00AD7761">
            <w:pPr>
              <w:spacing w:before="40" w:after="40"/>
              <w:rPr>
                <w:sz w:val="18"/>
                <w:szCs w:val="18"/>
              </w:rPr>
            </w:pPr>
            <w:r w:rsidRPr="00A4240B">
              <w:rPr>
                <w:sz w:val="18"/>
                <w:szCs w:val="18"/>
              </w:rPr>
              <w:t>Extent to which participants report they have experienced having a say in their support needs.</w:t>
            </w:r>
          </w:p>
        </w:tc>
        <w:tc>
          <w:tcPr>
            <w:tcW w:w="3489" w:type="dxa"/>
          </w:tcPr>
          <w:p w14:paraId="71FD33A1" w14:textId="77777777" w:rsidR="003627E6" w:rsidRPr="00A4240B" w:rsidRDefault="003627E6" w:rsidP="000501D3">
            <w:pPr>
              <w:pStyle w:val="Tabledot2"/>
            </w:pPr>
            <w:r w:rsidRPr="00A4240B">
              <w:t>Stakeholder interviews with government, service providers and partners</w:t>
            </w:r>
          </w:p>
          <w:p w14:paraId="19B2A85E" w14:textId="77777777" w:rsidR="003627E6" w:rsidRPr="00A4240B" w:rsidRDefault="003627E6" w:rsidP="000501D3">
            <w:pPr>
              <w:pStyle w:val="Tabledot2"/>
            </w:pPr>
            <w:r w:rsidRPr="00A4240B">
              <w:t>Participant interviews</w:t>
            </w:r>
          </w:p>
          <w:p w14:paraId="75F1E1CE" w14:textId="77777777" w:rsidR="003627E6" w:rsidRPr="00A4240B" w:rsidRDefault="003627E6" w:rsidP="000501D3">
            <w:pPr>
              <w:pStyle w:val="Tabledot2"/>
            </w:pPr>
            <w:r w:rsidRPr="00A4240B">
              <w:t>Case notes</w:t>
            </w:r>
          </w:p>
        </w:tc>
      </w:tr>
      <w:tr w:rsidR="003627E6" w:rsidRPr="00A4240B" w14:paraId="6929FED6" w14:textId="77777777" w:rsidTr="006E2FF1">
        <w:trPr>
          <w:cantSplit/>
        </w:trPr>
        <w:tc>
          <w:tcPr>
            <w:tcW w:w="3489" w:type="dxa"/>
          </w:tcPr>
          <w:p w14:paraId="1EF4BF44"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2E5A5DCF" w14:textId="77777777" w:rsidR="003627E6" w:rsidRPr="00A4240B" w:rsidRDefault="003627E6" w:rsidP="00AD7761">
            <w:pPr>
              <w:spacing w:before="40" w:after="40"/>
              <w:rPr>
                <w:sz w:val="18"/>
                <w:szCs w:val="18"/>
              </w:rPr>
            </w:pPr>
            <w:r w:rsidRPr="00A4240B">
              <w:rPr>
                <w:sz w:val="18"/>
                <w:szCs w:val="18"/>
              </w:rPr>
              <w:t>Extent to which participants report they have experienced healing.</w:t>
            </w:r>
          </w:p>
        </w:tc>
        <w:tc>
          <w:tcPr>
            <w:tcW w:w="3489" w:type="dxa"/>
          </w:tcPr>
          <w:p w14:paraId="5BCD9A53" w14:textId="77777777" w:rsidR="003627E6" w:rsidRPr="00A4240B" w:rsidRDefault="003627E6" w:rsidP="000501D3">
            <w:pPr>
              <w:pStyle w:val="Tabledot2"/>
            </w:pPr>
            <w:r w:rsidRPr="00A4240B">
              <w:t>Stakeholder interviews with government, service providers and partners</w:t>
            </w:r>
          </w:p>
          <w:p w14:paraId="79A650F8" w14:textId="77777777" w:rsidR="003627E6" w:rsidRPr="00A4240B" w:rsidRDefault="003627E6" w:rsidP="000501D3">
            <w:pPr>
              <w:pStyle w:val="Tabledot2"/>
            </w:pPr>
            <w:r w:rsidRPr="00A4240B">
              <w:t>Participant interviews</w:t>
            </w:r>
          </w:p>
          <w:p w14:paraId="7C7D2CBB" w14:textId="77777777" w:rsidR="003627E6" w:rsidRPr="00A4240B" w:rsidRDefault="003627E6" w:rsidP="000501D3">
            <w:pPr>
              <w:pStyle w:val="Tabledot2"/>
            </w:pPr>
            <w:r w:rsidRPr="00A4240B">
              <w:t>Case notes</w:t>
            </w:r>
          </w:p>
        </w:tc>
      </w:tr>
      <w:tr w:rsidR="003627E6" w:rsidRPr="00A4240B" w14:paraId="31EE2EF7" w14:textId="77777777" w:rsidTr="006E2FF1">
        <w:trPr>
          <w:cantSplit/>
        </w:trPr>
        <w:tc>
          <w:tcPr>
            <w:tcW w:w="3489" w:type="dxa"/>
          </w:tcPr>
          <w:p w14:paraId="3E69BE09"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79AC3F40" w14:textId="77777777" w:rsidR="003627E6" w:rsidRPr="00A4240B" w:rsidRDefault="003627E6" w:rsidP="00AD7761">
            <w:pPr>
              <w:spacing w:before="40" w:after="40"/>
              <w:rPr>
                <w:sz w:val="18"/>
                <w:szCs w:val="18"/>
              </w:rPr>
            </w:pPr>
            <w:r w:rsidRPr="00A4240B">
              <w:rPr>
                <w:sz w:val="18"/>
                <w:szCs w:val="18"/>
              </w:rPr>
              <w:t>Extent to which participants report they have experienced a sense of safety.</w:t>
            </w:r>
          </w:p>
        </w:tc>
        <w:tc>
          <w:tcPr>
            <w:tcW w:w="3489" w:type="dxa"/>
          </w:tcPr>
          <w:p w14:paraId="60036E3D" w14:textId="77777777" w:rsidR="003627E6" w:rsidRPr="00A4240B" w:rsidRDefault="003627E6" w:rsidP="000501D3">
            <w:pPr>
              <w:pStyle w:val="Tabledot2"/>
            </w:pPr>
            <w:r w:rsidRPr="00A4240B">
              <w:t>Stakeholder interviews with government, service providers and partners</w:t>
            </w:r>
          </w:p>
          <w:p w14:paraId="7EA8FAE4" w14:textId="77777777" w:rsidR="003627E6" w:rsidRPr="00A4240B" w:rsidRDefault="003627E6" w:rsidP="000501D3">
            <w:pPr>
              <w:pStyle w:val="Tabledot2"/>
            </w:pPr>
            <w:r w:rsidRPr="00A4240B">
              <w:t>Participant interviews</w:t>
            </w:r>
          </w:p>
          <w:p w14:paraId="33ADE9C6" w14:textId="77777777" w:rsidR="003627E6" w:rsidRPr="00A4240B" w:rsidRDefault="003627E6" w:rsidP="000501D3">
            <w:pPr>
              <w:pStyle w:val="Tabledot2"/>
            </w:pPr>
            <w:r w:rsidRPr="00A4240B">
              <w:t>Case notes</w:t>
            </w:r>
          </w:p>
        </w:tc>
      </w:tr>
      <w:tr w:rsidR="003627E6" w:rsidRPr="00A4240B" w14:paraId="4C9A4E56" w14:textId="77777777" w:rsidTr="006E2FF1">
        <w:trPr>
          <w:cantSplit/>
        </w:trPr>
        <w:tc>
          <w:tcPr>
            <w:tcW w:w="3489" w:type="dxa"/>
          </w:tcPr>
          <w:p w14:paraId="40C9BC6D"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164E84CE" w14:textId="77777777" w:rsidR="003627E6" w:rsidRPr="00A4240B" w:rsidRDefault="003627E6" w:rsidP="00AD7761">
            <w:pPr>
              <w:spacing w:before="40" w:after="40"/>
              <w:rPr>
                <w:sz w:val="18"/>
                <w:szCs w:val="18"/>
              </w:rPr>
            </w:pPr>
            <w:r w:rsidRPr="00A4240B">
              <w:rPr>
                <w:sz w:val="18"/>
                <w:szCs w:val="18"/>
              </w:rPr>
              <w:t>Extent to which participants report they have experienced a sense of confidence that they will not be re-victimised.</w:t>
            </w:r>
          </w:p>
        </w:tc>
        <w:tc>
          <w:tcPr>
            <w:tcW w:w="3489" w:type="dxa"/>
          </w:tcPr>
          <w:p w14:paraId="5D499931" w14:textId="77777777" w:rsidR="003627E6" w:rsidRPr="00A4240B" w:rsidRDefault="003627E6" w:rsidP="000501D3">
            <w:pPr>
              <w:pStyle w:val="Tabledot2"/>
            </w:pPr>
            <w:r w:rsidRPr="00A4240B">
              <w:t>Stakeholder interviews with government, service providers and partners</w:t>
            </w:r>
          </w:p>
          <w:p w14:paraId="6B86DC24" w14:textId="77777777" w:rsidR="003627E6" w:rsidRPr="00A4240B" w:rsidRDefault="003627E6" w:rsidP="000501D3">
            <w:pPr>
              <w:pStyle w:val="Tabledot2"/>
            </w:pPr>
            <w:r w:rsidRPr="00A4240B">
              <w:t>Participant interviews</w:t>
            </w:r>
          </w:p>
          <w:p w14:paraId="2FB84E23" w14:textId="77777777" w:rsidR="003627E6" w:rsidRPr="00A4240B" w:rsidRDefault="003627E6" w:rsidP="000501D3">
            <w:pPr>
              <w:pStyle w:val="Tabledot2"/>
            </w:pPr>
            <w:r w:rsidRPr="00A4240B">
              <w:t>Case notes</w:t>
            </w:r>
          </w:p>
        </w:tc>
      </w:tr>
      <w:tr w:rsidR="003627E6" w:rsidRPr="00A4240B" w14:paraId="3B649C1F" w14:textId="77777777" w:rsidTr="006E2FF1">
        <w:trPr>
          <w:cantSplit/>
        </w:trPr>
        <w:tc>
          <w:tcPr>
            <w:tcW w:w="3489" w:type="dxa"/>
          </w:tcPr>
          <w:p w14:paraId="06605362"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386B9D2F" w14:textId="77777777" w:rsidR="003627E6" w:rsidRPr="00A4240B" w:rsidRDefault="003627E6" w:rsidP="00AD7761">
            <w:pPr>
              <w:spacing w:before="40" w:after="40"/>
              <w:rPr>
                <w:sz w:val="18"/>
                <w:szCs w:val="18"/>
              </w:rPr>
            </w:pPr>
            <w:r w:rsidRPr="00A4240B">
              <w:rPr>
                <w:sz w:val="18"/>
                <w:szCs w:val="18"/>
              </w:rPr>
              <w:t>Extent to which participants report they have experienced a sense of optimism about the future.</w:t>
            </w:r>
          </w:p>
        </w:tc>
        <w:tc>
          <w:tcPr>
            <w:tcW w:w="3489" w:type="dxa"/>
          </w:tcPr>
          <w:p w14:paraId="1379F1F6" w14:textId="77777777" w:rsidR="003627E6" w:rsidRPr="00A4240B" w:rsidRDefault="003627E6" w:rsidP="000501D3">
            <w:pPr>
              <w:pStyle w:val="Tabledot2"/>
            </w:pPr>
            <w:r w:rsidRPr="00A4240B">
              <w:t>Stakeholder interviews with government, service providers and partners</w:t>
            </w:r>
          </w:p>
          <w:p w14:paraId="484434B2" w14:textId="77777777" w:rsidR="003627E6" w:rsidRPr="00A4240B" w:rsidRDefault="003627E6" w:rsidP="000501D3">
            <w:pPr>
              <w:pStyle w:val="Tabledot2"/>
            </w:pPr>
            <w:r w:rsidRPr="00A4240B">
              <w:t>Participant interviews</w:t>
            </w:r>
          </w:p>
          <w:p w14:paraId="7BA671B1" w14:textId="77777777" w:rsidR="003627E6" w:rsidRPr="00A4240B" w:rsidRDefault="003627E6" w:rsidP="000501D3">
            <w:pPr>
              <w:pStyle w:val="Tabledot2"/>
            </w:pPr>
            <w:r w:rsidRPr="00A4240B">
              <w:t>Case notes</w:t>
            </w:r>
          </w:p>
        </w:tc>
      </w:tr>
      <w:tr w:rsidR="003627E6" w:rsidRPr="00A4240B" w14:paraId="5A694474" w14:textId="77777777" w:rsidTr="006E2FF1">
        <w:trPr>
          <w:cantSplit/>
        </w:trPr>
        <w:tc>
          <w:tcPr>
            <w:tcW w:w="3489" w:type="dxa"/>
          </w:tcPr>
          <w:p w14:paraId="5498EB53"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0988C039" w14:textId="77777777" w:rsidR="003627E6" w:rsidRPr="00A4240B" w:rsidRDefault="003627E6" w:rsidP="00AD7761">
            <w:pPr>
              <w:spacing w:before="40" w:after="40"/>
              <w:rPr>
                <w:sz w:val="18"/>
                <w:szCs w:val="18"/>
              </w:rPr>
            </w:pPr>
            <w:r w:rsidRPr="00A4240B">
              <w:rPr>
                <w:sz w:val="18"/>
                <w:szCs w:val="18"/>
              </w:rPr>
              <w:t>Extent to which participants report they have experienced connection to culture.</w:t>
            </w:r>
          </w:p>
        </w:tc>
        <w:tc>
          <w:tcPr>
            <w:tcW w:w="3489" w:type="dxa"/>
          </w:tcPr>
          <w:p w14:paraId="5E4301DA" w14:textId="77777777" w:rsidR="003627E6" w:rsidRPr="00A4240B" w:rsidRDefault="003627E6" w:rsidP="000501D3">
            <w:pPr>
              <w:pStyle w:val="Tabledot2"/>
            </w:pPr>
            <w:r w:rsidRPr="00A4240B">
              <w:t>Stakeholder interviews with government, service providers and partners</w:t>
            </w:r>
          </w:p>
          <w:p w14:paraId="4BAAFC69" w14:textId="77777777" w:rsidR="003627E6" w:rsidRPr="00A4240B" w:rsidRDefault="003627E6" w:rsidP="000501D3">
            <w:pPr>
              <w:pStyle w:val="Tabledot2"/>
            </w:pPr>
            <w:r w:rsidRPr="00A4240B">
              <w:t>Participant interviews</w:t>
            </w:r>
          </w:p>
          <w:p w14:paraId="79A2176A" w14:textId="77777777" w:rsidR="003627E6" w:rsidRPr="00A4240B" w:rsidRDefault="003627E6" w:rsidP="000501D3">
            <w:pPr>
              <w:pStyle w:val="Tabledot2"/>
            </w:pPr>
            <w:r w:rsidRPr="00A4240B">
              <w:t>Case notes</w:t>
            </w:r>
          </w:p>
        </w:tc>
      </w:tr>
      <w:tr w:rsidR="003627E6" w:rsidRPr="00A4240B" w14:paraId="1E34F292" w14:textId="77777777" w:rsidTr="006E2FF1">
        <w:trPr>
          <w:cantSplit/>
        </w:trPr>
        <w:tc>
          <w:tcPr>
            <w:tcW w:w="3489" w:type="dxa"/>
          </w:tcPr>
          <w:p w14:paraId="629378CD"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4E8E3C4B" w14:textId="77777777" w:rsidR="003627E6" w:rsidRPr="00A4240B" w:rsidRDefault="003627E6" w:rsidP="00AD7761">
            <w:pPr>
              <w:spacing w:before="40" w:after="40"/>
              <w:rPr>
                <w:sz w:val="18"/>
                <w:szCs w:val="18"/>
              </w:rPr>
            </w:pPr>
            <w:r w:rsidRPr="00A4240B">
              <w:rPr>
                <w:sz w:val="18"/>
                <w:szCs w:val="18"/>
              </w:rPr>
              <w:t>Extent to which participants report they have experienced positive migration outcomes.</w:t>
            </w:r>
          </w:p>
        </w:tc>
        <w:tc>
          <w:tcPr>
            <w:tcW w:w="3489" w:type="dxa"/>
          </w:tcPr>
          <w:p w14:paraId="41ABF1B2" w14:textId="77777777" w:rsidR="003627E6" w:rsidRPr="00A4240B" w:rsidRDefault="003627E6" w:rsidP="000501D3">
            <w:pPr>
              <w:pStyle w:val="Tabledot2"/>
            </w:pPr>
            <w:r w:rsidRPr="00A4240B">
              <w:t>Stakeholder interviews with government, service providers and partners</w:t>
            </w:r>
          </w:p>
          <w:p w14:paraId="7C641B71" w14:textId="77777777" w:rsidR="003627E6" w:rsidRPr="00A4240B" w:rsidRDefault="003627E6" w:rsidP="000501D3">
            <w:pPr>
              <w:pStyle w:val="Tabledot2"/>
            </w:pPr>
            <w:r w:rsidRPr="00A4240B">
              <w:t>Participant interviews</w:t>
            </w:r>
          </w:p>
          <w:p w14:paraId="277DBFD4" w14:textId="77777777" w:rsidR="003627E6" w:rsidRPr="00A4240B" w:rsidRDefault="003627E6" w:rsidP="000501D3">
            <w:pPr>
              <w:pStyle w:val="Tabledot2"/>
            </w:pPr>
            <w:r w:rsidRPr="00A4240B">
              <w:t>Case notes</w:t>
            </w:r>
          </w:p>
        </w:tc>
      </w:tr>
      <w:tr w:rsidR="003627E6" w:rsidRPr="00A4240B" w14:paraId="6B8452CF" w14:textId="77777777" w:rsidTr="006E2FF1">
        <w:trPr>
          <w:cantSplit/>
        </w:trPr>
        <w:tc>
          <w:tcPr>
            <w:tcW w:w="3489" w:type="dxa"/>
          </w:tcPr>
          <w:p w14:paraId="791A4F20" w14:textId="77777777" w:rsidR="003627E6" w:rsidRPr="00A4240B" w:rsidRDefault="003627E6" w:rsidP="00AD7761">
            <w:pPr>
              <w:spacing w:before="40" w:after="40"/>
              <w:rPr>
                <w:sz w:val="18"/>
                <w:szCs w:val="18"/>
              </w:rPr>
            </w:pPr>
            <w:r w:rsidRPr="00A4240B">
              <w:rPr>
                <w:sz w:val="18"/>
                <w:szCs w:val="18"/>
              </w:rPr>
              <w:lastRenderedPageBreak/>
              <w:t>Increase in confidence and empowerment.</w:t>
            </w:r>
          </w:p>
        </w:tc>
        <w:tc>
          <w:tcPr>
            <w:tcW w:w="3489" w:type="dxa"/>
          </w:tcPr>
          <w:p w14:paraId="015A7398" w14:textId="77777777" w:rsidR="003627E6" w:rsidRPr="00A4240B" w:rsidRDefault="003627E6" w:rsidP="00AD7761">
            <w:pPr>
              <w:spacing w:before="40" w:after="40"/>
              <w:rPr>
                <w:sz w:val="18"/>
                <w:szCs w:val="18"/>
              </w:rPr>
            </w:pPr>
            <w:r w:rsidRPr="00A4240B">
              <w:rPr>
                <w:sz w:val="18"/>
                <w:szCs w:val="18"/>
              </w:rPr>
              <w:t>Extent to which participants report they have experienced positive legal and justice outcomes.</w:t>
            </w:r>
          </w:p>
        </w:tc>
        <w:tc>
          <w:tcPr>
            <w:tcW w:w="3489" w:type="dxa"/>
          </w:tcPr>
          <w:p w14:paraId="0611302A" w14:textId="77777777" w:rsidR="003627E6" w:rsidRPr="00A4240B" w:rsidRDefault="003627E6" w:rsidP="000501D3">
            <w:pPr>
              <w:pStyle w:val="Tabledot2"/>
            </w:pPr>
            <w:r w:rsidRPr="00A4240B">
              <w:t>Stakeholder interviews with government, service providers and partners</w:t>
            </w:r>
          </w:p>
          <w:p w14:paraId="5C717999" w14:textId="77777777" w:rsidR="003627E6" w:rsidRPr="00A4240B" w:rsidRDefault="003627E6" w:rsidP="000501D3">
            <w:pPr>
              <w:pStyle w:val="Tabledot2"/>
            </w:pPr>
            <w:r w:rsidRPr="00A4240B">
              <w:t>Participant interviews</w:t>
            </w:r>
          </w:p>
          <w:p w14:paraId="0852CCB8" w14:textId="77777777" w:rsidR="003627E6" w:rsidRPr="00A4240B" w:rsidRDefault="003627E6" w:rsidP="000501D3">
            <w:pPr>
              <w:pStyle w:val="Tabledot2"/>
            </w:pPr>
            <w:r w:rsidRPr="00A4240B">
              <w:t>Case notes</w:t>
            </w:r>
          </w:p>
        </w:tc>
      </w:tr>
      <w:tr w:rsidR="003627E6" w:rsidRPr="00A4240B" w14:paraId="67DCFBF4" w14:textId="77777777" w:rsidTr="006E2FF1">
        <w:trPr>
          <w:cantSplit/>
        </w:trPr>
        <w:tc>
          <w:tcPr>
            <w:tcW w:w="3489" w:type="dxa"/>
          </w:tcPr>
          <w:p w14:paraId="479AA9F7" w14:textId="77777777" w:rsidR="003627E6" w:rsidRPr="00A4240B" w:rsidRDefault="003627E6" w:rsidP="00AD7761">
            <w:pPr>
              <w:spacing w:before="40" w:after="40"/>
              <w:rPr>
                <w:sz w:val="18"/>
                <w:szCs w:val="18"/>
              </w:rPr>
            </w:pPr>
            <w:r w:rsidRPr="00A4240B">
              <w:rPr>
                <w:sz w:val="18"/>
                <w:szCs w:val="18"/>
              </w:rPr>
              <w:t>Increase in confidence and empowerment.</w:t>
            </w:r>
          </w:p>
        </w:tc>
        <w:tc>
          <w:tcPr>
            <w:tcW w:w="3489" w:type="dxa"/>
          </w:tcPr>
          <w:p w14:paraId="13773D1A" w14:textId="77777777" w:rsidR="003627E6" w:rsidRPr="00A4240B" w:rsidRDefault="003627E6" w:rsidP="00AD7761">
            <w:pPr>
              <w:spacing w:before="40" w:after="40"/>
              <w:rPr>
                <w:sz w:val="18"/>
                <w:szCs w:val="18"/>
              </w:rPr>
            </w:pPr>
            <w:r w:rsidRPr="00A4240B">
              <w:rPr>
                <w:sz w:val="18"/>
                <w:szCs w:val="18"/>
              </w:rPr>
              <w:t>Extent to which participants report they have experienced other aspects identified by the participant.</w:t>
            </w:r>
          </w:p>
        </w:tc>
        <w:tc>
          <w:tcPr>
            <w:tcW w:w="3489" w:type="dxa"/>
          </w:tcPr>
          <w:p w14:paraId="606FD626" w14:textId="77777777" w:rsidR="003627E6" w:rsidRPr="00A4240B" w:rsidRDefault="003627E6" w:rsidP="000501D3">
            <w:pPr>
              <w:pStyle w:val="Tabledot2"/>
            </w:pPr>
            <w:r w:rsidRPr="00A4240B">
              <w:t>Stakeholder interviews with government, service providers and partners</w:t>
            </w:r>
          </w:p>
          <w:p w14:paraId="3D77697D" w14:textId="77777777" w:rsidR="003627E6" w:rsidRPr="00A4240B" w:rsidRDefault="003627E6" w:rsidP="000501D3">
            <w:pPr>
              <w:pStyle w:val="Tabledot2"/>
            </w:pPr>
            <w:r w:rsidRPr="00A4240B">
              <w:t>Participant interviews</w:t>
            </w:r>
          </w:p>
          <w:p w14:paraId="2916B9A7" w14:textId="77777777" w:rsidR="003627E6" w:rsidRPr="00A4240B" w:rsidRDefault="003627E6" w:rsidP="000501D3">
            <w:pPr>
              <w:pStyle w:val="Tabledot2"/>
            </w:pPr>
            <w:r w:rsidRPr="00A4240B">
              <w:t>Case notes</w:t>
            </w:r>
          </w:p>
        </w:tc>
      </w:tr>
    </w:tbl>
    <w:p w14:paraId="6FD443E7" w14:textId="5957CBD9" w:rsidR="000501D3" w:rsidRDefault="000501D3" w:rsidP="000501D3">
      <w:pPr>
        <w:pStyle w:val="Caption"/>
      </w:pPr>
      <w:r>
        <w:t xml:space="preserve">Table </w:t>
      </w:r>
      <w:r>
        <w:fldChar w:fldCharType="begin"/>
      </w:r>
      <w:r>
        <w:instrText xml:space="preserve"> SEQ Table \* ARABIC </w:instrText>
      </w:r>
      <w:r>
        <w:fldChar w:fldCharType="separate"/>
      </w:r>
      <w:r w:rsidR="00D9323B">
        <w:rPr>
          <w:noProof/>
        </w:rPr>
        <w:t>74</w:t>
      </w:r>
      <w:r>
        <w:fldChar w:fldCharType="end"/>
      </w:r>
      <w:r>
        <w:t>.</w:t>
      </w:r>
      <w:r w:rsidR="003627E6" w:rsidRPr="003627E6">
        <w:t xml:space="preserve"> </w:t>
      </w:r>
      <w:r w:rsidR="003627E6">
        <w:t xml:space="preserve">Medium-term example outcomes (2 of 2): </w:t>
      </w:r>
      <w:r w:rsidR="003627E6" w:rsidRPr="003627E6">
        <w:t>People with HTMS experiences experience personal stability, good health and wellbeing.</w:t>
      </w:r>
    </w:p>
    <w:tbl>
      <w:tblPr>
        <w:tblStyle w:val="WTTable2"/>
        <w:tblW w:w="0" w:type="auto"/>
        <w:tblLook w:val="0420" w:firstRow="1" w:lastRow="0" w:firstColumn="0" w:lastColumn="0" w:noHBand="0" w:noVBand="1"/>
      </w:tblPr>
      <w:tblGrid>
        <w:gridCol w:w="3489"/>
        <w:gridCol w:w="3489"/>
        <w:gridCol w:w="3489"/>
      </w:tblGrid>
      <w:tr w:rsidR="003627E6" w:rsidRPr="00A4240B" w14:paraId="147998F2" w14:textId="77777777" w:rsidTr="006E2FF1">
        <w:trPr>
          <w:cnfStyle w:val="100000000000" w:firstRow="1" w:lastRow="0" w:firstColumn="0" w:lastColumn="0" w:oddVBand="0" w:evenVBand="0" w:oddHBand="0" w:evenHBand="0" w:firstRowFirstColumn="0" w:firstRowLastColumn="0" w:lastRowFirstColumn="0" w:lastRowLastColumn="0"/>
        </w:trPr>
        <w:tc>
          <w:tcPr>
            <w:tcW w:w="3489" w:type="dxa"/>
          </w:tcPr>
          <w:p w14:paraId="3E17671F" w14:textId="77777777" w:rsidR="003627E6" w:rsidRPr="00A4240B" w:rsidRDefault="003627E6" w:rsidP="00A4240B">
            <w:pPr>
              <w:rPr>
                <w:sz w:val="18"/>
                <w:szCs w:val="18"/>
              </w:rPr>
            </w:pPr>
            <w:r w:rsidRPr="00A4240B">
              <w:rPr>
                <w:b/>
                <w:bCs/>
                <w:color w:val="FFFFFF"/>
                <w:sz w:val="18"/>
                <w:szCs w:val="18"/>
              </w:rPr>
              <w:t>Indicator</w:t>
            </w:r>
          </w:p>
        </w:tc>
        <w:tc>
          <w:tcPr>
            <w:tcW w:w="3489" w:type="dxa"/>
          </w:tcPr>
          <w:p w14:paraId="22DBE4DC" w14:textId="77777777" w:rsidR="003627E6" w:rsidRPr="00A4240B" w:rsidRDefault="003627E6" w:rsidP="00A4240B">
            <w:pPr>
              <w:rPr>
                <w:sz w:val="18"/>
                <w:szCs w:val="18"/>
              </w:rPr>
            </w:pPr>
            <w:r w:rsidRPr="00A4240B">
              <w:rPr>
                <w:b/>
                <w:bCs/>
                <w:color w:val="FFFFFF"/>
                <w:sz w:val="18"/>
                <w:szCs w:val="18"/>
              </w:rPr>
              <w:t>Measure</w:t>
            </w:r>
          </w:p>
        </w:tc>
        <w:tc>
          <w:tcPr>
            <w:tcW w:w="3489" w:type="dxa"/>
          </w:tcPr>
          <w:p w14:paraId="68E7822B" w14:textId="77777777" w:rsidR="003627E6" w:rsidRPr="00A4240B" w:rsidRDefault="003627E6" w:rsidP="00A4240B">
            <w:pPr>
              <w:rPr>
                <w:sz w:val="18"/>
                <w:szCs w:val="18"/>
              </w:rPr>
            </w:pPr>
            <w:r w:rsidRPr="00A4240B">
              <w:rPr>
                <w:b/>
                <w:bCs/>
                <w:color w:val="FFFFFF"/>
                <w:sz w:val="18"/>
                <w:szCs w:val="18"/>
              </w:rPr>
              <w:t>Data source</w:t>
            </w:r>
          </w:p>
        </w:tc>
      </w:tr>
      <w:tr w:rsidR="003627E6" w:rsidRPr="00A4240B" w14:paraId="24647BCE" w14:textId="77777777" w:rsidTr="006E2FF1">
        <w:trPr>
          <w:cantSplit/>
        </w:trPr>
        <w:tc>
          <w:tcPr>
            <w:tcW w:w="3489" w:type="dxa"/>
          </w:tcPr>
          <w:p w14:paraId="02BC62EE" w14:textId="77777777" w:rsidR="003627E6" w:rsidRPr="00A4240B" w:rsidRDefault="003627E6" w:rsidP="00A4240B">
            <w:pPr>
              <w:spacing w:before="40" w:after="40"/>
              <w:rPr>
                <w:sz w:val="18"/>
                <w:szCs w:val="18"/>
              </w:rPr>
            </w:pPr>
            <w:r w:rsidRPr="00A4240B">
              <w:rPr>
                <w:sz w:val="18"/>
                <w:szCs w:val="18"/>
              </w:rPr>
              <w:t>Increase in participant education and employment opportunities.</w:t>
            </w:r>
          </w:p>
        </w:tc>
        <w:tc>
          <w:tcPr>
            <w:tcW w:w="3489" w:type="dxa"/>
          </w:tcPr>
          <w:p w14:paraId="102BFE75" w14:textId="77777777" w:rsidR="003627E6" w:rsidRPr="00A4240B" w:rsidRDefault="003627E6" w:rsidP="00A4240B">
            <w:pPr>
              <w:spacing w:before="40" w:after="40"/>
              <w:rPr>
                <w:sz w:val="18"/>
                <w:szCs w:val="18"/>
              </w:rPr>
            </w:pPr>
            <w:r w:rsidRPr="00A4240B">
              <w:rPr>
                <w:sz w:val="18"/>
                <w:szCs w:val="18"/>
              </w:rPr>
              <w:t>Participation rate in education.</w:t>
            </w:r>
          </w:p>
        </w:tc>
        <w:tc>
          <w:tcPr>
            <w:tcW w:w="3489" w:type="dxa"/>
          </w:tcPr>
          <w:p w14:paraId="02CD989D" w14:textId="77777777" w:rsidR="003627E6" w:rsidRPr="00A4240B" w:rsidRDefault="003627E6" w:rsidP="000501D3">
            <w:pPr>
              <w:pStyle w:val="Tabledot2"/>
            </w:pPr>
            <w:r w:rsidRPr="00A4240B">
              <w:t>Referral, exit and post-exit check-in data</w:t>
            </w:r>
          </w:p>
        </w:tc>
      </w:tr>
      <w:tr w:rsidR="003627E6" w:rsidRPr="00A4240B" w14:paraId="708BA2CC" w14:textId="77777777" w:rsidTr="006E2FF1">
        <w:trPr>
          <w:cantSplit/>
        </w:trPr>
        <w:tc>
          <w:tcPr>
            <w:tcW w:w="3489" w:type="dxa"/>
          </w:tcPr>
          <w:p w14:paraId="7A158E2C" w14:textId="77777777" w:rsidR="003627E6" w:rsidRPr="00A4240B" w:rsidRDefault="003627E6" w:rsidP="00A4240B">
            <w:pPr>
              <w:spacing w:before="40" w:after="40"/>
              <w:rPr>
                <w:sz w:val="18"/>
                <w:szCs w:val="18"/>
              </w:rPr>
            </w:pPr>
            <w:r w:rsidRPr="00A4240B">
              <w:rPr>
                <w:sz w:val="18"/>
                <w:szCs w:val="18"/>
              </w:rPr>
              <w:t>Increase in participant education and employment opportunities.</w:t>
            </w:r>
          </w:p>
        </w:tc>
        <w:tc>
          <w:tcPr>
            <w:tcW w:w="3489" w:type="dxa"/>
          </w:tcPr>
          <w:p w14:paraId="27FC219A" w14:textId="77777777" w:rsidR="003627E6" w:rsidRPr="00A4240B" w:rsidRDefault="003627E6" w:rsidP="00A4240B">
            <w:pPr>
              <w:spacing w:before="40" w:after="40"/>
              <w:rPr>
                <w:sz w:val="18"/>
                <w:szCs w:val="18"/>
              </w:rPr>
            </w:pPr>
            <w:r w:rsidRPr="00A4240B">
              <w:rPr>
                <w:sz w:val="18"/>
                <w:szCs w:val="18"/>
              </w:rPr>
              <w:t>Participation rate in employment.</w:t>
            </w:r>
          </w:p>
        </w:tc>
        <w:tc>
          <w:tcPr>
            <w:tcW w:w="3489" w:type="dxa"/>
          </w:tcPr>
          <w:p w14:paraId="0EA1CEEA" w14:textId="77777777" w:rsidR="003627E6" w:rsidRPr="00A4240B" w:rsidRDefault="003627E6" w:rsidP="000501D3">
            <w:pPr>
              <w:pStyle w:val="Tabledot2"/>
            </w:pPr>
            <w:r w:rsidRPr="00A4240B">
              <w:t>Referral, exit and post-exit check-in data</w:t>
            </w:r>
          </w:p>
        </w:tc>
      </w:tr>
      <w:tr w:rsidR="003627E6" w:rsidRPr="00A4240B" w14:paraId="77F85C9E" w14:textId="77777777" w:rsidTr="006E2FF1">
        <w:trPr>
          <w:cantSplit/>
        </w:trPr>
        <w:tc>
          <w:tcPr>
            <w:tcW w:w="3489" w:type="dxa"/>
          </w:tcPr>
          <w:p w14:paraId="438A4E2C" w14:textId="77777777" w:rsidR="003627E6" w:rsidRPr="00A4240B" w:rsidRDefault="003627E6" w:rsidP="00A4240B">
            <w:pPr>
              <w:spacing w:before="40" w:after="40"/>
              <w:rPr>
                <w:sz w:val="18"/>
                <w:szCs w:val="18"/>
              </w:rPr>
            </w:pPr>
            <w:r w:rsidRPr="00A4240B">
              <w:rPr>
                <w:sz w:val="18"/>
                <w:szCs w:val="18"/>
              </w:rPr>
              <w:t>Increase in participant education and employment opportunities.</w:t>
            </w:r>
          </w:p>
        </w:tc>
        <w:tc>
          <w:tcPr>
            <w:tcW w:w="3489" w:type="dxa"/>
          </w:tcPr>
          <w:p w14:paraId="2BE5C667" w14:textId="77777777" w:rsidR="003627E6" w:rsidRPr="00A4240B" w:rsidRDefault="003627E6" w:rsidP="00A4240B">
            <w:pPr>
              <w:spacing w:before="40" w:after="40"/>
              <w:rPr>
                <w:sz w:val="18"/>
                <w:szCs w:val="18"/>
              </w:rPr>
            </w:pPr>
            <w:r w:rsidRPr="00A4240B">
              <w:rPr>
                <w:sz w:val="18"/>
                <w:szCs w:val="18"/>
              </w:rPr>
              <w:t>Reported enablers and barriers to participation.</w:t>
            </w:r>
          </w:p>
        </w:tc>
        <w:tc>
          <w:tcPr>
            <w:tcW w:w="3489" w:type="dxa"/>
          </w:tcPr>
          <w:p w14:paraId="28F91DC8" w14:textId="77777777" w:rsidR="003627E6" w:rsidRPr="00A4240B" w:rsidRDefault="003627E6" w:rsidP="000501D3">
            <w:pPr>
              <w:pStyle w:val="Tabledot2"/>
            </w:pPr>
            <w:r w:rsidRPr="00A4240B">
              <w:t>Referral, exit and post-exit check-in data</w:t>
            </w:r>
          </w:p>
        </w:tc>
      </w:tr>
      <w:tr w:rsidR="003627E6" w:rsidRPr="00A4240B" w14:paraId="02162962" w14:textId="77777777" w:rsidTr="006E2FF1">
        <w:trPr>
          <w:cantSplit/>
        </w:trPr>
        <w:tc>
          <w:tcPr>
            <w:tcW w:w="3489" w:type="dxa"/>
          </w:tcPr>
          <w:p w14:paraId="18425B07" w14:textId="77777777" w:rsidR="003627E6" w:rsidRPr="00A4240B" w:rsidRDefault="003627E6" w:rsidP="00A4240B">
            <w:pPr>
              <w:spacing w:before="40" w:after="40"/>
              <w:rPr>
                <w:sz w:val="18"/>
                <w:szCs w:val="18"/>
              </w:rPr>
            </w:pPr>
            <w:r w:rsidRPr="00A4240B">
              <w:rPr>
                <w:sz w:val="18"/>
                <w:szCs w:val="18"/>
              </w:rPr>
              <w:t>Increase in clients living in stable housing.</w:t>
            </w:r>
          </w:p>
        </w:tc>
        <w:tc>
          <w:tcPr>
            <w:tcW w:w="3489" w:type="dxa"/>
          </w:tcPr>
          <w:p w14:paraId="44AACFFE" w14:textId="77777777" w:rsidR="003627E6" w:rsidRPr="00A4240B" w:rsidRDefault="003627E6" w:rsidP="00A4240B">
            <w:pPr>
              <w:spacing w:before="40" w:after="40"/>
              <w:rPr>
                <w:sz w:val="18"/>
                <w:szCs w:val="18"/>
              </w:rPr>
            </w:pPr>
            <w:r w:rsidRPr="00A4240B">
              <w:rPr>
                <w:sz w:val="18"/>
                <w:szCs w:val="18"/>
              </w:rPr>
              <w:t>Number and proportion of participants in stable housing.</w:t>
            </w:r>
          </w:p>
        </w:tc>
        <w:tc>
          <w:tcPr>
            <w:tcW w:w="3489" w:type="dxa"/>
          </w:tcPr>
          <w:p w14:paraId="67FA22CE" w14:textId="77777777" w:rsidR="003627E6" w:rsidRPr="00A4240B" w:rsidRDefault="003627E6" w:rsidP="000501D3">
            <w:pPr>
              <w:pStyle w:val="Tabledot2"/>
            </w:pPr>
            <w:r w:rsidRPr="00A4240B">
              <w:t>Referral, exit and post-exit check-in data</w:t>
            </w:r>
          </w:p>
        </w:tc>
      </w:tr>
      <w:tr w:rsidR="003627E6" w:rsidRPr="00A4240B" w14:paraId="0F927841" w14:textId="77777777" w:rsidTr="006E2FF1">
        <w:trPr>
          <w:cantSplit/>
        </w:trPr>
        <w:tc>
          <w:tcPr>
            <w:tcW w:w="3489" w:type="dxa"/>
          </w:tcPr>
          <w:p w14:paraId="1A5D4495" w14:textId="77777777" w:rsidR="003627E6" w:rsidRPr="00A4240B" w:rsidRDefault="003627E6" w:rsidP="00A4240B">
            <w:pPr>
              <w:spacing w:before="40" w:after="40"/>
              <w:rPr>
                <w:sz w:val="18"/>
                <w:szCs w:val="18"/>
              </w:rPr>
            </w:pPr>
            <w:r w:rsidRPr="00A4240B">
              <w:rPr>
                <w:sz w:val="18"/>
                <w:szCs w:val="18"/>
              </w:rPr>
              <w:t>Increase in stable childcare support.</w:t>
            </w:r>
          </w:p>
        </w:tc>
        <w:tc>
          <w:tcPr>
            <w:tcW w:w="3489" w:type="dxa"/>
          </w:tcPr>
          <w:p w14:paraId="071CC56D" w14:textId="77777777" w:rsidR="003627E6" w:rsidRPr="00A4240B" w:rsidRDefault="003627E6" w:rsidP="00A4240B">
            <w:pPr>
              <w:spacing w:before="40" w:after="40"/>
              <w:rPr>
                <w:sz w:val="18"/>
                <w:szCs w:val="18"/>
              </w:rPr>
            </w:pPr>
            <w:r w:rsidRPr="00A4240B">
              <w:rPr>
                <w:sz w:val="18"/>
                <w:szCs w:val="18"/>
              </w:rPr>
              <w:t>Number and proportion of participants reporting stable childcare support.</w:t>
            </w:r>
          </w:p>
        </w:tc>
        <w:tc>
          <w:tcPr>
            <w:tcW w:w="3489" w:type="dxa"/>
          </w:tcPr>
          <w:p w14:paraId="75CE8A09" w14:textId="77777777" w:rsidR="003627E6" w:rsidRPr="00A4240B" w:rsidRDefault="003627E6" w:rsidP="000501D3">
            <w:pPr>
              <w:pStyle w:val="Tabledot2"/>
            </w:pPr>
            <w:r w:rsidRPr="00A4240B">
              <w:t>Referral, exit and post-exit check-in data</w:t>
            </w:r>
          </w:p>
        </w:tc>
      </w:tr>
      <w:tr w:rsidR="003627E6" w:rsidRPr="00A4240B" w14:paraId="586F1F3B" w14:textId="77777777" w:rsidTr="006E2FF1">
        <w:trPr>
          <w:cantSplit/>
        </w:trPr>
        <w:tc>
          <w:tcPr>
            <w:tcW w:w="3489" w:type="dxa"/>
          </w:tcPr>
          <w:p w14:paraId="2B730A95" w14:textId="77777777" w:rsidR="003627E6" w:rsidRPr="00A4240B" w:rsidRDefault="003627E6" w:rsidP="00A4240B">
            <w:pPr>
              <w:spacing w:before="40" w:after="40"/>
              <w:rPr>
                <w:sz w:val="18"/>
                <w:szCs w:val="18"/>
              </w:rPr>
            </w:pPr>
            <w:r w:rsidRPr="00A4240B">
              <w:rPr>
                <w:sz w:val="18"/>
                <w:szCs w:val="18"/>
              </w:rPr>
              <w:t>Improved physical and mental health and wellbeing.</w:t>
            </w:r>
          </w:p>
        </w:tc>
        <w:tc>
          <w:tcPr>
            <w:tcW w:w="3489" w:type="dxa"/>
          </w:tcPr>
          <w:p w14:paraId="7769B43E" w14:textId="77777777" w:rsidR="003627E6" w:rsidRPr="00A4240B" w:rsidRDefault="003627E6" w:rsidP="00A4240B">
            <w:pPr>
              <w:spacing w:before="40" w:after="40"/>
              <w:rPr>
                <w:sz w:val="18"/>
                <w:szCs w:val="18"/>
              </w:rPr>
            </w:pPr>
            <w:r w:rsidRPr="00A4240B">
              <w:rPr>
                <w:sz w:val="18"/>
                <w:szCs w:val="18"/>
              </w:rPr>
              <w:t>Proportion of participants reporting good levels of mental health and wellbeing.</w:t>
            </w:r>
          </w:p>
        </w:tc>
        <w:tc>
          <w:tcPr>
            <w:tcW w:w="3489" w:type="dxa"/>
          </w:tcPr>
          <w:p w14:paraId="2D34AA1E" w14:textId="77777777" w:rsidR="003627E6" w:rsidRPr="00A4240B" w:rsidRDefault="003627E6" w:rsidP="000501D3">
            <w:pPr>
              <w:pStyle w:val="Tabledot2"/>
            </w:pPr>
            <w:r w:rsidRPr="00A4240B">
              <w:t>Referral, exit and post-exit check-in data</w:t>
            </w:r>
          </w:p>
        </w:tc>
      </w:tr>
      <w:tr w:rsidR="003627E6" w:rsidRPr="00A4240B" w14:paraId="7548305C" w14:textId="77777777" w:rsidTr="006E2FF1">
        <w:trPr>
          <w:cantSplit/>
        </w:trPr>
        <w:tc>
          <w:tcPr>
            <w:tcW w:w="3489" w:type="dxa"/>
          </w:tcPr>
          <w:p w14:paraId="4851E5B5" w14:textId="77777777" w:rsidR="003627E6" w:rsidRPr="00A4240B" w:rsidRDefault="003627E6" w:rsidP="00A4240B">
            <w:pPr>
              <w:spacing w:before="40" w:after="40"/>
              <w:rPr>
                <w:sz w:val="18"/>
                <w:szCs w:val="18"/>
              </w:rPr>
            </w:pPr>
            <w:r w:rsidRPr="00A4240B">
              <w:rPr>
                <w:sz w:val="18"/>
                <w:szCs w:val="18"/>
              </w:rPr>
              <w:t>Improved physical and mental health and wellbeing.</w:t>
            </w:r>
          </w:p>
        </w:tc>
        <w:tc>
          <w:tcPr>
            <w:tcW w:w="3489" w:type="dxa"/>
          </w:tcPr>
          <w:p w14:paraId="08E63576" w14:textId="77777777" w:rsidR="003627E6" w:rsidRPr="00A4240B" w:rsidRDefault="003627E6" w:rsidP="00A4240B">
            <w:pPr>
              <w:spacing w:before="40" w:after="40"/>
              <w:rPr>
                <w:sz w:val="18"/>
                <w:szCs w:val="18"/>
              </w:rPr>
            </w:pPr>
            <w:r w:rsidRPr="00A4240B">
              <w:rPr>
                <w:sz w:val="18"/>
                <w:szCs w:val="18"/>
              </w:rPr>
              <w:t>Proportion of participants reporting a high level of confidence (to be defined).</w:t>
            </w:r>
          </w:p>
        </w:tc>
        <w:tc>
          <w:tcPr>
            <w:tcW w:w="3489" w:type="dxa"/>
          </w:tcPr>
          <w:p w14:paraId="029DA824" w14:textId="77777777" w:rsidR="003627E6" w:rsidRPr="00A4240B" w:rsidRDefault="003627E6" w:rsidP="000501D3">
            <w:pPr>
              <w:pStyle w:val="Tabledot2"/>
            </w:pPr>
            <w:r w:rsidRPr="00A4240B">
              <w:t>Referral, exit and post-exit check-in data</w:t>
            </w:r>
          </w:p>
        </w:tc>
      </w:tr>
      <w:tr w:rsidR="003627E6" w:rsidRPr="00A4240B" w14:paraId="26A21DDE" w14:textId="77777777" w:rsidTr="006E2FF1">
        <w:trPr>
          <w:cantSplit/>
        </w:trPr>
        <w:tc>
          <w:tcPr>
            <w:tcW w:w="3489" w:type="dxa"/>
          </w:tcPr>
          <w:p w14:paraId="1F7A504D" w14:textId="77777777" w:rsidR="003627E6" w:rsidRPr="00A4240B" w:rsidRDefault="003627E6" w:rsidP="00A4240B">
            <w:pPr>
              <w:spacing w:before="40" w:after="40"/>
              <w:rPr>
                <w:sz w:val="18"/>
                <w:szCs w:val="18"/>
              </w:rPr>
            </w:pPr>
            <w:r w:rsidRPr="00A4240B">
              <w:rPr>
                <w:sz w:val="18"/>
                <w:szCs w:val="18"/>
              </w:rPr>
              <w:t>Increase in sense of connection with family and community.</w:t>
            </w:r>
          </w:p>
        </w:tc>
        <w:tc>
          <w:tcPr>
            <w:tcW w:w="3489" w:type="dxa"/>
          </w:tcPr>
          <w:p w14:paraId="32676188" w14:textId="77777777" w:rsidR="003627E6" w:rsidRPr="00A4240B" w:rsidRDefault="003627E6" w:rsidP="00A4240B">
            <w:pPr>
              <w:spacing w:before="40" w:after="40"/>
              <w:rPr>
                <w:sz w:val="18"/>
                <w:szCs w:val="18"/>
              </w:rPr>
            </w:pPr>
            <w:r w:rsidRPr="00A4240B">
              <w:rPr>
                <w:sz w:val="18"/>
                <w:szCs w:val="18"/>
              </w:rPr>
              <w:t>Proportion of participants reporting a strong sense of connection.</w:t>
            </w:r>
          </w:p>
        </w:tc>
        <w:tc>
          <w:tcPr>
            <w:tcW w:w="3489" w:type="dxa"/>
          </w:tcPr>
          <w:p w14:paraId="431563CA" w14:textId="77777777" w:rsidR="003627E6" w:rsidRPr="00A4240B" w:rsidRDefault="003627E6" w:rsidP="000501D3">
            <w:pPr>
              <w:pStyle w:val="Tabledot2"/>
            </w:pPr>
            <w:r w:rsidRPr="00A4240B">
              <w:t>Referral, exit and post-exit check-in data</w:t>
            </w:r>
          </w:p>
        </w:tc>
      </w:tr>
    </w:tbl>
    <w:p w14:paraId="2F9EBE78" w14:textId="01BC8634" w:rsidR="00712ECD" w:rsidRDefault="00712ECD" w:rsidP="007E0AFE">
      <w:pPr>
        <w:spacing w:before="0" w:after="160" w:line="259" w:lineRule="auto"/>
        <w:rPr>
          <w:rFonts w:asciiTheme="majorHAnsi" w:eastAsiaTheme="majorEastAsia" w:hAnsiTheme="majorHAnsi" w:cstheme="majorBidi"/>
          <w:color w:val="00BE6E" w:themeColor="text2"/>
          <w:sz w:val="44"/>
          <w:szCs w:val="32"/>
          <w:lang w:eastAsia="en-AU"/>
        </w:rPr>
      </w:pPr>
      <w:r>
        <w:br w:type="page"/>
      </w:r>
    </w:p>
    <w:p w14:paraId="1D26622A" w14:textId="0249CF3F" w:rsidR="00700AA3" w:rsidRPr="00700AA3" w:rsidRDefault="00B803EF" w:rsidP="007E0AFE">
      <w:pPr>
        <w:pStyle w:val="Heading2"/>
      </w:pPr>
      <w:bookmarkStart w:id="86" w:name="_Ref200111881"/>
      <w:bookmarkStart w:id="87" w:name="_Toc201908132"/>
      <w:r>
        <w:lastRenderedPageBreak/>
        <w:t>Appendix 2. Methodology in detail</w:t>
      </w:r>
      <w:bookmarkEnd w:id="86"/>
      <w:bookmarkEnd w:id="87"/>
    </w:p>
    <w:p w14:paraId="539F0C7A" w14:textId="1131C1B7" w:rsidR="00605BC9" w:rsidRDefault="00605BC9" w:rsidP="007E0AFE">
      <w:r w:rsidRPr="003D14C5">
        <w:t xml:space="preserve">This evaluation applied a </w:t>
      </w:r>
      <w:r w:rsidRPr="00F323B1">
        <w:t>mixed methods approach</w:t>
      </w:r>
      <w:r w:rsidRPr="003D14C5">
        <w:t xml:space="preserve"> designed to assess aspects of appropriateness, effectiveness, and efficiency across three broad phases of work: evaluation planning, data collection, and analysis, followed by reporting and presentations.</w:t>
      </w:r>
    </w:p>
    <w:p w14:paraId="17AE7EFD" w14:textId="77777777" w:rsidR="00605BC9" w:rsidRPr="00646B39" w:rsidRDefault="00605BC9" w:rsidP="00646B39">
      <w:pPr>
        <w:pStyle w:val="Heading3"/>
        <w:rPr>
          <w:sz w:val="32"/>
          <w:szCs w:val="32"/>
        </w:rPr>
      </w:pPr>
      <w:r w:rsidRPr="00646B39">
        <w:rPr>
          <w:sz w:val="32"/>
          <w:szCs w:val="32"/>
        </w:rPr>
        <w:t>Evaluation planning (June-August 2024)</w:t>
      </w:r>
    </w:p>
    <w:p w14:paraId="1C4A5B25" w14:textId="77777777" w:rsidR="00605BC9" w:rsidRDefault="00605BC9" w:rsidP="007E0AFE">
      <w:r w:rsidRPr="003D14C5">
        <w:t>The project commenced in June 2024 with the evaluation planning phase. This involved an inception meeting, an evaluation workshop,</w:t>
      </w:r>
      <w:r>
        <w:t xml:space="preserve"> initial</w:t>
      </w:r>
      <w:r w:rsidRPr="003D14C5">
        <w:t xml:space="preserve"> document and literature reviews, and the development of the evaluation framework and project plan. </w:t>
      </w:r>
    </w:p>
    <w:p w14:paraId="6B976CDC" w14:textId="77777777" w:rsidR="00605BC9" w:rsidRPr="00646B39" w:rsidRDefault="00605BC9" w:rsidP="00646B39">
      <w:pPr>
        <w:pStyle w:val="Heading4"/>
        <w:rPr>
          <w:sz w:val="28"/>
          <w:szCs w:val="28"/>
        </w:rPr>
      </w:pPr>
      <w:r w:rsidRPr="00646B39">
        <w:rPr>
          <w:sz w:val="28"/>
          <w:szCs w:val="28"/>
        </w:rPr>
        <w:t>Program logic and evaluation framework development</w:t>
      </w:r>
    </w:p>
    <w:p w14:paraId="2B382CA2" w14:textId="3A2236C9" w:rsidR="00605BC9" w:rsidRPr="00AA7544" w:rsidRDefault="00605BC9" w:rsidP="007E0AFE">
      <w:r w:rsidRPr="00AA7544">
        <w:t xml:space="preserve">The STPP program logic, which was previously developed by the department, was reviewed and updated as part of this evaluation. The </w:t>
      </w:r>
      <w:r w:rsidRPr="00F323B1">
        <w:t>evaluation planning workshop</w:t>
      </w:r>
      <w:r w:rsidRPr="00AA7544">
        <w:t xml:space="preserve"> on 25 June 2024</w:t>
      </w:r>
      <w:r w:rsidR="00013F33">
        <w:t>,</w:t>
      </w:r>
      <w:r>
        <w:t xml:space="preserve"> and attended by departmental staff</w:t>
      </w:r>
      <w:r w:rsidR="00013F33">
        <w:t>,</w:t>
      </w:r>
      <w:r w:rsidRPr="00AA7544">
        <w:t xml:space="preserve"> included a review of the STPP program logic and ARP theory of change, </w:t>
      </w:r>
      <w:r>
        <w:t>with discussion of</w:t>
      </w:r>
      <w:r w:rsidRPr="00AA7544">
        <w:t xml:space="preserve"> potential updates.</w:t>
      </w:r>
    </w:p>
    <w:p w14:paraId="25150E4E" w14:textId="77777777" w:rsidR="00605BC9" w:rsidRPr="00AA7544" w:rsidRDefault="00605BC9" w:rsidP="007E0AFE">
      <w:r w:rsidRPr="00AA7544">
        <w:t>Insights from this workshop, along with further review of material provided by the department and key stakeholders</w:t>
      </w:r>
      <w:r>
        <w:t xml:space="preserve"> </w:t>
      </w:r>
      <w:r w:rsidRPr="00AA7544">
        <w:t>inform</w:t>
      </w:r>
      <w:r>
        <w:t>ed</w:t>
      </w:r>
      <w:r w:rsidRPr="00AA7544">
        <w:t xml:space="preserve"> the development of a </w:t>
      </w:r>
      <w:r w:rsidRPr="00F323B1">
        <w:t>revised program logic and evaluation frameworks for the STPP and the ARP</w:t>
      </w:r>
      <w:r w:rsidRPr="00AA7544">
        <w:t>. The evaluation framework</w:t>
      </w:r>
      <w:r>
        <w:t>s</w:t>
      </w:r>
      <w:r w:rsidRPr="00AA7544">
        <w:t xml:space="preserve"> also included the key evaluation questions stipulated by the department, designed to address the scope of the evaluation for both the STPP and the ARP</w:t>
      </w:r>
      <w:r>
        <w:t xml:space="preserve">. The program logic and evaluation frameworks were </w:t>
      </w:r>
      <w:r w:rsidRPr="00AA7544">
        <w:t>further reviewed and refined in consultation with the department and informed by lived experience</w:t>
      </w:r>
      <w:r>
        <w:t xml:space="preserve"> and further stakeholder</w:t>
      </w:r>
      <w:r w:rsidRPr="00AA7544">
        <w:t xml:space="preserve"> input later in the evaluation.</w:t>
      </w:r>
    </w:p>
    <w:p w14:paraId="33D29CCE" w14:textId="77777777" w:rsidR="00605BC9" w:rsidRPr="00646B39" w:rsidRDefault="00605BC9" w:rsidP="00646B39">
      <w:pPr>
        <w:pStyle w:val="Heading4"/>
        <w:rPr>
          <w:sz w:val="28"/>
          <w:szCs w:val="28"/>
        </w:rPr>
      </w:pPr>
      <w:r w:rsidRPr="00646B39">
        <w:rPr>
          <w:sz w:val="28"/>
          <w:szCs w:val="28"/>
        </w:rPr>
        <w:t>Desktop review</w:t>
      </w:r>
    </w:p>
    <w:p w14:paraId="31D655D7" w14:textId="77777777" w:rsidR="00605BC9" w:rsidRPr="003D14C5" w:rsidRDefault="00605BC9" w:rsidP="007E0AFE">
      <w:r w:rsidRPr="003D14C5">
        <w:t xml:space="preserve">A </w:t>
      </w:r>
      <w:r w:rsidRPr="00F323B1">
        <w:t>desktop review</w:t>
      </w:r>
      <w:r w:rsidRPr="003D14C5">
        <w:t xml:space="preserve"> was undertaken to ensure that programme documentation and other literature fully informed the report. The focus was on describing the intended programme operation, the programme and policy context, and updating the evidence for best practice for similar programmes. Material provided by the department was primarily relied upon, supplemented by publicly available sources. Specific contextual documents reviewed included the ARP Working Group Final Report (Dec 2021), relevant grant agreements and operational requirements, the AFP Human Trafficking and Slavery Strategic Plan 2023–2026, and the Parliamentary Joint Standing Committee report, Hidden in Plain Sight (Dec 2017).</w:t>
      </w:r>
      <w:r>
        <w:t xml:space="preserve"> This review was delivered as a separate document in August 2024. The review was also included as part of secondary data collection and analysis in subsequent phases of the project. </w:t>
      </w:r>
    </w:p>
    <w:p w14:paraId="731A6B5A" w14:textId="77777777" w:rsidR="00605BC9" w:rsidRPr="00646B39" w:rsidRDefault="00605BC9" w:rsidP="00646B39">
      <w:pPr>
        <w:pStyle w:val="Heading3"/>
        <w:rPr>
          <w:sz w:val="32"/>
          <w:szCs w:val="32"/>
        </w:rPr>
      </w:pPr>
      <w:r w:rsidRPr="00646B39">
        <w:rPr>
          <w:sz w:val="32"/>
          <w:szCs w:val="32"/>
        </w:rPr>
        <w:t>Data collection (September 2024 – March 2025)</w:t>
      </w:r>
    </w:p>
    <w:p w14:paraId="579552D5" w14:textId="77777777" w:rsidR="00605BC9" w:rsidRDefault="00605BC9" w:rsidP="007E0AFE">
      <w:r>
        <w:t>I</w:t>
      </w:r>
      <w:r w:rsidRPr="004A1944">
        <w:t>n addition to collecting original, first-hand information specifically for the evaluation (primary data from interviews with clients and stakeholders), the evaluat</w:t>
      </w:r>
      <w:r>
        <w:t>ion</w:t>
      </w:r>
      <w:r w:rsidRPr="004A1944">
        <w:t xml:space="preserve"> utilised existing information that was collected for other purposes (secondary data from program reports, administrative data, and policy documents)</w:t>
      </w:r>
      <w:r>
        <w:t>.</w:t>
      </w:r>
    </w:p>
    <w:p w14:paraId="16978807" w14:textId="77777777" w:rsidR="00605BC9" w:rsidRDefault="00605BC9" w:rsidP="007E0AFE">
      <w:r w:rsidRPr="003D14C5">
        <w:t xml:space="preserve">All aspects of data access, collection, storage, and use were managed in line with a comprehensive data management plan. Key personnel involved in the evaluation signed deeds of confidentiality and held necessary security clearances for accessing materials. Access to materials was approved through relevant procedures and was compliant with relevant policies and legislation, including the </w:t>
      </w:r>
      <w:r w:rsidRPr="003D14C5">
        <w:rPr>
          <w:i/>
          <w:iCs/>
        </w:rPr>
        <w:t>Privacy Act 1988</w:t>
      </w:r>
      <w:r w:rsidRPr="003D14C5">
        <w:t xml:space="preserve"> (</w:t>
      </w:r>
      <w:proofErr w:type="spellStart"/>
      <w:r w:rsidRPr="003D14C5">
        <w:t>Cth</w:t>
      </w:r>
      <w:proofErr w:type="spellEnd"/>
      <w:r w:rsidRPr="003D14C5">
        <w:t>).</w:t>
      </w:r>
    </w:p>
    <w:p w14:paraId="4E4A356E" w14:textId="77777777" w:rsidR="00605BC9" w:rsidRPr="00646B39" w:rsidRDefault="00605BC9" w:rsidP="00646B39">
      <w:pPr>
        <w:pStyle w:val="Heading4"/>
        <w:rPr>
          <w:sz w:val="28"/>
          <w:szCs w:val="28"/>
        </w:rPr>
      </w:pPr>
      <w:r w:rsidRPr="00646B39">
        <w:rPr>
          <w:sz w:val="28"/>
          <w:szCs w:val="28"/>
        </w:rPr>
        <w:t>Primary data</w:t>
      </w:r>
    </w:p>
    <w:p w14:paraId="0FF0A258" w14:textId="77777777" w:rsidR="00605BC9" w:rsidRPr="003D14C5" w:rsidRDefault="00605BC9" w:rsidP="007E0AFE">
      <w:r w:rsidRPr="00F323B1">
        <w:t>Primary data</w:t>
      </w:r>
      <w:r w:rsidRPr="003D14C5">
        <w:rPr>
          <w:b/>
          <w:bCs/>
        </w:rPr>
        <w:t xml:space="preserve"> </w:t>
      </w:r>
      <w:r w:rsidRPr="003D14C5">
        <w:t>was gathered directly from programme participants and stakeholders. Primary data collection allowed for research instruments to be tailored specifically to the aims of the evaluation and provided depth and richness.</w:t>
      </w:r>
    </w:p>
    <w:p w14:paraId="1D90B43B" w14:textId="77777777" w:rsidR="00605BC9" w:rsidRDefault="00605BC9" w:rsidP="007E0AFE">
      <w:r w:rsidRPr="003D14C5">
        <w:t xml:space="preserve">Primary data collection occurred between September 2024 and March 2025. Before the commencement of primary data collection, </w:t>
      </w:r>
      <w:r w:rsidRPr="00F323B1">
        <w:t>Human Research Ethics Committee (HREC) approval</w:t>
      </w:r>
      <w:r w:rsidRPr="008E76AD">
        <w:t xml:space="preserve"> was</w:t>
      </w:r>
      <w:r w:rsidRPr="003D14C5">
        <w:t xml:space="preserve"> obtained from the Victoria University HREC (Reference Number: EXT_HRE24-004). A draft ethics submission, including an overview of relevant literature, methodology and sample frame description, privacy and data security processes, research instruments, participant distress protocols, and participant information and informed consent forms, was provided to the Department for review prior to submission. </w:t>
      </w:r>
    </w:p>
    <w:p w14:paraId="535EFFFE" w14:textId="77777777" w:rsidR="00605BC9" w:rsidRPr="00B13A20" w:rsidRDefault="00605BC9" w:rsidP="00B13A20">
      <w:pPr>
        <w:pStyle w:val="Heading5"/>
        <w:spacing w:before="40" w:after="0" w:line="240" w:lineRule="auto"/>
        <w:rPr>
          <w:sz w:val="24"/>
        </w:rPr>
      </w:pPr>
      <w:r w:rsidRPr="00B13A20">
        <w:rPr>
          <w:sz w:val="24"/>
        </w:rPr>
        <w:lastRenderedPageBreak/>
        <w:t>Stakeholder engagement</w:t>
      </w:r>
    </w:p>
    <w:p w14:paraId="7E8F94D4" w14:textId="1006BB17" w:rsidR="00605BC9" w:rsidRDefault="00605BC9" w:rsidP="007E0AFE">
      <w:r w:rsidRPr="00F323B1">
        <w:t>Stakeholder engagement</w:t>
      </w:r>
      <w:r w:rsidRPr="003D14C5">
        <w:t xml:space="preserve"> aimed to understand programme implementation, identify barriers and enablers, a</w:t>
      </w:r>
      <w:r>
        <w:t>ssist interpretation of</w:t>
      </w:r>
      <w:r w:rsidRPr="003D14C5">
        <w:t xml:space="preserve"> administrative data, explore the theory of change, and assess the need for programme design adjustments. Stakeholders were identified through mapping exercise</w:t>
      </w:r>
      <w:r>
        <w:t>s</w:t>
      </w:r>
      <w:r w:rsidRPr="003D14C5">
        <w:t xml:space="preserve"> conducted in conjunction with the DSS, Red Cross, and</w:t>
      </w:r>
      <w:r w:rsidR="00953A56">
        <w:t xml:space="preserve"> The</w:t>
      </w:r>
      <w:r w:rsidRPr="003D14C5">
        <w:t xml:space="preserve"> Salvation Army</w:t>
      </w:r>
      <w:r>
        <w:t>.</w:t>
      </w:r>
      <w:r w:rsidRPr="003D14C5">
        <w:t xml:space="preserve"> Stakeholder selection </w:t>
      </w:r>
      <w:r>
        <w:t>was further informed by</w:t>
      </w:r>
      <w:r w:rsidRPr="003D14C5">
        <w:t xml:space="preserve"> background reading, attendance at network events, snowball sampling, and prioritisation discussions.</w:t>
      </w:r>
    </w:p>
    <w:p w14:paraId="654D75E2" w14:textId="77777777" w:rsidR="00605BC9" w:rsidRPr="003D14C5" w:rsidRDefault="00605BC9" w:rsidP="007E0AFE">
      <w:r w:rsidRPr="003D14C5">
        <w:t>Initial contact, including introductory meetings and email contact, was made between July and August 2024. In-depth interviews were conducted with representatives from a range of relevant stakeholders with a professional perspective on the STPP and ARP, including:</w:t>
      </w:r>
    </w:p>
    <w:p w14:paraId="67B05C74" w14:textId="77777777" w:rsidR="00605BC9" w:rsidRPr="003D14C5" w:rsidRDefault="00605BC9" w:rsidP="007E0AFE">
      <w:pPr>
        <w:pStyle w:val="Bullet1"/>
      </w:pPr>
      <w:r w:rsidRPr="003D14C5">
        <w:t>Commonwealth government agencies (e.g., DSS, AIC, AGD, Home Affairs, ABF, AFP)</w:t>
      </w:r>
    </w:p>
    <w:p w14:paraId="73D7C9EB" w14:textId="41BC4C62" w:rsidR="00605BC9" w:rsidRPr="003D14C5" w:rsidRDefault="00605BC9" w:rsidP="007E0AFE">
      <w:pPr>
        <w:pStyle w:val="Bullet1"/>
      </w:pPr>
      <w:r w:rsidRPr="003D14C5">
        <w:t xml:space="preserve">Service providers and delivery partners (e.g., Australian Red Cross, </w:t>
      </w:r>
      <w:r w:rsidR="00953A56">
        <w:t xml:space="preserve">The </w:t>
      </w:r>
      <w:r w:rsidRPr="003D14C5">
        <w:t>Salvation Army, consortium organisations)</w:t>
      </w:r>
    </w:p>
    <w:p w14:paraId="386A3F46" w14:textId="77777777" w:rsidR="00605BC9" w:rsidRPr="003D14C5" w:rsidRDefault="00605BC9" w:rsidP="007E0AFE">
      <w:pPr>
        <w:pStyle w:val="Bullet1"/>
      </w:pPr>
      <w:r w:rsidRPr="003D14C5">
        <w:t>Agencies that refer to and are referred from the STPP/ARP</w:t>
      </w:r>
    </w:p>
    <w:p w14:paraId="5F0A207E" w14:textId="60A90A38" w:rsidR="00605BC9" w:rsidRPr="003D14C5" w:rsidRDefault="00605BC9" w:rsidP="007E0AFE">
      <w:pPr>
        <w:pStyle w:val="Bullet1"/>
      </w:pPr>
      <w:r w:rsidRPr="003D14C5">
        <w:t xml:space="preserve">Other programmes supporting </w:t>
      </w:r>
      <w:r w:rsidR="006D5A5E">
        <w:t>people with HTMS experiences</w:t>
      </w:r>
    </w:p>
    <w:p w14:paraId="228D673A" w14:textId="77777777" w:rsidR="00605BC9" w:rsidRPr="003D14C5" w:rsidRDefault="00605BC9" w:rsidP="007E0AFE">
      <w:pPr>
        <w:pStyle w:val="Bullet1"/>
      </w:pPr>
      <w:r w:rsidRPr="003D14C5">
        <w:t>Related sector organisations and advocacy organisations working in the Human Trafficking and Modern Slavery (HTMS) space.</w:t>
      </w:r>
    </w:p>
    <w:p w14:paraId="25BDF3AA" w14:textId="4FF9EC05" w:rsidR="00605BC9" w:rsidRDefault="00605BC9" w:rsidP="007E0AFE">
      <w:r w:rsidRPr="003D14C5">
        <w:t xml:space="preserve">A total of </w:t>
      </w:r>
      <w:r w:rsidRPr="00F323B1">
        <w:t>72 individual stakeholders</w:t>
      </w:r>
      <w:r w:rsidRPr="003D14C5">
        <w:t xml:space="preserve"> were engaged. This included 33 from programme providers and delivery partners, 22 from government, and 17 from referral/referred to agencies and other agencies supporting or advocating for </w:t>
      </w:r>
      <w:r w:rsidR="006D5A5E">
        <w:t>p</w:t>
      </w:r>
      <w:r w:rsidR="006D5A5E" w:rsidRPr="002558C7">
        <w:t>eople with HTMS experiences</w:t>
      </w:r>
      <w:r w:rsidRPr="003D14C5">
        <w:t>.</w:t>
      </w:r>
    </w:p>
    <w:p w14:paraId="03398133" w14:textId="77777777" w:rsidR="00605BC9" w:rsidRPr="00B13A20" w:rsidRDefault="00605BC9" w:rsidP="00B13A20">
      <w:pPr>
        <w:pStyle w:val="Heading5"/>
        <w:spacing w:before="40" w:after="0" w:line="240" w:lineRule="auto"/>
        <w:rPr>
          <w:sz w:val="24"/>
        </w:rPr>
      </w:pPr>
      <w:r w:rsidRPr="00B13A20">
        <w:rPr>
          <w:sz w:val="24"/>
        </w:rPr>
        <w:t>Program participant engagement</w:t>
      </w:r>
    </w:p>
    <w:p w14:paraId="501E3D18" w14:textId="089DD3E5" w:rsidR="00605BC9" w:rsidRDefault="00605BC9" w:rsidP="007E0AFE">
      <w:r w:rsidRPr="00F323B1">
        <w:t>Programme participant engagement</w:t>
      </w:r>
      <w:r w:rsidRPr="003D14C5">
        <w:t xml:space="preserve"> involved collecting feedback on </w:t>
      </w:r>
      <w:r>
        <w:t xml:space="preserve">participants’ </w:t>
      </w:r>
      <w:r w:rsidRPr="003D14C5">
        <w:t xml:space="preserve">experiences and satisfaction. </w:t>
      </w:r>
      <w:r>
        <w:t>I</w:t>
      </w:r>
      <w:r w:rsidRPr="003D14C5">
        <w:t xml:space="preserve">nterviews focused on encouraging </w:t>
      </w:r>
      <w:r w:rsidR="008E76AD">
        <w:t>participants</w:t>
      </w:r>
      <w:r>
        <w:t xml:space="preserve"> </w:t>
      </w:r>
      <w:r w:rsidRPr="003D14C5">
        <w:t xml:space="preserve">to tell their service stories using </w:t>
      </w:r>
      <w:r w:rsidRPr="008E76AD">
        <w:t xml:space="preserve">a </w:t>
      </w:r>
      <w:r w:rsidRPr="00F323B1">
        <w:t>trauma-informed and experience mapping approach</w:t>
      </w:r>
      <w:r w:rsidRPr="008E76AD">
        <w:t xml:space="preserve">, without having to re-tell stories of victimisation. The approach was also </w:t>
      </w:r>
      <w:r w:rsidRPr="00F323B1">
        <w:t>strengths-based</w:t>
      </w:r>
      <w:r w:rsidRPr="008E76AD">
        <w:t>,</w:t>
      </w:r>
      <w:r w:rsidRPr="003D14C5">
        <w:t xml:space="preserve"> encouraging reflection on moments of successful transition and resilience. </w:t>
      </w:r>
    </w:p>
    <w:p w14:paraId="331AAB12" w14:textId="77777777" w:rsidR="00605BC9" w:rsidRDefault="00605BC9" w:rsidP="007E0AFE">
      <w:r w:rsidRPr="00AD46E7">
        <w:t xml:space="preserve">The aim was to recruit </w:t>
      </w:r>
      <w:r w:rsidRPr="008E76AD">
        <w:t xml:space="preserve">a </w:t>
      </w:r>
      <w:r w:rsidRPr="00F323B1">
        <w:t>sample of 50 participants and former participants across both the STPP and ARP programs</w:t>
      </w:r>
      <w:r w:rsidRPr="008E76AD">
        <w:t xml:space="preserve">. Participants were invited if they were </w:t>
      </w:r>
      <w:r w:rsidRPr="00F323B1">
        <w:t>current clients or former clients of the STPP referred since 2017</w:t>
      </w:r>
      <w:r w:rsidRPr="008E76AD">
        <w:t xml:space="preserve">. The goal was to achieve a sample that was as </w:t>
      </w:r>
      <w:r w:rsidRPr="00F323B1">
        <w:t>representative as possible</w:t>
      </w:r>
      <w:r w:rsidRPr="00AD46E7">
        <w:t xml:space="preserve"> across various criteria, including program stream, point in journey/time since exit, referral pathway (including ARP), age, gender, location, visa/residence status</w:t>
      </w:r>
      <w:r>
        <w:t>.</w:t>
      </w:r>
    </w:p>
    <w:p w14:paraId="2121AADB" w14:textId="41E06850" w:rsidR="00605BC9" w:rsidRPr="00AD46E7" w:rsidRDefault="00605BC9" w:rsidP="007E0AFE">
      <w:r>
        <w:t xml:space="preserve">A detailed contact and recruitment protocol was developed through collaboration between the evaluation team and the service provider. This ensured ethical, safe and practical recruitment without over-burdening service provider staff. </w:t>
      </w:r>
      <w:r w:rsidRPr="003D14C5">
        <w:t xml:space="preserve">Interviews with clients were conducted via MS Teams, Zoom, or by telephone call. </w:t>
      </w:r>
      <w:r>
        <w:t>Informed c</w:t>
      </w:r>
      <w:r w:rsidRPr="003D14C5">
        <w:t xml:space="preserve">onsent was </w:t>
      </w:r>
      <w:r>
        <w:t>obtained</w:t>
      </w:r>
      <w:r w:rsidRPr="003D14C5">
        <w:t xml:space="preserve"> from all programme </w:t>
      </w:r>
      <w:r>
        <w:t>participants engaged</w:t>
      </w:r>
      <w:r w:rsidRPr="003D14C5">
        <w:t>.</w:t>
      </w:r>
      <w:r>
        <w:t xml:space="preserve"> </w:t>
      </w:r>
      <w:r w:rsidRPr="003D14C5">
        <w:t xml:space="preserve">Where participants consented, interviews were </w:t>
      </w:r>
      <w:r w:rsidR="004B5601" w:rsidRPr="003D14C5">
        <w:t>recorded,</w:t>
      </w:r>
      <w:r w:rsidRPr="003D14C5">
        <w:t xml:space="preserve"> and transcriptions were made. The evaluation team engaged TIS National Interpreting services as required, with two interviews conducted with an interpreter present. </w:t>
      </w:r>
      <w:proofErr w:type="spellStart"/>
      <w:r w:rsidRPr="003D14C5">
        <w:t>Herspace</w:t>
      </w:r>
      <w:proofErr w:type="spellEnd"/>
      <w:r w:rsidRPr="003D14C5">
        <w:t xml:space="preserve"> independent counselling service was engaged to provide a once-off phone therapy session following an interview if requested by the participant.</w:t>
      </w:r>
      <w:r>
        <w:t xml:space="preserve"> </w:t>
      </w:r>
    </w:p>
    <w:p w14:paraId="23A45AD1" w14:textId="77777777" w:rsidR="00605BC9" w:rsidRDefault="00605BC9" w:rsidP="007E0AFE">
      <w:r w:rsidRPr="00F323B1">
        <w:rPr>
          <w:rFonts w:ascii="Barlow SemiBold" w:hAnsi="Barlow SemiBold"/>
        </w:rPr>
        <w:t>Exclusion Criteria</w:t>
      </w:r>
      <w:r w:rsidRPr="00AD46E7">
        <w:rPr>
          <w:b/>
          <w:bCs/>
        </w:rPr>
        <w:t>:</w:t>
      </w:r>
      <w:r w:rsidRPr="00AD46E7">
        <w:t xml:space="preserve"> Individuals were </w:t>
      </w:r>
      <w:r w:rsidRPr="00F323B1">
        <w:t xml:space="preserve">not invited to participate if it was deemed inappropriate due to their </w:t>
      </w:r>
      <w:proofErr w:type="gramStart"/>
      <w:r w:rsidRPr="00F323B1">
        <w:t>particular circumstances</w:t>
      </w:r>
      <w:proofErr w:type="gramEnd"/>
      <w:r w:rsidRPr="00533D1A">
        <w:t xml:space="preserve">. Specific exclusion criteria included </w:t>
      </w:r>
      <w:r w:rsidRPr="00F323B1">
        <w:t>participants</w:t>
      </w:r>
      <w:r w:rsidRPr="00533D1A">
        <w:t xml:space="preserve"> who were </w:t>
      </w:r>
      <w:r w:rsidRPr="00F323B1">
        <w:t xml:space="preserve">overseas, in hospital, in </w:t>
      </w:r>
      <w:proofErr w:type="gramStart"/>
      <w:r w:rsidRPr="00F323B1">
        <w:t>a crisis situation</w:t>
      </w:r>
      <w:proofErr w:type="gramEnd"/>
      <w:r w:rsidRPr="00F323B1">
        <w:t>, or dealing with a complex health, safety, or criminal justice issue</w:t>
      </w:r>
      <w:r w:rsidRPr="00533D1A">
        <w:t xml:space="preserve"> (with caseworkers using discretion to determine appropriateness). Those </w:t>
      </w:r>
      <w:r w:rsidRPr="00F323B1">
        <w:t>under the age of 18</w:t>
      </w:r>
      <w:r w:rsidRPr="00533D1A">
        <w:t xml:space="preserve"> were also excluded. Those who had been on the program for less than 3 months were also excluded. </w:t>
      </w:r>
      <w:r w:rsidRPr="00F323B1">
        <w:t>All others were considered eligible</w:t>
      </w:r>
      <w:r w:rsidRPr="00533D1A">
        <w:t xml:space="preserve"> to</w:t>
      </w:r>
      <w:r w:rsidRPr="00AD46E7">
        <w:t xml:space="preserve"> participate to maximise sample total and breadt</w:t>
      </w:r>
      <w:r>
        <w:t>h.</w:t>
      </w:r>
    </w:p>
    <w:p w14:paraId="733CD3CC" w14:textId="77777777" w:rsidR="00605BC9" w:rsidRDefault="00605BC9" w:rsidP="007E0AFE">
      <w:r w:rsidRPr="003D14C5">
        <w:t xml:space="preserve">A total of </w:t>
      </w:r>
      <w:r w:rsidRPr="00F323B1">
        <w:t>42 individuals who had lived experience</w:t>
      </w:r>
      <w:r w:rsidRPr="003D14C5">
        <w:t xml:space="preserve"> of the STPP programme were engaged. This included 36 who participated in an interview and 6 who provided written feedback</w:t>
      </w:r>
      <w:r>
        <w:t xml:space="preserve"> via a form hosted on the research platform Qualtrics and accessed via unique individual links. In addition to those</w:t>
      </w:r>
      <w:r w:rsidRPr="003D14C5">
        <w:t xml:space="preserve"> recruited via </w:t>
      </w:r>
      <w:r>
        <w:t xml:space="preserve">the </w:t>
      </w:r>
      <w:r w:rsidRPr="003D14C5">
        <w:t>STPP service provider (39 individuals) a</w:t>
      </w:r>
      <w:r>
        <w:t xml:space="preserve"> further three were engaged</w:t>
      </w:r>
      <w:r w:rsidRPr="003D14C5">
        <w:t xml:space="preserve"> through snowball sampling from stakeholder interviews</w:t>
      </w:r>
      <w:r>
        <w:t>.</w:t>
      </w:r>
    </w:p>
    <w:p w14:paraId="11A58CED" w14:textId="77777777" w:rsidR="00533D1A" w:rsidRDefault="00605BC9" w:rsidP="007E0AFE">
      <w:r w:rsidRPr="003D14C5">
        <w:t xml:space="preserve">The sample demographics for the 39 clients recruited via the service provider were: </w:t>
      </w:r>
    </w:p>
    <w:p w14:paraId="7F962B12" w14:textId="424FFCE4" w:rsidR="00605BC9" w:rsidRDefault="00605BC9" w:rsidP="007E0AFE">
      <w:pPr>
        <w:pStyle w:val="Bullet1"/>
      </w:pPr>
      <w:r w:rsidRPr="003D14C5">
        <w:t>Gender</w:t>
      </w:r>
      <w:r>
        <w:t>:</w:t>
      </w:r>
      <w:r w:rsidRPr="003D14C5">
        <w:t xml:space="preserve"> 5 Male, 36 Female</w:t>
      </w:r>
    </w:p>
    <w:p w14:paraId="3EFF5C62" w14:textId="590E9F80" w:rsidR="00605BC9" w:rsidRDefault="00605BC9" w:rsidP="007E0AFE">
      <w:pPr>
        <w:pStyle w:val="Bullet1"/>
      </w:pPr>
      <w:r w:rsidRPr="003D14C5">
        <w:t>State</w:t>
      </w:r>
      <w:r>
        <w:t>:</w:t>
      </w:r>
      <w:r w:rsidRPr="003D14C5">
        <w:t xml:space="preserve"> 16 NSW, 13 QLD, 5 VIC, 5 other </w:t>
      </w:r>
      <w:r w:rsidR="004B5601" w:rsidRPr="003D14C5">
        <w:t>states</w:t>
      </w:r>
    </w:p>
    <w:p w14:paraId="6587E567" w14:textId="56B1204D" w:rsidR="00605BC9" w:rsidRDefault="00605BC9" w:rsidP="007E0AFE">
      <w:pPr>
        <w:pStyle w:val="Bullet1"/>
      </w:pPr>
      <w:r w:rsidRPr="003D14C5">
        <w:lastRenderedPageBreak/>
        <w:t>Status</w:t>
      </w:r>
      <w:r>
        <w:t>:</w:t>
      </w:r>
      <w:r w:rsidRPr="003D14C5">
        <w:t xml:space="preserve"> 3</w:t>
      </w:r>
      <w:r w:rsidR="00A83D6E">
        <w:t>4</w:t>
      </w:r>
      <w:r w:rsidRPr="003D14C5">
        <w:t xml:space="preserve"> current</w:t>
      </w:r>
      <w:r>
        <w:t>ly on STPP</w:t>
      </w:r>
      <w:r w:rsidRPr="003D14C5">
        <w:t>,</w:t>
      </w:r>
      <w:r w:rsidR="00A83D6E">
        <w:t xml:space="preserve"> 6</w:t>
      </w:r>
      <w:r w:rsidRPr="003D14C5">
        <w:t xml:space="preserve"> former</w:t>
      </w:r>
      <w:r>
        <w:t>ly on STPP (exited)</w:t>
      </w:r>
    </w:p>
    <w:p w14:paraId="4F2CBDF9" w14:textId="18A2939C" w:rsidR="00540CE1" w:rsidRDefault="00540CE1" w:rsidP="007E0AFE">
      <w:pPr>
        <w:pStyle w:val="Bullet1"/>
      </w:pPr>
      <w:r>
        <w:t xml:space="preserve">Referral pathway: </w:t>
      </w:r>
      <w:r w:rsidR="008B67D8">
        <w:t>5 ARP, 34 AFP</w:t>
      </w:r>
    </w:p>
    <w:p w14:paraId="29789D66" w14:textId="77777777" w:rsidR="00605BC9" w:rsidRPr="003D14C5" w:rsidRDefault="00605BC9" w:rsidP="007E0AFE">
      <w:pPr>
        <w:pStyle w:val="Bullet1"/>
      </w:pPr>
      <w:r w:rsidRPr="003D14C5">
        <w:t>Age</w:t>
      </w:r>
      <w:r>
        <w:t>:</w:t>
      </w:r>
      <w:r w:rsidRPr="003D14C5">
        <w:t xml:space="preserve"> 9 aged 18-25, 18 aged 26-35, 12 aged 36+.</w:t>
      </w:r>
    </w:p>
    <w:p w14:paraId="133B2AFF" w14:textId="2109D48F" w:rsidR="00605BC9" w:rsidRPr="003D14C5" w:rsidRDefault="00605BC9" w:rsidP="007E0AFE">
      <w:pPr>
        <w:spacing w:before="0" w:after="160" w:line="278" w:lineRule="auto"/>
      </w:pPr>
      <w:r>
        <w:t xml:space="preserve">Note that groupings with less than five individuals have not been included in these figures to preserve anonymity. </w:t>
      </w:r>
      <w:r w:rsidR="004B5601">
        <w:t>Therefore,</w:t>
      </w:r>
      <w:r>
        <w:t xml:space="preserve"> totals do not all add to 39.</w:t>
      </w:r>
    </w:p>
    <w:p w14:paraId="5FED436A" w14:textId="77777777" w:rsidR="00605BC9" w:rsidRPr="001333DF" w:rsidRDefault="00605BC9" w:rsidP="001333DF">
      <w:pPr>
        <w:pStyle w:val="Heading4"/>
        <w:rPr>
          <w:sz w:val="28"/>
          <w:szCs w:val="28"/>
        </w:rPr>
      </w:pPr>
      <w:r w:rsidRPr="001333DF">
        <w:rPr>
          <w:sz w:val="28"/>
          <w:szCs w:val="28"/>
        </w:rPr>
        <w:t>Secondary data</w:t>
      </w:r>
    </w:p>
    <w:p w14:paraId="2C401DFD" w14:textId="1FDD49E0" w:rsidR="00605BC9" w:rsidRPr="003D14C5" w:rsidRDefault="00605BC9" w:rsidP="007E0AFE">
      <w:r w:rsidRPr="00F323B1">
        <w:t>Secondary data sources</w:t>
      </w:r>
      <w:r w:rsidRPr="003D14C5">
        <w:t xml:space="preserve"> were existing information collected for purposes other than the current evaluation. A data sharing agreement was signed between the STPP service provider (Australian Red Cross) and </w:t>
      </w:r>
      <w:proofErr w:type="gramStart"/>
      <w:r w:rsidRPr="003D14C5">
        <w:t>Where</w:t>
      </w:r>
      <w:r w:rsidRPr="006C2BBF">
        <w:rPr>
          <w:i/>
          <w:iCs/>
        </w:rPr>
        <w:t>to</w:t>
      </w:r>
      <w:proofErr w:type="gramEnd"/>
      <w:r w:rsidRPr="003D14C5">
        <w:t>.</w:t>
      </w:r>
      <w:r>
        <w:t xml:space="preserve"> Secondary</w:t>
      </w:r>
      <w:r w:rsidRPr="003D14C5">
        <w:t xml:space="preserve"> data was utilised and analysed to address selected evaluation measures and questions. </w:t>
      </w:r>
      <w:r>
        <w:t xml:space="preserve">All secondary data provided by the STPP and ARP service providers and by DSS was deidentified prior to evaluation team access. </w:t>
      </w:r>
      <w:r w:rsidRPr="003D14C5">
        <w:t>The secondary data sources used in the final report included:</w:t>
      </w:r>
    </w:p>
    <w:p w14:paraId="32CB3CA4" w14:textId="77777777" w:rsidR="00605BC9" w:rsidRPr="003D14C5" w:rsidRDefault="00605BC9" w:rsidP="007E0AFE">
      <w:pPr>
        <w:pStyle w:val="Bullet1"/>
      </w:pPr>
      <w:r w:rsidRPr="003D14C5">
        <w:t>Programme and administrative data</w:t>
      </w:r>
    </w:p>
    <w:p w14:paraId="39E22F3A" w14:textId="77777777" w:rsidR="00605BC9" w:rsidRPr="003D14C5" w:rsidRDefault="00605BC9" w:rsidP="007E0AFE">
      <w:pPr>
        <w:pStyle w:val="Bullet1"/>
      </w:pPr>
      <w:r w:rsidRPr="003D14C5">
        <w:t>Entry and exit status reports (Participants July 2018 - Dec 2024)</w:t>
      </w:r>
    </w:p>
    <w:p w14:paraId="353AA122" w14:textId="77777777" w:rsidR="00605BC9" w:rsidRPr="003D14C5" w:rsidRDefault="00605BC9" w:rsidP="007E0AFE">
      <w:pPr>
        <w:pStyle w:val="Bullet1"/>
      </w:pPr>
      <w:r w:rsidRPr="003D14C5">
        <w:t>Strength and needs assessments data</w:t>
      </w:r>
    </w:p>
    <w:p w14:paraId="25445FC2" w14:textId="77777777" w:rsidR="00605BC9" w:rsidRPr="003D14C5" w:rsidRDefault="00605BC9" w:rsidP="007E0AFE">
      <w:pPr>
        <w:pStyle w:val="Bullet1"/>
      </w:pPr>
      <w:r w:rsidRPr="003D14C5">
        <w:t xml:space="preserve">Post </w:t>
      </w:r>
      <w:proofErr w:type="gramStart"/>
      <w:r w:rsidRPr="003D14C5">
        <w:t>exit</w:t>
      </w:r>
      <w:proofErr w:type="gramEnd"/>
      <w:r w:rsidRPr="003D14C5">
        <w:t xml:space="preserve"> follow up collected data</w:t>
      </w:r>
    </w:p>
    <w:p w14:paraId="4B1A571D" w14:textId="77777777" w:rsidR="00605BC9" w:rsidRPr="003D14C5" w:rsidRDefault="00605BC9" w:rsidP="007E0AFE">
      <w:pPr>
        <w:pStyle w:val="Bullet1"/>
      </w:pPr>
      <w:r w:rsidRPr="003D14C5">
        <w:t>STPP Quarterly reports</w:t>
      </w:r>
    </w:p>
    <w:p w14:paraId="4C8CD1DF" w14:textId="77777777" w:rsidR="00605BC9" w:rsidRPr="003D14C5" w:rsidRDefault="00605BC9" w:rsidP="007E0AFE">
      <w:pPr>
        <w:pStyle w:val="Bullet1"/>
      </w:pPr>
      <w:r w:rsidRPr="003D14C5">
        <w:t>ARP Consortium enquiry data</w:t>
      </w:r>
    </w:p>
    <w:p w14:paraId="515C25C9" w14:textId="77777777" w:rsidR="00605BC9" w:rsidRPr="003D14C5" w:rsidRDefault="00605BC9" w:rsidP="007E0AFE">
      <w:pPr>
        <w:pStyle w:val="Bullet1"/>
      </w:pPr>
      <w:r w:rsidRPr="003D14C5">
        <w:t>ARP Consortium stakeholder engagement data</w:t>
      </w:r>
    </w:p>
    <w:p w14:paraId="57227EB0" w14:textId="77777777" w:rsidR="00605BC9" w:rsidRPr="003D14C5" w:rsidRDefault="00605BC9" w:rsidP="007E0AFE">
      <w:pPr>
        <w:pStyle w:val="Bullet1"/>
      </w:pPr>
      <w:r w:rsidRPr="003D14C5">
        <w:t>ARP Consortium referral data</w:t>
      </w:r>
    </w:p>
    <w:p w14:paraId="61630AA4" w14:textId="77777777" w:rsidR="00605BC9" w:rsidRPr="003D14C5" w:rsidRDefault="00605BC9" w:rsidP="007E0AFE">
      <w:pPr>
        <w:pStyle w:val="Bullet1"/>
      </w:pPr>
      <w:r w:rsidRPr="003D14C5">
        <w:t>Programme and service provider financial data (grant funding amounts, costs by allowance type data)</w:t>
      </w:r>
    </w:p>
    <w:p w14:paraId="2F9C1437" w14:textId="77777777" w:rsidR="00605BC9" w:rsidRPr="003D14C5" w:rsidRDefault="00605BC9" w:rsidP="007E0AFE">
      <w:pPr>
        <w:pStyle w:val="Bullet1"/>
      </w:pPr>
      <w:r w:rsidRPr="003D14C5">
        <w:t>Australian Institute of Criminology (AIC) Human Trafficking and Modern Slavery National Minimum Data Set (NMDS) data</w:t>
      </w:r>
    </w:p>
    <w:p w14:paraId="11C04545" w14:textId="77777777" w:rsidR="00605BC9" w:rsidRPr="003D14C5" w:rsidRDefault="00605BC9" w:rsidP="007E0AFE">
      <w:pPr>
        <w:pStyle w:val="Bullet1"/>
      </w:pPr>
      <w:r w:rsidRPr="003D14C5">
        <w:t>Desktop review</w:t>
      </w:r>
    </w:p>
    <w:p w14:paraId="182E1FE4" w14:textId="77777777" w:rsidR="00605BC9" w:rsidRPr="003D14C5" w:rsidRDefault="00605BC9" w:rsidP="007E0AFE">
      <w:pPr>
        <w:pStyle w:val="Bullet1"/>
      </w:pPr>
      <w:r w:rsidRPr="003D14C5">
        <w:t>Peer-reviewed research and evaluation publications</w:t>
      </w:r>
    </w:p>
    <w:p w14:paraId="3C8A2DAB" w14:textId="77777777" w:rsidR="00605BC9" w:rsidRPr="003D14C5" w:rsidRDefault="00605BC9" w:rsidP="007E0AFE">
      <w:pPr>
        <w:pStyle w:val="Bullet1"/>
      </w:pPr>
      <w:r w:rsidRPr="003D14C5">
        <w:t>Government and other organisation reports, statements, commentary</w:t>
      </w:r>
    </w:p>
    <w:p w14:paraId="1C06C9AC" w14:textId="77777777" w:rsidR="00605BC9" w:rsidRPr="001333DF" w:rsidRDefault="00605BC9" w:rsidP="001333DF">
      <w:pPr>
        <w:pStyle w:val="Heading3"/>
        <w:rPr>
          <w:b/>
          <w:bCs/>
          <w:sz w:val="32"/>
          <w:szCs w:val="32"/>
        </w:rPr>
      </w:pPr>
      <w:r w:rsidRPr="001333DF">
        <w:rPr>
          <w:b/>
          <w:bCs/>
          <w:sz w:val="32"/>
          <w:szCs w:val="32"/>
        </w:rPr>
        <w:t xml:space="preserve">Data Analysis </w:t>
      </w:r>
      <w:r w:rsidRPr="001333DF">
        <w:rPr>
          <w:sz w:val="32"/>
          <w:szCs w:val="32"/>
        </w:rPr>
        <w:t>(November 2024-May 2025)</w:t>
      </w:r>
    </w:p>
    <w:p w14:paraId="4B738913" w14:textId="77777777" w:rsidR="00605BC9" w:rsidRPr="003D14C5" w:rsidRDefault="00605BC9" w:rsidP="007E0AFE">
      <w:r w:rsidRPr="003D14C5">
        <w:t xml:space="preserve">Quantitative data provided by the STPP and ARP service providers was analysed using </w:t>
      </w:r>
      <w:r w:rsidRPr="00F323B1">
        <w:t>descriptive statistics</w:t>
      </w:r>
      <w:r w:rsidRPr="003C7343">
        <w:t xml:space="preserve"> and the </w:t>
      </w:r>
      <w:r w:rsidRPr="00F323B1">
        <w:t>Q statistical software package</w:t>
      </w:r>
      <w:r w:rsidRPr="003C7343">
        <w:t>. Analysis of administrative data focused on calculating a</w:t>
      </w:r>
      <w:r w:rsidRPr="003D14C5">
        <w:t>nd assessing outputs and outcomes using descriptive statistics. Qualitative data from interviews and other sources was transcribed and analysed thematically to identify key findings related to programme implementation, experiences, and outcomes</w:t>
      </w:r>
      <w:r>
        <w:t>.</w:t>
      </w:r>
    </w:p>
    <w:p w14:paraId="2A5E8395" w14:textId="77777777" w:rsidR="00605BC9" w:rsidRPr="003D14C5" w:rsidRDefault="00605BC9" w:rsidP="007E0AFE">
      <w:r w:rsidRPr="00F323B1">
        <w:t>Triangulation of primary and secondary data</w:t>
      </w:r>
      <w:r w:rsidRPr="003D14C5">
        <w:t xml:space="preserve"> was </w:t>
      </w:r>
      <w:r>
        <w:t xml:space="preserve">performed collaboratively between evaluation team members through regular discussion and workshopping to </w:t>
      </w:r>
      <w:r w:rsidRPr="003D14C5">
        <w:t>develop a sound body of evaluation evidence and ensure a comprehensive picture of the programmes from multiple sources and perspectives</w:t>
      </w:r>
      <w:r>
        <w:t>.</w:t>
      </w:r>
    </w:p>
    <w:p w14:paraId="06EAB144" w14:textId="77777777" w:rsidR="00605BC9" w:rsidRPr="001333DF" w:rsidRDefault="00605BC9" w:rsidP="001333DF">
      <w:pPr>
        <w:pStyle w:val="Heading3"/>
        <w:rPr>
          <w:b/>
          <w:bCs/>
          <w:sz w:val="32"/>
          <w:szCs w:val="32"/>
        </w:rPr>
      </w:pPr>
      <w:r w:rsidRPr="001333DF">
        <w:rPr>
          <w:b/>
          <w:bCs/>
          <w:sz w:val="32"/>
          <w:szCs w:val="32"/>
        </w:rPr>
        <w:t xml:space="preserve">Reporting </w:t>
      </w:r>
      <w:r w:rsidRPr="001333DF">
        <w:rPr>
          <w:sz w:val="32"/>
          <w:szCs w:val="32"/>
        </w:rPr>
        <w:t>(December 2024-June 2025)</w:t>
      </w:r>
    </w:p>
    <w:p w14:paraId="38AC2963" w14:textId="4D9138B8" w:rsidR="00605BC9" w:rsidRDefault="00605BC9" w:rsidP="007E0AFE">
      <w:pPr>
        <w:rPr>
          <w:rFonts w:asciiTheme="majorHAnsi" w:eastAsiaTheme="majorEastAsia" w:hAnsiTheme="majorHAnsi" w:cstheme="majorBidi"/>
          <w:color w:val="00BE6E" w:themeColor="text2"/>
          <w:sz w:val="44"/>
          <w:szCs w:val="32"/>
          <w:lang w:eastAsia="en-AU"/>
        </w:rPr>
      </w:pPr>
      <w:bookmarkStart w:id="88" w:name="_Ref200111841"/>
      <w:r w:rsidRPr="003D14C5">
        <w:t xml:space="preserve">An interim report focusing on the ARP implementation was delivered in December 2024. The current report, representing the synthesis of all data sources and analysis, was delivered in </w:t>
      </w:r>
      <w:r>
        <w:t>June</w:t>
      </w:r>
      <w:r w:rsidRPr="003D14C5">
        <w:t xml:space="preserve"> 2025. </w:t>
      </w:r>
      <w:r>
        <w:t xml:space="preserve">A final findings workshop was held in April 2025 where results and interpretation were discussed between </w:t>
      </w:r>
      <w:r w:rsidR="00F87FF1">
        <w:t>t</w:t>
      </w:r>
      <w:r>
        <w:t>he evaluation and department teams. A final findings presentation, incorporating outcomes of the workshop, was delivered in May 2025.</w:t>
      </w:r>
      <w:bookmarkEnd w:id="88"/>
    </w:p>
    <w:p w14:paraId="37D6D3DC" w14:textId="41C808B5" w:rsidR="00F87FF1" w:rsidRPr="001333DF" w:rsidRDefault="00F87FF1" w:rsidP="001333DF">
      <w:pPr>
        <w:pStyle w:val="Heading4"/>
        <w:spacing w:before="40" w:after="0" w:line="240" w:lineRule="auto"/>
        <w:rPr>
          <w:sz w:val="24"/>
          <w:szCs w:val="24"/>
        </w:rPr>
      </w:pPr>
      <w:r w:rsidRPr="001333DF">
        <w:rPr>
          <w:sz w:val="24"/>
          <w:szCs w:val="24"/>
        </w:rPr>
        <w:t>Methodological limitations</w:t>
      </w:r>
    </w:p>
    <w:p w14:paraId="478A643B" w14:textId="77777777" w:rsidR="00F87FF1" w:rsidRPr="00F323B1" w:rsidRDefault="00F87FF1" w:rsidP="007E0AFE">
      <w:r w:rsidRPr="00F323B1">
        <w:t>Each of the data sources used in this evaluation has limitations.</w:t>
      </w:r>
    </w:p>
    <w:p w14:paraId="233405F3" w14:textId="77777777" w:rsidR="00F87FF1" w:rsidRPr="001333DF" w:rsidRDefault="00F87FF1" w:rsidP="001333DF">
      <w:pPr>
        <w:pStyle w:val="Heading5"/>
        <w:spacing w:before="40" w:after="0" w:line="240" w:lineRule="auto"/>
        <w:rPr>
          <w:i/>
          <w:iCs/>
          <w:sz w:val="20"/>
          <w:szCs w:val="20"/>
        </w:rPr>
      </w:pPr>
      <w:r w:rsidRPr="001333DF">
        <w:rPr>
          <w:i/>
          <w:iCs/>
          <w:sz w:val="20"/>
          <w:szCs w:val="20"/>
        </w:rPr>
        <w:lastRenderedPageBreak/>
        <w:t>Program and administrative data</w:t>
      </w:r>
    </w:p>
    <w:p w14:paraId="1DD4FEF1" w14:textId="581E35A8" w:rsidR="00F87FF1" w:rsidRPr="00F323B1" w:rsidRDefault="00F87FF1" w:rsidP="007E0AFE">
      <w:r w:rsidRPr="00F323B1">
        <w:t>Program and administrative data are primarily collected to support case management and assist with referrals once a participant leaves the program. The primary mechanism is through caseworker assessments at entry and exit. This process is not designed to capture outcomes in a way that supports meaningful program evaluation. As such, its usefulness for understanding long-term impact or effectiveness is limited.</w:t>
      </w:r>
    </w:p>
    <w:p w14:paraId="44DADBB2" w14:textId="57EB4310" w:rsidR="00F87FF1" w:rsidRPr="00F323B1" w:rsidRDefault="00F87FF1" w:rsidP="007E0AFE">
      <w:r w:rsidRPr="00F323B1">
        <w:t>The Strengths and Needs Assessment (SANA) framework is theoretically more useful for program evaluation, but inconsistency in data collection timing and frequency and large amounts of missing data limit its utility.</w:t>
      </w:r>
      <w:r w:rsidR="00E233C3" w:rsidRPr="003F56AF">
        <w:t xml:space="preserve"> </w:t>
      </w:r>
      <w:r w:rsidR="003F56AF" w:rsidRPr="003F56AF">
        <w:t>This is discussed in both findings and recommendations sections above.</w:t>
      </w:r>
    </w:p>
    <w:p w14:paraId="68B0D7CA" w14:textId="77777777" w:rsidR="00F87FF1" w:rsidRPr="00F323B1" w:rsidRDefault="00F87FF1" w:rsidP="007E0AFE">
      <w:r w:rsidRPr="00F323B1">
        <w:t>In addition, while participant circumstances and service access are tracked, there is little clarity about the extent to which observed changes are directly attributable to the program.</w:t>
      </w:r>
    </w:p>
    <w:p w14:paraId="6353592A" w14:textId="77777777" w:rsidR="00F87FF1" w:rsidRPr="001333DF" w:rsidRDefault="00F87FF1" w:rsidP="001333DF">
      <w:pPr>
        <w:pStyle w:val="Heading5"/>
        <w:spacing w:before="40" w:after="0" w:line="240" w:lineRule="auto"/>
        <w:rPr>
          <w:i/>
          <w:iCs/>
          <w:sz w:val="20"/>
          <w:szCs w:val="20"/>
        </w:rPr>
      </w:pPr>
      <w:r w:rsidRPr="001333DF">
        <w:rPr>
          <w:i/>
          <w:iCs/>
          <w:sz w:val="20"/>
          <w:szCs w:val="20"/>
        </w:rPr>
        <w:t>Qualitative data</w:t>
      </w:r>
    </w:p>
    <w:p w14:paraId="0F9098F8" w14:textId="77777777" w:rsidR="00F87FF1" w:rsidRPr="00F323B1" w:rsidRDefault="00F87FF1" w:rsidP="007E0AFE">
      <w:pPr>
        <w:pStyle w:val="Bullet1"/>
      </w:pPr>
      <w:r w:rsidRPr="00F323B1">
        <w:t>Limited lived experience sample: The sample of individuals with lived experience, particularly for the Additional Referral Pathway (ARP), was small and may not reflect the full diversity of experiences among people with HTMS experiences who have accessed or been excluded from the program.</w:t>
      </w:r>
    </w:p>
    <w:p w14:paraId="39492D79" w14:textId="3BACAD4E" w:rsidR="00F87FF1" w:rsidRPr="00F323B1" w:rsidRDefault="00F87FF1" w:rsidP="007E0AFE">
      <w:pPr>
        <w:pStyle w:val="Bullet1"/>
      </w:pPr>
      <w:r w:rsidRPr="00F323B1">
        <w:t xml:space="preserve">Selective stakeholder participation: </w:t>
      </w:r>
      <w:r w:rsidR="002C157E">
        <w:t xml:space="preserve">one of the key actors, </w:t>
      </w:r>
      <w:r w:rsidRPr="00F323B1">
        <w:t>the Australian Federal Police (AFP)</w:t>
      </w:r>
      <w:r w:rsidR="002C157E">
        <w:t>,</w:t>
      </w:r>
      <w:r w:rsidRPr="00F323B1">
        <w:t xml:space="preserve"> </w:t>
      </w:r>
      <w:r w:rsidR="000D0DC0">
        <w:t>did not engage</w:t>
      </w:r>
      <w:r w:rsidRPr="00F323B1">
        <w:t xml:space="preserve"> in </w:t>
      </w:r>
      <w:r w:rsidR="000D0DC0">
        <w:t xml:space="preserve">this evaluation beyond an initial </w:t>
      </w:r>
      <w:r w:rsidRPr="00F323B1">
        <w:t xml:space="preserve">qualitative consultation, limiting insight into </w:t>
      </w:r>
      <w:r w:rsidR="000D0DC0">
        <w:t>criminal justice matters and outcomes</w:t>
      </w:r>
      <w:r w:rsidRPr="00F323B1">
        <w:t>.</w:t>
      </w:r>
    </w:p>
    <w:p w14:paraId="47624A75" w14:textId="40B351E2" w:rsidR="00F87FF1" w:rsidRPr="00F323B1" w:rsidRDefault="00F87FF1" w:rsidP="007E0AFE">
      <w:pPr>
        <w:pStyle w:val="Bullet1"/>
        <w:numPr>
          <w:ilvl w:val="0"/>
          <w:numId w:val="0"/>
        </w:numPr>
      </w:pPr>
      <w:r w:rsidRPr="00F323B1">
        <w:t>Sampling bias: The participant sample relied on opt-in approaches, potentially introducing selection bias. Individuals who opted to participate may differ systematically from those who did not—for example, in terms of engagement with services or satisfaction with support received.</w:t>
      </w:r>
    </w:p>
    <w:p w14:paraId="1B2B2564" w14:textId="77777777" w:rsidR="00F87FF1" w:rsidRPr="00F323B1" w:rsidRDefault="00F87FF1" w:rsidP="007E0AFE">
      <w:pPr>
        <w:pStyle w:val="Bullet1"/>
        <w:numPr>
          <w:ilvl w:val="0"/>
          <w:numId w:val="0"/>
        </w:numPr>
      </w:pPr>
      <w:r w:rsidRPr="00F323B1">
        <w:t>Variability in participant accounts: Participant perspectives were highly varied, influenced by subjective factors such as emotional state, perceived trust in the program, and clarity of memory. This variability introduces challenges in identifying generalisable insights across cases.</w:t>
      </w:r>
    </w:p>
    <w:p w14:paraId="48E2A822" w14:textId="1BAB4DB9" w:rsidR="00F87FF1" w:rsidRPr="00F323B1" w:rsidRDefault="00F87FF1" w:rsidP="007E0AFE">
      <w:pPr>
        <w:pStyle w:val="Bullet1"/>
        <w:numPr>
          <w:ilvl w:val="0"/>
          <w:numId w:val="0"/>
        </w:numPr>
      </w:pPr>
      <w:r w:rsidRPr="00F323B1">
        <w:t>Sector stakeholder dynamics: Perspectives among NGOs and service providers were often strongly held and polarised. Several stakeholders reported perceived pressure to avoid criticism of the program due to concerns about jeopardising future funding or the continuity of service delivery.</w:t>
      </w:r>
    </w:p>
    <w:p w14:paraId="61462C1E" w14:textId="77777777" w:rsidR="00F87FF1" w:rsidRPr="00F323B1" w:rsidRDefault="00F87FF1" w:rsidP="007E0AFE">
      <w:pPr>
        <w:pStyle w:val="Bullet1"/>
        <w:numPr>
          <w:ilvl w:val="0"/>
          <w:numId w:val="0"/>
        </w:numPr>
      </w:pPr>
      <w:r w:rsidRPr="00F323B1">
        <w:t>Limited broader service system input: While HTMS-specialist providers were well represented, there was minimal consultation with broader services such as health, mental health, and housing—sectors critical to whole-of-system victim support.</w:t>
      </w:r>
    </w:p>
    <w:p w14:paraId="04858454" w14:textId="6CEE4354" w:rsidR="00F87FF1" w:rsidRPr="00F323B1" w:rsidRDefault="00F87FF1" w:rsidP="007E0AFE">
      <w:pPr>
        <w:pStyle w:val="Bullet1"/>
        <w:numPr>
          <w:ilvl w:val="0"/>
          <w:numId w:val="0"/>
        </w:numPr>
      </w:pPr>
      <w:r w:rsidRPr="00F323B1">
        <w:t>Exclusion of child and youth voices: Children and young people—who may have distinct experiences of trafficking, forced marriage, or exploitation—were not directly consulted, representing a gap in the evaluation’s understanding of how the STPP responds to their needs.</w:t>
      </w:r>
    </w:p>
    <w:p w14:paraId="5C175CFA" w14:textId="7DD568E6" w:rsidR="00F87FF1" w:rsidRPr="00F323B1" w:rsidRDefault="00F87FF1" w:rsidP="007E0AFE">
      <w:r w:rsidRPr="00F323B1">
        <w:t xml:space="preserve">These limitations highlight opportunities to strengthen STPP’s monitoring and evaluation functions—particularly through improved administrative data design, clearer </w:t>
      </w:r>
      <w:r w:rsidR="00E77882">
        <w:t xml:space="preserve">measures of program impact </w:t>
      </w:r>
      <w:r w:rsidR="00517D32">
        <w:t xml:space="preserve">(e.g. </w:t>
      </w:r>
      <w:r w:rsidR="00E77882">
        <w:t xml:space="preserve">outcomes that are </w:t>
      </w:r>
      <w:r w:rsidR="00517D32">
        <w:t>attributable to the program)</w:t>
      </w:r>
      <w:r w:rsidRPr="00F323B1">
        <w:t>, and expanded engagement with lived experience, broader service systems, and marginalised groups.</w:t>
      </w:r>
    </w:p>
    <w:p w14:paraId="2FD1AD01" w14:textId="77777777" w:rsidR="00937A00" w:rsidRDefault="00937A00" w:rsidP="007E0AFE">
      <w:pPr>
        <w:spacing w:before="0" w:after="160" w:line="259" w:lineRule="auto"/>
        <w:rPr>
          <w:rFonts w:asciiTheme="majorHAnsi" w:eastAsiaTheme="majorEastAsia" w:hAnsiTheme="majorHAnsi" w:cstheme="majorBidi"/>
          <w:color w:val="00BE6E" w:themeColor="text2"/>
          <w:sz w:val="44"/>
          <w:szCs w:val="32"/>
          <w:lang w:eastAsia="en-AU"/>
        </w:rPr>
      </w:pPr>
      <w:r>
        <w:br w:type="page"/>
      </w:r>
    </w:p>
    <w:p w14:paraId="36B2147B" w14:textId="31E4FC34" w:rsidR="00D432EA" w:rsidRDefault="00D432EA" w:rsidP="007E0AFE">
      <w:pPr>
        <w:pStyle w:val="Heading2"/>
      </w:pPr>
      <w:bookmarkStart w:id="89" w:name="_Toc201908133"/>
      <w:r>
        <w:lastRenderedPageBreak/>
        <w:t>References</w:t>
      </w:r>
      <w:bookmarkEnd w:id="89"/>
    </w:p>
    <w:p w14:paraId="1BB16432" w14:textId="3B1484F5" w:rsidR="0041307D" w:rsidRDefault="0041307D" w:rsidP="007E0AFE">
      <w:pPr>
        <w:spacing w:after="0"/>
        <w:ind w:left="720" w:hanging="720"/>
        <w:rPr>
          <w:rFonts w:ascii="Barlow" w:hAnsi="Barlow"/>
        </w:rPr>
      </w:pPr>
      <w:r w:rsidRPr="00F323B1">
        <w:rPr>
          <w:rFonts w:ascii="Barlow" w:hAnsi="Barlow"/>
        </w:rPr>
        <w:t>Andoh, E. (2025, March 1). Treating survivors of human trafficking. Https://Www.Apa.Org. https://www.apa.org/monitor/2025/03/survivors-human-trafficking</w:t>
      </w:r>
    </w:p>
    <w:p w14:paraId="0E2B3D02" w14:textId="3FC67626" w:rsidR="00D432EA" w:rsidRPr="00D432EA" w:rsidRDefault="00D432EA" w:rsidP="007E0AFE">
      <w:pPr>
        <w:pStyle w:val="Bibliography"/>
        <w:spacing w:line="240" w:lineRule="auto"/>
        <w:rPr>
          <w:rFonts w:ascii="Barlow" w:hAnsi="Barlow"/>
        </w:rPr>
      </w:pPr>
      <w:r w:rsidRPr="00D432EA">
        <w:rPr>
          <w:rFonts w:ascii="Barlow" w:hAnsi="Barlow"/>
        </w:rPr>
        <w:t>Attorney-General’s Department</w:t>
      </w:r>
      <w:r w:rsidR="009A70BB">
        <w:rPr>
          <w:rFonts w:ascii="Barlow" w:hAnsi="Barlow"/>
        </w:rPr>
        <w:t xml:space="preserve"> (AGD)</w:t>
      </w:r>
      <w:r w:rsidRPr="00D432EA">
        <w:rPr>
          <w:rFonts w:ascii="Barlow" w:hAnsi="Barlow"/>
        </w:rPr>
        <w:t xml:space="preserve">. (2020). </w:t>
      </w:r>
      <w:r w:rsidRPr="00D432EA">
        <w:rPr>
          <w:rFonts w:ascii="Barlow" w:hAnsi="Barlow"/>
          <w:i/>
          <w:iCs/>
        </w:rPr>
        <w:t>National Action Plan to combat modern slavery 2020-25</w:t>
      </w:r>
      <w:r w:rsidRPr="00D432EA">
        <w:rPr>
          <w:rFonts w:ascii="Barlow" w:hAnsi="Barlow"/>
        </w:rPr>
        <w:t>. https://www.ag.gov.au/crime/publications/national-action-plan-combat-modern-slavery-2020-25</w:t>
      </w:r>
    </w:p>
    <w:p w14:paraId="2BD0283B" w14:textId="692C4A76" w:rsidR="00D432EA" w:rsidRPr="00D432EA" w:rsidRDefault="00D432EA" w:rsidP="007E0AFE">
      <w:pPr>
        <w:pStyle w:val="Bibliography"/>
        <w:spacing w:line="240" w:lineRule="auto"/>
        <w:rPr>
          <w:rFonts w:ascii="Barlow" w:hAnsi="Barlow"/>
        </w:rPr>
      </w:pPr>
      <w:r w:rsidRPr="00D432EA">
        <w:rPr>
          <w:rFonts w:ascii="Barlow" w:hAnsi="Barlow"/>
        </w:rPr>
        <w:t xml:space="preserve">Australian Federal Police (AFP). (2023). </w:t>
      </w:r>
      <w:r w:rsidRPr="00D432EA">
        <w:rPr>
          <w:rFonts w:ascii="Barlow" w:hAnsi="Barlow"/>
          <w:i/>
          <w:iCs/>
        </w:rPr>
        <w:t>Human trafficking reports continue to increase in Australia</w:t>
      </w:r>
      <w:r w:rsidRPr="00D432EA">
        <w:rPr>
          <w:rFonts w:ascii="Barlow" w:hAnsi="Barlow"/>
        </w:rPr>
        <w:t>. https://www.afp.gov.au/news-centre/media-release/human-trafficking-reports-continue-increase-australia</w:t>
      </w:r>
    </w:p>
    <w:p w14:paraId="6BA4233E" w14:textId="73C9657F" w:rsidR="00D432EA" w:rsidRPr="00D432EA" w:rsidRDefault="00D432EA" w:rsidP="007E0AFE">
      <w:pPr>
        <w:pStyle w:val="Bibliography"/>
        <w:spacing w:line="240" w:lineRule="auto"/>
        <w:rPr>
          <w:rFonts w:ascii="Barlow" w:hAnsi="Barlow"/>
        </w:rPr>
      </w:pPr>
      <w:r w:rsidRPr="00D432EA">
        <w:rPr>
          <w:rFonts w:ascii="Barlow" w:hAnsi="Barlow"/>
        </w:rPr>
        <w:t xml:space="preserve">Australian Federal Police (AFP). (2024a). </w:t>
      </w:r>
      <w:r w:rsidRPr="00D432EA">
        <w:rPr>
          <w:rFonts w:ascii="Barlow" w:hAnsi="Barlow"/>
          <w:i/>
          <w:iCs/>
        </w:rPr>
        <w:t>Sydney man charged with allegedly trafficking a child as AFP dismantles transnational organised crime syndicate</w:t>
      </w:r>
      <w:r w:rsidRPr="00D432EA">
        <w:rPr>
          <w:rFonts w:ascii="Barlow" w:hAnsi="Barlow"/>
        </w:rPr>
        <w:t>. https://www.afp.gov.au/news-centre/media-release/sydney-man-charged-allegedly-trafficking-child-afp-dismantles</w:t>
      </w:r>
    </w:p>
    <w:p w14:paraId="12E8EA20" w14:textId="1E536014" w:rsidR="00D432EA" w:rsidRPr="00D432EA" w:rsidRDefault="00D432EA" w:rsidP="007E0AFE">
      <w:pPr>
        <w:pStyle w:val="Bibliography"/>
        <w:spacing w:line="240" w:lineRule="auto"/>
        <w:rPr>
          <w:rFonts w:ascii="Barlow" w:hAnsi="Barlow"/>
        </w:rPr>
      </w:pPr>
      <w:r w:rsidRPr="00D432EA">
        <w:rPr>
          <w:rFonts w:ascii="Barlow" w:hAnsi="Barlow"/>
        </w:rPr>
        <w:t xml:space="preserve">Australian Federal Police (AFP). (2024b). </w:t>
      </w:r>
      <w:r w:rsidRPr="00D432EA">
        <w:rPr>
          <w:rFonts w:ascii="Barlow" w:hAnsi="Barlow"/>
          <w:i/>
          <w:iCs/>
        </w:rPr>
        <w:t>World day against trafficking in persons: 12 per cent increase in reports of human trafficking and slavery to AFP</w:t>
      </w:r>
      <w:r w:rsidRPr="00D432EA">
        <w:rPr>
          <w:rFonts w:ascii="Barlow" w:hAnsi="Barlow"/>
        </w:rPr>
        <w:t>. https://www.afp.gov.au/news-centre/media-release/world-day-against-trafficking-persons-12-cent-increase-reports-human</w:t>
      </w:r>
    </w:p>
    <w:p w14:paraId="0C6A96FC" w14:textId="77777777" w:rsidR="00D432EA" w:rsidRDefault="00D432EA" w:rsidP="007E0AFE">
      <w:pPr>
        <w:pStyle w:val="Bibliography"/>
        <w:spacing w:line="240" w:lineRule="auto"/>
        <w:rPr>
          <w:rFonts w:ascii="Barlow" w:hAnsi="Barlow"/>
        </w:rPr>
      </w:pPr>
      <w:r w:rsidRPr="00D432EA">
        <w:rPr>
          <w:rFonts w:ascii="Barlow" w:hAnsi="Barlow"/>
        </w:rPr>
        <w:t xml:space="preserve">Australian Institute of Criminology. (2024). </w:t>
      </w:r>
      <w:r w:rsidRPr="00D432EA">
        <w:rPr>
          <w:rFonts w:ascii="Barlow" w:hAnsi="Barlow"/>
          <w:i/>
          <w:iCs/>
        </w:rPr>
        <w:t>Community awareness of modern slavery in Australia [NOT YET PUBLISHED; NOT FOR FURTHER DISTRIBUTION]</w:t>
      </w:r>
      <w:r w:rsidRPr="00D432EA">
        <w:rPr>
          <w:rFonts w:ascii="Barlow" w:hAnsi="Barlow"/>
        </w:rPr>
        <w:t>.</w:t>
      </w:r>
    </w:p>
    <w:p w14:paraId="4BB1F431" w14:textId="55FEF102" w:rsidR="00114499" w:rsidRPr="00114499" w:rsidRDefault="00114499" w:rsidP="007E0AFE">
      <w:pPr>
        <w:pStyle w:val="Bibliography"/>
        <w:spacing w:line="240" w:lineRule="auto"/>
        <w:rPr>
          <w:rFonts w:ascii="Barlow" w:hAnsi="Barlow"/>
        </w:rPr>
      </w:pPr>
      <w:r w:rsidRPr="00F323B1">
        <w:rPr>
          <w:rFonts w:ascii="Barlow" w:hAnsi="Barlow"/>
        </w:rPr>
        <w:t>Bhavsar, V., &amp; Oram, S. (2024). Improving outcomes for survivors of human trafficking: Evaluating the effectiveness of advocacy interventions in improving mental health and well-being among trafficked people. NIHR Open Res, 4(31), Article 31. https://doi.org/10.3310/nihropenres.1115227.1</w:t>
      </w:r>
    </w:p>
    <w:p w14:paraId="090F7389" w14:textId="36BBB266" w:rsidR="000A4DD5" w:rsidRDefault="000A4DD5" w:rsidP="007E0AFE">
      <w:pPr>
        <w:pStyle w:val="Bibliography"/>
        <w:spacing w:line="240" w:lineRule="auto"/>
        <w:rPr>
          <w:rFonts w:ascii="Barlow" w:hAnsi="Barlow"/>
        </w:rPr>
      </w:pPr>
      <w:r w:rsidRPr="000A4DD5">
        <w:rPr>
          <w:rFonts w:ascii="Barlow" w:hAnsi="Barlow"/>
        </w:rPr>
        <w:t xml:space="preserve">Boxall, H., Lyneham, S., Black, C., &amp; </w:t>
      </w:r>
      <w:proofErr w:type="spellStart"/>
      <w:r w:rsidRPr="000A4DD5">
        <w:rPr>
          <w:rFonts w:ascii="Barlow" w:hAnsi="Barlow"/>
        </w:rPr>
        <w:t>Gannoni</w:t>
      </w:r>
      <w:proofErr w:type="spellEnd"/>
      <w:r w:rsidRPr="000A4DD5">
        <w:rPr>
          <w:rFonts w:ascii="Barlow" w:hAnsi="Barlow"/>
        </w:rPr>
        <w:t>, A. (2023). Sexual exploitation in Australia: Victim-survivor support needs and barriers to support provision. Australian Institute of Criminology. https://doi.org/10.52922/rr77154</w:t>
      </w:r>
    </w:p>
    <w:p w14:paraId="702EEE5A" w14:textId="77777777" w:rsidR="00D432EA" w:rsidRPr="00D432EA" w:rsidRDefault="00D432EA" w:rsidP="007E0AFE">
      <w:pPr>
        <w:pStyle w:val="Bibliography"/>
        <w:spacing w:line="240" w:lineRule="auto"/>
        <w:rPr>
          <w:rFonts w:ascii="Barlow" w:hAnsi="Barlow"/>
        </w:rPr>
      </w:pPr>
      <w:r w:rsidRPr="00D432EA">
        <w:rPr>
          <w:rFonts w:ascii="Barlow" w:hAnsi="Barlow"/>
        </w:rPr>
        <w:t xml:space="preserve">Bryant, K., &amp; Landman, T. (2020). Combatting human trafficking since Palermo: What do we know about what works? </w:t>
      </w:r>
      <w:r w:rsidRPr="00D432EA">
        <w:rPr>
          <w:rFonts w:ascii="Barlow" w:hAnsi="Barlow"/>
          <w:i/>
          <w:iCs/>
        </w:rPr>
        <w:t>Journal of Human Trafficking</w:t>
      </w:r>
      <w:r w:rsidRPr="00D432EA">
        <w:rPr>
          <w:rFonts w:ascii="Barlow" w:hAnsi="Barlow"/>
        </w:rPr>
        <w:t xml:space="preserve">, </w:t>
      </w:r>
      <w:r w:rsidRPr="00D432EA">
        <w:rPr>
          <w:rFonts w:ascii="Barlow" w:hAnsi="Barlow"/>
          <w:i/>
          <w:iCs/>
        </w:rPr>
        <w:t>6</w:t>
      </w:r>
      <w:r w:rsidRPr="00D432EA">
        <w:rPr>
          <w:rFonts w:ascii="Barlow" w:hAnsi="Barlow"/>
        </w:rPr>
        <w:t>(2), 119–140. https://doi.org/10.1080/23322705.2020.1690097</w:t>
      </w:r>
    </w:p>
    <w:p w14:paraId="59130A68" w14:textId="0767DD7C" w:rsidR="007D4BCA" w:rsidRDefault="00DE0A62" w:rsidP="007E0AFE">
      <w:pPr>
        <w:pStyle w:val="Bibliography"/>
        <w:spacing w:line="240" w:lineRule="auto"/>
        <w:rPr>
          <w:rFonts w:ascii="Barlow" w:hAnsi="Barlow"/>
        </w:rPr>
      </w:pPr>
      <w:r w:rsidRPr="00DE0A62">
        <w:rPr>
          <w:rFonts w:ascii="Barlow" w:hAnsi="Barlow"/>
        </w:rPr>
        <w:t>Chazal, N. (2023). </w:t>
      </w:r>
      <w:r w:rsidRPr="00DE0A62">
        <w:rPr>
          <w:rFonts w:ascii="Barlow" w:hAnsi="Barlow"/>
          <w:i/>
          <w:iCs/>
        </w:rPr>
        <w:t>Hidden Victims, Intergenerational Trauma: Supporting the Dependants of Modern Slavery Victim-survivors in Australia</w:t>
      </w:r>
      <w:r w:rsidRPr="00DE0A62">
        <w:rPr>
          <w:rFonts w:ascii="Barlow" w:hAnsi="Barlow"/>
        </w:rPr>
        <w:t xml:space="preserve">. University of South </w:t>
      </w:r>
      <w:r w:rsidR="00554EE4" w:rsidRPr="00DE0A62">
        <w:rPr>
          <w:rFonts w:ascii="Barlow" w:hAnsi="Barlow"/>
        </w:rPr>
        <w:t>Australia.</w:t>
      </w:r>
      <w:r>
        <w:rPr>
          <w:rFonts w:ascii="Barlow" w:hAnsi="Barlow"/>
        </w:rPr>
        <w:t xml:space="preserve"> </w:t>
      </w:r>
    </w:p>
    <w:p w14:paraId="16D05645" w14:textId="18D25BA8" w:rsidR="005D4AD1" w:rsidRPr="00F323B1" w:rsidRDefault="005D4AD1" w:rsidP="007E0AFE">
      <w:pPr>
        <w:pStyle w:val="Bibliography"/>
        <w:spacing w:line="240" w:lineRule="auto"/>
        <w:rPr>
          <w:rFonts w:ascii="Barlow" w:hAnsi="Barlow"/>
        </w:rPr>
      </w:pPr>
      <w:r w:rsidRPr="00F323B1">
        <w:rPr>
          <w:rFonts w:ascii="Barlow" w:hAnsi="Barlow"/>
        </w:rPr>
        <w:t xml:space="preserve">Cordisco Tsai, L., </w:t>
      </w:r>
      <w:r w:rsidR="00E802C3" w:rsidRPr="00E802C3">
        <w:rPr>
          <w:rFonts w:ascii="Barlow" w:hAnsi="Barlow"/>
        </w:rPr>
        <w:t>Domingo, Carmina</w:t>
      </w:r>
      <w:r w:rsidRPr="00F323B1">
        <w:rPr>
          <w:rFonts w:ascii="Barlow" w:hAnsi="Barlow"/>
        </w:rPr>
        <w:t xml:space="preserve"> Charmaine G., </w:t>
      </w:r>
      <w:r w:rsidR="00E802C3" w:rsidRPr="00E802C3">
        <w:rPr>
          <w:rFonts w:ascii="Barlow" w:hAnsi="Barlow"/>
        </w:rPr>
        <w:t>Namy, Sophie</w:t>
      </w:r>
      <w:r w:rsidRPr="00F323B1">
        <w:rPr>
          <w:rFonts w:ascii="Barlow" w:hAnsi="Barlow"/>
        </w:rPr>
        <w:t xml:space="preserve">, </w:t>
      </w:r>
      <w:r w:rsidR="00E802C3" w:rsidRPr="00E802C3">
        <w:rPr>
          <w:rFonts w:ascii="Barlow" w:hAnsi="Barlow"/>
        </w:rPr>
        <w:t>Bui, Chuong</w:t>
      </w:r>
      <w:r w:rsidRPr="00F323B1">
        <w:rPr>
          <w:rFonts w:ascii="Barlow" w:hAnsi="Barlow"/>
        </w:rPr>
        <w:t xml:space="preserve">, De La </w:t>
      </w:r>
      <w:r w:rsidR="00E802C3" w:rsidRPr="00E802C3">
        <w:rPr>
          <w:rFonts w:ascii="Barlow" w:hAnsi="Barlow"/>
        </w:rPr>
        <w:t>Fuente, Alexa</w:t>
      </w:r>
      <w:r w:rsidRPr="00F323B1">
        <w:rPr>
          <w:rFonts w:ascii="Barlow" w:hAnsi="Barlow"/>
        </w:rPr>
        <w:t xml:space="preserve">, </w:t>
      </w:r>
      <w:proofErr w:type="spellStart"/>
      <w:r w:rsidR="00E802C3" w:rsidRPr="00E802C3">
        <w:rPr>
          <w:rFonts w:ascii="Barlow" w:hAnsi="Barlow"/>
        </w:rPr>
        <w:t>Bonachita</w:t>
      </w:r>
      <w:proofErr w:type="spellEnd"/>
      <w:r w:rsidR="00E802C3" w:rsidRPr="00E802C3">
        <w:rPr>
          <w:rFonts w:ascii="Barlow" w:hAnsi="Barlow"/>
        </w:rPr>
        <w:t>, Cherry</w:t>
      </w:r>
      <w:r w:rsidRPr="00F323B1">
        <w:rPr>
          <w:rFonts w:ascii="Barlow" w:hAnsi="Barlow"/>
        </w:rPr>
        <w:t xml:space="preserve"> Lynn O., &amp; and Carlson, C. (2025). Preliminary effectiveness of a trauma-informed mind-body intervention for survivors of human trafficking in the Philippines. Social Work in Mental Health, 0(0), 1–19. https://doi.org/10.1080/15332985.2025.2454902</w:t>
      </w:r>
    </w:p>
    <w:p w14:paraId="537AE45C" w14:textId="77777777" w:rsidR="00D432EA" w:rsidRPr="00D432EA" w:rsidRDefault="00D432EA" w:rsidP="007E0AFE">
      <w:pPr>
        <w:pStyle w:val="Bibliography"/>
        <w:spacing w:line="240" w:lineRule="auto"/>
        <w:rPr>
          <w:rFonts w:ascii="Barlow" w:hAnsi="Barlow"/>
        </w:rPr>
      </w:pPr>
      <w:r w:rsidRPr="00D432EA">
        <w:rPr>
          <w:rFonts w:ascii="Barlow" w:hAnsi="Barlow"/>
        </w:rPr>
        <w:t>Criminal Code Act 1995, 12 (1995). https://www.legislation.gov.au/C2004A04868/latest</w:t>
      </w:r>
    </w:p>
    <w:p w14:paraId="2C978C64" w14:textId="77777777" w:rsidR="00D432EA" w:rsidRPr="00D432EA" w:rsidRDefault="00D432EA" w:rsidP="007E0AFE">
      <w:pPr>
        <w:pStyle w:val="Bibliography"/>
        <w:spacing w:line="240" w:lineRule="auto"/>
        <w:rPr>
          <w:rFonts w:ascii="Barlow" w:hAnsi="Barlow"/>
        </w:rPr>
      </w:pPr>
      <w:r w:rsidRPr="00D432EA">
        <w:rPr>
          <w:rFonts w:ascii="Barlow" w:hAnsi="Barlow"/>
        </w:rPr>
        <w:t xml:space="preserve">Davy, D. (2015). Understanding the Support Needs of Human-Trafficking Victims: A Review of Three Human-Trafficking Program Evaluations. </w:t>
      </w:r>
      <w:r w:rsidRPr="00D432EA">
        <w:rPr>
          <w:rFonts w:ascii="Barlow" w:hAnsi="Barlow"/>
          <w:i/>
          <w:iCs/>
        </w:rPr>
        <w:t>Journal of Human Trafficking</w:t>
      </w:r>
      <w:r w:rsidRPr="00D432EA">
        <w:rPr>
          <w:rFonts w:ascii="Barlow" w:hAnsi="Barlow"/>
        </w:rPr>
        <w:t xml:space="preserve">, </w:t>
      </w:r>
      <w:r w:rsidRPr="00D432EA">
        <w:rPr>
          <w:rFonts w:ascii="Barlow" w:hAnsi="Barlow"/>
          <w:i/>
          <w:iCs/>
        </w:rPr>
        <w:t>1</w:t>
      </w:r>
      <w:r w:rsidRPr="00D432EA">
        <w:rPr>
          <w:rFonts w:ascii="Barlow" w:hAnsi="Barlow"/>
        </w:rPr>
        <w:t>(4), 318–337. https://doi.org/10.1080/23322705.2015.1090865</w:t>
      </w:r>
    </w:p>
    <w:p w14:paraId="4CF1B28B" w14:textId="0C3B480E" w:rsidR="00D432EA" w:rsidRPr="00D432EA" w:rsidRDefault="00D432EA" w:rsidP="007E0AFE">
      <w:pPr>
        <w:pStyle w:val="Bibliography"/>
        <w:spacing w:line="240" w:lineRule="auto"/>
        <w:rPr>
          <w:rFonts w:ascii="Barlow" w:hAnsi="Barlow"/>
        </w:rPr>
      </w:pPr>
      <w:r w:rsidRPr="00D432EA">
        <w:rPr>
          <w:rFonts w:ascii="Barlow" w:hAnsi="Barlow"/>
        </w:rPr>
        <w:t>Dell, N. A., Maynard, B. R., Born, K. R., Wagner, E., Atkins, B., &amp; House, W. (2019). Helping survivors of human trafficking: A systematic review of exit and post</w:t>
      </w:r>
      <w:r w:rsidR="0035019D">
        <w:rPr>
          <w:rFonts w:ascii="Barlow" w:hAnsi="Barlow"/>
        </w:rPr>
        <w:t xml:space="preserve"> </w:t>
      </w:r>
      <w:r w:rsidRPr="00D432EA">
        <w:rPr>
          <w:rFonts w:ascii="Barlow" w:hAnsi="Barlow"/>
        </w:rPr>
        <w:t xml:space="preserve">exit interventions. </w:t>
      </w:r>
      <w:r w:rsidRPr="00D432EA">
        <w:rPr>
          <w:rFonts w:ascii="Barlow" w:hAnsi="Barlow"/>
          <w:i/>
          <w:iCs/>
        </w:rPr>
        <w:t>Trauma, Violence &amp; Abuse</w:t>
      </w:r>
      <w:r w:rsidRPr="00D432EA">
        <w:rPr>
          <w:rFonts w:ascii="Barlow" w:hAnsi="Barlow"/>
        </w:rPr>
        <w:t xml:space="preserve">, </w:t>
      </w:r>
      <w:r w:rsidRPr="00D432EA">
        <w:rPr>
          <w:rFonts w:ascii="Barlow" w:hAnsi="Barlow"/>
          <w:i/>
          <w:iCs/>
        </w:rPr>
        <w:t>20</w:t>
      </w:r>
      <w:r w:rsidRPr="00D432EA">
        <w:rPr>
          <w:rFonts w:ascii="Barlow" w:hAnsi="Barlow"/>
        </w:rPr>
        <w:t>(2), 183–196. https://doi.org/10.1177/1524838017692553</w:t>
      </w:r>
    </w:p>
    <w:p w14:paraId="648ABC6E" w14:textId="6F5FE6B6" w:rsidR="00773CBA" w:rsidRDefault="00D432EA" w:rsidP="007E0AFE">
      <w:pPr>
        <w:pStyle w:val="Bibliography"/>
        <w:spacing w:line="240" w:lineRule="auto"/>
        <w:rPr>
          <w:rFonts w:ascii="Barlow" w:hAnsi="Barlow"/>
        </w:rPr>
      </w:pPr>
      <w:r w:rsidRPr="00D432EA">
        <w:rPr>
          <w:rFonts w:ascii="Barlow" w:hAnsi="Barlow"/>
        </w:rPr>
        <w:t xml:space="preserve">Graham, L. M., Macy, R. J., Eckhardt, A., Rizo, C. F., &amp; Jordan, B. L. (2019). Measures for evaluating sex trafficking aftercare and support services: A systematic review and resource compilation. </w:t>
      </w:r>
      <w:r w:rsidRPr="00D432EA">
        <w:rPr>
          <w:rFonts w:ascii="Barlow" w:hAnsi="Barlow"/>
          <w:i/>
          <w:iCs/>
        </w:rPr>
        <w:t xml:space="preserve">Aggression and Violent </w:t>
      </w:r>
      <w:proofErr w:type="spellStart"/>
      <w:r w:rsidRPr="00D432EA">
        <w:rPr>
          <w:rFonts w:ascii="Barlow" w:hAnsi="Barlow"/>
          <w:i/>
          <w:iCs/>
        </w:rPr>
        <w:t>Behavior</w:t>
      </w:r>
      <w:proofErr w:type="spellEnd"/>
      <w:r w:rsidRPr="00D432EA">
        <w:rPr>
          <w:rFonts w:ascii="Barlow" w:hAnsi="Barlow"/>
        </w:rPr>
        <w:t xml:space="preserve">, </w:t>
      </w:r>
      <w:r w:rsidRPr="00D432EA">
        <w:rPr>
          <w:rFonts w:ascii="Barlow" w:hAnsi="Barlow"/>
          <w:i/>
          <w:iCs/>
        </w:rPr>
        <w:t>47</w:t>
      </w:r>
      <w:r w:rsidRPr="00D432EA">
        <w:rPr>
          <w:rFonts w:ascii="Barlow" w:hAnsi="Barlow"/>
        </w:rPr>
        <w:t xml:space="preserve">, 117–136. </w:t>
      </w:r>
      <w:hyperlink r:id="rId46" w:history="1">
        <w:r w:rsidR="00773CBA" w:rsidRPr="00450166">
          <w:rPr>
            <w:rStyle w:val="Hyperlink"/>
            <w:rFonts w:ascii="Barlow" w:hAnsi="Barlow"/>
            <w:color w:val="auto"/>
          </w:rPr>
          <w:t>https://doi.org/10.1016/j.avb.2019.04.001</w:t>
        </w:r>
      </w:hyperlink>
    </w:p>
    <w:p w14:paraId="4D31EA61" w14:textId="4E0F909D" w:rsidR="00773CBA" w:rsidRDefault="00773CBA" w:rsidP="007E0AFE">
      <w:pPr>
        <w:pStyle w:val="Bibliography"/>
        <w:spacing w:line="240" w:lineRule="auto"/>
        <w:rPr>
          <w:rFonts w:ascii="Barlow" w:hAnsi="Barlow"/>
        </w:rPr>
      </w:pPr>
      <w:r w:rsidRPr="00773CBA">
        <w:rPr>
          <w:rFonts w:ascii="Barlow" w:hAnsi="Barlow"/>
        </w:rPr>
        <w:t xml:space="preserve">Idris, I. (2017). </w:t>
      </w:r>
      <w:r w:rsidRPr="00773CBA">
        <w:rPr>
          <w:rFonts w:ascii="Barlow" w:hAnsi="Barlow"/>
          <w:i/>
          <w:iCs/>
        </w:rPr>
        <w:t>Interventions to support victims of modern slavery</w:t>
      </w:r>
      <w:r w:rsidRPr="00773CBA">
        <w:rPr>
          <w:rFonts w:ascii="Barlow" w:hAnsi="Barlow"/>
        </w:rPr>
        <w:t xml:space="preserve">. K4D, UK Department for International Development. </w:t>
      </w:r>
      <w:hyperlink r:id="rId47" w:history="1">
        <w:r w:rsidR="00E3691A" w:rsidRPr="00450166">
          <w:rPr>
            <w:rStyle w:val="Hyperlink"/>
            <w:rFonts w:ascii="Barlow" w:hAnsi="Barlow"/>
            <w:color w:val="auto"/>
          </w:rPr>
          <w:t>https://assets.publishing.service.gov.uk/media/5a5f213de5274a443e00370e/256-Interventions-to-support-victims-of-modern-slavery.pdf</w:t>
        </w:r>
      </w:hyperlink>
    </w:p>
    <w:p w14:paraId="76806A0D" w14:textId="476F4F71" w:rsidR="00E3691A" w:rsidRPr="00E3691A" w:rsidRDefault="00E3691A" w:rsidP="007E0AFE">
      <w:pPr>
        <w:spacing w:after="0"/>
        <w:ind w:left="720" w:hanging="720"/>
        <w:rPr>
          <w:rFonts w:ascii="Barlow" w:hAnsi="Barlow"/>
        </w:rPr>
      </w:pPr>
      <w:r w:rsidRPr="00F323B1">
        <w:rPr>
          <w:rFonts w:ascii="Barlow" w:hAnsi="Barlow"/>
        </w:rPr>
        <w:t xml:space="preserve">International Association of Police Chiefs. (2023). Multidisciplinary Collaborative Model for Anti-Human </w:t>
      </w:r>
      <w:r w:rsidRPr="00E3691A">
        <w:rPr>
          <w:rFonts w:ascii="Barlow" w:hAnsi="Barlow"/>
        </w:rPr>
        <w:t>Trafficking</w:t>
      </w:r>
      <w:r w:rsidRPr="00F323B1">
        <w:rPr>
          <w:rFonts w:ascii="Barlow" w:hAnsi="Barlow"/>
        </w:rPr>
        <w:t xml:space="preserve"> Task Forces. https://www.theiacp.org/sites/default/files/2023-08/Roadmap_for_Multidisciplinary_Collaborative_Model_Anti-Human_Trafficking_Task_Forces_2.pdf</w:t>
      </w:r>
    </w:p>
    <w:p w14:paraId="16EF6506" w14:textId="16FFF6D9" w:rsidR="00AE11E7" w:rsidRDefault="00AE11E7" w:rsidP="007E0AFE">
      <w:pPr>
        <w:pStyle w:val="Bibliography"/>
        <w:spacing w:line="240" w:lineRule="auto"/>
        <w:rPr>
          <w:rFonts w:ascii="Barlow" w:hAnsi="Barlow"/>
        </w:rPr>
      </w:pPr>
      <w:r w:rsidRPr="00AE11E7">
        <w:rPr>
          <w:rFonts w:ascii="Barlow" w:hAnsi="Barlow"/>
        </w:rPr>
        <w:t>International Labour Organization, Walk Free Foundation, &amp; International Organization for Migration (Eds.). (2022). Global estimates of modern slavery: Forced labour and forced marriage. International Labour Office.</w:t>
      </w:r>
    </w:p>
    <w:p w14:paraId="1C984117" w14:textId="548F63F3" w:rsidR="00D432EA" w:rsidRDefault="00D432EA" w:rsidP="007E0AFE">
      <w:pPr>
        <w:pStyle w:val="Bibliography"/>
        <w:spacing w:line="240" w:lineRule="auto"/>
        <w:rPr>
          <w:rFonts w:ascii="Barlow" w:hAnsi="Barlow"/>
        </w:rPr>
      </w:pPr>
      <w:proofErr w:type="spellStart"/>
      <w:r w:rsidRPr="00D432EA">
        <w:rPr>
          <w:rFonts w:ascii="Barlow" w:hAnsi="Barlow"/>
        </w:rPr>
        <w:lastRenderedPageBreak/>
        <w:t>Jannesari</w:t>
      </w:r>
      <w:proofErr w:type="spellEnd"/>
      <w:r w:rsidRPr="00D432EA">
        <w:rPr>
          <w:rFonts w:ascii="Barlow" w:hAnsi="Barlow"/>
        </w:rPr>
        <w:t xml:space="preserve">, S., Damara, B., Witkin, R., Katona, C., Sit, Q., Dang, M., Joseph, J., Howarth, E., Triantafillou, O., Powell, C., Rafique, S., Sritharan, A., Wright, N., Oram, S., &amp; Paphitis, S. A. (2024). The modern slavery core outcome set: A survivor-driven consensus on priority outcomes for recovery, wellbeing, and reintegration. </w:t>
      </w:r>
      <w:r w:rsidRPr="00D432EA">
        <w:rPr>
          <w:rFonts w:ascii="Barlow" w:hAnsi="Barlow"/>
          <w:i/>
          <w:iCs/>
        </w:rPr>
        <w:t>Trauma, Violence, &amp; Abuse</w:t>
      </w:r>
      <w:r w:rsidRPr="00D432EA">
        <w:rPr>
          <w:rFonts w:ascii="Barlow" w:hAnsi="Barlow"/>
        </w:rPr>
        <w:t xml:space="preserve">, </w:t>
      </w:r>
      <w:r w:rsidRPr="00D432EA">
        <w:rPr>
          <w:rFonts w:ascii="Barlow" w:hAnsi="Barlow"/>
          <w:i/>
          <w:iCs/>
        </w:rPr>
        <w:t>25</w:t>
      </w:r>
      <w:r w:rsidRPr="00D432EA">
        <w:rPr>
          <w:rFonts w:ascii="Barlow" w:hAnsi="Barlow"/>
        </w:rPr>
        <w:t xml:space="preserve">(3), 2377–2389. </w:t>
      </w:r>
      <w:hyperlink r:id="rId48" w:history="1">
        <w:r w:rsidR="00232B1C" w:rsidRPr="00450166">
          <w:rPr>
            <w:rStyle w:val="Hyperlink"/>
            <w:rFonts w:ascii="Barlow" w:hAnsi="Barlow"/>
            <w:color w:val="auto"/>
          </w:rPr>
          <w:t>https://doi.org/10.1177/15248380231211955</w:t>
        </w:r>
      </w:hyperlink>
    </w:p>
    <w:p w14:paraId="3BDB31A9" w14:textId="30CB687A" w:rsidR="00232B1C" w:rsidRPr="00232B1C" w:rsidRDefault="00232B1C" w:rsidP="007E0AFE">
      <w:pPr>
        <w:pStyle w:val="Bibliography"/>
        <w:spacing w:line="240" w:lineRule="auto"/>
        <w:rPr>
          <w:rFonts w:ascii="Barlow" w:hAnsi="Barlow"/>
        </w:rPr>
      </w:pPr>
      <w:r w:rsidRPr="00F323B1">
        <w:rPr>
          <w:rFonts w:ascii="Barlow" w:hAnsi="Barlow"/>
        </w:rPr>
        <w:t>Labriola, M., Reed, N., &amp; Hewitt, A. (2024). Literature Review on a Victim-</w:t>
      </w:r>
      <w:proofErr w:type="spellStart"/>
      <w:r w:rsidRPr="00F323B1">
        <w:rPr>
          <w:rFonts w:ascii="Barlow" w:hAnsi="Barlow"/>
        </w:rPr>
        <w:t>Centered</w:t>
      </w:r>
      <w:proofErr w:type="spellEnd"/>
      <w:r w:rsidRPr="00F323B1">
        <w:rPr>
          <w:rFonts w:ascii="Barlow" w:hAnsi="Barlow"/>
        </w:rPr>
        <w:t xml:space="preserve"> Approach to Countering Human Trafficking. RAND Corporation. https://doi.org/10.7249/RRA2429-1</w:t>
      </w:r>
    </w:p>
    <w:p w14:paraId="7FEF718C" w14:textId="7A4414FF" w:rsidR="00505DCF" w:rsidRDefault="00505DCF" w:rsidP="007E0AFE">
      <w:pPr>
        <w:pStyle w:val="Bibliography"/>
        <w:spacing w:line="240" w:lineRule="auto"/>
        <w:rPr>
          <w:rFonts w:ascii="Barlow" w:hAnsi="Barlow"/>
        </w:rPr>
      </w:pPr>
      <w:r w:rsidRPr="00505DCF">
        <w:rPr>
          <w:rFonts w:ascii="Barlow" w:hAnsi="Barlow"/>
        </w:rPr>
        <w:t>Lyneham</w:t>
      </w:r>
      <w:r w:rsidR="00FE5D84">
        <w:rPr>
          <w:rFonts w:ascii="Barlow" w:hAnsi="Barlow"/>
        </w:rPr>
        <w:t>,</w:t>
      </w:r>
      <w:r w:rsidRPr="00505DCF">
        <w:rPr>
          <w:rFonts w:ascii="Barlow" w:hAnsi="Barlow"/>
        </w:rPr>
        <w:t xml:space="preserve"> S</w:t>
      </w:r>
      <w:r w:rsidR="00C314E5">
        <w:rPr>
          <w:rFonts w:ascii="Barlow" w:hAnsi="Barlow"/>
        </w:rPr>
        <w:t>.</w:t>
      </w:r>
      <w:r w:rsidRPr="00505DCF">
        <w:rPr>
          <w:rFonts w:ascii="Barlow" w:hAnsi="Barlow"/>
        </w:rPr>
        <w:t> </w:t>
      </w:r>
      <w:r>
        <w:rPr>
          <w:rFonts w:ascii="Barlow" w:hAnsi="Barlow"/>
        </w:rPr>
        <w:t>(</w:t>
      </w:r>
      <w:r w:rsidRPr="00505DCF">
        <w:rPr>
          <w:rFonts w:ascii="Barlow" w:hAnsi="Barlow"/>
        </w:rPr>
        <w:t>2021</w:t>
      </w:r>
      <w:r>
        <w:rPr>
          <w:rFonts w:ascii="Barlow" w:hAnsi="Barlow"/>
        </w:rPr>
        <w:t>)</w:t>
      </w:r>
      <w:r w:rsidRPr="00505DCF">
        <w:rPr>
          <w:rFonts w:ascii="Barlow" w:hAnsi="Barlow"/>
        </w:rPr>
        <w:t>. Attrition of human trafficking and slavery cases through the Australian criminal justice system. </w:t>
      </w:r>
      <w:r w:rsidRPr="00505DCF">
        <w:rPr>
          <w:rFonts w:ascii="Barlow" w:hAnsi="Barlow"/>
          <w:i/>
          <w:iCs/>
        </w:rPr>
        <w:t>Trends &amp; issues in crime and criminal justice</w:t>
      </w:r>
      <w:r w:rsidRPr="00505DCF">
        <w:rPr>
          <w:rFonts w:ascii="Barlow" w:hAnsi="Barlow"/>
        </w:rPr>
        <w:t> no. 640. Canberra: Australian Institute of Criminology. https://doi.org/10.52922/ti78443</w:t>
      </w:r>
    </w:p>
    <w:p w14:paraId="1805DF9B" w14:textId="10B4B77A" w:rsidR="00D432EA" w:rsidRPr="00D432EA" w:rsidRDefault="00D432EA" w:rsidP="007E0AFE">
      <w:pPr>
        <w:pStyle w:val="Bibliography"/>
        <w:spacing w:line="240" w:lineRule="auto"/>
        <w:rPr>
          <w:rFonts w:ascii="Barlow" w:hAnsi="Barlow"/>
        </w:rPr>
      </w:pPr>
      <w:r w:rsidRPr="00D432EA">
        <w:rPr>
          <w:rFonts w:ascii="Barlow" w:hAnsi="Barlow"/>
        </w:rPr>
        <w:t xml:space="preserve">Lyneham, S., Dowling, C., &amp; Bricknell, S. (2019). </w:t>
      </w:r>
      <w:r w:rsidRPr="00D432EA">
        <w:rPr>
          <w:rFonts w:ascii="Barlow" w:hAnsi="Barlow"/>
          <w:i/>
          <w:iCs/>
        </w:rPr>
        <w:t>Estimating the dark figure of human trafficking and slavery victimisation in Australia</w:t>
      </w:r>
      <w:r w:rsidRPr="00D432EA">
        <w:rPr>
          <w:rFonts w:ascii="Barlow" w:hAnsi="Barlow"/>
        </w:rPr>
        <w:t>. https://www.aic.gov.au/publications/sb/sb16</w:t>
      </w:r>
    </w:p>
    <w:p w14:paraId="34600564" w14:textId="07413281" w:rsidR="00D432EA" w:rsidRDefault="00D432EA" w:rsidP="007E0AFE">
      <w:pPr>
        <w:pStyle w:val="Bibliography"/>
        <w:spacing w:line="240" w:lineRule="auto"/>
        <w:rPr>
          <w:rFonts w:ascii="Barlow" w:hAnsi="Barlow"/>
        </w:rPr>
      </w:pPr>
      <w:r w:rsidRPr="00D432EA">
        <w:rPr>
          <w:rFonts w:ascii="Barlow" w:hAnsi="Barlow"/>
        </w:rPr>
        <w:t xml:space="preserve">Macy, R. J., Eckhardt, A., </w:t>
      </w:r>
      <w:proofErr w:type="spellStart"/>
      <w:r w:rsidRPr="00D432EA">
        <w:rPr>
          <w:rFonts w:ascii="Barlow" w:hAnsi="Barlow"/>
        </w:rPr>
        <w:t>Wretman</w:t>
      </w:r>
      <w:proofErr w:type="spellEnd"/>
      <w:r w:rsidRPr="00D432EA">
        <w:rPr>
          <w:rFonts w:ascii="Barlow" w:hAnsi="Barlow"/>
        </w:rPr>
        <w:t xml:space="preserve">, C. J., Hu, R., Kim, J., Wang, X., &amp; </w:t>
      </w:r>
      <w:proofErr w:type="spellStart"/>
      <w:r w:rsidRPr="00D432EA">
        <w:rPr>
          <w:rFonts w:ascii="Barlow" w:hAnsi="Barlow"/>
        </w:rPr>
        <w:t>Bombeeck</w:t>
      </w:r>
      <w:proofErr w:type="spellEnd"/>
      <w:r w:rsidRPr="00D432EA">
        <w:rPr>
          <w:rFonts w:ascii="Barlow" w:hAnsi="Barlow"/>
        </w:rPr>
        <w:t xml:space="preserve">, C. (2022). Developing evaluation approaches for an anti-human trafficking housing program. </w:t>
      </w:r>
      <w:r w:rsidRPr="00D432EA">
        <w:rPr>
          <w:rFonts w:ascii="Barlow" w:hAnsi="Barlow"/>
          <w:i/>
          <w:iCs/>
        </w:rPr>
        <w:t>American Journal of Evaluation</w:t>
      </w:r>
      <w:r w:rsidRPr="00D432EA">
        <w:rPr>
          <w:rFonts w:ascii="Barlow" w:hAnsi="Barlow"/>
        </w:rPr>
        <w:t xml:space="preserve">, </w:t>
      </w:r>
      <w:r w:rsidRPr="00D432EA">
        <w:rPr>
          <w:rFonts w:ascii="Barlow" w:hAnsi="Barlow"/>
          <w:i/>
          <w:iCs/>
        </w:rPr>
        <w:t>43</w:t>
      </w:r>
      <w:r w:rsidRPr="00D432EA">
        <w:rPr>
          <w:rFonts w:ascii="Barlow" w:hAnsi="Barlow"/>
        </w:rPr>
        <w:t xml:space="preserve">(4), 539–558. </w:t>
      </w:r>
      <w:hyperlink r:id="rId49" w:history="1">
        <w:r w:rsidR="00A129B4" w:rsidRPr="00450166">
          <w:rPr>
            <w:rStyle w:val="Hyperlink"/>
            <w:rFonts w:ascii="Barlow" w:hAnsi="Barlow"/>
            <w:color w:val="auto"/>
          </w:rPr>
          <w:t>https://doi.org/10.1177/10982140211056913</w:t>
        </w:r>
      </w:hyperlink>
    </w:p>
    <w:p w14:paraId="0F1833B1" w14:textId="77777777" w:rsidR="00A129B4" w:rsidRPr="00F323B1" w:rsidRDefault="00A129B4" w:rsidP="007E0AFE">
      <w:pPr>
        <w:pStyle w:val="Bibliography"/>
        <w:spacing w:line="240" w:lineRule="auto"/>
        <w:rPr>
          <w:rFonts w:ascii="Barlow" w:hAnsi="Barlow"/>
        </w:rPr>
      </w:pPr>
      <w:r w:rsidRPr="00F323B1">
        <w:rPr>
          <w:rFonts w:ascii="Barlow" w:hAnsi="Barlow"/>
        </w:rPr>
        <w:t>Modern Slavery and Human Rights Policy and Evidence Centre. (2022, November 24). Inclusion of people with lived experience – five examples of good…. Modern Slavery PEC. https://www.modernslaverypec.org/latest/inclusion-lived-experience-five-examples</w:t>
      </w:r>
    </w:p>
    <w:p w14:paraId="1D385060" w14:textId="56151CE0" w:rsidR="00A129B4" w:rsidRPr="00A129B4" w:rsidRDefault="00A129B4" w:rsidP="007E0AFE">
      <w:pPr>
        <w:pStyle w:val="Bibliography"/>
        <w:spacing w:line="240" w:lineRule="auto"/>
        <w:rPr>
          <w:rFonts w:ascii="Barlow" w:hAnsi="Barlow"/>
        </w:rPr>
      </w:pPr>
      <w:r w:rsidRPr="00F323B1">
        <w:rPr>
          <w:rFonts w:ascii="Barlow" w:hAnsi="Barlow"/>
        </w:rPr>
        <w:t>Modern Slavery and Human Rights Policy and Evidence Centre. (2023). Survivor support: Policy brief. https://www.modernslaverypec.org/resources/survivor-support</w:t>
      </w:r>
    </w:p>
    <w:p w14:paraId="6AAEBC03" w14:textId="69A69645" w:rsidR="00F96531" w:rsidRDefault="00D432EA" w:rsidP="007E0AFE">
      <w:pPr>
        <w:pStyle w:val="Bibliography"/>
        <w:spacing w:line="240" w:lineRule="auto"/>
        <w:rPr>
          <w:rFonts w:ascii="Barlow" w:hAnsi="Barlow"/>
        </w:rPr>
      </w:pPr>
      <w:r w:rsidRPr="00D432EA">
        <w:rPr>
          <w:rFonts w:ascii="Barlow" w:hAnsi="Barlow"/>
        </w:rPr>
        <w:t xml:space="preserve">NSW Anti-slavery Commissioner. (2024). </w:t>
      </w:r>
      <w:r w:rsidRPr="00D432EA">
        <w:rPr>
          <w:rFonts w:ascii="Barlow" w:hAnsi="Barlow"/>
          <w:i/>
          <w:iCs/>
        </w:rPr>
        <w:t>Engaging for Freedom: NSW Anti-slavery Commissioner’s Annual Report Financial Year 2023–2024</w:t>
      </w:r>
      <w:r w:rsidRPr="00D432EA">
        <w:rPr>
          <w:rFonts w:ascii="Barlow" w:hAnsi="Barlow"/>
        </w:rPr>
        <w:t>. https://dcj.nsw.gov.au/documents/legal-and-justice/anti-slavery-commissioner/plans-and-discussion-papers/engaging_for_freedom-oasc_annual_report_fy2024.pdf</w:t>
      </w:r>
    </w:p>
    <w:p w14:paraId="52EAB85F" w14:textId="6EB9A67C" w:rsidR="00F96531" w:rsidRDefault="00F96531" w:rsidP="007E0AFE">
      <w:pPr>
        <w:pStyle w:val="Bibliography"/>
        <w:spacing w:line="240" w:lineRule="auto"/>
        <w:rPr>
          <w:rFonts w:ascii="Barlow" w:hAnsi="Barlow"/>
        </w:rPr>
      </w:pPr>
      <w:r w:rsidRPr="00F323B1">
        <w:rPr>
          <w:rFonts w:ascii="Barlow" w:hAnsi="Barlow"/>
        </w:rPr>
        <w:t>OSCE. (2023). Putting victims first: The “social path” to identification and assistance. Organization for Security and Co-operation in Europe (OSCE), Office of the Special Representative and Co-ordinator for Combating Trafficking in Human Beings (OSR/CTHB). https://www.osce.org/files/f/documents/9/c/538452.pdf</w:t>
      </w:r>
    </w:p>
    <w:p w14:paraId="5A7A884E" w14:textId="77777777" w:rsidR="00371420" w:rsidRPr="00F323B1" w:rsidRDefault="00371420" w:rsidP="007E0AFE">
      <w:pPr>
        <w:pStyle w:val="Bibliography"/>
        <w:spacing w:line="240" w:lineRule="auto"/>
        <w:rPr>
          <w:rFonts w:ascii="Barlow" w:hAnsi="Barlow"/>
        </w:rPr>
      </w:pPr>
      <w:proofErr w:type="spellStart"/>
      <w:r w:rsidRPr="00F323B1">
        <w:rPr>
          <w:rFonts w:ascii="Barlow" w:hAnsi="Barlow"/>
        </w:rPr>
        <w:t>Pajón</w:t>
      </w:r>
      <w:proofErr w:type="spellEnd"/>
      <w:r w:rsidRPr="00F323B1">
        <w:rPr>
          <w:rFonts w:ascii="Barlow" w:hAnsi="Barlow"/>
        </w:rPr>
        <w:t>, L., &amp; and Walsh, D. (2023). The importance of multi-agency collaborations during human trafficking criminal investigations. Policing and Society, 33(3), 296–314. https://doi.org/10.1080/10439463.2022.2106984</w:t>
      </w:r>
    </w:p>
    <w:p w14:paraId="45095F00" w14:textId="66658E3C" w:rsidR="00371420" w:rsidRDefault="00B768BA" w:rsidP="007E0AFE">
      <w:pPr>
        <w:pStyle w:val="Bibliography"/>
        <w:spacing w:line="240" w:lineRule="auto"/>
        <w:rPr>
          <w:rFonts w:ascii="Barlow" w:hAnsi="Barlow"/>
        </w:rPr>
      </w:pPr>
      <w:r w:rsidRPr="00F323B1">
        <w:rPr>
          <w:rFonts w:ascii="Barlow" w:hAnsi="Barlow"/>
        </w:rPr>
        <w:t xml:space="preserve">Preble, K. M., Nichols, A., &amp; Cox, A. (2022). Working With Survivors of Human Trafficking: Results </w:t>
      </w:r>
      <w:proofErr w:type="gramStart"/>
      <w:r w:rsidRPr="00F323B1">
        <w:rPr>
          <w:rFonts w:ascii="Barlow" w:hAnsi="Barlow"/>
        </w:rPr>
        <w:t>From</w:t>
      </w:r>
      <w:proofErr w:type="gramEnd"/>
      <w:r w:rsidRPr="00F323B1">
        <w:rPr>
          <w:rFonts w:ascii="Barlow" w:hAnsi="Barlow"/>
        </w:rPr>
        <w:t xml:space="preserve"> a Needs Assessment in a Midwestern State, 2019. Public Health Reports®, 137(1_suppl), 111S-118S. https://doi.org/10.1177/00333549221089254</w:t>
      </w:r>
    </w:p>
    <w:p w14:paraId="5287BF9F" w14:textId="77777777" w:rsidR="00D432EA" w:rsidRPr="00837E0E" w:rsidRDefault="00D432EA" w:rsidP="007E0AFE">
      <w:pPr>
        <w:pStyle w:val="Bibliography"/>
        <w:spacing w:line="240" w:lineRule="auto"/>
        <w:rPr>
          <w:rFonts w:ascii="Barlow" w:hAnsi="Barlow"/>
          <w:lang w:val="es-CO"/>
        </w:rPr>
      </w:pPr>
      <w:r w:rsidRPr="00D432EA">
        <w:rPr>
          <w:rFonts w:ascii="Barlow" w:hAnsi="Barlow"/>
        </w:rPr>
        <w:t xml:space="preserve">UN Human Rights Council. (2012). </w:t>
      </w:r>
      <w:r w:rsidRPr="00D432EA">
        <w:rPr>
          <w:rFonts w:ascii="Barlow" w:hAnsi="Barlow"/>
          <w:i/>
          <w:iCs/>
        </w:rPr>
        <w:t>Report of the Special Rapporteur on trafficking in persons, especially women and children: Country visit Australia</w:t>
      </w:r>
      <w:r w:rsidRPr="00D432EA">
        <w:rPr>
          <w:rFonts w:ascii="Barlow" w:hAnsi="Barlow"/>
        </w:rPr>
        <w:t xml:space="preserve">. </w:t>
      </w:r>
      <w:r w:rsidRPr="00837E0E">
        <w:rPr>
          <w:rFonts w:ascii="Barlow" w:hAnsi="Barlow"/>
          <w:lang w:val="es-CO"/>
        </w:rPr>
        <w:t>UN. https://spinternet.ohchr.org/Download.aspx?SymbolNo=A%2fHRC%2f20%2f18%2fAdd.1&amp;Lang=en</w:t>
      </w:r>
    </w:p>
    <w:p w14:paraId="4011AF05" w14:textId="413ADC4C" w:rsidR="0007069D" w:rsidRDefault="0007069D" w:rsidP="007E0AFE">
      <w:pPr>
        <w:pStyle w:val="Bibliography"/>
        <w:spacing w:line="240" w:lineRule="auto"/>
        <w:rPr>
          <w:rFonts w:ascii="Barlow" w:hAnsi="Barlow"/>
        </w:rPr>
      </w:pPr>
      <w:r w:rsidRPr="0007069D">
        <w:rPr>
          <w:rFonts w:ascii="Barlow" w:hAnsi="Barlow"/>
        </w:rPr>
        <w:t>United Nations Office on Drugs and Crime. (2020). Global Report on Trafficking in Persons 2020. https://www.unodc.org/documents/data-and-analysis/tip/2021/GLOTiP_2020_15jan_web.pdf</w:t>
      </w:r>
    </w:p>
    <w:p w14:paraId="3CCF1F4A" w14:textId="77777777" w:rsidR="00D432EA" w:rsidRPr="00D432EA" w:rsidRDefault="00D432EA" w:rsidP="007E0AFE">
      <w:pPr>
        <w:pStyle w:val="Bibliography"/>
        <w:spacing w:line="240" w:lineRule="auto"/>
        <w:rPr>
          <w:rFonts w:ascii="Barlow" w:hAnsi="Barlow"/>
        </w:rPr>
      </w:pPr>
      <w:r w:rsidRPr="00D432EA">
        <w:rPr>
          <w:rFonts w:ascii="Barlow" w:hAnsi="Barlow"/>
        </w:rPr>
        <w:t xml:space="preserve">Walk Free. (2023). </w:t>
      </w:r>
      <w:r w:rsidRPr="00D432EA">
        <w:rPr>
          <w:rFonts w:ascii="Barlow" w:hAnsi="Barlow"/>
          <w:i/>
          <w:iCs/>
        </w:rPr>
        <w:t>Modern slavery in Australia</w:t>
      </w:r>
      <w:r w:rsidRPr="00D432EA">
        <w:rPr>
          <w:rFonts w:ascii="Barlow" w:hAnsi="Barlow"/>
        </w:rPr>
        <w:t>. https://www.walkfree.org/global-slavery-index/country-studies/australia/</w:t>
      </w:r>
    </w:p>
    <w:p w14:paraId="1EF8B2E3" w14:textId="36F83A8E" w:rsidR="00700AA3" w:rsidRPr="00B803EF" w:rsidRDefault="00700AA3" w:rsidP="007E0AFE">
      <w:pPr>
        <w:rPr>
          <w:lang w:eastAsia="en-AU"/>
        </w:rPr>
      </w:pPr>
    </w:p>
    <w:sectPr w:rsidR="00700AA3" w:rsidRPr="00B803EF" w:rsidSect="00574810">
      <w:pgSz w:w="11907" w:h="16840" w:code="9"/>
      <w:pgMar w:top="1276" w:right="720" w:bottom="1843" w:left="720" w:header="425"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1811" w14:textId="77777777" w:rsidR="0076544E" w:rsidRDefault="0076544E" w:rsidP="00381574">
      <w:r>
        <w:separator/>
      </w:r>
    </w:p>
  </w:endnote>
  <w:endnote w:type="continuationSeparator" w:id="0">
    <w:p w14:paraId="671FF1E7" w14:textId="77777777" w:rsidR="0076544E" w:rsidRDefault="0076544E" w:rsidP="00381574">
      <w:r>
        <w:continuationSeparator/>
      </w:r>
    </w:p>
  </w:endnote>
  <w:endnote w:type="continuationNotice" w:id="1">
    <w:p w14:paraId="64132CA3" w14:textId="77777777" w:rsidR="0076544E" w:rsidRDefault="0076544E" w:rsidP="00E55F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rlow">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Bold">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rlow Light">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PMingLiU-ExtB">
    <w:panose1 w:val="02020500000000000000"/>
    <w:charset w:val="88"/>
    <w:family w:val="roman"/>
    <w:pitch w:val="variable"/>
    <w:sig w:usb0="8000002F" w:usb1="0A080008" w:usb2="00000010" w:usb3="00000000" w:csb0="00100001"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8F82" w14:textId="77777777" w:rsidR="00E6600A" w:rsidRDefault="00791DC8">
    <w:pPr>
      <w:pStyle w:val="Footer"/>
    </w:pPr>
    <w:r>
      <w:rPr>
        <w:noProof/>
        <w:lang w:eastAsia="en-AU"/>
      </w:rPr>
      <mc:AlternateContent>
        <mc:Choice Requires="wps">
          <w:drawing>
            <wp:anchor distT="0" distB="0" distL="0" distR="0" simplePos="0" relativeHeight="251658252" behindDoc="0" locked="0" layoutInCell="1" allowOverlap="1" wp14:anchorId="42C86068" wp14:editId="714D4933">
              <wp:simplePos x="635" y="635"/>
              <wp:positionH relativeFrom="page">
                <wp:align>center</wp:align>
              </wp:positionH>
              <wp:positionV relativeFrom="page">
                <wp:align>bottom</wp:align>
              </wp:positionV>
              <wp:extent cx="551815" cy="452755"/>
              <wp:effectExtent l="0" t="0" r="635" b="0"/>
              <wp:wrapNone/>
              <wp:docPr id="157934153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D28127"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86068" id="_x0000_t202" coordsize="21600,21600" o:spt="202" path="m,l,21600r21600,l21600,xe">
              <v:stroke joinstyle="miter"/>
              <v:path gradientshapeok="t" o:connecttype="rect"/>
            </v:shapetype>
            <v:shape id="Text Box 14" o:spid="_x0000_s1030"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6D28127"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EB9E" w14:textId="77777777" w:rsidR="00125C53" w:rsidRDefault="00791DC8">
    <w:pPr>
      <w:pStyle w:val="Footer"/>
    </w:pPr>
    <w:r>
      <w:rPr>
        <w:noProof/>
        <w:lang w:eastAsia="en-AU"/>
      </w:rPr>
      <mc:AlternateContent>
        <mc:Choice Requires="wps">
          <w:drawing>
            <wp:anchor distT="0" distB="0" distL="0" distR="0" simplePos="0" relativeHeight="251658273" behindDoc="0" locked="0" layoutInCell="1" allowOverlap="1" wp14:anchorId="33F9E9FD" wp14:editId="3A7AAF2B">
              <wp:simplePos x="635" y="635"/>
              <wp:positionH relativeFrom="page">
                <wp:align>center</wp:align>
              </wp:positionH>
              <wp:positionV relativeFrom="page">
                <wp:align>bottom</wp:align>
              </wp:positionV>
              <wp:extent cx="551815" cy="452755"/>
              <wp:effectExtent l="0" t="0" r="635" b="0"/>
              <wp:wrapNone/>
              <wp:docPr id="123442460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79AB4E3"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9E9FD" id="_x0000_t202" coordsize="21600,21600" o:spt="202" path="m,l,21600r21600,l21600,xe">
              <v:stroke joinstyle="miter"/>
              <v:path gradientshapeok="t" o:connecttype="rect"/>
            </v:shapetype>
            <v:shape id="Text Box 23" o:spid="_x0000_s1051" type="#_x0000_t202" alt="OFFICIAL" style="position:absolute;margin-left:0;margin-top:0;width:43.45pt;height:35.6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2C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zCzYIPAgAA&#10;HQQAAA4AAAAAAAAAAAAAAAAALgIAAGRycy9lMm9Eb2MueG1sUEsBAi0AFAAGAAgAAAAhAO+t3rHb&#10;AAAAAwEAAA8AAAAAAAAAAAAAAAAAaQQAAGRycy9kb3ducmV2LnhtbFBLBQYAAAAABAAEAPMAAABx&#10;BQAAAAA=&#10;" filled="f" stroked="f">
              <v:textbox style="mso-fit-shape-to-text:t" inset="0,0,0,15pt">
                <w:txbxContent>
                  <w:p w14:paraId="479AB4E3"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5F36" w:themeColor="text2" w:themeShade="80"/>
      </w:rPr>
      <w:id w:val="1276987131"/>
      <w:docPartObj>
        <w:docPartGallery w:val="Page Numbers (Bottom of Page)"/>
        <w:docPartUnique/>
      </w:docPartObj>
    </w:sdtPr>
    <w:sdtEndPr>
      <w:rPr>
        <w:noProof/>
        <w:color w:val="313F4A" w:themeColor="text1" w:themeShade="BF"/>
        <w:sz w:val="20"/>
        <w:szCs w:val="28"/>
      </w:rPr>
    </w:sdtEndPr>
    <w:sdtContent>
      <w:p w14:paraId="7BA6F0A9" w14:textId="54A51546" w:rsidR="001636D0" w:rsidRPr="00CF2C0E" w:rsidRDefault="00CF2C0E">
        <w:pPr>
          <w:pStyle w:val="Footer"/>
          <w:jc w:val="right"/>
          <w:rPr>
            <w:color w:val="313F4A" w:themeColor="text1" w:themeShade="BF"/>
            <w:sz w:val="20"/>
            <w:szCs w:val="28"/>
          </w:rPr>
        </w:pPr>
        <w:r>
          <w:rPr>
            <w:noProof/>
          </w:rPr>
          <mc:AlternateContent>
            <mc:Choice Requires="wpg">
              <w:drawing>
                <wp:anchor distT="0" distB="0" distL="114300" distR="114300" simplePos="0" relativeHeight="251658286" behindDoc="0" locked="0" layoutInCell="1" allowOverlap="1" wp14:anchorId="0736B399" wp14:editId="7C434069">
                  <wp:simplePos x="0" y="0"/>
                  <wp:positionH relativeFrom="page">
                    <wp:align>left</wp:align>
                  </wp:positionH>
                  <wp:positionV relativeFrom="paragraph">
                    <wp:posOffset>46990</wp:posOffset>
                  </wp:positionV>
                  <wp:extent cx="1263650" cy="821055"/>
                  <wp:effectExtent l="19050" t="0" r="0" b="36195"/>
                  <wp:wrapNone/>
                  <wp:docPr id="2031303111" name="Group 2031303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3650" cy="821055"/>
                            <a:chOff x="0" y="0"/>
                            <a:chExt cx="3206435" cy="2082458"/>
                          </a:xfrm>
                        </wpg:grpSpPr>
                        <wps:wsp>
                          <wps:cNvPr id="296696558" name="Gn Triangle"/>
                          <wps:cNvSpPr>
                            <a:spLocks noChangeAspect="1"/>
                          </wps:cNvSpPr>
                          <wps:spPr>
                            <a:xfrm rot="5400000">
                              <a:off x="152294" y="-89136"/>
                              <a:ext cx="2019300" cy="2323888"/>
                            </a:xfrm>
                            <a:custGeom>
                              <a:avLst/>
                              <a:gdLst>
                                <a:gd name="connsiteX0" fmla="*/ 0 w 3764566"/>
                                <a:gd name="connsiteY0" fmla="*/ 3185900 h 3185900"/>
                                <a:gd name="connsiteX1" fmla="*/ 1882283 w 3764566"/>
                                <a:gd name="connsiteY1" fmla="*/ 0 h 3185900"/>
                                <a:gd name="connsiteX2" fmla="*/ 3764566 w 3764566"/>
                                <a:gd name="connsiteY2" fmla="*/ 3185900 h 3185900"/>
                                <a:gd name="connsiteX3" fmla="*/ 0 w 3764566"/>
                                <a:gd name="connsiteY3"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3764566 w 3764566"/>
                                <a:gd name="connsiteY3" fmla="*/ 3185900 h 3185900"/>
                                <a:gd name="connsiteX4" fmla="*/ 0 w 3764566"/>
                                <a:gd name="connsiteY4"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2538279 w 3764566"/>
                                <a:gd name="connsiteY3" fmla="*/ 1128501 h 3185900"/>
                                <a:gd name="connsiteX4" fmla="*/ 3764566 w 3764566"/>
                                <a:gd name="connsiteY4" fmla="*/ 3185900 h 3185900"/>
                                <a:gd name="connsiteX5" fmla="*/ 0 w 3764566"/>
                                <a:gd name="connsiteY5" fmla="*/ 3185900 h 318590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4" fmla="*/ 0 w 2538279"/>
                                <a:gd name="connsiteY4" fmla="*/ 3185900 h 3185900"/>
                                <a:gd name="connsiteX0" fmla="*/ 0 w 2538279"/>
                                <a:gd name="connsiteY0" fmla="*/ 3185900 h 3277340"/>
                                <a:gd name="connsiteX1" fmla="*/ 518979 w 2538279"/>
                                <a:gd name="connsiteY1" fmla="*/ 2323888 h 3277340"/>
                                <a:gd name="connsiteX2" fmla="*/ 1882283 w 2538279"/>
                                <a:gd name="connsiteY2" fmla="*/ 0 h 3277340"/>
                                <a:gd name="connsiteX3" fmla="*/ 2538279 w 2538279"/>
                                <a:gd name="connsiteY3" fmla="*/ 1128501 h 3277340"/>
                                <a:gd name="connsiteX4" fmla="*/ 91440 w 2538279"/>
                                <a:gd name="connsiteY4" fmla="*/ 3277340 h 327734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0" fmla="*/ 0 w 2019300"/>
                                <a:gd name="connsiteY0" fmla="*/ 2323888 h 2323888"/>
                                <a:gd name="connsiteX1" fmla="*/ 1363304 w 2019300"/>
                                <a:gd name="connsiteY1" fmla="*/ 0 h 2323888"/>
                                <a:gd name="connsiteX2" fmla="*/ 2019300 w 2019300"/>
                                <a:gd name="connsiteY2" fmla="*/ 1128501 h 2323888"/>
                              </a:gdLst>
                              <a:ahLst/>
                              <a:cxnLst>
                                <a:cxn ang="0">
                                  <a:pos x="connsiteX0" y="connsiteY0"/>
                                </a:cxn>
                                <a:cxn ang="0">
                                  <a:pos x="connsiteX1" y="connsiteY1"/>
                                </a:cxn>
                                <a:cxn ang="0">
                                  <a:pos x="connsiteX2" y="connsiteY2"/>
                                </a:cxn>
                              </a:cxnLst>
                              <a:rect l="l" t="t" r="r" b="b"/>
                              <a:pathLst>
                                <a:path w="2019300" h="2323888">
                                  <a:moveTo>
                                    <a:pt x="0" y="2323888"/>
                                  </a:moveTo>
                                  <a:lnTo>
                                    <a:pt x="1363304" y="0"/>
                                  </a:lnTo>
                                  <a:lnTo>
                                    <a:pt x="2019300" y="1128501"/>
                                  </a:lnTo>
                                </a:path>
                              </a:pathLst>
                            </a:custGeom>
                            <a:noFill/>
                            <a:ln w="19050" cap="sq">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68606128" name="Logo Dark Text"/>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375068" y="0"/>
                              <a:ext cx="1831367" cy="804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25F3C1" id="Group 2031303111" o:spid="_x0000_s1026" alt="&quot;&quot;" style="position:absolute;margin-left:0;margin-top:3.7pt;width:99.5pt;height:64.65pt;z-index:251658286;mso-position-horizontal:left;mso-position-horizontal-relative:page;mso-width-relative:margin;mso-height-relative:margin" coordsize="32064,208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">
                  <v:shape id="Gn Triangle" o:spid="_x0000_s1027" style="position:absolute;left:1522;top:-891;width:20193;height:23238;rotation:90;visibility:visible;mso-wrap-style:square;v-text-anchor:middle" coordsize="2019300,23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" path="m,2323888l1363304,r655996,1128501e" filled="f" strokecolor="#00be6e [3215]" strokeweight="1.5pt">
                    <v:stroke joinstyle="miter" endcap="square"/>
                    <v:path arrowok="t" o:connecttype="custom" o:connectlocs="0,2323888;1363304,0;2019300,1128501" o:connectangles="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Dark Text" o:spid="_x0000_s1028" type="#_x0000_t75" style="position:absolute;left:13750;width:18314;height: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">
                    <v:imagedata r:id="rId3" o:title=""/>
                  </v:shape>
                  <w10:wrap anchorx="page"/>
                </v:group>
              </w:pict>
            </mc:Fallback>
          </mc:AlternateContent>
        </w:r>
        <w:r w:rsidR="001636D0" w:rsidRPr="00CF2C0E">
          <w:rPr>
            <w:color w:val="313F4A" w:themeColor="text1" w:themeShade="BF"/>
            <w:sz w:val="20"/>
            <w:szCs w:val="28"/>
          </w:rPr>
          <w:fldChar w:fldCharType="begin"/>
        </w:r>
        <w:r w:rsidR="001636D0" w:rsidRPr="00CF2C0E">
          <w:rPr>
            <w:color w:val="313F4A" w:themeColor="text1" w:themeShade="BF"/>
            <w:sz w:val="20"/>
            <w:szCs w:val="28"/>
          </w:rPr>
          <w:instrText xml:space="preserve"> PAGE   \* MERGEFORMAT </w:instrText>
        </w:r>
        <w:r w:rsidR="001636D0" w:rsidRPr="00CF2C0E">
          <w:rPr>
            <w:color w:val="313F4A" w:themeColor="text1" w:themeShade="BF"/>
            <w:sz w:val="20"/>
            <w:szCs w:val="28"/>
          </w:rPr>
          <w:fldChar w:fldCharType="separate"/>
        </w:r>
        <w:r w:rsidR="001636D0" w:rsidRPr="00CF2C0E">
          <w:rPr>
            <w:noProof/>
            <w:color w:val="313F4A" w:themeColor="text1" w:themeShade="BF"/>
            <w:sz w:val="20"/>
            <w:szCs w:val="28"/>
          </w:rPr>
          <w:t>2</w:t>
        </w:r>
        <w:r w:rsidR="001636D0" w:rsidRPr="00CF2C0E">
          <w:rPr>
            <w:noProof/>
            <w:color w:val="313F4A" w:themeColor="text1" w:themeShade="BF"/>
            <w:sz w:val="20"/>
            <w:szCs w:val="28"/>
          </w:rPr>
          <w:fldChar w:fldCharType="end"/>
        </w:r>
      </w:p>
    </w:sdtContent>
  </w:sdt>
  <w:p w14:paraId="2835354D" w14:textId="22E30E43" w:rsidR="00A47BDB" w:rsidRPr="000D3E0A" w:rsidRDefault="00A47BDB">
    <w:pPr>
      <w:pStyle w:val="Footer"/>
      <w:rPr>
        <w:color w:val="005F36" w:themeColor="text2" w:themeShade="8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91471" w14:textId="77777777" w:rsidR="00125C53" w:rsidRPr="00450166" w:rsidRDefault="00791DC8" w:rsidP="00A30A35">
    <w:pPr>
      <w:pStyle w:val="P1Footer1"/>
      <w:rPr>
        <w:color w:val="auto"/>
      </w:rPr>
    </w:pPr>
    <w:r>
      <w:rPr>
        <w:noProof/>
        <w:lang w:eastAsia="en-AU"/>
      </w:rPr>
      <mc:AlternateContent>
        <mc:Choice Requires="wps">
          <w:drawing>
            <wp:anchor distT="0" distB="0" distL="0" distR="0" simplePos="0" relativeHeight="251658275" behindDoc="0" locked="0" layoutInCell="1" allowOverlap="1" wp14:anchorId="3E427977" wp14:editId="704F9855">
              <wp:simplePos x="635" y="635"/>
              <wp:positionH relativeFrom="page">
                <wp:align>center</wp:align>
              </wp:positionH>
              <wp:positionV relativeFrom="page">
                <wp:align>bottom</wp:align>
              </wp:positionV>
              <wp:extent cx="551815" cy="452755"/>
              <wp:effectExtent l="0" t="0" r="635" b="0"/>
              <wp:wrapNone/>
              <wp:docPr id="2254669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7BA2FD"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27977" id="_x0000_t202" coordsize="21600,21600" o:spt="202" path="m,l,21600r21600,l21600,xe">
              <v:stroke joinstyle="miter"/>
              <v:path gradientshapeok="t" o:connecttype="rect"/>
            </v:shapetype>
            <v:shape id="Text Box 22" o:spid="_x0000_s1054" type="#_x0000_t202" alt="OFFICIAL" style="position:absolute;margin-left:0;margin-top:0;width:43.45pt;height:35.6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E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FsDGsQPAgAA&#10;HQQAAA4AAAAAAAAAAAAAAAAALgIAAGRycy9lMm9Eb2MueG1sUEsBAi0AFAAGAAgAAAAhAO+t3rHb&#10;AAAAAwEAAA8AAAAAAAAAAAAAAAAAaQQAAGRycy9kb3ducmV2LnhtbFBLBQYAAAAABAAEAPMAAABx&#10;BQAAAAA=&#10;" filled="f" stroked="f">
              <v:textbox style="mso-fit-shape-to-text:t" inset="0,0,0,15pt">
                <w:txbxContent>
                  <w:p w14:paraId="6D7BA2FD"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roofErr w:type="spellStart"/>
    <w:r w:rsidR="00125C53" w:rsidRPr="00450166">
      <w:rPr>
        <w:color w:val="auto"/>
      </w:rPr>
      <w:t>WhereTo</w:t>
    </w:r>
    <w:proofErr w:type="spellEnd"/>
    <w:r w:rsidR="00125C53" w:rsidRPr="00450166">
      <w:rPr>
        <w:color w:val="auto"/>
      </w:rPr>
      <w:t xml:space="preserve"> Research Based Consulting Pty Ltd</w:t>
    </w:r>
  </w:p>
  <w:p w14:paraId="1EA20938" w14:textId="77777777" w:rsidR="00125C53" w:rsidRPr="00450166" w:rsidRDefault="00125C53" w:rsidP="00837E0E">
    <w:pPr>
      <w:pStyle w:val="Footer"/>
      <w:rPr>
        <w:color w:val="auto"/>
      </w:rPr>
    </w:pPr>
    <w:r w:rsidRPr="00450166">
      <w:rPr>
        <w:color w:val="auto"/>
      </w:rPr>
      <w:t>PHONE +61 3 8648 3148 / info@wheretoresearch.com.au / wheretoresearch.com.au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063792"/>
      <w:docPartObj>
        <w:docPartGallery w:val="Page Numbers (Bottom of Page)"/>
        <w:docPartUnique/>
      </w:docPartObj>
    </w:sdtPr>
    <w:sdtEndPr>
      <w:rPr>
        <w:rFonts w:asciiTheme="majorHAnsi" w:hAnsiTheme="majorHAnsi"/>
        <w:noProof/>
        <w:sz w:val="20"/>
        <w:szCs w:val="28"/>
      </w:rPr>
    </w:sdtEndPr>
    <w:sdtContent>
      <w:p w14:paraId="60DD65E6" w14:textId="77777777" w:rsidR="00AF3B5A" w:rsidRPr="00C700F3" w:rsidRDefault="002A4920" w:rsidP="00E71431">
        <w:pPr>
          <w:pStyle w:val="P1Footer2"/>
          <w:rPr>
            <w:rFonts w:asciiTheme="majorHAnsi" w:hAnsiTheme="majorHAnsi"/>
            <w:sz w:val="18"/>
            <w:szCs w:val="28"/>
          </w:rPr>
        </w:pPr>
        <w:r w:rsidRPr="00C700F3">
          <w:rPr>
            <w:rFonts w:asciiTheme="majorHAnsi" w:hAnsiTheme="majorHAnsi"/>
            <w:sz w:val="18"/>
            <w:szCs w:val="28"/>
          </w:rPr>
          <w:t>Where</w:t>
        </w:r>
        <w:r w:rsidRPr="00C700F3">
          <w:rPr>
            <w:rFonts w:asciiTheme="majorHAnsi" w:hAnsiTheme="majorHAnsi"/>
            <w:i/>
            <w:iCs/>
            <w:sz w:val="18"/>
            <w:szCs w:val="28"/>
          </w:rPr>
          <w:t>to</w:t>
        </w:r>
      </w:p>
      <w:p w14:paraId="61B0D335" w14:textId="05543512" w:rsidR="00592DC5" w:rsidRPr="00E71431" w:rsidRDefault="00AF3B5A" w:rsidP="00E71431">
        <w:pPr>
          <w:pStyle w:val="P1Footer2"/>
          <w:rPr>
            <w:rFonts w:asciiTheme="majorHAnsi" w:hAnsiTheme="majorHAnsi"/>
            <w:sz w:val="20"/>
            <w:szCs w:val="28"/>
          </w:rPr>
        </w:pPr>
        <w:r w:rsidRPr="00C700F3">
          <w:rPr>
            <w:sz w:val="18"/>
            <w:szCs w:val="28"/>
          </w:rPr>
          <w:t xml:space="preserve">PHONE +61 3 </w:t>
        </w:r>
        <w:r w:rsidR="00D80967" w:rsidRPr="00C700F3">
          <w:rPr>
            <w:sz w:val="18"/>
            <w:szCs w:val="28"/>
          </w:rPr>
          <w:t>8648 3148</w:t>
        </w:r>
        <w:r w:rsidR="00C700F3">
          <w:rPr>
            <w:sz w:val="18"/>
            <w:szCs w:val="28"/>
          </w:rPr>
          <w:t xml:space="preserve"> / </w:t>
        </w:r>
        <w:r w:rsidR="00C700F3" w:rsidRPr="00C700F3">
          <w:rPr>
            <w:sz w:val="18"/>
            <w:szCs w:val="28"/>
          </w:rPr>
          <w:t>info@wheretoresearch.com.au</w:t>
        </w:r>
        <w:r w:rsidR="00C700F3">
          <w:rPr>
            <w:sz w:val="18"/>
            <w:szCs w:val="28"/>
          </w:rPr>
          <w:t xml:space="preserve"> / wheretoresearch.com.au</w:t>
        </w:r>
        <w:r w:rsidR="00E71431">
          <w:ptab w:relativeTo="indent" w:alignment="right" w:leader="none"/>
        </w:r>
        <w:r w:rsidR="00E71431" w:rsidRPr="00E71431">
          <w:rPr>
            <w:rFonts w:asciiTheme="majorHAnsi" w:hAnsiTheme="majorHAnsi"/>
            <w:color w:val="313F4A" w:themeColor="text1" w:themeShade="BF"/>
            <w:sz w:val="20"/>
            <w:szCs w:val="20"/>
          </w:rPr>
          <w:fldChar w:fldCharType="begin"/>
        </w:r>
        <w:r w:rsidR="00E71431" w:rsidRPr="00E71431">
          <w:rPr>
            <w:rFonts w:asciiTheme="majorHAnsi" w:hAnsiTheme="majorHAnsi"/>
            <w:color w:val="313F4A" w:themeColor="text1" w:themeShade="BF"/>
            <w:sz w:val="20"/>
            <w:szCs w:val="20"/>
          </w:rPr>
          <w:instrText xml:space="preserve"> PAGE   \* MERGEFORMAT </w:instrText>
        </w:r>
        <w:r w:rsidR="00E71431" w:rsidRPr="00E71431">
          <w:rPr>
            <w:rFonts w:asciiTheme="majorHAnsi" w:hAnsiTheme="majorHAnsi"/>
            <w:color w:val="313F4A" w:themeColor="text1" w:themeShade="BF"/>
            <w:sz w:val="20"/>
            <w:szCs w:val="20"/>
          </w:rPr>
          <w:fldChar w:fldCharType="separate"/>
        </w:r>
        <w:r w:rsidR="00E71431" w:rsidRPr="00E71431">
          <w:rPr>
            <w:rFonts w:asciiTheme="majorHAnsi" w:hAnsiTheme="majorHAnsi"/>
            <w:color w:val="313F4A" w:themeColor="text1" w:themeShade="BF"/>
            <w:sz w:val="20"/>
            <w:szCs w:val="20"/>
          </w:rPr>
          <w:t>2</w:t>
        </w:r>
        <w:r w:rsidR="00E71431" w:rsidRPr="00E71431">
          <w:rPr>
            <w:rFonts w:asciiTheme="majorHAnsi" w:hAnsiTheme="majorHAnsi"/>
            <w:noProof/>
            <w:color w:val="313F4A" w:themeColor="text1" w:themeShade="B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E140B" w14:textId="77777777" w:rsidR="00592DC5" w:rsidRPr="00450166" w:rsidRDefault="00791DC8" w:rsidP="00A30A35">
    <w:pPr>
      <w:pStyle w:val="P1Footer1"/>
      <w:rPr>
        <w:color w:val="auto"/>
      </w:rPr>
    </w:pPr>
    <w:r>
      <w:rPr>
        <w:noProof/>
        <w:lang w:eastAsia="en-AU"/>
      </w:rPr>
      <mc:AlternateContent>
        <mc:Choice Requires="wps">
          <w:drawing>
            <wp:anchor distT="0" distB="0" distL="0" distR="0" simplePos="0" relativeHeight="251658259" behindDoc="0" locked="0" layoutInCell="1" allowOverlap="1" wp14:anchorId="742A0AA0" wp14:editId="574A9468">
              <wp:simplePos x="635" y="635"/>
              <wp:positionH relativeFrom="page">
                <wp:align>center</wp:align>
              </wp:positionH>
              <wp:positionV relativeFrom="page">
                <wp:align>bottom</wp:align>
              </wp:positionV>
              <wp:extent cx="551815" cy="452755"/>
              <wp:effectExtent l="0" t="0" r="635" b="0"/>
              <wp:wrapNone/>
              <wp:docPr id="27522707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8E8084"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2A0AA0" id="_x0000_t202" coordsize="21600,21600" o:spt="202" path="m,l,21600r21600,l21600,xe">
              <v:stroke joinstyle="miter"/>
              <v:path gradientshapeok="t" o:connecttype="rect"/>
            </v:shapetype>
            <v:shape id="Text Box 13" o:spid="_x0000_s1033"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7E8E8084"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roofErr w:type="spellStart"/>
    <w:r w:rsidR="00592DC5" w:rsidRPr="00450166">
      <w:rPr>
        <w:color w:val="auto"/>
      </w:rPr>
      <w:t>WhereTo</w:t>
    </w:r>
    <w:proofErr w:type="spellEnd"/>
    <w:r w:rsidR="00592DC5" w:rsidRPr="00450166">
      <w:rPr>
        <w:color w:val="auto"/>
      </w:rPr>
      <w:t xml:space="preserve"> Research Based Consulting Pty Ltd</w:t>
    </w:r>
  </w:p>
  <w:p w14:paraId="3C63B29A" w14:textId="77777777" w:rsidR="00592DC5" w:rsidRDefault="00592DC5" w:rsidP="00A30A35">
    <w:pPr>
      <w:pStyle w:val="P1Footer2"/>
    </w:pPr>
    <w:r w:rsidRPr="00450166">
      <w:rPr>
        <w:color w:val="auto"/>
      </w:rPr>
      <w:t>PHONE</w:t>
    </w:r>
    <w:r w:rsidRPr="00E84710">
      <w:t xml:space="preserve"> +61 3 8648 </w:t>
    </w:r>
    <w:r>
      <w:t xml:space="preserve">3148 </w:t>
    </w:r>
    <w:r w:rsidRPr="00450166">
      <w:rPr>
        <w:color w:val="auto"/>
      </w:rPr>
      <w:t>/</w:t>
    </w:r>
    <w:r>
      <w:t xml:space="preserve"> info@wheretoresearch.com.au </w:t>
    </w:r>
    <w:r w:rsidRPr="00450166">
      <w:rPr>
        <w:color w:val="auto"/>
      </w:rPr>
      <w:t>/</w:t>
    </w:r>
    <w:r>
      <w:t xml:space="preserve"> </w:t>
    </w:r>
    <w:r w:rsidRPr="00E84710">
      <w:t>wheretoresearch.com.au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BA12" w14:textId="77777777" w:rsidR="00125C53" w:rsidRDefault="00791DC8">
    <w:pPr>
      <w:pStyle w:val="Footer"/>
    </w:pPr>
    <w:r>
      <w:rPr>
        <w:noProof/>
        <w:lang w:eastAsia="en-AU"/>
      </w:rPr>
      <mc:AlternateContent>
        <mc:Choice Requires="wps">
          <w:drawing>
            <wp:anchor distT="0" distB="0" distL="0" distR="0" simplePos="0" relativeHeight="251658263" behindDoc="0" locked="0" layoutInCell="1" allowOverlap="1" wp14:anchorId="1DB7D7D5" wp14:editId="539E5A26">
              <wp:simplePos x="635" y="635"/>
              <wp:positionH relativeFrom="page">
                <wp:align>center</wp:align>
              </wp:positionH>
              <wp:positionV relativeFrom="page">
                <wp:align>bottom</wp:align>
              </wp:positionV>
              <wp:extent cx="551815" cy="452755"/>
              <wp:effectExtent l="0" t="0" r="635" b="0"/>
              <wp:wrapNone/>
              <wp:docPr id="154548380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F372E2D"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B7D7D5" id="_x0000_t202" coordsize="21600,21600" o:spt="202" path="m,l,21600r21600,l21600,xe">
              <v:stroke joinstyle="miter"/>
              <v:path gradientshapeok="t" o:connecttype="rect"/>
            </v:shapetype>
            <v:shape id="Text Box 17" o:spid="_x0000_s1037"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0F372E2D"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715139"/>
      <w:docPartObj>
        <w:docPartGallery w:val="Page Numbers (Bottom of Page)"/>
        <w:docPartUnique/>
      </w:docPartObj>
    </w:sdtPr>
    <w:sdtEndPr>
      <w:rPr>
        <w:rFonts w:asciiTheme="majorHAnsi" w:hAnsiTheme="majorHAnsi"/>
        <w:noProof/>
        <w:sz w:val="20"/>
        <w:szCs w:val="28"/>
      </w:rPr>
    </w:sdtEndPr>
    <w:sdtContent>
      <w:p w14:paraId="46BF558A" w14:textId="262FBA52" w:rsidR="00592DC5" w:rsidRPr="00E02A42" w:rsidRDefault="002D4078" w:rsidP="00E02A42">
        <w:pPr>
          <w:pStyle w:val="P1Footer2"/>
          <w:rPr>
            <w:rFonts w:asciiTheme="majorHAnsi" w:hAnsiTheme="majorHAnsi"/>
            <w:sz w:val="20"/>
            <w:szCs w:val="28"/>
          </w:rPr>
        </w:pPr>
        <w:r>
          <w:fldChar w:fldCharType="begin"/>
        </w:r>
        <w:r>
          <w:instrText xml:space="preserve"> REF _Ref228970386 \h  \* MERGEFORMAT </w:instrText>
        </w:r>
        <w:r>
          <w:fldChar w:fldCharType="separate"/>
        </w:r>
        <w:r w:rsidR="00D9323B" w:rsidRPr="00D9323B">
          <w:t>Evaluation of the Support for Trafficked People Program Report</w:t>
        </w:r>
        <w:r>
          <w:fldChar w:fldCharType="end"/>
        </w:r>
        <w:r w:rsidR="00FA5E1B">
          <w:ptab w:relativeTo="indent" w:alignment="right" w:leader="none"/>
        </w:r>
        <w:r w:rsidR="00DF1DD6" w:rsidRPr="00E02A42">
          <w:rPr>
            <w:rFonts w:asciiTheme="majorHAnsi" w:hAnsiTheme="majorHAnsi"/>
            <w:color w:val="313F4A" w:themeColor="text1" w:themeShade="BF"/>
            <w:sz w:val="20"/>
            <w:szCs w:val="28"/>
          </w:rPr>
          <w:fldChar w:fldCharType="begin"/>
        </w:r>
        <w:r w:rsidR="00DF1DD6" w:rsidRPr="00E02A42">
          <w:rPr>
            <w:rFonts w:asciiTheme="majorHAnsi" w:hAnsiTheme="majorHAnsi"/>
            <w:color w:val="313F4A" w:themeColor="text1" w:themeShade="BF"/>
            <w:sz w:val="20"/>
            <w:szCs w:val="28"/>
          </w:rPr>
          <w:instrText xml:space="preserve"> PAGE   \* MERGEFORMAT </w:instrText>
        </w:r>
        <w:r w:rsidR="00DF1DD6" w:rsidRPr="00E02A42">
          <w:rPr>
            <w:rFonts w:asciiTheme="majorHAnsi" w:hAnsiTheme="majorHAnsi"/>
            <w:color w:val="313F4A" w:themeColor="text1" w:themeShade="BF"/>
            <w:sz w:val="20"/>
            <w:szCs w:val="28"/>
          </w:rPr>
          <w:fldChar w:fldCharType="separate"/>
        </w:r>
        <w:r w:rsidR="00DF1DD6" w:rsidRPr="00E02A42">
          <w:rPr>
            <w:rFonts w:asciiTheme="majorHAnsi" w:hAnsiTheme="majorHAnsi"/>
            <w:noProof/>
            <w:color w:val="313F4A" w:themeColor="text1" w:themeShade="BF"/>
            <w:sz w:val="20"/>
            <w:szCs w:val="28"/>
          </w:rPr>
          <w:t>2</w:t>
        </w:r>
        <w:r w:rsidR="00DF1DD6" w:rsidRPr="00E02A42">
          <w:rPr>
            <w:rFonts w:asciiTheme="majorHAnsi" w:hAnsiTheme="majorHAnsi"/>
            <w:noProof/>
            <w:color w:val="313F4A" w:themeColor="text1" w:themeShade="BF"/>
            <w:sz w:val="20"/>
            <w:szCs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D476" w14:textId="77777777" w:rsidR="00592DC5" w:rsidRPr="00450166" w:rsidRDefault="00791DC8" w:rsidP="00A30A35">
    <w:pPr>
      <w:pStyle w:val="P1Footer1"/>
      <w:rPr>
        <w:color w:val="auto"/>
      </w:rPr>
    </w:pPr>
    <w:r>
      <w:rPr>
        <w:noProof/>
        <w:lang w:eastAsia="en-AU"/>
      </w:rPr>
      <mc:AlternateContent>
        <mc:Choice Requires="wps">
          <w:drawing>
            <wp:anchor distT="0" distB="0" distL="0" distR="0" simplePos="0" relativeHeight="251658266" behindDoc="0" locked="0" layoutInCell="1" allowOverlap="1" wp14:anchorId="0DF8F88C" wp14:editId="72E28EC4">
              <wp:simplePos x="635" y="635"/>
              <wp:positionH relativeFrom="page">
                <wp:align>center</wp:align>
              </wp:positionH>
              <wp:positionV relativeFrom="page">
                <wp:align>bottom</wp:align>
              </wp:positionV>
              <wp:extent cx="551815" cy="452755"/>
              <wp:effectExtent l="0" t="0" r="635" b="0"/>
              <wp:wrapNone/>
              <wp:docPr id="37173645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A5A28F1"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F8F88C" id="_x0000_t202" coordsize="21600,21600" o:spt="202" path="m,l,21600r21600,l21600,xe">
              <v:stroke joinstyle="miter"/>
              <v:path gradientshapeok="t" o:connecttype="rect"/>
            </v:shapetype>
            <v:shape id="Text Box 16" o:spid="_x0000_s1040" type="#_x0000_t202" alt="OFFICIAL"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NnDwIAAB0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XY/fup/R00J5zKwbhwb/m6w9ob5sMTc7hhHARV&#10;Gx7xkAr6msLZoqQF9+Nv/piPxGOUkh4VU1ODkqZEfTO4kCiuyXCTsUtG8Tkvc4ybg74D1GGBT8Ly&#10;ZKLXBTWZ0oF+QT2vYiEMMcOxXE13k3kXRunie+BitUpJqCPLwsZsLY/Qka9I5vPwwpw9Mx5wVQ8w&#10;yYlVr4gfc+NNb1eHgPSnrURuRyLPlKMG017P7yWK/Nf/lHV91cuf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EPk2cPAgAA&#10;HQQAAA4AAAAAAAAAAAAAAAAALgIAAGRycy9lMm9Eb2MueG1sUEsBAi0AFAAGAAgAAAAhAO+t3rHb&#10;AAAAAwEAAA8AAAAAAAAAAAAAAAAAaQQAAGRycy9kb3ducmV2LnhtbFBLBQYAAAAABAAEAPMAAABx&#10;BQAAAAA=&#10;" filled="f" stroked="f">
              <v:textbox style="mso-fit-shape-to-text:t" inset="0,0,0,15pt">
                <w:txbxContent>
                  <w:p w14:paraId="5A5A28F1"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roofErr w:type="spellStart"/>
    <w:r w:rsidR="00592DC5" w:rsidRPr="00450166">
      <w:rPr>
        <w:color w:val="auto"/>
      </w:rPr>
      <w:t>WhereTo</w:t>
    </w:r>
    <w:proofErr w:type="spellEnd"/>
    <w:r w:rsidR="00592DC5" w:rsidRPr="00450166">
      <w:rPr>
        <w:color w:val="auto"/>
      </w:rPr>
      <w:t xml:space="preserve"> Research Based Consulting Pty Ltd</w:t>
    </w:r>
  </w:p>
  <w:p w14:paraId="4140A1E9" w14:textId="77777777" w:rsidR="00592DC5" w:rsidRDefault="00592DC5" w:rsidP="00A30A35">
    <w:pPr>
      <w:pStyle w:val="P1Footer2"/>
    </w:pPr>
    <w:r w:rsidRPr="00450166">
      <w:rPr>
        <w:color w:val="auto"/>
      </w:rPr>
      <w:t>PHONE</w:t>
    </w:r>
    <w:r w:rsidRPr="00E84710">
      <w:t xml:space="preserve"> +61 3 8648 </w:t>
    </w:r>
    <w:r>
      <w:t xml:space="preserve">3148 </w:t>
    </w:r>
    <w:r w:rsidRPr="00450166">
      <w:rPr>
        <w:color w:val="auto"/>
      </w:rPr>
      <w:t>/</w:t>
    </w:r>
    <w:r>
      <w:t xml:space="preserve"> info@wheretoresearch.com.au </w:t>
    </w:r>
    <w:r w:rsidRPr="00450166">
      <w:rPr>
        <w:color w:val="auto"/>
      </w:rPr>
      <w:t>/</w:t>
    </w:r>
    <w:r>
      <w:t xml:space="preserve"> </w:t>
    </w:r>
    <w:r w:rsidRPr="00E84710">
      <w:t>wheretoresearch.com.au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4CE7C" w14:textId="77777777" w:rsidR="00125C53" w:rsidRDefault="00791DC8">
    <w:pPr>
      <w:pStyle w:val="Footer"/>
    </w:pPr>
    <w:r>
      <w:rPr>
        <w:noProof/>
        <w:lang w:eastAsia="en-AU"/>
      </w:rPr>
      <mc:AlternateContent>
        <mc:Choice Requires="wps">
          <w:drawing>
            <wp:anchor distT="0" distB="0" distL="0" distR="0" simplePos="0" relativeHeight="251658268" behindDoc="0" locked="0" layoutInCell="1" allowOverlap="1" wp14:anchorId="4EEAD7BA" wp14:editId="5180AFD0">
              <wp:simplePos x="635" y="635"/>
              <wp:positionH relativeFrom="page">
                <wp:align>center</wp:align>
              </wp:positionH>
              <wp:positionV relativeFrom="page">
                <wp:align>bottom</wp:align>
              </wp:positionV>
              <wp:extent cx="551815" cy="452755"/>
              <wp:effectExtent l="0" t="0" r="635" b="0"/>
              <wp:wrapNone/>
              <wp:docPr id="85052069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07CB5A"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AD7BA" id="_x0000_t202" coordsize="21600,21600" o:spt="202" path="m,l,21600r21600,l21600,xe">
              <v:stroke joinstyle="miter"/>
              <v:path gradientshapeok="t" o:connecttype="rect"/>
            </v:shapetype>
            <v:shape id="Text Box 20" o:spid="_x0000_s1044"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mR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LXyWZEPAgAA&#10;HQQAAA4AAAAAAAAAAAAAAAAALgIAAGRycy9lMm9Eb2MueG1sUEsBAi0AFAAGAAgAAAAhAO+t3rHb&#10;AAAAAwEAAA8AAAAAAAAAAAAAAAAAaQQAAGRycy9kb3ducmV2LnhtbFBLBQYAAAAABAAEAPMAAABx&#10;BQAAAAA=&#10;" filled="f" stroked="f">
              <v:textbox style="mso-fit-shape-to-text:t" inset="0,0,0,15pt">
                <w:txbxContent>
                  <w:p w14:paraId="5807CB5A"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133259"/>
      <w:docPartObj>
        <w:docPartGallery w:val="Page Numbers (Bottom of Page)"/>
        <w:docPartUnique/>
      </w:docPartObj>
    </w:sdtPr>
    <w:sdtEndPr>
      <w:rPr>
        <w:noProof/>
        <w:color w:val="313F4A" w:themeColor="text1" w:themeShade="BF"/>
        <w:sz w:val="20"/>
        <w:szCs w:val="28"/>
      </w:rPr>
    </w:sdtEndPr>
    <w:sdtContent>
      <w:p w14:paraId="02A0E741" w14:textId="266125F8" w:rsidR="00E41AC8" w:rsidRPr="00AC1ADB" w:rsidRDefault="00AC1ADB">
        <w:pPr>
          <w:pStyle w:val="Footer"/>
          <w:jc w:val="right"/>
          <w:rPr>
            <w:color w:val="313F4A" w:themeColor="text1" w:themeShade="BF"/>
            <w:sz w:val="20"/>
            <w:szCs w:val="28"/>
          </w:rPr>
        </w:pPr>
        <w:r>
          <w:rPr>
            <w:noProof/>
          </w:rPr>
          <mc:AlternateContent>
            <mc:Choice Requires="wpg">
              <w:drawing>
                <wp:anchor distT="0" distB="0" distL="114300" distR="114300" simplePos="0" relativeHeight="251658285" behindDoc="0" locked="0" layoutInCell="1" allowOverlap="1" wp14:anchorId="77FA6006" wp14:editId="5B13D554">
                  <wp:simplePos x="0" y="0"/>
                  <wp:positionH relativeFrom="page">
                    <wp:align>left</wp:align>
                  </wp:positionH>
                  <wp:positionV relativeFrom="paragraph">
                    <wp:posOffset>46990</wp:posOffset>
                  </wp:positionV>
                  <wp:extent cx="1263650" cy="821055"/>
                  <wp:effectExtent l="19050" t="0" r="0" b="36195"/>
                  <wp:wrapNone/>
                  <wp:docPr id="173064425" name="Group 173064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3650" cy="821055"/>
                            <a:chOff x="0" y="0"/>
                            <a:chExt cx="3206435" cy="2082458"/>
                          </a:xfrm>
                        </wpg:grpSpPr>
                        <wps:wsp>
                          <wps:cNvPr id="1470500436" name="Gn Triangle"/>
                          <wps:cNvSpPr>
                            <a:spLocks noChangeAspect="1"/>
                          </wps:cNvSpPr>
                          <wps:spPr>
                            <a:xfrm rot="5400000">
                              <a:off x="152294" y="-89136"/>
                              <a:ext cx="2019300" cy="2323888"/>
                            </a:xfrm>
                            <a:custGeom>
                              <a:avLst/>
                              <a:gdLst>
                                <a:gd name="connsiteX0" fmla="*/ 0 w 3764566"/>
                                <a:gd name="connsiteY0" fmla="*/ 3185900 h 3185900"/>
                                <a:gd name="connsiteX1" fmla="*/ 1882283 w 3764566"/>
                                <a:gd name="connsiteY1" fmla="*/ 0 h 3185900"/>
                                <a:gd name="connsiteX2" fmla="*/ 3764566 w 3764566"/>
                                <a:gd name="connsiteY2" fmla="*/ 3185900 h 3185900"/>
                                <a:gd name="connsiteX3" fmla="*/ 0 w 3764566"/>
                                <a:gd name="connsiteY3"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3764566 w 3764566"/>
                                <a:gd name="connsiteY3" fmla="*/ 3185900 h 3185900"/>
                                <a:gd name="connsiteX4" fmla="*/ 0 w 3764566"/>
                                <a:gd name="connsiteY4" fmla="*/ 3185900 h 3185900"/>
                                <a:gd name="connsiteX0" fmla="*/ 0 w 3764566"/>
                                <a:gd name="connsiteY0" fmla="*/ 3185900 h 3185900"/>
                                <a:gd name="connsiteX1" fmla="*/ 518979 w 3764566"/>
                                <a:gd name="connsiteY1" fmla="*/ 2323888 h 3185900"/>
                                <a:gd name="connsiteX2" fmla="*/ 1882283 w 3764566"/>
                                <a:gd name="connsiteY2" fmla="*/ 0 h 3185900"/>
                                <a:gd name="connsiteX3" fmla="*/ 2538279 w 3764566"/>
                                <a:gd name="connsiteY3" fmla="*/ 1128501 h 3185900"/>
                                <a:gd name="connsiteX4" fmla="*/ 3764566 w 3764566"/>
                                <a:gd name="connsiteY4" fmla="*/ 3185900 h 3185900"/>
                                <a:gd name="connsiteX5" fmla="*/ 0 w 3764566"/>
                                <a:gd name="connsiteY5" fmla="*/ 3185900 h 318590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4" fmla="*/ 0 w 2538279"/>
                                <a:gd name="connsiteY4" fmla="*/ 3185900 h 3185900"/>
                                <a:gd name="connsiteX0" fmla="*/ 0 w 2538279"/>
                                <a:gd name="connsiteY0" fmla="*/ 3185900 h 3277340"/>
                                <a:gd name="connsiteX1" fmla="*/ 518979 w 2538279"/>
                                <a:gd name="connsiteY1" fmla="*/ 2323888 h 3277340"/>
                                <a:gd name="connsiteX2" fmla="*/ 1882283 w 2538279"/>
                                <a:gd name="connsiteY2" fmla="*/ 0 h 3277340"/>
                                <a:gd name="connsiteX3" fmla="*/ 2538279 w 2538279"/>
                                <a:gd name="connsiteY3" fmla="*/ 1128501 h 3277340"/>
                                <a:gd name="connsiteX4" fmla="*/ 91440 w 2538279"/>
                                <a:gd name="connsiteY4" fmla="*/ 3277340 h 3277340"/>
                                <a:gd name="connsiteX0" fmla="*/ 0 w 2538279"/>
                                <a:gd name="connsiteY0" fmla="*/ 3185900 h 3185900"/>
                                <a:gd name="connsiteX1" fmla="*/ 518979 w 2538279"/>
                                <a:gd name="connsiteY1" fmla="*/ 2323888 h 3185900"/>
                                <a:gd name="connsiteX2" fmla="*/ 1882283 w 2538279"/>
                                <a:gd name="connsiteY2" fmla="*/ 0 h 3185900"/>
                                <a:gd name="connsiteX3" fmla="*/ 2538279 w 2538279"/>
                                <a:gd name="connsiteY3" fmla="*/ 1128501 h 3185900"/>
                                <a:gd name="connsiteX0" fmla="*/ 0 w 2019300"/>
                                <a:gd name="connsiteY0" fmla="*/ 2323888 h 2323888"/>
                                <a:gd name="connsiteX1" fmla="*/ 1363304 w 2019300"/>
                                <a:gd name="connsiteY1" fmla="*/ 0 h 2323888"/>
                                <a:gd name="connsiteX2" fmla="*/ 2019300 w 2019300"/>
                                <a:gd name="connsiteY2" fmla="*/ 1128501 h 2323888"/>
                              </a:gdLst>
                              <a:ahLst/>
                              <a:cxnLst>
                                <a:cxn ang="0">
                                  <a:pos x="connsiteX0" y="connsiteY0"/>
                                </a:cxn>
                                <a:cxn ang="0">
                                  <a:pos x="connsiteX1" y="connsiteY1"/>
                                </a:cxn>
                                <a:cxn ang="0">
                                  <a:pos x="connsiteX2" y="connsiteY2"/>
                                </a:cxn>
                              </a:cxnLst>
                              <a:rect l="l" t="t" r="r" b="b"/>
                              <a:pathLst>
                                <a:path w="2019300" h="2323888">
                                  <a:moveTo>
                                    <a:pt x="0" y="2323888"/>
                                  </a:moveTo>
                                  <a:lnTo>
                                    <a:pt x="1363304" y="0"/>
                                  </a:lnTo>
                                  <a:lnTo>
                                    <a:pt x="2019300" y="1128501"/>
                                  </a:lnTo>
                                </a:path>
                              </a:pathLst>
                            </a:custGeom>
                            <a:noFill/>
                            <a:ln w="19050" cap="sq">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98501460" name="Logo Dark Text"/>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375068" y="0"/>
                              <a:ext cx="1831367" cy="804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90CF1E" id="Group 173064425" o:spid="_x0000_s1026" alt="&quot;&quot;" style="position:absolute;margin-left:0;margin-top:3.7pt;width:99.5pt;height:64.65pt;z-index:251658285;mso-position-horizontal:left;mso-position-horizontal-relative:page;mso-width-relative:margin;mso-height-relative:margin" coordsize="32064,208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">
                  <v:shape id="Gn Triangle" o:spid="_x0000_s1027" style="position:absolute;left:1522;top:-891;width:20193;height:23238;rotation:90;visibility:visible;mso-wrap-style:square;v-text-anchor:middle" coordsize="2019300,23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" path="m,2323888l1363304,r655996,1128501e" filled="f" strokecolor="#00be6e [3215]" strokeweight="1.5pt">
                    <v:stroke joinstyle="miter" endcap="square"/>
                    <v:path arrowok="t" o:connecttype="custom" o:connectlocs="0,2323888;1363304,0;2019300,1128501" o:connectangles="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Dark Text" o:spid="_x0000_s1028" type="#_x0000_t75" style="position:absolute;left:13750;width:18314;height: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">
                    <v:imagedata r:id="rId3" o:title=""/>
                  </v:shape>
                  <w10:wrap anchorx="page"/>
                </v:group>
              </w:pict>
            </mc:Fallback>
          </mc:AlternateContent>
        </w:r>
        <w:r w:rsidR="00E41AC8" w:rsidRPr="00AC1ADB">
          <w:rPr>
            <w:color w:val="313F4A" w:themeColor="text1" w:themeShade="BF"/>
            <w:sz w:val="20"/>
            <w:szCs w:val="28"/>
          </w:rPr>
          <w:fldChar w:fldCharType="begin"/>
        </w:r>
        <w:r w:rsidR="00E41AC8" w:rsidRPr="00AC1ADB">
          <w:rPr>
            <w:color w:val="313F4A" w:themeColor="text1" w:themeShade="BF"/>
            <w:sz w:val="20"/>
            <w:szCs w:val="28"/>
          </w:rPr>
          <w:instrText xml:space="preserve"> PAGE   \* MERGEFORMAT </w:instrText>
        </w:r>
        <w:r w:rsidR="00E41AC8" w:rsidRPr="00AC1ADB">
          <w:rPr>
            <w:color w:val="313F4A" w:themeColor="text1" w:themeShade="BF"/>
            <w:sz w:val="20"/>
            <w:szCs w:val="28"/>
          </w:rPr>
          <w:fldChar w:fldCharType="separate"/>
        </w:r>
        <w:r w:rsidR="00E41AC8" w:rsidRPr="00AC1ADB">
          <w:rPr>
            <w:noProof/>
            <w:color w:val="313F4A" w:themeColor="text1" w:themeShade="BF"/>
            <w:sz w:val="20"/>
            <w:szCs w:val="28"/>
          </w:rPr>
          <w:t>2</w:t>
        </w:r>
        <w:r w:rsidR="00E41AC8" w:rsidRPr="00AC1ADB">
          <w:rPr>
            <w:noProof/>
            <w:color w:val="313F4A" w:themeColor="text1" w:themeShade="BF"/>
            <w:sz w:val="20"/>
            <w:szCs w:val="28"/>
          </w:rPr>
          <w:fldChar w:fldCharType="end"/>
        </w:r>
      </w:p>
    </w:sdtContent>
  </w:sdt>
  <w:p w14:paraId="71A7F8E3" w14:textId="621CB6E2" w:rsidR="00BD584B" w:rsidRDefault="00BD584B" w:rsidP="003D6AC9">
    <w:pPr>
      <w:pStyle w:val="NoSpacing"/>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6433" w14:textId="77777777" w:rsidR="00C632D9" w:rsidRPr="00450166" w:rsidRDefault="00791DC8" w:rsidP="00A30A35">
    <w:pPr>
      <w:pStyle w:val="P1Footer1"/>
      <w:rPr>
        <w:color w:val="auto"/>
      </w:rPr>
    </w:pPr>
    <w:r>
      <w:rPr>
        <w:noProof/>
        <w:lang w:eastAsia="en-AU"/>
      </w:rPr>
      <mc:AlternateContent>
        <mc:Choice Requires="wps">
          <w:drawing>
            <wp:anchor distT="0" distB="0" distL="0" distR="0" simplePos="0" relativeHeight="251658271" behindDoc="0" locked="0" layoutInCell="1" allowOverlap="1" wp14:anchorId="31AD3DA5" wp14:editId="068F754F">
              <wp:simplePos x="635" y="635"/>
              <wp:positionH relativeFrom="page">
                <wp:align>center</wp:align>
              </wp:positionH>
              <wp:positionV relativeFrom="page">
                <wp:align>bottom</wp:align>
              </wp:positionV>
              <wp:extent cx="551815" cy="452755"/>
              <wp:effectExtent l="0" t="0" r="635" b="0"/>
              <wp:wrapNone/>
              <wp:docPr id="138997507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4593B86"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AD3DA5" id="_x0000_t202" coordsize="21600,21600" o:spt="202" path="m,l,21600r21600,l21600,xe">
              <v:stroke joinstyle="miter"/>
              <v:path gradientshapeok="t" o:connecttype="rect"/>
            </v:shapetype>
            <v:shape id="Text Box 19" o:spid="_x0000_s1047" type="#_x0000_t202" alt="OFFICIAL"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14593B86"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roofErr w:type="spellStart"/>
    <w:r w:rsidR="00C632D9" w:rsidRPr="00450166">
      <w:rPr>
        <w:color w:val="auto"/>
      </w:rPr>
      <w:t>WhereTo</w:t>
    </w:r>
    <w:proofErr w:type="spellEnd"/>
    <w:r w:rsidR="00C632D9" w:rsidRPr="00450166">
      <w:rPr>
        <w:color w:val="auto"/>
      </w:rPr>
      <w:t xml:space="preserve"> Research Based Consulting Pty Ltd</w:t>
    </w:r>
  </w:p>
  <w:p w14:paraId="27CED0F2" w14:textId="77777777" w:rsidR="00C632D9" w:rsidRDefault="00C632D9" w:rsidP="00A30A35">
    <w:pPr>
      <w:pStyle w:val="P1Footer2"/>
    </w:pPr>
    <w:r w:rsidRPr="00450166">
      <w:rPr>
        <w:color w:val="auto"/>
      </w:rPr>
      <w:t>PHONE</w:t>
    </w:r>
    <w:r w:rsidRPr="00E84710">
      <w:t xml:space="preserve"> +61 3 8648 </w:t>
    </w:r>
    <w:r>
      <w:t xml:space="preserve">3148 </w:t>
    </w:r>
    <w:r w:rsidRPr="00450166">
      <w:rPr>
        <w:color w:val="auto"/>
      </w:rPr>
      <w:t>/</w:t>
    </w:r>
    <w:r>
      <w:t xml:space="preserve"> info@wheretoresearch.com.au </w:t>
    </w:r>
    <w:r w:rsidRPr="00450166">
      <w:rPr>
        <w:color w:val="auto"/>
      </w:rPr>
      <w:t>/</w:t>
    </w:r>
    <w:r>
      <w:t xml:space="preserve"> </w:t>
    </w:r>
    <w:r w:rsidRPr="00E84710">
      <w:t>wheretoresearch.com.au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DD9EB" w14:textId="77777777" w:rsidR="0076544E" w:rsidRDefault="0076544E" w:rsidP="00381574">
      <w:r>
        <w:separator/>
      </w:r>
    </w:p>
  </w:footnote>
  <w:footnote w:type="continuationSeparator" w:id="0">
    <w:p w14:paraId="49FE8D34" w14:textId="77777777" w:rsidR="0076544E" w:rsidRDefault="0076544E" w:rsidP="00381574">
      <w:r>
        <w:continuationSeparator/>
      </w:r>
    </w:p>
  </w:footnote>
  <w:footnote w:type="continuationNotice" w:id="1">
    <w:p w14:paraId="3CD65685" w14:textId="77777777" w:rsidR="0076544E" w:rsidRDefault="0076544E" w:rsidP="00E55F27"/>
  </w:footnote>
  <w:footnote w:id="2">
    <w:p w14:paraId="663CBF33" w14:textId="4A2FA116" w:rsidR="0068527E" w:rsidRPr="00F03A70" w:rsidRDefault="0068527E" w:rsidP="006C2BBF">
      <w:pPr>
        <w:pStyle w:val="P1Footer2"/>
        <w:rPr>
          <w:sz w:val="16"/>
          <w:szCs w:val="16"/>
          <w:lang w:val="en-US"/>
        </w:rPr>
      </w:pPr>
      <w:r w:rsidRPr="00F03A70">
        <w:rPr>
          <w:rStyle w:val="FootnoteReference"/>
          <w:sz w:val="16"/>
          <w:szCs w:val="16"/>
        </w:rPr>
        <w:footnoteRef/>
      </w:r>
      <w:r w:rsidR="00D405BF" w:rsidRPr="00F03A70">
        <w:rPr>
          <w:sz w:val="16"/>
          <w:szCs w:val="16"/>
        </w:rPr>
        <w:t>International Labour Organization, Walk Free Foundation, &amp; International Organization for Migration (Eds.). (2022). Global estimates of modern slavery: Forced labour and forced marriage. International Labour Office</w:t>
      </w:r>
    </w:p>
  </w:footnote>
  <w:footnote w:id="3">
    <w:p w14:paraId="3B8BF48C" w14:textId="1E132A38" w:rsidR="0016600E" w:rsidRPr="00F03A70" w:rsidRDefault="0016600E" w:rsidP="006C2BBF">
      <w:pPr>
        <w:pStyle w:val="P1Footer2"/>
        <w:rPr>
          <w:sz w:val="16"/>
          <w:szCs w:val="16"/>
          <w:lang w:val="en-US"/>
        </w:rPr>
      </w:pPr>
      <w:r w:rsidRPr="00F03A70">
        <w:rPr>
          <w:rStyle w:val="FootnoteReference"/>
          <w:sz w:val="16"/>
          <w:szCs w:val="16"/>
        </w:rPr>
        <w:footnoteRef/>
      </w:r>
      <w:r w:rsidRPr="00F03A70">
        <w:rPr>
          <w:sz w:val="16"/>
          <w:szCs w:val="16"/>
        </w:rPr>
        <w:t xml:space="preserve"> United Nations Office on Drugs and Crime. (2020). Global Report on Trafficking in Persons 2020. https://www.unodc.org/documents/data-and-analysis/tip/2021/GLOTiP_2020_15jan_web.pdf</w:t>
      </w:r>
    </w:p>
  </w:footnote>
  <w:footnote w:id="4">
    <w:p w14:paraId="728D8D6C" w14:textId="2D2F8FEE" w:rsidR="0016600E" w:rsidRPr="00F03A70" w:rsidRDefault="0016600E" w:rsidP="006C2BBF">
      <w:pPr>
        <w:pStyle w:val="P1Footer2"/>
        <w:rPr>
          <w:sz w:val="16"/>
          <w:szCs w:val="16"/>
          <w:lang w:val="en-US"/>
        </w:rPr>
      </w:pPr>
      <w:r w:rsidRPr="00F03A70">
        <w:rPr>
          <w:rStyle w:val="FootnoteReference"/>
          <w:sz w:val="16"/>
          <w:szCs w:val="16"/>
        </w:rPr>
        <w:footnoteRef/>
      </w:r>
      <w:r w:rsidRPr="00F03A70">
        <w:rPr>
          <w:sz w:val="16"/>
          <w:szCs w:val="16"/>
        </w:rPr>
        <w:t xml:space="preserve"> Attorney-General’s Department (AGD). (2020). National Action Plan to combat modern slavery 2020-25. https://www.ag.gov.au/crime/publications/national-action-plan-combat-modern-slavery-2020-25</w:t>
      </w:r>
    </w:p>
  </w:footnote>
  <w:footnote w:id="5">
    <w:p w14:paraId="11AE53D0" w14:textId="77777777" w:rsidR="00300FC3" w:rsidRPr="006A2BDB" w:rsidRDefault="00300FC3" w:rsidP="00300FC3">
      <w:pPr>
        <w:pStyle w:val="TableFootnote"/>
        <w:spacing w:before="0" w:after="0"/>
        <w:rPr>
          <w:sz w:val="16"/>
          <w:szCs w:val="16"/>
        </w:rPr>
      </w:pPr>
      <w:r w:rsidRPr="006A2BDB">
        <w:rPr>
          <w:rStyle w:val="FootnoteReference"/>
          <w:sz w:val="16"/>
          <w:szCs w:val="16"/>
        </w:rPr>
        <w:footnoteRef/>
      </w:r>
      <w:r w:rsidRPr="006A2BDB">
        <w:rPr>
          <w:sz w:val="16"/>
          <w:szCs w:val="16"/>
        </w:rPr>
        <w:t>Specific recommendations for improving the ARP are provided below and in the body of the report.</w:t>
      </w:r>
    </w:p>
  </w:footnote>
  <w:footnote w:id="6">
    <w:p w14:paraId="58A4A7FD" w14:textId="77777777" w:rsidR="00300FC3" w:rsidRPr="006C2BBF" w:rsidRDefault="00300FC3" w:rsidP="00300FC3">
      <w:pPr>
        <w:pStyle w:val="P1Footer2"/>
        <w:rPr>
          <w:lang w:val="en-US"/>
        </w:rPr>
      </w:pPr>
      <w:r w:rsidRPr="00F03A70">
        <w:rPr>
          <w:rStyle w:val="FootnoteReference"/>
          <w:sz w:val="16"/>
          <w:szCs w:val="24"/>
        </w:rPr>
        <w:footnoteRef/>
      </w:r>
      <w:r w:rsidRPr="00F03A70">
        <w:rPr>
          <w:sz w:val="16"/>
          <w:szCs w:val="24"/>
        </w:rPr>
        <w:t xml:space="preserve"> Lyneham, S. (2021). Attrition of human trafficking and slavery cases through the Australian criminal justice system. Trends &amp; issues in crime and criminal justice no. 640. Canberra: Australian Institute of Criminology. https://doi.org/10.52922/ti78443</w:t>
      </w:r>
    </w:p>
  </w:footnote>
  <w:footnote w:id="7">
    <w:p w14:paraId="1C385D6A" w14:textId="77777777" w:rsidR="00A37092" w:rsidRPr="00356BD2" w:rsidRDefault="00A37092" w:rsidP="00356BD2">
      <w:pPr>
        <w:pStyle w:val="P1Footer2"/>
        <w:rPr>
          <w:lang w:val="en-US"/>
        </w:rPr>
      </w:pPr>
      <w:r w:rsidRPr="00F03A70">
        <w:rPr>
          <w:rStyle w:val="FootnoteReference"/>
          <w:sz w:val="16"/>
          <w:szCs w:val="24"/>
        </w:rPr>
        <w:footnoteRef/>
      </w:r>
      <w:r w:rsidRPr="00F03A70">
        <w:rPr>
          <w:sz w:val="16"/>
          <w:szCs w:val="24"/>
          <w:lang w:val="en-US"/>
        </w:rPr>
        <w:t>These organisations have delivery and/or policy responsibility related to the recommendation</w:t>
      </w:r>
      <w:r>
        <w:rPr>
          <w:sz w:val="16"/>
          <w:szCs w:val="24"/>
          <w:lang w:val="en-US"/>
        </w:rPr>
        <w:t>s and hence a role in addressing these.</w:t>
      </w:r>
    </w:p>
  </w:footnote>
  <w:footnote w:id="8">
    <w:p w14:paraId="2B105F4D" w14:textId="77777777" w:rsidR="00A37092" w:rsidRPr="00356BD2" w:rsidRDefault="00A37092" w:rsidP="00A37092">
      <w:pPr>
        <w:pStyle w:val="P1Footer2"/>
        <w:rPr>
          <w:lang w:val="en-US"/>
        </w:rPr>
      </w:pPr>
      <w:r w:rsidRPr="00F03A70">
        <w:rPr>
          <w:rStyle w:val="FootnoteReference"/>
          <w:sz w:val="16"/>
          <w:szCs w:val="24"/>
        </w:rPr>
        <w:footnoteRef/>
      </w:r>
      <w:r w:rsidRPr="00F03A70">
        <w:rPr>
          <w:sz w:val="16"/>
          <w:szCs w:val="24"/>
          <w:lang w:val="en-US"/>
        </w:rPr>
        <w:t>These organisations have delivery and/or policy responsibility related to the recommendation</w:t>
      </w:r>
      <w:r>
        <w:rPr>
          <w:sz w:val="16"/>
          <w:szCs w:val="24"/>
          <w:lang w:val="en-US"/>
        </w:rPr>
        <w:t>s and hence a role in addressing these.</w:t>
      </w:r>
    </w:p>
  </w:footnote>
  <w:footnote w:id="9">
    <w:p w14:paraId="6A23648D" w14:textId="77777777" w:rsidR="00A37092" w:rsidRPr="00356BD2" w:rsidRDefault="00A37092" w:rsidP="00A37092">
      <w:pPr>
        <w:pStyle w:val="P1Footer2"/>
        <w:rPr>
          <w:lang w:val="en-US"/>
        </w:rPr>
      </w:pPr>
      <w:r w:rsidRPr="00F03A70">
        <w:rPr>
          <w:rStyle w:val="FootnoteReference"/>
          <w:sz w:val="16"/>
          <w:szCs w:val="24"/>
        </w:rPr>
        <w:footnoteRef/>
      </w:r>
      <w:r w:rsidRPr="00F03A70">
        <w:rPr>
          <w:sz w:val="16"/>
          <w:szCs w:val="24"/>
          <w:lang w:val="en-US"/>
        </w:rPr>
        <w:t>These organisations have delivery and/or policy responsibility related to the recommendation</w:t>
      </w:r>
      <w:r>
        <w:rPr>
          <w:sz w:val="16"/>
          <w:szCs w:val="24"/>
          <w:lang w:val="en-US"/>
        </w:rPr>
        <w:t>s and hence a role in addressing these.</w:t>
      </w:r>
    </w:p>
  </w:footnote>
  <w:footnote w:id="10">
    <w:p w14:paraId="4E6D5875" w14:textId="77777777" w:rsidR="00B97499" w:rsidRPr="00F03A70" w:rsidRDefault="00B97499" w:rsidP="006C2BBF">
      <w:pPr>
        <w:pStyle w:val="P1Footer2"/>
        <w:rPr>
          <w:sz w:val="16"/>
          <w:szCs w:val="16"/>
        </w:rPr>
      </w:pPr>
      <w:r w:rsidRPr="00F03A70">
        <w:rPr>
          <w:rStyle w:val="FootnoteReference"/>
          <w:sz w:val="16"/>
          <w:szCs w:val="16"/>
        </w:rPr>
        <w:footnoteRef/>
      </w:r>
      <w:r w:rsidRPr="00F03A70">
        <w:rPr>
          <w:sz w:val="16"/>
          <w:szCs w:val="16"/>
        </w:rPr>
        <w:t xml:space="preserve"> Several recommendations in this report seek to address ways in which perceived and practical barriers related to visas reduce access to the STPP for foreign nationals who have experiences of HTMS. Any action taken to reduce or remove these barriers must also ensure that robust mechanisms are in place to uphold the integrity of Australia’s visa system and consider and mitigate perverse outcomes from any reform. All work to this end must seek consensus amongst relevant agencies.  </w:t>
      </w:r>
    </w:p>
  </w:footnote>
  <w:footnote w:id="11">
    <w:p w14:paraId="4795E701" w14:textId="77777777" w:rsidR="00B97499" w:rsidRPr="00F03A70" w:rsidRDefault="00B97499">
      <w:pPr>
        <w:pStyle w:val="FootnoteText"/>
        <w:rPr>
          <w:lang w:val="en-US"/>
        </w:rPr>
      </w:pPr>
      <w:r w:rsidRPr="00F03A70">
        <w:rPr>
          <w:rStyle w:val="FootnoteReference"/>
          <w:sz w:val="16"/>
          <w:szCs w:val="16"/>
        </w:rPr>
        <w:footnoteRef/>
      </w:r>
      <w:r w:rsidRPr="00732D7E">
        <w:rPr>
          <w:rFonts w:asciiTheme="minorHAnsi" w:hAnsiTheme="minorHAnsi" w:cstheme="minorBidi"/>
          <w:color w:val="auto"/>
          <w:sz w:val="16"/>
          <w:szCs w:val="16"/>
        </w:rPr>
        <w:t>Noting that the current model already provides tailored and needs assessed support within the constraints imposed by time limits.</w:t>
      </w:r>
      <w:r w:rsidRPr="00732D7E">
        <w:rPr>
          <w:color w:val="auto"/>
        </w:rPr>
        <w:t xml:space="preserve"> </w:t>
      </w:r>
    </w:p>
  </w:footnote>
  <w:footnote w:id="12">
    <w:p w14:paraId="66C5757B" w14:textId="77777777" w:rsidR="00CD3D1F" w:rsidRDefault="00CD3D1F" w:rsidP="00CD3D1F">
      <w:pPr>
        <w:pStyle w:val="P1Footer2"/>
      </w:pPr>
      <w:r w:rsidRPr="00F03A70">
        <w:rPr>
          <w:rStyle w:val="FootnoteReference"/>
          <w:sz w:val="16"/>
          <w:szCs w:val="24"/>
        </w:rPr>
        <w:footnoteRef/>
      </w:r>
      <w:r w:rsidRPr="00F03A70">
        <w:rPr>
          <w:sz w:val="16"/>
          <w:szCs w:val="24"/>
        </w:rPr>
        <w:t xml:space="preserve"> From the 28</w:t>
      </w:r>
      <w:r w:rsidRPr="00F03A70">
        <w:rPr>
          <w:sz w:val="16"/>
          <w:szCs w:val="24"/>
          <w:vertAlign w:val="superscript"/>
        </w:rPr>
        <w:t>th of</w:t>
      </w:r>
      <w:r w:rsidRPr="00F03A70">
        <w:rPr>
          <w:sz w:val="16"/>
          <w:szCs w:val="24"/>
        </w:rPr>
        <w:t xml:space="preserve"> January 2025 the ARP can also refer to the FMSSP. </w:t>
      </w:r>
    </w:p>
  </w:footnote>
  <w:footnote w:id="13">
    <w:p w14:paraId="647EBB21" w14:textId="3BAD3372" w:rsidR="00FE3DA2" w:rsidRDefault="00FE3DA2" w:rsidP="001701E6">
      <w:pPr>
        <w:pStyle w:val="TableFootnote"/>
      </w:pPr>
      <w:r w:rsidRPr="00F03A70">
        <w:rPr>
          <w:rStyle w:val="FootnoteReference"/>
          <w:sz w:val="16"/>
          <w:szCs w:val="16"/>
        </w:rPr>
        <w:footnoteRef/>
      </w:r>
      <w:r w:rsidRPr="00F03A70">
        <w:t xml:space="preserve">Some of the recommendations for strengthening are the remit of DSS as the agency responsible for the STPP and ARP. Other recommendations are intended for other Australian Government agencies. The recommendations section </w:t>
      </w:r>
      <w:r w:rsidR="00E60358" w:rsidRPr="00F03A70">
        <w:t>of this</w:t>
      </w:r>
      <w:r w:rsidRPr="00F03A70">
        <w:t xml:space="preserve"> report specifies responsibility for addressing each. </w:t>
      </w:r>
    </w:p>
  </w:footnote>
  <w:footnote w:id="14">
    <w:p w14:paraId="561C9DE9" w14:textId="33795465" w:rsidR="001D6072" w:rsidRPr="00F03A70" w:rsidRDefault="001D6072" w:rsidP="001701E6">
      <w:pPr>
        <w:pStyle w:val="TableFootnote"/>
      </w:pPr>
      <w:r w:rsidRPr="00F03A70">
        <w:rPr>
          <w:vertAlign w:val="superscript"/>
        </w:rPr>
        <w:footnoteRef/>
      </w:r>
      <w:r w:rsidRPr="00F03A70">
        <w:rPr>
          <w:vertAlign w:val="superscript"/>
        </w:rPr>
        <w:t xml:space="preserve"> </w:t>
      </w:r>
      <w:r w:rsidR="00105E91" w:rsidRPr="00F03A70">
        <w:t xml:space="preserve">Program eligibility criteria limit medium-term support to people who are assisting the AFP with an investigation. To stay on the STPP beyond the 90-day Intensive Support Stream (ISS) and 20-working-day Transition Stream, individuals generally must be participating in the criminal justice process. Those unwilling to assist in the criminal justice process, or whose criminal justice process is complete or cannot continue, are exited from the program. </w:t>
      </w:r>
      <w:r w:rsidRPr="00F03A70">
        <w:t>Those on the Forced Marriage Support Stream (which will cease once all participants are transitioned to FMSSP) can access support up to 180 calendar days, including their time on ISS.</w:t>
      </w:r>
    </w:p>
  </w:footnote>
  <w:footnote w:id="15">
    <w:p w14:paraId="3A4B3E69" w14:textId="00FD77CE" w:rsidR="00032C66" w:rsidRDefault="00032C66" w:rsidP="001701E6">
      <w:pPr>
        <w:pStyle w:val="TableFootnote"/>
      </w:pPr>
      <w:r w:rsidRPr="00F03A70">
        <w:rPr>
          <w:rStyle w:val="FootnoteReference"/>
          <w:sz w:val="16"/>
          <w:szCs w:val="16"/>
        </w:rPr>
        <w:footnoteRef/>
      </w:r>
      <w:r w:rsidRPr="00F03A70">
        <w:rPr>
          <w:vertAlign w:val="superscript"/>
        </w:rPr>
        <w:t xml:space="preserve"> </w:t>
      </w:r>
      <w:r w:rsidRPr="00F03A70">
        <w:t xml:space="preserve">See </w:t>
      </w:r>
      <w:r w:rsidRPr="00F03A70">
        <w:fldChar w:fldCharType="begin"/>
      </w:r>
      <w:r w:rsidRPr="00F03A70">
        <w:instrText xml:space="preserve"> REF _Ref200037213 \h </w:instrText>
      </w:r>
      <w:r w:rsidR="002A7106" w:rsidRPr="00F03A70">
        <w:instrText xml:space="preserve"> \* MERGEFORMAT </w:instrText>
      </w:r>
      <w:r w:rsidRPr="00F03A70">
        <w:fldChar w:fldCharType="separate"/>
      </w:r>
      <w:r w:rsidR="00D9323B">
        <w:t>Appendix 1. Program logics and evaluation framework</w:t>
      </w:r>
      <w:r w:rsidRPr="00F03A70">
        <w:fldChar w:fldCharType="end"/>
      </w:r>
      <w:r w:rsidRPr="00F03A70">
        <w:t xml:space="preserve"> for </w:t>
      </w:r>
      <w:r w:rsidR="00CD47F0" w:rsidRPr="00F03A70">
        <w:t xml:space="preserve">full list of outcomes. </w:t>
      </w:r>
      <w:r w:rsidR="009F446D" w:rsidRPr="00F03A70">
        <w:t>Long</w:t>
      </w:r>
      <w:r w:rsidR="00791DC8" w:rsidRPr="00F03A70">
        <w:t>-</w:t>
      </w:r>
      <w:r w:rsidR="009F446D" w:rsidRPr="00F03A70">
        <w:t>term participant outcomes were not addressed in this evaluation due to a lack of evidence.</w:t>
      </w:r>
    </w:p>
  </w:footnote>
  <w:footnote w:id="16">
    <w:p w14:paraId="4E76406E" w14:textId="6591D487" w:rsidR="00077AB1" w:rsidRDefault="00077AB1" w:rsidP="00A13427">
      <w:pPr>
        <w:pStyle w:val="P1Footer2"/>
      </w:pPr>
      <w:r w:rsidRPr="00F03A70">
        <w:rPr>
          <w:rStyle w:val="FootnoteReference"/>
          <w:sz w:val="16"/>
          <w:szCs w:val="24"/>
        </w:rPr>
        <w:footnoteRef/>
      </w:r>
      <w:r w:rsidRPr="00F03A70">
        <w:rPr>
          <w:sz w:val="16"/>
          <w:szCs w:val="24"/>
        </w:rPr>
        <w:t xml:space="preserve"> </w:t>
      </w:r>
      <w:r w:rsidRPr="00F03A70">
        <w:rPr>
          <w:rFonts w:ascii="Barlow" w:hAnsi="Barlow"/>
          <w:sz w:val="16"/>
          <w:szCs w:val="24"/>
        </w:rPr>
        <w:t>(AFP 2023, 2024b; UN Human Rights Council, 2012; Walk Free, 2023)</w:t>
      </w:r>
      <w:r w:rsidRPr="00F03A70">
        <w:rPr>
          <w:sz w:val="16"/>
          <w:szCs w:val="24"/>
        </w:rPr>
        <w:t xml:space="preserve"> </w:t>
      </w:r>
    </w:p>
  </w:footnote>
  <w:footnote w:id="17">
    <w:p w14:paraId="4B3F2679" w14:textId="1CCD6567" w:rsidR="001D507D" w:rsidRDefault="001D507D" w:rsidP="001D507D">
      <w:pPr>
        <w:pStyle w:val="P1Footer2"/>
      </w:pPr>
      <w:r w:rsidRPr="00F03A70">
        <w:rPr>
          <w:rStyle w:val="FootnoteReference"/>
          <w:sz w:val="16"/>
          <w:szCs w:val="24"/>
        </w:rPr>
        <w:footnoteRef/>
      </w:r>
      <w:r w:rsidRPr="00F03A70">
        <w:rPr>
          <w:sz w:val="16"/>
          <w:szCs w:val="24"/>
        </w:rPr>
        <w:t xml:space="preserve">The Walk Free Foundation’s (2023) Global Slavery Index, based on a population-based survey and modelling, estimates that in 2021 there were 41,000 people in modern slavery situations in Australia. The AIC’s 2019 </w:t>
      </w:r>
      <w:r w:rsidR="002A5DEE" w:rsidRPr="00F03A70">
        <w:rPr>
          <w:rFonts w:ascii="Barlow" w:hAnsi="Barlow"/>
          <w:sz w:val="16"/>
          <w:szCs w:val="24"/>
        </w:rPr>
        <w:t xml:space="preserve">(Lyneham et al., </w:t>
      </w:r>
      <w:r w:rsidRPr="00F03A70">
        <w:rPr>
          <w:rFonts w:ascii="Barlow" w:hAnsi="Barlow"/>
          <w:sz w:val="16"/>
          <w:szCs w:val="24"/>
        </w:rPr>
        <w:t>2019)</w:t>
      </w:r>
      <w:r w:rsidRPr="00F03A70">
        <w:rPr>
          <w:sz w:val="16"/>
          <w:szCs w:val="24"/>
        </w:rPr>
        <w:t xml:space="preserve"> Multiple Systems Estimation estimated the number of human trafficking and modern slavery victims in Australia between 2015-2017 as between 1,300 and 1,900, including 414 ‘observed’ victims (that had been identified by one of several agencies). Reports made to AFP of possible HTMS offences between 2013-2024 have grown from 70 in 2013-2014 financial year to 382 in the 2023-2024 financial year, with the incidence having increased steadily between 2021-2024 </w:t>
      </w:r>
      <w:r w:rsidRPr="00F03A70">
        <w:rPr>
          <w:rFonts w:ascii="Barlow" w:hAnsi="Barlow"/>
          <w:sz w:val="16"/>
          <w:szCs w:val="24"/>
        </w:rPr>
        <w:t>(</w:t>
      </w:r>
      <w:r w:rsidR="00FF3D64" w:rsidRPr="00F03A70">
        <w:rPr>
          <w:rFonts w:ascii="Barlow" w:hAnsi="Barlow"/>
          <w:sz w:val="16"/>
          <w:szCs w:val="24"/>
        </w:rPr>
        <w:t>AFP, 2023, 2024a, 2024b)</w:t>
      </w:r>
      <w:r w:rsidR="00037A12" w:rsidRPr="00F03A70">
        <w:rPr>
          <w:sz w:val="16"/>
          <w:szCs w:val="24"/>
        </w:rPr>
        <w:t xml:space="preserve"> </w:t>
      </w:r>
      <w:r w:rsidRPr="00F03A70">
        <w:rPr>
          <w:sz w:val="16"/>
          <w:szCs w:val="24"/>
        </w:rPr>
        <w:t>(Figure 5 ).The increase in overall reports since 2018-19 has been driven by increases in most offence categories (with the notable exception of forced marriage) and especially by increases in human trafficking, sexual servitude and forced labour (Figure 6).</w:t>
      </w:r>
    </w:p>
  </w:footnote>
  <w:footnote w:id="18">
    <w:p w14:paraId="656B3246" w14:textId="0A354FED" w:rsidR="00F7110F" w:rsidRDefault="00F7110F" w:rsidP="001701E6">
      <w:pPr>
        <w:pStyle w:val="TableFootnote"/>
      </w:pPr>
      <w:r>
        <w:rPr>
          <w:rStyle w:val="FootnoteReference"/>
        </w:rPr>
        <w:footnoteRef/>
      </w:r>
      <w:r>
        <w:t xml:space="preserve"> </w:t>
      </w:r>
      <w:r w:rsidR="009D4024">
        <w:t xml:space="preserve">The </w:t>
      </w:r>
      <w:r w:rsidR="00226980">
        <w:t>participant did not disclose during the interview whether they had been referred to a lega</w:t>
      </w:r>
      <w:r w:rsidR="004546B0">
        <w:t>l service for immigration matters while on the ST</w:t>
      </w:r>
      <w:r w:rsidR="00F41D4C">
        <w:t xml:space="preserve">PP. </w:t>
      </w:r>
    </w:p>
  </w:footnote>
  <w:footnote w:id="19">
    <w:p w14:paraId="4E528DBB" w14:textId="13CA730A" w:rsidR="00217268" w:rsidRPr="002958FF" w:rsidRDefault="00217268" w:rsidP="001701E6">
      <w:pPr>
        <w:pStyle w:val="TableFootnote"/>
        <w:rPr>
          <w:sz w:val="16"/>
          <w:szCs w:val="16"/>
        </w:rPr>
      </w:pPr>
      <w:r w:rsidRPr="002958FF">
        <w:rPr>
          <w:rStyle w:val="FootnoteReference"/>
          <w:sz w:val="16"/>
          <w:szCs w:val="16"/>
        </w:rPr>
        <w:footnoteRef/>
      </w:r>
      <w:r w:rsidRPr="002958FF">
        <w:rPr>
          <w:sz w:val="16"/>
          <w:szCs w:val="16"/>
        </w:rPr>
        <w:t xml:space="preserve"> Lyneham S 2021. Attrition of human trafficking and slavery cases through the Australian criminal justice system. </w:t>
      </w:r>
      <w:r w:rsidRPr="002958FF">
        <w:rPr>
          <w:i/>
          <w:iCs/>
          <w:sz w:val="16"/>
          <w:szCs w:val="16"/>
        </w:rPr>
        <w:t>Trends &amp; issues in crime and criminal justice</w:t>
      </w:r>
      <w:r w:rsidRPr="002958FF">
        <w:rPr>
          <w:sz w:val="16"/>
          <w:szCs w:val="16"/>
        </w:rPr>
        <w:t> no. 640. Canberra: Australian Institute of Criminology. https://doi.org/10.52922/ti78443</w:t>
      </w:r>
    </w:p>
  </w:footnote>
  <w:footnote w:id="20">
    <w:p w14:paraId="27F50E0B" w14:textId="3F0F32F7" w:rsidR="00CD0F01" w:rsidRDefault="00CD0F01" w:rsidP="00CD0F01">
      <w:pPr>
        <w:pStyle w:val="P1Footer2"/>
      </w:pPr>
      <w:r w:rsidRPr="00F03A70">
        <w:rPr>
          <w:rStyle w:val="FootnoteReference"/>
          <w:sz w:val="16"/>
          <w:szCs w:val="24"/>
        </w:rPr>
        <w:footnoteRef/>
      </w:r>
      <w:r w:rsidRPr="00F03A70">
        <w:rPr>
          <w:sz w:val="16"/>
          <w:szCs w:val="24"/>
        </w:rPr>
        <w:t xml:space="preserve">Assistance includes providing direct support during legal interactions, including caseworker presence in court and in meetings with AFP, caseworkers providing ongoing emotional support as needed when participants are navigating challenging issues related to the justice process, liaising and facilitating contact with AFP and Commonwealth Director of Public Prosecutions Witness Assistance Service, helping participants seek legal advice (service provider is not to provide legal advice to participants themselves), reiterating information about participant responsibilities and entitlements regarding the criminal justice process, providing financial support for justice engagement through an allowance to cover specific costs related to court proceedings, such as travel for the participant and childcare while they attend court or meetings with the Director of Public Prosecutions. </w:t>
      </w:r>
    </w:p>
  </w:footnote>
  <w:footnote w:id="21">
    <w:p w14:paraId="76EF59D7" w14:textId="29DF2E15" w:rsidR="003940BD" w:rsidRDefault="003940BD" w:rsidP="007D4BCA">
      <w:pPr>
        <w:pStyle w:val="P1Footer2"/>
      </w:pPr>
      <w:r w:rsidRPr="00F03A70">
        <w:rPr>
          <w:rStyle w:val="FootnoteReference"/>
          <w:sz w:val="16"/>
          <w:szCs w:val="24"/>
        </w:rPr>
        <w:footnoteRef/>
      </w:r>
      <w:r w:rsidRPr="00F03A70">
        <w:rPr>
          <w:sz w:val="16"/>
          <w:szCs w:val="24"/>
        </w:rPr>
        <w:t xml:space="preserve"> These issues and others are discussed in detail in</w:t>
      </w:r>
      <w:r w:rsidR="007D4BCA" w:rsidRPr="00F03A70">
        <w:rPr>
          <w:sz w:val="16"/>
          <w:szCs w:val="24"/>
        </w:rPr>
        <w:t>:</w:t>
      </w:r>
      <w:r w:rsidRPr="00F03A70">
        <w:rPr>
          <w:sz w:val="16"/>
          <w:szCs w:val="24"/>
        </w:rPr>
        <w:t xml:space="preserve"> </w:t>
      </w:r>
      <w:r w:rsidR="001F286A" w:rsidRPr="00F03A70">
        <w:rPr>
          <w:sz w:val="16"/>
          <w:szCs w:val="24"/>
        </w:rPr>
        <w:t>Chazal, N. (2023). </w:t>
      </w:r>
      <w:r w:rsidR="001F286A" w:rsidRPr="00F03A70">
        <w:rPr>
          <w:i/>
          <w:iCs/>
          <w:sz w:val="16"/>
          <w:szCs w:val="24"/>
        </w:rPr>
        <w:t>Hidden Victims, Intergenerational Trauma: Supporting the Dependants of Modern Slavery Victim-survivors in Australia</w:t>
      </w:r>
      <w:r w:rsidR="001F286A" w:rsidRPr="00F03A70">
        <w:rPr>
          <w:sz w:val="16"/>
          <w:szCs w:val="24"/>
        </w:rPr>
        <w:t>. University of South Australia.</w:t>
      </w:r>
    </w:p>
  </w:footnote>
  <w:footnote w:id="22">
    <w:p w14:paraId="4DC1938E" w14:textId="0ED4FCBB" w:rsidR="0094168B" w:rsidRDefault="0094168B" w:rsidP="00F323B1">
      <w:pPr>
        <w:pStyle w:val="P1Footer2"/>
      </w:pPr>
      <w:r w:rsidRPr="00F03A70">
        <w:rPr>
          <w:rStyle w:val="FootnoteReference"/>
          <w:sz w:val="16"/>
          <w:szCs w:val="24"/>
        </w:rPr>
        <w:footnoteRef/>
      </w:r>
      <w:r w:rsidRPr="00F03A70">
        <w:rPr>
          <w:sz w:val="16"/>
          <w:szCs w:val="24"/>
        </w:rPr>
        <w:t xml:space="preserve"> See </w:t>
      </w:r>
      <w:r w:rsidRPr="00F03A70">
        <w:rPr>
          <w:sz w:val="16"/>
          <w:szCs w:val="24"/>
        </w:rPr>
        <w:fldChar w:fldCharType="begin"/>
      </w:r>
      <w:r w:rsidRPr="00F03A70">
        <w:rPr>
          <w:sz w:val="16"/>
          <w:szCs w:val="24"/>
        </w:rPr>
        <w:instrText xml:space="preserve"> REF _Ref200047024 \h </w:instrText>
      </w:r>
      <w:r w:rsidR="007F6F87" w:rsidRPr="00F03A70">
        <w:rPr>
          <w:sz w:val="16"/>
          <w:szCs w:val="24"/>
        </w:rPr>
        <w:instrText xml:space="preserve"> \* MERGEFORMAT </w:instrText>
      </w:r>
      <w:r w:rsidRPr="00F03A70">
        <w:rPr>
          <w:sz w:val="16"/>
          <w:szCs w:val="24"/>
        </w:rPr>
      </w:r>
      <w:r w:rsidRPr="00F03A70">
        <w:rPr>
          <w:sz w:val="16"/>
          <w:szCs w:val="24"/>
        </w:rPr>
        <w:fldChar w:fldCharType="separate"/>
      </w:r>
      <w:r w:rsidR="00D9323B" w:rsidRPr="00D9323B">
        <w:rPr>
          <w:sz w:val="16"/>
          <w:szCs w:val="24"/>
        </w:rPr>
        <w:t>KEQ3b. To what extent is the STPP consistent with the international principles and evidence regarding support for people with experience of HTMS and international programs?</w:t>
      </w:r>
      <w:r w:rsidRPr="00F03A70">
        <w:rPr>
          <w:sz w:val="16"/>
          <w:szCs w:val="24"/>
        </w:rPr>
        <w:fldChar w:fldCharType="end"/>
      </w:r>
      <w:r w:rsidR="00D776B9">
        <w:t xml:space="preserve"> </w:t>
      </w:r>
    </w:p>
  </w:footnote>
  <w:footnote w:id="23">
    <w:p w14:paraId="57420992" w14:textId="0FFCF2C3" w:rsidR="004F052D" w:rsidRPr="00F03A70" w:rsidRDefault="004F052D" w:rsidP="00B346BD">
      <w:pPr>
        <w:pStyle w:val="P1Footer2"/>
        <w:rPr>
          <w:sz w:val="16"/>
          <w:szCs w:val="24"/>
        </w:rPr>
      </w:pPr>
      <w:r w:rsidRPr="00F03A70">
        <w:rPr>
          <w:rStyle w:val="FootnoteReference"/>
          <w:sz w:val="16"/>
          <w:szCs w:val="24"/>
        </w:rPr>
        <w:footnoteRef/>
      </w:r>
      <w:r w:rsidRPr="00F03A70">
        <w:rPr>
          <w:sz w:val="16"/>
          <w:szCs w:val="24"/>
        </w:rPr>
        <w:t xml:space="preserve"> </w:t>
      </w:r>
      <w:r w:rsidR="002A57B1" w:rsidRPr="00F03A70">
        <w:rPr>
          <w:rFonts w:cs="Calibri"/>
          <w:sz w:val="16"/>
          <w:szCs w:val="24"/>
        </w:rPr>
        <w:t>(Australian Institute of Criminology, 2024)</w:t>
      </w:r>
      <w:r w:rsidR="00250595" w:rsidRPr="00F03A70">
        <w:rPr>
          <w:sz w:val="16"/>
          <w:szCs w:val="24"/>
        </w:rPr>
        <w:t xml:space="preserve"> </w:t>
      </w:r>
      <w:r w:rsidR="00EA77D3" w:rsidRPr="00F03A70">
        <w:rPr>
          <w:sz w:val="16"/>
          <w:szCs w:val="24"/>
        </w:rPr>
        <w:t xml:space="preserve">– not yet published; provided </w:t>
      </w:r>
      <w:r w:rsidR="00B63AED" w:rsidRPr="00F03A70">
        <w:rPr>
          <w:sz w:val="16"/>
          <w:szCs w:val="24"/>
        </w:rPr>
        <w:t xml:space="preserve">in confidence </w:t>
      </w:r>
      <w:r w:rsidR="001832C7" w:rsidRPr="00F03A70">
        <w:rPr>
          <w:sz w:val="16"/>
          <w:szCs w:val="24"/>
        </w:rPr>
        <w:t>for this evaluation</w:t>
      </w:r>
    </w:p>
  </w:footnote>
  <w:footnote w:id="24">
    <w:p w14:paraId="19E2B6BC" w14:textId="5A4A895C" w:rsidR="00B32D77" w:rsidRDefault="00B32D77" w:rsidP="00F323B1">
      <w:pPr>
        <w:pStyle w:val="P1Footer2"/>
      </w:pPr>
      <w:r w:rsidRPr="00F03A70">
        <w:rPr>
          <w:rStyle w:val="FootnoteReference"/>
          <w:sz w:val="16"/>
          <w:szCs w:val="24"/>
        </w:rPr>
        <w:footnoteRef/>
      </w:r>
      <w:r w:rsidRPr="00F03A70">
        <w:rPr>
          <w:sz w:val="16"/>
          <w:szCs w:val="24"/>
        </w:rPr>
        <w:t xml:space="preserve"> For example: </w:t>
      </w:r>
      <w:hyperlink r:id="rId1" w:history="1">
        <w:r w:rsidRPr="00450166">
          <w:rPr>
            <w:rStyle w:val="Hyperlink"/>
            <w:color w:val="auto"/>
            <w:sz w:val="16"/>
            <w:szCs w:val="24"/>
          </w:rPr>
          <w:t>Training and resources for health professionals in responding to family, domestic and sexual violence | Australian Government Department of Health and Aged Care</w:t>
        </w:r>
      </w:hyperlink>
    </w:p>
  </w:footnote>
  <w:footnote w:id="25">
    <w:p w14:paraId="16B6AE4C" w14:textId="2E593EAC" w:rsidR="00096421" w:rsidRDefault="00096421" w:rsidP="00900CFA">
      <w:pPr>
        <w:pStyle w:val="P1Footer2"/>
      </w:pPr>
      <w:r w:rsidRPr="00F03A70">
        <w:rPr>
          <w:rStyle w:val="FootnoteReference"/>
          <w:sz w:val="16"/>
          <w:szCs w:val="24"/>
        </w:rPr>
        <w:footnoteRef/>
      </w:r>
      <w:r w:rsidRPr="00F03A70">
        <w:rPr>
          <w:sz w:val="16"/>
          <w:szCs w:val="24"/>
        </w:rPr>
        <w:t>Stakeholders described a process characterised by micro decisions, for example, around requests for additional expenditure</w:t>
      </w:r>
      <w:r w:rsidR="007227EA" w:rsidRPr="00F03A70">
        <w:rPr>
          <w:sz w:val="16"/>
          <w:szCs w:val="24"/>
        </w:rPr>
        <w:t xml:space="preserve"> </w:t>
      </w:r>
      <w:r w:rsidR="00617395" w:rsidRPr="00F03A70">
        <w:rPr>
          <w:sz w:val="16"/>
          <w:szCs w:val="24"/>
        </w:rPr>
        <w:t>that requires action from</w:t>
      </w:r>
      <w:r w:rsidRPr="00F03A70">
        <w:rPr>
          <w:sz w:val="16"/>
          <w:szCs w:val="24"/>
        </w:rPr>
        <w:t xml:space="preserve"> multiple agencies</w:t>
      </w:r>
      <w:r w:rsidR="00617395" w:rsidRPr="00F03A70">
        <w:rPr>
          <w:sz w:val="16"/>
          <w:szCs w:val="24"/>
        </w:rPr>
        <w:t xml:space="preserve"> (although </w:t>
      </w:r>
      <w:r w:rsidR="005938D0" w:rsidRPr="00F03A70">
        <w:rPr>
          <w:sz w:val="16"/>
          <w:szCs w:val="24"/>
        </w:rPr>
        <w:t xml:space="preserve">it is important to note that additional funding is provided solely at the discretion of </w:t>
      </w:r>
      <w:r w:rsidR="00617395" w:rsidRPr="00F03A70">
        <w:rPr>
          <w:sz w:val="16"/>
          <w:szCs w:val="24"/>
        </w:rPr>
        <w:t>DSS</w:t>
      </w:r>
      <w:r w:rsidR="005938D0" w:rsidRPr="00F03A70">
        <w:rPr>
          <w:sz w:val="16"/>
          <w:szCs w:val="24"/>
        </w:rPr>
        <w:t>)</w:t>
      </w:r>
      <w:r w:rsidRPr="00F03A70">
        <w:rPr>
          <w:sz w:val="16"/>
          <w:szCs w:val="24"/>
        </w:rPr>
        <w:t>.</w:t>
      </w:r>
    </w:p>
  </w:footnote>
  <w:footnote w:id="26">
    <w:p w14:paraId="0158F90F" w14:textId="3BDE99A7" w:rsidR="00900CFA" w:rsidRPr="00AE427E" w:rsidRDefault="00900CFA" w:rsidP="00900CFA">
      <w:pPr>
        <w:pStyle w:val="P1Footer2"/>
        <w:rPr>
          <w:color w:val="FF0000"/>
        </w:rPr>
      </w:pPr>
      <w:r w:rsidRPr="00F03A70">
        <w:rPr>
          <w:rStyle w:val="FootnoteReference"/>
          <w:sz w:val="16"/>
          <w:szCs w:val="24"/>
        </w:rPr>
        <w:footnoteRef/>
      </w:r>
      <w:r w:rsidRPr="00F03A70">
        <w:rPr>
          <w:sz w:val="16"/>
          <w:szCs w:val="24"/>
        </w:rPr>
        <w:t xml:space="preserve"> The financial needs of </w:t>
      </w:r>
      <w:r w:rsidR="00D63E4C" w:rsidRPr="00F03A70">
        <w:rPr>
          <w:sz w:val="16"/>
          <w:szCs w:val="24"/>
        </w:rPr>
        <w:t>participants</w:t>
      </w:r>
      <w:r w:rsidRPr="00F03A70">
        <w:rPr>
          <w:sz w:val="16"/>
          <w:szCs w:val="24"/>
        </w:rPr>
        <w:t xml:space="preserve"> within the STPP are highly variable due to factors </w:t>
      </w:r>
      <w:r w:rsidR="001307FF" w:rsidRPr="00F03A70">
        <w:rPr>
          <w:sz w:val="16"/>
          <w:szCs w:val="24"/>
        </w:rPr>
        <w:t>such as</w:t>
      </w:r>
      <w:r w:rsidRPr="00F03A70">
        <w:rPr>
          <w:sz w:val="16"/>
          <w:szCs w:val="24"/>
        </w:rPr>
        <w:t xml:space="preserve"> mental and physical health needs, financial and other resources available to the </w:t>
      </w:r>
      <w:r w:rsidR="00E672F9" w:rsidRPr="00F03A70">
        <w:rPr>
          <w:sz w:val="16"/>
          <w:szCs w:val="24"/>
        </w:rPr>
        <w:t>participant</w:t>
      </w:r>
      <w:r w:rsidRPr="00F03A70">
        <w:rPr>
          <w:sz w:val="16"/>
          <w:szCs w:val="24"/>
        </w:rPr>
        <w:t xml:space="preserve"> beyond the STPP, the presence and needs of dependants, visa status and access to other support services, level of engagement with the program, capacity and willingness to voice needs</w:t>
      </w:r>
      <w:r w:rsidR="00D63736" w:rsidRPr="00F03A70">
        <w:rPr>
          <w:sz w:val="16"/>
          <w:szCs w:val="24"/>
        </w:rPr>
        <w:t xml:space="preserve"> and </w:t>
      </w:r>
      <w:r w:rsidRPr="00F03A70">
        <w:rPr>
          <w:sz w:val="16"/>
          <w:szCs w:val="24"/>
        </w:rPr>
        <w:t xml:space="preserve">length of time on the program. Caseworkers report that they have some </w:t>
      </w:r>
      <w:r w:rsidR="00DD67ED" w:rsidRPr="00F03A70">
        <w:rPr>
          <w:sz w:val="16"/>
          <w:szCs w:val="24"/>
        </w:rPr>
        <w:t>participant</w:t>
      </w:r>
      <w:r w:rsidRPr="00F03A70">
        <w:rPr>
          <w:sz w:val="16"/>
          <w:szCs w:val="24"/>
        </w:rPr>
        <w:t xml:space="preserve">s who primarily require systems navigation and social and emotional support throughout their time on the program, with little need to utilise monetary allowances or request additional funding. On the other hand, they report having others who have intensive urgent needs with costs attached (e.g. accommodation, disability-related needs) and often no access to government funding due to visa status, which means heavier reliance on STPP allowances to meet their needs. This suggests that set amounts per person per category of need </w:t>
      </w:r>
      <w:r w:rsidR="00114C8C" w:rsidRPr="00F03A70">
        <w:rPr>
          <w:sz w:val="16"/>
          <w:szCs w:val="24"/>
        </w:rPr>
        <w:t xml:space="preserve">(e.g. accommodation or </w:t>
      </w:r>
      <w:r w:rsidR="00E267AF" w:rsidRPr="00F03A70">
        <w:rPr>
          <w:sz w:val="16"/>
          <w:szCs w:val="24"/>
        </w:rPr>
        <w:t>medical</w:t>
      </w:r>
      <w:r w:rsidR="00114C8C" w:rsidRPr="00F03A70">
        <w:rPr>
          <w:sz w:val="16"/>
          <w:szCs w:val="24"/>
        </w:rPr>
        <w:t xml:space="preserve">) </w:t>
      </w:r>
      <w:r w:rsidRPr="00F03A70">
        <w:rPr>
          <w:sz w:val="16"/>
          <w:szCs w:val="24"/>
        </w:rPr>
        <w:t>may not be the optimal way of distributing funds to areas of diverse need within a highly diverse population.</w:t>
      </w:r>
    </w:p>
  </w:footnote>
  <w:footnote w:id="27">
    <w:p w14:paraId="42180B98" w14:textId="42231A85" w:rsidR="007029CA" w:rsidRPr="00F03A70" w:rsidRDefault="007029CA">
      <w:pPr>
        <w:pStyle w:val="FootnoteText"/>
        <w:rPr>
          <w:sz w:val="22"/>
          <w:szCs w:val="22"/>
        </w:rPr>
      </w:pPr>
      <w:r w:rsidRPr="00F03A70">
        <w:rPr>
          <w:rStyle w:val="FootnoteReference"/>
          <w:rFonts w:asciiTheme="minorHAnsi" w:hAnsiTheme="minorHAnsi" w:cstheme="minorBidi"/>
          <w:color w:val="425563" w:themeColor="text1"/>
          <w:sz w:val="16"/>
          <w:szCs w:val="24"/>
        </w:rPr>
        <w:footnoteRef/>
      </w:r>
      <w:r w:rsidRPr="00F03A70">
        <w:rPr>
          <w:rStyle w:val="FootnoteReference"/>
          <w:sz w:val="22"/>
          <w:szCs w:val="22"/>
        </w:rPr>
        <w:t xml:space="preserve"> </w:t>
      </w:r>
      <w:r w:rsidR="00805696" w:rsidRPr="00F03A70">
        <w:rPr>
          <w:rFonts w:asciiTheme="minorHAnsi" w:hAnsiTheme="minorHAnsi" w:cstheme="minorBidi"/>
          <w:color w:val="425563" w:themeColor="text1"/>
          <w:sz w:val="16"/>
          <w:szCs w:val="24"/>
        </w:rPr>
        <w:t>(Attorney-General’s Department, 2020)</w:t>
      </w:r>
    </w:p>
  </w:footnote>
  <w:footnote w:id="28">
    <w:p w14:paraId="356D9D21" w14:textId="77777777" w:rsidR="009E34AA" w:rsidRPr="00FE34C7" w:rsidRDefault="009E34AA" w:rsidP="009E34AA">
      <w:pPr>
        <w:pStyle w:val="P1Footer2"/>
      </w:pPr>
      <w:r w:rsidRPr="00F03A70">
        <w:rPr>
          <w:rStyle w:val="FootnoteReference"/>
          <w:sz w:val="16"/>
          <w:szCs w:val="24"/>
        </w:rPr>
        <w:footnoteRef/>
      </w:r>
      <w:r w:rsidRPr="00F03A70">
        <w:rPr>
          <w:sz w:val="16"/>
          <w:szCs w:val="24"/>
        </w:rPr>
        <w:t xml:space="preserve"> We note that a key issue for making assessments against the principles is that they are not discrete or well defined.  </w:t>
      </w:r>
    </w:p>
  </w:footnote>
  <w:footnote w:id="29">
    <w:p w14:paraId="5B0EAC0E" w14:textId="53F6FA75" w:rsidR="008B75AA" w:rsidRDefault="008B75AA" w:rsidP="008B75AA">
      <w:pPr>
        <w:pStyle w:val="P1Footer2"/>
      </w:pPr>
      <w:r w:rsidRPr="00F03A70">
        <w:rPr>
          <w:rStyle w:val="FootnoteReference"/>
          <w:sz w:val="16"/>
          <w:szCs w:val="24"/>
        </w:rPr>
        <w:footnoteRef/>
      </w:r>
      <w:r w:rsidRPr="00F03A70">
        <w:rPr>
          <w:sz w:val="16"/>
          <w:szCs w:val="24"/>
        </w:rPr>
        <w:t xml:space="preserve">As defined in Divisions 270 and 271 of the Criminal Code </w:t>
      </w:r>
      <w:r w:rsidR="00F023E6" w:rsidRPr="00F03A70">
        <w:rPr>
          <w:rFonts w:ascii="Barlow" w:hAnsi="Barlow"/>
          <w:sz w:val="16"/>
          <w:szCs w:val="24"/>
        </w:rPr>
        <w:t>(Criminal Code Act, 1995)</w:t>
      </w:r>
    </w:p>
  </w:footnote>
  <w:footnote w:id="30">
    <w:p w14:paraId="3921338C" w14:textId="77777777" w:rsidR="00337AAB" w:rsidRDefault="00337AAB" w:rsidP="00337AAB">
      <w:pPr>
        <w:pStyle w:val="P1Footer2"/>
      </w:pPr>
      <w:r w:rsidRPr="00F03A70">
        <w:rPr>
          <w:rStyle w:val="FootnoteReference"/>
          <w:sz w:val="16"/>
          <w:szCs w:val="24"/>
        </w:rPr>
        <w:footnoteRef/>
      </w:r>
      <w:r w:rsidRPr="00F03A70">
        <w:rPr>
          <w:sz w:val="16"/>
          <w:szCs w:val="24"/>
        </w:rPr>
        <w:t xml:space="preserve"> Depending on circumstances, people with HTMS experiences may be eligible for assistance through court ordered reparations, state and territory victims of crime assistance schemes, recovery of unpaid wages and entitlements via the Fair Work Ombudsman and business remediation</w:t>
      </w:r>
    </w:p>
  </w:footnote>
  <w:footnote w:id="31">
    <w:p w14:paraId="5DE23B0C" w14:textId="2B0ABFFB" w:rsidR="00FF49A8" w:rsidRPr="006C2BBF" w:rsidRDefault="00FF49A8">
      <w:pPr>
        <w:pStyle w:val="FootnoteText"/>
        <w:rPr>
          <w:rFonts w:asciiTheme="minorHAnsi" w:hAnsiTheme="minorHAnsi"/>
          <w:sz w:val="15"/>
          <w:szCs w:val="15"/>
        </w:rPr>
      </w:pPr>
      <w:r w:rsidRPr="00F03A70">
        <w:rPr>
          <w:rStyle w:val="FootnoteReference"/>
          <w:rFonts w:asciiTheme="minorHAnsi" w:hAnsiTheme="minorHAnsi"/>
          <w:color w:val="425563" w:themeColor="text1"/>
          <w:sz w:val="16"/>
          <w:szCs w:val="16"/>
        </w:rPr>
        <w:footnoteRef/>
      </w:r>
      <w:r w:rsidRPr="00F03A70">
        <w:rPr>
          <w:rFonts w:asciiTheme="minorHAnsi" w:hAnsiTheme="minorHAnsi"/>
          <w:color w:val="425563" w:themeColor="text1"/>
          <w:sz w:val="16"/>
          <w:szCs w:val="16"/>
        </w:rPr>
        <w:t xml:space="preserve"> </w:t>
      </w:r>
      <w:r w:rsidR="00740872" w:rsidRPr="00F03A70">
        <w:rPr>
          <w:rFonts w:asciiTheme="minorHAnsi" w:hAnsiTheme="minorHAnsi"/>
          <w:color w:val="425563" w:themeColor="text1"/>
          <w:sz w:val="16"/>
          <w:szCs w:val="16"/>
        </w:rPr>
        <w:t>To be</w:t>
      </w:r>
      <w:r w:rsidR="00D30E46" w:rsidRPr="00F03A70">
        <w:rPr>
          <w:rFonts w:asciiTheme="minorHAnsi" w:hAnsiTheme="minorHAnsi"/>
          <w:color w:val="425563" w:themeColor="text1"/>
          <w:sz w:val="16"/>
          <w:szCs w:val="16"/>
        </w:rPr>
        <w:t xml:space="preserve"> eligible for the STPP the person must be reasonably suspected of being a victim-survivor of an offense set out in Divisions 270 and 271 of the Criminal Code.</w:t>
      </w:r>
      <w:r w:rsidR="00847A24" w:rsidRPr="00F03A70">
        <w:rPr>
          <w:rFonts w:asciiTheme="minorHAnsi" w:hAnsiTheme="minorHAnsi"/>
          <w:color w:val="425563" w:themeColor="text1"/>
          <w:sz w:val="16"/>
          <w:szCs w:val="16"/>
        </w:rPr>
        <w:t xml:space="preserve"> There also must be a nexus to Australia. This nexus means the situation must have happened in Australia, or the exploitation was performed by an Australian citizen or permanent resident, or in collaboration with an Australian citizen or permanent resident.</w:t>
      </w:r>
    </w:p>
  </w:footnote>
  <w:footnote w:id="32">
    <w:p w14:paraId="64866B64" w14:textId="6FA50D6A" w:rsidR="0014090A" w:rsidRPr="0014090A" w:rsidRDefault="0014090A">
      <w:pPr>
        <w:pStyle w:val="FootnoteText"/>
        <w:rPr>
          <w:color w:val="425563" w:themeColor="text1"/>
          <w:sz w:val="16"/>
          <w:szCs w:val="16"/>
        </w:rPr>
      </w:pPr>
      <w:r w:rsidRPr="0014090A">
        <w:rPr>
          <w:rStyle w:val="FootnoteReference"/>
          <w:rFonts w:asciiTheme="minorHAnsi" w:hAnsiTheme="minorHAnsi"/>
          <w:color w:val="425563" w:themeColor="text1"/>
          <w:sz w:val="15"/>
          <w:szCs w:val="15"/>
        </w:rPr>
        <w:footnoteRef/>
      </w:r>
      <w:r>
        <w:t xml:space="preserve"> </w:t>
      </w:r>
      <w:r w:rsidRPr="0014090A">
        <w:rPr>
          <w:rFonts w:ascii="Barlow" w:hAnsi="Barlow"/>
          <w:color w:val="425563" w:themeColor="text1"/>
          <w:sz w:val="16"/>
          <w:szCs w:val="16"/>
        </w:rPr>
        <w:t>(Davy, 2015; Dell et al., 2019; Graham et al., 2019; Jannesari et al., 2024</w:t>
      </w:r>
      <w:r w:rsidR="006105D1">
        <w:rPr>
          <w:rFonts w:ascii="Barlow" w:hAnsi="Barlow"/>
          <w:color w:val="425563" w:themeColor="text1"/>
          <w:sz w:val="16"/>
          <w:szCs w:val="16"/>
        </w:rPr>
        <w:t xml:space="preserve">; </w:t>
      </w:r>
      <w:r w:rsidR="006105D1" w:rsidRPr="0014090A">
        <w:rPr>
          <w:rFonts w:ascii="Barlow" w:hAnsi="Barlow"/>
          <w:color w:val="425563" w:themeColor="text1"/>
          <w:sz w:val="16"/>
          <w:szCs w:val="16"/>
        </w:rPr>
        <w:t>Bryant &amp; Landman, 2020; Davy, 2015; Dell et al., 2019; Macy et al., 2022</w:t>
      </w:r>
    </w:p>
  </w:footnote>
  <w:footnote w:id="33">
    <w:p w14:paraId="56CFEB68" w14:textId="14754868" w:rsidR="00C210DF" w:rsidRPr="00F323B1" w:rsidRDefault="00C210DF">
      <w:pPr>
        <w:pStyle w:val="FootnoteText"/>
        <w:rPr>
          <w:rFonts w:asciiTheme="minorHAnsi" w:hAnsiTheme="minorHAnsi"/>
          <w:color w:val="425563" w:themeColor="text1"/>
          <w:sz w:val="16"/>
          <w:szCs w:val="16"/>
        </w:rPr>
      </w:pPr>
      <w:r w:rsidRPr="00F323B1">
        <w:rPr>
          <w:rStyle w:val="FootnoteReference"/>
          <w:rFonts w:asciiTheme="minorHAnsi" w:hAnsiTheme="minorHAnsi"/>
          <w:color w:val="425563" w:themeColor="text1"/>
          <w:sz w:val="16"/>
          <w:szCs w:val="16"/>
        </w:rPr>
        <w:footnoteRef/>
      </w:r>
      <w:r w:rsidRPr="00F323B1">
        <w:rPr>
          <w:rFonts w:asciiTheme="minorHAnsi" w:hAnsiTheme="minorHAnsi"/>
          <w:color w:val="425563" w:themeColor="text1"/>
          <w:sz w:val="16"/>
          <w:szCs w:val="16"/>
        </w:rPr>
        <w:t xml:space="preserve"> </w:t>
      </w:r>
      <w:r w:rsidR="00CD28EF" w:rsidRPr="00F323B1">
        <w:rPr>
          <w:rFonts w:asciiTheme="minorHAnsi" w:hAnsiTheme="minorHAnsi"/>
          <w:color w:val="425563" w:themeColor="text1"/>
          <w:sz w:val="16"/>
          <w:szCs w:val="16"/>
        </w:rPr>
        <w:t>Boxall et al., (2023)</w:t>
      </w:r>
    </w:p>
  </w:footnote>
  <w:footnote w:id="34">
    <w:p w14:paraId="5F37F270" w14:textId="5B759C5E" w:rsidR="00EE5D6C" w:rsidRPr="00F323B1" w:rsidRDefault="00EE5D6C">
      <w:pPr>
        <w:pStyle w:val="FootnoteText"/>
        <w:rPr>
          <w:rFonts w:asciiTheme="minorHAnsi" w:hAnsiTheme="minorHAnsi"/>
          <w:color w:val="425563" w:themeColor="text1"/>
          <w:sz w:val="16"/>
          <w:szCs w:val="16"/>
        </w:rPr>
      </w:pPr>
      <w:r w:rsidRPr="00F323B1">
        <w:rPr>
          <w:rStyle w:val="FootnoteReference"/>
          <w:rFonts w:asciiTheme="minorHAnsi" w:hAnsiTheme="minorHAnsi"/>
          <w:color w:val="425563" w:themeColor="text1"/>
          <w:sz w:val="16"/>
          <w:szCs w:val="16"/>
        </w:rPr>
        <w:footnoteRef/>
      </w:r>
      <w:r w:rsidRPr="00F323B1">
        <w:rPr>
          <w:rFonts w:asciiTheme="minorHAnsi" w:hAnsiTheme="minorHAnsi"/>
          <w:color w:val="425563" w:themeColor="text1"/>
          <w:sz w:val="16"/>
          <w:szCs w:val="16"/>
        </w:rPr>
        <w:t xml:space="preserve"> Bhavsar &amp; Oram (2024)</w:t>
      </w:r>
    </w:p>
  </w:footnote>
  <w:footnote w:id="35">
    <w:p w14:paraId="377FFE13" w14:textId="2AECAF5C" w:rsidR="00C96825" w:rsidRPr="00F323B1" w:rsidRDefault="00C96825">
      <w:pPr>
        <w:pStyle w:val="FootnoteText"/>
        <w:rPr>
          <w:rFonts w:asciiTheme="minorHAnsi" w:hAnsiTheme="minorHAnsi"/>
          <w:color w:val="425563" w:themeColor="text1"/>
          <w:sz w:val="16"/>
          <w:szCs w:val="16"/>
        </w:rPr>
      </w:pPr>
      <w:r w:rsidRPr="00F323B1">
        <w:rPr>
          <w:rStyle w:val="FootnoteReference"/>
          <w:rFonts w:asciiTheme="minorHAnsi" w:hAnsiTheme="minorHAnsi"/>
          <w:color w:val="425563" w:themeColor="text1"/>
          <w:sz w:val="16"/>
          <w:szCs w:val="16"/>
        </w:rPr>
        <w:footnoteRef/>
      </w:r>
      <w:r w:rsidRPr="00F323B1">
        <w:rPr>
          <w:rFonts w:asciiTheme="minorHAnsi" w:hAnsiTheme="minorHAnsi"/>
          <w:color w:val="425563" w:themeColor="text1"/>
          <w:sz w:val="16"/>
          <w:szCs w:val="16"/>
        </w:rPr>
        <w:t xml:space="preserve"> Idris (2017)</w:t>
      </w:r>
    </w:p>
  </w:footnote>
  <w:footnote w:id="36">
    <w:p w14:paraId="3B7A0F64" w14:textId="32B6EA68" w:rsidR="00BD115E" w:rsidRPr="00D52FF3" w:rsidRDefault="00BD115E">
      <w:pPr>
        <w:pStyle w:val="FootnoteText"/>
        <w:rPr>
          <w:rFonts w:asciiTheme="minorHAnsi" w:hAnsiTheme="minorHAnsi"/>
          <w:color w:val="425563" w:themeColor="text1"/>
          <w:sz w:val="16"/>
        </w:rPr>
      </w:pPr>
      <w:r w:rsidRPr="00F323B1">
        <w:rPr>
          <w:rStyle w:val="FootnoteReference"/>
          <w:rFonts w:asciiTheme="minorHAnsi" w:hAnsiTheme="minorHAnsi"/>
          <w:color w:val="425563" w:themeColor="text1"/>
          <w:sz w:val="16"/>
          <w:szCs w:val="16"/>
        </w:rPr>
        <w:footnoteRef/>
      </w:r>
      <w:r w:rsidRPr="00D52FF3">
        <w:rPr>
          <w:rFonts w:asciiTheme="minorHAnsi" w:hAnsiTheme="minorHAnsi"/>
          <w:color w:val="425563" w:themeColor="text1"/>
          <w:sz w:val="16"/>
        </w:rPr>
        <w:t xml:space="preserve"> </w:t>
      </w:r>
      <w:r w:rsidR="002E1EB2" w:rsidRPr="00D52FF3">
        <w:rPr>
          <w:rFonts w:asciiTheme="minorHAnsi" w:hAnsiTheme="minorHAnsi"/>
          <w:color w:val="425563" w:themeColor="text1"/>
          <w:sz w:val="16"/>
        </w:rPr>
        <w:t>Cordisco Tsai et al., (2025)</w:t>
      </w:r>
    </w:p>
  </w:footnote>
  <w:footnote w:id="37">
    <w:p w14:paraId="553E343E" w14:textId="18013877" w:rsidR="001F7866" w:rsidRPr="00D52FF3" w:rsidRDefault="001F7866">
      <w:pPr>
        <w:pStyle w:val="FootnoteText"/>
        <w:rPr>
          <w:rFonts w:asciiTheme="minorHAnsi" w:hAnsiTheme="minorHAnsi"/>
          <w:color w:val="425563" w:themeColor="text1"/>
          <w:sz w:val="16"/>
        </w:rPr>
      </w:pPr>
      <w:r w:rsidRPr="00F323B1">
        <w:rPr>
          <w:rStyle w:val="FootnoteReference"/>
          <w:rFonts w:asciiTheme="minorHAnsi" w:hAnsiTheme="minorHAnsi"/>
          <w:color w:val="425563" w:themeColor="text1"/>
          <w:sz w:val="16"/>
          <w:szCs w:val="16"/>
        </w:rPr>
        <w:footnoteRef/>
      </w:r>
      <w:r w:rsidRPr="00D52FF3">
        <w:rPr>
          <w:rFonts w:asciiTheme="minorHAnsi" w:hAnsiTheme="minorHAnsi"/>
          <w:color w:val="425563" w:themeColor="text1"/>
          <w:sz w:val="16"/>
        </w:rPr>
        <w:t xml:space="preserve"> </w:t>
      </w:r>
      <w:r w:rsidR="00186AE7" w:rsidRPr="00D52FF3">
        <w:rPr>
          <w:rFonts w:asciiTheme="minorHAnsi" w:hAnsiTheme="minorHAnsi"/>
          <w:color w:val="425563" w:themeColor="text1"/>
          <w:sz w:val="16"/>
        </w:rPr>
        <w:t>Andoh (2025)</w:t>
      </w:r>
    </w:p>
  </w:footnote>
  <w:footnote w:id="38">
    <w:p w14:paraId="6FC9828B" w14:textId="3757DDCC" w:rsidR="00070DBF" w:rsidRPr="00D52FF3" w:rsidRDefault="00070DBF">
      <w:pPr>
        <w:pStyle w:val="FootnoteText"/>
        <w:rPr>
          <w:rFonts w:asciiTheme="minorHAnsi" w:hAnsiTheme="minorHAnsi"/>
          <w:color w:val="425563" w:themeColor="text1"/>
          <w:sz w:val="16"/>
        </w:rPr>
      </w:pPr>
      <w:r w:rsidRPr="00F323B1">
        <w:rPr>
          <w:rStyle w:val="FootnoteReference"/>
          <w:rFonts w:asciiTheme="minorHAnsi" w:hAnsiTheme="minorHAnsi"/>
          <w:color w:val="425563" w:themeColor="text1"/>
          <w:sz w:val="16"/>
          <w:szCs w:val="16"/>
        </w:rPr>
        <w:footnoteRef/>
      </w:r>
      <w:r w:rsidRPr="00D52FF3">
        <w:rPr>
          <w:rFonts w:asciiTheme="minorHAnsi" w:hAnsiTheme="minorHAnsi"/>
          <w:color w:val="425563" w:themeColor="text1"/>
          <w:sz w:val="16"/>
        </w:rPr>
        <w:t xml:space="preserve"> Labriola et al., (2024)</w:t>
      </w:r>
    </w:p>
  </w:footnote>
  <w:footnote w:id="39">
    <w:p w14:paraId="4F3FE8F6" w14:textId="05D74466" w:rsidR="009B219C" w:rsidRPr="00F323B1" w:rsidRDefault="009B219C">
      <w:pPr>
        <w:pStyle w:val="FootnoteText"/>
        <w:rPr>
          <w:rFonts w:asciiTheme="minorHAnsi" w:hAnsiTheme="minorHAnsi"/>
          <w:color w:val="425563" w:themeColor="text1"/>
          <w:sz w:val="16"/>
          <w:szCs w:val="16"/>
        </w:rPr>
      </w:pPr>
      <w:r w:rsidRPr="00F323B1">
        <w:rPr>
          <w:rStyle w:val="FootnoteReference"/>
          <w:rFonts w:asciiTheme="minorHAnsi" w:hAnsiTheme="minorHAnsi"/>
          <w:color w:val="425563" w:themeColor="text1"/>
          <w:sz w:val="16"/>
          <w:szCs w:val="16"/>
        </w:rPr>
        <w:footnoteRef/>
      </w:r>
      <w:r w:rsidRPr="00F323B1">
        <w:rPr>
          <w:rFonts w:asciiTheme="minorHAnsi" w:hAnsiTheme="minorHAnsi"/>
          <w:color w:val="425563" w:themeColor="text1"/>
          <w:sz w:val="16"/>
          <w:szCs w:val="16"/>
        </w:rPr>
        <w:t xml:space="preserve"> OSCE (2024)</w:t>
      </w:r>
    </w:p>
  </w:footnote>
  <w:footnote w:id="40">
    <w:p w14:paraId="54F01CB2" w14:textId="352266E5" w:rsidR="008976FA" w:rsidRPr="00F323B1" w:rsidRDefault="008976FA">
      <w:pPr>
        <w:pStyle w:val="FootnoteText"/>
        <w:rPr>
          <w:rFonts w:asciiTheme="minorHAnsi" w:hAnsiTheme="minorHAnsi"/>
          <w:color w:val="425563" w:themeColor="text1"/>
          <w:sz w:val="16"/>
          <w:szCs w:val="16"/>
        </w:rPr>
      </w:pPr>
      <w:r w:rsidRPr="00F323B1">
        <w:rPr>
          <w:rStyle w:val="FootnoteReference"/>
          <w:rFonts w:asciiTheme="minorHAnsi" w:hAnsiTheme="minorHAnsi"/>
          <w:color w:val="425563" w:themeColor="text1"/>
          <w:sz w:val="16"/>
          <w:szCs w:val="16"/>
        </w:rPr>
        <w:footnoteRef/>
      </w:r>
      <w:r w:rsidRPr="00F323B1">
        <w:rPr>
          <w:rFonts w:asciiTheme="minorHAnsi" w:hAnsiTheme="minorHAnsi"/>
          <w:color w:val="425563" w:themeColor="text1"/>
          <w:sz w:val="16"/>
          <w:szCs w:val="16"/>
        </w:rPr>
        <w:t xml:space="preserve"> Modern Slavery and Human Rights Policy and Evidence Centre (2023)</w:t>
      </w:r>
    </w:p>
  </w:footnote>
  <w:footnote w:id="41">
    <w:p w14:paraId="6A61ABAE" w14:textId="478CB172" w:rsidR="00A1505C" w:rsidRPr="00F323B1" w:rsidRDefault="00A1505C">
      <w:pPr>
        <w:pStyle w:val="FootnoteText"/>
        <w:rPr>
          <w:rFonts w:asciiTheme="minorHAnsi" w:hAnsiTheme="minorHAnsi"/>
          <w:color w:val="425563" w:themeColor="text1"/>
          <w:sz w:val="16"/>
          <w:szCs w:val="16"/>
        </w:rPr>
      </w:pPr>
      <w:r w:rsidRPr="00F323B1">
        <w:rPr>
          <w:rStyle w:val="FootnoteReference"/>
          <w:rFonts w:asciiTheme="minorHAnsi" w:hAnsiTheme="minorHAnsi"/>
          <w:color w:val="425563" w:themeColor="text1"/>
          <w:sz w:val="16"/>
          <w:szCs w:val="16"/>
        </w:rPr>
        <w:footnoteRef/>
      </w:r>
      <w:r w:rsidRPr="00F323B1">
        <w:rPr>
          <w:rFonts w:asciiTheme="minorHAnsi" w:hAnsiTheme="minorHAnsi"/>
          <w:color w:val="425563" w:themeColor="text1"/>
          <w:sz w:val="16"/>
          <w:szCs w:val="16"/>
        </w:rPr>
        <w:t xml:space="preserve"> Preble et al., (2022)</w:t>
      </w:r>
    </w:p>
  </w:footnote>
  <w:footnote w:id="42">
    <w:p w14:paraId="447E6956" w14:textId="77777777" w:rsidR="00E801A6" w:rsidRPr="00F323B1" w:rsidRDefault="00E801A6" w:rsidP="00E801A6">
      <w:pPr>
        <w:pStyle w:val="FootnoteText"/>
        <w:rPr>
          <w:rFonts w:asciiTheme="minorHAnsi" w:hAnsiTheme="minorHAnsi"/>
          <w:color w:val="425563" w:themeColor="text1"/>
          <w:sz w:val="16"/>
          <w:szCs w:val="16"/>
        </w:rPr>
      </w:pPr>
      <w:r w:rsidRPr="00F323B1">
        <w:rPr>
          <w:rStyle w:val="FootnoteReference"/>
          <w:rFonts w:asciiTheme="minorHAnsi" w:hAnsiTheme="minorHAnsi"/>
          <w:color w:val="425563" w:themeColor="text1"/>
          <w:sz w:val="16"/>
          <w:szCs w:val="16"/>
        </w:rPr>
        <w:footnoteRef/>
      </w:r>
      <w:r w:rsidRPr="00F323B1">
        <w:rPr>
          <w:rFonts w:asciiTheme="minorHAnsi" w:hAnsiTheme="minorHAnsi"/>
          <w:color w:val="425563" w:themeColor="text1"/>
          <w:sz w:val="16"/>
          <w:szCs w:val="16"/>
        </w:rPr>
        <w:t xml:space="preserve"> Modern Slavery and Human Rights Policy and Evidence Centre (2022)</w:t>
      </w:r>
    </w:p>
  </w:footnote>
  <w:footnote w:id="43">
    <w:p w14:paraId="6FC6D8D0" w14:textId="67EE9329" w:rsidR="003C70FD" w:rsidRPr="00764D1F" w:rsidRDefault="003C70FD">
      <w:pPr>
        <w:pStyle w:val="FootnoteText"/>
        <w:rPr>
          <w:rFonts w:asciiTheme="minorHAnsi" w:hAnsiTheme="minorHAnsi"/>
          <w:color w:val="425563" w:themeColor="text1"/>
          <w:sz w:val="16"/>
          <w:szCs w:val="16"/>
        </w:rPr>
      </w:pPr>
      <w:r w:rsidRPr="00764D1F">
        <w:rPr>
          <w:rStyle w:val="FootnoteReference"/>
          <w:rFonts w:asciiTheme="minorHAnsi" w:hAnsiTheme="minorHAnsi"/>
          <w:color w:val="425563" w:themeColor="text1"/>
          <w:sz w:val="16"/>
          <w:szCs w:val="16"/>
        </w:rPr>
        <w:footnoteRef/>
      </w:r>
      <w:r w:rsidRPr="00764D1F">
        <w:rPr>
          <w:rFonts w:asciiTheme="minorHAnsi" w:hAnsiTheme="minorHAnsi"/>
          <w:color w:val="425563" w:themeColor="text1"/>
          <w:sz w:val="16"/>
          <w:szCs w:val="16"/>
        </w:rPr>
        <w:t xml:space="preserve"> </w:t>
      </w:r>
      <w:r w:rsidR="003519CA" w:rsidRPr="00764D1F">
        <w:rPr>
          <w:rFonts w:asciiTheme="minorHAnsi" w:hAnsiTheme="minorHAnsi"/>
          <w:color w:val="425563" w:themeColor="text1"/>
          <w:sz w:val="16"/>
          <w:szCs w:val="16"/>
        </w:rPr>
        <w:t>Pajón &amp; Walsh (2023)</w:t>
      </w:r>
    </w:p>
  </w:footnote>
  <w:footnote w:id="44">
    <w:p w14:paraId="71287CFD" w14:textId="7975B867" w:rsidR="00F71FD3" w:rsidRPr="00764D1F" w:rsidRDefault="00F71FD3">
      <w:pPr>
        <w:pStyle w:val="FootnoteText"/>
        <w:rPr>
          <w:rFonts w:asciiTheme="minorHAnsi" w:hAnsiTheme="minorHAnsi"/>
          <w:color w:val="425563" w:themeColor="text1"/>
          <w:sz w:val="16"/>
          <w:szCs w:val="16"/>
        </w:rPr>
      </w:pPr>
      <w:r w:rsidRPr="00764D1F">
        <w:rPr>
          <w:rStyle w:val="FootnoteReference"/>
          <w:rFonts w:asciiTheme="minorHAnsi" w:hAnsiTheme="minorHAnsi"/>
          <w:color w:val="425563" w:themeColor="text1"/>
          <w:sz w:val="16"/>
          <w:szCs w:val="16"/>
        </w:rPr>
        <w:footnoteRef/>
      </w:r>
      <w:r w:rsidRPr="00764D1F">
        <w:rPr>
          <w:rFonts w:asciiTheme="minorHAnsi" w:hAnsiTheme="minorHAnsi"/>
          <w:color w:val="425563" w:themeColor="text1"/>
          <w:sz w:val="16"/>
          <w:szCs w:val="16"/>
        </w:rPr>
        <w:t xml:space="preserve"> </w:t>
      </w:r>
      <w:r w:rsidR="00043A3A" w:rsidRPr="00764D1F">
        <w:rPr>
          <w:rFonts w:asciiTheme="minorHAnsi" w:hAnsiTheme="minorHAnsi"/>
          <w:color w:val="425563" w:themeColor="text1"/>
          <w:sz w:val="16"/>
          <w:szCs w:val="16"/>
        </w:rPr>
        <w:t>International Association of Police Chiefs (2023)</w:t>
      </w:r>
    </w:p>
  </w:footnote>
  <w:footnote w:id="45">
    <w:p w14:paraId="63CD7FEE" w14:textId="1722021B" w:rsidR="00D752FF" w:rsidRPr="00F03A70" w:rsidRDefault="00D752FF">
      <w:pPr>
        <w:pStyle w:val="FootnoteText"/>
        <w:rPr>
          <w:sz w:val="16"/>
          <w:szCs w:val="16"/>
        </w:rPr>
      </w:pPr>
      <w:r w:rsidRPr="00764D1F">
        <w:rPr>
          <w:rStyle w:val="FootnoteReference"/>
          <w:rFonts w:asciiTheme="minorHAnsi" w:hAnsiTheme="minorHAnsi"/>
          <w:color w:val="425563" w:themeColor="text1"/>
          <w:sz w:val="16"/>
          <w:szCs w:val="16"/>
        </w:rPr>
        <w:footnoteRef/>
      </w:r>
      <w:r w:rsidRPr="00764D1F">
        <w:rPr>
          <w:rFonts w:asciiTheme="minorHAnsi" w:hAnsiTheme="minorHAnsi"/>
          <w:color w:val="425563" w:themeColor="text1"/>
          <w:sz w:val="16"/>
          <w:szCs w:val="16"/>
        </w:rPr>
        <w:t xml:space="preserve"> </w:t>
      </w:r>
      <w:r w:rsidR="00820E80" w:rsidRPr="00764D1F">
        <w:rPr>
          <w:rFonts w:asciiTheme="minorHAnsi" w:hAnsiTheme="minorHAnsi"/>
          <w:color w:val="425563" w:themeColor="text1"/>
          <w:sz w:val="16"/>
          <w:szCs w:val="16"/>
        </w:rPr>
        <w:t>van Rooy et al., (2025)</w:t>
      </w:r>
    </w:p>
  </w:footnote>
  <w:footnote w:id="46">
    <w:p w14:paraId="4D40708D" w14:textId="48642C28" w:rsidR="00785E34" w:rsidRPr="001E72BA" w:rsidRDefault="00785E34" w:rsidP="001E72BA">
      <w:pPr>
        <w:pStyle w:val="TableFootnote"/>
        <w:spacing w:before="0" w:after="0"/>
        <w:rPr>
          <w:sz w:val="16"/>
          <w:szCs w:val="16"/>
        </w:rPr>
      </w:pPr>
      <w:r w:rsidRPr="001E72BA">
        <w:rPr>
          <w:rStyle w:val="FootnoteReference"/>
          <w:sz w:val="16"/>
          <w:szCs w:val="16"/>
        </w:rPr>
        <w:footnoteRef/>
      </w:r>
      <w:r w:rsidRPr="001E72BA">
        <w:rPr>
          <w:sz w:val="16"/>
          <w:szCs w:val="16"/>
        </w:rPr>
        <w:t xml:space="preserve"> Operational Requirements (ARP) and Communications Manual stipulate that the ARP Service Provider should confirm that the client has left the situation of exploitation (excluding forced marriage risk) and has immediate safety and security needs met prior to referral to the STPP. If the person has not left, the ARP Service Provider may provide information or contact AFP/state and territory police if there are serious concerns. The ARP service provider must cooperate with law enforcement and are encouraged to establish and maintain cooperative local practices with state and territory police </w:t>
      </w:r>
      <w:proofErr w:type="gramStart"/>
      <w:r w:rsidRPr="001E72BA">
        <w:rPr>
          <w:sz w:val="16"/>
          <w:szCs w:val="16"/>
        </w:rPr>
        <w:t>and also</w:t>
      </w:r>
      <w:proofErr w:type="gramEnd"/>
      <w:r w:rsidRPr="001E72BA">
        <w:rPr>
          <w:sz w:val="16"/>
          <w:szCs w:val="16"/>
        </w:rPr>
        <w:t xml:space="preserve"> to maintain regular contact with AFP. Stakeholders reported that there hadn’t yet been a strong collaborative relationship formed between the ARP and AFP; that there was lack of clarity regarding AFP’s responsibility in this process; and that there was a need for improved communication of roles. Clearer communication of roles and responsibilities in this process should be provided to all agencies involved (e.g. ARP</w:t>
      </w:r>
      <w:r w:rsidR="00514AFA" w:rsidRPr="001E72BA">
        <w:rPr>
          <w:sz w:val="16"/>
          <w:szCs w:val="16"/>
        </w:rPr>
        <w:t xml:space="preserve"> lead and</w:t>
      </w:r>
      <w:r w:rsidRPr="001E72BA">
        <w:rPr>
          <w:sz w:val="16"/>
          <w:szCs w:val="16"/>
        </w:rPr>
        <w:t xml:space="preserve"> consortium partners, state and territory police, AFP, STPP).  Stakeholders noted that individuals may not wish to engage with any law enforcement agency, even for the purpose of facilitating safe exit from exploitation and entry to the STPP. It was suggested that the role of AFP beyond prosecution, including their role in disrupting harmful situations, should be communicated more clearly to victims and survivors to address fear of utilising law enforcement for safe exit. It was also noted that the definition of having left the situation of exploitation was unclear in the operational requirements and communications manual.</w:t>
      </w:r>
    </w:p>
  </w:footnote>
  <w:footnote w:id="47">
    <w:p w14:paraId="31C24058" w14:textId="50CF25F8" w:rsidR="003D3FF5" w:rsidRDefault="003D3FF5">
      <w:pPr>
        <w:pStyle w:val="FootnoteText"/>
      </w:pPr>
      <w:r w:rsidRPr="00F03A70">
        <w:rPr>
          <w:rStyle w:val="FootnoteReference"/>
          <w:rFonts w:asciiTheme="minorHAnsi" w:hAnsiTheme="minorHAnsi"/>
          <w:sz w:val="16"/>
          <w:szCs w:val="16"/>
        </w:rPr>
        <w:footnoteRef/>
      </w:r>
      <w:r w:rsidRPr="00F03A70">
        <w:rPr>
          <w:rFonts w:asciiTheme="minorHAnsi" w:hAnsiTheme="minorHAnsi"/>
          <w:sz w:val="16"/>
          <w:szCs w:val="16"/>
        </w:rPr>
        <w:t xml:space="preserve"> </w:t>
      </w:r>
      <w:r w:rsidRPr="005E11DF">
        <w:rPr>
          <w:rFonts w:asciiTheme="minorHAnsi" w:hAnsiTheme="minorHAnsi" w:cs="Calibri"/>
          <w:color w:val="425563" w:themeColor="text1"/>
          <w:sz w:val="16"/>
          <w:szCs w:val="16"/>
        </w:rPr>
        <w:t>(NSW Anti-slavery Commissioner,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5989" w14:textId="4B3BF4DF" w:rsidR="00E6600A" w:rsidRDefault="00791DC8">
    <w:pPr>
      <w:pStyle w:val="Header"/>
    </w:pPr>
    <w:r>
      <w:rPr>
        <w:noProof/>
        <w:lang w:eastAsia="en-AU"/>
      </w:rPr>
      <mc:AlternateContent>
        <mc:Choice Requires="wps">
          <w:drawing>
            <wp:anchor distT="0" distB="0" distL="0" distR="0" simplePos="0" relativeHeight="251658249" behindDoc="0" locked="0" layoutInCell="1" allowOverlap="1" wp14:anchorId="4EE4C5D8" wp14:editId="3086BA1D">
              <wp:simplePos x="635" y="635"/>
              <wp:positionH relativeFrom="page">
                <wp:align>center</wp:align>
              </wp:positionH>
              <wp:positionV relativeFrom="page">
                <wp:align>top</wp:align>
              </wp:positionV>
              <wp:extent cx="551815" cy="452755"/>
              <wp:effectExtent l="0" t="0" r="635" b="4445"/>
              <wp:wrapNone/>
              <wp:docPr id="16037226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0258BC" w14:textId="3C131EF4" w:rsidR="00791DC8" w:rsidRPr="00433EF5" w:rsidRDefault="00791DC8" w:rsidP="00433EF5">
                          <w:pPr>
                            <w:spacing w:after="0"/>
                            <w:rPr>
                              <w:rFonts w:ascii="Calibri" w:eastAsia="Calibri" w:hAnsi="Calibri" w:cs="Calibri"/>
                              <w:noProof/>
                              <w:color w:val="FF0000"/>
                              <w:sz w:val="24"/>
                              <w:szCs w:val="24"/>
                            </w:rPr>
                          </w:pPr>
                          <w:r w:rsidRPr="00433EF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E4C5D8" id="_x0000_t202" coordsize="21600,21600" o:spt="202" path="m,l,21600r21600,l21600,xe">
              <v:stroke joinstyle="miter"/>
              <v:path gradientshapeok="t" o:connecttype="rect"/>
            </v:shapetype>
            <v:shape id="_x0000_s1027"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730258BC" w14:textId="3C131EF4" w:rsidR="00791DC8" w:rsidRPr="00433EF5" w:rsidRDefault="00791DC8" w:rsidP="00433EF5">
                    <w:pPr>
                      <w:spacing w:after="0"/>
                      <w:rPr>
                        <w:rFonts w:ascii="Calibri" w:eastAsia="Calibri" w:hAnsi="Calibri" w:cs="Calibri"/>
                        <w:noProof/>
                        <w:color w:val="FF0000"/>
                        <w:sz w:val="24"/>
                        <w:szCs w:val="24"/>
                      </w:rPr>
                    </w:pPr>
                    <w:r w:rsidRPr="00433EF5">
                      <w:rPr>
                        <w:rFonts w:ascii="Calibri" w:eastAsia="Calibri" w:hAnsi="Calibri" w:cs="Calibri"/>
                        <w:noProof/>
                        <w:color w:val="FF0000"/>
                        <w:sz w:val="24"/>
                        <w:szCs w:val="24"/>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8" behindDoc="0" locked="1" layoutInCell="0" allowOverlap="1" wp14:anchorId="05A3C689" wp14:editId="7486E358">
              <wp:simplePos x="0" y="0"/>
              <wp:positionH relativeFrom="margin">
                <wp:align>center</wp:align>
              </wp:positionH>
              <wp:positionV relativeFrom="topMargin">
                <wp:align>center</wp:align>
              </wp:positionV>
              <wp:extent cx="875665" cy="273050"/>
              <wp:effectExtent l="0" t="0" r="0" b="0"/>
              <wp:wrapNone/>
              <wp:docPr id="1028329845" name="janusSEAL SC H_Even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87ED6" w14:textId="0C1E9C32"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A3C689" id="janusSEAL SC H_EvenPage" o:spid="_x0000_s1028" type="#_x0000_t202" style="position:absolute;margin-left:0;margin-top:0;width:68.95pt;height:21.5pt;z-index:25165824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" o:allowincell="f" filled="f" stroked="f" strokeweight=".5pt">
              <v:textbox style="mso-fit-shape-to-text:t">
                <w:txbxContent>
                  <w:p w14:paraId="49487ED6" w14:textId="0C1E9C32"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BCBC" w14:textId="3ED070AC" w:rsidR="00125C53" w:rsidRDefault="005C240F">
    <w:pPr>
      <w:pStyle w:val="Header"/>
    </w:pPr>
    <w:r>
      <w:rPr>
        <w:noProof/>
      </w:rPr>
      <mc:AlternateContent>
        <mc:Choice Requires="wps">
          <w:drawing>
            <wp:anchor distT="0" distB="0" distL="114300" distR="114300" simplePos="0" relativeHeight="251658278" behindDoc="0" locked="1" layoutInCell="0" allowOverlap="1" wp14:anchorId="3F59CF77" wp14:editId="7378CD29">
              <wp:simplePos x="0" y="0"/>
              <wp:positionH relativeFrom="margin">
                <wp:align>center</wp:align>
              </wp:positionH>
              <wp:positionV relativeFrom="topMargin">
                <wp:align>center</wp:align>
              </wp:positionV>
              <wp:extent cx="875665" cy="273050"/>
              <wp:effectExtent l="0" t="0" r="0" b="0"/>
              <wp:wrapNone/>
              <wp:docPr id="416169329" name="janusSEAL SC H_Even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5EEB7F" w14:textId="78E594BC"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59CF77" id="_x0000_t202" coordsize="21600,21600" o:spt="202" path="m,l,21600r21600,l21600,xe">
              <v:stroke joinstyle="miter"/>
              <v:path gradientshapeok="t" o:connecttype="rect"/>
            </v:shapetype>
            <v:shape id="_x0000_s1048" type="#_x0000_t202" style="position:absolute;margin-left:0;margin-top:0;width:68.95pt;height:21.5pt;z-index:25165827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" o:allowincell="f" filled="f" stroked="f" strokeweight=".5pt">
              <v:textbox style="mso-fit-shape-to-text:t">
                <w:txbxContent>
                  <w:p w14:paraId="0D5EEB7F" w14:textId="78E594BC"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r w:rsidR="00791DC8">
      <w:rPr>
        <w:noProof/>
        <w:lang w:eastAsia="en-AU"/>
      </w:rPr>
      <mc:AlternateContent>
        <mc:Choice Requires="wps">
          <w:drawing>
            <wp:anchor distT="0" distB="0" distL="0" distR="0" simplePos="0" relativeHeight="251658272" behindDoc="0" locked="0" layoutInCell="1" allowOverlap="1" wp14:anchorId="7CDB1120" wp14:editId="40127106">
              <wp:simplePos x="635" y="635"/>
              <wp:positionH relativeFrom="page">
                <wp:align>center</wp:align>
              </wp:positionH>
              <wp:positionV relativeFrom="page">
                <wp:align>top</wp:align>
              </wp:positionV>
              <wp:extent cx="551815" cy="452755"/>
              <wp:effectExtent l="0" t="0" r="635" b="4445"/>
              <wp:wrapNone/>
              <wp:docPr id="144078741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2EC1C66"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CDB1120" id="Text Box 11" o:spid="_x0000_s1049" type="#_x0000_t202" alt="OFFICIAL" style="position:absolute;margin-left:0;margin-top:0;width:43.45pt;height:35.6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O7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c+n9nfQnHAqB+PCveXrDmtvmA/PzOGGcRBU&#10;bXjCQyroawpni5IW3I+/+WM+Eo9RSnpUTE0NSpoS9c3gQqK4klHc5mWONze5d5NhDvoeUIcFPgnL&#10;kxnzgppM6UC/op5XsRCGmOFYrqZhMu/DKF18D1ysVikJdWRZ2Jit5RE68hXJfBlembNnxgOu6hEm&#10;ObHqDfFjbvzT29UhIP1pK5Hbkcgz5ajBtNfze4ki//Wesq6vevkT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chjO7DgIAAB0E&#10;AAAOAAAAAAAAAAAAAAAAAC4CAABkcnMvZTJvRG9jLnhtbFBLAQItABQABgAIAAAAIQAMXgIO2gAA&#10;AAMBAAAPAAAAAAAAAAAAAAAAAGgEAABkcnMvZG93bnJldi54bWxQSwUGAAAAAAQABADzAAAAbwUA&#10;AAAA&#10;" filled="f" stroked="f">
              <v:textbox style="mso-fit-shape-to-text:t" inset="0,15pt,0,0">
                <w:txbxContent>
                  <w:p w14:paraId="12EC1C66"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D1CDB" w14:textId="494C3CE2" w:rsidR="00125C53" w:rsidRDefault="00791DC8">
    <w:pPr>
      <w:pStyle w:val="Header"/>
    </w:pPr>
    <w:r>
      <w:rPr>
        <w:noProof/>
        <w:lang w:eastAsia="en-AU"/>
      </w:rPr>
      <mc:AlternateContent>
        <mc:Choice Requires="wps">
          <w:drawing>
            <wp:anchor distT="0" distB="0" distL="0" distR="0" simplePos="0" relativeHeight="251658281" behindDoc="0" locked="0" layoutInCell="1" allowOverlap="1" wp14:anchorId="4BFC24C5" wp14:editId="0CC893D4">
              <wp:simplePos x="635" y="635"/>
              <wp:positionH relativeFrom="page">
                <wp:align>center</wp:align>
              </wp:positionH>
              <wp:positionV relativeFrom="page">
                <wp:align>top</wp:align>
              </wp:positionV>
              <wp:extent cx="551815" cy="452755"/>
              <wp:effectExtent l="0" t="0" r="635" b="4445"/>
              <wp:wrapNone/>
              <wp:docPr id="209751926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FE554C0"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FC24C5" id="_x0000_t202" coordsize="21600,21600" o:spt="202" path="m,l,21600r21600,l21600,xe">
              <v:stroke joinstyle="miter"/>
              <v:path gradientshapeok="t" o:connecttype="rect"/>
            </v:shapetype>
            <v:shape id="Text Box 12" o:spid="_x0000_s1050" type="#_x0000_t202" alt="OFFICIAL" style="position:absolute;margin-left:0;margin-top:0;width:43.45pt;height:35.65pt;z-index:251658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GDw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nb+f2t9Bc8KpHIwL95avO6y9YT48MYcbxkFQ&#10;teERD6mgrymcLUpacD/+5o/5SDxGKelRMTU1KGlK1DeDC4niSkbxOS9zvLnJvZsMc9B3gDos8ElY&#10;nsyYF9RkSgf6BfW8ioUwxAzHcjUNk3kXRunie+BitUpJqCPLwsZsLY/Qka9I5vPwwpw9Mx5wVQ8w&#10;yYlVr4gfc+Of3q4OAelPW4ncjkSeKUcNpr2e30sU+a/3lHV91cuf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TmBhg8CAAAd&#10;BAAADgAAAAAAAAAAAAAAAAAuAgAAZHJzL2Uyb0RvYy54bWxQSwECLQAUAAYACAAAACEADF4CDtoA&#10;AAADAQAADwAAAAAAAAAAAAAAAABpBAAAZHJzL2Rvd25yZXYueG1sUEsFBgAAAAAEAAQA8wAAAHAF&#10;AAAAAA==&#10;" filled="f" stroked="f">
              <v:textbox style="mso-fit-shape-to-text:t" inset="0,15pt,0,0">
                <w:txbxContent>
                  <w:p w14:paraId="2FE554C0"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9E08" w14:textId="714BBDCF" w:rsidR="00125C53" w:rsidRPr="006A4082" w:rsidRDefault="005C240F" w:rsidP="006A4082">
    <w:pPr>
      <w:pStyle w:val="Header"/>
    </w:pPr>
    <w:r>
      <w:rPr>
        <w:noProof/>
      </w:rPr>
      <mc:AlternateContent>
        <mc:Choice Requires="wps">
          <w:drawing>
            <wp:anchor distT="0" distB="0" distL="114300" distR="114300" simplePos="0" relativeHeight="251658279" behindDoc="0" locked="1" layoutInCell="0" allowOverlap="1" wp14:anchorId="61C29072" wp14:editId="002C4794">
              <wp:simplePos x="0" y="0"/>
              <wp:positionH relativeFrom="margin">
                <wp:align>center</wp:align>
              </wp:positionH>
              <wp:positionV relativeFrom="topMargin">
                <wp:align>center</wp:align>
              </wp:positionV>
              <wp:extent cx="875665" cy="273050"/>
              <wp:effectExtent l="0" t="0" r="0" b="0"/>
              <wp:wrapNone/>
              <wp:docPr id="702704446" name="janusSEAL SC H_First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096F1" w14:textId="210579DA"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C29072" id="_x0000_t202" coordsize="21600,21600" o:spt="202" path="m,l,21600r21600,l21600,xe">
              <v:stroke joinstyle="miter"/>
              <v:path gradientshapeok="t" o:connecttype="rect"/>
            </v:shapetype>
            <v:shape id="_x0000_s1052" type="#_x0000_t202" style="position:absolute;margin-left:0;margin-top:0;width:68.95pt;height:21.5pt;z-index:251658279;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" o:allowincell="f" filled="f" stroked="f" strokeweight=".5pt">
              <v:textbox style="mso-fit-shape-to-text:t">
                <w:txbxContent>
                  <w:p w14:paraId="3C5096F1" w14:textId="210579DA"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r w:rsidR="00791DC8">
      <w:rPr>
        <w:noProof/>
        <w:lang w:eastAsia="en-AU"/>
      </w:rPr>
      <mc:AlternateContent>
        <mc:Choice Requires="wps">
          <w:drawing>
            <wp:anchor distT="0" distB="0" distL="0" distR="0" simplePos="0" relativeHeight="251658274" behindDoc="0" locked="0" layoutInCell="1" allowOverlap="1" wp14:anchorId="56C020F3" wp14:editId="5A1E8F70">
              <wp:simplePos x="635" y="635"/>
              <wp:positionH relativeFrom="page">
                <wp:align>center</wp:align>
              </wp:positionH>
              <wp:positionV relativeFrom="page">
                <wp:align>top</wp:align>
              </wp:positionV>
              <wp:extent cx="551815" cy="452755"/>
              <wp:effectExtent l="0" t="0" r="635" b="4445"/>
              <wp:wrapNone/>
              <wp:docPr id="26991281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9ABAB4E"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6C020F3" id="Text Box 10" o:spid="_x0000_s1053" type="#_x0000_t202" alt="OFFICIAL" style="position:absolute;margin-left:0;margin-top:0;width:43.45pt;height:35.65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Dw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qHv5TQ8CAAAd&#10;BAAADgAAAAAAAAAAAAAAAAAuAgAAZHJzL2Uyb0RvYy54bWxQSwECLQAUAAYACAAAACEADF4CDtoA&#10;AAADAQAADwAAAAAAAAAAAAAAAABpBAAAZHJzL2Rvd25yZXYueG1sUEsFBgAAAAAEAAQA8wAAAHAF&#10;AAAAAA==&#10;" filled="f" stroked="f">
              <v:textbox style="mso-fit-shape-to-text:t" inset="0,15pt,0,0">
                <w:txbxContent>
                  <w:p w14:paraId="69ABAB4E"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0EAB" w14:textId="08C6A255" w:rsidR="00592DC5" w:rsidRPr="006A4082" w:rsidRDefault="00CE2A84" w:rsidP="006A4082">
    <w:pPr>
      <w:pStyle w:val="Header"/>
    </w:pPr>
    <w:r w:rsidRPr="00CE2A84">
      <w:rPr>
        <w:noProof/>
      </w:rPr>
      <w:drawing>
        <wp:anchor distT="0" distB="0" distL="114300" distR="114300" simplePos="0" relativeHeight="251658284" behindDoc="1" locked="0" layoutInCell="1" allowOverlap="1" wp14:anchorId="6E188EF0" wp14:editId="661F7798">
          <wp:simplePos x="0" y="0"/>
          <wp:positionH relativeFrom="margin">
            <wp:posOffset>5127625</wp:posOffset>
          </wp:positionH>
          <wp:positionV relativeFrom="paragraph">
            <wp:posOffset>-22225</wp:posOffset>
          </wp:positionV>
          <wp:extent cx="1350348" cy="571500"/>
          <wp:effectExtent l="0" t="0" r="2540" b="0"/>
          <wp:wrapNone/>
          <wp:docPr id="178742320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320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350348" cy="571500"/>
                  </a:xfrm>
                  <a:prstGeom prst="rect">
                    <a:avLst/>
                  </a:prstGeom>
                </pic:spPr>
              </pic:pic>
            </a:graphicData>
          </a:graphic>
          <wp14:sizeRelH relativeFrom="margin">
            <wp14:pctWidth>0</wp14:pctWidth>
          </wp14:sizeRelH>
          <wp14:sizeRelV relativeFrom="margin">
            <wp14:pctHeight>0</wp14:pctHeight>
          </wp14:sizeRelV>
        </wp:anchor>
      </w:drawing>
    </w:r>
    <w:r w:rsidR="00F6379E">
      <w:rPr>
        <w:noProof/>
        <w:lang w:eastAsia="en-AU"/>
      </w:rPr>
      <mc:AlternateContent>
        <mc:Choice Requires="wps">
          <w:drawing>
            <wp:anchor distT="0" distB="0" distL="114300" distR="114300" simplePos="0" relativeHeight="251658283" behindDoc="0" locked="0" layoutInCell="1" allowOverlap="1" wp14:anchorId="538EE0A8" wp14:editId="78A1C103">
              <wp:simplePos x="0" y="0"/>
              <wp:positionH relativeFrom="column">
                <wp:posOffset>-2025015</wp:posOffset>
              </wp:positionH>
              <wp:positionV relativeFrom="paragraph">
                <wp:posOffset>-80645</wp:posOffset>
              </wp:positionV>
              <wp:extent cx="9578977" cy="6922585"/>
              <wp:effectExtent l="0" t="24130" r="0" b="36195"/>
              <wp:wrapNone/>
              <wp:docPr id="255874367" name="Gn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9578977" cy="6922585"/>
                      </a:xfrm>
                      <a:prstGeom prst="triangl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16="http://schemas.microsoft.com/office/drawing/2014/main" xmlns:a14="http://schemas.microsoft.com/office/drawing/2010/main" xmlns:aclsh="http://schemas.microsoft.com/office/drawing/2020/classificationShape" xmlns:adec="http://schemas.microsoft.com/office/drawing/2017/decorative" xmlns:a="http://schemas.openxmlformats.org/drawingml/2006/main">
          <w:pict w14:anchorId="38D9CA1D">
            <v:shapetype id="_x0000_t5" coordsize="21600,21600" o:spt="5" adj="10800" path="m@0,l,21600r21600,xe" w14:anchorId="69F27BE6">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Gn Triangle" style="position:absolute;margin-left:-159.45pt;margin-top:-6.35pt;width:754.25pt;height:545.1pt;rotation:9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00be6e [3215]"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">
              <v:path arrowok="t"/>
              <o:lock v:ext="edit" aspectratio="t"/>
            </v:shape>
          </w:pict>
        </mc:Fallback>
      </mc:AlternateContent>
    </w:r>
    <w:r w:rsidR="00791DC8">
      <w:rPr>
        <w:noProof/>
        <w:lang w:eastAsia="en-AU"/>
      </w:rPr>
      <mc:AlternateContent>
        <mc:Choice Requires="wps">
          <w:drawing>
            <wp:anchor distT="0" distB="0" distL="0" distR="0" simplePos="0" relativeHeight="251658251" behindDoc="0" locked="0" layoutInCell="1" allowOverlap="1" wp14:anchorId="44239E97" wp14:editId="608D3F71">
              <wp:simplePos x="635" y="635"/>
              <wp:positionH relativeFrom="page">
                <wp:align>center</wp:align>
              </wp:positionH>
              <wp:positionV relativeFrom="page">
                <wp:align>top</wp:align>
              </wp:positionV>
              <wp:extent cx="551815" cy="452755"/>
              <wp:effectExtent l="0" t="0" r="635" b="4445"/>
              <wp:wrapNone/>
              <wp:docPr id="8496491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E0BCD2"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39E97" id="_x0000_t202" coordsize="21600,21600" o:spt="202" path="m,l,21600r21600,l21600,xe">
              <v:stroke joinstyle="miter"/>
              <v:path gradientshapeok="t" o:connecttype="rect"/>
            </v:shapetype>
            <v:shape id="Text Box 3" o:spid="_x0000_s1029"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51E0BCD2"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r w:rsidR="00791DC8">
      <w:rPr>
        <w:noProof/>
        <w:lang w:eastAsia="en-AU"/>
      </w:rPr>
      <w:drawing>
        <wp:anchor distT="0" distB="0" distL="114300" distR="114300" simplePos="0" relativeHeight="251658250" behindDoc="0" locked="0" layoutInCell="1" allowOverlap="1" wp14:anchorId="3FF30ACC" wp14:editId="41E89DB8">
          <wp:simplePos x="0" y="0"/>
          <wp:positionH relativeFrom="column">
            <wp:posOffset>5104765</wp:posOffset>
          </wp:positionH>
          <wp:positionV relativeFrom="paragraph">
            <wp:posOffset>0</wp:posOffset>
          </wp:positionV>
          <wp:extent cx="1382400" cy="608400"/>
          <wp:effectExtent l="0" t="0" r="8255" b="1270"/>
          <wp:wrapNone/>
          <wp:docPr id="1694201799" name="Logo White Text" hidden="1">
            <a:extLst xmlns:a="http://schemas.openxmlformats.org/drawingml/2006/main">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61900" name="Logo White Text" hidden="1">
                    <a:extLst>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82400" cy="608400"/>
                  </a:xfrm>
                  <a:prstGeom prst="rect">
                    <a:avLst/>
                  </a:prstGeom>
                </pic:spPr>
              </pic:pic>
            </a:graphicData>
          </a:graphic>
          <wp14:sizeRelH relativeFrom="margin">
            <wp14:pctWidth>0</wp14:pctWidth>
          </wp14:sizeRelH>
          <wp14:sizeRelV relativeFrom="margin">
            <wp14:pctHeight>0</wp14:pctHeight>
          </wp14:sizeRelV>
        </wp:anchor>
      </w:drawing>
    </w:r>
    <w:r w:rsidR="00A46281">
      <w:rPr>
        <w:noProof/>
      </w:rPr>
      <w:drawing>
        <wp:anchor distT="0" distB="0" distL="114300" distR="114300" simplePos="0" relativeHeight="251658241" behindDoc="0" locked="0" layoutInCell="1" allowOverlap="1" wp14:anchorId="58F5DEA3" wp14:editId="16266828">
          <wp:simplePos x="0" y="0"/>
          <wp:positionH relativeFrom="column">
            <wp:posOffset>5104765</wp:posOffset>
          </wp:positionH>
          <wp:positionV relativeFrom="paragraph">
            <wp:posOffset>0</wp:posOffset>
          </wp:positionV>
          <wp:extent cx="1382400" cy="608400"/>
          <wp:effectExtent l="0" t="0" r="8255" b="1270"/>
          <wp:wrapNone/>
          <wp:docPr id="1379256068" name="Logo White Text" hidden="1">
            <a:extLst xmlns:a="http://schemas.openxmlformats.org/drawingml/2006/main">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846688" name="Logo White Text" hidden="1">
                    <a:extLst>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82400" cy="608400"/>
                  </a:xfrm>
                  <a:prstGeom prst="rect">
                    <a:avLst/>
                  </a:prstGeom>
                </pic:spPr>
              </pic:pic>
            </a:graphicData>
          </a:graphic>
          <wp14:sizeRelH relativeFrom="margin">
            <wp14:pctWidth>0</wp14:pctWidth>
          </wp14:sizeRelH>
          <wp14:sizeRelV relativeFrom="margin">
            <wp14:pctHeight>0</wp14:pctHeight>
          </wp14:sizeRelV>
        </wp:anchor>
      </w:drawing>
    </w:r>
    <w:r w:rsidR="00A46281">
      <w:rPr>
        <w:noProof/>
      </w:rPr>
      <mc:AlternateContent>
        <mc:Choice Requires="wps">
          <w:drawing>
            <wp:anchor distT="0" distB="0" distL="114300" distR="114300" simplePos="0" relativeHeight="251658240" behindDoc="0" locked="0" layoutInCell="1" allowOverlap="1" wp14:anchorId="6B6F22F6" wp14:editId="2A1655B1">
              <wp:simplePos x="0" y="0"/>
              <wp:positionH relativeFrom="column">
                <wp:posOffset>-1369378</wp:posOffset>
              </wp:positionH>
              <wp:positionV relativeFrom="paragraph">
                <wp:posOffset>12079</wp:posOffset>
              </wp:positionV>
              <wp:extent cx="7832725" cy="6629400"/>
              <wp:effectExtent l="0" t="26987" r="46037" b="46038"/>
              <wp:wrapNone/>
              <wp:docPr id="901895324" name="WT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832725" cy="6629400"/>
                      </a:xfrm>
                      <a:prstGeom prst="triangl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16="http://schemas.microsoft.com/office/drawing/2014/main" xmlns:a14="http://schemas.microsoft.com/office/drawing/2010/main" xmlns:aclsh="http://schemas.microsoft.com/office/drawing/2020/classificationShape" xmlns:adec="http://schemas.microsoft.com/office/drawing/2017/decorative" xmlns:a="http://schemas.openxmlformats.org/drawingml/2006/main">
          <w:pict w14:anchorId="77C9232B">
            <v:shape id="WT Triangle" style="position:absolute;margin-left:-107.85pt;margin-top:.95pt;width:616.75pt;height:522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white [3212]"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" w14:anchorId="3A91CA26">
              <v:path arrowok="t"/>
              <o:lock v:ext="edit" aspectratio="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015AF" w14:textId="411AFC2D" w:rsidR="00592DC5" w:rsidRDefault="00791DC8" w:rsidP="00E82D4E">
    <w:pPr>
      <w:pStyle w:val="Header"/>
    </w:pPr>
    <w:r>
      <w:rPr>
        <w:noProof/>
        <w:lang w:eastAsia="en-AU"/>
      </w:rPr>
      <mc:AlternateContent>
        <mc:Choice Requires="wps">
          <w:drawing>
            <wp:anchor distT="0" distB="0" distL="0" distR="0" simplePos="0" relativeHeight="251658258" behindDoc="0" locked="0" layoutInCell="1" allowOverlap="1" wp14:anchorId="2D343599" wp14:editId="2B9E27E6">
              <wp:simplePos x="635" y="635"/>
              <wp:positionH relativeFrom="page">
                <wp:align>center</wp:align>
              </wp:positionH>
              <wp:positionV relativeFrom="page">
                <wp:align>top</wp:align>
              </wp:positionV>
              <wp:extent cx="551815" cy="452755"/>
              <wp:effectExtent l="0" t="0" r="635" b="4445"/>
              <wp:wrapNone/>
              <wp:docPr id="11752648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331E12"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343599" id="_x0000_t202" coordsize="21600,21600" o:spt="202" path="m,l,21600r21600,l21600,xe">
              <v:stroke joinstyle="miter"/>
              <v:path gradientshapeok="t" o:connecttype="rect"/>
            </v:shapetype>
            <v:shape id="Text Box 1" o:spid="_x0000_s1031" type="#_x0000_t202" alt="OFFICIAL" style="position:absolute;margin-left:0;margin-top:0;width:43.45pt;height:35.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5E331E12"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58257" behindDoc="0" locked="1" layoutInCell="0" allowOverlap="1" wp14:anchorId="24EE2000" wp14:editId="30AB3DF2">
              <wp:simplePos x="0" y="0"/>
              <wp:positionH relativeFrom="margin">
                <wp:align>center</wp:align>
              </wp:positionH>
              <wp:positionV relativeFrom="topMargin">
                <wp:align>center</wp:align>
              </wp:positionV>
              <wp:extent cx="875665" cy="273050"/>
              <wp:effectExtent l="0" t="0" r="0" b="0"/>
              <wp:wrapNone/>
              <wp:docPr id="1130813116" name="janusSEAL SC H_First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7E68A9" w14:textId="40AE0CF4"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EE2000" id="janusSEAL SC H_FirstPage" o:spid="_x0000_s1032" type="#_x0000_t202" style="position:absolute;margin-left:0;margin-top:0;width:68.95pt;height:21.5pt;z-index:251658257;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" o:allowincell="f" filled="f" stroked="f" strokeweight=".5pt">
              <v:textbox style="mso-fit-shape-to-text:t">
                <w:txbxContent>
                  <w:p w14:paraId="537E68A9" w14:textId="40AE0CF4"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r>
      <w:rPr>
        <w:noProof/>
        <w:lang w:eastAsia="en-AU"/>
      </w:rPr>
      <w:drawing>
        <wp:anchor distT="0" distB="0" distL="114300" distR="114300" simplePos="0" relativeHeight="251658255" behindDoc="0" locked="0" layoutInCell="1" allowOverlap="1" wp14:anchorId="559ED5B3" wp14:editId="15570BF6">
          <wp:simplePos x="0" y="0"/>
          <wp:positionH relativeFrom="column">
            <wp:posOffset>5095875</wp:posOffset>
          </wp:positionH>
          <wp:positionV relativeFrom="paragraph">
            <wp:posOffset>-5411</wp:posOffset>
          </wp:positionV>
          <wp:extent cx="1382728" cy="608330"/>
          <wp:effectExtent l="0" t="0" r="8255" b="1270"/>
          <wp:wrapNone/>
          <wp:docPr id="384732885" name="Logo Dark Text">
            <a:extLst xmlns:a="http://schemas.openxmlformats.org/drawingml/2006/main">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07087" name="Logo Dark Text">
                    <a:extLst>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2728" cy="608330"/>
                  </a:xfrm>
                  <a:prstGeom prst="rect">
                    <a:avLst/>
                  </a:prstGeom>
                </pic:spPr>
              </pic:pic>
            </a:graphicData>
          </a:graphic>
          <wp14:sizeRelH relativeFrom="margin">
            <wp14:pctWidth>0</wp14:pctWidth>
          </wp14:sizeRelH>
        </wp:anchor>
      </w:drawing>
    </w:r>
    <w:r>
      <w:rPr>
        <w:noProof/>
        <w:lang w:eastAsia="en-AU"/>
      </w:rPr>
      <w:drawing>
        <wp:anchor distT="0" distB="0" distL="114300" distR="114300" simplePos="0" relativeHeight="251658256" behindDoc="0" locked="0" layoutInCell="1" allowOverlap="1" wp14:anchorId="46B39130" wp14:editId="106FA9DE">
          <wp:simplePos x="0" y="0"/>
          <wp:positionH relativeFrom="column">
            <wp:posOffset>5104765</wp:posOffset>
          </wp:positionH>
          <wp:positionV relativeFrom="paragraph">
            <wp:posOffset>0</wp:posOffset>
          </wp:positionV>
          <wp:extent cx="1382400" cy="608400"/>
          <wp:effectExtent l="0" t="0" r="8255" b="1270"/>
          <wp:wrapNone/>
          <wp:docPr id="1801661404" name="Logo White Text" hidden="1">
            <a:extLst xmlns:a="http://schemas.openxmlformats.org/drawingml/2006/main">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852094" name="Logo White Text" hidden="1">
                    <a:extLst>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82400" cy="60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54" behindDoc="0" locked="0" layoutInCell="1" allowOverlap="1" wp14:anchorId="2ECEF02F" wp14:editId="3F528047">
              <wp:simplePos x="0" y="0"/>
              <wp:positionH relativeFrom="column">
                <wp:posOffset>-1217488</wp:posOffset>
              </wp:positionH>
              <wp:positionV relativeFrom="paragraph">
                <wp:posOffset>160793</wp:posOffset>
              </wp:positionV>
              <wp:extent cx="7832725" cy="6629400"/>
              <wp:effectExtent l="0" t="26987" r="46037" b="46038"/>
              <wp:wrapNone/>
              <wp:docPr id="1016641082" name="Gn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832725" cy="6629400"/>
                      </a:xfrm>
                      <a:prstGeom prst="triangl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dec="http://schemas.microsoft.com/office/drawing/2017/decorative" xmlns:a16="http://schemas.microsoft.com/office/drawing/2014/main" xmlns:a14="http://schemas.microsoft.com/office/drawing/2010/main" xmlns:aclsh="http://schemas.microsoft.com/office/drawing/2020/classificationShape" xmlns:a="http://schemas.openxmlformats.org/drawingml/2006/main">
          <w:pict w14:anchorId="6594BD19">
            <v:shapetype id="_x0000_t5" coordsize="21600,21600" o:spt="5" adj="10800" path="m@0,l,21600r21600,xe" w14:anchorId="4C35B988">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Gn Triangle" style="position:absolute;margin-left:-95.85pt;margin-top:12.65pt;width:616.75pt;height:522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00be6e [3215]"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">
              <v:path arrowok="t"/>
              <o:lock v:ext="edit" aspectratio="t"/>
            </v:shape>
          </w:pict>
        </mc:Fallback>
      </mc:AlternateContent>
    </w:r>
    <w:r>
      <w:rPr>
        <w:noProof/>
        <w:lang w:eastAsia="en-AU"/>
      </w:rPr>
      <mc:AlternateContent>
        <mc:Choice Requires="wps">
          <w:drawing>
            <wp:anchor distT="0" distB="0" distL="114300" distR="114300" simplePos="0" relativeHeight="251658253" behindDoc="0" locked="0" layoutInCell="1" allowOverlap="1" wp14:anchorId="78969899" wp14:editId="0C1828D8">
              <wp:simplePos x="0" y="0"/>
              <wp:positionH relativeFrom="column">
                <wp:posOffset>-1369378</wp:posOffset>
              </wp:positionH>
              <wp:positionV relativeFrom="paragraph">
                <wp:posOffset>12079</wp:posOffset>
              </wp:positionV>
              <wp:extent cx="7832725" cy="6629400"/>
              <wp:effectExtent l="0" t="26987" r="46037" b="46038"/>
              <wp:wrapNone/>
              <wp:docPr id="1998989326" name="WT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832725" cy="6629400"/>
                      </a:xfrm>
                      <a:prstGeom prst="triangl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dec="http://schemas.microsoft.com/office/drawing/2017/decorative" xmlns:a16="http://schemas.microsoft.com/office/drawing/2014/main" xmlns:a14="http://schemas.microsoft.com/office/drawing/2010/main" xmlns:aclsh="http://schemas.microsoft.com/office/drawing/2020/classificationShape" xmlns:a="http://schemas.openxmlformats.org/drawingml/2006/main">
          <w:pict w14:anchorId="73B8A129">
            <v:shape id="WT Triangle" style="position:absolute;margin-left:-107.85pt;margin-top:.95pt;width:616.75pt;height:522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white [3212]"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" w14:anchorId="298E3EFF">
              <v:path arrowok="t"/>
              <o:lock v:ext="edit" aspectratio="t"/>
            </v:shape>
          </w:pict>
        </mc:Fallback>
      </mc:AlternateContent>
    </w:r>
    <w:r w:rsidR="00A46281">
      <w:rPr>
        <w:noProof/>
      </w:rPr>
      <w:drawing>
        <wp:anchor distT="0" distB="0" distL="114300" distR="114300" simplePos="0" relativeHeight="251658244" behindDoc="0" locked="0" layoutInCell="1" allowOverlap="1" wp14:anchorId="11F2F5F7" wp14:editId="0E74EC2D">
          <wp:simplePos x="0" y="0"/>
          <wp:positionH relativeFrom="column">
            <wp:posOffset>5095875</wp:posOffset>
          </wp:positionH>
          <wp:positionV relativeFrom="paragraph">
            <wp:posOffset>-5411</wp:posOffset>
          </wp:positionV>
          <wp:extent cx="1382728" cy="608330"/>
          <wp:effectExtent l="0" t="0" r="8255" b="1270"/>
          <wp:wrapNone/>
          <wp:docPr id="408220749" name="Logo Dark Text">
            <a:extLst xmlns:a="http://schemas.openxmlformats.org/drawingml/2006/main">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9799" name="Logo Dark Text">
                    <a:extLst>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2728" cy="608330"/>
                  </a:xfrm>
                  <a:prstGeom prst="rect">
                    <a:avLst/>
                  </a:prstGeom>
                </pic:spPr>
              </pic:pic>
            </a:graphicData>
          </a:graphic>
          <wp14:sizeRelH relativeFrom="margin">
            <wp14:pctWidth>0</wp14:pctWidth>
          </wp14:sizeRelH>
        </wp:anchor>
      </w:drawing>
    </w:r>
    <w:r w:rsidR="00A46281">
      <w:rPr>
        <w:noProof/>
      </w:rPr>
      <w:drawing>
        <wp:anchor distT="0" distB="0" distL="114300" distR="114300" simplePos="0" relativeHeight="251658245" behindDoc="0" locked="0" layoutInCell="1" allowOverlap="1" wp14:anchorId="79B2A7E3" wp14:editId="156A1D93">
          <wp:simplePos x="0" y="0"/>
          <wp:positionH relativeFrom="column">
            <wp:posOffset>5104765</wp:posOffset>
          </wp:positionH>
          <wp:positionV relativeFrom="paragraph">
            <wp:posOffset>0</wp:posOffset>
          </wp:positionV>
          <wp:extent cx="1382400" cy="608400"/>
          <wp:effectExtent l="0" t="0" r="8255" b="1270"/>
          <wp:wrapNone/>
          <wp:docPr id="504625369" name="Logo White Text" hidden="1">
            <a:extLst xmlns:a="http://schemas.openxmlformats.org/drawingml/2006/main">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18484" name="Logo White Text" hidden="1">
                    <a:extLst>
                      <a:ext uri="{FF2B5EF4-FFF2-40B4-BE49-F238E27FC236}">
                        <a16:creationId xmlns:a16="http://schemas.microsoft.com/office/drawing/2014/main" id="{B281B772-C7E8-4609-AA18-E49B04F70CF4}"/>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82400" cy="608400"/>
                  </a:xfrm>
                  <a:prstGeom prst="rect">
                    <a:avLst/>
                  </a:prstGeom>
                </pic:spPr>
              </pic:pic>
            </a:graphicData>
          </a:graphic>
          <wp14:sizeRelH relativeFrom="margin">
            <wp14:pctWidth>0</wp14:pctWidth>
          </wp14:sizeRelH>
          <wp14:sizeRelV relativeFrom="margin">
            <wp14:pctHeight>0</wp14:pctHeight>
          </wp14:sizeRelV>
        </wp:anchor>
      </w:drawing>
    </w:r>
    <w:r w:rsidR="00A46281">
      <w:rPr>
        <w:noProof/>
      </w:rPr>
      <mc:AlternateContent>
        <mc:Choice Requires="wps">
          <w:drawing>
            <wp:anchor distT="0" distB="0" distL="114300" distR="114300" simplePos="0" relativeHeight="251658243" behindDoc="0" locked="0" layoutInCell="1" allowOverlap="1" wp14:anchorId="073837C1" wp14:editId="6B8BE49A">
              <wp:simplePos x="0" y="0"/>
              <wp:positionH relativeFrom="column">
                <wp:posOffset>-1217488</wp:posOffset>
              </wp:positionH>
              <wp:positionV relativeFrom="paragraph">
                <wp:posOffset>160793</wp:posOffset>
              </wp:positionV>
              <wp:extent cx="7832725" cy="6629400"/>
              <wp:effectExtent l="0" t="26987" r="46037" b="46038"/>
              <wp:wrapNone/>
              <wp:docPr id="678730061" name="Gn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832725" cy="6629400"/>
                      </a:xfrm>
                      <a:prstGeom prst="triangl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dec="http://schemas.microsoft.com/office/drawing/2017/decorative" xmlns:a16="http://schemas.microsoft.com/office/drawing/2014/main" xmlns:a14="http://schemas.microsoft.com/office/drawing/2010/main" xmlns:aclsh="http://schemas.microsoft.com/office/drawing/2020/classificationShape" xmlns:a="http://schemas.openxmlformats.org/drawingml/2006/main">
          <w:pict w14:anchorId="29B44F15">
            <v:shape id="Gn Triangle" style="position:absolute;margin-left:-95.85pt;margin-top:12.65pt;width:616.75pt;height:522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00be6e [3215]"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" w14:anchorId="3DA56FEF">
              <v:path arrowok="t"/>
              <o:lock v:ext="edit" aspectratio="t"/>
            </v:shape>
          </w:pict>
        </mc:Fallback>
      </mc:AlternateContent>
    </w:r>
    <w:r w:rsidR="00A46281">
      <w:rPr>
        <w:noProof/>
      </w:rPr>
      <mc:AlternateContent>
        <mc:Choice Requires="wps">
          <w:drawing>
            <wp:anchor distT="0" distB="0" distL="114300" distR="114300" simplePos="0" relativeHeight="251658242" behindDoc="0" locked="0" layoutInCell="1" allowOverlap="1" wp14:anchorId="0307F540" wp14:editId="25B1B297">
              <wp:simplePos x="0" y="0"/>
              <wp:positionH relativeFrom="column">
                <wp:posOffset>-1369378</wp:posOffset>
              </wp:positionH>
              <wp:positionV relativeFrom="paragraph">
                <wp:posOffset>12079</wp:posOffset>
              </wp:positionV>
              <wp:extent cx="7832725" cy="6629400"/>
              <wp:effectExtent l="0" t="26987" r="46037" b="46038"/>
              <wp:wrapNone/>
              <wp:docPr id="1527656458" name="WT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832725" cy="6629400"/>
                      </a:xfrm>
                      <a:prstGeom prst="triangl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dec="http://schemas.microsoft.com/office/drawing/2017/decorative" xmlns:a16="http://schemas.microsoft.com/office/drawing/2014/main" xmlns:a14="http://schemas.microsoft.com/office/drawing/2010/main" xmlns:aclsh="http://schemas.microsoft.com/office/drawing/2020/classificationShape" xmlns:a="http://schemas.openxmlformats.org/drawingml/2006/main">
          <w:pict w14:anchorId="1978FF8A">
            <v:shape id="WT Triangle" style="position:absolute;margin-left:-107.85pt;margin-top:.95pt;width:616.75pt;height:522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white [3212]"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" w14:anchorId="3A5729C5">
              <v:path arrowok="t"/>
              <o:lock v:ext="edit" aspectratio="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AE14" w14:textId="2DA983F2" w:rsidR="00125C53" w:rsidRDefault="005C240F">
    <w:pPr>
      <w:pStyle w:val="Header"/>
    </w:pPr>
    <w:r>
      <w:rPr>
        <w:noProof/>
      </w:rPr>
      <mc:AlternateContent>
        <mc:Choice Requires="wps">
          <w:drawing>
            <wp:anchor distT="0" distB="0" distL="114300" distR="114300" simplePos="0" relativeHeight="251658276" behindDoc="0" locked="1" layoutInCell="0" allowOverlap="1" wp14:anchorId="6C8CA531" wp14:editId="6AAA293B">
              <wp:simplePos x="0" y="0"/>
              <wp:positionH relativeFrom="margin">
                <wp:align>center</wp:align>
              </wp:positionH>
              <wp:positionV relativeFrom="topMargin">
                <wp:align>center</wp:align>
              </wp:positionV>
              <wp:extent cx="875665" cy="273050"/>
              <wp:effectExtent l="0" t="0" r="0" b="0"/>
              <wp:wrapNone/>
              <wp:docPr id="674821668" name="janusSEAL SC H_Even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19E01" w14:textId="500ED085"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C8CA531" id="_x0000_t202" coordsize="21600,21600" o:spt="202" path="m,l,21600r21600,l21600,xe">
              <v:stroke joinstyle="miter"/>
              <v:path gradientshapeok="t" o:connecttype="rect"/>
            </v:shapetype>
            <v:shape id="_x0000_s1034" type="#_x0000_t202" style="position:absolute;margin-left:0;margin-top:0;width:68.95pt;height:21.5pt;z-index:251658276;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" o:allowincell="f" filled="f" stroked="f" strokeweight=".5pt">
              <v:textbox style="mso-fit-shape-to-text:t">
                <w:txbxContent>
                  <w:p w14:paraId="4F519E01" w14:textId="500ED085"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r w:rsidR="00791DC8">
      <w:rPr>
        <w:noProof/>
        <w:lang w:eastAsia="en-AU"/>
      </w:rPr>
      <mc:AlternateContent>
        <mc:Choice Requires="wps">
          <w:drawing>
            <wp:anchor distT="0" distB="0" distL="0" distR="0" simplePos="0" relativeHeight="251658260" behindDoc="0" locked="0" layoutInCell="1" allowOverlap="1" wp14:anchorId="0D31DA44" wp14:editId="35AF59C1">
              <wp:simplePos x="635" y="635"/>
              <wp:positionH relativeFrom="page">
                <wp:align>center</wp:align>
              </wp:positionH>
              <wp:positionV relativeFrom="page">
                <wp:align>top</wp:align>
              </wp:positionV>
              <wp:extent cx="551815" cy="452755"/>
              <wp:effectExtent l="0" t="0" r="635" b="4445"/>
              <wp:wrapNone/>
              <wp:docPr id="11642035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4B7E797"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D31DA44" id="Text Box 5" o:spid="_x0000_s1035"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64B7E797"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2B0C" w14:textId="615E8394" w:rsidR="00592DC5" w:rsidRDefault="006A2BDB">
    <w:pPr>
      <w:pStyle w:val="Header"/>
    </w:pPr>
    <w:r>
      <w:rPr>
        <w:noProof/>
      </w:rPr>
      <w:drawing>
        <wp:anchor distT="0" distB="0" distL="114300" distR="114300" simplePos="0" relativeHeight="251658247" behindDoc="0" locked="0" layoutInCell="1" allowOverlap="1" wp14:anchorId="2598C741" wp14:editId="5AB36829">
          <wp:simplePos x="0" y="0"/>
          <wp:positionH relativeFrom="column">
            <wp:posOffset>7890281</wp:posOffset>
          </wp:positionH>
          <wp:positionV relativeFrom="paragraph">
            <wp:posOffset>40127</wp:posOffset>
          </wp:positionV>
          <wp:extent cx="1382728" cy="608330"/>
          <wp:effectExtent l="0" t="0" r="8255" b="1270"/>
          <wp:wrapNone/>
          <wp:docPr id="69045355" name="Logo Dark Text">
            <a:extLst xmlns:a="http://schemas.openxmlformats.org/drawingml/2006/main">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44542" name="Logo Dark Text">
                    <a:extLst>
                      <a:ext uri="{FF2B5EF4-FFF2-40B4-BE49-F238E27FC236}">
                        <a16:creationId xmlns:a16="http://schemas.microsoft.com/office/drawing/2014/main" id="{12C14BDB-9CA4-4424-A69B-12A9F5D9F951}"/>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2728" cy="608330"/>
                  </a:xfrm>
                  <a:prstGeom prst="rect">
                    <a:avLst/>
                  </a:prstGeom>
                </pic:spPr>
              </pic:pic>
            </a:graphicData>
          </a:graphic>
          <wp14:sizeRelH relativeFrom="margin">
            <wp14:pctWidth>0</wp14:pctWidth>
          </wp14:sizeRelH>
        </wp:anchor>
      </w:drawing>
    </w:r>
    <w:r w:rsidR="00791DC8">
      <w:rPr>
        <w:noProof/>
        <w:lang w:eastAsia="en-AU"/>
      </w:rPr>
      <mc:AlternateContent>
        <mc:Choice Requires="wps">
          <w:drawing>
            <wp:anchor distT="0" distB="0" distL="0" distR="0" simplePos="0" relativeHeight="251658262" behindDoc="0" locked="0" layoutInCell="1" allowOverlap="1" wp14:anchorId="66ACA743" wp14:editId="0636FB46">
              <wp:simplePos x="635" y="635"/>
              <wp:positionH relativeFrom="page">
                <wp:align>center</wp:align>
              </wp:positionH>
              <wp:positionV relativeFrom="page">
                <wp:align>top</wp:align>
              </wp:positionV>
              <wp:extent cx="551815" cy="452755"/>
              <wp:effectExtent l="0" t="0" r="635" b="4445"/>
              <wp:wrapNone/>
              <wp:docPr id="150327927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39062D8"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ACA743" id="_x0000_t202" coordsize="21600,21600" o:spt="202" path="m,l,21600r21600,l21600,xe">
              <v:stroke joinstyle="miter"/>
              <v:path gradientshapeok="t" o:connecttype="rect"/>
            </v:shapetype>
            <v:shape id="Text Box 6" o:spid="_x0000_s1036"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9d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2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Frw9dDgIAABwE&#10;AAAOAAAAAAAAAAAAAAAAAC4CAABkcnMvZTJvRG9jLnhtbFBLAQItABQABgAIAAAAIQAMXgIO2gAA&#10;AAMBAAAPAAAAAAAAAAAAAAAAAGgEAABkcnMvZG93bnJldi54bWxQSwUGAAAAAAQABADzAAAAbwUA&#10;AAAA&#10;" filled="f" stroked="f">
              <v:textbox style="mso-fit-shape-to-text:t" inset="0,15pt,0,0">
                <w:txbxContent>
                  <w:p w14:paraId="539062D8"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r w:rsidR="00791DC8">
      <w:rPr>
        <w:noProof/>
        <w:lang w:eastAsia="en-AU"/>
      </w:rPr>
      <mc:AlternateContent>
        <mc:Choice Requires="wps">
          <w:drawing>
            <wp:anchor distT="0" distB="0" distL="114300" distR="114300" simplePos="0" relativeHeight="251658261" behindDoc="0" locked="0" layoutInCell="1" allowOverlap="1" wp14:anchorId="3539B1A5" wp14:editId="42ADB855">
              <wp:simplePos x="0" y="0"/>
              <wp:positionH relativeFrom="column">
                <wp:posOffset>-1443355</wp:posOffset>
              </wp:positionH>
              <wp:positionV relativeFrom="paragraph">
                <wp:posOffset>-401403</wp:posOffset>
              </wp:positionV>
              <wp:extent cx="4857750" cy="4110990"/>
              <wp:effectExtent l="0" t="26670" r="30480" b="30480"/>
              <wp:wrapNone/>
              <wp:docPr id="662365521" name="Gn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857750" cy="4110990"/>
                      </a:xfrm>
                      <a:prstGeom prst="triangl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C0395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n Triangle" o:spid="_x0000_s1026" type="#_x0000_t5" alt="&quot;&quot;" style="position:absolute;margin-left:-113.65pt;margin-top:-31.6pt;width:382.5pt;height:323.7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" filled="f" strokecolor="#00be6e [3215]" strokeweight="1.5pt">
              <v:path arrowok="t"/>
              <o:lock v:ext="edit" aspectratio="t"/>
            </v:shape>
          </w:pict>
        </mc:Fallback>
      </mc:AlternateContent>
    </w:r>
    <w:r w:rsidR="00A46281">
      <w:rPr>
        <w:noProof/>
      </w:rPr>
      <mc:AlternateContent>
        <mc:Choice Requires="wps">
          <w:drawing>
            <wp:anchor distT="0" distB="0" distL="114300" distR="114300" simplePos="0" relativeHeight="251658246" behindDoc="0" locked="0" layoutInCell="1" allowOverlap="1" wp14:anchorId="604E32B4" wp14:editId="676081D6">
              <wp:simplePos x="0" y="0"/>
              <wp:positionH relativeFrom="column">
                <wp:posOffset>-1443355</wp:posOffset>
              </wp:positionH>
              <wp:positionV relativeFrom="paragraph">
                <wp:posOffset>-401403</wp:posOffset>
              </wp:positionV>
              <wp:extent cx="4857750" cy="4110990"/>
              <wp:effectExtent l="0" t="26670" r="30480" b="30480"/>
              <wp:wrapNone/>
              <wp:docPr id="963697181" name="Gn Tri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857750" cy="4110990"/>
                      </a:xfrm>
                      <a:prstGeom prst="triangl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clsh="http://schemas.microsoft.com/office/drawing/2020/classificationShape" xmlns:asvg="http://schemas.microsoft.com/office/drawing/2016/SVG/main"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79278EE4">
            <v:shape id="Gn Triangle" style="position:absolute;margin-left:-113.65pt;margin-top:-31.6pt;width:382.5pt;height:323.7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00be6e [3215]"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" w14:anchorId="5FFC76BC">
              <v:path arrowok="t"/>
              <o:lock v:ext="edit" aspectratio="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2632" w14:textId="33F6F7A0" w:rsidR="00592DC5" w:rsidRPr="006A4082" w:rsidRDefault="00791DC8" w:rsidP="006A4082">
    <w:pPr>
      <w:pStyle w:val="Header"/>
    </w:pPr>
    <w:r>
      <w:rPr>
        <w:noProof/>
        <w:lang w:eastAsia="en-AU"/>
      </w:rPr>
      <mc:AlternateContent>
        <mc:Choice Requires="wps">
          <w:drawing>
            <wp:anchor distT="0" distB="0" distL="0" distR="0" simplePos="0" relativeHeight="251658265" behindDoc="0" locked="0" layoutInCell="1" allowOverlap="1" wp14:anchorId="74FF8B38" wp14:editId="160D8E52">
              <wp:simplePos x="635" y="635"/>
              <wp:positionH relativeFrom="page">
                <wp:align>center</wp:align>
              </wp:positionH>
              <wp:positionV relativeFrom="page">
                <wp:align>top</wp:align>
              </wp:positionV>
              <wp:extent cx="551815" cy="452755"/>
              <wp:effectExtent l="0" t="0" r="635" b="4445"/>
              <wp:wrapNone/>
              <wp:docPr id="16442917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AB64E9C"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F8B38" id="_x0000_t202" coordsize="21600,21600" o:spt="202" path="m,l,21600r21600,l21600,xe">
              <v:stroke joinstyle="miter"/>
              <v:path gradientshapeok="t" o:connecttype="rect"/>
            </v:shapetype>
            <v:shape id="Text Box 4" o:spid="_x0000_s1038"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6AB64E9C"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58264" behindDoc="0" locked="1" layoutInCell="0" allowOverlap="1" wp14:anchorId="643341C9" wp14:editId="3C373F8B">
              <wp:simplePos x="0" y="0"/>
              <wp:positionH relativeFrom="margin">
                <wp:align>center</wp:align>
              </wp:positionH>
              <wp:positionV relativeFrom="topMargin">
                <wp:align>center</wp:align>
              </wp:positionV>
              <wp:extent cx="875665" cy="273050"/>
              <wp:effectExtent l="0" t="0" r="0" b="0"/>
              <wp:wrapNone/>
              <wp:docPr id="937107209" name="janusSEAL SC H_First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D509C8" w14:textId="2635622B"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3341C9" id="_x0000_s1039" type="#_x0000_t202" style="position:absolute;margin-left:0;margin-top:0;width:68.95pt;height:21.5pt;z-index:25165826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" o:allowincell="f" filled="f" stroked="f" strokeweight=".5pt">
              <v:textbox style="mso-fit-shape-to-text:t">
                <w:txbxContent>
                  <w:p w14:paraId="6CD509C8" w14:textId="2635622B"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B6843" w14:textId="75D8B8A4" w:rsidR="00125C53" w:rsidRDefault="005C240F">
    <w:pPr>
      <w:pStyle w:val="Header"/>
    </w:pPr>
    <w:r>
      <w:rPr>
        <w:noProof/>
      </w:rPr>
      <mc:AlternateContent>
        <mc:Choice Requires="wps">
          <w:drawing>
            <wp:anchor distT="0" distB="0" distL="114300" distR="114300" simplePos="0" relativeHeight="251658277" behindDoc="0" locked="1" layoutInCell="0" allowOverlap="1" wp14:anchorId="06589F4E" wp14:editId="10E42039">
              <wp:simplePos x="0" y="0"/>
              <wp:positionH relativeFrom="margin">
                <wp:align>center</wp:align>
              </wp:positionH>
              <wp:positionV relativeFrom="topMargin">
                <wp:align>center</wp:align>
              </wp:positionV>
              <wp:extent cx="875665" cy="273050"/>
              <wp:effectExtent l="0" t="0" r="0" b="0"/>
              <wp:wrapNone/>
              <wp:docPr id="675104780" name="janusSEAL SC H_Even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BBAC7" w14:textId="013F748A"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6589F4E" id="_x0000_t202" coordsize="21600,21600" o:spt="202" path="m,l,21600r21600,l21600,xe">
              <v:stroke joinstyle="miter"/>
              <v:path gradientshapeok="t" o:connecttype="rect"/>
            </v:shapetype>
            <v:shape id="_x0000_s1041" type="#_x0000_t202" style="position:absolute;margin-left:0;margin-top:0;width:68.95pt;height:21.5pt;z-index:251658277;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" o:allowincell="f" filled="f" stroked="f" strokeweight=".5pt">
              <v:textbox style="mso-fit-shape-to-text:t">
                <w:txbxContent>
                  <w:p w14:paraId="208BBAC7" w14:textId="013F748A" w:rsidR="005C240F"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r w:rsidR="00791DC8">
      <w:rPr>
        <w:noProof/>
        <w:lang w:eastAsia="en-AU"/>
      </w:rPr>
      <mc:AlternateContent>
        <mc:Choice Requires="wps">
          <w:drawing>
            <wp:anchor distT="0" distB="0" distL="0" distR="0" simplePos="0" relativeHeight="251658267" behindDoc="0" locked="0" layoutInCell="1" allowOverlap="1" wp14:anchorId="082DFEB1" wp14:editId="5FC5D5E3">
              <wp:simplePos x="635" y="635"/>
              <wp:positionH relativeFrom="page">
                <wp:align>center</wp:align>
              </wp:positionH>
              <wp:positionV relativeFrom="page">
                <wp:align>top</wp:align>
              </wp:positionV>
              <wp:extent cx="551815" cy="452755"/>
              <wp:effectExtent l="0" t="0" r="635" b="4445"/>
              <wp:wrapNone/>
              <wp:docPr id="184227267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4D2C395"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82DFEB1" id="Text Box 8" o:spid="_x0000_s1042" type="#_x0000_t202" alt="OFFICIAL" style="position:absolute;margin-left:0;margin-top:0;width:43.45pt;height:35.6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1e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uw+1Q4unbQnHAqB+eFe8vXHdbeMB+emcMN4yCo&#10;2vCEh1TQ1xRGi5IW3I+/+WM+Eo9RSnpUTE0NSpoS9c3gQqK4klHc5mWONze5d5NhDvoeUIcFPgnL&#10;kxnzgppM6UC/op5XsRCGmOFYrqZhMu/DWbr4HrhYrVIS6siysDFbyyN05CuS+TK8MmdHxgOu6hEm&#10;ObHqDfHn3Pint6tDQPrTVq5EjpSjBtNex/cSRf7rPWVdX/XyJ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PFLbV4NAgAAHQQA&#10;AA4AAAAAAAAAAAAAAAAALgIAAGRycy9lMm9Eb2MueG1sUEsBAi0AFAAGAAgAAAAhAAxeAg7aAAAA&#10;AwEAAA8AAAAAAAAAAAAAAAAAZwQAAGRycy9kb3ducmV2LnhtbFBLBQYAAAAABAAEAPMAAABuBQAA&#10;AAA=&#10;" filled="f" stroked="f">
              <v:textbox style="mso-fit-shape-to-text:t" inset="0,15pt,0,0">
                <w:txbxContent>
                  <w:p w14:paraId="04D2C395"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88B27" w14:textId="45475E68" w:rsidR="002978B7" w:rsidRDefault="00791DC8">
    <w:pPr>
      <w:pStyle w:val="Header"/>
    </w:pPr>
    <w:r>
      <w:rPr>
        <w:noProof/>
        <w:lang w:eastAsia="en-AU"/>
      </w:rPr>
      <mc:AlternateContent>
        <mc:Choice Requires="wps">
          <w:drawing>
            <wp:anchor distT="0" distB="0" distL="0" distR="0" simplePos="0" relativeHeight="251658280" behindDoc="0" locked="0" layoutInCell="1" allowOverlap="1" wp14:anchorId="611945A2" wp14:editId="722E0F5F">
              <wp:simplePos x="635" y="635"/>
              <wp:positionH relativeFrom="page">
                <wp:align>center</wp:align>
              </wp:positionH>
              <wp:positionV relativeFrom="page">
                <wp:align>top</wp:align>
              </wp:positionV>
              <wp:extent cx="551815" cy="452755"/>
              <wp:effectExtent l="0" t="0" r="635" b="4445"/>
              <wp:wrapNone/>
              <wp:docPr id="200267566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0676A29"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945A2" id="_x0000_t202" coordsize="21600,21600" o:spt="202" path="m,l,21600r21600,l21600,xe">
              <v:stroke joinstyle="miter"/>
              <v:path gradientshapeok="t" o:connecttype="rect"/>
            </v:shapetype>
            <v:shape id="Text Box 9" o:spid="_x0000_s1043" type="#_x0000_t202" alt="OFFICIAL" style="position:absolute;margin-left:0;margin-top:0;width:43.45pt;height:35.65pt;z-index:251658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YDg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GiroYDgIAAB0E&#10;AAAOAAAAAAAAAAAAAAAAAC4CAABkcnMvZTJvRG9jLnhtbFBLAQItABQABgAIAAAAIQAMXgIO2gAA&#10;AAMBAAAPAAAAAAAAAAAAAAAAAGgEAABkcnMvZG93bnJldi54bWxQSwUGAAAAAAQABADzAAAAbwUA&#10;AAAA&#10;" filled="f" stroked="f">
              <v:textbox style="mso-fit-shape-to-text:t" inset="0,15pt,0,0">
                <w:txbxContent>
                  <w:p w14:paraId="30676A29"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sdt>
      <w:sdtPr>
        <w:id w:val="-1034335836"/>
        <w:docPartObj>
          <w:docPartGallery w:val="Watermarks"/>
          <w:docPartUnique/>
        </w:docPartObj>
      </w:sdtPr>
      <w:sdtEndP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0710B" w14:textId="60F9BD97" w:rsidR="00C632D9" w:rsidRPr="006A4082" w:rsidRDefault="00791DC8" w:rsidP="006A4082">
    <w:pPr>
      <w:pStyle w:val="Header"/>
    </w:pPr>
    <w:r>
      <w:rPr>
        <w:noProof/>
        <w:lang w:eastAsia="en-AU"/>
      </w:rPr>
      <mc:AlternateContent>
        <mc:Choice Requires="wps">
          <w:drawing>
            <wp:anchor distT="0" distB="0" distL="0" distR="0" simplePos="0" relativeHeight="251658270" behindDoc="0" locked="0" layoutInCell="1" allowOverlap="1" wp14:anchorId="65055671" wp14:editId="19376B41">
              <wp:simplePos x="635" y="635"/>
              <wp:positionH relativeFrom="page">
                <wp:align>center</wp:align>
              </wp:positionH>
              <wp:positionV relativeFrom="page">
                <wp:align>top</wp:align>
              </wp:positionV>
              <wp:extent cx="551815" cy="452755"/>
              <wp:effectExtent l="0" t="0" r="635" b="4445"/>
              <wp:wrapNone/>
              <wp:docPr id="41787502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37886C" w14:textId="77777777" w:rsidR="00791DC8" w:rsidRPr="00433EF5" w:rsidRDefault="00791DC8" w:rsidP="00433EF5">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055671" id="_x0000_t202" coordsize="21600,21600" o:spt="202" path="m,l,21600r21600,l21600,xe">
              <v:stroke joinstyle="miter"/>
              <v:path gradientshapeok="t" o:connecttype="rect"/>
            </v:shapetype>
            <v:shape id="Text Box 7" o:spid="_x0000_s1045" type="#_x0000_t202" alt="OFFICIAL" style="position:absolute;margin-left:0;margin-top:0;width:43.45pt;height:35.6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Gj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c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B9PGjDgIAAB0E&#10;AAAOAAAAAAAAAAAAAAAAAC4CAABkcnMvZTJvRG9jLnhtbFBLAQItABQABgAIAAAAIQAMXgIO2gAA&#10;AAMBAAAPAAAAAAAAAAAAAAAAAGgEAABkcnMvZG93bnJldi54bWxQSwUGAAAAAAQABADzAAAAbwUA&#10;AAAA&#10;" filled="f" stroked="f">
              <v:textbox style="mso-fit-shape-to-text:t" inset="0,15pt,0,0">
                <w:txbxContent>
                  <w:p w14:paraId="2A37886C" w14:textId="77777777" w:rsidR="00791DC8" w:rsidRPr="00433EF5" w:rsidRDefault="00791DC8" w:rsidP="00433EF5">
                    <w:pPr>
                      <w:spacing w:after="0"/>
                      <w:rPr>
                        <w:rFonts w:ascii="Calibri" w:eastAsia="Calibri" w:hAnsi="Calibri" w:cs="Calibri"/>
                        <w:noProof/>
                        <w:color w:val="FF0000"/>
                        <w:sz w:val="24"/>
                        <w:szCs w:val="24"/>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58269" behindDoc="0" locked="1" layoutInCell="0" allowOverlap="1" wp14:anchorId="1929A8FC" wp14:editId="3DAF5F1A">
              <wp:simplePos x="0" y="0"/>
              <wp:positionH relativeFrom="margin">
                <wp:align>center</wp:align>
              </wp:positionH>
              <wp:positionV relativeFrom="topMargin">
                <wp:align>center</wp:align>
              </wp:positionV>
              <wp:extent cx="875665" cy="273050"/>
              <wp:effectExtent l="0" t="0" r="0" b="0"/>
              <wp:wrapNone/>
              <wp:docPr id="2097365750" name="janusSEAL SC H_FirstPage"/>
              <wp:cNvGraphicFramePr/>
              <a:graphic xmlns:a="http://schemas.openxmlformats.org/drawingml/2006/main">
                <a:graphicData uri="http://schemas.microsoft.com/office/word/2010/wordprocessingShape">
                  <wps:wsp>
                    <wps:cNvSpPr txBox="1"/>
                    <wps:spPr>
                      <a:xfrm>
                        <a:off x="0" y="0"/>
                        <a:ext cx="8756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3E93C" w14:textId="2424C3D0"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29A8FC" id="_x0000_s1046" type="#_x0000_t202" style="position:absolute;margin-left:0;margin-top:0;width:68.95pt;height:21.5pt;z-index:251658269;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" o:allowincell="f" filled="f" stroked="f" strokeweight=".5pt">
              <v:textbox style="mso-fit-shape-to-text:t">
                <w:txbxContent>
                  <w:p w14:paraId="5CA3E93C" w14:textId="2424C3D0" w:rsidR="00791DC8" w:rsidRPr="0003467A" w:rsidRDefault="0003467A" w:rsidP="008E72DD">
                    <w:pPr>
                      <w:spacing w:before="0" w:after="0"/>
                      <w:jc w:val="center"/>
                      <w:rPr>
                        <w:rFonts w:ascii="Arial" w:hAnsi="Arial" w:cs="Arial"/>
                        <w:b/>
                        <w:color w:val="FF0000"/>
                        <w:sz w:val="28"/>
                      </w:rPr>
                    </w:pPr>
                    <w:r>
                      <w:rPr>
                        <w:rFonts w:ascii="Arial" w:hAnsi="Arial" w:cs="Arial"/>
                        <w:b/>
                        <w:color w:val="FF0000"/>
                        <w:sz w:val="28"/>
                      </w:rPr>
                      <w:t>OFFICIAL</w:t>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60D8C"/>
    <w:multiLevelType w:val="hybridMultilevel"/>
    <w:tmpl w:val="5660F402"/>
    <w:lvl w:ilvl="0" w:tplc="9A94BC4E">
      <w:start w:val="1"/>
      <w:numFmt w:val="bullet"/>
      <w:pStyle w:val="Dotpoint"/>
      <w:lvlText w:val=""/>
      <w:lvlJc w:val="left"/>
      <w:pPr>
        <w:ind w:left="363" w:hanging="360"/>
      </w:pPr>
      <w:rPr>
        <w:rFonts w:ascii="Symbol" w:hAnsi="Symbol" w:hint="default"/>
        <w:color w:val="48B860"/>
        <w:sz w:val="16"/>
      </w:rPr>
    </w:lvl>
    <w:lvl w:ilvl="1" w:tplc="08865280">
      <w:start w:val="1"/>
      <w:numFmt w:val="bullet"/>
      <w:lvlText w:val=""/>
      <w:lvlJc w:val="left"/>
      <w:pPr>
        <w:ind w:left="1083" w:hanging="360"/>
      </w:pPr>
      <w:rPr>
        <w:rFonts w:ascii="Symbol" w:hAnsi="Symbol" w:hint="default"/>
      </w:rPr>
    </w:lvl>
    <w:lvl w:ilvl="2" w:tplc="CE44B128">
      <w:start w:val="1"/>
      <w:numFmt w:val="bullet"/>
      <w:lvlText w:val=""/>
      <w:lvlJc w:val="left"/>
      <w:pPr>
        <w:ind w:left="1803" w:hanging="360"/>
      </w:pPr>
      <w:rPr>
        <w:rFonts w:ascii="Wingdings" w:hAnsi="Wingdings" w:hint="default"/>
      </w:rPr>
    </w:lvl>
    <w:lvl w:ilvl="3" w:tplc="C0B21B48">
      <w:start w:val="1"/>
      <w:numFmt w:val="bullet"/>
      <w:lvlText w:val=""/>
      <w:lvlJc w:val="left"/>
      <w:pPr>
        <w:ind w:left="2523" w:hanging="360"/>
      </w:pPr>
      <w:rPr>
        <w:rFonts w:ascii="Symbol" w:hAnsi="Symbol" w:hint="default"/>
      </w:rPr>
    </w:lvl>
    <w:lvl w:ilvl="4" w:tplc="EF4A7192" w:tentative="1">
      <w:start w:val="1"/>
      <w:numFmt w:val="bullet"/>
      <w:lvlText w:val="o"/>
      <w:lvlJc w:val="left"/>
      <w:pPr>
        <w:ind w:left="3243" w:hanging="360"/>
      </w:pPr>
      <w:rPr>
        <w:rFonts w:ascii="Courier New" w:hAnsi="Courier New" w:hint="default"/>
      </w:rPr>
    </w:lvl>
    <w:lvl w:ilvl="5" w:tplc="59964FC8" w:tentative="1">
      <w:start w:val="1"/>
      <w:numFmt w:val="bullet"/>
      <w:lvlText w:val=""/>
      <w:lvlJc w:val="left"/>
      <w:pPr>
        <w:ind w:left="3963" w:hanging="360"/>
      </w:pPr>
      <w:rPr>
        <w:rFonts w:ascii="Wingdings" w:hAnsi="Wingdings" w:hint="default"/>
      </w:rPr>
    </w:lvl>
    <w:lvl w:ilvl="6" w:tplc="0136CF70" w:tentative="1">
      <w:start w:val="1"/>
      <w:numFmt w:val="bullet"/>
      <w:lvlText w:val=""/>
      <w:lvlJc w:val="left"/>
      <w:pPr>
        <w:ind w:left="4683" w:hanging="360"/>
      </w:pPr>
      <w:rPr>
        <w:rFonts w:ascii="Symbol" w:hAnsi="Symbol" w:hint="default"/>
      </w:rPr>
    </w:lvl>
    <w:lvl w:ilvl="7" w:tplc="B2A4B996" w:tentative="1">
      <w:start w:val="1"/>
      <w:numFmt w:val="bullet"/>
      <w:lvlText w:val="o"/>
      <w:lvlJc w:val="left"/>
      <w:pPr>
        <w:ind w:left="5403" w:hanging="360"/>
      </w:pPr>
      <w:rPr>
        <w:rFonts w:ascii="Courier New" w:hAnsi="Courier New" w:hint="default"/>
      </w:rPr>
    </w:lvl>
    <w:lvl w:ilvl="8" w:tplc="1EB2D222" w:tentative="1">
      <w:start w:val="1"/>
      <w:numFmt w:val="bullet"/>
      <w:lvlText w:val=""/>
      <w:lvlJc w:val="left"/>
      <w:pPr>
        <w:ind w:left="6123" w:hanging="360"/>
      </w:pPr>
      <w:rPr>
        <w:rFonts w:ascii="Wingdings" w:hAnsi="Wingdings" w:hint="default"/>
      </w:rPr>
    </w:lvl>
  </w:abstractNum>
  <w:abstractNum w:abstractNumId="1" w15:restartNumberingAfterBreak="0">
    <w:nsid w:val="0B46286A"/>
    <w:multiLevelType w:val="hybridMultilevel"/>
    <w:tmpl w:val="AD88ED44"/>
    <w:lvl w:ilvl="0" w:tplc="E6D2A5F6">
      <w:start w:val="1"/>
      <w:numFmt w:val="bullet"/>
      <w:pStyle w:val="Bullet2"/>
      <w:lvlText w:val=""/>
      <w:lvlJc w:val="left"/>
      <w:pPr>
        <w:ind w:left="1287" w:hanging="360"/>
      </w:pPr>
      <w:rPr>
        <w:rFonts w:ascii="Symbol" w:hAnsi="Symbol" w:hint="default"/>
        <w:color w:val="00BE6E" w:themeColor="text2"/>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E6709CC"/>
    <w:multiLevelType w:val="hybridMultilevel"/>
    <w:tmpl w:val="8460D356"/>
    <w:lvl w:ilvl="0" w:tplc="2312B608">
      <w:start w:val="1"/>
      <w:numFmt w:val="lowerLetter"/>
      <w:pStyle w:val="KEQ2"/>
      <w:lvlText w:val="2%1."/>
      <w:lvlJc w:val="left"/>
      <w:pPr>
        <w:ind w:left="363" w:hanging="363"/>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 w15:restartNumberingAfterBreak="0">
    <w:nsid w:val="1FB63AAC"/>
    <w:multiLevelType w:val="hybridMultilevel"/>
    <w:tmpl w:val="80166968"/>
    <w:lvl w:ilvl="0" w:tplc="06542960">
      <w:start w:val="1"/>
      <w:numFmt w:val="bullet"/>
      <w:pStyle w:val="ListBullet"/>
      <w:lvlText w:val=""/>
      <w:lvlJc w:val="left"/>
      <w:pPr>
        <w:ind w:left="360" w:hanging="360"/>
      </w:pPr>
      <w:rPr>
        <w:rFonts w:ascii="Symbol" w:hAnsi="Symbol" w:hint="default"/>
        <w:b/>
        <w:i w:val="0"/>
        <w:color w:val="48B860"/>
        <w:sz w:val="16"/>
      </w:rPr>
    </w:lvl>
    <w:lvl w:ilvl="1" w:tplc="D6AABD50" w:tentative="1">
      <w:start w:val="1"/>
      <w:numFmt w:val="bullet"/>
      <w:lvlText w:val="o"/>
      <w:lvlJc w:val="left"/>
      <w:pPr>
        <w:ind w:left="1080" w:hanging="360"/>
      </w:pPr>
      <w:rPr>
        <w:rFonts w:ascii="Courier New" w:hAnsi="Courier New" w:hint="default"/>
      </w:rPr>
    </w:lvl>
    <w:lvl w:ilvl="2" w:tplc="526C5242" w:tentative="1">
      <w:start w:val="1"/>
      <w:numFmt w:val="bullet"/>
      <w:lvlText w:val=""/>
      <w:lvlJc w:val="left"/>
      <w:pPr>
        <w:ind w:left="1800" w:hanging="360"/>
      </w:pPr>
      <w:rPr>
        <w:rFonts w:ascii="Wingdings" w:hAnsi="Wingdings" w:hint="default"/>
      </w:rPr>
    </w:lvl>
    <w:lvl w:ilvl="3" w:tplc="058ACB2C" w:tentative="1">
      <w:start w:val="1"/>
      <w:numFmt w:val="bullet"/>
      <w:lvlText w:val=""/>
      <w:lvlJc w:val="left"/>
      <w:pPr>
        <w:ind w:left="2520" w:hanging="360"/>
      </w:pPr>
      <w:rPr>
        <w:rFonts w:ascii="Symbol" w:hAnsi="Symbol" w:hint="default"/>
      </w:rPr>
    </w:lvl>
    <w:lvl w:ilvl="4" w:tplc="FAE279BA" w:tentative="1">
      <w:start w:val="1"/>
      <w:numFmt w:val="bullet"/>
      <w:lvlText w:val="o"/>
      <w:lvlJc w:val="left"/>
      <w:pPr>
        <w:ind w:left="3240" w:hanging="360"/>
      </w:pPr>
      <w:rPr>
        <w:rFonts w:ascii="Courier New" w:hAnsi="Courier New" w:hint="default"/>
      </w:rPr>
    </w:lvl>
    <w:lvl w:ilvl="5" w:tplc="43E40CCE" w:tentative="1">
      <w:start w:val="1"/>
      <w:numFmt w:val="bullet"/>
      <w:lvlText w:val=""/>
      <w:lvlJc w:val="left"/>
      <w:pPr>
        <w:ind w:left="3960" w:hanging="360"/>
      </w:pPr>
      <w:rPr>
        <w:rFonts w:ascii="Wingdings" w:hAnsi="Wingdings" w:hint="default"/>
      </w:rPr>
    </w:lvl>
    <w:lvl w:ilvl="6" w:tplc="AB88FFE2" w:tentative="1">
      <w:start w:val="1"/>
      <w:numFmt w:val="bullet"/>
      <w:lvlText w:val=""/>
      <w:lvlJc w:val="left"/>
      <w:pPr>
        <w:ind w:left="4680" w:hanging="360"/>
      </w:pPr>
      <w:rPr>
        <w:rFonts w:ascii="Symbol" w:hAnsi="Symbol" w:hint="default"/>
      </w:rPr>
    </w:lvl>
    <w:lvl w:ilvl="7" w:tplc="506CD4B2" w:tentative="1">
      <w:start w:val="1"/>
      <w:numFmt w:val="bullet"/>
      <w:lvlText w:val="o"/>
      <w:lvlJc w:val="left"/>
      <w:pPr>
        <w:ind w:left="5400" w:hanging="360"/>
      </w:pPr>
      <w:rPr>
        <w:rFonts w:ascii="Courier New" w:hAnsi="Courier New" w:hint="default"/>
      </w:rPr>
    </w:lvl>
    <w:lvl w:ilvl="8" w:tplc="3350EB6A" w:tentative="1">
      <w:start w:val="1"/>
      <w:numFmt w:val="bullet"/>
      <w:lvlText w:val=""/>
      <w:lvlJc w:val="left"/>
      <w:pPr>
        <w:ind w:left="6120" w:hanging="360"/>
      </w:pPr>
      <w:rPr>
        <w:rFonts w:ascii="Wingdings" w:hAnsi="Wingdings" w:hint="default"/>
      </w:rPr>
    </w:lvl>
  </w:abstractNum>
  <w:abstractNum w:abstractNumId="4" w15:restartNumberingAfterBreak="0">
    <w:nsid w:val="271228A5"/>
    <w:multiLevelType w:val="hybridMultilevel"/>
    <w:tmpl w:val="AEDA7370"/>
    <w:styleLink w:val="DSSBulletList"/>
    <w:lvl w:ilvl="0" w:tplc="F9B408B2">
      <w:start w:val="1"/>
      <w:numFmt w:val="decimal"/>
      <w:lvlText w:val="%1."/>
      <w:lvlJc w:val="left"/>
      <w:pPr>
        <w:ind w:left="360" w:hanging="360"/>
      </w:pPr>
      <w:rPr>
        <w:rFonts w:hint="default"/>
      </w:rPr>
    </w:lvl>
    <w:lvl w:ilvl="1" w:tplc="0C090019" w:tentative="1">
      <w:start w:val="1"/>
      <w:numFmt w:val="lowerLetter"/>
      <w:lvlText w:val="%2."/>
      <w:lvlJc w:val="left"/>
      <w:pPr>
        <w:ind w:left="-7000" w:hanging="360"/>
      </w:pPr>
    </w:lvl>
    <w:lvl w:ilvl="2" w:tplc="0C09001B" w:tentative="1">
      <w:start w:val="1"/>
      <w:numFmt w:val="lowerRoman"/>
      <w:lvlText w:val="%3."/>
      <w:lvlJc w:val="right"/>
      <w:pPr>
        <w:ind w:left="-6280" w:hanging="180"/>
      </w:pPr>
    </w:lvl>
    <w:lvl w:ilvl="3" w:tplc="0C09000F" w:tentative="1">
      <w:start w:val="1"/>
      <w:numFmt w:val="decimal"/>
      <w:lvlText w:val="%4."/>
      <w:lvlJc w:val="left"/>
      <w:pPr>
        <w:ind w:left="-5560" w:hanging="360"/>
      </w:pPr>
    </w:lvl>
    <w:lvl w:ilvl="4" w:tplc="0C090019" w:tentative="1">
      <w:start w:val="1"/>
      <w:numFmt w:val="lowerLetter"/>
      <w:lvlText w:val="%5."/>
      <w:lvlJc w:val="left"/>
      <w:pPr>
        <w:ind w:left="-484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3400" w:hanging="360"/>
      </w:pPr>
    </w:lvl>
    <w:lvl w:ilvl="7" w:tplc="0C090019" w:tentative="1">
      <w:start w:val="1"/>
      <w:numFmt w:val="lowerLetter"/>
      <w:lvlText w:val="%8."/>
      <w:lvlJc w:val="left"/>
      <w:pPr>
        <w:ind w:left="-2680" w:hanging="360"/>
      </w:pPr>
    </w:lvl>
    <w:lvl w:ilvl="8" w:tplc="0C09001B" w:tentative="1">
      <w:start w:val="1"/>
      <w:numFmt w:val="lowerRoman"/>
      <w:lvlText w:val="%9."/>
      <w:lvlJc w:val="right"/>
      <w:pPr>
        <w:ind w:left="-1960" w:hanging="180"/>
      </w:pPr>
    </w:lvl>
  </w:abstractNum>
  <w:abstractNum w:abstractNumId="5" w15:restartNumberingAfterBreak="0">
    <w:nsid w:val="4DF56C15"/>
    <w:multiLevelType w:val="multilevel"/>
    <w:tmpl w:val="393E80F0"/>
    <w:lvl w:ilvl="0">
      <w:start w:val="1"/>
      <w:numFmt w:val="bullet"/>
      <w:lvlText w:val=""/>
      <w:lvlJc w:val="left"/>
      <w:pPr>
        <w:ind w:left="284" w:hanging="284"/>
      </w:pPr>
      <w:rPr>
        <w:rFonts w:ascii="Symbol" w:hAnsi="Symbol" w:hint="default"/>
        <w:color w:val="00BE6E" w:themeColor="text2"/>
        <w:sz w:val="16"/>
      </w:rPr>
    </w:lvl>
    <w:lvl w:ilvl="1">
      <w:start w:val="1"/>
      <w:numFmt w:val="bullet"/>
      <w:lvlText w:val="–"/>
      <w:lvlJc w:val="left"/>
      <w:pPr>
        <w:ind w:left="850" w:hanging="283"/>
      </w:pPr>
      <w:rPr>
        <w:rFonts w:ascii="Barlow" w:hAnsi="Barlow" w:hint="default"/>
        <w:color w:val="BDE9C8" w:themeColor="accent1"/>
      </w:rPr>
    </w:lvl>
    <w:lvl w:ilvl="2">
      <w:start w:val="1"/>
      <w:numFmt w:val="bullet"/>
      <w:pStyle w:val="Bullet3"/>
      <w:lvlText w:val=""/>
      <w:lvlJc w:val="left"/>
      <w:pPr>
        <w:ind w:left="851" w:hanging="284"/>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624987"/>
    <w:multiLevelType w:val="hybridMultilevel"/>
    <w:tmpl w:val="E5B4D15C"/>
    <w:lvl w:ilvl="0" w:tplc="4838035A">
      <w:start w:val="1"/>
      <w:numFmt w:val="bullet"/>
      <w:lvlText w:val="•"/>
      <w:lvlJc w:val="left"/>
      <w:pPr>
        <w:ind w:left="360" w:hanging="240"/>
      </w:pPr>
    </w:lvl>
    <w:lvl w:ilvl="1" w:tplc="E8268EB8">
      <w:numFmt w:val="decimal"/>
      <w:lvlText w:val=""/>
      <w:lvlJc w:val="left"/>
    </w:lvl>
    <w:lvl w:ilvl="2" w:tplc="AAC0063C">
      <w:numFmt w:val="decimal"/>
      <w:lvlText w:val=""/>
      <w:lvlJc w:val="left"/>
    </w:lvl>
    <w:lvl w:ilvl="3" w:tplc="A716A6AA">
      <w:numFmt w:val="decimal"/>
      <w:lvlText w:val=""/>
      <w:lvlJc w:val="left"/>
    </w:lvl>
    <w:lvl w:ilvl="4" w:tplc="6E2271A2">
      <w:numFmt w:val="decimal"/>
      <w:lvlText w:val=""/>
      <w:lvlJc w:val="left"/>
    </w:lvl>
    <w:lvl w:ilvl="5" w:tplc="BF18A3DA">
      <w:numFmt w:val="decimal"/>
      <w:lvlText w:val=""/>
      <w:lvlJc w:val="left"/>
    </w:lvl>
    <w:lvl w:ilvl="6" w:tplc="615EB69E">
      <w:numFmt w:val="decimal"/>
      <w:lvlText w:val=""/>
      <w:lvlJc w:val="left"/>
    </w:lvl>
    <w:lvl w:ilvl="7" w:tplc="6018DF26">
      <w:numFmt w:val="decimal"/>
      <w:lvlText w:val=""/>
      <w:lvlJc w:val="left"/>
    </w:lvl>
    <w:lvl w:ilvl="8" w:tplc="74F0B13C">
      <w:numFmt w:val="decimal"/>
      <w:lvlText w:val=""/>
      <w:lvlJc w:val="left"/>
    </w:lvl>
  </w:abstractNum>
  <w:abstractNum w:abstractNumId="7" w15:restartNumberingAfterBreak="0">
    <w:nsid w:val="533D13FC"/>
    <w:multiLevelType w:val="hybridMultilevel"/>
    <w:tmpl w:val="CBBA3806"/>
    <w:lvl w:ilvl="0" w:tplc="CE54E42E">
      <w:start w:val="1"/>
      <w:numFmt w:val="decimal"/>
      <w:pStyle w:val="Numbers"/>
      <w:lvlText w:val="%1."/>
      <w:lvlJc w:val="left"/>
      <w:pPr>
        <w:ind w:left="360" w:hanging="360"/>
      </w:pPr>
      <w:rPr>
        <w:rFonts w:hint="default"/>
        <w:color w:val="21552C"/>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99B5EBA"/>
    <w:multiLevelType w:val="hybridMultilevel"/>
    <w:tmpl w:val="A47A8A44"/>
    <w:lvl w:ilvl="0" w:tplc="EE665002">
      <w:start w:val="1"/>
      <w:numFmt w:val="bullet"/>
      <w:lvlText w:val="•"/>
      <w:lvlJc w:val="left"/>
      <w:pPr>
        <w:ind w:left="360" w:hanging="240"/>
      </w:pPr>
    </w:lvl>
    <w:lvl w:ilvl="1" w:tplc="B7560C8E">
      <w:numFmt w:val="decimal"/>
      <w:lvlText w:val=""/>
      <w:lvlJc w:val="left"/>
    </w:lvl>
    <w:lvl w:ilvl="2" w:tplc="198EB23A">
      <w:numFmt w:val="decimal"/>
      <w:lvlText w:val=""/>
      <w:lvlJc w:val="left"/>
    </w:lvl>
    <w:lvl w:ilvl="3" w:tplc="E8BE779A">
      <w:numFmt w:val="decimal"/>
      <w:lvlText w:val=""/>
      <w:lvlJc w:val="left"/>
    </w:lvl>
    <w:lvl w:ilvl="4" w:tplc="D4EABA40">
      <w:numFmt w:val="decimal"/>
      <w:lvlText w:val=""/>
      <w:lvlJc w:val="left"/>
    </w:lvl>
    <w:lvl w:ilvl="5" w:tplc="99D895F0">
      <w:numFmt w:val="decimal"/>
      <w:lvlText w:val=""/>
      <w:lvlJc w:val="left"/>
    </w:lvl>
    <w:lvl w:ilvl="6" w:tplc="933000EE">
      <w:numFmt w:val="decimal"/>
      <w:lvlText w:val=""/>
      <w:lvlJc w:val="left"/>
    </w:lvl>
    <w:lvl w:ilvl="7" w:tplc="27A43F06">
      <w:numFmt w:val="decimal"/>
      <w:lvlText w:val=""/>
      <w:lvlJc w:val="left"/>
    </w:lvl>
    <w:lvl w:ilvl="8" w:tplc="2C2AA002">
      <w:numFmt w:val="decimal"/>
      <w:lvlText w:val=""/>
      <w:lvlJc w:val="left"/>
    </w:lvl>
  </w:abstractNum>
  <w:abstractNum w:abstractNumId="9" w15:restartNumberingAfterBreak="0">
    <w:nsid w:val="67F8682E"/>
    <w:multiLevelType w:val="hybridMultilevel"/>
    <w:tmpl w:val="F4F854F8"/>
    <w:lvl w:ilvl="0" w:tplc="2782F1F4">
      <w:start w:val="1"/>
      <w:numFmt w:val="lowerLetter"/>
      <w:pStyle w:val="KEQ"/>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9A76DCC"/>
    <w:multiLevelType w:val="hybridMultilevel"/>
    <w:tmpl w:val="FBA69BCE"/>
    <w:lvl w:ilvl="0" w:tplc="C2C6B7E4">
      <w:start w:val="1"/>
      <w:numFmt w:val="bullet"/>
      <w:lvlText w:val="•"/>
      <w:lvlJc w:val="left"/>
      <w:pPr>
        <w:ind w:left="360" w:hanging="240"/>
      </w:pPr>
    </w:lvl>
    <w:lvl w:ilvl="1" w:tplc="5D841920">
      <w:numFmt w:val="decimal"/>
      <w:lvlText w:val=""/>
      <w:lvlJc w:val="left"/>
    </w:lvl>
    <w:lvl w:ilvl="2" w:tplc="37E48EA2">
      <w:numFmt w:val="decimal"/>
      <w:lvlText w:val=""/>
      <w:lvlJc w:val="left"/>
    </w:lvl>
    <w:lvl w:ilvl="3" w:tplc="6908E1C4">
      <w:numFmt w:val="decimal"/>
      <w:lvlText w:val=""/>
      <w:lvlJc w:val="left"/>
    </w:lvl>
    <w:lvl w:ilvl="4" w:tplc="9C1ECED2">
      <w:numFmt w:val="decimal"/>
      <w:lvlText w:val=""/>
      <w:lvlJc w:val="left"/>
    </w:lvl>
    <w:lvl w:ilvl="5" w:tplc="CC6A8EDC">
      <w:numFmt w:val="decimal"/>
      <w:lvlText w:val=""/>
      <w:lvlJc w:val="left"/>
    </w:lvl>
    <w:lvl w:ilvl="6" w:tplc="FE12BD42">
      <w:numFmt w:val="decimal"/>
      <w:lvlText w:val=""/>
      <w:lvlJc w:val="left"/>
    </w:lvl>
    <w:lvl w:ilvl="7" w:tplc="1A1ABC6A">
      <w:numFmt w:val="decimal"/>
      <w:lvlText w:val=""/>
      <w:lvlJc w:val="left"/>
    </w:lvl>
    <w:lvl w:ilvl="8" w:tplc="C068F956">
      <w:numFmt w:val="decimal"/>
      <w:lvlText w:val=""/>
      <w:lvlJc w:val="left"/>
    </w:lvl>
  </w:abstractNum>
  <w:abstractNum w:abstractNumId="11" w15:restartNumberingAfterBreak="0">
    <w:nsid w:val="6CC34F1A"/>
    <w:multiLevelType w:val="multilevel"/>
    <w:tmpl w:val="7CC2ACBA"/>
    <w:lvl w:ilvl="0">
      <w:start w:val="1"/>
      <w:numFmt w:val="bullet"/>
      <w:pStyle w:val="Tabledot"/>
      <w:lvlText w:val=""/>
      <w:lvlJc w:val="left"/>
      <w:pPr>
        <w:tabs>
          <w:tab w:val="num" w:pos="720"/>
        </w:tabs>
        <w:ind w:left="720" w:hanging="720"/>
      </w:pPr>
      <w:rPr>
        <w:rFonts w:ascii="Symbol" w:hAnsi="Symbol" w:hint="default"/>
        <w:b/>
        <w:i w:val="0"/>
        <w:color w:val="48B860"/>
        <w:sz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7A00BE0"/>
    <w:multiLevelType w:val="multilevel"/>
    <w:tmpl w:val="7D3A7BA6"/>
    <w:lvl w:ilvl="0">
      <w:start w:val="1"/>
      <w:numFmt w:val="decimal"/>
      <w:pStyle w:val="NumList"/>
      <w:lvlText w:val="%1."/>
      <w:lvlJc w:val="left"/>
      <w:pPr>
        <w:ind w:left="284" w:hanging="284"/>
      </w:pPr>
      <w:rPr>
        <w:rFonts w:ascii="Barlow Semi Condensed SemiBold" w:hAnsi="Barlow Semi Condensed SemiBold" w:hint="default"/>
        <w:color w:val="005F36" w:themeColor="text2" w:themeShade="8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9E51FB5"/>
    <w:multiLevelType w:val="hybridMultilevel"/>
    <w:tmpl w:val="56627E3A"/>
    <w:lvl w:ilvl="0" w:tplc="E5B27BFC">
      <w:start w:val="1"/>
      <w:numFmt w:val="bullet"/>
      <w:lvlText w:val="•"/>
      <w:lvlJc w:val="left"/>
      <w:pPr>
        <w:ind w:left="360" w:hanging="240"/>
      </w:pPr>
    </w:lvl>
    <w:lvl w:ilvl="1" w:tplc="F0EE63BE">
      <w:numFmt w:val="decimal"/>
      <w:lvlText w:val=""/>
      <w:lvlJc w:val="left"/>
    </w:lvl>
    <w:lvl w:ilvl="2" w:tplc="E60600E2">
      <w:numFmt w:val="decimal"/>
      <w:lvlText w:val=""/>
      <w:lvlJc w:val="left"/>
    </w:lvl>
    <w:lvl w:ilvl="3" w:tplc="274E435A">
      <w:numFmt w:val="decimal"/>
      <w:lvlText w:val=""/>
      <w:lvlJc w:val="left"/>
    </w:lvl>
    <w:lvl w:ilvl="4" w:tplc="2AE4FB78">
      <w:numFmt w:val="decimal"/>
      <w:lvlText w:val=""/>
      <w:lvlJc w:val="left"/>
    </w:lvl>
    <w:lvl w:ilvl="5" w:tplc="C9984DEE">
      <w:numFmt w:val="decimal"/>
      <w:lvlText w:val=""/>
      <w:lvlJc w:val="left"/>
    </w:lvl>
    <w:lvl w:ilvl="6" w:tplc="3C32DD30">
      <w:numFmt w:val="decimal"/>
      <w:lvlText w:val=""/>
      <w:lvlJc w:val="left"/>
    </w:lvl>
    <w:lvl w:ilvl="7" w:tplc="2048E24A">
      <w:numFmt w:val="decimal"/>
      <w:lvlText w:val=""/>
      <w:lvlJc w:val="left"/>
    </w:lvl>
    <w:lvl w:ilvl="8" w:tplc="E110B920">
      <w:numFmt w:val="decimal"/>
      <w:lvlText w:val=""/>
      <w:lvlJc w:val="left"/>
    </w:lvl>
  </w:abstractNum>
  <w:abstractNum w:abstractNumId="14" w15:restartNumberingAfterBreak="0">
    <w:nsid w:val="7C661823"/>
    <w:multiLevelType w:val="hybridMultilevel"/>
    <w:tmpl w:val="3FBC5A9A"/>
    <w:lvl w:ilvl="0" w:tplc="CD166D20">
      <w:start w:val="1"/>
      <w:numFmt w:val="bullet"/>
      <w:pStyle w:val="CCS-Bullet"/>
      <w:lvlText w:val=""/>
      <w:lvlJc w:val="left"/>
      <w:pPr>
        <w:ind w:left="720" w:hanging="360"/>
      </w:pPr>
      <w:rPr>
        <w:rFonts w:ascii="Symbol" w:hAnsi="Symbol" w:hint="default"/>
        <w:color w:val="48B860"/>
      </w:rPr>
    </w:lvl>
    <w:lvl w:ilvl="1" w:tplc="C518B896" w:tentative="1">
      <w:start w:val="1"/>
      <w:numFmt w:val="bullet"/>
      <w:lvlText w:val="o"/>
      <w:lvlJc w:val="left"/>
      <w:pPr>
        <w:ind w:left="1440" w:hanging="360"/>
      </w:pPr>
      <w:rPr>
        <w:rFonts w:ascii="Courier New" w:hAnsi="Courier New" w:hint="default"/>
      </w:rPr>
    </w:lvl>
    <w:lvl w:ilvl="2" w:tplc="C5749192" w:tentative="1">
      <w:start w:val="1"/>
      <w:numFmt w:val="bullet"/>
      <w:lvlText w:val=""/>
      <w:lvlJc w:val="left"/>
      <w:pPr>
        <w:ind w:left="2160" w:hanging="360"/>
      </w:pPr>
      <w:rPr>
        <w:rFonts w:ascii="Wingdings" w:hAnsi="Wingdings" w:hint="default"/>
      </w:rPr>
    </w:lvl>
    <w:lvl w:ilvl="3" w:tplc="FE9EC176" w:tentative="1">
      <w:start w:val="1"/>
      <w:numFmt w:val="bullet"/>
      <w:lvlText w:val=""/>
      <w:lvlJc w:val="left"/>
      <w:pPr>
        <w:ind w:left="2880" w:hanging="360"/>
      </w:pPr>
      <w:rPr>
        <w:rFonts w:ascii="Symbol" w:hAnsi="Symbol" w:hint="default"/>
      </w:rPr>
    </w:lvl>
    <w:lvl w:ilvl="4" w:tplc="44AABC46" w:tentative="1">
      <w:start w:val="1"/>
      <w:numFmt w:val="bullet"/>
      <w:lvlText w:val="o"/>
      <w:lvlJc w:val="left"/>
      <w:pPr>
        <w:ind w:left="3600" w:hanging="360"/>
      </w:pPr>
      <w:rPr>
        <w:rFonts w:ascii="Courier New" w:hAnsi="Courier New" w:hint="default"/>
      </w:rPr>
    </w:lvl>
    <w:lvl w:ilvl="5" w:tplc="6368E1BA" w:tentative="1">
      <w:start w:val="1"/>
      <w:numFmt w:val="bullet"/>
      <w:lvlText w:val=""/>
      <w:lvlJc w:val="left"/>
      <w:pPr>
        <w:ind w:left="4320" w:hanging="360"/>
      </w:pPr>
      <w:rPr>
        <w:rFonts w:ascii="Wingdings" w:hAnsi="Wingdings" w:hint="default"/>
      </w:rPr>
    </w:lvl>
    <w:lvl w:ilvl="6" w:tplc="22D47808" w:tentative="1">
      <w:start w:val="1"/>
      <w:numFmt w:val="bullet"/>
      <w:lvlText w:val=""/>
      <w:lvlJc w:val="left"/>
      <w:pPr>
        <w:ind w:left="5040" w:hanging="360"/>
      </w:pPr>
      <w:rPr>
        <w:rFonts w:ascii="Symbol" w:hAnsi="Symbol" w:hint="default"/>
      </w:rPr>
    </w:lvl>
    <w:lvl w:ilvl="7" w:tplc="569ABED6" w:tentative="1">
      <w:start w:val="1"/>
      <w:numFmt w:val="bullet"/>
      <w:lvlText w:val="o"/>
      <w:lvlJc w:val="left"/>
      <w:pPr>
        <w:ind w:left="5760" w:hanging="360"/>
      </w:pPr>
      <w:rPr>
        <w:rFonts w:ascii="Courier New" w:hAnsi="Courier New" w:hint="default"/>
      </w:rPr>
    </w:lvl>
    <w:lvl w:ilvl="8" w:tplc="C0F61610" w:tentative="1">
      <w:start w:val="1"/>
      <w:numFmt w:val="bullet"/>
      <w:lvlText w:val=""/>
      <w:lvlJc w:val="left"/>
      <w:pPr>
        <w:ind w:left="6480" w:hanging="360"/>
      </w:pPr>
      <w:rPr>
        <w:rFonts w:ascii="Wingdings" w:hAnsi="Wingdings" w:hint="default"/>
      </w:rPr>
    </w:lvl>
  </w:abstractNum>
  <w:num w:numId="1" w16cid:durableId="586964033">
    <w:abstractNumId w:val="5"/>
  </w:num>
  <w:num w:numId="2" w16cid:durableId="2032418398">
    <w:abstractNumId w:val="3"/>
  </w:num>
  <w:num w:numId="3" w16cid:durableId="1548643423">
    <w:abstractNumId w:val="0"/>
  </w:num>
  <w:num w:numId="4" w16cid:durableId="728112494">
    <w:abstractNumId w:val="11"/>
  </w:num>
  <w:num w:numId="5" w16cid:durableId="1607688148">
    <w:abstractNumId w:val="14"/>
  </w:num>
  <w:num w:numId="6" w16cid:durableId="1281956352">
    <w:abstractNumId w:val="7"/>
  </w:num>
  <w:num w:numId="7" w16cid:durableId="443156504">
    <w:abstractNumId w:val="4"/>
  </w:num>
  <w:num w:numId="8" w16cid:durableId="291908313">
    <w:abstractNumId w:val="1"/>
  </w:num>
  <w:num w:numId="9" w16cid:durableId="900793471">
    <w:abstractNumId w:val="12"/>
  </w:num>
  <w:num w:numId="10" w16cid:durableId="6391873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5311315">
    <w:abstractNumId w:val="9"/>
  </w:num>
  <w:num w:numId="12" w16cid:durableId="31656473">
    <w:abstractNumId w:val="2"/>
  </w:num>
  <w:num w:numId="13" w16cid:durableId="662121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1954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2630771">
    <w:abstractNumId w:val="6"/>
    <w:lvlOverride w:ilvl="0">
      <w:startOverride w:val="1"/>
    </w:lvlOverride>
  </w:num>
  <w:num w:numId="16" w16cid:durableId="1452363087">
    <w:abstractNumId w:val="10"/>
    <w:lvlOverride w:ilvl="0">
      <w:startOverride w:val="1"/>
    </w:lvlOverride>
  </w:num>
  <w:num w:numId="17" w16cid:durableId="476336377">
    <w:abstractNumId w:val="8"/>
    <w:lvlOverride w:ilvl="0">
      <w:startOverride w:val="1"/>
    </w:lvlOverride>
  </w:num>
  <w:num w:numId="18" w16cid:durableId="224223307">
    <w:abstractNumId w:val="13"/>
    <w:lvlOverride w:ilvl="0">
      <w:startOverride w:val="1"/>
    </w:lvlOverride>
  </w:num>
  <w:num w:numId="19" w16cid:durableId="358824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16027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64660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00949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00480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54953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4449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04057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56680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removePersonalInformation/>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DC5"/>
    <w:rsid w:val="0000000A"/>
    <w:rsid w:val="000000F8"/>
    <w:rsid w:val="00000184"/>
    <w:rsid w:val="000001FD"/>
    <w:rsid w:val="00000228"/>
    <w:rsid w:val="000002C1"/>
    <w:rsid w:val="00000376"/>
    <w:rsid w:val="0000041D"/>
    <w:rsid w:val="000004EB"/>
    <w:rsid w:val="00000547"/>
    <w:rsid w:val="0000057F"/>
    <w:rsid w:val="000005BB"/>
    <w:rsid w:val="000006CE"/>
    <w:rsid w:val="000007C8"/>
    <w:rsid w:val="0000080E"/>
    <w:rsid w:val="000008E1"/>
    <w:rsid w:val="000008F5"/>
    <w:rsid w:val="0000098E"/>
    <w:rsid w:val="00000A2B"/>
    <w:rsid w:val="00000CCF"/>
    <w:rsid w:val="00000ECF"/>
    <w:rsid w:val="0000100F"/>
    <w:rsid w:val="00001089"/>
    <w:rsid w:val="000011FD"/>
    <w:rsid w:val="00001231"/>
    <w:rsid w:val="00001262"/>
    <w:rsid w:val="0000128E"/>
    <w:rsid w:val="00001417"/>
    <w:rsid w:val="0000144F"/>
    <w:rsid w:val="00001498"/>
    <w:rsid w:val="00001513"/>
    <w:rsid w:val="00001631"/>
    <w:rsid w:val="00001668"/>
    <w:rsid w:val="0000168F"/>
    <w:rsid w:val="000016A7"/>
    <w:rsid w:val="0000176B"/>
    <w:rsid w:val="0000177F"/>
    <w:rsid w:val="00001892"/>
    <w:rsid w:val="000019AF"/>
    <w:rsid w:val="000019B5"/>
    <w:rsid w:val="00001AAC"/>
    <w:rsid w:val="00001B47"/>
    <w:rsid w:val="00001B5B"/>
    <w:rsid w:val="00001C33"/>
    <w:rsid w:val="00001CBD"/>
    <w:rsid w:val="00001D94"/>
    <w:rsid w:val="00001D9F"/>
    <w:rsid w:val="00001E3D"/>
    <w:rsid w:val="00002051"/>
    <w:rsid w:val="000020F9"/>
    <w:rsid w:val="00002154"/>
    <w:rsid w:val="00002264"/>
    <w:rsid w:val="000022AE"/>
    <w:rsid w:val="00002406"/>
    <w:rsid w:val="0000242B"/>
    <w:rsid w:val="00002665"/>
    <w:rsid w:val="0000268B"/>
    <w:rsid w:val="000026B3"/>
    <w:rsid w:val="00002702"/>
    <w:rsid w:val="00002843"/>
    <w:rsid w:val="00002912"/>
    <w:rsid w:val="0000292A"/>
    <w:rsid w:val="00002976"/>
    <w:rsid w:val="0000298F"/>
    <w:rsid w:val="00002A2E"/>
    <w:rsid w:val="00002BCA"/>
    <w:rsid w:val="00002C16"/>
    <w:rsid w:val="00002C48"/>
    <w:rsid w:val="00002D05"/>
    <w:rsid w:val="00002E0C"/>
    <w:rsid w:val="00002F93"/>
    <w:rsid w:val="00002FC0"/>
    <w:rsid w:val="000030BC"/>
    <w:rsid w:val="00003112"/>
    <w:rsid w:val="00003129"/>
    <w:rsid w:val="00003197"/>
    <w:rsid w:val="000031C7"/>
    <w:rsid w:val="000033E6"/>
    <w:rsid w:val="00003415"/>
    <w:rsid w:val="000034D8"/>
    <w:rsid w:val="000034E8"/>
    <w:rsid w:val="00003591"/>
    <w:rsid w:val="000035E8"/>
    <w:rsid w:val="00003636"/>
    <w:rsid w:val="0000370F"/>
    <w:rsid w:val="0000374F"/>
    <w:rsid w:val="00003791"/>
    <w:rsid w:val="000037F8"/>
    <w:rsid w:val="00003919"/>
    <w:rsid w:val="000039AC"/>
    <w:rsid w:val="00003A53"/>
    <w:rsid w:val="00003ACB"/>
    <w:rsid w:val="00003B1B"/>
    <w:rsid w:val="00003B23"/>
    <w:rsid w:val="00003BEB"/>
    <w:rsid w:val="00003C09"/>
    <w:rsid w:val="00003D47"/>
    <w:rsid w:val="00003DFC"/>
    <w:rsid w:val="00003E1A"/>
    <w:rsid w:val="00003EE5"/>
    <w:rsid w:val="00004087"/>
    <w:rsid w:val="000040AE"/>
    <w:rsid w:val="0000416D"/>
    <w:rsid w:val="000041D6"/>
    <w:rsid w:val="000042B9"/>
    <w:rsid w:val="000042EC"/>
    <w:rsid w:val="00004475"/>
    <w:rsid w:val="000044BC"/>
    <w:rsid w:val="000044DD"/>
    <w:rsid w:val="000045F0"/>
    <w:rsid w:val="00004754"/>
    <w:rsid w:val="0000477F"/>
    <w:rsid w:val="000047F6"/>
    <w:rsid w:val="00004818"/>
    <w:rsid w:val="00004824"/>
    <w:rsid w:val="0000485F"/>
    <w:rsid w:val="000048E1"/>
    <w:rsid w:val="000049B7"/>
    <w:rsid w:val="000049BB"/>
    <w:rsid w:val="00004A37"/>
    <w:rsid w:val="00004B06"/>
    <w:rsid w:val="00004B21"/>
    <w:rsid w:val="00004C1E"/>
    <w:rsid w:val="00004C87"/>
    <w:rsid w:val="00004D02"/>
    <w:rsid w:val="00004D42"/>
    <w:rsid w:val="00004DDE"/>
    <w:rsid w:val="00004E0F"/>
    <w:rsid w:val="00005035"/>
    <w:rsid w:val="0000507D"/>
    <w:rsid w:val="000050B1"/>
    <w:rsid w:val="00005180"/>
    <w:rsid w:val="000051DD"/>
    <w:rsid w:val="00005308"/>
    <w:rsid w:val="0000530A"/>
    <w:rsid w:val="000053C3"/>
    <w:rsid w:val="000054BA"/>
    <w:rsid w:val="000055A0"/>
    <w:rsid w:val="000055BF"/>
    <w:rsid w:val="00005665"/>
    <w:rsid w:val="000057F7"/>
    <w:rsid w:val="00005AE2"/>
    <w:rsid w:val="00005BD5"/>
    <w:rsid w:val="00005BF1"/>
    <w:rsid w:val="00005BFE"/>
    <w:rsid w:val="00005C0B"/>
    <w:rsid w:val="00005C78"/>
    <w:rsid w:val="00005CA7"/>
    <w:rsid w:val="00005D11"/>
    <w:rsid w:val="00005D85"/>
    <w:rsid w:val="00005E1C"/>
    <w:rsid w:val="00005E1F"/>
    <w:rsid w:val="00005E2E"/>
    <w:rsid w:val="00005EBD"/>
    <w:rsid w:val="00005F3A"/>
    <w:rsid w:val="0000619C"/>
    <w:rsid w:val="00006296"/>
    <w:rsid w:val="0000629F"/>
    <w:rsid w:val="000063D6"/>
    <w:rsid w:val="000063FE"/>
    <w:rsid w:val="00006510"/>
    <w:rsid w:val="00006697"/>
    <w:rsid w:val="000066DF"/>
    <w:rsid w:val="0000677E"/>
    <w:rsid w:val="000067BF"/>
    <w:rsid w:val="000067EF"/>
    <w:rsid w:val="0000685D"/>
    <w:rsid w:val="0000692B"/>
    <w:rsid w:val="000069A4"/>
    <w:rsid w:val="00006ACD"/>
    <w:rsid w:val="00006B21"/>
    <w:rsid w:val="00006D6E"/>
    <w:rsid w:val="00006D9D"/>
    <w:rsid w:val="00006E78"/>
    <w:rsid w:val="0000701F"/>
    <w:rsid w:val="00007031"/>
    <w:rsid w:val="00007051"/>
    <w:rsid w:val="000070E8"/>
    <w:rsid w:val="000071F1"/>
    <w:rsid w:val="00007225"/>
    <w:rsid w:val="00007268"/>
    <w:rsid w:val="000072DA"/>
    <w:rsid w:val="000073E2"/>
    <w:rsid w:val="0000745A"/>
    <w:rsid w:val="00007478"/>
    <w:rsid w:val="000074AD"/>
    <w:rsid w:val="000074AF"/>
    <w:rsid w:val="000074C1"/>
    <w:rsid w:val="000074E1"/>
    <w:rsid w:val="0000752D"/>
    <w:rsid w:val="000075E4"/>
    <w:rsid w:val="00007647"/>
    <w:rsid w:val="0000778C"/>
    <w:rsid w:val="0000779B"/>
    <w:rsid w:val="000077CB"/>
    <w:rsid w:val="000079E1"/>
    <w:rsid w:val="000079F1"/>
    <w:rsid w:val="00007A25"/>
    <w:rsid w:val="00007B0C"/>
    <w:rsid w:val="00007B93"/>
    <w:rsid w:val="00007BA1"/>
    <w:rsid w:val="00007C2C"/>
    <w:rsid w:val="00007E35"/>
    <w:rsid w:val="00007E8F"/>
    <w:rsid w:val="00007EBD"/>
    <w:rsid w:val="00007F12"/>
    <w:rsid w:val="00007F68"/>
    <w:rsid w:val="00007FCA"/>
    <w:rsid w:val="00010052"/>
    <w:rsid w:val="000100EB"/>
    <w:rsid w:val="00010104"/>
    <w:rsid w:val="00010109"/>
    <w:rsid w:val="0001015E"/>
    <w:rsid w:val="0001019B"/>
    <w:rsid w:val="000101CF"/>
    <w:rsid w:val="00010345"/>
    <w:rsid w:val="00010383"/>
    <w:rsid w:val="00010414"/>
    <w:rsid w:val="000105A8"/>
    <w:rsid w:val="00010614"/>
    <w:rsid w:val="000106B2"/>
    <w:rsid w:val="000106C9"/>
    <w:rsid w:val="00010735"/>
    <w:rsid w:val="0001073C"/>
    <w:rsid w:val="0001079F"/>
    <w:rsid w:val="00010829"/>
    <w:rsid w:val="00010868"/>
    <w:rsid w:val="000108B5"/>
    <w:rsid w:val="00010914"/>
    <w:rsid w:val="00010982"/>
    <w:rsid w:val="000109B4"/>
    <w:rsid w:val="00010ABD"/>
    <w:rsid w:val="00010BE5"/>
    <w:rsid w:val="00010D81"/>
    <w:rsid w:val="00010E06"/>
    <w:rsid w:val="00010FB9"/>
    <w:rsid w:val="000110BB"/>
    <w:rsid w:val="00011133"/>
    <w:rsid w:val="000111E7"/>
    <w:rsid w:val="00011228"/>
    <w:rsid w:val="0001124B"/>
    <w:rsid w:val="0001128E"/>
    <w:rsid w:val="00011449"/>
    <w:rsid w:val="000115E3"/>
    <w:rsid w:val="000117B7"/>
    <w:rsid w:val="000117D6"/>
    <w:rsid w:val="00011820"/>
    <w:rsid w:val="0001188B"/>
    <w:rsid w:val="000118A5"/>
    <w:rsid w:val="00011987"/>
    <w:rsid w:val="000119A9"/>
    <w:rsid w:val="00011B1D"/>
    <w:rsid w:val="00011D02"/>
    <w:rsid w:val="00011DC4"/>
    <w:rsid w:val="00011E57"/>
    <w:rsid w:val="00011E70"/>
    <w:rsid w:val="00011EDA"/>
    <w:rsid w:val="000120F1"/>
    <w:rsid w:val="0001210D"/>
    <w:rsid w:val="0001213C"/>
    <w:rsid w:val="00012176"/>
    <w:rsid w:val="00012213"/>
    <w:rsid w:val="000123A5"/>
    <w:rsid w:val="000123CF"/>
    <w:rsid w:val="000123D4"/>
    <w:rsid w:val="00012604"/>
    <w:rsid w:val="0001272D"/>
    <w:rsid w:val="00012731"/>
    <w:rsid w:val="0001292F"/>
    <w:rsid w:val="00012956"/>
    <w:rsid w:val="0001296D"/>
    <w:rsid w:val="00012A5B"/>
    <w:rsid w:val="00012A96"/>
    <w:rsid w:val="00012B09"/>
    <w:rsid w:val="00012C3F"/>
    <w:rsid w:val="00012D57"/>
    <w:rsid w:val="00012D63"/>
    <w:rsid w:val="00012E6F"/>
    <w:rsid w:val="00012FB5"/>
    <w:rsid w:val="00013085"/>
    <w:rsid w:val="000132D9"/>
    <w:rsid w:val="000133A0"/>
    <w:rsid w:val="00013472"/>
    <w:rsid w:val="000134D2"/>
    <w:rsid w:val="00013532"/>
    <w:rsid w:val="000135DF"/>
    <w:rsid w:val="00013605"/>
    <w:rsid w:val="0001363C"/>
    <w:rsid w:val="000137FA"/>
    <w:rsid w:val="00013868"/>
    <w:rsid w:val="00013889"/>
    <w:rsid w:val="00013980"/>
    <w:rsid w:val="000139A2"/>
    <w:rsid w:val="000139A7"/>
    <w:rsid w:val="000139C2"/>
    <w:rsid w:val="00013A2B"/>
    <w:rsid w:val="00013A70"/>
    <w:rsid w:val="00013AD4"/>
    <w:rsid w:val="00013C27"/>
    <w:rsid w:val="00013D9F"/>
    <w:rsid w:val="00013DC6"/>
    <w:rsid w:val="00013E05"/>
    <w:rsid w:val="00013EEA"/>
    <w:rsid w:val="00013EF1"/>
    <w:rsid w:val="00013EF3"/>
    <w:rsid w:val="00013F2F"/>
    <w:rsid w:val="00013F33"/>
    <w:rsid w:val="00013FC0"/>
    <w:rsid w:val="000140DE"/>
    <w:rsid w:val="000140FD"/>
    <w:rsid w:val="00014111"/>
    <w:rsid w:val="00014262"/>
    <w:rsid w:val="00014263"/>
    <w:rsid w:val="0001426D"/>
    <w:rsid w:val="00014483"/>
    <w:rsid w:val="000144B7"/>
    <w:rsid w:val="0001452B"/>
    <w:rsid w:val="00014556"/>
    <w:rsid w:val="000146B2"/>
    <w:rsid w:val="000146F4"/>
    <w:rsid w:val="000146F7"/>
    <w:rsid w:val="00014722"/>
    <w:rsid w:val="00014767"/>
    <w:rsid w:val="00014769"/>
    <w:rsid w:val="0001485B"/>
    <w:rsid w:val="00014A63"/>
    <w:rsid w:val="00014A9A"/>
    <w:rsid w:val="00014AF5"/>
    <w:rsid w:val="00014B73"/>
    <w:rsid w:val="00014C99"/>
    <w:rsid w:val="00014D24"/>
    <w:rsid w:val="00014D45"/>
    <w:rsid w:val="00014DCC"/>
    <w:rsid w:val="00014E69"/>
    <w:rsid w:val="00014F21"/>
    <w:rsid w:val="0001502A"/>
    <w:rsid w:val="0001514B"/>
    <w:rsid w:val="0001518F"/>
    <w:rsid w:val="00015273"/>
    <w:rsid w:val="000152AE"/>
    <w:rsid w:val="000153E2"/>
    <w:rsid w:val="0001547A"/>
    <w:rsid w:val="00015503"/>
    <w:rsid w:val="0001552A"/>
    <w:rsid w:val="00015669"/>
    <w:rsid w:val="000157E7"/>
    <w:rsid w:val="0001591C"/>
    <w:rsid w:val="0001599F"/>
    <w:rsid w:val="000159E4"/>
    <w:rsid w:val="00015AE2"/>
    <w:rsid w:val="00015AF5"/>
    <w:rsid w:val="00015B59"/>
    <w:rsid w:val="00015CF2"/>
    <w:rsid w:val="00015D72"/>
    <w:rsid w:val="00015DB9"/>
    <w:rsid w:val="00015E8E"/>
    <w:rsid w:val="00016019"/>
    <w:rsid w:val="000161BB"/>
    <w:rsid w:val="00016270"/>
    <w:rsid w:val="000162A8"/>
    <w:rsid w:val="000162DE"/>
    <w:rsid w:val="0001636A"/>
    <w:rsid w:val="000163A9"/>
    <w:rsid w:val="0001668C"/>
    <w:rsid w:val="00016754"/>
    <w:rsid w:val="000168B5"/>
    <w:rsid w:val="00016938"/>
    <w:rsid w:val="00016950"/>
    <w:rsid w:val="00016979"/>
    <w:rsid w:val="000169C9"/>
    <w:rsid w:val="00016AAE"/>
    <w:rsid w:val="00016B6B"/>
    <w:rsid w:val="00016B7B"/>
    <w:rsid w:val="00016BE4"/>
    <w:rsid w:val="00016C83"/>
    <w:rsid w:val="00016D10"/>
    <w:rsid w:val="00016D8D"/>
    <w:rsid w:val="00016E2F"/>
    <w:rsid w:val="00016F79"/>
    <w:rsid w:val="00016F91"/>
    <w:rsid w:val="0001701E"/>
    <w:rsid w:val="0001719B"/>
    <w:rsid w:val="00017222"/>
    <w:rsid w:val="000172C1"/>
    <w:rsid w:val="00017337"/>
    <w:rsid w:val="000173E7"/>
    <w:rsid w:val="000173FD"/>
    <w:rsid w:val="0001747F"/>
    <w:rsid w:val="00017551"/>
    <w:rsid w:val="00017562"/>
    <w:rsid w:val="000175CC"/>
    <w:rsid w:val="000175ED"/>
    <w:rsid w:val="000176E6"/>
    <w:rsid w:val="0001793E"/>
    <w:rsid w:val="000179C0"/>
    <w:rsid w:val="00017BB0"/>
    <w:rsid w:val="00017E00"/>
    <w:rsid w:val="00017E92"/>
    <w:rsid w:val="00017FF8"/>
    <w:rsid w:val="000200FA"/>
    <w:rsid w:val="00020365"/>
    <w:rsid w:val="000203E0"/>
    <w:rsid w:val="000204BD"/>
    <w:rsid w:val="00020569"/>
    <w:rsid w:val="000205A1"/>
    <w:rsid w:val="000205A7"/>
    <w:rsid w:val="000205AD"/>
    <w:rsid w:val="0002066D"/>
    <w:rsid w:val="0002068D"/>
    <w:rsid w:val="0002077D"/>
    <w:rsid w:val="00020952"/>
    <w:rsid w:val="00020ACD"/>
    <w:rsid w:val="00020E84"/>
    <w:rsid w:val="0002106D"/>
    <w:rsid w:val="000210F3"/>
    <w:rsid w:val="000212B4"/>
    <w:rsid w:val="000213A7"/>
    <w:rsid w:val="000213B6"/>
    <w:rsid w:val="00021469"/>
    <w:rsid w:val="00021659"/>
    <w:rsid w:val="0002165A"/>
    <w:rsid w:val="00021828"/>
    <w:rsid w:val="00021918"/>
    <w:rsid w:val="00021968"/>
    <w:rsid w:val="00021A6B"/>
    <w:rsid w:val="00021BE5"/>
    <w:rsid w:val="00021CD2"/>
    <w:rsid w:val="00021DD1"/>
    <w:rsid w:val="00021E8E"/>
    <w:rsid w:val="00021F8B"/>
    <w:rsid w:val="00022160"/>
    <w:rsid w:val="00022178"/>
    <w:rsid w:val="00022209"/>
    <w:rsid w:val="00022268"/>
    <w:rsid w:val="000222D7"/>
    <w:rsid w:val="00022348"/>
    <w:rsid w:val="00022473"/>
    <w:rsid w:val="000224AD"/>
    <w:rsid w:val="00022580"/>
    <w:rsid w:val="000225E8"/>
    <w:rsid w:val="00022657"/>
    <w:rsid w:val="0002271F"/>
    <w:rsid w:val="0002282F"/>
    <w:rsid w:val="00022A9F"/>
    <w:rsid w:val="00022B6E"/>
    <w:rsid w:val="00022BF1"/>
    <w:rsid w:val="00022E2B"/>
    <w:rsid w:val="00022E32"/>
    <w:rsid w:val="00022E38"/>
    <w:rsid w:val="00022E67"/>
    <w:rsid w:val="00022EDF"/>
    <w:rsid w:val="00022F33"/>
    <w:rsid w:val="00023059"/>
    <w:rsid w:val="000230F2"/>
    <w:rsid w:val="000230F5"/>
    <w:rsid w:val="00023199"/>
    <w:rsid w:val="00023261"/>
    <w:rsid w:val="0002327C"/>
    <w:rsid w:val="00023286"/>
    <w:rsid w:val="00023357"/>
    <w:rsid w:val="00023483"/>
    <w:rsid w:val="0002354D"/>
    <w:rsid w:val="00023566"/>
    <w:rsid w:val="00023650"/>
    <w:rsid w:val="000236D1"/>
    <w:rsid w:val="000237BE"/>
    <w:rsid w:val="0002393A"/>
    <w:rsid w:val="0002397F"/>
    <w:rsid w:val="00023A26"/>
    <w:rsid w:val="00023B8F"/>
    <w:rsid w:val="00023D50"/>
    <w:rsid w:val="00023E3A"/>
    <w:rsid w:val="00023F6F"/>
    <w:rsid w:val="00023FA3"/>
    <w:rsid w:val="00023FE9"/>
    <w:rsid w:val="0002405B"/>
    <w:rsid w:val="00024162"/>
    <w:rsid w:val="00024186"/>
    <w:rsid w:val="00024193"/>
    <w:rsid w:val="000242CC"/>
    <w:rsid w:val="000242FA"/>
    <w:rsid w:val="000243B1"/>
    <w:rsid w:val="000243FA"/>
    <w:rsid w:val="0002440D"/>
    <w:rsid w:val="00024526"/>
    <w:rsid w:val="0002463F"/>
    <w:rsid w:val="000246B1"/>
    <w:rsid w:val="00024842"/>
    <w:rsid w:val="000248E2"/>
    <w:rsid w:val="000248FD"/>
    <w:rsid w:val="00024973"/>
    <w:rsid w:val="00024997"/>
    <w:rsid w:val="0002499A"/>
    <w:rsid w:val="00024AC7"/>
    <w:rsid w:val="00024B11"/>
    <w:rsid w:val="00024B24"/>
    <w:rsid w:val="00024BCB"/>
    <w:rsid w:val="00024C21"/>
    <w:rsid w:val="00024D7F"/>
    <w:rsid w:val="00024D93"/>
    <w:rsid w:val="00024E08"/>
    <w:rsid w:val="00024E1F"/>
    <w:rsid w:val="00024E76"/>
    <w:rsid w:val="00024EDB"/>
    <w:rsid w:val="00024F66"/>
    <w:rsid w:val="00024FF6"/>
    <w:rsid w:val="00025157"/>
    <w:rsid w:val="0002518C"/>
    <w:rsid w:val="000251A0"/>
    <w:rsid w:val="000251E7"/>
    <w:rsid w:val="0002525F"/>
    <w:rsid w:val="0002527C"/>
    <w:rsid w:val="000252FC"/>
    <w:rsid w:val="0002531E"/>
    <w:rsid w:val="0002538F"/>
    <w:rsid w:val="00025602"/>
    <w:rsid w:val="00025618"/>
    <w:rsid w:val="00025634"/>
    <w:rsid w:val="000256AD"/>
    <w:rsid w:val="00025708"/>
    <w:rsid w:val="000257AB"/>
    <w:rsid w:val="000257C3"/>
    <w:rsid w:val="000257E9"/>
    <w:rsid w:val="00025817"/>
    <w:rsid w:val="000258A4"/>
    <w:rsid w:val="000258B6"/>
    <w:rsid w:val="0002591E"/>
    <w:rsid w:val="0002593E"/>
    <w:rsid w:val="00025964"/>
    <w:rsid w:val="000259BE"/>
    <w:rsid w:val="00025A45"/>
    <w:rsid w:val="00025AAF"/>
    <w:rsid w:val="00025B4E"/>
    <w:rsid w:val="00025BB4"/>
    <w:rsid w:val="00025BD1"/>
    <w:rsid w:val="00025DD9"/>
    <w:rsid w:val="00025FF7"/>
    <w:rsid w:val="000260A1"/>
    <w:rsid w:val="000261BE"/>
    <w:rsid w:val="000263D2"/>
    <w:rsid w:val="000264E2"/>
    <w:rsid w:val="000264F6"/>
    <w:rsid w:val="000264F8"/>
    <w:rsid w:val="00026561"/>
    <w:rsid w:val="000265D2"/>
    <w:rsid w:val="00026687"/>
    <w:rsid w:val="000266CF"/>
    <w:rsid w:val="00026751"/>
    <w:rsid w:val="000267AC"/>
    <w:rsid w:val="000267D4"/>
    <w:rsid w:val="0002689C"/>
    <w:rsid w:val="0002691B"/>
    <w:rsid w:val="0002691F"/>
    <w:rsid w:val="00026E3D"/>
    <w:rsid w:val="00026F5F"/>
    <w:rsid w:val="00026FBE"/>
    <w:rsid w:val="00026FEA"/>
    <w:rsid w:val="0002706E"/>
    <w:rsid w:val="00027076"/>
    <w:rsid w:val="00027085"/>
    <w:rsid w:val="000270BF"/>
    <w:rsid w:val="000270C3"/>
    <w:rsid w:val="000270CF"/>
    <w:rsid w:val="000270D8"/>
    <w:rsid w:val="0002713F"/>
    <w:rsid w:val="00027243"/>
    <w:rsid w:val="00027316"/>
    <w:rsid w:val="00027424"/>
    <w:rsid w:val="0002775D"/>
    <w:rsid w:val="00027799"/>
    <w:rsid w:val="000277B1"/>
    <w:rsid w:val="000277FD"/>
    <w:rsid w:val="00027804"/>
    <w:rsid w:val="0002780B"/>
    <w:rsid w:val="00027810"/>
    <w:rsid w:val="00027858"/>
    <w:rsid w:val="0002785D"/>
    <w:rsid w:val="000278CC"/>
    <w:rsid w:val="000278F6"/>
    <w:rsid w:val="000279FC"/>
    <w:rsid w:val="00027A81"/>
    <w:rsid w:val="00027AE6"/>
    <w:rsid w:val="00027AF7"/>
    <w:rsid w:val="00027B90"/>
    <w:rsid w:val="00027B92"/>
    <w:rsid w:val="00027C13"/>
    <w:rsid w:val="00027CC4"/>
    <w:rsid w:val="00027D13"/>
    <w:rsid w:val="00027D18"/>
    <w:rsid w:val="00027D74"/>
    <w:rsid w:val="00027E48"/>
    <w:rsid w:val="0003007A"/>
    <w:rsid w:val="000300C2"/>
    <w:rsid w:val="000300D7"/>
    <w:rsid w:val="000300F0"/>
    <w:rsid w:val="000301AD"/>
    <w:rsid w:val="000301BF"/>
    <w:rsid w:val="0003027C"/>
    <w:rsid w:val="000302B7"/>
    <w:rsid w:val="000302B8"/>
    <w:rsid w:val="00030357"/>
    <w:rsid w:val="000303A7"/>
    <w:rsid w:val="000303EC"/>
    <w:rsid w:val="0003042F"/>
    <w:rsid w:val="00030479"/>
    <w:rsid w:val="0003050F"/>
    <w:rsid w:val="000307A9"/>
    <w:rsid w:val="00030806"/>
    <w:rsid w:val="00030854"/>
    <w:rsid w:val="00030876"/>
    <w:rsid w:val="000308D2"/>
    <w:rsid w:val="000308E3"/>
    <w:rsid w:val="00030948"/>
    <w:rsid w:val="0003099D"/>
    <w:rsid w:val="000309AE"/>
    <w:rsid w:val="000309C5"/>
    <w:rsid w:val="00030A48"/>
    <w:rsid w:val="00030AE1"/>
    <w:rsid w:val="00030C62"/>
    <w:rsid w:val="00030C9F"/>
    <w:rsid w:val="00030D68"/>
    <w:rsid w:val="00030E6E"/>
    <w:rsid w:val="00030F9B"/>
    <w:rsid w:val="00031032"/>
    <w:rsid w:val="000310BE"/>
    <w:rsid w:val="000310C3"/>
    <w:rsid w:val="00031112"/>
    <w:rsid w:val="0003111C"/>
    <w:rsid w:val="0003133A"/>
    <w:rsid w:val="00031348"/>
    <w:rsid w:val="0003149A"/>
    <w:rsid w:val="00031553"/>
    <w:rsid w:val="00031663"/>
    <w:rsid w:val="00031856"/>
    <w:rsid w:val="00031969"/>
    <w:rsid w:val="00031972"/>
    <w:rsid w:val="00031975"/>
    <w:rsid w:val="00031986"/>
    <w:rsid w:val="00031A38"/>
    <w:rsid w:val="00031B52"/>
    <w:rsid w:val="00031BEB"/>
    <w:rsid w:val="00031CD5"/>
    <w:rsid w:val="00031D3A"/>
    <w:rsid w:val="00031D75"/>
    <w:rsid w:val="00031DF4"/>
    <w:rsid w:val="00032033"/>
    <w:rsid w:val="00032064"/>
    <w:rsid w:val="00032170"/>
    <w:rsid w:val="00032198"/>
    <w:rsid w:val="000321EF"/>
    <w:rsid w:val="0003224B"/>
    <w:rsid w:val="0003229B"/>
    <w:rsid w:val="000323BE"/>
    <w:rsid w:val="0003244C"/>
    <w:rsid w:val="00032471"/>
    <w:rsid w:val="000324FB"/>
    <w:rsid w:val="000325CE"/>
    <w:rsid w:val="00032604"/>
    <w:rsid w:val="00032667"/>
    <w:rsid w:val="000327DF"/>
    <w:rsid w:val="00032834"/>
    <w:rsid w:val="000328D6"/>
    <w:rsid w:val="0003290A"/>
    <w:rsid w:val="000329F6"/>
    <w:rsid w:val="00032A3D"/>
    <w:rsid w:val="00032A76"/>
    <w:rsid w:val="00032B58"/>
    <w:rsid w:val="00032C66"/>
    <w:rsid w:val="00032CC4"/>
    <w:rsid w:val="00032D08"/>
    <w:rsid w:val="00032D19"/>
    <w:rsid w:val="00032DB3"/>
    <w:rsid w:val="00032E15"/>
    <w:rsid w:val="00032E68"/>
    <w:rsid w:val="00032ED4"/>
    <w:rsid w:val="00032EDF"/>
    <w:rsid w:val="00032F62"/>
    <w:rsid w:val="00032F75"/>
    <w:rsid w:val="0003300F"/>
    <w:rsid w:val="0003302B"/>
    <w:rsid w:val="00033100"/>
    <w:rsid w:val="00033143"/>
    <w:rsid w:val="00033277"/>
    <w:rsid w:val="0003331D"/>
    <w:rsid w:val="00033330"/>
    <w:rsid w:val="0003333F"/>
    <w:rsid w:val="0003348E"/>
    <w:rsid w:val="00033535"/>
    <w:rsid w:val="000335AE"/>
    <w:rsid w:val="000335C4"/>
    <w:rsid w:val="000335DC"/>
    <w:rsid w:val="00033657"/>
    <w:rsid w:val="00033681"/>
    <w:rsid w:val="000336C9"/>
    <w:rsid w:val="0003381C"/>
    <w:rsid w:val="00033872"/>
    <w:rsid w:val="0003397F"/>
    <w:rsid w:val="00033A52"/>
    <w:rsid w:val="00033ABE"/>
    <w:rsid w:val="00033B2B"/>
    <w:rsid w:val="0003402D"/>
    <w:rsid w:val="000340FC"/>
    <w:rsid w:val="00034167"/>
    <w:rsid w:val="000341ED"/>
    <w:rsid w:val="000343AF"/>
    <w:rsid w:val="000344F4"/>
    <w:rsid w:val="000345AB"/>
    <w:rsid w:val="0003467A"/>
    <w:rsid w:val="000346FC"/>
    <w:rsid w:val="0003476D"/>
    <w:rsid w:val="00034B9E"/>
    <w:rsid w:val="00034BBC"/>
    <w:rsid w:val="00034C1A"/>
    <w:rsid w:val="00034DAA"/>
    <w:rsid w:val="00034DD7"/>
    <w:rsid w:val="00034ED9"/>
    <w:rsid w:val="00034EE8"/>
    <w:rsid w:val="00034F84"/>
    <w:rsid w:val="000350B3"/>
    <w:rsid w:val="000350FA"/>
    <w:rsid w:val="00035239"/>
    <w:rsid w:val="00035289"/>
    <w:rsid w:val="0003537D"/>
    <w:rsid w:val="000353D5"/>
    <w:rsid w:val="0003548A"/>
    <w:rsid w:val="000354D5"/>
    <w:rsid w:val="000355B8"/>
    <w:rsid w:val="00035674"/>
    <w:rsid w:val="00035772"/>
    <w:rsid w:val="0003592E"/>
    <w:rsid w:val="000359DE"/>
    <w:rsid w:val="00035AD4"/>
    <w:rsid w:val="00035AD9"/>
    <w:rsid w:val="00035BC1"/>
    <w:rsid w:val="00035C7B"/>
    <w:rsid w:val="00035CF9"/>
    <w:rsid w:val="00035D00"/>
    <w:rsid w:val="00035D9B"/>
    <w:rsid w:val="00035DD6"/>
    <w:rsid w:val="00035E3E"/>
    <w:rsid w:val="00035F93"/>
    <w:rsid w:val="00035FAA"/>
    <w:rsid w:val="00035FAC"/>
    <w:rsid w:val="00036064"/>
    <w:rsid w:val="000360FB"/>
    <w:rsid w:val="0003613C"/>
    <w:rsid w:val="00036172"/>
    <w:rsid w:val="000361D7"/>
    <w:rsid w:val="0003620A"/>
    <w:rsid w:val="0003627F"/>
    <w:rsid w:val="000364F8"/>
    <w:rsid w:val="000366F5"/>
    <w:rsid w:val="00036838"/>
    <w:rsid w:val="00036848"/>
    <w:rsid w:val="0003687B"/>
    <w:rsid w:val="0003697F"/>
    <w:rsid w:val="0003699C"/>
    <w:rsid w:val="00036A2E"/>
    <w:rsid w:val="00036AA3"/>
    <w:rsid w:val="00036ACC"/>
    <w:rsid w:val="00036B06"/>
    <w:rsid w:val="00036B42"/>
    <w:rsid w:val="00036C33"/>
    <w:rsid w:val="00036D7A"/>
    <w:rsid w:val="00036DBF"/>
    <w:rsid w:val="00036E30"/>
    <w:rsid w:val="00036E66"/>
    <w:rsid w:val="00036F0A"/>
    <w:rsid w:val="00037023"/>
    <w:rsid w:val="000370AB"/>
    <w:rsid w:val="000370B0"/>
    <w:rsid w:val="000370E9"/>
    <w:rsid w:val="00037164"/>
    <w:rsid w:val="00037187"/>
    <w:rsid w:val="0003719A"/>
    <w:rsid w:val="000372AF"/>
    <w:rsid w:val="0003737A"/>
    <w:rsid w:val="0003737C"/>
    <w:rsid w:val="000373B3"/>
    <w:rsid w:val="000373EF"/>
    <w:rsid w:val="000374EF"/>
    <w:rsid w:val="00037506"/>
    <w:rsid w:val="00037509"/>
    <w:rsid w:val="00037514"/>
    <w:rsid w:val="0003759C"/>
    <w:rsid w:val="000375E0"/>
    <w:rsid w:val="00037612"/>
    <w:rsid w:val="0003761F"/>
    <w:rsid w:val="0003768C"/>
    <w:rsid w:val="000377EF"/>
    <w:rsid w:val="00037A12"/>
    <w:rsid w:val="00037A65"/>
    <w:rsid w:val="00037BE0"/>
    <w:rsid w:val="00037C35"/>
    <w:rsid w:val="00037C45"/>
    <w:rsid w:val="00037D1F"/>
    <w:rsid w:val="00037D50"/>
    <w:rsid w:val="00037D82"/>
    <w:rsid w:val="00037D96"/>
    <w:rsid w:val="00037DB4"/>
    <w:rsid w:val="00037DDC"/>
    <w:rsid w:val="00037E7F"/>
    <w:rsid w:val="00037F68"/>
    <w:rsid w:val="00037FAF"/>
    <w:rsid w:val="00037FB7"/>
    <w:rsid w:val="0003BDBA"/>
    <w:rsid w:val="00040080"/>
    <w:rsid w:val="000400A4"/>
    <w:rsid w:val="0004015F"/>
    <w:rsid w:val="00040160"/>
    <w:rsid w:val="000401E3"/>
    <w:rsid w:val="00040208"/>
    <w:rsid w:val="00040269"/>
    <w:rsid w:val="0004029C"/>
    <w:rsid w:val="000402BC"/>
    <w:rsid w:val="00040355"/>
    <w:rsid w:val="00040379"/>
    <w:rsid w:val="0004039C"/>
    <w:rsid w:val="00040453"/>
    <w:rsid w:val="0004045C"/>
    <w:rsid w:val="00040466"/>
    <w:rsid w:val="0004048B"/>
    <w:rsid w:val="00040496"/>
    <w:rsid w:val="0004050C"/>
    <w:rsid w:val="00040546"/>
    <w:rsid w:val="0004054B"/>
    <w:rsid w:val="000405B9"/>
    <w:rsid w:val="00040705"/>
    <w:rsid w:val="00040727"/>
    <w:rsid w:val="0004075E"/>
    <w:rsid w:val="0004077C"/>
    <w:rsid w:val="000407A6"/>
    <w:rsid w:val="000407BE"/>
    <w:rsid w:val="000407F1"/>
    <w:rsid w:val="00040895"/>
    <w:rsid w:val="000408C8"/>
    <w:rsid w:val="00040934"/>
    <w:rsid w:val="0004093E"/>
    <w:rsid w:val="00040967"/>
    <w:rsid w:val="00040975"/>
    <w:rsid w:val="0004099B"/>
    <w:rsid w:val="00040A6D"/>
    <w:rsid w:val="00040AB5"/>
    <w:rsid w:val="00040AFB"/>
    <w:rsid w:val="00040B10"/>
    <w:rsid w:val="00040D67"/>
    <w:rsid w:val="00040DA5"/>
    <w:rsid w:val="00040DB1"/>
    <w:rsid w:val="00040E3C"/>
    <w:rsid w:val="00040F68"/>
    <w:rsid w:val="000410C2"/>
    <w:rsid w:val="0004120F"/>
    <w:rsid w:val="00041227"/>
    <w:rsid w:val="000412D3"/>
    <w:rsid w:val="000412FA"/>
    <w:rsid w:val="00041300"/>
    <w:rsid w:val="00041330"/>
    <w:rsid w:val="00041420"/>
    <w:rsid w:val="000416BC"/>
    <w:rsid w:val="000416E0"/>
    <w:rsid w:val="00041749"/>
    <w:rsid w:val="000417A8"/>
    <w:rsid w:val="000417F4"/>
    <w:rsid w:val="00041839"/>
    <w:rsid w:val="000418B9"/>
    <w:rsid w:val="000418EB"/>
    <w:rsid w:val="0004199A"/>
    <w:rsid w:val="00041A26"/>
    <w:rsid w:val="00041A5B"/>
    <w:rsid w:val="00041ACB"/>
    <w:rsid w:val="00041B80"/>
    <w:rsid w:val="00041C2A"/>
    <w:rsid w:val="00041C57"/>
    <w:rsid w:val="00041CFF"/>
    <w:rsid w:val="00041EED"/>
    <w:rsid w:val="00042064"/>
    <w:rsid w:val="000420F8"/>
    <w:rsid w:val="0004213D"/>
    <w:rsid w:val="00042264"/>
    <w:rsid w:val="00042265"/>
    <w:rsid w:val="00042346"/>
    <w:rsid w:val="0004240B"/>
    <w:rsid w:val="000424CF"/>
    <w:rsid w:val="0004252B"/>
    <w:rsid w:val="000425B1"/>
    <w:rsid w:val="000426B5"/>
    <w:rsid w:val="000426F6"/>
    <w:rsid w:val="00042820"/>
    <w:rsid w:val="00042899"/>
    <w:rsid w:val="000428FE"/>
    <w:rsid w:val="00042987"/>
    <w:rsid w:val="0004298F"/>
    <w:rsid w:val="00042A37"/>
    <w:rsid w:val="00042A41"/>
    <w:rsid w:val="00042A9B"/>
    <w:rsid w:val="00042BB5"/>
    <w:rsid w:val="00042CC6"/>
    <w:rsid w:val="00042F05"/>
    <w:rsid w:val="00042FA5"/>
    <w:rsid w:val="00043311"/>
    <w:rsid w:val="00043318"/>
    <w:rsid w:val="00043401"/>
    <w:rsid w:val="0004345D"/>
    <w:rsid w:val="0004357C"/>
    <w:rsid w:val="000435C5"/>
    <w:rsid w:val="00043625"/>
    <w:rsid w:val="00043660"/>
    <w:rsid w:val="0004380F"/>
    <w:rsid w:val="00043818"/>
    <w:rsid w:val="000438A6"/>
    <w:rsid w:val="00043A3A"/>
    <w:rsid w:val="00043A76"/>
    <w:rsid w:val="00043AB7"/>
    <w:rsid w:val="00043AEE"/>
    <w:rsid w:val="00043C04"/>
    <w:rsid w:val="00043CCC"/>
    <w:rsid w:val="00043D6D"/>
    <w:rsid w:val="00043D8B"/>
    <w:rsid w:val="00043DB0"/>
    <w:rsid w:val="00043E48"/>
    <w:rsid w:val="00043EBE"/>
    <w:rsid w:val="00043FC9"/>
    <w:rsid w:val="0004407F"/>
    <w:rsid w:val="00044362"/>
    <w:rsid w:val="00044391"/>
    <w:rsid w:val="000443B2"/>
    <w:rsid w:val="00044449"/>
    <w:rsid w:val="000444E5"/>
    <w:rsid w:val="000444F4"/>
    <w:rsid w:val="00044596"/>
    <w:rsid w:val="00044599"/>
    <w:rsid w:val="000445A1"/>
    <w:rsid w:val="000445BE"/>
    <w:rsid w:val="000446A6"/>
    <w:rsid w:val="000448C5"/>
    <w:rsid w:val="000448CD"/>
    <w:rsid w:val="00044930"/>
    <w:rsid w:val="000449A6"/>
    <w:rsid w:val="00044A50"/>
    <w:rsid w:val="00044A82"/>
    <w:rsid w:val="00044CFB"/>
    <w:rsid w:val="00044EDE"/>
    <w:rsid w:val="00044FAC"/>
    <w:rsid w:val="000451D8"/>
    <w:rsid w:val="000453B5"/>
    <w:rsid w:val="0004540A"/>
    <w:rsid w:val="00045418"/>
    <w:rsid w:val="0004544D"/>
    <w:rsid w:val="00045580"/>
    <w:rsid w:val="0004571D"/>
    <w:rsid w:val="0004596E"/>
    <w:rsid w:val="00045A2B"/>
    <w:rsid w:val="00045A7E"/>
    <w:rsid w:val="00045A80"/>
    <w:rsid w:val="00045C7B"/>
    <w:rsid w:val="00045CCD"/>
    <w:rsid w:val="00045EC6"/>
    <w:rsid w:val="00045F81"/>
    <w:rsid w:val="00045F95"/>
    <w:rsid w:val="00045FAB"/>
    <w:rsid w:val="000460E7"/>
    <w:rsid w:val="00046117"/>
    <w:rsid w:val="00046173"/>
    <w:rsid w:val="00046185"/>
    <w:rsid w:val="00046205"/>
    <w:rsid w:val="0004620E"/>
    <w:rsid w:val="000462A2"/>
    <w:rsid w:val="0004634D"/>
    <w:rsid w:val="000463B1"/>
    <w:rsid w:val="000464B2"/>
    <w:rsid w:val="00046587"/>
    <w:rsid w:val="00046773"/>
    <w:rsid w:val="00046A14"/>
    <w:rsid w:val="00046A27"/>
    <w:rsid w:val="00046A51"/>
    <w:rsid w:val="00046AE4"/>
    <w:rsid w:val="00046C6E"/>
    <w:rsid w:val="00046C82"/>
    <w:rsid w:val="00046E2C"/>
    <w:rsid w:val="00046F63"/>
    <w:rsid w:val="00046FC2"/>
    <w:rsid w:val="000470C1"/>
    <w:rsid w:val="00047138"/>
    <w:rsid w:val="00047161"/>
    <w:rsid w:val="00047182"/>
    <w:rsid w:val="000471D8"/>
    <w:rsid w:val="000471EB"/>
    <w:rsid w:val="00047224"/>
    <w:rsid w:val="000473D3"/>
    <w:rsid w:val="00047400"/>
    <w:rsid w:val="000474D3"/>
    <w:rsid w:val="0004754C"/>
    <w:rsid w:val="000476B9"/>
    <w:rsid w:val="0004775B"/>
    <w:rsid w:val="0004777A"/>
    <w:rsid w:val="0004779E"/>
    <w:rsid w:val="000477F7"/>
    <w:rsid w:val="00047808"/>
    <w:rsid w:val="00047811"/>
    <w:rsid w:val="000479F4"/>
    <w:rsid w:val="00047B33"/>
    <w:rsid w:val="00047B34"/>
    <w:rsid w:val="00047BC6"/>
    <w:rsid w:val="00047C9B"/>
    <w:rsid w:val="00047D2F"/>
    <w:rsid w:val="00047DC0"/>
    <w:rsid w:val="00047E3B"/>
    <w:rsid w:val="00047F1A"/>
    <w:rsid w:val="00047FB2"/>
    <w:rsid w:val="000501D3"/>
    <w:rsid w:val="000501FD"/>
    <w:rsid w:val="00050284"/>
    <w:rsid w:val="0005034B"/>
    <w:rsid w:val="0005038A"/>
    <w:rsid w:val="000503AA"/>
    <w:rsid w:val="000504A5"/>
    <w:rsid w:val="000504B5"/>
    <w:rsid w:val="000504ED"/>
    <w:rsid w:val="00050515"/>
    <w:rsid w:val="000505B6"/>
    <w:rsid w:val="00050672"/>
    <w:rsid w:val="00050674"/>
    <w:rsid w:val="00050778"/>
    <w:rsid w:val="00050B29"/>
    <w:rsid w:val="00050BC4"/>
    <w:rsid w:val="00050BE8"/>
    <w:rsid w:val="00050C58"/>
    <w:rsid w:val="00050D07"/>
    <w:rsid w:val="00050D6D"/>
    <w:rsid w:val="00050DE8"/>
    <w:rsid w:val="00050EA5"/>
    <w:rsid w:val="00050EC0"/>
    <w:rsid w:val="00050F9A"/>
    <w:rsid w:val="0005103C"/>
    <w:rsid w:val="000511F3"/>
    <w:rsid w:val="0005131A"/>
    <w:rsid w:val="0005131E"/>
    <w:rsid w:val="00051346"/>
    <w:rsid w:val="000513BC"/>
    <w:rsid w:val="0005141D"/>
    <w:rsid w:val="000514C2"/>
    <w:rsid w:val="000514EC"/>
    <w:rsid w:val="00051553"/>
    <w:rsid w:val="00051567"/>
    <w:rsid w:val="000516C6"/>
    <w:rsid w:val="000516C7"/>
    <w:rsid w:val="000517F3"/>
    <w:rsid w:val="00051840"/>
    <w:rsid w:val="00051882"/>
    <w:rsid w:val="00051884"/>
    <w:rsid w:val="000518EB"/>
    <w:rsid w:val="0005193D"/>
    <w:rsid w:val="000519D0"/>
    <w:rsid w:val="000519F7"/>
    <w:rsid w:val="00051A15"/>
    <w:rsid w:val="00051A79"/>
    <w:rsid w:val="00051B0F"/>
    <w:rsid w:val="00051B1D"/>
    <w:rsid w:val="00051B26"/>
    <w:rsid w:val="00051C68"/>
    <w:rsid w:val="00051C78"/>
    <w:rsid w:val="00051D32"/>
    <w:rsid w:val="00051D91"/>
    <w:rsid w:val="00051DA9"/>
    <w:rsid w:val="00051DB7"/>
    <w:rsid w:val="00051E48"/>
    <w:rsid w:val="00051E79"/>
    <w:rsid w:val="0005219D"/>
    <w:rsid w:val="000521E3"/>
    <w:rsid w:val="0005225C"/>
    <w:rsid w:val="0005227E"/>
    <w:rsid w:val="0005229A"/>
    <w:rsid w:val="00052301"/>
    <w:rsid w:val="0005247D"/>
    <w:rsid w:val="00052534"/>
    <w:rsid w:val="0005256F"/>
    <w:rsid w:val="000525A5"/>
    <w:rsid w:val="000525C2"/>
    <w:rsid w:val="0005268C"/>
    <w:rsid w:val="000526FF"/>
    <w:rsid w:val="00052791"/>
    <w:rsid w:val="00052800"/>
    <w:rsid w:val="0005289D"/>
    <w:rsid w:val="0005297F"/>
    <w:rsid w:val="00052985"/>
    <w:rsid w:val="00052AFE"/>
    <w:rsid w:val="00052B2C"/>
    <w:rsid w:val="00052B44"/>
    <w:rsid w:val="00052B48"/>
    <w:rsid w:val="00052B6D"/>
    <w:rsid w:val="00052C93"/>
    <w:rsid w:val="00052FCC"/>
    <w:rsid w:val="0005303E"/>
    <w:rsid w:val="000530DE"/>
    <w:rsid w:val="00053355"/>
    <w:rsid w:val="0005336A"/>
    <w:rsid w:val="00053451"/>
    <w:rsid w:val="00053529"/>
    <w:rsid w:val="0005356E"/>
    <w:rsid w:val="000536B3"/>
    <w:rsid w:val="00053748"/>
    <w:rsid w:val="0005375B"/>
    <w:rsid w:val="00053768"/>
    <w:rsid w:val="0005377B"/>
    <w:rsid w:val="000537A0"/>
    <w:rsid w:val="00053880"/>
    <w:rsid w:val="000538DD"/>
    <w:rsid w:val="000538E0"/>
    <w:rsid w:val="000538FE"/>
    <w:rsid w:val="0005391F"/>
    <w:rsid w:val="000539C6"/>
    <w:rsid w:val="00053A09"/>
    <w:rsid w:val="00053A7C"/>
    <w:rsid w:val="00053B0B"/>
    <w:rsid w:val="00053B38"/>
    <w:rsid w:val="00053B3D"/>
    <w:rsid w:val="00053B8D"/>
    <w:rsid w:val="00053B94"/>
    <w:rsid w:val="00053C12"/>
    <w:rsid w:val="00053D62"/>
    <w:rsid w:val="00053D8B"/>
    <w:rsid w:val="00053DE6"/>
    <w:rsid w:val="00053E17"/>
    <w:rsid w:val="00053F7A"/>
    <w:rsid w:val="00053F93"/>
    <w:rsid w:val="00053FA9"/>
    <w:rsid w:val="000541A0"/>
    <w:rsid w:val="000541A9"/>
    <w:rsid w:val="000541D8"/>
    <w:rsid w:val="00054227"/>
    <w:rsid w:val="00054299"/>
    <w:rsid w:val="000542B9"/>
    <w:rsid w:val="000542D3"/>
    <w:rsid w:val="0005433B"/>
    <w:rsid w:val="0005437A"/>
    <w:rsid w:val="000543B4"/>
    <w:rsid w:val="0005472D"/>
    <w:rsid w:val="0005472F"/>
    <w:rsid w:val="00054903"/>
    <w:rsid w:val="00054CA5"/>
    <w:rsid w:val="00054D1F"/>
    <w:rsid w:val="00054DA7"/>
    <w:rsid w:val="00054E01"/>
    <w:rsid w:val="00054E61"/>
    <w:rsid w:val="00054F4D"/>
    <w:rsid w:val="00054FE5"/>
    <w:rsid w:val="00054FF3"/>
    <w:rsid w:val="00054FFE"/>
    <w:rsid w:val="00055076"/>
    <w:rsid w:val="0005515E"/>
    <w:rsid w:val="000551CC"/>
    <w:rsid w:val="00055212"/>
    <w:rsid w:val="00055215"/>
    <w:rsid w:val="00055236"/>
    <w:rsid w:val="000552F0"/>
    <w:rsid w:val="0005543C"/>
    <w:rsid w:val="000554D3"/>
    <w:rsid w:val="0005554A"/>
    <w:rsid w:val="00055554"/>
    <w:rsid w:val="00055581"/>
    <w:rsid w:val="00055591"/>
    <w:rsid w:val="00055635"/>
    <w:rsid w:val="00055656"/>
    <w:rsid w:val="00055688"/>
    <w:rsid w:val="00055778"/>
    <w:rsid w:val="00055987"/>
    <w:rsid w:val="00055A7A"/>
    <w:rsid w:val="00055AD8"/>
    <w:rsid w:val="00055B94"/>
    <w:rsid w:val="00055B9E"/>
    <w:rsid w:val="00055BD2"/>
    <w:rsid w:val="00055C20"/>
    <w:rsid w:val="00055CC0"/>
    <w:rsid w:val="00055D51"/>
    <w:rsid w:val="00055E71"/>
    <w:rsid w:val="00055E81"/>
    <w:rsid w:val="00055F5D"/>
    <w:rsid w:val="0005615F"/>
    <w:rsid w:val="000561B8"/>
    <w:rsid w:val="00056232"/>
    <w:rsid w:val="00056236"/>
    <w:rsid w:val="0005627E"/>
    <w:rsid w:val="000562DD"/>
    <w:rsid w:val="0005633C"/>
    <w:rsid w:val="0005638A"/>
    <w:rsid w:val="000563FC"/>
    <w:rsid w:val="000564AE"/>
    <w:rsid w:val="000564C7"/>
    <w:rsid w:val="0005650F"/>
    <w:rsid w:val="00056596"/>
    <w:rsid w:val="000565D4"/>
    <w:rsid w:val="000566E8"/>
    <w:rsid w:val="00056714"/>
    <w:rsid w:val="00056766"/>
    <w:rsid w:val="00056807"/>
    <w:rsid w:val="0005684A"/>
    <w:rsid w:val="0005685D"/>
    <w:rsid w:val="000569D0"/>
    <w:rsid w:val="00056A8E"/>
    <w:rsid w:val="00056AB2"/>
    <w:rsid w:val="00056B0D"/>
    <w:rsid w:val="00056B34"/>
    <w:rsid w:val="00056C6D"/>
    <w:rsid w:val="00056D23"/>
    <w:rsid w:val="00056EE1"/>
    <w:rsid w:val="00056FD0"/>
    <w:rsid w:val="00057004"/>
    <w:rsid w:val="000570BC"/>
    <w:rsid w:val="0005721F"/>
    <w:rsid w:val="000573C6"/>
    <w:rsid w:val="0005742E"/>
    <w:rsid w:val="000574EA"/>
    <w:rsid w:val="0005755C"/>
    <w:rsid w:val="000575FD"/>
    <w:rsid w:val="00057625"/>
    <w:rsid w:val="0005765F"/>
    <w:rsid w:val="000576C1"/>
    <w:rsid w:val="000577FA"/>
    <w:rsid w:val="00057874"/>
    <w:rsid w:val="00057978"/>
    <w:rsid w:val="00057A82"/>
    <w:rsid w:val="00057ABA"/>
    <w:rsid w:val="00057B21"/>
    <w:rsid w:val="00057B8F"/>
    <w:rsid w:val="00057CCF"/>
    <w:rsid w:val="00057DB8"/>
    <w:rsid w:val="00057DDC"/>
    <w:rsid w:val="00057DF6"/>
    <w:rsid w:val="00057E55"/>
    <w:rsid w:val="00057EAA"/>
    <w:rsid w:val="00057EF8"/>
    <w:rsid w:val="00060012"/>
    <w:rsid w:val="00060014"/>
    <w:rsid w:val="00060076"/>
    <w:rsid w:val="000600FE"/>
    <w:rsid w:val="000601AB"/>
    <w:rsid w:val="000601F6"/>
    <w:rsid w:val="00060480"/>
    <w:rsid w:val="00060508"/>
    <w:rsid w:val="00060585"/>
    <w:rsid w:val="000605D6"/>
    <w:rsid w:val="00060676"/>
    <w:rsid w:val="00060685"/>
    <w:rsid w:val="000606B7"/>
    <w:rsid w:val="000607B6"/>
    <w:rsid w:val="00060815"/>
    <w:rsid w:val="00060827"/>
    <w:rsid w:val="00060850"/>
    <w:rsid w:val="0006086B"/>
    <w:rsid w:val="000608F6"/>
    <w:rsid w:val="0006092D"/>
    <w:rsid w:val="00060943"/>
    <w:rsid w:val="00060A39"/>
    <w:rsid w:val="00060AC5"/>
    <w:rsid w:val="00060B19"/>
    <w:rsid w:val="00060BE9"/>
    <w:rsid w:val="00060C80"/>
    <w:rsid w:val="00060D24"/>
    <w:rsid w:val="00060D32"/>
    <w:rsid w:val="00060E95"/>
    <w:rsid w:val="00060EDC"/>
    <w:rsid w:val="00060F1D"/>
    <w:rsid w:val="00060F6E"/>
    <w:rsid w:val="00061012"/>
    <w:rsid w:val="00061019"/>
    <w:rsid w:val="0006102D"/>
    <w:rsid w:val="0006116C"/>
    <w:rsid w:val="00061201"/>
    <w:rsid w:val="0006135E"/>
    <w:rsid w:val="000613FC"/>
    <w:rsid w:val="00061582"/>
    <w:rsid w:val="0006160C"/>
    <w:rsid w:val="0006170B"/>
    <w:rsid w:val="0006171A"/>
    <w:rsid w:val="00061757"/>
    <w:rsid w:val="000617C7"/>
    <w:rsid w:val="0006181B"/>
    <w:rsid w:val="00061826"/>
    <w:rsid w:val="0006185B"/>
    <w:rsid w:val="00061A1E"/>
    <w:rsid w:val="00061A41"/>
    <w:rsid w:val="00061C41"/>
    <w:rsid w:val="00061C58"/>
    <w:rsid w:val="00061C76"/>
    <w:rsid w:val="00061CCE"/>
    <w:rsid w:val="00061DAD"/>
    <w:rsid w:val="00061F4F"/>
    <w:rsid w:val="00062001"/>
    <w:rsid w:val="0006203D"/>
    <w:rsid w:val="00062178"/>
    <w:rsid w:val="0006218E"/>
    <w:rsid w:val="00062261"/>
    <w:rsid w:val="0006231E"/>
    <w:rsid w:val="00062452"/>
    <w:rsid w:val="000624DD"/>
    <w:rsid w:val="0006268B"/>
    <w:rsid w:val="0006271D"/>
    <w:rsid w:val="000627F2"/>
    <w:rsid w:val="00062972"/>
    <w:rsid w:val="000629D5"/>
    <w:rsid w:val="000629ED"/>
    <w:rsid w:val="00062A6C"/>
    <w:rsid w:val="00062ADB"/>
    <w:rsid w:val="00062B49"/>
    <w:rsid w:val="00062CB9"/>
    <w:rsid w:val="00062D21"/>
    <w:rsid w:val="00062DBA"/>
    <w:rsid w:val="00062F40"/>
    <w:rsid w:val="000630E5"/>
    <w:rsid w:val="00063155"/>
    <w:rsid w:val="00063176"/>
    <w:rsid w:val="000631CC"/>
    <w:rsid w:val="00063263"/>
    <w:rsid w:val="00063289"/>
    <w:rsid w:val="00063325"/>
    <w:rsid w:val="000633AC"/>
    <w:rsid w:val="000633B7"/>
    <w:rsid w:val="00063409"/>
    <w:rsid w:val="0006361B"/>
    <w:rsid w:val="00063773"/>
    <w:rsid w:val="00063785"/>
    <w:rsid w:val="00063961"/>
    <w:rsid w:val="00063A4C"/>
    <w:rsid w:val="00063AB0"/>
    <w:rsid w:val="00063B45"/>
    <w:rsid w:val="00063B4D"/>
    <w:rsid w:val="00063C28"/>
    <w:rsid w:val="00063C2A"/>
    <w:rsid w:val="00063CC7"/>
    <w:rsid w:val="00063D83"/>
    <w:rsid w:val="00063DA4"/>
    <w:rsid w:val="00063DC6"/>
    <w:rsid w:val="00063DF5"/>
    <w:rsid w:val="00063DFC"/>
    <w:rsid w:val="00063EA3"/>
    <w:rsid w:val="00063FC4"/>
    <w:rsid w:val="00064063"/>
    <w:rsid w:val="00064069"/>
    <w:rsid w:val="000640D6"/>
    <w:rsid w:val="000641F4"/>
    <w:rsid w:val="000642E2"/>
    <w:rsid w:val="000643E4"/>
    <w:rsid w:val="00064437"/>
    <w:rsid w:val="00064629"/>
    <w:rsid w:val="0006471C"/>
    <w:rsid w:val="00064736"/>
    <w:rsid w:val="00064814"/>
    <w:rsid w:val="000648C6"/>
    <w:rsid w:val="00064943"/>
    <w:rsid w:val="000649BB"/>
    <w:rsid w:val="00064A55"/>
    <w:rsid w:val="00064AC5"/>
    <w:rsid w:val="00064BB4"/>
    <w:rsid w:val="00064BC6"/>
    <w:rsid w:val="00064C67"/>
    <w:rsid w:val="00064D89"/>
    <w:rsid w:val="00064E62"/>
    <w:rsid w:val="00064E7B"/>
    <w:rsid w:val="00064EBB"/>
    <w:rsid w:val="00064ED3"/>
    <w:rsid w:val="00064F36"/>
    <w:rsid w:val="00064F41"/>
    <w:rsid w:val="00065273"/>
    <w:rsid w:val="0006534E"/>
    <w:rsid w:val="00065371"/>
    <w:rsid w:val="00065403"/>
    <w:rsid w:val="0006544F"/>
    <w:rsid w:val="000654D4"/>
    <w:rsid w:val="000654F1"/>
    <w:rsid w:val="00065528"/>
    <w:rsid w:val="00065532"/>
    <w:rsid w:val="000655B2"/>
    <w:rsid w:val="000655ED"/>
    <w:rsid w:val="0006564E"/>
    <w:rsid w:val="000656A0"/>
    <w:rsid w:val="000656C3"/>
    <w:rsid w:val="00065814"/>
    <w:rsid w:val="0006587F"/>
    <w:rsid w:val="00065980"/>
    <w:rsid w:val="00065982"/>
    <w:rsid w:val="00065999"/>
    <w:rsid w:val="000659C3"/>
    <w:rsid w:val="00065AE6"/>
    <w:rsid w:val="00065B92"/>
    <w:rsid w:val="00065B9B"/>
    <w:rsid w:val="00065C1C"/>
    <w:rsid w:val="00065C32"/>
    <w:rsid w:val="00065C75"/>
    <w:rsid w:val="00065EF6"/>
    <w:rsid w:val="00065F68"/>
    <w:rsid w:val="0006602E"/>
    <w:rsid w:val="00066076"/>
    <w:rsid w:val="00066094"/>
    <w:rsid w:val="000660AA"/>
    <w:rsid w:val="000660C9"/>
    <w:rsid w:val="00066102"/>
    <w:rsid w:val="00066113"/>
    <w:rsid w:val="00066194"/>
    <w:rsid w:val="0006619B"/>
    <w:rsid w:val="000661E3"/>
    <w:rsid w:val="0006625F"/>
    <w:rsid w:val="000662A3"/>
    <w:rsid w:val="000663DF"/>
    <w:rsid w:val="000663EC"/>
    <w:rsid w:val="00066445"/>
    <w:rsid w:val="00066468"/>
    <w:rsid w:val="00066491"/>
    <w:rsid w:val="00066511"/>
    <w:rsid w:val="00066604"/>
    <w:rsid w:val="0006663D"/>
    <w:rsid w:val="00066680"/>
    <w:rsid w:val="00066696"/>
    <w:rsid w:val="00066743"/>
    <w:rsid w:val="000667A5"/>
    <w:rsid w:val="00066809"/>
    <w:rsid w:val="00066888"/>
    <w:rsid w:val="000668D4"/>
    <w:rsid w:val="000669CB"/>
    <w:rsid w:val="00066A06"/>
    <w:rsid w:val="00066AFF"/>
    <w:rsid w:val="00066E16"/>
    <w:rsid w:val="00066E18"/>
    <w:rsid w:val="00066E80"/>
    <w:rsid w:val="00066F08"/>
    <w:rsid w:val="00066F3D"/>
    <w:rsid w:val="000670A1"/>
    <w:rsid w:val="000670E4"/>
    <w:rsid w:val="00067104"/>
    <w:rsid w:val="0006718A"/>
    <w:rsid w:val="000671EE"/>
    <w:rsid w:val="000671F5"/>
    <w:rsid w:val="0006727A"/>
    <w:rsid w:val="000672C9"/>
    <w:rsid w:val="000672E0"/>
    <w:rsid w:val="000672E2"/>
    <w:rsid w:val="000673F1"/>
    <w:rsid w:val="00067442"/>
    <w:rsid w:val="000674BC"/>
    <w:rsid w:val="000674DA"/>
    <w:rsid w:val="00067520"/>
    <w:rsid w:val="00067630"/>
    <w:rsid w:val="0006765C"/>
    <w:rsid w:val="0006773B"/>
    <w:rsid w:val="00067817"/>
    <w:rsid w:val="00067903"/>
    <w:rsid w:val="00067A02"/>
    <w:rsid w:val="00067C0B"/>
    <w:rsid w:val="00067C71"/>
    <w:rsid w:val="00067E7F"/>
    <w:rsid w:val="00067EAE"/>
    <w:rsid w:val="00067F58"/>
    <w:rsid w:val="00067F60"/>
    <w:rsid w:val="00070061"/>
    <w:rsid w:val="00070082"/>
    <w:rsid w:val="00070090"/>
    <w:rsid w:val="00070104"/>
    <w:rsid w:val="0007013D"/>
    <w:rsid w:val="000701B4"/>
    <w:rsid w:val="000701C0"/>
    <w:rsid w:val="000701EA"/>
    <w:rsid w:val="000703B2"/>
    <w:rsid w:val="00070447"/>
    <w:rsid w:val="00070511"/>
    <w:rsid w:val="00070583"/>
    <w:rsid w:val="000705DA"/>
    <w:rsid w:val="00070633"/>
    <w:rsid w:val="00070638"/>
    <w:rsid w:val="0007064C"/>
    <w:rsid w:val="0007069D"/>
    <w:rsid w:val="00070784"/>
    <w:rsid w:val="000708DC"/>
    <w:rsid w:val="00070931"/>
    <w:rsid w:val="000709CB"/>
    <w:rsid w:val="00070A26"/>
    <w:rsid w:val="00070B11"/>
    <w:rsid w:val="00070B97"/>
    <w:rsid w:val="00070C13"/>
    <w:rsid w:val="00070CC6"/>
    <w:rsid w:val="00070CFB"/>
    <w:rsid w:val="00070D5A"/>
    <w:rsid w:val="00070D8D"/>
    <w:rsid w:val="00070DBF"/>
    <w:rsid w:val="00070DEE"/>
    <w:rsid w:val="00070E23"/>
    <w:rsid w:val="00070E93"/>
    <w:rsid w:val="00070EB5"/>
    <w:rsid w:val="00070F0C"/>
    <w:rsid w:val="00070F1F"/>
    <w:rsid w:val="00070F57"/>
    <w:rsid w:val="00070FB7"/>
    <w:rsid w:val="00070FBC"/>
    <w:rsid w:val="0007100E"/>
    <w:rsid w:val="00071025"/>
    <w:rsid w:val="0007111B"/>
    <w:rsid w:val="000711C2"/>
    <w:rsid w:val="00071258"/>
    <w:rsid w:val="00071345"/>
    <w:rsid w:val="00071374"/>
    <w:rsid w:val="00071449"/>
    <w:rsid w:val="00071471"/>
    <w:rsid w:val="000714B6"/>
    <w:rsid w:val="000714D0"/>
    <w:rsid w:val="00071554"/>
    <w:rsid w:val="0007155C"/>
    <w:rsid w:val="00071601"/>
    <w:rsid w:val="00071624"/>
    <w:rsid w:val="0007177D"/>
    <w:rsid w:val="00071827"/>
    <w:rsid w:val="00071883"/>
    <w:rsid w:val="000718AE"/>
    <w:rsid w:val="000719D0"/>
    <w:rsid w:val="000719D9"/>
    <w:rsid w:val="00071A29"/>
    <w:rsid w:val="00071AE8"/>
    <w:rsid w:val="00071D0C"/>
    <w:rsid w:val="00071D20"/>
    <w:rsid w:val="00071D59"/>
    <w:rsid w:val="00071E23"/>
    <w:rsid w:val="00071E2D"/>
    <w:rsid w:val="00071E2E"/>
    <w:rsid w:val="00071ED6"/>
    <w:rsid w:val="00071F4A"/>
    <w:rsid w:val="00071F89"/>
    <w:rsid w:val="00072004"/>
    <w:rsid w:val="0007200B"/>
    <w:rsid w:val="0007201D"/>
    <w:rsid w:val="000720B6"/>
    <w:rsid w:val="00072120"/>
    <w:rsid w:val="0007217C"/>
    <w:rsid w:val="00072345"/>
    <w:rsid w:val="00072357"/>
    <w:rsid w:val="000723C8"/>
    <w:rsid w:val="000724D8"/>
    <w:rsid w:val="00072544"/>
    <w:rsid w:val="00072558"/>
    <w:rsid w:val="0007268F"/>
    <w:rsid w:val="0007269C"/>
    <w:rsid w:val="000726B1"/>
    <w:rsid w:val="00072746"/>
    <w:rsid w:val="0007277D"/>
    <w:rsid w:val="000727C6"/>
    <w:rsid w:val="000728E9"/>
    <w:rsid w:val="00072A63"/>
    <w:rsid w:val="00072AFA"/>
    <w:rsid w:val="00072C9F"/>
    <w:rsid w:val="00072CBE"/>
    <w:rsid w:val="00072D09"/>
    <w:rsid w:val="00072D5A"/>
    <w:rsid w:val="00072D70"/>
    <w:rsid w:val="00072DEF"/>
    <w:rsid w:val="00072E06"/>
    <w:rsid w:val="00072E09"/>
    <w:rsid w:val="00072F86"/>
    <w:rsid w:val="00072FBA"/>
    <w:rsid w:val="00073022"/>
    <w:rsid w:val="00073198"/>
    <w:rsid w:val="00073225"/>
    <w:rsid w:val="0007322F"/>
    <w:rsid w:val="0007333A"/>
    <w:rsid w:val="0007334B"/>
    <w:rsid w:val="00073399"/>
    <w:rsid w:val="000733D0"/>
    <w:rsid w:val="000734C5"/>
    <w:rsid w:val="000735DD"/>
    <w:rsid w:val="00073656"/>
    <w:rsid w:val="000736A2"/>
    <w:rsid w:val="000736C3"/>
    <w:rsid w:val="00073708"/>
    <w:rsid w:val="00073750"/>
    <w:rsid w:val="000737EE"/>
    <w:rsid w:val="00073821"/>
    <w:rsid w:val="0007398D"/>
    <w:rsid w:val="000739AF"/>
    <w:rsid w:val="00073AA5"/>
    <w:rsid w:val="00073AB7"/>
    <w:rsid w:val="00073C97"/>
    <w:rsid w:val="00073D0E"/>
    <w:rsid w:val="00073F8B"/>
    <w:rsid w:val="00073FB1"/>
    <w:rsid w:val="00073FD0"/>
    <w:rsid w:val="00074035"/>
    <w:rsid w:val="0007404C"/>
    <w:rsid w:val="00074155"/>
    <w:rsid w:val="0007416A"/>
    <w:rsid w:val="000741E7"/>
    <w:rsid w:val="00074365"/>
    <w:rsid w:val="0007437D"/>
    <w:rsid w:val="000743A9"/>
    <w:rsid w:val="00074406"/>
    <w:rsid w:val="00074434"/>
    <w:rsid w:val="00074444"/>
    <w:rsid w:val="000744AC"/>
    <w:rsid w:val="000744E3"/>
    <w:rsid w:val="00074513"/>
    <w:rsid w:val="000745CA"/>
    <w:rsid w:val="000746FC"/>
    <w:rsid w:val="00074766"/>
    <w:rsid w:val="000747AF"/>
    <w:rsid w:val="00074915"/>
    <w:rsid w:val="00074965"/>
    <w:rsid w:val="0007498E"/>
    <w:rsid w:val="000749A2"/>
    <w:rsid w:val="000749D0"/>
    <w:rsid w:val="000749FB"/>
    <w:rsid w:val="00074ABA"/>
    <w:rsid w:val="00074B04"/>
    <w:rsid w:val="00074D06"/>
    <w:rsid w:val="00074D89"/>
    <w:rsid w:val="00074DB2"/>
    <w:rsid w:val="00074DD5"/>
    <w:rsid w:val="00074E03"/>
    <w:rsid w:val="00074E06"/>
    <w:rsid w:val="00074E71"/>
    <w:rsid w:val="00074EE1"/>
    <w:rsid w:val="00074F27"/>
    <w:rsid w:val="00074FED"/>
    <w:rsid w:val="00074FF4"/>
    <w:rsid w:val="00075166"/>
    <w:rsid w:val="0007549D"/>
    <w:rsid w:val="0007556B"/>
    <w:rsid w:val="000756A4"/>
    <w:rsid w:val="00075752"/>
    <w:rsid w:val="000757E7"/>
    <w:rsid w:val="000757EE"/>
    <w:rsid w:val="00075802"/>
    <w:rsid w:val="00075810"/>
    <w:rsid w:val="0007585E"/>
    <w:rsid w:val="0007596D"/>
    <w:rsid w:val="00075A37"/>
    <w:rsid w:val="00075A40"/>
    <w:rsid w:val="00075A8E"/>
    <w:rsid w:val="00075ABF"/>
    <w:rsid w:val="00075BD6"/>
    <w:rsid w:val="00075C3C"/>
    <w:rsid w:val="00075C5D"/>
    <w:rsid w:val="00075CCD"/>
    <w:rsid w:val="00075CE2"/>
    <w:rsid w:val="00075D3E"/>
    <w:rsid w:val="00075D68"/>
    <w:rsid w:val="00075DE4"/>
    <w:rsid w:val="00075E4A"/>
    <w:rsid w:val="00075FF0"/>
    <w:rsid w:val="000761EA"/>
    <w:rsid w:val="000762A8"/>
    <w:rsid w:val="00076450"/>
    <w:rsid w:val="00076508"/>
    <w:rsid w:val="00076563"/>
    <w:rsid w:val="00076657"/>
    <w:rsid w:val="000766B0"/>
    <w:rsid w:val="000766D9"/>
    <w:rsid w:val="00076754"/>
    <w:rsid w:val="00076758"/>
    <w:rsid w:val="000767AA"/>
    <w:rsid w:val="00076825"/>
    <w:rsid w:val="000768AB"/>
    <w:rsid w:val="00076914"/>
    <w:rsid w:val="00076B44"/>
    <w:rsid w:val="00076B99"/>
    <w:rsid w:val="00076BAD"/>
    <w:rsid w:val="00076C6D"/>
    <w:rsid w:val="00076DD7"/>
    <w:rsid w:val="00076E1B"/>
    <w:rsid w:val="00076FC6"/>
    <w:rsid w:val="00077003"/>
    <w:rsid w:val="0007700F"/>
    <w:rsid w:val="000770D6"/>
    <w:rsid w:val="00077118"/>
    <w:rsid w:val="000771A6"/>
    <w:rsid w:val="00077261"/>
    <w:rsid w:val="00077320"/>
    <w:rsid w:val="00077423"/>
    <w:rsid w:val="0007746B"/>
    <w:rsid w:val="00077603"/>
    <w:rsid w:val="000778EB"/>
    <w:rsid w:val="0007794B"/>
    <w:rsid w:val="000779AE"/>
    <w:rsid w:val="00077A37"/>
    <w:rsid w:val="00077AB1"/>
    <w:rsid w:val="00077AD4"/>
    <w:rsid w:val="00077B3B"/>
    <w:rsid w:val="00077B5D"/>
    <w:rsid w:val="00077B60"/>
    <w:rsid w:val="00077CAB"/>
    <w:rsid w:val="00077CF5"/>
    <w:rsid w:val="00077D50"/>
    <w:rsid w:val="00077D9E"/>
    <w:rsid w:val="00077DEB"/>
    <w:rsid w:val="00077E96"/>
    <w:rsid w:val="00077EA2"/>
    <w:rsid w:val="00077F3A"/>
    <w:rsid w:val="00077FCE"/>
    <w:rsid w:val="00080274"/>
    <w:rsid w:val="0008034E"/>
    <w:rsid w:val="0008034F"/>
    <w:rsid w:val="00080398"/>
    <w:rsid w:val="00080525"/>
    <w:rsid w:val="00080569"/>
    <w:rsid w:val="000805B0"/>
    <w:rsid w:val="0008065E"/>
    <w:rsid w:val="0008068E"/>
    <w:rsid w:val="000806D2"/>
    <w:rsid w:val="0008079A"/>
    <w:rsid w:val="0008089C"/>
    <w:rsid w:val="000809E4"/>
    <w:rsid w:val="000809F7"/>
    <w:rsid w:val="00080AA7"/>
    <w:rsid w:val="00080AB8"/>
    <w:rsid w:val="00080B4D"/>
    <w:rsid w:val="00080B6C"/>
    <w:rsid w:val="00080C20"/>
    <w:rsid w:val="00080C93"/>
    <w:rsid w:val="00080CAB"/>
    <w:rsid w:val="00080E6D"/>
    <w:rsid w:val="00080E8F"/>
    <w:rsid w:val="00080EE2"/>
    <w:rsid w:val="00080F00"/>
    <w:rsid w:val="00080F52"/>
    <w:rsid w:val="00080F63"/>
    <w:rsid w:val="00081004"/>
    <w:rsid w:val="00081069"/>
    <w:rsid w:val="000810E4"/>
    <w:rsid w:val="0008112C"/>
    <w:rsid w:val="00081165"/>
    <w:rsid w:val="00081346"/>
    <w:rsid w:val="000813D7"/>
    <w:rsid w:val="00081463"/>
    <w:rsid w:val="0008151B"/>
    <w:rsid w:val="00081522"/>
    <w:rsid w:val="0008157B"/>
    <w:rsid w:val="00081598"/>
    <w:rsid w:val="0008160C"/>
    <w:rsid w:val="00081612"/>
    <w:rsid w:val="0008168B"/>
    <w:rsid w:val="0008168E"/>
    <w:rsid w:val="00081750"/>
    <w:rsid w:val="000817CC"/>
    <w:rsid w:val="000817FD"/>
    <w:rsid w:val="000818C2"/>
    <w:rsid w:val="000818F3"/>
    <w:rsid w:val="00081987"/>
    <w:rsid w:val="000819B4"/>
    <w:rsid w:val="00081B11"/>
    <w:rsid w:val="00081C01"/>
    <w:rsid w:val="00081C4B"/>
    <w:rsid w:val="00081CF9"/>
    <w:rsid w:val="00081D30"/>
    <w:rsid w:val="00081DD0"/>
    <w:rsid w:val="00081F95"/>
    <w:rsid w:val="00081FC3"/>
    <w:rsid w:val="00082036"/>
    <w:rsid w:val="000820AB"/>
    <w:rsid w:val="000820BB"/>
    <w:rsid w:val="0008211C"/>
    <w:rsid w:val="000821A6"/>
    <w:rsid w:val="000821C9"/>
    <w:rsid w:val="000823A9"/>
    <w:rsid w:val="000823C9"/>
    <w:rsid w:val="000824C9"/>
    <w:rsid w:val="0008250A"/>
    <w:rsid w:val="0008259A"/>
    <w:rsid w:val="000825FF"/>
    <w:rsid w:val="00082639"/>
    <w:rsid w:val="00082657"/>
    <w:rsid w:val="000826E3"/>
    <w:rsid w:val="000826E5"/>
    <w:rsid w:val="00082799"/>
    <w:rsid w:val="00082802"/>
    <w:rsid w:val="00082D20"/>
    <w:rsid w:val="00082D43"/>
    <w:rsid w:val="00082DCD"/>
    <w:rsid w:val="00082E1F"/>
    <w:rsid w:val="00082E45"/>
    <w:rsid w:val="00082E7D"/>
    <w:rsid w:val="00082EA9"/>
    <w:rsid w:val="00082ED3"/>
    <w:rsid w:val="00083078"/>
    <w:rsid w:val="000830E4"/>
    <w:rsid w:val="000830F2"/>
    <w:rsid w:val="00083106"/>
    <w:rsid w:val="00083231"/>
    <w:rsid w:val="00083256"/>
    <w:rsid w:val="00083325"/>
    <w:rsid w:val="00083388"/>
    <w:rsid w:val="000833DB"/>
    <w:rsid w:val="00083450"/>
    <w:rsid w:val="0008349E"/>
    <w:rsid w:val="00083587"/>
    <w:rsid w:val="00083596"/>
    <w:rsid w:val="000835A2"/>
    <w:rsid w:val="0008378B"/>
    <w:rsid w:val="0008379E"/>
    <w:rsid w:val="000837A9"/>
    <w:rsid w:val="0008380F"/>
    <w:rsid w:val="00083888"/>
    <w:rsid w:val="00083A3D"/>
    <w:rsid w:val="00083B88"/>
    <w:rsid w:val="00083BE5"/>
    <w:rsid w:val="00083CE0"/>
    <w:rsid w:val="00083D51"/>
    <w:rsid w:val="00083E10"/>
    <w:rsid w:val="00083E59"/>
    <w:rsid w:val="00083EBE"/>
    <w:rsid w:val="00083F4F"/>
    <w:rsid w:val="00083F6C"/>
    <w:rsid w:val="00083FCB"/>
    <w:rsid w:val="00083FF4"/>
    <w:rsid w:val="00084068"/>
    <w:rsid w:val="0008428F"/>
    <w:rsid w:val="000842B0"/>
    <w:rsid w:val="000842D4"/>
    <w:rsid w:val="0008435A"/>
    <w:rsid w:val="000843E9"/>
    <w:rsid w:val="00084512"/>
    <w:rsid w:val="00084585"/>
    <w:rsid w:val="0008459E"/>
    <w:rsid w:val="000845B1"/>
    <w:rsid w:val="000845EC"/>
    <w:rsid w:val="00084633"/>
    <w:rsid w:val="0008481B"/>
    <w:rsid w:val="0008482B"/>
    <w:rsid w:val="0008493F"/>
    <w:rsid w:val="0008497D"/>
    <w:rsid w:val="000849F8"/>
    <w:rsid w:val="00084A58"/>
    <w:rsid w:val="00084A5D"/>
    <w:rsid w:val="00084AE3"/>
    <w:rsid w:val="00084B19"/>
    <w:rsid w:val="00084B6F"/>
    <w:rsid w:val="00084C4D"/>
    <w:rsid w:val="00084C85"/>
    <w:rsid w:val="00084C8F"/>
    <w:rsid w:val="00084E15"/>
    <w:rsid w:val="00084EE5"/>
    <w:rsid w:val="00084F04"/>
    <w:rsid w:val="000850B5"/>
    <w:rsid w:val="000850F7"/>
    <w:rsid w:val="0008520A"/>
    <w:rsid w:val="0008530F"/>
    <w:rsid w:val="0008541E"/>
    <w:rsid w:val="0008542F"/>
    <w:rsid w:val="0008544A"/>
    <w:rsid w:val="000854CD"/>
    <w:rsid w:val="00085505"/>
    <w:rsid w:val="0008552E"/>
    <w:rsid w:val="00085535"/>
    <w:rsid w:val="00085544"/>
    <w:rsid w:val="0008556A"/>
    <w:rsid w:val="000855EB"/>
    <w:rsid w:val="000855F3"/>
    <w:rsid w:val="00085650"/>
    <w:rsid w:val="00085665"/>
    <w:rsid w:val="00085824"/>
    <w:rsid w:val="00085889"/>
    <w:rsid w:val="0008589E"/>
    <w:rsid w:val="000858C5"/>
    <w:rsid w:val="000858E4"/>
    <w:rsid w:val="000858FD"/>
    <w:rsid w:val="000859FB"/>
    <w:rsid w:val="00085A5C"/>
    <w:rsid w:val="00085A6E"/>
    <w:rsid w:val="00085AB2"/>
    <w:rsid w:val="00085B09"/>
    <w:rsid w:val="00085D11"/>
    <w:rsid w:val="00085D77"/>
    <w:rsid w:val="00085EAA"/>
    <w:rsid w:val="00085EAB"/>
    <w:rsid w:val="0008609F"/>
    <w:rsid w:val="00086128"/>
    <w:rsid w:val="00086146"/>
    <w:rsid w:val="0008623F"/>
    <w:rsid w:val="00086244"/>
    <w:rsid w:val="0008624F"/>
    <w:rsid w:val="0008628D"/>
    <w:rsid w:val="00086394"/>
    <w:rsid w:val="000863CD"/>
    <w:rsid w:val="000863D5"/>
    <w:rsid w:val="000863F5"/>
    <w:rsid w:val="0008644E"/>
    <w:rsid w:val="000864E4"/>
    <w:rsid w:val="000864FF"/>
    <w:rsid w:val="000865BD"/>
    <w:rsid w:val="0008668D"/>
    <w:rsid w:val="00086714"/>
    <w:rsid w:val="000868B8"/>
    <w:rsid w:val="00086A3B"/>
    <w:rsid w:val="00086C45"/>
    <w:rsid w:val="00086D54"/>
    <w:rsid w:val="00086D73"/>
    <w:rsid w:val="00086DC2"/>
    <w:rsid w:val="00086E6B"/>
    <w:rsid w:val="00086E8E"/>
    <w:rsid w:val="00086ECC"/>
    <w:rsid w:val="00086EF6"/>
    <w:rsid w:val="00086F43"/>
    <w:rsid w:val="00086F5E"/>
    <w:rsid w:val="000870A2"/>
    <w:rsid w:val="00087285"/>
    <w:rsid w:val="00087322"/>
    <w:rsid w:val="00087329"/>
    <w:rsid w:val="00087386"/>
    <w:rsid w:val="00087483"/>
    <w:rsid w:val="000877CA"/>
    <w:rsid w:val="000878C1"/>
    <w:rsid w:val="0008791E"/>
    <w:rsid w:val="00087978"/>
    <w:rsid w:val="000879EF"/>
    <w:rsid w:val="00087A5C"/>
    <w:rsid w:val="00087A89"/>
    <w:rsid w:val="00087B26"/>
    <w:rsid w:val="00087B2B"/>
    <w:rsid w:val="00087BB8"/>
    <w:rsid w:val="00087C34"/>
    <w:rsid w:val="00087C79"/>
    <w:rsid w:val="00087C91"/>
    <w:rsid w:val="00087D12"/>
    <w:rsid w:val="00087DF6"/>
    <w:rsid w:val="00087E24"/>
    <w:rsid w:val="00087E3D"/>
    <w:rsid w:val="00087E42"/>
    <w:rsid w:val="00087E4D"/>
    <w:rsid w:val="00087EF1"/>
    <w:rsid w:val="00090005"/>
    <w:rsid w:val="00090017"/>
    <w:rsid w:val="0009004E"/>
    <w:rsid w:val="00090129"/>
    <w:rsid w:val="00090176"/>
    <w:rsid w:val="00090220"/>
    <w:rsid w:val="00090282"/>
    <w:rsid w:val="000902B4"/>
    <w:rsid w:val="000902F4"/>
    <w:rsid w:val="000902FF"/>
    <w:rsid w:val="00090324"/>
    <w:rsid w:val="00090561"/>
    <w:rsid w:val="000905FA"/>
    <w:rsid w:val="00090696"/>
    <w:rsid w:val="000906DC"/>
    <w:rsid w:val="0009076D"/>
    <w:rsid w:val="00090791"/>
    <w:rsid w:val="0009088F"/>
    <w:rsid w:val="00090936"/>
    <w:rsid w:val="00090998"/>
    <w:rsid w:val="00090AC2"/>
    <w:rsid w:val="00090C10"/>
    <w:rsid w:val="00090C4A"/>
    <w:rsid w:val="00090C7B"/>
    <w:rsid w:val="00090D26"/>
    <w:rsid w:val="00090E95"/>
    <w:rsid w:val="00090FC9"/>
    <w:rsid w:val="00090FCD"/>
    <w:rsid w:val="00090FFB"/>
    <w:rsid w:val="000911B1"/>
    <w:rsid w:val="000911CC"/>
    <w:rsid w:val="0009136B"/>
    <w:rsid w:val="000913D8"/>
    <w:rsid w:val="000914CF"/>
    <w:rsid w:val="000915D0"/>
    <w:rsid w:val="000916C7"/>
    <w:rsid w:val="000916DE"/>
    <w:rsid w:val="00091761"/>
    <w:rsid w:val="00091857"/>
    <w:rsid w:val="000918E4"/>
    <w:rsid w:val="00091975"/>
    <w:rsid w:val="00091A44"/>
    <w:rsid w:val="00091AC6"/>
    <w:rsid w:val="00091BD0"/>
    <w:rsid w:val="00091C21"/>
    <w:rsid w:val="00091C60"/>
    <w:rsid w:val="00091D34"/>
    <w:rsid w:val="00091DA9"/>
    <w:rsid w:val="00091E75"/>
    <w:rsid w:val="00091EA2"/>
    <w:rsid w:val="00091F6A"/>
    <w:rsid w:val="000920C9"/>
    <w:rsid w:val="00092241"/>
    <w:rsid w:val="00092253"/>
    <w:rsid w:val="000922A9"/>
    <w:rsid w:val="00092426"/>
    <w:rsid w:val="0009243F"/>
    <w:rsid w:val="0009249B"/>
    <w:rsid w:val="00092511"/>
    <w:rsid w:val="00092613"/>
    <w:rsid w:val="00092714"/>
    <w:rsid w:val="000928E2"/>
    <w:rsid w:val="0009293C"/>
    <w:rsid w:val="000929B8"/>
    <w:rsid w:val="00092AF2"/>
    <w:rsid w:val="00092C27"/>
    <w:rsid w:val="00092C3F"/>
    <w:rsid w:val="00092D98"/>
    <w:rsid w:val="00092E05"/>
    <w:rsid w:val="00092EAA"/>
    <w:rsid w:val="00092F43"/>
    <w:rsid w:val="00092F85"/>
    <w:rsid w:val="00093006"/>
    <w:rsid w:val="000930A1"/>
    <w:rsid w:val="000930E3"/>
    <w:rsid w:val="000931C4"/>
    <w:rsid w:val="00093257"/>
    <w:rsid w:val="00093293"/>
    <w:rsid w:val="000932D0"/>
    <w:rsid w:val="000932F4"/>
    <w:rsid w:val="0009337B"/>
    <w:rsid w:val="00093581"/>
    <w:rsid w:val="000936F4"/>
    <w:rsid w:val="00093712"/>
    <w:rsid w:val="00093718"/>
    <w:rsid w:val="0009375B"/>
    <w:rsid w:val="00093816"/>
    <w:rsid w:val="000938C7"/>
    <w:rsid w:val="00093903"/>
    <w:rsid w:val="000939D9"/>
    <w:rsid w:val="00093A21"/>
    <w:rsid w:val="00093A4A"/>
    <w:rsid w:val="00093B25"/>
    <w:rsid w:val="00093C4C"/>
    <w:rsid w:val="00093C6A"/>
    <w:rsid w:val="00093D20"/>
    <w:rsid w:val="00093E2B"/>
    <w:rsid w:val="00093E9F"/>
    <w:rsid w:val="00093EB3"/>
    <w:rsid w:val="00093F2A"/>
    <w:rsid w:val="00093F2D"/>
    <w:rsid w:val="00093F8B"/>
    <w:rsid w:val="00093F99"/>
    <w:rsid w:val="00093FC4"/>
    <w:rsid w:val="00094025"/>
    <w:rsid w:val="00094097"/>
    <w:rsid w:val="00094173"/>
    <w:rsid w:val="00094191"/>
    <w:rsid w:val="000941F1"/>
    <w:rsid w:val="000941FE"/>
    <w:rsid w:val="00094374"/>
    <w:rsid w:val="00094390"/>
    <w:rsid w:val="000944F1"/>
    <w:rsid w:val="00094575"/>
    <w:rsid w:val="00094584"/>
    <w:rsid w:val="000945A6"/>
    <w:rsid w:val="000945DB"/>
    <w:rsid w:val="00094661"/>
    <w:rsid w:val="00094689"/>
    <w:rsid w:val="00094831"/>
    <w:rsid w:val="00094962"/>
    <w:rsid w:val="0009499A"/>
    <w:rsid w:val="000949B7"/>
    <w:rsid w:val="000949DD"/>
    <w:rsid w:val="00094B10"/>
    <w:rsid w:val="00094CC5"/>
    <w:rsid w:val="00094EEF"/>
    <w:rsid w:val="00094FAC"/>
    <w:rsid w:val="00095028"/>
    <w:rsid w:val="0009516F"/>
    <w:rsid w:val="00095250"/>
    <w:rsid w:val="00095285"/>
    <w:rsid w:val="000952AB"/>
    <w:rsid w:val="0009532C"/>
    <w:rsid w:val="0009533D"/>
    <w:rsid w:val="00095466"/>
    <w:rsid w:val="00095502"/>
    <w:rsid w:val="00095544"/>
    <w:rsid w:val="0009559A"/>
    <w:rsid w:val="00095618"/>
    <w:rsid w:val="00095663"/>
    <w:rsid w:val="00095712"/>
    <w:rsid w:val="0009578C"/>
    <w:rsid w:val="00095791"/>
    <w:rsid w:val="00095A0A"/>
    <w:rsid w:val="00095A5B"/>
    <w:rsid w:val="00095A79"/>
    <w:rsid w:val="00095ACE"/>
    <w:rsid w:val="00095AEF"/>
    <w:rsid w:val="00095B1A"/>
    <w:rsid w:val="00095B95"/>
    <w:rsid w:val="00095D39"/>
    <w:rsid w:val="00095DE3"/>
    <w:rsid w:val="00095F4C"/>
    <w:rsid w:val="00095FCD"/>
    <w:rsid w:val="00096135"/>
    <w:rsid w:val="00096203"/>
    <w:rsid w:val="0009621B"/>
    <w:rsid w:val="000962F8"/>
    <w:rsid w:val="00096369"/>
    <w:rsid w:val="0009636B"/>
    <w:rsid w:val="00096372"/>
    <w:rsid w:val="00096421"/>
    <w:rsid w:val="00096667"/>
    <w:rsid w:val="000966A7"/>
    <w:rsid w:val="000966B7"/>
    <w:rsid w:val="000966FE"/>
    <w:rsid w:val="00096836"/>
    <w:rsid w:val="00096907"/>
    <w:rsid w:val="00096949"/>
    <w:rsid w:val="0009694C"/>
    <w:rsid w:val="000969FF"/>
    <w:rsid w:val="00096AE9"/>
    <w:rsid w:val="00096B33"/>
    <w:rsid w:val="00096BA9"/>
    <w:rsid w:val="00096C52"/>
    <w:rsid w:val="00096D09"/>
    <w:rsid w:val="00096D12"/>
    <w:rsid w:val="00096E6A"/>
    <w:rsid w:val="00096EAF"/>
    <w:rsid w:val="00096F58"/>
    <w:rsid w:val="00097021"/>
    <w:rsid w:val="000970DC"/>
    <w:rsid w:val="000970DF"/>
    <w:rsid w:val="0009714F"/>
    <w:rsid w:val="00097239"/>
    <w:rsid w:val="0009726A"/>
    <w:rsid w:val="00097353"/>
    <w:rsid w:val="00097420"/>
    <w:rsid w:val="000975D5"/>
    <w:rsid w:val="000975FE"/>
    <w:rsid w:val="000976BD"/>
    <w:rsid w:val="000977E3"/>
    <w:rsid w:val="00097836"/>
    <w:rsid w:val="00097A1D"/>
    <w:rsid w:val="00097A2D"/>
    <w:rsid w:val="00097A7E"/>
    <w:rsid w:val="00097C26"/>
    <w:rsid w:val="00097C7E"/>
    <w:rsid w:val="00097CB7"/>
    <w:rsid w:val="00097CEC"/>
    <w:rsid w:val="00097E8C"/>
    <w:rsid w:val="00097F18"/>
    <w:rsid w:val="00097FA9"/>
    <w:rsid w:val="000A008E"/>
    <w:rsid w:val="000A025E"/>
    <w:rsid w:val="000A0267"/>
    <w:rsid w:val="000A02AE"/>
    <w:rsid w:val="000A02B7"/>
    <w:rsid w:val="000A02C2"/>
    <w:rsid w:val="000A03AF"/>
    <w:rsid w:val="000A03D2"/>
    <w:rsid w:val="000A056A"/>
    <w:rsid w:val="000A059F"/>
    <w:rsid w:val="000A0652"/>
    <w:rsid w:val="000A0685"/>
    <w:rsid w:val="000A0785"/>
    <w:rsid w:val="000A0832"/>
    <w:rsid w:val="000A087D"/>
    <w:rsid w:val="000A0908"/>
    <w:rsid w:val="000A095E"/>
    <w:rsid w:val="000A0977"/>
    <w:rsid w:val="000A0978"/>
    <w:rsid w:val="000A09A4"/>
    <w:rsid w:val="000A0AE1"/>
    <w:rsid w:val="000A0B4A"/>
    <w:rsid w:val="000A0B51"/>
    <w:rsid w:val="000A0C49"/>
    <w:rsid w:val="000A0D32"/>
    <w:rsid w:val="000A0DFD"/>
    <w:rsid w:val="000A0E0D"/>
    <w:rsid w:val="000A0E19"/>
    <w:rsid w:val="000A0E91"/>
    <w:rsid w:val="000A0F8D"/>
    <w:rsid w:val="000A1025"/>
    <w:rsid w:val="000A10F9"/>
    <w:rsid w:val="000A1138"/>
    <w:rsid w:val="000A1185"/>
    <w:rsid w:val="000A11F5"/>
    <w:rsid w:val="000A131A"/>
    <w:rsid w:val="000A132D"/>
    <w:rsid w:val="000A13C2"/>
    <w:rsid w:val="000A1460"/>
    <w:rsid w:val="000A150F"/>
    <w:rsid w:val="000A15B8"/>
    <w:rsid w:val="000A16B1"/>
    <w:rsid w:val="000A16F3"/>
    <w:rsid w:val="000A1787"/>
    <w:rsid w:val="000A18AC"/>
    <w:rsid w:val="000A18C3"/>
    <w:rsid w:val="000A1956"/>
    <w:rsid w:val="000A1985"/>
    <w:rsid w:val="000A1A14"/>
    <w:rsid w:val="000A1A3D"/>
    <w:rsid w:val="000A1D71"/>
    <w:rsid w:val="000A1DC9"/>
    <w:rsid w:val="000A1E04"/>
    <w:rsid w:val="000A1ECD"/>
    <w:rsid w:val="000A1EDB"/>
    <w:rsid w:val="000A1EF0"/>
    <w:rsid w:val="000A1EFB"/>
    <w:rsid w:val="000A1EFF"/>
    <w:rsid w:val="000A1FA8"/>
    <w:rsid w:val="000A1FAD"/>
    <w:rsid w:val="000A1FE9"/>
    <w:rsid w:val="000A201B"/>
    <w:rsid w:val="000A2111"/>
    <w:rsid w:val="000A2124"/>
    <w:rsid w:val="000A23F1"/>
    <w:rsid w:val="000A23FC"/>
    <w:rsid w:val="000A2408"/>
    <w:rsid w:val="000A242F"/>
    <w:rsid w:val="000A24CE"/>
    <w:rsid w:val="000A2567"/>
    <w:rsid w:val="000A2661"/>
    <w:rsid w:val="000A2690"/>
    <w:rsid w:val="000A288D"/>
    <w:rsid w:val="000A28BB"/>
    <w:rsid w:val="000A29BB"/>
    <w:rsid w:val="000A2A9E"/>
    <w:rsid w:val="000A2C40"/>
    <w:rsid w:val="000A2C46"/>
    <w:rsid w:val="000A2C95"/>
    <w:rsid w:val="000A2CAE"/>
    <w:rsid w:val="000A2D19"/>
    <w:rsid w:val="000A2EA4"/>
    <w:rsid w:val="000A2FE7"/>
    <w:rsid w:val="000A306F"/>
    <w:rsid w:val="000A3096"/>
    <w:rsid w:val="000A3227"/>
    <w:rsid w:val="000A331F"/>
    <w:rsid w:val="000A3323"/>
    <w:rsid w:val="000A3342"/>
    <w:rsid w:val="000A33E5"/>
    <w:rsid w:val="000A3409"/>
    <w:rsid w:val="000A34DA"/>
    <w:rsid w:val="000A34E7"/>
    <w:rsid w:val="000A3506"/>
    <w:rsid w:val="000A351B"/>
    <w:rsid w:val="000A3588"/>
    <w:rsid w:val="000A35FB"/>
    <w:rsid w:val="000A3617"/>
    <w:rsid w:val="000A36F7"/>
    <w:rsid w:val="000A37E2"/>
    <w:rsid w:val="000A38BE"/>
    <w:rsid w:val="000A3923"/>
    <w:rsid w:val="000A3956"/>
    <w:rsid w:val="000A3963"/>
    <w:rsid w:val="000A3A63"/>
    <w:rsid w:val="000A3B13"/>
    <w:rsid w:val="000A3B4F"/>
    <w:rsid w:val="000A3C1F"/>
    <w:rsid w:val="000A3CB0"/>
    <w:rsid w:val="000A3E32"/>
    <w:rsid w:val="000A3FE7"/>
    <w:rsid w:val="000A4066"/>
    <w:rsid w:val="000A431E"/>
    <w:rsid w:val="000A4393"/>
    <w:rsid w:val="000A4546"/>
    <w:rsid w:val="000A45DB"/>
    <w:rsid w:val="000A462A"/>
    <w:rsid w:val="000A462F"/>
    <w:rsid w:val="000A4663"/>
    <w:rsid w:val="000A4772"/>
    <w:rsid w:val="000A47C4"/>
    <w:rsid w:val="000A4828"/>
    <w:rsid w:val="000A48FE"/>
    <w:rsid w:val="000A4943"/>
    <w:rsid w:val="000A495A"/>
    <w:rsid w:val="000A49B1"/>
    <w:rsid w:val="000A4A3C"/>
    <w:rsid w:val="000A4B43"/>
    <w:rsid w:val="000A4BA2"/>
    <w:rsid w:val="000A4D97"/>
    <w:rsid w:val="000A4DD5"/>
    <w:rsid w:val="000A4E63"/>
    <w:rsid w:val="000A4EF4"/>
    <w:rsid w:val="000A5060"/>
    <w:rsid w:val="000A50ED"/>
    <w:rsid w:val="000A51B6"/>
    <w:rsid w:val="000A5259"/>
    <w:rsid w:val="000A5283"/>
    <w:rsid w:val="000A5349"/>
    <w:rsid w:val="000A53BF"/>
    <w:rsid w:val="000A53CC"/>
    <w:rsid w:val="000A53CD"/>
    <w:rsid w:val="000A546E"/>
    <w:rsid w:val="000A5479"/>
    <w:rsid w:val="000A56B7"/>
    <w:rsid w:val="000A5774"/>
    <w:rsid w:val="000A57EA"/>
    <w:rsid w:val="000A5879"/>
    <w:rsid w:val="000A58AD"/>
    <w:rsid w:val="000A5913"/>
    <w:rsid w:val="000A5A1C"/>
    <w:rsid w:val="000A5A4C"/>
    <w:rsid w:val="000A5A95"/>
    <w:rsid w:val="000A5B51"/>
    <w:rsid w:val="000A5B76"/>
    <w:rsid w:val="000A5B80"/>
    <w:rsid w:val="000A5B83"/>
    <w:rsid w:val="000A5BF7"/>
    <w:rsid w:val="000A5C37"/>
    <w:rsid w:val="000A5C44"/>
    <w:rsid w:val="000A5C9A"/>
    <w:rsid w:val="000A5D19"/>
    <w:rsid w:val="000A5DAA"/>
    <w:rsid w:val="000A5EA6"/>
    <w:rsid w:val="000A5FE8"/>
    <w:rsid w:val="000A60D2"/>
    <w:rsid w:val="000A60E7"/>
    <w:rsid w:val="000A612D"/>
    <w:rsid w:val="000A615F"/>
    <w:rsid w:val="000A61D8"/>
    <w:rsid w:val="000A628C"/>
    <w:rsid w:val="000A62A3"/>
    <w:rsid w:val="000A6379"/>
    <w:rsid w:val="000A6485"/>
    <w:rsid w:val="000A64AB"/>
    <w:rsid w:val="000A64B4"/>
    <w:rsid w:val="000A64CD"/>
    <w:rsid w:val="000A6530"/>
    <w:rsid w:val="000A670B"/>
    <w:rsid w:val="000A6741"/>
    <w:rsid w:val="000A6A92"/>
    <w:rsid w:val="000A6C7E"/>
    <w:rsid w:val="000A6C8C"/>
    <w:rsid w:val="000A6CE1"/>
    <w:rsid w:val="000A6CFB"/>
    <w:rsid w:val="000A6CFE"/>
    <w:rsid w:val="000A6D55"/>
    <w:rsid w:val="000A6E2C"/>
    <w:rsid w:val="000A704C"/>
    <w:rsid w:val="000A7202"/>
    <w:rsid w:val="000A723D"/>
    <w:rsid w:val="000A7338"/>
    <w:rsid w:val="000A735C"/>
    <w:rsid w:val="000A737E"/>
    <w:rsid w:val="000A74CA"/>
    <w:rsid w:val="000A74F5"/>
    <w:rsid w:val="000A756B"/>
    <w:rsid w:val="000A761C"/>
    <w:rsid w:val="000A7651"/>
    <w:rsid w:val="000A771E"/>
    <w:rsid w:val="000A7739"/>
    <w:rsid w:val="000A774B"/>
    <w:rsid w:val="000A7793"/>
    <w:rsid w:val="000A78DF"/>
    <w:rsid w:val="000A7BCF"/>
    <w:rsid w:val="000A7C08"/>
    <w:rsid w:val="000A7C11"/>
    <w:rsid w:val="000A7DC1"/>
    <w:rsid w:val="000A7DE5"/>
    <w:rsid w:val="000A7DEF"/>
    <w:rsid w:val="000A7E05"/>
    <w:rsid w:val="000A7E58"/>
    <w:rsid w:val="000A7EC5"/>
    <w:rsid w:val="000A7F0B"/>
    <w:rsid w:val="000B016F"/>
    <w:rsid w:val="000B0394"/>
    <w:rsid w:val="000B049B"/>
    <w:rsid w:val="000B04BE"/>
    <w:rsid w:val="000B0560"/>
    <w:rsid w:val="000B0572"/>
    <w:rsid w:val="000B05CA"/>
    <w:rsid w:val="000B0608"/>
    <w:rsid w:val="000B060C"/>
    <w:rsid w:val="000B06E8"/>
    <w:rsid w:val="000B0731"/>
    <w:rsid w:val="000B0768"/>
    <w:rsid w:val="000B088E"/>
    <w:rsid w:val="000B0929"/>
    <w:rsid w:val="000B09EA"/>
    <w:rsid w:val="000B0A25"/>
    <w:rsid w:val="000B0A2B"/>
    <w:rsid w:val="000B0A32"/>
    <w:rsid w:val="000B0BD9"/>
    <w:rsid w:val="000B0CFE"/>
    <w:rsid w:val="000B0D01"/>
    <w:rsid w:val="000B0D59"/>
    <w:rsid w:val="000B0E05"/>
    <w:rsid w:val="000B0F76"/>
    <w:rsid w:val="000B0FB4"/>
    <w:rsid w:val="000B1063"/>
    <w:rsid w:val="000B1143"/>
    <w:rsid w:val="000B121D"/>
    <w:rsid w:val="000B12DE"/>
    <w:rsid w:val="000B1466"/>
    <w:rsid w:val="000B148F"/>
    <w:rsid w:val="000B15FD"/>
    <w:rsid w:val="000B1630"/>
    <w:rsid w:val="000B16B8"/>
    <w:rsid w:val="000B16E8"/>
    <w:rsid w:val="000B18F5"/>
    <w:rsid w:val="000B195C"/>
    <w:rsid w:val="000B19CC"/>
    <w:rsid w:val="000B19D9"/>
    <w:rsid w:val="000B1A16"/>
    <w:rsid w:val="000B1B0B"/>
    <w:rsid w:val="000B1B67"/>
    <w:rsid w:val="000B1B8B"/>
    <w:rsid w:val="000B1BE4"/>
    <w:rsid w:val="000B1C1C"/>
    <w:rsid w:val="000B1C3A"/>
    <w:rsid w:val="000B1C73"/>
    <w:rsid w:val="000B1CFD"/>
    <w:rsid w:val="000B1D55"/>
    <w:rsid w:val="000B1D95"/>
    <w:rsid w:val="000B1DC4"/>
    <w:rsid w:val="000B1DDD"/>
    <w:rsid w:val="000B1ECD"/>
    <w:rsid w:val="000B1EF5"/>
    <w:rsid w:val="000B203D"/>
    <w:rsid w:val="000B2089"/>
    <w:rsid w:val="000B2104"/>
    <w:rsid w:val="000B2146"/>
    <w:rsid w:val="000B22B1"/>
    <w:rsid w:val="000B2354"/>
    <w:rsid w:val="000B2484"/>
    <w:rsid w:val="000B2491"/>
    <w:rsid w:val="000B2557"/>
    <w:rsid w:val="000B2592"/>
    <w:rsid w:val="000B26AF"/>
    <w:rsid w:val="000B26B3"/>
    <w:rsid w:val="000B26F4"/>
    <w:rsid w:val="000B27CE"/>
    <w:rsid w:val="000B2877"/>
    <w:rsid w:val="000B2894"/>
    <w:rsid w:val="000B2917"/>
    <w:rsid w:val="000B2941"/>
    <w:rsid w:val="000B2A13"/>
    <w:rsid w:val="000B2BA1"/>
    <w:rsid w:val="000B2CB7"/>
    <w:rsid w:val="000B3016"/>
    <w:rsid w:val="000B3049"/>
    <w:rsid w:val="000B3164"/>
    <w:rsid w:val="000B318B"/>
    <w:rsid w:val="000B319B"/>
    <w:rsid w:val="000B31E8"/>
    <w:rsid w:val="000B32A9"/>
    <w:rsid w:val="000B339D"/>
    <w:rsid w:val="000B3423"/>
    <w:rsid w:val="000B34E6"/>
    <w:rsid w:val="000B352B"/>
    <w:rsid w:val="000B3577"/>
    <w:rsid w:val="000B37C6"/>
    <w:rsid w:val="000B3808"/>
    <w:rsid w:val="000B39BC"/>
    <w:rsid w:val="000B39ED"/>
    <w:rsid w:val="000B3A4A"/>
    <w:rsid w:val="000B3A62"/>
    <w:rsid w:val="000B3A98"/>
    <w:rsid w:val="000B3A9F"/>
    <w:rsid w:val="000B3AB9"/>
    <w:rsid w:val="000B3ACB"/>
    <w:rsid w:val="000B3B58"/>
    <w:rsid w:val="000B3BFA"/>
    <w:rsid w:val="000B3CC2"/>
    <w:rsid w:val="000B3D10"/>
    <w:rsid w:val="000B3D38"/>
    <w:rsid w:val="000B3EF4"/>
    <w:rsid w:val="000B4001"/>
    <w:rsid w:val="000B407F"/>
    <w:rsid w:val="000B40AB"/>
    <w:rsid w:val="000B40DB"/>
    <w:rsid w:val="000B40F9"/>
    <w:rsid w:val="000B417B"/>
    <w:rsid w:val="000B418E"/>
    <w:rsid w:val="000B42B2"/>
    <w:rsid w:val="000B42B8"/>
    <w:rsid w:val="000B42EA"/>
    <w:rsid w:val="000B42F2"/>
    <w:rsid w:val="000B4362"/>
    <w:rsid w:val="000B439C"/>
    <w:rsid w:val="000B43EF"/>
    <w:rsid w:val="000B4436"/>
    <w:rsid w:val="000B4478"/>
    <w:rsid w:val="000B44BA"/>
    <w:rsid w:val="000B44FB"/>
    <w:rsid w:val="000B4508"/>
    <w:rsid w:val="000B45BD"/>
    <w:rsid w:val="000B4603"/>
    <w:rsid w:val="000B466F"/>
    <w:rsid w:val="000B4852"/>
    <w:rsid w:val="000B48A2"/>
    <w:rsid w:val="000B48BA"/>
    <w:rsid w:val="000B4A22"/>
    <w:rsid w:val="000B4A26"/>
    <w:rsid w:val="000B4A89"/>
    <w:rsid w:val="000B4A91"/>
    <w:rsid w:val="000B4B1B"/>
    <w:rsid w:val="000B4B44"/>
    <w:rsid w:val="000B4CCD"/>
    <w:rsid w:val="000B4E45"/>
    <w:rsid w:val="000B4E6D"/>
    <w:rsid w:val="000B4F59"/>
    <w:rsid w:val="000B4FBD"/>
    <w:rsid w:val="000B4FFD"/>
    <w:rsid w:val="000B5074"/>
    <w:rsid w:val="000B50FA"/>
    <w:rsid w:val="000B5125"/>
    <w:rsid w:val="000B51C6"/>
    <w:rsid w:val="000B5204"/>
    <w:rsid w:val="000B523E"/>
    <w:rsid w:val="000B5312"/>
    <w:rsid w:val="000B5352"/>
    <w:rsid w:val="000B53DE"/>
    <w:rsid w:val="000B53EC"/>
    <w:rsid w:val="000B5484"/>
    <w:rsid w:val="000B548D"/>
    <w:rsid w:val="000B568E"/>
    <w:rsid w:val="000B56A5"/>
    <w:rsid w:val="000B5AB0"/>
    <w:rsid w:val="000B5B8B"/>
    <w:rsid w:val="000B5BAE"/>
    <w:rsid w:val="000B5BFB"/>
    <w:rsid w:val="000B5CB3"/>
    <w:rsid w:val="000B5D40"/>
    <w:rsid w:val="000B5DD5"/>
    <w:rsid w:val="000B5FB5"/>
    <w:rsid w:val="000B5FEF"/>
    <w:rsid w:val="000B6058"/>
    <w:rsid w:val="000B6293"/>
    <w:rsid w:val="000B64E2"/>
    <w:rsid w:val="000B671C"/>
    <w:rsid w:val="000B6755"/>
    <w:rsid w:val="000B67C8"/>
    <w:rsid w:val="000B67E9"/>
    <w:rsid w:val="000B6855"/>
    <w:rsid w:val="000B687B"/>
    <w:rsid w:val="000B69F8"/>
    <w:rsid w:val="000B6AF2"/>
    <w:rsid w:val="000B6C9F"/>
    <w:rsid w:val="000B6CA1"/>
    <w:rsid w:val="000B6D45"/>
    <w:rsid w:val="000B6E95"/>
    <w:rsid w:val="000B6F88"/>
    <w:rsid w:val="000B70FC"/>
    <w:rsid w:val="000B713C"/>
    <w:rsid w:val="000B72C9"/>
    <w:rsid w:val="000B72FA"/>
    <w:rsid w:val="000B7351"/>
    <w:rsid w:val="000B74AB"/>
    <w:rsid w:val="000B75A8"/>
    <w:rsid w:val="000B7677"/>
    <w:rsid w:val="000B76FB"/>
    <w:rsid w:val="000B774D"/>
    <w:rsid w:val="000B7780"/>
    <w:rsid w:val="000B7782"/>
    <w:rsid w:val="000B7850"/>
    <w:rsid w:val="000B788E"/>
    <w:rsid w:val="000B78F1"/>
    <w:rsid w:val="000B7935"/>
    <w:rsid w:val="000B79F8"/>
    <w:rsid w:val="000B7A27"/>
    <w:rsid w:val="000B7A4A"/>
    <w:rsid w:val="000B7B5A"/>
    <w:rsid w:val="000B7CA1"/>
    <w:rsid w:val="000B7CD9"/>
    <w:rsid w:val="000B7CED"/>
    <w:rsid w:val="000B7D62"/>
    <w:rsid w:val="000B7DC4"/>
    <w:rsid w:val="000B7DCE"/>
    <w:rsid w:val="000B7E37"/>
    <w:rsid w:val="000B7EE4"/>
    <w:rsid w:val="000B7F69"/>
    <w:rsid w:val="000C00E3"/>
    <w:rsid w:val="000C0101"/>
    <w:rsid w:val="000C015B"/>
    <w:rsid w:val="000C0252"/>
    <w:rsid w:val="000C02F9"/>
    <w:rsid w:val="000C03C3"/>
    <w:rsid w:val="000C0418"/>
    <w:rsid w:val="000C0422"/>
    <w:rsid w:val="000C045D"/>
    <w:rsid w:val="000C04C8"/>
    <w:rsid w:val="000C04E5"/>
    <w:rsid w:val="000C0520"/>
    <w:rsid w:val="000C0574"/>
    <w:rsid w:val="000C0587"/>
    <w:rsid w:val="000C05C1"/>
    <w:rsid w:val="000C05D0"/>
    <w:rsid w:val="000C06E7"/>
    <w:rsid w:val="000C074A"/>
    <w:rsid w:val="000C088E"/>
    <w:rsid w:val="000C08EC"/>
    <w:rsid w:val="000C09EA"/>
    <w:rsid w:val="000C0AC4"/>
    <w:rsid w:val="000C0ADB"/>
    <w:rsid w:val="000C0AE6"/>
    <w:rsid w:val="000C0B1B"/>
    <w:rsid w:val="000C0B93"/>
    <w:rsid w:val="000C0D3B"/>
    <w:rsid w:val="000C0F7A"/>
    <w:rsid w:val="000C0FD0"/>
    <w:rsid w:val="000C0FDD"/>
    <w:rsid w:val="000C108E"/>
    <w:rsid w:val="000C116E"/>
    <w:rsid w:val="000C11A3"/>
    <w:rsid w:val="000C11E9"/>
    <w:rsid w:val="000C1245"/>
    <w:rsid w:val="000C1335"/>
    <w:rsid w:val="000C15CD"/>
    <w:rsid w:val="000C169F"/>
    <w:rsid w:val="000C173C"/>
    <w:rsid w:val="000C1742"/>
    <w:rsid w:val="000C17D1"/>
    <w:rsid w:val="000C17EA"/>
    <w:rsid w:val="000C184D"/>
    <w:rsid w:val="000C188C"/>
    <w:rsid w:val="000C1952"/>
    <w:rsid w:val="000C198D"/>
    <w:rsid w:val="000C1BF3"/>
    <w:rsid w:val="000C1CEE"/>
    <w:rsid w:val="000C1CF5"/>
    <w:rsid w:val="000C1E63"/>
    <w:rsid w:val="000C1F96"/>
    <w:rsid w:val="000C201C"/>
    <w:rsid w:val="000C20A2"/>
    <w:rsid w:val="000C20C2"/>
    <w:rsid w:val="000C215B"/>
    <w:rsid w:val="000C2160"/>
    <w:rsid w:val="000C21CB"/>
    <w:rsid w:val="000C220B"/>
    <w:rsid w:val="000C22CE"/>
    <w:rsid w:val="000C2371"/>
    <w:rsid w:val="000C2554"/>
    <w:rsid w:val="000C259E"/>
    <w:rsid w:val="000C2731"/>
    <w:rsid w:val="000C2796"/>
    <w:rsid w:val="000C293B"/>
    <w:rsid w:val="000C2953"/>
    <w:rsid w:val="000C29AE"/>
    <w:rsid w:val="000C29E3"/>
    <w:rsid w:val="000C2A25"/>
    <w:rsid w:val="000C2A2C"/>
    <w:rsid w:val="000C2AB1"/>
    <w:rsid w:val="000C2C42"/>
    <w:rsid w:val="000C2C46"/>
    <w:rsid w:val="000C2C64"/>
    <w:rsid w:val="000C2FC0"/>
    <w:rsid w:val="000C3058"/>
    <w:rsid w:val="000C318A"/>
    <w:rsid w:val="000C31C1"/>
    <w:rsid w:val="000C323F"/>
    <w:rsid w:val="000C32D5"/>
    <w:rsid w:val="000C32ED"/>
    <w:rsid w:val="000C330F"/>
    <w:rsid w:val="000C3362"/>
    <w:rsid w:val="000C338A"/>
    <w:rsid w:val="000C33E0"/>
    <w:rsid w:val="000C3414"/>
    <w:rsid w:val="000C3422"/>
    <w:rsid w:val="000C34A7"/>
    <w:rsid w:val="000C36F4"/>
    <w:rsid w:val="000C3704"/>
    <w:rsid w:val="000C372B"/>
    <w:rsid w:val="000C372F"/>
    <w:rsid w:val="000C3769"/>
    <w:rsid w:val="000C37CF"/>
    <w:rsid w:val="000C38FA"/>
    <w:rsid w:val="000C3956"/>
    <w:rsid w:val="000C3982"/>
    <w:rsid w:val="000C3A21"/>
    <w:rsid w:val="000C3A4E"/>
    <w:rsid w:val="000C3B3C"/>
    <w:rsid w:val="000C3B80"/>
    <w:rsid w:val="000C3B94"/>
    <w:rsid w:val="000C3C2F"/>
    <w:rsid w:val="000C3CDF"/>
    <w:rsid w:val="000C3D76"/>
    <w:rsid w:val="000C3F0D"/>
    <w:rsid w:val="000C3F4E"/>
    <w:rsid w:val="000C3F65"/>
    <w:rsid w:val="000C3F6F"/>
    <w:rsid w:val="000C4060"/>
    <w:rsid w:val="000C406C"/>
    <w:rsid w:val="000C42DC"/>
    <w:rsid w:val="000C4343"/>
    <w:rsid w:val="000C4379"/>
    <w:rsid w:val="000C43FC"/>
    <w:rsid w:val="000C43FF"/>
    <w:rsid w:val="000C4577"/>
    <w:rsid w:val="000C45D5"/>
    <w:rsid w:val="000C4682"/>
    <w:rsid w:val="000C4697"/>
    <w:rsid w:val="000C4854"/>
    <w:rsid w:val="000C48EC"/>
    <w:rsid w:val="000C49D9"/>
    <w:rsid w:val="000C49E5"/>
    <w:rsid w:val="000C4A1C"/>
    <w:rsid w:val="000C4A36"/>
    <w:rsid w:val="000C4A55"/>
    <w:rsid w:val="000C4A67"/>
    <w:rsid w:val="000C4ACE"/>
    <w:rsid w:val="000C4B4D"/>
    <w:rsid w:val="000C4B72"/>
    <w:rsid w:val="000C4C46"/>
    <w:rsid w:val="000C4CA1"/>
    <w:rsid w:val="000C4CFA"/>
    <w:rsid w:val="000C4D00"/>
    <w:rsid w:val="000C4E0E"/>
    <w:rsid w:val="000C4E1B"/>
    <w:rsid w:val="000C4E1D"/>
    <w:rsid w:val="000C4ECA"/>
    <w:rsid w:val="000C4F41"/>
    <w:rsid w:val="000C5156"/>
    <w:rsid w:val="000C51A8"/>
    <w:rsid w:val="000C51AB"/>
    <w:rsid w:val="000C51CD"/>
    <w:rsid w:val="000C5301"/>
    <w:rsid w:val="000C5364"/>
    <w:rsid w:val="000C53D8"/>
    <w:rsid w:val="000C54EC"/>
    <w:rsid w:val="000C55DD"/>
    <w:rsid w:val="000C5752"/>
    <w:rsid w:val="000C57E1"/>
    <w:rsid w:val="000C5848"/>
    <w:rsid w:val="000C58C3"/>
    <w:rsid w:val="000C58EE"/>
    <w:rsid w:val="000C5923"/>
    <w:rsid w:val="000C5A0D"/>
    <w:rsid w:val="000C5A7B"/>
    <w:rsid w:val="000C5A97"/>
    <w:rsid w:val="000C5B10"/>
    <w:rsid w:val="000C5B22"/>
    <w:rsid w:val="000C5B2B"/>
    <w:rsid w:val="000C5B6B"/>
    <w:rsid w:val="000C5C83"/>
    <w:rsid w:val="000C5D0A"/>
    <w:rsid w:val="000C5E36"/>
    <w:rsid w:val="000C5EFB"/>
    <w:rsid w:val="000C5F14"/>
    <w:rsid w:val="000C5FDE"/>
    <w:rsid w:val="000C5FEA"/>
    <w:rsid w:val="000C60A5"/>
    <w:rsid w:val="000C60CD"/>
    <w:rsid w:val="000C6216"/>
    <w:rsid w:val="000C628C"/>
    <w:rsid w:val="000C62E9"/>
    <w:rsid w:val="000C632B"/>
    <w:rsid w:val="000C638C"/>
    <w:rsid w:val="000C6404"/>
    <w:rsid w:val="000C654C"/>
    <w:rsid w:val="000C6613"/>
    <w:rsid w:val="000C66FE"/>
    <w:rsid w:val="000C6743"/>
    <w:rsid w:val="000C6870"/>
    <w:rsid w:val="000C68DE"/>
    <w:rsid w:val="000C6A23"/>
    <w:rsid w:val="000C6A25"/>
    <w:rsid w:val="000C6A89"/>
    <w:rsid w:val="000C6A95"/>
    <w:rsid w:val="000C6B43"/>
    <w:rsid w:val="000C6BE1"/>
    <w:rsid w:val="000C6C4B"/>
    <w:rsid w:val="000C6C5B"/>
    <w:rsid w:val="000C6D12"/>
    <w:rsid w:val="000C6DA3"/>
    <w:rsid w:val="000C6E06"/>
    <w:rsid w:val="000C6E5B"/>
    <w:rsid w:val="000C6E75"/>
    <w:rsid w:val="000C6ED3"/>
    <w:rsid w:val="000C6EF1"/>
    <w:rsid w:val="000C6FA0"/>
    <w:rsid w:val="000C701D"/>
    <w:rsid w:val="000C7085"/>
    <w:rsid w:val="000C71F9"/>
    <w:rsid w:val="000C7255"/>
    <w:rsid w:val="000C7284"/>
    <w:rsid w:val="000C73C7"/>
    <w:rsid w:val="000C7512"/>
    <w:rsid w:val="000C7538"/>
    <w:rsid w:val="000C764A"/>
    <w:rsid w:val="000C76C0"/>
    <w:rsid w:val="000C778F"/>
    <w:rsid w:val="000C77E3"/>
    <w:rsid w:val="000C7871"/>
    <w:rsid w:val="000C7973"/>
    <w:rsid w:val="000C79C6"/>
    <w:rsid w:val="000C7A78"/>
    <w:rsid w:val="000C7A8C"/>
    <w:rsid w:val="000C7AA5"/>
    <w:rsid w:val="000C7AAE"/>
    <w:rsid w:val="000C7C93"/>
    <w:rsid w:val="000C7CCC"/>
    <w:rsid w:val="000C7CDA"/>
    <w:rsid w:val="000C7E39"/>
    <w:rsid w:val="000C7F8E"/>
    <w:rsid w:val="000C8443"/>
    <w:rsid w:val="000D0042"/>
    <w:rsid w:val="000D008E"/>
    <w:rsid w:val="000D0192"/>
    <w:rsid w:val="000D0197"/>
    <w:rsid w:val="000D0225"/>
    <w:rsid w:val="000D02F8"/>
    <w:rsid w:val="000D0307"/>
    <w:rsid w:val="000D030A"/>
    <w:rsid w:val="000D0371"/>
    <w:rsid w:val="000D049A"/>
    <w:rsid w:val="000D0642"/>
    <w:rsid w:val="000D06B8"/>
    <w:rsid w:val="000D072E"/>
    <w:rsid w:val="000D07D4"/>
    <w:rsid w:val="000D08CD"/>
    <w:rsid w:val="000D08E7"/>
    <w:rsid w:val="000D099B"/>
    <w:rsid w:val="000D0AA2"/>
    <w:rsid w:val="000D0AD7"/>
    <w:rsid w:val="000D0AED"/>
    <w:rsid w:val="000D0B5D"/>
    <w:rsid w:val="000D0C3A"/>
    <w:rsid w:val="000D0CA9"/>
    <w:rsid w:val="000D0DC0"/>
    <w:rsid w:val="000D0EBA"/>
    <w:rsid w:val="000D0EF3"/>
    <w:rsid w:val="000D0F54"/>
    <w:rsid w:val="000D0F89"/>
    <w:rsid w:val="000D0FDC"/>
    <w:rsid w:val="000D1024"/>
    <w:rsid w:val="000D1055"/>
    <w:rsid w:val="000D1095"/>
    <w:rsid w:val="000D10EB"/>
    <w:rsid w:val="000D1105"/>
    <w:rsid w:val="000D111E"/>
    <w:rsid w:val="000D118E"/>
    <w:rsid w:val="000D11D9"/>
    <w:rsid w:val="000D123A"/>
    <w:rsid w:val="000D12D3"/>
    <w:rsid w:val="000D1378"/>
    <w:rsid w:val="000D137C"/>
    <w:rsid w:val="000D14C9"/>
    <w:rsid w:val="000D14DA"/>
    <w:rsid w:val="000D15DB"/>
    <w:rsid w:val="000D1818"/>
    <w:rsid w:val="000D1895"/>
    <w:rsid w:val="000D1A7E"/>
    <w:rsid w:val="000D1AB2"/>
    <w:rsid w:val="000D1AD0"/>
    <w:rsid w:val="000D1B3C"/>
    <w:rsid w:val="000D1BA2"/>
    <w:rsid w:val="000D1BAC"/>
    <w:rsid w:val="000D1C81"/>
    <w:rsid w:val="000D1DA7"/>
    <w:rsid w:val="000D1E8A"/>
    <w:rsid w:val="000D1EA7"/>
    <w:rsid w:val="000D1EA8"/>
    <w:rsid w:val="000D20D1"/>
    <w:rsid w:val="000D216A"/>
    <w:rsid w:val="000D21A8"/>
    <w:rsid w:val="000D21E9"/>
    <w:rsid w:val="000D22F8"/>
    <w:rsid w:val="000D2323"/>
    <w:rsid w:val="000D2363"/>
    <w:rsid w:val="000D239B"/>
    <w:rsid w:val="000D24A2"/>
    <w:rsid w:val="000D2582"/>
    <w:rsid w:val="000D25B3"/>
    <w:rsid w:val="000D25F0"/>
    <w:rsid w:val="000D269B"/>
    <w:rsid w:val="000D26D8"/>
    <w:rsid w:val="000D284B"/>
    <w:rsid w:val="000D2ABE"/>
    <w:rsid w:val="000D2AC3"/>
    <w:rsid w:val="000D2B0D"/>
    <w:rsid w:val="000D2C01"/>
    <w:rsid w:val="000D2C26"/>
    <w:rsid w:val="000D2D19"/>
    <w:rsid w:val="000D2D73"/>
    <w:rsid w:val="000D2DB1"/>
    <w:rsid w:val="000D2E25"/>
    <w:rsid w:val="000D2E49"/>
    <w:rsid w:val="000D2EC6"/>
    <w:rsid w:val="000D2F7D"/>
    <w:rsid w:val="000D2FF9"/>
    <w:rsid w:val="000D3020"/>
    <w:rsid w:val="000D30BD"/>
    <w:rsid w:val="000D30FE"/>
    <w:rsid w:val="000D319E"/>
    <w:rsid w:val="000D31CD"/>
    <w:rsid w:val="000D31D0"/>
    <w:rsid w:val="000D31E8"/>
    <w:rsid w:val="000D3263"/>
    <w:rsid w:val="000D330A"/>
    <w:rsid w:val="000D33CC"/>
    <w:rsid w:val="000D3504"/>
    <w:rsid w:val="000D3519"/>
    <w:rsid w:val="000D361D"/>
    <w:rsid w:val="000D36C8"/>
    <w:rsid w:val="000D3821"/>
    <w:rsid w:val="000D385C"/>
    <w:rsid w:val="000D3999"/>
    <w:rsid w:val="000D39CC"/>
    <w:rsid w:val="000D3AC3"/>
    <w:rsid w:val="000D3AC8"/>
    <w:rsid w:val="000D3BA5"/>
    <w:rsid w:val="000D3D91"/>
    <w:rsid w:val="000D3DB6"/>
    <w:rsid w:val="000D3DFC"/>
    <w:rsid w:val="000D3E01"/>
    <w:rsid w:val="000D3E0A"/>
    <w:rsid w:val="000D3EA9"/>
    <w:rsid w:val="000D3F10"/>
    <w:rsid w:val="000D40A9"/>
    <w:rsid w:val="000D4140"/>
    <w:rsid w:val="000D4175"/>
    <w:rsid w:val="000D41C3"/>
    <w:rsid w:val="000D4255"/>
    <w:rsid w:val="000D4303"/>
    <w:rsid w:val="000D4401"/>
    <w:rsid w:val="000D4425"/>
    <w:rsid w:val="000D4436"/>
    <w:rsid w:val="000D45AD"/>
    <w:rsid w:val="000D466F"/>
    <w:rsid w:val="000D46B0"/>
    <w:rsid w:val="000D4790"/>
    <w:rsid w:val="000D47C5"/>
    <w:rsid w:val="000D481A"/>
    <w:rsid w:val="000D4904"/>
    <w:rsid w:val="000D4A39"/>
    <w:rsid w:val="000D4AD8"/>
    <w:rsid w:val="000D4B58"/>
    <w:rsid w:val="000D4CFE"/>
    <w:rsid w:val="000D4D80"/>
    <w:rsid w:val="000D4E49"/>
    <w:rsid w:val="000D4F92"/>
    <w:rsid w:val="000D5042"/>
    <w:rsid w:val="000D51A5"/>
    <w:rsid w:val="000D51D8"/>
    <w:rsid w:val="000D525D"/>
    <w:rsid w:val="000D5404"/>
    <w:rsid w:val="000D54A3"/>
    <w:rsid w:val="000D5631"/>
    <w:rsid w:val="000D566E"/>
    <w:rsid w:val="000D56A5"/>
    <w:rsid w:val="000D56D0"/>
    <w:rsid w:val="000D5703"/>
    <w:rsid w:val="000D570C"/>
    <w:rsid w:val="000D58B9"/>
    <w:rsid w:val="000D591D"/>
    <w:rsid w:val="000D5A0D"/>
    <w:rsid w:val="000D5A13"/>
    <w:rsid w:val="000D5AD0"/>
    <w:rsid w:val="000D5C0F"/>
    <w:rsid w:val="000D5D89"/>
    <w:rsid w:val="000D5E42"/>
    <w:rsid w:val="000D5F25"/>
    <w:rsid w:val="000D5F39"/>
    <w:rsid w:val="000D5F6A"/>
    <w:rsid w:val="000D5FC5"/>
    <w:rsid w:val="000D60A4"/>
    <w:rsid w:val="000D6102"/>
    <w:rsid w:val="000D6204"/>
    <w:rsid w:val="000D623D"/>
    <w:rsid w:val="000D6276"/>
    <w:rsid w:val="000D62C3"/>
    <w:rsid w:val="000D63BE"/>
    <w:rsid w:val="000D643D"/>
    <w:rsid w:val="000D652B"/>
    <w:rsid w:val="000D6567"/>
    <w:rsid w:val="000D669A"/>
    <w:rsid w:val="000D67EA"/>
    <w:rsid w:val="000D68A5"/>
    <w:rsid w:val="000D68DB"/>
    <w:rsid w:val="000D692A"/>
    <w:rsid w:val="000D6969"/>
    <w:rsid w:val="000D698F"/>
    <w:rsid w:val="000D6A21"/>
    <w:rsid w:val="000D6A31"/>
    <w:rsid w:val="000D6A38"/>
    <w:rsid w:val="000D6B50"/>
    <w:rsid w:val="000D6BE2"/>
    <w:rsid w:val="000D6C04"/>
    <w:rsid w:val="000D6C85"/>
    <w:rsid w:val="000D6D5E"/>
    <w:rsid w:val="000D6E81"/>
    <w:rsid w:val="000D6EFA"/>
    <w:rsid w:val="000D7015"/>
    <w:rsid w:val="000D7108"/>
    <w:rsid w:val="000D7153"/>
    <w:rsid w:val="000D715E"/>
    <w:rsid w:val="000D71A7"/>
    <w:rsid w:val="000D71AB"/>
    <w:rsid w:val="000D72B1"/>
    <w:rsid w:val="000D72CD"/>
    <w:rsid w:val="000D7316"/>
    <w:rsid w:val="000D7342"/>
    <w:rsid w:val="000D7343"/>
    <w:rsid w:val="000D73CD"/>
    <w:rsid w:val="000D7420"/>
    <w:rsid w:val="000D743D"/>
    <w:rsid w:val="000D75A2"/>
    <w:rsid w:val="000D75E5"/>
    <w:rsid w:val="000D763D"/>
    <w:rsid w:val="000D766E"/>
    <w:rsid w:val="000D766F"/>
    <w:rsid w:val="000D7687"/>
    <w:rsid w:val="000D777B"/>
    <w:rsid w:val="000D77D2"/>
    <w:rsid w:val="000D7889"/>
    <w:rsid w:val="000D78D6"/>
    <w:rsid w:val="000D7928"/>
    <w:rsid w:val="000D7A78"/>
    <w:rsid w:val="000D7A7C"/>
    <w:rsid w:val="000D7AB7"/>
    <w:rsid w:val="000D7AC8"/>
    <w:rsid w:val="000D7B0F"/>
    <w:rsid w:val="000D7B20"/>
    <w:rsid w:val="000D7B30"/>
    <w:rsid w:val="000D7BF1"/>
    <w:rsid w:val="000D7C0A"/>
    <w:rsid w:val="000D7C62"/>
    <w:rsid w:val="000D7CF3"/>
    <w:rsid w:val="000D7CF9"/>
    <w:rsid w:val="000D7E56"/>
    <w:rsid w:val="000D7F12"/>
    <w:rsid w:val="000E0060"/>
    <w:rsid w:val="000E007C"/>
    <w:rsid w:val="000E0132"/>
    <w:rsid w:val="000E01F8"/>
    <w:rsid w:val="000E0232"/>
    <w:rsid w:val="000E02AB"/>
    <w:rsid w:val="000E02D6"/>
    <w:rsid w:val="000E03B6"/>
    <w:rsid w:val="000E03DF"/>
    <w:rsid w:val="000E04C3"/>
    <w:rsid w:val="000E0550"/>
    <w:rsid w:val="000E05B8"/>
    <w:rsid w:val="000E0609"/>
    <w:rsid w:val="000E071D"/>
    <w:rsid w:val="000E0740"/>
    <w:rsid w:val="000E075A"/>
    <w:rsid w:val="000E07DD"/>
    <w:rsid w:val="000E0A54"/>
    <w:rsid w:val="000E0C66"/>
    <w:rsid w:val="000E0DDA"/>
    <w:rsid w:val="000E0DE1"/>
    <w:rsid w:val="000E0DF7"/>
    <w:rsid w:val="000E0E24"/>
    <w:rsid w:val="000E0FDF"/>
    <w:rsid w:val="000E10CA"/>
    <w:rsid w:val="000E112F"/>
    <w:rsid w:val="000E12B4"/>
    <w:rsid w:val="000E12FE"/>
    <w:rsid w:val="000E1305"/>
    <w:rsid w:val="000E1369"/>
    <w:rsid w:val="000E1417"/>
    <w:rsid w:val="000E147F"/>
    <w:rsid w:val="000E1539"/>
    <w:rsid w:val="000E156A"/>
    <w:rsid w:val="000E15B1"/>
    <w:rsid w:val="000E16EC"/>
    <w:rsid w:val="000E1797"/>
    <w:rsid w:val="000E1825"/>
    <w:rsid w:val="000E182E"/>
    <w:rsid w:val="000E185D"/>
    <w:rsid w:val="000E18D9"/>
    <w:rsid w:val="000E1981"/>
    <w:rsid w:val="000E1B25"/>
    <w:rsid w:val="000E1BCC"/>
    <w:rsid w:val="000E1C09"/>
    <w:rsid w:val="000E1C6F"/>
    <w:rsid w:val="000E1F81"/>
    <w:rsid w:val="000E204B"/>
    <w:rsid w:val="000E2053"/>
    <w:rsid w:val="000E21FE"/>
    <w:rsid w:val="000E230E"/>
    <w:rsid w:val="000E247E"/>
    <w:rsid w:val="000E2557"/>
    <w:rsid w:val="000E2674"/>
    <w:rsid w:val="000E27F4"/>
    <w:rsid w:val="000E28B8"/>
    <w:rsid w:val="000E28F2"/>
    <w:rsid w:val="000E294D"/>
    <w:rsid w:val="000E2973"/>
    <w:rsid w:val="000E2AB9"/>
    <w:rsid w:val="000E2B13"/>
    <w:rsid w:val="000E2CA8"/>
    <w:rsid w:val="000E2CBE"/>
    <w:rsid w:val="000E2E09"/>
    <w:rsid w:val="000E2F03"/>
    <w:rsid w:val="000E2F36"/>
    <w:rsid w:val="000E2FB3"/>
    <w:rsid w:val="000E301F"/>
    <w:rsid w:val="000E304C"/>
    <w:rsid w:val="000E3221"/>
    <w:rsid w:val="000E33F5"/>
    <w:rsid w:val="000E35A7"/>
    <w:rsid w:val="000E35B9"/>
    <w:rsid w:val="000E36A6"/>
    <w:rsid w:val="000E37D3"/>
    <w:rsid w:val="000E37EB"/>
    <w:rsid w:val="000E389A"/>
    <w:rsid w:val="000E392E"/>
    <w:rsid w:val="000E3933"/>
    <w:rsid w:val="000E394E"/>
    <w:rsid w:val="000E39B9"/>
    <w:rsid w:val="000E39D7"/>
    <w:rsid w:val="000E3A96"/>
    <w:rsid w:val="000E3B4A"/>
    <w:rsid w:val="000E3D25"/>
    <w:rsid w:val="000E3DFB"/>
    <w:rsid w:val="000E3E8D"/>
    <w:rsid w:val="000E3EA6"/>
    <w:rsid w:val="000E3F43"/>
    <w:rsid w:val="000E3F6E"/>
    <w:rsid w:val="000E401B"/>
    <w:rsid w:val="000E4110"/>
    <w:rsid w:val="000E41D7"/>
    <w:rsid w:val="000E43C0"/>
    <w:rsid w:val="000E4411"/>
    <w:rsid w:val="000E4416"/>
    <w:rsid w:val="000E44B7"/>
    <w:rsid w:val="000E4505"/>
    <w:rsid w:val="000E4565"/>
    <w:rsid w:val="000E4680"/>
    <w:rsid w:val="000E46A6"/>
    <w:rsid w:val="000E4787"/>
    <w:rsid w:val="000E47A1"/>
    <w:rsid w:val="000E47B0"/>
    <w:rsid w:val="000E487D"/>
    <w:rsid w:val="000E48BA"/>
    <w:rsid w:val="000E48F3"/>
    <w:rsid w:val="000E4A95"/>
    <w:rsid w:val="000E4B72"/>
    <w:rsid w:val="000E4B74"/>
    <w:rsid w:val="000E4B97"/>
    <w:rsid w:val="000E4C96"/>
    <w:rsid w:val="000E4CA1"/>
    <w:rsid w:val="000E4D2E"/>
    <w:rsid w:val="000E4E0E"/>
    <w:rsid w:val="000E4E42"/>
    <w:rsid w:val="000E4E7B"/>
    <w:rsid w:val="000E4FEA"/>
    <w:rsid w:val="000E5182"/>
    <w:rsid w:val="000E536C"/>
    <w:rsid w:val="000E53C6"/>
    <w:rsid w:val="000E53CF"/>
    <w:rsid w:val="000E54C7"/>
    <w:rsid w:val="000E54E2"/>
    <w:rsid w:val="000E56BD"/>
    <w:rsid w:val="000E573B"/>
    <w:rsid w:val="000E57D4"/>
    <w:rsid w:val="000E5806"/>
    <w:rsid w:val="000E5932"/>
    <w:rsid w:val="000E5AE2"/>
    <w:rsid w:val="000E5B41"/>
    <w:rsid w:val="000E5B6C"/>
    <w:rsid w:val="000E5B8B"/>
    <w:rsid w:val="000E5BF3"/>
    <w:rsid w:val="000E5C1A"/>
    <w:rsid w:val="000E5C58"/>
    <w:rsid w:val="000E5C6F"/>
    <w:rsid w:val="000E5CE4"/>
    <w:rsid w:val="000E5CE6"/>
    <w:rsid w:val="000E5DD5"/>
    <w:rsid w:val="000E5E3D"/>
    <w:rsid w:val="000E601F"/>
    <w:rsid w:val="000E603C"/>
    <w:rsid w:val="000E606B"/>
    <w:rsid w:val="000E6192"/>
    <w:rsid w:val="000E626A"/>
    <w:rsid w:val="000E6379"/>
    <w:rsid w:val="000E63A2"/>
    <w:rsid w:val="000E6403"/>
    <w:rsid w:val="000E64A8"/>
    <w:rsid w:val="000E6535"/>
    <w:rsid w:val="000E6573"/>
    <w:rsid w:val="000E6608"/>
    <w:rsid w:val="000E66A9"/>
    <w:rsid w:val="000E66F9"/>
    <w:rsid w:val="000E68EC"/>
    <w:rsid w:val="000E6933"/>
    <w:rsid w:val="000E6A18"/>
    <w:rsid w:val="000E6A93"/>
    <w:rsid w:val="000E6B28"/>
    <w:rsid w:val="000E6C0A"/>
    <w:rsid w:val="000E6C18"/>
    <w:rsid w:val="000E6DC0"/>
    <w:rsid w:val="000E6DDE"/>
    <w:rsid w:val="000E6E48"/>
    <w:rsid w:val="000E6FCD"/>
    <w:rsid w:val="000E6FF0"/>
    <w:rsid w:val="000E7022"/>
    <w:rsid w:val="000E7058"/>
    <w:rsid w:val="000E70D8"/>
    <w:rsid w:val="000E70FF"/>
    <w:rsid w:val="000E718F"/>
    <w:rsid w:val="000E71AA"/>
    <w:rsid w:val="000E7284"/>
    <w:rsid w:val="000E7307"/>
    <w:rsid w:val="000E752D"/>
    <w:rsid w:val="000E75CB"/>
    <w:rsid w:val="000E7603"/>
    <w:rsid w:val="000E7629"/>
    <w:rsid w:val="000E7642"/>
    <w:rsid w:val="000E76AA"/>
    <w:rsid w:val="000E7735"/>
    <w:rsid w:val="000E7739"/>
    <w:rsid w:val="000E78F0"/>
    <w:rsid w:val="000E79D7"/>
    <w:rsid w:val="000E7A6F"/>
    <w:rsid w:val="000E7A84"/>
    <w:rsid w:val="000E7AE7"/>
    <w:rsid w:val="000E7F23"/>
    <w:rsid w:val="000E7FD4"/>
    <w:rsid w:val="000F006B"/>
    <w:rsid w:val="000F009C"/>
    <w:rsid w:val="000F0102"/>
    <w:rsid w:val="000F01DF"/>
    <w:rsid w:val="000F0252"/>
    <w:rsid w:val="000F026B"/>
    <w:rsid w:val="000F0294"/>
    <w:rsid w:val="000F02C2"/>
    <w:rsid w:val="000F0348"/>
    <w:rsid w:val="000F0469"/>
    <w:rsid w:val="000F0551"/>
    <w:rsid w:val="000F063E"/>
    <w:rsid w:val="000F06B0"/>
    <w:rsid w:val="000F078D"/>
    <w:rsid w:val="000F092B"/>
    <w:rsid w:val="000F0943"/>
    <w:rsid w:val="000F0971"/>
    <w:rsid w:val="000F099C"/>
    <w:rsid w:val="000F0AC8"/>
    <w:rsid w:val="000F0AD8"/>
    <w:rsid w:val="000F0B65"/>
    <w:rsid w:val="000F0BD8"/>
    <w:rsid w:val="000F0BF8"/>
    <w:rsid w:val="000F0CA3"/>
    <w:rsid w:val="000F0DD7"/>
    <w:rsid w:val="000F0E93"/>
    <w:rsid w:val="000F0EC1"/>
    <w:rsid w:val="000F1039"/>
    <w:rsid w:val="000F11D8"/>
    <w:rsid w:val="000F1230"/>
    <w:rsid w:val="000F13F2"/>
    <w:rsid w:val="000F144A"/>
    <w:rsid w:val="000F1576"/>
    <w:rsid w:val="000F15D0"/>
    <w:rsid w:val="000F1602"/>
    <w:rsid w:val="000F16BB"/>
    <w:rsid w:val="000F16F7"/>
    <w:rsid w:val="000F1700"/>
    <w:rsid w:val="000F17BD"/>
    <w:rsid w:val="000F184D"/>
    <w:rsid w:val="000F1891"/>
    <w:rsid w:val="000F196A"/>
    <w:rsid w:val="000F1A07"/>
    <w:rsid w:val="000F1A61"/>
    <w:rsid w:val="000F1A84"/>
    <w:rsid w:val="000F1ADC"/>
    <w:rsid w:val="000F1B29"/>
    <w:rsid w:val="000F1B82"/>
    <w:rsid w:val="000F1E1B"/>
    <w:rsid w:val="000F1FE7"/>
    <w:rsid w:val="000F2083"/>
    <w:rsid w:val="000F22AA"/>
    <w:rsid w:val="000F2340"/>
    <w:rsid w:val="000F23D3"/>
    <w:rsid w:val="000F2489"/>
    <w:rsid w:val="000F2494"/>
    <w:rsid w:val="000F24FA"/>
    <w:rsid w:val="000F25B5"/>
    <w:rsid w:val="000F26DB"/>
    <w:rsid w:val="000F2779"/>
    <w:rsid w:val="000F281D"/>
    <w:rsid w:val="000F282A"/>
    <w:rsid w:val="000F2972"/>
    <w:rsid w:val="000F2993"/>
    <w:rsid w:val="000F2B59"/>
    <w:rsid w:val="000F2C25"/>
    <w:rsid w:val="000F2D86"/>
    <w:rsid w:val="000F2D91"/>
    <w:rsid w:val="000F2DB2"/>
    <w:rsid w:val="000F2E02"/>
    <w:rsid w:val="000F2E60"/>
    <w:rsid w:val="000F3038"/>
    <w:rsid w:val="000F31AC"/>
    <w:rsid w:val="000F31FC"/>
    <w:rsid w:val="000F3354"/>
    <w:rsid w:val="000F339D"/>
    <w:rsid w:val="000F34BA"/>
    <w:rsid w:val="000F35CB"/>
    <w:rsid w:val="000F3675"/>
    <w:rsid w:val="000F37B8"/>
    <w:rsid w:val="000F3917"/>
    <w:rsid w:val="000F3965"/>
    <w:rsid w:val="000F3969"/>
    <w:rsid w:val="000F39DF"/>
    <w:rsid w:val="000F3AA5"/>
    <w:rsid w:val="000F3ABB"/>
    <w:rsid w:val="000F3B5A"/>
    <w:rsid w:val="000F3B87"/>
    <w:rsid w:val="000F3BC1"/>
    <w:rsid w:val="000F3CAB"/>
    <w:rsid w:val="000F3CAF"/>
    <w:rsid w:val="000F3CB0"/>
    <w:rsid w:val="000F3E87"/>
    <w:rsid w:val="000F400E"/>
    <w:rsid w:val="000F4100"/>
    <w:rsid w:val="000F4192"/>
    <w:rsid w:val="000F41BA"/>
    <w:rsid w:val="000F41EA"/>
    <w:rsid w:val="000F41FD"/>
    <w:rsid w:val="000F4219"/>
    <w:rsid w:val="000F4235"/>
    <w:rsid w:val="000F42FA"/>
    <w:rsid w:val="000F4314"/>
    <w:rsid w:val="000F437F"/>
    <w:rsid w:val="000F4504"/>
    <w:rsid w:val="000F4616"/>
    <w:rsid w:val="000F4624"/>
    <w:rsid w:val="000F480A"/>
    <w:rsid w:val="000F4837"/>
    <w:rsid w:val="000F48F5"/>
    <w:rsid w:val="000F4917"/>
    <w:rsid w:val="000F49C6"/>
    <w:rsid w:val="000F4A5B"/>
    <w:rsid w:val="000F4A79"/>
    <w:rsid w:val="000F4A9B"/>
    <w:rsid w:val="000F4BB1"/>
    <w:rsid w:val="000F4C88"/>
    <w:rsid w:val="000F4C95"/>
    <w:rsid w:val="000F4CE9"/>
    <w:rsid w:val="000F4EAD"/>
    <w:rsid w:val="000F4F02"/>
    <w:rsid w:val="000F511E"/>
    <w:rsid w:val="000F5130"/>
    <w:rsid w:val="000F513F"/>
    <w:rsid w:val="000F5141"/>
    <w:rsid w:val="000F5299"/>
    <w:rsid w:val="000F52E2"/>
    <w:rsid w:val="000F5305"/>
    <w:rsid w:val="000F5323"/>
    <w:rsid w:val="000F532C"/>
    <w:rsid w:val="000F5393"/>
    <w:rsid w:val="000F53D4"/>
    <w:rsid w:val="000F54BA"/>
    <w:rsid w:val="000F5633"/>
    <w:rsid w:val="000F56AF"/>
    <w:rsid w:val="000F576B"/>
    <w:rsid w:val="000F57BC"/>
    <w:rsid w:val="000F585A"/>
    <w:rsid w:val="000F5A2A"/>
    <w:rsid w:val="000F5A64"/>
    <w:rsid w:val="000F5BD6"/>
    <w:rsid w:val="000F5C7F"/>
    <w:rsid w:val="000F5CF7"/>
    <w:rsid w:val="000F5E2C"/>
    <w:rsid w:val="000F5F02"/>
    <w:rsid w:val="000F5FDE"/>
    <w:rsid w:val="000F60CC"/>
    <w:rsid w:val="000F60F2"/>
    <w:rsid w:val="000F61D9"/>
    <w:rsid w:val="000F63A6"/>
    <w:rsid w:val="000F64A7"/>
    <w:rsid w:val="000F6588"/>
    <w:rsid w:val="000F66D6"/>
    <w:rsid w:val="000F675C"/>
    <w:rsid w:val="000F67CB"/>
    <w:rsid w:val="000F67E0"/>
    <w:rsid w:val="000F6973"/>
    <w:rsid w:val="000F6B2B"/>
    <w:rsid w:val="000F6BA9"/>
    <w:rsid w:val="000F6BFF"/>
    <w:rsid w:val="000F6C85"/>
    <w:rsid w:val="000F6D3B"/>
    <w:rsid w:val="000F6D81"/>
    <w:rsid w:val="000F6DAC"/>
    <w:rsid w:val="000F6DEA"/>
    <w:rsid w:val="000F6EE0"/>
    <w:rsid w:val="000F6EFA"/>
    <w:rsid w:val="000F7191"/>
    <w:rsid w:val="000F71D0"/>
    <w:rsid w:val="000F71E7"/>
    <w:rsid w:val="000F7468"/>
    <w:rsid w:val="000F75AC"/>
    <w:rsid w:val="000F766F"/>
    <w:rsid w:val="000F77B0"/>
    <w:rsid w:val="000F77C6"/>
    <w:rsid w:val="000F78C4"/>
    <w:rsid w:val="000F78C7"/>
    <w:rsid w:val="000F7A2C"/>
    <w:rsid w:val="000F7A51"/>
    <w:rsid w:val="000F7B49"/>
    <w:rsid w:val="000F7BE7"/>
    <w:rsid w:val="000F7D27"/>
    <w:rsid w:val="000F7F45"/>
    <w:rsid w:val="000F7FDC"/>
    <w:rsid w:val="00100070"/>
    <w:rsid w:val="001000BB"/>
    <w:rsid w:val="001000CE"/>
    <w:rsid w:val="0010013A"/>
    <w:rsid w:val="00100219"/>
    <w:rsid w:val="00100259"/>
    <w:rsid w:val="001002C7"/>
    <w:rsid w:val="0010031E"/>
    <w:rsid w:val="001003B3"/>
    <w:rsid w:val="00100441"/>
    <w:rsid w:val="0010047C"/>
    <w:rsid w:val="00100715"/>
    <w:rsid w:val="001008E2"/>
    <w:rsid w:val="001009FC"/>
    <w:rsid w:val="00100A83"/>
    <w:rsid w:val="00100B77"/>
    <w:rsid w:val="00100CC7"/>
    <w:rsid w:val="00100D10"/>
    <w:rsid w:val="00100E4C"/>
    <w:rsid w:val="00100F05"/>
    <w:rsid w:val="00100FE1"/>
    <w:rsid w:val="00101019"/>
    <w:rsid w:val="00101197"/>
    <w:rsid w:val="00101292"/>
    <w:rsid w:val="001012D9"/>
    <w:rsid w:val="001012F9"/>
    <w:rsid w:val="00101312"/>
    <w:rsid w:val="0010132F"/>
    <w:rsid w:val="001013BD"/>
    <w:rsid w:val="001015C1"/>
    <w:rsid w:val="0010166F"/>
    <w:rsid w:val="00101725"/>
    <w:rsid w:val="00101748"/>
    <w:rsid w:val="00101786"/>
    <w:rsid w:val="00101801"/>
    <w:rsid w:val="001018CA"/>
    <w:rsid w:val="00101937"/>
    <w:rsid w:val="00101993"/>
    <w:rsid w:val="00101BA0"/>
    <w:rsid w:val="00101BD0"/>
    <w:rsid w:val="00101BF9"/>
    <w:rsid w:val="00101C4B"/>
    <w:rsid w:val="00101EAD"/>
    <w:rsid w:val="00101FC4"/>
    <w:rsid w:val="00101FD9"/>
    <w:rsid w:val="00102154"/>
    <w:rsid w:val="001022F4"/>
    <w:rsid w:val="0010231A"/>
    <w:rsid w:val="00102343"/>
    <w:rsid w:val="00102522"/>
    <w:rsid w:val="00102526"/>
    <w:rsid w:val="001025A0"/>
    <w:rsid w:val="001025BD"/>
    <w:rsid w:val="0010273A"/>
    <w:rsid w:val="0010284B"/>
    <w:rsid w:val="00102865"/>
    <w:rsid w:val="001028B8"/>
    <w:rsid w:val="0010292A"/>
    <w:rsid w:val="001029D6"/>
    <w:rsid w:val="00102A6B"/>
    <w:rsid w:val="00102A76"/>
    <w:rsid w:val="00102A93"/>
    <w:rsid w:val="00102AEE"/>
    <w:rsid w:val="00102B36"/>
    <w:rsid w:val="00102DBF"/>
    <w:rsid w:val="00102E32"/>
    <w:rsid w:val="00102E59"/>
    <w:rsid w:val="00102EBF"/>
    <w:rsid w:val="00102ED8"/>
    <w:rsid w:val="00102EF0"/>
    <w:rsid w:val="00103030"/>
    <w:rsid w:val="00103067"/>
    <w:rsid w:val="00103096"/>
    <w:rsid w:val="001030C7"/>
    <w:rsid w:val="001031D3"/>
    <w:rsid w:val="00103233"/>
    <w:rsid w:val="00103266"/>
    <w:rsid w:val="00103375"/>
    <w:rsid w:val="001034B9"/>
    <w:rsid w:val="00103545"/>
    <w:rsid w:val="0010359B"/>
    <w:rsid w:val="00103628"/>
    <w:rsid w:val="00103730"/>
    <w:rsid w:val="00103888"/>
    <w:rsid w:val="00103969"/>
    <w:rsid w:val="00103972"/>
    <w:rsid w:val="00103977"/>
    <w:rsid w:val="00103982"/>
    <w:rsid w:val="001039DF"/>
    <w:rsid w:val="001039EF"/>
    <w:rsid w:val="00103A6F"/>
    <w:rsid w:val="00103B2A"/>
    <w:rsid w:val="00103E18"/>
    <w:rsid w:val="00103EB5"/>
    <w:rsid w:val="00103FCD"/>
    <w:rsid w:val="00104133"/>
    <w:rsid w:val="00104222"/>
    <w:rsid w:val="001043E7"/>
    <w:rsid w:val="00104452"/>
    <w:rsid w:val="001045EF"/>
    <w:rsid w:val="0010475F"/>
    <w:rsid w:val="001047E9"/>
    <w:rsid w:val="00104813"/>
    <w:rsid w:val="0010487D"/>
    <w:rsid w:val="0010494B"/>
    <w:rsid w:val="00104A28"/>
    <w:rsid w:val="00104A60"/>
    <w:rsid w:val="00104B15"/>
    <w:rsid w:val="00104B23"/>
    <w:rsid w:val="00104B66"/>
    <w:rsid w:val="00104BE3"/>
    <w:rsid w:val="00104C39"/>
    <w:rsid w:val="00104C71"/>
    <w:rsid w:val="00104E97"/>
    <w:rsid w:val="00104EAB"/>
    <w:rsid w:val="00105065"/>
    <w:rsid w:val="001050B6"/>
    <w:rsid w:val="001051B1"/>
    <w:rsid w:val="00105267"/>
    <w:rsid w:val="00105295"/>
    <w:rsid w:val="001052B3"/>
    <w:rsid w:val="001052C3"/>
    <w:rsid w:val="001053C8"/>
    <w:rsid w:val="001053F7"/>
    <w:rsid w:val="00105499"/>
    <w:rsid w:val="0010568C"/>
    <w:rsid w:val="0010573B"/>
    <w:rsid w:val="00105743"/>
    <w:rsid w:val="00105761"/>
    <w:rsid w:val="00105770"/>
    <w:rsid w:val="0010578E"/>
    <w:rsid w:val="0010579C"/>
    <w:rsid w:val="00105982"/>
    <w:rsid w:val="00105A1E"/>
    <w:rsid w:val="00105A23"/>
    <w:rsid w:val="00105B4B"/>
    <w:rsid w:val="00105B73"/>
    <w:rsid w:val="00105BCB"/>
    <w:rsid w:val="00105C40"/>
    <w:rsid w:val="00105C75"/>
    <w:rsid w:val="00105C88"/>
    <w:rsid w:val="00105D11"/>
    <w:rsid w:val="00105DC6"/>
    <w:rsid w:val="00105E54"/>
    <w:rsid w:val="00105E91"/>
    <w:rsid w:val="00105EC9"/>
    <w:rsid w:val="00105EEF"/>
    <w:rsid w:val="00105FEA"/>
    <w:rsid w:val="00106010"/>
    <w:rsid w:val="00106015"/>
    <w:rsid w:val="00106036"/>
    <w:rsid w:val="001061D5"/>
    <w:rsid w:val="00106374"/>
    <w:rsid w:val="00106386"/>
    <w:rsid w:val="00106403"/>
    <w:rsid w:val="0010640D"/>
    <w:rsid w:val="001064FC"/>
    <w:rsid w:val="0010660A"/>
    <w:rsid w:val="00106703"/>
    <w:rsid w:val="001067AC"/>
    <w:rsid w:val="00106807"/>
    <w:rsid w:val="00106894"/>
    <w:rsid w:val="001068FC"/>
    <w:rsid w:val="001069A4"/>
    <w:rsid w:val="00106AFC"/>
    <w:rsid w:val="00106B12"/>
    <w:rsid w:val="00106B1D"/>
    <w:rsid w:val="00106BE1"/>
    <w:rsid w:val="00106C87"/>
    <w:rsid w:val="00106C93"/>
    <w:rsid w:val="00106CB3"/>
    <w:rsid w:val="00106D89"/>
    <w:rsid w:val="00106ED0"/>
    <w:rsid w:val="00106EEC"/>
    <w:rsid w:val="001070E8"/>
    <w:rsid w:val="00107171"/>
    <w:rsid w:val="0010728D"/>
    <w:rsid w:val="00107293"/>
    <w:rsid w:val="00107326"/>
    <w:rsid w:val="001073DB"/>
    <w:rsid w:val="00107406"/>
    <w:rsid w:val="0010748B"/>
    <w:rsid w:val="00107500"/>
    <w:rsid w:val="001076D7"/>
    <w:rsid w:val="001077BB"/>
    <w:rsid w:val="00107873"/>
    <w:rsid w:val="001078AD"/>
    <w:rsid w:val="001079E6"/>
    <w:rsid w:val="00107AC0"/>
    <w:rsid w:val="00107AD0"/>
    <w:rsid w:val="00107CC4"/>
    <w:rsid w:val="00107DA9"/>
    <w:rsid w:val="00107DF4"/>
    <w:rsid w:val="00107E1E"/>
    <w:rsid w:val="00107E93"/>
    <w:rsid w:val="00110021"/>
    <w:rsid w:val="001100A4"/>
    <w:rsid w:val="001100CD"/>
    <w:rsid w:val="001102D9"/>
    <w:rsid w:val="0011038A"/>
    <w:rsid w:val="0011038C"/>
    <w:rsid w:val="0011043E"/>
    <w:rsid w:val="00110447"/>
    <w:rsid w:val="00110526"/>
    <w:rsid w:val="00110573"/>
    <w:rsid w:val="0011060C"/>
    <w:rsid w:val="00110636"/>
    <w:rsid w:val="0011069D"/>
    <w:rsid w:val="001106D7"/>
    <w:rsid w:val="00110736"/>
    <w:rsid w:val="00110779"/>
    <w:rsid w:val="00110782"/>
    <w:rsid w:val="0011082A"/>
    <w:rsid w:val="00110927"/>
    <w:rsid w:val="00110A9D"/>
    <w:rsid w:val="00110AEF"/>
    <w:rsid w:val="00110B43"/>
    <w:rsid w:val="00110C53"/>
    <w:rsid w:val="00110CB2"/>
    <w:rsid w:val="00110CF9"/>
    <w:rsid w:val="00110D36"/>
    <w:rsid w:val="00110E32"/>
    <w:rsid w:val="00110E65"/>
    <w:rsid w:val="00110E9A"/>
    <w:rsid w:val="00110F1E"/>
    <w:rsid w:val="00110F7A"/>
    <w:rsid w:val="00110F89"/>
    <w:rsid w:val="00110FAB"/>
    <w:rsid w:val="00110FD1"/>
    <w:rsid w:val="00110FD6"/>
    <w:rsid w:val="001110AE"/>
    <w:rsid w:val="001110CD"/>
    <w:rsid w:val="00111142"/>
    <w:rsid w:val="001111CC"/>
    <w:rsid w:val="0011147A"/>
    <w:rsid w:val="0011154E"/>
    <w:rsid w:val="001116EE"/>
    <w:rsid w:val="001116F8"/>
    <w:rsid w:val="001117D1"/>
    <w:rsid w:val="001117F3"/>
    <w:rsid w:val="00111878"/>
    <w:rsid w:val="00111879"/>
    <w:rsid w:val="001118D4"/>
    <w:rsid w:val="00111A1F"/>
    <w:rsid w:val="00111BB0"/>
    <w:rsid w:val="00111CA1"/>
    <w:rsid w:val="00111D1F"/>
    <w:rsid w:val="00111D56"/>
    <w:rsid w:val="00111DA4"/>
    <w:rsid w:val="00111DE0"/>
    <w:rsid w:val="00111DF6"/>
    <w:rsid w:val="00111E30"/>
    <w:rsid w:val="00111E45"/>
    <w:rsid w:val="00111ECF"/>
    <w:rsid w:val="00111F10"/>
    <w:rsid w:val="00111F93"/>
    <w:rsid w:val="00111FAC"/>
    <w:rsid w:val="00111FC1"/>
    <w:rsid w:val="00112014"/>
    <w:rsid w:val="0011203E"/>
    <w:rsid w:val="001120EF"/>
    <w:rsid w:val="00112167"/>
    <w:rsid w:val="001122D7"/>
    <w:rsid w:val="00112530"/>
    <w:rsid w:val="0011259E"/>
    <w:rsid w:val="001125DF"/>
    <w:rsid w:val="00112663"/>
    <w:rsid w:val="00112677"/>
    <w:rsid w:val="001126F5"/>
    <w:rsid w:val="00112704"/>
    <w:rsid w:val="0011271A"/>
    <w:rsid w:val="0011279B"/>
    <w:rsid w:val="001127D3"/>
    <w:rsid w:val="0011280E"/>
    <w:rsid w:val="001128B5"/>
    <w:rsid w:val="00112900"/>
    <w:rsid w:val="0011290A"/>
    <w:rsid w:val="00112957"/>
    <w:rsid w:val="00112958"/>
    <w:rsid w:val="00112965"/>
    <w:rsid w:val="00112A1A"/>
    <w:rsid w:val="00112B90"/>
    <w:rsid w:val="00112C40"/>
    <w:rsid w:val="00112CCC"/>
    <w:rsid w:val="00112D34"/>
    <w:rsid w:val="00112D38"/>
    <w:rsid w:val="00112D46"/>
    <w:rsid w:val="00112D7B"/>
    <w:rsid w:val="00112DAB"/>
    <w:rsid w:val="00112E59"/>
    <w:rsid w:val="00112E87"/>
    <w:rsid w:val="00112E8F"/>
    <w:rsid w:val="0011303C"/>
    <w:rsid w:val="00113062"/>
    <w:rsid w:val="00113082"/>
    <w:rsid w:val="001130F8"/>
    <w:rsid w:val="001130FB"/>
    <w:rsid w:val="00113210"/>
    <w:rsid w:val="00113235"/>
    <w:rsid w:val="00113405"/>
    <w:rsid w:val="00113518"/>
    <w:rsid w:val="0011354E"/>
    <w:rsid w:val="001136F6"/>
    <w:rsid w:val="00113734"/>
    <w:rsid w:val="00113854"/>
    <w:rsid w:val="0011389A"/>
    <w:rsid w:val="001138DD"/>
    <w:rsid w:val="0011390E"/>
    <w:rsid w:val="0011390F"/>
    <w:rsid w:val="001139DC"/>
    <w:rsid w:val="00113C80"/>
    <w:rsid w:val="00113D11"/>
    <w:rsid w:val="00113E28"/>
    <w:rsid w:val="00113F4A"/>
    <w:rsid w:val="001140AE"/>
    <w:rsid w:val="0011412B"/>
    <w:rsid w:val="00114184"/>
    <w:rsid w:val="00114186"/>
    <w:rsid w:val="001141B2"/>
    <w:rsid w:val="00114256"/>
    <w:rsid w:val="00114330"/>
    <w:rsid w:val="0011434F"/>
    <w:rsid w:val="001143C5"/>
    <w:rsid w:val="00114499"/>
    <w:rsid w:val="001144A0"/>
    <w:rsid w:val="0011453B"/>
    <w:rsid w:val="001145AB"/>
    <w:rsid w:val="00114845"/>
    <w:rsid w:val="001148C8"/>
    <w:rsid w:val="001148F7"/>
    <w:rsid w:val="00114A24"/>
    <w:rsid w:val="00114AB3"/>
    <w:rsid w:val="00114C8C"/>
    <w:rsid w:val="00114D58"/>
    <w:rsid w:val="00114D9B"/>
    <w:rsid w:val="00114DEC"/>
    <w:rsid w:val="00114E8E"/>
    <w:rsid w:val="00114E9F"/>
    <w:rsid w:val="0011500A"/>
    <w:rsid w:val="00115041"/>
    <w:rsid w:val="00115081"/>
    <w:rsid w:val="00115085"/>
    <w:rsid w:val="0011513E"/>
    <w:rsid w:val="001151A2"/>
    <w:rsid w:val="00115295"/>
    <w:rsid w:val="001153B6"/>
    <w:rsid w:val="00115421"/>
    <w:rsid w:val="00115516"/>
    <w:rsid w:val="00115521"/>
    <w:rsid w:val="001155CF"/>
    <w:rsid w:val="00115658"/>
    <w:rsid w:val="00115742"/>
    <w:rsid w:val="00115B71"/>
    <w:rsid w:val="00115BA1"/>
    <w:rsid w:val="00115DA7"/>
    <w:rsid w:val="00115DFC"/>
    <w:rsid w:val="00115E09"/>
    <w:rsid w:val="00115E0C"/>
    <w:rsid w:val="00115F07"/>
    <w:rsid w:val="00115F94"/>
    <w:rsid w:val="00115FE1"/>
    <w:rsid w:val="00116098"/>
    <w:rsid w:val="001160CD"/>
    <w:rsid w:val="00116288"/>
    <w:rsid w:val="001162BF"/>
    <w:rsid w:val="0011645A"/>
    <w:rsid w:val="00116498"/>
    <w:rsid w:val="0011652B"/>
    <w:rsid w:val="001165AB"/>
    <w:rsid w:val="001165AE"/>
    <w:rsid w:val="001165B4"/>
    <w:rsid w:val="001165E9"/>
    <w:rsid w:val="0011697F"/>
    <w:rsid w:val="00116A42"/>
    <w:rsid w:val="00116AB9"/>
    <w:rsid w:val="00116B5B"/>
    <w:rsid w:val="00116BEE"/>
    <w:rsid w:val="00116C35"/>
    <w:rsid w:val="00116D45"/>
    <w:rsid w:val="00116F0A"/>
    <w:rsid w:val="00116F29"/>
    <w:rsid w:val="00116F72"/>
    <w:rsid w:val="00116FD7"/>
    <w:rsid w:val="00117021"/>
    <w:rsid w:val="0011709E"/>
    <w:rsid w:val="00117109"/>
    <w:rsid w:val="0011711B"/>
    <w:rsid w:val="0011719D"/>
    <w:rsid w:val="001172AE"/>
    <w:rsid w:val="001172D1"/>
    <w:rsid w:val="00117361"/>
    <w:rsid w:val="001173C0"/>
    <w:rsid w:val="0011745A"/>
    <w:rsid w:val="0011747A"/>
    <w:rsid w:val="001174A9"/>
    <w:rsid w:val="001174D6"/>
    <w:rsid w:val="00117504"/>
    <w:rsid w:val="001176FB"/>
    <w:rsid w:val="0011774C"/>
    <w:rsid w:val="001177CC"/>
    <w:rsid w:val="001177DF"/>
    <w:rsid w:val="00117835"/>
    <w:rsid w:val="001178EF"/>
    <w:rsid w:val="0011790F"/>
    <w:rsid w:val="00117916"/>
    <w:rsid w:val="00117949"/>
    <w:rsid w:val="0011796A"/>
    <w:rsid w:val="00117A35"/>
    <w:rsid w:val="00117A90"/>
    <w:rsid w:val="00117AD9"/>
    <w:rsid w:val="00117B0D"/>
    <w:rsid w:val="00117C13"/>
    <w:rsid w:val="00117C3E"/>
    <w:rsid w:val="00117C4C"/>
    <w:rsid w:val="00117CF2"/>
    <w:rsid w:val="00117D4A"/>
    <w:rsid w:val="00117DFD"/>
    <w:rsid w:val="00117EF3"/>
    <w:rsid w:val="00117F91"/>
    <w:rsid w:val="00117F98"/>
    <w:rsid w:val="00117FBC"/>
    <w:rsid w:val="0011BE39"/>
    <w:rsid w:val="00120037"/>
    <w:rsid w:val="0012003D"/>
    <w:rsid w:val="00120088"/>
    <w:rsid w:val="0012015C"/>
    <w:rsid w:val="001201AC"/>
    <w:rsid w:val="00120326"/>
    <w:rsid w:val="00120429"/>
    <w:rsid w:val="0012049B"/>
    <w:rsid w:val="001204F0"/>
    <w:rsid w:val="001205A5"/>
    <w:rsid w:val="001205ED"/>
    <w:rsid w:val="0012062F"/>
    <w:rsid w:val="001206EE"/>
    <w:rsid w:val="001207B3"/>
    <w:rsid w:val="001207B8"/>
    <w:rsid w:val="001207E8"/>
    <w:rsid w:val="00120836"/>
    <w:rsid w:val="001209FF"/>
    <w:rsid w:val="00120A16"/>
    <w:rsid w:val="00120A31"/>
    <w:rsid w:val="00120B27"/>
    <w:rsid w:val="00120B4C"/>
    <w:rsid w:val="00120BFE"/>
    <w:rsid w:val="00120C99"/>
    <w:rsid w:val="00120D47"/>
    <w:rsid w:val="00120D86"/>
    <w:rsid w:val="00120E76"/>
    <w:rsid w:val="00120F67"/>
    <w:rsid w:val="00120FD7"/>
    <w:rsid w:val="00120FE4"/>
    <w:rsid w:val="0012109D"/>
    <w:rsid w:val="001211D1"/>
    <w:rsid w:val="001211DB"/>
    <w:rsid w:val="001213A0"/>
    <w:rsid w:val="001213BC"/>
    <w:rsid w:val="00121576"/>
    <w:rsid w:val="001215C0"/>
    <w:rsid w:val="00121657"/>
    <w:rsid w:val="00121748"/>
    <w:rsid w:val="001217B1"/>
    <w:rsid w:val="00121815"/>
    <w:rsid w:val="001218C1"/>
    <w:rsid w:val="001219A4"/>
    <w:rsid w:val="00121A36"/>
    <w:rsid w:val="00121A3B"/>
    <w:rsid w:val="00121ACE"/>
    <w:rsid w:val="00121B58"/>
    <w:rsid w:val="00121BEB"/>
    <w:rsid w:val="00121C64"/>
    <w:rsid w:val="00121D8A"/>
    <w:rsid w:val="00121DF6"/>
    <w:rsid w:val="00121E52"/>
    <w:rsid w:val="00121EC5"/>
    <w:rsid w:val="00121F7F"/>
    <w:rsid w:val="00121FB8"/>
    <w:rsid w:val="00121FFC"/>
    <w:rsid w:val="0012206A"/>
    <w:rsid w:val="00122097"/>
    <w:rsid w:val="001221AF"/>
    <w:rsid w:val="001221FE"/>
    <w:rsid w:val="00122204"/>
    <w:rsid w:val="0012224E"/>
    <w:rsid w:val="0012239C"/>
    <w:rsid w:val="001223A6"/>
    <w:rsid w:val="00122565"/>
    <w:rsid w:val="00122711"/>
    <w:rsid w:val="00122839"/>
    <w:rsid w:val="001228CB"/>
    <w:rsid w:val="00122958"/>
    <w:rsid w:val="001229F4"/>
    <w:rsid w:val="00122A33"/>
    <w:rsid w:val="00122A4E"/>
    <w:rsid w:val="00122A73"/>
    <w:rsid w:val="00122AA8"/>
    <w:rsid w:val="00122B63"/>
    <w:rsid w:val="00122BB4"/>
    <w:rsid w:val="00122C70"/>
    <w:rsid w:val="00122C7A"/>
    <w:rsid w:val="00122CE2"/>
    <w:rsid w:val="00122D08"/>
    <w:rsid w:val="00122DCB"/>
    <w:rsid w:val="00122DE5"/>
    <w:rsid w:val="00122E20"/>
    <w:rsid w:val="00122E4D"/>
    <w:rsid w:val="00122E86"/>
    <w:rsid w:val="00122EEF"/>
    <w:rsid w:val="00122EF0"/>
    <w:rsid w:val="00122F55"/>
    <w:rsid w:val="00122F74"/>
    <w:rsid w:val="00122F96"/>
    <w:rsid w:val="00123005"/>
    <w:rsid w:val="001230BE"/>
    <w:rsid w:val="0012311D"/>
    <w:rsid w:val="00123149"/>
    <w:rsid w:val="0012330E"/>
    <w:rsid w:val="0012333A"/>
    <w:rsid w:val="00123466"/>
    <w:rsid w:val="001234CE"/>
    <w:rsid w:val="00123523"/>
    <w:rsid w:val="001235D3"/>
    <w:rsid w:val="00123609"/>
    <w:rsid w:val="001236DF"/>
    <w:rsid w:val="00123756"/>
    <w:rsid w:val="00123783"/>
    <w:rsid w:val="00123849"/>
    <w:rsid w:val="0012384F"/>
    <w:rsid w:val="001238FC"/>
    <w:rsid w:val="00123928"/>
    <w:rsid w:val="00123A49"/>
    <w:rsid w:val="00123B0B"/>
    <w:rsid w:val="00123C7B"/>
    <w:rsid w:val="00123C99"/>
    <w:rsid w:val="00123D52"/>
    <w:rsid w:val="0012405F"/>
    <w:rsid w:val="0012409F"/>
    <w:rsid w:val="0012413A"/>
    <w:rsid w:val="0012413F"/>
    <w:rsid w:val="001241BC"/>
    <w:rsid w:val="001241CE"/>
    <w:rsid w:val="0012423D"/>
    <w:rsid w:val="00124302"/>
    <w:rsid w:val="0012438E"/>
    <w:rsid w:val="001243EB"/>
    <w:rsid w:val="001244EF"/>
    <w:rsid w:val="001245DC"/>
    <w:rsid w:val="00124699"/>
    <w:rsid w:val="001246B2"/>
    <w:rsid w:val="00124711"/>
    <w:rsid w:val="00124718"/>
    <w:rsid w:val="00124995"/>
    <w:rsid w:val="001249E7"/>
    <w:rsid w:val="00124D30"/>
    <w:rsid w:val="00125098"/>
    <w:rsid w:val="0012510B"/>
    <w:rsid w:val="0012513D"/>
    <w:rsid w:val="00125193"/>
    <w:rsid w:val="001251A5"/>
    <w:rsid w:val="001252E7"/>
    <w:rsid w:val="0012535A"/>
    <w:rsid w:val="001254A2"/>
    <w:rsid w:val="00125728"/>
    <w:rsid w:val="001257DE"/>
    <w:rsid w:val="001257F5"/>
    <w:rsid w:val="00125918"/>
    <w:rsid w:val="00125A8B"/>
    <w:rsid w:val="00125B81"/>
    <w:rsid w:val="00125B96"/>
    <w:rsid w:val="00125C53"/>
    <w:rsid w:val="00125C6A"/>
    <w:rsid w:val="00125CA3"/>
    <w:rsid w:val="00125E4E"/>
    <w:rsid w:val="00125E60"/>
    <w:rsid w:val="001260AF"/>
    <w:rsid w:val="001260B1"/>
    <w:rsid w:val="001262B3"/>
    <w:rsid w:val="00126334"/>
    <w:rsid w:val="00126462"/>
    <w:rsid w:val="001264E2"/>
    <w:rsid w:val="00126537"/>
    <w:rsid w:val="0012658B"/>
    <w:rsid w:val="001265B7"/>
    <w:rsid w:val="001265CD"/>
    <w:rsid w:val="00126832"/>
    <w:rsid w:val="0012692D"/>
    <w:rsid w:val="001269C4"/>
    <w:rsid w:val="001269CC"/>
    <w:rsid w:val="001269F6"/>
    <w:rsid w:val="00126A1B"/>
    <w:rsid w:val="00126B4C"/>
    <w:rsid w:val="00126BCF"/>
    <w:rsid w:val="00126C36"/>
    <w:rsid w:val="00126C9B"/>
    <w:rsid w:val="00126CD1"/>
    <w:rsid w:val="0012713D"/>
    <w:rsid w:val="00127198"/>
    <w:rsid w:val="00127201"/>
    <w:rsid w:val="0012732D"/>
    <w:rsid w:val="00127343"/>
    <w:rsid w:val="001274A3"/>
    <w:rsid w:val="00127522"/>
    <w:rsid w:val="001276C0"/>
    <w:rsid w:val="00127715"/>
    <w:rsid w:val="001278B5"/>
    <w:rsid w:val="00127960"/>
    <w:rsid w:val="00127BCE"/>
    <w:rsid w:val="00127CD3"/>
    <w:rsid w:val="00127D0C"/>
    <w:rsid w:val="00127D11"/>
    <w:rsid w:val="00127D1C"/>
    <w:rsid w:val="00127D24"/>
    <w:rsid w:val="00127E89"/>
    <w:rsid w:val="00127ED7"/>
    <w:rsid w:val="00127F24"/>
    <w:rsid w:val="00127F58"/>
    <w:rsid w:val="00127FD4"/>
    <w:rsid w:val="0013013C"/>
    <w:rsid w:val="00130212"/>
    <w:rsid w:val="00130270"/>
    <w:rsid w:val="001302D0"/>
    <w:rsid w:val="001302F5"/>
    <w:rsid w:val="001304E4"/>
    <w:rsid w:val="001304FF"/>
    <w:rsid w:val="0013054D"/>
    <w:rsid w:val="001305C4"/>
    <w:rsid w:val="001305D1"/>
    <w:rsid w:val="0013061D"/>
    <w:rsid w:val="00130665"/>
    <w:rsid w:val="00130701"/>
    <w:rsid w:val="001307D5"/>
    <w:rsid w:val="001307FF"/>
    <w:rsid w:val="0013085D"/>
    <w:rsid w:val="001308B0"/>
    <w:rsid w:val="001308F9"/>
    <w:rsid w:val="001309A1"/>
    <w:rsid w:val="00130A27"/>
    <w:rsid w:val="00130AA0"/>
    <w:rsid w:val="00130ABA"/>
    <w:rsid w:val="00130AC0"/>
    <w:rsid w:val="00130BB5"/>
    <w:rsid w:val="00130C1D"/>
    <w:rsid w:val="00130D9A"/>
    <w:rsid w:val="00130E1D"/>
    <w:rsid w:val="00130E4C"/>
    <w:rsid w:val="00130E97"/>
    <w:rsid w:val="00130F4B"/>
    <w:rsid w:val="00130F71"/>
    <w:rsid w:val="00130F8F"/>
    <w:rsid w:val="0013102D"/>
    <w:rsid w:val="001311A4"/>
    <w:rsid w:val="0013126E"/>
    <w:rsid w:val="00131271"/>
    <w:rsid w:val="001312B4"/>
    <w:rsid w:val="001313A3"/>
    <w:rsid w:val="0013143C"/>
    <w:rsid w:val="001314AE"/>
    <w:rsid w:val="001314D7"/>
    <w:rsid w:val="0013176A"/>
    <w:rsid w:val="0013179C"/>
    <w:rsid w:val="0013183C"/>
    <w:rsid w:val="001318B9"/>
    <w:rsid w:val="001318D5"/>
    <w:rsid w:val="001319C9"/>
    <w:rsid w:val="001319F5"/>
    <w:rsid w:val="00131AC4"/>
    <w:rsid w:val="00131B8E"/>
    <w:rsid w:val="00131C1C"/>
    <w:rsid w:val="00131C51"/>
    <w:rsid w:val="00131C7C"/>
    <w:rsid w:val="00131CCB"/>
    <w:rsid w:val="00131CF5"/>
    <w:rsid w:val="00131D49"/>
    <w:rsid w:val="00131DAE"/>
    <w:rsid w:val="00131E50"/>
    <w:rsid w:val="00131F60"/>
    <w:rsid w:val="00131F6D"/>
    <w:rsid w:val="00131F8A"/>
    <w:rsid w:val="00131F9B"/>
    <w:rsid w:val="00132035"/>
    <w:rsid w:val="0013204B"/>
    <w:rsid w:val="00132110"/>
    <w:rsid w:val="0013220E"/>
    <w:rsid w:val="001322B5"/>
    <w:rsid w:val="0013230C"/>
    <w:rsid w:val="001324FB"/>
    <w:rsid w:val="001324FC"/>
    <w:rsid w:val="001326E3"/>
    <w:rsid w:val="001326F2"/>
    <w:rsid w:val="001327C7"/>
    <w:rsid w:val="001327DF"/>
    <w:rsid w:val="0013281E"/>
    <w:rsid w:val="00132892"/>
    <w:rsid w:val="0013292F"/>
    <w:rsid w:val="00132A15"/>
    <w:rsid w:val="00132B48"/>
    <w:rsid w:val="00132B54"/>
    <w:rsid w:val="00132C61"/>
    <w:rsid w:val="00132C85"/>
    <w:rsid w:val="00132C91"/>
    <w:rsid w:val="00132CD5"/>
    <w:rsid w:val="00132D19"/>
    <w:rsid w:val="00132D21"/>
    <w:rsid w:val="00132D24"/>
    <w:rsid w:val="00132D5E"/>
    <w:rsid w:val="00132E5F"/>
    <w:rsid w:val="00133089"/>
    <w:rsid w:val="001331F9"/>
    <w:rsid w:val="0013326E"/>
    <w:rsid w:val="00133375"/>
    <w:rsid w:val="001333B3"/>
    <w:rsid w:val="001333C1"/>
    <w:rsid w:val="001333DF"/>
    <w:rsid w:val="0013346C"/>
    <w:rsid w:val="001334C6"/>
    <w:rsid w:val="00133504"/>
    <w:rsid w:val="001335CD"/>
    <w:rsid w:val="00133751"/>
    <w:rsid w:val="0013377D"/>
    <w:rsid w:val="001337AB"/>
    <w:rsid w:val="0013381F"/>
    <w:rsid w:val="00133907"/>
    <w:rsid w:val="00133922"/>
    <w:rsid w:val="00133A50"/>
    <w:rsid w:val="00133AB6"/>
    <w:rsid w:val="00133B16"/>
    <w:rsid w:val="00133C6F"/>
    <w:rsid w:val="00133CEC"/>
    <w:rsid w:val="00133D03"/>
    <w:rsid w:val="00133D5F"/>
    <w:rsid w:val="00133E48"/>
    <w:rsid w:val="00133F56"/>
    <w:rsid w:val="00133FFF"/>
    <w:rsid w:val="00134094"/>
    <w:rsid w:val="00134156"/>
    <w:rsid w:val="00134263"/>
    <w:rsid w:val="001343D1"/>
    <w:rsid w:val="00134407"/>
    <w:rsid w:val="00134459"/>
    <w:rsid w:val="00134499"/>
    <w:rsid w:val="00134605"/>
    <w:rsid w:val="00134616"/>
    <w:rsid w:val="0013464F"/>
    <w:rsid w:val="001346AF"/>
    <w:rsid w:val="001346DA"/>
    <w:rsid w:val="001347B4"/>
    <w:rsid w:val="00134997"/>
    <w:rsid w:val="00134AF8"/>
    <w:rsid w:val="00134C1F"/>
    <w:rsid w:val="00134C25"/>
    <w:rsid w:val="00134C74"/>
    <w:rsid w:val="00134D80"/>
    <w:rsid w:val="00134EC3"/>
    <w:rsid w:val="00134F33"/>
    <w:rsid w:val="00134F5F"/>
    <w:rsid w:val="00135012"/>
    <w:rsid w:val="001351B6"/>
    <w:rsid w:val="0013525C"/>
    <w:rsid w:val="001352F8"/>
    <w:rsid w:val="00135443"/>
    <w:rsid w:val="001354DD"/>
    <w:rsid w:val="0013551F"/>
    <w:rsid w:val="001355B8"/>
    <w:rsid w:val="001355F9"/>
    <w:rsid w:val="00135623"/>
    <w:rsid w:val="00135719"/>
    <w:rsid w:val="00135731"/>
    <w:rsid w:val="001357C9"/>
    <w:rsid w:val="00135884"/>
    <w:rsid w:val="00135A61"/>
    <w:rsid w:val="00135AE4"/>
    <w:rsid w:val="00135B6B"/>
    <w:rsid w:val="00135B85"/>
    <w:rsid w:val="00135B8F"/>
    <w:rsid w:val="00135BC4"/>
    <w:rsid w:val="00135C85"/>
    <w:rsid w:val="00135D14"/>
    <w:rsid w:val="00135D70"/>
    <w:rsid w:val="00135D9A"/>
    <w:rsid w:val="00135D9E"/>
    <w:rsid w:val="00135EA5"/>
    <w:rsid w:val="00135EAD"/>
    <w:rsid w:val="00136164"/>
    <w:rsid w:val="0013618F"/>
    <w:rsid w:val="00136219"/>
    <w:rsid w:val="00136252"/>
    <w:rsid w:val="0013625D"/>
    <w:rsid w:val="00136367"/>
    <w:rsid w:val="0013636C"/>
    <w:rsid w:val="00136377"/>
    <w:rsid w:val="00136583"/>
    <w:rsid w:val="001365CF"/>
    <w:rsid w:val="00136616"/>
    <w:rsid w:val="001366BB"/>
    <w:rsid w:val="00136800"/>
    <w:rsid w:val="00136830"/>
    <w:rsid w:val="0013684B"/>
    <w:rsid w:val="001368C4"/>
    <w:rsid w:val="0013691D"/>
    <w:rsid w:val="00136A0D"/>
    <w:rsid w:val="00136A53"/>
    <w:rsid w:val="00136AF6"/>
    <w:rsid w:val="00136B51"/>
    <w:rsid w:val="00136B86"/>
    <w:rsid w:val="00136C32"/>
    <w:rsid w:val="00136CD9"/>
    <w:rsid w:val="00136D95"/>
    <w:rsid w:val="00136E02"/>
    <w:rsid w:val="00136E6C"/>
    <w:rsid w:val="00136E79"/>
    <w:rsid w:val="00136F26"/>
    <w:rsid w:val="00136F6D"/>
    <w:rsid w:val="00137002"/>
    <w:rsid w:val="00137017"/>
    <w:rsid w:val="001371C3"/>
    <w:rsid w:val="0013722E"/>
    <w:rsid w:val="00137251"/>
    <w:rsid w:val="00137279"/>
    <w:rsid w:val="0013731D"/>
    <w:rsid w:val="001373DB"/>
    <w:rsid w:val="001374A0"/>
    <w:rsid w:val="0013750E"/>
    <w:rsid w:val="0013755F"/>
    <w:rsid w:val="0013773B"/>
    <w:rsid w:val="00137787"/>
    <w:rsid w:val="001379D4"/>
    <w:rsid w:val="00137A59"/>
    <w:rsid w:val="00137A5C"/>
    <w:rsid w:val="00137AA9"/>
    <w:rsid w:val="00137B75"/>
    <w:rsid w:val="00137BCC"/>
    <w:rsid w:val="00137F1D"/>
    <w:rsid w:val="00137F4B"/>
    <w:rsid w:val="00137F66"/>
    <w:rsid w:val="00137FCA"/>
    <w:rsid w:val="00140028"/>
    <w:rsid w:val="001400C6"/>
    <w:rsid w:val="001400F1"/>
    <w:rsid w:val="0014010B"/>
    <w:rsid w:val="001401BE"/>
    <w:rsid w:val="001402CC"/>
    <w:rsid w:val="0014039D"/>
    <w:rsid w:val="0014046C"/>
    <w:rsid w:val="0014056A"/>
    <w:rsid w:val="001405F2"/>
    <w:rsid w:val="001406C2"/>
    <w:rsid w:val="001406FB"/>
    <w:rsid w:val="0014070C"/>
    <w:rsid w:val="00140733"/>
    <w:rsid w:val="00140740"/>
    <w:rsid w:val="0014090A"/>
    <w:rsid w:val="00140961"/>
    <w:rsid w:val="00140C5E"/>
    <w:rsid w:val="00140D46"/>
    <w:rsid w:val="00140D8D"/>
    <w:rsid w:val="00140E1F"/>
    <w:rsid w:val="00140E40"/>
    <w:rsid w:val="00140EE2"/>
    <w:rsid w:val="00140EF3"/>
    <w:rsid w:val="00140FBD"/>
    <w:rsid w:val="00141023"/>
    <w:rsid w:val="00141258"/>
    <w:rsid w:val="00141270"/>
    <w:rsid w:val="00141294"/>
    <w:rsid w:val="001412AB"/>
    <w:rsid w:val="00141338"/>
    <w:rsid w:val="001413DB"/>
    <w:rsid w:val="001414E1"/>
    <w:rsid w:val="00141547"/>
    <w:rsid w:val="0014159C"/>
    <w:rsid w:val="001416C1"/>
    <w:rsid w:val="001416CF"/>
    <w:rsid w:val="001416FE"/>
    <w:rsid w:val="0014171D"/>
    <w:rsid w:val="0014173C"/>
    <w:rsid w:val="001417C7"/>
    <w:rsid w:val="001419B8"/>
    <w:rsid w:val="00141A98"/>
    <w:rsid w:val="00141AC3"/>
    <w:rsid w:val="00141BF7"/>
    <w:rsid w:val="00141DE0"/>
    <w:rsid w:val="00141E19"/>
    <w:rsid w:val="00141E35"/>
    <w:rsid w:val="00141EA9"/>
    <w:rsid w:val="00141F7D"/>
    <w:rsid w:val="00141F96"/>
    <w:rsid w:val="00142052"/>
    <w:rsid w:val="001420C5"/>
    <w:rsid w:val="0014215D"/>
    <w:rsid w:val="00142166"/>
    <w:rsid w:val="0014225B"/>
    <w:rsid w:val="00142386"/>
    <w:rsid w:val="0014243B"/>
    <w:rsid w:val="0014250B"/>
    <w:rsid w:val="0014253D"/>
    <w:rsid w:val="001425A3"/>
    <w:rsid w:val="001425E4"/>
    <w:rsid w:val="00142645"/>
    <w:rsid w:val="001426C8"/>
    <w:rsid w:val="00142812"/>
    <w:rsid w:val="00142819"/>
    <w:rsid w:val="00142A3C"/>
    <w:rsid w:val="00142A8C"/>
    <w:rsid w:val="00142ABF"/>
    <w:rsid w:val="00142B08"/>
    <w:rsid w:val="00142B6A"/>
    <w:rsid w:val="00142BB8"/>
    <w:rsid w:val="00142C47"/>
    <w:rsid w:val="00142C64"/>
    <w:rsid w:val="00142C74"/>
    <w:rsid w:val="00142CCA"/>
    <w:rsid w:val="00142CD7"/>
    <w:rsid w:val="00142D60"/>
    <w:rsid w:val="00142DB9"/>
    <w:rsid w:val="00142E28"/>
    <w:rsid w:val="00142E4A"/>
    <w:rsid w:val="00142E61"/>
    <w:rsid w:val="00143045"/>
    <w:rsid w:val="00143069"/>
    <w:rsid w:val="0014309D"/>
    <w:rsid w:val="001430A6"/>
    <w:rsid w:val="001430F1"/>
    <w:rsid w:val="00143142"/>
    <w:rsid w:val="00143148"/>
    <w:rsid w:val="00143156"/>
    <w:rsid w:val="00143199"/>
    <w:rsid w:val="001431FC"/>
    <w:rsid w:val="0014327D"/>
    <w:rsid w:val="001432EA"/>
    <w:rsid w:val="001432FB"/>
    <w:rsid w:val="00143325"/>
    <w:rsid w:val="0014332F"/>
    <w:rsid w:val="001433ED"/>
    <w:rsid w:val="001434CF"/>
    <w:rsid w:val="001436A7"/>
    <w:rsid w:val="00143837"/>
    <w:rsid w:val="00143898"/>
    <w:rsid w:val="001438FA"/>
    <w:rsid w:val="0014391C"/>
    <w:rsid w:val="001439AD"/>
    <w:rsid w:val="001439DF"/>
    <w:rsid w:val="00143B18"/>
    <w:rsid w:val="00143C65"/>
    <w:rsid w:val="00143CD9"/>
    <w:rsid w:val="00143DDD"/>
    <w:rsid w:val="00143E67"/>
    <w:rsid w:val="00143F1C"/>
    <w:rsid w:val="00143F2B"/>
    <w:rsid w:val="00144088"/>
    <w:rsid w:val="0014414F"/>
    <w:rsid w:val="001441E2"/>
    <w:rsid w:val="00144295"/>
    <w:rsid w:val="0014463A"/>
    <w:rsid w:val="00144673"/>
    <w:rsid w:val="0014467D"/>
    <w:rsid w:val="0014467E"/>
    <w:rsid w:val="001446BD"/>
    <w:rsid w:val="001446C7"/>
    <w:rsid w:val="00144729"/>
    <w:rsid w:val="0014480E"/>
    <w:rsid w:val="001449B7"/>
    <w:rsid w:val="00144A17"/>
    <w:rsid w:val="00144BB1"/>
    <w:rsid w:val="00144C9C"/>
    <w:rsid w:val="00144CB0"/>
    <w:rsid w:val="00144CB3"/>
    <w:rsid w:val="00144D31"/>
    <w:rsid w:val="00144DB6"/>
    <w:rsid w:val="00144F93"/>
    <w:rsid w:val="00144FE2"/>
    <w:rsid w:val="00145037"/>
    <w:rsid w:val="001450DD"/>
    <w:rsid w:val="00145227"/>
    <w:rsid w:val="00145366"/>
    <w:rsid w:val="001454C3"/>
    <w:rsid w:val="001454FF"/>
    <w:rsid w:val="001455C0"/>
    <w:rsid w:val="001455C5"/>
    <w:rsid w:val="0014565C"/>
    <w:rsid w:val="001456B9"/>
    <w:rsid w:val="001457B2"/>
    <w:rsid w:val="0014587A"/>
    <w:rsid w:val="00145942"/>
    <w:rsid w:val="001459E2"/>
    <w:rsid w:val="00145C5D"/>
    <w:rsid w:val="00145DF0"/>
    <w:rsid w:val="00145E8F"/>
    <w:rsid w:val="00145E96"/>
    <w:rsid w:val="00145F39"/>
    <w:rsid w:val="00145FA8"/>
    <w:rsid w:val="001460AD"/>
    <w:rsid w:val="001460C1"/>
    <w:rsid w:val="0014610B"/>
    <w:rsid w:val="0014612D"/>
    <w:rsid w:val="0014622E"/>
    <w:rsid w:val="0014624F"/>
    <w:rsid w:val="00146383"/>
    <w:rsid w:val="00146553"/>
    <w:rsid w:val="00146590"/>
    <w:rsid w:val="001465D8"/>
    <w:rsid w:val="0014667F"/>
    <w:rsid w:val="0014672E"/>
    <w:rsid w:val="001468DF"/>
    <w:rsid w:val="001469B4"/>
    <w:rsid w:val="001469D0"/>
    <w:rsid w:val="001469EB"/>
    <w:rsid w:val="00146B46"/>
    <w:rsid w:val="00146BF9"/>
    <w:rsid w:val="00146C82"/>
    <w:rsid w:val="00146D21"/>
    <w:rsid w:val="00146DFC"/>
    <w:rsid w:val="00146DFD"/>
    <w:rsid w:val="00146E0A"/>
    <w:rsid w:val="00146E16"/>
    <w:rsid w:val="00146F36"/>
    <w:rsid w:val="00146F6A"/>
    <w:rsid w:val="00146F79"/>
    <w:rsid w:val="00146F9C"/>
    <w:rsid w:val="00147105"/>
    <w:rsid w:val="001471BE"/>
    <w:rsid w:val="001471F0"/>
    <w:rsid w:val="001471F3"/>
    <w:rsid w:val="00147288"/>
    <w:rsid w:val="00147295"/>
    <w:rsid w:val="001472C9"/>
    <w:rsid w:val="0014730F"/>
    <w:rsid w:val="001473A3"/>
    <w:rsid w:val="001473D2"/>
    <w:rsid w:val="00147645"/>
    <w:rsid w:val="0014771A"/>
    <w:rsid w:val="00147733"/>
    <w:rsid w:val="00147751"/>
    <w:rsid w:val="001478A6"/>
    <w:rsid w:val="0014799A"/>
    <w:rsid w:val="00147A08"/>
    <w:rsid w:val="00147A4A"/>
    <w:rsid w:val="00147B75"/>
    <w:rsid w:val="00147B79"/>
    <w:rsid w:val="00147EAE"/>
    <w:rsid w:val="00147FC8"/>
    <w:rsid w:val="001500F5"/>
    <w:rsid w:val="001501F6"/>
    <w:rsid w:val="00150233"/>
    <w:rsid w:val="00150427"/>
    <w:rsid w:val="00150432"/>
    <w:rsid w:val="001504DC"/>
    <w:rsid w:val="00150624"/>
    <w:rsid w:val="001507C3"/>
    <w:rsid w:val="001507CD"/>
    <w:rsid w:val="00150829"/>
    <w:rsid w:val="00150884"/>
    <w:rsid w:val="00150897"/>
    <w:rsid w:val="00150936"/>
    <w:rsid w:val="001509B7"/>
    <w:rsid w:val="001509CB"/>
    <w:rsid w:val="001509D4"/>
    <w:rsid w:val="001509F6"/>
    <w:rsid w:val="00150AC3"/>
    <w:rsid w:val="00150B3D"/>
    <w:rsid w:val="00150B4A"/>
    <w:rsid w:val="00150B7D"/>
    <w:rsid w:val="00150C04"/>
    <w:rsid w:val="00150C10"/>
    <w:rsid w:val="00150FE9"/>
    <w:rsid w:val="0015102B"/>
    <w:rsid w:val="0015107F"/>
    <w:rsid w:val="00151165"/>
    <w:rsid w:val="0015118C"/>
    <w:rsid w:val="001511C8"/>
    <w:rsid w:val="001513D0"/>
    <w:rsid w:val="0015140E"/>
    <w:rsid w:val="00151450"/>
    <w:rsid w:val="00151564"/>
    <w:rsid w:val="001515CE"/>
    <w:rsid w:val="001515D4"/>
    <w:rsid w:val="00151690"/>
    <w:rsid w:val="00151783"/>
    <w:rsid w:val="001519AA"/>
    <w:rsid w:val="001519AC"/>
    <w:rsid w:val="001519F9"/>
    <w:rsid w:val="00151ABE"/>
    <w:rsid w:val="00151ACC"/>
    <w:rsid w:val="00151AE4"/>
    <w:rsid w:val="00151AF8"/>
    <w:rsid w:val="00151B2B"/>
    <w:rsid w:val="00151CC1"/>
    <w:rsid w:val="00151D8E"/>
    <w:rsid w:val="00151E0C"/>
    <w:rsid w:val="00151E61"/>
    <w:rsid w:val="00151E62"/>
    <w:rsid w:val="00151F5F"/>
    <w:rsid w:val="00151F78"/>
    <w:rsid w:val="00151F8B"/>
    <w:rsid w:val="0015213B"/>
    <w:rsid w:val="00152377"/>
    <w:rsid w:val="001523FB"/>
    <w:rsid w:val="0015246F"/>
    <w:rsid w:val="00152472"/>
    <w:rsid w:val="0015259F"/>
    <w:rsid w:val="00152616"/>
    <w:rsid w:val="00152624"/>
    <w:rsid w:val="0015262C"/>
    <w:rsid w:val="00152784"/>
    <w:rsid w:val="001529BD"/>
    <w:rsid w:val="00152B88"/>
    <w:rsid w:val="00152BA1"/>
    <w:rsid w:val="00152C9B"/>
    <w:rsid w:val="00152DED"/>
    <w:rsid w:val="00152E35"/>
    <w:rsid w:val="00152EF0"/>
    <w:rsid w:val="00152F28"/>
    <w:rsid w:val="00152FFF"/>
    <w:rsid w:val="001530F8"/>
    <w:rsid w:val="00153187"/>
    <w:rsid w:val="00153191"/>
    <w:rsid w:val="00153203"/>
    <w:rsid w:val="0015320C"/>
    <w:rsid w:val="001532F9"/>
    <w:rsid w:val="0015333E"/>
    <w:rsid w:val="0015335E"/>
    <w:rsid w:val="001534FC"/>
    <w:rsid w:val="00153551"/>
    <w:rsid w:val="00153642"/>
    <w:rsid w:val="0015388D"/>
    <w:rsid w:val="00153895"/>
    <w:rsid w:val="001538E8"/>
    <w:rsid w:val="00153A96"/>
    <w:rsid w:val="00153B44"/>
    <w:rsid w:val="00153B4D"/>
    <w:rsid w:val="00153B83"/>
    <w:rsid w:val="00153C07"/>
    <w:rsid w:val="00153DB6"/>
    <w:rsid w:val="00153DBB"/>
    <w:rsid w:val="00153DDD"/>
    <w:rsid w:val="00153F36"/>
    <w:rsid w:val="00153FBC"/>
    <w:rsid w:val="0015420B"/>
    <w:rsid w:val="0015423E"/>
    <w:rsid w:val="00154475"/>
    <w:rsid w:val="001544B8"/>
    <w:rsid w:val="001545BA"/>
    <w:rsid w:val="001546B6"/>
    <w:rsid w:val="001546E7"/>
    <w:rsid w:val="0015474E"/>
    <w:rsid w:val="0015475F"/>
    <w:rsid w:val="0015476A"/>
    <w:rsid w:val="001547AD"/>
    <w:rsid w:val="00154935"/>
    <w:rsid w:val="00154B1E"/>
    <w:rsid w:val="00154BA3"/>
    <w:rsid w:val="00154BBE"/>
    <w:rsid w:val="00154C4D"/>
    <w:rsid w:val="00154C65"/>
    <w:rsid w:val="00154D09"/>
    <w:rsid w:val="00154E66"/>
    <w:rsid w:val="00154ECD"/>
    <w:rsid w:val="00155030"/>
    <w:rsid w:val="001550CF"/>
    <w:rsid w:val="0015513E"/>
    <w:rsid w:val="0015521D"/>
    <w:rsid w:val="00155260"/>
    <w:rsid w:val="001553BA"/>
    <w:rsid w:val="001554B7"/>
    <w:rsid w:val="001554ED"/>
    <w:rsid w:val="0015551D"/>
    <w:rsid w:val="00155533"/>
    <w:rsid w:val="00155568"/>
    <w:rsid w:val="00155569"/>
    <w:rsid w:val="0015561D"/>
    <w:rsid w:val="00155624"/>
    <w:rsid w:val="00155640"/>
    <w:rsid w:val="001556FE"/>
    <w:rsid w:val="001557FF"/>
    <w:rsid w:val="001558AB"/>
    <w:rsid w:val="001558E3"/>
    <w:rsid w:val="00155925"/>
    <w:rsid w:val="00155951"/>
    <w:rsid w:val="00155B9D"/>
    <w:rsid w:val="00155C07"/>
    <w:rsid w:val="00155CE3"/>
    <w:rsid w:val="00155D7D"/>
    <w:rsid w:val="00155D7E"/>
    <w:rsid w:val="00155EEE"/>
    <w:rsid w:val="00155FBC"/>
    <w:rsid w:val="001561D2"/>
    <w:rsid w:val="001562C5"/>
    <w:rsid w:val="00156439"/>
    <w:rsid w:val="00156486"/>
    <w:rsid w:val="001564EE"/>
    <w:rsid w:val="001565A0"/>
    <w:rsid w:val="001565E3"/>
    <w:rsid w:val="00156677"/>
    <w:rsid w:val="00156798"/>
    <w:rsid w:val="001567DA"/>
    <w:rsid w:val="00156806"/>
    <w:rsid w:val="00156837"/>
    <w:rsid w:val="001568BD"/>
    <w:rsid w:val="00156953"/>
    <w:rsid w:val="00156A14"/>
    <w:rsid w:val="00156A4A"/>
    <w:rsid w:val="00156AFA"/>
    <w:rsid w:val="00156B75"/>
    <w:rsid w:val="00156C22"/>
    <w:rsid w:val="00156C75"/>
    <w:rsid w:val="00156CAD"/>
    <w:rsid w:val="00156CC4"/>
    <w:rsid w:val="00156D22"/>
    <w:rsid w:val="00156DA6"/>
    <w:rsid w:val="00156E9D"/>
    <w:rsid w:val="00156EF1"/>
    <w:rsid w:val="00156EFD"/>
    <w:rsid w:val="00156F86"/>
    <w:rsid w:val="00156FE5"/>
    <w:rsid w:val="00157197"/>
    <w:rsid w:val="0015720C"/>
    <w:rsid w:val="001572B3"/>
    <w:rsid w:val="001572C7"/>
    <w:rsid w:val="00157549"/>
    <w:rsid w:val="001575AE"/>
    <w:rsid w:val="001577E6"/>
    <w:rsid w:val="00157813"/>
    <w:rsid w:val="00157834"/>
    <w:rsid w:val="0015796C"/>
    <w:rsid w:val="00157A0C"/>
    <w:rsid w:val="00157A6E"/>
    <w:rsid w:val="00157AD5"/>
    <w:rsid w:val="00157B70"/>
    <w:rsid w:val="00157D0D"/>
    <w:rsid w:val="00157E53"/>
    <w:rsid w:val="00157E6A"/>
    <w:rsid w:val="00157F02"/>
    <w:rsid w:val="00157F87"/>
    <w:rsid w:val="00157FE8"/>
    <w:rsid w:val="00160139"/>
    <w:rsid w:val="001601C0"/>
    <w:rsid w:val="001601C5"/>
    <w:rsid w:val="0016020E"/>
    <w:rsid w:val="001602E6"/>
    <w:rsid w:val="00160303"/>
    <w:rsid w:val="001603A6"/>
    <w:rsid w:val="0016042F"/>
    <w:rsid w:val="0016063C"/>
    <w:rsid w:val="00160661"/>
    <w:rsid w:val="0016068D"/>
    <w:rsid w:val="0016098C"/>
    <w:rsid w:val="001609AB"/>
    <w:rsid w:val="001609B5"/>
    <w:rsid w:val="001609C8"/>
    <w:rsid w:val="001609D3"/>
    <w:rsid w:val="00160AAD"/>
    <w:rsid w:val="00160ADE"/>
    <w:rsid w:val="00160ADF"/>
    <w:rsid w:val="00160AF1"/>
    <w:rsid w:val="00160B41"/>
    <w:rsid w:val="00160BA9"/>
    <w:rsid w:val="00160C3C"/>
    <w:rsid w:val="00160E24"/>
    <w:rsid w:val="00160E61"/>
    <w:rsid w:val="00160E72"/>
    <w:rsid w:val="00160E8C"/>
    <w:rsid w:val="00160F04"/>
    <w:rsid w:val="00160FF9"/>
    <w:rsid w:val="0016102B"/>
    <w:rsid w:val="0016104D"/>
    <w:rsid w:val="001611AB"/>
    <w:rsid w:val="00161310"/>
    <w:rsid w:val="00161407"/>
    <w:rsid w:val="0016142F"/>
    <w:rsid w:val="00161430"/>
    <w:rsid w:val="0016153A"/>
    <w:rsid w:val="00161601"/>
    <w:rsid w:val="00161619"/>
    <w:rsid w:val="00161660"/>
    <w:rsid w:val="001617D5"/>
    <w:rsid w:val="00161942"/>
    <w:rsid w:val="00161A51"/>
    <w:rsid w:val="00161AB6"/>
    <w:rsid w:val="00161B2D"/>
    <w:rsid w:val="00161B88"/>
    <w:rsid w:val="00161C20"/>
    <w:rsid w:val="00161C99"/>
    <w:rsid w:val="00161D93"/>
    <w:rsid w:val="00161D9B"/>
    <w:rsid w:val="00161DC1"/>
    <w:rsid w:val="00161DDD"/>
    <w:rsid w:val="00161E21"/>
    <w:rsid w:val="00161F71"/>
    <w:rsid w:val="0016205B"/>
    <w:rsid w:val="001620D8"/>
    <w:rsid w:val="00162180"/>
    <w:rsid w:val="0016219B"/>
    <w:rsid w:val="001621E9"/>
    <w:rsid w:val="001622F7"/>
    <w:rsid w:val="00162312"/>
    <w:rsid w:val="00162357"/>
    <w:rsid w:val="00162386"/>
    <w:rsid w:val="00162504"/>
    <w:rsid w:val="0016252C"/>
    <w:rsid w:val="0016258C"/>
    <w:rsid w:val="00162619"/>
    <w:rsid w:val="00162634"/>
    <w:rsid w:val="00162730"/>
    <w:rsid w:val="0016279F"/>
    <w:rsid w:val="001628D8"/>
    <w:rsid w:val="00162903"/>
    <w:rsid w:val="00162A88"/>
    <w:rsid w:val="00162B7D"/>
    <w:rsid w:val="00162BE8"/>
    <w:rsid w:val="00162D76"/>
    <w:rsid w:val="00162F1D"/>
    <w:rsid w:val="00163169"/>
    <w:rsid w:val="001631D5"/>
    <w:rsid w:val="001633A2"/>
    <w:rsid w:val="0016341F"/>
    <w:rsid w:val="00163481"/>
    <w:rsid w:val="00163485"/>
    <w:rsid w:val="00163501"/>
    <w:rsid w:val="0016356D"/>
    <w:rsid w:val="00163667"/>
    <w:rsid w:val="0016366A"/>
    <w:rsid w:val="001636D0"/>
    <w:rsid w:val="001637B8"/>
    <w:rsid w:val="00163822"/>
    <w:rsid w:val="00163934"/>
    <w:rsid w:val="00163978"/>
    <w:rsid w:val="00163B3F"/>
    <w:rsid w:val="00163B98"/>
    <w:rsid w:val="00163BB1"/>
    <w:rsid w:val="00163E14"/>
    <w:rsid w:val="00163F39"/>
    <w:rsid w:val="00163F6B"/>
    <w:rsid w:val="0016412D"/>
    <w:rsid w:val="0016421A"/>
    <w:rsid w:val="0016423A"/>
    <w:rsid w:val="0016427D"/>
    <w:rsid w:val="0016436F"/>
    <w:rsid w:val="00164469"/>
    <w:rsid w:val="0016449B"/>
    <w:rsid w:val="0016459E"/>
    <w:rsid w:val="00164647"/>
    <w:rsid w:val="001646BD"/>
    <w:rsid w:val="001647FE"/>
    <w:rsid w:val="00164876"/>
    <w:rsid w:val="00164B76"/>
    <w:rsid w:val="00164BBB"/>
    <w:rsid w:val="00164C71"/>
    <w:rsid w:val="00164C82"/>
    <w:rsid w:val="00164CA1"/>
    <w:rsid w:val="00164E66"/>
    <w:rsid w:val="00164EF5"/>
    <w:rsid w:val="00164F27"/>
    <w:rsid w:val="00165061"/>
    <w:rsid w:val="001650E8"/>
    <w:rsid w:val="001650F3"/>
    <w:rsid w:val="00165128"/>
    <w:rsid w:val="00165261"/>
    <w:rsid w:val="001653A6"/>
    <w:rsid w:val="001653BC"/>
    <w:rsid w:val="001653BF"/>
    <w:rsid w:val="001654B7"/>
    <w:rsid w:val="0016550C"/>
    <w:rsid w:val="0016555D"/>
    <w:rsid w:val="00165666"/>
    <w:rsid w:val="00165690"/>
    <w:rsid w:val="001656CF"/>
    <w:rsid w:val="00165769"/>
    <w:rsid w:val="00165893"/>
    <w:rsid w:val="00165963"/>
    <w:rsid w:val="0016596F"/>
    <w:rsid w:val="0016598F"/>
    <w:rsid w:val="00165AC7"/>
    <w:rsid w:val="00165B0C"/>
    <w:rsid w:val="00165B9C"/>
    <w:rsid w:val="00165BD3"/>
    <w:rsid w:val="00165CD3"/>
    <w:rsid w:val="00165D52"/>
    <w:rsid w:val="00165F49"/>
    <w:rsid w:val="00165F85"/>
    <w:rsid w:val="0016600E"/>
    <w:rsid w:val="0016602E"/>
    <w:rsid w:val="001660D9"/>
    <w:rsid w:val="0016617C"/>
    <w:rsid w:val="001661D6"/>
    <w:rsid w:val="00166402"/>
    <w:rsid w:val="00166462"/>
    <w:rsid w:val="001664E5"/>
    <w:rsid w:val="00166508"/>
    <w:rsid w:val="00166557"/>
    <w:rsid w:val="001665E3"/>
    <w:rsid w:val="00166629"/>
    <w:rsid w:val="001666B2"/>
    <w:rsid w:val="0016679C"/>
    <w:rsid w:val="001667AA"/>
    <w:rsid w:val="0016682B"/>
    <w:rsid w:val="00166874"/>
    <w:rsid w:val="00166879"/>
    <w:rsid w:val="00166921"/>
    <w:rsid w:val="00166979"/>
    <w:rsid w:val="001669B7"/>
    <w:rsid w:val="00166A2F"/>
    <w:rsid w:val="00166AC0"/>
    <w:rsid w:val="00166B78"/>
    <w:rsid w:val="00166BE7"/>
    <w:rsid w:val="00166C6A"/>
    <w:rsid w:val="00166D04"/>
    <w:rsid w:val="00166EB1"/>
    <w:rsid w:val="00166EC7"/>
    <w:rsid w:val="00166EDB"/>
    <w:rsid w:val="00166F01"/>
    <w:rsid w:val="00166F2A"/>
    <w:rsid w:val="00166FB3"/>
    <w:rsid w:val="00167235"/>
    <w:rsid w:val="001672EF"/>
    <w:rsid w:val="00167315"/>
    <w:rsid w:val="00167345"/>
    <w:rsid w:val="001673E8"/>
    <w:rsid w:val="00167468"/>
    <w:rsid w:val="0016758B"/>
    <w:rsid w:val="0016760C"/>
    <w:rsid w:val="00167796"/>
    <w:rsid w:val="00167A7A"/>
    <w:rsid w:val="00167AE5"/>
    <w:rsid w:val="00167B50"/>
    <w:rsid w:val="00167B5B"/>
    <w:rsid w:val="00167C32"/>
    <w:rsid w:val="00167C3E"/>
    <w:rsid w:val="00167C73"/>
    <w:rsid w:val="00167E0F"/>
    <w:rsid w:val="00167F5E"/>
    <w:rsid w:val="00167FE6"/>
    <w:rsid w:val="00167FE9"/>
    <w:rsid w:val="0017005A"/>
    <w:rsid w:val="00170069"/>
    <w:rsid w:val="0017013D"/>
    <w:rsid w:val="00170195"/>
    <w:rsid w:val="001701E6"/>
    <w:rsid w:val="00170209"/>
    <w:rsid w:val="00170218"/>
    <w:rsid w:val="001702CF"/>
    <w:rsid w:val="001702F5"/>
    <w:rsid w:val="00170351"/>
    <w:rsid w:val="00170418"/>
    <w:rsid w:val="001704DD"/>
    <w:rsid w:val="001705BE"/>
    <w:rsid w:val="001705F0"/>
    <w:rsid w:val="00170615"/>
    <w:rsid w:val="0017063D"/>
    <w:rsid w:val="00170688"/>
    <w:rsid w:val="001706F0"/>
    <w:rsid w:val="001707B8"/>
    <w:rsid w:val="001707EC"/>
    <w:rsid w:val="00170844"/>
    <w:rsid w:val="0017086E"/>
    <w:rsid w:val="0017087A"/>
    <w:rsid w:val="0017093F"/>
    <w:rsid w:val="00170943"/>
    <w:rsid w:val="001709E1"/>
    <w:rsid w:val="00170ACA"/>
    <w:rsid w:val="00170AF3"/>
    <w:rsid w:val="00170B34"/>
    <w:rsid w:val="00170C6F"/>
    <w:rsid w:val="00170CE2"/>
    <w:rsid w:val="00170D05"/>
    <w:rsid w:val="00170D6C"/>
    <w:rsid w:val="00170E73"/>
    <w:rsid w:val="00170FF4"/>
    <w:rsid w:val="0017107B"/>
    <w:rsid w:val="001710A0"/>
    <w:rsid w:val="00171281"/>
    <w:rsid w:val="001712E9"/>
    <w:rsid w:val="0017130B"/>
    <w:rsid w:val="001713AB"/>
    <w:rsid w:val="001713E5"/>
    <w:rsid w:val="001714AE"/>
    <w:rsid w:val="0017183F"/>
    <w:rsid w:val="001718CC"/>
    <w:rsid w:val="00171904"/>
    <w:rsid w:val="00171921"/>
    <w:rsid w:val="00171C40"/>
    <w:rsid w:val="00171C51"/>
    <w:rsid w:val="00171C5C"/>
    <w:rsid w:val="00171C60"/>
    <w:rsid w:val="00171D9C"/>
    <w:rsid w:val="00171EB0"/>
    <w:rsid w:val="00171EB8"/>
    <w:rsid w:val="00171EE5"/>
    <w:rsid w:val="00171F7B"/>
    <w:rsid w:val="0017202A"/>
    <w:rsid w:val="00172034"/>
    <w:rsid w:val="00172045"/>
    <w:rsid w:val="001720A7"/>
    <w:rsid w:val="00172173"/>
    <w:rsid w:val="00172176"/>
    <w:rsid w:val="001721A9"/>
    <w:rsid w:val="0017220E"/>
    <w:rsid w:val="0017231D"/>
    <w:rsid w:val="0017232D"/>
    <w:rsid w:val="00172467"/>
    <w:rsid w:val="001724BD"/>
    <w:rsid w:val="0017255F"/>
    <w:rsid w:val="001725AD"/>
    <w:rsid w:val="00172642"/>
    <w:rsid w:val="001726B1"/>
    <w:rsid w:val="001726B6"/>
    <w:rsid w:val="0017279D"/>
    <w:rsid w:val="001727F4"/>
    <w:rsid w:val="001727FF"/>
    <w:rsid w:val="00172880"/>
    <w:rsid w:val="00172980"/>
    <w:rsid w:val="001729A2"/>
    <w:rsid w:val="00172A93"/>
    <w:rsid w:val="00172B2B"/>
    <w:rsid w:val="00172B87"/>
    <w:rsid w:val="00172B90"/>
    <w:rsid w:val="00172D33"/>
    <w:rsid w:val="00172D37"/>
    <w:rsid w:val="00172D82"/>
    <w:rsid w:val="00172EB4"/>
    <w:rsid w:val="00172EDF"/>
    <w:rsid w:val="00173045"/>
    <w:rsid w:val="00173099"/>
    <w:rsid w:val="00173155"/>
    <w:rsid w:val="00173225"/>
    <w:rsid w:val="00173254"/>
    <w:rsid w:val="001733F6"/>
    <w:rsid w:val="00173482"/>
    <w:rsid w:val="00173495"/>
    <w:rsid w:val="00173499"/>
    <w:rsid w:val="001734B2"/>
    <w:rsid w:val="00173589"/>
    <w:rsid w:val="001736EF"/>
    <w:rsid w:val="00173717"/>
    <w:rsid w:val="001737ED"/>
    <w:rsid w:val="0017389C"/>
    <w:rsid w:val="00173AD8"/>
    <w:rsid w:val="00173C04"/>
    <w:rsid w:val="00173C39"/>
    <w:rsid w:val="00173C59"/>
    <w:rsid w:val="00173C97"/>
    <w:rsid w:val="00173CF2"/>
    <w:rsid w:val="00173CF8"/>
    <w:rsid w:val="00173DD8"/>
    <w:rsid w:val="00173E7F"/>
    <w:rsid w:val="00173EB5"/>
    <w:rsid w:val="00173EDD"/>
    <w:rsid w:val="00173EF2"/>
    <w:rsid w:val="00173F37"/>
    <w:rsid w:val="00173F3C"/>
    <w:rsid w:val="00173FDA"/>
    <w:rsid w:val="00174057"/>
    <w:rsid w:val="001740DC"/>
    <w:rsid w:val="00174182"/>
    <w:rsid w:val="001741AC"/>
    <w:rsid w:val="001742C0"/>
    <w:rsid w:val="00174309"/>
    <w:rsid w:val="001743EF"/>
    <w:rsid w:val="001744EF"/>
    <w:rsid w:val="0017459C"/>
    <w:rsid w:val="001745EC"/>
    <w:rsid w:val="0017470A"/>
    <w:rsid w:val="0017479C"/>
    <w:rsid w:val="00174900"/>
    <w:rsid w:val="0017490E"/>
    <w:rsid w:val="00174A58"/>
    <w:rsid w:val="00174AE5"/>
    <w:rsid w:val="00174BD7"/>
    <w:rsid w:val="00174C1F"/>
    <w:rsid w:val="00174C5F"/>
    <w:rsid w:val="00174C60"/>
    <w:rsid w:val="00174CA3"/>
    <w:rsid w:val="00174CBC"/>
    <w:rsid w:val="00174DF4"/>
    <w:rsid w:val="00174E99"/>
    <w:rsid w:val="00175030"/>
    <w:rsid w:val="0017504B"/>
    <w:rsid w:val="001750D0"/>
    <w:rsid w:val="001751EB"/>
    <w:rsid w:val="00175379"/>
    <w:rsid w:val="001754D9"/>
    <w:rsid w:val="00175516"/>
    <w:rsid w:val="0017553B"/>
    <w:rsid w:val="00175650"/>
    <w:rsid w:val="001756A7"/>
    <w:rsid w:val="00175745"/>
    <w:rsid w:val="0017584B"/>
    <w:rsid w:val="00175920"/>
    <w:rsid w:val="00175983"/>
    <w:rsid w:val="00175A5C"/>
    <w:rsid w:val="00175ACE"/>
    <w:rsid w:val="00175ADC"/>
    <w:rsid w:val="00175CA7"/>
    <w:rsid w:val="00175CD3"/>
    <w:rsid w:val="00175DDF"/>
    <w:rsid w:val="00175E33"/>
    <w:rsid w:val="00175E96"/>
    <w:rsid w:val="00175F07"/>
    <w:rsid w:val="00176030"/>
    <w:rsid w:val="001760A2"/>
    <w:rsid w:val="001760C8"/>
    <w:rsid w:val="00176164"/>
    <w:rsid w:val="001761A5"/>
    <w:rsid w:val="001762BD"/>
    <w:rsid w:val="001762F5"/>
    <w:rsid w:val="0017630C"/>
    <w:rsid w:val="00176552"/>
    <w:rsid w:val="00176752"/>
    <w:rsid w:val="00176786"/>
    <w:rsid w:val="001767AB"/>
    <w:rsid w:val="001767BE"/>
    <w:rsid w:val="00176819"/>
    <w:rsid w:val="00176A5B"/>
    <w:rsid w:val="00176A81"/>
    <w:rsid w:val="00176C6C"/>
    <w:rsid w:val="00176C8C"/>
    <w:rsid w:val="00176CEF"/>
    <w:rsid w:val="00176D59"/>
    <w:rsid w:val="00176D82"/>
    <w:rsid w:val="00176DC2"/>
    <w:rsid w:val="00177058"/>
    <w:rsid w:val="00177089"/>
    <w:rsid w:val="001771E5"/>
    <w:rsid w:val="0017722D"/>
    <w:rsid w:val="00177386"/>
    <w:rsid w:val="001773F8"/>
    <w:rsid w:val="00177412"/>
    <w:rsid w:val="00177478"/>
    <w:rsid w:val="00177491"/>
    <w:rsid w:val="001774A6"/>
    <w:rsid w:val="001774DA"/>
    <w:rsid w:val="001775A5"/>
    <w:rsid w:val="001775B0"/>
    <w:rsid w:val="001775CC"/>
    <w:rsid w:val="001776F4"/>
    <w:rsid w:val="00177816"/>
    <w:rsid w:val="00177959"/>
    <w:rsid w:val="0017798E"/>
    <w:rsid w:val="00177AAA"/>
    <w:rsid w:val="00177B20"/>
    <w:rsid w:val="00177B30"/>
    <w:rsid w:val="00177B3F"/>
    <w:rsid w:val="00177C57"/>
    <w:rsid w:val="00177CEF"/>
    <w:rsid w:val="00177D51"/>
    <w:rsid w:val="00177D9A"/>
    <w:rsid w:val="00177E08"/>
    <w:rsid w:val="00177EA3"/>
    <w:rsid w:val="00177EAB"/>
    <w:rsid w:val="00180056"/>
    <w:rsid w:val="0018006D"/>
    <w:rsid w:val="001800F3"/>
    <w:rsid w:val="00180180"/>
    <w:rsid w:val="00180248"/>
    <w:rsid w:val="001802B6"/>
    <w:rsid w:val="001803A3"/>
    <w:rsid w:val="001803F0"/>
    <w:rsid w:val="0018042C"/>
    <w:rsid w:val="001804FE"/>
    <w:rsid w:val="001805A5"/>
    <w:rsid w:val="00180729"/>
    <w:rsid w:val="00180999"/>
    <w:rsid w:val="00180B11"/>
    <w:rsid w:val="00180B1E"/>
    <w:rsid w:val="00180B8D"/>
    <w:rsid w:val="00180BE7"/>
    <w:rsid w:val="00180C58"/>
    <w:rsid w:val="00180C7C"/>
    <w:rsid w:val="00180D0B"/>
    <w:rsid w:val="00180D8B"/>
    <w:rsid w:val="00180DBD"/>
    <w:rsid w:val="00180E16"/>
    <w:rsid w:val="00180E77"/>
    <w:rsid w:val="00180EA9"/>
    <w:rsid w:val="00180F63"/>
    <w:rsid w:val="00180FFC"/>
    <w:rsid w:val="0018108E"/>
    <w:rsid w:val="0018112D"/>
    <w:rsid w:val="00181166"/>
    <w:rsid w:val="00181311"/>
    <w:rsid w:val="001813B5"/>
    <w:rsid w:val="001814EF"/>
    <w:rsid w:val="001814FF"/>
    <w:rsid w:val="00181548"/>
    <w:rsid w:val="0018159D"/>
    <w:rsid w:val="001815C7"/>
    <w:rsid w:val="001819E0"/>
    <w:rsid w:val="00181A07"/>
    <w:rsid w:val="00181A72"/>
    <w:rsid w:val="00181B62"/>
    <w:rsid w:val="00181B89"/>
    <w:rsid w:val="00181C37"/>
    <w:rsid w:val="00181D7D"/>
    <w:rsid w:val="00181DCE"/>
    <w:rsid w:val="00181E53"/>
    <w:rsid w:val="00181E8E"/>
    <w:rsid w:val="00181E94"/>
    <w:rsid w:val="00181E9B"/>
    <w:rsid w:val="00182005"/>
    <w:rsid w:val="00182010"/>
    <w:rsid w:val="00182029"/>
    <w:rsid w:val="00182031"/>
    <w:rsid w:val="00182032"/>
    <w:rsid w:val="001820B0"/>
    <w:rsid w:val="001820FA"/>
    <w:rsid w:val="00182128"/>
    <w:rsid w:val="001822AC"/>
    <w:rsid w:val="0018238C"/>
    <w:rsid w:val="0018244B"/>
    <w:rsid w:val="00182460"/>
    <w:rsid w:val="00182472"/>
    <w:rsid w:val="001824AD"/>
    <w:rsid w:val="0018253E"/>
    <w:rsid w:val="0018257A"/>
    <w:rsid w:val="00182695"/>
    <w:rsid w:val="00182712"/>
    <w:rsid w:val="0018276D"/>
    <w:rsid w:val="00182888"/>
    <w:rsid w:val="0018290C"/>
    <w:rsid w:val="001829E6"/>
    <w:rsid w:val="001829EC"/>
    <w:rsid w:val="00182AD3"/>
    <w:rsid w:val="00182B33"/>
    <w:rsid w:val="00182BD5"/>
    <w:rsid w:val="00182BD9"/>
    <w:rsid w:val="00182CD8"/>
    <w:rsid w:val="00182D03"/>
    <w:rsid w:val="00182D4D"/>
    <w:rsid w:val="00182DED"/>
    <w:rsid w:val="00182E8D"/>
    <w:rsid w:val="00182EFF"/>
    <w:rsid w:val="00182F83"/>
    <w:rsid w:val="00182F9A"/>
    <w:rsid w:val="00183016"/>
    <w:rsid w:val="00183183"/>
    <w:rsid w:val="001832C7"/>
    <w:rsid w:val="001832F2"/>
    <w:rsid w:val="0018336D"/>
    <w:rsid w:val="001833DB"/>
    <w:rsid w:val="00183426"/>
    <w:rsid w:val="0018364C"/>
    <w:rsid w:val="00183695"/>
    <w:rsid w:val="001836D0"/>
    <w:rsid w:val="001838B0"/>
    <w:rsid w:val="001838D2"/>
    <w:rsid w:val="001839CA"/>
    <w:rsid w:val="00183A4C"/>
    <w:rsid w:val="00183A4E"/>
    <w:rsid w:val="00183A77"/>
    <w:rsid w:val="00183AE0"/>
    <w:rsid w:val="00183B30"/>
    <w:rsid w:val="00183B8B"/>
    <w:rsid w:val="00183C9D"/>
    <w:rsid w:val="00183E8C"/>
    <w:rsid w:val="00183E94"/>
    <w:rsid w:val="00183EE5"/>
    <w:rsid w:val="00183F88"/>
    <w:rsid w:val="00183FCC"/>
    <w:rsid w:val="001840D1"/>
    <w:rsid w:val="0018410F"/>
    <w:rsid w:val="00184112"/>
    <w:rsid w:val="00184182"/>
    <w:rsid w:val="001841F6"/>
    <w:rsid w:val="001842A1"/>
    <w:rsid w:val="001842C3"/>
    <w:rsid w:val="00184325"/>
    <w:rsid w:val="001843B1"/>
    <w:rsid w:val="0018441E"/>
    <w:rsid w:val="0018448A"/>
    <w:rsid w:val="001844C6"/>
    <w:rsid w:val="0018458B"/>
    <w:rsid w:val="0018462F"/>
    <w:rsid w:val="00184643"/>
    <w:rsid w:val="001846CC"/>
    <w:rsid w:val="001846FF"/>
    <w:rsid w:val="0018486B"/>
    <w:rsid w:val="0018492C"/>
    <w:rsid w:val="001849EF"/>
    <w:rsid w:val="00184A11"/>
    <w:rsid w:val="00184B21"/>
    <w:rsid w:val="00184C7A"/>
    <w:rsid w:val="00184D47"/>
    <w:rsid w:val="00184DCA"/>
    <w:rsid w:val="00184E40"/>
    <w:rsid w:val="00184F38"/>
    <w:rsid w:val="00185060"/>
    <w:rsid w:val="001850C8"/>
    <w:rsid w:val="001850FD"/>
    <w:rsid w:val="0018525A"/>
    <w:rsid w:val="001852D2"/>
    <w:rsid w:val="00185337"/>
    <w:rsid w:val="00185360"/>
    <w:rsid w:val="00185397"/>
    <w:rsid w:val="0018544C"/>
    <w:rsid w:val="00185547"/>
    <w:rsid w:val="00185597"/>
    <w:rsid w:val="00185599"/>
    <w:rsid w:val="001855FE"/>
    <w:rsid w:val="00185636"/>
    <w:rsid w:val="00185729"/>
    <w:rsid w:val="001858DA"/>
    <w:rsid w:val="001858DB"/>
    <w:rsid w:val="0018590E"/>
    <w:rsid w:val="001859D4"/>
    <w:rsid w:val="00185A7D"/>
    <w:rsid w:val="00185ACD"/>
    <w:rsid w:val="00185AFE"/>
    <w:rsid w:val="00185B4D"/>
    <w:rsid w:val="00185C31"/>
    <w:rsid w:val="00185CDE"/>
    <w:rsid w:val="00185CEB"/>
    <w:rsid w:val="00185DE2"/>
    <w:rsid w:val="00185E43"/>
    <w:rsid w:val="00185F58"/>
    <w:rsid w:val="001860A0"/>
    <w:rsid w:val="001863E0"/>
    <w:rsid w:val="0018652A"/>
    <w:rsid w:val="00186591"/>
    <w:rsid w:val="001865F4"/>
    <w:rsid w:val="001865FD"/>
    <w:rsid w:val="00186601"/>
    <w:rsid w:val="0018662F"/>
    <w:rsid w:val="0018664B"/>
    <w:rsid w:val="0018665F"/>
    <w:rsid w:val="001866BB"/>
    <w:rsid w:val="00186747"/>
    <w:rsid w:val="00186833"/>
    <w:rsid w:val="001868FD"/>
    <w:rsid w:val="00186931"/>
    <w:rsid w:val="0018698E"/>
    <w:rsid w:val="00186AB1"/>
    <w:rsid w:val="00186AE7"/>
    <w:rsid w:val="00186D9A"/>
    <w:rsid w:val="00186E67"/>
    <w:rsid w:val="00186E9F"/>
    <w:rsid w:val="00186EAE"/>
    <w:rsid w:val="00186ECF"/>
    <w:rsid w:val="00187136"/>
    <w:rsid w:val="00187211"/>
    <w:rsid w:val="00187213"/>
    <w:rsid w:val="001872B7"/>
    <w:rsid w:val="001872F4"/>
    <w:rsid w:val="001873A1"/>
    <w:rsid w:val="00187413"/>
    <w:rsid w:val="00187458"/>
    <w:rsid w:val="00187520"/>
    <w:rsid w:val="00187561"/>
    <w:rsid w:val="00187579"/>
    <w:rsid w:val="0018757B"/>
    <w:rsid w:val="001875A6"/>
    <w:rsid w:val="00187650"/>
    <w:rsid w:val="0018766E"/>
    <w:rsid w:val="0018770A"/>
    <w:rsid w:val="00187765"/>
    <w:rsid w:val="0018779A"/>
    <w:rsid w:val="001877B7"/>
    <w:rsid w:val="00187860"/>
    <w:rsid w:val="001878AC"/>
    <w:rsid w:val="001878F4"/>
    <w:rsid w:val="00187950"/>
    <w:rsid w:val="00187995"/>
    <w:rsid w:val="001879E7"/>
    <w:rsid w:val="00187A47"/>
    <w:rsid w:val="00187AAF"/>
    <w:rsid w:val="00187B94"/>
    <w:rsid w:val="00187CA2"/>
    <w:rsid w:val="00187DFB"/>
    <w:rsid w:val="00187E06"/>
    <w:rsid w:val="00187E0F"/>
    <w:rsid w:val="00187E3A"/>
    <w:rsid w:val="00190080"/>
    <w:rsid w:val="0019019C"/>
    <w:rsid w:val="001903C3"/>
    <w:rsid w:val="001904DD"/>
    <w:rsid w:val="001904F8"/>
    <w:rsid w:val="00190570"/>
    <w:rsid w:val="0019060C"/>
    <w:rsid w:val="001906FF"/>
    <w:rsid w:val="0019078E"/>
    <w:rsid w:val="00190977"/>
    <w:rsid w:val="0019098E"/>
    <w:rsid w:val="00190C50"/>
    <w:rsid w:val="00190DDB"/>
    <w:rsid w:val="00190F2B"/>
    <w:rsid w:val="00190F39"/>
    <w:rsid w:val="00190FBD"/>
    <w:rsid w:val="0019101B"/>
    <w:rsid w:val="00191043"/>
    <w:rsid w:val="00191085"/>
    <w:rsid w:val="001910E1"/>
    <w:rsid w:val="00191165"/>
    <w:rsid w:val="00191191"/>
    <w:rsid w:val="001911E0"/>
    <w:rsid w:val="001912B0"/>
    <w:rsid w:val="00191326"/>
    <w:rsid w:val="001913E9"/>
    <w:rsid w:val="00191407"/>
    <w:rsid w:val="00191459"/>
    <w:rsid w:val="0019154B"/>
    <w:rsid w:val="00191561"/>
    <w:rsid w:val="001915A9"/>
    <w:rsid w:val="00191611"/>
    <w:rsid w:val="00191612"/>
    <w:rsid w:val="00191794"/>
    <w:rsid w:val="0019179D"/>
    <w:rsid w:val="001917A3"/>
    <w:rsid w:val="0019191A"/>
    <w:rsid w:val="00191922"/>
    <w:rsid w:val="001919B1"/>
    <w:rsid w:val="00191BEE"/>
    <w:rsid w:val="00191C89"/>
    <w:rsid w:val="00191DC0"/>
    <w:rsid w:val="00191ED1"/>
    <w:rsid w:val="00192030"/>
    <w:rsid w:val="001920A6"/>
    <w:rsid w:val="001920E3"/>
    <w:rsid w:val="0019220E"/>
    <w:rsid w:val="0019240F"/>
    <w:rsid w:val="00192561"/>
    <w:rsid w:val="001925EB"/>
    <w:rsid w:val="00192682"/>
    <w:rsid w:val="0019272C"/>
    <w:rsid w:val="00192730"/>
    <w:rsid w:val="00192961"/>
    <w:rsid w:val="00192972"/>
    <w:rsid w:val="00192989"/>
    <w:rsid w:val="001929B4"/>
    <w:rsid w:val="00192A01"/>
    <w:rsid w:val="00192B25"/>
    <w:rsid w:val="00192B37"/>
    <w:rsid w:val="00192B89"/>
    <w:rsid w:val="00192C55"/>
    <w:rsid w:val="00192C83"/>
    <w:rsid w:val="00192D86"/>
    <w:rsid w:val="00192DB9"/>
    <w:rsid w:val="00192DEE"/>
    <w:rsid w:val="00192E22"/>
    <w:rsid w:val="00192E51"/>
    <w:rsid w:val="00192FCC"/>
    <w:rsid w:val="00193033"/>
    <w:rsid w:val="001932B0"/>
    <w:rsid w:val="0019336E"/>
    <w:rsid w:val="00193515"/>
    <w:rsid w:val="00193522"/>
    <w:rsid w:val="00193619"/>
    <w:rsid w:val="0019361B"/>
    <w:rsid w:val="00193666"/>
    <w:rsid w:val="001937A3"/>
    <w:rsid w:val="00193858"/>
    <w:rsid w:val="001938D1"/>
    <w:rsid w:val="0019393F"/>
    <w:rsid w:val="00193987"/>
    <w:rsid w:val="00193AC4"/>
    <w:rsid w:val="00193AE9"/>
    <w:rsid w:val="00193B3B"/>
    <w:rsid w:val="00193BFA"/>
    <w:rsid w:val="00193CB4"/>
    <w:rsid w:val="00193DF1"/>
    <w:rsid w:val="00194100"/>
    <w:rsid w:val="001941BF"/>
    <w:rsid w:val="001941C4"/>
    <w:rsid w:val="0019425E"/>
    <w:rsid w:val="001943BD"/>
    <w:rsid w:val="001945B1"/>
    <w:rsid w:val="0019469D"/>
    <w:rsid w:val="001947CD"/>
    <w:rsid w:val="00194802"/>
    <w:rsid w:val="00194882"/>
    <w:rsid w:val="001948BA"/>
    <w:rsid w:val="001948C1"/>
    <w:rsid w:val="00194968"/>
    <w:rsid w:val="001949E6"/>
    <w:rsid w:val="001949FF"/>
    <w:rsid w:val="00194A11"/>
    <w:rsid w:val="00194AC9"/>
    <w:rsid w:val="00194B3A"/>
    <w:rsid w:val="00194B88"/>
    <w:rsid w:val="00194C31"/>
    <w:rsid w:val="00194C53"/>
    <w:rsid w:val="00194C7E"/>
    <w:rsid w:val="00194CFF"/>
    <w:rsid w:val="00194D9F"/>
    <w:rsid w:val="00194E2F"/>
    <w:rsid w:val="00194F63"/>
    <w:rsid w:val="00194FE8"/>
    <w:rsid w:val="00194FF5"/>
    <w:rsid w:val="00194FFD"/>
    <w:rsid w:val="001950EF"/>
    <w:rsid w:val="00195103"/>
    <w:rsid w:val="00195151"/>
    <w:rsid w:val="0019518B"/>
    <w:rsid w:val="00195191"/>
    <w:rsid w:val="00195201"/>
    <w:rsid w:val="00195404"/>
    <w:rsid w:val="0019540C"/>
    <w:rsid w:val="00195437"/>
    <w:rsid w:val="00195465"/>
    <w:rsid w:val="0019554F"/>
    <w:rsid w:val="001956D5"/>
    <w:rsid w:val="00195834"/>
    <w:rsid w:val="001958B0"/>
    <w:rsid w:val="0019593F"/>
    <w:rsid w:val="00195996"/>
    <w:rsid w:val="00195A34"/>
    <w:rsid w:val="00195A75"/>
    <w:rsid w:val="00195C9E"/>
    <w:rsid w:val="00195CB6"/>
    <w:rsid w:val="00195E62"/>
    <w:rsid w:val="00195F14"/>
    <w:rsid w:val="00195F3C"/>
    <w:rsid w:val="00195FB7"/>
    <w:rsid w:val="00196094"/>
    <w:rsid w:val="001960D1"/>
    <w:rsid w:val="001961AA"/>
    <w:rsid w:val="001961BF"/>
    <w:rsid w:val="0019623B"/>
    <w:rsid w:val="001962DE"/>
    <w:rsid w:val="001963AC"/>
    <w:rsid w:val="001963F2"/>
    <w:rsid w:val="001963F3"/>
    <w:rsid w:val="001963F9"/>
    <w:rsid w:val="0019653B"/>
    <w:rsid w:val="00196548"/>
    <w:rsid w:val="0019668F"/>
    <w:rsid w:val="0019671F"/>
    <w:rsid w:val="00196856"/>
    <w:rsid w:val="00196972"/>
    <w:rsid w:val="001969D7"/>
    <w:rsid w:val="00196A1E"/>
    <w:rsid w:val="00196AB7"/>
    <w:rsid w:val="00196DB5"/>
    <w:rsid w:val="00196DFA"/>
    <w:rsid w:val="00196EA7"/>
    <w:rsid w:val="00196EC3"/>
    <w:rsid w:val="00196F5E"/>
    <w:rsid w:val="00196F67"/>
    <w:rsid w:val="00196F86"/>
    <w:rsid w:val="00196FB4"/>
    <w:rsid w:val="00197038"/>
    <w:rsid w:val="00197052"/>
    <w:rsid w:val="001970C5"/>
    <w:rsid w:val="00197148"/>
    <w:rsid w:val="00197334"/>
    <w:rsid w:val="0019736D"/>
    <w:rsid w:val="001973F1"/>
    <w:rsid w:val="001975E9"/>
    <w:rsid w:val="001975EE"/>
    <w:rsid w:val="001975F6"/>
    <w:rsid w:val="0019766B"/>
    <w:rsid w:val="00197696"/>
    <w:rsid w:val="001976FB"/>
    <w:rsid w:val="001977D4"/>
    <w:rsid w:val="00197812"/>
    <w:rsid w:val="00197825"/>
    <w:rsid w:val="00197BA9"/>
    <w:rsid w:val="00197BCD"/>
    <w:rsid w:val="00197BE9"/>
    <w:rsid w:val="00197C6A"/>
    <w:rsid w:val="00197D02"/>
    <w:rsid w:val="00197D7F"/>
    <w:rsid w:val="00197EE0"/>
    <w:rsid w:val="00197F47"/>
    <w:rsid w:val="001A0070"/>
    <w:rsid w:val="001A0107"/>
    <w:rsid w:val="001A010A"/>
    <w:rsid w:val="001A019B"/>
    <w:rsid w:val="001A01A3"/>
    <w:rsid w:val="001A01BA"/>
    <w:rsid w:val="001A035D"/>
    <w:rsid w:val="001A03B1"/>
    <w:rsid w:val="001A0445"/>
    <w:rsid w:val="001A0547"/>
    <w:rsid w:val="001A0561"/>
    <w:rsid w:val="001A0562"/>
    <w:rsid w:val="001A05BB"/>
    <w:rsid w:val="001A0650"/>
    <w:rsid w:val="001A06AE"/>
    <w:rsid w:val="001A06CA"/>
    <w:rsid w:val="001A06E0"/>
    <w:rsid w:val="001A0963"/>
    <w:rsid w:val="001A0BF0"/>
    <w:rsid w:val="001A0C41"/>
    <w:rsid w:val="001A0DAB"/>
    <w:rsid w:val="001A0E19"/>
    <w:rsid w:val="001A0E4D"/>
    <w:rsid w:val="001A0F2C"/>
    <w:rsid w:val="001A0F34"/>
    <w:rsid w:val="001A120D"/>
    <w:rsid w:val="001A1310"/>
    <w:rsid w:val="001A131C"/>
    <w:rsid w:val="001A132F"/>
    <w:rsid w:val="001A1349"/>
    <w:rsid w:val="001A13C9"/>
    <w:rsid w:val="001A1465"/>
    <w:rsid w:val="001A147B"/>
    <w:rsid w:val="001A14BB"/>
    <w:rsid w:val="001A14FC"/>
    <w:rsid w:val="001A15B8"/>
    <w:rsid w:val="001A15ED"/>
    <w:rsid w:val="001A1638"/>
    <w:rsid w:val="001A16B3"/>
    <w:rsid w:val="001A16D8"/>
    <w:rsid w:val="001A1776"/>
    <w:rsid w:val="001A1797"/>
    <w:rsid w:val="001A184D"/>
    <w:rsid w:val="001A19B9"/>
    <w:rsid w:val="001A1A93"/>
    <w:rsid w:val="001A1B39"/>
    <w:rsid w:val="001A1BAA"/>
    <w:rsid w:val="001A1BD1"/>
    <w:rsid w:val="001A1CC9"/>
    <w:rsid w:val="001A1D66"/>
    <w:rsid w:val="001A1DDE"/>
    <w:rsid w:val="001A1DEA"/>
    <w:rsid w:val="001A1F14"/>
    <w:rsid w:val="001A20B8"/>
    <w:rsid w:val="001A215E"/>
    <w:rsid w:val="001A22D4"/>
    <w:rsid w:val="001A22D9"/>
    <w:rsid w:val="001A233F"/>
    <w:rsid w:val="001A2379"/>
    <w:rsid w:val="001A2436"/>
    <w:rsid w:val="001A28D1"/>
    <w:rsid w:val="001A2A25"/>
    <w:rsid w:val="001A2A89"/>
    <w:rsid w:val="001A2AD6"/>
    <w:rsid w:val="001A2ADB"/>
    <w:rsid w:val="001A2B7E"/>
    <w:rsid w:val="001A2B96"/>
    <w:rsid w:val="001A2BDC"/>
    <w:rsid w:val="001A2BFC"/>
    <w:rsid w:val="001A2DA7"/>
    <w:rsid w:val="001A2E03"/>
    <w:rsid w:val="001A2E0E"/>
    <w:rsid w:val="001A2E14"/>
    <w:rsid w:val="001A2E60"/>
    <w:rsid w:val="001A302F"/>
    <w:rsid w:val="001A307D"/>
    <w:rsid w:val="001A318E"/>
    <w:rsid w:val="001A31FC"/>
    <w:rsid w:val="001A3237"/>
    <w:rsid w:val="001A34A3"/>
    <w:rsid w:val="001A34B4"/>
    <w:rsid w:val="001A35E1"/>
    <w:rsid w:val="001A368B"/>
    <w:rsid w:val="001A38C3"/>
    <w:rsid w:val="001A38E9"/>
    <w:rsid w:val="001A3BF5"/>
    <w:rsid w:val="001A3C5A"/>
    <w:rsid w:val="001A3D09"/>
    <w:rsid w:val="001A3FC7"/>
    <w:rsid w:val="001A3FD8"/>
    <w:rsid w:val="001A4090"/>
    <w:rsid w:val="001A4150"/>
    <w:rsid w:val="001A430B"/>
    <w:rsid w:val="001A43AA"/>
    <w:rsid w:val="001A43ED"/>
    <w:rsid w:val="001A43F1"/>
    <w:rsid w:val="001A4789"/>
    <w:rsid w:val="001A479B"/>
    <w:rsid w:val="001A4840"/>
    <w:rsid w:val="001A4869"/>
    <w:rsid w:val="001A48AF"/>
    <w:rsid w:val="001A4937"/>
    <w:rsid w:val="001A49D4"/>
    <w:rsid w:val="001A4A51"/>
    <w:rsid w:val="001A4AF6"/>
    <w:rsid w:val="001A4B26"/>
    <w:rsid w:val="001A4C71"/>
    <w:rsid w:val="001A4E17"/>
    <w:rsid w:val="001A4F63"/>
    <w:rsid w:val="001A4FC4"/>
    <w:rsid w:val="001A5164"/>
    <w:rsid w:val="001A517F"/>
    <w:rsid w:val="001A5508"/>
    <w:rsid w:val="001A55A4"/>
    <w:rsid w:val="001A55ED"/>
    <w:rsid w:val="001A55F0"/>
    <w:rsid w:val="001A5621"/>
    <w:rsid w:val="001A5714"/>
    <w:rsid w:val="001A5750"/>
    <w:rsid w:val="001A58EB"/>
    <w:rsid w:val="001A59CD"/>
    <w:rsid w:val="001A59D4"/>
    <w:rsid w:val="001A5B6F"/>
    <w:rsid w:val="001A5B93"/>
    <w:rsid w:val="001A5BA1"/>
    <w:rsid w:val="001A5BB9"/>
    <w:rsid w:val="001A5BF3"/>
    <w:rsid w:val="001A5FDB"/>
    <w:rsid w:val="001A5FF0"/>
    <w:rsid w:val="001A6019"/>
    <w:rsid w:val="001A6050"/>
    <w:rsid w:val="001A6054"/>
    <w:rsid w:val="001A606C"/>
    <w:rsid w:val="001A6088"/>
    <w:rsid w:val="001A60E5"/>
    <w:rsid w:val="001A61EF"/>
    <w:rsid w:val="001A63E5"/>
    <w:rsid w:val="001A641A"/>
    <w:rsid w:val="001A6438"/>
    <w:rsid w:val="001A6542"/>
    <w:rsid w:val="001A65BE"/>
    <w:rsid w:val="001A65EE"/>
    <w:rsid w:val="001A661F"/>
    <w:rsid w:val="001A662B"/>
    <w:rsid w:val="001A6649"/>
    <w:rsid w:val="001A672E"/>
    <w:rsid w:val="001A6772"/>
    <w:rsid w:val="001A678B"/>
    <w:rsid w:val="001A6852"/>
    <w:rsid w:val="001A685F"/>
    <w:rsid w:val="001A68A2"/>
    <w:rsid w:val="001A68E5"/>
    <w:rsid w:val="001A696A"/>
    <w:rsid w:val="001A6A2B"/>
    <w:rsid w:val="001A6AC4"/>
    <w:rsid w:val="001A6BC4"/>
    <w:rsid w:val="001A6D29"/>
    <w:rsid w:val="001A6DBA"/>
    <w:rsid w:val="001A6DEF"/>
    <w:rsid w:val="001A6E3F"/>
    <w:rsid w:val="001A6E5F"/>
    <w:rsid w:val="001A6EC4"/>
    <w:rsid w:val="001A7259"/>
    <w:rsid w:val="001A72C3"/>
    <w:rsid w:val="001A7357"/>
    <w:rsid w:val="001A7399"/>
    <w:rsid w:val="001A73FA"/>
    <w:rsid w:val="001A75B4"/>
    <w:rsid w:val="001A75E7"/>
    <w:rsid w:val="001A75F1"/>
    <w:rsid w:val="001A75F2"/>
    <w:rsid w:val="001A772D"/>
    <w:rsid w:val="001A7741"/>
    <w:rsid w:val="001A780F"/>
    <w:rsid w:val="001A79C7"/>
    <w:rsid w:val="001A7A19"/>
    <w:rsid w:val="001A7A41"/>
    <w:rsid w:val="001A7B3A"/>
    <w:rsid w:val="001A7B49"/>
    <w:rsid w:val="001A7B70"/>
    <w:rsid w:val="001A7C40"/>
    <w:rsid w:val="001A7C7C"/>
    <w:rsid w:val="001A7C7F"/>
    <w:rsid w:val="001A7C8B"/>
    <w:rsid w:val="001A7D38"/>
    <w:rsid w:val="001A7D4A"/>
    <w:rsid w:val="001A7D4E"/>
    <w:rsid w:val="001A7DAC"/>
    <w:rsid w:val="001A7EAF"/>
    <w:rsid w:val="001A7F7D"/>
    <w:rsid w:val="001A7FD2"/>
    <w:rsid w:val="001A7FDD"/>
    <w:rsid w:val="001B00D4"/>
    <w:rsid w:val="001B031E"/>
    <w:rsid w:val="001B043B"/>
    <w:rsid w:val="001B04BE"/>
    <w:rsid w:val="001B0571"/>
    <w:rsid w:val="001B06C8"/>
    <w:rsid w:val="001B0716"/>
    <w:rsid w:val="001B072A"/>
    <w:rsid w:val="001B078F"/>
    <w:rsid w:val="001B07BD"/>
    <w:rsid w:val="001B0A2F"/>
    <w:rsid w:val="001B0C1E"/>
    <w:rsid w:val="001B0CD1"/>
    <w:rsid w:val="001B0F38"/>
    <w:rsid w:val="001B0F8E"/>
    <w:rsid w:val="001B0FAE"/>
    <w:rsid w:val="001B1045"/>
    <w:rsid w:val="001B11DF"/>
    <w:rsid w:val="001B12F1"/>
    <w:rsid w:val="001B14A1"/>
    <w:rsid w:val="001B14F5"/>
    <w:rsid w:val="001B156C"/>
    <w:rsid w:val="001B1599"/>
    <w:rsid w:val="001B192E"/>
    <w:rsid w:val="001B1993"/>
    <w:rsid w:val="001B1B66"/>
    <w:rsid w:val="001B1BA6"/>
    <w:rsid w:val="001B1E39"/>
    <w:rsid w:val="001B1EC5"/>
    <w:rsid w:val="001B1F8F"/>
    <w:rsid w:val="001B1FF9"/>
    <w:rsid w:val="001B1FFF"/>
    <w:rsid w:val="001B20D1"/>
    <w:rsid w:val="001B20F6"/>
    <w:rsid w:val="001B2114"/>
    <w:rsid w:val="001B21C1"/>
    <w:rsid w:val="001B21D1"/>
    <w:rsid w:val="001B22C8"/>
    <w:rsid w:val="001B22DF"/>
    <w:rsid w:val="001B22F1"/>
    <w:rsid w:val="001B230C"/>
    <w:rsid w:val="001B2372"/>
    <w:rsid w:val="001B2387"/>
    <w:rsid w:val="001B2402"/>
    <w:rsid w:val="001B2408"/>
    <w:rsid w:val="001B243C"/>
    <w:rsid w:val="001B24E0"/>
    <w:rsid w:val="001B2509"/>
    <w:rsid w:val="001B2573"/>
    <w:rsid w:val="001B25C0"/>
    <w:rsid w:val="001B25F5"/>
    <w:rsid w:val="001B2625"/>
    <w:rsid w:val="001B26ED"/>
    <w:rsid w:val="001B2714"/>
    <w:rsid w:val="001B279D"/>
    <w:rsid w:val="001B27C1"/>
    <w:rsid w:val="001B27FB"/>
    <w:rsid w:val="001B288E"/>
    <w:rsid w:val="001B2896"/>
    <w:rsid w:val="001B28E6"/>
    <w:rsid w:val="001B2B95"/>
    <w:rsid w:val="001B2BDA"/>
    <w:rsid w:val="001B2BF1"/>
    <w:rsid w:val="001B2DAA"/>
    <w:rsid w:val="001B2F06"/>
    <w:rsid w:val="001B2F1D"/>
    <w:rsid w:val="001B30BD"/>
    <w:rsid w:val="001B3145"/>
    <w:rsid w:val="001B3215"/>
    <w:rsid w:val="001B3379"/>
    <w:rsid w:val="001B33C6"/>
    <w:rsid w:val="001B3411"/>
    <w:rsid w:val="001B3421"/>
    <w:rsid w:val="001B3548"/>
    <w:rsid w:val="001B3584"/>
    <w:rsid w:val="001B3655"/>
    <w:rsid w:val="001B3689"/>
    <w:rsid w:val="001B373B"/>
    <w:rsid w:val="001B3756"/>
    <w:rsid w:val="001B3877"/>
    <w:rsid w:val="001B3892"/>
    <w:rsid w:val="001B3C05"/>
    <w:rsid w:val="001B3D7F"/>
    <w:rsid w:val="001B3DC4"/>
    <w:rsid w:val="001B3DC8"/>
    <w:rsid w:val="001B3E7B"/>
    <w:rsid w:val="001B3E81"/>
    <w:rsid w:val="001B3EA9"/>
    <w:rsid w:val="001B3F8A"/>
    <w:rsid w:val="001B4062"/>
    <w:rsid w:val="001B4068"/>
    <w:rsid w:val="001B4099"/>
    <w:rsid w:val="001B420D"/>
    <w:rsid w:val="001B439C"/>
    <w:rsid w:val="001B43F2"/>
    <w:rsid w:val="001B43FE"/>
    <w:rsid w:val="001B442F"/>
    <w:rsid w:val="001B454B"/>
    <w:rsid w:val="001B46D7"/>
    <w:rsid w:val="001B4724"/>
    <w:rsid w:val="001B4745"/>
    <w:rsid w:val="001B4753"/>
    <w:rsid w:val="001B483E"/>
    <w:rsid w:val="001B48BD"/>
    <w:rsid w:val="001B495A"/>
    <w:rsid w:val="001B49AE"/>
    <w:rsid w:val="001B49B9"/>
    <w:rsid w:val="001B49D7"/>
    <w:rsid w:val="001B4A1B"/>
    <w:rsid w:val="001B4AFE"/>
    <w:rsid w:val="001B4CBA"/>
    <w:rsid w:val="001B4CCC"/>
    <w:rsid w:val="001B4D2F"/>
    <w:rsid w:val="001B4D32"/>
    <w:rsid w:val="001B4D46"/>
    <w:rsid w:val="001B4E44"/>
    <w:rsid w:val="001B4FB4"/>
    <w:rsid w:val="001B4FBA"/>
    <w:rsid w:val="001B5000"/>
    <w:rsid w:val="001B5013"/>
    <w:rsid w:val="001B5028"/>
    <w:rsid w:val="001B5077"/>
    <w:rsid w:val="001B5197"/>
    <w:rsid w:val="001B5207"/>
    <w:rsid w:val="001B5354"/>
    <w:rsid w:val="001B5407"/>
    <w:rsid w:val="001B5437"/>
    <w:rsid w:val="001B548D"/>
    <w:rsid w:val="001B5545"/>
    <w:rsid w:val="001B55F8"/>
    <w:rsid w:val="001B561F"/>
    <w:rsid w:val="001B563B"/>
    <w:rsid w:val="001B5892"/>
    <w:rsid w:val="001B5A1F"/>
    <w:rsid w:val="001B5AE7"/>
    <w:rsid w:val="001B5BA3"/>
    <w:rsid w:val="001B5BEA"/>
    <w:rsid w:val="001B5C2F"/>
    <w:rsid w:val="001B5C84"/>
    <w:rsid w:val="001B5CA1"/>
    <w:rsid w:val="001B5F07"/>
    <w:rsid w:val="001B5F3D"/>
    <w:rsid w:val="001B5F53"/>
    <w:rsid w:val="001B5F99"/>
    <w:rsid w:val="001B6024"/>
    <w:rsid w:val="001B6027"/>
    <w:rsid w:val="001B60E3"/>
    <w:rsid w:val="001B6109"/>
    <w:rsid w:val="001B61DD"/>
    <w:rsid w:val="001B61E9"/>
    <w:rsid w:val="001B6279"/>
    <w:rsid w:val="001B631E"/>
    <w:rsid w:val="001B6459"/>
    <w:rsid w:val="001B6684"/>
    <w:rsid w:val="001B66F5"/>
    <w:rsid w:val="001B673A"/>
    <w:rsid w:val="001B6751"/>
    <w:rsid w:val="001B6866"/>
    <w:rsid w:val="001B68EF"/>
    <w:rsid w:val="001B6964"/>
    <w:rsid w:val="001B696E"/>
    <w:rsid w:val="001B6AFA"/>
    <w:rsid w:val="001B6B4E"/>
    <w:rsid w:val="001B6BF7"/>
    <w:rsid w:val="001B6CD8"/>
    <w:rsid w:val="001B6E55"/>
    <w:rsid w:val="001B6ED5"/>
    <w:rsid w:val="001B7151"/>
    <w:rsid w:val="001B71B5"/>
    <w:rsid w:val="001B72CF"/>
    <w:rsid w:val="001B7324"/>
    <w:rsid w:val="001B7367"/>
    <w:rsid w:val="001B7508"/>
    <w:rsid w:val="001B750A"/>
    <w:rsid w:val="001B75A7"/>
    <w:rsid w:val="001B75E4"/>
    <w:rsid w:val="001B76CA"/>
    <w:rsid w:val="001B7742"/>
    <w:rsid w:val="001B77C9"/>
    <w:rsid w:val="001B77F5"/>
    <w:rsid w:val="001B7936"/>
    <w:rsid w:val="001B796A"/>
    <w:rsid w:val="001B79C6"/>
    <w:rsid w:val="001B7A10"/>
    <w:rsid w:val="001B7A23"/>
    <w:rsid w:val="001B7B31"/>
    <w:rsid w:val="001B7B4B"/>
    <w:rsid w:val="001B7B61"/>
    <w:rsid w:val="001B7B8D"/>
    <w:rsid w:val="001B7BAD"/>
    <w:rsid w:val="001B7BC0"/>
    <w:rsid w:val="001B7C39"/>
    <w:rsid w:val="001B7CE3"/>
    <w:rsid w:val="001B7CF6"/>
    <w:rsid w:val="001B7D22"/>
    <w:rsid w:val="001B7D7F"/>
    <w:rsid w:val="001B7D91"/>
    <w:rsid w:val="001B7E05"/>
    <w:rsid w:val="001B7E7C"/>
    <w:rsid w:val="001C009C"/>
    <w:rsid w:val="001C00A9"/>
    <w:rsid w:val="001C0103"/>
    <w:rsid w:val="001C0134"/>
    <w:rsid w:val="001C0147"/>
    <w:rsid w:val="001C0164"/>
    <w:rsid w:val="001C01C8"/>
    <w:rsid w:val="001C0323"/>
    <w:rsid w:val="001C041D"/>
    <w:rsid w:val="001C0485"/>
    <w:rsid w:val="001C0513"/>
    <w:rsid w:val="001C0568"/>
    <w:rsid w:val="001C058D"/>
    <w:rsid w:val="001C0627"/>
    <w:rsid w:val="001C0653"/>
    <w:rsid w:val="001C07EE"/>
    <w:rsid w:val="001C0833"/>
    <w:rsid w:val="001C08A7"/>
    <w:rsid w:val="001C0909"/>
    <w:rsid w:val="001C0952"/>
    <w:rsid w:val="001C096E"/>
    <w:rsid w:val="001C09AB"/>
    <w:rsid w:val="001C0A37"/>
    <w:rsid w:val="001C0BBA"/>
    <w:rsid w:val="001C0BED"/>
    <w:rsid w:val="001C0C24"/>
    <w:rsid w:val="001C0D56"/>
    <w:rsid w:val="001C0DD8"/>
    <w:rsid w:val="001C0E18"/>
    <w:rsid w:val="001C0E4C"/>
    <w:rsid w:val="001C1032"/>
    <w:rsid w:val="001C10B1"/>
    <w:rsid w:val="001C117E"/>
    <w:rsid w:val="001C11BC"/>
    <w:rsid w:val="001C11C0"/>
    <w:rsid w:val="001C11C8"/>
    <w:rsid w:val="001C1382"/>
    <w:rsid w:val="001C149A"/>
    <w:rsid w:val="001C14FB"/>
    <w:rsid w:val="001C152D"/>
    <w:rsid w:val="001C163E"/>
    <w:rsid w:val="001C1695"/>
    <w:rsid w:val="001C1707"/>
    <w:rsid w:val="001C179E"/>
    <w:rsid w:val="001C180E"/>
    <w:rsid w:val="001C181D"/>
    <w:rsid w:val="001C1924"/>
    <w:rsid w:val="001C19CC"/>
    <w:rsid w:val="001C19D5"/>
    <w:rsid w:val="001C1A47"/>
    <w:rsid w:val="001C1ACE"/>
    <w:rsid w:val="001C1ADA"/>
    <w:rsid w:val="001C1B73"/>
    <w:rsid w:val="001C1BA3"/>
    <w:rsid w:val="001C1BFA"/>
    <w:rsid w:val="001C1C68"/>
    <w:rsid w:val="001C1CAF"/>
    <w:rsid w:val="001C1D64"/>
    <w:rsid w:val="001C1F04"/>
    <w:rsid w:val="001C1F37"/>
    <w:rsid w:val="001C2002"/>
    <w:rsid w:val="001C205A"/>
    <w:rsid w:val="001C206D"/>
    <w:rsid w:val="001C2122"/>
    <w:rsid w:val="001C2144"/>
    <w:rsid w:val="001C2208"/>
    <w:rsid w:val="001C22B4"/>
    <w:rsid w:val="001C22DD"/>
    <w:rsid w:val="001C2372"/>
    <w:rsid w:val="001C23A2"/>
    <w:rsid w:val="001C23D0"/>
    <w:rsid w:val="001C23D1"/>
    <w:rsid w:val="001C2414"/>
    <w:rsid w:val="001C242E"/>
    <w:rsid w:val="001C2501"/>
    <w:rsid w:val="001C2574"/>
    <w:rsid w:val="001C2587"/>
    <w:rsid w:val="001C2632"/>
    <w:rsid w:val="001C2754"/>
    <w:rsid w:val="001C281E"/>
    <w:rsid w:val="001C2831"/>
    <w:rsid w:val="001C28BD"/>
    <w:rsid w:val="001C2963"/>
    <w:rsid w:val="001C29DD"/>
    <w:rsid w:val="001C2A26"/>
    <w:rsid w:val="001C2AB8"/>
    <w:rsid w:val="001C2AEB"/>
    <w:rsid w:val="001C2B91"/>
    <w:rsid w:val="001C2C8E"/>
    <w:rsid w:val="001C2D25"/>
    <w:rsid w:val="001C2D57"/>
    <w:rsid w:val="001C2DF2"/>
    <w:rsid w:val="001C2E42"/>
    <w:rsid w:val="001C300D"/>
    <w:rsid w:val="001C3134"/>
    <w:rsid w:val="001C3143"/>
    <w:rsid w:val="001C323D"/>
    <w:rsid w:val="001C34B4"/>
    <w:rsid w:val="001C34EC"/>
    <w:rsid w:val="001C356A"/>
    <w:rsid w:val="001C3617"/>
    <w:rsid w:val="001C3650"/>
    <w:rsid w:val="001C3781"/>
    <w:rsid w:val="001C381B"/>
    <w:rsid w:val="001C38ED"/>
    <w:rsid w:val="001C396A"/>
    <w:rsid w:val="001C39B0"/>
    <w:rsid w:val="001C3A04"/>
    <w:rsid w:val="001C3A2F"/>
    <w:rsid w:val="001C3A86"/>
    <w:rsid w:val="001C3ACE"/>
    <w:rsid w:val="001C3B15"/>
    <w:rsid w:val="001C3B48"/>
    <w:rsid w:val="001C3CDA"/>
    <w:rsid w:val="001C3D4B"/>
    <w:rsid w:val="001C3DD5"/>
    <w:rsid w:val="001C3E1E"/>
    <w:rsid w:val="001C3EA9"/>
    <w:rsid w:val="001C3EDA"/>
    <w:rsid w:val="001C42B0"/>
    <w:rsid w:val="001C4390"/>
    <w:rsid w:val="001C43E9"/>
    <w:rsid w:val="001C441D"/>
    <w:rsid w:val="001C4437"/>
    <w:rsid w:val="001C453D"/>
    <w:rsid w:val="001C4552"/>
    <w:rsid w:val="001C4555"/>
    <w:rsid w:val="001C45AA"/>
    <w:rsid w:val="001C45E0"/>
    <w:rsid w:val="001C461F"/>
    <w:rsid w:val="001C4798"/>
    <w:rsid w:val="001C47F5"/>
    <w:rsid w:val="001C493A"/>
    <w:rsid w:val="001C493F"/>
    <w:rsid w:val="001C497E"/>
    <w:rsid w:val="001C49FF"/>
    <w:rsid w:val="001C4A5A"/>
    <w:rsid w:val="001C4AAA"/>
    <w:rsid w:val="001C4E2E"/>
    <w:rsid w:val="001C4E7E"/>
    <w:rsid w:val="001C4E8B"/>
    <w:rsid w:val="001C4F55"/>
    <w:rsid w:val="001C4FC5"/>
    <w:rsid w:val="001C503F"/>
    <w:rsid w:val="001C50AA"/>
    <w:rsid w:val="001C5137"/>
    <w:rsid w:val="001C5273"/>
    <w:rsid w:val="001C52E2"/>
    <w:rsid w:val="001C5321"/>
    <w:rsid w:val="001C53B8"/>
    <w:rsid w:val="001C53BE"/>
    <w:rsid w:val="001C542A"/>
    <w:rsid w:val="001C54F4"/>
    <w:rsid w:val="001C550C"/>
    <w:rsid w:val="001C5510"/>
    <w:rsid w:val="001C5599"/>
    <w:rsid w:val="001C56A8"/>
    <w:rsid w:val="001C5A16"/>
    <w:rsid w:val="001C5A62"/>
    <w:rsid w:val="001C5B93"/>
    <w:rsid w:val="001C5C04"/>
    <w:rsid w:val="001C5D8A"/>
    <w:rsid w:val="001C5E68"/>
    <w:rsid w:val="001C5E74"/>
    <w:rsid w:val="001C5F61"/>
    <w:rsid w:val="001C5F72"/>
    <w:rsid w:val="001C5F75"/>
    <w:rsid w:val="001C5F76"/>
    <w:rsid w:val="001C5FCA"/>
    <w:rsid w:val="001C6035"/>
    <w:rsid w:val="001C6067"/>
    <w:rsid w:val="001C619E"/>
    <w:rsid w:val="001C6488"/>
    <w:rsid w:val="001C6533"/>
    <w:rsid w:val="001C6905"/>
    <w:rsid w:val="001C694A"/>
    <w:rsid w:val="001C6AA8"/>
    <w:rsid w:val="001C6C62"/>
    <w:rsid w:val="001C6D6E"/>
    <w:rsid w:val="001C6DCB"/>
    <w:rsid w:val="001C6E9B"/>
    <w:rsid w:val="001C7042"/>
    <w:rsid w:val="001C7073"/>
    <w:rsid w:val="001C707F"/>
    <w:rsid w:val="001C7291"/>
    <w:rsid w:val="001C7386"/>
    <w:rsid w:val="001C74AC"/>
    <w:rsid w:val="001C771C"/>
    <w:rsid w:val="001C7792"/>
    <w:rsid w:val="001C77AF"/>
    <w:rsid w:val="001C77EB"/>
    <w:rsid w:val="001C78A0"/>
    <w:rsid w:val="001C7AB3"/>
    <w:rsid w:val="001C7AC2"/>
    <w:rsid w:val="001C7ADA"/>
    <w:rsid w:val="001C7B7F"/>
    <w:rsid w:val="001C7C3F"/>
    <w:rsid w:val="001C7CB1"/>
    <w:rsid w:val="001C7CB7"/>
    <w:rsid w:val="001C7D9C"/>
    <w:rsid w:val="001C7DA2"/>
    <w:rsid w:val="001C7E0E"/>
    <w:rsid w:val="001C7EC2"/>
    <w:rsid w:val="001D0108"/>
    <w:rsid w:val="001D01D2"/>
    <w:rsid w:val="001D027C"/>
    <w:rsid w:val="001D037A"/>
    <w:rsid w:val="001D0462"/>
    <w:rsid w:val="001D0480"/>
    <w:rsid w:val="001D049E"/>
    <w:rsid w:val="001D053A"/>
    <w:rsid w:val="001D05CD"/>
    <w:rsid w:val="001D05D3"/>
    <w:rsid w:val="001D05D8"/>
    <w:rsid w:val="001D060D"/>
    <w:rsid w:val="001D0640"/>
    <w:rsid w:val="001D06BC"/>
    <w:rsid w:val="001D06F3"/>
    <w:rsid w:val="001D0705"/>
    <w:rsid w:val="001D07C5"/>
    <w:rsid w:val="001D099A"/>
    <w:rsid w:val="001D09A1"/>
    <w:rsid w:val="001D0B07"/>
    <w:rsid w:val="001D0B89"/>
    <w:rsid w:val="001D0BEA"/>
    <w:rsid w:val="001D0BED"/>
    <w:rsid w:val="001D0CB5"/>
    <w:rsid w:val="001D0D1D"/>
    <w:rsid w:val="001D0DE3"/>
    <w:rsid w:val="001D0EEF"/>
    <w:rsid w:val="001D120C"/>
    <w:rsid w:val="001D12E9"/>
    <w:rsid w:val="001D1337"/>
    <w:rsid w:val="001D1543"/>
    <w:rsid w:val="001D1629"/>
    <w:rsid w:val="001D174F"/>
    <w:rsid w:val="001D1761"/>
    <w:rsid w:val="001D17A5"/>
    <w:rsid w:val="001D18E8"/>
    <w:rsid w:val="001D18FD"/>
    <w:rsid w:val="001D197C"/>
    <w:rsid w:val="001D1AF2"/>
    <w:rsid w:val="001D1CEF"/>
    <w:rsid w:val="001D1D49"/>
    <w:rsid w:val="001D1D50"/>
    <w:rsid w:val="001D1E90"/>
    <w:rsid w:val="001D1F94"/>
    <w:rsid w:val="001D211B"/>
    <w:rsid w:val="001D2140"/>
    <w:rsid w:val="001D22A0"/>
    <w:rsid w:val="001D2331"/>
    <w:rsid w:val="001D2492"/>
    <w:rsid w:val="001D24F4"/>
    <w:rsid w:val="001D2657"/>
    <w:rsid w:val="001D26AD"/>
    <w:rsid w:val="001D287A"/>
    <w:rsid w:val="001D2B1A"/>
    <w:rsid w:val="001D2BC2"/>
    <w:rsid w:val="001D2C46"/>
    <w:rsid w:val="001D2D23"/>
    <w:rsid w:val="001D2D5D"/>
    <w:rsid w:val="001D2ED8"/>
    <w:rsid w:val="001D2EE5"/>
    <w:rsid w:val="001D2F61"/>
    <w:rsid w:val="001D2F9C"/>
    <w:rsid w:val="001D314E"/>
    <w:rsid w:val="001D3157"/>
    <w:rsid w:val="001D328B"/>
    <w:rsid w:val="001D33F4"/>
    <w:rsid w:val="001D340A"/>
    <w:rsid w:val="001D3666"/>
    <w:rsid w:val="001D36B9"/>
    <w:rsid w:val="001D379E"/>
    <w:rsid w:val="001D38F7"/>
    <w:rsid w:val="001D397B"/>
    <w:rsid w:val="001D3A2B"/>
    <w:rsid w:val="001D3A36"/>
    <w:rsid w:val="001D3AA8"/>
    <w:rsid w:val="001D3B87"/>
    <w:rsid w:val="001D3D04"/>
    <w:rsid w:val="001D3E1D"/>
    <w:rsid w:val="001D3F40"/>
    <w:rsid w:val="001D401A"/>
    <w:rsid w:val="001D404A"/>
    <w:rsid w:val="001D41E7"/>
    <w:rsid w:val="001D41FA"/>
    <w:rsid w:val="001D429B"/>
    <w:rsid w:val="001D42BF"/>
    <w:rsid w:val="001D437F"/>
    <w:rsid w:val="001D4442"/>
    <w:rsid w:val="001D4528"/>
    <w:rsid w:val="001D4599"/>
    <w:rsid w:val="001D465C"/>
    <w:rsid w:val="001D46A4"/>
    <w:rsid w:val="001D46D7"/>
    <w:rsid w:val="001D4775"/>
    <w:rsid w:val="001D47DC"/>
    <w:rsid w:val="001D485F"/>
    <w:rsid w:val="001D4986"/>
    <w:rsid w:val="001D499B"/>
    <w:rsid w:val="001D49DD"/>
    <w:rsid w:val="001D4A4C"/>
    <w:rsid w:val="001D4AB9"/>
    <w:rsid w:val="001D4B01"/>
    <w:rsid w:val="001D4C0F"/>
    <w:rsid w:val="001D4C73"/>
    <w:rsid w:val="001D4C8C"/>
    <w:rsid w:val="001D4D81"/>
    <w:rsid w:val="001D4E2B"/>
    <w:rsid w:val="001D4E37"/>
    <w:rsid w:val="001D5038"/>
    <w:rsid w:val="001D5078"/>
    <w:rsid w:val="001D507D"/>
    <w:rsid w:val="001D5127"/>
    <w:rsid w:val="001D512B"/>
    <w:rsid w:val="001D5272"/>
    <w:rsid w:val="001D52B7"/>
    <w:rsid w:val="001D53A7"/>
    <w:rsid w:val="001D53D0"/>
    <w:rsid w:val="001D5444"/>
    <w:rsid w:val="001D56A0"/>
    <w:rsid w:val="001D56C6"/>
    <w:rsid w:val="001D571F"/>
    <w:rsid w:val="001D585A"/>
    <w:rsid w:val="001D58D1"/>
    <w:rsid w:val="001D58FD"/>
    <w:rsid w:val="001D59E7"/>
    <w:rsid w:val="001D5B1E"/>
    <w:rsid w:val="001D5B8E"/>
    <w:rsid w:val="001D5BD3"/>
    <w:rsid w:val="001D5D1F"/>
    <w:rsid w:val="001D5D3B"/>
    <w:rsid w:val="001D5DCE"/>
    <w:rsid w:val="001D5E17"/>
    <w:rsid w:val="001D5E73"/>
    <w:rsid w:val="001D5EBB"/>
    <w:rsid w:val="001D5FA8"/>
    <w:rsid w:val="001D602E"/>
    <w:rsid w:val="001D6072"/>
    <w:rsid w:val="001D6197"/>
    <w:rsid w:val="001D6214"/>
    <w:rsid w:val="001D62DC"/>
    <w:rsid w:val="001D64F5"/>
    <w:rsid w:val="001D64FE"/>
    <w:rsid w:val="001D6610"/>
    <w:rsid w:val="001D66B7"/>
    <w:rsid w:val="001D6727"/>
    <w:rsid w:val="001D6744"/>
    <w:rsid w:val="001D67F2"/>
    <w:rsid w:val="001D688B"/>
    <w:rsid w:val="001D68E5"/>
    <w:rsid w:val="001D694A"/>
    <w:rsid w:val="001D6C4F"/>
    <w:rsid w:val="001D6C6A"/>
    <w:rsid w:val="001D6EA9"/>
    <w:rsid w:val="001D6ED1"/>
    <w:rsid w:val="001D6F4E"/>
    <w:rsid w:val="001D6F98"/>
    <w:rsid w:val="001D6FC4"/>
    <w:rsid w:val="001D6FD4"/>
    <w:rsid w:val="001D71E8"/>
    <w:rsid w:val="001D7201"/>
    <w:rsid w:val="001D7215"/>
    <w:rsid w:val="001D7228"/>
    <w:rsid w:val="001D73B5"/>
    <w:rsid w:val="001D75A5"/>
    <w:rsid w:val="001D75DB"/>
    <w:rsid w:val="001D7645"/>
    <w:rsid w:val="001D76EE"/>
    <w:rsid w:val="001D775C"/>
    <w:rsid w:val="001D77C6"/>
    <w:rsid w:val="001D786F"/>
    <w:rsid w:val="001D787B"/>
    <w:rsid w:val="001D789E"/>
    <w:rsid w:val="001D7A7F"/>
    <w:rsid w:val="001D7B9E"/>
    <w:rsid w:val="001D7BD0"/>
    <w:rsid w:val="001D7BEF"/>
    <w:rsid w:val="001D7C3E"/>
    <w:rsid w:val="001D7D30"/>
    <w:rsid w:val="001D7D5B"/>
    <w:rsid w:val="001D7E4B"/>
    <w:rsid w:val="001E006E"/>
    <w:rsid w:val="001E0094"/>
    <w:rsid w:val="001E00CE"/>
    <w:rsid w:val="001E0155"/>
    <w:rsid w:val="001E0266"/>
    <w:rsid w:val="001E035B"/>
    <w:rsid w:val="001E0360"/>
    <w:rsid w:val="001E040C"/>
    <w:rsid w:val="001E0571"/>
    <w:rsid w:val="001E05AB"/>
    <w:rsid w:val="001E05AF"/>
    <w:rsid w:val="001E0653"/>
    <w:rsid w:val="001E0669"/>
    <w:rsid w:val="001E06F7"/>
    <w:rsid w:val="001E0713"/>
    <w:rsid w:val="001E071A"/>
    <w:rsid w:val="001E076B"/>
    <w:rsid w:val="001E0858"/>
    <w:rsid w:val="001E0965"/>
    <w:rsid w:val="001E0B18"/>
    <w:rsid w:val="001E0F0D"/>
    <w:rsid w:val="001E0F7E"/>
    <w:rsid w:val="001E10E6"/>
    <w:rsid w:val="001E1178"/>
    <w:rsid w:val="001E11F7"/>
    <w:rsid w:val="001E124C"/>
    <w:rsid w:val="001E12AE"/>
    <w:rsid w:val="001E1317"/>
    <w:rsid w:val="001E1322"/>
    <w:rsid w:val="001E13F2"/>
    <w:rsid w:val="001E13F4"/>
    <w:rsid w:val="001E1665"/>
    <w:rsid w:val="001E17D2"/>
    <w:rsid w:val="001E17E3"/>
    <w:rsid w:val="001E17EC"/>
    <w:rsid w:val="001E19B1"/>
    <w:rsid w:val="001E1A47"/>
    <w:rsid w:val="001E1AA5"/>
    <w:rsid w:val="001E1AB7"/>
    <w:rsid w:val="001E1B5F"/>
    <w:rsid w:val="001E1B7D"/>
    <w:rsid w:val="001E1BF6"/>
    <w:rsid w:val="001E1C15"/>
    <w:rsid w:val="001E1CFB"/>
    <w:rsid w:val="001E1D6B"/>
    <w:rsid w:val="001E1EE9"/>
    <w:rsid w:val="001E1FE3"/>
    <w:rsid w:val="001E1FF0"/>
    <w:rsid w:val="001E2022"/>
    <w:rsid w:val="001E20E9"/>
    <w:rsid w:val="001E210C"/>
    <w:rsid w:val="001E23E2"/>
    <w:rsid w:val="001E2459"/>
    <w:rsid w:val="001E245D"/>
    <w:rsid w:val="001E2649"/>
    <w:rsid w:val="001E2650"/>
    <w:rsid w:val="001E2769"/>
    <w:rsid w:val="001E27F7"/>
    <w:rsid w:val="001E282D"/>
    <w:rsid w:val="001E2872"/>
    <w:rsid w:val="001E28FA"/>
    <w:rsid w:val="001E299B"/>
    <w:rsid w:val="001E29B1"/>
    <w:rsid w:val="001E29C3"/>
    <w:rsid w:val="001E2A5B"/>
    <w:rsid w:val="001E2B88"/>
    <w:rsid w:val="001E2D3B"/>
    <w:rsid w:val="001E2DA7"/>
    <w:rsid w:val="001E2E71"/>
    <w:rsid w:val="001E3058"/>
    <w:rsid w:val="001E305A"/>
    <w:rsid w:val="001E30A6"/>
    <w:rsid w:val="001E32FB"/>
    <w:rsid w:val="001E3403"/>
    <w:rsid w:val="001E3454"/>
    <w:rsid w:val="001E346A"/>
    <w:rsid w:val="001E346C"/>
    <w:rsid w:val="001E3481"/>
    <w:rsid w:val="001E34D2"/>
    <w:rsid w:val="001E35E0"/>
    <w:rsid w:val="001E3747"/>
    <w:rsid w:val="001E374E"/>
    <w:rsid w:val="001E379B"/>
    <w:rsid w:val="001E37A5"/>
    <w:rsid w:val="001E37DE"/>
    <w:rsid w:val="001E37EA"/>
    <w:rsid w:val="001E37EC"/>
    <w:rsid w:val="001E3830"/>
    <w:rsid w:val="001E38C5"/>
    <w:rsid w:val="001E38DD"/>
    <w:rsid w:val="001E3966"/>
    <w:rsid w:val="001E39AD"/>
    <w:rsid w:val="001E39B6"/>
    <w:rsid w:val="001E39B8"/>
    <w:rsid w:val="001E3AB7"/>
    <w:rsid w:val="001E3AEE"/>
    <w:rsid w:val="001E3CA0"/>
    <w:rsid w:val="001E3D18"/>
    <w:rsid w:val="001E3E7B"/>
    <w:rsid w:val="001E3FEC"/>
    <w:rsid w:val="001E4047"/>
    <w:rsid w:val="001E4062"/>
    <w:rsid w:val="001E40BB"/>
    <w:rsid w:val="001E40DE"/>
    <w:rsid w:val="001E42B7"/>
    <w:rsid w:val="001E43F4"/>
    <w:rsid w:val="001E44A4"/>
    <w:rsid w:val="001E44C8"/>
    <w:rsid w:val="001E45EC"/>
    <w:rsid w:val="001E481D"/>
    <w:rsid w:val="001E489F"/>
    <w:rsid w:val="001E4941"/>
    <w:rsid w:val="001E494B"/>
    <w:rsid w:val="001E4968"/>
    <w:rsid w:val="001E4A24"/>
    <w:rsid w:val="001E4BCD"/>
    <w:rsid w:val="001E4C8A"/>
    <w:rsid w:val="001E4CDC"/>
    <w:rsid w:val="001E4E52"/>
    <w:rsid w:val="001E4F4E"/>
    <w:rsid w:val="001E4F78"/>
    <w:rsid w:val="001E4F98"/>
    <w:rsid w:val="001E4FA8"/>
    <w:rsid w:val="001E5045"/>
    <w:rsid w:val="001E50E5"/>
    <w:rsid w:val="001E5130"/>
    <w:rsid w:val="001E5266"/>
    <w:rsid w:val="001E52E4"/>
    <w:rsid w:val="001E5331"/>
    <w:rsid w:val="001E5400"/>
    <w:rsid w:val="001E547F"/>
    <w:rsid w:val="001E5485"/>
    <w:rsid w:val="001E54CD"/>
    <w:rsid w:val="001E5563"/>
    <w:rsid w:val="001E55CF"/>
    <w:rsid w:val="001E5738"/>
    <w:rsid w:val="001E5765"/>
    <w:rsid w:val="001E5780"/>
    <w:rsid w:val="001E582A"/>
    <w:rsid w:val="001E589F"/>
    <w:rsid w:val="001E598D"/>
    <w:rsid w:val="001E5AE2"/>
    <w:rsid w:val="001E5B68"/>
    <w:rsid w:val="001E5CA7"/>
    <w:rsid w:val="001E5CC6"/>
    <w:rsid w:val="001E5CD0"/>
    <w:rsid w:val="001E5D36"/>
    <w:rsid w:val="001E5DFE"/>
    <w:rsid w:val="001E5E02"/>
    <w:rsid w:val="001E5EE5"/>
    <w:rsid w:val="001E5F2E"/>
    <w:rsid w:val="001E5FEA"/>
    <w:rsid w:val="001E62B5"/>
    <w:rsid w:val="001E6472"/>
    <w:rsid w:val="001E647E"/>
    <w:rsid w:val="001E64D8"/>
    <w:rsid w:val="001E65E6"/>
    <w:rsid w:val="001E6678"/>
    <w:rsid w:val="001E6681"/>
    <w:rsid w:val="001E66E9"/>
    <w:rsid w:val="001E6761"/>
    <w:rsid w:val="001E676E"/>
    <w:rsid w:val="001E67CF"/>
    <w:rsid w:val="001E69DC"/>
    <w:rsid w:val="001E6A46"/>
    <w:rsid w:val="001E6BD0"/>
    <w:rsid w:val="001E6CA7"/>
    <w:rsid w:val="001E6DFA"/>
    <w:rsid w:val="001E6E91"/>
    <w:rsid w:val="001E6F2F"/>
    <w:rsid w:val="001E6FA3"/>
    <w:rsid w:val="001E71A8"/>
    <w:rsid w:val="001E71FA"/>
    <w:rsid w:val="001E72B0"/>
    <w:rsid w:val="001E72BA"/>
    <w:rsid w:val="001E730E"/>
    <w:rsid w:val="001E74BF"/>
    <w:rsid w:val="001E7622"/>
    <w:rsid w:val="001E77A0"/>
    <w:rsid w:val="001E77A2"/>
    <w:rsid w:val="001E79B0"/>
    <w:rsid w:val="001E7A9E"/>
    <w:rsid w:val="001E7B9A"/>
    <w:rsid w:val="001E7C2E"/>
    <w:rsid w:val="001E7CB7"/>
    <w:rsid w:val="001E7CF5"/>
    <w:rsid w:val="001E7D5F"/>
    <w:rsid w:val="001E7E84"/>
    <w:rsid w:val="001E7EBA"/>
    <w:rsid w:val="001E7F57"/>
    <w:rsid w:val="001E7FA5"/>
    <w:rsid w:val="001F01A0"/>
    <w:rsid w:val="001F0228"/>
    <w:rsid w:val="001F03E0"/>
    <w:rsid w:val="001F044B"/>
    <w:rsid w:val="001F050C"/>
    <w:rsid w:val="001F054C"/>
    <w:rsid w:val="001F05C1"/>
    <w:rsid w:val="001F0725"/>
    <w:rsid w:val="001F0801"/>
    <w:rsid w:val="001F0902"/>
    <w:rsid w:val="001F090C"/>
    <w:rsid w:val="001F0925"/>
    <w:rsid w:val="001F09B9"/>
    <w:rsid w:val="001F09E9"/>
    <w:rsid w:val="001F0A32"/>
    <w:rsid w:val="001F0A53"/>
    <w:rsid w:val="001F0A7C"/>
    <w:rsid w:val="001F0AF7"/>
    <w:rsid w:val="001F0BF7"/>
    <w:rsid w:val="001F0C3C"/>
    <w:rsid w:val="001F0CE0"/>
    <w:rsid w:val="001F0D27"/>
    <w:rsid w:val="001F0D6D"/>
    <w:rsid w:val="001F0D79"/>
    <w:rsid w:val="001F0D81"/>
    <w:rsid w:val="001F0D8D"/>
    <w:rsid w:val="001F0DF0"/>
    <w:rsid w:val="001F0E8B"/>
    <w:rsid w:val="001F0E93"/>
    <w:rsid w:val="001F0EC9"/>
    <w:rsid w:val="001F1087"/>
    <w:rsid w:val="001F10BB"/>
    <w:rsid w:val="001F1109"/>
    <w:rsid w:val="001F1194"/>
    <w:rsid w:val="001F11F0"/>
    <w:rsid w:val="001F128F"/>
    <w:rsid w:val="001F12E7"/>
    <w:rsid w:val="001F12F4"/>
    <w:rsid w:val="001F13EE"/>
    <w:rsid w:val="001F13F2"/>
    <w:rsid w:val="001F14BF"/>
    <w:rsid w:val="001F1547"/>
    <w:rsid w:val="001F1577"/>
    <w:rsid w:val="001F15E1"/>
    <w:rsid w:val="001F1681"/>
    <w:rsid w:val="001F16CF"/>
    <w:rsid w:val="001F16F6"/>
    <w:rsid w:val="001F16FC"/>
    <w:rsid w:val="001F17A2"/>
    <w:rsid w:val="001F1831"/>
    <w:rsid w:val="001F191C"/>
    <w:rsid w:val="001F1933"/>
    <w:rsid w:val="001F195C"/>
    <w:rsid w:val="001F19C7"/>
    <w:rsid w:val="001F1A28"/>
    <w:rsid w:val="001F1B54"/>
    <w:rsid w:val="001F1BD2"/>
    <w:rsid w:val="001F1D88"/>
    <w:rsid w:val="001F1DC5"/>
    <w:rsid w:val="001F1F95"/>
    <w:rsid w:val="001F1FE4"/>
    <w:rsid w:val="001F2039"/>
    <w:rsid w:val="001F205F"/>
    <w:rsid w:val="001F2123"/>
    <w:rsid w:val="001F2147"/>
    <w:rsid w:val="001F21FD"/>
    <w:rsid w:val="001F229C"/>
    <w:rsid w:val="001F22A8"/>
    <w:rsid w:val="001F2437"/>
    <w:rsid w:val="001F2589"/>
    <w:rsid w:val="001F268B"/>
    <w:rsid w:val="001F269F"/>
    <w:rsid w:val="001F26B6"/>
    <w:rsid w:val="001F26B7"/>
    <w:rsid w:val="001F286A"/>
    <w:rsid w:val="001F29DA"/>
    <w:rsid w:val="001F29E0"/>
    <w:rsid w:val="001F2A18"/>
    <w:rsid w:val="001F2A26"/>
    <w:rsid w:val="001F2A2D"/>
    <w:rsid w:val="001F2C03"/>
    <w:rsid w:val="001F2C0F"/>
    <w:rsid w:val="001F2CD5"/>
    <w:rsid w:val="001F2DB1"/>
    <w:rsid w:val="001F2DD3"/>
    <w:rsid w:val="001F2DF4"/>
    <w:rsid w:val="001F2F0E"/>
    <w:rsid w:val="001F2F56"/>
    <w:rsid w:val="001F2F97"/>
    <w:rsid w:val="001F2FA6"/>
    <w:rsid w:val="001F2FFD"/>
    <w:rsid w:val="001F311B"/>
    <w:rsid w:val="001F32C4"/>
    <w:rsid w:val="001F32F2"/>
    <w:rsid w:val="001F3303"/>
    <w:rsid w:val="001F3361"/>
    <w:rsid w:val="001F353D"/>
    <w:rsid w:val="001F3551"/>
    <w:rsid w:val="001F3682"/>
    <w:rsid w:val="001F3718"/>
    <w:rsid w:val="001F378F"/>
    <w:rsid w:val="001F3860"/>
    <w:rsid w:val="001F38DA"/>
    <w:rsid w:val="001F3962"/>
    <w:rsid w:val="001F39B8"/>
    <w:rsid w:val="001F39EF"/>
    <w:rsid w:val="001F3A45"/>
    <w:rsid w:val="001F3ACE"/>
    <w:rsid w:val="001F3B18"/>
    <w:rsid w:val="001F3B9A"/>
    <w:rsid w:val="001F3BC5"/>
    <w:rsid w:val="001F3C3F"/>
    <w:rsid w:val="001F3C8D"/>
    <w:rsid w:val="001F3CEB"/>
    <w:rsid w:val="001F3D04"/>
    <w:rsid w:val="001F3D62"/>
    <w:rsid w:val="001F3E48"/>
    <w:rsid w:val="001F4023"/>
    <w:rsid w:val="001F40C6"/>
    <w:rsid w:val="001F41EA"/>
    <w:rsid w:val="001F4297"/>
    <w:rsid w:val="001F42A3"/>
    <w:rsid w:val="001F42BA"/>
    <w:rsid w:val="001F42DE"/>
    <w:rsid w:val="001F43A2"/>
    <w:rsid w:val="001F44B8"/>
    <w:rsid w:val="001F45F4"/>
    <w:rsid w:val="001F46D1"/>
    <w:rsid w:val="001F4868"/>
    <w:rsid w:val="001F48A7"/>
    <w:rsid w:val="001F48E1"/>
    <w:rsid w:val="001F4A2C"/>
    <w:rsid w:val="001F4ACE"/>
    <w:rsid w:val="001F4B30"/>
    <w:rsid w:val="001F4B9E"/>
    <w:rsid w:val="001F4BC1"/>
    <w:rsid w:val="001F4BC7"/>
    <w:rsid w:val="001F4C73"/>
    <w:rsid w:val="001F4CEF"/>
    <w:rsid w:val="001F4D94"/>
    <w:rsid w:val="001F4E43"/>
    <w:rsid w:val="001F4EA4"/>
    <w:rsid w:val="001F4EBD"/>
    <w:rsid w:val="001F4F2C"/>
    <w:rsid w:val="001F4F8F"/>
    <w:rsid w:val="001F5056"/>
    <w:rsid w:val="001F50A0"/>
    <w:rsid w:val="001F50DD"/>
    <w:rsid w:val="001F5131"/>
    <w:rsid w:val="001F51AF"/>
    <w:rsid w:val="001F5268"/>
    <w:rsid w:val="001F5277"/>
    <w:rsid w:val="001F539E"/>
    <w:rsid w:val="001F53C9"/>
    <w:rsid w:val="001F53F8"/>
    <w:rsid w:val="001F554A"/>
    <w:rsid w:val="001F557E"/>
    <w:rsid w:val="001F55A5"/>
    <w:rsid w:val="001F55CA"/>
    <w:rsid w:val="001F564D"/>
    <w:rsid w:val="001F5674"/>
    <w:rsid w:val="001F567B"/>
    <w:rsid w:val="001F5841"/>
    <w:rsid w:val="001F58D3"/>
    <w:rsid w:val="001F5908"/>
    <w:rsid w:val="001F5990"/>
    <w:rsid w:val="001F59D8"/>
    <w:rsid w:val="001F5A04"/>
    <w:rsid w:val="001F5A9D"/>
    <w:rsid w:val="001F5AD4"/>
    <w:rsid w:val="001F5B36"/>
    <w:rsid w:val="001F5BE1"/>
    <w:rsid w:val="001F5CCC"/>
    <w:rsid w:val="001F5CEA"/>
    <w:rsid w:val="001F5D24"/>
    <w:rsid w:val="001F5D94"/>
    <w:rsid w:val="001F5E1E"/>
    <w:rsid w:val="001F5ED4"/>
    <w:rsid w:val="001F5EDB"/>
    <w:rsid w:val="001F5EE9"/>
    <w:rsid w:val="001F5F31"/>
    <w:rsid w:val="001F5F8B"/>
    <w:rsid w:val="001F607A"/>
    <w:rsid w:val="001F627B"/>
    <w:rsid w:val="001F62B1"/>
    <w:rsid w:val="001F6450"/>
    <w:rsid w:val="001F645E"/>
    <w:rsid w:val="001F656F"/>
    <w:rsid w:val="001F659E"/>
    <w:rsid w:val="001F661F"/>
    <w:rsid w:val="001F6623"/>
    <w:rsid w:val="001F6810"/>
    <w:rsid w:val="001F6837"/>
    <w:rsid w:val="001F68ED"/>
    <w:rsid w:val="001F68FD"/>
    <w:rsid w:val="001F6951"/>
    <w:rsid w:val="001F69C3"/>
    <w:rsid w:val="001F69DA"/>
    <w:rsid w:val="001F6AFB"/>
    <w:rsid w:val="001F6D66"/>
    <w:rsid w:val="001F6E83"/>
    <w:rsid w:val="001F707E"/>
    <w:rsid w:val="001F728A"/>
    <w:rsid w:val="001F7481"/>
    <w:rsid w:val="001F74D5"/>
    <w:rsid w:val="001F75A8"/>
    <w:rsid w:val="001F784B"/>
    <w:rsid w:val="001F7866"/>
    <w:rsid w:val="001F7941"/>
    <w:rsid w:val="001F7A2D"/>
    <w:rsid w:val="001F7A8B"/>
    <w:rsid w:val="001F7C03"/>
    <w:rsid w:val="001F7C1B"/>
    <w:rsid w:val="001F7F15"/>
    <w:rsid w:val="001F7FA6"/>
    <w:rsid w:val="001F7FE5"/>
    <w:rsid w:val="0020000E"/>
    <w:rsid w:val="00200040"/>
    <w:rsid w:val="00200052"/>
    <w:rsid w:val="00200084"/>
    <w:rsid w:val="002000C2"/>
    <w:rsid w:val="00200112"/>
    <w:rsid w:val="00200119"/>
    <w:rsid w:val="0020035B"/>
    <w:rsid w:val="00200365"/>
    <w:rsid w:val="0020039D"/>
    <w:rsid w:val="002003AC"/>
    <w:rsid w:val="0020043F"/>
    <w:rsid w:val="00200474"/>
    <w:rsid w:val="00200591"/>
    <w:rsid w:val="0020061F"/>
    <w:rsid w:val="002006D8"/>
    <w:rsid w:val="002006E5"/>
    <w:rsid w:val="00200799"/>
    <w:rsid w:val="00200986"/>
    <w:rsid w:val="002009E7"/>
    <w:rsid w:val="00200A8A"/>
    <w:rsid w:val="00200AE4"/>
    <w:rsid w:val="00200B5E"/>
    <w:rsid w:val="00200B8A"/>
    <w:rsid w:val="00200BE0"/>
    <w:rsid w:val="00200C2C"/>
    <w:rsid w:val="00200C3E"/>
    <w:rsid w:val="00200D9B"/>
    <w:rsid w:val="00200E55"/>
    <w:rsid w:val="00200F0E"/>
    <w:rsid w:val="00200F90"/>
    <w:rsid w:val="00200F9B"/>
    <w:rsid w:val="0020106D"/>
    <w:rsid w:val="002010CB"/>
    <w:rsid w:val="002010FB"/>
    <w:rsid w:val="00201132"/>
    <w:rsid w:val="002011CD"/>
    <w:rsid w:val="0020123F"/>
    <w:rsid w:val="00201241"/>
    <w:rsid w:val="002012B6"/>
    <w:rsid w:val="002012F5"/>
    <w:rsid w:val="00201312"/>
    <w:rsid w:val="00201321"/>
    <w:rsid w:val="00201335"/>
    <w:rsid w:val="00201343"/>
    <w:rsid w:val="0020138A"/>
    <w:rsid w:val="002013A4"/>
    <w:rsid w:val="002014E9"/>
    <w:rsid w:val="00201504"/>
    <w:rsid w:val="0020157F"/>
    <w:rsid w:val="00201678"/>
    <w:rsid w:val="0020169B"/>
    <w:rsid w:val="0020181F"/>
    <w:rsid w:val="00201877"/>
    <w:rsid w:val="002018F9"/>
    <w:rsid w:val="00201915"/>
    <w:rsid w:val="0020193F"/>
    <w:rsid w:val="00201B51"/>
    <w:rsid w:val="00201BC0"/>
    <w:rsid w:val="00201CBF"/>
    <w:rsid w:val="00201CD3"/>
    <w:rsid w:val="00201D42"/>
    <w:rsid w:val="00201DB6"/>
    <w:rsid w:val="00201EC5"/>
    <w:rsid w:val="00201F2A"/>
    <w:rsid w:val="002020B9"/>
    <w:rsid w:val="0020213D"/>
    <w:rsid w:val="00202228"/>
    <w:rsid w:val="00202237"/>
    <w:rsid w:val="0020228C"/>
    <w:rsid w:val="002022F2"/>
    <w:rsid w:val="0020231B"/>
    <w:rsid w:val="002024BE"/>
    <w:rsid w:val="0020250C"/>
    <w:rsid w:val="00202512"/>
    <w:rsid w:val="00202547"/>
    <w:rsid w:val="00202588"/>
    <w:rsid w:val="0020258D"/>
    <w:rsid w:val="0020264C"/>
    <w:rsid w:val="002026A6"/>
    <w:rsid w:val="00202785"/>
    <w:rsid w:val="002027AB"/>
    <w:rsid w:val="002028CA"/>
    <w:rsid w:val="002029F5"/>
    <w:rsid w:val="00202B62"/>
    <w:rsid w:val="00202BE1"/>
    <w:rsid w:val="00202C6A"/>
    <w:rsid w:val="00202DE4"/>
    <w:rsid w:val="00202E91"/>
    <w:rsid w:val="00203081"/>
    <w:rsid w:val="002030DB"/>
    <w:rsid w:val="002030FF"/>
    <w:rsid w:val="002033C2"/>
    <w:rsid w:val="00203427"/>
    <w:rsid w:val="002034A1"/>
    <w:rsid w:val="00203590"/>
    <w:rsid w:val="00203627"/>
    <w:rsid w:val="00203686"/>
    <w:rsid w:val="0020372D"/>
    <w:rsid w:val="0020376B"/>
    <w:rsid w:val="002037F3"/>
    <w:rsid w:val="00203869"/>
    <w:rsid w:val="00203A00"/>
    <w:rsid w:val="00203A36"/>
    <w:rsid w:val="00203C01"/>
    <w:rsid w:val="00203D40"/>
    <w:rsid w:val="00203F07"/>
    <w:rsid w:val="00203FEB"/>
    <w:rsid w:val="00204153"/>
    <w:rsid w:val="0020419E"/>
    <w:rsid w:val="002041DE"/>
    <w:rsid w:val="00204211"/>
    <w:rsid w:val="00204267"/>
    <w:rsid w:val="002042A1"/>
    <w:rsid w:val="002043B8"/>
    <w:rsid w:val="002044C0"/>
    <w:rsid w:val="0020455A"/>
    <w:rsid w:val="0020458E"/>
    <w:rsid w:val="002045D9"/>
    <w:rsid w:val="0020464A"/>
    <w:rsid w:val="0020468C"/>
    <w:rsid w:val="002047FC"/>
    <w:rsid w:val="00204930"/>
    <w:rsid w:val="00204984"/>
    <w:rsid w:val="002049B0"/>
    <w:rsid w:val="00204A5B"/>
    <w:rsid w:val="00204BB5"/>
    <w:rsid w:val="00204BE2"/>
    <w:rsid w:val="00204C18"/>
    <w:rsid w:val="00204E3E"/>
    <w:rsid w:val="00204E72"/>
    <w:rsid w:val="00204EC1"/>
    <w:rsid w:val="00204EC4"/>
    <w:rsid w:val="00204FBD"/>
    <w:rsid w:val="00204FF5"/>
    <w:rsid w:val="00205113"/>
    <w:rsid w:val="0020522D"/>
    <w:rsid w:val="0020523E"/>
    <w:rsid w:val="002052EC"/>
    <w:rsid w:val="002053A7"/>
    <w:rsid w:val="002054E0"/>
    <w:rsid w:val="002054F7"/>
    <w:rsid w:val="0020552B"/>
    <w:rsid w:val="00205568"/>
    <w:rsid w:val="002055BF"/>
    <w:rsid w:val="002055D4"/>
    <w:rsid w:val="00205648"/>
    <w:rsid w:val="0020566E"/>
    <w:rsid w:val="0020568C"/>
    <w:rsid w:val="00205723"/>
    <w:rsid w:val="0020578F"/>
    <w:rsid w:val="00205808"/>
    <w:rsid w:val="00205841"/>
    <w:rsid w:val="002058EC"/>
    <w:rsid w:val="00205B68"/>
    <w:rsid w:val="00205C22"/>
    <w:rsid w:val="00205C65"/>
    <w:rsid w:val="00205D43"/>
    <w:rsid w:val="00205DAD"/>
    <w:rsid w:val="00205E24"/>
    <w:rsid w:val="00205E3D"/>
    <w:rsid w:val="00205E96"/>
    <w:rsid w:val="00205ED2"/>
    <w:rsid w:val="00205F23"/>
    <w:rsid w:val="00205FDE"/>
    <w:rsid w:val="002060B8"/>
    <w:rsid w:val="002060F0"/>
    <w:rsid w:val="00206331"/>
    <w:rsid w:val="0020638E"/>
    <w:rsid w:val="002063C6"/>
    <w:rsid w:val="00206654"/>
    <w:rsid w:val="002066A1"/>
    <w:rsid w:val="002066D7"/>
    <w:rsid w:val="002066FF"/>
    <w:rsid w:val="0020683F"/>
    <w:rsid w:val="002068AB"/>
    <w:rsid w:val="002068FE"/>
    <w:rsid w:val="002069E1"/>
    <w:rsid w:val="00206A4A"/>
    <w:rsid w:val="00206ABB"/>
    <w:rsid w:val="00206AD9"/>
    <w:rsid w:val="00206B51"/>
    <w:rsid w:val="00206B62"/>
    <w:rsid w:val="00206CBD"/>
    <w:rsid w:val="00206D66"/>
    <w:rsid w:val="00206DFF"/>
    <w:rsid w:val="00206E19"/>
    <w:rsid w:val="00206F40"/>
    <w:rsid w:val="00206FEF"/>
    <w:rsid w:val="0020706F"/>
    <w:rsid w:val="00207116"/>
    <w:rsid w:val="00207129"/>
    <w:rsid w:val="0020712E"/>
    <w:rsid w:val="00207271"/>
    <w:rsid w:val="002072E7"/>
    <w:rsid w:val="002072EA"/>
    <w:rsid w:val="002073AD"/>
    <w:rsid w:val="0020740D"/>
    <w:rsid w:val="00207518"/>
    <w:rsid w:val="002075E2"/>
    <w:rsid w:val="0020767F"/>
    <w:rsid w:val="002076A6"/>
    <w:rsid w:val="00207707"/>
    <w:rsid w:val="002077D4"/>
    <w:rsid w:val="002077FC"/>
    <w:rsid w:val="0020781B"/>
    <w:rsid w:val="00207860"/>
    <w:rsid w:val="002078F5"/>
    <w:rsid w:val="00207911"/>
    <w:rsid w:val="00207A00"/>
    <w:rsid w:val="00207A02"/>
    <w:rsid w:val="00207B27"/>
    <w:rsid w:val="00207BF2"/>
    <w:rsid w:val="00207E14"/>
    <w:rsid w:val="00207E2D"/>
    <w:rsid w:val="00207F7D"/>
    <w:rsid w:val="0020E3E7"/>
    <w:rsid w:val="00210055"/>
    <w:rsid w:val="0021006F"/>
    <w:rsid w:val="00210070"/>
    <w:rsid w:val="0021010B"/>
    <w:rsid w:val="00210123"/>
    <w:rsid w:val="00210150"/>
    <w:rsid w:val="002102F0"/>
    <w:rsid w:val="0021049A"/>
    <w:rsid w:val="0021052B"/>
    <w:rsid w:val="00210531"/>
    <w:rsid w:val="0021058D"/>
    <w:rsid w:val="00210607"/>
    <w:rsid w:val="00210632"/>
    <w:rsid w:val="00210635"/>
    <w:rsid w:val="002106C8"/>
    <w:rsid w:val="002106E3"/>
    <w:rsid w:val="002107ED"/>
    <w:rsid w:val="00210888"/>
    <w:rsid w:val="00210B47"/>
    <w:rsid w:val="00210B68"/>
    <w:rsid w:val="00210C4F"/>
    <w:rsid w:val="00210D17"/>
    <w:rsid w:val="00210D19"/>
    <w:rsid w:val="00210D5A"/>
    <w:rsid w:val="00210D91"/>
    <w:rsid w:val="00210E6A"/>
    <w:rsid w:val="00210E99"/>
    <w:rsid w:val="00211090"/>
    <w:rsid w:val="00211091"/>
    <w:rsid w:val="002110E9"/>
    <w:rsid w:val="002111CA"/>
    <w:rsid w:val="0021120F"/>
    <w:rsid w:val="002112A6"/>
    <w:rsid w:val="002113C9"/>
    <w:rsid w:val="00211657"/>
    <w:rsid w:val="002116AE"/>
    <w:rsid w:val="00211813"/>
    <w:rsid w:val="00211820"/>
    <w:rsid w:val="002119E6"/>
    <w:rsid w:val="002119FA"/>
    <w:rsid w:val="00211A67"/>
    <w:rsid w:val="00211A7C"/>
    <w:rsid w:val="00211AAE"/>
    <w:rsid w:val="00211ACD"/>
    <w:rsid w:val="00211BDF"/>
    <w:rsid w:val="00211C03"/>
    <w:rsid w:val="00211CB0"/>
    <w:rsid w:val="00211D63"/>
    <w:rsid w:val="00211E25"/>
    <w:rsid w:val="00211E28"/>
    <w:rsid w:val="00211EBE"/>
    <w:rsid w:val="00211F04"/>
    <w:rsid w:val="00211F1F"/>
    <w:rsid w:val="00211F2F"/>
    <w:rsid w:val="00211F73"/>
    <w:rsid w:val="00211F9E"/>
    <w:rsid w:val="00212091"/>
    <w:rsid w:val="00212092"/>
    <w:rsid w:val="002120C1"/>
    <w:rsid w:val="002120D6"/>
    <w:rsid w:val="002123C6"/>
    <w:rsid w:val="00212502"/>
    <w:rsid w:val="002126F9"/>
    <w:rsid w:val="00212767"/>
    <w:rsid w:val="0021290C"/>
    <w:rsid w:val="0021292A"/>
    <w:rsid w:val="00212944"/>
    <w:rsid w:val="00212B32"/>
    <w:rsid w:val="00212BB0"/>
    <w:rsid w:val="00212BCA"/>
    <w:rsid w:val="00212F2E"/>
    <w:rsid w:val="00213062"/>
    <w:rsid w:val="002130A8"/>
    <w:rsid w:val="00213128"/>
    <w:rsid w:val="002131DA"/>
    <w:rsid w:val="00213268"/>
    <w:rsid w:val="002132F2"/>
    <w:rsid w:val="0021334C"/>
    <w:rsid w:val="002133BE"/>
    <w:rsid w:val="00213440"/>
    <w:rsid w:val="0021352E"/>
    <w:rsid w:val="0021353E"/>
    <w:rsid w:val="00213582"/>
    <w:rsid w:val="002135C9"/>
    <w:rsid w:val="0021360E"/>
    <w:rsid w:val="0021361E"/>
    <w:rsid w:val="002136CA"/>
    <w:rsid w:val="0021370F"/>
    <w:rsid w:val="0021371B"/>
    <w:rsid w:val="002137EA"/>
    <w:rsid w:val="0021381B"/>
    <w:rsid w:val="0021383C"/>
    <w:rsid w:val="00213882"/>
    <w:rsid w:val="00213916"/>
    <w:rsid w:val="0021392F"/>
    <w:rsid w:val="0021396C"/>
    <w:rsid w:val="0021399B"/>
    <w:rsid w:val="00213A09"/>
    <w:rsid w:val="00213A6E"/>
    <w:rsid w:val="00213BAD"/>
    <w:rsid w:val="00213C64"/>
    <w:rsid w:val="00213F07"/>
    <w:rsid w:val="00213F47"/>
    <w:rsid w:val="00213F8F"/>
    <w:rsid w:val="00213F90"/>
    <w:rsid w:val="0021407C"/>
    <w:rsid w:val="002141D4"/>
    <w:rsid w:val="002141EE"/>
    <w:rsid w:val="0021422A"/>
    <w:rsid w:val="00214314"/>
    <w:rsid w:val="00214328"/>
    <w:rsid w:val="002144AF"/>
    <w:rsid w:val="002144BF"/>
    <w:rsid w:val="002144E0"/>
    <w:rsid w:val="00214508"/>
    <w:rsid w:val="00214568"/>
    <w:rsid w:val="00214575"/>
    <w:rsid w:val="002145A1"/>
    <w:rsid w:val="00214623"/>
    <w:rsid w:val="00214714"/>
    <w:rsid w:val="002147B5"/>
    <w:rsid w:val="00214821"/>
    <w:rsid w:val="002148B1"/>
    <w:rsid w:val="002148DE"/>
    <w:rsid w:val="00214900"/>
    <w:rsid w:val="002149B2"/>
    <w:rsid w:val="00214A02"/>
    <w:rsid w:val="00214A25"/>
    <w:rsid w:val="00214A36"/>
    <w:rsid w:val="00214AA5"/>
    <w:rsid w:val="00214AC2"/>
    <w:rsid w:val="00214ACF"/>
    <w:rsid w:val="00214C9C"/>
    <w:rsid w:val="00214CC2"/>
    <w:rsid w:val="00214EE0"/>
    <w:rsid w:val="00215033"/>
    <w:rsid w:val="00215349"/>
    <w:rsid w:val="00215366"/>
    <w:rsid w:val="0021536D"/>
    <w:rsid w:val="00215395"/>
    <w:rsid w:val="00215435"/>
    <w:rsid w:val="00215546"/>
    <w:rsid w:val="00215590"/>
    <w:rsid w:val="002156B6"/>
    <w:rsid w:val="0021576C"/>
    <w:rsid w:val="002157E7"/>
    <w:rsid w:val="002157FA"/>
    <w:rsid w:val="002157FF"/>
    <w:rsid w:val="0021585D"/>
    <w:rsid w:val="00215880"/>
    <w:rsid w:val="0021591F"/>
    <w:rsid w:val="00215A04"/>
    <w:rsid w:val="00215A37"/>
    <w:rsid w:val="00215A7D"/>
    <w:rsid w:val="00215AA2"/>
    <w:rsid w:val="00215AF6"/>
    <w:rsid w:val="00215D8B"/>
    <w:rsid w:val="00215DE4"/>
    <w:rsid w:val="00215DE9"/>
    <w:rsid w:val="00215DEB"/>
    <w:rsid w:val="00215E01"/>
    <w:rsid w:val="00215E20"/>
    <w:rsid w:val="00215E7D"/>
    <w:rsid w:val="00215FA1"/>
    <w:rsid w:val="00215FC5"/>
    <w:rsid w:val="00216020"/>
    <w:rsid w:val="00216028"/>
    <w:rsid w:val="002160F9"/>
    <w:rsid w:val="00216259"/>
    <w:rsid w:val="00216286"/>
    <w:rsid w:val="0021650F"/>
    <w:rsid w:val="00216551"/>
    <w:rsid w:val="00216571"/>
    <w:rsid w:val="0021664F"/>
    <w:rsid w:val="002167C0"/>
    <w:rsid w:val="00216972"/>
    <w:rsid w:val="00216AB0"/>
    <w:rsid w:val="00216AF3"/>
    <w:rsid w:val="00216B32"/>
    <w:rsid w:val="00216BCC"/>
    <w:rsid w:val="00216DAA"/>
    <w:rsid w:val="00216DDF"/>
    <w:rsid w:val="00216E1D"/>
    <w:rsid w:val="00216E28"/>
    <w:rsid w:val="00217207"/>
    <w:rsid w:val="00217268"/>
    <w:rsid w:val="00217292"/>
    <w:rsid w:val="002173D6"/>
    <w:rsid w:val="002173ED"/>
    <w:rsid w:val="00217415"/>
    <w:rsid w:val="002174F4"/>
    <w:rsid w:val="00217787"/>
    <w:rsid w:val="00217822"/>
    <w:rsid w:val="002179D6"/>
    <w:rsid w:val="002179FE"/>
    <w:rsid w:val="00217B11"/>
    <w:rsid w:val="00217B49"/>
    <w:rsid w:val="00217B57"/>
    <w:rsid w:val="00217C18"/>
    <w:rsid w:val="00217D6C"/>
    <w:rsid w:val="00217DD0"/>
    <w:rsid w:val="00217F4B"/>
    <w:rsid w:val="00217FEB"/>
    <w:rsid w:val="00220018"/>
    <w:rsid w:val="0022008B"/>
    <w:rsid w:val="002200C8"/>
    <w:rsid w:val="00220148"/>
    <w:rsid w:val="002201F6"/>
    <w:rsid w:val="002202F7"/>
    <w:rsid w:val="00220302"/>
    <w:rsid w:val="0022038C"/>
    <w:rsid w:val="00220447"/>
    <w:rsid w:val="00220480"/>
    <w:rsid w:val="00220530"/>
    <w:rsid w:val="00220589"/>
    <w:rsid w:val="002205C0"/>
    <w:rsid w:val="002205E3"/>
    <w:rsid w:val="00220688"/>
    <w:rsid w:val="002206DF"/>
    <w:rsid w:val="002208CF"/>
    <w:rsid w:val="0022097D"/>
    <w:rsid w:val="00220A5B"/>
    <w:rsid w:val="00220B58"/>
    <w:rsid w:val="00220CD1"/>
    <w:rsid w:val="00220E5F"/>
    <w:rsid w:val="00220EF8"/>
    <w:rsid w:val="00220FC1"/>
    <w:rsid w:val="002210AA"/>
    <w:rsid w:val="002210FE"/>
    <w:rsid w:val="00221199"/>
    <w:rsid w:val="002211D2"/>
    <w:rsid w:val="0022126C"/>
    <w:rsid w:val="002212CB"/>
    <w:rsid w:val="002212F5"/>
    <w:rsid w:val="0022132F"/>
    <w:rsid w:val="00221353"/>
    <w:rsid w:val="00221390"/>
    <w:rsid w:val="002213BC"/>
    <w:rsid w:val="0022150A"/>
    <w:rsid w:val="002215D4"/>
    <w:rsid w:val="0022162F"/>
    <w:rsid w:val="00221769"/>
    <w:rsid w:val="0022186C"/>
    <w:rsid w:val="00221890"/>
    <w:rsid w:val="002218DC"/>
    <w:rsid w:val="002218E4"/>
    <w:rsid w:val="002218EB"/>
    <w:rsid w:val="00221901"/>
    <w:rsid w:val="00221938"/>
    <w:rsid w:val="002219A3"/>
    <w:rsid w:val="00221A21"/>
    <w:rsid w:val="00221AAB"/>
    <w:rsid w:val="00221B51"/>
    <w:rsid w:val="00221BFA"/>
    <w:rsid w:val="00221C5E"/>
    <w:rsid w:val="00221C7E"/>
    <w:rsid w:val="00221D1F"/>
    <w:rsid w:val="00221D3C"/>
    <w:rsid w:val="00221DD2"/>
    <w:rsid w:val="00221DD3"/>
    <w:rsid w:val="00221E86"/>
    <w:rsid w:val="00221E8E"/>
    <w:rsid w:val="0022205F"/>
    <w:rsid w:val="00222130"/>
    <w:rsid w:val="0022214D"/>
    <w:rsid w:val="0022233C"/>
    <w:rsid w:val="002223A3"/>
    <w:rsid w:val="002223D9"/>
    <w:rsid w:val="002224ED"/>
    <w:rsid w:val="0022264B"/>
    <w:rsid w:val="0022271B"/>
    <w:rsid w:val="00222720"/>
    <w:rsid w:val="002227E7"/>
    <w:rsid w:val="00222974"/>
    <w:rsid w:val="002229D7"/>
    <w:rsid w:val="00222B86"/>
    <w:rsid w:val="00222BB1"/>
    <w:rsid w:val="00222C26"/>
    <w:rsid w:val="00222CFB"/>
    <w:rsid w:val="00222D18"/>
    <w:rsid w:val="00222D2F"/>
    <w:rsid w:val="00222D87"/>
    <w:rsid w:val="00222EC5"/>
    <w:rsid w:val="00222F1D"/>
    <w:rsid w:val="00222F83"/>
    <w:rsid w:val="00223021"/>
    <w:rsid w:val="00223097"/>
    <w:rsid w:val="002231E2"/>
    <w:rsid w:val="0022324F"/>
    <w:rsid w:val="00223251"/>
    <w:rsid w:val="002232B7"/>
    <w:rsid w:val="0022345C"/>
    <w:rsid w:val="002234C3"/>
    <w:rsid w:val="00223520"/>
    <w:rsid w:val="002236AA"/>
    <w:rsid w:val="002237A6"/>
    <w:rsid w:val="00223822"/>
    <w:rsid w:val="00223837"/>
    <w:rsid w:val="002238B3"/>
    <w:rsid w:val="00223951"/>
    <w:rsid w:val="00223966"/>
    <w:rsid w:val="002239CF"/>
    <w:rsid w:val="00223AA2"/>
    <w:rsid w:val="00223AB1"/>
    <w:rsid w:val="00223BA5"/>
    <w:rsid w:val="00223D8D"/>
    <w:rsid w:val="00223E41"/>
    <w:rsid w:val="00223F4A"/>
    <w:rsid w:val="00223FA0"/>
    <w:rsid w:val="00223FE6"/>
    <w:rsid w:val="0022404C"/>
    <w:rsid w:val="002240BE"/>
    <w:rsid w:val="002240C9"/>
    <w:rsid w:val="0022414D"/>
    <w:rsid w:val="002242A4"/>
    <w:rsid w:val="0022448A"/>
    <w:rsid w:val="0022452A"/>
    <w:rsid w:val="00224583"/>
    <w:rsid w:val="0022468B"/>
    <w:rsid w:val="002246DF"/>
    <w:rsid w:val="002246EB"/>
    <w:rsid w:val="0022474A"/>
    <w:rsid w:val="002248DB"/>
    <w:rsid w:val="00224932"/>
    <w:rsid w:val="00224AEA"/>
    <w:rsid w:val="00224AEE"/>
    <w:rsid w:val="00224BA1"/>
    <w:rsid w:val="00224BC5"/>
    <w:rsid w:val="00224BCD"/>
    <w:rsid w:val="00224CD4"/>
    <w:rsid w:val="00224E97"/>
    <w:rsid w:val="00224EA2"/>
    <w:rsid w:val="00224FC1"/>
    <w:rsid w:val="0022530E"/>
    <w:rsid w:val="00225329"/>
    <w:rsid w:val="0022532C"/>
    <w:rsid w:val="002253C5"/>
    <w:rsid w:val="00225446"/>
    <w:rsid w:val="002255A0"/>
    <w:rsid w:val="00225993"/>
    <w:rsid w:val="00225A9E"/>
    <w:rsid w:val="00225B81"/>
    <w:rsid w:val="00225CD3"/>
    <w:rsid w:val="00225DF0"/>
    <w:rsid w:val="00225F9B"/>
    <w:rsid w:val="00225FE1"/>
    <w:rsid w:val="00226239"/>
    <w:rsid w:val="0022630E"/>
    <w:rsid w:val="002263A3"/>
    <w:rsid w:val="002263DF"/>
    <w:rsid w:val="002263E7"/>
    <w:rsid w:val="00226529"/>
    <w:rsid w:val="0022675D"/>
    <w:rsid w:val="0022681B"/>
    <w:rsid w:val="00226980"/>
    <w:rsid w:val="002269DD"/>
    <w:rsid w:val="00226A78"/>
    <w:rsid w:val="00226B0F"/>
    <w:rsid w:val="00226C8D"/>
    <w:rsid w:val="00226F3A"/>
    <w:rsid w:val="00226F52"/>
    <w:rsid w:val="00226F53"/>
    <w:rsid w:val="00226F9E"/>
    <w:rsid w:val="0022700D"/>
    <w:rsid w:val="00227139"/>
    <w:rsid w:val="002271F2"/>
    <w:rsid w:val="00227295"/>
    <w:rsid w:val="0022729A"/>
    <w:rsid w:val="002272C1"/>
    <w:rsid w:val="00227347"/>
    <w:rsid w:val="0022739A"/>
    <w:rsid w:val="00227579"/>
    <w:rsid w:val="0022758D"/>
    <w:rsid w:val="0022759A"/>
    <w:rsid w:val="00227606"/>
    <w:rsid w:val="00227620"/>
    <w:rsid w:val="00227666"/>
    <w:rsid w:val="00227753"/>
    <w:rsid w:val="002278B3"/>
    <w:rsid w:val="0022791B"/>
    <w:rsid w:val="0022799E"/>
    <w:rsid w:val="002279AF"/>
    <w:rsid w:val="002279D8"/>
    <w:rsid w:val="00227B0D"/>
    <w:rsid w:val="00227CDF"/>
    <w:rsid w:val="00227FD6"/>
    <w:rsid w:val="00227FE8"/>
    <w:rsid w:val="002301FB"/>
    <w:rsid w:val="002302EF"/>
    <w:rsid w:val="00230409"/>
    <w:rsid w:val="002304F3"/>
    <w:rsid w:val="00230514"/>
    <w:rsid w:val="002305BB"/>
    <w:rsid w:val="002305DC"/>
    <w:rsid w:val="002306A2"/>
    <w:rsid w:val="00230744"/>
    <w:rsid w:val="00230979"/>
    <w:rsid w:val="00230A68"/>
    <w:rsid w:val="00230BC7"/>
    <w:rsid w:val="00230BD3"/>
    <w:rsid w:val="00230BD7"/>
    <w:rsid w:val="00230C2E"/>
    <w:rsid w:val="00230D08"/>
    <w:rsid w:val="00230E47"/>
    <w:rsid w:val="00230FB6"/>
    <w:rsid w:val="00230FC9"/>
    <w:rsid w:val="00230FE3"/>
    <w:rsid w:val="00231014"/>
    <w:rsid w:val="00231019"/>
    <w:rsid w:val="002311DC"/>
    <w:rsid w:val="00231281"/>
    <w:rsid w:val="002312B1"/>
    <w:rsid w:val="0023134D"/>
    <w:rsid w:val="002313B5"/>
    <w:rsid w:val="00231450"/>
    <w:rsid w:val="002314B8"/>
    <w:rsid w:val="00231516"/>
    <w:rsid w:val="002316FD"/>
    <w:rsid w:val="0023186C"/>
    <w:rsid w:val="0023189D"/>
    <w:rsid w:val="002318FB"/>
    <w:rsid w:val="002319AC"/>
    <w:rsid w:val="002319B4"/>
    <w:rsid w:val="002319BA"/>
    <w:rsid w:val="00231AA3"/>
    <w:rsid w:val="00231B3E"/>
    <w:rsid w:val="00231B58"/>
    <w:rsid w:val="00231C5F"/>
    <w:rsid w:val="00231C91"/>
    <w:rsid w:val="00231D1D"/>
    <w:rsid w:val="00231DD1"/>
    <w:rsid w:val="00232047"/>
    <w:rsid w:val="0023204E"/>
    <w:rsid w:val="00232066"/>
    <w:rsid w:val="00232115"/>
    <w:rsid w:val="002321A8"/>
    <w:rsid w:val="00232276"/>
    <w:rsid w:val="00232318"/>
    <w:rsid w:val="002323B3"/>
    <w:rsid w:val="00232415"/>
    <w:rsid w:val="00232515"/>
    <w:rsid w:val="0023251B"/>
    <w:rsid w:val="00232531"/>
    <w:rsid w:val="00232552"/>
    <w:rsid w:val="002325D3"/>
    <w:rsid w:val="002325E0"/>
    <w:rsid w:val="0023261B"/>
    <w:rsid w:val="0023263A"/>
    <w:rsid w:val="002326CE"/>
    <w:rsid w:val="002326EE"/>
    <w:rsid w:val="00232703"/>
    <w:rsid w:val="00232725"/>
    <w:rsid w:val="00232771"/>
    <w:rsid w:val="002327D1"/>
    <w:rsid w:val="00232822"/>
    <w:rsid w:val="0023286D"/>
    <w:rsid w:val="002328F4"/>
    <w:rsid w:val="00232919"/>
    <w:rsid w:val="0023293F"/>
    <w:rsid w:val="002329A3"/>
    <w:rsid w:val="00232A1D"/>
    <w:rsid w:val="00232A9C"/>
    <w:rsid w:val="00232AAD"/>
    <w:rsid w:val="00232B1C"/>
    <w:rsid w:val="00232B8C"/>
    <w:rsid w:val="00232C1F"/>
    <w:rsid w:val="00232C4E"/>
    <w:rsid w:val="00232D63"/>
    <w:rsid w:val="00232D67"/>
    <w:rsid w:val="00232D98"/>
    <w:rsid w:val="00232E23"/>
    <w:rsid w:val="00232E7A"/>
    <w:rsid w:val="0023305D"/>
    <w:rsid w:val="00233064"/>
    <w:rsid w:val="002330B8"/>
    <w:rsid w:val="002331C8"/>
    <w:rsid w:val="0023325C"/>
    <w:rsid w:val="00233524"/>
    <w:rsid w:val="00233536"/>
    <w:rsid w:val="002335C1"/>
    <w:rsid w:val="00233671"/>
    <w:rsid w:val="00233982"/>
    <w:rsid w:val="00233A15"/>
    <w:rsid w:val="00233AAD"/>
    <w:rsid w:val="00233AE0"/>
    <w:rsid w:val="00233B1D"/>
    <w:rsid w:val="00233C20"/>
    <w:rsid w:val="00233CFB"/>
    <w:rsid w:val="00233D7C"/>
    <w:rsid w:val="00233FB5"/>
    <w:rsid w:val="00234001"/>
    <w:rsid w:val="0023407A"/>
    <w:rsid w:val="0023407C"/>
    <w:rsid w:val="00234088"/>
    <w:rsid w:val="002341B6"/>
    <w:rsid w:val="00234228"/>
    <w:rsid w:val="002342D6"/>
    <w:rsid w:val="002343F3"/>
    <w:rsid w:val="0023448A"/>
    <w:rsid w:val="00234496"/>
    <w:rsid w:val="002344AE"/>
    <w:rsid w:val="0023450E"/>
    <w:rsid w:val="0023456E"/>
    <w:rsid w:val="00234648"/>
    <w:rsid w:val="00234758"/>
    <w:rsid w:val="00234804"/>
    <w:rsid w:val="002348DE"/>
    <w:rsid w:val="00234B92"/>
    <w:rsid w:val="00234C96"/>
    <w:rsid w:val="00234CB9"/>
    <w:rsid w:val="00234F8E"/>
    <w:rsid w:val="0023505B"/>
    <w:rsid w:val="002350E0"/>
    <w:rsid w:val="002350EA"/>
    <w:rsid w:val="002351D3"/>
    <w:rsid w:val="00235258"/>
    <w:rsid w:val="0023528E"/>
    <w:rsid w:val="002353B8"/>
    <w:rsid w:val="00235420"/>
    <w:rsid w:val="002354B2"/>
    <w:rsid w:val="002355DB"/>
    <w:rsid w:val="0023561F"/>
    <w:rsid w:val="0023567B"/>
    <w:rsid w:val="002356EE"/>
    <w:rsid w:val="0023579B"/>
    <w:rsid w:val="002357F7"/>
    <w:rsid w:val="002357FA"/>
    <w:rsid w:val="0023592F"/>
    <w:rsid w:val="00235948"/>
    <w:rsid w:val="002359B2"/>
    <w:rsid w:val="00235AAD"/>
    <w:rsid w:val="00235B20"/>
    <w:rsid w:val="00235CAC"/>
    <w:rsid w:val="00235D8B"/>
    <w:rsid w:val="00235EA6"/>
    <w:rsid w:val="00235F2A"/>
    <w:rsid w:val="00235F3E"/>
    <w:rsid w:val="0023607B"/>
    <w:rsid w:val="002360F1"/>
    <w:rsid w:val="002361EA"/>
    <w:rsid w:val="0023627E"/>
    <w:rsid w:val="00236287"/>
    <w:rsid w:val="002362C1"/>
    <w:rsid w:val="00236326"/>
    <w:rsid w:val="00236379"/>
    <w:rsid w:val="002363B4"/>
    <w:rsid w:val="0023640D"/>
    <w:rsid w:val="0023664D"/>
    <w:rsid w:val="0023666B"/>
    <w:rsid w:val="002366CD"/>
    <w:rsid w:val="002366D7"/>
    <w:rsid w:val="002366ED"/>
    <w:rsid w:val="002366FA"/>
    <w:rsid w:val="0023673B"/>
    <w:rsid w:val="002367D6"/>
    <w:rsid w:val="0023687F"/>
    <w:rsid w:val="0023689A"/>
    <w:rsid w:val="00236951"/>
    <w:rsid w:val="00236A0C"/>
    <w:rsid w:val="00236A83"/>
    <w:rsid w:val="00236AC3"/>
    <w:rsid w:val="00236B6F"/>
    <w:rsid w:val="00236C55"/>
    <w:rsid w:val="00236C92"/>
    <w:rsid w:val="00236D07"/>
    <w:rsid w:val="00236FCE"/>
    <w:rsid w:val="00237032"/>
    <w:rsid w:val="00237049"/>
    <w:rsid w:val="0023709A"/>
    <w:rsid w:val="00237152"/>
    <w:rsid w:val="0023715C"/>
    <w:rsid w:val="002371EC"/>
    <w:rsid w:val="0023726A"/>
    <w:rsid w:val="0023728F"/>
    <w:rsid w:val="002372F2"/>
    <w:rsid w:val="002372F3"/>
    <w:rsid w:val="0023735A"/>
    <w:rsid w:val="002373E3"/>
    <w:rsid w:val="002373EE"/>
    <w:rsid w:val="00237523"/>
    <w:rsid w:val="00237580"/>
    <w:rsid w:val="002375A6"/>
    <w:rsid w:val="0023765A"/>
    <w:rsid w:val="002376B5"/>
    <w:rsid w:val="002377BF"/>
    <w:rsid w:val="00237825"/>
    <w:rsid w:val="0023793E"/>
    <w:rsid w:val="00237A58"/>
    <w:rsid w:val="00237B68"/>
    <w:rsid w:val="00237B9D"/>
    <w:rsid w:val="00237BC1"/>
    <w:rsid w:val="00237C62"/>
    <w:rsid w:val="00237C8D"/>
    <w:rsid w:val="00237D82"/>
    <w:rsid w:val="00237E7A"/>
    <w:rsid w:val="00237ECF"/>
    <w:rsid w:val="00237F7E"/>
    <w:rsid w:val="00237FB2"/>
    <w:rsid w:val="00240000"/>
    <w:rsid w:val="00240092"/>
    <w:rsid w:val="00240124"/>
    <w:rsid w:val="002401F1"/>
    <w:rsid w:val="00240259"/>
    <w:rsid w:val="00240285"/>
    <w:rsid w:val="0024031B"/>
    <w:rsid w:val="00240375"/>
    <w:rsid w:val="00240395"/>
    <w:rsid w:val="00240397"/>
    <w:rsid w:val="002404F1"/>
    <w:rsid w:val="0024054D"/>
    <w:rsid w:val="0024073D"/>
    <w:rsid w:val="0024076A"/>
    <w:rsid w:val="002407BB"/>
    <w:rsid w:val="002407FA"/>
    <w:rsid w:val="00240921"/>
    <w:rsid w:val="002409FA"/>
    <w:rsid w:val="00240A5D"/>
    <w:rsid w:val="00240ABB"/>
    <w:rsid w:val="00240AFB"/>
    <w:rsid w:val="00240B38"/>
    <w:rsid w:val="00240B3A"/>
    <w:rsid w:val="00240BD1"/>
    <w:rsid w:val="00240D7A"/>
    <w:rsid w:val="00240E89"/>
    <w:rsid w:val="00240FB0"/>
    <w:rsid w:val="00241094"/>
    <w:rsid w:val="0024115E"/>
    <w:rsid w:val="002411CF"/>
    <w:rsid w:val="002412AF"/>
    <w:rsid w:val="002412C0"/>
    <w:rsid w:val="002413ED"/>
    <w:rsid w:val="002413EF"/>
    <w:rsid w:val="002414A7"/>
    <w:rsid w:val="002414F5"/>
    <w:rsid w:val="00241529"/>
    <w:rsid w:val="0024173B"/>
    <w:rsid w:val="00241794"/>
    <w:rsid w:val="002418CF"/>
    <w:rsid w:val="002418EB"/>
    <w:rsid w:val="0024193D"/>
    <w:rsid w:val="002419E9"/>
    <w:rsid w:val="00241A39"/>
    <w:rsid w:val="00241C67"/>
    <w:rsid w:val="00241CC2"/>
    <w:rsid w:val="00241DA9"/>
    <w:rsid w:val="00241E9C"/>
    <w:rsid w:val="00242055"/>
    <w:rsid w:val="002420DF"/>
    <w:rsid w:val="00242139"/>
    <w:rsid w:val="00242239"/>
    <w:rsid w:val="0024239B"/>
    <w:rsid w:val="0024250C"/>
    <w:rsid w:val="002425D1"/>
    <w:rsid w:val="00242640"/>
    <w:rsid w:val="00242713"/>
    <w:rsid w:val="0024276E"/>
    <w:rsid w:val="0024281F"/>
    <w:rsid w:val="00242A33"/>
    <w:rsid w:val="00242A45"/>
    <w:rsid w:val="00242AD8"/>
    <w:rsid w:val="00242AE0"/>
    <w:rsid w:val="00242AF3"/>
    <w:rsid w:val="00242CFB"/>
    <w:rsid w:val="00242EEB"/>
    <w:rsid w:val="00242EF5"/>
    <w:rsid w:val="00242F8A"/>
    <w:rsid w:val="00243069"/>
    <w:rsid w:val="002430E6"/>
    <w:rsid w:val="0024347C"/>
    <w:rsid w:val="002434D7"/>
    <w:rsid w:val="0024369A"/>
    <w:rsid w:val="00243896"/>
    <w:rsid w:val="002438E2"/>
    <w:rsid w:val="002438ED"/>
    <w:rsid w:val="00243A74"/>
    <w:rsid w:val="00243B46"/>
    <w:rsid w:val="00243B8D"/>
    <w:rsid w:val="00243C0B"/>
    <w:rsid w:val="00243C18"/>
    <w:rsid w:val="00243D0B"/>
    <w:rsid w:val="00243F22"/>
    <w:rsid w:val="00243F25"/>
    <w:rsid w:val="00243F26"/>
    <w:rsid w:val="00243F3F"/>
    <w:rsid w:val="00244011"/>
    <w:rsid w:val="00244015"/>
    <w:rsid w:val="00244060"/>
    <w:rsid w:val="00244086"/>
    <w:rsid w:val="002442ED"/>
    <w:rsid w:val="0024431C"/>
    <w:rsid w:val="002443AF"/>
    <w:rsid w:val="00244505"/>
    <w:rsid w:val="00244516"/>
    <w:rsid w:val="002446B1"/>
    <w:rsid w:val="0024472B"/>
    <w:rsid w:val="00244743"/>
    <w:rsid w:val="00244880"/>
    <w:rsid w:val="00244897"/>
    <w:rsid w:val="00244A0A"/>
    <w:rsid w:val="00244A23"/>
    <w:rsid w:val="00244A9E"/>
    <w:rsid w:val="00244AD8"/>
    <w:rsid w:val="00244B14"/>
    <w:rsid w:val="00244C6A"/>
    <w:rsid w:val="00244D26"/>
    <w:rsid w:val="00244D70"/>
    <w:rsid w:val="00244E1E"/>
    <w:rsid w:val="00244E75"/>
    <w:rsid w:val="00244E7D"/>
    <w:rsid w:val="00244F62"/>
    <w:rsid w:val="00244FA2"/>
    <w:rsid w:val="00244FDD"/>
    <w:rsid w:val="0024511C"/>
    <w:rsid w:val="00245134"/>
    <w:rsid w:val="00245217"/>
    <w:rsid w:val="002453DC"/>
    <w:rsid w:val="00245441"/>
    <w:rsid w:val="002455B1"/>
    <w:rsid w:val="0024564F"/>
    <w:rsid w:val="002456EE"/>
    <w:rsid w:val="00245733"/>
    <w:rsid w:val="0024575E"/>
    <w:rsid w:val="0024589B"/>
    <w:rsid w:val="0024591B"/>
    <w:rsid w:val="00245BC4"/>
    <w:rsid w:val="00245C62"/>
    <w:rsid w:val="00245D02"/>
    <w:rsid w:val="00245D1B"/>
    <w:rsid w:val="00245FA0"/>
    <w:rsid w:val="00245FD6"/>
    <w:rsid w:val="00245FDA"/>
    <w:rsid w:val="00246009"/>
    <w:rsid w:val="00246054"/>
    <w:rsid w:val="002460B6"/>
    <w:rsid w:val="002460C4"/>
    <w:rsid w:val="002461A6"/>
    <w:rsid w:val="002461B9"/>
    <w:rsid w:val="0024622F"/>
    <w:rsid w:val="00246259"/>
    <w:rsid w:val="002462CF"/>
    <w:rsid w:val="002463D6"/>
    <w:rsid w:val="002466C7"/>
    <w:rsid w:val="00246748"/>
    <w:rsid w:val="0024677A"/>
    <w:rsid w:val="00246905"/>
    <w:rsid w:val="00246938"/>
    <w:rsid w:val="00246955"/>
    <w:rsid w:val="00246994"/>
    <w:rsid w:val="002469B4"/>
    <w:rsid w:val="00246A03"/>
    <w:rsid w:val="00246BDA"/>
    <w:rsid w:val="00246D3D"/>
    <w:rsid w:val="00246D8E"/>
    <w:rsid w:val="00246DD7"/>
    <w:rsid w:val="00246F01"/>
    <w:rsid w:val="00246F57"/>
    <w:rsid w:val="00246F7F"/>
    <w:rsid w:val="002470FD"/>
    <w:rsid w:val="00247299"/>
    <w:rsid w:val="0024743D"/>
    <w:rsid w:val="0024744B"/>
    <w:rsid w:val="00247495"/>
    <w:rsid w:val="002475A3"/>
    <w:rsid w:val="002475C9"/>
    <w:rsid w:val="002475FC"/>
    <w:rsid w:val="00247817"/>
    <w:rsid w:val="0024783B"/>
    <w:rsid w:val="0024795C"/>
    <w:rsid w:val="00247A9C"/>
    <w:rsid w:val="00247ACB"/>
    <w:rsid w:val="00247C96"/>
    <w:rsid w:val="00247CF4"/>
    <w:rsid w:val="00247D77"/>
    <w:rsid w:val="00247E48"/>
    <w:rsid w:val="0025009D"/>
    <w:rsid w:val="002502D1"/>
    <w:rsid w:val="002502E8"/>
    <w:rsid w:val="002502F7"/>
    <w:rsid w:val="00250364"/>
    <w:rsid w:val="00250433"/>
    <w:rsid w:val="0025046A"/>
    <w:rsid w:val="00250595"/>
    <w:rsid w:val="00250600"/>
    <w:rsid w:val="00250623"/>
    <w:rsid w:val="002506B5"/>
    <w:rsid w:val="002506C8"/>
    <w:rsid w:val="00250780"/>
    <w:rsid w:val="00250797"/>
    <w:rsid w:val="0025079F"/>
    <w:rsid w:val="002508B9"/>
    <w:rsid w:val="0025092F"/>
    <w:rsid w:val="002509FC"/>
    <w:rsid w:val="00250AF8"/>
    <w:rsid w:val="00250CA9"/>
    <w:rsid w:val="00250DE4"/>
    <w:rsid w:val="00251108"/>
    <w:rsid w:val="002511CB"/>
    <w:rsid w:val="002511EE"/>
    <w:rsid w:val="002512CD"/>
    <w:rsid w:val="0025137C"/>
    <w:rsid w:val="00251385"/>
    <w:rsid w:val="002514B7"/>
    <w:rsid w:val="00251520"/>
    <w:rsid w:val="00251542"/>
    <w:rsid w:val="00251642"/>
    <w:rsid w:val="00251738"/>
    <w:rsid w:val="002518FC"/>
    <w:rsid w:val="00251A41"/>
    <w:rsid w:val="00251B11"/>
    <w:rsid w:val="00251B78"/>
    <w:rsid w:val="00251BBF"/>
    <w:rsid w:val="00251C15"/>
    <w:rsid w:val="00251D9D"/>
    <w:rsid w:val="00251F35"/>
    <w:rsid w:val="00251FA9"/>
    <w:rsid w:val="00251FDD"/>
    <w:rsid w:val="0025208B"/>
    <w:rsid w:val="002520AE"/>
    <w:rsid w:val="002520EB"/>
    <w:rsid w:val="00252182"/>
    <w:rsid w:val="00252206"/>
    <w:rsid w:val="00252210"/>
    <w:rsid w:val="002524C2"/>
    <w:rsid w:val="0025252E"/>
    <w:rsid w:val="00252579"/>
    <w:rsid w:val="002525A3"/>
    <w:rsid w:val="00252637"/>
    <w:rsid w:val="0025263C"/>
    <w:rsid w:val="0025271E"/>
    <w:rsid w:val="0025279B"/>
    <w:rsid w:val="002527D1"/>
    <w:rsid w:val="00252973"/>
    <w:rsid w:val="002529A7"/>
    <w:rsid w:val="00252A47"/>
    <w:rsid w:val="00252B85"/>
    <w:rsid w:val="00252DC0"/>
    <w:rsid w:val="00252E27"/>
    <w:rsid w:val="00252F60"/>
    <w:rsid w:val="00253000"/>
    <w:rsid w:val="00253129"/>
    <w:rsid w:val="002531D5"/>
    <w:rsid w:val="002531DB"/>
    <w:rsid w:val="002532F8"/>
    <w:rsid w:val="0025332A"/>
    <w:rsid w:val="0025334A"/>
    <w:rsid w:val="002533B0"/>
    <w:rsid w:val="002533B6"/>
    <w:rsid w:val="00253596"/>
    <w:rsid w:val="002535B7"/>
    <w:rsid w:val="002535E6"/>
    <w:rsid w:val="0025371A"/>
    <w:rsid w:val="00253757"/>
    <w:rsid w:val="0025383C"/>
    <w:rsid w:val="0025396C"/>
    <w:rsid w:val="00253A01"/>
    <w:rsid w:val="00253A18"/>
    <w:rsid w:val="00253A2B"/>
    <w:rsid w:val="00253A69"/>
    <w:rsid w:val="00253CA8"/>
    <w:rsid w:val="00253CC8"/>
    <w:rsid w:val="00253CF2"/>
    <w:rsid w:val="00253D1E"/>
    <w:rsid w:val="00253D68"/>
    <w:rsid w:val="00253E2D"/>
    <w:rsid w:val="00253EE3"/>
    <w:rsid w:val="00253F0C"/>
    <w:rsid w:val="00253F44"/>
    <w:rsid w:val="00253FEC"/>
    <w:rsid w:val="002540D4"/>
    <w:rsid w:val="0025418C"/>
    <w:rsid w:val="002541D9"/>
    <w:rsid w:val="0025420A"/>
    <w:rsid w:val="00254243"/>
    <w:rsid w:val="00254297"/>
    <w:rsid w:val="002542CB"/>
    <w:rsid w:val="002543A2"/>
    <w:rsid w:val="00254496"/>
    <w:rsid w:val="00254597"/>
    <w:rsid w:val="00254621"/>
    <w:rsid w:val="002548F8"/>
    <w:rsid w:val="00254A4F"/>
    <w:rsid w:val="00254A93"/>
    <w:rsid w:val="00254BE8"/>
    <w:rsid w:val="00254CBA"/>
    <w:rsid w:val="00254E31"/>
    <w:rsid w:val="00254F95"/>
    <w:rsid w:val="002550D3"/>
    <w:rsid w:val="0025512B"/>
    <w:rsid w:val="00255289"/>
    <w:rsid w:val="002552D0"/>
    <w:rsid w:val="0025532B"/>
    <w:rsid w:val="0025532F"/>
    <w:rsid w:val="0025541E"/>
    <w:rsid w:val="002556EE"/>
    <w:rsid w:val="00255718"/>
    <w:rsid w:val="002557A7"/>
    <w:rsid w:val="002558C7"/>
    <w:rsid w:val="0025594A"/>
    <w:rsid w:val="00255A71"/>
    <w:rsid w:val="00255B22"/>
    <w:rsid w:val="00255BAE"/>
    <w:rsid w:val="00255BC0"/>
    <w:rsid w:val="00255C42"/>
    <w:rsid w:val="00255E50"/>
    <w:rsid w:val="00255EE2"/>
    <w:rsid w:val="00255F8D"/>
    <w:rsid w:val="00255FB6"/>
    <w:rsid w:val="00256037"/>
    <w:rsid w:val="002560A0"/>
    <w:rsid w:val="002560B3"/>
    <w:rsid w:val="002560EB"/>
    <w:rsid w:val="0025613B"/>
    <w:rsid w:val="002561D0"/>
    <w:rsid w:val="002561FF"/>
    <w:rsid w:val="0025634F"/>
    <w:rsid w:val="0025636D"/>
    <w:rsid w:val="0025637A"/>
    <w:rsid w:val="00256415"/>
    <w:rsid w:val="00256421"/>
    <w:rsid w:val="00256625"/>
    <w:rsid w:val="002566CE"/>
    <w:rsid w:val="002567F1"/>
    <w:rsid w:val="00256835"/>
    <w:rsid w:val="0025694B"/>
    <w:rsid w:val="00256A31"/>
    <w:rsid w:val="00256A90"/>
    <w:rsid w:val="00256BA0"/>
    <w:rsid w:val="00256C67"/>
    <w:rsid w:val="00256CD0"/>
    <w:rsid w:val="00256EDE"/>
    <w:rsid w:val="00256FB6"/>
    <w:rsid w:val="00256FE3"/>
    <w:rsid w:val="00256FFA"/>
    <w:rsid w:val="00257116"/>
    <w:rsid w:val="0025711F"/>
    <w:rsid w:val="002571DD"/>
    <w:rsid w:val="00257203"/>
    <w:rsid w:val="002573BC"/>
    <w:rsid w:val="002573F6"/>
    <w:rsid w:val="0025747D"/>
    <w:rsid w:val="0025754B"/>
    <w:rsid w:val="00257554"/>
    <w:rsid w:val="0025761C"/>
    <w:rsid w:val="00257674"/>
    <w:rsid w:val="002576A2"/>
    <w:rsid w:val="002576D1"/>
    <w:rsid w:val="0025775D"/>
    <w:rsid w:val="00257834"/>
    <w:rsid w:val="002578B7"/>
    <w:rsid w:val="0025795B"/>
    <w:rsid w:val="00257C34"/>
    <w:rsid w:val="00257DB7"/>
    <w:rsid w:val="00257DE2"/>
    <w:rsid w:val="00257E0C"/>
    <w:rsid w:val="00257E12"/>
    <w:rsid w:val="00257F7D"/>
    <w:rsid w:val="002601C8"/>
    <w:rsid w:val="00260248"/>
    <w:rsid w:val="002602C3"/>
    <w:rsid w:val="0026051A"/>
    <w:rsid w:val="0026066E"/>
    <w:rsid w:val="0026067A"/>
    <w:rsid w:val="00260723"/>
    <w:rsid w:val="0026078B"/>
    <w:rsid w:val="002607DA"/>
    <w:rsid w:val="00260820"/>
    <w:rsid w:val="0026091A"/>
    <w:rsid w:val="00260A66"/>
    <w:rsid w:val="00260D0A"/>
    <w:rsid w:val="00260D17"/>
    <w:rsid w:val="00260D99"/>
    <w:rsid w:val="00260E78"/>
    <w:rsid w:val="00260EEB"/>
    <w:rsid w:val="00261074"/>
    <w:rsid w:val="0026121D"/>
    <w:rsid w:val="0026129C"/>
    <w:rsid w:val="0026129D"/>
    <w:rsid w:val="00261309"/>
    <w:rsid w:val="0026131B"/>
    <w:rsid w:val="002614E5"/>
    <w:rsid w:val="002614ED"/>
    <w:rsid w:val="00261597"/>
    <w:rsid w:val="002615D6"/>
    <w:rsid w:val="002615FF"/>
    <w:rsid w:val="00261683"/>
    <w:rsid w:val="00261693"/>
    <w:rsid w:val="0026173E"/>
    <w:rsid w:val="002617D7"/>
    <w:rsid w:val="002617DB"/>
    <w:rsid w:val="0026180A"/>
    <w:rsid w:val="00261873"/>
    <w:rsid w:val="0026189E"/>
    <w:rsid w:val="00261AD1"/>
    <w:rsid w:val="00261C87"/>
    <w:rsid w:val="00261CD7"/>
    <w:rsid w:val="00261D1B"/>
    <w:rsid w:val="00261D2A"/>
    <w:rsid w:val="00262131"/>
    <w:rsid w:val="00262282"/>
    <w:rsid w:val="002622AA"/>
    <w:rsid w:val="00262304"/>
    <w:rsid w:val="0026230E"/>
    <w:rsid w:val="00262376"/>
    <w:rsid w:val="0026243E"/>
    <w:rsid w:val="002624FD"/>
    <w:rsid w:val="00262574"/>
    <w:rsid w:val="002626D4"/>
    <w:rsid w:val="00262703"/>
    <w:rsid w:val="0026273F"/>
    <w:rsid w:val="00262835"/>
    <w:rsid w:val="002628CD"/>
    <w:rsid w:val="0026291F"/>
    <w:rsid w:val="00262946"/>
    <w:rsid w:val="00262954"/>
    <w:rsid w:val="00262A3E"/>
    <w:rsid w:val="00262AAC"/>
    <w:rsid w:val="00262C7A"/>
    <w:rsid w:val="00262CC2"/>
    <w:rsid w:val="00262D36"/>
    <w:rsid w:val="00262D42"/>
    <w:rsid w:val="00262EA7"/>
    <w:rsid w:val="002630A5"/>
    <w:rsid w:val="002631A4"/>
    <w:rsid w:val="002632F3"/>
    <w:rsid w:val="0026334C"/>
    <w:rsid w:val="00263380"/>
    <w:rsid w:val="0026343C"/>
    <w:rsid w:val="002634CB"/>
    <w:rsid w:val="00263559"/>
    <w:rsid w:val="002635AA"/>
    <w:rsid w:val="00263628"/>
    <w:rsid w:val="0026366F"/>
    <w:rsid w:val="0026369B"/>
    <w:rsid w:val="002638C9"/>
    <w:rsid w:val="002638EE"/>
    <w:rsid w:val="0026394E"/>
    <w:rsid w:val="00263A36"/>
    <w:rsid w:val="00263AE2"/>
    <w:rsid w:val="00263B46"/>
    <w:rsid w:val="00263BFC"/>
    <w:rsid w:val="00263C8D"/>
    <w:rsid w:val="00263D01"/>
    <w:rsid w:val="00263D7A"/>
    <w:rsid w:val="00263E28"/>
    <w:rsid w:val="00263F0C"/>
    <w:rsid w:val="00263F16"/>
    <w:rsid w:val="00263FE2"/>
    <w:rsid w:val="002641F4"/>
    <w:rsid w:val="0026441B"/>
    <w:rsid w:val="0026444D"/>
    <w:rsid w:val="00264527"/>
    <w:rsid w:val="00264597"/>
    <w:rsid w:val="002645CF"/>
    <w:rsid w:val="00264667"/>
    <w:rsid w:val="00264677"/>
    <w:rsid w:val="00264681"/>
    <w:rsid w:val="002646E1"/>
    <w:rsid w:val="0026490A"/>
    <w:rsid w:val="00264984"/>
    <w:rsid w:val="002649DF"/>
    <w:rsid w:val="002649F7"/>
    <w:rsid w:val="00264ACF"/>
    <w:rsid w:val="00264B05"/>
    <w:rsid w:val="00264BAB"/>
    <w:rsid w:val="00264BC7"/>
    <w:rsid w:val="00264C81"/>
    <w:rsid w:val="00264CE4"/>
    <w:rsid w:val="00264DC2"/>
    <w:rsid w:val="00264DD0"/>
    <w:rsid w:val="00264E09"/>
    <w:rsid w:val="00264E8D"/>
    <w:rsid w:val="00264EA2"/>
    <w:rsid w:val="00264F0E"/>
    <w:rsid w:val="00264F18"/>
    <w:rsid w:val="00265002"/>
    <w:rsid w:val="0026502B"/>
    <w:rsid w:val="0026502F"/>
    <w:rsid w:val="0026504E"/>
    <w:rsid w:val="00265128"/>
    <w:rsid w:val="00265139"/>
    <w:rsid w:val="0026519E"/>
    <w:rsid w:val="0026536E"/>
    <w:rsid w:val="0026538D"/>
    <w:rsid w:val="00265394"/>
    <w:rsid w:val="002653DE"/>
    <w:rsid w:val="002654A3"/>
    <w:rsid w:val="00265507"/>
    <w:rsid w:val="00265563"/>
    <w:rsid w:val="00265705"/>
    <w:rsid w:val="00265801"/>
    <w:rsid w:val="00265906"/>
    <w:rsid w:val="002659C0"/>
    <w:rsid w:val="00265AA0"/>
    <w:rsid w:val="00265BA4"/>
    <w:rsid w:val="00265C76"/>
    <w:rsid w:val="00265D93"/>
    <w:rsid w:val="00265E60"/>
    <w:rsid w:val="00265ED1"/>
    <w:rsid w:val="00265EE1"/>
    <w:rsid w:val="00266048"/>
    <w:rsid w:val="00266182"/>
    <w:rsid w:val="00266198"/>
    <w:rsid w:val="0026619A"/>
    <w:rsid w:val="00266257"/>
    <w:rsid w:val="00266368"/>
    <w:rsid w:val="0026639E"/>
    <w:rsid w:val="0026647D"/>
    <w:rsid w:val="002664FF"/>
    <w:rsid w:val="0026658C"/>
    <w:rsid w:val="002666BC"/>
    <w:rsid w:val="002666BD"/>
    <w:rsid w:val="002667CC"/>
    <w:rsid w:val="002667CF"/>
    <w:rsid w:val="00266832"/>
    <w:rsid w:val="0026684F"/>
    <w:rsid w:val="00266899"/>
    <w:rsid w:val="00266A0E"/>
    <w:rsid w:val="00266AC6"/>
    <w:rsid w:val="00266AC8"/>
    <w:rsid w:val="00266C03"/>
    <w:rsid w:val="00266C6B"/>
    <w:rsid w:val="00266D81"/>
    <w:rsid w:val="00266E09"/>
    <w:rsid w:val="00266E96"/>
    <w:rsid w:val="00266F58"/>
    <w:rsid w:val="00266F68"/>
    <w:rsid w:val="00266FEB"/>
    <w:rsid w:val="0026709D"/>
    <w:rsid w:val="002670DF"/>
    <w:rsid w:val="002671B2"/>
    <w:rsid w:val="0026728C"/>
    <w:rsid w:val="00267357"/>
    <w:rsid w:val="002673C9"/>
    <w:rsid w:val="002673F0"/>
    <w:rsid w:val="0026743C"/>
    <w:rsid w:val="002674B0"/>
    <w:rsid w:val="00267519"/>
    <w:rsid w:val="00267532"/>
    <w:rsid w:val="002675E2"/>
    <w:rsid w:val="0026766C"/>
    <w:rsid w:val="002676E2"/>
    <w:rsid w:val="00267730"/>
    <w:rsid w:val="002678B8"/>
    <w:rsid w:val="002678C7"/>
    <w:rsid w:val="002679D6"/>
    <w:rsid w:val="00267AC7"/>
    <w:rsid w:val="00267BD7"/>
    <w:rsid w:val="00267D80"/>
    <w:rsid w:val="00267D83"/>
    <w:rsid w:val="00267DE3"/>
    <w:rsid w:val="00267E1D"/>
    <w:rsid w:val="00267E4C"/>
    <w:rsid w:val="00267EFC"/>
    <w:rsid w:val="00267FDF"/>
    <w:rsid w:val="002700C8"/>
    <w:rsid w:val="002700FD"/>
    <w:rsid w:val="0027023A"/>
    <w:rsid w:val="00270337"/>
    <w:rsid w:val="002703BF"/>
    <w:rsid w:val="002703D0"/>
    <w:rsid w:val="00270613"/>
    <w:rsid w:val="00270648"/>
    <w:rsid w:val="00270673"/>
    <w:rsid w:val="002706B4"/>
    <w:rsid w:val="00270783"/>
    <w:rsid w:val="00270B79"/>
    <w:rsid w:val="00270B82"/>
    <w:rsid w:val="00270B9A"/>
    <w:rsid w:val="00270C3E"/>
    <w:rsid w:val="00270C65"/>
    <w:rsid w:val="00270CCD"/>
    <w:rsid w:val="00270D90"/>
    <w:rsid w:val="00270DB2"/>
    <w:rsid w:val="00270FCA"/>
    <w:rsid w:val="00271095"/>
    <w:rsid w:val="002710C3"/>
    <w:rsid w:val="00271178"/>
    <w:rsid w:val="002711C9"/>
    <w:rsid w:val="00271266"/>
    <w:rsid w:val="00271378"/>
    <w:rsid w:val="00271446"/>
    <w:rsid w:val="002714BF"/>
    <w:rsid w:val="002715DC"/>
    <w:rsid w:val="002715ED"/>
    <w:rsid w:val="002715FD"/>
    <w:rsid w:val="00271602"/>
    <w:rsid w:val="0027176B"/>
    <w:rsid w:val="002717DA"/>
    <w:rsid w:val="002718A5"/>
    <w:rsid w:val="002718C7"/>
    <w:rsid w:val="002718F3"/>
    <w:rsid w:val="0027193C"/>
    <w:rsid w:val="002719A6"/>
    <w:rsid w:val="002719B5"/>
    <w:rsid w:val="002719BB"/>
    <w:rsid w:val="00271A04"/>
    <w:rsid w:val="00271A55"/>
    <w:rsid w:val="00271A9D"/>
    <w:rsid w:val="00271B15"/>
    <w:rsid w:val="00271B3C"/>
    <w:rsid w:val="00271B45"/>
    <w:rsid w:val="00271B6F"/>
    <w:rsid w:val="00271B7A"/>
    <w:rsid w:val="00271C79"/>
    <w:rsid w:val="00271CCE"/>
    <w:rsid w:val="00271F6B"/>
    <w:rsid w:val="00271F6F"/>
    <w:rsid w:val="00271FB2"/>
    <w:rsid w:val="0027202B"/>
    <w:rsid w:val="002720F6"/>
    <w:rsid w:val="00272238"/>
    <w:rsid w:val="00272297"/>
    <w:rsid w:val="002722C1"/>
    <w:rsid w:val="002722E4"/>
    <w:rsid w:val="002722EE"/>
    <w:rsid w:val="00272376"/>
    <w:rsid w:val="002723DA"/>
    <w:rsid w:val="0027251A"/>
    <w:rsid w:val="002725CE"/>
    <w:rsid w:val="00272622"/>
    <w:rsid w:val="002726A8"/>
    <w:rsid w:val="00272705"/>
    <w:rsid w:val="00272719"/>
    <w:rsid w:val="00272820"/>
    <w:rsid w:val="00272906"/>
    <w:rsid w:val="002729C7"/>
    <w:rsid w:val="00272A47"/>
    <w:rsid w:val="00272A72"/>
    <w:rsid w:val="00272AC0"/>
    <w:rsid w:val="00272B28"/>
    <w:rsid w:val="00272D9C"/>
    <w:rsid w:val="00272E22"/>
    <w:rsid w:val="00272F00"/>
    <w:rsid w:val="00272FF9"/>
    <w:rsid w:val="0027300B"/>
    <w:rsid w:val="002730F6"/>
    <w:rsid w:val="00273191"/>
    <w:rsid w:val="002731DF"/>
    <w:rsid w:val="002732C1"/>
    <w:rsid w:val="00273330"/>
    <w:rsid w:val="0027334F"/>
    <w:rsid w:val="00273399"/>
    <w:rsid w:val="002733B1"/>
    <w:rsid w:val="002735C7"/>
    <w:rsid w:val="00273617"/>
    <w:rsid w:val="00273638"/>
    <w:rsid w:val="00273749"/>
    <w:rsid w:val="002737F9"/>
    <w:rsid w:val="0027387F"/>
    <w:rsid w:val="002739C8"/>
    <w:rsid w:val="00273A3F"/>
    <w:rsid w:val="00273A47"/>
    <w:rsid w:val="00273AD7"/>
    <w:rsid w:val="00273C18"/>
    <w:rsid w:val="00273C47"/>
    <w:rsid w:val="00273CC9"/>
    <w:rsid w:val="00273D40"/>
    <w:rsid w:val="00273D7E"/>
    <w:rsid w:val="00273E87"/>
    <w:rsid w:val="002740A6"/>
    <w:rsid w:val="002740B5"/>
    <w:rsid w:val="0027423A"/>
    <w:rsid w:val="002742FC"/>
    <w:rsid w:val="00274327"/>
    <w:rsid w:val="0027434A"/>
    <w:rsid w:val="0027438A"/>
    <w:rsid w:val="0027445D"/>
    <w:rsid w:val="002744E1"/>
    <w:rsid w:val="00274565"/>
    <w:rsid w:val="002745A5"/>
    <w:rsid w:val="0027460B"/>
    <w:rsid w:val="00274617"/>
    <w:rsid w:val="00274625"/>
    <w:rsid w:val="002746D2"/>
    <w:rsid w:val="002747EE"/>
    <w:rsid w:val="00274855"/>
    <w:rsid w:val="002748F1"/>
    <w:rsid w:val="0027493C"/>
    <w:rsid w:val="00274B79"/>
    <w:rsid w:val="00274B90"/>
    <w:rsid w:val="00274C56"/>
    <w:rsid w:val="00274C70"/>
    <w:rsid w:val="00274D63"/>
    <w:rsid w:val="00274DA6"/>
    <w:rsid w:val="00274DAF"/>
    <w:rsid w:val="00274E9C"/>
    <w:rsid w:val="00274FCE"/>
    <w:rsid w:val="002750A8"/>
    <w:rsid w:val="0027524A"/>
    <w:rsid w:val="0027533D"/>
    <w:rsid w:val="0027540A"/>
    <w:rsid w:val="002754A4"/>
    <w:rsid w:val="002754AB"/>
    <w:rsid w:val="00275761"/>
    <w:rsid w:val="0027577E"/>
    <w:rsid w:val="002758B0"/>
    <w:rsid w:val="002759A2"/>
    <w:rsid w:val="00275B4A"/>
    <w:rsid w:val="00275B73"/>
    <w:rsid w:val="00275C09"/>
    <w:rsid w:val="00275D9D"/>
    <w:rsid w:val="00275EF4"/>
    <w:rsid w:val="00275F02"/>
    <w:rsid w:val="00275F91"/>
    <w:rsid w:val="00275FB5"/>
    <w:rsid w:val="00276017"/>
    <w:rsid w:val="00276081"/>
    <w:rsid w:val="00276145"/>
    <w:rsid w:val="002763A1"/>
    <w:rsid w:val="00276474"/>
    <w:rsid w:val="0027682F"/>
    <w:rsid w:val="00276A84"/>
    <w:rsid w:val="00276AC9"/>
    <w:rsid w:val="00276B1F"/>
    <w:rsid w:val="00276B29"/>
    <w:rsid w:val="00276C2B"/>
    <w:rsid w:val="00276E10"/>
    <w:rsid w:val="00276E26"/>
    <w:rsid w:val="00276EAC"/>
    <w:rsid w:val="00276EB9"/>
    <w:rsid w:val="00276EC8"/>
    <w:rsid w:val="00276EF9"/>
    <w:rsid w:val="00276F36"/>
    <w:rsid w:val="00276F48"/>
    <w:rsid w:val="00276FC4"/>
    <w:rsid w:val="0027700F"/>
    <w:rsid w:val="00277122"/>
    <w:rsid w:val="00277276"/>
    <w:rsid w:val="002772CA"/>
    <w:rsid w:val="0027752F"/>
    <w:rsid w:val="00277598"/>
    <w:rsid w:val="00277644"/>
    <w:rsid w:val="00277706"/>
    <w:rsid w:val="002777B1"/>
    <w:rsid w:val="00277890"/>
    <w:rsid w:val="002778C4"/>
    <w:rsid w:val="00277922"/>
    <w:rsid w:val="0027792A"/>
    <w:rsid w:val="00277952"/>
    <w:rsid w:val="0027795F"/>
    <w:rsid w:val="00277B41"/>
    <w:rsid w:val="00277D30"/>
    <w:rsid w:val="00277DE9"/>
    <w:rsid w:val="00277EBC"/>
    <w:rsid w:val="00277EDE"/>
    <w:rsid w:val="0028009E"/>
    <w:rsid w:val="00280179"/>
    <w:rsid w:val="002801C9"/>
    <w:rsid w:val="0028020C"/>
    <w:rsid w:val="002802AE"/>
    <w:rsid w:val="002802E6"/>
    <w:rsid w:val="00280348"/>
    <w:rsid w:val="002803B3"/>
    <w:rsid w:val="002803DD"/>
    <w:rsid w:val="002806F5"/>
    <w:rsid w:val="002807B7"/>
    <w:rsid w:val="00280840"/>
    <w:rsid w:val="002809C7"/>
    <w:rsid w:val="00280B01"/>
    <w:rsid w:val="00280B64"/>
    <w:rsid w:val="00280BCE"/>
    <w:rsid w:val="00280BD6"/>
    <w:rsid w:val="00280BFF"/>
    <w:rsid w:val="00280C1A"/>
    <w:rsid w:val="00280C8E"/>
    <w:rsid w:val="00280D3E"/>
    <w:rsid w:val="00280D44"/>
    <w:rsid w:val="00280DF2"/>
    <w:rsid w:val="00280DF9"/>
    <w:rsid w:val="00280E07"/>
    <w:rsid w:val="00280E13"/>
    <w:rsid w:val="00280EB0"/>
    <w:rsid w:val="0028102D"/>
    <w:rsid w:val="00281053"/>
    <w:rsid w:val="00281058"/>
    <w:rsid w:val="002810FE"/>
    <w:rsid w:val="00281294"/>
    <w:rsid w:val="00281314"/>
    <w:rsid w:val="002814D3"/>
    <w:rsid w:val="00281667"/>
    <w:rsid w:val="00281700"/>
    <w:rsid w:val="0028170D"/>
    <w:rsid w:val="0028174A"/>
    <w:rsid w:val="00281754"/>
    <w:rsid w:val="002818BD"/>
    <w:rsid w:val="00281917"/>
    <w:rsid w:val="0028191A"/>
    <w:rsid w:val="0028195F"/>
    <w:rsid w:val="00281A11"/>
    <w:rsid w:val="00281AF9"/>
    <w:rsid w:val="00281B96"/>
    <w:rsid w:val="00281C39"/>
    <w:rsid w:val="00281C6C"/>
    <w:rsid w:val="00281CB2"/>
    <w:rsid w:val="00281CF4"/>
    <w:rsid w:val="00281DA8"/>
    <w:rsid w:val="00281E28"/>
    <w:rsid w:val="00281EDA"/>
    <w:rsid w:val="0028201A"/>
    <w:rsid w:val="00282055"/>
    <w:rsid w:val="00282119"/>
    <w:rsid w:val="00282147"/>
    <w:rsid w:val="00282163"/>
    <w:rsid w:val="00282166"/>
    <w:rsid w:val="00282189"/>
    <w:rsid w:val="00282346"/>
    <w:rsid w:val="002823FC"/>
    <w:rsid w:val="002824B5"/>
    <w:rsid w:val="00282550"/>
    <w:rsid w:val="002825AB"/>
    <w:rsid w:val="00282630"/>
    <w:rsid w:val="00282672"/>
    <w:rsid w:val="002826F5"/>
    <w:rsid w:val="00282822"/>
    <w:rsid w:val="00282882"/>
    <w:rsid w:val="002828A7"/>
    <w:rsid w:val="0028291C"/>
    <w:rsid w:val="00282944"/>
    <w:rsid w:val="00282998"/>
    <w:rsid w:val="002829A7"/>
    <w:rsid w:val="00282A12"/>
    <w:rsid w:val="00282B78"/>
    <w:rsid w:val="00282BF2"/>
    <w:rsid w:val="00282C7C"/>
    <w:rsid w:val="00282DA6"/>
    <w:rsid w:val="00282DF3"/>
    <w:rsid w:val="00282EDA"/>
    <w:rsid w:val="00282EF6"/>
    <w:rsid w:val="00282EF9"/>
    <w:rsid w:val="00282F5E"/>
    <w:rsid w:val="00282F6D"/>
    <w:rsid w:val="00282F97"/>
    <w:rsid w:val="00283121"/>
    <w:rsid w:val="00283228"/>
    <w:rsid w:val="00283229"/>
    <w:rsid w:val="002832D1"/>
    <w:rsid w:val="002832D8"/>
    <w:rsid w:val="0028347C"/>
    <w:rsid w:val="002834D2"/>
    <w:rsid w:val="0028364D"/>
    <w:rsid w:val="002838ED"/>
    <w:rsid w:val="002839CC"/>
    <w:rsid w:val="00283B45"/>
    <w:rsid w:val="00283D35"/>
    <w:rsid w:val="00283E26"/>
    <w:rsid w:val="00283ED6"/>
    <w:rsid w:val="002840E7"/>
    <w:rsid w:val="00284156"/>
    <w:rsid w:val="002841BC"/>
    <w:rsid w:val="002841CF"/>
    <w:rsid w:val="00284304"/>
    <w:rsid w:val="00284305"/>
    <w:rsid w:val="002846D1"/>
    <w:rsid w:val="002847A5"/>
    <w:rsid w:val="002847C4"/>
    <w:rsid w:val="0028494F"/>
    <w:rsid w:val="00284978"/>
    <w:rsid w:val="002849BF"/>
    <w:rsid w:val="00284A90"/>
    <w:rsid w:val="00284A9C"/>
    <w:rsid w:val="00284ACE"/>
    <w:rsid w:val="00284BD3"/>
    <w:rsid w:val="00284BE3"/>
    <w:rsid w:val="00284BFD"/>
    <w:rsid w:val="00284C1F"/>
    <w:rsid w:val="00284D54"/>
    <w:rsid w:val="00284EC2"/>
    <w:rsid w:val="002850A7"/>
    <w:rsid w:val="0028511D"/>
    <w:rsid w:val="00285200"/>
    <w:rsid w:val="0028526E"/>
    <w:rsid w:val="00285362"/>
    <w:rsid w:val="00285428"/>
    <w:rsid w:val="00285462"/>
    <w:rsid w:val="002854F7"/>
    <w:rsid w:val="00285570"/>
    <w:rsid w:val="002856BC"/>
    <w:rsid w:val="002858C2"/>
    <w:rsid w:val="00285944"/>
    <w:rsid w:val="00285A81"/>
    <w:rsid w:val="00285B70"/>
    <w:rsid w:val="00285DDE"/>
    <w:rsid w:val="00285EC4"/>
    <w:rsid w:val="00285EEF"/>
    <w:rsid w:val="00285F12"/>
    <w:rsid w:val="00285F58"/>
    <w:rsid w:val="00285F67"/>
    <w:rsid w:val="00285FFB"/>
    <w:rsid w:val="0028604C"/>
    <w:rsid w:val="0028615C"/>
    <w:rsid w:val="00286250"/>
    <w:rsid w:val="00286267"/>
    <w:rsid w:val="002862B2"/>
    <w:rsid w:val="002862FE"/>
    <w:rsid w:val="002863B7"/>
    <w:rsid w:val="00286423"/>
    <w:rsid w:val="00286477"/>
    <w:rsid w:val="002864E5"/>
    <w:rsid w:val="0028650E"/>
    <w:rsid w:val="002865FA"/>
    <w:rsid w:val="00286719"/>
    <w:rsid w:val="0028681D"/>
    <w:rsid w:val="0028686F"/>
    <w:rsid w:val="00286874"/>
    <w:rsid w:val="002868A9"/>
    <w:rsid w:val="00286900"/>
    <w:rsid w:val="00286A4E"/>
    <w:rsid w:val="00286B6A"/>
    <w:rsid w:val="00286BA1"/>
    <w:rsid w:val="00286BE7"/>
    <w:rsid w:val="00286CB5"/>
    <w:rsid w:val="00286D33"/>
    <w:rsid w:val="00286DEA"/>
    <w:rsid w:val="00286EA1"/>
    <w:rsid w:val="00286F59"/>
    <w:rsid w:val="00286F93"/>
    <w:rsid w:val="00286FAD"/>
    <w:rsid w:val="00287115"/>
    <w:rsid w:val="00287201"/>
    <w:rsid w:val="0028726F"/>
    <w:rsid w:val="00287277"/>
    <w:rsid w:val="002872A3"/>
    <w:rsid w:val="0028743D"/>
    <w:rsid w:val="0028744C"/>
    <w:rsid w:val="00287544"/>
    <w:rsid w:val="002875DF"/>
    <w:rsid w:val="00287657"/>
    <w:rsid w:val="0028766D"/>
    <w:rsid w:val="002876AD"/>
    <w:rsid w:val="00287710"/>
    <w:rsid w:val="00287938"/>
    <w:rsid w:val="00287941"/>
    <w:rsid w:val="002879EA"/>
    <w:rsid w:val="00287AE3"/>
    <w:rsid w:val="00287D03"/>
    <w:rsid w:val="00287D7C"/>
    <w:rsid w:val="00287DBD"/>
    <w:rsid w:val="00287DE2"/>
    <w:rsid w:val="00287F2E"/>
    <w:rsid w:val="00287FDF"/>
    <w:rsid w:val="00290294"/>
    <w:rsid w:val="002902D6"/>
    <w:rsid w:val="00290340"/>
    <w:rsid w:val="002903B9"/>
    <w:rsid w:val="0029047F"/>
    <w:rsid w:val="00290554"/>
    <w:rsid w:val="0029055A"/>
    <w:rsid w:val="00290635"/>
    <w:rsid w:val="00290715"/>
    <w:rsid w:val="0029074D"/>
    <w:rsid w:val="00290780"/>
    <w:rsid w:val="0029079D"/>
    <w:rsid w:val="002908FF"/>
    <w:rsid w:val="00290914"/>
    <w:rsid w:val="002909AD"/>
    <w:rsid w:val="00290A3D"/>
    <w:rsid w:val="00290A4A"/>
    <w:rsid w:val="00290A66"/>
    <w:rsid w:val="00290ACB"/>
    <w:rsid w:val="00290C07"/>
    <w:rsid w:val="00290C43"/>
    <w:rsid w:val="00290C50"/>
    <w:rsid w:val="00290D0B"/>
    <w:rsid w:val="00290E6D"/>
    <w:rsid w:val="00290FA7"/>
    <w:rsid w:val="00291172"/>
    <w:rsid w:val="00291193"/>
    <w:rsid w:val="002911EF"/>
    <w:rsid w:val="0029122F"/>
    <w:rsid w:val="002912D0"/>
    <w:rsid w:val="002912D1"/>
    <w:rsid w:val="00291310"/>
    <w:rsid w:val="00291330"/>
    <w:rsid w:val="00291382"/>
    <w:rsid w:val="00291463"/>
    <w:rsid w:val="00291589"/>
    <w:rsid w:val="002915C3"/>
    <w:rsid w:val="002916D9"/>
    <w:rsid w:val="00291745"/>
    <w:rsid w:val="002917DC"/>
    <w:rsid w:val="002919E2"/>
    <w:rsid w:val="00291AF0"/>
    <w:rsid w:val="00291B4C"/>
    <w:rsid w:val="00291B79"/>
    <w:rsid w:val="00291C8E"/>
    <w:rsid w:val="00291D85"/>
    <w:rsid w:val="00291DB6"/>
    <w:rsid w:val="00291E69"/>
    <w:rsid w:val="00291F3D"/>
    <w:rsid w:val="00291F76"/>
    <w:rsid w:val="00292019"/>
    <w:rsid w:val="0029202A"/>
    <w:rsid w:val="0029225A"/>
    <w:rsid w:val="0029227D"/>
    <w:rsid w:val="0029245D"/>
    <w:rsid w:val="002925CE"/>
    <w:rsid w:val="0029280A"/>
    <w:rsid w:val="0029283E"/>
    <w:rsid w:val="00292875"/>
    <w:rsid w:val="00292963"/>
    <w:rsid w:val="002929C2"/>
    <w:rsid w:val="002929C7"/>
    <w:rsid w:val="00292AE4"/>
    <w:rsid w:val="00292AF1"/>
    <w:rsid w:val="00292B6F"/>
    <w:rsid w:val="00292C13"/>
    <w:rsid w:val="00292C72"/>
    <w:rsid w:val="00292CF1"/>
    <w:rsid w:val="00292D73"/>
    <w:rsid w:val="00292D99"/>
    <w:rsid w:val="00292E5F"/>
    <w:rsid w:val="00292EFD"/>
    <w:rsid w:val="00292F20"/>
    <w:rsid w:val="00292FAA"/>
    <w:rsid w:val="00293024"/>
    <w:rsid w:val="0029320F"/>
    <w:rsid w:val="002933FE"/>
    <w:rsid w:val="00293482"/>
    <w:rsid w:val="002934B1"/>
    <w:rsid w:val="0029355B"/>
    <w:rsid w:val="002936FB"/>
    <w:rsid w:val="0029373E"/>
    <w:rsid w:val="00293834"/>
    <w:rsid w:val="00293A43"/>
    <w:rsid w:val="00293A49"/>
    <w:rsid w:val="00293AB6"/>
    <w:rsid w:val="00293B6E"/>
    <w:rsid w:val="00293BC9"/>
    <w:rsid w:val="00293E36"/>
    <w:rsid w:val="00293EBC"/>
    <w:rsid w:val="00293EDE"/>
    <w:rsid w:val="00293FAC"/>
    <w:rsid w:val="00294131"/>
    <w:rsid w:val="00294133"/>
    <w:rsid w:val="00294160"/>
    <w:rsid w:val="00294165"/>
    <w:rsid w:val="0029427F"/>
    <w:rsid w:val="00294289"/>
    <w:rsid w:val="002943AA"/>
    <w:rsid w:val="00294400"/>
    <w:rsid w:val="00294448"/>
    <w:rsid w:val="00294457"/>
    <w:rsid w:val="002944B6"/>
    <w:rsid w:val="002944D6"/>
    <w:rsid w:val="0029458F"/>
    <w:rsid w:val="00294673"/>
    <w:rsid w:val="002947DF"/>
    <w:rsid w:val="00294800"/>
    <w:rsid w:val="00294962"/>
    <w:rsid w:val="002949C8"/>
    <w:rsid w:val="00294B85"/>
    <w:rsid w:val="00294BE9"/>
    <w:rsid w:val="00294D20"/>
    <w:rsid w:val="00294D2C"/>
    <w:rsid w:val="00294DFB"/>
    <w:rsid w:val="00294E5F"/>
    <w:rsid w:val="00294EA7"/>
    <w:rsid w:val="00294F37"/>
    <w:rsid w:val="00294F5B"/>
    <w:rsid w:val="00294FB7"/>
    <w:rsid w:val="00294FD0"/>
    <w:rsid w:val="00295068"/>
    <w:rsid w:val="002950F5"/>
    <w:rsid w:val="002951D9"/>
    <w:rsid w:val="002954C2"/>
    <w:rsid w:val="00295744"/>
    <w:rsid w:val="0029575C"/>
    <w:rsid w:val="0029584E"/>
    <w:rsid w:val="002958BB"/>
    <w:rsid w:val="002958FF"/>
    <w:rsid w:val="002959EC"/>
    <w:rsid w:val="00295A7D"/>
    <w:rsid w:val="00295AC5"/>
    <w:rsid w:val="00295B01"/>
    <w:rsid w:val="00295B06"/>
    <w:rsid w:val="00295C65"/>
    <w:rsid w:val="00295D12"/>
    <w:rsid w:val="00295D35"/>
    <w:rsid w:val="00296071"/>
    <w:rsid w:val="002960BF"/>
    <w:rsid w:val="0029610B"/>
    <w:rsid w:val="00296158"/>
    <w:rsid w:val="00296183"/>
    <w:rsid w:val="0029618D"/>
    <w:rsid w:val="00296221"/>
    <w:rsid w:val="0029627A"/>
    <w:rsid w:val="002962D2"/>
    <w:rsid w:val="00296310"/>
    <w:rsid w:val="00296374"/>
    <w:rsid w:val="0029644D"/>
    <w:rsid w:val="00296463"/>
    <w:rsid w:val="002964F6"/>
    <w:rsid w:val="002965B9"/>
    <w:rsid w:val="002965C4"/>
    <w:rsid w:val="00296622"/>
    <w:rsid w:val="0029663C"/>
    <w:rsid w:val="00296691"/>
    <w:rsid w:val="0029669F"/>
    <w:rsid w:val="00296710"/>
    <w:rsid w:val="002968A2"/>
    <w:rsid w:val="0029697F"/>
    <w:rsid w:val="00296A01"/>
    <w:rsid w:val="00296ADE"/>
    <w:rsid w:val="00296CCC"/>
    <w:rsid w:val="00296DC4"/>
    <w:rsid w:val="00296F64"/>
    <w:rsid w:val="0029717F"/>
    <w:rsid w:val="002971C2"/>
    <w:rsid w:val="00297248"/>
    <w:rsid w:val="00297261"/>
    <w:rsid w:val="0029727B"/>
    <w:rsid w:val="0029731A"/>
    <w:rsid w:val="0029733B"/>
    <w:rsid w:val="00297492"/>
    <w:rsid w:val="002975AF"/>
    <w:rsid w:val="002975F4"/>
    <w:rsid w:val="00297621"/>
    <w:rsid w:val="00297626"/>
    <w:rsid w:val="00297682"/>
    <w:rsid w:val="002976BB"/>
    <w:rsid w:val="002976F1"/>
    <w:rsid w:val="002976FF"/>
    <w:rsid w:val="00297755"/>
    <w:rsid w:val="0029778B"/>
    <w:rsid w:val="00297883"/>
    <w:rsid w:val="002978B7"/>
    <w:rsid w:val="00297945"/>
    <w:rsid w:val="00297964"/>
    <w:rsid w:val="00297A14"/>
    <w:rsid w:val="00297B38"/>
    <w:rsid w:val="00297D35"/>
    <w:rsid w:val="00297D87"/>
    <w:rsid w:val="00297DB1"/>
    <w:rsid w:val="00297DC3"/>
    <w:rsid w:val="00297E56"/>
    <w:rsid w:val="002A0006"/>
    <w:rsid w:val="002A019D"/>
    <w:rsid w:val="002A0219"/>
    <w:rsid w:val="002A0271"/>
    <w:rsid w:val="002A0367"/>
    <w:rsid w:val="002A03F2"/>
    <w:rsid w:val="002A049F"/>
    <w:rsid w:val="002A04C6"/>
    <w:rsid w:val="002A0518"/>
    <w:rsid w:val="002A067B"/>
    <w:rsid w:val="002A0769"/>
    <w:rsid w:val="002A0787"/>
    <w:rsid w:val="002A0817"/>
    <w:rsid w:val="002A083C"/>
    <w:rsid w:val="002A0A00"/>
    <w:rsid w:val="002A0B04"/>
    <w:rsid w:val="002A0B1C"/>
    <w:rsid w:val="002A0B78"/>
    <w:rsid w:val="002A0CEF"/>
    <w:rsid w:val="002A0D6C"/>
    <w:rsid w:val="002A0E85"/>
    <w:rsid w:val="002A1263"/>
    <w:rsid w:val="002A132C"/>
    <w:rsid w:val="002A13B2"/>
    <w:rsid w:val="002A13B3"/>
    <w:rsid w:val="002A1598"/>
    <w:rsid w:val="002A15F8"/>
    <w:rsid w:val="002A1632"/>
    <w:rsid w:val="002A1698"/>
    <w:rsid w:val="002A16B8"/>
    <w:rsid w:val="002A18F9"/>
    <w:rsid w:val="002A1943"/>
    <w:rsid w:val="002A1A7F"/>
    <w:rsid w:val="002A1B41"/>
    <w:rsid w:val="002A1BA7"/>
    <w:rsid w:val="002A1BB0"/>
    <w:rsid w:val="002A1BED"/>
    <w:rsid w:val="002A1BF0"/>
    <w:rsid w:val="002A1D6C"/>
    <w:rsid w:val="002A1DDF"/>
    <w:rsid w:val="002A1E36"/>
    <w:rsid w:val="002A1E9A"/>
    <w:rsid w:val="002A1F12"/>
    <w:rsid w:val="002A1F25"/>
    <w:rsid w:val="002A1FC8"/>
    <w:rsid w:val="002A1FDA"/>
    <w:rsid w:val="002A20A2"/>
    <w:rsid w:val="002A210C"/>
    <w:rsid w:val="002A21BC"/>
    <w:rsid w:val="002A22FE"/>
    <w:rsid w:val="002A234A"/>
    <w:rsid w:val="002A235C"/>
    <w:rsid w:val="002A236D"/>
    <w:rsid w:val="002A23EB"/>
    <w:rsid w:val="002A2440"/>
    <w:rsid w:val="002A2481"/>
    <w:rsid w:val="002A2541"/>
    <w:rsid w:val="002A2577"/>
    <w:rsid w:val="002A262B"/>
    <w:rsid w:val="002A265B"/>
    <w:rsid w:val="002A26DA"/>
    <w:rsid w:val="002A26F7"/>
    <w:rsid w:val="002A272B"/>
    <w:rsid w:val="002A2730"/>
    <w:rsid w:val="002A27DE"/>
    <w:rsid w:val="002A27E8"/>
    <w:rsid w:val="002A2898"/>
    <w:rsid w:val="002A28D7"/>
    <w:rsid w:val="002A2B8B"/>
    <w:rsid w:val="002A2CCC"/>
    <w:rsid w:val="002A2D65"/>
    <w:rsid w:val="002A2DEF"/>
    <w:rsid w:val="002A2E47"/>
    <w:rsid w:val="002A2E62"/>
    <w:rsid w:val="002A2E77"/>
    <w:rsid w:val="002A2EDF"/>
    <w:rsid w:val="002A2F17"/>
    <w:rsid w:val="002A2F8E"/>
    <w:rsid w:val="002A30EA"/>
    <w:rsid w:val="002A3244"/>
    <w:rsid w:val="002A329B"/>
    <w:rsid w:val="002A32AA"/>
    <w:rsid w:val="002A32FD"/>
    <w:rsid w:val="002A330D"/>
    <w:rsid w:val="002A3374"/>
    <w:rsid w:val="002A33B5"/>
    <w:rsid w:val="002A340D"/>
    <w:rsid w:val="002A3518"/>
    <w:rsid w:val="002A3522"/>
    <w:rsid w:val="002A3543"/>
    <w:rsid w:val="002A3557"/>
    <w:rsid w:val="002A35AB"/>
    <w:rsid w:val="002A37DF"/>
    <w:rsid w:val="002A37E2"/>
    <w:rsid w:val="002A38C5"/>
    <w:rsid w:val="002A3A21"/>
    <w:rsid w:val="002A3BEB"/>
    <w:rsid w:val="002A3C70"/>
    <w:rsid w:val="002A3CC6"/>
    <w:rsid w:val="002A3D0F"/>
    <w:rsid w:val="002A3E20"/>
    <w:rsid w:val="002A3E40"/>
    <w:rsid w:val="002A3E91"/>
    <w:rsid w:val="002A3EDF"/>
    <w:rsid w:val="002A3F3A"/>
    <w:rsid w:val="002A4070"/>
    <w:rsid w:val="002A407A"/>
    <w:rsid w:val="002A41F9"/>
    <w:rsid w:val="002A4267"/>
    <w:rsid w:val="002A42CD"/>
    <w:rsid w:val="002A42EC"/>
    <w:rsid w:val="002A4449"/>
    <w:rsid w:val="002A4567"/>
    <w:rsid w:val="002A45D4"/>
    <w:rsid w:val="002A45FB"/>
    <w:rsid w:val="002A4604"/>
    <w:rsid w:val="002A4780"/>
    <w:rsid w:val="002A478E"/>
    <w:rsid w:val="002A4890"/>
    <w:rsid w:val="002A48D1"/>
    <w:rsid w:val="002A4911"/>
    <w:rsid w:val="002A4920"/>
    <w:rsid w:val="002A4AB4"/>
    <w:rsid w:val="002A4B3B"/>
    <w:rsid w:val="002A4C00"/>
    <w:rsid w:val="002A4CDB"/>
    <w:rsid w:val="002A4D9B"/>
    <w:rsid w:val="002A4E3D"/>
    <w:rsid w:val="002A4F22"/>
    <w:rsid w:val="002A4F9A"/>
    <w:rsid w:val="002A4FF0"/>
    <w:rsid w:val="002A5012"/>
    <w:rsid w:val="002A509C"/>
    <w:rsid w:val="002A50F5"/>
    <w:rsid w:val="002A5297"/>
    <w:rsid w:val="002A5347"/>
    <w:rsid w:val="002A53B6"/>
    <w:rsid w:val="002A5507"/>
    <w:rsid w:val="002A558A"/>
    <w:rsid w:val="002A5590"/>
    <w:rsid w:val="002A572B"/>
    <w:rsid w:val="002A573F"/>
    <w:rsid w:val="002A5772"/>
    <w:rsid w:val="002A57B1"/>
    <w:rsid w:val="002A57FB"/>
    <w:rsid w:val="002A5869"/>
    <w:rsid w:val="002A58B1"/>
    <w:rsid w:val="002A5AE3"/>
    <w:rsid w:val="002A5C21"/>
    <w:rsid w:val="002A5D83"/>
    <w:rsid w:val="002A5DEE"/>
    <w:rsid w:val="002A5E2B"/>
    <w:rsid w:val="002A5E3E"/>
    <w:rsid w:val="002A5FA9"/>
    <w:rsid w:val="002A5FF7"/>
    <w:rsid w:val="002A6044"/>
    <w:rsid w:val="002A6117"/>
    <w:rsid w:val="002A61D6"/>
    <w:rsid w:val="002A6259"/>
    <w:rsid w:val="002A62AF"/>
    <w:rsid w:val="002A62FF"/>
    <w:rsid w:val="002A6389"/>
    <w:rsid w:val="002A63CC"/>
    <w:rsid w:val="002A65EF"/>
    <w:rsid w:val="002A6626"/>
    <w:rsid w:val="002A672E"/>
    <w:rsid w:val="002A674A"/>
    <w:rsid w:val="002A675B"/>
    <w:rsid w:val="002A67C5"/>
    <w:rsid w:val="002A689E"/>
    <w:rsid w:val="002A68E7"/>
    <w:rsid w:val="002A6902"/>
    <w:rsid w:val="002A69A0"/>
    <w:rsid w:val="002A6A40"/>
    <w:rsid w:val="002A6A58"/>
    <w:rsid w:val="002A6A8D"/>
    <w:rsid w:val="002A6AA2"/>
    <w:rsid w:val="002A6AF1"/>
    <w:rsid w:val="002A6AF3"/>
    <w:rsid w:val="002A6D47"/>
    <w:rsid w:val="002A6D59"/>
    <w:rsid w:val="002A6DCF"/>
    <w:rsid w:val="002A6F07"/>
    <w:rsid w:val="002A6FC9"/>
    <w:rsid w:val="002A7101"/>
    <w:rsid w:val="002A7106"/>
    <w:rsid w:val="002A713C"/>
    <w:rsid w:val="002A71C8"/>
    <w:rsid w:val="002A7251"/>
    <w:rsid w:val="002A7401"/>
    <w:rsid w:val="002A7422"/>
    <w:rsid w:val="002A74A5"/>
    <w:rsid w:val="002A7571"/>
    <w:rsid w:val="002A7579"/>
    <w:rsid w:val="002A75E8"/>
    <w:rsid w:val="002A7663"/>
    <w:rsid w:val="002A77B7"/>
    <w:rsid w:val="002A7A3D"/>
    <w:rsid w:val="002A7B21"/>
    <w:rsid w:val="002A7B5C"/>
    <w:rsid w:val="002A7BD6"/>
    <w:rsid w:val="002A7CC6"/>
    <w:rsid w:val="002A7DDA"/>
    <w:rsid w:val="002A7E05"/>
    <w:rsid w:val="002A7E1C"/>
    <w:rsid w:val="002A7E52"/>
    <w:rsid w:val="002A7F3B"/>
    <w:rsid w:val="002B00F8"/>
    <w:rsid w:val="002B0131"/>
    <w:rsid w:val="002B0232"/>
    <w:rsid w:val="002B024E"/>
    <w:rsid w:val="002B037F"/>
    <w:rsid w:val="002B03EF"/>
    <w:rsid w:val="002B03F0"/>
    <w:rsid w:val="002B045F"/>
    <w:rsid w:val="002B04A3"/>
    <w:rsid w:val="002B04AD"/>
    <w:rsid w:val="002B0561"/>
    <w:rsid w:val="002B065D"/>
    <w:rsid w:val="002B067C"/>
    <w:rsid w:val="002B0680"/>
    <w:rsid w:val="002B06A0"/>
    <w:rsid w:val="002B078C"/>
    <w:rsid w:val="002B07CA"/>
    <w:rsid w:val="002B0890"/>
    <w:rsid w:val="002B08E5"/>
    <w:rsid w:val="002B0A27"/>
    <w:rsid w:val="002B0AAA"/>
    <w:rsid w:val="002B0BCC"/>
    <w:rsid w:val="002B0C71"/>
    <w:rsid w:val="002B0E14"/>
    <w:rsid w:val="002B0FF4"/>
    <w:rsid w:val="002B10D5"/>
    <w:rsid w:val="002B1125"/>
    <w:rsid w:val="002B118D"/>
    <w:rsid w:val="002B11CC"/>
    <w:rsid w:val="002B11F0"/>
    <w:rsid w:val="002B1269"/>
    <w:rsid w:val="002B12A5"/>
    <w:rsid w:val="002B1352"/>
    <w:rsid w:val="002B13D4"/>
    <w:rsid w:val="002B1452"/>
    <w:rsid w:val="002B145D"/>
    <w:rsid w:val="002B1466"/>
    <w:rsid w:val="002B14E6"/>
    <w:rsid w:val="002B1628"/>
    <w:rsid w:val="002B1810"/>
    <w:rsid w:val="002B187A"/>
    <w:rsid w:val="002B18A9"/>
    <w:rsid w:val="002B19E9"/>
    <w:rsid w:val="002B1A59"/>
    <w:rsid w:val="002B1AEB"/>
    <w:rsid w:val="002B1C44"/>
    <w:rsid w:val="002B1D01"/>
    <w:rsid w:val="002B1E50"/>
    <w:rsid w:val="002B1E87"/>
    <w:rsid w:val="002B1E9C"/>
    <w:rsid w:val="002B1F32"/>
    <w:rsid w:val="002B1F53"/>
    <w:rsid w:val="002B1FDB"/>
    <w:rsid w:val="002B20D1"/>
    <w:rsid w:val="002B2121"/>
    <w:rsid w:val="002B21F9"/>
    <w:rsid w:val="002B2280"/>
    <w:rsid w:val="002B22D8"/>
    <w:rsid w:val="002B2385"/>
    <w:rsid w:val="002B238E"/>
    <w:rsid w:val="002B2450"/>
    <w:rsid w:val="002B2459"/>
    <w:rsid w:val="002B245A"/>
    <w:rsid w:val="002B2562"/>
    <w:rsid w:val="002B2625"/>
    <w:rsid w:val="002B291E"/>
    <w:rsid w:val="002B2A0D"/>
    <w:rsid w:val="002B2B19"/>
    <w:rsid w:val="002B2BC9"/>
    <w:rsid w:val="002B2C61"/>
    <w:rsid w:val="002B2C83"/>
    <w:rsid w:val="002B2DAF"/>
    <w:rsid w:val="002B2DB1"/>
    <w:rsid w:val="002B2E83"/>
    <w:rsid w:val="002B2EC7"/>
    <w:rsid w:val="002B31C7"/>
    <w:rsid w:val="002B321D"/>
    <w:rsid w:val="002B32AD"/>
    <w:rsid w:val="002B3317"/>
    <w:rsid w:val="002B336A"/>
    <w:rsid w:val="002B3431"/>
    <w:rsid w:val="002B35E6"/>
    <w:rsid w:val="002B3601"/>
    <w:rsid w:val="002B3675"/>
    <w:rsid w:val="002B3781"/>
    <w:rsid w:val="002B3842"/>
    <w:rsid w:val="002B38D0"/>
    <w:rsid w:val="002B3959"/>
    <w:rsid w:val="002B399D"/>
    <w:rsid w:val="002B3AD4"/>
    <w:rsid w:val="002B3BC0"/>
    <w:rsid w:val="002B3C3A"/>
    <w:rsid w:val="002B3D42"/>
    <w:rsid w:val="002B3D82"/>
    <w:rsid w:val="002B3D8E"/>
    <w:rsid w:val="002B3DF5"/>
    <w:rsid w:val="002B3E3F"/>
    <w:rsid w:val="002B3EB5"/>
    <w:rsid w:val="002B3FEC"/>
    <w:rsid w:val="002B3FF1"/>
    <w:rsid w:val="002B3FFA"/>
    <w:rsid w:val="002B4099"/>
    <w:rsid w:val="002B40C0"/>
    <w:rsid w:val="002B40D4"/>
    <w:rsid w:val="002B421B"/>
    <w:rsid w:val="002B427C"/>
    <w:rsid w:val="002B4306"/>
    <w:rsid w:val="002B4414"/>
    <w:rsid w:val="002B4670"/>
    <w:rsid w:val="002B4734"/>
    <w:rsid w:val="002B47F1"/>
    <w:rsid w:val="002B485F"/>
    <w:rsid w:val="002B49EE"/>
    <w:rsid w:val="002B4A4A"/>
    <w:rsid w:val="002B4BB1"/>
    <w:rsid w:val="002B4BFA"/>
    <w:rsid w:val="002B4E9B"/>
    <w:rsid w:val="002B4EE7"/>
    <w:rsid w:val="002B4F12"/>
    <w:rsid w:val="002B4F8D"/>
    <w:rsid w:val="002B4F9F"/>
    <w:rsid w:val="002B4FB2"/>
    <w:rsid w:val="002B5163"/>
    <w:rsid w:val="002B5190"/>
    <w:rsid w:val="002B51E9"/>
    <w:rsid w:val="002B51EB"/>
    <w:rsid w:val="002B52B2"/>
    <w:rsid w:val="002B52CE"/>
    <w:rsid w:val="002B52F0"/>
    <w:rsid w:val="002B5389"/>
    <w:rsid w:val="002B5431"/>
    <w:rsid w:val="002B550B"/>
    <w:rsid w:val="002B5542"/>
    <w:rsid w:val="002B56AC"/>
    <w:rsid w:val="002B56DA"/>
    <w:rsid w:val="002B5745"/>
    <w:rsid w:val="002B57E5"/>
    <w:rsid w:val="002B5933"/>
    <w:rsid w:val="002B59D4"/>
    <w:rsid w:val="002B5A6F"/>
    <w:rsid w:val="002B5AB8"/>
    <w:rsid w:val="002B5B7F"/>
    <w:rsid w:val="002B5BD7"/>
    <w:rsid w:val="002B5C8B"/>
    <w:rsid w:val="002B5E6A"/>
    <w:rsid w:val="002B5FD8"/>
    <w:rsid w:val="002B601B"/>
    <w:rsid w:val="002B61FF"/>
    <w:rsid w:val="002B628A"/>
    <w:rsid w:val="002B62EF"/>
    <w:rsid w:val="002B630E"/>
    <w:rsid w:val="002B64F6"/>
    <w:rsid w:val="002B65A4"/>
    <w:rsid w:val="002B65B2"/>
    <w:rsid w:val="002B6645"/>
    <w:rsid w:val="002B669F"/>
    <w:rsid w:val="002B6733"/>
    <w:rsid w:val="002B68CA"/>
    <w:rsid w:val="002B68FD"/>
    <w:rsid w:val="002B69EE"/>
    <w:rsid w:val="002B6A80"/>
    <w:rsid w:val="002B6B2D"/>
    <w:rsid w:val="002B6BB1"/>
    <w:rsid w:val="002B6BB9"/>
    <w:rsid w:val="002B6D02"/>
    <w:rsid w:val="002B6D66"/>
    <w:rsid w:val="002B6D78"/>
    <w:rsid w:val="002B6DE0"/>
    <w:rsid w:val="002B6FDF"/>
    <w:rsid w:val="002B6FE4"/>
    <w:rsid w:val="002B7345"/>
    <w:rsid w:val="002B7443"/>
    <w:rsid w:val="002B748F"/>
    <w:rsid w:val="002B7551"/>
    <w:rsid w:val="002B7624"/>
    <w:rsid w:val="002B764D"/>
    <w:rsid w:val="002B76C2"/>
    <w:rsid w:val="002B7767"/>
    <w:rsid w:val="002B77D0"/>
    <w:rsid w:val="002B780A"/>
    <w:rsid w:val="002B780E"/>
    <w:rsid w:val="002B78A1"/>
    <w:rsid w:val="002B78AF"/>
    <w:rsid w:val="002B795A"/>
    <w:rsid w:val="002B7960"/>
    <w:rsid w:val="002B7B0E"/>
    <w:rsid w:val="002B7B48"/>
    <w:rsid w:val="002B7B6A"/>
    <w:rsid w:val="002B7C1B"/>
    <w:rsid w:val="002B7C7C"/>
    <w:rsid w:val="002B7D12"/>
    <w:rsid w:val="002B7D33"/>
    <w:rsid w:val="002B7ECD"/>
    <w:rsid w:val="002B7ED6"/>
    <w:rsid w:val="002B7F09"/>
    <w:rsid w:val="002B7F6D"/>
    <w:rsid w:val="002B7F8D"/>
    <w:rsid w:val="002C00B3"/>
    <w:rsid w:val="002C01E7"/>
    <w:rsid w:val="002C0276"/>
    <w:rsid w:val="002C02BC"/>
    <w:rsid w:val="002C0364"/>
    <w:rsid w:val="002C03CF"/>
    <w:rsid w:val="002C0487"/>
    <w:rsid w:val="002C04CF"/>
    <w:rsid w:val="002C04FB"/>
    <w:rsid w:val="002C055B"/>
    <w:rsid w:val="002C0632"/>
    <w:rsid w:val="002C0749"/>
    <w:rsid w:val="002C09DE"/>
    <w:rsid w:val="002C0A48"/>
    <w:rsid w:val="002C0A49"/>
    <w:rsid w:val="002C0A7C"/>
    <w:rsid w:val="002C0B08"/>
    <w:rsid w:val="002C0B7D"/>
    <w:rsid w:val="002C0BED"/>
    <w:rsid w:val="002C0BF1"/>
    <w:rsid w:val="002C0BF7"/>
    <w:rsid w:val="002C0C47"/>
    <w:rsid w:val="002C0CA9"/>
    <w:rsid w:val="002C0D1F"/>
    <w:rsid w:val="002C0D48"/>
    <w:rsid w:val="002C0D57"/>
    <w:rsid w:val="002C0DDB"/>
    <w:rsid w:val="002C0E54"/>
    <w:rsid w:val="002C0FBF"/>
    <w:rsid w:val="002C106C"/>
    <w:rsid w:val="002C10A3"/>
    <w:rsid w:val="002C10EE"/>
    <w:rsid w:val="002C1314"/>
    <w:rsid w:val="002C1343"/>
    <w:rsid w:val="002C13FD"/>
    <w:rsid w:val="002C154D"/>
    <w:rsid w:val="002C157E"/>
    <w:rsid w:val="002C15C0"/>
    <w:rsid w:val="002C15CB"/>
    <w:rsid w:val="002C1681"/>
    <w:rsid w:val="002C16F5"/>
    <w:rsid w:val="002C170E"/>
    <w:rsid w:val="002C1768"/>
    <w:rsid w:val="002C17A4"/>
    <w:rsid w:val="002C1917"/>
    <w:rsid w:val="002C1950"/>
    <w:rsid w:val="002C1A86"/>
    <w:rsid w:val="002C1B02"/>
    <w:rsid w:val="002C1BC0"/>
    <w:rsid w:val="002C1C4D"/>
    <w:rsid w:val="002C1D3D"/>
    <w:rsid w:val="002C1D56"/>
    <w:rsid w:val="002C1E66"/>
    <w:rsid w:val="002C1EE7"/>
    <w:rsid w:val="002C1EF0"/>
    <w:rsid w:val="002C2114"/>
    <w:rsid w:val="002C212A"/>
    <w:rsid w:val="002C2152"/>
    <w:rsid w:val="002C219D"/>
    <w:rsid w:val="002C2209"/>
    <w:rsid w:val="002C2222"/>
    <w:rsid w:val="002C2391"/>
    <w:rsid w:val="002C24DD"/>
    <w:rsid w:val="002C2514"/>
    <w:rsid w:val="002C2549"/>
    <w:rsid w:val="002C25B0"/>
    <w:rsid w:val="002C264E"/>
    <w:rsid w:val="002C2736"/>
    <w:rsid w:val="002C27D4"/>
    <w:rsid w:val="002C2948"/>
    <w:rsid w:val="002C29B8"/>
    <w:rsid w:val="002C29E8"/>
    <w:rsid w:val="002C2A19"/>
    <w:rsid w:val="002C2ACF"/>
    <w:rsid w:val="002C2B29"/>
    <w:rsid w:val="002C2D1C"/>
    <w:rsid w:val="002C2E20"/>
    <w:rsid w:val="002C2F32"/>
    <w:rsid w:val="002C2FD0"/>
    <w:rsid w:val="002C2FD6"/>
    <w:rsid w:val="002C30DD"/>
    <w:rsid w:val="002C3301"/>
    <w:rsid w:val="002C330C"/>
    <w:rsid w:val="002C3315"/>
    <w:rsid w:val="002C3322"/>
    <w:rsid w:val="002C3339"/>
    <w:rsid w:val="002C3434"/>
    <w:rsid w:val="002C34B2"/>
    <w:rsid w:val="002C3534"/>
    <w:rsid w:val="002C3555"/>
    <w:rsid w:val="002C3596"/>
    <w:rsid w:val="002C35D9"/>
    <w:rsid w:val="002C3761"/>
    <w:rsid w:val="002C37B7"/>
    <w:rsid w:val="002C37C9"/>
    <w:rsid w:val="002C3847"/>
    <w:rsid w:val="002C38B6"/>
    <w:rsid w:val="002C3A5D"/>
    <w:rsid w:val="002C3AB2"/>
    <w:rsid w:val="002C3B06"/>
    <w:rsid w:val="002C3B1C"/>
    <w:rsid w:val="002C3B52"/>
    <w:rsid w:val="002C3BB6"/>
    <w:rsid w:val="002C3BF8"/>
    <w:rsid w:val="002C3C10"/>
    <w:rsid w:val="002C3C34"/>
    <w:rsid w:val="002C3D33"/>
    <w:rsid w:val="002C3E16"/>
    <w:rsid w:val="002C3E33"/>
    <w:rsid w:val="002C3F05"/>
    <w:rsid w:val="002C4164"/>
    <w:rsid w:val="002C4172"/>
    <w:rsid w:val="002C41E6"/>
    <w:rsid w:val="002C425D"/>
    <w:rsid w:val="002C4304"/>
    <w:rsid w:val="002C43E1"/>
    <w:rsid w:val="002C444E"/>
    <w:rsid w:val="002C45EE"/>
    <w:rsid w:val="002C4660"/>
    <w:rsid w:val="002C4746"/>
    <w:rsid w:val="002C4797"/>
    <w:rsid w:val="002C47B4"/>
    <w:rsid w:val="002C4908"/>
    <w:rsid w:val="002C4938"/>
    <w:rsid w:val="002C4970"/>
    <w:rsid w:val="002C4983"/>
    <w:rsid w:val="002C4A29"/>
    <w:rsid w:val="002C4AB2"/>
    <w:rsid w:val="002C4B3E"/>
    <w:rsid w:val="002C4BD3"/>
    <w:rsid w:val="002C4C00"/>
    <w:rsid w:val="002C4C82"/>
    <w:rsid w:val="002C4C9A"/>
    <w:rsid w:val="002C4D74"/>
    <w:rsid w:val="002C4D80"/>
    <w:rsid w:val="002C4D93"/>
    <w:rsid w:val="002C4E8D"/>
    <w:rsid w:val="002C4EB9"/>
    <w:rsid w:val="002C4F31"/>
    <w:rsid w:val="002C4F33"/>
    <w:rsid w:val="002C4F77"/>
    <w:rsid w:val="002C4F88"/>
    <w:rsid w:val="002C4FA1"/>
    <w:rsid w:val="002C503A"/>
    <w:rsid w:val="002C51BC"/>
    <w:rsid w:val="002C5268"/>
    <w:rsid w:val="002C5287"/>
    <w:rsid w:val="002C535A"/>
    <w:rsid w:val="002C5381"/>
    <w:rsid w:val="002C544E"/>
    <w:rsid w:val="002C54A0"/>
    <w:rsid w:val="002C551F"/>
    <w:rsid w:val="002C573F"/>
    <w:rsid w:val="002C5742"/>
    <w:rsid w:val="002C5778"/>
    <w:rsid w:val="002C5808"/>
    <w:rsid w:val="002C5882"/>
    <w:rsid w:val="002C591B"/>
    <w:rsid w:val="002C5AF7"/>
    <w:rsid w:val="002C5E08"/>
    <w:rsid w:val="002C5E76"/>
    <w:rsid w:val="002C6008"/>
    <w:rsid w:val="002C609A"/>
    <w:rsid w:val="002C63BF"/>
    <w:rsid w:val="002C644F"/>
    <w:rsid w:val="002C64EC"/>
    <w:rsid w:val="002C6513"/>
    <w:rsid w:val="002C652C"/>
    <w:rsid w:val="002C6643"/>
    <w:rsid w:val="002C665D"/>
    <w:rsid w:val="002C666E"/>
    <w:rsid w:val="002C6671"/>
    <w:rsid w:val="002C684F"/>
    <w:rsid w:val="002C68F8"/>
    <w:rsid w:val="002C6951"/>
    <w:rsid w:val="002C69B2"/>
    <w:rsid w:val="002C6AAF"/>
    <w:rsid w:val="002C6B06"/>
    <w:rsid w:val="002C6B9B"/>
    <w:rsid w:val="002C6C6E"/>
    <w:rsid w:val="002C6CE9"/>
    <w:rsid w:val="002C6D18"/>
    <w:rsid w:val="002C6D1A"/>
    <w:rsid w:val="002C6EDF"/>
    <w:rsid w:val="002C6FA1"/>
    <w:rsid w:val="002C6FB3"/>
    <w:rsid w:val="002C6FC1"/>
    <w:rsid w:val="002C6FDA"/>
    <w:rsid w:val="002C6FE0"/>
    <w:rsid w:val="002C6FEB"/>
    <w:rsid w:val="002C7005"/>
    <w:rsid w:val="002C70A5"/>
    <w:rsid w:val="002C7128"/>
    <w:rsid w:val="002C71E2"/>
    <w:rsid w:val="002C7219"/>
    <w:rsid w:val="002C725C"/>
    <w:rsid w:val="002C7308"/>
    <w:rsid w:val="002C756C"/>
    <w:rsid w:val="002C7790"/>
    <w:rsid w:val="002C77B6"/>
    <w:rsid w:val="002C78F1"/>
    <w:rsid w:val="002C7929"/>
    <w:rsid w:val="002C79BE"/>
    <w:rsid w:val="002C7A61"/>
    <w:rsid w:val="002C7AA3"/>
    <w:rsid w:val="002C7B30"/>
    <w:rsid w:val="002C7BE7"/>
    <w:rsid w:val="002C7C21"/>
    <w:rsid w:val="002C7DA4"/>
    <w:rsid w:val="002C7F05"/>
    <w:rsid w:val="002D0066"/>
    <w:rsid w:val="002D00BE"/>
    <w:rsid w:val="002D0132"/>
    <w:rsid w:val="002D0208"/>
    <w:rsid w:val="002D0252"/>
    <w:rsid w:val="002D029D"/>
    <w:rsid w:val="002D03A1"/>
    <w:rsid w:val="002D0472"/>
    <w:rsid w:val="002D04E9"/>
    <w:rsid w:val="002D0568"/>
    <w:rsid w:val="002D06B5"/>
    <w:rsid w:val="002D0834"/>
    <w:rsid w:val="002D08DD"/>
    <w:rsid w:val="002D0A4D"/>
    <w:rsid w:val="002D0ACD"/>
    <w:rsid w:val="002D0D68"/>
    <w:rsid w:val="002D0DDD"/>
    <w:rsid w:val="002D0DE6"/>
    <w:rsid w:val="002D0EB7"/>
    <w:rsid w:val="002D0F23"/>
    <w:rsid w:val="002D0FB6"/>
    <w:rsid w:val="002D10D2"/>
    <w:rsid w:val="002D122D"/>
    <w:rsid w:val="002D1249"/>
    <w:rsid w:val="002D1272"/>
    <w:rsid w:val="002D1283"/>
    <w:rsid w:val="002D12CC"/>
    <w:rsid w:val="002D132D"/>
    <w:rsid w:val="002D1373"/>
    <w:rsid w:val="002D13BE"/>
    <w:rsid w:val="002D13FF"/>
    <w:rsid w:val="002D14C0"/>
    <w:rsid w:val="002D14C3"/>
    <w:rsid w:val="002D172F"/>
    <w:rsid w:val="002D178B"/>
    <w:rsid w:val="002D178E"/>
    <w:rsid w:val="002D17B5"/>
    <w:rsid w:val="002D1880"/>
    <w:rsid w:val="002D18D0"/>
    <w:rsid w:val="002D198E"/>
    <w:rsid w:val="002D1A68"/>
    <w:rsid w:val="002D1A76"/>
    <w:rsid w:val="002D1CCB"/>
    <w:rsid w:val="002D1D1E"/>
    <w:rsid w:val="002D1D9C"/>
    <w:rsid w:val="002D1DED"/>
    <w:rsid w:val="002D1E58"/>
    <w:rsid w:val="002D1FA5"/>
    <w:rsid w:val="002D211B"/>
    <w:rsid w:val="002D2126"/>
    <w:rsid w:val="002D215C"/>
    <w:rsid w:val="002D2170"/>
    <w:rsid w:val="002D2177"/>
    <w:rsid w:val="002D21B7"/>
    <w:rsid w:val="002D2216"/>
    <w:rsid w:val="002D226F"/>
    <w:rsid w:val="002D22E9"/>
    <w:rsid w:val="002D23CA"/>
    <w:rsid w:val="002D24F5"/>
    <w:rsid w:val="002D250E"/>
    <w:rsid w:val="002D26F0"/>
    <w:rsid w:val="002D285C"/>
    <w:rsid w:val="002D28EB"/>
    <w:rsid w:val="002D2972"/>
    <w:rsid w:val="002D29E0"/>
    <w:rsid w:val="002D2A5E"/>
    <w:rsid w:val="002D2AA5"/>
    <w:rsid w:val="002D2AC2"/>
    <w:rsid w:val="002D2B2F"/>
    <w:rsid w:val="002D2C64"/>
    <w:rsid w:val="002D2C7C"/>
    <w:rsid w:val="002D2CCB"/>
    <w:rsid w:val="002D2D56"/>
    <w:rsid w:val="002D2D61"/>
    <w:rsid w:val="002D2D68"/>
    <w:rsid w:val="002D2E7F"/>
    <w:rsid w:val="002D2EDF"/>
    <w:rsid w:val="002D2F93"/>
    <w:rsid w:val="002D3056"/>
    <w:rsid w:val="002D317B"/>
    <w:rsid w:val="002D31D2"/>
    <w:rsid w:val="002D33D3"/>
    <w:rsid w:val="002D3492"/>
    <w:rsid w:val="002D35B9"/>
    <w:rsid w:val="002D35C0"/>
    <w:rsid w:val="002D35C1"/>
    <w:rsid w:val="002D35C8"/>
    <w:rsid w:val="002D36A0"/>
    <w:rsid w:val="002D3772"/>
    <w:rsid w:val="002D37A2"/>
    <w:rsid w:val="002D3876"/>
    <w:rsid w:val="002D38AE"/>
    <w:rsid w:val="002D3943"/>
    <w:rsid w:val="002D395F"/>
    <w:rsid w:val="002D3966"/>
    <w:rsid w:val="002D3A38"/>
    <w:rsid w:val="002D3A5B"/>
    <w:rsid w:val="002D3B82"/>
    <w:rsid w:val="002D3DD1"/>
    <w:rsid w:val="002D3F0B"/>
    <w:rsid w:val="002D3F91"/>
    <w:rsid w:val="002D3FF8"/>
    <w:rsid w:val="002D4061"/>
    <w:rsid w:val="002D4078"/>
    <w:rsid w:val="002D40D9"/>
    <w:rsid w:val="002D419E"/>
    <w:rsid w:val="002D423F"/>
    <w:rsid w:val="002D42A6"/>
    <w:rsid w:val="002D4337"/>
    <w:rsid w:val="002D43E3"/>
    <w:rsid w:val="002D4465"/>
    <w:rsid w:val="002D4690"/>
    <w:rsid w:val="002D46C1"/>
    <w:rsid w:val="002D473E"/>
    <w:rsid w:val="002D4987"/>
    <w:rsid w:val="002D4A03"/>
    <w:rsid w:val="002D4C44"/>
    <w:rsid w:val="002D4CBF"/>
    <w:rsid w:val="002D4CC1"/>
    <w:rsid w:val="002D4CFF"/>
    <w:rsid w:val="002D4DE9"/>
    <w:rsid w:val="002D4E17"/>
    <w:rsid w:val="002D4E5C"/>
    <w:rsid w:val="002D4E81"/>
    <w:rsid w:val="002D4EEC"/>
    <w:rsid w:val="002D4F04"/>
    <w:rsid w:val="002D4FA6"/>
    <w:rsid w:val="002D502C"/>
    <w:rsid w:val="002D50D9"/>
    <w:rsid w:val="002D5134"/>
    <w:rsid w:val="002D515D"/>
    <w:rsid w:val="002D51E6"/>
    <w:rsid w:val="002D5224"/>
    <w:rsid w:val="002D52D0"/>
    <w:rsid w:val="002D53FF"/>
    <w:rsid w:val="002D5504"/>
    <w:rsid w:val="002D563E"/>
    <w:rsid w:val="002D56A8"/>
    <w:rsid w:val="002D58C3"/>
    <w:rsid w:val="002D5988"/>
    <w:rsid w:val="002D5A05"/>
    <w:rsid w:val="002D5AC4"/>
    <w:rsid w:val="002D5AE8"/>
    <w:rsid w:val="002D5B74"/>
    <w:rsid w:val="002D5B95"/>
    <w:rsid w:val="002D5C77"/>
    <w:rsid w:val="002D5C96"/>
    <w:rsid w:val="002D5C99"/>
    <w:rsid w:val="002D5CE6"/>
    <w:rsid w:val="002D5CF1"/>
    <w:rsid w:val="002D5CF6"/>
    <w:rsid w:val="002D5D2D"/>
    <w:rsid w:val="002D5DA1"/>
    <w:rsid w:val="002D5DC1"/>
    <w:rsid w:val="002D5DF2"/>
    <w:rsid w:val="002D5F5E"/>
    <w:rsid w:val="002D6005"/>
    <w:rsid w:val="002D6025"/>
    <w:rsid w:val="002D607E"/>
    <w:rsid w:val="002D6083"/>
    <w:rsid w:val="002D60D3"/>
    <w:rsid w:val="002D6142"/>
    <w:rsid w:val="002D614C"/>
    <w:rsid w:val="002D62AD"/>
    <w:rsid w:val="002D62B9"/>
    <w:rsid w:val="002D62F6"/>
    <w:rsid w:val="002D6341"/>
    <w:rsid w:val="002D642F"/>
    <w:rsid w:val="002D65CC"/>
    <w:rsid w:val="002D66A9"/>
    <w:rsid w:val="002D6724"/>
    <w:rsid w:val="002D67D0"/>
    <w:rsid w:val="002D67ED"/>
    <w:rsid w:val="002D6826"/>
    <w:rsid w:val="002D68CD"/>
    <w:rsid w:val="002D6953"/>
    <w:rsid w:val="002D6961"/>
    <w:rsid w:val="002D6970"/>
    <w:rsid w:val="002D6985"/>
    <w:rsid w:val="002D6B12"/>
    <w:rsid w:val="002D6BE6"/>
    <w:rsid w:val="002D6CFB"/>
    <w:rsid w:val="002D6E2F"/>
    <w:rsid w:val="002D6F9C"/>
    <w:rsid w:val="002D6FED"/>
    <w:rsid w:val="002D7018"/>
    <w:rsid w:val="002D7082"/>
    <w:rsid w:val="002D7191"/>
    <w:rsid w:val="002D71A4"/>
    <w:rsid w:val="002D7213"/>
    <w:rsid w:val="002D724C"/>
    <w:rsid w:val="002D736C"/>
    <w:rsid w:val="002D73DE"/>
    <w:rsid w:val="002D7551"/>
    <w:rsid w:val="002D75C2"/>
    <w:rsid w:val="002D75FD"/>
    <w:rsid w:val="002D7654"/>
    <w:rsid w:val="002D7737"/>
    <w:rsid w:val="002D7738"/>
    <w:rsid w:val="002D7779"/>
    <w:rsid w:val="002D78DD"/>
    <w:rsid w:val="002D7A2D"/>
    <w:rsid w:val="002D7B19"/>
    <w:rsid w:val="002D7B22"/>
    <w:rsid w:val="002D7B24"/>
    <w:rsid w:val="002D7B4D"/>
    <w:rsid w:val="002D7BBD"/>
    <w:rsid w:val="002D7BDD"/>
    <w:rsid w:val="002D7D71"/>
    <w:rsid w:val="002D7EED"/>
    <w:rsid w:val="002D7FAB"/>
    <w:rsid w:val="002E0014"/>
    <w:rsid w:val="002E00DC"/>
    <w:rsid w:val="002E0270"/>
    <w:rsid w:val="002E03A5"/>
    <w:rsid w:val="002E03DD"/>
    <w:rsid w:val="002E042B"/>
    <w:rsid w:val="002E053F"/>
    <w:rsid w:val="002E05D8"/>
    <w:rsid w:val="002E0661"/>
    <w:rsid w:val="002E0664"/>
    <w:rsid w:val="002E0666"/>
    <w:rsid w:val="002E06B5"/>
    <w:rsid w:val="002E0757"/>
    <w:rsid w:val="002E0764"/>
    <w:rsid w:val="002E076B"/>
    <w:rsid w:val="002E07CB"/>
    <w:rsid w:val="002E08D5"/>
    <w:rsid w:val="002E08FE"/>
    <w:rsid w:val="002E095B"/>
    <w:rsid w:val="002E0966"/>
    <w:rsid w:val="002E09C9"/>
    <w:rsid w:val="002E0AA7"/>
    <w:rsid w:val="002E0B53"/>
    <w:rsid w:val="002E0C9D"/>
    <w:rsid w:val="002E0CF9"/>
    <w:rsid w:val="002E0D6D"/>
    <w:rsid w:val="002E0D9D"/>
    <w:rsid w:val="002E0DE1"/>
    <w:rsid w:val="002E0E86"/>
    <w:rsid w:val="002E0F75"/>
    <w:rsid w:val="002E1086"/>
    <w:rsid w:val="002E11F4"/>
    <w:rsid w:val="002E1219"/>
    <w:rsid w:val="002E1251"/>
    <w:rsid w:val="002E1254"/>
    <w:rsid w:val="002E1579"/>
    <w:rsid w:val="002E1585"/>
    <w:rsid w:val="002E15D5"/>
    <w:rsid w:val="002E15FD"/>
    <w:rsid w:val="002E163A"/>
    <w:rsid w:val="002E163E"/>
    <w:rsid w:val="002E16DD"/>
    <w:rsid w:val="002E171D"/>
    <w:rsid w:val="002E17EE"/>
    <w:rsid w:val="002E1897"/>
    <w:rsid w:val="002E18CF"/>
    <w:rsid w:val="002E18E0"/>
    <w:rsid w:val="002E1A95"/>
    <w:rsid w:val="002E1AC5"/>
    <w:rsid w:val="002E1BC0"/>
    <w:rsid w:val="002E1BE3"/>
    <w:rsid w:val="002E1BFB"/>
    <w:rsid w:val="002E1D86"/>
    <w:rsid w:val="002E1E00"/>
    <w:rsid w:val="002E1EA2"/>
    <w:rsid w:val="002E1EB2"/>
    <w:rsid w:val="002E1EE6"/>
    <w:rsid w:val="002E1F4E"/>
    <w:rsid w:val="002E1FC6"/>
    <w:rsid w:val="002E208D"/>
    <w:rsid w:val="002E209F"/>
    <w:rsid w:val="002E20C0"/>
    <w:rsid w:val="002E20FD"/>
    <w:rsid w:val="002E2176"/>
    <w:rsid w:val="002E218B"/>
    <w:rsid w:val="002E21D4"/>
    <w:rsid w:val="002E24C8"/>
    <w:rsid w:val="002E258B"/>
    <w:rsid w:val="002E25E0"/>
    <w:rsid w:val="002E2642"/>
    <w:rsid w:val="002E2782"/>
    <w:rsid w:val="002E27B5"/>
    <w:rsid w:val="002E28B7"/>
    <w:rsid w:val="002E28F5"/>
    <w:rsid w:val="002E29AF"/>
    <w:rsid w:val="002E2B55"/>
    <w:rsid w:val="002E2BA3"/>
    <w:rsid w:val="002E2BDF"/>
    <w:rsid w:val="002E2BE8"/>
    <w:rsid w:val="002E2BFF"/>
    <w:rsid w:val="002E2C93"/>
    <w:rsid w:val="002E2E43"/>
    <w:rsid w:val="002E2E5E"/>
    <w:rsid w:val="002E2E83"/>
    <w:rsid w:val="002E2F5C"/>
    <w:rsid w:val="002E2FF6"/>
    <w:rsid w:val="002E303B"/>
    <w:rsid w:val="002E304D"/>
    <w:rsid w:val="002E30AC"/>
    <w:rsid w:val="002E315D"/>
    <w:rsid w:val="002E3201"/>
    <w:rsid w:val="002E325F"/>
    <w:rsid w:val="002E335D"/>
    <w:rsid w:val="002E3470"/>
    <w:rsid w:val="002E347F"/>
    <w:rsid w:val="002E34DF"/>
    <w:rsid w:val="002E353B"/>
    <w:rsid w:val="002E3646"/>
    <w:rsid w:val="002E36B4"/>
    <w:rsid w:val="002E3788"/>
    <w:rsid w:val="002E37F6"/>
    <w:rsid w:val="002E398E"/>
    <w:rsid w:val="002E39F6"/>
    <w:rsid w:val="002E3AEB"/>
    <w:rsid w:val="002E3B59"/>
    <w:rsid w:val="002E3B9D"/>
    <w:rsid w:val="002E3C05"/>
    <w:rsid w:val="002E3C57"/>
    <w:rsid w:val="002E3CEC"/>
    <w:rsid w:val="002E3E44"/>
    <w:rsid w:val="002E3F51"/>
    <w:rsid w:val="002E3FA6"/>
    <w:rsid w:val="002E3FE2"/>
    <w:rsid w:val="002E40F7"/>
    <w:rsid w:val="002E411F"/>
    <w:rsid w:val="002E416A"/>
    <w:rsid w:val="002E41A8"/>
    <w:rsid w:val="002E425F"/>
    <w:rsid w:val="002E43F4"/>
    <w:rsid w:val="002E447C"/>
    <w:rsid w:val="002E449F"/>
    <w:rsid w:val="002E44F0"/>
    <w:rsid w:val="002E4596"/>
    <w:rsid w:val="002E4645"/>
    <w:rsid w:val="002E4720"/>
    <w:rsid w:val="002E48E4"/>
    <w:rsid w:val="002E4915"/>
    <w:rsid w:val="002E4969"/>
    <w:rsid w:val="002E4AB4"/>
    <w:rsid w:val="002E4B6C"/>
    <w:rsid w:val="002E4EB3"/>
    <w:rsid w:val="002E4FAE"/>
    <w:rsid w:val="002E5014"/>
    <w:rsid w:val="002E5055"/>
    <w:rsid w:val="002E50E2"/>
    <w:rsid w:val="002E5109"/>
    <w:rsid w:val="002E51D2"/>
    <w:rsid w:val="002E522D"/>
    <w:rsid w:val="002E537C"/>
    <w:rsid w:val="002E53FF"/>
    <w:rsid w:val="002E54A2"/>
    <w:rsid w:val="002E54B0"/>
    <w:rsid w:val="002E55C8"/>
    <w:rsid w:val="002E566E"/>
    <w:rsid w:val="002E5782"/>
    <w:rsid w:val="002E57F9"/>
    <w:rsid w:val="002E581F"/>
    <w:rsid w:val="002E58D9"/>
    <w:rsid w:val="002E5AD5"/>
    <w:rsid w:val="002E5B15"/>
    <w:rsid w:val="002E5BFA"/>
    <w:rsid w:val="002E5C21"/>
    <w:rsid w:val="002E5C2A"/>
    <w:rsid w:val="002E5C66"/>
    <w:rsid w:val="002E5CD8"/>
    <w:rsid w:val="002E5DF1"/>
    <w:rsid w:val="002E5E28"/>
    <w:rsid w:val="002E5E6F"/>
    <w:rsid w:val="002E5EAE"/>
    <w:rsid w:val="002E5F01"/>
    <w:rsid w:val="002E6001"/>
    <w:rsid w:val="002E606C"/>
    <w:rsid w:val="002E60A1"/>
    <w:rsid w:val="002E6201"/>
    <w:rsid w:val="002E6236"/>
    <w:rsid w:val="002E623E"/>
    <w:rsid w:val="002E64CA"/>
    <w:rsid w:val="002E6588"/>
    <w:rsid w:val="002E661D"/>
    <w:rsid w:val="002E67C3"/>
    <w:rsid w:val="002E6802"/>
    <w:rsid w:val="002E6825"/>
    <w:rsid w:val="002E68A8"/>
    <w:rsid w:val="002E68B7"/>
    <w:rsid w:val="002E68DA"/>
    <w:rsid w:val="002E6934"/>
    <w:rsid w:val="002E6ADF"/>
    <w:rsid w:val="002E6B66"/>
    <w:rsid w:val="002E6BAB"/>
    <w:rsid w:val="002E6BDC"/>
    <w:rsid w:val="002E6CCD"/>
    <w:rsid w:val="002E6D60"/>
    <w:rsid w:val="002E6DB1"/>
    <w:rsid w:val="002E6F00"/>
    <w:rsid w:val="002E6F74"/>
    <w:rsid w:val="002E6FAC"/>
    <w:rsid w:val="002E6FDC"/>
    <w:rsid w:val="002E719A"/>
    <w:rsid w:val="002E7298"/>
    <w:rsid w:val="002E75DB"/>
    <w:rsid w:val="002E75DE"/>
    <w:rsid w:val="002E761F"/>
    <w:rsid w:val="002E7655"/>
    <w:rsid w:val="002E76DE"/>
    <w:rsid w:val="002E7737"/>
    <w:rsid w:val="002E77BC"/>
    <w:rsid w:val="002E77FA"/>
    <w:rsid w:val="002E7812"/>
    <w:rsid w:val="002E78B0"/>
    <w:rsid w:val="002E78BF"/>
    <w:rsid w:val="002E78E0"/>
    <w:rsid w:val="002E7909"/>
    <w:rsid w:val="002E7A75"/>
    <w:rsid w:val="002E7ADC"/>
    <w:rsid w:val="002E7C13"/>
    <w:rsid w:val="002E7D14"/>
    <w:rsid w:val="002E7F4C"/>
    <w:rsid w:val="002E7FAE"/>
    <w:rsid w:val="002E8E87"/>
    <w:rsid w:val="002F0122"/>
    <w:rsid w:val="002F01CE"/>
    <w:rsid w:val="002F0222"/>
    <w:rsid w:val="002F02F9"/>
    <w:rsid w:val="002F032C"/>
    <w:rsid w:val="002F037B"/>
    <w:rsid w:val="002F03D9"/>
    <w:rsid w:val="002F0408"/>
    <w:rsid w:val="002F0437"/>
    <w:rsid w:val="002F0472"/>
    <w:rsid w:val="002F0591"/>
    <w:rsid w:val="002F05B9"/>
    <w:rsid w:val="002F06B3"/>
    <w:rsid w:val="002F06F0"/>
    <w:rsid w:val="002F06F1"/>
    <w:rsid w:val="002F09A7"/>
    <w:rsid w:val="002F09B8"/>
    <w:rsid w:val="002F0A0A"/>
    <w:rsid w:val="002F0A9F"/>
    <w:rsid w:val="002F0AA2"/>
    <w:rsid w:val="002F0BA6"/>
    <w:rsid w:val="002F0C40"/>
    <w:rsid w:val="002F0C45"/>
    <w:rsid w:val="002F0C95"/>
    <w:rsid w:val="002F0CD4"/>
    <w:rsid w:val="002F0CEF"/>
    <w:rsid w:val="002F0D13"/>
    <w:rsid w:val="002F0E53"/>
    <w:rsid w:val="002F1022"/>
    <w:rsid w:val="002F1052"/>
    <w:rsid w:val="002F108C"/>
    <w:rsid w:val="002F11B7"/>
    <w:rsid w:val="002F1216"/>
    <w:rsid w:val="002F1249"/>
    <w:rsid w:val="002F12B1"/>
    <w:rsid w:val="002F12F5"/>
    <w:rsid w:val="002F154E"/>
    <w:rsid w:val="002F158F"/>
    <w:rsid w:val="002F15AD"/>
    <w:rsid w:val="002F1601"/>
    <w:rsid w:val="002F162D"/>
    <w:rsid w:val="002F1697"/>
    <w:rsid w:val="002F1704"/>
    <w:rsid w:val="002F1787"/>
    <w:rsid w:val="002F1827"/>
    <w:rsid w:val="002F183A"/>
    <w:rsid w:val="002F18C5"/>
    <w:rsid w:val="002F191F"/>
    <w:rsid w:val="002F1A2A"/>
    <w:rsid w:val="002F1AF1"/>
    <w:rsid w:val="002F1B2A"/>
    <w:rsid w:val="002F1B5A"/>
    <w:rsid w:val="002F1BC0"/>
    <w:rsid w:val="002F1BE8"/>
    <w:rsid w:val="002F1C2F"/>
    <w:rsid w:val="002F1C35"/>
    <w:rsid w:val="002F1C7D"/>
    <w:rsid w:val="002F1CC7"/>
    <w:rsid w:val="002F1FDF"/>
    <w:rsid w:val="002F2053"/>
    <w:rsid w:val="002F2061"/>
    <w:rsid w:val="002F20CB"/>
    <w:rsid w:val="002F212E"/>
    <w:rsid w:val="002F23E7"/>
    <w:rsid w:val="002F24BF"/>
    <w:rsid w:val="002F24E5"/>
    <w:rsid w:val="002F268B"/>
    <w:rsid w:val="002F26CA"/>
    <w:rsid w:val="002F27A8"/>
    <w:rsid w:val="002F27F9"/>
    <w:rsid w:val="002F2831"/>
    <w:rsid w:val="002F28B1"/>
    <w:rsid w:val="002F28C8"/>
    <w:rsid w:val="002F28D6"/>
    <w:rsid w:val="002F2916"/>
    <w:rsid w:val="002F295E"/>
    <w:rsid w:val="002F2A63"/>
    <w:rsid w:val="002F2E21"/>
    <w:rsid w:val="002F2E28"/>
    <w:rsid w:val="002F2E67"/>
    <w:rsid w:val="002F2F5D"/>
    <w:rsid w:val="002F2FD6"/>
    <w:rsid w:val="002F31D3"/>
    <w:rsid w:val="002F3229"/>
    <w:rsid w:val="002F336F"/>
    <w:rsid w:val="002F3384"/>
    <w:rsid w:val="002F3447"/>
    <w:rsid w:val="002F34A2"/>
    <w:rsid w:val="002F34A9"/>
    <w:rsid w:val="002F34BE"/>
    <w:rsid w:val="002F35B3"/>
    <w:rsid w:val="002F35EF"/>
    <w:rsid w:val="002F36B9"/>
    <w:rsid w:val="002F36C7"/>
    <w:rsid w:val="002F36DC"/>
    <w:rsid w:val="002F36EA"/>
    <w:rsid w:val="002F3747"/>
    <w:rsid w:val="002F3AA5"/>
    <w:rsid w:val="002F3AF6"/>
    <w:rsid w:val="002F3C49"/>
    <w:rsid w:val="002F3C71"/>
    <w:rsid w:val="002F3D1F"/>
    <w:rsid w:val="002F3D50"/>
    <w:rsid w:val="002F3F2B"/>
    <w:rsid w:val="002F3F94"/>
    <w:rsid w:val="002F3FBD"/>
    <w:rsid w:val="002F4121"/>
    <w:rsid w:val="002F423E"/>
    <w:rsid w:val="002F43B7"/>
    <w:rsid w:val="002F43CB"/>
    <w:rsid w:val="002F4440"/>
    <w:rsid w:val="002F44AD"/>
    <w:rsid w:val="002F44D0"/>
    <w:rsid w:val="002F4549"/>
    <w:rsid w:val="002F4556"/>
    <w:rsid w:val="002F460B"/>
    <w:rsid w:val="002F4615"/>
    <w:rsid w:val="002F4656"/>
    <w:rsid w:val="002F4675"/>
    <w:rsid w:val="002F478C"/>
    <w:rsid w:val="002F48F6"/>
    <w:rsid w:val="002F48F9"/>
    <w:rsid w:val="002F492D"/>
    <w:rsid w:val="002F4A3F"/>
    <w:rsid w:val="002F4AFB"/>
    <w:rsid w:val="002F4B8A"/>
    <w:rsid w:val="002F4E35"/>
    <w:rsid w:val="002F4E8C"/>
    <w:rsid w:val="002F4E9D"/>
    <w:rsid w:val="002F4EA6"/>
    <w:rsid w:val="002F5016"/>
    <w:rsid w:val="002F50D7"/>
    <w:rsid w:val="002F5124"/>
    <w:rsid w:val="002F515F"/>
    <w:rsid w:val="002F5396"/>
    <w:rsid w:val="002F543D"/>
    <w:rsid w:val="002F54DA"/>
    <w:rsid w:val="002F54E5"/>
    <w:rsid w:val="002F54F2"/>
    <w:rsid w:val="002F550B"/>
    <w:rsid w:val="002F5578"/>
    <w:rsid w:val="002F5579"/>
    <w:rsid w:val="002F5620"/>
    <w:rsid w:val="002F5639"/>
    <w:rsid w:val="002F5733"/>
    <w:rsid w:val="002F5843"/>
    <w:rsid w:val="002F5930"/>
    <w:rsid w:val="002F5944"/>
    <w:rsid w:val="002F5A5B"/>
    <w:rsid w:val="002F5AF3"/>
    <w:rsid w:val="002F5B75"/>
    <w:rsid w:val="002F5BDB"/>
    <w:rsid w:val="002F5C10"/>
    <w:rsid w:val="002F5C40"/>
    <w:rsid w:val="002F5C43"/>
    <w:rsid w:val="002F5C4A"/>
    <w:rsid w:val="002F5D27"/>
    <w:rsid w:val="002F5DB7"/>
    <w:rsid w:val="002F5E1E"/>
    <w:rsid w:val="002F5EB7"/>
    <w:rsid w:val="002F5FD7"/>
    <w:rsid w:val="002F6094"/>
    <w:rsid w:val="002F61AF"/>
    <w:rsid w:val="002F625B"/>
    <w:rsid w:val="002F627D"/>
    <w:rsid w:val="002F62DD"/>
    <w:rsid w:val="002F636C"/>
    <w:rsid w:val="002F6374"/>
    <w:rsid w:val="002F637F"/>
    <w:rsid w:val="002F639C"/>
    <w:rsid w:val="002F654B"/>
    <w:rsid w:val="002F6636"/>
    <w:rsid w:val="002F6669"/>
    <w:rsid w:val="002F66EE"/>
    <w:rsid w:val="002F6724"/>
    <w:rsid w:val="002F6733"/>
    <w:rsid w:val="002F690D"/>
    <w:rsid w:val="002F6929"/>
    <w:rsid w:val="002F695D"/>
    <w:rsid w:val="002F6A2B"/>
    <w:rsid w:val="002F6B59"/>
    <w:rsid w:val="002F6B74"/>
    <w:rsid w:val="002F6B98"/>
    <w:rsid w:val="002F6C52"/>
    <w:rsid w:val="002F6D8B"/>
    <w:rsid w:val="002F73F4"/>
    <w:rsid w:val="002F7520"/>
    <w:rsid w:val="002F75BB"/>
    <w:rsid w:val="002F7614"/>
    <w:rsid w:val="002F7646"/>
    <w:rsid w:val="002F77D5"/>
    <w:rsid w:val="002F7875"/>
    <w:rsid w:val="002F78AD"/>
    <w:rsid w:val="002F7A5E"/>
    <w:rsid w:val="002F7AEE"/>
    <w:rsid w:val="002F7B37"/>
    <w:rsid w:val="002F7C2F"/>
    <w:rsid w:val="002F7D9A"/>
    <w:rsid w:val="002F7F92"/>
    <w:rsid w:val="0030004E"/>
    <w:rsid w:val="00300074"/>
    <w:rsid w:val="0030021D"/>
    <w:rsid w:val="0030038F"/>
    <w:rsid w:val="00300477"/>
    <w:rsid w:val="003004E1"/>
    <w:rsid w:val="003006FB"/>
    <w:rsid w:val="00300704"/>
    <w:rsid w:val="00300873"/>
    <w:rsid w:val="003008CD"/>
    <w:rsid w:val="0030098E"/>
    <w:rsid w:val="00300A4A"/>
    <w:rsid w:val="00300B03"/>
    <w:rsid w:val="00300B81"/>
    <w:rsid w:val="00300BFC"/>
    <w:rsid w:val="00300C2D"/>
    <w:rsid w:val="00300CFE"/>
    <w:rsid w:val="00300DB0"/>
    <w:rsid w:val="00300ED3"/>
    <w:rsid w:val="00300FB5"/>
    <w:rsid w:val="00300FC3"/>
    <w:rsid w:val="00300FEF"/>
    <w:rsid w:val="00301028"/>
    <w:rsid w:val="00301043"/>
    <w:rsid w:val="003010DA"/>
    <w:rsid w:val="0030111B"/>
    <w:rsid w:val="0030113E"/>
    <w:rsid w:val="0030128C"/>
    <w:rsid w:val="0030137E"/>
    <w:rsid w:val="00301396"/>
    <w:rsid w:val="003013DE"/>
    <w:rsid w:val="00301412"/>
    <w:rsid w:val="003015A6"/>
    <w:rsid w:val="00301699"/>
    <w:rsid w:val="00301814"/>
    <w:rsid w:val="0030183D"/>
    <w:rsid w:val="00301928"/>
    <w:rsid w:val="003019EF"/>
    <w:rsid w:val="00301A8E"/>
    <w:rsid w:val="00301AE7"/>
    <w:rsid w:val="00301B13"/>
    <w:rsid w:val="00301BB6"/>
    <w:rsid w:val="00301C4D"/>
    <w:rsid w:val="00301CEF"/>
    <w:rsid w:val="00301D68"/>
    <w:rsid w:val="00301D6C"/>
    <w:rsid w:val="00301EA9"/>
    <w:rsid w:val="003021DA"/>
    <w:rsid w:val="003023EE"/>
    <w:rsid w:val="00302418"/>
    <w:rsid w:val="00302519"/>
    <w:rsid w:val="003025A1"/>
    <w:rsid w:val="00302783"/>
    <w:rsid w:val="00302801"/>
    <w:rsid w:val="00302929"/>
    <w:rsid w:val="0030293C"/>
    <w:rsid w:val="00302A46"/>
    <w:rsid w:val="00302A6C"/>
    <w:rsid w:val="00302A91"/>
    <w:rsid w:val="00302BCC"/>
    <w:rsid w:val="00302D1D"/>
    <w:rsid w:val="00302DA2"/>
    <w:rsid w:val="00302E8E"/>
    <w:rsid w:val="00302F4B"/>
    <w:rsid w:val="00302FD5"/>
    <w:rsid w:val="00303019"/>
    <w:rsid w:val="003030C1"/>
    <w:rsid w:val="00303106"/>
    <w:rsid w:val="00303148"/>
    <w:rsid w:val="003032C6"/>
    <w:rsid w:val="003032DC"/>
    <w:rsid w:val="003032F9"/>
    <w:rsid w:val="00303413"/>
    <w:rsid w:val="00303448"/>
    <w:rsid w:val="003034C3"/>
    <w:rsid w:val="00303521"/>
    <w:rsid w:val="0030359E"/>
    <w:rsid w:val="00303668"/>
    <w:rsid w:val="003036CD"/>
    <w:rsid w:val="003037C6"/>
    <w:rsid w:val="003037D8"/>
    <w:rsid w:val="00303823"/>
    <w:rsid w:val="00303861"/>
    <w:rsid w:val="00303899"/>
    <w:rsid w:val="003038FA"/>
    <w:rsid w:val="003039B8"/>
    <w:rsid w:val="00303A60"/>
    <w:rsid w:val="00303A95"/>
    <w:rsid w:val="00303B99"/>
    <w:rsid w:val="00303C2A"/>
    <w:rsid w:val="00303CA8"/>
    <w:rsid w:val="00303CFA"/>
    <w:rsid w:val="00303D05"/>
    <w:rsid w:val="00303E62"/>
    <w:rsid w:val="00303EBD"/>
    <w:rsid w:val="003041DA"/>
    <w:rsid w:val="00304239"/>
    <w:rsid w:val="0030477B"/>
    <w:rsid w:val="003047AC"/>
    <w:rsid w:val="003048A5"/>
    <w:rsid w:val="003048E3"/>
    <w:rsid w:val="003049DF"/>
    <w:rsid w:val="003049E8"/>
    <w:rsid w:val="00304B03"/>
    <w:rsid w:val="00304BFB"/>
    <w:rsid w:val="00304D12"/>
    <w:rsid w:val="00304E37"/>
    <w:rsid w:val="00304E94"/>
    <w:rsid w:val="00304EC8"/>
    <w:rsid w:val="00304ED4"/>
    <w:rsid w:val="00304F55"/>
    <w:rsid w:val="00304F5D"/>
    <w:rsid w:val="00304F8B"/>
    <w:rsid w:val="00305075"/>
    <w:rsid w:val="003050B9"/>
    <w:rsid w:val="003050D5"/>
    <w:rsid w:val="0030510C"/>
    <w:rsid w:val="003051A7"/>
    <w:rsid w:val="003052C3"/>
    <w:rsid w:val="0030543A"/>
    <w:rsid w:val="00305466"/>
    <w:rsid w:val="00305488"/>
    <w:rsid w:val="0030548A"/>
    <w:rsid w:val="00305633"/>
    <w:rsid w:val="0030571C"/>
    <w:rsid w:val="00305750"/>
    <w:rsid w:val="00305753"/>
    <w:rsid w:val="0030581E"/>
    <w:rsid w:val="003058FA"/>
    <w:rsid w:val="00305964"/>
    <w:rsid w:val="00305AF0"/>
    <w:rsid w:val="00305BE0"/>
    <w:rsid w:val="00305C0A"/>
    <w:rsid w:val="00305C73"/>
    <w:rsid w:val="00305C75"/>
    <w:rsid w:val="00305C81"/>
    <w:rsid w:val="00305CE5"/>
    <w:rsid w:val="00305D3D"/>
    <w:rsid w:val="00305E07"/>
    <w:rsid w:val="00305ECD"/>
    <w:rsid w:val="00305F4B"/>
    <w:rsid w:val="00305F88"/>
    <w:rsid w:val="00305FF7"/>
    <w:rsid w:val="00306055"/>
    <w:rsid w:val="003060D1"/>
    <w:rsid w:val="00306110"/>
    <w:rsid w:val="003061EE"/>
    <w:rsid w:val="00306355"/>
    <w:rsid w:val="003063E7"/>
    <w:rsid w:val="003064E7"/>
    <w:rsid w:val="00306553"/>
    <w:rsid w:val="0030666D"/>
    <w:rsid w:val="00306685"/>
    <w:rsid w:val="0030675B"/>
    <w:rsid w:val="003067C1"/>
    <w:rsid w:val="00306860"/>
    <w:rsid w:val="0030694B"/>
    <w:rsid w:val="0030696C"/>
    <w:rsid w:val="00306A34"/>
    <w:rsid w:val="00306A74"/>
    <w:rsid w:val="00306CC8"/>
    <w:rsid w:val="00306DC4"/>
    <w:rsid w:val="00306E00"/>
    <w:rsid w:val="00306E78"/>
    <w:rsid w:val="0030705A"/>
    <w:rsid w:val="003070AF"/>
    <w:rsid w:val="00307224"/>
    <w:rsid w:val="003072E1"/>
    <w:rsid w:val="003072FE"/>
    <w:rsid w:val="0030748C"/>
    <w:rsid w:val="00307496"/>
    <w:rsid w:val="003074EB"/>
    <w:rsid w:val="003075CF"/>
    <w:rsid w:val="00307670"/>
    <w:rsid w:val="0030789A"/>
    <w:rsid w:val="0030798E"/>
    <w:rsid w:val="003079B0"/>
    <w:rsid w:val="00307B07"/>
    <w:rsid w:val="00307C85"/>
    <w:rsid w:val="00307F9B"/>
    <w:rsid w:val="00307FA4"/>
    <w:rsid w:val="003100E9"/>
    <w:rsid w:val="00310104"/>
    <w:rsid w:val="00310222"/>
    <w:rsid w:val="0031043F"/>
    <w:rsid w:val="003104C1"/>
    <w:rsid w:val="003104F9"/>
    <w:rsid w:val="00310567"/>
    <w:rsid w:val="00310578"/>
    <w:rsid w:val="003105D1"/>
    <w:rsid w:val="0031084E"/>
    <w:rsid w:val="00310905"/>
    <w:rsid w:val="00310930"/>
    <w:rsid w:val="00310999"/>
    <w:rsid w:val="003109C7"/>
    <w:rsid w:val="00310A46"/>
    <w:rsid w:val="00310B14"/>
    <w:rsid w:val="00310B45"/>
    <w:rsid w:val="00310E26"/>
    <w:rsid w:val="00310E3B"/>
    <w:rsid w:val="00310F46"/>
    <w:rsid w:val="00311120"/>
    <w:rsid w:val="003111F5"/>
    <w:rsid w:val="0031128A"/>
    <w:rsid w:val="003112D3"/>
    <w:rsid w:val="0031130E"/>
    <w:rsid w:val="00311351"/>
    <w:rsid w:val="003113DD"/>
    <w:rsid w:val="00311435"/>
    <w:rsid w:val="003114BA"/>
    <w:rsid w:val="00311547"/>
    <w:rsid w:val="00311579"/>
    <w:rsid w:val="00311608"/>
    <w:rsid w:val="0031166B"/>
    <w:rsid w:val="003116CE"/>
    <w:rsid w:val="00311902"/>
    <w:rsid w:val="00311998"/>
    <w:rsid w:val="00311C28"/>
    <w:rsid w:val="00312001"/>
    <w:rsid w:val="00312137"/>
    <w:rsid w:val="003121BD"/>
    <w:rsid w:val="0031244D"/>
    <w:rsid w:val="00312451"/>
    <w:rsid w:val="003124EC"/>
    <w:rsid w:val="00312552"/>
    <w:rsid w:val="00312558"/>
    <w:rsid w:val="00312572"/>
    <w:rsid w:val="003125B6"/>
    <w:rsid w:val="003125C4"/>
    <w:rsid w:val="00312685"/>
    <w:rsid w:val="00312863"/>
    <w:rsid w:val="003128F1"/>
    <w:rsid w:val="0031291A"/>
    <w:rsid w:val="003129AB"/>
    <w:rsid w:val="00312A74"/>
    <w:rsid w:val="00312BA3"/>
    <w:rsid w:val="00312C09"/>
    <w:rsid w:val="00312C43"/>
    <w:rsid w:val="00312C62"/>
    <w:rsid w:val="00312CA4"/>
    <w:rsid w:val="00312CF3"/>
    <w:rsid w:val="00312D8D"/>
    <w:rsid w:val="00312E1C"/>
    <w:rsid w:val="00312E24"/>
    <w:rsid w:val="00312F1E"/>
    <w:rsid w:val="00312F32"/>
    <w:rsid w:val="00312FB9"/>
    <w:rsid w:val="00312FCC"/>
    <w:rsid w:val="00313006"/>
    <w:rsid w:val="00313058"/>
    <w:rsid w:val="00313176"/>
    <w:rsid w:val="003131B7"/>
    <w:rsid w:val="0031322F"/>
    <w:rsid w:val="00313273"/>
    <w:rsid w:val="00313310"/>
    <w:rsid w:val="00313362"/>
    <w:rsid w:val="003133B5"/>
    <w:rsid w:val="003134AE"/>
    <w:rsid w:val="0031358D"/>
    <w:rsid w:val="0031365F"/>
    <w:rsid w:val="003136D2"/>
    <w:rsid w:val="003136E3"/>
    <w:rsid w:val="00313924"/>
    <w:rsid w:val="00313A40"/>
    <w:rsid w:val="00313AFE"/>
    <w:rsid w:val="00313B57"/>
    <w:rsid w:val="00313DEF"/>
    <w:rsid w:val="00313E56"/>
    <w:rsid w:val="00313E97"/>
    <w:rsid w:val="00314007"/>
    <w:rsid w:val="003140FB"/>
    <w:rsid w:val="00314145"/>
    <w:rsid w:val="00314252"/>
    <w:rsid w:val="003143EA"/>
    <w:rsid w:val="00314473"/>
    <w:rsid w:val="003144B9"/>
    <w:rsid w:val="003144D2"/>
    <w:rsid w:val="003145BE"/>
    <w:rsid w:val="0031476F"/>
    <w:rsid w:val="003148D8"/>
    <w:rsid w:val="003149DE"/>
    <w:rsid w:val="003149F6"/>
    <w:rsid w:val="00314BC8"/>
    <w:rsid w:val="00314C06"/>
    <w:rsid w:val="00314C7D"/>
    <w:rsid w:val="00314CD5"/>
    <w:rsid w:val="00314EC7"/>
    <w:rsid w:val="00314F20"/>
    <w:rsid w:val="00314F4C"/>
    <w:rsid w:val="003150CA"/>
    <w:rsid w:val="0031514F"/>
    <w:rsid w:val="003151AD"/>
    <w:rsid w:val="0031525E"/>
    <w:rsid w:val="00315286"/>
    <w:rsid w:val="0031529B"/>
    <w:rsid w:val="00315361"/>
    <w:rsid w:val="00315376"/>
    <w:rsid w:val="0031539B"/>
    <w:rsid w:val="0031539C"/>
    <w:rsid w:val="0031548A"/>
    <w:rsid w:val="00315503"/>
    <w:rsid w:val="003155B2"/>
    <w:rsid w:val="003155BF"/>
    <w:rsid w:val="0031562A"/>
    <w:rsid w:val="00315655"/>
    <w:rsid w:val="003156E6"/>
    <w:rsid w:val="00315753"/>
    <w:rsid w:val="003157DB"/>
    <w:rsid w:val="003157E2"/>
    <w:rsid w:val="00315812"/>
    <w:rsid w:val="003158CB"/>
    <w:rsid w:val="00315AA3"/>
    <w:rsid w:val="00315ABF"/>
    <w:rsid w:val="00315BEC"/>
    <w:rsid w:val="00315C1A"/>
    <w:rsid w:val="00315CA1"/>
    <w:rsid w:val="00315D90"/>
    <w:rsid w:val="00315DB1"/>
    <w:rsid w:val="00315F92"/>
    <w:rsid w:val="00315F9F"/>
    <w:rsid w:val="003160D7"/>
    <w:rsid w:val="00316127"/>
    <w:rsid w:val="00316271"/>
    <w:rsid w:val="00316327"/>
    <w:rsid w:val="003163BE"/>
    <w:rsid w:val="00316457"/>
    <w:rsid w:val="003164E5"/>
    <w:rsid w:val="003164F6"/>
    <w:rsid w:val="003164FC"/>
    <w:rsid w:val="00316579"/>
    <w:rsid w:val="003165A1"/>
    <w:rsid w:val="00316753"/>
    <w:rsid w:val="00316794"/>
    <w:rsid w:val="003167C0"/>
    <w:rsid w:val="0031682E"/>
    <w:rsid w:val="00316843"/>
    <w:rsid w:val="003168D2"/>
    <w:rsid w:val="00316979"/>
    <w:rsid w:val="003169F4"/>
    <w:rsid w:val="00316ABB"/>
    <w:rsid w:val="00316C3A"/>
    <w:rsid w:val="00316D61"/>
    <w:rsid w:val="00316D85"/>
    <w:rsid w:val="00316E30"/>
    <w:rsid w:val="00316E54"/>
    <w:rsid w:val="00317132"/>
    <w:rsid w:val="0031720C"/>
    <w:rsid w:val="0031732C"/>
    <w:rsid w:val="003176E2"/>
    <w:rsid w:val="00317748"/>
    <w:rsid w:val="0031783F"/>
    <w:rsid w:val="003178F4"/>
    <w:rsid w:val="003179E1"/>
    <w:rsid w:val="003179F7"/>
    <w:rsid w:val="00317A3C"/>
    <w:rsid w:val="00317A79"/>
    <w:rsid w:val="00317A98"/>
    <w:rsid w:val="00317C89"/>
    <w:rsid w:val="00317CC0"/>
    <w:rsid w:val="00317D78"/>
    <w:rsid w:val="00317D81"/>
    <w:rsid w:val="00317D92"/>
    <w:rsid w:val="00317E95"/>
    <w:rsid w:val="00317ECC"/>
    <w:rsid w:val="00320024"/>
    <w:rsid w:val="0032006C"/>
    <w:rsid w:val="003200D2"/>
    <w:rsid w:val="00320101"/>
    <w:rsid w:val="003202A4"/>
    <w:rsid w:val="00320354"/>
    <w:rsid w:val="0032045F"/>
    <w:rsid w:val="003204E9"/>
    <w:rsid w:val="0032051A"/>
    <w:rsid w:val="00320549"/>
    <w:rsid w:val="00320554"/>
    <w:rsid w:val="00320573"/>
    <w:rsid w:val="003205D6"/>
    <w:rsid w:val="003206C6"/>
    <w:rsid w:val="0032071A"/>
    <w:rsid w:val="003207A6"/>
    <w:rsid w:val="003207B5"/>
    <w:rsid w:val="0032085C"/>
    <w:rsid w:val="003208C9"/>
    <w:rsid w:val="0032090B"/>
    <w:rsid w:val="00320A2F"/>
    <w:rsid w:val="00320CF7"/>
    <w:rsid w:val="00320D44"/>
    <w:rsid w:val="00320DDA"/>
    <w:rsid w:val="00320E69"/>
    <w:rsid w:val="00320FE7"/>
    <w:rsid w:val="003210AA"/>
    <w:rsid w:val="003210CD"/>
    <w:rsid w:val="003210D8"/>
    <w:rsid w:val="00321212"/>
    <w:rsid w:val="003212A7"/>
    <w:rsid w:val="003212FD"/>
    <w:rsid w:val="00321422"/>
    <w:rsid w:val="003214FE"/>
    <w:rsid w:val="00321529"/>
    <w:rsid w:val="0032154B"/>
    <w:rsid w:val="0032165F"/>
    <w:rsid w:val="0032169F"/>
    <w:rsid w:val="0032173D"/>
    <w:rsid w:val="003217DF"/>
    <w:rsid w:val="003218B7"/>
    <w:rsid w:val="003219B7"/>
    <w:rsid w:val="00321A10"/>
    <w:rsid w:val="00321BD8"/>
    <w:rsid w:val="00321C2F"/>
    <w:rsid w:val="00321CA5"/>
    <w:rsid w:val="00321CCD"/>
    <w:rsid w:val="00321D81"/>
    <w:rsid w:val="00321DC0"/>
    <w:rsid w:val="00321DFA"/>
    <w:rsid w:val="00321F6F"/>
    <w:rsid w:val="00321FCA"/>
    <w:rsid w:val="00321FE1"/>
    <w:rsid w:val="0032203F"/>
    <w:rsid w:val="00322093"/>
    <w:rsid w:val="00322339"/>
    <w:rsid w:val="00322367"/>
    <w:rsid w:val="003223DF"/>
    <w:rsid w:val="003223E7"/>
    <w:rsid w:val="00322418"/>
    <w:rsid w:val="00322443"/>
    <w:rsid w:val="00322542"/>
    <w:rsid w:val="003225EC"/>
    <w:rsid w:val="003225FA"/>
    <w:rsid w:val="00322966"/>
    <w:rsid w:val="00322A1B"/>
    <w:rsid w:val="00322A64"/>
    <w:rsid w:val="00322A86"/>
    <w:rsid w:val="00322BAD"/>
    <w:rsid w:val="00322C1C"/>
    <w:rsid w:val="00322C81"/>
    <w:rsid w:val="00322C84"/>
    <w:rsid w:val="00322CCC"/>
    <w:rsid w:val="00322CFC"/>
    <w:rsid w:val="00322E37"/>
    <w:rsid w:val="00322F08"/>
    <w:rsid w:val="00323248"/>
    <w:rsid w:val="003232A5"/>
    <w:rsid w:val="003232B5"/>
    <w:rsid w:val="0032336E"/>
    <w:rsid w:val="003233B8"/>
    <w:rsid w:val="0032343C"/>
    <w:rsid w:val="00323524"/>
    <w:rsid w:val="00323648"/>
    <w:rsid w:val="00323893"/>
    <w:rsid w:val="003238C6"/>
    <w:rsid w:val="0032392E"/>
    <w:rsid w:val="00323941"/>
    <w:rsid w:val="00323951"/>
    <w:rsid w:val="00323ACB"/>
    <w:rsid w:val="00323CB6"/>
    <w:rsid w:val="00323CD6"/>
    <w:rsid w:val="00323D5B"/>
    <w:rsid w:val="00323DB1"/>
    <w:rsid w:val="00323E26"/>
    <w:rsid w:val="00323E94"/>
    <w:rsid w:val="00324062"/>
    <w:rsid w:val="00324097"/>
    <w:rsid w:val="00324164"/>
    <w:rsid w:val="00324336"/>
    <w:rsid w:val="00324431"/>
    <w:rsid w:val="003244D4"/>
    <w:rsid w:val="003245E6"/>
    <w:rsid w:val="00324623"/>
    <w:rsid w:val="00324728"/>
    <w:rsid w:val="0032472B"/>
    <w:rsid w:val="00324763"/>
    <w:rsid w:val="00324840"/>
    <w:rsid w:val="00324979"/>
    <w:rsid w:val="00324CA3"/>
    <w:rsid w:val="00324DA9"/>
    <w:rsid w:val="00324DF9"/>
    <w:rsid w:val="00324F05"/>
    <w:rsid w:val="00324F90"/>
    <w:rsid w:val="00324FAE"/>
    <w:rsid w:val="003250A5"/>
    <w:rsid w:val="00325152"/>
    <w:rsid w:val="003251A0"/>
    <w:rsid w:val="003251CD"/>
    <w:rsid w:val="0032530E"/>
    <w:rsid w:val="003254B8"/>
    <w:rsid w:val="00325561"/>
    <w:rsid w:val="003256A2"/>
    <w:rsid w:val="00325948"/>
    <w:rsid w:val="00325AED"/>
    <w:rsid w:val="00325B55"/>
    <w:rsid w:val="00325B6E"/>
    <w:rsid w:val="00325E46"/>
    <w:rsid w:val="00325EB0"/>
    <w:rsid w:val="00325F06"/>
    <w:rsid w:val="00325F2A"/>
    <w:rsid w:val="00325F89"/>
    <w:rsid w:val="00325FE6"/>
    <w:rsid w:val="00326048"/>
    <w:rsid w:val="00326141"/>
    <w:rsid w:val="003262E1"/>
    <w:rsid w:val="00326343"/>
    <w:rsid w:val="00326355"/>
    <w:rsid w:val="003263AA"/>
    <w:rsid w:val="0032648D"/>
    <w:rsid w:val="003264C2"/>
    <w:rsid w:val="0032653B"/>
    <w:rsid w:val="00326587"/>
    <w:rsid w:val="00326626"/>
    <w:rsid w:val="0032666F"/>
    <w:rsid w:val="003266D8"/>
    <w:rsid w:val="003266FE"/>
    <w:rsid w:val="0032671B"/>
    <w:rsid w:val="00326720"/>
    <w:rsid w:val="003267D2"/>
    <w:rsid w:val="003268DB"/>
    <w:rsid w:val="00326947"/>
    <w:rsid w:val="00326A59"/>
    <w:rsid w:val="00326A80"/>
    <w:rsid w:val="00326AC4"/>
    <w:rsid w:val="00326B43"/>
    <w:rsid w:val="00326B4B"/>
    <w:rsid w:val="00326B6F"/>
    <w:rsid w:val="00326BDD"/>
    <w:rsid w:val="00326D9A"/>
    <w:rsid w:val="00326DD1"/>
    <w:rsid w:val="00326E63"/>
    <w:rsid w:val="00326F80"/>
    <w:rsid w:val="00326F90"/>
    <w:rsid w:val="00327005"/>
    <w:rsid w:val="00327019"/>
    <w:rsid w:val="0032701E"/>
    <w:rsid w:val="0032702D"/>
    <w:rsid w:val="0032708B"/>
    <w:rsid w:val="003270F1"/>
    <w:rsid w:val="00327113"/>
    <w:rsid w:val="00327183"/>
    <w:rsid w:val="0032722C"/>
    <w:rsid w:val="00327281"/>
    <w:rsid w:val="003272DA"/>
    <w:rsid w:val="0032736D"/>
    <w:rsid w:val="00327373"/>
    <w:rsid w:val="0032738E"/>
    <w:rsid w:val="003274C5"/>
    <w:rsid w:val="00327550"/>
    <w:rsid w:val="00327569"/>
    <w:rsid w:val="0032757E"/>
    <w:rsid w:val="00327617"/>
    <w:rsid w:val="003277F1"/>
    <w:rsid w:val="00327812"/>
    <w:rsid w:val="003279C4"/>
    <w:rsid w:val="00327A72"/>
    <w:rsid w:val="00327B14"/>
    <w:rsid w:val="00327B6B"/>
    <w:rsid w:val="00327CE2"/>
    <w:rsid w:val="00327E90"/>
    <w:rsid w:val="00327F1C"/>
    <w:rsid w:val="00327F81"/>
    <w:rsid w:val="00327FBB"/>
    <w:rsid w:val="00327FCE"/>
    <w:rsid w:val="003300B9"/>
    <w:rsid w:val="003300FB"/>
    <w:rsid w:val="00330217"/>
    <w:rsid w:val="00330369"/>
    <w:rsid w:val="00330422"/>
    <w:rsid w:val="003304F9"/>
    <w:rsid w:val="00330527"/>
    <w:rsid w:val="0033066E"/>
    <w:rsid w:val="0033066F"/>
    <w:rsid w:val="003306E6"/>
    <w:rsid w:val="003307CF"/>
    <w:rsid w:val="0033085D"/>
    <w:rsid w:val="003308C8"/>
    <w:rsid w:val="00330994"/>
    <w:rsid w:val="003309AA"/>
    <w:rsid w:val="003309F6"/>
    <w:rsid w:val="00330A07"/>
    <w:rsid w:val="00330A6C"/>
    <w:rsid w:val="00330A84"/>
    <w:rsid w:val="00330BEB"/>
    <w:rsid w:val="00330C65"/>
    <w:rsid w:val="00330D95"/>
    <w:rsid w:val="00330DD7"/>
    <w:rsid w:val="00331076"/>
    <w:rsid w:val="003311E5"/>
    <w:rsid w:val="00331210"/>
    <w:rsid w:val="00331284"/>
    <w:rsid w:val="003312E5"/>
    <w:rsid w:val="00331399"/>
    <w:rsid w:val="003313E4"/>
    <w:rsid w:val="003314C4"/>
    <w:rsid w:val="00331552"/>
    <w:rsid w:val="0033156A"/>
    <w:rsid w:val="003316AA"/>
    <w:rsid w:val="003316ED"/>
    <w:rsid w:val="00331717"/>
    <w:rsid w:val="0033181B"/>
    <w:rsid w:val="00331891"/>
    <w:rsid w:val="003318F8"/>
    <w:rsid w:val="00331995"/>
    <w:rsid w:val="003319C9"/>
    <w:rsid w:val="003319EF"/>
    <w:rsid w:val="00331BC9"/>
    <w:rsid w:val="00331C37"/>
    <w:rsid w:val="00331C93"/>
    <w:rsid w:val="00331D28"/>
    <w:rsid w:val="00331E02"/>
    <w:rsid w:val="00331ED2"/>
    <w:rsid w:val="00331F39"/>
    <w:rsid w:val="00331F60"/>
    <w:rsid w:val="00331FC4"/>
    <w:rsid w:val="00332025"/>
    <w:rsid w:val="0033205D"/>
    <w:rsid w:val="00332113"/>
    <w:rsid w:val="00332116"/>
    <w:rsid w:val="00332121"/>
    <w:rsid w:val="003321B7"/>
    <w:rsid w:val="003321CB"/>
    <w:rsid w:val="00332275"/>
    <w:rsid w:val="003323A6"/>
    <w:rsid w:val="00332447"/>
    <w:rsid w:val="00332492"/>
    <w:rsid w:val="003324E6"/>
    <w:rsid w:val="003326F5"/>
    <w:rsid w:val="003327EC"/>
    <w:rsid w:val="00332803"/>
    <w:rsid w:val="00332889"/>
    <w:rsid w:val="00332900"/>
    <w:rsid w:val="00332901"/>
    <w:rsid w:val="00332926"/>
    <w:rsid w:val="00332A23"/>
    <w:rsid w:val="00332AB3"/>
    <w:rsid w:val="00332B58"/>
    <w:rsid w:val="00332B8B"/>
    <w:rsid w:val="00332C64"/>
    <w:rsid w:val="00332DF0"/>
    <w:rsid w:val="00332F2D"/>
    <w:rsid w:val="00332F98"/>
    <w:rsid w:val="00333121"/>
    <w:rsid w:val="0033314B"/>
    <w:rsid w:val="0033320E"/>
    <w:rsid w:val="0033322E"/>
    <w:rsid w:val="003332F4"/>
    <w:rsid w:val="00333349"/>
    <w:rsid w:val="00333351"/>
    <w:rsid w:val="003333AA"/>
    <w:rsid w:val="00333437"/>
    <w:rsid w:val="00333458"/>
    <w:rsid w:val="00333473"/>
    <w:rsid w:val="003335BF"/>
    <w:rsid w:val="00333606"/>
    <w:rsid w:val="003337EC"/>
    <w:rsid w:val="00333897"/>
    <w:rsid w:val="00333929"/>
    <w:rsid w:val="0033397D"/>
    <w:rsid w:val="003339A1"/>
    <w:rsid w:val="003339B2"/>
    <w:rsid w:val="00333A81"/>
    <w:rsid w:val="00333AA0"/>
    <w:rsid w:val="00333B2F"/>
    <w:rsid w:val="00333BAB"/>
    <w:rsid w:val="00333BEA"/>
    <w:rsid w:val="00333CDF"/>
    <w:rsid w:val="00333D1F"/>
    <w:rsid w:val="00333F1B"/>
    <w:rsid w:val="0033400C"/>
    <w:rsid w:val="00334059"/>
    <w:rsid w:val="003340CB"/>
    <w:rsid w:val="00334455"/>
    <w:rsid w:val="003344BA"/>
    <w:rsid w:val="0033452A"/>
    <w:rsid w:val="00334535"/>
    <w:rsid w:val="0033453F"/>
    <w:rsid w:val="0033477C"/>
    <w:rsid w:val="003347A2"/>
    <w:rsid w:val="0033481E"/>
    <w:rsid w:val="00334906"/>
    <w:rsid w:val="00334955"/>
    <w:rsid w:val="003349CF"/>
    <w:rsid w:val="00334A32"/>
    <w:rsid w:val="00334AD6"/>
    <w:rsid w:val="00334B63"/>
    <w:rsid w:val="00334BD5"/>
    <w:rsid w:val="00334D40"/>
    <w:rsid w:val="00334D6D"/>
    <w:rsid w:val="00334E16"/>
    <w:rsid w:val="00334E50"/>
    <w:rsid w:val="00334ED7"/>
    <w:rsid w:val="00334EFD"/>
    <w:rsid w:val="00334F0B"/>
    <w:rsid w:val="00334FBA"/>
    <w:rsid w:val="00334FF5"/>
    <w:rsid w:val="0033503F"/>
    <w:rsid w:val="00335093"/>
    <w:rsid w:val="003351C1"/>
    <w:rsid w:val="00335212"/>
    <w:rsid w:val="00335274"/>
    <w:rsid w:val="003352E6"/>
    <w:rsid w:val="0033531E"/>
    <w:rsid w:val="003353E9"/>
    <w:rsid w:val="003354E4"/>
    <w:rsid w:val="0033558E"/>
    <w:rsid w:val="003355BC"/>
    <w:rsid w:val="00335776"/>
    <w:rsid w:val="003357A9"/>
    <w:rsid w:val="00335892"/>
    <w:rsid w:val="003358AE"/>
    <w:rsid w:val="003358C6"/>
    <w:rsid w:val="00335917"/>
    <w:rsid w:val="00335A48"/>
    <w:rsid w:val="00335CA8"/>
    <w:rsid w:val="00335D75"/>
    <w:rsid w:val="00335DAB"/>
    <w:rsid w:val="00335DBB"/>
    <w:rsid w:val="00335F0F"/>
    <w:rsid w:val="00335F51"/>
    <w:rsid w:val="00336029"/>
    <w:rsid w:val="0033604A"/>
    <w:rsid w:val="00336076"/>
    <w:rsid w:val="0033609E"/>
    <w:rsid w:val="003361A6"/>
    <w:rsid w:val="003361C5"/>
    <w:rsid w:val="00336255"/>
    <w:rsid w:val="00336276"/>
    <w:rsid w:val="0033633C"/>
    <w:rsid w:val="00336439"/>
    <w:rsid w:val="00336461"/>
    <w:rsid w:val="00336575"/>
    <w:rsid w:val="00336625"/>
    <w:rsid w:val="00336695"/>
    <w:rsid w:val="003366CD"/>
    <w:rsid w:val="0033670A"/>
    <w:rsid w:val="00336768"/>
    <w:rsid w:val="00336790"/>
    <w:rsid w:val="00336865"/>
    <w:rsid w:val="003368B5"/>
    <w:rsid w:val="003369A3"/>
    <w:rsid w:val="00336A24"/>
    <w:rsid w:val="00336A8A"/>
    <w:rsid w:val="00336CDE"/>
    <w:rsid w:val="00336D40"/>
    <w:rsid w:val="00336D7A"/>
    <w:rsid w:val="00336F28"/>
    <w:rsid w:val="00337038"/>
    <w:rsid w:val="00337240"/>
    <w:rsid w:val="00337292"/>
    <w:rsid w:val="0033731E"/>
    <w:rsid w:val="00337432"/>
    <w:rsid w:val="00337462"/>
    <w:rsid w:val="003374B0"/>
    <w:rsid w:val="00337502"/>
    <w:rsid w:val="00337512"/>
    <w:rsid w:val="0033768E"/>
    <w:rsid w:val="0033781D"/>
    <w:rsid w:val="0033784D"/>
    <w:rsid w:val="0033786D"/>
    <w:rsid w:val="00337975"/>
    <w:rsid w:val="00337A3F"/>
    <w:rsid w:val="00337AA5"/>
    <w:rsid w:val="00337AAB"/>
    <w:rsid w:val="00337E7A"/>
    <w:rsid w:val="00337E83"/>
    <w:rsid w:val="00340001"/>
    <w:rsid w:val="00340040"/>
    <w:rsid w:val="00340090"/>
    <w:rsid w:val="003400B9"/>
    <w:rsid w:val="003400D5"/>
    <w:rsid w:val="00340290"/>
    <w:rsid w:val="00340365"/>
    <w:rsid w:val="0034036F"/>
    <w:rsid w:val="0034047E"/>
    <w:rsid w:val="00340551"/>
    <w:rsid w:val="0034069F"/>
    <w:rsid w:val="003406A0"/>
    <w:rsid w:val="003406D1"/>
    <w:rsid w:val="003407C5"/>
    <w:rsid w:val="00340869"/>
    <w:rsid w:val="00340A06"/>
    <w:rsid w:val="00340A4A"/>
    <w:rsid w:val="00340A71"/>
    <w:rsid w:val="00340B41"/>
    <w:rsid w:val="00340B6B"/>
    <w:rsid w:val="00340D22"/>
    <w:rsid w:val="00340D2E"/>
    <w:rsid w:val="00340D85"/>
    <w:rsid w:val="00340DA3"/>
    <w:rsid w:val="00340DE3"/>
    <w:rsid w:val="00340E20"/>
    <w:rsid w:val="00340E6E"/>
    <w:rsid w:val="00340EB0"/>
    <w:rsid w:val="00340F46"/>
    <w:rsid w:val="00341002"/>
    <w:rsid w:val="00341100"/>
    <w:rsid w:val="00341109"/>
    <w:rsid w:val="0034114D"/>
    <w:rsid w:val="0034116C"/>
    <w:rsid w:val="0034131C"/>
    <w:rsid w:val="00341352"/>
    <w:rsid w:val="00341397"/>
    <w:rsid w:val="003413C4"/>
    <w:rsid w:val="0034152D"/>
    <w:rsid w:val="00341685"/>
    <w:rsid w:val="003416AC"/>
    <w:rsid w:val="0034182F"/>
    <w:rsid w:val="003418B4"/>
    <w:rsid w:val="003419AA"/>
    <w:rsid w:val="003419AE"/>
    <w:rsid w:val="00341A15"/>
    <w:rsid w:val="00341B06"/>
    <w:rsid w:val="00341BE5"/>
    <w:rsid w:val="00341C34"/>
    <w:rsid w:val="00341D6B"/>
    <w:rsid w:val="00341E06"/>
    <w:rsid w:val="00341E89"/>
    <w:rsid w:val="00341EB2"/>
    <w:rsid w:val="00342044"/>
    <w:rsid w:val="003420B0"/>
    <w:rsid w:val="0034213C"/>
    <w:rsid w:val="00342179"/>
    <w:rsid w:val="003421B7"/>
    <w:rsid w:val="003421CA"/>
    <w:rsid w:val="003421ED"/>
    <w:rsid w:val="003422FB"/>
    <w:rsid w:val="003422FD"/>
    <w:rsid w:val="003423CC"/>
    <w:rsid w:val="003423D2"/>
    <w:rsid w:val="003423EC"/>
    <w:rsid w:val="00342505"/>
    <w:rsid w:val="0034253F"/>
    <w:rsid w:val="00342646"/>
    <w:rsid w:val="00342667"/>
    <w:rsid w:val="003427D3"/>
    <w:rsid w:val="00342949"/>
    <w:rsid w:val="00342C70"/>
    <w:rsid w:val="00342CB8"/>
    <w:rsid w:val="00342F25"/>
    <w:rsid w:val="00342F9F"/>
    <w:rsid w:val="0034307A"/>
    <w:rsid w:val="003430A4"/>
    <w:rsid w:val="003430F1"/>
    <w:rsid w:val="00343119"/>
    <w:rsid w:val="003431E7"/>
    <w:rsid w:val="00343230"/>
    <w:rsid w:val="003433C4"/>
    <w:rsid w:val="003433C8"/>
    <w:rsid w:val="0034345F"/>
    <w:rsid w:val="00343468"/>
    <w:rsid w:val="003434FA"/>
    <w:rsid w:val="00343702"/>
    <w:rsid w:val="003437ED"/>
    <w:rsid w:val="00343838"/>
    <w:rsid w:val="003439ED"/>
    <w:rsid w:val="00343A37"/>
    <w:rsid w:val="00343A5F"/>
    <w:rsid w:val="00343A65"/>
    <w:rsid w:val="00343AAA"/>
    <w:rsid w:val="00343B70"/>
    <w:rsid w:val="00343B91"/>
    <w:rsid w:val="00343C2E"/>
    <w:rsid w:val="00343C61"/>
    <w:rsid w:val="00343CBD"/>
    <w:rsid w:val="00343CC9"/>
    <w:rsid w:val="00343CFB"/>
    <w:rsid w:val="00343D8D"/>
    <w:rsid w:val="00343FEC"/>
    <w:rsid w:val="00344014"/>
    <w:rsid w:val="0034415D"/>
    <w:rsid w:val="00344211"/>
    <w:rsid w:val="00344239"/>
    <w:rsid w:val="00344300"/>
    <w:rsid w:val="003443B7"/>
    <w:rsid w:val="003443BD"/>
    <w:rsid w:val="003444A5"/>
    <w:rsid w:val="003444AB"/>
    <w:rsid w:val="00344618"/>
    <w:rsid w:val="00344642"/>
    <w:rsid w:val="003446DC"/>
    <w:rsid w:val="003447F5"/>
    <w:rsid w:val="00344847"/>
    <w:rsid w:val="0034489A"/>
    <w:rsid w:val="003449B0"/>
    <w:rsid w:val="003449E3"/>
    <w:rsid w:val="00344B0F"/>
    <w:rsid w:val="00344B6B"/>
    <w:rsid w:val="00344E3B"/>
    <w:rsid w:val="00344E8C"/>
    <w:rsid w:val="00344F42"/>
    <w:rsid w:val="00344F52"/>
    <w:rsid w:val="00344F8D"/>
    <w:rsid w:val="00344FB3"/>
    <w:rsid w:val="00344FE7"/>
    <w:rsid w:val="00345005"/>
    <w:rsid w:val="0034502E"/>
    <w:rsid w:val="0034509D"/>
    <w:rsid w:val="0034510F"/>
    <w:rsid w:val="003451CF"/>
    <w:rsid w:val="0034533F"/>
    <w:rsid w:val="0034539B"/>
    <w:rsid w:val="003453A4"/>
    <w:rsid w:val="003453AB"/>
    <w:rsid w:val="00345402"/>
    <w:rsid w:val="00345484"/>
    <w:rsid w:val="00345492"/>
    <w:rsid w:val="0034552A"/>
    <w:rsid w:val="00345708"/>
    <w:rsid w:val="00345759"/>
    <w:rsid w:val="00345766"/>
    <w:rsid w:val="003457AB"/>
    <w:rsid w:val="003457B4"/>
    <w:rsid w:val="00345875"/>
    <w:rsid w:val="0034599F"/>
    <w:rsid w:val="00345A2C"/>
    <w:rsid w:val="00345A78"/>
    <w:rsid w:val="00345AF1"/>
    <w:rsid w:val="00345BAF"/>
    <w:rsid w:val="00345BB3"/>
    <w:rsid w:val="00345C10"/>
    <w:rsid w:val="00345C2E"/>
    <w:rsid w:val="00345CEC"/>
    <w:rsid w:val="00345CF4"/>
    <w:rsid w:val="00345D30"/>
    <w:rsid w:val="00345D90"/>
    <w:rsid w:val="00345D91"/>
    <w:rsid w:val="00345DC7"/>
    <w:rsid w:val="00345E1F"/>
    <w:rsid w:val="00345F4F"/>
    <w:rsid w:val="00345F70"/>
    <w:rsid w:val="00345FCB"/>
    <w:rsid w:val="00345FD8"/>
    <w:rsid w:val="00346052"/>
    <w:rsid w:val="0034610C"/>
    <w:rsid w:val="00346179"/>
    <w:rsid w:val="00346403"/>
    <w:rsid w:val="00346451"/>
    <w:rsid w:val="0034652F"/>
    <w:rsid w:val="00346549"/>
    <w:rsid w:val="0034654E"/>
    <w:rsid w:val="00346583"/>
    <w:rsid w:val="0034661E"/>
    <w:rsid w:val="0034664B"/>
    <w:rsid w:val="00346762"/>
    <w:rsid w:val="003467EF"/>
    <w:rsid w:val="00346843"/>
    <w:rsid w:val="0034691F"/>
    <w:rsid w:val="003469E0"/>
    <w:rsid w:val="003469FA"/>
    <w:rsid w:val="00346AC5"/>
    <w:rsid w:val="00346AC6"/>
    <w:rsid w:val="00346BA4"/>
    <w:rsid w:val="00346C4B"/>
    <w:rsid w:val="00346C5D"/>
    <w:rsid w:val="00346D0A"/>
    <w:rsid w:val="00346DC6"/>
    <w:rsid w:val="00346FA6"/>
    <w:rsid w:val="00346FEF"/>
    <w:rsid w:val="003470F1"/>
    <w:rsid w:val="0034711D"/>
    <w:rsid w:val="0034715B"/>
    <w:rsid w:val="003472C3"/>
    <w:rsid w:val="00347332"/>
    <w:rsid w:val="00347425"/>
    <w:rsid w:val="00347496"/>
    <w:rsid w:val="0034752E"/>
    <w:rsid w:val="003475A0"/>
    <w:rsid w:val="003475B7"/>
    <w:rsid w:val="0034768A"/>
    <w:rsid w:val="0034769B"/>
    <w:rsid w:val="003478B6"/>
    <w:rsid w:val="00347953"/>
    <w:rsid w:val="003479E2"/>
    <w:rsid w:val="00347A3F"/>
    <w:rsid w:val="00347AE2"/>
    <w:rsid w:val="00347B65"/>
    <w:rsid w:val="00347C0B"/>
    <w:rsid w:val="00347CD7"/>
    <w:rsid w:val="00347CE0"/>
    <w:rsid w:val="00347D5D"/>
    <w:rsid w:val="00347DF2"/>
    <w:rsid w:val="00347E68"/>
    <w:rsid w:val="00347EB6"/>
    <w:rsid w:val="00347FA9"/>
    <w:rsid w:val="00350042"/>
    <w:rsid w:val="003500AC"/>
    <w:rsid w:val="0035019D"/>
    <w:rsid w:val="00350247"/>
    <w:rsid w:val="0035024E"/>
    <w:rsid w:val="003502E7"/>
    <w:rsid w:val="003502FA"/>
    <w:rsid w:val="0035032A"/>
    <w:rsid w:val="00350355"/>
    <w:rsid w:val="00350365"/>
    <w:rsid w:val="003503E4"/>
    <w:rsid w:val="00350412"/>
    <w:rsid w:val="0035052B"/>
    <w:rsid w:val="00350576"/>
    <w:rsid w:val="00350607"/>
    <w:rsid w:val="00350612"/>
    <w:rsid w:val="00350621"/>
    <w:rsid w:val="0035062B"/>
    <w:rsid w:val="00350686"/>
    <w:rsid w:val="003507DB"/>
    <w:rsid w:val="003508AC"/>
    <w:rsid w:val="00350945"/>
    <w:rsid w:val="003509A6"/>
    <w:rsid w:val="00350A2A"/>
    <w:rsid w:val="00350B1C"/>
    <w:rsid w:val="00350B34"/>
    <w:rsid w:val="00350BBC"/>
    <w:rsid w:val="00350BE6"/>
    <w:rsid w:val="00350EAA"/>
    <w:rsid w:val="00350EAD"/>
    <w:rsid w:val="00350EDF"/>
    <w:rsid w:val="00350F4C"/>
    <w:rsid w:val="00350F55"/>
    <w:rsid w:val="00350FFE"/>
    <w:rsid w:val="0035100D"/>
    <w:rsid w:val="003510D4"/>
    <w:rsid w:val="0035110E"/>
    <w:rsid w:val="00351301"/>
    <w:rsid w:val="003514D5"/>
    <w:rsid w:val="003514EA"/>
    <w:rsid w:val="003515B0"/>
    <w:rsid w:val="003515FD"/>
    <w:rsid w:val="00351695"/>
    <w:rsid w:val="003516EF"/>
    <w:rsid w:val="0035174F"/>
    <w:rsid w:val="00351847"/>
    <w:rsid w:val="003519CA"/>
    <w:rsid w:val="00351A0F"/>
    <w:rsid w:val="00351A37"/>
    <w:rsid w:val="00351B84"/>
    <w:rsid w:val="00351B8E"/>
    <w:rsid w:val="00351B92"/>
    <w:rsid w:val="00351DDB"/>
    <w:rsid w:val="00351DDE"/>
    <w:rsid w:val="00351E9A"/>
    <w:rsid w:val="00351ED8"/>
    <w:rsid w:val="00351F08"/>
    <w:rsid w:val="00351FDA"/>
    <w:rsid w:val="003520B6"/>
    <w:rsid w:val="00352102"/>
    <w:rsid w:val="00352198"/>
    <w:rsid w:val="00352306"/>
    <w:rsid w:val="00352388"/>
    <w:rsid w:val="0035244F"/>
    <w:rsid w:val="003525F7"/>
    <w:rsid w:val="00352653"/>
    <w:rsid w:val="00352791"/>
    <w:rsid w:val="00352915"/>
    <w:rsid w:val="0035298F"/>
    <w:rsid w:val="00352A92"/>
    <w:rsid w:val="00352AAC"/>
    <w:rsid w:val="00352B0F"/>
    <w:rsid w:val="00352BE4"/>
    <w:rsid w:val="00352CB0"/>
    <w:rsid w:val="00352D0D"/>
    <w:rsid w:val="00352D51"/>
    <w:rsid w:val="00352D9D"/>
    <w:rsid w:val="00353073"/>
    <w:rsid w:val="003530E1"/>
    <w:rsid w:val="00353109"/>
    <w:rsid w:val="00353119"/>
    <w:rsid w:val="003531A8"/>
    <w:rsid w:val="00353237"/>
    <w:rsid w:val="003532F1"/>
    <w:rsid w:val="003533F3"/>
    <w:rsid w:val="00353474"/>
    <w:rsid w:val="003534BF"/>
    <w:rsid w:val="003534FB"/>
    <w:rsid w:val="00353535"/>
    <w:rsid w:val="0035360D"/>
    <w:rsid w:val="00353623"/>
    <w:rsid w:val="003536AA"/>
    <w:rsid w:val="0035379D"/>
    <w:rsid w:val="0035395D"/>
    <w:rsid w:val="00353AAB"/>
    <w:rsid w:val="00353AC5"/>
    <w:rsid w:val="00353AE6"/>
    <w:rsid w:val="00353C47"/>
    <w:rsid w:val="00353C65"/>
    <w:rsid w:val="00353C87"/>
    <w:rsid w:val="00353E86"/>
    <w:rsid w:val="00353F00"/>
    <w:rsid w:val="00353F26"/>
    <w:rsid w:val="00354020"/>
    <w:rsid w:val="00354042"/>
    <w:rsid w:val="00354177"/>
    <w:rsid w:val="0035458C"/>
    <w:rsid w:val="003545FE"/>
    <w:rsid w:val="0035461C"/>
    <w:rsid w:val="00354689"/>
    <w:rsid w:val="00354741"/>
    <w:rsid w:val="003547DB"/>
    <w:rsid w:val="003548B2"/>
    <w:rsid w:val="003548F0"/>
    <w:rsid w:val="00354A65"/>
    <w:rsid w:val="00354AEE"/>
    <w:rsid w:val="00354B45"/>
    <w:rsid w:val="00354BCA"/>
    <w:rsid w:val="00354C00"/>
    <w:rsid w:val="00354C5F"/>
    <w:rsid w:val="00354C96"/>
    <w:rsid w:val="00354D2B"/>
    <w:rsid w:val="00354F24"/>
    <w:rsid w:val="00354FA9"/>
    <w:rsid w:val="00354FF9"/>
    <w:rsid w:val="0035501F"/>
    <w:rsid w:val="00355034"/>
    <w:rsid w:val="003550F6"/>
    <w:rsid w:val="003552E2"/>
    <w:rsid w:val="003553FD"/>
    <w:rsid w:val="0035546A"/>
    <w:rsid w:val="0035555F"/>
    <w:rsid w:val="00355571"/>
    <w:rsid w:val="00355705"/>
    <w:rsid w:val="00355895"/>
    <w:rsid w:val="003558C6"/>
    <w:rsid w:val="00355A9D"/>
    <w:rsid w:val="00355AB5"/>
    <w:rsid w:val="00355CE3"/>
    <w:rsid w:val="00355CEA"/>
    <w:rsid w:val="00355D31"/>
    <w:rsid w:val="00355DBF"/>
    <w:rsid w:val="00356124"/>
    <w:rsid w:val="003561C3"/>
    <w:rsid w:val="003561E4"/>
    <w:rsid w:val="003562E4"/>
    <w:rsid w:val="00356315"/>
    <w:rsid w:val="0035635E"/>
    <w:rsid w:val="003563AD"/>
    <w:rsid w:val="003563F2"/>
    <w:rsid w:val="00356445"/>
    <w:rsid w:val="003564F1"/>
    <w:rsid w:val="003565AD"/>
    <w:rsid w:val="003565D0"/>
    <w:rsid w:val="003565EB"/>
    <w:rsid w:val="00356619"/>
    <w:rsid w:val="00356646"/>
    <w:rsid w:val="00356719"/>
    <w:rsid w:val="00356734"/>
    <w:rsid w:val="0035675E"/>
    <w:rsid w:val="003567E0"/>
    <w:rsid w:val="0035699C"/>
    <w:rsid w:val="00356A9B"/>
    <w:rsid w:val="00356AA2"/>
    <w:rsid w:val="00356BD2"/>
    <w:rsid w:val="00356C49"/>
    <w:rsid w:val="00356D5A"/>
    <w:rsid w:val="00356DAE"/>
    <w:rsid w:val="00356E2E"/>
    <w:rsid w:val="00356E7C"/>
    <w:rsid w:val="003570E1"/>
    <w:rsid w:val="003571B7"/>
    <w:rsid w:val="00357268"/>
    <w:rsid w:val="00357488"/>
    <w:rsid w:val="003575E4"/>
    <w:rsid w:val="003576F2"/>
    <w:rsid w:val="0035786E"/>
    <w:rsid w:val="003578A1"/>
    <w:rsid w:val="003578D1"/>
    <w:rsid w:val="0035791E"/>
    <w:rsid w:val="00357A3E"/>
    <w:rsid w:val="00357AD3"/>
    <w:rsid w:val="00357AEE"/>
    <w:rsid w:val="00357BF0"/>
    <w:rsid w:val="00357D49"/>
    <w:rsid w:val="00357DBA"/>
    <w:rsid w:val="00357E78"/>
    <w:rsid w:val="00357E88"/>
    <w:rsid w:val="00357FCC"/>
    <w:rsid w:val="003600FC"/>
    <w:rsid w:val="00360107"/>
    <w:rsid w:val="00360220"/>
    <w:rsid w:val="0036043C"/>
    <w:rsid w:val="003604F6"/>
    <w:rsid w:val="003605F2"/>
    <w:rsid w:val="003606BE"/>
    <w:rsid w:val="003606EB"/>
    <w:rsid w:val="003607DC"/>
    <w:rsid w:val="00360A23"/>
    <w:rsid w:val="00360A65"/>
    <w:rsid w:val="00360C28"/>
    <w:rsid w:val="00360CCE"/>
    <w:rsid w:val="00360D06"/>
    <w:rsid w:val="00360D99"/>
    <w:rsid w:val="00360E43"/>
    <w:rsid w:val="00360E76"/>
    <w:rsid w:val="00360EE8"/>
    <w:rsid w:val="00360F50"/>
    <w:rsid w:val="00361047"/>
    <w:rsid w:val="00361084"/>
    <w:rsid w:val="003611A3"/>
    <w:rsid w:val="00361256"/>
    <w:rsid w:val="0036126A"/>
    <w:rsid w:val="003612EF"/>
    <w:rsid w:val="0036137B"/>
    <w:rsid w:val="003613BD"/>
    <w:rsid w:val="003613C8"/>
    <w:rsid w:val="00361475"/>
    <w:rsid w:val="003614EF"/>
    <w:rsid w:val="0036155D"/>
    <w:rsid w:val="00361576"/>
    <w:rsid w:val="00361597"/>
    <w:rsid w:val="00361623"/>
    <w:rsid w:val="00361652"/>
    <w:rsid w:val="0036168F"/>
    <w:rsid w:val="003616B0"/>
    <w:rsid w:val="00361750"/>
    <w:rsid w:val="003617BD"/>
    <w:rsid w:val="003617D9"/>
    <w:rsid w:val="00361855"/>
    <w:rsid w:val="003618AE"/>
    <w:rsid w:val="003619DE"/>
    <w:rsid w:val="003619FC"/>
    <w:rsid w:val="00361A16"/>
    <w:rsid w:val="00361A49"/>
    <w:rsid w:val="00361B37"/>
    <w:rsid w:val="00361B48"/>
    <w:rsid w:val="00361BA5"/>
    <w:rsid w:val="00361CC3"/>
    <w:rsid w:val="00361D9B"/>
    <w:rsid w:val="00361DA5"/>
    <w:rsid w:val="00361F5E"/>
    <w:rsid w:val="00362009"/>
    <w:rsid w:val="0036202F"/>
    <w:rsid w:val="00362063"/>
    <w:rsid w:val="00362129"/>
    <w:rsid w:val="003623C8"/>
    <w:rsid w:val="0036246D"/>
    <w:rsid w:val="003624D4"/>
    <w:rsid w:val="00362676"/>
    <w:rsid w:val="00362733"/>
    <w:rsid w:val="003627E6"/>
    <w:rsid w:val="00362863"/>
    <w:rsid w:val="0036296F"/>
    <w:rsid w:val="0036298F"/>
    <w:rsid w:val="003629BC"/>
    <w:rsid w:val="00362B0A"/>
    <w:rsid w:val="00362BBC"/>
    <w:rsid w:val="00362F32"/>
    <w:rsid w:val="00363109"/>
    <w:rsid w:val="0036311D"/>
    <w:rsid w:val="00363175"/>
    <w:rsid w:val="003631CF"/>
    <w:rsid w:val="00363237"/>
    <w:rsid w:val="00363283"/>
    <w:rsid w:val="003632D6"/>
    <w:rsid w:val="00363365"/>
    <w:rsid w:val="00363438"/>
    <w:rsid w:val="00363469"/>
    <w:rsid w:val="003634AE"/>
    <w:rsid w:val="003635FD"/>
    <w:rsid w:val="0036362B"/>
    <w:rsid w:val="0036363F"/>
    <w:rsid w:val="003636AC"/>
    <w:rsid w:val="0036371B"/>
    <w:rsid w:val="00363787"/>
    <w:rsid w:val="0036381B"/>
    <w:rsid w:val="00363833"/>
    <w:rsid w:val="00363887"/>
    <w:rsid w:val="003638A6"/>
    <w:rsid w:val="003638D6"/>
    <w:rsid w:val="0036393C"/>
    <w:rsid w:val="00363A00"/>
    <w:rsid w:val="00363A42"/>
    <w:rsid w:val="00363A9D"/>
    <w:rsid w:val="00363AAF"/>
    <w:rsid w:val="00363B27"/>
    <w:rsid w:val="00363C2E"/>
    <w:rsid w:val="00363C81"/>
    <w:rsid w:val="00363CC9"/>
    <w:rsid w:val="00363D09"/>
    <w:rsid w:val="00363D98"/>
    <w:rsid w:val="00363F60"/>
    <w:rsid w:val="00363FAE"/>
    <w:rsid w:val="003642CA"/>
    <w:rsid w:val="0036435C"/>
    <w:rsid w:val="00364460"/>
    <w:rsid w:val="00364498"/>
    <w:rsid w:val="003644B9"/>
    <w:rsid w:val="00364547"/>
    <w:rsid w:val="0036456B"/>
    <w:rsid w:val="00364587"/>
    <w:rsid w:val="00364596"/>
    <w:rsid w:val="003645AA"/>
    <w:rsid w:val="00364683"/>
    <w:rsid w:val="0036470D"/>
    <w:rsid w:val="0036471F"/>
    <w:rsid w:val="003647B0"/>
    <w:rsid w:val="003647E8"/>
    <w:rsid w:val="00364933"/>
    <w:rsid w:val="00364993"/>
    <w:rsid w:val="003649B5"/>
    <w:rsid w:val="003649E8"/>
    <w:rsid w:val="00364A0C"/>
    <w:rsid w:val="00364B06"/>
    <w:rsid w:val="00364C84"/>
    <w:rsid w:val="00364E35"/>
    <w:rsid w:val="00364EAC"/>
    <w:rsid w:val="00365009"/>
    <w:rsid w:val="003651A7"/>
    <w:rsid w:val="003653DA"/>
    <w:rsid w:val="00365411"/>
    <w:rsid w:val="003654CA"/>
    <w:rsid w:val="00365674"/>
    <w:rsid w:val="003656FB"/>
    <w:rsid w:val="00365752"/>
    <w:rsid w:val="00365785"/>
    <w:rsid w:val="003657DF"/>
    <w:rsid w:val="0036584A"/>
    <w:rsid w:val="00365907"/>
    <w:rsid w:val="0036593B"/>
    <w:rsid w:val="00365A39"/>
    <w:rsid w:val="00365A98"/>
    <w:rsid w:val="00365B0D"/>
    <w:rsid w:val="00365BEF"/>
    <w:rsid w:val="00365DB0"/>
    <w:rsid w:val="00365EF6"/>
    <w:rsid w:val="00365EFF"/>
    <w:rsid w:val="003662B1"/>
    <w:rsid w:val="003662D9"/>
    <w:rsid w:val="0036643C"/>
    <w:rsid w:val="003664A2"/>
    <w:rsid w:val="00366533"/>
    <w:rsid w:val="0036668D"/>
    <w:rsid w:val="00366739"/>
    <w:rsid w:val="003667A3"/>
    <w:rsid w:val="00366802"/>
    <w:rsid w:val="00366894"/>
    <w:rsid w:val="003668A4"/>
    <w:rsid w:val="00366989"/>
    <w:rsid w:val="00366E1F"/>
    <w:rsid w:val="00366EAA"/>
    <w:rsid w:val="00366EAE"/>
    <w:rsid w:val="00367042"/>
    <w:rsid w:val="00367279"/>
    <w:rsid w:val="00367354"/>
    <w:rsid w:val="00367494"/>
    <w:rsid w:val="003674A0"/>
    <w:rsid w:val="003674DF"/>
    <w:rsid w:val="00367509"/>
    <w:rsid w:val="00367529"/>
    <w:rsid w:val="003675B4"/>
    <w:rsid w:val="0036766B"/>
    <w:rsid w:val="0036766C"/>
    <w:rsid w:val="003677D5"/>
    <w:rsid w:val="0036783D"/>
    <w:rsid w:val="003678FF"/>
    <w:rsid w:val="003679B9"/>
    <w:rsid w:val="00367B79"/>
    <w:rsid w:val="00367BAA"/>
    <w:rsid w:val="00367C30"/>
    <w:rsid w:val="00367C71"/>
    <w:rsid w:val="00367C96"/>
    <w:rsid w:val="00367DE6"/>
    <w:rsid w:val="00367E1E"/>
    <w:rsid w:val="00367E55"/>
    <w:rsid w:val="00367EAF"/>
    <w:rsid w:val="00367EDA"/>
    <w:rsid w:val="00367EFB"/>
    <w:rsid w:val="00367F66"/>
    <w:rsid w:val="00367F8C"/>
    <w:rsid w:val="003700C7"/>
    <w:rsid w:val="003700EF"/>
    <w:rsid w:val="003701A9"/>
    <w:rsid w:val="003701E1"/>
    <w:rsid w:val="00370515"/>
    <w:rsid w:val="0037056B"/>
    <w:rsid w:val="003705A3"/>
    <w:rsid w:val="003705B6"/>
    <w:rsid w:val="003705E6"/>
    <w:rsid w:val="003705F1"/>
    <w:rsid w:val="003708AB"/>
    <w:rsid w:val="003709ED"/>
    <w:rsid w:val="00370A9A"/>
    <w:rsid w:val="00370AB2"/>
    <w:rsid w:val="00370AEE"/>
    <w:rsid w:val="00370C88"/>
    <w:rsid w:val="00370C9F"/>
    <w:rsid w:val="00370CDA"/>
    <w:rsid w:val="00370DE7"/>
    <w:rsid w:val="00370E1B"/>
    <w:rsid w:val="00370E68"/>
    <w:rsid w:val="00370F4B"/>
    <w:rsid w:val="00370F6C"/>
    <w:rsid w:val="0037106B"/>
    <w:rsid w:val="0037113F"/>
    <w:rsid w:val="003711ED"/>
    <w:rsid w:val="0037129E"/>
    <w:rsid w:val="003712C4"/>
    <w:rsid w:val="00371318"/>
    <w:rsid w:val="003713A7"/>
    <w:rsid w:val="003713CF"/>
    <w:rsid w:val="00371400"/>
    <w:rsid w:val="00371420"/>
    <w:rsid w:val="00371464"/>
    <w:rsid w:val="003714C7"/>
    <w:rsid w:val="0037152E"/>
    <w:rsid w:val="00371703"/>
    <w:rsid w:val="0037183A"/>
    <w:rsid w:val="00371881"/>
    <w:rsid w:val="00371AAE"/>
    <w:rsid w:val="00371B6F"/>
    <w:rsid w:val="00371BD3"/>
    <w:rsid w:val="00371C18"/>
    <w:rsid w:val="00371C1C"/>
    <w:rsid w:val="00371CC5"/>
    <w:rsid w:val="00371D42"/>
    <w:rsid w:val="00371DCD"/>
    <w:rsid w:val="00371DE9"/>
    <w:rsid w:val="00371E05"/>
    <w:rsid w:val="00371E1D"/>
    <w:rsid w:val="00371E3E"/>
    <w:rsid w:val="00371EA9"/>
    <w:rsid w:val="00371EB8"/>
    <w:rsid w:val="00371EFA"/>
    <w:rsid w:val="00371F09"/>
    <w:rsid w:val="00371FCF"/>
    <w:rsid w:val="0037201C"/>
    <w:rsid w:val="00372045"/>
    <w:rsid w:val="00372126"/>
    <w:rsid w:val="00372154"/>
    <w:rsid w:val="003721AF"/>
    <w:rsid w:val="003722B8"/>
    <w:rsid w:val="00372305"/>
    <w:rsid w:val="003724F0"/>
    <w:rsid w:val="003726B1"/>
    <w:rsid w:val="0037276D"/>
    <w:rsid w:val="00372814"/>
    <w:rsid w:val="00372824"/>
    <w:rsid w:val="00372A50"/>
    <w:rsid w:val="00372C45"/>
    <w:rsid w:val="00373108"/>
    <w:rsid w:val="00373131"/>
    <w:rsid w:val="00373145"/>
    <w:rsid w:val="0037316A"/>
    <w:rsid w:val="00373182"/>
    <w:rsid w:val="0037326B"/>
    <w:rsid w:val="00373294"/>
    <w:rsid w:val="003734D4"/>
    <w:rsid w:val="0037350D"/>
    <w:rsid w:val="00373752"/>
    <w:rsid w:val="00373778"/>
    <w:rsid w:val="003738CA"/>
    <w:rsid w:val="00373ABB"/>
    <w:rsid w:val="00373B3F"/>
    <w:rsid w:val="00373D54"/>
    <w:rsid w:val="00373DB2"/>
    <w:rsid w:val="00373DE4"/>
    <w:rsid w:val="00373E1C"/>
    <w:rsid w:val="00373E4F"/>
    <w:rsid w:val="00373E62"/>
    <w:rsid w:val="00373F4A"/>
    <w:rsid w:val="00373F82"/>
    <w:rsid w:val="00373FED"/>
    <w:rsid w:val="0037402D"/>
    <w:rsid w:val="0037407A"/>
    <w:rsid w:val="00374090"/>
    <w:rsid w:val="00374102"/>
    <w:rsid w:val="00374110"/>
    <w:rsid w:val="003741E6"/>
    <w:rsid w:val="0037424C"/>
    <w:rsid w:val="00374279"/>
    <w:rsid w:val="00374280"/>
    <w:rsid w:val="003742A3"/>
    <w:rsid w:val="003742DA"/>
    <w:rsid w:val="003742E3"/>
    <w:rsid w:val="003742EE"/>
    <w:rsid w:val="00374503"/>
    <w:rsid w:val="00374547"/>
    <w:rsid w:val="00374561"/>
    <w:rsid w:val="003745D6"/>
    <w:rsid w:val="00374648"/>
    <w:rsid w:val="003746B6"/>
    <w:rsid w:val="003746FB"/>
    <w:rsid w:val="0037473F"/>
    <w:rsid w:val="0037477B"/>
    <w:rsid w:val="0037490E"/>
    <w:rsid w:val="0037493E"/>
    <w:rsid w:val="003749C9"/>
    <w:rsid w:val="003749E5"/>
    <w:rsid w:val="00374B50"/>
    <w:rsid w:val="00374BD5"/>
    <w:rsid w:val="00374D79"/>
    <w:rsid w:val="00374DC7"/>
    <w:rsid w:val="00374DDD"/>
    <w:rsid w:val="00374E05"/>
    <w:rsid w:val="00374E58"/>
    <w:rsid w:val="00374EB5"/>
    <w:rsid w:val="00374FD8"/>
    <w:rsid w:val="00374FFC"/>
    <w:rsid w:val="003751D1"/>
    <w:rsid w:val="0037520F"/>
    <w:rsid w:val="00375228"/>
    <w:rsid w:val="003753FE"/>
    <w:rsid w:val="003754A5"/>
    <w:rsid w:val="00375556"/>
    <w:rsid w:val="003755A7"/>
    <w:rsid w:val="003755B6"/>
    <w:rsid w:val="003755F4"/>
    <w:rsid w:val="003756C3"/>
    <w:rsid w:val="003758DB"/>
    <w:rsid w:val="003758E9"/>
    <w:rsid w:val="00375935"/>
    <w:rsid w:val="00375990"/>
    <w:rsid w:val="00375AFB"/>
    <w:rsid w:val="00375B75"/>
    <w:rsid w:val="00375BFB"/>
    <w:rsid w:val="00375CFC"/>
    <w:rsid w:val="00375D2A"/>
    <w:rsid w:val="00375E42"/>
    <w:rsid w:val="00375EEE"/>
    <w:rsid w:val="00375FED"/>
    <w:rsid w:val="0037602F"/>
    <w:rsid w:val="00376041"/>
    <w:rsid w:val="00376063"/>
    <w:rsid w:val="0037607E"/>
    <w:rsid w:val="0037612F"/>
    <w:rsid w:val="00376232"/>
    <w:rsid w:val="0037644C"/>
    <w:rsid w:val="0037649D"/>
    <w:rsid w:val="003764E4"/>
    <w:rsid w:val="00376591"/>
    <w:rsid w:val="003766BC"/>
    <w:rsid w:val="003766D2"/>
    <w:rsid w:val="003767A0"/>
    <w:rsid w:val="00376832"/>
    <w:rsid w:val="00376872"/>
    <w:rsid w:val="00376884"/>
    <w:rsid w:val="0037695F"/>
    <w:rsid w:val="00376971"/>
    <w:rsid w:val="003769B7"/>
    <w:rsid w:val="00376AE4"/>
    <w:rsid w:val="00376B5C"/>
    <w:rsid w:val="00376BCE"/>
    <w:rsid w:val="00376BFB"/>
    <w:rsid w:val="00376CE5"/>
    <w:rsid w:val="00376CEB"/>
    <w:rsid w:val="00376CF3"/>
    <w:rsid w:val="00376E2A"/>
    <w:rsid w:val="00376F07"/>
    <w:rsid w:val="00376FA8"/>
    <w:rsid w:val="00376FF8"/>
    <w:rsid w:val="0037700B"/>
    <w:rsid w:val="003770A5"/>
    <w:rsid w:val="00377128"/>
    <w:rsid w:val="0037715A"/>
    <w:rsid w:val="00377264"/>
    <w:rsid w:val="003772CE"/>
    <w:rsid w:val="00377333"/>
    <w:rsid w:val="00377335"/>
    <w:rsid w:val="0037746A"/>
    <w:rsid w:val="003774C3"/>
    <w:rsid w:val="00377552"/>
    <w:rsid w:val="00377571"/>
    <w:rsid w:val="0037757D"/>
    <w:rsid w:val="003775F6"/>
    <w:rsid w:val="003776AF"/>
    <w:rsid w:val="003776D0"/>
    <w:rsid w:val="00377721"/>
    <w:rsid w:val="0037774F"/>
    <w:rsid w:val="003777D2"/>
    <w:rsid w:val="00377821"/>
    <w:rsid w:val="00377923"/>
    <w:rsid w:val="00377A3F"/>
    <w:rsid w:val="00377AA6"/>
    <w:rsid w:val="00377AC2"/>
    <w:rsid w:val="00377AEF"/>
    <w:rsid w:val="00377B03"/>
    <w:rsid w:val="00377BCD"/>
    <w:rsid w:val="00377BE6"/>
    <w:rsid w:val="00377C3C"/>
    <w:rsid w:val="00377CA8"/>
    <w:rsid w:val="00377D1E"/>
    <w:rsid w:val="00377D45"/>
    <w:rsid w:val="00377D74"/>
    <w:rsid w:val="00377DD3"/>
    <w:rsid w:val="00377E2D"/>
    <w:rsid w:val="00377E4D"/>
    <w:rsid w:val="00377F48"/>
    <w:rsid w:val="00377F63"/>
    <w:rsid w:val="00377FBC"/>
    <w:rsid w:val="00377FE6"/>
    <w:rsid w:val="00379ADC"/>
    <w:rsid w:val="003800E1"/>
    <w:rsid w:val="00380186"/>
    <w:rsid w:val="0038035A"/>
    <w:rsid w:val="0038046E"/>
    <w:rsid w:val="00380476"/>
    <w:rsid w:val="0038050C"/>
    <w:rsid w:val="00380521"/>
    <w:rsid w:val="00380677"/>
    <w:rsid w:val="003806A7"/>
    <w:rsid w:val="003806AF"/>
    <w:rsid w:val="003806C2"/>
    <w:rsid w:val="00380709"/>
    <w:rsid w:val="0038072E"/>
    <w:rsid w:val="00380746"/>
    <w:rsid w:val="003808D9"/>
    <w:rsid w:val="00380966"/>
    <w:rsid w:val="00380BB3"/>
    <w:rsid w:val="00380C68"/>
    <w:rsid w:val="00380E72"/>
    <w:rsid w:val="0038113D"/>
    <w:rsid w:val="0038114B"/>
    <w:rsid w:val="0038134D"/>
    <w:rsid w:val="0038137C"/>
    <w:rsid w:val="003814B3"/>
    <w:rsid w:val="00381542"/>
    <w:rsid w:val="00381574"/>
    <w:rsid w:val="003815FB"/>
    <w:rsid w:val="00381645"/>
    <w:rsid w:val="00381748"/>
    <w:rsid w:val="003817B4"/>
    <w:rsid w:val="00381947"/>
    <w:rsid w:val="00381A4F"/>
    <w:rsid w:val="00381C41"/>
    <w:rsid w:val="00381CB3"/>
    <w:rsid w:val="00381DFA"/>
    <w:rsid w:val="00381E93"/>
    <w:rsid w:val="0038220B"/>
    <w:rsid w:val="00382293"/>
    <w:rsid w:val="00382295"/>
    <w:rsid w:val="003822FB"/>
    <w:rsid w:val="00382310"/>
    <w:rsid w:val="003823B4"/>
    <w:rsid w:val="003823D5"/>
    <w:rsid w:val="00382555"/>
    <w:rsid w:val="00382768"/>
    <w:rsid w:val="00382891"/>
    <w:rsid w:val="00382899"/>
    <w:rsid w:val="0038289F"/>
    <w:rsid w:val="003828B8"/>
    <w:rsid w:val="003829C1"/>
    <w:rsid w:val="00382C48"/>
    <w:rsid w:val="00382D20"/>
    <w:rsid w:val="00382D6F"/>
    <w:rsid w:val="00382DFD"/>
    <w:rsid w:val="00382FA7"/>
    <w:rsid w:val="00382FB9"/>
    <w:rsid w:val="00383007"/>
    <w:rsid w:val="0038302D"/>
    <w:rsid w:val="0038305F"/>
    <w:rsid w:val="003830D1"/>
    <w:rsid w:val="003830D8"/>
    <w:rsid w:val="00383304"/>
    <w:rsid w:val="00383388"/>
    <w:rsid w:val="003834AB"/>
    <w:rsid w:val="00383617"/>
    <w:rsid w:val="0038363E"/>
    <w:rsid w:val="00383655"/>
    <w:rsid w:val="00383765"/>
    <w:rsid w:val="00383839"/>
    <w:rsid w:val="00383AFB"/>
    <w:rsid w:val="00383B34"/>
    <w:rsid w:val="00383B60"/>
    <w:rsid w:val="00383C28"/>
    <w:rsid w:val="00383C4D"/>
    <w:rsid w:val="00383DC5"/>
    <w:rsid w:val="00383E64"/>
    <w:rsid w:val="00383FD9"/>
    <w:rsid w:val="0038404D"/>
    <w:rsid w:val="0038406E"/>
    <w:rsid w:val="00384092"/>
    <w:rsid w:val="003840E8"/>
    <w:rsid w:val="003842A0"/>
    <w:rsid w:val="003842F5"/>
    <w:rsid w:val="0038433E"/>
    <w:rsid w:val="00384347"/>
    <w:rsid w:val="0038439E"/>
    <w:rsid w:val="003843CA"/>
    <w:rsid w:val="00384416"/>
    <w:rsid w:val="00384659"/>
    <w:rsid w:val="00384735"/>
    <w:rsid w:val="003847B6"/>
    <w:rsid w:val="003847C8"/>
    <w:rsid w:val="003848C8"/>
    <w:rsid w:val="00384935"/>
    <w:rsid w:val="00384A85"/>
    <w:rsid w:val="00384A88"/>
    <w:rsid w:val="00384C60"/>
    <w:rsid w:val="00384C67"/>
    <w:rsid w:val="00384CD1"/>
    <w:rsid w:val="00384DC9"/>
    <w:rsid w:val="00385053"/>
    <w:rsid w:val="00385145"/>
    <w:rsid w:val="00385150"/>
    <w:rsid w:val="003851D8"/>
    <w:rsid w:val="0038523D"/>
    <w:rsid w:val="00385245"/>
    <w:rsid w:val="00385266"/>
    <w:rsid w:val="003852DC"/>
    <w:rsid w:val="003853C1"/>
    <w:rsid w:val="0038548B"/>
    <w:rsid w:val="00385497"/>
    <w:rsid w:val="003854A0"/>
    <w:rsid w:val="003854AF"/>
    <w:rsid w:val="003854BC"/>
    <w:rsid w:val="003855DC"/>
    <w:rsid w:val="0038567D"/>
    <w:rsid w:val="003857C1"/>
    <w:rsid w:val="00385B7B"/>
    <w:rsid w:val="00385B8A"/>
    <w:rsid w:val="00385BB6"/>
    <w:rsid w:val="00385BC5"/>
    <w:rsid w:val="00385BE6"/>
    <w:rsid w:val="00385C3F"/>
    <w:rsid w:val="00385C79"/>
    <w:rsid w:val="00385D82"/>
    <w:rsid w:val="00385DA4"/>
    <w:rsid w:val="00386030"/>
    <w:rsid w:val="00386114"/>
    <w:rsid w:val="003861C4"/>
    <w:rsid w:val="003861FF"/>
    <w:rsid w:val="0038633E"/>
    <w:rsid w:val="003863DF"/>
    <w:rsid w:val="00386592"/>
    <w:rsid w:val="003865D0"/>
    <w:rsid w:val="0038665F"/>
    <w:rsid w:val="0038669F"/>
    <w:rsid w:val="003866AC"/>
    <w:rsid w:val="003866B5"/>
    <w:rsid w:val="00386745"/>
    <w:rsid w:val="0038678F"/>
    <w:rsid w:val="003867F0"/>
    <w:rsid w:val="00386882"/>
    <w:rsid w:val="003868EA"/>
    <w:rsid w:val="003868F7"/>
    <w:rsid w:val="0038691E"/>
    <w:rsid w:val="00386A34"/>
    <w:rsid w:val="00386AFC"/>
    <w:rsid w:val="00386B69"/>
    <w:rsid w:val="00386B9E"/>
    <w:rsid w:val="00386BB1"/>
    <w:rsid w:val="00386BB3"/>
    <w:rsid w:val="00386C2F"/>
    <w:rsid w:val="00386D16"/>
    <w:rsid w:val="00386DB3"/>
    <w:rsid w:val="00386E63"/>
    <w:rsid w:val="00386F81"/>
    <w:rsid w:val="00387006"/>
    <w:rsid w:val="0038707A"/>
    <w:rsid w:val="003871FD"/>
    <w:rsid w:val="0038766B"/>
    <w:rsid w:val="00387753"/>
    <w:rsid w:val="00387839"/>
    <w:rsid w:val="00387977"/>
    <w:rsid w:val="003879F0"/>
    <w:rsid w:val="00387BE9"/>
    <w:rsid w:val="00387CDB"/>
    <w:rsid w:val="00387D30"/>
    <w:rsid w:val="00387DA0"/>
    <w:rsid w:val="00387EBB"/>
    <w:rsid w:val="00387ECC"/>
    <w:rsid w:val="00387F2A"/>
    <w:rsid w:val="00390025"/>
    <w:rsid w:val="0039017B"/>
    <w:rsid w:val="00390265"/>
    <w:rsid w:val="00390277"/>
    <w:rsid w:val="00390325"/>
    <w:rsid w:val="0039034D"/>
    <w:rsid w:val="003903B7"/>
    <w:rsid w:val="00390441"/>
    <w:rsid w:val="0039047D"/>
    <w:rsid w:val="0039049D"/>
    <w:rsid w:val="003905AE"/>
    <w:rsid w:val="00390644"/>
    <w:rsid w:val="00390691"/>
    <w:rsid w:val="00390708"/>
    <w:rsid w:val="00390717"/>
    <w:rsid w:val="00390788"/>
    <w:rsid w:val="0039082A"/>
    <w:rsid w:val="00390879"/>
    <w:rsid w:val="0039087A"/>
    <w:rsid w:val="00390904"/>
    <w:rsid w:val="00390988"/>
    <w:rsid w:val="00390A13"/>
    <w:rsid w:val="00390A6A"/>
    <w:rsid w:val="00390C5B"/>
    <w:rsid w:val="00390C5C"/>
    <w:rsid w:val="00390C69"/>
    <w:rsid w:val="00390C83"/>
    <w:rsid w:val="00390CD2"/>
    <w:rsid w:val="00390D91"/>
    <w:rsid w:val="00390E00"/>
    <w:rsid w:val="00390EB2"/>
    <w:rsid w:val="00390ED2"/>
    <w:rsid w:val="00390FF1"/>
    <w:rsid w:val="0039100F"/>
    <w:rsid w:val="00391038"/>
    <w:rsid w:val="0039105F"/>
    <w:rsid w:val="0039109C"/>
    <w:rsid w:val="00391176"/>
    <w:rsid w:val="00391183"/>
    <w:rsid w:val="0039124B"/>
    <w:rsid w:val="0039135B"/>
    <w:rsid w:val="003913B3"/>
    <w:rsid w:val="00391451"/>
    <w:rsid w:val="003917E8"/>
    <w:rsid w:val="00391A4C"/>
    <w:rsid w:val="00391A8C"/>
    <w:rsid w:val="00391BD3"/>
    <w:rsid w:val="00391E07"/>
    <w:rsid w:val="00391ECE"/>
    <w:rsid w:val="00392026"/>
    <w:rsid w:val="003921F0"/>
    <w:rsid w:val="003921F3"/>
    <w:rsid w:val="003922D2"/>
    <w:rsid w:val="00392305"/>
    <w:rsid w:val="0039247E"/>
    <w:rsid w:val="00392527"/>
    <w:rsid w:val="00392544"/>
    <w:rsid w:val="003927E3"/>
    <w:rsid w:val="00392810"/>
    <w:rsid w:val="00392915"/>
    <w:rsid w:val="00392928"/>
    <w:rsid w:val="00392991"/>
    <w:rsid w:val="00392B32"/>
    <w:rsid w:val="00392B83"/>
    <w:rsid w:val="00392D26"/>
    <w:rsid w:val="00392D37"/>
    <w:rsid w:val="00392D56"/>
    <w:rsid w:val="00392DDC"/>
    <w:rsid w:val="00392E01"/>
    <w:rsid w:val="00392E09"/>
    <w:rsid w:val="00392E14"/>
    <w:rsid w:val="00392EF3"/>
    <w:rsid w:val="00392F37"/>
    <w:rsid w:val="00392FD6"/>
    <w:rsid w:val="00393076"/>
    <w:rsid w:val="0039309D"/>
    <w:rsid w:val="003930E6"/>
    <w:rsid w:val="00393169"/>
    <w:rsid w:val="003931ED"/>
    <w:rsid w:val="003932FD"/>
    <w:rsid w:val="00393339"/>
    <w:rsid w:val="003933AD"/>
    <w:rsid w:val="003933BF"/>
    <w:rsid w:val="00393435"/>
    <w:rsid w:val="003934F1"/>
    <w:rsid w:val="00393500"/>
    <w:rsid w:val="00393535"/>
    <w:rsid w:val="00393607"/>
    <w:rsid w:val="00393723"/>
    <w:rsid w:val="00393768"/>
    <w:rsid w:val="00393789"/>
    <w:rsid w:val="003937CD"/>
    <w:rsid w:val="003939BB"/>
    <w:rsid w:val="00393AAC"/>
    <w:rsid w:val="00393ABC"/>
    <w:rsid w:val="00393C28"/>
    <w:rsid w:val="00393D63"/>
    <w:rsid w:val="00393F29"/>
    <w:rsid w:val="00394013"/>
    <w:rsid w:val="003940BD"/>
    <w:rsid w:val="003940CC"/>
    <w:rsid w:val="003940DD"/>
    <w:rsid w:val="0039411C"/>
    <w:rsid w:val="003941B7"/>
    <w:rsid w:val="0039433C"/>
    <w:rsid w:val="00394372"/>
    <w:rsid w:val="003943C7"/>
    <w:rsid w:val="00394565"/>
    <w:rsid w:val="00394664"/>
    <w:rsid w:val="00394733"/>
    <w:rsid w:val="00394A7F"/>
    <w:rsid w:val="00394A85"/>
    <w:rsid w:val="00394AEF"/>
    <w:rsid w:val="00394AFB"/>
    <w:rsid w:val="00394B02"/>
    <w:rsid w:val="00394C4A"/>
    <w:rsid w:val="00394D1A"/>
    <w:rsid w:val="00394E4C"/>
    <w:rsid w:val="00394EAA"/>
    <w:rsid w:val="003950F9"/>
    <w:rsid w:val="003951D8"/>
    <w:rsid w:val="003951DF"/>
    <w:rsid w:val="003951FA"/>
    <w:rsid w:val="00395355"/>
    <w:rsid w:val="00395366"/>
    <w:rsid w:val="003954AB"/>
    <w:rsid w:val="00395586"/>
    <w:rsid w:val="00395597"/>
    <w:rsid w:val="0039562A"/>
    <w:rsid w:val="0039565A"/>
    <w:rsid w:val="00395775"/>
    <w:rsid w:val="00395782"/>
    <w:rsid w:val="0039579C"/>
    <w:rsid w:val="003958D1"/>
    <w:rsid w:val="00395950"/>
    <w:rsid w:val="00395999"/>
    <w:rsid w:val="00395A05"/>
    <w:rsid w:val="00395B02"/>
    <w:rsid w:val="00395BE3"/>
    <w:rsid w:val="00395C29"/>
    <w:rsid w:val="00395D02"/>
    <w:rsid w:val="00395E61"/>
    <w:rsid w:val="00395EC4"/>
    <w:rsid w:val="00395F22"/>
    <w:rsid w:val="00395F6A"/>
    <w:rsid w:val="00395FD3"/>
    <w:rsid w:val="00396005"/>
    <w:rsid w:val="00396081"/>
    <w:rsid w:val="0039620D"/>
    <w:rsid w:val="003962A1"/>
    <w:rsid w:val="0039633C"/>
    <w:rsid w:val="00396370"/>
    <w:rsid w:val="0039653E"/>
    <w:rsid w:val="00396540"/>
    <w:rsid w:val="00396560"/>
    <w:rsid w:val="00396612"/>
    <w:rsid w:val="00396658"/>
    <w:rsid w:val="00396677"/>
    <w:rsid w:val="003966D3"/>
    <w:rsid w:val="00396717"/>
    <w:rsid w:val="003967F0"/>
    <w:rsid w:val="003968A8"/>
    <w:rsid w:val="00396C1D"/>
    <w:rsid w:val="00396F19"/>
    <w:rsid w:val="003971AF"/>
    <w:rsid w:val="003971ED"/>
    <w:rsid w:val="0039720A"/>
    <w:rsid w:val="00397264"/>
    <w:rsid w:val="0039734C"/>
    <w:rsid w:val="0039748E"/>
    <w:rsid w:val="003974BF"/>
    <w:rsid w:val="00397515"/>
    <w:rsid w:val="0039754B"/>
    <w:rsid w:val="00397806"/>
    <w:rsid w:val="003978D0"/>
    <w:rsid w:val="00397932"/>
    <w:rsid w:val="00397958"/>
    <w:rsid w:val="00397B58"/>
    <w:rsid w:val="00397D12"/>
    <w:rsid w:val="00397D53"/>
    <w:rsid w:val="00397D75"/>
    <w:rsid w:val="00397DD1"/>
    <w:rsid w:val="00397E70"/>
    <w:rsid w:val="00397F24"/>
    <w:rsid w:val="00397F60"/>
    <w:rsid w:val="00397FD7"/>
    <w:rsid w:val="003A0087"/>
    <w:rsid w:val="003A0129"/>
    <w:rsid w:val="003A01B4"/>
    <w:rsid w:val="003A0328"/>
    <w:rsid w:val="003A0351"/>
    <w:rsid w:val="003A0357"/>
    <w:rsid w:val="003A0362"/>
    <w:rsid w:val="003A0445"/>
    <w:rsid w:val="003A0517"/>
    <w:rsid w:val="003A051C"/>
    <w:rsid w:val="003A056D"/>
    <w:rsid w:val="003A0718"/>
    <w:rsid w:val="003A080F"/>
    <w:rsid w:val="003A0879"/>
    <w:rsid w:val="003A0C03"/>
    <w:rsid w:val="003A0C60"/>
    <w:rsid w:val="003A0D39"/>
    <w:rsid w:val="003A0DB4"/>
    <w:rsid w:val="003A0E4E"/>
    <w:rsid w:val="003A0FA4"/>
    <w:rsid w:val="003A1034"/>
    <w:rsid w:val="003A1038"/>
    <w:rsid w:val="003A1053"/>
    <w:rsid w:val="003A10E4"/>
    <w:rsid w:val="003A11ED"/>
    <w:rsid w:val="003A1374"/>
    <w:rsid w:val="003A14AB"/>
    <w:rsid w:val="003A1601"/>
    <w:rsid w:val="003A169C"/>
    <w:rsid w:val="003A1744"/>
    <w:rsid w:val="003A1785"/>
    <w:rsid w:val="003A17A9"/>
    <w:rsid w:val="003A1863"/>
    <w:rsid w:val="003A1891"/>
    <w:rsid w:val="003A18AB"/>
    <w:rsid w:val="003A1956"/>
    <w:rsid w:val="003A1AE0"/>
    <w:rsid w:val="003A1C58"/>
    <w:rsid w:val="003A1D02"/>
    <w:rsid w:val="003A1E20"/>
    <w:rsid w:val="003A1F97"/>
    <w:rsid w:val="003A1F98"/>
    <w:rsid w:val="003A1FF0"/>
    <w:rsid w:val="003A2019"/>
    <w:rsid w:val="003A20BC"/>
    <w:rsid w:val="003A2166"/>
    <w:rsid w:val="003A222D"/>
    <w:rsid w:val="003A2248"/>
    <w:rsid w:val="003A22B1"/>
    <w:rsid w:val="003A2347"/>
    <w:rsid w:val="003A234B"/>
    <w:rsid w:val="003A235B"/>
    <w:rsid w:val="003A2460"/>
    <w:rsid w:val="003A247B"/>
    <w:rsid w:val="003A251E"/>
    <w:rsid w:val="003A25AA"/>
    <w:rsid w:val="003A2638"/>
    <w:rsid w:val="003A2659"/>
    <w:rsid w:val="003A2845"/>
    <w:rsid w:val="003A291F"/>
    <w:rsid w:val="003A2931"/>
    <w:rsid w:val="003A29CD"/>
    <w:rsid w:val="003A2AD4"/>
    <w:rsid w:val="003A2B26"/>
    <w:rsid w:val="003A2C3D"/>
    <w:rsid w:val="003A2CDD"/>
    <w:rsid w:val="003A2D53"/>
    <w:rsid w:val="003A2DC0"/>
    <w:rsid w:val="003A2DD8"/>
    <w:rsid w:val="003A2E89"/>
    <w:rsid w:val="003A2F82"/>
    <w:rsid w:val="003A2FC3"/>
    <w:rsid w:val="003A2FE0"/>
    <w:rsid w:val="003A3002"/>
    <w:rsid w:val="003A3139"/>
    <w:rsid w:val="003A31EF"/>
    <w:rsid w:val="003A3250"/>
    <w:rsid w:val="003A33A4"/>
    <w:rsid w:val="003A33E2"/>
    <w:rsid w:val="003A3637"/>
    <w:rsid w:val="003A3687"/>
    <w:rsid w:val="003A37D5"/>
    <w:rsid w:val="003A37D6"/>
    <w:rsid w:val="003A3828"/>
    <w:rsid w:val="003A3872"/>
    <w:rsid w:val="003A3969"/>
    <w:rsid w:val="003A397D"/>
    <w:rsid w:val="003A3AA2"/>
    <w:rsid w:val="003A3C7A"/>
    <w:rsid w:val="003A3CFD"/>
    <w:rsid w:val="003A3DC2"/>
    <w:rsid w:val="003A3DE4"/>
    <w:rsid w:val="003A3F89"/>
    <w:rsid w:val="003A3F9D"/>
    <w:rsid w:val="003A3FB4"/>
    <w:rsid w:val="003A4142"/>
    <w:rsid w:val="003A417E"/>
    <w:rsid w:val="003A41ED"/>
    <w:rsid w:val="003A4265"/>
    <w:rsid w:val="003A42DC"/>
    <w:rsid w:val="003A44E5"/>
    <w:rsid w:val="003A4598"/>
    <w:rsid w:val="003A4610"/>
    <w:rsid w:val="003A4622"/>
    <w:rsid w:val="003A47EC"/>
    <w:rsid w:val="003A483B"/>
    <w:rsid w:val="003A4846"/>
    <w:rsid w:val="003A4898"/>
    <w:rsid w:val="003A48C6"/>
    <w:rsid w:val="003A499F"/>
    <w:rsid w:val="003A4A46"/>
    <w:rsid w:val="003A4A83"/>
    <w:rsid w:val="003A4B8C"/>
    <w:rsid w:val="003A4CE6"/>
    <w:rsid w:val="003A4DC7"/>
    <w:rsid w:val="003A4E18"/>
    <w:rsid w:val="003A4F9F"/>
    <w:rsid w:val="003A4FAB"/>
    <w:rsid w:val="003A4FFE"/>
    <w:rsid w:val="003A504E"/>
    <w:rsid w:val="003A51AB"/>
    <w:rsid w:val="003A52A6"/>
    <w:rsid w:val="003A538D"/>
    <w:rsid w:val="003A5419"/>
    <w:rsid w:val="003A5509"/>
    <w:rsid w:val="003A551C"/>
    <w:rsid w:val="003A5649"/>
    <w:rsid w:val="003A5654"/>
    <w:rsid w:val="003A585B"/>
    <w:rsid w:val="003A5896"/>
    <w:rsid w:val="003A5A61"/>
    <w:rsid w:val="003A5AC9"/>
    <w:rsid w:val="003A5C7A"/>
    <w:rsid w:val="003A5D28"/>
    <w:rsid w:val="003A5D69"/>
    <w:rsid w:val="003A5EB1"/>
    <w:rsid w:val="003A5ED6"/>
    <w:rsid w:val="003A5EF2"/>
    <w:rsid w:val="003A5F0A"/>
    <w:rsid w:val="003A600C"/>
    <w:rsid w:val="003A604B"/>
    <w:rsid w:val="003A6272"/>
    <w:rsid w:val="003A6288"/>
    <w:rsid w:val="003A636B"/>
    <w:rsid w:val="003A6463"/>
    <w:rsid w:val="003A64FB"/>
    <w:rsid w:val="003A656C"/>
    <w:rsid w:val="003A6610"/>
    <w:rsid w:val="003A6652"/>
    <w:rsid w:val="003A6701"/>
    <w:rsid w:val="003A67BA"/>
    <w:rsid w:val="003A6825"/>
    <w:rsid w:val="003A6A56"/>
    <w:rsid w:val="003A6B2C"/>
    <w:rsid w:val="003A6B9D"/>
    <w:rsid w:val="003A6C25"/>
    <w:rsid w:val="003A6CA8"/>
    <w:rsid w:val="003A6CE2"/>
    <w:rsid w:val="003A6D24"/>
    <w:rsid w:val="003A6D2D"/>
    <w:rsid w:val="003A6D5F"/>
    <w:rsid w:val="003A6DA8"/>
    <w:rsid w:val="003A6DAC"/>
    <w:rsid w:val="003A6E13"/>
    <w:rsid w:val="003A6EFE"/>
    <w:rsid w:val="003A6F87"/>
    <w:rsid w:val="003A6FF1"/>
    <w:rsid w:val="003A701B"/>
    <w:rsid w:val="003A70BB"/>
    <w:rsid w:val="003A70D5"/>
    <w:rsid w:val="003A7145"/>
    <w:rsid w:val="003A72B1"/>
    <w:rsid w:val="003A7303"/>
    <w:rsid w:val="003A731A"/>
    <w:rsid w:val="003A739E"/>
    <w:rsid w:val="003A73AB"/>
    <w:rsid w:val="003A744C"/>
    <w:rsid w:val="003A7534"/>
    <w:rsid w:val="003A77E2"/>
    <w:rsid w:val="003A7800"/>
    <w:rsid w:val="003A7AF4"/>
    <w:rsid w:val="003A7B70"/>
    <w:rsid w:val="003A7C69"/>
    <w:rsid w:val="003A7CFA"/>
    <w:rsid w:val="003A7D68"/>
    <w:rsid w:val="003A7DA4"/>
    <w:rsid w:val="003A7F4B"/>
    <w:rsid w:val="003A7F6D"/>
    <w:rsid w:val="003A7F82"/>
    <w:rsid w:val="003B0008"/>
    <w:rsid w:val="003B0130"/>
    <w:rsid w:val="003B015B"/>
    <w:rsid w:val="003B03B3"/>
    <w:rsid w:val="003B042E"/>
    <w:rsid w:val="003B0517"/>
    <w:rsid w:val="003B0652"/>
    <w:rsid w:val="003B073C"/>
    <w:rsid w:val="003B0753"/>
    <w:rsid w:val="003B0890"/>
    <w:rsid w:val="003B08D0"/>
    <w:rsid w:val="003B0907"/>
    <w:rsid w:val="003B09E0"/>
    <w:rsid w:val="003B0A83"/>
    <w:rsid w:val="003B0AA2"/>
    <w:rsid w:val="003B0AE8"/>
    <w:rsid w:val="003B0B97"/>
    <w:rsid w:val="003B0C6A"/>
    <w:rsid w:val="003B0C88"/>
    <w:rsid w:val="003B0CE7"/>
    <w:rsid w:val="003B0D67"/>
    <w:rsid w:val="003B0DF5"/>
    <w:rsid w:val="003B0E55"/>
    <w:rsid w:val="003B0E84"/>
    <w:rsid w:val="003B0ECE"/>
    <w:rsid w:val="003B0F26"/>
    <w:rsid w:val="003B0F5C"/>
    <w:rsid w:val="003B0F6E"/>
    <w:rsid w:val="003B100D"/>
    <w:rsid w:val="003B1169"/>
    <w:rsid w:val="003B136E"/>
    <w:rsid w:val="003B13DB"/>
    <w:rsid w:val="003B1445"/>
    <w:rsid w:val="003B1463"/>
    <w:rsid w:val="003B1483"/>
    <w:rsid w:val="003B1575"/>
    <w:rsid w:val="003B1705"/>
    <w:rsid w:val="003B1756"/>
    <w:rsid w:val="003B1863"/>
    <w:rsid w:val="003B1877"/>
    <w:rsid w:val="003B18DA"/>
    <w:rsid w:val="003B1964"/>
    <w:rsid w:val="003B1970"/>
    <w:rsid w:val="003B1971"/>
    <w:rsid w:val="003B1AB3"/>
    <w:rsid w:val="003B1B92"/>
    <w:rsid w:val="003B1D03"/>
    <w:rsid w:val="003B1D4E"/>
    <w:rsid w:val="003B1D97"/>
    <w:rsid w:val="003B1DEA"/>
    <w:rsid w:val="003B1F7B"/>
    <w:rsid w:val="003B1FE2"/>
    <w:rsid w:val="003B2009"/>
    <w:rsid w:val="003B2151"/>
    <w:rsid w:val="003B2162"/>
    <w:rsid w:val="003B21F8"/>
    <w:rsid w:val="003B222A"/>
    <w:rsid w:val="003B237B"/>
    <w:rsid w:val="003B23E4"/>
    <w:rsid w:val="003B241E"/>
    <w:rsid w:val="003B2464"/>
    <w:rsid w:val="003B2495"/>
    <w:rsid w:val="003B257D"/>
    <w:rsid w:val="003B2711"/>
    <w:rsid w:val="003B2777"/>
    <w:rsid w:val="003B2785"/>
    <w:rsid w:val="003B278E"/>
    <w:rsid w:val="003B27AD"/>
    <w:rsid w:val="003B2857"/>
    <w:rsid w:val="003B29CC"/>
    <w:rsid w:val="003B2A03"/>
    <w:rsid w:val="003B2B7A"/>
    <w:rsid w:val="003B2C88"/>
    <w:rsid w:val="003B2C91"/>
    <w:rsid w:val="003B2CDC"/>
    <w:rsid w:val="003B2D2C"/>
    <w:rsid w:val="003B2F6C"/>
    <w:rsid w:val="003B3073"/>
    <w:rsid w:val="003B30F0"/>
    <w:rsid w:val="003B3112"/>
    <w:rsid w:val="003B31BD"/>
    <w:rsid w:val="003B3399"/>
    <w:rsid w:val="003B33CD"/>
    <w:rsid w:val="003B3521"/>
    <w:rsid w:val="003B3533"/>
    <w:rsid w:val="003B35D8"/>
    <w:rsid w:val="003B367D"/>
    <w:rsid w:val="003B36FA"/>
    <w:rsid w:val="003B3830"/>
    <w:rsid w:val="003B384D"/>
    <w:rsid w:val="003B39BE"/>
    <w:rsid w:val="003B3A9C"/>
    <w:rsid w:val="003B3B4B"/>
    <w:rsid w:val="003B3D4F"/>
    <w:rsid w:val="003B3EB1"/>
    <w:rsid w:val="003B3EC9"/>
    <w:rsid w:val="003B3F62"/>
    <w:rsid w:val="003B3F7B"/>
    <w:rsid w:val="003B4036"/>
    <w:rsid w:val="003B4267"/>
    <w:rsid w:val="003B42EB"/>
    <w:rsid w:val="003B4412"/>
    <w:rsid w:val="003B449D"/>
    <w:rsid w:val="003B45F4"/>
    <w:rsid w:val="003B4631"/>
    <w:rsid w:val="003B463C"/>
    <w:rsid w:val="003B46A0"/>
    <w:rsid w:val="003B46BD"/>
    <w:rsid w:val="003B46FE"/>
    <w:rsid w:val="003B4707"/>
    <w:rsid w:val="003B4815"/>
    <w:rsid w:val="003B4848"/>
    <w:rsid w:val="003B4947"/>
    <w:rsid w:val="003B4ACF"/>
    <w:rsid w:val="003B4B7F"/>
    <w:rsid w:val="003B4BBC"/>
    <w:rsid w:val="003B4BFF"/>
    <w:rsid w:val="003B4CAF"/>
    <w:rsid w:val="003B4DCA"/>
    <w:rsid w:val="003B4DDE"/>
    <w:rsid w:val="003B4F8A"/>
    <w:rsid w:val="003B501A"/>
    <w:rsid w:val="003B506A"/>
    <w:rsid w:val="003B5300"/>
    <w:rsid w:val="003B5334"/>
    <w:rsid w:val="003B53C6"/>
    <w:rsid w:val="003B5466"/>
    <w:rsid w:val="003B549D"/>
    <w:rsid w:val="003B5510"/>
    <w:rsid w:val="003B56B8"/>
    <w:rsid w:val="003B5752"/>
    <w:rsid w:val="003B5763"/>
    <w:rsid w:val="003B577C"/>
    <w:rsid w:val="003B57BA"/>
    <w:rsid w:val="003B57C0"/>
    <w:rsid w:val="003B5850"/>
    <w:rsid w:val="003B5894"/>
    <w:rsid w:val="003B58B5"/>
    <w:rsid w:val="003B5A34"/>
    <w:rsid w:val="003B5A54"/>
    <w:rsid w:val="003B5AF1"/>
    <w:rsid w:val="003B5B52"/>
    <w:rsid w:val="003B5BD0"/>
    <w:rsid w:val="003B5D42"/>
    <w:rsid w:val="003B5DF5"/>
    <w:rsid w:val="003B5EC8"/>
    <w:rsid w:val="003B6046"/>
    <w:rsid w:val="003B606F"/>
    <w:rsid w:val="003B607B"/>
    <w:rsid w:val="003B6148"/>
    <w:rsid w:val="003B61FC"/>
    <w:rsid w:val="003B623E"/>
    <w:rsid w:val="003B6348"/>
    <w:rsid w:val="003B6380"/>
    <w:rsid w:val="003B63A7"/>
    <w:rsid w:val="003B6440"/>
    <w:rsid w:val="003B6470"/>
    <w:rsid w:val="003B6504"/>
    <w:rsid w:val="003B6511"/>
    <w:rsid w:val="003B652F"/>
    <w:rsid w:val="003B65A8"/>
    <w:rsid w:val="003B65BA"/>
    <w:rsid w:val="003B6649"/>
    <w:rsid w:val="003B673C"/>
    <w:rsid w:val="003B673F"/>
    <w:rsid w:val="003B67A5"/>
    <w:rsid w:val="003B6861"/>
    <w:rsid w:val="003B688D"/>
    <w:rsid w:val="003B68DD"/>
    <w:rsid w:val="003B69DC"/>
    <w:rsid w:val="003B6A3F"/>
    <w:rsid w:val="003B6A5E"/>
    <w:rsid w:val="003B6A93"/>
    <w:rsid w:val="003B6B03"/>
    <w:rsid w:val="003B6B0F"/>
    <w:rsid w:val="003B6B38"/>
    <w:rsid w:val="003B6B68"/>
    <w:rsid w:val="003B6CD3"/>
    <w:rsid w:val="003B6F15"/>
    <w:rsid w:val="003B71CD"/>
    <w:rsid w:val="003B7211"/>
    <w:rsid w:val="003B728A"/>
    <w:rsid w:val="003B734C"/>
    <w:rsid w:val="003B7353"/>
    <w:rsid w:val="003B7395"/>
    <w:rsid w:val="003B7504"/>
    <w:rsid w:val="003B760F"/>
    <w:rsid w:val="003B7672"/>
    <w:rsid w:val="003B773D"/>
    <w:rsid w:val="003B77F8"/>
    <w:rsid w:val="003B793D"/>
    <w:rsid w:val="003B79B7"/>
    <w:rsid w:val="003B7A58"/>
    <w:rsid w:val="003B7B0E"/>
    <w:rsid w:val="003B7B5D"/>
    <w:rsid w:val="003B7BE7"/>
    <w:rsid w:val="003B7C29"/>
    <w:rsid w:val="003B7C4E"/>
    <w:rsid w:val="003B7C55"/>
    <w:rsid w:val="003B7D79"/>
    <w:rsid w:val="003B7DCA"/>
    <w:rsid w:val="003B7DCD"/>
    <w:rsid w:val="003B7FA5"/>
    <w:rsid w:val="003B7FB9"/>
    <w:rsid w:val="003C0245"/>
    <w:rsid w:val="003C02BB"/>
    <w:rsid w:val="003C02C6"/>
    <w:rsid w:val="003C0318"/>
    <w:rsid w:val="003C0642"/>
    <w:rsid w:val="003C06ED"/>
    <w:rsid w:val="003C0748"/>
    <w:rsid w:val="003C0822"/>
    <w:rsid w:val="003C0850"/>
    <w:rsid w:val="003C0911"/>
    <w:rsid w:val="003C0966"/>
    <w:rsid w:val="003C0A37"/>
    <w:rsid w:val="003C0BE3"/>
    <w:rsid w:val="003C0C82"/>
    <w:rsid w:val="003C0D2E"/>
    <w:rsid w:val="003C0E50"/>
    <w:rsid w:val="003C0E52"/>
    <w:rsid w:val="003C0E59"/>
    <w:rsid w:val="003C0ED5"/>
    <w:rsid w:val="003C0F39"/>
    <w:rsid w:val="003C0F6C"/>
    <w:rsid w:val="003C1053"/>
    <w:rsid w:val="003C10E9"/>
    <w:rsid w:val="003C1126"/>
    <w:rsid w:val="003C11A8"/>
    <w:rsid w:val="003C11B1"/>
    <w:rsid w:val="003C11B9"/>
    <w:rsid w:val="003C11D9"/>
    <w:rsid w:val="003C11FA"/>
    <w:rsid w:val="003C139A"/>
    <w:rsid w:val="003C13C9"/>
    <w:rsid w:val="003C13F2"/>
    <w:rsid w:val="003C142A"/>
    <w:rsid w:val="003C147E"/>
    <w:rsid w:val="003C14A7"/>
    <w:rsid w:val="003C14C2"/>
    <w:rsid w:val="003C1549"/>
    <w:rsid w:val="003C1577"/>
    <w:rsid w:val="003C1640"/>
    <w:rsid w:val="003C164E"/>
    <w:rsid w:val="003C1650"/>
    <w:rsid w:val="003C1660"/>
    <w:rsid w:val="003C1717"/>
    <w:rsid w:val="003C17E7"/>
    <w:rsid w:val="003C17EB"/>
    <w:rsid w:val="003C17EF"/>
    <w:rsid w:val="003C1803"/>
    <w:rsid w:val="003C181D"/>
    <w:rsid w:val="003C1843"/>
    <w:rsid w:val="003C1940"/>
    <w:rsid w:val="003C1AA6"/>
    <w:rsid w:val="003C1BB4"/>
    <w:rsid w:val="003C1CD4"/>
    <w:rsid w:val="003C1DB3"/>
    <w:rsid w:val="003C1DCF"/>
    <w:rsid w:val="003C1E5E"/>
    <w:rsid w:val="003C1F2C"/>
    <w:rsid w:val="003C2024"/>
    <w:rsid w:val="003C2029"/>
    <w:rsid w:val="003C2093"/>
    <w:rsid w:val="003C20B5"/>
    <w:rsid w:val="003C228F"/>
    <w:rsid w:val="003C23C1"/>
    <w:rsid w:val="003C24B3"/>
    <w:rsid w:val="003C2508"/>
    <w:rsid w:val="003C2767"/>
    <w:rsid w:val="003C2880"/>
    <w:rsid w:val="003C28A7"/>
    <w:rsid w:val="003C2A4E"/>
    <w:rsid w:val="003C2BD5"/>
    <w:rsid w:val="003C2CBD"/>
    <w:rsid w:val="003C2CF1"/>
    <w:rsid w:val="003C2DE5"/>
    <w:rsid w:val="003C2F34"/>
    <w:rsid w:val="003C2F42"/>
    <w:rsid w:val="003C2F59"/>
    <w:rsid w:val="003C2FA9"/>
    <w:rsid w:val="003C2FC6"/>
    <w:rsid w:val="003C302C"/>
    <w:rsid w:val="003C3033"/>
    <w:rsid w:val="003C305D"/>
    <w:rsid w:val="003C3112"/>
    <w:rsid w:val="003C314E"/>
    <w:rsid w:val="003C3297"/>
    <w:rsid w:val="003C3382"/>
    <w:rsid w:val="003C33D3"/>
    <w:rsid w:val="003C33D6"/>
    <w:rsid w:val="003C34C9"/>
    <w:rsid w:val="003C3595"/>
    <w:rsid w:val="003C36C7"/>
    <w:rsid w:val="003C3B68"/>
    <w:rsid w:val="003C3C42"/>
    <w:rsid w:val="003C3C9E"/>
    <w:rsid w:val="003C3D7B"/>
    <w:rsid w:val="003C3D98"/>
    <w:rsid w:val="003C3DAA"/>
    <w:rsid w:val="003C3E1E"/>
    <w:rsid w:val="003C3EB3"/>
    <w:rsid w:val="003C3EBB"/>
    <w:rsid w:val="003C3ECE"/>
    <w:rsid w:val="003C3FB6"/>
    <w:rsid w:val="003C3FC3"/>
    <w:rsid w:val="003C3FCC"/>
    <w:rsid w:val="003C4152"/>
    <w:rsid w:val="003C425A"/>
    <w:rsid w:val="003C42E8"/>
    <w:rsid w:val="003C4522"/>
    <w:rsid w:val="003C454B"/>
    <w:rsid w:val="003C4553"/>
    <w:rsid w:val="003C4601"/>
    <w:rsid w:val="003C46CE"/>
    <w:rsid w:val="003C4764"/>
    <w:rsid w:val="003C4771"/>
    <w:rsid w:val="003C4791"/>
    <w:rsid w:val="003C4882"/>
    <w:rsid w:val="003C4979"/>
    <w:rsid w:val="003C4A9F"/>
    <w:rsid w:val="003C4C4C"/>
    <w:rsid w:val="003C4CE8"/>
    <w:rsid w:val="003C4CEF"/>
    <w:rsid w:val="003C5038"/>
    <w:rsid w:val="003C5096"/>
    <w:rsid w:val="003C50D8"/>
    <w:rsid w:val="003C5100"/>
    <w:rsid w:val="003C5165"/>
    <w:rsid w:val="003C519B"/>
    <w:rsid w:val="003C51BA"/>
    <w:rsid w:val="003C5350"/>
    <w:rsid w:val="003C5359"/>
    <w:rsid w:val="003C53C9"/>
    <w:rsid w:val="003C545B"/>
    <w:rsid w:val="003C548B"/>
    <w:rsid w:val="003C54C7"/>
    <w:rsid w:val="003C54FA"/>
    <w:rsid w:val="003C5553"/>
    <w:rsid w:val="003C5556"/>
    <w:rsid w:val="003C55B8"/>
    <w:rsid w:val="003C58D8"/>
    <w:rsid w:val="003C5900"/>
    <w:rsid w:val="003C59CC"/>
    <w:rsid w:val="003C5ACF"/>
    <w:rsid w:val="003C5AFD"/>
    <w:rsid w:val="003C5B3F"/>
    <w:rsid w:val="003C5C9A"/>
    <w:rsid w:val="003C5C9D"/>
    <w:rsid w:val="003C5D3E"/>
    <w:rsid w:val="003C5FA4"/>
    <w:rsid w:val="003C60D5"/>
    <w:rsid w:val="003C6199"/>
    <w:rsid w:val="003C61D7"/>
    <w:rsid w:val="003C62A7"/>
    <w:rsid w:val="003C62F0"/>
    <w:rsid w:val="003C641A"/>
    <w:rsid w:val="003C6530"/>
    <w:rsid w:val="003C65D9"/>
    <w:rsid w:val="003C65DE"/>
    <w:rsid w:val="003C65F5"/>
    <w:rsid w:val="003C661C"/>
    <w:rsid w:val="003C67B7"/>
    <w:rsid w:val="003C688A"/>
    <w:rsid w:val="003C68CC"/>
    <w:rsid w:val="003C68EA"/>
    <w:rsid w:val="003C698C"/>
    <w:rsid w:val="003C69F8"/>
    <w:rsid w:val="003C6A09"/>
    <w:rsid w:val="003C6A76"/>
    <w:rsid w:val="003C6CA1"/>
    <w:rsid w:val="003C6CC6"/>
    <w:rsid w:val="003C6DA9"/>
    <w:rsid w:val="003C6F3D"/>
    <w:rsid w:val="003C703D"/>
    <w:rsid w:val="003C7042"/>
    <w:rsid w:val="003C704A"/>
    <w:rsid w:val="003C70FD"/>
    <w:rsid w:val="003C7124"/>
    <w:rsid w:val="003C719D"/>
    <w:rsid w:val="003C7223"/>
    <w:rsid w:val="003C723C"/>
    <w:rsid w:val="003C7274"/>
    <w:rsid w:val="003C7343"/>
    <w:rsid w:val="003C73D7"/>
    <w:rsid w:val="003C7414"/>
    <w:rsid w:val="003C744F"/>
    <w:rsid w:val="003C7494"/>
    <w:rsid w:val="003C75FE"/>
    <w:rsid w:val="003C7647"/>
    <w:rsid w:val="003C7700"/>
    <w:rsid w:val="003C786B"/>
    <w:rsid w:val="003C78B0"/>
    <w:rsid w:val="003C790F"/>
    <w:rsid w:val="003C7AEC"/>
    <w:rsid w:val="003C7BF3"/>
    <w:rsid w:val="003C7D33"/>
    <w:rsid w:val="003C7D80"/>
    <w:rsid w:val="003C7E2C"/>
    <w:rsid w:val="003C7E36"/>
    <w:rsid w:val="003C7F3F"/>
    <w:rsid w:val="003C7F75"/>
    <w:rsid w:val="003D0038"/>
    <w:rsid w:val="003D00CC"/>
    <w:rsid w:val="003D01BC"/>
    <w:rsid w:val="003D01EA"/>
    <w:rsid w:val="003D026A"/>
    <w:rsid w:val="003D0317"/>
    <w:rsid w:val="003D032D"/>
    <w:rsid w:val="003D0357"/>
    <w:rsid w:val="003D03D1"/>
    <w:rsid w:val="003D040D"/>
    <w:rsid w:val="003D041C"/>
    <w:rsid w:val="003D0427"/>
    <w:rsid w:val="003D042C"/>
    <w:rsid w:val="003D04E6"/>
    <w:rsid w:val="003D06DF"/>
    <w:rsid w:val="003D0870"/>
    <w:rsid w:val="003D0872"/>
    <w:rsid w:val="003D08C9"/>
    <w:rsid w:val="003D09D5"/>
    <w:rsid w:val="003D0AC4"/>
    <w:rsid w:val="003D0BBD"/>
    <w:rsid w:val="003D0CD7"/>
    <w:rsid w:val="003D0CE6"/>
    <w:rsid w:val="003D0D77"/>
    <w:rsid w:val="003D0DE9"/>
    <w:rsid w:val="003D0FB2"/>
    <w:rsid w:val="003D0FB3"/>
    <w:rsid w:val="003D0FD7"/>
    <w:rsid w:val="003D10CB"/>
    <w:rsid w:val="003D1203"/>
    <w:rsid w:val="003D12D0"/>
    <w:rsid w:val="003D13BF"/>
    <w:rsid w:val="003D13DB"/>
    <w:rsid w:val="003D149B"/>
    <w:rsid w:val="003D14B7"/>
    <w:rsid w:val="003D15AD"/>
    <w:rsid w:val="003D15AF"/>
    <w:rsid w:val="003D15FB"/>
    <w:rsid w:val="003D1778"/>
    <w:rsid w:val="003D17C0"/>
    <w:rsid w:val="003D18FD"/>
    <w:rsid w:val="003D19B3"/>
    <w:rsid w:val="003D1A15"/>
    <w:rsid w:val="003D1AEF"/>
    <w:rsid w:val="003D1B59"/>
    <w:rsid w:val="003D1FCB"/>
    <w:rsid w:val="003D209C"/>
    <w:rsid w:val="003D20F9"/>
    <w:rsid w:val="003D2162"/>
    <w:rsid w:val="003D2175"/>
    <w:rsid w:val="003D232E"/>
    <w:rsid w:val="003D2453"/>
    <w:rsid w:val="003D256F"/>
    <w:rsid w:val="003D25EE"/>
    <w:rsid w:val="003D26C3"/>
    <w:rsid w:val="003D27DB"/>
    <w:rsid w:val="003D2825"/>
    <w:rsid w:val="003D2902"/>
    <w:rsid w:val="003D2A10"/>
    <w:rsid w:val="003D2BD7"/>
    <w:rsid w:val="003D2BE6"/>
    <w:rsid w:val="003D2C32"/>
    <w:rsid w:val="003D2C6A"/>
    <w:rsid w:val="003D2CA9"/>
    <w:rsid w:val="003D2CBF"/>
    <w:rsid w:val="003D2CC6"/>
    <w:rsid w:val="003D2EBF"/>
    <w:rsid w:val="003D2F73"/>
    <w:rsid w:val="003D2F8B"/>
    <w:rsid w:val="003D321C"/>
    <w:rsid w:val="003D328F"/>
    <w:rsid w:val="003D335A"/>
    <w:rsid w:val="003D337F"/>
    <w:rsid w:val="003D33D0"/>
    <w:rsid w:val="003D33FA"/>
    <w:rsid w:val="003D3419"/>
    <w:rsid w:val="003D3510"/>
    <w:rsid w:val="003D3555"/>
    <w:rsid w:val="003D35D1"/>
    <w:rsid w:val="003D35EB"/>
    <w:rsid w:val="003D3604"/>
    <w:rsid w:val="003D365A"/>
    <w:rsid w:val="003D36B5"/>
    <w:rsid w:val="003D3765"/>
    <w:rsid w:val="003D378D"/>
    <w:rsid w:val="003D3792"/>
    <w:rsid w:val="003D37B1"/>
    <w:rsid w:val="003D3856"/>
    <w:rsid w:val="003D3AB3"/>
    <w:rsid w:val="003D3B54"/>
    <w:rsid w:val="003D3BA4"/>
    <w:rsid w:val="003D3BAC"/>
    <w:rsid w:val="003D3C4E"/>
    <w:rsid w:val="003D3D83"/>
    <w:rsid w:val="003D3E14"/>
    <w:rsid w:val="003D3E24"/>
    <w:rsid w:val="003D3EB6"/>
    <w:rsid w:val="003D3F00"/>
    <w:rsid w:val="003D3FAE"/>
    <w:rsid w:val="003D3FD8"/>
    <w:rsid w:val="003D3FF5"/>
    <w:rsid w:val="003D4010"/>
    <w:rsid w:val="003D40D9"/>
    <w:rsid w:val="003D427A"/>
    <w:rsid w:val="003D431F"/>
    <w:rsid w:val="003D432D"/>
    <w:rsid w:val="003D4364"/>
    <w:rsid w:val="003D44D9"/>
    <w:rsid w:val="003D454D"/>
    <w:rsid w:val="003D479A"/>
    <w:rsid w:val="003D47DE"/>
    <w:rsid w:val="003D480B"/>
    <w:rsid w:val="003D48DE"/>
    <w:rsid w:val="003D490E"/>
    <w:rsid w:val="003D498F"/>
    <w:rsid w:val="003D49F3"/>
    <w:rsid w:val="003D4AAD"/>
    <w:rsid w:val="003D4ADF"/>
    <w:rsid w:val="003D4B2D"/>
    <w:rsid w:val="003D4BE6"/>
    <w:rsid w:val="003D4C4C"/>
    <w:rsid w:val="003D4C69"/>
    <w:rsid w:val="003D4DA7"/>
    <w:rsid w:val="003D4E07"/>
    <w:rsid w:val="003D4EAD"/>
    <w:rsid w:val="003D4F02"/>
    <w:rsid w:val="003D4F38"/>
    <w:rsid w:val="003D4F48"/>
    <w:rsid w:val="003D4FA0"/>
    <w:rsid w:val="003D4FE7"/>
    <w:rsid w:val="003D50B8"/>
    <w:rsid w:val="003D5111"/>
    <w:rsid w:val="003D519D"/>
    <w:rsid w:val="003D52B2"/>
    <w:rsid w:val="003D53AD"/>
    <w:rsid w:val="003D53B9"/>
    <w:rsid w:val="003D53DE"/>
    <w:rsid w:val="003D542A"/>
    <w:rsid w:val="003D54B7"/>
    <w:rsid w:val="003D54DB"/>
    <w:rsid w:val="003D566E"/>
    <w:rsid w:val="003D56D8"/>
    <w:rsid w:val="003D571A"/>
    <w:rsid w:val="003D579D"/>
    <w:rsid w:val="003D57F9"/>
    <w:rsid w:val="003D587A"/>
    <w:rsid w:val="003D5925"/>
    <w:rsid w:val="003D59E8"/>
    <w:rsid w:val="003D5A68"/>
    <w:rsid w:val="003D5A98"/>
    <w:rsid w:val="003D5AB8"/>
    <w:rsid w:val="003D5B9D"/>
    <w:rsid w:val="003D5BB0"/>
    <w:rsid w:val="003D5BDF"/>
    <w:rsid w:val="003D5BE0"/>
    <w:rsid w:val="003D5C0E"/>
    <w:rsid w:val="003D5CF2"/>
    <w:rsid w:val="003D5D16"/>
    <w:rsid w:val="003D5DB5"/>
    <w:rsid w:val="003D5E84"/>
    <w:rsid w:val="003D5F39"/>
    <w:rsid w:val="003D5FB7"/>
    <w:rsid w:val="003D60D2"/>
    <w:rsid w:val="003D6211"/>
    <w:rsid w:val="003D621A"/>
    <w:rsid w:val="003D62C5"/>
    <w:rsid w:val="003D638B"/>
    <w:rsid w:val="003D64FF"/>
    <w:rsid w:val="003D6649"/>
    <w:rsid w:val="003D6662"/>
    <w:rsid w:val="003D66C6"/>
    <w:rsid w:val="003D66DF"/>
    <w:rsid w:val="003D6703"/>
    <w:rsid w:val="003D676E"/>
    <w:rsid w:val="003D691B"/>
    <w:rsid w:val="003D69C4"/>
    <w:rsid w:val="003D6AC9"/>
    <w:rsid w:val="003D6B3C"/>
    <w:rsid w:val="003D6B6E"/>
    <w:rsid w:val="003D6BCE"/>
    <w:rsid w:val="003D6C17"/>
    <w:rsid w:val="003D6CB2"/>
    <w:rsid w:val="003D6D2C"/>
    <w:rsid w:val="003D6D71"/>
    <w:rsid w:val="003D6D98"/>
    <w:rsid w:val="003D6DF5"/>
    <w:rsid w:val="003D6E39"/>
    <w:rsid w:val="003D6E8D"/>
    <w:rsid w:val="003D6EBF"/>
    <w:rsid w:val="003D6EE0"/>
    <w:rsid w:val="003D6FCA"/>
    <w:rsid w:val="003D7062"/>
    <w:rsid w:val="003D71A3"/>
    <w:rsid w:val="003D7220"/>
    <w:rsid w:val="003D7392"/>
    <w:rsid w:val="003D73AD"/>
    <w:rsid w:val="003D7429"/>
    <w:rsid w:val="003D751D"/>
    <w:rsid w:val="003D75C3"/>
    <w:rsid w:val="003D75E1"/>
    <w:rsid w:val="003D760E"/>
    <w:rsid w:val="003D7756"/>
    <w:rsid w:val="003D7A06"/>
    <w:rsid w:val="003D7A79"/>
    <w:rsid w:val="003D7C4E"/>
    <w:rsid w:val="003D7CBE"/>
    <w:rsid w:val="003D7D0C"/>
    <w:rsid w:val="003D7D30"/>
    <w:rsid w:val="003D7DB1"/>
    <w:rsid w:val="003D7DD0"/>
    <w:rsid w:val="003D7DF3"/>
    <w:rsid w:val="003D7EFB"/>
    <w:rsid w:val="003D7F40"/>
    <w:rsid w:val="003E0086"/>
    <w:rsid w:val="003E0214"/>
    <w:rsid w:val="003E0280"/>
    <w:rsid w:val="003E02C3"/>
    <w:rsid w:val="003E0313"/>
    <w:rsid w:val="003E0364"/>
    <w:rsid w:val="003E04DA"/>
    <w:rsid w:val="003E04E2"/>
    <w:rsid w:val="003E06C8"/>
    <w:rsid w:val="003E071F"/>
    <w:rsid w:val="003E0790"/>
    <w:rsid w:val="003E07B1"/>
    <w:rsid w:val="003E0A6A"/>
    <w:rsid w:val="003E0A6F"/>
    <w:rsid w:val="003E0ACB"/>
    <w:rsid w:val="003E0BB8"/>
    <w:rsid w:val="003E0C52"/>
    <w:rsid w:val="003E0D2C"/>
    <w:rsid w:val="003E0D5B"/>
    <w:rsid w:val="003E0DBD"/>
    <w:rsid w:val="003E0E0B"/>
    <w:rsid w:val="003E0E9A"/>
    <w:rsid w:val="003E0F31"/>
    <w:rsid w:val="003E0F97"/>
    <w:rsid w:val="003E0FE2"/>
    <w:rsid w:val="003E100E"/>
    <w:rsid w:val="003E1047"/>
    <w:rsid w:val="003E10CE"/>
    <w:rsid w:val="003E1194"/>
    <w:rsid w:val="003E1263"/>
    <w:rsid w:val="003E1361"/>
    <w:rsid w:val="003E1378"/>
    <w:rsid w:val="003E13C8"/>
    <w:rsid w:val="003E13FA"/>
    <w:rsid w:val="003E14E8"/>
    <w:rsid w:val="003E1579"/>
    <w:rsid w:val="003E1608"/>
    <w:rsid w:val="003E164A"/>
    <w:rsid w:val="003E16D5"/>
    <w:rsid w:val="003E1741"/>
    <w:rsid w:val="003E1824"/>
    <w:rsid w:val="003E183A"/>
    <w:rsid w:val="003E1871"/>
    <w:rsid w:val="003E18B4"/>
    <w:rsid w:val="003E1989"/>
    <w:rsid w:val="003E1ACA"/>
    <w:rsid w:val="003E1AD6"/>
    <w:rsid w:val="003E1B5C"/>
    <w:rsid w:val="003E1DD5"/>
    <w:rsid w:val="003E1DDF"/>
    <w:rsid w:val="003E1E8E"/>
    <w:rsid w:val="003E1FC1"/>
    <w:rsid w:val="003E204B"/>
    <w:rsid w:val="003E2105"/>
    <w:rsid w:val="003E217C"/>
    <w:rsid w:val="003E221E"/>
    <w:rsid w:val="003E22BE"/>
    <w:rsid w:val="003E231F"/>
    <w:rsid w:val="003E2320"/>
    <w:rsid w:val="003E234D"/>
    <w:rsid w:val="003E23E1"/>
    <w:rsid w:val="003E23E5"/>
    <w:rsid w:val="003E2450"/>
    <w:rsid w:val="003E24EE"/>
    <w:rsid w:val="003E2600"/>
    <w:rsid w:val="003E2631"/>
    <w:rsid w:val="003E2632"/>
    <w:rsid w:val="003E263F"/>
    <w:rsid w:val="003E2649"/>
    <w:rsid w:val="003E27C6"/>
    <w:rsid w:val="003E2808"/>
    <w:rsid w:val="003E2812"/>
    <w:rsid w:val="003E2943"/>
    <w:rsid w:val="003E2B14"/>
    <w:rsid w:val="003E2BDA"/>
    <w:rsid w:val="003E2D52"/>
    <w:rsid w:val="003E2D7E"/>
    <w:rsid w:val="003E2D9A"/>
    <w:rsid w:val="003E2E72"/>
    <w:rsid w:val="003E2EE3"/>
    <w:rsid w:val="003E2F19"/>
    <w:rsid w:val="003E3047"/>
    <w:rsid w:val="003E30D4"/>
    <w:rsid w:val="003E31D8"/>
    <w:rsid w:val="003E33B5"/>
    <w:rsid w:val="003E33C3"/>
    <w:rsid w:val="003E3600"/>
    <w:rsid w:val="003E37C3"/>
    <w:rsid w:val="003E383D"/>
    <w:rsid w:val="003E3919"/>
    <w:rsid w:val="003E3984"/>
    <w:rsid w:val="003E3A68"/>
    <w:rsid w:val="003E3A7A"/>
    <w:rsid w:val="003E3A7F"/>
    <w:rsid w:val="003E3CAA"/>
    <w:rsid w:val="003E3DEE"/>
    <w:rsid w:val="003E3F85"/>
    <w:rsid w:val="003E429F"/>
    <w:rsid w:val="003E42AE"/>
    <w:rsid w:val="003E447C"/>
    <w:rsid w:val="003E4552"/>
    <w:rsid w:val="003E457A"/>
    <w:rsid w:val="003E45B8"/>
    <w:rsid w:val="003E4615"/>
    <w:rsid w:val="003E461C"/>
    <w:rsid w:val="003E46E3"/>
    <w:rsid w:val="003E4714"/>
    <w:rsid w:val="003E4760"/>
    <w:rsid w:val="003E48C4"/>
    <w:rsid w:val="003E4985"/>
    <w:rsid w:val="003E4987"/>
    <w:rsid w:val="003E4AB2"/>
    <w:rsid w:val="003E4B41"/>
    <w:rsid w:val="003E4C45"/>
    <w:rsid w:val="003E4C8E"/>
    <w:rsid w:val="003E4D01"/>
    <w:rsid w:val="003E4D37"/>
    <w:rsid w:val="003E4D5A"/>
    <w:rsid w:val="003E4EA7"/>
    <w:rsid w:val="003E4F67"/>
    <w:rsid w:val="003E4F6B"/>
    <w:rsid w:val="003E504C"/>
    <w:rsid w:val="003E50CC"/>
    <w:rsid w:val="003E5272"/>
    <w:rsid w:val="003E539D"/>
    <w:rsid w:val="003E5501"/>
    <w:rsid w:val="003E562D"/>
    <w:rsid w:val="003E56B8"/>
    <w:rsid w:val="003E578B"/>
    <w:rsid w:val="003E58D9"/>
    <w:rsid w:val="003E590E"/>
    <w:rsid w:val="003E598A"/>
    <w:rsid w:val="003E5A2C"/>
    <w:rsid w:val="003E5A51"/>
    <w:rsid w:val="003E5AE3"/>
    <w:rsid w:val="003E5B15"/>
    <w:rsid w:val="003E5BBA"/>
    <w:rsid w:val="003E5BDE"/>
    <w:rsid w:val="003E5CA6"/>
    <w:rsid w:val="003E5D7C"/>
    <w:rsid w:val="003E5E23"/>
    <w:rsid w:val="003E5F73"/>
    <w:rsid w:val="003E5F97"/>
    <w:rsid w:val="003E60BE"/>
    <w:rsid w:val="003E6116"/>
    <w:rsid w:val="003E6119"/>
    <w:rsid w:val="003E6120"/>
    <w:rsid w:val="003E616C"/>
    <w:rsid w:val="003E618A"/>
    <w:rsid w:val="003E62F6"/>
    <w:rsid w:val="003E63C5"/>
    <w:rsid w:val="003E64CE"/>
    <w:rsid w:val="003E64E0"/>
    <w:rsid w:val="003E651D"/>
    <w:rsid w:val="003E65D6"/>
    <w:rsid w:val="003E663E"/>
    <w:rsid w:val="003E6652"/>
    <w:rsid w:val="003E6695"/>
    <w:rsid w:val="003E6703"/>
    <w:rsid w:val="003E6719"/>
    <w:rsid w:val="003E673F"/>
    <w:rsid w:val="003E678B"/>
    <w:rsid w:val="003E67A1"/>
    <w:rsid w:val="003E67B0"/>
    <w:rsid w:val="003E67CE"/>
    <w:rsid w:val="003E67DA"/>
    <w:rsid w:val="003E685F"/>
    <w:rsid w:val="003E6A4D"/>
    <w:rsid w:val="003E6B8F"/>
    <w:rsid w:val="003E6BED"/>
    <w:rsid w:val="003E6C9A"/>
    <w:rsid w:val="003E6CFB"/>
    <w:rsid w:val="003E6D51"/>
    <w:rsid w:val="003E6D8D"/>
    <w:rsid w:val="003E6E96"/>
    <w:rsid w:val="003E6EE7"/>
    <w:rsid w:val="003E6F3E"/>
    <w:rsid w:val="003E6F78"/>
    <w:rsid w:val="003E6F84"/>
    <w:rsid w:val="003E6F90"/>
    <w:rsid w:val="003E6F92"/>
    <w:rsid w:val="003E702E"/>
    <w:rsid w:val="003E70D4"/>
    <w:rsid w:val="003E710B"/>
    <w:rsid w:val="003E7290"/>
    <w:rsid w:val="003E72DE"/>
    <w:rsid w:val="003E7365"/>
    <w:rsid w:val="003E7418"/>
    <w:rsid w:val="003E75E1"/>
    <w:rsid w:val="003E769B"/>
    <w:rsid w:val="003E786B"/>
    <w:rsid w:val="003E7883"/>
    <w:rsid w:val="003E792E"/>
    <w:rsid w:val="003E793C"/>
    <w:rsid w:val="003E794C"/>
    <w:rsid w:val="003E79D3"/>
    <w:rsid w:val="003E7A87"/>
    <w:rsid w:val="003E7ACF"/>
    <w:rsid w:val="003E7B64"/>
    <w:rsid w:val="003E7C74"/>
    <w:rsid w:val="003E7D15"/>
    <w:rsid w:val="003E7ECB"/>
    <w:rsid w:val="003E7F49"/>
    <w:rsid w:val="003E7F90"/>
    <w:rsid w:val="003F006D"/>
    <w:rsid w:val="003F00F3"/>
    <w:rsid w:val="003F0173"/>
    <w:rsid w:val="003F0201"/>
    <w:rsid w:val="003F0203"/>
    <w:rsid w:val="003F02B6"/>
    <w:rsid w:val="003F02C2"/>
    <w:rsid w:val="003F039D"/>
    <w:rsid w:val="003F03C8"/>
    <w:rsid w:val="003F0468"/>
    <w:rsid w:val="003F047F"/>
    <w:rsid w:val="003F0490"/>
    <w:rsid w:val="003F0507"/>
    <w:rsid w:val="003F0811"/>
    <w:rsid w:val="003F08BC"/>
    <w:rsid w:val="003F096B"/>
    <w:rsid w:val="003F0A75"/>
    <w:rsid w:val="003F0ACC"/>
    <w:rsid w:val="003F0D36"/>
    <w:rsid w:val="003F0D7F"/>
    <w:rsid w:val="003F0D81"/>
    <w:rsid w:val="003F0E26"/>
    <w:rsid w:val="003F0E35"/>
    <w:rsid w:val="003F0F0E"/>
    <w:rsid w:val="003F0F31"/>
    <w:rsid w:val="003F105C"/>
    <w:rsid w:val="003F10ED"/>
    <w:rsid w:val="003F1104"/>
    <w:rsid w:val="003F1318"/>
    <w:rsid w:val="003F1371"/>
    <w:rsid w:val="003F137E"/>
    <w:rsid w:val="003F140E"/>
    <w:rsid w:val="003F1413"/>
    <w:rsid w:val="003F158E"/>
    <w:rsid w:val="003F15D4"/>
    <w:rsid w:val="003F15F6"/>
    <w:rsid w:val="003F170C"/>
    <w:rsid w:val="003F17FC"/>
    <w:rsid w:val="003F1849"/>
    <w:rsid w:val="003F18F8"/>
    <w:rsid w:val="003F196D"/>
    <w:rsid w:val="003F197D"/>
    <w:rsid w:val="003F198D"/>
    <w:rsid w:val="003F19D4"/>
    <w:rsid w:val="003F19F6"/>
    <w:rsid w:val="003F1A78"/>
    <w:rsid w:val="003F1A80"/>
    <w:rsid w:val="003F1A97"/>
    <w:rsid w:val="003F1AA7"/>
    <w:rsid w:val="003F1B0E"/>
    <w:rsid w:val="003F1B49"/>
    <w:rsid w:val="003F1C8F"/>
    <w:rsid w:val="003F1E28"/>
    <w:rsid w:val="003F1E31"/>
    <w:rsid w:val="003F1E5A"/>
    <w:rsid w:val="003F1EEC"/>
    <w:rsid w:val="003F1F8E"/>
    <w:rsid w:val="003F1FED"/>
    <w:rsid w:val="003F2226"/>
    <w:rsid w:val="003F2546"/>
    <w:rsid w:val="003F25A0"/>
    <w:rsid w:val="003F2681"/>
    <w:rsid w:val="003F26C1"/>
    <w:rsid w:val="003F28ED"/>
    <w:rsid w:val="003F2971"/>
    <w:rsid w:val="003F2A7A"/>
    <w:rsid w:val="003F2B3B"/>
    <w:rsid w:val="003F2C7F"/>
    <w:rsid w:val="003F2D3C"/>
    <w:rsid w:val="003F2F49"/>
    <w:rsid w:val="003F2F76"/>
    <w:rsid w:val="003F3000"/>
    <w:rsid w:val="003F31E5"/>
    <w:rsid w:val="003F3305"/>
    <w:rsid w:val="003F3486"/>
    <w:rsid w:val="003F34D4"/>
    <w:rsid w:val="003F3561"/>
    <w:rsid w:val="003F3598"/>
    <w:rsid w:val="003F361D"/>
    <w:rsid w:val="003F37C6"/>
    <w:rsid w:val="003F37D6"/>
    <w:rsid w:val="003F390D"/>
    <w:rsid w:val="003F3AF4"/>
    <w:rsid w:val="003F3B3D"/>
    <w:rsid w:val="003F3C15"/>
    <w:rsid w:val="003F3DCA"/>
    <w:rsid w:val="003F3E57"/>
    <w:rsid w:val="003F3EB3"/>
    <w:rsid w:val="003F3F7D"/>
    <w:rsid w:val="003F3F82"/>
    <w:rsid w:val="003F3FB1"/>
    <w:rsid w:val="003F422C"/>
    <w:rsid w:val="003F428D"/>
    <w:rsid w:val="003F42E6"/>
    <w:rsid w:val="003F433C"/>
    <w:rsid w:val="003F4385"/>
    <w:rsid w:val="003F4469"/>
    <w:rsid w:val="003F44D3"/>
    <w:rsid w:val="003F4537"/>
    <w:rsid w:val="003F45E2"/>
    <w:rsid w:val="003F462E"/>
    <w:rsid w:val="003F46A4"/>
    <w:rsid w:val="003F4733"/>
    <w:rsid w:val="003F4744"/>
    <w:rsid w:val="003F4790"/>
    <w:rsid w:val="003F4874"/>
    <w:rsid w:val="003F48B8"/>
    <w:rsid w:val="003F4904"/>
    <w:rsid w:val="003F49E6"/>
    <w:rsid w:val="003F4A9C"/>
    <w:rsid w:val="003F4B12"/>
    <w:rsid w:val="003F4B20"/>
    <w:rsid w:val="003F4B31"/>
    <w:rsid w:val="003F4B83"/>
    <w:rsid w:val="003F4DD5"/>
    <w:rsid w:val="003F4ECB"/>
    <w:rsid w:val="003F51D7"/>
    <w:rsid w:val="003F5299"/>
    <w:rsid w:val="003F54AD"/>
    <w:rsid w:val="003F55E4"/>
    <w:rsid w:val="003F56AF"/>
    <w:rsid w:val="003F572B"/>
    <w:rsid w:val="003F584C"/>
    <w:rsid w:val="003F585D"/>
    <w:rsid w:val="003F58E5"/>
    <w:rsid w:val="003F5949"/>
    <w:rsid w:val="003F596F"/>
    <w:rsid w:val="003F5AB5"/>
    <w:rsid w:val="003F5AC8"/>
    <w:rsid w:val="003F5B52"/>
    <w:rsid w:val="003F5BA7"/>
    <w:rsid w:val="003F5C20"/>
    <w:rsid w:val="003F5D0E"/>
    <w:rsid w:val="003F5D80"/>
    <w:rsid w:val="003F5E2E"/>
    <w:rsid w:val="003F5F28"/>
    <w:rsid w:val="003F5F60"/>
    <w:rsid w:val="003F5FCE"/>
    <w:rsid w:val="003F6072"/>
    <w:rsid w:val="003F634E"/>
    <w:rsid w:val="003F640E"/>
    <w:rsid w:val="003F6501"/>
    <w:rsid w:val="003F6542"/>
    <w:rsid w:val="003F6566"/>
    <w:rsid w:val="003F656B"/>
    <w:rsid w:val="003F6596"/>
    <w:rsid w:val="003F65B3"/>
    <w:rsid w:val="003F65E0"/>
    <w:rsid w:val="003F660D"/>
    <w:rsid w:val="003F6659"/>
    <w:rsid w:val="003F667E"/>
    <w:rsid w:val="003F6684"/>
    <w:rsid w:val="003F66C5"/>
    <w:rsid w:val="003F6728"/>
    <w:rsid w:val="003F6827"/>
    <w:rsid w:val="003F6832"/>
    <w:rsid w:val="003F6949"/>
    <w:rsid w:val="003F698D"/>
    <w:rsid w:val="003F698E"/>
    <w:rsid w:val="003F699E"/>
    <w:rsid w:val="003F6B34"/>
    <w:rsid w:val="003F6D0C"/>
    <w:rsid w:val="003F6E81"/>
    <w:rsid w:val="003F6F67"/>
    <w:rsid w:val="003F7079"/>
    <w:rsid w:val="003F7098"/>
    <w:rsid w:val="003F713B"/>
    <w:rsid w:val="003F7212"/>
    <w:rsid w:val="003F724A"/>
    <w:rsid w:val="003F7327"/>
    <w:rsid w:val="003F7349"/>
    <w:rsid w:val="003F737C"/>
    <w:rsid w:val="003F741F"/>
    <w:rsid w:val="003F7472"/>
    <w:rsid w:val="003F74C7"/>
    <w:rsid w:val="003F74F5"/>
    <w:rsid w:val="003F74F9"/>
    <w:rsid w:val="003F76BE"/>
    <w:rsid w:val="003F76C3"/>
    <w:rsid w:val="003F77C4"/>
    <w:rsid w:val="003F78C0"/>
    <w:rsid w:val="003F792A"/>
    <w:rsid w:val="003F796D"/>
    <w:rsid w:val="003F79E5"/>
    <w:rsid w:val="003F7BC9"/>
    <w:rsid w:val="003F7C50"/>
    <w:rsid w:val="003F7C70"/>
    <w:rsid w:val="003F7D30"/>
    <w:rsid w:val="003F7DAB"/>
    <w:rsid w:val="003F7DB0"/>
    <w:rsid w:val="00400054"/>
    <w:rsid w:val="004000E2"/>
    <w:rsid w:val="00400128"/>
    <w:rsid w:val="004001AB"/>
    <w:rsid w:val="00400237"/>
    <w:rsid w:val="00400259"/>
    <w:rsid w:val="00400384"/>
    <w:rsid w:val="00400407"/>
    <w:rsid w:val="00400412"/>
    <w:rsid w:val="00400424"/>
    <w:rsid w:val="00400437"/>
    <w:rsid w:val="0040047C"/>
    <w:rsid w:val="00400524"/>
    <w:rsid w:val="0040056F"/>
    <w:rsid w:val="00400649"/>
    <w:rsid w:val="00400709"/>
    <w:rsid w:val="0040073C"/>
    <w:rsid w:val="004008F9"/>
    <w:rsid w:val="0040099B"/>
    <w:rsid w:val="004009AF"/>
    <w:rsid w:val="00400AB1"/>
    <w:rsid w:val="00400ABC"/>
    <w:rsid w:val="00400D98"/>
    <w:rsid w:val="00400E1C"/>
    <w:rsid w:val="00400E4C"/>
    <w:rsid w:val="00400E91"/>
    <w:rsid w:val="00400F43"/>
    <w:rsid w:val="00400F61"/>
    <w:rsid w:val="00400F7E"/>
    <w:rsid w:val="004010AC"/>
    <w:rsid w:val="0040110A"/>
    <w:rsid w:val="00401111"/>
    <w:rsid w:val="0040111C"/>
    <w:rsid w:val="0040118B"/>
    <w:rsid w:val="0040121B"/>
    <w:rsid w:val="004012D1"/>
    <w:rsid w:val="004012EE"/>
    <w:rsid w:val="00401310"/>
    <w:rsid w:val="00401330"/>
    <w:rsid w:val="00401366"/>
    <w:rsid w:val="00401413"/>
    <w:rsid w:val="004014A5"/>
    <w:rsid w:val="00401640"/>
    <w:rsid w:val="00401641"/>
    <w:rsid w:val="004017FD"/>
    <w:rsid w:val="00401969"/>
    <w:rsid w:val="004019A5"/>
    <w:rsid w:val="00401A0C"/>
    <w:rsid w:val="00401BA3"/>
    <w:rsid w:val="00401BD9"/>
    <w:rsid w:val="00401D6C"/>
    <w:rsid w:val="00401E56"/>
    <w:rsid w:val="00401F70"/>
    <w:rsid w:val="00401F81"/>
    <w:rsid w:val="00401FC7"/>
    <w:rsid w:val="00401FF1"/>
    <w:rsid w:val="00401FFF"/>
    <w:rsid w:val="0040214E"/>
    <w:rsid w:val="004022FA"/>
    <w:rsid w:val="0040231E"/>
    <w:rsid w:val="0040244F"/>
    <w:rsid w:val="0040262C"/>
    <w:rsid w:val="0040264F"/>
    <w:rsid w:val="0040265F"/>
    <w:rsid w:val="0040266B"/>
    <w:rsid w:val="004026AD"/>
    <w:rsid w:val="0040275A"/>
    <w:rsid w:val="00402772"/>
    <w:rsid w:val="00402806"/>
    <w:rsid w:val="0040281D"/>
    <w:rsid w:val="00402872"/>
    <w:rsid w:val="004029B9"/>
    <w:rsid w:val="00402A34"/>
    <w:rsid w:val="00402AFA"/>
    <w:rsid w:val="00402BE3"/>
    <w:rsid w:val="00402C64"/>
    <w:rsid w:val="00402EB3"/>
    <w:rsid w:val="00402F8B"/>
    <w:rsid w:val="00402FA5"/>
    <w:rsid w:val="00402FCA"/>
    <w:rsid w:val="00403058"/>
    <w:rsid w:val="00403136"/>
    <w:rsid w:val="0040314E"/>
    <w:rsid w:val="004031EE"/>
    <w:rsid w:val="004031F9"/>
    <w:rsid w:val="0040341A"/>
    <w:rsid w:val="00403537"/>
    <w:rsid w:val="00403558"/>
    <w:rsid w:val="0040355D"/>
    <w:rsid w:val="004035EB"/>
    <w:rsid w:val="004035F4"/>
    <w:rsid w:val="00403643"/>
    <w:rsid w:val="0040376C"/>
    <w:rsid w:val="004037B5"/>
    <w:rsid w:val="004037DC"/>
    <w:rsid w:val="0040387A"/>
    <w:rsid w:val="00403920"/>
    <w:rsid w:val="00403B30"/>
    <w:rsid w:val="00403C03"/>
    <w:rsid w:val="00403C43"/>
    <w:rsid w:val="00403DA2"/>
    <w:rsid w:val="00403E0D"/>
    <w:rsid w:val="00403E48"/>
    <w:rsid w:val="00403E9F"/>
    <w:rsid w:val="00403F5F"/>
    <w:rsid w:val="00403FE5"/>
    <w:rsid w:val="004041A5"/>
    <w:rsid w:val="004041DF"/>
    <w:rsid w:val="004041FD"/>
    <w:rsid w:val="004042A5"/>
    <w:rsid w:val="00404308"/>
    <w:rsid w:val="00404547"/>
    <w:rsid w:val="0040454A"/>
    <w:rsid w:val="004045CA"/>
    <w:rsid w:val="004045F1"/>
    <w:rsid w:val="00404685"/>
    <w:rsid w:val="0040471E"/>
    <w:rsid w:val="0040471F"/>
    <w:rsid w:val="004047B4"/>
    <w:rsid w:val="004049AC"/>
    <w:rsid w:val="00404A06"/>
    <w:rsid w:val="00404AA6"/>
    <w:rsid w:val="00404B1D"/>
    <w:rsid w:val="00404B27"/>
    <w:rsid w:val="00404BA2"/>
    <w:rsid w:val="00404C00"/>
    <w:rsid w:val="00404C78"/>
    <w:rsid w:val="00404D08"/>
    <w:rsid w:val="00404D61"/>
    <w:rsid w:val="00404D7E"/>
    <w:rsid w:val="00404DAC"/>
    <w:rsid w:val="00404EA7"/>
    <w:rsid w:val="00404ECD"/>
    <w:rsid w:val="00404F14"/>
    <w:rsid w:val="00404F35"/>
    <w:rsid w:val="00404F8A"/>
    <w:rsid w:val="00404FB7"/>
    <w:rsid w:val="00404FBD"/>
    <w:rsid w:val="00405016"/>
    <w:rsid w:val="004050E2"/>
    <w:rsid w:val="00405118"/>
    <w:rsid w:val="0040517A"/>
    <w:rsid w:val="004051B2"/>
    <w:rsid w:val="0040535D"/>
    <w:rsid w:val="0040540A"/>
    <w:rsid w:val="0040542C"/>
    <w:rsid w:val="00405588"/>
    <w:rsid w:val="0040558E"/>
    <w:rsid w:val="0040565C"/>
    <w:rsid w:val="004056D1"/>
    <w:rsid w:val="004056FF"/>
    <w:rsid w:val="0040570F"/>
    <w:rsid w:val="004057D6"/>
    <w:rsid w:val="004057D7"/>
    <w:rsid w:val="0040592F"/>
    <w:rsid w:val="004059A9"/>
    <w:rsid w:val="00405A3A"/>
    <w:rsid w:val="00405B26"/>
    <w:rsid w:val="00405B57"/>
    <w:rsid w:val="00405B92"/>
    <w:rsid w:val="00405BA4"/>
    <w:rsid w:val="00405C25"/>
    <w:rsid w:val="00405C8A"/>
    <w:rsid w:val="00405D51"/>
    <w:rsid w:val="00405E78"/>
    <w:rsid w:val="00405EA9"/>
    <w:rsid w:val="00405F8F"/>
    <w:rsid w:val="00405FD3"/>
    <w:rsid w:val="00406139"/>
    <w:rsid w:val="0040619E"/>
    <w:rsid w:val="004062DC"/>
    <w:rsid w:val="00406386"/>
    <w:rsid w:val="004063B1"/>
    <w:rsid w:val="004064D3"/>
    <w:rsid w:val="00406646"/>
    <w:rsid w:val="004066C1"/>
    <w:rsid w:val="004067AD"/>
    <w:rsid w:val="004067E1"/>
    <w:rsid w:val="004068D2"/>
    <w:rsid w:val="0040697D"/>
    <w:rsid w:val="0040698B"/>
    <w:rsid w:val="00406AF7"/>
    <w:rsid w:val="00406B31"/>
    <w:rsid w:val="00406C57"/>
    <w:rsid w:val="00406CA7"/>
    <w:rsid w:val="00406EDC"/>
    <w:rsid w:val="00406F86"/>
    <w:rsid w:val="00406FA2"/>
    <w:rsid w:val="004070AE"/>
    <w:rsid w:val="004070EB"/>
    <w:rsid w:val="0040717C"/>
    <w:rsid w:val="00407204"/>
    <w:rsid w:val="00407290"/>
    <w:rsid w:val="00407301"/>
    <w:rsid w:val="0040730D"/>
    <w:rsid w:val="00407345"/>
    <w:rsid w:val="00407385"/>
    <w:rsid w:val="00407456"/>
    <w:rsid w:val="00407483"/>
    <w:rsid w:val="004074C2"/>
    <w:rsid w:val="004075C6"/>
    <w:rsid w:val="004075F3"/>
    <w:rsid w:val="0040760D"/>
    <w:rsid w:val="00407647"/>
    <w:rsid w:val="004076B3"/>
    <w:rsid w:val="00407769"/>
    <w:rsid w:val="0040780D"/>
    <w:rsid w:val="00407845"/>
    <w:rsid w:val="00407949"/>
    <w:rsid w:val="00407950"/>
    <w:rsid w:val="00407953"/>
    <w:rsid w:val="00407A94"/>
    <w:rsid w:val="00407A97"/>
    <w:rsid w:val="00407AB8"/>
    <w:rsid w:val="00407ABE"/>
    <w:rsid w:val="00407B0B"/>
    <w:rsid w:val="00407B1D"/>
    <w:rsid w:val="00407B28"/>
    <w:rsid w:val="00407C1F"/>
    <w:rsid w:val="00407C4B"/>
    <w:rsid w:val="00407C76"/>
    <w:rsid w:val="00407DF9"/>
    <w:rsid w:val="00407E07"/>
    <w:rsid w:val="00407E2C"/>
    <w:rsid w:val="00407E4A"/>
    <w:rsid w:val="00407FD7"/>
    <w:rsid w:val="004100D2"/>
    <w:rsid w:val="00410178"/>
    <w:rsid w:val="004101C2"/>
    <w:rsid w:val="004101E7"/>
    <w:rsid w:val="004102EE"/>
    <w:rsid w:val="0041045B"/>
    <w:rsid w:val="00410476"/>
    <w:rsid w:val="0041053D"/>
    <w:rsid w:val="00410671"/>
    <w:rsid w:val="004107D3"/>
    <w:rsid w:val="004107E0"/>
    <w:rsid w:val="00410876"/>
    <w:rsid w:val="00410901"/>
    <w:rsid w:val="00410914"/>
    <w:rsid w:val="00410A0A"/>
    <w:rsid w:val="00410AB1"/>
    <w:rsid w:val="00410B13"/>
    <w:rsid w:val="00410CB9"/>
    <w:rsid w:val="00410D4B"/>
    <w:rsid w:val="00410E09"/>
    <w:rsid w:val="00410E89"/>
    <w:rsid w:val="00410F40"/>
    <w:rsid w:val="00410FA5"/>
    <w:rsid w:val="00410FAF"/>
    <w:rsid w:val="00410FCB"/>
    <w:rsid w:val="00410FD2"/>
    <w:rsid w:val="0041101B"/>
    <w:rsid w:val="0041106C"/>
    <w:rsid w:val="004110A1"/>
    <w:rsid w:val="004111CD"/>
    <w:rsid w:val="00411288"/>
    <w:rsid w:val="00411358"/>
    <w:rsid w:val="0041137E"/>
    <w:rsid w:val="004115C3"/>
    <w:rsid w:val="00411753"/>
    <w:rsid w:val="004119F4"/>
    <w:rsid w:val="00411A20"/>
    <w:rsid w:val="00411B5D"/>
    <w:rsid w:val="00411C46"/>
    <w:rsid w:val="00411DF8"/>
    <w:rsid w:val="00411EA8"/>
    <w:rsid w:val="00411F3D"/>
    <w:rsid w:val="00411F8F"/>
    <w:rsid w:val="004120A5"/>
    <w:rsid w:val="004120CD"/>
    <w:rsid w:val="004120F7"/>
    <w:rsid w:val="00412123"/>
    <w:rsid w:val="00412308"/>
    <w:rsid w:val="004123FA"/>
    <w:rsid w:val="00412482"/>
    <w:rsid w:val="004124F0"/>
    <w:rsid w:val="00412555"/>
    <w:rsid w:val="0041259F"/>
    <w:rsid w:val="00412673"/>
    <w:rsid w:val="00412688"/>
    <w:rsid w:val="00412719"/>
    <w:rsid w:val="0041278B"/>
    <w:rsid w:val="004128DF"/>
    <w:rsid w:val="00412902"/>
    <w:rsid w:val="0041295C"/>
    <w:rsid w:val="00412970"/>
    <w:rsid w:val="00412B7B"/>
    <w:rsid w:val="00412BE3"/>
    <w:rsid w:val="00412C5B"/>
    <w:rsid w:val="00412D6C"/>
    <w:rsid w:val="00412EB6"/>
    <w:rsid w:val="00412F85"/>
    <w:rsid w:val="00413014"/>
    <w:rsid w:val="00413024"/>
    <w:rsid w:val="0041307D"/>
    <w:rsid w:val="004130C9"/>
    <w:rsid w:val="004131B8"/>
    <w:rsid w:val="00413271"/>
    <w:rsid w:val="0041334C"/>
    <w:rsid w:val="004133A8"/>
    <w:rsid w:val="004133F8"/>
    <w:rsid w:val="0041340A"/>
    <w:rsid w:val="004134B7"/>
    <w:rsid w:val="00413523"/>
    <w:rsid w:val="00413561"/>
    <w:rsid w:val="0041366A"/>
    <w:rsid w:val="0041366F"/>
    <w:rsid w:val="0041388D"/>
    <w:rsid w:val="004138B5"/>
    <w:rsid w:val="00413999"/>
    <w:rsid w:val="00413A20"/>
    <w:rsid w:val="00413B02"/>
    <w:rsid w:val="00413C5A"/>
    <w:rsid w:val="00413D4E"/>
    <w:rsid w:val="00413DBA"/>
    <w:rsid w:val="00413DF8"/>
    <w:rsid w:val="00413E82"/>
    <w:rsid w:val="00413F72"/>
    <w:rsid w:val="00413FA2"/>
    <w:rsid w:val="004140E2"/>
    <w:rsid w:val="0041419F"/>
    <w:rsid w:val="0041428F"/>
    <w:rsid w:val="0041437E"/>
    <w:rsid w:val="004143EC"/>
    <w:rsid w:val="004143FF"/>
    <w:rsid w:val="004144B2"/>
    <w:rsid w:val="004144E0"/>
    <w:rsid w:val="00414888"/>
    <w:rsid w:val="00414980"/>
    <w:rsid w:val="004149B8"/>
    <w:rsid w:val="004149DB"/>
    <w:rsid w:val="004149DC"/>
    <w:rsid w:val="00414A5F"/>
    <w:rsid w:val="00414B6F"/>
    <w:rsid w:val="00414BC1"/>
    <w:rsid w:val="00414BD5"/>
    <w:rsid w:val="00414C98"/>
    <w:rsid w:val="00414CAD"/>
    <w:rsid w:val="00414ECC"/>
    <w:rsid w:val="00414ED0"/>
    <w:rsid w:val="00414EF8"/>
    <w:rsid w:val="00414F06"/>
    <w:rsid w:val="00414F1F"/>
    <w:rsid w:val="00414F70"/>
    <w:rsid w:val="00414F8A"/>
    <w:rsid w:val="00414FB6"/>
    <w:rsid w:val="00415063"/>
    <w:rsid w:val="00415154"/>
    <w:rsid w:val="00415158"/>
    <w:rsid w:val="0041521B"/>
    <w:rsid w:val="004155BD"/>
    <w:rsid w:val="0041563C"/>
    <w:rsid w:val="0041572A"/>
    <w:rsid w:val="00415773"/>
    <w:rsid w:val="0041594A"/>
    <w:rsid w:val="004159BA"/>
    <w:rsid w:val="00415A3F"/>
    <w:rsid w:val="00415A40"/>
    <w:rsid w:val="00415AE1"/>
    <w:rsid w:val="00415B2E"/>
    <w:rsid w:val="00415C37"/>
    <w:rsid w:val="00415C5F"/>
    <w:rsid w:val="00415CB9"/>
    <w:rsid w:val="00415D38"/>
    <w:rsid w:val="00415D7E"/>
    <w:rsid w:val="00415DAD"/>
    <w:rsid w:val="00415DE2"/>
    <w:rsid w:val="00415EB4"/>
    <w:rsid w:val="00415F18"/>
    <w:rsid w:val="00415FDC"/>
    <w:rsid w:val="00416068"/>
    <w:rsid w:val="0041625D"/>
    <w:rsid w:val="004163A6"/>
    <w:rsid w:val="00416537"/>
    <w:rsid w:val="004165E4"/>
    <w:rsid w:val="00416867"/>
    <w:rsid w:val="00416924"/>
    <w:rsid w:val="004169A2"/>
    <w:rsid w:val="00416BB1"/>
    <w:rsid w:val="00416BB7"/>
    <w:rsid w:val="00416C29"/>
    <w:rsid w:val="00417101"/>
    <w:rsid w:val="0041729D"/>
    <w:rsid w:val="004173D5"/>
    <w:rsid w:val="0041741F"/>
    <w:rsid w:val="0041746F"/>
    <w:rsid w:val="0041756A"/>
    <w:rsid w:val="00417599"/>
    <w:rsid w:val="004175E0"/>
    <w:rsid w:val="004175E3"/>
    <w:rsid w:val="004176DC"/>
    <w:rsid w:val="00417895"/>
    <w:rsid w:val="004178A9"/>
    <w:rsid w:val="00417959"/>
    <w:rsid w:val="00417B8C"/>
    <w:rsid w:val="00417C05"/>
    <w:rsid w:val="00417CAC"/>
    <w:rsid w:val="00417D39"/>
    <w:rsid w:val="00417D60"/>
    <w:rsid w:val="00417D94"/>
    <w:rsid w:val="00417EB4"/>
    <w:rsid w:val="00417ECE"/>
    <w:rsid w:val="004200BB"/>
    <w:rsid w:val="004200C4"/>
    <w:rsid w:val="00420162"/>
    <w:rsid w:val="00420166"/>
    <w:rsid w:val="004202B5"/>
    <w:rsid w:val="004203E9"/>
    <w:rsid w:val="004204DD"/>
    <w:rsid w:val="0042050A"/>
    <w:rsid w:val="004205FF"/>
    <w:rsid w:val="00420613"/>
    <w:rsid w:val="00420694"/>
    <w:rsid w:val="004206BC"/>
    <w:rsid w:val="0042070A"/>
    <w:rsid w:val="0042078F"/>
    <w:rsid w:val="004207A3"/>
    <w:rsid w:val="004207B6"/>
    <w:rsid w:val="004207BB"/>
    <w:rsid w:val="004207DD"/>
    <w:rsid w:val="00420856"/>
    <w:rsid w:val="00420A92"/>
    <w:rsid w:val="00420B1A"/>
    <w:rsid w:val="00420B94"/>
    <w:rsid w:val="00420C0C"/>
    <w:rsid w:val="00420E06"/>
    <w:rsid w:val="00420F13"/>
    <w:rsid w:val="00420F63"/>
    <w:rsid w:val="00420FCC"/>
    <w:rsid w:val="00420FD0"/>
    <w:rsid w:val="00421107"/>
    <w:rsid w:val="00421228"/>
    <w:rsid w:val="004212B5"/>
    <w:rsid w:val="00421308"/>
    <w:rsid w:val="00421544"/>
    <w:rsid w:val="004216E3"/>
    <w:rsid w:val="004216E7"/>
    <w:rsid w:val="00421820"/>
    <w:rsid w:val="004218A6"/>
    <w:rsid w:val="004218AA"/>
    <w:rsid w:val="00421963"/>
    <w:rsid w:val="004219D5"/>
    <w:rsid w:val="00421AE6"/>
    <w:rsid w:val="00421AFA"/>
    <w:rsid w:val="00421BC1"/>
    <w:rsid w:val="00421D3C"/>
    <w:rsid w:val="00421D77"/>
    <w:rsid w:val="00421E4B"/>
    <w:rsid w:val="00421F6F"/>
    <w:rsid w:val="00421F9F"/>
    <w:rsid w:val="0042206D"/>
    <w:rsid w:val="004220A2"/>
    <w:rsid w:val="004220BC"/>
    <w:rsid w:val="00422120"/>
    <w:rsid w:val="00422195"/>
    <w:rsid w:val="004221E3"/>
    <w:rsid w:val="00422294"/>
    <w:rsid w:val="00422313"/>
    <w:rsid w:val="00422440"/>
    <w:rsid w:val="004224E9"/>
    <w:rsid w:val="00422585"/>
    <w:rsid w:val="004225E8"/>
    <w:rsid w:val="00422620"/>
    <w:rsid w:val="0042275F"/>
    <w:rsid w:val="00422812"/>
    <w:rsid w:val="00422857"/>
    <w:rsid w:val="00422886"/>
    <w:rsid w:val="004228A8"/>
    <w:rsid w:val="004229AC"/>
    <w:rsid w:val="00422A29"/>
    <w:rsid w:val="00422A72"/>
    <w:rsid w:val="00422B69"/>
    <w:rsid w:val="00422DD6"/>
    <w:rsid w:val="00422E97"/>
    <w:rsid w:val="00422ECF"/>
    <w:rsid w:val="00422FF4"/>
    <w:rsid w:val="00423109"/>
    <w:rsid w:val="004231A0"/>
    <w:rsid w:val="004231DB"/>
    <w:rsid w:val="004231DF"/>
    <w:rsid w:val="00423267"/>
    <w:rsid w:val="00423280"/>
    <w:rsid w:val="00423297"/>
    <w:rsid w:val="00423372"/>
    <w:rsid w:val="00423395"/>
    <w:rsid w:val="004233D0"/>
    <w:rsid w:val="00423400"/>
    <w:rsid w:val="00423489"/>
    <w:rsid w:val="00423518"/>
    <w:rsid w:val="00423668"/>
    <w:rsid w:val="004236DC"/>
    <w:rsid w:val="004238B4"/>
    <w:rsid w:val="004239B7"/>
    <w:rsid w:val="004239BC"/>
    <w:rsid w:val="004239DC"/>
    <w:rsid w:val="00423A41"/>
    <w:rsid w:val="00423C1D"/>
    <w:rsid w:val="00423CE8"/>
    <w:rsid w:val="00423E91"/>
    <w:rsid w:val="00423EC6"/>
    <w:rsid w:val="00423ED4"/>
    <w:rsid w:val="00423EDD"/>
    <w:rsid w:val="00423F04"/>
    <w:rsid w:val="00423F23"/>
    <w:rsid w:val="00423F59"/>
    <w:rsid w:val="00424017"/>
    <w:rsid w:val="00424098"/>
    <w:rsid w:val="004240A3"/>
    <w:rsid w:val="004240C9"/>
    <w:rsid w:val="004240F8"/>
    <w:rsid w:val="004242E6"/>
    <w:rsid w:val="004242EA"/>
    <w:rsid w:val="00424443"/>
    <w:rsid w:val="00424547"/>
    <w:rsid w:val="004245BB"/>
    <w:rsid w:val="00424630"/>
    <w:rsid w:val="0042464E"/>
    <w:rsid w:val="004246AC"/>
    <w:rsid w:val="004247BC"/>
    <w:rsid w:val="00424853"/>
    <w:rsid w:val="004248C2"/>
    <w:rsid w:val="004248C6"/>
    <w:rsid w:val="00424975"/>
    <w:rsid w:val="00424A35"/>
    <w:rsid w:val="00424BB4"/>
    <w:rsid w:val="00424BC0"/>
    <w:rsid w:val="00424D0C"/>
    <w:rsid w:val="00424D29"/>
    <w:rsid w:val="00424D2A"/>
    <w:rsid w:val="00424F21"/>
    <w:rsid w:val="00425049"/>
    <w:rsid w:val="004250B2"/>
    <w:rsid w:val="00425100"/>
    <w:rsid w:val="004251A5"/>
    <w:rsid w:val="004251DD"/>
    <w:rsid w:val="00425210"/>
    <w:rsid w:val="00425242"/>
    <w:rsid w:val="00425245"/>
    <w:rsid w:val="004252C0"/>
    <w:rsid w:val="00425356"/>
    <w:rsid w:val="004253C4"/>
    <w:rsid w:val="0042540E"/>
    <w:rsid w:val="0042547A"/>
    <w:rsid w:val="00425513"/>
    <w:rsid w:val="00425524"/>
    <w:rsid w:val="00425527"/>
    <w:rsid w:val="0042561D"/>
    <w:rsid w:val="0042580A"/>
    <w:rsid w:val="0042584A"/>
    <w:rsid w:val="004258A8"/>
    <w:rsid w:val="004258D1"/>
    <w:rsid w:val="004258EB"/>
    <w:rsid w:val="004258ED"/>
    <w:rsid w:val="00425949"/>
    <w:rsid w:val="004259E1"/>
    <w:rsid w:val="00425A43"/>
    <w:rsid w:val="00425A6B"/>
    <w:rsid w:val="00425B54"/>
    <w:rsid w:val="00425BCB"/>
    <w:rsid w:val="00425E83"/>
    <w:rsid w:val="00425F17"/>
    <w:rsid w:val="00425F54"/>
    <w:rsid w:val="00425FC6"/>
    <w:rsid w:val="0042602C"/>
    <w:rsid w:val="004263EA"/>
    <w:rsid w:val="004264BF"/>
    <w:rsid w:val="00426533"/>
    <w:rsid w:val="0042653D"/>
    <w:rsid w:val="00426547"/>
    <w:rsid w:val="0042674B"/>
    <w:rsid w:val="0042678C"/>
    <w:rsid w:val="004267BF"/>
    <w:rsid w:val="00426807"/>
    <w:rsid w:val="00426811"/>
    <w:rsid w:val="0042681C"/>
    <w:rsid w:val="00426898"/>
    <w:rsid w:val="004269C6"/>
    <w:rsid w:val="004269EB"/>
    <w:rsid w:val="00426A36"/>
    <w:rsid w:val="00426ADA"/>
    <w:rsid w:val="00426B31"/>
    <w:rsid w:val="00426B8F"/>
    <w:rsid w:val="00426C98"/>
    <w:rsid w:val="00426D79"/>
    <w:rsid w:val="00426EBF"/>
    <w:rsid w:val="00426ED3"/>
    <w:rsid w:val="0042702F"/>
    <w:rsid w:val="004270A0"/>
    <w:rsid w:val="0042711D"/>
    <w:rsid w:val="00427139"/>
    <w:rsid w:val="004272D1"/>
    <w:rsid w:val="00427485"/>
    <w:rsid w:val="004275A9"/>
    <w:rsid w:val="00427625"/>
    <w:rsid w:val="00427687"/>
    <w:rsid w:val="0042779A"/>
    <w:rsid w:val="00427809"/>
    <w:rsid w:val="004278EA"/>
    <w:rsid w:val="0042795A"/>
    <w:rsid w:val="004279C9"/>
    <w:rsid w:val="00427A23"/>
    <w:rsid w:val="00427A42"/>
    <w:rsid w:val="00427B2D"/>
    <w:rsid w:val="00427BCF"/>
    <w:rsid w:val="00427CAA"/>
    <w:rsid w:val="00427E95"/>
    <w:rsid w:val="00427EB3"/>
    <w:rsid w:val="00427EC3"/>
    <w:rsid w:val="00427FE9"/>
    <w:rsid w:val="00430075"/>
    <w:rsid w:val="004300B0"/>
    <w:rsid w:val="00430101"/>
    <w:rsid w:val="00430257"/>
    <w:rsid w:val="00430259"/>
    <w:rsid w:val="004302B1"/>
    <w:rsid w:val="00430350"/>
    <w:rsid w:val="004304BD"/>
    <w:rsid w:val="004304FA"/>
    <w:rsid w:val="0043064C"/>
    <w:rsid w:val="00430699"/>
    <w:rsid w:val="004307B1"/>
    <w:rsid w:val="00430880"/>
    <w:rsid w:val="004308F7"/>
    <w:rsid w:val="00430B29"/>
    <w:rsid w:val="00430B2A"/>
    <w:rsid w:val="00430BAA"/>
    <w:rsid w:val="00430BF6"/>
    <w:rsid w:val="00430E52"/>
    <w:rsid w:val="00430EE8"/>
    <w:rsid w:val="00430F80"/>
    <w:rsid w:val="0043107E"/>
    <w:rsid w:val="00431082"/>
    <w:rsid w:val="004310B1"/>
    <w:rsid w:val="004310C0"/>
    <w:rsid w:val="004310C5"/>
    <w:rsid w:val="004310E0"/>
    <w:rsid w:val="00431122"/>
    <w:rsid w:val="0043120B"/>
    <w:rsid w:val="0043120F"/>
    <w:rsid w:val="00431226"/>
    <w:rsid w:val="004312CF"/>
    <w:rsid w:val="0043131E"/>
    <w:rsid w:val="004313A8"/>
    <w:rsid w:val="00431594"/>
    <w:rsid w:val="0043166F"/>
    <w:rsid w:val="0043179C"/>
    <w:rsid w:val="004317C4"/>
    <w:rsid w:val="0043181A"/>
    <w:rsid w:val="00431821"/>
    <w:rsid w:val="00431837"/>
    <w:rsid w:val="00431839"/>
    <w:rsid w:val="004318BE"/>
    <w:rsid w:val="004318D4"/>
    <w:rsid w:val="00431B2D"/>
    <w:rsid w:val="00431BED"/>
    <w:rsid w:val="00431D7B"/>
    <w:rsid w:val="00431DB7"/>
    <w:rsid w:val="00431E2C"/>
    <w:rsid w:val="00431E42"/>
    <w:rsid w:val="00431E84"/>
    <w:rsid w:val="00431EA3"/>
    <w:rsid w:val="00431EBC"/>
    <w:rsid w:val="00431EEC"/>
    <w:rsid w:val="00431F64"/>
    <w:rsid w:val="00431FFC"/>
    <w:rsid w:val="00432098"/>
    <w:rsid w:val="00432100"/>
    <w:rsid w:val="004321AA"/>
    <w:rsid w:val="0043223A"/>
    <w:rsid w:val="00432283"/>
    <w:rsid w:val="004323CF"/>
    <w:rsid w:val="004323F0"/>
    <w:rsid w:val="004324B6"/>
    <w:rsid w:val="00432590"/>
    <w:rsid w:val="0043260C"/>
    <w:rsid w:val="004326C4"/>
    <w:rsid w:val="00432718"/>
    <w:rsid w:val="00432722"/>
    <w:rsid w:val="0043274C"/>
    <w:rsid w:val="0043291D"/>
    <w:rsid w:val="00432927"/>
    <w:rsid w:val="0043298D"/>
    <w:rsid w:val="004329E6"/>
    <w:rsid w:val="00432B2F"/>
    <w:rsid w:val="00432B9F"/>
    <w:rsid w:val="00432CBE"/>
    <w:rsid w:val="00432D4F"/>
    <w:rsid w:val="00432D54"/>
    <w:rsid w:val="00432D73"/>
    <w:rsid w:val="00432EB0"/>
    <w:rsid w:val="00432F47"/>
    <w:rsid w:val="00432F8F"/>
    <w:rsid w:val="00432FA2"/>
    <w:rsid w:val="00433072"/>
    <w:rsid w:val="00433156"/>
    <w:rsid w:val="004331E2"/>
    <w:rsid w:val="00433345"/>
    <w:rsid w:val="0043343A"/>
    <w:rsid w:val="00433470"/>
    <w:rsid w:val="004334B5"/>
    <w:rsid w:val="00433537"/>
    <w:rsid w:val="00433568"/>
    <w:rsid w:val="00433608"/>
    <w:rsid w:val="00433636"/>
    <w:rsid w:val="004336A6"/>
    <w:rsid w:val="004336FB"/>
    <w:rsid w:val="004337B2"/>
    <w:rsid w:val="004337C7"/>
    <w:rsid w:val="0043382F"/>
    <w:rsid w:val="004338BB"/>
    <w:rsid w:val="004338DB"/>
    <w:rsid w:val="00433AA6"/>
    <w:rsid w:val="00433B47"/>
    <w:rsid w:val="00433B8F"/>
    <w:rsid w:val="00433C36"/>
    <w:rsid w:val="00433D65"/>
    <w:rsid w:val="00433D68"/>
    <w:rsid w:val="00433DD0"/>
    <w:rsid w:val="00433EF5"/>
    <w:rsid w:val="00433F59"/>
    <w:rsid w:val="00433FBD"/>
    <w:rsid w:val="0043401D"/>
    <w:rsid w:val="004340E2"/>
    <w:rsid w:val="004340FD"/>
    <w:rsid w:val="0043412B"/>
    <w:rsid w:val="00434152"/>
    <w:rsid w:val="0043415F"/>
    <w:rsid w:val="004341DA"/>
    <w:rsid w:val="004341E6"/>
    <w:rsid w:val="004341E8"/>
    <w:rsid w:val="0043430B"/>
    <w:rsid w:val="0043442D"/>
    <w:rsid w:val="00434497"/>
    <w:rsid w:val="004344CB"/>
    <w:rsid w:val="00434549"/>
    <w:rsid w:val="0043466A"/>
    <w:rsid w:val="004346D4"/>
    <w:rsid w:val="004347D3"/>
    <w:rsid w:val="00434935"/>
    <w:rsid w:val="00434993"/>
    <w:rsid w:val="00434A40"/>
    <w:rsid w:val="00434AE0"/>
    <w:rsid w:val="00434AE2"/>
    <w:rsid w:val="00434AF6"/>
    <w:rsid w:val="00434B22"/>
    <w:rsid w:val="00434C40"/>
    <w:rsid w:val="00434C7A"/>
    <w:rsid w:val="00434D07"/>
    <w:rsid w:val="00434F8D"/>
    <w:rsid w:val="00435020"/>
    <w:rsid w:val="00435031"/>
    <w:rsid w:val="00435094"/>
    <w:rsid w:val="004350A1"/>
    <w:rsid w:val="00435171"/>
    <w:rsid w:val="004353C1"/>
    <w:rsid w:val="004353DF"/>
    <w:rsid w:val="004354CE"/>
    <w:rsid w:val="00435588"/>
    <w:rsid w:val="0043565E"/>
    <w:rsid w:val="00435738"/>
    <w:rsid w:val="0043575B"/>
    <w:rsid w:val="0043590A"/>
    <w:rsid w:val="004359AE"/>
    <w:rsid w:val="004359C1"/>
    <w:rsid w:val="00435B2E"/>
    <w:rsid w:val="00435B32"/>
    <w:rsid w:val="00435BAC"/>
    <w:rsid w:val="00435D0F"/>
    <w:rsid w:val="00435DAB"/>
    <w:rsid w:val="00435FFA"/>
    <w:rsid w:val="00436022"/>
    <w:rsid w:val="00436026"/>
    <w:rsid w:val="004360E9"/>
    <w:rsid w:val="004361D6"/>
    <w:rsid w:val="004361E0"/>
    <w:rsid w:val="004362DB"/>
    <w:rsid w:val="004364AA"/>
    <w:rsid w:val="00436509"/>
    <w:rsid w:val="00436582"/>
    <w:rsid w:val="0043658A"/>
    <w:rsid w:val="004366DA"/>
    <w:rsid w:val="00436706"/>
    <w:rsid w:val="004367FA"/>
    <w:rsid w:val="00436981"/>
    <w:rsid w:val="004369D1"/>
    <w:rsid w:val="00436B1C"/>
    <w:rsid w:val="00436B99"/>
    <w:rsid w:val="00436C41"/>
    <w:rsid w:val="00436DB3"/>
    <w:rsid w:val="00436E35"/>
    <w:rsid w:val="00436E9F"/>
    <w:rsid w:val="00436F24"/>
    <w:rsid w:val="00437040"/>
    <w:rsid w:val="00437041"/>
    <w:rsid w:val="00437108"/>
    <w:rsid w:val="004371B9"/>
    <w:rsid w:val="004372D6"/>
    <w:rsid w:val="004372E0"/>
    <w:rsid w:val="00437330"/>
    <w:rsid w:val="0043733E"/>
    <w:rsid w:val="0043747B"/>
    <w:rsid w:val="004374B1"/>
    <w:rsid w:val="004374C4"/>
    <w:rsid w:val="00437534"/>
    <w:rsid w:val="004375A4"/>
    <w:rsid w:val="004375C3"/>
    <w:rsid w:val="00437622"/>
    <w:rsid w:val="004376B4"/>
    <w:rsid w:val="004376FB"/>
    <w:rsid w:val="0043770E"/>
    <w:rsid w:val="00437732"/>
    <w:rsid w:val="004377CF"/>
    <w:rsid w:val="00437974"/>
    <w:rsid w:val="00437A42"/>
    <w:rsid w:val="00437AE8"/>
    <w:rsid w:val="00437C15"/>
    <w:rsid w:val="00437CB7"/>
    <w:rsid w:val="00437D6D"/>
    <w:rsid w:val="00437F42"/>
    <w:rsid w:val="00437F62"/>
    <w:rsid w:val="00440054"/>
    <w:rsid w:val="00440066"/>
    <w:rsid w:val="00440087"/>
    <w:rsid w:val="00440118"/>
    <w:rsid w:val="0044013B"/>
    <w:rsid w:val="00440211"/>
    <w:rsid w:val="00440214"/>
    <w:rsid w:val="004402B0"/>
    <w:rsid w:val="0044033B"/>
    <w:rsid w:val="0044034A"/>
    <w:rsid w:val="00440479"/>
    <w:rsid w:val="00440581"/>
    <w:rsid w:val="00440708"/>
    <w:rsid w:val="0044086F"/>
    <w:rsid w:val="004408DC"/>
    <w:rsid w:val="00440ABF"/>
    <w:rsid w:val="00440AE8"/>
    <w:rsid w:val="00440BA1"/>
    <w:rsid w:val="00440BF6"/>
    <w:rsid w:val="00440CFC"/>
    <w:rsid w:val="00440D43"/>
    <w:rsid w:val="00440D4F"/>
    <w:rsid w:val="00440D5A"/>
    <w:rsid w:val="00440D9D"/>
    <w:rsid w:val="00440DD6"/>
    <w:rsid w:val="00440E1E"/>
    <w:rsid w:val="00440E25"/>
    <w:rsid w:val="00440E37"/>
    <w:rsid w:val="00440E5C"/>
    <w:rsid w:val="00440E62"/>
    <w:rsid w:val="00440E69"/>
    <w:rsid w:val="00440EFF"/>
    <w:rsid w:val="00440FAF"/>
    <w:rsid w:val="00440FC9"/>
    <w:rsid w:val="00440FD4"/>
    <w:rsid w:val="00441049"/>
    <w:rsid w:val="00441089"/>
    <w:rsid w:val="0044109A"/>
    <w:rsid w:val="00441184"/>
    <w:rsid w:val="00441239"/>
    <w:rsid w:val="00441391"/>
    <w:rsid w:val="004413BC"/>
    <w:rsid w:val="00441463"/>
    <w:rsid w:val="004414BF"/>
    <w:rsid w:val="004415A0"/>
    <w:rsid w:val="004415F4"/>
    <w:rsid w:val="0044170A"/>
    <w:rsid w:val="00441780"/>
    <w:rsid w:val="00441811"/>
    <w:rsid w:val="004419C2"/>
    <w:rsid w:val="00441A27"/>
    <w:rsid w:val="00441BD5"/>
    <w:rsid w:val="00441CDD"/>
    <w:rsid w:val="00441D1D"/>
    <w:rsid w:val="00441DAD"/>
    <w:rsid w:val="00441DF1"/>
    <w:rsid w:val="00441F73"/>
    <w:rsid w:val="004420DA"/>
    <w:rsid w:val="0044216E"/>
    <w:rsid w:val="004421B1"/>
    <w:rsid w:val="004421EF"/>
    <w:rsid w:val="00442236"/>
    <w:rsid w:val="004422CE"/>
    <w:rsid w:val="0044232E"/>
    <w:rsid w:val="00442375"/>
    <w:rsid w:val="00442385"/>
    <w:rsid w:val="004423D8"/>
    <w:rsid w:val="0044243B"/>
    <w:rsid w:val="00442477"/>
    <w:rsid w:val="004424FD"/>
    <w:rsid w:val="00442677"/>
    <w:rsid w:val="00442683"/>
    <w:rsid w:val="00442742"/>
    <w:rsid w:val="00442820"/>
    <w:rsid w:val="0044289F"/>
    <w:rsid w:val="004428E6"/>
    <w:rsid w:val="00442996"/>
    <w:rsid w:val="00442A2C"/>
    <w:rsid w:val="00442B11"/>
    <w:rsid w:val="00442BFA"/>
    <w:rsid w:val="00442E2B"/>
    <w:rsid w:val="00442E67"/>
    <w:rsid w:val="00442EC3"/>
    <w:rsid w:val="00442F7B"/>
    <w:rsid w:val="00442FA0"/>
    <w:rsid w:val="00442FB0"/>
    <w:rsid w:val="00443030"/>
    <w:rsid w:val="004430A1"/>
    <w:rsid w:val="0044320A"/>
    <w:rsid w:val="004432C5"/>
    <w:rsid w:val="00443369"/>
    <w:rsid w:val="004433D8"/>
    <w:rsid w:val="0044340C"/>
    <w:rsid w:val="00443413"/>
    <w:rsid w:val="00443446"/>
    <w:rsid w:val="00443478"/>
    <w:rsid w:val="0044350C"/>
    <w:rsid w:val="0044361E"/>
    <w:rsid w:val="004436D2"/>
    <w:rsid w:val="0044370C"/>
    <w:rsid w:val="0044373C"/>
    <w:rsid w:val="004437BC"/>
    <w:rsid w:val="004437BE"/>
    <w:rsid w:val="004437FF"/>
    <w:rsid w:val="00443956"/>
    <w:rsid w:val="00443CE9"/>
    <w:rsid w:val="00443D28"/>
    <w:rsid w:val="00443D93"/>
    <w:rsid w:val="00443E5F"/>
    <w:rsid w:val="00443EB9"/>
    <w:rsid w:val="00443EF7"/>
    <w:rsid w:val="00443F03"/>
    <w:rsid w:val="00443F59"/>
    <w:rsid w:val="00443F6D"/>
    <w:rsid w:val="00444090"/>
    <w:rsid w:val="00444094"/>
    <w:rsid w:val="00444213"/>
    <w:rsid w:val="00444252"/>
    <w:rsid w:val="004442A1"/>
    <w:rsid w:val="004443C8"/>
    <w:rsid w:val="004443F2"/>
    <w:rsid w:val="00444408"/>
    <w:rsid w:val="0044453E"/>
    <w:rsid w:val="004445C7"/>
    <w:rsid w:val="0044490C"/>
    <w:rsid w:val="00444A44"/>
    <w:rsid w:val="00444A68"/>
    <w:rsid w:val="00444B3A"/>
    <w:rsid w:val="00444CE7"/>
    <w:rsid w:val="00444E25"/>
    <w:rsid w:val="00444F4D"/>
    <w:rsid w:val="00444F6F"/>
    <w:rsid w:val="00444FCF"/>
    <w:rsid w:val="00445037"/>
    <w:rsid w:val="004450A4"/>
    <w:rsid w:val="004450CB"/>
    <w:rsid w:val="004450D2"/>
    <w:rsid w:val="004452F5"/>
    <w:rsid w:val="00445348"/>
    <w:rsid w:val="00445393"/>
    <w:rsid w:val="00445396"/>
    <w:rsid w:val="004453AB"/>
    <w:rsid w:val="004454F2"/>
    <w:rsid w:val="004455B3"/>
    <w:rsid w:val="00445747"/>
    <w:rsid w:val="004457AB"/>
    <w:rsid w:val="004457E2"/>
    <w:rsid w:val="004458B8"/>
    <w:rsid w:val="0044597F"/>
    <w:rsid w:val="004459C7"/>
    <w:rsid w:val="00445A56"/>
    <w:rsid w:val="00445A8C"/>
    <w:rsid w:val="00445ADD"/>
    <w:rsid w:val="00445AEE"/>
    <w:rsid w:val="00445AFB"/>
    <w:rsid w:val="00445B1D"/>
    <w:rsid w:val="00445CDB"/>
    <w:rsid w:val="00445CF1"/>
    <w:rsid w:val="00445D58"/>
    <w:rsid w:val="00445E16"/>
    <w:rsid w:val="00445ED5"/>
    <w:rsid w:val="00445F72"/>
    <w:rsid w:val="00445F7F"/>
    <w:rsid w:val="00445FA6"/>
    <w:rsid w:val="00446052"/>
    <w:rsid w:val="00446139"/>
    <w:rsid w:val="0044613D"/>
    <w:rsid w:val="00446145"/>
    <w:rsid w:val="0044621B"/>
    <w:rsid w:val="004462A7"/>
    <w:rsid w:val="00446312"/>
    <w:rsid w:val="0044634D"/>
    <w:rsid w:val="004463C7"/>
    <w:rsid w:val="004463CA"/>
    <w:rsid w:val="004463D4"/>
    <w:rsid w:val="004464E1"/>
    <w:rsid w:val="0044686D"/>
    <w:rsid w:val="00446950"/>
    <w:rsid w:val="00446994"/>
    <w:rsid w:val="00446BB4"/>
    <w:rsid w:val="00446C40"/>
    <w:rsid w:val="00446C66"/>
    <w:rsid w:val="00446D37"/>
    <w:rsid w:val="00446D3A"/>
    <w:rsid w:val="00446D5A"/>
    <w:rsid w:val="00446E2A"/>
    <w:rsid w:val="00446E2F"/>
    <w:rsid w:val="00447019"/>
    <w:rsid w:val="004470C7"/>
    <w:rsid w:val="004471E3"/>
    <w:rsid w:val="0044720D"/>
    <w:rsid w:val="00447211"/>
    <w:rsid w:val="00447318"/>
    <w:rsid w:val="00447321"/>
    <w:rsid w:val="00447388"/>
    <w:rsid w:val="004473BA"/>
    <w:rsid w:val="004474D7"/>
    <w:rsid w:val="004474E9"/>
    <w:rsid w:val="004476E4"/>
    <w:rsid w:val="004476FE"/>
    <w:rsid w:val="004478A4"/>
    <w:rsid w:val="00447C01"/>
    <w:rsid w:val="00447C11"/>
    <w:rsid w:val="00447C46"/>
    <w:rsid w:val="00447C56"/>
    <w:rsid w:val="00447D38"/>
    <w:rsid w:val="00447D5F"/>
    <w:rsid w:val="00447DEC"/>
    <w:rsid w:val="00447EBE"/>
    <w:rsid w:val="00447EF2"/>
    <w:rsid w:val="00447F4B"/>
    <w:rsid w:val="00447FB0"/>
    <w:rsid w:val="0044C5E2"/>
    <w:rsid w:val="00450166"/>
    <w:rsid w:val="0045029E"/>
    <w:rsid w:val="004502AC"/>
    <w:rsid w:val="004502B3"/>
    <w:rsid w:val="004503E4"/>
    <w:rsid w:val="00450480"/>
    <w:rsid w:val="004504CE"/>
    <w:rsid w:val="0045066D"/>
    <w:rsid w:val="00450692"/>
    <w:rsid w:val="004506AE"/>
    <w:rsid w:val="00450718"/>
    <w:rsid w:val="004507B5"/>
    <w:rsid w:val="00450828"/>
    <w:rsid w:val="00450856"/>
    <w:rsid w:val="00450A0E"/>
    <w:rsid w:val="00450A2F"/>
    <w:rsid w:val="00450A7E"/>
    <w:rsid w:val="00450ADA"/>
    <w:rsid w:val="00450B39"/>
    <w:rsid w:val="00450B3B"/>
    <w:rsid w:val="00450BB9"/>
    <w:rsid w:val="00450BD0"/>
    <w:rsid w:val="00450D78"/>
    <w:rsid w:val="00450E6F"/>
    <w:rsid w:val="00450F78"/>
    <w:rsid w:val="00450F8D"/>
    <w:rsid w:val="00451142"/>
    <w:rsid w:val="0045114A"/>
    <w:rsid w:val="004511E6"/>
    <w:rsid w:val="004513C2"/>
    <w:rsid w:val="00451412"/>
    <w:rsid w:val="00451573"/>
    <w:rsid w:val="004515DF"/>
    <w:rsid w:val="00451634"/>
    <w:rsid w:val="00451657"/>
    <w:rsid w:val="00451718"/>
    <w:rsid w:val="004517C4"/>
    <w:rsid w:val="004518A4"/>
    <w:rsid w:val="004518C0"/>
    <w:rsid w:val="004518E5"/>
    <w:rsid w:val="00451953"/>
    <w:rsid w:val="00451992"/>
    <w:rsid w:val="004519BB"/>
    <w:rsid w:val="004519CC"/>
    <w:rsid w:val="00451C5F"/>
    <w:rsid w:val="00451D49"/>
    <w:rsid w:val="00451DA5"/>
    <w:rsid w:val="00451E9E"/>
    <w:rsid w:val="00451F54"/>
    <w:rsid w:val="00452011"/>
    <w:rsid w:val="0045205B"/>
    <w:rsid w:val="004520A5"/>
    <w:rsid w:val="0045213C"/>
    <w:rsid w:val="00452162"/>
    <w:rsid w:val="004521A3"/>
    <w:rsid w:val="004521D0"/>
    <w:rsid w:val="004521EE"/>
    <w:rsid w:val="0045230A"/>
    <w:rsid w:val="00452456"/>
    <w:rsid w:val="004526E0"/>
    <w:rsid w:val="00452858"/>
    <w:rsid w:val="0045287B"/>
    <w:rsid w:val="004529AB"/>
    <w:rsid w:val="004529E2"/>
    <w:rsid w:val="00452CA1"/>
    <w:rsid w:val="00452D76"/>
    <w:rsid w:val="00452D97"/>
    <w:rsid w:val="00452DEB"/>
    <w:rsid w:val="00452E30"/>
    <w:rsid w:val="00452EDF"/>
    <w:rsid w:val="00452F16"/>
    <w:rsid w:val="0045301B"/>
    <w:rsid w:val="004531B4"/>
    <w:rsid w:val="00453436"/>
    <w:rsid w:val="00453462"/>
    <w:rsid w:val="0045355E"/>
    <w:rsid w:val="004535C1"/>
    <w:rsid w:val="00453667"/>
    <w:rsid w:val="0045369B"/>
    <w:rsid w:val="004537C4"/>
    <w:rsid w:val="00453816"/>
    <w:rsid w:val="00453828"/>
    <w:rsid w:val="00453887"/>
    <w:rsid w:val="004538C7"/>
    <w:rsid w:val="004538F9"/>
    <w:rsid w:val="004539FE"/>
    <w:rsid w:val="00453A76"/>
    <w:rsid w:val="00453AFC"/>
    <w:rsid w:val="00453C51"/>
    <w:rsid w:val="00453CDF"/>
    <w:rsid w:val="00453D1E"/>
    <w:rsid w:val="00453D6E"/>
    <w:rsid w:val="00453DD4"/>
    <w:rsid w:val="00453E16"/>
    <w:rsid w:val="00453E42"/>
    <w:rsid w:val="00453E9D"/>
    <w:rsid w:val="00453EA4"/>
    <w:rsid w:val="00453F26"/>
    <w:rsid w:val="00454068"/>
    <w:rsid w:val="00454143"/>
    <w:rsid w:val="00454299"/>
    <w:rsid w:val="0045429B"/>
    <w:rsid w:val="004542C3"/>
    <w:rsid w:val="00454322"/>
    <w:rsid w:val="00454378"/>
    <w:rsid w:val="004543AF"/>
    <w:rsid w:val="0045448E"/>
    <w:rsid w:val="004546B0"/>
    <w:rsid w:val="00454918"/>
    <w:rsid w:val="004549C4"/>
    <w:rsid w:val="00454ABF"/>
    <w:rsid w:val="00454ACD"/>
    <w:rsid w:val="00454AE4"/>
    <w:rsid w:val="00454C4F"/>
    <w:rsid w:val="00454CF9"/>
    <w:rsid w:val="00454D6C"/>
    <w:rsid w:val="00454DB5"/>
    <w:rsid w:val="00454E2D"/>
    <w:rsid w:val="00454EC8"/>
    <w:rsid w:val="00454F34"/>
    <w:rsid w:val="00454F57"/>
    <w:rsid w:val="00454F6A"/>
    <w:rsid w:val="0045502E"/>
    <w:rsid w:val="004551BC"/>
    <w:rsid w:val="00455340"/>
    <w:rsid w:val="004553E9"/>
    <w:rsid w:val="0045541D"/>
    <w:rsid w:val="004554A6"/>
    <w:rsid w:val="004554CD"/>
    <w:rsid w:val="0045568E"/>
    <w:rsid w:val="004556D7"/>
    <w:rsid w:val="00455853"/>
    <w:rsid w:val="004558B1"/>
    <w:rsid w:val="00455A7F"/>
    <w:rsid w:val="00455AC9"/>
    <w:rsid w:val="00455B68"/>
    <w:rsid w:val="00455C70"/>
    <w:rsid w:val="00455CCF"/>
    <w:rsid w:val="00455D25"/>
    <w:rsid w:val="00455D4B"/>
    <w:rsid w:val="00455DC7"/>
    <w:rsid w:val="00455ECB"/>
    <w:rsid w:val="00455FD4"/>
    <w:rsid w:val="00456055"/>
    <w:rsid w:val="00456243"/>
    <w:rsid w:val="004562A8"/>
    <w:rsid w:val="004562CC"/>
    <w:rsid w:val="004562D9"/>
    <w:rsid w:val="00456369"/>
    <w:rsid w:val="0045639B"/>
    <w:rsid w:val="00456407"/>
    <w:rsid w:val="00456511"/>
    <w:rsid w:val="004565AE"/>
    <w:rsid w:val="004565E5"/>
    <w:rsid w:val="0045666A"/>
    <w:rsid w:val="0045666C"/>
    <w:rsid w:val="004566B8"/>
    <w:rsid w:val="00456789"/>
    <w:rsid w:val="00456846"/>
    <w:rsid w:val="004569F0"/>
    <w:rsid w:val="004569FA"/>
    <w:rsid w:val="00456A21"/>
    <w:rsid w:val="00456B46"/>
    <w:rsid w:val="00456B7F"/>
    <w:rsid w:val="00456CB1"/>
    <w:rsid w:val="00456CF5"/>
    <w:rsid w:val="00456D02"/>
    <w:rsid w:val="00456D06"/>
    <w:rsid w:val="00456D7B"/>
    <w:rsid w:val="00456E6F"/>
    <w:rsid w:val="00456EAD"/>
    <w:rsid w:val="00456ED6"/>
    <w:rsid w:val="00456F65"/>
    <w:rsid w:val="00457030"/>
    <w:rsid w:val="00457259"/>
    <w:rsid w:val="00457403"/>
    <w:rsid w:val="0045742F"/>
    <w:rsid w:val="004574B9"/>
    <w:rsid w:val="004574E9"/>
    <w:rsid w:val="00457635"/>
    <w:rsid w:val="004577A6"/>
    <w:rsid w:val="00457812"/>
    <w:rsid w:val="004578BF"/>
    <w:rsid w:val="004578E6"/>
    <w:rsid w:val="0045797F"/>
    <w:rsid w:val="004579DB"/>
    <w:rsid w:val="004579FF"/>
    <w:rsid w:val="00457BA8"/>
    <w:rsid w:val="00457BA9"/>
    <w:rsid w:val="00457C6C"/>
    <w:rsid w:val="00457C7E"/>
    <w:rsid w:val="00457D74"/>
    <w:rsid w:val="00457DF2"/>
    <w:rsid w:val="00459186"/>
    <w:rsid w:val="004599D0"/>
    <w:rsid w:val="00460091"/>
    <w:rsid w:val="00460279"/>
    <w:rsid w:val="0046029C"/>
    <w:rsid w:val="004602B8"/>
    <w:rsid w:val="00460370"/>
    <w:rsid w:val="0046037A"/>
    <w:rsid w:val="00460470"/>
    <w:rsid w:val="00460547"/>
    <w:rsid w:val="004605E5"/>
    <w:rsid w:val="0046071E"/>
    <w:rsid w:val="0046075E"/>
    <w:rsid w:val="00460849"/>
    <w:rsid w:val="00460AC1"/>
    <w:rsid w:val="00460C0E"/>
    <w:rsid w:val="00460C69"/>
    <w:rsid w:val="00460CDF"/>
    <w:rsid w:val="00460CE4"/>
    <w:rsid w:val="00460DB9"/>
    <w:rsid w:val="00460E81"/>
    <w:rsid w:val="00460ECF"/>
    <w:rsid w:val="00460EEC"/>
    <w:rsid w:val="00460F8F"/>
    <w:rsid w:val="00461112"/>
    <w:rsid w:val="004611BB"/>
    <w:rsid w:val="0046133B"/>
    <w:rsid w:val="00461409"/>
    <w:rsid w:val="0046147D"/>
    <w:rsid w:val="0046158D"/>
    <w:rsid w:val="004615AA"/>
    <w:rsid w:val="00461670"/>
    <w:rsid w:val="0046169C"/>
    <w:rsid w:val="004616F7"/>
    <w:rsid w:val="004618E2"/>
    <w:rsid w:val="0046194C"/>
    <w:rsid w:val="0046195A"/>
    <w:rsid w:val="0046198C"/>
    <w:rsid w:val="004619E9"/>
    <w:rsid w:val="00461ADE"/>
    <w:rsid w:val="00461B1D"/>
    <w:rsid w:val="00461BF7"/>
    <w:rsid w:val="00461D87"/>
    <w:rsid w:val="00461DA4"/>
    <w:rsid w:val="004620D3"/>
    <w:rsid w:val="004621AF"/>
    <w:rsid w:val="00462238"/>
    <w:rsid w:val="0046225D"/>
    <w:rsid w:val="00462303"/>
    <w:rsid w:val="0046232B"/>
    <w:rsid w:val="0046240A"/>
    <w:rsid w:val="00462411"/>
    <w:rsid w:val="00462510"/>
    <w:rsid w:val="004625AB"/>
    <w:rsid w:val="00462635"/>
    <w:rsid w:val="004626F1"/>
    <w:rsid w:val="00462791"/>
    <w:rsid w:val="004627C6"/>
    <w:rsid w:val="004627CA"/>
    <w:rsid w:val="004628E2"/>
    <w:rsid w:val="00462953"/>
    <w:rsid w:val="00462999"/>
    <w:rsid w:val="004629AD"/>
    <w:rsid w:val="00462A48"/>
    <w:rsid w:val="00462D7D"/>
    <w:rsid w:val="00462DAC"/>
    <w:rsid w:val="00462E90"/>
    <w:rsid w:val="00462E96"/>
    <w:rsid w:val="00462ED1"/>
    <w:rsid w:val="00462EDE"/>
    <w:rsid w:val="00462F4D"/>
    <w:rsid w:val="00462F55"/>
    <w:rsid w:val="00463020"/>
    <w:rsid w:val="004630C8"/>
    <w:rsid w:val="00463239"/>
    <w:rsid w:val="004632DE"/>
    <w:rsid w:val="0046341E"/>
    <w:rsid w:val="004634FF"/>
    <w:rsid w:val="0046355F"/>
    <w:rsid w:val="00463665"/>
    <w:rsid w:val="004636F9"/>
    <w:rsid w:val="0046379B"/>
    <w:rsid w:val="00463923"/>
    <w:rsid w:val="00463933"/>
    <w:rsid w:val="004639B3"/>
    <w:rsid w:val="004639F5"/>
    <w:rsid w:val="00463A3D"/>
    <w:rsid w:val="00463B28"/>
    <w:rsid w:val="00463BA9"/>
    <w:rsid w:val="00463BD0"/>
    <w:rsid w:val="00463C3B"/>
    <w:rsid w:val="00463D20"/>
    <w:rsid w:val="00463D2C"/>
    <w:rsid w:val="00463DC5"/>
    <w:rsid w:val="00463E5D"/>
    <w:rsid w:val="00463F05"/>
    <w:rsid w:val="00463F7E"/>
    <w:rsid w:val="0046402D"/>
    <w:rsid w:val="004641BF"/>
    <w:rsid w:val="00464267"/>
    <w:rsid w:val="0046437F"/>
    <w:rsid w:val="004643D5"/>
    <w:rsid w:val="00464405"/>
    <w:rsid w:val="004644F7"/>
    <w:rsid w:val="0046457C"/>
    <w:rsid w:val="004645FA"/>
    <w:rsid w:val="00464750"/>
    <w:rsid w:val="00464755"/>
    <w:rsid w:val="00464775"/>
    <w:rsid w:val="00464782"/>
    <w:rsid w:val="004647A2"/>
    <w:rsid w:val="00464893"/>
    <w:rsid w:val="00464913"/>
    <w:rsid w:val="00464917"/>
    <w:rsid w:val="0046492D"/>
    <w:rsid w:val="00464998"/>
    <w:rsid w:val="004649AE"/>
    <w:rsid w:val="004649B4"/>
    <w:rsid w:val="004649CE"/>
    <w:rsid w:val="00464A44"/>
    <w:rsid w:val="00464B12"/>
    <w:rsid w:val="00464B9D"/>
    <w:rsid w:val="00464BFE"/>
    <w:rsid w:val="00464E63"/>
    <w:rsid w:val="00464F13"/>
    <w:rsid w:val="00464F46"/>
    <w:rsid w:val="00465141"/>
    <w:rsid w:val="00465270"/>
    <w:rsid w:val="0046527C"/>
    <w:rsid w:val="00465344"/>
    <w:rsid w:val="0046537F"/>
    <w:rsid w:val="004653E8"/>
    <w:rsid w:val="00465449"/>
    <w:rsid w:val="0046546D"/>
    <w:rsid w:val="004654AE"/>
    <w:rsid w:val="0046551C"/>
    <w:rsid w:val="00465521"/>
    <w:rsid w:val="0046556B"/>
    <w:rsid w:val="0046558C"/>
    <w:rsid w:val="00465696"/>
    <w:rsid w:val="004659CE"/>
    <w:rsid w:val="00465AE8"/>
    <w:rsid w:val="00465C09"/>
    <w:rsid w:val="00465C4A"/>
    <w:rsid w:val="00465D35"/>
    <w:rsid w:val="00465D3F"/>
    <w:rsid w:val="00465E05"/>
    <w:rsid w:val="00465E9E"/>
    <w:rsid w:val="00465F88"/>
    <w:rsid w:val="004660E7"/>
    <w:rsid w:val="00466200"/>
    <w:rsid w:val="00466293"/>
    <w:rsid w:val="00466374"/>
    <w:rsid w:val="00466376"/>
    <w:rsid w:val="0046646D"/>
    <w:rsid w:val="00466595"/>
    <w:rsid w:val="004665AE"/>
    <w:rsid w:val="004665B0"/>
    <w:rsid w:val="004665D2"/>
    <w:rsid w:val="0046660E"/>
    <w:rsid w:val="00466670"/>
    <w:rsid w:val="00466896"/>
    <w:rsid w:val="0046690A"/>
    <w:rsid w:val="00466937"/>
    <w:rsid w:val="00466A4C"/>
    <w:rsid w:val="00466B16"/>
    <w:rsid w:val="00466C01"/>
    <w:rsid w:val="00466C99"/>
    <w:rsid w:val="00466D3D"/>
    <w:rsid w:val="00466E42"/>
    <w:rsid w:val="00466EA6"/>
    <w:rsid w:val="00466ED9"/>
    <w:rsid w:val="00466F0B"/>
    <w:rsid w:val="00466F4F"/>
    <w:rsid w:val="00466FB9"/>
    <w:rsid w:val="00466FF1"/>
    <w:rsid w:val="00467020"/>
    <w:rsid w:val="004671CF"/>
    <w:rsid w:val="004671D4"/>
    <w:rsid w:val="0046732C"/>
    <w:rsid w:val="004673A7"/>
    <w:rsid w:val="00467659"/>
    <w:rsid w:val="00467759"/>
    <w:rsid w:val="00467859"/>
    <w:rsid w:val="004678B6"/>
    <w:rsid w:val="00467962"/>
    <w:rsid w:val="00467A65"/>
    <w:rsid w:val="00467B55"/>
    <w:rsid w:val="00467B79"/>
    <w:rsid w:val="00467BF8"/>
    <w:rsid w:val="00467CD9"/>
    <w:rsid w:val="00467E75"/>
    <w:rsid w:val="00467F26"/>
    <w:rsid w:val="00467F31"/>
    <w:rsid w:val="00467F5F"/>
    <w:rsid w:val="00470077"/>
    <w:rsid w:val="004700BE"/>
    <w:rsid w:val="004700FE"/>
    <w:rsid w:val="00470256"/>
    <w:rsid w:val="00470432"/>
    <w:rsid w:val="00470443"/>
    <w:rsid w:val="0047048C"/>
    <w:rsid w:val="004705BF"/>
    <w:rsid w:val="004705E2"/>
    <w:rsid w:val="00470628"/>
    <w:rsid w:val="004706E6"/>
    <w:rsid w:val="00470759"/>
    <w:rsid w:val="00470783"/>
    <w:rsid w:val="0047081D"/>
    <w:rsid w:val="00470A53"/>
    <w:rsid w:val="00470ADD"/>
    <w:rsid w:val="00470ADE"/>
    <w:rsid w:val="00470AE5"/>
    <w:rsid w:val="00470B43"/>
    <w:rsid w:val="00470DE7"/>
    <w:rsid w:val="00470F25"/>
    <w:rsid w:val="00470F31"/>
    <w:rsid w:val="00470F65"/>
    <w:rsid w:val="00470FA9"/>
    <w:rsid w:val="00471190"/>
    <w:rsid w:val="0047139B"/>
    <w:rsid w:val="004715CA"/>
    <w:rsid w:val="004716EA"/>
    <w:rsid w:val="0047174D"/>
    <w:rsid w:val="0047176D"/>
    <w:rsid w:val="004718AC"/>
    <w:rsid w:val="00471943"/>
    <w:rsid w:val="004719CA"/>
    <w:rsid w:val="00471A17"/>
    <w:rsid w:val="00471A1E"/>
    <w:rsid w:val="00471BE8"/>
    <w:rsid w:val="00471CC5"/>
    <w:rsid w:val="00471CCB"/>
    <w:rsid w:val="00471CCC"/>
    <w:rsid w:val="00471CD5"/>
    <w:rsid w:val="00471D2A"/>
    <w:rsid w:val="00471D6C"/>
    <w:rsid w:val="00471EC5"/>
    <w:rsid w:val="00471FE5"/>
    <w:rsid w:val="004721E8"/>
    <w:rsid w:val="00472388"/>
    <w:rsid w:val="0047244A"/>
    <w:rsid w:val="004724FC"/>
    <w:rsid w:val="0047255B"/>
    <w:rsid w:val="004725C2"/>
    <w:rsid w:val="0047266B"/>
    <w:rsid w:val="00472695"/>
    <w:rsid w:val="004726A1"/>
    <w:rsid w:val="004726B2"/>
    <w:rsid w:val="004726BE"/>
    <w:rsid w:val="00472712"/>
    <w:rsid w:val="00472763"/>
    <w:rsid w:val="00472772"/>
    <w:rsid w:val="0047278D"/>
    <w:rsid w:val="0047285B"/>
    <w:rsid w:val="004729DF"/>
    <w:rsid w:val="004729EA"/>
    <w:rsid w:val="00472A45"/>
    <w:rsid w:val="00472A68"/>
    <w:rsid w:val="00472AD3"/>
    <w:rsid w:val="00472CC4"/>
    <w:rsid w:val="00472D38"/>
    <w:rsid w:val="00472F0C"/>
    <w:rsid w:val="00472F77"/>
    <w:rsid w:val="00472F84"/>
    <w:rsid w:val="00473073"/>
    <w:rsid w:val="004730AD"/>
    <w:rsid w:val="004730B7"/>
    <w:rsid w:val="00473122"/>
    <w:rsid w:val="00473160"/>
    <w:rsid w:val="0047322A"/>
    <w:rsid w:val="00473310"/>
    <w:rsid w:val="00473318"/>
    <w:rsid w:val="0047332E"/>
    <w:rsid w:val="0047338A"/>
    <w:rsid w:val="0047338B"/>
    <w:rsid w:val="00473477"/>
    <w:rsid w:val="00473517"/>
    <w:rsid w:val="0047356C"/>
    <w:rsid w:val="004735F9"/>
    <w:rsid w:val="00473725"/>
    <w:rsid w:val="00473737"/>
    <w:rsid w:val="0047379D"/>
    <w:rsid w:val="004737AB"/>
    <w:rsid w:val="00473808"/>
    <w:rsid w:val="004738F9"/>
    <w:rsid w:val="00473950"/>
    <w:rsid w:val="00473A2B"/>
    <w:rsid w:val="00473AB0"/>
    <w:rsid w:val="00473AB4"/>
    <w:rsid w:val="00473B90"/>
    <w:rsid w:val="00473CC2"/>
    <w:rsid w:val="00473CF3"/>
    <w:rsid w:val="00473E1B"/>
    <w:rsid w:val="00473FB2"/>
    <w:rsid w:val="00474006"/>
    <w:rsid w:val="0047401C"/>
    <w:rsid w:val="0047402C"/>
    <w:rsid w:val="004740FF"/>
    <w:rsid w:val="00474133"/>
    <w:rsid w:val="004741B9"/>
    <w:rsid w:val="004742E3"/>
    <w:rsid w:val="00474317"/>
    <w:rsid w:val="00474356"/>
    <w:rsid w:val="004743A6"/>
    <w:rsid w:val="004743DB"/>
    <w:rsid w:val="00474454"/>
    <w:rsid w:val="00474479"/>
    <w:rsid w:val="00474500"/>
    <w:rsid w:val="004745F2"/>
    <w:rsid w:val="004745FE"/>
    <w:rsid w:val="00474642"/>
    <w:rsid w:val="004746A9"/>
    <w:rsid w:val="004746B2"/>
    <w:rsid w:val="004747C5"/>
    <w:rsid w:val="0047483D"/>
    <w:rsid w:val="004748BF"/>
    <w:rsid w:val="0047494B"/>
    <w:rsid w:val="00474AEC"/>
    <w:rsid w:val="00474B21"/>
    <w:rsid w:val="00474B3C"/>
    <w:rsid w:val="00474B57"/>
    <w:rsid w:val="00474B76"/>
    <w:rsid w:val="00474BD3"/>
    <w:rsid w:val="00474BF0"/>
    <w:rsid w:val="00474C5F"/>
    <w:rsid w:val="00474CE6"/>
    <w:rsid w:val="00474E5C"/>
    <w:rsid w:val="00474E5E"/>
    <w:rsid w:val="00474E7F"/>
    <w:rsid w:val="00474E9C"/>
    <w:rsid w:val="00474EFB"/>
    <w:rsid w:val="00474F7A"/>
    <w:rsid w:val="0047502F"/>
    <w:rsid w:val="0047509B"/>
    <w:rsid w:val="00475114"/>
    <w:rsid w:val="0047540E"/>
    <w:rsid w:val="004754D1"/>
    <w:rsid w:val="00475525"/>
    <w:rsid w:val="00475530"/>
    <w:rsid w:val="0047555C"/>
    <w:rsid w:val="004755E7"/>
    <w:rsid w:val="00475717"/>
    <w:rsid w:val="0047574E"/>
    <w:rsid w:val="00475926"/>
    <w:rsid w:val="00475A60"/>
    <w:rsid w:val="00475A7C"/>
    <w:rsid w:val="00475B60"/>
    <w:rsid w:val="00475C51"/>
    <w:rsid w:val="00475D09"/>
    <w:rsid w:val="00475D35"/>
    <w:rsid w:val="00475D3B"/>
    <w:rsid w:val="00475D9E"/>
    <w:rsid w:val="00475EAD"/>
    <w:rsid w:val="00475F9B"/>
    <w:rsid w:val="00475FF3"/>
    <w:rsid w:val="00476152"/>
    <w:rsid w:val="00476161"/>
    <w:rsid w:val="004761B5"/>
    <w:rsid w:val="0047627B"/>
    <w:rsid w:val="004762F8"/>
    <w:rsid w:val="004764A9"/>
    <w:rsid w:val="00476524"/>
    <w:rsid w:val="0047656C"/>
    <w:rsid w:val="004765B1"/>
    <w:rsid w:val="0047660A"/>
    <w:rsid w:val="00476625"/>
    <w:rsid w:val="004766E8"/>
    <w:rsid w:val="00476700"/>
    <w:rsid w:val="004767AD"/>
    <w:rsid w:val="0047681B"/>
    <w:rsid w:val="0047690B"/>
    <w:rsid w:val="004769E0"/>
    <w:rsid w:val="00476A1A"/>
    <w:rsid w:val="00476AEC"/>
    <w:rsid w:val="00476B2A"/>
    <w:rsid w:val="00476BB2"/>
    <w:rsid w:val="00476C4D"/>
    <w:rsid w:val="00476CB0"/>
    <w:rsid w:val="00476D5C"/>
    <w:rsid w:val="00476DB5"/>
    <w:rsid w:val="00476F7C"/>
    <w:rsid w:val="00477083"/>
    <w:rsid w:val="0047713D"/>
    <w:rsid w:val="004771CD"/>
    <w:rsid w:val="00477280"/>
    <w:rsid w:val="004772ED"/>
    <w:rsid w:val="00477305"/>
    <w:rsid w:val="0047736A"/>
    <w:rsid w:val="0047737F"/>
    <w:rsid w:val="0047739E"/>
    <w:rsid w:val="00477465"/>
    <w:rsid w:val="0047748B"/>
    <w:rsid w:val="004774FC"/>
    <w:rsid w:val="00477572"/>
    <w:rsid w:val="00477591"/>
    <w:rsid w:val="004775C0"/>
    <w:rsid w:val="004776B1"/>
    <w:rsid w:val="00477718"/>
    <w:rsid w:val="0047771F"/>
    <w:rsid w:val="00477737"/>
    <w:rsid w:val="00477A8A"/>
    <w:rsid w:val="00477B7D"/>
    <w:rsid w:val="00477BFB"/>
    <w:rsid w:val="00477C43"/>
    <w:rsid w:val="00477C7B"/>
    <w:rsid w:val="00477C83"/>
    <w:rsid w:val="00477E0D"/>
    <w:rsid w:val="00480058"/>
    <w:rsid w:val="004800B6"/>
    <w:rsid w:val="004800BA"/>
    <w:rsid w:val="004800D5"/>
    <w:rsid w:val="00480180"/>
    <w:rsid w:val="004801A6"/>
    <w:rsid w:val="004801C0"/>
    <w:rsid w:val="004801D5"/>
    <w:rsid w:val="00480448"/>
    <w:rsid w:val="004805A0"/>
    <w:rsid w:val="004805BB"/>
    <w:rsid w:val="004805FE"/>
    <w:rsid w:val="00480661"/>
    <w:rsid w:val="00480672"/>
    <w:rsid w:val="0048072C"/>
    <w:rsid w:val="0048074D"/>
    <w:rsid w:val="004807F5"/>
    <w:rsid w:val="004808DE"/>
    <w:rsid w:val="00480C93"/>
    <w:rsid w:val="00480D3F"/>
    <w:rsid w:val="00480D40"/>
    <w:rsid w:val="00480DB8"/>
    <w:rsid w:val="00480E58"/>
    <w:rsid w:val="00480E6A"/>
    <w:rsid w:val="00480EC1"/>
    <w:rsid w:val="00480F75"/>
    <w:rsid w:val="00480FEC"/>
    <w:rsid w:val="00481081"/>
    <w:rsid w:val="00481126"/>
    <w:rsid w:val="0048152B"/>
    <w:rsid w:val="00481553"/>
    <w:rsid w:val="0048160F"/>
    <w:rsid w:val="004816AB"/>
    <w:rsid w:val="004817D8"/>
    <w:rsid w:val="0048189F"/>
    <w:rsid w:val="00481AAF"/>
    <w:rsid w:val="00481AE1"/>
    <w:rsid w:val="00481B13"/>
    <w:rsid w:val="00481B49"/>
    <w:rsid w:val="00481C40"/>
    <w:rsid w:val="00481C57"/>
    <w:rsid w:val="00481CD3"/>
    <w:rsid w:val="00481E24"/>
    <w:rsid w:val="00481F0C"/>
    <w:rsid w:val="00482018"/>
    <w:rsid w:val="00482090"/>
    <w:rsid w:val="004820C4"/>
    <w:rsid w:val="00482129"/>
    <w:rsid w:val="00482149"/>
    <w:rsid w:val="0048215F"/>
    <w:rsid w:val="00482226"/>
    <w:rsid w:val="004822B1"/>
    <w:rsid w:val="00482332"/>
    <w:rsid w:val="00482365"/>
    <w:rsid w:val="0048242B"/>
    <w:rsid w:val="00482468"/>
    <w:rsid w:val="0048252E"/>
    <w:rsid w:val="0048253E"/>
    <w:rsid w:val="00482721"/>
    <w:rsid w:val="00482822"/>
    <w:rsid w:val="0048283E"/>
    <w:rsid w:val="00482844"/>
    <w:rsid w:val="00482931"/>
    <w:rsid w:val="0048298A"/>
    <w:rsid w:val="0048299F"/>
    <w:rsid w:val="00482AC0"/>
    <w:rsid w:val="00482B0A"/>
    <w:rsid w:val="00482B57"/>
    <w:rsid w:val="00482C64"/>
    <w:rsid w:val="00482C82"/>
    <w:rsid w:val="00482D22"/>
    <w:rsid w:val="00482F0E"/>
    <w:rsid w:val="00482F61"/>
    <w:rsid w:val="004830AF"/>
    <w:rsid w:val="0048310E"/>
    <w:rsid w:val="0048313F"/>
    <w:rsid w:val="00483143"/>
    <w:rsid w:val="004831FA"/>
    <w:rsid w:val="0048324D"/>
    <w:rsid w:val="00483331"/>
    <w:rsid w:val="00483394"/>
    <w:rsid w:val="00483471"/>
    <w:rsid w:val="0048355A"/>
    <w:rsid w:val="004835F0"/>
    <w:rsid w:val="004835F7"/>
    <w:rsid w:val="0048360B"/>
    <w:rsid w:val="00483629"/>
    <w:rsid w:val="00483659"/>
    <w:rsid w:val="0048366F"/>
    <w:rsid w:val="004836A5"/>
    <w:rsid w:val="00483725"/>
    <w:rsid w:val="004837B6"/>
    <w:rsid w:val="004837E9"/>
    <w:rsid w:val="004838B6"/>
    <w:rsid w:val="0048394B"/>
    <w:rsid w:val="0048396E"/>
    <w:rsid w:val="004839E4"/>
    <w:rsid w:val="00483A20"/>
    <w:rsid w:val="00483A68"/>
    <w:rsid w:val="00483A89"/>
    <w:rsid w:val="00483BE2"/>
    <w:rsid w:val="00483C4F"/>
    <w:rsid w:val="00483C90"/>
    <w:rsid w:val="00483DAC"/>
    <w:rsid w:val="00483E10"/>
    <w:rsid w:val="00483E7B"/>
    <w:rsid w:val="00483E86"/>
    <w:rsid w:val="00483EA4"/>
    <w:rsid w:val="00483F2A"/>
    <w:rsid w:val="00483F49"/>
    <w:rsid w:val="00483F54"/>
    <w:rsid w:val="00484025"/>
    <w:rsid w:val="00484027"/>
    <w:rsid w:val="004840A8"/>
    <w:rsid w:val="004840C8"/>
    <w:rsid w:val="004840E6"/>
    <w:rsid w:val="0048415E"/>
    <w:rsid w:val="00484163"/>
    <w:rsid w:val="0048423D"/>
    <w:rsid w:val="0048424D"/>
    <w:rsid w:val="00484251"/>
    <w:rsid w:val="004842A0"/>
    <w:rsid w:val="004842CD"/>
    <w:rsid w:val="004843BF"/>
    <w:rsid w:val="004843CF"/>
    <w:rsid w:val="0048445E"/>
    <w:rsid w:val="00484511"/>
    <w:rsid w:val="00484549"/>
    <w:rsid w:val="00484692"/>
    <w:rsid w:val="00484712"/>
    <w:rsid w:val="004848B1"/>
    <w:rsid w:val="004848B9"/>
    <w:rsid w:val="004848C6"/>
    <w:rsid w:val="00484909"/>
    <w:rsid w:val="0048493B"/>
    <w:rsid w:val="00484B72"/>
    <w:rsid w:val="00484E93"/>
    <w:rsid w:val="00484EA4"/>
    <w:rsid w:val="00484FAB"/>
    <w:rsid w:val="00484FAF"/>
    <w:rsid w:val="00484FB1"/>
    <w:rsid w:val="00484FD4"/>
    <w:rsid w:val="00485154"/>
    <w:rsid w:val="004854DF"/>
    <w:rsid w:val="004855AD"/>
    <w:rsid w:val="00485791"/>
    <w:rsid w:val="004858A9"/>
    <w:rsid w:val="0048594F"/>
    <w:rsid w:val="00485AD3"/>
    <w:rsid w:val="00485B44"/>
    <w:rsid w:val="00485B78"/>
    <w:rsid w:val="00485CE5"/>
    <w:rsid w:val="00485CFB"/>
    <w:rsid w:val="00485D0A"/>
    <w:rsid w:val="00485DD5"/>
    <w:rsid w:val="00485DFE"/>
    <w:rsid w:val="00485E5C"/>
    <w:rsid w:val="00485F2F"/>
    <w:rsid w:val="00485F5A"/>
    <w:rsid w:val="00485F6E"/>
    <w:rsid w:val="00485FDA"/>
    <w:rsid w:val="00486163"/>
    <w:rsid w:val="00486183"/>
    <w:rsid w:val="0048621B"/>
    <w:rsid w:val="00486244"/>
    <w:rsid w:val="0048628A"/>
    <w:rsid w:val="004862C4"/>
    <w:rsid w:val="00486324"/>
    <w:rsid w:val="004863D0"/>
    <w:rsid w:val="004863F8"/>
    <w:rsid w:val="00486428"/>
    <w:rsid w:val="00486533"/>
    <w:rsid w:val="00486543"/>
    <w:rsid w:val="00486578"/>
    <w:rsid w:val="00486750"/>
    <w:rsid w:val="004867E6"/>
    <w:rsid w:val="00486846"/>
    <w:rsid w:val="0048685E"/>
    <w:rsid w:val="004868CC"/>
    <w:rsid w:val="00486917"/>
    <w:rsid w:val="00486A4B"/>
    <w:rsid w:val="00486A6F"/>
    <w:rsid w:val="00486AC5"/>
    <w:rsid w:val="00486C76"/>
    <w:rsid w:val="00486D6E"/>
    <w:rsid w:val="00486DF1"/>
    <w:rsid w:val="00486E5F"/>
    <w:rsid w:val="00486E6F"/>
    <w:rsid w:val="00486EB8"/>
    <w:rsid w:val="00486F2B"/>
    <w:rsid w:val="00486F50"/>
    <w:rsid w:val="00487013"/>
    <w:rsid w:val="004870A9"/>
    <w:rsid w:val="0048714D"/>
    <w:rsid w:val="00487181"/>
    <w:rsid w:val="00487227"/>
    <w:rsid w:val="00487291"/>
    <w:rsid w:val="004872C2"/>
    <w:rsid w:val="004872E4"/>
    <w:rsid w:val="00487379"/>
    <w:rsid w:val="004874A5"/>
    <w:rsid w:val="00487746"/>
    <w:rsid w:val="004877C2"/>
    <w:rsid w:val="00487893"/>
    <w:rsid w:val="004878A2"/>
    <w:rsid w:val="004878E0"/>
    <w:rsid w:val="00487909"/>
    <w:rsid w:val="004879EC"/>
    <w:rsid w:val="00487A94"/>
    <w:rsid w:val="00487C98"/>
    <w:rsid w:val="00487D35"/>
    <w:rsid w:val="00487D37"/>
    <w:rsid w:val="00487E1D"/>
    <w:rsid w:val="00487ED1"/>
    <w:rsid w:val="00487F9B"/>
    <w:rsid w:val="00490058"/>
    <w:rsid w:val="004900E3"/>
    <w:rsid w:val="0049012C"/>
    <w:rsid w:val="004902CF"/>
    <w:rsid w:val="004902E8"/>
    <w:rsid w:val="004903A8"/>
    <w:rsid w:val="004903AD"/>
    <w:rsid w:val="004903F3"/>
    <w:rsid w:val="004903FD"/>
    <w:rsid w:val="00490413"/>
    <w:rsid w:val="00490626"/>
    <w:rsid w:val="0049073B"/>
    <w:rsid w:val="0049076E"/>
    <w:rsid w:val="00490822"/>
    <w:rsid w:val="00490A0D"/>
    <w:rsid w:val="00490A91"/>
    <w:rsid w:val="00490B74"/>
    <w:rsid w:val="00490BEC"/>
    <w:rsid w:val="00490C5F"/>
    <w:rsid w:val="00490EF7"/>
    <w:rsid w:val="0049103D"/>
    <w:rsid w:val="00491072"/>
    <w:rsid w:val="0049108D"/>
    <w:rsid w:val="00491219"/>
    <w:rsid w:val="00491294"/>
    <w:rsid w:val="00491392"/>
    <w:rsid w:val="0049164B"/>
    <w:rsid w:val="0049173E"/>
    <w:rsid w:val="0049184A"/>
    <w:rsid w:val="004919B7"/>
    <w:rsid w:val="00491A35"/>
    <w:rsid w:val="00491A61"/>
    <w:rsid w:val="00491A96"/>
    <w:rsid w:val="00491B07"/>
    <w:rsid w:val="00491B15"/>
    <w:rsid w:val="00491CB6"/>
    <w:rsid w:val="00491F2D"/>
    <w:rsid w:val="00491F98"/>
    <w:rsid w:val="00491FE2"/>
    <w:rsid w:val="00492053"/>
    <w:rsid w:val="00492080"/>
    <w:rsid w:val="00492087"/>
    <w:rsid w:val="00492124"/>
    <w:rsid w:val="00492152"/>
    <w:rsid w:val="0049224E"/>
    <w:rsid w:val="00492344"/>
    <w:rsid w:val="004924C9"/>
    <w:rsid w:val="00492686"/>
    <w:rsid w:val="004926AC"/>
    <w:rsid w:val="00492791"/>
    <w:rsid w:val="004927BD"/>
    <w:rsid w:val="004927EE"/>
    <w:rsid w:val="004927FE"/>
    <w:rsid w:val="00492895"/>
    <w:rsid w:val="00492914"/>
    <w:rsid w:val="0049293A"/>
    <w:rsid w:val="0049295D"/>
    <w:rsid w:val="00492977"/>
    <w:rsid w:val="004929B7"/>
    <w:rsid w:val="004929D5"/>
    <w:rsid w:val="00492BCA"/>
    <w:rsid w:val="00492BFE"/>
    <w:rsid w:val="00492CA2"/>
    <w:rsid w:val="00492CF3"/>
    <w:rsid w:val="00492D09"/>
    <w:rsid w:val="00492DED"/>
    <w:rsid w:val="00492E01"/>
    <w:rsid w:val="00492E98"/>
    <w:rsid w:val="00492EEF"/>
    <w:rsid w:val="00492FC6"/>
    <w:rsid w:val="00493069"/>
    <w:rsid w:val="0049320B"/>
    <w:rsid w:val="0049328D"/>
    <w:rsid w:val="00493516"/>
    <w:rsid w:val="00493519"/>
    <w:rsid w:val="004935CD"/>
    <w:rsid w:val="00493602"/>
    <w:rsid w:val="0049365A"/>
    <w:rsid w:val="0049373F"/>
    <w:rsid w:val="00493768"/>
    <w:rsid w:val="00493837"/>
    <w:rsid w:val="0049398F"/>
    <w:rsid w:val="00493AD0"/>
    <w:rsid w:val="00493B31"/>
    <w:rsid w:val="00493B58"/>
    <w:rsid w:val="00493C17"/>
    <w:rsid w:val="00493C3E"/>
    <w:rsid w:val="00493CB8"/>
    <w:rsid w:val="00493CF4"/>
    <w:rsid w:val="00493D21"/>
    <w:rsid w:val="00493D43"/>
    <w:rsid w:val="00493E26"/>
    <w:rsid w:val="00493E47"/>
    <w:rsid w:val="00493E8B"/>
    <w:rsid w:val="00493F51"/>
    <w:rsid w:val="00494023"/>
    <w:rsid w:val="00494164"/>
    <w:rsid w:val="00494173"/>
    <w:rsid w:val="004941E9"/>
    <w:rsid w:val="004943C9"/>
    <w:rsid w:val="004943FC"/>
    <w:rsid w:val="0049440E"/>
    <w:rsid w:val="00494552"/>
    <w:rsid w:val="00494589"/>
    <w:rsid w:val="004945C2"/>
    <w:rsid w:val="00494760"/>
    <w:rsid w:val="004948A1"/>
    <w:rsid w:val="004948EC"/>
    <w:rsid w:val="004949B6"/>
    <w:rsid w:val="00494A77"/>
    <w:rsid w:val="00494AD9"/>
    <w:rsid w:val="00494BC8"/>
    <w:rsid w:val="00494D33"/>
    <w:rsid w:val="00494D68"/>
    <w:rsid w:val="00494DB6"/>
    <w:rsid w:val="00494EE9"/>
    <w:rsid w:val="00494FC6"/>
    <w:rsid w:val="0049501C"/>
    <w:rsid w:val="00495065"/>
    <w:rsid w:val="00495072"/>
    <w:rsid w:val="004950D5"/>
    <w:rsid w:val="00495117"/>
    <w:rsid w:val="00495150"/>
    <w:rsid w:val="00495327"/>
    <w:rsid w:val="00495341"/>
    <w:rsid w:val="0049540D"/>
    <w:rsid w:val="0049540F"/>
    <w:rsid w:val="00495410"/>
    <w:rsid w:val="0049554D"/>
    <w:rsid w:val="00495593"/>
    <w:rsid w:val="004956B2"/>
    <w:rsid w:val="004956F4"/>
    <w:rsid w:val="0049572D"/>
    <w:rsid w:val="00495773"/>
    <w:rsid w:val="0049578C"/>
    <w:rsid w:val="0049578D"/>
    <w:rsid w:val="0049586F"/>
    <w:rsid w:val="00495895"/>
    <w:rsid w:val="004958F7"/>
    <w:rsid w:val="0049590D"/>
    <w:rsid w:val="00495A84"/>
    <w:rsid w:val="00495C89"/>
    <w:rsid w:val="00495DC6"/>
    <w:rsid w:val="00495DEB"/>
    <w:rsid w:val="00495EEC"/>
    <w:rsid w:val="00495F33"/>
    <w:rsid w:val="00495F4D"/>
    <w:rsid w:val="00496055"/>
    <w:rsid w:val="0049629F"/>
    <w:rsid w:val="004962F5"/>
    <w:rsid w:val="00496302"/>
    <w:rsid w:val="00496358"/>
    <w:rsid w:val="004963AB"/>
    <w:rsid w:val="00496455"/>
    <w:rsid w:val="004964C8"/>
    <w:rsid w:val="004965E1"/>
    <w:rsid w:val="004965F5"/>
    <w:rsid w:val="00496605"/>
    <w:rsid w:val="00496697"/>
    <w:rsid w:val="00496835"/>
    <w:rsid w:val="0049686A"/>
    <w:rsid w:val="00496A50"/>
    <w:rsid w:val="00496C2F"/>
    <w:rsid w:val="00496C79"/>
    <w:rsid w:val="00496D1E"/>
    <w:rsid w:val="00496D61"/>
    <w:rsid w:val="00496D63"/>
    <w:rsid w:val="00496E94"/>
    <w:rsid w:val="00496FAD"/>
    <w:rsid w:val="00496FB2"/>
    <w:rsid w:val="00497008"/>
    <w:rsid w:val="00497017"/>
    <w:rsid w:val="0049701F"/>
    <w:rsid w:val="004970CD"/>
    <w:rsid w:val="00497152"/>
    <w:rsid w:val="00497166"/>
    <w:rsid w:val="0049716B"/>
    <w:rsid w:val="004971A6"/>
    <w:rsid w:val="004973B7"/>
    <w:rsid w:val="004973FD"/>
    <w:rsid w:val="0049745B"/>
    <w:rsid w:val="004974B7"/>
    <w:rsid w:val="00497677"/>
    <w:rsid w:val="004976CF"/>
    <w:rsid w:val="00497796"/>
    <w:rsid w:val="004978D6"/>
    <w:rsid w:val="00497901"/>
    <w:rsid w:val="00497937"/>
    <w:rsid w:val="00497A8A"/>
    <w:rsid w:val="00497AB1"/>
    <w:rsid w:val="00497B20"/>
    <w:rsid w:val="00497BA6"/>
    <w:rsid w:val="00497BC0"/>
    <w:rsid w:val="00497C31"/>
    <w:rsid w:val="00497D0C"/>
    <w:rsid w:val="00497E78"/>
    <w:rsid w:val="00497EF6"/>
    <w:rsid w:val="004A009B"/>
    <w:rsid w:val="004A038F"/>
    <w:rsid w:val="004A03BE"/>
    <w:rsid w:val="004A059E"/>
    <w:rsid w:val="004A0638"/>
    <w:rsid w:val="004A065E"/>
    <w:rsid w:val="004A068F"/>
    <w:rsid w:val="004A06A0"/>
    <w:rsid w:val="004A0732"/>
    <w:rsid w:val="004A07C1"/>
    <w:rsid w:val="004A0A64"/>
    <w:rsid w:val="004A0B37"/>
    <w:rsid w:val="004A0B60"/>
    <w:rsid w:val="004A0B8D"/>
    <w:rsid w:val="004A0BAF"/>
    <w:rsid w:val="004A0C62"/>
    <w:rsid w:val="004A0D84"/>
    <w:rsid w:val="004A0DEE"/>
    <w:rsid w:val="004A0E2E"/>
    <w:rsid w:val="004A0EEA"/>
    <w:rsid w:val="004A0F0A"/>
    <w:rsid w:val="004A0FE9"/>
    <w:rsid w:val="004A10B7"/>
    <w:rsid w:val="004A11B7"/>
    <w:rsid w:val="004A138E"/>
    <w:rsid w:val="004A13A0"/>
    <w:rsid w:val="004A14CA"/>
    <w:rsid w:val="004A1754"/>
    <w:rsid w:val="004A1814"/>
    <w:rsid w:val="004A1860"/>
    <w:rsid w:val="004A19DD"/>
    <w:rsid w:val="004A1ABC"/>
    <w:rsid w:val="004A1AE0"/>
    <w:rsid w:val="004A1B2F"/>
    <w:rsid w:val="004A1CB3"/>
    <w:rsid w:val="004A1D8A"/>
    <w:rsid w:val="004A1E10"/>
    <w:rsid w:val="004A1F62"/>
    <w:rsid w:val="004A1FEA"/>
    <w:rsid w:val="004A2073"/>
    <w:rsid w:val="004A2086"/>
    <w:rsid w:val="004A20BA"/>
    <w:rsid w:val="004A20CA"/>
    <w:rsid w:val="004A2193"/>
    <w:rsid w:val="004A21FE"/>
    <w:rsid w:val="004A22D7"/>
    <w:rsid w:val="004A23BB"/>
    <w:rsid w:val="004A2484"/>
    <w:rsid w:val="004A2495"/>
    <w:rsid w:val="004A252E"/>
    <w:rsid w:val="004A2618"/>
    <w:rsid w:val="004A2827"/>
    <w:rsid w:val="004A29E2"/>
    <w:rsid w:val="004A2A66"/>
    <w:rsid w:val="004A2A93"/>
    <w:rsid w:val="004A2EA1"/>
    <w:rsid w:val="004A2EAF"/>
    <w:rsid w:val="004A2EEE"/>
    <w:rsid w:val="004A3011"/>
    <w:rsid w:val="004A3032"/>
    <w:rsid w:val="004A305E"/>
    <w:rsid w:val="004A3065"/>
    <w:rsid w:val="004A30F2"/>
    <w:rsid w:val="004A313E"/>
    <w:rsid w:val="004A3146"/>
    <w:rsid w:val="004A31F6"/>
    <w:rsid w:val="004A34B4"/>
    <w:rsid w:val="004A3526"/>
    <w:rsid w:val="004A35E5"/>
    <w:rsid w:val="004A3672"/>
    <w:rsid w:val="004A379B"/>
    <w:rsid w:val="004A37A0"/>
    <w:rsid w:val="004A37AC"/>
    <w:rsid w:val="004A37D6"/>
    <w:rsid w:val="004A3887"/>
    <w:rsid w:val="004A38FC"/>
    <w:rsid w:val="004A3977"/>
    <w:rsid w:val="004A3BAA"/>
    <w:rsid w:val="004A3D2C"/>
    <w:rsid w:val="004A3E09"/>
    <w:rsid w:val="004A3E35"/>
    <w:rsid w:val="004A4045"/>
    <w:rsid w:val="004A404F"/>
    <w:rsid w:val="004A405C"/>
    <w:rsid w:val="004A4084"/>
    <w:rsid w:val="004A40E5"/>
    <w:rsid w:val="004A41B4"/>
    <w:rsid w:val="004A41DD"/>
    <w:rsid w:val="004A41F8"/>
    <w:rsid w:val="004A4353"/>
    <w:rsid w:val="004A43C1"/>
    <w:rsid w:val="004A4486"/>
    <w:rsid w:val="004A44DA"/>
    <w:rsid w:val="004A4540"/>
    <w:rsid w:val="004A4593"/>
    <w:rsid w:val="004A45DE"/>
    <w:rsid w:val="004A45E8"/>
    <w:rsid w:val="004A460B"/>
    <w:rsid w:val="004A476B"/>
    <w:rsid w:val="004A48AA"/>
    <w:rsid w:val="004A492F"/>
    <w:rsid w:val="004A4981"/>
    <w:rsid w:val="004A4999"/>
    <w:rsid w:val="004A49FD"/>
    <w:rsid w:val="004A4BAC"/>
    <w:rsid w:val="004A4C3C"/>
    <w:rsid w:val="004A4D2E"/>
    <w:rsid w:val="004A4D3A"/>
    <w:rsid w:val="004A4E6C"/>
    <w:rsid w:val="004A4EDC"/>
    <w:rsid w:val="004A4F6A"/>
    <w:rsid w:val="004A503C"/>
    <w:rsid w:val="004A50EF"/>
    <w:rsid w:val="004A524B"/>
    <w:rsid w:val="004A528D"/>
    <w:rsid w:val="004A530F"/>
    <w:rsid w:val="004A5316"/>
    <w:rsid w:val="004A5340"/>
    <w:rsid w:val="004A5362"/>
    <w:rsid w:val="004A53C3"/>
    <w:rsid w:val="004A540F"/>
    <w:rsid w:val="004A54B6"/>
    <w:rsid w:val="004A5508"/>
    <w:rsid w:val="004A551E"/>
    <w:rsid w:val="004A554B"/>
    <w:rsid w:val="004A555A"/>
    <w:rsid w:val="004A5665"/>
    <w:rsid w:val="004A56B9"/>
    <w:rsid w:val="004A56F4"/>
    <w:rsid w:val="004A57EE"/>
    <w:rsid w:val="004A5801"/>
    <w:rsid w:val="004A582D"/>
    <w:rsid w:val="004A58AA"/>
    <w:rsid w:val="004A58EB"/>
    <w:rsid w:val="004A59B9"/>
    <w:rsid w:val="004A5A68"/>
    <w:rsid w:val="004A5A7E"/>
    <w:rsid w:val="004A5AF4"/>
    <w:rsid w:val="004A5B63"/>
    <w:rsid w:val="004A5B66"/>
    <w:rsid w:val="004A5C28"/>
    <w:rsid w:val="004A5C29"/>
    <w:rsid w:val="004A5C58"/>
    <w:rsid w:val="004A5CD0"/>
    <w:rsid w:val="004A5D34"/>
    <w:rsid w:val="004A5F26"/>
    <w:rsid w:val="004A5F98"/>
    <w:rsid w:val="004A6028"/>
    <w:rsid w:val="004A6043"/>
    <w:rsid w:val="004A6115"/>
    <w:rsid w:val="004A6132"/>
    <w:rsid w:val="004A6182"/>
    <w:rsid w:val="004A6324"/>
    <w:rsid w:val="004A6390"/>
    <w:rsid w:val="004A6557"/>
    <w:rsid w:val="004A6691"/>
    <w:rsid w:val="004A672C"/>
    <w:rsid w:val="004A6786"/>
    <w:rsid w:val="004A6931"/>
    <w:rsid w:val="004A69F0"/>
    <w:rsid w:val="004A6A17"/>
    <w:rsid w:val="004A6A2D"/>
    <w:rsid w:val="004A6AFA"/>
    <w:rsid w:val="004A6C17"/>
    <w:rsid w:val="004A6CF5"/>
    <w:rsid w:val="004A6D68"/>
    <w:rsid w:val="004A6D74"/>
    <w:rsid w:val="004A6D7B"/>
    <w:rsid w:val="004A6D7F"/>
    <w:rsid w:val="004A6DAF"/>
    <w:rsid w:val="004A6DD2"/>
    <w:rsid w:val="004A6E12"/>
    <w:rsid w:val="004A6F14"/>
    <w:rsid w:val="004A6F84"/>
    <w:rsid w:val="004A700F"/>
    <w:rsid w:val="004A7078"/>
    <w:rsid w:val="004A70E1"/>
    <w:rsid w:val="004A70EF"/>
    <w:rsid w:val="004A718C"/>
    <w:rsid w:val="004A725E"/>
    <w:rsid w:val="004A730C"/>
    <w:rsid w:val="004A7370"/>
    <w:rsid w:val="004A74E1"/>
    <w:rsid w:val="004A762B"/>
    <w:rsid w:val="004A76DD"/>
    <w:rsid w:val="004A7776"/>
    <w:rsid w:val="004A77DA"/>
    <w:rsid w:val="004A77F4"/>
    <w:rsid w:val="004A787C"/>
    <w:rsid w:val="004A78C7"/>
    <w:rsid w:val="004A78F1"/>
    <w:rsid w:val="004A7954"/>
    <w:rsid w:val="004A7A77"/>
    <w:rsid w:val="004A7BAA"/>
    <w:rsid w:val="004A7CC0"/>
    <w:rsid w:val="004A7F41"/>
    <w:rsid w:val="004A7FD4"/>
    <w:rsid w:val="004B0006"/>
    <w:rsid w:val="004B0059"/>
    <w:rsid w:val="004B00A4"/>
    <w:rsid w:val="004B00A5"/>
    <w:rsid w:val="004B00C0"/>
    <w:rsid w:val="004B0178"/>
    <w:rsid w:val="004B027C"/>
    <w:rsid w:val="004B02E0"/>
    <w:rsid w:val="004B031B"/>
    <w:rsid w:val="004B03F0"/>
    <w:rsid w:val="004B0402"/>
    <w:rsid w:val="004B0541"/>
    <w:rsid w:val="004B06F2"/>
    <w:rsid w:val="004B079C"/>
    <w:rsid w:val="004B07D5"/>
    <w:rsid w:val="004B0AA9"/>
    <w:rsid w:val="004B0ABF"/>
    <w:rsid w:val="004B0ADC"/>
    <w:rsid w:val="004B0ADD"/>
    <w:rsid w:val="004B0B13"/>
    <w:rsid w:val="004B0B7B"/>
    <w:rsid w:val="004B0C34"/>
    <w:rsid w:val="004B0C3A"/>
    <w:rsid w:val="004B0C40"/>
    <w:rsid w:val="004B0C8F"/>
    <w:rsid w:val="004B0CF7"/>
    <w:rsid w:val="004B0D1F"/>
    <w:rsid w:val="004B0E82"/>
    <w:rsid w:val="004B0ED9"/>
    <w:rsid w:val="004B0EDF"/>
    <w:rsid w:val="004B0F72"/>
    <w:rsid w:val="004B0FF8"/>
    <w:rsid w:val="004B101E"/>
    <w:rsid w:val="004B1075"/>
    <w:rsid w:val="004B1278"/>
    <w:rsid w:val="004B132C"/>
    <w:rsid w:val="004B1375"/>
    <w:rsid w:val="004B1389"/>
    <w:rsid w:val="004B144A"/>
    <w:rsid w:val="004B155D"/>
    <w:rsid w:val="004B166A"/>
    <w:rsid w:val="004B16D0"/>
    <w:rsid w:val="004B1700"/>
    <w:rsid w:val="004B171B"/>
    <w:rsid w:val="004B176F"/>
    <w:rsid w:val="004B186A"/>
    <w:rsid w:val="004B1894"/>
    <w:rsid w:val="004B1904"/>
    <w:rsid w:val="004B19B9"/>
    <w:rsid w:val="004B19F7"/>
    <w:rsid w:val="004B1A6B"/>
    <w:rsid w:val="004B1A7A"/>
    <w:rsid w:val="004B1A8B"/>
    <w:rsid w:val="004B1AEE"/>
    <w:rsid w:val="004B1B5B"/>
    <w:rsid w:val="004B1B6E"/>
    <w:rsid w:val="004B1B81"/>
    <w:rsid w:val="004B1BD6"/>
    <w:rsid w:val="004B1CC6"/>
    <w:rsid w:val="004B1DA6"/>
    <w:rsid w:val="004B1DF8"/>
    <w:rsid w:val="004B1E10"/>
    <w:rsid w:val="004B1E47"/>
    <w:rsid w:val="004B1F19"/>
    <w:rsid w:val="004B1FF2"/>
    <w:rsid w:val="004B2028"/>
    <w:rsid w:val="004B21E2"/>
    <w:rsid w:val="004B25A8"/>
    <w:rsid w:val="004B265C"/>
    <w:rsid w:val="004B2766"/>
    <w:rsid w:val="004B2799"/>
    <w:rsid w:val="004B27D4"/>
    <w:rsid w:val="004B27F2"/>
    <w:rsid w:val="004B2849"/>
    <w:rsid w:val="004B292E"/>
    <w:rsid w:val="004B2AB2"/>
    <w:rsid w:val="004B2B18"/>
    <w:rsid w:val="004B2B1D"/>
    <w:rsid w:val="004B2CDF"/>
    <w:rsid w:val="004B2CF6"/>
    <w:rsid w:val="004B2D51"/>
    <w:rsid w:val="004B2DD8"/>
    <w:rsid w:val="004B2E29"/>
    <w:rsid w:val="004B2F64"/>
    <w:rsid w:val="004B3055"/>
    <w:rsid w:val="004B30E1"/>
    <w:rsid w:val="004B3305"/>
    <w:rsid w:val="004B335F"/>
    <w:rsid w:val="004B33A7"/>
    <w:rsid w:val="004B34B2"/>
    <w:rsid w:val="004B354F"/>
    <w:rsid w:val="004B365E"/>
    <w:rsid w:val="004B3697"/>
    <w:rsid w:val="004B36AF"/>
    <w:rsid w:val="004B36C4"/>
    <w:rsid w:val="004B36C8"/>
    <w:rsid w:val="004B3708"/>
    <w:rsid w:val="004B3761"/>
    <w:rsid w:val="004B37A1"/>
    <w:rsid w:val="004B393B"/>
    <w:rsid w:val="004B39EB"/>
    <w:rsid w:val="004B3AC7"/>
    <w:rsid w:val="004B3AE1"/>
    <w:rsid w:val="004B3B50"/>
    <w:rsid w:val="004B3B84"/>
    <w:rsid w:val="004B3BEF"/>
    <w:rsid w:val="004B3C9D"/>
    <w:rsid w:val="004B3D13"/>
    <w:rsid w:val="004B3DF0"/>
    <w:rsid w:val="004B3E45"/>
    <w:rsid w:val="004B3EDC"/>
    <w:rsid w:val="004B405A"/>
    <w:rsid w:val="004B40B4"/>
    <w:rsid w:val="004B40CB"/>
    <w:rsid w:val="004B4132"/>
    <w:rsid w:val="004B41EA"/>
    <w:rsid w:val="004B460D"/>
    <w:rsid w:val="004B4726"/>
    <w:rsid w:val="004B4928"/>
    <w:rsid w:val="004B493F"/>
    <w:rsid w:val="004B4A52"/>
    <w:rsid w:val="004B4AE1"/>
    <w:rsid w:val="004B4AF3"/>
    <w:rsid w:val="004B4B56"/>
    <w:rsid w:val="004B4B91"/>
    <w:rsid w:val="004B4BC5"/>
    <w:rsid w:val="004B4BC8"/>
    <w:rsid w:val="004B4C28"/>
    <w:rsid w:val="004B4C61"/>
    <w:rsid w:val="004B4CD1"/>
    <w:rsid w:val="004B4DF2"/>
    <w:rsid w:val="004B4E5D"/>
    <w:rsid w:val="004B4F68"/>
    <w:rsid w:val="004B4FB1"/>
    <w:rsid w:val="004B501E"/>
    <w:rsid w:val="004B50BB"/>
    <w:rsid w:val="004B50D8"/>
    <w:rsid w:val="004B5136"/>
    <w:rsid w:val="004B5206"/>
    <w:rsid w:val="004B525E"/>
    <w:rsid w:val="004B526C"/>
    <w:rsid w:val="004B52A1"/>
    <w:rsid w:val="004B53F1"/>
    <w:rsid w:val="004B541C"/>
    <w:rsid w:val="004B5601"/>
    <w:rsid w:val="004B5621"/>
    <w:rsid w:val="004B578B"/>
    <w:rsid w:val="004B5794"/>
    <w:rsid w:val="004B57DC"/>
    <w:rsid w:val="004B58B3"/>
    <w:rsid w:val="004B5A24"/>
    <w:rsid w:val="004B5AB8"/>
    <w:rsid w:val="004B5AED"/>
    <w:rsid w:val="004B5B3B"/>
    <w:rsid w:val="004B5BA1"/>
    <w:rsid w:val="004B5C5F"/>
    <w:rsid w:val="004B5CA8"/>
    <w:rsid w:val="004B5D88"/>
    <w:rsid w:val="004B5E45"/>
    <w:rsid w:val="004B5E90"/>
    <w:rsid w:val="004B5F35"/>
    <w:rsid w:val="004B5F9D"/>
    <w:rsid w:val="004B6006"/>
    <w:rsid w:val="004B60C0"/>
    <w:rsid w:val="004B60D3"/>
    <w:rsid w:val="004B60FE"/>
    <w:rsid w:val="004B6129"/>
    <w:rsid w:val="004B61E2"/>
    <w:rsid w:val="004B61FA"/>
    <w:rsid w:val="004B6234"/>
    <w:rsid w:val="004B627B"/>
    <w:rsid w:val="004B62C2"/>
    <w:rsid w:val="004B6424"/>
    <w:rsid w:val="004B65B8"/>
    <w:rsid w:val="004B65CC"/>
    <w:rsid w:val="004B662A"/>
    <w:rsid w:val="004B6637"/>
    <w:rsid w:val="004B6664"/>
    <w:rsid w:val="004B66F5"/>
    <w:rsid w:val="004B6721"/>
    <w:rsid w:val="004B6776"/>
    <w:rsid w:val="004B679B"/>
    <w:rsid w:val="004B67C8"/>
    <w:rsid w:val="004B67EA"/>
    <w:rsid w:val="004B6A40"/>
    <w:rsid w:val="004B6A64"/>
    <w:rsid w:val="004B6A80"/>
    <w:rsid w:val="004B6D53"/>
    <w:rsid w:val="004B6E70"/>
    <w:rsid w:val="004B7018"/>
    <w:rsid w:val="004B7288"/>
    <w:rsid w:val="004B746D"/>
    <w:rsid w:val="004B7673"/>
    <w:rsid w:val="004B770F"/>
    <w:rsid w:val="004B7772"/>
    <w:rsid w:val="004B7882"/>
    <w:rsid w:val="004B795E"/>
    <w:rsid w:val="004B795F"/>
    <w:rsid w:val="004B7A35"/>
    <w:rsid w:val="004B7ADC"/>
    <w:rsid w:val="004B7C72"/>
    <w:rsid w:val="004B7CAB"/>
    <w:rsid w:val="004B7CEC"/>
    <w:rsid w:val="004B7D43"/>
    <w:rsid w:val="004B7D6D"/>
    <w:rsid w:val="004B7DC7"/>
    <w:rsid w:val="004B7E0E"/>
    <w:rsid w:val="004B7EB2"/>
    <w:rsid w:val="004B7EBD"/>
    <w:rsid w:val="004B7F47"/>
    <w:rsid w:val="004B7F7C"/>
    <w:rsid w:val="004B7FCA"/>
    <w:rsid w:val="004B7FF4"/>
    <w:rsid w:val="004C000A"/>
    <w:rsid w:val="004C003A"/>
    <w:rsid w:val="004C00E0"/>
    <w:rsid w:val="004C0129"/>
    <w:rsid w:val="004C0133"/>
    <w:rsid w:val="004C01AD"/>
    <w:rsid w:val="004C0285"/>
    <w:rsid w:val="004C0289"/>
    <w:rsid w:val="004C0344"/>
    <w:rsid w:val="004C0494"/>
    <w:rsid w:val="004C0610"/>
    <w:rsid w:val="004C0640"/>
    <w:rsid w:val="004C0772"/>
    <w:rsid w:val="004C0791"/>
    <w:rsid w:val="004C08F0"/>
    <w:rsid w:val="004C0921"/>
    <w:rsid w:val="004C0BBB"/>
    <w:rsid w:val="004C0BDA"/>
    <w:rsid w:val="004C0D0F"/>
    <w:rsid w:val="004C0EE8"/>
    <w:rsid w:val="004C1054"/>
    <w:rsid w:val="004C1057"/>
    <w:rsid w:val="004C107D"/>
    <w:rsid w:val="004C1151"/>
    <w:rsid w:val="004C119E"/>
    <w:rsid w:val="004C12DA"/>
    <w:rsid w:val="004C13C9"/>
    <w:rsid w:val="004C1441"/>
    <w:rsid w:val="004C1505"/>
    <w:rsid w:val="004C151F"/>
    <w:rsid w:val="004C1531"/>
    <w:rsid w:val="004C154E"/>
    <w:rsid w:val="004C17A0"/>
    <w:rsid w:val="004C17B3"/>
    <w:rsid w:val="004C1836"/>
    <w:rsid w:val="004C18AA"/>
    <w:rsid w:val="004C1A54"/>
    <w:rsid w:val="004C1A81"/>
    <w:rsid w:val="004C1A9A"/>
    <w:rsid w:val="004C1B49"/>
    <w:rsid w:val="004C1BF6"/>
    <w:rsid w:val="004C1CC2"/>
    <w:rsid w:val="004C1D1C"/>
    <w:rsid w:val="004C1DA2"/>
    <w:rsid w:val="004C1DB1"/>
    <w:rsid w:val="004C1E1A"/>
    <w:rsid w:val="004C1E3B"/>
    <w:rsid w:val="004C1FB4"/>
    <w:rsid w:val="004C1FBC"/>
    <w:rsid w:val="004C20A5"/>
    <w:rsid w:val="004C230F"/>
    <w:rsid w:val="004C2353"/>
    <w:rsid w:val="004C2404"/>
    <w:rsid w:val="004C24C6"/>
    <w:rsid w:val="004C2518"/>
    <w:rsid w:val="004C251B"/>
    <w:rsid w:val="004C2648"/>
    <w:rsid w:val="004C26D0"/>
    <w:rsid w:val="004C275E"/>
    <w:rsid w:val="004C281E"/>
    <w:rsid w:val="004C296B"/>
    <w:rsid w:val="004C29AB"/>
    <w:rsid w:val="004C29DB"/>
    <w:rsid w:val="004C29EC"/>
    <w:rsid w:val="004C29EE"/>
    <w:rsid w:val="004C2A06"/>
    <w:rsid w:val="004C2A24"/>
    <w:rsid w:val="004C2A5F"/>
    <w:rsid w:val="004C2C59"/>
    <w:rsid w:val="004C2CF6"/>
    <w:rsid w:val="004C2D5E"/>
    <w:rsid w:val="004C2DA5"/>
    <w:rsid w:val="004C2DF9"/>
    <w:rsid w:val="004C2EEC"/>
    <w:rsid w:val="004C2F1A"/>
    <w:rsid w:val="004C2FB2"/>
    <w:rsid w:val="004C3088"/>
    <w:rsid w:val="004C3111"/>
    <w:rsid w:val="004C32B6"/>
    <w:rsid w:val="004C32CE"/>
    <w:rsid w:val="004C32F3"/>
    <w:rsid w:val="004C34A9"/>
    <w:rsid w:val="004C34B9"/>
    <w:rsid w:val="004C35AE"/>
    <w:rsid w:val="004C360E"/>
    <w:rsid w:val="004C3A00"/>
    <w:rsid w:val="004C3B06"/>
    <w:rsid w:val="004C3B3B"/>
    <w:rsid w:val="004C3B7C"/>
    <w:rsid w:val="004C3C40"/>
    <w:rsid w:val="004C3E7F"/>
    <w:rsid w:val="004C3FC1"/>
    <w:rsid w:val="004C3FD4"/>
    <w:rsid w:val="004C4053"/>
    <w:rsid w:val="004C4060"/>
    <w:rsid w:val="004C40F4"/>
    <w:rsid w:val="004C4130"/>
    <w:rsid w:val="004C41B5"/>
    <w:rsid w:val="004C41B9"/>
    <w:rsid w:val="004C41D7"/>
    <w:rsid w:val="004C4240"/>
    <w:rsid w:val="004C42A4"/>
    <w:rsid w:val="004C436A"/>
    <w:rsid w:val="004C4372"/>
    <w:rsid w:val="004C43E1"/>
    <w:rsid w:val="004C43FF"/>
    <w:rsid w:val="004C456B"/>
    <w:rsid w:val="004C457F"/>
    <w:rsid w:val="004C4643"/>
    <w:rsid w:val="004C46F9"/>
    <w:rsid w:val="004C47A4"/>
    <w:rsid w:val="004C47D2"/>
    <w:rsid w:val="004C47F1"/>
    <w:rsid w:val="004C48F6"/>
    <w:rsid w:val="004C48F9"/>
    <w:rsid w:val="004C4945"/>
    <w:rsid w:val="004C4A7B"/>
    <w:rsid w:val="004C4B05"/>
    <w:rsid w:val="004C4BE4"/>
    <w:rsid w:val="004C4C76"/>
    <w:rsid w:val="004C4EB9"/>
    <w:rsid w:val="004C50C7"/>
    <w:rsid w:val="004C51BB"/>
    <w:rsid w:val="004C51F4"/>
    <w:rsid w:val="004C52A3"/>
    <w:rsid w:val="004C52CC"/>
    <w:rsid w:val="004C52E2"/>
    <w:rsid w:val="004C52ED"/>
    <w:rsid w:val="004C537F"/>
    <w:rsid w:val="004C5451"/>
    <w:rsid w:val="004C5472"/>
    <w:rsid w:val="004C54A3"/>
    <w:rsid w:val="004C54D9"/>
    <w:rsid w:val="004C5548"/>
    <w:rsid w:val="004C5582"/>
    <w:rsid w:val="004C55F3"/>
    <w:rsid w:val="004C560D"/>
    <w:rsid w:val="004C57B3"/>
    <w:rsid w:val="004C57D9"/>
    <w:rsid w:val="004C581C"/>
    <w:rsid w:val="004C58A1"/>
    <w:rsid w:val="004C58B6"/>
    <w:rsid w:val="004C58E9"/>
    <w:rsid w:val="004C5986"/>
    <w:rsid w:val="004C5A7F"/>
    <w:rsid w:val="004C5AAF"/>
    <w:rsid w:val="004C5B16"/>
    <w:rsid w:val="004C5B37"/>
    <w:rsid w:val="004C5B3C"/>
    <w:rsid w:val="004C5D2C"/>
    <w:rsid w:val="004C5D74"/>
    <w:rsid w:val="004C5D83"/>
    <w:rsid w:val="004C5E7D"/>
    <w:rsid w:val="004C5EAB"/>
    <w:rsid w:val="004C5FD3"/>
    <w:rsid w:val="004C6015"/>
    <w:rsid w:val="004C601D"/>
    <w:rsid w:val="004C60DD"/>
    <w:rsid w:val="004C613E"/>
    <w:rsid w:val="004C61CF"/>
    <w:rsid w:val="004C61F5"/>
    <w:rsid w:val="004C6278"/>
    <w:rsid w:val="004C635F"/>
    <w:rsid w:val="004C6380"/>
    <w:rsid w:val="004C63F8"/>
    <w:rsid w:val="004C63FF"/>
    <w:rsid w:val="004C648D"/>
    <w:rsid w:val="004C6562"/>
    <w:rsid w:val="004C6590"/>
    <w:rsid w:val="004C6680"/>
    <w:rsid w:val="004C6699"/>
    <w:rsid w:val="004C66EE"/>
    <w:rsid w:val="004C67B4"/>
    <w:rsid w:val="004C6866"/>
    <w:rsid w:val="004C687D"/>
    <w:rsid w:val="004C68E9"/>
    <w:rsid w:val="004C6929"/>
    <w:rsid w:val="004C6934"/>
    <w:rsid w:val="004C6B17"/>
    <w:rsid w:val="004C6B19"/>
    <w:rsid w:val="004C6B20"/>
    <w:rsid w:val="004C6B46"/>
    <w:rsid w:val="004C6B8C"/>
    <w:rsid w:val="004C6C88"/>
    <w:rsid w:val="004C6CDB"/>
    <w:rsid w:val="004C6CFC"/>
    <w:rsid w:val="004C6D7D"/>
    <w:rsid w:val="004C6D93"/>
    <w:rsid w:val="004C6D97"/>
    <w:rsid w:val="004C6E8B"/>
    <w:rsid w:val="004C6ED2"/>
    <w:rsid w:val="004C6EEA"/>
    <w:rsid w:val="004C6F6C"/>
    <w:rsid w:val="004C6FCB"/>
    <w:rsid w:val="004C6FE0"/>
    <w:rsid w:val="004C6FFB"/>
    <w:rsid w:val="004C707D"/>
    <w:rsid w:val="004C70FE"/>
    <w:rsid w:val="004C711E"/>
    <w:rsid w:val="004C722A"/>
    <w:rsid w:val="004C7253"/>
    <w:rsid w:val="004C7410"/>
    <w:rsid w:val="004C743E"/>
    <w:rsid w:val="004C74CF"/>
    <w:rsid w:val="004C74FB"/>
    <w:rsid w:val="004C7644"/>
    <w:rsid w:val="004C7720"/>
    <w:rsid w:val="004C7804"/>
    <w:rsid w:val="004C7840"/>
    <w:rsid w:val="004C7920"/>
    <w:rsid w:val="004C7947"/>
    <w:rsid w:val="004C795C"/>
    <w:rsid w:val="004C79C8"/>
    <w:rsid w:val="004C7A3A"/>
    <w:rsid w:val="004C7BD3"/>
    <w:rsid w:val="004C7C4C"/>
    <w:rsid w:val="004C7D0D"/>
    <w:rsid w:val="004C7D1E"/>
    <w:rsid w:val="004C7F27"/>
    <w:rsid w:val="004D0094"/>
    <w:rsid w:val="004D00C4"/>
    <w:rsid w:val="004D0110"/>
    <w:rsid w:val="004D012A"/>
    <w:rsid w:val="004D026B"/>
    <w:rsid w:val="004D031B"/>
    <w:rsid w:val="004D0406"/>
    <w:rsid w:val="004D0511"/>
    <w:rsid w:val="004D05B0"/>
    <w:rsid w:val="004D06B4"/>
    <w:rsid w:val="004D076D"/>
    <w:rsid w:val="004D077A"/>
    <w:rsid w:val="004D07AE"/>
    <w:rsid w:val="004D084D"/>
    <w:rsid w:val="004D092D"/>
    <w:rsid w:val="004D09C4"/>
    <w:rsid w:val="004D0B22"/>
    <w:rsid w:val="004D0B3B"/>
    <w:rsid w:val="004D0BAB"/>
    <w:rsid w:val="004D0CAE"/>
    <w:rsid w:val="004D0CBD"/>
    <w:rsid w:val="004D0D11"/>
    <w:rsid w:val="004D0D50"/>
    <w:rsid w:val="004D0E8A"/>
    <w:rsid w:val="004D0E8B"/>
    <w:rsid w:val="004D0EFC"/>
    <w:rsid w:val="004D0F1E"/>
    <w:rsid w:val="004D11F2"/>
    <w:rsid w:val="004D129F"/>
    <w:rsid w:val="004D12C8"/>
    <w:rsid w:val="004D12DB"/>
    <w:rsid w:val="004D14DC"/>
    <w:rsid w:val="004D14E5"/>
    <w:rsid w:val="004D1705"/>
    <w:rsid w:val="004D1818"/>
    <w:rsid w:val="004D183D"/>
    <w:rsid w:val="004D18B1"/>
    <w:rsid w:val="004D192B"/>
    <w:rsid w:val="004D1932"/>
    <w:rsid w:val="004D194B"/>
    <w:rsid w:val="004D1962"/>
    <w:rsid w:val="004D1965"/>
    <w:rsid w:val="004D1A08"/>
    <w:rsid w:val="004D1CA6"/>
    <w:rsid w:val="004D1CFE"/>
    <w:rsid w:val="004D1E95"/>
    <w:rsid w:val="004D1FD5"/>
    <w:rsid w:val="004D206D"/>
    <w:rsid w:val="004D216C"/>
    <w:rsid w:val="004D237E"/>
    <w:rsid w:val="004D2414"/>
    <w:rsid w:val="004D2491"/>
    <w:rsid w:val="004D26B8"/>
    <w:rsid w:val="004D26CF"/>
    <w:rsid w:val="004D2788"/>
    <w:rsid w:val="004D2886"/>
    <w:rsid w:val="004D289C"/>
    <w:rsid w:val="004D28AE"/>
    <w:rsid w:val="004D28DE"/>
    <w:rsid w:val="004D292D"/>
    <w:rsid w:val="004D2953"/>
    <w:rsid w:val="004D2C31"/>
    <w:rsid w:val="004D2D29"/>
    <w:rsid w:val="004D2D48"/>
    <w:rsid w:val="004D2DDB"/>
    <w:rsid w:val="004D2E3E"/>
    <w:rsid w:val="004D2E93"/>
    <w:rsid w:val="004D2FA7"/>
    <w:rsid w:val="004D30AF"/>
    <w:rsid w:val="004D31F0"/>
    <w:rsid w:val="004D3208"/>
    <w:rsid w:val="004D3231"/>
    <w:rsid w:val="004D32C3"/>
    <w:rsid w:val="004D33F1"/>
    <w:rsid w:val="004D3414"/>
    <w:rsid w:val="004D3449"/>
    <w:rsid w:val="004D34E9"/>
    <w:rsid w:val="004D3579"/>
    <w:rsid w:val="004D369F"/>
    <w:rsid w:val="004D3710"/>
    <w:rsid w:val="004D3763"/>
    <w:rsid w:val="004D37AA"/>
    <w:rsid w:val="004D37AF"/>
    <w:rsid w:val="004D37F5"/>
    <w:rsid w:val="004D393A"/>
    <w:rsid w:val="004D3995"/>
    <w:rsid w:val="004D3A00"/>
    <w:rsid w:val="004D3A95"/>
    <w:rsid w:val="004D3ABA"/>
    <w:rsid w:val="004D3AEE"/>
    <w:rsid w:val="004D3B1C"/>
    <w:rsid w:val="004D3BC8"/>
    <w:rsid w:val="004D3C41"/>
    <w:rsid w:val="004D3E06"/>
    <w:rsid w:val="004D3E1D"/>
    <w:rsid w:val="004D3ECC"/>
    <w:rsid w:val="004D3EFF"/>
    <w:rsid w:val="004D40B3"/>
    <w:rsid w:val="004D42D9"/>
    <w:rsid w:val="004D4327"/>
    <w:rsid w:val="004D44D2"/>
    <w:rsid w:val="004D450F"/>
    <w:rsid w:val="004D4511"/>
    <w:rsid w:val="004D455D"/>
    <w:rsid w:val="004D457E"/>
    <w:rsid w:val="004D4671"/>
    <w:rsid w:val="004D472A"/>
    <w:rsid w:val="004D475B"/>
    <w:rsid w:val="004D4776"/>
    <w:rsid w:val="004D47C0"/>
    <w:rsid w:val="004D4911"/>
    <w:rsid w:val="004D4976"/>
    <w:rsid w:val="004D4990"/>
    <w:rsid w:val="004D4A01"/>
    <w:rsid w:val="004D4A10"/>
    <w:rsid w:val="004D4AA8"/>
    <w:rsid w:val="004D4BD4"/>
    <w:rsid w:val="004D4C03"/>
    <w:rsid w:val="004D4C14"/>
    <w:rsid w:val="004D4C53"/>
    <w:rsid w:val="004D4CBB"/>
    <w:rsid w:val="004D4DAB"/>
    <w:rsid w:val="004D4DE0"/>
    <w:rsid w:val="004D4DFF"/>
    <w:rsid w:val="004D4EA1"/>
    <w:rsid w:val="004D5145"/>
    <w:rsid w:val="004D5306"/>
    <w:rsid w:val="004D530D"/>
    <w:rsid w:val="004D539A"/>
    <w:rsid w:val="004D549F"/>
    <w:rsid w:val="004D54BE"/>
    <w:rsid w:val="004D5579"/>
    <w:rsid w:val="004D55FF"/>
    <w:rsid w:val="004D5601"/>
    <w:rsid w:val="004D572E"/>
    <w:rsid w:val="004D5749"/>
    <w:rsid w:val="004D582A"/>
    <w:rsid w:val="004D58C6"/>
    <w:rsid w:val="004D5907"/>
    <w:rsid w:val="004D59A2"/>
    <w:rsid w:val="004D5BC3"/>
    <w:rsid w:val="004D5BD9"/>
    <w:rsid w:val="004D5BE2"/>
    <w:rsid w:val="004D5C54"/>
    <w:rsid w:val="004D5CDC"/>
    <w:rsid w:val="004D5E22"/>
    <w:rsid w:val="004D5F22"/>
    <w:rsid w:val="004D6092"/>
    <w:rsid w:val="004D6233"/>
    <w:rsid w:val="004D631B"/>
    <w:rsid w:val="004D642F"/>
    <w:rsid w:val="004D645F"/>
    <w:rsid w:val="004D646A"/>
    <w:rsid w:val="004D65AF"/>
    <w:rsid w:val="004D66CC"/>
    <w:rsid w:val="004D6831"/>
    <w:rsid w:val="004D6877"/>
    <w:rsid w:val="004D68AD"/>
    <w:rsid w:val="004D68FC"/>
    <w:rsid w:val="004D692F"/>
    <w:rsid w:val="004D69AD"/>
    <w:rsid w:val="004D69B3"/>
    <w:rsid w:val="004D69B8"/>
    <w:rsid w:val="004D69FD"/>
    <w:rsid w:val="004D6A6E"/>
    <w:rsid w:val="004D6B9E"/>
    <w:rsid w:val="004D6FF6"/>
    <w:rsid w:val="004D70C3"/>
    <w:rsid w:val="004D70F6"/>
    <w:rsid w:val="004D717E"/>
    <w:rsid w:val="004D71C6"/>
    <w:rsid w:val="004D7287"/>
    <w:rsid w:val="004D744D"/>
    <w:rsid w:val="004D746F"/>
    <w:rsid w:val="004D74F3"/>
    <w:rsid w:val="004D750B"/>
    <w:rsid w:val="004D76EE"/>
    <w:rsid w:val="004D76FB"/>
    <w:rsid w:val="004D77CF"/>
    <w:rsid w:val="004D786B"/>
    <w:rsid w:val="004D78BF"/>
    <w:rsid w:val="004D78FA"/>
    <w:rsid w:val="004D7933"/>
    <w:rsid w:val="004D7A01"/>
    <w:rsid w:val="004D7A18"/>
    <w:rsid w:val="004D7A37"/>
    <w:rsid w:val="004D7B07"/>
    <w:rsid w:val="004D7B0B"/>
    <w:rsid w:val="004D7B5C"/>
    <w:rsid w:val="004D7BB2"/>
    <w:rsid w:val="004D7C23"/>
    <w:rsid w:val="004D7E19"/>
    <w:rsid w:val="004D7E6C"/>
    <w:rsid w:val="004D7EE1"/>
    <w:rsid w:val="004D7F21"/>
    <w:rsid w:val="004D7F77"/>
    <w:rsid w:val="004D7F8F"/>
    <w:rsid w:val="004E000A"/>
    <w:rsid w:val="004E0090"/>
    <w:rsid w:val="004E00CE"/>
    <w:rsid w:val="004E0135"/>
    <w:rsid w:val="004E01E9"/>
    <w:rsid w:val="004E01EC"/>
    <w:rsid w:val="004E0271"/>
    <w:rsid w:val="004E02C0"/>
    <w:rsid w:val="004E0394"/>
    <w:rsid w:val="004E0399"/>
    <w:rsid w:val="004E03BF"/>
    <w:rsid w:val="004E0484"/>
    <w:rsid w:val="004E049C"/>
    <w:rsid w:val="004E06C8"/>
    <w:rsid w:val="004E06F5"/>
    <w:rsid w:val="004E06FF"/>
    <w:rsid w:val="004E0801"/>
    <w:rsid w:val="004E088D"/>
    <w:rsid w:val="004E091C"/>
    <w:rsid w:val="004E09E2"/>
    <w:rsid w:val="004E0A0B"/>
    <w:rsid w:val="004E0A47"/>
    <w:rsid w:val="004E0AC8"/>
    <w:rsid w:val="004E0B0A"/>
    <w:rsid w:val="004E0BCE"/>
    <w:rsid w:val="004E0C2F"/>
    <w:rsid w:val="004E0C7D"/>
    <w:rsid w:val="004E0DFB"/>
    <w:rsid w:val="004E0E5B"/>
    <w:rsid w:val="004E0E5C"/>
    <w:rsid w:val="004E0F7D"/>
    <w:rsid w:val="004E10A4"/>
    <w:rsid w:val="004E117E"/>
    <w:rsid w:val="004E124F"/>
    <w:rsid w:val="004E128F"/>
    <w:rsid w:val="004E1339"/>
    <w:rsid w:val="004E13D9"/>
    <w:rsid w:val="004E14C4"/>
    <w:rsid w:val="004E1648"/>
    <w:rsid w:val="004E1810"/>
    <w:rsid w:val="004E18DA"/>
    <w:rsid w:val="004E18E7"/>
    <w:rsid w:val="004E19E8"/>
    <w:rsid w:val="004E19F6"/>
    <w:rsid w:val="004E1A62"/>
    <w:rsid w:val="004E1C81"/>
    <w:rsid w:val="004E1CAA"/>
    <w:rsid w:val="004E1CC5"/>
    <w:rsid w:val="004E1E47"/>
    <w:rsid w:val="004E1E5E"/>
    <w:rsid w:val="004E1E81"/>
    <w:rsid w:val="004E1EBF"/>
    <w:rsid w:val="004E1F17"/>
    <w:rsid w:val="004E1F21"/>
    <w:rsid w:val="004E1FBE"/>
    <w:rsid w:val="004E2070"/>
    <w:rsid w:val="004E225B"/>
    <w:rsid w:val="004E2327"/>
    <w:rsid w:val="004E239B"/>
    <w:rsid w:val="004E2443"/>
    <w:rsid w:val="004E2451"/>
    <w:rsid w:val="004E2485"/>
    <w:rsid w:val="004E25A9"/>
    <w:rsid w:val="004E25AA"/>
    <w:rsid w:val="004E260F"/>
    <w:rsid w:val="004E262B"/>
    <w:rsid w:val="004E263C"/>
    <w:rsid w:val="004E26B9"/>
    <w:rsid w:val="004E273C"/>
    <w:rsid w:val="004E284D"/>
    <w:rsid w:val="004E28D1"/>
    <w:rsid w:val="004E2955"/>
    <w:rsid w:val="004E299A"/>
    <w:rsid w:val="004E2C31"/>
    <w:rsid w:val="004E2D69"/>
    <w:rsid w:val="004E2DA3"/>
    <w:rsid w:val="004E2EAE"/>
    <w:rsid w:val="004E2EC7"/>
    <w:rsid w:val="004E2FDB"/>
    <w:rsid w:val="004E30FB"/>
    <w:rsid w:val="004E3203"/>
    <w:rsid w:val="004E3486"/>
    <w:rsid w:val="004E3543"/>
    <w:rsid w:val="004E363F"/>
    <w:rsid w:val="004E36A7"/>
    <w:rsid w:val="004E36C0"/>
    <w:rsid w:val="004E36EB"/>
    <w:rsid w:val="004E3725"/>
    <w:rsid w:val="004E372B"/>
    <w:rsid w:val="004E37A8"/>
    <w:rsid w:val="004E37BD"/>
    <w:rsid w:val="004E37F8"/>
    <w:rsid w:val="004E382C"/>
    <w:rsid w:val="004E3882"/>
    <w:rsid w:val="004E3989"/>
    <w:rsid w:val="004E3A48"/>
    <w:rsid w:val="004E3A99"/>
    <w:rsid w:val="004E3AA7"/>
    <w:rsid w:val="004E3AFD"/>
    <w:rsid w:val="004E3B2B"/>
    <w:rsid w:val="004E3D0A"/>
    <w:rsid w:val="004E3E0C"/>
    <w:rsid w:val="004E3F6E"/>
    <w:rsid w:val="004E3F9B"/>
    <w:rsid w:val="004E40EF"/>
    <w:rsid w:val="004E4114"/>
    <w:rsid w:val="004E4198"/>
    <w:rsid w:val="004E4208"/>
    <w:rsid w:val="004E440A"/>
    <w:rsid w:val="004E4509"/>
    <w:rsid w:val="004E455D"/>
    <w:rsid w:val="004E4568"/>
    <w:rsid w:val="004E457F"/>
    <w:rsid w:val="004E45AF"/>
    <w:rsid w:val="004E4653"/>
    <w:rsid w:val="004E4697"/>
    <w:rsid w:val="004E46A9"/>
    <w:rsid w:val="004E47CC"/>
    <w:rsid w:val="004E498F"/>
    <w:rsid w:val="004E4A2F"/>
    <w:rsid w:val="004E4AB1"/>
    <w:rsid w:val="004E4B1A"/>
    <w:rsid w:val="004E4F5C"/>
    <w:rsid w:val="004E4FFF"/>
    <w:rsid w:val="004E500E"/>
    <w:rsid w:val="004E508F"/>
    <w:rsid w:val="004E50C7"/>
    <w:rsid w:val="004E5114"/>
    <w:rsid w:val="004E5134"/>
    <w:rsid w:val="004E5250"/>
    <w:rsid w:val="004E5290"/>
    <w:rsid w:val="004E52A4"/>
    <w:rsid w:val="004E52C5"/>
    <w:rsid w:val="004E52ED"/>
    <w:rsid w:val="004E52F0"/>
    <w:rsid w:val="004E533E"/>
    <w:rsid w:val="004E538C"/>
    <w:rsid w:val="004E53F5"/>
    <w:rsid w:val="004E5423"/>
    <w:rsid w:val="004E5427"/>
    <w:rsid w:val="004E54EB"/>
    <w:rsid w:val="004E553E"/>
    <w:rsid w:val="004E5590"/>
    <w:rsid w:val="004E5595"/>
    <w:rsid w:val="004E55CE"/>
    <w:rsid w:val="004E5651"/>
    <w:rsid w:val="004E56E2"/>
    <w:rsid w:val="004E56FE"/>
    <w:rsid w:val="004E5929"/>
    <w:rsid w:val="004E5975"/>
    <w:rsid w:val="004E59CC"/>
    <w:rsid w:val="004E5A3F"/>
    <w:rsid w:val="004E5AD3"/>
    <w:rsid w:val="004E5B46"/>
    <w:rsid w:val="004E5B93"/>
    <w:rsid w:val="004E5C13"/>
    <w:rsid w:val="004E5C1C"/>
    <w:rsid w:val="004E5C67"/>
    <w:rsid w:val="004E5CBE"/>
    <w:rsid w:val="004E5CF9"/>
    <w:rsid w:val="004E5E68"/>
    <w:rsid w:val="004E5EC1"/>
    <w:rsid w:val="004E5F6A"/>
    <w:rsid w:val="004E618D"/>
    <w:rsid w:val="004E623F"/>
    <w:rsid w:val="004E627B"/>
    <w:rsid w:val="004E637A"/>
    <w:rsid w:val="004E6717"/>
    <w:rsid w:val="004E674D"/>
    <w:rsid w:val="004E677F"/>
    <w:rsid w:val="004E67D9"/>
    <w:rsid w:val="004E67FE"/>
    <w:rsid w:val="004E696A"/>
    <w:rsid w:val="004E6A1B"/>
    <w:rsid w:val="004E6A92"/>
    <w:rsid w:val="004E6BA5"/>
    <w:rsid w:val="004E6CFF"/>
    <w:rsid w:val="004E6D2A"/>
    <w:rsid w:val="004E6D43"/>
    <w:rsid w:val="004E6E81"/>
    <w:rsid w:val="004E70CF"/>
    <w:rsid w:val="004E70ED"/>
    <w:rsid w:val="004E7273"/>
    <w:rsid w:val="004E72C0"/>
    <w:rsid w:val="004E731D"/>
    <w:rsid w:val="004E73BD"/>
    <w:rsid w:val="004E745A"/>
    <w:rsid w:val="004E74F6"/>
    <w:rsid w:val="004E75BA"/>
    <w:rsid w:val="004E77BA"/>
    <w:rsid w:val="004E7866"/>
    <w:rsid w:val="004E78C7"/>
    <w:rsid w:val="004E7917"/>
    <w:rsid w:val="004E79DC"/>
    <w:rsid w:val="004E7A53"/>
    <w:rsid w:val="004E7ACB"/>
    <w:rsid w:val="004E7B27"/>
    <w:rsid w:val="004E7DCA"/>
    <w:rsid w:val="004E7DEA"/>
    <w:rsid w:val="004E7EEC"/>
    <w:rsid w:val="004E7F2A"/>
    <w:rsid w:val="004E7F56"/>
    <w:rsid w:val="004E7FDB"/>
    <w:rsid w:val="004F00CF"/>
    <w:rsid w:val="004F0132"/>
    <w:rsid w:val="004F0157"/>
    <w:rsid w:val="004F0189"/>
    <w:rsid w:val="004F019F"/>
    <w:rsid w:val="004F025D"/>
    <w:rsid w:val="004F030B"/>
    <w:rsid w:val="004F052D"/>
    <w:rsid w:val="004F0593"/>
    <w:rsid w:val="004F05F2"/>
    <w:rsid w:val="004F075A"/>
    <w:rsid w:val="004F081D"/>
    <w:rsid w:val="004F0831"/>
    <w:rsid w:val="004F084C"/>
    <w:rsid w:val="004F0867"/>
    <w:rsid w:val="004F0869"/>
    <w:rsid w:val="004F08A4"/>
    <w:rsid w:val="004F08F0"/>
    <w:rsid w:val="004F0962"/>
    <w:rsid w:val="004F0B78"/>
    <w:rsid w:val="004F0C44"/>
    <w:rsid w:val="004F0D19"/>
    <w:rsid w:val="004F0ED7"/>
    <w:rsid w:val="004F0F61"/>
    <w:rsid w:val="004F100F"/>
    <w:rsid w:val="004F104E"/>
    <w:rsid w:val="004F1082"/>
    <w:rsid w:val="004F10A9"/>
    <w:rsid w:val="004F117E"/>
    <w:rsid w:val="004F11B8"/>
    <w:rsid w:val="004F11E9"/>
    <w:rsid w:val="004F136B"/>
    <w:rsid w:val="004F13C8"/>
    <w:rsid w:val="004F14D4"/>
    <w:rsid w:val="004F14DE"/>
    <w:rsid w:val="004F1583"/>
    <w:rsid w:val="004F1602"/>
    <w:rsid w:val="004F16F0"/>
    <w:rsid w:val="004F179E"/>
    <w:rsid w:val="004F17C0"/>
    <w:rsid w:val="004F1816"/>
    <w:rsid w:val="004F182B"/>
    <w:rsid w:val="004F1891"/>
    <w:rsid w:val="004F1979"/>
    <w:rsid w:val="004F19A3"/>
    <w:rsid w:val="004F1A78"/>
    <w:rsid w:val="004F1A8D"/>
    <w:rsid w:val="004F1B2C"/>
    <w:rsid w:val="004F1C0D"/>
    <w:rsid w:val="004F1DE9"/>
    <w:rsid w:val="004F1DF6"/>
    <w:rsid w:val="004F1E93"/>
    <w:rsid w:val="004F1F94"/>
    <w:rsid w:val="004F2164"/>
    <w:rsid w:val="004F2297"/>
    <w:rsid w:val="004F2298"/>
    <w:rsid w:val="004F22B5"/>
    <w:rsid w:val="004F2385"/>
    <w:rsid w:val="004F25BC"/>
    <w:rsid w:val="004F278E"/>
    <w:rsid w:val="004F2860"/>
    <w:rsid w:val="004F28C0"/>
    <w:rsid w:val="004F29B8"/>
    <w:rsid w:val="004F29FC"/>
    <w:rsid w:val="004F2AFA"/>
    <w:rsid w:val="004F2B4D"/>
    <w:rsid w:val="004F2B75"/>
    <w:rsid w:val="004F2C35"/>
    <w:rsid w:val="004F2DAC"/>
    <w:rsid w:val="004F2DD6"/>
    <w:rsid w:val="004F2E2E"/>
    <w:rsid w:val="004F2E4E"/>
    <w:rsid w:val="004F2F2E"/>
    <w:rsid w:val="004F2FC4"/>
    <w:rsid w:val="004F31C0"/>
    <w:rsid w:val="004F321C"/>
    <w:rsid w:val="004F323D"/>
    <w:rsid w:val="004F32D8"/>
    <w:rsid w:val="004F340A"/>
    <w:rsid w:val="004F3445"/>
    <w:rsid w:val="004F36E8"/>
    <w:rsid w:val="004F37F1"/>
    <w:rsid w:val="004F3910"/>
    <w:rsid w:val="004F3A46"/>
    <w:rsid w:val="004F3B20"/>
    <w:rsid w:val="004F3B7C"/>
    <w:rsid w:val="004F3B85"/>
    <w:rsid w:val="004F3BC0"/>
    <w:rsid w:val="004F3BD4"/>
    <w:rsid w:val="004F3C30"/>
    <w:rsid w:val="004F3CD9"/>
    <w:rsid w:val="004F3D87"/>
    <w:rsid w:val="004F3E77"/>
    <w:rsid w:val="004F3EBC"/>
    <w:rsid w:val="004F3ED6"/>
    <w:rsid w:val="004F3F49"/>
    <w:rsid w:val="004F409F"/>
    <w:rsid w:val="004F40FA"/>
    <w:rsid w:val="004F410B"/>
    <w:rsid w:val="004F414E"/>
    <w:rsid w:val="004F4221"/>
    <w:rsid w:val="004F435D"/>
    <w:rsid w:val="004F4437"/>
    <w:rsid w:val="004F44CF"/>
    <w:rsid w:val="004F4517"/>
    <w:rsid w:val="004F4548"/>
    <w:rsid w:val="004F456D"/>
    <w:rsid w:val="004F459D"/>
    <w:rsid w:val="004F4628"/>
    <w:rsid w:val="004F4654"/>
    <w:rsid w:val="004F4672"/>
    <w:rsid w:val="004F46B4"/>
    <w:rsid w:val="004F47DA"/>
    <w:rsid w:val="004F4927"/>
    <w:rsid w:val="004F495E"/>
    <w:rsid w:val="004F49A3"/>
    <w:rsid w:val="004F49F6"/>
    <w:rsid w:val="004F4A28"/>
    <w:rsid w:val="004F4CD5"/>
    <w:rsid w:val="004F4DF0"/>
    <w:rsid w:val="004F4E79"/>
    <w:rsid w:val="004F4E8D"/>
    <w:rsid w:val="004F508F"/>
    <w:rsid w:val="004F5170"/>
    <w:rsid w:val="004F5201"/>
    <w:rsid w:val="004F5276"/>
    <w:rsid w:val="004F5285"/>
    <w:rsid w:val="004F5298"/>
    <w:rsid w:val="004F53BF"/>
    <w:rsid w:val="004F53E6"/>
    <w:rsid w:val="004F53FC"/>
    <w:rsid w:val="004F560B"/>
    <w:rsid w:val="004F5627"/>
    <w:rsid w:val="004F5655"/>
    <w:rsid w:val="004F56A5"/>
    <w:rsid w:val="004F5870"/>
    <w:rsid w:val="004F5894"/>
    <w:rsid w:val="004F5897"/>
    <w:rsid w:val="004F5974"/>
    <w:rsid w:val="004F5A88"/>
    <w:rsid w:val="004F5AB6"/>
    <w:rsid w:val="004F5C75"/>
    <w:rsid w:val="004F5C9F"/>
    <w:rsid w:val="004F5F0B"/>
    <w:rsid w:val="004F5F42"/>
    <w:rsid w:val="004F5F83"/>
    <w:rsid w:val="004F6173"/>
    <w:rsid w:val="004F62E1"/>
    <w:rsid w:val="004F633A"/>
    <w:rsid w:val="004F6550"/>
    <w:rsid w:val="004F655F"/>
    <w:rsid w:val="004F6588"/>
    <w:rsid w:val="004F65C3"/>
    <w:rsid w:val="004F6635"/>
    <w:rsid w:val="004F67A4"/>
    <w:rsid w:val="004F68CF"/>
    <w:rsid w:val="004F690F"/>
    <w:rsid w:val="004F6982"/>
    <w:rsid w:val="004F69D1"/>
    <w:rsid w:val="004F6A1E"/>
    <w:rsid w:val="004F6B91"/>
    <w:rsid w:val="004F6CB1"/>
    <w:rsid w:val="004F6D4F"/>
    <w:rsid w:val="004F6EC3"/>
    <w:rsid w:val="004F6F6D"/>
    <w:rsid w:val="004F70F3"/>
    <w:rsid w:val="004F70FB"/>
    <w:rsid w:val="004F7145"/>
    <w:rsid w:val="004F7163"/>
    <w:rsid w:val="004F718A"/>
    <w:rsid w:val="004F72A6"/>
    <w:rsid w:val="004F72E7"/>
    <w:rsid w:val="004F739F"/>
    <w:rsid w:val="004F7445"/>
    <w:rsid w:val="004F748B"/>
    <w:rsid w:val="004F75B7"/>
    <w:rsid w:val="004F769E"/>
    <w:rsid w:val="004F77EC"/>
    <w:rsid w:val="004F78AB"/>
    <w:rsid w:val="004F7903"/>
    <w:rsid w:val="004F79AD"/>
    <w:rsid w:val="004F7A61"/>
    <w:rsid w:val="004F7A64"/>
    <w:rsid w:val="004F7ADC"/>
    <w:rsid w:val="004F7BA1"/>
    <w:rsid w:val="004F7C70"/>
    <w:rsid w:val="004F7D56"/>
    <w:rsid w:val="004F7DCF"/>
    <w:rsid w:val="004F7F6E"/>
    <w:rsid w:val="005000C8"/>
    <w:rsid w:val="005000ED"/>
    <w:rsid w:val="00500120"/>
    <w:rsid w:val="00500193"/>
    <w:rsid w:val="005002B7"/>
    <w:rsid w:val="005003CD"/>
    <w:rsid w:val="00500463"/>
    <w:rsid w:val="00500478"/>
    <w:rsid w:val="00500684"/>
    <w:rsid w:val="005006AF"/>
    <w:rsid w:val="0050073E"/>
    <w:rsid w:val="00500749"/>
    <w:rsid w:val="0050088D"/>
    <w:rsid w:val="005008E1"/>
    <w:rsid w:val="005008E5"/>
    <w:rsid w:val="00500926"/>
    <w:rsid w:val="00500A43"/>
    <w:rsid w:val="00500AA9"/>
    <w:rsid w:val="00500BEE"/>
    <w:rsid w:val="00500C04"/>
    <w:rsid w:val="00500C50"/>
    <w:rsid w:val="00500C7D"/>
    <w:rsid w:val="00500D1A"/>
    <w:rsid w:val="00500D48"/>
    <w:rsid w:val="00500D7D"/>
    <w:rsid w:val="00500F13"/>
    <w:rsid w:val="0050100A"/>
    <w:rsid w:val="00501103"/>
    <w:rsid w:val="00501271"/>
    <w:rsid w:val="00501276"/>
    <w:rsid w:val="005012B0"/>
    <w:rsid w:val="00501496"/>
    <w:rsid w:val="005014D9"/>
    <w:rsid w:val="005014DE"/>
    <w:rsid w:val="00501516"/>
    <w:rsid w:val="0050159A"/>
    <w:rsid w:val="0050159C"/>
    <w:rsid w:val="0050165A"/>
    <w:rsid w:val="005016F9"/>
    <w:rsid w:val="005017C9"/>
    <w:rsid w:val="00501917"/>
    <w:rsid w:val="005019C5"/>
    <w:rsid w:val="00501AF6"/>
    <w:rsid w:val="00501B54"/>
    <w:rsid w:val="00501C6F"/>
    <w:rsid w:val="00501D12"/>
    <w:rsid w:val="00501D18"/>
    <w:rsid w:val="00501D7A"/>
    <w:rsid w:val="00501E12"/>
    <w:rsid w:val="00501E4A"/>
    <w:rsid w:val="00501FA4"/>
    <w:rsid w:val="00501FCA"/>
    <w:rsid w:val="00502076"/>
    <w:rsid w:val="0050210A"/>
    <w:rsid w:val="0050211D"/>
    <w:rsid w:val="00502145"/>
    <w:rsid w:val="0050225F"/>
    <w:rsid w:val="005022A1"/>
    <w:rsid w:val="00502337"/>
    <w:rsid w:val="00502367"/>
    <w:rsid w:val="0050236D"/>
    <w:rsid w:val="00502490"/>
    <w:rsid w:val="005024BE"/>
    <w:rsid w:val="005025E8"/>
    <w:rsid w:val="005025F9"/>
    <w:rsid w:val="00502726"/>
    <w:rsid w:val="005028D1"/>
    <w:rsid w:val="005028E3"/>
    <w:rsid w:val="00502919"/>
    <w:rsid w:val="00502989"/>
    <w:rsid w:val="00502991"/>
    <w:rsid w:val="00502B93"/>
    <w:rsid w:val="00502BBE"/>
    <w:rsid w:val="00502BCA"/>
    <w:rsid w:val="00502C4A"/>
    <w:rsid w:val="00502CAC"/>
    <w:rsid w:val="00502CF3"/>
    <w:rsid w:val="00502D0A"/>
    <w:rsid w:val="00502D3B"/>
    <w:rsid w:val="00502D90"/>
    <w:rsid w:val="00502E0F"/>
    <w:rsid w:val="00502F11"/>
    <w:rsid w:val="00502F2C"/>
    <w:rsid w:val="00502F45"/>
    <w:rsid w:val="00503059"/>
    <w:rsid w:val="005030B0"/>
    <w:rsid w:val="0050317B"/>
    <w:rsid w:val="005031AF"/>
    <w:rsid w:val="00503285"/>
    <w:rsid w:val="00503355"/>
    <w:rsid w:val="00503528"/>
    <w:rsid w:val="0050358F"/>
    <w:rsid w:val="005035CE"/>
    <w:rsid w:val="00503687"/>
    <w:rsid w:val="005036CF"/>
    <w:rsid w:val="0050372D"/>
    <w:rsid w:val="00503775"/>
    <w:rsid w:val="00503872"/>
    <w:rsid w:val="005038E9"/>
    <w:rsid w:val="005038FB"/>
    <w:rsid w:val="005039EA"/>
    <w:rsid w:val="00503C9F"/>
    <w:rsid w:val="00503D95"/>
    <w:rsid w:val="00503DCB"/>
    <w:rsid w:val="00503F51"/>
    <w:rsid w:val="00504057"/>
    <w:rsid w:val="0050406D"/>
    <w:rsid w:val="00504125"/>
    <w:rsid w:val="005041C4"/>
    <w:rsid w:val="00504338"/>
    <w:rsid w:val="0050448D"/>
    <w:rsid w:val="00504538"/>
    <w:rsid w:val="00504587"/>
    <w:rsid w:val="005045B1"/>
    <w:rsid w:val="0050462B"/>
    <w:rsid w:val="0050464D"/>
    <w:rsid w:val="0050469D"/>
    <w:rsid w:val="00504733"/>
    <w:rsid w:val="005048BB"/>
    <w:rsid w:val="00504907"/>
    <w:rsid w:val="00504978"/>
    <w:rsid w:val="00504993"/>
    <w:rsid w:val="005049F4"/>
    <w:rsid w:val="00504A1F"/>
    <w:rsid w:val="00504A41"/>
    <w:rsid w:val="00504A95"/>
    <w:rsid w:val="00504B4A"/>
    <w:rsid w:val="00504BD4"/>
    <w:rsid w:val="00504CC0"/>
    <w:rsid w:val="00504D48"/>
    <w:rsid w:val="00504D70"/>
    <w:rsid w:val="00504F1F"/>
    <w:rsid w:val="00504FA5"/>
    <w:rsid w:val="00505052"/>
    <w:rsid w:val="005051FF"/>
    <w:rsid w:val="00505326"/>
    <w:rsid w:val="0050534C"/>
    <w:rsid w:val="00505361"/>
    <w:rsid w:val="00505362"/>
    <w:rsid w:val="005053CE"/>
    <w:rsid w:val="005053D0"/>
    <w:rsid w:val="00505674"/>
    <w:rsid w:val="00505903"/>
    <w:rsid w:val="0050595F"/>
    <w:rsid w:val="00505A5E"/>
    <w:rsid w:val="00505A77"/>
    <w:rsid w:val="00505ADF"/>
    <w:rsid w:val="00505B25"/>
    <w:rsid w:val="00505DC7"/>
    <w:rsid w:val="00505DCF"/>
    <w:rsid w:val="00505E59"/>
    <w:rsid w:val="00505F37"/>
    <w:rsid w:val="00505F46"/>
    <w:rsid w:val="00505FDC"/>
    <w:rsid w:val="00506047"/>
    <w:rsid w:val="00506123"/>
    <w:rsid w:val="0050613D"/>
    <w:rsid w:val="00506178"/>
    <w:rsid w:val="00506180"/>
    <w:rsid w:val="00506191"/>
    <w:rsid w:val="005061AF"/>
    <w:rsid w:val="005061EF"/>
    <w:rsid w:val="0050620C"/>
    <w:rsid w:val="00506246"/>
    <w:rsid w:val="0050624C"/>
    <w:rsid w:val="0050639E"/>
    <w:rsid w:val="005063BF"/>
    <w:rsid w:val="00506448"/>
    <w:rsid w:val="00506495"/>
    <w:rsid w:val="005064AD"/>
    <w:rsid w:val="00506547"/>
    <w:rsid w:val="005065A1"/>
    <w:rsid w:val="005065EC"/>
    <w:rsid w:val="005066A9"/>
    <w:rsid w:val="005066B5"/>
    <w:rsid w:val="00506728"/>
    <w:rsid w:val="0050679C"/>
    <w:rsid w:val="00506879"/>
    <w:rsid w:val="00506935"/>
    <w:rsid w:val="005069DA"/>
    <w:rsid w:val="00506A18"/>
    <w:rsid w:val="00506AE3"/>
    <w:rsid w:val="00506C72"/>
    <w:rsid w:val="00506C9A"/>
    <w:rsid w:val="00506E32"/>
    <w:rsid w:val="00506E61"/>
    <w:rsid w:val="00506EF7"/>
    <w:rsid w:val="00506F69"/>
    <w:rsid w:val="00506F87"/>
    <w:rsid w:val="00507092"/>
    <w:rsid w:val="00507121"/>
    <w:rsid w:val="00507134"/>
    <w:rsid w:val="005071F4"/>
    <w:rsid w:val="00507474"/>
    <w:rsid w:val="0050749A"/>
    <w:rsid w:val="00507535"/>
    <w:rsid w:val="00507597"/>
    <w:rsid w:val="00507682"/>
    <w:rsid w:val="00507721"/>
    <w:rsid w:val="0050777D"/>
    <w:rsid w:val="00507A23"/>
    <w:rsid w:val="00507A29"/>
    <w:rsid w:val="00507AA4"/>
    <w:rsid w:val="00507AF7"/>
    <w:rsid w:val="00507B3B"/>
    <w:rsid w:val="00507C28"/>
    <w:rsid w:val="00507D89"/>
    <w:rsid w:val="00507DA4"/>
    <w:rsid w:val="00507DF3"/>
    <w:rsid w:val="00507E9A"/>
    <w:rsid w:val="00507EB7"/>
    <w:rsid w:val="00507F94"/>
    <w:rsid w:val="00507FFB"/>
    <w:rsid w:val="0051000A"/>
    <w:rsid w:val="00510090"/>
    <w:rsid w:val="005100C0"/>
    <w:rsid w:val="0051018B"/>
    <w:rsid w:val="00510192"/>
    <w:rsid w:val="0051027C"/>
    <w:rsid w:val="00510387"/>
    <w:rsid w:val="005103B0"/>
    <w:rsid w:val="005103D9"/>
    <w:rsid w:val="005103FE"/>
    <w:rsid w:val="00510447"/>
    <w:rsid w:val="00510521"/>
    <w:rsid w:val="00510572"/>
    <w:rsid w:val="005106A4"/>
    <w:rsid w:val="005106B0"/>
    <w:rsid w:val="0051089C"/>
    <w:rsid w:val="005108D3"/>
    <w:rsid w:val="0051094A"/>
    <w:rsid w:val="00510962"/>
    <w:rsid w:val="005109AA"/>
    <w:rsid w:val="00510A62"/>
    <w:rsid w:val="00510A9A"/>
    <w:rsid w:val="00510AE8"/>
    <w:rsid w:val="00510AEA"/>
    <w:rsid w:val="00510B93"/>
    <w:rsid w:val="00510BA3"/>
    <w:rsid w:val="00510D54"/>
    <w:rsid w:val="00510D98"/>
    <w:rsid w:val="00510E0C"/>
    <w:rsid w:val="00510EB6"/>
    <w:rsid w:val="0051105C"/>
    <w:rsid w:val="0051110B"/>
    <w:rsid w:val="0051111F"/>
    <w:rsid w:val="005113B1"/>
    <w:rsid w:val="005114CC"/>
    <w:rsid w:val="00511561"/>
    <w:rsid w:val="0051159C"/>
    <w:rsid w:val="00511679"/>
    <w:rsid w:val="00511728"/>
    <w:rsid w:val="0051192E"/>
    <w:rsid w:val="00511A69"/>
    <w:rsid w:val="00511AE8"/>
    <w:rsid w:val="00511BCA"/>
    <w:rsid w:val="00511BF3"/>
    <w:rsid w:val="00511C63"/>
    <w:rsid w:val="00511D06"/>
    <w:rsid w:val="00511D94"/>
    <w:rsid w:val="00511E39"/>
    <w:rsid w:val="00511EB6"/>
    <w:rsid w:val="00511F12"/>
    <w:rsid w:val="00511F65"/>
    <w:rsid w:val="00511F86"/>
    <w:rsid w:val="00512001"/>
    <w:rsid w:val="0051203F"/>
    <w:rsid w:val="005120A1"/>
    <w:rsid w:val="0051222C"/>
    <w:rsid w:val="005123A6"/>
    <w:rsid w:val="005123CB"/>
    <w:rsid w:val="005123F9"/>
    <w:rsid w:val="00512419"/>
    <w:rsid w:val="005125B8"/>
    <w:rsid w:val="00512663"/>
    <w:rsid w:val="00512727"/>
    <w:rsid w:val="005127EC"/>
    <w:rsid w:val="00512859"/>
    <w:rsid w:val="0051286E"/>
    <w:rsid w:val="005128B0"/>
    <w:rsid w:val="005129E2"/>
    <w:rsid w:val="00512A87"/>
    <w:rsid w:val="00512B21"/>
    <w:rsid w:val="00512B39"/>
    <w:rsid w:val="00512B9F"/>
    <w:rsid w:val="00512E2F"/>
    <w:rsid w:val="00512E39"/>
    <w:rsid w:val="00512F4A"/>
    <w:rsid w:val="00513142"/>
    <w:rsid w:val="005131CF"/>
    <w:rsid w:val="00513327"/>
    <w:rsid w:val="00513367"/>
    <w:rsid w:val="0051336C"/>
    <w:rsid w:val="005133E3"/>
    <w:rsid w:val="00513495"/>
    <w:rsid w:val="005134B1"/>
    <w:rsid w:val="005134DB"/>
    <w:rsid w:val="005134E0"/>
    <w:rsid w:val="00513591"/>
    <w:rsid w:val="005136D4"/>
    <w:rsid w:val="0051387E"/>
    <w:rsid w:val="00513946"/>
    <w:rsid w:val="005139A3"/>
    <w:rsid w:val="00513A63"/>
    <w:rsid w:val="00513A7B"/>
    <w:rsid w:val="00513A96"/>
    <w:rsid w:val="00513BCB"/>
    <w:rsid w:val="00513BD5"/>
    <w:rsid w:val="00513D42"/>
    <w:rsid w:val="00513D68"/>
    <w:rsid w:val="00513D79"/>
    <w:rsid w:val="00513DAE"/>
    <w:rsid w:val="00513DD5"/>
    <w:rsid w:val="00513E7B"/>
    <w:rsid w:val="00513F60"/>
    <w:rsid w:val="00514020"/>
    <w:rsid w:val="0051414D"/>
    <w:rsid w:val="005141B3"/>
    <w:rsid w:val="005142C8"/>
    <w:rsid w:val="005143A3"/>
    <w:rsid w:val="00514433"/>
    <w:rsid w:val="00514438"/>
    <w:rsid w:val="005144B0"/>
    <w:rsid w:val="00514549"/>
    <w:rsid w:val="0051454D"/>
    <w:rsid w:val="005145E7"/>
    <w:rsid w:val="005145FB"/>
    <w:rsid w:val="0051468E"/>
    <w:rsid w:val="0051480B"/>
    <w:rsid w:val="00514832"/>
    <w:rsid w:val="00514937"/>
    <w:rsid w:val="0051493C"/>
    <w:rsid w:val="0051497A"/>
    <w:rsid w:val="00514A17"/>
    <w:rsid w:val="00514AFA"/>
    <w:rsid w:val="00514C4D"/>
    <w:rsid w:val="00514D49"/>
    <w:rsid w:val="00514E04"/>
    <w:rsid w:val="00514F8A"/>
    <w:rsid w:val="00514FB3"/>
    <w:rsid w:val="0051504F"/>
    <w:rsid w:val="00515050"/>
    <w:rsid w:val="00515058"/>
    <w:rsid w:val="005150F9"/>
    <w:rsid w:val="00515120"/>
    <w:rsid w:val="005152A2"/>
    <w:rsid w:val="005152D5"/>
    <w:rsid w:val="0051538F"/>
    <w:rsid w:val="005153B0"/>
    <w:rsid w:val="00515427"/>
    <w:rsid w:val="005154A0"/>
    <w:rsid w:val="00515600"/>
    <w:rsid w:val="0051563B"/>
    <w:rsid w:val="005157B4"/>
    <w:rsid w:val="00515932"/>
    <w:rsid w:val="0051595E"/>
    <w:rsid w:val="00515C34"/>
    <w:rsid w:val="00515C71"/>
    <w:rsid w:val="00515C97"/>
    <w:rsid w:val="00515C98"/>
    <w:rsid w:val="00515CB8"/>
    <w:rsid w:val="00515D37"/>
    <w:rsid w:val="00515DF0"/>
    <w:rsid w:val="00515F1E"/>
    <w:rsid w:val="00515F29"/>
    <w:rsid w:val="00515F38"/>
    <w:rsid w:val="00515F75"/>
    <w:rsid w:val="0051613C"/>
    <w:rsid w:val="005161B0"/>
    <w:rsid w:val="00516303"/>
    <w:rsid w:val="0051632E"/>
    <w:rsid w:val="005163EF"/>
    <w:rsid w:val="00516699"/>
    <w:rsid w:val="005166C2"/>
    <w:rsid w:val="005166F0"/>
    <w:rsid w:val="005168BB"/>
    <w:rsid w:val="005168F0"/>
    <w:rsid w:val="0051690E"/>
    <w:rsid w:val="00516954"/>
    <w:rsid w:val="00516A11"/>
    <w:rsid w:val="00516A22"/>
    <w:rsid w:val="00516A7A"/>
    <w:rsid w:val="00516B33"/>
    <w:rsid w:val="00516B51"/>
    <w:rsid w:val="00516BB3"/>
    <w:rsid w:val="00516BB8"/>
    <w:rsid w:val="00516C3E"/>
    <w:rsid w:val="00516D39"/>
    <w:rsid w:val="00516DB7"/>
    <w:rsid w:val="00516DF7"/>
    <w:rsid w:val="00516FCF"/>
    <w:rsid w:val="00517151"/>
    <w:rsid w:val="00517167"/>
    <w:rsid w:val="005172F6"/>
    <w:rsid w:val="00517372"/>
    <w:rsid w:val="00517478"/>
    <w:rsid w:val="00517480"/>
    <w:rsid w:val="0051754B"/>
    <w:rsid w:val="0051757F"/>
    <w:rsid w:val="00517600"/>
    <w:rsid w:val="005176C3"/>
    <w:rsid w:val="005176D7"/>
    <w:rsid w:val="00517732"/>
    <w:rsid w:val="0051784B"/>
    <w:rsid w:val="0051788E"/>
    <w:rsid w:val="0051796E"/>
    <w:rsid w:val="005179D2"/>
    <w:rsid w:val="00517A58"/>
    <w:rsid w:val="00517AAF"/>
    <w:rsid w:val="00517C01"/>
    <w:rsid w:val="00517D32"/>
    <w:rsid w:val="00517FC0"/>
    <w:rsid w:val="0052000D"/>
    <w:rsid w:val="0052002B"/>
    <w:rsid w:val="0052004F"/>
    <w:rsid w:val="00520093"/>
    <w:rsid w:val="005200B1"/>
    <w:rsid w:val="005201DC"/>
    <w:rsid w:val="005201DE"/>
    <w:rsid w:val="00520226"/>
    <w:rsid w:val="00520293"/>
    <w:rsid w:val="0052031C"/>
    <w:rsid w:val="005204D0"/>
    <w:rsid w:val="0052050E"/>
    <w:rsid w:val="005205A3"/>
    <w:rsid w:val="0052079C"/>
    <w:rsid w:val="005208B1"/>
    <w:rsid w:val="005208D3"/>
    <w:rsid w:val="00520911"/>
    <w:rsid w:val="005209B1"/>
    <w:rsid w:val="00520B0E"/>
    <w:rsid w:val="00520BAD"/>
    <w:rsid w:val="00520C46"/>
    <w:rsid w:val="00520CF6"/>
    <w:rsid w:val="00520D21"/>
    <w:rsid w:val="00520E02"/>
    <w:rsid w:val="00520E35"/>
    <w:rsid w:val="005210D1"/>
    <w:rsid w:val="0052127D"/>
    <w:rsid w:val="005212DA"/>
    <w:rsid w:val="005212E9"/>
    <w:rsid w:val="005213C9"/>
    <w:rsid w:val="0052152D"/>
    <w:rsid w:val="0052158F"/>
    <w:rsid w:val="00521652"/>
    <w:rsid w:val="005217E8"/>
    <w:rsid w:val="0052191E"/>
    <w:rsid w:val="00521970"/>
    <w:rsid w:val="00521AE1"/>
    <w:rsid w:val="00521C1C"/>
    <w:rsid w:val="00521C2C"/>
    <w:rsid w:val="00521CDF"/>
    <w:rsid w:val="00521D2E"/>
    <w:rsid w:val="00521DEB"/>
    <w:rsid w:val="00521E09"/>
    <w:rsid w:val="00521FE3"/>
    <w:rsid w:val="00522012"/>
    <w:rsid w:val="00522021"/>
    <w:rsid w:val="00522041"/>
    <w:rsid w:val="00522090"/>
    <w:rsid w:val="0052217B"/>
    <w:rsid w:val="0052218E"/>
    <w:rsid w:val="00522199"/>
    <w:rsid w:val="005222BD"/>
    <w:rsid w:val="005222CC"/>
    <w:rsid w:val="00522408"/>
    <w:rsid w:val="00522487"/>
    <w:rsid w:val="005225EB"/>
    <w:rsid w:val="00522739"/>
    <w:rsid w:val="00522930"/>
    <w:rsid w:val="00522A5D"/>
    <w:rsid w:val="00522B88"/>
    <w:rsid w:val="00522CB0"/>
    <w:rsid w:val="00522CE0"/>
    <w:rsid w:val="00522DE9"/>
    <w:rsid w:val="00522EBB"/>
    <w:rsid w:val="00522F2B"/>
    <w:rsid w:val="00522F39"/>
    <w:rsid w:val="00522F56"/>
    <w:rsid w:val="0052301E"/>
    <w:rsid w:val="00523028"/>
    <w:rsid w:val="00523382"/>
    <w:rsid w:val="0052341E"/>
    <w:rsid w:val="005234EE"/>
    <w:rsid w:val="00523552"/>
    <w:rsid w:val="0052367E"/>
    <w:rsid w:val="00523742"/>
    <w:rsid w:val="0052378B"/>
    <w:rsid w:val="005237BD"/>
    <w:rsid w:val="00523837"/>
    <w:rsid w:val="005238B9"/>
    <w:rsid w:val="0052399E"/>
    <w:rsid w:val="00523B3D"/>
    <w:rsid w:val="00523C10"/>
    <w:rsid w:val="00523CA6"/>
    <w:rsid w:val="00523CC1"/>
    <w:rsid w:val="00523DFD"/>
    <w:rsid w:val="00523E24"/>
    <w:rsid w:val="00523F98"/>
    <w:rsid w:val="00523FAB"/>
    <w:rsid w:val="00523FCA"/>
    <w:rsid w:val="00523FF7"/>
    <w:rsid w:val="00524051"/>
    <w:rsid w:val="0052406E"/>
    <w:rsid w:val="005242BB"/>
    <w:rsid w:val="00524389"/>
    <w:rsid w:val="0052439D"/>
    <w:rsid w:val="00524400"/>
    <w:rsid w:val="00524408"/>
    <w:rsid w:val="00524411"/>
    <w:rsid w:val="005244A3"/>
    <w:rsid w:val="005244D0"/>
    <w:rsid w:val="00524515"/>
    <w:rsid w:val="0052455C"/>
    <w:rsid w:val="005245EF"/>
    <w:rsid w:val="005246B0"/>
    <w:rsid w:val="005246D0"/>
    <w:rsid w:val="0052475B"/>
    <w:rsid w:val="005248A8"/>
    <w:rsid w:val="005248F1"/>
    <w:rsid w:val="00524990"/>
    <w:rsid w:val="00524AB7"/>
    <w:rsid w:val="00524ACB"/>
    <w:rsid w:val="00524AE6"/>
    <w:rsid w:val="00524C02"/>
    <w:rsid w:val="00524CC6"/>
    <w:rsid w:val="00524CE4"/>
    <w:rsid w:val="00524D38"/>
    <w:rsid w:val="00524E21"/>
    <w:rsid w:val="00524E2A"/>
    <w:rsid w:val="00524EF1"/>
    <w:rsid w:val="00524F13"/>
    <w:rsid w:val="00524F16"/>
    <w:rsid w:val="00525069"/>
    <w:rsid w:val="0052507B"/>
    <w:rsid w:val="0052508F"/>
    <w:rsid w:val="00525154"/>
    <w:rsid w:val="005252CF"/>
    <w:rsid w:val="005252EC"/>
    <w:rsid w:val="00525326"/>
    <w:rsid w:val="005253EA"/>
    <w:rsid w:val="0052558F"/>
    <w:rsid w:val="0052559E"/>
    <w:rsid w:val="00525681"/>
    <w:rsid w:val="0052575A"/>
    <w:rsid w:val="00525A38"/>
    <w:rsid w:val="00525AD7"/>
    <w:rsid w:val="00525B60"/>
    <w:rsid w:val="00525C48"/>
    <w:rsid w:val="00525CAF"/>
    <w:rsid w:val="00525FBD"/>
    <w:rsid w:val="00525FFE"/>
    <w:rsid w:val="00526060"/>
    <w:rsid w:val="005260B7"/>
    <w:rsid w:val="00526102"/>
    <w:rsid w:val="0052611B"/>
    <w:rsid w:val="00526135"/>
    <w:rsid w:val="005261D5"/>
    <w:rsid w:val="0052623A"/>
    <w:rsid w:val="005262BF"/>
    <w:rsid w:val="005264A1"/>
    <w:rsid w:val="005264DB"/>
    <w:rsid w:val="005264EF"/>
    <w:rsid w:val="0052659B"/>
    <w:rsid w:val="005265C5"/>
    <w:rsid w:val="0052666A"/>
    <w:rsid w:val="0052668B"/>
    <w:rsid w:val="00526691"/>
    <w:rsid w:val="0052675E"/>
    <w:rsid w:val="005267A2"/>
    <w:rsid w:val="00526848"/>
    <w:rsid w:val="00526856"/>
    <w:rsid w:val="005268EA"/>
    <w:rsid w:val="00526983"/>
    <w:rsid w:val="005269C4"/>
    <w:rsid w:val="00526AD4"/>
    <w:rsid w:val="00526BDE"/>
    <w:rsid w:val="00526C83"/>
    <w:rsid w:val="00526D95"/>
    <w:rsid w:val="00526E17"/>
    <w:rsid w:val="00526FE5"/>
    <w:rsid w:val="00527018"/>
    <w:rsid w:val="00527045"/>
    <w:rsid w:val="005270D6"/>
    <w:rsid w:val="005271E2"/>
    <w:rsid w:val="005272F4"/>
    <w:rsid w:val="005273DA"/>
    <w:rsid w:val="005274C4"/>
    <w:rsid w:val="005275AC"/>
    <w:rsid w:val="0052768B"/>
    <w:rsid w:val="00527778"/>
    <w:rsid w:val="00527930"/>
    <w:rsid w:val="00527949"/>
    <w:rsid w:val="0052796A"/>
    <w:rsid w:val="00527AA8"/>
    <w:rsid w:val="00527B19"/>
    <w:rsid w:val="00527C1E"/>
    <w:rsid w:val="00527C8D"/>
    <w:rsid w:val="00527D1E"/>
    <w:rsid w:val="00527DF7"/>
    <w:rsid w:val="00527E0E"/>
    <w:rsid w:val="00527F57"/>
    <w:rsid w:val="00527FDA"/>
    <w:rsid w:val="0052CAB9"/>
    <w:rsid w:val="0053004D"/>
    <w:rsid w:val="005300BD"/>
    <w:rsid w:val="0053013E"/>
    <w:rsid w:val="005303C6"/>
    <w:rsid w:val="005303FD"/>
    <w:rsid w:val="00530414"/>
    <w:rsid w:val="005304D9"/>
    <w:rsid w:val="005304E3"/>
    <w:rsid w:val="00530545"/>
    <w:rsid w:val="005305CC"/>
    <w:rsid w:val="005307F6"/>
    <w:rsid w:val="00530865"/>
    <w:rsid w:val="00530978"/>
    <w:rsid w:val="00530A06"/>
    <w:rsid w:val="00530AB7"/>
    <w:rsid w:val="00530B52"/>
    <w:rsid w:val="00530C25"/>
    <w:rsid w:val="00530C51"/>
    <w:rsid w:val="00530C56"/>
    <w:rsid w:val="00530C9A"/>
    <w:rsid w:val="00530CF8"/>
    <w:rsid w:val="00530D57"/>
    <w:rsid w:val="00530D7B"/>
    <w:rsid w:val="00530E6B"/>
    <w:rsid w:val="00530ECC"/>
    <w:rsid w:val="00531048"/>
    <w:rsid w:val="005310D3"/>
    <w:rsid w:val="00531271"/>
    <w:rsid w:val="005312BD"/>
    <w:rsid w:val="005312F2"/>
    <w:rsid w:val="005313D0"/>
    <w:rsid w:val="0053148B"/>
    <w:rsid w:val="005314B0"/>
    <w:rsid w:val="0053159B"/>
    <w:rsid w:val="005315E1"/>
    <w:rsid w:val="005316DC"/>
    <w:rsid w:val="00531763"/>
    <w:rsid w:val="00531765"/>
    <w:rsid w:val="0053181C"/>
    <w:rsid w:val="0053190D"/>
    <w:rsid w:val="00531928"/>
    <w:rsid w:val="0053195D"/>
    <w:rsid w:val="005319A3"/>
    <w:rsid w:val="00531A32"/>
    <w:rsid w:val="00531B86"/>
    <w:rsid w:val="00531DA8"/>
    <w:rsid w:val="00531DC4"/>
    <w:rsid w:val="00531DFF"/>
    <w:rsid w:val="00531EDA"/>
    <w:rsid w:val="00531F72"/>
    <w:rsid w:val="005320CF"/>
    <w:rsid w:val="0053215F"/>
    <w:rsid w:val="00532182"/>
    <w:rsid w:val="00532294"/>
    <w:rsid w:val="005323E9"/>
    <w:rsid w:val="005325A5"/>
    <w:rsid w:val="0053272A"/>
    <w:rsid w:val="005328EC"/>
    <w:rsid w:val="005329A6"/>
    <w:rsid w:val="00532A3B"/>
    <w:rsid w:val="00532B7A"/>
    <w:rsid w:val="00532BAB"/>
    <w:rsid w:val="00532BE4"/>
    <w:rsid w:val="00532C51"/>
    <w:rsid w:val="00532DC6"/>
    <w:rsid w:val="00532E60"/>
    <w:rsid w:val="00532E86"/>
    <w:rsid w:val="00532F2A"/>
    <w:rsid w:val="00532F3D"/>
    <w:rsid w:val="00533052"/>
    <w:rsid w:val="005330BA"/>
    <w:rsid w:val="005330E5"/>
    <w:rsid w:val="00533308"/>
    <w:rsid w:val="00533319"/>
    <w:rsid w:val="0053331A"/>
    <w:rsid w:val="005334AA"/>
    <w:rsid w:val="005334C7"/>
    <w:rsid w:val="0053350E"/>
    <w:rsid w:val="005336C0"/>
    <w:rsid w:val="005336D3"/>
    <w:rsid w:val="005336F2"/>
    <w:rsid w:val="0053372B"/>
    <w:rsid w:val="005337F9"/>
    <w:rsid w:val="005338C9"/>
    <w:rsid w:val="00533A54"/>
    <w:rsid w:val="00533AAB"/>
    <w:rsid w:val="00533AD9"/>
    <w:rsid w:val="00533C3E"/>
    <w:rsid w:val="00533D07"/>
    <w:rsid w:val="00533D10"/>
    <w:rsid w:val="00533D1A"/>
    <w:rsid w:val="00533E89"/>
    <w:rsid w:val="00533EBB"/>
    <w:rsid w:val="00533FAE"/>
    <w:rsid w:val="00533FC7"/>
    <w:rsid w:val="00533FDD"/>
    <w:rsid w:val="00533FEF"/>
    <w:rsid w:val="005341B0"/>
    <w:rsid w:val="005341E0"/>
    <w:rsid w:val="00534232"/>
    <w:rsid w:val="0053425D"/>
    <w:rsid w:val="00534260"/>
    <w:rsid w:val="00534345"/>
    <w:rsid w:val="00534401"/>
    <w:rsid w:val="00534546"/>
    <w:rsid w:val="00534648"/>
    <w:rsid w:val="005346E4"/>
    <w:rsid w:val="00534704"/>
    <w:rsid w:val="00534846"/>
    <w:rsid w:val="005348AB"/>
    <w:rsid w:val="0053493D"/>
    <w:rsid w:val="00534977"/>
    <w:rsid w:val="005349D7"/>
    <w:rsid w:val="00534A46"/>
    <w:rsid w:val="00534A54"/>
    <w:rsid w:val="00534ADE"/>
    <w:rsid w:val="00534AEE"/>
    <w:rsid w:val="00534AFC"/>
    <w:rsid w:val="00534B4D"/>
    <w:rsid w:val="00534CCC"/>
    <w:rsid w:val="00534CE6"/>
    <w:rsid w:val="00534D08"/>
    <w:rsid w:val="00534DC1"/>
    <w:rsid w:val="00534DD4"/>
    <w:rsid w:val="00535043"/>
    <w:rsid w:val="00535062"/>
    <w:rsid w:val="0053514E"/>
    <w:rsid w:val="00535225"/>
    <w:rsid w:val="00535244"/>
    <w:rsid w:val="00535500"/>
    <w:rsid w:val="005355C6"/>
    <w:rsid w:val="00535605"/>
    <w:rsid w:val="00535656"/>
    <w:rsid w:val="005356EF"/>
    <w:rsid w:val="00535971"/>
    <w:rsid w:val="00535987"/>
    <w:rsid w:val="00535AD0"/>
    <w:rsid w:val="00535B5A"/>
    <w:rsid w:val="00535CF4"/>
    <w:rsid w:val="00535D4F"/>
    <w:rsid w:val="00535D52"/>
    <w:rsid w:val="00535D6C"/>
    <w:rsid w:val="00535E04"/>
    <w:rsid w:val="00535E34"/>
    <w:rsid w:val="00535E99"/>
    <w:rsid w:val="00535F5C"/>
    <w:rsid w:val="00535FC7"/>
    <w:rsid w:val="00536022"/>
    <w:rsid w:val="00536079"/>
    <w:rsid w:val="005360BD"/>
    <w:rsid w:val="00536242"/>
    <w:rsid w:val="0053628D"/>
    <w:rsid w:val="005362DF"/>
    <w:rsid w:val="005362E8"/>
    <w:rsid w:val="0053633D"/>
    <w:rsid w:val="0053641F"/>
    <w:rsid w:val="005364D9"/>
    <w:rsid w:val="0053650C"/>
    <w:rsid w:val="0053653F"/>
    <w:rsid w:val="00536633"/>
    <w:rsid w:val="0053664E"/>
    <w:rsid w:val="00536695"/>
    <w:rsid w:val="005367CB"/>
    <w:rsid w:val="00536861"/>
    <w:rsid w:val="00536884"/>
    <w:rsid w:val="005368D0"/>
    <w:rsid w:val="00536978"/>
    <w:rsid w:val="0053697C"/>
    <w:rsid w:val="00536AF4"/>
    <w:rsid w:val="00536B92"/>
    <w:rsid w:val="00536C06"/>
    <w:rsid w:val="00536C6F"/>
    <w:rsid w:val="00536E15"/>
    <w:rsid w:val="00536EE1"/>
    <w:rsid w:val="00536EF3"/>
    <w:rsid w:val="00536F43"/>
    <w:rsid w:val="00536F93"/>
    <w:rsid w:val="00537069"/>
    <w:rsid w:val="005370E5"/>
    <w:rsid w:val="0053728F"/>
    <w:rsid w:val="00537321"/>
    <w:rsid w:val="005373BC"/>
    <w:rsid w:val="00537406"/>
    <w:rsid w:val="00537420"/>
    <w:rsid w:val="00537565"/>
    <w:rsid w:val="005375A2"/>
    <w:rsid w:val="005375BB"/>
    <w:rsid w:val="0053763F"/>
    <w:rsid w:val="00537665"/>
    <w:rsid w:val="00537707"/>
    <w:rsid w:val="005377C3"/>
    <w:rsid w:val="00537858"/>
    <w:rsid w:val="0053785B"/>
    <w:rsid w:val="00537A26"/>
    <w:rsid w:val="00537AF7"/>
    <w:rsid w:val="00537B52"/>
    <w:rsid w:val="00537C6D"/>
    <w:rsid w:val="00537C87"/>
    <w:rsid w:val="00537CC8"/>
    <w:rsid w:val="00537DF0"/>
    <w:rsid w:val="00537EFD"/>
    <w:rsid w:val="00537FDA"/>
    <w:rsid w:val="005400E5"/>
    <w:rsid w:val="0054023A"/>
    <w:rsid w:val="0054027E"/>
    <w:rsid w:val="005402A7"/>
    <w:rsid w:val="00540334"/>
    <w:rsid w:val="00540499"/>
    <w:rsid w:val="0054052C"/>
    <w:rsid w:val="0054056E"/>
    <w:rsid w:val="005405C9"/>
    <w:rsid w:val="0054060E"/>
    <w:rsid w:val="005406E8"/>
    <w:rsid w:val="00540775"/>
    <w:rsid w:val="005407BA"/>
    <w:rsid w:val="005407BC"/>
    <w:rsid w:val="00540824"/>
    <w:rsid w:val="00540836"/>
    <w:rsid w:val="00540866"/>
    <w:rsid w:val="00540902"/>
    <w:rsid w:val="00540B04"/>
    <w:rsid w:val="00540BFF"/>
    <w:rsid w:val="00540CE1"/>
    <w:rsid w:val="00540D61"/>
    <w:rsid w:val="00540D77"/>
    <w:rsid w:val="00540E51"/>
    <w:rsid w:val="00540E74"/>
    <w:rsid w:val="00540E96"/>
    <w:rsid w:val="00540ED3"/>
    <w:rsid w:val="00540ED8"/>
    <w:rsid w:val="00540F47"/>
    <w:rsid w:val="00540F7A"/>
    <w:rsid w:val="00540F86"/>
    <w:rsid w:val="005410D5"/>
    <w:rsid w:val="0054111B"/>
    <w:rsid w:val="00541141"/>
    <w:rsid w:val="00541253"/>
    <w:rsid w:val="0054130D"/>
    <w:rsid w:val="0054138D"/>
    <w:rsid w:val="005413A7"/>
    <w:rsid w:val="005413DD"/>
    <w:rsid w:val="00541431"/>
    <w:rsid w:val="00541478"/>
    <w:rsid w:val="0054153C"/>
    <w:rsid w:val="005416B7"/>
    <w:rsid w:val="00541805"/>
    <w:rsid w:val="00541874"/>
    <w:rsid w:val="005418E1"/>
    <w:rsid w:val="00541ADA"/>
    <w:rsid w:val="00541B1C"/>
    <w:rsid w:val="00541B5D"/>
    <w:rsid w:val="00541B91"/>
    <w:rsid w:val="00541BB9"/>
    <w:rsid w:val="00541C22"/>
    <w:rsid w:val="00541C69"/>
    <w:rsid w:val="00541E00"/>
    <w:rsid w:val="00541E4C"/>
    <w:rsid w:val="00541F14"/>
    <w:rsid w:val="00541F1D"/>
    <w:rsid w:val="00541F33"/>
    <w:rsid w:val="00541F52"/>
    <w:rsid w:val="00542025"/>
    <w:rsid w:val="00542066"/>
    <w:rsid w:val="00542086"/>
    <w:rsid w:val="005420A5"/>
    <w:rsid w:val="005420AB"/>
    <w:rsid w:val="005420E4"/>
    <w:rsid w:val="005420ED"/>
    <w:rsid w:val="005421A8"/>
    <w:rsid w:val="005421F2"/>
    <w:rsid w:val="00542354"/>
    <w:rsid w:val="0054235E"/>
    <w:rsid w:val="005423C0"/>
    <w:rsid w:val="00542447"/>
    <w:rsid w:val="005424D4"/>
    <w:rsid w:val="005424F7"/>
    <w:rsid w:val="0054250C"/>
    <w:rsid w:val="00542665"/>
    <w:rsid w:val="005426DD"/>
    <w:rsid w:val="005426FE"/>
    <w:rsid w:val="0054274C"/>
    <w:rsid w:val="005427CB"/>
    <w:rsid w:val="00542A50"/>
    <w:rsid w:val="00542A54"/>
    <w:rsid w:val="00542AEB"/>
    <w:rsid w:val="00542BEC"/>
    <w:rsid w:val="00542D0F"/>
    <w:rsid w:val="00542DA5"/>
    <w:rsid w:val="00542EA9"/>
    <w:rsid w:val="00542F73"/>
    <w:rsid w:val="00542F7B"/>
    <w:rsid w:val="0054305E"/>
    <w:rsid w:val="0054306E"/>
    <w:rsid w:val="0054307A"/>
    <w:rsid w:val="0054309B"/>
    <w:rsid w:val="005430B3"/>
    <w:rsid w:val="00543162"/>
    <w:rsid w:val="0054318E"/>
    <w:rsid w:val="005431B0"/>
    <w:rsid w:val="005432CF"/>
    <w:rsid w:val="005433BE"/>
    <w:rsid w:val="00543489"/>
    <w:rsid w:val="005435B3"/>
    <w:rsid w:val="0054368E"/>
    <w:rsid w:val="0054373E"/>
    <w:rsid w:val="00543750"/>
    <w:rsid w:val="00543758"/>
    <w:rsid w:val="005437A0"/>
    <w:rsid w:val="00543800"/>
    <w:rsid w:val="00543919"/>
    <w:rsid w:val="00543930"/>
    <w:rsid w:val="00543AB1"/>
    <w:rsid w:val="00543B9E"/>
    <w:rsid w:val="00543C5F"/>
    <w:rsid w:val="00543DFA"/>
    <w:rsid w:val="00543E53"/>
    <w:rsid w:val="00543E9C"/>
    <w:rsid w:val="00543EC2"/>
    <w:rsid w:val="00543F65"/>
    <w:rsid w:val="00543F6B"/>
    <w:rsid w:val="0054401B"/>
    <w:rsid w:val="005440CE"/>
    <w:rsid w:val="005442A3"/>
    <w:rsid w:val="005442D0"/>
    <w:rsid w:val="00544332"/>
    <w:rsid w:val="00544344"/>
    <w:rsid w:val="0054439B"/>
    <w:rsid w:val="005444AA"/>
    <w:rsid w:val="005444CF"/>
    <w:rsid w:val="005444D1"/>
    <w:rsid w:val="00544553"/>
    <w:rsid w:val="00544597"/>
    <w:rsid w:val="0054461C"/>
    <w:rsid w:val="0054465D"/>
    <w:rsid w:val="005446A3"/>
    <w:rsid w:val="00544865"/>
    <w:rsid w:val="005448F5"/>
    <w:rsid w:val="0054497E"/>
    <w:rsid w:val="005449ED"/>
    <w:rsid w:val="00544B07"/>
    <w:rsid w:val="00544BD7"/>
    <w:rsid w:val="00544CF0"/>
    <w:rsid w:val="00544D13"/>
    <w:rsid w:val="00544D79"/>
    <w:rsid w:val="005450B0"/>
    <w:rsid w:val="005450B7"/>
    <w:rsid w:val="00545416"/>
    <w:rsid w:val="0054543B"/>
    <w:rsid w:val="00545490"/>
    <w:rsid w:val="005454DB"/>
    <w:rsid w:val="0054553E"/>
    <w:rsid w:val="00545597"/>
    <w:rsid w:val="005455A8"/>
    <w:rsid w:val="005455AE"/>
    <w:rsid w:val="005455C7"/>
    <w:rsid w:val="00545685"/>
    <w:rsid w:val="005456FF"/>
    <w:rsid w:val="005457F7"/>
    <w:rsid w:val="00545883"/>
    <w:rsid w:val="005458A1"/>
    <w:rsid w:val="005458ED"/>
    <w:rsid w:val="00545989"/>
    <w:rsid w:val="0054598E"/>
    <w:rsid w:val="00545A2A"/>
    <w:rsid w:val="00545A45"/>
    <w:rsid w:val="00545AA6"/>
    <w:rsid w:val="00545BC3"/>
    <w:rsid w:val="00545C01"/>
    <w:rsid w:val="00545DDB"/>
    <w:rsid w:val="00545E7B"/>
    <w:rsid w:val="00545F12"/>
    <w:rsid w:val="00545FC7"/>
    <w:rsid w:val="0054605B"/>
    <w:rsid w:val="00546265"/>
    <w:rsid w:val="00546354"/>
    <w:rsid w:val="0054636A"/>
    <w:rsid w:val="005463D0"/>
    <w:rsid w:val="0054642F"/>
    <w:rsid w:val="0054644D"/>
    <w:rsid w:val="005464BE"/>
    <w:rsid w:val="005465E5"/>
    <w:rsid w:val="005468A0"/>
    <w:rsid w:val="00546C08"/>
    <w:rsid w:val="00546C98"/>
    <w:rsid w:val="00546FC0"/>
    <w:rsid w:val="0054724A"/>
    <w:rsid w:val="00547367"/>
    <w:rsid w:val="005473EF"/>
    <w:rsid w:val="00547462"/>
    <w:rsid w:val="005475DA"/>
    <w:rsid w:val="0054764C"/>
    <w:rsid w:val="005476F9"/>
    <w:rsid w:val="00547743"/>
    <w:rsid w:val="0054783E"/>
    <w:rsid w:val="005479D1"/>
    <w:rsid w:val="00547B6D"/>
    <w:rsid w:val="00547B76"/>
    <w:rsid w:val="00547CBD"/>
    <w:rsid w:val="00547D15"/>
    <w:rsid w:val="00547DA4"/>
    <w:rsid w:val="00547DC7"/>
    <w:rsid w:val="00547E3C"/>
    <w:rsid w:val="00547ED9"/>
    <w:rsid w:val="00547EEE"/>
    <w:rsid w:val="00547EF5"/>
    <w:rsid w:val="00550021"/>
    <w:rsid w:val="00550046"/>
    <w:rsid w:val="005500D5"/>
    <w:rsid w:val="0055011F"/>
    <w:rsid w:val="005501F9"/>
    <w:rsid w:val="00550354"/>
    <w:rsid w:val="005503CE"/>
    <w:rsid w:val="0055040B"/>
    <w:rsid w:val="005504DC"/>
    <w:rsid w:val="005504F2"/>
    <w:rsid w:val="00550590"/>
    <w:rsid w:val="005505D7"/>
    <w:rsid w:val="00550620"/>
    <w:rsid w:val="00550746"/>
    <w:rsid w:val="00550782"/>
    <w:rsid w:val="0055091E"/>
    <w:rsid w:val="00550AE4"/>
    <w:rsid w:val="00550B42"/>
    <w:rsid w:val="00550B58"/>
    <w:rsid w:val="00550B5E"/>
    <w:rsid w:val="00550B88"/>
    <w:rsid w:val="00550C4A"/>
    <w:rsid w:val="00550D3F"/>
    <w:rsid w:val="00550D67"/>
    <w:rsid w:val="00550F54"/>
    <w:rsid w:val="0055108D"/>
    <w:rsid w:val="00551138"/>
    <w:rsid w:val="0055118F"/>
    <w:rsid w:val="00551192"/>
    <w:rsid w:val="005511B0"/>
    <w:rsid w:val="005511CD"/>
    <w:rsid w:val="005511DD"/>
    <w:rsid w:val="00551525"/>
    <w:rsid w:val="0055156E"/>
    <w:rsid w:val="0055165C"/>
    <w:rsid w:val="005518BD"/>
    <w:rsid w:val="005518FB"/>
    <w:rsid w:val="00551909"/>
    <w:rsid w:val="00551911"/>
    <w:rsid w:val="00551992"/>
    <w:rsid w:val="00551A3B"/>
    <w:rsid w:val="00551AEE"/>
    <w:rsid w:val="00551B2B"/>
    <w:rsid w:val="00551B6E"/>
    <w:rsid w:val="00551B74"/>
    <w:rsid w:val="00551BD6"/>
    <w:rsid w:val="00551D41"/>
    <w:rsid w:val="00551DFD"/>
    <w:rsid w:val="00551E2E"/>
    <w:rsid w:val="00551E76"/>
    <w:rsid w:val="00551F62"/>
    <w:rsid w:val="00552008"/>
    <w:rsid w:val="00552049"/>
    <w:rsid w:val="00552084"/>
    <w:rsid w:val="0055209C"/>
    <w:rsid w:val="005520BA"/>
    <w:rsid w:val="005520BC"/>
    <w:rsid w:val="005520EF"/>
    <w:rsid w:val="0055227A"/>
    <w:rsid w:val="00552283"/>
    <w:rsid w:val="00552285"/>
    <w:rsid w:val="005522CD"/>
    <w:rsid w:val="00552316"/>
    <w:rsid w:val="005524C9"/>
    <w:rsid w:val="00552601"/>
    <w:rsid w:val="0055262B"/>
    <w:rsid w:val="005526A6"/>
    <w:rsid w:val="005526D1"/>
    <w:rsid w:val="005527B2"/>
    <w:rsid w:val="00552890"/>
    <w:rsid w:val="005528E3"/>
    <w:rsid w:val="005528F5"/>
    <w:rsid w:val="00552940"/>
    <w:rsid w:val="00552986"/>
    <w:rsid w:val="00552994"/>
    <w:rsid w:val="005529BF"/>
    <w:rsid w:val="00552A48"/>
    <w:rsid w:val="00552AAF"/>
    <w:rsid w:val="00552BAB"/>
    <w:rsid w:val="00552EC9"/>
    <w:rsid w:val="00553051"/>
    <w:rsid w:val="005530A2"/>
    <w:rsid w:val="00553236"/>
    <w:rsid w:val="0055324E"/>
    <w:rsid w:val="00553263"/>
    <w:rsid w:val="0055329F"/>
    <w:rsid w:val="0055335D"/>
    <w:rsid w:val="00553421"/>
    <w:rsid w:val="005534B3"/>
    <w:rsid w:val="0055354C"/>
    <w:rsid w:val="00553589"/>
    <w:rsid w:val="00553681"/>
    <w:rsid w:val="0055368A"/>
    <w:rsid w:val="005536E1"/>
    <w:rsid w:val="005536EB"/>
    <w:rsid w:val="005537BB"/>
    <w:rsid w:val="005537ED"/>
    <w:rsid w:val="005538D1"/>
    <w:rsid w:val="005539D2"/>
    <w:rsid w:val="005539EC"/>
    <w:rsid w:val="00553CAC"/>
    <w:rsid w:val="00553D02"/>
    <w:rsid w:val="00553D59"/>
    <w:rsid w:val="00553DE9"/>
    <w:rsid w:val="00553EF6"/>
    <w:rsid w:val="00554044"/>
    <w:rsid w:val="00554297"/>
    <w:rsid w:val="0055443F"/>
    <w:rsid w:val="0055448C"/>
    <w:rsid w:val="00554535"/>
    <w:rsid w:val="00554667"/>
    <w:rsid w:val="005546A6"/>
    <w:rsid w:val="00554736"/>
    <w:rsid w:val="00554738"/>
    <w:rsid w:val="0055473C"/>
    <w:rsid w:val="005547BF"/>
    <w:rsid w:val="00554847"/>
    <w:rsid w:val="005548A0"/>
    <w:rsid w:val="0055494F"/>
    <w:rsid w:val="00554953"/>
    <w:rsid w:val="00554971"/>
    <w:rsid w:val="00554991"/>
    <w:rsid w:val="005549BF"/>
    <w:rsid w:val="005549FD"/>
    <w:rsid w:val="00554A54"/>
    <w:rsid w:val="00554B66"/>
    <w:rsid w:val="00554C49"/>
    <w:rsid w:val="00554CB2"/>
    <w:rsid w:val="00554CD4"/>
    <w:rsid w:val="00554D70"/>
    <w:rsid w:val="00554E65"/>
    <w:rsid w:val="00554EE4"/>
    <w:rsid w:val="00554EF4"/>
    <w:rsid w:val="00554F15"/>
    <w:rsid w:val="005551A1"/>
    <w:rsid w:val="0055533E"/>
    <w:rsid w:val="00555340"/>
    <w:rsid w:val="0055534D"/>
    <w:rsid w:val="00555353"/>
    <w:rsid w:val="005553C1"/>
    <w:rsid w:val="00555585"/>
    <w:rsid w:val="00555685"/>
    <w:rsid w:val="005556C2"/>
    <w:rsid w:val="00555742"/>
    <w:rsid w:val="005557B3"/>
    <w:rsid w:val="00555962"/>
    <w:rsid w:val="00555A5C"/>
    <w:rsid w:val="00555A64"/>
    <w:rsid w:val="00555AF9"/>
    <w:rsid w:val="00555B1F"/>
    <w:rsid w:val="00555B22"/>
    <w:rsid w:val="00555BA6"/>
    <w:rsid w:val="00555CF1"/>
    <w:rsid w:val="00555D17"/>
    <w:rsid w:val="00555D1E"/>
    <w:rsid w:val="00555D27"/>
    <w:rsid w:val="00555F16"/>
    <w:rsid w:val="00555F4B"/>
    <w:rsid w:val="00555F99"/>
    <w:rsid w:val="00555FCE"/>
    <w:rsid w:val="005560A1"/>
    <w:rsid w:val="0055614C"/>
    <w:rsid w:val="0055622F"/>
    <w:rsid w:val="005562DA"/>
    <w:rsid w:val="00556354"/>
    <w:rsid w:val="0055636F"/>
    <w:rsid w:val="005563FB"/>
    <w:rsid w:val="0055642E"/>
    <w:rsid w:val="005564FB"/>
    <w:rsid w:val="00556568"/>
    <w:rsid w:val="00556582"/>
    <w:rsid w:val="00556787"/>
    <w:rsid w:val="005568AD"/>
    <w:rsid w:val="005568D1"/>
    <w:rsid w:val="00556913"/>
    <w:rsid w:val="005569FA"/>
    <w:rsid w:val="00556A66"/>
    <w:rsid w:val="00556A78"/>
    <w:rsid w:val="00556A9D"/>
    <w:rsid w:val="00556BFE"/>
    <w:rsid w:val="00556C22"/>
    <w:rsid w:val="00556D0B"/>
    <w:rsid w:val="00556D24"/>
    <w:rsid w:val="00556D48"/>
    <w:rsid w:val="00556E81"/>
    <w:rsid w:val="00556F5A"/>
    <w:rsid w:val="0055701E"/>
    <w:rsid w:val="0055714A"/>
    <w:rsid w:val="00557166"/>
    <w:rsid w:val="0055717D"/>
    <w:rsid w:val="00557195"/>
    <w:rsid w:val="00557465"/>
    <w:rsid w:val="005574E9"/>
    <w:rsid w:val="00557745"/>
    <w:rsid w:val="005577DB"/>
    <w:rsid w:val="0055793B"/>
    <w:rsid w:val="00557A59"/>
    <w:rsid w:val="00557AC1"/>
    <w:rsid w:val="00557B9F"/>
    <w:rsid w:val="00557BED"/>
    <w:rsid w:val="00557C0A"/>
    <w:rsid w:val="00557C74"/>
    <w:rsid w:val="00557CD6"/>
    <w:rsid w:val="00557E8D"/>
    <w:rsid w:val="00557EBA"/>
    <w:rsid w:val="00557FB0"/>
    <w:rsid w:val="00557FEA"/>
    <w:rsid w:val="0056005A"/>
    <w:rsid w:val="005600B4"/>
    <w:rsid w:val="005601ED"/>
    <w:rsid w:val="00560239"/>
    <w:rsid w:val="00560268"/>
    <w:rsid w:val="005602E3"/>
    <w:rsid w:val="005603AF"/>
    <w:rsid w:val="00560476"/>
    <w:rsid w:val="00560507"/>
    <w:rsid w:val="00560552"/>
    <w:rsid w:val="0056058B"/>
    <w:rsid w:val="0056086B"/>
    <w:rsid w:val="005609BA"/>
    <w:rsid w:val="00560B54"/>
    <w:rsid w:val="00560D86"/>
    <w:rsid w:val="00560F31"/>
    <w:rsid w:val="00561021"/>
    <w:rsid w:val="005610F3"/>
    <w:rsid w:val="00561161"/>
    <w:rsid w:val="005611A8"/>
    <w:rsid w:val="005611D0"/>
    <w:rsid w:val="00561222"/>
    <w:rsid w:val="0056128D"/>
    <w:rsid w:val="005612BA"/>
    <w:rsid w:val="005612C0"/>
    <w:rsid w:val="00561300"/>
    <w:rsid w:val="005613AA"/>
    <w:rsid w:val="00561420"/>
    <w:rsid w:val="0056149E"/>
    <w:rsid w:val="0056150C"/>
    <w:rsid w:val="00561586"/>
    <w:rsid w:val="005615A0"/>
    <w:rsid w:val="005617B5"/>
    <w:rsid w:val="005617F4"/>
    <w:rsid w:val="0056185D"/>
    <w:rsid w:val="00561897"/>
    <w:rsid w:val="005618CE"/>
    <w:rsid w:val="005618FC"/>
    <w:rsid w:val="00561981"/>
    <w:rsid w:val="00561A2F"/>
    <w:rsid w:val="00561CB7"/>
    <w:rsid w:val="00561CEA"/>
    <w:rsid w:val="00561D58"/>
    <w:rsid w:val="00561E12"/>
    <w:rsid w:val="00561E22"/>
    <w:rsid w:val="00561F3D"/>
    <w:rsid w:val="00561FE2"/>
    <w:rsid w:val="0056202B"/>
    <w:rsid w:val="0056207D"/>
    <w:rsid w:val="0056208E"/>
    <w:rsid w:val="005620B5"/>
    <w:rsid w:val="00562216"/>
    <w:rsid w:val="005622F8"/>
    <w:rsid w:val="0056252F"/>
    <w:rsid w:val="0056255C"/>
    <w:rsid w:val="0056258D"/>
    <w:rsid w:val="005625A8"/>
    <w:rsid w:val="0056261F"/>
    <w:rsid w:val="00562640"/>
    <w:rsid w:val="005626BF"/>
    <w:rsid w:val="005626CB"/>
    <w:rsid w:val="00562703"/>
    <w:rsid w:val="00562783"/>
    <w:rsid w:val="005627BC"/>
    <w:rsid w:val="005627E3"/>
    <w:rsid w:val="00562886"/>
    <w:rsid w:val="005628B6"/>
    <w:rsid w:val="005629A3"/>
    <w:rsid w:val="00562A4F"/>
    <w:rsid w:val="00562B50"/>
    <w:rsid w:val="00562C3C"/>
    <w:rsid w:val="00562D8F"/>
    <w:rsid w:val="00562DF4"/>
    <w:rsid w:val="00562EAB"/>
    <w:rsid w:val="00563044"/>
    <w:rsid w:val="00563107"/>
    <w:rsid w:val="0056320B"/>
    <w:rsid w:val="00563251"/>
    <w:rsid w:val="00563367"/>
    <w:rsid w:val="005633A6"/>
    <w:rsid w:val="005633DD"/>
    <w:rsid w:val="00563530"/>
    <w:rsid w:val="0056365B"/>
    <w:rsid w:val="005636FB"/>
    <w:rsid w:val="00563785"/>
    <w:rsid w:val="00563970"/>
    <w:rsid w:val="00563AD1"/>
    <w:rsid w:val="00563B2D"/>
    <w:rsid w:val="00563BBC"/>
    <w:rsid w:val="00563C8C"/>
    <w:rsid w:val="00563DAB"/>
    <w:rsid w:val="00563E5D"/>
    <w:rsid w:val="00563ED8"/>
    <w:rsid w:val="00563F0F"/>
    <w:rsid w:val="00563F20"/>
    <w:rsid w:val="00563F88"/>
    <w:rsid w:val="00564301"/>
    <w:rsid w:val="00564314"/>
    <w:rsid w:val="00564483"/>
    <w:rsid w:val="00564490"/>
    <w:rsid w:val="005644C2"/>
    <w:rsid w:val="005644CD"/>
    <w:rsid w:val="00564511"/>
    <w:rsid w:val="00564573"/>
    <w:rsid w:val="005645D0"/>
    <w:rsid w:val="00564608"/>
    <w:rsid w:val="00564623"/>
    <w:rsid w:val="005646D1"/>
    <w:rsid w:val="0056476A"/>
    <w:rsid w:val="00564793"/>
    <w:rsid w:val="0056479A"/>
    <w:rsid w:val="005647F4"/>
    <w:rsid w:val="00564A0C"/>
    <w:rsid w:val="00564A19"/>
    <w:rsid w:val="00564A48"/>
    <w:rsid w:val="00564B2B"/>
    <w:rsid w:val="00564BBB"/>
    <w:rsid w:val="00564BEF"/>
    <w:rsid w:val="00564D3B"/>
    <w:rsid w:val="00564D7F"/>
    <w:rsid w:val="00564DD9"/>
    <w:rsid w:val="00564DF7"/>
    <w:rsid w:val="00564E25"/>
    <w:rsid w:val="00564EE1"/>
    <w:rsid w:val="00564F4A"/>
    <w:rsid w:val="005650F8"/>
    <w:rsid w:val="0056518A"/>
    <w:rsid w:val="0056524E"/>
    <w:rsid w:val="00565302"/>
    <w:rsid w:val="0056530A"/>
    <w:rsid w:val="005653CC"/>
    <w:rsid w:val="005655C1"/>
    <w:rsid w:val="00565616"/>
    <w:rsid w:val="005657EE"/>
    <w:rsid w:val="00565809"/>
    <w:rsid w:val="0056584E"/>
    <w:rsid w:val="005658C6"/>
    <w:rsid w:val="005658CD"/>
    <w:rsid w:val="00565A78"/>
    <w:rsid w:val="00565B00"/>
    <w:rsid w:val="00565B13"/>
    <w:rsid w:val="00565B9F"/>
    <w:rsid w:val="00565C37"/>
    <w:rsid w:val="00565C40"/>
    <w:rsid w:val="00565CAD"/>
    <w:rsid w:val="00565D24"/>
    <w:rsid w:val="00565E09"/>
    <w:rsid w:val="00565E47"/>
    <w:rsid w:val="00565EAE"/>
    <w:rsid w:val="00565EE2"/>
    <w:rsid w:val="005661E8"/>
    <w:rsid w:val="00566224"/>
    <w:rsid w:val="00566319"/>
    <w:rsid w:val="005663B9"/>
    <w:rsid w:val="005663D1"/>
    <w:rsid w:val="00566451"/>
    <w:rsid w:val="0056646C"/>
    <w:rsid w:val="00566471"/>
    <w:rsid w:val="0056649B"/>
    <w:rsid w:val="0056649F"/>
    <w:rsid w:val="00566576"/>
    <w:rsid w:val="00566664"/>
    <w:rsid w:val="00566BC3"/>
    <w:rsid w:val="00566C54"/>
    <w:rsid w:val="00566D1A"/>
    <w:rsid w:val="00566D9D"/>
    <w:rsid w:val="00566F10"/>
    <w:rsid w:val="00566F8A"/>
    <w:rsid w:val="00566FBF"/>
    <w:rsid w:val="005670CC"/>
    <w:rsid w:val="00567286"/>
    <w:rsid w:val="005672A7"/>
    <w:rsid w:val="0056732E"/>
    <w:rsid w:val="00567403"/>
    <w:rsid w:val="00567660"/>
    <w:rsid w:val="0056788F"/>
    <w:rsid w:val="00567892"/>
    <w:rsid w:val="0056794F"/>
    <w:rsid w:val="0056798B"/>
    <w:rsid w:val="00567A2F"/>
    <w:rsid w:val="00567A4A"/>
    <w:rsid w:val="00567AA8"/>
    <w:rsid w:val="00567AC6"/>
    <w:rsid w:val="00567C5A"/>
    <w:rsid w:val="00567CBD"/>
    <w:rsid w:val="00567CCD"/>
    <w:rsid w:val="00567DBB"/>
    <w:rsid w:val="00567EFA"/>
    <w:rsid w:val="00567F6D"/>
    <w:rsid w:val="00567FE6"/>
    <w:rsid w:val="00567FED"/>
    <w:rsid w:val="0056C2C8"/>
    <w:rsid w:val="005700AE"/>
    <w:rsid w:val="005701AD"/>
    <w:rsid w:val="00570329"/>
    <w:rsid w:val="0057035F"/>
    <w:rsid w:val="00570389"/>
    <w:rsid w:val="005703D2"/>
    <w:rsid w:val="0057043A"/>
    <w:rsid w:val="005704A8"/>
    <w:rsid w:val="005704CA"/>
    <w:rsid w:val="00570684"/>
    <w:rsid w:val="00570729"/>
    <w:rsid w:val="0057074B"/>
    <w:rsid w:val="00570760"/>
    <w:rsid w:val="005709A6"/>
    <w:rsid w:val="00570A5D"/>
    <w:rsid w:val="00570C89"/>
    <w:rsid w:val="00570CDF"/>
    <w:rsid w:val="00570D02"/>
    <w:rsid w:val="00570E6B"/>
    <w:rsid w:val="00570EBD"/>
    <w:rsid w:val="00570F32"/>
    <w:rsid w:val="00570FBA"/>
    <w:rsid w:val="005711E1"/>
    <w:rsid w:val="005712C0"/>
    <w:rsid w:val="005712F8"/>
    <w:rsid w:val="0057130B"/>
    <w:rsid w:val="0057144D"/>
    <w:rsid w:val="00571590"/>
    <w:rsid w:val="005715A0"/>
    <w:rsid w:val="005715D0"/>
    <w:rsid w:val="00571620"/>
    <w:rsid w:val="0057162E"/>
    <w:rsid w:val="00571639"/>
    <w:rsid w:val="00571667"/>
    <w:rsid w:val="005716F3"/>
    <w:rsid w:val="00571876"/>
    <w:rsid w:val="00571885"/>
    <w:rsid w:val="005718A2"/>
    <w:rsid w:val="0057190D"/>
    <w:rsid w:val="0057191F"/>
    <w:rsid w:val="00571B00"/>
    <w:rsid w:val="00571B63"/>
    <w:rsid w:val="00571BDB"/>
    <w:rsid w:val="00571CE1"/>
    <w:rsid w:val="00571D0C"/>
    <w:rsid w:val="00571D24"/>
    <w:rsid w:val="00571DA2"/>
    <w:rsid w:val="00571DC6"/>
    <w:rsid w:val="00571F95"/>
    <w:rsid w:val="00571F97"/>
    <w:rsid w:val="00572004"/>
    <w:rsid w:val="005720C1"/>
    <w:rsid w:val="00572173"/>
    <w:rsid w:val="005721A0"/>
    <w:rsid w:val="005721BA"/>
    <w:rsid w:val="005721EC"/>
    <w:rsid w:val="00572278"/>
    <w:rsid w:val="00572522"/>
    <w:rsid w:val="00572746"/>
    <w:rsid w:val="005727BD"/>
    <w:rsid w:val="00572812"/>
    <w:rsid w:val="00572834"/>
    <w:rsid w:val="00572875"/>
    <w:rsid w:val="00572899"/>
    <w:rsid w:val="005728DB"/>
    <w:rsid w:val="00572982"/>
    <w:rsid w:val="005729EE"/>
    <w:rsid w:val="00572AC1"/>
    <w:rsid w:val="00572AC6"/>
    <w:rsid w:val="00572B38"/>
    <w:rsid w:val="00572B42"/>
    <w:rsid w:val="00572BBB"/>
    <w:rsid w:val="00572C43"/>
    <w:rsid w:val="00572CA9"/>
    <w:rsid w:val="00572CF6"/>
    <w:rsid w:val="00572DFF"/>
    <w:rsid w:val="00572E6F"/>
    <w:rsid w:val="00572E7A"/>
    <w:rsid w:val="00572E8A"/>
    <w:rsid w:val="00572ED8"/>
    <w:rsid w:val="00572FC7"/>
    <w:rsid w:val="00573094"/>
    <w:rsid w:val="005730FB"/>
    <w:rsid w:val="00573253"/>
    <w:rsid w:val="005733AE"/>
    <w:rsid w:val="00573514"/>
    <w:rsid w:val="0057359C"/>
    <w:rsid w:val="005735EA"/>
    <w:rsid w:val="0057368F"/>
    <w:rsid w:val="0057373A"/>
    <w:rsid w:val="005737C6"/>
    <w:rsid w:val="005737FB"/>
    <w:rsid w:val="0057395A"/>
    <w:rsid w:val="005739BA"/>
    <w:rsid w:val="00573AA2"/>
    <w:rsid w:val="00573AC8"/>
    <w:rsid w:val="00573BDC"/>
    <w:rsid w:val="00573C3F"/>
    <w:rsid w:val="00573C4F"/>
    <w:rsid w:val="00573DED"/>
    <w:rsid w:val="00573E82"/>
    <w:rsid w:val="00574053"/>
    <w:rsid w:val="005740AE"/>
    <w:rsid w:val="005741CF"/>
    <w:rsid w:val="00574202"/>
    <w:rsid w:val="0057424E"/>
    <w:rsid w:val="00574391"/>
    <w:rsid w:val="0057459C"/>
    <w:rsid w:val="00574648"/>
    <w:rsid w:val="00574769"/>
    <w:rsid w:val="00574810"/>
    <w:rsid w:val="005749F4"/>
    <w:rsid w:val="00574AD8"/>
    <w:rsid w:val="00574B0F"/>
    <w:rsid w:val="00574B3C"/>
    <w:rsid w:val="00574B5B"/>
    <w:rsid w:val="00574B73"/>
    <w:rsid w:val="00574C2B"/>
    <w:rsid w:val="00574C56"/>
    <w:rsid w:val="00574D18"/>
    <w:rsid w:val="00574D6A"/>
    <w:rsid w:val="00574E09"/>
    <w:rsid w:val="00574E48"/>
    <w:rsid w:val="00574E88"/>
    <w:rsid w:val="0057505A"/>
    <w:rsid w:val="005750DC"/>
    <w:rsid w:val="00575341"/>
    <w:rsid w:val="00575369"/>
    <w:rsid w:val="0057545D"/>
    <w:rsid w:val="005754B6"/>
    <w:rsid w:val="005754CE"/>
    <w:rsid w:val="00575532"/>
    <w:rsid w:val="0057556F"/>
    <w:rsid w:val="00575583"/>
    <w:rsid w:val="00575589"/>
    <w:rsid w:val="005755CD"/>
    <w:rsid w:val="005756CD"/>
    <w:rsid w:val="005756CF"/>
    <w:rsid w:val="005756FA"/>
    <w:rsid w:val="005757D3"/>
    <w:rsid w:val="00575859"/>
    <w:rsid w:val="00575900"/>
    <w:rsid w:val="00575946"/>
    <w:rsid w:val="005759AE"/>
    <w:rsid w:val="00575B7C"/>
    <w:rsid w:val="00575D43"/>
    <w:rsid w:val="00575D64"/>
    <w:rsid w:val="00575D67"/>
    <w:rsid w:val="00575E0F"/>
    <w:rsid w:val="00575E1A"/>
    <w:rsid w:val="00575E77"/>
    <w:rsid w:val="00575EC5"/>
    <w:rsid w:val="00575F9E"/>
    <w:rsid w:val="0057604A"/>
    <w:rsid w:val="0057608A"/>
    <w:rsid w:val="00576293"/>
    <w:rsid w:val="005764D1"/>
    <w:rsid w:val="00576527"/>
    <w:rsid w:val="005765CC"/>
    <w:rsid w:val="005765D2"/>
    <w:rsid w:val="0057666B"/>
    <w:rsid w:val="005766AB"/>
    <w:rsid w:val="005766C0"/>
    <w:rsid w:val="00576783"/>
    <w:rsid w:val="005767B8"/>
    <w:rsid w:val="00576993"/>
    <w:rsid w:val="00576B90"/>
    <w:rsid w:val="00576C23"/>
    <w:rsid w:val="00576D8B"/>
    <w:rsid w:val="00576DEE"/>
    <w:rsid w:val="00576E09"/>
    <w:rsid w:val="00576E65"/>
    <w:rsid w:val="00576E85"/>
    <w:rsid w:val="0057700A"/>
    <w:rsid w:val="0057701C"/>
    <w:rsid w:val="00577078"/>
    <w:rsid w:val="005770C5"/>
    <w:rsid w:val="0057713B"/>
    <w:rsid w:val="0057718B"/>
    <w:rsid w:val="005771EB"/>
    <w:rsid w:val="0057738C"/>
    <w:rsid w:val="005773AA"/>
    <w:rsid w:val="005773CE"/>
    <w:rsid w:val="00577449"/>
    <w:rsid w:val="0057751E"/>
    <w:rsid w:val="005775D8"/>
    <w:rsid w:val="0057760F"/>
    <w:rsid w:val="005776A6"/>
    <w:rsid w:val="00577763"/>
    <w:rsid w:val="00577779"/>
    <w:rsid w:val="00577847"/>
    <w:rsid w:val="00577864"/>
    <w:rsid w:val="0057789B"/>
    <w:rsid w:val="005778E4"/>
    <w:rsid w:val="005779F2"/>
    <w:rsid w:val="00577C0F"/>
    <w:rsid w:val="00577D49"/>
    <w:rsid w:val="00577D5C"/>
    <w:rsid w:val="00577D9A"/>
    <w:rsid w:val="00577DD7"/>
    <w:rsid w:val="00577E9A"/>
    <w:rsid w:val="00577ECE"/>
    <w:rsid w:val="00577F76"/>
    <w:rsid w:val="00580021"/>
    <w:rsid w:val="005800CE"/>
    <w:rsid w:val="00580101"/>
    <w:rsid w:val="00580129"/>
    <w:rsid w:val="0058014C"/>
    <w:rsid w:val="00580150"/>
    <w:rsid w:val="00580270"/>
    <w:rsid w:val="00580438"/>
    <w:rsid w:val="00580483"/>
    <w:rsid w:val="00580541"/>
    <w:rsid w:val="00580702"/>
    <w:rsid w:val="005807DF"/>
    <w:rsid w:val="005807F7"/>
    <w:rsid w:val="0058086A"/>
    <w:rsid w:val="005808B8"/>
    <w:rsid w:val="00580902"/>
    <w:rsid w:val="005809D0"/>
    <w:rsid w:val="005809D1"/>
    <w:rsid w:val="00580AAB"/>
    <w:rsid w:val="00580C52"/>
    <w:rsid w:val="00580E27"/>
    <w:rsid w:val="00581034"/>
    <w:rsid w:val="0058104E"/>
    <w:rsid w:val="005811D7"/>
    <w:rsid w:val="00581206"/>
    <w:rsid w:val="00581264"/>
    <w:rsid w:val="005812E8"/>
    <w:rsid w:val="005812F8"/>
    <w:rsid w:val="00581361"/>
    <w:rsid w:val="0058143E"/>
    <w:rsid w:val="0058146B"/>
    <w:rsid w:val="005814E6"/>
    <w:rsid w:val="005815D6"/>
    <w:rsid w:val="005815E9"/>
    <w:rsid w:val="005817D0"/>
    <w:rsid w:val="005818F9"/>
    <w:rsid w:val="005819FD"/>
    <w:rsid w:val="00581AD6"/>
    <w:rsid w:val="00581B1D"/>
    <w:rsid w:val="00581C5C"/>
    <w:rsid w:val="00581C87"/>
    <w:rsid w:val="00581CB0"/>
    <w:rsid w:val="00581D06"/>
    <w:rsid w:val="00581D08"/>
    <w:rsid w:val="00581D8C"/>
    <w:rsid w:val="00581DE7"/>
    <w:rsid w:val="00581E35"/>
    <w:rsid w:val="00581EB6"/>
    <w:rsid w:val="00581F83"/>
    <w:rsid w:val="00581FCD"/>
    <w:rsid w:val="00582112"/>
    <w:rsid w:val="0058220E"/>
    <w:rsid w:val="00582226"/>
    <w:rsid w:val="005823DB"/>
    <w:rsid w:val="0058242B"/>
    <w:rsid w:val="0058246A"/>
    <w:rsid w:val="00582594"/>
    <w:rsid w:val="005826B4"/>
    <w:rsid w:val="00582738"/>
    <w:rsid w:val="00582849"/>
    <w:rsid w:val="0058284E"/>
    <w:rsid w:val="0058298D"/>
    <w:rsid w:val="005829C5"/>
    <w:rsid w:val="00582B46"/>
    <w:rsid w:val="00582B78"/>
    <w:rsid w:val="00582BE5"/>
    <w:rsid w:val="00582C1E"/>
    <w:rsid w:val="00582C2B"/>
    <w:rsid w:val="00583008"/>
    <w:rsid w:val="005830ED"/>
    <w:rsid w:val="005831D1"/>
    <w:rsid w:val="005831EE"/>
    <w:rsid w:val="00583239"/>
    <w:rsid w:val="005833BA"/>
    <w:rsid w:val="005833D9"/>
    <w:rsid w:val="0058346C"/>
    <w:rsid w:val="005834C4"/>
    <w:rsid w:val="005834F4"/>
    <w:rsid w:val="005835F1"/>
    <w:rsid w:val="00583719"/>
    <w:rsid w:val="00583807"/>
    <w:rsid w:val="00583842"/>
    <w:rsid w:val="00583896"/>
    <w:rsid w:val="00583909"/>
    <w:rsid w:val="00583931"/>
    <w:rsid w:val="0058399D"/>
    <w:rsid w:val="005839A8"/>
    <w:rsid w:val="00583A65"/>
    <w:rsid w:val="00583B1E"/>
    <w:rsid w:val="00583C1B"/>
    <w:rsid w:val="00583DE2"/>
    <w:rsid w:val="00583F62"/>
    <w:rsid w:val="0058400A"/>
    <w:rsid w:val="0058405A"/>
    <w:rsid w:val="005841B2"/>
    <w:rsid w:val="005841E4"/>
    <w:rsid w:val="00584294"/>
    <w:rsid w:val="005842DD"/>
    <w:rsid w:val="0058440F"/>
    <w:rsid w:val="00584419"/>
    <w:rsid w:val="00584459"/>
    <w:rsid w:val="005844F0"/>
    <w:rsid w:val="00584541"/>
    <w:rsid w:val="00584632"/>
    <w:rsid w:val="0058472B"/>
    <w:rsid w:val="0058476F"/>
    <w:rsid w:val="005848A3"/>
    <w:rsid w:val="005848DD"/>
    <w:rsid w:val="00584952"/>
    <w:rsid w:val="00584983"/>
    <w:rsid w:val="005849BB"/>
    <w:rsid w:val="005849CE"/>
    <w:rsid w:val="00584A33"/>
    <w:rsid w:val="00584B62"/>
    <w:rsid w:val="00584BC0"/>
    <w:rsid w:val="00584DC9"/>
    <w:rsid w:val="00584E96"/>
    <w:rsid w:val="00584F2D"/>
    <w:rsid w:val="00584F7A"/>
    <w:rsid w:val="00585070"/>
    <w:rsid w:val="00585090"/>
    <w:rsid w:val="005850DB"/>
    <w:rsid w:val="00585133"/>
    <w:rsid w:val="00585176"/>
    <w:rsid w:val="005853A2"/>
    <w:rsid w:val="00585430"/>
    <w:rsid w:val="005854D7"/>
    <w:rsid w:val="0058555C"/>
    <w:rsid w:val="00585571"/>
    <w:rsid w:val="00585866"/>
    <w:rsid w:val="005858A2"/>
    <w:rsid w:val="0058593E"/>
    <w:rsid w:val="00585963"/>
    <w:rsid w:val="00585979"/>
    <w:rsid w:val="00585A26"/>
    <w:rsid w:val="00585AC7"/>
    <w:rsid w:val="00585AE5"/>
    <w:rsid w:val="00585B13"/>
    <w:rsid w:val="00585B59"/>
    <w:rsid w:val="00585B8D"/>
    <w:rsid w:val="00585C1B"/>
    <w:rsid w:val="00585D23"/>
    <w:rsid w:val="00585D49"/>
    <w:rsid w:val="00585F52"/>
    <w:rsid w:val="00586012"/>
    <w:rsid w:val="00586120"/>
    <w:rsid w:val="00586157"/>
    <w:rsid w:val="005861E3"/>
    <w:rsid w:val="005862BB"/>
    <w:rsid w:val="0058638F"/>
    <w:rsid w:val="00586526"/>
    <w:rsid w:val="00586586"/>
    <w:rsid w:val="005865D8"/>
    <w:rsid w:val="0058664F"/>
    <w:rsid w:val="005866E3"/>
    <w:rsid w:val="0058671A"/>
    <w:rsid w:val="0058677B"/>
    <w:rsid w:val="00586792"/>
    <w:rsid w:val="005867F4"/>
    <w:rsid w:val="00586905"/>
    <w:rsid w:val="0058694B"/>
    <w:rsid w:val="00586BE3"/>
    <w:rsid w:val="00586C4F"/>
    <w:rsid w:val="00586CC8"/>
    <w:rsid w:val="00586FC3"/>
    <w:rsid w:val="00587098"/>
    <w:rsid w:val="005870B2"/>
    <w:rsid w:val="005873A3"/>
    <w:rsid w:val="00587540"/>
    <w:rsid w:val="00587555"/>
    <w:rsid w:val="00587567"/>
    <w:rsid w:val="005876E1"/>
    <w:rsid w:val="0058771A"/>
    <w:rsid w:val="0058780E"/>
    <w:rsid w:val="0058787E"/>
    <w:rsid w:val="00587880"/>
    <w:rsid w:val="00587914"/>
    <w:rsid w:val="0058791B"/>
    <w:rsid w:val="00587A38"/>
    <w:rsid w:val="00587A62"/>
    <w:rsid w:val="00587B2E"/>
    <w:rsid w:val="00587B56"/>
    <w:rsid w:val="00587B74"/>
    <w:rsid w:val="00587C16"/>
    <w:rsid w:val="00587C27"/>
    <w:rsid w:val="00587C61"/>
    <w:rsid w:val="00587CF1"/>
    <w:rsid w:val="00587D96"/>
    <w:rsid w:val="00587DF9"/>
    <w:rsid w:val="00587E29"/>
    <w:rsid w:val="00587E94"/>
    <w:rsid w:val="00587ECC"/>
    <w:rsid w:val="00587F68"/>
    <w:rsid w:val="00587FD2"/>
    <w:rsid w:val="0059003A"/>
    <w:rsid w:val="00590095"/>
    <w:rsid w:val="005900A3"/>
    <w:rsid w:val="005905C8"/>
    <w:rsid w:val="00590632"/>
    <w:rsid w:val="00590691"/>
    <w:rsid w:val="00590714"/>
    <w:rsid w:val="005907F1"/>
    <w:rsid w:val="0059082E"/>
    <w:rsid w:val="00590838"/>
    <w:rsid w:val="0059085E"/>
    <w:rsid w:val="005909A4"/>
    <w:rsid w:val="00590A4C"/>
    <w:rsid w:val="00590A74"/>
    <w:rsid w:val="00590B0E"/>
    <w:rsid w:val="00590C12"/>
    <w:rsid w:val="00590C51"/>
    <w:rsid w:val="00590D7D"/>
    <w:rsid w:val="00590E3F"/>
    <w:rsid w:val="00590E45"/>
    <w:rsid w:val="00590EF3"/>
    <w:rsid w:val="00590F6D"/>
    <w:rsid w:val="00590FAC"/>
    <w:rsid w:val="00591102"/>
    <w:rsid w:val="0059115E"/>
    <w:rsid w:val="005911FD"/>
    <w:rsid w:val="0059135D"/>
    <w:rsid w:val="00591586"/>
    <w:rsid w:val="00591702"/>
    <w:rsid w:val="0059172F"/>
    <w:rsid w:val="0059176D"/>
    <w:rsid w:val="005917E8"/>
    <w:rsid w:val="005917F9"/>
    <w:rsid w:val="005918D7"/>
    <w:rsid w:val="00591908"/>
    <w:rsid w:val="0059192C"/>
    <w:rsid w:val="00591983"/>
    <w:rsid w:val="005919CE"/>
    <w:rsid w:val="00591A05"/>
    <w:rsid w:val="00591A10"/>
    <w:rsid w:val="00591A2D"/>
    <w:rsid w:val="00591BDD"/>
    <w:rsid w:val="00591C03"/>
    <w:rsid w:val="00591C87"/>
    <w:rsid w:val="00591D4C"/>
    <w:rsid w:val="00591D97"/>
    <w:rsid w:val="00591DC6"/>
    <w:rsid w:val="00591E8D"/>
    <w:rsid w:val="00591EBD"/>
    <w:rsid w:val="00591EC5"/>
    <w:rsid w:val="00591EEA"/>
    <w:rsid w:val="00591F4D"/>
    <w:rsid w:val="00591F98"/>
    <w:rsid w:val="00592071"/>
    <w:rsid w:val="005920A4"/>
    <w:rsid w:val="005920B7"/>
    <w:rsid w:val="005920EB"/>
    <w:rsid w:val="00592148"/>
    <w:rsid w:val="00592196"/>
    <w:rsid w:val="005921AE"/>
    <w:rsid w:val="0059233D"/>
    <w:rsid w:val="005923A9"/>
    <w:rsid w:val="005924DB"/>
    <w:rsid w:val="005924E7"/>
    <w:rsid w:val="005926A3"/>
    <w:rsid w:val="005929D2"/>
    <w:rsid w:val="00592B68"/>
    <w:rsid w:val="00592C0C"/>
    <w:rsid w:val="00592C3C"/>
    <w:rsid w:val="00592DC5"/>
    <w:rsid w:val="00592EBE"/>
    <w:rsid w:val="00592F64"/>
    <w:rsid w:val="00592F84"/>
    <w:rsid w:val="00592FCA"/>
    <w:rsid w:val="00593084"/>
    <w:rsid w:val="005930DF"/>
    <w:rsid w:val="0059312B"/>
    <w:rsid w:val="00593178"/>
    <w:rsid w:val="005931DF"/>
    <w:rsid w:val="00593209"/>
    <w:rsid w:val="0059326D"/>
    <w:rsid w:val="005932A6"/>
    <w:rsid w:val="005934BA"/>
    <w:rsid w:val="005934BC"/>
    <w:rsid w:val="005934C7"/>
    <w:rsid w:val="005935AB"/>
    <w:rsid w:val="0059365F"/>
    <w:rsid w:val="005936D5"/>
    <w:rsid w:val="00593778"/>
    <w:rsid w:val="00593791"/>
    <w:rsid w:val="005937A5"/>
    <w:rsid w:val="005937FD"/>
    <w:rsid w:val="00593834"/>
    <w:rsid w:val="005938D0"/>
    <w:rsid w:val="00593A5C"/>
    <w:rsid w:val="00593AA7"/>
    <w:rsid w:val="00593ADB"/>
    <w:rsid w:val="00593AFF"/>
    <w:rsid w:val="00593B83"/>
    <w:rsid w:val="00593BC0"/>
    <w:rsid w:val="00593BEF"/>
    <w:rsid w:val="00593C28"/>
    <w:rsid w:val="00593C43"/>
    <w:rsid w:val="00593CDC"/>
    <w:rsid w:val="00593CF3"/>
    <w:rsid w:val="00593E9C"/>
    <w:rsid w:val="00593FAE"/>
    <w:rsid w:val="00593FD3"/>
    <w:rsid w:val="005942A4"/>
    <w:rsid w:val="005943C2"/>
    <w:rsid w:val="00594451"/>
    <w:rsid w:val="0059445F"/>
    <w:rsid w:val="00594551"/>
    <w:rsid w:val="00594681"/>
    <w:rsid w:val="005946BB"/>
    <w:rsid w:val="005947B4"/>
    <w:rsid w:val="0059489D"/>
    <w:rsid w:val="00594970"/>
    <w:rsid w:val="00594C1F"/>
    <w:rsid w:val="00594D7E"/>
    <w:rsid w:val="00594EE2"/>
    <w:rsid w:val="00594F2A"/>
    <w:rsid w:val="00594F40"/>
    <w:rsid w:val="005950C0"/>
    <w:rsid w:val="005950F1"/>
    <w:rsid w:val="005950F6"/>
    <w:rsid w:val="00595119"/>
    <w:rsid w:val="005951BD"/>
    <w:rsid w:val="00595222"/>
    <w:rsid w:val="005952A9"/>
    <w:rsid w:val="005953F4"/>
    <w:rsid w:val="00595476"/>
    <w:rsid w:val="005955A6"/>
    <w:rsid w:val="005955B0"/>
    <w:rsid w:val="005955F2"/>
    <w:rsid w:val="005956D2"/>
    <w:rsid w:val="005956D5"/>
    <w:rsid w:val="00595797"/>
    <w:rsid w:val="005958B1"/>
    <w:rsid w:val="005959B0"/>
    <w:rsid w:val="00595BA2"/>
    <w:rsid w:val="00595C92"/>
    <w:rsid w:val="00595D02"/>
    <w:rsid w:val="00595D7B"/>
    <w:rsid w:val="00595D81"/>
    <w:rsid w:val="00595DA6"/>
    <w:rsid w:val="00595E19"/>
    <w:rsid w:val="00595E5E"/>
    <w:rsid w:val="00595E8D"/>
    <w:rsid w:val="00595EBE"/>
    <w:rsid w:val="00595EE5"/>
    <w:rsid w:val="005960C7"/>
    <w:rsid w:val="00596167"/>
    <w:rsid w:val="00596258"/>
    <w:rsid w:val="00596337"/>
    <w:rsid w:val="00596449"/>
    <w:rsid w:val="00596463"/>
    <w:rsid w:val="00596543"/>
    <w:rsid w:val="00596574"/>
    <w:rsid w:val="00596583"/>
    <w:rsid w:val="005966D8"/>
    <w:rsid w:val="0059678D"/>
    <w:rsid w:val="00596790"/>
    <w:rsid w:val="00596824"/>
    <w:rsid w:val="005968BD"/>
    <w:rsid w:val="005969E4"/>
    <w:rsid w:val="005969FA"/>
    <w:rsid w:val="00596AB9"/>
    <w:rsid w:val="00596B49"/>
    <w:rsid w:val="00596BC9"/>
    <w:rsid w:val="00596D67"/>
    <w:rsid w:val="00596D6D"/>
    <w:rsid w:val="00596FB9"/>
    <w:rsid w:val="00596FE8"/>
    <w:rsid w:val="00597051"/>
    <w:rsid w:val="00597066"/>
    <w:rsid w:val="00597069"/>
    <w:rsid w:val="00597111"/>
    <w:rsid w:val="0059723C"/>
    <w:rsid w:val="0059726F"/>
    <w:rsid w:val="00597272"/>
    <w:rsid w:val="00597300"/>
    <w:rsid w:val="0059737B"/>
    <w:rsid w:val="0059748B"/>
    <w:rsid w:val="005974AC"/>
    <w:rsid w:val="0059753F"/>
    <w:rsid w:val="00597575"/>
    <w:rsid w:val="00597628"/>
    <w:rsid w:val="00597638"/>
    <w:rsid w:val="0059763E"/>
    <w:rsid w:val="00597671"/>
    <w:rsid w:val="00597728"/>
    <w:rsid w:val="005977A4"/>
    <w:rsid w:val="00597856"/>
    <w:rsid w:val="00597911"/>
    <w:rsid w:val="005979B5"/>
    <w:rsid w:val="005979ED"/>
    <w:rsid w:val="005979FC"/>
    <w:rsid w:val="00597ACD"/>
    <w:rsid w:val="00597C10"/>
    <w:rsid w:val="00597CDE"/>
    <w:rsid w:val="00597D0D"/>
    <w:rsid w:val="00597DA2"/>
    <w:rsid w:val="00597F95"/>
    <w:rsid w:val="00597FC0"/>
    <w:rsid w:val="005A0000"/>
    <w:rsid w:val="005A0171"/>
    <w:rsid w:val="005A01D5"/>
    <w:rsid w:val="005A02E9"/>
    <w:rsid w:val="005A0428"/>
    <w:rsid w:val="005A049F"/>
    <w:rsid w:val="005A04C3"/>
    <w:rsid w:val="005A05A2"/>
    <w:rsid w:val="005A05E5"/>
    <w:rsid w:val="005A05EC"/>
    <w:rsid w:val="005A05EE"/>
    <w:rsid w:val="005A060D"/>
    <w:rsid w:val="005A066C"/>
    <w:rsid w:val="005A0673"/>
    <w:rsid w:val="005A068A"/>
    <w:rsid w:val="005A06E6"/>
    <w:rsid w:val="005A075D"/>
    <w:rsid w:val="005A0789"/>
    <w:rsid w:val="005A079E"/>
    <w:rsid w:val="005A0819"/>
    <w:rsid w:val="005A0887"/>
    <w:rsid w:val="005A08D6"/>
    <w:rsid w:val="005A095C"/>
    <w:rsid w:val="005A09F9"/>
    <w:rsid w:val="005A0AB4"/>
    <w:rsid w:val="005A0AE4"/>
    <w:rsid w:val="005A0B77"/>
    <w:rsid w:val="005A0BCB"/>
    <w:rsid w:val="005A0C2D"/>
    <w:rsid w:val="005A0CA0"/>
    <w:rsid w:val="005A0D0B"/>
    <w:rsid w:val="005A0DAB"/>
    <w:rsid w:val="005A0EA7"/>
    <w:rsid w:val="005A0ED8"/>
    <w:rsid w:val="005A0FE1"/>
    <w:rsid w:val="005A10E4"/>
    <w:rsid w:val="005A111C"/>
    <w:rsid w:val="005A114C"/>
    <w:rsid w:val="005A11B3"/>
    <w:rsid w:val="005A11FC"/>
    <w:rsid w:val="005A12D2"/>
    <w:rsid w:val="005A12F9"/>
    <w:rsid w:val="005A1355"/>
    <w:rsid w:val="005A163E"/>
    <w:rsid w:val="005A172A"/>
    <w:rsid w:val="005A1751"/>
    <w:rsid w:val="005A1760"/>
    <w:rsid w:val="005A17FF"/>
    <w:rsid w:val="005A184A"/>
    <w:rsid w:val="005A18AF"/>
    <w:rsid w:val="005A193E"/>
    <w:rsid w:val="005A1983"/>
    <w:rsid w:val="005A1A1C"/>
    <w:rsid w:val="005A1A54"/>
    <w:rsid w:val="005A1AF8"/>
    <w:rsid w:val="005A1BD5"/>
    <w:rsid w:val="005A1C55"/>
    <w:rsid w:val="005A1C56"/>
    <w:rsid w:val="005A1C65"/>
    <w:rsid w:val="005A1D68"/>
    <w:rsid w:val="005A1E4B"/>
    <w:rsid w:val="005A1F83"/>
    <w:rsid w:val="005A1FD5"/>
    <w:rsid w:val="005A2051"/>
    <w:rsid w:val="005A2275"/>
    <w:rsid w:val="005A2309"/>
    <w:rsid w:val="005A23AD"/>
    <w:rsid w:val="005A23B5"/>
    <w:rsid w:val="005A245D"/>
    <w:rsid w:val="005A24EB"/>
    <w:rsid w:val="005A2554"/>
    <w:rsid w:val="005A2600"/>
    <w:rsid w:val="005A260B"/>
    <w:rsid w:val="005A26D0"/>
    <w:rsid w:val="005A2803"/>
    <w:rsid w:val="005A2816"/>
    <w:rsid w:val="005A2ADB"/>
    <w:rsid w:val="005A2AFD"/>
    <w:rsid w:val="005A2BD0"/>
    <w:rsid w:val="005A2CD4"/>
    <w:rsid w:val="005A2D1A"/>
    <w:rsid w:val="005A2D79"/>
    <w:rsid w:val="005A2E02"/>
    <w:rsid w:val="005A3124"/>
    <w:rsid w:val="005A31AA"/>
    <w:rsid w:val="005A31C7"/>
    <w:rsid w:val="005A31EC"/>
    <w:rsid w:val="005A32F8"/>
    <w:rsid w:val="005A330C"/>
    <w:rsid w:val="005A33B5"/>
    <w:rsid w:val="005A33F7"/>
    <w:rsid w:val="005A33FA"/>
    <w:rsid w:val="005A345B"/>
    <w:rsid w:val="005A34D5"/>
    <w:rsid w:val="005A3821"/>
    <w:rsid w:val="005A3969"/>
    <w:rsid w:val="005A3AD4"/>
    <w:rsid w:val="005A3AD8"/>
    <w:rsid w:val="005A3ADA"/>
    <w:rsid w:val="005A3B32"/>
    <w:rsid w:val="005A3B63"/>
    <w:rsid w:val="005A3BA2"/>
    <w:rsid w:val="005A3BAF"/>
    <w:rsid w:val="005A3BDB"/>
    <w:rsid w:val="005A3CE3"/>
    <w:rsid w:val="005A3CFC"/>
    <w:rsid w:val="005A3EB8"/>
    <w:rsid w:val="005A3EFF"/>
    <w:rsid w:val="005A3F4A"/>
    <w:rsid w:val="005A3F7B"/>
    <w:rsid w:val="005A3F89"/>
    <w:rsid w:val="005A40AA"/>
    <w:rsid w:val="005A412F"/>
    <w:rsid w:val="005A418F"/>
    <w:rsid w:val="005A4208"/>
    <w:rsid w:val="005A421D"/>
    <w:rsid w:val="005A4326"/>
    <w:rsid w:val="005A43EB"/>
    <w:rsid w:val="005A450C"/>
    <w:rsid w:val="005A451A"/>
    <w:rsid w:val="005A4535"/>
    <w:rsid w:val="005A453F"/>
    <w:rsid w:val="005A464E"/>
    <w:rsid w:val="005A46BD"/>
    <w:rsid w:val="005A478E"/>
    <w:rsid w:val="005A47F5"/>
    <w:rsid w:val="005A487C"/>
    <w:rsid w:val="005A48C3"/>
    <w:rsid w:val="005A4948"/>
    <w:rsid w:val="005A49F7"/>
    <w:rsid w:val="005A4A95"/>
    <w:rsid w:val="005A4ABC"/>
    <w:rsid w:val="005A4BB7"/>
    <w:rsid w:val="005A4BC0"/>
    <w:rsid w:val="005A4BE3"/>
    <w:rsid w:val="005A4CBB"/>
    <w:rsid w:val="005A4CF5"/>
    <w:rsid w:val="005A4D03"/>
    <w:rsid w:val="005A4D55"/>
    <w:rsid w:val="005A4EAE"/>
    <w:rsid w:val="005A505D"/>
    <w:rsid w:val="005A50DA"/>
    <w:rsid w:val="005A5128"/>
    <w:rsid w:val="005A5183"/>
    <w:rsid w:val="005A518D"/>
    <w:rsid w:val="005A51F6"/>
    <w:rsid w:val="005A531A"/>
    <w:rsid w:val="005A54E1"/>
    <w:rsid w:val="005A5974"/>
    <w:rsid w:val="005A5A78"/>
    <w:rsid w:val="005A5AF1"/>
    <w:rsid w:val="005A5BA3"/>
    <w:rsid w:val="005A5BF7"/>
    <w:rsid w:val="005A5CA3"/>
    <w:rsid w:val="005A5F5E"/>
    <w:rsid w:val="005A5FA8"/>
    <w:rsid w:val="005A5FE3"/>
    <w:rsid w:val="005A6086"/>
    <w:rsid w:val="005A613A"/>
    <w:rsid w:val="005A61E9"/>
    <w:rsid w:val="005A6289"/>
    <w:rsid w:val="005A63F3"/>
    <w:rsid w:val="005A6492"/>
    <w:rsid w:val="005A64B4"/>
    <w:rsid w:val="005A64F5"/>
    <w:rsid w:val="005A6557"/>
    <w:rsid w:val="005A65C8"/>
    <w:rsid w:val="005A65E8"/>
    <w:rsid w:val="005A6637"/>
    <w:rsid w:val="005A669E"/>
    <w:rsid w:val="005A677F"/>
    <w:rsid w:val="005A67C3"/>
    <w:rsid w:val="005A67C9"/>
    <w:rsid w:val="005A6902"/>
    <w:rsid w:val="005A6A66"/>
    <w:rsid w:val="005A6BB7"/>
    <w:rsid w:val="005A6BE0"/>
    <w:rsid w:val="005A6CB6"/>
    <w:rsid w:val="005A6D7C"/>
    <w:rsid w:val="005A6EAC"/>
    <w:rsid w:val="005A6ECA"/>
    <w:rsid w:val="005A701B"/>
    <w:rsid w:val="005A705D"/>
    <w:rsid w:val="005A7064"/>
    <w:rsid w:val="005A70A5"/>
    <w:rsid w:val="005A7132"/>
    <w:rsid w:val="005A7151"/>
    <w:rsid w:val="005A73BA"/>
    <w:rsid w:val="005A7412"/>
    <w:rsid w:val="005A7419"/>
    <w:rsid w:val="005A7470"/>
    <w:rsid w:val="005A74A7"/>
    <w:rsid w:val="005A750E"/>
    <w:rsid w:val="005A75FD"/>
    <w:rsid w:val="005A7657"/>
    <w:rsid w:val="005A765F"/>
    <w:rsid w:val="005A7691"/>
    <w:rsid w:val="005A76AA"/>
    <w:rsid w:val="005A76E7"/>
    <w:rsid w:val="005A76F5"/>
    <w:rsid w:val="005A77B5"/>
    <w:rsid w:val="005A77C2"/>
    <w:rsid w:val="005A77CB"/>
    <w:rsid w:val="005A784D"/>
    <w:rsid w:val="005A79A0"/>
    <w:rsid w:val="005A7ACA"/>
    <w:rsid w:val="005A7ACC"/>
    <w:rsid w:val="005A7CF4"/>
    <w:rsid w:val="005A7D29"/>
    <w:rsid w:val="005A7D71"/>
    <w:rsid w:val="005A7D8C"/>
    <w:rsid w:val="005A7E09"/>
    <w:rsid w:val="005A7E28"/>
    <w:rsid w:val="005A7EB6"/>
    <w:rsid w:val="005A7EB9"/>
    <w:rsid w:val="005A7ECC"/>
    <w:rsid w:val="005A7F1C"/>
    <w:rsid w:val="005B0000"/>
    <w:rsid w:val="005B00B4"/>
    <w:rsid w:val="005B0107"/>
    <w:rsid w:val="005B0165"/>
    <w:rsid w:val="005B025A"/>
    <w:rsid w:val="005B03E6"/>
    <w:rsid w:val="005B043B"/>
    <w:rsid w:val="005B0473"/>
    <w:rsid w:val="005B04D8"/>
    <w:rsid w:val="005B04F6"/>
    <w:rsid w:val="005B0517"/>
    <w:rsid w:val="005B064A"/>
    <w:rsid w:val="005B067B"/>
    <w:rsid w:val="005B06A3"/>
    <w:rsid w:val="005B06C5"/>
    <w:rsid w:val="005B06CC"/>
    <w:rsid w:val="005B06EF"/>
    <w:rsid w:val="005B0709"/>
    <w:rsid w:val="005B0764"/>
    <w:rsid w:val="005B076F"/>
    <w:rsid w:val="005B07C3"/>
    <w:rsid w:val="005B07F0"/>
    <w:rsid w:val="005B0857"/>
    <w:rsid w:val="005B09C3"/>
    <w:rsid w:val="005B0AD3"/>
    <w:rsid w:val="005B0BD5"/>
    <w:rsid w:val="005B0D51"/>
    <w:rsid w:val="005B0E43"/>
    <w:rsid w:val="005B0F09"/>
    <w:rsid w:val="005B0F0A"/>
    <w:rsid w:val="005B101C"/>
    <w:rsid w:val="005B1028"/>
    <w:rsid w:val="005B10A7"/>
    <w:rsid w:val="005B1183"/>
    <w:rsid w:val="005B1263"/>
    <w:rsid w:val="005B1370"/>
    <w:rsid w:val="005B161C"/>
    <w:rsid w:val="005B1654"/>
    <w:rsid w:val="005B1661"/>
    <w:rsid w:val="005B16D9"/>
    <w:rsid w:val="005B16DE"/>
    <w:rsid w:val="005B1734"/>
    <w:rsid w:val="005B181A"/>
    <w:rsid w:val="005B194F"/>
    <w:rsid w:val="005B1A43"/>
    <w:rsid w:val="005B1A9F"/>
    <w:rsid w:val="005B1B2B"/>
    <w:rsid w:val="005B1BAE"/>
    <w:rsid w:val="005B1C81"/>
    <w:rsid w:val="005B1C95"/>
    <w:rsid w:val="005B1CE5"/>
    <w:rsid w:val="005B1D17"/>
    <w:rsid w:val="005B1D79"/>
    <w:rsid w:val="005B1DAF"/>
    <w:rsid w:val="005B1F39"/>
    <w:rsid w:val="005B1F40"/>
    <w:rsid w:val="005B209A"/>
    <w:rsid w:val="005B20B2"/>
    <w:rsid w:val="005B211C"/>
    <w:rsid w:val="005B2141"/>
    <w:rsid w:val="005B21AB"/>
    <w:rsid w:val="005B2296"/>
    <w:rsid w:val="005B2416"/>
    <w:rsid w:val="005B24AC"/>
    <w:rsid w:val="005B2514"/>
    <w:rsid w:val="005B25A6"/>
    <w:rsid w:val="005B266A"/>
    <w:rsid w:val="005B26CE"/>
    <w:rsid w:val="005B26DD"/>
    <w:rsid w:val="005B277E"/>
    <w:rsid w:val="005B27D6"/>
    <w:rsid w:val="005B27EB"/>
    <w:rsid w:val="005B280F"/>
    <w:rsid w:val="005B288A"/>
    <w:rsid w:val="005B2907"/>
    <w:rsid w:val="005B2926"/>
    <w:rsid w:val="005B293C"/>
    <w:rsid w:val="005B2985"/>
    <w:rsid w:val="005B29BE"/>
    <w:rsid w:val="005B2A0B"/>
    <w:rsid w:val="005B2AA0"/>
    <w:rsid w:val="005B2AEA"/>
    <w:rsid w:val="005B2C17"/>
    <w:rsid w:val="005B2C8F"/>
    <w:rsid w:val="005B2DCB"/>
    <w:rsid w:val="005B2DF1"/>
    <w:rsid w:val="005B2E6A"/>
    <w:rsid w:val="005B2E75"/>
    <w:rsid w:val="005B2E91"/>
    <w:rsid w:val="005B2EC5"/>
    <w:rsid w:val="005B2F46"/>
    <w:rsid w:val="005B2FCE"/>
    <w:rsid w:val="005B2FD8"/>
    <w:rsid w:val="005B3012"/>
    <w:rsid w:val="005B304E"/>
    <w:rsid w:val="005B30FE"/>
    <w:rsid w:val="005B318B"/>
    <w:rsid w:val="005B3231"/>
    <w:rsid w:val="005B32D1"/>
    <w:rsid w:val="005B3467"/>
    <w:rsid w:val="005B34E7"/>
    <w:rsid w:val="005B3503"/>
    <w:rsid w:val="005B3556"/>
    <w:rsid w:val="005B3577"/>
    <w:rsid w:val="005B3775"/>
    <w:rsid w:val="005B37AD"/>
    <w:rsid w:val="005B37FE"/>
    <w:rsid w:val="005B381D"/>
    <w:rsid w:val="005B384D"/>
    <w:rsid w:val="005B38BD"/>
    <w:rsid w:val="005B39DC"/>
    <w:rsid w:val="005B3A73"/>
    <w:rsid w:val="005B3AD9"/>
    <w:rsid w:val="005B3AE7"/>
    <w:rsid w:val="005B3B28"/>
    <w:rsid w:val="005B3B58"/>
    <w:rsid w:val="005B3BCB"/>
    <w:rsid w:val="005B3C8D"/>
    <w:rsid w:val="005B3E52"/>
    <w:rsid w:val="005B40D8"/>
    <w:rsid w:val="005B41ED"/>
    <w:rsid w:val="005B42A8"/>
    <w:rsid w:val="005B43B5"/>
    <w:rsid w:val="005B44D1"/>
    <w:rsid w:val="005B44E9"/>
    <w:rsid w:val="005B4699"/>
    <w:rsid w:val="005B469D"/>
    <w:rsid w:val="005B4905"/>
    <w:rsid w:val="005B4981"/>
    <w:rsid w:val="005B49F2"/>
    <w:rsid w:val="005B4B16"/>
    <w:rsid w:val="005B4CF0"/>
    <w:rsid w:val="005B4D1D"/>
    <w:rsid w:val="005B4DC0"/>
    <w:rsid w:val="005B4E0C"/>
    <w:rsid w:val="005B4EC1"/>
    <w:rsid w:val="005B4FC3"/>
    <w:rsid w:val="005B5028"/>
    <w:rsid w:val="005B5103"/>
    <w:rsid w:val="005B513F"/>
    <w:rsid w:val="005B5151"/>
    <w:rsid w:val="005B51F6"/>
    <w:rsid w:val="005B52A4"/>
    <w:rsid w:val="005B52DC"/>
    <w:rsid w:val="005B531D"/>
    <w:rsid w:val="005B538A"/>
    <w:rsid w:val="005B54B1"/>
    <w:rsid w:val="005B55BA"/>
    <w:rsid w:val="005B56DC"/>
    <w:rsid w:val="005B5833"/>
    <w:rsid w:val="005B5934"/>
    <w:rsid w:val="005B595E"/>
    <w:rsid w:val="005B5AE6"/>
    <w:rsid w:val="005B5BDE"/>
    <w:rsid w:val="005B5BF9"/>
    <w:rsid w:val="005B5D80"/>
    <w:rsid w:val="005B5EE8"/>
    <w:rsid w:val="005B5FA3"/>
    <w:rsid w:val="005B5FDF"/>
    <w:rsid w:val="005B602B"/>
    <w:rsid w:val="005B6045"/>
    <w:rsid w:val="005B6069"/>
    <w:rsid w:val="005B60A2"/>
    <w:rsid w:val="005B6140"/>
    <w:rsid w:val="005B61FB"/>
    <w:rsid w:val="005B6266"/>
    <w:rsid w:val="005B6267"/>
    <w:rsid w:val="005B6287"/>
    <w:rsid w:val="005B62B7"/>
    <w:rsid w:val="005B63BF"/>
    <w:rsid w:val="005B6442"/>
    <w:rsid w:val="005B64B6"/>
    <w:rsid w:val="005B653F"/>
    <w:rsid w:val="005B6687"/>
    <w:rsid w:val="005B66F5"/>
    <w:rsid w:val="005B6723"/>
    <w:rsid w:val="005B692C"/>
    <w:rsid w:val="005B6A12"/>
    <w:rsid w:val="005B6A18"/>
    <w:rsid w:val="005B6CCB"/>
    <w:rsid w:val="005B6D58"/>
    <w:rsid w:val="005B6D63"/>
    <w:rsid w:val="005B6F25"/>
    <w:rsid w:val="005B6F7A"/>
    <w:rsid w:val="005B6FD2"/>
    <w:rsid w:val="005B6FFD"/>
    <w:rsid w:val="005B70E0"/>
    <w:rsid w:val="005B7193"/>
    <w:rsid w:val="005B71B0"/>
    <w:rsid w:val="005B7248"/>
    <w:rsid w:val="005B72BD"/>
    <w:rsid w:val="005B7411"/>
    <w:rsid w:val="005B74CF"/>
    <w:rsid w:val="005B7667"/>
    <w:rsid w:val="005B77A5"/>
    <w:rsid w:val="005B7841"/>
    <w:rsid w:val="005B799A"/>
    <w:rsid w:val="005B79F4"/>
    <w:rsid w:val="005B7A25"/>
    <w:rsid w:val="005B7A96"/>
    <w:rsid w:val="005B7BC4"/>
    <w:rsid w:val="005B7C22"/>
    <w:rsid w:val="005B7CBD"/>
    <w:rsid w:val="005B7D07"/>
    <w:rsid w:val="005B7DE6"/>
    <w:rsid w:val="005C02D6"/>
    <w:rsid w:val="005C0329"/>
    <w:rsid w:val="005C0643"/>
    <w:rsid w:val="005C0714"/>
    <w:rsid w:val="005C0783"/>
    <w:rsid w:val="005C0838"/>
    <w:rsid w:val="005C094C"/>
    <w:rsid w:val="005C09DC"/>
    <w:rsid w:val="005C0A9E"/>
    <w:rsid w:val="005C0BDB"/>
    <w:rsid w:val="005C0C0B"/>
    <w:rsid w:val="005C0C3F"/>
    <w:rsid w:val="005C0C65"/>
    <w:rsid w:val="005C0C82"/>
    <w:rsid w:val="005C0CBC"/>
    <w:rsid w:val="005C0D43"/>
    <w:rsid w:val="005C0D60"/>
    <w:rsid w:val="005C0D62"/>
    <w:rsid w:val="005C0E03"/>
    <w:rsid w:val="005C113B"/>
    <w:rsid w:val="005C1159"/>
    <w:rsid w:val="005C1240"/>
    <w:rsid w:val="005C12A2"/>
    <w:rsid w:val="005C12DA"/>
    <w:rsid w:val="005C12FA"/>
    <w:rsid w:val="005C13A8"/>
    <w:rsid w:val="005C13D4"/>
    <w:rsid w:val="005C168A"/>
    <w:rsid w:val="005C17EF"/>
    <w:rsid w:val="005C185A"/>
    <w:rsid w:val="005C1912"/>
    <w:rsid w:val="005C1A05"/>
    <w:rsid w:val="005C1A40"/>
    <w:rsid w:val="005C1A76"/>
    <w:rsid w:val="005C1AD7"/>
    <w:rsid w:val="005C1ADB"/>
    <w:rsid w:val="005C1AE4"/>
    <w:rsid w:val="005C1B1B"/>
    <w:rsid w:val="005C1B24"/>
    <w:rsid w:val="005C1B34"/>
    <w:rsid w:val="005C1B62"/>
    <w:rsid w:val="005C1C44"/>
    <w:rsid w:val="005C1D6E"/>
    <w:rsid w:val="005C1DAD"/>
    <w:rsid w:val="005C1E79"/>
    <w:rsid w:val="005C1EB9"/>
    <w:rsid w:val="005C1EE2"/>
    <w:rsid w:val="005C1F8E"/>
    <w:rsid w:val="005C2231"/>
    <w:rsid w:val="005C22CE"/>
    <w:rsid w:val="005C22E2"/>
    <w:rsid w:val="005C22FA"/>
    <w:rsid w:val="005C233D"/>
    <w:rsid w:val="005C240F"/>
    <w:rsid w:val="005C2418"/>
    <w:rsid w:val="005C2656"/>
    <w:rsid w:val="005C2722"/>
    <w:rsid w:val="005C281C"/>
    <w:rsid w:val="005C297F"/>
    <w:rsid w:val="005C29B8"/>
    <w:rsid w:val="005C29DD"/>
    <w:rsid w:val="005C29F3"/>
    <w:rsid w:val="005C2A12"/>
    <w:rsid w:val="005C2B0E"/>
    <w:rsid w:val="005C2B4A"/>
    <w:rsid w:val="005C2C23"/>
    <w:rsid w:val="005C2C6D"/>
    <w:rsid w:val="005C2D54"/>
    <w:rsid w:val="005C2D98"/>
    <w:rsid w:val="005C3111"/>
    <w:rsid w:val="005C3167"/>
    <w:rsid w:val="005C3173"/>
    <w:rsid w:val="005C327C"/>
    <w:rsid w:val="005C32D5"/>
    <w:rsid w:val="005C33E8"/>
    <w:rsid w:val="005C34B5"/>
    <w:rsid w:val="005C35A7"/>
    <w:rsid w:val="005C3653"/>
    <w:rsid w:val="005C36B2"/>
    <w:rsid w:val="005C3814"/>
    <w:rsid w:val="005C392B"/>
    <w:rsid w:val="005C398C"/>
    <w:rsid w:val="005C3AC7"/>
    <w:rsid w:val="005C3C07"/>
    <w:rsid w:val="005C3C09"/>
    <w:rsid w:val="005C3C14"/>
    <w:rsid w:val="005C3D95"/>
    <w:rsid w:val="005C3E4D"/>
    <w:rsid w:val="005C3F6E"/>
    <w:rsid w:val="005C3F99"/>
    <w:rsid w:val="005C41EF"/>
    <w:rsid w:val="005C422D"/>
    <w:rsid w:val="005C42FA"/>
    <w:rsid w:val="005C4399"/>
    <w:rsid w:val="005C43C0"/>
    <w:rsid w:val="005C43FC"/>
    <w:rsid w:val="005C4487"/>
    <w:rsid w:val="005C44D0"/>
    <w:rsid w:val="005C455C"/>
    <w:rsid w:val="005C466E"/>
    <w:rsid w:val="005C46F5"/>
    <w:rsid w:val="005C48E0"/>
    <w:rsid w:val="005C4962"/>
    <w:rsid w:val="005C4A2A"/>
    <w:rsid w:val="005C4B03"/>
    <w:rsid w:val="005C5014"/>
    <w:rsid w:val="005C5031"/>
    <w:rsid w:val="005C5097"/>
    <w:rsid w:val="005C525F"/>
    <w:rsid w:val="005C5311"/>
    <w:rsid w:val="005C53D2"/>
    <w:rsid w:val="005C54C7"/>
    <w:rsid w:val="005C54F3"/>
    <w:rsid w:val="005C55DC"/>
    <w:rsid w:val="005C574A"/>
    <w:rsid w:val="005C584C"/>
    <w:rsid w:val="005C5911"/>
    <w:rsid w:val="005C5921"/>
    <w:rsid w:val="005C59A6"/>
    <w:rsid w:val="005C5B6D"/>
    <w:rsid w:val="005C5E28"/>
    <w:rsid w:val="005C5E44"/>
    <w:rsid w:val="005C5E68"/>
    <w:rsid w:val="005C5E80"/>
    <w:rsid w:val="005C5E9C"/>
    <w:rsid w:val="005C5EFC"/>
    <w:rsid w:val="005C5F82"/>
    <w:rsid w:val="005C6077"/>
    <w:rsid w:val="005C60AB"/>
    <w:rsid w:val="005C6122"/>
    <w:rsid w:val="005C61AF"/>
    <w:rsid w:val="005C61B3"/>
    <w:rsid w:val="005C6277"/>
    <w:rsid w:val="005C62AB"/>
    <w:rsid w:val="005C649F"/>
    <w:rsid w:val="005C6669"/>
    <w:rsid w:val="005C66D8"/>
    <w:rsid w:val="005C673D"/>
    <w:rsid w:val="005C67AA"/>
    <w:rsid w:val="005C6834"/>
    <w:rsid w:val="005C6937"/>
    <w:rsid w:val="005C6A35"/>
    <w:rsid w:val="005C6AD3"/>
    <w:rsid w:val="005C6BAF"/>
    <w:rsid w:val="005C6BD9"/>
    <w:rsid w:val="005C6BFA"/>
    <w:rsid w:val="005C6C23"/>
    <w:rsid w:val="005C6D66"/>
    <w:rsid w:val="005C6D9D"/>
    <w:rsid w:val="005C7019"/>
    <w:rsid w:val="005C706E"/>
    <w:rsid w:val="005C7101"/>
    <w:rsid w:val="005C7122"/>
    <w:rsid w:val="005C7279"/>
    <w:rsid w:val="005C7323"/>
    <w:rsid w:val="005C73D7"/>
    <w:rsid w:val="005C7514"/>
    <w:rsid w:val="005C7596"/>
    <w:rsid w:val="005C759D"/>
    <w:rsid w:val="005C75A0"/>
    <w:rsid w:val="005C75DA"/>
    <w:rsid w:val="005C75DE"/>
    <w:rsid w:val="005C7617"/>
    <w:rsid w:val="005C762E"/>
    <w:rsid w:val="005C7641"/>
    <w:rsid w:val="005C7866"/>
    <w:rsid w:val="005C78DC"/>
    <w:rsid w:val="005C78FC"/>
    <w:rsid w:val="005C7963"/>
    <w:rsid w:val="005C79A2"/>
    <w:rsid w:val="005C7ACC"/>
    <w:rsid w:val="005C7AE1"/>
    <w:rsid w:val="005C7B33"/>
    <w:rsid w:val="005C7DC7"/>
    <w:rsid w:val="005C7DD6"/>
    <w:rsid w:val="005C7E22"/>
    <w:rsid w:val="005C7F35"/>
    <w:rsid w:val="005C7F6E"/>
    <w:rsid w:val="005C7F8D"/>
    <w:rsid w:val="005C7FBB"/>
    <w:rsid w:val="005D0045"/>
    <w:rsid w:val="005D00A0"/>
    <w:rsid w:val="005D018F"/>
    <w:rsid w:val="005D038B"/>
    <w:rsid w:val="005D03B5"/>
    <w:rsid w:val="005D03DD"/>
    <w:rsid w:val="005D0470"/>
    <w:rsid w:val="005D0532"/>
    <w:rsid w:val="005D0615"/>
    <w:rsid w:val="005D068C"/>
    <w:rsid w:val="005D0872"/>
    <w:rsid w:val="005D08D0"/>
    <w:rsid w:val="005D0929"/>
    <w:rsid w:val="005D0A2E"/>
    <w:rsid w:val="005D0A40"/>
    <w:rsid w:val="005D0A73"/>
    <w:rsid w:val="005D0B01"/>
    <w:rsid w:val="005D0C6A"/>
    <w:rsid w:val="005D0DE8"/>
    <w:rsid w:val="005D0E52"/>
    <w:rsid w:val="005D1034"/>
    <w:rsid w:val="005D10A4"/>
    <w:rsid w:val="005D11CB"/>
    <w:rsid w:val="005D1200"/>
    <w:rsid w:val="005D1221"/>
    <w:rsid w:val="005D12FD"/>
    <w:rsid w:val="005D130B"/>
    <w:rsid w:val="005D1383"/>
    <w:rsid w:val="005D1437"/>
    <w:rsid w:val="005D1525"/>
    <w:rsid w:val="005D1546"/>
    <w:rsid w:val="005D157B"/>
    <w:rsid w:val="005D1594"/>
    <w:rsid w:val="005D15BD"/>
    <w:rsid w:val="005D17CA"/>
    <w:rsid w:val="005D186B"/>
    <w:rsid w:val="005D1890"/>
    <w:rsid w:val="005D1973"/>
    <w:rsid w:val="005D1B44"/>
    <w:rsid w:val="005D1B9A"/>
    <w:rsid w:val="005D1C2E"/>
    <w:rsid w:val="005D1C7A"/>
    <w:rsid w:val="005D1C84"/>
    <w:rsid w:val="005D1D49"/>
    <w:rsid w:val="005D1D58"/>
    <w:rsid w:val="005D1DCC"/>
    <w:rsid w:val="005D1F08"/>
    <w:rsid w:val="005D1F1E"/>
    <w:rsid w:val="005D1F24"/>
    <w:rsid w:val="005D1FA4"/>
    <w:rsid w:val="005D2188"/>
    <w:rsid w:val="005D223E"/>
    <w:rsid w:val="005D2247"/>
    <w:rsid w:val="005D2379"/>
    <w:rsid w:val="005D2475"/>
    <w:rsid w:val="005D24F1"/>
    <w:rsid w:val="005D25E1"/>
    <w:rsid w:val="005D25EC"/>
    <w:rsid w:val="005D25F7"/>
    <w:rsid w:val="005D261F"/>
    <w:rsid w:val="005D267C"/>
    <w:rsid w:val="005D26CA"/>
    <w:rsid w:val="005D2895"/>
    <w:rsid w:val="005D28AA"/>
    <w:rsid w:val="005D2AAA"/>
    <w:rsid w:val="005D2AF0"/>
    <w:rsid w:val="005D2AF5"/>
    <w:rsid w:val="005D2C2D"/>
    <w:rsid w:val="005D2C34"/>
    <w:rsid w:val="005D2C39"/>
    <w:rsid w:val="005D2CEA"/>
    <w:rsid w:val="005D2CEB"/>
    <w:rsid w:val="005D2DA9"/>
    <w:rsid w:val="005D2E18"/>
    <w:rsid w:val="005D3143"/>
    <w:rsid w:val="005D32A0"/>
    <w:rsid w:val="005D343D"/>
    <w:rsid w:val="005D346A"/>
    <w:rsid w:val="005D350D"/>
    <w:rsid w:val="005D3519"/>
    <w:rsid w:val="005D37B4"/>
    <w:rsid w:val="005D3895"/>
    <w:rsid w:val="005D3BF1"/>
    <w:rsid w:val="005D3C2A"/>
    <w:rsid w:val="005D3DD1"/>
    <w:rsid w:val="005D3E56"/>
    <w:rsid w:val="005D3EB8"/>
    <w:rsid w:val="005D404E"/>
    <w:rsid w:val="005D4077"/>
    <w:rsid w:val="005D4086"/>
    <w:rsid w:val="005D4155"/>
    <w:rsid w:val="005D4214"/>
    <w:rsid w:val="005D430E"/>
    <w:rsid w:val="005D465F"/>
    <w:rsid w:val="005D47B3"/>
    <w:rsid w:val="005D4854"/>
    <w:rsid w:val="005D48A4"/>
    <w:rsid w:val="005D492E"/>
    <w:rsid w:val="005D4A06"/>
    <w:rsid w:val="005D4A69"/>
    <w:rsid w:val="005D4AD1"/>
    <w:rsid w:val="005D4BED"/>
    <w:rsid w:val="005D4CBC"/>
    <w:rsid w:val="005D4DAC"/>
    <w:rsid w:val="005D4DC8"/>
    <w:rsid w:val="005D4DF9"/>
    <w:rsid w:val="005D4E11"/>
    <w:rsid w:val="005D4FDB"/>
    <w:rsid w:val="005D501D"/>
    <w:rsid w:val="005D507D"/>
    <w:rsid w:val="005D5385"/>
    <w:rsid w:val="005D5425"/>
    <w:rsid w:val="005D545B"/>
    <w:rsid w:val="005D54CA"/>
    <w:rsid w:val="005D5780"/>
    <w:rsid w:val="005D57CF"/>
    <w:rsid w:val="005D5A44"/>
    <w:rsid w:val="005D5AB8"/>
    <w:rsid w:val="005D5B58"/>
    <w:rsid w:val="005D5BD9"/>
    <w:rsid w:val="005D5C7A"/>
    <w:rsid w:val="005D5E8C"/>
    <w:rsid w:val="005D5FA0"/>
    <w:rsid w:val="005D5FF8"/>
    <w:rsid w:val="005D608B"/>
    <w:rsid w:val="005D608D"/>
    <w:rsid w:val="005D61EB"/>
    <w:rsid w:val="005D6204"/>
    <w:rsid w:val="005D6260"/>
    <w:rsid w:val="005D6296"/>
    <w:rsid w:val="005D63DE"/>
    <w:rsid w:val="005D63F2"/>
    <w:rsid w:val="005D6464"/>
    <w:rsid w:val="005D6630"/>
    <w:rsid w:val="005D66AF"/>
    <w:rsid w:val="005D6728"/>
    <w:rsid w:val="005D683F"/>
    <w:rsid w:val="005D68BD"/>
    <w:rsid w:val="005D6901"/>
    <w:rsid w:val="005D69AC"/>
    <w:rsid w:val="005D69E9"/>
    <w:rsid w:val="005D6BDB"/>
    <w:rsid w:val="005D6CD3"/>
    <w:rsid w:val="005D6E33"/>
    <w:rsid w:val="005D6E4E"/>
    <w:rsid w:val="005D6E85"/>
    <w:rsid w:val="005D6F00"/>
    <w:rsid w:val="005D6F05"/>
    <w:rsid w:val="005D7113"/>
    <w:rsid w:val="005D72A5"/>
    <w:rsid w:val="005D730C"/>
    <w:rsid w:val="005D73A5"/>
    <w:rsid w:val="005D73A6"/>
    <w:rsid w:val="005D73A9"/>
    <w:rsid w:val="005D742E"/>
    <w:rsid w:val="005D7553"/>
    <w:rsid w:val="005D7733"/>
    <w:rsid w:val="005D776E"/>
    <w:rsid w:val="005D77CA"/>
    <w:rsid w:val="005D77D9"/>
    <w:rsid w:val="005D79FE"/>
    <w:rsid w:val="005D7AC3"/>
    <w:rsid w:val="005D7B18"/>
    <w:rsid w:val="005D7B53"/>
    <w:rsid w:val="005D7B61"/>
    <w:rsid w:val="005D7BDD"/>
    <w:rsid w:val="005D7C52"/>
    <w:rsid w:val="005D7C67"/>
    <w:rsid w:val="005D7F37"/>
    <w:rsid w:val="005D7F6A"/>
    <w:rsid w:val="005E013A"/>
    <w:rsid w:val="005E0231"/>
    <w:rsid w:val="005E036E"/>
    <w:rsid w:val="005E03EA"/>
    <w:rsid w:val="005E04A1"/>
    <w:rsid w:val="005E04FF"/>
    <w:rsid w:val="005E0505"/>
    <w:rsid w:val="005E05F3"/>
    <w:rsid w:val="005E060A"/>
    <w:rsid w:val="005E0649"/>
    <w:rsid w:val="005E0820"/>
    <w:rsid w:val="005E0837"/>
    <w:rsid w:val="005E0A22"/>
    <w:rsid w:val="005E0A84"/>
    <w:rsid w:val="005E0AF4"/>
    <w:rsid w:val="005E0C66"/>
    <w:rsid w:val="005E0C98"/>
    <w:rsid w:val="005E0CA3"/>
    <w:rsid w:val="005E0D58"/>
    <w:rsid w:val="005E0DC8"/>
    <w:rsid w:val="005E0FBF"/>
    <w:rsid w:val="005E10F0"/>
    <w:rsid w:val="005E1123"/>
    <w:rsid w:val="005E11DF"/>
    <w:rsid w:val="005E1220"/>
    <w:rsid w:val="005E12DE"/>
    <w:rsid w:val="005E1300"/>
    <w:rsid w:val="005E1302"/>
    <w:rsid w:val="005E133B"/>
    <w:rsid w:val="005E13AF"/>
    <w:rsid w:val="005E140B"/>
    <w:rsid w:val="005E148F"/>
    <w:rsid w:val="005E14B5"/>
    <w:rsid w:val="005E1534"/>
    <w:rsid w:val="005E1572"/>
    <w:rsid w:val="005E159C"/>
    <w:rsid w:val="005E16DC"/>
    <w:rsid w:val="005E17B7"/>
    <w:rsid w:val="005E18D7"/>
    <w:rsid w:val="005E18E7"/>
    <w:rsid w:val="005E18FE"/>
    <w:rsid w:val="005E19C1"/>
    <w:rsid w:val="005E19C3"/>
    <w:rsid w:val="005E1A60"/>
    <w:rsid w:val="005E1ABC"/>
    <w:rsid w:val="005E1B5F"/>
    <w:rsid w:val="005E1B67"/>
    <w:rsid w:val="005E1B7B"/>
    <w:rsid w:val="005E1F3E"/>
    <w:rsid w:val="005E1F58"/>
    <w:rsid w:val="005E1F5B"/>
    <w:rsid w:val="005E1F92"/>
    <w:rsid w:val="005E1F9E"/>
    <w:rsid w:val="005E205E"/>
    <w:rsid w:val="005E20B5"/>
    <w:rsid w:val="005E20E3"/>
    <w:rsid w:val="005E2108"/>
    <w:rsid w:val="005E2115"/>
    <w:rsid w:val="005E2399"/>
    <w:rsid w:val="005E240D"/>
    <w:rsid w:val="005E25A6"/>
    <w:rsid w:val="005E261D"/>
    <w:rsid w:val="005E2799"/>
    <w:rsid w:val="005E27A2"/>
    <w:rsid w:val="005E291C"/>
    <w:rsid w:val="005E2944"/>
    <w:rsid w:val="005E2979"/>
    <w:rsid w:val="005E29F8"/>
    <w:rsid w:val="005E2A32"/>
    <w:rsid w:val="005E2CA3"/>
    <w:rsid w:val="005E2CB2"/>
    <w:rsid w:val="005E2E38"/>
    <w:rsid w:val="005E2EF8"/>
    <w:rsid w:val="005E2F3D"/>
    <w:rsid w:val="005E30B3"/>
    <w:rsid w:val="005E30F0"/>
    <w:rsid w:val="005E31A1"/>
    <w:rsid w:val="005E31D1"/>
    <w:rsid w:val="005E321D"/>
    <w:rsid w:val="005E3304"/>
    <w:rsid w:val="005E33C7"/>
    <w:rsid w:val="005E3401"/>
    <w:rsid w:val="005E3670"/>
    <w:rsid w:val="005E3687"/>
    <w:rsid w:val="005E3724"/>
    <w:rsid w:val="005E3727"/>
    <w:rsid w:val="005E37A2"/>
    <w:rsid w:val="005E37D8"/>
    <w:rsid w:val="005E37F6"/>
    <w:rsid w:val="005E381A"/>
    <w:rsid w:val="005E381E"/>
    <w:rsid w:val="005E3884"/>
    <w:rsid w:val="005E3A76"/>
    <w:rsid w:val="005E3AC3"/>
    <w:rsid w:val="005E3C13"/>
    <w:rsid w:val="005E3D11"/>
    <w:rsid w:val="005E3D43"/>
    <w:rsid w:val="005E3DBE"/>
    <w:rsid w:val="005E3DCE"/>
    <w:rsid w:val="005E3E36"/>
    <w:rsid w:val="005E3E52"/>
    <w:rsid w:val="005E40D1"/>
    <w:rsid w:val="005E41A1"/>
    <w:rsid w:val="005E41C9"/>
    <w:rsid w:val="005E41DE"/>
    <w:rsid w:val="005E4203"/>
    <w:rsid w:val="005E4321"/>
    <w:rsid w:val="005E4380"/>
    <w:rsid w:val="005E4430"/>
    <w:rsid w:val="005E45D5"/>
    <w:rsid w:val="005E45FE"/>
    <w:rsid w:val="005E4602"/>
    <w:rsid w:val="005E4667"/>
    <w:rsid w:val="005E466F"/>
    <w:rsid w:val="005E4834"/>
    <w:rsid w:val="005E4996"/>
    <w:rsid w:val="005E4B6C"/>
    <w:rsid w:val="005E4B70"/>
    <w:rsid w:val="005E4BDA"/>
    <w:rsid w:val="005E4DFC"/>
    <w:rsid w:val="005E4E18"/>
    <w:rsid w:val="005E4EE3"/>
    <w:rsid w:val="005E4F1C"/>
    <w:rsid w:val="005E4F54"/>
    <w:rsid w:val="005E5088"/>
    <w:rsid w:val="005E51F0"/>
    <w:rsid w:val="005E52D5"/>
    <w:rsid w:val="005E536B"/>
    <w:rsid w:val="005E5391"/>
    <w:rsid w:val="005E53F7"/>
    <w:rsid w:val="005E5409"/>
    <w:rsid w:val="005E557D"/>
    <w:rsid w:val="005E55AD"/>
    <w:rsid w:val="005E5661"/>
    <w:rsid w:val="005E5688"/>
    <w:rsid w:val="005E56B1"/>
    <w:rsid w:val="005E57E5"/>
    <w:rsid w:val="005E58A0"/>
    <w:rsid w:val="005E59C4"/>
    <w:rsid w:val="005E5A01"/>
    <w:rsid w:val="005E5B03"/>
    <w:rsid w:val="005E5BB9"/>
    <w:rsid w:val="005E5C27"/>
    <w:rsid w:val="005E5CCC"/>
    <w:rsid w:val="005E5E30"/>
    <w:rsid w:val="005E5E69"/>
    <w:rsid w:val="005E5E6A"/>
    <w:rsid w:val="005E602A"/>
    <w:rsid w:val="005E60FD"/>
    <w:rsid w:val="005E6121"/>
    <w:rsid w:val="005E6131"/>
    <w:rsid w:val="005E61FC"/>
    <w:rsid w:val="005E62A8"/>
    <w:rsid w:val="005E631C"/>
    <w:rsid w:val="005E6331"/>
    <w:rsid w:val="005E633C"/>
    <w:rsid w:val="005E6341"/>
    <w:rsid w:val="005E635D"/>
    <w:rsid w:val="005E653A"/>
    <w:rsid w:val="005E65EE"/>
    <w:rsid w:val="005E662D"/>
    <w:rsid w:val="005E692B"/>
    <w:rsid w:val="005E693E"/>
    <w:rsid w:val="005E6959"/>
    <w:rsid w:val="005E6A7D"/>
    <w:rsid w:val="005E6B0C"/>
    <w:rsid w:val="005E6B27"/>
    <w:rsid w:val="005E6B82"/>
    <w:rsid w:val="005E6BE3"/>
    <w:rsid w:val="005E6C67"/>
    <w:rsid w:val="005E6CF6"/>
    <w:rsid w:val="005E6D00"/>
    <w:rsid w:val="005E6D74"/>
    <w:rsid w:val="005E6D95"/>
    <w:rsid w:val="005E6E6A"/>
    <w:rsid w:val="005E6FB9"/>
    <w:rsid w:val="005E6FCD"/>
    <w:rsid w:val="005E707F"/>
    <w:rsid w:val="005E70B6"/>
    <w:rsid w:val="005E70C1"/>
    <w:rsid w:val="005E70E5"/>
    <w:rsid w:val="005E7141"/>
    <w:rsid w:val="005E7146"/>
    <w:rsid w:val="005E7441"/>
    <w:rsid w:val="005E7554"/>
    <w:rsid w:val="005E762B"/>
    <w:rsid w:val="005E7763"/>
    <w:rsid w:val="005E77DB"/>
    <w:rsid w:val="005E7870"/>
    <w:rsid w:val="005E7947"/>
    <w:rsid w:val="005E797E"/>
    <w:rsid w:val="005E7A43"/>
    <w:rsid w:val="005E7ABB"/>
    <w:rsid w:val="005E7B56"/>
    <w:rsid w:val="005E7BAD"/>
    <w:rsid w:val="005E7BD7"/>
    <w:rsid w:val="005E7C60"/>
    <w:rsid w:val="005E7E87"/>
    <w:rsid w:val="005E7F7E"/>
    <w:rsid w:val="005E7FD7"/>
    <w:rsid w:val="005F0060"/>
    <w:rsid w:val="005F017F"/>
    <w:rsid w:val="005F01C5"/>
    <w:rsid w:val="005F029E"/>
    <w:rsid w:val="005F0389"/>
    <w:rsid w:val="005F03A5"/>
    <w:rsid w:val="005F03F4"/>
    <w:rsid w:val="005F0450"/>
    <w:rsid w:val="005F0457"/>
    <w:rsid w:val="005F0519"/>
    <w:rsid w:val="005F068D"/>
    <w:rsid w:val="005F07DA"/>
    <w:rsid w:val="005F081A"/>
    <w:rsid w:val="005F0844"/>
    <w:rsid w:val="005F0A58"/>
    <w:rsid w:val="005F0AA9"/>
    <w:rsid w:val="005F0B91"/>
    <w:rsid w:val="005F0BA1"/>
    <w:rsid w:val="005F0BCE"/>
    <w:rsid w:val="005F0C14"/>
    <w:rsid w:val="005F0CEF"/>
    <w:rsid w:val="005F0EE6"/>
    <w:rsid w:val="005F0F0E"/>
    <w:rsid w:val="005F10E3"/>
    <w:rsid w:val="005F1189"/>
    <w:rsid w:val="005F11BA"/>
    <w:rsid w:val="005F141C"/>
    <w:rsid w:val="005F15DC"/>
    <w:rsid w:val="005F1646"/>
    <w:rsid w:val="005F179B"/>
    <w:rsid w:val="005F17DF"/>
    <w:rsid w:val="005F17F8"/>
    <w:rsid w:val="005F195F"/>
    <w:rsid w:val="005F19F2"/>
    <w:rsid w:val="005F1A19"/>
    <w:rsid w:val="005F1AD8"/>
    <w:rsid w:val="005F1ED1"/>
    <w:rsid w:val="005F1EFE"/>
    <w:rsid w:val="005F1F46"/>
    <w:rsid w:val="005F226E"/>
    <w:rsid w:val="005F239E"/>
    <w:rsid w:val="005F2434"/>
    <w:rsid w:val="005F2464"/>
    <w:rsid w:val="005F2519"/>
    <w:rsid w:val="005F257E"/>
    <w:rsid w:val="005F265C"/>
    <w:rsid w:val="005F2728"/>
    <w:rsid w:val="005F2779"/>
    <w:rsid w:val="005F278C"/>
    <w:rsid w:val="005F2816"/>
    <w:rsid w:val="005F2822"/>
    <w:rsid w:val="005F28B4"/>
    <w:rsid w:val="005F28B9"/>
    <w:rsid w:val="005F2958"/>
    <w:rsid w:val="005F2A30"/>
    <w:rsid w:val="005F2A8B"/>
    <w:rsid w:val="005F2B58"/>
    <w:rsid w:val="005F2C18"/>
    <w:rsid w:val="005F2D00"/>
    <w:rsid w:val="005F2D8B"/>
    <w:rsid w:val="005F2EA1"/>
    <w:rsid w:val="005F2F65"/>
    <w:rsid w:val="005F2FAB"/>
    <w:rsid w:val="005F2FFC"/>
    <w:rsid w:val="005F3028"/>
    <w:rsid w:val="005F309C"/>
    <w:rsid w:val="005F31AB"/>
    <w:rsid w:val="005F331F"/>
    <w:rsid w:val="005F33B4"/>
    <w:rsid w:val="005F3466"/>
    <w:rsid w:val="005F3472"/>
    <w:rsid w:val="005F34B1"/>
    <w:rsid w:val="005F34C2"/>
    <w:rsid w:val="005F34ED"/>
    <w:rsid w:val="005F351E"/>
    <w:rsid w:val="005F353A"/>
    <w:rsid w:val="005F3662"/>
    <w:rsid w:val="005F3693"/>
    <w:rsid w:val="005F3714"/>
    <w:rsid w:val="005F371E"/>
    <w:rsid w:val="005F3749"/>
    <w:rsid w:val="005F38F2"/>
    <w:rsid w:val="005F38F7"/>
    <w:rsid w:val="005F3960"/>
    <w:rsid w:val="005F3A11"/>
    <w:rsid w:val="005F3A3D"/>
    <w:rsid w:val="005F3B9F"/>
    <w:rsid w:val="005F3CB4"/>
    <w:rsid w:val="005F3D4E"/>
    <w:rsid w:val="005F3DA2"/>
    <w:rsid w:val="005F3EEC"/>
    <w:rsid w:val="005F3EFF"/>
    <w:rsid w:val="005F3FCD"/>
    <w:rsid w:val="005F406B"/>
    <w:rsid w:val="005F415D"/>
    <w:rsid w:val="005F41BD"/>
    <w:rsid w:val="005F4210"/>
    <w:rsid w:val="005F460B"/>
    <w:rsid w:val="005F4641"/>
    <w:rsid w:val="005F4719"/>
    <w:rsid w:val="005F479D"/>
    <w:rsid w:val="005F481E"/>
    <w:rsid w:val="005F48D3"/>
    <w:rsid w:val="005F48EC"/>
    <w:rsid w:val="005F4964"/>
    <w:rsid w:val="005F497D"/>
    <w:rsid w:val="005F4999"/>
    <w:rsid w:val="005F4B4A"/>
    <w:rsid w:val="005F4D0E"/>
    <w:rsid w:val="005F4D81"/>
    <w:rsid w:val="005F4EAE"/>
    <w:rsid w:val="005F4ED2"/>
    <w:rsid w:val="005F4F53"/>
    <w:rsid w:val="005F4FA0"/>
    <w:rsid w:val="005F4FF5"/>
    <w:rsid w:val="005F5007"/>
    <w:rsid w:val="005F507B"/>
    <w:rsid w:val="005F50F9"/>
    <w:rsid w:val="005F5141"/>
    <w:rsid w:val="005F529F"/>
    <w:rsid w:val="005F5307"/>
    <w:rsid w:val="005F5408"/>
    <w:rsid w:val="005F542B"/>
    <w:rsid w:val="005F5585"/>
    <w:rsid w:val="005F56A0"/>
    <w:rsid w:val="005F5705"/>
    <w:rsid w:val="005F5758"/>
    <w:rsid w:val="005F57DA"/>
    <w:rsid w:val="005F57DC"/>
    <w:rsid w:val="005F57FC"/>
    <w:rsid w:val="005F5894"/>
    <w:rsid w:val="005F58DD"/>
    <w:rsid w:val="005F597A"/>
    <w:rsid w:val="005F5B42"/>
    <w:rsid w:val="005F5B92"/>
    <w:rsid w:val="005F5BBF"/>
    <w:rsid w:val="005F5ED7"/>
    <w:rsid w:val="005F5F5A"/>
    <w:rsid w:val="005F5FD0"/>
    <w:rsid w:val="005F5FF1"/>
    <w:rsid w:val="005F61A9"/>
    <w:rsid w:val="005F61AC"/>
    <w:rsid w:val="005F6218"/>
    <w:rsid w:val="005F62D4"/>
    <w:rsid w:val="005F6371"/>
    <w:rsid w:val="005F63D2"/>
    <w:rsid w:val="005F63DB"/>
    <w:rsid w:val="005F6422"/>
    <w:rsid w:val="005F6448"/>
    <w:rsid w:val="005F6572"/>
    <w:rsid w:val="005F66B0"/>
    <w:rsid w:val="005F66B1"/>
    <w:rsid w:val="005F66D7"/>
    <w:rsid w:val="005F6700"/>
    <w:rsid w:val="005F6742"/>
    <w:rsid w:val="005F67C0"/>
    <w:rsid w:val="005F6813"/>
    <w:rsid w:val="005F689F"/>
    <w:rsid w:val="005F68D0"/>
    <w:rsid w:val="005F6931"/>
    <w:rsid w:val="005F6A0B"/>
    <w:rsid w:val="005F6A0E"/>
    <w:rsid w:val="005F6A3C"/>
    <w:rsid w:val="005F6A7B"/>
    <w:rsid w:val="005F6AD3"/>
    <w:rsid w:val="005F6AD6"/>
    <w:rsid w:val="005F6AD8"/>
    <w:rsid w:val="005F6B80"/>
    <w:rsid w:val="005F6BB9"/>
    <w:rsid w:val="005F6C02"/>
    <w:rsid w:val="005F6C8C"/>
    <w:rsid w:val="005F6CCE"/>
    <w:rsid w:val="005F6D05"/>
    <w:rsid w:val="005F6D46"/>
    <w:rsid w:val="005F6F36"/>
    <w:rsid w:val="005F6F61"/>
    <w:rsid w:val="005F7051"/>
    <w:rsid w:val="005F70DF"/>
    <w:rsid w:val="005F723F"/>
    <w:rsid w:val="005F72B3"/>
    <w:rsid w:val="005F7362"/>
    <w:rsid w:val="005F736D"/>
    <w:rsid w:val="005F746F"/>
    <w:rsid w:val="005F74E1"/>
    <w:rsid w:val="005F74E2"/>
    <w:rsid w:val="005F7658"/>
    <w:rsid w:val="005F76A2"/>
    <w:rsid w:val="005F7706"/>
    <w:rsid w:val="005F7745"/>
    <w:rsid w:val="005F78EB"/>
    <w:rsid w:val="005F792E"/>
    <w:rsid w:val="005F7989"/>
    <w:rsid w:val="005F79AA"/>
    <w:rsid w:val="005F7A42"/>
    <w:rsid w:val="005F7C3A"/>
    <w:rsid w:val="005F7C60"/>
    <w:rsid w:val="005F7C65"/>
    <w:rsid w:val="005F7C7B"/>
    <w:rsid w:val="005F7CC4"/>
    <w:rsid w:val="005F7D3B"/>
    <w:rsid w:val="005F7D60"/>
    <w:rsid w:val="005F7E56"/>
    <w:rsid w:val="005F7E68"/>
    <w:rsid w:val="005F7EC0"/>
    <w:rsid w:val="005F7EEE"/>
    <w:rsid w:val="005F7FC8"/>
    <w:rsid w:val="00600202"/>
    <w:rsid w:val="00600207"/>
    <w:rsid w:val="00600268"/>
    <w:rsid w:val="00600296"/>
    <w:rsid w:val="006002E5"/>
    <w:rsid w:val="00600464"/>
    <w:rsid w:val="00600489"/>
    <w:rsid w:val="0060051C"/>
    <w:rsid w:val="00600550"/>
    <w:rsid w:val="0060068D"/>
    <w:rsid w:val="006006CC"/>
    <w:rsid w:val="006006D5"/>
    <w:rsid w:val="00600716"/>
    <w:rsid w:val="006007C6"/>
    <w:rsid w:val="006008DF"/>
    <w:rsid w:val="006009D4"/>
    <w:rsid w:val="00600A4B"/>
    <w:rsid w:val="00600B34"/>
    <w:rsid w:val="00600B36"/>
    <w:rsid w:val="00600B3D"/>
    <w:rsid w:val="00600BFA"/>
    <w:rsid w:val="00600C75"/>
    <w:rsid w:val="00600CA7"/>
    <w:rsid w:val="00600DAD"/>
    <w:rsid w:val="00600E91"/>
    <w:rsid w:val="00600F2D"/>
    <w:rsid w:val="00600F9F"/>
    <w:rsid w:val="00601019"/>
    <w:rsid w:val="006010D4"/>
    <w:rsid w:val="00601261"/>
    <w:rsid w:val="0060149D"/>
    <w:rsid w:val="006016B7"/>
    <w:rsid w:val="00601717"/>
    <w:rsid w:val="00601895"/>
    <w:rsid w:val="006018C8"/>
    <w:rsid w:val="00601B57"/>
    <w:rsid w:val="00601BD8"/>
    <w:rsid w:val="00601BEE"/>
    <w:rsid w:val="00601C48"/>
    <w:rsid w:val="00601D2B"/>
    <w:rsid w:val="00601D88"/>
    <w:rsid w:val="00601E59"/>
    <w:rsid w:val="00601F07"/>
    <w:rsid w:val="00601F11"/>
    <w:rsid w:val="00602016"/>
    <w:rsid w:val="00602079"/>
    <w:rsid w:val="0060207E"/>
    <w:rsid w:val="006020A9"/>
    <w:rsid w:val="006020AF"/>
    <w:rsid w:val="00602173"/>
    <w:rsid w:val="00602198"/>
    <w:rsid w:val="006023B0"/>
    <w:rsid w:val="00602447"/>
    <w:rsid w:val="006025D2"/>
    <w:rsid w:val="006026AC"/>
    <w:rsid w:val="006027AC"/>
    <w:rsid w:val="006028BD"/>
    <w:rsid w:val="0060292C"/>
    <w:rsid w:val="00602B47"/>
    <w:rsid w:val="00602B9F"/>
    <w:rsid w:val="00602BF2"/>
    <w:rsid w:val="00602C1D"/>
    <w:rsid w:val="00602CE3"/>
    <w:rsid w:val="00602E6F"/>
    <w:rsid w:val="00602E7E"/>
    <w:rsid w:val="00602FF5"/>
    <w:rsid w:val="0060317E"/>
    <w:rsid w:val="00603281"/>
    <w:rsid w:val="006032F8"/>
    <w:rsid w:val="00603340"/>
    <w:rsid w:val="006033C3"/>
    <w:rsid w:val="006033D7"/>
    <w:rsid w:val="0060340D"/>
    <w:rsid w:val="006034EE"/>
    <w:rsid w:val="00603554"/>
    <w:rsid w:val="0060355F"/>
    <w:rsid w:val="006035A2"/>
    <w:rsid w:val="00603630"/>
    <w:rsid w:val="0060370A"/>
    <w:rsid w:val="00603807"/>
    <w:rsid w:val="00603946"/>
    <w:rsid w:val="00603A05"/>
    <w:rsid w:val="00603B39"/>
    <w:rsid w:val="00603CA8"/>
    <w:rsid w:val="00603D9F"/>
    <w:rsid w:val="00603DBA"/>
    <w:rsid w:val="00603E45"/>
    <w:rsid w:val="00603EDD"/>
    <w:rsid w:val="00603EF7"/>
    <w:rsid w:val="00603FB8"/>
    <w:rsid w:val="006040AA"/>
    <w:rsid w:val="00604132"/>
    <w:rsid w:val="0060417D"/>
    <w:rsid w:val="00604253"/>
    <w:rsid w:val="0060449A"/>
    <w:rsid w:val="006044AB"/>
    <w:rsid w:val="006044F0"/>
    <w:rsid w:val="00604606"/>
    <w:rsid w:val="00604611"/>
    <w:rsid w:val="006046A1"/>
    <w:rsid w:val="006047C9"/>
    <w:rsid w:val="00604908"/>
    <w:rsid w:val="006049F2"/>
    <w:rsid w:val="00604A43"/>
    <w:rsid w:val="00604AFC"/>
    <w:rsid w:val="00604BDA"/>
    <w:rsid w:val="00604D50"/>
    <w:rsid w:val="00604E31"/>
    <w:rsid w:val="00604E95"/>
    <w:rsid w:val="00604EF5"/>
    <w:rsid w:val="00604F45"/>
    <w:rsid w:val="00604FAA"/>
    <w:rsid w:val="00605064"/>
    <w:rsid w:val="006050B0"/>
    <w:rsid w:val="00605192"/>
    <w:rsid w:val="006051CB"/>
    <w:rsid w:val="006051D0"/>
    <w:rsid w:val="0060522A"/>
    <w:rsid w:val="0060527A"/>
    <w:rsid w:val="0060551D"/>
    <w:rsid w:val="0060551E"/>
    <w:rsid w:val="006055BB"/>
    <w:rsid w:val="00605897"/>
    <w:rsid w:val="006058E8"/>
    <w:rsid w:val="00605923"/>
    <w:rsid w:val="006059F9"/>
    <w:rsid w:val="00605BC8"/>
    <w:rsid w:val="00605BC9"/>
    <w:rsid w:val="00605C8C"/>
    <w:rsid w:val="00605E2A"/>
    <w:rsid w:val="00605F2C"/>
    <w:rsid w:val="00605F49"/>
    <w:rsid w:val="00605F9C"/>
    <w:rsid w:val="00606028"/>
    <w:rsid w:val="00606128"/>
    <w:rsid w:val="006061B9"/>
    <w:rsid w:val="006061E6"/>
    <w:rsid w:val="0060621E"/>
    <w:rsid w:val="0060624F"/>
    <w:rsid w:val="0060627D"/>
    <w:rsid w:val="006062EC"/>
    <w:rsid w:val="00606314"/>
    <w:rsid w:val="00606485"/>
    <w:rsid w:val="0060649F"/>
    <w:rsid w:val="00606611"/>
    <w:rsid w:val="006066E2"/>
    <w:rsid w:val="0060674D"/>
    <w:rsid w:val="006067E7"/>
    <w:rsid w:val="00606852"/>
    <w:rsid w:val="00606856"/>
    <w:rsid w:val="00606888"/>
    <w:rsid w:val="006069EC"/>
    <w:rsid w:val="00606A7B"/>
    <w:rsid w:val="00606B99"/>
    <w:rsid w:val="00606C30"/>
    <w:rsid w:val="00606C68"/>
    <w:rsid w:val="00606C99"/>
    <w:rsid w:val="00606CE7"/>
    <w:rsid w:val="00606CFF"/>
    <w:rsid w:val="00606E2B"/>
    <w:rsid w:val="00606E53"/>
    <w:rsid w:val="00606EB5"/>
    <w:rsid w:val="00606F16"/>
    <w:rsid w:val="00606F29"/>
    <w:rsid w:val="00606F76"/>
    <w:rsid w:val="00606F8A"/>
    <w:rsid w:val="0060702C"/>
    <w:rsid w:val="0060704B"/>
    <w:rsid w:val="0060710E"/>
    <w:rsid w:val="00607160"/>
    <w:rsid w:val="0060721D"/>
    <w:rsid w:val="006073AF"/>
    <w:rsid w:val="006073E3"/>
    <w:rsid w:val="00607407"/>
    <w:rsid w:val="006074BD"/>
    <w:rsid w:val="00607509"/>
    <w:rsid w:val="00607511"/>
    <w:rsid w:val="0060751C"/>
    <w:rsid w:val="0060752D"/>
    <w:rsid w:val="006075A1"/>
    <w:rsid w:val="00607672"/>
    <w:rsid w:val="0060769A"/>
    <w:rsid w:val="00607751"/>
    <w:rsid w:val="0060781C"/>
    <w:rsid w:val="0060782D"/>
    <w:rsid w:val="006079EF"/>
    <w:rsid w:val="00607AA2"/>
    <w:rsid w:val="00607AA4"/>
    <w:rsid w:val="00607AF6"/>
    <w:rsid w:val="00607B85"/>
    <w:rsid w:val="00607BD6"/>
    <w:rsid w:val="00607C3F"/>
    <w:rsid w:val="00607CED"/>
    <w:rsid w:val="00607D86"/>
    <w:rsid w:val="00607D90"/>
    <w:rsid w:val="00607E0A"/>
    <w:rsid w:val="00607E90"/>
    <w:rsid w:val="00610006"/>
    <w:rsid w:val="00610090"/>
    <w:rsid w:val="006101C1"/>
    <w:rsid w:val="00610206"/>
    <w:rsid w:val="0061024F"/>
    <w:rsid w:val="00610333"/>
    <w:rsid w:val="006103D4"/>
    <w:rsid w:val="006103D7"/>
    <w:rsid w:val="00610492"/>
    <w:rsid w:val="006105D1"/>
    <w:rsid w:val="0061062F"/>
    <w:rsid w:val="00610641"/>
    <w:rsid w:val="00610658"/>
    <w:rsid w:val="006106F0"/>
    <w:rsid w:val="00610857"/>
    <w:rsid w:val="006108E6"/>
    <w:rsid w:val="006108F6"/>
    <w:rsid w:val="00610915"/>
    <w:rsid w:val="00610A99"/>
    <w:rsid w:val="00610AC7"/>
    <w:rsid w:val="00610B9E"/>
    <w:rsid w:val="00610D6C"/>
    <w:rsid w:val="00610D7D"/>
    <w:rsid w:val="00610F86"/>
    <w:rsid w:val="00610FA7"/>
    <w:rsid w:val="00611026"/>
    <w:rsid w:val="00611038"/>
    <w:rsid w:val="006110B5"/>
    <w:rsid w:val="00611140"/>
    <w:rsid w:val="00611274"/>
    <w:rsid w:val="006113E7"/>
    <w:rsid w:val="0061142E"/>
    <w:rsid w:val="006114B7"/>
    <w:rsid w:val="00611565"/>
    <w:rsid w:val="0061163E"/>
    <w:rsid w:val="00611742"/>
    <w:rsid w:val="00611833"/>
    <w:rsid w:val="00611879"/>
    <w:rsid w:val="00611882"/>
    <w:rsid w:val="0061188C"/>
    <w:rsid w:val="00611983"/>
    <w:rsid w:val="006119AC"/>
    <w:rsid w:val="006119C6"/>
    <w:rsid w:val="00611AC6"/>
    <w:rsid w:val="00611CF2"/>
    <w:rsid w:val="00611D7E"/>
    <w:rsid w:val="00611E43"/>
    <w:rsid w:val="00611E4F"/>
    <w:rsid w:val="00611E71"/>
    <w:rsid w:val="00611F8E"/>
    <w:rsid w:val="0061203F"/>
    <w:rsid w:val="00612168"/>
    <w:rsid w:val="006121CA"/>
    <w:rsid w:val="0061220F"/>
    <w:rsid w:val="00612361"/>
    <w:rsid w:val="0061239F"/>
    <w:rsid w:val="006123DA"/>
    <w:rsid w:val="00612449"/>
    <w:rsid w:val="0061253C"/>
    <w:rsid w:val="00612542"/>
    <w:rsid w:val="00612789"/>
    <w:rsid w:val="00612A14"/>
    <w:rsid w:val="00612A32"/>
    <w:rsid w:val="00612C0F"/>
    <w:rsid w:val="00612DD5"/>
    <w:rsid w:val="00612E2F"/>
    <w:rsid w:val="00612E76"/>
    <w:rsid w:val="00612EE7"/>
    <w:rsid w:val="00612F4C"/>
    <w:rsid w:val="00613019"/>
    <w:rsid w:val="00613132"/>
    <w:rsid w:val="006131DF"/>
    <w:rsid w:val="00613211"/>
    <w:rsid w:val="006132AB"/>
    <w:rsid w:val="006132CE"/>
    <w:rsid w:val="006133C8"/>
    <w:rsid w:val="006133E0"/>
    <w:rsid w:val="0061341B"/>
    <w:rsid w:val="006135B0"/>
    <w:rsid w:val="00613649"/>
    <w:rsid w:val="00613659"/>
    <w:rsid w:val="00613687"/>
    <w:rsid w:val="0061375B"/>
    <w:rsid w:val="00613848"/>
    <w:rsid w:val="00613887"/>
    <w:rsid w:val="006138DC"/>
    <w:rsid w:val="00613A1C"/>
    <w:rsid w:val="00613A81"/>
    <w:rsid w:val="00613BF6"/>
    <w:rsid w:val="00613C41"/>
    <w:rsid w:val="00613D15"/>
    <w:rsid w:val="00613E3D"/>
    <w:rsid w:val="00613E4F"/>
    <w:rsid w:val="00613F13"/>
    <w:rsid w:val="00614058"/>
    <w:rsid w:val="00614079"/>
    <w:rsid w:val="006140D7"/>
    <w:rsid w:val="006141CB"/>
    <w:rsid w:val="006143A5"/>
    <w:rsid w:val="00614409"/>
    <w:rsid w:val="0061456A"/>
    <w:rsid w:val="00614585"/>
    <w:rsid w:val="006145C0"/>
    <w:rsid w:val="00614807"/>
    <w:rsid w:val="00614840"/>
    <w:rsid w:val="00614849"/>
    <w:rsid w:val="006148DC"/>
    <w:rsid w:val="00614963"/>
    <w:rsid w:val="00614A16"/>
    <w:rsid w:val="00614C55"/>
    <w:rsid w:val="00614C7F"/>
    <w:rsid w:val="00614D80"/>
    <w:rsid w:val="00614DD6"/>
    <w:rsid w:val="00614E2B"/>
    <w:rsid w:val="00614EF6"/>
    <w:rsid w:val="00614F06"/>
    <w:rsid w:val="00614F40"/>
    <w:rsid w:val="00614F50"/>
    <w:rsid w:val="00614F5B"/>
    <w:rsid w:val="0061517A"/>
    <w:rsid w:val="0061523C"/>
    <w:rsid w:val="00615288"/>
    <w:rsid w:val="006154AE"/>
    <w:rsid w:val="00615618"/>
    <w:rsid w:val="00615659"/>
    <w:rsid w:val="006156B5"/>
    <w:rsid w:val="006156F2"/>
    <w:rsid w:val="00615702"/>
    <w:rsid w:val="00615748"/>
    <w:rsid w:val="006157B6"/>
    <w:rsid w:val="006157DB"/>
    <w:rsid w:val="006158E5"/>
    <w:rsid w:val="00615936"/>
    <w:rsid w:val="00615A73"/>
    <w:rsid w:val="00615A77"/>
    <w:rsid w:val="00615AC2"/>
    <w:rsid w:val="00615BA4"/>
    <w:rsid w:val="00615BCA"/>
    <w:rsid w:val="00615C81"/>
    <w:rsid w:val="00615E07"/>
    <w:rsid w:val="00615E79"/>
    <w:rsid w:val="00615EA5"/>
    <w:rsid w:val="00615F13"/>
    <w:rsid w:val="00615F6E"/>
    <w:rsid w:val="00615FAB"/>
    <w:rsid w:val="00615FE4"/>
    <w:rsid w:val="00616045"/>
    <w:rsid w:val="006162F0"/>
    <w:rsid w:val="006163FA"/>
    <w:rsid w:val="0061644A"/>
    <w:rsid w:val="006164A5"/>
    <w:rsid w:val="006164B0"/>
    <w:rsid w:val="0061654B"/>
    <w:rsid w:val="0061657F"/>
    <w:rsid w:val="0061664A"/>
    <w:rsid w:val="006166AB"/>
    <w:rsid w:val="006166DF"/>
    <w:rsid w:val="00616751"/>
    <w:rsid w:val="00616868"/>
    <w:rsid w:val="0061693D"/>
    <w:rsid w:val="00616976"/>
    <w:rsid w:val="00616A0C"/>
    <w:rsid w:val="00616A1D"/>
    <w:rsid w:val="00616A84"/>
    <w:rsid w:val="00616AEF"/>
    <w:rsid w:val="00616C23"/>
    <w:rsid w:val="00616CC8"/>
    <w:rsid w:val="00616D8F"/>
    <w:rsid w:val="00616DBD"/>
    <w:rsid w:val="00616F4F"/>
    <w:rsid w:val="00616FD2"/>
    <w:rsid w:val="0061714E"/>
    <w:rsid w:val="006172FD"/>
    <w:rsid w:val="00617309"/>
    <w:rsid w:val="00617395"/>
    <w:rsid w:val="00617405"/>
    <w:rsid w:val="0061747F"/>
    <w:rsid w:val="0061761A"/>
    <w:rsid w:val="0061779C"/>
    <w:rsid w:val="006177AE"/>
    <w:rsid w:val="006177DD"/>
    <w:rsid w:val="00617841"/>
    <w:rsid w:val="006178E5"/>
    <w:rsid w:val="006179FD"/>
    <w:rsid w:val="00617AEE"/>
    <w:rsid w:val="00617AFF"/>
    <w:rsid w:val="00617C7E"/>
    <w:rsid w:val="00617CFC"/>
    <w:rsid w:val="00617D6B"/>
    <w:rsid w:val="00617EEE"/>
    <w:rsid w:val="00617F1D"/>
    <w:rsid w:val="00620038"/>
    <w:rsid w:val="00620054"/>
    <w:rsid w:val="0062005D"/>
    <w:rsid w:val="006201C9"/>
    <w:rsid w:val="006202E1"/>
    <w:rsid w:val="006202FC"/>
    <w:rsid w:val="00620335"/>
    <w:rsid w:val="00620456"/>
    <w:rsid w:val="006205B0"/>
    <w:rsid w:val="006205B7"/>
    <w:rsid w:val="00620694"/>
    <w:rsid w:val="006206E3"/>
    <w:rsid w:val="00620984"/>
    <w:rsid w:val="00620A95"/>
    <w:rsid w:val="00620AC7"/>
    <w:rsid w:val="00620B88"/>
    <w:rsid w:val="00620BB3"/>
    <w:rsid w:val="00620C59"/>
    <w:rsid w:val="00620C84"/>
    <w:rsid w:val="00620CE6"/>
    <w:rsid w:val="00620D73"/>
    <w:rsid w:val="00620E29"/>
    <w:rsid w:val="00620ED0"/>
    <w:rsid w:val="0062101D"/>
    <w:rsid w:val="0062104E"/>
    <w:rsid w:val="0062111E"/>
    <w:rsid w:val="00621189"/>
    <w:rsid w:val="006213DE"/>
    <w:rsid w:val="00621475"/>
    <w:rsid w:val="006215DA"/>
    <w:rsid w:val="0062164F"/>
    <w:rsid w:val="006218E7"/>
    <w:rsid w:val="00621919"/>
    <w:rsid w:val="006219B3"/>
    <w:rsid w:val="006219C3"/>
    <w:rsid w:val="006219E6"/>
    <w:rsid w:val="006219FC"/>
    <w:rsid w:val="00621B4C"/>
    <w:rsid w:val="00621B5E"/>
    <w:rsid w:val="00621D35"/>
    <w:rsid w:val="00621E85"/>
    <w:rsid w:val="00621EB3"/>
    <w:rsid w:val="00621FC9"/>
    <w:rsid w:val="00621FCA"/>
    <w:rsid w:val="006220C1"/>
    <w:rsid w:val="006221D3"/>
    <w:rsid w:val="006221D7"/>
    <w:rsid w:val="00622279"/>
    <w:rsid w:val="00622394"/>
    <w:rsid w:val="006223F7"/>
    <w:rsid w:val="00622449"/>
    <w:rsid w:val="00622529"/>
    <w:rsid w:val="00622550"/>
    <w:rsid w:val="00622771"/>
    <w:rsid w:val="00622898"/>
    <w:rsid w:val="00622986"/>
    <w:rsid w:val="00622A68"/>
    <w:rsid w:val="00622A76"/>
    <w:rsid w:val="00622B24"/>
    <w:rsid w:val="00622BCC"/>
    <w:rsid w:val="00622C41"/>
    <w:rsid w:val="00622C49"/>
    <w:rsid w:val="00622D7C"/>
    <w:rsid w:val="00622DE7"/>
    <w:rsid w:val="00622DED"/>
    <w:rsid w:val="00622E5B"/>
    <w:rsid w:val="00622E8B"/>
    <w:rsid w:val="00622E9E"/>
    <w:rsid w:val="0062303B"/>
    <w:rsid w:val="0062303D"/>
    <w:rsid w:val="00623044"/>
    <w:rsid w:val="00623050"/>
    <w:rsid w:val="00623066"/>
    <w:rsid w:val="00623108"/>
    <w:rsid w:val="0062311D"/>
    <w:rsid w:val="00623167"/>
    <w:rsid w:val="006232BF"/>
    <w:rsid w:val="0062335A"/>
    <w:rsid w:val="00623479"/>
    <w:rsid w:val="0062354D"/>
    <w:rsid w:val="00623694"/>
    <w:rsid w:val="006236C4"/>
    <w:rsid w:val="00623720"/>
    <w:rsid w:val="0062384C"/>
    <w:rsid w:val="006239E0"/>
    <w:rsid w:val="00623BFC"/>
    <w:rsid w:val="00623C59"/>
    <w:rsid w:val="00623CA9"/>
    <w:rsid w:val="00623CEB"/>
    <w:rsid w:val="00623D0A"/>
    <w:rsid w:val="00623D13"/>
    <w:rsid w:val="00623D1A"/>
    <w:rsid w:val="00623DC1"/>
    <w:rsid w:val="00623DF3"/>
    <w:rsid w:val="00623E7D"/>
    <w:rsid w:val="00623F6A"/>
    <w:rsid w:val="0062403B"/>
    <w:rsid w:val="0062406E"/>
    <w:rsid w:val="006240D5"/>
    <w:rsid w:val="00624133"/>
    <w:rsid w:val="00624181"/>
    <w:rsid w:val="006241B2"/>
    <w:rsid w:val="006242A8"/>
    <w:rsid w:val="006242D9"/>
    <w:rsid w:val="00624302"/>
    <w:rsid w:val="006243BD"/>
    <w:rsid w:val="00624617"/>
    <w:rsid w:val="006246A5"/>
    <w:rsid w:val="00624807"/>
    <w:rsid w:val="00624866"/>
    <w:rsid w:val="00624893"/>
    <w:rsid w:val="006248D1"/>
    <w:rsid w:val="00624927"/>
    <w:rsid w:val="00624970"/>
    <w:rsid w:val="006249B7"/>
    <w:rsid w:val="006249BD"/>
    <w:rsid w:val="006249DE"/>
    <w:rsid w:val="00624A65"/>
    <w:rsid w:val="00624AB7"/>
    <w:rsid w:val="00624B28"/>
    <w:rsid w:val="00624B35"/>
    <w:rsid w:val="00624B49"/>
    <w:rsid w:val="00624BB1"/>
    <w:rsid w:val="00624C0B"/>
    <w:rsid w:val="00624E14"/>
    <w:rsid w:val="00624E9D"/>
    <w:rsid w:val="00624EAD"/>
    <w:rsid w:val="00624F29"/>
    <w:rsid w:val="00624F92"/>
    <w:rsid w:val="00625075"/>
    <w:rsid w:val="006250B5"/>
    <w:rsid w:val="006250DA"/>
    <w:rsid w:val="00625120"/>
    <w:rsid w:val="006251BD"/>
    <w:rsid w:val="00625388"/>
    <w:rsid w:val="006253E8"/>
    <w:rsid w:val="0062548C"/>
    <w:rsid w:val="006254C2"/>
    <w:rsid w:val="00625736"/>
    <w:rsid w:val="00625754"/>
    <w:rsid w:val="0062577A"/>
    <w:rsid w:val="00625905"/>
    <w:rsid w:val="006259AD"/>
    <w:rsid w:val="006259E9"/>
    <w:rsid w:val="00625A03"/>
    <w:rsid w:val="00625A98"/>
    <w:rsid w:val="00625B61"/>
    <w:rsid w:val="00625D53"/>
    <w:rsid w:val="00625D67"/>
    <w:rsid w:val="00625DA0"/>
    <w:rsid w:val="00625E6B"/>
    <w:rsid w:val="00625E95"/>
    <w:rsid w:val="00625F89"/>
    <w:rsid w:val="00625F9D"/>
    <w:rsid w:val="0062602D"/>
    <w:rsid w:val="00626056"/>
    <w:rsid w:val="0062612D"/>
    <w:rsid w:val="006261D5"/>
    <w:rsid w:val="0062622D"/>
    <w:rsid w:val="0062627E"/>
    <w:rsid w:val="00626360"/>
    <w:rsid w:val="006263BD"/>
    <w:rsid w:val="00626426"/>
    <w:rsid w:val="00626461"/>
    <w:rsid w:val="006264C0"/>
    <w:rsid w:val="0062652D"/>
    <w:rsid w:val="006266B0"/>
    <w:rsid w:val="006266F8"/>
    <w:rsid w:val="00626803"/>
    <w:rsid w:val="0062699A"/>
    <w:rsid w:val="00626A17"/>
    <w:rsid w:val="00626A51"/>
    <w:rsid w:val="00626BA5"/>
    <w:rsid w:val="00626BFD"/>
    <w:rsid w:val="00626C57"/>
    <w:rsid w:val="00626CC2"/>
    <w:rsid w:val="00626D30"/>
    <w:rsid w:val="00626DAB"/>
    <w:rsid w:val="00626DB1"/>
    <w:rsid w:val="00626E9B"/>
    <w:rsid w:val="00627054"/>
    <w:rsid w:val="0062717D"/>
    <w:rsid w:val="006271F5"/>
    <w:rsid w:val="00627212"/>
    <w:rsid w:val="00627390"/>
    <w:rsid w:val="006273F6"/>
    <w:rsid w:val="0062756E"/>
    <w:rsid w:val="006275BB"/>
    <w:rsid w:val="00627677"/>
    <w:rsid w:val="0062767D"/>
    <w:rsid w:val="00627754"/>
    <w:rsid w:val="006277A4"/>
    <w:rsid w:val="00627803"/>
    <w:rsid w:val="00627957"/>
    <w:rsid w:val="0062797F"/>
    <w:rsid w:val="00627AAC"/>
    <w:rsid w:val="00627BB0"/>
    <w:rsid w:val="00627C4A"/>
    <w:rsid w:val="00627C5D"/>
    <w:rsid w:val="00627D19"/>
    <w:rsid w:val="00627DF3"/>
    <w:rsid w:val="00627E21"/>
    <w:rsid w:val="00627EC7"/>
    <w:rsid w:val="00627FFA"/>
    <w:rsid w:val="0063013D"/>
    <w:rsid w:val="0063014A"/>
    <w:rsid w:val="006301BB"/>
    <w:rsid w:val="0063029D"/>
    <w:rsid w:val="006302DE"/>
    <w:rsid w:val="00630324"/>
    <w:rsid w:val="00630358"/>
    <w:rsid w:val="006303B5"/>
    <w:rsid w:val="006303C8"/>
    <w:rsid w:val="00630404"/>
    <w:rsid w:val="00630624"/>
    <w:rsid w:val="0063062F"/>
    <w:rsid w:val="00630666"/>
    <w:rsid w:val="006306EE"/>
    <w:rsid w:val="006307A3"/>
    <w:rsid w:val="006308F9"/>
    <w:rsid w:val="006309F9"/>
    <w:rsid w:val="00630A2E"/>
    <w:rsid w:val="00630C6E"/>
    <w:rsid w:val="00630D6A"/>
    <w:rsid w:val="00630D90"/>
    <w:rsid w:val="00630E6C"/>
    <w:rsid w:val="00630F04"/>
    <w:rsid w:val="00630F19"/>
    <w:rsid w:val="00630F8C"/>
    <w:rsid w:val="00630FFE"/>
    <w:rsid w:val="0063100C"/>
    <w:rsid w:val="00631170"/>
    <w:rsid w:val="006311EA"/>
    <w:rsid w:val="006311F8"/>
    <w:rsid w:val="006313EB"/>
    <w:rsid w:val="00631540"/>
    <w:rsid w:val="006315B3"/>
    <w:rsid w:val="006316F2"/>
    <w:rsid w:val="006316F9"/>
    <w:rsid w:val="006319CE"/>
    <w:rsid w:val="006319F8"/>
    <w:rsid w:val="00631A4F"/>
    <w:rsid w:val="00631A58"/>
    <w:rsid w:val="00631AFF"/>
    <w:rsid w:val="00631B1E"/>
    <w:rsid w:val="00631CB1"/>
    <w:rsid w:val="00631CC6"/>
    <w:rsid w:val="00631D3C"/>
    <w:rsid w:val="00631DE8"/>
    <w:rsid w:val="00631F5A"/>
    <w:rsid w:val="00631F93"/>
    <w:rsid w:val="00631FD3"/>
    <w:rsid w:val="00631FE4"/>
    <w:rsid w:val="00632022"/>
    <w:rsid w:val="006320EB"/>
    <w:rsid w:val="00632161"/>
    <w:rsid w:val="006321A7"/>
    <w:rsid w:val="006321D6"/>
    <w:rsid w:val="006321F0"/>
    <w:rsid w:val="006321FA"/>
    <w:rsid w:val="00632212"/>
    <w:rsid w:val="00632233"/>
    <w:rsid w:val="00632257"/>
    <w:rsid w:val="0063234B"/>
    <w:rsid w:val="00632477"/>
    <w:rsid w:val="00632498"/>
    <w:rsid w:val="006325A3"/>
    <w:rsid w:val="006325A6"/>
    <w:rsid w:val="006325FE"/>
    <w:rsid w:val="0063265A"/>
    <w:rsid w:val="0063265B"/>
    <w:rsid w:val="006327BE"/>
    <w:rsid w:val="006327F8"/>
    <w:rsid w:val="0063282F"/>
    <w:rsid w:val="00632846"/>
    <w:rsid w:val="006328A0"/>
    <w:rsid w:val="0063290B"/>
    <w:rsid w:val="00632993"/>
    <w:rsid w:val="006329E5"/>
    <w:rsid w:val="00632B21"/>
    <w:rsid w:val="00632D13"/>
    <w:rsid w:val="00632E35"/>
    <w:rsid w:val="00633009"/>
    <w:rsid w:val="0063301C"/>
    <w:rsid w:val="006330AF"/>
    <w:rsid w:val="00633142"/>
    <w:rsid w:val="00633176"/>
    <w:rsid w:val="00633211"/>
    <w:rsid w:val="00633258"/>
    <w:rsid w:val="00633343"/>
    <w:rsid w:val="006336C1"/>
    <w:rsid w:val="006336E4"/>
    <w:rsid w:val="00633816"/>
    <w:rsid w:val="0063394E"/>
    <w:rsid w:val="006339FF"/>
    <w:rsid w:val="00633BDF"/>
    <w:rsid w:val="00633C56"/>
    <w:rsid w:val="00633DA7"/>
    <w:rsid w:val="00633DFA"/>
    <w:rsid w:val="00633E82"/>
    <w:rsid w:val="00634016"/>
    <w:rsid w:val="00634145"/>
    <w:rsid w:val="00634176"/>
    <w:rsid w:val="006341F4"/>
    <w:rsid w:val="006343C5"/>
    <w:rsid w:val="006344A0"/>
    <w:rsid w:val="006344A2"/>
    <w:rsid w:val="00634518"/>
    <w:rsid w:val="00634535"/>
    <w:rsid w:val="0063461C"/>
    <w:rsid w:val="00634653"/>
    <w:rsid w:val="006346FB"/>
    <w:rsid w:val="0063473B"/>
    <w:rsid w:val="006347AD"/>
    <w:rsid w:val="00634800"/>
    <w:rsid w:val="00634861"/>
    <w:rsid w:val="006348EF"/>
    <w:rsid w:val="00634AD2"/>
    <w:rsid w:val="00634C4A"/>
    <w:rsid w:val="00634CFE"/>
    <w:rsid w:val="00634D7F"/>
    <w:rsid w:val="00634D91"/>
    <w:rsid w:val="00634FB2"/>
    <w:rsid w:val="006351BC"/>
    <w:rsid w:val="00635212"/>
    <w:rsid w:val="0063536C"/>
    <w:rsid w:val="00635435"/>
    <w:rsid w:val="0063550A"/>
    <w:rsid w:val="006355EC"/>
    <w:rsid w:val="0063560D"/>
    <w:rsid w:val="0063563F"/>
    <w:rsid w:val="00635641"/>
    <w:rsid w:val="006356CF"/>
    <w:rsid w:val="00635896"/>
    <w:rsid w:val="00635924"/>
    <w:rsid w:val="00635980"/>
    <w:rsid w:val="006359EF"/>
    <w:rsid w:val="006359F9"/>
    <w:rsid w:val="00635AC8"/>
    <w:rsid w:val="00635B4B"/>
    <w:rsid w:val="00635B89"/>
    <w:rsid w:val="00635BD5"/>
    <w:rsid w:val="00635C7D"/>
    <w:rsid w:val="00635D29"/>
    <w:rsid w:val="00635D3E"/>
    <w:rsid w:val="00635E13"/>
    <w:rsid w:val="0063608E"/>
    <w:rsid w:val="006360A0"/>
    <w:rsid w:val="006360C2"/>
    <w:rsid w:val="0063617F"/>
    <w:rsid w:val="006361A4"/>
    <w:rsid w:val="00636208"/>
    <w:rsid w:val="006362CC"/>
    <w:rsid w:val="00636394"/>
    <w:rsid w:val="006363C3"/>
    <w:rsid w:val="006363E7"/>
    <w:rsid w:val="00636423"/>
    <w:rsid w:val="00636506"/>
    <w:rsid w:val="0063650B"/>
    <w:rsid w:val="006365C9"/>
    <w:rsid w:val="006366F1"/>
    <w:rsid w:val="0063670F"/>
    <w:rsid w:val="006368BF"/>
    <w:rsid w:val="006368E6"/>
    <w:rsid w:val="006369AA"/>
    <w:rsid w:val="006369EE"/>
    <w:rsid w:val="00636A55"/>
    <w:rsid w:val="00636B88"/>
    <w:rsid w:val="00636B8F"/>
    <w:rsid w:val="00636C0B"/>
    <w:rsid w:val="00636CFE"/>
    <w:rsid w:val="00636DB0"/>
    <w:rsid w:val="00636E0E"/>
    <w:rsid w:val="00636E7C"/>
    <w:rsid w:val="00636F7C"/>
    <w:rsid w:val="00636FDC"/>
    <w:rsid w:val="00637026"/>
    <w:rsid w:val="006370AD"/>
    <w:rsid w:val="0063734A"/>
    <w:rsid w:val="0063738E"/>
    <w:rsid w:val="0063741A"/>
    <w:rsid w:val="006374D9"/>
    <w:rsid w:val="006374F6"/>
    <w:rsid w:val="00637524"/>
    <w:rsid w:val="00637537"/>
    <w:rsid w:val="00637598"/>
    <w:rsid w:val="00637641"/>
    <w:rsid w:val="006376AC"/>
    <w:rsid w:val="0063770F"/>
    <w:rsid w:val="0063777A"/>
    <w:rsid w:val="006377EC"/>
    <w:rsid w:val="0063782A"/>
    <w:rsid w:val="0063783F"/>
    <w:rsid w:val="006378BC"/>
    <w:rsid w:val="0063799D"/>
    <w:rsid w:val="006379BA"/>
    <w:rsid w:val="00637A7E"/>
    <w:rsid w:val="00637ABC"/>
    <w:rsid w:val="00637C42"/>
    <w:rsid w:val="00637D14"/>
    <w:rsid w:val="00637D19"/>
    <w:rsid w:val="00637E79"/>
    <w:rsid w:val="00637F28"/>
    <w:rsid w:val="00637F5C"/>
    <w:rsid w:val="00637F69"/>
    <w:rsid w:val="0063B126"/>
    <w:rsid w:val="0064005D"/>
    <w:rsid w:val="00640062"/>
    <w:rsid w:val="0064014E"/>
    <w:rsid w:val="0064027A"/>
    <w:rsid w:val="006402DB"/>
    <w:rsid w:val="00640331"/>
    <w:rsid w:val="00640361"/>
    <w:rsid w:val="006403F7"/>
    <w:rsid w:val="00640429"/>
    <w:rsid w:val="00640556"/>
    <w:rsid w:val="006405C1"/>
    <w:rsid w:val="006405E7"/>
    <w:rsid w:val="006406A0"/>
    <w:rsid w:val="006406B5"/>
    <w:rsid w:val="006406E6"/>
    <w:rsid w:val="006406FD"/>
    <w:rsid w:val="006407AA"/>
    <w:rsid w:val="0064081C"/>
    <w:rsid w:val="00640913"/>
    <w:rsid w:val="006409A9"/>
    <w:rsid w:val="00640A61"/>
    <w:rsid w:val="00640A63"/>
    <w:rsid w:val="00640A76"/>
    <w:rsid w:val="00640ADE"/>
    <w:rsid w:val="00640B04"/>
    <w:rsid w:val="00640B85"/>
    <w:rsid w:val="00640C7A"/>
    <w:rsid w:val="00640DF9"/>
    <w:rsid w:val="00640E3A"/>
    <w:rsid w:val="00640E72"/>
    <w:rsid w:val="0064113E"/>
    <w:rsid w:val="00641145"/>
    <w:rsid w:val="006411A2"/>
    <w:rsid w:val="00641208"/>
    <w:rsid w:val="00641273"/>
    <w:rsid w:val="006412E3"/>
    <w:rsid w:val="0064141B"/>
    <w:rsid w:val="006414FA"/>
    <w:rsid w:val="0064153F"/>
    <w:rsid w:val="00641624"/>
    <w:rsid w:val="00641635"/>
    <w:rsid w:val="0064163B"/>
    <w:rsid w:val="00641727"/>
    <w:rsid w:val="0064179D"/>
    <w:rsid w:val="006417E0"/>
    <w:rsid w:val="00641831"/>
    <w:rsid w:val="00641871"/>
    <w:rsid w:val="006419CB"/>
    <w:rsid w:val="00641A67"/>
    <w:rsid w:val="00641A7B"/>
    <w:rsid w:val="00641B40"/>
    <w:rsid w:val="00641B58"/>
    <w:rsid w:val="00641C16"/>
    <w:rsid w:val="00641C22"/>
    <w:rsid w:val="00641D43"/>
    <w:rsid w:val="00641DF0"/>
    <w:rsid w:val="00641E69"/>
    <w:rsid w:val="00641E79"/>
    <w:rsid w:val="00641F55"/>
    <w:rsid w:val="00641FDD"/>
    <w:rsid w:val="00642085"/>
    <w:rsid w:val="00642229"/>
    <w:rsid w:val="0064223B"/>
    <w:rsid w:val="0064228E"/>
    <w:rsid w:val="00642299"/>
    <w:rsid w:val="00642317"/>
    <w:rsid w:val="00642372"/>
    <w:rsid w:val="006424F8"/>
    <w:rsid w:val="00642560"/>
    <w:rsid w:val="0064267C"/>
    <w:rsid w:val="0064278A"/>
    <w:rsid w:val="006427A1"/>
    <w:rsid w:val="00642945"/>
    <w:rsid w:val="0064298E"/>
    <w:rsid w:val="00642A38"/>
    <w:rsid w:val="00642A82"/>
    <w:rsid w:val="00642A9D"/>
    <w:rsid w:val="00642ABD"/>
    <w:rsid w:val="00642D5B"/>
    <w:rsid w:val="00642D99"/>
    <w:rsid w:val="00642DE0"/>
    <w:rsid w:val="00642E46"/>
    <w:rsid w:val="00642EB9"/>
    <w:rsid w:val="00642F42"/>
    <w:rsid w:val="00642F4E"/>
    <w:rsid w:val="0064301F"/>
    <w:rsid w:val="00643054"/>
    <w:rsid w:val="006431B7"/>
    <w:rsid w:val="00643232"/>
    <w:rsid w:val="006433FE"/>
    <w:rsid w:val="006434E9"/>
    <w:rsid w:val="006435CB"/>
    <w:rsid w:val="006435D9"/>
    <w:rsid w:val="0064370E"/>
    <w:rsid w:val="00643844"/>
    <w:rsid w:val="00643855"/>
    <w:rsid w:val="00643C03"/>
    <w:rsid w:val="00643C10"/>
    <w:rsid w:val="00643C26"/>
    <w:rsid w:val="00643D91"/>
    <w:rsid w:val="00643DFE"/>
    <w:rsid w:val="00643EBD"/>
    <w:rsid w:val="00643EE9"/>
    <w:rsid w:val="00644097"/>
    <w:rsid w:val="006440AB"/>
    <w:rsid w:val="00644101"/>
    <w:rsid w:val="0064411F"/>
    <w:rsid w:val="0064416C"/>
    <w:rsid w:val="00644171"/>
    <w:rsid w:val="006443B5"/>
    <w:rsid w:val="006443F5"/>
    <w:rsid w:val="00644449"/>
    <w:rsid w:val="00644507"/>
    <w:rsid w:val="00644553"/>
    <w:rsid w:val="006446F3"/>
    <w:rsid w:val="00644724"/>
    <w:rsid w:val="0064472D"/>
    <w:rsid w:val="006448AD"/>
    <w:rsid w:val="00644942"/>
    <w:rsid w:val="00644A27"/>
    <w:rsid w:val="00644A2C"/>
    <w:rsid w:val="00644B23"/>
    <w:rsid w:val="00644B92"/>
    <w:rsid w:val="00644BEA"/>
    <w:rsid w:val="00644D9D"/>
    <w:rsid w:val="00644EC2"/>
    <w:rsid w:val="00644F6D"/>
    <w:rsid w:val="00645028"/>
    <w:rsid w:val="00645100"/>
    <w:rsid w:val="0064529F"/>
    <w:rsid w:val="0064548D"/>
    <w:rsid w:val="006454ED"/>
    <w:rsid w:val="00645565"/>
    <w:rsid w:val="00645632"/>
    <w:rsid w:val="00645698"/>
    <w:rsid w:val="006457B4"/>
    <w:rsid w:val="006457DE"/>
    <w:rsid w:val="00645812"/>
    <w:rsid w:val="0064582B"/>
    <w:rsid w:val="00645A57"/>
    <w:rsid w:val="00645B19"/>
    <w:rsid w:val="00645B23"/>
    <w:rsid w:val="00645B8D"/>
    <w:rsid w:val="00645B92"/>
    <w:rsid w:val="00645C8C"/>
    <w:rsid w:val="00645DD7"/>
    <w:rsid w:val="00645E81"/>
    <w:rsid w:val="00645E8E"/>
    <w:rsid w:val="00645FE2"/>
    <w:rsid w:val="00646027"/>
    <w:rsid w:val="00646048"/>
    <w:rsid w:val="00646078"/>
    <w:rsid w:val="006460A0"/>
    <w:rsid w:val="006460E9"/>
    <w:rsid w:val="00646246"/>
    <w:rsid w:val="006462A0"/>
    <w:rsid w:val="00646373"/>
    <w:rsid w:val="006463B4"/>
    <w:rsid w:val="006464E1"/>
    <w:rsid w:val="006466C0"/>
    <w:rsid w:val="00646897"/>
    <w:rsid w:val="006468D3"/>
    <w:rsid w:val="006468E1"/>
    <w:rsid w:val="00646947"/>
    <w:rsid w:val="00646A38"/>
    <w:rsid w:val="00646B39"/>
    <w:rsid w:val="00646BD8"/>
    <w:rsid w:val="00646D7E"/>
    <w:rsid w:val="00646DC3"/>
    <w:rsid w:val="00646DE7"/>
    <w:rsid w:val="00646E82"/>
    <w:rsid w:val="00647175"/>
    <w:rsid w:val="006471C1"/>
    <w:rsid w:val="0064720A"/>
    <w:rsid w:val="00647227"/>
    <w:rsid w:val="0064731D"/>
    <w:rsid w:val="0064741D"/>
    <w:rsid w:val="00647430"/>
    <w:rsid w:val="00647479"/>
    <w:rsid w:val="00647483"/>
    <w:rsid w:val="006474F1"/>
    <w:rsid w:val="0064755B"/>
    <w:rsid w:val="006477CE"/>
    <w:rsid w:val="006477FD"/>
    <w:rsid w:val="00647818"/>
    <w:rsid w:val="0064789C"/>
    <w:rsid w:val="006478D4"/>
    <w:rsid w:val="006479CC"/>
    <w:rsid w:val="00647AEB"/>
    <w:rsid w:val="00647B0F"/>
    <w:rsid w:val="00647B27"/>
    <w:rsid w:val="00647B30"/>
    <w:rsid w:val="00647C1A"/>
    <w:rsid w:val="00647C7A"/>
    <w:rsid w:val="00647CD2"/>
    <w:rsid w:val="00647D09"/>
    <w:rsid w:val="00647D1A"/>
    <w:rsid w:val="00647E00"/>
    <w:rsid w:val="00647E1E"/>
    <w:rsid w:val="00647F27"/>
    <w:rsid w:val="006501FF"/>
    <w:rsid w:val="00650201"/>
    <w:rsid w:val="00650239"/>
    <w:rsid w:val="00650316"/>
    <w:rsid w:val="0065037C"/>
    <w:rsid w:val="006503AC"/>
    <w:rsid w:val="0065040B"/>
    <w:rsid w:val="0065048C"/>
    <w:rsid w:val="00650544"/>
    <w:rsid w:val="00650727"/>
    <w:rsid w:val="00650838"/>
    <w:rsid w:val="006508A4"/>
    <w:rsid w:val="006508FA"/>
    <w:rsid w:val="00650967"/>
    <w:rsid w:val="00650A29"/>
    <w:rsid w:val="00650AC9"/>
    <w:rsid w:val="00650AF6"/>
    <w:rsid w:val="00650BAE"/>
    <w:rsid w:val="00650C9C"/>
    <w:rsid w:val="00650D2F"/>
    <w:rsid w:val="00650E54"/>
    <w:rsid w:val="00650EA4"/>
    <w:rsid w:val="00650EB7"/>
    <w:rsid w:val="00650F3E"/>
    <w:rsid w:val="00651104"/>
    <w:rsid w:val="00651105"/>
    <w:rsid w:val="00651149"/>
    <w:rsid w:val="006511C1"/>
    <w:rsid w:val="0065122C"/>
    <w:rsid w:val="00651250"/>
    <w:rsid w:val="006512A5"/>
    <w:rsid w:val="006512D1"/>
    <w:rsid w:val="006512E1"/>
    <w:rsid w:val="006513C0"/>
    <w:rsid w:val="006514F4"/>
    <w:rsid w:val="0065153C"/>
    <w:rsid w:val="00651549"/>
    <w:rsid w:val="0065156C"/>
    <w:rsid w:val="00651596"/>
    <w:rsid w:val="00651705"/>
    <w:rsid w:val="006518B4"/>
    <w:rsid w:val="0065199B"/>
    <w:rsid w:val="006519BD"/>
    <w:rsid w:val="00651AD1"/>
    <w:rsid w:val="00651C5C"/>
    <w:rsid w:val="00651C98"/>
    <w:rsid w:val="00651CC3"/>
    <w:rsid w:val="00651CE7"/>
    <w:rsid w:val="00651E80"/>
    <w:rsid w:val="00651FCA"/>
    <w:rsid w:val="00651FCC"/>
    <w:rsid w:val="0065205B"/>
    <w:rsid w:val="00652151"/>
    <w:rsid w:val="00652174"/>
    <w:rsid w:val="00652176"/>
    <w:rsid w:val="006521AB"/>
    <w:rsid w:val="006521DF"/>
    <w:rsid w:val="006521E5"/>
    <w:rsid w:val="00652210"/>
    <w:rsid w:val="006522F6"/>
    <w:rsid w:val="00652368"/>
    <w:rsid w:val="006524F6"/>
    <w:rsid w:val="00652525"/>
    <w:rsid w:val="0065263E"/>
    <w:rsid w:val="00652640"/>
    <w:rsid w:val="00652768"/>
    <w:rsid w:val="0065276F"/>
    <w:rsid w:val="00652A4E"/>
    <w:rsid w:val="00652AD1"/>
    <w:rsid w:val="00652B2F"/>
    <w:rsid w:val="00652B42"/>
    <w:rsid w:val="00652B6F"/>
    <w:rsid w:val="00652BC8"/>
    <w:rsid w:val="00652C58"/>
    <w:rsid w:val="00652E7A"/>
    <w:rsid w:val="00652E94"/>
    <w:rsid w:val="00652EEC"/>
    <w:rsid w:val="00652F70"/>
    <w:rsid w:val="00652F90"/>
    <w:rsid w:val="00652FB3"/>
    <w:rsid w:val="00652FDE"/>
    <w:rsid w:val="00653073"/>
    <w:rsid w:val="006531E0"/>
    <w:rsid w:val="00653263"/>
    <w:rsid w:val="006532BE"/>
    <w:rsid w:val="006533D5"/>
    <w:rsid w:val="006534D4"/>
    <w:rsid w:val="00653533"/>
    <w:rsid w:val="006536DB"/>
    <w:rsid w:val="006536F1"/>
    <w:rsid w:val="00653784"/>
    <w:rsid w:val="0065378A"/>
    <w:rsid w:val="006537DE"/>
    <w:rsid w:val="00653803"/>
    <w:rsid w:val="00653896"/>
    <w:rsid w:val="00653A8C"/>
    <w:rsid w:val="00653AD3"/>
    <w:rsid w:val="00653BF9"/>
    <w:rsid w:val="00653C33"/>
    <w:rsid w:val="00653CC6"/>
    <w:rsid w:val="00653D59"/>
    <w:rsid w:val="00653DE3"/>
    <w:rsid w:val="00653E21"/>
    <w:rsid w:val="00653E44"/>
    <w:rsid w:val="00653E9B"/>
    <w:rsid w:val="00653EF3"/>
    <w:rsid w:val="00653F46"/>
    <w:rsid w:val="00653F59"/>
    <w:rsid w:val="00654070"/>
    <w:rsid w:val="00654081"/>
    <w:rsid w:val="006540E6"/>
    <w:rsid w:val="006541D7"/>
    <w:rsid w:val="006541E0"/>
    <w:rsid w:val="0065426C"/>
    <w:rsid w:val="00654309"/>
    <w:rsid w:val="00654439"/>
    <w:rsid w:val="00654621"/>
    <w:rsid w:val="00654667"/>
    <w:rsid w:val="006546DB"/>
    <w:rsid w:val="006546F2"/>
    <w:rsid w:val="006549F7"/>
    <w:rsid w:val="00654AB7"/>
    <w:rsid w:val="00654B6F"/>
    <w:rsid w:val="00654BA0"/>
    <w:rsid w:val="00654BFD"/>
    <w:rsid w:val="00654C79"/>
    <w:rsid w:val="00654CFC"/>
    <w:rsid w:val="00654D86"/>
    <w:rsid w:val="00654D88"/>
    <w:rsid w:val="00654E44"/>
    <w:rsid w:val="00654E65"/>
    <w:rsid w:val="00654F6D"/>
    <w:rsid w:val="00655177"/>
    <w:rsid w:val="006551A6"/>
    <w:rsid w:val="006551BC"/>
    <w:rsid w:val="0065520F"/>
    <w:rsid w:val="00655260"/>
    <w:rsid w:val="006552B6"/>
    <w:rsid w:val="00655350"/>
    <w:rsid w:val="006553DB"/>
    <w:rsid w:val="006554C3"/>
    <w:rsid w:val="00655571"/>
    <w:rsid w:val="006556D6"/>
    <w:rsid w:val="0065571E"/>
    <w:rsid w:val="00655726"/>
    <w:rsid w:val="00655884"/>
    <w:rsid w:val="006558FF"/>
    <w:rsid w:val="00655AF1"/>
    <w:rsid w:val="00655B83"/>
    <w:rsid w:val="00655C37"/>
    <w:rsid w:val="00655C52"/>
    <w:rsid w:val="00655CA3"/>
    <w:rsid w:val="00655D36"/>
    <w:rsid w:val="00655D89"/>
    <w:rsid w:val="00655D90"/>
    <w:rsid w:val="00655DCF"/>
    <w:rsid w:val="00655E62"/>
    <w:rsid w:val="00655E8B"/>
    <w:rsid w:val="00655F5C"/>
    <w:rsid w:val="00655FD3"/>
    <w:rsid w:val="0065607E"/>
    <w:rsid w:val="0065610B"/>
    <w:rsid w:val="006561E3"/>
    <w:rsid w:val="00656282"/>
    <w:rsid w:val="0065628D"/>
    <w:rsid w:val="006563FD"/>
    <w:rsid w:val="00656414"/>
    <w:rsid w:val="00656434"/>
    <w:rsid w:val="006564CF"/>
    <w:rsid w:val="006565B5"/>
    <w:rsid w:val="0065665B"/>
    <w:rsid w:val="006566C1"/>
    <w:rsid w:val="006566C6"/>
    <w:rsid w:val="0065681E"/>
    <w:rsid w:val="006568B1"/>
    <w:rsid w:val="006568D1"/>
    <w:rsid w:val="0065692A"/>
    <w:rsid w:val="006569C0"/>
    <w:rsid w:val="00656A04"/>
    <w:rsid w:val="00656B35"/>
    <w:rsid w:val="00656B6C"/>
    <w:rsid w:val="00656B9C"/>
    <w:rsid w:val="00656D33"/>
    <w:rsid w:val="00656E13"/>
    <w:rsid w:val="00656ECF"/>
    <w:rsid w:val="00656F10"/>
    <w:rsid w:val="00656F77"/>
    <w:rsid w:val="00656FA5"/>
    <w:rsid w:val="00657032"/>
    <w:rsid w:val="00657054"/>
    <w:rsid w:val="00657108"/>
    <w:rsid w:val="00657113"/>
    <w:rsid w:val="00657216"/>
    <w:rsid w:val="0065729D"/>
    <w:rsid w:val="00657364"/>
    <w:rsid w:val="0065738D"/>
    <w:rsid w:val="00657393"/>
    <w:rsid w:val="006574EA"/>
    <w:rsid w:val="00657509"/>
    <w:rsid w:val="00657604"/>
    <w:rsid w:val="00657680"/>
    <w:rsid w:val="006576A0"/>
    <w:rsid w:val="0065776E"/>
    <w:rsid w:val="006577F6"/>
    <w:rsid w:val="0065788F"/>
    <w:rsid w:val="0065789E"/>
    <w:rsid w:val="006578A6"/>
    <w:rsid w:val="006578D4"/>
    <w:rsid w:val="00657958"/>
    <w:rsid w:val="006579A5"/>
    <w:rsid w:val="006579C1"/>
    <w:rsid w:val="00657A1E"/>
    <w:rsid w:val="00657A8C"/>
    <w:rsid w:val="00657B9D"/>
    <w:rsid w:val="00657C8D"/>
    <w:rsid w:val="00657DAA"/>
    <w:rsid w:val="00657E6D"/>
    <w:rsid w:val="00657F67"/>
    <w:rsid w:val="00657FD6"/>
    <w:rsid w:val="00660010"/>
    <w:rsid w:val="00660262"/>
    <w:rsid w:val="00660480"/>
    <w:rsid w:val="006604C3"/>
    <w:rsid w:val="006604FB"/>
    <w:rsid w:val="00660513"/>
    <w:rsid w:val="0066059A"/>
    <w:rsid w:val="006605F2"/>
    <w:rsid w:val="00660625"/>
    <w:rsid w:val="00660713"/>
    <w:rsid w:val="0066072B"/>
    <w:rsid w:val="006607A0"/>
    <w:rsid w:val="0066088B"/>
    <w:rsid w:val="00660919"/>
    <w:rsid w:val="006609DB"/>
    <w:rsid w:val="00660A9D"/>
    <w:rsid w:val="00660C36"/>
    <w:rsid w:val="00660C49"/>
    <w:rsid w:val="00660C4A"/>
    <w:rsid w:val="00660CE4"/>
    <w:rsid w:val="00660D89"/>
    <w:rsid w:val="00660DA9"/>
    <w:rsid w:val="00660EC3"/>
    <w:rsid w:val="00660F49"/>
    <w:rsid w:val="00660F86"/>
    <w:rsid w:val="00660FD8"/>
    <w:rsid w:val="00660FFC"/>
    <w:rsid w:val="00661001"/>
    <w:rsid w:val="00661117"/>
    <w:rsid w:val="00661158"/>
    <w:rsid w:val="00661504"/>
    <w:rsid w:val="006615BC"/>
    <w:rsid w:val="0066172A"/>
    <w:rsid w:val="00661803"/>
    <w:rsid w:val="00661841"/>
    <w:rsid w:val="006619A9"/>
    <w:rsid w:val="006619BB"/>
    <w:rsid w:val="00661A36"/>
    <w:rsid w:val="00661AAF"/>
    <w:rsid w:val="00661B08"/>
    <w:rsid w:val="00661C5C"/>
    <w:rsid w:val="00661C8A"/>
    <w:rsid w:val="00661CBD"/>
    <w:rsid w:val="00661DAD"/>
    <w:rsid w:val="00661E45"/>
    <w:rsid w:val="00662011"/>
    <w:rsid w:val="0066202D"/>
    <w:rsid w:val="00662185"/>
    <w:rsid w:val="0066218B"/>
    <w:rsid w:val="00662270"/>
    <w:rsid w:val="00662298"/>
    <w:rsid w:val="00662357"/>
    <w:rsid w:val="00662382"/>
    <w:rsid w:val="006623F4"/>
    <w:rsid w:val="0066248B"/>
    <w:rsid w:val="006625E3"/>
    <w:rsid w:val="006625E9"/>
    <w:rsid w:val="00662646"/>
    <w:rsid w:val="00662656"/>
    <w:rsid w:val="00662681"/>
    <w:rsid w:val="006626D6"/>
    <w:rsid w:val="00662793"/>
    <w:rsid w:val="006627A8"/>
    <w:rsid w:val="006628D4"/>
    <w:rsid w:val="0066293B"/>
    <w:rsid w:val="006629F7"/>
    <w:rsid w:val="00662A6E"/>
    <w:rsid w:val="00662B5B"/>
    <w:rsid w:val="00662DDE"/>
    <w:rsid w:val="00662E3F"/>
    <w:rsid w:val="00662E7B"/>
    <w:rsid w:val="00662E82"/>
    <w:rsid w:val="00662E98"/>
    <w:rsid w:val="00662EF8"/>
    <w:rsid w:val="00662F2E"/>
    <w:rsid w:val="00662FA1"/>
    <w:rsid w:val="00662FD8"/>
    <w:rsid w:val="0066306F"/>
    <w:rsid w:val="0066308B"/>
    <w:rsid w:val="0066309F"/>
    <w:rsid w:val="006630B1"/>
    <w:rsid w:val="00663192"/>
    <w:rsid w:val="00663222"/>
    <w:rsid w:val="0066341C"/>
    <w:rsid w:val="0066341D"/>
    <w:rsid w:val="006634D4"/>
    <w:rsid w:val="00663501"/>
    <w:rsid w:val="0066352E"/>
    <w:rsid w:val="006635A2"/>
    <w:rsid w:val="00663899"/>
    <w:rsid w:val="006639EB"/>
    <w:rsid w:val="00663A00"/>
    <w:rsid w:val="00663A5E"/>
    <w:rsid w:val="00663B96"/>
    <w:rsid w:val="00663BCD"/>
    <w:rsid w:val="00663D4C"/>
    <w:rsid w:val="00663E74"/>
    <w:rsid w:val="00663EAC"/>
    <w:rsid w:val="00663ED1"/>
    <w:rsid w:val="00663ED4"/>
    <w:rsid w:val="00663EEB"/>
    <w:rsid w:val="00663EF2"/>
    <w:rsid w:val="00663F05"/>
    <w:rsid w:val="00663F10"/>
    <w:rsid w:val="006640EC"/>
    <w:rsid w:val="00664270"/>
    <w:rsid w:val="00664281"/>
    <w:rsid w:val="006642B3"/>
    <w:rsid w:val="00664386"/>
    <w:rsid w:val="006643EE"/>
    <w:rsid w:val="006644BF"/>
    <w:rsid w:val="006644E7"/>
    <w:rsid w:val="00664564"/>
    <w:rsid w:val="00664647"/>
    <w:rsid w:val="00664800"/>
    <w:rsid w:val="0066480C"/>
    <w:rsid w:val="006648D2"/>
    <w:rsid w:val="006648E1"/>
    <w:rsid w:val="006648F3"/>
    <w:rsid w:val="006649B5"/>
    <w:rsid w:val="00664A46"/>
    <w:rsid w:val="00664A5F"/>
    <w:rsid w:val="00664B13"/>
    <w:rsid w:val="00664B39"/>
    <w:rsid w:val="00664B8D"/>
    <w:rsid w:val="00664BB4"/>
    <w:rsid w:val="00664C5E"/>
    <w:rsid w:val="00664C84"/>
    <w:rsid w:val="00664DBA"/>
    <w:rsid w:val="00664DDF"/>
    <w:rsid w:val="00664E3E"/>
    <w:rsid w:val="00664E48"/>
    <w:rsid w:val="00664EEC"/>
    <w:rsid w:val="00664F28"/>
    <w:rsid w:val="00665095"/>
    <w:rsid w:val="006650FA"/>
    <w:rsid w:val="0066518B"/>
    <w:rsid w:val="00665239"/>
    <w:rsid w:val="006652C4"/>
    <w:rsid w:val="006652FF"/>
    <w:rsid w:val="0066538B"/>
    <w:rsid w:val="006654A8"/>
    <w:rsid w:val="0066552D"/>
    <w:rsid w:val="0066559E"/>
    <w:rsid w:val="00665643"/>
    <w:rsid w:val="006657C4"/>
    <w:rsid w:val="006657E8"/>
    <w:rsid w:val="00665A69"/>
    <w:rsid w:val="00665B86"/>
    <w:rsid w:val="00665BDF"/>
    <w:rsid w:val="00665C15"/>
    <w:rsid w:val="00665CE9"/>
    <w:rsid w:val="00665D0E"/>
    <w:rsid w:val="00665D0F"/>
    <w:rsid w:val="00665D61"/>
    <w:rsid w:val="00665E0F"/>
    <w:rsid w:val="00665E74"/>
    <w:rsid w:val="00665F57"/>
    <w:rsid w:val="00665F63"/>
    <w:rsid w:val="006660B0"/>
    <w:rsid w:val="006660C4"/>
    <w:rsid w:val="006660EC"/>
    <w:rsid w:val="006661C8"/>
    <w:rsid w:val="006661F2"/>
    <w:rsid w:val="00666247"/>
    <w:rsid w:val="00666341"/>
    <w:rsid w:val="00666373"/>
    <w:rsid w:val="006663D1"/>
    <w:rsid w:val="0066640D"/>
    <w:rsid w:val="006664E1"/>
    <w:rsid w:val="00666642"/>
    <w:rsid w:val="0066668E"/>
    <w:rsid w:val="0066671C"/>
    <w:rsid w:val="00666743"/>
    <w:rsid w:val="00666789"/>
    <w:rsid w:val="0066679A"/>
    <w:rsid w:val="00666828"/>
    <w:rsid w:val="0066694E"/>
    <w:rsid w:val="00666A90"/>
    <w:rsid w:val="00666BCB"/>
    <w:rsid w:val="00666BD6"/>
    <w:rsid w:val="00666C1D"/>
    <w:rsid w:val="00666EE1"/>
    <w:rsid w:val="00666F84"/>
    <w:rsid w:val="00667004"/>
    <w:rsid w:val="00667022"/>
    <w:rsid w:val="00667040"/>
    <w:rsid w:val="006671B9"/>
    <w:rsid w:val="006671D0"/>
    <w:rsid w:val="00667311"/>
    <w:rsid w:val="00667327"/>
    <w:rsid w:val="006673A4"/>
    <w:rsid w:val="006673E3"/>
    <w:rsid w:val="0066745A"/>
    <w:rsid w:val="006674CF"/>
    <w:rsid w:val="0066759C"/>
    <w:rsid w:val="00667639"/>
    <w:rsid w:val="00667695"/>
    <w:rsid w:val="0066791D"/>
    <w:rsid w:val="00667B64"/>
    <w:rsid w:val="00667BD8"/>
    <w:rsid w:val="00667BFC"/>
    <w:rsid w:val="00667CB7"/>
    <w:rsid w:val="00667CBB"/>
    <w:rsid w:val="00667CD8"/>
    <w:rsid w:val="00667DC6"/>
    <w:rsid w:val="00667E8B"/>
    <w:rsid w:val="006701D3"/>
    <w:rsid w:val="00670323"/>
    <w:rsid w:val="0067050C"/>
    <w:rsid w:val="00670590"/>
    <w:rsid w:val="0067059F"/>
    <w:rsid w:val="006706F6"/>
    <w:rsid w:val="006707B9"/>
    <w:rsid w:val="00670865"/>
    <w:rsid w:val="0067088A"/>
    <w:rsid w:val="00670982"/>
    <w:rsid w:val="00670A7F"/>
    <w:rsid w:val="00670ABD"/>
    <w:rsid w:val="00670B89"/>
    <w:rsid w:val="00670B8D"/>
    <w:rsid w:val="00670BAF"/>
    <w:rsid w:val="00670BED"/>
    <w:rsid w:val="00670C0A"/>
    <w:rsid w:val="00670CD4"/>
    <w:rsid w:val="00670D65"/>
    <w:rsid w:val="00670E49"/>
    <w:rsid w:val="00670E7D"/>
    <w:rsid w:val="00670ECE"/>
    <w:rsid w:val="00670F90"/>
    <w:rsid w:val="00670FEC"/>
    <w:rsid w:val="00671019"/>
    <w:rsid w:val="006711A9"/>
    <w:rsid w:val="00671293"/>
    <w:rsid w:val="00671310"/>
    <w:rsid w:val="00671418"/>
    <w:rsid w:val="00671512"/>
    <w:rsid w:val="006715B2"/>
    <w:rsid w:val="006716E8"/>
    <w:rsid w:val="0067185C"/>
    <w:rsid w:val="0067189F"/>
    <w:rsid w:val="0067193F"/>
    <w:rsid w:val="00671A3C"/>
    <w:rsid w:val="00671B7A"/>
    <w:rsid w:val="00671BF1"/>
    <w:rsid w:val="00671C8C"/>
    <w:rsid w:val="00671CD9"/>
    <w:rsid w:val="00671CDD"/>
    <w:rsid w:val="00671D41"/>
    <w:rsid w:val="00671D65"/>
    <w:rsid w:val="00671E9E"/>
    <w:rsid w:val="00671F98"/>
    <w:rsid w:val="00671FAB"/>
    <w:rsid w:val="006720B5"/>
    <w:rsid w:val="006720E6"/>
    <w:rsid w:val="006720F2"/>
    <w:rsid w:val="0067221E"/>
    <w:rsid w:val="0067231F"/>
    <w:rsid w:val="00672407"/>
    <w:rsid w:val="00672411"/>
    <w:rsid w:val="0067245D"/>
    <w:rsid w:val="006724E6"/>
    <w:rsid w:val="00672519"/>
    <w:rsid w:val="00672537"/>
    <w:rsid w:val="00672597"/>
    <w:rsid w:val="0067270D"/>
    <w:rsid w:val="006727F0"/>
    <w:rsid w:val="0067280D"/>
    <w:rsid w:val="00672907"/>
    <w:rsid w:val="006729E5"/>
    <w:rsid w:val="006729ED"/>
    <w:rsid w:val="00672A1F"/>
    <w:rsid w:val="00672ADA"/>
    <w:rsid w:val="00672B0E"/>
    <w:rsid w:val="00672BE3"/>
    <w:rsid w:val="00672C70"/>
    <w:rsid w:val="00672C9C"/>
    <w:rsid w:val="00672CF7"/>
    <w:rsid w:val="00672D35"/>
    <w:rsid w:val="00672EDE"/>
    <w:rsid w:val="00672F9A"/>
    <w:rsid w:val="00672FAC"/>
    <w:rsid w:val="00672FDB"/>
    <w:rsid w:val="00673188"/>
    <w:rsid w:val="006732CB"/>
    <w:rsid w:val="00673411"/>
    <w:rsid w:val="0067352A"/>
    <w:rsid w:val="0067364E"/>
    <w:rsid w:val="006736E3"/>
    <w:rsid w:val="006737D0"/>
    <w:rsid w:val="00673808"/>
    <w:rsid w:val="0067382E"/>
    <w:rsid w:val="0067389E"/>
    <w:rsid w:val="0067392E"/>
    <w:rsid w:val="0067392F"/>
    <w:rsid w:val="006739FA"/>
    <w:rsid w:val="00673A2E"/>
    <w:rsid w:val="00673A39"/>
    <w:rsid w:val="00673B58"/>
    <w:rsid w:val="00673C65"/>
    <w:rsid w:val="00673C9E"/>
    <w:rsid w:val="00673CD1"/>
    <w:rsid w:val="00673D59"/>
    <w:rsid w:val="00673D69"/>
    <w:rsid w:val="00673DD4"/>
    <w:rsid w:val="006740CA"/>
    <w:rsid w:val="0067420B"/>
    <w:rsid w:val="0067424A"/>
    <w:rsid w:val="00674263"/>
    <w:rsid w:val="00674363"/>
    <w:rsid w:val="006744AA"/>
    <w:rsid w:val="006745C9"/>
    <w:rsid w:val="00674608"/>
    <w:rsid w:val="0067461A"/>
    <w:rsid w:val="0067468D"/>
    <w:rsid w:val="006746C8"/>
    <w:rsid w:val="006746D3"/>
    <w:rsid w:val="006747C5"/>
    <w:rsid w:val="00674809"/>
    <w:rsid w:val="00674907"/>
    <w:rsid w:val="00674A5B"/>
    <w:rsid w:val="00674C78"/>
    <w:rsid w:val="00674E8F"/>
    <w:rsid w:val="00674F28"/>
    <w:rsid w:val="00675096"/>
    <w:rsid w:val="0067516D"/>
    <w:rsid w:val="00675273"/>
    <w:rsid w:val="00675295"/>
    <w:rsid w:val="006752AF"/>
    <w:rsid w:val="006753AE"/>
    <w:rsid w:val="00675410"/>
    <w:rsid w:val="006754AA"/>
    <w:rsid w:val="006754BF"/>
    <w:rsid w:val="00675593"/>
    <w:rsid w:val="006755CA"/>
    <w:rsid w:val="006756A3"/>
    <w:rsid w:val="00675740"/>
    <w:rsid w:val="00675855"/>
    <w:rsid w:val="006758D7"/>
    <w:rsid w:val="00675943"/>
    <w:rsid w:val="006759F7"/>
    <w:rsid w:val="00675A18"/>
    <w:rsid w:val="00675A5C"/>
    <w:rsid w:val="00675A9A"/>
    <w:rsid w:val="00675BB1"/>
    <w:rsid w:val="00675E8D"/>
    <w:rsid w:val="00675EDA"/>
    <w:rsid w:val="00675F5F"/>
    <w:rsid w:val="00675F74"/>
    <w:rsid w:val="00675F97"/>
    <w:rsid w:val="006762D7"/>
    <w:rsid w:val="00676313"/>
    <w:rsid w:val="0067631D"/>
    <w:rsid w:val="0067641C"/>
    <w:rsid w:val="006765C2"/>
    <w:rsid w:val="006765EF"/>
    <w:rsid w:val="0067663C"/>
    <w:rsid w:val="00676700"/>
    <w:rsid w:val="00676739"/>
    <w:rsid w:val="00676830"/>
    <w:rsid w:val="00676922"/>
    <w:rsid w:val="00676975"/>
    <w:rsid w:val="006769D2"/>
    <w:rsid w:val="006769E8"/>
    <w:rsid w:val="00676A20"/>
    <w:rsid w:val="00676C76"/>
    <w:rsid w:val="00676DCC"/>
    <w:rsid w:val="00676DF8"/>
    <w:rsid w:val="00676E4B"/>
    <w:rsid w:val="00676E6C"/>
    <w:rsid w:val="0067718F"/>
    <w:rsid w:val="0067730B"/>
    <w:rsid w:val="006773DF"/>
    <w:rsid w:val="006774AD"/>
    <w:rsid w:val="006774E1"/>
    <w:rsid w:val="006774FD"/>
    <w:rsid w:val="00677674"/>
    <w:rsid w:val="00677706"/>
    <w:rsid w:val="0067779B"/>
    <w:rsid w:val="00677883"/>
    <w:rsid w:val="006779B0"/>
    <w:rsid w:val="00677ACC"/>
    <w:rsid w:val="00677AD4"/>
    <w:rsid w:val="00677AEE"/>
    <w:rsid w:val="00677B93"/>
    <w:rsid w:val="00677BAE"/>
    <w:rsid w:val="00677D0E"/>
    <w:rsid w:val="00677D7E"/>
    <w:rsid w:val="00677DF0"/>
    <w:rsid w:val="00677ECE"/>
    <w:rsid w:val="00677F57"/>
    <w:rsid w:val="006800A2"/>
    <w:rsid w:val="00680101"/>
    <w:rsid w:val="0068016E"/>
    <w:rsid w:val="006803A0"/>
    <w:rsid w:val="006803AE"/>
    <w:rsid w:val="00680406"/>
    <w:rsid w:val="00680451"/>
    <w:rsid w:val="00680478"/>
    <w:rsid w:val="006804FD"/>
    <w:rsid w:val="0068059B"/>
    <w:rsid w:val="00680621"/>
    <w:rsid w:val="006807CE"/>
    <w:rsid w:val="00680816"/>
    <w:rsid w:val="00680828"/>
    <w:rsid w:val="00680872"/>
    <w:rsid w:val="0068096A"/>
    <w:rsid w:val="006809A9"/>
    <w:rsid w:val="006809CF"/>
    <w:rsid w:val="00680AF4"/>
    <w:rsid w:val="00680BEE"/>
    <w:rsid w:val="00680CB4"/>
    <w:rsid w:val="00680CD1"/>
    <w:rsid w:val="0068101F"/>
    <w:rsid w:val="00681086"/>
    <w:rsid w:val="0068108A"/>
    <w:rsid w:val="00681124"/>
    <w:rsid w:val="006811C7"/>
    <w:rsid w:val="006811E5"/>
    <w:rsid w:val="006812B8"/>
    <w:rsid w:val="0068130E"/>
    <w:rsid w:val="006813DF"/>
    <w:rsid w:val="00681407"/>
    <w:rsid w:val="0068168E"/>
    <w:rsid w:val="006818A5"/>
    <w:rsid w:val="0068190F"/>
    <w:rsid w:val="00681B16"/>
    <w:rsid w:val="00681C75"/>
    <w:rsid w:val="00681D84"/>
    <w:rsid w:val="00681DA1"/>
    <w:rsid w:val="00681DC0"/>
    <w:rsid w:val="00681F85"/>
    <w:rsid w:val="0068203B"/>
    <w:rsid w:val="00682221"/>
    <w:rsid w:val="00682264"/>
    <w:rsid w:val="0068236C"/>
    <w:rsid w:val="006823F8"/>
    <w:rsid w:val="0068240A"/>
    <w:rsid w:val="00682412"/>
    <w:rsid w:val="00682441"/>
    <w:rsid w:val="00682551"/>
    <w:rsid w:val="006825C3"/>
    <w:rsid w:val="00682777"/>
    <w:rsid w:val="006827BE"/>
    <w:rsid w:val="00682815"/>
    <w:rsid w:val="006828BB"/>
    <w:rsid w:val="0068291A"/>
    <w:rsid w:val="0068292C"/>
    <w:rsid w:val="00682B5C"/>
    <w:rsid w:val="00682B68"/>
    <w:rsid w:val="00682B97"/>
    <w:rsid w:val="00682CA9"/>
    <w:rsid w:val="00682D6E"/>
    <w:rsid w:val="00682D71"/>
    <w:rsid w:val="00682D8D"/>
    <w:rsid w:val="00682D9E"/>
    <w:rsid w:val="00682DB3"/>
    <w:rsid w:val="00682DBE"/>
    <w:rsid w:val="00682E5F"/>
    <w:rsid w:val="00682F55"/>
    <w:rsid w:val="00682FA7"/>
    <w:rsid w:val="00683057"/>
    <w:rsid w:val="0068310F"/>
    <w:rsid w:val="00683137"/>
    <w:rsid w:val="0068316F"/>
    <w:rsid w:val="006831D2"/>
    <w:rsid w:val="006831EF"/>
    <w:rsid w:val="00683277"/>
    <w:rsid w:val="006833CF"/>
    <w:rsid w:val="006833FE"/>
    <w:rsid w:val="006834DE"/>
    <w:rsid w:val="00683511"/>
    <w:rsid w:val="006835AD"/>
    <w:rsid w:val="00683603"/>
    <w:rsid w:val="006836A6"/>
    <w:rsid w:val="00683817"/>
    <w:rsid w:val="00683A2E"/>
    <w:rsid w:val="00683A81"/>
    <w:rsid w:val="00683B0E"/>
    <w:rsid w:val="00683B42"/>
    <w:rsid w:val="00683BED"/>
    <w:rsid w:val="00683BF4"/>
    <w:rsid w:val="00683C92"/>
    <w:rsid w:val="00683E36"/>
    <w:rsid w:val="00683EEB"/>
    <w:rsid w:val="00683F9D"/>
    <w:rsid w:val="00683FB3"/>
    <w:rsid w:val="00684076"/>
    <w:rsid w:val="0068408A"/>
    <w:rsid w:val="00684194"/>
    <w:rsid w:val="0068420D"/>
    <w:rsid w:val="0068439C"/>
    <w:rsid w:val="0068445C"/>
    <w:rsid w:val="0068445F"/>
    <w:rsid w:val="00684582"/>
    <w:rsid w:val="00684662"/>
    <w:rsid w:val="00684734"/>
    <w:rsid w:val="00684831"/>
    <w:rsid w:val="00684851"/>
    <w:rsid w:val="006848A2"/>
    <w:rsid w:val="006848C8"/>
    <w:rsid w:val="00684929"/>
    <w:rsid w:val="00684957"/>
    <w:rsid w:val="00684985"/>
    <w:rsid w:val="00684A03"/>
    <w:rsid w:val="00684D7E"/>
    <w:rsid w:val="00684DDE"/>
    <w:rsid w:val="00684E26"/>
    <w:rsid w:val="00684E77"/>
    <w:rsid w:val="0068501E"/>
    <w:rsid w:val="0068527E"/>
    <w:rsid w:val="0068529A"/>
    <w:rsid w:val="00685317"/>
    <w:rsid w:val="00685343"/>
    <w:rsid w:val="006854CB"/>
    <w:rsid w:val="006854F4"/>
    <w:rsid w:val="0068558D"/>
    <w:rsid w:val="006855BA"/>
    <w:rsid w:val="00685637"/>
    <w:rsid w:val="0068565C"/>
    <w:rsid w:val="00685778"/>
    <w:rsid w:val="006857C5"/>
    <w:rsid w:val="006858F4"/>
    <w:rsid w:val="00685A6C"/>
    <w:rsid w:val="00685A7B"/>
    <w:rsid w:val="00685B53"/>
    <w:rsid w:val="00685B63"/>
    <w:rsid w:val="00685B7F"/>
    <w:rsid w:val="00685BF4"/>
    <w:rsid w:val="00685C46"/>
    <w:rsid w:val="00685DAF"/>
    <w:rsid w:val="006860BE"/>
    <w:rsid w:val="006860E5"/>
    <w:rsid w:val="00686245"/>
    <w:rsid w:val="0068626B"/>
    <w:rsid w:val="00686431"/>
    <w:rsid w:val="00686487"/>
    <w:rsid w:val="0068658E"/>
    <w:rsid w:val="006866B1"/>
    <w:rsid w:val="006866C7"/>
    <w:rsid w:val="00686751"/>
    <w:rsid w:val="006867DD"/>
    <w:rsid w:val="006867F4"/>
    <w:rsid w:val="00686919"/>
    <w:rsid w:val="00686A2A"/>
    <w:rsid w:val="00686A3E"/>
    <w:rsid w:val="00686A73"/>
    <w:rsid w:val="00686A79"/>
    <w:rsid w:val="00686A81"/>
    <w:rsid w:val="00686AA1"/>
    <w:rsid w:val="00686BD0"/>
    <w:rsid w:val="00686C1C"/>
    <w:rsid w:val="00686C25"/>
    <w:rsid w:val="00686CDE"/>
    <w:rsid w:val="00686DAF"/>
    <w:rsid w:val="00686E2F"/>
    <w:rsid w:val="00686E60"/>
    <w:rsid w:val="00686ED2"/>
    <w:rsid w:val="00686EE5"/>
    <w:rsid w:val="00686F00"/>
    <w:rsid w:val="00686F0E"/>
    <w:rsid w:val="00686FE8"/>
    <w:rsid w:val="0068707A"/>
    <w:rsid w:val="00687094"/>
    <w:rsid w:val="006871B7"/>
    <w:rsid w:val="00687207"/>
    <w:rsid w:val="006872C7"/>
    <w:rsid w:val="006872E5"/>
    <w:rsid w:val="00687354"/>
    <w:rsid w:val="0068738B"/>
    <w:rsid w:val="00687415"/>
    <w:rsid w:val="0068749B"/>
    <w:rsid w:val="006874ED"/>
    <w:rsid w:val="0068755D"/>
    <w:rsid w:val="00687560"/>
    <w:rsid w:val="0068769D"/>
    <w:rsid w:val="00687718"/>
    <w:rsid w:val="00687760"/>
    <w:rsid w:val="0068782A"/>
    <w:rsid w:val="00687890"/>
    <w:rsid w:val="00687899"/>
    <w:rsid w:val="00687929"/>
    <w:rsid w:val="006879D6"/>
    <w:rsid w:val="00687A65"/>
    <w:rsid w:val="00687B24"/>
    <w:rsid w:val="00687CEE"/>
    <w:rsid w:val="00687D62"/>
    <w:rsid w:val="00687D6E"/>
    <w:rsid w:val="00687D6F"/>
    <w:rsid w:val="00687EFB"/>
    <w:rsid w:val="00687F15"/>
    <w:rsid w:val="00687F26"/>
    <w:rsid w:val="0069006A"/>
    <w:rsid w:val="0069008F"/>
    <w:rsid w:val="00690195"/>
    <w:rsid w:val="006901A0"/>
    <w:rsid w:val="006901FC"/>
    <w:rsid w:val="0069027B"/>
    <w:rsid w:val="006902A0"/>
    <w:rsid w:val="00690335"/>
    <w:rsid w:val="0069036B"/>
    <w:rsid w:val="00690662"/>
    <w:rsid w:val="0069068A"/>
    <w:rsid w:val="00690690"/>
    <w:rsid w:val="00690804"/>
    <w:rsid w:val="00690884"/>
    <w:rsid w:val="006908A8"/>
    <w:rsid w:val="006908A9"/>
    <w:rsid w:val="0069093E"/>
    <w:rsid w:val="0069095F"/>
    <w:rsid w:val="00690A6A"/>
    <w:rsid w:val="00690C05"/>
    <w:rsid w:val="00690D3D"/>
    <w:rsid w:val="00690D7E"/>
    <w:rsid w:val="00690D92"/>
    <w:rsid w:val="00690E06"/>
    <w:rsid w:val="00690E49"/>
    <w:rsid w:val="00690E93"/>
    <w:rsid w:val="00690F4F"/>
    <w:rsid w:val="0069101F"/>
    <w:rsid w:val="006910AD"/>
    <w:rsid w:val="0069113E"/>
    <w:rsid w:val="006912F4"/>
    <w:rsid w:val="00691331"/>
    <w:rsid w:val="00691343"/>
    <w:rsid w:val="0069137F"/>
    <w:rsid w:val="00691431"/>
    <w:rsid w:val="006915D0"/>
    <w:rsid w:val="00691603"/>
    <w:rsid w:val="006916EA"/>
    <w:rsid w:val="006916EF"/>
    <w:rsid w:val="0069170C"/>
    <w:rsid w:val="00691712"/>
    <w:rsid w:val="00691724"/>
    <w:rsid w:val="00691796"/>
    <w:rsid w:val="006917D1"/>
    <w:rsid w:val="006918A8"/>
    <w:rsid w:val="00691995"/>
    <w:rsid w:val="006919C2"/>
    <w:rsid w:val="006919E2"/>
    <w:rsid w:val="00691AFD"/>
    <w:rsid w:val="00691B6D"/>
    <w:rsid w:val="00691C46"/>
    <w:rsid w:val="00691C52"/>
    <w:rsid w:val="00691D72"/>
    <w:rsid w:val="00691EC5"/>
    <w:rsid w:val="00691EF7"/>
    <w:rsid w:val="00692035"/>
    <w:rsid w:val="00692182"/>
    <w:rsid w:val="006921C7"/>
    <w:rsid w:val="0069222F"/>
    <w:rsid w:val="0069223C"/>
    <w:rsid w:val="0069224F"/>
    <w:rsid w:val="006922B4"/>
    <w:rsid w:val="006922FF"/>
    <w:rsid w:val="006923E1"/>
    <w:rsid w:val="006924DC"/>
    <w:rsid w:val="0069259B"/>
    <w:rsid w:val="00692629"/>
    <w:rsid w:val="00692647"/>
    <w:rsid w:val="006926A8"/>
    <w:rsid w:val="006926D1"/>
    <w:rsid w:val="00692719"/>
    <w:rsid w:val="00692744"/>
    <w:rsid w:val="00692AA9"/>
    <w:rsid w:val="00692ADE"/>
    <w:rsid w:val="00692B0B"/>
    <w:rsid w:val="00692B54"/>
    <w:rsid w:val="00692B6D"/>
    <w:rsid w:val="00692B8E"/>
    <w:rsid w:val="00692CE0"/>
    <w:rsid w:val="00692D09"/>
    <w:rsid w:val="00692D5E"/>
    <w:rsid w:val="00692D80"/>
    <w:rsid w:val="00692DCB"/>
    <w:rsid w:val="00692E3C"/>
    <w:rsid w:val="00693019"/>
    <w:rsid w:val="00693021"/>
    <w:rsid w:val="00693031"/>
    <w:rsid w:val="0069303E"/>
    <w:rsid w:val="006930D0"/>
    <w:rsid w:val="0069324D"/>
    <w:rsid w:val="006932D1"/>
    <w:rsid w:val="00693370"/>
    <w:rsid w:val="00693377"/>
    <w:rsid w:val="00693382"/>
    <w:rsid w:val="006933C4"/>
    <w:rsid w:val="006934D6"/>
    <w:rsid w:val="006935CF"/>
    <w:rsid w:val="00693625"/>
    <w:rsid w:val="0069369A"/>
    <w:rsid w:val="006937C2"/>
    <w:rsid w:val="006937CC"/>
    <w:rsid w:val="0069383F"/>
    <w:rsid w:val="0069389E"/>
    <w:rsid w:val="00693A83"/>
    <w:rsid w:val="00693BEC"/>
    <w:rsid w:val="00693C1C"/>
    <w:rsid w:val="00693C81"/>
    <w:rsid w:val="00693CB0"/>
    <w:rsid w:val="00693CDF"/>
    <w:rsid w:val="00693CF9"/>
    <w:rsid w:val="00693DD2"/>
    <w:rsid w:val="00693E3E"/>
    <w:rsid w:val="00693E6B"/>
    <w:rsid w:val="00693F13"/>
    <w:rsid w:val="00693F3B"/>
    <w:rsid w:val="00694146"/>
    <w:rsid w:val="0069419C"/>
    <w:rsid w:val="006941B8"/>
    <w:rsid w:val="0069428B"/>
    <w:rsid w:val="00694301"/>
    <w:rsid w:val="006943B2"/>
    <w:rsid w:val="00694400"/>
    <w:rsid w:val="00694653"/>
    <w:rsid w:val="00694690"/>
    <w:rsid w:val="006946D1"/>
    <w:rsid w:val="006946EB"/>
    <w:rsid w:val="0069479D"/>
    <w:rsid w:val="006947EE"/>
    <w:rsid w:val="0069498D"/>
    <w:rsid w:val="006949EA"/>
    <w:rsid w:val="00694AC8"/>
    <w:rsid w:val="00694AE3"/>
    <w:rsid w:val="00694AFF"/>
    <w:rsid w:val="00694C0B"/>
    <w:rsid w:val="00694CCD"/>
    <w:rsid w:val="00694DF6"/>
    <w:rsid w:val="00694FBC"/>
    <w:rsid w:val="00694FF2"/>
    <w:rsid w:val="00695054"/>
    <w:rsid w:val="0069507A"/>
    <w:rsid w:val="006950DD"/>
    <w:rsid w:val="00695145"/>
    <w:rsid w:val="00695191"/>
    <w:rsid w:val="006951A6"/>
    <w:rsid w:val="00695236"/>
    <w:rsid w:val="006952D9"/>
    <w:rsid w:val="00695329"/>
    <w:rsid w:val="00695411"/>
    <w:rsid w:val="00695584"/>
    <w:rsid w:val="0069560B"/>
    <w:rsid w:val="0069563A"/>
    <w:rsid w:val="00695781"/>
    <w:rsid w:val="00695837"/>
    <w:rsid w:val="006958A9"/>
    <w:rsid w:val="0069590D"/>
    <w:rsid w:val="00695AA6"/>
    <w:rsid w:val="00695AF0"/>
    <w:rsid w:val="00695BDA"/>
    <w:rsid w:val="00695C4D"/>
    <w:rsid w:val="00695C6F"/>
    <w:rsid w:val="00695CC5"/>
    <w:rsid w:val="00695D27"/>
    <w:rsid w:val="00695E1D"/>
    <w:rsid w:val="00695E33"/>
    <w:rsid w:val="00695E7A"/>
    <w:rsid w:val="00695F4D"/>
    <w:rsid w:val="00696009"/>
    <w:rsid w:val="00696151"/>
    <w:rsid w:val="0069617C"/>
    <w:rsid w:val="006962EE"/>
    <w:rsid w:val="006965C1"/>
    <w:rsid w:val="006966A8"/>
    <w:rsid w:val="006966F2"/>
    <w:rsid w:val="00696731"/>
    <w:rsid w:val="0069693E"/>
    <w:rsid w:val="0069695B"/>
    <w:rsid w:val="00696970"/>
    <w:rsid w:val="006969CC"/>
    <w:rsid w:val="00696A91"/>
    <w:rsid w:val="00696AA2"/>
    <w:rsid w:val="00696AA3"/>
    <w:rsid w:val="00696BCD"/>
    <w:rsid w:val="00696BE6"/>
    <w:rsid w:val="00696D97"/>
    <w:rsid w:val="00696DCF"/>
    <w:rsid w:val="00696E42"/>
    <w:rsid w:val="00696E70"/>
    <w:rsid w:val="00696E74"/>
    <w:rsid w:val="00696EDF"/>
    <w:rsid w:val="00696F0A"/>
    <w:rsid w:val="00696F47"/>
    <w:rsid w:val="00697008"/>
    <w:rsid w:val="00697034"/>
    <w:rsid w:val="00697071"/>
    <w:rsid w:val="006970A0"/>
    <w:rsid w:val="006970BE"/>
    <w:rsid w:val="0069710E"/>
    <w:rsid w:val="006971A8"/>
    <w:rsid w:val="006971CA"/>
    <w:rsid w:val="006971D1"/>
    <w:rsid w:val="00697266"/>
    <w:rsid w:val="006974D4"/>
    <w:rsid w:val="006975FC"/>
    <w:rsid w:val="0069768E"/>
    <w:rsid w:val="00697695"/>
    <w:rsid w:val="00697708"/>
    <w:rsid w:val="00697876"/>
    <w:rsid w:val="0069796E"/>
    <w:rsid w:val="00697A0D"/>
    <w:rsid w:val="00697A73"/>
    <w:rsid w:val="00697A78"/>
    <w:rsid w:val="00697B15"/>
    <w:rsid w:val="00697B6A"/>
    <w:rsid w:val="00697BEF"/>
    <w:rsid w:val="00697CBE"/>
    <w:rsid w:val="00697D2D"/>
    <w:rsid w:val="00697D8F"/>
    <w:rsid w:val="00697E00"/>
    <w:rsid w:val="00697ED9"/>
    <w:rsid w:val="00697F24"/>
    <w:rsid w:val="00697FD5"/>
    <w:rsid w:val="00697FF7"/>
    <w:rsid w:val="0069F6CA"/>
    <w:rsid w:val="006A00FF"/>
    <w:rsid w:val="006A0236"/>
    <w:rsid w:val="006A0297"/>
    <w:rsid w:val="006A050B"/>
    <w:rsid w:val="006A054B"/>
    <w:rsid w:val="006A0571"/>
    <w:rsid w:val="006A05D4"/>
    <w:rsid w:val="006A0693"/>
    <w:rsid w:val="006A06B1"/>
    <w:rsid w:val="006A0729"/>
    <w:rsid w:val="006A073F"/>
    <w:rsid w:val="006A076D"/>
    <w:rsid w:val="006A07A3"/>
    <w:rsid w:val="006A07FD"/>
    <w:rsid w:val="006A084C"/>
    <w:rsid w:val="006A08BE"/>
    <w:rsid w:val="006A0907"/>
    <w:rsid w:val="006A095C"/>
    <w:rsid w:val="006A0974"/>
    <w:rsid w:val="006A09A0"/>
    <w:rsid w:val="006A09DB"/>
    <w:rsid w:val="006A09FB"/>
    <w:rsid w:val="006A0A81"/>
    <w:rsid w:val="006A0B54"/>
    <w:rsid w:val="006A0C56"/>
    <w:rsid w:val="006A0CFB"/>
    <w:rsid w:val="006A0D57"/>
    <w:rsid w:val="006A0D83"/>
    <w:rsid w:val="006A0D8B"/>
    <w:rsid w:val="006A0DB1"/>
    <w:rsid w:val="006A0E01"/>
    <w:rsid w:val="006A0E14"/>
    <w:rsid w:val="006A0F0E"/>
    <w:rsid w:val="006A0FFF"/>
    <w:rsid w:val="006A102F"/>
    <w:rsid w:val="006A1058"/>
    <w:rsid w:val="006A122B"/>
    <w:rsid w:val="006A1236"/>
    <w:rsid w:val="006A135D"/>
    <w:rsid w:val="006A139C"/>
    <w:rsid w:val="006A15B6"/>
    <w:rsid w:val="006A1636"/>
    <w:rsid w:val="006A163E"/>
    <w:rsid w:val="006A164D"/>
    <w:rsid w:val="006A1698"/>
    <w:rsid w:val="006A177C"/>
    <w:rsid w:val="006A181C"/>
    <w:rsid w:val="006A1848"/>
    <w:rsid w:val="006A18E1"/>
    <w:rsid w:val="006A1941"/>
    <w:rsid w:val="006A1A2E"/>
    <w:rsid w:val="006A1A37"/>
    <w:rsid w:val="006A1B33"/>
    <w:rsid w:val="006A1B49"/>
    <w:rsid w:val="006A1CAA"/>
    <w:rsid w:val="006A1CB9"/>
    <w:rsid w:val="006A1D1E"/>
    <w:rsid w:val="006A1D90"/>
    <w:rsid w:val="006A1DED"/>
    <w:rsid w:val="006A1F12"/>
    <w:rsid w:val="006A1F1F"/>
    <w:rsid w:val="006A1F42"/>
    <w:rsid w:val="006A1F63"/>
    <w:rsid w:val="006A21C7"/>
    <w:rsid w:val="006A2206"/>
    <w:rsid w:val="006A223B"/>
    <w:rsid w:val="006A223D"/>
    <w:rsid w:val="006A229D"/>
    <w:rsid w:val="006A2303"/>
    <w:rsid w:val="006A2334"/>
    <w:rsid w:val="006A23AB"/>
    <w:rsid w:val="006A246B"/>
    <w:rsid w:val="006A2475"/>
    <w:rsid w:val="006A2477"/>
    <w:rsid w:val="006A24AF"/>
    <w:rsid w:val="006A2742"/>
    <w:rsid w:val="006A2869"/>
    <w:rsid w:val="006A28BB"/>
    <w:rsid w:val="006A28BD"/>
    <w:rsid w:val="006A2930"/>
    <w:rsid w:val="006A2966"/>
    <w:rsid w:val="006A2A32"/>
    <w:rsid w:val="006A2A67"/>
    <w:rsid w:val="006A2B02"/>
    <w:rsid w:val="006A2BDB"/>
    <w:rsid w:val="006A2C28"/>
    <w:rsid w:val="006A2D87"/>
    <w:rsid w:val="006A2D88"/>
    <w:rsid w:val="006A2EFA"/>
    <w:rsid w:val="006A2F17"/>
    <w:rsid w:val="006A2F1A"/>
    <w:rsid w:val="006A302D"/>
    <w:rsid w:val="006A30EB"/>
    <w:rsid w:val="006A3192"/>
    <w:rsid w:val="006A31BF"/>
    <w:rsid w:val="006A3245"/>
    <w:rsid w:val="006A32BA"/>
    <w:rsid w:val="006A32E4"/>
    <w:rsid w:val="006A32E9"/>
    <w:rsid w:val="006A33F0"/>
    <w:rsid w:val="006A35E0"/>
    <w:rsid w:val="006A3643"/>
    <w:rsid w:val="006A36D3"/>
    <w:rsid w:val="006A37D1"/>
    <w:rsid w:val="006A38B3"/>
    <w:rsid w:val="006A38C2"/>
    <w:rsid w:val="006A39CD"/>
    <w:rsid w:val="006A3B75"/>
    <w:rsid w:val="006A3C6E"/>
    <w:rsid w:val="006A3CCC"/>
    <w:rsid w:val="006A3DD2"/>
    <w:rsid w:val="006A3E3B"/>
    <w:rsid w:val="006A3E3C"/>
    <w:rsid w:val="006A3E90"/>
    <w:rsid w:val="006A3EAD"/>
    <w:rsid w:val="006A3EBE"/>
    <w:rsid w:val="006A3F65"/>
    <w:rsid w:val="006A3FEA"/>
    <w:rsid w:val="006A404A"/>
    <w:rsid w:val="006A4082"/>
    <w:rsid w:val="006A41C3"/>
    <w:rsid w:val="006A4224"/>
    <w:rsid w:val="006A432C"/>
    <w:rsid w:val="006A439D"/>
    <w:rsid w:val="006A4401"/>
    <w:rsid w:val="006A4459"/>
    <w:rsid w:val="006A44ED"/>
    <w:rsid w:val="006A4624"/>
    <w:rsid w:val="006A462F"/>
    <w:rsid w:val="006A4637"/>
    <w:rsid w:val="006A4649"/>
    <w:rsid w:val="006A46D7"/>
    <w:rsid w:val="006A46FD"/>
    <w:rsid w:val="006A47AB"/>
    <w:rsid w:val="006A47CA"/>
    <w:rsid w:val="006A47D3"/>
    <w:rsid w:val="006A481A"/>
    <w:rsid w:val="006A4847"/>
    <w:rsid w:val="006A48E2"/>
    <w:rsid w:val="006A4AAF"/>
    <w:rsid w:val="006A4B9F"/>
    <w:rsid w:val="006A4C12"/>
    <w:rsid w:val="006A4CAE"/>
    <w:rsid w:val="006A4CCE"/>
    <w:rsid w:val="006A4DF5"/>
    <w:rsid w:val="006A4E3F"/>
    <w:rsid w:val="006A4EA9"/>
    <w:rsid w:val="006A50D1"/>
    <w:rsid w:val="006A5186"/>
    <w:rsid w:val="006A521F"/>
    <w:rsid w:val="006A534A"/>
    <w:rsid w:val="006A5389"/>
    <w:rsid w:val="006A540B"/>
    <w:rsid w:val="006A551C"/>
    <w:rsid w:val="006A55BE"/>
    <w:rsid w:val="006A565D"/>
    <w:rsid w:val="006A56B2"/>
    <w:rsid w:val="006A5795"/>
    <w:rsid w:val="006A57B7"/>
    <w:rsid w:val="006A5840"/>
    <w:rsid w:val="006A5853"/>
    <w:rsid w:val="006A5951"/>
    <w:rsid w:val="006A595D"/>
    <w:rsid w:val="006A59B0"/>
    <w:rsid w:val="006A5C70"/>
    <w:rsid w:val="006A5C9D"/>
    <w:rsid w:val="006A5D0D"/>
    <w:rsid w:val="006A6080"/>
    <w:rsid w:val="006A60A8"/>
    <w:rsid w:val="006A60D7"/>
    <w:rsid w:val="006A6318"/>
    <w:rsid w:val="006A639D"/>
    <w:rsid w:val="006A63B5"/>
    <w:rsid w:val="006A63FB"/>
    <w:rsid w:val="006A6422"/>
    <w:rsid w:val="006A643D"/>
    <w:rsid w:val="006A6467"/>
    <w:rsid w:val="006A648C"/>
    <w:rsid w:val="006A64AC"/>
    <w:rsid w:val="006A6567"/>
    <w:rsid w:val="006A656E"/>
    <w:rsid w:val="006A65D0"/>
    <w:rsid w:val="006A6613"/>
    <w:rsid w:val="006A6731"/>
    <w:rsid w:val="006A682F"/>
    <w:rsid w:val="006A6960"/>
    <w:rsid w:val="006A6A4E"/>
    <w:rsid w:val="006A6ADA"/>
    <w:rsid w:val="006A6B02"/>
    <w:rsid w:val="006A6BC0"/>
    <w:rsid w:val="006A6C16"/>
    <w:rsid w:val="006A6C26"/>
    <w:rsid w:val="006A6CEB"/>
    <w:rsid w:val="006A6D07"/>
    <w:rsid w:val="006A6D11"/>
    <w:rsid w:val="006A6D2E"/>
    <w:rsid w:val="006A6D6D"/>
    <w:rsid w:val="006A6E73"/>
    <w:rsid w:val="006A6F2F"/>
    <w:rsid w:val="006A6F91"/>
    <w:rsid w:val="006A7009"/>
    <w:rsid w:val="006A7050"/>
    <w:rsid w:val="006A70EF"/>
    <w:rsid w:val="006A7308"/>
    <w:rsid w:val="006A7452"/>
    <w:rsid w:val="006A749A"/>
    <w:rsid w:val="006A7530"/>
    <w:rsid w:val="006A7532"/>
    <w:rsid w:val="006A7586"/>
    <w:rsid w:val="006A766D"/>
    <w:rsid w:val="006A76C2"/>
    <w:rsid w:val="006A7730"/>
    <w:rsid w:val="006A77C0"/>
    <w:rsid w:val="006A78BF"/>
    <w:rsid w:val="006A79A4"/>
    <w:rsid w:val="006A7A45"/>
    <w:rsid w:val="006A7A8B"/>
    <w:rsid w:val="006A7AA5"/>
    <w:rsid w:val="006A7B08"/>
    <w:rsid w:val="006A7B67"/>
    <w:rsid w:val="006A7BF4"/>
    <w:rsid w:val="006A7E82"/>
    <w:rsid w:val="006A7E92"/>
    <w:rsid w:val="006A7F28"/>
    <w:rsid w:val="006A7F36"/>
    <w:rsid w:val="006A7F3E"/>
    <w:rsid w:val="006A7F75"/>
    <w:rsid w:val="006A7FC6"/>
    <w:rsid w:val="006A7FE1"/>
    <w:rsid w:val="006A7FF9"/>
    <w:rsid w:val="006B002C"/>
    <w:rsid w:val="006B0123"/>
    <w:rsid w:val="006B01FF"/>
    <w:rsid w:val="006B0283"/>
    <w:rsid w:val="006B02CC"/>
    <w:rsid w:val="006B0342"/>
    <w:rsid w:val="006B03AE"/>
    <w:rsid w:val="006B0474"/>
    <w:rsid w:val="006B048B"/>
    <w:rsid w:val="006B05AD"/>
    <w:rsid w:val="006B0612"/>
    <w:rsid w:val="006B0629"/>
    <w:rsid w:val="006B0665"/>
    <w:rsid w:val="006B06B8"/>
    <w:rsid w:val="006B07D2"/>
    <w:rsid w:val="006B08DD"/>
    <w:rsid w:val="006B092B"/>
    <w:rsid w:val="006B0935"/>
    <w:rsid w:val="006B095D"/>
    <w:rsid w:val="006B0ABD"/>
    <w:rsid w:val="006B0ACD"/>
    <w:rsid w:val="006B0B2E"/>
    <w:rsid w:val="006B0BD0"/>
    <w:rsid w:val="006B0C3C"/>
    <w:rsid w:val="006B0C64"/>
    <w:rsid w:val="006B0D17"/>
    <w:rsid w:val="006B0D72"/>
    <w:rsid w:val="006B0E2B"/>
    <w:rsid w:val="006B0E40"/>
    <w:rsid w:val="006B0F00"/>
    <w:rsid w:val="006B0FF6"/>
    <w:rsid w:val="006B1007"/>
    <w:rsid w:val="006B10BB"/>
    <w:rsid w:val="006B1207"/>
    <w:rsid w:val="006B120E"/>
    <w:rsid w:val="006B1250"/>
    <w:rsid w:val="006B1341"/>
    <w:rsid w:val="006B13C2"/>
    <w:rsid w:val="006B13E0"/>
    <w:rsid w:val="006B13F9"/>
    <w:rsid w:val="006B147F"/>
    <w:rsid w:val="006B1520"/>
    <w:rsid w:val="006B1530"/>
    <w:rsid w:val="006B1532"/>
    <w:rsid w:val="006B1574"/>
    <w:rsid w:val="006B15A9"/>
    <w:rsid w:val="006B15D9"/>
    <w:rsid w:val="006B1627"/>
    <w:rsid w:val="006B1666"/>
    <w:rsid w:val="006B1679"/>
    <w:rsid w:val="006B16CD"/>
    <w:rsid w:val="006B1772"/>
    <w:rsid w:val="006B1821"/>
    <w:rsid w:val="006B1877"/>
    <w:rsid w:val="006B1927"/>
    <w:rsid w:val="006B195F"/>
    <w:rsid w:val="006B19B6"/>
    <w:rsid w:val="006B19D0"/>
    <w:rsid w:val="006B1A77"/>
    <w:rsid w:val="006B1D32"/>
    <w:rsid w:val="006B1D4B"/>
    <w:rsid w:val="006B1D55"/>
    <w:rsid w:val="006B1E3D"/>
    <w:rsid w:val="006B1F69"/>
    <w:rsid w:val="006B1F9C"/>
    <w:rsid w:val="006B1F9F"/>
    <w:rsid w:val="006B2026"/>
    <w:rsid w:val="006B2054"/>
    <w:rsid w:val="006B20E1"/>
    <w:rsid w:val="006B211E"/>
    <w:rsid w:val="006B21C8"/>
    <w:rsid w:val="006B22A8"/>
    <w:rsid w:val="006B22CC"/>
    <w:rsid w:val="006B22FE"/>
    <w:rsid w:val="006B2317"/>
    <w:rsid w:val="006B23B9"/>
    <w:rsid w:val="006B2510"/>
    <w:rsid w:val="006B2630"/>
    <w:rsid w:val="006B2693"/>
    <w:rsid w:val="006B26E0"/>
    <w:rsid w:val="006B2707"/>
    <w:rsid w:val="006B278F"/>
    <w:rsid w:val="006B2966"/>
    <w:rsid w:val="006B29BF"/>
    <w:rsid w:val="006B2B0C"/>
    <w:rsid w:val="006B2B21"/>
    <w:rsid w:val="006B2BB6"/>
    <w:rsid w:val="006B2C75"/>
    <w:rsid w:val="006B2DCF"/>
    <w:rsid w:val="006B2E70"/>
    <w:rsid w:val="006B31F4"/>
    <w:rsid w:val="006B3214"/>
    <w:rsid w:val="006B3226"/>
    <w:rsid w:val="006B322F"/>
    <w:rsid w:val="006B34DF"/>
    <w:rsid w:val="006B3550"/>
    <w:rsid w:val="006B35A9"/>
    <w:rsid w:val="006B35AE"/>
    <w:rsid w:val="006B35C8"/>
    <w:rsid w:val="006B3629"/>
    <w:rsid w:val="006B380E"/>
    <w:rsid w:val="006B38B7"/>
    <w:rsid w:val="006B38E3"/>
    <w:rsid w:val="006B3956"/>
    <w:rsid w:val="006B3A0E"/>
    <w:rsid w:val="006B3A99"/>
    <w:rsid w:val="006B3AE9"/>
    <w:rsid w:val="006B3B0C"/>
    <w:rsid w:val="006B3B3F"/>
    <w:rsid w:val="006B3B60"/>
    <w:rsid w:val="006B3B72"/>
    <w:rsid w:val="006B3C4C"/>
    <w:rsid w:val="006B3C87"/>
    <w:rsid w:val="006B3C90"/>
    <w:rsid w:val="006B3CCD"/>
    <w:rsid w:val="006B3CE6"/>
    <w:rsid w:val="006B3D55"/>
    <w:rsid w:val="006B3DB9"/>
    <w:rsid w:val="006B3E35"/>
    <w:rsid w:val="006B3F51"/>
    <w:rsid w:val="006B3F74"/>
    <w:rsid w:val="006B4079"/>
    <w:rsid w:val="006B4107"/>
    <w:rsid w:val="006B428A"/>
    <w:rsid w:val="006B42DA"/>
    <w:rsid w:val="006B42F6"/>
    <w:rsid w:val="006B438A"/>
    <w:rsid w:val="006B4451"/>
    <w:rsid w:val="006B44FB"/>
    <w:rsid w:val="006B44FD"/>
    <w:rsid w:val="006B45D7"/>
    <w:rsid w:val="006B473F"/>
    <w:rsid w:val="006B4745"/>
    <w:rsid w:val="006B4885"/>
    <w:rsid w:val="006B48A0"/>
    <w:rsid w:val="006B4990"/>
    <w:rsid w:val="006B49E4"/>
    <w:rsid w:val="006B4A61"/>
    <w:rsid w:val="006B4A76"/>
    <w:rsid w:val="006B4BBE"/>
    <w:rsid w:val="006B4BDC"/>
    <w:rsid w:val="006B4D5C"/>
    <w:rsid w:val="006B4DCD"/>
    <w:rsid w:val="006B4E2B"/>
    <w:rsid w:val="006B4EB4"/>
    <w:rsid w:val="006B5092"/>
    <w:rsid w:val="006B5192"/>
    <w:rsid w:val="006B52DB"/>
    <w:rsid w:val="006B5356"/>
    <w:rsid w:val="006B53C5"/>
    <w:rsid w:val="006B54ED"/>
    <w:rsid w:val="006B558A"/>
    <w:rsid w:val="006B55BE"/>
    <w:rsid w:val="006B55D0"/>
    <w:rsid w:val="006B5769"/>
    <w:rsid w:val="006B57FC"/>
    <w:rsid w:val="006B583B"/>
    <w:rsid w:val="006B58AA"/>
    <w:rsid w:val="006B5920"/>
    <w:rsid w:val="006B593B"/>
    <w:rsid w:val="006B5952"/>
    <w:rsid w:val="006B595F"/>
    <w:rsid w:val="006B597D"/>
    <w:rsid w:val="006B599D"/>
    <w:rsid w:val="006B59DA"/>
    <w:rsid w:val="006B5AAD"/>
    <w:rsid w:val="006B5C6C"/>
    <w:rsid w:val="006B5E26"/>
    <w:rsid w:val="006B5E65"/>
    <w:rsid w:val="006B5E87"/>
    <w:rsid w:val="006B5EBF"/>
    <w:rsid w:val="006B5F73"/>
    <w:rsid w:val="006B6159"/>
    <w:rsid w:val="006B61EF"/>
    <w:rsid w:val="006B626F"/>
    <w:rsid w:val="006B6321"/>
    <w:rsid w:val="006B6365"/>
    <w:rsid w:val="006B6378"/>
    <w:rsid w:val="006B63CF"/>
    <w:rsid w:val="006B6572"/>
    <w:rsid w:val="006B69F1"/>
    <w:rsid w:val="006B6D51"/>
    <w:rsid w:val="006B6DA9"/>
    <w:rsid w:val="006B6EA3"/>
    <w:rsid w:val="006B6FDA"/>
    <w:rsid w:val="006B701C"/>
    <w:rsid w:val="006B706C"/>
    <w:rsid w:val="006B72F6"/>
    <w:rsid w:val="006B73C0"/>
    <w:rsid w:val="006B746D"/>
    <w:rsid w:val="006B7473"/>
    <w:rsid w:val="006B74B8"/>
    <w:rsid w:val="006B74E3"/>
    <w:rsid w:val="006B74FE"/>
    <w:rsid w:val="006B75F1"/>
    <w:rsid w:val="006B7600"/>
    <w:rsid w:val="006B763E"/>
    <w:rsid w:val="006B76DE"/>
    <w:rsid w:val="006B7783"/>
    <w:rsid w:val="006B787B"/>
    <w:rsid w:val="006B795B"/>
    <w:rsid w:val="006B7A32"/>
    <w:rsid w:val="006B7A45"/>
    <w:rsid w:val="006B7AEC"/>
    <w:rsid w:val="006B7AF0"/>
    <w:rsid w:val="006B7EED"/>
    <w:rsid w:val="006B7EF8"/>
    <w:rsid w:val="006C010B"/>
    <w:rsid w:val="006C015F"/>
    <w:rsid w:val="006C0160"/>
    <w:rsid w:val="006C0353"/>
    <w:rsid w:val="006C0395"/>
    <w:rsid w:val="006C03C6"/>
    <w:rsid w:val="006C042E"/>
    <w:rsid w:val="006C04DD"/>
    <w:rsid w:val="006C05B1"/>
    <w:rsid w:val="006C05D7"/>
    <w:rsid w:val="006C065A"/>
    <w:rsid w:val="006C067F"/>
    <w:rsid w:val="006C0690"/>
    <w:rsid w:val="006C06A2"/>
    <w:rsid w:val="006C0706"/>
    <w:rsid w:val="006C08B3"/>
    <w:rsid w:val="006C0978"/>
    <w:rsid w:val="006C097D"/>
    <w:rsid w:val="006C0B09"/>
    <w:rsid w:val="006C0B20"/>
    <w:rsid w:val="006C0D01"/>
    <w:rsid w:val="006C0D02"/>
    <w:rsid w:val="006C0D38"/>
    <w:rsid w:val="006C0F28"/>
    <w:rsid w:val="006C0F6F"/>
    <w:rsid w:val="006C101B"/>
    <w:rsid w:val="006C118E"/>
    <w:rsid w:val="006C12CE"/>
    <w:rsid w:val="006C1335"/>
    <w:rsid w:val="006C1338"/>
    <w:rsid w:val="006C1385"/>
    <w:rsid w:val="006C16A0"/>
    <w:rsid w:val="006C171B"/>
    <w:rsid w:val="006C1727"/>
    <w:rsid w:val="006C1812"/>
    <w:rsid w:val="006C1986"/>
    <w:rsid w:val="006C19F6"/>
    <w:rsid w:val="006C1ACE"/>
    <w:rsid w:val="006C1BB8"/>
    <w:rsid w:val="006C1C54"/>
    <w:rsid w:val="006C1D78"/>
    <w:rsid w:val="006C1E6F"/>
    <w:rsid w:val="006C1E7C"/>
    <w:rsid w:val="006C1EF2"/>
    <w:rsid w:val="006C1F03"/>
    <w:rsid w:val="006C1F6C"/>
    <w:rsid w:val="006C2128"/>
    <w:rsid w:val="006C218A"/>
    <w:rsid w:val="006C21F6"/>
    <w:rsid w:val="006C21F8"/>
    <w:rsid w:val="006C2228"/>
    <w:rsid w:val="006C233F"/>
    <w:rsid w:val="006C23A1"/>
    <w:rsid w:val="006C23EA"/>
    <w:rsid w:val="006C2437"/>
    <w:rsid w:val="006C248C"/>
    <w:rsid w:val="006C24B2"/>
    <w:rsid w:val="006C2647"/>
    <w:rsid w:val="006C267E"/>
    <w:rsid w:val="006C26BD"/>
    <w:rsid w:val="006C271F"/>
    <w:rsid w:val="006C2848"/>
    <w:rsid w:val="006C2A2B"/>
    <w:rsid w:val="006C2BB4"/>
    <w:rsid w:val="006C2BBF"/>
    <w:rsid w:val="006C2C1D"/>
    <w:rsid w:val="006C2CD1"/>
    <w:rsid w:val="006C2CD7"/>
    <w:rsid w:val="006C2D70"/>
    <w:rsid w:val="006C2FD9"/>
    <w:rsid w:val="006C2FDD"/>
    <w:rsid w:val="006C3006"/>
    <w:rsid w:val="006C3126"/>
    <w:rsid w:val="006C317A"/>
    <w:rsid w:val="006C3228"/>
    <w:rsid w:val="006C3269"/>
    <w:rsid w:val="006C3323"/>
    <w:rsid w:val="006C3464"/>
    <w:rsid w:val="006C364F"/>
    <w:rsid w:val="006C3765"/>
    <w:rsid w:val="006C37BB"/>
    <w:rsid w:val="006C387D"/>
    <w:rsid w:val="006C388C"/>
    <w:rsid w:val="006C38A8"/>
    <w:rsid w:val="006C38CF"/>
    <w:rsid w:val="006C3979"/>
    <w:rsid w:val="006C398C"/>
    <w:rsid w:val="006C3A73"/>
    <w:rsid w:val="006C3AA8"/>
    <w:rsid w:val="006C3AC2"/>
    <w:rsid w:val="006C3C6C"/>
    <w:rsid w:val="006C3C82"/>
    <w:rsid w:val="006C3D6E"/>
    <w:rsid w:val="006C3D7A"/>
    <w:rsid w:val="006C3F19"/>
    <w:rsid w:val="006C3F36"/>
    <w:rsid w:val="006C3F3E"/>
    <w:rsid w:val="006C419B"/>
    <w:rsid w:val="006C4225"/>
    <w:rsid w:val="006C42C7"/>
    <w:rsid w:val="006C42F5"/>
    <w:rsid w:val="006C431C"/>
    <w:rsid w:val="006C4419"/>
    <w:rsid w:val="006C457E"/>
    <w:rsid w:val="006C45C4"/>
    <w:rsid w:val="006C46BC"/>
    <w:rsid w:val="006C476C"/>
    <w:rsid w:val="006C4789"/>
    <w:rsid w:val="006C4821"/>
    <w:rsid w:val="006C485D"/>
    <w:rsid w:val="006C48F5"/>
    <w:rsid w:val="006C499D"/>
    <w:rsid w:val="006C49B7"/>
    <w:rsid w:val="006C49E0"/>
    <w:rsid w:val="006C4AC8"/>
    <w:rsid w:val="006C4AF2"/>
    <w:rsid w:val="006C4BD3"/>
    <w:rsid w:val="006C4D15"/>
    <w:rsid w:val="006C4DE1"/>
    <w:rsid w:val="006C4DEE"/>
    <w:rsid w:val="006C4E93"/>
    <w:rsid w:val="006C4F0D"/>
    <w:rsid w:val="006C4FFD"/>
    <w:rsid w:val="006C501D"/>
    <w:rsid w:val="006C5078"/>
    <w:rsid w:val="006C517B"/>
    <w:rsid w:val="006C51D4"/>
    <w:rsid w:val="006C5213"/>
    <w:rsid w:val="006C525E"/>
    <w:rsid w:val="006C52AD"/>
    <w:rsid w:val="006C5307"/>
    <w:rsid w:val="006C53DB"/>
    <w:rsid w:val="006C53E1"/>
    <w:rsid w:val="006C544D"/>
    <w:rsid w:val="006C54B5"/>
    <w:rsid w:val="006C5629"/>
    <w:rsid w:val="006C573E"/>
    <w:rsid w:val="006C577C"/>
    <w:rsid w:val="006C584A"/>
    <w:rsid w:val="006C585E"/>
    <w:rsid w:val="006C58A2"/>
    <w:rsid w:val="006C58C6"/>
    <w:rsid w:val="006C58D5"/>
    <w:rsid w:val="006C59FE"/>
    <w:rsid w:val="006C5ACD"/>
    <w:rsid w:val="006C5AE2"/>
    <w:rsid w:val="006C5B42"/>
    <w:rsid w:val="006C5C2B"/>
    <w:rsid w:val="006C5D23"/>
    <w:rsid w:val="006C5DB6"/>
    <w:rsid w:val="006C5EEB"/>
    <w:rsid w:val="006C5F03"/>
    <w:rsid w:val="006C5FBB"/>
    <w:rsid w:val="006C5FFA"/>
    <w:rsid w:val="006C601C"/>
    <w:rsid w:val="006C60DA"/>
    <w:rsid w:val="006C6385"/>
    <w:rsid w:val="006C63D6"/>
    <w:rsid w:val="006C63EC"/>
    <w:rsid w:val="006C6408"/>
    <w:rsid w:val="006C6529"/>
    <w:rsid w:val="006C65BA"/>
    <w:rsid w:val="006C660D"/>
    <w:rsid w:val="006C6619"/>
    <w:rsid w:val="006C671B"/>
    <w:rsid w:val="006C67D0"/>
    <w:rsid w:val="006C67F5"/>
    <w:rsid w:val="006C6890"/>
    <w:rsid w:val="006C69D5"/>
    <w:rsid w:val="006C6AD9"/>
    <w:rsid w:val="006C6B8E"/>
    <w:rsid w:val="006C6BF6"/>
    <w:rsid w:val="006C6E73"/>
    <w:rsid w:val="006C6E77"/>
    <w:rsid w:val="006C6FD7"/>
    <w:rsid w:val="006C701B"/>
    <w:rsid w:val="006C70AC"/>
    <w:rsid w:val="006C70CC"/>
    <w:rsid w:val="006C71AD"/>
    <w:rsid w:val="006C71BA"/>
    <w:rsid w:val="006C71DF"/>
    <w:rsid w:val="006C73C9"/>
    <w:rsid w:val="006C7521"/>
    <w:rsid w:val="006C754F"/>
    <w:rsid w:val="006C757D"/>
    <w:rsid w:val="006C7660"/>
    <w:rsid w:val="006C766A"/>
    <w:rsid w:val="006C7827"/>
    <w:rsid w:val="006C78CF"/>
    <w:rsid w:val="006C7915"/>
    <w:rsid w:val="006C7918"/>
    <w:rsid w:val="006C792E"/>
    <w:rsid w:val="006C79AA"/>
    <w:rsid w:val="006C79E4"/>
    <w:rsid w:val="006C7A8A"/>
    <w:rsid w:val="006C7B45"/>
    <w:rsid w:val="006C7B55"/>
    <w:rsid w:val="006C7B76"/>
    <w:rsid w:val="006C7B87"/>
    <w:rsid w:val="006C7BC0"/>
    <w:rsid w:val="006C7C02"/>
    <w:rsid w:val="006C7D75"/>
    <w:rsid w:val="006C7D9D"/>
    <w:rsid w:val="006C7DF3"/>
    <w:rsid w:val="006C7E38"/>
    <w:rsid w:val="006D0186"/>
    <w:rsid w:val="006D02CB"/>
    <w:rsid w:val="006D02D1"/>
    <w:rsid w:val="006D02DF"/>
    <w:rsid w:val="006D0302"/>
    <w:rsid w:val="006D041E"/>
    <w:rsid w:val="006D054E"/>
    <w:rsid w:val="006D061E"/>
    <w:rsid w:val="006D0869"/>
    <w:rsid w:val="006D08E1"/>
    <w:rsid w:val="006D09B4"/>
    <w:rsid w:val="006D09C3"/>
    <w:rsid w:val="006D09C7"/>
    <w:rsid w:val="006D0B59"/>
    <w:rsid w:val="006D0BB8"/>
    <w:rsid w:val="006D0C67"/>
    <w:rsid w:val="006D0C99"/>
    <w:rsid w:val="006D0E3C"/>
    <w:rsid w:val="006D1015"/>
    <w:rsid w:val="006D101E"/>
    <w:rsid w:val="006D106E"/>
    <w:rsid w:val="006D10E6"/>
    <w:rsid w:val="006D11F5"/>
    <w:rsid w:val="006D126D"/>
    <w:rsid w:val="006D12CC"/>
    <w:rsid w:val="006D135F"/>
    <w:rsid w:val="006D13DC"/>
    <w:rsid w:val="006D13EE"/>
    <w:rsid w:val="006D14ED"/>
    <w:rsid w:val="006D1529"/>
    <w:rsid w:val="006D15ED"/>
    <w:rsid w:val="006D174E"/>
    <w:rsid w:val="006D1783"/>
    <w:rsid w:val="006D181B"/>
    <w:rsid w:val="006D192B"/>
    <w:rsid w:val="006D194C"/>
    <w:rsid w:val="006D1A99"/>
    <w:rsid w:val="006D1B16"/>
    <w:rsid w:val="006D1BA5"/>
    <w:rsid w:val="006D1BFE"/>
    <w:rsid w:val="006D1C3A"/>
    <w:rsid w:val="006D1CBD"/>
    <w:rsid w:val="006D1D33"/>
    <w:rsid w:val="006D1DC1"/>
    <w:rsid w:val="006D1E39"/>
    <w:rsid w:val="006D1E4E"/>
    <w:rsid w:val="006D1ECA"/>
    <w:rsid w:val="006D1FBC"/>
    <w:rsid w:val="006D2005"/>
    <w:rsid w:val="006D2189"/>
    <w:rsid w:val="006D22F6"/>
    <w:rsid w:val="006D232D"/>
    <w:rsid w:val="006D23E0"/>
    <w:rsid w:val="006D2401"/>
    <w:rsid w:val="006D2479"/>
    <w:rsid w:val="006D257D"/>
    <w:rsid w:val="006D263A"/>
    <w:rsid w:val="006D26CB"/>
    <w:rsid w:val="006D273B"/>
    <w:rsid w:val="006D2909"/>
    <w:rsid w:val="006D29E0"/>
    <w:rsid w:val="006D2A48"/>
    <w:rsid w:val="006D2BFB"/>
    <w:rsid w:val="006D2C0C"/>
    <w:rsid w:val="006D2C26"/>
    <w:rsid w:val="006D2CEC"/>
    <w:rsid w:val="006D2D06"/>
    <w:rsid w:val="006D2DE0"/>
    <w:rsid w:val="006D2DEA"/>
    <w:rsid w:val="006D2E7F"/>
    <w:rsid w:val="006D302B"/>
    <w:rsid w:val="006D307C"/>
    <w:rsid w:val="006D3101"/>
    <w:rsid w:val="006D3119"/>
    <w:rsid w:val="006D3129"/>
    <w:rsid w:val="006D316B"/>
    <w:rsid w:val="006D321E"/>
    <w:rsid w:val="006D329D"/>
    <w:rsid w:val="006D3310"/>
    <w:rsid w:val="006D3347"/>
    <w:rsid w:val="006D34D4"/>
    <w:rsid w:val="006D360E"/>
    <w:rsid w:val="006D369F"/>
    <w:rsid w:val="006D36C6"/>
    <w:rsid w:val="006D3786"/>
    <w:rsid w:val="006D379C"/>
    <w:rsid w:val="006D37D4"/>
    <w:rsid w:val="006D38A9"/>
    <w:rsid w:val="006D3A19"/>
    <w:rsid w:val="006D3AAC"/>
    <w:rsid w:val="006D3B59"/>
    <w:rsid w:val="006D3BA3"/>
    <w:rsid w:val="006D3CB6"/>
    <w:rsid w:val="006D3CBE"/>
    <w:rsid w:val="006D3DB0"/>
    <w:rsid w:val="006D3E18"/>
    <w:rsid w:val="006D3E90"/>
    <w:rsid w:val="006D3F8A"/>
    <w:rsid w:val="006D3FD8"/>
    <w:rsid w:val="006D40F5"/>
    <w:rsid w:val="006D41D1"/>
    <w:rsid w:val="006D41D8"/>
    <w:rsid w:val="006D4228"/>
    <w:rsid w:val="006D4330"/>
    <w:rsid w:val="006D435E"/>
    <w:rsid w:val="006D43D7"/>
    <w:rsid w:val="006D44DF"/>
    <w:rsid w:val="006D44E2"/>
    <w:rsid w:val="006D44E5"/>
    <w:rsid w:val="006D466F"/>
    <w:rsid w:val="006D46B8"/>
    <w:rsid w:val="006D47F0"/>
    <w:rsid w:val="006D4820"/>
    <w:rsid w:val="006D4916"/>
    <w:rsid w:val="006D492E"/>
    <w:rsid w:val="006D49FB"/>
    <w:rsid w:val="006D4A9B"/>
    <w:rsid w:val="006D4B9E"/>
    <w:rsid w:val="006D4BC3"/>
    <w:rsid w:val="006D4D29"/>
    <w:rsid w:val="006D4DB3"/>
    <w:rsid w:val="006D4DB8"/>
    <w:rsid w:val="006D4EC2"/>
    <w:rsid w:val="006D4F16"/>
    <w:rsid w:val="006D4F68"/>
    <w:rsid w:val="006D5017"/>
    <w:rsid w:val="006D5055"/>
    <w:rsid w:val="006D506A"/>
    <w:rsid w:val="006D518B"/>
    <w:rsid w:val="006D521F"/>
    <w:rsid w:val="006D535F"/>
    <w:rsid w:val="006D53BB"/>
    <w:rsid w:val="006D5550"/>
    <w:rsid w:val="006D5554"/>
    <w:rsid w:val="006D55B5"/>
    <w:rsid w:val="006D564B"/>
    <w:rsid w:val="006D5662"/>
    <w:rsid w:val="006D5822"/>
    <w:rsid w:val="006D58A6"/>
    <w:rsid w:val="006D5901"/>
    <w:rsid w:val="006D5A5E"/>
    <w:rsid w:val="006D5B18"/>
    <w:rsid w:val="006D5B80"/>
    <w:rsid w:val="006D5BAD"/>
    <w:rsid w:val="006D5C19"/>
    <w:rsid w:val="006D5CCC"/>
    <w:rsid w:val="006D5CDC"/>
    <w:rsid w:val="006D5E0C"/>
    <w:rsid w:val="006D5E71"/>
    <w:rsid w:val="006D6079"/>
    <w:rsid w:val="006D60AC"/>
    <w:rsid w:val="006D60E7"/>
    <w:rsid w:val="006D61DB"/>
    <w:rsid w:val="006D61F6"/>
    <w:rsid w:val="006D6309"/>
    <w:rsid w:val="006D631F"/>
    <w:rsid w:val="006D6507"/>
    <w:rsid w:val="006D65D0"/>
    <w:rsid w:val="006D6650"/>
    <w:rsid w:val="006D66F4"/>
    <w:rsid w:val="006D67DD"/>
    <w:rsid w:val="006D6888"/>
    <w:rsid w:val="006D689F"/>
    <w:rsid w:val="006D68F1"/>
    <w:rsid w:val="006D6956"/>
    <w:rsid w:val="006D69B9"/>
    <w:rsid w:val="006D6BB3"/>
    <w:rsid w:val="006D6BD0"/>
    <w:rsid w:val="006D6C05"/>
    <w:rsid w:val="006D6C0E"/>
    <w:rsid w:val="006D6C1A"/>
    <w:rsid w:val="006D6C88"/>
    <w:rsid w:val="006D6D79"/>
    <w:rsid w:val="006D6D8C"/>
    <w:rsid w:val="006D6E1C"/>
    <w:rsid w:val="006D6E29"/>
    <w:rsid w:val="006D6E3B"/>
    <w:rsid w:val="006D6E40"/>
    <w:rsid w:val="006D6EA7"/>
    <w:rsid w:val="006D6EA8"/>
    <w:rsid w:val="006D6EB2"/>
    <w:rsid w:val="006D6F48"/>
    <w:rsid w:val="006D7018"/>
    <w:rsid w:val="006D7243"/>
    <w:rsid w:val="006D7339"/>
    <w:rsid w:val="006D7354"/>
    <w:rsid w:val="006D7381"/>
    <w:rsid w:val="006D73E6"/>
    <w:rsid w:val="006D7458"/>
    <w:rsid w:val="006D7486"/>
    <w:rsid w:val="006D753C"/>
    <w:rsid w:val="006D7652"/>
    <w:rsid w:val="006D766E"/>
    <w:rsid w:val="006D76AC"/>
    <w:rsid w:val="006D76DC"/>
    <w:rsid w:val="006D7793"/>
    <w:rsid w:val="006D77A4"/>
    <w:rsid w:val="006D77EA"/>
    <w:rsid w:val="006D78DD"/>
    <w:rsid w:val="006D7B18"/>
    <w:rsid w:val="006D7CF4"/>
    <w:rsid w:val="006D7D17"/>
    <w:rsid w:val="006D7E66"/>
    <w:rsid w:val="006D7E86"/>
    <w:rsid w:val="006D7FA4"/>
    <w:rsid w:val="006E017A"/>
    <w:rsid w:val="006E020B"/>
    <w:rsid w:val="006E0262"/>
    <w:rsid w:val="006E02E6"/>
    <w:rsid w:val="006E03B3"/>
    <w:rsid w:val="006E03F3"/>
    <w:rsid w:val="006E0472"/>
    <w:rsid w:val="006E04AC"/>
    <w:rsid w:val="006E0536"/>
    <w:rsid w:val="006E0599"/>
    <w:rsid w:val="006E0607"/>
    <w:rsid w:val="006E068F"/>
    <w:rsid w:val="006E06F0"/>
    <w:rsid w:val="006E075C"/>
    <w:rsid w:val="006E096A"/>
    <w:rsid w:val="006E09A7"/>
    <w:rsid w:val="006E09F3"/>
    <w:rsid w:val="006E0A39"/>
    <w:rsid w:val="006E0A3D"/>
    <w:rsid w:val="006E0AA6"/>
    <w:rsid w:val="006E0C23"/>
    <w:rsid w:val="006E0C39"/>
    <w:rsid w:val="006E0E51"/>
    <w:rsid w:val="006E0F0B"/>
    <w:rsid w:val="006E0F50"/>
    <w:rsid w:val="006E11F5"/>
    <w:rsid w:val="006E12B6"/>
    <w:rsid w:val="006E12D3"/>
    <w:rsid w:val="006E1334"/>
    <w:rsid w:val="006E13FF"/>
    <w:rsid w:val="006E1462"/>
    <w:rsid w:val="006E14EF"/>
    <w:rsid w:val="006E1574"/>
    <w:rsid w:val="006E164F"/>
    <w:rsid w:val="006E1795"/>
    <w:rsid w:val="006E17F9"/>
    <w:rsid w:val="006E1882"/>
    <w:rsid w:val="006E1B0D"/>
    <w:rsid w:val="006E1B9F"/>
    <w:rsid w:val="006E1CE2"/>
    <w:rsid w:val="006E1D52"/>
    <w:rsid w:val="006E1DFB"/>
    <w:rsid w:val="006E1E93"/>
    <w:rsid w:val="006E2005"/>
    <w:rsid w:val="006E204A"/>
    <w:rsid w:val="006E2076"/>
    <w:rsid w:val="006E21A2"/>
    <w:rsid w:val="006E21ED"/>
    <w:rsid w:val="006E2272"/>
    <w:rsid w:val="006E2425"/>
    <w:rsid w:val="006E24C3"/>
    <w:rsid w:val="006E24C9"/>
    <w:rsid w:val="006E2685"/>
    <w:rsid w:val="006E2745"/>
    <w:rsid w:val="006E275A"/>
    <w:rsid w:val="006E2831"/>
    <w:rsid w:val="006E284F"/>
    <w:rsid w:val="006E2A02"/>
    <w:rsid w:val="006E2A15"/>
    <w:rsid w:val="006E2AA3"/>
    <w:rsid w:val="006E2BDD"/>
    <w:rsid w:val="006E2BE3"/>
    <w:rsid w:val="006E2C19"/>
    <w:rsid w:val="006E2F07"/>
    <w:rsid w:val="006E2F0C"/>
    <w:rsid w:val="006E2FF1"/>
    <w:rsid w:val="006E3195"/>
    <w:rsid w:val="006E31AA"/>
    <w:rsid w:val="006E31E9"/>
    <w:rsid w:val="006E31FB"/>
    <w:rsid w:val="006E327B"/>
    <w:rsid w:val="006E3309"/>
    <w:rsid w:val="006E3398"/>
    <w:rsid w:val="006E34D1"/>
    <w:rsid w:val="006E354D"/>
    <w:rsid w:val="006E35E7"/>
    <w:rsid w:val="006E3670"/>
    <w:rsid w:val="006E3858"/>
    <w:rsid w:val="006E3897"/>
    <w:rsid w:val="006E39F3"/>
    <w:rsid w:val="006E3B09"/>
    <w:rsid w:val="006E3CF6"/>
    <w:rsid w:val="006E3D2C"/>
    <w:rsid w:val="006E3F82"/>
    <w:rsid w:val="006E3F9C"/>
    <w:rsid w:val="006E40BC"/>
    <w:rsid w:val="006E417E"/>
    <w:rsid w:val="006E41F5"/>
    <w:rsid w:val="006E4269"/>
    <w:rsid w:val="006E42BE"/>
    <w:rsid w:val="006E42F7"/>
    <w:rsid w:val="006E432A"/>
    <w:rsid w:val="006E453B"/>
    <w:rsid w:val="006E45F3"/>
    <w:rsid w:val="006E4691"/>
    <w:rsid w:val="006E46C3"/>
    <w:rsid w:val="006E474D"/>
    <w:rsid w:val="006E47A5"/>
    <w:rsid w:val="006E488C"/>
    <w:rsid w:val="006E48C7"/>
    <w:rsid w:val="006E49F9"/>
    <w:rsid w:val="006E4AA7"/>
    <w:rsid w:val="006E4B84"/>
    <w:rsid w:val="006E4CAE"/>
    <w:rsid w:val="006E4CBA"/>
    <w:rsid w:val="006E4CF9"/>
    <w:rsid w:val="006E4DA3"/>
    <w:rsid w:val="006E4EC5"/>
    <w:rsid w:val="006E4F73"/>
    <w:rsid w:val="006E50B3"/>
    <w:rsid w:val="006E50E3"/>
    <w:rsid w:val="006E50E7"/>
    <w:rsid w:val="006E51F0"/>
    <w:rsid w:val="006E524B"/>
    <w:rsid w:val="006E53BE"/>
    <w:rsid w:val="006E53C7"/>
    <w:rsid w:val="006E53D8"/>
    <w:rsid w:val="006E5438"/>
    <w:rsid w:val="006E5530"/>
    <w:rsid w:val="006E5662"/>
    <w:rsid w:val="006E5682"/>
    <w:rsid w:val="006E570A"/>
    <w:rsid w:val="006E571D"/>
    <w:rsid w:val="006E57DA"/>
    <w:rsid w:val="006E5809"/>
    <w:rsid w:val="006E5859"/>
    <w:rsid w:val="006E5872"/>
    <w:rsid w:val="006E5986"/>
    <w:rsid w:val="006E59F9"/>
    <w:rsid w:val="006E5AF5"/>
    <w:rsid w:val="006E5B04"/>
    <w:rsid w:val="006E5B5F"/>
    <w:rsid w:val="006E5B9A"/>
    <w:rsid w:val="006E5BA5"/>
    <w:rsid w:val="006E5BB5"/>
    <w:rsid w:val="006E5BF4"/>
    <w:rsid w:val="006E5C02"/>
    <w:rsid w:val="006E5CB1"/>
    <w:rsid w:val="006E5D16"/>
    <w:rsid w:val="006E5DDF"/>
    <w:rsid w:val="006E5DE1"/>
    <w:rsid w:val="006E5F36"/>
    <w:rsid w:val="006E5FA0"/>
    <w:rsid w:val="006E605E"/>
    <w:rsid w:val="006E6083"/>
    <w:rsid w:val="006E60A1"/>
    <w:rsid w:val="006E60D8"/>
    <w:rsid w:val="006E60D9"/>
    <w:rsid w:val="006E60EB"/>
    <w:rsid w:val="006E6143"/>
    <w:rsid w:val="006E61E7"/>
    <w:rsid w:val="006E62BC"/>
    <w:rsid w:val="006E62F5"/>
    <w:rsid w:val="006E643D"/>
    <w:rsid w:val="006E65F3"/>
    <w:rsid w:val="006E660C"/>
    <w:rsid w:val="006E6617"/>
    <w:rsid w:val="006E679D"/>
    <w:rsid w:val="006E67AD"/>
    <w:rsid w:val="006E6931"/>
    <w:rsid w:val="006E69C7"/>
    <w:rsid w:val="006E69C9"/>
    <w:rsid w:val="006E6B29"/>
    <w:rsid w:val="006E6B74"/>
    <w:rsid w:val="006E6C54"/>
    <w:rsid w:val="006E6C9B"/>
    <w:rsid w:val="006E6CF6"/>
    <w:rsid w:val="006E6F9C"/>
    <w:rsid w:val="006E7086"/>
    <w:rsid w:val="006E70F3"/>
    <w:rsid w:val="006E72E1"/>
    <w:rsid w:val="006E73A3"/>
    <w:rsid w:val="006E74C3"/>
    <w:rsid w:val="006E74E6"/>
    <w:rsid w:val="006E7610"/>
    <w:rsid w:val="006E769E"/>
    <w:rsid w:val="006E7810"/>
    <w:rsid w:val="006E79A7"/>
    <w:rsid w:val="006E79C9"/>
    <w:rsid w:val="006E79F8"/>
    <w:rsid w:val="006E7ABE"/>
    <w:rsid w:val="006E7B55"/>
    <w:rsid w:val="006E7BB2"/>
    <w:rsid w:val="006E7BDE"/>
    <w:rsid w:val="006E7C54"/>
    <w:rsid w:val="006E7C89"/>
    <w:rsid w:val="006E7CB7"/>
    <w:rsid w:val="006E7CF3"/>
    <w:rsid w:val="006E7E6A"/>
    <w:rsid w:val="006F008A"/>
    <w:rsid w:val="006F0231"/>
    <w:rsid w:val="006F02A4"/>
    <w:rsid w:val="006F0388"/>
    <w:rsid w:val="006F0458"/>
    <w:rsid w:val="006F0465"/>
    <w:rsid w:val="006F0467"/>
    <w:rsid w:val="006F05DA"/>
    <w:rsid w:val="006F06A1"/>
    <w:rsid w:val="006F0702"/>
    <w:rsid w:val="006F0751"/>
    <w:rsid w:val="006F093D"/>
    <w:rsid w:val="006F0A7E"/>
    <w:rsid w:val="006F0A84"/>
    <w:rsid w:val="006F0AB5"/>
    <w:rsid w:val="006F0B9B"/>
    <w:rsid w:val="006F0BC6"/>
    <w:rsid w:val="006F0C14"/>
    <w:rsid w:val="006F0CC1"/>
    <w:rsid w:val="006F0CD8"/>
    <w:rsid w:val="006F0D34"/>
    <w:rsid w:val="006F0DC4"/>
    <w:rsid w:val="006F0E0B"/>
    <w:rsid w:val="006F0E24"/>
    <w:rsid w:val="006F0E45"/>
    <w:rsid w:val="006F0E8C"/>
    <w:rsid w:val="006F0FCD"/>
    <w:rsid w:val="006F1148"/>
    <w:rsid w:val="006F11A7"/>
    <w:rsid w:val="006F11B9"/>
    <w:rsid w:val="006F123F"/>
    <w:rsid w:val="006F1270"/>
    <w:rsid w:val="006F13B1"/>
    <w:rsid w:val="006F13FC"/>
    <w:rsid w:val="006F1435"/>
    <w:rsid w:val="006F148F"/>
    <w:rsid w:val="006F14DB"/>
    <w:rsid w:val="006F15BA"/>
    <w:rsid w:val="006F1782"/>
    <w:rsid w:val="006F1796"/>
    <w:rsid w:val="006F1802"/>
    <w:rsid w:val="006F18AF"/>
    <w:rsid w:val="006F18BE"/>
    <w:rsid w:val="006F18D1"/>
    <w:rsid w:val="006F18F2"/>
    <w:rsid w:val="006F1922"/>
    <w:rsid w:val="006F1978"/>
    <w:rsid w:val="006F197A"/>
    <w:rsid w:val="006F1A47"/>
    <w:rsid w:val="006F1A7A"/>
    <w:rsid w:val="006F1D12"/>
    <w:rsid w:val="006F1DEE"/>
    <w:rsid w:val="006F1E71"/>
    <w:rsid w:val="006F1F37"/>
    <w:rsid w:val="006F1FB9"/>
    <w:rsid w:val="006F20AB"/>
    <w:rsid w:val="006F2231"/>
    <w:rsid w:val="006F23AE"/>
    <w:rsid w:val="006F23CE"/>
    <w:rsid w:val="006F23DB"/>
    <w:rsid w:val="006F23E7"/>
    <w:rsid w:val="006F24AE"/>
    <w:rsid w:val="006F24FF"/>
    <w:rsid w:val="006F2528"/>
    <w:rsid w:val="006F2584"/>
    <w:rsid w:val="006F25CD"/>
    <w:rsid w:val="006F2666"/>
    <w:rsid w:val="006F26AC"/>
    <w:rsid w:val="006F2854"/>
    <w:rsid w:val="006F2925"/>
    <w:rsid w:val="006F29AA"/>
    <w:rsid w:val="006F29C9"/>
    <w:rsid w:val="006F2B54"/>
    <w:rsid w:val="006F2BAF"/>
    <w:rsid w:val="006F2CF1"/>
    <w:rsid w:val="006F2D65"/>
    <w:rsid w:val="006F2E30"/>
    <w:rsid w:val="006F2E36"/>
    <w:rsid w:val="006F3038"/>
    <w:rsid w:val="006F3051"/>
    <w:rsid w:val="006F30F3"/>
    <w:rsid w:val="006F31A5"/>
    <w:rsid w:val="006F3240"/>
    <w:rsid w:val="006F3325"/>
    <w:rsid w:val="006F3397"/>
    <w:rsid w:val="006F3462"/>
    <w:rsid w:val="006F3513"/>
    <w:rsid w:val="006F353F"/>
    <w:rsid w:val="006F35CD"/>
    <w:rsid w:val="006F367C"/>
    <w:rsid w:val="006F368F"/>
    <w:rsid w:val="006F37AE"/>
    <w:rsid w:val="006F37E5"/>
    <w:rsid w:val="006F38EA"/>
    <w:rsid w:val="006F3A59"/>
    <w:rsid w:val="006F3B54"/>
    <w:rsid w:val="006F3BF0"/>
    <w:rsid w:val="006F3CFB"/>
    <w:rsid w:val="006F3D2D"/>
    <w:rsid w:val="006F3D94"/>
    <w:rsid w:val="006F3DB6"/>
    <w:rsid w:val="006F3DD7"/>
    <w:rsid w:val="006F3DE5"/>
    <w:rsid w:val="006F3DFA"/>
    <w:rsid w:val="006F3E07"/>
    <w:rsid w:val="006F3F09"/>
    <w:rsid w:val="006F3F11"/>
    <w:rsid w:val="006F3F66"/>
    <w:rsid w:val="006F3FFF"/>
    <w:rsid w:val="006F4013"/>
    <w:rsid w:val="006F404E"/>
    <w:rsid w:val="006F415F"/>
    <w:rsid w:val="006F416B"/>
    <w:rsid w:val="006F4264"/>
    <w:rsid w:val="006F43F4"/>
    <w:rsid w:val="006F4471"/>
    <w:rsid w:val="006F44C2"/>
    <w:rsid w:val="006F44E5"/>
    <w:rsid w:val="006F453F"/>
    <w:rsid w:val="006F457A"/>
    <w:rsid w:val="006F45BE"/>
    <w:rsid w:val="006F46BF"/>
    <w:rsid w:val="006F47E9"/>
    <w:rsid w:val="006F47F5"/>
    <w:rsid w:val="006F4ADA"/>
    <w:rsid w:val="006F4AE2"/>
    <w:rsid w:val="006F4B1C"/>
    <w:rsid w:val="006F4B37"/>
    <w:rsid w:val="006F4BB0"/>
    <w:rsid w:val="006F4E9A"/>
    <w:rsid w:val="006F4ECE"/>
    <w:rsid w:val="006F4F70"/>
    <w:rsid w:val="006F4FAA"/>
    <w:rsid w:val="006F4FC7"/>
    <w:rsid w:val="006F50F2"/>
    <w:rsid w:val="006F5112"/>
    <w:rsid w:val="006F51AE"/>
    <w:rsid w:val="006F534F"/>
    <w:rsid w:val="006F5390"/>
    <w:rsid w:val="006F549C"/>
    <w:rsid w:val="006F54C4"/>
    <w:rsid w:val="006F5512"/>
    <w:rsid w:val="006F5674"/>
    <w:rsid w:val="006F574C"/>
    <w:rsid w:val="006F5802"/>
    <w:rsid w:val="006F5953"/>
    <w:rsid w:val="006F5A9F"/>
    <w:rsid w:val="006F5EE1"/>
    <w:rsid w:val="006F5F2C"/>
    <w:rsid w:val="006F5F42"/>
    <w:rsid w:val="006F6064"/>
    <w:rsid w:val="006F6114"/>
    <w:rsid w:val="006F615E"/>
    <w:rsid w:val="006F61FC"/>
    <w:rsid w:val="006F626C"/>
    <w:rsid w:val="006F637F"/>
    <w:rsid w:val="006F639A"/>
    <w:rsid w:val="006F63DF"/>
    <w:rsid w:val="006F64DE"/>
    <w:rsid w:val="006F6614"/>
    <w:rsid w:val="006F6631"/>
    <w:rsid w:val="006F6681"/>
    <w:rsid w:val="006F66C1"/>
    <w:rsid w:val="006F68D2"/>
    <w:rsid w:val="006F6987"/>
    <w:rsid w:val="006F6A8E"/>
    <w:rsid w:val="006F6A99"/>
    <w:rsid w:val="006F6AA7"/>
    <w:rsid w:val="006F6AF2"/>
    <w:rsid w:val="006F6B10"/>
    <w:rsid w:val="006F6C02"/>
    <w:rsid w:val="006F6C7F"/>
    <w:rsid w:val="006F6CED"/>
    <w:rsid w:val="006F6DF1"/>
    <w:rsid w:val="006F6E6C"/>
    <w:rsid w:val="006F6EDC"/>
    <w:rsid w:val="006F6F7F"/>
    <w:rsid w:val="006F70C2"/>
    <w:rsid w:val="006F71FB"/>
    <w:rsid w:val="006F73D8"/>
    <w:rsid w:val="006F7432"/>
    <w:rsid w:val="006F74F9"/>
    <w:rsid w:val="006F7523"/>
    <w:rsid w:val="006F75A2"/>
    <w:rsid w:val="006F75D0"/>
    <w:rsid w:val="006F76D4"/>
    <w:rsid w:val="006F7869"/>
    <w:rsid w:val="006F7896"/>
    <w:rsid w:val="006F7903"/>
    <w:rsid w:val="006F799D"/>
    <w:rsid w:val="006F7BA4"/>
    <w:rsid w:val="006F7C4E"/>
    <w:rsid w:val="006F7CA4"/>
    <w:rsid w:val="006F7D6F"/>
    <w:rsid w:val="006F7F19"/>
    <w:rsid w:val="006F7F1B"/>
    <w:rsid w:val="006F7F75"/>
    <w:rsid w:val="006F7FA1"/>
    <w:rsid w:val="006F7FD7"/>
    <w:rsid w:val="00700111"/>
    <w:rsid w:val="00700120"/>
    <w:rsid w:val="007001E1"/>
    <w:rsid w:val="007002DB"/>
    <w:rsid w:val="00700305"/>
    <w:rsid w:val="0070030D"/>
    <w:rsid w:val="00700323"/>
    <w:rsid w:val="00700341"/>
    <w:rsid w:val="0070039A"/>
    <w:rsid w:val="007003C9"/>
    <w:rsid w:val="00700493"/>
    <w:rsid w:val="00700592"/>
    <w:rsid w:val="007005BE"/>
    <w:rsid w:val="00700602"/>
    <w:rsid w:val="00700615"/>
    <w:rsid w:val="0070064F"/>
    <w:rsid w:val="00700771"/>
    <w:rsid w:val="007007BA"/>
    <w:rsid w:val="007007E8"/>
    <w:rsid w:val="0070083B"/>
    <w:rsid w:val="0070094E"/>
    <w:rsid w:val="0070097B"/>
    <w:rsid w:val="00700A20"/>
    <w:rsid w:val="00700A76"/>
    <w:rsid w:val="00700AA3"/>
    <w:rsid w:val="00700B92"/>
    <w:rsid w:val="00700C7E"/>
    <w:rsid w:val="00700EDC"/>
    <w:rsid w:val="00700F4F"/>
    <w:rsid w:val="00701016"/>
    <w:rsid w:val="00701134"/>
    <w:rsid w:val="00701209"/>
    <w:rsid w:val="007012DC"/>
    <w:rsid w:val="00701510"/>
    <w:rsid w:val="0070155A"/>
    <w:rsid w:val="00701791"/>
    <w:rsid w:val="00701797"/>
    <w:rsid w:val="007018AD"/>
    <w:rsid w:val="007018B6"/>
    <w:rsid w:val="00701AFB"/>
    <w:rsid w:val="00701B34"/>
    <w:rsid w:val="00701B39"/>
    <w:rsid w:val="00701B40"/>
    <w:rsid w:val="00701BF8"/>
    <w:rsid w:val="00701C5C"/>
    <w:rsid w:val="00701CA0"/>
    <w:rsid w:val="00701CCE"/>
    <w:rsid w:val="00701E7F"/>
    <w:rsid w:val="00701ED0"/>
    <w:rsid w:val="00701F66"/>
    <w:rsid w:val="00701F72"/>
    <w:rsid w:val="0070207B"/>
    <w:rsid w:val="00702084"/>
    <w:rsid w:val="00702160"/>
    <w:rsid w:val="00702273"/>
    <w:rsid w:val="0070245F"/>
    <w:rsid w:val="0070247A"/>
    <w:rsid w:val="007024DB"/>
    <w:rsid w:val="00702646"/>
    <w:rsid w:val="00702798"/>
    <w:rsid w:val="007028B6"/>
    <w:rsid w:val="007029CA"/>
    <w:rsid w:val="007029DE"/>
    <w:rsid w:val="00702A5B"/>
    <w:rsid w:val="00702AF1"/>
    <w:rsid w:val="00702C3A"/>
    <w:rsid w:val="00702CC0"/>
    <w:rsid w:val="00702CC8"/>
    <w:rsid w:val="00702D11"/>
    <w:rsid w:val="00702DA8"/>
    <w:rsid w:val="00702DA9"/>
    <w:rsid w:val="00702DB9"/>
    <w:rsid w:val="00702E97"/>
    <w:rsid w:val="0070310A"/>
    <w:rsid w:val="0070327B"/>
    <w:rsid w:val="00703373"/>
    <w:rsid w:val="0070339E"/>
    <w:rsid w:val="00703482"/>
    <w:rsid w:val="0070350F"/>
    <w:rsid w:val="0070354A"/>
    <w:rsid w:val="007035A9"/>
    <w:rsid w:val="007035B5"/>
    <w:rsid w:val="00703600"/>
    <w:rsid w:val="0070374B"/>
    <w:rsid w:val="00703829"/>
    <w:rsid w:val="0070397C"/>
    <w:rsid w:val="00703CF0"/>
    <w:rsid w:val="00703E1C"/>
    <w:rsid w:val="00703EAA"/>
    <w:rsid w:val="00703ED3"/>
    <w:rsid w:val="00703F88"/>
    <w:rsid w:val="00703FD9"/>
    <w:rsid w:val="00703FFB"/>
    <w:rsid w:val="00704053"/>
    <w:rsid w:val="00704223"/>
    <w:rsid w:val="00704255"/>
    <w:rsid w:val="0070426A"/>
    <w:rsid w:val="0070433C"/>
    <w:rsid w:val="00704483"/>
    <w:rsid w:val="00704505"/>
    <w:rsid w:val="00704670"/>
    <w:rsid w:val="0070486E"/>
    <w:rsid w:val="007048CE"/>
    <w:rsid w:val="00704907"/>
    <w:rsid w:val="0070492F"/>
    <w:rsid w:val="00704931"/>
    <w:rsid w:val="00704A1D"/>
    <w:rsid w:val="00704B32"/>
    <w:rsid w:val="00704B38"/>
    <w:rsid w:val="00704B4A"/>
    <w:rsid w:val="00704B86"/>
    <w:rsid w:val="00704BD2"/>
    <w:rsid w:val="00704BEC"/>
    <w:rsid w:val="00704C4C"/>
    <w:rsid w:val="00704CC3"/>
    <w:rsid w:val="00704D9C"/>
    <w:rsid w:val="00704DE3"/>
    <w:rsid w:val="00704E43"/>
    <w:rsid w:val="0070507C"/>
    <w:rsid w:val="0070510D"/>
    <w:rsid w:val="007051DA"/>
    <w:rsid w:val="007051DE"/>
    <w:rsid w:val="0070537F"/>
    <w:rsid w:val="007053F1"/>
    <w:rsid w:val="0070560C"/>
    <w:rsid w:val="007056C3"/>
    <w:rsid w:val="0070598F"/>
    <w:rsid w:val="00705994"/>
    <w:rsid w:val="00705A35"/>
    <w:rsid w:val="00705AB4"/>
    <w:rsid w:val="00705B46"/>
    <w:rsid w:val="00705B76"/>
    <w:rsid w:val="00705CC2"/>
    <w:rsid w:val="00705D9B"/>
    <w:rsid w:val="00705E69"/>
    <w:rsid w:val="00705EC6"/>
    <w:rsid w:val="007060E6"/>
    <w:rsid w:val="0070623E"/>
    <w:rsid w:val="0070626A"/>
    <w:rsid w:val="007062E6"/>
    <w:rsid w:val="007063E5"/>
    <w:rsid w:val="0070640D"/>
    <w:rsid w:val="00706593"/>
    <w:rsid w:val="007065C0"/>
    <w:rsid w:val="007065E9"/>
    <w:rsid w:val="0070670B"/>
    <w:rsid w:val="007067BC"/>
    <w:rsid w:val="007067E2"/>
    <w:rsid w:val="00706834"/>
    <w:rsid w:val="0070692A"/>
    <w:rsid w:val="00706934"/>
    <w:rsid w:val="007069DE"/>
    <w:rsid w:val="00706A0F"/>
    <w:rsid w:val="00706B5C"/>
    <w:rsid w:val="00706CAB"/>
    <w:rsid w:val="00706CF7"/>
    <w:rsid w:val="00706DDA"/>
    <w:rsid w:val="00706FF3"/>
    <w:rsid w:val="00707011"/>
    <w:rsid w:val="00707023"/>
    <w:rsid w:val="00707056"/>
    <w:rsid w:val="007070D7"/>
    <w:rsid w:val="00707126"/>
    <w:rsid w:val="007071A3"/>
    <w:rsid w:val="00707200"/>
    <w:rsid w:val="00707203"/>
    <w:rsid w:val="00707230"/>
    <w:rsid w:val="0070768C"/>
    <w:rsid w:val="00707761"/>
    <w:rsid w:val="0070777E"/>
    <w:rsid w:val="007078BF"/>
    <w:rsid w:val="007078C2"/>
    <w:rsid w:val="00707AA9"/>
    <w:rsid w:val="00707B4C"/>
    <w:rsid w:val="00707B70"/>
    <w:rsid w:val="00707BBF"/>
    <w:rsid w:val="00707BE9"/>
    <w:rsid w:val="00707CBE"/>
    <w:rsid w:val="00707D02"/>
    <w:rsid w:val="00707E3A"/>
    <w:rsid w:val="00707EFC"/>
    <w:rsid w:val="00707F15"/>
    <w:rsid w:val="00707F7A"/>
    <w:rsid w:val="00707F85"/>
    <w:rsid w:val="00707FE0"/>
    <w:rsid w:val="00710030"/>
    <w:rsid w:val="007100B9"/>
    <w:rsid w:val="007100BB"/>
    <w:rsid w:val="007101AB"/>
    <w:rsid w:val="007103C5"/>
    <w:rsid w:val="00710438"/>
    <w:rsid w:val="007104F1"/>
    <w:rsid w:val="00710527"/>
    <w:rsid w:val="00710559"/>
    <w:rsid w:val="0071055F"/>
    <w:rsid w:val="00710564"/>
    <w:rsid w:val="00710591"/>
    <w:rsid w:val="007105C0"/>
    <w:rsid w:val="0071061F"/>
    <w:rsid w:val="00710637"/>
    <w:rsid w:val="00710687"/>
    <w:rsid w:val="007106BD"/>
    <w:rsid w:val="007107E1"/>
    <w:rsid w:val="00710971"/>
    <w:rsid w:val="00710A0B"/>
    <w:rsid w:val="00710B7A"/>
    <w:rsid w:val="00710BA4"/>
    <w:rsid w:val="00710BFB"/>
    <w:rsid w:val="00710C09"/>
    <w:rsid w:val="00710D91"/>
    <w:rsid w:val="00710EA7"/>
    <w:rsid w:val="00710EB8"/>
    <w:rsid w:val="00710EBF"/>
    <w:rsid w:val="00710F5E"/>
    <w:rsid w:val="00710F86"/>
    <w:rsid w:val="00711056"/>
    <w:rsid w:val="0071105E"/>
    <w:rsid w:val="00711091"/>
    <w:rsid w:val="00711114"/>
    <w:rsid w:val="007112CC"/>
    <w:rsid w:val="007113FE"/>
    <w:rsid w:val="00711731"/>
    <w:rsid w:val="00711771"/>
    <w:rsid w:val="00711797"/>
    <w:rsid w:val="00711AAF"/>
    <w:rsid w:val="00711ACA"/>
    <w:rsid w:val="00711B9E"/>
    <w:rsid w:val="00711C46"/>
    <w:rsid w:val="00711D1E"/>
    <w:rsid w:val="00711D3F"/>
    <w:rsid w:val="00711D52"/>
    <w:rsid w:val="00711EB1"/>
    <w:rsid w:val="00711F6B"/>
    <w:rsid w:val="00711FED"/>
    <w:rsid w:val="00711FF4"/>
    <w:rsid w:val="00712051"/>
    <w:rsid w:val="007121D9"/>
    <w:rsid w:val="00712588"/>
    <w:rsid w:val="00712614"/>
    <w:rsid w:val="0071264B"/>
    <w:rsid w:val="007126B8"/>
    <w:rsid w:val="007127C9"/>
    <w:rsid w:val="00712891"/>
    <w:rsid w:val="00712950"/>
    <w:rsid w:val="007129DC"/>
    <w:rsid w:val="00712B4F"/>
    <w:rsid w:val="00712B95"/>
    <w:rsid w:val="00712B9D"/>
    <w:rsid w:val="00712D9F"/>
    <w:rsid w:val="00712E45"/>
    <w:rsid w:val="00712E4D"/>
    <w:rsid w:val="00712ECD"/>
    <w:rsid w:val="00712F8B"/>
    <w:rsid w:val="00712FB4"/>
    <w:rsid w:val="0071314A"/>
    <w:rsid w:val="007131A5"/>
    <w:rsid w:val="007131DC"/>
    <w:rsid w:val="007131EC"/>
    <w:rsid w:val="0071322F"/>
    <w:rsid w:val="007134B4"/>
    <w:rsid w:val="00713636"/>
    <w:rsid w:val="00713637"/>
    <w:rsid w:val="0071369D"/>
    <w:rsid w:val="007138A3"/>
    <w:rsid w:val="00713A15"/>
    <w:rsid w:val="00713DD6"/>
    <w:rsid w:val="00713DFE"/>
    <w:rsid w:val="00713E64"/>
    <w:rsid w:val="00713ED8"/>
    <w:rsid w:val="00713F67"/>
    <w:rsid w:val="00713FF0"/>
    <w:rsid w:val="00714213"/>
    <w:rsid w:val="00714262"/>
    <w:rsid w:val="0071429B"/>
    <w:rsid w:val="00714339"/>
    <w:rsid w:val="0071433A"/>
    <w:rsid w:val="0071434B"/>
    <w:rsid w:val="007143DE"/>
    <w:rsid w:val="00714635"/>
    <w:rsid w:val="007146E4"/>
    <w:rsid w:val="00714789"/>
    <w:rsid w:val="007147D0"/>
    <w:rsid w:val="007148ED"/>
    <w:rsid w:val="00714939"/>
    <w:rsid w:val="0071495C"/>
    <w:rsid w:val="007149D9"/>
    <w:rsid w:val="007149F4"/>
    <w:rsid w:val="00714A35"/>
    <w:rsid w:val="00714A69"/>
    <w:rsid w:val="00714B79"/>
    <w:rsid w:val="00714BA1"/>
    <w:rsid w:val="00714C9D"/>
    <w:rsid w:val="00714CF4"/>
    <w:rsid w:val="00714D73"/>
    <w:rsid w:val="00714DAA"/>
    <w:rsid w:val="00714E5D"/>
    <w:rsid w:val="00714ED3"/>
    <w:rsid w:val="0071520D"/>
    <w:rsid w:val="007152C2"/>
    <w:rsid w:val="0071537D"/>
    <w:rsid w:val="007153E4"/>
    <w:rsid w:val="00715409"/>
    <w:rsid w:val="00715491"/>
    <w:rsid w:val="00715531"/>
    <w:rsid w:val="0071554D"/>
    <w:rsid w:val="00715558"/>
    <w:rsid w:val="0071562E"/>
    <w:rsid w:val="007156B2"/>
    <w:rsid w:val="007157D1"/>
    <w:rsid w:val="007158C5"/>
    <w:rsid w:val="007158DB"/>
    <w:rsid w:val="00715958"/>
    <w:rsid w:val="00715987"/>
    <w:rsid w:val="00715A0C"/>
    <w:rsid w:val="00715A82"/>
    <w:rsid w:val="00715A9A"/>
    <w:rsid w:val="00715BFE"/>
    <w:rsid w:val="00715C89"/>
    <w:rsid w:val="00715CEE"/>
    <w:rsid w:val="00715DC8"/>
    <w:rsid w:val="00715E39"/>
    <w:rsid w:val="00715E63"/>
    <w:rsid w:val="00715EF3"/>
    <w:rsid w:val="00715F02"/>
    <w:rsid w:val="00715F82"/>
    <w:rsid w:val="00715F83"/>
    <w:rsid w:val="00715F9F"/>
    <w:rsid w:val="00715FD4"/>
    <w:rsid w:val="00716001"/>
    <w:rsid w:val="00716290"/>
    <w:rsid w:val="007164B7"/>
    <w:rsid w:val="007164E5"/>
    <w:rsid w:val="00716740"/>
    <w:rsid w:val="007168DB"/>
    <w:rsid w:val="00716964"/>
    <w:rsid w:val="00716A7A"/>
    <w:rsid w:val="00716B2A"/>
    <w:rsid w:val="00716B6F"/>
    <w:rsid w:val="00716B88"/>
    <w:rsid w:val="00716C36"/>
    <w:rsid w:val="00716C4A"/>
    <w:rsid w:val="00716C8E"/>
    <w:rsid w:val="00716C95"/>
    <w:rsid w:val="00716CC4"/>
    <w:rsid w:val="00716D36"/>
    <w:rsid w:val="00716E42"/>
    <w:rsid w:val="00716E5D"/>
    <w:rsid w:val="00716E88"/>
    <w:rsid w:val="00716FE6"/>
    <w:rsid w:val="00716FF7"/>
    <w:rsid w:val="0071701B"/>
    <w:rsid w:val="00717044"/>
    <w:rsid w:val="00717198"/>
    <w:rsid w:val="007171AC"/>
    <w:rsid w:val="00717264"/>
    <w:rsid w:val="0071726C"/>
    <w:rsid w:val="007172CB"/>
    <w:rsid w:val="00717307"/>
    <w:rsid w:val="007174E7"/>
    <w:rsid w:val="0071754D"/>
    <w:rsid w:val="007175F3"/>
    <w:rsid w:val="00717602"/>
    <w:rsid w:val="00717693"/>
    <w:rsid w:val="007176A3"/>
    <w:rsid w:val="007176C6"/>
    <w:rsid w:val="0071770C"/>
    <w:rsid w:val="00717747"/>
    <w:rsid w:val="007177F0"/>
    <w:rsid w:val="0071785A"/>
    <w:rsid w:val="00717890"/>
    <w:rsid w:val="007179C3"/>
    <w:rsid w:val="007179E1"/>
    <w:rsid w:val="00717AB3"/>
    <w:rsid w:val="00717B34"/>
    <w:rsid w:val="00717CD5"/>
    <w:rsid w:val="00717DD9"/>
    <w:rsid w:val="00717DF7"/>
    <w:rsid w:val="00717E08"/>
    <w:rsid w:val="00717F8C"/>
    <w:rsid w:val="0071F31D"/>
    <w:rsid w:val="00720021"/>
    <w:rsid w:val="00720378"/>
    <w:rsid w:val="00720493"/>
    <w:rsid w:val="007206B5"/>
    <w:rsid w:val="007206FB"/>
    <w:rsid w:val="0072083F"/>
    <w:rsid w:val="007208CB"/>
    <w:rsid w:val="007208F7"/>
    <w:rsid w:val="00720992"/>
    <w:rsid w:val="00720995"/>
    <w:rsid w:val="0072099B"/>
    <w:rsid w:val="007209A8"/>
    <w:rsid w:val="007209BD"/>
    <w:rsid w:val="00720ABA"/>
    <w:rsid w:val="00720B0B"/>
    <w:rsid w:val="00720B3B"/>
    <w:rsid w:val="00720C98"/>
    <w:rsid w:val="00720D3C"/>
    <w:rsid w:val="00720DBF"/>
    <w:rsid w:val="00720E74"/>
    <w:rsid w:val="00720F8B"/>
    <w:rsid w:val="0072109C"/>
    <w:rsid w:val="007210C8"/>
    <w:rsid w:val="00721120"/>
    <w:rsid w:val="0072116A"/>
    <w:rsid w:val="0072120C"/>
    <w:rsid w:val="007212EE"/>
    <w:rsid w:val="0072136A"/>
    <w:rsid w:val="007213E8"/>
    <w:rsid w:val="00721475"/>
    <w:rsid w:val="00721478"/>
    <w:rsid w:val="00721595"/>
    <w:rsid w:val="007215AA"/>
    <w:rsid w:val="00721648"/>
    <w:rsid w:val="0072175B"/>
    <w:rsid w:val="0072178B"/>
    <w:rsid w:val="007217B7"/>
    <w:rsid w:val="007217C3"/>
    <w:rsid w:val="0072190C"/>
    <w:rsid w:val="00721981"/>
    <w:rsid w:val="007219CD"/>
    <w:rsid w:val="007219D2"/>
    <w:rsid w:val="00721A2C"/>
    <w:rsid w:val="00721AAC"/>
    <w:rsid w:val="00721AB7"/>
    <w:rsid w:val="00721AF8"/>
    <w:rsid w:val="00721C08"/>
    <w:rsid w:val="00721C34"/>
    <w:rsid w:val="00721C5D"/>
    <w:rsid w:val="00721C98"/>
    <w:rsid w:val="00721E32"/>
    <w:rsid w:val="00721F26"/>
    <w:rsid w:val="00721FA7"/>
    <w:rsid w:val="00721FB6"/>
    <w:rsid w:val="007221C3"/>
    <w:rsid w:val="007222B5"/>
    <w:rsid w:val="007222C7"/>
    <w:rsid w:val="007223C9"/>
    <w:rsid w:val="00722449"/>
    <w:rsid w:val="007224D7"/>
    <w:rsid w:val="007224D8"/>
    <w:rsid w:val="0072257E"/>
    <w:rsid w:val="007225E1"/>
    <w:rsid w:val="007225F3"/>
    <w:rsid w:val="007226E7"/>
    <w:rsid w:val="00722771"/>
    <w:rsid w:val="007227EA"/>
    <w:rsid w:val="007228A2"/>
    <w:rsid w:val="007228DC"/>
    <w:rsid w:val="00722989"/>
    <w:rsid w:val="007229C4"/>
    <w:rsid w:val="007229D7"/>
    <w:rsid w:val="00722A22"/>
    <w:rsid w:val="00722AFC"/>
    <w:rsid w:val="00722B66"/>
    <w:rsid w:val="00722B7B"/>
    <w:rsid w:val="00722BF1"/>
    <w:rsid w:val="00722C2C"/>
    <w:rsid w:val="00722C32"/>
    <w:rsid w:val="00722C7A"/>
    <w:rsid w:val="00722CC0"/>
    <w:rsid w:val="00722E18"/>
    <w:rsid w:val="00722E19"/>
    <w:rsid w:val="00722E62"/>
    <w:rsid w:val="00722FB8"/>
    <w:rsid w:val="0072300E"/>
    <w:rsid w:val="00723026"/>
    <w:rsid w:val="007230CA"/>
    <w:rsid w:val="0072328E"/>
    <w:rsid w:val="0072334D"/>
    <w:rsid w:val="00723377"/>
    <w:rsid w:val="0072342C"/>
    <w:rsid w:val="00723452"/>
    <w:rsid w:val="0072349C"/>
    <w:rsid w:val="007234DB"/>
    <w:rsid w:val="0072350C"/>
    <w:rsid w:val="0072355F"/>
    <w:rsid w:val="007235FE"/>
    <w:rsid w:val="0072368E"/>
    <w:rsid w:val="0072376D"/>
    <w:rsid w:val="007237E5"/>
    <w:rsid w:val="0072383C"/>
    <w:rsid w:val="00723871"/>
    <w:rsid w:val="00723970"/>
    <w:rsid w:val="007239CA"/>
    <w:rsid w:val="00723AB1"/>
    <w:rsid w:val="00723AC5"/>
    <w:rsid w:val="00723ADE"/>
    <w:rsid w:val="00723AFC"/>
    <w:rsid w:val="00723BD9"/>
    <w:rsid w:val="00723C0E"/>
    <w:rsid w:val="00723C40"/>
    <w:rsid w:val="00723C51"/>
    <w:rsid w:val="00723C8D"/>
    <w:rsid w:val="00723DE9"/>
    <w:rsid w:val="00723F72"/>
    <w:rsid w:val="00724117"/>
    <w:rsid w:val="0072414C"/>
    <w:rsid w:val="0072416B"/>
    <w:rsid w:val="0072417E"/>
    <w:rsid w:val="00724183"/>
    <w:rsid w:val="00724225"/>
    <w:rsid w:val="00724230"/>
    <w:rsid w:val="00724272"/>
    <w:rsid w:val="00724325"/>
    <w:rsid w:val="0072434E"/>
    <w:rsid w:val="00724353"/>
    <w:rsid w:val="007243C1"/>
    <w:rsid w:val="00724675"/>
    <w:rsid w:val="0072476B"/>
    <w:rsid w:val="007247CA"/>
    <w:rsid w:val="00724802"/>
    <w:rsid w:val="00724A31"/>
    <w:rsid w:val="00724B4F"/>
    <w:rsid w:val="00724BFA"/>
    <w:rsid w:val="00724C10"/>
    <w:rsid w:val="00724D54"/>
    <w:rsid w:val="00724E82"/>
    <w:rsid w:val="00724E9A"/>
    <w:rsid w:val="00725195"/>
    <w:rsid w:val="00725233"/>
    <w:rsid w:val="00725290"/>
    <w:rsid w:val="00725472"/>
    <w:rsid w:val="007254AC"/>
    <w:rsid w:val="00725500"/>
    <w:rsid w:val="00725556"/>
    <w:rsid w:val="007255AB"/>
    <w:rsid w:val="00725731"/>
    <w:rsid w:val="0072582B"/>
    <w:rsid w:val="0072586C"/>
    <w:rsid w:val="00725873"/>
    <w:rsid w:val="007259EE"/>
    <w:rsid w:val="00725ACB"/>
    <w:rsid w:val="00725C0D"/>
    <w:rsid w:val="00725D10"/>
    <w:rsid w:val="00725DAA"/>
    <w:rsid w:val="00725EE4"/>
    <w:rsid w:val="0072603C"/>
    <w:rsid w:val="007261CB"/>
    <w:rsid w:val="0072622C"/>
    <w:rsid w:val="007262A4"/>
    <w:rsid w:val="007262C7"/>
    <w:rsid w:val="007263D8"/>
    <w:rsid w:val="00726683"/>
    <w:rsid w:val="007266F1"/>
    <w:rsid w:val="0072698B"/>
    <w:rsid w:val="00726A6B"/>
    <w:rsid w:val="00726A6D"/>
    <w:rsid w:val="00726AB1"/>
    <w:rsid w:val="00726B1E"/>
    <w:rsid w:val="00726B5C"/>
    <w:rsid w:val="00726CF8"/>
    <w:rsid w:val="00726E63"/>
    <w:rsid w:val="00726ECD"/>
    <w:rsid w:val="00726FA7"/>
    <w:rsid w:val="00727079"/>
    <w:rsid w:val="007272C6"/>
    <w:rsid w:val="007272E3"/>
    <w:rsid w:val="007272EB"/>
    <w:rsid w:val="00727400"/>
    <w:rsid w:val="00727409"/>
    <w:rsid w:val="00727411"/>
    <w:rsid w:val="00727414"/>
    <w:rsid w:val="007274F9"/>
    <w:rsid w:val="0072757F"/>
    <w:rsid w:val="007275F3"/>
    <w:rsid w:val="00727653"/>
    <w:rsid w:val="0072774F"/>
    <w:rsid w:val="007278CF"/>
    <w:rsid w:val="007278DC"/>
    <w:rsid w:val="00727926"/>
    <w:rsid w:val="007279E3"/>
    <w:rsid w:val="00727E38"/>
    <w:rsid w:val="00727E4A"/>
    <w:rsid w:val="00727E91"/>
    <w:rsid w:val="00727EAA"/>
    <w:rsid w:val="00727F6E"/>
    <w:rsid w:val="00730035"/>
    <w:rsid w:val="0073009D"/>
    <w:rsid w:val="00730169"/>
    <w:rsid w:val="00730262"/>
    <w:rsid w:val="0073038B"/>
    <w:rsid w:val="007303A9"/>
    <w:rsid w:val="00730499"/>
    <w:rsid w:val="00730570"/>
    <w:rsid w:val="007305A5"/>
    <w:rsid w:val="00730662"/>
    <w:rsid w:val="007306DC"/>
    <w:rsid w:val="00730876"/>
    <w:rsid w:val="007308E8"/>
    <w:rsid w:val="00730996"/>
    <w:rsid w:val="007309B7"/>
    <w:rsid w:val="007309EC"/>
    <w:rsid w:val="00730C47"/>
    <w:rsid w:val="00730D2F"/>
    <w:rsid w:val="00730D36"/>
    <w:rsid w:val="00730E7E"/>
    <w:rsid w:val="00730E9A"/>
    <w:rsid w:val="00730F0A"/>
    <w:rsid w:val="00731040"/>
    <w:rsid w:val="00731078"/>
    <w:rsid w:val="007310BB"/>
    <w:rsid w:val="00731157"/>
    <w:rsid w:val="007311B9"/>
    <w:rsid w:val="00731275"/>
    <w:rsid w:val="007312A5"/>
    <w:rsid w:val="0073139D"/>
    <w:rsid w:val="00731412"/>
    <w:rsid w:val="00731502"/>
    <w:rsid w:val="00731565"/>
    <w:rsid w:val="007315B7"/>
    <w:rsid w:val="0073161A"/>
    <w:rsid w:val="00731651"/>
    <w:rsid w:val="007316B2"/>
    <w:rsid w:val="007316B9"/>
    <w:rsid w:val="00731808"/>
    <w:rsid w:val="00731998"/>
    <w:rsid w:val="00731A0D"/>
    <w:rsid w:val="00731A98"/>
    <w:rsid w:val="00731B36"/>
    <w:rsid w:val="00731B39"/>
    <w:rsid w:val="00731B97"/>
    <w:rsid w:val="00731CF3"/>
    <w:rsid w:val="00731DA1"/>
    <w:rsid w:val="00731DB4"/>
    <w:rsid w:val="00731E7C"/>
    <w:rsid w:val="00732110"/>
    <w:rsid w:val="00732122"/>
    <w:rsid w:val="00732135"/>
    <w:rsid w:val="0073226A"/>
    <w:rsid w:val="007322A8"/>
    <w:rsid w:val="007322E6"/>
    <w:rsid w:val="007322EF"/>
    <w:rsid w:val="00732355"/>
    <w:rsid w:val="00732563"/>
    <w:rsid w:val="0073264B"/>
    <w:rsid w:val="0073277A"/>
    <w:rsid w:val="0073283C"/>
    <w:rsid w:val="007328E7"/>
    <w:rsid w:val="00732AD0"/>
    <w:rsid w:val="00732AE6"/>
    <w:rsid w:val="00732B92"/>
    <w:rsid w:val="00732D7E"/>
    <w:rsid w:val="00732E38"/>
    <w:rsid w:val="00732F3A"/>
    <w:rsid w:val="00732F3C"/>
    <w:rsid w:val="00732F7D"/>
    <w:rsid w:val="0073318B"/>
    <w:rsid w:val="007331E2"/>
    <w:rsid w:val="00733232"/>
    <w:rsid w:val="00733413"/>
    <w:rsid w:val="00733421"/>
    <w:rsid w:val="0073354E"/>
    <w:rsid w:val="0073356E"/>
    <w:rsid w:val="007336D6"/>
    <w:rsid w:val="00733759"/>
    <w:rsid w:val="00733788"/>
    <w:rsid w:val="007337AA"/>
    <w:rsid w:val="007338C5"/>
    <w:rsid w:val="007338F0"/>
    <w:rsid w:val="0073394C"/>
    <w:rsid w:val="0073398A"/>
    <w:rsid w:val="007339A1"/>
    <w:rsid w:val="00733A15"/>
    <w:rsid w:val="00733A8C"/>
    <w:rsid w:val="00733B92"/>
    <w:rsid w:val="00733B98"/>
    <w:rsid w:val="00733C12"/>
    <w:rsid w:val="00733CB9"/>
    <w:rsid w:val="00733CDA"/>
    <w:rsid w:val="00733D4F"/>
    <w:rsid w:val="00733D68"/>
    <w:rsid w:val="00733DD5"/>
    <w:rsid w:val="00733E36"/>
    <w:rsid w:val="00733E68"/>
    <w:rsid w:val="00733F50"/>
    <w:rsid w:val="00733F58"/>
    <w:rsid w:val="007340A1"/>
    <w:rsid w:val="0073422A"/>
    <w:rsid w:val="00734289"/>
    <w:rsid w:val="007343F8"/>
    <w:rsid w:val="00734511"/>
    <w:rsid w:val="00734548"/>
    <w:rsid w:val="00734630"/>
    <w:rsid w:val="00734658"/>
    <w:rsid w:val="007346D2"/>
    <w:rsid w:val="007347F8"/>
    <w:rsid w:val="00734910"/>
    <w:rsid w:val="00734935"/>
    <w:rsid w:val="00734A78"/>
    <w:rsid w:val="00734AA0"/>
    <w:rsid w:val="00734C2D"/>
    <w:rsid w:val="00734D13"/>
    <w:rsid w:val="00734DB1"/>
    <w:rsid w:val="00734DEF"/>
    <w:rsid w:val="00734EBF"/>
    <w:rsid w:val="00734EC7"/>
    <w:rsid w:val="00734ECC"/>
    <w:rsid w:val="00734FF3"/>
    <w:rsid w:val="007350D1"/>
    <w:rsid w:val="007350D2"/>
    <w:rsid w:val="0073512B"/>
    <w:rsid w:val="0073517E"/>
    <w:rsid w:val="00735231"/>
    <w:rsid w:val="007353C5"/>
    <w:rsid w:val="007353C6"/>
    <w:rsid w:val="00735509"/>
    <w:rsid w:val="0073550D"/>
    <w:rsid w:val="0073552F"/>
    <w:rsid w:val="0073557C"/>
    <w:rsid w:val="007355D2"/>
    <w:rsid w:val="00735618"/>
    <w:rsid w:val="0073562D"/>
    <w:rsid w:val="0073574B"/>
    <w:rsid w:val="00735755"/>
    <w:rsid w:val="007357DB"/>
    <w:rsid w:val="00735837"/>
    <w:rsid w:val="007358F5"/>
    <w:rsid w:val="00735A79"/>
    <w:rsid w:val="00735A93"/>
    <w:rsid w:val="00735AA6"/>
    <w:rsid w:val="00735AA8"/>
    <w:rsid w:val="00735C6E"/>
    <w:rsid w:val="00735C92"/>
    <w:rsid w:val="00735D55"/>
    <w:rsid w:val="00735E95"/>
    <w:rsid w:val="00735EF0"/>
    <w:rsid w:val="00736215"/>
    <w:rsid w:val="007362CF"/>
    <w:rsid w:val="007362D3"/>
    <w:rsid w:val="007362E1"/>
    <w:rsid w:val="007362F5"/>
    <w:rsid w:val="0073630D"/>
    <w:rsid w:val="00736515"/>
    <w:rsid w:val="00736526"/>
    <w:rsid w:val="00736578"/>
    <w:rsid w:val="00736600"/>
    <w:rsid w:val="00736653"/>
    <w:rsid w:val="00736663"/>
    <w:rsid w:val="00736706"/>
    <w:rsid w:val="0073672F"/>
    <w:rsid w:val="0073674B"/>
    <w:rsid w:val="0073697C"/>
    <w:rsid w:val="00736983"/>
    <w:rsid w:val="007369E2"/>
    <w:rsid w:val="00736A48"/>
    <w:rsid w:val="00736A77"/>
    <w:rsid w:val="00736B8B"/>
    <w:rsid w:val="00736C4F"/>
    <w:rsid w:val="00736C74"/>
    <w:rsid w:val="00736CD6"/>
    <w:rsid w:val="00736CFF"/>
    <w:rsid w:val="00736D9A"/>
    <w:rsid w:val="00736DCD"/>
    <w:rsid w:val="00736EE4"/>
    <w:rsid w:val="00736F4B"/>
    <w:rsid w:val="00736FC8"/>
    <w:rsid w:val="00737217"/>
    <w:rsid w:val="0073726A"/>
    <w:rsid w:val="007372C8"/>
    <w:rsid w:val="007372DE"/>
    <w:rsid w:val="00737371"/>
    <w:rsid w:val="00737562"/>
    <w:rsid w:val="0073762D"/>
    <w:rsid w:val="0073768A"/>
    <w:rsid w:val="007376D7"/>
    <w:rsid w:val="007376F9"/>
    <w:rsid w:val="00737762"/>
    <w:rsid w:val="007377DB"/>
    <w:rsid w:val="00737A4B"/>
    <w:rsid w:val="00737B18"/>
    <w:rsid w:val="00737B7A"/>
    <w:rsid w:val="00737B9E"/>
    <w:rsid w:val="00737C43"/>
    <w:rsid w:val="00737C4D"/>
    <w:rsid w:val="00737C97"/>
    <w:rsid w:val="00737FF8"/>
    <w:rsid w:val="00740045"/>
    <w:rsid w:val="00740087"/>
    <w:rsid w:val="007400A5"/>
    <w:rsid w:val="007400BF"/>
    <w:rsid w:val="0074014B"/>
    <w:rsid w:val="007401B3"/>
    <w:rsid w:val="0074022B"/>
    <w:rsid w:val="007402FE"/>
    <w:rsid w:val="00740369"/>
    <w:rsid w:val="0074038D"/>
    <w:rsid w:val="00740410"/>
    <w:rsid w:val="00740463"/>
    <w:rsid w:val="00740473"/>
    <w:rsid w:val="0074048C"/>
    <w:rsid w:val="007406DD"/>
    <w:rsid w:val="0074070F"/>
    <w:rsid w:val="00740752"/>
    <w:rsid w:val="00740806"/>
    <w:rsid w:val="00740872"/>
    <w:rsid w:val="00740897"/>
    <w:rsid w:val="00740943"/>
    <w:rsid w:val="00740A19"/>
    <w:rsid w:val="00740A2D"/>
    <w:rsid w:val="00740A30"/>
    <w:rsid w:val="00740A38"/>
    <w:rsid w:val="00740A7E"/>
    <w:rsid w:val="00740B28"/>
    <w:rsid w:val="00740D54"/>
    <w:rsid w:val="00740D7F"/>
    <w:rsid w:val="00740E06"/>
    <w:rsid w:val="00740E10"/>
    <w:rsid w:val="00740E11"/>
    <w:rsid w:val="00740FDE"/>
    <w:rsid w:val="0074101A"/>
    <w:rsid w:val="0074102A"/>
    <w:rsid w:val="0074114D"/>
    <w:rsid w:val="007411CB"/>
    <w:rsid w:val="0074126C"/>
    <w:rsid w:val="007412AB"/>
    <w:rsid w:val="0074136C"/>
    <w:rsid w:val="00741456"/>
    <w:rsid w:val="00741580"/>
    <w:rsid w:val="007415DF"/>
    <w:rsid w:val="0074183E"/>
    <w:rsid w:val="0074189A"/>
    <w:rsid w:val="00741A87"/>
    <w:rsid w:val="00741AE8"/>
    <w:rsid w:val="00741B8F"/>
    <w:rsid w:val="00741C77"/>
    <w:rsid w:val="00741D10"/>
    <w:rsid w:val="00741D2D"/>
    <w:rsid w:val="00741E4A"/>
    <w:rsid w:val="00741E9B"/>
    <w:rsid w:val="00741EED"/>
    <w:rsid w:val="00742056"/>
    <w:rsid w:val="007420BC"/>
    <w:rsid w:val="00742106"/>
    <w:rsid w:val="00742176"/>
    <w:rsid w:val="007421FA"/>
    <w:rsid w:val="0074225B"/>
    <w:rsid w:val="00742265"/>
    <w:rsid w:val="007422EE"/>
    <w:rsid w:val="00742317"/>
    <w:rsid w:val="007423F5"/>
    <w:rsid w:val="00742435"/>
    <w:rsid w:val="007424B3"/>
    <w:rsid w:val="007425A1"/>
    <w:rsid w:val="007425CB"/>
    <w:rsid w:val="00742722"/>
    <w:rsid w:val="007427AD"/>
    <w:rsid w:val="00742927"/>
    <w:rsid w:val="0074293A"/>
    <w:rsid w:val="00742980"/>
    <w:rsid w:val="007429AA"/>
    <w:rsid w:val="007429E3"/>
    <w:rsid w:val="00742B5C"/>
    <w:rsid w:val="00742DFF"/>
    <w:rsid w:val="00742E6E"/>
    <w:rsid w:val="00742EB9"/>
    <w:rsid w:val="00742FFB"/>
    <w:rsid w:val="00743066"/>
    <w:rsid w:val="00743154"/>
    <w:rsid w:val="00743194"/>
    <w:rsid w:val="007432A7"/>
    <w:rsid w:val="007433D9"/>
    <w:rsid w:val="007437C6"/>
    <w:rsid w:val="007439E2"/>
    <w:rsid w:val="00743A37"/>
    <w:rsid w:val="00743AAF"/>
    <w:rsid w:val="00743AB1"/>
    <w:rsid w:val="00743B14"/>
    <w:rsid w:val="00743BFA"/>
    <w:rsid w:val="00743C22"/>
    <w:rsid w:val="00743C75"/>
    <w:rsid w:val="00743D92"/>
    <w:rsid w:val="00743E1A"/>
    <w:rsid w:val="00743E3D"/>
    <w:rsid w:val="00743F7C"/>
    <w:rsid w:val="0074410A"/>
    <w:rsid w:val="00744142"/>
    <w:rsid w:val="007441F1"/>
    <w:rsid w:val="0074448E"/>
    <w:rsid w:val="00744608"/>
    <w:rsid w:val="00744629"/>
    <w:rsid w:val="00744652"/>
    <w:rsid w:val="007446C7"/>
    <w:rsid w:val="007448F2"/>
    <w:rsid w:val="00744937"/>
    <w:rsid w:val="007449AB"/>
    <w:rsid w:val="00744B31"/>
    <w:rsid w:val="00744CF6"/>
    <w:rsid w:val="00744D7B"/>
    <w:rsid w:val="00744EA5"/>
    <w:rsid w:val="00744ECD"/>
    <w:rsid w:val="00744FDD"/>
    <w:rsid w:val="0074502E"/>
    <w:rsid w:val="00745050"/>
    <w:rsid w:val="0074509A"/>
    <w:rsid w:val="007450D0"/>
    <w:rsid w:val="007452BE"/>
    <w:rsid w:val="007452E0"/>
    <w:rsid w:val="007453DA"/>
    <w:rsid w:val="007453F3"/>
    <w:rsid w:val="007454C6"/>
    <w:rsid w:val="007454F5"/>
    <w:rsid w:val="00745598"/>
    <w:rsid w:val="007455BA"/>
    <w:rsid w:val="0074563A"/>
    <w:rsid w:val="00745654"/>
    <w:rsid w:val="00745734"/>
    <w:rsid w:val="007457B4"/>
    <w:rsid w:val="007457DF"/>
    <w:rsid w:val="00745801"/>
    <w:rsid w:val="0074582A"/>
    <w:rsid w:val="007458CB"/>
    <w:rsid w:val="00745A1F"/>
    <w:rsid w:val="00745B0A"/>
    <w:rsid w:val="00745C20"/>
    <w:rsid w:val="00745C72"/>
    <w:rsid w:val="00745D97"/>
    <w:rsid w:val="00745DF9"/>
    <w:rsid w:val="00745E4D"/>
    <w:rsid w:val="00745ECD"/>
    <w:rsid w:val="00745F99"/>
    <w:rsid w:val="00745FE7"/>
    <w:rsid w:val="00746212"/>
    <w:rsid w:val="007462C7"/>
    <w:rsid w:val="0074630D"/>
    <w:rsid w:val="00746317"/>
    <w:rsid w:val="0074633F"/>
    <w:rsid w:val="00746495"/>
    <w:rsid w:val="007464DB"/>
    <w:rsid w:val="00746597"/>
    <w:rsid w:val="00746680"/>
    <w:rsid w:val="00746A71"/>
    <w:rsid w:val="00746AF1"/>
    <w:rsid w:val="00746BCA"/>
    <w:rsid w:val="00746C17"/>
    <w:rsid w:val="00746E9A"/>
    <w:rsid w:val="00746EA4"/>
    <w:rsid w:val="00746F1C"/>
    <w:rsid w:val="00746F32"/>
    <w:rsid w:val="00746F8D"/>
    <w:rsid w:val="00747067"/>
    <w:rsid w:val="00747094"/>
    <w:rsid w:val="0074710A"/>
    <w:rsid w:val="00747182"/>
    <w:rsid w:val="00747193"/>
    <w:rsid w:val="007472C5"/>
    <w:rsid w:val="0074735F"/>
    <w:rsid w:val="0074743F"/>
    <w:rsid w:val="007474C5"/>
    <w:rsid w:val="0074756E"/>
    <w:rsid w:val="0074766A"/>
    <w:rsid w:val="007476C3"/>
    <w:rsid w:val="00747740"/>
    <w:rsid w:val="00747841"/>
    <w:rsid w:val="00747868"/>
    <w:rsid w:val="00747885"/>
    <w:rsid w:val="007478A1"/>
    <w:rsid w:val="007478F0"/>
    <w:rsid w:val="00747910"/>
    <w:rsid w:val="00747917"/>
    <w:rsid w:val="00747960"/>
    <w:rsid w:val="00747990"/>
    <w:rsid w:val="00747A0F"/>
    <w:rsid w:val="00747A78"/>
    <w:rsid w:val="00747B34"/>
    <w:rsid w:val="00747CF3"/>
    <w:rsid w:val="00747D2D"/>
    <w:rsid w:val="00747E12"/>
    <w:rsid w:val="00747E15"/>
    <w:rsid w:val="00747E1F"/>
    <w:rsid w:val="00747F85"/>
    <w:rsid w:val="007500F2"/>
    <w:rsid w:val="00750139"/>
    <w:rsid w:val="0075028B"/>
    <w:rsid w:val="007504EB"/>
    <w:rsid w:val="0075051F"/>
    <w:rsid w:val="00750628"/>
    <w:rsid w:val="007507DB"/>
    <w:rsid w:val="007507E0"/>
    <w:rsid w:val="007507EF"/>
    <w:rsid w:val="00750925"/>
    <w:rsid w:val="0075094B"/>
    <w:rsid w:val="0075094D"/>
    <w:rsid w:val="00750A2C"/>
    <w:rsid w:val="00750AB3"/>
    <w:rsid w:val="00750B48"/>
    <w:rsid w:val="00750BC6"/>
    <w:rsid w:val="00750C1C"/>
    <w:rsid w:val="00750D09"/>
    <w:rsid w:val="00750D47"/>
    <w:rsid w:val="00750E99"/>
    <w:rsid w:val="00750ED0"/>
    <w:rsid w:val="00750F78"/>
    <w:rsid w:val="0075101A"/>
    <w:rsid w:val="0075110D"/>
    <w:rsid w:val="00751120"/>
    <w:rsid w:val="00751223"/>
    <w:rsid w:val="00751308"/>
    <w:rsid w:val="007513E6"/>
    <w:rsid w:val="007515BC"/>
    <w:rsid w:val="0075161F"/>
    <w:rsid w:val="007516C5"/>
    <w:rsid w:val="0075172D"/>
    <w:rsid w:val="007517DE"/>
    <w:rsid w:val="0075182F"/>
    <w:rsid w:val="00751845"/>
    <w:rsid w:val="00751871"/>
    <w:rsid w:val="00751885"/>
    <w:rsid w:val="0075195C"/>
    <w:rsid w:val="007519C4"/>
    <w:rsid w:val="00751BA0"/>
    <w:rsid w:val="00751C5C"/>
    <w:rsid w:val="00751CC1"/>
    <w:rsid w:val="00751CDC"/>
    <w:rsid w:val="00751CE4"/>
    <w:rsid w:val="00751FA9"/>
    <w:rsid w:val="007520A8"/>
    <w:rsid w:val="007520CB"/>
    <w:rsid w:val="007520FB"/>
    <w:rsid w:val="00752146"/>
    <w:rsid w:val="00752339"/>
    <w:rsid w:val="007523FE"/>
    <w:rsid w:val="0075244F"/>
    <w:rsid w:val="0075255A"/>
    <w:rsid w:val="00752611"/>
    <w:rsid w:val="00752614"/>
    <w:rsid w:val="007526C7"/>
    <w:rsid w:val="00752739"/>
    <w:rsid w:val="007527C7"/>
    <w:rsid w:val="007527E5"/>
    <w:rsid w:val="0075287F"/>
    <w:rsid w:val="00752922"/>
    <w:rsid w:val="0075296F"/>
    <w:rsid w:val="007529D6"/>
    <w:rsid w:val="007529FD"/>
    <w:rsid w:val="00752A65"/>
    <w:rsid w:val="00752B6C"/>
    <w:rsid w:val="00752C90"/>
    <w:rsid w:val="00752D03"/>
    <w:rsid w:val="00752EFA"/>
    <w:rsid w:val="00752F4F"/>
    <w:rsid w:val="00752F81"/>
    <w:rsid w:val="0075305D"/>
    <w:rsid w:val="0075339B"/>
    <w:rsid w:val="0075341C"/>
    <w:rsid w:val="007534A9"/>
    <w:rsid w:val="007534C2"/>
    <w:rsid w:val="00753573"/>
    <w:rsid w:val="0075365E"/>
    <w:rsid w:val="00753920"/>
    <w:rsid w:val="00753950"/>
    <w:rsid w:val="007539D3"/>
    <w:rsid w:val="00753A49"/>
    <w:rsid w:val="00753A4F"/>
    <w:rsid w:val="00753A9C"/>
    <w:rsid w:val="00753BBE"/>
    <w:rsid w:val="00753C7F"/>
    <w:rsid w:val="00753C95"/>
    <w:rsid w:val="00753DB3"/>
    <w:rsid w:val="00753E18"/>
    <w:rsid w:val="00753E8C"/>
    <w:rsid w:val="00753F97"/>
    <w:rsid w:val="00753FC6"/>
    <w:rsid w:val="00753FF0"/>
    <w:rsid w:val="00754007"/>
    <w:rsid w:val="00754086"/>
    <w:rsid w:val="0075427F"/>
    <w:rsid w:val="007542A9"/>
    <w:rsid w:val="007543C8"/>
    <w:rsid w:val="007543D8"/>
    <w:rsid w:val="00754400"/>
    <w:rsid w:val="0075441B"/>
    <w:rsid w:val="007544F6"/>
    <w:rsid w:val="0075455B"/>
    <w:rsid w:val="0075456D"/>
    <w:rsid w:val="0075461C"/>
    <w:rsid w:val="007546F0"/>
    <w:rsid w:val="007547A9"/>
    <w:rsid w:val="007547B5"/>
    <w:rsid w:val="0075488B"/>
    <w:rsid w:val="007548BB"/>
    <w:rsid w:val="00754B6F"/>
    <w:rsid w:val="00754C02"/>
    <w:rsid w:val="00754CF1"/>
    <w:rsid w:val="00754DEB"/>
    <w:rsid w:val="00754ED0"/>
    <w:rsid w:val="00754FB6"/>
    <w:rsid w:val="00754FF0"/>
    <w:rsid w:val="00755016"/>
    <w:rsid w:val="00755042"/>
    <w:rsid w:val="007550B9"/>
    <w:rsid w:val="00755166"/>
    <w:rsid w:val="007551C8"/>
    <w:rsid w:val="007553A7"/>
    <w:rsid w:val="007553FE"/>
    <w:rsid w:val="007554EE"/>
    <w:rsid w:val="0075551E"/>
    <w:rsid w:val="00755572"/>
    <w:rsid w:val="007555BB"/>
    <w:rsid w:val="00755669"/>
    <w:rsid w:val="007556B9"/>
    <w:rsid w:val="00755773"/>
    <w:rsid w:val="007557CC"/>
    <w:rsid w:val="0075588E"/>
    <w:rsid w:val="007558A1"/>
    <w:rsid w:val="007558E9"/>
    <w:rsid w:val="007559B0"/>
    <w:rsid w:val="00755A4E"/>
    <w:rsid w:val="00755AF2"/>
    <w:rsid w:val="00755AF9"/>
    <w:rsid w:val="00755C4D"/>
    <w:rsid w:val="00755C77"/>
    <w:rsid w:val="00755D03"/>
    <w:rsid w:val="00755D61"/>
    <w:rsid w:val="00755EA0"/>
    <w:rsid w:val="00755FC1"/>
    <w:rsid w:val="00755FDF"/>
    <w:rsid w:val="007560BF"/>
    <w:rsid w:val="00756166"/>
    <w:rsid w:val="007562EF"/>
    <w:rsid w:val="00756351"/>
    <w:rsid w:val="0075643E"/>
    <w:rsid w:val="007564F7"/>
    <w:rsid w:val="007565E4"/>
    <w:rsid w:val="00756617"/>
    <w:rsid w:val="007567B4"/>
    <w:rsid w:val="007568FA"/>
    <w:rsid w:val="0075695B"/>
    <w:rsid w:val="007569D3"/>
    <w:rsid w:val="00756A10"/>
    <w:rsid w:val="00756A29"/>
    <w:rsid w:val="00756A53"/>
    <w:rsid w:val="00756A60"/>
    <w:rsid w:val="00756B9C"/>
    <w:rsid w:val="00756C34"/>
    <w:rsid w:val="00756D62"/>
    <w:rsid w:val="00756DB0"/>
    <w:rsid w:val="00756F3E"/>
    <w:rsid w:val="00756F59"/>
    <w:rsid w:val="00756F69"/>
    <w:rsid w:val="00757091"/>
    <w:rsid w:val="007570BF"/>
    <w:rsid w:val="007570E9"/>
    <w:rsid w:val="00757172"/>
    <w:rsid w:val="007571C9"/>
    <w:rsid w:val="007571D2"/>
    <w:rsid w:val="007572EE"/>
    <w:rsid w:val="00757707"/>
    <w:rsid w:val="007577D0"/>
    <w:rsid w:val="0075787F"/>
    <w:rsid w:val="00757A3F"/>
    <w:rsid w:val="00757AAD"/>
    <w:rsid w:val="00757AC7"/>
    <w:rsid w:val="00757C86"/>
    <w:rsid w:val="00757CF0"/>
    <w:rsid w:val="00757D0A"/>
    <w:rsid w:val="00757D7A"/>
    <w:rsid w:val="00757E28"/>
    <w:rsid w:val="00757E3A"/>
    <w:rsid w:val="00757F27"/>
    <w:rsid w:val="00757FD7"/>
    <w:rsid w:val="00757FDA"/>
    <w:rsid w:val="00760105"/>
    <w:rsid w:val="00760147"/>
    <w:rsid w:val="007601B6"/>
    <w:rsid w:val="007601D7"/>
    <w:rsid w:val="0076020F"/>
    <w:rsid w:val="00760265"/>
    <w:rsid w:val="007604B6"/>
    <w:rsid w:val="007604F1"/>
    <w:rsid w:val="007604F6"/>
    <w:rsid w:val="00760577"/>
    <w:rsid w:val="007605A2"/>
    <w:rsid w:val="007606F3"/>
    <w:rsid w:val="0076075B"/>
    <w:rsid w:val="007607FA"/>
    <w:rsid w:val="00760854"/>
    <w:rsid w:val="007608C3"/>
    <w:rsid w:val="007608E8"/>
    <w:rsid w:val="007608ED"/>
    <w:rsid w:val="007608FB"/>
    <w:rsid w:val="007608FF"/>
    <w:rsid w:val="0076092F"/>
    <w:rsid w:val="0076097A"/>
    <w:rsid w:val="0076098F"/>
    <w:rsid w:val="00760A2D"/>
    <w:rsid w:val="00760A45"/>
    <w:rsid w:val="00760A5F"/>
    <w:rsid w:val="00760A8C"/>
    <w:rsid w:val="00760B7C"/>
    <w:rsid w:val="00760BA6"/>
    <w:rsid w:val="00760BCF"/>
    <w:rsid w:val="00760BD5"/>
    <w:rsid w:val="00760CBB"/>
    <w:rsid w:val="00760D29"/>
    <w:rsid w:val="00760E1A"/>
    <w:rsid w:val="00760F09"/>
    <w:rsid w:val="00760FDA"/>
    <w:rsid w:val="00761059"/>
    <w:rsid w:val="007611A9"/>
    <w:rsid w:val="007611DC"/>
    <w:rsid w:val="00761210"/>
    <w:rsid w:val="00761248"/>
    <w:rsid w:val="00761257"/>
    <w:rsid w:val="00761442"/>
    <w:rsid w:val="00761534"/>
    <w:rsid w:val="00761615"/>
    <w:rsid w:val="0076164E"/>
    <w:rsid w:val="00761654"/>
    <w:rsid w:val="00761796"/>
    <w:rsid w:val="007617C9"/>
    <w:rsid w:val="007617FB"/>
    <w:rsid w:val="00761803"/>
    <w:rsid w:val="0076187E"/>
    <w:rsid w:val="0076188A"/>
    <w:rsid w:val="007618A9"/>
    <w:rsid w:val="00761A61"/>
    <w:rsid w:val="00761AEF"/>
    <w:rsid w:val="00761BAD"/>
    <w:rsid w:val="00761C10"/>
    <w:rsid w:val="00761C56"/>
    <w:rsid w:val="00761D46"/>
    <w:rsid w:val="00761DB8"/>
    <w:rsid w:val="00761DC7"/>
    <w:rsid w:val="00761E07"/>
    <w:rsid w:val="00761E13"/>
    <w:rsid w:val="00761E18"/>
    <w:rsid w:val="00761F77"/>
    <w:rsid w:val="00762073"/>
    <w:rsid w:val="00762257"/>
    <w:rsid w:val="00762359"/>
    <w:rsid w:val="0076239B"/>
    <w:rsid w:val="0076239C"/>
    <w:rsid w:val="007623CF"/>
    <w:rsid w:val="0076262F"/>
    <w:rsid w:val="007626A7"/>
    <w:rsid w:val="007626E4"/>
    <w:rsid w:val="00762793"/>
    <w:rsid w:val="00762971"/>
    <w:rsid w:val="007629A3"/>
    <w:rsid w:val="00762AD8"/>
    <w:rsid w:val="00762B66"/>
    <w:rsid w:val="00762BBC"/>
    <w:rsid w:val="00762CB7"/>
    <w:rsid w:val="00762CDC"/>
    <w:rsid w:val="00762EE9"/>
    <w:rsid w:val="00763048"/>
    <w:rsid w:val="0076314F"/>
    <w:rsid w:val="00763161"/>
    <w:rsid w:val="00763174"/>
    <w:rsid w:val="00763241"/>
    <w:rsid w:val="00763332"/>
    <w:rsid w:val="00763340"/>
    <w:rsid w:val="007633A3"/>
    <w:rsid w:val="0076345C"/>
    <w:rsid w:val="00763491"/>
    <w:rsid w:val="0076351E"/>
    <w:rsid w:val="007635D0"/>
    <w:rsid w:val="007635E0"/>
    <w:rsid w:val="00763680"/>
    <w:rsid w:val="007636B9"/>
    <w:rsid w:val="00763785"/>
    <w:rsid w:val="007637E2"/>
    <w:rsid w:val="007638EB"/>
    <w:rsid w:val="00763956"/>
    <w:rsid w:val="00763B21"/>
    <w:rsid w:val="00763B52"/>
    <w:rsid w:val="00763B77"/>
    <w:rsid w:val="00763B83"/>
    <w:rsid w:val="00763BF3"/>
    <w:rsid w:val="00763C30"/>
    <w:rsid w:val="00763D55"/>
    <w:rsid w:val="00763D61"/>
    <w:rsid w:val="00763D83"/>
    <w:rsid w:val="00763D87"/>
    <w:rsid w:val="00763D8C"/>
    <w:rsid w:val="00763E2D"/>
    <w:rsid w:val="0076407E"/>
    <w:rsid w:val="007640B1"/>
    <w:rsid w:val="00764101"/>
    <w:rsid w:val="00764271"/>
    <w:rsid w:val="007642DA"/>
    <w:rsid w:val="007642DF"/>
    <w:rsid w:val="0076430C"/>
    <w:rsid w:val="00764312"/>
    <w:rsid w:val="00764366"/>
    <w:rsid w:val="0076447D"/>
    <w:rsid w:val="0076449F"/>
    <w:rsid w:val="007644A8"/>
    <w:rsid w:val="007644E1"/>
    <w:rsid w:val="007645EB"/>
    <w:rsid w:val="007646FF"/>
    <w:rsid w:val="00764754"/>
    <w:rsid w:val="007647AC"/>
    <w:rsid w:val="00764806"/>
    <w:rsid w:val="00764956"/>
    <w:rsid w:val="00764A2B"/>
    <w:rsid w:val="00764AD4"/>
    <w:rsid w:val="00764AD8"/>
    <w:rsid w:val="00764AF9"/>
    <w:rsid w:val="00764B57"/>
    <w:rsid w:val="00764BC2"/>
    <w:rsid w:val="00764C56"/>
    <w:rsid w:val="00764CBF"/>
    <w:rsid w:val="00764D1F"/>
    <w:rsid w:val="00764D8E"/>
    <w:rsid w:val="00764DEC"/>
    <w:rsid w:val="00764E07"/>
    <w:rsid w:val="00764E76"/>
    <w:rsid w:val="00764E9A"/>
    <w:rsid w:val="00764F29"/>
    <w:rsid w:val="00765044"/>
    <w:rsid w:val="007650C7"/>
    <w:rsid w:val="00765114"/>
    <w:rsid w:val="00765402"/>
    <w:rsid w:val="0076543E"/>
    <w:rsid w:val="0076544E"/>
    <w:rsid w:val="0076544F"/>
    <w:rsid w:val="007654CF"/>
    <w:rsid w:val="0076570E"/>
    <w:rsid w:val="007657A2"/>
    <w:rsid w:val="00765869"/>
    <w:rsid w:val="00765915"/>
    <w:rsid w:val="00765A42"/>
    <w:rsid w:val="00765A75"/>
    <w:rsid w:val="00765AAF"/>
    <w:rsid w:val="00765D21"/>
    <w:rsid w:val="00765D32"/>
    <w:rsid w:val="00765E93"/>
    <w:rsid w:val="00765EA1"/>
    <w:rsid w:val="00766134"/>
    <w:rsid w:val="007663D4"/>
    <w:rsid w:val="0076674E"/>
    <w:rsid w:val="0076679C"/>
    <w:rsid w:val="007667DE"/>
    <w:rsid w:val="007667FF"/>
    <w:rsid w:val="0076681E"/>
    <w:rsid w:val="007668F0"/>
    <w:rsid w:val="007668F2"/>
    <w:rsid w:val="00766A06"/>
    <w:rsid w:val="00766A30"/>
    <w:rsid w:val="00766A44"/>
    <w:rsid w:val="00766A97"/>
    <w:rsid w:val="00766AF4"/>
    <w:rsid w:val="00766B2B"/>
    <w:rsid w:val="00766BE6"/>
    <w:rsid w:val="00766C5F"/>
    <w:rsid w:val="00766CD6"/>
    <w:rsid w:val="00766EF6"/>
    <w:rsid w:val="00766F61"/>
    <w:rsid w:val="0076712C"/>
    <w:rsid w:val="0076714D"/>
    <w:rsid w:val="007671D6"/>
    <w:rsid w:val="007672C1"/>
    <w:rsid w:val="007672F8"/>
    <w:rsid w:val="00767333"/>
    <w:rsid w:val="0076734C"/>
    <w:rsid w:val="00767461"/>
    <w:rsid w:val="00767478"/>
    <w:rsid w:val="007675CE"/>
    <w:rsid w:val="007676EF"/>
    <w:rsid w:val="007677AF"/>
    <w:rsid w:val="00767835"/>
    <w:rsid w:val="00767838"/>
    <w:rsid w:val="00767844"/>
    <w:rsid w:val="00767863"/>
    <w:rsid w:val="00767882"/>
    <w:rsid w:val="007678E2"/>
    <w:rsid w:val="00767A05"/>
    <w:rsid w:val="00767B26"/>
    <w:rsid w:val="00767B97"/>
    <w:rsid w:val="00767BB2"/>
    <w:rsid w:val="00767BED"/>
    <w:rsid w:val="00767C3E"/>
    <w:rsid w:val="00767C5B"/>
    <w:rsid w:val="00767E20"/>
    <w:rsid w:val="00767E43"/>
    <w:rsid w:val="00767EC4"/>
    <w:rsid w:val="00767F6C"/>
    <w:rsid w:val="00767F84"/>
    <w:rsid w:val="00770043"/>
    <w:rsid w:val="0077007B"/>
    <w:rsid w:val="00770115"/>
    <w:rsid w:val="0077014C"/>
    <w:rsid w:val="007701CE"/>
    <w:rsid w:val="00770226"/>
    <w:rsid w:val="0077032D"/>
    <w:rsid w:val="0077045C"/>
    <w:rsid w:val="00770475"/>
    <w:rsid w:val="00770626"/>
    <w:rsid w:val="007706D3"/>
    <w:rsid w:val="0077072C"/>
    <w:rsid w:val="00770783"/>
    <w:rsid w:val="007708F4"/>
    <w:rsid w:val="00770A15"/>
    <w:rsid w:val="00770A76"/>
    <w:rsid w:val="00770AB4"/>
    <w:rsid w:val="00770B95"/>
    <w:rsid w:val="00770CE5"/>
    <w:rsid w:val="00770D46"/>
    <w:rsid w:val="00770DA9"/>
    <w:rsid w:val="00770DF9"/>
    <w:rsid w:val="00770F52"/>
    <w:rsid w:val="007711CC"/>
    <w:rsid w:val="00771264"/>
    <w:rsid w:val="00771304"/>
    <w:rsid w:val="007713EE"/>
    <w:rsid w:val="00771415"/>
    <w:rsid w:val="007714B8"/>
    <w:rsid w:val="0077165E"/>
    <w:rsid w:val="007716D9"/>
    <w:rsid w:val="00771797"/>
    <w:rsid w:val="00771900"/>
    <w:rsid w:val="00771994"/>
    <w:rsid w:val="007719B5"/>
    <w:rsid w:val="00771A47"/>
    <w:rsid w:val="00771A7F"/>
    <w:rsid w:val="00771B13"/>
    <w:rsid w:val="00771BAB"/>
    <w:rsid w:val="00771C11"/>
    <w:rsid w:val="00771C32"/>
    <w:rsid w:val="00771CB0"/>
    <w:rsid w:val="00771CC8"/>
    <w:rsid w:val="00771CF3"/>
    <w:rsid w:val="00771D43"/>
    <w:rsid w:val="00771D56"/>
    <w:rsid w:val="00771D64"/>
    <w:rsid w:val="00771E21"/>
    <w:rsid w:val="00771E7C"/>
    <w:rsid w:val="0077201E"/>
    <w:rsid w:val="00772096"/>
    <w:rsid w:val="007720BC"/>
    <w:rsid w:val="007720E1"/>
    <w:rsid w:val="00772156"/>
    <w:rsid w:val="00772193"/>
    <w:rsid w:val="00772242"/>
    <w:rsid w:val="007723D2"/>
    <w:rsid w:val="0077245B"/>
    <w:rsid w:val="007724AF"/>
    <w:rsid w:val="007724D7"/>
    <w:rsid w:val="007724FD"/>
    <w:rsid w:val="00772598"/>
    <w:rsid w:val="007726DC"/>
    <w:rsid w:val="0077276B"/>
    <w:rsid w:val="007727E9"/>
    <w:rsid w:val="00772833"/>
    <w:rsid w:val="00772957"/>
    <w:rsid w:val="00772A45"/>
    <w:rsid w:val="00772A54"/>
    <w:rsid w:val="00772A66"/>
    <w:rsid w:val="00772A8A"/>
    <w:rsid w:val="00772AFA"/>
    <w:rsid w:val="00772BB6"/>
    <w:rsid w:val="00772C5C"/>
    <w:rsid w:val="00772C7C"/>
    <w:rsid w:val="00772CF4"/>
    <w:rsid w:val="00772E26"/>
    <w:rsid w:val="00772F4A"/>
    <w:rsid w:val="00772F71"/>
    <w:rsid w:val="007730AB"/>
    <w:rsid w:val="00773194"/>
    <w:rsid w:val="00773413"/>
    <w:rsid w:val="0077354D"/>
    <w:rsid w:val="0077356B"/>
    <w:rsid w:val="0077363A"/>
    <w:rsid w:val="00773720"/>
    <w:rsid w:val="00773754"/>
    <w:rsid w:val="007737C9"/>
    <w:rsid w:val="00773928"/>
    <w:rsid w:val="0077393A"/>
    <w:rsid w:val="00773997"/>
    <w:rsid w:val="0077399A"/>
    <w:rsid w:val="00773A56"/>
    <w:rsid w:val="00773A61"/>
    <w:rsid w:val="00773BA3"/>
    <w:rsid w:val="00773BE7"/>
    <w:rsid w:val="00773C09"/>
    <w:rsid w:val="00773CBA"/>
    <w:rsid w:val="00773CFD"/>
    <w:rsid w:val="00773F93"/>
    <w:rsid w:val="00773FD1"/>
    <w:rsid w:val="00773FD5"/>
    <w:rsid w:val="00774000"/>
    <w:rsid w:val="00774046"/>
    <w:rsid w:val="007740AE"/>
    <w:rsid w:val="00774171"/>
    <w:rsid w:val="00774196"/>
    <w:rsid w:val="007742C7"/>
    <w:rsid w:val="0077440D"/>
    <w:rsid w:val="00774425"/>
    <w:rsid w:val="0077455C"/>
    <w:rsid w:val="00774689"/>
    <w:rsid w:val="0077476A"/>
    <w:rsid w:val="007747A3"/>
    <w:rsid w:val="007747E9"/>
    <w:rsid w:val="00774866"/>
    <w:rsid w:val="007748AF"/>
    <w:rsid w:val="007748E5"/>
    <w:rsid w:val="00774973"/>
    <w:rsid w:val="00774977"/>
    <w:rsid w:val="00774A4F"/>
    <w:rsid w:val="00774A80"/>
    <w:rsid w:val="00774AD9"/>
    <w:rsid w:val="00774B7D"/>
    <w:rsid w:val="00774BB5"/>
    <w:rsid w:val="00774BE8"/>
    <w:rsid w:val="00774C74"/>
    <w:rsid w:val="00774C9E"/>
    <w:rsid w:val="00774CE8"/>
    <w:rsid w:val="00774D57"/>
    <w:rsid w:val="00774DF2"/>
    <w:rsid w:val="00774F62"/>
    <w:rsid w:val="00774F6F"/>
    <w:rsid w:val="00774F85"/>
    <w:rsid w:val="0077502D"/>
    <w:rsid w:val="007753C3"/>
    <w:rsid w:val="0077549F"/>
    <w:rsid w:val="007754F0"/>
    <w:rsid w:val="00775523"/>
    <w:rsid w:val="0077557E"/>
    <w:rsid w:val="007755C1"/>
    <w:rsid w:val="0077568D"/>
    <w:rsid w:val="007756D2"/>
    <w:rsid w:val="00775986"/>
    <w:rsid w:val="007759CE"/>
    <w:rsid w:val="00775B47"/>
    <w:rsid w:val="00775BBD"/>
    <w:rsid w:val="00775C0A"/>
    <w:rsid w:val="00775C32"/>
    <w:rsid w:val="00775C47"/>
    <w:rsid w:val="00775C6E"/>
    <w:rsid w:val="00775DBC"/>
    <w:rsid w:val="0077606E"/>
    <w:rsid w:val="007760DE"/>
    <w:rsid w:val="0077611E"/>
    <w:rsid w:val="0077611F"/>
    <w:rsid w:val="0077628D"/>
    <w:rsid w:val="007762A6"/>
    <w:rsid w:val="007762DC"/>
    <w:rsid w:val="00776377"/>
    <w:rsid w:val="0077644B"/>
    <w:rsid w:val="007764A7"/>
    <w:rsid w:val="007764E0"/>
    <w:rsid w:val="00776509"/>
    <w:rsid w:val="007766FB"/>
    <w:rsid w:val="00776705"/>
    <w:rsid w:val="0077671C"/>
    <w:rsid w:val="00776720"/>
    <w:rsid w:val="00776786"/>
    <w:rsid w:val="00776790"/>
    <w:rsid w:val="00776920"/>
    <w:rsid w:val="007769D6"/>
    <w:rsid w:val="00776A9E"/>
    <w:rsid w:val="00776ADC"/>
    <w:rsid w:val="00776B63"/>
    <w:rsid w:val="00776C51"/>
    <w:rsid w:val="00776CC4"/>
    <w:rsid w:val="00776D32"/>
    <w:rsid w:val="00776D3B"/>
    <w:rsid w:val="00776DE3"/>
    <w:rsid w:val="00776EBD"/>
    <w:rsid w:val="00776ECB"/>
    <w:rsid w:val="00776FC0"/>
    <w:rsid w:val="0077706F"/>
    <w:rsid w:val="00777090"/>
    <w:rsid w:val="0077712E"/>
    <w:rsid w:val="00777168"/>
    <w:rsid w:val="007771B2"/>
    <w:rsid w:val="0077724A"/>
    <w:rsid w:val="007772A1"/>
    <w:rsid w:val="00777307"/>
    <w:rsid w:val="007774B9"/>
    <w:rsid w:val="007774CF"/>
    <w:rsid w:val="007775CF"/>
    <w:rsid w:val="00777628"/>
    <w:rsid w:val="00777644"/>
    <w:rsid w:val="0077776B"/>
    <w:rsid w:val="00777771"/>
    <w:rsid w:val="007777BE"/>
    <w:rsid w:val="0077781C"/>
    <w:rsid w:val="00777982"/>
    <w:rsid w:val="00777A29"/>
    <w:rsid w:val="00777A71"/>
    <w:rsid w:val="00777A9A"/>
    <w:rsid w:val="00777C22"/>
    <w:rsid w:val="00777C88"/>
    <w:rsid w:val="00777CD9"/>
    <w:rsid w:val="00777DDD"/>
    <w:rsid w:val="00777EB9"/>
    <w:rsid w:val="00777EE7"/>
    <w:rsid w:val="00777F2D"/>
    <w:rsid w:val="00777F61"/>
    <w:rsid w:val="00777F72"/>
    <w:rsid w:val="00777FC9"/>
    <w:rsid w:val="00780026"/>
    <w:rsid w:val="00780368"/>
    <w:rsid w:val="007803FB"/>
    <w:rsid w:val="00780494"/>
    <w:rsid w:val="00780715"/>
    <w:rsid w:val="00780811"/>
    <w:rsid w:val="0078088D"/>
    <w:rsid w:val="007808DA"/>
    <w:rsid w:val="00780952"/>
    <w:rsid w:val="00780A27"/>
    <w:rsid w:val="00780AD2"/>
    <w:rsid w:val="00780AF7"/>
    <w:rsid w:val="00780B4C"/>
    <w:rsid w:val="00780C06"/>
    <w:rsid w:val="00780C28"/>
    <w:rsid w:val="00780C54"/>
    <w:rsid w:val="00780D05"/>
    <w:rsid w:val="00780DAD"/>
    <w:rsid w:val="00780E0E"/>
    <w:rsid w:val="00780E42"/>
    <w:rsid w:val="00780E61"/>
    <w:rsid w:val="00780EDB"/>
    <w:rsid w:val="00780F3B"/>
    <w:rsid w:val="00780FA1"/>
    <w:rsid w:val="0078102A"/>
    <w:rsid w:val="007810C5"/>
    <w:rsid w:val="00781176"/>
    <w:rsid w:val="0078118F"/>
    <w:rsid w:val="0078128A"/>
    <w:rsid w:val="007816E0"/>
    <w:rsid w:val="007816EC"/>
    <w:rsid w:val="007816F4"/>
    <w:rsid w:val="007817EC"/>
    <w:rsid w:val="007818CC"/>
    <w:rsid w:val="00781903"/>
    <w:rsid w:val="0078191D"/>
    <w:rsid w:val="00781A46"/>
    <w:rsid w:val="00781B54"/>
    <w:rsid w:val="00781C67"/>
    <w:rsid w:val="00781C81"/>
    <w:rsid w:val="00781CBB"/>
    <w:rsid w:val="00781CEE"/>
    <w:rsid w:val="00781D3F"/>
    <w:rsid w:val="00781FC8"/>
    <w:rsid w:val="007821BC"/>
    <w:rsid w:val="00782261"/>
    <w:rsid w:val="00782262"/>
    <w:rsid w:val="00782285"/>
    <w:rsid w:val="0078230F"/>
    <w:rsid w:val="0078236B"/>
    <w:rsid w:val="0078240A"/>
    <w:rsid w:val="00782411"/>
    <w:rsid w:val="00782509"/>
    <w:rsid w:val="00782561"/>
    <w:rsid w:val="007826AC"/>
    <w:rsid w:val="00782756"/>
    <w:rsid w:val="007827E0"/>
    <w:rsid w:val="0078281A"/>
    <w:rsid w:val="00782845"/>
    <w:rsid w:val="00782865"/>
    <w:rsid w:val="00782883"/>
    <w:rsid w:val="00782999"/>
    <w:rsid w:val="007829DE"/>
    <w:rsid w:val="00782BB9"/>
    <w:rsid w:val="00782C47"/>
    <w:rsid w:val="00782C99"/>
    <w:rsid w:val="00782C9A"/>
    <w:rsid w:val="00782CA2"/>
    <w:rsid w:val="00782D1E"/>
    <w:rsid w:val="00782DC9"/>
    <w:rsid w:val="00782E4A"/>
    <w:rsid w:val="00782F66"/>
    <w:rsid w:val="00782FCE"/>
    <w:rsid w:val="00782FE8"/>
    <w:rsid w:val="007831FF"/>
    <w:rsid w:val="007832AE"/>
    <w:rsid w:val="00783489"/>
    <w:rsid w:val="007835EF"/>
    <w:rsid w:val="00783633"/>
    <w:rsid w:val="00783684"/>
    <w:rsid w:val="0078368F"/>
    <w:rsid w:val="0078369E"/>
    <w:rsid w:val="007836AC"/>
    <w:rsid w:val="00783719"/>
    <w:rsid w:val="007837C3"/>
    <w:rsid w:val="00783812"/>
    <w:rsid w:val="0078388F"/>
    <w:rsid w:val="0078389E"/>
    <w:rsid w:val="00783B91"/>
    <w:rsid w:val="00783C25"/>
    <w:rsid w:val="00783D26"/>
    <w:rsid w:val="00783DCD"/>
    <w:rsid w:val="00783DD4"/>
    <w:rsid w:val="00783E16"/>
    <w:rsid w:val="00783E7E"/>
    <w:rsid w:val="00783EBD"/>
    <w:rsid w:val="00783EEF"/>
    <w:rsid w:val="00783F0E"/>
    <w:rsid w:val="00783FDD"/>
    <w:rsid w:val="0078403E"/>
    <w:rsid w:val="00784049"/>
    <w:rsid w:val="007841D4"/>
    <w:rsid w:val="0078422A"/>
    <w:rsid w:val="007842D4"/>
    <w:rsid w:val="007842F4"/>
    <w:rsid w:val="00784352"/>
    <w:rsid w:val="007843B6"/>
    <w:rsid w:val="007843F0"/>
    <w:rsid w:val="0078441D"/>
    <w:rsid w:val="00784460"/>
    <w:rsid w:val="007844E2"/>
    <w:rsid w:val="00784501"/>
    <w:rsid w:val="00784630"/>
    <w:rsid w:val="0078469B"/>
    <w:rsid w:val="00784725"/>
    <w:rsid w:val="00784729"/>
    <w:rsid w:val="00784772"/>
    <w:rsid w:val="00784879"/>
    <w:rsid w:val="00784973"/>
    <w:rsid w:val="007849AC"/>
    <w:rsid w:val="00784A3F"/>
    <w:rsid w:val="00784AA5"/>
    <w:rsid w:val="00784BFE"/>
    <w:rsid w:val="00784C79"/>
    <w:rsid w:val="00784C9B"/>
    <w:rsid w:val="00784D5E"/>
    <w:rsid w:val="00784D8C"/>
    <w:rsid w:val="00784DD3"/>
    <w:rsid w:val="00784F53"/>
    <w:rsid w:val="00784FD7"/>
    <w:rsid w:val="0078504A"/>
    <w:rsid w:val="00785062"/>
    <w:rsid w:val="007850C8"/>
    <w:rsid w:val="007851B5"/>
    <w:rsid w:val="007851E7"/>
    <w:rsid w:val="0078528B"/>
    <w:rsid w:val="0078532A"/>
    <w:rsid w:val="0078539E"/>
    <w:rsid w:val="0078551B"/>
    <w:rsid w:val="007855A3"/>
    <w:rsid w:val="007856D2"/>
    <w:rsid w:val="00785725"/>
    <w:rsid w:val="00785762"/>
    <w:rsid w:val="007859B7"/>
    <w:rsid w:val="007859FA"/>
    <w:rsid w:val="00785A64"/>
    <w:rsid w:val="00785A6D"/>
    <w:rsid w:val="00785BDD"/>
    <w:rsid w:val="00785C4B"/>
    <w:rsid w:val="00785E34"/>
    <w:rsid w:val="00785E7B"/>
    <w:rsid w:val="00785EAF"/>
    <w:rsid w:val="00785ECA"/>
    <w:rsid w:val="00785ED8"/>
    <w:rsid w:val="00785F76"/>
    <w:rsid w:val="00785F95"/>
    <w:rsid w:val="007860CF"/>
    <w:rsid w:val="007860F0"/>
    <w:rsid w:val="00786131"/>
    <w:rsid w:val="007861D4"/>
    <w:rsid w:val="00786317"/>
    <w:rsid w:val="0078644B"/>
    <w:rsid w:val="007865DE"/>
    <w:rsid w:val="00786809"/>
    <w:rsid w:val="0078688D"/>
    <w:rsid w:val="007869DC"/>
    <w:rsid w:val="007869FB"/>
    <w:rsid w:val="00786A13"/>
    <w:rsid w:val="00786A14"/>
    <w:rsid w:val="00786AA1"/>
    <w:rsid w:val="00786AEB"/>
    <w:rsid w:val="00786B53"/>
    <w:rsid w:val="00786BB1"/>
    <w:rsid w:val="00786BBC"/>
    <w:rsid w:val="00786CC4"/>
    <w:rsid w:val="00786E91"/>
    <w:rsid w:val="00786F38"/>
    <w:rsid w:val="00787127"/>
    <w:rsid w:val="00787274"/>
    <w:rsid w:val="007872F7"/>
    <w:rsid w:val="00787399"/>
    <w:rsid w:val="00787403"/>
    <w:rsid w:val="0078749B"/>
    <w:rsid w:val="00787847"/>
    <w:rsid w:val="007878A1"/>
    <w:rsid w:val="007878E4"/>
    <w:rsid w:val="007878F4"/>
    <w:rsid w:val="00787978"/>
    <w:rsid w:val="007879CB"/>
    <w:rsid w:val="00787B28"/>
    <w:rsid w:val="00787B2B"/>
    <w:rsid w:val="00787C27"/>
    <w:rsid w:val="00787D1B"/>
    <w:rsid w:val="00787D3C"/>
    <w:rsid w:val="00787D3D"/>
    <w:rsid w:val="00787D95"/>
    <w:rsid w:val="00787DDA"/>
    <w:rsid w:val="00787E8A"/>
    <w:rsid w:val="00787FE4"/>
    <w:rsid w:val="00790117"/>
    <w:rsid w:val="0079040F"/>
    <w:rsid w:val="007904F9"/>
    <w:rsid w:val="007905CB"/>
    <w:rsid w:val="007905CE"/>
    <w:rsid w:val="007907C8"/>
    <w:rsid w:val="00790861"/>
    <w:rsid w:val="0079089D"/>
    <w:rsid w:val="00790A07"/>
    <w:rsid w:val="00790A98"/>
    <w:rsid w:val="00790CD2"/>
    <w:rsid w:val="00790D49"/>
    <w:rsid w:val="00790ECB"/>
    <w:rsid w:val="00791176"/>
    <w:rsid w:val="00791184"/>
    <w:rsid w:val="00791268"/>
    <w:rsid w:val="007912A8"/>
    <w:rsid w:val="007912CE"/>
    <w:rsid w:val="00791341"/>
    <w:rsid w:val="007913A2"/>
    <w:rsid w:val="007913FA"/>
    <w:rsid w:val="007914D0"/>
    <w:rsid w:val="0079154F"/>
    <w:rsid w:val="007915E5"/>
    <w:rsid w:val="00791904"/>
    <w:rsid w:val="00791969"/>
    <w:rsid w:val="00791979"/>
    <w:rsid w:val="00791981"/>
    <w:rsid w:val="00791AE2"/>
    <w:rsid w:val="00791B22"/>
    <w:rsid w:val="00791BA9"/>
    <w:rsid w:val="00791C68"/>
    <w:rsid w:val="00791C75"/>
    <w:rsid w:val="00791CB3"/>
    <w:rsid w:val="00791D98"/>
    <w:rsid w:val="00791DC8"/>
    <w:rsid w:val="00791E0B"/>
    <w:rsid w:val="00791E32"/>
    <w:rsid w:val="00791F6D"/>
    <w:rsid w:val="00791FBB"/>
    <w:rsid w:val="00791FD1"/>
    <w:rsid w:val="00791FD9"/>
    <w:rsid w:val="00791FE0"/>
    <w:rsid w:val="0079208C"/>
    <w:rsid w:val="0079213E"/>
    <w:rsid w:val="00792156"/>
    <w:rsid w:val="007923EF"/>
    <w:rsid w:val="007925AB"/>
    <w:rsid w:val="00792669"/>
    <w:rsid w:val="007926F5"/>
    <w:rsid w:val="0079276A"/>
    <w:rsid w:val="007928F5"/>
    <w:rsid w:val="007928FE"/>
    <w:rsid w:val="00792925"/>
    <w:rsid w:val="007929AC"/>
    <w:rsid w:val="00792A29"/>
    <w:rsid w:val="00792A87"/>
    <w:rsid w:val="00792AA6"/>
    <w:rsid w:val="00792B10"/>
    <w:rsid w:val="00792B15"/>
    <w:rsid w:val="00792C33"/>
    <w:rsid w:val="00792DD1"/>
    <w:rsid w:val="00792F6E"/>
    <w:rsid w:val="00792F8C"/>
    <w:rsid w:val="00792FD0"/>
    <w:rsid w:val="00793060"/>
    <w:rsid w:val="00793094"/>
    <w:rsid w:val="0079309D"/>
    <w:rsid w:val="007930ED"/>
    <w:rsid w:val="00793265"/>
    <w:rsid w:val="00793414"/>
    <w:rsid w:val="007934C6"/>
    <w:rsid w:val="0079355A"/>
    <w:rsid w:val="0079358F"/>
    <w:rsid w:val="0079363D"/>
    <w:rsid w:val="00793768"/>
    <w:rsid w:val="00793788"/>
    <w:rsid w:val="007937E1"/>
    <w:rsid w:val="00793825"/>
    <w:rsid w:val="00793A16"/>
    <w:rsid w:val="00793A35"/>
    <w:rsid w:val="00793A40"/>
    <w:rsid w:val="00793B66"/>
    <w:rsid w:val="00793BFA"/>
    <w:rsid w:val="00793C4A"/>
    <w:rsid w:val="00793D73"/>
    <w:rsid w:val="00793D79"/>
    <w:rsid w:val="00793DF2"/>
    <w:rsid w:val="00793E7F"/>
    <w:rsid w:val="00793EAC"/>
    <w:rsid w:val="00793F47"/>
    <w:rsid w:val="00793FA8"/>
    <w:rsid w:val="00794031"/>
    <w:rsid w:val="00794194"/>
    <w:rsid w:val="0079420B"/>
    <w:rsid w:val="007943D1"/>
    <w:rsid w:val="0079440E"/>
    <w:rsid w:val="007944D6"/>
    <w:rsid w:val="0079474C"/>
    <w:rsid w:val="007947DB"/>
    <w:rsid w:val="007947FB"/>
    <w:rsid w:val="007948ED"/>
    <w:rsid w:val="007949BD"/>
    <w:rsid w:val="00794A3A"/>
    <w:rsid w:val="00794A76"/>
    <w:rsid w:val="00794B23"/>
    <w:rsid w:val="00794C40"/>
    <w:rsid w:val="00794C56"/>
    <w:rsid w:val="00794C67"/>
    <w:rsid w:val="00794D77"/>
    <w:rsid w:val="00794DC0"/>
    <w:rsid w:val="00794E84"/>
    <w:rsid w:val="00794F29"/>
    <w:rsid w:val="0079513F"/>
    <w:rsid w:val="0079519E"/>
    <w:rsid w:val="00795247"/>
    <w:rsid w:val="00795292"/>
    <w:rsid w:val="00795298"/>
    <w:rsid w:val="007952D8"/>
    <w:rsid w:val="00795506"/>
    <w:rsid w:val="00795600"/>
    <w:rsid w:val="0079560B"/>
    <w:rsid w:val="0079587F"/>
    <w:rsid w:val="007958B3"/>
    <w:rsid w:val="007958F1"/>
    <w:rsid w:val="007959D4"/>
    <w:rsid w:val="00795B00"/>
    <w:rsid w:val="00795CEA"/>
    <w:rsid w:val="00795D41"/>
    <w:rsid w:val="00795DC8"/>
    <w:rsid w:val="00795DED"/>
    <w:rsid w:val="00795E27"/>
    <w:rsid w:val="00795E5B"/>
    <w:rsid w:val="00795E7D"/>
    <w:rsid w:val="00795EEA"/>
    <w:rsid w:val="00795F0C"/>
    <w:rsid w:val="00795F4B"/>
    <w:rsid w:val="00795FAF"/>
    <w:rsid w:val="007960E0"/>
    <w:rsid w:val="0079613F"/>
    <w:rsid w:val="007962E5"/>
    <w:rsid w:val="00796369"/>
    <w:rsid w:val="00796388"/>
    <w:rsid w:val="0079642A"/>
    <w:rsid w:val="00796550"/>
    <w:rsid w:val="0079676E"/>
    <w:rsid w:val="007967C3"/>
    <w:rsid w:val="007967E0"/>
    <w:rsid w:val="00796A41"/>
    <w:rsid w:val="00796AF5"/>
    <w:rsid w:val="00796C8D"/>
    <w:rsid w:val="00796CA0"/>
    <w:rsid w:val="00796CC9"/>
    <w:rsid w:val="00796D46"/>
    <w:rsid w:val="00796DB0"/>
    <w:rsid w:val="00796DBD"/>
    <w:rsid w:val="00796DC1"/>
    <w:rsid w:val="00796FDB"/>
    <w:rsid w:val="00796FF7"/>
    <w:rsid w:val="00797043"/>
    <w:rsid w:val="007970E8"/>
    <w:rsid w:val="00797189"/>
    <w:rsid w:val="007971CE"/>
    <w:rsid w:val="007972C3"/>
    <w:rsid w:val="0079742A"/>
    <w:rsid w:val="007974E5"/>
    <w:rsid w:val="007975AF"/>
    <w:rsid w:val="007975BA"/>
    <w:rsid w:val="00797666"/>
    <w:rsid w:val="00797676"/>
    <w:rsid w:val="00797754"/>
    <w:rsid w:val="007977E6"/>
    <w:rsid w:val="007977EE"/>
    <w:rsid w:val="007978BA"/>
    <w:rsid w:val="00797902"/>
    <w:rsid w:val="00797987"/>
    <w:rsid w:val="00797AF2"/>
    <w:rsid w:val="00797B17"/>
    <w:rsid w:val="00797B89"/>
    <w:rsid w:val="00797D1D"/>
    <w:rsid w:val="00797DBD"/>
    <w:rsid w:val="00797DBF"/>
    <w:rsid w:val="00797E00"/>
    <w:rsid w:val="00797F2F"/>
    <w:rsid w:val="00797FE1"/>
    <w:rsid w:val="00797FEB"/>
    <w:rsid w:val="007A0022"/>
    <w:rsid w:val="007A00F6"/>
    <w:rsid w:val="007A04F2"/>
    <w:rsid w:val="007A04FC"/>
    <w:rsid w:val="007A0690"/>
    <w:rsid w:val="007A06DF"/>
    <w:rsid w:val="007A0756"/>
    <w:rsid w:val="007A0818"/>
    <w:rsid w:val="007A0827"/>
    <w:rsid w:val="007A08E8"/>
    <w:rsid w:val="007A09F2"/>
    <w:rsid w:val="007A09FA"/>
    <w:rsid w:val="007A0A8D"/>
    <w:rsid w:val="007A0B3C"/>
    <w:rsid w:val="007A0BB9"/>
    <w:rsid w:val="007A1037"/>
    <w:rsid w:val="007A1081"/>
    <w:rsid w:val="007A10AE"/>
    <w:rsid w:val="007A10C1"/>
    <w:rsid w:val="007A111A"/>
    <w:rsid w:val="007A11C1"/>
    <w:rsid w:val="007A12C4"/>
    <w:rsid w:val="007A12D1"/>
    <w:rsid w:val="007A13AC"/>
    <w:rsid w:val="007A13B7"/>
    <w:rsid w:val="007A14BA"/>
    <w:rsid w:val="007A1607"/>
    <w:rsid w:val="007A16E5"/>
    <w:rsid w:val="007A18FD"/>
    <w:rsid w:val="007A194A"/>
    <w:rsid w:val="007A1969"/>
    <w:rsid w:val="007A196E"/>
    <w:rsid w:val="007A1993"/>
    <w:rsid w:val="007A1995"/>
    <w:rsid w:val="007A1A4A"/>
    <w:rsid w:val="007A1AAE"/>
    <w:rsid w:val="007A1ADA"/>
    <w:rsid w:val="007A1B32"/>
    <w:rsid w:val="007A1B4E"/>
    <w:rsid w:val="007A1C13"/>
    <w:rsid w:val="007A1C3D"/>
    <w:rsid w:val="007A1C92"/>
    <w:rsid w:val="007A1D73"/>
    <w:rsid w:val="007A1E70"/>
    <w:rsid w:val="007A1E76"/>
    <w:rsid w:val="007A1E93"/>
    <w:rsid w:val="007A1EA6"/>
    <w:rsid w:val="007A1FD0"/>
    <w:rsid w:val="007A20FF"/>
    <w:rsid w:val="007A2126"/>
    <w:rsid w:val="007A221C"/>
    <w:rsid w:val="007A2245"/>
    <w:rsid w:val="007A23C2"/>
    <w:rsid w:val="007A2438"/>
    <w:rsid w:val="007A246C"/>
    <w:rsid w:val="007A249B"/>
    <w:rsid w:val="007A24BE"/>
    <w:rsid w:val="007A24DD"/>
    <w:rsid w:val="007A24DE"/>
    <w:rsid w:val="007A24DF"/>
    <w:rsid w:val="007A2532"/>
    <w:rsid w:val="007A2566"/>
    <w:rsid w:val="007A2666"/>
    <w:rsid w:val="007A2817"/>
    <w:rsid w:val="007A285F"/>
    <w:rsid w:val="007A2980"/>
    <w:rsid w:val="007A2B00"/>
    <w:rsid w:val="007A2B25"/>
    <w:rsid w:val="007A2B8E"/>
    <w:rsid w:val="007A2BF0"/>
    <w:rsid w:val="007A2C33"/>
    <w:rsid w:val="007A2C73"/>
    <w:rsid w:val="007A2E86"/>
    <w:rsid w:val="007A2F15"/>
    <w:rsid w:val="007A2F31"/>
    <w:rsid w:val="007A2F57"/>
    <w:rsid w:val="007A30D8"/>
    <w:rsid w:val="007A30F2"/>
    <w:rsid w:val="007A3224"/>
    <w:rsid w:val="007A325C"/>
    <w:rsid w:val="007A3293"/>
    <w:rsid w:val="007A32AA"/>
    <w:rsid w:val="007A34BB"/>
    <w:rsid w:val="007A3535"/>
    <w:rsid w:val="007A3593"/>
    <w:rsid w:val="007A360D"/>
    <w:rsid w:val="007A3618"/>
    <w:rsid w:val="007A362A"/>
    <w:rsid w:val="007A36E7"/>
    <w:rsid w:val="007A3793"/>
    <w:rsid w:val="007A3854"/>
    <w:rsid w:val="007A3881"/>
    <w:rsid w:val="007A38BE"/>
    <w:rsid w:val="007A3947"/>
    <w:rsid w:val="007A3A9F"/>
    <w:rsid w:val="007A3AC1"/>
    <w:rsid w:val="007A3B0E"/>
    <w:rsid w:val="007A3B37"/>
    <w:rsid w:val="007A3BD0"/>
    <w:rsid w:val="007A3EAB"/>
    <w:rsid w:val="007A3F93"/>
    <w:rsid w:val="007A4010"/>
    <w:rsid w:val="007A4129"/>
    <w:rsid w:val="007A4136"/>
    <w:rsid w:val="007A419C"/>
    <w:rsid w:val="007A41FF"/>
    <w:rsid w:val="007A4213"/>
    <w:rsid w:val="007A4228"/>
    <w:rsid w:val="007A42AD"/>
    <w:rsid w:val="007A4328"/>
    <w:rsid w:val="007A433B"/>
    <w:rsid w:val="007A4398"/>
    <w:rsid w:val="007A439D"/>
    <w:rsid w:val="007A447C"/>
    <w:rsid w:val="007A44A5"/>
    <w:rsid w:val="007A44C4"/>
    <w:rsid w:val="007A4516"/>
    <w:rsid w:val="007A471E"/>
    <w:rsid w:val="007A4757"/>
    <w:rsid w:val="007A4787"/>
    <w:rsid w:val="007A47DD"/>
    <w:rsid w:val="007A4802"/>
    <w:rsid w:val="007A4A01"/>
    <w:rsid w:val="007A4A1E"/>
    <w:rsid w:val="007A4ABA"/>
    <w:rsid w:val="007A4C26"/>
    <w:rsid w:val="007A4C42"/>
    <w:rsid w:val="007A4CB6"/>
    <w:rsid w:val="007A4CEF"/>
    <w:rsid w:val="007A4D08"/>
    <w:rsid w:val="007A4D70"/>
    <w:rsid w:val="007A4DBE"/>
    <w:rsid w:val="007A4DDC"/>
    <w:rsid w:val="007A4F6C"/>
    <w:rsid w:val="007A4F80"/>
    <w:rsid w:val="007A5058"/>
    <w:rsid w:val="007A50DA"/>
    <w:rsid w:val="007A52BA"/>
    <w:rsid w:val="007A5307"/>
    <w:rsid w:val="007A53CE"/>
    <w:rsid w:val="007A53DE"/>
    <w:rsid w:val="007A54B6"/>
    <w:rsid w:val="007A55C7"/>
    <w:rsid w:val="007A56CE"/>
    <w:rsid w:val="007A56DF"/>
    <w:rsid w:val="007A5802"/>
    <w:rsid w:val="007A5911"/>
    <w:rsid w:val="007A5938"/>
    <w:rsid w:val="007A59B8"/>
    <w:rsid w:val="007A5B68"/>
    <w:rsid w:val="007A5BB8"/>
    <w:rsid w:val="007A5BEC"/>
    <w:rsid w:val="007A5BF5"/>
    <w:rsid w:val="007A5C02"/>
    <w:rsid w:val="007A5CC7"/>
    <w:rsid w:val="007A5CDC"/>
    <w:rsid w:val="007A5D75"/>
    <w:rsid w:val="007A5D95"/>
    <w:rsid w:val="007A5DA0"/>
    <w:rsid w:val="007A5DDD"/>
    <w:rsid w:val="007A5EAC"/>
    <w:rsid w:val="007A5F64"/>
    <w:rsid w:val="007A60D9"/>
    <w:rsid w:val="007A62A4"/>
    <w:rsid w:val="007A6389"/>
    <w:rsid w:val="007A638F"/>
    <w:rsid w:val="007A63BB"/>
    <w:rsid w:val="007A640D"/>
    <w:rsid w:val="007A64D9"/>
    <w:rsid w:val="007A6608"/>
    <w:rsid w:val="007A6663"/>
    <w:rsid w:val="007A66B0"/>
    <w:rsid w:val="007A66C8"/>
    <w:rsid w:val="007A6721"/>
    <w:rsid w:val="007A674A"/>
    <w:rsid w:val="007A6856"/>
    <w:rsid w:val="007A6908"/>
    <w:rsid w:val="007A6939"/>
    <w:rsid w:val="007A69D4"/>
    <w:rsid w:val="007A6A08"/>
    <w:rsid w:val="007A6A9C"/>
    <w:rsid w:val="007A6AA5"/>
    <w:rsid w:val="007A6AFA"/>
    <w:rsid w:val="007A6B0E"/>
    <w:rsid w:val="007A6D67"/>
    <w:rsid w:val="007A6DDC"/>
    <w:rsid w:val="007A6F2B"/>
    <w:rsid w:val="007A6F84"/>
    <w:rsid w:val="007A7094"/>
    <w:rsid w:val="007A70C1"/>
    <w:rsid w:val="007A7120"/>
    <w:rsid w:val="007A726D"/>
    <w:rsid w:val="007A7344"/>
    <w:rsid w:val="007A73CD"/>
    <w:rsid w:val="007A7438"/>
    <w:rsid w:val="007A7464"/>
    <w:rsid w:val="007A749A"/>
    <w:rsid w:val="007A74E0"/>
    <w:rsid w:val="007A75EC"/>
    <w:rsid w:val="007A75FD"/>
    <w:rsid w:val="007A7644"/>
    <w:rsid w:val="007A76D9"/>
    <w:rsid w:val="007A7731"/>
    <w:rsid w:val="007A7860"/>
    <w:rsid w:val="007A7868"/>
    <w:rsid w:val="007A78A0"/>
    <w:rsid w:val="007A7B1F"/>
    <w:rsid w:val="007A7B82"/>
    <w:rsid w:val="007A7C9E"/>
    <w:rsid w:val="007A7CB1"/>
    <w:rsid w:val="007A7CF0"/>
    <w:rsid w:val="007A7D10"/>
    <w:rsid w:val="007A7E4E"/>
    <w:rsid w:val="007A7F45"/>
    <w:rsid w:val="007A7F4F"/>
    <w:rsid w:val="007A7FA1"/>
    <w:rsid w:val="007A7FCF"/>
    <w:rsid w:val="007B0051"/>
    <w:rsid w:val="007B00CA"/>
    <w:rsid w:val="007B0202"/>
    <w:rsid w:val="007B02A0"/>
    <w:rsid w:val="007B0361"/>
    <w:rsid w:val="007B037A"/>
    <w:rsid w:val="007B0386"/>
    <w:rsid w:val="007B0414"/>
    <w:rsid w:val="007B0515"/>
    <w:rsid w:val="007B0603"/>
    <w:rsid w:val="007B0694"/>
    <w:rsid w:val="007B08B4"/>
    <w:rsid w:val="007B0B21"/>
    <w:rsid w:val="007B0C18"/>
    <w:rsid w:val="007B0CA5"/>
    <w:rsid w:val="007B0D6C"/>
    <w:rsid w:val="007B0E06"/>
    <w:rsid w:val="007B0E25"/>
    <w:rsid w:val="007B0E4E"/>
    <w:rsid w:val="007B0EDC"/>
    <w:rsid w:val="007B10E3"/>
    <w:rsid w:val="007B1255"/>
    <w:rsid w:val="007B1277"/>
    <w:rsid w:val="007B1296"/>
    <w:rsid w:val="007B1304"/>
    <w:rsid w:val="007B135B"/>
    <w:rsid w:val="007B1386"/>
    <w:rsid w:val="007B1392"/>
    <w:rsid w:val="007B14A9"/>
    <w:rsid w:val="007B14DC"/>
    <w:rsid w:val="007B1502"/>
    <w:rsid w:val="007B15BF"/>
    <w:rsid w:val="007B15DC"/>
    <w:rsid w:val="007B15EE"/>
    <w:rsid w:val="007B16BE"/>
    <w:rsid w:val="007B18E5"/>
    <w:rsid w:val="007B18EF"/>
    <w:rsid w:val="007B1918"/>
    <w:rsid w:val="007B191E"/>
    <w:rsid w:val="007B1946"/>
    <w:rsid w:val="007B1A3D"/>
    <w:rsid w:val="007B1AB1"/>
    <w:rsid w:val="007B1AB2"/>
    <w:rsid w:val="007B1AF7"/>
    <w:rsid w:val="007B1B8E"/>
    <w:rsid w:val="007B1BC6"/>
    <w:rsid w:val="007B1BEA"/>
    <w:rsid w:val="007B1C09"/>
    <w:rsid w:val="007B1CC6"/>
    <w:rsid w:val="007B1E1A"/>
    <w:rsid w:val="007B1E36"/>
    <w:rsid w:val="007B2035"/>
    <w:rsid w:val="007B2046"/>
    <w:rsid w:val="007B2093"/>
    <w:rsid w:val="007B20B0"/>
    <w:rsid w:val="007B2128"/>
    <w:rsid w:val="007B220B"/>
    <w:rsid w:val="007B2252"/>
    <w:rsid w:val="007B22AD"/>
    <w:rsid w:val="007B2420"/>
    <w:rsid w:val="007B243B"/>
    <w:rsid w:val="007B2449"/>
    <w:rsid w:val="007B26D5"/>
    <w:rsid w:val="007B272A"/>
    <w:rsid w:val="007B27E4"/>
    <w:rsid w:val="007B2894"/>
    <w:rsid w:val="007B28D0"/>
    <w:rsid w:val="007B28E1"/>
    <w:rsid w:val="007B2995"/>
    <w:rsid w:val="007B2A64"/>
    <w:rsid w:val="007B2A70"/>
    <w:rsid w:val="007B2B92"/>
    <w:rsid w:val="007B2C10"/>
    <w:rsid w:val="007B2D89"/>
    <w:rsid w:val="007B2DBD"/>
    <w:rsid w:val="007B2DF3"/>
    <w:rsid w:val="007B2E2E"/>
    <w:rsid w:val="007B2F5D"/>
    <w:rsid w:val="007B2FC5"/>
    <w:rsid w:val="007B2FDC"/>
    <w:rsid w:val="007B2FE9"/>
    <w:rsid w:val="007B3028"/>
    <w:rsid w:val="007B308A"/>
    <w:rsid w:val="007B3196"/>
    <w:rsid w:val="007B323E"/>
    <w:rsid w:val="007B3315"/>
    <w:rsid w:val="007B33CC"/>
    <w:rsid w:val="007B3466"/>
    <w:rsid w:val="007B347E"/>
    <w:rsid w:val="007B34F2"/>
    <w:rsid w:val="007B3538"/>
    <w:rsid w:val="007B35ED"/>
    <w:rsid w:val="007B3873"/>
    <w:rsid w:val="007B38B3"/>
    <w:rsid w:val="007B38EA"/>
    <w:rsid w:val="007B38EC"/>
    <w:rsid w:val="007B3992"/>
    <w:rsid w:val="007B3994"/>
    <w:rsid w:val="007B39D6"/>
    <w:rsid w:val="007B3ABF"/>
    <w:rsid w:val="007B3B1D"/>
    <w:rsid w:val="007B3B39"/>
    <w:rsid w:val="007B3B3C"/>
    <w:rsid w:val="007B3C24"/>
    <w:rsid w:val="007B3CE1"/>
    <w:rsid w:val="007B3CF6"/>
    <w:rsid w:val="007B3D2F"/>
    <w:rsid w:val="007B3E5C"/>
    <w:rsid w:val="007B3FF2"/>
    <w:rsid w:val="007B4109"/>
    <w:rsid w:val="007B410A"/>
    <w:rsid w:val="007B4191"/>
    <w:rsid w:val="007B4333"/>
    <w:rsid w:val="007B4453"/>
    <w:rsid w:val="007B44F5"/>
    <w:rsid w:val="007B451B"/>
    <w:rsid w:val="007B4571"/>
    <w:rsid w:val="007B4581"/>
    <w:rsid w:val="007B458E"/>
    <w:rsid w:val="007B45F9"/>
    <w:rsid w:val="007B46A3"/>
    <w:rsid w:val="007B46C9"/>
    <w:rsid w:val="007B46EF"/>
    <w:rsid w:val="007B4754"/>
    <w:rsid w:val="007B47AA"/>
    <w:rsid w:val="007B47F9"/>
    <w:rsid w:val="007B4842"/>
    <w:rsid w:val="007B4A17"/>
    <w:rsid w:val="007B4A99"/>
    <w:rsid w:val="007B4B0E"/>
    <w:rsid w:val="007B4B51"/>
    <w:rsid w:val="007B4BFD"/>
    <w:rsid w:val="007B4C1D"/>
    <w:rsid w:val="007B4C6B"/>
    <w:rsid w:val="007B4D0C"/>
    <w:rsid w:val="007B4D4E"/>
    <w:rsid w:val="007B4E93"/>
    <w:rsid w:val="007B4E9E"/>
    <w:rsid w:val="007B4F20"/>
    <w:rsid w:val="007B4F62"/>
    <w:rsid w:val="007B5000"/>
    <w:rsid w:val="007B5020"/>
    <w:rsid w:val="007B51F0"/>
    <w:rsid w:val="007B537E"/>
    <w:rsid w:val="007B53BD"/>
    <w:rsid w:val="007B549D"/>
    <w:rsid w:val="007B5534"/>
    <w:rsid w:val="007B5596"/>
    <w:rsid w:val="007B56B0"/>
    <w:rsid w:val="007B57A3"/>
    <w:rsid w:val="007B57AF"/>
    <w:rsid w:val="007B58F6"/>
    <w:rsid w:val="007B5932"/>
    <w:rsid w:val="007B5A79"/>
    <w:rsid w:val="007B5A90"/>
    <w:rsid w:val="007B5AE8"/>
    <w:rsid w:val="007B5AF5"/>
    <w:rsid w:val="007B5B3C"/>
    <w:rsid w:val="007B5BA2"/>
    <w:rsid w:val="007B5BA5"/>
    <w:rsid w:val="007B5C11"/>
    <w:rsid w:val="007B5C67"/>
    <w:rsid w:val="007B5C7D"/>
    <w:rsid w:val="007B5CF1"/>
    <w:rsid w:val="007B5D04"/>
    <w:rsid w:val="007B5D24"/>
    <w:rsid w:val="007B5D3F"/>
    <w:rsid w:val="007B5D90"/>
    <w:rsid w:val="007B5DF2"/>
    <w:rsid w:val="007B5EEA"/>
    <w:rsid w:val="007B5FEF"/>
    <w:rsid w:val="007B60AF"/>
    <w:rsid w:val="007B61DF"/>
    <w:rsid w:val="007B61ED"/>
    <w:rsid w:val="007B6250"/>
    <w:rsid w:val="007B6277"/>
    <w:rsid w:val="007B6299"/>
    <w:rsid w:val="007B6365"/>
    <w:rsid w:val="007B6499"/>
    <w:rsid w:val="007B64CB"/>
    <w:rsid w:val="007B6577"/>
    <w:rsid w:val="007B6600"/>
    <w:rsid w:val="007B6679"/>
    <w:rsid w:val="007B6738"/>
    <w:rsid w:val="007B682D"/>
    <w:rsid w:val="007B6835"/>
    <w:rsid w:val="007B686D"/>
    <w:rsid w:val="007B688D"/>
    <w:rsid w:val="007B68B4"/>
    <w:rsid w:val="007B68C2"/>
    <w:rsid w:val="007B68EF"/>
    <w:rsid w:val="007B68FD"/>
    <w:rsid w:val="007B69CD"/>
    <w:rsid w:val="007B69E5"/>
    <w:rsid w:val="007B69EB"/>
    <w:rsid w:val="007B6A01"/>
    <w:rsid w:val="007B6C07"/>
    <w:rsid w:val="007B6CA6"/>
    <w:rsid w:val="007B6CAD"/>
    <w:rsid w:val="007B6CC6"/>
    <w:rsid w:val="007B6F61"/>
    <w:rsid w:val="007B6F66"/>
    <w:rsid w:val="007B702E"/>
    <w:rsid w:val="007B7188"/>
    <w:rsid w:val="007B71B3"/>
    <w:rsid w:val="007B71C4"/>
    <w:rsid w:val="007B71C5"/>
    <w:rsid w:val="007B72EF"/>
    <w:rsid w:val="007B734D"/>
    <w:rsid w:val="007B73E8"/>
    <w:rsid w:val="007B74D0"/>
    <w:rsid w:val="007B74F8"/>
    <w:rsid w:val="007B7674"/>
    <w:rsid w:val="007B7676"/>
    <w:rsid w:val="007B7787"/>
    <w:rsid w:val="007B77D0"/>
    <w:rsid w:val="007B792A"/>
    <w:rsid w:val="007B7942"/>
    <w:rsid w:val="007B7B1D"/>
    <w:rsid w:val="007B7C3B"/>
    <w:rsid w:val="007B7C40"/>
    <w:rsid w:val="007B7C47"/>
    <w:rsid w:val="007B7CAC"/>
    <w:rsid w:val="007B7CBC"/>
    <w:rsid w:val="007B7CDE"/>
    <w:rsid w:val="007B7D83"/>
    <w:rsid w:val="007B7D8F"/>
    <w:rsid w:val="007B7DD7"/>
    <w:rsid w:val="007C00D1"/>
    <w:rsid w:val="007C0110"/>
    <w:rsid w:val="007C012C"/>
    <w:rsid w:val="007C01F8"/>
    <w:rsid w:val="007C021B"/>
    <w:rsid w:val="007C026E"/>
    <w:rsid w:val="007C02A6"/>
    <w:rsid w:val="007C046F"/>
    <w:rsid w:val="007C0484"/>
    <w:rsid w:val="007C0512"/>
    <w:rsid w:val="007C055F"/>
    <w:rsid w:val="007C05AB"/>
    <w:rsid w:val="007C0629"/>
    <w:rsid w:val="007C0787"/>
    <w:rsid w:val="007C07C1"/>
    <w:rsid w:val="007C07F9"/>
    <w:rsid w:val="007C085F"/>
    <w:rsid w:val="007C08CF"/>
    <w:rsid w:val="007C08E0"/>
    <w:rsid w:val="007C09D6"/>
    <w:rsid w:val="007C0AA9"/>
    <w:rsid w:val="007C0B2E"/>
    <w:rsid w:val="007C0BE5"/>
    <w:rsid w:val="007C0C07"/>
    <w:rsid w:val="007C0C93"/>
    <w:rsid w:val="007C0CF6"/>
    <w:rsid w:val="007C0D31"/>
    <w:rsid w:val="007C0DA3"/>
    <w:rsid w:val="007C0E5D"/>
    <w:rsid w:val="007C0EA0"/>
    <w:rsid w:val="007C10C0"/>
    <w:rsid w:val="007C10F3"/>
    <w:rsid w:val="007C11F6"/>
    <w:rsid w:val="007C1250"/>
    <w:rsid w:val="007C1468"/>
    <w:rsid w:val="007C1493"/>
    <w:rsid w:val="007C14F7"/>
    <w:rsid w:val="007C162A"/>
    <w:rsid w:val="007C1767"/>
    <w:rsid w:val="007C17B9"/>
    <w:rsid w:val="007C1806"/>
    <w:rsid w:val="007C1852"/>
    <w:rsid w:val="007C18D8"/>
    <w:rsid w:val="007C19C8"/>
    <w:rsid w:val="007C19F9"/>
    <w:rsid w:val="007C19FC"/>
    <w:rsid w:val="007C1A4A"/>
    <w:rsid w:val="007C1B98"/>
    <w:rsid w:val="007C1E38"/>
    <w:rsid w:val="007C1EB2"/>
    <w:rsid w:val="007C1F1D"/>
    <w:rsid w:val="007C1F79"/>
    <w:rsid w:val="007C1FD2"/>
    <w:rsid w:val="007C2055"/>
    <w:rsid w:val="007C20B4"/>
    <w:rsid w:val="007C23C2"/>
    <w:rsid w:val="007C2450"/>
    <w:rsid w:val="007C2544"/>
    <w:rsid w:val="007C257D"/>
    <w:rsid w:val="007C258A"/>
    <w:rsid w:val="007C262E"/>
    <w:rsid w:val="007C2727"/>
    <w:rsid w:val="007C2743"/>
    <w:rsid w:val="007C2AAE"/>
    <w:rsid w:val="007C2AC5"/>
    <w:rsid w:val="007C2B08"/>
    <w:rsid w:val="007C2B4F"/>
    <w:rsid w:val="007C2C48"/>
    <w:rsid w:val="007C2C9B"/>
    <w:rsid w:val="007C2EE3"/>
    <w:rsid w:val="007C2F3C"/>
    <w:rsid w:val="007C2F4A"/>
    <w:rsid w:val="007C2F70"/>
    <w:rsid w:val="007C3063"/>
    <w:rsid w:val="007C3198"/>
    <w:rsid w:val="007C31DE"/>
    <w:rsid w:val="007C32B3"/>
    <w:rsid w:val="007C3349"/>
    <w:rsid w:val="007C33B7"/>
    <w:rsid w:val="007C350F"/>
    <w:rsid w:val="007C36CB"/>
    <w:rsid w:val="007C3A73"/>
    <w:rsid w:val="007C3AC2"/>
    <w:rsid w:val="007C3B82"/>
    <w:rsid w:val="007C3C26"/>
    <w:rsid w:val="007C3C7E"/>
    <w:rsid w:val="007C3EE9"/>
    <w:rsid w:val="007C40C5"/>
    <w:rsid w:val="007C4144"/>
    <w:rsid w:val="007C41FA"/>
    <w:rsid w:val="007C41FD"/>
    <w:rsid w:val="007C4272"/>
    <w:rsid w:val="007C4301"/>
    <w:rsid w:val="007C432B"/>
    <w:rsid w:val="007C4364"/>
    <w:rsid w:val="007C4367"/>
    <w:rsid w:val="007C4396"/>
    <w:rsid w:val="007C43DB"/>
    <w:rsid w:val="007C43F1"/>
    <w:rsid w:val="007C454A"/>
    <w:rsid w:val="007C4566"/>
    <w:rsid w:val="007C456A"/>
    <w:rsid w:val="007C47D7"/>
    <w:rsid w:val="007C491D"/>
    <w:rsid w:val="007C495B"/>
    <w:rsid w:val="007C4A11"/>
    <w:rsid w:val="007C4AA6"/>
    <w:rsid w:val="007C4AE9"/>
    <w:rsid w:val="007C4B2B"/>
    <w:rsid w:val="007C4B8F"/>
    <w:rsid w:val="007C4B92"/>
    <w:rsid w:val="007C4BF0"/>
    <w:rsid w:val="007C4C18"/>
    <w:rsid w:val="007C4D6A"/>
    <w:rsid w:val="007C4DDA"/>
    <w:rsid w:val="007C4E75"/>
    <w:rsid w:val="007C4F8D"/>
    <w:rsid w:val="007C5088"/>
    <w:rsid w:val="007C509E"/>
    <w:rsid w:val="007C50A7"/>
    <w:rsid w:val="007C50B2"/>
    <w:rsid w:val="007C518E"/>
    <w:rsid w:val="007C5197"/>
    <w:rsid w:val="007C5308"/>
    <w:rsid w:val="007C5387"/>
    <w:rsid w:val="007C53D8"/>
    <w:rsid w:val="007C5403"/>
    <w:rsid w:val="007C541C"/>
    <w:rsid w:val="007C54F4"/>
    <w:rsid w:val="007C567A"/>
    <w:rsid w:val="007C5691"/>
    <w:rsid w:val="007C571D"/>
    <w:rsid w:val="007C57E9"/>
    <w:rsid w:val="007C57F7"/>
    <w:rsid w:val="007C5876"/>
    <w:rsid w:val="007C5890"/>
    <w:rsid w:val="007C5948"/>
    <w:rsid w:val="007C5960"/>
    <w:rsid w:val="007C5961"/>
    <w:rsid w:val="007C59EE"/>
    <w:rsid w:val="007C5AC6"/>
    <w:rsid w:val="007C5B63"/>
    <w:rsid w:val="007C5B79"/>
    <w:rsid w:val="007C5B82"/>
    <w:rsid w:val="007C5C1C"/>
    <w:rsid w:val="007C5C3B"/>
    <w:rsid w:val="007C5C76"/>
    <w:rsid w:val="007C5D01"/>
    <w:rsid w:val="007C5D5A"/>
    <w:rsid w:val="007C5ED0"/>
    <w:rsid w:val="007C6062"/>
    <w:rsid w:val="007C6084"/>
    <w:rsid w:val="007C6125"/>
    <w:rsid w:val="007C615A"/>
    <w:rsid w:val="007C620B"/>
    <w:rsid w:val="007C620C"/>
    <w:rsid w:val="007C6460"/>
    <w:rsid w:val="007C64A6"/>
    <w:rsid w:val="007C65C1"/>
    <w:rsid w:val="007C6632"/>
    <w:rsid w:val="007C676A"/>
    <w:rsid w:val="007C67BF"/>
    <w:rsid w:val="007C68AA"/>
    <w:rsid w:val="007C694D"/>
    <w:rsid w:val="007C69F7"/>
    <w:rsid w:val="007C6A0B"/>
    <w:rsid w:val="007C6E43"/>
    <w:rsid w:val="007C6EB9"/>
    <w:rsid w:val="007C6F81"/>
    <w:rsid w:val="007C7260"/>
    <w:rsid w:val="007C727E"/>
    <w:rsid w:val="007C73E6"/>
    <w:rsid w:val="007C7408"/>
    <w:rsid w:val="007C7428"/>
    <w:rsid w:val="007C751B"/>
    <w:rsid w:val="007C752A"/>
    <w:rsid w:val="007C752D"/>
    <w:rsid w:val="007C75A7"/>
    <w:rsid w:val="007C7606"/>
    <w:rsid w:val="007C761F"/>
    <w:rsid w:val="007C76B3"/>
    <w:rsid w:val="007C7700"/>
    <w:rsid w:val="007C770F"/>
    <w:rsid w:val="007C7732"/>
    <w:rsid w:val="007C7788"/>
    <w:rsid w:val="007C79C8"/>
    <w:rsid w:val="007C79F0"/>
    <w:rsid w:val="007C7A2E"/>
    <w:rsid w:val="007C7AC8"/>
    <w:rsid w:val="007C7AED"/>
    <w:rsid w:val="007C7BB5"/>
    <w:rsid w:val="007C7BCD"/>
    <w:rsid w:val="007C7CD7"/>
    <w:rsid w:val="007C7D01"/>
    <w:rsid w:val="007C7D6D"/>
    <w:rsid w:val="007C7E0A"/>
    <w:rsid w:val="007C7E17"/>
    <w:rsid w:val="007C7E9E"/>
    <w:rsid w:val="007C7EA1"/>
    <w:rsid w:val="007C7F4A"/>
    <w:rsid w:val="007D0044"/>
    <w:rsid w:val="007D018C"/>
    <w:rsid w:val="007D01DF"/>
    <w:rsid w:val="007D0290"/>
    <w:rsid w:val="007D02FF"/>
    <w:rsid w:val="007D03A0"/>
    <w:rsid w:val="007D03AE"/>
    <w:rsid w:val="007D0421"/>
    <w:rsid w:val="007D0430"/>
    <w:rsid w:val="007D05B8"/>
    <w:rsid w:val="007D0695"/>
    <w:rsid w:val="007D06FC"/>
    <w:rsid w:val="007D072D"/>
    <w:rsid w:val="007D07DE"/>
    <w:rsid w:val="007D08B2"/>
    <w:rsid w:val="007D09A4"/>
    <w:rsid w:val="007D0A96"/>
    <w:rsid w:val="007D0BD3"/>
    <w:rsid w:val="007D0C94"/>
    <w:rsid w:val="007D0D56"/>
    <w:rsid w:val="007D0E7F"/>
    <w:rsid w:val="007D1073"/>
    <w:rsid w:val="007D1103"/>
    <w:rsid w:val="007D116F"/>
    <w:rsid w:val="007D119D"/>
    <w:rsid w:val="007D1483"/>
    <w:rsid w:val="007D1534"/>
    <w:rsid w:val="007D16B1"/>
    <w:rsid w:val="007D16B5"/>
    <w:rsid w:val="007D1717"/>
    <w:rsid w:val="007D17D3"/>
    <w:rsid w:val="007D1901"/>
    <w:rsid w:val="007D1AF2"/>
    <w:rsid w:val="007D1C4B"/>
    <w:rsid w:val="007D1CED"/>
    <w:rsid w:val="007D1CF9"/>
    <w:rsid w:val="007D1DF8"/>
    <w:rsid w:val="007D1E97"/>
    <w:rsid w:val="007D1F34"/>
    <w:rsid w:val="007D1FB9"/>
    <w:rsid w:val="007D2069"/>
    <w:rsid w:val="007D213B"/>
    <w:rsid w:val="007D2234"/>
    <w:rsid w:val="007D2273"/>
    <w:rsid w:val="007D22E1"/>
    <w:rsid w:val="007D238E"/>
    <w:rsid w:val="007D23CB"/>
    <w:rsid w:val="007D23FD"/>
    <w:rsid w:val="007D25A6"/>
    <w:rsid w:val="007D25CE"/>
    <w:rsid w:val="007D26AC"/>
    <w:rsid w:val="007D279B"/>
    <w:rsid w:val="007D27FD"/>
    <w:rsid w:val="007D2838"/>
    <w:rsid w:val="007D2895"/>
    <w:rsid w:val="007D291A"/>
    <w:rsid w:val="007D29EE"/>
    <w:rsid w:val="007D2C06"/>
    <w:rsid w:val="007D2C3D"/>
    <w:rsid w:val="007D2D03"/>
    <w:rsid w:val="007D2EAA"/>
    <w:rsid w:val="007D2F8E"/>
    <w:rsid w:val="007D300F"/>
    <w:rsid w:val="007D302D"/>
    <w:rsid w:val="007D3098"/>
    <w:rsid w:val="007D310F"/>
    <w:rsid w:val="007D3232"/>
    <w:rsid w:val="007D3251"/>
    <w:rsid w:val="007D328C"/>
    <w:rsid w:val="007D33B4"/>
    <w:rsid w:val="007D34D8"/>
    <w:rsid w:val="007D357A"/>
    <w:rsid w:val="007D3645"/>
    <w:rsid w:val="007D364F"/>
    <w:rsid w:val="007D36F2"/>
    <w:rsid w:val="007D3837"/>
    <w:rsid w:val="007D388A"/>
    <w:rsid w:val="007D3922"/>
    <w:rsid w:val="007D39E7"/>
    <w:rsid w:val="007D3A39"/>
    <w:rsid w:val="007D3A8A"/>
    <w:rsid w:val="007D3BB9"/>
    <w:rsid w:val="007D3BBF"/>
    <w:rsid w:val="007D3C38"/>
    <w:rsid w:val="007D3C90"/>
    <w:rsid w:val="007D3CA6"/>
    <w:rsid w:val="007D3CEA"/>
    <w:rsid w:val="007D3D23"/>
    <w:rsid w:val="007D3F20"/>
    <w:rsid w:val="007D3F34"/>
    <w:rsid w:val="007D3FA9"/>
    <w:rsid w:val="007D4073"/>
    <w:rsid w:val="007D4089"/>
    <w:rsid w:val="007D40F5"/>
    <w:rsid w:val="007D4119"/>
    <w:rsid w:val="007D4130"/>
    <w:rsid w:val="007D41B1"/>
    <w:rsid w:val="007D42EB"/>
    <w:rsid w:val="007D439F"/>
    <w:rsid w:val="007D43E3"/>
    <w:rsid w:val="007D44F0"/>
    <w:rsid w:val="007D45B9"/>
    <w:rsid w:val="007D45C9"/>
    <w:rsid w:val="007D4669"/>
    <w:rsid w:val="007D4709"/>
    <w:rsid w:val="007D4718"/>
    <w:rsid w:val="007D471D"/>
    <w:rsid w:val="007D49C8"/>
    <w:rsid w:val="007D4A93"/>
    <w:rsid w:val="007D4BCA"/>
    <w:rsid w:val="007D4BD2"/>
    <w:rsid w:val="007D4BF3"/>
    <w:rsid w:val="007D4C71"/>
    <w:rsid w:val="007D4D85"/>
    <w:rsid w:val="007D4E14"/>
    <w:rsid w:val="007D4E32"/>
    <w:rsid w:val="007D4F52"/>
    <w:rsid w:val="007D503F"/>
    <w:rsid w:val="007D5040"/>
    <w:rsid w:val="007D509E"/>
    <w:rsid w:val="007D528E"/>
    <w:rsid w:val="007D533C"/>
    <w:rsid w:val="007D5370"/>
    <w:rsid w:val="007D545D"/>
    <w:rsid w:val="007D5513"/>
    <w:rsid w:val="007D553B"/>
    <w:rsid w:val="007D568B"/>
    <w:rsid w:val="007D57EE"/>
    <w:rsid w:val="007D58B5"/>
    <w:rsid w:val="007D58BB"/>
    <w:rsid w:val="007D58CD"/>
    <w:rsid w:val="007D58F5"/>
    <w:rsid w:val="007D5A7C"/>
    <w:rsid w:val="007D5A83"/>
    <w:rsid w:val="007D5A9E"/>
    <w:rsid w:val="007D5AF4"/>
    <w:rsid w:val="007D5B5F"/>
    <w:rsid w:val="007D5BAB"/>
    <w:rsid w:val="007D5CDC"/>
    <w:rsid w:val="007D5D46"/>
    <w:rsid w:val="007D5DBB"/>
    <w:rsid w:val="007D5DD1"/>
    <w:rsid w:val="007D5E25"/>
    <w:rsid w:val="007D603C"/>
    <w:rsid w:val="007D60AC"/>
    <w:rsid w:val="007D638D"/>
    <w:rsid w:val="007D6468"/>
    <w:rsid w:val="007D64C6"/>
    <w:rsid w:val="007D64EA"/>
    <w:rsid w:val="007D651E"/>
    <w:rsid w:val="007D6526"/>
    <w:rsid w:val="007D654B"/>
    <w:rsid w:val="007D658D"/>
    <w:rsid w:val="007D65A5"/>
    <w:rsid w:val="007D6646"/>
    <w:rsid w:val="007D66F9"/>
    <w:rsid w:val="007D6857"/>
    <w:rsid w:val="007D6A45"/>
    <w:rsid w:val="007D6A66"/>
    <w:rsid w:val="007D6ABB"/>
    <w:rsid w:val="007D6B1B"/>
    <w:rsid w:val="007D6B4B"/>
    <w:rsid w:val="007D6C54"/>
    <w:rsid w:val="007D6C73"/>
    <w:rsid w:val="007D6C7A"/>
    <w:rsid w:val="007D6D45"/>
    <w:rsid w:val="007D6DD3"/>
    <w:rsid w:val="007D6DF3"/>
    <w:rsid w:val="007D6E96"/>
    <w:rsid w:val="007D6EA3"/>
    <w:rsid w:val="007D7142"/>
    <w:rsid w:val="007D7145"/>
    <w:rsid w:val="007D727F"/>
    <w:rsid w:val="007D72FE"/>
    <w:rsid w:val="007D739E"/>
    <w:rsid w:val="007D7418"/>
    <w:rsid w:val="007D7506"/>
    <w:rsid w:val="007D75C5"/>
    <w:rsid w:val="007D7749"/>
    <w:rsid w:val="007D77EA"/>
    <w:rsid w:val="007D7818"/>
    <w:rsid w:val="007D7875"/>
    <w:rsid w:val="007D7988"/>
    <w:rsid w:val="007D7A05"/>
    <w:rsid w:val="007D7AB8"/>
    <w:rsid w:val="007D7B15"/>
    <w:rsid w:val="007D7B19"/>
    <w:rsid w:val="007D7B2B"/>
    <w:rsid w:val="007D7B7F"/>
    <w:rsid w:val="007D7C0F"/>
    <w:rsid w:val="007D7C2F"/>
    <w:rsid w:val="007D7CB7"/>
    <w:rsid w:val="007D7CEA"/>
    <w:rsid w:val="007D7E92"/>
    <w:rsid w:val="007D7EB7"/>
    <w:rsid w:val="007D7F4A"/>
    <w:rsid w:val="007D7F6B"/>
    <w:rsid w:val="007D7F96"/>
    <w:rsid w:val="007E00C3"/>
    <w:rsid w:val="007E020E"/>
    <w:rsid w:val="007E0321"/>
    <w:rsid w:val="007E0583"/>
    <w:rsid w:val="007E070F"/>
    <w:rsid w:val="007E0714"/>
    <w:rsid w:val="007E0777"/>
    <w:rsid w:val="007E079D"/>
    <w:rsid w:val="007E0875"/>
    <w:rsid w:val="007E08A2"/>
    <w:rsid w:val="007E09C4"/>
    <w:rsid w:val="007E0A41"/>
    <w:rsid w:val="007E0AFE"/>
    <w:rsid w:val="007E0C31"/>
    <w:rsid w:val="007E0CF0"/>
    <w:rsid w:val="007E0D38"/>
    <w:rsid w:val="007E0D71"/>
    <w:rsid w:val="007E0D75"/>
    <w:rsid w:val="007E0DB4"/>
    <w:rsid w:val="007E0F18"/>
    <w:rsid w:val="007E0F72"/>
    <w:rsid w:val="007E0FA4"/>
    <w:rsid w:val="007E1095"/>
    <w:rsid w:val="007E114A"/>
    <w:rsid w:val="007E1205"/>
    <w:rsid w:val="007E127C"/>
    <w:rsid w:val="007E1296"/>
    <w:rsid w:val="007E1598"/>
    <w:rsid w:val="007E1621"/>
    <w:rsid w:val="007E176D"/>
    <w:rsid w:val="007E1910"/>
    <w:rsid w:val="007E19F1"/>
    <w:rsid w:val="007E1A67"/>
    <w:rsid w:val="007E1B21"/>
    <w:rsid w:val="007E1B91"/>
    <w:rsid w:val="007E1BF5"/>
    <w:rsid w:val="007E1DD0"/>
    <w:rsid w:val="007E1DE0"/>
    <w:rsid w:val="007E1FC0"/>
    <w:rsid w:val="007E21AB"/>
    <w:rsid w:val="007E22A8"/>
    <w:rsid w:val="007E230D"/>
    <w:rsid w:val="007E2316"/>
    <w:rsid w:val="007E23B9"/>
    <w:rsid w:val="007E23FC"/>
    <w:rsid w:val="007E2436"/>
    <w:rsid w:val="007E2451"/>
    <w:rsid w:val="007E2626"/>
    <w:rsid w:val="007E2638"/>
    <w:rsid w:val="007E264B"/>
    <w:rsid w:val="007E26B2"/>
    <w:rsid w:val="007E26EF"/>
    <w:rsid w:val="007E2723"/>
    <w:rsid w:val="007E275E"/>
    <w:rsid w:val="007E27B7"/>
    <w:rsid w:val="007E2803"/>
    <w:rsid w:val="007E2832"/>
    <w:rsid w:val="007E28E1"/>
    <w:rsid w:val="007E2B4D"/>
    <w:rsid w:val="007E2B5B"/>
    <w:rsid w:val="007E2B92"/>
    <w:rsid w:val="007E2C11"/>
    <w:rsid w:val="007E2C34"/>
    <w:rsid w:val="007E2C37"/>
    <w:rsid w:val="007E2D81"/>
    <w:rsid w:val="007E2EAD"/>
    <w:rsid w:val="007E2F3C"/>
    <w:rsid w:val="007E3283"/>
    <w:rsid w:val="007E32E5"/>
    <w:rsid w:val="007E334A"/>
    <w:rsid w:val="007E33D1"/>
    <w:rsid w:val="007E34EF"/>
    <w:rsid w:val="007E35A0"/>
    <w:rsid w:val="007E35B4"/>
    <w:rsid w:val="007E3790"/>
    <w:rsid w:val="007E3861"/>
    <w:rsid w:val="007E3938"/>
    <w:rsid w:val="007E3994"/>
    <w:rsid w:val="007E3A1E"/>
    <w:rsid w:val="007E3A27"/>
    <w:rsid w:val="007E3B75"/>
    <w:rsid w:val="007E3C83"/>
    <w:rsid w:val="007E3C91"/>
    <w:rsid w:val="007E3CDD"/>
    <w:rsid w:val="007E3EB3"/>
    <w:rsid w:val="007E3FA1"/>
    <w:rsid w:val="007E4111"/>
    <w:rsid w:val="007E41BF"/>
    <w:rsid w:val="007E423F"/>
    <w:rsid w:val="007E4351"/>
    <w:rsid w:val="007E44A9"/>
    <w:rsid w:val="007E4544"/>
    <w:rsid w:val="007E4616"/>
    <w:rsid w:val="007E48AA"/>
    <w:rsid w:val="007E48B8"/>
    <w:rsid w:val="007E491B"/>
    <w:rsid w:val="007E49A8"/>
    <w:rsid w:val="007E49F5"/>
    <w:rsid w:val="007E4A08"/>
    <w:rsid w:val="007E4B79"/>
    <w:rsid w:val="007E4BDD"/>
    <w:rsid w:val="007E4CBA"/>
    <w:rsid w:val="007E4D52"/>
    <w:rsid w:val="007E4DE2"/>
    <w:rsid w:val="007E4EE7"/>
    <w:rsid w:val="007E4F8B"/>
    <w:rsid w:val="007E5068"/>
    <w:rsid w:val="007E50DB"/>
    <w:rsid w:val="007E51FE"/>
    <w:rsid w:val="007E523F"/>
    <w:rsid w:val="007E5334"/>
    <w:rsid w:val="007E53D9"/>
    <w:rsid w:val="007E55B0"/>
    <w:rsid w:val="007E560F"/>
    <w:rsid w:val="007E56D8"/>
    <w:rsid w:val="007E57D5"/>
    <w:rsid w:val="007E5863"/>
    <w:rsid w:val="007E58BF"/>
    <w:rsid w:val="007E5962"/>
    <w:rsid w:val="007E5989"/>
    <w:rsid w:val="007E59B3"/>
    <w:rsid w:val="007E59D7"/>
    <w:rsid w:val="007E59E8"/>
    <w:rsid w:val="007E5A1A"/>
    <w:rsid w:val="007E5A42"/>
    <w:rsid w:val="007E5A61"/>
    <w:rsid w:val="007E5B66"/>
    <w:rsid w:val="007E5B9C"/>
    <w:rsid w:val="007E5BBF"/>
    <w:rsid w:val="007E5C2E"/>
    <w:rsid w:val="007E5C37"/>
    <w:rsid w:val="007E5CA1"/>
    <w:rsid w:val="007E5CDE"/>
    <w:rsid w:val="007E5D63"/>
    <w:rsid w:val="007E5DCB"/>
    <w:rsid w:val="007E5EAA"/>
    <w:rsid w:val="007E5EB2"/>
    <w:rsid w:val="007E5EEB"/>
    <w:rsid w:val="007E5F12"/>
    <w:rsid w:val="007E6086"/>
    <w:rsid w:val="007E6214"/>
    <w:rsid w:val="007E623E"/>
    <w:rsid w:val="007E6257"/>
    <w:rsid w:val="007E6293"/>
    <w:rsid w:val="007E635A"/>
    <w:rsid w:val="007E63FB"/>
    <w:rsid w:val="007E6420"/>
    <w:rsid w:val="007E6524"/>
    <w:rsid w:val="007E6828"/>
    <w:rsid w:val="007E68C1"/>
    <w:rsid w:val="007E6956"/>
    <w:rsid w:val="007E69DF"/>
    <w:rsid w:val="007E6B56"/>
    <w:rsid w:val="007E6C12"/>
    <w:rsid w:val="007E6C1B"/>
    <w:rsid w:val="007E6D13"/>
    <w:rsid w:val="007E6D71"/>
    <w:rsid w:val="007E6D73"/>
    <w:rsid w:val="007E6D8D"/>
    <w:rsid w:val="007E6DB9"/>
    <w:rsid w:val="007E6ECA"/>
    <w:rsid w:val="007E6FC8"/>
    <w:rsid w:val="007E7016"/>
    <w:rsid w:val="007E72BA"/>
    <w:rsid w:val="007E7402"/>
    <w:rsid w:val="007E740B"/>
    <w:rsid w:val="007E74C9"/>
    <w:rsid w:val="007E760C"/>
    <w:rsid w:val="007E768B"/>
    <w:rsid w:val="007E76CF"/>
    <w:rsid w:val="007E7712"/>
    <w:rsid w:val="007E776F"/>
    <w:rsid w:val="007E7837"/>
    <w:rsid w:val="007E78A2"/>
    <w:rsid w:val="007E78C6"/>
    <w:rsid w:val="007E7A01"/>
    <w:rsid w:val="007E7AB0"/>
    <w:rsid w:val="007E7AB6"/>
    <w:rsid w:val="007E7AE8"/>
    <w:rsid w:val="007E7B61"/>
    <w:rsid w:val="007E7BDD"/>
    <w:rsid w:val="007E7C09"/>
    <w:rsid w:val="007E7C0B"/>
    <w:rsid w:val="007E7C5A"/>
    <w:rsid w:val="007E7C8C"/>
    <w:rsid w:val="007E7CCC"/>
    <w:rsid w:val="007E7D15"/>
    <w:rsid w:val="007E7DDB"/>
    <w:rsid w:val="007E7DEB"/>
    <w:rsid w:val="007E7DF9"/>
    <w:rsid w:val="007E7E0A"/>
    <w:rsid w:val="007E7E80"/>
    <w:rsid w:val="007E7F30"/>
    <w:rsid w:val="007F002F"/>
    <w:rsid w:val="007F0040"/>
    <w:rsid w:val="007F00A7"/>
    <w:rsid w:val="007F00FB"/>
    <w:rsid w:val="007F01D6"/>
    <w:rsid w:val="007F0207"/>
    <w:rsid w:val="007F02C1"/>
    <w:rsid w:val="007F0301"/>
    <w:rsid w:val="007F033B"/>
    <w:rsid w:val="007F03FC"/>
    <w:rsid w:val="007F040A"/>
    <w:rsid w:val="007F0441"/>
    <w:rsid w:val="007F0451"/>
    <w:rsid w:val="007F048D"/>
    <w:rsid w:val="007F0541"/>
    <w:rsid w:val="007F059A"/>
    <w:rsid w:val="007F05E7"/>
    <w:rsid w:val="007F0600"/>
    <w:rsid w:val="007F0772"/>
    <w:rsid w:val="007F086E"/>
    <w:rsid w:val="007F0883"/>
    <w:rsid w:val="007F0892"/>
    <w:rsid w:val="007F08A9"/>
    <w:rsid w:val="007F094F"/>
    <w:rsid w:val="007F0972"/>
    <w:rsid w:val="007F0A7E"/>
    <w:rsid w:val="007F0AAE"/>
    <w:rsid w:val="007F0B16"/>
    <w:rsid w:val="007F0BB6"/>
    <w:rsid w:val="007F0BB9"/>
    <w:rsid w:val="007F0BCF"/>
    <w:rsid w:val="007F0BFA"/>
    <w:rsid w:val="007F0CE3"/>
    <w:rsid w:val="007F0D24"/>
    <w:rsid w:val="007F0DB2"/>
    <w:rsid w:val="007F0E99"/>
    <w:rsid w:val="007F0EFC"/>
    <w:rsid w:val="007F0EFE"/>
    <w:rsid w:val="007F0F16"/>
    <w:rsid w:val="007F1023"/>
    <w:rsid w:val="007F120E"/>
    <w:rsid w:val="007F1258"/>
    <w:rsid w:val="007F1302"/>
    <w:rsid w:val="007F136A"/>
    <w:rsid w:val="007F1379"/>
    <w:rsid w:val="007F137B"/>
    <w:rsid w:val="007F1613"/>
    <w:rsid w:val="007F16AF"/>
    <w:rsid w:val="007F18AD"/>
    <w:rsid w:val="007F18F1"/>
    <w:rsid w:val="007F1918"/>
    <w:rsid w:val="007F1977"/>
    <w:rsid w:val="007F19E3"/>
    <w:rsid w:val="007F1A11"/>
    <w:rsid w:val="007F1A32"/>
    <w:rsid w:val="007F1BB2"/>
    <w:rsid w:val="007F1D70"/>
    <w:rsid w:val="007F1D9B"/>
    <w:rsid w:val="007F1EF5"/>
    <w:rsid w:val="007F2081"/>
    <w:rsid w:val="007F21A9"/>
    <w:rsid w:val="007F21D2"/>
    <w:rsid w:val="007F2204"/>
    <w:rsid w:val="007F2238"/>
    <w:rsid w:val="007F2353"/>
    <w:rsid w:val="007F23B8"/>
    <w:rsid w:val="007F23DE"/>
    <w:rsid w:val="007F23F1"/>
    <w:rsid w:val="007F23FF"/>
    <w:rsid w:val="007F2628"/>
    <w:rsid w:val="007F264D"/>
    <w:rsid w:val="007F2650"/>
    <w:rsid w:val="007F2685"/>
    <w:rsid w:val="007F2702"/>
    <w:rsid w:val="007F2839"/>
    <w:rsid w:val="007F28DD"/>
    <w:rsid w:val="007F294A"/>
    <w:rsid w:val="007F29CF"/>
    <w:rsid w:val="007F2B00"/>
    <w:rsid w:val="007F2B3A"/>
    <w:rsid w:val="007F2B63"/>
    <w:rsid w:val="007F2C09"/>
    <w:rsid w:val="007F2C77"/>
    <w:rsid w:val="007F2D9F"/>
    <w:rsid w:val="007F2F2E"/>
    <w:rsid w:val="007F3099"/>
    <w:rsid w:val="007F314F"/>
    <w:rsid w:val="007F32A8"/>
    <w:rsid w:val="007F32E7"/>
    <w:rsid w:val="007F33BA"/>
    <w:rsid w:val="007F33BC"/>
    <w:rsid w:val="007F34F2"/>
    <w:rsid w:val="007F358E"/>
    <w:rsid w:val="007F35C2"/>
    <w:rsid w:val="007F35FC"/>
    <w:rsid w:val="007F3850"/>
    <w:rsid w:val="007F388D"/>
    <w:rsid w:val="007F3A10"/>
    <w:rsid w:val="007F3A2C"/>
    <w:rsid w:val="007F3A7B"/>
    <w:rsid w:val="007F3B8B"/>
    <w:rsid w:val="007F3C4D"/>
    <w:rsid w:val="007F3C98"/>
    <w:rsid w:val="007F3CE1"/>
    <w:rsid w:val="007F3D30"/>
    <w:rsid w:val="007F3DBD"/>
    <w:rsid w:val="007F3DF7"/>
    <w:rsid w:val="007F3F62"/>
    <w:rsid w:val="007F415A"/>
    <w:rsid w:val="007F421A"/>
    <w:rsid w:val="007F4243"/>
    <w:rsid w:val="007F430F"/>
    <w:rsid w:val="007F4315"/>
    <w:rsid w:val="007F437F"/>
    <w:rsid w:val="007F4546"/>
    <w:rsid w:val="007F4563"/>
    <w:rsid w:val="007F467E"/>
    <w:rsid w:val="007F468A"/>
    <w:rsid w:val="007F46EE"/>
    <w:rsid w:val="007F4B20"/>
    <w:rsid w:val="007F4B57"/>
    <w:rsid w:val="007F4CF2"/>
    <w:rsid w:val="007F4D2C"/>
    <w:rsid w:val="007F4D45"/>
    <w:rsid w:val="007F4EB8"/>
    <w:rsid w:val="007F4F2E"/>
    <w:rsid w:val="007F4F96"/>
    <w:rsid w:val="007F52F0"/>
    <w:rsid w:val="007F535B"/>
    <w:rsid w:val="007F535E"/>
    <w:rsid w:val="007F5464"/>
    <w:rsid w:val="007F546D"/>
    <w:rsid w:val="007F565D"/>
    <w:rsid w:val="007F5720"/>
    <w:rsid w:val="007F576B"/>
    <w:rsid w:val="007F57B3"/>
    <w:rsid w:val="007F58F0"/>
    <w:rsid w:val="007F59CA"/>
    <w:rsid w:val="007F5AAD"/>
    <w:rsid w:val="007F5AC6"/>
    <w:rsid w:val="007F5ADC"/>
    <w:rsid w:val="007F5B2C"/>
    <w:rsid w:val="007F5BEE"/>
    <w:rsid w:val="007F5C7F"/>
    <w:rsid w:val="007F5CE0"/>
    <w:rsid w:val="007F5F63"/>
    <w:rsid w:val="007F600C"/>
    <w:rsid w:val="007F6295"/>
    <w:rsid w:val="007F641C"/>
    <w:rsid w:val="007F64FC"/>
    <w:rsid w:val="007F655D"/>
    <w:rsid w:val="007F65C8"/>
    <w:rsid w:val="007F65EC"/>
    <w:rsid w:val="007F6873"/>
    <w:rsid w:val="007F6901"/>
    <w:rsid w:val="007F6A18"/>
    <w:rsid w:val="007F6B53"/>
    <w:rsid w:val="007F6C17"/>
    <w:rsid w:val="007F6C8D"/>
    <w:rsid w:val="007F6D54"/>
    <w:rsid w:val="007F6D96"/>
    <w:rsid w:val="007F6E1F"/>
    <w:rsid w:val="007F6E36"/>
    <w:rsid w:val="007F6E62"/>
    <w:rsid w:val="007F6EE5"/>
    <w:rsid w:val="007F6F87"/>
    <w:rsid w:val="007F7161"/>
    <w:rsid w:val="007F71A9"/>
    <w:rsid w:val="007F723B"/>
    <w:rsid w:val="007F72B4"/>
    <w:rsid w:val="007F72E1"/>
    <w:rsid w:val="007F736A"/>
    <w:rsid w:val="007F737B"/>
    <w:rsid w:val="007F73B3"/>
    <w:rsid w:val="007F73D2"/>
    <w:rsid w:val="007F7410"/>
    <w:rsid w:val="007F746A"/>
    <w:rsid w:val="007F749F"/>
    <w:rsid w:val="007F757F"/>
    <w:rsid w:val="007F758A"/>
    <w:rsid w:val="007F7602"/>
    <w:rsid w:val="007F7695"/>
    <w:rsid w:val="007F76E6"/>
    <w:rsid w:val="007F7739"/>
    <w:rsid w:val="007F7805"/>
    <w:rsid w:val="007F7A48"/>
    <w:rsid w:val="007F7A64"/>
    <w:rsid w:val="007F7ACD"/>
    <w:rsid w:val="007F7B29"/>
    <w:rsid w:val="007F7B69"/>
    <w:rsid w:val="007F7BA9"/>
    <w:rsid w:val="007F7BAC"/>
    <w:rsid w:val="007F7C6D"/>
    <w:rsid w:val="007F7D13"/>
    <w:rsid w:val="007F7D82"/>
    <w:rsid w:val="007F7E98"/>
    <w:rsid w:val="007F7EA4"/>
    <w:rsid w:val="007F7EE9"/>
    <w:rsid w:val="007F7F2F"/>
    <w:rsid w:val="007F7FA3"/>
    <w:rsid w:val="0080006A"/>
    <w:rsid w:val="0080009D"/>
    <w:rsid w:val="008001C2"/>
    <w:rsid w:val="00800269"/>
    <w:rsid w:val="008002F7"/>
    <w:rsid w:val="008003B3"/>
    <w:rsid w:val="008003C2"/>
    <w:rsid w:val="008004F3"/>
    <w:rsid w:val="008005FB"/>
    <w:rsid w:val="00800604"/>
    <w:rsid w:val="0080078B"/>
    <w:rsid w:val="008007FE"/>
    <w:rsid w:val="00800801"/>
    <w:rsid w:val="00800891"/>
    <w:rsid w:val="0080099C"/>
    <w:rsid w:val="008009BE"/>
    <w:rsid w:val="00800C1E"/>
    <w:rsid w:val="00800C3B"/>
    <w:rsid w:val="00800CD3"/>
    <w:rsid w:val="00800CEC"/>
    <w:rsid w:val="00800D52"/>
    <w:rsid w:val="00800DC6"/>
    <w:rsid w:val="00800E5F"/>
    <w:rsid w:val="00800E8E"/>
    <w:rsid w:val="00800FFE"/>
    <w:rsid w:val="008010A6"/>
    <w:rsid w:val="008010DA"/>
    <w:rsid w:val="008011E4"/>
    <w:rsid w:val="0080122A"/>
    <w:rsid w:val="0080122C"/>
    <w:rsid w:val="008014C1"/>
    <w:rsid w:val="008014DE"/>
    <w:rsid w:val="008014E7"/>
    <w:rsid w:val="00801535"/>
    <w:rsid w:val="0080153A"/>
    <w:rsid w:val="00801604"/>
    <w:rsid w:val="0080164D"/>
    <w:rsid w:val="008016B5"/>
    <w:rsid w:val="008016DF"/>
    <w:rsid w:val="008017D4"/>
    <w:rsid w:val="00801804"/>
    <w:rsid w:val="008018E3"/>
    <w:rsid w:val="00801942"/>
    <w:rsid w:val="00801963"/>
    <w:rsid w:val="00801AA5"/>
    <w:rsid w:val="00801B5C"/>
    <w:rsid w:val="00801B6B"/>
    <w:rsid w:val="00801B9B"/>
    <w:rsid w:val="00801C7B"/>
    <w:rsid w:val="00801C90"/>
    <w:rsid w:val="00801CBC"/>
    <w:rsid w:val="00801CCB"/>
    <w:rsid w:val="00801CDA"/>
    <w:rsid w:val="00801D04"/>
    <w:rsid w:val="00801D05"/>
    <w:rsid w:val="00801D06"/>
    <w:rsid w:val="00801D3E"/>
    <w:rsid w:val="00801E99"/>
    <w:rsid w:val="00801F8F"/>
    <w:rsid w:val="00801FAF"/>
    <w:rsid w:val="0080201C"/>
    <w:rsid w:val="008020BD"/>
    <w:rsid w:val="008021D8"/>
    <w:rsid w:val="00802439"/>
    <w:rsid w:val="0080246A"/>
    <w:rsid w:val="00802496"/>
    <w:rsid w:val="008024F7"/>
    <w:rsid w:val="00802649"/>
    <w:rsid w:val="0080264E"/>
    <w:rsid w:val="0080269C"/>
    <w:rsid w:val="008026DA"/>
    <w:rsid w:val="00802768"/>
    <w:rsid w:val="0080278A"/>
    <w:rsid w:val="00802883"/>
    <w:rsid w:val="008028DC"/>
    <w:rsid w:val="00802901"/>
    <w:rsid w:val="00802A20"/>
    <w:rsid w:val="00802A65"/>
    <w:rsid w:val="00802B25"/>
    <w:rsid w:val="00802C7B"/>
    <w:rsid w:val="00802D64"/>
    <w:rsid w:val="00802D7D"/>
    <w:rsid w:val="00802EDF"/>
    <w:rsid w:val="00803045"/>
    <w:rsid w:val="00803184"/>
    <w:rsid w:val="008031A2"/>
    <w:rsid w:val="00803272"/>
    <w:rsid w:val="008032C5"/>
    <w:rsid w:val="00803317"/>
    <w:rsid w:val="008033CE"/>
    <w:rsid w:val="00803481"/>
    <w:rsid w:val="008034C3"/>
    <w:rsid w:val="00803502"/>
    <w:rsid w:val="0080353A"/>
    <w:rsid w:val="008037DA"/>
    <w:rsid w:val="00803973"/>
    <w:rsid w:val="00803979"/>
    <w:rsid w:val="00803AD8"/>
    <w:rsid w:val="00803B0A"/>
    <w:rsid w:val="00803D7A"/>
    <w:rsid w:val="00803DB3"/>
    <w:rsid w:val="00803DFE"/>
    <w:rsid w:val="00803E62"/>
    <w:rsid w:val="00803F3A"/>
    <w:rsid w:val="00803FE5"/>
    <w:rsid w:val="00804066"/>
    <w:rsid w:val="00804109"/>
    <w:rsid w:val="00804119"/>
    <w:rsid w:val="0080416F"/>
    <w:rsid w:val="00804243"/>
    <w:rsid w:val="008042C3"/>
    <w:rsid w:val="00804348"/>
    <w:rsid w:val="00804548"/>
    <w:rsid w:val="00804666"/>
    <w:rsid w:val="0080467E"/>
    <w:rsid w:val="0080473C"/>
    <w:rsid w:val="008047A2"/>
    <w:rsid w:val="008047D3"/>
    <w:rsid w:val="0080486E"/>
    <w:rsid w:val="00804896"/>
    <w:rsid w:val="008049A4"/>
    <w:rsid w:val="008049A5"/>
    <w:rsid w:val="008049CB"/>
    <w:rsid w:val="008049F4"/>
    <w:rsid w:val="00804AFA"/>
    <w:rsid w:val="00804B6F"/>
    <w:rsid w:val="00804C36"/>
    <w:rsid w:val="00804E71"/>
    <w:rsid w:val="00804E88"/>
    <w:rsid w:val="00804EA4"/>
    <w:rsid w:val="00804FD6"/>
    <w:rsid w:val="00804FEA"/>
    <w:rsid w:val="0080500C"/>
    <w:rsid w:val="0080507D"/>
    <w:rsid w:val="00805227"/>
    <w:rsid w:val="00805297"/>
    <w:rsid w:val="00805350"/>
    <w:rsid w:val="008054DF"/>
    <w:rsid w:val="008054E5"/>
    <w:rsid w:val="00805696"/>
    <w:rsid w:val="008056A3"/>
    <w:rsid w:val="008056B3"/>
    <w:rsid w:val="00805748"/>
    <w:rsid w:val="00805785"/>
    <w:rsid w:val="0080584E"/>
    <w:rsid w:val="008058AD"/>
    <w:rsid w:val="008058BD"/>
    <w:rsid w:val="00805931"/>
    <w:rsid w:val="00805A6E"/>
    <w:rsid w:val="00805A9E"/>
    <w:rsid w:val="00805B5E"/>
    <w:rsid w:val="00805B64"/>
    <w:rsid w:val="00805CA0"/>
    <w:rsid w:val="00805E26"/>
    <w:rsid w:val="00805FD3"/>
    <w:rsid w:val="008060D0"/>
    <w:rsid w:val="00806113"/>
    <w:rsid w:val="0080622B"/>
    <w:rsid w:val="0080623B"/>
    <w:rsid w:val="00806289"/>
    <w:rsid w:val="00806344"/>
    <w:rsid w:val="008063BA"/>
    <w:rsid w:val="00806441"/>
    <w:rsid w:val="00806452"/>
    <w:rsid w:val="00806575"/>
    <w:rsid w:val="0080662E"/>
    <w:rsid w:val="00806686"/>
    <w:rsid w:val="008066AD"/>
    <w:rsid w:val="008066C5"/>
    <w:rsid w:val="00806723"/>
    <w:rsid w:val="00806818"/>
    <w:rsid w:val="00806837"/>
    <w:rsid w:val="00806869"/>
    <w:rsid w:val="00806985"/>
    <w:rsid w:val="00806C0D"/>
    <w:rsid w:val="00806CBA"/>
    <w:rsid w:val="00806D4D"/>
    <w:rsid w:val="00806DD0"/>
    <w:rsid w:val="00806F34"/>
    <w:rsid w:val="00806F79"/>
    <w:rsid w:val="00807109"/>
    <w:rsid w:val="00807160"/>
    <w:rsid w:val="008071D4"/>
    <w:rsid w:val="008071E9"/>
    <w:rsid w:val="0080725C"/>
    <w:rsid w:val="008072B0"/>
    <w:rsid w:val="008073A3"/>
    <w:rsid w:val="00807401"/>
    <w:rsid w:val="0080744A"/>
    <w:rsid w:val="00807596"/>
    <w:rsid w:val="0080762E"/>
    <w:rsid w:val="0080762F"/>
    <w:rsid w:val="0080769E"/>
    <w:rsid w:val="00807740"/>
    <w:rsid w:val="0080777D"/>
    <w:rsid w:val="00807788"/>
    <w:rsid w:val="0080780B"/>
    <w:rsid w:val="0080782C"/>
    <w:rsid w:val="00807834"/>
    <w:rsid w:val="008078F3"/>
    <w:rsid w:val="00807942"/>
    <w:rsid w:val="008079AE"/>
    <w:rsid w:val="00807C7E"/>
    <w:rsid w:val="00807D6C"/>
    <w:rsid w:val="00807DB2"/>
    <w:rsid w:val="00807DC6"/>
    <w:rsid w:val="00807ECB"/>
    <w:rsid w:val="00807F70"/>
    <w:rsid w:val="00807FF4"/>
    <w:rsid w:val="008101E5"/>
    <w:rsid w:val="008101F9"/>
    <w:rsid w:val="00810200"/>
    <w:rsid w:val="00810265"/>
    <w:rsid w:val="008103D1"/>
    <w:rsid w:val="008103FE"/>
    <w:rsid w:val="0081041C"/>
    <w:rsid w:val="0081046D"/>
    <w:rsid w:val="008104A5"/>
    <w:rsid w:val="008104F5"/>
    <w:rsid w:val="008104F6"/>
    <w:rsid w:val="00810566"/>
    <w:rsid w:val="00810596"/>
    <w:rsid w:val="00810612"/>
    <w:rsid w:val="008106E5"/>
    <w:rsid w:val="00810709"/>
    <w:rsid w:val="0081070C"/>
    <w:rsid w:val="008107E8"/>
    <w:rsid w:val="0081083E"/>
    <w:rsid w:val="0081097A"/>
    <w:rsid w:val="00810A4C"/>
    <w:rsid w:val="00810A96"/>
    <w:rsid w:val="00810D7C"/>
    <w:rsid w:val="00810E49"/>
    <w:rsid w:val="00810FF9"/>
    <w:rsid w:val="00811047"/>
    <w:rsid w:val="008110EF"/>
    <w:rsid w:val="008111F9"/>
    <w:rsid w:val="00811264"/>
    <w:rsid w:val="00811294"/>
    <w:rsid w:val="008112FC"/>
    <w:rsid w:val="008113E4"/>
    <w:rsid w:val="008115B8"/>
    <w:rsid w:val="008115D3"/>
    <w:rsid w:val="008115E5"/>
    <w:rsid w:val="00811693"/>
    <w:rsid w:val="008117A1"/>
    <w:rsid w:val="008117EB"/>
    <w:rsid w:val="008118CE"/>
    <w:rsid w:val="008118D0"/>
    <w:rsid w:val="0081190A"/>
    <w:rsid w:val="0081194A"/>
    <w:rsid w:val="00811A16"/>
    <w:rsid w:val="00811A57"/>
    <w:rsid w:val="00811A99"/>
    <w:rsid w:val="00811B05"/>
    <w:rsid w:val="00811B11"/>
    <w:rsid w:val="00811B97"/>
    <w:rsid w:val="00811BBB"/>
    <w:rsid w:val="00811C14"/>
    <w:rsid w:val="00811DB2"/>
    <w:rsid w:val="00811DEB"/>
    <w:rsid w:val="00811E0B"/>
    <w:rsid w:val="00811F93"/>
    <w:rsid w:val="00811FCB"/>
    <w:rsid w:val="00811FF8"/>
    <w:rsid w:val="00812060"/>
    <w:rsid w:val="00812225"/>
    <w:rsid w:val="008122A3"/>
    <w:rsid w:val="008122A7"/>
    <w:rsid w:val="008122F3"/>
    <w:rsid w:val="00812363"/>
    <w:rsid w:val="00812366"/>
    <w:rsid w:val="00812418"/>
    <w:rsid w:val="00812450"/>
    <w:rsid w:val="008124A0"/>
    <w:rsid w:val="008124AE"/>
    <w:rsid w:val="008124F1"/>
    <w:rsid w:val="008126BF"/>
    <w:rsid w:val="008126DC"/>
    <w:rsid w:val="00812720"/>
    <w:rsid w:val="008127C9"/>
    <w:rsid w:val="008127CE"/>
    <w:rsid w:val="00812958"/>
    <w:rsid w:val="00812BA8"/>
    <w:rsid w:val="00812C86"/>
    <w:rsid w:val="00812D21"/>
    <w:rsid w:val="00812D5E"/>
    <w:rsid w:val="00812EC3"/>
    <w:rsid w:val="0081300E"/>
    <w:rsid w:val="00813032"/>
    <w:rsid w:val="008130BD"/>
    <w:rsid w:val="008130F5"/>
    <w:rsid w:val="00813108"/>
    <w:rsid w:val="0081314C"/>
    <w:rsid w:val="008131F5"/>
    <w:rsid w:val="008132D6"/>
    <w:rsid w:val="008132D7"/>
    <w:rsid w:val="00813370"/>
    <w:rsid w:val="00813643"/>
    <w:rsid w:val="00813885"/>
    <w:rsid w:val="008138C7"/>
    <w:rsid w:val="00813A28"/>
    <w:rsid w:val="00813A3E"/>
    <w:rsid w:val="00813B7F"/>
    <w:rsid w:val="00813BA8"/>
    <w:rsid w:val="00813BE3"/>
    <w:rsid w:val="00813BF5"/>
    <w:rsid w:val="00813C60"/>
    <w:rsid w:val="00813CDA"/>
    <w:rsid w:val="00813EF7"/>
    <w:rsid w:val="00813F6D"/>
    <w:rsid w:val="00813F7F"/>
    <w:rsid w:val="00814082"/>
    <w:rsid w:val="008140E7"/>
    <w:rsid w:val="008140FB"/>
    <w:rsid w:val="0081414D"/>
    <w:rsid w:val="0081414F"/>
    <w:rsid w:val="008141A6"/>
    <w:rsid w:val="00814215"/>
    <w:rsid w:val="00814238"/>
    <w:rsid w:val="00814260"/>
    <w:rsid w:val="0081433E"/>
    <w:rsid w:val="00814356"/>
    <w:rsid w:val="008143DA"/>
    <w:rsid w:val="00814444"/>
    <w:rsid w:val="00814582"/>
    <w:rsid w:val="008145F2"/>
    <w:rsid w:val="0081466E"/>
    <w:rsid w:val="008146EE"/>
    <w:rsid w:val="008147FD"/>
    <w:rsid w:val="00814A31"/>
    <w:rsid w:val="00814A84"/>
    <w:rsid w:val="00814AF0"/>
    <w:rsid w:val="00814C14"/>
    <w:rsid w:val="00814E41"/>
    <w:rsid w:val="00814E9D"/>
    <w:rsid w:val="00814F81"/>
    <w:rsid w:val="00814F9D"/>
    <w:rsid w:val="00815007"/>
    <w:rsid w:val="00815033"/>
    <w:rsid w:val="008150AF"/>
    <w:rsid w:val="00815109"/>
    <w:rsid w:val="008152C3"/>
    <w:rsid w:val="008152D5"/>
    <w:rsid w:val="00815375"/>
    <w:rsid w:val="008153AE"/>
    <w:rsid w:val="008153B2"/>
    <w:rsid w:val="008153B3"/>
    <w:rsid w:val="008153D1"/>
    <w:rsid w:val="00815429"/>
    <w:rsid w:val="0081546F"/>
    <w:rsid w:val="0081547E"/>
    <w:rsid w:val="008154A5"/>
    <w:rsid w:val="0081550C"/>
    <w:rsid w:val="00815534"/>
    <w:rsid w:val="008155A5"/>
    <w:rsid w:val="0081567B"/>
    <w:rsid w:val="00815721"/>
    <w:rsid w:val="0081580A"/>
    <w:rsid w:val="0081581A"/>
    <w:rsid w:val="008158CD"/>
    <w:rsid w:val="0081598B"/>
    <w:rsid w:val="0081599C"/>
    <w:rsid w:val="008159F6"/>
    <w:rsid w:val="00815A54"/>
    <w:rsid w:val="00815AC2"/>
    <w:rsid w:val="00815B7A"/>
    <w:rsid w:val="00815DD2"/>
    <w:rsid w:val="00815E18"/>
    <w:rsid w:val="00815EB1"/>
    <w:rsid w:val="00815F3C"/>
    <w:rsid w:val="00815F7C"/>
    <w:rsid w:val="00815F9D"/>
    <w:rsid w:val="00815FDF"/>
    <w:rsid w:val="00816017"/>
    <w:rsid w:val="00816040"/>
    <w:rsid w:val="008160D3"/>
    <w:rsid w:val="00816144"/>
    <w:rsid w:val="008161DD"/>
    <w:rsid w:val="008161F3"/>
    <w:rsid w:val="008162BE"/>
    <w:rsid w:val="008162C3"/>
    <w:rsid w:val="00816473"/>
    <w:rsid w:val="00816567"/>
    <w:rsid w:val="00816610"/>
    <w:rsid w:val="008166EE"/>
    <w:rsid w:val="008167E7"/>
    <w:rsid w:val="0081696E"/>
    <w:rsid w:val="00816978"/>
    <w:rsid w:val="00816A47"/>
    <w:rsid w:val="00816A68"/>
    <w:rsid w:val="00816B6F"/>
    <w:rsid w:val="00816C59"/>
    <w:rsid w:val="00816DA4"/>
    <w:rsid w:val="00816DB7"/>
    <w:rsid w:val="00816E1D"/>
    <w:rsid w:val="00816E3C"/>
    <w:rsid w:val="00816F47"/>
    <w:rsid w:val="00816F6D"/>
    <w:rsid w:val="00816FCE"/>
    <w:rsid w:val="0081708F"/>
    <w:rsid w:val="0081728F"/>
    <w:rsid w:val="00817417"/>
    <w:rsid w:val="008174EB"/>
    <w:rsid w:val="0081750F"/>
    <w:rsid w:val="00817569"/>
    <w:rsid w:val="008175C0"/>
    <w:rsid w:val="00817688"/>
    <w:rsid w:val="008176DE"/>
    <w:rsid w:val="00817876"/>
    <w:rsid w:val="00817934"/>
    <w:rsid w:val="008179EE"/>
    <w:rsid w:val="00817A0C"/>
    <w:rsid w:val="00817B2E"/>
    <w:rsid w:val="00817BC9"/>
    <w:rsid w:val="00817D6A"/>
    <w:rsid w:val="00817D75"/>
    <w:rsid w:val="00817E90"/>
    <w:rsid w:val="00817FFA"/>
    <w:rsid w:val="008200DD"/>
    <w:rsid w:val="008200F1"/>
    <w:rsid w:val="008203EA"/>
    <w:rsid w:val="0082065D"/>
    <w:rsid w:val="008206BE"/>
    <w:rsid w:val="00820ADE"/>
    <w:rsid w:val="00820C8F"/>
    <w:rsid w:val="00820CAF"/>
    <w:rsid w:val="00820D3A"/>
    <w:rsid w:val="00820DF7"/>
    <w:rsid w:val="00820E02"/>
    <w:rsid w:val="00820E80"/>
    <w:rsid w:val="0082111B"/>
    <w:rsid w:val="0082131E"/>
    <w:rsid w:val="0082166E"/>
    <w:rsid w:val="0082173E"/>
    <w:rsid w:val="00821748"/>
    <w:rsid w:val="0082182D"/>
    <w:rsid w:val="00821944"/>
    <w:rsid w:val="00821A1C"/>
    <w:rsid w:val="00821A70"/>
    <w:rsid w:val="00821B2E"/>
    <w:rsid w:val="00821B52"/>
    <w:rsid w:val="00821C54"/>
    <w:rsid w:val="00821C71"/>
    <w:rsid w:val="00821C72"/>
    <w:rsid w:val="00821D35"/>
    <w:rsid w:val="00821D58"/>
    <w:rsid w:val="0082203E"/>
    <w:rsid w:val="008222D6"/>
    <w:rsid w:val="00822338"/>
    <w:rsid w:val="00822439"/>
    <w:rsid w:val="0082245A"/>
    <w:rsid w:val="0082250C"/>
    <w:rsid w:val="00822523"/>
    <w:rsid w:val="00822551"/>
    <w:rsid w:val="008225C7"/>
    <w:rsid w:val="008225F7"/>
    <w:rsid w:val="00822647"/>
    <w:rsid w:val="00822666"/>
    <w:rsid w:val="008226DB"/>
    <w:rsid w:val="0082271A"/>
    <w:rsid w:val="0082271F"/>
    <w:rsid w:val="00822833"/>
    <w:rsid w:val="00822863"/>
    <w:rsid w:val="008228C3"/>
    <w:rsid w:val="00822928"/>
    <w:rsid w:val="008229CC"/>
    <w:rsid w:val="00822ADD"/>
    <w:rsid w:val="00822B2C"/>
    <w:rsid w:val="00822B62"/>
    <w:rsid w:val="00822BD5"/>
    <w:rsid w:val="00822CBD"/>
    <w:rsid w:val="00822D5E"/>
    <w:rsid w:val="00822DA9"/>
    <w:rsid w:val="00822E21"/>
    <w:rsid w:val="00822E40"/>
    <w:rsid w:val="00822EBE"/>
    <w:rsid w:val="008230CD"/>
    <w:rsid w:val="008232C1"/>
    <w:rsid w:val="008232E5"/>
    <w:rsid w:val="00823394"/>
    <w:rsid w:val="00823466"/>
    <w:rsid w:val="00823484"/>
    <w:rsid w:val="00823511"/>
    <w:rsid w:val="00823533"/>
    <w:rsid w:val="00823590"/>
    <w:rsid w:val="0082361F"/>
    <w:rsid w:val="00823673"/>
    <w:rsid w:val="00823763"/>
    <w:rsid w:val="0082378B"/>
    <w:rsid w:val="008237F5"/>
    <w:rsid w:val="008239DF"/>
    <w:rsid w:val="00823A5A"/>
    <w:rsid w:val="00823A78"/>
    <w:rsid w:val="00823A8D"/>
    <w:rsid w:val="00823ABB"/>
    <w:rsid w:val="00823B7C"/>
    <w:rsid w:val="00823C06"/>
    <w:rsid w:val="00823C42"/>
    <w:rsid w:val="00823D9B"/>
    <w:rsid w:val="00824055"/>
    <w:rsid w:val="008240BE"/>
    <w:rsid w:val="008240CE"/>
    <w:rsid w:val="0082418E"/>
    <w:rsid w:val="0082427A"/>
    <w:rsid w:val="0082443E"/>
    <w:rsid w:val="00824535"/>
    <w:rsid w:val="00824756"/>
    <w:rsid w:val="00824768"/>
    <w:rsid w:val="00824815"/>
    <w:rsid w:val="00824961"/>
    <w:rsid w:val="00824A05"/>
    <w:rsid w:val="00824C70"/>
    <w:rsid w:val="00824C80"/>
    <w:rsid w:val="00824DD9"/>
    <w:rsid w:val="00824F9A"/>
    <w:rsid w:val="00824FD2"/>
    <w:rsid w:val="00825031"/>
    <w:rsid w:val="00825071"/>
    <w:rsid w:val="008250C0"/>
    <w:rsid w:val="008250DA"/>
    <w:rsid w:val="008250DB"/>
    <w:rsid w:val="0082513B"/>
    <w:rsid w:val="00825236"/>
    <w:rsid w:val="00825273"/>
    <w:rsid w:val="00825333"/>
    <w:rsid w:val="00825393"/>
    <w:rsid w:val="008254EB"/>
    <w:rsid w:val="00825677"/>
    <w:rsid w:val="008256DC"/>
    <w:rsid w:val="00825772"/>
    <w:rsid w:val="008257A4"/>
    <w:rsid w:val="00825866"/>
    <w:rsid w:val="00825890"/>
    <w:rsid w:val="008258DC"/>
    <w:rsid w:val="008258EC"/>
    <w:rsid w:val="008259F7"/>
    <w:rsid w:val="00825B53"/>
    <w:rsid w:val="00825C0B"/>
    <w:rsid w:val="00825C20"/>
    <w:rsid w:val="00825C40"/>
    <w:rsid w:val="00825C41"/>
    <w:rsid w:val="00825C4C"/>
    <w:rsid w:val="00825D0E"/>
    <w:rsid w:val="00825D26"/>
    <w:rsid w:val="00825D96"/>
    <w:rsid w:val="00825E73"/>
    <w:rsid w:val="00825FFD"/>
    <w:rsid w:val="0082600E"/>
    <w:rsid w:val="008261C1"/>
    <w:rsid w:val="0082620B"/>
    <w:rsid w:val="0082628B"/>
    <w:rsid w:val="0082639A"/>
    <w:rsid w:val="00826552"/>
    <w:rsid w:val="008265B2"/>
    <w:rsid w:val="0082666A"/>
    <w:rsid w:val="0082674D"/>
    <w:rsid w:val="008267A0"/>
    <w:rsid w:val="008267C4"/>
    <w:rsid w:val="008267D8"/>
    <w:rsid w:val="00826826"/>
    <w:rsid w:val="0082682A"/>
    <w:rsid w:val="00826BF3"/>
    <w:rsid w:val="00826D8F"/>
    <w:rsid w:val="00826F29"/>
    <w:rsid w:val="00826FDB"/>
    <w:rsid w:val="0082704E"/>
    <w:rsid w:val="008270FE"/>
    <w:rsid w:val="00827111"/>
    <w:rsid w:val="0082714F"/>
    <w:rsid w:val="008271E4"/>
    <w:rsid w:val="0082721B"/>
    <w:rsid w:val="00827232"/>
    <w:rsid w:val="008272B1"/>
    <w:rsid w:val="008272E5"/>
    <w:rsid w:val="00827367"/>
    <w:rsid w:val="00827446"/>
    <w:rsid w:val="008274D0"/>
    <w:rsid w:val="00827535"/>
    <w:rsid w:val="008275E8"/>
    <w:rsid w:val="008275ED"/>
    <w:rsid w:val="00827611"/>
    <w:rsid w:val="00827623"/>
    <w:rsid w:val="0082769A"/>
    <w:rsid w:val="00827708"/>
    <w:rsid w:val="0082770E"/>
    <w:rsid w:val="00827806"/>
    <w:rsid w:val="0082784F"/>
    <w:rsid w:val="0082786E"/>
    <w:rsid w:val="008279CF"/>
    <w:rsid w:val="00827A1B"/>
    <w:rsid w:val="00827BA6"/>
    <w:rsid w:val="00827BDE"/>
    <w:rsid w:val="00827C1F"/>
    <w:rsid w:val="00827C4B"/>
    <w:rsid w:val="00827CB3"/>
    <w:rsid w:val="00827FB2"/>
    <w:rsid w:val="00827FFD"/>
    <w:rsid w:val="00830074"/>
    <w:rsid w:val="00830235"/>
    <w:rsid w:val="0083028A"/>
    <w:rsid w:val="008303F4"/>
    <w:rsid w:val="00830440"/>
    <w:rsid w:val="0083065D"/>
    <w:rsid w:val="008308A3"/>
    <w:rsid w:val="00830A0E"/>
    <w:rsid w:val="00830AAF"/>
    <w:rsid w:val="00830B91"/>
    <w:rsid w:val="00830BBA"/>
    <w:rsid w:val="00830BBB"/>
    <w:rsid w:val="00830CBF"/>
    <w:rsid w:val="00830DD7"/>
    <w:rsid w:val="00830DFE"/>
    <w:rsid w:val="00830E34"/>
    <w:rsid w:val="00830E44"/>
    <w:rsid w:val="00830FA8"/>
    <w:rsid w:val="0083103A"/>
    <w:rsid w:val="008310B7"/>
    <w:rsid w:val="00831122"/>
    <w:rsid w:val="00831152"/>
    <w:rsid w:val="00831223"/>
    <w:rsid w:val="008312A9"/>
    <w:rsid w:val="0083133C"/>
    <w:rsid w:val="0083134C"/>
    <w:rsid w:val="008313BA"/>
    <w:rsid w:val="00831407"/>
    <w:rsid w:val="0083154D"/>
    <w:rsid w:val="00831595"/>
    <w:rsid w:val="0083162C"/>
    <w:rsid w:val="0083164F"/>
    <w:rsid w:val="0083172F"/>
    <w:rsid w:val="008317A6"/>
    <w:rsid w:val="008317AF"/>
    <w:rsid w:val="00831830"/>
    <w:rsid w:val="00831857"/>
    <w:rsid w:val="00831948"/>
    <w:rsid w:val="00831957"/>
    <w:rsid w:val="008319B8"/>
    <w:rsid w:val="008319C0"/>
    <w:rsid w:val="00831A59"/>
    <w:rsid w:val="00831B56"/>
    <w:rsid w:val="00831BCC"/>
    <w:rsid w:val="00831C7B"/>
    <w:rsid w:val="00831DA8"/>
    <w:rsid w:val="00831DD1"/>
    <w:rsid w:val="00831E3D"/>
    <w:rsid w:val="00831E61"/>
    <w:rsid w:val="00831F8E"/>
    <w:rsid w:val="00832058"/>
    <w:rsid w:val="0083212D"/>
    <w:rsid w:val="00832167"/>
    <w:rsid w:val="00832182"/>
    <w:rsid w:val="008321E3"/>
    <w:rsid w:val="008321F0"/>
    <w:rsid w:val="00832251"/>
    <w:rsid w:val="00832299"/>
    <w:rsid w:val="0083229E"/>
    <w:rsid w:val="00832424"/>
    <w:rsid w:val="00832442"/>
    <w:rsid w:val="0083266B"/>
    <w:rsid w:val="00832911"/>
    <w:rsid w:val="008329BA"/>
    <w:rsid w:val="00832B3A"/>
    <w:rsid w:val="00832BC2"/>
    <w:rsid w:val="00832C3E"/>
    <w:rsid w:val="00832C5E"/>
    <w:rsid w:val="00832D82"/>
    <w:rsid w:val="00832EAA"/>
    <w:rsid w:val="00832F36"/>
    <w:rsid w:val="00832F66"/>
    <w:rsid w:val="0083307B"/>
    <w:rsid w:val="008330B8"/>
    <w:rsid w:val="008331EE"/>
    <w:rsid w:val="00833314"/>
    <w:rsid w:val="0083331F"/>
    <w:rsid w:val="008333F5"/>
    <w:rsid w:val="00833413"/>
    <w:rsid w:val="00833422"/>
    <w:rsid w:val="008334FB"/>
    <w:rsid w:val="00833558"/>
    <w:rsid w:val="008335F0"/>
    <w:rsid w:val="008336AE"/>
    <w:rsid w:val="0083381C"/>
    <w:rsid w:val="008339E7"/>
    <w:rsid w:val="00833AA1"/>
    <w:rsid w:val="00833B57"/>
    <w:rsid w:val="00833B77"/>
    <w:rsid w:val="00833D8B"/>
    <w:rsid w:val="00833D9C"/>
    <w:rsid w:val="00833DAE"/>
    <w:rsid w:val="00833DC1"/>
    <w:rsid w:val="00833DDF"/>
    <w:rsid w:val="00833F08"/>
    <w:rsid w:val="00833F4D"/>
    <w:rsid w:val="00833F7D"/>
    <w:rsid w:val="0083400D"/>
    <w:rsid w:val="00834194"/>
    <w:rsid w:val="008341DE"/>
    <w:rsid w:val="008342C3"/>
    <w:rsid w:val="00834378"/>
    <w:rsid w:val="00834384"/>
    <w:rsid w:val="008344B4"/>
    <w:rsid w:val="008345C1"/>
    <w:rsid w:val="008346E5"/>
    <w:rsid w:val="0083471A"/>
    <w:rsid w:val="00834775"/>
    <w:rsid w:val="008347FB"/>
    <w:rsid w:val="00834810"/>
    <w:rsid w:val="00834843"/>
    <w:rsid w:val="0083490F"/>
    <w:rsid w:val="008349D0"/>
    <w:rsid w:val="00834A4F"/>
    <w:rsid w:val="00834BAA"/>
    <w:rsid w:val="00834D7B"/>
    <w:rsid w:val="00834D99"/>
    <w:rsid w:val="00834F23"/>
    <w:rsid w:val="00834F27"/>
    <w:rsid w:val="00834F45"/>
    <w:rsid w:val="00834FB8"/>
    <w:rsid w:val="00834FDE"/>
    <w:rsid w:val="00835066"/>
    <w:rsid w:val="008350CC"/>
    <w:rsid w:val="0083514A"/>
    <w:rsid w:val="0083520F"/>
    <w:rsid w:val="008352D0"/>
    <w:rsid w:val="0083533E"/>
    <w:rsid w:val="00835518"/>
    <w:rsid w:val="0083555C"/>
    <w:rsid w:val="0083572C"/>
    <w:rsid w:val="008357BE"/>
    <w:rsid w:val="00835874"/>
    <w:rsid w:val="008358FC"/>
    <w:rsid w:val="00835A0A"/>
    <w:rsid w:val="00835A9F"/>
    <w:rsid w:val="00835BE9"/>
    <w:rsid w:val="00835BF8"/>
    <w:rsid w:val="00835C26"/>
    <w:rsid w:val="00835D4D"/>
    <w:rsid w:val="00835E15"/>
    <w:rsid w:val="00835EAC"/>
    <w:rsid w:val="00835F96"/>
    <w:rsid w:val="00836123"/>
    <w:rsid w:val="00836217"/>
    <w:rsid w:val="0083621F"/>
    <w:rsid w:val="00836245"/>
    <w:rsid w:val="00836317"/>
    <w:rsid w:val="00836372"/>
    <w:rsid w:val="0083638E"/>
    <w:rsid w:val="00836433"/>
    <w:rsid w:val="0083645A"/>
    <w:rsid w:val="00836474"/>
    <w:rsid w:val="008364D6"/>
    <w:rsid w:val="00836628"/>
    <w:rsid w:val="00836643"/>
    <w:rsid w:val="008366F4"/>
    <w:rsid w:val="0083688C"/>
    <w:rsid w:val="0083694B"/>
    <w:rsid w:val="00836966"/>
    <w:rsid w:val="00836AA7"/>
    <w:rsid w:val="00836BEB"/>
    <w:rsid w:val="00836CEF"/>
    <w:rsid w:val="00836D2E"/>
    <w:rsid w:val="00836D7B"/>
    <w:rsid w:val="00836DE5"/>
    <w:rsid w:val="00836E85"/>
    <w:rsid w:val="00836ED5"/>
    <w:rsid w:val="00836F4E"/>
    <w:rsid w:val="00836F84"/>
    <w:rsid w:val="00837037"/>
    <w:rsid w:val="008370CD"/>
    <w:rsid w:val="00837277"/>
    <w:rsid w:val="00837281"/>
    <w:rsid w:val="008372C0"/>
    <w:rsid w:val="008372EC"/>
    <w:rsid w:val="00837392"/>
    <w:rsid w:val="008375B0"/>
    <w:rsid w:val="008375F9"/>
    <w:rsid w:val="00837643"/>
    <w:rsid w:val="008376C4"/>
    <w:rsid w:val="008376F7"/>
    <w:rsid w:val="008377EB"/>
    <w:rsid w:val="0083791B"/>
    <w:rsid w:val="00837968"/>
    <w:rsid w:val="0083797D"/>
    <w:rsid w:val="00837AC9"/>
    <w:rsid w:val="00837B6E"/>
    <w:rsid w:val="00837C59"/>
    <w:rsid w:val="00837C88"/>
    <w:rsid w:val="00837E0E"/>
    <w:rsid w:val="00837E37"/>
    <w:rsid w:val="00837EED"/>
    <w:rsid w:val="00837EF3"/>
    <w:rsid w:val="0084000B"/>
    <w:rsid w:val="008400CB"/>
    <w:rsid w:val="008400E0"/>
    <w:rsid w:val="00840281"/>
    <w:rsid w:val="00840395"/>
    <w:rsid w:val="008403A6"/>
    <w:rsid w:val="008403AA"/>
    <w:rsid w:val="008404B7"/>
    <w:rsid w:val="0084050B"/>
    <w:rsid w:val="008405D4"/>
    <w:rsid w:val="00840650"/>
    <w:rsid w:val="00840708"/>
    <w:rsid w:val="0084077E"/>
    <w:rsid w:val="008407C1"/>
    <w:rsid w:val="00840928"/>
    <w:rsid w:val="00840966"/>
    <w:rsid w:val="00840B4E"/>
    <w:rsid w:val="00840C01"/>
    <w:rsid w:val="00840C05"/>
    <w:rsid w:val="00840C1A"/>
    <w:rsid w:val="00840C6C"/>
    <w:rsid w:val="00840D2C"/>
    <w:rsid w:val="00840F07"/>
    <w:rsid w:val="00840F6B"/>
    <w:rsid w:val="00840FD8"/>
    <w:rsid w:val="00840FED"/>
    <w:rsid w:val="00841086"/>
    <w:rsid w:val="0084111D"/>
    <w:rsid w:val="008411D1"/>
    <w:rsid w:val="00841257"/>
    <w:rsid w:val="0084138E"/>
    <w:rsid w:val="00841402"/>
    <w:rsid w:val="00841413"/>
    <w:rsid w:val="0084152B"/>
    <w:rsid w:val="0084162E"/>
    <w:rsid w:val="00841652"/>
    <w:rsid w:val="008416FA"/>
    <w:rsid w:val="0084170B"/>
    <w:rsid w:val="00841754"/>
    <w:rsid w:val="008418C9"/>
    <w:rsid w:val="00841982"/>
    <w:rsid w:val="00841B40"/>
    <w:rsid w:val="00841C42"/>
    <w:rsid w:val="00841C6D"/>
    <w:rsid w:val="00841C92"/>
    <w:rsid w:val="00841D79"/>
    <w:rsid w:val="00841DB9"/>
    <w:rsid w:val="00841DDF"/>
    <w:rsid w:val="00841E4E"/>
    <w:rsid w:val="00841F2C"/>
    <w:rsid w:val="00841F48"/>
    <w:rsid w:val="00841F60"/>
    <w:rsid w:val="00842043"/>
    <w:rsid w:val="00842070"/>
    <w:rsid w:val="008420FC"/>
    <w:rsid w:val="00842242"/>
    <w:rsid w:val="008422AD"/>
    <w:rsid w:val="00842343"/>
    <w:rsid w:val="00842384"/>
    <w:rsid w:val="008423F5"/>
    <w:rsid w:val="0084240A"/>
    <w:rsid w:val="008426E6"/>
    <w:rsid w:val="00842768"/>
    <w:rsid w:val="00842773"/>
    <w:rsid w:val="00842858"/>
    <w:rsid w:val="00842991"/>
    <w:rsid w:val="008429AB"/>
    <w:rsid w:val="00842A52"/>
    <w:rsid w:val="00842A77"/>
    <w:rsid w:val="00842A78"/>
    <w:rsid w:val="00842A7F"/>
    <w:rsid w:val="00842C47"/>
    <w:rsid w:val="00842CC1"/>
    <w:rsid w:val="00842D32"/>
    <w:rsid w:val="00842E2D"/>
    <w:rsid w:val="00842E33"/>
    <w:rsid w:val="00842EE6"/>
    <w:rsid w:val="00843195"/>
    <w:rsid w:val="00843284"/>
    <w:rsid w:val="008432DC"/>
    <w:rsid w:val="00843366"/>
    <w:rsid w:val="0084337A"/>
    <w:rsid w:val="00843386"/>
    <w:rsid w:val="008433A4"/>
    <w:rsid w:val="0084342D"/>
    <w:rsid w:val="008434D6"/>
    <w:rsid w:val="008434E7"/>
    <w:rsid w:val="0084357D"/>
    <w:rsid w:val="0084386F"/>
    <w:rsid w:val="00843ADE"/>
    <w:rsid w:val="00843AFC"/>
    <w:rsid w:val="00843B1E"/>
    <w:rsid w:val="00843C1A"/>
    <w:rsid w:val="00843F66"/>
    <w:rsid w:val="00843FAB"/>
    <w:rsid w:val="00844010"/>
    <w:rsid w:val="0084403C"/>
    <w:rsid w:val="00844042"/>
    <w:rsid w:val="008440FF"/>
    <w:rsid w:val="00844151"/>
    <w:rsid w:val="0084419C"/>
    <w:rsid w:val="0084427F"/>
    <w:rsid w:val="00844320"/>
    <w:rsid w:val="00844486"/>
    <w:rsid w:val="008444C4"/>
    <w:rsid w:val="008444CA"/>
    <w:rsid w:val="0084458A"/>
    <w:rsid w:val="008445A2"/>
    <w:rsid w:val="00844698"/>
    <w:rsid w:val="0084474C"/>
    <w:rsid w:val="00844837"/>
    <w:rsid w:val="008448AC"/>
    <w:rsid w:val="008448AE"/>
    <w:rsid w:val="008448E2"/>
    <w:rsid w:val="008448F5"/>
    <w:rsid w:val="00844903"/>
    <w:rsid w:val="008449DC"/>
    <w:rsid w:val="00844A09"/>
    <w:rsid w:val="00844A1E"/>
    <w:rsid w:val="00844A3C"/>
    <w:rsid w:val="00844B08"/>
    <w:rsid w:val="00844D23"/>
    <w:rsid w:val="00844DB8"/>
    <w:rsid w:val="00844DFA"/>
    <w:rsid w:val="00844E01"/>
    <w:rsid w:val="008451CB"/>
    <w:rsid w:val="008452E4"/>
    <w:rsid w:val="0084532D"/>
    <w:rsid w:val="00845542"/>
    <w:rsid w:val="00845557"/>
    <w:rsid w:val="00845607"/>
    <w:rsid w:val="008456D8"/>
    <w:rsid w:val="0084577A"/>
    <w:rsid w:val="0084584B"/>
    <w:rsid w:val="008458C7"/>
    <w:rsid w:val="008458E5"/>
    <w:rsid w:val="008458EA"/>
    <w:rsid w:val="00845A4F"/>
    <w:rsid w:val="00845A7D"/>
    <w:rsid w:val="00845B1D"/>
    <w:rsid w:val="00845B85"/>
    <w:rsid w:val="00845B87"/>
    <w:rsid w:val="00845B94"/>
    <w:rsid w:val="00845D06"/>
    <w:rsid w:val="00845EFA"/>
    <w:rsid w:val="00845F60"/>
    <w:rsid w:val="008460CC"/>
    <w:rsid w:val="008461F8"/>
    <w:rsid w:val="008462A1"/>
    <w:rsid w:val="0084630B"/>
    <w:rsid w:val="008463A0"/>
    <w:rsid w:val="0084644F"/>
    <w:rsid w:val="008464AA"/>
    <w:rsid w:val="008464BC"/>
    <w:rsid w:val="008465D7"/>
    <w:rsid w:val="0084695A"/>
    <w:rsid w:val="008469CB"/>
    <w:rsid w:val="00846A0A"/>
    <w:rsid w:val="00846A79"/>
    <w:rsid w:val="00846B78"/>
    <w:rsid w:val="00846C52"/>
    <w:rsid w:val="00846CA5"/>
    <w:rsid w:val="00846D03"/>
    <w:rsid w:val="00846D14"/>
    <w:rsid w:val="00846D44"/>
    <w:rsid w:val="00846E23"/>
    <w:rsid w:val="00846EA9"/>
    <w:rsid w:val="00847140"/>
    <w:rsid w:val="0084719D"/>
    <w:rsid w:val="008471C5"/>
    <w:rsid w:val="00847257"/>
    <w:rsid w:val="0084735B"/>
    <w:rsid w:val="00847442"/>
    <w:rsid w:val="008474BF"/>
    <w:rsid w:val="00847591"/>
    <w:rsid w:val="00847596"/>
    <w:rsid w:val="0084762F"/>
    <w:rsid w:val="008476F4"/>
    <w:rsid w:val="008477A9"/>
    <w:rsid w:val="008477C2"/>
    <w:rsid w:val="00847A24"/>
    <w:rsid w:val="00847A31"/>
    <w:rsid w:val="00847A3D"/>
    <w:rsid w:val="00847AA8"/>
    <w:rsid w:val="00847BD4"/>
    <w:rsid w:val="00847C15"/>
    <w:rsid w:val="00847D4F"/>
    <w:rsid w:val="00847E9A"/>
    <w:rsid w:val="00847EB3"/>
    <w:rsid w:val="00847EFE"/>
    <w:rsid w:val="008500A3"/>
    <w:rsid w:val="0085026C"/>
    <w:rsid w:val="0085029C"/>
    <w:rsid w:val="0085039B"/>
    <w:rsid w:val="0085041B"/>
    <w:rsid w:val="00850476"/>
    <w:rsid w:val="008505C5"/>
    <w:rsid w:val="008505DE"/>
    <w:rsid w:val="008507AC"/>
    <w:rsid w:val="008507B1"/>
    <w:rsid w:val="00850816"/>
    <w:rsid w:val="00850897"/>
    <w:rsid w:val="00850932"/>
    <w:rsid w:val="00850997"/>
    <w:rsid w:val="00850A73"/>
    <w:rsid w:val="00850AAD"/>
    <w:rsid w:val="00850B53"/>
    <w:rsid w:val="00850B58"/>
    <w:rsid w:val="00850D29"/>
    <w:rsid w:val="00850D9E"/>
    <w:rsid w:val="00850DC4"/>
    <w:rsid w:val="00850E24"/>
    <w:rsid w:val="00850E2B"/>
    <w:rsid w:val="00850E64"/>
    <w:rsid w:val="00850E89"/>
    <w:rsid w:val="008510DE"/>
    <w:rsid w:val="00851148"/>
    <w:rsid w:val="008511E8"/>
    <w:rsid w:val="0085145B"/>
    <w:rsid w:val="00851486"/>
    <w:rsid w:val="008514DC"/>
    <w:rsid w:val="00851692"/>
    <w:rsid w:val="008516B4"/>
    <w:rsid w:val="008516C1"/>
    <w:rsid w:val="00851767"/>
    <w:rsid w:val="00851775"/>
    <w:rsid w:val="00851790"/>
    <w:rsid w:val="008517BA"/>
    <w:rsid w:val="008517EC"/>
    <w:rsid w:val="0085190D"/>
    <w:rsid w:val="0085195B"/>
    <w:rsid w:val="0085196E"/>
    <w:rsid w:val="00851A51"/>
    <w:rsid w:val="00851A68"/>
    <w:rsid w:val="00851D9C"/>
    <w:rsid w:val="00851DDE"/>
    <w:rsid w:val="00851F59"/>
    <w:rsid w:val="00851F6F"/>
    <w:rsid w:val="00852090"/>
    <w:rsid w:val="008520CA"/>
    <w:rsid w:val="008520D9"/>
    <w:rsid w:val="0085211E"/>
    <w:rsid w:val="00852138"/>
    <w:rsid w:val="00852184"/>
    <w:rsid w:val="00852317"/>
    <w:rsid w:val="00852416"/>
    <w:rsid w:val="0085244B"/>
    <w:rsid w:val="00852460"/>
    <w:rsid w:val="00852477"/>
    <w:rsid w:val="0085249D"/>
    <w:rsid w:val="00852627"/>
    <w:rsid w:val="00852647"/>
    <w:rsid w:val="00852743"/>
    <w:rsid w:val="008527AD"/>
    <w:rsid w:val="00852837"/>
    <w:rsid w:val="008529FC"/>
    <w:rsid w:val="00852A3D"/>
    <w:rsid w:val="00852A6A"/>
    <w:rsid w:val="00852BCD"/>
    <w:rsid w:val="00852C51"/>
    <w:rsid w:val="00852C6F"/>
    <w:rsid w:val="00852DA1"/>
    <w:rsid w:val="00852E24"/>
    <w:rsid w:val="00852EFD"/>
    <w:rsid w:val="00852FAE"/>
    <w:rsid w:val="0085300D"/>
    <w:rsid w:val="0085317D"/>
    <w:rsid w:val="00853294"/>
    <w:rsid w:val="008532D3"/>
    <w:rsid w:val="00853327"/>
    <w:rsid w:val="008533DF"/>
    <w:rsid w:val="0085341D"/>
    <w:rsid w:val="008534FA"/>
    <w:rsid w:val="0085357A"/>
    <w:rsid w:val="008535C2"/>
    <w:rsid w:val="008536E8"/>
    <w:rsid w:val="0085371E"/>
    <w:rsid w:val="00853728"/>
    <w:rsid w:val="0085380C"/>
    <w:rsid w:val="0085398B"/>
    <w:rsid w:val="00853ADA"/>
    <w:rsid w:val="00853B90"/>
    <w:rsid w:val="00853BD6"/>
    <w:rsid w:val="00853BF0"/>
    <w:rsid w:val="00853C8D"/>
    <w:rsid w:val="00853CC8"/>
    <w:rsid w:val="00853D44"/>
    <w:rsid w:val="00853DE6"/>
    <w:rsid w:val="00853E66"/>
    <w:rsid w:val="00853F7F"/>
    <w:rsid w:val="00854085"/>
    <w:rsid w:val="008540FC"/>
    <w:rsid w:val="008541D7"/>
    <w:rsid w:val="00854293"/>
    <w:rsid w:val="008542AC"/>
    <w:rsid w:val="0085433C"/>
    <w:rsid w:val="00854361"/>
    <w:rsid w:val="0085443B"/>
    <w:rsid w:val="0085452F"/>
    <w:rsid w:val="00854598"/>
    <w:rsid w:val="008545C0"/>
    <w:rsid w:val="008545E2"/>
    <w:rsid w:val="0085462C"/>
    <w:rsid w:val="00854745"/>
    <w:rsid w:val="00854896"/>
    <w:rsid w:val="008548A6"/>
    <w:rsid w:val="0085499E"/>
    <w:rsid w:val="00854B5F"/>
    <w:rsid w:val="00854C89"/>
    <w:rsid w:val="00854E85"/>
    <w:rsid w:val="00854F83"/>
    <w:rsid w:val="00854F89"/>
    <w:rsid w:val="00854F8F"/>
    <w:rsid w:val="008551CA"/>
    <w:rsid w:val="008551D9"/>
    <w:rsid w:val="008552BA"/>
    <w:rsid w:val="008552D8"/>
    <w:rsid w:val="00855480"/>
    <w:rsid w:val="00855532"/>
    <w:rsid w:val="008555C6"/>
    <w:rsid w:val="0085561C"/>
    <w:rsid w:val="0085567F"/>
    <w:rsid w:val="00855681"/>
    <w:rsid w:val="00855694"/>
    <w:rsid w:val="00855783"/>
    <w:rsid w:val="008558F5"/>
    <w:rsid w:val="00855AAC"/>
    <w:rsid w:val="00855AB7"/>
    <w:rsid w:val="00855C8E"/>
    <w:rsid w:val="00855DEB"/>
    <w:rsid w:val="00855E2C"/>
    <w:rsid w:val="00855ED0"/>
    <w:rsid w:val="00855FB4"/>
    <w:rsid w:val="00855FE6"/>
    <w:rsid w:val="008561DB"/>
    <w:rsid w:val="00856303"/>
    <w:rsid w:val="00856320"/>
    <w:rsid w:val="00856471"/>
    <w:rsid w:val="008564DD"/>
    <w:rsid w:val="0085656A"/>
    <w:rsid w:val="008566B8"/>
    <w:rsid w:val="0085672E"/>
    <w:rsid w:val="008567BB"/>
    <w:rsid w:val="00856960"/>
    <w:rsid w:val="008569C9"/>
    <w:rsid w:val="00856BB6"/>
    <w:rsid w:val="00856C09"/>
    <w:rsid w:val="00856C27"/>
    <w:rsid w:val="00856C93"/>
    <w:rsid w:val="00856CE8"/>
    <w:rsid w:val="00856D02"/>
    <w:rsid w:val="00856FA9"/>
    <w:rsid w:val="00856FEA"/>
    <w:rsid w:val="00857058"/>
    <w:rsid w:val="008570A2"/>
    <w:rsid w:val="00857179"/>
    <w:rsid w:val="00857188"/>
    <w:rsid w:val="00857199"/>
    <w:rsid w:val="008571B6"/>
    <w:rsid w:val="008571C2"/>
    <w:rsid w:val="00857287"/>
    <w:rsid w:val="0085729B"/>
    <w:rsid w:val="008572BB"/>
    <w:rsid w:val="0085736D"/>
    <w:rsid w:val="00857648"/>
    <w:rsid w:val="0085765D"/>
    <w:rsid w:val="008576FE"/>
    <w:rsid w:val="0085777D"/>
    <w:rsid w:val="008578FC"/>
    <w:rsid w:val="00857AEE"/>
    <w:rsid w:val="00857B60"/>
    <w:rsid w:val="00857B90"/>
    <w:rsid w:val="00857BDB"/>
    <w:rsid w:val="00857C47"/>
    <w:rsid w:val="00857D4B"/>
    <w:rsid w:val="00857D66"/>
    <w:rsid w:val="00857E25"/>
    <w:rsid w:val="00857E7C"/>
    <w:rsid w:val="00857EC0"/>
    <w:rsid w:val="00857EE3"/>
    <w:rsid w:val="00857F5D"/>
    <w:rsid w:val="00857FA8"/>
    <w:rsid w:val="00857FB5"/>
    <w:rsid w:val="00857FE4"/>
    <w:rsid w:val="0085B5DD"/>
    <w:rsid w:val="0086007E"/>
    <w:rsid w:val="00860140"/>
    <w:rsid w:val="00860163"/>
    <w:rsid w:val="00860245"/>
    <w:rsid w:val="00860252"/>
    <w:rsid w:val="00860289"/>
    <w:rsid w:val="0086044F"/>
    <w:rsid w:val="008604BA"/>
    <w:rsid w:val="0086053A"/>
    <w:rsid w:val="0086056D"/>
    <w:rsid w:val="00860575"/>
    <w:rsid w:val="00860612"/>
    <w:rsid w:val="0086066D"/>
    <w:rsid w:val="00860767"/>
    <w:rsid w:val="008607D2"/>
    <w:rsid w:val="00860828"/>
    <w:rsid w:val="00860944"/>
    <w:rsid w:val="0086098E"/>
    <w:rsid w:val="00860A79"/>
    <w:rsid w:val="00860AFC"/>
    <w:rsid w:val="00860CB1"/>
    <w:rsid w:val="00860CF0"/>
    <w:rsid w:val="00860DB9"/>
    <w:rsid w:val="00860F1B"/>
    <w:rsid w:val="0086107D"/>
    <w:rsid w:val="00861095"/>
    <w:rsid w:val="00861110"/>
    <w:rsid w:val="008611EC"/>
    <w:rsid w:val="00861302"/>
    <w:rsid w:val="00861419"/>
    <w:rsid w:val="0086141B"/>
    <w:rsid w:val="00861632"/>
    <w:rsid w:val="00861658"/>
    <w:rsid w:val="00861745"/>
    <w:rsid w:val="00861978"/>
    <w:rsid w:val="00861990"/>
    <w:rsid w:val="00861AEC"/>
    <w:rsid w:val="00861B39"/>
    <w:rsid w:val="00861B4D"/>
    <w:rsid w:val="00861CB2"/>
    <w:rsid w:val="00861D61"/>
    <w:rsid w:val="00861D99"/>
    <w:rsid w:val="00861DA0"/>
    <w:rsid w:val="00861DA4"/>
    <w:rsid w:val="00861DC9"/>
    <w:rsid w:val="00861E2D"/>
    <w:rsid w:val="00861FE0"/>
    <w:rsid w:val="00862123"/>
    <w:rsid w:val="0086218C"/>
    <w:rsid w:val="008621E0"/>
    <w:rsid w:val="00862293"/>
    <w:rsid w:val="008622CE"/>
    <w:rsid w:val="0086232F"/>
    <w:rsid w:val="00862334"/>
    <w:rsid w:val="0086252C"/>
    <w:rsid w:val="00862540"/>
    <w:rsid w:val="00862581"/>
    <w:rsid w:val="0086289D"/>
    <w:rsid w:val="00862919"/>
    <w:rsid w:val="0086291E"/>
    <w:rsid w:val="008629BC"/>
    <w:rsid w:val="00862AB6"/>
    <w:rsid w:val="00862BCC"/>
    <w:rsid w:val="00862C00"/>
    <w:rsid w:val="00862C7B"/>
    <w:rsid w:val="00862D7A"/>
    <w:rsid w:val="00862D90"/>
    <w:rsid w:val="00862DA8"/>
    <w:rsid w:val="00862E7F"/>
    <w:rsid w:val="00862EA4"/>
    <w:rsid w:val="00862F34"/>
    <w:rsid w:val="0086301B"/>
    <w:rsid w:val="0086323A"/>
    <w:rsid w:val="008632F4"/>
    <w:rsid w:val="00863401"/>
    <w:rsid w:val="0086352C"/>
    <w:rsid w:val="00863728"/>
    <w:rsid w:val="00863761"/>
    <w:rsid w:val="00863763"/>
    <w:rsid w:val="0086376D"/>
    <w:rsid w:val="00863772"/>
    <w:rsid w:val="00863931"/>
    <w:rsid w:val="00863960"/>
    <w:rsid w:val="008639A3"/>
    <w:rsid w:val="008639EB"/>
    <w:rsid w:val="00863A36"/>
    <w:rsid w:val="00863A9C"/>
    <w:rsid w:val="00863B02"/>
    <w:rsid w:val="00863BC7"/>
    <w:rsid w:val="00863DFC"/>
    <w:rsid w:val="00863E49"/>
    <w:rsid w:val="00863EF2"/>
    <w:rsid w:val="00863F37"/>
    <w:rsid w:val="00863F6F"/>
    <w:rsid w:val="00864006"/>
    <w:rsid w:val="00864028"/>
    <w:rsid w:val="00864046"/>
    <w:rsid w:val="0086407F"/>
    <w:rsid w:val="00864082"/>
    <w:rsid w:val="00864121"/>
    <w:rsid w:val="0086419D"/>
    <w:rsid w:val="008641BC"/>
    <w:rsid w:val="00864339"/>
    <w:rsid w:val="00864411"/>
    <w:rsid w:val="00864431"/>
    <w:rsid w:val="00864487"/>
    <w:rsid w:val="00864530"/>
    <w:rsid w:val="008646DA"/>
    <w:rsid w:val="008647A0"/>
    <w:rsid w:val="0086487B"/>
    <w:rsid w:val="00864888"/>
    <w:rsid w:val="0086495B"/>
    <w:rsid w:val="008649A9"/>
    <w:rsid w:val="008649D9"/>
    <w:rsid w:val="008649F2"/>
    <w:rsid w:val="00864ABC"/>
    <w:rsid w:val="00864BB7"/>
    <w:rsid w:val="00864D0C"/>
    <w:rsid w:val="00864F0A"/>
    <w:rsid w:val="00864F7B"/>
    <w:rsid w:val="00864FA5"/>
    <w:rsid w:val="00865040"/>
    <w:rsid w:val="008652AE"/>
    <w:rsid w:val="008652BD"/>
    <w:rsid w:val="00865495"/>
    <w:rsid w:val="008655D1"/>
    <w:rsid w:val="00865653"/>
    <w:rsid w:val="008658D0"/>
    <w:rsid w:val="00865A60"/>
    <w:rsid w:val="00865F23"/>
    <w:rsid w:val="00865F52"/>
    <w:rsid w:val="00865FFC"/>
    <w:rsid w:val="00866030"/>
    <w:rsid w:val="008660AD"/>
    <w:rsid w:val="008660DC"/>
    <w:rsid w:val="00866202"/>
    <w:rsid w:val="00866341"/>
    <w:rsid w:val="0086637F"/>
    <w:rsid w:val="0086649B"/>
    <w:rsid w:val="00866531"/>
    <w:rsid w:val="008665FB"/>
    <w:rsid w:val="008666D3"/>
    <w:rsid w:val="0086673B"/>
    <w:rsid w:val="00866828"/>
    <w:rsid w:val="00866866"/>
    <w:rsid w:val="00866888"/>
    <w:rsid w:val="0086690E"/>
    <w:rsid w:val="00866ABC"/>
    <w:rsid w:val="00866AFB"/>
    <w:rsid w:val="00866B30"/>
    <w:rsid w:val="00866B4E"/>
    <w:rsid w:val="00866C33"/>
    <w:rsid w:val="00866CAC"/>
    <w:rsid w:val="00866D18"/>
    <w:rsid w:val="00866D63"/>
    <w:rsid w:val="00866E18"/>
    <w:rsid w:val="00866E51"/>
    <w:rsid w:val="00866E8F"/>
    <w:rsid w:val="00866EA7"/>
    <w:rsid w:val="00866F23"/>
    <w:rsid w:val="00866FC3"/>
    <w:rsid w:val="00867264"/>
    <w:rsid w:val="008672F8"/>
    <w:rsid w:val="00867317"/>
    <w:rsid w:val="00867505"/>
    <w:rsid w:val="00867595"/>
    <w:rsid w:val="008675A4"/>
    <w:rsid w:val="0086760C"/>
    <w:rsid w:val="00867616"/>
    <w:rsid w:val="00867626"/>
    <w:rsid w:val="00867650"/>
    <w:rsid w:val="008676F2"/>
    <w:rsid w:val="00867729"/>
    <w:rsid w:val="00867826"/>
    <w:rsid w:val="008678DC"/>
    <w:rsid w:val="00867943"/>
    <w:rsid w:val="00867959"/>
    <w:rsid w:val="00867B8B"/>
    <w:rsid w:val="00867C1A"/>
    <w:rsid w:val="00867C49"/>
    <w:rsid w:val="00867C56"/>
    <w:rsid w:val="00867CBE"/>
    <w:rsid w:val="00867CDA"/>
    <w:rsid w:val="00867E0A"/>
    <w:rsid w:val="008700A2"/>
    <w:rsid w:val="00870136"/>
    <w:rsid w:val="008701A3"/>
    <w:rsid w:val="008701AA"/>
    <w:rsid w:val="0087050B"/>
    <w:rsid w:val="008705B3"/>
    <w:rsid w:val="008705BA"/>
    <w:rsid w:val="008708B2"/>
    <w:rsid w:val="00870905"/>
    <w:rsid w:val="008709A6"/>
    <w:rsid w:val="008709A9"/>
    <w:rsid w:val="00870A33"/>
    <w:rsid w:val="00870AE3"/>
    <w:rsid w:val="00870B21"/>
    <w:rsid w:val="00870B6F"/>
    <w:rsid w:val="00870B93"/>
    <w:rsid w:val="00870BD2"/>
    <w:rsid w:val="00870CC9"/>
    <w:rsid w:val="00870CEA"/>
    <w:rsid w:val="00870DFE"/>
    <w:rsid w:val="00870E53"/>
    <w:rsid w:val="008710B8"/>
    <w:rsid w:val="00871243"/>
    <w:rsid w:val="0087127C"/>
    <w:rsid w:val="00871294"/>
    <w:rsid w:val="00871299"/>
    <w:rsid w:val="008712F4"/>
    <w:rsid w:val="008713C0"/>
    <w:rsid w:val="00871576"/>
    <w:rsid w:val="008716B9"/>
    <w:rsid w:val="008716E8"/>
    <w:rsid w:val="008716F6"/>
    <w:rsid w:val="00871840"/>
    <w:rsid w:val="00871878"/>
    <w:rsid w:val="008718A0"/>
    <w:rsid w:val="00871952"/>
    <w:rsid w:val="00871973"/>
    <w:rsid w:val="00871AC7"/>
    <w:rsid w:val="00871BCE"/>
    <w:rsid w:val="00871C1E"/>
    <w:rsid w:val="00871C89"/>
    <w:rsid w:val="00871C8A"/>
    <w:rsid w:val="00871D6E"/>
    <w:rsid w:val="00871E3D"/>
    <w:rsid w:val="00871E4B"/>
    <w:rsid w:val="00871F4F"/>
    <w:rsid w:val="0087208D"/>
    <w:rsid w:val="008720DE"/>
    <w:rsid w:val="00872267"/>
    <w:rsid w:val="00872303"/>
    <w:rsid w:val="0087231F"/>
    <w:rsid w:val="00872368"/>
    <w:rsid w:val="008723CD"/>
    <w:rsid w:val="008723FB"/>
    <w:rsid w:val="00872415"/>
    <w:rsid w:val="00872483"/>
    <w:rsid w:val="0087254F"/>
    <w:rsid w:val="0087258B"/>
    <w:rsid w:val="00872705"/>
    <w:rsid w:val="008727AE"/>
    <w:rsid w:val="00872822"/>
    <w:rsid w:val="00872A38"/>
    <w:rsid w:val="00872A77"/>
    <w:rsid w:val="00872AAE"/>
    <w:rsid w:val="00872B6F"/>
    <w:rsid w:val="00872B71"/>
    <w:rsid w:val="00872C25"/>
    <w:rsid w:val="00872C8B"/>
    <w:rsid w:val="00872CAB"/>
    <w:rsid w:val="00872E52"/>
    <w:rsid w:val="00872F5B"/>
    <w:rsid w:val="00872F94"/>
    <w:rsid w:val="00872F99"/>
    <w:rsid w:val="0087301C"/>
    <w:rsid w:val="00873072"/>
    <w:rsid w:val="008730FA"/>
    <w:rsid w:val="00873153"/>
    <w:rsid w:val="00873239"/>
    <w:rsid w:val="008732ED"/>
    <w:rsid w:val="00873444"/>
    <w:rsid w:val="0087354C"/>
    <w:rsid w:val="00873579"/>
    <w:rsid w:val="008735CE"/>
    <w:rsid w:val="008736FE"/>
    <w:rsid w:val="00873827"/>
    <w:rsid w:val="00873830"/>
    <w:rsid w:val="00873880"/>
    <w:rsid w:val="008738A0"/>
    <w:rsid w:val="0087399D"/>
    <w:rsid w:val="008739E9"/>
    <w:rsid w:val="00873A4E"/>
    <w:rsid w:val="00873A7B"/>
    <w:rsid w:val="00873AB9"/>
    <w:rsid w:val="00873B4E"/>
    <w:rsid w:val="00873C51"/>
    <w:rsid w:val="00873D42"/>
    <w:rsid w:val="00873D4E"/>
    <w:rsid w:val="00873DEB"/>
    <w:rsid w:val="00874023"/>
    <w:rsid w:val="0087403F"/>
    <w:rsid w:val="00874044"/>
    <w:rsid w:val="008740CB"/>
    <w:rsid w:val="008740D9"/>
    <w:rsid w:val="0087412D"/>
    <w:rsid w:val="00874177"/>
    <w:rsid w:val="00874195"/>
    <w:rsid w:val="008742FA"/>
    <w:rsid w:val="008743BE"/>
    <w:rsid w:val="0087444F"/>
    <w:rsid w:val="008744A7"/>
    <w:rsid w:val="00874689"/>
    <w:rsid w:val="00874695"/>
    <w:rsid w:val="008746F6"/>
    <w:rsid w:val="008747B7"/>
    <w:rsid w:val="008748B2"/>
    <w:rsid w:val="008748E8"/>
    <w:rsid w:val="008748F3"/>
    <w:rsid w:val="0087494E"/>
    <w:rsid w:val="0087497D"/>
    <w:rsid w:val="00874A5D"/>
    <w:rsid w:val="00874AB8"/>
    <w:rsid w:val="00874B0B"/>
    <w:rsid w:val="00874B53"/>
    <w:rsid w:val="00874BE8"/>
    <w:rsid w:val="00874BF7"/>
    <w:rsid w:val="00874E36"/>
    <w:rsid w:val="00874FB3"/>
    <w:rsid w:val="008750AB"/>
    <w:rsid w:val="008750F7"/>
    <w:rsid w:val="00875171"/>
    <w:rsid w:val="008752C8"/>
    <w:rsid w:val="0087531C"/>
    <w:rsid w:val="008753E0"/>
    <w:rsid w:val="008753E7"/>
    <w:rsid w:val="008753EA"/>
    <w:rsid w:val="00875448"/>
    <w:rsid w:val="00875653"/>
    <w:rsid w:val="00875698"/>
    <w:rsid w:val="008758BC"/>
    <w:rsid w:val="008758E5"/>
    <w:rsid w:val="00875942"/>
    <w:rsid w:val="00875968"/>
    <w:rsid w:val="008759EE"/>
    <w:rsid w:val="00875B9E"/>
    <w:rsid w:val="00875BD6"/>
    <w:rsid w:val="00875BD7"/>
    <w:rsid w:val="00875C12"/>
    <w:rsid w:val="00875C5B"/>
    <w:rsid w:val="00875C73"/>
    <w:rsid w:val="00875C9C"/>
    <w:rsid w:val="00875D02"/>
    <w:rsid w:val="00875D59"/>
    <w:rsid w:val="00875E2B"/>
    <w:rsid w:val="00875EEB"/>
    <w:rsid w:val="00875EEF"/>
    <w:rsid w:val="00875F01"/>
    <w:rsid w:val="00876052"/>
    <w:rsid w:val="008760AB"/>
    <w:rsid w:val="008760B4"/>
    <w:rsid w:val="00876264"/>
    <w:rsid w:val="0087631E"/>
    <w:rsid w:val="0087632B"/>
    <w:rsid w:val="0087633D"/>
    <w:rsid w:val="00876377"/>
    <w:rsid w:val="0087638F"/>
    <w:rsid w:val="008763E6"/>
    <w:rsid w:val="00876400"/>
    <w:rsid w:val="0087640C"/>
    <w:rsid w:val="0087640D"/>
    <w:rsid w:val="008766B4"/>
    <w:rsid w:val="0087674F"/>
    <w:rsid w:val="0087677C"/>
    <w:rsid w:val="0087685C"/>
    <w:rsid w:val="0087688C"/>
    <w:rsid w:val="008768EB"/>
    <w:rsid w:val="00876922"/>
    <w:rsid w:val="00876968"/>
    <w:rsid w:val="00876974"/>
    <w:rsid w:val="00876B1D"/>
    <w:rsid w:val="00876C77"/>
    <w:rsid w:val="00876C9E"/>
    <w:rsid w:val="00876CFC"/>
    <w:rsid w:val="00876E32"/>
    <w:rsid w:val="00876E94"/>
    <w:rsid w:val="00876F00"/>
    <w:rsid w:val="00876FAE"/>
    <w:rsid w:val="00876FCA"/>
    <w:rsid w:val="00877083"/>
    <w:rsid w:val="0087712C"/>
    <w:rsid w:val="0087728B"/>
    <w:rsid w:val="0087738F"/>
    <w:rsid w:val="008773AE"/>
    <w:rsid w:val="00877447"/>
    <w:rsid w:val="00877573"/>
    <w:rsid w:val="008775B7"/>
    <w:rsid w:val="008775F7"/>
    <w:rsid w:val="00877671"/>
    <w:rsid w:val="008777A5"/>
    <w:rsid w:val="00877947"/>
    <w:rsid w:val="008779B0"/>
    <w:rsid w:val="00877C11"/>
    <w:rsid w:val="00877C89"/>
    <w:rsid w:val="00877CDC"/>
    <w:rsid w:val="00877D48"/>
    <w:rsid w:val="00877DD2"/>
    <w:rsid w:val="00877E20"/>
    <w:rsid w:val="00877E6F"/>
    <w:rsid w:val="00880021"/>
    <w:rsid w:val="00880095"/>
    <w:rsid w:val="008800AE"/>
    <w:rsid w:val="00880106"/>
    <w:rsid w:val="00880126"/>
    <w:rsid w:val="0088018C"/>
    <w:rsid w:val="008801DD"/>
    <w:rsid w:val="0088029E"/>
    <w:rsid w:val="00880604"/>
    <w:rsid w:val="0088060C"/>
    <w:rsid w:val="00880632"/>
    <w:rsid w:val="0088067F"/>
    <w:rsid w:val="00880727"/>
    <w:rsid w:val="00880747"/>
    <w:rsid w:val="008807D0"/>
    <w:rsid w:val="0088087E"/>
    <w:rsid w:val="008808EC"/>
    <w:rsid w:val="00880914"/>
    <w:rsid w:val="00880993"/>
    <w:rsid w:val="0088099D"/>
    <w:rsid w:val="00880AC3"/>
    <w:rsid w:val="00880C2F"/>
    <w:rsid w:val="00880CB7"/>
    <w:rsid w:val="00880CD2"/>
    <w:rsid w:val="00880D21"/>
    <w:rsid w:val="00880D58"/>
    <w:rsid w:val="00880DC7"/>
    <w:rsid w:val="00880EB1"/>
    <w:rsid w:val="00880ED7"/>
    <w:rsid w:val="00880F66"/>
    <w:rsid w:val="00880FD7"/>
    <w:rsid w:val="00880FD9"/>
    <w:rsid w:val="008810B0"/>
    <w:rsid w:val="00881126"/>
    <w:rsid w:val="00881156"/>
    <w:rsid w:val="008811E6"/>
    <w:rsid w:val="0088136F"/>
    <w:rsid w:val="008813B6"/>
    <w:rsid w:val="008813F1"/>
    <w:rsid w:val="0088146E"/>
    <w:rsid w:val="008814F7"/>
    <w:rsid w:val="008815C0"/>
    <w:rsid w:val="008815E0"/>
    <w:rsid w:val="008815E8"/>
    <w:rsid w:val="00881605"/>
    <w:rsid w:val="008816A6"/>
    <w:rsid w:val="008816B5"/>
    <w:rsid w:val="0088179E"/>
    <w:rsid w:val="008817A2"/>
    <w:rsid w:val="00881992"/>
    <w:rsid w:val="008819E6"/>
    <w:rsid w:val="00881A06"/>
    <w:rsid w:val="00881A2E"/>
    <w:rsid w:val="00881A58"/>
    <w:rsid w:val="00881DF6"/>
    <w:rsid w:val="00881E1B"/>
    <w:rsid w:val="00881E70"/>
    <w:rsid w:val="00881E8E"/>
    <w:rsid w:val="00881EB0"/>
    <w:rsid w:val="00881FA8"/>
    <w:rsid w:val="008820A2"/>
    <w:rsid w:val="008820B7"/>
    <w:rsid w:val="008820F8"/>
    <w:rsid w:val="008822BC"/>
    <w:rsid w:val="008822D2"/>
    <w:rsid w:val="00882356"/>
    <w:rsid w:val="0088241A"/>
    <w:rsid w:val="008824FB"/>
    <w:rsid w:val="00882572"/>
    <w:rsid w:val="008826E5"/>
    <w:rsid w:val="008827A6"/>
    <w:rsid w:val="008828B4"/>
    <w:rsid w:val="0088299D"/>
    <w:rsid w:val="00882A78"/>
    <w:rsid w:val="00882A90"/>
    <w:rsid w:val="00882ACC"/>
    <w:rsid w:val="00882B03"/>
    <w:rsid w:val="00882BE4"/>
    <w:rsid w:val="00882D91"/>
    <w:rsid w:val="00882DDE"/>
    <w:rsid w:val="00882DF0"/>
    <w:rsid w:val="00882F14"/>
    <w:rsid w:val="00882F2C"/>
    <w:rsid w:val="00883068"/>
    <w:rsid w:val="00883177"/>
    <w:rsid w:val="00883220"/>
    <w:rsid w:val="0088323E"/>
    <w:rsid w:val="008832AC"/>
    <w:rsid w:val="0088331D"/>
    <w:rsid w:val="00883407"/>
    <w:rsid w:val="0088345F"/>
    <w:rsid w:val="0088350A"/>
    <w:rsid w:val="008835D1"/>
    <w:rsid w:val="0088364D"/>
    <w:rsid w:val="008837C7"/>
    <w:rsid w:val="008838B3"/>
    <w:rsid w:val="008838FE"/>
    <w:rsid w:val="0088391F"/>
    <w:rsid w:val="00883934"/>
    <w:rsid w:val="00883BDF"/>
    <w:rsid w:val="00883C77"/>
    <w:rsid w:val="00883D0A"/>
    <w:rsid w:val="00883E0D"/>
    <w:rsid w:val="00883F94"/>
    <w:rsid w:val="00884025"/>
    <w:rsid w:val="00884038"/>
    <w:rsid w:val="008840B0"/>
    <w:rsid w:val="008841A3"/>
    <w:rsid w:val="008841B8"/>
    <w:rsid w:val="008841DB"/>
    <w:rsid w:val="008842BF"/>
    <w:rsid w:val="008842C2"/>
    <w:rsid w:val="008843D2"/>
    <w:rsid w:val="00884594"/>
    <w:rsid w:val="00884597"/>
    <w:rsid w:val="008846DC"/>
    <w:rsid w:val="008847BE"/>
    <w:rsid w:val="00884803"/>
    <w:rsid w:val="0088480E"/>
    <w:rsid w:val="0088494F"/>
    <w:rsid w:val="00884A1F"/>
    <w:rsid w:val="00884A38"/>
    <w:rsid w:val="00884AC5"/>
    <w:rsid w:val="00884BD3"/>
    <w:rsid w:val="00884BD7"/>
    <w:rsid w:val="00884C1A"/>
    <w:rsid w:val="00884C3D"/>
    <w:rsid w:val="00884CAD"/>
    <w:rsid w:val="00884CCB"/>
    <w:rsid w:val="00884D3A"/>
    <w:rsid w:val="00884D54"/>
    <w:rsid w:val="00884DEA"/>
    <w:rsid w:val="00884E36"/>
    <w:rsid w:val="00884FFA"/>
    <w:rsid w:val="00884FFC"/>
    <w:rsid w:val="00885083"/>
    <w:rsid w:val="00885206"/>
    <w:rsid w:val="008852C5"/>
    <w:rsid w:val="008852FF"/>
    <w:rsid w:val="008854B4"/>
    <w:rsid w:val="00885540"/>
    <w:rsid w:val="0088554A"/>
    <w:rsid w:val="0088555F"/>
    <w:rsid w:val="00885596"/>
    <w:rsid w:val="008856A5"/>
    <w:rsid w:val="008856AB"/>
    <w:rsid w:val="008856E9"/>
    <w:rsid w:val="0088573D"/>
    <w:rsid w:val="00885784"/>
    <w:rsid w:val="00885800"/>
    <w:rsid w:val="0088582A"/>
    <w:rsid w:val="0088587B"/>
    <w:rsid w:val="008858E5"/>
    <w:rsid w:val="00885A21"/>
    <w:rsid w:val="00885A3F"/>
    <w:rsid w:val="00885A76"/>
    <w:rsid w:val="00885ACC"/>
    <w:rsid w:val="00885B6D"/>
    <w:rsid w:val="00885BC9"/>
    <w:rsid w:val="00885BF3"/>
    <w:rsid w:val="00885C76"/>
    <w:rsid w:val="00885C98"/>
    <w:rsid w:val="00885F58"/>
    <w:rsid w:val="00885FED"/>
    <w:rsid w:val="0088602F"/>
    <w:rsid w:val="00886078"/>
    <w:rsid w:val="008860C2"/>
    <w:rsid w:val="008860D2"/>
    <w:rsid w:val="008861A8"/>
    <w:rsid w:val="008862C5"/>
    <w:rsid w:val="008863BE"/>
    <w:rsid w:val="008863C4"/>
    <w:rsid w:val="008863FA"/>
    <w:rsid w:val="00886415"/>
    <w:rsid w:val="00886476"/>
    <w:rsid w:val="008864B5"/>
    <w:rsid w:val="0088664D"/>
    <w:rsid w:val="00886773"/>
    <w:rsid w:val="008867A9"/>
    <w:rsid w:val="008867AC"/>
    <w:rsid w:val="0088681B"/>
    <w:rsid w:val="008868EE"/>
    <w:rsid w:val="008868F8"/>
    <w:rsid w:val="0088692E"/>
    <w:rsid w:val="0088698C"/>
    <w:rsid w:val="0088698F"/>
    <w:rsid w:val="008869B3"/>
    <w:rsid w:val="00886A19"/>
    <w:rsid w:val="00886AEE"/>
    <w:rsid w:val="00886B58"/>
    <w:rsid w:val="00886D27"/>
    <w:rsid w:val="00886D82"/>
    <w:rsid w:val="00886E1D"/>
    <w:rsid w:val="00886E95"/>
    <w:rsid w:val="00886ED5"/>
    <w:rsid w:val="00887007"/>
    <w:rsid w:val="00887024"/>
    <w:rsid w:val="00887120"/>
    <w:rsid w:val="0088740A"/>
    <w:rsid w:val="0088746A"/>
    <w:rsid w:val="0088750E"/>
    <w:rsid w:val="0088751B"/>
    <w:rsid w:val="00887624"/>
    <w:rsid w:val="008876CE"/>
    <w:rsid w:val="008876D4"/>
    <w:rsid w:val="00887906"/>
    <w:rsid w:val="00887A3C"/>
    <w:rsid w:val="00887A91"/>
    <w:rsid w:val="00887ACA"/>
    <w:rsid w:val="00887B01"/>
    <w:rsid w:val="00887B54"/>
    <w:rsid w:val="00887B7D"/>
    <w:rsid w:val="00887C0F"/>
    <w:rsid w:val="00887C17"/>
    <w:rsid w:val="00887D14"/>
    <w:rsid w:val="00887E07"/>
    <w:rsid w:val="00887E2A"/>
    <w:rsid w:val="00887E45"/>
    <w:rsid w:val="00887EFC"/>
    <w:rsid w:val="00887F4A"/>
    <w:rsid w:val="0089008B"/>
    <w:rsid w:val="008900A0"/>
    <w:rsid w:val="00890139"/>
    <w:rsid w:val="008904BC"/>
    <w:rsid w:val="008904CD"/>
    <w:rsid w:val="008904EC"/>
    <w:rsid w:val="0089064F"/>
    <w:rsid w:val="00890781"/>
    <w:rsid w:val="008907BB"/>
    <w:rsid w:val="00890884"/>
    <w:rsid w:val="008908BC"/>
    <w:rsid w:val="00890931"/>
    <w:rsid w:val="008909E3"/>
    <w:rsid w:val="00890A80"/>
    <w:rsid w:val="00890C08"/>
    <w:rsid w:val="00890C44"/>
    <w:rsid w:val="00890E75"/>
    <w:rsid w:val="00890F1D"/>
    <w:rsid w:val="00890FDD"/>
    <w:rsid w:val="0089112F"/>
    <w:rsid w:val="00891335"/>
    <w:rsid w:val="0089140F"/>
    <w:rsid w:val="008914BF"/>
    <w:rsid w:val="0089169F"/>
    <w:rsid w:val="008916B5"/>
    <w:rsid w:val="008916BB"/>
    <w:rsid w:val="00891772"/>
    <w:rsid w:val="00891800"/>
    <w:rsid w:val="00891A03"/>
    <w:rsid w:val="00891A79"/>
    <w:rsid w:val="00891AE6"/>
    <w:rsid w:val="00891B6D"/>
    <w:rsid w:val="00891B97"/>
    <w:rsid w:val="00891BD2"/>
    <w:rsid w:val="00891BF1"/>
    <w:rsid w:val="00891CAE"/>
    <w:rsid w:val="00891D43"/>
    <w:rsid w:val="00891DCE"/>
    <w:rsid w:val="00891EE2"/>
    <w:rsid w:val="00891EFD"/>
    <w:rsid w:val="00892005"/>
    <w:rsid w:val="0089200C"/>
    <w:rsid w:val="008920CE"/>
    <w:rsid w:val="008920D7"/>
    <w:rsid w:val="00892117"/>
    <w:rsid w:val="00892178"/>
    <w:rsid w:val="00892203"/>
    <w:rsid w:val="00892247"/>
    <w:rsid w:val="00892370"/>
    <w:rsid w:val="008923DD"/>
    <w:rsid w:val="008923DE"/>
    <w:rsid w:val="008925C9"/>
    <w:rsid w:val="00892642"/>
    <w:rsid w:val="00892687"/>
    <w:rsid w:val="00892810"/>
    <w:rsid w:val="00892820"/>
    <w:rsid w:val="00892836"/>
    <w:rsid w:val="008929BB"/>
    <w:rsid w:val="00892A24"/>
    <w:rsid w:val="00892A6E"/>
    <w:rsid w:val="00892AC7"/>
    <w:rsid w:val="00892B0A"/>
    <w:rsid w:val="00892B96"/>
    <w:rsid w:val="00892BD8"/>
    <w:rsid w:val="00892DB7"/>
    <w:rsid w:val="00892E16"/>
    <w:rsid w:val="00892E43"/>
    <w:rsid w:val="00892E51"/>
    <w:rsid w:val="00892F77"/>
    <w:rsid w:val="00893074"/>
    <w:rsid w:val="00893183"/>
    <w:rsid w:val="008931E3"/>
    <w:rsid w:val="00893207"/>
    <w:rsid w:val="008933D2"/>
    <w:rsid w:val="008933DA"/>
    <w:rsid w:val="008933DC"/>
    <w:rsid w:val="00893476"/>
    <w:rsid w:val="00893478"/>
    <w:rsid w:val="00893769"/>
    <w:rsid w:val="008937D5"/>
    <w:rsid w:val="00893890"/>
    <w:rsid w:val="008938BB"/>
    <w:rsid w:val="00893911"/>
    <w:rsid w:val="00893B1E"/>
    <w:rsid w:val="00893B42"/>
    <w:rsid w:val="00893B61"/>
    <w:rsid w:val="00893B90"/>
    <w:rsid w:val="00893BE1"/>
    <w:rsid w:val="00893C43"/>
    <w:rsid w:val="00893C69"/>
    <w:rsid w:val="00893D28"/>
    <w:rsid w:val="00893D3B"/>
    <w:rsid w:val="00893E36"/>
    <w:rsid w:val="00893E4B"/>
    <w:rsid w:val="00893F87"/>
    <w:rsid w:val="00893F91"/>
    <w:rsid w:val="0089410B"/>
    <w:rsid w:val="00894236"/>
    <w:rsid w:val="0089429F"/>
    <w:rsid w:val="008942A5"/>
    <w:rsid w:val="00894327"/>
    <w:rsid w:val="0089451C"/>
    <w:rsid w:val="00894539"/>
    <w:rsid w:val="008945A2"/>
    <w:rsid w:val="0089466B"/>
    <w:rsid w:val="008946B3"/>
    <w:rsid w:val="0089484B"/>
    <w:rsid w:val="00894870"/>
    <w:rsid w:val="00894927"/>
    <w:rsid w:val="00894B0D"/>
    <w:rsid w:val="00894C5E"/>
    <w:rsid w:val="00894CAA"/>
    <w:rsid w:val="00894D43"/>
    <w:rsid w:val="00894E38"/>
    <w:rsid w:val="00894F9C"/>
    <w:rsid w:val="00894FF2"/>
    <w:rsid w:val="00895034"/>
    <w:rsid w:val="008950D2"/>
    <w:rsid w:val="00895199"/>
    <w:rsid w:val="008951CE"/>
    <w:rsid w:val="008953D4"/>
    <w:rsid w:val="00895430"/>
    <w:rsid w:val="0089560E"/>
    <w:rsid w:val="00895631"/>
    <w:rsid w:val="00895653"/>
    <w:rsid w:val="00895686"/>
    <w:rsid w:val="008956D8"/>
    <w:rsid w:val="0089576A"/>
    <w:rsid w:val="00895941"/>
    <w:rsid w:val="00895947"/>
    <w:rsid w:val="00895AA6"/>
    <w:rsid w:val="00895B04"/>
    <w:rsid w:val="00895C78"/>
    <w:rsid w:val="00895C7F"/>
    <w:rsid w:val="00895DB3"/>
    <w:rsid w:val="00895DE8"/>
    <w:rsid w:val="00895E3F"/>
    <w:rsid w:val="00895EC2"/>
    <w:rsid w:val="00895F00"/>
    <w:rsid w:val="00895F12"/>
    <w:rsid w:val="00895FFF"/>
    <w:rsid w:val="00896001"/>
    <w:rsid w:val="008960B6"/>
    <w:rsid w:val="008960FD"/>
    <w:rsid w:val="0089616D"/>
    <w:rsid w:val="0089623D"/>
    <w:rsid w:val="008962DE"/>
    <w:rsid w:val="008963B9"/>
    <w:rsid w:val="008963FA"/>
    <w:rsid w:val="00896428"/>
    <w:rsid w:val="00896447"/>
    <w:rsid w:val="0089646A"/>
    <w:rsid w:val="008964A5"/>
    <w:rsid w:val="008964D6"/>
    <w:rsid w:val="008965CD"/>
    <w:rsid w:val="00896711"/>
    <w:rsid w:val="008967D1"/>
    <w:rsid w:val="00896898"/>
    <w:rsid w:val="00896A62"/>
    <w:rsid w:val="00896AB7"/>
    <w:rsid w:val="00896B18"/>
    <w:rsid w:val="00896BDB"/>
    <w:rsid w:val="00896C4A"/>
    <w:rsid w:val="00896D16"/>
    <w:rsid w:val="00896D7C"/>
    <w:rsid w:val="00896EB0"/>
    <w:rsid w:val="00896FD6"/>
    <w:rsid w:val="00897081"/>
    <w:rsid w:val="0089709D"/>
    <w:rsid w:val="0089717E"/>
    <w:rsid w:val="00897196"/>
    <w:rsid w:val="00897222"/>
    <w:rsid w:val="008972C4"/>
    <w:rsid w:val="008972E5"/>
    <w:rsid w:val="00897332"/>
    <w:rsid w:val="0089738C"/>
    <w:rsid w:val="0089746C"/>
    <w:rsid w:val="00897532"/>
    <w:rsid w:val="008975C2"/>
    <w:rsid w:val="008975F4"/>
    <w:rsid w:val="008976F2"/>
    <w:rsid w:val="008976FA"/>
    <w:rsid w:val="0089778A"/>
    <w:rsid w:val="008977AD"/>
    <w:rsid w:val="0089787B"/>
    <w:rsid w:val="00897A45"/>
    <w:rsid w:val="00897A74"/>
    <w:rsid w:val="00897AAE"/>
    <w:rsid w:val="00897B4B"/>
    <w:rsid w:val="00897B80"/>
    <w:rsid w:val="00897CA2"/>
    <w:rsid w:val="00897D7C"/>
    <w:rsid w:val="00897E8A"/>
    <w:rsid w:val="00897F01"/>
    <w:rsid w:val="00897F45"/>
    <w:rsid w:val="008A0078"/>
    <w:rsid w:val="008A041D"/>
    <w:rsid w:val="008A0439"/>
    <w:rsid w:val="008A06C4"/>
    <w:rsid w:val="008A070A"/>
    <w:rsid w:val="008A0908"/>
    <w:rsid w:val="008A09FB"/>
    <w:rsid w:val="008A0A81"/>
    <w:rsid w:val="008A0AA4"/>
    <w:rsid w:val="008A0AF9"/>
    <w:rsid w:val="008A0B9A"/>
    <w:rsid w:val="008A0BAC"/>
    <w:rsid w:val="008A0C8C"/>
    <w:rsid w:val="008A0D74"/>
    <w:rsid w:val="008A0D88"/>
    <w:rsid w:val="008A0E0F"/>
    <w:rsid w:val="008A0E20"/>
    <w:rsid w:val="008A0F01"/>
    <w:rsid w:val="008A0F3E"/>
    <w:rsid w:val="008A0FE3"/>
    <w:rsid w:val="008A10EE"/>
    <w:rsid w:val="008A11AC"/>
    <w:rsid w:val="008A11E4"/>
    <w:rsid w:val="008A121B"/>
    <w:rsid w:val="008A1330"/>
    <w:rsid w:val="008A135A"/>
    <w:rsid w:val="008A1395"/>
    <w:rsid w:val="008A1578"/>
    <w:rsid w:val="008A15DC"/>
    <w:rsid w:val="008A15EE"/>
    <w:rsid w:val="008A18AF"/>
    <w:rsid w:val="008A190E"/>
    <w:rsid w:val="008A1B2A"/>
    <w:rsid w:val="008A1BD3"/>
    <w:rsid w:val="008A1C3A"/>
    <w:rsid w:val="008A1D27"/>
    <w:rsid w:val="008A1E12"/>
    <w:rsid w:val="008A1E1A"/>
    <w:rsid w:val="008A1E54"/>
    <w:rsid w:val="008A1E79"/>
    <w:rsid w:val="008A1F0B"/>
    <w:rsid w:val="008A1F0D"/>
    <w:rsid w:val="008A1F8F"/>
    <w:rsid w:val="008A2152"/>
    <w:rsid w:val="008A2209"/>
    <w:rsid w:val="008A22E2"/>
    <w:rsid w:val="008A23F2"/>
    <w:rsid w:val="008A2420"/>
    <w:rsid w:val="008A25DA"/>
    <w:rsid w:val="008A2622"/>
    <w:rsid w:val="008A28AE"/>
    <w:rsid w:val="008A28CD"/>
    <w:rsid w:val="008A291E"/>
    <w:rsid w:val="008A2969"/>
    <w:rsid w:val="008A2A56"/>
    <w:rsid w:val="008A2A8D"/>
    <w:rsid w:val="008A2AC2"/>
    <w:rsid w:val="008A2B56"/>
    <w:rsid w:val="008A2D60"/>
    <w:rsid w:val="008A2DD3"/>
    <w:rsid w:val="008A2E30"/>
    <w:rsid w:val="008A2E8A"/>
    <w:rsid w:val="008A2F25"/>
    <w:rsid w:val="008A2F27"/>
    <w:rsid w:val="008A2F6D"/>
    <w:rsid w:val="008A3060"/>
    <w:rsid w:val="008A3086"/>
    <w:rsid w:val="008A30DF"/>
    <w:rsid w:val="008A3135"/>
    <w:rsid w:val="008A31EA"/>
    <w:rsid w:val="008A3260"/>
    <w:rsid w:val="008A32F6"/>
    <w:rsid w:val="008A3329"/>
    <w:rsid w:val="008A3395"/>
    <w:rsid w:val="008A3492"/>
    <w:rsid w:val="008A3681"/>
    <w:rsid w:val="008A3685"/>
    <w:rsid w:val="008A36BA"/>
    <w:rsid w:val="008A36D3"/>
    <w:rsid w:val="008A37C1"/>
    <w:rsid w:val="008A38C3"/>
    <w:rsid w:val="008A3905"/>
    <w:rsid w:val="008A394E"/>
    <w:rsid w:val="008A39C7"/>
    <w:rsid w:val="008A3ADF"/>
    <w:rsid w:val="008A3B0D"/>
    <w:rsid w:val="008A3B1D"/>
    <w:rsid w:val="008A3BF6"/>
    <w:rsid w:val="008A3C37"/>
    <w:rsid w:val="008A3C5B"/>
    <w:rsid w:val="008A3D49"/>
    <w:rsid w:val="008A3D4D"/>
    <w:rsid w:val="008A3F72"/>
    <w:rsid w:val="008A3FF7"/>
    <w:rsid w:val="008A40EC"/>
    <w:rsid w:val="008A4129"/>
    <w:rsid w:val="008A416B"/>
    <w:rsid w:val="008A418E"/>
    <w:rsid w:val="008A419D"/>
    <w:rsid w:val="008A41C0"/>
    <w:rsid w:val="008A4224"/>
    <w:rsid w:val="008A4225"/>
    <w:rsid w:val="008A4315"/>
    <w:rsid w:val="008A436A"/>
    <w:rsid w:val="008A4383"/>
    <w:rsid w:val="008A4439"/>
    <w:rsid w:val="008A446E"/>
    <w:rsid w:val="008A44F4"/>
    <w:rsid w:val="008A4722"/>
    <w:rsid w:val="008A47B5"/>
    <w:rsid w:val="008A4838"/>
    <w:rsid w:val="008A4D95"/>
    <w:rsid w:val="008A4DD8"/>
    <w:rsid w:val="008A4F24"/>
    <w:rsid w:val="008A4FCD"/>
    <w:rsid w:val="008A50E4"/>
    <w:rsid w:val="008A51DA"/>
    <w:rsid w:val="008A5248"/>
    <w:rsid w:val="008A5302"/>
    <w:rsid w:val="008A53B5"/>
    <w:rsid w:val="008A5486"/>
    <w:rsid w:val="008A54D0"/>
    <w:rsid w:val="008A5526"/>
    <w:rsid w:val="008A559C"/>
    <w:rsid w:val="008A55BA"/>
    <w:rsid w:val="008A5645"/>
    <w:rsid w:val="008A569B"/>
    <w:rsid w:val="008A56B3"/>
    <w:rsid w:val="008A56D9"/>
    <w:rsid w:val="008A5799"/>
    <w:rsid w:val="008A57B0"/>
    <w:rsid w:val="008A57E5"/>
    <w:rsid w:val="008A590B"/>
    <w:rsid w:val="008A5B54"/>
    <w:rsid w:val="008A5B8F"/>
    <w:rsid w:val="008A5D32"/>
    <w:rsid w:val="008A5EC7"/>
    <w:rsid w:val="008A6038"/>
    <w:rsid w:val="008A607E"/>
    <w:rsid w:val="008A612F"/>
    <w:rsid w:val="008A6176"/>
    <w:rsid w:val="008A61CD"/>
    <w:rsid w:val="008A6281"/>
    <w:rsid w:val="008A630C"/>
    <w:rsid w:val="008A635D"/>
    <w:rsid w:val="008A63D7"/>
    <w:rsid w:val="008A658E"/>
    <w:rsid w:val="008A65C5"/>
    <w:rsid w:val="008A660A"/>
    <w:rsid w:val="008A666A"/>
    <w:rsid w:val="008A677E"/>
    <w:rsid w:val="008A6781"/>
    <w:rsid w:val="008A678B"/>
    <w:rsid w:val="008A688C"/>
    <w:rsid w:val="008A68C0"/>
    <w:rsid w:val="008A6915"/>
    <w:rsid w:val="008A6985"/>
    <w:rsid w:val="008A69C0"/>
    <w:rsid w:val="008A6A6A"/>
    <w:rsid w:val="008A6AD3"/>
    <w:rsid w:val="008A6AD8"/>
    <w:rsid w:val="008A6BBA"/>
    <w:rsid w:val="008A6FDD"/>
    <w:rsid w:val="008A6FE4"/>
    <w:rsid w:val="008A7100"/>
    <w:rsid w:val="008A7159"/>
    <w:rsid w:val="008A71BE"/>
    <w:rsid w:val="008A71DF"/>
    <w:rsid w:val="008A71E5"/>
    <w:rsid w:val="008A71FE"/>
    <w:rsid w:val="008A731C"/>
    <w:rsid w:val="008A732D"/>
    <w:rsid w:val="008A73F0"/>
    <w:rsid w:val="008A741D"/>
    <w:rsid w:val="008A7468"/>
    <w:rsid w:val="008A751C"/>
    <w:rsid w:val="008A75AD"/>
    <w:rsid w:val="008A75E8"/>
    <w:rsid w:val="008A7627"/>
    <w:rsid w:val="008A7805"/>
    <w:rsid w:val="008A788A"/>
    <w:rsid w:val="008A789A"/>
    <w:rsid w:val="008A78AE"/>
    <w:rsid w:val="008A792D"/>
    <w:rsid w:val="008A79D6"/>
    <w:rsid w:val="008A7AE7"/>
    <w:rsid w:val="008A7B08"/>
    <w:rsid w:val="008A7B65"/>
    <w:rsid w:val="008A7BAE"/>
    <w:rsid w:val="008A7C03"/>
    <w:rsid w:val="008A7D92"/>
    <w:rsid w:val="008A7FF8"/>
    <w:rsid w:val="008B0019"/>
    <w:rsid w:val="008B0036"/>
    <w:rsid w:val="008B029A"/>
    <w:rsid w:val="008B0311"/>
    <w:rsid w:val="008B0567"/>
    <w:rsid w:val="008B06C4"/>
    <w:rsid w:val="008B0722"/>
    <w:rsid w:val="008B07ED"/>
    <w:rsid w:val="008B0851"/>
    <w:rsid w:val="008B0909"/>
    <w:rsid w:val="008B098A"/>
    <w:rsid w:val="008B09A0"/>
    <w:rsid w:val="008B0A52"/>
    <w:rsid w:val="008B0AE4"/>
    <w:rsid w:val="008B0C15"/>
    <w:rsid w:val="008B0CC8"/>
    <w:rsid w:val="008B0DA2"/>
    <w:rsid w:val="008B0EE0"/>
    <w:rsid w:val="008B117E"/>
    <w:rsid w:val="008B1230"/>
    <w:rsid w:val="008B127F"/>
    <w:rsid w:val="008B13A2"/>
    <w:rsid w:val="008B14A0"/>
    <w:rsid w:val="008B14BD"/>
    <w:rsid w:val="008B1525"/>
    <w:rsid w:val="008B161D"/>
    <w:rsid w:val="008B1714"/>
    <w:rsid w:val="008B1824"/>
    <w:rsid w:val="008B1846"/>
    <w:rsid w:val="008B188C"/>
    <w:rsid w:val="008B18C8"/>
    <w:rsid w:val="008B1A2E"/>
    <w:rsid w:val="008B1ADD"/>
    <w:rsid w:val="008B1AE3"/>
    <w:rsid w:val="008B1CCB"/>
    <w:rsid w:val="008B1D9A"/>
    <w:rsid w:val="008B1DA6"/>
    <w:rsid w:val="008B1F16"/>
    <w:rsid w:val="008B1F7B"/>
    <w:rsid w:val="008B2025"/>
    <w:rsid w:val="008B218B"/>
    <w:rsid w:val="008B2295"/>
    <w:rsid w:val="008B22F3"/>
    <w:rsid w:val="008B2544"/>
    <w:rsid w:val="008B2553"/>
    <w:rsid w:val="008B269F"/>
    <w:rsid w:val="008B2749"/>
    <w:rsid w:val="008B2783"/>
    <w:rsid w:val="008B28A1"/>
    <w:rsid w:val="008B29AD"/>
    <w:rsid w:val="008B29D9"/>
    <w:rsid w:val="008B2A8B"/>
    <w:rsid w:val="008B2AF1"/>
    <w:rsid w:val="008B2B92"/>
    <w:rsid w:val="008B2BD3"/>
    <w:rsid w:val="008B2C00"/>
    <w:rsid w:val="008B2CE3"/>
    <w:rsid w:val="008B2DB0"/>
    <w:rsid w:val="008B2DF3"/>
    <w:rsid w:val="008B2E11"/>
    <w:rsid w:val="008B301F"/>
    <w:rsid w:val="008B306C"/>
    <w:rsid w:val="008B32CB"/>
    <w:rsid w:val="008B33CA"/>
    <w:rsid w:val="008B3538"/>
    <w:rsid w:val="008B3632"/>
    <w:rsid w:val="008B364C"/>
    <w:rsid w:val="008B364F"/>
    <w:rsid w:val="008B3723"/>
    <w:rsid w:val="008B37C0"/>
    <w:rsid w:val="008B392D"/>
    <w:rsid w:val="008B3C29"/>
    <w:rsid w:val="008B3CB9"/>
    <w:rsid w:val="008B3D72"/>
    <w:rsid w:val="008B3D77"/>
    <w:rsid w:val="008B3D82"/>
    <w:rsid w:val="008B3DC6"/>
    <w:rsid w:val="008B3DCD"/>
    <w:rsid w:val="008B3EB1"/>
    <w:rsid w:val="008B3EF6"/>
    <w:rsid w:val="008B3F4F"/>
    <w:rsid w:val="008B3FED"/>
    <w:rsid w:val="008B40BC"/>
    <w:rsid w:val="008B4103"/>
    <w:rsid w:val="008B410B"/>
    <w:rsid w:val="008B4181"/>
    <w:rsid w:val="008B42B5"/>
    <w:rsid w:val="008B42EE"/>
    <w:rsid w:val="008B437A"/>
    <w:rsid w:val="008B44C6"/>
    <w:rsid w:val="008B44CE"/>
    <w:rsid w:val="008B4534"/>
    <w:rsid w:val="008B46E8"/>
    <w:rsid w:val="008B4725"/>
    <w:rsid w:val="008B4751"/>
    <w:rsid w:val="008B4759"/>
    <w:rsid w:val="008B4807"/>
    <w:rsid w:val="008B483F"/>
    <w:rsid w:val="008B4C05"/>
    <w:rsid w:val="008B4C14"/>
    <w:rsid w:val="008B4C5F"/>
    <w:rsid w:val="008B4C94"/>
    <w:rsid w:val="008B4D58"/>
    <w:rsid w:val="008B4D9D"/>
    <w:rsid w:val="008B4DCF"/>
    <w:rsid w:val="008B4E34"/>
    <w:rsid w:val="008B4E58"/>
    <w:rsid w:val="008B4FB0"/>
    <w:rsid w:val="008B500C"/>
    <w:rsid w:val="008B5052"/>
    <w:rsid w:val="008B50DF"/>
    <w:rsid w:val="008B518E"/>
    <w:rsid w:val="008B51EC"/>
    <w:rsid w:val="008B5218"/>
    <w:rsid w:val="008B53CC"/>
    <w:rsid w:val="008B53E4"/>
    <w:rsid w:val="008B5580"/>
    <w:rsid w:val="008B55C1"/>
    <w:rsid w:val="008B565B"/>
    <w:rsid w:val="008B578D"/>
    <w:rsid w:val="008B5A0C"/>
    <w:rsid w:val="008B5ADB"/>
    <w:rsid w:val="008B5B1D"/>
    <w:rsid w:val="008B5B26"/>
    <w:rsid w:val="008B5B8F"/>
    <w:rsid w:val="008B5C01"/>
    <w:rsid w:val="008B5C84"/>
    <w:rsid w:val="008B5CC3"/>
    <w:rsid w:val="008B5D33"/>
    <w:rsid w:val="008B5E4D"/>
    <w:rsid w:val="008B5E54"/>
    <w:rsid w:val="008B5EBA"/>
    <w:rsid w:val="008B5F07"/>
    <w:rsid w:val="008B5FCC"/>
    <w:rsid w:val="008B603F"/>
    <w:rsid w:val="008B60A8"/>
    <w:rsid w:val="008B6112"/>
    <w:rsid w:val="008B612A"/>
    <w:rsid w:val="008B6161"/>
    <w:rsid w:val="008B61D7"/>
    <w:rsid w:val="008B634D"/>
    <w:rsid w:val="008B63A4"/>
    <w:rsid w:val="008B6431"/>
    <w:rsid w:val="008B6437"/>
    <w:rsid w:val="008B64E7"/>
    <w:rsid w:val="008B65BF"/>
    <w:rsid w:val="008B6663"/>
    <w:rsid w:val="008B673B"/>
    <w:rsid w:val="008B67C4"/>
    <w:rsid w:val="008B67D8"/>
    <w:rsid w:val="008B67F0"/>
    <w:rsid w:val="008B6969"/>
    <w:rsid w:val="008B6A54"/>
    <w:rsid w:val="008B6A65"/>
    <w:rsid w:val="008B6ACC"/>
    <w:rsid w:val="008B6B81"/>
    <w:rsid w:val="008B6BD9"/>
    <w:rsid w:val="008B6C37"/>
    <w:rsid w:val="008B6D43"/>
    <w:rsid w:val="008B6DAD"/>
    <w:rsid w:val="008B6E24"/>
    <w:rsid w:val="008B6EAE"/>
    <w:rsid w:val="008B6FD8"/>
    <w:rsid w:val="008B700F"/>
    <w:rsid w:val="008B70BA"/>
    <w:rsid w:val="008B71F3"/>
    <w:rsid w:val="008B7213"/>
    <w:rsid w:val="008B727B"/>
    <w:rsid w:val="008B728D"/>
    <w:rsid w:val="008B72A3"/>
    <w:rsid w:val="008B7337"/>
    <w:rsid w:val="008B735E"/>
    <w:rsid w:val="008B73C3"/>
    <w:rsid w:val="008B73D7"/>
    <w:rsid w:val="008B7465"/>
    <w:rsid w:val="008B75AA"/>
    <w:rsid w:val="008B75C8"/>
    <w:rsid w:val="008B7626"/>
    <w:rsid w:val="008B76E0"/>
    <w:rsid w:val="008B7728"/>
    <w:rsid w:val="008B777B"/>
    <w:rsid w:val="008B78D4"/>
    <w:rsid w:val="008B78D6"/>
    <w:rsid w:val="008B7904"/>
    <w:rsid w:val="008B7911"/>
    <w:rsid w:val="008B7974"/>
    <w:rsid w:val="008B7AA6"/>
    <w:rsid w:val="008B7B63"/>
    <w:rsid w:val="008B7B89"/>
    <w:rsid w:val="008B7CFF"/>
    <w:rsid w:val="008B7D63"/>
    <w:rsid w:val="008B7E05"/>
    <w:rsid w:val="008B7E6F"/>
    <w:rsid w:val="008B7ED8"/>
    <w:rsid w:val="008B7F8B"/>
    <w:rsid w:val="008BF971"/>
    <w:rsid w:val="008C0040"/>
    <w:rsid w:val="008C0124"/>
    <w:rsid w:val="008C018A"/>
    <w:rsid w:val="008C0494"/>
    <w:rsid w:val="008C049F"/>
    <w:rsid w:val="008C04D4"/>
    <w:rsid w:val="008C04EB"/>
    <w:rsid w:val="008C0530"/>
    <w:rsid w:val="008C05F8"/>
    <w:rsid w:val="008C060C"/>
    <w:rsid w:val="008C069F"/>
    <w:rsid w:val="008C0703"/>
    <w:rsid w:val="008C078E"/>
    <w:rsid w:val="008C0797"/>
    <w:rsid w:val="008C0949"/>
    <w:rsid w:val="008C09BA"/>
    <w:rsid w:val="008C09E1"/>
    <w:rsid w:val="008C0AA8"/>
    <w:rsid w:val="008C0AAA"/>
    <w:rsid w:val="008C0AF2"/>
    <w:rsid w:val="008C0C00"/>
    <w:rsid w:val="008C0DC2"/>
    <w:rsid w:val="008C0FA5"/>
    <w:rsid w:val="008C0FC5"/>
    <w:rsid w:val="008C112F"/>
    <w:rsid w:val="008C11C5"/>
    <w:rsid w:val="008C1277"/>
    <w:rsid w:val="008C1446"/>
    <w:rsid w:val="008C14DB"/>
    <w:rsid w:val="008C156E"/>
    <w:rsid w:val="008C163E"/>
    <w:rsid w:val="008C165E"/>
    <w:rsid w:val="008C1681"/>
    <w:rsid w:val="008C16E2"/>
    <w:rsid w:val="008C1716"/>
    <w:rsid w:val="008C172B"/>
    <w:rsid w:val="008C1862"/>
    <w:rsid w:val="008C18AB"/>
    <w:rsid w:val="008C193E"/>
    <w:rsid w:val="008C1976"/>
    <w:rsid w:val="008C1A15"/>
    <w:rsid w:val="008C1AAC"/>
    <w:rsid w:val="008C1B5C"/>
    <w:rsid w:val="008C1B72"/>
    <w:rsid w:val="008C1C09"/>
    <w:rsid w:val="008C1CA5"/>
    <w:rsid w:val="008C1CB9"/>
    <w:rsid w:val="008C1E15"/>
    <w:rsid w:val="008C1E4D"/>
    <w:rsid w:val="008C1EC1"/>
    <w:rsid w:val="008C1EF6"/>
    <w:rsid w:val="008C1F09"/>
    <w:rsid w:val="008C1F1F"/>
    <w:rsid w:val="008C1F25"/>
    <w:rsid w:val="008C1F43"/>
    <w:rsid w:val="008C203D"/>
    <w:rsid w:val="008C20B1"/>
    <w:rsid w:val="008C20C1"/>
    <w:rsid w:val="008C20D8"/>
    <w:rsid w:val="008C21BD"/>
    <w:rsid w:val="008C220B"/>
    <w:rsid w:val="008C2240"/>
    <w:rsid w:val="008C2353"/>
    <w:rsid w:val="008C2466"/>
    <w:rsid w:val="008C24C9"/>
    <w:rsid w:val="008C258B"/>
    <w:rsid w:val="008C2714"/>
    <w:rsid w:val="008C2840"/>
    <w:rsid w:val="008C28D0"/>
    <w:rsid w:val="008C2958"/>
    <w:rsid w:val="008C299C"/>
    <w:rsid w:val="008C2A35"/>
    <w:rsid w:val="008C2BCC"/>
    <w:rsid w:val="008C2CCB"/>
    <w:rsid w:val="008C2D29"/>
    <w:rsid w:val="008C2DC0"/>
    <w:rsid w:val="008C2DCD"/>
    <w:rsid w:val="008C2F44"/>
    <w:rsid w:val="008C2F88"/>
    <w:rsid w:val="008C2F8E"/>
    <w:rsid w:val="008C3017"/>
    <w:rsid w:val="008C309F"/>
    <w:rsid w:val="008C3176"/>
    <w:rsid w:val="008C31CD"/>
    <w:rsid w:val="008C326F"/>
    <w:rsid w:val="008C3297"/>
    <w:rsid w:val="008C339D"/>
    <w:rsid w:val="008C33AE"/>
    <w:rsid w:val="008C3421"/>
    <w:rsid w:val="008C3437"/>
    <w:rsid w:val="008C3447"/>
    <w:rsid w:val="008C34D4"/>
    <w:rsid w:val="008C3524"/>
    <w:rsid w:val="008C3558"/>
    <w:rsid w:val="008C35B1"/>
    <w:rsid w:val="008C3680"/>
    <w:rsid w:val="008C3681"/>
    <w:rsid w:val="008C37A9"/>
    <w:rsid w:val="008C38B4"/>
    <w:rsid w:val="008C38CC"/>
    <w:rsid w:val="008C3B15"/>
    <w:rsid w:val="008C3B9A"/>
    <w:rsid w:val="008C3C5E"/>
    <w:rsid w:val="008C3CA4"/>
    <w:rsid w:val="008C3D06"/>
    <w:rsid w:val="008C3D26"/>
    <w:rsid w:val="008C3E24"/>
    <w:rsid w:val="008C3E3F"/>
    <w:rsid w:val="008C3E83"/>
    <w:rsid w:val="008C3EBE"/>
    <w:rsid w:val="008C40BB"/>
    <w:rsid w:val="008C40F5"/>
    <w:rsid w:val="008C422A"/>
    <w:rsid w:val="008C425E"/>
    <w:rsid w:val="008C429F"/>
    <w:rsid w:val="008C43B4"/>
    <w:rsid w:val="008C43CF"/>
    <w:rsid w:val="008C43E1"/>
    <w:rsid w:val="008C43F2"/>
    <w:rsid w:val="008C4534"/>
    <w:rsid w:val="008C458A"/>
    <w:rsid w:val="008C4691"/>
    <w:rsid w:val="008C47F5"/>
    <w:rsid w:val="008C4905"/>
    <w:rsid w:val="008C4A10"/>
    <w:rsid w:val="008C4A7B"/>
    <w:rsid w:val="008C4B6C"/>
    <w:rsid w:val="008C4B9E"/>
    <w:rsid w:val="008C4C9F"/>
    <w:rsid w:val="008C4CEF"/>
    <w:rsid w:val="008C4CFD"/>
    <w:rsid w:val="008C4E42"/>
    <w:rsid w:val="008C4EC9"/>
    <w:rsid w:val="008C50D6"/>
    <w:rsid w:val="008C5122"/>
    <w:rsid w:val="008C517B"/>
    <w:rsid w:val="008C51C0"/>
    <w:rsid w:val="008C529F"/>
    <w:rsid w:val="008C52B2"/>
    <w:rsid w:val="008C52D2"/>
    <w:rsid w:val="008C52FC"/>
    <w:rsid w:val="008C530A"/>
    <w:rsid w:val="008C53D0"/>
    <w:rsid w:val="008C5591"/>
    <w:rsid w:val="008C568D"/>
    <w:rsid w:val="008C571F"/>
    <w:rsid w:val="008C58AB"/>
    <w:rsid w:val="008C5AD2"/>
    <w:rsid w:val="008C5B15"/>
    <w:rsid w:val="008C5B6D"/>
    <w:rsid w:val="008C5BCB"/>
    <w:rsid w:val="008C5C02"/>
    <w:rsid w:val="008C5C46"/>
    <w:rsid w:val="008C5C4F"/>
    <w:rsid w:val="008C5C51"/>
    <w:rsid w:val="008C5C9A"/>
    <w:rsid w:val="008C5D5C"/>
    <w:rsid w:val="008C5EAF"/>
    <w:rsid w:val="008C5EB6"/>
    <w:rsid w:val="008C5FC0"/>
    <w:rsid w:val="008C6010"/>
    <w:rsid w:val="008C61CB"/>
    <w:rsid w:val="008C61DF"/>
    <w:rsid w:val="008C6249"/>
    <w:rsid w:val="008C644F"/>
    <w:rsid w:val="008C665E"/>
    <w:rsid w:val="008C6773"/>
    <w:rsid w:val="008C683F"/>
    <w:rsid w:val="008C69C6"/>
    <w:rsid w:val="008C69C8"/>
    <w:rsid w:val="008C69EA"/>
    <w:rsid w:val="008C6A38"/>
    <w:rsid w:val="008C6A95"/>
    <w:rsid w:val="008C6B37"/>
    <w:rsid w:val="008C6B66"/>
    <w:rsid w:val="008C6B94"/>
    <w:rsid w:val="008C6BD8"/>
    <w:rsid w:val="008C6C90"/>
    <w:rsid w:val="008C6CBA"/>
    <w:rsid w:val="008C6F14"/>
    <w:rsid w:val="008C700C"/>
    <w:rsid w:val="008C70A2"/>
    <w:rsid w:val="008C71FE"/>
    <w:rsid w:val="008C7276"/>
    <w:rsid w:val="008C7291"/>
    <w:rsid w:val="008C72AA"/>
    <w:rsid w:val="008C72EE"/>
    <w:rsid w:val="008C731F"/>
    <w:rsid w:val="008C74B9"/>
    <w:rsid w:val="008C755A"/>
    <w:rsid w:val="008C7564"/>
    <w:rsid w:val="008C75BF"/>
    <w:rsid w:val="008C75C0"/>
    <w:rsid w:val="008C7749"/>
    <w:rsid w:val="008C78AA"/>
    <w:rsid w:val="008C78ED"/>
    <w:rsid w:val="008C792D"/>
    <w:rsid w:val="008C7B3E"/>
    <w:rsid w:val="008C7BAB"/>
    <w:rsid w:val="008C7C17"/>
    <w:rsid w:val="008C7C7B"/>
    <w:rsid w:val="008C7D9F"/>
    <w:rsid w:val="008C7F7C"/>
    <w:rsid w:val="008CFD6D"/>
    <w:rsid w:val="008D004F"/>
    <w:rsid w:val="008D006E"/>
    <w:rsid w:val="008D00A9"/>
    <w:rsid w:val="008D00F9"/>
    <w:rsid w:val="008D0152"/>
    <w:rsid w:val="008D0273"/>
    <w:rsid w:val="008D02BC"/>
    <w:rsid w:val="008D02D3"/>
    <w:rsid w:val="008D0305"/>
    <w:rsid w:val="008D03D2"/>
    <w:rsid w:val="008D0422"/>
    <w:rsid w:val="008D0453"/>
    <w:rsid w:val="008D04E7"/>
    <w:rsid w:val="008D05E6"/>
    <w:rsid w:val="008D0639"/>
    <w:rsid w:val="008D0669"/>
    <w:rsid w:val="008D06E5"/>
    <w:rsid w:val="008D0741"/>
    <w:rsid w:val="008D0806"/>
    <w:rsid w:val="008D081F"/>
    <w:rsid w:val="008D086D"/>
    <w:rsid w:val="008D08AA"/>
    <w:rsid w:val="008D08D6"/>
    <w:rsid w:val="008D097D"/>
    <w:rsid w:val="008D0996"/>
    <w:rsid w:val="008D0998"/>
    <w:rsid w:val="008D0A93"/>
    <w:rsid w:val="008D0AD1"/>
    <w:rsid w:val="008D0B84"/>
    <w:rsid w:val="008D0BAC"/>
    <w:rsid w:val="008D0D66"/>
    <w:rsid w:val="008D0DFC"/>
    <w:rsid w:val="008D0F24"/>
    <w:rsid w:val="008D0FFC"/>
    <w:rsid w:val="008D1021"/>
    <w:rsid w:val="008D102A"/>
    <w:rsid w:val="008D1031"/>
    <w:rsid w:val="008D113C"/>
    <w:rsid w:val="008D115C"/>
    <w:rsid w:val="008D1160"/>
    <w:rsid w:val="008D1193"/>
    <w:rsid w:val="008D126E"/>
    <w:rsid w:val="008D12AE"/>
    <w:rsid w:val="008D13A2"/>
    <w:rsid w:val="008D142E"/>
    <w:rsid w:val="008D152D"/>
    <w:rsid w:val="008D163B"/>
    <w:rsid w:val="008D1682"/>
    <w:rsid w:val="008D1698"/>
    <w:rsid w:val="008D16C2"/>
    <w:rsid w:val="008D18CD"/>
    <w:rsid w:val="008D19BA"/>
    <w:rsid w:val="008D1A1D"/>
    <w:rsid w:val="008D1A6D"/>
    <w:rsid w:val="008D1B3A"/>
    <w:rsid w:val="008D1BAF"/>
    <w:rsid w:val="008D1C6A"/>
    <w:rsid w:val="008D1C6D"/>
    <w:rsid w:val="008D1CB1"/>
    <w:rsid w:val="008D1D22"/>
    <w:rsid w:val="008D1D96"/>
    <w:rsid w:val="008D1D9E"/>
    <w:rsid w:val="008D1E14"/>
    <w:rsid w:val="008D1F22"/>
    <w:rsid w:val="008D20AA"/>
    <w:rsid w:val="008D20B2"/>
    <w:rsid w:val="008D2103"/>
    <w:rsid w:val="008D226F"/>
    <w:rsid w:val="008D22C9"/>
    <w:rsid w:val="008D233D"/>
    <w:rsid w:val="008D2385"/>
    <w:rsid w:val="008D23C2"/>
    <w:rsid w:val="008D23D6"/>
    <w:rsid w:val="008D23DB"/>
    <w:rsid w:val="008D2416"/>
    <w:rsid w:val="008D2652"/>
    <w:rsid w:val="008D274F"/>
    <w:rsid w:val="008D27BD"/>
    <w:rsid w:val="008D2851"/>
    <w:rsid w:val="008D28B8"/>
    <w:rsid w:val="008D290E"/>
    <w:rsid w:val="008D2986"/>
    <w:rsid w:val="008D29BD"/>
    <w:rsid w:val="008D29E8"/>
    <w:rsid w:val="008D2A29"/>
    <w:rsid w:val="008D2A97"/>
    <w:rsid w:val="008D2AAD"/>
    <w:rsid w:val="008D2B2A"/>
    <w:rsid w:val="008D2BDF"/>
    <w:rsid w:val="008D2C41"/>
    <w:rsid w:val="008D2C75"/>
    <w:rsid w:val="008D2C76"/>
    <w:rsid w:val="008D2C7F"/>
    <w:rsid w:val="008D2F58"/>
    <w:rsid w:val="008D2FAC"/>
    <w:rsid w:val="008D2FE9"/>
    <w:rsid w:val="008D3035"/>
    <w:rsid w:val="008D306E"/>
    <w:rsid w:val="008D31AB"/>
    <w:rsid w:val="008D320F"/>
    <w:rsid w:val="008D3236"/>
    <w:rsid w:val="008D3242"/>
    <w:rsid w:val="008D3250"/>
    <w:rsid w:val="008D3289"/>
    <w:rsid w:val="008D32F6"/>
    <w:rsid w:val="008D3406"/>
    <w:rsid w:val="008D3441"/>
    <w:rsid w:val="008D34C7"/>
    <w:rsid w:val="008D35A0"/>
    <w:rsid w:val="008D3600"/>
    <w:rsid w:val="008D36DA"/>
    <w:rsid w:val="008D380F"/>
    <w:rsid w:val="008D3812"/>
    <w:rsid w:val="008D38D8"/>
    <w:rsid w:val="008D3909"/>
    <w:rsid w:val="008D3A4D"/>
    <w:rsid w:val="008D3A5A"/>
    <w:rsid w:val="008D3B5E"/>
    <w:rsid w:val="008D3B6C"/>
    <w:rsid w:val="008D3BB2"/>
    <w:rsid w:val="008D3BE2"/>
    <w:rsid w:val="008D3C04"/>
    <w:rsid w:val="008D3C63"/>
    <w:rsid w:val="008D3C8A"/>
    <w:rsid w:val="008D3EBF"/>
    <w:rsid w:val="008D3F44"/>
    <w:rsid w:val="008D3FD6"/>
    <w:rsid w:val="008D4001"/>
    <w:rsid w:val="008D407C"/>
    <w:rsid w:val="008D409A"/>
    <w:rsid w:val="008D40A7"/>
    <w:rsid w:val="008D41AD"/>
    <w:rsid w:val="008D41BB"/>
    <w:rsid w:val="008D41EC"/>
    <w:rsid w:val="008D41FB"/>
    <w:rsid w:val="008D429B"/>
    <w:rsid w:val="008D42C3"/>
    <w:rsid w:val="008D42E4"/>
    <w:rsid w:val="008D4304"/>
    <w:rsid w:val="008D43A7"/>
    <w:rsid w:val="008D43BF"/>
    <w:rsid w:val="008D43D2"/>
    <w:rsid w:val="008D43DD"/>
    <w:rsid w:val="008D4426"/>
    <w:rsid w:val="008D447D"/>
    <w:rsid w:val="008D479B"/>
    <w:rsid w:val="008D485B"/>
    <w:rsid w:val="008D4881"/>
    <w:rsid w:val="008D48B0"/>
    <w:rsid w:val="008D48CE"/>
    <w:rsid w:val="008D4942"/>
    <w:rsid w:val="008D4A2D"/>
    <w:rsid w:val="008D4B73"/>
    <w:rsid w:val="008D4BB7"/>
    <w:rsid w:val="008D4BD7"/>
    <w:rsid w:val="008D4BEA"/>
    <w:rsid w:val="008D4BFB"/>
    <w:rsid w:val="008D4C40"/>
    <w:rsid w:val="008D4D32"/>
    <w:rsid w:val="008D4D64"/>
    <w:rsid w:val="008D4DB2"/>
    <w:rsid w:val="008D4E3D"/>
    <w:rsid w:val="008D4F2D"/>
    <w:rsid w:val="008D4F4D"/>
    <w:rsid w:val="008D4F94"/>
    <w:rsid w:val="008D5057"/>
    <w:rsid w:val="008D5096"/>
    <w:rsid w:val="008D50BD"/>
    <w:rsid w:val="008D50D3"/>
    <w:rsid w:val="008D5145"/>
    <w:rsid w:val="008D51CB"/>
    <w:rsid w:val="008D51E9"/>
    <w:rsid w:val="008D5275"/>
    <w:rsid w:val="008D538C"/>
    <w:rsid w:val="008D53C0"/>
    <w:rsid w:val="008D540E"/>
    <w:rsid w:val="008D546F"/>
    <w:rsid w:val="008D5531"/>
    <w:rsid w:val="008D55BB"/>
    <w:rsid w:val="008D55CC"/>
    <w:rsid w:val="008D55DD"/>
    <w:rsid w:val="008D56DE"/>
    <w:rsid w:val="008D577E"/>
    <w:rsid w:val="008D584A"/>
    <w:rsid w:val="008D5865"/>
    <w:rsid w:val="008D5872"/>
    <w:rsid w:val="008D58CB"/>
    <w:rsid w:val="008D58F7"/>
    <w:rsid w:val="008D5964"/>
    <w:rsid w:val="008D59BB"/>
    <w:rsid w:val="008D5ACD"/>
    <w:rsid w:val="008D5AE8"/>
    <w:rsid w:val="008D5B80"/>
    <w:rsid w:val="008D5C41"/>
    <w:rsid w:val="008D5C4B"/>
    <w:rsid w:val="008D5C86"/>
    <w:rsid w:val="008D5D72"/>
    <w:rsid w:val="008D5DC5"/>
    <w:rsid w:val="008D5EC5"/>
    <w:rsid w:val="008D5FCA"/>
    <w:rsid w:val="008D5FCF"/>
    <w:rsid w:val="008D6101"/>
    <w:rsid w:val="008D61B2"/>
    <w:rsid w:val="008D6201"/>
    <w:rsid w:val="008D62A7"/>
    <w:rsid w:val="008D62AA"/>
    <w:rsid w:val="008D636C"/>
    <w:rsid w:val="008D63E6"/>
    <w:rsid w:val="008D63E7"/>
    <w:rsid w:val="008D65C4"/>
    <w:rsid w:val="008D67D7"/>
    <w:rsid w:val="008D67DB"/>
    <w:rsid w:val="008D6865"/>
    <w:rsid w:val="008D687F"/>
    <w:rsid w:val="008D699D"/>
    <w:rsid w:val="008D6A2B"/>
    <w:rsid w:val="008D6A48"/>
    <w:rsid w:val="008D6BE2"/>
    <w:rsid w:val="008D6C33"/>
    <w:rsid w:val="008D6CEA"/>
    <w:rsid w:val="008D6D50"/>
    <w:rsid w:val="008D6DBF"/>
    <w:rsid w:val="008D6EB9"/>
    <w:rsid w:val="008D6EC0"/>
    <w:rsid w:val="008D6F5F"/>
    <w:rsid w:val="008D6F99"/>
    <w:rsid w:val="008D7002"/>
    <w:rsid w:val="008D700D"/>
    <w:rsid w:val="008D7068"/>
    <w:rsid w:val="008D708E"/>
    <w:rsid w:val="008D70B8"/>
    <w:rsid w:val="008D713B"/>
    <w:rsid w:val="008D718D"/>
    <w:rsid w:val="008D71D7"/>
    <w:rsid w:val="008D7231"/>
    <w:rsid w:val="008D72AA"/>
    <w:rsid w:val="008D733F"/>
    <w:rsid w:val="008D7524"/>
    <w:rsid w:val="008D75EB"/>
    <w:rsid w:val="008D7618"/>
    <w:rsid w:val="008D7694"/>
    <w:rsid w:val="008D781E"/>
    <w:rsid w:val="008D78B4"/>
    <w:rsid w:val="008D78D4"/>
    <w:rsid w:val="008D7918"/>
    <w:rsid w:val="008D7987"/>
    <w:rsid w:val="008D7A0E"/>
    <w:rsid w:val="008D7AFF"/>
    <w:rsid w:val="008D7B8D"/>
    <w:rsid w:val="008D7CE6"/>
    <w:rsid w:val="008D7F46"/>
    <w:rsid w:val="008D7FCB"/>
    <w:rsid w:val="008E000B"/>
    <w:rsid w:val="008E0097"/>
    <w:rsid w:val="008E013D"/>
    <w:rsid w:val="008E01FD"/>
    <w:rsid w:val="008E0269"/>
    <w:rsid w:val="008E03C4"/>
    <w:rsid w:val="008E0416"/>
    <w:rsid w:val="008E04F9"/>
    <w:rsid w:val="008E052C"/>
    <w:rsid w:val="008E05C2"/>
    <w:rsid w:val="008E05D5"/>
    <w:rsid w:val="008E0618"/>
    <w:rsid w:val="008E066E"/>
    <w:rsid w:val="008E0688"/>
    <w:rsid w:val="008E0752"/>
    <w:rsid w:val="008E0872"/>
    <w:rsid w:val="008E08FB"/>
    <w:rsid w:val="008E0980"/>
    <w:rsid w:val="008E0AFD"/>
    <w:rsid w:val="008E0BAE"/>
    <w:rsid w:val="008E0BB3"/>
    <w:rsid w:val="008E0BF9"/>
    <w:rsid w:val="008E0C77"/>
    <w:rsid w:val="008E0D06"/>
    <w:rsid w:val="008E0D32"/>
    <w:rsid w:val="008E0D8B"/>
    <w:rsid w:val="008E0E99"/>
    <w:rsid w:val="008E0FFE"/>
    <w:rsid w:val="008E10A0"/>
    <w:rsid w:val="008E10F4"/>
    <w:rsid w:val="008E1415"/>
    <w:rsid w:val="008E152C"/>
    <w:rsid w:val="008E156B"/>
    <w:rsid w:val="008E162C"/>
    <w:rsid w:val="008E16DE"/>
    <w:rsid w:val="008E17CC"/>
    <w:rsid w:val="008E17EF"/>
    <w:rsid w:val="008E18A5"/>
    <w:rsid w:val="008E1AF7"/>
    <w:rsid w:val="008E1B56"/>
    <w:rsid w:val="008E1BEA"/>
    <w:rsid w:val="008E1C48"/>
    <w:rsid w:val="008E1CDC"/>
    <w:rsid w:val="008E1DB9"/>
    <w:rsid w:val="008E1E02"/>
    <w:rsid w:val="008E1E09"/>
    <w:rsid w:val="008E1E6F"/>
    <w:rsid w:val="008E2006"/>
    <w:rsid w:val="008E2012"/>
    <w:rsid w:val="008E2080"/>
    <w:rsid w:val="008E21C9"/>
    <w:rsid w:val="008E229D"/>
    <w:rsid w:val="008E22C3"/>
    <w:rsid w:val="008E22C8"/>
    <w:rsid w:val="008E2646"/>
    <w:rsid w:val="008E2690"/>
    <w:rsid w:val="008E27DB"/>
    <w:rsid w:val="008E27FB"/>
    <w:rsid w:val="008E28B5"/>
    <w:rsid w:val="008E2929"/>
    <w:rsid w:val="008E295B"/>
    <w:rsid w:val="008E2ACC"/>
    <w:rsid w:val="008E2AE7"/>
    <w:rsid w:val="008E2CE1"/>
    <w:rsid w:val="008E2D49"/>
    <w:rsid w:val="008E2D53"/>
    <w:rsid w:val="008E2D79"/>
    <w:rsid w:val="008E2D80"/>
    <w:rsid w:val="008E311D"/>
    <w:rsid w:val="008E31B5"/>
    <w:rsid w:val="008E3217"/>
    <w:rsid w:val="008E32C9"/>
    <w:rsid w:val="008E331C"/>
    <w:rsid w:val="008E35E3"/>
    <w:rsid w:val="008E3723"/>
    <w:rsid w:val="008E3745"/>
    <w:rsid w:val="008E37AF"/>
    <w:rsid w:val="008E37DC"/>
    <w:rsid w:val="008E391E"/>
    <w:rsid w:val="008E392F"/>
    <w:rsid w:val="008E3990"/>
    <w:rsid w:val="008E39A8"/>
    <w:rsid w:val="008E3B75"/>
    <w:rsid w:val="008E3C4D"/>
    <w:rsid w:val="008E3C58"/>
    <w:rsid w:val="008E3CAD"/>
    <w:rsid w:val="008E3D2B"/>
    <w:rsid w:val="008E3FBE"/>
    <w:rsid w:val="008E4059"/>
    <w:rsid w:val="008E4062"/>
    <w:rsid w:val="008E4071"/>
    <w:rsid w:val="008E4083"/>
    <w:rsid w:val="008E412C"/>
    <w:rsid w:val="008E429C"/>
    <w:rsid w:val="008E42EE"/>
    <w:rsid w:val="008E4354"/>
    <w:rsid w:val="008E43C5"/>
    <w:rsid w:val="008E44E4"/>
    <w:rsid w:val="008E4543"/>
    <w:rsid w:val="008E45C9"/>
    <w:rsid w:val="008E4612"/>
    <w:rsid w:val="008E4742"/>
    <w:rsid w:val="008E47B0"/>
    <w:rsid w:val="008E4A78"/>
    <w:rsid w:val="008E4B4D"/>
    <w:rsid w:val="008E4B73"/>
    <w:rsid w:val="008E4D34"/>
    <w:rsid w:val="008E4D64"/>
    <w:rsid w:val="008E4D9A"/>
    <w:rsid w:val="008E4DEE"/>
    <w:rsid w:val="008E4E22"/>
    <w:rsid w:val="008E4F4B"/>
    <w:rsid w:val="008E4F69"/>
    <w:rsid w:val="008E4FA6"/>
    <w:rsid w:val="008E4FE3"/>
    <w:rsid w:val="008E500A"/>
    <w:rsid w:val="008E50C2"/>
    <w:rsid w:val="008E51D9"/>
    <w:rsid w:val="008E5311"/>
    <w:rsid w:val="008E5364"/>
    <w:rsid w:val="008E54CA"/>
    <w:rsid w:val="008E550C"/>
    <w:rsid w:val="008E55A6"/>
    <w:rsid w:val="008E55DC"/>
    <w:rsid w:val="008E5798"/>
    <w:rsid w:val="008E586E"/>
    <w:rsid w:val="008E589E"/>
    <w:rsid w:val="008E59A3"/>
    <w:rsid w:val="008E59CF"/>
    <w:rsid w:val="008E5A60"/>
    <w:rsid w:val="008E5AA7"/>
    <w:rsid w:val="008E5B44"/>
    <w:rsid w:val="008E5C53"/>
    <w:rsid w:val="008E5CBC"/>
    <w:rsid w:val="008E5D05"/>
    <w:rsid w:val="008E5D7C"/>
    <w:rsid w:val="008E6240"/>
    <w:rsid w:val="008E630F"/>
    <w:rsid w:val="008E647A"/>
    <w:rsid w:val="008E64B0"/>
    <w:rsid w:val="008E64FC"/>
    <w:rsid w:val="008E64FD"/>
    <w:rsid w:val="008E6671"/>
    <w:rsid w:val="008E671A"/>
    <w:rsid w:val="008E68A2"/>
    <w:rsid w:val="008E68E1"/>
    <w:rsid w:val="008E6913"/>
    <w:rsid w:val="008E696D"/>
    <w:rsid w:val="008E6A78"/>
    <w:rsid w:val="008E6B40"/>
    <w:rsid w:val="008E6B64"/>
    <w:rsid w:val="008E6C3A"/>
    <w:rsid w:val="008E6D47"/>
    <w:rsid w:val="008E6D8A"/>
    <w:rsid w:val="008E6DB5"/>
    <w:rsid w:val="008E6E16"/>
    <w:rsid w:val="008E6E48"/>
    <w:rsid w:val="008E6E6B"/>
    <w:rsid w:val="008E6FB3"/>
    <w:rsid w:val="008E6FF5"/>
    <w:rsid w:val="008E7229"/>
    <w:rsid w:val="008E72C5"/>
    <w:rsid w:val="008E72DD"/>
    <w:rsid w:val="008E73F4"/>
    <w:rsid w:val="008E7409"/>
    <w:rsid w:val="008E7582"/>
    <w:rsid w:val="008E7597"/>
    <w:rsid w:val="008E761D"/>
    <w:rsid w:val="008E76AD"/>
    <w:rsid w:val="008E77F9"/>
    <w:rsid w:val="008E787F"/>
    <w:rsid w:val="008E7946"/>
    <w:rsid w:val="008E7B2C"/>
    <w:rsid w:val="008E7BBA"/>
    <w:rsid w:val="008E7CB1"/>
    <w:rsid w:val="008E7D14"/>
    <w:rsid w:val="008E7D62"/>
    <w:rsid w:val="008E7E0A"/>
    <w:rsid w:val="008E7E24"/>
    <w:rsid w:val="008E7E6C"/>
    <w:rsid w:val="008E7EA6"/>
    <w:rsid w:val="008F00E2"/>
    <w:rsid w:val="008F0344"/>
    <w:rsid w:val="008F06D7"/>
    <w:rsid w:val="008F07BC"/>
    <w:rsid w:val="008F0920"/>
    <w:rsid w:val="008F0974"/>
    <w:rsid w:val="008F09EB"/>
    <w:rsid w:val="008F0B12"/>
    <w:rsid w:val="008F0B50"/>
    <w:rsid w:val="008F0C0E"/>
    <w:rsid w:val="008F0C73"/>
    <w:rsid w:val="008F0D36"/>
    <w:rsid w:val="008F0D50"/>
    <w:rsid w:val="008F0DC4"/>
    <w:rsid w:val="008F0E46"/>
    <w:rsid w:val="008F1027"/>
    <w:rsid w:val="008F1031"/>
    <w:rsid w:val="008F1088"/>
    <w:rsid w:val="008F116F"/>
    <w:rsid w:val="008F117C"/>
    <w:rsid w:val="008F1325"/>
    <w:rsid w:val="008F140C"/>
    <w:rsid w:val="008F144C"/>
    <w:rsid w:val="008F14A1"/>
    <w:rsid w:val="008F14B9"/>
    <w:rsid w:val="008F15C0"/>
    <w:rsid w:val="008F16F9"/>
    <w:rsid w:val="008F1878"/>
    <w:rsid w:val="008F1893"/>
    <w:rsid w:val="008F193F"/>
    <w:rsid w:val="008F1942"/>
    <w:rsid w:val="008F1A59"/>
    <w:rsid w:val="008F1DD6"/>
    <w:rsid w:val="008F1E01"/>
    <w:rsid w:val="008F1E37"/>
    <w:rsid w:val="008F1FF1"/>
    <w:rsid w:val="008F1FF6"/>
    <w:rsid w:val="008F20B2"/>
    <w:rsid w:val="008F2109"/>
    <w:rsid w:val="008F2121"/>
    <w:rsid w:val="008F2171"/>
    <w:rsid w:val="008F21C2"/>
    <w:rsid w:val="008F21D5"/>
    <w:rsid w:val="008F21FF"/>
    <w:rsid w:val="008F241F"/>
    <w:rsid w:val="008F2460"/>
    <w:rsid w:val="008F25D8"/>
    <w:rsid w:val="008F2718"/>
    <w:rsid w:val="008F2762"/>
    <w:rsid w:val="008F276E"/>
    <w:rsid w:val="008F2804"/>
    <w:rsid w:val="008F2819"/>
    <w:rsid w:val="008F286F"/>
    <w:rsid w:val="008F28AD"/>
    <w:rsid w:val="008F2924"/>
    <w:rsid w:val="008F2960"/>
    <w:rsid w:val="008F29B8"/>
    <w:rsid w:val="008F2AB0"/>
    <w:rsid w:val="008F2B4E"/>
    <w:rsid w:val="008F2C2B"/>
    <w:rsid w:val="008F2C2D"/>
    <w:rsid w:val="008F2C30"/>
    <w:rsid w:val="008F2C4D"/>
    <w:rsid w:val="008F2CEE"/>
    <w:rsid w:val="008F2D1C"/>
    <w:rsid w:val="008F2D8D"/>
    <w:rsid w:val="008F2E6F"/>
    <w:rsid w:val="008F2F2A"/>
    <w:rsid w:val="008F2FA3"/>
    <w:rsid w:val="008F2FD6"/>
    <w:rsid w:val="008F2FD9"/>
    <w:rsid w:val="008F300F"/>
    <w:rsid w:val="008F30C9"/>
    <w:rsid w:val="008F30E7"/>
    <w:rsid w:val="008F31B2"/>
    <w:rsid w:val="008F3268"/>
    <w:rsid w:val="008F3288"/>
    <w:rsid w:val="008F338A"/>
    <w:rsid w:val="008F33F4"/>
    <w:rsid w:val="008F3422"/>
    <w:rsid w:val="008F34C9"/>
    <w:rsid w:val="008F34F8"/>
    <w:rsid w:val="008F3550"/>
    <w:rsid w:val="008F3589"/>
    <w:rsid w:val="008F35EE"/>
    <w:rsid w:val="008F3601"/>
    <w:rsid w:val="008F3610"/>
    <w:rsid w:val="008F3667"/>
    <w:rsid w:val="008F3693"/>
    <w:rsid w:val="008F3936"/>
    <w:rsid w:val="008F396C"/>
    <w:rsid w:val="008F3A07"/>
    <w:rsid w:val="008F3A58"/>
    <w:rsid w:val="008F3A62"/>
    <w:rsid w:val="008F3AB6"/>
    <w:rsid w:val="008F3CAE"/>
    <w:rsid w:val="008F3CB7"/>
    <w:rsid w:val="008F3E5D"/>
    <w:rsid w:val="008F3EF6"/>
    <w:rsid w:val="008F3F18"/>
    <w:rsid w:val="008F3F81"/>
    <w:rsid w:val="008F4020"/>
    <w:rsid w:val="008F4196"/>
    <w:rsid w:val="008F41B1"/>
    <w:rsid w:val="008F41BF"/>
    <w:rsid w:val="008F41ED"/>
    <w:rsid w:val="008F4382"/>
    <w:rsid w:val="008F439D"/>
    <w:rsid w:val="008F44D5"/>
    <w:rsid w:val="008F4555"/>
    <w:rsid w:val="008F4663"/>
    <w:rsid w:val="008F4699"/>
    <w:rsid w:val="008F46E8"/>
    <w:rsid w:val="008F4719"/>
    <w:rsid w:val="008F478C"/>
    <w:rsid w:val="008F48AF"/>
    <w:rsid w:val="008F49BC"/>
    <w:rsid w:val="008F49F2"/>
    <w:rsid w:val="008F4A14"/>
    <w:rsid w:val="008F4B4A"/>
    <w:rsid w:val="008F4BCB"/>
    <w:rsid w:val="008F4BDB"/>
    <w:rsid w:val="008F4BE3"/>
    <w:rsid w:val="008F4C0B"/>
    <w:rsid w:val="008F4C0D"/>
    <w:rsid w:val="008F4C11"/>
    <w:rsid w:val="008F4C68"/>
    <w:rsid w:val="008F4D04"/>
    <w:rsid w:val="008F4D05"/>
    <w:rsid w:val="008F4D56"/>
    <w:rsid w:val="008F4E3E"/>
    <w:rsid w:val="008F4F7B"/>
    <w:rsid w:val="008F4FC3"/>
    <w:rsid w:val="008F51F1"/>
    <w:rsid w:val="008F51FD"/>
    <w:rsid w:val="008F52D9"/>
    <w:rsid w:val="008F52E3"/>
    <w:rsid w:val="008F534F"/>
    <w:rsid w:val="008F54A6"/>
    <w:rsid w:val="008F54BB"/>
    <w:rsid w:val="008F5690"/>
    <w:rsid w:val="008F5772"/>
    <w:rsid w:val="008F5788"/>
    <w:rsid w:val="008F5850"/>
    <w:rsid w:val="008F588F"/>
    <w:rsid w:val="008F58E3"/>
    <w:rsid w:val="008F5A3E"/>
    <w:rsid w:val="008F5A55"/>
    <w:rsid w:val="008F5AC6"/>
    <w:rsid w:val="008F5AEB"/>
    <w:rsid w:val="008F5B16"/>
    <w:rsid w:val="008F5B74"/>
    <w:rsid w:val="008F5BFA"/>
    <w:rsid w:val="008F5CB2"/>
    <w:rsid w:val="008F5D51"/>
    <w:rsid w:val="008F5D88"/>
    <w:rsid w:val="008F5DB3"/>
    <w:rsid w:val="008F5DC5"/>
    <w:rsid w:val="008F5E1F"/>
    <w:rsid w:val="008F5E2D"/>
    <w:rsid w:val="008F5E8D"/>
    <w:rsid w:val="008F5FBD"/>
    <w:rsid w:val="008F606B"/>
    <w:rsid w:val="008F60E2"/>
    <w:rsid w:val="008F61BD"/>
    <w:rsid w:val="008F62B2"/>
    <w:rsid w:val="008F62D5"/>
    <w:rsid w:val="008F63D5"/>
    <w:rsid w:val="008F64CA"/>
    <w:rsid w:val="008F64D2"/>
    <w:rsid w:val="008F64FC"/>
    <w:rsid w:val="008F6518"/>
    <w:rsid w:val="008F6580"/>
    <w:rsid w:val="008F65FD"/>
    <w:rsid w:val="008F6661"/>
    <w:rsid w:val="008F66D3"/>
    <w:rsid w:val="008F66FC"/>
    <w:rsid w:val="008F6716"/>
    <w:rsid w:val="008F6970"/>
    <w:rsid w:val="008F6974"/>
    <w:rsid w:val="008F6B6F"/>
    <w:rsid w:val="008F6B76"/>
    <w:rsid w:val="008F6C04"/>
    <w:rsid w:val="008F6C21"/>
    <w:rsid w:val="008F6C2E"/>
    <w:rsid w:val="008F6CA3"/>
    <w:rsid w:val="008F6CEA"/>
    <w:rsid w:val="008F6E08"/>
    <w:rsid w:val="008F6EC0"/>
    <w:rsid w:val="008F6FD5"/>
    <w:rsid w:val="008F6FD8"/>
    <w:rsid w:val="008F706B"/>
    <w:rsid w:val="008F723F"/>
    <w:rsid w:val="008F7269"/>
    <w:rsid w:val="008F72C3"/>
    <w:rsid w:val="008F7313"/>
    <w:rsid w:val="008F7339"/>
    <w:rsid w:val="008F738C"/>
    <w:rsid w:val="008F73B7"/>
    <w:rsid w:val="008F74D4"/>
    <w:rsid w:val="008F772E"/>
    <w:rsid w:val="008F7792"/>
    <w:rsid w:val="008F7922"/>
    <w:rsid w:val="008F7987"/>
    <w:rsid w:val="008F79FF"/>
    <w:rsid w:val="008F7A10"/>
    <w:rsid w:val="008F7B1D"/>
    <w:rsid w:val="008F7B34"/>
    <w:rsid w:val="008F7B75"/>
    <w:rsid w:val="008F7C53"/>
    <w:rsid w:val="008F7CA2"/>
    <w:rsid w:val="008F7D3F"/>
    <w:rsid w:val="008F7DF4"/>
    <w:rsid w:val="008F7E0B"/>
    <w:rsid w:val="008F7E10"/>
    <w:rsid w:val="008F7E4F"/>
    <w:rsid w:val="008F7FC9"/>
    <w:rsid w:val="009000C5"/>
    <w:rsid w:val="0090015D"/>
    <w:rsid w:val="00900200"/>
    <w:rsid w:val="00900235"/>
    <w:rsid w:val="0090026F"/>
    <w:rsid w:val="0090029D"/>
    <w:rsid w:val="00900467"/>
    <w:rsid w:val="0090051E"/>
    <w:rsid w:val="009005AD"/>
    <w:rsid w:val="009005D8"/>
    <w:rsid w:val="009005FF"/>
    <w:rsid w:val="00900641"/>
    <w:rsid w:val="009008BC"/>
    <w:rsid w:val="009008F0"/>
    <w:rsid w:val="00900A21"/>
    <w:rsid w:val="00900A55"/>
    <w:rsid w:val="00900B83"/>
    <w:rsid w:val="00900C15"/>
    <w:rsid w:val="00900C8D"/>
    <w:rsid w:val="00900CFA"/>
    <w:rsid w:val="00900DDE"/>
    <w:rsid w:val="00900EB7"/>
    <w:rsid w:val="00900F15"/>
    <w:rsid w:val="00900F96"/>
    <w:rsid w:val="00900FB1"/>
    <w:rsid w:val="0090102B"/>
    <w:rsid w:val="00901060"/>
    <w:rsid w:val="00901092"/>
    <w:rsid w:val="00901140"/>
    <w:rsid w:val="00901188"/>
    <w:rsid w:val="0090118A"/>
    <w:rsid w:val="009011CE"/>
    <w:rsid w:val="0090122F"/>
    <w:rsid w:val="009014EC"/>
    <w:rsid w:val="0090157A"/>
    <w:rsid w:val="0090163F"/>
    <w:rsid w:val="0090164A"/>
    <w:rsid w:val="0090164F"/>
    <w:rsid w:val="00901A09"/>
    <w:rsid w:val="00901A10"/>
    <w:rsid w:val="00901AE5"/>
    <w:rsid w:val="00901C1A"/>
    <w:rsid w:val="00901C2F"/>
    <w:rsid w:val="00901C7C"/>
    <w:rsid w:val="00901DF8"/>
    <w:rsid w:val="00901F01"/>
    <w:rsid w:val="00901FC2"/>
    <w:rsid w:val="00902084"/>
    <w:rsid w:val="009020D8"/>
    <w:rsid w:val="009022AA"/>
    <w:rsid w:val="009022AD"/>
    <w:rsid w:val="0090236C"/>
    <w:rsid w:val="00902447"/>
    <w:rsid w:val="00902497"/>
    <w:rsid w:val="009025B1"/>
    <w:rsid w:val="00902648"/>
    <w:rsid w:val="009026DC"/>
    <w:rsid w:val="009026E3"/>
    <w:rsid w:val="00902740"/>
    <w:rsid w:val="0090275B"/>
    <w:rsid w:val="009027C1"/>
    <w:rsid w:val="009027E1"/>
    <w:rsid w:val="00902802"/>
    <w:rsid w:val="00902BBF"/>
    <w:rsid w:val="00902BE9"/>
    <w:rsid w:val="00902C5F"/>
    <w:rsid w:val="00902CA1"/>
    <w:rsid w:val="00902D96"/>
    <w:rsid w:val="00902DD8"/>
    <w:rsid w:val="00902E8F"/>
    <w:rsid w:val="00902F72"/>
    <w:rsid w:val="00902FD9"/>
    <w:rsid w:val="00903085"/>
    <w:rsid w:val="00903137"/>
    <w:rsid w:val="00903269"/>
    <w:rsid w:val="0090326D"/>
    <w:rsid w:val="009033E5"/>
    <w:rsid w:val="009033F1"/>
    <w:rsid w:val="00903467"/>
    <w:rsid w:val="00903498"/>
    <w:rsid w:val="009034A9"/>
    <w:rsid w:val="00903722"/>
    <w:rsid w:val="00903799"/>
    <w:rsid w:val="009037A7"/>
    <w:rsid w:val="009037AB"/>
    <w:rsid w:val="0090388A"/>
    <w:rsid w:val="00903909"/>
    <w:rsid w:val="00903ABE"/>
    <w:rsid w:val="00903C8E"/>
    <w:rsid w:val="00903E3E"/>
    <w:rsid w:val="00903F6C"/>
    <w:rsid w:val="0090408D"/>
    <w:rsid w:val="009040CF"/>
    <w:rsid w:val="009040ED"/>
    <w:rsid w:val="0090411C"/>
    <w:rsid w:val="00904259"/>
    <w:rsid w:val="009042B1"/>
    <w:rsid w:val="009042D5"/>
    <w:rsid w:val="009043D8"/>
    <w:rsid w:val="00904417"/>
    <w:rsid w:val="0090450B"/>
    <w:rsid w:val="009045C4"/>
    <w:rsid w:val="00904646"/>
    <w:rsid w:val="009046D9"/>
    <w:rsid w:val="009046FF"/>
    <w:rsid w:val="009047FC"/>
    <w:rsid w:val="009048A9"/>
    <w:rsid w:val="009048E9"/>
    <w:rsid w:val="009048F6"/>
    <w:rsid w:val="00904A47"/>
    <w:rsid w:val="00904A73"/>
    <w:rsid w:val="00904AE0"/>
    <w:rsid w:val="00904AE7"/>
    <w:rsid w:val="00904B8D"/>
    <w:rsid w:val="00904BC6"/>
    <w:rsid w:val="00904BED"/>
    <w:rsid w:val="00904C97"/>
    <w:rsid w:val="00904CB2"/>
    <w:rsid w:val="00904CEE"/>
    <w:rsid w:val="00904D2F"/>
    <w:rsid w:val="00904E01"/>
    <w:rsid w:val="00904E3D"/>
    <w:rsid w:val="00904E83"/>
    <w:rsid w:val="00904ED3"/>
    <w:rsid w:val="00904F06"/>
    <w:rsid w:val="0090524F"/>
    <w:rsid w:val="00905360"/>
    <w:rsid w:val="009054E4"/>
    <w:rsid w:val="0090561A"/>
    <w:rsid w:val="00905747"/>
    <w:rsid w:val="00905865"/>
    <w:rsid w:val="009058BB"/>
    <w:rsid w:val="009059E3"/>
    <w:rsid w:val="009059E4"/>
    <w:rsid w:val="00905A59"/>
    <w:rsid w:val="00905B07"/>
    <w:rsid w:val="00905D45"/>
    <w:rsid w:val="00905D71"/>
    <w:rsid w:val="00905EA4"/>
    <w:rsid w:val="00905F35"/>
    <w:rsid w:val="009060B7"/>
    <w:rsid w:val="0090610D"/>
    <w:rsid w:val="0090614F"/>
    <w:rsid w:val="009061F1"/>
    <w:rsid w:val="009063A2"/>
    <w:rsid w:val="009063A8"/>
    <w:rsid w:val="009063B2"/>
    <w:rsid w:val="00906466"/>
    <w:rsid w:val="009064EC"/>
    <w:rsid w:val="009064F1"/>
    <w:rsid w:val="0090662C"/>
    <w:rsid w:val="00906672"/>
    <w:rsid w:val="009066F7"/>
    <w:rsid w:val="0090679B"/>
    <w:rsid w:val="00906918"/>
    <w:rsid w:val="00906923"/>
    <w:rsid w:val="00906930"/>
    <w:rsid w:val="0090697E"/>
    <w:rsid w:val="00906C35"/>
    <w:rsid w:val="00906C39"/>
    <w:rsid w:val="00906D8D"/>
    <w:rsid w:val="00906DAC"/>
    <w:rsid w:val="00906E25"/>
    <w:rsid w:val="00906EA1"/>
    <w:rsid w:val="00906F45"/>
    <w:rsid w:val="00906F77"/>
    <w:rsid w:val="00906FCB"/>
    <w:rsid w:val="00907025"/>
    <w:rsid w:val="009071BA"/>
    <w:rsid w:val="009071E6"/>
    <w:rsid w:val="00907246"/>
    <w:rsid w:val="009072B7"/>
    <w:rsid w:val="009072CB"/>
    <w:rsid w:val="009072E0"/>
    <w:rsid w:val="009073B5"/>
    <w:rsid w:val="0090747A"/>
    <w:rsid w:val="00907508"/>
    <w:rsid w:val="009075DA"/>
    <w:rsid w:val="009075DC"/>
    <w:rsid w:val="00907674"/>
    <w:rsid w:val="009076E8"/>
    <w:rsid w:val="009078F1"/>
    <w:rsid w:val="00907A0A"/>
    <w:rsid w:val="00907A1F"/>
    <w:rsid w:val="00907B29"/>
    <w:rsid w:val="00907BD0"/>
    <w:rsid w:val="00907C60"/>
    <w:rsid w:val="00907CA3"/>
    <w:rsid w:val="00907CAA"/>
    <w:rsid w:val="00907E27"/>
    <w:rsid w:val="00907EEA"/>
    <w:rsid w:val="00907F05"/>
    <w:rsid w:val="009100B4"/>
    <w:rsid w:val="009100E8"/>
    <w:rsid w:val="00910107"/>
    <w:rsid w:val="00910156"/>
    <w:rsid w:val="0091016A"/>
    <w:rsid w:val="0091019F"/>
    <w:rsid w:val="009101D3"/>
    <w:rsid w:val="00910255"/>
    <w:rsid w:val="009102A6"/>
    <w:rsid w:val="00910381"/>
    <w:rsid w:val="00910390"/>
    <w:rsid w:val="00910418"/>
    <w:rsid w:val="0091043D"/>
    <w:rsid w:val="00910475"/>
    <w:rsid w:val="009104C4"/>
    <w:rsid w:val="00910573"/>
    <w:rsid w:val="00910627"/>
    <w:rsid w:val="00910722"/>
    <w:rsid w:val="00910737"/>
    <w:rsid w:val="009108C8"/>
    <w:rsid w:val="009109BF"/>
    <w:rsid w:val="00910AAB"/>
    <w:rsid w:val="00910C13"/>
    <w:rsid w:val="00910C3C"/>
    <w:rsid w:val="00910C49"/>
    <w:rsid w:val="00910D88"/>
    <w:rsid w:val="00910DC5"/>
    <w:rsid w:val="00910E57"/>
    <w:rsid w:val="00910E98"/>
    <w:rsid w:val="00910EEA"/>
    <w:rsid w:val="00910F00"/>
    <w:rsid w:val="00910F18"/>
    <w:rsid w:val="0091103A"/>
    <w:rsid w:val="009110BF"/>
    <w:rsid w:val="0091126C"/>
    <w:rsid w:val="009112D5"/>
    <w:rsid w:val="00911445"/>
    <w:rsid w:val="00911582"/>
    <w:rsid w:val="00911599"/>
    <w:rsid w:val="0091171D"/>
    <w:rsid w:val="009117AF"/>
    <w:rsid w:val="00911879"/>
    <w:rsid w:val="009119D1"/>
    <w:rsid w:val="00911A39"/>
    <w:rsid w:val="00911A85"/>
    <w:rsid w:val="00911A97"/>
    <w:rsid w:val="00911C06"/>
    <w:rsid w:val="00911C88"/>
    <w:rsid w:val="00911D74"/>
    <w:rsid w:val="00911F21"/>
    <w:rsid w:val="00912019"/>
    <w:rsid w:val="009120DD"/>
    <w:rsid w:val="009121B4"/>
    <w:rsid w:val="009124A8"/>
    <w:rsid w:val="009124E6"/>
    <w:rsid w:val="0091253C"/>
    <w:rsid w:val="009125EB"/>
    <w:rsid w:val="009127A6"/>
    <w:rsid w:val="009127AA"/>
    <w:rsid w:val="009127BF"/>
    <w:rsid w:val="0091282B"/>
    <w:rsid w:val="0091286C"/>
    <w:rsid w:val="0091291F"/>
    <w:rsid w:val="00912A8D"/>
    <w:rsid w:val="00912A9B"/>
    <w:rsid w:val="00912AC2"/>
    <w:rsid w:val="00912AEB"/>
    <w:rsid w:val="00912B14"/>
    <w:rsid w:val="00912B39"/>
    <w:rsid w:val="00912B43"/>
    <w:rsid w:val="0091306E"/>
    <w:rsid w:val="009130AD"/>
    <w:rsid w:val="009130BC"/>
    <w:rsid w:val="009130E4"/>
    <w:rsid w:val="009130E5"/>
    <w:rsid w:val="00913143"/>
    <w:rsid w:val="00913189"/>
    <w:rsid w:val="0091329E"/>
    <w:rsid w:val="009132E4"/>
    <w:rsid w:val="00913314"/>
    <w:rsid w:val="009133FB"/>
    <w:rsid w:val="00913508"/>
    <w:rsid w:val="0091375F"/>
    <w:rsid w:val="00913762"/>
    <w:rsid w:val="009137EB"/>
    <w:rsid w:val="00913BF6"/>
    <w:rsid w:val="00913C38"/>
    <w:rsid w:val="00913C9C"/>
    <w:rsid w:val="00913CDE"/>
    <w:rsid w:val="00913D34"/>
    <w:rsid w:val="00913D88"/>
    <w:rsid w:val="00913EC7"/>
    <w:rsid w:val="00913F18"/>
    <w:rsid w:val="00913F1D"/>
    <w:rsid w:val="00913F4F"/>
    <w:rsid w:val="00913FC0"/>
    <w:rsid w:val="00914035"/>
    <w:rsid w:val="009140C5"/>
    <w:rsid w:val="00914147"/>
    <w:rsid w:val="009141C5"/>
    <w:rsid w:val="009141DD"/>
    <w:rsid w:val="0091421D"/>
    <w:rsid w:val="009142AD"/>
    <w:rsid w:val="009142C7"/>
    <w:rsid w:val="0091436B"/>
    <w:rsid w:val="00914370"/>
    <w:rsid w:val="009144D0"/>
    <w:rsid w:val="0091457D"/>
    <w:rsid w:val="009145A4"/>
    <w:rsid w:val="009145E4"/>
    <w:rsid w:val="009145ED"/>
    <w:rsid w:val="00914694"/>
    <w:rsid w:val="009146CB"/>
    <w:rsid w:val="00914752"/>
    <w:rsid w:val="009147A7"/>
    <w:rsid w:val="009147B8"/>
    <w:rsid w:val="009147D8"/>
    <w:rsid w:val="009147E0"/>
    <w:rsid w:val="009148E3"/>
    <w:rsid w:val="009148F9"/>
    <w:rsid w:val="009149BB"/>
    <w:rsid w:val="00914A01"/>
    <w:rsid w:val="00914A05"/>
    <w:rsid w:val="00914A79"/>
    <w:rsid w:val="00914AB9"/>
    <w:rsid w:val="00914B72"/>
    <w:rsid w:val="00914B74"/>
    <w:rsid w:val="00914BCD"/>
    <w:rsid w:val="00914C71"/>
    <w:rsid w:val="00914CD5"/>
    <w:rsid w:val="00914DE7"/>
    <w:rsid w:val="00914E1A"/>
    <w:rsid w:val="00914E1D"/>
    <w:rsid w:val="00914FB2"/>
    <w:rsid w:val="009150F5"/>
    <w:rsid w:val="0091513A"/>
    <w:rsid w:val="009152D9"/>
    <w:rsid w:val="009153BF"/>
    <w:rsid w:val="0091542C"/>
    <w:rsid w:val="0091542F"/>
    <w:rsid w:val="00915578"/>
    <w:rsid w:val="009155C7"/>
    <w:rsid w:val="00915610"/>
    <w:rsid w:val="0091564C"/>
    <w:rsid w:val="00915777"/>
    <w:rsid w:val="00915835"/>
    <w:rsid w:val="00915894"/>
    <w:rsid w:val="009158F7"/>
    <w:rsid w:val="00915942"/>
    <w:rsid w:val="009159A8"/>
    <w:rsid w:val="00915AB5"/>
    <w:rsid w:val="00915AC1"/>
    <w:rsid w:val="00915C6C"/>
    <w:rsid w:val="00915CDB"/>
    <w:rsid w:val="00915D43"/>
    <w:rsid w:val="00915DB7"/>
    <w:rsid w:val="00915E69"/>
    <w:rsid w:val="00915EB2"/>
    <w:rsid w:val="00916052"/>
    <w:rsid w:val="00916091"/>
    <w:rsid w:val="009160B7"/>
    <w:rsid w:val="009160D9"/>
    <w:rsid w:val="0091628E"/>
    <w:rsid w:val="009162BA"/>
    <w:rsid w:val="00916516"/>
    <w:rsid w:val="009165D6"/>
    <w:rsid w:val="00916676"/>
    <w:rsid w:val="0091669B"/>
    <w:rsid w:val="009166AF"/>
    <w:rsid w:val="009168E2"/>
    <w:rsid w:val="00916A42"/>
    <w:rsid w:val="00916AE0"/>
    <w:rsid w:val="00916C05"/>
    <w:rsid w:val="00916D5C"/>
    <w:rsid w:val="00916E51"/>
    <w:rsid w:val="00916EC1"/>
    <w:rsid w:val="00916F4E"/>
    <w:rsid w:val="00917069"/>
    <w:rsid w:val="00917188"/>
    <w:rsid w:val="009171E8"/>
    <w:rsid w:val="00917297"/>
    <w:rsid w:val="009172D8"/>
    <w:rsid w:val="0091731E"/>
    <w:rsid w:val="009173C5"/>
    <w:rsid w:val="00917425"/>
    <w:rsid w:val="00917451"/>
    <w:rsid w:val="009174C6"/>
    <w:rsid w:val="00917635"/>
    <w:rsid w:val="009179CC"/>
    <w:rsid w:val="00917A1C"/>
    <w:rsid w:val="00917A80"/>
    <w:rsid w:val="00917A83"/>
    <w:rsid w:val="00917AC8"/>
    <w:rsid w:val="00917AE5"/>
    <w:rsid w:val="00917B53"/>
    <w:rsid w:val="00917B6B"/>
    <w:rsid w:val="00917B7A"/>
    <w:rsid w:val="00917B8A"/>
    <w:rsid w:val="00917B94"/>
    <w:rsid w:val="00917C12"/>
    <w:rsid w:val="00917C58"/>
    <w:rsid w:val="00917C71"/>
    <w:rsid w:val="00917CF8"/>
    <w:rsid w:val="00917D34"/>
    <w:rsid w:val="00917D98"/>
    <w:rsid w:val="00917E64"/>
    <w:rsid w:val="00917E86"/>
    <w:rsid w:val="00917E94"/>
    <w:rsid w:val="0092001F"/>
    <w:rsid w:val="009200BC"/>
    <w:rsid w:val="009200DE"/>
    <w:rsid w:val="009200EB"/>
    <w:rsid w:val="009200EE"/>
    <w:rsid w:val="009200F3"/>
    <w:rsid w:val="00920160"/>
    <w:rsid w:val="0092023F"/>
    <w:rsid w:val="00920263"/>
    <w:rsid w:val="00920400"/>
    <w:rsid w:val="00920480"/>
    <w:rsid w:val="00920488"/>
    <w:rsid w:val="009204CD"/>
    <w:rsid w:val="00920518"/>
    <w:rsid w:val="00920577"/>
    <w:rsid w:val="0092057F"/>
    <w:rsid w:val="00920581"/>
    <w:rsid w:val="00920586"/>
    <w:rsid w:val="00920666"/>
    <w:rsid w:val="0092089F"/>
    <w:rsid w:val="00920967"/>
    <w:rsid w:val="0092098A"/>
    <w:rsid w:val="00920993"/>
    <w:rsid w:val="00920A71"/>
    <w:rsid w:val="00920AB5"/>
    <w:rsid w:val="00920C39"/>
    <w:rsid w:val="00920CC5"/>
    <w:rsid w:val="00920CD5"/>
    <w:rsid w:val="00920CF0"/>
    <w:rsid w:val="00920D27"/>
    <w:rsid w:val="00920E1B"/>
    <w:rsid w:val="00920E95"/>
    <w:rsid w:val="0092103D"/>
    <w:rsid w:val="00921148"/>
    <w:rsid w:val="00921215"/>
    <w:rsid w:val="009212B7"/>
    <w:rsid w:val="00921379"/>
    <w:rsid w:val="00921485"/>
    <w:rsid w:val="0092148B"/>
    <w:rsid w:val="009214E3"/>
    <w:rsid w:val="0092160D"/>
    <w:rsid w:val="009217C1"/>
    <w:rsid w:val="00921800"/>
    <w:rsid w:val="009218AD"/>
    <w:rsid w:val="00921ACA"/>
    <w:rsid w:val="00921B96"/>
    <w:rsid w:val="00921BC8"/>
    <w:rsid w:val="00921C59"/>
    <w:rsid w:val="00921C9A"/>
    <w:rsid w:val="00921D73"/>
    <w:rsid w:val="00921DC1"/>
    <w:rsid w:val="00921E97"/>
    <w:rsid w:val="00921F34"/>
    <w:rsid w:val="00921F80"/>
    <w:rsid w:val="0092205E"/>
    <w:rsid w:val="0092218B"/>
    <w:rsid w:val="009222E2"/>
    <w:rsid w:val="0092238D"/>
    <w:rsid w:val="0092268F"/>
    <w:rsid w:val="00922822"/>
    <w:rsid w:val="00922883"/>
    <w:rsid w:val="009228A4"/>
    <w:rsid w:val="00922916"/>
    <w:rsid w:val="00922927"/>
    <w:rsid w:val="00922947"/>
    <w:rsid w:val="00922960"/>
    <w:rsid w:val="0092296F"/>
    <w:rsid w:val="00922A1E"/>
    <w:rsid w:val="00922B48"/>
    <w:rsid w:val="00922C6B"/>
    <w:rsid w:val="00922C74"/>
    <w:rsid w:val="009230AF"/>
    <w:rsid w:val="009232C8"/>
    <w:rsid w:val="009232DE"/>
    <w:rsid w:val="009232F9"/>
    <w:rsid w:val="0092331E"/>
    <w:rsid w:val="0092334F"/>
    <w:rsid w:val="00923452"/>
    <w:rsid w:val="0092346F"/>
    <w:rsid w:val="00923481"/>
    <w:rsid w:val="00923541"/>
    <w:rsid w:val="0092361C"/>
    <w:rsid w:val="00923667"/>
    <w:rsid w:val="00923692"/>
    <w:rsid w:val="00923775"/>
    <w:rsid w:val="00923793"/>
    <w:rsid w:val="00923815"/>
    <w:rsid w:val="009238A7"/>
    <w:rsid w:val="00923953"/>
    <w:rsid w:val="009239F2"/>
    <w:rsid w:val="00923B8D"/>
    <w:rsid w:val="00923B8F"/>
    <w:rsid w:val="00923C49"/>
    <w:rsid w:val="00923C87"/>
    <w:rsid w:val="00923D46"/>
    <w:rsid w:val="00923D71"/>
    <w:rsid w:val="00923D9F"/>
    <w:rsid w:val="00923DD7"/>
    <w:rsid w:val="00923E11"/>
    <w:rsid w:val="00923F21"/>
    <w:rsid w:val="00924119"/>
    <w:rsid w:val="009241A4"/>
    <w:rsid w:val="009241BB"/>
    <w:rsid w:val="0092430A"/>
    <w:rsid w:val="0092453B"/>
    <w:rsid w:val="0092461F"/>
    <w:rsid w:val="0092476D"/>
    <w:rsid w:val="009247A5"/>
    <w:rsid w:val="009248CD"/>
    <w:rsid w:val="009248D5"/>
    <w:rsid w:val="009248FE"/>
    <w:rsid w:val="0092493B"/>
    <w:rsid w:val="00924988"/>
    <w:rsid w:val="009249DE"/>
    <w:rsid w:val="00924B0D"/>
    <w:rsid w:val="00924BED"/>
    <w:rsid w:val="00924C31"/>
    <w:rsid w:val="00924C57"/>
    <w:rsid w:val="00924C8F"/>
    <w:rsid w:val="00924C9C"/>
    <w:rsid w:val="00924DB6"/>
    <w:rsid w:val="00924E2A"/>
    <w:rsid w:val="0092506B"/>
    <w:rsid w:val="00925127"/>
    <w:rsid w:val="009251A3"/>
    <w:rsid w:val="00925200"/>
    <w:rsid w:val="00925270"/>
    <w:rsid w:val="0092537B"/>
    <w:rsid w:val="00925394"/>
    <w:rsid w:val="00925427"/>
    <w:rsid w:val="009254C7"/>
    <w:rsid w:val="009254E4"/>
    <w:rsid w:val="009256F2"/>
    <w:rsid w:val="00925709"/>
    <w:rsid w:val="0092574B"/>
    <w:rsid w:val="0092575C"/>
    <w:rsid w:val="009257DD"/>
    <w:rsid w:val="00925820"/>
    <w:rsid w:val="009258C0"/>
    <w:rsid w:val="00925928"/>
    <w:rsid w:val="0092595A"/>
    <w:rsid w:val="009259A9"/>
    <w:rsid w:val="00925AAC"/>
    <w:rsid w:val="00925BB3"/>
    <w:rsid w:val="00925D9E"/>
    <w:rsid w:val="00925E5E"/>
    <w:rsid w:val="00925EC1"/>
    <w:rsid w:val="00925F03"/>
    <w:rsid w:val="00926331"/>
    <w:rsid w:val="009263F0"/>
    <w:rsid w:val="009264DB"/>
    <w:rsid w:val="00926531"/>
    <w:rsid w:val="009265B6"/>
    <w:rsid w:val="009266B3"/>
    <w:rsid w:val="009266C1"/>
    <w:rsid w:val="009266FB"/>
    <w:rsid w:val="009267E1"/>
    <w:rsid w:val="009267E2"/>
    <w:rsid w:val="009267F6"/>
    <w:rsid w:val="00926869"/>
    <w:rsid w:val="0092686E"/>
    <w:rsid w:val="00926A69"/>
    <w:rsid w:val="00926A77"/>
    <w:rsid w:val="00926ABE"/>
    <w:rsid w:val="00926BA7"/>
    <w:rsid w:val="00926C68"/>
    <w:rsid w:val="00926C6E"/>
    <w:rsid w:val="00926CA8"/>
    <w:rsid w:val="00926CD9"/>
    <w:rsid w:val="00926D93"/>
    <w:rsid w:val="00926DD6"/>
    <w:rsid w:val="00926E4C"/>
    <w:rsid w:val="00926E86"/>
    <w:rsid w:val="00926EAC"/>
    <w:rsid w:val="00926EBD"/>
    <w:rsid w:val="00926FB5"/>
    <w:rsid w:val="0092700D"/>
    <w:rsid w:val="0092707B"/>
    <w:rsid w:val="009270CA"/>
    <w:rsid w:val="0092710B"/>
    <w:rsid w:val="00927153"/>
    <w:rsid w:val="00927182"/>
    <w:rsid w:val="0092728F"/>
    <w:rsid w:val="009272B0"/>
    <w:rsid w:val="00927327"/>
    <w:rsid w:val="00927411"/>
    <w:rsid w:val="00927612"/>
    <w:rsid w:val="00927650"/>
    <w:rsid w:val="00927701"/>
    <w:rsid w:val="0092772E"/>
    <w:rsid w:val="00927768"/>
    <w:rsid w:val="009277FF"/>
    <w:rsid w:val="00927995"/>
    <w:rsid w:val="009279BD"/>
    <w:rsid w:val="009279D8"/>
    <w:rsid w:val="00927AFE"/>
    <w:rsid w:val="00927B8A"/>
    <w:rsid w:val="00927BEA"/>
    <w:rsid w:val="00927C78"/>
    <w:rsid w:val="00927D6A"/>
    <w:rsid w:val="00927E94"/>
    <w:rsid w:val="00927EF1"/>
    <w:rsid w:val="00927F57"/>
    <w:rsid w:val="00929B89"/>
    <w:rsid w:val="00930014"/>
    <w:rsid w:val="009301CD"/>
    <w:rsid w:val="009301E1"/>
    <w:rsid w:val="009302F2"/>
    <w:rsid w:val="009302FC"/>
    <w:rsid w:val="009303B9"/>
    <w:rsid w:val="00930416"/>
    <w:rsid w:val="0093050D"/>
    <w:rsid w:val="0093075E"/>
    <w:rsid w:val="009308E5"/>
    <w:rsid w:val="009309DC"/>
    <w:rsid w:val="00930A27"/>
    <w:rsid w:val="00930A57"/>
    <w:rsid w:val="00930AA5"/>
    <w:rsid w:val="00930B01"/>
    <w:rsid w:val="00930B97"/>
    <w:rsid w:val="00930C2E"/>
    <w:rsid w:val="00930CC6"/>
    <w:rsid w:val="00930D10"/>
    <w:rsid w:val="00930D39"/>
    <w:rsid w:val="00930EDC"/>
    <w:rsid w:val="00931058"/>
    <w:rsid w:val="00931076"/>
    <w:rsid w:val="009311C7"/>
    <w:rsid w:val="009311DA"/>
    <w:rsid w:val="00931239"/>
    <w:rsid w:val="00931284"/>
    <w:rsid w:val="0093128E"/>
    <w:rsid w:val="009312DB"/>
    <w:rsid w:val="00931386"/>
    <w:rsid w:val="009313AF"/>
    <w:rsid w:val="009313D6"/>
    <w:rsid w:val="0093146D"/>
    <w:rsid w:val="00931511"/>
    <w:rsid w:val="009315D4"/>
    <w:rsid w:val="0093174C"/>
    <w:rsid w:val="00931793"/>
    <w:rsid w:val="00931833"/>
    <w:rsid w:val="00931903"/>
    <w:rsid w:val="0093195F"/>
    <w:rsid w:val="009319D7"/>
    <w:rsid w:val="00931BBD"/>
    <w:rsid w:val="00931C08"/>
    <w:rsid w:val="00931C85"/>
    <w:rsid w:val="00931CD6"/>
    <w:rsid w:val="00931D0F"/>
    <w:rsid w:val="00931D1F"/>
    <w:rsid w:val="00931EBC"/>
    <w:rsid w:val="00931F20"/>
    <w:rsid w:val="00931F53"/>
    <w:rsid w:val="00931F75"/>
    <w:rsid w:val="00931F91"/>
    <w:rsid w:val="00931F9E"/>
    <w:rsid w:val="00932013"/>
    <w:rsid w:val="00932033"/>
    <w:rsid w:val="009321A7"/>
    <w:rsid w:val="00932211"/>
    <w:rsid w:val="0093223E"/>
    <w:rsid w:val="009322CF"/>
    <w:rsid w:val="009322FD"/>
    <w:rsid w:val="0093236B"/>
    <w:rsid w:val="009324EF"/>
    <w:rsid w:val="0093250D"/>
    <w:rsid w:val="00932677"/>
    <w:rsid w:val="00932813"/>
    <w:rsid w:val="00932864"/>
    <w:rsid w:val="009328FB"/>
    <w:rsid w:val="009329BE"/>
    <w:rsid w:val="00932A4C"/>
    <w:rsid w:val="00932AD2"/>
    <w:rsid w:val="00932ADF"/>
    <w:rsid w:val="00932B07"/>
    <w:rsid w:val="00932CF6"/>
    <w:rsid w:val="00932D7A"/>
    <w:rsid w:val="00932E5D"/>
    <w:rsid w:val="00932E6A"/>
    <w:rsid w:val="00932F0B"/>
    <w:rsid w:val="00932F13"/>
    <w:rsid w:val="00932FA5"/>
    <w:rsid w:val="00932FD1"/>
    <w:rsid w:val="00933009"/>
    <w:rsid w:val="0093305E"/>
    <w:rsid w:val="0093308F"/>
    <w:rsid w:val="009330B8"/>
    <w:rsid w:val="0093311B"/>
    <w:rsid w:val="0093316B"/>
    <w:rsid w:val="009331AF"/>
    <w:rsid w:val="00933395"/>
    <w:rsid w:val="009333F5"/>
    <w:rsid w:val="009333FD"/>
    <w:rsid w:val="00933449"/>
    <w:rsid w:val="0093348A"/>
    <w:rsid w:val="009335E2"/>
    <w:rsid w:val="009335FE"/>
    <w:rsid w:val="0093364D"/>
    <w:rsid w:val="009336A2"/>
    <w:rsid w:val="0093376A"/>
    <w:rsid w:val="009338D2"/>
    <w:rsid w:val="00933A99"/>
    <w:rsid w:val="00933B86"/>
    <w:rsid w:val="00933CB0"/>
    <w:rsid w:val="00933CC1"/>
    <w:rsid w:val="00933D44"/>
    <w:rsid w:val="00933DED"/>
    <w:rsid w:val="00933E82"/>
    <w:rsid w:val="00933EC1"/>
    <w:rsid w:val="00933ECE"/>
    <w:rsid w:val="00933ECF"/>
    <w:rsid w:val="00933F16"/>
    <w:rsid w:val="00933F48"/>
    <w:rsid w:val="0093400D"/>
    <w:rsid w:val="0093404B"/>
    <w:rsid w:val="0093404D"/>
    <w:rsid w:val="0093405E"/>
    <w:rsid w:val="009341CB"/>
    <w:rsid w:val="0093430B"/>
    <w:rsid w:val="0093431E"/>
    <w:rsid w:val="00934469"/>
    <w:rsid w:val="0093450A"/>
    <w:rsid w:val="009345E1"/>
    <w:rsid w:val="00934677"/>
    <w:rsid w:val="009346C9"/>
    <w:rsid w:val="00934805"/>
    <w:rsid w:val="0093489F"/>
    <w:rsid w:val="00934B54"/>
    <w:rsid w:val="00934BD4"/>
    <w:rsid w:val="00934CC6"/>
    <w:rsid w:val="00934D46"/>
    <w:rsid w:val="00934DAA"/>
    <w:rsid w:val="00934E0C"/>
    <w:rsid w:val="00934E52"/>
    <w:rsid w:val="00934E6D"/>
    <w:rsid w:val="00934EA3"/>
    <w:rsid w:val="00934EA5"/>
    <w:rsid w:val="00934F60"/>
    <w:rsid w:val="00934FFF"/>
    <w:rsid w:val="00935003"/>
    <w:rsid w:val="009350ED"/>
    <w:rsid w:val="00935133"/>
    <w:rsid w:val="009351B7"/>
    <w:rsid w:val="009351EA"/>
    <w:rsid w:val="009352DF"/>
    <w:rsid w:val="009352F9"/>
    <w:rsid w:val="0093534D"/>
    <w:rsid w:val="0093538E"/>
    <w:rsid w:val="0093544C"/>
    <w:rsid w:val="00935452"/>
    <w:rsid w:val="009354D0"/>
    <w:rsid w:val="0093585C"/>
    <w:rsid w:val="00935991"/>
    <w:rsid w:val="00935A77"/>
    <w:rsid w:val="00935AA0"/>
    <w:rsid w:val="00935B71"/>
    <w:rsid w:val="00935B8B"/>
    <w:rsid w:val="00935C5E"/>
    <w:rsid w:val="00935CDD"/>
    <w:rsid w:val="009360C6"/>
    <w:rsid w:val="00936113"/>
    <w:rsid w:val="0093623A"/>
    <w:rsid w:val="00936245"/>
    <w:rsid w:val="009362E2"/>
    <w:rsid w:val="0093630B"/>
    <w:rsid w:val="0093631C"/>
    <w:rsid w:val="00936414"/>
    <w:rsid w:val="00936756"/>
    <w:rsid w:val="0093675F"/>
    <w:rsid w:val="0093677C"/>
    <w:rsid w:val="0093680F"/>
    <w:rsid w:val="00936861"/>
    <w:rsid w:val="009369DF"/>
    <w:rsid w:val="00936B5F"/>
    <w:rsid w:val="00936C44"/>
    <w:rsid w:val="00936D8A"/>
    <w:rsid w:val="00936D8C"/>
    <w:rsid w:val="00936DDC"/>
    <w:rsid w:val="00936E87"/>
    <w:rsid w:val="00936EF8"/>
    <w:rsid w:val="00936F44"/>
    <w:rsid w:val="0093702C"/>
    <w:rsid w:val="009371AA"/>
    <w:rsid w:val="009371AB"/>
    <w:rsid w:val="0093726D"/>
    <w:rsid w:val="009372D0"/>
    <w:rsid w:val="009373E3"/>
    <w:rsid w:val="00937410"/>
    <w:rsid w:val="00937417"/>
    <w:rsid w:val="009374E8"/>
    <w:rsid w:val="00937547"/>
    <w:rsid w:val="0093760C"/>
    <w:rsid w:val="00937703"/>
    <w:rsid w:val="00937786"/>
    <w:rsid w:val="00937824"/>
    <w:rsid w:val="00937860"/>
    <w:rsid w:val="0093786F"/>
    <w:rsid w:val="009378D1"/>
    <w:rsid w:val="00937998"/>
    <w:rsid w:val="00937A00"/>
    <w:rsid w:val="00937A9F"/>
    <w:rsid w:val="00937B1C"/>
    <w:rsid w:val="00937E1F"/>
    <w:rsid w:val="00937E5E"/>
    <w:rsid w:val="00937EB6"/>
    <w:rsid w:val="00937EE2"/>
    <w:rsid w:val="00937F68"/>
    <w:rsid w:val="0094017B"/>
    <w:rsid w:val="009401AA"/>
    <w:rsid w:val="0094029E"/>
    <w:rsid w:val="00940308"/>
    <w:rsid w:val="00940351"/>
    <w:rsid w:val="00940515"/>
    <w:rsid w:val="0094064B"/>
    <w:rsid w:val="0094080C"/>
    <w:rsid w:val="0094088F"/>
    <w:rsid w:val="009409E1"/>
    <w:rsid w:val="00940C26"/>
    <w:rsid w:val="00940CF5"/>
    <w:rsid w:val="00940DDD"/>
    <w:rsid w:val="00940DED"/>
    <w:rsid w:val="00940E20"/>
    <w:rsid w:val="00940E52"/>
    <w:rsid w:val="00940E8B"/>
    <w:rsid w:val="00940ECD"/>
    <w:rsid w:val="00940F03"/>
    <w:rsid w:val="00940F1C"/>
    <w:rsid w:val="00940F1F"/>
    <w:rsid w:val="00940F29"/>
    <w:rsid w:val="0094113A"/>
    <w:rsid w:val="0094128D"/>
    <w:rsid w:val="00941312"/>
    <w:rsid w:val="009413CF"/>
    <w:rsid w:val="00941452"/>
    <w:rsid w:val="00941455"/>
    <w:rsid w:val="0094147C"/>
    <w:rsid w:val="00941486"/>
    <w:rsid w:val="009414C3"/>
    <w:rsid w:val="009415D8"/>
    <w:rsid w:val="00941614"/>
    <w:rsid w:val="00941617"/>
    <w:rsid w:val="00941686"/>
    <w:rsid w:val="0094168B"/>
    <w:rsid w:val="009418A4"/>
    <w:rsid w:val="009418E6"/>
    <w:rsid w:val="009419F3"/>
    <w:rsid w:val="00941B12"/>
    <w:rsid w:val="00941B59"/>
    <w:rsid w:val="00941D43"/>
    <w:rsid w:val="00941D9E"/>
    <w:rsid w:val="00941E9F"/>
    <w:rsid w:val="00941EAF"/>
    <w:rsid w:val="0094203A"/>
    <w:rsid w:val="009422E9"/>
    <w:rsid w:val="00942389"/>
    <w:rsid w:val="0094238B"/>
    <w:rsid w:val="00942541"/>
    <w:rsid w:val="00942552"/>
    <w:rsid w:val="0094259E"/>
    <w:rsid w:val="009426C3"/>
    <w:rsid w:val="00942837"/>
    <w:rsid w:val="0094287D"/>
    <w:rsid w:val="00942903"/>
    <w:rsid w:val="00942973"/>
    <w:rsid w:val="0094298C"/>
    <w:rsid w:val="00942AB9"/>
    <w:rsid w:val="00942B97"/>
    <w:rsid w:val="00942CFE"/>
    <w:rsid w:val="00942E8C"/>
    <w:rsid w:val="00942EC9"/>
    <w:rsid w:val="0094304E"/>
    <w:rsid w:val="009431A0"/>
    <w:rsid w:val="00943257"/>
    <w:rsid w:val="0094335E"/>
    <w:rsid w:val="0094338E"/>
    <w:rsid w:val="009433E7"/>
    <w:rsid w:val="009434CB"/>
    <w:rsid w:val="00943519"/>
    <w:rsid w:val="0094354E"/>
    <w:rsid w:val="00943550"/>
    <w:rsid w:val="0094366F"/>
    <w:rsid w:val="009437A2"/>
    <w:rsid w:val="009439DA"/>
    <w:rsid w:val="009439FF"/>
    <w:rsid w:val="00943AFE"/>
    <w:rsid w:val="00943BA3"/>
    <w:rsid w:val="00943BD1"/>
    <w:rsid w:val="00943D29"/>
    <w:rsid w:val="00943D7E"/>
    <w:rsid w:val="00943E3A"/>
    <w:rsid w:val="00943FA8"/>
    <w:rsid w:val="00944013"/>
    <w:rsid w:val="00944060"/>
    <w:rsid w:val="00944087"/>
    <w:rsid w:val="0094409E"/>
    <w:rsid w:val="009440C1"/>
    <w:rsid w:val="00944126"/>
    <w:rsid w:val="00944145"/>
    <w:rsid w:val="00944377"/>
    <w:rsid w:val="009443AF"/>
    <w:rsid w:val="00944485"/>
    <w:rsid w:val="0094456C"/>
    <w:rsid w:val="0094468F"/>
    <w:rsid w:val="00944862"/>
    <w:rsid w:val="00944A04"/>
    <w:rsid w:val="00944A1D"/>
    <w:rsid w:val="00944A23"/>
    <w:rsid w:val="00944AC0"/>
    <w:rsid w:val="00944AE8"/>
    <w:rsid w:val="00944AF6"/>
    <w:rsid w:val="00944B28"/>
    <w:rsid w:val="00944B9A"/>
    <w:rsid w:val="00944C3D"/>
    <w:rsid w:val="00944C6B"/>
    <w:rsid w:val="00944CCA"/>
    <w:rsid w:val="00944CFC"/>
    <w:rsid w:val="00944D01"/>
    <w:rsid w:val="00944D2E"/>
    <w:rsid w:val="00944E56"/>
    <w:rsid w:val="00944EA1"/>
    <w:rsid w:val="00944ECD"/>
    <w:rsid w:val="00944F01"/>
    <w:rsid w:val="00944F12"/>
    <w:rsid w:val="00945094"/>
    <w:rsid w:val="009452ED"/>
    <w:rsid w:val="009452F2"/>
    <w:rsid w:val="00945308"/>
    <w:rsid w:val="0094531F"/>
    <w:rsid w:val="00945320"/>
    <w:rsid w:val="009453A2"/>
    <w:rsid w:val="009453C0"/>
    <w:rsid w:val="00945416"/>
    <w:rsid w:val="00945419"/>
    <w:rsid w:val="009454C7"/>
    <w:rsid w:val="00945510"/>
    <w:rsid w:val="00945675"/>
    <w:rsid w:val="00945694"/>
    <w:rsid w:val="00945874"/>
    <w:rsid w:val="00945A13"/>
    <w:rsid w:val="00945AFA"/>
    <w:rsid w:val="00945B27"/>
    <w:rsid w:val="00945B5D"/>
    <w:rsid w:val="00945C57"/>
    <w:rsid w:val="00945C73"/>
    <w:rsid w:val="00945E27"/>
    <w:rsid w:val="00945E43"/>
    <w:rsid w:val="00945F98"/>
    <w:rsid w:val="00945F99"/>
    <w:rsid w:val="00945FDF"/>
    <w:rsid w:val="009463C6"/>
    <w:rsid w:val="00946596"/>
    <w:rsid w:val="00946597"/>
    <w:rsid w:val="0094663C"/>
    <w:rsid w:val="0094666B"/>
    <w:rsid w:val="00946678"/>
    <w:rsid w:val="00946692"/>
    <w:rsid w:val="0094676D"/>
    <w:rsid w:val="009467E9"/>
    <w:rsid w:val="009468D3"/>
    <w:rsid w:val="00946B50"/>
    <w:rsid w:val="00946C69"/>
    <w:rsid w:val="00946EAA"/>
    <w:rsid w:val="0094702A"/>
    <w:rsid w:val="00947085"/>
    <w:rsid w:val="009470BE"/>
    <w:rsid w:val="009470EA"/>
    <w:rsid w:val="0094710D"/>
    <w:rsid w:val="00947224"/>
    <w:rsid w:val="009472CB"/>
    <w:rsid w:val="0094731D"/>
    <w:rsid w:val="009473AA"/>
    <w:rsid w:val="0094745C"/>
    <w:rsid w:val="00947477"/>
    <w:rsid w:val="0094753F"/>
    <w:rsid w:val="00947578"/>
    <w:rsid w:val="00947584"/>
    <w:rsid w:val="0094759E"/>
    <w:rsid w:val="00947615"/>
    <w:rsid w:val="0094768D"/>
    <w:rsid w:val="0094772B"/>
    <w:rsid w:val="0094772F"/>
    <w:rsid w:val="009477B8"/>
    <w:rsid w:val="00947911"/>
    <w:rsid w:val="009479C9"/>
    <w:rsid w:val="00947A43"/>
    <w:rsid w:val="00947ACC"/>
    <w:rsid w:val="00947B69"/>
    <w:rsid w:val="00947BA9"/>
    <w:rsid w:val="00947C34"/>
    <w:rsid w:val="00947CE9"/>
    <w:rsid w:val="00947D5C"/>
    <w:rsid w:val="00947E03"/>
    <w:rsid w:val="00947E3F"/>
    <w:rsid w:val="00947E58"/>
    <w:rsid w:val="00947E67"/>
    <w:rsid w:val="00950144"/>
    <w:rsid w:val="0095033A"/>
    <w:rsid w:val="0095034B"/>
    <w:rsid w:val="009503CE"/>
    <w:rsid w:val="00950433"/>
    <w:rsid w:val="00950443"/>
    <w:rsid w:val="00950478"/>
    <w:rsid w:val="00950480"/>
    <w:rsid w:val="00950492"/>
    <w:rsid w:val="009504D1"/>
    <w:rsid w:val="009504F1"/>
    <w:rsid w:val="00950544"/>
    <w:rsid w:val="009505BA"/>
    <w:rsid w:val="0095060E"/>
    <w:rsid w:val="00950643"/>
    <w:rsid w:val="00950652"/>
    <w:rsid w:val="0095066B"/>
    <w:rsid w:val="00950777"/>
    <w:rsid w:val="009507E4"/>
    <w:rsid w:val="009507FD"/>
    <w:rsid w:val="00950A59"/>
    <w:rsid w:val="00950B8C"/>
    <w:rsid w:val="00950BC9"/>
    <w:rsid w:val="00950BF0"/>
    <w:rsid w:val="00950C11"/>
    <w:rsid w:val="00950CB3"/>
    <w:rsid w:val="00950CDE"/>
    <w:rsid w:val="00950CE4"/>
    <w:rsid w:val="00950DB9"/>
    <w:rsid w:val="00950DBD"/>
    <w:rsid w:val="00950E7C"/>
    <w:rsid w:val="00950EDF"/>
    <w:rsid w:val="00950F5D"/>
    <w:rsid w:val="00950F77"/>
    <w:rsid w:val="00950FD6"/>
    <w:rsid w:val="00951002"/>
    <w:rsid w:val="00951003"/>
    <w:rsid w:val="00951066"/>
    <w:rsid w:val="009510B2"/>
    <w:rsid w:val="00951118"/>
    <w:rsid w:val="009511F1"/>
    <w:rsid w:val="00951217"/>
    <w:rsid w:val="00951271"/>
    <w:rsid w:val="009512F7"/>
    <w:rsid w:val="00951353"/>
    <w:rsid w:val="009514F9"/>
    <w:rsid w:val="00951655"/>
    <w:rsid w:val="00951687"/>
    <w:rsid w:val="00951762"/>
    <w:rsid w:val="00951796"/>
    <w:rsid w:val="009517C4"/>
    <w:rsid w:val="009517CA"/>
    <w:rsid w:val="0095184E"/>
    <w:rsid w:val="00951857"/>
    <w:rsid w:val="0095185A"/>
    <w:rsid w:val="009519C2"/>
    <w:rsid w:val="00951A0B"/>
    <w:rsid w:val="00951A15"/>
    <w:rsid w:val="00951AAB"/>
    <w:rsid w:val="00951ACB"/>
    <w:rsid w:val="00951BA0"/>
    <w:rsid w:val="00951C1A"/>
    <w:rsid w:val="00951D64"/>
    <w:rsid w:val="00951E66"/>
    <w:rsid w:val="00951F2F"/>
    <w:rsid w:val="00951FC9"/>
    <w:rsid w:val="00952093"/>
    <w:rsid w:val="00952231"/>
    <w:rsid w:val="0095225B"/>
    <w:rsid w:val="00952344"/>
    <w:rsid w:val="00952365"/>
    <w:rsid w:val="0095242C"/>
    <w:rsid w:val="009524D0"/>
    <w:rsid w:val="00952619"/>
    <w:rsid w:val="009527B4"/>
    <w:rsid w:val="009527F0"/>
    <w:rsid w:val="009528C9"/>
    <w:rsid w:val="00952A13"/>
    <w:rsid w:val="00952B3B"/>
    <w:rsid w:val="00952BFA"/>
    <w:rsid w:val="00952BFD"/>
    <w:rsid w:val="00952C90"/>
    <w:rsid w:val="00952D46"/>
    <w:rsid w:val="00952D4D"/>
    <w:rsid w:val="00952DE5"/>
    <w:rsid w:val="00952F06"/>
    <w:rsid w:val="00952F95"/>
    <w:rsid w:val="00953020"/>
    <w:rsid w:val="0095309C"/>
    <w:rsid w:val="009530E7"/>
    <w:rsid w:val="00953184"/>
    <w:rsid w:val="00953192"/>
    <w:rsid w:val="00953222"/>
    <w:rsid w:val="009532FB"/>
    <w:rsid w:val="009533D0"/>
    <w:rsid w:val="009533E2"/>
    <w:rsid w:val="0095348D"/>
    <w:rsid w:val="0095351B"/>
    <w:rsid w:val="0095386B"/>
    <w:rsid w:val="009538E5"/>
    <w:rsid w:val="00953A56"/>
    <w:rsid w:val="00953B2A"/>
    <w:rsid w:val="00953B9A"/>
    <w:rsid w:val="00953B9D"/>
    <w:rsid w:val="00953BA7"/>
    <w:rsid w:val="00953C38"/>
    <w:rsid w:val="00953F59"/>
    <w:rsid w:val="00953FBE"/>
    <w:rsid w:val="009540B7"/>
    <w:rsid w:val="009540BB"/>
    <w:rsid w:val="009540E8"/>
    <w:rsid w:val="00954165"/>
    <w:rsid w:val="009541EE"/>
    <w:rsid w:val="00954210"/>
    <w:rsid w:val="00954247"/>
    <w:rsid w:val="00954251"/>
    <w:rsid w:val="00954368"/>
    <w:rsid w:val="00954387"/>
    <w:rsid w:val="0095442D"/>
    <w:rsid w:val="009544A5"/>
    <w:rsid w:val="0095453F"/>
    <w:rsid w:val="00954557"/>
    <w:rsid w:val="009546AF"/>
    <w:rsid w:val="009546BC"/>
    <w:rsid w:val="00954744"/>
    <w:rsid w:val="00954821"/>
    <w:rsid w:val="0095484F"/>
    <w:rsid w:val="00954911"/>
    <w:rsid w:val="00954C78"/>
    <w:rsid w:val="00954C9A"/>
    <w:rsid w:val="00954CEE"/>
    <w:rsid w:val="00954EA1"/>
    <w:rsid w:val="00954EE1"/>
    <w:rsid w:val="00954F3F"/>
    <w:rsid w:val="0095500F"/>
    <w:rsid w:val="0095503C"/>
    <w:rsid w:val="00955089"/>
    <w:rsid w:val="00955458"/>
    <w:rsid w:val="0095553E"/>
    <w:rsid w:val="00955661"/>
    <w:rsid w:val="009557D4"/>
    <w:rsid w:val="009557DB"/>
    <w:rsid w:val="00955868"/>
    <w:rsid w:val="00955905"/>
    <w:rsid w:val="00955B0C"/>
    <w:rsid w:val="00955B1C"/>
    <w:rsid w:val="00955B9E"/>
    <w:rsid w:val="00955C8E"/>
    <w:rsid w:val="00955C9B"/>
    <w:rsid w:val="00955DB9"/>
    <w:rsid w:val="00955E23"/>
    <w:rsid w:val="00955F6E"/>
    <w:rsid w:val="009562E4"/>
    <w:rsid w:val="00956368"/>
    <w:rsid w:val="0095639B"/>
    <w:rsid w:val="00956484"/>
    <w:rsid w:val="00956527"/>
    <w:rsid w:val="00956568"/>
    <w:rsid w:val="0095661D"/>
    <w:rsid w:val="0095663D"/>
    <w:rsid w:val="00956664"/>
    <w:rsid w:val="009566A5"/>
    <w:rsid w:val="0095673E"/>
    <w:rsid w:val="009568A8"/>
    <w:rsid w:val="00956A9E"/>
    <w:rsid w:val="00956AC1"/>
    <w:rsid w:val="00956ADC"/>
    <w:rsid w:val="00956AE7"/>
    <w:rsid w:val="00956C04"/>
    <w:rsid w:val="00956C95"/>
    <w:rsid w:val="00956CB2"/>
    <w:rsid w:val="00956D95"/>
    <w:rsid w:val="00956EE3"/>
    <w:rsid w:val="00956EFD"/>
    <w:rsid w:val="00956F71"/>
    <w:rsid w:val="00957116"/>
    <w:rsid w:val="00957192"/>
    <w:rsid w:val="009571D3"/>
    <w:rsid w:val="00957328"/>
    <w:rsid w:val="0095735A"/>
    <w:rsid w:val="009574CD"/>
    <w:rsid w:val="009574DA"/>
    <w:rsid w:val="00957535"/>
    <w:rsid w:val="009575E2"/>
    <w:rsid w:val="00957676"/>
    <w:rsid w:val="009576A9"/>
    <w:rsid w:val="0095771E"/>
    <w:rsid w:val="009577D5"/>
    <w:rsid w:val="00957917"/>
    <w:rsid w:val="00957A8A"/>
    <w:rsid w:val="00957B54"/>
    <w:rsid w:val="00957BA5"/>
    <w:rsid w:val="00957BDE"/>
    <w:rsid w:val="00957BF2"/>
    <w:rsid w:val="00957C6D"/>
    <w:rsid w:val="00957D8D"/>
    <w:rsid w:val="00957E99"/>
    <w:rsid w:val="00957FD3"/>
    <w:rsid w:val="00960051"/>
    <w:rsid w:val="0096007D"/>
    <w:rsid w:val="00960275"/>
    <w:rsid w:val="0096028C"/>
    <w:rsid w:val="009602D7"/>
    <w:rsid w:val="00960344"/>
    <w:rsid w:val="009603A8"/>
    <w:rsid w:val="00960485"/>
    <w:rsid w:val="00960541"/>
    <w:rsid w:val="009605B9"/>
    <w:rsid w:val="00960689"/>
    <w:rsid w:val="009607D2"/>
    <w:rsid w:val="009607D8"/>
    <w:rsid w:val="0096083D"/>
    <w:rsid w:val="0096087E"/>
    <w:rsid w:val="009609B4"/>
    <w:rsid w:val="00960A93"/>
    <w:rsid w:val="00960AA0"/>
    <w:rsid w:val="00960B79"/>
    <w:rsid w:val="00960BA5"/>
    <w:rsid w:val="00960BB4"/>
    <w:rsid w:val="00960C21"/>
    <w:rsid w:val="00960C94"/>
    <w:rsid w:val="00960D0E"/>
    <w:rsid w:val="00960DAE"/>
    <w:rsid w:val="00960E8A"/>
    <w:rsid w:val="00960F24"/>
    <w:rsid w:val="0096103E"/>
    <w:rsid w:val="00961105"/>
    <w:rsid w:val="0096136C"/>
    <w:rsid w:val="00961385"/>
    <w:rsid w:val="009614C2"/>
    <w:rsid w:val="0096154E"/>
    <w:rsid w:val="009615F6"/>
    <w:rsid w:val="0096165C"/>
    <w:rsid w:val="00961785"/>
    <w:rsid w:val="0096178A"/>
    <w:rsid w:val="009617B3"/>
    <w:rsid w:val="0096183A"/>
    <w:rsid w:val="00961916"/>
    <w:rsid w:val="00961A1B"/>
    <w:rsid w:val="00961A2D"/>
    <w:rsid w:val="00961A42"/>
    <w:rsid w:val="00961BC0"/>
    <w:rsid w:val="00961C2C"/>
    <w:rsid w:val="00961C7F"/>
    <w:rsid w:val="00961DC8"/>
    <w:rsid w:val="00961E9F"/>
    <w:rsid w:val="00961EDD"/>
    <w:rsid w:val="00961EF3"/>
    <w:rsid w:val="00961F8D"/>
    <w:rsid w:val="0096200D"/>
    <w:rsid w:val="00962228"/>
    <w:rsid w:val="0096226C"/>
    <w:rsid w:val="0096238D"/>
    <w:rsid w:val="0096245D"/>
    <w:rsid w:val="0096247B"/>
    <w:rsid w:val="009625F8"/>
    <w:rsid w:val="00962602"/>
    <w:rsid w:val="0096262C"/>
    <w:rsid w:val="009626AC"/>
    <w:rsid w:val="0096271D"/>
    <w:rsid w:val="0096272C"/>
    <w:rsid w:val="00962750"/>
    <w:rsid w:val="00962784"/>
    <w:rsid w:val="0096279A"/>
    <w:rsid w:val="00962866"/>
    <w:rsid w:val="009628A8"/>
    <w:rsid w:val="009629F2"/>
    <w:rsid w:val="00962A90"/>
    <w:rsid w:val="00962AEC"/>
    <w:rsid w:val="00962B46"/>
    <w:rsid w:val="00962C25"/>
    <w:rsid w:val="00962DB9"/>
    <w:rsid w:val="00962DC2"/>
    <w:rsid w:val="00962E02"/>
    <w:rsid w:val="00962E0B"/>
    <w:rsid w:val="00962E9C"/>
    <w:rsid w:val="00962F46"/>
    <w:rsid w:val="00963132"/>
    <w:rsid w:val="0096317D"/>
    <w:rsid w:val="0096322C"/>
    <w:rsid w:val="009632D2"/>
    <w:rsid w:val="009633AC"/>
    <w:rsid w:val="009633CA"/>
    <w:rsid w:val="00963567"/>
    <w:rsid w:val="0096361A"/>
    <w:rsid w:val="0096367C"/>
    <w:rsid w:val="00963B04"/>
    <w:rsid w:val="00963E1F"/>
    <w:rsid w:val="00963F68"/>
    <w:rsid w:val="00963F75"/>
    <w:rsid w:val="00963FF7"/>
    <w:rsid w:val="00964088"/>
    <w:rsid w:val="0096410D"/>
    <w:rsid w:val="00964149"/>
    <w:rsid w:val="009641ED"/>
    <w:rsid w:val="0096424C"/>
    <w:rsid w:val="0096438F"/>
    <w:rsid w:val="009643F7"/>
    <w:rsid w:val="0096451F"/>
    <w:rsid w:val="00964544"/>
    <w:rsid w:val="00964661"/>
    <w:rsid w:val="009646CB"/>
    <w:rsid w:val="009648E9"/>
    <w:rsid w:val="009649B1"/>
    <w:rsid w:val="00964A41"/>
    <w:rsid w:val="00964A6B"/>
    <w:rsid w:val="00964A9F"/>
    <w:rsid w:val="00964AD1"/>
    <w:rsid w:val="00964C0C"/>
    <w:rsid w:val="00964C76"/>
    <w:rsid w:val="00964CBE"/>
    <w:rsid w:val="00964D1A"/>
    <w:rsid w:val="00964D8A"/>
    <w:rsid w:val="00964D93"/>
    <w:rsid w:val="00964F7E"/>
    <w:rsid w:val="00965000"/>
    <w:rsid w:val="00965021"/>
    <w:rsid w:val="00965075"/>
    <w:rsid w:val="009650C2"/>
    <w:rsid w:val="0096514A"/>
    <w:rsid w:val="009651B1"/>
    <w:rsid w:val="009651D6"/>
    <w:rsid w:val="009654CF"/>
    <w:rsid w:val="0096556D"/>
    <w:rsid w:val="009655E6"/>
    <w:rsid w:val="00965663"/>
    <w:rsid w:val="00965771"/>
    <w:rsid w:val="00965836"/>
    <w:rsid w:val="0096586E"/>
    <w:rsid w:val="0096596B"/>
    <w:rsid w:val="00965A7E"/>
    <w:rsid w:val="00965C38"/>
    <w:rsid w:val="00965C8C"/>
    <w:rsid w:val="00965CBE"/>
    <w:rsid w:val="00965D85"/>
    <w:rsid w:val="00965EC6"/>
    <w:rsid w:val="00965EE6"/>
    <w:rsid w:val="00965EF7"/>
    <w:rsid w:val="00965F61"/>
    <w:rsid w:val="0096621D"/>
    <w:rsid w:val="00966239"/>
    <w:rsid w:val="009662E2"/>
    <w:rsid w:val="009664AC"/>
    <w:rsid w:val="00966547"/>
    <w:rsid w:val="009665F6"/>
    <w:rsid w:val="0096661B"/>
    <w:rsid w:val="0096675E"/>
    <w:rsid w:val="00966851"/>
    <w:rsid w:val="00966A25"/>
    <w:rsid w:val="00966A39"/>
    <w:rsid w:val="00966A41"/>
    <w:rsid w:val="00966A5A"/>
    <w:rsid w:val="00966ACB"/>
    <w:rsid w:val="00966B78"/>
    <w:rsid w:val="00966BA6"/>
    <w:rsid w:val="00966BE6"/>
    <w:rsid w:val="00966CC9"/>
    <w:rsid w:val="00966D1E"/>
    <w:rsid w:val="00966FDB"/>
    <w:rsid w:val="00967003"/>
    <w:rsid w:val="0096700D"/>
    <w:rsid w:val="00967148"/>
    <w:rsid w:val="0096717E"/>
    <w:rsid w:val="009671BF"/>
    <w:rsid w:val="009672A6"/>
    <w:rsid w:val="009672E2"/>
    <w:rsid w:val="00967388"/>
    <w:rsid w:val="009673AD"/>
    <w:rsid w:val="009673E7"/>
    <w:rsid w:val="00967426"/>
    <w:rsid w:val="009674F0"/>
    <w:rsid w:val="009675D9"/>
    <w:rsid w:val="00967746"/>
    <w:rsid w:val="009677B1"/>
    <w:rsid w:val="00967860"/>
    <w:rsid w:val="009679D4"/>
    <w:rsid w:val="009679F5"/>
    <w:rsid w:val="009679FC"/>
    <w:rsid w:val="00967A05"/>
    <w:rsid w:val="00967A2B"/>
    <w:rsid w:val="00967A4B"/>
    <w:rsid w:val="00967B70"/>
    <w:rsid w:val="00967BA3"/>
    <w:rsid w:val="00967CBE"/>
    <w:rsid w:val="00967E16"/>
    <w:rsid w:val="00967F07"/>
    <w:rsid w:val="00967F5E"/>
    <w:rsid w:val="00967FC0"/>
    <w:rsid w:val="0097001A"/>
    <w:rsid w:val="00970062"/>
    <w:rsid w:val="00970101"/>
    <w:rsid w:val="009701D4"/>
    <w:rsid w:val="00970259"/>
    <w:rsid w:val="0097028C"/>
    <w:rsid w:val="009702DC"/>
    <w:rsid w:val="0097032C"/>
    <w:rsid w:val="009703D2"/>
    <w:rsid w:val="00970449"/>
    <w:rsid w:val="009704B8"/>
    <w:rsid w:val="00970630"/>
    <w:rsid w:val="00970682"/>
    <w:rsid w:val="00970698"/>
    <w:rsid w:val="009708C6"/>
    <w:rsid w:val="009708CE"/>
    <w:rsid w:val="0097092F"/>
    <w:rsid w:val="009709E6"/>
    <w:rsid w:val="00970B2C"/>
    <w:rsid w:val="00970C92"/>
    <w:rsid w:val="00970CCB"/>
    <w:rsid w:val="00970D25"/>
    <w:rsid w:val="00970DBA"/>
    <w:rsid w:val="00970DBD"/>
    <w:rsid w:val="00970DD4"/>
    <w:rsid w:val="00970E8B"/>
    <w:rsid w:val="00970E98"/>
    <w:rsid w:val="00970F64"/>
    <w:rsid w:val="00970F81"/>
    <w:rsid w:val="00970FFD"/>
    <w:rsid w:val="0097108F"/>
    <w:rsid w:val="0097117D"/>
    <w:rsid w:val="009712C0"/>
    <w:rsid w:val="00971437"/>
    <w:rsid w:val="0097148E"/>
    <w:rsid w:val="00971496"/>
    <w:rsid w:val="009714C1"/>
    <w:rsid w:val="00971677"/>
    <w:rsid w:val="009716E4"/>
    <w:rsid w:val="009717C8"/>
    <w:rsid w:val="00971850"/>
    <w:rsid w:val="009718D6"/>
    <w:rsid w:val="0097192A"/>
    <w:rsid w:val="00971972"/>
    <w:rsid w:val="009719F4"/>
    <w:rsid w:val="00971A95"/>
    <w:rsid w:val="00971B26"/>
    <w:rsid w:val="00971CFF"/>
    <w:rsid w:val="00971D47"/>
    <w:rsid w:val="00971D55"/>
    <w:rsid w:val="00971E04"/>
    <w:rsid w:val="00971E82"/>
    <w:rsid w:val="00972370"/>
    <w:rsid w:val="00972484"/>
    <w:rsid w:val="0097249A"/>
    <w:rsid w:val="009725DE"/>
    <w:rsid w:val="0097278F"/>
    <w:rsid w:val="009727E2"/>
    <w:rsid w:val="009727F0"/>
    <w:rsid w:val="009728DC"/>
    <w:rsid w:val="0097296A"/>
    <w:rsid w:val="00972985"/>
    <w:rsid w:val="009729B0"/>
    <w:rsid w:val="00972A43"/>
    <w:rsid w:val="00972A60"/>
    <w:rsid w:val="00972B06"/>
    <w:rsid w:val="00972DF4"/>
    <w:rsid w:val="00972E3E"/>
    <w:rsid w:val="00972E99"/>
    <w:rsid w:val="00972E9F"/>
    <w:rsid w:val="00972EAA"/>
    <w:rsid w:val="00972FEC"/>
    <w:rsid w:val="009730FC"/>
    <w:rsid w:val="00973102"/>
    <w:rsid w:val="00973157"/>
    <w:rsid w:val="009731E6"/>
    <w:rsid w:val="0097329E"/>
    <w:rsid w:val="00973312"/>
    <w:rsid w:val="009733CA"/>
    <w:rsid w:val="009733DE"/>
    <w:rsid w:val="009733F0"/>
    <w:rsid w:val="00973553"/>
    <w:rsid w:val="00973582"/>
    <w:rsid w:val="009735F5"/>
    <w:rsid w:val="0097369A"/>
    <w:rsid w:val="009737EF"/>
    <w:rsid w:val="009738DA"/>
    <w:rsid w:val="0097396B"/>
    <w:rsid w:val="009739D2"/>
    <w:rsid w:val="00973AD1"/>
    <w:rsid w:val="00973B58"/>
    <w:rsid w:val="00973BB7"/>
    <w:rsid w:val="00973BE0"/>
    <w:rsid w:val="00973C6E"/>
    <w:rsid w:val="00973D30"/>
    <w:rsid w:val="00973DBD"/>
    <w:rsid w:val="00973E3D"/>
    <w:rsid w:val="00973EC1"/>
    <w:rsid w:val="00974047"/>
    <w:rsid w:val="0097408B"/>
    <w:rsid w:val="009741A5"/>
    <w:rsid w:val="00974215"/>
    <w:rsid w:val="0097421C"/>
    <w:rsid w:val="00974220"/>
    <w:rsid w:val="009744A1"/>
    <w:rsid w:val="009744B7"/>
    <w:rsid w:val="00974530"/>
    <w:rsid w:val="009745AC"/>
    <w:rsid w:val="0097461D"/>
    <w:rsid w:val="00974641"/>
    <w:rsid w:val="00974642"/>
    <w:rsid w:val="00974661"/>
    <w:rsid w:val="00974688"/>
    <w:rsid w:val="00974735"/>
    <w:rsid w:val="00974782"/>
    <w:rsid w:val="00974840"/>
    <w:rsid w:val="009748C1"/>
    <w:rsid w:val="00974982"/>
    <w:rsid w:val="0097498B"/>
    <w:rsid w:val="009749A8"/>
    <w:rsid w:val="009749EC"/>
    <w:rsid w:val="00974A97"/>
    <w:rsid w:val="00974AB7"/>
    <w:rsid w:val="00974B0A"/>
    <w:rsid w:val="00974B9C"/>
    <w:rsid w:val="00974BE9"/>
    <w:rsid w:val="00974D6E"/>
    <w:rsid w:val="00974E83"/>
    <w:rsid w:val="00974FE9"/>
    <w:rsid w:val="0097513E"/>
    <w:rsid w:val="0097516A"/>
    <w:rsid w:val="00975250"/>
    <w:rsid w:val="0097529B"/>
    <w:rsid w:val="009752E9"/>
    <w:rsid w:val="00975312"/>
    <w:rsid w:val="00975370"/>
    <w:rsid w:val="00975455"/>
    <w:rsid w:val="00975470"/>
    <w:rsid w:val="009755F5"/>
    <w:rsid w:val="00975634"/>
    <w:rsid w:val="00975637"/>
    <w:rsid w:val="00975665"/>
    <w:rsid w:val="009757E8"/>
    <w:rsid w:val="0097586C"/>
    <w:rsid w:val="009759C2"/>
    <w:rsid w:val="00975A30"/>
    <w:rsid w:val="00975A46"/>
    <w:rsid w:val="00975A98"/>
    <w:rsid w:val="00975AAC"/>
    <w:rsid w:val="00975AD1"/>
    <w:rsid w:val="00975C32"/>
    <w:rsid w:val="00975DB9"/>
    <w:rsid w:val="00975DDC"/>
    <w:rsid w:val="00975E15"/>
    <w:rsid w:val="00975F28"/>
    <w:rsid w:val="00975FA5"/>
    <w:rsid w:val="00975FCB"/>
    <w:rsid w:val="009760F9"/>
    <w:rsid w:val="0097611D"/>
    <w:rsid w:val="00976396"/>
    <w:rsid w:val="009763DA"/>
    <w:rsid w:val="009763F9"/>
    <w:rsid w:val="0097649C"/>
    <w:rsid w:val="00976537"/>
    <w:rsid w:val="00976697"/>
    <w:rsid w:val="009766A9"/>
    <w:rsid w:val="0097675C"/>
    <w:rsid w:val="0097679A"/>
    <w:rsid w:val="009767BC"/>
    <w:rsid w:val="009767CD"/>
    <w:rsid w:val="009767F1"/>
    <w:rsid w:val="009768B0"/>
    <w:rsid w:val="009768E3"/>
    <w:rsid w:val="0097691A"/>
    <w:rsid w:val="009769CB"/>
    <w:rsid w:val="00976A41"/>
    <w:rsid w:val="00976AD7"/>
    <w:rsid w:val="00976C9E"/>
    <w:rsid w:val="00976CAA"/>
    <w:rsid w:val="00976D71"/>
    <w:rsid w:val="00976DE9"/>
    <w:rsid w:val="00976E67"/>
    <w:rsid w:val="00976E92"/>
    <w:rsid w:val="00976F82"/>
    <w:rsid w:val="00976FE2"/>
    <w:rsid w:val="00977020"/>
    <w:rsid w:val="00977142"/>
    <w:rsid w:val="00977200"/>
    <w:rsid w:val="0097720B"/>
    <w:rsid w:val="00977275"/>
    <w:rsid w:val="00977322"/>
    <w:rsid w:val="009773C7"/>
    <w:rsid w:val="009773D2"/>
    <w:rsid w:val="009774AD"/>
    <w:rsid w:val="009774C4"/>
    <w:rsid w:val="0097756C"/>
    <w:rsid w:val="009775A7"/>
    <w:rsid w:val="00977637"/>
    <w:rsid w:val="009776BF"/>
    <w:rsid w:val="00977719"/>
    <w:rsid w:val="009779CF"/>
    <w:rsid w:val="009779E5"/>
    <w:rsid w:val="00977B97"/>
    <w:rsid w:val="00977BCB"/>
    <w:rsid w:val="00977E47"/>
    <w:rsid w:val="0098001A"/>
    <w:rsid w:val="009800BA"/>
    <w:rsid w:val="009801B3"/>
    <w:rsid w:val="00980240"/>
    <w:rsid w:val="0098029B"/>
    <w:rsid w:val="00980348"/>
    <w:rsid w:val="00980408"/>
    <w:rsid w:val="00980594"/>
    <w:rsid w:val="009805C1"/>
    <w:rsid w:val="009806F8"/>
    <w:rsid w:val="00980757"/>
    <w:rsid w:val="0098076A"/>
    <w:rsid w:val="00980899"/>
    <w:rsid w:val="00980A30"/>
    <w:rsid w:val="00980A8D"/>
    <w:rsid w:val="00980AF6"/>
    <w:rsid w:val="00980C2B"/>
    <w:rsid w:val="00980D2B"/>
    <w:rsid w:val="00980D98"/>
    <w:rsid w:val="00980E0F"/>
    <w:rsid w:val="00980E69"/>
    <w:rsid w:val="00980F53"/>
    <w:rsid w:val="00981054"/>
    <w:rsid w:val="0098108B"/>
    <w:rsid w:val="009810E8"/>
    <w:rsid w:val="00981166"/>
    <w:rsid w:val="0098119D"/>
    <w:rsid w:val="009812AF"/>
    <w:rsid w:val="00981458"/>
    <w:rsid w:val="0098146D"/>
    <w:rsid w:val="00981503"/>
    <w:rsid w:val="00981587"/>
    <w:rsid w:val="009815CD"/>
    <w:rsid w:val="009815DB"/>
    <w:rsid w:val="00981634"/>
    <w:rsid w:val="0098164B"/>
    <w:rsid w:val="009816D5"/>
    <w:rsid w:val="009816FA"/>
    <w:rsid w:val="0098170E"/>
    <w:rsid w:val="00981740"/>
    <w:rsid w:val="009818A4"/>
    <w:rsid w:val="00981A04"/>
    <w:rsid w:val="00981A46"/>
    <w:rsid w:val="00981B18"/>
    <w:rsid w:val="00981B1D"/>
    <w:rsid w:val="00981CDA"/>
    <w:rsid w:val="00981DBD"/>
    <w:rsid w:val="00981DE7"/>
    <w:rsid w:val="00981E23"/>
    <w:rsid w:val="00981F2F"/>
    <w:rsid w:val="00981FBD"/>
    <w:rsid w:val="00981FEF"/>
    <w:rsid w:val="009820FF"/>
    <w:rsid w:val="009822A2"/>
    <w:rsid w:val="009822C9"/>
    <w:rsid w:val="009822F5"/>
    <w:rsid w:val="00982318"/>
    <w:rsid w:val="0098237B"/>
    <w:rsid w:val="009823EE"/>
    <w:rsid w:val="009823F2"/>
    <w:rsid w:val="00982420"/>
    <w:rsid w:val="009824CF"/>
    <w:rsid w:val="00982595"/>
    <w:rsid w:val="00982845"/>
    <w:rsid w:val="00982888"/>
    <w:rsid w:val="00982953"/>
    <w:rsid w:val="00982A66"/>
    <w:rsid w:val="00982BEA"/>
    <w:rsid w:val="00982CA4"/>
    <w:rsid w:val="00982CFF"/>
    <w:rsid w:val="00982D93"/>
    <w:rsid w:val="00982E2E"/>
    <w:rsid w:val="00982EE9"/>
    <w:rsid w:val="00982FE0"/>
    <w:rsid w:val="009831BE"/>
    <w:rsid w:val="009831FE"/>
    <w:rsid w:val="00983205"/>
    <w:rsid w:val="0098330F"/>
    <w:rsid w:val="00983317"/>
    <w:rsid w:val="0098337F"/>
    <w:rsid w:val="009834B0"/>
    <w:rsid w:val="009834D5"/>
    <w:rsid w:val="0098353D"/>
    <w:rsid w:val="009835C1"/>
    <w:rsid w:val="009835F3"/>
    <w:rsid w:val="0098369A"/>
    <w:rsid w:val="009836BB"/>
    <w:rsid w:val="00983830"/>
    <w:rsid w:val="0098386A"/>
    <w:rsid w:val="00983897"/>
    <w:rsid w:val="009838D9"/>
    <w:rsid w:val="009839C3"/>
    <w:rsid w:val="009839FB"/>
    <w:rsid w:val="00983B85"/>
    <w:rsid w:val="00983CB2"/>
    <w:rsid w:val="00983D07"/>
    <w:rsid w:val="00983D7C"/>
    <w:rsid w:val="00983E1C"/>
    <w:rsid w:val="00983E2F"/>
    <w:rsid w:val="00983EA7"/>
    <w:rsid w:val="00983EDD"/>
    <w:rsid w:val="00984028"/>
    <w:rsid w:val="00984113"/>
    <w:rsid w:val="0098416A"/>
    <w:rsid w:val="009841B0"/>
    <w:rsid w:val="0098423B"/>
    <w:rsid w:val="00984385"/>
    <w:rsid w:val="00984389"/>
    <w:rsid w:val="009843DA"/>
    <w:rsid w:val="00984635"/>
    <w:rsid w:val="009848FA"/>
    <w:rsid w:val="0098495C"/>
    <w:rsid w:val="009849FD"/>
    <w:rsid w:val="00984A45"/>
    <w:rsid w:val="00984BC6"/>
    <w:rsid w:val="00984C3B"/>
    <w:rsid w:val="00984C6C"/>
    <w:rsid w:val="00984D78"/>
    <w:rsid w:val="00984F33"/>
    <w:rsid w:val="00985029"/>
    <w:rsid w:val="00985154"/>
    <w:rsid w:val="009851AE"/>
    <w:rsid w:val="009851C1"/>
    <w:rsid w:val="009851DA"/>
    <w:rsid w:val="009852B9"/>
    <w:rsid w:val="009853CE"/>
    <w:rsid w:val="009853EF"/>
    <w:rsid w:val="00985405"/>
    <w:rsid w:val="009854B8"/>
    <w:rsid w:val="0098573D"/>
    <w:rsid w:val="009857DD"/>
    <w:rsid w:val="00985897"/>
    <w:rsid w:val="0098589D"/>
    <w:rsid w:val="009858FD"/>
    <w:rsid w:val="0098593F"/>
    <w:rsid w:val="009859E1"/>
    <w:rsid w:val="00985A1C"/>
    <w:rsid w:val="00985AD6"/>
    <w:rsid w:val="00985BC6"/>
    <w:rsid w:val="00985BCC"/>
    <w:rsid w:val="00985C72"/>
    <w:rsid w:val="00985CE3"/>
    <w:rsid w:val="00985CEB"/>
    <w:rsid w:val="00985D2B"/>
    <w:rsid w:val="00985D8B"/>
    <w:rsid w:val="00985F5A"/>
    <w:rsid w:val="00985FA7"/>
    <w:rsid w:val="00985FAD"/>
    <w:rsid w:val="00985FD7"/>
    <w:rsid w:val="009860A4"/>
    <w:rsid w:val="009860FC"/>
    <w:rsid w:val="0098612B"/>
    <w:rsid w:val="00986153"/>
    <w:rsid w:val="00986168"/>
    <w:rsid w:val="009861E4"/>
    <w:rsid w:val="00986336"/>
    <w:rsid w:val="009864EE"/>
    <w:rsid w:val="009864F7"/>
    <w:rsid w:val="009864FE"/>
    <w:rsid w:val="00986512"/>
    <w:rsid w:val="00986553"/>
    <w:rsid w:val="00986597"/>
    <w:rsid w:val="009865B2"/>
    <w:rsid w:val="0098672D"/>
    <w:rsid w:val="00986761"/>
    <w:rsid w:val="0098676A"/>
    <w:rsid w:val="0098684E"/>
    <w:rsid w:val="0098687F"/>
    <w:rsid w:val="00986915"/>
    <w:rsid w:val="00986955"/>
    <w:rsid w:val="0098696E"/>
    <w:rsid w:val="00986A61"/>
    <w:rsid w:val="00986BED"/>
    <w:rsid w:val="00986D44"/>
    <w:rsid w:val="00986DC8"/>
    <w:rsid w:val="00986ED0"/>
    <w:rsid w:val="00986F10"/>
    <w:rsid w:val="00986F49"/>
    <w:rsid w:val="00986F87"/>
    <w:rsid w:val="00987049"/>
    <w:rsid w:val="00987071"/>
    <w:rsid w:val="009870AB"/>
    <w:rsid w:val="009870D3"/>
    <w:rsid w:val="009870D7"/>
    <w:rsid w:val="0098712D"/>
    <w:rsid w:val="00987269"/>
    <w:rsid w:val="00987369"/>
    <w:rsid w:val="00987386"/>
    <w:rsid w:val="0098738D"/>
    <w:rsid w:val="009874BE"/>
    <w:rsid w:val="00987669"/>
    <w:rsid w:val="0098769C"/>
    <w:rsid w:val="009876D9"/>
    <w:rsid w:val="00987776"/>
    <w:rsid w:val="009878A4"/>
    <w:rsid w:val="009878F6"/>
    <w:rsid w:val="00987A87"/>
    <w:rsid w:val="00987B66"/>
    <w:rsid w:val="00987C55"/>
    <w:rsid w:val="00987CB2"/>
    <w:rsid w:val="00987CD5"/>
    <w:rsid w:val="00987D8A"/>
    <w:rsid w:val="00987E53"/>
    <w:rsid w:val="00987F6D"/>
    <w:rsid w:val="00987F8A"/>
    <w:rsid w:val="00990167"/>
    <w:rsid w:val="009902E0"/>
    <w:rsid w:val="0099038A"/>
    <w:rsid w:val="0099043B"/>
    <w:rsid w:val="00990463"/>
    <w:rsid w:val="0099046E"/>
    <w:rsid w:val="00990486"/>
    <w:rsid w:val="00990492"/>
    <w:rsid w:val="009904AC"/>
    <w:rsid w:val="00990501"/>
    <w:rsid w:val="009905AB"/>
    <w:rsid w:val="009905C9"/>
    <w:rsid w:val="00990651"/>
    <w:rsid w:val="00990748"/>
    <w:rsid w:val="00990803"/>
    <w:rsid w:val="00990850"/>
    <w:rsid w:val="0099089D"/>
    <w:rsid w:val="009908C8"/>
    <w:rsid w:val="0099095B"/>
    <w:rsid w:val="0099095F"/>
    <w:rsid w:val="0099097A"/>
    <w:rsid w:val="0099098A"/>
    <w:rsid w:val="009909FC"/>
    <w:rsid w:val="00990BB2"/>
    <w:rsid w:val="00990CAA"/>
    <w:rsid w:val="00990CCD"/>
    <w:rsid w:val="00990CE6"/>
    <w:rsid w:val="00990ED1"/>
    <w:rsid w:val="00990F14"/>
    <w:rsid w:val="00990F8A"/>
    <w:rsid w:val="00990FD4"/>
    <w:rsid w:val="0099112D"/>
    <w:rsid w:val="0099118A"/>
    <w:rsid w:val="009911A8"/>
    <w:rsid w:val="0099124A"/>
    <w:rsid w:val="00991274"/>
    <w:rsid w:val="00991482"/>
    <w:rsid w:val="00991527"/>
    <w:rsid w:val="009915A8"/>
    <w:rsid w:val="00991668"/>
    <w:rsid w:val="009918CE"/>
    <w:rsid w:val="009918F9"/>
    <w:rsid w:val="00991954"/>
    <w:rsid w:val="009919A0"/>
    <w:rsid w:val="009919FA"/>
    <w:rsid w:val="00991A16"/>
    <w:rsid w:val="00991BB7"/>
    <w:rsid w:val="00991BEC"/>
    <w:rsid w:val="00991C13"/>
    <w:rsid w:val="00991C21"/>
    <w:rsid w:val="00991C3E"/>
    <w:rsid w:val="00991C4E"/>
    <w:rsid w:val="00991C8B"/>
    <w:rsid w:val="00991CCF"/>
    <w:rsid w:val="00991D65"/>
    <w:rsid w:val="00991E3B"/>
    <w:rsid w:val="00991EFB"/>
    <w:rsid w:val="00991FB9"/>
    <w:rsid w:val="00992036"/>
    <w:rsid w:val="00992094"/>
    <w:rsid w:val="009920DA"/>
    <w:rsid w:val="00992143"/>
    <w:rsid w:val="009921DF"/>
    <w:rsid w:val="0099221C"/>
    <w:rsid w:val="00992296"/>
    <w:rsid w:val="00992345"/>
    <w:rsid w:val="00992377"/>
    <w:rsid w:val="009924C8"/>
    <w:rsid w:val="009924E5"/>
    <w:rsid w:val="00992510"/>
    <w:rsid w:val="009925DF"/>
    <w:rsid w:val="009925EB"/>
    <w:rsid w:val="00992629"/>
    <w:rsid w:val="0099263F"/>
    <w:rsid w:val="0099278C"/>
    <w:rsid w:val="009927C1"/>
    <w:rsid w:val="009927E0"/>
    <w:rsid w:val="00992840"/>
    <w:rsid w:val="009928B6"/>
    <w:rsid w:val="00992915"/>
    <w:rsid w:val="009929AA"/>
    <w:rsid w:val="00992AFF"/>
    <w:rsid w:val="00992D0E"/>
    <w:rsid w:val="00992D52"/>
    <w:rsid w:val="00992D69"/>
    <w:rsid w:val="00992D87"/>
    <w:rsid w:val="00992F26"/>
    <w:rsid w:val="00992FBA"/>
    <w:rsid w:val="009931AE"/>
    <w:rsid w:val="009931B5"/>
    <w:rsid w:val="00993202"/>
    <w:rsid w:val="00993206"/>
    <w:rsid w:val="00993218"/>
    <w:rsid w:val="00993311"/>
    <w:rsid w:val="0099337C"/>
    <w:rsid w:val="00993561"/>
    <w:rsid w:val="0099379C"/>
    <w:rsid w:val="009937EC"/>
    <w:rsid w:val="00993840"/>
    <w:rsid w:val="0099386B"/>
    <w:rsid w:val="0099393B"/>
    <w:rsid w:val="009939FD"/>
    <w:rsid w:val="00993ADF"/>
    <w:rsid w:val="00993BF0"/>
    <w:rsid w:val="00993DC2"/>
    <w:rsid w:val="00993ECC"/>
    <w:rsid w:val="00993F3C"/>
    <w:rsid w:val="00993FF6"/>
    <w:rsid w:val="009940E9"/>
    <w:rsid w:val="009941EC"/>
    <w:rsid w:val="009942EC"/>
    <w:rsid w:val="009944C0"/>
    <w:rsid w:val="009944CF"/>
    <w:rsid w:val="00994886"/>
    <w:rsid w:val="00994ACA"/>
    <w:rsid w:val="00994ADE"/>
    <w:rsid w:val="00994C2B"/>
    <w:rsid w:val="00994C36"/>
    <w:rsid w:val="00994CAD"/>
    <w:rsid w:val="00994D43"/>
    <w:rsid w:val="00994DBF"/>
    <w:rsid w:val="00994DCD"/>
    <w:rsid w:val="00994EF1"/>
    <w:rsid w:val="00994FD0"/>
    <w:rsid w:val="00994FDC"/>
    <w:rsid w:val="00995137"/>
    <w:rsid w:val="00995175"/>
    <w:rsid w:val="00995176"/>
    <w:rsid w:val="009953BF"/>
    <w:rsid w:val="00995408"/>
    <w:rsid w:val="0099542C"/>
    <w:rsid w:val="0099545D"/>
    <w:rsid w:val="009954B2"/>
    <w:rsid w:val="009954EC"/>
    <w:rsid w:val="009955FC"/>
    <w:rsid w:val="00995659"/>
    <w:rsid w:val="009956C8"/>
    <w:rsid w:val="00995A29"/>
    <w:rsid w:val="00995ADD"/>
    <w:rsid w:val="00995B82"/>
    <w:rsid w:val="00995C32"/>
    <w:rsid w:val="00995DA9"/>
    <w:rsid w:val="00995DE1"/>
    <w:rsid w:val="00995E70"/>
    <w:rsid w:val="00995E8A"/>
    <w:rsid w:val="00995F5B"/>
    <w:rsid w:val="0099602E"/>
    <w:rsid w:val="0099608F"/>
    <w:rsid w:val="0099620C"/>
    <w:rsid w:val="009962DA"/>
    <w:rsid w:val="0099630D"/>
    <w:rsid w:val="009963E0"/>
    <w:rsid w:val="009964B2"/>
    <w:rsid w:val="009964BF"/>
    <w:rsid w:val="00996511"/>
    <w:rsid w:val="009965CB"/>
    <w:rsid w:val="009965CE"/>
    <w:rsid w:val="00996639"/>
    <w:rsid w:val="00996658"/>
    <w:rsid w:val="00996697"/>
    <w:rsid w:val="009968D6"/>
    <w:rsid w:val="009968F6"/>
    <w:rsid w:val="009969D9"/>
    <w:rsid w:val="009969E5"/>
    <w:rsid w:val="00996A4A"/>
    <w:rsid w:val="00996A4B"/>
    <w:rsid w:val="00996A5A"/>
    <w:rsid w:val="00996AF6"/>
    <w:rsid w:val="00996C38"/>
    <w:rsid w:val="00996E1A"/>
    <w:rsid w:val="00996E5A"/>
    <w:rsid w:val="00996E7B"/>
    <w:rsid w:val="00996F5C"/>
    <w:rsid w:val="00996FE5"/>
    <w:rsid w:val="00997020"/>
    <w:rsid w:val="00997042"/>
    <w:rsid w:val="0099708C"/>
    <w:rsid w:val="00997092"/>
    <w:rsid w:val="009970E5"/>
    <w:rsid w:val="00997119"/>
    <w:rsid w:val="009972BC"/>
    <w:rsid w:val="0099736F"/>
    <w:rsid w:val="00997447"/>
    <w:rsid w:val="009974C2"/>
    <w:rsid w:val="00997573"/>
    <w:rsid w:val="0099763D"/>
    <w:rsid w:val="009976AE"/>
    <w:rsid w:val="009978CE"/>
    <w:rsid w:val="009978D1"/>
    <w:rsid w:val="00997923"/>
    <w:rsid w:val="0099792E"/>
    <w:rsid w:val="00997AB4"/>
    <w:rsid w:val="00997ACF"/>
    <w:rsid w:val="00997C90"/>
    <w:rsid w:val="00997C94"/>
    <w:rsid w:val="00997CA1"/>
    <w:rsid w:val="00997D25"/>
    <w:rsid w:val="00997DEB"/>
    <w:rsid w:val="00997E2E"/>
    <w:rsid w:val="00997F01"/>
    <w:rsid w:val="00997F67"/>
    <w:rsid w:val="00997FAC"/>
    <w:rsid w:val="009A0168"/>
    <w:rsid w:val="009A016E"/>
    <w:rsid w:val="009A0185"/>
    <w:rsid w:val="009A0300"/>
    <w:rsid w:val="009A0311"/>
    <w:rsid w:val="009A0334"/>
    <w:rsid w:val="009A0384"/>
    <w:rsid w:val="009A0551"/>
    <w:rsid w:val="009A06A0"/>
    <w:rsid w:val="009A0725"/>
    <w:rsid w:val="009A0896"/>
    <w:rsid w:val="009A08EA"/>
    <w:rsid w:val="009A0917"/>
    <w:rsid w:val="009A0AB3"/>
    <w:rsid w:val="009A0BC7"/>
    <w:rsid w:val="009A0C04"/>
    <w:rsid w:val="009A0C7F"/>
    <w:rsid w:val="009A0D39"/>
    <w:rsid w:val="009A0D9E"/>
    <w:rsid w:val="009A0F4D"/>
    <w:rsid w:val="009A0FFF"/>
    <w:rsid w:val="009A103D"/>
    <w:rsid w:val="009A103E"/>
    <w:rsid w:val="009A10E3"/>
    <w:rsid w:val="009A1103"/>
    <w:rsid w:val="009A1221"/>
    <w:rsid w:val="009A12F2"/>
    <w:rsid w:val="009A1393"/>
    <w:rsid w:val="009A15CC"/>
    <w:rsid w:val="009A1673"/>
    <w:rsid w:val="009A180F"/>
    <w:rsid w:val="009A194D"/>
    <w:rsid w:val="009A19C6"/>
    <w:rsid w:val="009A1A94"/>
    <w:rsid w:val="009A1B35"/>
    <w:rsid w:val="009A1C00"/>
    <w:rsid w:val="009A1C0C"/>
    <w:rsid w:val="009A1D7F"/>
    <w:rsid w:val="009A1DC6"/>
    <w:rsid w:val="009A1E65"/>
    <w:rsid w:val="009A1EED"/>
    <w:rsid w:val="009A1FF4"/>
    <w:rsid w:val="009A200E"/>
    <w:rsid w:val="009A20A2"/>
    <w:rsid w:val="009A2107"/>
    <w:rsid w:val="009A212C"/>
    <w:rsid w:val="009A212D"/>
    <w:rsid w:val="009A2190"/>
    <w:rsid w:val="009A22AB"/>
    <w:rsid w:val="009A22ED"/>
    <w:rsid w:val="009A22FC"/>
    <w:rsid w:val="009A2415"/>
    <w:rsid w:val="009A24A2"/>
    <w:rsid w:val="009A2524"/>
    <w:rsid w:val="009A259B"/>
    <w:rsid w:val="009A25D0"/>
    <w:rsid w:val="009A2641"/>
    <w:rsid w:val="009A277C"/>
    <w:rsid w:val="009A2824"/>
    <w:rsid w:val="009A295B"/>
    <w:rsid w:val="009A2960"/>
    <w:rsid w:val="009A2998"/>
    <w:rsid w:val="009A2A8A"/>
    <w:rsid w:val="009A2B14"/>
    <w:rsid w:val="009A2C04"/>
    <w:rsid w:val="009A2C3C"/>
    <w:rsid w:val="009A2CFD"/>
    <w:rsid w:val="009A2E55"/>
    <w:rsid w:val="009A2FEB"/>
    <w:rsid w:val="009A3102"/>
    <w:rsid w:val="009A3162"/>
    <w:rsid w:val="009A32BA"/>
    <w:rsid w:val="009A34B4"/>
    <w:rsid w:val="009A34F1"/>
    <w:rsid w:val="009A356A"/>
    <w:rsid w:val="009A3677"/>
    <w:rsid w:val="009A3781"/>
    <w:rsid w:val="009A386B"/>
    <w:rsid w:val="009A38EB"/>
    <w:rsid w:val="009A392B"/>
    <w:rsid w:val="009A3A5A"/>
    <w:rsid w:val="009A3B45"/>
    <w:rsid w:val="009A3B7D"/>
    <w:rsid w:val="009A3BCE"/>
    <w:rsid w:val="009A3C59"/>
    <w:rsid w:val="009A3D21"/>
    <w:rsid w:val="009A3D9D"/>
    <w:rsid w:val="009A3DE4"/>
    <w:rsid w:val="009A3DF1"/>
    <w:rsid w:val="009A3E89"/>
    <w:rsid w:val="009A3EBA"/>
    <w:rsid w:val="009A3FC7"/>
    <w:rsid w:val="009A40A1"/>
    <w:rsid w:val="009A4178"/>
    <w:rsid w:val="009A4182"/>
    <w:rsid w:val="009A41F4"/>
    <w:rsid w:val="009A43F7"/>
    <w:rsid w:val="009A44AA"/>
    <w:rsid w:val="009A47CD"/>
    <w:rsid w:val="009A47F5"/>
    <w:rsid w:val="009A482E"/>
    <w:rsid w:val="009A498F"/>
    <w:rsid w:val="009A4997"/>
    <w:rsid w:val="009A49A5"/>
    <w:rsid w:val="009A4B4E"/>
    <w:rsid w:val="009A4BDA"/>
    <w:rsid w:val="009A4C0D"/>
    <w:rsid w:val="009A4D5E"/>
    <w:rsid w:val="009A4E42"/>
    <w:rsid w:val="009A4EAB"/>
    <w:rsid w:val="009A4EB9"/>
    <w:rsid w:val="009A4FBE"/>
    <w:rsid w:val="009A514E"/>
    <w:rsid w:val="009A51D1"/>
    <w:rsid w:val="009A521F"/>
    <w:rsid w:val="009A5366"/>
    <w:rsid w:val="009A53AB"/>
    <w:rsid w:val="009A53FB"/>
    <w:rsid w:val="009A5483"/>
    <w:rsid w:val="009A55A5"/>
    <w:rsid w:val="009A55D3"/>
    <w:rsid w:val="009A55FB"/>
    <w:rsid w:val="009A5631"/>
    <w:rsid w:val="009A5702"/>
    <w:rsid w:val="009A57EF"/>
    <w:rsid w:val="009A57F6"/>
    <w:rsid w:val="009A5844"/>
    <w:rsid w:val="009A5866"/>
    <w:rsid w:val="009A588A"/>
    <w:rsid w:val="009A597F"/>
    <w:rsid w:val="009A5C41"/>
    <w:rsid w:val="009A5C82"/>
    <w:rsid w:val="009A5CE1"/>
    <w:rsid w:val="009A5CF8"/>
    <w:rsid w:val="009A5D09"/>
    <w:rsid w:val="009A5FB6"/>
    <w:rsid w:val="009A5FB8"/>
    <w:rsid w:val="009A5FE0"/>
    <w:rsid w:val="009A601C"/>
    <w:rsid w:val="009A6150"/>
    <w:rsid w:val="009A61A1"/>
    <w:rsid w:val="009A6257"/>
    <w:rsid w:val="009A62BC"/>
    <w:rsid w:val="009A62E2"/>
    <w:rsid w:val="009A6345"/>
    <w:rsid w:val="009A647C"/>
    <w:rsid w:val="009A64B5"/>
    <w:rsid w:val="009A65E5"/>
    <w:rsid w:val="009A664A"/>
    <w:rsid w:val="009A6662"/>
    <w:rsid w:val="009A672E"/>
    <w:rsid w:val="009A67A8"/>
    <w:rsid w:val="009A6828"/>
    <w:rsid w:val="009A6A58"/>
    <w:rsid w:val="009A6BF5"/>
    <w:rsid w:val="009A6C25"/>
    <w:rsid w:val="009A6C5D"/>
    <w:rsid w:val="009A6D0B"/>
    <w:rsid w:val="009A6D21"/>
    <w:rsid w:val="009A6D2D"/>
    <w:rsid w:val="009A6D30"/>
    <w:rsid w:val="009A6D3E"/>
    <w:rsid w:val="009A6D8B"/>
    <w:rsid w:val="009A6D94"/>
    <w:rsid w:val="009A6DA4"/>
    <w:rsid w:val="009A6E10"/>
    <w:rsid w:val="009A6E4D"/>
    <w:rsid w:val="009A6E6A"/>
    <w:rsid w:val="009A6ED8"/>
    <w:rsid w:val="009A6F52"/>
    <w:rsid w:val="009A70AA"/>
    <w:rsid w:val="009A70BB"/>
    <w:rsid w:val="009A7195"/>
    <w:rsid w:val="009A724D"/>
    <w:rsid w:val="009A72DB"/>
    <w:rsid w:val="009A73A0"/>
    <w:rsid w:val="009A73C4"/>
    <w:rsid w:val="009A73E0"/>
    <w:rsid w:val="009A743F"/>
    <w:rsid w:val="009A745E"/>
    <w:rsid w:val="009A74B1"/>
    <w:rsid w:val="009A7513"/>
    <w:rsid w:val="009A75EC"/>
    <w:rsid w:val="009A76F1"/>
    <w:rsid w:val="009A777B"/>
    <w:rsid w:val="009A7874"/>
    <w:rsid w:val="009A78D6"/>
    <w:rsid w:val="009A78F1"/>
    <w:rsid w:val="009A790D"/>
    <w:rsid w:val="009A7A10"/>
    <w:rsid w:val="009A7B2A"/>
    <w:rsid w:val="009A7B65"/>
    <w:rsid w:val="009A7C07"/>
    <w:rsid w:val="009A7C47"/>
    <w:rsid w:val="009A7CBF"/>
    <w:rsid w:val="009A7CC4"/>
    <w:rsid w:val="009A7CF8"/>
    <w:rsid w:val="009A7D76"/>
    <w:rsid w:val="009A7E25"/>
    <w:rsid w:val="009A7E70"/>
    <w:rsid w:val="009A7EE9"/>
    <w:rsid w:val="009B008C"/>
    <w:rsid w:val="009B00D8"/>
    <w:rsid w:val="009B0403"/>
    <w:rsid w:val="009B056D"/>
    <w:rsid w:val="009B0753"/>
    <w:rsid w:val="009B0798"/>
    <w:rsid w:val="009B07AC"/>
    <w:rsid w:val="009B07B1"/>
    <w:rsid w:val="009B07E2"/>
    <w:rsid w:val="009B0808"/>
    <w:rsid w:val="009B0824"/>
    <w:rsid w:val="009B093C"/>
    <w:rsid w:val="009B095A"/>
    <w:rsid w:val="009B0A26"/>
    <w:rsid w:val="009B0A36"/>
    <w:rsid w:val="009B0A54"/>
    <w:rsid w:val="009B0B22"/>
    <w:rsid w:val="009B0BB1"/>
    <w:rsid w:val="009B0BF7"/>
    <w:rsid w:val="009B0E71"/>
    <w:rsid w:val="009B0EF9"/>
    <w:rsid w:val="009B0EFD"/>
    <w:rsid w:val="009B0F0D"/>
    <w:rsid w:val="009B0F4B"/>
    <w:rsid w:val="009B0F8D"/>
    <w:rsid w:val="009B11C3"/>
    <w:rsid w:val="009B121C"/>
    <w:rsid w:val="009B12AA"/>
    <w:rsid w:val="009B1419"/>
    <w:rsid w:val="009B1478"/>
    <w:rsid w:val="009B149B"/>
    <w:rsid w:val="009B15AE"/>
    <w:rsid w:val="009B1636"/>
    <w:rsid w:val="009B16CC"/>
    <w:rsid w:val="009B16D7"/>
    <w:rsid w:val="009B17E2"/>
    <w:rsid w:val="009B188A"/>
    <w:rsid w:val="009B18C2"/>
    <w:rsid w:val="009B1948"/>
    <w:rsid w:val="009B1A2F"/>
    <w:rsid w:val="009B1CC2"/>
    <w:rsid w:val="009B1D6B"/>
    <w:rsid w:val="009B1DA0"/>
    <w:rsid w:val="009B1DC5"/>
    <w:rsid w:val="009B1DEB"/>
    <w:rsid w:val="009B1E4A"/>
    <w:rsid w:val="009B1F2F"/>
    <w:rsid w:val="009B1F61"/>
    <w:rsid w:val="009B1F87"/>
    <w:rsid w:val="009B1FFF"/>
    <w:rsid w:val="009B219C"/>
    <w:rsid w:val="009B2257"/>
    <w:rsid w:val="009B22D5"/>
    <w:rsid w:val="009B234D"/>
    <w:rsid w:val="009B239D"/>
    <w:rsid w:val="009B23E0"/>
    <w:rsid w:val="009B24FD"/>
    <w:rsid w:val="009B2657"/>
    <w:rsid w:val="009B2670"/>
    <w:rsid w:val="009B26E6"/>
    <w:rsid w:val="009B2793"/>
    <w:rsid w:val="009B28E7"/>
    <w:rsid w:val="009B2A8A"/>
    <w:rsid w:val="009B2B55"/>
    <w:rsid w:val="009B2C05"/>
    <w:rsid w:val="009B2C29"/>
    <w:rsid w:val="009B2C75"/>
    <w:rsid w:val="009B2CA9"/>
    <w:rsid w:val="009B2CC3"/>
    <w:rsid w:val="009B2D5A"/>
    <w:rsid w:val="009B2DA6"/>
    <w:rsid w:val="009B2E0A"/>
    <w:rsid w:val="009B2E7C"/>
    <w:rsid w:val="009B2EC7"/>
    <w:rsid w:val="009B2F42"/>
    <w:rsid w:val="009B2F6E"/>
    <w:rsid w:val="009B3032"/>
    <w:rsid w:val="009B30D7"/>
    <w:rsid w:val="009B3107"/>
    <w:rsid w:val="009B312C"/>
    <w:rsid w:val="009B314D"/>
    <w:rsid w:val="009B3184"/>
    <w:rsid w:val="009B32EC"/>
    <w:rsid w:val="009B3493"/>
    <w:rsid w:val="009B35EE"/>
    <w:rsid w:val="009B3602"/>
    <w:rsid w:val="009B36B4"/>
    <w:rsid w:val="009B3758"/>
    <w:rsid w:val="009B37DF"/>
    <w:rsid w:val="009B383E"/>
    <w:rsid w:val="009B396D"/>
    <w:rsid w:val="009B3998"/>
    <w:rsid w:val="009B3A5B"/>
    <w:rsid w:val="009B3A82"/>
    <w:rsid w:val="009B3BE2"/>
    <w:rsid w:val="009B3C75"/>
    <w:rsid w:val="009B3D6E"/>
    <w:rsid w:val="009B3E3E"/>
    <w:rsid w:val="009B3F80"/>
    <w:rsid w:val="009B3F81"/>
    <w:rsid w:val="009B3FA0"/>
    <w:rsid w:val="009B3FF2"/>
    <w:rsid w:val="009B402E"/>
    <w:rsid w:val="009B4059"/>
    <w:rsid w:val="009B4439"/>
    <w:rsid w:val="009B443C"/>
    <w:rsid w:val="009B447E"/>
    <w:rsid w:val="009B44DA"/>
    <w:rsid w:val="009B450C"/>
    <w:rsid w:val="009B456F"/>
    <w:rsid w:val="009B457C"/>
    <w:rsid w:val="009B463E"/>
    <w:rsid w:val="009B464E"/>
    <w:rsid w:val="009B46B4"/>
    <w:rsid w:val="009B46E7"/>
    <w:rsid w:val="009B47BD"/>
    <w:rsid w:val="009B480B"/>
    <w:rsid w:val="009B4823"/>
    <w:rsid w:val="009B4825"/>
    <w:rsid w:val="009B4939"/>
    <w:rsid w:val="009B4956"/>
    <w:rsid w:val="009B4AB4"/>
    <w:rsid w:val="009B4B50"/>
    <w:rsid w:val="009B4BDF"/>
    <w:rsid w:val="009B4C18"/>
    <w:rsid w:val="009B4E06"/>
    <w:rsid w:val="009B4E11"/>
    <w:rsid w:val="009B4E14"/>
    <w:rsid w:val="009B4E42"/>
    <w:rsid w:val="009B4E79"/>
    <w:rsid w:val="009B4E81"/>
    <w:rsid w:val="009B4E9C"/>
    <w:rsid w:val="009B4EA4"/>
    <w:rsid w:val="009B4EBC"/>
    <w:rsid w:val="009B4FC1"/>
    <w:rsid w:val="009B4FC7"/>
    <w:rsid w:val="009B51D7"/>
    <w:rsid w:val="009B5291"/>
    <w:rsid w:val="009B55BD"/>
    <w:rsid w:val="009B571C"/>
    <w:rsid w:val="009B57CE"/>
    <w:rsid w:val="009B5873"/>
    <w:rsid w:val="009B5905"/>
    <w:rsid w:val="009B59E3"/>
    <w:rsid w:val="009B5AA8"/>
    <w:rsid w:val="009B5B6B"/>
    <w:rsid w:val="009B5BCA"/>
    <w:rsid w:val="009B5BF3"/>
    <w:rsid w:val="009B5C1D"/>
    <w:rsid w:val="009B5C43"/>
    <w:rsid w:val="009B5C4E"/>
    <w:rsid w:val="009B5CC6"/>
    <w:rsid w:val="009B5DC1"/>
    <w:rsid w:val="009B5DC9"/>
    <w:rsid w:val="009B5DDA"/>
    <w:rsid w:val="009B5DE9"/>
    <w:rsid w:val="009B5ECD"/>
    <w:rsid w:val="009B5EE1"/>
    <w:rsid w:val="009B5F19"/>
    <w:rsid w:val="009B5FA7"/>
    <w:rsid w:val="009B5FD9"/>
    <w:rsid w:val="009B60EE"/>
    <w:rsid w:val="009B6180"/>
    <w:rsid w:val="009B618D"/>
    <w:rsid w:val="009B62F3"/>
    <w:rsid w:val="009B633C"/>
    <w:rsid w:val="009B63E8"/>
    <w:rsid w:val="009B6513"/>
    <w:rsid w:val="009B66FC"/>
    <w:rsid w:val="009B6786"/>
    <w:rsid w:val="009B67A1"/>
    <w:rsid w:val="009B681A"/>
    <w:rsid w:val="009B681F"/>
    <w:rsid w:val="009B6947"/>
    <w:rsid w:val="009B6BDC"/>
    <w:rsid w:val="009B6C38"/>
    <w:rsid w:val="009B6D87"/>
    <w:rsid w:val="009B6D9A"/>
    <w:rsid w:val="009B6DC4"/>
    <w:rsid w:val="009B6EF4"/>
    <w:rsid w:val="009B6FE1"/>
    <w:rsid w:val="009B707F"/>
    <w:rsid w:val="009B708E"/>
    <w:rsid w:val="009B70DE"/>
    <w:rsid w:val="009B71FD"/>
    <w:rsid w:val="009B72D8"/>
    <w:rsid w:val="009B7361"/>
    <w:rsid w:val="009B739A"/>
    <w:rsid w:val="009B73B0"/>
    <w:rsid w:val="009B7422"/>
    <w:rsid w:val="009B7443"/>
    <w:rsid w:val="009B7488"/>
    <w:rsid w:val="009B749C"/>
    <w:rsid w:val="009B74E6"/>
    <w:rsid w:val="009B7515"/>
    <w:rsid w:val="009B757F"/>
    <w:rsid w:val="009B7635"/>
    <w:rsid w:val="009B76C0"/>
    <w:rsid w:val="009B771C"/>
    <w:rsid w:val="009B7723"/>
    <w:rsid w:val="009B7751"/>
    <w:rsid w:val="009B77E0"/>
    <w:rsid w:val="009B781C"/>
    <w:rsid w:val="009B7825"/>
    <w:rsid w:val="009B7855"/>
    <w:rsid w:val="009B7942"/>
    <w:rsid w:val="009B797B"/>
    <w:rsid w:val="009B7A42"/>
    <w:rsid w:val="009B7A98"/>
    <w:rsid w:val="009B7B57"/>
    <w:rsid w:val="009B7BF5"/>
    <w:rsid w:val="009B7C75"/>
    <w:rsid w:val="009B7D5B"/>
    <w:rsid w:val="009B7E72"/>
    <w:rsid w:val="009B7E8A"/>
    <w:rsid w:val="009B7F1C"/>
    <w:rsid w:val="009C012D"/>
    <w:rsid w:val="009C0180"/>
    <w:rsid w:val="009C0194"/>
    <w:rsid w:val="009C0220"/>
    <w:rsid w:val="009C0222"/>
    <w:rsid w:val="009C023C"/>
    <w:rsid w:val="009C0294"/>
    <w:rsid w:val="009C02C2"/>
    <w:rsid w:val="009C0469"/>
    <w:rsid w:val="009C0562"/>
    <w:rsid w:val="009C05FA"/>
    <w:rsid w:val="009C0715"/>
    <w:rsid w:val="009C0897"/>
    <w:rsid w:val="009C08A6"/>
    <w:rsid w:val="009C09A2"/>
    <w:rsid w:val="009C09F6"/>
    <w:rsid w:val="009C0AAF"/>
    <w:rsid w:val="009C0AB8"/>
    <w:rsid w:val="009C0B59"/>
    <w:rsid w:val="009C0E5C"/>
    <w:rsid w:val="009C0F3A"/>
    <w:rsid w:val="009C0FC9"/>
    <w:rsid w:val="009C104B"/>
    <w:rsid w:val="009C117C"/>
    <w:rsid w:val="009C11A9"/>
    <w:rsid w:val="009C11F1"/>
    <w:rsid w:val="009C1270"/>
    <w:rsid w:val="009C15C8"/>
    <w:rsid w:val="009C170F"/>
    <w:rsid w:val="009C172C"/>
    <w:rsid w:val="009C1788"/>
    <w:rsid w:val="009C17D4"/>
    <w:rsid w:val="009C185F"/>
    <w:rsid w:val="009C190A"/>
    <w:rsid w:val="009C1A50"/>
    <w:rsid w:val="009C1B91"/>
    <w:rsid w:val="009C1BC7"/>
    <w:rsid w:val="009C1C05"/>
    <w:rsid w:val="009C1D8F"/>
    <w:rsid w:val="009C1E8A"/>
    <w:rsid w:val="009C1EA4"/>
    <w:rsid w:val="009C206F"/>
    <w:rsid w:val="009C20AB"/>
    <w:rsid w:val="009C20C1"/>
    <w:rsid w:val="009C20EF"/>
    <w:rsid w:val="009C21AA"/>
    <w:rsid w:val="009C22A8"/>
    <w:rsid w:val="009C22AC"/>
    <w:rsid w:val="009C230C"/>
    <w:rsid w:val="009C2321"/>
    <w:rsid w:val="009C23D6"/>
    <w:rsid w:val="009C26B0"/>
    <w:rsid w:val="009C2718"/>
    <w:rsid w:val="009C2820"/>
    <w:rsid w:val="009C289C"/>
    <w:rsid w:val="009C2932"/>
    <w:rsid w:val="009C29B1"/>
    <w:rsid w:val="009C29EE"/>
    <w:rsid w:val="009C2AD9"/>
    <w:rsid w:val="009C2B6F"/>
    <w:rsid w:val="009C2B86"/>
    <w:rsid w:val="009C2C0A"/>
    <w:rsid w:val="009C2C1C"/>
    <w:rsid w:val="009C2C7B"/>
    <w:rsid w:val="009C2CC0"/>
    <w:rsid w:val="009C2DA5"/>
    <w:rsid w:val="009C2DEC"/>
    <w:rsid w:val="009C2EDE"/>
    <w:rsid w:val="009C2EF6"/>
    <w:rsid w:val="009C2F78"/>
    <w:rsid w:val="009C2FE1"/>
    <w:rsid w:val="009C2FFC"/>
    <w:rsid w:val="009C3107"/>
    <w:rsid w:val="009C321D"/>
    <w:rsid w:val="009C326D"/>
    <w:rsid w:val="009C3300"/>
    <w:rsid w:val="009C3384"/>
    <w:rsid w:val="009C3408"/>
    <w:rsid w:val="009C3414"/>
    <w:rsid w:val="009C3454"/>
    <w:rsid w:val="009C34F2"/>
    <w:rsid w:val="009C3553"/>
    <w:rsid w:val="009C35AA"/>
    <w:rsid w:val="009C367E"/>
    <w:rsid w:val="009C390C"/>
    <w:rsid w:val="009C396D"/>
    <w:rsid w:val="009C39A1"/>
    <w:rsid w:val="009C39DE"/>
    <w:rsid w:val="009C3A2F"/>
    <w:rsid w:val="009C3A7E"/>
    <w:rsid w:val="009C3AF4"/>
    <w:rsid w:val="009C3B57"/>
    <w:rsid w:val="009C3BCE"/>
    <w:rsid w:val="009C3C87"/>
    <w:rsid w:val="009C3C95"/>
    <w:rsid w:val="009C3D1A"/>
    <w:rsid w:val="009C3D55"/>
    <w:rsid w:val="009C3D9B"/>
    <w:rsid w:val="009C3E69"/>
    <w:rsid w:val="009C3EB5"/>
    <w:rsid w:val="009C3ECE"/>
    <w:rsid w:val="009C3F25"/>
    <w:rsid w:val="009C3F67"/>
    <w:rsid w:val="009C417F"/>
    <w:rsid w:val="009C433A"/>
    <w:rsid w:val="009C4351"/>
    <w:rsid w:val="009C4418"/>
    <w:rsid w:val="009C448E"/>
    <w:rsid w:val="009C44A0"/>
    <w:rsid w:val="009C44D4"/>
    <w:rsid w:val="009C468B"/>
    <w:rsid w:val="009C475C"/>
    <w:rsid w:val="009C4775"/>
    <w:rsid w:val="009C47E0"/>
    <w:rsid w:val="009C48F7"/>
    <w:rsid w:val="009C49DF"/>
    <w:rsid w:val="009C4A2E"/>
    <w:rsid w:val="009C4B7E"/>
    <w:rsid w:val="009C4C88"/>
    <w:rsid w:val="009C4D6E"/>
    <w:rsid w:val="009C4D9C"/>
    <w:rsid w:val="009C4E8F"/>
    <w:rsid w:val="009C4EF1"/>
    <w:rsid w:val="009C5028"/>
    <w:rsid w:val="009C50EF"/>
    <w:rsid w:val="009C5178"/>
    <w:rsid w:val="009C51A7"/>
    <w:rsid w:val="009C521A"/>
    <w:rsid w:val="009C522F"/>
    <w:rsid w:val="009C52C9"/>
    <w:rsid w:val="009C52E7"/>
    <w:rsid w:val="009C532C"/>
    <w:rsid w:val="009C548A"/>
    <w:rsid w:val="009C557E"/>
    <w:rsid w:val="009C55A7"/>
    <w:rsid w:val="009C569B"/>
    <w:rsid w:val="009C5708"/>
    <w:rsid w:val="009C572E"/>
    <w:rsid w:val="009C57BD"/>
    <w:rsid w:val="009C5913"/>
    <w:rsid w:val="009C591E"/>
    <w:rsid w:val="009C5997"/>
    <w:rsid w:val="009C59F5"/>
    <w:rsid w:val="009C5A00"/>
    <w:rsid w:val="009C5A20"/>
    <w:rsid w:val="009C5AAA"/>
    <w:rsid w:val="009C5AD1"/>
    <w:rsid w:val="009C5BF1"/>
    <w:rsid w:val="009C5C38"/>
    <w:rsid w:val="009C5C3A"/>
    <w:rsid w:val="009C5C3B"/>
    <w:rsid w:val="009C5D62"/>
    <w:rsid w:val="009C5E19"/>
    <w:rsid w:val="009C5E8F"/>
    <w:rsid w:val="009C5F16"/>
    <w:rsid w:val="009C6008"/>
    <w:rsid w:val="009C60C0"/>
    <w:rsid w:val="009C625F"/>
    <w:rsid w:val="009C6315"/>
    <w:rsid w:val="009C63BE"/>
    <w:rsid w:val="009C6462"/>
    <w:rsid w:val="009C658B"/>
    <w:rsid w:val="009C658E"/>
    <w:rsid w:val="009C66BD"/>
    <w:rsid w:val="009C66E8"/>
    <w:rsid w:val="009C672D"/>
    <w:rsid w:val="009C6769"/>
    <w:rsid w:val="009C67E7"/>
    <w:rsid w:val="009C68B5"/>
    <w:rsid w:val="009C6962"/>
    <w:rsid w:val="009C6981"/>
    <w:rsid w:val="009C69CA"/>
    <w:rsid w:val="009C6A61"/>
    <w:rsid w:val="009C6A7A"/>
    <w:rsid w:val="009C6A81"/>
    <w:rsid w:val="009C6B70"/>
    <w:rsid w:val="009C6BDC"/>
    <w:rsid w:val="009C6C64"/>
    <w:rsid w:val="009C6C8F"/>
    <w:rsid w:val="009C6D10"/>
    <w:rsid w:val="009C6D90"/>
    <w:rsid w:val="009C6F8F"/>
    <w:rsid w:val="009C7002"/>
    <w:rsid w:val="009C702E"/>
    <w:rsid w:val="009C7089"/>
    <w:rsid w:val="009C708C"/>
    <w:rsid w:val="009C709E"/>
    <w:rsid w:val="009C70BF"/>
    <w:rsid w:val="009C70F5"/>
    <w:rsid w:val="009C721E"/>
    <w:rsid w:val="009C7232"/>
    <w:rsid w:val="009C73EF"/>
    <w:rsid w:val="009C7451"/>
    <w:rsid w:val="009C7505"/>
    <w:rsid w:val="009C755B"/>
    <w:rsid w:val="009C75C1"/>
    <w:rsid w:val="009C77AD"/>
    <w:rsid w:val="009C7845"/>
    <w:rsid w:val="009C78B4"/>
    <w:rsid w:val="009C78BF"/>
    <w:rsid w:val="009C7927"/>
    <w:rsid w:val="009C797B"/>
    <w:rsid w:val="009C79A1"/>
    <w:rsid w:val="009C7AF3"/>
    <w:rsid w:val="009C7C8B"/>
    <w:rsid w:val="009C7CC0"/>
    <w:rsid w:val="009C7D60"/>
    <w:rsid w:val="009C7E4F"/>
    <w:rsid w:val="009C7EEF"/>
    <w:rsid w:val="009D002D"/>
    <w:rsid w:val="009D00DC"/>
    <w:rsid w:val="009D0215"/>
    <w:rsid w:val="009D0389"/>
    <w:rsid w:val="009D0422"/>
    <w:rsid w:val="009D04C3"/>
    <w:rsid w:val="009D04F5"/>
    <w:rsid w:val="009D0584"/>
    <w:rsid w:val="009D05E3"/>
    <w:rsid w:val="009D05F2"/>
    <w:rsid w:val="009D0650"/>
    <w:rsid w:val="009D0666"/>
    <w:rsid w:val="009D066C"/>
    <w:rsid w:val="009D0794"/>
    <w:rsid w:val="009D07A7"/>
    <w:rsid w:val="009D086E"/>
    <w:rsid w:val="009D0874"/>
    <w:rsid w:val="009D08C1"/>
    <w:rsid w:val="009D0965"/>
    <w:rsid w:val="009D0996"/>
    <w:rsid w:val="009D09DA"/>
    <w:rsid w:val="009D0A51"/>
    <w:rsid w:val="009D0A84"/>
    <w:rsid w:val="009D0B10"/>
    <w:rsid w:val="009D0BB4"/>
    <w:rsid w:val="009D0CCD"/>
    <w:rsid w:val="009D0D67"/>
    <w:rsid w:val="009D0E17"/>
    <w:rsid w:val="009D0F38"/>
    <w:rsid w:val="009D1260"/>
    <w:rsid w:val="009D12BA"/>
    <w:rsid w:val="009D1324"/>
    <w:rsid w:val="009D1452"/>
    <w:rsid w:val="009D14A1"/>
    <w:rsid w:val="009D14EA"/>
    <w:rsid w:val="009D1562"/>
    <w:rsid w:val="009D157F"/>
    <w:rsid w:val="009D1594"/>
    <w:rsid w:val="009D1599"/>
    <w:rsid w:val="009D15C1"/>
    <w:rsid w:val="009D1796"/>
    <w:rsid w:val="009D17E3"/>
    <w:rsid w:val="009D186F"/>
    <w:rsid w:val="009D199D"/>
    <w:rsid w:val="009D19F0"/>
    <w:rsid w:val="009D1A0C"/>
    <w:rsid w:val="009D1B72"/>
    <w:rsid w:val="009D1BA0"/>
    <w:rsid w:val="009D1BAC"/>
    <w:rsid w:val="009D1CBC"/>
    <w:rsid w:val="009D1D96"/>
    <w:rsid w:val="009D1DA5"/>
    <w:rsid w:val="009D1E37"/>
    <w:rsid w:val="009D1F09"/>
    <w:rsid w:val="009D1F6C"/>
    <w:rsid w:val="009D1F89"/>
    <w:rsid w:val="009D2037"/>
    <w:rsid w:val="009D210A"/>
    <w:rsid w:val="009D21C7"/>
    <w:rsid w:val="009D220D"/>
    <w:rsid w:val="009D228C"/>
    <w:rsid w:val="009D22C2"/>
    <w:rsid w:val="009D22EA"/>
    <w:rsid w:val="009D2386"/>
    <w:rsid w:val="009D2449"/>
    <w:rsid w:val="009D2465"/>
    <w:rsid w:val="009D266D"/>
    <w:rsid w:val="009D26A6"/>
    <w:rsid w:val="009D272D"/>
    <w:rsid w:val="009D2731"/>
    <w:rsid w:val="009D293D"/>
    <w:rsid w:val="009D295B"/>
    <w:rsid w:val="009D2A38"/>
    <w:rsid w:val="009D2A49"/>
    <w:rsid w:val="009D2A4B"/>
    <w:rsid w:val="009D2AA8"/>
    <w:rsid w:val="009D2C2E"/>
    <w:rsid w:val="009D2C85"/>
    <w:rsid w:val="009D2CF7"/>
    <w:rsid w:val="009D2D16"/>
    <w:rsid w:val="009D2DBE"/>
    <w:rsid w:val="009D2DCC"/>
    <w:rsid w:val="009D2F58"/>
    <w:rsid w:val="009D2FFB"/>
    <w:rsid w:val="009D301D"/>
    <w:rsid w:val="009D3076"/>
    <w:rsid w:val="009D30D1"/>
    <w:rsid w:val="009D324A"/>
    <w:rsid w:val="009D3353"/>
    <w:rsid w:val="009D34DE"/>
    <w:rsid w:val="009D37C5"/>
    <w:rsid w:val="009D3862"/>
    <w:rsid w:val="009D390C"/>
    <w:rsid w:val="009D392B"/>
    <w:rsid w:val="009D39D9"/>
    <w:rsid w:val="009D39E3"/>
    <w:rsid w:val="009D3BC9"/>
    <w:rsid w:val="009D3C18"/>
    <w:rsid w:val="009D3D3A"/>
    <w:rsid w:val="009D3D66"/>
    <w:rsid w:val="009D3DA3"/>
    <w:rsid w:val="009D3DFA"/>
    <w:rsid w:val="009D3E1A"/>
    <w:rsid w:val="009D4024"/>
    <w:rsid w:val="009D405C"/>
    <w:rsid w:val="009D4066"/>
    <w:rsid w:val="009D4091"/>
    <w:rsid w:val="009D4104"/>
    <w:rsid w:val="009D4148"/>
    <w:rsid w:val="009D4183"/>
    <w:rsid w:val="009D422B"/>
    <w:rsid w:val="009D4240"/>
    <w:rsid w:val="009D4383"/>
    <w:rsid w:val="009D4448"/>
    <w:rsid w:val="009D44FB"/>
    <w:rsid w:val="009D4557"/>
    <w:rsid w:val="009D475E"/>
    <w:rsid w:val="009D47F7"/>
    <w:rsid w:val="009D488E"/>
    <w:rsid w:val="009D48A6"/>
    <w:rsid w:val="009D48FF"/>
    <w:rsid w:val="009D498E"/>
    <w:rsid w:val="009D4A99"/>
    <w:rsid w:val="009D4A9D"/>
    <w:rsid w:val="009D4AB4"/>
    <w:rsid w:val="009D4B63"/>
    <w:rsid w:val="009D4C99"/>
    <w:rsid w:val="009D4CCD"/>
    <w:rsid w:val="009D4DD3"/>
    <w:rsid w:val="009D4E0C"/>
    <w:rsid w:val="009D4F3D"/>
    <w:rsid w:val="009D4FAF"/>
    <w:rsid w:val="009D4FE9"/>
    <w:rsid w:val="009D517F"/>
    <w:rsid w:val="009D518B"/>
    <w:rsid w:val="009D53CC"/>
    <w:rsid w:val="009D54B6"/>
    <w:rsid w:val="009D5616"/>
    <w:rsid w:val="009D5636"/>
    <w:rsid w:val="009D56B5"/>
    <w:rsid w:val="009D56BC"/>
    <w:rsid w:val="009D56EF"/>
    <w:rsid w:val="009D5716"/>
    <w:rsid w:val="009D57B8"/>
    <w:rsid w:val="009D5A17"/>
    <w:rsid w:val="009D5A59"/>
    <w:rsid w:val="009D5A5E"/>
    <w:rsid w:val="009D5C07"/>
    <w:rsid w:val="009D5C36"/>
    <w:rsid w:val="009D5D2D"/>
    <w:rsid w:val="009D5DA4"/>
    <w:rsid w:val="009D5DD6"/>
    <w:rsid w:val="009D5DE3"/>
    <w:rsid w:val="009D5E25"/>
    <w:rsid w:val="009D5E44"/>
    <w:rsid w:val="009D5F47"/>
    <w:rsid w:val="009D5F69"/>
    <w:rsid w:val="009D604C"/>
    <w:rsid w:val="009D623A"/>
    <w:rsid w:val="009D6332"/>
    <w:rsid w:val="009D6390"/>
    <w:rsid w:val="009D63BB"/>
    <w:rsid w:val="009D644B"/>
    <w:rsid w:val="009D644D"/>
    <w:rsid w:val="009D64B0"/>
    <w:rsid w:val="009D65CD"/>
    <w:rsid w:val="009D66E1"/>
    <w:rsid w:val="009D67C6"/>
    <w:rsid w:val="009D6963"/>
    <w:rsid w:val="009D6A45"/>
    <w:rsid w:val="009D6AD6"/>
    <w:rsid w:val="009D6ADB"/>
    <w:rsid w:val="009D6B08"/>
    <w:rsid w:val="009D6B91"/>
    <w:rsid w:val="009D6B99"/>
    <w:rsid w:val="009D6C97"/>
    <w:rsid w:val="009D6D0A"/>
    <w:rsid w:val="009D6DBE"/>
    <w:rsid w:val="009D6DC4"/>
    <w:rsid w:val="009D6DFE"/>
    <w:rsid w:val="009D6E2C"/>
    <w:rsid w:val="009D6F0C"/>
    <w:rsid w:val="009D6F0D"/>
    <w:rsid w:val="009D6F4D"/>
    <w:rsid w:val="009D6FE0"/>
    <w:rsid w:val="009D7162"/>
    <w:rsid w:val="009D7181"/>
    <w:rsid w:val="009D7200"/>
    <w:rsid w:val="009D7265"/>
    <w:rsid w:val="009D7284"/>
    <w:rsid w:val="009D72D0"/>
    <w:rsid w:val="009D733E"/>
    <w:rsid w:val="009D73CF"/>
    <w:rsid w:val="009D7432"/>
    <w:rsid w:val="009D7507"/>
    <w:rsid w:val="009D750C"/>
    <w:rsid w:val="009D7677"/>
    <w:rsid w:val="009D7919"/>
    <w:rsid w:val="009D79BF"/>
    <w:rsid w:val="009D79E3"/>
    <w:rsid w:val="009D7ACE"/>
    <w:rsid w:val="009D7B18"/>
    <w:rsid w:val="009D7B44"/>
    <w:rsid w:val="009D7D3C"/>
    <w:rsid w:val="009D7E20"/>
    <w:rsid w:val="009D7EF2"/>
    <w:rsid w:val="009D7F02"/>
    <w:rsid w:val="009D7F6F"/>
    <w:rsid w:val="009E005B"/>
    <w:rsid w:val="009E007D"/>
    <w:rsid w:val="009E02E1"/>
    <w:rsid w:val="009E03B5"/>
    <w:rsid w:val="009E0401"/>
    <w:rsid w:val="009E040C"/>
    <w:rsid w:val="009E0665"/>
    <w:rsid w:val="009E06E6"/>
    <w:rsid w:val="009E0939"/>
    <w:rsid w:val="009E09E8"/>
    <w:rsid w:val="009E0A2D"/>
    <w:rsid w:val="009E0A40"/>
    <w:rsid w:val="009E0A60"/>
    <w:rsid w:val="009E0C02"/>
    <w:rsid w:val="009E0CC5"/>
    <w:rsid w:val="009E0DC2"/>
    <w:rsid w:val="009E0E17"/>
    <w:rsid w:val="009E0F27"/>
    <w:rsid w:val="009E0F71"/>
    <w:rsid w:val="009E102F"/>
    <w:rsid w:val="009E106F"/>
    <w:rsid w:val="009E10A1"/>
    <w:rsid w:val="009E1109"/>
    <w:rsid w:val="009E11AD"/>
    <w:rsid w:val="009E124E"/>
    <w:rsid w:val="009E1294"/>
    <w:rsid w:val="009E12F2"/>
    <w:rsid w:val="009E12F4"/>
    <w:rsid w:val="009E1334"/>
    <w:rsid w:val="009E148A"/>
    <w:rsid w:val="009E14ED"/>
    <w:rsid w:val="009E18A6"/>
    <w:rsid w:val="009E191A"/>
    <w:rsid w:val="009E19DA"/>
    <w:rsid w:val="009E1A44"/>
    <w:rsid w:val="009E1CB5"/>
    <w:rsid w:val="009E1EC4"/>
    <w:rsid w:val="009E1F2A"/>
    <w:rsid w:val="009E21D1"/>
    <w:rsid w:val="009E2240"/>
    <w:rsid w:val="009E2292"/>
    <w:rsid w:val="009E237D"/>
    <w:rsid w:val="009E24E7"/>
    <w:rsid w:val="009E2506"/>
    <w:rsid w:val="009E2512"/>
    <w:rsid w:val="009E25E2"/>
    <w:rsid w:val="009E25EB"/>
    <w:rsid w:val="009E26CB"/>
    <w:rsid w:val="009E2A48"/>
    <w:rsid w:val="009E2AEC"/>
    <w:rsid w:val="009E2B23"/>
    <w:rsid w:val="009E2C3E"/>
    <w:rsid w:val="009E2CEF"/>
    <w:rsid w:val="009E2D8A"/>
    <w:rsid w:val="009E2E0D"/>
    <w:rsid w:val="009E2F72"/>
    <w:rsid w:val="009E301F"/>
    <w:rsid w:val="009E3068"/>
    <w:rsid w:val="009E3097"/>
    <w:rsid w:val="009E31F3"/>
    <w:rsid w:val="009E3284"/>
    <w:rsid w:val="009E3289"/>
    <w:rsid w:val="009E331C"/>
    <w:rsid w:val="009E3352"/>
    <w:rsid w:val="009E34AA"/>
    <w:rsid w:val="009E34AC"/>
    <w:rsid w:val="009E34C6"/>
    <w:rsid w:val="009E34D2"/>
    <w:rsid w:val="009E3746"/>
    <w:rsid w:val="009E37C9"/>
    <w:rsid w:val="009E390D"/>
    <w:rsid w:val="009E3915"/>
    <w:rsid w:val="009E392B"/>
    <w:rsid w:val="009E3948"/>
    <w:rsid w:val="009E3A35"/>
    <w:rsid w:val="009E3A98"/>
    <w:rsid w:val="009E3AED"/>
    <w:rsid w:val="009E3C6B"/>
    <w:rsid w:val="009E3C7F"/>
    <w:rsid w:val="009E3CCE"/>
    <w:rsid w:val="009E3CFE"/>
    <w:rsid w:val="009E3D01"/>
    <w:rsid w:val="009E3D5D"/>
    <w:rsid w:val="009E3D6D"/>
    <w:rsid w:val="009E3F14"/>
    <w:rsid w:val="009E3F52"/>
    <w:rsid w:val="009E4010"/>
    <w:rsid w:val="009E4147"/>
    <w:rsid w:val="009E4151"/>
    <w:rsid w:val="009E4178"/>
    <w:rsid w:val="009E4313"/>
    <w:rsid w:val="009E4328"/>
    <w:rsid w:val="009E4388"/>
    <w:rsid w:val="009E43B9"/>
    <w:rsid w:val="009E4445"/>
    <w:rsid w:val="009E4461"/>
    <w:rsid w:val="009E446A"/>
    <w:rsid w:val="009E451F"/>
    <w:rsid w:val="009E4556"/>
    <w:rsid w:val="009E456F"/>
    <w:rsid w:val="009E4595"/>
    <w:rsid w:val="009E46D2"/>
    <w:rsid w:val="009E46E2"/>
    <w:rsid w:val="009E47A5"/>
    <w:rsid w:val="009E492E"/>
    <w:rsid w:val="009E4960"/>
    <w:rsid w:val="009E49AD"/>
    <w:rsid w:val="009E49CA"/>
    <w:rsid w:val="009E4A2C"/>
    <w:rsid w:val="009E4BCB"/>
    <w:rsid w:val="009E4C15"/>
    <w:rsid w:val="009E4CC5"/>
    <w:rsid w:val="009E4EE5"/>
    <w:rsid w:val="009E4EFC"/>
    <w:rsid w:val="009E4F62"/>
    <w:rsid w:val="009E4FA4"/>
    <w:rsid w:val="009E5229"/>
    <w:rsid w:val="009E5343"/>
    <w:rsid w:val="009E536A"/>
    <w:rsid w:val="009E53E2"/>
    <w:rsid w:val="009E549E"/>
    <w:rsid w:val="009E55F1"/>
    <w:rsid w:val="009E571B"/>
    <w:rsid w:val="009E5726"/>
    <w:rsid w:val="009E580B"/>
    <w:rsid w:val="009E5824"/>
    <w:rsid w:val="009E58F0"/>
    <w:rsid w:val="009E5A81"/>
    <w:rsid w:val="009E5AF7"/>
    <w:rsid w:val="009E5BA8"/>
    <w:rsid w:val="009E5BBC"/>
    <w:rsid w:val="009E5BDE"/>
    <w:rsid w:val="009E5D08"/>
    <w:rsid w:val="009E5D76"/>
    <w:rsid w:val="009E5DE2"/>
    <w:rsid w:val="009E5E50"/>
    <w:rsid w:val="009E5E8E"/>
    <w:rsid w:val="009E5EC9"/>
    <w:rsid w:val="009E606E"/>
    <w:rsid w:val="009E6148"/>
    <w:rsid w:val="009E6164"/>
    <w:rsid w:val="009E62B5"/>
    <w:rsid w:val="009E62B7"/>
    <w:rsid w:val="009E62CF"/>
    <w:rsid w:val="009E62F5"/>
    <w:rsid w:val="009E64C0"/>
    <w:rsid w:val="009E65A5"/>
    <w:rsid w:val="009E65AD"/>
    <w:rsid w:val="009E6602"/>
    <w:rsid w:val="009E6655"/>
    <w:rsid w:val="009E6854"/>
    <w:rsid w:val="009E6AD4"/>
    <w:rsid w:val="009E6ADC"/>
    <w:rsid w:val="009E6B54"/>
    <w:rsid w:val="009E6B6A"/>
    <w:rsid w:val="009E6BFD"/>
    <w:rsid w:val="009E6CEB"/>
    <w:rsid w:val="009E6D68"/>
    <w:rsid w:val="009E6E85"/>
    <w:rsid w:val="009E6E8C"/>
    <w:rsid w:val="009E6F21"/>
    <w:rsid w:val="009E6FF0"/>
    <w:rsid w:val="009E712F"/>
    <w:rsid w:val="009E737C"/>
    <w:rsid w:val="009E73A1"/>
    <w:rsid w:val="009E73DA"/>
    <w:rsid w:val="009E74C6"/>
    <w:rsid w:val="009E74FF"/>
    <w:rsid w:val="009E757B"/>
    <w:rsid w:val="009E75B9"/>
    <w:rsid w:val="009E75E3"/>
    <w:rsid w:val="009E77C3"/>
    <w:rsid w:val="009E77EE"/>
    <w:rsid w:val="009E77FE"/>
    <w:rsid w:val="009E7813"/>
    <w:rsid w:val="009E7A98"/>
    <w:rsid w:val="009E7B03"/>
    <w:rsid w:val="009E7BF9"/>
    <w:rsid w:val="009E7C4A"/>
    <w:rsid w:val="009E7D51"/>
    <w:rsid w:val="009E7D8D"/>
    <w:rsid w:val="009E7E0A"/>
    <w:rsid w:val="009E7E3E"/>
    <w:rsid w:val="009E7E54"/>
    <w:rsid w:val="009E7EBA"/>
    <w:rsid w:val="009E7F5A"/>
    <w:rsid w:val="009E7F6E"/>
    <w:rsid w:val="009F00E5"/>
    <w:rsid w:val="009F00F0"/>
    <w:rsid w:val="009F02D6"/>
    <w:rsid w:val="009F02DF"/>
    <w:rsid w:val="009F0300"/>
    <w:rsid w:val="009F032D"/>
    <w:rsid w:val="009F0378"/>
    <w:rsid w:val="009F03A8"/>
    <w:rsid w:val="009F044D"/>
    <w:rsid w:val="009F0466"/>
    <w:rsid w:val="009F0471"/>
    <w:rsid w:val="009F0478"/>
    <w:rsid w:val="009F04C3"/>
    <w:rsid w:val="009F04DF"/>
    <w:rsid w:val="009F0518"/>
    <w:rsid w:val="009F05D7"/>
    <w:rsid w:val="009F0640"/>
    <w:rsid w:val="009F0669"/>
    <w:rsid w:val="009F0768"/>
    <w:rsid w:val="009F07AE"/>
    <w:rsid w:val="009F0809"/>
    <w:rsid w:val="009F0894"/>
    <w:rsid w:val="009F08E0"/>
    <w:rsid w:val="009F0997"/>
    <w:rsid w:val="009F0A16"/>
    <w:rsid w:val="009F0A60"/>
    <w:rsid w:val="009F0AF8"/>
    <w:rsid w:val="009F0B79"/>
    <w:rsid w:val="009F0CE9"/>
    <w:rsid w:val="009F0CEC"/>
    <w:rsid w:val="009F0D8D"/>
    <w:rsid w:val="009F0EFC"/>
    <w:rsid w:val="009F0F04"/>
    <w:rsid w:val="009F0FE6"/>
    <w:rsid w:val="009F101E"/>
    <w:rsid w:val="009F107E"/>
    <w:rsid w:val="009F10B9"/>
    <w:rsid w:val="009F115E"/>
    <w:rsid w:val="009F11C7"/>
    <w:rsid w:val="009F120A"/>
    <w:rsid w:val="009F1247"/>
    <w:rsid w:val="009F12A9"/>
    <w:rsid w:val="009F12C9"/>
    <w:rsid w:val="009F132E"/>
    <w:rsid w:val="009F13D5"/>
    <w:rsid w:val="009F13D6"/>
    <w:rsid w:val="009F1457"/>
    <w:rsid w:val="009F14D6"/>
    <w:rsid w:val="009F15DA"/>
    <w:rsid w:val="009F162D"/>
    <w:rsid w:val="009F1685"/>
    <w:rsid w:val="009F16A4"/>
    <w:rsid w:val="009F16BA"/>
    <w:rsid w:val="009F1711"/>
    <w:rsid w:val="009F1770"/>
    <w:rsid w:val="009F180A"/>
    <w:rsid w:val="009F19E1"/>
    <w:rsid w:val="009F19F3"/>
    <w:rsid w:val="009F1A11"/>
    <w:rsid w:val="009F1A8B"/>
    <w:rsid w:val="009F1C5B"/>
    <w:rsid w:val="009F1D25"/>
    <w:rsid w:val="009F1D48"/>
    <w:rsid w:val="009F1E0D"/>
    <w:rsid w:val="009F1E33"/>
    <w:rsid w:val="009F1E4E"/>
    <w:rsid w:val="009F1EF3"/>
    <w:rsid w:val="009F1FE1"/>
    <w:rsid w:val="009F2003"/>
    <w:rsid w:val="009F20BD"/>
    <w:rsid w:val="009F210E"/>
    <w:rsid w:val="009F2170"/>
    <w:rsid w:val="009F2174"/>
    <w:rsid w:val="009F21A8"/>
    <w:rsid w:val="009F2238"/>
    <w:rsid w:val="009F22E8"/>
    <w:rsid w:val="009F23B8"/>
    <w:rsid w:val="009F240E"/>
    <w:rsid w:val="009F246F"/>
    <w:rsid w:val="009F248A"/>
    <w:rsid w:val="009F2566"/>
    <w:rsid w:val="009F25AD"/>
    <w:rsid w:val="009F2874"/>
    <w:rsid w:val="009F2945"/>
    <w:rsid w:val="009F296D"/>
    <w:rsid w:val="009F2A08"/>
    <w:rsid w:val="009F2A1A"/>
    <w:rsid w:val="009F2AA3"/>
    <w:rsid w:val="009F2AED"/>
    <w:rsid w:val="009F2B2F"/>
    <w:rsid w:val="009F2C30"/>
    <w:rsid w:val="009F2E8C"/>
    <w:rsid w:val="009F2F7D"/>
    <w:rsid w:val="009F30ED"/>
    <w:rsid w:val="009F3175"/>
    <w:rsid w:val="009F33F4"/>
    <w:rsid w:val="009F3466"/>
    <w:rsid w:val="009F3498"/>
    <w:rsid w:val="009F34B8"/>
    <w:rsid w:val="009F34F7"/>
    <w:rsid w:val="009F350A"/>
    <w:rsid w:val="009F3577"/>
    <w:rsid w:val="009F35F0"/>
    <w:rsid w:val="009F3714"/>
    <w:rsid w:val="009F37EF"/>
    <w:rsid w:val="009F3818"/>
    <w:rsid w:val="009F38FC"/>
    <w:rsid w:val="009F3A98"/>
    <w:rsid w:val="009F3BE3"/>
    <w:rsid w:val="009F3C3A"/>
    <w:rsid w:val="009F3D1D"/>
    <w:rsid w:val="009F3DD3"/>
    <w:rsid w:val="009F3DFB"/>
    <w:rsid w:val="009F3E58"/>
    <w:rsid w:val="009F40B9"/>
    <w:rsid w:val="009F446D"/>
    <w:rsid w:val="009F44FF"/>
    <w:rsid w:val="009F4564"/>
    <w:rsid w:val="009F45C3"/>
    <w:rsid w:val="009F45EA"/>
    <w:rsid w:val="009F463D"/>
    <w:rsid w:val="009F477B"/>
    <w:rsid w:val="009F478D"/>
    <w:rsid w:val="009F483F"/>
    <w:rsid w:val="009F4865"/>
    <w:rsid w:val="009F4A1B"/>
    <w:rsid w:val="009F4A9B"/>
    <w:rsid w:val="009F4AE7"/>
    <w:rsid w:val="009F4C34"/>
    <w:rsid w:val="009F4C9F"/>
    <w:rsid w:val="009F4D0D"/>
    <w:rsid w:val="009F4D9F"/>
    <w:rsid w:val="009F4DA2"/>
    <w:rsid w:val="009F4F59"/>
    <w:rsid w:val="009F4FCB"/>
    <w:rsid w:val="009F5156"/>
    <w:rsid w:val="009F51BD"/>
    <w:rsid w:val="009F51CA"/>
    <w:rsid w:val="009F520C"/>
    <w:rsid w:val="009F538D"/>
    <w:rsid w:val="009F56BF"/>
    <w:rsid w:val="009F581E"/>
    <w:rsid w:val="009F5929"/>
    <w:rsid w:val="009F5968"/>
    <w:rsid w:val="009F5A8B"/>
    <w:rsid w:val="009F5C19"/>
    <w:rsid w:val="009F5C58"/>
    <w:rsid w:val="009F5D69"/>
    <w:rsid w:val="009F5DB0"/>
    <w:rsid w:val="009F5E77"/>
    <w:rsid w:val="009F5EA7"/>
    <w:rsid w:val="009F5EDB"/>
    <w:rsid w:val="009F5EF1"/>
    <w:rsid w:val="009F5F61"/>
    <w:rsid w:val="009F5F8B"/>
    <w:rsid w:val="009F5FBC"/>
    <w:rsid w:val="009F5FEC"/>
    <w:rsid w:val="009F6030"/>
    <w:rsid w:val="009F6060"/>
    <w:rsid w:val="009F60CA"/>
    <w:rsid w:val="009F6135"/>
    <w:rsid w:val="009F6264"/>
    <w:rsid w:val="009F6266"/>
    <w:rsid w:val="009F62DB"/>
    <w:rsid w:val="009F6325"/>
    <w:rsid w:val="009F64C6"/>
    <w:rsid w:val="009F6582"/>
    <w:rsid w:val="009F66FA"/>
    <w:rsid w:val="009F6771"/>
    <w:rsid w:val="009F6778"/>
    <w:rsid w:val="009F679C"/>
    <w:rsid w:val="009F67EA"/>
    <w:rsid w:val="009F689E"/>
    <w:rsid w:val="009F6907"/>
    <w:rsid w:val="009F695E"/>
    <w:rsid w:val="009F69B7"/>
    <w:rsid w:val="009F6A54"/>
    <w:rsid w:val="009F6AD8"/>
    <w:rsid w:val="009F6C13"/>
    <w:rsid w:val="009F6D0F"/>
    <w:rsid w:val="009F6D8D"/>
    <w:rsid w:val="009F6F3F"/>
    <w:rsid w:val="009F6F8F"/>
    <w:rsid w:val="009F6FBA"/>
    <w:rsid w:val="009F6FBC"/>
    <w:rsid w:val="009F6FD8"/>
    <w:rsid w:val="009F70A0"/>
    <w:rsid w:val="009F70D1"/>
    <w:rsid w:val="009F7174"/>
    <w:rsid w:val="009F721B"/>
    <w:rsid w:val="009F72C3"/>
    <w:rsid w:val="009F73D6"/>
    <w:rsid w:val="009F75B1"/>
    <w:rsid w:val="009F7813"/>
    <w:rsid w:val="009F7847"/>
    <w:rsid w:val="009F7855"/>
    <w:rsid w:val="009F7864"/>
    <w:rsid w:val="009F78B5"/>
    <w:rsid w:val="009F7A41"/>
    <w:rsid w:val="009F7A43"/>
    <w:rsid w:val="009F7B50"/>
    <w:rsid w:val="009F7BAA"/>
    <w:rsid w:val="009F7C97"/>
    <w:rsid w:val="009F7CC0"/>
    <w:rsid w:val="009F7CFB"/>
    <w:rsid w:val="009F7D91"/>
    <w:rsid w:val="009F7F62"/>
    <w:rsid w:val="00A001A7"/>
    <w:rsid w:val="00A0021C"/>
    <w:rsid w:val="00A002B7"/>
    <w:rsid w:val="00A002F1"/>
    <w:rsid w:val="00A002FB"/>
    <w:rsid w:val="00A003C4"/>
    <w:rsid w:val="00A003E4"/>
    <w:rsid w:val="00A003ED"/>
    <w:rsid w:val="00A00438"/>
    <w:rsid w:val="00A004D8"/>
    <w:rsid w:val="00A005AE"/>
    <w:rsid w:val="00A005D2"/>
    <w:rsid w:val="00A005FE"/>
    <w:rsid w:val="00A00634"/>
    <w:rsid w:val="00A006FF"/>
    <w:rsid w:val="00A00764"/>
    <w:rsid w:val="00A0078B"/>
    <w:rsid w:val="00A0080D"/>
    <w:rsid w:val="00A008E3"/>
    <w:rsid w:val="00A00952"/>
    <w:rsid w:val="00A009BE"/>
    <w:rsid w:val="00A009CB"/>
    <w:rsid w:val="00A00A24"/>
    <w:rsid w:val="00A00A26"/>
    <w:rsid w:val="00A00A38"/>
    <w:rsid w:val="00A00ACA"/>
    <w:rsid w:val="00A00BBC"/>
    <w:rsid w:val="00A00C62"/>
    <w:rsid w:val="00A00CED"/>
    <w:rsid w:val="00A00D62"/>
    <w:rsid w:val="00A00D80"/>
    <w:rsid w:val="00A00DD3"/>
    <w:rsid w:val="00A00DF8"/>
    <w:rsid w:val="00A00E5B"/>
    <w:rsid w:val="00A00E9B"/>
    <w:rsid w:val="00A00EAA"/>
    <w:rsid w:val="00A00EC0"/>
    <w:rsid w:val="00A00ED6"/>
    <w:rsid w:val="00A00FBE"/>
    <w:rsid w:val="00A0103B"/>
    <w:rsid w:val="00A010AC"/>
    <w:rsid w:val="00A01243"/>
    <w:rsid w:val="00A012AD"/>
    <w:rsid w:val="00A01444"/>
    <w:rsid w:val="00A01448"/>
    <w:rsid w:val="00A014B4"/>
    <w:rsid w:val="00A014C0"/>
    <w:rsid w:val="00A0155B"/>
    <w:rsid w:val="00A0159A"/>
    <w:rsid w:val="00A015F1"/>
    <w:rsid w:val="00A016C9"/>
    <w:rsid w:val="00A016D9"/>
    <w:rsid w:val="00A0178E"/>
    <w:rsid w:val="00A017A1"/>
    <w:rsid w:val="00A01858"/>
    <w:rsid w:val="00A01997"/>
    <w:rsid w:val="00A01B3D"/>
    <w:rsid w:val="00A01CB5"/>
    <w:rsid w:val="00A01CB7"/>
    <w:rsid w:val="00A01D01"/>
    <w:rsid w:val="00A01D59"/>
    <w:rsid w:val="00A01D99"/>
    <w:rsid w:val="00A01E1A"/>
    <w:rsid w:val="00A01EA3"/>
    <w:rsid w:val="00A01EBF"/>
    <w:rsid w:val="00A01FB8"/>
    <w:rsid w:val="00A01FF8"/>
    <w:rsid w:val="00A0201B"/>
    <w:rsid w:val="00A0205D"/>
    <w:rsid w:val="00A0226A"/>
    <w:rsid w:val="00A02289"/>
    <w:rsid w:val="00A022A1"/>
    <w:rsid w:val="00A022DA"/>
    <w:rsid w:val="00A02437"/>
    <w:rsid w:val="00A02495"/>
    <w:rsid w:val="00A0249F"/>
    <w:rsid w:val="00A0251D"/>
    <w:rsid w:val="00A02634"/>
    <w:rsid w:val="00A02644"/>
    <w:rsid w:val="00A0265D"/>
    <w:rsid w:val="00A026AA"/>
    <w:rsid w:val="00A02779"/>
    <w:rsid w:val="00A027A9"/>
    <w:rsid w:val="00A027B5"/>
    <w:rsid w:val="00A027E8"/>
    <w:rsid w:val="00A027F4"/>
    <w:rsid w:val="00A0297F"/>
    <w:rsid w:val="00A02A97"/>
    <w:rsid w:val="00A02ACD"/>
    <w:rsid w:val="00A02AD8"/>
    <w:rsid w:val="00A02BDB"/>
    <w:rsid w:val="00A02CB5"/>
    <w:rsid w:val="00A02CBD"/>
    <w:rsid w:val="00A02CE5"/>
    <w:rsid w:val="00A02CFD"/>
    <w:rsid w:val="00A02EAB"/>
    <w:rsid w:val="00A02EE3"/>
    <w:rsid w:val="00A02F14"/>
    <w:rsid w:val="00A02FA8"/>
    <w:rsid w:val="00A02FB9"/>
    <w:rsid w:val="00A0308F"/>
    <w:rsid w:val="00A030A5"/>
    <w:rsid w:val="00A030B5"/>
    <w:rsid w:val="00A03114"/>
    <w:rsid w:val="00A031BB"/>
    <w:rsid w:val="00A03207"/>
    <w:rsid w:val="00A03291"/>
    <w:rsid w:val="00A0330D"/>
    <w:rsid w:val="00A0339B"/>
    <w:rsid w:val="00A033D1"/>
    <w:rsid w:val="00A03486"/>
    <w:rsid w:val="00A03487"/>
    <w:rsid w:val="00A03597"/>
    <w:rsid w:val="00A035EA"/>
    <w:rsid w:val="00A03660"/>
    <w:rsid w:val="00A036CD"/>
    <w:rsid w:val="00A03709"/>
    <w:rsid w:val="00A03734"/>
    <w:rsid w:val="00A03782"/>
    <w:rsid w:val="00A038B8"/>
    <w:rsid w:val="00A039A5"/>
    <w:rsid w:val="00A03A47"/>
    <w:rsid w:val="00A03A7D"/>
    <w:rsid w:val="00A03A8E"/>
    <w:rsid w:val="00A03AB3"/>
    <w:rsid w:val="00A03B24"/>
    <w:rsid w:val="00A03B32"/>
    <w:rsid w:val="00A03CD9"/>
    <w:rsid w:val="00A03D55"/>
    <w:rsid w:val="00A03E2B"/>
    <w:rsid w:val="00A03E56"/>
    <w:rsid w:val="00A03EF9"/>
    <w:rsid w:val="00A03F3B"/>
    <w:rsid w:val="00A03FCE"/>
    <w:rsid w:val="00A04027"/>
    <w:rsid w:val="00A04052"/>
    <w:rsid w:val="00A042AF"/>
    <w:rsid w:val="00A042C4"/>
    <w:rsid w:val="00A04372"/>
    <w:rsid w:val="00A04462"/>
    <w:rsid w:val="00A0459D"/>
    <w:rsid w:val="00A045EC"/>
    <w:rsid w:val="00A04706"/>
    <w:rsid w:val="00A0478A"/>
    <w:rsid w:val="00A0479A"/>
    <w:rsid w:val="00A0482A"/>
    <w:rsid w:val="00A048A0"/>
    <w:rsid w:val="00A048F9"/>
    <w:rsid w:val="00A04944"/>
    <w:rsid w:val="00A049BC"/>
    <w:rsid w:val="00A04A3D"/>
    <w:rsid w:val="00A04A89"/>
    <w:rsid w:val="00A04B0D"/>
    <w:rsid w:val="00A04B32"/>
    <w:rsid w:val="00A04B3A"/>
    <w:rsid w:val="00A04BD9"/>
    <w:rsid w:val="00A04BEF"/>
    <w:rsid w:val="00A04C1D"/>
    <w:rsid w:val="00A04D74"/>
    <w:rsid w:val="00A04DB4"/>
    <w:rsid w:val="00A04E89"/>
    <w:rsid w:val="00A04EF6"/>
    <w:rsid w:val="00A04FC0"/>
    <w:rsid w:val="00A05086"/>
    <w:rsid w:val="00A05165"/>
    <w:rsid w:val="00A0518E"/>
    <w:rsid w:val="00A051CC"/>
    <w:rsid w:val="00A0522D"/>
    <w:rsid w:val="00A055AF"/>
    <w:rsid w:val="00A055DF"/>
    <w:rsid w:val="00A0565E"/>
    <w:rsid w:val="00A056A8"/>
    <w:rsid w:val="00A0574A"/>
    <w:rsid w:val="00A0577B"/>
    <w:rsid w:val="00A05788"/>
    <w:rsid w:val="00A05797"/>
    <w:rsid w:val="00A0589B"/>
    <w:rsid w:val="00A059CD"/>
    <w:rsid w:val="00A05B04"/>
    <w:rsid w:val="00A05B16"/>
    <w:rsid w:val="00A05B54"/>
    <w:rsid w:val="00A05D09"/>
    <w:rsid w:val="00A05E34"/>
    <w:rsid w:val="00A05EBB"/>
    <w:rsid w:val="00A05F07"/>
    <w:rsid w:val="00A05F62"/>
    <w:rsid w:val="00A060C6"/>
    <w:rsid w:val="00A06247"/>
    <w:rsid w:val="00A06272"/>
    <w:rsid w:val="00A06278"/>
    <w:rsid w:val="00A06323"/>
    <w:rsid w:val="00A06396"/>
    <w:rsid w:val="00A064E1"/>
    <w:rsid w:val="00A064E2"/>
    <w:rsid w:val="00A06508"/>
    <w:rsid w:val="00A065E6"/>
    <w:rsid w:val="00A06643"/>
    <w:rsid w:val="00A06683"/>
    <w:rsid w:val="00A06711"/>
    <w:rsid w:val="00A06851"/>
    <w:rsid w:val="00A068FD"/>
    <w:rsid w:val="00A069FA"/>
    <w:rsid w:val="00A06A1D"/>
    <w:rsid w:val="00A06B07"/>
    <w:rsid w:val="00A06B13"/>
    <w:rsid w:val="00A06DB0"/>
    <w:rsid w:val="00A06EBE"/>
    <w:rsid w:val="00A06EC7"/>
    <w:rsid w:val="00A06F07"/>
    <w:rsid w:val="00A07151"/>
    <w:rsid w:val="00A07248"/>
    <w:rsid w:val="00A07287"/>
    <w:rsid w:val="00A0734B"/>
    <w:rsid w:val="00A0737D"/>
    <w:rsid w:val="00A073A1"/>
    <w:rsid w:val="00A073EA"/>
    <w:rsid w:val="00A073ED"/>
    <w:rsid w:val="00A07473"/>
    <w:rsid w:val="00A075B3"/>
    <w:rsid w:val="00A075C1"/>
    <w:rsid w:val="00A07630"/>
    <w:rsid w:val="00A07781"/>
    <w:rsid w:val="00A077F7"/>
    <w:rsid w:val="00A078A5"/>
    <w:rsid w:val="00A078B6"/>
    <w:rsid w:val="00A078E9"/>
    <w:rsid w:val="00A07952"/>
    <w:rsid w:val="00A0798C"/>
    <w:rsid w:val="00A079C4"/>
    <w:rsid w:val="00A07AB9"/>
    <w:rsid w:val="00A07C74"/>
    <w:rsid w:val="00A07C79"/>
    <w:rsid w:val="00A07D12"/>
    <w:rsid w:val="00A07DB4"/>
    <w:rsid w:val="00A07DCA"/>
    <w:rsid w:val="00A07E09"/>
    <w:rsid w:val="00A07E8F"/>
    <w:rsid w:val="00A07F16"/>
    <w:rsid w:val="00A10112"/>
    <w:rsid w:val="00A1015A"/>
    <w:rsid w:val="00A101AC"/>
    <w:rsid w:val="00A102DD"/>
    <w:rsid w:val="00A1035C"/>
    <w:rsid w:val="00A10448"/>
    <w:rsid w:val="00A104D3"/>
    <w:rsid w:val="00A104E2"/>
    <w:rsid w:val="00A10515"/>
    <w:rsid w:val="00A106E6"/>
    <w:rsid w:val="00A107D1"/>
    <w:rsid w:val="00A10861"/>
    <w:rsid w:val="00A108C4"/>
    <w:rsid w:val="00A108D0"/>
    <w:rsid w:val="00A1092E"/>
    <w:rsid w:val="00A109E0"/>
    <w:rsid w:val="00A109EB"/>
    <w:rsid w:val="00A10A0D"/>
    <w:rsid w:val="00A10B32"/>
    <w:rsid w:val="00A10B9C"/>
    <w:rsid w:val="00A10D38"/>
    <w:rsid w:val="00A10F0B"/>
    <w:rsid w:val="00A10FEA"/>
    <w:rsid w:val="00A11031"/>
    <w:rsid w:val="00A1105D"/>
    <w:rsid w:val="00A11066"/>
    <w:rsid w:val="00A11072"/>
    <w:rsid w:val="00A110BF"/>
    <w:rsid w:val="00A110FA"/>
    <w:rsid w:val="00A110FD"/>
    <w:rsid w:val="00A1112D"/>
    <w:rsid w:val="00A1126D"/>
    <w:rsid w:val="00A11377"/>
    <w:rsid w:val="00A114BC"/>
    <w:rsid w:val="00A11595"/>
    <w:rsid w:val="00A115BD"/>
    <w:rsid w:val="00A11633"/>
    <w:rsid w:val="00A116BD"/>
    <w:rsid w:val="00A11741"/>
    <w:rsid w:val="00A1178A"/>
    <w:rsid w:val="00A1183E"/>
    <w:rsid w:val="00A11A62"/>
    <w:rsid w:val="00A11B6F"/>
    <w:rsid w:val="00A11B77"/>
    <w:rsid w:val="00A11B8C"/>
    <w:rsid w:val="00A11B91"/>
    <w:rsid w:val="00A11C50"/>
    <w:rsid w:val="00A11CFF"/>
    <w:rsid w:val="00A11D1A"/>
    <w:rsid w:val="00A11DEC"/>
    <w:rsid w:val="00A11F85"/>
    <w:rsid w:val="00A11F96"/>
    <w:rsid w:val="00A11FA9"/>
    <w:rsid w:val="00A1203A"/>
    <w:rsid w:val="00A120EB"/>
    <w:rsid w:val="00A12157"/>
    <w:rsid w:val="00A12187"/>
    <w:rsid w:val="00A121BC"/>
    <w:rsid w:val="00A121F2"/>
    <w:rsid w:val="00A122CD"/>
    <w:rsid w:val="00A12366"/>
    <w:rsid w:val="00A123C1"/>
    <w:rsid w:val="00A12467"/>
    <w:rsid w:val="00A12478"/>
    <w:rsid w:val="00A124A7"/>
    <w:rsid w:val="00A12595"/>
    <w:rsid w:val="00A12604"/>
    <w:rsid w:val="00A1265A"/>
    <w:rsid w:val="00A1270B"/>
    <w:rsid w:val="00A1271A"/>
    <w:rsid w:val="00A12747"/>
    <w:rsid w:val="00A12788"/>
    <w:rsid w:val="00A128FF"/>
    <w:rsid w:val="00A129B4"/>
    <w:rsid w:val="00A12A25"/>
    <w:rsid w:val="00A12ADD"/>
    <w:rsid w:val="00A12B27"/>
    <w:rsid w:val="00A12B6A"/>
    <w:rsid w:val="00A12BE5"/>
    <w:rsid w:val="00A12DDD"/>
    <w:rsid w:val="00A12E7F"/>
    <w:rsid w:val="00A12FC9"/>
    <w:rsid w:val="00A13105"/>
    <w:rsid w:val="00A13120"/>
    <w:rsid w:val="00A1320F"/>
    <w:rsid w:val="00A13220"/>
    <w:rsid w:val="00A13335"/>
    <w:rsid w:val="00A13427"/>
    <w:rsid w:val="00A1343B"/>
    <w:rsid w:val="00A1343D"/>
    <w:rsid w:val="00A13476"/>
    <w:rsid w:val="00A13540"/>
    <w:rsid w:val="00A136A4"/>
    <w:rsid w:val="00A1379B"/>
    <w:rsid w:val="00A138B7"/>
    <w:rsid w:val="00A13926"/>
    <w:rsid w:val="00A13BF1"/>
    <w:rsid w:val="00A13C30"/>
    <w:rsid w:val="00A13C7A"/>
    <w:rsid w:val="00A13C7C"/>
    <w:rsid w:val="00A13FAD"/>
    <w:rsid w:val="00A13FCC"/>
    <w:rsid w:val="00A14051"/>
    <w:rsid w:val="00A14093"/>
    <w:rsid w:val="00A14119"/>
    <w:rsid w:val="00A14224"/>
    <w:rsid w:val="00A14323"/>
    <w:rsid w:val="00A144EE"/>
    <w:rsid w:val="00A144F2"/>
    <w:rsid w:val="00A14579"/>
    <w:rsid w:val="00A145DA"/>
    <w:rsid w:val="00A14644"/>
    <w:rsid w:val="00A1474E"/>
    <w:rsid w:val="00A1477B"/>
    <w:rsid w:val="00A148C4"/>
    <w:rsid w:val="00A14946"/>
    <w:rsid w:val="00A149A5"/>
    <w:rsid w:val="00A149C8"/>
    <w:rsid w:val="00A14B31"/>
    <w:rsid w:val="00A14BED"/>
    <w:rsid w:val="00A14D67"/>
    <w:rsid w:val="00A15028"/>
    <w:rsid w:val="00A1505C"/>
    <w:rsid w:val="00A15128"/>
    <w:rsid w:val="00A1518E"/>
    <w:rsid w:val="00A15207"/>
    <w:rsid w:val="00A15313"/>
    <w:rsid w:val="00A1540C"/>
    <w:rsid w:val="00A15428"/>
    <w:rsid w:val="00A15563"/>
    <w:rsid w:val="00A155CB"/>
    <w:rsid w:val="00A155DD"/>
    <w:rsid w:val="00A15634"/>
    <w:rsid w:val="00A156B4"/>
    <w:rsid w:val="00A15735"/>
    <w:rsid w:val="00A157A6"/>
    <w:rsid w:val="00A15889"/>
    <w:rsid w:val="00A1589D"/>
    <w:rsid w:val="00A158F9"/>
    <w:rsid w:val="00A159A8"/>
    <w:rsid w:val="00A159C9"/>
    <w:rsid w:val="00A15C0A"/>
    <w:rsid w:val="00A15D2E"/>
    <w:rsid w:val="00A15D7B"/>
    <w:rsid w:val="00A15DBE"/>
    <w:rsid w:val="00A15DDF"/>
    <w:rsid w:val="00A15E64"/>
    <w:rsid w:val="00A15E92"/>
    <w:rsid w:val="00A15E97"/>
    <w:rsid w:val="00A15EC7"/>
    <w:rsid w:val="00A16035"/>
    <w:rsid w:val="00A16157"/>
    <w:rsid w:val="00A1616C"/>
    <w:rsid w:val="00A161A6"/>
    <w:rsid w:val="00A161F6"/>
    <w:rsid w:val="00A161FB"/>
    <w:rsid w:val="00A16212"/>
    <w:rsid w:val="00A165B4"/>
    <w:rsid w:val="00A166C7"/>
    <w:rsid w:val="00A16731"/>
    <w:rsid w:val="00A16785"/>
    <w:rsid w:val="00A167DA"/>
    <w:rsid w:val="00A16844"/>
    <w:rsid w:val="00A1689F"/>
    <w:rsid w:val="00A16956"/>
    <w:rsid w:val="00A169A7"/>
    <w:rsid w:val="00A16A12"/>
    <w:rsid w:val="00A16A5C"/>
    <w:rsid w:val="00A16A83"/>
    <w:rsid w:val="00A16A94"/>
    <w:rsid w:val="00A16AE9"/>
    <w:rsid w:val="00A16BAB"/>
    <w:rsid w:val="00A16C95"/>
    <w:rsid w:val="00A16CDB"/>
    <w:rsid w:val="00A16DA6"/>
    <w:rsid w:val="00A16DD9"/>
    <w:rsid w:val="00A16DE8"/>
    <w:rsid w:val="00A16ECA"/>
    <w:rsid w:val="00A16EFF"/>
    <w:rsid w:val="00A17080"/>
    <w:rsid w:val="00A1710C"/>
    <w:rsid w:val="00A1723C"/>
    <w:rsid w:val="00A172F6"/>
    <w:rsid w:val="00A17398"/>
    <w:rsid w:val="00A1764F"/>
    <w:rsid w:val="00A1778B"/>
    <w:rsid w:val="00A177C9"/>
    <w:rsid w:val="00A17827"/>
    <w:rsid w:val="00A17974"/>
    <w:rsid w:val="00A1798A"/>
    <w:rsid w:val="00A17A3A"/>
    <w:rsid w:val="00A17CC5"/>
    <w:rsid w:val="00A17EC7"/>
    <w:rsid w:val="00A17FBE"/>
    <w:rsid w:val="00A200AF"/>
    <w:rsid w:val="00A200B0"/>
    <w:rsid w:val="00A20172"/>
    <w:rsid w:val="00A201E6"/>
    <w:rsid w:val="00A20285"/>
    <w:rsid w:val="00A20315"/>
    <w:rsid w:val="00A20436"/>
    <w:rsid w:val="00A204C7"/>
    <w:rsid w:val="00A20563"/>
    <w:rsid w:val="00A20599"/>
    <w:rsid w:val="00A205AB"/>
    <w:rsid w:val="00A20640"/>
    <w:rsid w:val="00A206AF"/>
    <w:rsid w:val="00A20841"/>
    <w:rsid w:val="00A20892"/>
    <w:rsid w:val="00A2099E"/>
    <w:rsid w:val="00A20AD9"/>
    <w:rsid w:val="00A20D56"/>
    <w:rsid w:val="00A20D79"/>
    <w:rsid w:val="00A20D98"/>
    <w:rsid w:val="00A20DFD"/>
    <w:rsid w:val="00A20E80"/>
    <w:rsid w:val="00A20EBD"/>
    <w:rsid w:val="00A20EF9"/>
    <w:rsid w:val="00A20FDE"/>
    <w:rsid w:val="00A21169"/>
    <w:rsid w:val="00A21215"/>
    <w:rsid w:val="00A2127B"/>
    <w:rsid w:val="00A2127D"/>
    <w:rsid w:val="00A21293"/>
    <w:rsid w:val="00A21327"/>
    <w:rsid w:val="00A21443"/>
    <w:rsid w:val="00A215D8"/>
    <w:rsid w:val="00A2164E"/>
    <w:rsid w:val="00A21666"/>
    <w:rsid w:val="00A2177E"/>
    <w:rsid w:val="00A217A8"/>
    <w:rsid w:val="00A21808"/>
    <w:rsid w:val="00A218A0"/>
    <w:rsid w:val="00A2192F"/>
    <w:rsid w:val="00A219AA"/>
    <w:rsid w:val="00A21A46"/>
    <w:rsid w:val="00A21A75"/>
    <w:rsid w:val="00A21AA6"/>
    <w:rsid w:val="00A21BA2"/>
    <w:rsid w:val="00A21BF0"/>
    <w:rsid w:val="00A21C3F"/>
    <w:rsid w:val="00A21C6B"/>
    <w:rsid w:val="00A21D49"/>
    <w:rsid w:val="00A21D6D"/>
    <w:rsid w:val="00A21E3B"/>
    <w:rsid w:val="00A21E7B"/>
    <w:rsid w:val="00A21E9F"/>
    <w:rsid w:val="00A21EA2"/>
    <w:rsid w:val="00A21F21"/>
    <w:rsid w:val="00A22068"/>
    <w:rsid w:val="00A22131"/>
    <w:rsid w:val="00A2215A"/>
    <w:rsid w:val="00A221D6"/>
    <w:rsid w:val="00A2240D"/>
    <w:rsid w:val="00A224C6"/>
    <w:rsid w:val="00A224D1"/>
    <w:rsid w:val="00A22673"/>
    <w:rsid w:val="00A22749"/>
    <w:rsid w:val="00A22882"/>
    <w:rsid w:val="00A2292E"/>
    <w:rsid w:val="00A22A46"/>
    <w:rsid w:val="00A22B67"/>
    <w:rsid w:val="00A22CC0"/>
    <w:rsid w:val="00A22E36"/>
    <w:rsid w:val="00A23065"/>
    <w:rsid w:val="00A2316D"/>
    <w:rsid w:val="00A231E6"/>
    <w:rsid w:val="00A23243"/>
    <w:rsid w:val="00A2345E"/>
    <w:rsid w:val="00A2353F"/>
    <w:rsid w:val="00A23664"/>
    <w:rsid w:val="00A236EF"/>
    <w:rsid w:val="00A237D2"/>
    <w:rsid w:val="00A237F4"/>
    <w:rsid w:val="00A23842"/>
    <w:rsid w:val="00A238A2"/>
    <w:rsid w:val="00A23953"/>
    <w:rsid w:val="00A23A14"/>
    <w:rsid w:val="00A23AA9"/>
    <w:rsid w:val="00A23C00"/>
    <w:rsid w:val="00A23C49"/>
    <w:rsid w:val="00A23CC1"/>
    <w:rsid w:val="00A23D12"/>
    <w:rsid w:val="00A23DF2"/>
    <w:rsid w:val="00A23E53"/>
    <w:rsid w:val="00A23F16"/>
    <w:rsid w:val="00A23F6E"/>
    <w:rsid w:val="00A23FCD"/>
    <w:rsid w:val="00A23FD7"/>
    <w:rsid w:val="00A23FDE"/>
    <w:rsid w:val="00A2400C"/>
    <w:rsid w:val="00A2408A"/>
    <w:rsid w:val="00A240F5"/>
    <w:rsid w:val="00A241D5"/>
    <w:rsid w:val="00A242A4"/>
    <w:rsid w:val="00A242B0"/>
    <w:rsid w:val="00A242D9"/>
    <w:rsid w:val="00A24315"/>
    <w:rsid w:val="00A243B0"/>
    <w:rsid w:val="00A2441C"/>
    <w:rsid w:val="00A2444A"/>
    <w:rsid w:val="00A24481"/>
    <w:rsid w:val="00A244FC"/>
    <w:rsid w:val="00A24557"/>
    <w:rsid w:val="00A2466D"/>
    <w:rsid w:val="00A24691"/>
    <w:rsid w:val="00A24709"/>
    <w:rsid w:val="00A2475A"/>
    <w:rsid w:val="00A2475F"/>
    <w:rsid w:val="00A2478F"/>
    <w:rsid w:val="00A2487F"/>
    <w:rsid w:val="00A248F6"/>
    <w:rsid w:val="00A24ADB"/>
    <w:rsid w:val="00A24D1A"/>
    <w:rsid w:val="00A24D75"/>
    <w:rsid w:val="00A24DCF"/>
    <w:rsid w:val="00A24E12"/>
    <w:rsid w:val="00A24E54"/>
    <w:rsid w:val="00A24EB1"/>
    <w:rsid w:val="00A24F60"/>
    <w:rsid w:val="00A24FF9"/>
    <w:rsid w:val="00A25080"/>
    <w:rsid w:val="00A2509C"/>
    <w:rsid w:val="00A250D7"/>
    <w:rsid w:val="00A251BD"/>
    <w:rsid w:val="00A25203"/>
    <w:rsid w:val="00A2535B"/>
    <w:rsid w:val="00A25388"/>
    <w:rsid w:val="00A253D5"/>
    <w:rsid w:val="00A25470"/>
    <w:rsid w:val="00A254BB"/>
    <w:rsid w:val="00A254BE"/>
    <w:rsid w:val="00A25507"/>
    <w:rsid w:val="00A255A1"/>
    <w:rsid w:val="00A255D9"/>
    <w:rsid w:val="00A2561E"/>
    <w:rsid w:val="00A25622"/>
    <w:rsid w:val="00A2574B"/>
    <w:rsid w:val="00A257EB"/>
    <w:rsid w:val="00A2583D"/>
    <w:rsid w:val="00A25868"/>
    <w:rsid w:val="00A25900"/>
    <w:rsid w:val="00A259D5"/>
    <w:rsid w:val="00A25AB0"/>
    <w:rsid w:val="00A25B3E"/>
    <w:rsid w:val="00A25BFA"/>
    <w:rsid w:val="00A25DAD"/>
    <w:rsid w:val="00A25E4C"/>
    <w:rsid w:val="00A25E8D"/>
    <w:rsid w:val="00A25F2C"/>
    <w:rsid w:val="00A25F4F"/>
    <w:rsid w:val="00A25F7A"/>
    <w:rsid w:val="00A2608A"/>
    <w:rsid w:val="00A260F5"/>
    <w:rsid w:val="00A26170"/>
    <w:rsid w:val="00A26194"/>
    <w:rsid w:val="00A261A4"/>
    <w:rsid w:val="00A262F8"/>
    <w:rsid w:val="00A26454"/>
    <w:rsid w:val="00A26554"/>
    <w:rsid w:val="00A265AB"/>
    <w:rsid w:val="00A26736"/>
    <w:rsid w:val="00A2673F"/>
    <w:rsid w:val="00A267E4"/>
    <w:rsid w:val="00A2690D"/>
    <w:rsid w:val="00A26926"/>
    <w:rsid w:val="00A26953"/>
    <w:rsid w:val="00A26975"/>
    <w:rsid w:val="00A26996"/>
    <w:rsid w:val="00A26A9D"/>
    <w:rsid w:val="00A26ADD"/>
    <w:rsid w:val="00A26B09"/>
    <w:rsid w:val="00A26B61"/>
    <w:rsid w:val="00A26B8D"/>
    <w:rsid w:val="00A26BEB"/>
    <w:rsid w:val="00A26C4F"/>
    <w:rsid w:val="00A26C87"/>
    <w:rsid w:val="00A26D10"/>
    <w:rsid w:val="00A26EF3"/>
    <w:rsid w:val="00A26FB6"/>
    <w:rsid w:val="00A27044"/>
    <w:rsid w:val="00A271D6"/>
    <w:rsid w:val="00A271F7"/>
    <w:rsid w:val="00A271FC"/>
    <w:rsid w:val="00A2722A"/>
    <w:rsid w:val="00A273CB"/>
    <w:rsid w:val="00A273F4"/>
    <w:rsid w:val="00A274F9"/>
    <w:rsid w:val="00A27650"/>
    <w:rsid w:val="00A27665"/>
    <w:rsid w:val="00A276D6"/>
    <w:rsid w:val="00A2772A"/>
    <w:rsid w:val="00A2779B"/>
    <w:rsid w:val="00A277DA"/>
    <w:rsid w:val="00A2785C"/>
    <w:rsid w:val="00A27913"/>
    <w:rsid w:val="00A27A94"/>
    <w:rsid w:val="00A27ACF"/>
    <w:rsid w:val="00A27BD6"/>
    <w:rsid w:val="00A27C05"/>
    <w:rsid w:val="00A27C66"/>
    <w:rsid w:val="00A27CAA"/>
    <w:rsid w:val="00A27D23"/>
    <w:rsid w:val="00A27D4A"/>
    <w:rsid w:val="00A27E55"/>
    <w:rsid w:val="00A27F31"/>
    <w:rsid w:val="00A27F46"/>
    <w:rsid w:val="00A30191"/>
    <w:rsid w:val="00A301D6"/>
    <w:rsid w:val="00A30212"/>
    <w:rsid w:val="00A30379"/>
    <w:rsid w:val="00A303DC"/>
    <w:rsid w:val="00A3048D"/>
    <w:rsid w:val="00A30607"/>
    <w:rsid w:val="00A3066B"/>
    <w:rsid w:val="00A30704"/>
    <w:rsid w:val="00A30849"/>
    <w:rsid w:val="00A308DB"/>
    <w:rsid w:val="00A30919"/>
    <w:rsid w:val="00A30A27"/>
    <w:rsid w:val="00A30A35"/>
    <w:rsid w:val="00A30AB1"/>
    <w:rsid w:val="00A30B2A"/>
    <w:rsid w:val="00A30BCD"/>
    <w:rsid w:val="00A30BD3"/>
    <w:rsid w:val="00A30C68"/>
    <w:rsid w:val="00A30E7E"/>
    <w:rsid w:val="00A30EE0"/>
    <w:rsid w:val="00A310B2"/>
    <w:rsid w:val="00A3112C"/>
    <w:rsid w:val="00A311D2"/>
    <w:rsid w:val="00A31246"/>
    <w:rsid w:val="00A3124A"/>
    <w:rsid w:val="00A312EA"/>
    <w:rsid w:val="00A312F7"/>
    <w:rsid w:val="00A31347"/>
    <w:rsid w:val="00A31393"/>
    <w:rsid w:val="00A31438"/>
    <w:rsid w:val="00A31441"/>
    <w:rsid w:val="00A31533"/>
    <w:rsid w:val="00A3162E"/>
    <w:rsid w:val="00A31963"/>
    <w:rsid w:val="00A319FD"/>
    <w:rsid w:val="00A31A38"/>
    <w:rsid w:val="00A31DF1"/>
    <w:rsid w:val="00A31E58"/>
    <w:rsid w:val="00A31FBE"/>
    <w:rsid w:val="00A32060"/>
    <w:rsid w:val="00A320B5"/>
    <w:rsid w:val="00A320BF"/>
    <w:rsid w:val="00A320DE"/>
    <w:rsid w:val="00A32483"/>
    <w:rsid w:val="00A32601"/>
    <w:rsid w:val="00A326BB"/>
    <w:rsid w:val="00A32711"/>
    <w:rsid w:val="00A32895"/>
    <w:rsid w:val="00A328ED"/>
    <w:rsid w:val="00A32963"/>
    <w:rsid w:val="00A32A27"/>
    <w:rsid w:val="00A32BC1"/>
    <w:rsid w:val="00A32BF6"/>
    <w:rsid w:val="00A32CE6"/>
    <w:rsid w:val="00A32CF2"/>
    <w:rsid w:val="00A32CFD"/>
    <w:rsid w:val="00A32D83"/>
    <w:rsid w:val="00A32E6A"/>
    <w:rsid w:val="00A32E97"/>
    <w:rsid w:val="00A32EA6"/>
    <w:rsid w:val="00A330F1"/>
    <w:rsid w:val="00A33122"/>
    <w:rsid w:val="00A331D9"/>
    <w:rsid w:val="00A3327D"/>
    <w:rsid w:val="00A3328A"/>
    <w:rsid w:val="00A333BC"/>
    <w:rsid w:val="00A333C7"/>
    <w:rsid w:val="00A333E0"/>
    <w:rsid w:val="00A333F7"/>
    <w:rsid w:val="00A3340F"/>
    <w:rsid w:val="00A33591"/>
    <w:rsid w:val="00A335C4"/>
    <w:rsid w:val="00A3363B"/>
    <w:rsid w:val="00A336AF"/>
    <w:rsid w:val="00A336E9"/>
    <w:rsid w:val="00A3383C"/>
    <w:rsid w:val="00A338D0"/>
    <w:rsid w:val="00A339FA"/>
    <w:rsid w:val="00A33A3B"/>
    <w:rsid w:val="00A33B81"/>
    <w:rsid w:val="00A33BAC"/>
    <w:rsid w:val="00A33C54"/>
    <w:rsid w:val="00A33EFF"/>
    <w:rsid w:val="00A33F3E"/>
    <w:rsid w:val="00A33F41"/>
    <w:rsid w:val="00A3404C"/>
    <w:rsid w:val="00A3405A"/>
    <w:rsid w:val="00A340C0"/>
    <w:rsid w:val="00A3416E"/>
    <w:rsid w:val="00A341EF"/>
    <w:rsid w:val="00A341F2"/>
    <w:rsid w:val="00A3420C"/>
    <w:rsid w:val="00A3430F"/>
    <w:rsid w:val="00A3437A"/>
    <w:rsid w:val="00A3449F"/>
    <w:rsid w:val="00A344DA"/>
    <w:rsid w:val="00A34613"/>
    <w:rsid w:val="00A3467C"/>
    <w:rsid w:val="00A346CC"/>
    <w:rsid w:val="00A346DE"/>
    <w:rsid w:val="00A34715"/>
    <w:rsid w:val="00A3477F"/>
    <w:rsid w:val="00A3495D"/>
    <w:rsid w:val="00A3496C"/>
    <w:rsid w:val="00A349B7"/>
    <w:rsid w:val="00A34A81"/>
    <w:rsid w:val="00A34B21"/>
    <w:rsid w:val="00A34B56"/>
    <w:rsid w:val="00A34B71"/>
    <w:rsid w:val="00A34C3B"/>
    <w:rsid w:val="00A34C85"/>
    <w:rsid w:val="00A34D8C"/>
    <w:rsid w:val="00A34D9D"/>
    <w:rsid w:val="00A34EBF"/>
    <w:rsid w:val="00A34EE2"/>
    <w:rsid w:val="00A34EFA"/>
    <w:rsid w:val="00A3502E"/>
    <w:rsid w:val="00A3525C"/>
    <w:rsid w:val="00A352B6"/>
    <w:rsid w:val="00A355C9"/>
    <w:rsid w:val="00A356DE"/>
    <w:rsid w:val="00A356EB"/>
    <w:rsid w:val="00A35714"/>
    <w:rsid w:val="00A357B9"/>
    <w:rsid w:val="00A358C4"/>
    <w:rsid w:val="00A358CD"/>
    <w:rsid w:val="00A35907"/>
    <w:rsid w:val="00A3592C"/>
    <w:rsid w:val="00A3598B"/>
    <w:rsid w:val="00A35992"/>
    <w:rsid w:val="00A35A07"/>
    <w:rsid w:val="00A35AD5"/>
    <w:rsid w:val="00A35B2F"/>
    <w:rsid w:val="00A35B85"/>
    <w:rsid w:val="00A35BA6"/>
    <w:rsid w:val="00A35C07"/>
    <w:rsid w:val="00A35C6A"/>
    <w:rsid w:val="00A35C73"/>
    <w:rsid w:val="00A35E3F"/>
    <w:rsid w:val="00A35E50"/>
    <w:rsid w:val="00A35E5B"/>
    <w:rsid w:val="00A3606E"/>
    <w:rsid w:val="00A361D8"/>
    <w:rsid w:val="00A36370"/>
    <w:rsid w:val="00A363F8"/>
    <w:rsid w:val="00A363FD"/>
    <w:rsid w:val="00A364B1"/>
    <w:rsid w:val="00A36510"/>
    <w:rsid w:val="00A36568"/>
    <w:rsid w:val="00A3660A"/>
    <w:rsid w:val="00A3660C"/>
    <w:rsid w:val="00A36700"/>
    <w:rsid w:val="00A3670C"/>
    <w:rsid w:val="00A367FD"/>
    <w:rsid w:val="00A36895"/>
    <w:rsid w:val="00A368DC"/>
    <w:rsid w:val="00A36985"/>
    <w:rsid w:val="00A369FD"/>
    <w:rsid w:val="00A36A4B"/>
    <w:rsid w:val="00A36A4F"/>
    <w:rsid w:val="00A36C8E"/>
    <w:rsid w:val="00A36CC6"/>
    <w:rsid w:val="00A36D34"/>
    <w:rsid w:val="00A36D37"/>
    <w:rsid w:val="00A36D88"/>
    <w:rsid w:val="00A36DDA"/>
    <w:rsid w:val="00A36E3F"/>
    <w:rsid w:val="00A36E4A"/>
    <w:rsid w:val="00A36EBB"/>
    <w:rsid w:val="00A36EBE"/>
    <w:rsid w:val="00A36FD4"/>
    <w:rsid w:val="00A3707F"/>
    <w:rsid w:val="00A37092"/>
    <w:rsid w:val="00A37111"/>
    <w:rsid w:val="00A37189"/>
    <w:rsid w:val="00A371B2"/>
    <w:rsid w:val="00A372B0"/>
    <w:rsid w:val="00A372CE"/>
    <w:rsid w:val="00A37328"/>
    <w:rsid w:val="00A373C0"/>
    <w:rsid w:val="00A37413"/>
    <w:rsid w:val="00A3742A"/>
    <w:rsid w:val="00A37448"/>
    <w:rsid w:val="00A3745C"/>
    <w:rsid w:val="00A374C0"/>
    <w:rsid w:val="00A37580"/>
    <w:rsid w:val="00A375FE"/>
    <w:rsid w:val="00A37617"/>
    <w:rsid w:val="00A37641"/>
    <w:rsid w:val="00A3764F"/>
    <w:rsid w:val="00A376FE"/>
    <w:rsid w:val="00A3778D"/>
    <w:rsid w:val="00A377B8"/>
    <w:rsid w:val="00A37824"/>
    <w:rsid w:val="00A3790C"/>
    <w:rsid w:val="00A37954"/>
    <w:rsid w:val="00A37977"/>
    <w:rsid w:val="00A379BD"/>
    <w:rsid w:val="00A37A04"/>
    <w:rsid w:val="00A37D37"/>
    <w:rsid w:val="00A37E8A"/>
    <w:rsid w:val="00A37EDF"/>
    <w:rsid w:val="00A37F0F"/>
    <w:rsid w:val="00A400F4"/>
    <w:rsid w:val="00A40144"/>
    <w:rsid w:val="00A40177"/>
    <w:rsid w:val="00A4023E"/>
    <w:rsid w:val="00A402C5"/>
    <w:rsid w:val="00A402E3"/>
    <w:rsid w:val="00A40334"/>
    <w:rsid w:val="00A4033D"/>
    <w:rsid w:val="00A403C1"/>
    <w:rsid w:val="00A404FC"/>
    <w:rsid w:val="00A405E3"/>
    <w:rsid w:val="00A40651"/>
    <w:rsid w:val="00A40670"/>
    <w:rsid w:val="00A40794"/>
    <w:rsid w:val="00A407AE"/>
    <w:rsid w:val="00A4084C"/>
    <w:rsid w:val="00A4086D"/>
    <w:rsid w:val="00A40889"/>
    <w:rsid w:val="00A409B5"/>
    <w:rsid w:val="00A409E7"/>
    <w:rsid w:val="00A40B11"/>
    <w:rsid w:val="00A40B13"/>
    <w:rsid w:val="00A40CB1"/>
    <w:rsid w:val="00A40CCE"/>
    <w:rsid w:val="00A40D00"/>
    <w:rsid w:val="00A40E02"/>
    <w:rsid w:val="00A40EC3"/>
    <w:rsid w:val="00A40EC5"/>
    <w:rsid w:val="00A40EF1"/>
    <w:rsid w:val="00A40F51"/>
    <w:rsid w:val="00A40F93"/>
    <w:rsid w:val="00A41035"/>
    <w:rsid w:val="00A4112D"/>
    <w:rsid w:val="00A41154"/>
    <w:rsid w:val="00A411B4"/>
    <w:rsid w:val="00A41201"/>
    <w:rsid w:val="00A41340"/>
    <w:rsid w:val="00A413E1"/>
    <w:rsid w:val="00A413FC"/>
    <w:rsid w:val="00A415B0"/>
    <w:rsid w:val="00A415B7"/>
    <w:rsid w:val="00A41650"/>
    <w:rsid w:val="00A417D2"/>
    <w:rsid w:val="00A41980"/>
    <w:rsid w:val="00A41999"/>
    <w:rsid w:val="00A41A3A"/>
    <w:rsid w:val="00A41A3C"/>
    <w:rsid w:val="00A41AFA"/>
    <w:rsid w:val="00A41B1D"/>
    <w:rsid w:val="00A41BC7"/>
    <w:rsid w:val="00A41C86"/>
    <w:rsid w:val="00A41CA1"/>
    <w:rsid w:val="00A41DF8"/>
    <w:rsid w:val="00A41EB1"/>
    <w:rsid w:val="00A41F10"/>
    <w:rsid w:val="00A41F78"/>
    <w:rsid w:val="00A42015"/>
    <w:rsid w:val="00A42061"/>
    <w:rsid w:val="00A42136"/>
    <w:rsid w:val="00A42287"/>
    <w:rsid w:val="00A423F3"/>
    <w:rsid w:val="00A4240B"/>
    <w:rsid w:val="00A424C1"/>
    <w:rsid w:val="00A42539"/>
    <w:rsid w:val="00A425AF"/>
    <w:rsid w:val="00A425C1"/>
    <w:rsid w:val="00A4260A"/>
    <w:rsid w:val="00A4289F"/>
    <w:rsid w:val="00A42920"/>
    <w:rsid w:val="00A429F3"/>
    <w:rsid w:val="00A42CD4"/>
    <w:rsid w:val="00A42D9D"/>
    <w:rsid w:val="00A42DB3"/>
    <w:rsid w:val="00A42DB9"/>
    <w:rsid w:val="00A42DF2"/>
    <w:rsid w:val="00A42EB9"/>
    <w:rsid w:val="00A42EE0"/>
    <w:rsid w:val="00A42FBB"/>
    <w:rsid w:val="00A42FD2"/>
    <w:rsid w:val="00A430D2"/>
    <w:rsid w:val="00A43164"/>
    <w:rsid w:val="00A43230"/>
    <w:rsid w:val="00A4326D"/>
    <w:rsid w:val="00A432E0"/>
    <w:rsid w:val="00A43366"/>
    <w:rsid w:val="00A433C5"/>
    <w:rsid w:val="00A4343A"/>
    <w:rsid w:val="00A4349E"/>
    <w:rsid w:val="00A43539"/>
    <w:rsid w:val="00A43546"/>
    <w:rsid w:val="00A43555"/>
    <w:rsid w:val="00A43588"/>
    <w:rsid w:val="00A4366C"/>
    <w:rsid w:val="00A43698"/>
    <w:rsid w:val="00A437FD"/>
    <w:rsid w:val="00A43826"/>
    <w:rsid w:val="00A43996"/>
    <w:rsid w:val="00A439D7"/>
    <w:rsid w:val="00A43A19"/>
    <w:rsid w:val="00A43A74"/>
    <w:rsid w:val="00A43A80"/>
    <w:rsid w:val="00A43BAD"/>
    <w:rsid w:val="00A43BD5"/>
    <w:rsid w:val="00A43D1B"/>
    <w:rsid w:val="00A43DA9"/>
    <w:rsid w:val="00A43E06"/>
    <w:rsid w:val="00A43E40"/>
    <w:rsid w:val="00A43E4E"/>
    <w:rsid w:val="00A43E5B"/>
    <w:rsid w:val="00A43F0A"/>
    <w:rsid w:val="00A44039"/>
    <w:rsid w:val="00A4404E"/>
    <w:rsid w:val="00A4412E"/>
    <w:rsid w:val="00A44192"/>
    <w:rsid w:val="00A441A3"/>
    <w:rsid w:val="00A4427A"/>
    <w:rsid w:val="00A4442C"/>
    <w:rsid w:val="00A444C1"/>
    <w:rsid w:val="00A444D6"/>
    <w:rsid w:val="00A4457A"/>
    <w:rsid w:val="00A445AE"/>
    <w:rsid w:val="00A445C9"/>
    <w:rsid w:val="00A44631"/>
    <w:rsid w:val="00A44697"/>
    <w:rsid w:val="00A446EA"/>
    <w:rsid w:val="00A446F7"/>
    <w:rsid w:val="00A4479F"/>
    <w:rsid w:val="00A4489A"/>
    <w:rsid w:val="00A4497D"/>
    <w:rsid w:val="00A4498D"/>
    <w:rsid w:val="00A44B1C"/>
    <w:rsid w:val="00A44B7F"/>
    <w:rsid w:val="00A44B80"/>
    <w:rsid w:val="00A44BC9"/>
    <w:rsid w:val="00A44C03"/>
    <w:rsid w:val="00A44C5B"/>
    <w:rsid w:val="00A44C8A"/>
    <w:rsid w:val="00A44CB5"/>
    <w:rsid w:val="00A44D37"/>
    <w:rsid w:val="00A44EB7"/>
    <w:rsid w:val="00A44EC6"/>
    <w:rsid w:val="00A44F1B"/>
    <w:rsid w:val="00A4503F"/>
    <w:rsid w:val="00A450B7"/>
    <w:rsid w:val="00A450C0"/>
    <w:rsid w:val="00A45261"/>
    <w:rsid w:val="00A45263"/>
    <w:rsid w:val="00A45270"/>
    <w:rsid w:val="00A4528F"/>
    <w:rsid w:val="00A452BA"/>
    <w:rsid w:val="00A4547C"/>
    <w:rsid w:val="00A454A7"/>
    <w:rsid w:val="00A45536"/>
    <w:rsid w:val="00A45576"/>
    <w:rsid w:val="00A4560F"/>
    <w:rsid w:val="00A4565C"/>
    <w:rsid w:val="00A45745"/>
    <w:rsid w:val="00A45768"/>
    <w:rsid w:val="00A457AC"/>
    <w:rsid w:val="00A45936"/>
    <w:rsid w:val="00A45A44"/>
    <w:rsid w:val="00A45A50"/>
    <w:rsid w:val="00A45BE2"/>
    <w:rsid w:val="00A45D2F"/>
    <w:rsid w:val="00A45D62"/>
    <w:rsid w:val="00A45D87"/>
    <w:rsid w:val="00A45F45"/>
    <w:rsid w:val="00A4601C"/>
    <w:rsid w:val="00A46042"/>
    <w:rsid w:val="00A460C1"/>
    <w:rsid w:val="00A4610A"/>
    <w:rsid w:val="00A46168"/>
    <w:rsid w:val="00A4617F"/>
    <w:rsid w:val="00A46259"/>
    <w:rsid w:val="00A46281"/>
    <w:rsid w:val="00A462AE"/>
    <w:rsid w:val="00A463DA"/>
    <w:rsid w:val="00A464C8"/>
    <w:rsid w:val="00A46528"/>
    <w:rsid w:val="00A46629"/>
    <w:rsid w:val="00A466DC"/>
    <w:rsid w:val="00A46935"/>
    <w:rsid w:val="00A469A4"/>
    <w:rsid w:val="00A46AF0"/>
    <w:rsid w:val="00A46C95"/>
    <w:rsid w:val="00A46CD1"/>
    <w:rsid w:val="00A46CD2"/>
    <w:rsid w:val="00A46D27"/>
    <w:rsid w:val="00A46D49"/>
    <w:rsid w:val="00A46D8C"/>
    <w:rsid w:val="00A46EA1"/>
    <w:rsid w:val="00A46FB6"/>
    <w:rsid w:val="00A47148"/>
    <w:rsid w:val="00A4717B"/>
    <w:rsid w:val="00A471CD"/>
    <w:rsid w:val="00A47222"/>
    <w:rsid w:val="00A47380"/>
    <w:rsid w:val="00A47525"/>
    <w:rsid w:val="00A47896"/>
    <w:rsid w:val="00A4790D"/>
    <w:rsid w:val="00A47912"/>
    <w:rsid w:val="00A47922"/>
    <w:rsid w:val="00A47B97"/>
    <w:rsid w:val="00A47BDB"/>
    <w:rsid w:val="00A47C57"/>
    <w:rsid w:val="00A47C9D"/>
    <w:rsid w:val="00A47D02"/>
    <w:rsid w:val="00A47D76"/>
    <w:rsid w:val="00A47DA2"/>
    <w:rsid w:val="00A47F08"/>
    <w:rsid w:val="00A47FC5"/>
    <w:rsid w:val="00A500B9"/>
    <w:rsid w:val="00A50185"/>
    <w:rsid w:val="00A501FA"/>
    <w:rsid w:val="00A50301"/>
    <w:rsid w:val="00A5030C"/>
    <w:rsid w:val="00A50327"/>
    <w:rsid w:val="00A5046F"/>
    <w:rsid w:val="00A505CC"/>
    <w:rsid w:val="00A5077E"/>
    <w:rsid w:val="00A50902"/>
    <w:rsid w:val="00A50968"/>
    <w:rsid w:val="00A5098C"/>
    <w:rsid w:val="00A509D3"/>
    <w:rsid w:val="00A509EF"/>
    <w:rsid w:val="00A50A28"/>
    <w:rsid w:val="00A50ADF"/>
    <w:rsid w:val="00A50AFE"/>
    <w:rsid w:val="00A50B22"/>
    <w:rsid w:val="00A50BE5"/>
    <w:rsid w:val="00A50D1C"/>
    <w:rsid w:val="00A50D70"/>
    <w:rsid w:val="00A50D7A"/>
    <w:rsid w:val="00A50E7B"/>
    <w:rsid w:val="00A50F3E"/>
    <w:rsid w:val="00A50F5C"/>
    <w:rsid w:val="00A50FE0"/>
    <w:rsid w:val="00A51043"/>
    <w:rsid w:val="00A51115"/>
    <w:rsid w:val="00A511DA"/>
    <w:rsid w:val="00A51275"/>
    <w:rsid w:val="00A512D2"/>
    <w:rsid w:val="00A5151C"/>
    <w:rsid w:val="00A515F1"/>
    <w:rsid w:val="00A51698"/>
    <w:rsid w:val="00A51782"/>
    <w:rsid w:val="00A51797"/>
    <w:rsid w:val="00A517DE"/>
    <w:rsid w:val="00A517E7"/>
    <w:rsid w:val="00A51829"/>
    <w:rsid w:val="00A51915"/>
    <w:rsid w:val="00A519C7"/>
    <w:rsid w:val="00A519DF"/>
    <w:rsid w:val="00A51A91"/>
    <w:rsid w:val="00A51B4F"/>
    <w:rsid w:val="00A51B8C"/>
    <w:rsid w:val="00A51BAE"/>
    <w:rsid w:val="00A51D7F"/>
    <w:rsid w:val="00A51E4B"/>
    <w:rsid w:val="00A51E65"/>
    <w:rsid w:val="00A51EED"/>
    <w:rsid w:val="00A51F1E"/>
    <w:rsid w:val="00A51FAF"/>
    <w:rsid w:val="00A51FC3"/>
    <w:rsid w:val="00A51FD4"/>
    <w:rsid w:val="00A51FE2"/>
    <w:rsid w:val="00A52014"/>
    <w:rsid w:val="00A5207F"/>
    <w:rsid w:val="00A52089"/>
    <w:rsid w:val="00A520CD"/>
    <w:rsid w:val="00A52196"/>
    <w:rsid w:val="00A521BB"/>
    <w:rsid w:val="00A5226A"/>
    <w:rsid w:val="00A52297"/>
    <w:rsid w:val="00A52341"/>
    <w:rsid w:val="00A52345"/>
    <w:rsid w:val="00A52387"/>
    <w:rsid w:val="00A5247F"/>
    <w:rsid w:val="00A52551"/>
    <w:rsid w:val="00A525EA"/>
    <w:rsid w:val="00A525EC"/>
    <w:rsid w:val="00A5268A"/>
    <w:rsid w:val="00A52693"/>
    <w:rsid w:val="00A5279E"/>
    <w:rsid w:val="00A5296D"/>
    <w:rsid w:val="00A52A34"/>
    <w:rsid w:val="00A52A88"/>
    <w:rsid w:val="00A52AD9"/>
    <w:rsid w:val="00A52B6E"/>
    <w:rsid w:val="00A52B95"/>
    <w:rsid w:val="00A52BBB"/>
    <w:rsid w:val="00A52BE5"/>
    <w:rsid w:val="00A52C23"/>
    <w:rsid w:val="00A52D47"/>
    <w:rsid w:val="00A52D95"/>
    <w:rsid w:val="00A52DE5"/>
    <w:rsid w:val="00A52E5D"/>
    <w:rsid w:val="00A52E93"/>
    <w:rsid w:val="00A52FED"/>
    <w:rsid w:val="00A53005"/>
    <w:rsid w:val="00A53016"/>
    <w:rsid w:val="00A53160"/>
    <w:rsid w:val="00A531F6"/>
    <w:rsid w:val="00A5324C"/>
    <w:rsid w:val="00A5335D"/>
    <w:rsid w:val="00A53647"/>
    <w:rsid w:val="00A536F9"/>
    <w:rsid w:val="00A537B1"/>
    <w:rsid w:val="00A537DF"/>
    <w:rsid w:val="00A53828"/>
    <w:rsid w:val="00A5382B"/>
    <w:rsid w:val="00A538EC"/>
    <w:rsid w:val="00A5397A"/>
    <w:rsid w:val="00A539D3"/>
    <w:rsid w:val="00A53A58"/>
    <w:rsid w:val="00A53AD8"/>
    <w:rsid w:val="00A53AE4"/>
    <w:rsid w:val="00A53B3F"/>
    <w:rsid w:val="00A53C28"/>
    <w:rsid w:val="00A53CD3"/>
    <w:rsid w:val="00A53E20"/>
    <w:rsid w:val="00A53E42"/>
    <w:rsid w:val="00A53E4C"/>
    <w:rsid w:val="00A53FD1"/>
    <w:rsid w:val="00A54024"/>
    <w:rsid w:val="00A5409A"/>
    <w:rsid w:val="00A5416C"/>
    <w:rsid w:val="00A54292"/>
    <w:rsid w:val="00A54314"/>
    <w:rsid w:val="00A54370"/>
    <w:rsid w:val="00A544E0"/>
    <w:rsid w:val="00A54619"/>
    <w:rsid w:val="00A546C6"/>
    <w:rsid w:val="00A5473D"/>
    <w:rsid w:val="00A547A3"/>
    <w:rsid w:val="00A547DB"/>
    <w:rsid w:val="00A548C4"/>
    <w:rsid w:val="00A548D7"/>
    <w:rsid w:val="00A549E3"/>
    <w:rsid w:val="00A54A05"/>
    <w:rsid w:val="00A54B47"/>
    <w:rsid w:val="00A54B95"/>
    <w:rsid w:val="00A54B97"/>
    <w:rsid w:val="00A54C5D"/>
    <w:rsid w:val="00A54DD2"/>
    <w:rsid w:val="00A54DD4"/>
    <w:rsid w:val="00A54E7A"/>
    <w:rsid w:val="00A54EA6"/>
    <w:rsid w:val="00A54F5A"/>
    <w:rsid w:val="00A55000"/>
    <w:rsid w:val="00A5504A"/>
    <w:rsid w:val="00A55059"/>
    <w:rsid w:val="00A55250"/>
    <w:rsid w:val="00A55280"/>
    <w:rsid w:val="00A55322"/>
    <w:rsid w:val="00A5533A"/>
    <w:rsid w:val="00A55348"/>
    <w:rsid w:val="00A554B4"/>
    <w:rsid w:val="00A5581B"/>
    <w:rsid w:val="00A55B1E"/>
    <w:rsid w:val="00A55B24"/>
    <w:rsid w:val="00A55B37"/>
    <w:rsid w:val="00A55C45"/>
    <w:rsid w:val="00A55CA3"/>
    <w:rsid w:val="00A55CA8"/>
    <w:rsid w:val="00A55D22"/>
    <w:rsid w:val="00A55DB7"/>
    <w:rsid w:val="00A55F05"/>
    <w:rsid w:val="00A55F8A"/>
    <w:rsid w:val="00A55FCA"/>
    <w:rsid w:val="00A560C3"/>
    <w:rsid w:val="00A561A1"/>
    <w:rsid w:val="00A561A3"/>
    <w:rsid w:val="00A56206"/>
    <w:rsid w:val="00A56374"/>
    <w:rsid w:val="00A564FB"/>
    <w:rsid w:val="00A5658C"/>
    <w:rsid w:val="00A56757"/>
    <w:rsid w:val="00A56813"/>
    <w:rsid w:val="00A56852"/>
    <w:rsid w:val="00A568F2"/>
    <w:rsid w:val="00A569E2"/>
    <w:rsid w:val="00A56A01"/>
    <w:rsid w:val="00A56A4E"/>
    <w:rsid w:val="00A56ABC"/>
    <w:rsid w:val="00A56B08"/>
    <w:rsid w:val="00A56B13"/>
    <w:rsid w:val="00A56B1F"/>
    <w:rsid w:val="00A56B95"/>
    <w:rsid w:val="00A56C28"/>
    <w:rsid w:val="00A56C52"/>
    <w:rsid w:val="00A56D17"/>
    <w:rsid w:val="00A56D97"/>
    <w:rsid w:val="00A56E4C"/>
    <w:rsid w:val="00A5703A"/>
    <w:rsid w:val="00A570CF"/>
    <w:rsid w:val="00A570EF"/>
    <w:rsid w:val="00A5719B"/>
    <w:rsid w:val="00A5725A"/>
    <w:rsid w:val="00A572FE"/>
    <w:rsid w:val="00A57371"/>
    <w:rsid w:val="00A57384"/>
    <w:rsid w:val="00A573AE"/>
    <w:rsid w:val="00A573F1"/>
    <w:rsid w:val="00A57438"/>
    <w:rsid w:val="00A574FE"/>
    <w:rsid w:val="00A57706"/>
    <w:rsid w:val="00A57712"/>
    <w:rsid w:val="00A57726"/>
    <w:rsid w:val="00A57A67"/>
    <w:rsid w:val="00A57A6C"/>
    <w:rsid w:val="00A57A8A"/>
    <w:rsid w:val="00A57AD0"/>
    <w:rsid w:val="00A57B81"/>
    <w:rsid w:val="00A57B8E"/>
    <w:rsid w:val="00A57C03"/>
    <w:rsid w:val="00A57C4A"/>
    <w:rsid w:val="00A57C52"/>
    <w:rsid w:val="00A57F33"/>
    <w:rsid w:val="00A602FF"/>
    <w:rsid w:val="00A60309"/>
    <w:rsid w:val="00A60338"/>
    <w:rsid w:val="00A60339"/>
    <w:rsid w:val="00A603B1"/>
    <w:rsid w:val="00A6045A"/>
    <w:rsid w:val="00A6047D"/>
    <w:rsid w:val="00A604B2"/>
    <w:rsid w:val="00A606D6"/>
    <w:rsid w:val="00A60786"/>
    <w:rsid w:val="00A60799"/>
    <w:rsid w:val="00A607E1"/>
    <w:rsid w:val="00A60849"/>
    <w:rsid w:val="00A60853"/>
    <w:rsid w:val="00A60856"/>
    <w:rsid w:val="00A60ACC"/>
    <w:rsid w:val="00A60C50"/>
    <w:rsid w:val="00A60CC7"/>
    <w:rsid w:val="00A60DBF"/>
    <w:rsid w:val="00A60EC5"/>
    <w:rsid w:val="00A60EF0"/>
    <w:rsid w:val="00A60FB3"/>
    <w:rsid w:val="00A61081"/>
    <w:rsid w:val="00A610C4"/>
    <w:rsid w:val="00A61246"/>
    <w:rsid w:val="00A61257"/>
    <w:rsid w:val="00A612F5"/>
    <w:rsid w:val="00A61326"/>
    <w:rsid w:val="00A61346"/>
    <w:rsid w:val="00A61377"/>
    <w:rsid w:val="00A61496"/>
    <w:rsid w:val="00A614EA"/>
    <w:rsid w:val="00A6152D"/>
    <w:rsid w:val="00A61557"/>
    <w:rsid w:val="00A615AC"/>
    <w:rsid w:val="00A6164B"/>
    <w:rsid w:val="00A61680"/>
    <w:rsid w:val="00A616A6"/>
    <w:rsid w:val="00A61757"/>
    <w:rsid w:val="00A61946"/>
    <w:rsid w:val="00A61961"/>
    <w:rsid w:val="00A619A5"/>
    <w:rsid w:val="00A619DD"/>
    <w:rsid w:val="00A61B56"/>
    <w:rsid w:val="00A61B9A"/>
    <w:rsid w:val="00A61C6D"/>
    <w:rsid w:val="00A61E95"/>
    <w:rsid w:val="00A6204A"/>
    <w:rsid w:val="00A62152"/>
    <w:rsid w:val="00A621A7"/>
    <w:rsid w:val="00A623C5"/>
    <w:rsid w:val="00A623E8"/>
    <w:rsid w:val="00A62420"/>
    <w:rsid w:val="00A624B9"/>
    <w:rsid w:val="00A62574"/>
    <w:rsid w:val="00A625A9"/>
    <w:rsid w:val="00A625AE"/>
    <w:rsid w:val="00A625B3"/>
    <w:rsid w:val="00A6262F"/>
    <w:rsid w:val="00A62710"/>
    <w:rsid w:val="00A62713"/>
    <w:rsid w:val="00A62847"/>
    <w:rsid w:val="00A629DF"/>
    <w:rsid w:val="00A62A95"/>
    <w:rsid w:val="00A62BBA"/>
    <w:rsid w:val="00A62C05"/>
    <w:rsid w:val="00A62C73"/>
    <w:rsid w:val="00A62C7B"/>
    <w:rsid w:val="00A62CA5"/>
    <w:rsid w:val="00A62E01"/>
    <w:rsid w:val="00A62F3C"/>
    <w:rsid w:val="00A62FAB"/>
    <w:rsid w:val="00A631E3"/>
    <w:rsid w:val="00A63271"/>
    <w:rsid w:val="00A632F8"/>
    <w:rsid w:val="00A63353"/>
    <w:rsid w:val="00A6347A"/>
    <w:rsid w:val="00A634AE"/>
    <w:rsid w:val="00A63595"/>
    <w:rsid w:val="00A635E2"/>
    <w:rsid w:val="00A63609"/>
    <w:rsid w:val="00A63617"/>
    <w:rsid w:val="00A63657"/>
    <w:rsid w:val="00A6368E"/>
    <w:rsid w:val="00A636C8"/>
    <w:rsid w:val="00A637D3"/>
    <w:rsid w:val="00A638EF"/>
    <w:rsid w:val="00A638FF"/>
    <w:rsid w:val="00A6392D"/>
    <w:rsid w:val="00A639BE"/>
    <w:rsid w:val="00A639C2"/>
    <w:rsid w:val="00A639C4"/>
    <w:rsid w:val="00A639DB"/>
    <w:rsid w:val="00A63A41"/>
    <w:rsid w:val="00A63C43"/>
    <w:rsid w:val="00A63C77"/>
    <w:rsid w:val="00A63CAA"/>
    <w:rsid w:val="00A63E45"/>
    <w:rsid w:val="00A63F7F"/>
    <w:rsid w:val="00A63F91"/>
    <w:rsid w:val="00A63FC8"/>
    <w:rsid w:val="00A640CC"/>
    <w:rsid w:val="00A64107"/>
    <w:rsid w:val="00A64143"/>
    <w:rsid w:val="00A64173"/>
    <w:rsid w:val="00A6418B"/>
    <w:rsid w:val="00A641E6"/>
    <w:rsid w:val="00A64228"/>
    <w:rsid w:val="00A6427F"/>
    <w:rsid w:val="00A642FD"/>
    <w:rsid w:val="00A64303"/>
    <w:rsid w:val="00A643AC"/>
    <w:rsid w:val="00A64446"/>
    <w:rsid w:val="00A644B2"/>
    <w:rsid w:val="00A6450E"/>
    <w:rsid w:val="00A6451C"/>
    <w:rsid w:val="00A64622"/>
    <w:rsid w:val="00A64871"/>
    <w:rsid w:val="00A648AD"/>
    <w:rsid w:val="00A6494B"/>
    <w:rsid w:val="00A649F7"/>
    <w:rsid w:val="00A64A21"/>
    <w:rsid w:val="00A64A6E"/>
    <w:rsid w:val="00A64A71"/>
    <w:rsid w:val="00A64AB0"/>
    <w:rsid w:val="00A64BD3"/>
    <w:rsid w:val="00A64C84"/>
    <w:rsid w:val="00A64C92"/>
    <w:rsid w:val="00A64D1B"/>
    <w:rsid w:val="00A64D78"/>
    <w:rsid w:val="00A64DB7"/>
    <w:rsid w:val="00A64EC7"/>
    <w:rsid w:val="00A64ED9"/>
    <w:rsid w:val="00A64F0E"/>
    <w:rsid w:val="00A64F93"/>
    <w:rsid w:val="00A65349"/>
    <w:rsid w:val="00A65398"/>
    <w:rsid w:val="00A653B5"/>
    <w:rsid w:val="00A6546C"/>
    <w:rsid w:val="00A654A4"/>
    <w:rsid w:val="00A65520"/>
    <w:rsid w:val="00A65634"/>
    <w:rsid w:val="00A6565F"/>
    <w:rsid w:val="00A6567F"/>
    <w:rsid w:val="00A65855"/>
    <w:rsid w:val="00A65907"/>
    <w:rsid w:val="00A65908"/>
    <w:rsid w:val="00A65A88"/>
    <w:rsid w:val="00A65A8F"/>
    <w:rsid w:val="00A65B05"/>
    <w:rsid w:val="00A65D59"/>
    <w:rsid w:val="00A65FEC"/>
    <w:rsid w:val="00A66160"/>
    <w:rsid w:val="00A6617D"/>
    <w:rsid w:val="00A66202"/>
    <w:rsid w:val="00A6626C"/>
    <w:rsid w:val="00A662A6"/>
    <w:rsid w:val="00A663B5"/>
    <w:rsid w:val="00A663BF"/>
    <w:rsid w:val="00A66417"/>
    <w:rsid w:val="00A66564"/>
    <w:rsid w:val="00A665B7"/>
    <w:rsid w:val="00A665CB"/>
    <w:rsid w:val="00A667AD"/>
    <w:rsid w:val="00A66872"/>
    <w:rsid w:val="00A66A15"/>
    <w:rsid w:val="00A66A27"/>
    <w:rsid w:val="00A66A49"/>
    <w:rsid w:val="00A66AE1"/>
    <w:rsid w:val="00A66B3A"/>
    <w:rsid w:val="00A66B66"/>
    <w:rsid w:val="00A66D69"/>
    <w:rsid w:val="00A66DA7"/>
    <w:rsid w:val="00A66DD6"/>
    <w:rsid w:val="00A66E92"/>
    <w:rsid w:val="00A66E95"/>
    <w:rsid w:val="00A66E97"/>
    <w:rsid w:val="00A66F67"/>
    <w:rsid w:val="00A66F87"/>
    <w:rsid w:val="00A66F99"/>
    <w:rsid w:val="00A67053"/>
    <w:rsid w:val="00A6708F"/>
    <w:rsid w:val="00A670AE"/>
    <w:rsid w:val="00A67149"/>
    <w:rsid w:val="00A6735D"/>
    <w:rsid w:val="00A67433"/>
    <w:rsid w:val="00A67446"/>
    <w:rsid w:val="00A67462"/>
    <w:rsid w:val="00A67500"/>
    <w:rsid w:val="00A6753C"/>
    <w:rsid w:val="00A675D7"/>
    <w:rsid w:val="00A675DF"/>
    <w:rsid w:val="00A67643"/>
    <w:rsid w:val="00A6764C"/>
    <w:rsid w:val="00A67703"/>
    <w:rsid w:val="00A67898"/>
    <w:rsid w:val="00A67ACE"/>
    <w:rsid w:val="00A67B66"/>
    <w:rsid w:val="00A67BDF"/>
    <w:rsid w:val="00A67BF3"/>
    <w:rsid w:val="00A67C3D"/>
    <w:rsid w:val="00A67CE7"/>
    <w:rsid w:val="00A67D0C"/>
    <w:rsid w:val="00A67D2B"/>
    <w:rsid w:val="00A67E50"/>
    <w:rsid w:val="00A67EDF"/>
    <w:rsid w:val="00A67F87"/>
    <w:rsid w:val="00A67FA2"/>
    <w:rsid w:val="00A7012E"/>
    <w:rsid w:val="00A7018B"/>
    <w:rsid w:val="00A7022E"/>
    <w:rsid w:val="00A7024C"/>
    <w:rsid w:val="00A703CF"/>
    <w:rsid w:val="00A70432"/>
    <w:rsid w:val="00A7061A"/>
    <w:rsid w:val="00A706F5"/>
    <w:rsid w:val="00A70776"/>
    <w:rsid w:val="00A708DC"/>
    <w:rsid w:val="00A70906"/>
    <w:rsid w:val="00A709AA"/>
    <w:rsid w:val="00A70A67"/>
    <w:rsid w:val="00A70A8C"/>
    <w:rsid w:val="00A70B48"/>
    <w:rsid w:val="00A70DD9"/>
    <w:rsid w:val="00A70E44"/>
    <w:rsid w:val="00A70E7F"/>
    <w:rsid w:val="00A70EBE"/>
    <w:rsid w:val="00A70ED2"/>
    <w:rsid w:val="00A70EEC"/>
    <w:rsid w:val="00A7103D"/>
    <w:rsid w:val="00A71077"/>
    <w:rsid w:val="00A711CB"/>
    <w:rsid w:val="00A71209"/>
    <w:rsid w:val="00A71252"/>
    <w:rsid w:val="00A71271"/>
    <w:rsid w:val="00A7132C"/>
    <w:rsid w:val="00A71344"/>
    <w:rsid w:val="00A7136F"/>
    <w:rsid w:val="00A71536"/>
    <w:rsid w:val="00A7178A"/>
    <w:rsid w:val="00A717EA"/>
    <w:rsid w:val="00A7186B"/>
    <w:rsid w:val="00A71889"/>
    <w:rsid w:val="00A718B3"/>
    <w:rsid w:val="00A71A1F"/>
    <w:rsid w:val="00A71A33"/>
    <w:rsid w:val="00A71B4A"/>
    <w:rsid w:val="00A71BBA"/>
    <w:rsid w:val="00A71C25"/>
    <w:rsid w:val="00A71C38"/>
    <w:rsid w:val="00A71E81"/>
    <w:rsid w:val="00A71EAC"/>
    <w:rsid w:val="00A71FF8"/>
    <w:rsid w:val="00A7207A"/>
    <w:rsid w:val="00A72100"/>
    <w:rsid w:val="00A722A7"/>
    <w:rsid w:val="00A72325"/>
    <w:rsid w:val="00A72345"/>
    <w:rsid w:val="00A7236A"/>
    <w:rsid w:val="00A72552"/>
    <w:rsid w:val="00A72565"/>
    <w:rsid w:val="00A727D7"/>
    <w:rsid w:val="00A72829"/>
    <w:rsid w:val="00A72898"/>
    <w:rsid w:val="00A728C2"/>
    <w:rsid w:val="00A72C41"/>
    <w:rsid w:val="00A72CB9"/>
    <w:rsid w:val="00A72DFF"/>
    <w:rsid w:val="00A72E07"/>
    <w:rsid w:val="00A73050"/>
    <w:rsid w:val="00A73106"/>
    <w:rsid w:val="00A731CC"/>
    <w:rsid w:val="00A73234"/>
    <w:rsid w:val="00A73253"/>
    <w:rsid w:val="00A732B3"/>
    <w:rsid w:val="00A73307"/>
    <w:rsid w:val="00A73363"/>
    <w:rsid w:val="00A733F6"/>
    <w:rsid w:val="00A7348B"/>
    <w:rsid w:val="00A73524"/>
    <w:rsid w:val="00A73672"/>
    <w:rsid w:val="00A736CC"/>
    <w:rsid w:val="00A736CE"/>
    <w:rsid w:val="00A73708"/>
    <w:rsid w:val="00A737CB"/>
    <w:rsid w:val="00A73822"/>
    <w:rsid w:val="00A73890"/>
    <w:rsid w:val="00A73A14"/>
    <w:rsid w:val="00A73A4C"/>
    <w:rsid w:val="00A73B01"/>
    <w:rsid w:val="00A73C03"/>
    <w:rsid w:val="00A73C1D"/>
    <w:rsid w:val="00A73C2E"/>
    <w:rsid w:val="00A73C4F"/>
    <w:rsid w:val="00A73D60"/>
    <w:rsid w:val="00A73E10"/>
    <w:rsid w:val="00A73E5B"/>
    <w:rsid w:val="00A73E66"/>
    <w:rsid w:val="00A73F01"/>
    <w:rsid w:val="00A73F4D"/>
    <w:rsid w:val="00A73F82"/>
    <w:rsid w:val="00A7408A"/>
    <w:rsid w:val="00A74155"/>
    <w:rsid w:val="00A7418C"/>
    <w:rsid w:val="00A74214"/>
    <w:rsid w:val="00A7436B"/>
    <w:rsid w:val="00A7437E"/>
    <w:rsid w:val="00A743D3"/>
    <w:rsid w:val="00A7446D"/>
    <w:rsid w:val="00A745F0"/>
    <w:rsid w:val="00A7469A"/>
    <w:rsid w:val="00A746C4"/>
    <w:rsid w:val="00A748CF"/>
    <w:rsid w:val="00A7490B"/>
    <w:rsid w:val="00A7493B"/>
    <w:rsid w:val="00A7496C"/>
    <w:rsid w:val="00A749AF"/>
    <w:rsid w:val="00A74C74"/>
    <w:rsid w:val="00A74C98"/>
    <w:rsid w:val="00A74CCC"/>
    <w:rsid w:val="00A74D6D"/>
    <w:rsid w:val="00A74E98"/>
    <w:rsid w:val="00A74F28"/>
    <w:rsid w:val="00A74F60"/>
    <w:rsid w:val="00A74FBE"/>
    <w:rsid w:val="00A75001"/>
    <w:rsid w:val="00A7503F"/>
    <w:rsid w:val="00A750FF"/>
    <w:rsid w:val="00A75121"/>
    <w:rsid w:val="00A75128"/>
    <w:rsid w:val="00A75196"/>
    <w:rsid w:val="00A752AD"/>
    <w:rsid w:val="00A7530C"/>
    <w:rsid w:val="00A75328"/>
    <w:rsid w:val="00A75658"/>
    <w:rsid w:val="00A756FE"/>
    <w:rsid w:val="00A758D1"/>
    <w:rsid w:val="00A7596F"/>
    <w:rsid w:val="00A75C20"/>
    <w:rsid w:val="00A75C69"/>
    <w:rsid w:val="00A75CCF"/>
    <w:rsid w:val="00A75CDE"/>
    <w:rsid w:val="00A75CF8"/>
    <w:rsid w:val="00A75D37"/>
    <w:rsid w:val="00A75EA5"/>
    <w:rsid w:val="00A75FF5"/>
    <w:rsid w:val="00A76009"/>
    <w:rsid w:val="00A762E7"/>
    <w:rsid w:val="00A7648C"/>
    <w:rsid w:val="00A764B6"/>
    <w:rsid w:val="00A764E9"/>
    <w:rsid w:val="00A76654"/>
    <w:rsid w:val="00A766C8"/>
    <w:rsid w:val="00A766F2"/>
    <w:rsid w:val="00A7671D"/>
    <w:rsid w:val="00A7672D"/>
    <w:rsid w:val="00A76802"/>
    <w:rsid w:val="00A7684E"/>
    <w:rsid w:val="00A76898"/>
    <w:rsid w:val="00A768A3"/>
    <w:rsid w:val="00A7691F"/>
    <w:rsid w:val="00A76954"/>
    <w:rsid w:val="00A76A19"/>
    <w:rsid w:val="00A76CF4"/>
    <w:rsid w:val="00A76D55"/>
    <w:rsid w:val="00A76F0D"/>
    <w:rsid w:val="00A76FC9"/>
    <w:rsid w:val="00A77071"/>
    <w:rsid w:val="00A77084"/>
    <w:rsid w:val="00A770C3"/>
    <w:rsid w:val="00A7711C"/>
    <w:rsid w:val="00A771D1"/>
    <w:rsid w:val="00A77200"/>
    <w:rsid w:val="00A7726F"/>
    <w:rsid w:val="00A7727F"/>
    <w:rsid w:val="00A77297"/>
    <w:rsid w:val="00A77384"/>
    <w:rsid w:val="00A77394"/>
    <w:rsid w:val="00A7745D"/>
    <w:rsid w:val="00A774B1"/>
    <w:rsid w:val="00A7753C"/>
    <w:rsid w:val="00A77626"/>
    <w:rsid w:val="00A7767C"/>
    <w:rsid w:val="00A776A1"/>
    <w:rsid w:val="00A77814"/>
    <w:rsid w:val="00A7783A"/>
    <w:rsid w:val="00A779A8"/>
    <w:rsid w:val="00A77A3B"/>
    <w:rsid w:val="00A77AC5"/>
    <w:rsid w:val="00A77ADF"/>
    <w:rsid w:val="00A77BA0"/>
    <w:rsid w:val="00A77BB8"/>
    <w:rsid w:val="00A77BE3"/>
    <w:rsid w:val="00A77BF8"/>
    <w:rsid w:val="00A77C58"/>
    <w:rsid w:val="00A77C5F"/>
    <w:rsid w:val="00A77CBF"/>
    <w:rsid w:val="00A77EBE"/>
    <w:rsid w:val="00A77EE6"/>
    <w:rsid w:val="00A77F25"/>
    <w:rsid w:val="00A8002A"/>
    <w:rsid w:val="00A80200"/>
    <w:rsid w:val="00A80202"/>
    <w:rsid w:val="00A8029F"/>
    <w:rsid w:val="00A802AA"/>
    <w:rsid w:val="00A8038D"/>
    <w:rsid w:val="00A803A8"/>
    <w:rsid w:val="00A8056A"/>
    <w:rsid w:val="00A80625"/>
    <w:rsid w:val="00A806B1"/>
    <w:rsid w:val="00A806E7"/>
    <w:rsid w:val="00A80790"/>
    <w:rsid w:val="00A807CA"/>
    <w:rsid w:val="00A807D5"/>
    <w:rsid w:val="00A80820"/>
    <w:rsid w:val="00A80830"/>
    <w:rsid w:val="00A80932"/>
    <w:rsid w:val="00A80ADE"/>
    <w:rsid w:val="00A80AE8"/>
    <w:rsid w:val="00A80AF4"/>
    <w:rsid w:val="00A80B03"/>
    <w:rsid w:val="00A80B85"/>
    <w:rsid w:val="00A80BA4"/>
    <w:rsid w:val="00A80CBE"/>
    <w:rsid w:val="00A80D08"/>
    <w:rsid w:val="00A80F60"/>
    <w:rsid w:val="00A81063"/>
    <w:rsid w:val="00A810C6"/>
    <w:rsid w:val="00A81116"/>
    <w:rsid w:val="00A81140"/>
    <w:rsid w:val="00A811A0"/>
    <w:rsid w:val="00A8120C"/>
    <w:rsid w:val="00A8122B"/>
    <w:rsid w:val="00A8124D"/>
    <w:rsid w:val="00A81388"/>
    <w:rsid w:val="00A8142C"/>
    <w:rsid w:val="00A81475"/>
    <w:rsid w:val="00A814DE"/>
    <w:rsid w:val="00A8153E"/>
    <w:rsid w:val="00A81692"/>
    <w:rsid w:val="00A81781"/>
    <w:rsid w:val="00A81799"/>
    <w:rsid w:val="00A8179F"/>
    <w:rsid w:val="00A81965"/>
    <w:rsid w:val="00A81AC6"/>
    <w:rsid w:val="00A81BE5"/>
    <w:rsid w:val="00A81C22"/>
    <w:rsid w:val="00A81C36"/>
    <w:rsid w:val="00A81D97"/>
    <w:rsid w:val="00A81DC3"/>
    <w:rsid w:val="00A81E48"/>
    <w:rsid w:val="00A81E81"/>
    <w:rsid w:val="00A81F42"/>
    <w:rsid w:val="00A81FD1"/>
    <w:rsid w:val="00A81FFA"/>
    <w:rsid w:val="00A82027"/>
    <w:rsid w:val="00A82030"/>
    <w:rsid w:val="00A821A1"/>
    <w:rsid w:val="00A82259"/>
    <w:rsid w:val="00A824CA"/>
    <w:rsid w:val="00A826C5"/>
    <w:rsid w:val="00A8279B"/>
    <w:rsid w:val="00A82858"/>
    <w:rsid w:val="00A828C9"/>
    <w:rsid w:val="00A828FF"/>
    <w:rsid w:val="00A82964"/>
    <w:rsid w:val="00A829FC"/>
    <w:rsid w:val="00A82A06"/>
    <w:rsid w:val="00A82A56"/>
    <w:rsid w:val="00A82AB8"/>
    <w:rsid w:val="00A82C63"/>
    <w:rsid w:val="00A82CA8"/>
    <w:rsid w:val="00A82CB4"/>
    <w:rsid w:val="00A82CE3"/>
    <w:rsid w:val="00A82CE9"/>
    <w:rsid w:val="00A82DD6"/>
    <w:rsid w:val="00A82EDB"/>
    <w:rsid w:val="00A82EDE"/>
    <w:rsid w:val="00A82F15"/>
    <w:rsid w:val="00A8311F"/>
    <w:rsid w:val="00A83137"/>
    <w:rsid w:val="00A831DE"/>
    <w:rsid w:val="00A83276"/>
    <w:rsid w:val="00A8334A"/>
    <w:rsid w:val="00A8334C"/>
    <w:rsid w:val="00A83356"/>
    <w:rsid w:val="00A83367"/>
    <w:rsid w:val="00A8336D"/>
    <w:rsid w:val="00A83379"/>
    <w:rsid w:val="00A83487"/>
    <w:rsid w:val="00A8348B"/>
    <w:rsid w:val="00A8349B"/>
    <w:rsid w:val="00A834AB"/>
    <w:rsid w:val="00A83526"/>
    <w:rsid w:val="00A83683"/>
    <w:rsid w:val="00A838D7"/>
    <w:rsid w:val="00A83954"/>
    <w:rsid w:val="00A839D4"/>
    <w:rsid w:val="00A83B2D"/>
    <w:rsid w:val="00A83B70"/>
    <w:rsid w:val="00A83BBB"/>
    <w:rsid w:val="00A83C11"/>
    <w:rsid w:val="00A83C14"/>
    <w:rsid w:val="00A83C6C"/>
    <w:rsid w:val="00A83D6E"/>
    <w:rsid w:val="00A83DDB"/>
    <w:rsid w:val="00A83E22"/>
    <w:rsid w:val="00A83E2A"/>
    <w:rsid w:val="00A83EBD"/>
    <w:rsid w:val="00A83ED4"/>
    <w:rsid w:val="00A83F16"/>
    <w:rsid w:val="00A83FA4"/>
    <w:rsid w:val="00A8402F"/>
    <w:rsid w:val="00A84041"/>
    <w:rsid w:val="00A840BC"/>
    <w:rsid w:val="00A841FC"/>
    <w:rsid w:val="00A8420D"/>
    <w:rsid w:val="00A84282"/>
    <w:rsid w:val="00A84401"/>
    <w:rsid w:val="00A84432"/>
    <w:rsid w:val="00A844BF"/>
    <w:rsid w:val="00A84589"/>
    <w:rsid w:val="00A84627"/>
    <w:rsid w:val="00A84690"/>
    <w:rsid w:val="00A84740"/>
    <w:rsid w:val="00A84808"/>
    <w:rsid w:val="00A8483A"/>
    <w:rsid w:val="00A84950"/>
    <w:rsid w:val="00A84970"/>
    <w:rsid w:val="00A849E6"/>
    <w:rsid w:val="00A84A06"/>
    <w:rsid w:val="00A84A24"/>
    <w:rsid w:val="00A84A39"/>
    <w:rsid w:val="00A84D2F"/>
    <w:rsid w:val="00A84D3E"/>
    <w:rsid w:val="00A84E55"/>
    <w:rsid w:val="00A84E90"/>
    <w:rsid w:val="00A84F95"/>
    <w:rsid w:val="00A84FB1"/>
    <w:rsid w:val="00A84FF5"/>
    <w:rsid w:val="00A85009"/>
    <w:rsid w:val="00A850E9"/>
    <w:rsid w:val="00A850F8"/>
    <w:rsid w:val="00A850FD"/>
    <w:rsid w:val="00A85120"/>
    <w:rsid w:val="00A85295"/>
    <w:rsid w:val="00A852D1"/>
    <w:rsid w:val="00A85311"/>
    <w:rsid w:val="00A85430"/>
    <w:rsid w:val="00A854A3"/>
    <w:rsid w:val="00A85515"/>
    <w:rsid w:val="00A855D0"/>
    <w:rsid w:val="00A85652"/>
    <w:rsid w:val="00A85663"/>
    <w:rsid w:val="00A85835"/>
    <w:rsid w:val="00A85862"/>
    <w:rsid w:val="00A85908"/>
    <w:rsid w:val="00A859F5"/>
    <w:rsid w:val="00A85B2E"/>
    <w:rsid w:val="00A85BFE"/>
    <w:rsid w:val="00A85D09"/>
    <w:rsid w:val="00A85DD2"/>
    <w:rsid w:val="00A85E8A"/>
    <w:rsid w:val="00A85EB5"/>
    <w:rsid w:val="00A85FD9"/>
    <w:rsid w:val="00A86000"/>
    <w:rsid w:val="00A86033"/>
    <w:rsid w:val="00A860C6"/>
    <w:rsid w:val="00A860CD"/>
    <w:rsid w:val="00A86126"/>
    <w:rsid w:val="00A8618D"/>
    <w:rsid w:val="00A863B8"/>
    <w:rsid w:val="00A8645C"/>
    <w:rsid w:val="00A86541"/>
    <w:rsid w:val="00A86543"/>
    <w:rsid w:val="00A865C4"/>
    <w:rsid w:val="00A866A4"/>
    <w:rsid w:val="00A86741"/>
    <w:rsid w:val="00A8688E"/>
    <w:rsid w:val="00A869D9"/>
    <w:rsid w:val="00A86D14"/>
    <w:rsid w:val="00A8706C"/>
    <w:rsid w:val="00A87096"/>
    <w:rsid w:val="00A870CD"/>
    <w:rsid w:val="00A87115"/>
    <w:rsid w:val="00A87142"/>
    <w:rsid w:val="00A873FE"/>
    <w:rsid w:val="00A874A3"/>
    <w:rsid w:val="00A874BF"/>
    <w:rsid w:val="00A875E5"/>
    <w:rsid w:val="00A87613"/>
    <w:rsid w:val="00A8766E"/>
    <w:rsid w:val="00A8768E"/>
    <w:rsid w:val="00A876E6"/>
    <w:rsid w:val="00A876EE"/>
    <w:rsid w:val="00A87724"/>
    <w:rsid w:val="00A8782A"/>
    <w:rsid w:val="00A878B3"/>
    <w:rsid w:val="00A87BEB"/>
    <w:rsid w:val="00A87CE4"/>
    <w:rsid w:val="00A87CF5"/>
    <w:rsid w:val="00A87EA1"/>
    <w:rsid w:val="00A87EFB"/>
    <w:rsid w:val="00A87F91"/>
    <w:rsid w:val="00A87FCC"/>
    <w:rsid w:val="00A900FD"/>
    <w:rsid w:val="00A9017D"/>
    <w:rsid w:val="00A9018C"/>
    <w:rsid w:val="00A90252"/>
    <w:rsid w:val="00A9025A"/>
    <w:rsid w:val="00A90279"/>
    <w:rsid w:val="00A902D8"/>
    <w:rsid w:val="00A9034A"/>
    <w:rsid w:val="00A9046F"/>
    <w:rsid w:val="00A90542"/>
    <w:rsid w:val="00A90604"/>
    <w:rsid w:val="00A9063B"/>
    <w:rsid w:val="00A9066F"/>
    <w:rsid w:val="00A90693"/>
    <w:rsid w:val="00A9074F"/>
    <w:rsid w:val="00A90A3B"/>
    <w:rsid w:val="00A90AA9"/>
    <w:rsid w:val="00A90ADA"/>
    <w:rsid w:val="00A90AE8"/>
    <w:rsid w:val="00A90BEF"/>
    <w:rsid w:val="00A90D51"/>
    <w:rsid w:val="00A90D94"/>
    <w:rsid w:val="00A90E57"/>
    <w:rsid w:val="00A90E90"/>
    <w:rsid w:val="00A90EB3"/>
    <w:rsid w:val="00A90F6D"/>
    <w:rsid w:val="00A90F94"/>
    <w:rsid w:val="00A910A9"/>
    <w:rsid w:val="00A91152"/>
    <w:rsid w:val="00A912EF"/>
    <w:rsid w:val="00A9130C"/>
    <w:rsid w:val="00A9144C"/>
    <w:rsid w:val="00A9166A"/>
    <w:rsid w:val="00A916E2"/>
    <w:rsid w:val="00A916E7"/>
    <w:rsid w:val="00A9177D"/>
    <w:rsid w:val="00A917B7"/>
    <w:rsid w:val="00A917BC"/>
    <w:rsid w:val="00A917C3"/>
    <w:rsid w:val="00A91810"/>
    <w:rsid w:val="00A91A5E"/>
    <w:rsid w:val="00A91B3C"/>
    <w:rsid w:val="00A91B62"/>
    <w:rsid w:val="00A91DB4"/>
    <w:rsid w:val="00A91DCB"/>
    <w:rsid w:val="00A91F12"/>
    <w:rsid w:val="00A92058"/>
    <w:rsid w:val="00A920BD"/>
    <w:rsid w:val="00A920E4"/>
    <w:rsid w:val="00A92116"/>
    <w:rsid w:val="00A9238B"/>
    <w:rsid w:val="00A923A6"/>
    <w:rsid w:val="00A923C1"/>
    <w:rsid w:val="00A92460"/>
    <w:rsid w:val="00A924E2"/>
    <w:rsid w:val="00A9252F"/>
    <w:rsid w:val="00A92547"/>
    <w:rsid w:val="00A92850"/>
    <w:rsid w:val="00A928A2"/>
    <w:rsid w:val="00A92976"/>
    <w:rsid w:val="00A92A81"/>
    <w:rsid w:val="00A92BA3"/>
    <w:rsid w:val="00A92C58"/>
    <w:rsid w:val="00A92C67"/>
    <w:rsid w:val="00A92C9F"/>
    <w:rsid w:val="00A92CF5"/>
    <w:rsid w:val="00A92D41"/>
    <w:rsid w:val="00A92D64"/>
    <w:rsid w:val="00A92DA9"/>
    <w:rsid w:val="00A92DAF"/>
    <w:rsid w:val="00A92DEE"/>
    <w:rsid w:val="00A92DFE"/>
    <w:rsid w:val="00A92EC1"/>
    <w:rsid w:val="00A92F0B"/>
    <w:rsid w:val="00A930CE"/>
    <w:rsid w:val="00A93163"/>
    <w:rsid w:val="00A93268"/>
    <w:rsid w:val="00A933B7"/>
    <w:rsid w:val="00A93546"/>
    <w:rsid w:val="00A93613"/>
    <w:rsid w:val="00A9385C"/>
    <w:rsid w:val="00A93891"/>
    <w:rsid w:val="00A9389E"/>
    <w:rsid w:val="00A93903"/>
    <w:rsid w:val="00A939D5"/>
    <w:rsid w:val="00A939F8"/>
    <w:rsid w:val="00A93AB7"/>
    <w:rsid w:val="00A93AFF"/>
    <w:rsid w:val="00A93B6C"/>
    <w:rsid w:val="00A93C44"/>
    <w:rsid w:val="00A93C47"/>
    <w:rsid w:val="00A93DD5"/>
    <w:rsid w:val="00A93E0D"/>
    <w:rsid w:val="00A93E80"/>
    <w:rsid w:val="00A93F44"/>
    <w:rsid w:val="00A93F8E"/>
    <w:rsid w:val="00A93FA0"/>
    <w:rsid w:val="00A93FA6"/>
    <w:rsid w:val="00A93FF7"/>
    <w:rsid w:val="00A9406C"/>
    <w:rsid w:val="00A94249"/>
    <w:rsid w:val="00A942B7"/>
    <w:rsid w:val="00A94583"/>
    <w:rsid w:val="00A9461A"/>
    <w:rsid w:val="00A946A1"/>
    <w:rsid w:val="00A946EB"/>
    <w:rsid w:val="00A947E7"/>
    <w:rsid w:val="00A947FD"/>
    <w:rsid w:val="00A9487B"/>
    <w:rsid w:val="00A94976"/>
    <w:rsid w:val="00A94991"/>
    <w:rsid w:val="00A949F9"/>
    <w:rsid w:val="00A94A07"/>
    <w:rsid w:val="00A94A15"/>
    <w:rsid w:val="00A94A33"/>
    <w:rsid w:val="00A94B24"/>
    <w:rsid w:val="00A94B5C"/>
    <w:rsid w:val="00A94BA5"/>
    <w:rsid w:val="00A94C8F"/>
    <w:rsid w:val="00A94D0D"/>
    <w:rsid w:val="00A95082"/>
    <w:rsid w:val="00A950E1"/>
    <w:rsid w:val="00A95129"/>
    <w:rsid w:val="00A95152"/>
    <w:rsid w:val="00A9515E"/>
    <w:rsid w:val="00A953BB"/>
    <w:rsid w:val="00A95418"/>
    <w:rsid w:val="00A9548A"/>
    <w:rsid w:val="00A9554F"/>
    <w:rsid w:val="00A957AA"/>
    <w:rsid w:val="00A957BB"/>
    <w:rsid w:val="00A95864"/>
    <w:rsid w:val="00A95974"/>
    <w:rsid w:val="00A959DD"/>
    <w:rsid w:val="00A959EB"/>
    <w:rsid w:val="00A95A12"/>
    <w:rsid w:val="00A95A16"/>
    <w:rsid w:val="00A95AA4"/>
    <w:rsid w:val="00A95AF0"/>
    <w:rsid w:val="00A95AFA"/>
    <w:rsid w:val="00A95BAA"/>
    <w:rsid w:val="00A95C6F"/>
    <w:rsid w:val="00A95C8B"/>
    <w:rsid w:val="00A95CC6"/>
    <w:rsid w:val="00A95D11"/>
    <w:rsid w:val="00A95E3E"/>
    <w:rsid w:val="00A95E4D"/>
    <w:rsid w:val="00A95E67"/>
    <w:rsid w:val="00A95F45"/>
    <w:rsid w:val="00A95FE5"/>
    <w:rsid w:val="00A95FF4"/>
    <w:rsid w:val="00A96075"/>
    <w:rsid w:val="00A9609D"/>
    <w:rsid w:val="00A960C0"/>
    <w:rsid w:val="00A96195"/>
    <w:rsid w:val="00A961B4"/>
    <w:rsid w:val="00A962AB"/>
    <w:rsid w:val="00A963D6"/>
    <w:rsid w:val="00A964F5"/>
    <w:rsid w:val="00A965C6"/>
    <w:rsid w:val="00A96685"/>
    <w:rsid w:val="00A966B7"/>
    <w:rsid w:val="00A966D6"/>
    <w:rsid w:val="00A96751"/>
    <w:rsid w:val="00A967C2"/>
    <w:rsid w:val="00A9687F"/>
    <w:rsid w:val="00A96890"/>
    <w:rsid w:val="00A968DB"/>
    <w:rsid w:val="00A969BE"/>
    <w:rsid w:val="00A96A12"/>
    <w:rsid w:val="00A96B89"/>
    <w:rsid w:val="00A96BBD"/>
    <w:rsid w:val="00A96C30"/>
    <w:rsid w:val="00A96CDC"/>
    <w:rsid w:val="00A96CFC"/>
    <w:rsid w:val="00A96E0E"/>
    <w:rsid w:val="00A96E1D"/>
    <w:rsid w:val="00A96EAC"/>
    <w:rsid w:val="00A96EC7"/>
    <w:rsid w:val="00A96EF2"/>
    <w:rsid w:val="00A96F3E"/>
    <w:rsid w:val="00A96F5F"/>
    <w:rsid w:val="00A96F63"/>
    <w:rsid w:val="00A96FDD"/>
    <w:rsid w:val="00A9708A"/>
    <w:rsid w:val="00A970CA"/>
    <w:rsid w:val="00A971D2"/>
    <w:rsid w:val="00A97236"/>
    <w:rsid w:val="00A97309"/>
    <w:rsid w:val="00A97345"/>
    <w:rsid w:val="00A975F5"/>
    <w:rsid w:val="00A9765F"/>
    <w:rsid w:val="00A97795"/>
    <w:rsid w:val="00A977C7"/>
    <w:rsid w:val="00A97955"/>
    <w:rsid w:val="00A97956"/>
    <w:rsid w:val="00A9798F"/>
    <w:rsid w:val="00A979C3"/>
    <w:rsid w:val="00A97A7D"/>
    <w:rsid w:val="00A97B51"/>
    <w:rsid w:val="00A97B62"/>
    <w:rsid w:val="00A97BE2"/>
    <w:rsid w:val="00A97BFB"/>
    <w:rsid w:val="00A97CB4"/>
    <w:rsid w:val="00A97D84"/>
    <w:rsid w:val="00A97DAF"/>
    <w:rsid w:val="00A97DC9"/>
    <w:rsid w:val="00A97DE9"/>
    <w:rsid w:val="00A97E0E"/>
    <w:rsid w:val="00A97E25"/>
    <w:rsid w:val="00A97F2E"/>
    <w:rsid w:val="00AA005B"/>
    <w:rsid w:val="00AA007C"/>
    <w:rsid w:val="00AA00A6"/>
    <w:rsid w:val="00AA00DE"/>
    <w:rsid w:val="00AA00FE"/>
    <w:rsid w:val="00AA0107"/>
    <w:rsid w:val="00AA0135"/>
    <w:rsid w:val="00AA014F"/>
    <w:rsid w:val="00AA0150"/>
    <w:rsid w:val="00AA016C"/>
    <w:rsid w:val="00AA0213"/>
    <w:rsid w:val="00AA031B"/>
    <w:rsid w:val="00AA03FD"/>
    <w:rsid w:val="00AA0440"/>
    <w:rsid w:val="00AA04F2"/>
    <w:rsid w:val="00AA0510"/>
    <w:rsid w:val="00AA0609"/>
    <w:rsid w:val="00AA0692"/>
    <w:rsid w:val="00AA071C"/>
    <w:rsid w:val="00AA0765"/>
    <w:rsid w:val="00AA092D"/>
    <w:rsid w:val="00AA09C1"/>
    <w:rsid w:val="00AA0B6F"/>
    <w:rsid w:val="00AA0EBB"/>
    <w:rsid w:val="00AA0FDC"/>
    <w:rsid w:val="00AA104E"/>
    <w:rsid w:val="00AA10A6"/>
    <w:rsid w:val="00AA1130"/>
    <w:rsid w:val="00AA1162"/>
    <w:rsid w:val="00AA117B"/>
    <w:rsid w:val="00AA13DB"/>
    <w:rsid w:val="00AA1428"/>
    <w:rsid w:val="00AA146C"/>
    <w:rsid w:val="00AA149A"/>
    <w:rsid w:val="00AA14C0"/>
    <w:rsid w:val="00AA14CE"/>
    <w:rsid w:val="00AA1509"/>
    <w:rsid w:val="00AA150F"/>
    <w:rsid w:val="00AA1554"/>
    <w:rsid w:val="00AA16BD"/>
    <w:rsid w:val="00AA16C3"/>
    <w:rsid w:val="00AA1800"/>
    <w:rsid w:val="00AA18FA"/>
    <w:rsid w:val="00AA1915"/>
    <w:rsid w:val="00AA19E9"/>
    <w:rsid w:val="00AA1ABD"/>
    <w:rsid w:val="00AA1B14"/>
    <w:rsid w:val="00AA1B9A"/>
    <w:rsid w:val="00AA1BC0"/>
    <w:rsid w:val="00AA1C14"/>
    <w:rsid w:val="00AA1C26"/>
    <w:rsid w:val="00AA1CC2"/>
    <w:rsid w:val="00AA1D76"/>
    <w:rsid w:val="00AA1DF4"/>
    <w:rsid w:val="00AA1EFE"/>
    <w:rsid w:val="00AA1F42"/>
    <w:rsid w:val="00AA1F45"/>
    <w:rsid w:val="00AA1F46"/>
    <w:rsid w:val="00AA216B"/>
    <w:rsid w:val="00AA21E7"/>
    <w:rsid w:val="00AA2207"/>
    <w:rsid w:val="00AA2255"/>
    <w:rsid w:val="00AA2303"/>
    <w:rsid w:val="00AA232C"/>
    <w:rsid w:val="00AA23B4"/>
    <w:rsid w:val="00AA24B1"/>
    <w:rsid w:val="00AA24CF"/>
    <w:rsid w:val="00AA250A"/>
    <w:rsid w:val="00AA257A"/>
    <w:rsid w:val="00AA25EA"/>
    <w:rsid w:val="00AA27A2"/>
    <w:rsid w:val="00AA2859"/>
    <w:rsid w:val="00AA29CF"/>
    <w:rsid w:val="00AA2A12"/>
    <w:rsid w:val="00AA2A30"/>
    <w:rsid w:val="00AA2A5F"/>
    <w:rsid w:val="00AA2C06"/>
    <w:rsid w:val="00AA2C1B"/>
    <w:rsid w:val="00AA2E15"/>
    <w:rsid w:val="00AA2FD4"/>
    <w:rsid w:val="00AA310E"/>
    <w:rsid w:val="00AA3139"/>
    <w:rsid w:val="00AA31EF"/>
    <w:rsid w:val="00AA3217"/>
    <w:rsid w:val="00AA3278"/>
    <w:rsid w:val="00AA327A"/>
    <w:rsid w:val="00AA32BC"/>
    <w:rsid w:val="00AA33FC"/>
    <w:rsid w:val="00AA340E"/>
    <w:rsid w:val="00AA3549"/>
    <w:rsid w:val="00AA354F"/>
    <w:rsid w:val="00AA358E"/>
    <w:rsid w:val="00AA35A2"/>
    <w:rsid w:val="00AA35F7"/>
    <w:rsid w:val="00AA3656"/>
    <w:rsid w:val="00AA370C"/>
    <w:rsid w:val="00AA37F6"/>
    <w:rsid w:val="00AA3A3D"/>
    <w:rsid w:val="00AA3A41"/>
    <w:rsid w:val="00AA3A58"/>
    <w:rsid w:val="00AA3A81"/>
    <w:rsid w:val="00AA3AC0"/>
    <w:rsid w:val="00AA3B87"/>
    <w:rsid w:val="00AA3B97"/>
    <w:rsid w:val="00AA3BB1"/>
    <w:rsid w:val="00AA3C9E"/>
    <w:rsid w:val="00AA3CD8"/>
    <w:rsid w:val="00AA3D29"/>
    <w:rsid w:val="00AA3F0D"/>
    <w:rsid w:val="00AA3F54"/>
    <w:rsid w:val="00AA407D"/>
    <w:rsid w:val="00AA40E6"/>
    <w:rsid w:val="00AA4105"/>
    <w:rsid w:val="00AA4126"/>
    <w:rsid w:val="00AA424E"/>
    <w:rsid w:val="00AA44DA"/>
    <w:rsid w:val="00AA4673"/>
    <w:rsid w:val="00AA46D5"/>
    <w:rsid w:val="00AA4700"/>
    <w:rsid w:val="00AA474C"/>
    <w:rsid w:val="00AA4A2C"/>
    <w:rsid w:val="00AA4ACB"/>
    <w:rsid w:val="00AA4B62"/>
    <w:rsid w:val="00AA4C3B"/>
    <w:rsid w:val="00AA4C4B"/>
    <w:rsid w:val="00AA4CCD"/>
    <w:rsid w:val="00AA4D92"/>
    <w:rsid w:val="00AA4E87"/>
    <w:rsid w:val="00AA4E9F"/>
    <w:rsid w:val="00AA4ED1"/>
    <w:rsid w:val="00AA4F14"/>
    <w:rsid w:val="00AA50D3"/>
    <w:rsid w:val="00AA511E"/>
    <w:rsid w:val="00AA5146"/>
    <w:rsid w:val="00AA516B"/>
    <w:rsid w:val="00AA51B1"/>
    <w:rsid w:val="00AA51CC"/>
    <w:rsid w:val="00AA51D2"/>
    <w:rsid w:val="00AA525B"/>
    <w:rsid w:val="00AA526F"/>
    <w:rsid w:val="00AA5367"/>
    <w:rsid w:val="00AA54A8"/>
    <w:rsid w:val="00AA54F1"/>
    <w:rsid w:val="00AA5591"/>
    <w:rsid w:val="00AA56BE"/>
    <w:rsid w:val="00AA5715"/>
    <w:rsid w:val="00AA57CE"/>
    <w:rsid w:val="00AA583A"/>
    <w:rsid w:val="00AA5920"/>
    <w:rsid w:val="00AA59AF"/>
    <w:rsid w:val="00AA5A57"/>
    <w:rsid w:val="00AA5A58"/>
    <w:rsid w:val="00AA5B20"/>
    <w:rsid w:val="00AA5B3B"/>
    <w:rsid w:val="00AA5C8D"/>
    <w:rsid w:val="00AA5CE2"/>
    <w:rsid w:val="00AA5E24"/>
    <w:rsid w:val="00AA5E33"/>
    <w:rsid w:val="00AA5E44"/>
    <w:rsid w:val="00AA5EF8"/>
    <w:rsid w:val="00AA5F26"/>
    <w:rsid w:val="00AA5FE6"/>
    <w:rsid w:val="00AA60CB"/>
    <w:rsid w:val="00AA6184"/>
    <w:rsid w:val="00AA6196"/>
    <w:rsid w:val="00AA622E"/>
    <w:rsid w:val="00AA6281"/>
    <w:rsid w:val="00AA62C6"/>
    <w:rsid w:val="00AA62F1"/>
    <w:rsid w:val="00AA633C"/>
    <w:rsid w:val="00AA65C2"/>
    <w:rsid w:val="00AA66C0"/>
    <w:rsid w:val="00AA66EE"/>
    <w:rsid w:val="00AA68DF"/>
    <w:rsid w:val="00AA690B"/>
    <w:rsid w:val="00AA6943"/>
    <w:rsid w:val="00AA6946"/>
    <w:rsid w:val="00AA6961"/>
    <w:rsid w:val="00AA69E1"/>
    <w:rsid w:val="00AA6A06"/>
    <w:rsid w:val="00AA6AA9"/>
    <w:rsid w:val="00AA6B36"/>
    <w:rsid w:val="00AA6B69"/>
    <w:rsid w:val="00AA6BE0"/>
    <w:rsid w:val="00AA6D89"/>
    <w:rsid w:val="00AA6DCA"/>
    <w:rsid w:val="00AA6E7B"/>
    <w:rsid w:val="00AA6EAE"/>
    <w:rsid w:val="00AA6F28"/>
    <w:rsid w:val="00AA6F7F"/>
    <w:rsid w:val="00AA6F96"/>
    <w:rsid w:val="00AA6FC9"/>
    <w:rsid w:val="00AA7185"/>
    <w:rsid w:val="00AA71E3"/>
    <w:rsid w:val="00AA7281"/>
    <w:rsid w:val="00AA740F"/>
    <w:rsid w:val="00AA74F6"/>
    <w:rsid w:val="00AA75B8"/>
    <w:rsid w:val="00AA76A1"/>
    <w:rsid w:val="00AA76D4"/>
    <w:rsid w:val="00AA76DC"/>
    <w:rsid w:val="00AA77EA"/>
    <w:rsid w:val="00AA7845"/>
    <w:rsid w:val="00AA7941"/>
    <w:rsid w:val="00AA7961"/>
    <w:rsid w:val="00AA7A3B"/>
    <w:rsid w:val="00AA7B65"/>
    <w:rsid w:val="00AA7DE8"/>
    <w:rsid w:val="00AA7E30"/>
    <w:rsid w:val="00AA7EDC"/>
    <w:rsid w:val="00AA7EDD"/>
    <w:rsid w:val="00AA7F06"/>
    <w:rsid w:val="00AA7F1B"/>
    <w:rsid w:val="00AA7F25"/>
    <w:rsid w:val="00AB007B"/>
    <w:rsid w:val="00AB007C"/>
    <w:rsid w:val="00AB00E2"/>
    <w:rsid w:val="00AB00F9"/>
    <w:rsid w:val="00AB01AF"/>
    <w:rsid w:val="00AB01E8"/>
    <w:rsid w:val="00AB0287"/>
    <w:rsid w:val="00AB02BE"/>
    <w:rsid w:val="00AB02F6"/>
    <w:rsid w:val="00AB0341"/>
    <w:rsid w:val="00AB03C7"/>
    <w:rsid w:val="00AB0458"/>
    <w:rsid w:val="00AB058B"/>
    <w:rsid w:val="00AB069C"/>
    <w:rsid w:val="00AB06DD"/>
    <w:rsid w:val="00AB0752"/>
    <w:rsid w:val="00AB079E"/>
    <w:rsid w:val="00AB081B"/>
    <w:rsid w:val="00AB08C5"/>
    <w:rsid w:val="00AB0AD5"/>
    <w:rsid w:val="00AB0B3E"/>
    <w:rsid w:val="00AB0B52"/>
    <w:rsid w:val="00AB0CC2"/>
    <w:rsid w:val="00AB0D7D"/>
    <w:rsid w:val="00AB0EAB"/>
    <w:rsid w:val="00AB0F5B"/>
    <w:rsid w:val="00AB0F80"/>
    <w:rsid w:val="00AB0FF1"/>
    <w:rsid w:val="00AB1030"/>
    <w:rsid w:val="00AB113F"/>
    <w:rsid w:val="00AB120B"/>
    <w:rsid w:val="00AB1268"/>
    <w:rsid w:val="00AB1321"/>
    <w:rsid w:val="00AB13B5"/>
    <w:rsid w:val="00AB140D"/>
    <w:rsid w:val="00AB1420"/>
    <w:rsid w:val="00AB1455"/>
    <w:rsid w:val="00AB14AF"/>
    <w:rsid w:val="00AB1537"/>
    <w:rsid w:val="00AB1698"/>
    <w:rsid w:val="00AB190A"/>
    <w:rsid w:val="00AB19BC"/>
    <w:rsid w:val="00AB19D8"/>
    <w:rsid w:val="00AB1AF8"/>
    <w:rsid w:val="00AB1B7A"/>
    <w:rsid w:val="00AB1BA0"/>
    <w:rsid w:val="00AB1BC1"/>
    <w:rsid w:val="00AB1BEE"/>
    <w:rsid w:val="00AB1C1A"/>
    <w:rsid w:val="00AB1DCC"/>
    <w:rsid w:val="00AB1DE0"/>
    <w:rsid w:val="00AB1DF1"/>
    <w:rsid w:val="00AB1EC2"/>
    <w:rsid w:val="00AB1F13"/>
    <w:rsid w:val="00AB1F24"/>
    <w:rsid w:val="00AB1F3C"/>
    <w:rsid w:val="00AB1F5E"/>
    <w:rsid w:val="00AB1F7B"/>
    <w:rsid w:val="00AB20DD"/>
    <w:rsid w:val="00AB223A"/>
    <w:rsid w:val="00AB2454"/>
    <w:rsid w:val="00AB24AE"/>
    <w:rsid w:val="00AB2550"/>
    <w:rsid w:val="00AB2632"/>
    <w:rsid w:val="00AB266C"/>
    <w:rsid w:val="00AB26B5"/>
    <w:rsid w:val="00AB2775"/>
    <w:rsid w:val="00AB27ED"/>
    <w:rsid w:val="00AB28F2"/>
    <w:rsid w:val="00AB2921"/>
    <w:rsid w:val="00AB298E"/>
    <w:rsid w:val="00AB2A84"/>
    <w:rsid w:val="00AB2B58"/>
    <w:rsid w:val="00AB2C09"/>
    <w:rsid w:val="00AB2C26"/>
    <w:rsid w:val="00AB2C52"/>
    <w:rsid w:val="00AB2FFC"/>
    <w:rsid w:val="00AB3146"/>
    <w:rsid w:val="00AB3187"/>
    <w:rsid w:val="00AB3259"/>
    <w:rsid w:val="00AB32DC"/>
    <w:rsid w:val="00AB349B"/>
    <w:rsid w:val="00AB349F"/>
    <w:rsid w:val="00AB352A"/>
    <w:rsid w:val="00AB3584"/>
    <w:rsid w:val="00AB35A2"/>
    <w:rsid w:val="00AB35C9"/>
    <w:rsid w:val="00AB3631"/>
    <w:rsid w:val="00AB36C4"/>
    <w:rsid w:val="00AB3717"/>
    <w:rsid w:val="00AB3726"/>
    <w:rsid w:val="00AB3800"/>
    <w:rsid w:val="00AB3928"/>
    <w:rsid w:val="00AB3948"/>
    <w:rsid w:val="00AB39B3"/>
    <w:rsid w:val="00AB3A41"/>
    <w:rsid w:val="00AB3A87"/>
    <w:rsid w:val="00AB3B58"/>
    <w:rsid w:val="00AB3C43"/>
    <w:rsid w:val="00AB3C4E"/>
    <w:rsid w:val="00AB3C89"/>
    <w:rsid w:val="00AB3CB9"/>
    <w:rsid w:val="00AB3CFB"/>
    <w:rsid w:val="00AB3D93"/>
    <w:rsid w:val="00AB3F34"/>
    <w:rsid w:val="00AB4131"/>
    <w:rsid w:val="00AB4142"/>
    <w:rsid w:val="00AB41C2"/>
    <w:rsid w:val="00AB4324"/>
    <w:rsid w:val="00AB43B7"/>
    <w:rsid w:val="00AB444F"/>
    <w:rsid w:val="00AB44D4"/>
    <w:rsid w:val="00AB4516"/>
    <w:rsid w:val="00AB456A"/>
    <w:rsid w:val="00AB45E4"/>
    <w:rsid w:val="00AB4645"/>
    <w:rsid w:val="00AB466C"/>
    <w:rsid w:val="00AB4806"/>
    <w:rsid w:val="00AB4865"/>
    <w:rsid w:val="00AB488D"/>
    <w:rsid w:val="00AB4917"/>
    <w:rsid w:val="00AB4951"/>
    <w:rsid w:val="00AB4992"/>
    <w:rsid w:val="00AB4B46"/>
    <w:rsid w:val="00AB4B62"/>
    <w:rsid w:val="00AB4BC9"/>
    <w:rsid w:val="00AB4BEC"/>
    <w:rsid w:val="00AB4C6A"/>
    <w:rsid w:val="00AB4CB0"/>
    <w:rsid w:val="00AB4D04"/>
    <w:rsid w:val="00AB4D33"/>
    <w:rsid w:val="00AB4D99"/>
    <w:rsid w:val="00AB4EE1"/>
    <w:rsid w:val="00AB4F43"/>
    <w:rsid w:val="00AB4F7A"/>
    <w:rsid w:val="00AB5062"/>
    <w:rsid w:val="00AB5085"/>
    <w:rsid w:val="00AB522C"/>
    <w:rsid w:val="00AB5458"/>
    <w:rsid w:val="00AB5464"/>
    <w:rsid w:val="00AB553C"/>
    <w:rsid w:val="00AB5567"/>
    <w:rsid w:val="00AB556D"/>
    <w:rsid w:val="00AB5586"/>
    <w:rsid w:val="00AB5642"/>
    <w:rsid w:val="00AB5663"/>
    <w:rsid w:val="00AB579D"/>
    <w:rsid w:val="00AB5822"/>
    <w:rsid w:val="00AB5856"/>
    <w:rsid w:val="00AB5867"/>
    <w:rsid w:val="00AB5969"/>
    <w:rsid w:val="00AB5A25"/>
    <w:rsid w:val="00AB5A5D"/>
    <w:rsid w:val="00AB5AD5"/>
    <w:rsid w:val="00AB5B40"/>
    <w:rsid w:val="00AB5C1C"/>
    <w:rsid w:val="00AB5DB6"/>
    <w:rsid w:val="00AB5DFA"/>
    <w:rsid w:val="00AB5E1C"/>
    <w:rsid w:val="00AB5E36"/>
    <w:rsid w:val="00AB5F00"/>
    <w:rsid w:val="00AB60C2"/>
    <w:rsid w:val="00AB6241"/>
    <w:rsid w:val="00AB637B"/>
    <w:rsid w:val="00AB6419"/>
    <w:rsid w:val="00AB64AC"/>
    <w:rsid w:val="00AB6795"/>
    <w:rsid w:val="00AB6867"/>
    <w:rsid w:val="00AB6891"/>
    <w:rsid w:val="00AB694E"/>
    <w:rsid w:val="00AB6961"/>
    <w:rsid w:val="00AB6AFC"/>
    <w:rsid w:val="00AB6B83"/>
    <w:rsid w:val="00AB6B89"/>
    <w:rsid w:val="00AB6CC2"/>
    <w:rsid w:val="00AB6CCD"/>
    <w:rsid w:val="00AB6D91"/>
    <w:rsid w:val="00AB6EE0"/>
    <w:rsid w:val="00AB7128"/>
    <w:rsid w:val="00AB71DB"/>
    <w:rsid w:val="00AB728B"/>
    <w:rsid w:val="00AB732F"/>
    <w:rsid w:val="00AB733A"/>
    <w:rsid w:val="00AB749A"/>
    <w:rsid w:val="00AB756B"/>
    <w:rsid w:val="00AB758D"/>
    <w:rsid w:val="00AB759E"/>
    <w:rsid w:val="00AB75C4"/>
    <w:rsid w:val="00AB7764"/>
    <w:rsid w:val="00AB777E"/>
    <w:rsid w:val="00AB78C2"/>
    <w:rsid w:val="00AB7B8C"/>
    <w:rsid w:val="00AB7BA1"/>
    <w:rsid w:val="00AB7BD8"/>
    <w:rsid w:val="00AB7E02"/>
    <w:rsid w:val="00AB7E35"/>
    <w:rsid w:val="00AB7E40"/>
    <w:rsid w:val="00AB7E70"/>
    <w:rsid w:val="00AC0105"/>
    <w:rsid w:val="00AC01DE"/>
    <w:rsid w:val="00AC0339"/>
    <w:rsid w:val="00AC0480"/>
    <w:rsid w:val="00AC0618"/>
    <w:rsid w:val="00AC0627"/>
    <w:rsid w:val="00AC07B1"/>
    <w:rsid w:val="00AC07BC"/>
    <w:rsid w:val="00AC07FC"/>
    <w:rsid w:val="00AC092C"/>
    <w:rsid w:val="00AC092F"/>
    <w:rsid w:val="00AC0933"/>
    <w:rsid w:val="00AC0993"/>
    <w:rsid w:val="00AC0A37"/>
    <w:rsid w:val="00AC0A46"/>
    <w:rsid w:val="00AC0A92"/>
    <w:rsid w:val="00AC0AA3"/>
    <w:rsid w:val="00AC0B18"/>
    <w:rsid w:val="00AC0B51"/>
    <w:rsid w:val="00AC0BA5"/>
    <w:rsid w:val="00AC0BEA"/>
    <w:rsid w:val="00AC0C13"/>
    <w:rsid w:val="00AC0D0F"/>
    <w:rsid w:val="00AC1067"/>
    <w:rsid w:val="00AC1175"/>
    <w:rsid w:val="00AC11A3"/>
    <w:rsid w:val="00AC1320"/>
    <w:rsid w:val="00AC1367"/>
    <w:rsid w:val="00AC1368"/>
    <w:rsid w:val="00AC136F"/>
    <w:rsid w:val="00AC1503"/>
    <w:rsid w:val="00AC1576"/>
    <w:rsid w:val="00AC157F"/>
    <w:rsid w:val="00AC163A"/>
    <w:rsid w:val="00AC1679"/>
    <w:rsid w:val="00AC169E"/>
    <w:rsid w:val="00AC182C"/>
    <w:rsid w:val="00AC184B"/>
    <w:rsid w:val="00AC188D"/>
    <w:rsid w:val="00AC18CE"/>
    <w:rsid w:val="00AC1912"/>
    <w:rsid w:val="00AC19DC"/>
    <w:rsid w:val="00AC19F4"/>
    <w:rsid w:val="00AC1A1C"/>
    <w:rsid w:val="00AC1ADB"/>
    <w:rsid w:val="00AC1B0D"/>
    <w:rsid w:val="00AC1B78"/>
    <w:rsid w:val="00AC1C8C"/>
    <w:rsid w:val="00AC1D9B"/>
    <w:rsid w:val="00AC1E1C"/>
    <w:rsid w:val="00AC1F82"/>
    <w:rsid w:val="00AC2058"/>
    <w:rsid w:val="00AC206B"/>
    <w:rsid w:val="00AC2163"/>
    <w:rsid w:val="00AC217F"/>
    <w:rsid w:val="00AC2248"/>
    <w:rsid w:val="00AC22C5"/>
    <w:rsid w:val="00AC22DB"/>
    <w:rsid w:val="00AC22E6"/>
    <w:rsid w:val="00AC23BB"/>
    <w:rsid w:val="00AC23D4"/>
    <w:rsid w:val="00AC24A9"/>
    <w:rsid w:val="00AC24BF"/>
    <w:rsid w:val="00AC24CC"/>
    <w:rsid w:val="00AC24DA"/>
    <w:rsid w:val="00AC25A1"/>
    <w:rsid w:val="00AC25E1"/>
    <w:rsid w:val="00AC268F"/>
    <w:rsid w:val="00AC2740"/>
    <w:rsid w:val="00AC28BE"/>
    <w:rsid w:val="00AC29B4"/>
    <w:rsid w:val="00AC29CC"/>
    <w:rsid w:val="00AC2BD1"/>
    <w:rsid w:val="00AC2D6F"/>
    <w:rsid w:val="00AC2EE6"/>
    <w:rsid w:val="00AC2F31"/>
    <w:rsid w:val="00AC3006"/>
    <w:rsid w:val="00AC30D4"/>
    <w:rsid w:val="00AC31B4"/>
    <w:rsid w:val="00AC321C"/>
    <w:rsid w:val="00AC3277"/>
    <w:rsid w:val="00AC3338"/>
    <w:rsid w:val="00AC342E"/>
    <w:rsid w:val="00AC3548"/>
    <w:rsid w:val="00AC363C"/>
    <w:rsid w:val="00AC369E"/>
    <w:rsid w:val="00AC36A7"/>
    <w:rsid w:val="00AC3701"/>
    <w:rsid w:val="00AC3745"/>
    <w:rsid w:val="00AC3840"/>
    <w:rsid w:val="00AC3A39"/>
    <w:rsid w:val="00AC3A5D"/>
    <w:rsid w:val="00AC3C94"/>
    <w:rsid w:val="00AC3CBF"/>
    <w:rsid w:val="00AC3CCB"/>
    <w:rsid w:val="00AC3CCD"/>
    <w:rsid w:val="00AC3D93"/>
    <w:rsid w:val="00AC407A"/>
    <w:rsid w:val="00AC4114"/>
    <w:rsid w:val="00AC41EE"/>
    <w:rsid w:val="00AC426D"/>
    <w:rsid w:val="00AC42DB"/>
    <w:rsid w:val="00AC431C"/>
    <w:rsid w:val="00AC43BE"/>
    <w:rsid w:val="00AC4490"/>
    <w:rsid w:val="00AC450A"/>
    <w:rsid w:val="00AC4520"/>
    <w:rsid w:val="00AC464B"/>
    <w:rsid w:val="00AC46CB"/>
    <w:rsid w:val="00AC473E"/>
    <w:rsid w:val="00AC47F0"/>
    <w:rsid w:val="00AC490A"/>
    <w:rsid w:val="00AC491C"/>
    <w:rsid w:val="00AC4987"/>
    <w:rsid w:val="00AC4995"/>
    <w:rsid w:val="00AC49C2"/>
    <w:rsid w:val="00AC49C7"/>
    <w:rsid w:val="00AC4A48"/>
    <w:rsid w:val="00AC4AC1"/>
    <w:rsid w:val="00AC4B43"/>
    <w:rsid w:val="00AC4B70"/>
    <w:rsid w:val="00AC4CD5"/>
    <w:rsid w:val="00AC4DCD"/>
    <w:rsid w:val="00AC4EED"/>
    <w:rsid w:val="00AC4FAE"/>
    <w:rsid w:val="00AC4FE8"/>
    <w:rsid w:val="00AC5001"/>
    <w:rsid w:val="00AC502E"/>
    <w:rsid w:val="00AC5040"/>
    <w:rsid w:val="00AC50B0"/>
    <w:rsid w:val="00AC50B2"/>
    <w:rsid w:val="00AC50E1"/>
    <w:rsid w:val="00AC514C"/>
    <w:rsid w:val="00AC51B3"/>
    <w:rsid w:val="00AC5244"/>
    <w:rsid w:val="00AC5298"/>
    <w:rsid w:val="00AC5409"/>
    <w:rsid w:val="00AC545C"/>
    <w:rsid w:val="00AC54EA"/>
    <w:rsid w:val="00AC5580"/>
    <w:rsid w:val="00AC5658"/>
    <w:rsid w:val="00AC56E0"/>
    <w:rsid w:val="00AC570B"/>
    <w:rsid w:val="00AC584A"/>
    <w:rsid w:val="00AC5AA9"/>
    <w:rsid w:val="00AC5AC8"/>
    <w:rsid w:val="00AC5B64"/>
    <w:rsid w:val="00AC5C0E"/>
    <w:rsid w:val="00AC5C47"/>
    <w:rsid w:val="00AC5CEB"/>
    <w:rsid w:val="00AC5D5E"/>
    <w:rsid w:val="00AC5DF1"/>
    <w:rsid w:val="00AC5F02"/>
    <w:rsid w:val="00AC5F97"/>
    <w:rsid w:val="00AC60C3"/>
    <w:rsid w:val="00AC6110"/>
    <w:rsid w:val="00AC6151"/>
    <w:rsid w:val="00AC61BD"/>
    <w:rsid w:val="00AC62EB"/>
    <w:rsid w:val="00AC63B3"/>
    <w:rsid w:val="00AC63C5"/>
    <w:rsid w:val="00AC641B"/>
    <w:rsid w:val="00AC653A"/>
    <w:rsid w:val="00AC67B6"/>
    <w:rsid w:val="00AC67DB"/>
    <w:rsid w:val="00AC681F"/>
    <w:rsid w:val="00AC68BB"/>
    <w:rsid w:val="00AC6B6E"/>
    <w:rsid w:val="00AC6C3D"/>
    <w:rsid w:val="00AC6C96"/>
    <w:rsid w:val="00AC6CB3"/>
    <w:rsid w:val="00AC6D9C"/>
    <w:rsid w:val="00AC6E1F"/>
    <w:rsid w:val="00AC6E8F"/>
    <w:rsid w:val="00AC6F22"/>
    <w:rsid w:val="00AC6F90"/>
    <w:rsid w:val="00AC7051"/>
    <w:rsid w:val="00AC719E"/>
    <w:rsid w:val="00AC720C"/>
    <w:rsid w:val="00AC7296"/>
    <w:rsid w:val="00AC72BA"/>
    <w:rsid w:val="00AC72FB"/>
    <w:rsid w:val="00AC7330"/>
    <w:rsid w:val="00AC73EE"/>
    <w:rsid w:val="00AC73F7"/>
    <w:rsid w:val="00AC74CE"/>
    <w:rsid w:val="00AC75A9"/>
    <w:rsid w:val="00AC75F7"/>
    <w:rsid w:val="00AC760F"/>
    <w:rsid w:val="00AC7718"/>
    <w:rsid w:val="00AC7790"/>
    <w:rsid w:val="00AC77B3"/>
    <w:rsid w:val="00AC787A"/>
    <w:rsid w:val="00AC78F5"/>
    <w:rsid w:val="00AC79FC"/>
    <w:rsid w:val="00AC7A21"/>
    <w:rsid w:val="00AC7AA0"/>
    <w:rsid w:val="00AC7AF2"/>
    <w:rsid w:val="00AC7B99"/>
    <w:rsid w:val="00AC7BDC"/>
    <w:rsid w:val="00AC7CB1"/>
    <w:rsid w:val="00AC7D19"/>
    <w:rsid w:val="00AC7D68"/>
    <w:rsid w:val="00AC7D86"/>
    <w:rsid w:val="00AC7DDC"/>
    <w:rsid w:val="00AC7EA7"/>
    <w:rsid w:val="00AC7F5D"/>
    <w:rsid w:val="00AC7F8A"/>
    <w:rsid w:val="00AC7F8B"/>
    <w:rsid w:val="00AD0131"/>
    <w:rsid w:val="00AD034D"/>
    <w:rsid w:val="00AD04BB"/>
    <w:rsid w:val="00AD04F1"/>
    <w:rsid w:val="00AD04FD"/>
    <w:rsid w:val="00AD0537"/>
    <w:rsid w:val="00AD054A"/>
    <w:rsid w:val="00AD05A5"/>
    <w:rsid w:val="00AD05CF"/>
    <w:rsid w:val="00AD0633"/>
    <w:rsid w:val="00AD0653"/>
    <w:rsid w:val="00AD073F"/>
    <w:rsid w:val="00AD0759"/>
    <w:rsid w:val="00AD0788"/>
    <w:rsid w:val="00AD079D"/>
    <w:rsid w:val="00AD07EE"/>
    <w:rsid w:val="00AD085D"/>
    <w:rsid w:val="00AD0893"/>
    <w:rsid w:val="00AD08F8"/>
    <w:rsid w:val="00AD0923"/>
    <w:rsid w:val="00AD0952"/>
    <w:rsid w:val="00AD0983"/>
    <w:rsid w:val="00AD09A6"/>
    <w:rsid w:val="00AD09EB"/>
    <w:rsid w:val="00AD0C4D"/>
    <w:rsid w:val="00AD0C66"/>
    <w:rsid w:val="00AD0C74"/>
    <w:rsid w:val="00AD0C8B"/>
    <w:rsid w:val="00AD0D97"/>
    <w:rsid w:val="00AD0DC9"/>
    <w:rsid w:val="00AD0DE0"/>
    <w:rsid w:val="00AD0E02"/>
    <w:rsid w:val="00AD0E7C"/>
    <w:rsid w:val="00AD0E87"/>
    <w:rsid w:val="00AD0EA5"/>
    <w:rsid w:val="00AD0F20"/>
    <w:rsid w:val="00AD0F37"/>
    <w:rsid w:val="00AD0F46"/>
    <w:rsid w:val="00AD0FC7"/>
    <w:rsid w:val="00AD101F"/>
    <w:rsid w:val="00AD1073"/>
    <w:rsid w:val="00AD10A3"/>
    <w:rsid w:val="00AD1187"/>
    <w:rsid w:val="00AD11A3"/>
    <w:rsid w:val="00AD1268"/>
    <w:rsid w:val="00AD144F"/>
    <w:rsid w:val="00AD1565"/>
    <w:rsid w:val="00AD173D"/>
    <w:rsid w:val="00AD179C"/>
    <w:rsid w:val="00AD1837"/>
    <w:rsid w:val="00AD1B18"/>
    <w:rsid w:val="00AD1B91"/>
    <w:rsid w:val="00AD1C1B"/>
    <w:rsid w:val="00AD1C3B"/>
    <w:rsid w:val="00AD1D65"/>
    <w:rsid w:val="00AD1E97"/>
    <w:rsid w:val="00AD1EE9"/>
    <w:rsid w:val="00AD1F8E"/>
    <w:rsid w:val="00AD21BE"/>
    <w:rsid w:val="00AD236F"/>
    <w:rsid w:val="00AD2388"/>
    <w:rsid w:val="00AD23E5"/>
    <w:rsid w:val="00AD23E7"/>
    <w:rsid w:val="00AD240A"/>
    <w:rsid w:val="00AD247F"/>
    <w:rsid w:val="00AD2492"/>
    <w:rsid w:val="00AD24B9"/>
    <w:rsid w:val="00AD24F7"/>
    <w:rsid w:val="00AD2541"/>
    <w:rsid w:val="00AD263A"/>
    <w:rsid w:val="00AD2797"/>
    <w:rsid w:val="00AD27E7"/>
    <w:rsid w:val="00AD27EB"/>
    <w:rsid w:val="00AD28C9"/>
    <w:rsid w:val="00AD293A"/>
    <w:rsid w:val="00AD294B"/>
    <w:rsid w:val="00AD2B43"/>
    <w:rsid w:val="00AD2C5C"/>
    <w:rsid w:val="00AD2DF5"/>
    <w:rsid w:val="00AD2E6F"/>
    <w:rsid w:val="00AD2EDD"/>
    <w:rsid w:val="00AD2F60"/>
    <w:rsid w:val="00AD3085"/>
    <w:rsid w:val="00AD30E4"/>
    <w:rsid w:val="00AD3186"/>
    <w:rsid w:val="00AD3212"/>
    <w:rsid w:val="00AD32E7"/>
    <w:rsid w:val="00AD33E2"/>
    <w:rsid w:val="00AD3449"/>
    <w:rsid w:val="00AD3599"/>
    <w:rsid w:val="00AD3635"/>
    <w:rsid w:val="00AD37A0"/>
    <w:rsid w:val="00AD3806"/>
    <w:rsid w:val="00AD3868"/>
    <w:rsid w:val="00AD387A"/>
    <w:rsid w:val="00AD38F4"/>
    <w:rsid w:val="00AD395F"/>
    <w:rsid w:val="00AD3977"/>
    <w:rsid w:val="00AD39CC"/>
    <w:rsid w:val="00AD3A11"/>
    <w:rsid w:val="00AD3AAB"/>
    <w:rsid w:val="00AD3AC9"/>
    <w:rsid w:val="00AD3B29"/>
    <w:rsid w:val="00AD3B5F"/>
    <w:rsid w:val="00AD3B9F"/>
    <w:rsid w:val="00AD3BAE"/>
    <w:rsid w:val="00AD3BE2"/>
    <w:rsid w:val="00AD3BE9"/>
    <w:rsid w:val="00AD3C0F"/>
    <w:rsid w:val="00AD3C43"/>
    <w:rsid w:val="00AD3C92"/>
    <w:rsid w:val="00AD3CB2"/>
    <w:rsid w:val="00AD3CCE"/>
    <w:rsid w:val="00AD3D06"/>
    <w:rsid w:val="00AD3D63"/>
    <w:rsid w:val="00AD3D6E"/>
    <w:rsid w:val="00AD3EE1"/>
    <w:rsid w:val="00AD3FC2"/>
    <w:rsid w:val="00AD40BE"/>
    <w:rsid w:val="00AD4144"/>
    <w:rsid w:val="00AD42D8"/>
    <w:rsid w:val="00AD43C9"/>
    <w:rsid w:val="00AD4440"/>
    <w:rsid w:val="00AD44A8"/>
    <w:rsid w:val="00AD451E"/>
    <w:rsid w:val="00AD4525"/>
    <w:rsid w:val="00AD45B6"/>
    <w:rsid w:val="00AD4689"/>
    <w:rsid w:val="00AD46E1"/>
    <w:rsid w:val="00AD4899"/>
    <w:rsid w:val="00AD48A7"/>
    <w:rsid w:val="00AD48D3"/>
    <w:rsid w:val="00AD48E5"/>
    <w:rsid w:val="00AD4A40"/>
    <w:rsid w:val="00AD4A7C"/>
    <w:rsid w:val="00AD4ABA"/>
    <w:rsid w:val="00AD4B04"/>
    <w:rsid w:val="00AD4B8E"/>
    <w:rsid w:val="00AD4C3A"/>
    <w:rsid w:val="00AD4CA0"/>
    <w:rsid w:val="00AD4CF7"/>
    <w:rsid w:val="00AD4DA6"/>
    <w:rsid w:val="00AD4DC9"/>
    <w:rsid w:val="00AD4DDD"/>
    <w:rsid w:val="00AD4E20"/>
    <w:rsid w:val="00AD4F10"/>
    <w:rsid w:val="00AD4F13"/>
    <w:rsid w:val="00AD4F52"/>
    <w:rsid w:val="00AD51CF"/>
    <w:rsid w:val="00AD5229"/>
    <w:rsid w:val="00AD5432"/>
    <w:rsid w:val="00AD548B"/>
    <w:rsid w:val="00AD54DB"/>
    <w:rsid w:val="00AD556A"/>
    <w:rsid w:val="00AD580F"/>
    <w:rsid w:val="00AD5956"/>
    <w:rsid w:val="00AD59C2"/>
    <w:rsid w:val="00AD5A40"/>
    <w:rsid w:val="00AD5A46"/>
    <w:rsid w:val="00AD5AAE"/>
    <w:rsid w:val="00AD5B31"/>
    <w:rsid w:val="00AD5B80"/>
    <w:rsid w:val="00AD5C77"/>
    <w:rsid w:val="00AD5C83"/>
    <w:rsid w:val="00AD5CD1"/>
    <w:rsid w:val="00AD5CF5"/>
    <w:rsid w:val="00AD5DB4"/>
    <w:rsid w:val="00AD5DF4"/>
    <w:rsid w:val="00AD5F97"/>
    <w:rsid w:val="00AD60D1"/>
    <w:rsid w:val="00AD6370"/>
    <w:rsid w:val="00AD6548"/>
    <w:rsid w:val="00AD66F7"/>
    <w:rsid w:val="00AD6790"/>
    <w:rsid w:val="00AD67A3"/>
    <w:rsid w:val="00AD681D"/>
    <w:rsid w:val="00AD682C"/>
    <w:rsid w:val="00AD6948"/>
    <w:rsid w:val="00AD6965"/>
    <w:rsid w:val="00AD6970"/>
    <w:rsid w:val="00AD699D"/>
    <w:rsid w:val="00AD6A12"/>
    <w:rsid w:val="00AD6A30"/>
    <w:rsid w:val="00AD6B4F"/>
    <w:rsid w:val="00AD6B6B"/>
    <w:rsid w:val="00AD6B9C"/>
    <w:rsid w:val="00AD6CAD"/>
    <w:rsid w:val="00AD6CAF"/>
    <w:rsid w:val="00AD6D93"/>
    <w:rsid w:val="00AD6DA8"/>
    <w:rsid w:val="00AD7061"/>
    <w:rsid w:val="00AD7079"/>
    <w:rsid w:val="00AD710D"/>
    <w:rsid w:val="00AD718C"/>
    <w:rsid w:val="00AD7190"/>
    <w:rsid w:val="00AD71B6"/>
    <w:rsid w:val="00AD726E"/>
    <w:rsid w:val="00AD734E"/>
    <w:rsid w:val="00AD73D0"/>
    <w:rsid w:val="00AD741C"/>
    <w:rsid w:val="00AD750D"/>
    <w:rsid w:val="00AD7538"/>
    <w:rsid w:val="00AD7576"/>
    <w:rsid w:val="00AD7586"/>
    <w:rsid w:val="00AD75C4"/>
    <w:rsid w:val="00AD775B"/>
    <w:rsid w:val="00AD78A8"/>
    <w:rsid w:val="00AD791C"/>
    <w:rsid w:val="00AD7938"/>
    <w:rsid w:val="00AD7957"/>
    <w:rsid w:val="00AD79BE"/>
    <w:rsid w:val="00AD7A2D"/>
    <w:rsid w:val="00AD7B7A"/>
    <w:rsid w:val="00AD7BA6"/>
    <w:rsid w:val="00AD7C3D"/>
    <w:rsid w:val="00AD7D0A"/>
    <w:rsid w:val="00AD7D42"/>
    <w:rsid w:val="00AD7D78"/>
    <w:rsid w:val="00AD7FA1"/>
    <w:rsid w:val="00AE0011"/>
    <w:rsid w:val="00AE00CB"/>
    <w:rsid w:val="00AE0128"/>
    <w:rsid w:val="00AE0171"/>
    <w:rsid w:val="00AE01CB"/>
    <w:rsid w:val="00AE02FB"/>
    <w:rsid w:val="00AE042A"/>
    <w:rsid w:val="00AE04D8"/>
    <w:rsid w:val="00AE06E1"/>
    <w:rsid w:val="00AE0711"/>
    <w:rsid w:val="00AE0775"/>
    <w:rsid w:val="00AE0847"/>
    <w:rsid w:val="00AE08C8"/>
    <w:rsid w:val="00AE08F1"/>
    <w:rsid w:val="00AE097A"/>
    <w:rsid w:val="00AE0999"/>
    <w:rsid w:val="00AE0A3F"/>
    <w:rsid w:val="00AE0A65"/>
    <w:rsid w:val="00AE0A77"/>
    <w:rsid w:val="00AE0AA4"/>
    <w:rsid w:val="00AE0ACB"/>
    <w:rsid w:val="00AE0AFA"/>
    <w:rsid w:val="00AE0B1B"/>
    <w:rsid w:val="00AE0B4E"/>
    <w:rsid w:val="00AE0B52"/>
    <w:rsid w:val="00AE0B6E"/>
    <w:rsid w:val="00AE0BD5"/>
    <w:rsid w:val="00AE0C57"/>
    <w:rsid w:val="00AE0CFC"/>
    <w:rsid w:val="00AE0E26"/>
    <w:rsid w:val="00AE0E69"/>
    <w:rsid w:val="00AE0FDD"/>
    <w:rsid w:val="00AE0FED"/>
    <w:rsid w:val="00AE1016"/>
    <w:rsid w:val="00AE104E"/>
    <w:rsid w:val="00AE10F1"/>
    <w:rsid w:val="00AE116D"/>
    <w:rsid w:val="00AE11E7"/>
    <w:rsid w:val="00AE12DE"/>
    <w:rsid w:val="00AE15A6"/>
    <w:rsid w:val="00AE162C"/>
    <w:rsid w:val="00AE16C2"/>
    <w:rsid w:val="00AE173D"/>
    <w:rsid w:val="00AE17AF"/>
    <w:rsid w:val="00AE17EE"/>
    <w:rsid w:val="00AE1800"/>
    <w:rsid w:val="00AE18A0"/>
    <w:rsid w:val="00AE198D"/>
    <w:rsid w:val="00AE1B79"/>
    <w:rsid w:val="00AE1C00"/>
    <w:rsid w:val="00AE1D25"/>
    <w:rsid w:val="00AE1D2E"/>
    <w:rsid w:val="00AE1DD7"/>
    <w:rsid w:val="00AE1DE9"/>
    <w:rsid w:val="00AE1E31"/>
    <w:rsid w:val="00AE1EC5"/>
    <w:rsid w:val="00AE1ECC"/>
    <w:rsid w:val="00AE1EE5"/>
    <w:rsid w:val="00AE2101"/>
    <w:rsid w:val="00AE21AC"/>
    <w:rsid w:val="00AE21C0"/>
    <w:rsid w:val="00AE21C5"/>
    <w:rsid w:val="00AE2207"/>
    <w:rsid w:val="00AE227A"/>
    <w:rsid w:val="00AE22CC"/>
    <w:rsid w:val="00AE2341"/>
    <w:rsid w:val="00AE23C8"/>
    <w:rsid w:val="00AE244A"/>
    <w:rsid w:val="00AE2501"/>
    <w:rsid w:val="00AE25AE"/>
    <w:rsid w:val="00AE25D2"/>
    <w:rsid w:val="00AE25E1"/>
    <w:rsid w:val="00AE25E4"/>
    <w:rsid w:val="00AE265C"/>
    <w:rsid w:val="00AE26FF"/>
    <w:rsid w:val="00AE2718"/>
    <w:rsid w:val="00AE27C9"/>
    <w:rsid w:val="00AE27E6"/>
    <w:rsid w:val="00AE282B"/>
    <w:rsid w:val="00AE2993"/>
    <w:rsid w:val="00AE2A42"/>
    <w:rsid w:val="00AE2B10"/>
    <w:rsid w:val="00AE2B12"/>
    <w:rsid w:val="00AE2B72"/>
    <w:rsid w:val="00AE2C33"/>
    <w:rsid w:val="00AE2CA3"/>
    <w:rsid w:val="00AE2CB6"/>
    <w:rsid w:val="00AE2D2A"/>
    <w:rsid w:val="00AE2DA7"/>
    <w:rsid w:val="00AE2DE3"/>
    <w:rsid w:val="00AE2DF6"/>
    <w:rsid w:val="00AE2E9A"/>
    <w:rsid w:val="00AE3032"/>
    <w:rsid w:val="00AE307C"/>
    <w:rsid w:val="00AE3253"/>
    <w:rsid w:val="00AE3281"/>
    <w:rsid w:val="00AE331E"/>
    <w:rsid w:val="00AE332B"/>
    <w:rsid w:val="00AE33F7"/>
    <w:rsid w:val="00AE3435"/>
    <w:rsid w:val="00AE34D1"/>
    <w:rsid w:val="00AE35DF"/>
    <w:rsid w:val="00AE36D0"/>
    <w:rsid w:val="00AE36EE"/>
    <w:rsid w:val="00AE3740"/>
    <w:rsid w:val="00AE3772"/>
    <w:rsid w:val="00AE37C2"/>
    <w:rsid w:val="00AE3827"/>
    <w:rsid w:val="00AE3844"/>
    <w:rsid w:val="00AE38D2"/>
    <w:rsid w:val="00AE3A25"/>
    <w:rsid w:val="00AE3CB1"/>
    <w:rsid w:val="00AE3CC4"/>
    <w:rsid w:val="00AE3CF2"/>
    <w:rsid w:val="00AE3DDA"/>
    <w:rsid w:val="00AE3E0F"/>
    <w:rsid w:val="00AE3EA0"/>
    <w:rsid w:val="00AE3EB4"/>
    <w:rsid w:val="00AE3EEB"/>
    <w:rsid w:val="00AE3F03"/>
    <w:rsid w:val="00AE3F19"/>
    <w:rsid w:val="00AE3F8F"/>
    <w:rsid w:val="00AE3FC9"/>
    <w:rsid w:val="00AE4276"/>
    <w:rsid w:val="00AE427E"/>
    <w:rsid w:val="00AE446A"/>
    <w:rsid w:val="00AE4489"/>
    <w:rsid w:val="00AE44CC"/>
    <w:rsid w:val="00AE46E4"/>
    <w:rsid w:val="00AE4746"/>
    <w:rsid w:val="00AE4761"/>
    <w:rsid w:val="00AE4821"/>
    <w:rsid w:val="00AE48E8"/>
    <w:rsid w:val="00AE493E"/>
    <w:rsid w:val="00AE498E"/>
    <w:rsid w:val="00AE4A05"/>
    <w:rsid w:val="00AE4D00"/>
    <w:rsid w:val="00AE4D4A"/>
    <w:rsid w:val="00AE4DFB"/>
    <w:rsid w:val="00AE4E40"/>
    <w:rsid w:val="00AE4E7B"/>
    <w:rsid w:val="00AE4FB2"/>
    <w:rsid w:val="00AE4FD1"/>
    <w:rsid w:val="00AE4FF2"/>
    <w:rsid w:val="00AE50DC"/>
    <w:rsid w:val="00AE50E7"/>
    <w:rsid w:val="00AE52F6"/>
    <w:rsid w:val="00AE5307"/>
    <w:rsid w:val="00AE53D9"/>
    <w:rsid w:val="00AE53F0"/>
    <w:rsid w:val="00AE5518"/>
    <w:rsid w:val="00AE5563"/>
    <w:rsid w:val="00AE5591"/>
    <w:rsid w:val="00AE55C4"/>
    <w:rsid w:val="00AE55F5"/>
    <w:rsid w:val="00AE5747"/>
    <w:rsid w:val="00AE5824"/>
    <w:rsid w:val="00AE5944"/>
    <w:rsid w:val="00AE5A3E"/>
    <w:rsid w:val="00AE5A72"/>
    <w:rsid w:val="00AE5B2E"/>
    <w:rsid w:val="00AE5B54"/>
    <w:rsid w:val="00AE5B97"/>
    <w:rsid w:val="00AE5BB3"/>
    <w:rsid w:val="00AE5BCC"/>
    <w:rsid w:val="00AE5C1B"/>
    <w:rsid w:val="00AE5C82"/>
    <w:rsid w:val="00AE5DDE"/>
    <w:rsid w:val="00AE5E01"/>
    <w:rsid w:val="00AE5EDA"/>
    <w:rsid w:val="00AE5EE0"/>
    <w:rsid w:val="00AE5FA2"/>
    <w:rsid w:val="00AE5FA8"/>
    <w:rsid w:val="00AE5FC4"/>
    <w:rsid w:val="00AE632D"/>
    <w:rsid w:val="00AE634A"/>
    <w:rsid w:val="00AE638C"/>
    <w:rsid w:val="00AE63D1"/>
    <w:rsid w:val="00AE63F1"/>
    <w:rsid w:val="00AE648C"/>
    <w:rsid w:val="00AE6510"/>
    <w:rsid w:val="00AE6542"/>
    <w:rsid w:val="00AE654F"/>
    <w:rsid w:val="00AE6569"/>
    <w:rsid w:val="00AE6578"/>
    <w:rsid w:val="00AE66C2"/>
    <w:rsid w:val="00AE66C3"/>
    <w:rsid w:val="00AE66FF"/>
    <w:rsid w:val="00AE674B"/>
    <w:rsid w:val="00AE6929"/>
    <w:rsid w:val="00AE697E"/>
    <w:rsid w:val="00AE6C14"/>
    <w:rsid w:val="00AE6CED"/>
    <w:rsid w:val="00AE6CF8"/>
    <w:rsid w:val="00AE6D15"/>
    <w:rsid w:val="00AE6DEF"/>
    <w:rsid w:val="00AE6EDB"/>
    <w:rsid w:val="00AE6FFB"/>
    <w:rsid w:val="00AE706F"/>
    <w:rsid w:val="00AE7265"/>
    <w:rsid w:val="00AE72D0"/>
    <w:rsid w:val="00AE7356"/>
    <w:rsid w:val="00AE75C5"/>
    <w:rsid w:val="00AE7638"/>
    <w:rsid w:val="00AE7758"/>
    <w:rsid w:val="00AE7843"/>
    <w:rsid w:val="00AE784E"/>
    <w:rsid w:val="00AE7903"/>
    <w:rsid w:val="00AE793F"/>
    <w:rsid w:val="00AE7BAF"/>
    <w:rsid w:val="00AE7E5B"/>
    <w:rsid w:val="00AE7EAB"/>
    <w:rsid w:val="00AE7F17"/>
    <w:rsid w:val="00AE7F6D"/>
    <w:rsid w:val="00AE7FD1"/>
    <w:rsid w:val="00AE7FDB"/>
    <w:rsid w:val="00AF005B"/>
    <w:rsid w:val="00AF011A"/>
    <w:rsid w:val="00AF01A8"/>
    <w:rsid w:val="00AF0372"/>
    <w:rsid w:val="00AF0377"/>
    <w:rsid w:val="00AF03B9"/>
    <w:rsid w:val="00AF03D9"/>
    <w:rsid w:val="00AF060F"/>
    <w:rsid w:val="00AF06FF"/>
    <w:rsid w:val="00AF073F"/>
    <w:rsid w:val="00AF07A8"/>
    <w:rsid w:val="00AF07B7"/>
    <w:rsid w:val="00AF07F8"/>
    <w:rsid w:val="00AF0812"/>
    <w:rsid w:val="00AF08A9"/>
    <w:rsid w:val="00AF09B9"/>
    <w:rsid w:val="00AF0AD3"/>
    <w:rsid w:val="00AF0B56"/>
    <w:rsid w:val="00AF0C17"/>
    <w:rsid w:val="00AF0C5C"/>
    <w:rsid w:val="00AF0CE5"/>
    <w:rsid w:val="00AF0D03"/>
    <w:rsid w:val="00AF0EF5"/>
    <w:rsid w:val="00AF0F33"/>
    <w:rsid w:val="00AF0F72"/>
    <w:rsid w:val="00AF0FBE"/>
    <w:rsid w:val="00AF0FE2"/>
    <w:rsid w:val="00AF1038"/>
    <w:rsid w:val="00AF11DA"/>
    <w:rsid w:val="00AF11FE"/>
    <w:rsid w:val="00AF1405"/>
    <w:rsid w:val="00AF15BC"/>
    <w:rsid w:val="00AF160D"/>
    <w:rsid w:val="00AF1639"/>
    <w:rsid w:val="00AF1702"/>
    <w:rsid w:val="00AF1843"/>
    <w:rsid w:val="00AF1AD2"/>
    <w:rsid w:val="00AF1B41"/>
    <w:rsid w:val="00AF1BC4"/>
    <w:rsid w:val="00AF1BE1"/>
    <w:rsid w:val="00AF1CB3"/>
    <w:rsid w:val="00AF1CC6"/>
    <w:rsid w:val="00AF1D56"/>
    <w:rsid w:val="00AF1D8B"/>
    <w:rsid w:val="00AF1E94"/>
    <w:rsid w:val="00AF1E95"/>
    <w:rsid w:val="00AF1F2B"/>
    <w:rsid w:val="00AF1F30"/>
    <w:rsid w:val="00AF2004"/>
    <w:rsid w:val="00AF2240"/>
    <w:rsid w:val="00AF22A2"/>
    <w:rsid w:val="00AF2395"/>
    <w:rsid w:val="00AF25AE"/>
    <w:rsid w:val="00AF25B8"/>
    <w:rsid w:val="00AF25FA"/>
    <w:rsid w:val="00AF275A"/>
    <w:rsid w:val="00AF280F"/>
    <w:rsid w:val="00AF283E"/>
    <w:rsid w:val="00AF285C"/>
    <w:rsid w:val="00AF2939"/>
    <w:rsid w:val="00AF2AB6"/>
    <w:rsid w:val="00AF2AB7"/>
    <w:rsid w:val="00AF2AE4"/>
    <w:rsid w:val="00AF2AFB"/>
    <w:rsid w:val="00AF2B7A"/>
    <w:rsid w:val="00AF2C21"/>
    <w:rsid w:val="00AF2C2C"/>
    <w:rsid w:val="00AF2D39"/>
    <w:rsid w:val="00AF2D3F"/>
    <w:rsid w:val="00AF2DAB"/>
    <w:rsid w:val="00AF2E13"/>
    <w:rsid w:val="00AF2E6E"/>
    <w:rsid w:val="00AF2E74"/>
    <w:rsid w:val="00AF3028"/>
    <w:rsid w:val="00AF3039"/>
    <w:rsid w:val="00AF3091"/>
    <w:rsid w:val="00AF316A"/>
    <w:rsid w:val="00AF3322"/>
    <w:rsid w:val="00AF3414"/>
    <w:rsid w:val="00AF3460"/>
    <w:rsid w:val="00AF34A1"/>
    <w:rsid w:val="00AF3519"/>
    <w:rsid w:val="00AF36E9"/>
    <w:rsid w:val="00AF3718"/>
    <w:rsid w:val="00AF3730"/>
    <w:rsid w:val="00AF37F0"/>
    <w:rsid w:val="00AF3855"/>
    <w:rsid w:val="00AF3873"/>
    <w:rsid w:val="00AF3A0E"/>
    <w:rsid w:val="00AF3B44"/>
    <w:rsid w:val="00AF3B5A"/>
    <w:rsid w:val="00AF3C1F"/>
    <w:rsid w:val="00AF3CBC"/>
    <w:rsid w:val="00AF3CC4"/>
    <w:rsid w:val="00AF3CCF"/>
    <w:rsid w:val="00AF3E4C"/>
    <w:rsid w:val="00AF3E4F"/>
    <w:rsid w:val="00AF3E76"/>
    <w:rsid w:val="00AF3FA8"/>
    <w:rsid w:val="00AF427B"/>
    <w:rsid w:val="00AF4291"/>
    <w:rsid w:val="00AF4393"/>
    <w:rsid w:val="00AF43BE"/>
    <w:rsid w:val="00AF4410"/>
    <w:rsid w:val="00AF4420"/>
    <w:rsid w:val="00AF4475"/>
    <w:rsid w:val="00AF4477"/>
    <w:rsid w:val="00AF44B8"/>
    <w:rsid w:val="00AF457F"/>
    <w:rsid w:val="00AF4640"/>
    <w:rsid w:val="00AF46B7"/>
    <w:rsid w:val="00AF47D7"/>
    <w:rsid w:val="00AF47E5"/>
    <w:rsid w:val="00AF4968"/>
    <w:rsid w:val="00AF4971"/>
    <w:rsid w:val="00AF4987"/>
    <w:rsid w:val="00AF4A0A"/>
    <w:rsid w:val="00AF4A3C"/>
    <w:rsid w:val="00AF4A40"/>
    <w:rsid w:val="00AF4B59"/>
    <w:rsid w:val="00AF4B60"/>
    <w:rsid w:val="00AF4BFC"/>
    <w:rsid w:val="00AF4C57"/>
    <w:rsid w:val="00AF4CE4"/>
    <w:rsid w:val="00AF4D73"/>
    <w:rsid w:val="00AF4D88"/>
    <w:rsid w:val="00AF4E7A"/>
    <w:rsid w:val="00AF4F00"/>
    <w:rsid w:val="00AF4F29"/>
    <w:rsid w:val="00AF4F8F"/>
    <w:rsid w:val="00AF4FBC"/>
    <w:rsid w:val="00AF5173"/>
    <w:rsid w:val="00AF5236"/>
    <w:rsid w:val="00AF5275"/>
    <w:rsid w:val="00AF52A4"/>
    <w:rsid w:val="00AF5334"/>
    <w:rsid w:val="00AF5342"/>
    <w:rsid w:val="00AF539D"/>
    <w:rsid w:val="00AF53C7"/>
    <w:rsid w:val="00AF5413"/>
    <w:rsid w:val="00AF54C2"/>
    <w:rsid w:val="00AF5702"/>
    <w:rsid w:val="00AF577D"/>
    <w:rsid w:val="00AF579B"/>
    <w:rsid w:val="00AF57D6"/>
    <w:rsid w:val="00AF58D3"/>
    <w:rsid w:val="00AF59BE"/>
    <w:rsid w:val="00AF5A29"/>
    <w:rsid w:val="00AF5AC8"/>
    <w:rsid w:val="00AF5AE1"/>
    <w:rsid w:val="00AF5BA2"/>
    <w:rsid w:val="00AF5BBB"/>
    <w:rsid w:val="00AF5CAD"/>
    <w:rsid w:val="00AF5E0F"/>
    <w:rsid w:val="00AF5E9E"/>
    <w:rsid w:val="00AF5EAD"/>
    <w:rsid w:val="00AF6125"/>
    <w:rsid w:val="00AF616B"/>
    <w:rsid w:val="00AF61D3"/>
    <w:rsid w:val="00AF622E"/>
    <w:rsid w:val="00AF64B0"/>
    <w:rsid w:val="00AF64E9"/>
    <w:rsid w:val="00AF6532"/>
    <w:rsid w:val="00AF65A0"/>
    <w:rsid w:val="00AF6678"/>
    <w:rsid w:val="00AF66FA"/>
    <w:rsid w:val="00AF6758"/>
    <w:rsid w:val="00AF681F"/>
    <w:rsid w:val="00AF6901"/>
    <w:rsid w:val="00AF6929"/>
    <w:rsid w:val="00AF6967"/>
    <w:rsid w:val="00AF6BF1"/>
    <w:rsid w:val="00AF6C88"/>
    <w:rsid w:val="00AF6CB5"/>
    <w:rsid w:val="00AF6CF8"/>
    <w:rsid w:val="00AF6EA7"/>
    <w:rsid w:val="00AF6FEC"/>
    <w:rsid w:val="00AF703B"/>
    <w:rsid w:val="00AF70E8"/>
    <w:rsid w:val="00AF711A"/>
    <w:rsid w:val="00AF715F"/>
    <w:rsid w:val="00AF71CC"/>
    <w:rsid w:val="00AF71DD"/>
    <w:rsid w:val="00AF71F0"/>
    <w:rsid w:val="00AF7321"/>
    <w:rsid w:val="00AF7354"/>
    <w:rsid w:val="00AF7378"/>
    <w:rsid w:val="00AF73A9"/>
    <w:rsid w:val="00AF7458"/>
    <w:rsid w:val="00AF755D"/>
    <w:rsid w:val="00AF7576"/>
    <w:rsid w:val="00AF75B5"/>
    <w:rsid w:val="00AF764C"/>
    <w:rsid w:val="00AF766C"/>
    <w:rsid w:val="00AF76CD"/>
    <w:rsid w:val="00AF7714"/>
    <w:rsid w:val="00AF7773"/>
    <w:rsid w:val="00AF78E6"/>
    <w:rsid w:val="00AF7AD2"/>
    <w:rsid w:val="00AF7C14"/>
    <w:rsid w:val="00AF7C1D"/>
    <w:rsid w:val="00AF7C2D"/>
    <w:rsid w:val="00AF7DD1"/>
    <w:rsid w:val="00AF7E51"/>
    <w:rsid w:val="00AF7E90"/>
    <w:rsid w:val="00AF7EA5"/>
    <w:rsid w:val="00AF7F55"/>
    <w:rsid w:val="00B0008F"/>
    <w:rsid w:val="00B0025F"/>
    <w:rsid w:val="00B003DA"/>
    <w:rsid w:val="00B00408"/>
    <w:rsid w:val="00B004CD"/>
    <w:rsid w:val="00B0057F"/>
    <w:rsid w:val="00B005E4"/>
    <w:rsid w:val="00B00623"/>
    <w:rsid w:val="00B006E5"/>
    <w:rsid w:val="00B008BA"/>
    <w:rsid w:val="00B00917"/>
    <w:rsid w:val="00B00934"/>
    <w:rsid w:val="00B00979"/>
    <w:rsid w:val="00B00A85"/>
    <w:rsid w:val="00B00A8F"/>
    <w:rsid w:val="00B00CE0"/>
    <w:rsid w:val="00B00D0B"/>
    <w:rsid w:val="00B00D78"/>
    <w:rsid w:val="00B00E6B"/>
    <w:rsid w:val="00B00E9A"/>
    <w:rsid w:val="00B00F80"/>
    <w:rsid w:val="00B01061"/>
    <w:rsid w:val="00B0114F"/>
    <w:rsid w:val="00B012E2"/>
    <w:rsid w:val="00B0134E"/>
    <w:rsid w:val="00B01410"/>
    <w:rsid w:val="00B01480"/>
    <w:rsid w:val="00B015C6"/>
    <w:rsid w:val="00B0168A"/>
    <w:rsid w:val="00B016A4"/>
    <w:rsid w:val="00B01BEB"/>
    <w:rsid w:val="00B01C3D"/>
    <w:rsid w:val="00B01C4E"/>
    <w:rsid w:val="00B01CA8"/>
    <w:rsid w:val="00B01CDC"/>
    <w:rsid w:val="00B01DEA"/>
    <w:rsid w:val="00B01E37"/>
    <w:rsid w:val="00B01E59"/>
    <w:rsid w:val="00B0204A"/>
    <w:rsid w:val="00B0208D"/>
    <w:rsid w:val="00B021D4"/>
    <w:rsid w:val="00B021DF"/>
    <w:rsid w:val="00B021FC"/>
    <w:rsid w:val="00B02272"/>
    <w:rsid w:val="00B02306"/>
    <w:rsid w:val="00B02398"/>
    <w:rsid w:val="00B0245C"/>
    <w:rsid w:val="00B02461"/>
    <w:rsid w:val="00B02466"/>
    <w:rsid w:val="00B0248B"/>
    <w:rsid w:val="00B02664"/>
    <w:rsid w:val="00B02714"/>
    <w:rsid w:val="00B02746"/>
    <w:rsid w:val="00B0274F"/>
    <w:rsid w:val="00B027D6"/>
    <w:rsid w:val="00B028AD"/>
    <w:rsid w:val="00B028DE"/>
    <w:rsid w:val="00B02A27"/>
    <w:rsid w:val="00B02A59"/>
    <w:rsid w:val="00B02A8F"/>
    <w:rsid w:val="00B02AA5"/>
    <w:rsid w:val="00B02BC6"/>
    <w:rsid w:val="00B02BDB"/>
    <w:rsid w:val="00B02C46"/>
    <w:rsid w:val="00B02F90"/>
    <w:rsid w:val="00B02FC8"/>
    <w:rsid w:val="00B0306B"/>
    <w:rsid w:val="00B030AE"/>
    <w:rsid w:val="00B032E0"/>
    <w:rsid w:val="00B032EF"/>
    <w:rsid w:val="00B03373"/>
    <w:rsid w:val="00B033EB"/>
    <w:rsid w:val="00B03472"/>
    <w:rsid w:val="00B034A5"/>
    <w:rsid w:val="00B034E7"/>
    <w:rsid w:val="00B03512"/>
    <w:rsid w:val="00B0360E"/>
    <w:rsid w:val="00B0376D"/>
    <w:rsid w:val="00B03971"/>
    <w:rsid w:val="00B03A2C"/>
    <w:rsid w:val="00B03B4E"/>
    <w:rsid w:val="00B03BA2"/>
    <w:rsid w:val="00B03D33"/>
    <w:rsid w:val="00B03D3A"/>
    <w:rsid w:val="00B03D7E"/>
    <w:rsid w:val="00B03E8D"/>
    <w:rsid w:val="00B03EC2"/>
    <w:rsid w:val="00B03F5D"/>
    <w:rsid w:val="00B0406F"/>
    <w:rsid w:val="00B0417D"/>
    <w:rsid w:val="00B041C8"/>
    <w:rsid w:val="00B043AD"/>
    <w:rsid w:val="00B043CA"/>
    <w:rsid w:val="00B043EF"/>
    <w:rsid w:val="00B0440C"/>
    <w:rsid w:val="00B0441D"/>
    <w:rsid w:val="00B0442C"/>
    <w:rsid w:val="00B044AD"/>
    <w:rsid w:val="00B044CB"/>
    <w:rsid w:val="00B045FC"/>
    <w:rsid w:val="00B04617"/>
    <w:rsid w:val="00B046D6"/>
    <w:rsid w:val="00B047A7"/>
    <w:rsid w:val="00B049E1"/>
    <w:rsid w:val="00B04A2F"/>
    <w:rsid w:val="00B04A7A"/>
    <w:rsid w:val="00B04AFB"/>
    <w:rsid w:val="00B04B55"/>
    <w:rsid w:val="00B04B91"/>
    <w:rsid w:val="00B04D55"/>
    <w:rsid w:val="00B04E27"/>
    <w:rsid w:val="00B04E66"/>
    <w:rsid w:val="00B04EE1"/>
    <w:rsid w:val="00B04FD9"/>
    <w:rsid w:val="00B05019"/>
    <w:rsid w:val="00B050C4"/>
    <w:rsid w:val="00B05188"/>
    <w:rsid w:val="00B05232"/>
    <w:rsid w:val="00B05270"/>
    <w:rsid w:val="00B052B8"/>
    <w:rsid w:val="00B053CC"/>
    <w:rsid w:val="00B053FC"/>
    <w:rsid w:val="00B05537"/>
    <w:rsid w:val="00B0579C"/>
    <w:rsid w:val="00B058CA"/>
    <w:rsid w:val="00B058E9"/>
    <w:rsid w:val="00B05928"/>
    <w:rsid w:val="00B05977"/>
    <w:rsid w:val="00B05B48"/>
    <w:rsid w:val="00B05B97"/>
    <w:rsid w:val="00B05C0E"/>
    <w:rsid w:val="00B05CFC"/>
    <w:rsid w:val="00B05D0A"/>
    <w:rsid w:val="00B05D24"/>
    <w:rsid w:val="00B05F3E"/>
    <w:rsid w:val="00B05FAB"/>
    <w:rsid w:val="00B06072"/>
    <w:rsid w:val="00B06074"/>
    <w:rsid w:val="00B060CD"/>
    <w:rsid w:val="00B06189"/>
    <w:rsid w:val="00B0623D"/>
    <w:rsid w:val="00B063C7"/>
    <w:rsid w:val="00B065A7"/>
    <w:rsid w:val="00B0663D"/>
    <w:rsid w:val="00B06695"/>
    <w:rsid w:val="00B066AB"/>
    <w:rsid w:val="00B066BE"/>
    <w:rsid w:val="00B06735"/>
    <w:rsid w:val="00B067A2"/>
    <w:rsid w:val="00B06862"/>
    <w:rsid w:val="00B06959"/>
    <w:rsid w:val="00B0695B"/>
    <w:rsid w:val="00B069CD"/>
    <w:rsid w:val="00B06A32"/>
    <w:rsid w:val="00B06A8A"/>
    <w:rsid w:val="00B06B88"/>
    <w:rsid w:val="00B06CAB"/>
    <w:rsid w:val="00B06CD5"/>
    <w:rsid w:val="00B06CD6"/>
    <w:rsid w:val="00B06F0A"/>
    <w:rsid w:val="00B06FBB"/>
    <w:rsid w:val="00B07044"/>
    <w:rsid w:val="00B0722B"/>
    <w:rsid w:val="00B072B3"/>
    <w:rsid w:val="00B07431"/>
    <w:rsid w:val="00B074F6"/>
    <w:rsid w:val="00B0755B"/>
    <w:rsid w:val="00B07704"/>
    <w:rsid w:val="00B07744"/>
    <w:rsid w:val="00B0779C"/>
    <w:rsid w:val="00B07927"/>
    <w:rsid w:val="00B07930"/>
    <w:rsid w:val="00B07951"/>
    <w:rsid w:val="00B079BF"/>
    <w:rsid w:val="00B07A17"/>
    <w:rsid w:val="00B07B12"/>
    <w:rsid w:val="00B07B1B"/>
    <w:rsid w:val="00B07C83"/>
    <w:rsid w:val="00B07CF2"/>
    <w:rsid w:val="00B07E75"/>
    <w:rsid w:val="00B07E9A"/>
    <w:rsid w:val="00B07F6D"/>
    <w:rsid w:val="00B100D8"/>
    <w:rsid w:val="00B1010B"/>
    <w:rsid w:val="00B10113"/>
    <w:rsid w:val="00B1018F"/>
    <w:rsid w:val="00B10227"/>
    <w:rsid w:val="00B10295"/>
    <w:rsid w:val="00B103F7"/>
    <w:rsid w:val="00B10458"/>
    <w:rsid w:val="00B10620"/>
    <w:rsid w:val="00B10628"/>
    <w:rsid w:val="00B10770"/>
    <w:rsid w:val="00B10798"/>
    <w:rsid w:val="00B1084B"/>
    <w:rsid w:val="00B1085F"/>
    <w:rsid w:val="00B10A70"/>
    <w:rsid w:val="00B10BDB"/>
    <w:rsid w:val="00B10C4C"/>
    <w:rsid w:val="00B10CB2"/>
    <w:rsid w:val="00B10D99"/>
    <w:rsid w:val="00B10DF4"/>
    <w:rsid w:val="00B10DF7"/>
    <w:rsid w:val="00B10ECB"/>
    <w:rsid w:val="00B10F0A"/>
    <w:rsid w:val="00B10F4F"/>
    <w:rsid w:val="00B10F56"/>
    <w:rsid w:val="00B110A6"/>
    <w:rsid w:val="00B1117F"/>
    <w:rsid w:val="00B1122F"/>
    <w:rsid w:val="00B11264"/>
    <w:rsid w:val="00B112EB"/>
    <w:rsid w:val="00B11650"/>
    <w:rsid w:val="00B116B5"/>
    <w:rsid w:val="00B1175F"/>
    <w:rsid w:val="00B117D2"/>
    <w:rsid w:val="00B1182D"/>
    <w:rsid w:val="00B11893"/>
    <w:rsid w:val="00B11974"/>
    <w:rsid w:val="00B11B14"/>
    <w:rsid w:val="00B11CAD"/>
    <w:rsid w:val="00B11CF2"/>
    <w:rsid w:val="00B11DEF"/>
    <w:rsid w:val="00B11F01"/>
    <w:rsid w:val="00B11F25"/>
    <w:rsid w:val="00B12058"/>
    <w:rsid w:val="00B120D1"/>
    <w:rsid w:val="00B120FA"/>
    <w:rsid w:val="00B121A9"/>
    <w:rsid w:val="00B121DD"/>
    <w:rsid w:val="00B1229D"/>
    <w:rsid w:val="00B1243E"/>
    <w:rsid w:val="00B1248A"/>
    <w:rsid w:val="00B124A4"/>
    <w:rsid w:val="00B124D0"/>
    <w:rsid w:val="00B125E4"/>
    <w:rsid w:val="00B12650"/>
    <w:rsid w:val="00B12671"/>
    <w:rsid w:val="00B126C8"/>
    <w:rsid w:val="00B126D9"/>
    <w:rsid w:val="00B12712"/>
    <w:rsid w:val="00B12741"/>
    <w:rsid w:val="00B127C3"/>
    <w:rsid w:val="00B128F8"/>
    <w:rsid w:val="00B12904"/>
    <w:rsid w:val="00B12918"/>
    <w:rsid w:val="00B1296A"/>
    <w:rsid w:val="00B129CC"/>
    <w:rsid w:val="00B12A9C"/>
    <w:rsid w:val="00B12A9F"/>
    <w:rsid w:val="00B12AB1"/>
    <w:rsid w:val="00B12BDE"/>
    <w:rsid w:val="00B12D0A"/>
    <w:rsid w:val="00B12D25"/>
    <w:rsid w:val="00B12D90"/>
    <w:rsid w:val="00B12DFB"/>
    <w:rsid w:val="00B12E41"/>
    <w:rsid w:val="00B12E55"/>
    <w:rsid w:val="00B12EB8"/>
    <w:rsid w:val="00B12ECE"/>
    <w:rsid w:val="00B12EDD"/>
    <w:rsid w:val="00B12F67"/>
    <w:rsid w:val="00B12F74"/>
    <w:rsid w:val="00B12FB4"/>
    <w:rsid w:val="00B130CF"/>
    <w:rsid w:val="00B1314B"/>
    <w:rsid w:val="00B132B8"/>
    <w:rsid w:val="00B132ED"/>
    <w:rsid w:val="00B133B3"/>
    <w:rsid w:val="00B134A3"/>
    <w:rsid w:val="00B13599"/>
    <w:rsid w:val="00B1368A"/>
    <w:rsid w:val="00B1377A"/>
    <w:rsid w:val="00B137BD"/>
    <w:rsid w:val="00B1389F"/>
    <w:rsid w:val="00B138A9"/>
    <w:rsid w:val="00B138B6"/>
    <w:rsid w:val="00B138E8"/>
    <w:rsid w:val="00B138F7"/>
    <w:rsid w:val="00B1393A"/>
    <w:rsid w:val="00B139A4"/>
    <w:rsid w:val="00B13A20"/>
    <w:rsid w:val="00B13A40"/>
    <w:rsid w:val="00B13BE5"/>
    <w:rsid w:val="00B13C30"/>
    <w:rsid w:val="00B13CAE"/>
    <w:rsid w:val="00B13D11"/>
    <w:rsid w:val="00B13DDA"/>
    <w:rsid w:val="00B13F5D"/>
    <w:rsid w:val="00B13F6F"/>
    <w:rsid w:val="00B13FD5"/>
    <w:rsid w:val="00B141E3"/>
    <w:rsid w:val="00B143F0"/>
    <w:rsid w:val="00B14411"/>
    <w:rsid w:val="00B144C3"/>
    <w:rsid w:val="00B1451A"/>
    <w:rsid w:val="00B14527"/>
    <w:rsid w:val="00B145E2"/>
    <w:rsid w:val="00B14604"/>
    <w:rsid w:val="00B1463B"/>
    <w:rsid w:val="00B14664"/>
    <w:rsid w:val="00B14882"/>
    <w:rsid w:val="00B14A5C"/>
    <w:rsid w:val="00B14A7B"/>
    <w:rsid w:val="00B14AB1"/>
    <w:rsid w:val="00B14B61"/>
    <w:rsid w:val="00B14BA9"/>
    <w:rsid w:val="00B14C71"/>
    <w:rsid w:val="00B14CEC"/>
    <w:rsid w:val="00B14DB1"/>
    <w:rsid w:val="00B14F5F"/>
    <w:rsid w:val="00B14FD6"/>
    <w:rsid w:val="00B1502F"/>
    <w:rsid w:val="00B15156"/>
    <w:rsid w:val="00B1517D"/>
    <w:rsid w:val="00B151F5"/>
    <w:rsid w:val="00B15239"/>
    <w:rsid w:val="00B152A0"/>
    <w:rsid w:val="00B152AE"/>
    <w:rsid w:val="00B152D1"/>
    <w:rsid w:val="00B153CA"/>
    <w:rsid w:val="00B154AB"/>
    <w:rsid w:val="00B154AF"/>
    <w:rsid w:val="00B1558B"/>
    <w:rsid w:val="00B155FF"/>
    <w:rsid w:val="00B1562F"/>
    <w:rsid w:val="00B15726"/>
    <w:rsid w:val="00B15750"/>
    <w:rsid w:val="00B157B1"/>
    <w:rsid w:val="00B1583C"/>
    <w:rsid w:val="00B15858"/>
    <w:rsid w:val="00B15860"/>
    <w:rsid w:val="00B15AFA"/>
    <w:rsid w:val="00B15B03"/>
    <w:rsid w:val="00B15B68"/>
    <w:rsid w:val="00B15BA5"/>
    <w:rsid w:val="00B15BFF"/>
    <w:rsid w:val="00B16002"/>
    <w:rsid w:val="00B16096"/>
    <w:rsid w:val="00B160A8"/>
    <w:rsid w:val="00B16106"/>
    <w:rsid w:val="00B1610A"/>
    <w:rsid w:val="00B161D9"/>
    <w:rsid w:val="00B16241"/>
    <w:rsid w:val="00B1634C"/>
    <w:rsid w:val="00B163A2"/>
    <w:rsid w:val="00B16416"/>
    <w:rsid w:val="00B1655F"/>
    <w:rsid w:val="00B167FD"/>
    <w:rsid w:val="00B1683D"/>
    <w:rsid w:val="00B1688E"/>
    <w:rsid w:val="00B16A7A"/>
    <w:rsid w:val="00B16BED"/>
    <w:rsid w:val="00B16C76"/>
    <w:rsid w:val="00B16D55"/>
    <w:rsid w:val="00B16DD0"/>
    <w:rsid w:val="00B16E0D"/>
    <w:rsid w:val="00B16E39"/>
    <w:rsid w:val="00B16EA6"/>
    <w:rsid w:val="00B16ECE"/>
    <w:rsid w:val="00B16EF2"/>
    <w:rsid w:val="00B16F96"/>
    <w:rsid w:val="00B17066"/>
    <w:rsid w:val="00B170A1"/>
    <w:rsid w:val="00B170A8"/>
    <w:rsid w:val="00B170CE"/>
    <w:rsid w:val="00B17121"/>
    <w:rsid w:val="00B17233"/>
    <w:rsid w:val="00B172A9"/>
    <w:rsid w:val="00B173ED"/>
    <w:rsid w:val="00B1745F"/>
    <w:rsid w:val="00B17471"/>
    <w:rsid w:val="00B174D1"/>
    <w:rsid w:val="00B174FA"/>
    <w:rsid w:val="00B17667"/>
    <w:rsid w:val="00B1767C"/>
    <w:rsid w:val="00B1769B"/>
    <w:rsid w:val="00B177B9"/>
    <w:rsid w:val="00B177E6"/>
    <w:rsid w:val="00B1784E"/>
    <w:rsid w:val="00B1796C"/>
    <w:rsid w:val="00B17A35"/>
    <w:rsid w:val="00B17BAF"/>
    <w:rsid w:val="00B17C54"/>
    <w:rsid w:val="00B17C7D"/>
    <w:rsid w:val="00B17D03"/>
    <w:rsid w:val="00B17D3D"/>
    <w:rsid w:val="00B17D84"/>
    <w:rsid w:val="00B17E7B"/>
    <w:rsid w:val="00B17F2F"/>
    <w:rsid w:val="00B17FE7"/>
    <w:rsid w:val="00B17FFD"/>
    <w:rsid w:val="00B2004D"/>
    <w:rsid w:val="00B20050"/>
    <w:rsid w:val="00B20181"/>
    <w:rsid w:val="00B20224"/>
    <w:rsid w:val="00B20278"/>
    <w:rsid w:val="00B203C2"/>
    <w:rsid w:val="00B203F6"/>
    <w:rsid w:val="00B2042C"/>
    <w:rsid w:val="00B2048F"/>
    <w:rsid w:val="00B20506"/>
    <w:rsid w:val="00B2050F"/>
    <w:rsid w:val="00B205B4"/>
    <w:rsid w:val="00B20702"/>
    <w:rsid w:val="00B20778"/>
    <w:rsid w:val="00B208A7"/>
    <w:rsid w:val="00B2092F"/>
    <w:rsid w:val="00B20944"/>
    <w:rsid w:val="00B2098B"/>
    <w:rsid w:val="00B20A47"/>
    <w:rsid w:val="00B20A86"/>
    <w:rsid w:val="00B20DB6"/>
    <w:rsid w:val="00B20F30"/>
    <w:rsid w:val="00B20F66"/>
    <w:rsid w:val="00B20F74"/>
    <w:rsid w:val="00B20F9A"/>
    <w:rsid w:val="00B2107A"/>
    <w:rsid w:val="00B2118E"/>
    <w:rsid w:val="00B211C9"/>
    <w:rsid w:val="00B2121B"/>
    <w:rsid w:val="00B212F9"/>
    <w:rsid w:val="00B21301"/>
    <w:rsid w:val="00B2144E"/>
    <w:rsid w:val="00B214A6"/>
    <w:rsid w:val="00B21521"/>
    <w:rsid w:val="00B21549"/>
    <w:rsid w:val="00B21582"/>
    <w:rsid w:val="00B2168F"/>
    <w:rsid w:val="00B216CD"/>
    <w:rsid w:val="00B2170D"/>
    <w:rsid w:val="00B21794"/>
    <w:rsid w:val="00B217C3"/>
    <w:rsid w:val="00B217EC"/>
    <w:rsid w:val="00B218A2"/>
    <w:rsid w:val="00B218FD"/>
    <w:rsid w:val="00B219D9"/>
    <w:rsid w:val="00B21A2C"/>
    <w:rsid w:val="00B21A46"/>
    <w:rsid w:val="00B21B39"/>
    <w:rsid w:val="00B21BD7"/>
    <w:rsid w:val="00B21D83"/>
    <w:rsid w:val="00B21E11"/>
    <w:rsid w:val="00B21E13"/>
    <w:rsid w:val="00B21E34"/>
    <w:rsid w:val="00B21E83"/>
    <w:rsid w:val="00B21F0E"/>
    <w:rsid w:val="00B21FFB"/>
    <w:rsid w:val="00B22014"/>
    <w:rsid w:val="00B22016"/>
    <w:rsid w:val="00B22052"/>
    <w:rsid w:val="00B22089"/>
    <w:rsid w:val="00B2209A"/>
    <w:rsid w:val="00B220A2"/>
    <w:rsid w:val="00B220E6"/>
    <w:rsid w:val="00B220EA"/>
    <w:rsid w:val="00B221AF"/>
    <w:rsid w:val="00B22212"/>
    <w:rsid w:val="00B2226A"/>
    <w:rsid w:val="00B22296"/>
    <w:rsid w:val="00B22388"/>
    <w:rsid w:val="00B2242E"/>
    <w:rsid w:val="00B2243E"/>
    <w:rsid w:val="00B2247D"/>
    <w:rsid w:val="00B225B4"/>
    <w:rsid w:val="00B226B5"/>
    <w:rsid w:val="00B229CF"/>
    <w:rsid w:val="00B22A06"/>
    <w:rsid w:val="00B22A66"/>
    <w:rsid w:val="00B22C7C"/>
    <w:rsid w:val="00B22C97"/>
    <w:rsid w:val="00B22D0D"/>
    <w:rsid w:val="00B22D77"/>
    <w:rsid w:val="00B22D80"/>
    <w:rsid w:val="00B22E73"/>
    <w:rsid w:val="00B22E82"/>
    <w:rsid w:val="00B22EC2"/>
    <w:rsid w:val="00B22EE3"/>
    <w:rsid w:val="00B22F35"/>
    <w:rsid w:val="00B2308F"/>
    <w:rsid w:val="00B230FB"/>
    <w:rsid w:val="00B23116"/>
    <w:rsid w:val="00B2315D"/>
    <w:rsid w:val="00B231A2"/>
    <w:rsid w:val="00B23228"/>
    <w:rsid w:val="00B23364"/>
    <w:rsid w:val="00B23404"/>
    <w:rsid w:val="00B2343A"/>
    <w:rsid w:val="00B23514"/>
    <w:rsid w:val="00B2364C"/>
    <w:rsid w:val="00B23677"/>
    <w:rsid w:val="00B236AE"/>
    <w:rsid w:val="00B237CC"/>
    <w:rsid w:val="00B237FE"/>
    <w:rsid w:val="00B23942"/>
    <w:rsid w:val="00B2398E"/>
    <w:rsid w:val="00B23A4A"/>
    <w:rsid w:val="00B23A6E"/>
    <w:rsid w:val="00B23B65"/>
    <w:rsid w:val="00B23BC0"/>
    <w:rsid w:val="00B23C25"/>
    <w:rsid w:val="00B23C70"/>
    <w:rsid w:val="00B23CD2"/>
    <w:rsid w:val="00B23D1A"/>
    <w:rsid w:val="00B23D6B"/>
    <w:rsid w:val="00B23DE2"/>
    <w:rsid w:val="00B23EFA"/>
    <w:rsid w:val="00B23F4E"/>
    <w:rsid w:val="00B23F84"/>
    <w:rsid w:val="00B23F87"/>
    <w:rsid w:val="00B23F89"/>
    <w:rsid w:val="00B23F96"/>
    <w:rsid w:val="00B24021"/>
    <w:rsid w:val="00B241D1"/>
    <w:rsid w:val="00B242D4"/>
    <w:rsid w:val="00B24411"/>
    <w:rsid w:val="00B244AA"/>
    <w:rsid w:val="00B24528"/>
    <w:rsid w:val="00B2454B"/>
    <w:rsid w:val="00B245A3"/>
    <w:rsid w:val="00B24872"/>
    <w:rsid w:val="00B248A6"/>
    <w:rsid w:val="00B24984"/>
    <w:rsid w:val="00B249C1"/>
    <w:rsid w:val="00B24AE6"/>
    <w:rsid w:val="00B24B41"/>
    <w:rsid w:val="00B24C22"/>
    <w:rsid w:val="00B24CAB"/>
    <w:rsid w:val="00B24CE1"/>
    <w:rsid w:val="00B24D02"/>
    <w:rsid w:val="00B24ED4"/>
    <w:rsid w:val="00B24F2F"/>
    <w:rsid w:val="00B251AC"/>
    <w:rsid w:val="00B252A4"/>
    <w:rsid w:val="00B252DC"/>
    <w:rsid w:val="00B25378"/>
    <w:rsid w:val="00B2542E"/>
    <w:rsid w:val="00B2554A"/>
    <w:rsid w:val="00B25632"/>
    <w:rsid w:val="00B2567F"/>
    <w:rsid w:val="00B256E0"/>
    <w:rsid w:val="00B25767"/>
    <w:rsid w:val="00B25A4C"/>
    <w:rsid w:val="00B25B08"/>
    <w:rsid w:val="00B25B8B"/>
    <w:rsid w:val="00B25BD7"/>
    <w:rsid w:val="00B25C28"/>
    <w:rsid w:val="00B25CE8"/>
    <w:rsid w:val="00B25CFE"/>
    <w:rsid w:val="00B25D33"/>
    <w:rsid w:val="00B25D4F"/>
    <w:rsid w:val="00B25D69"/>
    <w:rsid w:val="00B25D95"/>
    <w:rsid w:val="00B25ECC"/>
    <w:rsid w:val="00B25EF2"/>
    <w:rsid w:val="00B25F48"/>
    <w:rsid w:val="00B25FEF"/>
    <w:rsid w:val="00B260A0"/>
    <w:rsid w:val="00B260A6"/>
    <w:rsid w:val="00B260D3"/>
    <w:rsid w:val="00B260FD"/>
    <w:rsid w:val="00B2613A"/>
    <w:rsid w:val="00B26143"/>
    <w:rsid w:val="00B26176"/>
    <w:rsid w:val="00B261C5"/>
    <w:rsid w:val="00B26358"/>
    <w:rsid w:val="00B263D5"/>
    <w:rsid w:val="00B263DC"/>
    <w:rsid w:val="00B263E7"/>
    <w:rsid w:val="00B26425"/>
    <w:rsid w:val="00B26530"/>
    <w:rsid w:val="00B2660D"/>
    <w:rsid w:val="00B26626"/>
    <w:rsid w:val="00B267A5"/>
    <w:rsid w:val="00B267D6"/>
    <w:rsid w:val="00B2681A"/>
    <w:rsid w:val="00B2697F"/>
    <w:rsid w:val="00B26A1F"/>
    <w:rsid w:val="00B26B3F"/>
    <w:rsid w:val="00B26B49"/>
    <w:rsid w:val="00B26B4D"/>
    <w:rsid w:val="00B26BF0"/>
    <w:rsid w:val="00B26C27"/>
    <w:rsid w:val="00B26C83"/>
    <w:rsid w:val="00B26D18"/>
    <w:rsid w:val="00B26DA2"/>
    <w:rsid w:val="00B26E17"/>
    <w:rsid w:val="00B26E89"/>
    <w:rsid w:val="00B26F0F"/>
    <w:rsid w:val="00B26FA6"/>
    <w:rsid w:val="00B27012"/>
    <w:rsid w:val="00B270AF"/>
    <w:rsid w:val="00B270B2"/>
    <w:rsid w:val="00B270CB"/>
    <w:rsid w:val="00B27113"/>
    <w:rsid w:val="00B271EE"/>
    <w:rsid w:val="00B27420"/>
    <w:rsid w:val="00B2744D"/>
    <w:rsid w:val="00B274AE"/>
    <w:rsid w:val="00B274E4"/>
    <w:rsid w:val="00B27688"/>
    <w:rsid w:val="00B276CD"/>
    <w:rsid w:val="00B27788"/>
    <w:rsid w:val="00B27883"/>
    <w:rsid w:val="00B278A9"/>
    <w:rsid w:val="00B279D6"/>
    <w:rsid w:val="00B27A7A"/>
    <w:rsid w:val="00B27AAB"/>
    <w:rsid w:val="00B27B5F"/>
    <w:rsid w:val="00B27BAE"/>
    <w:rsid w:val="00B27C0B"/>
    <w:rsid w:val="00B27EF7"/>
    <w:rsid w:val="00B27EFA"/>
    <w:rsid w:val="00B27FD2"/>
    <w:rsid w:val="00B27FFB"/>
    <w:rsid w:val="00B300CC"/>
    <w:rsid w:val="00B3015C"/>
    <w:rsid w:val="00B30204"/>
    <w:rsid w:val="00B3022F"/>
    <w:rsid w:val="00B30246"/>
    <w:rsid w:val="00B303B8"/>
    <w:rsid w:val="00B3062A"/>
    <w:rsid w:val="00B30649"/>
    <w:rsid w:val="00B30778"/>
    <w:rsid w:val="00B30A0B"/>
    <w:rsid w:val="00B30A4B"/>
    <w:rsid w:val="00B30A5B"/>
    <w:rsid w:val="00B30A7B"/>
    <w:rsid w:val="00B30AAE"/>
    <w:rsid w:val="00B30B2B"/>
    <w:rsid w:val="00B30B35"/>
    <w:rsid w:val="00B30BA6"/>
    <w:rsid w:val="00B30CAD"/>
    <w:rsid w:val="00B30CD7"/>
    <w:rsid w:val="00B30D2C"/>
    <w:rsid w:val="00B30E1F"/>
    <w:rsid w:val="00B30E8B"/>
    <w:rsid w:val="00B30F0A"/>
    <w:rsid w:val="00B30F19"/>
    <w:rsid w:val="00B310D0"/>
    <w:rsid w:val="00B310E5"/>
    <w:rsid w:val="00B31153"/>
    <w:rsid w:val="00B311A2"/>
    <w:rsid w:val="00B311AB"/>
    <w:rsid w:val="00B311BF"/>
    <w:rsid w:val="00B311C3"/>
    <w:rsid w:val="00B31220"/>
    <w:rsid w:val="00B31260"/>
    <w:rsid w:val="00B312FA"/>
    <w:rsid w:val="00B31324"/>
    <w:rsid w:val="00B3141F"/>
    <w:rsid w:val="00B31597"/>
    <w:rsid w:val="00B31661"/>
    <w:rsid w:val="00B31850"/>
    <w:rsid w:val="00B3195C"/>
    <w:rsid w:val="00B31ABF"/>
    <w:rsid w:val="00B31B21"/>
    <w:rsid w:val="00B31D45"/>
    <w:rsid w:val="00B31D77"/>
    <w:rsid w:val="00B31D80"/>
    <w:rsid w:val="00B31E4F"/>
    <w:rsid w:val="00B32088"/>
    <w:rsid w:val="00B32112"/>
    <w:rsid w:val="00B3212F"/>
    <w:rsid w:val="00B32261"/>
    <w:rsid w:val="00B32279"/>
    <w:rsid w:val="00B322D6"/>
    <w:rsid w:val="00B32310"/>
    <w:rsid w:val="00B3235B"/>
    <w:rsid w:val="00B32385"/>
    <w:rsid w:val="00B32451"/>
    <w:rsid w:val="00B32584"/>
    <w:rsid w:val="00B32599"/>
    <w:rsid w:val="00B325F2"/>
    <w:rsid w:val="00B326BB"/>
    <w:rsid w:val="00B327A8"/>
    <w:rsid w:val="00B327F4"/>
    <w:rsid w:val="00B32815"/>
    <w:rsid w:val="00B3282B"/>
    <w:rsid w:val="00B32A60"/>
    <w:rsid w:val="00B32B3D"/>
    <w:rsid w:val="00B32BF6"/>
    <w:rsid w:val="00B32CCA"/>
    <w:rsid w:val="00B32D0A"/>
    <w:rsid w:val="00B32D4F"/>
    <w:rsid w:val="00B32D5E"/>
    <w:rsid w:val="00B32D77"/>
    <w:rsid w:val="00B32DA4"/>
    <w:rsid w:val="00B32DAC"/>
    <w:rsid w:val="00B32E99"/>
    <w:rsid w:val="00B32EE9"/>
    <w:rsid w:val="00B32FAE"/>
    <w:rsid w:val="00B332D7"/>
    <w:rsid w:val="00B33336"/>
    <w:rsid w:val="00B33362"/>
    <w:rsid w:val="00B3338E"/>
    <w:rsid w:val="00B333CB"/>
    <w:rsid w:val="00B33479"/>
    <w:rsid w:val="00B3354C"/>
    <w:rsid w:val="00B33576"/>
    <w:rsid w:val="00B33633"/>
    <w:rsid w:val="00B3367C"/>
    <w:rsid w:val="00B336B3"/>
    <w:rsid w:val="00B336DE"/>
    <w:rsid w:val="00B33705"/>
    <w:rsid w:val="00B33710"/>
    <w:rsid w:val="00B3375D"/>
    <w:rsid w:val="00B3375E"/>
    <w:rsid w:val="00B3378F"/>
    <w:rsid w:val="00B337C9"/>
    <w:rsid w:val="00B33B48"/>
    <w:rsid w:val="00B33B4B"/>
    <w:rsid w:val="00B33C26"/>
    <w:rsid w:val="00B33C69"/>
    <w:rsid w:val="00B33C72"/>
    <w:rsid w:val="00B33CC0"/>
    <w:rsid w:val="00B33CE0"/>
    <w:rsid w:val="00B33ED3"/>
    <w:rsid w:val="00B33EDD"/>
    <w:rsid w:val="00B34050"/>
    <w:rsid w:val="00B34316"/>
    <w:rsid w:val="00B3433D"/>
    <w:rsid w:val="00B3434C"/>
    <w:rsid w:val="00B34377"/>
    <w:rsid w:val="00B3440D"/>
    <w:rsid w:val="00B344E8"/>
    <w:rsid w:val="00B34517"/>
    <w:rsid w:val="00B34583"/>
    <w:rsid w:val="00B346BD"/>
    <w:rsid w:val="00B3473C"/>
    <w:rsid w:val="00B34765"/>
    <w:rsid w:val="00B34894"/>
    <w:rsid w:val="00B34D1B"/>
    <w:rsid w:val="00B34DAD"/>
    <w:rsid w:val="00B34DCF"/>
    <w:rsid w:val="00B34E1D"/>
    <w:rsid w:val="00B34EC1"/>
    <w:rsid w:val="00B34FB0"/>
    <w:rsid w:val="00B35027"/>
    <w:rsid w:val="00B350E0"/>
    <w:rsid w:val="00B35202"/>
    <w:rsid w:val="00B3521F"/>
    <w:rsid w:val="00B352B5"/>
    <w:rsid w:val="00B35433"/>
    <w:rsid w:val="00B35449"/>
    <w:rsid w:val="00B3546D"/>
    <w:rsid w:val="00B35592"/>
    <w:rsid w:val="00B3569B"/>
    <w:rsid w:val="00B3579E"/>
    <w:rsid w:val="00B35842"/>
    <w:rsid w:val="00B35868"/>
    <w:rsid w:val="00B358BB"/>
    <w:rsid w:val="00B3598E"/>
    <w:rsid w:val="00B359CD"/>
    <w:rsid w:val="00B35A54"/>
    <w:rsid w:val="00B35B2B"/>
    <w:rsid w:val="00B35D19"/>
    <w:rsid w:val="00B35D37"/>
    <w:rsid w:val="00B35E11"/>
    <w:rsid w:val="00B35E54"/>
    <w:rsid w:val="00B35E58"/>
    <w:rsid w:val="00B35E5A"/>
    <w:rsid w:val="00B35E91"/>
    <w:rsid w:val="00B35EF8"/>
    <w:rsid w:val="00B35F51"/>
    <w:rsid w:val="00B36122"/>
    <w:rsid w:val="00B3620E"/>
    <w:rsid w:val="00B36247"/>
    <w:rsid w:val="00B362A4"/>
    <w:rsid w:val="00B362EF"/>
    <w:rsid w:val="00B3634C"/>
    <w:rsid w:val="00B36364"/>
    <w:rsid w:val="00B36407"/>
    <w:rsid w:val="00B36490"/>
    <w:rsid w:val="00B3650A"/>
    <w:rsid w:val="00B3655D"/>
    <w:rsid w:val="00B36593"/>
    <w:rsid w:val="00B36757"/>
    <w:rsid w:val="00B367D2"/>
    <w:rsid w:val="00B36825"/>
    <w:rsid w:val="00B36982"/>
    <w:rsid w:val="00B369E5"/>
    <w:rsid w:val="00B369F1"/>
    <w:rsid w:val="00B36A25"/>
    <w:rsid w:val="00B36A47"/>
    <w:rsid w:val="00B36A70"/>
    <w:rsid w:val="00B36C76"/>
    <w:rsid w:val="00B36DE8"/>
    <w:rsid w:val="00B36E44"/>
    <w:rsid w:val="00B37023"/>
    <w:rsid w:val="00B370AF"/>
    <w:rsid w:val="00B37119"/>
    <w:rsid w:val="00B37178"/>
    <w:rsid w:val="00B371EC"/>
    <w:rsid w:val="00B371FC"/>
    <w:rsid w:val="00B3731F"/>
    <w:rsid w:val="00B3732F"/>
    <w:rsid w:val="00B373F1"/>
    <w:rsid w:val="00B374AD"/>
    <w:rsid w:val="00B37578"/>
    <w:rsid w:val="00B37580"/>
    <w:rsid w:val="00B37829"/>
    <w:rsid w:val="00B3786F"/>
    <w:rsid w:val="00B378BA"/>
    <w:rsid w:val="00B37949"/>
    <w:rsid w:val="00B37986"/>
    <w:rsid w:val="00B37A83"/>
    <w:rsid w:val="00B37B50"/>
    <w:rsid w:val="00B37DC1"/>
    <w:rsid w:val="00B37EEA"/>
    <w:rsid w:val="00B37EEB"/>
    <w:rsid w:val="00B37F79"/>
    <w:rsid w:val="00B37FF4"/>
    <w:rsid w:val="00B40047"/>
    <w:rsid w:val="00B401B2"/>
    <w:rsid w:val="00B4027F"/>
    <w:rsid w:val="00B40305"/>
    <w:rsid w:val="00B4030A"/>
    <w:rsid w:val="00B403C8"/>
    <w:rsid w:val="00B404B8"/>
    <w:rsid w:val="00B405AC"/>
    <w:rsid w:val="00B406BD"/>
    <w:rsid w:val="00B40798"/>
    <w:rsid w:val="00B40844"/>
    <w:rsid w:val="00B40873"/>
    <w:rsid w:val="00B40976"/>
    <w:rsid w:val="00B40A11"/>
    <w:rsid w:val="00B40A17"/>
    <w:rsid w:val="00B40A44"/>
    <w:rsid w:val="00B40B19"/>
    <w:rsid w:val="00B40BB7"/>
    <w:rsid w:val="00B40BC9"/>
    <w:rsid w:val="00B40BD9"/>
    <w:rsid w:val="00B40C36"/>
    <w:rsid w:val="00B40CCA"/>
    <w:rsid w:val="00B40E20"/>
    <w:rsid w:val="00B40E43"/>
    <w:rsid w:val="00B40F69"/>
    <w:rsid w:val="00B40F71"/>
    <w:rsid w:val="00B41020"/>
    <w:rsid w:val="00B4103D"/>
    <w:rsid w:val="00B41146"/>
    <w:rsid w:val="00B4120B"/>
    <w:rsid w:val="00B412CA"/>
    <w:rsid w:val="00B412D3"/>
    <w:rsid w:val="00B4130F"/>
    <w:rsid w:val="00B41337"/>
    <w:rsid w:val="00B4133C"/>
    <w:rsid w:val="00B41467"/>
    <w:rsid w:val="00B414D9"/>
    <w:rsid w:val="00B4156E"/>
    <w:rsid w:val="00B415AA"/>
    <w:rsid w:val="00B416E9"/>
    <w:rsid w:val="00B41861"/>
    <w:rsid w:val="00B419E5"/>
    <w:rsid w:val="00B41B94"/>
    <w:rsid w:val="00B41BE2"/>
    <w:rsid w:val="00B41BE8"/>
    <w:rsid w:val="00B41D51"/>
    <w:rsid w:val="00B41DC8"/>
    <w:rsid w:val="00B41EE8"/>
    <w:rsid w:val="00B42074"/>
    <w:rsid w:val="00B420F7"/>
    <w:rsid w:val="00B42109"/>
    <w:rsid w:val="00B42146"/>
    <w:rsid w:val="00B4214C"/>
    <w:rsid w:val="00B421A8"/>
    <w:rsid w:val="00B42283"/>
    <w:rsid w:val="00B423D4"/>
    <w:rsid w:val="00B4240A"/>
    <w:rsid w:val="00B42662"/>
    <w:rsid w:val="00B42684"/>
    <w:rsid w:val="00B42690"/>
    <w:rsid w:val="00B426B8"/>
    <w:rsid w:val="00B4270B"/>
    <w:rsid w:val="00B4270C"/>
    <w:rsid w:val="00B427F3"/>
    <w:rsid w:val="00B428AD"/>
    <w:rsid w:val="00B428EA"/>
    <w:rsid w:val="00B42926"/>
    <w:rsid w:val="00B42A3D"/>
    <w:rsid w:val="00B42B89"/>
    <w:rsid w:val="00B42C49"/>
    <w:rsid w:val="00B42D01"/>
    <w:rsid w:val="00B42DAF"/>
    <w:rsid w:val="00B42DF0"/>
    <w:rsid w:val="00B42F7E"/>
    <w:rsid w:val="00B4303F"/>
    <w:rsid w:val="00B4305A"/>
    <w:rsid w:val="00B43156"/>
    <w:rsid w:val="00B43180"/>
    <w:rsid w:val="00B43199"/>
    <w:rsid w:val="00B431F6"/>
    <w:rsid w:val="00B43241"/>
    <w:rsid w:val="00B4325F"/>
    <w:rsid w:val="00B432C9"/>
    <w:rsid w:val="00B43384"/>
    <w:rsid w:val="00B43390"/>
    <w:rsid w:val="00B4348D"/>
    <w:rsid w:val="00B434BC"/>
    <w:rsid w:val="00B43597"/>
    <w:rsid w:val="00B4363C"/>
    <w:rsid w:val="00B43871"/>
    <w:rsid w:val="00B43954"/>
    <w:rsid w:val="00B43988"/>
    <w:rsid w:val="00B43A2C"/>
    <w:rsid w:val="00B43A85"/>
    <w:rsid w:val="00B43AAB"/>
    <w:rsid w:val="00B43AF2"/>
    <w:rsid w:val="00B43BBB"/>
    <w:rsid w:val="00B43C12"/>
    <w:rsid w:val="00B43D8C"/>
    <w:rsid w:val="00B43E51"/>
    <w:rsid w:val="00B4403C"/>
    <w:rsid w:val="00B440AB"/>
    <w:rsid w:val="00B440FF"/>
    <w:rsid w:val="00B442BB"/>
    <w:rsid w:val="00B4430B"/>
    <w:rsid w:val="00B4434C"/>
    <w:rsid w:val="00B443F8"/>
    <w:rsid w:val="00B443FD"/>
    <w:rsid w:val="00B4446A"/>
    <w:rsid w:val="00B444EE"/>
    <w:rsid w:val="00B44635"/>
    <w:rsid w:val="00B448F5"/>
    <w:rsid w:val="00B44B5F"/>
    <w:rsid w:val="00B44C27"/>
    <w:rsid w:val="00B44C33"/>
    <w:rsid w:val="00B44C85"/>
    <w:rsid w:val="00B44CC3"/>
    <w:rsid w:val="00B44CC7"/>
    <w:rsid w:val="00B44CFE"/>
    <w:rsid w:val="00B44D67"/>
    <w:rsid w:val="00B44DCB"/>
    <w:rsid w:val="00B44E41"/>
    <w:rsid w:val="00B44F6C"/>
    <w:rsid w:val="00B450DB"/>
    <w:rsid w:val="00B45186"/>
    <w:rsid w:val="00B451E3"/>
    <w:rsid w:val="00B451FE"/>
    <w:rsid w:val="00B45220"/>
    <w:rsid w:val="00B45246"/>
    <w:rsid w:val="00B45539"/>
    <w:rsid w:val="00B45559"/>
    <w:rsid w:val="00B45567"/>
    <w:rsid w:val="00B4556D"/>
    <w:rsid w:val="00B45672"/>
    <w:rsid w:val="00B456FC"/>
    <w:rsid w:val="00B458E4"/>
    <w:rsid w:val="00B45912"/>
    <w:rsid w:val="00B45A34"/>
    <w:rsid w:val="00B45B5C"/>
    <w:rsid w:val="00B45C4A"/>
    <w:rsid w:val="00B45E5C"/>
    <w:rsid w:val="00B45EF2"/>
    <w:rsid w:val="00B4600B"/>
    <w:rsid w:val="00B460F1"/>
    <w:rsid w:val="00B46156"/>
    <w:rsid w:val="00B4616B"/>
    <w:rsid w:val="00B4617D"/>
    <w:rsid w:val="00B461E4"/>
    <w:rsid w:val="00B46267"/>
    <w:rsid w:val="00B46489"/>
    <w:rsid w:val="00B464CE"/>
    <w:rsid w:val="00B46519"/>
    <w:rsid w:val="00B4657C"/>
    <w:rsid w:val="00B465BE"/>
    <w:rsid w:val="00B46608"/>
    <w:rsid w:val="00B46777"/>
    <w:rsid w:val="00B4684F"/>
    <w:rsid w:val="00B4688D"/>
    <w:rsid w:val="00B46892"/>
    <w:rsid w:val="00B468AF"/>
    <w:rsid w:val="00B468CE"/>
    <w:rsid w:val="00B469DB"/>
    <w:rsid w:val="00B46A02"/>
    <w:rsid w:val="00B46AC8"/>
    <w:rsid w:val="00B46B16"/>
    <w:rsid w:val="00B46BF6"/>
    <w:rsid w:val="00B46E2E"/>
    <w:rsid w:val="00B46EF7"/>
    <w:rsid w:val="00B4710B"/>
    <w:rsid w:val="00B47123"/>
    <w:rsid w:val="00B471A8"/>
    <w:rsid w:val="00B471AF"/>
    <w:rsid w:val="00B4723B"/>
    <w:rsid w:val="00B47307"/>
    <w:rsid w:val="00B4732C"/>
    <w:rsid w:val="00B47461"/>
    <w:rsid w:val="00B47489"/>
    <w:rsid w:val="00B474C7"/>
    <w:rsid w:val="00B474F6"/>
    <w:rsid w:val="00B475AD"/>
    <w:rsid w:val="00B476B5"/>
    <w:rsid w:val="00B476D7"/>
    <w:rsid w:val="00B47785"/>
    <w:rsid w:val="00B477CA"/>
    <w:rsid w:val="00B478FF"/>
    <w:rsid w:val="00B479C5"/>
    <w:rsid w:val="00B47A4D"/>
    <w:rsid w:val="00B47A69"/>
    <w:rsid w:val="00B47A9C"/>
    <w:rsid w:val="00B47C05"/>
    <w:rsid w:val="00B47C50"/>
    <w:rsid w:val="00B47CDA"/>
    <w:rsid w:val="00B47D42"/>
    <w:rsid w:val="00B47D5A"/>
    <w:rsid w:val="00B47D9B"/>
    <w:rsid w:val="00B47E3D"/>
    <w:rsid w:val="00B47ECC"/>
    <w:rsid w:val="00B5004B"/>
    <w:rsid w:val="00B5013A"/>
    <w:rsid w:val="00B5015F"/>
    <w:rsid w:val="00B50294"/>
    <w:rsid w:val="00B50421"/>
    <w:rsid w:val="00B5043C"/>
    <w:rsid w:val="00B504F5"/>
    <w:rsid w:val="00B50512"/>
    <w:rsid w:val="00B506A1"/>
    <w:rsid w:val="00B50709"/>
    <w:rsid w:val="00B50793"/>
    <w:rsid w:val="00B507A3"/>
    <w:rsid w:val="00B507C3"/>
    <w:rsid w:val="00B508BD"/>
    <w:rsid w:val="00B50902"/>
    <w:rsid w:val="00B5091A"/>
    <w:rsid w:val="00B509A8"/>
    <w:rsid w:val="00B50A3B"/>
    <w:rsid w:val="00B50A53"/>
    <w:rsid w:val="00B50A60"/>
    <w:rsid w:val="00B50AB4"/>
    <w:rsid w:val="00B50B0C"/>
    <w:rsid w:val="00B50D3F"/>
    <w:rsid w:val="00B50DAD"/>
    <w:rsid w:val="00B50EDC"/>
    <w:rsid w:val="00B50EF7"/>
    <w:rsid w:val="00B50F69"/>
    <w:rsid w:val="00B51021"/>
    <w:rsid w:val="00B510E5"/>
    <w:rsid w:val="00B511CB"/>
    <w:rsid w:val="00B512E6"/>
    <w:rsid w:val="00B51435"/>
    <w:rsid w:val="00B51439"/>
    <w:rsid w:val="00B514B2"/>
    <w:rsid w:val="00B5152B"/>
    <w:rsid w:val="00B5166D"/>
    <w:rsid w:val="00B5177A"/>
    <w:rsid w:val="00B517A9"/>
    <w:rsid w:val="00B518CE"/>
    <w:rsid w:val="00B518CF"/>
    <w:rsid w:val="00B5199F"/>
    <w:rsid w:val="00B51A06"/>
    <w:rsid w:val="00B51B65"/>
    <w:rsid w:val="00B51B9C"/>
    <w:rsid w:val="00B51BA6"/>
    <w:rsid w:val="00B51D1E"/>
    <w:rsid w:val="00B51E2D"/>
    <w:rsid w:val="00B51E54"/>
    <w:rsid w:val="00B51F5C"/>
    <w:rsid w:val="00B5211A"/>
    <w:rsid w:val="00B52192"/>
    <w:rsid w:val="00B521DC"/>
    <w:rsid w:val="00B521DD"/>
    <w:rsid w:val="00B52215"/>
    <w:rsid w:val="00B52299"/>
    <w:rsid w:val="00B52306"/>
    <w:rsid w:val="00B5235D"/>
    <w:rsid w:val="00B52480"/>
    <w:rsid w:val="00B524C3"/>
    <w:rsid w:val="00B5258E"/>
    <w:rsid w:val="00B52641"/>
    <w:rsid w:val="00B52655"/>
    <w:rsid w:val="00B52662"/>
    <w:rsid w:val="00B526B4"/>
    <w:rsid w:val="00B526FE"/>
    <w:rsid w:val="00B5273F"/>
    <w:rsid w:val="00B527CB"/>
    <w:rsid w:val="00B52911"/>
    <w:rsid w:val="00B52955"/>
    <w:rsid w:val="00B5297E"/>
    <w:rsid w:val="00B52CCC"/>
    <w:rsid w:val="00B52CDC"/>
    <w:rsid w:val="00B52CF5"/>
    <w:rsid w:val="00B52D73"/>
    <w:rsid w:val="00B52E0F"/>
    <w:rsid w:val="00B52E3A"/>
    <w:rsid w:val="00B52E73"/>
    <w:rsid w:val="00B52EC4"/>
    <w:rsid w:val="00B52FF8"/>
    <w:rsid w:val="00B53005"/>
    <w:rsid w:val="00B5301A"/>
    <w:rsid w:val="00B53295"/>
    <w:rsid w:val="00B5336E"/>
    <w:rsid w:val="00B533D9"/>
    <w:rsid w:val="00B53466"/>
    <w:rsid w:val="00B53605"/>
    <w:rsid w:val="00B53620"/>
    <w:rsid w:val="00B53659"/>
    <w:rsid w:val="00B53787"/>
    <w:rsid w:val="00B53843"/>
    <w:rsid w:val="00B5387E"/>
    <w:rsid w:val="00B53900"/>
    <w:rsid w:val="00B53979"/>
    <w:rsid w:val="00B539DB"/>
    <w:rsid w:val="00B53B24"/>
    <w:rsid w:val="00B53B73"/>
    <w:rsid w:val="00B53BF2"/>
    <w:rsid w:val="00B53C06"/>
    <w:rsid w:val="00B53C4F"/>
    <w:rsid w:val="00B53C9C"/>
    <w:rsid w:val="00B53CF8"/>
    <w:rsid w:val="00B53DFF"/>
    <w:rsid w:val="00B53E69"/>
    <w:rsid w:val="00B53EBB"/>
    <w:rsid w:val="00B54048"/>
    <w:rsid w:val="00B540D4"/>
    <w:rsid w:val="00B540D8"/>
    <w:rsid w:val="00B5421C"/>
    <w:rsid w:val="00B5426D"/>
    <w:rsid w:val="00B5430C"/>
    <w:rsid w:val="00B5438C"/>
    <w:rsid w:val="00B544A5"/>
    <w:rsid w:val="00B544D1"/>
    <w:rsid w:val="00B54655"/>
    <w:rsid w:val="00B5482A"/>
    <w:rsid w:val="00B54885"/>
    <w:rsid w:val="00B54922"/>
    <w:rsid w:val="00B54AE7"/>
    <w:rsid w:val="00B54B35"/>
    <w:rsid w:val="00B54C2D"/>
    <w:rsid w:val="00B54D8C"/>
    <w:rsid w:val="00B54E12"/>
    <w:rsid w:val="00B5507C"/>
    <w:rsid w:val="00B550F7"/>
    <w:rsid w:val="00B552DE"/>
    <w:rsid w:val="00B554BE"/>
    <w:rsid w:val="00B554C3"/>
    <w:rsid w:val="00B555A7"/>
    <w:rsid w:val="00B556AE"/>
    <w:rsid w:val="00B55731"/>
    <w:rsid w:val="00B5576A"/>
    <w:rsid w:val="00B55799"/>
    <w:rsid w:val="00B557DA"/>
    <w:rsid w:val="00B559CE"/>
    <w:rsid w:val="00B55AE2"/>
    <w:rsid w:val="00B55B2D"/>
    <w:rsid w:val="00B55B61"/>
    <w:rsid w:val="00B55BCD"/>
    <w:rsid w:val="00B55D85"/>
    <w:rsid w:val="00B55D8C"/>
    <w:rsid w:val="00B55DE2"/>
    <w:rsid w:val="00B55F20"/>
    <w:rsid w:val="00B55F33"/>
    <w:rsid w:val="00B55F9A"/>
    <w:rsid w:val="00B55FFF"/>
    <w:rsid w:val="00B5607D"/>
    <w:rsid w:val="00B5610C"/>
    <w:rsid w:val="00B56231"/>
    <w:rsid w:val="00B56293"/>
    <w:rsid w:val="00B562B6"/>
    <w:rsid w:val="00B56368"/>
    <w:rsid w:val="00B563BC"/>
    <w:rsid w:val="00B563C0"/>
    <w:rsid w:val="00B56600"/>
    <w:rsid w:val="00B5661B"/>
    <w:rsid w:val="00B56671"/>
    <w:rsid w:val="00B56675"/>
    <w:rsid w:val="00B5669C"/>
    <w:rsid w:val="00B56725"/>
    <w:rsid w:val="00B56842"/>
    <w:rsid w:val="00B56A19"/>
    <w:rsid w:val="00B56A65"/>
    <w:rsid w:val="00B56ABE"/>
    <w:rsid w:val="00B56B39"/>
    <w:rsid w:val="00B56B67"/>
    <w:rsid w:val="00B56CDB"/>
    <w:rsid w:val="00B56DAE"/>
    <w:rsid w:val="00B56E14"/>
    <w:rsid w:val="00B56E86"/>
    <w:rsid w:val="00B56EB3"/>
    <w:rsid w:val="00B56EB7"/>
    <w:rsid w:val="00B56F10"/>
    <w:rsid w:val="00B56F7A"/>
    <w:rsid w:val="00B56FB5"/>
    <w:rsid w:val="00B56FF5"/>
    <w:rsid w:val="00B56FF7"/>
    <w:rsid w:val="00B57017"/>
    <w:rsid w:val="00B5716F"/>
    <w:rsid w:val="00B57191"/>
    <w:rsid w:val="00B571B8"/>
    <w:rsid w:val="00B571D6"/>
    <w:rsid w:val="00B571FC"/>
    <w:rsid w:val="00B57285"/>
    <w:rsid w:val="00B57297"/>
    <w:rsid w:val="00B572A7"/>
    <w:rsid w:val="00B57378"/>
    <w:rsid w:val="00B573AA"/>
    <w:rsid w:val="00B573D8"/>
    <w:rsid w:val="00B57462"/>
    <w:rsid w:val="00B57551"/>
    <w:rsid w:val="00B57558"/>
    <w:rsid w:val="00B57590"/>
    <w:rsid w:val="00B57633"/>
    <w:rsid w:val="00B57658"/>
    <w:rsid w:val="00B576B0"/>
    <w:rsid w:val="00B576C1"/>
    <w:rsid w:val="00B576FB"/>
    <w:rsid w:val="00B57727"/>
    <w:rsid w:val="00B577BD"/>
    <w:rsid w:val="00B57851"/>
    <w:rsid w:val="00B57873"/>
    <w:rsid w:val="00B57980"/>
    <w:rsid w:val="00B579B9"/>
    <w:rsid w:val="00B57A01"/>
    <w:rsid w:val="00B57A1D"/>
    <w:rsid w:val="00B57AE9"/>
    <w:rsid w:val="00B57AFD"/>
    <w:rsid w:val="00B57B74"/>
    <w:rsid w:val="00B57BD3"/>
    <w:rsid w:val="00B57BDA"/>
    <w:rsid w:val="00B57CDA"/>
    <w:rsid w:val="00B57D97"/>
    <w:rsid w:val="00B57DE2"/>
    <w:rsid w:val="00B57EC3"/>
    <w:rsid w:val="00B57EE1"/>
    <w:rsid w:val="00B57F50"/>
    <w:rsid w:val="00B57F79"/>
    <w:rsid w:val="00B57FD7"/>
    <w:rsid w:val="00B6002B"/>
    <w:rsid w:val="00B6005A"/>
    <w:rsid w:val="00B60139"/>
    <w:rsid w:val="00B602A8"/>
    <w:rsid w:val="00B602DD"/>
    <w:rsid w:val="00B603AD"/>
    <w:rsid w:val="00B604FA"/>
    <w:rsid w:val="00B605FA"/>
    <w:rsid w:val="00B605FD"/>
    <w:rsid w:val="00B606AA"/>
    <w:rsid w:val="00B606CA"/>
    <w:rsid w:val="00B607E8"/>
    <w:rsid w:val="00B60911"/>
    <w:rsid w:val="00B6097F"/>
    <w:rsid w:val="00B60A48"/>
    <w:rsid w:val="00B60B1C"/>
    <w:rsid w:val="00B60C9B"/>
    <w:rsid w:val="00B60CC2"/>
    <w:rsid w:val="00B60F2E"/>
    <w:rsid w:val="00B60FCA"/>
    <w:rsid w:val="00B60FF2"/>
    <w:rsid w:val="00B60FFF"/>
    <w:rsid w:val="00B61082"/>
    <w:rsid w:val="00B610A6"/>
    <w:rsid w:val="00B61122"/>
    <w:rsid w:val="00B61176"/>
    <w:rsid w:val="00B61186"/>
    <w:rsid w:val="00B61193"/>
    <w:rsid w:val="00B611C6"/>
    <w:rsid w:val="00B61212"/>
    <w:rsid w:val="00B61259"/>
    <w:rsid w:val="00B6132D"/>
    <w:rsid w:val="00B6167C"/>
    <w:rsid w:val="00B6168A"/>
    <w:rsid w:val="00B61700"/>
    <w:rsid w:val="00B61789"/>
    <w:rsid w:val="00B6179C"/>
    <w:rsid w:val="00B617C7"/>
    <w:rsid w:val="00B617E2"/>
    <w:rsid w:val="00B61935"/>
    <w:rsid w:val="00B6198C"/>
    <w:rsid w:val="00B61AB9"/>
    <w:rsid w:val="00B61C0E"/>
    <w:rsid w:val="00B61C82"/>
    <w:rsid w:val="00B61CE3"/>
    <w:rsid w:val="00B61D80"/>
    <w:rsid w:val="00B61EB4"/>
    <w:rsid w:val="00B620A9"/>
    <w:rsid w:val="00B620D9"/>
    <w:rsid w:val="00B62511"/>
    <w:rsid w:val="00B625FB"/>
    <w:rsid w:val="00B626A8"/>
    <w:rsid w:val="00B626B3"/>
    <w:rsid w:val="00B62715"/>
    <w:rsid w:val="00B62867"/>
    <w:rsid w:val="00B628BA"/>
    <w:rsid w:val="00B6296C"/>
    <w:rsid w:val="00B62A43"/>
    <w:rsid w:val="00B62AD9"/>
    <w:rsid w:val="00B62AEA"/>
    <w:rsid w:val="00B62AFB"/>
    <w:rsid w:val="00B62B07"/>
    <w:rsid w:val="00B62B0D"/>
    <w:rsid w:val="00B62BD5"/>
    <w:rsid w:val="00B62C9C"/>
    <w:rsid w:val="00B62CC8"/>
    <w:rsid w:val="00B62D01"/>
    <w:rsid w:val="00B62D72"/>
    <w:rsid w:val="00B62D73"/>
    <w:rsid w:val="00B62DCE"/>
    <w:rsid w:val="00B62F71"/>
    <w:rsid w:val="00B630BC"/>
    <w:rsid w:val="00B6319F"/>
    <w:rsid w:val="00B631F2"/>
    <w:rsid w:val="00B63221"/>
    <w:rsid w:val="00B632A1"/>
    <w:rsid w:val="00B633C0"/>
    <w:rsid w:val="00B63403"/>
    <w:rsid w:val="00B634A6"/>
    <w:rsid w:val="00B6355D"/>
    <w:rsid w:val="00B63656"/>
    <w:rsid w:val="00B63664"/>
    <w:rsid w:val="00B63679"/>
    <w:rsid w:val="00B63682"/>
    <w:rsid w:val="00B63746"/>
    <w:rsid w:val="00B6375E"/>
    <w:rsid w:val="00B6389A"/>
    <w:rsid w:val="00B638C5"/>
    <w:rsid w:val="00B6390C"/>
    <w:rsid w:val="00B63A6D"/>
    <w:rsid w:val="00B63AC2"/>
    <w:rsid w:val="00B63AED"/>
    <w:rsid w:val="00B63B4B"/>
    <w:rsid w:val="00B63BF7"/>
    <w:rsid w:val="00B63C85"/>
    <w:rsid w:val="00B63CD8"/>
    <w:rsid w:val="00B63CD9"/>
    <w:rsid w:val="00B63DD0"/>
    <w:rsid w:val="00B63E77"/>
    <w:rsid w:val="00B63FBA"/>
    <w:rsid w:val="00B641A6"/>
    <w:rsid w:val="00B64395"/>
    <w:rsid w:val="00B644C9"/>
    <w:rsid w:val="00B64631"/>
    <w:rsid w:val="00B64663"/>
    <w:rsid w:val="00B647CA"/>
    <w:rsid w:val="00B64A1A"/>
    <w:rsid w:val="00B64A3A"/>
    <w:rsid w:val="00B64B23"/>
    <w:rsid w:val="00B64BAE"/>
    <w:rsid w:val="00B64CB7"/>
    <w:rsid w:val="00B64D6C"/>
    <w:rsid w:val="00B64D91"/>
    <w:rsid w:val="00B64DD0"/>
    <w:rsid w:val="00B64E57"/>
    <w:rsid w:val="00B64EA5"/>
    <w:rsid w:val="00B64F02"/>
    <w:rsid w:val="00B64F32"/>
    <w:rsid w:val="00B64F38"/>
    <w:rsid w:val="00B65013"/>
    <w:rsid w:val="00B65328"/>
    <w:rsid w:val="00B65446"/>
    <w:rsid w:val="00B6547F"/>
    <w:rsid w:val="00B654C4"/>
    <w:rsid w:val="00B6553D"/>
    <w:rsid w:val="00B65749"/>
    <w:rsid w:val="00B65A51"/>
    <w:rsid w:val="00B65A5D"/>
    <w:rsid w:val="00B65A68"/>
    <w:rsid w:val="00B65AA1"/>
    <w:rsid w:val="00B65AAB"/>
    <w:rsid w:val="00B65B0E"/>
    <w:rsid w:val="00B65C5A"/>
    <w:rsid w:val="00B65C89"/>
    <w:rsid w:val="00B65D21"/>
    <w:rsid w:val="00B65D32"/>
    <w:rsid w:val="00B65DEE"/>
    <w:rsid w:val="00B65E41"/>
    <w:rsid w:val="00B66031"/>
    <w:rsid w:val="00B660DB"/>
    <w:rsid w:val="00B66235"/>
    <w:rsid w:val="00B6623C"/>
    <w:rsid w:val="00B662DF"/>
    <w:rsid w:val="00B66327"/>
    <w:rsid w:val="00B663F3"/>
    <w:rsid w:val="00B6645F"/>
    <w:rsid w:val="00B6653A"/>
    <w:rsid w:val="00B66693"/>
    <w:rsid w:val="00B6678D"/>
    <w:rsid w:val="00B667CA"/>
    <w:rsid w:val="00B6685C"/>
    <w:rsid w:val="00B669C1"/>
    <w:rsid w:val="00B66B49"/>
    <w:rsid w:val="00B66BF0"/>
    <w:rsid w:val="00B66C54"/>
    <w:rsid w:val="00B66D38"/>
    <w:rsid w:val="00B66DAA"/>
    <w:rsid w:val="00B66E89"/>
    <w:rsid w:val="00B66F58"/>
    <w:rsid w:val="00B66FDF"/>
    <w:rsid w:val="00B6708C"/>
    <w:rsid w:val="00B6715C"/>
    <w:rsid w:val="00B671EB"/>
    <w:rsid w:val="00B6720D"/>
    <w:rsid w:val="00B6725B"/>
    <w:rsid w:val="00B67270"/>
    <w:rsid w:val="00B67281"/>
    <w:rsid w:val="00B672DD"/>
    <w:rsid w:val="00B6734A"/>
    <w:rsid w:val="00B67358"/>
    <w:rsid w:val="00B67391"/>
    <w:rsid w:val="00B674D7"/>
    <w:rsid w:val="00B675C0"/>
    <w:rsid w:val="00B6762C"/>
    <w:rsid w:val="00B67721"/>
    <w:rsid w:val="00B67768"/>
    <w:rsid w:val="00B677AD"/>
    <w:rsid w:val="00B677B1"/>
    <w:rsid w:val="00B677D2"/>
    <w:rsid w:val="00B6785E"/>
    <w:rsid w:val="00B67928"/>
    <w:rsid w:val="00B67987"/>
    <w:rsid w:val="00B679CB"/>
    <w:rsid w:val="00B67A92"/>
    <w:rsid w:val="00B67AC6"/>
    <w:rsid w:val="00B67AF8"/>
    <w:rsid w:val="00B67B2D"/>
    <w:rsid w:val="00B67B3A"/>
    <w:rsid w:val="00B67B4F"/>
    <w:rsid w:val="00B67E07"/>
    <w:rsid w:val="00B67E12"/>
    <w:rsid w:val="00B67E1F"/>
    <w:rsid w:val="00B67EFF"/>
    <w:rsid w:val="00B7006E"/>
    <w:rsid w:val="00B700DE"/>
    <w:rsid w:val="00B70229"/>
    <w:rsid w:val="00B702D8"/>
    <w:rsid w:val="00B703A1"/>
    <w:rsid w:val="00B703E1"/>
    <w:rsid w:val="00B703F1"/>
    <w:rsid w:val="00B704FF"/>
    <w:rsid w:val="00B705DA"/>
    <w:rsid w:val="00B70748"/>
    <w:rsid w:val="00B7075C"/>
    <w:rsid w:val="00B7075E"/>
    <w:rsid w:val="00B7097B"/>
    <w:rsid w:val="00B70AC4"/>
    <w:rsid w:val="00B70AE0"/>
    <w:rsid w:val="00B70AFD"/>
    <w:rsid w:val="00B70B18"/>
    <w:rsid w:val="00B70B1C"/>
    <w:rsid w:val="00B70BD8"/>
    <w:rsid w:val="00B70BDC"/>
    <w:rsid w:val="00B70C4F"/>
    <w:rsid w:val="00B70D26"/>
    <w:rsid w:val="00B70DFD"/>
    <w:rsid w:val="00B70EAE"/>
    <w:rsid w:val="00B70F4E"/>
    <w:rsid w:val="00B70FFD"/>
    <w:rsid w:val="00B71167"/>
    <w:rsid w:val="00B71222"/>
    <w:rsid w:val="00B71550"/>
    <w:rsid w:val="00B7156B"/>
    <w:rsid w:val="00B715BF"/>
    <w:rsid w:val="00B715EC"/>
    <w:rsid w:val="00B7163E"/>
    <w:rsid w:val="00B716F6"/>
    <w:rsid w:val="00B71837"/>
    <w:rsid w:val="00B718A9"/>
    <w:rsid w:val="00B7199B"/>
    <w:rsid w:val="00B71C89"/>
    <w:rsid w:val="00B71CC0"/>
    <w:rsid w:val="00B71D00"/>
    <w:rsid w:val="00B71DAD"/>
    <w:rsid w:val="00B71DD8"/>
    <w:rsid w:val="00B71F0C"/>
    <w:rsid w:val="00B71F9A"/>
    <w:rsid w:val="00B71FCB"/>
    <w:rsid w:val="00B71FCE"/>
    <w:rsid w:val="00B71FFF"/>
    <w:rsid w:val="00B72164"/>
    <w:rsid w:val="00B72167"/>
    <w:rsid w:val="00B721B3"/>
    <w:rsid w:val="00B722F1"/>
    <w:rsid w:val="00B723F4"/>
    <w:rsid w:val="00B72620"/>
    <w:rsid w:val="00B72667"/>
    <w:rsid w:val="00B72679"/>
    <w:rsid w:val="00B726FF"/>
    <w:rsid w:val="00B72719"/>
    <w:rsid w:val="00B72798"/>
    <w:rsid w:val="00B72800"/>
    <w:rsid w:val="00B72862"/>
    <w:rsid w:val="00B728C2"/>
    <w:rsid w:val="00B72B1F"/>
    <w:rsid w:val="00B72B44"/>
    <w:rsid w:val="00B72B87"/>
    <w:rsid w:val="00B72D51"/>
    <w:rsid w:val="00B72E03"/>
    <w:rsid w:val="00B72E2A"/>
    <w:rsid w:val="00B72F01"/>
    <w:rsid w:val="00B73017"/>
    <w:rsid w:val="00B7301B"/>
    <w:rsid w:val="00B73177"/>
    <w:rsid w:val="00B731FA"/>
    <w:rsid w:val="00B73211"/>
    <w:rsid w:val="00B73474"/>
    <w:rsid w:val="00B7358C"/>
    <w:rsid w:val="00B73743"/>
    <w:rsid w:val="00B7378C"/>
    <w:rsid w:val="00B73798"/>
    <w:rsid w:val="00B73824"/>
    <w:rsid w:val="00B7382E"/>
    <w:rsid w:val="00B73844"/>
    <w:rsid w:val="00B738F4"/>
    <w:rsid w:val="00B73C76"/>
    <w:rsid w:val="00B73C80"/>
    <w:rsid w:val="00B73D6C"/>
    <w:rsid w:val="00B74039"/>
    <w:rsid w:val="00B74149"/>
    <w:rsid w:val="00B74203"/>
    <w:rsid w:val="00B74250"/>
    <w:rsid w:val="00B742F8"/>
    <w:rsid w:val="00B7430E"/>
    <w:rsid w:val="00B743F8"/>
    <w:rsid w:val="00B74404"/>
    <w:rsid w:val="00B7440F"/>
    <w:rsid w:val="00B7456F"/>
    <w:rsid w:val="00B74577"/>
    <w:rsid w:val="00B7462F"/>
    <w:rsid w:val="00B746A3"/>
    <w:rsid w:val="00B747B0"/>
    <w:rsid w:val="00B747ED"/>
    <w:rsid w:val="00B74820"/>
    <w:rsid w:val="00B74890"/>
    <w:rsid w:val="00B74913"/>
    <w:rsid w:val="00B74963"/>
    <w:rsid w:val="00B749CA"/>
    <w:rsid w:val="00B74AB3"/>
    <w:rsid w:val="00B74AD6"/>
    <w:rsid w:val="00B74B84"/>
    <w:rsid w:val="00B74C0D"/>
    <w:rsid w:val="00B74C25"/>
    <w:rsid w:val="00B74C2E"/>
    <w:rsid w:val="00B74D4F"/>
    <w:rsid w:val="00B74D7B"/>
    <w:rsid w:val="00B74E10"/>
    <w:rsid w:val="00B74EA8"/>
    <w:rsid w:val="00B750C9"/>
    <w:rsid w:val="00B75202"/>
    <w:rsid w:val="00B75221"/>
    <w:rsid w:val="00B75240"/>
    <w:rsid w:val="00B75267"/>
    <w:rsid w:val="00B752AA"/>
    <w:rsid w:val="00B752FA"/>
    <w:rsid w:val="00B753E6"/>
    <w:rsid w:val="00B75401"/>
    <w:rsid w:val="00B75490"/>
    <w:rsid w:val="00B75610"/>
    <w:rsid w:val="00B75629"/>
    <w:rsid w:val="00B756F8"/>
    <w:rsid w:val="00B7584F"/>
    <w:rsid w:val="00B75A32"/>
    <w:rsid w:val="00B75AB3"/>
    <w:rsid w:val="00B75B45"/>
    <w:rsid w:val="00B75B4E"/>
    <w:rsid w:val="00B75D39"/>
    <w:rsid w:val="00B75E2F"/>
    <w:rsid w:val="00B760B4"/>
    <w:rsid w:val="00B76132"/>
    <w:rsid w:val="00B76147"/>
    <w:rsid w:val="00B763CC"/>
    <w:rsid w:val="00B76492"/>
    <w:rsid w:val="00B7653E"/>
    <w:rsid w:val="00B76554"/>
    <w:rsid w:val="00B7662D"/>
    <w:rsid w:val="00B76671"/>
    <w:rsid w:val="00B766FC"/>
    <w:rsid w:val="00B7675C"/>
    <w:rsid w:val="00B76793"/>
    <w:rsid w:val="00B767F1"/>
    <w:rsid w:val="00B76810"/>
    <w:rsid w:val="00B768BA"/>
    <w:rsid w:val="00B76973"/>
    <w:rsid w:val="00B769AD"/>
    <w:rsid w:val="00B769D6"/>
    <w:rsid w:val="00B769E9"/>
    <w:rsid w:val="00B76A32"/>
    <w:rsid w:val="00B76A8A"/>
    <w:rsid w:val="00B76BBB"/>
    <w:rsid w:val="00B76BC4"/>
    <w:rsid w:val="00B76BEA"/>
    <w:rsid w:val="00B76C7B"/>
    <w:rsid w:val="00B76C88"/>
    <w:rsid w:val="00B76D3F"/>
    <w:rsid w:val="00B76E65"/>
    <w:rsid w:val="00B76F86"/>
    <w:rsid w:val="00B77092"/>
    <w:rsid w:val="00B770E7"/>
    <w:rsid w:val="00B7714D"/>
    <w:rsid w:val="00B77174"/>
    <w:rsid w:val="00B7719A"/>
    <w:rsid w:val="00B771C9"/>
    <w:rsid w:val="00B77203"/>
    <w:rsid w:val="00B77212"/>
    <w:rsid w:val="00B772AB"/>
    <w:rsid w:val="00B7738D"/>
    <w:rsid w:val="00B773BD"/>
    <w:rsid w:val="00B773CE"/>
    <w:rsid w:val="00B77477"/>
    <w:rsid w:val="00B774E4"/>
    <w:rsid w:val="00B7750E"/>
    <w:rsid w:val="00B77556"/>
    <w:rsid w:val="00B77595"/>
    <w:rsid w:val="00B775C7"/>
    <w:rsid w:val="00B777E4"/>
    <w:rsid w:val="00B77821"/>
    <w:rsid w:val="00B77964"/>
    <w:rsid w:val="00B77A34"/>
    <w:rsid w:val="00B77B15"/>
    <w:rsid w:val="00B77B88"/>
    <w:rsid w:val="00B77C31"/>
    <w:rsid w:val="00B77C41"/>
    <w:rsid w:val="00B77C73"/>
    <w:rsid w:val="00B77CA3"/>
    <w:rsid w:val="00B77D64"/>
    <w:rsid w:val="00B77EB0"/>
    <w:rsid w:val="00B77EE4"/>
    <w:rsid w:val="00B77F2F"/>
    <w:rsid w:val="00B77FD6"/>
    <w:rsid w:val="00B77FDB"/>
    <w:rsid w:val="00B8004A"/>
    <w:rsid w:val="00B800C7"/>
    <w:rsid w:val="00B8015A"/>
    <w:rsid w:val="00B80163"/>
    <w:rsid w:val="00B803EF"/>
    <w:rsid w:val="00B80417"/>
    <w:rsid w:val="00B8046F"/>
    <w:rsid w:val="00B80492"/>
    <w:rsid w:val="00B804FF"/>
    <w:rsid w:val="00B80543"/>
    <w:rsid w:val="00B8057A"/>
    <w:rsid w:val="00B805C8"/>
    <w:rsid w:val="00B80639"/>
    <w:rsid w:val="00B806CC"/>
    <w:rsid w:val="00B80829"/>
    <w:rsid w:val="00B809B6"/>
    <w:rsid w:val="00B80A18"/>
    <w:rsid w:val="00B80A64"/>
    <w:rsid w:val="00B80C07"/>
    <w:rsid w:val="00B80C0E"/>
    <w:rsid w:val="00B80CF1"/>
    <w:rsid w:val="00B80D00"/>
    <w:rsid w:val="00B80F5A"/>
    <w:rsid w:val="00B8103C"/>
    <w:rsid w:val="00B8103E"/>
    <w:rsid w:val="00B810D1"/>
    <w:rsid w:val="00B81132"/>
    <w:rsid w:val="00B8113C"/>
    <w:rsid w:val="00B81169"/>
    <w:rsid w:val="00B8118D"/>
    <w:rsid w:val="00B811B7"/>
    <w:rsid w:val="00B81501"/>
    <w:rsid w:val="00B81579"/>
    <w:rsid w:val="00B81700"/>
    <w:rsid w:val="00B81704"/>
    <w:rsid w:val="00B8176A"/>
    <w:rsid w:val="00B818F6"/>
    <w:rsid w:val="00B819A3"/>
    <w:rsid w:val="00B819C0"/>
    <w:rsid w:val="00B81AC7"/>
    <w:rsid w:val="00B81B74"/>
    <w:rsid w:val="00B81BE9"/>
    <w:rsid w:val="00B81BED"/>
    <w:rsid w:val="00B81D1A"/>
    <w:rsid w:val="00B81D1B"/>
    <w:rsid w:val="00B81D7C"/>
    <w:rsid w:val="00B81D93"/>
    <w:rsid w:val="00B81DCD"/>
    <w:rsid w:val="00B81EB8"/>
    <w:rsid w:val="00B81EC0"/>
    <w:rsid w:val="00B81EDD"/>
    <w:rsid w:val="00B81FD2"/>
    <w:rsid w:val="00B82229"/>
    <w:rsid w:val="00B8236B"/>
    <w:rsid w:val="00B823E6"/>
    <w:rsid w:val="00B823FB"/>
    <w:rsid w:val="00B8240F"/>
    <w:rsid w:val="00B8245C"/>
    <w:rsid w:val="00B8248D"/>
    <w:rsid w:val="00B824E1"/>
    <w:rsid w:val="00B8251E"/>
    <w:rsid w:val="00B82577"/>
    <w:rsid w:val="00B82613"/>
    <w:rsid w:val="00B82658"/>
    <w:rsid w:val="00B82693"/>
    <w:rsid w:val="00B82729"/>
    <w:rsid w:val="00B828AA"/>
    <w:rsid w:val="00B828E1"/>
    <w:rsid w:val="00B828FA"/>
    <w:rsid w:val="00B82911"/>
    <w:rsid w:val="00B82973"/>
    <w:rsid w:val="00B8299F"/>
    <w:rsid w:val="00B82AD1"/>
    <w:rsid w:val="00B82C3C"/>
    <w:rsid w:val="00B82C9E"/>
    <w:rsid w:val="00B82CFB"/>
    <w:rsid w:val="00B82DF4"/>
    <w:rsid w:val="00B82E3B"/>
    <w:rsid w:val="00B82E85"/>
    <w:rsid w:val="00B82EC3"/>
    <w:rsid w:val="00B82F06"/>
    <w:rsid w:val="00B82F4F"/>
    <w:rsid w:val="00B82F80"/>
    <w:rsid w:val="00B83075"/>
    <w:rsid w:val="00B830BB"/>
    <w:rsid w:val="00B83141"/>
    <w:rsid w:val="00B83152"/>
    <w:rsid w:val="00B83237"/>
    <w:rsid w:val="00B83318"/>
    <w:rsid w:val="00B83550"/>
    <w:rsid w:val="00B83795"/>
    <w:rsid w:val="00B837B7"/>
    <w:rsid w:val="00B837C3"/>
    <w:rsid w:val="00B83849"/>
    <w:rsid w:val="00B83B4D"/>
    <w:rsid w:val="00B83B6B"/>
    <w:rsid w:val="00B83C50"/>
    <w:rsid w:val="00B83D41"/>
    <w:rsid w:val="00B83DC6"/>
    <w:rsid w:val="00B8400A"/>
    <w:rsid w:val="00B840ED"/>
    <w:rsid w:val="00B84156"/>
    <w:rsid w:val="00B841B5"/>
    <w:rsid w:val="00B8421E"/>
    <w:rsid w:val="00B8428F"/>
    <w:rsid w:val="00B8429A"/>
    <w:rsid w:val="00B842EE"/>
    <w:rsid w:val="00B84388"/>
    <w:rsid w:val="00B845AF"/>
    <w:rsid w:val="00B845C7"/>
    <w:rsid w:val="00B845DF"/>
    <w:rsid w:val="00B8470F"/>
    <w:rsid w:val="00B847DC"/>
    <w:rsid w:val="00B847FE"/>
    <w:rsid w:val="00B848AF"/>
    <w:rsid w:val="00B84A15"/>
    <w:rsid w:val="00B84A82"/>
    <w:rsid w:val="00B84BD6"/>
    <w:rsid w:val="00B84D31"/>
    <w:rsid w:val="00B84D86"/>
    <w:rsid w:val="00B84E38"/>
    <w:rsid w:val="00B84F7C"/>
    <w:rsid w:val="00B85055"/>
    <w:rsid w:val="00B85118"/>
    <w:rsid w:val="00B853C7"/>
    <w:rsid w:val="00B8545C"/>
    <w:rsid w:val="00B85492"/>
    <w:rsid w:val="00B854DB"/>
    <w:rsid w:val="00B85541"/>
    <w:rsid w:val="00B8559F"/>
    <w:rsid w:val="00B85618"/>
    <w:rsid w:val="00B85745"/>
    <w:rsid w:val="00B85C91"/>
    <w:rsid w:val="00B85CB8"/>
    <w:rsid w:val="00B85FDA"/>
    <w:rsid w:val="00B86007"/>
    <w:rsid w:val="00B86054"/>
    <w:rsid w:val="00B86086"/>
    <w:rsid w:val="00B860DD"/>
    <w:rsid w:val="00B8617F"/>
    <w:rsid w:val="00B86224"/>
    <w:rsid w:val="00B8624C"/>
    <w:rsid w:val="00B862E0"/>
    <w:rsid w:val="00B8632C"/>
    <w:rsid w:val="00B865E9"/>
    <w:rsid w:val="00B8661E"/>
    <w:rsid w:val="00B86639"/>
    <w:rsid w:val="00B86824"/>
    <w:rsid w:val="00B86834"/>
    <w:rsid w:val="00B86992"/>
    <w:rsid w:val="00B86997"/>
    <w:rsid w:val="00B869A8"/>
    <w:rsid w:val="00B869DA"/>
    <w:rsid w:val="00B86A9D"/>
    <w:rsid w:val="00B86AA4"/>
    <w:rsid w:val="00B86AB2"/>
    <w:rsid w:val="00B86AB4"/>
    <w:rsid w:val="00B86AFE"/>
    <w:rsid w:val="00B86D90"/>
    <w:rsid w:val="00B86FB6"/>
    <w:rsid w:val="00B87080"/>
    <w:rsid w:val="00B87109"/>
    <w:rsid w:val="00B871C9"/>
    <w:rsid w:val="00B871F7"/>
    <w:rsid w:val="00B8728F"/>
    <w:rsid w:val="00B873AA"/>
    <w:rsid w:val="00B873BD"/>
    <w:rsid w:val="00B873CA"/>
    <w:rsid w:val="00B8744A"/>
    <w:rsid w:val="00B87457"/>
    <w:rsid w:val="00B87469"/>
    <w:rsid w:val="00B8747E"/>
    <w:rsid w:val="00B87489"/>
    <w:rsid w:val="00B874D1"/>
    <w:rsid w:val="00B87553"/>
    <w:rsid w:val="00B8759D"/>
    <w:rsid w:val="00B875CC"/>
    <w:rsid w:val="00B876A3"/>
    <w:rsid w:val="00B876E9"/>
    <w:rsid w:val="00B87734"/>
    <w:rsid w:val="00B87858"/>
    <w:rsid w:val="00B8790B"/>
    <w:rsid w:val="00B87A04"/>
    <w:rsid w:val="00B87A85"/>
    <w:rsid w:val="00B87AEA"/>
    <w:rsid w:val="00B87B1E"/>
    <w:rsid w:val="00B87B4E"/>
    <w:rsid w:val="00B87C2C"/>
    <w:rsid w:val="00B87D20"/>
    <w:rsid w:val="00B87DDF"/>
    <w:rsid w:val="00B87EE0"/>
    <w:rsid w:val="00B8BEED"/>
    <w:rsid w:val="00B900EA"/>
    <w:rsid w:val="00B90198"/>
    <w:rsid w:val="00B901E1"/>
    <w:rsid w:val="00B902A6"/>
    <w:rsid w:val="00B902AC"/>
    <w:rsid w:val="00B9031F"/>
    <w:rsid w:val="00B9039B"/>
    <w:rsid w:val="00B904A8"/>
    <w:rsid w:val="00B904ED"/>
    <w:rsid w:val="00B90611"/>
    <w:rsid w:val="00B90666"/>
    <w:rsid w:val="00B907B3"/>
    <w:rsid w:val="00B90929"/>
    <w:rsid w:val="00B90967"/>
    <w:rsid w:val="00B90C17"/>
    <w:rsid w:val="00B90C89"/>
    <w:rsid w:val="00B90CA6"/>
    <w:rsid w:val="00B90CFD"/>
    <w:rsid w:val="00B90E00"/>
    <w:rsid w:val="00B90EA3"/>
    <w:rsid w:val="00B90EEE"/>
    <w:rsid w:val="00B90FC0"/>
    <w:rsid w:val="00B91183"/>
    <w:rsid w:val="00B91269"/>
    <w:rsid w:val="00B91283"/>
    <w:rsid w:val="00B9131A"/>
    <w:rsid w:val="00B9135A"/>
    <w:rsid w:val="00B91492"/>
    <w:rsid w:val="00B9149C"/>
    <w:rsid w:val="00B914A6"/>
    <w:rsid w:val="00B916C0"/>
    <w:rsid w:val="00B91858"/>
    <w:rsid w:val="00B91862"/>
    <w:rsid w:val="00B91892"/>
    <w:rsid w:val="00B91956"/>
    <w:rsid w:val="00B9195F"/>
    <w:rsid w:val="00B91AC1"/>
    <w:rsid w:val="00B91B7E"/>
    <w:rsid w:val="00B91C1C"/>
    <w:rsid w:val="00B91C25"/>
    <w:rsid w:val="00B91CCF"/>
    <w:rsid w:val="00B91D8D"/>
    <w:rsid w:val="00B91DEF"/>
    <w:rsid w:val="00B91E0B"/>
    <w:rsid w:val="00B91F54"/>
    <w:rsid w:val="00B920FB"/>
    <w:rsid w:val="00B92111"/>
    <w:rsid w:val="00B9219C"/>
    <w:rsid w:val="00B921CD"/>
    <w:rsid w:val="00B921E5"/>
    <w:rsid w:val="00B9220F"/>
    <w:rsid w:val="00B92327"/>
    <w:rsid w:val="00B92455"/>
    <w:rsid w:val="00B92475"/>
    <w:rsid w:val="00B9248E"/>
    <w:rsid w:val="00B924B4"/>
    <w:rsid w:val="00B92513"/>
    <w:rsid w:val="00B92630"/>
    <w:rsid w:val="00B92645"/>
    <w:rsid w:val="00B9268B"/>
    <w:rsid w:val="00B926FD"/>
    <w:rsid w:val="00B92823"/>
    <w:rsid w:val="00B9295F"/>
    <w:rsid w:val="00B929B5"/>
    <w:rsid w:val="00B92A2F"/>
    <w:rsid w:val="00B92A86"/>
    <w:rsid w:val="00B92AB5"/>
    <w:rsid w:val="00B92B99"/>
    <w:rsid w:val="00B92C0B"/>
    <w:rsid w:val="00B92CBB"/>
    <w:rsid w:val="00B92CE9"/>
    <w:rsid w:val="00B92D7E"/>
    <w:rsid w:val="00B92E4C"/>
    <w:rsid w:val="00B92E80"/>
    <w:rsid w:val="00B92EB5"/>
    <w:rsid w:val="00B92EC8"/>
    <w:rsid w:val="00B92F4F"/>
    <w:rsid w:val="00B92FA3"/>
    <w:rsid w:val="00B92FB7"/>
    <w:rsid w:val="00B93088"/>
    <w:rsid w:val="00B932C0"/>
    <w:rsid w:val="00B93329"/>
    <w:rsid w:val="00B933FE"/>
    <w:rsid w:val="00B934B6"/>
    <w:rsid w:val="00B934D7"/>
    <w:rsid w:val="00B934E0"/>
    <w:rsid w:val="00B934EA"/>
    <w:rsid w:val="00B9356F"/>
    <w:rsid w:val="00B93661"/>
    <w:rsid w:val="00B93718"/>
    <w:rsid w:val="00B93747"/>
    <w:rsid w:val="00B93771"/>
    <w:rsid w:val="00B937CA"/>
    <w:rsid w:val="00B9380B"/>
    <w:rsid w:val="00B93830"/>
    <w:rsid w:val="00B93905"/>
    <w:rsid w:val="00B939C3"/>
    <w:rsid w:val="00B93A7B"/>
    <w:rsid w:val="00B93AEE"/>
    <w:rsid w:val="00B93B79"/>
    <w:rsid w:val="00B93BA1"/>
    <w:rsid w:val="00B93CD4"/>
    <w:rsid w:val="00B93E91"/>
    <w:rsid w:val="00B93E99"/>
    <w:rsid w:val="00B93EC7"/>
    <w:rsid w:val="00B93EFA"/>
    <w:rsid w:val="00B93F4E"/>
    <w:rsid w:val="00B93F53"/>
    <w:rsid w:val="00B93FAD"/>
    <w:rsid w:val="00B9404D"/>
    <w:rsid w:val="00B940E5"/>
    <w:rsid w:val="00B940FE"/>
    <w:rsid w:val="00B94111"/>
    <w:rsid w:val="00B9428D"/>
    <w:rsid w:val="00B9447D"/>
    <w:rsid w:val="00B94483"/>
    <w:rsid w:val="00B94632"/>
    <w:rsid w:val="00B94692"/>
    <w:rsid w:val="00B9478C"/>
    <w:rsid w:val="00B947FC"/>
    <w:rsid w:val="00B94821"/>
    <w:rsid w:val="00B948BF"/>
    <w:rsid w:val="00B949E9"/>
    <w:rsid w:val="00B949F3"/>
    <w:rsid w:val="00B94AE0"/>
    <w:rsid w:val="00B94B55"/>
    <w:rsid w:val="00B94B66"/>
    <w:rsid w:val="00B94B9E"/>
    <w:rsid w:val="00B94C59"/>
    <w:rsid w:val="00B94D44"/>
    <w:rsid w:val="00B94D86"/>
    <w:rsid w:val="00B94DE6"/>
    <w:rsid w:val="00B95021"/>
    <w:rsid w:val="00B95122"/>
    <w:rsid w:val="00B9513D"/>
    <w:rsid w:val="00B951BB"/>
    <w:rsid w:val="00B952BF"/>
    <w:rsid w:val="00B95318"/>
    <w:rsid w:val="00B954FC"/>
    <w:rsid w:val="00B955EC"/>
    <w:rsid w:val="00B95788"/>
    <w:rsid w:val="00B957A3"/>
    <w:rsid w:val="00B957BB"/>
    <w:rsid w:val="00B95989"/>
    <w:rsid w:val="00B95B37"/>
    <w:rsid w:val="00B95BCC"/>
    <w:rsid w:val="00B95BF0"/>
    <w:rsid w:val="00B95C8B"/>
    <w:rsid w:val="00B95CA8"/>
    <w:rsid w:val="00B95CB7"/>
    <w:rsid w:val="00B95E39"/>
    <w:rsid w:val="00B95E69"/>
    <w:rsid w:val="00B95F92"/>
    <w:rsid w:val="00B96152"/>
    <w:rsid w:val="00B9617D"/>
    <w:rsid w:val="00B96196"/>
    <w:rsid w:val="00B962DB"/>
    <w:rsid w:val="00B964DC"/>
    <w:rsid w:val="00B964F5"/>
    <w:rsid w:val="00B96700"/>
    <w:rsid w:val="00B968EC"/>
    <w:rsid w:val="00B969BF"/>
    <w:rsid w:val="00B96A38"/>
    <w:rsid w:val="00B96A3D"/>
    <w:rsid w:val="00B96AD1"/>
    <w:rsid w:val="00B96B52"/>
    <w:rsid w:val="00B96B59"/>
    <w:rsid w:val="00B96C0F"/>
    <w:rsid w:val="00B96C7D"/>
    <w:rsid w:val="00B96E4D"/>
    <w:rsid w:val="00B96F59"/>
    <w:rsid w:val="00B97038"/>
    <w:rsid w:val="00B97054"/>
    <w:rsid w:val="00B97120"/>
    <w:rsid w:val="00B97165"/>
    <w:rsid w:val="00B9717B"/>
    <w:rsid w:val="00B97201"/>
    <w:rsid w:val="00B97241"/>
    <w:rsid w:val="00B97283"/>
    <w:rsid w:val="00B97339"/>
    <w:rsid w:val="00B9733B"/>
    <w:rsid w:val="00B97352"/>
    <w:rsid w:val="00B9748D"/>
    <w:rsid w:val="00B97499"/>
    <w:rsid w:val="00B97796"/>
    <w:rsid w:val="00B97A01"/>
    <w:rsid w:val="00B97D04"/>
    <w:rsid w:val="00B97D46"/>
    <w:rsid w:val="00B97E0E"/>
    <w:rsid w:val="00B97EC0"/>
    <w:rsid w:val="00B97EE5"/>
    <w:rsid w:val="00BA0017"/>
    <w:rsid w:val="00BA0060"/>
    <w:rsid w:val="00BA016F"/>
    <w:rsid w:val="00BA0275"/>
    <w:rsid w:val="00BA0286"/>
    <w:rsid w:val="00BA02AF"/>
    <w:rsid w:val="00BA02F3"/>
    <w:rsid w:val="00BA0329"/>
    <w:rsid w:val="00BA03AC"/>
    <w:rsid w:val="00BA03E1"/>
    <w:rsid w:val="00BA0637"/>
    <w:rsid w:val="00BA06D4"/>
    <w:rsid w:val="00BA0717"/>
    <w:rsid w:val="00BA07BF"/>
    <w:rsid w:val="00BA084D"/>
    <w:rsid w:val="00BA0895"/>
    <w:rsid w:val="00BA097C"/>
    <w:rsid w:val="00BA0A25"/>
    <w:rsid w:val="00BA0A30"/>
    <w:rsid w:val="00BA0A57"/>
    <w:rsid w:val="00BA0B3D"/>
    <w:rsid w:val="00BA0EA1"/>
    <w:rsid w:val="00BA0EF5"/>
    <w:rsid w:val="00BA0F47"/>
    <w:rsid w:val="00BA0F82"/>
    <w:rsid w:val="00BA1132"/>
    <w:rsid w:val="00BA1141"/>
    <w:rsid w:val="00BA11D9"/>
    <w:rsid w:val="00BA12EB"/>
    <w:rsid w:val="00BA14A1"/>
    <w:rsid w:val="00BA14E7"/>
    <w:rsid w:val="00BA153F"/>
    <w:rsid w:val="00BA168E"/>
    <w:rsid w:val="00BA172C"/>
    <w:rsid w:val="00BA1763"/>
    <w:rsid w:val="00BA1A21"/>
    <w:rsid w:val="00BA1AB3"/>
    <w:rsid w:val="00BA1AD0"/>
    <w:rsid w:val="00BA1BC5"/>
    <w:rsid w:val="00BA1BF5"/>
    <w:rsid w:val="00BA1CC7"/>
    <w:rsid w:val="00BA1D0A"/>
    <w:rsid w:val="00BA1DB1"/>
    <w:rsid w:val="00BA204B"/>
    <w:rsid w:val="00BA219C"/>
    <w:rsid w:val="00BA22F8"/>
    <w:rsid w:val="00BA236A"/>
    <w:rsid w:val="00BA23E7"/>
    <w:rsid w:val="00BA25AA"/>
    <w:rsid w:val="00BA264A"/>
    <w:rsid w:val="00BA2763"/>
    <w:rsid w:val="00BA27CD"/>
    <w:rsid w:val="00BA2835"/>
    <w:rsid w:val="00BA288A"/>
    <w:rsid w:val="00BA28BD"/>
    <w:rsid w:val="00BA29AB"/>
    <w:rsid w:val="00BA29F8"/>
    <w:rsid w:val="00BA2A32"/>
    <w:rsid w:val="00BA2A82"/>
    <w:rsid w:val="00BA2AD1"/>
    <w:rsid w:val="00BA2B02"/>
    <w:rsid w:val="00BA2CBD"/>
    <w:rsid w:val="00BA2CFB"/>
    <w:rsid w:val="00BA2D5B"/>
    <w:rsid w:val="00BA2DCD"/>
    <w:rsid w:val="00BA2FB6"/>
    <w:rsid w:val="00BA2FFB"/>
    <w:rsid w:val="00BA3025"/>
    <w:rsid w:val="00BA306E"/>
    <w:rsid w:val="00BA3197"/>
    <w:rsid w:val="00BA3205"/>
    <w:rsid w:val="00BA326D"/>
    <w:rsid w:val="00BA33F9"/>
    <w:rsid w:val="00BA3443"/>
    <w:rsid w:val="00BA3772"/>
    <w:rsid w:val="00BA37B8"/>
    <w:rsid w:val="00BA3802"/>
    <w:rsid w:val="00BA3922"/>
    <w:rsid w:val="00BA3951"/>
    <w:rsid w:val="00BA39D7"/>
    <w:rsid w:val="00BA3ABD"/>
    <w:rsid w:val="00BA3BFB"/>
    <w:rsid w:val="00BA3DAC"/>
    <w:rsid w:val="00BA3E51"/>
    <w:rsid w:val="00BA3F64"/>
    <w:rsid w:val="00BA3FD0"/>
    <w:rsid w:val="00BA420E"/>
    <w:rsid w:val="00BA42DD"/>
    <w:rsid w:val="00BA4327"/>
    <w:rsid w:val="00BA43B5"/>
    <w:rsid w:val="00BA4425"/>
    <w:rsid w:val="00BA461C"/>
    <w:rsid w:val="00BA4714"/>
    <w:rsid w:val="00BA47B1"/>
    <w:rsid w:val="00BA4942"/>
    <w:rsid w:val="00BA49E1"/>
    <w:rsid w:val="00BA4A69"/>
    <w:rsid w:val="00BA4A90"/>
    <w:rsid w:val="00BA4B79"/>
    <w:rsid w:val="00BA4BAF"/>
    <w:rsid w:val="00BA4C68"/>
    <w:rsid w:val="00BA4CA1"/>
    <w:rsid w:val="00BA4CC1"/>
    <w:rsid w:val="00BA4E26"/>
    <w:rsid w:val="00BA4E4E"/>
    <w:rsid w:val="00BA4E6C"/>
    <w:rsid w:val="00BA4EE1"/>
    <w:rsid w:val="00BA4FD6"/>
    <w:rsid w:val="00BA525E"/>
    <w:rsid w:val="00BA5359"/>
    <w:rsid w:val="00BA53AF"/>
    <w:rsid w:val="00BA54C8"/>
    <w:rsid w:val="00BA54EF"/>
    <w:rsid w:val="00BA559E"/>
    <w:rsid w:val="00BA57BD"/>
    <w:rsid w:val="00BA57EF"/>
    <w:rsid w:val="00BA587B"/>
    <w:rsid w:val="00BA58E4"/>
    <w:rsid w:val="00BA5989"/>
    <w:rsid w:val="00BA5997"/>
    <w:rsid w:val="00BA5C33"/>
    <w:rsid w:val="00BA5C8C"/>
    <w:rsid w:val="00BA5E1F"/>
    <w:rsid w:val="00BA5E3D"/>
    <w:rsid w:val="00BA5E84"/>
    <w:rsid w:val="00BA5F7C"/>
    <w:rsid w:val="00BA6083"/>
    <w:rsid w:val="00BA6096"/>
    <w:rsid w:val="00BA618D"/>
    <w:rsid w:val="00BA6244"/>
    <w:rsid w:val="00BA65D1"/>
    <w:rsid w:val="00BA6649"/>
    <w:rsid w:val="00BA6760"/>
    <w:rsid w:val="00BA67C2"/>
    <w:rsid w:val="00BA6802"/>
    <w:rsid w:val="00BA687D"/>
    <w:rsid w:val="00BA68EF"/>
    <w:rsid w:val="00BA6A21"/>
    <w:rsid w:val="00BA6A88"/>
    <w:rsid w:val="00BA6B6E"/>
    <w:rsid w:val="00BA6BAF"/>
    <w:rsid w:val="00BA6BF3"/>
    <w:rsid w:val="00BA6C58"/>
    <w:rsid w:val="00BA6C9A"/>
    <w:rsid w:val="00BA6DFC"/>
    <w:rsid w:val="00BA7007"/>
    <w:rsid w:val="00BA7063"/>
    <w:rsid w:val="00BA709F"/>
    <w:rsid w:val="00BA7123"/>
    <w:rsid w:val="00BA7135"/>
    <w:rsid w:val="00BA740C"/>
    <w:rsid w:val="00BA7472"/>
    <w:rsid w:val="00BA74E0"/>
    <w:rsid w:val="00BA757F"/>
    <w:rsid w:val="00BA75C7"/>
    <w:rsid w:val="00BA7A1C"/>
    <w:rsid w:val="00BA7A4D"/>
    <w:rsid w:val="00BA7ADB"/>
    <w:rsid w:val="00BA7B05"/>
    <w:rsid w:val="00BA7C14"/>
    <w:rsid w:val="00BA7C19"/>
    <w:rsid w:val="00BA7C41"/>
    <w:rsid w:val="00BA7C4D"/>
    <w:rsid w:val="00BA7D1A"/>
    <w:rsid w:val="00BA7E8E"/>
    <w:rsid w:val="00BA7FE7"/>
    <w:rsid w:val="00BB0094"/>
    <w:rsid w:val="00BB01F8"/>
    <w:rsid w:val="00BB0222"/>
    <w:rsid w:val="00BB0267"/>
    <w:rsid w:val="00BB029B"/>
    <w:rsid w:val="00BB02D4"/>
    <w:rsid w:val="00BB0434"/>
    <w:rsid w:val="00BB048F"/>
    <w:rsid w:val="00BB04AB"/>
    <w:rsid w:val="00BB052C"/>
    <w:rsid w:val="00BB05E7"/>
    <w:rsid w:val="00BB060F"/>
    <w:rsid w:val="00BB06C6"/>
    <w:rsid w:val="00BB076C"/>
    <w:rsid w:val="00BB0796"/>
    <w:rsid w:val="00BB07E0"/>
    <w:rsid w:val="00BB0838"/>
    <w:rsid w:val="00BB0870"/>
    <w:rsid w:val="00BB097E"/>
    <w:rsid w:val="00BB09B3"/>
    <w:rsid w:val="00BB0A1A"/>
    <w:rsid w:val="00BB0A7D"/>
    <w:rsid w:val="00BB0ADD"/>
    <w:rsid w:val="00BB0BA1"/>
    <w:rsid w:val="00BB0BDF"/>
    <w:rsid w:val="00BB0BEF"/>
    <w:rsid w:val="00BB0BFF"/>
    <w:rsid w:val="00BB0C71"/>
    <w:rsid w:val="00BB0C9E"/>
    <w:rsid w:val="00BB0D5A"/>
    <w:rsid w:val="00BB0E98"/>
    <w:rsid w:val="00BB0F1F"/>
    <w:rsid w:val="00BB1089"/>
    <w:rsid w:val="00BB113E"/>
    <w:rsid w:val="00BB117E"/>
    <w:rsid w:val="00BB1264"/>
    <w:rsid w:val="00BB12A4"/>
    <w:rsid w:val="00BB1370"/>
    <w:rsid w:val="00BB13CF"/>
    <w:rsid w:val="00BB1472"/>
    <w:rsid w:val="00BB1515"/>
    <w:rsid w:val="00BB1542"/>
    <w:rsid w:val="00BB1580"/>
    <w:rsid w:val="00BB15C4"/>
    <w:rsid w:val="00BB162C"/>
    <w:rsid w:val="00BB1662"/>
    <w:rsid w:val="00BB166D"/>
    <w:rsid w:val="00BB16C9"/>
    <w:rsid w:val="00BB17A2"/>
    <w:rsid w:val="00BB1993"/>
    <w:rsid w:val="00BB1A0A"/>
    <w:rsid w:val="00BB1B47"/>
    <w:rsid w:val="00BB1DA7"/>
    <w:rsid w:val="00BB1E27"/>
    <w:rsid w:val="00BB1EDB"/>
    <w:rsid w:val="00BB1EED"/>
    <w:rsid w:val="00BB1F5B"/>
    <w:rsid w:val="00BB1FFC"/>
    <w:rsid w:val="00BB201A"/>
    <w:rsid w:val="00BB2175"/>
    <w:rsid w:val="00BB21D4"/>
    <w:rsid w:val="00BB21FA"/>
    <w:rsid w:val="00BB2216"/>
    <w:rsid w:val="00BB2237"/>
    <w:rsid w:val="00BB237D"/>
    <w:rsid w:val="00BB23ED"/>
    <w:rsid w:val="00BB24FE"/>
    <w:rsid w:val="00BB25D5"/>
    <w:rsid w:val="00BB26D4"/>
    <w:rsid w:val="00BB26F3"/>
    <w:rsid w:val="00BB27CE"/>
    <w:rsid w:val="00BB2822"/>
    <w:rsid w:val="00BB282B"/>
    <w:rsid w:val="00BB29EB"/>
    <w:rsid w:val="00BB2A0D"/>
    <w:rsid w:val="00BB2BAF"/>
    <w:rsid w:val="00BB2BB5"/>
    <w:rsid w:val="00BB2C74"/>
    <w:rsid w:val="00BB2CD2"/>
    <w:rsid w:val="00BB2CF0"/>
    <w:rsid w:val="00BB2D62"/>
    <w:rsid w:val="00BB2DC7"/>
    <w:rsid w:val="00BB2E57"/>
    <w:rsid w:val="00BB2E7D"/>
    <w:rsid w:val="00BB2EFE"/>
    <w:rsid w:val="00BB302E"/>
    <w:rsid w:val="00BB312F"/>
    <w:rsid w:val="00BB318C"/>
    <w:rsid w:val="00BB31A7"/>
    <w:rsid w:val="00BB3350"/>
    <w:rsid w:val="00BB34AE"/>
    <w:rsid w:val="00BB3631"/>
    <w:rsid w:val="00BB378B"/>
    <w:rsid w:val="00BB3912"/>
    <w:rsid w:val="00BB3979"/>
    <w:rsid w:val="00BB3983"/>
    <w:rsid w:val="00BB39B7"/>
    <w:rsid w:val="00BB39D8"/>
    <w:rsid w:val="00BB39EB"/>
    <w:rsid w:val="00BB3A42"/>
    <w:rsid w:val="00BB3B67"/>
    <w:rsid w:val="00BB3B8C"/>
    <w:rsid w:val="00BB3B91"/>
    <w:rsid w:val="00BB3C13"/>
    <w:rsid w:val="00BB3C2A"/>
    <w:rsid w:val="00BB3D2E"/>
    <w:rsid w:val="00BB3D33"/>
    <w:rsid w:val="00BB3D69"/>
    <w:rsid w:val="00BB3DD5"/>
    <w:rsid w:val="00BB3E0B"/>
    <w:rsid w:val="00BB3E7D"/>
    <w:rsid w:val="00BB3F98"/>
    <w:rsid w:val="00BB4046"/>
    <w:rsid w:val="00BB4131"/>
    <w:rsid w:val="00BB41AF"/>
    <w:rsid w:val="00BB457F"/>
    <w:rsid w:val="00BB45A1"/>
    <w:rsid w:val="00BB45A3"/>
    <w:rsid w:val="00BB474E"/>
    <w:rsid w:val="00BB4750"/>
    <w:rsid w:val="00BB4781"/>
    <w:rsid w:val="00BB4782"/>
    <w:rsid w:val="00BB482E"/>
    <w:rsid w:val="00BB48C6"/>
    <w:rsid w:val="00BB4928"/>
    <w:rsid w:val="00BB49B4"/>
    <w:rsid w:val="00BB4B63"/>
    <w:rsid w:val="00BB4BC6"/>
    <w:rsid w:val="00BB4D52"/>
    <w:rsid w:val="00BB4EDA"/>
    <w:rsid w:val="00BB4F58"/>
    <w:rsid w:val="00BB4F88"/>
    <w:rsid w:val="00BB509B"/>
    <w:rsid w:val="00BB50BF"/>
    <w:rsid w:val="00BB50DE"/>
    <w:rsid w:val="00BB5107"/>
    <w:rsid w:val="00BB51D5"/>
    <w:rsid w:val="00BB5266"/>
    <w:rsid w:val="00BB528B"/>
    <w:rsid w:val="00BB5426"/>
    <w:rsid w:val="00BB54E9"/>
    <w:rsid w:val="00BB55CE"/>
    <w:rsid w:val="00BB560B"/>
    <w:rsid w:val="00BB5682"/>
    <w:rsid w:val="00BB5981"/>
    <w:rsid w:val="00BB59D2"/>
    <w:rsid w:val="00BB5A1F"/>
    <w:rsid w:val="00BB5B06"/>
    <w:rsid w:val="00BB5B45"/>
    <w:rsid w:val="00BB5B5D"/>
    <w:rsid w:val="00BB5BF8"/>
    <w:rsid w:val="00BB5C69"/>
    <w:rsid w:val="00BB5C9C"/>
    <w:rsid w:val="00BB5D31"/>
    <w:rsid w:val="00BB5D66"/>
    <w:rsid w:val="00BB5DB2"/>
    <w:rsid w:val="00BB5DE5"/>
    <w:rsid w:val="00BB5F26"/>
    <w:rsid w:val="00BB600B"/>
    <w:rsid w:val="00BB6015"/>
    <w:rsid w:val="00BB6079"/>
    <w:rsid w:val="00BB608B"/>
    <w:rsid w:val="00BB6094"/>
    <w:rsid w:val="00BB60C9"/>
    <w:rsid w:val="00BB616C"/>
    <w:rsid w:val="00BB6186"/>
    <w:rsid w:val="00BB626B"/>
    <w:rsid w:val="00BB6662"/>
    <w:rsid w:val="00BB666E"/>
    <w:rsid w:val="00BB668F"/>
    <w:rsid w:val="00BB6698"/>
    <w:rsid w:val="00BB66E2"/>
    <w:rsid w:val="00BB69D6"/>
    <w:rsid w:val="00BB69DB"/>
    <w:rsid w:val="00BB6A24"/>
    <w:rsid w:val="00BB6A82"/>
    <w:rsid w:val="00BB6C93"/>
    <w:rsid w:val="00BB6CCC"/>
    <w:rsid w:val="00BB6DBB"/>
    <w:rsid w:val="00BB6F17"/>
    <w:rsid w:val="00BB6F6E"/>
    <w:rsid w:val="00BB702E"/>
    <w:rsid w:val="00BB71F4"/>
    <w:rsid w:val="00BB7201"/>
    <w:rsid w:val="00BB72EE"/>
    <w:rsid w:val="00BB7337"/>
    <w:rsid w:val="00BB7353"/>
    <w:rsid w:val="00BB7452"/>
    <w:rsid w:val="00BB74EC"/>
    <w:rsid w:val="00BB7657"/>
    <w:rsid w:val="00BB7671"/>
    <w:rsid w:val="00BB76DE"/>
    <w:rsid w:val="00BB7702"/>
    <w:rsid w:val="00BB773D"/>
    <w:rsid w:val="00BB7777"/>
    <w:rsid w:val="00BB777F"/>
    <w:rsid w:val="00BB77D8"/>
    <w:rsid w:val="00BB77DA"/>
    <w:rsid w:val="00BB7855"/>
    <w:rsid w:val="00BB78A2"/>
    <w:rsid w:val="00BB79CB"/>
    <w:rsid w:val="00BB7A1B"/>
    <w:rsid w:val="00BB7C52"/>
    <w:rsid w:val="00BB7DC6"/>
    <w:rsid w:val="00BB7F28"/>
    <w:rsid w:val="00BB7FCE"/>
    <w:rsid w:val="00BC00E1"/>
    <w:rsid w:val="00BC02D3"/>
    <w:rsid w:val="00BC04F1"/>
    <w:rsid w:val="00BC0706"/>
    <w:rsid w:val="00BC0787"/>
    <w:rsid w:val="00BC0902"/>
    <w:rsid w:val="00BC0943"/>
    <w:rsid w:val="00BC0966"/>
    <w:rsid w:val="00BC0992"/>
    <w:rsid w:val="00BC09A0"/>
    <w:rsid w:val="00BC09A6"/>
    <w:rsid w:val="00BC09BF"/>
    <w:rsid w:val="00BC0AEF"/>
    <w:rsid w:val="00BC0B2A"/>
    <w:rsid w:val="00BC0B5C"/>
    <w:rsid w:val="00BC0B84"/>
    <w:rsid w:val="00BC0BE8"/>
    <w:rsid w:val="00BC0CD2"/>
    <w:rsid w:val="00BC0D4D"/>
    <w:rsid w:val="00BC0E6F"/>
    <w:rsid w:val="00BC0F52"/>
    <w:rsid w:val="00BC0FB3"/>
    <w:rsid w:val="00BC100B"/>
    <w:rsid w:val="00BC1050"/>
    <w:rsid w:val="00BC11BD"/>
    <w:rsid w:val="00BC123F"/>
    <w:rsid w:val="00BC126C"/>
    <w:rsid w:val="00BC1329"/>
    <w:rsid w:val="00BC1330"/>
    <w:rsid w:val="00BC14A3"/>
    <w:rsid w:val="00BC14CA"/>
    <w:rsid w:val="00BC1511"/>
    <w:rsid w:val="00BC1574"/>
    <w:rsid w:val="00BC167A"/>
    <w:rsid w:val="00BC1718"/>
    <w:rsid w:val="00BC1832"/>
    <w:rsid w:val="00BC187F"/>
    <w:rsid w:val="00BC18A3"/>
    <w:rsid w:val="00BC18BD"/>
    <w:rsid w:val="00BC18FA"/>
    <w:rsid w:val="00BC18FB"/>
    <w:rsid w:val="00BC1A39"/>
    <w:rsid w:val="00BC1C5A"/>
    <w:rsid w:val="00BC1C88"/>
    <w:rsid w:val="00BC1CDE"/>
    <w:rsid w:val="00BC1DCA"/>
    <w:rsid w:val="00BC1E65"/>
    <w:rsid w:val="00BC203A"/>
    <w:rsid w:val="00BC20D1"/>
    <w:rsid w:val="00BC20DF"/>
    <w:rsid w:val="00BC2153"/>
    <w:rsid w:val="00BC21DC"/>
    <w:rsid w:val="00BC222A"/>
    <w:rsid w:val="00BC22CE"/>
    <w:rsid w:val="00BC2369"/>
    <w:rsid w:val="00BC259E"/>
    <w:rsid w:val="00BC2659"/>
    <w:rsid w:val="00BC28B5"/>
    <w:rsid w:val="00BC28FC"/>
    <w:rsid w:val="00BC29D4"/>
    <w:rsid w:val="00BC2AC3"/>
    <w:rsid w:val="00BC2B38"/>
    <w:rsid w:val="00BC2B84"/>
    <w:rsid w:val="00BC2C0B"/>
    <w:rsid w:val="00BC2C4D"/>
    <w:rsid w:val="00BC2D02"/>
    <w:rsid w:val="00BC2DDA"/>
    <w:rsid w:val="00BC2F09"/>
    <w:rsid w:val="00BC2F27"/>
    <w:rsid w:val="00BC303F"/>
    <w:rsid w:val="00BC30A8"/>
    <w:rsid w:val="00BC324B"/>
    <w:rsid w:val="00BC3344"/>
    <w:rsid w:val="00BC3351"/>
    <w:rsid w:val="00BC336E"/>
    <w:rsid w:val="00BC361F"/>
    <w:rsid w:val="00BC3633"/>
    <w:rsid w:val="00BC36CD"/>
    <w:rsid w:val="00BC3851"/>
    <w:rsid w:val="00BC3B58"/>
    <w:rsid w:val="00BC3B5A"/>
    <w:rsid w:val="00BC3DD5"/>
    <w:rsid w:val="00BC3E57"/>
    <w:rsid w:val="00BC3E8B"/>
    <w:rsid w:val="00BC3F2C"/>
    <w:rsid w:val="00BC3FD6"/>
    <w:rsid w:val="00BC40D8"/>
    <w:rsid w:val="00BC410F"/>
    <w:rsid w:val="00BC41CB"/>
    <w:rsid w:val="00BC4271"/>
    <w:rsid w:val="00BC4288"/>
    <w:rsid w:val="00BC42F4"/>
    <w:rsid w:val="00BC42FF"/>
    <w:rsid w:val="00BC4357"/>
    <w:rsid w:val="00BC43EA"/>
    <w:rsid w:val="00BC451A"/>
    <w:rsid w:val="00BC452C"/>
    <w:rsid w:val="00BC453C"/>
    <w:rsid w:val="00BC4649"/>
    <w:rsid w:val="00BC4663"/>
    <w:rsid w:val="00BC46F1"/>
    <w:rsid w:val="00BC47E7"/>
    <w:rsid w:val="00BC48B5"/>
    <w:rsid w:val="00BC4937"/>
    <w:rsid w:val="00BC496B"/>
    <w:rsid w:val="00BC49E8"/>
    <w:rsid w:val="00BC4A8B"/>
    <w:rsid w:val="00BC4A97"/>
    <w:rsid w:val="00BC4B0D"/>
    <w:rsid w:val="00BC4C46"/>
    <w:rsid w:val="00BC4C4A"/>
    <w:rsid w:val="00BC4CF1"/>
    <w:rsid w:val="00BC4D8B"/>
    <w:rsid w:val="00BC4DF7"/>
    <w:rsid w:val="00BC4DF9"/>
    <w:rsid w:val="00BC4EF9"/>
    <w:rsid w:val="00BC4F3C"/>
    <w:rsid w:val="00BC4FAF"/>
    <w:rsid w:val="00BC503C"/>
    <w:rsid w:val="00BC50CA"/>
    <w:rsid w:val="00BC5105"/>
    <w:rsid w:val="00BC5186"/>
    <w:rsid w:val="00BC51A3"/>
    <w:rsid w:val="00BC51E8"/>
    <w:rsid w:val="00BC52D0"/>
    <w:rsid w:val="00BC5497"/>
    <w:rsid w:val="00BC54F0"/>
    <w:rsid w:val="00BC551A"/>
    <w:rsid w:val="00BC5593"/>
    <w:rsid w:val="00BC55A6"/>
    <w:rsid w:val="00BC577F"/>
    <w:rsid w:val="00BC5835"/>
    <w:rsid w:val="00BC58F1"/>
    <w:rsid w:val="00BC59DB"/>
    <w:rsid w:val="00BC59EB"/>
    <w:rsid w:val="00BC5A01"/>
    <w:rsid w:val="00BC5A0B"/>
    <w:rsid w:val="00BC5A20"/>
    <w:rsid w:val="00BC5A8D"/>
    <w:rsid w:val="00BC5AD5"/>
    <w:rsid w:val="00BC5B1F"/>
    <w:rsid w:val="00BC5B8A"/>
    <w:rsid w:val="00BC5C4A"/>
    <w:rsid w:val="00BC5CE2"/>
    <w:rsid w:val="00BC5D61"/>
    <w:rsid w:val="00BC5DC6"/>
    <w:rsid w:val="00BC5DFF"/>
    <w:rsid w:val="00BC5F4F"/>
    <w:rsid w:val="00BC6023"/>
    <w:rsid w:val="00BC60CF"/>
    <w:rsid w:val="00BC6169"/>
    <w:rsid w:val="00BC6178"/>
    <w:rsid w:val="00BC61D5"/>
    <w:rsid w:val="00BC6273"/>
    <w:rsid w:val="00BC62B4"/>
    <w:rsid w:val="00BC636B"/>
    <w:rsid w:val="00BC643A"/>
    <w:rsid w:val="00BC6560"/>
    <w:rsid w:val="00BC65FE"/>
    <w:rsid w:val="00BC6656"/>
    <w:rsid w:val="00BC67D9"/>
    <w:rsid w:val="00BC67E0"/>
    <w:rsid w:val="00BC68E7"/>
    <w:rsid w:val="00BC692B"/>
    <w:rsid w:val="00BC69D9"/>
    <w:rsid w:val="00BC6A29"/>
    <w:rsid w:val="00BC6A55"/>
    <w:rsid w:val="00BC6AC0"/>
    <w:rsid w:val="00BC6BC3"/>
    <w:rsid w:val="00BC6C16"/>
    <w:rsid w:val="00BC6C9E"/>
    <w:rsid w:val="00BC6EC7"/>
    <w:rsid w:val="00BC7091"/>
    <w:rsid w:val="00BC70CE"/>
    <w:rsid w:val="00BC7273"/>
    <w:rsid w:val="00BC735A"/>
    <w:rsid w:val="00BC743C"/>
    <w:rsid w:val="00BC74D0"/>
    <w:rsid w:val="00BC75DE"/>
    <w:rsid w:val="00BC772C"/>
    <w:rsid w:val="00BC7743"/>
    <w:rsid w:val="00BC78B1"/>
    <w:rsid w:val="00BC78C3"/>
    <w:rsid w:val="00BC79A0"/>
    <w:rsid w:val="00BC7B17"/>
    <w:rsid w:val="00BC7D42"/>
    <w:rsid w:val="00BC7F34"/>
    <w:rsid w:val="00BC7F8C"/>
    <w:rsid w:val="00BD0009"/>
    <w:rsid w:val="00BD01CD"/>
    <w:rsid w:val="00BD0266"/>
    <w:rsid w:val="00BD0414"/>
    <w:rsid w:val="00BD0443"/>
    <w:rsid w:val="00BD062C"/>
    <w:rsid w:val="00BD0703"/>
    <w:rsid w:val="00BD073D"/>
    <w:rsid w:val="00BD07F8"/>
    <w:rsid w:val="00BD0876"/>
    <w:rsid w:val="00BD0896"/>
    <w:rsid w:val="00BD09E1"/>
    <w:rsid w:val="00BD0B53"/>
    <w:rsid w:val="00BD0C01"/>
    <w:rsid w:val="00BD0C07"/>
    <w:rsid w:val="00BD0C48"/>
    <w:rsid w:val="00BD0DD1"/>
    <w:rsid w:val="00BD0DEA"/>
    <w:rsid w:val="00BD0EA4"/>
    <w:rsid w:val="00BD0ED8"/>
    <w:rsid w:val="00BD0EE2"/>
    <w:rsid w:val="00BD1041"/>
    <w:rsid w:val="00BD106F"/>
    <w:rsid w:val="00BD115E"/>
    <w:rsid w:val="00BD12A7"/>
    <w:rsid w:val="00BD12D2"/>
    <w:rsid w:val="00BD13C8"/>
    <w:rsid w:val="00BD13EC"/>
    <w:rsid w:val="00BD14B5"/>
    <w:rsid w:val="00BD14F0"/>
    <w:rsid w:val="00BD1556"/>
    <w:rsid w:val="00BD1615"/>
    <w:rsid w:val="00BD1650"/>
    <w:rsid w:val="00BD1663"/>
    <w:rsid w:val="00BD166B"/>
    <w:rsid w:val="00BD16D6"/>
    <w:rsid w:val="00BD1737"/>
    <w:rsid w:val="00BD1792"/>
    <w:rsid w:val="00BD17B9"/>
    <w:rsid w:val="00BD1AA4"/>
    <w:rsid w:val="00BD1AFD"/>
    <w:rsid w:val="00BD1B4E"/>
    <w:rsid w:val="00BD1C2A"/>
    <w:rsid w:val="00BD1DD1"/>
    <w:rsid w:val="00BD1DE9"/>
    <w:rsid w:val="00BD1F4E"/>
    <w:rsid w:val="00BD1F9C"/>
    <w:rsid w:val="00BD1FAB"/>
    <w:rsid w:val="00BD2046"/>
    <w:rsid w:val="00BD2071"/>
    <w:rsid w:val="00BD2102"/>
    <w:rsid w:val="00BD2103"/>
    <w:rsid w:val="00BD210A"/>
    <w:rsid w:val="00BD2244"/>
    <w:rsid w:val="00BD2407"/>
    <w:rsid w:val="00BD26B6"/>
    <w:rsid w:val="00BD270B"/>
    <w:rsid w:val="00BD290A"/>
    <w:rsid w:val="00BD29D7"/>
    <w:rsid w:val="00BD2A83"/>
    <w:rsid w:val="00BD2AB8"/>
    <w:rsid w:val="00BD2C69"/>
    <w:rsid w:val="00BD2C6B"/>
    <w:rsid w:val="00BD2CA1"/>
    <w:rsid w:val="00BD2EAD"/>
    <w:rsid w:val="00BD2FD8"/>
    <w:rsid w:val="00BD30DA"/>
    <w:rsid w:val="00BD328F"/>
    <w:rsid w:val="00BD329D"/>
    <w:rsid w:val="00BD34ED"/>
    <w:rsid w:val="00BD35B8"/>
    <w:rsid w:val="00BD3688"/>
    <w:rsid w:val="00BD3693"/>
    <w:rsid w:val="00BD37C6"/>
    <w:rsid w:val="00BD38D7"/>
    <w:rsid w:val="00BD3A21"/>
    <w:rsid w:val="00BD3AF9"/>
    <w:rsid w:val="00BD3B4A"/>
    <w:rsid w:val="00BD3B77"/>
    <w:rsid w:val="00BD3C7B"/>
    <w:rsid w:val="00BD3CF0"/>
    <w:rsid w:val="00BD3DF3"/>
    <w:rsid w:val="00BD405F"/>
    <w:rsid w:val="00BD409E"/>
    <w:rsid w:val="00BD40BE"/>
    <w:rsid w:val="00BD4176"/>
    <w:rsid w:val="00BD41E8"/>
    <w:rsid w:val="00BD425D"/>
    <w:rsid w:val="00BD42B9"/>
    <w:rsid w:val="00BD43CF"/>
    <w:rsid w:val="00BD4434"/>
    <w:rsid w:val="00BD4498"/>
    <w:rsid w:val="00BD44F8"/>
    <w:rsid w:val="00BD460F"/>
    <w:rsid w:val="00BD4663"/>
    <w:rsid w:val="00BD4695"/>
    <w:rsid w:val="00BD472F"/>
    <w:rsid w:val="00BD4890"/>
    <w:rsid w:val="00BD489F"/>
    <w:rsid w:val="00BD48E6"/>
    <w:rsid w:val="00BD4926"/>
    <w:rsid w:val="00BD4957"/>
    <w:rsid w:val="00BD49FD"/>
    <w:rsid w:val="00BD4AD7"/>
    <w:rsid w:val="00BD4AF9"/>
    <w:rsid w:val="00BD4BEC"/>
    <w:rsid w:val="00BD4C71"/>
    <w:rsid w:val="00BD4D95"/>
    <w:rsid w:val="00BD4DED"/>
    <w:rsid w:val="00BD4E35"/>
    <w:rsid w:val="00BD4E81"/>
    <w:rsid w:val="00BD4EBC"/>
    <w:rsid w:val="00BD4ECC"/>
    <w:rsid w:val="00BD4F09"/>
    <w:rsid w:val="00BD5062"/>
    <w:rsid w:val="00BD5297"/>
    <w:rsid w:val="00BD546D"/>
    <w:rsid w:val="00BD54C8"/>
    <w:rsid w:val="00BD5538"/>
    <w:rsid w:val="00BD554C"/>
    <w:rsid w:val="00BD5566"/>
    <w:rsid w:val="00BD5569"/>
    <w:rsid w:val="00BD55CD"/>
    <w:rsid w:val="00BD567B"/>
    <w:rsid w:val="00BD56FC"/>
    <w:rsid w:val="00BD5741"/>
    <w:rsid w:val="00BD5758"/>
    <w:rsid w:val="00BD584B"/>
    <w:rsid w:val="00BD58C6"/>
    <w:rsid w:val="00BD595B"/>
    <w:rsid w:val="00BD5969"/>
    <w:rsid w:val="00BD5A2F"/>
    <w:rsid w:val="00BD5AE0"/>
    <w:rsid w:val="00BD5B2B"/>
    <w:rsid w:val="00BD5B47"/>
    <w:rsid w:val="00BD5DA5"/>
    <w:rsid w:val="00BD5E24"/>
    <w:rsid w:val="00BD5E3B"/>
    <w:rsid w:val="00BD5F67"/>
    <w:rsid w:val="00BD5FFB"/>
    <w:rsid w:val="00BD624C"/>
    <w:rsid w:val="00BD6348"/>
    <w:rsid w:val="00BD6460"/>
    <w:rsid w:val="00BD653D"/>
    <w:rsid w:val="00BD6661"/>
    <w:rsid w:val="00BD66FA"/>
    <w:rsid w:val="00BD672B"/>
    <w:rsid w:val="00BD67A4"/>
    <w:rsid w:val="00BD688F"/>
    <w:rsid w:val="00BD689D"/>
    <w:rsid w:val="00BD6927"/>
    <w:rsid w:val="00BD6941"/>
    <w:rsid w:val="00BD69C5"/>
    <w:rsid w:val="00BD6A30"/>
    <w:rsid w:val="00BD6A5F"/>
    <w:rsid w:val="00BD6B4E"/>
    <w:rsid w:val="00BD6BD4"/>
    <w:rsid w:val="00BD6CA5"/>
    <w:rsid w:val="00BD6D30"/>
    <w:rsid w:val="00BD6FD1"/>
    <w:rsid w:val="00BD71EC"/>
    <w:rsid w:val="00BD7241"/>
    <w:rsid w:val="00BD7271"/>
    <w:rsid w:val="00BD72B6"/>
    <w:rsid w:val="00BD7349"/>
    <w:rsid w:val="00BD73A4"/>
    <w:rsid w:val="00BD743A"/>
    <w:rsid w:val="00BD7444"/>
    <w:rsid w:val="00BD762B"/>
    <w:rsid w:val="00BD7694"/>
    <w:rsid w:val="00BD76C5"/>
    <w:rsid w:val="00BD787A"/>
    <w:rsid w:val="00BD78B3"/>
    <w:rsid w:val="00BD78F1"/>
    <w:rsid w:val="00BD78FD"/>
    <w:rsid w:val="00BD7982"/>
    <w:rsid w:val="00BD7986"/>
    <w:rsid w:val="00BD79AB"/>
    <w:rsid w:val="00BD7AC9"/>
    <w:rsid w:val="00BD7B8E"/>
    <w:rsid w:val="00BD7C27"/>
    <w:rsid w:val="00BD7CF7"/>
    <w:rsid w:val="00BD7D4A"/>
    <w:rsid w:val="00BD7EEC"/>
    <w:rsid w:val="00BD7FA8"/>
    <w:rsid w:val="00BE007F"/>
    <w:rsid w:val="00BE00E1"/>
    <w:rsid w:val="00BE01D0"/>
    <w:rsid w:val="00BE0227"/>
    <w:rsid w:val="00BE0246"/>
    <w:rsid w:val="00BE0265"/>
    <w:rsid w:val="00BE02E3"/>
    <w:rsid w:val="00BE0352"/>
    <w:rsid w:val="00BE0358"/>
    <w:rsid w:val="00BE03B2"/>
    <w:rsid w:val="00BE03E8"/>
    <w:rsid w:val="00BE053E"/>
    <w:rsid w:val="00BE05AD"/>
    <w:rsid w:val="00BE05E0"/>
    <w:rsid w:val="00BE072E"/>
    <w:rsid w:val="00BE073F"/>
    <w:rsid w:val="00BE077E"/>
    <w:rsid w:val="00BE098D"/>
    <w:rsid w:val="00BE0998"/>
    <w:rsid w:val="00BE09DF"/>
    <w:rsid w:val="00BE09E1"/>
    <w:rsid w:val="00BE0AC3"/>
    <w:rsid w:val="00BE0B13"/>
    <w:rsid w:val="00BE0B37"/>
    <w:rsid w:val="00BE0D14"/>
    <w:rsid w:val="00BE0DA1"/>
    <w:rsid w:val="00BE0E67"/>
    <w:rsid w:val="00BE0EE8"/>
    <w:rsid w:val="00BE0EFE"/>
    <w:rsid w:val="00BE0FB0"/>
    <w:rsid w:val="00BE101C"/>
    <w:rsid w:val="00BE105E"/>
    <w:rsid w:val="00BE122A"/>
    <w:rsid w:val="00BE130B"/>
    <w:rsid w:val="00BE13DD"/>
    <w:rsid w:val="00BE1447"/>
    <w:rsid w:val="00BE1497"/>
    <w:rsid w:val="00BE14EB"/>
    <w:rsid w:val="00BE14F8"/>
    <w:rsid w:val="00BE15AC"/>
    <w:rsid w:val="00BE1762"/>
    <w:rsid w:val="00BE17EC"/>
    <w:rsid w:val="00BE1855"/>
    <w:rsid w:val="00BE194B"/>
    <w:rsid w:val="00BE195C"/>
    <w:rsid w:val="00BE1987"/>
    <w:rsid w:val="00BE19E5"/>
    <w:rsid w:val="00BE1B1A"/>
    <w:rsid w:val="00BE1B4D"/>
    <w:rsid w:val="00BE1BBA"/>
    <w:rsid w:val="00BE1BCE"/>
    <w:rsid w:val="00BE1CF6"/>
    <w:rsid w:val="00BE1D82"/>
    <w:rsid w:val="00BE1DB1"/>
    <w:rsid w:val="00BE1F56"/>
    <w:rsid w:val="00BE1F90"/>
    <w:rsid w:val="00BE202C"/>
    <w:rsid w:val="00BE2077"/>
    <w:rsid w:val="00BE22F2"/>
    <w:rsid w:val="00BE2510"/>
    <w:rsid w:val="00BE268F"/>
    <w:rsid w:val="00BE26DE"/>
    <w:rsid w:val="00BE2719"/>
    <w:rsid w:val="00BE2833"/>
    <w:rsid w:val="00BE28C4"/>
    <w:rsid w:val="00BE28DC"/>
    <w:rsid w:val="00BE2968"/>
    <w:rsid w:val="00BE2973"/>
    <w:rsid w:val="00BE29DE"/>
    <w:rsid w:val="00BE2C15"/>
    <w:rsid w:val="00BE2E1A"/>
    <w:rsid w:val="00BE2ECF"/>
    <w:rsid w:val="00BE2F31"/>
    <w:rsid w:val="00BE2F84"/>
    <w:rsid w:val="00BE2FBB"/>
    <w:rsid w:val="00BE300E"/>
    <w:rsid w:val="00BE30B8"/>
    <w:rsid w:val="00BE311B"/>
    <w:rsid w:val="00BE31C6"/>
    <w:rsid w:val="00BE321E"/>
    <w:rsid w:val="00BE322C"/>
    <w:rsid w:val="00BE3257"/>
    <w:rsid w:val="00BE32BA"/>
    <w:rsid w:val="00BE332E"/>
    <w:rsid w:val="00BE3385"/>
    <w:rsid w:val="00BE3402"/>
    <w:rsid w:val="00BE3575"/>
    <w:rsid w:val="00BE3609"/>
    <w:rsid w:val="00BE36C3"/>
    <w:rsid w:val="00BE36E7"/>
    <w:rsid w:val="00BE382D"/>
    <w:rsid w:val="00BE38D7"/>
    <w:rsid w:val="00BE393D"/>
    <w:rsid w:val="00BE39B9"/>
    <w:rsid w:val="00BE39C0"/>
    <w:rsid w:val="00BE3A3B"/>
    <w:rsid w:val="00BE3A54"/>
    <w:rsid w:val="00BE3B4D"/>
    <w:rsid w:val="00BE3C7A"/>
    <w:rsid w:val="00BE3CAD"/>
    <w:rsid w:val="00BE3D36"/>
    <w:rsid w:val="00BE3E4E"/>
    <w:rsid w:val="00BE3ED0"/>
    <w:rsid w:val="00BE3EE8"/>
    <w:rsid w:val="00BE3F04"/>
    <w:rsid w:val="00BE3F08"/>
    <w:rsid w:val="00BE4081"/>
    <w:rsid w:val="00BE4161"/>
    <w:rsid w:val="00BE421A"/>
    <w:rsid w:val="00BE42E0"/>
    <w:rsid w:val="00BE441D"/>
    <w:rsid w:val="00BE44EC"/>
    <w:rsid w:val="00BE451D"/>
    <w:rsid w:val="00BE454D"/>
    <w:rsid w:val="00BE45CD"/>
    <w:rsid w:val="00BE4729"/>
    <w:rsid w:val="00BE472D"/>
    <w:rsid w:val="00BE4757"/>
    <w:rsid w:val="00BE4783"/>
    <w:rsid w:val="00BE4790"/>
    <w:rsid w:val="00BE479D"/>
    <w:rsid w:val="00BE47A6"/>
    <w:rsid w:val="00BE47B1"/>
    <w:rsid w:val="00BE4878"/>
    <w:rsid w:val="00BE499F"/>
    <w:rsid w:val="00BE4A64"/>
    <w:rsid w:val="00BE4BAB"/>
    <w:rsid w:val="00BE4BAE"/>
    <w:rsid w:val="00BE4D06"/>
    <w:rsid w:val="00BE4DC2"/>
    <w:rsid w:val="00BE4EA7"/>
    <w:rsid w:val="00BE4F7E"/>
    <w:rsid w:val="00BE4FBC"/>
    <w:rsid w:val="00BE4FE1"/>
    <w:rsid w:val="00BE5036"/>
    <w:rsid w:val="00BE507E"/>
    <w:rsid w:val="00BE50C5"/>
    <w:rsid w:val="00BE50CB"/>
    <w:rsid w:val="00BE5129"/>
    <w:rsid w:val="00BE5192"/>
    <w:rsid w:val="00BE51F4"/>
    <w:rsid w:val="00BE5201"/>
    <w:rsid w:val="00BE52DF"/>
    <w:rsid w:val="00BE5302"/>
    <w:rsid w:val="00BE5510"/>
    <w:rsid w:val="00BE5534"/>
    <w:rsid w:val="00BE5540"/>
    <w:rsid w:val="00BE5586"/>
    <w:rsid w:val="00BE5597"/>
    <w:rsid w:val="00BE55A1"/>
    <w:rsid w:val="00BE5718"/>
    <w:rsid w:val="00BE5802"/>
    <w:rsid w:val="00BE581B"/>
    <w:rsid w:val="00BE587D"/>
    <w:rsid w:val="00BE58CA"/>
    <w:rsid w:val="00BE58D7"/>
    <w:rsid w:val="00BE5B41"/>
    <w:rsid w:val="00BE5B71"/>
    <w:rsid w:val="00BE5BF0"/>
    <w:rsid w:val="00BE5CE0"/>
    <w:rsid w:val="00BE5D01"/>
    <w:rsid w:val="00BE5D0C"/>
    <w:rsid w:val="00BE5DED"/>
    <w:rsid w:val="00BE5EC9"/>
    <w:rsid w:val="00BE5F59"/>
    <w:rsid w:val="00BE5F5D"/>
    <w:rsid w:val="00BE5F8A"/>
    <w:rsid w:val="00BE5FC4"/>
    <w:rsid w:val="00BE607E"/>
    <w:rsid w:val="00BE610A"/>
    <w:rsid w:val="00BE6258"/>
    <w:rsid w:val="00BE625D"/>
    <w:rsid w:val="00BE626D"/>
    <w:rsid w:val="00BE6277"/>
    <w:rsid w:val="00BE6283"/>
    <w:rsid w:val="00BE62BB"/>
    <w:rsid w:val="00BE62C8"/>
    <w:rsid w:val="00BE63B7"/>
    <w:rsid w:val="00BE6697"/>
    <w:rsid w:val="00BE66CF"/>
    <w:rsid w:val="00BE6775"/>
    <w:rsid w:val="00BE68F3"/>
    <w:rsid w:val="00BE69EC"/>
    <w:rsid w:val="00BE6B39"/>
    <w:rsid w:val="00BE6B74"/>
    <w:rsid w:val="00BE6BF7"/>
    <w:rsid w:val="00BE6CA3"/>
    <w:rsid w:val="00BE6CDC"/>
    <w:rsid w:val="00BE6D4C"/>
    <w:rsid w:val="00BE6D55"/>
    <w:rsid w:val="00BE6E21"/>
    <w:rsid w:val="00BE6EA1"/>
    <w:rsid w:val="00BE6F26"/>
    <w:rsid w:val="00BE6F32"/>
    <w:rsid w:val="00BE6F60"/>
    <w:rsid w:val="00BE6F61"/>
    <w:rsid w:val="00BE6F69"/>
    <w:rsid w:val="00BE6F83"/>
    <w:rsid w:val="00BE6FEE"/>
    <w:rsid w:val="00BE6FF5"/>
    <w:rsid w:val="00BE7049"/>
    <w:rsid w:val="00BE7063"/>
    <w:rsid w:val="00BE709B"/>
    <w:rsid w:val="00BE7180"/>
    <w:rsid w:val="00BE7195"/>
    <w:rsid w:val="00BE71B0"/>
    <w:rsid w:val="00BE71B7"/>
    <w:rsid w:val="00BE7259"/>
    <w:rsid w:val="00BE72A8"/>
    <w:rsid w:val="00BE7312"/>
    <w:rsid w:val="00BE739B"/>
    <w:rsid w:val="00BE73C7"/>
    <w:rsid w:val="00BE7466"/>
    <w:rsid w:val="00BE7496"/>
    <w:rsid w:val="00BE74D4"/>
    <w:rsid w:val="00BE7504"/>
    <w:rsid w:val="00BE75EA"/>
    <w:rsid w:val="00BE76FB"/>
    <w:rsid w:val="00BE77D2"/>
    <w:rsid w:val="00BE78B1"/>
    <w:rsid w:val="00BE78B2"/>
    <w:rsid w:val="00BE7A67"/>
    <w:rsid w:val="00BE7AA0"/>
    <w:rsid w:val="00BE7C99"/>
    <w:rsid w:val="00BE7CA0"/>
    <w:rsid w:val="00BE7E11"/>
    <w:rsid w:val="00BE7EBC"/>
    <w:rsid w:val="00BE7F5E"/>
    <w:rsid w:val="00BF0079"/>
    <w:rsid w:val="00BF00F3"/>
    <w:rsid w:val="00BF00F6"/>
    <w:rsid w:val="00BF0136"/>
    <w:rsid w:val="00BF0256"/>
    <w:rsid w:val="00BF027D"/>
    <w:rsid w:val="00BF02A8"/>
    <w:rsid w:val="00BF0341"/>
    <w:rsid w:val="00BF03FD"/>
    <w:rsid w:val="00BF0730"/>
    <w:rsid w:val="00BF0764"/>
    <w:rsid w:val="00BF07A3"/>
    <w:rsid w:val="00BF08BA"/>
    <w:rsid w:val="00BF09FE"/>
    <w:rsid w:val="00BF0B24"/>
    <w:rsid w:val="00BF0B3A"/>
    <w:rsid w:val="00BF0B89"/>
    <w:rsid w:val="00BF0BBE"/>
    <w:rsid w:val="00BF0C43"/>
    <w:rsid w:val="00BF0C79"/>
    <w:rsid w:val="00BF0C90"/>
    <w:rsid w:val="00BF0CB2"/>
    <w:rsid w:val="00BF0CEE"/>
    <w:rsid w:val="00BF0DF2"/>
    <w:rsid w:val="00BF0E3C"/>
    <w:rsid w:val="00BF0E55"/>
    <w:rsid w:val="00BF0F6E"/>
    <w:rsid w:val="00BF119F"/>
    <w:rsid w:val="00BF129E"/>
    <w:rsid w:val="00BF14DA"/>
    <w:rsid w:val="00BF1510"/>
    <w:rsid w:val="00BF15E8"/>
    <w:rsid w:val="00BF1607"/>
    <w:rsid w:val="00BF172C"/>
    <w:rsid w:val="00BF1786"/>
    <w:rsid w:val="00BF18D9"/>
    <w:rsid w:val="00BF18E4"/>
    <w:rsid w:val="00BF18F9"/>
    <w:rsid w:val="00BF1902"/>
    <w:rsid w:val="00BF19DB"/>
    <w:rsid w:val="00BF19FF"/>
    <w:rsid w:val="00BF1BD0"/>
    <w:rsid w:val="00BF1BD7"/>
    <w:rsid w:val="00BF1C29"/>
    <w:rsid w:val="00BF1C41"/>
    <w:rsid w:val="00BF1CC2"/>
    <w:rsid w:val="00BF1D78"/>
    <w:rsid w:val="00BF1DD7"/>
    <w:rsid w:val="00BF1E0D"/>
    <w:rsid w:val="00BF1E52"/>
    <w:rsid w:val="00BF1F01"/>
    <w:rsid w:val="00BF2024"/>
    <w:rsid w:val="00BF20A3"/>
    <w:rsid w:val="00BF2205"/>
    <w:rsid w:val="00BF23CA"/>
    <w:rsid w:val="00BF23E2"/>
    <w:rsid w:val="00BF25CF"/>
    <w:rsid w:val="00BF2766"/>
    <w:rsid w:val="00BF277B"/>
    <w:rsid w:val="00BF27CE"/>
    <w:rsid w:val="00BF27EC"/>
    <w:rsid w:val="00BF28EC"/>
    <w:rsid w:val="00BF29B1"/>
    <w:rsid w:val="00BF2A4B"/>
    <w:rsid w:val="00BF2B0E"/>
    <w:rsid w:val="00BF2C4D"/>
    <w:rsid w:val="00BF2D13"/>
    <w:rsid w:val="00BF2D71"/>
    <w:rsid w:val="00BF2ECD"/>
    <w:rsid w:val="00BF2EFA"/>
    <w:rsid w:val="00BF2F36"/>
    <w:rsid w:val="00BF30BC"/>
    <w:rsid w:val="00BF30D8"/>
    <w:rsid w:val="00BF30EA"/>
    <w:rsid w:val="00BF30FA"/>
    <w:rsid w:val="00BF3132"/>
    <w:rsid w:val="00BF3204"/>
    <w:rsid w:val="00BF3280"/>
    <w:rsid w:val="00BF3362"/>
    <w:rsid w:val="00BF3366"/>
    <w:rsid w:val="00BF34E3"/>
    <w:rsid w:val="00BF35AF"/>
    <w:rsid w:val="00BF372C"/>
    <w:rsid w:val="00BF37C7"/>
    <w:rsid w:val="00BF37FF"/>
    <w:rsid w:val="00BF382B"/>
    <w:rsid w:val="00BF3991"/>
    <w:rsid w:val="00BF3A4D"/>
    <w:rsid w:val="00BF3AAC"/>
    <w:rsid w:val="00BF3C0D"/>
    <w:rsid w:val="00BF3C28"/>
    <w:rsid w:val="00BF3C2E"/>
    <w:rsid w:val="00BF3C69"/>
    <w:rsid w:val="00BF3C7D"/>
    <w:rsid w:val="00BF3CC6"/>
    <w:rsid w:val="00BF3D13"/>
    <w:rsid w:val="00BF3E10"/>
    <w:rsid w:val="00BF3F84"/>
    <w:rsid w:val="00BF400B"/>
    <w:rsid w:val="00BF407C"/>
    <w:rsid w:val="00BF41EB"/>
    <w:rsid w:val="00BF41FA"/>
    <w:rsid w:val="00BF4280"/>
    <w:rsid w:val="00BF4323"/>
    <w:rsid w:val="00BF43F8"/>
    <w:rsid w:val="00BF440E"/>
    <w:rsid w:val="00BF4467"/>
    <w:rsid w:val="00BF44AF"/>
    <w:rsid w:val="00BF4518"/>
    <w:rsid w:val="00BF45CD"/>
    <w:rsid w:val="00BF45D4"/>
    <w:rsid w:val="00BF45FA"/>
    <w:rsid w:val="00BF464A"/>
    <w:rsid w:val="00BF4730"/>
    <w:rsid w:val="00BF4791"/>
    <w:rsid w:val="00BF47BD"/>
    <w:rsid w:val="00BF47E4"/>
    <w:rsid w:val="00BF4956"/>
    <w:rsid w:val="00BF49B1"/>
    <w:rsid w:val="00BF49C5"/>
    <w:rsid w:val="00BF4A78"/>
    <w:rsid w:val="00BF4AB9"/>
    <w:rsid w:val="00BF4B19"/>
    <w:rsid w:val="00BF4BAB"/>
    <w:rsid w:val="00BF4C2B"/>
    <w:rsid w:val="00BF4D10"/>
    <w:rsid w:val="00BF4D72"/>
    <w:rsid w:val="00BF4F8A"/>
    <w:rsid w:val="00BF4FBD"/>
    <w:rsid w:val="00BF4FE6"/>
    <w:rsid w:val="00BF5163"/>
    <w:rsid w:val="00BF5224"/>
    <w:rsid w:val="00BF5250"/>
    <w:rsid w:val="00BF52BB"/>
    <w:rsid w:val="00BF5385"/>
    <w:rsid w:val="00BF5456"/>
    <w:rsid w:val="00BF5475"/>
    <w:rsid w:val="00BF549A"/>
    <w:rsid w:val="00BF5522"/>
    <w:rsid w:val="00BF5738"/>
    <w:rsid w:val="00BF58AD"/>
    <w:rsid w:val="00BF58C9"/>
    <w:rsid w:val="00BF59B7"/>
    <w:rsid w:val="00BF5AA5"/>
    <w:rsid w:val="00BF5B72"/>
    <w:rsid w:val="00BF5BB9"/>
    <w:rsid w:val="00BF5BF4"/>
    <w:rsid w:val="00BF5C0F"/>
    <w:rsid w:val="00BF5C19"/>
    <w:rsid w:val="00BF5ED6"/>
    <w:rsid w:val="00BF5EF3"/>
    <w:rsid w:val="00BF5F52"/>
    <w:rsid w:val="00BF5F99"/>
    <w:rsid w:val="00BF5FD7"/>
    <w:rsid w:val="00BF5FEF"/>
    <w:rsid w:val="00BF6093"/>
    <w:rsid w:val="00BF6141"/>
    <w:rsid w:val="00BF6170"/>
    <w:rsid w:val="00BF617C"/>
    <w:rsid w:val="00BF61CB"/>
    <w:rsid w:val="00BF6275"/>
    <w:rsid w:val="00BF63AB"/>
    <w:rsid w:val="00BF6494"/>
    <w:rsid w:val="00BF64FD"/>
    <w:rsid w:val="00BF650A"/>
    <w:rsid w:val="00BF6512"/>
    <w:rsid w:val="00BF65D5"/>
    <w:rsid w:val="00BF667B"/>
    <w:rsid w:val="00BF6739"/>
    <w:rsid w:val="00BF678B"/>
    <w:rsid w:val="00BF6797"/>
    <w:rsid w:val="00BF688E"/>
    <w:rsid w:val="00BF68D4"/>
    <w:rsid w:val="00BF6ABB"/>
    <w:rsid w:val="00BF6B2F"/>
    <w:rsid w:val="00BF6BC5"/>
    <w:rsid w:val="00BF6BEF"/>
    <w:rsid w:val="00BF6C40"/>
    <w:rsid w:val="00BF6D2B"/>
    <w:rsid w:val="00BF6D72"/>
    <w:rsid w:val="00BF6DA6"/>
    <w:rsid w:val="00BF6E93"/>
    <w:rsid w:val="00BF6E94"/>
    <w:rsid w:val="00BF6ED4"/>
    <w:rsid w:val="00BF6F36"/>
    <w:rsid w:val="00BF7158"/>
    <w:rsid w:val="00BF722F"/>
    <w:rsid w:val="00BF730C"/>
    <w:rsid w:val="00BF73D6"/>
    <w:rsid w:val="00BF7470"/>
    <w:rsid w:val="00BF7496"/>
    <w:rsid w:val="00BF75D8"/>
    <w:rsid w:val="00BF7614"/>
    <w:rsid w:val="00BF76C0"/>
    <w:rsid w:val="00BF7786"/>
    <w:rsid w:val="00BF77A5"/>
    <w:rsid w:val="00BF7832"/>
    <w:rsid w:val="00BF7834"/>
    <w:rsid w:val="00BF7846"/>
    <w:rsid w:val="00BF7889"/>
    <w:rsid w:val="00BF78AD"/>
    <w:rsid w:val="00BF7923"/>
    <w:rsid w:val="00BF797B"/>
    <w:rsid w:val="00BF79CE"/>
    <w:rsid w:val="00BF79D4"/>
    <w:rsid w:val="00BF79DA"/>
    <w:rsid w:val="00BF7AB7"/>
    <w:rsid w:val="00BF7B10"/>
    <w:rsid w:val="00BF7C99"/>
    <w:rsid w:val="00BF7CBE"/>
    <w:rsid w:val="00BF7DE9"/>
    <w:rsid w:val="00BF7DF7"/>
    <w:rsid w:val="00BF7E2B"/>
    <w:rsid w:val="00BF7EAE"/>
    <w:rsid w:val="00BF7EE7"/>
    <w:rsid w:val="00BF7F8F"/>
    <w:rsid w:val="00BF7FA2"/>
    <w:rsid w:val="00BFEC86"/>
    <w:rsid w:val="00C00029"/>
    <w:rsid w:val="00C000DA"/>
    <w:rsid w:val="00C00130"/>
    <w:rsid w:val="00C0029D"/>
    <w:rsid w:val="00C002CA"/>
    <w:rsid w:val="00C002F9"/>
    <w:rsid w:val="00C0030A"/>
    <w:rsid w:val="00C0036F"/>
    <w:rsid w:val="00C003B2"/>
    <w:rsid w:val="00C0054C"/>
    <w:rsid w:val="00C0055D"/>
    <w:rsid w:val="00C005BB"/>
    <w:rsid w:val="00C005DB"/>
    <w:rsid w:val="00C0067B"/>
    <w:rsid w:val="00C0070D"/>
    <w:rsid w:val="00C0078B"/>
    <w:rsid w:val="00C007DA"/>
    <w:rsid w:val="00C008CC"/>
    <w:rsid w:val="00C00A46"/>
    <w:rsid w:val="00C00AB0"/>
    <w:rsid w:val="00C00AFD"/>
    <w:rsid w:val="00C00BD3"/>
    <w:rsid w:val="00C00C2B"/>
    <w:rsid w:val="00C00C4B"/>
    <w:rsid w:val="00C00C80"/>
    <w:rsid w:val="00C00C91"/>
    <w:rsid w:val="00C00CE4"/>
    <w:rsid w:val="00C00DBE"/>
    <w:rsid w:val="00C00ECA"/>
    <w:rsid w:val="00C00F8B"/>
    <w:rsid w:val="00C010A3"/>
    <w:rsid w:val="00C010CA"/>
    <w:rsid w:val="00C010E8"/>
    <w:rsid w:val="00C01102"/>
    <w:rsid w:val="00C012B2"/>
    <w:rsid w:val="00C012CB"/>
    <w:rsid w:val="00C0137F"/>
    <w:rsid w:val="00C01489"/>
    <w:rsid w:val="00C0149E"/>
    <w:rsid w:val="00C014AF"/>
    <w:rsid w:val="00C014FD"/>
    <w:rsid w:val="00C01642"/>
    <w:rsid w:val="00C01740"/>
    <w:rsid w:val="00C01B29"/>
    <w:rsid w:val="00C01B42"/>
    <w:rsid w:val="00C01BB0"/>
    <w:rsid w:val="00C01BC8"/>
    <w:rsid w:val="00C01C0E"/>
    <w:rsid w:val="00C01DB9"/>
    <w:rsid w:val="00C01E68"/>
    <w:rsid w:val="00C01E83"/>
    <w:rsid w:val="00C01ECE"/>
    <w:rsid w:val="00C01FA9"/>
    <w:rsid w:val="00C02061"/>
    <w:rsid w:val="00C021F1"/>
    <w:rsid w:val="00C02314"/>
    <w:rsid w:val="00C0234A"/>
    <w:rsid w:val="00C0237C"/>
    <w:rsid w:val="00C02393"/>
    <w:rsid w:val="00C025E7"/>
    <w:rsid w:val="00C0267B"/>
    <w:rsid w:val="00C026F3"/>
    <w:rsid w:val="00C02743"/>
    <w:rsid w:val="00C02761"/>
    <w:rsid w:val="00C02770"/>
    <w:rsid w:val="00C02775"/>
    <w:rsid w:val="00C0279D"/>
    <w:rsid w:val="00C028C4"/>
    <w:rsid w:val="00C02B40"/>
    <w:rsid w:val="00C02C2E"/>
    <w:rsid w:val="00C02C8E"/>
    <w:rsid w:val="00C02DC2"/>
    <w:rsid w:val="00C02DF1"/>
    <w:rsid w:val="00C02E22"/>
    <w:rsid w:val="00C02E32"/>
    <w:rsid w:val="00C02EE2"/>
    <w:rsid w:val="00C03091"/>
    <w:rsid w:val="00C032DA"/>
    <w:rsid w:val="00C03414"/>
    <w:rsid w:val="00C03458"/>
    <w:rsid w:val="00C036B8"/>
    <w:rsid w:val="00C036ED"/>
    <w:rsid w:val="00C036F6"/>
    <w:rsid w:val="00C03745"/>
    <w:rsid w:val="00C037EB"/>
    <w:rsid w:val="00C03812"/>
    <w:rsid w:val="00C0389F"/>
    <w:rsid w:val="00C039E1"/>
    <w:rsid w:val="00C03AF8"/>
    <w:rsid w:val="00C03B49"/>
    <w:rsid w:val="00C03B70"/>
    <w:rsid w:val="00C03C91"/>
    <w:rsid w:val="00C03E98"/>
    <w:rsid w:val="00C03ED3"/>
    <w:rsid w:val="00C03EDF"/>
    <w:rsid w:val="00C03F69"/>
    <w:rsid w:val="00C04272"/>
    <w:rsid w:val="00C043DC"/>
    <w:rsid w:val="00C043FB"/>
    <w:rsid w:val="00C044A1"/>
    <w:rsid w:val="00C044F0"/>
    <w:rsid w:val="00C04509"/>
    <w:rsid w:val="00C04595"/>
    <w:rsid w:val="00C046FA"/>
    <w:rsid w:val="00C0471A"/>
    <w:rsid w:val="00C04752"/>
    <w:rsid w:val="00C047B2"/>
    <w:rsid w:val="00C04AC9"/>
    <w:rsid w:val="00C04B45"/>
    <w:rsid w:val="00C04BC5"/>
    <w:rsid w:val="00C04C9C"/>
    <w:rsid w:val="00C04CFA"/>
    <w:rsid w:val="00C04E88"/>
    <w:rsid w:val="00C04E90"/>
    <w:rsid w:val="00C04EA7"/>
    <w:rsid w:val="00C04F0E"/>
    <w:rsid w:val="00C0501B"/>
    <w:rsid w:val="00C050CD"/>
    <w:rsid w:val="00C050D1"/>
    <w:rsid w:val="00C05179"/>
    <w:rsid w:val="00C05184"/>
    <w:rsid w:val="00C052B8"/>
    <w:rsid w:val="00C05302"/>
    <w:rsid w:val="00C0532A"/>
    <w:rsid w:val="00C054E3"/>
    <w:rsid w:val="00C05571"/>
    <w:rsid w:val="00C05620"/>
    <w:rsid w:val="00C0566F"/>
    <w:rsid w:val="00C057AE"/>
    <w:rsid w:val="00C057B2"/>
    <w:rsid w:val="00C057B4"/>
    <w:rsid w:val="00C05849"/>
    <w:rsid w:val="00C0585B"/>
    <w:rsid w:val="00C058E2"/>
    <w:rsid w:val="00C059E0"/>
    <w:rsid w:val="00C05C7F"/>
    <w:rsid w:val="00C05CB5"/>
    <w:rsid w:val="00C05D15"/>
    <w:rsid w:val="00C05D9C"/>
    <w:rsid w:val="00C05E6B"/>
    <w:rsid w:val="00C05E79"/>
    <w:rsid w:val="00C05EA6"/>
    <w:rsid w:val="00C05EA8"/>
    <w:rsid w:val="00C05EF1"/>
    <w:rsid w:val="00C05F92"/>
    <w:rsid w:val="00C05FE8"/>
    <w:rsid w:val="00C05FFA"/>
    <w:rsid w:val="00C06002"/>
    <w:rsid w:val="00C06118"/>
    <w:rsid w:val="00C061DF"/>
    <w:rsid w:val="00C06213"/>
    <w:rsid w:val="00C06220"/>
    <w:rsid w:val="00C06262"/>
    <w:rsid w:val="00C06373"/>
    <w:rsid w:val="00C063E6"/>
    <w:rsid w:val="00C066EC"/>
    <w:rsid w:val="00C068D1"/>
    <w:rsid w:val="00C06929"/>
    <w:rsid w:val="00C06A41"/>
    <w:rsid w:val="00C06CE3"/>
    <w:rsid w:val="00C06DF6"/>
    <w:rsid w:val="00C06EA9"/>
    <w:rsid w:val="00C06EDC"/>
    <w:rsid w:val="00C06FB5"/>
    <w:rsid w:val="00C07019"/>
    <w:rsid w:val="00C07057"/>
    <w:rsid w:val="00C070DA"/>
    <w:rsid w:val="00C07138"/>
    <w:rsid w:val="00C07234"/>
    <w:rsid w:val="00C0723C"/>
    <w:rsid w:val="00C07289"/>
    <w:rsid w:val="00C0730B"/>
    <w:rsid w:val="00C073BF"/>
    <w:rsid w:val="00C074B2"/>
    <w:rsid w:val="00C074F0"/>
    <w:rsid w:val="00C07607"/>
    <w:rsid w:val="00C07667"/>
    <w:rsid w:val="00C0775A"/>
    <w:rsid w:val="00C07816"/>
    <w:rsid w:val="00C0782D"/>
    <w:rsid w:val="00C079C3"/>
    <w:rsid w:val="00C07A64"/>
    <w:rsid w:val="00C07C00"/>
    <w:rsid w:val="00C07CB8"/>
    <w:rsid w:val="00C07CCE"/>
    <w:rsid w:val="00C07CE7"/>
    <w:rsid w:val="00C07F9F"/>
    <w:rsid w:val="00C10131"/>
    <w:rsid w:val="00C10137"/>
    <w:rsid w:val="00C1025A"/>
    <w:rsid w:val="00C102CB"/>
    <w:rsid w:val="00C10330"/>
    <w:rsid w:val="00C10353"/>
    <w:rsid w:val="00C103E7"/>
    <w:rsid w:val="00C10412"/>
    <w:rsid w:val="00C1046F"/>
    <w:rsid w:val="00C1054B"/>
    <w:rsid w:val="00C105D2"/>
    <w:rsid w:val="00C10632"/>
    <w:rsid w:val="00C1076C"/>
    <w:rsid w:val="00C107B2"/>
    <w:rsid w:val="00C10801"/>
    <w:rsid w:val="00C10880"/>
    <w:rsid w:val="00C108BD"/>
    <w:rsid w:val="00C108E9"/>
    <w:rsid w:val="00C10905"/>
    <w:rsid w:val="00C1093C"/>
    <w:rsid w:val="00C10969"/>
    <w:rsid w:val="00C109AF"/>
    <w:rsid w:val="00C10A91"/>
    <w:rsid w:val="00C10AE8"/>
    <w:rsid w:val="00C10C0B"/>
    <w:rsid w:val="00C10C5C"/>
    <w:rsid w:val="00C10CC0"/>
    <w:rsid w:val="00C10D50"/>
    <w:rsid w:val="00C10E71"/>
    <w:rsid w:val="00C10EC8"/>
    <w:rsid w:val="00C10F07"/>
    <w:rsid w:val="00C10F45"/>
    <w:rsid w:val="00C1113E"/>
    <w:rsid w:val="00C11231"/>
    <w:rsid w:val="00C1126C"/>
    <w:rsid w:val="00C1130B"/>
    <w:rsid w:val="00C113AF"/>
    <w:rsid w:val="00C114CF"/>
    <w:rsid w:val="00C11798"/>
    <w:rsid w:val="00C117B8"/>
    <w:rsid w:val="00C117E2"/>
    <w:rsid w:val="00C11804"/>
    <w:rsid w:val="00C1185D"/>
    <w:rsid w:val="00C119E8"/>
    <w:rsid w:val="00C11A3C"/>
    <w:rsid w:val="00C11ABF"/>
    <w:rsid w:val="00C11B30"/>
    <w:rsid w:val="00C11B65"/>
    <w:rsid w:val="00C11CCA"/>
    <w:rsid w:val="00C11D45"/>
    <w:rsid w:val="00C11E31"/>
    <w:rsid w:val="00C11E7F"/>
    <w:rsid w:val="00C11EED"/>
    <w:rsid w:val="00C1204D"/>
    <w:rsid w:val="00C1204F"/>
    <w:rsid w:val="00C120BA"/>
    <w:rsid w:val="00C12103"/>
    <w:rsid w:val="00C12144"/>
    <w:rsid w:val="00C12150"/>
    <w:rsid w:val="00C121F4"/>
    <w:rsid w:val="00C12238"/>
    <w:rsid w:val="00C1223E"/>
    <w:rsid w:val="00C1231D"/>
    <w:rsid w:val="00C12375"/>
    <w:rsid w:val="00C1237E"/>
    <w:rsid w:val="00C123C6"/>
    <w:rsid w:val="00C12400"/>
    <w:rsid w:val="00C12447"/>
    <w:rsid w:val="00C1245C"/>
    <w:rsid w:val="00C12480"/>
    <w:rsid w:val="00C124EF"/>
    <w:rsid w:val="00C12586"/>
    <w:rsid w:val="00C12587"/>
    <w:rsid w:val="00C125D7"/>
    <w:rsid w:val="00C125EF"/>
    <w:rsid w:val="00C1263D"/>
    <w:rsid w:val="00C1265C"/>
    <w:rsid w:val="00C12667"/>
    <w:rsid w:val="00C127C9"/>
    <w:rsid w:val="00C1281A"/>
    <w:rsid w:val="00C12845"/>
    <w:rsid w:val="00C128C6"/>
    <w:rsid w:val="00C129BF"/>
    <w:rsid w:val="00C12AE8"/>
    <w:rsid w:val="00C12BB4"/>
    <w:rsid w:val="00C12E8A"/>
    <w:rsid w:val="00C12FEB"/>
    <w:rsid w:val="00C12FF5"/>
    <w:rsid w:val="00C1305C"/>
    <w:rsid w:val="00C130C4"/>
    <w:rsid w:val="00C13118"/>
    <w:rsid w:val="00C13272"/>
    <w:rsid w:val="00C13275"/>
    <w:rsid w:val="00C13285"/>
    <w:rsid w:val="00C13333"/>
    <w:rsid w:val="00C13476"/>
    <w:rsid w:val="00C134BF"/>
    <w:rsid w:val="00C1379B"/>
    <w:rsid w:val="00C137F8"/>
    <w:rsid w:val="00C138B4"/>
    <w:rsid w:val="00C13987"/>
    <w:rsid w:val="00C139CE"/>
    <w:rsid w:val="00C13BA2"/>
    <w:rsid w:val="00C13C13"/>
    <w:rsid w:val="00C13CB5"/>
    <w:rsid w:val="00C13DDF"/>
    <w:rsid w:val="00C13F8D"/>
    <w:rsid w:val="00C13FD8"/>
    <w:rsid w:val="00C14000"/>
    <w:rsid w:val="00C14135"/>
    <w:rsid w:val="00C1417E"/>
    <w:rsid w:val="00C14181"/>
    <w:rsid w:val="00C141A3"/>
    <w:rsid w:val="00C14241"/>
    <w:rsid w:val="00C142CB"/>
    <w:rsid w:val="00C1434A"/>
    <w:rsid w:val="00C143A5"/>
    <w:rsid w:val="00C1450E"/>
    <w:rsid w:val="00C14510"/>
    <w:rsid w:val="00C1466A"/>
    <w:rsid w:val="00C14679"/>
    <w:rsid w:val="00C146BB"/>
    <w:rsid w:val="00C146F1"/>
    <w:rsid w:val="00C147CC"/>
    <w:rsid w:val="00C148B5"/>
    <w:rsid w:val="00C1493C"/>
    <w:rsid w:val="00C14AB6"/>
    <w:rsid w:val="00C14B3D"/>
    <w:rsid w:val="00C14B5D"/>
    <w:rsid w:val="00C14CC8"/>
    <w:rsid w:val="00C14CD8"/>
    <w:rsid w:val="00C14CDA"/>
    <w:rsid w:val="00C15017"/>
    <w:rsid w:val="00C150F5"/>
    <w:rsid w:val="00C15169"/>
    <w:rsid w:val="00C1517E"/>
    <w:rsid w:val="00C151C6"/>
    <w:rsid w:val="00C151F8"/>
    <w:rsid w:val="00C15252"/>
    <w:rsid w:val="00C15310"/>
    <w:rsid w:val="00C1539B"/>
    <w:rsid w:val="00C1544E"/>
    <w:rsid w:val="00C15450"/>
    <w:rsid w:val="00C15479"/>
    <w:rsid w:val="00C154CC"/>
    <w:rsid w:val="00C15502"/>
    <w:rsid w:val="00C15764"/>
    <w:rsid w:val="00C15774"/>
    <w:rsid w:val="00C1579E"/>
    <w:rsid w:val="00C157A9"/>
    <w:rsid w:val="00C15931"/>
    <w:rsid w:val="00C159DC"/>
    <w:rsid w:val="00C15A75"/>
    <w:rsid w:val="00C15A80"/>
    <w:rsid w:val="00C15AD0"/>
    <w:rsid w:val="00C15B15"/>
    <w:rsid w:val="00C15B82"/>
    <w:rsid w:val="00C15BDA"/>
    <w:rsid w:val="00C15BE9"/>
    <w:rsid w:val="00C15CC3"/>
    <w:rsid w:val="00C15CD2"/>
    <w:rsid w:val="00C15CDA"/>
    <w:rsid w:val="00C15D16"/>
    <w:rsid w:val="00C15D41"/>
    <w:rsid w:val="00C15E33"/>
    <w:rsid w:val="00C15E51"/>
    <w:rsid w:val="00C15EBC"/>
    <w:rsid w:val="00C15EBE"/>
    <w:rsid w:val="00C15EE2"/>
    <w:rsid w:val="00C15EFF"/>
    <w:rsid w:val="00C15FDF"/>
    <w:rsid w:val="00C16081"/>
    <w:rsid w:val="00C160E8"/>
    <w:rsid w:val="00C1618B"/>
    <w:rsid w:val="00C161E3"/>
    <w:rsid w:val="00C161FA"/>
    <w:rsid w:val="00C162C9"/>
    <w:rsid w:val="00C1632F"/>
    <w:rsid w:val="00C16349"/>
    <w:rsid w:val="00C1637A"/>
    <w:rsid w:val="00C163C5"/>
    <w:rsid w:val="00C163E8"/>
    <w:rsid w:val="00C16485"/>
    <w:rsid w:val="00C1658C"/>
    <w:rsid w:val="00C165B9"/>
    <w:rsid w:val="00C1662E"/>
    <w:rsid w:val="00C16722"/>
    <w:rsid w:val="00C16738"/>
    <w:rsid w:val="00C167CF"/>
    <w:rsid w:val="00C16AE6"/>
    <w:rsid w:val="00C16B4F"/>
    <w:rsid w:val="00C16BA7"/>
    <w:rsid w:val="00C16BFF"/>
    <w:rsid w:val="00C16D71"/>
    <w:rsid w:val="00C16DA4"/>
    <w:rsid w:val="00C16EEF"/>
    <w:rsid w:val="00C16EFE"/>
    <w:rsid w:val="00C16F0B"/>
    <w:rsid w:val="00C16FD0"/>
    <w:rsid w:val="00C17179"/>
    <w:rsid w:val="00C17264"/>
    <w:rsid w:val="00C173F9"/>
    <w:rsid w:val="00C1747E"/>
    <w:rsid w:val="00C174BC"/>
    <w:rsid w:val="00C17525"/>
    <w:rsid w:val="00C1757E"/>
    <w:rsid w:val="00C17584"/>
    <w:rsid w:val="00C17725"/>
    <w:rsid w:val="00C17758"/>
    <w:rsid w:val="00C1779E"/>
    <w:rsid w:val="00C177FB"/>
    <w:rsid w:val="00C17955"/>
    <w:rsid w:val="00C17A42"/>
    <w:rsid w:val="00C17AAA"/>
    <w:rsid w:val="00C17AE6"/>
    <w:rsid w:val="00C17C2D"/>
    <w:rsid w:val="00C17CB0"/>
    <w:rsid w:val="00C17CC9"/>
    <w:rsid w:val="00C17D4F"/>
    <w:rsid w:val="00C17D6A"/>
    <w:rsid w:val="00C17EB6"/>
    <w:rsid w:val="00C17EE7"/>
    <w:rsid w:val="00C17F01"/>
    <w:rsid w:val="00C17F1E"/>
    <w:rsid w:val="00C17FCD"/>
    <w:rsid w:val="00C2005A"/>
    <w:rsid w:val="00C20075"/>
    <w:rsid w:val="00C2056A"/>
    <w:rsid w:val="00C206E2"/>
    <w:rsid w:val="00C207D4"/>
    <w:rsid w:val="00C207F0"/>
    <w:rsid w:val="00C20811"/>
    <w:rsid w:val="00C208B3"/>
    <w:rsid w:val="00C209DA"/>
    <w:rsid w:val="00C20B53"/>
    <w:rsid w:val="00C20B84"/>
    <w:rsid w:val="00C20BF6"/>
    <w:rsid w:val="00C20CB7"/>
    <w:rsid w:val="00C20DB8"/>
    <w:rsid w:val="00C20E26"/>
    <w:rsid w:val="00C20E27"/>
    <w:rsid w:val="00C20E72"/>
    <w:rsid w:val="00C20EAF"/>
    <w:rsid w:val="00C20F46"/>
    <w:rsid w:val="00C20FEB"/>
    <w:rsid w:val="00C210DF"/>
    <w:rsid w:val="00C211A7"/>
    <w:rsid w:val="00C21267"/>
    <w:rsid w:val="00C2129C"/>
    <w:rsid w:val="00C21358"/>
    <w:rsid w:val="00C214FE"/>
    <w:rsid w:val="00C21631"/>
    <w:rsid w:val="00C2166C"/>
    <w:rsid w:val="00C2166D"/>
    <w:rsid w:val="00C216BF"/>
    <w:rsid w:val="00C216D0"/>
    <w:rsid w:val="00C21717"/>
    <w:rsid w:val="00C2172C"/>
    <w:rsid w:val="00C2179D"/>
    <w:rsid w:val="00C217D5"/>
    <w:rsid w:val="00C21A24"/>
    <w:rsid w:val="00C21A29"/>
    <w:rsid w:val="00C21ACC"/>
    <w:rsid w:val="00C21B77"/>
    <w:rsid w:val="00C21CDD"/>
    <w:rsid w:val="00C21E65"/>
    <w:rsid w:val="00C21E8C"/>
    <w:rsid w:val="00C21E9F"/>
    <w:rsid w:val="00C21EC3"/>
    <w:rsid w:val="00C21FC5"/>
    <w:rsid w:val="00C21FEA"/>
    <w:rsid w:val="00C22174"/>
    <w:rsid w:val="00C2218C"/>
    <w:rsid w:val="00C2224C"/>
    <w:rsid w:val="00C22262"/>
    <w:rsid w:val="00C22265"/>
    <w:rsid w:val="00C22274"/>
    <w:rsid w:val="00C2228B"/>
    <w:rsid w:val="00C22412"/>
    <w:rsid w:val="00C2244B"/>
    <w:rsid w:val="00C224D2"/>
    <w:rsid w:val="00C2258A"/>
    <w:rsid w:val="00C225B4"/>
    <w:rsid w:val="00C22673"/>
    <w:rsid w:val="00C22730"/>
    <w:rsid w:val="00C22854"/>
    <w:rsid w:val="00C228FE"/>
    <w:rsid w:val="00C22A0A"/>
    <w:rsid w:val="00C22A29"/>
    <w:rsid w:val="00C22A2C"/>
    <w:rsid w:val="00C22A85"/>
    <w:rsid w:val="00C22B19"/>
    <w:rsid w:val="00C22B6E"/>
    <w:rsid w:val="00C22BD5"/>
    <w:rsid w:val="00C22C0E"/>
    <w:rsid w:val="00C22D4F"/>
    <w:rsid w:val="00C22DA1"/>
    <w:rsid w:val="00C22DEA"/>
    <w:rsid w:val="00C22E75"/>
    <w:rsid w:val="00C22F8E"/>
    <w:rsid w:val="00C2300B"/>
    <w:rsid w:val="00C230A4"/>
    <w:rsid w:val="00C230E3"/>
    <w:rsid w:val="00C23124"/>
    <w:rsid w:val="00C23242"/>
    <w:rsid w:val="00C2326D"/>
    <w:rsid w:val="00C23290"/>
    <w:rsid w:val="00C232AB"/>
    <w:rsid w:val="00C23392"/>
    <w:rsid w:val="00C233CE"/>
    <w:rsid w:val="00C2349B"/>
    <w:rsid w:val="00C235A4"/>
    <w:rsid w:val="00C2360D"/>
    <w:rsid w:val="00C236A1"/>
    <w:rsid w:val="00C236C7"/>
    <w:rsid w:val="00C2382C"/>
    <w:rsid w:val="00C238CA"/>
    <w:rsid w:val="00C23910"/>
    <w:rsid w:val="00C239A7"/>
    <w:rsid w:val="00C239E9"/>
    <w:rsid w:val="00C23A5C"/>
    <w:rsid w:val="00C23ABE"/>
    <w:rsid w:val="00C23C17"/>
    <w:rsid w:val="00C23C3E"/>
    <w:rsid w:val="00C23D31"/>
    <w:rsid w:val="00C23DFB"/>
    <w:rsid w:val="00C24175"/>
    <w:rsid w:val="00C241D8"/>
    <w:rsid w:val="00C2428B"/>
    <w:rsid w:val="00C242F5"/>
    <w:rsid w:val="00C2435F"/>
    <w:rsid w:val="00C24396"/>
    <w:rsid w:val="00C2439D"/>
    <w:rsid w:val="00C243E6"/>
    <w:rsid w:val="00C2451E"/>
    <w:rsid w:val="00C2456B"/>
    <w:rsid w:val="00C2457F"/>
    <w:rsid w:val="00C245A9"/>
    <w:rsid w:val="00C245D9"/>
    <w:rsid w:val="00C246B4"/>
    <w:rsid w:val="00C2475A"/>
    <w:rsid w:val="00C247EA"/>
    <w:rsid w:val="00C24A5B"/>
    <w:rsid w:val="00C24B42"/>
    <w:rsid w:val="00C24CB0"/>
    <w:rsid w:val="00C24D16"/>
    <w:rsid w:val="00C24D9D"/>
    <w:rsid w:val="00C24DD4"/>
    <w:rsid w:val="00C24DEF"/>
    <w:rsid w:val="00C24F7A"/>
    <w:rsid w:val="00C24F9D"/>
    <w:rsid w:val="00C24F9F"/>
    <w:rsid w:val="00C24FA8"/>
    <w:rsid w:val="00C2500D"/>
    <w:rsid w:val="00C25054"/>
    <w:rsid w:val="00C25091"/>
    <w:rsid w:val="00C250D7"/>
    <w:rsid w:val="00C250F2"/>
    <w:rsid w:val="00C25128"/>
    <w:rsid w:val="00C2513E"/>
    <w:rsid w:val="00C25274"/>
    <w:rsid w:val="00C252EF"/>
    <w:rsid w:val="00C25359"/>
    <w:rsid w:val="00C25376"/>
    <w:rsid w:val="00C253A4"/>
    <w:rsid w:val="00C256D0"/>
    <w:rsid w:val="00C25725"/>
    <w:rsid w:val="00C25799"/>
    <w:rsid w:val="00C257F8"/>
    <w:rsid w:val="00C25871"/>
    <w:rsid w:val="00C258C0"/>
    <w:rsid w:val="00C258C6"/>
    <w:rsid w:val="00C2599F"/>
    <w:rsid w:val="00C25D45"/>
    <w:rsid w:val="00C25D7F"/>
    <w:rsid w:val="00C25F0E"/>
    <w:rsid w:val="00C25F69"/>
    <w:rsid w:val="00C25FEB"/>
    <w:rsid w:val="00C25FEC"/>
    <w:rsid w:val="00C2601C"/>
    <w:rsid w:val="00C260A9"/>
    <w:rsid w:val="00C260D9"/>
    <w:rsid w:val="00C260F8"/>
    <w:rsid w:val="00C26142"/>
    <w:rsid w:val="00C26163"/>
    <w:rsid w:val="00C26327"/>
    <w:rsid w:val="00C2643F"/>
    <w:rsid w:val="00C26440"/>
    <w:rsid w:val="00C2671D"/>
    <w:rsid w:val="00C268C6"/>
    <w:rsid w:val="00C26A0C"/>
    <w:rsid w:val="00C26A60"/>
    <w:rsid w:val="00C26A6E"/>
    <w:rsid w:val="00C26AE5"/>
    <w:rsid w:val="00C26B71"/>
    <w:rsid w:val="00C26B99"/>
    <w:rsid w:val="00C26BE2"/>
    <w:rsid w:val="00C26BEE"/>
    <w:rsid w:val="00C26C17"/>
    <w:rsid w:val="00C26C2C"/>
    <w:rsid w:val="00C26C2F"/>
    <w:rsid w:val="00C26C9C"/>
    <w:rsid w:val="00C26D3A"/>
    <w:rsid w:val="00C26D55"/>
    <w:rsid w:val="00C26DAA"/>
    <w:rsid w:val="00C26DB0"/>
    <w:rsid w:val="00C26DB6"/>
    <w:rsid w:val="00C26DE4"/>
    <w:rsid w:val="00C26E54"/>
    <w:rsid w:val="00C2702B"/>
    <w:rsid w:val="00C27044"/>
    <w:rsid w:val="00C27068"/>
    <w:rsid w:val="00C270AB"/>
    <w:rsid w:val="00C270E5"/>
    <w:rsid w:val="00C2715C"/>
    <w:rsid w:val="00C27212"/>
    <w:rsid w:val="00C27253"/>
    <w:rsid w:val="00C27420"/>
    <w:rsid w:val="00C274FC"/>
    <w:rsid w:val="00C27528"/>
    <w:rsid w:val="00C276B6"/>
    <w:rsid w:val="00C277D1"/>
    <w:rsid w:val="00C278B8"/>
    <w:rsid w:val="00C27949"/>
    <w:rsid w:val="00C279E6"/>
    <w:rsid w:val="00C279FB"/>
    <w:rsid w:val="00C27AF5"/>
    <w:rsid w:val="00C27B04"/>
    <w:rsid w:val="00C27BF7"/>
    <w:rsid w:val="00C27D5D"/>
    <w:rsid w:val="00C27DBF"/>
    <w:rsid w:val="00C27DD7"/>
    <w:rsid w:val="00C27DF6"/>
    <w:rsid w:val="00C27E30"/>
    <w:rsid w:val="00C27E55"/>
    <w:rsid w:val="00C27E6C"/>
    <w:rsid w:val="00C27F96"/>
    <w:rsid w:val="00C27FEB"/>
    <w:rsid w:val="00C30027"/>
    <w:rsid w:val="00C3023F"/>
    <w:rsid w:val="00C30246"/>
    <w:rsid w:val="00C30295"/>
    <w:rsid w:val="00C302C7"/>
    <w:rsid w:val="00C3037B"/>
    <w:rsid w:val="00C30513"/>
    <w:rsid w:val="00C30548"/>
    <w:rsid w:val="00C3062F"/>
    <w:rsid w:val="00C30771"/>
    <w:rsid w:val="00C3078A"/>
    <w:rsid w:val="00C307FD"/>
    <w:rsid w:val="00C30873"/>
    <w:rsid w:val="00C30938"/>
    <w:rsid w:val="00C3099A"/>
    <w:rsid w:val="00C30A1B"/>
    <w:rsid w:val="00C30A53"/>
    <w:rsid w:val="00C30AA5"/>
    <w:rsid w:val="00C30AF5"/>
    <w:rsid w:val="00C30B4A"/>
    <w:rsid w:val="00C30B63"/>
    <w:rsid w:val="00C30C23"/>
    <w:rsid w:val="00C30E76"/>
    <w:rsid w:val="00C30FC9"/>
    <w:rsid w:val="00C30FE6"/>
    <w:rsid w:val="00C31003"/>
    <w:rsid w:val="00C31115"/>
    <w:rsid w:val="00C3113A"/>
    <w:rsid w:val="00C31201"/>
    <w:rsid w:val="00C31253"/>
    <w:rsid w:val="00C313EB"/>
    <w:rsid w:val="00C3146B"/>
    <w:rsid w:val="00C314AE"/>
    <w:rsid w:val="00C314E5"/>
    <w:rsid w:val="00C31507"/>
    <w:rsid w:val="00C316B4"/>
    <w:rsid w:val="00C3172D"/>
    <w:rsid w:val="00C3177B"/>
    <w:rsid w:val="00C317DB"/>
    <w:rsid w:val="00C31806"/>
    <w:rsid w:val="00C318B4"/>
    <w:rsid w:val="00C319D9"/>
    <w:rsid w:val="00C31BA0"/>
    <w:rsid w:val="00C31C38"/>
    <w:rsid w:val="00C31C9C"/>
    <w:rsid w:val="00C31DAF"/>
    <w:rsid w:val="00C31DBD"/>
    <w:rsid w:val="00C31DC6"/>
    <w:rsid w:val="00C31DDA"/>
    <w:rsid w:val="00C31E85"/>
    <w:rsid w:val="00C31FD2"/>
    <w:rsid w:val="00C320C6"/>
    <w:rsid w:val="00C321E3"/>
    <w:rsid w:val="00C321E4"/>
    <w:rsid w:val="00C321F6"/>
    <w:rsid w:val="00C32213"/>
    <w:rsid w:val="00C32228"/>
    <w:rsid w:val="00C3225E"/>
    <w:rsid w:val="00C32266"/>
    <w:rsid w:val="00C32275"/>
    <w:rsid w:val="00C3228A"/>
    <w:rsid w:val="00C32299"/>
    <w:rsid w:val="00C32316"/>
    <w:rsid w:val="00C323C3"/>
    <w:rsid w:val="00C32433"/>
    <w:rsid w:val="00C32446"/>
    <w:rsid w:val="00C325AA"/>
    <w:rsid w:val="00C326CB"/>
    <w:rsid w:val="00C326E2"/>
    <w:rsid w:val="00C32724"/>
    <w:rsid w:val="00C327B7"/>
    <w:rsid w:val="00C327F5"/>
    <w:rsid w:val="00C3283A"/>
    <w:rsid w:val="00C32842"/>
    <w:rsid w:val="00C3288C"/>
    <w:rsid w:val="00C329EF"/>
    <w:rsid w:val="00C32A30"/>
    <w:rsid w:val="00C32B7A"/>
    <w:rsid w:val="00C32CFE"/>
    <w:rsid w:val="00C32D46"/>
    <w:rsid w:val="00C32DF4"/>
    <w:rsid w:val="00C32E68"/>
    <w:rsid w:val="00C32E96"/>
    <w:rsid w:val="00C32EE6"/>
    <w:rsid w:val="00C33176"/>
    <w:rsid w:val="00C331F4"/>
    <w:rsid w:val="00C33388"/>
    <w:rsid w:val="00C333D5"/>
    <w:rsid w:val="00C33595"/>
    <w:rsid w:val="00C335F9"/>
    <w:rsid w:val="00C33659"/>
    <w:rsid w:val="00C3371A"/>
    <w:rsid w:val="00C33731"/>
    <w:rsid w:val="00C33794"/>
    <w:rsid w:val="00C33797"/>
    <w:rsid w:val="00C337C7"/>
    <w:rsid w:val="00C33824"/>
    <w:rsid w:val="00C338E8"/>
    <w:rsid w:val="00C3391B"/>
    <w:rsid w:val="00C33A92"/>
    <w:rsid w:val="00C33BC5"/>
    <w:rsid w:val="00C33CD9"/>
    <w:rsid w:val="00C33EA8"/>
    <w:rsid w:val="00C33F44"/>
    <w:rsid w:val="00C33F5F"/>
    <w:rsid w:val="00C33F6E"/>
    <w:rsid w:val="00C33F8A"/>
    <w:rsid w:val="00C34059"/>
    <w:rsid w:val="00C340F8"/>
    <w:rsid w:val="00C3426A"/>
    <w:rsid w:val="00C34280"/>
    <w:rsid w:val="00C34305"/>
    <w:rsid w:val="00C343C8"/>
    <w:rsid w:val="00C344B1"/>
    <w:rsid w:val="00C344FA"/>
    <w:rsid w:val="00C34754"/>
    <w:rsid w:val="00C3477D"/>
    <w:rsid w:val="00C347B7"/>
    <w:rsid w:val="00C3486D"/>
    <w:rsid w:val="00C34981"/>
    <w:rsid w:val="00C34AD5"/>
    <w:rsid w:val="00C34BDD"/>
    <w:rsid w:val="00C34BF4"/>
    <w:rsid w:val="00C34CF8"/>
    <w:rsid w:val="00C34D16"/>
    <w:rsid w:val="00C34D3A"/>
    <w:rsid w:val="00C34D8B"/>
    <w:rsid w:val="00C34E0B"/>
    <w:rsid w:val="00C34E6E"/>
    <w:rsid w:val="00C34E7A"/>
    <w:rsid w:val="00C34F3B"/>
    <w:rsid w:val="00C34F70"/>
    <w:rsid w:val="00C34F93"/>
    <w:rsid w:val="00C34F9E"/>
    <w:rsid w:val="00C34FC5"/>
    <w:rsid w:val="00C3504C"/>
    <w:rsid w:val="00C3511D"/>
    <w:rsid w:val="00C351D2"/>
    <w:rsid w:val="00C35229"/>
    <w:rsid w:val="00C3536E"/>
    <w:rsid w:val="00C35436"/>
    <w:rsid w:val="00C355D4"/>
    <w:rsid w:val="00C356F4"/>
    <w:rsid w:val="00C3572A"/>
    <w:rsid w:val="00C35736"/>
    <w:rsid w:val="00C357F5"/>
    <w:rsid w:val="00C35852"/>
    <w:rsid w:val="00C35A16"/>
    <w:rsid w:val="00C35C72"/>
    <w:rsid w:val="00C35CBC"/>
    <w:rsid w:val="00C35CF2"/>
    <w:rsid w:val="00C35D24"/>
    <w:rsid w:val="00C35E30"/>
    <w:rsid w:val="00C35E8D"/>
    <w:rsid w:val="00C35EBD"/>
    <w:rsid w:val="00C35EDA"/>
    <w:rsid w:val="00C36295"/>
    <w:rsid w:val="00C36361"/>
    <w:rsid w:val="00C363FA"/>
    <w:rsid w:val="00C3643D"/>
    <w:rsid w:val="00C36443"/>
    <w:rsid w:val="00C3647A"/>
    <w:rsid w:val="00C36615"/>
    <w:rsid w:val="00C36617"/>
    <w:rsid w:val="00C36693"/>
    <w:rsid w:val="00C366E7"/>
    <w:rsid w:val="00C36792"/>
    <w:rsid w:val="00C367E1"/>
    <w:rsid w:val="00C3687A"/>
    <w:rsid w:val="00C368D1"/>
    <w:rsid w:val="00C3696B"/>
    <w:rsid w:val="00C36989"/>
    <w:rsid w:val="00C369B8"/>
    <w:rsid w:val="00C36A38"/>
    <w:rsid w:val="00C36AE0"/>
    <w:rsid w:val="00C36BA7"/>
    <w:rsid w:val="00C36C26"/>
    <w:rsid w:val="00C36C8C"/>
    <w:rsid w:val="00C36CE0"/>
    <w:rsid w:val="00C36CEF"/>
    <w:rsid w:val="00C36D46"/>
    <w:rsid w:val="00C36E30"/>
    <w:rsid w:val="00C36F70"/>
    <w:rsid w:val="00C36F71"/>
    <w:rsid w:val="00C36F9A"/>
    <w:rsid w:val="00C36FB1"/>
    <w:rsid w:val="00C36FDD"/>
    <w:rsid w:val="00C370B1"/>
    <w:rsid w:val="00C3712D"/>
    <w:rsid w:val="00C37165"/>
    <w:rsid w:val="00C372C1"/>
    <w:rsid w:val="00C37370"/>
    <w:rsid w:val="00C37494"/>
    <w:rsid w:val="00C3752D"/>
    <w:rsid w:val="00C3754C"/>
    <w:rsid w:val="00C375CC"/>
    <w:rsid w:val="00C3761F"/>
    <w:rsid w:val="00C37622"/>
    <w:rsid w:val="00C3762F"/>
    <w:rsid w:val="00C37657"/>
    <w:rsid w:val="00C376D8"/>
    <w:rsid w:val="00C37700"/>
    <w:rsid w:val="00C377CF"/>
    <w:rsid w:val="00C3786C"/>
    <w:rsid w:val="00C378CD"/>
    <w:rsid w:val="00C37986"/>
    <w:rsid w:val="00C379D9"/>
    <w:rsid w:val="00C379E2"/>
    <w:rsid w:val="00C37DA9"/>
    <w:rsid w:val="00C37FBF"/>
    <w:rsid w:val="00C37FED"/>
    <w:rsid w:val="00C40058"/>
    <w:rsid w:val="00C40156"/>
    <w:rsid w:val="00C40175"/>
    <w:rsid w:val="00C403D2"/>
    <w:rsid w:val="00C4044E"/>
    <w:rsid w:val="00C4046B"/>
    <w:rsid w:val="00C40548"/>
    <w:rsid w:val="00C40692"/>
    <w:rsid w:val="00C40712"/>
    <w:rsid w:val="00C4071C"/>
    <w:rsid w:val="00C4076F"/>
    <w:rsid w:val="00C40819"/>
    <w:rsid w:val="00C408FA"/>
    <w:rsid w:val="00C409B4"/>
    <w:rsid w:val="00C409FA"/>
    <w:rsid w:val="00C40A6F"/>
    <w:rsid w:val="00C40AD1"/>
    <w:rsid w:val="00C40D58"/>
    <w:rsid w:val="00C40D9F"/>
    <w:rsid w:val="00C40E47"/>
    <w:rsid w:val="00C40E58"/>
    <w:rsid w:val="00C40E6E"/>
    <w:rsid w:val="00C40EB3"/>
    <w:rsid w:val="00C40F28"/>
    <w:rsid w:val="00C41047"/>
    <w:rsid w:val="00C4104C"/>
    <w:rsid w:val="00C4109B"/>
    <w:rsid w:val="00C410AC"/>
    <w:rsid w:val="00C41220"/>
    <w:rsid w:val="00C41239"/>
    <w:rsid w:val="00C41286"/>
    <w:rsid w:val="00C41416"/>
    <w:rsid w:val="00C4148B"/>
    <w:rsid w:val="00C414B4"/>
    <w:rsid w:val="00C4160A"/>
    <w:rsid w:val="00C41622"/>
    <w:rsid w:val="00C4163A"/>
    <w:rsid w:val="00C4180D"/>
    <w:rsid w:val="00C418B2"/>
    <w:rsid w:val="00C41A25"/>
    <w:rsid w:val="00C41AE3"/>
    <w:rsid w:val="00C41B51"/>
    <w:rsid w:val="00C41C0B"/>
    <w:rsid w:val="00C41C0F"/>
    <w:rsid w:val="00C41C72"/>
    <w:rsid w:val="00C41F09"/>
    <w:rsid w:val="00C4225C"/>
    <w:rsid w:val="00C422BF"/>
    <w:rsid w:val="00C42393"/>
    <w:rsid w:val="00C424C4"/>
    <w:rsid w:val="00C42661"/>
    <w:rsid w:val="00C42819"/>
    <w:rsid w:val="00C42B43"/>
    <w:rsid w:val="00C42B71"/>
    <w:rsid w:val="00C42BB1"/>
    <w:rsid w:val="00C42BE7"/>
    <w:rsid w:val="00C42BFE"/>
    <w:rsid w:val="00C42C34"/>
    <w:rsid w:val="00C42CFC"/>
    <w:rsid w:val="00C42DAF"/>
    <w:rsid w:val="00C42DC2"/>
    <w:rsid w:val="00C42DCF"/>
    <w:rsid w:val="00C42DDD"/>
    <w:rsid w:val="00C42E13"/>
    <w:rsid w:val="00C42EED"/>
    <w:rsid w:val="00C42F4B"/>
    <w:rsid w:val="00C42FBF"/>
    <w:rsid w:val="00C430F4"/>
    <w:rsid w:val="00C431CA"/>
    <w:rsid w:val="00C43223"/>
    <w:rsid w:val="00C4339C"/>
    <w:rsid w:val="00C4345C"/>
    <w:rsid w:val="00C434AD"/>
    <w:rsid w:val="00C43550"/>
    <w:rsid w:val="00C43643"/>
    <w:rsid w:val="00C43649"/>
    <w:rsid w:val="00C43674"/>
    <w:rsid w:val="00C43695"/>
    <w:rsid w:val="00C436A2"/>
    <w:rsid w:val="00C437F6"/>
    <w:rsid w:val="00C438AF"/>
    <w:rsid w:val="00C43951"/>
    <w:rsid w:val="00C439F3"/>
    <w:rsid w:val="00C43B46"/>
    <w:rsid w:val="00C43B79"/>
    <w:rsid w:val="00C43C29"/>
    <w:rsid w:val="00C43C4C"/>
    <w:rsid w:val="00C43C80"/>
    <w:rsid w:val="00C43FDC"/>
    <w:rsid w:val="00C44002"/>
    <w:rsid w:val="00C44044"/>
    <w:rsid w:val="00C44055"/>
    <w:rsid w:val="00C44077"/>
    <w:rsid w:val="00C440D1"/>
    <w:rsid w:val="00C44170"/>
    <w:rsid w:val="00C442E5"/>
    <w:rsid w:val="00C442ED"/>
    <w:rsid w:val="00C44334"/>
    <w:rsid w:val="00C44432"/>
    <w:rsid w:val="00C445D8"/>
    <w:rsid w:val="00C446D6"/>
    <w:rsid w:val="00C4474E"/>
    <w:rsid w:val="00C4477C"/>
    <w:rsid w:val="00C4478A"/>
    <w:rsid w:val="00C44903"/>
    <w:rsid w:val="00C44AE2"/>
    <w:rsid w:val="00C44B14"/>
    <w:rsid w:val="00C44BFC"/>
    <w:rsid w:val="00C44C1F"/>
    <w:rsid w:val="00C44CA5"/>
    <w:rsid w:val="00C44D9B"/>
    <w:rsid w:val="00C44E83"/>
    <w:rsid w:val="00C4503F"/>
    <w:rsid w:val="00C450F0"/>
    <w:rsid w:val="00C451A7"/>
    <w:rsid w:val="00C451E9"/>
    <w:rsid w:val="00C45274"/>
    <w:rsid w:val="00C45278"/>
    <w:rsid w:val="00C45302"/>
    <w:rsid w:val="00C453AC"/>
    <w:rsid w:val="00C4555A"/>
    <w:rsid w:val="00C455E1"/>
    <w:rsid w:val="00C455F1"/>
    <w:rsid w:val="00C45636"/>
    <w:rsid w:val="00C4568F"/>
    <w:rsid w:val="00C45700"/>
    <w:rsid w:val="00C45772"/>
    <w:rsid w:val="00C45813"/>
    <w:rsid w:val="00C45826"/>
    <w:rsid w:val="00C45856"/>
    <w:rsid w:val="00C4594B"/>
    <w:rsid w:val="00C459C0"/>
    <w:rsid w:val="00C459C1"/>
    <w:rsid w:val="00C459CC"/>
    <w:rsid w:val="00C45A28"/>
    <w:rsid w:val="00C45A81"/>
    <w:rsid w:val="00C45B25"/>
    <w:rsid w:val="00C45B38"/>
    <w:rsid w:val="00C45CBA"/>
    <w:rsid w:val="00C45D82"/>
    <w:rsid w:val="00C45E40"/>
    <w:rsid w:val="00C45FE0"/>
    <w:rsid w:val="00C46019"/>
    <w:rsid w:val="00C46058"/>
    <w:rsid w:val="00C46092"/>
    <w:rsid w:val="00C46185"/>
    <w:rsid w:val="00C4619F"/>
    <w:rsid w:val="00C461C4"/>
    <w:rsid w:val="00C461F6"/>
    <w:rsid w:val="00C46317"/>
    <w:rsid w:val="00C46323"/>
    <w:rsid w:val="00C46381"/>
    <w:rsid w:val="00C463B2"/>
    <w:rsid w:val="00C463CD"/>
    <w:rsid w:val="00C464BA"/>
    <w:rsid w:val="00C464E4"/>
    <w:rsid w:val="00C4653F"/>
    <w:rsid w:val="00C46567"/>
    <w:rsid w:val="00C46985"/>
    <w:rsid w:val="00C46A77"/>
    <w:rsid w:val="00C46B4E"/>
    <w:rsid w:val="00C46C12"/>
    <w:rsid w:val="00C46E0C"/>
    <w:rsid w:val="00C46E5C"/>
    <w:rsid w:val="00C46E70"/>
    <w:rsid w:val="00C46F19"/>
    <w:rsid w:val="00C46F85"/>
    <w:rsid w:val="00C47034"/>
    <w:rsid w:val="00C4706C"/>
    <w:rsid w:val="00C4708A"/>
    <w:rsid w:val="00C470B1"/>
    <w:rsid w:val="00C47128"/>
    <w:rsid w:val="00C47164"/>
    <w:rsid w:val="00C473C9"/>
    <w:rsid w:val="00C47521"/>
    <w:rsid w:val="00C475BF"/>
    <w:rsid w:val="00C476EE"/>
    <w:rsid w:val="00C4778F"/>
    <w:rsid w:val="00C47879"/>
    <w:rsid w:val="00C47924"/>
    <w:rsid w:val="00C4799D"/>
    <w:rsid w:val="00C47A32"/>
    <w:rsid w:val="00C47AA8"/>
    <w:rsid w:val="00C47B48"/>
    <w:rsid w:val="00C47B84"/>
    <w:rsid w:val="00C47BC4"/>
    <w:rsid w:val="00C47C92"/>
    <w:rsid w:val="00C47CDB"/>
    <w:rsid w:val="00C47D11"/>
    <w:rsid w:val="00C47D96"/>
    <w:rsid w:val="00C47DC5"/>
    <w:rsid w:val="00C47EB5"/>
    <w:rsid w:val="00C47F40"/>
    <w:rsid w:val="00C47F88"/>
    <w:rsid w:val="00C47F8A"/>
    <w:rsid w:val="00C47F93"/>
    <w:rsid w:val="00C48101"/>
    <w:rsid w:val="00C5004E"/>
    <w:rsid w:val="00C500E4"/>
    <w:rsid w:val="00C50227"/>
    <w:rsid w:val="00C50302"/>
    <w:rsid w:val="00C505F6"/>
    <w:rsid w:val="00C50665"/>
    <w:rsid w:val="00C50694"/>
    <w:rsid w:val="00C506B0"/>
    <w:rsid w:val="00C506E8"/>
    <w:rsid w:val="00C50772"/>
    <w:rsid w:val="00C5088D"/>
    <w:rsid w:val="00C508B8"/>
    <w:rsid w:val="00C50924"/>
    <w:rsid w:val="00C50974"/>
    <w:rsid w:val="00C5099E"/>
    <w:rsid w:val="00C50A91"/>
    <w:rsid w:val="00C50A99"/>
    <w:rsid w:val="00C50C03"/>
    <w:rsid w:val="00C50CAF"/>
    <w:rsid w:val="00C50D1A"/>
    <w:rsid w:val="00C50E54"/>
    <w:rsid w:val="00C50EA5"/>
    <w:rsid w:val="00C50FFB"/>
    <w:rsid w:val="00C51020"/>
    <w:rsid w:val="00C5116A"/>
    <w:rsid w:val="00C512BB"/>
    <w:rsid w:val="00C51458"/>
    <w:rsid w:val="00C514C5"/>
    <w:rsid w:val="00C51541"/>
    <w:rsid w:val="00C5158C"/>
    <w:rsid w:val="00C515FA"/>
    <w:rsid w:val="00C51669"/>
    <w:rsid w:val="00C516C2"/>
    <w:rsid w:val="00C5170A"/>
    <w:rsid w:val="00C5178D"/>
    <w:rsid w:val="00C517BE"/>
    <w:rsid w:val="00C51854"/>
    <w:rsid w:val="00C518A5"/>
    <w:rsid w:val="00C518A6"/>
    <w:rsid w:val="00C51928"/>
    <w:rsid w:val="00C5199B"/>
    <w:rsid w:val="00C51A3E"/>
    <w:rsid w:val="00C51C15"/>
    <w:rsid w:val="00C51C67"/>
    <w:rsid w:val="00C51D38"/>
    <w:rsid w:val="00C51D63"/>
    <w:rsid w:val="00C51F12"/>
    <w:rsid w:val="00C51F86"/>
    <w:rsid w:val="00C51FB2"/>
    <w:rsid w:val="00C520D7"/>
    <w:rsid w:val="00C520FD"/>
    <w:rsid w:val="00C52130"/>
    <w:rsid w:val="00C52196"/>
    <w:rsid w:val="00C521BA"/>
    <w:rsid w:val="00C52234"/>
    <w:rsid w:val="00C522F8"/>
    <w:rsid w:val="00C522FF"/>
    <w:rsid w:val="00C5242B"/>
    <w:rsid w:val="00C52444"/>
    <w:rsid w:val="00C52449"/>
    <w:rsid w:val="00C52575"/>
    <w:rsid w:val="00C52688"/>
    <w:rsid w:val="00C52691"/>
    <w:rsid w:val="00C526F6"/>
    <w:rsid w:val="00C52744"/>
    <w:rsid w:val="00C52769"/>
    <w:rsid w:val="00C52804"/>
    <w:rsid w:val="00C528BC"/>
    <w:rsid w:val="00C528BD"/>
    <w:rsid w:val="00C5295D"/>
    <w:rsid w:val="00C529A7"/>
    <w:rsid w:val="00C52B16"/>
    <w:rsid w:val="00C52BB1"/>
    <w:rsid w:val="00C52BBB"/>
    <w:rsid w:val="00C52BCE"/>
    <w:rsid w:val="00C52CC7"/>
    <w:rsid w:val="00C52CF9"/>
    <w:rsid w:val="00C52D0F"/>
    <w:rsid w:val="00C52D19"/>
    <w:rsid w:val="00C52D27"/>
    <w:rsid w:val="00C52DB5"/>
    <w:rsid w:val="00C52E6D"/>
    <w:rsid w:val="00C52EAC"/>
    <w:rsid w:val="00C52EF7"/>
    <w:rsid w:val="00C530B8"/>
    <w:rsid w:val="00C53176"/>
    <w:rsid w:val="00C531AA"/>
    <w:rsid w:val="00C531B1"/>
    <w:rsid w:val="00C531F2"/>
    <w:rsid w:val="00C53291"/>
    <w:rsid w:val="00C53301"/>
    <w:rsid w:val="00C53379"/>
    <w:rsid w:val="00C535DC"/>
    <w:rsid w:val="00C53815"/>
    <w:rsid w:val="00C5385D"/>
    <w:rsid w:val="00C53954"/>
    <w:rsid w:val="00C5398D"/>
    <w:rsid w:val="00C53A30"/>
    <w:rsid w:val="00C53A42"/>
    <w:rsid w:val="00C53A5D"/>
    <w:rsid w:val="00C53B6A"/>
    <w:rsid w:val="00C53B80"/>
    <w:rsid w:val="00C53C8A"/>
    <w:rsid w:val="00C53CA2"/>
    <w:rsid w:val="00C53D3D"/>
    <w:rsid w:val="00C53D90"/>
    <w:rsid w:val="00C53E02"/>
    <w:rsid w:val="00C53E47"/>
    <w:rsid w:val="00C53E52"/>
    <w:rsid w:val="00C53E8E"/>
    <w:rsid w:val="00C53EF4"/>
    <w:rsid w:val="00C53FB5"/>
    <w:rsid w:val="00C53FF0"/>
    <w:rsid w:val="00C54200"/>
    <w:rsid w:val="00C5425F"/>
    <w:rsid w:val="00C5429C"/>
    <w:rsid w:val="00C542E0"/>
    <w:rsid w:val="00C54359"/>
    <w:rsid w:val="00C54363"/>
    <w:rsid w:val="00C5436D"/>
    <w:rsid w:val="00C54373"/>
    <w:rsid w:val="00C54384"/>
    <w:rsid w:val="00C54411"/>
    <w:rsid w:val="00C545A8"/>
    <w:rsid w:val="00C54611"/>
    <w:rsid w:val="00C5463E"/>
    <w:rsid w:val="00C5464E"/>
    <w:rsid w:val="00C5466E"/>
    <w:rsid w:val="00C546BA"/>
    <w:rsid w:val="00C546E8"/>
    <w:rsid w:val="00C5472D"/>
    <w:rsid w:val="00C548ED"/>
    <w:rsid w:val="00C54919"/>
    <w:rsid w:val="00C54B76"/>
    <w:rsid w:val="00C54B8B"/>
    <w:rsid w:val="00C54C62"/>
    <w:rsid w:val="00C54C6B"/>
    <w:rsid w:val="00C54C7F"/>
    <w:rsid w:val="00C54D96"/>
    <w:rsid w:val="00C54E0C"/>
    <w:rsid w:val="00C54EC5"/>
    <w:rsid w:val="00C54FBF"/>
    <w:rsid w:val="00C54FD7"/>
    <w:rsid w:val="00C54FF2"/>
    <w:rsid w:val="00C5505D"/>
    <w:rsid w:val="00C551EC"/>
    <w:rsid w:val="00C5524F"/>
    <w:rsid w:val="00C5526A"/>
    <w:rsid w:val="00C55299"/>
    <w:rsid w:val="00C55302"/>
    <w:rsid w:val="00C55425"/>
    <w:rsid w:val="00C5542D"/>
    <w:rsid w:val="00C55434"/>
    <w:rsid w:val="00C554E0"/>
    <w:rsid w:val="00C555A6"/>
    <w:rsid w:val="00C55605"/>
    <w:rsid w:val="00C5566E"/>
    <w:rsid w:val="00C55802"/>
    <w:rsid w:val="00C558B7"/>
    <w:rsid w:val="00C55A9E"/>
    <w:rsid w:val="00C55AC7"/>
    <w:rsid w:val="00C55B1D"/>
    <w:rsid w:val="00C55BEB"/>
    <w:rsid w:val="00C55C0B"/>
    <w:rsid w:val="00C55C8B"/>
    <w:rsid w:val="00C55D5B"/>
    <w:rsid w:val="00C55E2E"/>
    <w:rsid w:val="00C55E3A"/>
    <w:rsid w:val="00C55E6B"/>
    <w:rsid w:val="00C55E90"/>
    <w:rsid w:val="00C56018"/>
    <w:rsid w:val="00C56043"/>
    <w:rsid w:val="00C5611A"/>
    <w:rsid w:val="00C56179"/>
    <w:rsid w:val="00C56193"/>
    <w:rsid w:val="00C562C4"/>
    <w:rsid w:val="00C562F4"/>
    <w:rsid w:val="00C563B3"/>
    <w:rsid w:val="00C563BB"/>
    <w:rsid w:val="00C5644E"/>
    <w:rsid w:val="00C56544"/>
    <w:rsid w:val="00C565BE"/>
    <w:rsid w:val="00C565E1"/>
    <w:rsid w:val="00C566EE"/>
    <w:rsid w:val="00C5676F"/>
    <w:rsid w:val="00C5678E"/>
    <w:rsid w:val="00C56808"/>
    <w:rsid w:val="00C5695F"/>
    <w:rsid w:val="00C56963"/>
    <w:rsid w:val="00C56B0C"/>
    <w:rsid w:val="00C56B12"/>
    <w:rsid w:val="00C56F00"/>
    <w:rsid w:val="00C56F85"/>
    <w:rsid w:val="00C56F86"/>
    <w:rsid w:val="00C570D4"/>
    <w:rsid w:val="00C5714E"/>
    <w:rsid w:val="00C5716B"/>
    <w:rsid w:val="00C57293"/>
    <w:rsid w:val="00C573D0"/>
    <w:rsid w:val="00C57408"/>
    <w:rsid w:val="00C57422"/>
    <w:rsid w:val="00C57444"/>
    <w:rsid w:val="00C57470"/>
    <w:rsid w:val="00C57486"/>
    <w:rsid w:val="00C575D0"/>
    <w:rsid w:val="00C577CE"/>
    <w:rsid w:val="00C57866"/>
    <w:rsid w:val="00C5789A"/>
    <w:rsid w:val="00C579A6"/>
    <w:rsid w:val="00C579F7"/>
    <w:rsid w:val="00C57A1B"/>
    <w:rsid w:val="00C57AF9"/>
    <w:rsid w:val="00C57B45"/>
    <w:rsid w:val="00C57BE0"/>
    <w:rsid w:val="00C57C1F"/>
    <w:rsid w:val="00C57C2F"/>
    <w:rsid w:val="00C57DD5"/>
    <w:rsid w:val="00C57F8F"/>
    <w:rsid w:val="00C5D22B"/>
    <w:rsid w:val="00C6006E"/>
    <w:rsid w:val="00C60096"/>
    <w:rsid w:val="00C6009D"/>
    <w:rsid w:val="00C6036A"/>
    <w:rsid w:val="00C6036C"/>
    <w:rsid w:val="00C60413"/>
    <w:rsid w:val="00C6047F"/>
    <w:rsid w:val="00C6057F"/>
    <w:rsid w:val="00C605BC"/>
    <w:rsid w:val="00C6060D"/>
    <w:rsid w:val="00C60630"/>
    <w:rsid w:val="00C606D3"/>
    <w:rsid w:val="00C607DC"/>
    <w:rsid w:val="00C6087C"/>
    <w:rsid w:val="00C6088C"/>
    <w:rsid w:val="00C60900"/>
    <w:rsid w:val="00C609CA"/>
    <w:rsid w:val="00C60B02"/>
    <w:rsid w:val="00C60B16"/>
    <w:rsid w:val="00C60B2F"/>
    <w:rsid w:val="00C60BAC"/>
    <w:rsid w:val="00C60BDB"/>
    <w:rsid w:val="00C60C60"/>
    <w:rsid w:val="00C60D79"/>
    <w:rsid w:val="00C60E35"/>
    <w:rsid w:val="00C60EFB"/>
    <w:rsid w:val="00C60F04"/>
    <w:rsid w:val="00C60F5D"/>
    <w:rsid w:val="00C610C9"/>
    <w:rsid w:val="00C6117F"/>
    <w:rsid w:val="00C61198"/>
    <w:rsid w:val="00C61206"/>
    <w:rsid w:val="00C613EB"/>
    <w:rsid w:val="00C614CD"/>
    <w:rsid w:val="00C61518"/>
    <w:rsid w:val="00C61526"/>
    <w:rsid w:val="00C6157E"/>
    <w:rsid w:val="00C616BB"/>
    <w:rsid w:val="00C616DB"/>
    <w:rsid w:val="00C616F8"/>
    <w:rsid w:val="00C6172D"/>
    <w:rsid w:val="00C617C5"/>
    <w:rsid w:val="00C619EE"/>
    <w:rsid w:val="00C61A4A"/>
    <w:rsid w:val="00C61AAC"/>
    <w:rsid w:val="00C61AB6"/>
    <w:rsid w:val="00C61ADB"/>
    <w:rsid w:val="00C61B32"/>
    <w:rsid w:val="00C61BFE"/>
    <w:rsid w:val="00C61BFF"/>
    <w:rsid w:val="00C61D15"/>
    <w:rsid w:val="00C61D9D"/>
    <w:rsid w:val="00C61DCE"/>
    <w:rsid w:val="00C61E47"/>
    <w:rsid w:val="00C61FA4"/>
    <w:rsid w:val="00C61FC4"/>
    <w:rsid w:val="00C62046"/>
    <w:rsid w:val="00C62098"/>
    <w:rsid w:val="00C6228E"/>
    <w:rsid w:val="00C6229B"/>
    <w:rsid w:val="00C62371"/>
    <w:rsid w:val="00C6238A"/>
    <w:rsid w:val="00C6239E"/>
    <w:rsid w:val="00C623F0"/>
    <w:rsid w:val="00C62461"/>
    <w:rsid w:val="00C62620"/>
    <w:rsid w:val="00C62621"/>
    <w:rsid w:val="00C62679"/>
    <w:rsid w:val="00C627B1"/>
    <w:rsid w:val="00C62819"/>
    <w:rsid w:val="00C62AE1"/>
    <w:rsid w:val="00C62B10"/>
    <w:rsid w:val="00C62B5A"/>
    <w:rsid w:val="00C62C35"/>
    <w:rsid w:val="00C62CB5"/>
    <w:rsid w:val="00C62D10"/>
    <w:rsid w:val="00C62D6A"/>
    <w:rsid w:val="00C62D85"/>
    <w:rsid w:val="00C62E0B"/>
    <w:rsid w:val="00C62E15"/>
    <w:rsid w:val="00C62F2C"/>
    <w:rsid w:val="00C6300F"/>
    <w:rsid w:val="00C63076"/>
    <w:rsid w:val="00C63132"/>
    <w:rsid w:val="00C631DC"/>
    <w:rsid w:val="00C632D1"/>
    <w:rsid w:val="00C632D9"/>
    <w:rsid w:val="00C63417"/>
    <w:rsid w:val="00C63434"/>
    <w:rsid w:val="00C6344A"/>
    <w:rsid w:val="00C6346E"/>
    <w:rsid w:val="00C634D2"/>
    <w:rsid w:val="00C635D3"/>
    <w:rsid w:val="00C6365E"/>
    <w:rsid w:val="00C63714"/>
    <w:rsid w:val="00C6381B"/>
    <w:rsid w:val="00C6381F"/>
    <w:rsid w:val="00C63837"/>
    <w:rsid w:val="00C63886"/>
    <w:rsid w:val="00C639A0"/>
    <w:rsid w:val="00C639FF"/>
    <w:rsid w:val="00C63A79"/>
    <w:rsid w:val="00C63BCB"/>
    <w:rsid w:val="00C63D10"/>
    <w:rsid w:val="00C63D35"/>
    <w:rsid w:val="00C63D3C"/>
    <w:rsid w:val="00C63D9E"/>
    <w:rsid w:val="00C63DDC"/>
    <w:rsid w:val="00C63F3D"/>
    <w:rsid w:val="00C63F76"/>
    <w:rsid w:val="00C64111"/>
    <w:rsid w:val="00C64244"/>
    <w:rsid w:val="00C64266"/>
    <w:rsid w:val="00C64277"/>
    <w:rsid w:val="00C64349"/>
    <w:rsid w:val="00C64358"/>
    <w:rsid w:val="00C6446D"/>
    <w:rsid w:val="00C644AF"/>
    <w:rsid w:val="00C644B2"/>
    <w:rsid w:val="00C6465E"/>
    <w:rsid w:val="00C6467D"/>
    <w:rsid w:val="00C64859"/>
    <w:rsid w:val="00C649CE"/>
    <w:rsid w:val="00C64A29"/>
    <w:rsid w:val="00C64A2E"/>
    <w:rsid w:val="00C64A58"/>
    <w:rsid w:val="00C64A7D"/>
    <w:rsid w:val="00C64A8E"/>
    <w:rsid w:val="00C64B91"/>
    <w:rsid w:val="00C64E94"/>
    <w:rsid w:val="00C64EC0"/>
    <w:rsid w:val="00C65026"/>
    <w:rsid w:val="00C6514A"/>
    <w:rsid w:val="00C65238"/>
    <w:rsid w:val="00C65245"/>
    <w:rsid w:val="00C652CB"/>
    <w:rsid w:val="00C65304"/>
    <w:rsid w:val="00C653C1"/>
    <w:rsid w:val="00C653EB"/>
    <w:rsid w:val="00C65417"/>
    <w:rsid w:val="00C65431"/>
    <w:rsid w:val="00C654E4"/>
    <w:rsid w:val="00C65531"/>
    <w:rsid w:val="00C65543"/>
    <w:rsid w:val="00C65571"/>
    <w:rsid w:val="00C656C5"/>
    <w:rsid w:val="00C65719"/>
    <w:rsid w:val="00C65731"/>
    <w:rsid w:val="00C65793"/>
    <w:rsid w:val="00C657DD"/>
    <w:rsid w:val="00C6587A"/>
    <w:rsid w:val="00C658DF"/>
    <w:rsid w:val="00C65AB0"/>
    <w:rsid w:val="00C65B27"/>
    <w:rsid w:val="00C65B60"/>
    <w:rsid w:val="00C65B78"/>
    <w:rsid w:val="00C65D1F"/>
    <w:rsid w:val="00C65E69"/>
    <w:rsid w:val="00C65F38"/>
    <w:rsid w:val="00C66057"/>
    <w:rsid w:val="00C66095"/>
    <w:rsid w:val="00C66098"/>
    <w:rsid w:val="00C662BB"/>
    <w:rsid w:val="00C66396"/>
    <w:rsid w:val="00C66512"/>
    <w:rsid w:val="00C665C2"/>
    <w:rsid w:val="00C666C6"/>
    <w:rsid w:val="00C666ED"/>
    <w:rsid w:val="00C66761"/>
    <w:rsid w:val="00C6676F"/>
    <w:rsid w:val="00C66846"/>
    <w:rsid w:val="00C6696A"/>
    <w:rsid w:val="00C66990"/>
    <w:rsid w:val="00C669D2"/>
    <w:rsid w:val="00C669EB"/>
    <w:rsid w:val="00C66B54"/>
    <w:rsid w:val="00C66B5D"/>
    <w:rsid w:val="00C66C98"/>
    <w:rsid w:val="00C66C9C"/>
    <w:rsid w:val="00C66D73"/>
    <w:rsid w:val="00C66E54"/>
    <w:rsid w:val="00C66E80"/>
    <w:rsid w:val="00C66E87"/>
    <w:rsid w:val="00C66EFE"/>
    <w:rsid w:val="00C66F0D"/>
    <w:rsid w:val="00C66F3F"/>
    <w:rsid w:val="00C66F73"/>
    <w:rsid w:val="00C67005"/>
    <w:rsid w:val="00C67092"/>
    <w:rsid w:val="00C670B4"/>
    <w:rsid w:val="00C671EB"/>
    <w:rsid w:val="00C671FC"/>
    <w:rsid w:val="00C67200"/>
    <w:rsid w:val="00C67427"/>
    <w:rsid w:val="00C674C5"/>
    <w:rsid w:val="00C675F4"/>
    <w:rsid w:val="00C6764D"/>
    <w:rsid w:val="00C67756"/>
    <w:rsid w:val="00C677EE"/>
    <w:rsid w:val="00C67856"/>
    <w:rsid w:val="00C678AE"/>
    <w:rsid w:val="00C678FC"/>
    <w:rsid w:val="00C67940"/>
    <w:rsid w:val="00C67AC6"/>
    <w:rsid w:val="00C67BD3"/>
    <w:rsid w:val="00C67BFB"/>
    <w:rsid w:val="00C67C5C"/>
    <w:rsid w:val="00C67C8B"/>
    <w:rsid w:val="00C67CC5"/>
    <w:rsid w:val="00C67D8A"/>
    <w:rsid w:val="00C67DFF"/>
    <w:rsid w:val="00C67E83"/>
    <w:rsid w:val="00C67FF8"/>
    <w:rsid w:val="00C7002E"/>
    <w:rsid w:val="00C70030"/>
    <w:rsid w:val="00C700F3"/>
    <w:rsid w:val="00C701B0"/>
    <w:rsid w:val="00C701C9"/>
    <w:rsid w:val="00C7034D"/>
    <w:rsid w:val="00C70463"/>
    <w:rsid w:val="00C7053F"/>
    <w:rsid w:val="00C70550"/>
    <w:rsid w:val="00C705BF"/>
    <w:rsid w:val="00C706BD"/>
    <w:rsid w:val="00C707BB"/>
    <w:rsid w:val="00C7084C"/>
    <w:rsid w:val="00C70938"/>
    <w:rsid w:val="00C70991"/>
    <w:rsid w:val="00C70A01"/>
    <w:rsid w:val="00C70A93"/>
    <w:rsid w:val="00C70D19"/>
    <w:rsid w:val="00C70D44"/>
    <w:rsid w:val="00C70DBC"/>
    <w:rsid w:val="00C70DC0"/>
    <w:rsid w:val="00C70E3B"/>
    <w:rsid w:val="00C70F41"/>
    <w:rsid w:val="00C70F69"/>
    <w:rsid w:val="00C71006"/>
    <w:rsid w:val="00C7112F"/>
    <w:rsid w:val="00C71262"/>
    <w:rsid w:val="00C71290"/>
    <w:rsid w:val="00C71324"/>
    <w:rsid w:val="00C71341"/>
    <w:rsid w:val="00C71538"/>
    <w:rsid w:val="00C71654"/>
    <w:rsid w:val="00C717D7"/>
    <w:rsid w:val="00C71818"/>
    <w:rsid w:val="00C71866"/>
    <w:rsid w:val="00C71868"/>
    <w:rsid w:val="00C71908"/>
    <w:rsid w:val="00C719B9"/>
    <w:rsid w:val="00C719C0"/>
    <w:rsid w:val="00C71B0F"/>
    <w:rsid w:val="00C71B86"/>
    <w:rsid w:val="00C71C1A"/>
    <w:rsid w:val="00C71C40"/>
    <w:rsid w:val="00C71D59"/>
    <w:rsid w:val="00C71ED8"/>
    <w:rsid w:val="00C71F08"/>
    <w:rsid w:val="00C720E5"/>
    <w:rsid w:val="00C721BF"/>
    <w:rsid w:val="00C721E2"/>
    <w:rsid w:val="00C721ED"/>
    <w:rsid w:val="00C7232C"/>
    <w:rsid w:val="00C723E0"/>
    <w:rsid w:val="00C724B4"/>
    <w:rsid w:val="00C7251E"/>
    <w:rsid w:val="00C72525"/>
    <w:rsid w:val="00C7254B"/>
    <w:rsid w:val="00C72579"/>
    <w:rsid w:val="00C725FB"/>
    <w:rsid w:val="00C72768"/>
    <w:rsid w:val="00C72841"/>
    <w:rsid w:val="00C7289A"/>
    <w:rsid w:val="00C72900"/>
    <w:rsid w:val="00C7295A"/>
    <w:rsid w:val="00C729A1"/>
    <w:rsid w:val="00C72B7E"/>
    <w:rsid w:val="00C72C0E"/>
    <w:rsid w:val="00C72CE7"/>
    <w:rsid w:val="00C72D17"/>
    <w:rsid w:val="00C72D32"/>
    <w:rsid w:val="00C72D3F"/>
    <w:rsid w:val="00C72D64"/>
    <w:rsid w:val="00C72DEB"/>
    <w:rsid w:val="00C72E5A"/>
    <w:rsid w:val="00C72FDA"/>
    <w:rsid w:val="00C730BE"/>
    <w:rsid w:val="00C7313F"/>
    <w:rsid w:val="00C73208"/>
    <w:rsid w:val="00C7325F"/>
    <w:rsid w:val="00C73292"/>
    <w:rsid w:val="00C73320"/>
    <w:rsid w:val="00C733AB"/>
    <w:rsid w:val="00C734D6"/>
    <w:rsid w:val="00C735D5"/>
    <w:rsid w:val="00C735D6"/>
    <w:rsid w:val="00C736B1"/>
    <w:rsid w:val="00C736EE"/>
    <w:rsid w:val="00C73715"/>
    <w:rsid w:val="00C73886"/>
    <w:rsid w:val="00C73AD6"/>
    <w:rsid w:val="00C73BBA"/>
    <w:rsid w:val="00C73C35"/>
    <w:rsid w:val="00C73C50"/>
    <w:rsid w:val="00C73E3D"/>
    <w:rsid w:val="00C73EB6"/>
    <w:rsid w:val="00C73FB9"/>
    <w:rsid w:val="00C73FDE"/>
    <w:rsid w:val="00C74000"/>
    <w:rsid w:val="00C74012"/>
    <w:rsid w:val="00C74079"/>
    <w:rsid w:val="00C74266"/>
    <w:rsid w:val="00C742D5"/>
    <w:rsid w:val="00C74326"/>
    <w:rsid w:val="00C74437"/>
    <w:rsid w:val="00C74465"/>
    <w:rsid w:val="00C744D4"/>
    <w:rsid w:val="00C74506"/>
    <w:rsid w:val="00C74607"/>
    <w:rsid w:val="00C746D1"/>
    <w:rsid w:val="00C74828"/>
    <w:rsid w:val="00C74AA1"/>
    <w:rsid w:val="00C74AC4"/>
    <w:rsid w:val="00C74B26"/>
    <w:rsid w:val="00C74B31"/>
    <w:rsid w:val="00C74B40"/>
    <w:rsid w:val="00C74B49"/>
    <w:rsid w:val="00C74BD7"/>
    <w:rsid w:val="00C74C6E"/>
    <w:rsid w:val="00C74D78"/>
    <w:rsid w:val="00C74DE2"/>
    <w:rsid w:val="00C74E32"/>
    <w:rsid w:val="00C74E54"/>
    <w:rsid w:val="00C74F56"/>
    <w:rsid w:val="00C74FBF"/>
    <w:rsid w:val="00C750F1"/>
    <w:rsid w:val="00C75147"/>
    <w:rsid w:val="00C7526D"/>
    <w:rsid w:val="00C75277"/>
    <w:rsid w:val="00C753A9"/>
    <w:rsid w:val="00C754C2"/>
    <w:rsid w:val="00C7562B"/>
    <w:rsid w:val="00C7574C"/>
    <w:rsid w:val="00C75759"/>
    <w:rsid w:val="00C757CC"/>
    <w:rsid w:val="00C75907"/>
    <w:rsid w:val="00C75976"/>
    <w:rsid w:val="00C7598A"/>
    <w:rsid w:val="00C75B58"/>
    <w:rsid w:val="00C75C9E"/>
    <w:rsid w:val="00C75D3D"/>
    <w:rsid w:val="00C75DDE"/>
    <w:rsid w:val="00C75E06"/>
    <w:rsid w:val="00C75F63"/>
    <w:rsid w:val="00C75FF9"/>
    <w:rsid w:val="00C76108"/>
    <w:rsid w:val="00C76154"/>
    <w:rsid w:val="00C762C0"/>
    <w:rsid w:val="00C7631D"/>
    <w:rsid w:val="00C76340"/>
    <w:rsid w:val="00C76557"/>
    <w:rsid w:val="00C76682"/>
    <w:rsid w:val="00C766DA"/>
    <w:rsid w:val="00C76769"/>
    <w:rsid w:val="00C76782"/>
    <w:rsid w:val="00C76798"/>
    <w:rsid w:val="00C767CE"/>
    <w:rsid w:val="00C76A5A"/>
    <w:rsid w:val="00C76ABF"/>
    <w:rsid w:val="00C76AEF"/>
    <w:rsid w:val="00C76B0E"/>
    <w:rsid w:val="00C76BFF"/>
    <w:rsid w:val="00C76D26"/>
    <w:rsid w:val="00C76D3E"/>
    <w:rsid w:val="00C76DDA"/>
    <w:rsid w:val="00C76FAF"/>
    <w:rsid w:val="00C77041"/>
    <w:rsid w:val="00C77053"/>
    <w:rsid w:val="00C770ED"/>
    <w:rsid w:val="00C77138"/>
    <w:rsid w:val="00C771C2"/>
    <w:rsid w:val="00C77206"/>
    <w:rsid w:val="00C7727C"/>
    <w:rsid w:val="00C772EF"/>
    <w:rsid w:val="00C77300"/>
    <w:rsid w:val="00C77340"/>
    <w:rsid w:val="00C773BD"/>
    <w:rsid w:val="00C7740A"/>
    <w:rsid w:val="00C77529"/>
    <w:rsid w:val="00C7765C"/>
    <w:rsid w:val="00C776BF"/>
    <w:rsid w:val="00C7770F"/>
    <w:rsid w:val="00C7772D"/>
    <w:rsid w:val="00C778D4"/>
    <w:rsid w:val="00C77930"/>
    <w:rsid w:val="00C779E9"/>
    <w:rsid w:val="00C77C68"/>
    <w:rsid w:val="00C77CBE"/>
    <w:rsid w:val="00C77D4A"/>
    <w:rsid w:val="00C77D7B"/>
    <w:rsid w:val="00C77D93"/>
    <w:rsid w:val="00C77DDE"/>
    <w:rsid w:val="00C77DFB"/>
    <w:rsid w:val="00C77E56"/>
    <w:rsid w:val="00C77F8C"/>
    <w:rsid w:val="00C80025"/>
    <w:rsid w:val="00C8006D"/>
    <w:rsid w:val="00C800EA"/>
    <w:rsid w:val="00C800F3"/>
    <w:rsid w:val="00C80197"/>
    <w:rsid w:val="00C801BF"/>
    <w:rsid w:val="00C801F2"/>
    <w:rsid w:val="00C8023E"/>
    <w:rsid w:val="00C8026C"/>
    <w:rsid w:val="00C80449"/>
    <w:rsid w:val="00C804E6"/>
    <w:rsid w:val="00C8050C"/>
    <w:rsid w:val="00C80619"/>
    <w:rsid w:val="00C80865"/>
    <w:rsid w:val="00C80867"/>
    <w:rsid w:val="00C8086C"/>
    <w:rsid w:val="00C8098C"/>
    <w:rsid w:val="00C80A64"/>
    <w:rsid w:val="00C80A8D"/>
    <w:rsid w:val="00C80B80"/>
    <w:rsid w:val="00C80BE8"/>
    <w:rsid w:val="00C80C26"/>
    <w:rsid w:val="00C80C60"/>
    <w:rsid w:val="00C80E71"/>
    <w:rsid w:val="00C80F55"/>
    <w:rsid w:val="00C80FF4"/>
    <w:rsid w:val="00C81001"/>
    <w:rsid w:val="00C81019"/>
    <w:rsid w:val="00C8101A"/>
    <w:rsid w:val="00C810CB"/>
    <w:rsid w:val="00C810DF"/>
    <w:rsid w:val="00C81139"/>
    <w:rsid w:val="00C8113B"/>
    <w:rsid w:val="00C8118B"/>
    <w:rsid w:val="00C81195"/>
    <w:rsid w:val="00C81236"/>
    <w:rsid w:val="00C81262"/>
    <w:rsid w:val="00C81359"/>
    <w:rsid w:val="00C81425"/>
    <w:rsid w:val="00C81570"/>
    <w:rsid w:val="00C81620"/>
    <w:rsid w:val="00C8164F"/>
    <w:rsid w:val="00C816E4"/>
    <w:rsid w:val="00C8170A"/>
    <w:rsid w:val="00C817F1"/>
    <w:rsid w:val="00C818EE"/>
    <w:rsid w:val="00C819C9"/>
    <w:rsid w:val="00C819DD"/>
    <w:rsid w:val="00C81B94"/>
    <w:rsid w:val="00C81BC1"/>
    <w:rsid w:val="00C81C28"/>
    <w:rsid w:val="00C81C83"/>
    <w:rsid w:val="00C81DC4"/>
    <w:rsid w:val="00C81E29"/>
    <w:rsid w:val="00C81F66"/>
    <w:rsid w:val="00C81FCE"/>
    <w:rsid w:val="00C82076"/>
    <w:rsid w:val="00C8217F"/>
    <w:rsid w:val="00C82230"/>
    <w:rsid w:val="00C82283"/>
    <w:rsid w:val="00C82306"/>
    <w:rsid w:val="00C82339"/>
    <w:rsid w:val="00C8235D"/>
    <w:rsid w:val="00C823EB"/>
    <w:rsid w:val="00C823F5"/>
    <w:rsid w:val="00C82497"/>
    <w:rsid w:val="00C824D4"/>
    <w:rsid w:val="00C825DB"/>
    <w:rsid w:val="00C826A2"/>
    <w:rsid w:val="00C826B0"/>
    <w:rsid w:val="00C826F3"/>
    <w:rsid w:val="00C82750"/>
    <w:rsid w:val="00C82785"/>
    <w:rsid w:val="00C827B5"/>
    <w:rsid w:val="00C82A06"/>
    <w:rsid w:val="00C82B03"/>
    <w:rsid w:val="00C82C97"/>
    <w:rsid w:val="00C82DC2"/>
    <w:rsid w:val="00C82FAE"/>
    <w:rsid w:val="00C83003"/>
    <w:rsid w:val="00C8305E"/>
    <w:rsid w:val="00C830C1"/>
    <w:rsid w:val="00C8325B"/>
    <w:rsid w:val="00C832D1"/>
    <w:rsid w:val="00C83312"/>
    <w:rsid w:val="00C83579"/>
    <w:rsid w:val="00C8365D"/>
    <w:rsid w:val="00C836F7"/>
    <w:rsid w:val="00C83733"/>
    <w:rsid w:val="00C837C9"/>
    <w:rsid w:val="00C83A1F"/>
    <w:rsid w:val="00C83A6B"/>
    <w:rsid w:val="00C83AAA"/>
    <w:rsid w:val="00C83B4B"/>
    <w:rsid w:val="00C83B50"/>
    <w:rsid w:val="00C83BEF"/>
    <w:rsid w:val="00C83E49"/>
    <w:rsid w:val="00C83E4F"/>
    <w:rsid w:val="00C83E86"/>
    <w:rsid w:val="00C83EA3"/>
    <w:rsid w:val="00C840E7"/>
    <w:rsid w:val="00C840EF"/>
    <w:rsid w:val="00C840F5"/>
    <w:rsid w:val="00C841D3"/>
    <w:rsid w:val="00C8422A"/>
    <w:rsid w:val="00C84332"/>
    <w:rsid w:val="00C8438B"/>
    <w:rsid w:val="00C843DB"/>
    <w:rsid w:val="00C843E8"/>
    <w:rsid w:val="00C84431"/>
    <w:rsid w:val="00C844D3"/>
    <w:rsid w:val="00C845AB"/>
    <w:rsid w:val="00C84612"/>
    <w:rsid w:val="00C846A4"/>
    <w:rsid w:val="00C846CC"/>
    <w:rsid w:val="00C846D1"/>
    <w:rsid w:val="00C846DD"/>
    <w:rsid w:val="00C847BD"/>
    <w:rsid w:val="00C847EC"/>
    <w:rsid w:val="00C848D0"/>
    <w:rsid w:val="00C849BD"/>
    <w:rsid w:val="00C849E5"/>
    <w:rsid w:val="00C849FE"/>
    <w:rsid w:val="00C84A5E"/>
    <w:rsid w:val="00C84BFD"/>
    <w:rsid w:val="00C84D6B"/>
    <w:rsid w:val="00C84F32"/>
    <w:rsid w:val="00C84F3B"/>
    <w:rsid w:val="00C84FD6"/>
    <w:rsid w:val="00C8502C"/>
    <w:rsid w:val="00C850E6"/>
    <w:rsid w:val="00C85377"/>
    <w:rsid w:val="00C8538F"/>
    <w:rsid w:val="00C85435"/>
    <w:rsid w:val="00C8547D"/>
    <w:rsid w:val="00C854DB"/>
    <w:rsid w:val="00C8557B"/>
    <w:rsid w:val="00C855F9"/>
    <w:rsid w:val="00C85609"/>
    <w:rsid w:val="00C856BC"/>
    <w:rsid w:val="00C8583E"/>
    <w:rsid w:val="00C8589A"/>
    <w:rsid w:val="00C859F4"/>
    <w:rsid w:val="00C85A61"/>
    <w:rsid w:val="00C85A6C"/>
    <w:rsid w:val="00C85AF5"/>
    <w:rsid w:val="00C85C06"/>
    <w:rsid w:val="00C85C25"/>
    <w:rsid w:val="00C85C44"/>
    <w:rsid w:val="00C85CD3"/>
    <w:rsid w:val="00C85E4E"/>
    <w:rsid w:val="00C85E87"/>
    <w:rsid w:val="00C85EFD"/>
    <w:rsid w:val="00C86026"/>
    <w:rsid w:val="00C86033"/>
    <w:rsid w:val="00C860A1"/>
    <w:rsid w:val="00C860F8"/>
    <w:rsid w:val="00C8619D"/>
    <w:rsid w:val="00C86268"/>
    <w:rsid w:val="00C8626E"/>
    <w:rsid w:val="00C8634A"/>
    <w:rsid w:val="00C863EC"/>
    <w:rsid w:val="00C865BB"/>
    <w:rsid w:val="00C8668E"/>
    <w:rsid w:val="00C866E1"/>
    <w:rsid w:val="00C86906"/>
    <w:rsid w:val="00C869FB"/>
    <w:rsid w:val="00C86AAD"/>
    <w:rsid w:val="00C86B1C"/>
    <w:rsid w:val="00C86C20"/>
    <w:rsid w:val="00C86CF2"/>
    <w:rsid w:val="00C86D23"/>
    <w:rsid w:val="00C86D81"/>
    <w:rsid w:val="00C86D85"/>
    <w:rsid w:val="00C86D94"/>
    <w:rsid w:val="00C86D98"/>
    <w:rsid w:val="00C86E02"/>
    <w:rsid w:val="00C86E1C"/>
    <w:rsid w:val="00C86FE8"/>
    <w:rsid w:val="00C87048"/>
    <w:rsid w:val="00C87130"/>
    <w:rsid w:val="00C8728E"/>
    <w:rsid w:val="00C873AE"/>
    <w:rsid w:val="00C873FC"/>
    <w:rsid w:val="00C87437"/>
    <w:rsid w:val="00C874B0"/>
    <w:rsid w:val="00C87648"/>
    <w:rsid w:val="00C8765D"/>
    <w:rsid w:val="00C876CF"/>
    <w:rsid w:val="00C87721"/>
    <w:rsid w:val="00C87843"/>
    <w:rsid w:val="00C87899"/>
    <w:rsid w:val="00C878A0"/>
    <w:rsid w:val="00C878FF"/>
    <w:rsid w:val="00C87AB3"/>
    <w:rsid w:val="00C87BFB"/>
    <w:rsid w:val="00C87C5E"/>
    <w:rsid w:val="00C87CCB"/>
    <w:rsid w:val="00C87F56"/>
    <w:rsid w:val="00C90086"/>
    <w:rsid w:val="00C901B6"/>
    <w:rsid w:val="00C90342"/>
    <w:rsid w:val="00C9034C"/>
    <w:rsid w:val="00C904F0"/>
    <w:rsid w:val="00C907C9"/>
    <w:rsid w:val="00C907EB"/>
    <w:rsid w:val="00C9081E"/>
    <w:rsid w:val="00C9098D"/>
    <w:rsid w:val="00C90BCD"/>
    <w:rsid w:val="00C90C81"/>
    <w:rsid w:val="00C90C96"/>
    <w:rsid w:val="00C90D61"/>
    <w:rsid w:val="00C90D6A"/>
    <w:rsid w:val="00C90FAF"/>
    <w:rsid w:val="00C90FB5"/>
    <w:rsid w:val="00C91177"/>
    <w:rsid w:val="00C91216"/>
    <w:rsid w:val="00C912D5"/>
    <w:rsid w:val="00C91527"/>
    <w:rsid w:val="00C91644"/>
    <w:rsid w:val="00C916C2"/>
    <w:rsid w:val="00C91855"/>
    <w:rsid w:val="00C918D2"/>
    <w:rsid w:val="00C9190E"/>
    <w:rsid w:val="00C9193F"/>
    <w:rsid w:val="00C91A20"/>
    <w:rsid w:val="00C91BCF"/>
    <w:rsid w:val="00C91C60"/>
    <w:rsid w:val="00C91CD9"/>
    <w:rsid w:val="00C91D07"/>
    <w:rsid w:val="00C91DAA"/>
    <w:rsid w:val="00C91DBE"/>
    <w:rsid w:val="00C91E0C"/>
    <w:rsid w:val="00C92051"/>
    <w:rsid w:val="00C920D4"/>
    <w:rsid w:val="00C920FA"/>
    <w:rsid w:val="00C92230"/>
    <w:rsid w:val="00C9239F"/>
    <w:rsid w:val="00C92505"/>
    <w:rsid w:val="00C92539"/>
    <w:rsid w:val="00C92690"/>
    <w:rsid w:val="00C9281B"/>
    <w:rsid w:val="00C92826"/>
    <w:rsid w:val="00C928B1"/>
    <w:rsid w:val="00C92928"/>
    <w:rsid w:val="00C929F6"/>
    <w:rsid w:val="00C92B05"/>
    <w:rsid w:val="00C92B28"/>
    <w:rsid w:val="00C92BD7"/>
    <w:rsid w:val="00C92D25"/>
    <w:rsid w:val="00C92D72"/>
    <w:rsid w:val="00C92E73"/>
    <w:rsid w:val="00C92F81"/>
    <w:rsid w:val="00C92FE8"/>
    <w:rsid w:val="00C93052"/>
    <w:rsid w:val="00C931AA"/>
    <w:rsid w:val="00C931E9"/>
    <w:rsid w:val="00C93209"/>
    <w:rsid w:val="00C93272"/>
    <w:rsid w:val="00C93340"/>
    <w:rsid w:val="00C9336F"/>
    <w:rsid w:val="00C93382"/>
    <w:rsid w:val="00C93393"/>
    <w:rsid w:val="00C933A7"/>
    <w:rsid w:val="00C93433"/>
    <w:rsid w:val="00C93479"/>
    <w:rsid w:val="00C93481"/>
    <w:rsid w:val="00C93512"/>
    <w:rsid w:val="00C93616"/>
    <w:rsid w:val="00C93879"/>
    <w:rsid w:val="00C939AE"/>
    <w:rsid w:val="00C939C4"/>
    <w:rsid w:val="00C93B5A"/>
    <w:rsid w:val="00C93B6E"/>
    <w:rsid w:val="00C93BCD"/>
    <w:rsid w:val="00C93BE5"/>
    <w:rsid w:val="00C93CA6"/>
    <w:rsid w:val="00C93D0D"/>
    <w:rsid w:val="00C93D25"/>
    <w:rsid w:val="00C93E5F"/>
    <w:rsid w:val="00C93ED0"/>
    <w:rsid w:val="00C93F61"/>
    <w:rsid w:val="00C93FC5"/>
    <w:rsid w:val="00C93FD3"/>
    <w:rsid w:val="00C94093"/>
    <w:rsid w:val="00C9417F"/>
    <w:rsid w:val="00C94229"/>
    <w:rsid w:val="00C94291"/>
    <w:rsid w:val="00C94398"/>
    <w:rsid w:val="00C94422"/>
    <w:rsid w:val="00C944BC"/>
    <w:rsid w:val="00C9451B"/>
    <w:rsid w:val="00C945C8"/>
    <w:rsid w:val="00C945F5"/>
    <w:rsid w:val="00C94628"/>
    <w:rsid w:val="00C9478E"/>
    <w:rsid w:val="00C947AD"/>
    <w:rsid w:val="00C94981"/>
    <w:rsid w:val="00C94B9B"/>
    <w:rsid w:val="00C94C21"/>
    <w:rsid w:val="00C94CCA"/>
    <w:rsid w:val="00C94DBD"/>
    <w:rsid w:val="00C94DDE"/>
    <w:rsid w:val="00C94F97"/>
    <w:rsid w:val="00C94FF0"/>
    <w:rsid w:val="00C94FF6"/>
    <w:rsid w:val="00C95039"/>
    <w:rsid w:val="00C95042"/>
    <w:rsid w:val="00C952D4"/>
    <w:rsid w:val="00C95340"/>
    <w:rsid w:val="00C953C2"/>
    <w:rsid w:val="00C953E5"/>
    <w:rsid w:val="00C953FF"/>
    <w:rsid w:val="00C95473"/>
    <w:rsid w:val="00C954A0"/>
    <w:rsid w:val="00C9564C"/>
    <w:rsid w:val="00C9578A"/>
    <w:rsid w:val="00C9584C"/>
    <w:rsid w:val="00C95A36"/>
    <w:rsid w:val="00C95A63"/>
    <w:rsid w:val="00C95AFB"/>
    <w:rsid w:val="00C95BB6"/>
    <w:rsid w:val="00C95BBC"/>
    <w:rsid w:val="00C95BE6"/>
    <w:rsid w:val="00C95C3D"/>
    <w:rsid w:val="00C95C4C"/>
    <w:rsid w:val="00C95C4F"/>
    <w:rsid w:val="00C95CEE"/>
    <w:rsid w:val="00C95D8A"/>
    <w:rsid w:val="00C95DEB"/>
    <w:rsid w:val="00C95FC9"/>
    <w:rsid w:val="00C96112"/>
    <w:rsid w:val="00C961D7"/>
    <w:rsid w:val="00C961DE"/>
    <w:rsid w:val="00C96265"/>
    <w:rsid w:val="00C9627C"/>
    <w:rsid w:val="00C96382"/>
    <w:rsid w:val="00C963EF"/>
    <w:rsid w:val="00C9640E"/>
    <w:rsid w:val="00C9643F"/>
    <w:rsid w:val="00C96557"/>
    <w:rsid w:val="00C965F6"/>
    <w:rsid w:val="00C9668E"/>
    <w:rsid w:val="00C967C0"/>
    <w:rsid w:val="00C96825"/>
    <w:rsid w:val="00C96C54"/>
    <w:rsid w:val="00C96CB1"/>
    <w:rsid w:val="00C96CB4"/>
    <w:rsid w:val="00C96CE4"/>
    <w:rsid w:val="00C96E16"/>
    <w:rsid w:val="00C96E2D"/>
    <w:rsid w:val="00C96E7D"/>
    <w:rsid w:val="00C96F57"/>
    <w:rsid w:val="00C97025"/>
    <w:rsid w:val="00C9725E"/>
    <w:rsid w:val="00C972B8"/>
    <w:rsid w:val="00C972F2"/>
    <w:rsid w:val="00C9732E"/>
    <w:rsid w:val="00C973B5"/>
    <w:rsid w:val="00C976AF"/>
    <w:rsid w:val="00C97A9E"/>
    <w:rsid w:val="00C97AA0"/>
    <w:rsid w:val="00C97C12"/>
    <w:rsid w:val="00C97C8D"/>
    <w:rsid w:val="00C97D45"/>
    <w:rsid w:val="00CA00C3"/>
    <w:rsid w:val="00CA00EE"/>
    <w:rsid w:val="00CA0143"/>
    <w:rsid w:val="00CA0149"/>
    <w:rsid w:val="00CA01DF"/>
    <w:rsid w:val="00CA021C"/>
    <w:rsid w:val="00CA0325"/>
    <w:rsid w:val="00CA0345"/>
    <w:rsid w:val="00CA0459"/>
    <w:rsid w:val="00CA046B"/>
    <w:rsid w:val="00CA04AA"/>
    <w:rsid w:val="00CA04FA"/>
    <w:rsid w:val="00CA052C"/>
    <w:rsid w:val="00CA056F"/>
    <w:rsid w:val="00CA0572"/>
    <w:rsid w:val="00CA0585"/>
    <w:rsid w:val="00CA06D9"/>
    <w:rsid w:val="00CA06E2"/>
    <w:rsid w:val="00CA077F"/>
    <w:rsid w:val="00CA0809"/>
    <w:rsid w:val="00CA097D"/>
    <w:rsid w:val="00CA0A7C"/>
    <w:rsid w:val="00CA0AA6"/>
    <w:rsid w:val="00CA0ACA"/>
    <w:rsid w:val="00CA0B48"/>
    <w:rsid w:val="00CA0BD5"/>
    <w:rsid w:val="00CA0C69"/>
    <w:rsid w:val="00CA0D2C"/>
    <w:rsid w:val="00CA0D65"/>
    <w:rsid w:val="00CA0DAD"/>
    <w:rsid w:val="00CA0DCE"/>
    <w:rsid w:val="00CA0EB1"/>
    <w:rsid w:val="00CA0EF9"/>
    <w:rsid w:val="00CA0F40"/>
    <w:rsid w:val="00CA0F4D"/>
    <w:rsid w:val="00CA0F78"/>
    <w:rsid w:val="00CA0FFE"/>
    <w:rsid w:val="00CA1072"/>
    <w:rsid w:val="00CA1109"/>
    <w:rsid w:val="00CA110A"/>
    <w:rsid w:val="00CA113E"/>
    <w:rsid w:val="00CA1152"/>
    <w:rsid w:val="00CA1203"/>
    <w:rsid w:val="00CA120A"/>
    <w:rsid w:val="00CA1231"/>
    <w:rsid w:val="00CA12FF"/>
    <w:rsid w:val="00CA1310"/>
    <w:rsid w:val="00CA135A"/>
    <w:rsid w:val="00CA1388"/>
    <w:rsid w:val="00CA1421"/>
    <w:rsid w:val="00CA1479"/>
    <w:rsid w:val="00CA14B6"/>
    <w:rsid w:val="00CA14DE"/>
    <w:rsid w:val="00CA1633"/>
    <w:rsid w:val="00CA16D0"/>
    <w:rsid w:val="00CA1716"/>
    <w:rsid w:val="00CA17CB"/>
    <w:rsid w:val="00CA1807"/>
    <w:rsid w:val="00CA1A5C"/>
    <w:rsid w:val="00CA1A61"/>
    <w:rsid w:val="00CA1ACA"/>
    <w:rsid w:val="00CA1B59"/>
    <w:rsid w:val="00CA1C63"/>
    <w:rsid w:val="00CA1D02"/>
    <w:rsid w:val="00CA1D1C"/>
    <w:rsid w:val="00CA1D93"/>
    <w:rsid w:val="00CA1D9D"/>
    <w:rsid w:val="00CA1DDA"/>
    <w:rsid w:val="00CA1E38"/>
    <w:rsid w:val="00CA1EE2"/>
    <w:rsid w:val="00CA1F8A"/>
    <w:rsid w:val="00CA1FBE"/>
    <w:rsid w:val="00CA209B"/>
    <w:rsid w:val="00CA21BD"/>
    <w:rsid w:val="00CA21C5"/>
    <w:rsid w:val="00CA21CB"/>
    <w:rsid w:val="00CA221D"/>
    <w:rsid w:val="00CA22A8"/>
    <w:rsid w:val="00CA22BC"/>
    <w:rsid w:val="00CA233C"/>
    <w:rsid w:val="00CA23AB"/>
    <w:rsid w:val="00CA24EA"/>
    <w:rsid w:val="00CA2507"/>
    <w:rsid w:val="00CA255B"/>
    <w:rsid w:val="00CA2618"/>
    <w:rsid w:val="00CA274B"/>
    <w:rsid w:val="00CA27B8"/>
    <w:rsid w:val="00CA27C5"/>
    <w:rsid w:val="00CA2881"/>
    <w:rsid w:val="00CA2933"/>
    <w:rsid w:val="00CA2AD2"/>
    <w:rsid w:val="00CA2B8E"/>
    <w:rsid w:val="00CA2DE8"/>
    <w:rsid w:val="00CA2E2F"/>
    <w:rsid w:val="00CA2E7A"/>
    <w:rsid w:val="00CA2E82"/>
    <w:rsid w:val="00CA2F5A"/>
    <w:rsid w:val="00CA2F96"/>
    <w:rsid w:val="00CA3078"/>
    <w:rsid w:val="00CA3101"/>
    <w:rsid w:val="00CA3221"/>
    <w:rsid w:val="00CA330B"/>
    <w:rsid w:val="00CA338D"/>
    <w:rsid w:val="00CA3570"/>
    <w:rsid w:val="00CA35CC"/>
    <w:rsid w:val="00CA35D5"/>
    <w:rsid w:val="00CA3760"/>
    <w:rsid w:val="00CA3904"/>
    <w:rsid w:val="00CA3935"/>
    <w:rsid w:val="00CA3936"/>
    <w:rsid w:val="00CA3ADC"/>
    <w:rsid w:val="00CA3C36"/>
    <w:rsid w:val="00CA3D10"/>
    <w:rsid w:val="00CA3E4F"/>
    <w:rsid w:val="00CA3EA1"/>
    <w:rsid w:val="00CA3EAE"/>
    <w:rsid w:val="00CA3F42"/>
    <w:rsid w:val="00CA4034"/>
    <w:rsid w:val="00CA403E"/>
    <w:rsid w:val="00CA40FC"/>
    <w:rsid w:val="00CA427E"/>
    <w:rsid w:val="00CA42B4"/>
    <w:rsid w:val="00CA42BF"/>
    <w:rsid w:val="00CA43D5"/>
    <w:rsid w:val="00CA45D0"/>
    <w:rsid w:val="00CA469B"/>
    <w:rsid w:val="00CA46CD"/>
    <w:rsid w:val="00CA4717"/>
    <w:rsid w:val="00CA4741"/>
    <w:rsid w:val="00CA47A2"/>
    <w:rsid w:val="00CA47E8"/>
    <w:rsid w:val="00CA4848"/>
    <w:rsid w:val="00CA48D5"/>
    <w:rsid w:val="00CA4953"/>
    <w:rsid w:val="00CA4A51"/>
    <w:rsid w:val="00CA4A52"/>
    <w:rsid w:val="00CA4A87"/>
    <w:rsid w:val="00CA4AD8"/>
    <w:rsid w:val="00CA4AD9"/>
    <w:rsid w:val="00CA4B33"/>
    <w:rsid w:val="00CA4D7D"/>
    <w:rsid w:val="00CA4DAC"/>
    <w:rsid w:val="00CA4DEE"/>
    <w:rsid w:val="00CA4E14"/>
    <w:rsid w:val="00CA4E46"/>
    <w:rsid w:val="00CA4ECE"/>
    <w:rsid w:val="00CA4FE5"/>
    <w:rsid w:val="00CA50A4"/>
    <w:rsid w:val="00CA51F2"/>
    <w:rsid w:val="00CA5210"/>
    <w:rsid w:val="00CA52EE"/>
    <w:rsid w:val="00CA5353"/>
    <w:rsid w:val="00CA5443"/>
    <w:rsid w:val="00CA54D6"/>
    <w:rsid w:val="00CA55C3"/>
    <w:rsid w:val="00CA5698"/>
    <w:rsid w:val="00CA56A7"/>
    <w:rsid w:val="00CA56EE"/>
    <w:rsid w:val="00CA5718"/>
    <w:rsid w:val="00CA5804"/>
    <w:rsid w:val="00CA5838"/>
    <w:rsid w:val="00CA588A"/>
    <w:rsid w:val="00CA5917"/>
    <w:rsid w:val="00CA59DD"/>
    <w:rsid w:val="00CA5A21"/>
    <w:rsid w:val="00CA5BA8"/>
    <w:rsid w:val="00CA5DB0"/>
    <w:rsid w:val="00CA5FE9"/>
    <w:rsid w:val="00CA6001"/>
    <w:rsid w:val="00CA6063"/>
    <w:rsid w:val="00CA60FA"/>
    <w:rsid w:val="00CA6100"/>
    <w:rsid w:val="00CA6102"/>
    <w:rsid w:val="00CA6123"/>
    <w:rsid w:val="00CA6132"/>
    <w:rsid w:val="00CA6216"/>
    <w:rsid w:val="00CA6250"/>
    <w:rsid w:val="00CA62AC"/>
    <w:rsid w:val="00CA62FF"/>
    <w:rsid w:val="00CA63D5"/>
    <w:rsid w:val="00CA640F"/>
    <w:rsid w:val="00CA6577"/>
    <w:rsid w:val="00CA6714"/>
    <w:rsid w:val="00CA6C9D"/>
    <w:rsid w:val="00CA6CA4"/>
    <w:rsid w:val="00CA6DE8"/>
    <w:rsid w:val="00CA6E35"/>
    <w:rsid w:val="00CA6E3B"/>
    <w:rsid w:val="00CA6E7A"/>
    <w:rsid w:val="00CA6F1E"/>
    <w:rsid w:val="00CA6F85"/>
    <w:rsid w:val="00CA6FCA"/>
    <w:rsid w:val="00CA7036"/>
    <w:rsid w:val="00CA70B1"/>
    <w:rsid w:val="00CA730E"/>
    <w:rsid w:val="00CA7434"/>
    <w:rsid w:val="00CA7448"/>
    <w:rsid w:val="00CA752A"/>
    <w:rsid w:val="00CA7591"/>
    <w:rsid w:val="00CA75C4"/>
    <w:rsid w:val="00CA7665"/>
    <w:rsid w:val="00CA76D1"/>
    <w:rsid w:val="00CA7732"/>
    <w:rsid w:val="00CA77B8"/>
    <w:rsid w:val="00CA7864"/>
    <w:rsid w:val="00CA795F"/>
    <w:rsid w:val="00CA7999"/>
    <w:rsid w:val="00CA79B0"/>
    <w:rsid w:val="00CA79C1"/>
    <w:rsid w:val="00CA7C01"/>
    <w:rsid w:val="00CA7CA7"/>
    <w:rsid w:val="00CA7CAC"/>
    <w:rsid w:val="00CA7DC4"/>
    <w:rsid w:val="00CA7E3C"/>
    <w:rsid w:val="00CA7EC2"/>
    <w:rsid w:val="00CA7F1D"/>
    <w:rsid w:val="00CA7F30"/>
    <w:rsid w:val="00CA7F74"/>
    <w:rsid w:val="00CA7FE3"/>
    <w:rsid w:val="00CA7FEA"/>
    <w:rsid w:val="00CB017E"/>
    <w:rsid w:val="00CB02A5"/>
    <w:rsid w:val="00CB04A9"/>
    <w:rsid w:val="00CB04C1"/>
    <w:rsid w:val="00CB05A1"/>
    <w:rsid w:val="00CB05BB"/>
    <w:rsid w:val="00CB06CD"/>
    <w:rsid w:val="00CB06D7"/>
    <w:rsid w:val="00CB06DD"/>
    <w:rsid w:val="00CB06F4"/>
    <w:rsid w:val="00CB0794"/>
    <w:rsid w:val="00CB07CE"/>
    <w:rsid w:val="00CB0818"/>
    <w:rsid w:val="00CB085C"/>
    <w:rsid w:val="00CB0894"/>
    <w:rsid w:val="00CB091F"/>
    <w:rsid w:val="00CB0931"/>
    <w:rsid w:val="00CB0AAA"/>
    <w:rsid w:val="00CB0AD6"/>
    <w:rsid w:val="00CB0B40"/>
    <w:rsid w:val="00CB0C4F"/>
    <w:rsid w:val="00CB0D16"/>
    <w:rsid w:val="00CB0D3B"/>
    <w:rsid w:val="00CB0E9A"/>
    <w:rsid w:val="00CB1038"/>
    <w:rsid w:val="00CB1176"/>
    <w:rsid w:val="00CB11BF"/>
    <w:rsid w:val="00CB11FC"/>
    <w:rsid w:val="00CB1256"/>
    <w:rsid w:val="00CB1386"/>
    <w:rsid w:val="00CB13AE"/>
    <w:rsid w:val="00CB140E"/>
    <w:rsid w:val="00CB1470"/>
    <w:rsid w:val="00CB1529"/>
    <w:rsid w:val="00CB15E0"/>
    <w:rsid w:val="00CB1691"/>
    <w:rsid w:val="00CB1844"/>
    <w:rsid w:val="00CB18D6"/>
    <w:rsid w:val="00CB198B"/>
    <w:rsid w:val="00CB19A1"/>
    <w:rsid w:val="00CB1A23"/>
    <w:rsid w:val="00CB1A78"/>
    <w:rsid w:val="00CB1E0B"/>
    <w:rsid w:val="00CB1E5C"/>
    <w:rsid w:val="00CB1E71"/>
    <w:rsid w:val="00CB1EF2"/>
    <w:rsid w:val="00CB1EF7"/>
    <w:rsid w:val="00CB206B"/>
    <w:rsid w:val="00CB20CC"/>
    <w:rsid w:val="00CB20F6"/>
    <w:rsid w:val="00CB21FB"/>
    <w:rsid w:val="00CB2275"/>
    <w:rsid w:val="00CB2318"/>
    <w:rsid w:val="00CB25C6"/>
    <w:rsid w:val="00CB263B"/>
    <w:rsid w:val="00CB264A"/>
    <w:rsid w:val="00CB26BE"/>
    <w:rsid w:val="00CB26CA"/>
    <w:rsid w:val="00CB272A"/>
    <w:rsid w:val="00CB27E7"/>
    <w:rsid w:val="00CB2879"/>
    <w:rsid w:val="00CB29BA"/>
    <w:rsid w:val="00CB2A83"/>
    <w:rsid w:val="00CB2B15"/>
    <w:rsid w:val="00CB2E0D"/>
    <w:rsid w:val="00CB2E44"/>
    <w:rsid w:val="00CB3153"/>
    <w:rsid w:val="00CB317D"/>
    <w:rsid w:val="00CB31D3"/>
    <w:rsid w:val="00CB3220"/>
    <w:rsid w:val="00CB323E"/>
    <w:rsid w:val="00CB326F"/>
    <w:rsid w:val="00CB32D1"/>
    <w:rsid w:val="00CB32F5"/>
    <w:rsid w:val="00CB337C"/>
    <w:rsid w:val="00CB3398"/>
    <w:rsid w:val="00CB34C4"/>
    <w:rsid w:val="00CB3593"/>
    <w:rsid w:val="00CB35AE"/>
    <w:rsid w:val="00CB362A"/>
    <w:rsid w:val="00CB37E9"/>
    <w:rsid w:val="00CB3915"/>
    <w:rsid w:val="00CB3985"/>
    <w:rsid w:val="00CB3D95"/>
    <w:rsid w:val="00CB3F7B"/>
    <w:rsid w:val="00CB41EB"/>
    <w:rsid w:val="00CB42EE"/>
    <w:rsid w:val="00CB430C"/>
    <w:rsid w:val="00CB437E"/>
    <w:rsid w:val="00CB4384"/>
    <w:rsid w:val="00CB45C2"/>
    <w:rsid w:val="00CB46E9"/>
    <w:rsid w:val="00CB47BA"/>
    <w:rsid w:val="00CB48BB"/>
    <w:rsid w:val="00CB4A5F"/>
    <w:rsid w:val="00CB4BB5"/>
    <w:rsid w:val="00CB4C76"/>
    <w:rsid w:val="00CB4C9E"/>
    <w:rsid w:val="00CB4E31"/>
    <w:rsid w:val="00CB4E4D"/>
    <w:rsid w:val="00CB4FA2"/>
    <w:rsid w:val="00CB4FC5"/>
    <w:rsid w:val="00CB5079"/>
    <w:rsid w:val="00CB50A3"/>
    <w:rsid w:val="00CB51B2"/>
    <w:rsid w:val="00CB5267"/>
    <w:rsid w:val="00CB5330"/>
    <w:rsid w:val="00CB5337"/>
    <w:rsid w:val="00CB53B2"/>
    <w:rsid w:val="00CB55BE"/>
    <w:rsid w:val="00CB5701"/>
    <w:rsid w:val="00CB5721"/>
    <w:rsid w:val="00CB575C"/>
    <w:rsid w:val="00CB577B"/>
    <w:rsid w:val="00CB57CD"/>
    <w:rsid w:val="00CB5801"/>
    <w:rsid w:val="00CB5885"/>
    <w:rsid w:val="00CB589E"/>
    <w:rsid w:val="00CB58AA"/>
    <w:rsid w:val="00CB58C3"/>
    <w:rsid w:val="00CB596F"/>
    <w:rsid w:val="00CB59EC"/>
    <w:rsid w:val="00CB5A1B"/>
    <w:rsid w:val="00CB5A50"/>
    <w:rsid w:val="00CB5A7C"/>
    <w:rsid w:val="00CB5ADA"/>
    <w:rsid w:val="00CB5B7C"/>
    <w:rsid w:val="00CB5B88"/>
    <w:rsid w:val="00CB5C53"/>
    <w:rsid w:val="00CB5D5D"/>
    <w:rsid w:val="00CB5E1E"/>
    <w:rsid w:val="00CB5E73"/>
    <w:rsid w:val="00CB5E87"/>
    <w:rsid w:val="00CB5F2C"/>
    <w:rsid w:val="00CB5FC4"/>
    <w:rsid w:val="00CB5FF0"/>
    <w:rsid w:val="00CB605C"/>
    <w:rsid w:val="00CB6194"/>
    <w:rsid w:val="00CB630C"/>
    <w:rsid w:val="00CB639C"/>
    <w:rsid w:val="00CB63A6"/>
    <w:rsid w:val="00CB678D"/>
    <w:rsid w:val="00CB6870"/>
    <w:rsid w:val="00CB697B"/>
    <w:rsid w:val="00CB699A"/>
    <w:rsid w:val="00CB6B38"/>
    <w:rsid w:val="00CB6BA1"/>
    <w:rsid w:val="00CB6C1B"/>
    <w:rsid w:val="00CB6CA2"/>
    <w:rsid w:val="00CB6CD3"/>
    <w:rsid w:val="00CB6CE8"/>
    <w:rsid w:val="00CB6D14"/>
    <w:rsid w:val="00CB6D82"/>
    <w:rsid w:val="00CB6E83"/>
    <w:rsid w:val="00CB6ED8"/>
    <w:rsid w:val="00CB6F16"/>
    <w:rsid w:val="00CB7059"/>
    <w:rsid w:val="00CB7091"/>
    <w:rsid w:val="00CB71A7"/>
    <w:rsid w:val="00CB71B2"/>
    <w:rsid w:val="00CB73E2"/>
    <w:rsid w:val="00CB7798"/>
    <w:rsid w:val="00CB788E"/>
    <w:rsid w:val="00CB78A4"/>
    <w:rsid w:val="00CB78EA"/>
    <w:rsid w:val="00CB78F5"/>
    <w:rsid w:val="00CB791B"/>
    <w:rsid w:val="00CB7977"/>
    <w:rsid w:val="00CB7A13"/>
    <w:rsid w:val="00CB7ACC"/>
    <w:rsid w:val="00CB7ACE"/>
    <w:rsid w:val="00CB7AD8"/>
    <w:rsid w:val="00CB7B1B"/>
    <w:rsid w:val="00CB7BAE"/>
    <w:rsid w:val="00CB7CF6"/>
    <w:rsid w:val="00CB7D9C"/>
    <w:rsid w:val="00CB7E2A"/>
    <w:rsid w:val="00CB7EDF"/>
    <w:rsid w:val="00CC00CD"/>
    <w:rsid w:val="00CC01AB"/>
    <w:rsid w:val="00CC0219"/>
    <w:rsid w:val="00CC0237"/>
    <w:rsid w:val="00CC0240"/>
    <w:rsid w:val="00CC038A"/>
    <w:rsid w:val="00CC0463"/>
    <w:rsid w:val="00CC051D"/>
    <w:rsid w:val="00CC0832"/>
    <w:rsid w:val="00CC08B7"/>
    <w:rsid w:val="00CC093D"/>
    <w:rsid w:val="00CC0BA5"/>
    <w:rsid w:val="00CC0C17"/>
    <w:rsid w:val="00CC0D4F"/>
    <w:rsid w:val="00CC0DE4"/>
    <w:rsid w:val="00CC0DF4"/>
    <w:rsid w:val="00CC0EA7"/>
    <w:rsid w:val="00CC0EAF"/>
    <w:rsid w:val="00CC0FA4"/>
    <w:rsid w:val="00CC1080"/>
    <w:rsid w:val="00CC108D"/>
    <w:rsid w:val="00CC117A"/>
    <w:rsid w:val="00CC12AF"/>
    <w:rsid w:val="00CC1427"/>
    <w:rsid w:val="00CC1437"/>
    <w:rsid w:val="00CC148C"/>
    <w:rsid w:val="00CC14A7"/>
    <w:rsid w:val="00CC1759"/>
    <w:rsid w:val="00CC1766"/>
    <w:rsid w:val="00CC1842"/>
    <w:rsid w:val="00CC18BB"/>
    <w:rsid w:val="00CC18FA"/>
    <w:rsid w:val="00CC1988"/>
    <w:rsid w:val="00CC1B71"/>
    <w:rsid w:val="00CC1BC7"/>
    <w:rsid w:val="00CC1D8E"/>
    <w:rsid w:val="00CC1D8F"/>
    <w:rsid w:val="00CC1DE9"/>
    <w:rsid w:val="00CC1E00"/>
    <w:rsid w:val="00CC2043"/>
    <w:rsid w:val="00CC2047"/>
    <w:rsid w:val="00CC20A0"/>
    <w:rsid w:val="00CC210E"/>
    <w:rsid w:val="00CC2182"/>
    <w:rsid w:val="00CC222F"/>
    <w:rsid w:val="00CC22A4"/>
    <w:rsid w:val="00CC2392"/>
    <w:rsid w:val="00CC2527"/>
    <w:rsid w:val="00CC2572"/>
    <w:rsid w:val="00CC27AB"/>
    <w:rsid w:val="00CC27E2"/>
    <w:rsid w:val="00CC28CB"/>
    <w:rsid w:val="00CC2945"/>
    <w:rsid w:val="00CC29A7"/>
    <w:rsid w:val="00CC2B97"/>
    <w:rsid w:val="00CC2BDD"/>
    <w:rsid w:val="00CC2BF5"/>
    <w:rsid w:val="00CC2C27"/>
    <w:rsid w:val="00CC2C4A"/>
    <w:rsid w:val="00CC2CBA"/>
    <w:rsid w:val="00CC2DDB"/>
    <w:rsid w:val="00CC2F00"/>
    <w:rsid w:val="00CC2F93"/>
    <w:rsid w:val="00CC3056"/>
    <w:rsid w:val="00CC30E6"/>
    <w:rsid w:val="00CC3365"/>
    <w:rsid w:val="00CC3432"/>
    <w:rsid w:val="00CC351E"/>
    <w:rsid w:val="00CC3614"/>
    <w:rsid w:val="00CC36FF"/>
    <w:rsid w:val="00CC377B"/>
    <w:rsid w:val="00CC379E"/>
    <w:rsid w:val="00CC3818"/>
    <w:rsid w:val="00CC3852"/>
    <w:rsid w:val="00CC3879"/>
    <w:rsid w:val="00CC391D"/>
    <w:rsid w:val="00CC3ADF"/>
    <w:rsid w:val="00CC3B8F"/>
    <w:rsid w:val="00CC3BD8"/>
    <w:rsid w:val="00CC3C18"/>
    <w:rsid w:val="00CC3C9C"/>
    <w:rsid w:val="00CC3DA4"/>
    <w:rsid w:val="00CC3E9C"/>
    <w:rsid w:val="00CC3EF6"/>
    <w:rsid w:val="00CC3F9F"/>
    <w:rsid w:val="00CC3FC4"/>
    <w:rsid w:val="00CC3FCA"/>
    <w:rsid w:val="00CC3FEE"/>
    <w:rsid w:val="00CC42D9"/>
    <w:rsid w:val="00CC4353"/>
    <w:rsid w:val="00CC441A"/>
    <w:rsid w:val="00CC445A"/>
    <w:rsid w:val="00CC458A"/>
    <w:rsid w:val="00CC478B"/>
    <w:rsid w:val="00CC4B35"/>
    <w:rsid w:val="00CC4C88"/>
    <w:rsid w:val="00CC4CBF"/>
    <w:rsid w:val="00CC4CD7"/>
    <w:rsid w:val="00CC4D3A"/>
    <w:rsid w:val="00CC4D96"/>
    <w:rsid w:val="00CC4EB3"/>
    <w:rsid w:val="00CC4EF8"/>
    <w:rsid w:val="00CC4F26"/>
    <w:rsid w:val="00CC4F6B"/>
    <w:rsid w:val="00CC4FDD"/>
    <w:rsid w:val="00CC5092"/>
    <w:rsid w:val="00CC51AB"/>
    <w:rsid w:val="00CC5238"/>
    <w:rsid w:val="00CC52F6"/>
    <w:rsid w:val="00CC535F"/>
    <w:rsid w:val="00CC53E8"/>
    <w:rsid w:val="00CC558B"/>
    <w:rsid w:val="00CC55D8"/>
    <w:rsid w:val="00CC5653"/>
    <w:rsid w:val="00CC56BB"/>
    <w:rsid w:val="00CC58F4"/>
    <w:rsid w:val="00CC59D7"/>
    <w:rsid w:val="00CC5A9F"/>
    <w:rsid w:val="00CC5C45"/>
    <w:rsid w:val="00CC5F1F"/>
    <w:rsid w:val="00CC5FDB"/>
    <w:rsid w:val="00CC601E"/>
    <w:rsid w:val="00CC6022"/>
    <w:rsid w:val="00CC61A2"/>
    <w:rsid w:val="00CC61F6"/>
    <w:rsid w:val="00CC63A9"/>
    <w:rsid w:val="00CC63F4"/>
    <w:rsid w:val="00CC649E"/>
    <w:rsid w:val="00CC6657"/>
    <w:rsid w:val="00CC6660"/>
    <w:rsid w:val="00CC67E5"/>
    <w:rsid w:val="00CC682D"/>
    <w:rsid w:val="00CC691B"/>
    <w:rsid w:val="00CC6A39"/>
    <w:rsid w:val="00CC6A7A"/>
    <w:rsid w:val="00CC6BDA"/>
    <w:rsid w:val="00CC6C2C"/>
    <w:rsid w:val="00CC6F1A"/>
    <w:rsid w:val="00CC6FE0"/>
    <w:rsid w:val="00CC701B"/>
    <w:rsid w:val="00CC70D1"/>
    <w:rsid w:val="00CC7221"/>
    <w:rsid w:val="00CC7225"/>
    <w:rsid w:val="00CC72AA"/>
    <w:rsid w:val="00CC72AF"/>
    <w:rsid w:val="00CC7387"/>
    <w:rsid w:val="00CC7415"/>
    <w:rsid w:val="00CC74F6"/>
    <w:rsid w:val="00CC76CA"/>
    <w:rsid w:val="00CC76F0"/>
    <w:rsid w:val="00CC77D9"/>
    <w:rsid w:val="00CC79DA"/>
    <w:rsid w:val="00CC7A03"/>
    <w:rsid w:val="00CC7C58"/>
    <w:rsid w:val="00CC7D7B"/>
    <w:rsid w:val="00CC7D97"/>
    <w:rsid w:val="00CC7DF9"/>
    <w:rsid w:val="00CC7F0C"/>
    <w:rsid w:val="00CC7F3D"/>
    <w:rsid w:val="00CC7F81"/>
    <w:rsid w:val="00CC7FAA"/>
    <w:rsid w:val="00CD0056"/>
    <w:rsid w:val="00CD00D2"/>
    <w:rsid w:val="00CD0167"/>
    <w:rsid w:val="00CD0193"/>
    <w:rsid w:val="00CD020E"/>
    <w:rsid w:val="00CD02AD"/>
    <w:rsid w:val="00CD02E2"/>
    <w:rsid w:val="00CD03A8"/>
    <w:rsid w:val="00CD03B5"/>
    <w:rsid w:val="00CD054A"/>
    <w:rsid w:val="00CD05F2"/>
    <w:rsid w:val="00CD063C"/>
    <w:rsid w:val="00CD072C"/>
    <w:rsid w:val="00CD07A8"/>
    <w:rsid w:val="00CD0805"/>
    <w:rsid w:val="00CD08BD"/>
    <w:rsid w:val="00CD0989"/>
    <w:rsid w:val="00CD0A19"/>
    <w:rsid w:val="00CD0A4B"/>
    <w:rsid w:val="00CD0A8F"/>
    <w:rsid w:val="00CD0AC0"/>
    <w:rsid w:val="00CD0AC1"/>
    <w:rsid w:val="00CD0AE7"/>
    <w:rsid w:val="00CD0B5A"/>
    <w:rsid w:val="00CD0BB7"/>
    <w:rsid w:val="00CD0C18"/>
    <w:rsid w:val="00CD0CE1"/>
    <w:rsid w:val="00CD0D7D"/>
    <w:rsid w:val="00CD0DA6"/>
    <w:rsid w:val="00CD0DFB"/>
    <w:rsid w:val="00CD0E4E"/>
    <w:rsid w:val="00CD0E56"/>
    <w:rsid w:val="00CD0EC0"/>
    <w:rsid w:val="00CD0F01"/>
    <w:rsid w:val="00CD0F80"/>
    <w:rsid w:val="00CD1023"/>
    <w:rsid w:val="00CD108D"/>
    <w:rsid w:val="00CD1094"/>
    <w:rsid w:val="00CD12DA"/>
    <w:rsid w:val="00CD1307"/>
    <w:rsid w:val="00CD13BC"/>
    <w:rsid w:val="00CD144D"/>
    <w:rsid w:val="00CD14C6"/>
    <w:rsid w:val="00CD14D9"/>
    <w:rsid w:val="00CD1583"/>
    <w:rsid w:val="00CD1594"/>
    <w:rsid w:val="00CD15E8"/>
    <w:rsid w:val="00CD164F"/>
    <w:rsid w:val="00CD171F"/>
    <w:rsid w:val="00CD1720"/>
    <w:rsid w:val="00CD1722"/>
    <w:rsid w:val="00CD1956"/>
    <w:rsid w:val="00CD19B3"/>
    <w:rsid w:val="00CD1A92"/>
    <w:rsid w:val="00CD1AC0"/>
    <w:rsid w:val="00CD1B06"/>
    <w:rsid w:val="00CD1B9A"/>
    <w:rsid w:val="00CD1C4D"/>
    <w:rsid w:val="00CD1CC8"/>
    <w:rsid w:val="00CD1CCB"/>
    <w:rsid w:val="00CD1DC9"/>
    <w:rsid w:val="00CD1E3A"/>
    <w:rsid w:val="00CD1E4A"/>
    <w:rsid w:val="00CD1FDF"/>
    <w:rsid w:val="00CD2072"/>
    <w:rsid w:val="00CD209A"/>
    <w:rsid w:val="00CD2164"/>
    <w:rsid w:val="00CD2189"/>
    <w:rsid w:val="00CD224F"/>
    <w:rsid w:val="00CD2329"/>
    <w:rsid w:val="00CD2397"/>
    <w:rsid w:val="00CD23B6"/>
    <w:rsid w:val="00CD23D2"/>
    <w:rsid w:val="00CD246A"/>
    <w:rsid w:val="00CD2504"/>
    <w:rsid w:val="00CD25A0"/>
    <w:rsid w:val="00CD2649"/>
    <w:rsid w:val="00CD26B9"/>
    <w:rsid w:val="00CD26F6"/>
    <w:rsid w:val="00CD2728"/>
    <w:rsid w:val="00CD2824"/>
    <w:rsid w:val="00CD28EF"/>
    <w:rsid w:val="00CD29FA"/>
    <w:rsid w:val="00CD2BBA"/>
    <w:rsid w:val="00CD2C28"/>
    <w:rsid w:val="00CD2C5D"/>
    <w:rsid w:val="00CD2CAD"/>
    <w:rsid w:val="00CD2D57"/>
    <w:rsid w:val="00CD2DA7"/>
    <w:rsid w:val="00CD2E5D"/>
    <w:rsid w:val="00CD2E8E"/>
    <w:rsid w:val="00CD2EC5"/>
    <w:rsid w:val="00CD2F73"/>
    <w:rsid w:val="00CD2FA0"/>
    <w:rsid w:val="00CD2FD9"/>
    <w:rsid w:val="00CD3069"/>
    <w:rsid w:val="00CD31B7"/>
    <w:rsid w:val="00CD3226"/>
    <w:rsid w:val="00CD3250"/>
    <w:rsid w:val="00CD3346"/>
    <w:rsid w:val="00CD334A"/>
    <w:rsid w:val="00CD3372"/>
    <w:rsid w:val="00CD3384"/>
    <w:rsid w:val="00CD34EE"/>
    <w:rsid w:val="00CD3554"/>
    <w:rsid w:val="00CD3629"/>
    <w:rsid w:val="00CD3631"/>
    <w:rsid w:val="00CD371C"/>
    <w:rsid w:val="00CD38B5"/>
    <w:rsid w:val="00CD3915"/>
    <w:rsid w:val="00CD3B48"/>
    <w:rsid w:val="00CD3B6B"/>
    <w:rsid w:val="00CD3D17"/>
    <w:rsid w:val="00CD3D1F"/>
    <w:rsid w:val="00CD3D2F"/>
    <w:rsid w:val="00CD3DCD"/>
    <w:rsid w:val="00CD3E00"/>
    <w:rsid w:val="00CD3E86"/>
    <w:rsid w:val="00CD3F39"/>
    <w:rsid w:val="00CD4117"/>
    <w:rsid w:val="00CD4149"/>
    <w:rsid w:val="00CD415C"/>
    <w:rsid w:val="00CD4162"/>
    <w:rsid w:val="00CD41B5"/>
    <w:rsid w:val="00CD42D3"/>
    <w:rsid w:val="00CD430E"/>
    <w:rsid w:val="00CD430F"/>
    <w:rsid w:val="00CD434D"/>
    <w:rsid w:val="00CD434F"/>
    <w:rsid w:val="00CD4358"/>
    <w:rsid w:val="00CD441E"/>
    <w:rsid w:val="00CD4468"/>
    <w:rsid w:val="00CD4572"/>
    <w:rsid w:val="00CD45A4"/>
    <w:rsid w:val="00CD47F0"/>
    <w:rsid w:val="00CD47F2"/>
    <w:rsid w:val="00CD482A"/>
    <w:rsid w:val="00CD482F"/>
    <w:rsid w:val="00CD486A"/>
    <w:rsid w:val="00CD48A7"/>
    <w:rsid w:val="00CD48C8"/>
    <w:rsid w:val="00CD494D"/>
    <w:rsid w:val="00CD4979"/>
    <w:rsid w:val="00CD49C1"/>
    <w:rsid w:val="00CD4A11"/>
    <w:rsid w:val="00CD4C08"/>
    <w:rsid w:val="00CD4C76"/>
    <w:rsid w:val="00CD4CB6"/>
    <w:rsid w:val="00CD4D1D"/>
    <w:rsid w:val="00CD4D4C"/>
    <w:rsid w:val="00CD4DB7"/>
    <w:rsid w:val="00CD4F25"/>
    <w:rsid w:val="00CD4F55"/>
    <w:rsid w:val="00CD4F79"/>
    <w:rsid w:val="00CD4FB0"/>
    <w:rsid w:val="00CD507C"/>
    <w:rsid w:val="00CD525B"/>
    <w:rsid w:val="00CD5303"/>
    <w:rsid w:val="00CD5349"/>
    <w:rsid w:val="00CD538C"/>
    <w:rsid w:val="00CD538D"/>
    <w:rsid w:val="00CD555D"/>
    <w:rsid w:val="00CD5683"/>
    <w:rsid w:val="00CD56BC"/>
    <w:rsid w:val="00CD57A2"/>
    <w:rsid w:val="00CD57DA"/>
    <w:rsid w:val="00CD5867"/>
    <w:rsid w:val="00CD586E"/>
    <w:rsid w:val="00CD591B"/>
    <w:rsid w:val="00CD5A24"/>
    <w:rsid w:val="00CD5A43"/>
    <w:rsid w:val="00CD5A86"/>
    <w:rsid w:val="00CD5B0A"/>
    <w:rsid w:val="00CD5BC5"/>
    <w:rsid w:val="00CD5C33"/>
    <w:rsid w:val="00CD5CBD"/>
    <w:rsid w:val="00CD5D74"/>
    <w:rsid w:val="00CD5D97"/>
    <w:rsid w:val="00CD5DCE"/>
    <w:rsid w:val="00CD5DD2"/>
    <w:rsid w:val="00CD5EE7"/>
    <w:rsid w:val="00CD5EFC"/>
    <w:rsid w:val="00CD5F3A"/>
    <w:rsid w:val="00CD61D6"/>
    <w:rsid w:val="00CD61E1"/>
    <w:rsid w:val="00CD624E"/>
    <w:rsid w:val="00CD6417"/>
    <w:rsid w:val="00CD645F"/>
    <w:rsid w:val="00CD6461"/>
    <w:rsid w:val="00CD6568"/>
    <w:rsid w:val="00CD6659"/>
    <w:rsid w:val="00CD6808"/>
    <w:rsid w:val="00CD6851"/>
    <w:rsid w:val="00CD68CF"/>
    <w:rsid w:val="00CD698E"/>
    <w:rsid w:val="00CD69E1"/>
    <w:rsid w:val="00CD6C26"/>
    <w:rsid w:val="00CD6D24"/>
    <w:rsid w:val="00CD6D6D"/>
    <w:rsid w:val="00CD6E78"/>
    <w:rsid w:val="00CD6E8C"/>
    <w:rsid w:val="00CD6ED3"/>
    <w:rsid w:val="00CD700E"/>
    <w:rsid w:val="00CD7162"/>
    <w:rsid w:val="00CD7232"/>
    <w:rsid w:val="00CD72B5"/>
    <w:rsid w:val="00CD7431"/>
    <w:rsid w:val="00CD7437"/>
    <w:rsid w:val="00CD7463"/>
    <w:rsid w:val="00CD74E3"/>
    <w:rsid w:val="00CD75A7"/>
    <w:rsid w:val="00CD75FB"/>
    <w:rsid w:val="00CD7627"/>
    <w:rsid w:val="00CD7763"/>
    <w:rsid w:val="00CD777F"/>
    <w:rsid w:val="00CD783C"/>
    <w:rsid w:val="00CD78D6"/>
    <w:rsid w:val="00CD79EA"/>
    <w:rsid w:val="00CD7B4E"/>
    <w:rsid w:val="00CD7B4F"/>
    <w:rsid w:val="00CD7BAB"/>
    <w:rsid w:val="00CD7C37"/>
    <w:rsid w:val="00CD7C9D"/>
    <w:rsid w:val="00CD7D19"/>
    <w:rsid w:val="00CD7E74"/>
    <w:rsid w:val="00CD7EC5"/>
    <w:rsid w:val="00CD7FD5"/>
    <w:rsid w:val="00CE00AD"/>
    <w:rsid w:val="00CE0149"/>
    <w:rsid w:val="00CE01CF"/>
    <w:rsid w:val="00CE02C7"/>
    <w:rsid w:val="00CE03A7"/>
    <w:rsid w:val="00CE0449"/>
    <w:rsid w:val="00CE0482"/>
    <w:rsid w:val="00CE04FA"/>
    <w:rsid w:val="00CE054D"/>
    <w:rsid w:val="00CE0600"/>
    <w:rsid w:val="00CE074C"/>
    <w:rsid w:val="00CE07CA"/>
    <w:rsid w:val="00CE07E5"/>
    <w:rsid w:val="00CE081D"/>
    <w:rsid w:val="00CE0835"/>
    <w:rsid w:val="00CE0843"/>
    <w:rsid w:val="00CE088A"/>
    <w:rsid w:val="00CE0988"/>
    <w:rsid w:val="00CE0A06"/>
    <w:rsid w:val="00CE0ACB"/>
    <w:rsid w:val="00CE0B6B"/>
    <w:rsid w:val="00CE0BA8"/>
    <w:rsid w:val="00CE0BD7"/>
    <w:rsid w:val="00CE0BE1"/>
    <w:rsid w:val="00CE0C93"/>
    <w:rsid w:val="00CE0CFA"/>
    <w:rsid w:val="00CE0E70"/>
    <w:rsid w:val="00CE0E82"/>
    <w:rsid w:val="00CE1028"/>
    <w:rsid w:val="00CE1045"/>
    <w:rsid w:val="00CE10E2"/>
    <w:rsid w:val="00CE1250"/>
    <w:rsid w:val="00CE1259"/>
    <w:rsid w:val="00CE12F0"/>
    <w:rsid w:val="00CE138D"/>
    <w:rsid w:val="00CE1395"/>
    <w:rsid w:val="00CE1399"/>
    <w:rsid w:val="00CE155D"/>
    <w:rsid w:val="00CE15DE"/>
    <w:rsid w:val="00CE17EB"/>
    <w:rsid w:val="00CE180D"/>
    <w:rsid w:val="00CE190F"/>
    <w:rsid w:val="00CE1A09"/>
    <w:rsid w:val="00CE1A4F"/>
    <w:rsid w:val="00CE1AB5"/>
    <w:rsid w:val="00CE1AD2"/>
    <w:rsid w:val="00CE1B72"/>
    <w:rsid w:val="00CE1B7A"/>
    <w:rsid w:val="00CE1C47"/>
    <w:rsid w:val="00CE1E32"/>
    <w:rsid w:val="00CE1ED0"/>
    <w:rsid w:val="00CE1EDD"/>
    <w:rsid w:val="00CE1FB4"/>
    <w:rsid w:val="00CE20DA"/>
    <w:rsid w:val="00CE21FA"/>
    <w:rsid w:val="00CE2266"/>
    <w:rsid w:val="00CE22A5"/>
    <w:rsid w:val="00CE24B2"/>
    <w:rsid w:val="00CE25BF"/>
    <w:rsid w:val="00CE25CA"/>
    <w:rsid w:val="00CE25FE"/>
    <w:rsid w:val="00CE26ED"/>
    <w:rsid w:val="00CE2734"/>
    <w:rsid w:val="00CE27A7"/>
    <w:rsid w:val="00CE281B"/>
    <w:rsid w:val="00CE28B6"/>
    <w:rsid w:val="00CE28D2"/>
    <w:rsid w:val="00CE2977"/>
    <w:rsid w:val="00CE2A84"/>
    <w:rsid w:val="00CE2BD7"/>
    <w:rsid w:val="00CE2CDF"/>
    <w:rsid w:val="00CE2CEF"/>
    <w:rsid w:val="00CE2D2A"/>
    <w:rsid w:val="00CE2D5B"/>
    <w:rsid w:val="00CE2D5F"/>
    <w:rsid w:val="00CE2DA7"/>
    <w:rsid w:val="00CE2E3E"/>
    <w:rsid w:val="00CE2E62"/>
    <w:rsid w:val="00CE2E9F"/>
    <w:rsid w:val="00CE2FEB"/>
    <w:rsid w:val="00CE3047"/>
    <w:rsid w:val="00CE3094"/>
    <w:rsid w:val="00CE30DA"/>
    <w:rsid w:val="00CE30DD"/>
    <w:rsid w:val="00CE317F"/>
    <w:rsid w:val="00CE323F"/>
    <w:rsid w:val="00CE32C8"/>
    <w:rsid w:val="00CE34A2"/>
    <w:rsid w:val="00CE35F0"/>
    <w:rsid w:val="00CE36E0"/>
    <w:rsid w:val="00CE372F"/>
    <w:rsid w:val="00CE3833"/>
    <w:rsid w:val="00CE3848"/>
    <w:rsid w:val="00CE38D2"/>
    <w:rsid w:val="00CE396B"/>
    <w:rsid w:val="00CE3A26"/>
    <w:rsid w:val="00CE3A94"/>
    <w:rsid w:val="00CE3AB3"/>
    <w:rsid w:val="00CE3BCF"/>
    <w:rsid w:val="00CE3BDB"/>
    <w:rsid w:val="00CE3C9F"/>
    <w:rsid w:val="00CE3CAA"/>
    <w:rsid w:val="00CE3D2D"/>
    <w:rsid w:val="00CE3DFB"/>
    <w:rsid w:val="00CE3E16"/>
    <w:rsid w:val="00CE3E84"/>
    <w:rsid w:val="00CE404D"/>
    <w:rsid w:val="00CE405C"/>
    <w:rsid w:val="00CE407C"/>
    <w:rsid w:val="00CE407D"/>
    <w:rsid w:val="00CE4132"/>
    <w:rsid w:val="00CE4164"/>
    <w:rsid w:val="00CE418D"/>
    <w:rsid w:val="00CE4358"/>
    <w:rsid w:val="00CE440B"/>
    <w:rsid w:val="00CE444E"/>
    <w:rsid w:val="00CE460B"/>
    <w:rsid w:val="00CE461F"/>
    <w:rsid w:val="00CE46CB"/>
    <w:rsid w:val="00CE4805"/>
    <w:rsid w:val="00CE4851"/>
    <w:rsid w:val="00CE48D5"/>
    <w:rsid w:val="00CE4933"/>
    <w:rsid w:val="00CE4940"/>
    <w:rsid w:val="00CE4A1D"/>
    <w:rsid w:val="00CE4B88"/>
    <w:rsid w:val="00CE4D0D"/>
    <w:rsid w:val="00CE4DD8"/>
    <w:rsid w:val="00CE4E18"/>
    <w:rsid w:val="00CE4E4D"/>
    <w:rsid w:val="00CE4F58"/>
    <w:rsid w:val="00CE5068"/>
    <w:rsid w:val="00CE508F"/>
    <w:rsid w:val="00CE5106"/>
    <w:rsid w:val="00CE5175"/>
    <w:rsid w:val="00CE5242"/>
    <w:rsid w:val="00CE52E8"/>
    <w:rsid w:val="00CE52FA"/>
    <w:rsid w:val="00CE5591"/>
    <w:rsid w:val="00CE559B"/>
    <w:rsid w:val="00CE561D"/>
    <w:rsid w:val="00CE5676"/>
    <w:rsid w:val="00CE575F"/>
    <w:rsid w:val="00CE5766"/>
    <w:rsid w:val="00CE57ED"/>
    <w:rsid w:val="00CE5A2E"/>
    <w:rsid w:val="00CE5AA1"/>
    <w:rsid w:val="00CE5AD8"/>
    <w:rsid w:val="00CE5B4F"/>
    <w:rsid w:val="00CE5BB1"/>
    <w:rsid w:val="00CE5C67"/>
    <w:rsid w:val="00CE5C8A"/>
    <w:rsid w:val="00CE5D7B"/>
    <w:rsid w:val="00CE5D92"/>
    <w:rsid w:val="00CE5DA2"/>
    <w:rsid w:val="00CE5FFE"/>
    <w:rsid w:val="00CE6044"/>
    <w:rsid w:val="00CE6134"/>
    <w:rsid w:val="00CE61FA"/>
    <w:rsid w:val="00CE6262"/>
    <w:rsid w:val="00CE636E"/>
    <w:rsid w:val="00CE646E"/>
    <w:rsid w:val="00CE64A8"/>
    <w:rsid w:val="00CE65F0"/>
    <w:rsid w:val="00CE6611"/>
    <w:rsid w:val="00CE67D4"/>
    <w:rsid w:val="00CE68D2"/>
    <w:rsid w:val="00CE6904"/>
    <w:rsid w:val="00CE695B"/>
    <w:rsid w:val="00CE695C"/>
    <w:rsid w:val="00CE6E04"/>
    <w:rsid w:val="00CE6E2D"/>
    <w:rsid w:val="00CE6F23"/>
    <w:rsid w:val="00CE6F9A"/>
    <w:rsid w:val="00CE7002"/>
    <w:rsid w:val="00CE7019"/>
    <w:rsid w:val="00CE711B"/>
    <w:rsid w:val="00CE711C"/>
    <w:rsid w:val="00CE7131"/>
    <w:rsid w:val="00CE7153"/>
    <w:rsid w:val="00CE71E6"/>
    <w:rsid w:val="00CE74CA"/>
    <w:rsid w:val="00CE74E4"/>
    <w:rsid w:val="00CE75A2"/>
    <w:rsid w:val="00CE7690"/>
    <w:rsid w:val="00CE7752"/>
    <w:rsid w:val="00CE77C4"/>
    <w:rsid w:val="00CE7829"/>
    <w:rsid w:val="00CE78CF"/>
    <w:rsid w:val="00CE793C"/>
    <w:rsid w:val="00CE7943"/>
    <w:rsid w:val="00CE796D"/>
    <w:rsid w:val="00CE7982"/>
    <w:rsid w:val="00CE7A2E"/>
    <w:rsid w:val="00CE7C58"/>
    <w:rsid w:val="00CE7D9D"/>
    <w:rsid w:val="00CE7EC5"/>
    <w:rsid w:val="00CE7F06"/>
    <w:rsid w:val="00CE7F20"/>
    <w:rsid w:val="00CF0014"/>
    <w:rsid w:val="00CF0039"/>
    <w:rsid w:val="00CF0057"/>
    <w:rsid w:val="00CF00F2"/>
    <w:rsid w:val="00CF0147"/>
    <w:rsid w:val="00CF018C"/>
    <w:rsid w:val="00CF018D"/>
    <w:rsid w:val="00CF0201"/>
    <w:rsid w:val="00CF023C"/>
    <w:rsid w:val="00CF023F"/>
    <w:rsid w:val="00CF02FC"/>
    <w:rsid w:val="00CF0335"/>
    <w:rsid w:val="00CF037A"/>
    <w:rsid w:val="00CF03C0"/>
    <w:rsid w:val="00CF04E8"/>
    <w:rsid w:val="00CF0593"/>
    <w:rsid w:val="00CF05A7"/>
    <w:rsid w:val="00CF068E"/>
    <w:rsid w:val="00CF06AE"/>
    <w:rsid w:val="00CF06C2"/>
    <w:rsid w:val="00CF08AF"/>
    <w:rsid w:val="00CF08C9"/>
    <w:rsid w:val="00CF0A65"/>
    <w:rsid w:val="00CF0B21"/>
    <w:rsid w:val="00CF0B25"/>
    <w:rsid w:val="00CF0B44"/>
    <w:rsid w:val="00CF0B8F"/>
    <w:rsid w:val="00CF0BA7"/>
    <w:rsid w:val="00CF0CC8"/>
    <w:rsid w:val="00CF0D18"/>
    <w:rsid w:val="00CF0D1A"/>
    <w:rsid w:val="00CF0DB1"/>
    <w:rsid w:val="00CF0F21"/>
    <w:rsid w:val="00CF107D"/>
    <w:rsid w:val="00CF1131"/>
    <w:rsid w:val="00CF11CB"/>
    <w:rsid w:val="00CF11D8"/>
    <w:rsid w:val="00CF11DA"/>
    <w:rsid w:val="00CF11E0"/>
    <w:rsid w:val="00CF13AF"/>
    <w:rsid w:val="00CF14A8"/>
    <w:rsid w:val="00CF14D6"/>
    <w:rsid w:val="00CF1593"/>
    <w:rsid w:val="00CF1615"/>
    <w:rsid w:val="00CF1620"/>
    <w:rsid w:val="00CF1639"/>
    <w:rsid w:val="00CF16F7"/>
    <w:rsid w:val="00CF1702"/>
    <w:rsid w:val="00CF1707"/>
    <w:rsid w:val="00CF1825"/>
    <w:rsid w:val="00CF1829"/>
    <w:rsid w:val="00CF189F"/>
    <w:rsid w:val="00CF1910"/>
    <w:rsid w:val="00CF1991"/>
    <w:rsid w:val="00CF199B"/>
    <w:rsid w:val="00CF1A5F"/>
    <w:rsid w:val="00CF1B75"/>
    <w:rsid w:val="00CF1BC6"/>
    <w:rsid w:val="00CF1C7F"/>
    <w:rsid w:val="00CF1D00"/>
    <w:rsid w:val="00CF1EB6"/>
    <w:rsid w:val="00CF1EFB"/>
    <w:rsid w:val="00CF2102"/>
    <w:rsid w:val="00CF211E"/>
    <w:rsid w:val="00CF220A"/>
    <w:rsid w:val="00CF22DF"/>
    <w:rsid w:val="00CF230C"/>
    <w:rsid w:val="00CF238E"/>
    <w:rsid w:val="00CF23E5"/>
    <w:rsid w:val="00CF24CA"/>
    <w:rsid w:val="00CF264D"/>
    <w:rsid w:val="00CF267C"/>
    <w:rsid w:val="00CF2762"/>
    <w:rsid w:val="00CF2846"/>
    <w:rsid w:val="00CF2939"/>
    <w:rsid w:val="00CF2A12"/>
    <w:rsid w:val="00CF2A54"/>
    <w:rsid w:val="00CF2A71"/>
    <w:rsid w:val="00CF2A74"/>
    <w:rsid w:val="00CF2AA5"/>
    <w:rsid w:val="00CF2B57"/>
    <w:rsid w:val="00CF2B9E"/>
    <w:rsid w:val="00CF2BE5"/>
    <w:rsid w:val="00CF2C0E"/>
    <w:rsid w:val="00CF2C26"/>
    <w:rsid w:val="00CF2C58"/>
    <w:rsid w:val="00CF2D2F"/>
    <w:rsid w:val="00CF2DDA"/>
    <w:rsid w:val="00CF2EAC"/>
    <w:rsid w:val="00CF303D"/>
    <w:rsid w:val="00CF315B"/>
    <w:rsid w:val="00CF318F"/>
    <w:rsid w:val="00CF31A5"/>
    <w:rsid w:val="00CF3215"/>
    <w:rsid w:val="00CF3349"/>
    <w:rsid w:val="00CF338B"/>
    <w:rsid w:val="00CF33CA"/>
    <w:rsid w:val="00CF33D3"/>
    <w:rsid w:val="00CF33D7"/>
    <w:rsid w:val="00CF33E8"/>
    <w:rsid w:val="00CF34ED"/>
    <w:rsid w:val="00CF3584"/>
    <w:rsid w:val="00CF35F1"/>
    <w:rsid w:val="00CF39B1"/>
    <w:rsid w:val="00CF3A06"/>
    <w:rsid w:val="00CF3A0F"/>
    <w:rsid w:val="00CF3A18"/>
    <w:rsid w:val="00CF3A7A"/>
    <w:rsid w:val="00CF3A9C"/>
    <w:rsid w:val="00CF3B24"/>
    <w:rsid w:val="00CF3C34"/>
    <w:rsid w:val="00CF3CE1"/>
    <w:rsid w:val="00CF3D01"/>
    <w:rsid w:val="00CF3D3F"/>
    <w:rsid w:val="00CF3D50"/>
    <w:rsid w:val="00CF3E6C"/>
    <w:rsid w:val="00CF3F4D"/>
    <w:rsid w:val="00CF40D8"/>
    <w:rsid w:val="00CF417B"/>
    <w:rsid w:val="00CF4209"/>
    <w:rsid w:val="00CF420F"/>
    <w:rsid w:val="00CF4244"/>
    <w:rsid w:val="00CF430D"/>
    <w:rsid w:val="00CF4313"/>
    <w:rsid w:val="00CF436E"/>
    <w:rsid w:val="00CF4396"/>
    <w:rsid w:val="00CF4559"/>
    <w:rsid w:val="00CF4596"/>
    <w:rsid w:val="00CF4805"/>
    <w:rsid w:val="00CF48E0"/>
    <w:rsid w:val="00CF4971"/>
    <w:rsid w:val="00CF4976"/>
    <w:rsid w:val="00CF49A4"/>
    <w:rsid w:val="00CF49BF"/>
    <w:rsid w:val="00CF4A23"/>
    <w:rsid w:val="00CF4A4B"/>
    <w:rsid w:val="00CF4AD1"/>
    <w:rsid w:val="00CF4B60"/>
    <w:rsid w:val="00CF4BA5"/>
    <w:rsid w:val="00CF4CD5"/>
    <w:rsid w:val="00CF4D91"/>
    <w:rsid w:val="00CF4D94"/>
    <w:rsid w:val="00CF4ED9"/>
    <w:rsid w:val="00CF5097"/>
    <w:rsid w:val="00CF50E6"/>
    <w:rsid w:val="00CF520F"/>
    <w:rsid w:val="00CF53FB"/>
    <w:rsid w:val="00CF541C"/>
    <w:rsid w:val="00CF54BF"/>
    <w:rsid w:val="00CF55AA"/>
    <w:rsid w:val="00CF55AC"/>
    <w:rsid w:val="00CF56DF"/>
    <w:rsid w:val="00CF5772"/>
    <w:rsid w:val="00CF58AB"/>
    <w:rsid w:val="00CF59A8"/>
    <w:rsid w:val="00CF5A07"/>
    <w:rsid w:val="00CF5A7E"/>
    <w:rsid w:val="00CF5AE9"/>
    <w:rsid w:val="00CF5B07"/>
    <w:rsid w:val="00CF5CAD"/>
    <w:rsid w:val="00CF5D22"/>
    <w:rsid w:val="00CF5DDC"/>
    <w:rsid w:val="00CF5F30"/>
    <w:rsid w:val="00CF5FC9"/>
    <w:rsid w:val="00CF60D3"/>
    <w:rsid w:val="00CF6102"/>
    <w:rsid w:val="00CF614F"/>
    <w:rsid w:val="00CF61B8"/>
    <w:rsid w:val="00CF6223"/>
    <w:rsid w:val="00CF62FE"/>
    <w:rsid w:val="00CF63BB"/>
    <w:rsid w:val="00CF6405"/>
    <w:rsid w:val="00CF64A2"/>
    <w:rsid w:val="00CF64D4"/>
    <w:rsid w:val="00CF6550"/>
    <w:rsid w:val="00CF6554"/>
    <w:rsid w:val="00CF66A6"/>
    <w:rsid w:val="00CF6886"/>
    <w:rsid w:val="00CF6A62"/>
    <w:rsid w:val="00CF6AEA"/>
    <w:rsid w:val="00CF6B52"/>
    <w:rsid w:val="00CF6BA7"/>
    <w:rsid w:val="00CF6BDD"/>
    <w:rsid w:val="00CF6C09"/>
    <w:rsid w:val="00CF6C0D"/>
    <w:rsid w:val="00CF6C38"/>
    <w:rsid w:val="00CF6D24"/>
    <w:rsid w:val="00CF6E19"/>
    <w:rsid w:val="00CF6E26"/>
    <w:rsid w:val="00CF6EE4"/>
    <w:rsid w:val="00CF6F41"/>
    <w:rsid w:val="00CF6FA5"/>
    <w:rsid w:val="00CF6FD7"/>
    <w:rsid w:val="00CF709A"/>
    <w:rsid w:val="00CF70F3"/>
    <w:rsid w:val="00CF70F9"/>
    <w:rsid w:val="00CF7199"/>
    <w:rsid w:val="00CF7241"/>
    <w:rsid w:val="00CF73B1"/>
    <w:rsid w:val="00CF73D7"/>
    <w:rsid w:val="00CF7562"/>
    <w:rsid w:val="00CF75D3"/>
    <w:rsid w:val="00CF7832"/>
    <w:rsid w:val="00CF7ABF"/>
    <w:rsid w:val="00CF7ACD"/>
    <w:rsid w:val="00CF7B1F"/>
    <w:rsid w:val="00CF7B5B"/>
    <w:rsid w:val="00CF7C15"/>
    <w:rsid w:val="00CF7C55"/>
    <w:rsid w:val="00CF7C61"/>
    <w:rsid w:val="00CF7D14"/>
    <w:rsid w:val="00CF7D5A"/>
    <w:rsid w:val="00CF7E4E"/>
    <w:rsid w:val="00CF7E6F"/>
    <w:rsid w:val="00CF7F19"/>
    <w:rsid w:val="00CF7F49"/>
    <w:rsid w:val="00D00018"/>
    <w:rsid w:val="00D00062"/>
    <w:rsid w:val="00D000B1"/>
    <w:rsid w:val="00D00137"/>
    <w:rsid w:val="00D001F2"/>
    <w:rsid w:val="00D0024C"/>
    <w:rsid w:val="00D003F0"/>
    <w:rsid w:val="00D003F7"/>
    <w:rsid w:val="00D00460"/>
    <w:rsid w:val="00D004FA"/>
    <w:rsid w:val="00D00651"/>
    <w:rsid w:val="00D0086F"/>
    <w:rsid w:val="00D00909"/>
    <w:rsid w:val="00D00C5F"/>
    <w:rsid w:val="00D00C92"/>
    <w:rsid w:val="00D00D20"/>
    <w:rsid w:val="00D00E5B"/>
    <w:rsid w:val="00D00EF4"/>
    <w:rsid w:val="00D00F92"/>
    <w:rsid w:val="00D00FD6"/>
    <w:rsid w:val="00D01196"/>
    <w:rsid w:val="00D01313"/>
    <w:rsid w:val="00D014B8"/>
    <w:rsid w:val="00D0154B"/>
    <w:rsid w:val="00D0166F"/>
    <w:rsid w:val="00D01675"/>
    <w:rsid w:val="00D016D2"/>
    <w:rsid w:val="00D018C3"/>
    <w:rsid w:val="00D018E9"/>
    <w:rsid w:val="00D01A9E"/>
    <w:rsid w:val="00D01B0A"/>
    <w:rsid w:val="00D01B33"/>
    <w:rsid w:val="00D01B56"/>
    <w:rsid w:val="00D01BC3"/>
    <w:rsid w:val="00D01BD2"/>
    <w:rsid w:val="00D01C48"/>
    <w:rsid w:val="00D01C53"/>
    <w:rsid w:val="00D01CC0"/>
    <w:rsid w:val="00D01D58"/>
    <w:rsid w:val="00D01D92"/>
    <w:rsid w:val="00D01DB2"/>
    <w:rsid w:val="00D01E49"/>
    <w:rsid w:val="00D01E4F"/>
    <w:rsid w:val="00D01E83"/>
    <w:rsid w:val="00D02006"/>
    <w:rsid w:val="00D02311"/>
    <w:rsid w:val="00D02393"/>
    <w:rsid w:val="00D02568"/>
    <w:rsid w:val="00D02579"/>
    <w:rsid w:val="00D026E4"/>
    <w:rsid w:val="00D02772"/>
    <w:rsid w:val="00D02843"/>
    <w:rsid w:val="00D0292C"/>
    <w:rsid w:val="00D02A60"/>
    <w:rsid w:val="00D02AF1"/>
    <w:rsid w:val="00D02B3F"/>
    <w:rsid w:val="00D02B5A"/>
    <w:rsid w:val="00D02B7A"/>
    <w:rsid w:val="00D02BA8"/>
    <w:rsid w:val="00D02BB1"/>
    <w:rsid w:val="00D02BC3"/>
    <w:rsid w:val="00D02C25"/>
    <w:rsid w:val="00D02C42"/>
    <w:rsid w:val="00D02CB5"/>
    <w:rsid w:val="00D02D00"/>
    <w:rsid w:val="00D02E33"/>
    <w:rsid w:val="00D02E37"/>
    <w:rsid w:val="00D02EE6"/>
    <w:rsid w:val="00D02F68"/>
    <w:rsid w:val="00D0300B"/>
    <w:rsid w:val="00D03049"/>
    <w:rsid w:val="00D031AB"/>
    <w:rsid w:val="00D03222"/>
    <w:rsid w:val="00D0322F"/>
    <w:rsid w:val="00D032AD"/>
    <w:rsid w:val="00D03355"/>
    <w:rsid w:val="00D03381"/>
    <w:rsid w:val="00D033A9"/>
    <w:rsid w:val="00D034B4"/>
    <w:rsid w:val="00D034BC"/>
    <w:rsid w:val="00D0350D"/>
    <w:rsid w:val="00D035AC"/>
    <w:rsid w:val="00D03690"/>
    <w:rsid w:val="00D036C4"/>
    <w:rsid w:val="00D036D7"/>
    <w:rsid w:val="00D0374F"/>
    <w:rsid w:val="00D0378C"/>
    <w:rsid w:val="00D037E5"/>
    <w:rsid w:val="00D03874"/>
    <w:rsid w:val="00D0387E"/>
    <w:rsid w:val="00D038DB"/>
    <w:rsid w:val="00D038FC"/>
    <w:rsid w:val="00D03953"/>
    <w:rsid w:val="00D03974"/>
    <w:rsid w:val="00D0398E"/>
    <w:rsid w:val="00D039C1"/>
    <w:rsid w:val="00D03AA6"/>
    <w:rsid w:val="00D03B67"/>
    <w:rsid w:val="00D03C6C"/>
    <w:rsid w:val="00D03CE9"/>
    <w:rsid w:val="00D03D06"/>
    <w:rsid w:val="00D03DED"/>
    <w:rsid w:val="00D03F01"/>
    <w:rsid w:val="00D03F2E"/>
    <w:rsid w:val="00D03F3D"/>
    <w:rsid w:val="00D03FB2"/>
    <w:rsid w:val="00D04009"/>
    <w:rsid w:val="00D0405A"/>
    <w:rsid w:val="00D040EB"/>
    <w:rsid w:val="00D04124"/>
    <w:rsid w:val="00D041C2"/>
    <w:rsid w:val="00D041EF"/>
    <w:rsid w:val="00D04256"/>
    <w:rsid w:val="00D043A1"/>
    <w:rsid w:val="00D043FB"/>
    <w:rsid w:val="00D0442A"/>
    <w:rsid w:val="00D0448D"/>
    <w:rsid w:val="00D04567"/>
    <w:rsid w:val="00D045A5"/>
    <w:rsid w:val="00D045AE"/>
    <w:rsid w:val="00D045BA"/>
    <w:rsid w:val="00D046C3"/>
    <w:rsid w:val="00D046CD"/>
    <w:rsid w:val="00D049D2"/>
    <w:rsid w:val="00D04A1B"/>
    <w:rsid w:val="00D04A3F"/>
    <w:rsid w:val="00D04A48"/>
    <w:rsid w:val="00D04AAA"/>
    <w:rsid w:val="00D04D39"/>
    <w:rsid w:val="00D04E91"/>
    <w:rsid w:val="00D04ED8"/>
    <w:rsid w:val="00D04F3E"/>
    <w:rsid w:val="00D04FD7"/>
    <w:rsid w:val="00D05020"/>
    <w:rsid w:val="00D0511E"/>
    <w:rsid w:val="00D0512F"/>
    <w:rsid w:val="00D05165"/>
    <w:rsid w:val="00D05179"/>
    <w:rsid w:val="00D051E1"/>
    <w:rsid w:val="00D051F3"/>
    <w:rsid w:val="00D0534D"/>
    <w:rsid w:val="00D05408"/>
    <w:rsid w:val="00D054D9"/>
    <w:rsid w:val="00D05518"/>
    <w:rsid w:val="00D0552F"/>
    <w:rsid w:val="00D05551"/>
    <w:rsid w:val="00D05648"/>
    <w:rsid w:val="00D056C5"/>
    <w:rsid w:val="00D05722"/>
    <w:rsid w:val="00D05866"/>
    <w:rsid w:val="00D05969"/>
    <w:rsid w:val="00D05A9C"/>
    <w:rsid w:val="00D05B21"/>
    <w:rsid w:val="00D05B22"/>
    <w:rsid w:val="00D05B26"/>
    <w:rsid w:val="00D05C19"/>
    <w:rsid w:val="00D05C61"/>
    <w:rsid w:val="00D05CCF"/>
    <w:rsid w:val="00D05E13"/>
    <w:rsid w:val="00D0612B"/>
    <w:rsid w:val="00D06187"/>
    <w:rsid w:val="00D0618F"/>
    <w:rsid w:val="00D06222"/>
    <w:rsid w:val="00D06406"/>
    <w:rsid w:val="00D06454"/>
    <w:rsid w:val="00D065F8"/>
    <w:rsid w:val="00D06604"/>
    <w:rsid w:val="00D06735"/>
    <w:rsid w:val="00D067FA"/>
    <w:rsid w:val="00D06888"/>
    <w:rsid w:val="00D069C9"/>
    <w:rsid w:val="00D069D8"/>
    <w:rsid w:val="00D069F8"/>
    <w:rsid w:val="00D06A37"/>
    <w:rsid w:val="00D06A65"/>
    <w:rsid w:val="00D06AC4"/>
    <w:rsid w:val="00D06AD4"/>
    <w:rsid w:val="00D06C29"/>
    <w:rsid w:val="00D06DCC"/>
    <w:rsid w:val="00D06E18"/>
    <w:rsid w:val="00D06E36"/>
    <w:rsid w:val="00D06F6A"/>
    <w:rsid w:val="00D0705C"/>
    <w:rsid w:val="00D070AB"/>
    <w:rsid w:val="00D070AE"/>
    <w:rsid w:val="00D07259"/>
    <w:rsid w:val="00D072EB"/>
    <w:rsid w:val="00D072FF"/>
    <w:rsid w:val="00D07485"/>
    <w:rsid w:val="00D07488"/>
    <w:rsid w:val="00D0748A"/>
    <w:rsid w:val="00D074F3"/>
    <w:rsid w:val="00D07505"/>
    <w:rsid w:val="00D07633"/>
    <w:rsid w:val="00D076B8"/>
    <w:rsid w:val="00D076D6"/>
    <w:rsid w:val="00D07721"/>
    <w:rsid w:val="00D0772F"/>
    <w:rsid w:val="00D077BA"/>
    <w:rsid w:val="00D078CB"/>
    <w:rsid w:val="00D0793C"/>
    <w:rsid w:val="00D079B0"/>
    <w:rsid w:val="00D079B7"/>
    <w:rsid w:val="00D07A1C"/>
    <w:rsid w:val="00D07AD3"/>
    <w:rsid w:val="00D07C18"/>
    <w:rsid w:val="00D07CB4"/>
    <w:rsid w:val="00D07D31"/>
    <w:rsid w:val="00D07D54"/>
    <w:rsid w:val="00D07DEA"/>
    <w:rsid w:val="00D07F0C"/>
    <w:rsid w:val="00D07F7F"/>
    <w:rsid w:val="00D07FA4"/>
    <w:rsid w:val="00D1007B"/>
    <w:rsid w:val="00D1016C"/>
    <w:rsid w:val="00D101B7"/>
    <w:rsid w:val="00D101CB"/>
    <w:rsid w:val="00D101CD"/>
    <w:rsid w:val="00D10458"/>
    <w:rsid w:val="00D104F8"/>
    <w:rsid w:val="00D10540"/>
    <w:rsid w:val="00D106CA"/>
    <w:rsid w:val="00D10735"/>
    <w:rsid w:val="00D10738"/>
    <w:rsid w:val="00D10789"/>
    <w:rsid w:val="00D1078F"/>
    <w:rsid w:val="00D10894"/>
    <w:rsid w:val="00D10AB2"/>
    <w:rsid w:val="00D10BC7"/>
    <w:rsid w:val="00D10BF5"/>
    <w:rsid w:val="00D10C37"/>
    <w:rsid w:val="00D10C74"/>
    <w:rsid w:val="00D10DB9"/>
    <w:rsid w:val="00D10E09"/>
    <w:rsid w:val="00D10E20"/>
    <w:rsid w:val="00D10E78"/>
    <w:rsid w:val="00D10EC5"/>
    <w:rsid w:val="00D10F40"/>
    <w:rsid w:val="00D10F47"/>
    <w:rsid w:val="00D10F89"/>
    <w:rsid w:val="00D11005"/>
    <w:rsid w:val="00D11081"/>
    <w:rsid w:val="00D1121A"/>
    <w:rsid w:val="00D1121C"/>
    <w:rsid w:val="00D11225"/>
    <w:rsid w:val="00D11227"/>
    <w:rsid w:val="00D113D6"/>
    <w:rsid w:val="00D11586"/>
    <w:rsid w:val="00D1172C"/>
    <w:rsid w:val="00D1174D"/>
    <w:rsid w:val="00D11899"/>
    <w:rsid w:val="00D118A3"/>
    <w:rsid w:val="00D118DF"/>
    <w:rsid w:val="00D11A3C"/>
    <w:rsid w:val="00D11BAF"/>
    <w:rsid w:val="00D11CBA"/>
    <w:rsid w:val="00D11D0E"/>
    <w:rsid w:val="00D11E58"/>
    <w:rsid w:val="00D11EE2"/>
    <w:rsid w:val="00D11F36"/>
    <w:rsid w:val="00D11F5D"/>
    <w:rsid w:val="00D12018"/>
    <w:rsid w:val="00D12021"/>
    <w:rsid w:val="00D12063"/>
    <w:rsid w:val="00D12087"/>
    <w:rsid w:val="00D1213F"/>
    <w:rsid w:val="00D121EC"/>
    <w:rsid w:val="00D12278"/>
    <w:rsid w:val="00D1227F"/>
    <w:rsid w:val="00D122AC"/>
    <w:rsid w:val="00D125C2"/>
    <w:rsid w:val="00D126AC"/>
    <w:rsid w:val="00D127AC"/>
    <w:rsid w:val="00D12822"/>
    <w:rsid w:val="00D129D8"/>
    <w:rsid w:val="00D12A26"/>
    <w:rsid w:val="00D12A44"/>
    <w:rsid w:val="00D12A4E"/>
    <w:rsid w:val="00D12AE3"/>
    <w:rsid w:val="00D12B34"/>
    <w:rsid w:val="00D12B3D"/>
    <w:rsid w:val="00D12B72"/>
    <w:rsid w:val="00D12C3E"/>
    <w:rsid w:val="00D12CE5"/>
    <w:rsid w:val="00D12D6B"/>
    <w:rsid w:val="00D12E8C"/>
    <w:rsid w:val="00D12EEC"/>
    <w:rsid w:val="00D12FDB"/>
    <w:rsid w:val="00D13074"/>
    <w:rsid w:val="00D130D8"/>
    <w:rsid w:val="00D13117"/>
    <w:rsid w:val="00D1328D"/>
    <w:rsid w:val="00D13300"/>
    <w:rsid w:val="00D1340A"/>
    <w:rsid w:val="00D13536"/>
    <w:rsid w:val="00D1353C"/>
    <w:rsid w:val="00D13582"/>
    <w:rsid w:val="00D1371B"/>
    <w:rsid w:val="00D13766"/>
    <w:rsid w:val="00D13785"/>
    <w:rsid w:val="00D137F2"/>
    <w:rsid w:val="00D13872"/>
    <w:rsid w:val="00D13879"/>
    <w:rsid w:val="00D13927"/>
    <w:rsid w:val="00D1394F"/>
    <w:rsid w:val="00D1398B"/>
    <w:rsid w:val="00D13B8F"/>
    <w:rsid w:val="00D13BD5"/>
    <w:rsid w:val="00D13BDD"/>
    <w:rsid w:val="00D13C9D"/>
    <w:rsid w:val="00D13D29"/>
    <w:rsid w:val="00D13FA7"/>
    <w:rsid w:val="00D13FE5"/>
    <w:rsid w:val="00D140C7"/>
    <w:rsid w:val="00D1413D"/>
    <w:rsid w:val="00D142B6"/>
    <w:rsid w:val="00D14314"/>
    <w:rsid w:val="00D1432A"/>
    <w:rsid w:val="00D146D0"/>
    <w:rsid w:val="00D146D5"/>
    <w:rsid w:val="00D14729"/>
    <w:rsid w:val="00D14734"/>
    <w:rsid w:val="00D14778"/>
    <w:rsid w:val="00D147C0"/>
    <w:rsid w:val="00D14960"/>
    <w:rsid w:val="00D14966"/>
    <w:rsid w:val="00D149BA"/>
    <w:rsid w:val="00D14A29"/>
    <w:rsid w:val="00D14A2E"/>
    <w:rsid w:val="00D14AE9"/>
    <w:rsid w:val="00D14B38"/>
    <w:rsid w:val="00D14B7F"/>
    <w:rsid w:val="00D14B89"/>
    <w:rsid w:val="00D14BA2"/>
    <w:rsid w:val="00D14C26"/>
    <w:rsid w:val="00D14CB4"/>
    <w:rsid w:val="00D14D6B"/>
    <w:rsid w:val="00D14E0B"/>
    <w:rsid w:val="00D14E63"/>
    <w:rsid w:val="00D14E89"/>
    <w:rsid w:val="00D14F5F"/>
    <w:rsid w:val="00D151E3"/>
    <w:rsid w:val="00D15290"/>
    <w:rsid w:val="00D15375"/>
    <w:rsid w:val="00D15450"/>
    <w:rsid w:val="00D15491"/>
    <w:rsid w:val="00D154AA"/>
    <w:rsid w:val="00D15593"/>
    <w:rsid w:val="00D155C6"/>
    <w:rsid w:val="00D15640"/>
    <w:rsid w:val="00D15727"/>
    <w:rsid w:val="00D157B3"/>
    <w:rsid w:val="00D157BE"/>
    <w:rsid w:val="00D15830"/>
    <w:rsid w:val="00D15935"/>
    <w:rsid w:val="00D1596D"/>
    <w:rsid w:val="00D15A2E"/>
    <w:rsid w:val="00D15B3A"/>
    <w:rsid w:val="00D15B5A"/>
    <w:rsid w:val="00D15B85"/>
    <w:rsid w:val="00D15BDA"/>
    <w:rsid w:val="00D15C57"/>
    <w:rsid w:val="00D15CAB"/>
    <w:rsid w:val="00D15D26"/>
    <w:rsid w:val="00D15E91"/>
    <w:rsid w:val="00D15EDB"/>
    <w:rsid w:val="00D15F58"/>
    <w:rsid w:val="00D15FBC"/>
    <w:rsid w:val="00D15FC4"/>
    <w:rsid w:val="00D16210"/>
    <w:rsid w:val="00D16499"/>
    <w:rsid w:val="00D16637"/>
    <w:rsid w:val="00D16687"/>
    <w:rsid w:val="00D1670B"/>
    <w:rsid w:val="00D16759"/>
    <w:rsid w:val="00D167D4"/>
    <w:rsid w:val="00D1680B"/>
    <w:rsid w:val="00D16813"/>
    <w:rsid w:val="00D16936"/>
    <w:rsid w:val="00D169BE"/>
    <w:rsid w:val="00D169F4"/>
    <w:rsid w:val="00D16ABB"/>
    <w:rsid w:val="00D16C19"/>
    <w:rsid w:val="00D16CAE"/>
    <w:rsid w:val="00D16D32"/>
    <w:rsid w:val="00D16D7A"/>
    <w:rsid w:val="00D16DC9"/>
    <w:rsid w:val="00D16F95"/>
    <w:rsid w:val="00D16FB0"/>
    <w:rsid w:val="00D170C1"/>
    <w:rsid w:val="00D17144"/>
    <w:rsid w:val="00D172F8"/>
    <w:rsid w:val="00D174AD"/>
    <w:rsid w:val="00D17558"/>
    <w:rsid w:val="00D17569"/>
    <w:rsid w:val="00D1759E"/>
    <w:rsid w:val="00D17629"/>
    <w:rsid w:val="00D17652"/>
    <w:rsid w:val="00D176F2"/>
    <w:rsid w:val="00D1788C"/>
    <w:rsid w:val="00D17932"/>
    <w:rsid w:val="00D179AF"/>
    <w:rsid w:val="00D179C6"/>
    <w:rsid w:val="00D179CE"/>
    <w:rsid w:val="00D17A96"/>
    <w:rsid w:val="00D17B3B"/>
    <w:rsid w:val="00D17D04"/>
    <w:rsid w:val="00D17D7F"/>
    <w:rsid w:val="00D17DD8"/>
    <w:rsid w:val="00D17E0B"/>
    <w:rsid w:val="00D17E64"/>
    <w:rsid w:val="00D17EA9"/>
    <w:rsid w:val="00D17EB5"/>
    <w:rsid w:val="00D17F86"/>
    <w:rsid w:val="00D17FDD"/>
    <w:rsid w:val="00D20181"/>
    <w:rsid w:val="00D2018C"/>
    <w:rsid w:val="00D2019A"/>
    <w:rsid w:val="00D20452"/>
    <w:rsid w:val="00D20456"/>
    <w:rsid w:val="00D20477"/>
    <w:rsid w:val="00D20479"/>
    <w:rsid w:val="00D2054B"/>
    <w:rsid w:val="00D2054E"/>
    <w:rsid w:val="00D20570"/>
    <w:rsid w:val="00D20579"/>
    <w:rsid w:val="00D20580"/>
    <w:rsid w:val="00D2073E"/>
    <w:rsid w:val="00D207ED"/>
    <w:rsid w:val="00D2080F"/>
    <w:rsid w:val="00D2085F"/>
    <w:rsid w:val="00D2089E"/>
    <w:rsid w:val="00D209F6"/>
    <w:rsid w:val="00D20A77"/>
    <w:rsid w:val="00D20AD3"/>
    <w:rsid w:val="00D20B57"/>
    <w:rsid w:val="00D20C70"/>
    <w:rsid w:val="00D20C99"/>
    <w:rsid w:val="00D20CB0"/>
    <w:rsid w:val="00D20DA5"/>
    <w:rsid w:val="00D20DAC"/>
    <w:rsid w:val="00D20EAE"/>
    <w:rsid w:val="00D20F53"/>
    <w:rsid w:val="00D2100D"/>
    <w:rsid w:val="00D21116"/>
    <w:rsid w:val="00D2113E"/>
    <w:rsid w:val="00D211B2"/>
    <w:rsid w:val="00D211D1"/>
    <w:rsid w:val="00D211EA"/>
    <w:rsid w:val="00D21207"/>
    <w:rsid w:val="00D21351"/>
    <w:rsid w:val="00D2138D"/>
    <w:rsid w:val="00D213E9"/>
    <w:rsid w:val="00D21589"/>
    <w:rsid w:val="00D215D8"/>
    <w:rsid w:val="00D215DB"/>
    <w:rsid w:val="00D21612"/>
    <w:rsid w:val="00D2164F"/>
    <w:rsid w:val="00D21717"/>
    <w:rsid w:val="00D21776"/>
    <w:rsid w:val="00D217DC"/>
    <w:rsid w:val="00D21A06"/>
    <w:rsid w:val="00D21C24"/>
    <w:rsid w:val="00D21DD2"/>
    <w:rsid w:val="00D21EC9"/>
    <w:rsid w:val="00D2218B"/>
    <w:rsid w:val="00D221B3"/>
    <w:rsid w:val="00D22226"/>
    <w:rsid w:val="00D22292"/>
    <w:rsid w:val="00D223AA"/>
    <w:rsid w:val="00D22475"/>
    <w:rsid w:val="00D22479"/>
    <w:rsid w:val="00D224AA"/>
    <w:rsid w:val="00D22525"/>
    <w:rsid w:val="00D2254D"/>
    <w:rsid w:val="00D22582"/>
    <w:rsid w:val="00D22600"/>
    <w:rsid w:val="00D226B7"/>
    <w:rsid w:val="00D22702"/>
    <w:rsid w:val="00D22769"/>
    <w:rsid w:val="00D227E6"/>
    <w:rsid w:val="00D2280A"/>
    <w:rsid w:val="00D22844"/>
    <w:rsid w:val="00D22867"/>
    <w:rsid w:val="00D22A55"/>
    <w:rsid w:val="00D22AB8"/>
    <w:rsid w:val="00D22BA1"/>
    <w:rsid w:val="00D22C2B"/>
    <w:rsid w:val="00D22CF2"/>
    <w:rsid w:val="00D22D82"/>
    <w:rsid w:val="00D22E67"/>
    <w:rsid w:val="00D22F9C"/>
    <w:rsid w:val="00D2321E"/>
    <w:rsid w:val="00D232E5"/>
    <w:rsid w:val="00D2337D"/>
    <w:rsid w:val="00D234A3"/>
    <w:rsid w:val="00D2356B"/>
    <w:rsid w:val="00D23811"/>
    <w:rsid w:val="00D23850"/>
    <w:rsid w:val="00D238DC"/>
    <w:rsid w:val="00D23929"/>
    <w:rsid w:val="00D23930"/>
    <w:rsid w:val="00D23938"/>
    <w:rsid w:val="00D23945"/>
    <w:rsid w:val="00D239DC"/>
    <w:rsid w:val="00D23A43"/>
    <w:rsid w:val="00D23A5F"/>
    <w:rsid w:val="00D23B4F"/>
    <w:rsid w:val="00D23B69"/>
    <w:rsid w:val="00D23D26"/>
    <w:rsid w:val="00D23D6B"/>
    <w:rsid w:val="00D23DBE"/>
    <w:rsid w:val="00D23DCD"/>
    <w:rsid w:val="00D23E3B"/>
    <w:rsid w:val="00D23E5A"/>
    <w:rsid w:val="00D23F3E"/>
    <w:rsid w:val="00D23FA4"/>
    <w:rsid w:val="00D23FDB"/>
    <w:rsid w:val="00D2409B"/>
    <w:rsid w:val="00D240C6"/>
    <w:rsid w:val="00D241F3"/>
    <w:rsid w:val="00D24290"/>
    <w:rsid w:val="00D242F5"/>
    <w:rsid w:val="00D24439"/>
    <w:rsid w:val="00D244C4"/>
    <w:rsid w:val="00D245FC"/>
    <w:rsid w:val="00D246F4"/>
    <w:rsid w:val="00D24700"/>
    <w:rsid w:val="00D24743"/>
    <w:rsid w:val="00D247D4"/>
    <w:rsid w:val="00D247F5"/>
    <w:rsid w:val="00D24819"/>
    <w:rsid w:val="00D24840"/>
    <w:rsid w:val="00D2487D"/>
    <w:rsid w:val="00D24A42"/>
    <w:rsid w:val="00D24A6A"/>
    <w:rsid w:val="00D24ADE"/>
    <w:rsid w:val="00D24C78"/>
    <w:rsid w:val="00D24C8C"/>
    <w:rsid w:val="00D24EB5"/>
    <w:rsid w:val="00D24F38"/>
    <w:rsid w:val="00D24F3F"/>
    <w:rsid w:val="00D24F40"/>
    <w:rsid w:val="00D24FA3"/>
    <w:rsid w:val="00D250F7"/>
    <w:rsid w:val="00D251F3"/>
    <w:rsid w:val="00D25251"/>
    <w:rsid w:val="00D2548E"/>
    <w:rsid w:val="00D254E5"/>
    <w:rsid w:val="00D254F9"/>
    <w:rsid w:val="00D25547"/>
    <w:rsid w:val="00D25722"/>
    <w:rsid w:val="00D2578A"/>
    <w:rsid w:val="00D257C4"/>
    <w:rsid w:val="00D257E0"/>
    <w:rsid w:val="00D257F1"/>
    <w:rsid w:val="00D2591E"/>
    <w:rsid w:val="00D25921"/>
    <w:rsid w:val="00D25987"/>
    <w:rsid w:val="00D25A10"/>
    <w:rsid w:val="00D25A2E"/>
    <w:rsid w:val="00D25B60"/>
    <w:rsid w:val="00D25E40"/>
    <w:rsid w:val="00D25E5F"/>
    <w:rsid w:val="00D26238"/>
    <w:rsid w:val="00D2632A"/>
    <w:rsid w:val="00D2682C"/>
    <w:rsid w:val="00D268C9"/>
    <w:rsid w:val="00D269CC"/>
    <w:rsid w:val="00D26AED"/>
    <w:rsid w:val="00D26B1D"/>
    <w:rsid w:val="00D26C72"/>
    <w:rsid w:val="00D26DE6"/>
    <w:rsid w:val="00D26E1B"/>
    <w:rsid w:val="00D26E26"/>
    <w:rsid w:val="00D26EC8"/>
    <w:rsid w:val="00D26FA3"/>
    <w:rsid w:val="00D27017"/>
    <w:rsid w:val="00D27052"/>
    <w:rsid w:val="00D27095"/>
    <w:rsid w:val="00D2712C"/>
    <w:rsid w:val="00D2715E"/>
    <w:rsid w:val="00D2724A"/>
    <w:rsid w:val="00D2724C"/>
    <w:rsid w:val="00D27359"/>
    <w:rsid w:val="00D27394"/>
    <w:rsid w:val="00D273CD"/>
    <w:rsid w:val="00D27404"/>
    <w:rsid w:val="00D2743B"/>
    <w:rsid w:val="00D27446"/>
    <w:rsid w:val="00D27550"/>
    <w:rsid w:val="00D27581"/>
    <w:rsid w:val="00D276F9"/>
    <w:rsid w:val="00D2776D"/>
    <w:rsid w:val="00D2778A"/>
    <w:rsid w:val="00D27794"/>
    <w:rsid w:val="00D27870"/>
    <w:rsid w:val="00D27874"/>
    <w:rsid w:val="00D27A06"/>
    <w:rsid w:val="00D27A41"/>
    <w:rsid w:val="00D27B3E"/>
    <w:rsid w:val="00D27C93"/>
    <w:rsid w:val="00D27D74"/>
    <w:rsid w:val="00D27D9A"/>
    <w:rsid w:val="00D27DDB"/>
    <w:rsid w:val="00D27E38"/>
    <w:rsid w:val="00D27F04"/>
    <w:rsid w:val="00D27FFB"/>
    <w:rsid w:val="00D30121"/>
    <w:rsid w:val="00D301B0"/>
    <w:rsid w:val="00D301B9"/>
    <w:rsid w:val="00D301ED"/>
    <w:rsid w:val="00D303F7"/>
    <w:rsid w:val="00D30480"/>
    <w:rsid w:val="00D304A2"/>
    <w:rsid w:val="00D3066C"/>
    <w:rsid w:val="00D3079F"/>
    <w:rsid w:val="00D30A49"/>
    <w:rsid w:val="00D30AD9"/>
    <w:rsid w:val="00D30B06"/>
    <w:rsid w:val="00D30BB0"/>
    <w:rsid w:val="00D30C92"/>
    <w:rsid w:val="00D30CEC"/>
    <w:rsid w:val="00D30D2D"/>
    <w:rsid w:val="00D30D46"/>
    <w:rsid w:val="00D30E22"/>
    <w:rsid w:val="00D30E46"/>
    <w:rsid w:val="00D30E6A"/>
    <w:rsid w:val="00D30E84"/>
    <w:rsid w:val="00D30FA3"/>
    <w:rsid w:val="00D30FF4"/>
    <w:rsid w:val="00D3100C"/>
    <w:rsid w:val="00D31057"/>
    <w:rsid w:val="00D31068"/>
    <w:rsid w:val="00D310B9"/>
    <w:rsid w:val="00D31111"/>
    <w:rsid w:val="00D312D1"/>
    <w:rsid w:val="00D31303"/>
    <w:rsid w:val="00D313CD"/>
    <w:rsid w:val="00D316AB"/>
    <w:rsid w:val="00D31808"/>
    <w:rsid w:val="00D3189A"/>
    <w:rsid w:val="00D318A5"/>
    <w:rsid w:val="00D31906"/>
    <w:rsid w:val="00D3192E"/>
    <w:rsid w:val="00D31958"/>
    <w:rsid w:val="00D3195A"/>
    <w:rsid w:val="00D31AD2"/>
    <w:rsid w:val="00D31B50"/>
    <w:rsid w:val="00D31C4D"/>
    <w:rsid w:val="00D31D1B"/>
    <w:rsid w:val="00D31D64"/>
    <w:rsid w:val="00D31D99"/>
    <w:rsid w:val="00D31E20"/>
    <w:rsid w:val="00D31E87"/>
    <w:rsid w:val="00D31EB4"/>
    <w:rsid w:val="00D31EF5"/>
    <w:rsid w:val="00D31F17"/>
    <w:rsid w:val="00D31FCB"/>
    <w:rsid w:val="00D32298"/>
    <w:rsid w:val="00D32408"/>
    <w:rsid w:val="00D3244A"/>
    <w:rsid w:val="00D324F0"/>
    <w:rsid w:val="00D3253C"/>
    <w:rsid w:val="00D325CA"/>
    <w:rsid w:val="00D3266C"/>
    <w:rsid w:val="00D3267E"/>
    <w:rsid w:val="00D32695"/>
    <w:rsid w:val="00D3291C"/>
    <w:rsid w:val="00D329A6"/>
    <w:rsid w:val="00D32A80"/>
    <w:rsid w:val="00D32AE9"/>
    <w:rsid w:val="00D32C0E"/>
    <w:rsid w:val="00D32CE8"/>
    <w:rsid w:val="00D32D00"/>
    <w:rsid w:val="00D32E0F"/>
    <w:rsid w:val="00D32E29"/>
    <w:rsid w:val="00D32F25"/>
    <w:rsid w:val="00D32F5A"/>
    <w:rsid w:val="00D32F5C"/>
    <w:rsid w:val="00D32FC2"/>
    <w:rsid w:val="00D32FF3"/>
    <w:rsid w:val="00D33259"/>
    <w:rsid w:val="00D332D1"/>
    <w:rsid w:val="00D33389"/>
    <w:rsid w:val="00D333BB"/>
    <w:rsid w:val="00D333C6"/>
    <w:rsid w:val="00D33612"/>
    <w:rsid w:val="00D336F4"/>
    <w:rsid w:val="00D337DD"/>
    <w:rsid w:val="00D3387F"/>
    <w:rsid w:val="00D33D79"/>
    <w:rsid w:val="00D33DB3"/>
    <w:rsid w:val="00D33E33"/>
    <w:rsid w:val="00D33E96"/>
    <w:rsid w:val="00D33F96"/>
    <w:rsid w:val="00D3407A"/>
    <w:rsid w:val="00D34116"/>
    <w:rsid w:val="00D341E2"/>
    <w:rsid w:val="00D341EE"/>
    <w:rsid w:val="00D34244"/>
    <w:rsid w:val="00D3429D"/>
    <w:rsid w:val="00D342D9"/>
    <w:rsid w:val="00D34318"/>
    <w:rsid w:val="00D34343"/>
    <w:rsid w:val="00D3437F"/>
    <w:rsid w:val="00D34396"/>
    <w:rsid w:val="00D3440F"/>
    <w:rsid w:val="00D34465"/>
    <w:rsid w:val="00D34480"/>
    <w:rsid w:val="00D344AD"/>
    <w:rsid w:val="00D344ED"/>
    <w:rsid w:val="00D34551"/>
    <w:rsid w:val="00D345ED"/>
    <w:rsid w:val="00D34666"/>
    <w:rsid w:val="00D3492C"/>
    <w:rsid w:val="00D34AA9"/>
    <w:rsid w:val="00D34EAB"/>
    <w:rsid w:val="00D34FA5"/>
    <w:rsid w:val="00D34FC4"/>
    <w:rsid w:val="00D34FD1"/>
    <w:rsid w:val="00D3502A"/>
    <w:rsid w:val="00D3504B"/>
    <w:rsid w:val="00D3509A"/>
    <w:rsid w:val="00D35135"/>
    <w:rsid w:val="00D35244"/>
    <w:rsid w:val="00D35245"/>
    <w:rsid w:val="00D3524B"/>
    <w:rsid w:val="00D3529A"/>
    <w:rsid w:val="00D352BD"/>
    <w:rsid w:val="00D35486"/>
    <w:rsid w:val="00D35537"/>
    <w:rsid w:val="00D35559"/>
    <w:rsid w:val="00D3566C"/>
    <w:rsid w:val="00D356B0"/>
    <w:rsid w:val="00D35744"/>
    <w:rsid w:val="00D358ED"/>
    <w:rsid w:val="00D3596C"/>
    <w:rsid w:val="00D35A8D"/>
    <w:rsid w:val="00D35BD6"/>
    <w:rsid w:val="00D35C53"/>
    <w:rsid w:val="00D35C95"/>
    <w:rsid w:val="00D35CD7"/>
    <w:rsid w:val="00D35E26"/>
    <w:rsid w:val="00D35E39"/>
    <w:rsid w:val="00D35E8E"/>
    <w:rsid w:val="00D35F08"/>
    <w:rsid w:val="00D35F17"/>
    <w:rsid w:val="00D35F75"/>
    <w:rsid w:val="00D36001"/>
    <w:rsid w:val="00D3605D"/>
    <w:rsid w:val="00D360F6"/>
    <w:rsid w:val="00D3612B"/>
    <w:rsid w:val="00D36158"/>
    <w:rsid w:val="00D36160"/>
    <w:rsid w:val="00D361C1"/>
    <w:rsid w:val="00D3621B"/>
    <w:rsid w:val="00D3627F"/>
    <w:rsid w:val="00D36321"/>
    <w:rsid w:val="00D36361"/>
    <w:rsid w:val="00D364BB"/>
    <w:rsid w:val="00D366F6"/>
    <w:rsid w:val="00D3674D"/>
    <w:rsid w:val="00D36767"/>
    <w:rsid w:val="00D36788"/>
    <w:rsid w:val="00D36802"/>
    <w:rsid w:val="00D3689D"/>
    <w:rsid w:val="00D368E8"/>
    <w:rsid w:val="00D3698A"/>
    <w:rsid w:val="00D36A2E"/>
    <w:rsid w:val="00D36AC3"/>
    <w:rsid w:val="00D36AEB"/>
    <w:rsid w:val="00D36BA3"/>
    <w:rsid w:val="00D36BA9"/>
    <w:rsid w:val="00D36BF8"/>
    <w:rsid w:val="00D36D4C"/>
    <w:rsid w:val="00D36D89"/>
    <w:rsid w:val="00D36E1D"/>
    <w:rsid w:val="00D36ECF"/>
    <w:rsid w:val="00D36FA3"/>
    <w:rsid w:val="00D36FF1"/>
    <w:rsid w:val="00D37183"/>
    <w:rsid w:val="00D371E2"/>
    <w:rsid w:val="00D371E6"/>
    <w:rsid w:val="00D372EF"/>
    <w:rsid w:val="00D3731B"/>
    <w:rsid w:val="00D37365"/>
    <w:rsid w:val="00D373D3"/>
    <w:rsid w:val="00D37459"/>
    <w:rsid w:val="00D37576"/>
    <w:rsid w:val="00D37632"/>
    <w:rsid w:val="00D3763A"/>
    <w:rsid w:val="00D376DC"/>
    <w:rsid w:val="00D3780D"/>
    <w:rsid w:val="00D37855"/>
    <w:rsid w:val="00D37936"/>
    <w:rsid w:val="00D37943"/>
    <w:rsid w:val="00D379B9"/>
    <w:rsid w:val="00D37A0A"/>
    <w:rsid w:val="00D37A38"/>
    <w:rsid w:val="00D37A80"/>
    <w:rsid w:val="00D37D1E"/>
    <w:rsid w:val="00D37D4B"/>
    <w:rsid w:val="00D37D6A"/>
    <w:rsid w:val="00D37E53"/>
    <w:rsid w:val="00D37E68"/>
    <w:rsid w:val="00D37E7E"/>
    <w:rsid w:val="00D37ED6"/>
    <w:rsid w:val="00D37F2F"/>
    <w:rsid w:val="00D37F95"/>
    <w:rsid w:val="00D4025E"/>
    <w:rsid w:val="00D40515"/>
    <w:rsid w:val="00D4051D"/>
    <w:rsid w:val="00D40546"/>
    <w:rsid w:val="00D405B9"/>
    <w:rsid w:val="00D405BF"/>
    <w:rsid w:val="00D4060D"/>
    <w:rsid w:val="00D4062E"/>
    <w:rsid w:val="00D408E9"/>
    <w:rsid w:val="00D409FE"/>
    <w:rsid w:val="00D40B71"/>
    <w:rsid w:val="00D40BF3"/>
    <w:rsid w:val="00D40C51"/>
    <w:rsid w:val="00D40CDC"/>
    <w:rsid w:val="00D40DAF"/>
    <w:rsid w:val="00D40E3D"/>
    <w:rsid w:val="00D410AA"/>
    <w:rsid w:val="00D410BB"/>
    <w:rsid w:val="00D41198"/>
    <w:rsid w:val="00D41225"/>
    <w:rsid w:val="00D412C9"/>
    <w:rsid w:val="00D41384"/>
    <w:rsid w:val="00D413B9"/>
    <w:rsid w:val="00D413C9"/>
    <w:rsid w:val="00D41443"/>
    <w:rsid w:val="00D41564"/>
    <w:rsid w:val="00D41658"/>
    <w:rsid w:val="00D41695"/>
    <w:rsid w:val="00D416A9"/>
    <w:rsid w:val="00D41791"/>
    <w:rsid w:val="00D417D3"/>
    <w:rsid w:val="00D419D7"/>
    <w:rsid w:val="00D41A83"/>
    <w:rsid w:val="00D41C91"/>
    <w:rsid w:val="00D41D01"/>
    <w:rsid w:val="00D41D23"/>
    <w:rsid w:val="00D41D92"/>
    <w:rsid w:val="00D41DE9"/>
    <w:rsid w:val="00D41F38"/>
    <w:rsid w:val="00D42053"/>
    <w:rsid w:val="00D42076"/>
    <w:rsid w:val="00D420AD"/>
    <w:rsid w:val="00D420B6"/>
    <w:rsid w:val="00D42238"/>
    <w:rsid w:val="00D4238F"/>
    <w:rsid w:val="00D42448"/>
    <w:rsid w:val="00D42482"/>
    <w:rsid w:val="00D424A4"/>
    <w:rsid w:val="00D424EB"/>
    <w:rsid w:val="00D4254E"/>
    <w:rsid w:val="00D425C8"/>
    <w:rsid w:val="00D42600"/>
    <w:rsid w:val="00D426E5"/>
    <w:rsid w:val="00D42757"/>
    <w:rsid w:val="00D427F7"/>
    <w:rsid w:val="00D428AC"/>
    <w:rsid w:val="00D4295A"/>
    <w:rsid w:val="00D42A82"/>
    <w:rsid w:val="00D42A92"/>
    <w:rsid w:val="00D42B4C"/>
    <w:rsid w:val="00D42CA0"/>
    <w:rsid w:val="00D42CDB"/>
    <w:rsid w:val="00D42CDE"/>
    <w:rsid w:val="00D42CF2"/>
    <w:rsid w:val="00D42D43"/>
    <w:rsid w:val="00D42D4A"/>
    <w:rsid w:val="00D42D65"/>
    <w:rsid w:val="00D42F79"/>
    <w:rsid w:val="00D42F7B"/>
    <w:rsid w:val="00D42F9B"/>
    <w:rsid w:val="00D43041"/>
    <w:rsid w:val="00D43118"/>
    <w:rsid w:val="00D43154"/>
    <w:rsid w:val="00D43293"/>
    <w:rsid w:val="00D432EA"/>
    <w:rsid w:val="00D433A7"/>
    <w:rsid w:val="00D433ED"/>
    <w:rsid w:val="00D4341C"/>
    <w:rsid w:val="00D434BA"/>
    <w:rsid w:val="00D43509"/>
    <w:rsid w:val="00D43543"/>
    <w:rsid w:val="00D43624"/>
    <w:rsid w:val="00D4367A"/>
    <w:rsid w:val="00D436D2"/>
    <w:rsid w:val="00D436EF"/>
    <w:rsid w:val="00D4376C"/>
    <w:rsid w:val="00D43853"/>
    <w:rsid w:val="00D4389E"/>
    <w:rsid w:val="00D43992"/>
    <w:rsid w:val="00D43A20"/>
    <w:rsid w:val="00D43AF6"/>
    <w:rsid w:val="00D43B94"/>
    <w:rsid w:val="00D43BA3"/>
    <w:rsid w:val="00D43CCD"/>
    <w:rsid w:val="00D43CE4"/>
    <w:rsid w:val="00D43D36"/>
    <w:rsid w:val="00D43E40"/>
    <w:rsid w:val="00D43E75"/>
    <w:rsid w:val="00D43ED7"/>
    <w:rsid w:val="00D43EDC"/>
    <w:rsid w:val="00D43F65"/>
    <w:rsid w:val="00D43F98"/>
    <w:rsid w:val="00D44180"/>
    <w:rsid w:val="00D44248"/>
    <w:rsid w:val="00D442F5"/>
    <w:rsid w:val="00D44318"/>
    <w:rsid w:val="00D444AE"/>
    <w:rsid w:val="00D446B7"/>
    <w:rsid w:val="00D448B3"/>
    <w:rsid w:val="00D44A28"/>
    <w:rsid w:val="00D44B91"/>
    <w:rsid w:val="00D44C16"/>
    <w:rsid w:val="00D44C7D"/>
    <w:rsid w:val="00D44D68"/>
    <w:rsid w:val="00D44DD1"/>
    <w:rsid w:val="00D44F4D"/>
    <w:rsid w:val="00D4504E"/>
    <w:rsid w:val="00D45073"/>
    <w:rsid w:val="00D45099"/>
    <w:rsid w:val="00D45252"/>
    <w:rsid w:val="00D45278"/>
    <w:rsid w:val="00D4535E"/>
    <w:rsid w:val="00D45426"/>
    <w:rsid w:val="00D45499"/>
    <w:rsid w:val="00D4567B"/>
    <w:rsid w:val="00D456D9"/>
    <w:rsid w:val="00D4571A"/>
    <w:rsid w:val="00D45791"/>
    <w:rsid w:val="00D457B5"/>
    <w:rsid w:val="00D45810"/>
    <w:rsid w:val="00D45857"/>
    <w:rsid w:val="00D458AB"/>
    <w:rsid w:val="00D45941"/>
    <w:rsid w:val="00D459BF"/>
    <w:rsid w:val="00D45CAF"/>
    <w:rsid w:val="00D45D6D"/>
    <w:rsid w:val="00D45F3D"/>
    <w:rsid w:val="00D45F42"/>
    <w:rsid w:val="00D45F88"/>
    <w:rsid w:val="00D45FF6"/>
    <w:rsid w:val="00D461A8"/>
    <w:rsid w:val="00D462D6"/>
    <w:rsid w:val="00D462E4"/>
    <w:rsid w:val="00D46316"/>
    <w:rsid w:val="00D4646A"/>
    <w:rsid w:val="00D46520"/>
    <w:rsid w:val="00D4668E"/>
    <w:rsid w:val="00D46745"/>
    <w:rsid w:val="00D46799"/>
    <w:rsid w:val="00D467A9"/>
    <w:rsid w:val="00D467BD"/>
    <w:rsid w:val="00D4683C"/>
    <w:rsid w:val="00D46939"/>
    <w:rsid w:val="00D46AE9"/>
    <w:rsid w:val="00D46B17"/>
    <w:rsid w:val="00D46B85"/>
    <w:rsid w:val="00D46B96"/>
    <w:rsid w:val="00D46E68"/>
    <w:rsid w:val="00D46F1F"/>
    <w:rsid w:val="00D47082"/>
    <w:rsid w:val="00D470CC"/>
    <w:rsid w:val="00D47176"/>
    <w:rsid w:val="00D4719E"/>
    <w:rsid w:val="00D4729A"/>
    <w:rsid w:val="00D472D8"/>
    <w:rsid w:val="00D47304"/>
    <w:rsid w:val="00D4730C"/>
    <w:rsid w:val="00D47335"/>
    <w:rsid w:val="00D47387"/>
    <w:rsid w:val="00D473AC"/>
    <w:rsid w:val="00D474A8"/>
    <w:rsid w:val="00D47512"/>
    <w:rsid w:val="00D476D9"/>
    <w:rsid w:val="00D4781F"/>
    <w:rsid w:val="00D4793D"/>
    <w:rsid w:val="00D47952"/>
    <w:rsid w:val="00D47993"/>
    <w:rsid w:val="00D479A4"/>
    <w:rsid w:val="00D47B2B"/>
    <w:rsid w:val="00D47B95"/>
    <w:rsid w:val="00D47C34"/>
    <w:rsid w:val="00D47C57"/>
    <w:rsid w:val="00D47D07"/>
    <w:rsid w:val="00D47D23"/>
    <w:rsid w:val="00D47D3B"/>
    <w:rsid w:val="00D47DA4"/>
    <w:rsid w:val="00D47E35"/>
    <w:rsid w:val="00D47EB9"/>
    <w:rsid w:val="00D47F7F"/>
    <w:rsid w:val="00D5029F"/>
    <w:rsid w:val="00D502CC"/>
    <w:rsid w:val="00D50370"/>
    <w:rsid w:val="00D5046C"/>
    <w:rsid w:val="00D504B5"/>
    <w:rsid w:val="00D50544"/>
    <w:rsid w:val="00D50573"/>
    <w:rsid w:val="00D505EF"/>
    <w:rsid w:val="00D5064B"/>
    <w:rsid w:val="00D50747"/>
    <w:rsid w:val="00D507D7"/>
    <w:rsid w:val="00D5083A"/>
    <w:rsid w:val="00D50954"/>
    <w:rsid w:val="00D50A4E"/>
    <w:rsid w:val="00D50B89"/>
    <w:rsid w:val="00D50BAF"/>
    <w:rsid w:val="00D50C13"/>
    <w:rsid w:val="00D50C64"/>
    <w:rsid w:val="00D50CAB"/>
    <w:rsid w:val="00D50DCC"/>
    <w:rsid w:val="00D50E0F"/>
    <w:rsid w:val="00D50E71"/>
    <w:rsid w:val="00D50FB7"/>
    <w:rsid w:val="00D50FF3"/>
    <w:rsid w:val="00D51124"/>
    <w:rsid w:val="00D5126C"/>
    <w:rsid w:val="00D512A2"/>
    <w:rsid w:val="00D512A8"/>
    <w:rsid w:val="00D512D8"/>
    <w:rsid w:val="00D51318"/>
    <w:rsid w:val="00D51419"/>
    <w:rsid w:val="00D51451"/>
    <w:rsid w:val="00D51475"/>
    <w:rsid w:val="00D514FB"/>
    <w:rsid w:val="00D51544"/>
    <w:rsid w:val="00D515AF"/>
    <w:rsid w:val="00D51772"/>
    <w:rsid w:val="00D51820"/>
    <w:rsid w:val="00D51893"/>
    <w:rsid w:val="00D5189E"/>
    <w:rsid w:val="00D518C3"/>
    <w:rsid w:val="00D518D1"/>
    <w:rsid w:val="00D518D2"/>
    <w:rsid w:val="00D51949"/>
    <w:rsid w:val="00D5196C"/>
    <w:rsid w:val="00D51A28"/>
    <w:rsid w:val="00D51C2B"/>
    <w:rsid w:val="00D51C77"/>
    <w:rsid w:val="00D51C95"/>
    <w:rsid w:val="00D51CEA"/>
    <w:rsid w:val="00D51D98"/>
    <w:rsid w:val="00D51F00"/>
    <w:rsid w:val="00D52075"/>
    <w:rsid w:val="00D52127"/>
    <w:rsid w:val="00D523B0"/>
    <w:rsid w:val="00D523B9"/>
    <w:rsid w:val="00D523DE"/>
    <w:rsid w:val="00D52447"/>
    <w:rsid w:val="00D52463"/>
    <w:rsid w:val="00D52491"/>
    <w:rsid w:val="00D52506"/>
    <w:rsid w:val="00D52590"/>
    <w:rsid w:val="00D525A8"/>
    <w:rsid w:val="00D52864"/>
    <w:rsid w:val="00D5286A"/>
    <w:rsid w:val="00D528BB"/>
    <w:rsid w:val="00D52963"/>
    <w:rsid w:val="00D52A00"/>
    <w:rsid w:val="00D52A56"/>
    <w:rsid w:val="00D52C28"/>
    <w:rsid w:val="00D52D1E"/>
    <w:rsid w:val="00D52D3D"/>
    <w:rsid w:val="00D52D59"/>
    <w:rsid w:val="00D52D74"/>
    <w:rsid w:val="00D52E14"/>
    <w:rsid w:val="00D52E66"/>
    <w:rsid w:val="00D52FF3"/>
    <w:rsid w:val="00D53062"/>
    <w:rsid w:val="00D53074"/>
    <w:rsid w:val="00D5326C"/>
    <w:rsid w:val="00D53271"/>
    <w:rsid w:val="00D53337"/>
    <w:rsid w:val="00D5342F"/>
    <w:rsid w:val="00D53439"/>
    <w:rsid w:val="00D534DA"/>
    <w:rsid w:val="00D5352E"/>
    <w:rsid w:val="00D535B2"/>
    <w:rsid w:val="00D536BF"/>
    <w:rsid w:val="00D5377B"/>
    <w:rsid w:val="00D538B6"/>
    <w:rsid w:val="00D53925"/>
    <w:rsid w:val="00D53AEB"/>
    <w:rsid w:val="00D53B05"/>
    <w:rsid w:val="00D53BE2"/>
    <w:rsid w:val="00D53C58"/>
    <w:rsid w:val="00D53D49"/>
    <w:rsid w:val="00D53DA6"/>
    <w:rsid w:val="00D53EC5"/>
    <w:rsid w:val="00D53F64"/>
    <w:rsid w:val="00D540AA"/>
    <w:rsid w:val="00D5414D"/>
    <w:rsid w:val="00D5415A"/>
    <w:rsid w:val="00D541B3"/>
    <w:rsid w:val="00D541CD"/>
    <w:rsid w:val="00D541D2"/>
    <w:rsid w:val="00D5421F"/>
    <w:rsid w:val="00D542E0"/>
    <w:rsid w:val="00D5431B"/>
    <w:rsid w:val="00D54325"/>
    <w:rsid w:val="00D54333"/>
    <w:rsid w:val="00D54394"/>
    <w:rsid w:val="00D543CE"/>
    <w:rsid w:val="00D5444F"/>
    <w:rsid w:val="00D54495"/>
    <w:rsid w:val="00D54543"/>
    <w:rsid w:val="00D54567"/>
    <w:rsid w:val="00D54598"/>
    <w:rsid w:val="00D54849"/>
    <w:rsid w:val="00D548F1"/>
    <w:rsid w:val="00D54981"/>
    <w:rsid w:val="00D5499C"/>
    <w:rsid w:val="00D54A30"/>
    <w:rsid w:val="00D54A40"/>
    <w:rsid w:val="00D54B02"/>
    <w:rsid w:val="00D54BC4"/>
    <w:rsid w:val="00D54C12"/>
    <w:rsid w:val="00D54C53"/>
    <w:rsid w:val="00D54CD2"/>
    <w:rsid w:val="00D54D13"/>
    <w:rsid w:val="00D54E8C"/>
    <w:rsid w:val="00D54FB0"/>
    <w:rsid w:val="00D54FBE"/>
    <w:rsid w:val="00D54FF4"/>
    <w:rsid w:val="00D550E4"/>
    <w:rsid w:val="00D55198"/>
    <w:rsid w:val="00D551A1"/>
    <w:rsid w:val="00D55255"/>
    <w:rsid w:val="00D5531A"/>
    <w:rsid w:val="00D554D2"/>
    <w:rsid w:val="00D55509"/>
    <w:rsid w:val="00D55572"/>
    <w:rsid w:val="00D5558D"/>
    <w:rsid w:val="00D5559D"/>
    <w:rsid w:val="00D557DB"/>
    <w:rsid w:val="00D55872"/>
    <w:rsid w:val="00D558CC"/>
    <w:rsid w:val="00D5591D"/>
    <w:rsid w:val="00D55932"/>
    <w:rsid w:val="00D55972"/>
    <w:rsid w:val="00D55A1C"/>
    <w:rsid w:val="00D55A3E"/>
    <w:rsid w:val="00D55AB6"/>
    <w:rsid w:val="00D55AF0"/>
    <w:rsid w:val="00D55B29"/>
    <w:rsid w:val="00D55B2D"/>
    <w:rsid w:val="00D55BC1"/>
    <w:rsid w:val="00D55C98"/>
    <w:rsid w:val="00D55CF8"/>
    <w:rsid w:val="00D55CF9"/>
    <w:rsid w:val="00D55EE7"/>
    <w:rsid w:val="00D55F01"/>
    <w:rsid w:val="00D55F1B"/>
    <w:rsid w:val="00D5601F"/>
    <w:rsid w:val="00D560F3"/>
    <w:rsid w:val="00D561BC"/>
    <w:rsid w:val="00D56281"/>
    <w:rsid w:val="00D56288"/>
    <w:rsid w:val="00D562B9"/>
    <w:rsid w:val="00D562CD"/>
    <w:rsid w:val="00D56312"/>
    <w:rsid w:val="00D56313"/>
    <w:rsid w:val="00D5634A"/>
    <w:rsid w:val="00D5642D"/>
    <w:rsid w:val="00D56455"/>
    <w:rsid w:val="00D5645A"/>
    <w:rsid w:val="00D5650C"/>
    <w:rsid w:val="00D565D1"/>
    <w:rsid w:val="00D56722"/>
    <w:rsid w:val="00D567A2"/>
    <w:rsid w:val="00D56851"/>
    <w:rsid w:val="00D568B7"/>
    <w:rsid w:val="00D568ED"/>
    <w:rsid w:val="00D56936"/>
    <w:rsid w:val="00D56A51"/>
    <w:rsid w:val="00D56A7F"/>
    <w:rsid w:val="00D56B56"/>
    <w:rsid w:val="00D56BA6"/>
    <w:rsid w:val="00D56BF6"/>
    <w:rsid w:val="00D56C06"/>
    <w:rsid w:val="00D56D71"/>
    <w:rsid w:val="00D56D8A"/>
    <w:rsid w:val="00D56DD3"/>
    <w:rsid w:val="00D56E07"/>
    <w:rsid w:val="00D56E4C"/>
    <w:rsid w:val="00D56EE1"/>
    <w:rsid w:val="00D56F7D"/>
    <w:rsid w:val="00D570AC"/>
    <w:rsid w:val="00D570E8"/>
    <w:rsid w:val="00D5714D"/>
    <w:rsid w:val="00D5716C"/>
    <w:rsid w:val="00D57259"/>
    <w:rsid w:val="00D572BB"/>
    <w:rsid w:val="00D572D9"/>
    <w:rsid w:val="00D572DC"/>
    <w:rsid w:val="00D5730E"/>
    <w:rsid w:val="00D57319"/>
    <w:rsid w:val="00D5759A"/>
    <w:rsid w:val="00D57609"/>
    <w:rsid w:val="00D576CF"/>
    <w:rsid w:val="00D57706"/>
    <w:rsid w:val="00D577DC"/>
    <w:rsid w:val="00D577E1"/>
    <w:rsid w:val="00D5788A"/>
    <w:rsid w:val="00D5788B"/>
    <w:rsid w:val="00D578AA"/>
    <w:rsid w:val="00D578F6"/>
    <w:rsid w:val="00D5795F"/>
    <w:rsid w:val="00D5799F"/>
    <w:rsid w:val="00D57A01"/>
    <w:rsid w:val="00D57ADA"/>
    <w:rsid w:val="00D57BF9"/>
    <w:rsid w:val="00D57C54"/>
    <w:rsid w:val="00D57CC7"/>
    <w:rsid w:val="00D57D16"/>
    <w:rsid w:val="00D57D50"/>
    <w:rsid w:val="00D57E44"/>
    <w:rsid w:val="00D57E71"/>
    <w:rsid w:val="00D57E98"/>
    <w:rsid w:val="00D57EDF"/>
    <w:rsid w:val="00D57EF7"/>
    <w:rsid w:val="00D57F52"/>
    <w:rsid w:val="00D57F8C"/>
    <w:rsid w:val="00D57FFD"/>
    <w:rsid w:val="00D600A0"/>
    <w:rsid w:val="00D600CE"/>
    <w:rsid w:val="00D600D5"/>
    <w:rsid w:val="00D601B7"/>
    <w:rsid w:val="00D601D0"/>
    <w:rsid w:val="00D602A0"/>
    <w:rsid w:val="00D60304"/>
    <w:rsid w:val="00D60370"/>
    <w:rsid w:val="00D603E3"/>
    <w:rsid w:val="00D60401"/>
    <w:rsid w:val="00D6050F"/>
    <w:rsid w:val="00D6056B"/>
    <w:rsid w:val="00D60694"/>
    <w:rsid w:val="00D60712"/>
    <w:rsid w:val="00D60731"/>
    <w:rsid w:val="00D60888"/>
    <w:rsid w:val="00D609C8"/>
    <w:rsid w:val="00D609CF"/>
    <w:rsid w:val="00D609E1"/>
    <w:rsid w:val="00D60A3C"/>
    <w:rsid w:val="00D60A41"/>
    <w:rsid w:val="00D60AE2"/>
    <w:rsid w:val="00D60B3E"/>
    <w:rsid w:val="00D60B57"/>
    <w:rsid w:val="00D60BA9"/>
    <w:rsid w:val="00D60CA9"/>
    <w:rsid w:val="00D60D10"/>
    <w:rsid w:val="00D60D24"/>
    <w:rsid w:val="00D60F09"/>
    <w:rsid w:val="00D60F66"/>
    <w:rsid w:val="00D6100C"/>
    <w:rsid w:val="00D61099"/>
    <w:rsid w:val="00D610D9"/>
    <w:rsid w:val="00D611A1"/>
    <w:rsid w:val="00D61236"/>
    <w:rsid w:val="00D613A0"/>
    <w:rsid w:val="00D613EF"/>
    <w:rsid w:val="00D6142D"/>
    <w:rsid w:val="00D61430"/>
    <w:rsid w:val="00D61578"/>
    <w:rsid w:val="00D61626"/>
    <w:rsid w:val="00D617DB"/>
    <w:rsid w:val="00D6188C"/>
    <w:rsid w:val="00D618FA"/>
    <w:rsid w:val="00D619B6"/>
    <w:rsid w:val="00D61A07"/>
    <w:rsid w:val="00D61A49"/>
    <w:rsid w:val="00D61A5E"/>
    <w:rsid w:val="00D61A9F"/>
    <w:rsid w:val="00D61B04"/>
    <w:rsid w:val="00D61B25"/>
    <w:rsid w:val="00D61B3E"/>
    <w:rsid w:val="00D61BF3"/>
    <w:rsid w:val="00D61C5C"/>
    <w:rsid w:val="00D61CAE"/>
    <w:rsid w:val="00D61CCB"/>
    <w:rsid w:val="00D61CCD"/>
    <w:rsid w:val="00D61CFC"/>
    <w:rsid w:val="00D61D6F"/>
    <w:rsid w:val="00D61FB2"/>
    <w:rsid w:val="00D61FC0"/>
    <w:rsid w:val="00D6201B"/>
    <w:rsid w:val="00D6201E"/>
    <w:rsid w:val="00D62085"/>
    <w:rsid w:val="00D621AA"/>
    <w:rsid w:val="00D62256"/>
    <w:rsid w:val="00D6230C"/>
    <w:rsid w:val="00D6232F"/>
    <w:rsid w:val="00D62424"/>
    <w:rsid w:val="00D62425"/>
    <w:rsid w:val="00D62449"/>
    <w:rsid w:val="00D62480"/>
    <w:rsid w:val="00D624F7"/>
    <w:rsid w:val="00D62510"/>
    <w:rsid w:val="00D62536"/>
    <w:rsid w:val="00D625CA"/>
    <w:rsid w:val="00D625ED"/>
    <w:rsid w:val="00D626DF"/>
    <w:rsid w:val="00D6271C"/>
    <w:rsid w:val="00D628FD"/>
    <w:rsid w:val="00D6291F"/>
    <w:rsid w:val="00D6297D"/>
    <w:rsid w:val="00D62999"/>
    <w:rsid w:val="00D629DE"/>
    <w:rsid w:val="00D629F4"/>
    <w:rsid w:val="00D629FD"/>
    <w:rsid w:val="00D62B0D"/>
    <w:rsid w:val="00D62BB7"/>
    <w:rsid w:val="00D62D2D"/>
    <w:rsid w:val="00D62D47"/>
    <w:rsid w:val="00D62D84"/>
    <w:rsid w:val="00D62E81"/>
    <w:rsid w:val="00D62EF5"/>
    <w:rsid w:val="00D62F1E"/>
    <w:rsid w:val="00D62FF2"/>
    <w:rsid w:val="00D63014"/>
    <w:rsid w:val="00D630BF"/>
    <w:rsid w:val="00D63130"/>
    <w:rsid w:val="00D63193"/>
    <w:rsid w:val="00D631E2"/>
    <w:rsid w:val="00D6322B"/>
    <w:rsid w:val="00D63281"/>
    <w:rsid w:val="00D63497"/>
    <w:rsid w:val="00D63568"/>
    <w:rsid w:val="00D63671"/>
    <w:rsid w:val="00D63736"/>
    <w:rsid w:val="00D637EA"/>
    <w:rsid w:val="00D637FA"/>
    <w:rsid w:val="00D6380A"/>
    <w:rsid w:val="00D63827"/>
    <w:rsid w:val="00D63AF1"/>
    <w:rsid w:val="00D63B25"/>
    <w:rsid w:val="00D63CDC"/>
    <w:rsid w:val="00D63D7D"/>
    <w:rsid w:val="00D63DCA"/>
    <w:rsid w:val="00D63E0F"/>
    <w:rsid w:val="00D63E21"/>
    <w:rsid w:val="00D63E4C"/>
    <w:rsid w:val="00D63E6E"/>
    <w:rsid w:val="00D63F0A"/>
    <w:rsid w:val="00D63F28"/>
    <w:rsid w:val="00D6411F"/>
    <w:rsid w:val="00D64135"/>
    <w:rsid w:val="00D6423C"/>
    <w:rsid w:val="00D643DF"/>
    <w:rsid w:val="00D644EA"/>
    <w:rsid w:val="00D6453D"/>
    <w:rsid w:val="00D64594"/>
    <w:rsid w:val="00D646B1"/>
    <w:rsid w:val="00D646F5"/>
    <w:rsid w:val="00D647F6"/>
    <w:rsid w:val="00D64821"/>
    <w:rsid w:val="00D6483F"/>
    <w:rsid w:val="00D64882"/>
    <w:rsid w:val="00D64990"/>
    <w:rsid w:val="00D649C3"/>
    <w:rsid w:val="00D64A13"/>
    <w:rsid w:val="00D64A2C"/>
    <w:rsid w:val="00D64B48"/>
    <w:rsid w:val="00D64BAB"/>
    <w:rsid w:val="00D64CFA"/>
    <w:rsid w:val="00D64D74"/>
    <w:rsid w:val="00D64E72"/>
    <w:rsid w:val="00D64FD9"/>
    <w:rsid w:val="00D65005"/>
    <w:rsid w:val="00D65031"/>
    <w:rsid w:val="00D6510E"/>
    <w:rsid w:val="00D65136"/>
    <w:rsid w:val="00D6513C"/>
    <w:rsid w:val="00D65142"/>
    <w:rsid w:val="00D65172"/>
    <w:rsid w:val="00D6522D"/>
    <w:rsid w:val="00D65233"/>
    <w:rsid w:val="00D6526E"/>
    <w:rsid w:val="00D653C9"/>
    <w:rsid w:val="00D653D1"/>
    <w:rsid w:val="00D654AB"/>
    <w:rsid w:val="00D6572F"/>
    <w:rsid w:val="00D65793"/>
    <w:rsid w:val="00D659B9"/>
    <w:rsid w:val="00D65A83"/>
    <w:rsid w:val="00D65E21"/>
    <w:rsid w:val="00D65F14"/>
    <w:rsid w:val="00D65F23"/>
    <w:rsid w:val="00D65F50"/>
    <w:rsid w:val="00D65FC2"/>
    <w:rsid w:val="00D66121"/>
    <w:rsid w:val="00D66175"/>
    <w:rsid w:val="00D661A6"/>
    <w:rsid w:val="00D661CD"/>
    <w:rsid w:val="00D661F1"/>
    <w:rsid w:val="00D661F6"/>
    <w:rsid w:val="00D662A5"/>
    <w:rsid w:val="00D66375"/>
    <w:rsid w:val="00D66499"/>
    <w:rsid w:val="00D6651A"/>
    <w:rsid w:val="00D665D3"/>
    <w:rsid w:val="00D6661B"/>
    <w:rsid w:val="00D66797"/>
    <w:rsid w:val="00D66801"/>
    <w:rsid w:val="00D66837"/>
    <w:rsid w:val="00D66884"/>
    <w:rsid w:val="00D66894"/>
    <w:rsid w:val="00D66B02"/>
    <w:rsid w:val="00D66BA3"/>
    <w:rsid w:val="00D66C0B"/>
    <w:rsid w:val="00D66CE3"/>
    <w:rsid w:val="00D66F35"/>
    <w:rsid w:val="00D67005"/>
    <w:rsid w:val="00D6706B"/>
    <w:rsid w:val="00D67093"/>
    <w:rsid w:val="00D671D2"/>
    <w:rsid w:val="00D67249"/>
    <w:rsid w:val="00D67255"/>
    <w:rsid w:val="00D6732F"/>
    <w:rsid w:val="00D6734F"/>
    <w:rsid w:val="00D67372"/>
    <w:rsid w:val="00D673D0"/>
    <w:rsid w:val="00D6744F"/>
    <w:rsid w:val="00D67512"/>
    <w:rsid w:val="00D67591"/>
    <w:rsid w:val="00D678EC"/>
    <w:rsid w:val="00D679A8"/>
    <w:rsid w:val="00D67A42"/>
    <w:rsid w:val="00D67B9F"/>
    <w:rsid w:val="00D67C7C"/>
    <w:rsid w:val="00D67CA7"/>
    <w:rsid w:val="00D67CAD"/>
    <w:rsid w:val="00D67D48"/>
    <w:rsid w:val="00D67DBA"/>
    <w:rsid w:val="00D67EFE"/>
    <w:rsid w:val="00D67F42"/>
    <w:rsid w:val="00D67F54"/>
    <w:rsid w:val="00D67FBD"/>
    <w:rsid w:val="00D67FBE"/>
    <w:rsid w:val="00D7016E"/>
    <w:rsid w:val="00D702EE"/>
    <w:rsid w:val="00D70387"/>
    <w:rsid w:val="00D703E6"/>
    <w:rsid w:val="00D7046C"/>
    <w:rsid w:val="00D7062A"/>
    <w:rsid w:val="00D7064D"/>
    <w:rsid w:val="00D70678"/>
    <w:rsid w:val="00D707FE"/>
    <w:rsid w:val="00D70919"/>
    <w:rsid w:val="00D70A4A"/>
    <w:rsid w:val="00D70BE5"/>
    <w:rsid w:val="00D70C45"/>
    <w:rsid w:val="00D70D5D"/>
    <w:rsid w:val="00D70EAB"/>
    <w:rsid w:val="00D70F21"/>
    <w:rsid w:val="00D71029"/>
    <w:rsid w:val="00D71091"/>
    <w:rsid w:val="00D711B0"/>
    <w:rsid w:val="00D711EB"/>
    <w:rsid w:val="00D711EC"/>
    <w:rsid w:val="00D7125A"/>
    <w:rsid w:val="00D7127C"/>
    <w:rsid w:val="00D71289"/>
    <w:rsid w:val="00D71328"/>
    <w:rsid w:val="00D71424"/>
    <w:rsid w:val="00D714DF"/>
    <w:rsid w:val="00D71525"/>
    <w:rsid w:val="00D716E4"/>
    <w:rsid w:val="00D716EB"/>
    <w:rsid w:val="00D7176E"/>
    <w:rsid w:val="00D71813"/>
    <w:rsid w:val="00D7193B"/>
    <w:rsid w:val="00D71A69"/>
    <w:rsid w:val="00D71AAD"/>
    <w:rsid w:val="00D71ACB"/>
    <w:rsid w:val="00D71BB8"/>
    <w:rsid w:val="00D71BD8"/>
    <w:rsid w:val="00D71C05"/>
    <w:rsid w:val="00D71C1A"/>
    <w:rsid w:val="00D71CAA"/>
    <w:rsid w:val="00D71D79"/>
    <w:rsid w:val="00D71DF8"/>
    <w:rsid w:val="00D71E49"/>
    <w:rsid w:val="00D7201E"/>
    <w:rsid w:val="00D7202B"/>
    <w:rsid w:val="00D7211E"/>
    <w:rsid w:val="00D7213F"/>
    <w:rsid w:val="00D72142"/>
    <w:rsid w:val="00D722CF"/>
    <w:rsid w:val="00D72362"/>
    <w:rsid w:val="00D72398"/>
    <w:rsid w:val="00D724FA"/>
    <w:rsid w:val="00D72524"/>
    <w:rsid w:val="00D72543"/>
    <w:rsid w:val="00D72624"/>
    <w:rsid w:val="00D72698"/>
    <w:rsid w:val="00D726D6"/>
    <w:rsid w:val="00D72765"/>
    <w:rsid w:val="00D72825"/>
    <w:rsid w:val="00D72828"/>
    <w:rsid w:val="00D72882"/>
    <w:rsid w:val="00D728AE"/>
    <w:rsid w:val="00D728F6"/>
    <w:rsid w:val="00D72963"/>
    <w:rsid w:val="00D72A89"/>
    <w:rsid w:val="00D72AE6"/>
    <w:rsid w:val="00D72C74"/>
    <w:rsid w:val="00D72CA8"/>
    <w:rsid w:val="00D72CCB"/>
    <w:rsid w:val="00D72D84"/>
    <w:rsid w:val="00D72DE2"/>
    <w:rsid w:val="00D72F27"/>
    <w:rsid w:val="00D72F78"/>
    <w:rsid w:val="00D73027"/>
    <w:rsid w:val="00D7302E"/>
    <w:rsid w:val="00D7306D"/>
    <w:rsid w:val="00D7308B"/>
    <w:rsid w:val="00D7345D"/>
    <w:rsid w:val="00D73501"/>
    <w:rsid w:val="00D7350D"/>
    <w:rsid w:val="00D73514"/>
    <w:rsid w:val="00D7358E"/>
    <w:rsid w:val="00D735AD"/>
    <w:rsid w:val="00D735CA"/>
    <w:rsid w:val="00D735FF"/>
    <w:rsid w:val="00D7368E"/>
    <w:rsid w:val="00D736EF"/>
    <w:rsid w:val="00D73727"/>
    <w:rsid w:val="00D737B8"/>
    <w:rsid w:val="00D73861"/>
    <w:rsid w:val="00D73AF5"/>
    <w:rsid w:val="00D73AF8"/>
    <w:rsid w:val="00D73BD0"/>
    <w:rsid w:val="00D73BE9"/>
    <w:rsid w:val="00D73CC8"/>
    <w:rsid w:val="00D73CC9"/>
    <w:rsid w:val="00D73DE3"/>
    <w:rsid w:val="00D73E6C"/>
    <w:rsid w:val="00D73FA7"/>
    <w:rsid w:val="00D73FE3"/>
    <w:rsid w:val="00D74075"/>
    <w:rsid w:val="00D740D9"/>
    <w:rsid w:val="00D74161"/>
    <w:rsid w:val="00D74332"/>
    <w:rsid w:val="00D74348"/>
    <w:rsid w:val="00D74353"/>
    <w:rsid w:val="00D74363"/>
    <w:rsid w:val="00D74425"/>
    <w:rsid w:val="00D744CA"/>
    <w:rsid w:val="00D744F5"/>
    <w:rsid w:val="00D74562"/>
    <w:rsid w:val="00D745AA"/>
    <w:rsid w:val="00D74621"/>
    <w:rsid w:val="00D7464B"/>
    <w:rsid w:val="00D74709"/>
    <w:rsid w:val="00D7485C"/>
    <w:rsid w:val="00D748B6"/>
    <w:rsid w:val="00D7496F"/>
    <w:rsid w:val="00D749CC"/>
    <w:rsid w:val="00D74A06"/>
    <w:rsid w:val="00D74B52"/>
    <w:rsid w:val="00D74C2D"/>
    <w:rsid w:val="00D74CF5"/>
    <w:rsid w:val="00D74EB3"/>
    <w:rsid w:val="00D74EEA"/>
    <w:rsid w:val="00D74EEE"/>
    <w:rsid w:val="00D750B0"/>
    <w:rsid w:val="00D750B7"/>
    <w:rsid w:val="00D75190"/>
    <w:rsid w:val="00D751C8"/>
    <w:rsid w:val="00D751D6"/>
    <w:rsid w:val="00D752FF"/>
    <w:rsid w:val="00D75349"/>
    <w:rsid w:val="00D75413"/>
    <w:rsid w:val="00D7557D"/>
    <w:rsid w:val="00D7564B"/>
    <w:rsid w:val="00D75713"/>
    <w:rsid w:val="00D75771"/>
    <w:rsid w:val="00D7577D"/>
    <w:rsid w:val="00D7594B"/>
    <w:rsid w:val="00D75984"/>
    <w:rsid w:val="00D75B3A"/>
    <w:rsid w:val="00D75BD1"/>
    <w:rsid w:val="00D75DC2"/>
    <w:rsid w:val="00D75E3C"/>
    <w:rsid w:val="00D75EDB"/>
    <w:rsid w:val="00D75F5E"/>
    <w:rsid w:val="00D76148"/>
    <w:rsid w:val="00D76180"/>
    <w:rsid w:val="00D76182"/>
    <w:rsid w:val="00D76267"/>
    <w:rsid w:val="00D763AA"/>
    <w:rsid w:val="00D763FC"/>
    <w:rsid w:val="00D76403"/>
    <w:rsid w:val="00D76544"/>
    <w:rsid w:val="00D7668C"/>
    <w:rsid w:val="00D766B2"/>
    <w:rsid w:val="00D76738"/>
    <w:rsid w:val="00D7676F"/>
    <w:rsid w:val="00D767B3"/>
    <w:rsid w:val="00D768BF"/>
    <w:rsid w:val="00D76978"/>
    <w:rsid w:val="00D769D6"/>
    <w:rsid w:val="00D769ED"/>
    <w:rsid w:val="00D769FA"/>
    <w:rsid w:val="00D76DDC"/>
    <w:rsid w:val="00D76F2B"/>
    <w:rsid w:val="00D77015"/>
    <w:rsid w:val="00D77162"/>
    <w:rsid w:val="00D772D0"/>
    <w:rsid w:val="00D773B3"/>
    <w:rsid w:val="00D776B9"/>
    <w:rsid w:val="00D77710"/>
    <w:rsid w:val="00D7778F"/>
    <w:rsid w:val="00D779C6"/>
    <w:rsid w:val="00D779D7"/>
    <w:rsid w:val="00D77A7F"/>
    <w:rsid w:val="00D77B5B"/>
    <w:rsid w:val="00D77C42"/>
    <w:rsid w:val="00D77C57"/>
    <w:rsid w:val="00D77CCC"/>
    <w:rsid w:val="00D77D68"/>
    <w:rsid w:val="00D77D6E"/>
    <w:rsid w:val="00D77DCF"/>
    <w:rsid w:val="00D77E3E"/>
    <w:rsid w:val="00D77E48"/>
    <w:rsid w:val="00D77E5C"/>
    <w:rsid w:val="00D77FA0"/>
    <w:rsid w:val="00D80132"/>
    <w:rsid w:val="00D80351"/>
    <w:rsid w:val="00D80365"/>
    <w:rsid w:val="00D80676"/>
    <w:rsid w:val="00D807A9"/>
    <w:rsid w:val="00D808E8"/>
    <w:rsid w:val="00D80967"/>
    <w:rsid w:val="00D809B2"/>
    <w:rsid w:val="00D809C1"/>
    <w:rsid w:val="00D80C15"/>
    <w:rsid w:val="00D80C16"/>
    <w:rsid w:val="00D80C1F"/>
    <w:rsid w:val="00D80E71"/>
    <w:rsid w:val="00D80EA2"/>
    <w:rsid w:val="00D80EBE"/>
    <w:rsid w:val="00D80EF4"/>
    <w:rsid w:val="00D810FC"/>
    <w:rsid w:val="00D811AD"/>
    <w:rsid w:val="00D81278"/>
    <w:rsid w:val="00D8132A"/>
    <w:rsid w:val="00D81375"/>
    <w:rsid w:val="00D81398"/>
    <w:rsid w:val="00D813EF"/>
    <w:rsid w:val="00D81401"/>
    <w:rsid w:val="00D81551"/>
    <w:rsid w:val="00D815FF"/>
    <w:rsid w:val="00D81713"/>
    <w:rsid w:val="00D81787"/>
    <w:rsid w:val="00D81791"/>
    <w:rsid w:val="00D817B5"/>
    <w:rsid w:val="00D817F5"/>
    <w:rsid w:val="00D8180C"/>
    <w:rsid w:val="00D8188F"/>
    <w:rsid w:val="00D81902"/>
    <w:rsid w:val="00D81998"/>
    <w:rsid w:val="00D81A92"/>
    <w:rsid w:val="00D81B4C"/>
    <w:rsid w:val="00D81C67"/>
    <w:rsid w:val="00D81C90"/>
    <w:rsid w:val="00D81D54"/>
    <w:rsid w:val="00D81F9D"/>
    <w:rsid w:val="00D81FE0"/>
    <w:rsid w:val="00D8211A"/>
    <w:rsid w:val="00D82149"/>
    <w:rsid w:val="00D8223E"/>
    <w:rsid w:val="00D823FE"/>
    <w:rsid w:val="00D824C9"/>
    <w:rsid w:val="00D824D0"/>
    <w:rsid w:val="00D82518"/>
    <w:rsid w:val="00D82591"/>
    <w:rsid w:val="00D82701"/>
    <w:rsid w:val="00D82775"/>
    <w:rsid w:val="00D82815"/>
    <w:rsid w:val="00D8284F"/>
    <w:rsid w:val="00D82893"/>
    <w:rsid w:val="00D8289D"/>
    <w:rsid w:val="00D8299B"/>
    <w:rsid w:val="00D829EA"/>
    <w:rsid w:val="00D82B11"/>
    <w:rsid w:val="00D82BB8"/>
    <w:rsid w:val="00D82C2F"/>
    <w:rsid w:val="00D82C80"/>
    <w:rsid w:val="00D82F60"/>
    <w:rsid w:val="00D82F81"/>
    <w:rsid w:val="00D82FB3"/>
    <w:rsid w:val="00D8300B"/>
    <w:rsid w:val="00D83035"/>
    <w:rsid w:val="00D830DF"/>
    <w:rsid w:val="00D832A9"/>
    <w:rsid w:val="00D834A4"/>
    <w:rsid w:val="00D835CD"/>
    <w:rsid w:val="00D835F4"/>
    <w:rsid w:val="00D83683"/>
    <w:rsid w:val="00D83690"/>
    <w:rsid w:val="00D836D8"/>
    <w:rsid w:val="00D83723"/>
    <w:rsid w:val="00D83753"/>
    <w:rsid w:val="00D83816"/>
    <w:rsid w:val="00D838F2"/>
    <w:rsid w:val="00D839BB"/>
    <w:rsid w:val="00D839FF"/>
    <w:rsid w:val="00D83A24"/>
    <w:rsid w:val="00D83A50"/>
    <w:rsid w:val="00D83A6D"/>
    <w:rsid w:val="00D83AC0"/>
    <w:rsid w:val="00D83B5C"/>
    <w:rsid w:val="00D83BAF"/>
    <w:rsid w:val="00D83D5C"/>
    <w:rsid w:val="00D83EB1"/>
    <w:rsid w:val="00D83FA3"/>
    <w:rsid w:val="00D840C7"/>
    <w:rsid w:val="00D841F7"/>
    <w:rsid w:val="00D842E7"/>
    <w:rsid w:val="00D84439"/>
    <w:rsid w:val="00D844E1"/>
    <w:rsid w:val="00D8465F"/>
    <w:rsid w:val="00D84670"/>
    <w:rsid w:val="00D84718"/>
    <w:rsid w:val="00D84767"/>
    <w:rsid w:val="00D8478C"/>
    <w:rsid w:val="00D8478D"/>
    <w:rsid w:val="00D847B7"/>
    <w:rsid w:val="00D847CF"/>
    <w:rsid w:val="00D847F9"/>
    <w:rsid w:val="00D84873"/>
    <w:rsid w:val="00D848AF"/>
    <w:rsid w:val="00D84939"/>
    <w:rsid w:val="00D849FE"/>
    <w:rsid w:val="00D84AFF"/>
    <w:rsid w:val="00D84B09"/>
    <w:rsid w:val="00D84B8B"/>
    <w:rsid w:val="00D84CD3"/>
    <w:rsid w:val="00D84DF9"/>
    <w:rsid w:val="00D84E64"/>
    <w:rsid w:val="00D84F09"/>
    <w:rsid w:val="00D84F22"/>
    <w:rsid w:val="00D84F37"/>
    <w:rsid w:val="00D85124"/>
    <w:rsid w:val="00D852BB"/>
    <w:rsid w:val="00D8550D"/>
    <w:rsid w:val="00D8556B"/>
    <w:rsid w:val="00D855B2"/>
    <w:rsid w:val="00D85610"/>
    <w:rsid w:val="00D85684"/>
    <w:rsid w:val="00D85695"/>
    <w:rsid w:val="00D857B6"/>
    <w:rsid w:val="00D85886"/>
    <w:rsid w:val="00D858BA"/>
    <w:rsid w:val="00D85904"/>
    <w:rsid w:val="00D859D7"/>
    <w:rsid w:val="00D85A85"/>
    <w:rsid w:val="00D85AFA"/>
    <w:rsid w:val="00D85C23"/>
    <w:rsid w:val="00D85F48"/>
    <w:rsid w:val="00D85FB8"/>
    <w:rsid w:val="00D86038"/>
    <w:rsid w:val="00D8612F"/>
    <w:rsid w:val="00D86266"/>
    <w:rsid w:val="00D862C2"/>
    <w:rsid w:val="00D86382"/>
    <w:rsid w:val="00D863FE"/>
    <w:rsid w:val="00D8651F"/>
    <w:rsid w:val="00D86649"/>
    <w:rsid w:val="00D8665B"/>
    <w:rsid w:val="00D86766"/>
    <w:rsid w:val="00D867EF"/>
    <w:rsid w:val="00D86A48"/>
    <w:rsid w:val="00D86B87"/>
    <w:rsid w:val="00D86C84"/>
    <w:rsid w:val="00D86C8F"/>
    <w:rsid w:val="00D86CAC"/>
    <w:rsid w:val="00D86D6A"/>
    <w:rsid w:val="00D86D81"/>
    <w:rsid w:val="00D86E07"/>
    <w:rsid w:val="00D86F15"/>
    <w:rsid w:val="00D86F22"/>
    <w:rsid w:val="00D86FD7"/>
    <w:rsid w:val="00D871AF"/>
    <w:rsid w:val="00D8739C"/>
    <w:rsid w:val="00D8739E"/>
    <w:rsid w:val="00D873D6"/>
    <w:rsid w:val="00D873F9"/>
    <w:rsid w:val="00D87431"/>
    <w:rsid w:val="00D874BA"/>
    <w:rsid w:val="00D8752D"/>
    <w:rsid w:val="00D87535"/>
    <w:rsid w:val="00D875A7"/>
    <w:rsid w:val="00D875B4"/>
    <w:rsid w:val="00D87639"/>
    <w:rsid w:val="00D87667"/>
    <w:rsid w:val="00D876ED"/>
    <w:rsid w:val="00D87706"/>
    <w:rsid w:val="00D87844"/>
    <w:rsid w:val="00D8787F"/>
    <w:rsid w:val="00D878A8"/>
    <w:rsid w:val="00D878FE"/>
    <w:rsid w:val="00D8790F"/>
    <w:rsid w:val="00D87912"/>
    <w:rsid w:val="00D879CC"/>
    <w:rsid w:val="00D87A26"/>
    <w:rsid w:val="00D87A55"/>
    <w:rsid w:val="00D87A9B"/>
    <w:rsid w:val="00D87BF4"/>
    <w:rsid w:val="00D87BFA"/>
    <w:rsid w:val="00D87C0E"/>
    <w:rsid w:val="00D87DE6"/>
    <w:rsid w:val="00D87DF4"/>
    <w:rsid w:val="00D87E23"/>
    <w:rsid w:val="00D87EBB"/>
    <w:rsid w:val="00D87F78"/>
    <w:rsid w:val="00D87FB5"/>
    <w:rsid w:val="00D9001C"/>
    <w:rsid w:val="00D90027"/>
    <w:rsid w:val="00D90238"/>
    <w:rsid w:val="00D902AB"/>
    <w:rsid w:val="00D902BD"/>
    <w:rsid w:val="00D90460"/>
    <w:rsid w:val="00D90571"/>
    <w:rsid w:val="00D90666"/>
    <w:rsid w:val="00D9066B"/>
    <w:rsid w:val="00D906E3"/>
    <w:rsid w:val="00D90878"/>
    <w:rsid w:val="00D90891"/>
    <w:rsid w:val="00D90992"/>
    <w:rsid w:val="00D90A33"/>
    <w:rsid w:val="00D90A6C"/>
    <w:rsid w:val="00D90A78"/>
    <w:rsid w:val="00D90AE2"/>
    <w:rsid w:val="00D90B03"/>
    <w:rsid w:val="00D90B36"/>
    <w:rsid w:val="00D90B51"/>
    <w:rsid w:val="00D90BF8"/>
    <w:rsid w:val="00D90BFB"/>
    <w:rsid w:val="00D90C03"/>
    <w:rsid w:val="00D90CC1"/>
    <w:rsid w:val="00D90DDC"/>
    <w:rsid w:val="00D90E38"/>
    <w:rsid w:val="00D90E61"/>
    <w:rsid w:val="00D90EBB"/>
    <w:rsid w:val="00D90F47"/>
    <w:rsid w:val="00D90F4C"/>
    <w:rsid w:val="00D90F89"/>
    <w:rsid w:val="00D91014"/>
    <w:rsid w:val="00D9106F"/>
    <w:rsid w:val="00D91140"/>
    <w:rsid w:val="00D911EC"/>
    <w:rsid w:val="00D9131F"/>
    <w:rsid w:val="00D91388"/>
    <w:rsid w:val="00D91402"/>
    <w:rsid w:val="00D91610"/>
    <w:rsid w:val="00D9162C"/>
    <w:rsid w:val="00D917A7"/>
    <w:rsid w:val="00D91812"/>
    <w:rsid w:val="00D91854"/>
    <w:rsid w:val="00D91916"/>
    <w:rsid w:val="00D91A22"/>
    <w:rsid w:val="00D91A39"/>
    <w:rsid w:val="00D91AC2"/>
    <w:rsid w:val="00D91B93"/>
    <w:rsid w:val="00D91C33"/>
    <w:rsid w:val="00D91F6C"/>
    <w:rsid w:val="00D92024"/>
    <w:rsid w:val="00D92124"/>
    <w:rsid w:val="00D921C8"/>
    <w:rsid w:val="00D922CB"/>
    <w:rsid w:val="00D9234E"/>
    <w:rsid w:val="00D92398"/>
    <w:rsid w:val="00D923C2"/>
    <w:rsid w:val="00D9252C"/>
    <w:rsid w:val="00D92535"/>
    <w:rsid w:val="00D92568"/>
    <w:rsid w:val="00D926E2"/>
    <w:rsid w:val="00D926F8"/>
    <w:rsid w:val="00D92744"/>
    <w:rsid w:val="00D92782"/>
    <w:rsid w:val="00D928C8"/>
    <w:rsid w:val="00D92A53"/>
    <w:rsid w:val="00D92ACB"/>
    <w:rsid w:val="00D92AD0"/>
    <w:rsid w:val="00D92B47"/>
    <w:rsid w:val="00D92BF9"/>
    <w:rsid w:val="00D92D1A"/>
    <w:rsid w:val="00D92DA4"/>
    <w:rsid w:val="00D92E55"/>
    <w:rsid w:val="00D92EB5"/>
    <w:rsid w:val="00D92EC9"/>
    <w:rsid w:val="00D92EFA"/>
    <w:rsid w:val="00D92FAA"/>
    <w:rsid w:val="00D9303D"/>
    <w:rsid w:val="00D93218"/>
    <w:rsid w:val="00D9323B"/>
    <w:rsid w:val="00D93399"/>
    <w:rsid w:val="00D933BF"/>
    <w:rsid w:val="00D93664"/>
    <w:rsid w:val="00D93716"/>
    <w:rsid w:val="00D93789"/>
    <w:rsid w:val="00D9378B"/>
    <w:rsid w:val="00D938B3"/>
    <w:rsid w:val="00D9393D"/>
    <w:rsid w:val="00D93A51"/>
    <w:rsid w:val="00D93A99"/>
    <w:rsid w:val="00D93C0C"/>
    <w:rsid w:val="00D93C73"/>
    <w:rsid w:val="00D93D8F"/>
    <w:rsid w:val="00D93E19"/>
    <w:rsid w:val="00D93EBF"/>
    <w:rsid w:val="00D93F13"/>
    <w:rsid w:val="00D93FE8"/>
    <w:rsid w:val="00D9404E"/>
    <w:rsid w:val="00D94203"/>
    <w:rsid w:val="00D94333"/>
    <w:rsid w:val="00D943A1"/>
    <w:rsid w:val="00D94568"/>
    <w:rsid w:val="00D94577"/>
    <w:rsid w:val="00D945A3"/>
    <w:rsid w:val="00D94615"/>
    <w:rsid w:val="00D9465D"/>
    <w:rsid w:val="00D9469E"/>
    <w:rsid w:val="00D946BB"/>
    <w:rsid w:val="00D94716"/>
    <w:rsid w:val="00D947C3"/>
    <w:rsid w:val="00D9496C"/>
    <w:rsid w:val="00D949A5"/>
    <w:rsid w:val="00D949FF"/>
    <w:rsid w:val="00D94B3D"/>
    <w:rsid w:val="00D94B97"/>
    <w:rsid w:val="00D94D6C"/>
    <w:rsid w:val="00D94EC1"/>
    <w:rsid w:val="00D94F02"/>
    <w:rsid w:val="00D950E4"/>
    <w:rsid w:val="00D95100"/>
    <w:rsid w:val="00D95162"/>
    <w:rsid w:val="00D951A4"/>
    <w:rsid w:val="00D95218"/>
    <w:rsid w:val="00D95489"/>
    <w:rsid w:val="00D954C2"/>
    <w:rsid w:val="00D954CB"/>
    <w:rsid w:val="00D956FB"/>
    <w:rsid w:val="00D9573D"/>
    <w:rsid w:val="00D9584E"/>
    <w:rsid w:val="00D9592F"/>
    <w:rsid w:val="00D959CE"/>
    <w:rsid w:val="00D95A30"/>
    <w:rsid w:val="00D95AE3"/>
    <w:rsid w:val="00D95C98"/>
    <w:rsid w:val="00D95D88"/>
    <w:rsid w:val="00D95E0D"/>
    <w:rsid w:val="00D95E39"/>
    <w:rsid w:val="00D96019"/>
    <w:rsid w:val="00D96060"/>
    <w:rsid w:val="00D960DF"/>
    <w:rsid w:val="00D9615B"/>
    <w:rsid w:val="00D96169"/>
    <w:rsid w:val="00D96192"/>
    <w:rsid w:val="00D961A3"/>
    <w:rsid w:val="00D962F5"/>
    <w:rsid w:val="00D9635E"/>
    <w:rsid w:val="00D9637A"/>
    <w:rsid w:val="00D9643F"/>
    <w:rsid w:val="00D964C5"/>
    <w:rsid w:val="00D964CB"/>
    <w:rsid w:val="00D964DA"/>
    <w:rsid w:val="00D96594"/>
    <w:rsid w:val="00D9663D"/>
    <w:rsid w:val="00D966F3"/>
    <w:rsid w:val="00D966FF"/>
    <w:rsid w:val="00D9674F"/>
    <w:rsid w:val="00D9689A"/>
    <w:rsid w:val="00D968FF"/>
    <w:rsid w:val="00D96965"/>
    <w:rsid w:val="00D96C48"/>
    <w:rsid w:val="00D96CE1"/>
    <w:rsid w:val="00D96E3C"/>
    <w:rsid w:val="00D96E86"/>
    <w:rsid w:val="00D96F5A"/>
    <w:rsid w:val="00D96F8F"/>
    <w:rsid w:val="00D96FE8"/>
    <w:rsid w:val="00D97021"/>
    <w:rsid w:val="00D9702D"/>
    <w:rsid w:val="00D97087"/>
    <w:rsid w:val="00D970C2"/>
    <w:rsid w:val="00D970D1"/>
    <w:rsid w:val="00D9715F"/>
    <w:rsid w:val="00D97170"/>
    <w:rsid w:val="00D97184"/>
    <w:rsid w:val="00D971E5"/>
    <w:rsid w:val="00D97451"/>
    <w:rsid w:val="00D974BC"/>
    <w:rsid w:val="00D974F8"/>
    <w:rsid w:val="00D97796"/>
    <w:rsid w:val="00D9779E"/>
    <w:rsid w:val="00D978FB"/>
    <w:rsid w:val="00D97959"/>
    <w:rsid w:val="00D979B5"/>
    <w:rsid w:val="00D97E25"/>
    <w:rsid w:val="00D97E70"/>
    <w:rsid w:val="00D97EDB"/>
    <w:rsid w:val="00D97EF5"/>
    <w:rsid w:val="00D97F88"/>
    <w:rsid w:val="00DA00DD"/>
    <w:rsid w:val="00DA00F5"/>
    <w:rsid w:val="00DA02AC"/>
    <w:rsid w:val="00DA0432"/>
    <w:rsid w:val="00DA04E1"/>
    <w:rsid w:val="00DA058A"/>
    <w:rsid w:val="00DA061E"/>
    <w:rsid w:val="00DA08AC"/>
    <w:rsid w:val="00DA0A11"/>
    <w:rsid w:val="00DA0A24"/>
    <w:rsid w:val="00DA0A28"/>
    <w:rsid w:val="00DA0A4A"/>
    <w:rsid w:val="00DA0AD9"/>
    <w:rsid w:val="00DA0AE0"/>
    <w:rsid w:val="00DA0C68"/>
    <w:rsid w:val="00DA0C70"/>
    <w:rsid w:val="00DA0D06"/>
    <w:rsid w:val="00DA0D4B"/>
    <w:rsid w:val="00DA0E27"/>
    <w:rsid w:val="00DA0E47"/>
    <w:rsid w:val="00DA0EB9"/>
    <w:rsid w:val="00DA106D"/>
    <w:rsid w:val="00DA1177"/>
    <w:rsid w:val="00DA117B"/>
    <w:rsid w:val="00DA11F4"/>
    <w:rsid w:val="00DA1340"/>
    <w:rsid w:val="00DA13CD"/>
    <w:rsid w:val="00DA1573"/>
    <w:rsid w:val="00DA1599"/>
    <w:rsid w:val="00DA15E2"/>
    <w:rsid w:val="00DA15E7"/>
    <w:rsid w:val="00DA161A"/>
    <w:rsid w:val="00DA16E3"/>
    <w:rsid w:val="00DA1823"/>
    <w:rsid w:val="00DA18A7"/>
    <w:rsid w:val="00DA197A"/>
    <w:rsid w:val="00DA1990"/>
    <w:rsid w:val="00DA19B1"/>
    <w:rsid w:val="00DA1B44"/>
    <w:rsid w:val="00DA1BC9"/>
    <w:rsid w:val="00DA1C71"/>
    <w:rsid w:val="00DA1CA8"/>
    <w:rsid w:val="00DA1E18"/>
    <w:rsid w:val="00DA1E43"/>
    <w:rsid w:val="00DA1F61"/>
    <w:rsid w:val="00DA1F91"/>
    <w:rsid w:val="00DA1F98"/>
    <w:rsid w:val="00DA1FCE"/>
    <w:rsid w:val="00DA1FD3"/>
    <w:rsid w:val="00DA2033"/>
    <w:rsid w:val="00DA20CF"/>
    <w:rsid w:val="00DA2135"/>
    <w:rsid w:val="00DA21D1"/>
    <w:rsid w:val="00DA2259"/>
    <w:rsid w:val="00DA22A5"/>
    <w:rsid w:val="00DA235E"/>
    <w:rsid w:val="00DA2476"/>
    <w:rsid w:val="00DA24B8"/>
    <w:rsid w:val="00DA24C9"/>
    <w:rsid w:val="00DA24EE"/>
    <w:rsid w:val="00DA2558"/>
    <w:rsid w:val="00DA2707"/>
    <w:rsid w:val="00DA2829"/>
    <w:rsid w:val="00DA28BB"/>
    <w:rsid w:val="00DA2987"/>
    <w:rsid w:val="00DA2A95"/>
    <w:rsid w:val="00DA2D54"/>
    <w:rsid w:val="00DA2D6F"/>
    <w:rsid w:val="00DA2DB7"/>
    <w:rsid w:val="00DA2DE3"/>
    <w:rsid w:val="00DA2E8F"/>
    <w:rsid w:val="00DA2EDF"/>
    <w:rsid w:val="00DA2F80"/>
    <w:rsid w:val="00DA3077"/>
    <w:rsid w:val="00DA30C5"/>
    <w:rsid w:val="00DA30D7"/>
    <w:rsid w:val="00DA3277"/>
    <w:rsid w:val="00DA33B6"/>
    <w:rsid w:val="00DA33B8"/>
    <w:rsid w:val="00DA33F8"/>
    <w:rsid w:val="00DA3435"/>
    <w:rsid w:val="00DA344F"/>
    <w:rsid w:val="00DA34E0"/>
    <w:rsid w:val="00DA34FE"/>
    <w:rsid w:val="00DA3544"/>
    <w:rsid w:val="00DA35FB"/>
    <w:rsid w:val="00DA3699"/>
    <w:rsid w:val="00DA3798"/>
    <w:rsid w:val="00DA386D"/>
    <w:rsid w:val="00DA38B1"/>
    <w:rsid w:val="00DA3972"/>
    <w:rsid w:val="00DA39A8"/>
    <w:rsid w:val="00DA39B5"/>
    <w:rsid w:val="00DA3AC8"/>
    <w:rsid w:val="00DA3B1A"/>
    <w:rsid w:val="00DA3B91"/>
    <w:rsid w:val="00DA3BD9"/>
    <w:rsid w:val="00DA3CEC"/>
    <w:rsid w:val="00DA3CF5"/>
    <w:rsid w:val="00DA3D74"/>
    <w:rsid w:val="00DA3F5D"/>
    <w:rsid w:val="00DA3FDF"/>
    <w:rsid w:val="00DA40DA"/>
    <w:rsid w:val="00DA4196"/>
    <w:rsid w:val="00DA4349"/>
    <w:rsid w:val="00DA466E"/>
    <w:rsid w:val="00DA49DA"/>
    <w:rsid w:val="00DA49EB"/>
    <w:rsid w:val="00DA49EC"/>
    <w:rsid w:val="00DA4ADB"/>
    <w:rsid w:val="00DA4B2F"/>
    <w:rsid w:val="00DA4B3C"/>
    <w:rsid w:val="00DA4B8D"/>
    <w:rsid w:val="00DA4C99"/>
    <w:rsid w:val="00DA4D69"/>
    <w:rsid w:val="00DA4E25"/>
    <w:rsid w:val="00DA4E93"/>
    <w:rsid w:val="00DA4F2C"/>
    <w:rsid w:val="00DA4FC4"/>
    <w:rsid w:val="00DA5079"/>
    <w:rsid w:val="00DA512C"/>
    <w:rsid w:val="00DA515E"/>
    <w:rsid w:val="00DA5248"/>
    <w:rsid w:val="00DA5269"/>
    <w:rsid w:val="00DA53E8"/>
    <w:rsid w:val="00DA557F"/>
    <w:rsid w:val="00DA55BF"/>
    <w:rsid w:val="00DA55C4"/>
    <w:rsid w:val="00DA562C"/>
    <w:rsid w:val="00DA575E"/>
    <w:rsid w:val="00DA5773"/>
    <w:rsid w:val="00DA5779"/>
    <w:rsid w:val="00DA57C7"/>
    <w:rsid w:val="00DA588A"/>
    <w:rsid w:val="00DA59C7"/>
    <w:rsid w:val="00DA59EB"/>
    <w:rsid w:val="00DA5A94"/>
    <w:rsid w:val="00DA5B40"/>
    <w:rsid w:val="00DA5C84"/>
    <w:rsid w:val="00DA5D2D"/>
    <w:rsid w:val="00DA5E72"/>
    <w:rsid w:val="00DA5F08"/>
    <w:rsid w:val="00DA5FA2"/>
    <w:rsid w:val="00DA5FBE"/>
    <w:rsid w:val="00DA5FE2"/>
    <w:rsid w:val="00DA62A4"/>
    <w:rsid w:val="00DA6360"/>
    <w:rsid w:val="00DA65E1"/>
    <w:rsid w:val="00DA6726"/>
    <w:rsid w:val="00DA6841"/>
    <w:rsid w:val="00DA6907"/>
    <w:rsid w:val="00DA694D"/>
    <w:rsid w:val="00DA69F0"/>
    <w:rsid w:val="00DA6C70"/>
    <w:rsid w:val="00DA6D63"/>
    <w:rsid w:val="00DA6D6E"/>
    <w:rsid w:val="00DA6F0E"/>
    <w:rsid w:val="00DA70BD"/>
    <w:rsid w:val="00DA7133"/>
    <w:rsid w:val="00DA7394"/>
    <w:rsid w:val="00DA739B"/>
    <w:rsid w:val="00DA73DB"/>
    <w:rsid w:val="00DA75FF"/>
    <w:rsid w:val="00DA7603"/>
    <w:rsid w:val="00DA764B"/>
    <w:rsid w:val="00DA76DB"/>
    <w:rsid w:val="00DA7A86"/>
    <w:rsid w:val="00DA7AD4"/>
    <w:rsid w:val="00DA7B31"/>
    <w:rsid w:val="00DA7B70"/>
    <w:rsid w:val="00DA7BC7"/>
    <w:rsid w:val="00DA7CE3"/>
    <w:rsid w:val="00DA7D77"/>
    <w:rsid w:val="00DA7D7E"/>
    <w:rsid w:val="00DA7D81"/>
    <w:rsid w:val="00DA7D9D"/>
    <w:rsid w:val="00DA7E27"/>
    <w:rsid w:val="00DA7EE4"/>
    <w:rsid w:val="00DA7FEE"/>
    <w:rsid w:val="00DB0126"/>
    <w:rsid w:val="00DB015A"/>
    <w:rsid w:val="00DB0281"/>
    <w:rsid w:val="00DB028F"/>
    <w:rsid w:val="00DB02CE"/>
    <w:rsid w:val="00DB042B"/>
    <w:rsid w:val="00DB0494"/>
    <w:rsid w:val="00DB04A7"/>
    <w:rsid w:val="00DB04BC"/>
    <w:rsid w:val="00DB04D6"/>
    <w:rsid w:val="00DB0530"/>
    <w:rsid w:val="00DB0539"/>
    <w:rsid w:val="00DB0562"/>
    <w:rsid w:val="00DB056D"/>
    <w:rsid w:val="00DB0579"/>
    <w:rsid w:val="00DB05B2"/>
    <w:rsid w:val="00DB068A"/>
    <w:rsid w:val="00DB06D1"/>
    <w:rsid w:val="00DB073C"/>
    <w:rsid w:val="00DB0764"/>
    <w:rsid w:val="00DB0771"/>
    <w:rsid w:val="00DB0805"/>
    <w:rsid w:val="00DB0947"/>
    <w:rsid w:val="00DB09C5"/>
    <w:rsid w:val="00DB09C6"/>
    <w:rsid w:val="00DB09F8"/>
    <w:rsid w:val="00DB0A19"/>
    <w:rsid w:val="00DB0A1D"/>
    <w:rsid w:val="00DB0A7F"/>
    <w:rsid w:val="00DB0ABA"/>
    <w:rsid w:val="00DB0D8B"/>
    <w:rsid w:val="00DB0DDF"/>
    <w:rsid w:val="00DB0DFA"/>
    <w:rsid w:val="00DB0E0D"/>
    <w:rsid w:val="00DB0E5B"/>
    <w:rsid w:val="00DB0E61"/>
    <w:rsid w:val="00DB0E9F"/>
    <w:rsid w:val="00DB0EE9"/>
    <w:rsid w:val="00DB0F11"/>
    <w:rsid w:val="00DB1080"/>
    <w:rsid w:val="00DB10C5"/>
    <w:rsid w:val="00DB11BA"/>
    <w:rsid w:val="00DB12AB"/>
    <w:rsid w:val="00DB1329"/>
    <w:rsid w:val="00DB13BF"/>
    <w:rsid w:val="00DB13D2"/>
    <w:rsid w:val="00DB1476"/>
    <w:rsid w:val="00DB1565"/>
    <w:rsid w:val="00DB172E"/>
    <w:rsid w:val="00DB1735"/>
    <w:rsid w:val="00DB17AE"/>
    <w:rsid w:val="00DB1907"/>
    <w:rsid w:val="00DB1983"/>
    <w:rsid w:val="00DB1B36"/>
    <w:rsid w:val="00DB1B51"/>
    <w:rsid w:val="00DB1CA9"/>
    <w:rsid w:val="00DB1D94"/>
    <w:rsid w:val="00DB1E00"/>
    <w:rsid w:val="00DB1E04"/>
    <w:rsid w:val="00DB1E1E"/>
    <w:rsid w:val="00DB1F5D"/>
    <w:rsid w:val="00DB2028"/>
    <w:rsid w:val="00DB2087"/>
    <w:rsid w:val="00DB20E0"/>
    <w:rsid w:val="00DB21A3"/>
    <w:rsid w:val="00DB2213"/>
    <w:rsid w:val="00DB2276"/>
    <w:rsid w:val="00DB22D8"/>
    <w:rsid w:val="00DB22E0"/>
    <w:rsid w:val="00DB22FC"/>
    <w:rsid w:val="00DB2402"/>
    <w:rsid w:val="00DB2415"/>
    <w:rsid w:val="00DB2446"/>
    <w:rsid w:val="00DB244A"/>
    <w:rsid w:val="00DB25AD"/>
    <w:rsid w:val="00DB2664"/>
    <w:rsid w:val="00DB27C0"/>
    <w:rsid w:val="00DB2837"/>
    <w:rsid w:val="00DB287E"/>
    <w:rsid w:val="00DB2890"/>
    <w:rsid w:val="00DB29A1"/>
    <w:rsid w:val="00DB29E9"/>
    <w:rsid w:val="00DB2A85"/>
    <w:rsid w:val="00DB2AF0"/>
    <w:rsid w:val="00DB2BC6"/>
    <w:rsid w:val="00DB2C5D"/>
    <w:rsid w:val="00DB2D8B"/>
    <w:rsid w:val="00DB2D8D"/>
    <w:rsid w:val="00DB2DB6"/>
    <w:rsid w:val="00DB2ECF"/>
    <w:rsid w:val="00DB2F75"/>
    <w:rsid w:val="00DB3008"/>
    <w:rsid w:val="00DB3015"/>
    <w:rsid w:val="00DB313B"/>
    <w:rsid w:val="00DB314D"/>
    <w:rsid w:val="00DB320A"/>
    <w:rsid w:val="00DB3303"/>
    <w:rsid w:val="00DB3396"/>
    <w:rsid w:val="00DB3458"/>
    <w:rsid w:val="00DB3555"/>
    <w:rsid w:val="00DB3576"/>
    <w:rsid w:val="00DB357D"/>
    <w:rsid w:val="00DB36C4"/>
    <w:rsid w:val="00DB3710"/>
    <w:rsid w:val="00DB3807"/>
    <w:rsid w:val="00DB3847"/>
    <w:rsid w:val="00DB386D"/>
    <w:rsid w:val="00DB3870"/>
    <w:rsid w:val="00DB38FB"/>
    <w:rsid w:val="00DB39E5"/>
    <w:rsid w:val="00DB3A06"/>
    <w:rsid w:val="00DB3A7F"/>
    <w:rsid w:val="00DB3B0F"/>
    <w:rsid w:val="00DB3B79"/>
    <w:rsid w:val="00DB3C6C"/>
    <w:rsid w:val="00DB3CB3"/>
    <w:rsid w:val="00DB3EE5"/>
    <w:rsid w:val="00DB3F09"/>
    <w:rsid w:val="00DB3F1A"/>
    <w:rsid w:val="00DB403F"/>
    <w:rsid w:val="00DB40E6"/>
    <w:rsid w:val="00DB414B"/>
    <w:rsid w:val="00DB41BA"/>
    <w:rsid w:val="00DB42D8"/>
    <w:rsid w:val="00DB43FE"/>
    <w:rsid w:val="00DB442B"/>
    <w:rsid w:val="00DB44C7"/>
    <w:rsid w:val="00DB44D2"/>
    <w:rsid w:val="00DB454C"/>
    <w:rsid w:val="00DB4585"/>
    <w:rsid w:val="00DB4625"/>
    <w:rsid w:val="00DB4638"/>
    <w:rsid w:val="00DB469F"/>
    <w:rsid w:val="00DB46B0"/>
    <w:rsid w:val="00DB49D7"/>
    <w:rsid w:val="00DB49F6"/>
    <w:rsid w:val="00DB4A6E"/>
    <w:rsid w:val="00DB4AD8"/>
    <w:rsid w:val="00DB4D80"/>
    <w:rsid w:val="00DB4E4F"/>
    <w:rsid w:val="00DB4E60"/>
    <w:rsid w:val="00DB4F0A"/>
    <w:rsid w:val="00DB4F42"/>
    <w:rsid w:val="00DB4FF9"/>
    <w:rsid w:val="00DB508B"/>
    <w:rsid w:val="00DB509D"/>
    <w:rsid w:val="00DB5136"/>
    <w:rsid w:val="00DB515D"/>
    <w:rsid w:val="00DB51D7"/>
    <w:rsid w:val="00DB523F"/>
    <w:rsid w:val="00DB526B"/>
    <w:rsid w:val="00DB52B5"/>
    <w:rsid w:val="00DB541B"/>
    <w:rsid w:val="00DB5492"/>
    <w:rsid w:val="00DB54E3"/>
    <w:rsid w:val="00DB562A"/>
    <w:rsid w:val="00DB574C"/>
    <w:rsid w:val="00DB57C6"/>
    <w:rsid w:val="00DB57DE"/>
    <w:rsid w:val="00DB57F8"/>
    <w:rsid w:val="00DB582C"/>
    <w:rsid w:val="00DB5930"/>
    <w:rsid w:val="00DB5932"/>
    <w:rsid w:val="00DB5979"/>
    <w:rsid w:val="00DB5A05"/>
    <w:rsid w:val="00DB5A59"/>
    <w:rsid w:val="00DB5BD0"/>
    <w:rsid w:val="00DB5C62"/>
    <w:rsid w:val="00DB5CB0"/>
    <w:rsid w:val="00DB5CD3"/>
    <w:rsid w:val="00DB5CFB"/>
    <w:rsid w:val="00DB5D33"/>
    <w:rsid w:val="00DB5D3D"/>
    <w:rsid w:val="00DB5DBD"/>
    <w:rsid w:val="00DB5DF0"/>
    <w:rsid w:val="00DB5FBC"/>
    <w:rsid w:val="00DB620A"/>
    <w:rsid w:val="00DB63B2"/>
    <w:rsid w:val="00DB63E4"/>
    <w:rsid w:val="00DB6497"/>
    <w:rsid w:val="00DB6533"/>
    <w:rsid w:val="00DB66A0"/>
    <w:rsid w:val="00DB66DA"/>
    <w:rsid w:val="00DB68A3"/>
    <w:rsid w:val="00DB68C4"/>
    <w:rsid w:val="00DB696D"/>
    <w:rsid w:val="00DB6A36"/>
    <w:rsid w:val="00DB6C39"/>
    <w:rsid w:val="00DB6C60"/>
    <w:rsid w:val="00DB6D0F"/>
    <w:rsid w:val="00DB6D56"/>
    <w:rsid w:val="00DB6DA1"/>
    <w:rsid w:val="00DB6DCB"/>
    <w:rsid w:val="00DB6E8A"/>
    <w:rsid w:val="00DB6EC4"/>
    <w:rsid w:val="00DB70D3"/>
    <w:rsid w:val="00DB730F"/>
    <w:rsid w:val="00DB7357"/>
    <w:rsid w:val="00DB7497"/>
    <w:rsid w:val="00DB74B1"/>
    <w:rsid w:val="00DB7552"/>
    <w:rsid w:val="00DB75CB"/>
    <w:rsid w:val="00DB7749"/>
    <w:rsid w:val="00DB77FE"/>
    <w:rsid w:val="00DB78B2"/>
    <w:rsid w:val="00DB78B4"/>
    <w:rsid w:val="00DB78FE"/>
    <w:rsid w:val="00DB7A66"/>
    <w:rsid w:val="00DB7AAD"/>
    <w:rsid w:val="00DB7BDC"/>
    <w:rsid w:val="00DB7C61"/>
    <w:rsid w:val="00DB7D9D"/>
    <w:rsid w:val="00DB7E66"/>
    <w:rsid w:val="00DB7E95"/>
    <w:rsid w:val="00DB7EAB"/>
    <w:rsid w:val="00DB7F2E"/>
    <w:rsid w:val="00DB7F47"/>
    <w:rsid w:val="00DB7F60"/>
    <w:rsid w:val="00DC0077"/>
    <w:rsid w:val="00DC00B7"/>
    <w:rsid w:val="00DC00D0"/>
    <w:rsid w:val="00DC00F3"/>
    <w:rsid w:val="00DC01F3"/>
    <w:rsid w:val="00DC0209"/>
    <w:rsid w:val="00DC021F"/>
    <w:rsid w:val="00DC0562"/>
    <w:rsid w:val="00DC05E9"/>
    <w:rsid w:val="00DC06D8"/>
    <w:rsid w:val="00DC0883"/>
    <w:rsid w:val="00DC0914"/>
    <w:rsid w:val="00DC099D"/>
    <w:rsid w:val="00DC0B33"/>
    <w:rsid w:val="00DC0B4B"/>
    <w:rsid w:val="00DC0BC7"/>
    <w:rsid w:val="00DC0C01"/>
    <w:rsid w:val="00DC0C03"/>
    <w:rsid w:val="00DC0DCF"/>
    <w:rsid w:val="00DC0E37"/>
    <w:rsid w:val="00DC0E5E"/>
    <w:rsid w:val="00DC0EB5"/>
    <w:rsid w:val="00DC0EDB"/>
    <w:rsid w:val="00DC10D9"/>
    <w:rsid w:val="00DC11C2"/>
    <w:rsid w:val="00DC11C4"/>
    <w:rsid w:val="00DC129E"/>
    <w:rsid w:val="00DC14F7"/>
    <w:rsid w:val="00DC15B3"/>
    <w:rsid w:val="00DC1692"/>
    <w:rsid w:val="00DC175B"/>
    <w:rsid w:val="00DC182E"/>
    <w:rsid w:val="00DC1864"/>
    <w:rsid w:val="00DC1879"/>
    <w:rsid w:val="00DC18D3"/>
    <w:rsid w:val="00DC190A"/>
    <w:rsid w:val="00DC1A69"/>
    <w:rsid w:val="00DC1B0D"/>
    <w:rsid w:val="00DC1BA8"/>
    <w:rsid w:val="00DC1E0E"/>
    <w:rsid w:val="00DC1E11"/>
    <w:rsid w:val="00DC1EEA"/>
    <w:rsid w:val="00DC1FD9"/>
    <w:rsid w:val="00DC1FDE"/>
    <w:rsid w:val="00DC1FE3"/>
    <w:rsid w:val="00DC205E"/>
    <w:rsid w:val="00DC208E"/>
    <w:rsid w:val="00DC2105"/>
    <w:rsid w:val="00DC219F"/>
    <w:rsid w:val="00DC2208"/>
    <w:rsid w:val="00DC23FD"/>
    <w:rsid w:val="00DC2418"/>
    <w:rsid w:val="00DC244C"/>
    <w:rsid w:val="00DC24C2"/>
    <w:rsid w:val="00DC25DC"/>
    <w:rsid w:val="00DC2644"/>
    <w:rsid w:val="00DC2689"/>
    <w:rsid w:val="00DC29EB"/>
    <w:rsid w:val="00DC2A2A"/>
    <w:rsid w:val="00DC2A71"/>
    <w:rsid w:val="00DC2AC5"/>
    <w:rsid w:val="00DC2B49"/>
    <w:rsid w:val="00DC2BF6"/>
    <w:rsid w:val="00DC2CAC"/>
    <w:rsid w:val="00DC2D93"/>
    <w:rsid w:val="00DC2E4F"/>
    <w:rsid w:val="00DC2E90"/>
    <w:rsid w:val="00DC2F11"/>
    <w:rsid w:val="00DC2F35"/>
    <w:rsid w:val="00DC2F87"/>
    <w:rsid w:val="00DC2FC6"/>
    <w:rsid w:val="00DC307D"/>
    <w:rsid w:val="00DC3140"/>
    <w:rsid w:val="00DC31EC"/>
    <w:rsid w:val="00DC3219"/>
    <w:rsid w:val="00DC325F"/>
    <w:rsid w:val="00DC3274"/>
    <w:rsid w:val="00DC3290"/>
    <w:rsid w:val="00DC343C"/>
    <w:rsid w:val="00DC348A"/>
    <w:rsid w:val="00DC34B0"/>
    <w:rsid w:val="00DC3515"/>
    <w:rsid w:val="00DC3534"/>
    <w:rsid w:val="00DC3738"/>
    <w:rsid w:val="00DC376C"/>
    <w:rsid w:val="00DC37F8"/>
    <w:rsid w:val="00DC383A"/>
    <w:rsid w:val="00DC391D"/>
    <w:rsid w:val="00DC397B"/>
    <w:rsid w:val="00DC39D9"/>
    <w:rsid w:val="00DC39FE"/>
    <w:rsid w:val="00DC3A86"/>
    <w:rsid w:val="00DC3B17"/>
    <w:rsid w:val="00DC3B1C"/>
    <w:rsid w:val="00DC3B9C"/>
    <w:rsid w:val="00DC3BD2"/>
    <w:rsid w:val="00DC3C4F"/>
    <w:rsid w:val="00DC3C82"/>
    <w:rsid w:val="00DC3CF5"/>
    <w:rsid w:val="00DC3E62"/>
    <w:rsid w:val="00DC3E90"/>
    <w:rsid w:val="00DC3F22"/>
    <w:rsid w:val="00DC3F87"/>
    <w:rsid w:val="00DC3F93"/>
    <w:rsid w:val="00DC3FD8"/>
    <w:rsid w:val="00DC4089"/>
    <w:rsid w:val="00DC40EC"/>
    <w:rsid w:val="00DC418F"/>
    <w:rsid w:val="00DC4359"/>
    <w:rsid w:val="00DC440D"/>
    <w:rsid w:val="00DC4414"/>
    <w:rsid w:val="00DC443F"/>
    <w:rsid w:val="00DC44EC"/>
    <w:rsid w:val="00DC458D"/>
    <w:rsid w:val="00DC46AA"/>
    <w:rsid w:val="00DC46D3"/>
    <w:rsid w:val="00DC47E0"/>
    <w:rsid w:val="00DC4802"/>
    <w:rsid w:val="00DC482D"/>
    <w:rsid w:val="00DC4837"/>
    <w:rsid w:val="00DC484D"/>
    <w:rsid w:val="00DC4924"/>
    <w:rsid w:val="00DC4988"/>
    <w:rsid w:val="00DC499E"/>
    <w:rsid w:val="00DC49B1"/>
    <w:rsid w:val="00DC49F7"/>
    <w:rsid w:val="00DC4A61"/>
    <w:rsid w:val="00DC4B92"/>
    <w:rsid w:val="00DC4C7C"/>
    <w:rsid w:val="00DC4DA5"/>
    <w:rsid w:val="00DC4EFF"/>
    <w:rsid w:val="00DC4F11"/>
    <w:rsid w:val="00DC5074"/>
    <w:rsid w:val="00DC50AF"/>
    <w:rsid w:val="00DC5188"/>
    <w:rsid w:val="00DC5227"/>
    <w:rsid w:val="00DC52D2"/>
    <w:rsid w:val="00DC52D8"/>
    <w:rsid w:val="00DC5346"/>
    <w:rsid w:val="00DC535F"/>
    <w:rsid w:val="00DC539F"/>
    <w:rsid w:val="00DC53A3"/>
    <w:rsid w:val="00DC53EC"/>
    <w:rsid w:val="00DC5470"/>
    <w:rsid w:val="00DC5542"/>
    <w:rsid w:val="00DC565D"/>
    <w:rsid w:val="00DC56C1"/>
    <w:rsid w:val="00DC56F9"/>
    <w:rsid w:val="00DC573D"/>
    <w:rsid w:val="00DC594F"/>
    <w:rsid w:val="00DC5A34"/>
    <w:rsid w:val="00DC5B15"/>
    <w:rsid w:val="00DC5C3F"/>
    <w:rsid w:val="00DC5C9C"/>
    <w:rsid w:val="00DC5D1D"/>
    <w:rsid w:val="00DC5D2D"/>
    <w:rsid w:val="00DC5D40"/>
    <w:rsid w:val="00DC5D7D"/>
    <w:rsid w:val="00DC5D90"/>
    <w:rsid w:val="00DC5E02"/>
    <w:rsid w:val="00DC5EFF"/>
    <w:rsid w:val="00DC5F3D"/>
    <w:rsid w:val="00DC5FE1"/>
    <w:rsid w:val="00DC5FF8"/>
    <w:rsid w:val="00DC602A"/>
    <w:rsid w:val="00DC6032"/>
    <w:rsid w:val="00DC6045"/>
    <w:rsid w:val="00DC6071"/>
    <w:rsid w:val="00DC6159"/>
    <w:rsid w:val="00DC6162"/>
    <w:rsid w:val="00DC6177"/>
    <w:rsid w:val="00DC61DF"/>
    <w:rsid w:val="00DC61E8"/>
    <w:rsid w:val="00DC6207"/>
    <w:rsid w:val="00DC628A"/>
    <w:rsid w:val="00DC62F5"/>
    <w:rsid w:val="00DC6322"/>
    <w:rsid w:val="00DC6389"/>
    <w:rsid w:val="00DC643B"/>
    <w:rsid w:val="00DC6517"/>
    <w:rsid w:val="00DC6606"/>
    <w:rsid w:val="00DC66C9"/>
    <w:rsid w:val="00DC6711"/>
    <w:rsid w:val="00DC684D"/>
    <w:rsid w:val="00DC68D0"/>
    <w:rsid w:val="00DC68FC"/>
    <w:rsid w:val="00DC6A82"/>
    <w:rsid w:val="00DC6BA0"/>
    <w:rsid w:val="00DC6BB7"/>
    <w:rsid w:val="00DC6C60"/>
    <w:rsid w:val="00DC6C70"/>
    <w:rsid w:val="00DC6CA8"/>
    <w:rsid w:val="00DC6D66"/>
    <w:rsid w:val="00DC6D98"/>
    <w:rsid w:val="00DC6DC2"/>
    <w:rsid w:val="00DC6E52"/>
    <w:rsid w:val="00DC6FFF"/>
    <w:rsid w:val="00DC7015"/>
    <w:rsid w:val="00DC70A3"/>
    <w:rsid w:val="00DC71E7"/>
    <w:rsid w:val="00DC7267"/>
    <w:rsid w:val="00DC72D9"/>
    <w:rsid w:val="00DC72F1"/>
    <w:rsid w:val="00DC739D"/>
    <w:rsid w:val="00DC7427"/>
    <w:rsid w:val="00DC75AA"/>
    <w:rsid w:val="00DC7620"/>
    <w:rsid w:val="00DC7630"/>
    <w:rsid w:val="00DC764E"/>
    <w:rsid w:val="00DC767A"/>
    <w:rsid w:val="00DC76B5"/>
    <w:rsid w:val="00DC7836"/>
    <w:rsid w:val="00DC7998"/>
    <w:rsid w:val="00DC79C3"/>
    <w:rsid w:val="00DC79D9"/>
    <w:rsid w:val="00DC7AA3"/>
    <w:rsid w:val="00DC7AB9"/>
    <w:rsid w:val="00DC7B33"/>
    <w:rsid w:val="00DC7BB6"/>
    <w:rsid w:val="00DC7CDC"/>
    <w:rsid w:val="00DC7DCF"/>
    <w:rsid w:val="00DC7DD6"/>
    <w:rsid w:val="00DC7E12"/>
    <w:rsid w:val="00DC7E70"/>
    <w:rsid w:val="00DC7E8D"/>
    <w:rsid w:val="00DC7EEB"/>
    <w:rsid w:val="00DC7FA7"/>
    <w:rsid w:val="00DD002E"/>
    <w:rsid w:val="00DD0035"/>
    <w:rsid w:val="00DD003C"/>
    <w:rsid w:val="00DD0130"/>
    <w:rsid w:val="00DD021A"/>
    <w:rsid w:val="00DD041A"/>
    <w:rsid w:val="00DD041D"/>
    <w:rsid w:val="00DD0423"/>
    <w:rsid w:val="00DD0494"/>
    <w:rsid w:val="00DD0645"/>
    <w:rsid w:val="00DD0695"/>
    <w:rsid w:val="00DD07A2"/>
    <w:rsid w:val="00DD07C5"/>
    <w:rsid w:val="00DD07D4"/>
    <w:rsid w:val="00DD0807"/>
    <w:rsid w:val="00DD0834"/>
    <w:rsid w:val="00DD0842"/>
    <w:rsid w:val="00DD0A2F"/>
    <w:rsid w:val="00DD0A7B"/>
    <w:rsid w:val="00DD0AF5"/>
    <w:rsid w:val="00DD0B12"/>
    <w:rsid w:val="00DD0BD1"/>
    <w:rsid w:val="00DD0C8E"/>
    <w:rsid w:val="00DD0EF1"/>
    <w:rsid w:val="00DD0F39"/>
    <w:rsid w:val="00DD10E7"/>
    <w:rsid w:val="00DD11AD"/>
    <w:rsid w:val="00DD11B0"/>
    <w:rsid w:val="00DD11D9"/>
    <w:rsid w:val="00DD11F9"/>
    <w:rsid w:val="00DD138C"/>
    <w:rsid w:val="00DD1448"/>
    <w:rsid w:val="00DD14D9"/>
    <w:rsid w:val="00DD1513"/>
    <w:rsid w:val="00DD1543"/>
    <w:rsid w:val="00DD159E"/>
    <w:rsid w:val="00DD15ED"/>
    <w:rsid w:val="00DD164B"/>
    <w:rsid w:val="00DD16D1"/>
    <w:rsid w:val="00DD1717"/>
    <w:rsid w:val="00DD171A"/>
    <w:rsid w:val="00DD1786"/>
    <w:rsid w:val="00DD183E"/>
    <w:rsid w:val="00DD183F"/>
    <w:rsid w:val="00DD1887"/>
    <w:rsid w:val="00DD18C4"/>
    <w:rsid w:val="00DD1940"/>
    <w:rsid w:val="00DD197B"/>
    <w:rsid w:val="00DD19DB"/>
    <w:rsid w:val="00DD19F6"/>
    <w:rsid w:val="00DD1A6B"/>
    <w:rsid w:val="00DD1BFA"/>
    <w:rsid w:val="00DD1CFB"/>
    <w:rsid w:val="00DD1F94"/>
    <w:rsid w:val="00DD1FE1"/>
    <w:rsid w:val="00DD20F5"/>
    <w:rsid w:val="00DD212D"/>
    <w:rsid w:val="00DD217C"/>
    <w:rsid w:val="00DD21BC"/>
    <w:rsid w:val="00DD21D4"/>
    <w:rsid w:val="00DD2244"/>
    <w:rsid w:val="00DD22E2"/>
    <w:rsid w:val="00DD23C1"/>
    <w:rsid w:val="00DD247B"/>
    <w:rsid w:val="00DD247C"/>
    <w:rsid w:val="00DD24CC"/>
    <w:rsid w:val="00DD26A2"/>
    <w:rsid w:val="00DD26B0"/>
    <w:rsid w:val="00DD2733"/>
    <w:rsid w:val="00DD2811"/>
    <w:rsid w:val="00DD28D3"/>
    <w:rsid w:val="00DD2982"/>
    <w:rsid w:val="00DD2B1F"/>
    <w:rsid w:val="00DD2C2C"/>
    <w:rsid w:val="00DD2CB1"/>
    <w:rsid w:val="00DD2D0A"/>
    <w:rsid w:val="00DD2DF6"/>
    <w:rsid w:val="00DD2F6B"/>
    <w:rsid w:val="00DD308B"/>
    <w:rsid w:val="00DD312C"/>
    <w:rsid w:val="00DD3162"/>
    <w:rsid w:val="00DD319A"/>
    <w:rsid w:val="00DD325A"/>
    <w:rsid w:val="00DD3374"/>
    <w:rsid w:val="00DD3399"/>
    <w:rsid w:val="00DD33F1"/>
    <w:rsid w:val="00DD342E"/>
    <w:rsid w:val="00DD3449"/>
    <w:rsid w:val="00DD3469"/>
    <w:rsid w:val="00DD35D9"/>
    <w:rsid w:val="00DD3708"/>
    <w:rsid w:val="00DD38FC"/>
    <w:rsid w:val="00DD39DF"/>
    <w:rsid w:val="00DD3B40"/>
    <w:rsid w:val="00DD3B45"/>
    <w:rsid w:val="00DD3C0E"/>
    <w:rsid w:val="00DD3CBA"/>
    <w:rsid w:val="00DD3FA2"/>
    <w:rsid w:val="00DD4076"/>
    <w:rsid w:val="00DD4096"/>
    <w:rsid w:val="00DD40B1"/>
    <w:rsid w:val="00DD40D0"/>
    <w:rsid w:val="00DD4105"/>
    <w:rsid w:val="00DD41EA"/>
    <w:rsid w:val="00DD41F9"/>
    <w:rsid w:val="00DD42FF"/>
    <w:rsid w:val="00DD43B6"/>
    <w:rsid w:val="00DD43CA"/>
    <w:rsid w:val="00DD43CE"/>
    <w:rsid w:val="00DD458D"/>
    <w:rsid w:val="00DD4682"/>
    <w:rsid w:val="00DD470D"/>
    <w:rsid w:val="00DD47FD"/>
    <w:rsid w:val="00DD4825"/>
    <w:rsid w:val="00DD48CE"/>
    <w:rsid w:val="00DD4B81"/>
    <w:rsid w:val="00DD4C25"/>
    <w:rsid w:val="00DD4E0C"/>
    <w:rsid w:val="00DD4E31"/>
    <w:rsid w:val="00DD4EA0"/>
    <w:rsid w:val="00DD4EE1"/>
    <w:rsid w:val="00DD4F88"/>
    <w:rsid w:val="00DD4F96"/>
    <w:rsid w:val="00DD4FFA"/>
    <w:rsid w:val="00DD5016"/>
    <w:rsid w:val="00DD50D1"/>
    <w:rsid w:val="00DD510F"/>
    <w:rsid w:val="00DD554D"/>
    <w:rsid w:val="00DD56F4"/>
    <w:rsid w:val="00DD5871"/>
    <w:rsid w:val="00DD58D1"/>
    <w:rsid w:val="00DD59F3"/>
    <w:rsid w:val="00DD5AA6"/>
    <w:rsid w:val="00DD5C38"/>
    <w:rsid w:val="00DD5D4A"/>
    <w:rsid w:val="00DD5EF1"/>
    <w:rsid w:val="00DD5F34"/>
    <w:rsid w:val="00DD5F84"/>
    <w:rsid w:val="00DD6036"/>
    <w:rsid w:val="00DD6127"/>
    <w:rsid w:val="00DD6161"/>
    <w:rsid w:val="00DD63F9"/>
    <w:rsid w:val="00DD6457"/>
    <w:rsid w:val="00DD64E3"/>
    <w:rsid w:val="00DD64F5"/>
    <w:rsid w:val="00DD6513"/>
    <w:rsid w:val="00DD6525"/>
    <w:rsid w:val="00DD660A"/>
    <w:rsid w:val="00DD6707"/>
    <w:rsid w:val="00DD670A"/>
    <w:rsid w:val="00DD6721"/>
    <w:rsid w:val="00DD676D"/>
    <w:rsid w:val="00DD6797"/>
    <w:rsid w:val="00DD67ED"/>
    <w:rsid w:val="00DD69BE"/>
    <w:rsid w:val="00DD6BCD"/>
    <w:rsid w:val="00DD6BFC"/>
    <w:rsid w:val="00DD6CCC"/>
    <w:rsid w:val="00DD6CFD"/>
    <w:rsid w:val="00DD6EE1"/>
    <w:rsid w:val="00DD6EE2"/>
    <w:rsid w:val="00DD7187"/>
    <w:rsid w:val="00DD71F7"/>
    <w:rsid w:val="00DD726C"/>
    <w:rsid w:val="00DD726E"/>
    <w:rsid w:val="00DD7363"/>
    <w:rsid w:val="00DD747B"/>
    <w:rsid w:val="00DD749C"/>
    <w:rsid w:val="00DD752A"/>
    <w:rsid w:val="00DD765C"/>
    <w:rsid w:val="00DD76EA"/>
    <w:rsid w:val="00DD7734"/>
    <w:rsid w:val="00DD798E"/>
    <w:rsid w:val="00DD79C2"/>
    <w:rsid w:val="00DD79ED"/>
    <w:rsid w:val="00DD7C48"/>
    <w:rsid w:val="00DD7C5B"/>
    <w:rsid w:val="00DD7C95"/>
    <w:rsid w:val="00DD7CEF"/>
    <w:rsid w:val="00DD7DC0"/>
    <w:rsid w:val="00DD7DD1"/>
    <w:rsid w:val="00DD7EA6"/>
    <w:rsid w:val="00DD7F09"/>
    <w:rsid w:val="00DD7FE9"/>
    <w:rsid w:val="00DE007E"/>
    <w:rsid w:val="00DE0094"/>
    <w:rsid w:val="00DE0176"/>
    <w:rsid w:val="00DE02CB"/>
    <w:rsid w:val="00DE03D6"/>
    <w:rsid w:val="00DE053C"/>
    <w:rsid w:val="00DE0558"/>
    <w:rsid w:val="00DE05A9"/>
    <w:rsid w:val="00DE0631"/>
    <w:rsid w:val="00DE063C"/>
    <w:rsid w:val="00DE06B3"/>
    <w:rsid w:val="00DE0701"/>
    <w:rsid w:val="00DE0733"/>
    <w:rsid w:val="00DE08D9"/>
    <w:rsid w:val="00DE08DC"/>
    <w:rsid w:val="00DE08EE"/>
    <w:rsid w:val="00DE090D"/>
    <w:rsid w:val="00DE0A62"/>
    <w:rsid w:val="00DE0B5E"/>
    <w:rsid w:val="00DE0B96"/>
    <w:rsid w:val="00DE0BBF"/>
    <w:rsid w:val="00DE0CB2"/>
    <w:rsid w:val="00DE0D72"/>
    <w:rsid w:val="00DE0D80"/>
    <w:rsid w:val="00DE0DF1"/>
    <w:rsid w:val="00DE0EA7"/>
    <w:rsid w:val="00DE0F4C"/>
    <w:rsid w:val="00DE0F55"/>
    <w:rsid w:val="00DE1014"/>
    <w:rsid w:val="00DE1246"/>
    <w:rsid w:val="00DE12F9"/>
    <w:rsid w:val="00DE1365"/>
    <w:rsid w:val="00DE13E8"/>
    <w:rsid w:val="00DE14B4"/>
    <w:rsid w:val="00DE1537"/>
    <w:rsid w:val="00DE1814"/>
    <w:rsid w:val="00DE191E"/>
    <w:rsid w:val="00DE1A95"/>
    <w:rsid w:val="00DE1AF0"/>
    <w:rsid w:val="00DE1B19"/>
    <w:rsid w:val="00DE1CAC"/>
    <w:rsid w:val="00DE1CCB"/>
    <w:rsid w:val="00DE1D0E"/>
    <w:rsid w:val="00DE1D2E"/>
    <w:rsid w:val="00DE1ED2"/>
    <w:rsid w:val="00DE1F25"/>
    <w:rsid w:val="00DE1F59"/>
    <w:rsid w:val="00DE200D"/>
    <w:rsid w:val="00DE206D"/>
    <w:rsid w:val="00DE20FB"/>
    <w:rsid w:val="00DE220A"/>
    <w:rsid w:val="00DE2709"/>
    <w:rsid w:val="00DE283F"/>
    <w:rsid w:val="00DE2936"/>
    <w:rsid w:val="00DE2996"/>
    <w:rsid w:val="00DE2ADC"/>
    <w:rsid w:val="00DE2BEE"/>
    <w:rsid w:val="00DE2C34"/>
    <w:rsid w:val="00DE2C8F"/>
    <w:rsid w:val="00DE2D4A"/>
    <w:rsid w:val="00DE2F31"/>
    <w:rsid w:val="00DE2FF2"/>
    <w:rsid w:val="00DE3177"/>
    <w:rsid w:val="00DE31BE"/>
    <w:rsid w:val="00DE31D6"/>
    <w:rsid w:val="00DE3243"/>
    <w:rsid w:val="00DE32E0"/>
    <w:rsid w:val="00DE3362"/>
    <w:rsid w:val="00DE33A2"/>
    <w:rsid w:val="00DE33B6"/>
    <w:rsid w:val="00DE3408"/>
    <w:rsid w:val="00DE341F"/>
    <w:rsid w:val="00DE34AA"/>
    <w:rsid w:val="00DE34BE"/>
    <w:rsid w:val="00DE355C"/>
    <w:rsid w:val="00DE358B"/>
    <w:rsid w:val="00DE35B8"/>
    <w:rsid w:val="00DE3628"/>
    <w:rsid w:val="00DE3656"/>
    <w:rsid w:val="00DE36C2"/>
    <w:rsid w:val="00DE36F7"/>
    <w:rsid w:val="00DE3705"/>
    <w:rsid w:val="00DE3735"/>
    <w:rsid w:val="00DE374B"/>
    <w:rsid w:val="00DE377A"/>
    <w:rsid w:val="00DE377C"/>
    <w:rsid w:val="00DE39CE"/>
    <w:rsid w:val="00DE3A10"/>
    <w:rsid w:val="00DE3AEE"/>
    <w:rsid w:val="00DE3BD6"/>
    <w:rsid w:val="00DE3DBB"/>
    <w:rsid w:val="00DE3ED0"/>
    <w:rsid w:val="00DE3F88"/>
    <w:rsid w:val="00DE3FD8"/>
    <w:rsid w:val="00DE400D"/>
    <w:rsid w:val="00DE4024"/>
    <w:rsid w:val="00DE406E"/>
    <w:rsid w:val="00DE4180"/>
    <w:rsid w:val="00DE4188"/>
    <w:rsid w:val="00DE41E9"/>
    <w:rsid w:val="00DE4247"/>
    <w:rsid w:val="00DE43E2"/>
    <w:rsid w:val="00DE43E3"/>
    <w:rsid w:val="00DE4443"/>
    <w:rsid w:val="00DE455D"/>
    <w:rsid w:val="00DE45BD"/>
    <w:rsid w:val="00DE45DE"/>
    <w:rsid w:val="00DE4658"/>
    <w:rsid w:val="00DE46E7"/>
    <w:rsid w:val="00DE4754"/>
    <w:rsid w:val="00DE4815"/>
    <w:rsid w:val="00DE4822"/>
    <w:rsid w:val="00DE48B7"/>
    <w:rsid w:val="00DE4A35"/>
    <w:rsid w:val="00DE4B08"/>
    <w:rsid w:val="00DE4B3A"/>
    <w:rsid w:val="00DE4D3D"/>
    <w:rsid w:val="00DE4EAF"/>
    <w:rsid w:val="00DE505A"/>
    <w:rsid w:val="00DE50AA"/>
    <w:rsid w:val="00DE50B2"/>
    <w:rsid w:val="00DE50C3"/>
    <w:rsid w:val="00DE5121"/>
    <w:rsid w:val="00DE518A"/>
    <w:rsid w:val="00DE51D6"/>
    <w:rsid w:val="00DE5303"/>
    <w:rsid w:val="00DE53AA"/>
    <w:rsid w:val="00DE53E7"/>
    <w:rsid w:val="00DE5584"/>
    <w:rsid w:val="00DE56F4"/>
    <w:rsid w:val="00DE57C7"/>
    <w:rsid w:val="00DE5809"/>
    <w:rsid w:val="00DE5884"/>
    <w:rsid w:val="00DE58AA"/>
    <w:rsid w:val="00DE58AD"/>
    <w:rsid w:val="00DE59A9"/>
    <w:rsid w:val="00DE5A9D"/>
    <w:rsid w:val="00DE5C1E"/>
    <w:rsid w:val="00DE5C38"/>
    <w:rsid w:val="00DE5C75"/>
    <w:rsid w:val="00DE5EB6"/>
    <w:rsid w:val="00DE5FD4"/>
    <w:rsid w:val="00DE6002"/>
    <w:rsid w:val="00DE60C3"/>
    <w:rsid w:val="00DE613C"/>
    <w:rsid w:val="00DE61B8"/>
    <w:rsid w:val="00DE61DA"/>
    <w:rsid w:val="00DE62B3"/>
    <w:rsid w:val="00DE6300"/>
    <w:rsid w:val="00DE633E"/>
    <w:rsid w:val="00DE6497"/>
    <w:rsid w:val="00DE6647"/>
    <w:rsid w:val="00DE67DF"/>
    <w:rsid w:val="00DE6865"/>
    <w:rsid w:val="00DE68A4"/>
    <w:rsid w:val="00DE6957"/>
    <w:rsid w:val="00DE69AA"/>
    <w:rsid w:val="00DE6B52"/>
    <w:rsid w:val="00DE6B8A"/>
    <w:rsid w:val="00DE6B99"/>
    <w:rsid w:val="00DE6CA2"/>
    <w:rsid w:val="00DE6D1B"/>
    <w:rsid w:val="00DE6D9F"/>
    <w:rsid w:val="00DE6E57"/>
    <w:rsid w:val="00DE6EC0"/>
    <w:rsid w:val="00DE6F19"/>
    <w:rsid w:val="00DE6FFE"/>
    <w:rsid w:val="00DE7161"/>
    <w:rsid w:val="00DE71A2"/>
    <w:rsid w:val="00DE72BB"/>
    <w:rsid w:val="00DE7527"/>
    <w:rsid w:val="00DE75C4"/>
    <w:rsid w:val="00DE75C9"/>
    <w:rsid w:val="00DE76D7"/>
    <w:rsid w:val="00DE772D"/>
    <w:rsid w:val="00DE7788"/>
    <w:rsid w:val="00DE78BD"/>
    <w:rsid w:val="00DE79CA"/>
    <w:rsid w:val="00DE7A9A"/>
    <w:rsid w:val="00DE7B98"/>
    <w:rsid w:val="00DE7BE6"/>
    <w:rsid w:val="00DE7C1C"/>
    <w:rsid w:val="00DE7CF2"/>
    <w:rsid w:val="00DE7D1C"/>
    <w:rsid w:val="00DE7D87"/>
    <w:rsid w:val="00DE7D88"/>
    <w:rsid w:val="00DE7E95"/>
    <w:rsid w:val="00DE7EEB"/>
    <w:rsid w:val="00DE7F3A"/>
    <w:rsid w:val="00DF0281"/>
    <w:rsid w:val="00DF02BF"/>
    <w:rsid w:val="00DF049F"/>
    <w:rsid w:val="00DF0537"/>
    <w:rsid w:val="00DF05F3"/>
    <w:rsid w:val="00DF07D9"/>
    <w:rsid w:val="00DF092C"/>
    <w:rsid w:val="00DF0A43"/>
    <w:rsid w:val="00DF0AF0"/>
    <w:rsid w:val="00DF0B3C"/>
    <w:rsid w:val="00DF0B6E"/>
    <w:rsid w:val="00DF0BD3"/>
    <w:rsid w:val="00DF0C51"/>
    <w:rsid w:val="00DF0CBA"/>
    <w:rsid w:val="00DF0DDE"/>
    <w:rsid w:val="00DF0E13"/>
    <w:rsid w:val="00DF0EF6"/>
    <w:rsid w:val="00DF0F39"/>
    <w:rsid w:val="00DF0FD1"/>
    <w:rsid w:val="00DF101A"/>
    <w:rsid w:val="00DF11A8"/>
    <w:rsid w:val="00DF1205"/>
    <w:rsid w:val="00DF132F"/>
    <w:rsid w:val="00DF1338"/>
    <w:rsid w:val="00DF13A7"/>
    <w:rsid w:val="00DF13E5"/>
    <w:rsid w:val="00DF142B"/>
    <w:rsid w:val="00DF1445"/>
    <w:rsid w:val="00DF147E"/>
    <w:rsid w:val="00DF1602"/>
    <w:rsid w:val="00DF1631"/>
    <w:rsid w:val="00DF1650"/>
    <w:rsid w:val="00DF16B6"/>
    <w:rsid w:val="00DF1786"/>
    <w:rsid w:val="00DF1790"/>
    <w:rsid w:val="00DF17EB"/>
    <w:rsid w:val="00DF1818"/>
    <w:rsid w:val="00DF1868"/>
    <w:rsid w:val="00DF1944"/>
    <w:rsid w:val="00DF1949"/>
    <w:rsid w:val="00DF1A53"/>
    <w:rsid w:val="00DF1A8D"/>
    <w:rsid w:val="00DF1AB6"/>
    <w:rsid w:val="00DF1CA2"/>
    <w:rsid w:val="00DF1D49"/>
    <w:rsid w:val="00DF1D8E"/>
    <w:rsid w:val="00DF1D93"/>
    <w:rsid w:val="00DF1DD6"/>
    <w:rsid w:val="00DF1DFA"/>
    <w:rsid w:val="00DF1E85"/>
    <w:rsid w:val="00DF1E8C"/>
    <w:rsid w:val="00DF208F"/>
    <w:rsid w:val="00DF210D"/>
    <w:rsid w:val="00DF21A2"/>
    <w:rsid w:val="00DF22EB"/>
    <w:rsid w:val="00DF22FB"/>
    <w:rsid w:val="00DF2393"/>
    <w:rsid w:val="00DF23FE"/>
    <w:rsid w:val="00DF2488"/>
    <w:rsid w:val="00DF24AD"/>
    <w:rsid w:val="00DF250A"/>
    <w:rsid w:val="00DF25A8"/>
    <w:rsid w:val="00DF2615"/>
    <w:rsid w:val="00DF2659"/>
    <w:rsid w:val="00DF26A7"/>
    <w:rsid w:val="00DF26D7"/>
    <w:rsid w:val="00DF27BA"/>
    <w:rsid w:val="00DF28C5"/>
    <w:rsid w:val="00DF28EA"/>
    <w:rsid w:val="00DF294B"/>
    <w:rsid w:val="00DF2A23"/>
    <w:rsid w:val="00DF2A43"/>
    <w:rsid w:val="00DF2A7C"/>
    <w:rsid w:val="00DF2C34"/>
    <w:rsid w:val="00DF2C48"/>
    <w:rsid w:val="00DF2D99"/>
    <w:rsid w:val="00DF2E2F"/>
    <w:rsid w:val="00DF2E49"/>
    <w:rsid w:val="00DF2FA2"/>
    <w:rsid w:val="00DF3091"/>
    <w:rsid w:val="00DF310A"/>
    <w:rsid w:val="00DF3111"/>
    <w:rsid w:val="00DF3114"/>
    <w:rsid w:val="00DF31BD"/>
    <w:rsid w:val="00DF31D6"/>
    <w:rsid w:val="00DF3493"/>
    <w:rsid w:val="00DF3512"/>
    <w:rsid w:val="00DF3523"/>
    <w:rsid w:val="00DF3579"/>
    <w:rsid w:val="00DF3703"/>
    <w:rsid w:val="00DF375D"/>
    <w:rsid w:val="00DF37C9"/>
    <w:rsid w:val="00DF38AE"/>
    <w:rsid w:val="00DF3921"/>
    <w:rsid w:val="00DF392E"/>
    <w:rsid w:val="00DF3990"/>
    <w:rsid w:val="00DF39C5"/>
    <w:rsid w:val="00DF39D9"/>
    <w:rsid w:val="00DF3A06"/>
    <w:rsid w:val="00DF3DA6"/>
    <w:rsid w:val="00DF4064"/>
    <w:rsid w:val="00DF412E"/>
    <w:rsid w:val="00DF4136"/>
    <w:rsid w:val="00DF4138"/>
    <w:rsid w:val="00DF4253"/>
    <w:rsid w:val="00DF435C"/>
    <w:rsid w:val="00DF4551"/>
    <w:rsid w:val="00DF467C"/>
    <w:rsid w:val="00DF46C9"/>
    <w:rsid w:val="00DF471C"/>
    <w:rsid w:val="00DF47C6"/>
    <w:rsid w:val="00DF4A63"/>
    <w:rsid w:val="00DF4AE3"/>
    <w:rsid w:val="00DF4B51"/>
    <w:rsid w:val="00DF4BD3"/>
    <w:rsid w:val="00DF4CAC"/>
    <w:rsid w:val="00DF4DA5"/>
    <w:rsid w:val="00DF4DBE"/>
    <w:rsid w:val="00DF4DC0"/>
    <w:rsid w:val="00DF4E11"/>
    <w:rsid w:val="00DF4EE3"/>
    <w:rsid w:val="00DF4EF6"/>
    <w:rsid w:val="00DF4F59"/>
    <w:rsid w:val="00DF5054"/>
    <w:rsid w:val="00DF50FE"/>
    <w:rsid w:val="00DF511F"/>
    <w:rsid w:val="00DF53BF"/>
    <w:rsid w:val="00DF545B"/>
    <w:rsid w:val="00DF549F"/>
    <w:rsid w:val="00DF54A9"/>
    <w:rsid w:val="00DF5525"/>
    <w:rsid w:val="00DF5526"/>
    <w:rsid w:val="00DF5548"/>
    <w:rsid w:val="00DF5618"/>
    <w:rsid w:val="00DF5646"/>
    <w:rsid w:val="00DF57FB"/>
    <w:rsid w:val="00DF58F4"/>
    <w:rsid w:val="00DF5B3C"/>
    <w:rsid w:val="00DF5C8C"/>
    <w:rsid w:val="00DF5C8E"/>
    <w:rsid w:val="00DF5D5A"/>
    <w:rsid w:val="00DF5DA6"/>
    <w:rsid w:val="00DF5E36"/>
    <w:rsid w:val="00DF5F41"/>
    <w:rsid w:val="00DF6023"/>
    <w:rsid w:val="00DF606A"/>
    <w:rsid w:val="00DF6079"/>
    <w:rsid w:val="00DF6315"/>
    <w:rsid w:val="00DF643C"/>
    <w:rsid w:val="00DF646A"/>
    <w:rsid w:val="00DF6480"/>
    <w:rsid w:val="00DF64F8"/>
    <w:rsid w:val="00DF6634"/>
    <w:rsid w:val="00DF66BC"/>
    <w:rsid w:val="00DF66C8"/>
    <w:rsid w:val="00DF671A"/>
    <w:rsid w:val="00DF68F1"/>
    <w:rsid w:val="00DF693A"/>
    <w:rsid w:val="00DF6BAD"/>
    <w:rsid w:val="00DF6D4B"/>
    <w:rsid w:val="00DF6E03"/>
    <w:rsid w:val="00DF6E68"/>
    <w:rsid w:val="00DF6E7A"/>
    <w:rsid w:val="00DF6EEE"/>
    <w:rsid w:val="00DF6F95"/>
    <w:rsid w:val="00DF71C2"/>
    <w:rsid w:val="00DF7206"/>
    <w:rsid w:val="00DF7214"/>
    <w:rsid w:val="00DF7283"/>
    <w:rsid w:val="00DF7447"/>
    <w:rsid w:val="00DF747A"/>
    <w:rsid w:val="00DF748B"/>
    <w:rsid w:val="00DF74B2"/>
    <w:rsid w:val="00DF7522"/>
    <w:rsid w:val="00DF758D"/>
    <w:rsid w:val="00DF76CC"/>
    <w:rsid w:val="00DF7701"/>
    <w:rsid w:val="00DF7704"/>
    <w:rsid w:val="00DF7715"/>
    <w:rsid w:val="00DF774F"/>
    <w:rsid w:val="00DF77BF"/>
    <w:rsid w:val="00DF77EB"/>
    <w:rsid w:val="00DF79C3"/>
    <w:rsid w:val="00DF7A23"/>
    <w:rsid w:val="00DF7A27"/>
    <w:rsid w:val="00DF7AB6"/>
    <w:rsid w:val="00DF7ACD"/>
    <w:rsid w:val="00DF7B14"/>
    <w:rsid w:val="00DF7B1D"/>
    <w:rsid w:val="00DF7DC2"/>
    <w:rsid w:val="00DF7F61"/>
    <w:rsid w:val="00DF7FE7"/>
    <w:rsid w:val="00E00118"/>
    <w:rsid w:val="00E0011B"/>
    <w:rsid w:val="00E001D0"/>
    <w:rsid w:val="00E001D3"/>
    <w:rsid w:val="00E00202"/>
    <w:rsid w:val="00E00216"/>
    <w:rsid w:val="00E0026B"/>
    <w:rsid w:val="00E00539"/>
    <w:rsid w:val="00E00562"/>
    <w:rsid w:val="00E00570"/>
    <w:rsid w:val="00E00639"/>
    <w:rsid w:val="00E00641"/>
    <w:rsid w:val="00E0073E"/>
    <w:rsid w:val="00E0079F"/>
    <w:rsid w:val="00E0091E"/>
    <w:rsid w:val="00E00961"/>
    <w:rsid w:val="00E00A65"/>
    <w:rsid w:val="00E00B87"/>
    <w:rsid w:val="00E00C2A"/>
    <w:rsid w:val="00E00D61"/>
    <w:rsid w:val="00E01029"/>
    <w:rsid w:val="00E01084"/>
    <w:rsid w:val="00E010A5"/>
    <w:rsid w:val="00E0118F"/>
    <w:rsid w:val="00E011BA"/>
    <w:rsid w:val="00E01273"/>
    <w:rsid w:val="00E012E3"/>
    <w:rsid w:val="00E0133D"/>
    <w:rsid w:val="00E01387"/>
    <w:rsid w:val="00E015A0"/>
    <w:rsid w:val="00E016AB"/>
    <w:rsid w:val="00E017BC"/>
    <w:rsid w:val="00E018C1"/>
    <w:rsid w:val="00E018D1"/>
    <w:rsid w:val="00E01A07"/>
    <w:rsid w:val="00E01A0B"/>
    <w:rsid w:val="00E01A26"/>
    <w:rsid w:val="00E01B9C"/>
    <w:rsid w:val="00E01C2A"/>
    <w:rsid w:val="00E01C2D"/>
    <w:rsid w:val="00E01C38"/>
    <w:rsid w:val="00E01C89"/>
    <w:rsid w:val="00E01CD0"/>
    <w:rsid w:val="00E01EA2"/>
    <w:rsid w:val="00E02038"/>
    <w:rsid w:val="00E0222B"/>
    <w:rsid w:val="00E023CF"/>
    <w:rsid w:val="00E024F7"/>
    <w:rsid w:val="00E02552"/>
    <w:rsid w:val="00E02659"/>
    <w:rsid w:val="00E028B4"/>
    <w:rsid w:val="00E028EC"/>
    <w:rsid w:val="00E028F2"/>
    <w:rsid w:val="00E028FE"/>
    <w:rsid w:val="00E0291F"/>
    <w:rsid w:val="00E0298E"/>
    <w:rsid w:val="00E029E6"/>
    <w:rsid w:val="00E02A20"/>
    <w:rsid w:val="00E02A42"/>
    <w:rsid w:val="00E02AAE"/>
    <w:rsid w:val="00E02AD9"/>
    <w:rsid w:val="00E02BAB"/>
    <w:rsid w:val="00E02D49"/>
    <w:rsid w:val="00E02D6A"/>
    <w:rsid w:val="00E02E42"/>
    <w:rsid w:val="00E02E8D"/>
    <w:rsid w:val="00E02F2B"/>
    <w:rsid w:val="00E03057"/>
    <w:rsid w:val="00E0305B"/>
    <w:rsid w:val="00E03110"/>
    <w:rsid w:val="00E03224"/>
    <w:rsid w:val="00E032D6"/>
    <w:rsid w:val="00E032F4"/>
    <w:rsid w:val="00E03455"/>
    <w:rsid w:val="00E034B1"/>
    <w:rsid w:val="00E034EA"/>
    <w:rsid w:val="00E035ED"/>
    <w:rsid w:val="00E036B5"/>
    <w:rsid w:val="00E036C5"/>
    <w:rsid w:val="00E0372E"/>
    <w:rsid w:val="00E03765"/>
    <w:rsid w:val="00E03821"/>
    <w:rsid w:val="00E03B02"/>
    <w:rsid w:val="00E03B6A"/>
    <w:rsid w:val="00E03C24"/>
    <w:rsid w:val="00E03C89"/>
    <w:rsid w:val="00E03D32"/>
    <w:rsid w:val="00E03D68"/>
    <w:rsid w:val="00E03DC1"/>
    <w:rsid w:val="00E03F08"/>
    <w:rsid w:val="00E03F61"/>
    <w:rsid w:val="00E04010"/>
    <w:rsid w:val="00E04064"/>
    <w:rsid w:val="00E040BF"/>
    <w:rsid w:val="00E0414B"/>
    <w:rsid w:val="00E041CF"/>
    <w:rsid w:val="00E0428C"/>
    <w:rsid w:val="00E0444A"/>
    <w:rsid w:val="00E04494"/>
    <w:rsid w:val="00E04523"/>
    <w:rsid w:val="00E0455F"/>
    <w:rsid w:val="00E0459D"/>
    <w:rsid w:val="00E045AB"/>
    <w:rsid w:val="00E046F7"/>
    <w:rsid w:val="00E04718"/>
    <w:rsid w:val="00E0478F"/>
    <w:rsid w:val="00E047D1"/>
    <w:rsid w:val="00E04878"/>
    <w:rsid w:val="00E04938"/>
    <w:rsid w:val="00E04999"/>
    <w:rsid w:val="00E049C3"/>
    <w:rsid w:val="00E04A63"/>
    <w:rsid w:val="00E04A6D"/>
    <w:rsid w:val="00E04B92"/>
    <w:rsid w:val="00E04D4E"/>
    <w:rsid w:val="00E04D56"/>
    <w:rsid w:val="00E04E21"/>
    <w:rsid w:val="00E04EBF"/>
    <w:rsid w:val="00E04F93"/>
    <w:rsid w:val="00E04FB2"/>
    <w:rsid w:val="00E04FBB"/>
    <w:rsid w:val="00E05009"/>
    <w:rsid w:val="00E05041"/>
    <w:rsid w:val="00E0504B"/>
    <w:rsid w:val="00E05114"/>
    <w:rsid w:val="00E05131"/>
    <w:rsid w:val="00E05142"/>
    <w:rsid w:val="00E0519F"/>
    <w:rsid w:val="00E051DF"/>
    <w:rsid w:val="00E05235"/>
    <w:rsid w:val="00E052FE"/>
    <w:rsid w:val="00E05302"/>
    <w:rsid w:val="00E05345"/>
    <w:rsid w:val="00E053FE"/>
    <w:rsid w:val="00E0543A"/>
    <w:rsid w:val="00E0557E"/>
    <w:rsid w:val="00E05614"/>
    <w:rsid w:val="00E056F2"/>
    <w:rsid w:val="00E057C0"/>
    <w:rsid w:val="00E059C7"/>
    <w:rsid w:val="00E059F7"/>
    <w:rsid w:val="00E05A41"/>
    <w:rsid w:val="00E05ACA"/>
    <w:rsid w:val="00E05B11"/>
    <w:rsid w:val="00E05CAC"/>
    <w:rsid w:val="00E05DD4"/>
    <w:rsid w:val="00E05EB9"/>
    <w:rsid w:val="00E05F29"/>
    <w:rsid w:val="00E05F5C"/>
    <w:rsid w:val="00E0603B"/>
    <w:rsid w:val="00E06177"/>
    <w:rsid w:val="00E06185"/>
    <w:rsid w:val="00E062D6"/>
    <w:rsid w:val="00E062E4"/>
    <w:rsid w:val="00E063A7"/>
    <w:rsid w:val="00E06499"/>
    <w:rsid w:val="00E064FE"/>
    <w:rsid w:val="00E064FF"/>
    <w:rsid w:val="00E06529"/>
    <w:rsid w:val="00E06536"/>
    <w:rsid w:val="00E06599"/>
    <w:rsid w:val="00E065BE"/>
    <w:rsid w:val="00E06653"/>
    <w:rsid w:val="00E066A2"/>
    <w:rsid w:val="00E066CF"/>
    <w:rsid w:val="00E06793"/>
    <w:rsid w:val="00E067F2"/>
    <w:rsid w:val="00E068DF"/>
    <w:rsid w:val="00E0690E"/>
    <w:rsid w:val="00E06A37"/>
    <w:rsid w:val="00E06B1A"/>
    <w:rsid w:val="00E06B40"/>
    <w:rsid w:val="00E06BA6"/>
    <w:rsid w:val="00E06BE6"/>
    <w:rsid w:val="00E06C32"/>
    <w:rsid w:val="00E06DE5"/>
    <w:rsid w:val="00E06E17"/>
    <w:rsid w:val="00E06E86"/>
    <w:rsid w:val="00E06FED"/>
    <w:rsid w:val="00E07006"/>
    <w:rsid w:val="00E070B4"/>
    <w:rsid w:val="00E0714B"/>
    <w:rsid w:val="00E0726C"/>
    <w:rsid w:val="00E07302"/>
    <w:rsid w:val="00E07397"/>
    <w:rsid w:val="00E0750D"/>
    <w:rsid w:val="00E075BB"/>
    <w:rsid w:val="00E0781B"/>
    <w:rsid w:val="00E0789A"/>
    <w:rsid w:val="00E078B7"/>
    <w:rsid w:val="00E07A30"/>
    <w:rsid w:val="00E07AE7"/>
    <w:rsid w:val="00E07C29"/>
    <w:rsid w:val="00E07CF2"/>
    <w:rsid w:val="00E07D25"/>
    <w:rsid w:val="00E07D49"/>
    <w:rsid w:val="00E07DEC"/>
    <w:rsid w:val="00E07ED6"/>
    <w:rsid w:val="00E100C6"/>
    <w:rsid w:val="00E10255"/>
    <w:rsid w:val="00E10277"/>
    <w:rsid w:val="00E10458"/>
    <w:rsid w:val="00E10488"/>
    <w:rsid w:val="00E10523"/>
    <w:rsid w:val="00E1052F"/>
    <w:rsid w:val="00E10680"/>
    <w:rsid w:val="00E1090B"/>
    <w:rsid w:val="00E10A12"/>
    <w:rsid w:val="00E10B43"/>
    <w:rsid w:val="00E10B5D"/>
    <w:rsid w:val="00E10C31"/>
    <w:rsid w:val="00E10D07"/>
    <w:rsid w:val="00E10D80"/>
    <w:rsid w:val="00E10EBF"/>
    <w:rsid w:val="00E10F45"/>
    <w:rsid w:val="00E11003"/>
    <w:rsid w:val="00E1110B"/>
    <w:rsid w:val="00E111E4"/>
    <w:rsid w:val="00E111FE"/>
    <w:rsid w:val="00E11308"/>
    <w:rsid w:val="00E1145F"/>
    <w:rsid w:val="00E114B8"/>
    <w:rsid w:val="00E114D5"/>
    <w:rsid w:val="00E114ED"/>
    <w:rsid w:val="00E11656"/>
    <w:rsid w:val="00E1170E"/>
    <w:rsid w:val="00E11723"/>
    <w:rsid w:val="00E11773"/>
    <w:rsid w:val="00E11863"/>
    <w:rsid w:val="00E118A3"/>
    <w:rsid w:val="00E11908"/>
    <w:rsid w:val="00E1192B"/>
    <w:rsid w:val="00E11987"/>
    <w:rsid w:val="00E119AF"/>
    <w:rsid w:val="00E11A0A"/>
    <w:rsid w:val="00E11A11"/>
    <w:rsid w:val="00E11AD2"/>
    <w:rsid w:val="00E11B0C"/>
    <w:rsid w:val="00E11BF4"/>
    <w:rsid w:val="00E11E0E"/>
    <w:rsid w:val="00E11EAF"/>
    <w:rsid w:val="00E11F2D"/>
    <w:rsid w:val="00E11FB2"/>
    <w:rsid w:val="00E1208D"/>
    <w:rsid w:val="00E12091"/>
    <w:rsid w:val="00E1215B"/>
    <w:rsid w:val="00E121E4"/>
    <w:rsid w:val="00E12221"/>
    <w:rsid w:val="00E1227A"/>
    <w:rsid w:val="00E123E5"/>
    <w:rsid w:val="00E12508"/>
    <w:rsid w:val="00E125FD"/>
    <w:rsid w:val="00E1266D"/>
    <w:rsid w:val="00E126D0"/>
    <w:rsid w:val="00E12722"/>
    <w:rsid w:val="00E12753"/>
    <w:rsid w:val="00E12762"/>
    <w:rsid w:val="00E1288D"/>
    <w:rsid w:val="00E128DE"/>
    <w:rsid w:val="00E12937"/>
    <w:rsid w:val="00E12939"/>
    <w:rsid w:val="00E12999"/>
    <w:rsid w:val="00E12A73"/>
    <w:rsid w:val="00E12AA5"/>
    <w:rsid w:val="00E12BCF"/>
    <w:rsid w:val="00E12BE7"/>
    <w:rsid w:val="00E12C06"/>
    <w:rsid w:val="00E12C2C"/>
    <w:rsid w:val="00E12D73"/>
    <w:rsid w:val="00E12D99"/>
    <w:rsid w:val="00E12E68"/>
    <w:rsid w:val="00E12EB1"/>
    <w:rsid w:val="00E12F30"/>
    <w:rsid w:val="00E12F5C"/>
    <w:rsid w:val="00E12FAC"/>
    <w:rsid w:val="00E1305A"/>
    <w:rsid w:val="00E1306F"/>
    <w:rsid w:val="00E13082"/>
    <w:rsid w:val="00E131A3"/>
    <w:rsid w:val="00E131CD"/>
    <w:rsid w:val="00E13289"/>
    <w:rsid w:val="00E1335D"/>
    <w:rsid w:val="00E13360"/>
    <w:rsid w:val="00E1369E"/>
    <w:rsid w:val="00E13760"/>
    <w:rsid w:val="00E137AD"/>
    <w:rsid w:val="00E138F2"/>
    <w:rsid w:val="00E139A0"/>
    <w:rsid w:val="00E13ABA"/>
    <w:rsid w:val="00E13B57"/>
    <w:rsid w:val="00E13BB4"/>
    <w:rsid w:val="00E13D78"/>
    <w:rsid w:val="00E13DFD"/>
    <w:rsid w:val="00E13E13"/>
    <w:rsid w:val="00E14037"/>
    <w:rsid w:val="00E14095"/>
    <w:rsid w:val="00E14254"/>
    <w:rsid w:val="00E14379"/>
    <w:rsid w:val="00E14436"/>
    <w:rsid w:val="00E144FC"/>
    <w:rsid w:val="00E14571"/>
    <w:rsid w:val="00E14597"/>
    <w:rsid w:val="00E145C0"/>
    <w:rsid w:val="00E146B2"/>
    <w:rsid w:val="00E146DA"/>
    <w:rsid w:val="00E148B9"/>
    <w:rsid w:val="00E1491F"/>
    <w:rsid w:val="00E14950"/>
    <w:rsid w:val="00E14967"/>
    <w:rsid w:val="00E149B6"/>
    <w:rsid w:val="00E14B2C"/>
    <w:rsid w:val="00E14B3A"/>
    <w:rsid w:val="00E14C90"/>
    <w:rsid w:val="00E14D18"/>
    <w:rsid w:val="00E14D69"/>
    <w:rsid w:val="00E14E5D"/>
    <w:rsid w:val="00E14E61"/>
    <w:rsid w:val="00E14E98"/>
    <w:rsid w:val="00E14F5C"/>
    <w:rsid w:val="00E14FE2"/>
    <w:rsid w:val="00E14FF7"/>
    <w:rsid w:val="00E15045"/>
    <w:rsid w:val="00E151CF"/>
    <w:rsid w:val="00E1520C"/>
    <w:rsid w:val="00E15345"/>
    <w:rsid w:val="00E15374"/>
    <w:rsid w:val="00E155AE"/>
    <w:rsid w:val="00E15648"/>
    <w:rsid w:val="00E15729"/>
    <w:rsid w:val="00E15767"/>
    <w:rsid w:val="00E158D3"/>
    <w:rsid w:val="00E15918"/>
    <w:rsid w:val="00E15A54"/>
    <w:rsid w:val="00E15DA8"/>
    <w:rsid w:val="00E15DEC"/>
    <w:rsid w:val="00E15EBE"/>
    <w:rsid w:val="00E15F26"/>
    <w:rsid w:val="00E15F32"/>
    <w:rsid w:val="00E15FF2"/>
    <w:rsid w:val="00E16014"/>
    <w:rsid w:val="00E1610E"/>
    <w:rsid w:val="00E1613A"/>
    <w:rsid w:val="00E1626F"/>
    <w:rsid w:val="00E162D8"/>
    <w:rsid w:val="00E16314"/>
    <w:rsid w:val="00E1634F"/>
    <w:rsid w:val="00E163F3"/>
    <w:rsid w:val="00E1647B"/>
    <w:rsid w:val="00E1648B"/>
    <w:rsid w:val="00E164E8"/>
    <w:rsid w:val="00E1658C"/>
    <w:rsid w:val="00E1659A"/>
    <w:rsid w:val="00E165B2"/>
    <w:rsid w:val="00E16636"/>
    <w:rsid w:val="00E16675"/>
    <w:rsid w:val="00E16694"/>
    <w:rsid w:val="00E1674E"/>
    <w:rsid w:val="00E16995"/>
    <w:rsid w:val="00E16B84"/>
    <w:rsid w:val="00E16B99"/>
    <w:rsid w:val="00E16C88"/>
    <w:rsid w:val="00E16C9B"/>
    <w:rsid w:val="00E16CF9"/>
    <w:rsid w:val="00E16E3E"/>
    <w:rsid w:val="00E16ED0"/>
    <w:rsid w:val="00E16F2E"/>
    <w:rsid w:val="00E16F69"/>
    <w:rsid w:val="00E16FE7"/>
    <w:rsid w:val="00E170C7"/>
    <w:rsid w:val="00E170F9"/>
    <w:rsid w:val="00E17101"/>
    <w:rsid w:val="00E17142"/>
    <w:rsid w:val="00E17150"/>
    <w:rsid w:val="00E17219"/>
    <w:rsid w:val="00E172E1"/>
    <w:rsid w:val="00E172EC"/>
    <w:rsid w:val="00E1735C"/>
    <w:rsid w:val="00E1743B"/>
    <w:rsid w:val="00E17480"/>
    <w:rsid w:val="00E174F9"/>
    <w:rsid w:val="00E17527"/>
    <w:rsid w:val="00E17554"/>
    <w:rsid w:val="00E1769D"/>
    <w:rsid w:val="00E176E8"/>
    <w:rsid w:val="00E1777C"/>
    <w:rsid w:val="00E1792A"/>
    <w:rsid w:val="00E179D6"/>
    <w:rsid w:val="00E17A44"/>
    <w:rsid w:val="00E17BD7"/>
    <w:rsid w:val="00E17CDC"/>
    <w:rsid w:val="00E17D0D"/>
    <w:rsid w:val="00E17DC9"/>
    <w:rsid w:val="00E17DD8"/>
    <w:rsid w:val="00E17E70"/>
    <w:rsid w:val="00E17E9F"/>
    <w:rsid w:val="00E20013"/>
    <w:rsid w:val="00E200AB"/>
    <w:rsid w:val="00E200CE"/>
    <w:rsid w:val="00E2011C"/>
    <w:rsid w:val="00E20171"/>
    <w:rsid w:val="00E20191"/>
    <w:rsid w:val="00E201D6"/>
    <w:rsid w:val="00E20387"/>
    <w:rsid w:val="00E2041C"/>
    <w:rsid w:val="00E2044A"/>
    <w:rsid w:val="00E204C1"/>
    <w:rsid w:val="00E20573"/>
    <w:rsid w:val="00E20617"/>
    <w:rsid w:val="00E2077A"/>
    <w:rsid w:val="00E2078A"/>
    <w:rsid w:val="00E2079F"/>
    <w:rsid w:val="00E207B1"/>
    <w:rsid w:val="00E2080D"/>
    <w:rsid w:val="00E20854"/>
    <w:rsid w:val="00E2088C"/>
    <w:rsid w:val="00E208DF"/>
    <w:rsid w:val="00E20A52"/>
    <w:rsid w:val="00E20A55"/>
    <w:rsid w:val="00E20A85"/>
    <w:rsid w:val="00E20B0E"/>
    <w:rsid w:val="00E20BA9"/>
    <w:rsid w:val="00E20BC6"/>
    <w:rsid w:val="00E20C61"/>
    <w:rsid w:val="00E20CDB"/>
    <w:rsid w:val="00E20D46"/>
    <w:rsid w:val="00E20DD1"/>
    <w:rsid w:val="00E20DFB"/>
    <w:rsid w:val="00E20FD0"/>
    <w:rsid w:val="00E20FE5"/>
    <w:rsid w:val="00E20FF9"/>
    <w:rsid w:val="00E210ED"/>
    <w:rsid w:val="00E21137"/>
    <w:rsid w:val="00E21172"/>
    <w:rsid w:val="00E21315"/>
    <w:rsid w:val="00E2141A"/>
    <w:rsid w:val="00E2145A"/>
    <w:rsid w:val="00E21548"/>
    <w:rsid w:val="00E21750"/>
    <w:rsid w:val="00E2183F"/>
    <w:rsid w:val="00E21A17"/>
    <w:rsid w:val="00E21A4D"/>
    <w:rsid w:val="00E21A52"/>
    <w:rsid w:val="00E21B19"/>
    <w:rsid w:val="00E21B1E"/>
    <w:rsid w:val="00E21B55"/>
    <w:rsid w:val="00E21C16"/>
    <w:rsid w:val="00E21CD4"/>
    <w:rsid w:val="00E21DB1"/>
    <w:rsid w:val="00E22127"/>
    <w:rsid w:val="00E22159"/>
    <w:rsid w:val="00E221CA"/>
    <w:rsid w:val="00E2228D"/>
    <w:rsid w:val="00E222F1"/>
    <w:rsid w:val="00E22358"/>
    <w:rsid w:val="00E225E1"/>
    <w:rsid w:val="00E2275F"/>
    <w:rsid w:val="00E22888"/>
    <w:rsid w:val="00E228A2"/>
    <w:rsid w:val="00E2290B"/>
    <w:rsid w:val="00E22989"/>
    <w:rsid w:val="00E229C2"/>
    <w:rsid w:val="00E22A20"/>
    <w:rsid w:val="00E22A84"/>
    <w:rsid w:val="00E22A9A"/>
    <w:rsid w:val="00E22BD7"/>
    <w:rsid w:val="00E22BFF"/>
    <w:rsid w:val="00E22C03"/>
    <w:rsid w:val="00E22C0D"/>
    <w:rsid w:val="00E22C39"/>
    <w:rsid w:val="00E22D23"/>
    <w:rsid w:val="00E22E9D"/>
    <w:rsid w:val="00E22EE3"/>
    <w:rsid w:val="00E22F64"/>
    <w:rsid w:val="00E22FAE"/>
    <w:rsid w:val="00E22FC4"/>
    <w:rsid w:val="00E22FC9"/>
    <w:rsid w:val="00E23034"/>
    <w:rsid w:val="00E232E6"/>
    <w:rsid w:val="00E233C3"/>
    <w:rsid w:val="00E2346D"/>
    <w:rsid w:val="00E23649"/>
    <w:rsid w:val="00E23652"/>
    <w:rsid w:val="00E23675"/>
    <w:rsid w:val="00E23715"/>
    <w:rsid w:val="00E237A5"/>
    <w:rsid w:val="00E237FA"/>
    <w:rsid w:val="00E23863"/>
    <w:rsid w:val="00E238B8"/>
    <w:rsid w:val="00E23997"/>
    <w:rsid w:val="00E239A0"/>
    <w:rsid w:val="00E23A83"/>
    <w:rsid w:val="00E23B47"/>
    <w:rsid w:val="00E23C1A"/>
    <w:rsid w:val="00E23C89"/>
    <w:rsid w:val="00E23D83"/>
    <w:rsid w:val="00E23D8C"/>
    <w:rsid w:val="00E23D90"/>
    <w:rsid w:val="00E23DDA"/>
    <w:rsid w:val="00E23E03"/>
    <w:rsid w:val="00E23EBA"/>
    <w:rsid w:val="00E23EC3"/>
    <w:rsid w:val="00E23F54"/>
    <w:rsid w:val="00E23F89"/>
    <w:rsid w:val="00E23FCF"/>
    <w:rsid w:val="00E24093"/>
    <w:rsid w:val="00E240A4"/>
    <w:rsid w:val="00E24181"/>
    <w:rsid w:val="00E241E3"/>
    <w:rsid w:val="00E24298"/>
    <w:rsid w:val="00E2450F"/>
    <w:rsid w:val="00E24A08"/>
    <w:rsid w:val="00E24A75"/>
    <w:rsid w:val="00E24AAB"/>
    <w:rsid w:val="00E24B30"/>
    <w:rsid w:val="00E24CB6"/>
    <w:rsid w:val="00E24D0F"/>
    <w:rsid w:val="00E24DB2"/>
    <w:rsid w:val="00E24E3E"/>
    <w:rsid w:val="00E24E7E"/>
    <w:rsid w:val="00E24E99"/>
    <w:rsid w:val="00E2511F"/>
    <w:rsid w:val="00E25198"/>
    <w:rsid w:val="00E251CC"/>
    <w:rsid w:val="00E25222"/>
    <w:rsid w:val="00E252CE"/>
    <w:rsid w:val="00E25345"/>
    <w:rsid w:val="00E25359"/>
    <w:rsid w:val="00E2538F"/>
    <w:rsid w:val="00E2548E"/>
    <w:rsid w:val="00E2551E"/>
    <w:rsid w:val="00E255E3"/>
    <w:rsid w:val="00E256CB"/>
    <w:rsid w:val="00E25866"/>
    <w:rsid w:val="00E258D6"/>
    <w:rsid w:val="00E25B8D"/>
    <w:rsid w:val="00E25BD4"/>
    <w:rsid w:val="00E25C27"/>
    <w:rsid w:val="00E25DDB"/>
    <w:rsid w:val="00E261A3"/>
    <w:rsid w:val="00E26281"/>
    <w:rsid w:val="00E26417"/>
    <w:rsid w:val="00E26427"/>
    <w:rsid w:val="00E264E5"/>
    <w:rsid w:val="00E26544"/>
    <w:rsid w:val="00E2659E"/>
    <w:rsid w:val="00E265AB"/>
    <w:rsid w:val="00E2663F"/>
    <w:rsid w:val="00E2666A"/>
    <w:rsid w:val="00E26713"/>
    <w:rsid w:val="00E26723"/>
    <w:rsid w:val="00E26759"/>
    <w:rsid w:val="00E267AF"/>
    <w:rsid w:val="00E267B3"/>
    <w:rsid w:val="00E267DA"/>
    <w:rsid w:val="00E2687A"/>
    <w:rsid w:val="00E26932"/>
    <w:rsid w:val="00E26978"/>
    <w:rsid w:val="00E26C24"/>
    <w:rsid w:val="00E26D48"/>
    <w:rsid w:val="00E26DB6"/>
    <w:rsid w:val="00E26E2F"/>
    <w:rsid w:val="00E26EC6"/>
    <w:rsid w:val="00E26F0B"/>
    <w:rsid w:val="00E26F4F"/>
    <w:rsid w:val="00E27071"/>
    <w:rsid w:val="00E270AA"/>
    <w:rsid w:val="00E270F2"/>
    <w:rsid w:val="00E271B2"/>
    <w:rsid w:val="00E27215"/>
    <w:rsid w:val="00E27245"/>
    <w:rsid w:val="00E27249"/>
    <w:rsid w:val="00E2732B"/>
    <w:rsid w:val="00E2734F"/>
    <w:rsid w:val="00E27414"/>
    <w:rsid w:val="00E274AA"/>
    <w:rsid w:val="00E274FB"/>
    <w:rsid w:val="00E2750C"/>
    <w:rsid w:val="00E27573"/>
    <w:rsid w:val="00E2771A"/>
    <w:rsid w:val="00E27735"/>
    <w:rsid w:val="00E2787C"/>
    <w:rsid w:val="00E27946"/>
    <w:rsid w:val="00E27AAF"/>
    <w:rsid w:val="00E27B12"/>
    <w:rsid w:val="00E27BB2"/>
    <w:rsid w:val="00E27C6F"/>
    <w:rsid w:val="00E27D03"/>
    <w:rsid w:val="00E27DF5"/>
    <w:rsid w:val="00E27E5E"/>
    <w:rsid w:val="00E27E92"/>
    <w:rsid w:val="00E30065"/>
    <w:rsid w:val="00E300C3"/>
    <w:rsid w:val="00E301A8"/>
    <w:rsid w:val="00E3021E"/>
    <w:rsid w:val="00E304FD"/>
    <w:rsid w:val="00E30583"/>
    <w:rsid w:val="00E307A3"/>
    <w:rsid w:val="00E308DA"/>
    <w:rsid w:val="00E308DD"/>
    <w:rsid w:val="00E30917"/>
    <w:rsid w:val="00E30928"/>
    <w:rsid w:val="00E309D0"/>
    <w:rsid w:val="00E309E5"/>
    <w:rsid w:val="00E30B08"/>
    <w:rsid w:val="00E30C6E"/>
    <w:rsid w:val="00E30D71"/>
    <w:rsid w:val="00E30F74"/>
    <w:rsid w:val="00E30FEA"/>
    <w:rsid w:val="00E30FF9"/>
    <w:rsid w:val="00E31092"/>
    <w:rsid w:val="00E31127"/>
    <w:rsid w:val="00E3114E"/>
    <w:rsid w:val="00E31203"/>
    <w:rsid w:val="00E31294"/>
    <w:rsid w:val="00E312CA"/>
    <w:rsid w:val="00E31311"/>
    <w:rsid w:val="00E31371"/>
    <w:rsid w:val="00E315F3"/>
    <w:rsid w:val="00E3169C"/>
    <w:rsid w:val="00E3172A"/>
    <w:rsid w:val="00E31752"/>
    <w:rsid w:val="00E3182A"/>
    <w:rsid w:val="00E318DF"/>
    <w:rsid w:val="00E3198B"/>
    <w:rsid w:val="00E319CC"/>
    <w:rsid w:val="00E31ACF"/>
    <w:rsid w:val="00E31AEF"/>
    <w:rsid w:val="00E31D38"/>
    <w:rsid w:val="00E31F2E"/>
    <w:rsid w:val="00E31FDD"/>
    <w:rsid w:val="00E3207B"/>
    <w:rsid w:val="00E320B7"/>
    <w:rsid w:val="00E320BD"/>
    <w:rsid w:val="00E320C5"/>
    <w:rsid w:val="00E32110"/>
    <w:rsid w:val="00E32122"/>
    <w:rsid w:val="00E322C8"/>
    <w:rsid w:val="00E3257D"/>
    <w:rsid w:val="00E3263A"/>
    <w:rsid w:val="00E3265E"/>
    <w:rsid w:val="00E327A4"/>
    <w:rsid w:val="00E327C8"/>
    <w:rsid w:val="00E327E5"/>
    <w:rsid w:val="00E32873"/>
    <w:rsid w:val="00E32917"/>
    <w:rsid w:val="00E32A2A"/>
    <w:rsid w:val="00E32A4A"/>
    <w:rsid w:val="00E32A53"/>
    <w:rsid w:val="00E32AC9"/>
    <w:rsid w:val="00E32B3B"/>
    <w:rsid w:val="00E32C01"/>
    <w:rsid w:val="00E32D3E"/>
    <w:rsid w:val="00E32E9A"/>
    <w:rsid w:val="00E32E9F"/>
    <w:rsid w:val="00E32EB4"/>
    <w:rsid w:val="00E32F33"/>
    <w:rsid w:val="00E32F6D"/>
    <w:rsid w:val="00E32FFF"/>
    <w:rsid w:val="00E3304B"/>
    <w:rsid w:val="00E33081"/>
    <w:rsid w:val="00E330EE"/>
    <w:rsid w:val="00E33124"/>
    <w:rsid w:val="00E3312F"/>
    <w:rsid w:val="00E331F0"/>
    <w:rsid w:val="00E3320A"/>
    <w:rsid w:val="00E332BC"/>
    <w:rsid w:val="00E333A8"/>
    <w:rsid w:val="00E333F1"/>
    <w:rsid w:val="00E334EA"/>
    <w:rsid w:val="00E335B1"/>
    <w:rsid w:val="00E335C8"/>
    <w:rsid w:val="00E33662"/>
    <w:rsid w:val="00E33692"/>
    <w:rsid w:val="00E3384D"/>
    <w:rsid w:val="00E338D9"/>
    <w:rsid w:val="00E338EC"/>
    <w:rsid w:val="00E339E9"/>
    <w:rsid w:val="00E339EF"/>
    <w:rsid w:val="00E33B12"/>
    <w:rsid w:val="00E33B90"/>
    <w:rsid w:val="00E33BD3"/>
    <w:rsid w:val="00E33BFF"/>
    <w:rsid w:val="00E33C42"/>
    <w:rsid w:val="00E33D57"/>
    <w:rsid w:val="00E33E09"/>
    <w:rsid w:val="00E33E9A"/>
    <w:rsid w:val="00E33EAE"/>
    <w:rsid w:val="00E33F2F"/>
    <w:rsid w:val="00E3412C"/>
    <w:rsid w:val="00E3413C"/>
    <w:rsid w:val="00E341F1"/>
    <w:rsid w:val="00E3428F"/>
    <w:rsid w:val="00E3438C"/>
    <w:rsid w:val="00E34436"/>
    <w:rsid w:val="00E34485"/>
    <w:rsid w:val="00E344E9"/>
    <w:rsid w:val="00E3451A"/>
    <w:rsid w:val="00E345C3"/>
    <w:rsid w:val="00E34667"/>
    <w:rsid w:val="00E346B2"/>
    <w:rsid w:val="00E34783"/>
    <w:rsid w:val="00E3479F"/>
    <w:rsid w:val="00E3481E"/>
    <w:rsid w:val="00E348C4"/>
    <w:rsid w:val="00E3498B"/>
    <w:rsid w:val="00E349CC"/>
    <w:rsid w:val="00E34A57"/>
    <w:rsid w:val="00E34A79"/>
    <w:rsid w:val="00E34ACC"/>
    <w:rsid w:val="00E34B26"/>
    <w:rsid w:val="00E34BFE"/>
    <w:rsid w:val="00E34DC1"/>
    <w:rsid w:val="00E34DE9"/>
    <w:rsid w:val="00E34E48"/>
    <w:rsid w:val="00E34E71"/>
    <w:rsid w:val="00E35020"/>
    <w:rsid w:val="00E35130"/>
    <w:rsid w:val="00E35133"/>
    <w:rsid w:val="00E3513F"/>
    <w:rsid w:val="00E351AC"/>
    <w:rsid w:val="00E3522A"/>
    <w:rsid w:val="00E352D0"/>
    <w:rsid w:val="00E352D4"/>
    <w:rsid w:val="00E352F2"/>
    <w:rsid w:val="00E353FB"/>
    <w:rsid w:val="00E354E4"/>
    <w:rsid w:val="00E35559"/>
    <w:rsid w:val="00E355A9"/>
    <w:rsid w:val="00E3575C"/>
    <w:rsid w:val="00E3577F"/>
    <w:rsid w:val="00E35860"/>
    <w:rsid w:val="00E359B1"/>
    <w:rsid w:val="00E35B91"/>
    <w:rsid w:val="00E35BE6"/>
    <w:rsid w:val="00E35C34"/>
    <w:rsid w:val="00E35C72"/>
    <w:rsid w:val="00E35DC6"/>
    <w:rsid w:val="00E35DD0"/>
    <w:rsid w:val="00E35F7C"/>
    <w:rsid w:val="00E35FD5"/>
    <w:rsid w:val="00E36046"/>
    <w:rsid w:val="00E360F8"/>
    <w:rsid w:val="00E36181"/>
    <w:rsid w:val="00E361A3"/>
    <w:rsid w:val="00E36273"/>
    <w:rsid w:val="00E363B4"/>
    <w:rsid w:val="00E363C4"/>
    <w:rsid w:val="00E3643F"/>
    <w:rsid w:val="00E36483"/>
    <w:rsid w:val="00E364E1"/>
    <w:rsid w:val="00E36585"/>
    <w:rsid w:val="00E365A8"/>
    <w:rsid w:val="00E365D7"/>
    <w:rsid w:val="00E3664F"/>
    <w:rsid w:val="00E366DA"/>
    <w:rsid w:val="00E36720"/>
    <w:rsid w:val="00E36913"/>
    <w:rsid w:val="00E3691A"/>
    <w:rsid w:val="00E36925"/>
    <w:rsid w:val="00E369CD"/>
    <w:rsid w:val="00E36A41"/>
    <w:rsid w:val="00E36AC6"/>
    <w:rsid w:val="00E36B88"/>
    <w:rsid w:val="00E36C1E"/>
    <w:rsid w:val="00E36CB0"/>
    <w:rsid w:val="00E36D79"/>
    <w:rsid w:val="00E36DD7"/>
    <w:rsid w:val="00E36EB6"/>
    <w:rsid w:val="00E36F8D"/>
    <w:rsid w:val="00E3703E"/>
    <w:rsid w:val="00E37053"/>
    <w:rsid w:val="00E37089"/>
    <w:rsid w:val="00E370FA"/>
    <w:rsid w:val="00E37266"/>
    <w:rsid w:val="00E372E0"/>
    <w:rsid w:val="00E374EA"/>
    <w:rsid w:val="00E3754B"/>
    <w:rsid w:val="00E37555"/>
    <w:rsid w:val="00E37566"/>
    <w:rsid w:val="00E375B0"/>
    <w:rsid w:val="00E3762B"/>
    <w:rsid w:val="00E37735"/>
    <w:rsid w:val="00E3789F"/>
    <w:rsid w:val="00E378A0"/>
    <w:rsid w:val="00E378CE"/>
    <w:rsid w:val="00E37B67"/>
    <w:rsid w:val="00E37BE1"/>
    <w:rsid w:val="00E37C88"/>
    <w:rsid w:val="00E37CB3"/>
    <w:rsid w:val="00E37E9C"/>
    <w:rsid w:val="00E37EF2"/>
    <w:rsid w:val="00E40085"/>
    <w:rsid w:val="00E4020E"/>
    <w:rsid w:val="00E4033D"/>
    <w:rsid w:val="00E40345"/>
    <w:rsid w:val="00E4040E"/>
    <w:rsid w:val="00E404CC"/>
    <w:rsid w:val="00E40542"/>
    <w:rsid w:val="00E405A4"/>
    <w:rsid w:val="00E405FC"/>
    <w:rsid w:val="00E40644"/>
    <w:rsid w:val="00E408F5"/>
    <w:rsid w:val="00E4093B"/>
    <w:rsid w:val="00E40A70"/>
    <w:rsid w:val="00E40B2F"/>
    <w:rsid w:val="00E40C86"/>
    <w:rsid w:val="00E40D41"/>
    <w:rsid w:val="00E40DB6"/>
    <w:rsid w:val="00E40DD9"/>
    <w:rsid w:val="00E40EFA"/>
    <w:rsid w:val="00E40F76"/>
    <w:rsid w:val="00E4128D"/>
    <w:rsid w:val="00E412E5"/>
    <w:rsid w:val="00E4149A"/>
    <w:rsid w:val="00E41533"/>
    <w:rsid w:val="00E416E1"/>
    <w:rsid w:val="00E416E5"/>
    <w:rsid w:val="00E41723"/>
    <w:rsid w:val="00E4183D"/>
    <w:rsid w:val="00E41891"/>
    <w:rsid w:val="00E41A67"/>
    <w:rsid w:val="00E41AC8"/>
    <w:rsid w:val="00E41BB6"/>
    <w:rsid w:val="00E41C37"/>
    <w:rsid w:val="00E41C84"/>
    <w:rsid w:val="00E41C8A"/>
    <w:rsid w:val="00E41CA8"/>
    <w:rsid w:val="00E41D97"/>
    <w:rsid w:val="00E41DCB"/>
    <w:rsid w:val="00E41E5F"/>
    <w:rsid w:val="00E41F09"/>
    <w:rsid w:val="00E4200C"/>
    <w:rsid w:val="00E42220"/>
    <w:rsid w:val="00E42347"/>
    <w:rsid w:val="00E42377"/>
    <w:rsid w:val="00E42494"/>
    <w:rsid w:val="00E424C8"/>
    <w:rsid w:val="00E42500"/>
    <w:rsid w:val="00E425D7"/>
    <w:rsid w:val="00E42601"/>
    <w:rsid w:val="00E426A8"/>
    <w:rsid w:val="00E426C4"/>
    <w:rsid w:val="00E426CD"/>
    <w:rsid w:val="00E42704"/>
    <w:rsid w:val="00E427E9"/>
    <w:rsid w:val="00E42989"/>
    <w:rsid w:val="00E4299F"/>
    <w:rsid w:val="00E42A1F"/>
    <w:rsid w:val="00E42A67"/>
    <w:rsid w:val="00E42B7E"/>
    <w:rsid w:val="00E42BC5"/>
    <w:rsid w:val="00E42C23"/>
    <w:rsid w:val="00E42C28"/>
    <w:rsid w:val="00E42D2D"/>
    <w:rsid w:val="00E42D57"/>
    <w:rsid w:val="00E42D8F"/>
    <w:rsid w:val="00E42F45"/>
    <w:rsid w:val="00E42F7D"/>
    <w:rsid w:val="00E42FAE"/>
    <w:rsid w:val="00E42FCA"/>
    <w:rsid w:val="00E42FD8"/>
    <w:rsid w:val="00E4301B"/>
    <w:rsid w:val="00E430CF"/>
    <w:rsid w:val="00E430E0"/>
    <w:rsid w:val="00E430EA"/>
    <w:rsid w:val="00E43102"/>
    <w:rsid w:val="00E4321A"/>
    <w:rsid w:val="00E43224"/>
    <w:rsid w:val="00E43237"/>
    <w:rsid w:val="00E4327E"/>
    <w:rsid w:val="00E432F9"/>
    <w:rsid w:val="00E4330F"/>
    <w:rsid w:val="00E4337F"/>
    <w:rsid w:val="00E43413"/>
    <w:rsid w:val="00E4345F"/>
    <w:rsid w:val="00E434E3"/>
    <w:rsid w:val="00E43556"/>
    <w:rsid w:val="00E435F1"/>
    <w:rsid w:val="00E435FE"/>
    <w:rsid w:val="00E436BE"/>
    <w:rsid w:val="00E436EB"/>
    <w:rsid w:val="00E436FA"/>
    <w:rsid w:val="00E43755"/>
    <w:rsid w:val="00E43762"/>
    <w:rsid w:val="00E43913"/>
    <w:rsid w:val="00E43923"/>
    <w:rsid w:val="00E43982"/>
    <w:rsid w:val="00E43B08"/>
    <w:rsid w:val="00E43C4A"/>
    <w:rsid w:val="00E43D67"/>
    <w:rsid w:val="00E43D69"/>
    <w:rsid w:val="00E43F04"/>
    <w:rsid w:val="00E441CF"/>
    <w:rsid w:val="00E44370"/>
    <w:rsid w:val="00E443C6"/>
    <w:rsid w:val="00E44529"/>
    <w:rsid w:val="00E44578"/>
    <w:rsid w:val="00E445D0"/>
    <w:rsid w:val="00E446D6"/>
    <w:rsid w:val="00E44787"/>
    <w:rsid w:val="00E44789"/>
    <w:rsid w:val="00E44815"/>
    <w:rsid w:val="00E44963"/>
    <w:rsid w:val="00E44973"/>
    <w:rsid w:val="00E44A10"/>
    <w:rsid w:val="00E44A24"/>
    <w:rsid w:val="00E44BA2"/>
    <w:rsid w:val="00E44BDD"/>
    <w:rsid w:val="00E44C7C"/>
    <w:rsid w:val="00E44CBD"/>
    <w:rsid w:val="00E44DC2"/>
    <w:rsid w:val="00E44E47"/>
    <w:rsid w:val="00E44E78"/>
    <w:rsid w:val="00E44F4C"/>
    <w:rsid w:val="00E45114"/>
    <w:rsid w:val="00E45162"/>
    <w:rsid w:val="00E4517A"/>
    <w:rsid w:val="00E451E3"/>
    <w:rsid w:val="00E45264"/>
    <w:rsid w:val="00E4527A"/>
    <w:rsid w:val="00E452E4"/>
    <w:rsid w:val="00E4530B"/>
    <w:rsid w:val="00E45409"/>
    <w:rsid w:val="00E4543E"/>
    <w:rsid w:val="00E4554C"/>
    <w:rsid w:val="00E455A1"/>
    <w:rsid w:val="00E455E7"/>
    <w:rsid w:val="00E4573E"/>
    <w:rsid w:val="00E457B5"/>
    <w:rsid w:val="00E458DF"/>
    <w:rsid w:val="00E45949"/>
    <w:rsid w:val="00E4599F"/>
    <w:rsid w:val="00E45A72"/>
    <w:rsid w:val="00E45C0E"/>
    <w:rsid w:val="00E45C9E"/>
    <w:rsid w:val="00E45DC9"/>
    <w:rsid w:val="00E45DDE"/>
    <w:rsid w:val="00E45DE5"/>
    <w:rsid w:val="00E45E0A"/>
    <w:rsid w:val="00E45E83"/>
    <w:rsid w:val="00E45E85"/>
    <w:rsid w:val="00E45FDC"/>
    <w:rsid w:val="00E460B7"/>
    <w:rsid w:val="00E462B9"/>
    <w:rsid w:val="00E46412"/>
    <w:rsid w:val="00E46473"/>
    <w:rsid w:val="00E4648A"/>
    <w:rsid w:val="00E46560"/>
    <w:rsid w:val="00E4658E"/>
    <w:rsid w:val="00E465BA"/>
    <w:rsid w:val="00E4668E"/>
    <w:rsid w:val="00E466E3"/>
    <w:rsid w:val="00E46757"/>
    <w:rsid w:val="00E4684C"/>
    <w:rsid w:val="00E4689D"/>
    <w:rsid w:val="00E46934"/>
    <w:rsid w:val="00E469F5"/>
    <w:rsid w:val="00E46B0A"/>
    <w:rsid w:val="00E46B3B"/>
    <w:rsid w:val="00E46B83"/>
    <w:rsid w:val="00E46BE1"/>
    <w:rsid w:val="00E46C19"/>
    <w:rsid w:val="00E46C86"/>
    <w:rsid w:val="00E46D09"/>
    <w:rsid w:val="00E46DE2"/>
    <w:rsid w:val="00E471A6"/>
    <w:rsid w:val="00E471EC"/>
    <w:rsid w:val="00E472DE"/>
    <w:rsid w:val="00E473AC"/>
    <w:rsid w:val="00E474AF"/>
    <w:rsid w:val="00E475CA"/>
    <w:rsid w:val="00E47677"/>
    <w:rsid w:val="00E476A4"/>
    <w:rsid w:val="00E47704"/>
    <w:rsid w:val="00E47837"/>
    <w:rsid w:val="00E4783A"/>
    <w:rsid w:val="00E479BD"/>
    <w:rsid w:val="00E479C8"/>
    <w:rsid w:val="00E47AD4"/>
    <w:rsid w:val="00E47B09"/>
    <w:rsid w:val="00E47B49"/>
    <w:rsid w:val="00E47B7E"/>
    <w:rsid w:val="00E47C11"/>
    <w:rsid w:val="00E47E55"/>
    <w:rsid w:val="00E47E83"/>
    <w:rsid w:val="00E47F63"/>
    <w:rsid w:val="00E47FE8"/>
    <w:rsid w:val="00E47FF6"/>
    <w:rsid w:val="00E5002C"/>
    <w:rsid w:val="00E501FD"/>
    <w:rsid w:val="00E50220"/>
    <w:rsid w:val="00E50300"/>
    <w:rsid w:val="00E5036C"/>
    <w:rsid w:val="00E5037D"/>
    <w:rsid w:val="00E503C8"/>
    <w:rsid w:val="00E50464"/>
    <w:rsid w:val="00E5046C"/>
    <w:rsid w:val="00E504AE"/>
    <w:rsid w:val="00E50529"/>
    <w:rsid w:val="00E50582"/>
    <w:rsid w:val="00E50612"/>
    <w:rsid w:val="00E50630"/>
    <w:rsid w:val="00E5063C"/>
    <w:rsid w:val="00E50735"/>
    <w:rsid w:val="00E50787"/>
    <w:rsid w:val="00E50822"/>
    <w:rsid w:val="00E50A3F"/>
    <w:rsid w:val="00E50A68"/>
    <w:rsid w:val="00E50C2E"/>
    <w:rsid w:val="00E50C30"/>
    <w:rsid w:val="00E50CA6"/>
    <w:rsid w:val="00E50CE0"/>
    <w:rsid w:val="00E50EBD"/>
    <w:rsid w:val="00E50ECB"/>
    <w:rsid w:val="00E50EE2"/>
    <w:rsid w:val="00E50F8B"/>
    <w:rsid w:val="00E51049"/>
    <w:rsid w:val="00E510A9"/>
    <w:rsid w:val="00E51121"/>
    <w:rsid w:val="00E5120E"/>
    <w:rsid w:val="00E512B4"/>
    <w:rsid w:val="00E512CB"/>
    <w:rsid w:val="00E5151E"/>
    <w:rsid w:val="00E5151F"/>
    <w:rsid w:val="00E5154D"/>
    <w:rsid w:val="00E51612"/>
    <w:rsid w:val="00E51616"/>
    <w:rsid w:val="00E51667"/>
    <w:rsid w:val="00E5169C"/>
    <w:rsid w:val="00E516BE"/>
    <w:rsid w:val="00E51779"/>
    <w:rsid w:val="00E51817"/>
    <w:rsid w:val="00E51910"/>
    <w:rsid w:val="00E51936"/>
    <w:rsid w:val="00E51A5A"/>
    <w:rsid w:val="00E51AC2"/>
    <w:rsid w:val="00E51ADF"/>
    <w:rsid w:val="00E51B37"/>
    <w:rsid w:val="00E51B46"/>
    <w:rsid w:val="00E51B6F"/>
    <w:rsid w:val="00E51B8A"/>
    <w:rsid w:val="00E51C6A"/>
    <w:rsid w:val="00E51CC1"/>
    <w:rsid w:val="00E51D28"/>
    <w:rsid w:val="00E51DA8"/>
    <w:rsid w:val="00E51F14"/>
    <w:rsid w:val="00E51FEF"/>
    <w:rsid w:val="00E5233A"/>
    <w:rsid w:val="00E52415"/>
    <w:rsid w:val="00E52477"/>
    <w:rsid w:val="00E52478"/>
    <w:rsid w:val="00E52608"/>
    <w:rsid w:val="00E526D5"/>
    <w:rsid w:val="00E5273C"/>
    <w:rsid w:val="00E527FA"/>
    <w:rsid w:val="00E528BA"/>
    <w:rsid w:val="00E528E3"/>
    <w:rsid w:val="00E529F1"/>
    <w:rsid w:val="00E52A03"/>
    <w:rsid w:val="00E52A1E"/>
    <w:rsid w:val="00E52A8F"/>
    <w:rsid w:val="00E52AD9"/>
    <w:rsid w:val="00E52AF4"/>
    <w:rsid w:val="00E52AFC"/>
    <w:rsid w:val="00E52B01"/>
    <w:rsid w:val="00E52B70"/>
    <w:rsid w:val="00E52C21"/>
    <w:rsid w:val="00E52E24"/>
    <w:rsid w:val="00E52F98"/>
    <w:rsid w:val="00E53005"/>
    <w:rsid w:val="00E530AC"/>
    <w:rsid w:val="00E53101"/>
    <w:rsid w:val="00E53130"/>
    <w:rsid w:val="00E531E0"/>
    <w:rsid w:val="00E5321A"/>
    <w:rsid w:val="00E53266"/>
    <w:rsid w:val="00E5327F"/>
    <w:rsid w:val="00E533EB"/>
    <w:rsid w:val="00E53407"/>
    <w:rsid w:val="00E5348C"/>
    <w:rsid w:val="00E53492"/>
    <w:rsid w:val="00E5353F"/>
    <w:rsid w:val="00E53613"/>
    <w:rsid w:val="00E53639"/>
    <w:rsid w:val="00E53672"/>
    <w:rsid w:val="00E537F1"/>
    <w:rsid w:val="00E53865"/>
    <w:rsid w:val="00E5387F"/>
    <w:rsid w:val="00E53A06"/>
    <w:rsid w:val="00E53A38"/>
    <w:rsid w:val="00E53A9E"/>
    <w:rsid w:val="00E53AD7"/>
    <w:rsid w:val="00E53C85"/>
    <w:rsid w:val="00E53DFE"/>
    <w:rsid w:val="00E53E4F"/>
    <w:rsid w:val="00E53EEF"/>
    <w:rsid w:val="00E5403A"/>
    <w:rsid w:val="00E54069"/>
    <w:rsid w:val="00E540C5"/>
    <w:rsid w:val="00E54124"/>
    <w:rsid w:val="00E5413F"/>
    <w:rsid w:val="00E5458D"/>
    <w:rsid w:val="00E545BE"/>
    <w:rsid w:val="00E54672"/>
    <w:rsid w:val="00E5469D"/>
    <w:rsid w:val="00E5478F"/>
    <w:rsid w:val="00E547C2"/>
    <w:rsid w:val="00E547DA"/>
    <w:rsid w:val="00E547E6"/>
    <w:rsid w:val="00E548D3"/>
    <w:rsid w:val="00E54953"/>
    <w:rsid w:val="00E5495C"/>
    <w:rsid w:val="00E549A3"/>
    <w:rsid w:val="00E549C9"/>
    <w:rsid w:val="00E549D5"/>
    <w:rsid w:val="00E54ADB"/>
    <w:rsid w:val="00E54ADD"/>
    <w:rsid w:val="00E54B0D"/>
    <w:rsid w:val="00E54B50"/>
    <w:rsid w:val="00E54C2B"/>
    <w:rsid w:val="00E54D14"/>
    <w:rsid w:val="00E54D79"/>
    <w:rsid w:val="00E54EC6"/>
    <w:rsid w:val="00E54F14"/>
    <w:rsid w:val="00E54F51"/>
    <w:rsid w:val="00E54FAC"/>
    <w:rsid w:val="00E54FB8"/>
    <w:rsid w:val="00E54FD2"/>
    <w:rsid w:val="00E55059"/>
    <w:rsid w:val="00E550F5"/>
    <w:rsid w:val="00E553AF"/>
    <w:rsid w:val="00E55405"/>
    <w:rsid w:val="00E5543E"/>
    <w:rsid w:val="00E55440"/>
    <w:rsid w:val="00E554AE"/>
    <w:rsid w:val="00E5552A"/>
    <w:rsid w:val="00E55579"/>
    <w:rsid w:val="00E55626"/>
    <w:rsid w:val="00E55736"/>
    <w:rsid w:val="00E5581B"/>
    <w:rsid w:val="00E5595C"/>
    <w:rsid w:val="00E559B4"/>
    <w:rsid w:val="00E559F8"/>
    <w:rsid w:val="00E55A87"/>
    <w:rsid w:val="00E55BB7"/>
    <w:rsid w:val="00E55CDA"/>
    <w:rsid w:val="00E55D5F"/>
    <w:rsid w:val="00E55D66"/>
    <w:rsid w:val="00E55D81"/>
    <w:rsid w:val="00E55E96"/>
    <w:rsid w:val="00E55F0D"/>
    <w:rsid w:val="00E55F27"/>
    <w:rsid w:val="00E55FE0"/>
    <w:rsid w:val="00E5608B"/>
    <w:rsid w:val="00E56148"/>
    <w:rsid w:val="00E561A1"/>
    <w:rsid w:val="00E5623F"/>
    <w:rsid w:val="00E562F1"/>
    <w:rsid w:val="00E56331"/>
    <w:rsid w:val="00E56352"/>
    <w:rsid w:val="00E56398"/>
    <w:rsid w:val="00E563DE"/>
    <w:rsid w:val="00E56469"/>
    <w:rsid w:val="00E56547"/>
    <w:rsid w:val="00E56549"/>
    <w:rsid w:val="00E5656F"/>
    <w:rsid w:val="00E56662"/>
    <w:rsid w:val="00E566A1"/>
    <w:rsid w:val="00E566EF"/>
    <w:rsid w:val="00E56728"/>
    <w:rsid w:val="00E567F2"/>
    <w:rsid w:val="00E5684F"/>
    <w:rsid w:val="00E5693A"/>
    <w:rsid w:val="00E56B0C"/>
    <w:rsid w:val="00E56B22"/>
    <w:rsid w:val="00E56B5B"/>
    <w:rsid w:val="00E56B5E"/>
    <w:rsid w:val="00E56BCE"/>
    <w:rsid w:val="00E56BD7"/>
    <w:rsid w:val="00E56BE8"/>
    <w:rsid w:val="00E56C6A"/>
    <w:rsid w:val="00E56DBD"/>
    <w:rsid w:val="00E56F0C"/>
    <w:rsid w:val="00E56F54"/>
    <w:rsid w:val="00E56FD6"/>
    <w:rsid w:val="00E572BA"/>
    <w:rsid w:val="00E57647"/>
    <w:rsid w:val="00E576C5"/>
    <w:rsid w:val="00E57700"/>
    <w:rsid w:val="00E577CB"/>
    <w:rsid w:val="00E5781D"/>
    <w:rsid w:val="00E5795F"/>
    <w:rsid w:val="00E5799A"/>
    <w:rsid w:val="00E57AD9"/>
    <w:rsid w:val="00E57AEB"/>
    <w:rsid w:val="00E57AF3"/>
    <w:rsid w:val="00E57B3A"/>
    <w:rsid w:val="00E57B7C"/>
    <w:rsid w:val="00E57BAA"/>
    <w:rsid w:val="00E57BC0"/>
    <w:rsid w:val="00E57BFA"/>
    <w:rsid w:val="00E57C09"/>
    <w:rsid w:val="00E57DAB"/>
    <w:rsid w:val="00E57E68"/>
    <w:rsid w:val="00E57E6C"/>
    <w:rsid w:val="00E57F00"/>
    <w:rsid w:val="00E57F61"/>
    <w:rsid w:val="00E60163"/>
    <w:rsid w:val="00E60221"/>
    <w:rsid w:val="00E60280"/>
    <w:rsid w:val="00E602C5"/>
    <w:rsid w:val="00E602F0"/>
    <w:rsid w:val="00E60348"/>
    <w:rsid w:val="00E60358"/>
    <w:rsid w:val="00E6039A"/>
    <w:rsid w:val="00E6046F"/>
    <w:rsid w:val="00E604B1"/>
    <w:rsid w:val="00E604D5"/>
    <w:rsid w:val="00E604F2"/>
    <w:rsid w:val="00E60555"/>
    <w:rsid w:val="00E605A0"/>
    <w:rsid w:val="00E60617"/>
    <w:rsid w:val="00E6082F"/>
    <w:rsid w:val="00E608FB"/>
    <w:rsid w:val="00E60A03"/>
    <w:rsid w:val="00E60A09"/>
    <w:rsid w:val="00E60AFB"/>
    <w:rsid w:val="00E60BAB"/>
    <w:rsid w:val="00E60D1B"/>
    <w:rsid w:val="00E60D3C"/>
    <w:rsid w:val="00E60D4A"/>
    <w:rsid w:val="00E60E3F"/>
    <w:rsid w:val="00E60E50"/>
    <w:rsid w:val="00E6102B"/>
    <w:rsid w:val="00E61038"/>
    <w:rsid w:val="00E610B7"/>
    <w:rsid w:val="00E61113"/>
    <w:rsid w:val="00E61120"/>
    <w:rsid w:val="00E61166"/>
    <w:rsid w:val="00E6118F"/>
    <w:rsid w:val="00E611A0"/>
    <w:rsid w:val="00E611A9"/>
    <w:rsid w:val="00E611EC"/>
    <w:rsid w:val="00E6128E"/>
    <w:rsid w:val="00E61318"/>
    <w:rsid w:val="00E613A9"/>
    <w:rsid w:val="00E6140F"/>
    <w:rsid w:val="00E6149E"/>
    <w:rsid w:val="00E61553"/>
    <w:rsid w:val="00E6157C"/>
    <w:rsid w:val="00E61606"/>
    <w:rsid w:val="00E61622"/>
    <w:rsid w:val="00E61653"/>
    <w:rsid w:val="00E6167C"/>
    <w:rsid w:val="00E61A26"/>
    <w:rsid w:val="00E61AF2"/>
    <w:rsid w:val="00E61B80"/>
    <w:rsid w:val="00E61C91"/>
    <w:rsid w:val="00E61D22"/>
    <w:rsid w:val="00E61D5A"/>
    <w:rsid w:val="00E61E05"/>
    <w:rsid w:val="00E61EA3"/>
    <w:rsid w:val="00E61ED9"/>
    <w:rsid w:val="00E61F13"/>
    <w:rsid w:val="00E61F51"/>
    <w:rsid w:val="00E62178"/>
    <w:rsid w:val="00E621A0"/>
    <w:rsid w:val="00E62333"/>
    <w:rsid w:val="00E62335"/>
    <w:rsid w:val="00E624EA"/>
    <w:rsid w:val="00E6257E"/>
    <w:rsid w:val="00E62595"/>
    <w:rsid w:val="00E625A8"/>
    <w:rsid w:val="00E625F0"/>
    <w:rsid w:val="00E62667"/>
    <w:rsid w:val="00E6292A"/>
    <w:rsid w:val="00E629C9"/>
    <w:rsid w:val="00E62A5E"/>
    <w:rsid w:val="00E62BBB"/>
    <w:rsid w:val="00E62BCF"/>
    <w:rsid w:val="00E62CC0"/>
    <w:rsid w:val="00E62DC8"/>
    <w:rsid w:val="00E62DE3"/>
    <w:rsid w:val="00E63010"/>
    <w:rsid w:val="00E63020"/>
    <w:rsid w:val="00E630DB"/>
    <w:rsid w:val="00E63112"/>
    <w:rsid w:val="00E63130"/>
    <w:rsid w:val="00E631D4"/>
    <w:rsid w:val="00E633DC"/>
    <w:rsid w:val="00E6345B"/>
    <w:rsid w:val="00E634D2"/>
    <w:rsid w:val="00E63518"/>
    <w:rsid w:val="00E6364B"/>
    <w:rsid w:val="00E636E5"/>
    <w:rsid w:val="00E637BE"/>
    <w:rsid w:val="00E638EC"/>
    <w:rsid w:val="00E63AB2"/>
    <w:rsid w:val="00E63B92"/>
    <w:rsid w:val="00E63CE0"/>
    <w:rsid w:val="00E63E61"/>
    <w:rsid w:val="00E63FC4"/>
    <w:rsid w:val="00E640F1"/>
    <w:rsid w:val="00E64288"/>
    <w:rsid w:val="00E642E1"/>
    <w:rsid w:val="00E6435F"/>
    <w:rsid w:val="00E64471"/>
    <w:rsid w:val="00E64520"/>
    <w:rsid w:val="00E64574"/>
    <w:rsid w:val="00E645B8"/>
    <w:rsid w:val="00E645DB"/>
    <w:rsid w:val="00E6469E"/>
    <w:rsid w:val="00E646B0"/>
    <w:rsid w:val="00E6478B"/>
    <w:rsid w:val="00E64811"/>
    <w:rsid w:val="00E6486B"/>
    <w:rsid w:val="00E648C1"/>
    <w:rsid w:val="00E64940"/>
    <w:rsid w:val="00E64999"/>
    <w:rsid w:val="00E649F2"/>
    <w:rsid w:val="00E64A49"/>
    <w:rsid w:val="00E64B42"/>
    <w:rsid w:val="00E64B4B"/>
    <w:rsid w:val="00E64B4F"/>
    <w:rsid w:val="00E64BE9"/>
    <w:rsid w:val="00E64C4F"/>
    <w:rsid w:val="00E64D7A"/>
    <w:rsid w:val="00E64DCD"/>
    <w:rsid w:val="00E64DDE"/>
    <w:rsid w:val="00E64E62"/>
    <w:rsid w:val="00E64EC2"/>
    <w:rsid w:val="00E64EF7"/>
    <w:rsid w:val="00E64F57"/>
    <w:rsid w:val="00E64F5A"/>
    <w:rsid w:val="00E65107"/>
    <w:rsid w:val="00E654EA"/>
    <w:rsid w:val="00E6550D"/>
    <w:rsid w:val="00E65699"/>
    <w:rsid w:val="00E656E2"/>
    <w:rsid w:val="00E657A5"/>
    <w:rsid w:val="00E657CC"/>
    <w:rsid w:val="00E65905"/>
    <w:rsid w:val="00E65B32"/>
    <w:rsid w:val="00E65B60"/>
    <w:rsid w:val="00E65BA5"/>
    <w:rsid w:val="00E65C96"/>
    <w:rsid w:val="00E65CC2"/>
    <w:rsid w:val="00E65CEB"/>
    <w:rsid w:val="00E65D4D"/>
    <w:rsid w:val="00E65D81"/>
    <w:rsid w:val="00E65F14"/>
    <w:rsid w:val="00E65F42"/>
    <w:rsid w:val="00E6600A"/>
    <w:rsid w:val="00E661AF"/>
    <w:rsid w:val="00E66221"/>
    <w:rsid w:val="00E66312"/>
    <w:rsid w:val="00E663DC"/>
    <w:rsid w:val="00E664B5"/>
    <w:rsid w:val="00E664C8"/>
    <w:rsid w:val="00E6653B"/>
    <w:rsid w:val="00E665E4"/>
    <w:rsid w:val="00E66688"/>
    <w:rsid w:val="00E667A9"/>
    <w:rsid w:val="00E66997"/>
    <w:rsid w:val="00E66ADC"/>
    <w:rsid w:val="00E66B3D"/>
    <w:rsid w:val="00E66C2B"/>
    <w:rsid w:val="00E66D3E"/>
    <w:rsid w:val="00E66EF9"/>
    <w:rsid w:val="00E66FD5"/>
    <w:rsid w:val="00E67062"/>
    <w:rsid w:val="00E670B2"/>
    <w:rsid w:val="00E670BD"/>
    <w:rsid w:val="00E670FF"/>
    <w:rsid w:val="00E67138"/>
    <w:rsid w:val="00E6717F"/>
    <w:rsid w:val="00E671AD"/>
    <w:rsid w:val="00E671D8"/>
    <w:rsid w:val="00E6726A"/>
    <w:rsid w:val="00E67286"/>
    <w:rsid w:val="00E672F9"/>
    <w:rsid w:val="00E673A1"/>
    <w:rsid w:val="00E673B0"/>
    <w:rsid w:val="00E674F6"/>
    <w:rsid w:val="00E675B7"/>
    <w:rsid w:val="00E67845"/>
    <w:rsid w:val="00E67B39"/>
    <w:rsid w:val="00E67BAB"/>
    <w:rsid w:val="00E67BB6"/>
    <w:rsid w:val="00E67BF7"/>
    <w:rsid w:val="00E67C96"/>
    <w:rsid w:val="00E67E03"/>
    <w:rsid w:val="00E67E48"/>
    <w:rsid w:val="00E67F8B"/>
    <w:rsid w:val="00E67F92"/>
    <w:rsid w:val="00E7007F"/>
    <w:rsid w:val="00E70143"/>
    <w:rsid w:val="00E70294"/>
    <w:rsid w:val="00E702A2"/>
    <w:rsid w:val="00E702CC"/>
    <w:rsid w:val="00E70311"/>
    <w:rsid w:val="00E7037A"/>
    <w:rsid w:val="00E70485"/>
    <w:rsid w:val="00E704C3"/>
    <w:rsid w:val="00E705B4"/>
    <w:rsid w:val="00E7077F"/>
    <w:rsid w:val="00E708D1"/>
    <w:rsid w:val="00E708DA"/>
    <w:rsid w:val="00E7092C"/>
    <w:rsid w:val="00E70943"/>
    <w:rsid w:val="00E70B41"/>
    <w:rsid w:val="00E710CA"/>
    <w:rsid w:val="00E711DD"/>
    <w:rsid w:val="00E71213"/>
    <w:rsid w:val="00E71254"/>
    <w:rsid w:val="00E7131C"/>
    <w:rsid w:val="00E713C0"/>
    <w:rsid w:val="00E71415"/>
    <w:rsid w:val="00E71431"/>
    <w:rsid w:val="00E714E0"/>
    <w:rsid w:val="00E71534"/>
    <w:rsid w:val="00E71578"/>
    <w:rsid w:val="00E715D8"/>
    <w:rsid w:val="00E71637"/>
    <w:rsid w:val="00E7168F"/>
    <w:rsid w:val="00E71760"/>
    <w:rsid w:val="00E71791"/>
    <w:rsid w:val="00E71853"/>
    <w:rsid w:val="00E719FB"/>
    <w:rsid w:val="00E71A15"/>
    <w:rsid w:val="00E71AA3"/>
    <w:rsid w:val="00E71B03"/>
    <w:rsid w:val="00E71B42"/>
    <w:rsid w:val="00E71BE9"/>
    <w:rsid w:val="00E71DC9"/>
    <w:rsid w:val="00E71DCF"/>
    <w:rsid w:val="00E71E38"/>
    <w:rsid w:val="00E71EB8"/>
    <w:rsid w:val="00E71F41"/>
    <w:rsid w:val="00E71F57"/>
    <w:rsid w:val="00E72027"/>
    <w:rsid w:val="00E72033"/>
    <w:rsid w:val="00E7204C"/>
    <w:rsid w:val="00E720EF"/>
    <w:rsid w:val="00E72162"/>
    <w:rsid w:val="00E7218E"/>
    <w:rsid w:val="00E721EC"/>
    <w:rsid w:val="00E721F4"/>
    <w:rsid w:val="00E72217"/>
    <w:rsid w:val="00E72235"/>
    <w:rsid w:val="00E72350"/>
    <w:rsid w:val="00E7248D"/>
    <w:rsid w:val="00E724A8"/>
    <w:rsid w:val="00E724EB"/>
    <w:rsid w:val="00E724F4"/>
    <w:rsid w:val="00E7261B"/>
    <w:rsid w:val="00E7271C"/>
    <w:rsid w:val="00E72804"/>
    <w:rsid w:val="00E7280A"/>
    <w:rsid w:val="00E728AF"/>
    <w:rsid w:val="00E72910"/>
    <w:rsid w:val="00E72AF1"/>
    <w:rsid w:val="00E72B93"/>
    <w:rsid w:val="00E72D1E"/>
    <w:rsid w:val="00E72DB2"/>
    <w:rsid w:val="00E72EC4"/>
    <w:rsid w:val="00E72ED8"/>
    <w:rsid w:val="00E72EE1"/>
    <w:rsid w:val="00E72F20"/>
    <w:rsid w:val="00E72F54"/>
    <w:rsid w:val="00E72FC2"/>
    <w:rsid w:val="00E73056"/>
    <w:rsid w:val="00E730FA"/>
    <w:rsid w:val="00E7318D"/>
    <w:rsid w:val="00E731FE"/>
    <w:rsid w:val="00E73211"/>
    <w:rsid w:val="00E732F4"/>
    <w:rsid w:val="00E7342A"/>
    <w:rsid w:val="00E73486"/>
    <w:rsid w:val="00E734A8"/>
    <w:rsid w:val="00E7354B"/>
    <w:rsid w:val="00E735B4"/>
    <w:rsid w:val="00E735F8"/>
    <w:rsid w:val="00E7361A"/>
    <w:rsid w:val="00E737BB"/>
    <w:rsid w:val="00E7383C"/>
    <w:rsid w:val="00E7389D"/>
    <w:rsid w:val="00E73ABD"/>
    <w:rsid w:val="00E73B21"/>
    <w:rsid w:val="00E73CB1"/>
    <w:rsid w:val="00E73D06"/>
    <w:rsid w:val="00E73D28"/>
    <w:rsid w:val="00E73D99"/>
    <w:rsid w:val="00E73E20"/>
    <w:rsid w:val="00E73E69"/>
    <w:rsid w:val="00E73EC5"/>
    <w:rsid w:val="00E73ED9"/>
    <w:rsid w:val="00E73F0C"/>
    <w:rsid w:val="00E73F6F"/>
    <w:rsid w:val="00E73FEE"/>
    <w:rsid w:val="00E74090"/>
    <w:rsid w:val="00E740BE"/>
    <w:rsid w:val="00E741CE"/>
    <w:rsid w:val="00E742C2"/>
    <w:rsid w:val="00E742D8"/>
    <w:rsid w:val="00E743C5"/>
    <w:rsid w:val="00E74543"/>
    <w:rsid w:val="00E745F5"/>
    <w:rsid w:val="00E74689"/>
    <w:rsid w:val="00E747F2"/>
    <w:rsid w:val="00E7489F"/>
    <w:rsid w:val="00E7497E"/>
    <w:rsid w:val="00E749FE"/>
    <w:rsid w:val="00E74BA0"/>
    <w:rsid w:val="00E74BA8"/>
    <w:rsid w:val="00E74BCD"/>
    <w:rsid w:val="00E74C53"/>
    <w:rsid w:val="00E74D18"/>
    <w:rsid w:val="00E74D3E"/>
    <w:rsid w:val="00E74D5B"/>
    <w:rsid w:val="00E74E0D"/>
    <w:rsid w:val="00E74E4D"/>
    <w:rsid w:val="00E74F3E"/>
    <w:rsid w:val="00E75181"/>
    <w:rsid w:val="00E751A5"/>
    <w:rsid w:val="00E751D1"/>
    <w:rsid w:val="00E7524C"/>
    <w:rsid w:val="00E75267"/>
    <w:rsid w:val="00E75297"/>
    <w:rsid w:val="00E752FE"/>
    <w:rsid w:val="00E7531D"/>
    <w:rsid w:val="00E75465"/>
    <w:rsid w:val="00E754D0"/>
    <w:rsid w:val="00E756DB"/>
    <w:rsid w:val="00E7577D"/>
    <w:rsid w:val="00E7579E"/>
    <w:rsid w:val="00E75924"/>
    <w:rsid w:val="00E75954"/>
    <w:rsid w:val="00E75B93"/>
    <w:rsid w:val="00E75BCB"/>
    <w:rsid w:val="00E75C86"/>
    <w:rsid w:val="00E75CB7"/>
    <w:rsid w:val="00E75D3B"/>
    <w:rsid w:val="00E75DA4"/>
    <w:rsid w:val="00E75DD4"/>
    <w:rsid w:val="00E75E0B"/>
    <w:rsid w:val="00E75E4E"/>
    <w:rsid w:val="00E75E65"/>
    <w:rsid w:val="00E75E82"/>
    <w:rsid w:val="00E75E84"/>
    <w:rsid w:val="00E75F3B"/>
    <w:rsid w:val="00E75F6C"/>
    <w:rsid w:val="00E75FA9"/>
    <w:rsid w:val="00E7604D"/>
    <w:rsid w:val="00E76076"/>
    <w:rsid w:val="00E7618F"/>
    <w:rsid w:val="00E7621A"/>
    <w:rsid w:val="00E76390"/>
    <w:rsid w:val="00E763AD"/>
    <w:rsid w:val="00E763E8"/>
    <w:rsid w:val="00E76405"/>
    <w:rsid w:val="00E76440"/>
    <w:rsid w:val="00E76483"/>
    <w:rsid w:val="00E7668C"/>
    <w:rsid w:val="00E76712"/>
    <w:rsid w:val="00E76782"/>
    <w:rsid w:val="00E76982"/>
    <w:rsid w:val="00E769FD"/>
    <w:rsid w:val="00E76A20"/>
    <w:rsid w:val="00E76B58"/>
    <w:rsid w:val="00E76B83"/>
    <w:rsid w:val="00E76BF6"/>
    <w:rsid w:val="00E76E4F"/>
    <w:rsid w:val="00E76E9F"/>
    <w:rsid w:val="00E76EFB"/>
    <w:rsid w:val="00E76FAC"/>
    <w:rsid w:val="00E770C7"/>
    <w:rsid w:val="00E77284"/>
    <w:rsid w:val="00E772E4"/>
    <w:rsid w:val="00E773F1"/>
    <w:rsid w:val="00E77429"/>
    <w:rsid w:val="00E7759C"/>
    <w:rsid w:val="00E7759F"/>
    <w:rsid w:val="00E77667"/>
    <w:rsid w:val="00E7774E"/>
    <w:rsid w:val="00E77882"/>
    <w:rsid w:val="00E77932"/>
    <w:rsid w:val="00E7794F"/>
    <w:rsid w:val="00E779B8"/>
    <w:rsid w:val="00E779CC"/>
    <w:rsid w:val="00E77A04"/>
    <w:rsid w:val="00E77AFE"/>
    <w:rsid w:val="00E77B64"/>
    <w:rsid w:val="00E77CC8"/>
    <w:rsid w:val="00E77D98"/>
    <w:rsid w:val="00E77DBE"/>
    <w:rsid w:val="00E77F11"/>
    <w:rsid w:val="00E77F85"/>
    <w:rsid w:val="00E8001C"/>
    <w:rsid w:val="00E8002E"/>
    <w:rsid w:val="00E80157"/>
    <w:rsid w:val="00E801A6"/>
    <w:rsid w:val="00E802C3"/>
    <w:rsid w:val="00E80323"/>
    <w:rsid w:val="00E80378"/>
    <w:rsid w:val="00E80438"/>
    <w:rsid w:val="00E80755"/>
    <w:rsid w:val="00E807F9"/>
    <w:rsid w:val="00E80822"/>
    <w:rsid w:val="00E80866"/>
    <w:rsid w:val="00E809D4"/>
    <w:rsid w:val="00E809ED"/>
    <w:rsid w:val="00E80AD6"/>
    <w:rsid w:val="00E80B14"/>
    <w:rsid w:val="00E80B36"/>
    <w:rsid w:val="00E80C6C"/>
    <w:rsid w:val="00E80D1B"/>
    <w:rsid w:val="00E80D1C"/>
    <w:rsid w:val="00E80DD4"/>
    <w:rsid w:val="00E80E3F"/>
    <w:rsid w:val="00E8101E"/>
    <w:rsid w:val="00E8102E"/>
    <w:rsid w:val="00E810FB"/>
    <w:rsid w:val="00E811B3"/>
    <w:rsid w:val="00E811C6"/>
    <w:rsid w:val="00E8121D"/>
    <w:rsid w:val="00E81266"/>
    <w:rsid w:val="00E8128C"/>
    <w:rsid w:val="00E812B9"/>
    <w:rsid w:val="00E81313"/>
    <w:rsid w:val="00E81324"/>
    <w:rsid w:val="00E813B8"/>
    <w:rsid w:val="00E81460"/>
    <w:rsid w:val="00E81485"/>
    <w:rsid w:val="00E81499"/>
    <w:rsid w:val="00E8166B"/>
    <w:rsid w:val="00E816A5"/>
    <w:rsid w:val="00E816E9"/>
    <w:rsid w:val="00E81751"/>
    <w:rsid w:val="00E8198F"/>
    <w:rsid w:val="00E81A31"/>
    <w:rsid w:val="00E81A77"/>
    <w:rsid w:val="00E81BB2"/>
    <w:rsid w:val="00E81BC3"/>
    <w:rsid w:val="00E81BDF"/>
    <w:rsid w:val="00E81C10"/>
    <w:rsid w:val="00E81D1C"/>
    <w:rsid w:val="00E81D73"/>
    <w:rsid w:val="00E81D88"/>
    <w:rsid w:val="00E81D9F"/>
    <w:rsid w:val="00E81EB7"/>
    <w:rsid w:val="00E81F3D"/>
    <w:rsid w:val="00E81FA7"/>
    <w:rsid w:val="00E820BA"/>
    <w:rsid w:val="00E82123"/>
    <w:rsid w:val="00E82387"/>
    <w:rsid w:val="00E8240D"/>
    <w:rsid w:val="00E82415"/>
    <w:rsid w:val="00E82485"/>
    <w:rsid w:val="00E826E5"/>
    <w:rsid w:val="00E827DB"/>
    <w:rsid w:val="00E828FC"/>
    <w:rsid w:val="00E829C8"/>
    <w:rsid w:val="00E82B6B"/>
    <w:rsid w:val="00E82C1B"/>
    <w:rsid w:val="00E82C79"/>
    <w:rsid w:val="00E82CFD"/>
    <w:rsid w:val="00E82D20"/>
    <w:rsid w:val="00E82D35"/>
    <w:rsid w:val="00E82D4E"/>
    <w:rsid w:val="00E82DC5"/>
    <w:rsid w:val="00E82DD0"/>
    <w:rsid w:val="00E82F08"/>
    <w:rsid w:val="00E83080"/>
    <w:rsid w:val="00E830DF"/>
    <w:rsid w:val="00E832AE"/>
    <w:rsid w:val="00E83309"/>
    <w:rsid w:val="00E83371"/>
    <w:rsid w:val="00E83437"/>
    <w:rsid w:val="00E83444"/>
    <w:rsid w:val="00E8346C"/>
    <w:rsid w:val="00E8347F"/>
    <w:rsid w:val="00E83643"/>
    <w:rsid w:val="00E83749"/>
    <w:rsid w:val="00E837EB"/>
    <w:rsid w:val="00E83854"/>
    <w:rsid w:val="00E838EE"/>
    <w:rsid w:val="00E83A2C"/>
    <w:rsid w:val="00E83A2E"/>
    <w:rsid w:val="00E83AF2"/>
    <w:rsid w:val="00E83C5F"/>
    <w:rsid w:val="00E83CE1"/>
    <w:rsid w:val="00E83D56"/>
    <w:rsid w:val="00E83DB6"/>
    <w:rsid w:val="00E83DFB"/>
    <w:rsid w:val="00E83EDD"/>
    <w:rsid w:val="00E83EED"/>
    <w:rsid w:val="00E83F75"/>
    <w:rsid w:val="00E8406A"/>
    <w:rsid w:val="00E8407B"/>
    <w:rsid w:val="00E8407D"/>
    <w:rsid w:val="00E840CC"/>
    <w:rsid w:val="00E840E0"/>
    <w:rsid w:val="00E84392"/>
    <w:rsid w:val="00E845A5"/>
    <w:rsid w:val="00E845B3"/>
    <w:rsid w:val="00E845CF"/>
    <w:rsid w:val="00E84710"/>
    <w:rsid w:val="00E84828"/>
    <w:rsid w:val="00E84889"/>
    <w:rsid w:val="00E849A0"/>
    <w:rsid w:val="00E849A5"/>
    <w:rsid w:val="00E84A4C"/>
    <w:rsid w:val="00E84C27"/>
    <w:rsid w:val="00E84C7A"/>
    <w:rsid w:val="00E84D45"/>
    <w:rsid w:val="00E84FB3"/>
    <w:rsid w:val="00E85003"/>
    <w:rsid w:val="00E851B5"/>
    <w:rsid w:val="00E85214"/>
    <w:rsid w:val="00E852C8"/>
    <w:rsid w:val="00E853A9"/>
    <w:rsid w:val="00E853F2"/>
    <w:rsid w:val="00E853FF"/>
    <w:rsid w:val="00E85575"/>
    <w:rsid w:val="00E8558B"/>
    <w:rsid w:val="00E8562A"/>
    <w:rsid w:val="00E856B1"/>
    <w:rsid w:val="00E856B9"/>
    <w:rsid w:val="00E8574E"/>
    <w:rsid w:val="00E8585F"/>
    <w:rsid w:val="00E85887"/>
    <w:rsid w:val="00E8599F"/>
    <w:rsid w:val="00E85B31"/>
    <w:rsid w:val="00E85BE8"/>
    <w:rsid w:val="00E85D4A"/>
    <w:rsid w:val="00E85E0D"/>
    <w:rsid w:val="00E85E4C"/>
    <w:rsid w:val="00E85F44"/>
    <w:rsid w:val="00E85F6F"/>
    <w:rsid w:val="00E86149"/>
    <w:rsid w:val="00E86169"/>
    <w:rsid w:val="00E861AA"/>
    <w:rsid w:val="00E861C8"/>
    <w:rsid w:val="00E86241"/>
    <w:rsid w:val="00E8624B"/>
    <w:rsid w:val="00E86256"/>
    <w:rsid w:val="00E86267"/>
    <w:rsid w:val="00E862B1"/>
    <w:rsid w:val="00E86318"/>
    <w:rsid w:val="00E864E3"/>
    <w:rsid w:val="00E864F6"/>
    <w:rsid w:val="00E86514"/>
    <w:rsid w:val="00E8652C"/>
    <w:rsid w:val="00E86579"/>
    <w:rsid w:val="00E865D6"/>
    <w:rsid w:val="00E865F6"/>
    <w:rsid w:val="00E86602"/>
    <w:rsid w:val="00E86697"/>
    <w:rsid w:val="00E866D5"/>
    <w:rsid w:val="00E868BF"/>
    <w:rsid w:val="00E8690D"/>
    <w:rsid w:val="00E86988"/>
    <w:rsid w:val="00E86A59"/>
    <w:rsid w:val="00E86AEB"/>
    <w:rsid w:val="00E86BDA"/>
    <w:rsid w:val="00E86BEC"/>
    <w:rsid w:val="00E86CB9"/>
    <w:rsid w:val="00E86D01"/>
    <w:rsid w:val="00E86DBE"/>
    <w:rsid w:val="00E86DEE"/>
    <w:rsid w:val="00E86E5B"/>
    <w:rsid w:val="00E86E9D"/>
    <w:rsid w:val="00E86EC7"/>
    <w:rsid w:val="00E86F5D"/>
    <w:rsid w:val="00E87023"/>
    <w:rsid w:val="00E8703F"/>
    <w:rsid w:val="00E870F8"/>
    <w:rsid w:val="00E872E5"/>
    <w:rsid w:val="00E8733D"/>
    <w:rsid w:val="00E873D9"/>
    <w:rsid w:val="00E87425"/>
    <w:rsid w:val="00E87433"/>
    <w:rsid w:val="00E8745F"/>
    <w:rsid w:val="00E8750A"/>
    <w:rsid w:val="00E87529"/>
    <w:rsid w:val="00E875EC"/>
    <w:rsid w:val="00E875F8"/>
    <w:rsid w:val="00E87659"/>
    <w:rsid w:val="00E87666"/>
    <w:rsid w:val="00E87755"/>
    <w:rsid w:val="00E8789F"/>
    <w:rsid w:val="00E87A4F"/>
    <w:rsid w:val="00E87B43"/>
    <w:rsid w:val="00E87BF6"/>
    <w:rsid w:val="00E87C26"/>
    <w:rsid w:val="00E87CD4"/>
    <w:rsid w:val="00E87DD0"/>
    <w:rsid w:val="00E9013F"/>
    <w:rsid w:val="00E9023A"/>
    <w:rsid w:val="00E902F0"/>
    <w:rsid w:val="00E90363"/>
    <w:rsid w:val="00E9057B"/>
    <w:rsid w:val="00E905EC"/>
    <w:rsid w:val="00E90649"/>
    <w:rsid w:val="00E906D7"/>
    <w:rsid w:val="00E90721"/>
    <w:rsid w:val="00E907B3"/>
    <w:rsid w:val="00E907F0"/>
    <w:rsid w:val="00E908A3"/>
    <w:rsid w:val="00E909BB"/>
    <w:rsid w:val="00E909E4"/>
    <w:rsid w:val="00E909E5"/>
    <w:rsid w:val="00E909FE"/>
    <w:rsid w:val="00E90CB7"/>
    <w:rsid w:val="00E90D59"/>
    <w:rsid w:val="00E90F29"/>
    <w:rsid w:val="00E90FAA"/>
    <w:rsid w:val="00E91099"/>
    <w:rsid w:val="00E91144"/>
    <w:rsid w:val="00E9124A"/>
    <w:rsid w:val="00E91287"/>
    <w:rsid w:val="00E91367"/>
    <w:rsid w:val="00E91409"/>
    <w:rsid w:val="00E91415"/>
    <w:rsid w:val="00E91441"/>
    <w:rsid w:val="00E914F0"/>
    <w:rsid w:val="00E915A4"/>
    <w:rsid w:val="00E915AC"/>
    <w:rsid w:val="00E9182A"/>
    <w:rsid w:val="00E918A2"/>
    <w:rsid w:val="00E918E7"/>
    <w:rsid w:val="00E91916"/>
    <w:rsid w:val="00E91ADB"/>
    <w:rsid w:val="00E91B8B"/>
    <w:rsid w:val="00E91C89"/>
    <w:rsid w:val="00E91CB7"/>
    <w:rsid w:val="00E91CBD"/>
    <w:rsid w:val="00E91DF4"/>
    <w:rsid w:val="00E91E17"/>
    <w:rsid w:val="00E91E3C"/>
    <w:rsid w:val="00E91EEC"/>
    <w:rsid w:val="00E91F85"/>
    <w:rsid w:val="00E91F87"/>
    <w:rsid w:val="00E91F9A"/>
    <w:rsid w:val="00E92095"/>
    <w:rsid w:val="00E920D3"/>
    <w:rsid w:val="00E920E4"/>
    <w:rsid w:val="00E920F3"/>
    <w:rsid w:val="00E920F9"/>
    <w:rsid w:val="00E92108"/>
    <w:rsid w:val="00E92254"/>
    <w:rsid w:val="00E92355"/>
    <w:rsid w:val="00E923CE"/>
    <w:rsid w:val="00E924B1"/>
    <w:rsid w:val="00E92510"/>
    <w:rsid w:val="00E92522"/>
    <w:rsid w:val="00E9267A"/>
    <w:rsid w:val="00E92740"/>
    <w:rsid w:val="00E92762"/>
    <w:rsid w:val="00E92A6C"/>
    <w:rsid w:val="00E92BEC"/>
    <w:rsid w:val="00E92DFD"/>
    <w:rsid w:val="00E92EF2"/>
    <w:rsid w:val="00E92F50"/>
    <w:rsid w:val="00E9307F"/>
    <w:rsid w:val="00E931B1"/>
    <w:rsid w:val="00E933EB"/>
    <w:rsid w:val="00E9348B"/>
    <w:rsid w:val="00E93654"/>
    <w:rsid w:val="00E936BC"/>
    <w:rsid w:val="00E9379C"/>
    <w:rsid w:val="00E937FC"/>
    <w:rsid w:val="00E938AE"/>
    <w:rsid w:val="00E938E1"/>
    <w:rsid w:val="00E938F3"/>
    <w:rsid w:val="00E93909"/>
    <w:rsid w:val="00E93946"/>
    <w:rsid w:val="00E93A28"/>
    <w:rsid w:val="00E93A8B"/>
    <w:rsid w:val="00E93A9C"/>
    <w:rsid w:val="00E93AA3"/>
    <w:rsid w:val="00E93B35"/>
    <w:rsid w:val="00E93B76"/>
    <w:rsid w:val="00E93BB6"/>
    <w:rsid w:val="00E93CDF"/>
    <w:rsid w:val="00E93D85"/>
    <w:rsid w:val="00E93DAD"/>
    <w:rsid w:val="00E93E8E"/>
    <w:rsid w:val="00E93F71"/>
    <w:rsid w:val="00E93F80"/>
    <w:rsid w:val="00E93FF6"/>
    <w:rsid w:val="00E940DF"/>
    <w:rsid w:val="00E942B0"/>
    <w:rsid w:val="00E94519"/>
    <w:rsid w:val="00E94528"/>
    <w:rsid w:val="00E94757"/>
    <w:rsid w:val="00E9476D"/>
    <w:rsid w:val="00E947D9"/>
    <w:rsid w:val="00E9482D"/>
    <w:rsid w:val="00E94831"/>
    <w:rsid w:val="00E9483B"/>
    <w:rsid w:val="00E948C7"/>
    <w:rsid w:val="00E948CD"/>
    <w:rsid w:val="00E948F4"/>
    <w:rsid w:val="00E94A3E"/>
    <w:rsid w:val="00E94A42"/>
    <w:rsid w:val="00E94ACD"/>
    <w:rsid w:val="00E94B71"/>
    <w:rsid w:val="00E94BC2"/>
    <w:rsid w:val="00E94C4D"/>
    <w:rsid w:val="00E94C60"/>
    <w:rsid w:val="00E94CD9"/>
    <w:rsid w:val="00E94CDC"/>
    <w:rsid w:val="00E94DF1"/>
    <w:rsid w:val="00E94EA2"/>
    <w:rsid w:val="00E94F2A"/>
    <w:rsid w:val="00E94F47"/>
    <w:rsid w:val="00E94FBB"/>
    <w:rsid w:val="00E95236"/>
    <w:rsid w:val="00E9535C"/>
    <w:rsid w:val="00E9547C"/>
    <w:rsid w:val="00E954A8"/>
    <w:rsid w:val="00E95586"/>
    <w:rsid w:val="00E9569B"/>
    <w:rsid w:val="00E95769"/>
    <w:rsid w:val="00E9576C"/>
    <w:rsid w:val="00E95875"/>
    <w:rsid w:val="00E95878"/>
    <w:rsid w:val="00E958F7"/>
    <w:rsid w:val="00E95A07"/>
    <w:rsid w:val="00E95C40"/>
    <w:rsid w:val="00E95C42"/>
    <w:rsid w:val="00E95C48"/>
    <w:rsid w:val="00E95D10"/>
    <w:rsid w:val="00E95D5D"/>
    <w:rsid w:val="00E95DBB"/>
    <w:rsid w:val="00E95DD4"/>
    <w:rsid w:val="00E95F5C"/>
    <w:rsid w:val="00E95F90"/>
    <w:rsid w:val="00E95F93"/>
    <w:rsid w:val="00E95FB7"/>
    <w:rsid w:val="00E9604F"/>
    <w:rsid w:val="00E96073"/>
    <w:rsid w:val="00E96087"/>
    <w:rsid w:val="00E96154"/>
    <w:rsid w:val="00E96176"/>
    <w:rsid w:val="00E961FA"/>
    <w:rsid w:val="00E962AD"/>
    <w:rsid w:val="00E96300"/>
    <w:rsid w:val="00E963AD"/>
    <w:rsid w:val="00E963D3"/>
    <w:rsid w:val="00E9641E"/>
    <w:rsid w:val="00E9645B"/>
    <w:rsid w:val="00E964B3"/>
    <w:rsid w:val="00E965B1"/>
    <w:rsid w:val="00E965E6"/>
    <w:rsid w:val="00E965F8"/>
    <w:rsid w:val="00E96760"/>
    <w:rsid w:val="00E967D2"/>
    <w:rsid w:val="00E96831"/>
    <w:rsid w:val="00E96842"/>
    <w:rsid w:val="00E96860"/>
    <w:rsid w:val="00E968AF"/>
    <w:rsid w:val="00E96902"/>
    <w:rsid w:val="00E9695D"/>
    <w:rsid w:val="00E96BB4"/>
    <w:rsid w:val="00E96C99"/>
    <w:rsid w:val="00E96D2A"/>
    <w:rsid w:val="00E96D4E"/>
    <w:rsid w:val="00E96DBA"/>
    <w:rsid w:val="00E96FD3"/>
    <w:rsid w:val="00E96FD8"/>
    <w:rsid w:val="00E97070"/>
    <w:rsid w:val="00E97083"/>
    <w:rsid w:val="00E970C5"/>
    <w:rsid w:val="00E972A1"/>
    <w:rsid w:val="00E972AF"/>
    <w:rsid w:val="00E97338"/>
    <w:rsid w:val="00E97386"/>
    <w:rsid w:val="00E973B7"/>
    <w:rsid w:val="00E974A0"/>
    <w:rsid w:val="00E974F5"/>
    <w:rsid w:val="00E97536"/>
    <w:rsid w:val="00E9758F"/>
    <w:rsid w:val="00E975B9"/>
    <w:rsid w:val="00E976F3"/>
    <w:rsid w:val="00E9771A"/>
    <w:rsid w:val="00E977C7"/>
    <w:rsid w:val="00E97809"/>
    <w:rsid w:val="00E9780B"/>
    <w:rsid w:val="00E97856"/>
    <w:rsid w:val="00E97889"/>
    <w:rsid w:val="00E979F2"/>
    <w:rsid w:val="00E979F7"/>
    <w:rsid w:val="00E97A93"/>
    <w:rsid w:val="00E97AB6"/>
    <w:rsid w:val="00E97B0B"/>
    <w:rsid w:val="00E97B52"/>
    <w:rsid w:val="00E97B55"/>
    <w:rsid w:val="00E97B70"/>
    <w:rsid w:val="00E97B8B"/>
    <w:rsid w:val="00E97BAF"/>
    <w:rsid w:val="00E97D52"/>
    <w:rsid w:val="00E97DDD"/>
    <w:rsid w:val="00E97DEA"/>
    <w:rsid w:val="00E97E1F"/>
    <w:rsid w:val="00E97E41"/>
    <w:rsid w:val="00E97F04"/>
    <w:rsid w:val="00E97F11"/>
    <w:rsid w:val="00E97F51"/>
    <w:rsid w:val="00E97F76"/>
    <w:rsid w:val="00E97FC2"/>
    <w:rsid w:val="00E97FE0"/>
    <w:rsid w:val="00E97FF7"/>
    <w:rsid w:val="00EA0242"/>
    <w:rsid w:val="00EA039D"/>
    <w:rsid w:val="00EA0758"/>
    <w:rsid w:val="00EA081E"/>
    <w:rsid w:val="00EA0894"/>
    <w:rsid w:val="00EA097A"/>
    <w:rsid w:val="00EA097B"/>
    <w:rsid w:val="00EA09A4"/>
    <w:rsid w:val="00EA09B9"/>
    <w:rsid w:val="00EA09CA"/>
    <w:rsid w:val="00EA0A05"/>
    <w:rsid w:val="00EA0CE1"/>
    <w:rsid w:val="00EA0D3A"/>
    <w:rsid w:val="00EA0DEF"/>
    <w:rsid w:val="00EA0E3C"/>
    <w:rsid w:val="00EA0F61"/>
    <w:rsid w:val="00EA10CC"/>
    <w:rsid w:val="00EA10FC"/>
    <w:rsid w:val="00EA115D"/>
    <w:rsid w:val="00EA1190"/>
    <w:rsid w:val="00EA11FF"/>
    <w:rsid w:val="00EA1350"/>
    <w:rsid w:val="00EA152E"/>
    <w:rsid w:val="00EA16AF"/>
    <w:rsid w:val="00EA1762"/>
    <w:rsid w:val="00EA17A6"/>
    <w:rsid w:val="00EA17F3"/>
    <w:rsid w:val="00EA189D"/>
    <w:rsid w:val="00EA1911"/>
    <w:rsid w:val="00EA1964"/>
    <w:rsid w:val="00EA1B6F"/>
    <w:rsid w:val="00EA1BEB"/>
    <w:rsid w:val="00EA1D0E"/>
    <w:rsid w:val="00EA1D6F"/>
    <w:rsid w:val="00EA1DAC"/>
    <w:rsid w:val="00EA1E81"/>
    <w:rsid w:val="00EA1EB1"/>
    <w:rsid w:val="00EA1F2E"/>
    <w:rsid w:val="00EA2127"/>
    <w:rsid w:val="00EA22B1"/>
    <w:rsid w:val="00EA2327"/>
    <w:rsid w:val="00EA23A8"/>
    <w:rsid w:val="00EA23BD"/>
    <w:rsid w:val="00EA2547"/>
    <w:rsid w:val="00EA2571"/>
    <w:rsid w:val="00EA2610"/>
    <w:rsid w:val="00EA2685"/>
    <w:rsid w:val="00EA268C"/>
    <w:rsid w:val="00EA272A"/>
    <w:rsid w:val="00EA2745"/>
    <w:rsid w:val="00EA2810"/>
    <w:rsid w:val="00EA28DB"/>
    <w:rsid w:val="00EA2987"/>
    <w:rsid w:val="00EA2A39"/>
    <w:rsid w:val="00EA2B4B"/>
    <w:rsid w:val="00EA2E12"/>
    <w:rsid w:val="00EA2EBC"/>
    <w:rsid w:val="00EA2F53"/>
    <w:rsid w:val="00EA3002"/>
    <w:rsid w:val="00EA30FA"/>
    <w:rsid w:val="00EA310F"/>
    <w:rsid w:val="00EA3125"/>
    <w:rsid w:val="00EA323C"/>
    <w:rsid w:val="00EA327C"/>
    <w:rsid w:val="00EA35FD"/>
    <w:rsid w:val="00EA363C"/>
    <w:rsid w:val="00EA36BB"/>
    <w:rsid w:val="00EA36F8"/>
    <w:rsid w:val="00EA3870"/>
    <w:rsid w:val="00EA3941"/>
    <w:rsid w:val="00EA39AD"/>
    <w:rsid w:val="00EA39BB"/>
    <w:rsid w:val="00EA39E9"/>
    <w:rsid w:val="00EA3BBC"/>
    <w:rsid w:val="00EA3D64"/>
    <w:rsid w:val="00EA3EF1"/>
    <w:rsid w:val="00EA4008"/>
    <w:rsid w:val="00EA4391"/>
    <w:rsid w:val="00EA43B8"/>
    <w:rsid w:val="00EA43D0"/>
    <w:rsid w:val="00EA4495"/>
    <w:rsid w:val="00EA44A1"/>
    <w:rsid w:val="00EA44B9"/>
    <w:rsid w:val="00EA45F0"/>
    <w:rsid w:val="00EA4627"/>
    <w:rsid w:val="00EA465E"/>
    <w:rsid w:val="00EA4721"/>
    <w:rsid w:val="00EA4758"/>
    <w:rsid w:val="00EA4778"/>
    <w:rsid w:val="00EA47A4"/>
    <w:rsid w:val="00EA486E"/>
    <w:rsid w:val="00EA4971"/>
    <w:rsid w:val="00EA4989"/>
    <w:rsid w:val="00EA49E6"/>
    <w:rsid w:val="00EA4B20"/>
    <w:rsid w:val="00EA4C2C"/>
    <w:rsid w:val="00EA4C4B"/>
    <w:rsid w:val="00EA4C61"/>
    <w:rsid w:val="00EA507F"/>
    <w:rsid w:val="00EA50CE"/>
    <w:rsid w:val="00EA5119"/>
    <w:rsid w:val="00EA52B8"/>
    <w:rsid w:val="00EA5328"/>
    <w:rsid w:val="00EA540F"/>
    <w:rsid w:val="00EA54B1"/>
    <w:rsid w:val="00EA54B7"/>
    <w:rsid w:val="00EA54D4"/>
    <w:rsid w:val="00EA5552"/>
    <w:rsid w:val="00EA55E4"/>
    <w:rsid w:val="00EA5630"/>
    <w:rsid w:val="00EA5633"/>
    <w:rsid w:val="00EA5686"/>
    <w:rsid w:val="00EA56E5"/>
    <w:rsid w:val="00EA586C"/>
    <w:rsid w:val="00EA5959"/>
    <w:rsid w:val="00EA5A87"/>
    <w:rsid w:val="00EA5B32"/>
    <w:rsid w:val="00EA5B95"/>
    <w:rsid w:val="00EA5C09"/>
    <w:rsid w:val="00EA5C25"/>
    <w:rsid w:val="00EA5CB6"/>
    <w:rsid w:val="00EA5CC5"/>
    <w:rsid w:val="00EA5D18"/>
    <w:rsid w:val="00EA5F57"/>
    <w:rsid w:val="00EA6055"/>
    <w:rsid w:val="00EA6127"/>
    <w:rsid w:val="00EA6223"/>
    <w:rsid w:val="00EA6317"/>
    <w:rsid w:val="00EA631A"/>
    <w:rsid w:val="00EA632C"/>
    <w:rsid w:val="00EA63FB"/>
    <w:rsid w:val="00EA6401"/>
    <w:rsid w:val="00EA6409"/>
    <w:rsid w:val="00EA66DC"/>
    <w:rsid w:val="00EA6736"/>
    <w:rsid w:val="00EA6751"/>
    <w:rsid w:val="00EA689C"/>
    <w:rsid w:val="00EA691F"/>
    <w:rsid w:val="00EA6BC6"/>
    <w:rsid w:val="00EA6BEC"/>
    <w:rsid w:val="00EA6C11"/>
    <w:rsid w:val="00EA6CC2"/>
    <w:rsid w:val="00EA6CFF"/>
    <w:rsid w:val="00EA6E65"/>
    <w:rsid w:val="00EA6E9F"/>
    <w:rsid w:val="00EA71E2"/>
    <w:rsid w:val="00EA7344"/>
    <w:rsid w:val="00EA73C0"/>
    <w:rsid w:val="00EA7706"/>
    <w:rsid w:val="00EA770D"/>
    <w:rsid w:val="00EA7799"/>
    <w:rsid w:val="00EA77D3"/>
    <w:rsid w:val="00EA77FF"/>
    <w:rsid w:val="00EA7814"/>
    <w:rsid w:val="00EA7815"/>
    <w:rsid w:val="00EA78B4"/>
    <w:rsid w:val="00EA78BA"/>
    <w:rsid w:val="00EA7922"/>
    <w:rsid w:val="00EA7970"/>
    <w:rsid w:val="00EA7983"/>
    <w:rsid w:val="00EA7994"/>
    <w:rsid w:val="00EA7B24"/>
    <w:rsid w:val="00EA7BA9"/>
    <w:rsid w:val="00EA7BB9"/>
    <w:rsid w:val="00EA7BF2"/>
    <w:rsid w:val="00EA7C2A"/>
    <w:rsid w:val="00EA7C33"/>
    <w:rsid w:val="00EA7C79"/>
    <w:rsid w:val="00EA7C80"/>
    <w:rsid w:val="00EA7D67"/>
    <w:rsid w:val="00EA7D9E"/>
    <w:rsid w:val="00EA7E90"/>
    <w:rsid w:val="00EA7F6E"/>
    <w:rsid w:val="00EA7FB4"/>
    <w:rsid w:val="00EA7FC0"/>
    <w:rsid w:val="00EB0028"/>
    <w:rsid w:val="00EB032D"/>
    <w:rsid w:val="00EB0377"/>
    <w:rsid w:val="00EB0389"/>
    <w:rsid w:val="00EB0409"/>
    <w:rsid w:val="00EB0494"/>
    <w:rsid w:val="00EB052E"/>
    <w:rsid w:val="00EB0607"/>
    <w:rsid w:val="00EB0669"/>
    <w:rsid w:val="00EB06AD"/>
    <w:rsid w:val="00EB06EE"/>
    <w:rsid w:val="00EB0709"/>
    <w:rsid w:val="00EB0797"/>
    <w:rsid w:val="00EB08AD"/>
    <w:rsid w:val="00EB0985"/>
    <w:rsid w:val="00EB0B47"/>
    <w:rsid w:val="00EB0BCE"/>
    <w:rsid w:val="00EB0D19"/>
    <w:rsid w:val="00EB0DE5"/>
    <w:rsid w:val="00EB0F1F"/>
    <w:rsid w:val="00EB0F3D"/>
    <w:rsid w:val="00EB10BE"/>
    <w:rsid w:val="00EB1256"/>
    <w:rsid w:val="00EB1421"/>
    <w:rsid w:val="00EB153C"/>
    <w:rsid w:val="00EB1756"/>
    <w:rsid w:val="00EB176E"/>
    <w:rsid w:val="00EB18C2"/>
    <w:rsid w:val="00EB18F7"/>
    <w:rsid w:val="00EB193C"/>
    <w:rsid w:val="00EB1966"/>
    <w:rsid w:val="00EB19EE"/>
    <w:rsid w:val="00EB1A61"/>
    <w:rsid w:val="00EB1B63"/>
    <w:rsid w:val="00EB1DEC"/>
    <w:rsid w:val="00EB1EEA"/>
    <w:rsid w:val="00EB1EF1"/>
    <w:rsid w:val="00EB1F89"/>
    <w:rsid w:val="00EB2013"/>
    <w:rsid w:val="00EB204B"/>
    <w:rsid w:val="00EB205F"/>
    <w:rsid w:val="00EB20AE"/>
    <w:rsid w:val="00EB20D3"/>
    <w:rsid w:val="00EB20E2"/>
    <w:rsid w:val="00EB2103"/>
    <w:rsid w:val="00EB21B3"/>
    <w:rsid w:val="00EB2317"/>
    <w:rsid w:val="00EB2392"/>
    <w:rsid w:val="00EB2591"/>
    <w:rsid w:val="00EB262C"/>
    <w:rsid w:val="00EB2773"/>
    <w:rsid w:val="00EB27D7"/>
    <w:rsid w:val="00EB2833"/>
    <w:rsid w:val="00EB2894"/>
    <w:rsid w:val="00EB28AB"/>
    <w:rsid w:val="00EB291E"/>
    <w:rsid w:val="00EB2A89"/>
    <w:rsid w:val="00EB2B35"/>
    <w:rsid w:val="00EB2B3A"/>
    <w:rsid w:val="00EB2BCE"/>
    <w:rsid w:val="00EB2BFD"/>
    <w:rsid w:val="00EB2CA3"/>
    <w:rsid w:val="00EB2CFB"/>
    <w:rsid w:val="00EB2D6D"/>
    <w:rsid w:val="00EB2EB2"/>
    <w:rsid w:val="00EB2F05"/>
    <w:rsid w:val="00EB2F47"/>
    <w:rsid w:val="00EB2FCB"/>
    <w:rsid w:val="00EB301E"/>
    <w:rsid w:val="00EB3065"/>
    <w:rsid w:val="00EB3077"/>
    <w:rsid w:val="00EB311F"/>
    <w:rsid w:val="00EB3192"/>
    <w:rsid w:val="00EB3199"/>
    <w:rsid w:val="00EB3251"/>
    <w:rsid w:val="00EB3282"/>
    <w:rsid w:val="00EB3285"/>
    <w:rsid w:val="00EB32C8"/>
    <w:rsid w:val="00EB33CA"/>
    <w:rsid w:val="00EB3440"/>
    <w:rsid w:val="00EB3460"/>
    <w:rsid w:val="00EB357F"/>
    <w:rsid w:val="00EB35B0"/>
    <w:rsid w:val="00EB3665"/>
    <w:rsid w:val="00EB3678"/>
    <w:rsid w:val="00EB3744"/>
    <w:rsid w:val="00EB379C"/>
    <w:rsid w:val="00EB37A9"/>
    <w:rsid w:val="00EB37DE"/>
    <w:rsid w:val="00EB3801"/>
    <w:rsid w:val="00EB3859"/>
    <w:rsid w:val="00EB39E3"/>
    <w:rsid w:val="00EB39F5"/>
    <w:rsid w:val="00EB3BD3"/>
    <w:rsid w:val="00EB3C2C"/>
    <w:rsid w:val="00EB3D21"/>
    <w:rsid w:val="00EB3D4A"/>
    <w:rsid w:val="00EB3DB7"/>
    <w:rsid w:val="00EB3DDD"/>
    <w:rsid w:val="00EB3E1A"/>
    <w:rsid w:val="00EB3E25"/>
    <w:rsid w:val="00EB3E61"/>
    <w:rsid w:val="00EB3E83"/>
    <w:rsid w:val="00EB3EBE"/>
    <w:rsid w:val="00EB3ECB"/>
    <w:rsid w:val="00EB3F2D"/>
    <w:rsid w:val="00EB406A"/>
    <w:rsid w:val="00EB41A3"/>
    <w:rsid w:val="00EB41EF"/>
    <w:rsid w:val="00EB430C"/>
    <w:rsid w:val="00EB436F"/>
    <w:rsid w:val="00EB4440"/>
    <w:rsid w:val="00EB444A"/>
    <w:rsid w:val="00EB4512"/>
    <w:rsid w:val="00EB46CF"/>
    <w:rsid w:val="00EB478B"/>
    <w:rsid w:val="00EB481F"/>
    <w:rsid w:val="00EB48C3"/>
    <w:rsid w:val="00EB48FF"/>
    <w:rsid w:val="00EB4906"/>
    <w:rsid w:val="00EB4B12"/>
    <w:rsid w:val="00EB4B7C"/>
    <w:rsid w:val="00EB4BE7"/>
    <w:rsid w:val="00EB4C6E"/>
    <w:rsid w:val="00EB4C98"/>
    <w:rsid w:val="00EB4CDB"/>
    <w:rsid w:val="00EB4D77"/>
    <w:rsid w:val="00EB4E17"/>
    <w:rsid w:val="00EB4F52"/>
    <w:rsid w:val="00EB4F57"/>
    <w:rsid w:val="00EB4FE4"/>
    <w:rsid w:val="00EB5051"/>
    <w:rsid w:val="00EB510F"/>
    <w:rsid w:val="00EB51B3"/>
    <w:rsid w:val="00EB54AF"/>
    <w:rsid w:val="00EB54EB"/>
    <w:rsid w:val="00EB558D"/>
    <w:rsid w:val="00EB5613"/>
    <w:rsid w:val="00EB561D"/>
    <w:rsid w:val="00EB5693"/>
    <w:rsid w:val="00EB569F"/>
    <w:rsid w:val="00EB56B7"/>
    <w:rsid w:val="00EB56D0"/>
    <w:rsid w:val="00EB575A"/>
    <w:rsid w:val="00EB5827"/>
    <w:rsid w:val="00EB596E"/>
    <w:rsid w:val="00EB5A21"/>
    <w:rsid w:val="00EB5A3F"/>
    <w:rsid w:val="00EB5A47"/>
    <w:rsid w:val="00EB5B6B"/>
    <w:rsid w:val="00EB5BE4"/>
    <w:rsid w:val="00EB5C81"/>
    <w:rsid w:val="00EB5D25"/>
    <w:rsid w:val="00EB5E77"/>
    <w:rsid w:val="00EB5F53"/>
    <w:rsid w:val="00EB610D"/>
    <w:rsid w:val="00EB6287"/>
    <w:rsid w:val="00EB6293"/>
    <w:rsid w:val="00EB6387"/>
    <w:rsid w:val="00EB6427"/>
    <w:rsid w:val="00EB65F7"/>
    <w:rsid w:val="00EB660A"/>
    <w:rsid w:val="00EB665E"/>
    <w:rsid w:val="00EB66C4"/>
    <w:rsid w:val="00EB66D8"/>
    <w:rsid w:val="00EB674C"/>
    <w:rsid w:val="00EB67A3"/>
    <w:rsid w:val="00EB67D4"/>
    <w:rsid w:val="00EB67E3"/>
    <w:rsid w:val="00EB6878"/>
    <w:rsid w:val="00EB6990"/>
    <w:rsid w:val="00EB69AD"/>
    <w:rsid w:val="00EB6D1A"/>
    <w:rsid w:val="00EB6D47"/>
    <w:rsid w:val="00EB6D5B"/>
    <w:rsid w:val="00EB6DF1"/>
    <w:rsid w:val="00EB6E71"/>
    <w:rsid w:val="00EB6E87"/>
    <w:rsid w:val="00EB7007"/>
    <w:rsid w:val="00EB70B3"/>
    <w:rsid w:val="00EB711A"/>
    <w:rsid w:val="00EB7140"/>
    <w:rsid w:val="00EB715F"/>
    <w:rsid w:val="00EB722E"/>
    <w:rsid w:val="00EB7287"/>
    <w:rsid w:val="00EB7378"/>
    <w:rsid w:val="00EB738A"/>
    <w:rsid w:val="00EB756C"/>
    <w:rsid w:val="00EB756D"/>
    <w:rsid w:val="00EB75F9"/>
    <w:rsid w:val="00EB76A9"/>
    <w:rsid w:val="00EB76F9"/>
    <w:rsid w:val="00EB777C"/>
    <w:rsid w:val="00EB78E8"/>
    <w:rsid w:val="00EB7966"/>
    <w:rsid w:val="00EB7985"/>
    <w:rsid w:val="00EB79D3"/>
    <w:rsid w:val="00EB7A0A"/>
    <w:rsid w:val="00EB7B60"/>
    <w:rsid w:val="00EB7BA3"/>
    <w:rsid w:val="00EB7BFD"/>
    <w:rsid w:val="00EB7DBF"/>
    <w:rsid w:val="00EB7E05"/>
    <w:rsid w:val="00EB7E4D"/>
    <w:rsid w:val="00EB7E90"/>
    <w:rsid w:val="00EB7EF7"/>
    <w:rsid w:val="00EC002F"/>
    <w:rsid w:val="00EC007D"/>
    <w:rsid w:val="00EC00AE"/>
    <w:rsid w:val="00EC0120"/>
    <w:rsid w:val="00EC014C"/>
    <w:rsid w:val="00EC02F9"/>
    <w:rsid w:val="00EC038D"/>
    <w:rsid w:val="00EC03C2"/>
    <w:rsid w:val="00EC0454"/>
    <w:rsid w:val="00EC0591"/>
    <w:rsid w:val="00EC05C9"/>
    <w:rsid w:val="00EC0665"/>
    <w:rsid w:val="00EC07B5"/>
    <w:rsid w:val="00EC07BB"/>
    <w:rsid w:val="00EC08E4"/>
    <w:rsid w:val="00EC0910"/>
    <w:rsid w:val="00EC0C40"/>
    <w:rsid w:val="00EC0C63"/>
    <w:rsid w:val="00EC0D2C"/>
    <w:rsid w:val="00EC0D8E"/>
    <w:rsid w:val="00EC0F36"/>
    <w:rsid w:val="00EC0F92"/>
    <w:rsid w:val="00EC106D"/>
    <w:rsid w:val="00EC117C"/>
    <w:rsid w:val="00EC1226"/>
    <w:rsid w:val="00EC12B9"/>
    <w:rsid w:val="00EC1351"/>
    <w:rsid w:val="00EC13E2"/>
    <w:rsid w:val="00EC14CC"/>
    <w:rsid w:val="00EC14D6"/>
    <w:rsid w:val="00EC15C4"/>
    <w:rsid w:val="00EC1771"/>
    <w:rsid w:val="00EC1906"/>
    <w:rsid w:val="00EC1A82"/>
    <w:rsid w:val="00EC1C35"/>
    <w:rsid w:val="00EC1DA6"/>
    <w:rsid w:val="00EC1E02"/>
    <w:rsid w:val="00EC1E57"/>
    <w:rsid w:val="00EC1F5F"/>
    <w:rsid w:val="00EC1FF1"/>
    <w:rsid w:val="00EC20BB"/>
    <w:rsid w:val="00EC20BE"/>
    <w:rsid w:val="00EC20CF"/>
    <w:rsid w:val="00EC20EC"/>
    <w:rsid w:val="00EC21BE"/>
    <w:rsid w:val="00EC21DF"/>
    <w:rsid w:val="00EC2215"/>
    <w:rsid w:val="00EC227E"/>
    <w:rsid w:val="00EC22AA"/>
    <w:rsid w:val="00EC2357"/>
    <w:rsid w:val="00EC237F"/>
    <w:rsid w:val="00EC244A"/>
    <w:rsid w:val="00EC2461"/>
    <w:rsid w:val="00EC2676"/>
    <w:rsid w:val="00EC2741"/>
    <w:rsid w:val="00EC279E"/>
    <w:rsid w:val="00EC29B3"/>
    <w:rsid w:val="00EC29BC"/>
    <w:rsid w:val="00EC2A4A"/>
    <w:rsid w:val="00EC2AAC"/>
    <w:rsid w:val="00EC2B6C"/>
    <w:rsid w:val="00EC2BE7"/>
    <w:rsid w:val="00EC2C05"/>
    <w:rsid w:val="00EC2CB0"/>
    <w:rsid w:val="00EC2E7A"/>
    <w:rsid w:val="00EC2F1C"/>
    <w:rsid w:val="00EC2F26"/>
    <w:rsid w:val="00EC3153"/>
    <w:rsid w:val="00EC31B3"/>
    <w:rsid w:val="00EC323C"/>
    <w:rsid w:val="00EC3251"/>
    <w:rsid w:val="00EC3288"/>
    <w:rsid w:val="00EC333D"/>
    <w:rsid w:val="00EC3380"/>
    <w:rsid w:val="00EC339F"/>
    <w:rsid w:val="00EC33E7"/>
    <w:rsid w:val="00EC350A"/>
    <w:rsid w:val="00EC3565"/>
    <w:rsid w:val="00EC35D3"/>
    <w:rsid w:val="00EC36B5"/>
    <w:rsid w:val="00EC370A"/>
    <w:rsid w:val="00EC3803"/>
    <w:rsid w:val="00EC3810"/>
    <w:rsid w:val="00EC38EE"/>
    <w:rsid w:val="00EC3A35"/>
    <w:rsid w:val="00EC3A5B"/>
    <w:rsid w:val="00EC3A68"/>
    <w:rsid w:val="00EC3B10"/>
    <w:rsid w:val="00EC3B4A"/>
    <w:rsid w:val="00EC3B8C"/>
    <w:rsid w:val="00EC3C83"/>
    <w:rsid w:val="00EC3CFA"/>
    <w:rsid w:val="00EC3D82"/>
    <w:rsid w:val="00EC3D97"/>
    <w:rsid w:val="00EC3DA7"/>
    <w:rsid w:val="00EC3E69"/>
    <w:rsid w:val="00EC3F0A"/>
    <w:rsid w:val="00EC3F58"/>
    <w:rsid w:val="00EC3F6C"/>
    <w:rsid w:val="00EC3FC8"/>
    <w:rsid w:val="00EC400A"/>
    <w:rsid w:val="00EC411E"/>
    <w:rsid w:val="00EC41D4"/>
    <w:rsid w:val="00EC4252"/>
    <w:rsid w:val="00EC427A"/>
    <w:rsid w:val="00EC4526"/>
    <w:rsid w:val="00EC4626"/>
    <w:rsid w:val="00EC47BE"/>
    <w:rsid w:val="00EC47C9"/>
    <w:rsid w:val="00EC47E6"/>
    <w:rsid w:val="00EC486D"/>
    <w:rsid w:val="00EC48C7"/>
    <w:rsid w:val="00EC493B"/>
    <w:rsid w:val="00EC4975"/>
    <w:rsid w:val="00EC49DC"/>
    <w:rsid w:val="00EC4AC0"/>
    <w:rsid w:val="00EC4C39"/>
    <w:rsid w:val="00EC4CE0"/>
    <w:rsid w:val="00EC4D6A"/>
    <w:rsid w:val="00EC4F0D"/>
    <w:rsid w:val="00EC5045"/>
    <w:rsid w:val="00EC50A7"/>
    <w:rsid w:val="00EC50AF"/>
    <w:rsid w:val="00EC50E4"/>
    <w:rsid w:val="00EC51B2"/>
    <w:rsid w:val="00EC521F"/>
    <w:rsid w:val="00EC5246"/>
    <w:rsid w:val="00EC52A6"/>
    <w:rsid w:val="00EC541D"/>
    <w:rsid w:val="00EC5590"/>
    <w:rsid w:val="00EC5606"/>
    <w:rsid w:val="00EC561E"/>
    <w:rsid w:val="00EC58C4"/>
    <w:rsid w:val="00EC5929"/>
    <w:rsid w:val="00EC5955"/>
    <w:rsid w:val="00EC59A7"/>
    <w:rsid w:val="00EC5A33"/>
    <w:rsid w:val="00EC5A34"/>
    <w:rsid w:val="00EC5A3A"/>
    <w:rsid w:val="00EC5A8C"/>
    <w:rsid w:val="00EC5AE2"/>
    <w:rsid w:val="00EC5B89"/>
    <w:rsid w:val="00EC5BDA"/>
    <w:rsid w:val="00EC5C28"/>
    <w:rsid w:val="00EC5C64"/>
    <w:rsid w:val="00EC5C87"/>
    <w:rsid w:val="00EC5C8B"/>
    <w:rsid w:val="00EC5CAD"/>
    <w:rsid w:val="00EC5D42"/>
    <w:rsid w:val="00EC5D6A"/>
    <w:rsid w:val="00EC5D92"/>
    <w:rsid w:val="00EC5E6A"/>
    <w:rsid w:val="00EC60EB"/>
    <w:rsid w:val="00EC61BB"/>
    <w:rsid w:val="00EC626F"/>
    <w:rsid w:val="00EC6315"/>
    <w:rsid w:val="00EC6361"/>
    <w:rsid w:val="00EC6432"/>
    <w:rsid w:val="00EC6498"/>
    <w:rsid w:val="00EC6774"/>
    <w:rsid w:val="00EC683E"/>
    <w:rsid w:val="00EC6886"/>
    <w:rsid w:val="00EC69BA"/>
    <w:rsid w:val="00EC69CF"/>
    <w:rsid w:val="00EC6B05"/>
    <w:rsid w:val="00EC6BC6"/>
    <w:rsid w:val="00EC6C2F"/>
    <w:rsid w:val="00EC6C7D"/>
    <w:rsid w:val="00EC6D60"/>
    <w:rsid w:val="00EC6D6F"/>
    <w:rsid w:val="00EC6E22"/>
    <w:rsid w:val="00EC6F00"/>
    <w:rsid w:val="00EC6F4F"/>
    <w:rsid w:val="00EC6F7B"/>
    <w:rsid w:val="00EC706A"/>
    <w:rsid w:val="00EC70E0"/>
    <w:rsid w:val="00EC716A"/>
    <w:rsid w:val="00EC7192"/>
    <w:rsid w:val="00EC71A8"/>
    <w:rsid w:val="00EC7470"/>
    <w:rsid w:val="00EC76AC"/>
    <w:rsid w:val="00EC7703"/>
    <w:rsid w:val="00EC7767"/>
    <w:rsid w:val="00EC77D5"/>
    <w:rsid w:val="00EC77E3"/>
    <w:rsid w:val="00EC7848"/>
    <w:rsid w:val="00EC7889"/>
    <w:rsid w:val="00EC7894"/>
    <w:rsid w:val="00EC7A85"/>
    <w:rsid w:val="00EC7C49"/>
    <w:rsid w:val="00EC7CED"/>
    <w:rsid w:val="00EC7D8F"/>
    <w:rsid w:val="00EC7DB5"/>
    <w:rsid w:val="00EC7DDF"/>
    <w:rsid w:val="00EC7E23"/>
    <w:rsid w:val="00EC7EE1"/>
    <w:rsid w:val="00EC7F0B"/>
    <w:rsid w:val="00ED0002"/>
    <w:rsid w:val="00ED007E"/>
    <w:rsid w:val="00ED02C5"/>
    <w:rsid w:val="00ED02D2"/>
    <w:rsid w:val="00ED02E6"/>
    <w:rsid w:val="00ED0727"/>
    <w:rsid w:val="00ED096E"/>
    <w:rsid w:val="00ED0996"/>
    <w:rsid w:val="00ED0AD3"/>
    <w:rsid w:val="00ED0B1B"/>
    <w:rsid w:val="00ED0BE6"/>
    <w:rsid w:val="00ED0C16"/>
    <w:rsid w:val="00ED0CDB"/>
    <w:rsid w:val="00ED0CF3"/>
    <w:rsid w:val="00ED0E0C"/>
    <w:rsid w:val="00ED0E0E"/>
    <w:rsid w:val="00ED0E9A"/>
    <w:rsid w:val="00ED0F56"/>
    <w:rsid w:val="00ED1342"/>
    <w:rsid w:val="00ED13A6"/>
    <w:rsid w:val="00ED13EE"/>
    <w:rsid w:val="00ED13EF"/>
    <w:rsid w:val="00ED1479"/>
    <w:rsid w:val="00ED1687"/>
    <w:rsid w:val="00ED16B3"/>
    <w:rsid w:val="00ED1717"/>
    <w:rsid w:val="00ED1766"/>
    <w:rsid w:val="00ED1793"/>
    <w:rsid w:val="00ED1917"/>
    <w:rsid w:val="00ED19FB"/>
    <w:rsid w:val="00ED1A8A"/>
    <w:rsid w:val="00ED1A91"/>
    <w:rsid w:val="00ED1AA0"/>
    <w:rsid w:val="00ED1AF9"/>
    <w:rsid w:val="00ED1B61"/>
    <w:rsid w:val="00ED1D12"/>
    <w:rsid w:val="00ED1E66"/>
    <w:rsid w:val="00ED1E76"/>
    <w:rsid w:val="00ED1EA5"/>
    <w:rsid w:val="00ED1EFE"/>
    <w:rsid w:val="00ED2010"/>
    <w:rsid w:val="00ED202A"/>
    <w:rsid w:val="00ED20BD"/>
    <w:rsid w:val="00ED20ED"/>
    <w:rsid w:val="00ED21D7"/>
    <w:rsid w:val="00ED21DC"/>
    <w:rsid w:val="00ED2212"/>
    <w:rsid w:val="00ED221E"/>
    <w:rsid w:val="00ED222F"/>
    <w:rsid w:val="00ED22ED"/>
    <w:rsid w:val="00ED23C3"/>
    <w:rsid w:val="00ED2407"/>
    <w:rsid w:val="00ED2419"/>
    <w:rsid w:val="00ED2490"/>
    <w:rsid w:val="00ED24C9"/>
    <w:rsid w:val="00ED24CC"/>
    <w:rsid w:val="00ED2539"/>
    <w:rsid w:val="00ED2544"/>
    <w:rsid w:val="00ED2628"/>
    <w:rsid w:val="00ED2647"/>
    <w:rsid w:val="00ED2684"/>
    <w:rsid w:val="00ED278A"/>
    <w:rsid w:val="00ED27CC"/>
    <w:rsid w:val="00ED27D9"/>
    <w:rsid w:val="00ED2864"/>
    <w:rsid w:val="00ED291E"/>
    <w:rsid w:val="00ED2987"/>
    <w:rsid w:val="00ED29DA"/>
    <w:rsid w:val="00ED29DF"/>
    <w:rsid w:val="00ED29EE"/>
    <w:rsid w:val="00ED2B8D"/>
    <w:rsid w:val="00ED2B9E"/>
    <w:rsid w:val="00ED2C3E"/>
    <w:rsid w:val="00ED2D98"/>
    <w:rsid w:val="00ED2F1B"/>
    <w:rsid w:val="00ED2F50"/>
    <w:rsid w:val="00ED3181"/>
    <w:rsid w:val="00ED31C1"/>
    <w:rsid w:val="00ED31FF"/>
    <w:rsid w:val="00ED32A1"/>
    <w:rsid w:val="00ED331A"/>
    <w:rsid w:val="00ED333F"/>
    <w:rsid w:val="00ED33DC"/>
    <w:rsid w:val="00ED3409"/>
    <w:rsid w:val="00ED34BD"/>
    <w:rsid w:val="00ED3598"/>
    <w:rsid w:val="00ED3619"/>
    <w:rsid w:val="00ED3673"/>
    <w:rsid w:val="00ED3699"/>
    <w:rsid w:val="00ED3718"/>
    <w:rsid w:val="00ED371F"/>
    <w:rsid w:val="00ED37E8"/>
    <w:rsid w:val="00ED38DA"/>
    <w:rsid w:val="00ED3901"/>
    <w:rsid w:val="00ED3A32"/>
    <w:rsid w:val="00ED3A6D"/>
    <w:rsid w:val="00ED3BC7"/>
    <w:rsid w:val="00ED3E31"/>
    <w:rsid w:val="00ED3E53"/>
    <w:rsid w:val="00ED3E92"/>
    <w:rsid w:val="00ED3F0A"/>
    <w:rsid w:val="00ED3F14"/>
    <w:rsid w:val="00ED3F57"/>
    <w:rsid w:val="00ED3FFC"/>
    <w:rsid w:val="00ED402F"/>
    <w:rsid w:val="00ED4279"/>
    <w:rsid w:val="00ED4290"/>
    <w:rsid w:val="00ED42EF"/>
    <w:rsid w:val="00ED43B6"/>
    <w:rsid w:val="00ED4626"/>
    <w:rsid w:val="00ED46B6"/>
    <w:rsid w:val="00ED46B8"/>
    <w:rsid w:val="00ED46F0"/>
    <w:rsid w:val="00ED4817"/>
    <w:rsid w:val="00ED4A05"/>
    <w:rsid w:val="00ED4D5F"/>
    <w:rsid w:val="00ED4D91"/>
    <w:rsid w:val="00ED4D98"/>
    <w:rsid w:val="00ED4FBA"/>
    <w:rsid w:val="00ED51B3"/>
    <w:rsid w:val="00ED521C"/>
    <w:rsid w:val="00ED530A"/>
    <w:rsid w:val="00ED5567"/>
    <w:rsid w:val="00ED5738"/>
    <w:rsid w:val="00ED57BC"/>
    <w:rsid w:val="00ED5845"/>
    <w:rsid w:val="00ED58B0"/>
    <w:rsid w:val="00ED59BC"/>
    <w:rsid w:val="00ED59F5"/>
    <w:rsid w:val="00ED5BA8"/>
    <w:rsid w:val="00ED5BD2"/>
    <w:rsid w:val="00ED5DCA"/>
    <w:rsid w:val="00ED5E54"/>
    <w:rsid w:val="00ED5F00"/>
    <w:rsid w:val="00ED5F20"/>
    <w:rsid w:val="00ED5F9B"/>
    <w:rsid w:val="00ED6071"/>
    <w:rsid w:val="00ED63D2"/>
    <w:rsid w:val="00ED63E3"/>
    <w:rsid w:val="00ED63E6"/>
    <w:rsid w:val="00ED652A"/>
    <w:rsid w:val="00ED6593"/>
    <w:rsid w:val="00ED667E"/>
    <w:rsid w:val="00ED6758"/>
    <w:rsid w:val="00ED6775"/>
    <w:rsid w:val="00ED6788"/>
    <w:rsid w:val="00ED67AF"/>
    <w:rsid w:val="00ED681B"/>
    <w:rsid w:val="00ED6867"/>
    <w:rsid w:val="00ED68B6"/>
    <w:rsid w:val="00ED6A20"/>
    <w:rsid w:val="00ED6B7D"/>
    <w:rsid w:val="00ED6CD4"/>
    <w:rsid w:val="00ED6D21"/>
    <w:rsid w:val="00ED6D29"/>
    <w:rsid w:val="00ED6D51"/>
    <w:rsid w:val="00ED6D78"/>
    <w:rsid w:val="00ED6DD1"/>
    <w:rsid w:val="00ED6E44"/>
    <w:rsid w:val="00ED6ECD"/>
    <w:rsid w:val="00ED6EEA"/>
    <w:rsid w:val="00ED6FE6"/>
    <w:rsid w:val="00ED7036"/>
    <w:rsid w:val="00ED703D"/>
    <w:rsid w:val="00ED711A"/>
    <w:rsid w:val="00ED713B"/>
    <w:rsid w:val="00ED715C"/>
    <w:rsid w:val="00ED7245"/>
    <w:rsid w:val="00ED726E"/>
    <w:rsid w:val="00ED727D"/>
    <w:rsid w:val="00ED734A"/>
    <w:rsid w:val="00ED74E5"/>
    <w:rsid w:val="00ED768D"/>
    <w:rsid w:val="00ED76AB"/>
    <w:rsid w:val="00ED76EA"/>
    <w:rsid w:val="00ED7735"/>
    <w:rsid w:val="00ED778A"/>
    <w:rsid w:val="00ED77F3"/>
    <w:rsid w:val="00ED7897"/>
    <w:rsid w:val="00ED7AF6"/>
    <w:rsid w:val="00ED7B41"/>
    <w:rsid w:val="00ED7B73"/>
    <w:rsid w:val="00ED7BA4"/>
    <w:rsid w:val="00ED7BFF"/>
    <w:rsid w:val="00ED7CDB"/>
    <w:rsid w:val="00ED7D69"/>
    <w:rsid w:val="00ED7DAD"/>
    <w:rsid w:val="00ED7E15"/>
    <w:rsid w:val="00ED7E60"/>
    <w:rsid w:val="00ED7ECB"/>
    <w:rsid w:val="00EE0023"/>
    <w:rsid w:val="00EE008F"/>
    <w:rsid w:val="00EE00DF"/>
    <w:rsid w:val="00EE01F1"/>
    <w:rsid w:val="00EE0273"/>
    <w:rsid w:val="00EE02B8"/>
    <w:rsid w:val="00EE03B2"/>
    <w:rsid w:val="00EE04D5"/>
    <w:rsid w:val="00EE0542"/>
    <w:rsid w:val="00EE05BF"/>
    <w:rsid w:val="00EE05E3"/>
    <w:rsid w:val="00EE05E6"/>
    <w:rsid w:val="00EE0673"/>
    <w:rsid w:val="00EE0685"/>
    <w:rsid w:val="00EE06CE"/>
    <w:rsid w:val="00EE0847"/>
    <w:rsid w:val="00EE08D4"/>
    <w:rsid w:val="00EE09CB"/>
    <w:rsid w:val="00EE09D6"/>
    <w:rsid w:val="00EE09F2"/>
    <w:rsid w:val="00EE0B80"/>
    <w:rsid w:val="00EE0C70"/>
    <w:rsid w:val="00EE0CEE"/>
    <w:rsid w:val="00EE0D24"/>
    <w:rsid w:val="00EE0E48"/>
    <w:rsid w:val="00EE0E5C"/>
    <w:rsid w:val="00EE0E7B"/>
    <w:rsid w:val="00EE0E9C"/>
    <w:rsid w:val="00EE0FB1"/>
    <w:rsid w:val="00EE10D7"/>
    <w:rsid w:val="00EE1353"/>
    <w:rsid w:val="00EE144C"/>
    <w:rsid w:val="00EE1504"/>
    <w:rsid w:val="00EE1648"/>
    <w:rsid w:val="00EE173F"/>
    <w:rsid w:val="00EE18E7"/>
    <w:rsid w:val="00EE1949"/>
    <w:rsid w:val="00EE19F2"/>
    <w:rsid w:val="00EE1B40"/>
    <w:rsid w:val="00EE1C87"/>
    <w:rsid w:val="00EE1DB3"/>
    <w:rsid w:val="00EE1E53"/>
    <w:rsid w:val="00EE1F52"/>
    <w:rsid w:val="00EE1FF6"/>
    <w:rsid w:val="00EE2005"/>
    <w:rsid w:val="00EE219C"/>
    <w:rsid w:val="00EE21CC"/>
    <w:rsid w:val="00EE2224"/>
    <w:rsid w:val="00EE230E"/>
    <w:rsid w:val="00EE239C"/>
    <w:rsid w:val="00EE23C3"/>
    <w:rsid w:val="00EE249C"/>
    <w:rsid w:val="00EE262B"/>
    <w:rsid w:val="00EE264B"/>
    <w:rsid w:val="00EE2657"/>
    <w:rsid w:val="00EE26ED"/>
    <w:rsid w:val="00EE2785"/>
    <w:rsid w:val="00EE28F2"/>
    <w:rsid w:val="00EE2914"/>
    <w:rsid w:val="00EE2C85"/>
    <w:rsid w:val="00EE2CAB"/>
    <w:rsid w:val="00EE2CDA"/>
    <w:rsid w:val="00EE2DF8"/>
    <w:rsid w:val="00EE2E10"/>
    <w:rsid w:val="00EE2E3B"/>
    <w:rsid w:val="00EE2E5B"/>
    <w:rsid w:val="00EE2F26"/>
    <w:rsid w:val="00EE2FD0"/>
    <w:rsid w:val="00EE3294"/>
    <w:rsid w:val="00EE3313"/>
    <w:rsid w:val="00EE333B"/>
    <w:rsid w:val="00EE3355"/>
    <w:rsid w:val="00EE33A5"/>
    <w:rsid w:val="00EE33A6"/>
    <w:rsid w:val="00EE3408"/>
    <w:rsid w:val="00EE343F"/>
    <w:rsid w:val="00EE34E3"/>
    <w:rsid w:val="00EE35D8"/>
    <w:rsid w:val="00EE36A0"/>
    <w:rsid w:val="00EE36DC"/>
    <w:rsid w:val="00EE374C"/>
    <w:rsid w:val="00EE37A7"/>
    <w:rsid w:val="00EE3864"/>
    <w:rsid w:val="00EE3868"/>
    <w:rsid w:val="00EE38C9"/>
    <w:rsid w:val="00EE396F"/>
    <w:rsid w:val="00EE3980"/>
    <w:rsid w:val="00EE3982"/>
    <w:rsid w:val="00EE3A59"/>
    <w:rsid w:val="00EE3B1E"/>
    <w:rsid w:val="00EE3BC6"/>
    <w:rsid w:val="00EE3BF2"/>
    <w:rsid w:val="00EE3D1A"/>
    <w:rsid w:val="00EE3D6F"/>
    <w:rsid w:val="00EE3F94"/>
    <w:rsid w:val="00EE3FB8"/>
    <w:rsid w:val="00EE400B"/>
    <w:rsid w:val="00EE4088"/>
    <w:rsid w:val="00EE4107"/>
    <w:rsid w:val="00EE414E"/>
    <w:rsid w:val="00EE41B0"/>
    <w:rsid w:val="00EE41C7"/>
    <w:rsid w:val="00EE4248"/>
    <w:rsid w:val="00EE42EF"/>
    <w:rsid w:val="00EE42F6"/>
    <w:rsid w:val="00EE4458"/>
    <w:rsid w:val="00EE4475"/>
    <w:rsid w:val="00EE4485"/>
    <w:rsid w:val="00EE4502"/>
    <w:rsid w:val="00EE45AE"/>
    <w:rsid w:val="00EE483E"/>
    <w:rsid w:val="00EE4885"/>
    <w:rsid w:val="00EE48E4"/>
    <w:rsid w:val="00EE491F"/>
    <w:rsid w:val="00EE4957"/>
    <w:rsid w:val="00EE4A78"/>
    <w:rsid w:val="00EE4D2E"/>
    <w:rsid w:val="00EE4F46"/>
    <w:rsid w:val="00EE4F95"/>
    <w:rsid w:val="00EE5015"/>
    <w:rsid w:val="00EE528C"/>
    <w:rsid w:val="00EE5303"/>
    <w:rsid w:val="00EE530F"/>
    <w:rsid w:val="00EE53BC"/>
    <w:rsid w:val="00EE53BD"/>
    <w:rsid w:val="00EE53F4"/>
    <w:rsid w:val="00EE5436"/>
    <w:rsid w:val="00EE55DD"/>
    <w:rsid w:val="00EE5631"/>
    <w:rsid w:val="00EE569B"/>
    <w:rsid w:val="00EE56A3"/>
    <w:rsid w:val="00EE56D8"/>
    <w:rsid w:val="00EE57EA"/>
    <w:rsid w:val="00EE5851"/>
    <w:rsid w:val="00EE59BC"/>
    <w:rsid w:val="00EE5ABC"/>
    <w:rsid w:val="00EE5AC5"/>
    <w:rsid w:val="00EE5AD9"/>
    <w:rsid w:val="00EE5B2E"/>
    <w:rsid w:val="00EE5C59"/>
    <w:rsid w:val="00EE5D6C"/>
    <w:rsid w:val="00EE5DAB"/>
    <w:rsid w:val="00EE5DD7"/>
    <w:rsid w:val="00EE5DEA"/>
    <w:rsid w:val="00EE5DEB"/>
    <w:rsid w:val="00EE5E53"/>
    <w:rsid w:val="00EE5E5C"/>
    <w:rsid w:val="00EE5F64"/>
    <w:rsid w:val="00EE5F6C"/>
    <w:rsid w:val="00EE5FCA"/>
    <w:rsid w:val="00EE5FE6"/>
    <w:rsid w:val="00EE6031"/>
    <w:rsid w:val="00EE606E"/>
    <w:rsid w:val="00EE6142"/>
    <w:rsid w:val="00EE6269"/>
    <w:rsid w:val="00EE629E"/>
    <w:rsid w:val="00EE6381"/>
    <w:rsid w:val="00EE63D0"/>
    <w:rsid w:val="00EE63E8"/>
    <w:rsid w:val="00EE6425"/>
    <w:rsid w:val="00EE6440"/>
    <w:rsid w:val="00EE64C9"/>
    <w:rsid w:val="00EE64F0"/>
    <w:rsid w:val="00EE6513"/>
    <w:rsid w:val="00EE655F"/>
    <w:rsid w:val="00EE65AE"/>
    <w:rsid w:val="00EE67A7"/>
    <w:rsid w:val="00EE67E5"/>
    <w:rsid w:val="00EE6840"/>
    <w:rsid w:val="00EE6856"/>
    <w:rsid w:val="00EE6866"/>
    <w:rsid w:val="00EE6A18"/>
    <w:rsid w:val="00EE6AD1"/>
    <w:rsid w:val="00EE6BA7"/>
    <w:rsid w:val="00EE6C4E"/>
    <w:rsid w:val="00EE6DC7"/>
    <w:rsid w:val="00EE6E19"/>
    <w:rsid w:val="00EE6E5A"/>
    <w:rsid w:val="00EE6EBA"/>
    <w:rsid w:val="00EE6F9B"/>
    <w:rsid w:val="00EE7041"/>
    <w:rsid w:val="00EE733A"/>
    <w:rsid w:val="00EE736D"/>
    <w:rsid w:val="00EE7555"/>
    <w:rsid w:val="00EE7558"/>
    <w:rsid w:val="00EE757E"/>
    <w:rsid w:val="00EE77DD"/>
    <w:rsid w:val="00EE77F1"/>
    <w:rsid w:val="00EE78B1"/>
    <w:rsid w:val="00EE791A"/>
    <w:rsid w:val="00EE7A3F"/>
    <w:rsid w:val="00EE7A5B"/>
    <w:rsid w:val="00EE7A75"/>
    <w:rsid w:val="00EE7A8C"/>
    <w:rsid w:val="00EE7B8F"/>
    <w:rsid w:val="00EE7BBC"/>
    <w:rsid w:val="00EE7C3E"/>
    <w:rsid w:val="00EE7C52"/>
    <w:rsid w:val="00EE7D29"/>
    <w:rsid w:val="00EE7EF0"/>
    <w:rsid w:val="00EE7F3B"/>
    <w:rsid w:val="00EF00F1"/>
    <w:rsid w:val="00EF0130"/>
    <w:rsid w:val="00EF0193"/>
    <w:rsid w:val="00EF0212"/>
    <w:rsid w:val="00EF027B"/>
    <w:rsid w:val="00EF03EF"/>
    <w:rsid w:val="00EF041D"/>
    <w:rsid w:val="00EF0531"/>
    <w:rsid w:val="00EF082D"/>
    <w:rsid w:val="00EF084C"/>
    <w:rsid w:val="00EF0851"/>
    <w:rsid w:val="00EF089D"/>
    <w:rsid w:val="00EF0909"/>
    <w:rsid w:val="00EF09E6"/>
    <w:rsid w:val="00EF0ABC"/>
    <w:rsid w:val="00EF0B42"/>
    <w:rsid w:val="00EF0BD5"/>
    <w:rsid w:val="00EF0BFA"/>
    <w:rsid w:val="00EF0C86"/>
    <w:rsid w:val="00EF0C8C"/>
    <w:rsid w:val="00EF0CEF"/>
    <w:rsid w:val="00EF0F4B"/>
    <w:rsid w:val="00EF0FBB"/>
    <w:rsid w:val="00EF10FB"/>
    <w:rsid w:val="00EF1123"/>
    <w:rsid w:val="00EF11A6"/>
    <w:rsid w:val="00EF1237"/>
    <w:rsid w:val="00EF1255"/>
    <w:rsid w:val="00EF12FC"/>
    <w:rsid w:val="00EF1328"/>
    <w:rsid w:val="00EF132E"/>
    <w:rsid w:val="00EF152A"/>
    <w:rsid w:val="00EF15DB"/>
    <w:rsid w:val="00EF16FC"/>
    <w:rsid w:val="00EF1742"/>
    <w:rsid w:val="00EF1808"/>
    <w:rsid w:val="00EF18A0"/>
    <w:rsid w:val="00EF1982"/>
    <w:rsid w:val="00EF19BF"/>
    <w:rsid w:val="00EF1A9F"/>
    <w:rsid w:val="00EF1ACF"/>
    <w:rsid w:val="00EF1B02"/>
    <w:rsid w:val="00EF1BDB"/>
    <w:rsid w:val="00EF1C4E"/>
    <w:rsid w:val="00EF1CC1"/>
    <w:rsid w:val="00EF1CDC"/>
    <w:rsid w:val="00EF1E2A"/>
    <w:rsid w:val="00EF1EAF"/>
    <w:rsid w:val="00EF1F09"/>
    <w:rsid w:val="00EF1F31"/>
    <w:rsid w:val="00EF2226"/>
    <w:rsid w:val="00EF22FD"/>
    <w:rsid w:val="00EF2300"/>
    <w:rsid w:val="00EF25E8"/>
    <w:rsid w:val="00EF264C"/>
    <w:rsid w:val="00EF2844"/>
    <w:rsid w:val="00EF2995"/>
    <w:rsid w:val="00EF29BE"/>
    <w:rsid w:val="00EF29E1"/>
    <w:rsid w:val="00EF2A5A"/>
    <w:rsid w:val="00EF2B72"/>
    <w:rsid w:val="00EF2C50"/>
    <w:rsid w:val="00EF2C6D"/>
    <w:rsid w:val="00EF2CC8"/>
    <w:rsid w:val="00EF2E38"/>
    <w:rsid w:val="00EF2F8C"/>
    <w:rsid w:val="00EF2FD1"/>
    <w:rsid w:val="00EF2FEE"/>
    <w:rsid w:val="00EF31BB"/>
    <w:rsid w:val="00EF329F"/>
    <w:rsid w:val="00EF32AF"/>
    <w:rsid w:val="00EF333A"/>
    <w:rsid w:val="00EF33AF"/>
    <w:rsid w:val="00EF343E"/>
    <w:rsid w:val="00EF345E"/>
    <w:rsid w:val="00EF3478"/>
    <w:rsid w:val="00EF34DB"/>
    <w:rsid w:val="00EF350F"/>
    <w:rsid w:val="00EF35F5"/>
    <w:rsid w:val="00EF35FC"/>
    <w:rsid w:val="00EF36B9"/>
    <w:rsid w:val="00EF370A"/>
    <w:rsid w:val="00EF3752"/>
    <w:rsid w:val="00EF3760"/>
    <w:rsid w:val="00EF3852"/>
    <w:rsid w:val="00EF3889"/>
    <w:rsid w:val="00EF38D6"/>
    <w:rsid w:val="00EF393D"/>
    <w:rsid w:val="00EF39E7"/>
    <w:rsid w:val="00EF3AA9"/>
    <w:rsid w:val="00EF3ADF"/>
    <w:rsid w:val="00EF3B2A"/>
    <w:rsid w:val="00EF3B7B"/>
    <w:rsid w:val="00EF3BD4"/>
    <w:rsid w:val="00EF3C6C"/>
    <w:rsid w:val="00EF3D4B"/>
    <w:rsid w:val="00EF3D5D"/>
    <w:rsid w:val="00EF3D9D"/>
    <w:rsid w:val="00EF3DA1"/>
    <w:rsid w:val="00EF3DC7"/>
    <w:rsid w:val="00EF3DEF"/>
    <w:rsid w:val="00EF3E2E"/>
    <w:rsid w:val="00EF3F06"/>
    <w:rsid w:val="00EF3F42"/>
    <w:rsid w:val="00EF3F74"/>
    <w:rsid w:val="00EF3FF7"/>
    <w:rsid w:val="00EF4006"/>
    <w:rsid w:val="00EF406B"/>
    <w:rsid w:val="00EF410C"/>
    <w:rsid w:val="00EF4153"/>
    <w:rsid w:val="00EF4246"/>
    <w:rsid w:val="00EF42D5"/>
    <w:rsid w:val="00EF42D8"/>
    <w:rsid w:val="00EF42DB"/>
    <w:rsid w:val="00EF431D"/>
    <w:rsid w:val="00EF436D"/>
    <w:rsid w:val="00EF4589"/>
    <w:rsid w:val="00EF45B3"/>
    <w:rsid w:val="00EF4610"/>
    <w:rsid w:val="00EF46FF"/>
    <w:rsid w:val="00EF472A"/>
    <w:rsid w:val="00EF4826"/>
    <w:rsid w:val="00EF4970"/>
    <w:rsid w:val="00EF4994"/>
    <w:rsid w:val="00EF49E7"/>
    <w:rsid w:val="00EF4A87"/>
    <w:rsid w:val="00EF4AB6"/>
    <w:rsid w:val="00EF4AB9"/>
    <w:rsid w:val="00EF4ABC"/>
    <w:rsid w:val="00EF4B28"/>
    <w:rsid w:val="00EF4B32"/>
    <w:rsid w:val="00EF4C3F"/>
    <w:rsid w:val="00EF4C47"/>
    <w:rsid w:val="00EF4CAD"/>
    <w:rsid w:val="00EF4D4B"/>
    <w:rsid w:val="00EF4FCF"/>
    <w:rsid w:val="00EF4FFC"/>
    <w:rsid w:val="00EF504C"/>
    <w:rsid w:val="00EF50A4"/>
    <w:rsid w:val="00EF51AE"/>
    <w:rsid w:val="00EF52A3"/>
    <w:rsid w:val="00EF5484"/>
    <w:rsid w:val="00EF55D4"/>
    <w:rsid w:val="00EF5626"/>
    <w:rsid w:val="00EF564F"/>
    <w:rsid w:val="00EF581E"/>
    <w:rsid w:val="00EF5892"/>
    <w:rsid w:val="00EF58BA"/>
    <w:rsid w:val="00EF5920"/>
    <w:rsid w:val="00EF5973"/>
    <w:rsid w:val="00EF5ABF"/>
    <w:rsid w:val="00EF5BA4"/>
    <w:rsid w:val="00EF5BE2"/>
    <w:rsid w:val="00EF5D2F"/>
    <w:rsid w:val="00EF5D64"/>
    <w:rsid w:val="00EF5DC1"/>
    <w:rsid w:val="00EF5DDF"/>
    <w:rsid w:val="00EF5F71"/>
    <w:rsid w:val="00EF6198"/>
    <w:rsid w:val="00EF621F"/>
    <w:rsid w:val="00EF62A2"/>
    <w:rsid w:val="00EF630B"/>
    <w:rsid w:val="00EF6368"/>
    <w:rsid w:val="00EF64DF"/>
    <w:rsid w:val="00EF64F4"/>
    <w:rsid w:val="00EF6528"/>
    <w:rsid w:val="00EF656E"/>
    <w:rsid w:val="00EF6871"/>
    <w:rsid w:val="00EF690E"/>
    <w:rsid w:val="00EF6919"/>
    <w:rsid w:val="00EF69EF"/>
    <w:rsid w:val="00EF6A7D"/>
    <w:rsid w:val="00EF6A87"/>
    <w:rsid w:val="00EF6A8E"/>
    <w:rsid w:val="00EF6BFB"/>
    <w:rsid w:val="00EF6C49"/>
    <w:rsid w:val="00EF6CC4"/>
    <w:rsid w:val="00EF6E09"/>
    <w:rsid w:val="00EF6E0C"/>
    <w:rsid w:val="00EF6E65"/>
    <w:rsid w:val="00EF6FD0"/>
    <w:rsid w:val="00EF71B6"/>
    <w:rsid w:val="00EF723B"/>
    <w:rsid w:val="00EF7246"/>
    <w:rsid w:val="00EF7313"/>
    <w:rsid w:val="00EF7380"/>
    <w:rsid w:val="00EF7391"/>
    <w:rsid w:val="00EF7453"/>
    <w:rsid w:val="00EF75BE"/>
    <w:rsid w:val="00EF76D5"/>
    <w:rsid w:val="00EF773C"/>
    <w:rsid w:val="00EF7819"/>
    <w:rsid w:val="00EF7892"/>
    <w:rsid w:val="00EF78DD"/>
    <w:rsid w:val="00EF78F6"/>
    <w:rsid w:val="00EF7934"/>
    <w:rsid w:val="00EF7ABE"/>
    <w:rsid w:val="00EF7C53"/>
    <w:rsid w:val="00EF7CA1"/>
    <w:rsid w:val="00EF7D82"/>
    <w:rsid w:val="00EF7DDD"/>
    <w:rsid w:val="00EF7F40"/>
    <w:rsid w:val="00EF7FF3"/>
    <w:rsid w:val="00F00148"/>
    <w:rsid w:val="00F0017C"/>
    <w:rsid w:val="00F00225"/>
    <w:rsid w:val="00F0031C"/>
    <w:rsid w:val="00F003E8"/>
    <w:rsid w:val="00F004AE"/>
    <w:rsid w:val="00F00524"/>
    <w:rsid w:val="00F00782"/>
    <w:rsid w:val="00F0089E"/>
    <w:rsid w:val="00F008FE"/>
    <w:rsid w:val="00F00971"/>
    <w:rsid w:val="00F00A46"/>
    <w:rsid w:val="00F00B45"/>
    <w:rsid w:val="00F00BE5"/>
    <w:rsid w:val="00F00C9B"/>
    <w:rsid w:val="00F00CA3"/>
    <w:rsid w:val="00F00D69"/>
    <w:rsid w:val="00F00D73"/>
    <w:rsid w:val="00F00DD4"/>
    <w:rsid w:val="00F00E10"/>
    <w:rsid w:val="00F00E5B"/>
    <w:rsid w:val="00F00EE6"/>
    <w:rsid w:val="00F00EF0"/>
    <w:rsid w:val="00F0111F"/>
    <w:rsid w:val="00F0112E"/>
    <w:rsid w:val="00F01230"/>
    <w:rsid w:val="00F012AC"/>
    <w:rsid w:val="00F01385"/>
    <w:rsid w:val="00F0139D"/>
    <w:rsid w:val="00F013D9"/>
    <w:rsid w:val="00F013FE"/>
    <w:rsid w:val="00F0141F"/>
    <w:rsid w:val="00F0158D"/>
    <w:rsid w:val="00F01610"/>
    <w:rsid w:val="00F016AE"/>
    <w:rsid w:val="00F017FB"/>
    <w:rsid w:val="00F01855"/>
    <w:rsid w:val="00F01905"/>
    <w:rsid w:val="00F01A2C"/>
    <w:rsid w:val="00F01AD2"/>
    <w:rsid w:val="00F01D70"/>
    <w:rsid w:val="00F01DAD"/>
    <w:rsid w:val="00F01DB9"/>
    <w:rsid w:val="00F01DCA"/>
    <w:rsid w:val="00F01E42"/>
    <w:rsid w:val="00F01EC7"/>
    <w:rsid w:val="00F01EEB"/>
    <w:rsid w:val="00F01F46"/>
    <w:rsid w:val="00F01FF5"/>
    <w:rsid w:val="00F0219F"/>
    <w:rsid w:val="00F0224A"/>
    <w:rsid w:val="00F02329"/>
    <w:rsid w:val="00F023E6"/>
    <w:rsid w:val="00F02403"/>
    <w:rsid w:val="00F02628"/>
    <w:rsid w:val="00F0275A"/>
    <w:rsid w:val="00F027D9"/>
    <w:rsid w:val="00F02879"/>
    <w:rsid w:val="00F028F6"/>
    <w:rsid w:val="00F02909"/>
    <w:rsid w:val="00F02946"/>
    <w:rsid w:val="00F0299B"/>
    <w:rsid w:val="00F029C5"/>
    <w:rsid w:val="00F02A55"/>
    <w:rsid w:val="00F02AEC"/>
    <w:rsid w:val="00F02B87"/>
    <w:rsid w:val="00F02B9B"/>
    <w:rsid w:val="00F02BA8"/>
    <w:rsid w:val="00F02BB4"/>
    <w:rsid w:val="00F02D26"/>
    <w:rsid w:val="00F02D98"/>
    <w:rsid w:val="00F02EFA"/>
    <w:rsid w:val="00F02F1F"/>
    <w:rsid w:val="00F0305B"/>
    <w:rsid w:val="00F0313F"/>
    <w:rsid w:val="00F03386"/>
    <w:rsid w:val="00F0344A"/>
    <w:rsid w:val="00F035C8"/>
    <w:rsid w:val="00F0365F"/>
    <w:rsid w:val="00F036D6"/>
    <w:rsid w:val="00F03719"/>
    <w:rsid w:val="00F03913"/>
    <w:rsid w:val="00F03979"/>
    <w:rsid w:val="00F03A5E"/>
    <w:rsid w:val="00F03A70"/>
    <w:rsid w:val="00F03BD0"/>
    <w:rsid w:val="00F03C51"/>
    <w:rsid w:val="00F03C8A"/>
    <w:rsid w:val="00F03D6B"/>
    <w:rsid w:val="00F03DF5"/>
    <w:rsid w:val="00F03E3B"/>
    <w:rsid w:val="00F03E42"/>
    <w:rsid w:val="00F03EB2"/>
    <w:rsid w:val="00F03EF7"/>
    <w:rsid w:val="00F040B2"/>
    <w:rsid w:val="00F040B7"/>
    <w:rsid w:val="00F0418C"/>
    <w:rsid w:val="00F041B5"/>
    <w:rsid w:val="00F041E4"/>
    <w:rsid w:val="00F04268"/>
    <w:rsid w:val="00F042F8"/>
    <w:rsid w:val="00F0430E"/>
    <w:rsid w:val="00F04618"/>
    <w:rsid w:val="00F0470A"/>
    <w:rsid w:val="00F04823"/>
    <w:rsid w:val="00F04862"/>
    <w:rsid w:val="00F049BB"/>
    <w:rsid w:val="00F04BFE"/>
    <w:rsid w:val="00F04C02"/>
    <w:rsid w:val="00F04C04"/>
    <w:rsid w:val="00F04C98"/>
    <w:rsid w:val="00F04D2B"/>
    <w:rsid w:val="00F04E4A"/>
    <w:rsid w:val="00F04E57"/>
    <w:rsid w:val="00F050BD"/>
    <w:rsid w:val="00F05199"/>
    <w:rsid w:val="00F05212"/>
    <w:rsid w:val="00F052D4"/>
    <w:rsid w:val="00F05317"/>
    <w:rsid w:val="00F053CA"/>
    <w:rsid w:val="00F0548E"/>
    <w:rsid w:val="00F05506"/>
    <w:rsid w:val="00F05562"/>
    <w:rsid w:val="00F055B0"/>
    <w:rsid w:val="00F05642"/>
    <w:rsid w:val="00F0568F"/>
    <w:rsid w:val="00F05690"/>
    <w:rsid w:val="00F0575B"/>
    <w:rsid w:val="00F05760"/>
    <w:rsid w:val="00F057EB"/>
    <w:rsid w:val="00F05996"/>
    <w:rsid w:val="00F059EB"/>
    <w:rsid w:val="00F059FE"/>
    <w:rsid w:val="00F05A39"/>
    <w:rsid w:val="00F05A56"/>
    <w:rsid w:val="00F05ADD"/>
    <w:rsid w:val="00F05B8E"/>
    <w:rsid w:val="00F05C43"/>
    <w:rsid w:val="00F05C63"/>
    <w:rsid w:val="00F05DA6"/>
    <w:rsid w:val="00F05E36"/>
    <w:rsid w:val="00F05F03"/>
    <w:rsid w:val="00F06005"/>
    <w:rsid w:val="00F0600A"/>
    <w:rsid w:val="00F060B8"/>
    <w:rsid w:val="00F060CC"/>
    <w:rsid w:val="00F060D9"/>
    <w:rsid w:val="00F060E6"/>
    <w:rsid w:val="00F0620B"/>
    <w:rsid w:val="00F0630D"/>
    <w:rsid w:val="00F0632B"/>
    <w:rsid w:val="00F063D7"/>
    <w:rsid w:val="00F065E1"/>
    <w:rsid w:val="00F0674B"/>
    <w:rsid w:val="00F0688A"/>
    <w:rsid w:val="00F0692B"/>
    <w:rsid w:val="00F06988"/>
    <w:rsid w:val="00F06A7B"/>
    <w:rsid w:val="00F06AB8"/>
    <w:rsid w:val="00F06B5C"/>
    <w:rsid w:val="00F06B8E"/>
    <w:rsid w:val="00F06BFA"/>
    <w:rsid w:val="00F06C10"/>
    <w:rsid w:val="00F06C4C"/>
    <w:rsid w:val="00F06C63"/>
    <w:rsid w:val="00F06C81"/>
    <w:rsid w:val="00F06C88"/>
    <w:rsid w:val="00F06DE1"/>
    <w:rsid w:val="00F070B4"/>
    <w:rsid w:val="00F070D8"/>
    <w:rsid w:val="00F07121"/>
    <w:rsid w:val="00F0722A"/>
    <w:rsid w:val="00F07275"/>
    <w:rsid w:val="00F07288"/>
    <w:rsid w:val="00F07399"/>
    <w:rsid w:val="00F0745D"/>
    <w:rsid w:val="00F074B2"/>
    <w:rsid w:val="00F07510"/>
    <w:rsid w:val="00F07695"/>
    <w:rsid w:val="00F07756"/>
    <w:rsid w:val="00F07761"/>
    <w:rsid w:val="00F07796"/>
    <w:rsid w:val="00F07821"/>
    <w:rsid w:val="00F07904"/>
    <w:rsid w:val="00F07978"/>
    <w:rsid w:val="00F079C5"/>
    <w:rsid w:val="00F07A03"/>
    <w:rsid w:val="00F07B69"/>
    <w:rsid w:val="00F07B79"/>
    <w:rsid w:val="00F07B87"/>
    <w:rsid w:val="00F07CAD"/>
    <w:rsid w:val="00F100B4"/>
    <w:rsid w:val="00F10342"/>
    <w:rsid w:val="00F1041D"/>
    <w:rsid w:val="00F10454"/>
    <w:rsid w:val="00F104E0"/>
    <w:rsid w:val="00F106FF"/>
    <w:rsid w:val="00F1074C"/>
    <w:rsid w:val="00F10772"/>
    <w:rsid w:val="00F1078E"/>
    <w:rsid w:val="00F10868"/>
    <w:rsid w:val="00F1090A"/>
    <w:rsid w:val="00F1090E"/>
    <w:rsid w:val="00F10A9B"/>
    <w:rsid w:val="00F10B59"/>
    <w:rsid w:val="00F10BEA"/>
    <w:rsid w:val="00F10C3F"/>
    <w:rsid w:val="00F10C55"/>
    <w:rsid w:val="00F10C88"/>
    <w:rsid w:val="00F10D19"/>
    <w:rsid w:val="00F10D3E"/>
    <w:rsid w:val="00F10FF9"/>
    <w:rsid w:val="00F11056"/>
    <w:rsid w:val="00F110C2"/>
    <w:rsid w:val="00F11195"/>
    <w:rsid w:val="00F111D0"/>
    <w:rsid w:val="00F11242"/>
    <w:rsid w:val="00F11289"/>
    <w:rsid w:val="00F112D1"/>
    <w:rsid w:val="00F11327"/>
    <w:rsid w:val="00F11343"/>
    <w:rsid w:val="00F11418"/>
    <w:rsid w:val="00F1141A"/>
    <w:rsid w:val="00F114ED"/>
    <w:rsid w:val="00F11549"/>
    <w:rsid w:val="00F11551"/>
    <w:rsid w:val="00F11647"/>
    <w:rsid w:val="00F116BC"/>
    <w:rsid w:val="00F116D1"/>
    <w:rsid w:val="00F116D6"/>
    <w:rsid w:val="00F11834"/>
    <w:rsid w:val="00F11C00"/>
    <w:rsid w:val="00F11C3A"/>
    <w:rsid w:val="00F11C4B"/>
    <w:rsid w:val="00F11C58"/>
    <w:rsid w:val="00F11C81"/>
    <w:rsid w:val="00F11CA5"/>
    <w:rsid w:val="00F11CC1"/>
    <w:rsid w:val="00F11D0A"/>
    <w:rsid w:val="00F11D29"/>
    <w:rsid w:val="00F11DA6"/>
    <w:rsid w:val="00F11DD2"/>
    <w:rsid w:val="00F11EAE"/>
    <w:rsid w:val="00F12045"/>
    <w:rsid w:val="00F1204E"/>
    <w:rsid w:val="00F12236"/>
    <w:rsid w:val="00F123F4"/>
    <w:rsid w:val="00F125FA"/>
    <w:rsid w:val="00F12615"/>
    <w:rsid w:val="00F1271C"/>
    <w:rsid w:val="00F12722"/>
    <w:rsid w:val="00F127ED"/>
    <w:rsid w:val="00F1286A"/>
    <w:rsid w:val="00F12877"/>
    <w:rsid w:val="00F12928"/>
    <w:rsid w:val="00F12937"/>
    <w:rsid w:val="00F1293E"/>
    <w:rsid w:val="00F12B0C"/>
    <w:rsid w:val="00F12B96"/>
    <w:rsid w:val="00F12BDD"/>
    <w:rsid w:val="00F12BE4"/>
    <w:rsid w:val="00F12C82"/>
    <w:rsid w:val="00F12CCB"/>
    <w:rsid w:val="00F12DC8"/>
    <w:rsid w:val="00F12F86"/>
    <w:rsid w:val="00F12FAD"/>
    <w:rsid w:val="00F12FD6"/>
    <w:rsid w:val="00F12FEB"/>
    <w:rsid w:val="00F12FF2"/>
    <w:rsid w:val="00F13168"/>
    <w:rsid w:val="00F1318F"/>
    <w:rsid w:val="00F13337"/>
    <w:rsid w:val="00F133A7"/>
    <w:rsid w:val="00F13406"/>
    <w:rsid w:val="00F134A8"/>
    <w:rsid w:val="00F134B4"/>
    <w:rsid w:val="00F1353A"/>
    <w:rsid w:val="00F1361C"/>
    <w:rsid w:val="00F13633"/>
    <w:rsid w:val="00F136E5"/>
    <w:rsid w:val="00F1372F"/>
    <w:rsid w:val="00F137E7"/>
    <w:rsid w:val="00F13829"/>
    <w:rsid w:val="00F13878"/>
    <w:rsid w:val="00F138F3"/>
    <w:rsid w:val="00F1394D"/>
    <w:rsid w:val="00F13977"/>
    <w:rsid w:val="00F139BA"/>
    <w:rsid w:val="00F139EF"/>
    <w:rsid w:val="00F13A2E"/>
    <w:rsid w:val="00F13A83"/>
    <w:rsid w:val="00F13AAC"/>
    <w:rsid w:val="00F13B51"/>
    <w:rsid w:val="00F13BAA"/>
    <w:rsid w:val="00F13C0E"/>
    <w:rsid w:val="00F13CC2"/>
    <w:rsid w:val="00F13D0A"/>
    <w:rsid w:val="00F13DD0"/>
    <w:rsid w:val="00F13F7A"/>
    <w:rsid w:val="00F1413B"/>
    <w:rsid w:val="00F14171"/>
    <w:rsid w:val="00F1419A"/>
    <w:rsid w:val="00F141C1"/>
    <w:rsid w:val="00F1421F"/>
    <w:rsid w:val="00F143B0"/>
    <w:rsid w:val="00F1444C"/>
    <w:rsid w:val="00F144B8"/>
    <w:rsid w:val="00F144D0"/>
    <w:rsid w:val="00F1457D"/>
    <w:rsid w:val="00F147F7"/>
    <w:rsid w:val="00F14855"/>
    <w:rsid w:val="00F14910"/>
    <w:rsid w:val="00F1491E"/>
    <w:rsid w:val="00F14A93"/>
    <w:rsid w:val="00F14CA4"/>
    <w:rsid w:val="00F14CB8"/>
    <w:rsid w:val="00F14E67"/>
    <w:rsid w:val="00F14E6A"/>
    <w:rsid w:val="00F14E85"/>
    <w:rsid w:val="00F14E98"/>
    <w:rsid w:val="00F14EDE"/>
    <w:rsid w:val="00F14EE0"/>
    <w:rsid w:val="00F15029"/>
    <w:rsid w:val="00F1507F"/>
    <w:rsid w:val="00F1509D"/>
    <w:rsid w:val="00F150AF"/>
    <w:rsid w:val="00F1513B"/>
    <w:rsid w:val="00F1517E"/>
    <w:rsid w:val="00F15264"/>
    <w:rsid w:val="00F1529A"/>
    <w:rsid w:val="00F153C0"/>
    <w:rsid w:val="00F153FA"/>
    <w:rsid w:val="00F15628"/>
    <w:rsid w:val="00F1582A"/>
    <w:rsid w:val="00F1598E"/>
    <w:rsid w:val="00F1599E"/>
    <w:rsid w:val="00F15A32"/>
    <w:rsid w:val="00F15A75"/>
    <w:rsid w:val="00F15A97"/>
    <w:rsid w:val="00F15B8C"/>
    <w:rsid w:val="00F15B95"/>
    <w:rsid w:val="00F15DB8"/>
    <w:rsid w:val="00F15E3A"/>
    <w:rsid w:val="00F15E6B"/>
    <w:rsid w:val="00F15E80"/>
    <w:rsid w:val="00F15F1B"/>
    <w:rsid w:val="00F15FA5"/>
    <w:rsid w:val="00F1606A"/>
    <w:rsid w:val="00F160AB"/>
    <w:rsid w:val="00F160DD"/>
    <w:rsid w:val="00F160F5"/>
    <w:rsid w:val="00F1611D"/>
    <w:rsid w:val="00F162A0"/>
    <w:rsid w:val="00F162EB"/>
    <w:rsid w:val="00F162FC"/>
    <w:rsid w:val="00F1637E"/>
    <w:rsid w:val="00F163D6"/>
    <w:rsid w:val="00F163E5"/>
    <w:rsid w:val="00F165F0"/>
    <w:rsid w:val="00F167FF"/>
    <w:rsid w:val="00F16887"/>
    <w:rsid w:val="00F16A4A"/>
    <w:rsid w:val="00F16A54"/>
    <w:rsid w:val="00F16A62"/>
    <w:rsid w:val="00F16AB3"/>
    <w:rsid w:val="00F16BBF"/>
    <w:rsid w:val="00F16CE5"/>
    <w:rsid w:val="00F16D0E"/>
    <w:rsid w:val="00F16D3C"/>
    <w:rsid w:val="00F16E11"/>
    <w:rsid w:val="00F16E4D"/>
    <w:rsid w:val="00F16E9D"/>
    <w:rsid w:val="00F16F84"/>
    <w:rsid w:val="00F16F88"/>
    <w:rsid w:val="00F16FA4"/>
    <w:rsid w:val="00F16FE7"/>
    <w:rsid w:val="00F17025"/>
    <w:rsid w:val="00F17028"/>
    <w:rsid w:val="00F17080"/>
    <w:rsid w:val="00F17136"/>
    <w:rsid w:val="00F17164"/>
    <w:rsid w:val="00F171AD"/>
    <w:rsid w:val="00F17284"/>
    <w:rsid w:val="00F17310"/>
    <w:rsid w:val="00F17313"/>
    <w:rsid w:val="00F174D4"/>
    <w:rsid w:val="00F175DE"/>
    <w:rsid w:val="00F1776C"/>
    <w:rsid w:val="00F177F1"/>
    <w:rsid w:val="00F178AA"/>
    <w:rsid w:val="00F179C8"/>
    <w:rsid w:val="00F17B71"/>
    <w:rsid w:val="00F17B84"/>
    <w:rsid w:val="00F17C08"/>
    <w:rsid w:val="00F17C3E"/>
    <w:rsid w:val="00F17D42"/>
    <w:rsid w:val="00F17DE5"/>
    <w:rsid w:val="00F17E09"/>
    <w:rsid w:val="00F17E2A"/>
    <w:rsid w:val="00F17E5E"/>
    <w:rsid w:val="00F17E60"/>
    <w:rsid w:val="00F17FD6"/>
    <w:rsid w:val="00F20108"/>
    <w:rsid w:val="00F2010A"/>
    <w:rsid w:val="00F20232"/>
    <w:rsid w:val="00F202A9"/>
    <w:rsid w:val="00F20409"/>
    <w:rsid w:val="00F20483"/>
    <w:rsid w:val="00F2051E"/>
    <w:rsid w:val="00F20594"/>
    <w:rsid w:val="00F2070D"/>
    <w:rsid w:val="00F2078D"/>
    <w:rsid w:val="00F20800"/>
    <w:rsid w:val="00F2096A"/>
    <w:rsid w:val="00F20A1E"/>
    <w:rsid w:val="00F20B29"/>
    <w:rsid w:val="00F20B2C"/>
    <w:rsid w:val="00F20BA2"/>
    <w:rsid w:val="00F20DCC"/>
    <w:rsid w:val="00F20F5B"/>
    <w:rsid w:val="00F20F5F"/>
    <w:rsid w:val="00F21082"/>
    <w:rsid w:val="00F21196"/>
    <w:rsid w:val="00F21255"/>
    <w:rsid w:val="00F212C4"/>
    <w:rsid w:val="00F212CF"/>
    <w:rsid w:val="00F21312"/>
    <w:rsid w:val="00F213DA"/>
    <w:rsid w:val="00F21462"/>
    <w:rsid w:val="00F214AB"/>
    <w:rsid w:val="00F214DA"/>
    <w:rsid w:val="00F2150E"/>
    <w:rsid w:val="00F21549"/>
    <w:rsid w:val="00F21571"/>
    <w:rsid w:val="00F215F4"/>
    <w:rsid w:val="00F21608"/>
    <w:rsid w:val="00F21613"/>
    <w:rsid w:val="00F2161D"/>
    <w:rsid w:val="00F216EF"/>
    <w:rsid w:val="00F216FE"/>
    <w:rsid w:val="00F2171C"/>
    <w:rsid w:val="00F21850"/>
    <w:rsid w:val="00F21900"/>
    <w:rsid w:val="00F21A2A"/>
    <w:rsid w:val="00F21A30"/>
    <w:rsid w:val="00F21A50"/>
    <w:rsid w:val="00F21A5C"/>
    <w:rsid w:val="00F21A95"/>
    <w:rsid w:val="00F21AAC"/>
    <w:rsid w:val="00F21B37"/>
    <w:rsid w:val="00F21C0B"/>
    <w:rsid w:val="00F21C1E"/>
    <w:rsid w:val="00F21C2B"/>
    <w:rsid w:val="00F21CE0"/>
    <w:rsid w:val="00F21DA8"/>
    <w:rsid w:val="00F21DC4"/>
    <w:rsid w:val="00F21DCE"/>
    <w:rsid w:val="00F21E4D"/>
    <w:rsid w:val="00F21E6C"/>
    <w:rsid w:val="00F21FE0"/>
    <w:rsid w:val="00F21FFD"/>
    <w:rsid w:val="00F22022"/>
    <w:rsid w:val="00F22070"/>
    <w:rsid w:val="00F220C3"/>
    <w:rsid w:val="00F220CC"/>
    <w:rsid w:val="00F22154"/>
    <w:rsid w:val="00F22201"/>
    <w:rsid w:val="00F222CF"/>
    <w:rsid w:val="00F2237C"/>
    <w:rsid w:val="00F22380"/>
    <w:rsid w:val="00F2241E"/>
    <w:rsid w:val="00F2244C"/>
    <w:rsid w:val="00F22451"/>
    <w:rsid w:val="00F2250C"/>
    <w:rsid w:val="00F2253A"/>
    <w:rsid w:val="00F225B5"/>
    <w:rsid w:val="00F22631"/>
    <w:rsid w:val="00F226D9"/>
    <w:rsid w:val="00F226FA"/>
    <w:rsid w:val="00F2287F"/>
    <w:rsid w:val="00F228D0"/>
    <w:rsid w:val="00F228EC"/>
    <w:rsid w:val="00F22943"/>
    <w:rsid w:val="00F22A10"/>
    <w:rsid w:val="00F22A5D"/>
    <w:rsid w:val="00F22AD5"/>
    <w:rsid w:val="00F22BA0"/>
    <w:rsid w:val="00F22D38"/>
    <w:rsid w:val="00F22D91"/>
    <w:rsid w:val="00F22D9C"/>
    <w:rsid w:val="00F22DFD"/>
    <w:rsid w:val="00F22E5E"/>
    <w:rsid w:val="00F22EA2"/>
    <w:rsid w:val="00F22EC6"/>
    <w:rsid w:val="00F22EE5"/>
    <w:rsid w:val="00F23040"/>
    <w:rsid w:val="00F23170"/>
    <w:rsid w:val="00F231AE"/>
    <w:rsid w:val="00F2320B"/>
    <w:rsid w:val="00F23251"/>
    <w:rsid w:val="00F232B5"/>
    <w:rsid w:val="00F232C0"/>
    <w:rsid w:val="00F232E3"/>
    <w:rsid w:val="00F23366"/>
    <w:rsid w:val="00F233D6"/>
    <w:rsid w:val="00F235A6"/>
    <w:rsid w:val="00F235E8"/>
    <w:rsid w:val="00F2374B"/>
    <w:rsid w:val="00F23789"/>
    <w:rsid w:val="00F23AF0"/>
    <w:rsid w:val="00F23B62"/>
    <w:rsid w:val="00F23BDB"/>
    <w:rsid w:val="00F23C61"/>
    <w:rsid w:val="00F23C7F"/>
    <w:rsid w:val="00F23DB7"/>
    <w:rsid w:val="00F23DF9"/>
    <w:rsid w:val="00F23E1D"/>
    <w:rsid w:val="00F23EA2"/>
    <w:rsid w:val="00F23FC5"/>
    <w:rsid w:val="00F23FDD"/>
    <w:rsid w:val="00F2402A"/>
    <w:rsid w:val="00F240CE"/>
    <w:rsid w:val="00F24103"/>
    <w:rsid w:val="00F24184"/>
    <w:rsid w:val="00F24311"/>
    <w:rsid w:val="00F24374"/>
    <w:rsid w:val="00F2442A"/>
    <w:rsid w:val="00F24491"/>
    <w:rsid w:val="00F2449E"/>
    <w:rsid w:val="00F2459C"/>
    <w:rsid w:val="00F245B4"/>
    <w:rsid w:val="00F245C7"/>
    <w:rsid w:val="00F246BA"/>
    <w:rsid w:val="00F2483E"/>
    <w:rsid w:val="00F24858"/>
    <w:rsid w:val="00F24863"/>
    <w:rsid w:val="00F24933"/>
    <w:rsid w:val="00F2496D"/>
    <w:rsid w:val="00F24A06"/>
    <w:rsid w:val="00F24BFB"/>
    <w:rsid w:val="00F24CEC"/>
    <w:rsid w:val="00F24D15"/>
    <w:rsid w:val="00F24D84"/>
    <w:rsid w:val="00F24EFF"/>
    <w:rsid w:val="00F24F23"/>
    <w:rsid w:val="00F250CB"/>
    <w:rsid w:val="00F25184"/>
    <w:rsid w:val="00F25369"/>
    <w:rsid w:val="00F25374"/>
    <w:rsid w:val="00F253E6"/>
    <w:rsid w:val="00F254BD"/>
    <w:rsid w:val="00F254C1"/>
    <w:rsid w:val="00F254E1"/>
    <w:rsid w:val="00F25521"/>
    <w:rsid w:val="00F25555"/>
    <w:rsid w:val="00F255E7"/>
    <w:rsid w:val="00F255FB"/>
    <w:rsid w:val="00F25622"/>
    <w:rsid w:val="00F2564E"/>
    <w:rsid w:val="00F256F9"/>
    <w:rsid w:val="00F25729"/>
    <w:rsid w:val="00F2577D"/>
    <w:rsid w:val="00F2579C"/>
    <w:rsid w:val="00F257A2"/>
    <w:rsid w:val="00F2587D"/>
    <w:rsid w:val="00F258AD"/>
    <w:rsid w:val="00F25933"/>
    <w:rsid w:val="00F2598B"/>
    <w:rsid w:val="00F259D7"/>
    <w:rsid w:val="00F25A32"/>
    <w:rsid w:val="00F25A69"/>
    <w:rsid w:val="00F25AF3"/>
    <w:rsid w:val="00F25AF6"/>
    <w:rsid w:val="00F25B06"/>
    <w:rsid w:val="00F25B91"/>
    <w:rsid w:val="00F25C12"/>
    <w:rsid w:val="00F25C3A"/>
    <w:rsid w:val="00F25C51"/>
    <w:rsid w:val="00F25C5B"/>
    <w:rsid w:val="00F25C5E"/>
    <w:rsid w:val="00F25CDD"/>
    <w:rsid w:val="00F25CFB"/>
    <w:rsid w:val="00F25D5E"/>
    <w:rsid w:val="00F25D8A"/>
    <w:rsid w:val="00F25ECB"/>
    <w:rsid w:val="00F25FAF"/>
    <w:rsid w:val="00F25FBA"/>
    <w:rsid w:val="00F260C4"/>
    <w:rsid w:val="00F26172"/>
    <w:rsid w:val="00F261F3"/>
    <w:rsid w:val="00F26286"/>
    <w:rsid w:val="00F26369"/>
    <w:rsid w:val="00F2649F"/>
    <w:rsid w:val="00F264CF"/>
    <w:rsid w:val="00F264D6"/>
    <w:rsid w:val="00F264E6"/>
    <w:rsid w:val="00F265E6"/>
    <w:rsid w:val="00F267C8"/>
    <w:rsid w:val="00F26822"/>
    <w:rsid w:val="00F269E6"/>
    <w:rsid w:val="00F26A0F"/>
    <w:rsid w:val="00F26A8E"/>
    <w:rsid w:val="00F26AE8"/>
    <w:rsid w:val="00F26AFA"/>
    <w:rsid w:val="00F26B5C"/>
    <w:rsid w:val="00F26C5A"/>
    <w:rsid w:val="00F26CFF"/>
    <w:rsid w:val="00F26D30"/>
    <w:rsid w:val="00F26D77"/>
    <w:rsid w:val="00F26D8C"/>
    <w:rsid w:val="00F26DB5"/>
    <w:rsid w:val="00F26E04"/>
    <w:rsid w:val="00F26E6D"/>
    <w:rsid w:val="00F26FFF"/>
    <w:rsid w:val="00F27019"/>
    <w:rsid w:val="00F2704D"/>
    <w:rsid w:val="00F270AF"/>
    <w:rsid w:val="00F270D2"/>
    <w:rsid w:val="00F27157"/>
    <w:rsid w:val="00F2716F"/>
    <w:rsid w:val="00F27267"/>
    <w:rsid w:val="00F2729B"/>
    <w:rsid w:val="00F272B4"/>
    <w:rsid w:val="00F2732A"/>
    <w:rsid w:val="00F2738F"/>
    <w:rsid w:val="00F274D0"/>
    <w:rsid w:val="00F274F5"/>
    <w:rsid w:val="00F2751E"/>
    <w:rsid w:val="00F275F7"/>
    <w:rsid w:val="00F27600"/>
    <w:rsid w:val="00F27628"/>
    <w:rsid w:val="00F2785F"/>
    <w:rsid w:val="00F278C3"/>
    <w:rsid w:val="00F27A5D"/>
    <w:rsid w:val="00F27B1C"/>
    <w:rsid w:val="00F27BBC"/>
    <w:rsid w:val="00F27CF0"/>
    <w:rsid w:val="00F27D04"/>
    <w:rsid w:val="00F27DA0"/>
    <w:rsid w:val="00F27DA5"/>
    <w:rsid w:val="00F27E36"/>
    <w:rsid w:val="00F27EB8"/>
    <w:rsid w:val="00F27EF6"/>
    <w:rsid w:val="00F27F7B"/>
    <w:rsid w:val="00F300D3"/>
    <w:rsid w:val="00F3013A"/>
    <w:rsid w:val="00F30180"/>
    <w:rsid w:val="00F30195"/>
    <w:rsid w:val="00F301CE"/>
    <w:rsid w:val="00F3034B"/>
    <w:rsid w:val="00F3042A"/>
    <w:rsid w:val="00F304B9"/>
    <w:rsid w:val="00F304FD"/>
    <w:rsid w:val="00F305EC"/>
    <w:rsid w:val="00F305FC"/>
    <w:rsid w:val="00F30675"/>
    <w:rsid w:val="00F306C2"/>
    <w:rsid w:val="00F306DF"/>
    <w:rsid w:val="00F307D0"/>
    <w:rsid w:val="00F30851"/>
    <w:rsid w:val="00F308E2"/>
    <w:rsid w:val="00F30A26"/>
    <w:rsid w:val="00F30A6F"/>
    <w:rsid w:val="00F30A9C"/>
    <w:rsid w:val="00F30AF2"/>
    <w:rsid w:val="00F30CA3"/>
    <w:rsid w:val="00F30CE7"/>
    <w:rsid w:val="00F30D23"/>
    <w:rsid w:val="00F30D90"/>
    <w:rsid w:val="00F30E14"/>
    <w:rsid w:val="00F30E93"/>
    <w:rsid w:val="00F30F00"/>
    <w:rsid w:val="00F30F52"/>
    <w:rsid w:val="00F30F89"/>
    <w:rsid w:val="00F30FCA"/>
    <w:rsid w:val="00F30FFC"/>
    <w:rsid w:val="00F31070"/>
    <w:rsid w:val="00F310EB"/>
    <w:rsid w:val="00F31101"/>
    <w:rsid w:val="00F312E7"/>
    <w:rsid w:val="00F3130C"/>
    <w:rsid w:val="00F3131C"/>
    <w:rsid w:val="00F3135B"/>
    <w:rsid w:val="00F313C3"/>
    <w:rsid w:val="00F313E2"/>
    <w:rsid w:val="00F31474"/>
    <w:rsid w:val="00F314A7"/>
    <w:rsid w:val="00F31539"/>
    <w:rsid w:val="00F3162F"/>
    <w:rsid w:val="00F31648"/>
    <w:rsid w:val="00F3165C"/>
    <w:rsid w:val="00F317BA"/>
    <w:rsid w:val="00F318CB"/>
    <w:rsid w:val="00F318E9"/>
    <w:rsid w:val="00F31994"/>
    <w:rsid w:val="00F319B7"/>
    <w:rsid w:val="00F31A28"/>
    <w:rsid w:val="00F31A6B"/>
    <w:rsid w:val="00F31A91"/>
    <w:rsid w:val="00F31AD5"/>
    <w:rsid w:val="00F31C96"/>
    <w:rsid w:val="00F31D18"/>
    <w:rsid w:val="00F31D88"/>
    <w:rsid w:val="00F31F60"/>
    <w:rsid w:val="00F3207D"/>
    <w:rsid w:val="00F32171"/>
    <w:rsid w:val="00F32223"/>
    <w:rsid w:val="00F3229B"/>
    <w:rsid w:val="00F323B1"/>
    <w:rsid w:val="00F32425"/>
    <w:rsid w:val="00F32482"/>
    <w:rsid w:val="00F32693"/>
    <w:rsid w:val="00F326B7"/>
    <w:rsid w:val="00F327B4"/>
    <w:rsid w:val="00F3280B"/>
    <w:rsid w:val="00F328EC"/>
    <w:rsid w:val="00F3291D"/>
    <w:rsid w:val="00F32967"/>
    <w:rsid w:val="00F3298D"/>
    <w:rsid w:val="00F329AD"/>
    <w:rsid w:val="00F32AB4"/>
    <w:rsid w:val="00F32B1D"/>
    <w:rsid w:val="00F32B42"/>
    <w:rsid w:val="00F32C11"/>
    <w:rsid w:val="00F32C35"/>
    <w:rsid w:val="00F32DC4"/>
    <w:rsid w:val="00F32E42"/>
    <w:rsid w:val="00F32E4B"/>
    <w:rsid w:val="00F32F24"/>
    <w:rsid w:val="00F32F2C"/>
    <w:rsid w:val="00F32F2F"/>
    <w:rsid w:val="00F32F4A"/>
    <w:rsid w:val="00F32F84"/>
    <w:rsid w:val="00F32FD2"/>
    <w:rsid w:val="00F33010"/>
    <w:rsid w:val="00F33016"/>
    <w:rsid w:val="00F33048"/>
    <w:rsid w:val="00F33156"/>
    <w:rsid w:val="00F3316C"/>
    <w:rsid w:val="00F33242"/>
    <w:rsid w:val="00F33320"/>
    <w:rsid w:val="00F333C1"/>
    <w:rsid w:val="00F33532"/>
    <w:rsid w:val="00F33589"/>
    <w:rsid w:val="00F3359C"/>
    <w:rsid w:val="00F33615"/>
    <w:rsid w:val="00F33658"/>
    <w:rsid w:val="00F336B4"/>
    <w:rsid w:val="00F337CA"/>
    <w:rsid w:val="00F3380F"/>
    <w:rsid w:val="00F33A4F"/>
    <w:rsid w:val="00F33A60"/>
    <w:rsid w:val="00F33B56"/>
    <w:rsid w:val="00F33B8F"/>
    <w:rsid w:val="00F33C0C"/>
    <w:rsid w:val="00F33C1B"/>
    <w:rsid w:val="00F33C35"/>
    <w:rsid w:val="00F33D57"/>
    <w:rsid w:val="00F33D8C"/>
    <w:rsid w:val="00F33E02"/>
    <w:rsid w:val="00F33E88"/>
    <w:rsid w:val="00F33F73"/>
    <w:rsid w:val="00F340DE"/>
    <w:rsid w:val="00F3416B"/>
    <w:rsid w:val="00F34279"/>
    <w:rsid w:val="00F34393"/>
    <w:rsid w:val="00F343B2"/>
    <w:rsid w:val="00F343D9"/>
    <w:rsid w:val="00F345BF"/>
    <w:rsid w:val="00F345D6"/>
    <w:rsid w:val="00F345FE"/>
    <w:rsid w:val="00F346CA"/>
    <w:rsid w:val="00F34752"/>
    <w:rsid w:val="00F34757"/>
    <w:rsid w:val="00F34767"/>
    <w:rsid w:val="00F34773"/>
    <w:rsid w:val="00F34789"/>
    <w:rsid w:val="00F34B85"/>
    <w:rsid w:val="00F34DB8"/>
    <w:rsid w:val="00F34DF8"/>
    <w:rsid w:val="00F34E6F"/>
    <w:rsid w:val="00F34E7B"/>
    <w:rsid w:val="00F34F7D"/>
    <w:rsid w:val="00F34FC2"/>
    <w:rsid w:val="00F34FCE"/>
    <w:rsid w:val="00F35007"/>
    <w:rsid w:val="00F351FE"/>
    <w:rsid w:val="00F3532F"/>
    <w:rsid w:val="00F353E0"/>
    <w:rsid w:val="00F35458"/>
    <w:rsid w:val="00F354D5"/>
    <w:rsid w:val="00F3550C"/>
    <w:rsid w:val="00F35575"/>
    <w:rsid w:val="00F355DC"/>
    <w:rsid w:val="00F35676"/>
    <w:rsid w:val="00F3578E"/>
    <w:rsid w:val="00F357AC"/>
    <w:rsid w:val="00F3583E"/>
    <w:rsid w:val="00F35B2F"/>
    <w:rsid w:val="00F35B5B"/>
    <w:rsid w:val="00F35BE1"/>
    <w:rsid w:val="00F35C4D"/>
    <w:rsid w:val="00F35CA3"/>
    <w:rsid w:val="00F35D41"/>
    <w:rsid w:val="00F35D79"/>
    <w:rsid w:val="00F35E6F"/>
    <w:rsid w:val="00F35EE9"/>
    <w:rsid w:val="00F35FED"/>
    <w:rsid w:val="00F360F5"/>
    <w:rsid w:val="00F3621E"/>
    <w:rsid w:val="00F36257"/>
    <w:rsid w:val="00F3625D"/>
    <w:rsid w:val="00F362C4"/>
    <w:rsid w:val="00F3643C"/>
    <w:rsid w:val="00F36442"/>
    <w:rsid w:val="00F36450"/>
    <w:rsid w:val="00F3655A"/>
    <w:rsid w:val="00F36803"/>
    <w:rsid w:val="00F3680C"/>
    <w:rsid w:val="00F368C8"/>
    <w:rsid w:val="00F368CB"/>
    <w:rsid w:val="00F36971"/>
    <w:rsid w:val="00F369BA"/>
    <w:rsid w:val="00F36B9C"/>
    <w:rsid w:val="00F36E65"/>
    <w:rsid w:val="00F37063"/>
    <w:rsid w:val="00F371C6"/>
    <w:rsid w:val="00F37239"/>
    <w:rsid w:val="00F3729D"/>
    <w:rsid w:val="00F372C0"/>
    <w:rsid w:val="00F37309"/>
    <w:rsid w:val="00F3736B"/>
    <w:rsid w:val="00F3741D"/>
    <w:rsid w:val="00F37421"/>
    <w:rsid w:val="00F374A5"/>
    <w:rsid w:val="00F37699"/>
    <w:rsid w:val="00F377F0"/>
    <w:rsid w:val="00F378CA"/>
    <w:rsid w:val="00F37903"/>
    <w:rsid w:val="00F37943"/>
    <w:rsid w:val="00F37A31"/>
    <w:rsid w:val="00F37AAC"/>
    <w:rsid w:val="00F37B71"/>
    <w:rsid w:val="00F37BAA"/>
    <w:rsid w:val="00F37DA6"/>
    <w:rsid w:val="00F37DA8"/>
    <w:rsid w:val="00F37DFF"/>
    <w:rsid w:val="00F37F0D"/>
    <w:rsid w:val="00F37F5C"/>
    <w:rsid w:val="00F40068"/>
    <w:rsid w:val="00F400EC"/>
    <w:rsid w:val="00F400FF"/>
    <w:rsid w:val="00F40155"/>
    <w:rsid w:val="00F40189"/>
    <w:rsid w:val="00F40195"/>
    <w:rsid w:val="00F40254"/>
    <w:rsid w:val="00F4029B"/>
    <w:rsid w:val="00F402A4"/>
    <w:rsid w:val="00F40326"/>
    <w:rsid w:val="00F40403"/>
    <w:rsid w:val="00F405D2"/>
    <w:rsid w:val="00F4064C"/>
    <w:rsid w:val="00F406B4"/>
    <w:rsid w:val="00F40738"/>
    <w:rsid w:val="00F4073F"/>
    <w:rsid w:val="00F40787"/>
    <w:rsid w:val="00F407D1"/>
    <w:rsid w:val="00F4082B"/>
    <w:rsid w:val="00F40A0F"/>
    <w:rsid w:val="00F40ABB"/>
    <w:rsid w:val="00F40AF6"/>
    <w:rsid w:val="00F40C16"/>
    <w:rsid w:val="00F40C8E"/>
    <w:rsid w:val="00F40E22"/>
    <w:rsid w:val="00F40E45"/>
    <w:rsid w:val="00F40EB3"/>
    <w:rsid w:val="00F41028"/>
    <w:rsid w:val="00F4110D"/>
    <w:rsid w:val="00F4112D"/>
    <w:rsid w:val="00F4115B"/>
    <w:rsid w:val="00F412B2"/>
    <w:rsid w:val="00F41460"/>
    <w:rsid w:val="00F4166C"/>
    <w:rsid w:val="00F41676"/>
    <w:rsid w:val="00F4167F"/>
    <w:rsid w:val="00F417DE"/>
    <w:rsid w:val="00F417FA"/>
    <w:rsid w:val="00F418BD"/>
    <w:rsid w:val="00F41914"/>
    <w:rsid w:val="00F419EB"/>
    <w:rsid w:val="00F41A25"/>
    <w:rsid w:val="00F41AA1"/>
    <w:rsid w:val="00F41AC6"/>
    <w:rsid w:val="00F41B6C"/>
    <w:rsid w:val="00F41C16"/>
    <w:rsid w:val="00F41C6E"/>
    <w:rsid w:val="00F41C82"/>
    <w:rsid w:val="00F41D2C"/>
    <w:rsid w:val="00F41D4C"/>
    <w:rsid w:val="00F41E9E"/>
    <w:rsid w:val="00F41F02"/>
    <w:rsid w:val="00F4204B"/>
    <w:rsid w:val="00F42084"/>
    <w:rsid w:val="00F4210D"/>
    <w:rsid w:val="00F42254"/>
    <w:rsid w:val="00F4236E"/>
    <w:rsid w:val="00F4242F"/>
    <w:rsid w:val="00F42440"/>
    <w:rsid w:val="00F42452"/>
    <w:rsid w:val="00F424D7"/>
    <w:rsid w:val="00F42591"/>
    <w:rsid w:val="00F425A8"/>
    <w:rsid w:val="00F42636"/>
    <w:rsid w:val="00F4267C"/>
    <w:rsid w:val="00F426FF"/>
    <w:rsid w:val="00F4278A"/>
    <w:rsid w:val="00F427C8"/>
    <w:rsid w:val="00F42821"/>
    <w:rsid w:val="00F429C8"/>
    <w:rsid w:val="00F42AAA"/>
    <w:rsid w:val="00F42AE2"/>
    <w:rsid w:val="00F42AFD"/>
    <w:rsid w:val="00F42B78"/>
    <w:rsid w:val="00F42BEF"/>
    <w:rsid w:val="00F42C20"/>
    <w:rsid w:val="00F42D18"/>
    <w:rsid w:val="00F42E35"/>
    <w:rsid w:val="00F43103"/>
    <w:rsid w:val="00F43116"/>
    <w:rsid w:val="00F43140"/>
    <w:rsid w:val="00F43166"/>
    <w:rsid w:val="00F431A8"/>
    <w:rsid w:val="00F43245"/>
    <w:rsid w:val="00F43361"/>
    <w:rsid w:val="00F4344A"/>
    <w:rsid w:val="00F43465"/>
    <w:rsid w:val="00F43491"/>
    <w:rsid w:val="00F434A5"/>
    <w:rsid w:val="00F434EA"/>
    <w:rsid w:val="00F4358B"/>
    <w:rsid w:val="00F435C3"/>
    <w:rsid w:val="00F43621"/>
    <w:rsid w:val="00F4366C"/>
    <w:rsid w:val="00F43746"/>
    <w:rsid w:val="00F4396A"/>
    <w:rsid w:val="00F439F4"/>
    <w:rsid w:val="00F43A4D"/>
    <w:rsid w:val="00F43AA4"/>
    <w:rsid w:val="00F43C04"/>
    <w:rsid w:val="00F43D1A"/>
    <w:rsid w:val="00F43D47"/>
    <w:rsid w:val="00F43E09"/>
    <w:rsid w:val="00F43E4F"/>
    <w:rsid w:val="00F43F8C"/>
    <w:rsid w:val="00F440A9"/>
    <w:rsid w:val="00F44152"/>
    <w:rsid w:val="00F441C9"/>
    <w:rsid w:val="00F44214"/>
    <w:rsid w:val="00F4426B"/>
    <w:rsid w:val="00F442E5"/>
    <w:rsid w:val="00F44303"/>
    <w:rsid w:val="00F44353"/>
    <w:rsid w:val="00F4436B"/>
    <w:rsid w:val="00F4437D"/>
    <w:rsid w:val="00F443F7"/>
    <w:rsid w:val="00F44430"/>
    <w:rsid w:val="00F4443D"/>
    <w:rsid w:val="00F444A1"/>
    <w:rsid w:val="00F444B9"/>
    <w:rsid w:val="00F444E1"/>
    <w:rsid w:val="00F444F5"/>
    <w:rsid w:val="00F44513"/>
    <w:rsid w:val="00F4457F"/>
    <w:rsid w:val="00F4479E"/>
    <w:rsid w:val="00F448D0"/>
    <w:rsid w:val="00F44AA8"/>
    <w:rsid w:val="00F44ACE"/>
    <w:rsid w:val="00F44B4E"/>
    <w:rsid w:val="00F44B51"/>
    <w:rsid w:val="00F44C82"/>
    <w:rsid w:val="00F44CBD"/>
    <w:rsid w:val="00F44D8C"/>
    <w:rsid w:val="00F44DCA"/>
    <w:rsid w:val="00F44E34"/>
    <w:rsid w:val="00F44ECB"/>
    <w:rsid w:val="00F44F1F"/>
    <w:rsid w:val="00F44F9A"/>
    <w:rsid w:val="00F44FD5"/>
    <w:rsid w:val="00F45011"/>
    <w:rsid w:val="00F45054"/>
    <w:rsid w:val="00F45106"/>
    <w:rsid w:val="00F4510D"/>
    <w:rsid w:val="00F451AC"/>
    <w:rsid w:val="00F451AF"/>
    <w:rsid w:val="00F451E5"/>
    <w:rsid w:val="00F451E9"/>
    <w:rsid w:val="00F451F9"/>
    <w:rsid w:val="00F45239"/>
    <w:rsid w:val="00F45258"/>
    <w:rsid w:val="00F452A6"/>
    <w:rsid w:val="00F452DD"/>
    <w:rsid w:val="00F4535C"/>
    <w:rsid w:val="00F45679"/>
    <w:rsid w:val="00F456C9"/>
    <w:rsid w:val="00F45868"/>
    <w:rsid w:val="00F45926"/>
    <w:rsid w:val="00F4599A"/>
    <w:rsid w:val="00F459A5"/>
    <w:rsid w:val="00F459AB"/>
    <w:rsid w:val="00F459CC"/>
    <w:rsid w:val="00F45ADE"/>
    <w:rsid w:val="00F45B21"/>
    <w:rsid w:val="00F45B42"/>
    <w:rsid w:val="00F45BBF"/>
    <w:rsid w:val="00F45C39"/>
    <w:rsid w:val="00F45CAF"/>
    <w:rsid w:val="00F45CE8"/>
    <w:rsid w:val="00F45CFF"/>
    <w:rsid w:val="00F45DCF"/>
    <w:rsid w:val="00F45E34"/>
    <w:rsid w:val="00F45FE7"/>
    <w:rsid w:val="00F46031"/>
    <w:rsid w:val="00F46049"/>
    <w:rsid w:val="00F4610B"/>
    <w:rsid w:val="00F46220"/>
    <w:rsid w:val="00F46304"/>
    <w:rsid w:val="00F46425"/>
    <w:rsid w:val="00F466BD"/>
    <w:rsid w:val="00F46721"/>
    <w:rsid w:val="00F46775"/>
    <w:rsid w:val="00F4677D"/>
    <w:rsid w:val="00F4677F"/>
    <w:rsid w:val="00F46B68"/>
    <w:rsid w:val="00F46B9E"/>
    <w:rsid w:val="00F46BAE"/>
    <w:rsid w:val="00F46D34"/>
    <w:rsid w:val="00F46EEE"/>
    <w:rsid w:val="00F46F76"/>
    <w:rsid w:val="00F47130"/>
    <w:rsid w:val="00F471A4"/>
    <w:rsid w:val="00F472C9"/>
    <w:rsid w:val="00F47365"/>
    <w:rsid w:val="00F4739C"/>
    <w:rsid w:val="00F473C7"/>
    <w:rsid w:val="00F47474"/>
    <w:rsid w:val="00F474E0"/>
    <w:rsid w:val="00F4755D"/>
    <w:rsid w:val="00F475B1"/>
    <w:rsid w:val="00F475BC"/>
    <w:rsid w:val="00F475D0"/>
    <w:rsid w:val="00F476A1"/>
    <w:rsid w:val="00F476CC"/>
    <w:rsid w:val="00F47741"/>
    <w:rsid w:val="00F477DF"/>
    <w:rsid w:val="00F477F4"/>
    <w:rsid w:val="00F478DE"/>
    <w:rsid w:val="00F479C8"/>
    <w:rsid w:val="00F47A00"/>
    <w:rsid w:val="00F47AEC"/>
    <w:rsid w:val="00F47B33"/>
    <w:rsid w:val="00F47BF7"/>
    <w:rsid w:val="00F47DA7"/>
    <w:rsid w:val="00F47E7A"/>
    <w:rsid w:val="00F47E99"/>
    <w:rsid w:val="00F47F0F"/>
    <w:rsid w:val="00F47FF0"/>
    <w:rsid w:val="00F500F1"/>
    <w:rsid w:val="00F5012C"/>
    <w:rsid w:val="00F50269"/>
    <w:rsid w:val="00F5034A"/>
    <w:rsid w:val="00F5046D"/>
    <w:rsid w:val="00F50516"/>
    <w:rsid w:val="00F50574"/>
    <w:rsid w:val="00F50789"/>
    <w:rsid w:val="00F50811"/>
    <w:rsid w:val="00F5084A"/>
    <w:rsid w:val="00F50993"/>
    <w:rsid w:val="00F509F0"/>
    <w:rsid w:val="00F50A24"/>
    <w:rsid w:val="00F50A95"/>
    <w:rsid w:val="00F50ADD"/>
    <w:rsid w:val="00F50BB1"/>
    <w:rsid w:val="00F50BD7"/>
    <w:rsid w:val="00F50DA4"/>
    <w:rsid w:val="00F50F7E"/>
    <w:rsid w:val="00F50FCB"/>
    <w:rsid w:val="00F51001"/>
    <w:rsid w:val="00F51012"/>
    <w:rsid w:val="00F5106A"/>
    <w:rsid w:val="00F51228"/>
    <w:rsid w:val="00F512BE"/>
    <w:rsid w:val="00F51364"/>
    <w:rsid w:val="00F513CD"/>
    <w:rsid w:val="00F51409"/>
    <w:rsid w:val="00F51425"/>
    <w:rsid w:val="00F51473"/>
    <w:rsid w:val="00F5150A"/>
    <w:rsid w:val="00F51761"/>
    <w:rsid w:val="00F5179F"/>
    <w:rsid w:val="00F51870"/>
    <w:rsid w:val="00F51995"/>
    <w:rsid w:val="00F51A1E"/>
    <w:rsid w:val="00F51A29"/>
    <w:rsid w:val="00F51A75"/>
    <w:rsid w:val="00F51AD9"/>
    <w:rsid w:val="00F51ADF"/>
    <w:rsid w:val="00F51B1C"/>
    <w:rsid w:val="00F51C5C"/>
    <w:rsid w:val="00F51CDA"/>
    <w:rsid w:val="00F51E83"/>
    <w:rsid w:val="00F51F1A"/>
    <w:rsid w:val="00F52115"/>
    <w:rsid w:val="00F5222E"/>
    <w:rsid w:val="00F52276"/>
    <w:rsid w:val="00F52417"/>
    <w:rsid w:val="00F5249E"/>
    <w:rsid w:val="00F52548"/>
    <w:rsid w:val="00F525C1"/>
    <w:rsid w:val="00F5262E"/>
    <w:rsid w:val="00F52633"/>
    <w:rsid w:val="00F526C4"/>
    <w:rsid w:val="00F5278E"/>
    <w:rsid w:val="00F5289A"/>
    <w:rsid w:val="00F52942"/>
    <w:rsid w:val="00F52985"/>
    <w:rsid w:val="00F52AF6"/>
    <w:rsid w:val="00F52B38"/>
    <w:rsid w:val="00F52B9A"/>
    <w:rsid w:val="00F52D99"/>
    <w:rsid w:val="00F52ED5"/>
    <w:rsid w:val="00F52EE5"/>
    <w:rsid w:val="00F52F44"/>
    <w:rsid w:val="00F52F50"/>
    <w:rsid w:val="00F53086"/>
    <w:rsid w:val="00F5321B"/>
    <w:rsid w:val="00F5322B"/>
    <w:rsid w:val="00F53265"/>
    <w:rsid w:val="00F5329A"/>
    <w:rsid w:val="00F532DC"/>
    <w:rsid w:val="00F53336"/>
    <w:rsid w:val="00F53414"/>
    <w:rsid w:val="00F53493"/>
    <w:rsid w:val="00F537BE"/>
    <w:rsid w:val="00F537E1"/>
    <w:rsid w:val="00F53BE4"/>
    <w:rsid w:val="00F53C64"/>
    <w:rsid w:val="00F53E5A"/>
    <w:rsid w:val="00F53EB2"/>
    <w:rsid w:val="00F53EB4"/>
    <w:rsid w:val="00F53ED8"/>
    <w:rsid w:val="00F53F27"/>
    <w:rsid w:val="00F53FBA"/>
    <w:rsid w:val="00F5401A"/>
    <w:rsid w:val="00F542D4"/>
    <w:rsid w:val="00F54306"/>
    <w:rsid w:val="00F54366"/>
    <w:rsid w:val="00F54458"/>
    <w:rsid w:val="00F5460E"/>
    <w:rsid w:val="00F546E3"/>
    <w:rsid w:val="00F54712"/>
    <w:rsid w:val="00F547D2"/>
    <w:rsid w:val="00F54984"/>
    <w:rsid w:val="00F54A09"/>
    <w:rsid w:val="00F54A9C"/>
    <w:rsid w:val="00F54B6A"/>
    <w:rsid w:val="00F54B91"/>
    <w:rsid w:val="00F54C3D"/>
    <w:rsid w:val="00F54CBD"/>
    <w:rsid w:val="00F54E5F"/>
    <w:rsid w:val="00F54F56"/>
    <w:rsid w:val="00F54FA8"/>
    <w:rsid w:val="00F55032"/>
    <w:rsid w:val="00F55038"/>
    <w:rsid w:val="00F5504F"/>
    <w:rsid w:val="00F5509C"/>
    <w:rsid w:val="00F5514A"/>
    <w:rsid w:val="00F5515C"/>
    <w:rsid w:val="00F55166"/>
    <w:rsid w:val="00F5520C"/>
    <w:rsid w:val="00F55238"/>
    <w:rsid w:val="00F55343"/>
    <w:rsid w:val="00F55438"/>
    <w:rsid w:val="00F55440"/>
    <w:rsid w:val="00F556CE"/>
    <w:rsid w:val="00F5578E"/>
    <w:rsid w:val="00F55AB0"/>
    <w:rsid w:val="00F55AEA"/>
    <w:rsid w:val="00F55AF7"/>
    <w:rsid w:val="00F55B7C"/>
    <w:rsid w:val="00F55C07"/>
    <w:rsid w:val="00F55D22"/>
    <w:rsid w:val="00F55D7B"/>
    <w:rsid w:val="00F55DDB"/>
    <w:rsid w:val="00F55E49"/>
    <w:rsid w:val="00F55F1D"/>
    <w:rsid w:val="00F55F31"/>
    <w:rsid w:val="00F55F9A"/>
    <w:rsid w:val="00F55FF5"/>
    <w:rsid w:val="00F55FF9"/>
    <w:rsid w:val="00F560F9"/>
    <w:rsid w:val="00F5611D"/>
    <w:rsid w:val="00F5615B"/>
    <w:rsid w:val="00F561B8"/>
    <w:rsid w:val="00F5626A"/>
    <w:rsid w:val="00F5627C"/>
    <w:rsid w:val="00F56387"/>
    <w:rsid w:val="00F5638D"/>
    <w:rsid w:val="00F56432"/>
    <w:rsid w:val="00F5646E"/>
    <w:rsid w:val="00F5661F"/>
    <w:rsid w:val="00F56822"/>
    <w:rsid w:val="00F5682C"/>
    <w:rsid w:val="00F5684B"/>
    <w:rsid w:val="00F5699F"/>
    <w:rsid w:val="00F56A6F"/>
    <w:rsid w:val="00F56A74"/>
    <w:rsid w:val="00F56B9E"/>
    <w:rsid w:val="00F56BC0"/>
    <w:rsid w:val="00F56CCB"/>
    <w:rsid w:val="00F56CFD"/>
    <w:rsid w:val="00F56E55"/>
    <w:rsid w:val="00F56EE1"/>
    <w:rsid w:val="00F56F06"/>
    <w:rsid w:val="00F56F3E"/>
    <w:rsid w:val="00F57017"/>
    <w:rsid w:val="00F570AB"/>
    <w:rsid w:val="00F57161"/>
    <w:rsid w:val="00F57275"/>
    <w:rsid w:val="00F572C7"/>
    <w:rsid w:val="00F572CB"/>
    <w:rsid w:val="00F573B1"/>
    <w:rsid w:val="00F573CD"/>
    <w:rsid w:val="00F57420"/>
    <w:rsid w:val="00F57456"/>
    <w:rsid w:val="00F5745E"/>
    <w:rsid w:val="00F5753B"/>
    <w:rsid w:val="00F57625"/>
    <w:rsid w:val="00F576DB"/>
    <w:rsid w:val="00F5771A"/>
    <w:rsid w:val="00F57809"/>
    <w:rsid w:val="00F57971"/>
    <w:rsid w:val="00F57998"/>
    <w:rsid w:val="00F579EF"/>
    <w:rsid w:val="00F57B01"/>
    <w:rsid w:val="00F57B0A"/>
    <w:rsid w:val="00F57C86"/>
    <w:rsid w:val="00F57C88"/>
    <w:rsid w:val="00F57DC0"/>
    <w:rsid w:val="00F57E1A"/>
    <w:rsid w:val="00F57E88"/>
    <w:rsid w:val="00F57E90"/>
    <w:rsid w:val="00F6006A"/>
    <w:rsid w:val="00F6007D"/>
    <w:rsid w:val="00F60084"/>
    <w:rsid w:val="00F601C6"/>
    <w:rsid w:val="00F60246"/>
    <w:rsid w:val="00F6025C"/>
    <w:rsid w:val="00F6027F"/>
    <w:rsid w:val="00F604E1"/>
    <w:rsid w:val="00F605B6"/>
    <w:rsid w:val="00F60600"/>
    <w:rsid w:val="00F60632"/>
    <w:rsid w:val="00F606E3"/>
    <w:rsid w:val="00F606F6"/>
    <w:rsid w:val="00F60743"/>
    <w:rsid w:val="00F6082B"/>
    <w:rsid w:val="00F60831"/>
    <w:rsid w:val="00F60B8E"/>
    <w:rsid w:val="00F60BFC"/>
    <w:rsid w:val="00F60C4E"/>
    <w:rsid w:val="00F60CDA"/>
    <w:rsid w:val="00F60D37"/>
    <w:rsid w:val="00F60D38"/>
    <w:rsid w:val="00F60D6F"/>
    <w:rsid w:val="00F60E4C"/>
    <w:rsid w:val="00F60E58"/>
    <w:rsid w:val="00F60ED5"/>
    <w:rsid w:val="00F60F41"/>
    <w:rsid w:val="00F60F76"/>
    <w:rsid w:val="00F61225"/>
    <w:rsid w:val="00F61322"/>
    <w:rsid w:val="00F6136D"/>
    <w:rsid w:val="00F613C9"/>
    <w:rsid w:val="00F61424"/>
    <w:rsid w:val="00F615E3"/>
    <w:rsid w:val="00F61799"/>
    <w:rsid w:val="00F618D7"/>
    <w:rsid w:val="00F61948"/>
    <w:rsid w:val="00F6199E"/>
    <w:rsid w:val="00F61B06"/>
    <w:rsid w:val="00F61CBF"/>
    <w:rsid w:val="00F61E50"/>
    <w:rsid w:val="00F61F37"/>
    <w:rsid w:val="00F621B5"/>
    <w:rsid w:val="00F621FC"/>
    <w:rsid w:val="00F6220C"/>
    <w:rsid w:val="00F62236"/>
    <w:rsid w:val="00F62314"/>
    <w:rsid w:val="00F62401"/>
    <w:rsid w:val="00F624D8"/>
    <w:rsid w:val="00F62500"/>
    <w:rsid w:val="00F6251D"/>
    <w:rsid w:val="00F625D4"/>
    <w:rsid w:val="00F62655"/>
    <w:rsid w:val="00F626F0"/>
    <w:rsid w:val="00F62830"/>
    <w:rsid w:val="00F6297E"/>
    <w:rsid w:val="00F62A0F"/>
    <w:rsid w:val="00F62A19"/>
    <w:rsid w:val="00F62AB0"/>
    <w:rsid w:val="00F62AB9"/>
    <w:rsid w:val="00F62D2B"/>
    <w:rsid w:val="00F62DB7"/>
    <w:rsid w:val="00F62DB9"/>
    <w:rsid w:val="00F62E31"/>
    <w:rsid w:val="00F62E70"/>
    <w:rsid w:val="00F62FB8"/>
    <w:rsid w:val="00F63146"/>
    <w:rsid w:val="00F63149"/>
    <w:rsid w:val="00F63252"/>
    <w:rsid w:val="00F63272"/>
    <w:rsid w:val="00F633B0"/>
    <w:rsid w:val="00F6353F"/>
    <w:rsid w:val="00F63746"/>
    <w:rsid w:val="00F6376B"/>
    <w:rsid w:val="00F6379B"/>
    <w:rsid w:val="00F6379E"/>
    <w:rsid w:val="00F637B1"/>
    <w:rsid w:val="00F63835"/>
    <w:rsid w:val="00F638D1"/>
    <w:rsid w:val="00F63937"/>
    <w:rsid w:val="00F63C62"/>
    <w:rsid w:val="00F63D17"/>
    <w:rsid w:val="00F63D99"/>
    <w:rsid w:val="00F63EED"/>
    <w:rsid w:val="00F63F7E"/>
    <w:rsid w:val="00F63FA7"/>
    <w:rsid w:val="00F63FDD"/>
    <w:rsid w:val="00F64030"/>
    <w:rsid w:val="00F6403B"/>
    <w:rsid w:val="00F64153"/>
    <w:rsid w:val="00F6423C"/>
    <w:rsid w:val="00F6429F"/>
    <w:rsid w:val="00F642E4"/>
    <w:rsid w:val="00F64313"/>
    <w:rsid w:val="00F64578"/>
    <w:rsid w:val="00F645A9"/>
    <w:rsid w:val="00F647BC"/>
    <w:rsid w:val="00F6483A"/>
    <w:rsid w:val="00F6495E"/>
    <w:rsid w:val="00F64A90"/>
    <w:rsid w:val="00F64AE1"/>
    <w:rsid w:val="00F64BAC"/>
    <w:rsid w:val="00F64BFB"/>
    <w:rsid w:val="00F64C53"/>
    <w:rsid w:val="00F64CE9"/>
    <w:rsid w:val="00F64EC5"/>
    <w:rsid w:val="00F64F35"/>
    <w:rsid w:val="00F64FAD"/>
    <w:rsid w:val="00F64FD5"/>
    <w:rsid w:val="00F6500A"/>
    <w:rsid w:val="00F65054"/>
    <w:rsid w:val="00F65093"/>
    <w:rsid w:val="00F651D0"/>
    <w:rsid w:val="00F6523F"/>
    <w:rsid w:val="00F65352"/>
    <w:rsid w:val="00F653B7"/>
    <w:rsid w:val="00F654D2"/>
    <w:rsid w:val="00F654DD"/>
    <w:rsid w:val="00F6556A"/>
    <w:rsid w:val="00F655A0"/>
    <w:rsid w:val="00F655C2"/>
    <w:rsid w:val="00F656A0"/>
    <w:rsid w:val="00F656D6"/>
    <w:rsid w:val="00F656E1"/>
    <w:rsid w:val="00F6583B"/>
    <w:rsid w:val="00F6583C"/>
    <w:rsid w:val="00F65886"/>
    <w:rsid w:val="00F658AC"/>
    <w:rsid w:val="00F65908"/>
    <w:rsid w:val="00F659F5"/>
    <w:rsid w:val="00F65A42"/>
    <w:rsid w:val="00F65A75"/>
    <w:rsid w:val="00F65B25"/>
    <w:rsid w:val="00F65B7D"/>
    <w:rsid w:val="00F65C9D"/>
    <w:rsid w:val="00F65CE5"/>
    <w:rsid w:val="00F66017"/>
    <w:rsid w:val="00F660A2"/>
    <w:rsid w:val="00F6610D"/>
    <w:rsid w:val="00F6611B"/>
    <w:rsid w:val="00F6633B"/>
    <w:rsid w:val="00F66374"/>
    <w:rsid w:val="00F6658B"/>
    <w:rsid w:val="00F665A9"/>
    <w:rsid w:val="00F66605"/>
    <w:rsid w:val="00F6665C"/>
    <w:rsid w:val="00F6668F"/>
    <w:rsid w:val="00F6673E"/>
    <w:rsid w:val="00F6682B"/>
    <w:rsid w:val="00F668D4"/>
    <w:rsid w:val="00F6699D"/>
    <w:rsid w:val="00F669EC"/>
    <w:rsid w:val="00F66AD9"/>
    <w:rsid w:val="00F66B9A"/>
    <w:rsid w:val="00F66C7E"/>
    <w:rsid w:val="00F66D3C"/>
    <w:rsid w:val="00F66D82"/>
    <w:rsid w:val="00F66E03"/>
    <w:rsid w:val="00F66E39"/>
    <w:rsid w:val="00F67068"/>
    <w:rsid w:val="00F67090"/>
    <w:rsid w:val="00F670E9"/>
    <w:rsid w:val="00F670FB"/>
    <w:rsid w:val="00F6738D"/>
    <w:rsid w:val="00F67412"/>
    <w:rsid w:val="00F674BA"/>
    <w:rsid w:val="00F675A1"/>
    <w:rsid w:val="00F675BC"/>
    <w:rsid w:val="00F677F1"/>
    <w:rsid w:val="00F67876"/>
    <w:rsid w:val="00F679AE"/>
    <w:rsid w:val="00F679E0"/>
    <w:rsid w:val="00F67C18"/>
    <w:rsid w:val="00F67CDC"/>
    <w:rsid w:val="00F67D6E"/>
    <w:rsid w:val="00F67D8D"/>
    <w:rsid w:val="00F67DDC"/>
    <w:rsid w:val="00F67E91"/>
    <w:rsid w:val="00F67FF3"/>
    <w:rsid w:val="00F701BF"/>
    <w:rsid w:val="00F7028A"/>
    <w:rsid w:val="00F702CF"/>
    <w:rsid w:val="00F702F6"/>
    <w:rsid w:val="00F70347"/>
    <w:rsid w:val="00F70479"/>
    <w:rsid w:val="00F70558"/>
    <w:rsid w:val="00F70585"/>
    <w:rsid w:val="00F70595"/>
    <w:rsid w:val="00F7068D"/>
    <w:rsid w:val="00F7070F"/>
    <w:rsid w:val="00F7072C"/>
    <w:rsid w:val="00F7082E"/>
    <w:rsid w:val="00F70872"/>
    <w:rsid w:val="00F7088F"/>
    <w:rsid w:val="00F70894"/>
    <w:rsid w:val="00F70978"/>
    <w:rsid w:val="00F709D2"/>
    <w:rsid w:val="00F709DD"/>
    <w:rsid w:val="00F709EC"/>
    <w:rsid w:val="00F70B6A"/>
    <w:rsid w:val="00F70BDD"/>
    <w:rsid w:val="00F70C28"/>
    <w:rsid w:val="00F70CD2"/>
    <w:rsid w:val="00F70CFC"/>
    <w:rsid w:val="00F70D0F"/>
    <w:rsid w:val="00F70E3E"/>
    <w:rsid w:val="00F70F1A"/>
    <w:rsid w:val="00F70F5D"/>
    <w:rsid w:val="00F70F97"/>
    <w:rsid w:val="00F70FEE"/>
    <w:rsid w:val="00F710CC"/>
    <w:rsid w:val="00F7110F"/>
    <w:rsid w:val="00F7114B"/>
    <w:rsid w:val="00F7138D"/>
    <w:rsid w:val="00F7140C"/>
    <w:rsid w:val="00F71445"/>
    <w:rsid w:val="00F71593"/>
    <w:rsid w:val="00F71627"/>
    <w:rsid w:val="00F7164E"/>
    <w:rsid w:val="00F7172E"/>
    <w:rsid w:val="00F717BF"/>
    <w:rsid w:val="00F71855"/>
    <w:rsid w:val="00F71938"/>
    <w:rsid w:val="00F719B6"/>
    <w:rsid w:val="00F71B6E"/>
    <w:rsid w:val="00F71B84"/>
    <w:rsid w:val="00F71B8B"/>
    <w:rsid w:val="00F71C6E"/>
    <w:rsid w:val="00F71E55"/>
    <w:rsid w:val="00F71E72"/>
    <w:rsid w:val="00F71F2C"/>
    <w:rsid w:val="00F71FD3"/>
    <w:rsid w:val="00F71FDB"/>
    <w:rsid w:val="00F721C8"/>
    <w:rsid w:val="00F721FB"/>
    <w:rsid w:val="00F7220D"/>
    <w:rsid w:val="00F72374"/>
    <w:rsid w:val="00F7240E"/>
    <w:rsid w:val="00F725A9"/>
    <w:rsid w:val="00F7269B"/>
    <w:rsid w:val="00F726B6"/>
    <w:rsid w:val="00F7276B"/>
    <w:rsid w:val="00F727AA"/>
    <w:rsid w:val="00F72808"/>
    <w:rsid w:val="00F72851"/>
    <w:rsid w:val="00F72975"/>
    <w:rsid w:val="00F729A0"/>
    <w:rsid w:val="00F72B1C"/>
    <w:rsid w:val="00F72C2A"/>
    <w:rsid w:val="00F72CBA"/>
    <w:rsid w:val="00F72DB7"/>
    <w:rsid w:val="00F72E4B"/>
    <w:rsid w:val="00F72E7E"/>
    <w:rsid w:val="00F73073"/>
    <w:rsid w:val="00F73077"/>
    <w:rsid w:val="00F7318C"/>
    <w:rsid w:val="00F731A2"/>
    <w:rsid w:val="00F731F5"/>
    <w:rsid w:val="00F73227"/>
    <w:rsid w:val="00F73243"/>
    <w:rsid w:val="00F732C1"/>
    <w:rsid w:val="00F73442"/>
    <w:rsid w:val="00F7348E"/>
    <w:rsid w:val="00F7348F"/>
    <w:rsid w:val="00F734E9"/>
    <w:rsid w:val="00F73776"/>
    <w:rsid w:val="00F7386F"/>
    <w:rsid w:val="00F738A1"/>
    <w:rsid w:val="00F738A7"/>
    <w:rsid w:val="00F738F9"/>
    <w:rsid w:val="00F73989"/>
    <w:rsid w:val="00F73A38"/>
    <w:rsid w:val="00F73A9B"/>
    <w:rsid w:val="00F73ACD"/>
    <w:rsid w:val="00F73D18"/>
    <w:rsid w:val="00F73EA6"/>
    <w:rsid w:val="00F73F58"/>
    <w:rsid w:val="00F740DF"/>
    <w:rsid w:val="00F74161"/>
    <w:rsid w:val="00F741B6"/>
    <w:rsid w:val="00F7420B"/>
    <w:rsid w:val="00F74255"/>
    <w:rsid w:val="00F742DC"/>
    <w:rsid w:val="00F7431D"/>
    <w:rsid w:val="00F7434A"/>
    <w:rsid w:val="00F74382"/>
    <w:rsid w:val="00F74442"/>
    <w:rsid w:val="00F7444E"/>
    <w:rsid w:val="00F744A4"/>
    <w:rsid w:val="00F74548"/>
    <w:rsid w:val="00F74565"/>
    <w:rsid w:val="00F74657"/>
    <w:rsid w:val="00F746AF"/>
    <w:rsid w:val="00F7472C"/>
    <w:rsid w:val="00F7484B"/>
    <w:rsid w:val="00F74878"/>
    <w:rsid w:val="00F748E0"/>
    <w:rsid w:val="00F748F7"/>
    <w:rsid w:val="00F74951"/>
    <w:rsid w:val="00F74A40"/>
    <w:rsid w:val="00F74AC1"/>
    <w:rsid w:val="00F74BD6"/>
    <w:rsid w:val="00F74CA7"/>
    <w:rsid w:val="00F74CC3"/>
    <w:rsid w:val="00F74D6C"/>
    <w:rsid w:val="00F74DF3"/>
    <w:rsid w:val="00F74E25"/>
    <w:rsid w:val="00F74E3B"/>
    <w:rsid w:val="00F74E7B"/>
    <w:rsid w:val="00F74F1F"/>
    <w:rsid w:val="00F74FC5"/>
    <w:rsid w:val="00F7505F"/>
    <w:rsid w:val="00F75092"/>
    <w:rsid w:val="00F751BF"/>
    <w:rsid w:val="00F75237"/>
    <w:rsid w:val="00F7523A"/>
    <w:rsid w:val="00F7527D"/>
    <w:rsid w:val="00F752D4"/>
    <w:rsid w:val="00F75400"/>
    <w:rsid w:val="00F754C5"/>
    <w:rsid w:val="00F754F4"/>
    <w:rsid w:val="00F75545"/>
    <w:rsid w:val="00F75733"/>
    <w:rsid w:val="00F7573A"/>
    <w:rsid w:val="00F75828"/>
    <w:rsid w:val="00F7582B"/>
    <w:rsid w:val="00F7582F"/>
    <w:rsid w:val="00F75871"/>
    <w:rsid w:val="00F759F4"/>
    <w:rsid w:val="00F75A9B"/>
    <w:rsid w:val="00F75C10"/>
    <w:rsid w:val="00F75C8F"/>
    <w:rsid w:val="00F75DD5"/>
    <w:rsid w:val="00F75DF6"/>
    <w:rsid w:val="00F75E44"/>
    <w:rsid w:val="00F75F17"/>
    <w:rsid w:val="00F76158"/>
    <w:rsid w:val="00F76162"/>
    <w:rsid w:val="00F761EC"/>
    <w:rsid w:val="00F76229"/>
    <w:rsid w:val="00F76280"/>
    <w:rsid w:val="00F76282"/>
    <w:rsid w:val="00F76377"/>
    <w:rsid w:val="00F763E1"/>
    <w:rsid w:val="00F7644A"/>
    <w:rsid w:val="00F764D1"/>
    <w:rsid w:val="00F764D4"/>
    <w:rsid w:val="00F76577"/>
    <w:rsid w:val="00F765CF"/>
    <w:rsid w:val="00F766A5"/>
    <w:rsid w:val="00F76734"/>
    <w:rsid w:val="00F76776"/>
    <w:rsid w:val="00F76850"/>
    <w:rsid w:val="00F76A63"/>
    <w:rsid w:val="00F76AFD"/>
    <w:rsid w:val="00F76C3F"/>
    <w:rsid w:val="00F76C87"/>
    <w:rsid w:val="00F76E3D"/>
    <w:rsid w:val="00F76EFC"/>
    <w:rsid w:val="00F76F7F"/>
    <w:rsid w:val="00F76F98"/>
    <w:rsid w:val="00F77275"/>
    <w:rsid w:val="00F772FD"/>
    <w:rsid w:val="00F77354"/>
    <w:rsid w:val="00F774D2"/>
    <w:rsid w:val="00F774D8"/>
    <w:rsid w:val="00F77569"/>
    <w:rsid w:val="00F775C5"/>
    <w:rsid w:val="00F775CA"/>
    <w:rsid w:val="00F77633"/>
    <w:rsid w:val="00F777AB"/>
    <w:rsid w:val="00F777E5"/>
    <w:rsid w:val="00F77815"/>
    <w:rsid w:val="00F77912"/>
    <w:rsid w:val="00F77915"/>
    <w:rsid w:val="00F77C00"/>
    <w:rsid w:val="00F77CB4"/>
    <w:rsid w:val="00F77D7E"/>
    <w:rsid w:val="00F77DF1"/>
    <w:rsid w:val="00F77E9D"/>
    <w:rsid w:val="00F77EBB"/>
    <w:rsid w:val="00F77F16"/>
    <w:rsid w:val="00F77F36"/>
    <w:rsid w:val="00F801D6"/>
    <w:rsid w:val="00F801F2"/>
    <w:rsid w:val="00F80204"/>
    <w:rsid w:val="00F8020E"/>
    <w:rsid w:val="00F80211"/>
    <w:rsid w:val="00F80285"/>
    <w:rsid w:val="00F804A2"/>
    <w:rsid w:val="00F80523"/>
    <w:rsid w:val="00F805F2"/>
    <w:rsid w:val="00F805FB"/>
    <w:rsid w:val="00F8071D"/>
    <w:rsid w:val="00F8076A"/>
    <w:rsid w:val="00F80803"/>
    <w:rsid w:val="00F808CD"/>
    <w:rsid w:val="00F808E0"/>
    <w:rsid w:val="00F80A72"/>
    <w:rsid w:val="00F80A9B"/>
    <w:rsid w:val="00F80B15"/>
    <w:rsid w:val="00F80C19"/>
    <w:rsid w:val="00F80C6E"/>
    <w:rsid w:val="00F80C97"/>
    <w:rsid w:val="00F80CDC"/>
    <w:rsid w:val="00F80DD5"/>
    <w:rsid w:val="00F80E75"/>
    <w:rsid w:val="00F80FDB"/>
    <w:rsid w:val="00F8108C"/>
    <w:rsid w:val="00F810C1"/>
    <w:rsid w:val="00F81161"/>
    <w:rsid w:val="00F81262"/>
    <w:rsid w:val="00F81265"/>
    <w:rsid w:val="00F81269"/>
    <w:rsid w:val="00F8129F"/>
    <w:rsid w:val="00F8144B"/>
    <w:rsid w:val="00F8146A"/>
    <w:rsid w:val="00F8154F"/>
    <w:rsid w:val="00F815CA"/>
    <w:rsid w:val="00F816E0"/>
    <w:rsid w:val="00F8179A"/>
    <w:rsid w:val="00F81862"/>
    <w:rsid w:val="00F81895"/>
    <w:rsid w:val="00F818A7"/>
    <w:rsid w:val="00F818E7"/>
    <w:rsid w:val="00F818EC"/>
    <w:rsid w:val="00F81A56"/>
    <w:rsid w:val="00F81A72"/>
    <w:rsid w:val="00F81A82"/>
    <w:rsid w:val="00F81A98"/>
    <w:rsid w:val="00F81B81"/>
    <w:rsid w:val="00F81BBD"/>
    <w:rsid w:val="00F81BC8"/>
    <w:rsid w:val="00F81D1B"/>
    <w:rsid w:val="00F81E22"/>
    <w:rsid w:val="00F81EC8"/>
    <w:rsid w:val="00F81EEA"/>
    <w:rsid w:val="00F81FE3"/>
    <w:rsid w:val="00F82022"/>
    <w:rsid w:val="00F8206F"/>
    <w:rsid w:val="00F820AA"/>
    <w:rsid w:val="00F820D6"/>
    <w:rsid w:val="00F82308"/>
    <w:rsid w:val="00F82521"/>
    <w:rsid w:val="00F82669"/>
    <w:rsid w:val="00F8266C"/>
    <w:rsid w:val="00F826D2"/>
    <w:rsid w:val="00F826E4"/>
    <w:rsid w:val="00F8296A"/>
    <w:rsid w:val="00F829A9"/>
    <w:rsid w:val="00F82A41"/>
    <w:rsid w:val="00F82AA9"/>
    <w:rsid w:val="00F82B3C"/>
    <w:rsid w:val="00F82BDC"/>
    <w:rsid w:val="00F82FA3"/>
    <w:rsid w:val="00F83118"/>
    <w:rsid w:val="00F83131"/>
    <w:rsid w:val="00F8317A"/>
    <w:rsid w:val="00F83251"/>
    <w:rsid w:val="00F8337C"/>
    <w:rsid w:val="00F833AC"/>
    <w:rsid w:val="00F833F8"/>
    <w:rsid w:val="00F833FD"/>
    <w:rsid w:val="00F8348B"/>
    <w:rsid w:val="00F834C8"/>
    <w:rsid w:val="00F8367C"/>
    <w:rsid w:val="00F83712"/>
    <w:rsid w:val="00F83820"/>
    <w:rsid w:val="00F83918"/>
    <w:rsid w:val="00F8399F"/>
    <w:rsid w:val="00F83AFD"/>
    <w:rsid w:val="00F83BC6"/>
    <w:rsid w:val="00F83CDA"/>
    <w:rsid w:val="00F83CF1"/>
    <w:rsid w:val="00F83CFD"/>
    <w:rsid w:val="00F83D30"/>
    <w:rsid w:val="00F84030"/>
    <w:rsid w:val="00F841BF"/>
    <w:rsid w:val="00F84290"/>
    <w:rsid w:val="00F84569"/>
    <w:rsid w:val="00F8458B"/>
    <w:rsid w:val="00F845D8"/>
    <w:rsid w:val="00F84662"/>
    <w:rsid w:val="00F84669"/>
    <w:rsid w:val="00F8468B"/>
    <w:rsid w:val="00F84692"/>
    <w:rsid w:val="00F846DD"/>
    <w:rsid w:val="00F84713"/>
    <w:rsid w:val="00F847C6"/>
    <w:rsid w:val="00F848E3"/>
    <w:rsid w:val="00F848E9"/>
    <w:rsid w:val="00F84948"/>
    <w:rsid w:val="00F8494F"/>
    <w:rsid w:val="00F84AA7"/>
    <w:rsid w:val="00F84B26"/>
    <w:rsid w:val="00F84C36"/>
    <w:rsid w:val="00F84C37"/>
    <w:rsid w:val="00F84C9C"/>
    <w:rsid w:val="00F84D5B"/>
    <w:rsid w:val="00F84D8B"/>
    <w:rsid w:val="00F84E56"/>
    <w:rsid w:val="00F84F67"/>
    <w:rsid w:val="00F84FF7"/>
    <w:rsid w:val="00F850EE"/>
    <w:rsid w:val="00F85134"/>
    <w:rsid w:val="00F85143"/>
    <w:rsid w:val="00F85174"/>
    <w:rsid w:val="00F851BA"/>
    <w:rsid w:val="00F8526F"/>
    <w:rsid w:val="00F8539C"/>
    <w:rsid w:val="00F8550B"/>
    <w:rsid w:val="00F85564"/>
    <w:rsid w:val="00F85567"/>
    <w:rsid w:val="00F855C6"/>
    <w:rsid w:val="00F856DB"/>
    <w:rsid w:val="00F857A9"/>
    <w:rsid w:val="00F85A3D"/>
    <w:rsid w:val="00F85AE6"/>
    <w:rsid w:val="00F85B5C"/>
    <w:rsid w:val="00F85B9A"/>
    <w:rsid w:val="00F85BCC"/>
    <w:rsid w:val="00F85BED"/>
    <w:rsid w:val="00F85D2F"/>
    <w:rsid w:val="00F85DDD"/>
    <w:rsid w:val="00F85E70"/>
    <w:rsid w:val="00F85FB2"/>
    <w:rsid w:val="00F85FCC"/>
    <w:rsid w:val="00F8604C"/>
    <w:rsid w:val="00F8611A"/>
    <w:rsid w:val="00F86142"/>
    <w:rsid w:val="00F86202"/>
    <w:rsid w:val="00F86242"/>
    <w:rsid w:val="00F8643E"/>
    <w:rsid w:val="00F865AB"/>
    <w:rsid w:val="00F865B4"/>
    <w:rsid w:val="00F865D1"/>
    <w:rsid w:val="00F8678D"/>
    <w:rsid w:val="00F867A8"/>
    <w:rsid w:val="00F868EF"/>
    <w:rsid w:val="00F86927"/>
    <w:rsid w:val="00F86972"/>
    <w:rsid w:val="00F86A38"/>
    <w:rsid w:val="00F86ADF"/>
    <w:rsid w:val="00F86C8F"/>
    <w:rsid w:val="00F86CF3"/>
    <w:rsid w:val="00F86E2B"/>
    <w:rsid w:val="00F86E6E"/>
    <w:rsid w:val="00F86EC7"/>
    <w:rsid w:val="00F86F23"/>
    <w:rsid w:val="00F87187"/>
    <w:rsid w:val="00F87195"/>
    <w:rsid w:val="00F871EF"/>
    <w:rsid w:val="00F871FB"/>
    <w:rsid w:val="00F873C9"/>
    <w:rsid w:val="00F87435"/>
    <w:rsid w:val="00F87476"/>
    <w:rsid w:val="00F874D8"/>
    <w:rsid w:val="00F874EE"/>
    <w:rsid w:val="00F87533"/>
    <w:rsid w:val="00F8756E"/>
    <w:rsid w:val="00F8782E"/>
    <w:rsid w:val="00F878D8"/>
    <w:rsid w:val="00F8797D"/>
    <w:rsid w:val="00F87ACD"/>
    <w:rsid w:val="00F87ADD"/>
    <w:rsid w:val="00F87B15"/>
    <w:rsid w:val="00F87BEB"/>
    <w:rsid w:val="00F87CC2"/>
    <w:rsid w:val="00F87D1A"/>
    <w:rsid w:val="00F87D31"/>
    <w:rsid w:val="00F87F67"/>
    <w:rsid w:val="00F87FF1"/>
    <w:rsid w:val="00F87FFB"/>
    <w:rsid w:val="00F888CF"/>
    <w:rsid w:val="00F90210"/>
    <w:rsid w:val="00F903B4"/>
    <w:rsid w:val="00F903CF"/>
    <w:rsid w:val="00F904C8"/>
    <w:rsid w:val="00F9072F"/>
    <w:rsid w:val="00F907AB"/>
    <w:rsid w:val="00F908CA"/>
    <w:rsid w:val="00F90996"/>
    <w:rsid w:val="00F909A6"/>
    <w:rsid w:val="00F909F4"/>
    <w:rsid w:val="00F90C45"/>
    <w:rsid w:val="00F90C88"/>
    <w:rsid w:val="00F90CB8"/>
    <w:rsid w:val="00F90D22"/>
    <w:rsid w:val="00F90D7B"/>
    <w:rsid w:val="00F90E99"/>
    <w:rsid w:val="00F90EB3"/>
    <w:rsid w:val="00F90EB8"/>
    <w:rsid w:val="00F90F6D"/>
    <w:rsid w:val="00F91013"/>
    <w:rsid w:val="00F9103F"/>
    <w:rsid w:val="00F910D4"/>
    <w:rsid w:val="00F911C7"/>
    <w:rsid w:val="00F911C8"/>
    <w:rsid w:val="00F911D7"/>
    <w:rsid w:val="00F9130A"/>
    <w:rsid w:val="00F9131E"/>
    <w:rsid w:val="00F913A7"/>
    <w:rsid w:val="00F913FF"/>
    <w:rsid w:val="00F91504"/>
    <w:rsid w:val="00F91699"/>
    <w:rsid w:val="00F91811"/>
    <w:rsid w:val="00F918C1"/>
    <w:rsid w:val="00F918C6"/>
    <w:rsid w:val="00F9198A"/>
    <w:rsid w:val="00F91991"/>
    <w:rsid w:val="00F91B41"/>
    <w:rsid w:val="00F91BBC"/>
    <w:rsid w:val="00F91C54"/>
    <w:rsid w:val="00F91CEB"/>
    <w:rsid w:val="00F92017"/>
    <w:rsid w:val="00F920DB"/>
    <w:rsid w:val="00F92184"/>
    <w:rsid w:val="00F92358"/>
    <w:rsid w:val="00F92476"/>
    <w:rsid w:val="00F9249F"/>
    <w:rsid w:val="00F92572"/>
    <w:rsid w:val="00F925B4"/>
    <w:rsid w:val="00F926A6"/>
    <w:rsid w:val="00F92725"/>
    <w:rsid w:val="00F927F2"/>
    <w:rsid w:val="00F92873"/>
    <w:rsid w:val="00F9291B"/>
    <w:rsid w:val="00F929D4"/>
    <w:rsid w:val="00F92AB1"/>
    <w:rsid w:val="00F92AFB"/>
    <w:rsid w:val="00F92B05"/>
    <w:rsid w:val="00F92BC6"/>
    <w:rsid w:val="00F92C3C"/>
    <w:rsid w:val="00F92CAF"/>
    <w:rsid w:val="00F92D04"/>
    <w:rsid w:val="00F92D1E"/>
    <w:rsid w:val="00F932E7"/>
    <w:rsid w:val="00F93379"/>
    <w:rsid w:val="00F933D1"/>
    <w:rsid w:val="00F93400"/>
    <w:rsid w:val="00F9341F"/>
    <w:rsid w:val="00F935AC"/>
    <w:rsid w:val="00F93646"/>
    <w:rsid w:val="00F9373D"/>
    <w:rsid w:val="00F93740"/>
    <w:rsid w:val="00F93858"/>
    <w:rsid w:val="00F9399F"/>
    <w:rsid w:val="00F93A9E"/>
    <w:rsid w:val="00F93ADA"/>
    <w:rsid w:val="00F93AEE"/>
    <w:rsid w:val="00F93B4B"/>
    <w:rsid w:val="00F93D44"/>
    <w:rsid w:val="00F93EA7"/>
    <w:rsid w:val="00F93EAE"/>
    <w:rsid w:val="00F93FE4"/>
    <w:rsid w:val="00F94041"/>
    <w:rsid w:val="00F94049"/>
    <w:rsid w:val="00F940C0"/>
    <w:rsid w:val="00F94134"/>
    <w:rsid w:val="00F94213"/>
    <w:rsid w:val="00F942B3"/>
    <w:rsid w:val="00F942D1"/>
    <w:rsid w:val="00F94482"/>
    <w:rsid w:val="00F94514"/>
    <w:rsid w:val="00F9451A"/>
    <w:rsid w:val="00F9454D"/>
    <w:rsid w:val="00F946DC"/>
    <w:rsid w:val="00F948E2"/>
    <w:rsid w:val="00F948E4"/>
    <w:rsid w:val="00F94A2F"/>
    <w:rsid w:val="00F94A46"/>
    <w:rsid w:val="00F94B16"/>
    <w:rsid w:val="00F94B98"/>
    <w:rsid w:val="00F94BA4"/>
    <w:rsid w:val="00F94BD5"/>
    <w:rsid w:val="00F94BE7"/>
    <w:rsid w:val="00F94D2A"/>
    <w:rsid w:val="00F94D9B"/>
    <w:rsid w:val="00F94EB9"/>
    <w:rsid w:val="00F94F24"/>
    <w:rsid w:val="00F94F2B"/>
    <w:rsid w:val="00F94F7B"/>
    <w:rsid w:val="00F94FB6"/>
    <w:rsid w:val="00F9505C"/>
    <w:rsid w:val="00F95083"/>
    <w:rsid w:val="00F950EB"/>
    <w:rsid w:val="00F95116"/>
    <w:rsid w:val="00F95186"/>
    <w:rsid w:val="00F95194"/>
    <w:rsid w:val="00F951C1"/>
    <w:rsid w:val="00F951C8"/>
    <w:rsid w:val="00F951D7"/>
    <w:rsid w:val="00F95287"/>
    <w:rsid w:val="00F95289"/>
    <w:rsid w:val="00F952DE"/>
    <w:rsid w:val="00F95359"/>
    <w:rsid w:val="00F953E7"/>
    <w:rsid w:val="00F9557A"/>
    <w:rsid w:val="00F955C6"/>
    <w:rsid w:val="00F95614"/>
    <w:rsid w:val="00F9566B"/>
    <w:rsid w:val="00F956B0"/>
    <w:rsid w:val="00F95700"/>
    <w:rsid w:val="00F95729"/>
    <w:rsid w:val="00F95770"/>
    <w:rsid w:val="00F957DB"/>
    <w:rsid w:val="00F95A22"/>
    <w:rsid w:val="00F95B2B"/>
    <w:rsid w:val="00F95B70"/>
    <w:rsid w:val="00F95B79"/>
    <w:rsid w:val="00F95BEF"/>
    <w:rsid w:val="00F95C08"/>
    <w:rsid w:val="00F95D57"/>
    <w:rsid w:val="00F95D97"/>
    <w:rsid w:val="00F95EFF"/>
    <w:rsid w:val="00F95F58"/>
    <w:rsid w:val="00F9600E"/>
    <w:rsid w:val="00F96025"/>
    <w:rsid w:val="00F9612E"/>
    <w:rsid w:val="00F961C3"/>
    <w:rsid w:val="00F961DB"/>
    <w:rsid w:val="00F96271"/>
    <w:rsid w:val="00F962CC"/>
    <w:rsid w:val="00F962E5"/>
    <w:rsid w:val="00F96304"/>
    <w:rsid w:val="00F963C2"/>
    <w:rsid w:val="00F96406"/>
    <w:rsid w:val="00F96407"/>
    <w:rsid w:val="00F96410"/>
    <w:rsid w:val="00F96531"/>
    <w:rsid w:val="00F96543"/>
    <w:rsid w:val="00F96575"/>
    <w:rsid w:val="00F9658F"/>
    <w:rsid w:val="00F96624"/>
    <w:rsid w:val="00F96633"/>
    <w:rsid w:val="00F966BB"/>
    <w:rsid w:val="00F966C9"/>
    <w:rsid w:val="00F96704"/>
    <w:rsid w:val="00F96818"/>
    <w:rsid w:val="00F96826"/>
    <w:rsid w:val="00F96936"/>
    <w:rsid w:val="00F969A9"/>
    <w:rsid w:val="00F969EF"/>
    <w:rsid w:val="00F969FB"/>
    <w:rsid w:val="00F96A2C"/>
    <w:rsid w:val="00F96ACF"/>
    <w:rsid w:val="00F96B63"/>
    <w:rsid w:val="00F96B72"/>
    <w:rsid w:val="00F96CD7"/>
    <w:rsid w:val="00F96D27"/>
    <w:rsid w:val="00F96D5E"/>
    <w:rsid w:val="00F96D6F"/>
    <w:rsid w:val="00F96E49"/>
    <w:rsid w:val="00F96EDB"/>
    <w:rsid w:val="00F97080"/>
    <w:rsid w:val="00F970CC"/>
    <w:rsid w:val="00F97127"/>
    <w:rsid w:val="00F97191"/>
    <w:rsid w:val="00F971A8"/>
    <w:rsid w:val="00F97288"/>
    <w:rsid w:val="00F972D0"/>
    <w:rsid w:val="00F9730D"/>
    <w:rsid w:val="00F9734C"/>
    <w:rsid w:val="00F97367"/>
    <w:rsid w:val="00F973C3"/>
    <w:rsid w:val="00F973CA"/>
    <w:rsid w:val="00F97519"/>
    <w:rsid w:val="00F9758F"/>
    <w:rsid w:val="00F975E3"/>
    <w:rsid w:val="00F97745"/>
    <w:rsid w:val="00F978AB"/>
    <w:rsid w:val="00F978BC"/>
    <w:rsid w:val="00F979A5"/>
    <w:rsid w:val="00F97A3F"/>
    <w:rsid w:val="00F97A4C"/>
    <w:rsid w:val="00F97A8D"/>
    <w:rsid w:val="00F97C04"/>
    <w:rsid w:val="00F97E64"/>
    <w:rsid w:val="00F97EC9"/>
    <w:rsid w:val="00FA00F5"/>
    <w:rsid w:val="00FA0134"/>
    <w:rsid w:val="00FA0219"/>
    <w:rsid w:val="00FA0267"/>
    <w:rsid w:val="00FA0428"/>
    <w:rsid w:val="00FA054C"/>
    <w:rsid w:val="00FA06C3"/>
    <w:rsid w:val="00FA078B"/>
    <w:rsid w:val="00FA07D3"/>
    <w:rsid w:val="00FA0838"/>
    <w:rsid w:val="00FA096F"/>
    <w:rsid w:val="00FA098E"/>
    <w:rsid w:val="00FA09F0"/>
    <w:rsid w:val="00FA0AEF"/>
    <w:rsid w:val="00FA0B2F"/>
    <w:rsid w:val="00FA0B56"/>
    <w:rsid w:val="00FA0BE8"/>
    <w:rsid w:val="00FA0CD7"/>
    <w:rsid w:val="00FA0D08"/>
    <w:rsid w:val="00FA0F7D"/>
    <w:rsid w:val="00FA103B"/>
    <w:rsid w:val="00FA1074"/>
    <w:rsid w:val="00FA107B"/>
    <w:rsid w:val="00FA112C"/>
    <w:rsid w:val="00FA11D2"/>
    <w:rsid w:val="00FA1267"/>
    <w:rsid w:val="00FA140A"/>
    <w:rsid w:val="00FA141F"/>
    <w:rsid w:val="00FA15B8"/>
    <w:rsid w:val="00FA16A9"/>
    <w:rsid w:val="00FA16EA"/>
    <w:rsid w:val="00FA176A"/>
    <w:rsid w:val="00FA17CD"/>
    <w:rsid w:val="00FA1839"/>
    <w:rsid w:val="00FA196F"/>
    <w:rsid w:val="00FA1983"/>
    <w:rsid w:val="00FA1C1E"/>
    <w:rsid w:val="00FA1C3F"/>
    <w:rsid w:val="00FA1C4D"/>
    <w:rsid w:val="00FA1CA5"/>
    <w:rsid w:val="00FA1D1B"/>
    <w:rsid w:val="00FA1D2E"/>
    <w:rsid w:val="00FA1D6C"/>
    <w:rsid w:val="00FA1D82"/>
    <w:rsid w:val="00FA1DB2"/>
    <w:rsid w:val="00FA1DB8"/>
    <w:rsid w:val="00FA1E6C"/>
    <w:rsid w:val="00FA1F11"/>
    <w:rsid w:val="00FA1F66"/>
    <w:rsid w:val="00FA1FBE"/>
    <w:rsid w:val="00FA1FCB"/>
    <w:rsid w:val="00FA1FD0"/>
    <w:rsid w:val="00FA2043"/>
    <w:rsid w:val="00FA2063"/>
    <w:rsid w:val="00FA21AD"/>
    <w:rsid w:val="00FA21B1"/>
    <w:rsid w:val="00FA22D5"/>
    <w:rsid w:val="00FA22D8"/>
    <w:rsid w:val="00FA24C1"/>
    <w:rsid w:val="00FA24DF"/>
    <w:rsid w:val="00FA26A5"/>
    <w:rsid w:val="00FA2857"/>
    <w:rsid w:val="00FA2946"/>
    <w:rsid w:val="00FA2B04"/>
    <w:rsid w:val="00FA2C06"/>
    <w:rsid w:val="00FA2C52"/>
    <w:rsid w:val="00FA2D79"/>
    <w:rsid w:val="00FA3088"/>
    <w:rsid w:val="00FA308F"/>
    <w:rsid w:val="00FA30B0"/>
    <w:rsid w:val="00FA31A5"/>
    <w:rsid w:val="00FA31AD"/>
    <w:rsid w:val="00FA33B8"/>
    <w:rsid w:val="00FA349A"/>
    <w:rsid w:val="00FA3508"/>
    <w:rsid w:val="00FA350D"/>
    <w:rsid w:val="00FA3590"/>
    <w:rsid w:val="00FA369E"/>
    <w:rsid w:val="00FA3767"/>
    <w:rsid w:val="00FA3772"/>
    <w:rsid w:val="00FA37B5"/>
    <w:rsid w:val="00FA38A0"/>
    <w:rsid w:val="00FA3A31"/>
    <w:rsid w:val="00FA3A9D"/>
    <w:rsid w:val="00FA3B9E"/>
    <w:rsid w:val="00FA3BA1"/>
    <w:rsid w:val="00FA3C1F"/>
    <w:rsid w:val="00FA3C87"/>
    <w:rsid w:val="00FA3FF3"/>
    <w:rsid w:val="00FA403E"/>
    <w:rsid w:val="00FA4071"/>
    <w:rsid w:val="00FA4088"/>
    <w:rsid w:val="00FA408A"/>
    <w:rsid w:val="00FA4096"/>
    <w:rsid w:val="00FA40CB"/>
    <w:rsid w:val="00FA4346"/>
    <w:rsid w:val="00FA4386"/>
    <w:rsid w:val="00FA4669"/>
    <w:rsid w:val="00FA48C0"/>
    <w:rsid w:val="00FA48CA"/>
    <w:rsid w:val="00FA4B18"/>
    <w:rsid w:val="00FA4B5F"/>
    <w:rsid w:val="00FA4C1C"/>
    <w:rsid w:val="00FA4C8C"/>
    <w:rsid w:val="00FA4CAB"/>
    <w:rsid w:val="00FA4E8F"/>
    <w:rsid w:val="00FA4F85"/>
    <w:rsid w:val="00FA4F90"/>
    <w:rsid w:val="00FA4FEE"/>
    <w:rsid w:val="00FA504E"/>
    <w:rsid w:val="00FA5129"/>
    <w:rsid w:val="00FA5261"/>
    <w:rsid w:val="00FA5285"/>
    <w:rsid w:val="00FA532D"/>
    <w:rsid w:val="00FA536D"/>
    <w:rsid w:val="00FA550C"/>
    <w:rsid w:val="00FA5592"/>
    <w:rsid w:val="00FA5628"/>
    <w:rsid w:val="00FA5663"/>
    <w:rsid w:val="00FA5684"/>
    <w:rsid w:val="00FA56AC"/>
    <w:rsid w:val="00FA57AA"/>
    <w:rsid w:val="00FA57D2"/>
    <w:rsid w:val="00FA5862"/>
    <w:rsid w:val="00FA58AE"/>
    <w:rsid w:val="00FA58C3"/>
    <w:rsid w:val="00FA595C"/>
    <w:rsid w:val="00FA59D7"/>
    <w:rsid w:val="00FA5A65"/>
    <w:rsid w:val="00FA5A85"/>
    <w:rsid w:val="00FA5AFE"/>
    <w:rsid w:val="00FA5B26"/>
    <w:rsid w:val="00FA5D0C"/>
    <w:rsid w:val="00FA5E1B"/>
    <w:rsid w:val="00FA5E2B"/>
    <w:rsid w:val="00FA5ED2"/>
    <w:rsid w:val="00FA5FE1"/>
    <w:rsid w:val="00FA6008"/>
    <w:rsid w:val="00FA6159"/>
    <w:rsid w:val="00FA6185"/>
    <w:rsid w:val="00FA6343"/>
    <w:rsid w:val="00FA64EE"/>
    <w:rsid w:val="00FA65C7"/>
    <w:rsid w:val="00FA6670"/>
    <w:rsid w:val="00FA667B"/>
    <w:rsid w:val="00FA66AE"/>
    <w:rsid w:val="00FA672F"/>
    <w:rsid w:val="00FA680A"/>
    <w:rsid w:val="00FA68D1"/>
    <w:rsid w:val="00FA6943"/>
    <w:rsid w:val="00FA6A8D"/>
    <w:rsid w:val="00FA6AC2"/>
    <w:rsid w:val="00FA6ADC"/>
    <w:rsid w:val="00FA6AF6"/>
    <w:rsid w:val="00FA6BA5"/>
    <w:rsid w:val="00FA6BA9"/>
    <w:rsid w:val="00FA6C05"/>
    <w:rsid w:val="00FA6EBD"/>
    <w:rsid w:val="00FA6ED7"/>
    <w:rsid w:val="00FA6FCA"/>
    <w:rsid w:val="00FA7005"/>
    <w:rsid w:val="00FA7061"/>
    <w:rsid w:val="00FA70DC"/>
    <w:rsid w:val="00FA71F3"/>
    <w:rsid w:val="00FA7209"/>
    <w:rsid w:val="00FA7259"/>
    <w:rsid w:val="00FA7448"/>
    <w:rsid w:val="00FA74A2"/>
    <w:rsid w:val="00FA74D6"/>
    <w:rsid w:val="00FA7508"/>
    <w:rsid w:val="00FA7633"/>
    <w:rsid w:val="00FA765D"/>
    <w:rsid w:val="00FA7672"/>
    <w:rsid w:val="00FA76C8"/>
    <w:rsid w:val="00FA7717"/>
    <w:rsid w:val="00FA7784"/>
    <w:rsid w:val="00FA78C7"/>
    <w:rsid w:val="00FA792B"/>
    <w:rsid w:val="00FA7992"/>
    <w:rsid w:val="00FA7A3B"/>
    <w:rsid w:val="00FA7A87"/>
    <w:rsid w:val="00FA7A91"/>
    <w:rsid w:val="00FA7AD7"/>
    <w:rsid w:val="00FA7B2C"/>
    <w:rsid w:val="00FA7B35"/>
    <w:rsid w:val="00FA7BDA"/>
    <w:rsid w:val="00FA7C92"/>
    <w:rsid w:val="00FA7D93"/>
    <w:rsid w:val="00FB0194"/>
    <w:rsid w:val="00FB0238"/>
    <w:rsid w:val="00FB0281"/>
    <w:rsid w:val="00FB02C1"/>
    <w:rsid w:val="00FB03EC"/>
    <w:rsid w:val="00FB0422"/>
    <w:rsid w:val="00FB042A"/>
    <w:rsid w:val="00FB0520"/>
    <w:rsid w:val="00FB0670"/>
    <w:rsid w:val="00FB0718"/>
    <w:rsid w:val="00FB079C"/>
    <w:rsid w:val="00FB09A0"/>
    <w:rsid w:val="00FB09E5"/>
    <w:rsid w:val="00FB09F3"/>
    <w:rsid w:val="00FB0B8A"/>
    <w:rsid w:val="00FB0BFB"/>
    <w:rsid w:val="00FB0C81"/>
    <w:rsid w:val="00FB0CF8"/>
    <w:rsid w:val="00FB0D9F"/>
    <w:rsid w:val="00FB0E03"/>
    <w:rsid w:val="00FB0E48"/>
    <w:rsid w:val="00FB108C"/>
    <w:rsid w:val="00FB10A0"/>
    <w:rsid w:val="00FB10BB"/>
    <w:rsid w:val="00FB10F4"/>
    <w:rsid w:val="00FB11DF"/>
    <w:rsid w:val="00FB11E8"/>
    <w:rsid w:val="00FB121C"/>
    <w:rsid w:val="00FB1238"/>
    <w:rsid w:val="00FB1324"/>
    <w:rsid w:val="00FB136D"/>
    <w:rsid w:val="00FB14D1"/>
    <w:rsid w:val="00FB14D7"/>
    <w:rsid w:val="00FB1674"/>
    <w:rsid w:val="00FB1757"/>
    <w:rsid w:val="00FB179F"/>
    <w:rsid w:val="00FB17F8"/>
    <w:rsid w:val="00FB1849"/>
    <w:rsid w:val="00FB1858"/>
    <w:rsid w:val="00FB189E"/>
    <w:rsid w:val="00FB19C8"/>
    <w:rsid w:val="00FB19F6"/>
    <w:rsid w:val="00FB1AC8"/>
    <w:rsid w:val="00FB1BD0"/>
    <w:rsid w:val="00FB1C00"/>
    <w:rsid w:val="00FB1C77"/>
    <w:rsid w:val="00FB1CF0"/>
    <w:rsid w:val="00FB1F87"/>
    <w:rsid w:val="00FB1F9D"/>
    <w:rsid w:val="00FB1FC3"/>
    <w:rsid w:val="00FB1FCC"/>
    <w:rsid w:val="00FB214B"/>
    <w:rsid w:val="00FB217F"/>
    <w:rsid w:val="00FB218B"/>
    <w:rsid w:val="00FB21F9"/>
    <w:rsid w:val="00FB2230"/>
    <w:rsid w:val="00FB229E"/>
    <w:rsid w:val="00FB2331"/>
    <w:rsid w:val="00FB2340"/>
    <w:rsid w:val="00FB236E"/>
    <w:rsid w:val="00FB237E"/>
    <w:rsid w:val="00FB23A4"/>
    <w:rsid w:val="00FB2409"/>
    <w:rsid w:val="00FB2511"/>
    <w:rsid w:val="00FB2517"/>
    <w:rsid w:val="00FB25F0"/>
    <w:rsid w:val="00FB269E"/>
    <w:rsid w:val="00FB2802"/>
    <w:rsid w:val="00FB2821"/>
    <w:rsid w:val="00FB2A6D"/>
    <w:rsid w:val="00FB2B2A"/>
    <w:rsid w:val="00FB2C06"/>
    <w:rsid w:val="00FB2E85"/>
    <w:rsid w:val="00FB2F54"/>
    <w:rsid w:val="00FB2F71"/>
    <w:rsid w:val="00FB305E"/>
    <w:rsid w:val="00FB3063"/>
    <w:rsid w:val="00FB3475"/>
    <w:rsid w:val="00FB34A4"/>
    <w:rsid w:val="00FB3576"/>
    <w:rsid w:val="00FB35D9"/>
    <w:rsid w:val="00FB369F"/>
    <w:rsid w:val="00FB3727"/>
    <w:rsid w:val="00FB395C"/>
    <w:rsid w:val="00FB3A9D"/>
    <w:rsid w:val="00FB3ADE"/>
    <w:rsid w:val="00FB3BFC"/>
    <w:rsid w:val="00FB3C61"/>
    <w:rsid w:val="00FB3CB6"/>
    <w:rsid w:val="00FB3CDF"/>
    <w:rsid w:val="00FB3E20"/>
    <w:rsid w:val="00FB3E56"/>
    <w:rsid w:val="00FB3FD2"/>
    <w:rsid w:val="00FB40BE"/>
    <w:rsid w:val="00FB416C"/>
    <w:rsid w:val="00FB4184"/>
    <w:rsid w:val="00FB4367"/>
    <w:rsid w:val="00FB43F9"/>
    <w:rsid w:val="00FB45EB"/>
    <w:rsid w:val="00FB46A4"/>
    <w:rsid w:val="00FB477E"/>
    <w:rsid w:val="00FB4855"/>
    <w:rsid w:val="00FB492A"/>
    <w:rsid w:val="00FB4993"/>
    <w:rsid w:val="00FB4A91"/>
    <w:rsid w:val="00FB4BDF"/>
    <w:rsid w:val="00FB4D0C"/>
    <w:rsid w:val="00FB4DBF"/>
    <w:rsid w:val="00FB4F8D"/>
    <w:rsid w:val="00FB4FEE"/>
    <w:rsid w:val="00FB5001"/>
    <w:rsid w:val="00FB50B2"/>
    <w:rsid w:val="00FB51B3"/>
    <w:rsid w:val="00FB51D0"/>
    <w:rsid w:val="00FB51DB"/>
    <w:rsid w:val="00FB5234"/>
    <w:rsid w:val="00FB5364"/>
    <w:rsid w:val="00FB54E2"/>
    <w:rsid w:val="00FB54F1"/>
    <w:rsid w:val="00FB553A"/>
    <w:rsid w:val="00FB5567"/>
    <w:rsid w:val="00FB562E"/>
    <w:rsid w:val="00FB58DE"/>
    <w:rsid w:val="00FB5950"/>
    <w:rsid w:val="00FB59B8"/>
    <w:rsid w:val="00FB59CF"/>
    <w:rsid w:val="00FB59F8"/>
    <w:rsid w:val="00FB5AA1"/>
    <w:rsid w:val="00FB5AA7"/>
    <w:rsid w:val="00FB5C18"/>
    <w:rsid w:val="00FB5CDE"/>
    <w:rsid w:val="00FB5E55"/>
    <w:rsid w:val="00FB5E8E"/>
    <w:rsid w:val="00FB5EA7"/>
    <w:rsid w:val="00FB5EF9"/>
    <w:rsid w:val="00FB5F53"/>
    <w:rsid w:val="00FB5F9A"/>
    <w:rsid w:val="00FB60BC"/>
    <w:rsid w:val="00FB6162"/>
    <w:rsid w:val="00FB61F3"/>
    <w:rsid w:val="00FB62A5"/>
    <w:rsid w:val="00FB63A1"/>
    <w:rsid w:val="00FB650C"/>
    <w:rsid w:val="00FB6514"/>
    <w:rsid w:val="00FB6523"/>
    <w:rsid w:val="00FB6666"/>
    <w:rsid w:val="00FB6675"/>
    <w:rsid w:val="00FB672D"/>
    <w:rsid w:val="00FB6926"/>
    <w:rsid w:val="00FB69B7"/>
    <w:rsid w:val="00FB6A72"/>
    <w:rsid w:val="00FB6AAE"/>
    <w:rsid w:val="00FB6AC0"/>
    <w:rsid w:val="00FB6BD7"/>
    <w:rsid w:val="00FB6C39"/>
    <w:rsid w:val="00FB6C76"/>
    <w:rsid w:val="00FB6E33"/>
    <w:rsid w:val="00FB6F12"/>
    <w:rsid w:val="00FB6FA6"/>
    <w:rsid w:val="00FB710D"/>
    <w:rsid w:val="00FB7165"/>
    <w:rsid w:val="00FB71E0"/>
    <w:rsid w:val="00FB7279"/>
    <w:rsid w:val="00FB736A"/>
    <w:rsid w:val="00FB7375"/>
    <w:rsid w:val="00FB738B"/>
    <w:rsid w:val="00FB73DD"/>
    <w:rsid w:val="00FB74CE"/>
    <w:rsid w:val="00FB757B"/>
    <w:rsid w:val="00FB7583"/>
    <w:rsid w:val="00FB7686"/>
    <w:rsid w:val="00FB7689"/>
    <w:rsid w:val="00FB7737"/>
    <w:rsid w:val="00FB77F9"/>
    <w:rsid w:val="00FB77FC"/>
    <w:rsid w:val="00FB78C6"/>
    <w:rsid w:val="00FB78CD"/>
    <w:rsid w:val="00FB7A0D"/>
    <w:rsid w:val="00FB7A98"/>
    <w:rsid w:val="00FB7AEB"/>
    <w:rsid w:val="00FB7BDA"/>
    <w:rsid w:val="00FB7EB4"/>
    <w:rsid w:val="00FB7EC4"/>
    <w:rsid w:val="00FB7ED4"/>
    <w:rsid w:val="00FB7F31"/>
    <w:rsid w:val="00FB7F99"/>
    <w:rsid w:val="00FC013A"/>
    <w:rsid w:val="00FC016F"/>
    <w:rsid w:val="00FC01CE"/>
    <w:rsid w:val="00FC02EC"/>
    <w:rsid w:val="00FC0358"/>
    <w:rsid w:val="00FC03C3"/>
    <w:rsid w:val="00FC04E9"/>
    <w:rsid w:val="00FC0552"/>
    <w:rsid w:val="00FC0736"/>
    <w:rsid w:val="00FC07A6"/>
    <w:rsid w:val="00FC0820"/>
    <w:rsid w:val="00FC0826"/>
    <w:rsid w:val="00FC0A45"/>
    <w:rsid w:val="00FC0AE6"/>
    <w:rsid w:val="00FC0BDB"/>
    <w:rsid w:val="00FC0C29"/>
    <w:rsid w:val="00FC0C5D"/>
    <w:rsid w:val="00FC0CAE"/>
    <w:rsid w:val="00FC0DA4"/>
    <w:rsid w:val="00FC0E7F"/>
    <w:rsid w:val="00FC0EA4"/>
    <w:rsid w:val="00FC0ECD"/>
    <w:rsid w:val="00FC0FA3"/>
    <w:rsid w:val="00FC0FB3"/>
    <w:rsid w:val="00FC102F"/>
    <w:rsid w:val="00FC112B"/>
    <w:rsid w:val="00FC1162"/>
    <w:rsid w:val="00FC1203"/>
    <w:rsid w:val="00FC1249"/>
    <w:rsid w:val="00FC13C8"/>
    <w:rsid w:val="00FC143C"/>
    <w:rsid w:val="00FC14A3"/>
    <w:rsid w:val="00FC14F6"/>
    <w:rsid w:val="00FC1566"/>
    <w:rsid w:val="00FC16C1"/>
    <w:rsid w:val="00FC16C8"/>
    <w:rsid w:val="00FC18AA"/>
    <w:rsid w:val="00FC18C6"/>
    <w:rsid w:val="00FC19F2"/>
    <w:rsid w:val="00FC1AA0"/>
    <w:rsid w:val="00FC1C07"/>
    <w:rsid w:val="00FC1E5D"/>
    <w:rsid w:val="00FC1E94"/>
    <w:rsid w:val="00FC1F9E"/>
    <w:rsid w:val="00FC1FB4"/>
    <w:rsid w:val="00FC215A"/>
    <w:rsid w:val="00FC24BF"/>
    <w:rsid w:val="00FC24F3"/>
    <w:rsid w:val="00FC2593"/>
    <w:rsid w:val="00FC25A7"/>
    <w:rsid w:val="00FC2631"/>
    <w:rsid w:val="00FC2895"/>
    <w:rsid w:val="00FC28D3"/>
    <w:rsid w:val="00FC28E7"/>
    <w:rsid w:val="00FC28EC"/>
    <w:rsid w:val="00FC28FA"/>
    <w:rsid w:val="00FC2A21"/>
    <w:rsid w:val="00FC2AD1"/>
    <w:rsid w:val="00FC2BFB"/>
    <w:rsid w:val="00FC2CE0"/>
    <w:rsid w:val="00FC2D75"/>
    <w:rsid w:val="00FC2F95"/>
    <w:rsid w:val="00FC302E"/>
    <w:rsid w:val="00FC30EE"/>
    <w:rsid w:val="00FC3190"/>
    <w:rsid w:val="00FC3279"/>
    <w:rsid w:val="00FC32B8"/>
    <w:rsid w:val="00FC3304"/>
    <w:rsid w:val="00FC342D"/>
    <w:rsid w:val="00FC3473"/>
    <w:rsid w:val="00FC34CC"/>
    <w:rsid w:val="00FC34E6"/>
    <w:rsid w:val="00FC34F1"/>
    <w:rsid w:val="00FC3530"/>
    <w:rsid w:val="00FC3622"/>
    <w:rsid w:val="00FC36FF"/>
    <w:rsid w:val="00FC37CF"/>
    <w:rsid w:val="00FC3931"/>
    <w:rsid w:val="00FC395F"/>
    <w:rsid w:val="00FC3A0A"/>
    <w:rsid w:val="00FC3A17"/>
    <w:rsid w:val="00FC3A23"/>
    <w:rsid w:val="00FC3B54"/>
    <w:rsid w:val="00FC3BC2"/>
    <w:rsid w:val="00FC3BD6"/>
    <w:rsid w:val="00FC3C4D"/>
    <w:rsid w:val="00FC3ECD"/>
    <w:rsid w:val="00FC3EEA"/>
    <w:rsid w:val="00FC3F05"/>
    <w:rsid w:val="00FC4091"/>
    <w:rsid w:val="00FC4197"/>
    <w:rsid w:val="00FC41EF"/>
    <w:rsid w:val="00FC42B9"/>
    <w:rsid w:val="00FC4300"/>
    <w:rsid w:val="00FC430C"/>
    <w:rsid w:val="00FC4376"/>
    <w:rsid w:val="00FC4703"/>
    <w:rsid w:val="00FC4810"/>
    <w:rsid w:val="00FC48FE"/>
    <w:rsid w:val="00FC49C2"/>
    <w:rsid w:val="00FC4A2B"/>
    <w:rsid w:val="00FC4A96"/>
    <w:rsid w:val="00FC4B1C"/>
    <w:rsid w:val="00FC4B4F"/>
    <w:rsid w:val="00FC4CA7"/>
    <w:rsid w:val="00FC4CAF"/>
    <w:rsid w:val="00FC4CEC"/>
    <w:rsid w:val="00FC4CEF"/>
    <w:rsid w:val="00FC4CF5"/>
    <w:rsid w:val="00FC4D5A"/>
    <w:rsid w:val="00FC4F23"/>
    <w:rsid w:val="00FC4F2B"/>
    <w:rsid w:val="00FC4F53"/>
    <w:rsid w:val="00FC4F8F"/>
    <w:rsid w:val="00FC527A"/>
    <w:rsid w:val="00FC535D"/>
    <w:rsid w:val="00FC5539"/>
    <w:rsid w:val="00FC5636"/>
    <w:rsid w:val="00FC56BD"/>
    <w:rsid w:val="00FC5733"/>
    <w:rsid w:val="00FC5815"/>
    <w:rsid w:val="00FC5832"/>
    <w:rsid w:val="00FC59F5"/>
    <w:rsid w:val="00FC5AEF"/>
    <w:rsid w:val="00FC5B21"/>
    <w:rsid w:val="00FC5B41"/>
    <w:rsid w:val="00FC5B96"/>
    <w:rsid w:val="00FC5C6F"/>
    <w:rsid w:val="00FC5D75"/>
    <w:rsid w:val="00FC5D76"/>
    <w:rsid w:val="00FC5DB1"/>
    <w:rsid w:val="00FC5DEA"/>
    <w:rsid w:val="00FC5E40"/>
    <w:rsid w:val="00FC5ECF"/>
    <w:rsid w:val="00FC5EEE"/>
    <w:rsid w:val="00FC5F00"/>
    <w:rsid w:val="00FC60B0"/>
    <w:rsid w:val="00FC60DD"/>
    <w:rsid w:val="00FC612D"/>
    <w:rsid w:val="00FC61D2"/>
    <w:rsid w:val="00FC63CB"/>
    <w:rsid w:val="00FC6404"/>
    <w:rsid w:val="00FC651D"/>
    <w:rsid w:val="00FC6768"/>
    <w:rsid w:val="00FC69F1"/>
    <w:rsid w:val="00FC69FE"/>
    <w:rsid w:val="00FC6BA0"/>
    <w:rsid w:val="00FC6C11"/>
    <w:rsid w:val="00FC6C51"/>
    <w:rsid w:val="00FC6D4D"/>
    <w:rsid w:val="00FC6D66"/>
    <w:rsid w:val="00FC6DA7"/>
    <w:rsid w:val="00FC6DF6"/>
    <w:rsid w:val="00FC6E30"/>
    <w:rsid w:val="00FC6F42"/>
    <w:rsid w:val="00FC6F76"/>
    <w:rsid w:val="00FC6F94"/>
    <w:rsid w:val="00FC6FBF"/>
    <w:rsid w:val="00FC701D"/>
    <w:rsid w:val="00FC7081"/>
    <w:rsid w:val="00FC70C4"/>
    <w:rsid w:val="00FC70D8"/>
    <w:rsid w:val="00FC70E6"/>
    <w:rsid w:val="00FC712F"/>
    <w:rsid w:val="00FC720F"/>
    <w:rsid w:val="00FC74ED"/>
    <w:rsid w:val="00FC750A"/>
    <w:rsid w:val="00FC76A3"/>
    <w:rsid w:val="00FC773C"/>
    <w:rsid w:val="00FC7844"/>
    <w:rsid w:val="00FC7889"/>
    <w:rsid w:val="00FC79FC"/>
    <w:rsid w:val="00FC7A09"/>
    <w:rsid w:val="00FC7B2E"/>
    <w:rsid w:val="00FC7BBC"/>
    <w:rsid w:val="00FC7CB9"/>
    <w:rsid w:val="00FC7D13"/>
    <w:rsid w:val="00FC7D7B"/>
    <w:rsid w:val="00FC7E6B"/>
    <w:rsid w:val="00FC7E7B"/>
    <w:rsid w:val="00FC7E9D"/>
    <w:rsid w:val="00FC7EAB"/>
    <w:rsid w:val="00FC7FCC"/>
    <w:rsid w:val="00FD006C"/>
    <w:rsid w:val="00FD0123"/>
    <w:rsid w:val="00FD0179"/>
    <w:rsid w:val="00FD019D"/>
    <w:rsid w:val="00FD021B"/>
    <w:rsid w:val="00FD0233"/>
    <w:rsid w:val="00FD0324"/>
    <w:rsid w:val="00FD0353"/>
    <w:rsid w:val="00FD036D"/>
    <w:rsid w:val="00FD0388"/>
    <w:rsid w:val="00FD045D"/>
    <w:rsid w:val="00FD057B"/>
    <w:rsid w:val="00FD05CF"/>
    <w:rsid w:val="00FD05EB"/>
    <w:rsid w:val="00FD06E0"/>
    <w:rsid w:val="00FD0758"/>
    <w:rsid w:val="00FD0762"/>
    <w:rsid w:val="00FD08FF"/>
    <w:rsid w:val="00FD09A1"/>
    <w:rsid w:val="00FD09D1"/>
    <w:rsid w:val="00FD0B7D"/>
    <w:rsid w:val="00FD0BB3"/>
    <w:rsid w:val="00FD0CE7"/>
    <w:rsid w:val="00FD0D0A"/>
    <w:rsid w:val="00FD0DB2"/>
    <w:rsid w:val="00FD0EFB"/>
    <w:rsid w:val="00FD116C"/>
    <w:rsid w:val="00FD121C"/>
    <w:rsid w:val="00FD122C"/>
    <w:rsid w:val="00FD1323"/>
    <w:rsid w:val="00FD139B"/>
    <w:rsid w:val="00FD13CB"/>
    <w:rsid w:val="00FD155F"/>
    <w:rsid w:val="00FD1586"/>
    <w:rsid w:val="00FD16A4"/>
    <w:rsid w:val="00FD16EE"/>
    <w:rsid w:val="00FD1760"/>
    <w:rsid w:val="00FD17AA"/>
    <w:rsid w:val="00FD183E"/>
    <w:rsid w:val="00FD18E9"/>
    <w:rsid w:val="00FD1A0F"/>
    <w:rsid w:val="00FD1A50"/>
    <w:rsid w:val="00FD1ABA"/>
    <w:rsid w:val="00FD1E41"/>
    <w:rsid w:val="00FD1F0F"/>
    <w:rsid w:val="00FD1F67"/>
    <w:rsid w:val="00FD1FDC"/>
    <w:rsid w:val="00FD2007"/>
    <w:rsid w:val="00FD2037"/>
    <w:rsid w:val="00FD208B"/>
    <w:rsid w:val="00FD20E7"/>
    <w:rsid w:val="00FD22E8"/>
    <w:rsid w:val="00FD2301"/>
    <w:rsid w:val="00FD2329"/>
    <w:rsid w:val="00FD23FF"/>
    <w:rsid w:val="00FD24EC"/>
    <w:rsid w:val="00FD2586"/>
    <w:rsid w:val="00FD25C0"/>
    <w:rsid w:val="00FD25F1"/>
    <w:rsid w:val="00FD26DD"/>
    <w:rsid w:val="00FD26E4"/>
    <w:rsid w:val="00FD271B"/>
    <w:rsid w:val="00FD27A2"/>
    <w:rsid w:val="00FD29CC"/>
    <w:rsid w:val="00FD2A37"/>
    <w:rsid w:val="00FD2A48"/>
    <w:rsid w:val="00FD2A5C"/>
    <w:rsid w:val="00FD2B12"/>
    <w:rsid w:val="00FD2C77"/>
    <w:rsid w:val="00FD2C8E"/>
    <w:rsid w:val="00FD2DBE"/>
    <w:rsid w:val="00FD2DC6"/>
    <w:rsid w:val="00FD2DDB"/>
    <w:rsid w:val="00FD2EBC"/>
    <w:rsid w:val="00FD2EE4"/>
    <w:rsid w:val="00FD3025"/>
    <w:rsid w:val="00FD30E4"/>
    <w:rsid w:val="00FD31B6"/>
    <w:rsid w:val="00FD32AB"/>
    <w:rsid w:val="00FD32B1"/>
    <w:rsid w:val="00FD335D"/>
    <w:rsid w:val="00FD3386"/>
    <w:rsid w:val="00FD338A"/>
    <w:rsid w:val="00FD338B"/>
    <w:rsid w:val="00FD33BF"/>
    <w:rsid w:val="00FD34E9"/>
    <w:rsid w:val="00FD3556"/>
    <w:rsid w:val="00FD3572"/>
    <w:rsid w:val="00FD3651"/>
    <w:rsid w:val="00FD376B"/>
    <w:rsid w:val="00FD38AE"/>
    <w:rsid w:val="00FD392A"/>
    <w:rsid w:val="00FD3968"/>
    <w:rsid w:val="00FD3A25"/>
    <w:rsid w:val="00FD3AA8"/>
    <w:rsid w:val="00FD3AF3"/>
    <w:rsid w:val="00FD3AFA"/>
    <w:rsid w:val="00FD3BFE"/>
    <w:rsid w:val="00FD3CA0"/>
    <w:rsid w:val="00FD3FA5"/>
    <w:rsid w:val="00FD4040"/>
    <w:rsid w:val="00FD40AB"/>
    <w:rsid w:val="00FD41CB"/>
    <w:rsid w:val="00FD4211"/>
    <w:rsid w:val="00FD426D"/>
    <w:rsid w:val="00FD4324"/>
    <w:rsid w:val="00FD4517"/>
    <w:rsid w:val="00FD469F"/>
    <w:rsid w:val="00FD4824"/>
    <w:rsid w:val="00FD4864"/>
    <w:rsid w:val="00FD4979"/>
    <w:rsid w:val="00FD4995"/>
    <w:rsid w:val="00FD49C5"/>
    <w:rsid w:val="00FD49F8"/>
    <w:rsid w:val="00FD4A9B"/>
    <w:rsid w:val="00FD4AA8"/>
    <w:rsid w:val="00FD4BAA"/>
    <w:rsid w:val="00FD4C7B"/>
    <w:rsid w:val="00FD4D1D"/>
    <w:rsid w:val="00FD4E7E"/>
    <w:rsid w:val="00FD4ECE"/>
    <w:rsid w:val="00FD4FBB"/>
    <w:rsid w:val="00FD4FF7"/>
    <w:rsid w:val="00FD507C"/>
    <w:rsid w:val="00FD51DA"/>
    <w:rsid w:val="00FD521D"/>
    <w:rsid w:val="00FD5267"/>
    <w:rsid w:val="00FD5358"/>
    <w:rsid w:val="00FD536E"/>
    <w:rsid w:val="00FD549D"/>
    <w:rsid w:val="00FD5583"/>
    <w:rsid w:val="00FD56C0"/>
    <w:rsid w:val="00FD56F6"/>
    <w:rsid w:val="00FD5753"/>
    <w:rsid w:val="00FD5794"/>
    <w:rsid w:val="00FD58EE"/>
    <w:rsid w:val="00FD590E"/>
    <w:rsid w:val="00FD5CF9"/>
    <w:rsid w:val="00FD5D49"/>
    <w:rsid w:val="00FD5D6C"/>
    <w:rsid w:val="00FD5E07"/>
    <w:rsid w:val="00FD5ED8"/>
    <w:rsid w:val="00FD5F64"/>
    <w:rsid w:val="00FD5F74"/>
    <w:rsid w:val="00FD5F85"/>
    <w:rsid w:val="00FD5FEB"/>
    <w:rsid w:val="00FD61F6"/>
    <w:rsid w:val="00FD6293"/>
    <w:rsid w:val="00FD6477"/>
    <w:rsid w:val="00FD64B4"/>
    <w:rsid w:val="00FD677C"/>
    <w:rsid w:val="00FD6795"/>
    <w:rsid w:val="00FD6821"/>
    <w:rsid w:val="00FD686A"/>
    <w:rsid w:val="00FD6980"/>
    <w:rsid w:val="00FD69CF"/>
    <w:rsid w:val="00FD69F0"/>
    <w:rsid w:val="00FD6A03"/>
    <w:rsid w:val="00FD6AD7"/>
    <w:rsid w:val="00FD6B62"/>
    <w:rsid w:val="00FD6C9B"/>
    <w:rsid w:val="00FD6D49"/>
    <w:rsid w:val="00FD6E5F"/>
    <w:rsid w:val="00FD6EE7"/>
    <w:rsid w:val="00FD70AD"/>
    <w:rsid w:val="00FD7139"/>
    <w:rsid w:val="00FD71B1"/>
    <w:rsid w:val="00FD71DC"/>
    <w:rsid w:val="00FD71F7"/>
    <w:rsid w:val="00FD7200"/>
    <w:rsid w:val="00FD725F"/>
    <w:rsid w:val="00FD733E"/>
    <w:rsid w:val="00FD73FC"/>
    <w:rsid w:val="00FD74FB"/>
    <w:rsid w:val="00FD7503"/>
    <w:rsid w:val="00FD7563"/>
    <w:rsid w:val="00FD771F"/>
    <w:rsid w:val="00FD7787"/>
    <w:rsid w:val="00FD77F5"/>
    <w:rsid w:val="00FD78BD"/>
    <w:rsid w:val="00FD78BE"/>
    <w:rsid w:val="00FD79C4"/>
    <w:rsid w:val="00FD79DD"/>
    <w:rsid w:val="00FD7A0A"/>
    <w:rsid w:val="00FD7D04"/>
    <w:rsid w:val="00FD7E81"/>
    <w:rsid w:val="00FD7EB5"/>
    <w:rsid w:val="00FD7ECF"/>
    <w:rsid w:val="00FD7EF2"/>
    <w:rsid w:val="00FD7F25"/>
    <w:rsid w:val="00FD923F"/>
    <w:rsid w:val="00FE00EC"/>
    <w:rsid w:val="00FE019D"/>
    <w:rsid w:val="00FE036E"/>
    <w:rsid w:val="00FE0372"/>
    <w:rsid w:val="00FE0517"/>
    <w:rsid w:val="00FE0635"/>
    <w:rsid w:val="00FE0653"/>
    <w:rsid w:val="00FE0792"/>
    <w:rsid w:val="00FE0853"/>
    <w:rsid w:val="00FE0869"/>
    <w:rsid w:val="00FE08F4"/>
    <w:rsid w:val="00FE0A33"/>
    <w:rsid w:val="00FE0ABD"/>
    <w:rsid w:val="00FE0B4C"/>
    <w:rsid w:val="00FE0BC2"/>
    <w:rsid w:val="00FE0BF2"/>
    <w:rsid w:val="00FE0C9B"/>
    <w:rsid w:val="00FE0D29"/>
    <w:rsid w:val="00FE0EEB"/>
    <w:rsid w:val="00FE0F73"/>
    <w:rsid w:val="00FE106E"/>
    <w:rsid w:val="00FE11DB"/>
    <w:rsid w:val="00FE1213"/>
    <w:rsid w:val="00FE1241"/>
    <w:rsid w:val="00FE12BC"/>
    <w:rsid w:val="00FE131E"/>
    <w:rsid w:val="00FE1513"/>
    <w:rsid w:val="00FE15BC"/>
    <w:rsid w:val="00FE15F5"/>
    <w:rsid w:val="00FE1654"/>
    <w:rsid w:val="00FE166E"/>
    <w:rsid w:val="00FE1678"/>
    <w:rsid w:val="00FE17EA"/>
    <w:rsid w:val="00FE17F9"/>
    <w:rsid w:val="00FE1846"/>
    <w:rsid w:val="00FE1976"/>
    <w:rsid w:val="00FE1B91"/>
    <w:rsid w:val="00FE1BAA"/>
    <w:rsid w:val="00FE1BBE"/>
    <w:rsid w:val="00FE1CCD"/>
    <w:rsid w:val="00FE1D77"/>
    <w:rsid w:val="00FE1D7D"/>
    <w:rsid w:val="00FE1E29"/>
    <w:rsid w:val="00FE1EF5"/>
    <w:rsid w:val="00FE1F1C"/>
    <w:rsid w:val="00FE1F97"/>
    <w:rsid w:val="00FE1FB9"/>
    <w:rsid w:val="00FE1FE0"/>
    <w:rsid w:val="00FE228B"/>
    <w:rsid w:val="00FE229D"/>
    <w:rsid w:val="00FE22B1"/>
    <w:rsid w:val="00FE22EA"/>
    <w:rsid w:val="00FE247A"/>
    <w:rsid w:val="00FE256E"/>
    <w:rsid w:val="00FE2613"/>
    <w:rsid w:val="00FE276A"/>
    <w:rsid w:val="00FE2A06"/>
    <w:rsid w:val="00FE2C5C"/>
    <w:rsid w:val="00FE2D81"/>
    <w:rsid w:val="00FE2E24"/>
    <w:rsid w:val="00FE2FAA"/>
    <w:rsid w:val="00FE2FF2"/>
    <w:rsid w:val="00FE3097"/>
    <w:rsid w:val="00FE3142"/>
    <w:rsid w:val="00FE31C0"/>
    <w:rsid w:val="00FE31CC"/>
    <w:rsid w:val="00FE324B"/>
    <w:rsid w:val="00FE3255"/>
    <w:rsid w:val="00FE33B0"/>
    <w:rsid w:val="00FE34C5"/>
    <w:rsid w:val="00FE34C7"/>
    <w:rsid w:val="00FE3605"/>
    <w:rsid w:val="00FE372A"/>
    <w:rsid w:val="00FE37A6"/>
    <w:rsid w:val="00FE3863"/>
    <w:rsid w:val="00FE38A9"/>
    <w:rsid w:val="00FE3959"/>
    <w:rsid w:val="00FE3996"/>
    <w:rsid w:val="00FE39A1"/>
    <w:rsid w:val="00FE3A6D"/>
    <w:rsid w:val="00FE3C09"/>
    <w:rsid w:val="00FE3C98"/>
    <w:rsid w:val="00FE3D6F"/>
    <w:rsid w:val="00FE3DA2"/>
    <w:rsid w:val="00FE3E29"/>
    <w:rsid w:val="00FE3FAC"/>
    <w:rsid w:val="00FE4017"/>
    <w:rsid w:val="00FE40F3"/>
    <w:rsid w:val="00FE42CE"/>
    <w:rsid w:val="00FE4351"/>
    <w:rsid w:val="00FE4376"/>
    <w:rsid w:val="00FE4528"/>
    <w:rsid w:val="00FE46B8"/>
    <w:rsid w:val="00FE4761"/>
    <w:rsid w:val="00FE480E"/>
    <w:rsid w:val="00FE4899"/>
    <w:rsid w:val="00FE48B8"/>
    <w:rsid w:val="00FE4AB3"/>
    <w:rsid w:val="00FE4B76"/>
    <w:rsid w:val="00FE4D7D"/>
    <w:rsid w:val="00FE4DC9"/>
    <w:rsid w:val="00FE4E33"/>
    <w:rsid w:val="00FE4E89"/>
    <w:rsid w:val="00FE4E8A"/>
    <w:rsid w:val="00FE4EA5"/>
    <w:rsid w:val="00FE4EA9"/>
    <w:rsid w:val="00FE4EFA"/>
    <w:rsid w:val="00FE4FE7"/>
    <w:rsid w:val="00FE50C3"/>
    <w:rsid w:val="00FE525B"/>
    <w:rsid w:val="00FE52DD"/>
    <w:rsid w:val="00FE538E"/>
    <w:rsid w:val="00FE53AA"/>
    <w:rsid w:val="00FE5535"/>
    <w:rsid w:val="00FE555B"/>
    <w:rsid w:val="00FE5677"/>
    <w:rsid w:val="00FE5854"/>
    <w:rsid w:val="00FE587F"/>
    <w:rsid w:val="00FE588D"/>
    <w:rsid w:val="00FE5905"/>
    <w:rsid w:val="00FE592E"/>
    <w:rsid w:val="00FE5950"/>
    <w:rsid w:val="00FE5963"/>
    <w:rsid w:val="00FE5B90"/>
    <w:rsid w:val="00FE5B9C"/>
    <w:rsid w:val="00FE5BAF"/>
    <w:rsid w:val="00FE5C3A"/>
    <w:rsid w:val="00FE5CC2"/>
    <w:rsid w:val="00FE5D1D"/>
    <w:rsid w:val="00FE5D68"/>
    <w:rsid w:val="00FE5D78"/>
    <w:rsid w:val="00FE5D7A"/>
    <w:rsid w:val="00FE5D84"/>
    <w:rsid w:val="00FE5DF7"/>
    <w:rsid w:val="00FE5E10"/>
    <w:rsid w:val="00FE5ECC"/>
    <w:rsid w:val="00FE5F49"/>
    <w:rsid w:val="00FE6018"/>
    <w:rsid w:val="00FE608E"/>
    <w:rsid w:val="00FE60B8"/>
    <w:rsid w:val="00FE60D2"/>
    <w:rsid w:val="00FE617E"/>
    <w:rsid w:val="00FE625E"/>
    <w:rsid w:val="00FE62AE"/>
    <w:rsid w:val="00FE6307"/>
    <w:rsid w:val="00FE6411"/>
    <w:rsid w:val="00FE6430"/>
    <w:rsid w:val="00FE645A"/>
    <w:rsid w:val="00FE6483"/>
    <w:rsid w:val="00FE64D4"/>
    <w:rsid w:val="00FE651A"/>
    <w:rsid w:val="00FE6686"/>
    <w:rsid w:val="00FE67D2"/>
    <w:rsid w:val="00FE692A"/>
    <w:rsid w:val="00FE69F3"/>
    <w:rsid w:val="00FE6A82"/>
    <w:rsid w:val="00FE6D03"/>
    <w:rsid w:val="00FE6D12"/>
    <w:rsid w:val="00FE6D32"/>
    <w:rsid w:val="00FE6D33"/>
    <w:rsid w:val="00FE6D4D"/>
    <w:rsid w:val="00FE6DA1"/>
    <w:rsid w:val="00FE6E50"/>
    <w:rsid w:val="00FE6F65"/>
    <w:rsid w:val="00FE7048"/>
    <w:rsid w:val="00FE712D"/>
    <w:rsid w:val="00FE713F"/>
    <w:rsid w:val="00FE7302"/>
    <w:rsid w:val="00FE7386"/>
    <w:rsid w:val="00FE7454"/>
    <w:rsid w:val="00FE7547"/>
    <w:rsid w:val="00FE754F"/>
    <w:rsid w:val="00FE7567"/>
    <w:rsid w:val="00FE7594"/>
    <w:rsid w:val="00FE75C0"/>
    <w:rsid w:val="00FE761E"/>
    <w:rsid w:val="00FE7641"/>
    <w:rsid w:val="00FE7819"/>
    <w:rsid w:val="00FE781B"/>
    <w:rsid w:val="00FE788A"/>
    <w:rsid w:val="00FE7898"/>
    <w:rsid w:val="00FE7982"/>
    <w:rsid w:val="00FE79D2"/>
    <w:rsid w:val="00FE7D5A"/>
    <w:rsid w:val="00FE7DB3"/>
    <w:rsid w:val="00FE7DDE"/>
    <w:rsid w:val="00FE7DF0"/>
    <w:rsid w:val="00FE7DFA"/>
    <w:rsid w:val="00FE7E52"/>
    <w:rsid w:val="00FE7EC5"/>
    <w:rsid w:val="00FF001B"/>
    <w:rsid w:val="00FF00C7"/>
    <w:rsid w:val="00FF0262"/>
    <w:rsid w:val="00FF02C3"/>
    <w:rsid w:val="00FF02D8"/>
    <w:rsid w:val="00FF0306"/>
    <w:rsid w:val="00FF0353"/>
    <w:rsid w:val="00FF0413"/>
    <w:rsid w:val="00FF04E4"/>
    <w:rsid w:val="00FF050A"/>
    <w:rsid w:val="00FF050C"/>
    <w:rsid w:val="00FF0543"/>
    <w:rsid w:val="00FF0771"/>
    <w:rsid w:val="00FF08B9"/>
    <w:rsid w:val="00FF08E9"/>
    <w:rsid w:val="00FF093E"/>
    <w:rsid w:val="00FF093F"/>
    <w:rsid w:val="00FF0976"/>
    <w:rsid w:val="00FF09F1"/>
    <w:rsid w:val="00FF0A4E"/>
    <w:rsid w:val="00FF0ACB"/>
    <w:rsid w:val="00FF0C00"/>
    <w:rsid w:val="00FF0C40"/>
    <w:rsid w:val="00FF0C95"/>
    <w:rsid w:val="00FF0D15"/>
    <w:rsid w:val="00FF0DE8"/>
    <w:rsid w:val="00FF0DEA"/>
    <w:rsid w:val="00FF0EA4"/>
    <w:rsid w:val="00FF0F4F"/>
    <w:rsid w:val="00FF1062"/>
    <w:rsid w:val="00FF10DC"/>
    <w:rsid w:val="00FF1114"/>
    <w:rsid w:val="00FF1178"/>
    <w:rsid w:val="00FF1195"/>
    <w:rsid w:val="00FF13D1"/>
    <w:rsid w:val="00FF13D4"/>
    <w:rsid w:val="00FF17C2"/>
    <w:rsid w:val="00FF17CC"/>
    <w:rsid w:val="00FF180D"/>
    <w:rsid w:val="00FF1848"/>
    <w:rsid w:val="00FF18C8"/>
    <w:rsid w:val="00FF18EF"/>
    <w:rsid w:val="00FF1911"/>
    <w:rsid w:val="00FF1A4A"/>
    <w:rsid w:val="00FF1C45"/>
    <w:rsid w:val="00FF1CA5"/>
    <w:rsid w:val="00FF1D43"/>
    <w:rsid w:val="00FF1DCB"/>
    <w:rsid w:val="00FF1DCF"/>
    <w:rsid w:val="00FF1EAB"/>
    <w:rsid w:val="00FF1F37"/>
    <w:rsid w:val="00FF1FD4"/>
    <w:rsid w:val="00FF2093"/>
    <w:rsid w:val="00FF215D"/>
    <w:rsid w:val="00FF2199"/>
    <w:rsid w:val="00FF23A8"/>
    <w:rsid w:val="00FF268B"/>
    <w:rsid w:val="00FF269B"/>
    <w:rsid w:val="00FF2743"/>
    <w:rsid w:val="00FF27BC"/>
    <w:rsid w:val="00FF27C0"/>
    <w:rsid w:val="00FF2810"/>
    <w:rsid w:val="00FF283E"/>
    <w:rsid w:val="00FF289B"/>
    <w:rsid w:val="00FF28AE"/>
    <w:rsid w:val="00FF29B0"/>
    <w:rsid w:val="00FF2A2B"/>
    <w:rsid w:val="00FF2B32"/>
    <w:rsid w:val="00FF2B98"/>
    <w:rsid w:val="00FF2BBE"/>
    <w:rsid w:val="00FF2C86"/>
    <w:rsid w:val="00FF2DA0"/>
    <w:rsid w:val="00FF2DBC"/>
    <w:rsid w:val="00FF306E"/>
    <w:rsid w:val="00FF327D"/>
    <w:rsid w:val="00FF32D2"/>
    <w:rsid w:val="00FF330B"/>
    <w:rsid w:val="00FF3377"/>
    <w:rsid w:val="00FF3379"/>
    <w:rsid w:val="00FF3429"/>
    <w:rsid w:val="00FF3490"/>
    <w:rsid w:val="00FF34E6"/>
    <w:rsid w:val="00FF35BE"/>
    <w:rsid w:val="00FF35DD"/>
    <w:rsid w:val="00FF36B4"/>
    <w:rsid w:val="00FF374E"/>
    <w:rsid w:val="00FF389F"/>
    <w:rsid w:val="00FF38E7"/>
    <w:rsid w:val="00FF393B"/>
    <w:rsid w:val="00FF3963"/>
    <w:rsid w:val="00FF3986"/>
    <w:rsid w:val="00FF39EA"/>
    <w:rsid w:val="00FF3AEC"/>
    <w:rsid w:val="00FF3B70"/>
    <w:rsid w:val="00FF3B80"/>
    <w:rsid w:val="00FF3BC6"/>
    <w:rsid w:val="00FF3D64"/>
    <w:rsid w:val="00FF3D6D"/>
    <w:rsid w:val="00FF3EEC"/>
    <w:rsid w:val="00FF4046"/>
    <w:rsid w:val="00FF4116"/>
    <w:rsid w:val="00FF414A"/>
    <w:rsid w:val="00FF4197"/>
    <w:rsid w:val="00FF437A"/>
    <w:rsid w:val="00FF438C"/>
    <w:rsid w:val="00FF43A1"/>
    <w:rsid w:val="00FF456D"/>
    <w:rsid w:val="00FF45A8"/>
    <w:rsid w:val="00FF4626"/>
    <w:rsid w:val="00FF46AB"/>
    <w:rsid w:val="00FF4866"/>
    <w:rsid w:val="00FF48A3"/>
    <w:rsid w:val="00FF49A8"/>
    <w:rsid w:val="00FF49FF"/>
    <w:rsid w:val="00FF4ACD"/>
    <w:rsid w:val="00FF4ADD"/>
    <w:rsid w:val="00FF4B06"/>
    <w:rsid w:val="00FF4B69"/>
    <w:rsid w:val="00FF4B8E"/>
    <w:rsid w:val="00FF4BD1"/>
    <w:rsid w:val="00FF4C66"/>
    <w:rsid w:val="00FF4D6E"/>
    <w:rsid w:val="00FF4DA9"/>
    <w:rsid w:val="00FF4F52"/>
    <w:rsid w:val="00FF5007"/>
    <w:rsid w:val="00FF5165"/>
    <w:rsid w:val="00FF51DC"/>
    <w:rsid w:val="00FF5336"/>
    <w:rsid w:val="00FF53F7"/>
    <w:rsid w:val="00FF5446"/>
    <w:rsid w:val="00FF554C"/>
    <w:rsid w:val="00FF55C6"/>
    <w:rsid w:val="00FF5764"/>
    <w:rsid w:val="00FF5861"/>
    <w:rsid w:val="00FF58A4"/>
    <w:rsid w:val="00FF5924"/>
    <w:rsid w:val="00FF5965"/>
    <w:rsid w:val="00FF59A7"/>
    <w:rsid w:val="00FF5B2F"/>
    <w:rsid w:val="00FF5C4D"/>
    <w:rsid w:val="00FF5C5C"/>
    <w:rsid w:val="00FF5CDB"/>
    <w:rsid w:val="00FF5E46"/>
    <w:rsid w:val="00FF5E6D"/>
    <w:rsid w:val="00FF5EE9"/>
    <w:rsid w:val="00FF5F5D"/>
    <w:rsid w:val="00FF5FC7"/>
    <w:rsid w:val="00FF6073"/>
    <w:rsid w:val="00FF6181"/>
    <w:rsid w:val="00FF61E8"/>
    <w:rsid w:val="00FF629E"/>
    <w:rsid w:val="00FF6306"/>
    <w:rsid w:val="00FF6489"/>
    <w:rsid w:val="00FF64DB"/>
    <w:rsid w:val="00FF652B"/>
    <w:rsid w:val="00FF66DB"/>
    <w:rsid w:val="00FF6B7A"/>
    <w:rsid w:val="00FF6BC7"/>
    <w:rsid w:val="00FF6C8B"/>
    <w:rsid w:val="00FF6D10"/>
    <w:rsid w:val="00FF6DD0"/>
    <w:rsid w:val="00FF6DDF"/>
    <w:rsid w:val="00FF6EDB"/>
    <w:rsid w:val="00FF6F6E"/>
    <w:rsid w:val="00FF6FB7"/>
    <w:rsid w:val="00FF7064"/>
    <w:rsid w:val="00FF7129"/>
    <w:rsid w:val="00FF714E"/>
    <w:rsid w:val="00FF71A4"/>
    <w:rsid w:val="00FF71C7"/>
    <w:rsid w:val="00FF7269"/>
    <w:rsid w:val="00FF736C"/>
    <w:rsid w:val="00FF737B"/>
    <w:rsid w:val="00FF73E1"/>
    <w:rsid w:val="00FF744A"/>
    <w:rsid w:val="00FF76C3"/>
    <w:rsid w:val="00FF77AC"/>
    <w:rsid w:val="00FF7840"/>
    <w:rsid w:val="00FF786B"/>
    <w:rsid w:val="00FF78C6"/>
    <w:rsid w:val="00FF78DF"/>
    <w:rsid w:val="00FF7933"/>
    <w:rsid w:val="00FF794A"/>
    <w:rsid w:val="00FF7991"/>
    <w:rsid w:val="00FF7A3C"/>
    <w:rsid w:val="00FF7B5E"/>
    <w:rsid w:val="00FF7E22"/>
    <w:rsid w:val="00FF7E60"/>
    <w:rsid w:val="00FF7F08"/>
    <w:rsid w:val="00FF7F3A"/>
    <w:rsid w:val="00FF7FCC"/>
    <w:rsid w:val="010B4335"/>
    <w:rsid w:val="010D6810"/>
    <w:rsid w:val="011564B5"/>
    <w:rsid w:val="0115DCAF"/>
    <w:rsid w:val="011966D2"/>
    <w:rsid w:val="0119A9FB"/>
    <w:rsid w:val="011A1793"/>
    <w:rsid w:val="01230FB8"/>
    <w:rsid w:val="0123ED7F"/>
    <w:rsid w:val="0124F8FE"/>
    <w:rsid w:val="01258F17"/>
    <w:rsid w:val="013BAB17"/>
    <w:rsid w:val="013C5920"/>
    <w:rsid w:val="01472244"/>
    <w:rsid w:val="014917D5"/>
    <w:rsid w:val="014FC182"/>
    <w:rsid w:val="015EC400"/>
    <w:rsid w:val="0167E2DB"/>
    <w:rsid w:val="0175578A"/>
    <w:rsid w:val="0178F124"/>
    <w:rsid w:val="01850C9C"/>
    <w:rsid w:val="0185A03F"/>
    <w:rsid w:val="0187FBCF"/>
    <w:rsid w:val="01899E78"/>
    <w:rsid w:val="0197DAE7"/>
    <w:rsid w:val="01A14FD3"/>
    <w:rsid w:val="01AAD964"/>
    <w:rsid w:val="01ADB75F"/>
    <w:rsid w:val="01AF5BA9"/>
    <w:rsid w:val="01B2A59A"/>
    <w:rsid w:val="01B5FE7F"/>
    <w:rsid w:val="01BF7137"/>
    <w:rsid w:val="01C5E82B"/>
    <w:rsid w:val="01D52EEB"/>
    <w:rsid w:val="01D8A228"/>
    <w:rsid w:val="01DD2362"/>
    <w:rsid w:val="01EA7F67"/>
    <w:rsid w:val="01EF490D"/>
    <w:rsid w:val="01F085D5"/>
    <w:rsid w:val="01F33766"/>
    <w:rsid w:val="01FA6773"/>
    <w:rsid w:val="02022CF2"/>
    <w:rsid w:val="0209263C"/>
    <w:rsid w:val="02157B3C"/>
    <w:rsid w:val="02165F19"/>
    <w:rsid w:val="0217AED3"/>
    <w:rsid w:val="02187621"/>
    <w:rsid w:val="021F9A2B"/>
    <w:rsid w:val="0220B665"/>
    <w:rsid w:val="023CE35B"/>
    <w:rsid w:val="023CF620"/>
    <w:rsid w:val="023F7A9A"/>
    <w:rsid w:val="02429D3B"/>
    <w:rsid w:val="024B809B"/>
    <w:rsid w:val="0251CB90"/>
    <w:rsid w:val="02543DF0"/>
    <w:rsid w:val="025C1D39"/>
    <w:rsid w:val="02649958"/>
    <w:rsid w:val="0265D349"/>
    <w:rsid w:val="026741CF"/>
    <w:rsid w:val="0273096F"/>
    <w:rsid w:val="02746360"/>
    <w:rsid w:val="0278D8E8"/>
    <w:rsid w:val="027A0335"/>
    <w:rsid w:val="028C95FA"/>
    <w:rsid w:val="02963035"/>
    <w:rsid w:val="0299A873"/>
    <w:rsid w:val="029C3BA3"/>
    <w:rsid w:val="029CB56D"/>
    <w:rsid w:val="02A3284A"/>
    <w:rsid w:val="02AC5F9D"/>
    <w:rsid w:val="02AD14F7"/>
    <w:rsid w:val="02B2D0A2"/>
    <w:rsid w:val="02B5C035"/>
    <w:rsid w:val="02B9B23C"/>
    <w:rsid w:val="02C5DCEA"/>
    <w:rsid w:val="02D6C46C"/>
    <w:rsid w:val="02D9908E"/>
    <w:rsid w:val="0308231F"/>
    <w:rsid w:val="03088D52"/>
    <w:rsid w:val="030DECA7"/>
    <w:rsid w:val="0314CBD7"/>
    <w:rsid w:val="031C3CAD"/>
    <w:rsid w:val="0321CEF3"/>
    <w:rsid w:val="0323CD50"/>
    <w:rsid w:val="0325FDB9"/>
    <w:rsid w:val="032819AA"/>
    <w:rsid w:val="032D29C4"/>
    <w:rsid w:val="03379005"/>
    <w:rsid w:val="03402A89"/>
    <w:rsid w:val="03485869"/>
    <w:rsid w:val="034CB068"/>
    <w:rsid w:val="0352445E"/>
    <w:rsid w:val="0358705A"/>
    <w:rsid w:val="0358CAA6"/>
    <w:rsid w:val="035F5DAE"/>
    <w:rsid w:val="0363DEE6"/>
    <w:rsid w:val="036D92E4"/>
    <w:rsid w:val="0373C2C7"/>
    <w:rsid w:val="037DBA48"/>
    <w:rsid w:val="0383FC62"/>
    <w:rsid w:val="03A5B0DA"/>
    <w:rsid w:val="03B2A367"/>
    <w:rsid w:val="03B9F6E8"/>
    <w:rsid w:val="03D59BF3"/>
    <w:rsid w:val="03DE0D27"/>
    <w:rsid w:val="03DF1781"/>
    <w:rsid w:val="03DF53FC"/>
    <w:rsid w:val="03E8ABD6"/>
    <w:rsid w:val="03F6254D"/>
    <w:rsid w:val="03F71A1B"/>
    <w:rsid w:val="0417EF90"/>
    <w:rsid w:val="0427A9AB"/>
    <w:rsid w:val="042B12C5"/>
    <w:rsid w:val="043A9623"/>
    <w:rsid w:val="04419575"/>
    <w:rsid w:val="0442312F"/>
    <w:rsid w:val="0443C8A0"/>
    <w:rsid w:val="044B9CF5"/>
    <w:rsid w:val="0458030D"/>
    <w:rsid w:val="0458C86C"/>
    <w:rsid w:val="045D8EAE"/>
    <w:rsid w:val="0469B30E"/>
    <w:rsid w:val="0474477F"/>
    <w:rsid w:val="0475688D"/>
    <w:rsid w:val="04757E7C"/>
    <w:rsid w:val="047F732D"/>
    <w:rsid w:val="04882F77"/>
    <w:rsid w:val="048DFF88"/>
    <w:rsid w:val="048EE2B0"/>
    <w:rsid w:val="049539D8"/>
    <w:rsid w:val="049D1323"/>
    <w:rsid w:val="04A1D4E1"/>
    <w:rsid w:val="04A5A3ED"/>
    <w:rsid w:val="04B50285"/>
    <w:rsid w:val="04B7805C"/>
    <w:rsid w:val="04BA2559"/>
    <w:rsid w:val="04CB4C13"/>
    <w:rsid w:val="04CFA641"/>
    <w:rsid w:val="04E20EEE"/>
    <w:rsid w:val="04EC78E0"/>
    <w:rsid w:val="04F21EE9"/>
    <w:rsid w:val="0505D1A8"/>
    <w:rsid w:val="050CD753"/>
    <w:rsid w:val="0514BE60"/>
    <w:rsid w:val="052782A4"/>
    <w:rsid w:val="052A869C"/>
    <w:rsid w:val="052ADC89"/>
    <w:rsid w:val="052D28D9"/>
    <w:rsid w:val="055A020F"/>
    <w:rsid w:val="0560B49E"/>
    <w:rsid w:val="056465D4"/>
    <w:rsid w:val="056B6D05"/>
    <w:rsid w:val="05942646"/>
    <w:rsid w:val="05AEB4A5"/>
    <w:rsid w:val="05C41270"/>
    <w:rsid w:val="05D296E9"/>
    <w:rsid w:val="05D584C4"/>
    <w:rsid w:val="05DDEF28"/>
    <w:rsid w:val="05E093E3"/>
    <w:rsid w:val="05E1774A"/>
    <w:rsid w:val="05F6245F"/>
    <w:rsid w:val="0605BF8A"/>
    <w:rsid w:val="0610AA57"/>
    <w:rsid w:val="06186B25"/>
    <w:rsid w:val="0621C9FC"/>
    <w:rsid w:val="062739A3"/>
    <w:rsid w:val="0627D961"/>
    <w:rsid w:val="062AB147"/>
    <w:rsid w:val="062B6F67"/>
    <w:rsid w:val="062EF91F"/>
    <w:rsid w:val="0634E43E"/>
    <w:rsid w:val="0637BF8A"/>
    <w:rsid w:val="06395590"/>
    <w:rsid w:val="06395B36"/>
    <w:rsid w:val="0645FF87"/>
    <w:rsid w:val="064BA480"/>
    <w:rsid w:val="06500019"/>
    <w:rsid w:val="065A6CC8"/>
    <w:rsid w:val="068DD968"/>
    <w:rsid w:val="0691FD14"/>
    <w:rsid w:val="0694DD19"/>
    <w:rsid w:val="0695C7B1"/>
    <w:rsid w:val="069E0F99"/>
    <w:rsid w:val="06A0DF4F"/>
    <w:rsid w:val="06A1726D"/>
    <w:rsid w:val="06ACD4FF"/>
    <w:rsid w:val="06C14409"/>
    <w:rsid w:val="06CC0BED"/>
    <w:rsid w:val="06DE6302"/>
    <w:rsid w:val="06E63436"/>
    <w:rsid w:val="06E87AD4"/>
    <w:rsid w:val="06EA039A"/>
    <w:rsid w:val="06F48CE1"/>
    <w:rsid w:val="06F6DBB3"/>
    <w:rsid w:val="06FD5EA1"/>
    <w:rsid w:val="070371F5"/>
    <w:rsid w:val="0703B97F"/>
    <w:rsid w:val="0704FF8E"/>
    <w:rsid w:val="07068E15"/>
    <w:rsid w:val="070AEA85"/>
    <w:rsid w:val="070F173E"/>
    <w:rsid w:val="0715A087"/>
    <w:rsid w:val="07167268"/>
    <w:rsid w:val="0719BE7C"/>
    <w:rsid w:val="0720B604"/>
    <w:rsid w:val="0728EF9C"/>
    <w:rsid w:val="072C4FB3"/>
    <w:rsid w:val="07381463"/>
    <w:rsid w:val="07403AE3"/>
    <w:rsid w:val="07499913"/>
    <w:rsid w:val="074FE34A"/>
    <w:rsid w:val="075F3F4A"/>
    <w:rsid w:val="077C87BD"/>
    <w:rsid w:val="0780CF88"/>
    <w:rsid w:val="0780F1CC"/>
    <w:rsid w:val="078D769F"/>
    <w:rsid w:val="07922B06"/>
    <w:rsid w:val="079EE2C6"/>
    <w:rsid w:val="07A2ADD1"/>
    <w:rsid w:val="07B5FAE2"/>
    <w:rsid w:val="07D35863"/>
    <w:rsid w:val="07E1F8BA"/>
    <w:rsid w:val="07EDD904"/>
    <w:rsid w:val="07F25A71"/>
    <w:rsid w:val="07F527CB"/>
    <w:rsid w:val="07F9DA91"/>
    <w:rsid w:val="07FB7D84"/>
    <w:rsid w:val="0803A3D6"/>
    <w:rsid w:val="081AF685"/>
    <w:rsid w:val="08229F88"/>
    <w:rsid w:val="0826487B"/>
    <w:rsid w:val="082ADC6E"/>
    <w:rsid w:val="082C6354"/>
    <w:rsid w:val="082F2E55"/>
    <w:rsid w:val="0837A3C0"/>
    <w:rsid w:val="08385EFF"/>
    <w:rsid w:val="0839CDF3"/>
    <w:rsid w:val="08607455"/>
    <w:rsid w:val="0862B611"/>
    <w:rsid w:val="0869395E"/>
    <w:rsid w:val="08720F43"/>
    <w:rsid w:val="0889F4B6"/>
    <w:rsid w:val="088D7CC3"/>
    <w:rsid w:val="088FDD8D"/>
    <w:rsid w:val="0890DB61"/>
    <w:rsid w:val="08952B56"/>
    <w:rsid w:val="08A5144F"/>
    <w:rsid w:val="08A7F203"/>
    <w:rsid w:val="08AA8022"/>
    <w:rsid w:val="08B7B4C6"/>
    <w:rsid w:val="08C01C29"/>
    <w:rsid w:val="08C34879"/>
    <w:rsid w:val="08C7E920"/>
    <w:rsid w:val="08CB4843"/>
    <w:rsid w:val="08D029B1"/>
    <w:rsid w:val="08D69738"/>
    <w:rsid w:val="08D8F05D"/>
    <w:rsid w:val="08E5A06A"/>
    <w:rsid w:val="08E9520B"/>
    <w:rsid w:val="08EDFCED"/>
    <w:rsid w:val="08F7BF59"/>
    <w:rsid w:val="08F9B71B"/>
    <w:rsid w:val="0900DF69"/>
    <w:rsid w:val="09087B10"/>
    <w:rsid w:val="090C3698"/>
    <w:rsid w:val="0911D9E9"/>
    <w:rsid w:val="09120037"/>
    <w:rsid w:val="09123B4F"/>
    <w:rsid w:val="091332C3"/>
    <w:rsid w:val="091A0B7B"/>
    <w:rsid w:val="091C9031"/>
    <w:rsid w:val="091E75F6"/>
    <w:rsid w:val="0924F83F"/>
    <w:rsid w:val="092A2640"/>
    <w:rsid w:val="09300FF1"/>
    <w:rsid w:val="09327175"/>
    <w:rsid w:val="093FDEB1"/>
    <w:rsid w:val="094952B9"/>
    <w:rsid w:val="094F33FA"/>
    <w:rsid w:val="09506668"/>
    <w:rsid w:val="095C7DD5"/>
    <w:rsid w:val="095CED5F"/>
    <w:rsid w:val="0963C4A6"/>
    <w:rsid w:val="0965B564"/>
    <w:rsid w:val="097A5A14"/>
    <w:rsid w:val="097BDEEE"/>
    <w:rsid w:val="0987EEF3"/>
    <w:rsid w:val="09894F6D"/>
    <w:rsid w:val="098C618D"/>
    <w:rsid w:val="098C7A25"/>
    <w:rsid w:val="099781D6"/>
    <w:rsid w:val="09A0383F"/>
    <w:rsid w:val="09A7CD51"/>
    <w:rsid w:val="09B3D289"/>
    <w:rsid w:val="09BF7234"/>
    <w:rsid w:val="09CB3331"/>
    <w:rsid w:val="09D1D97A"/>
    <w:rsid w:val="09D2FDDE"/>
    <w:rsid w:val="09D75321"/>
    <w:rsid w:val="09E79324"/>
    <w:rsid w:val="09F11642"/>
    <w:rsid w:val="0A08FD98"/>
    <w:rsid w:val="0A201E12"/>
    <w:rsid w:val="0A382436"/>
    <w:rsid w:val="0A3E9C6E"/>
    <w:rsid w:val="0A400DEC"/>
    <w:rsid w:val="0A4349A0"/>
    <w:rsid w:val="0A4B44AE"/>
    <w:rsid w:val="0A4C5E64"/>
    <w:rsid w:val="0A4CCFB8"/>
    <w:rsid w:val="0A515781"/>
    <w:rsid w:val="0A541FED"/>
    <w:rsid w:val="0A55200A"/>
    <w:rsid w:val="0A5F01F6"/>
    <w:rsid w:val="0A68047A"/>
    <w:rsid w:val="0A6A56EE"/>
    <w:rsid w:val="0A6DEF87"/>
    <w:rsid w:val="0A716824"/>
    <w:rsid w:val="0A769F8A"/>
    <w:rsid w:val="0A785549"/>
    <w:rsid w:val="0A79D92E"/>
    <w:rsid w:val="0A80C206"/>
    <w:rsid w:val="0A90EAF6"/>
    <w:rsid w:val="0AA2021B"/>
    <w:rsid w:val="0AAEFEA1"/>
    <w:rsid w:val="0AB99134"/>
    <w:rsid w:val="0ABD48BF"/>
    <w:rsid w:val="0ABEF28B"/>
    <w:rsid w:val="0AC279DE"/>
    <w:rsid w:val="0AE82D6B"/>
    <w:rsid w:val="0AEC7AD8"/>
    <w:rsid w:val="0AEC818E"/>
    <w:rsid w:val="0B0D3771"/>
    <w:rsid w:val="0B0DAC57"/>
    <w:rsid w:val="0B18D306"/>
    <w:rsid w:val="0B1D8F49"/>
    <w:rsid w:val="0B217052"/>
    <w:rsid w:val="0B22ED92"/>
    <w:rsid w:val="0B2B0251"/>
    <w:rsid w:val="0B52700D"/>
    <w:rsid w:val="0B5B5A04"/>
    <w:rsid w:val="0B69F7B5"/>
    <w:rsid w:val="0B71F99A"/>
    <w:rsid w:val="0B7F71F1"/>
    <w:rsid w:val="0B832203"/>
    <w:rsid w:val="0B8C82D3"/>
    <w:rsid w:val="0B8E2724"/>
    <w:rsid w:val="0B92C8AE"/>
    <w:rsid w:val="0B9EE08A"/>
    <w:rsid w:val="0BA76496"/>
    <w:rsid w:val="0BAA23B8"/>
    <w:rsid w:val="0BB40697"/>
    <w:rsid w:val="0BCB0059"/>
    <w:rsid w:val="0BD68C11"/>
    <w:rsid w:val="0BE8A221"/>
    <w:rsid w:val="0BEE1605"/>
    <w:rsid w:val="0BF137F0"/>
    <w:rsid w:val="0BF47409"/>
    <w:rsid w:val="0BF846FB"/>
    <w:rsid w:val="0BFF734A"/>
    <w:rsid w:val="0C015565"/>
    <w:rsid w:val="0C396F77"/>
    <w:rsid w:val="0C4139B8"/>
    <w:rsid w:val="0C56B6F8"/>
    <w:rsid w:val="0C56EC9E"/>
    <w:rsid w:val="0C6C7BD5"/>
    <w:rsid w:val="0C708A9B"/>
    <w:rsid w:val="0C733F8E"/>
    <w:rsid w:val="0C79D475"/>
    <w:rsid w:val="0C8567B2"/>
    <w:rsid w:val="0C8BADD6"/>
    <w:rsid w:val="0C92BB39"/>
    <w:rsid w:val="0C94C4EE"/>
    <w:rsid w:val="0C9D5BCD"/>
    <w:rsid w:val="0CAC5ECA"/>
    <w:rsid w:val="0CC9A710"/>
    <w:rsid w:val="0CD34B65"/>
    <w:rsid w:val="0CD59682"/>
    <w:rsid w:val="0CD83377"/>
    <w:rsid w:val="0CE2576C"/>
    <w:rsid w:val="0D0E6FC2"/>
    <w:rsid w:val="0D18791A"/>
    <w:rsid w:val="0D207D94"/>
    <w:rsid w:val="0D2CF32C"/>
    <w:rsid w:val="0D35FF8C"/>
    <w:rsid w:val="0D36FA67"/>
    <w:rsid w:val="0D408B19"/>
    <w:rsid w:val="0D40A776"/>
    <w:rsid w:val="0D422496"/>
    <w:rsid w:val="0D4D3841"/>
    <w:rsid w:val="0D6B7BC5"/>
    <w:rsid w:val="0D6E0383"/>
    <w:rsid w:val="0D7D7CEA"/>
    <w:rsid w:val="0D87A9B8"/>
    <w:rsid w:val="0D8D95FE"/>
    <w:rsid w:val="0DA36F00"/>
    <w:rsid w:val="0DB1B669"/>
    <w:rsid w:val="0DCCFD4E"/>
    <w:rsid w:val="0DD2320D"/>
    <w:rsid w:val="0DE53D70"/>
    <w:rsid w:val="0DE69043"/>
    <w:rsid w:val="0DE94CEB"/>
    <w:rsid w:val="0E017CC4"/>
    <w:rsid w:val="0E29223F"/>
    <w:rsid w:val="0E3464C5"/>
    <w:rsid w:val="0E35AFC4"/>
    <w:rsid w:val="0E3BADE8"/>
    <w:rsid w:val="0E408A56"/>
    <w:rsid w:val="0E62B7C6"/>
    <w:rsid w:val="0E64374D"/>
    <w:rsid w:val="0E7A98AA"/>
    <w:rsid w:val="0E8F391A"/>
    <w:rsid w:val="0E9079E0"/>
    <w:rsid w:val="0E99FED8"/>
    <w:rsid w:val="0E9EFCAE"/>
    <w:rsid w:val="0EB159B0"/>
    <w:rsid w:val="0EB408BD"/>
    <w:rsid w:val="0EB5AC2E"/>
    <w:rsid w:val="0EC04253"/>
    <w:rsid w:val="0EC2D78C"/>
    <w:rsid w:val="0EC2E226"/>
    <w:rsid w:val="0ED44773"/>
    <w:rsid w:val="0EDB4D01"/>
    <w:rsid w:val="0EDBE2EB"/>
    <w:rsid w:val="0EEB49A3"/>
    <w:rsid w:val="0EF0B13A"/>
    <w:rsid w:val="0EFF8FF5"/>
    <w:rsid w:val="0F02036D"/>
    <w:rsid w:val="0F086E35"/>
    <w:rsid w:val="0F135C47"/>
    <w:rsid w:val="0F17C638"/>
    <w:rsid w:val="0F23E9FB"/>
    <w:rsid w:val="0F3E5A8A"/>
    <w:rsid w:val="0F46100A"/>
    <w:rsid w:val="0F473765"/>
    <w:rsid w:val="0F497188"/>
    <w:rsid w:val="0F4C2D93"/>
    <w:rsid w:val="0F5F5AFD"/>
    <w:rsid w:val="0F617767"/>
    <w:rsid w:val="0F6530B4"/>
    <w:rsid w:val="0F691F05"/>
    <w:rsid w:val="0F6AAAB0"/>
    <w:rsid w:val="0F6FBF50"/>
    <w:rsid w:val="0F7193CF"/>
    <w:rsid w:val="0F79DEB6"/>
    <w:rsid w:val="0F7BD051"/>
    <w:rsid w:val="0F8B8A4A"/>
    <w:rsid w:val="0F8F35C4"/>
    <w:rsid w:val="0FA1546F"/>
    <w:rsid w:val="0FA3F71A"/>
    <w:rsid w:val="0FA5B191"/>
    <w:rsid w:val="0FBB9EF9"/>
    <w:rsid w:val="0FBC69FA"/>
    <w:rsid w:val="0FBFB9C5"/>
    <w:rsid w:val="0FC78CA1"/>
    <w:rsid w:val="0FE268CD"/>
    <w:rsid w:val="0FE2C7CE"/>
    <w:rsid w:val="0FF19DDE"/>
    <w:rsid w:val="0FF276FE"/>
    <w:rsid w:val="0FF74F0C"/>
    <w:rsid w:val="10073BA5"/>
    <w:rsid w:val="1012AB95"/>
    <w:rsid w:val="10155D43"/>
    <w:rsid w:val="1015EDFD"/>
    <w:rsid w:val="101FD4F0"/>
    <w:rsid w:val="102AF08A"/>
    <w:rsid w:val="103C83DC"/>
    <w:rsid w:val="1040E923"/>
    <w:rsid w:val="10413CF8"/>
    <w:rsid w:val="104ECDCB"/>
    <w:rsid w:val="105DE918"/>
    <w:rsid w:val="105F03A0"/>
    <w:rsid w:val="10623DFE"/>
    <w:rsid w:val="1067018E"/>
    <w:rsid w:val="106EA883"/>
    <w:rsid w:val="10704ED4"/>
    <w:rsid w:val="107BCA16"/>
    <w:rsid w:val="10838E2F"/>
    <w:rsid w:val="108C7628"/>
    <w:rsid w:val="109048C8"/>
    <w:rsid w:val="10930861"/>
    <w:rsid w:val="10955B5B"/>
    <w:rsid w:val="1095FCC6"/>
    <w:rsid w:val="10987274"/>
    <w:rsid w:val="109C2B0E"/>
    <w:rsid w:val="10A762D5"/>
    <w:rsid w:val="10B11DBD"/>
    <w:rsid w:val="10B8A1CB"/>
    <w:rsid w:val="10B906C6"/>
    <w:rsid w:val="10BA8FDC"/>
    <w:rsid w:val="10BE9FB9"/>
    <w:rsid w:val="10D0E458"/>
    <w:rsid w:val="10D15CE5"/>
    <w:rsid w:val="10DD274F"/>
    <w:rsid w:val="10DE123A"/>
    <w:rsid w:val="10EBC8B5"/>
    <w:rsid w:val="10EE8A64"/>
    <w:rsid w:val="10EEF0FF"/>
    <w:rsid w:val="10EF353C"/>
    <w:rsid w:val="10F74CD9"/>
    <w:rsid w:val="10FB3FF8"/>
    <w:rsid w:val="1107E977"/>
    <w:rsid w:val="110D4408"/>
    <w:rsid w:val="1122780E"/>
    <w:rsid w:val="112C6274"/>
    <w:rsid w:val="1131D492"/>
    <w:rsid w:val="11361880"/>
    <w:rsid w:val="113BB11C"/>
    <w:rsid w:val="113EA16C"/>
    <w:rsid w:val="113F3935"/>
    <w:rsid w:val="114B44F2"/>
    <w:rsid w:val="1150EE46"/>
    <w:rsid w:val="115FB7CC"/>
    <w:rsid w:val="1161F215"/>
    <w:rsid w:val="1164A60B"/>
    <w:rsid w:val="116A02E0"/>
    <w:rsid w:val="116BCFD1"/>
    <w:rsid w:val="11701890"/>
    <w:rsid w:val="11703CAC"/>
    <w:rsid w:val="11708095"/>
    <w:rsid w:val="1171635D"/>
    <w:rsid w:val="118E420E"/>
    <w:rsid w:val="11A53C8D"/>
    <w:rsid w:val="11B0CA3C"/>
    <w:rsid w:val="11C08C19"/>
    <w:rsid w:val="11C83BC6"/>
    <w:rsid w:val="11DC9397"/>
    <w:rsid w:val="11DEC5E7"/>
    <w:rsid w:val="11E1FD59"/>
    <w:rsid w:val="11EDC84C"/>
    <w:rsid w:val="11EEA4EE"/>
    <w:rsid w:val="11FB2F2F"/>
    <w:rsid w:val="120AF4BF"/>
    <w:rsid w:val="1210A121"/>
    <w:rsid w:val="1211E147"/>
    <w:rsid w:val="121888F9"/>
    <w:rsid w:val="121AA575"/>
    <w:rsid w:val="121B6A82"/>
    <w:rsid w:val="12213BBA"/>
    <w:rsid w:val="122562B4"/>
    <w:rsid w:val="123A6F33"/>
    <w:rsid w:val="123ED778"/>
    <w:rsid w:val="124948E2"/>
    <w:rsid w:val="12590FB6"/>
    <w:rsid w:val="125996B1"/>
    <w:rsid w:val="125AE0BC"/>
    <w:rsid w:val="126D4FD5"/>
    <w:rsid w:val="126FC12D"/>
    <w:rsid w:val="12705A65"/>
    <w:rsid w:val="1273DA41"/>
    <w:rsid w:val="127BFCDA"/>
    <w:rsid w:val="128B23EC"/>
    <w:rsid w:val="128D23D1"/>
    <w:rsid w:val="1291B977"/>
    <w:rsid w:val="12A4C2A2"/>
    <w:rsid w:val="12B9405B"/>
    <w:rsid w:val="12BDE028"/>
    <w:rsid w:val="12CA0132"/>
    <w:rsid w:val="12D0C4B9"/>
    <w:rsid w:val="12D59165"/>
    <w:rsid w:val="12FC8201"/>
    <w:rsid w:val="12FDB987"/>
    <w:rsid w:val="13121ECF"/>
    <w:rsid w:val="1318B8E1"/>
    <w:rsid w:val="132AB8D3"/>
    <w:rsid w:val="13326D7F"/>
    <w:rsid w:val="133C1B9C"/>
    <w:rsid w:val="133F1102"/>
    <w:rsid w:val="13438611"/>
    <w:rsid w:val="134A0691"/>
    <w:rsid w:val="134FBACD"/>
    <w:rsid w:val="135B88E5"/>
    <w:rsid w:val="13707583"/>
    <w:rsid w:val="137B1A7E"/>
    <w:rsid w:val="1382238A"/>
    <w:rsid w:val="138E83BB"/>
    <w:rsid w:val="1397ABA8"/>
    <w:rsid w:val="139D42E6"/>
    <w:rsid w:val="13A4CC57"/>
    <w:rsid w:val="13AE83AA"/>
    <w:rsid w:val="13B0ED9D"/>
    <w:rsid w:val="13C0037E"/>
    <w:rsid w:val="13C4BA15"/>
    <w:rsid w:val="13C53E52"/>
    <w:rsid w:val="13C955C0"/>
    <w:rsid w:val="13CBB319"/>
    <w:rsid w:val="13D09AC4"/>
    <w:rsid w:val="13DF1F5A"/>
    <w:rsid w:val="13ED8744"/>
    <w:rsid w:val="1400A360"/>
    <w:rsid w:val="140C42E1"/>
    <w:rsid w:val="140D0A71"/>
    <w:rsid w:val="141439D5"/>
    <w:rsid w:val="1417F832"/>
    <w:rsid w:val="141933EC"/>
    <w:rsid w:val="141D3B17"/>
    <w:rsid w:val="144041DC"/>
    <w:rsid w:val="144B1647"/>
    <w:rsid w:val="144B551F"/>
    <w:rsid w:val="14599A17"/>
    <w:rsid w:val="1466F0BE"/>
    <w:rsid w:val="1467CCFB"/>
    <w:rsid w:val="1475BB3A"/>
    <w:rsid w:val="14783FB9"/>
    <w:rsid w:val="1483EE38"/>
    <w:rsid w:val="148848DE"/>
    <w:rsid w:val="148AFF6B"/>
    <w:rsid w:val="14924550"/>
    <w:rsid w:val="1499F658"/>
    <w:rsid w:val="149A5AC6"/>
    <w:rsid w:val="14A37599"/>
    <w:rsid w:val="14B29BDF"/>
    <w:rsid w:val="14B3C883"/>
    <w:rsid w:val="14B658B5"/>
    <w:rsid w:val="14C8218F"/>
    <w:rsid w:val="14D6C4B5"/>
    <w:rsid w:val="14DC85DF"/>
    <w:rsid w:val="14DD5C2E"/>
    <w:rsid w:val="14E065C1"/>
    <w:rsid w:val="14E991E9"/>
    <w:rsid w:val="14EE983F"/>
    <w:rsid w:val="14F3CC3A"/>
    <w:rsid w:val="15139B13"/>
    <w:rsid w:val="1521C8A6"/>
    <w:rsid w:val="152D1416"/>
    <w:rsid w:val="15357F95"/>
    <w:rsid w:val="1544EB29"/>
    <w:rsid w:val="15457C54"/>
    <w:rsid w:val="154E82FF"/>
    <w:rsid w:val="15590387"/>
    <w:rsid w:val="1562AB8B"/>
    <w:rsid w:val="156415C4"/>
    <w:rsid w:val="156910FC"/>
    <w:rsid w:val="1569AD34"/>
    <w:rsid w:val="157BD4EA"/>
    <w:rsid w:val="15907113"/>
    <w:rsid w:val="159C117A"/>
    <w:rsid w:val="15A54ACB"/>
    <w:rsid w:val="15A5A83D"/>
    <w:rsid w:val="15ACEF3A"/>
    <w:rsid w:val="15B62D82"/>
    <w:rsid w:val="15B90C16"/>
    <w:rsid w:val="15CD8EA8"/>
    <w:rsid w:val="15D199A4"/>
    <w:rsid w:val="15EAAE95"/>
    <w:rsid w:val="15F5B8E4"/>
    <w:rsid w:val="15FB9CD7"/>
    <w:rsid w:val="15FE255E"/>
    <w:rsid w:val="16082ECE"/>
    <w:rsid w:val="1616DC7C"/>
    <w:rsid w:val="161AA127"/>
    <w:rsid w:val="16220461"/>
    <w:rsid w:val="162C0C8B"/>
    <w:rsid w:val="162CD885"/>
    <w:rsid w:val="165711AF"/>
    <w:rsid w:val="16572165"/>
    <w:rsid w:val="16583C06"/>
    <w:rsid w:val="165D63A3"/>
    <w:rsid w:val="1666BF72"/>
    <w:rsid w:val="1672D8EE"/>
    <w:rsid w:val="167A66EA"/>
    <w:rsid w:val="1687767F"/>
    <w:rsid w:val="1698FF07"/>
    <w:rsid w:val="16ABF31C"/>
    <w:rsid w:val="16C2A51E"/>
    <w:rsid w:val="16CCAA24"/>
    <w:rsid w:val="16E2E489"/>
    <w:rsid w:val="16F15721"/>
    <w:rsid w:val="16FBFFC7"/>
    <w:rsid w:val="17068936"/>
    <w:rsid w:val="1707B40E"/>
    <w:rsid w:val="170FEAC0"/>
    <w:rsid w:val="1711FDE9"/>
    <w:rsid w:val="171A6DFA"/>
    <w:rsid w:val="171FF44A"/>
    <w:rsid w:val="1721874A"/>
    <w:rsid w:val="172711FE"/>
    <w:rsid w:val="172B8EE1"/>
    <w:rsid w:val="172EB420"/>
    <w:rsid w:val="1732CB5B"/>
    <w:rsid w:val="173CF6F9"/>
    <w:rsid w:val="174543E7"/>
    <w:rsid w:val="17484ACF"/>
    <w:rsid w:val="1749E9E0"/>
    <w:rsid w:val="174AA492"/>
    <w:rsid w:val="174E9DE2"/>
    <w:rsid w:val="174FA19A"/>
    <w:rsid w:val="1759224A"/>
    <w:rsid w:val="17596251"/>
    <w:rsid w:val="17713C33"/>
    <w:rsid w:val="17788091"/>
    <w:rsid w:val="178E94C8"/>
    <w:rsid w:val="17930B50"/>
    <w:rsid w:val="17AE786E"/>
    <w:rsid w:val="17AFB10E"/>
    <w:rsid w:val="17B8F973"/>
    <w:rsid w:val="17BCA364"/>
    <w:rsid w:val="17D4E603"/>
    <w:rsid w:val="17E3F6B4"/>
    <w:rsid w:val="17F6914D"/>
    <w:rsid w:val="17F782DE"/>
    <w:rsid w:val="17F83A34"/>
    <w:rsid w:val="17FF3DC4"/>
    <w:rsid w:val="181E2608"/>
    <w:rsid w:val="182A437B"/>
    <w:rsid w:val="1831CB1E"/>
    <w:rsid w:val="1840F05C"/>
    <w:rsid w:val="184D8124"/>
    <w:rsid w:val="1851C656"/>
    <w:rsid w:val="1854265A"/>
    <w:rsid w:val="18578A0C"/>
    <w:rsid w:val="185AB301"/>
    <w:rsid w:val="186EAA19"/>
    <w:rsid w:val="187142BF"/>
    <w:rsid w:val="1888CF92"/>
    <w:rsid w:val="188D2389"/>
    <w:rsid w:val="1897FC1C"/>
    <w:rsid w:val="1898D55A"/>
    <w:rsid w:val="189EEB8B"/>
    <w:rsid w:val="18B48EE4"/>
    <w:rsid w:val="18B4C75D"/>
    <w:rsid w:val="18BE5454"/>
    <w:rsid w:val="18C38769"/>
    <w:rsid w:val="18D97BF1"/>
    <w:rsid w:val="18DC891A"/>
    <w:rsid w:val="18E85F4A"/>
    <w:rsid w:val="18F225B6"/>
    <w:rsid w:val="18FCF786"/>
    <w:rsid w:val="191A9387"/>
    <w:rsid w:val="191C2422"/>
    <w:rsid w:val="192BD303"/>
    <w:rsid w:val="1943A4A4"/>
    <w:rsid w:val="195264B5"/>
    <w:rsid w:val="1952B129"/>
    <w:rsid w:val="19533A3E"/>
    <w:rsid w:val="1953756E"/>
    <w:rsid w:val="19571BC6"/>
    <w:rsid w:val="19592677"/>
    <w:rsid w:val="197482CC"/>
    <w:rsid w:val="19840F1F"/>
    <w:rsid w:val="198A3590"/>
    <w:rsid w:val="198AE441"/>
    <w:rsid w:val="199156F4"/>
    <w:rsid w:val="19964630"/>
    <w:rsid w:val="19998982"/>
    <w:rsid w:val="199C73DA"/>
    <w:rsid w:val="19A5EC81"/>
    <w:rsid w:val="19BE0BBA"/>
    <w:rsid w:val="19D2CAA6"/>
    <w:rsid w:val="19DDAAA7"/>
    <w:rsid w:val="19E8ABFB"/>
    <w:rsid w:val="19E9365A"/>
    <w:rsid w:val="19F24769"/>
    <w:rsid w:val="1A0C53E8"/>
    <w:rsid w:val="1A0E03A4"/>
    <w:rsid w:val="1A10092A"/>
    <w:rsid w:val="1A195FF4"/>
    <w:rsid w:val="1A244D8A"/>
    <w:rsid w:val="1A2B336E"/>
    <w:rsid w:val="1A2B897D"/>
    <w:rsid w:val="1A2E0283"/>
    <w:rsid w:val="1A3899AD"/>
    <w:rsid w:val="1A4262BC"/>
    <w:rsid w:val="1A447F1A"/>
    <w:rsid w:val="1A634829"/>
    <w:rsid w:val="1A751EDC"/>
    <w:rsid w:val="1A75830A"/>
    <w:rsid w:val="1A791440"/>
    <w:rsid w:val="1A7956B7"/>
    <w:rsid w:val="1A8318FA"/>
    <w:rsid w:val="1A91CE47"/>
    <w:rsid w:val="1A9C120D"/>
    <w:rsid w:val="1AA53C99"/>
    <w:rsid w:val="1AA6D84D"/>
    <w:rsid w:val="1AA808B8"/>
    <w:rsid w:val="1AB1CCB7"/>
    <w:rsid w:val="1AC0287D"/>
    <w:rsid w:val="1ACE5E63"/>
    <w:rsid w:val="1ADBFC9F"/>
    <w:rsid w:val="1AE9A972"/>
    <w:rsid w:val="1AED31E4"/>
    <w:rsid w:val="1AED3C88"/>
    <w:rsid w:val="1B166A54"/>
    <w:rsid w:val="1B2A7A20"/>
    <w:rsid w:val="1B4E4436"/>
    <w:rsid w:val="1B5A7430"/>
    <w:rsid w:val="1B5EFB50"/>
    <w:rsid w:val="1B6552C8"/>
    <w:rsid w:val="1B73395C"/>
    <w:rsid w:val="1B870056"/>
    <w:rsid w:val="1B973CB4"/>
    <w:rsid w:val="1B9A5E12"/>
    <w:rsid w:val="1BA2572F"/>
    <w:rsid w:val="1BB1C1A2"/>
    <w:rsid w:val="1BC0BE39"/>
    <w:rsid w:val="1BC1150D"/>
    <w:rsid w:val="1BC48733"/>
    <w:rsid w:val="1BC64EEC"/>
    <w:rsid w:val="1BD76463"/>
    <w:rsid w:val="1BD8C1B0"/>
    <w:rsid w:val="1BD951D4"/>
    <w:rsid w:val="1BDAEC91"/>
    <w:rsid w:val="1BE0EF6F"/>
    <w:rsid w:val="1BE18E63"/>
    <w:rsid w:val="1BE22392"/>
    <w:rsid w:val="1BE3AC87"/>
    <w:rsid w:val="1BE453F2"/>
    <w:rsid w:val="1BEB2E26"/>
    <w:rsid w:val="1BF1107D"/>
    <w:rsid w:val="1BF34BD2"/>
    <w:rsid w:val="1BF938BF"/>
    <w:rsid w:val="1C0F1028"/>
    <w:rsid w:val="1C25625E"/>
    <w:rsid w:val="1C258877"/>
    <w:rsid w:val="1C43FDE0"/>
    <w:rsid w:val="1C64DDFC"/>
    <w:rsid w:val="1C68EDC7"/>
    <w:rsid w:val="1C713291"/>
    <w:rsid w:val="1C72E58D"/>
    <w:rsid w:val="1C882184"/>
    <w:rsid w:val="1C91E0C5"/>
    <w:rsid w:val="1C9B01BD"/>
    <w:rsid w:val="1C9C7549"/>
    <w:rsid w:val="1CA5238D"/>
    <w:rsid w:val="1CADA709"/>
    <w:rsid w:val="1CB8B6F3"/>
    <w:rsid w:val="1CBD199C"/>
    <w:rsid w:val="1CBE3997"/>
    <w:rsid w:val="1CD24248"/>
    <w:rsid w:val="1CD79715"/>
    <w:rsid w:val="1CDD4D42"/>
    <w:rsid w:val="1CDFC811"/>
    <w:rsid w:val="1CDFFBF3"/>
    <w:rsid w:val="1CE39B0A"/>
    <w:rsid w:val="1CE4460F"/>
    <w:rsid w:val="1CE65FCF"/>
    <w:rsid w:val="1CED1A6F"/>
    <w:rsid w:val="1D00D36C"/>
    <w:rsid w:val="1D0EEF62"/>
    <w:rsid w:val="1D1297EC"/>
    <w:rsid w:val="1D28C2D6"/>
    <w:rsid w:val="1D334609"/>
    <w:rsid w:val="1D37B8A3"/>
    <w:rsid w:val="1D3A424E"/>
    <w:rsid w:val="1D4B8C77"/>
    <w:rsid w:val="1D5EED3A"/>
    <w:rsid w:val="1D6A052E"/>
    <w:rsid w:val="1D6B1434"/>
    <w:rsid w:val="1D8E2BF5"/>
    <w:rsid w:val="1D9A8151"/>
    <w:rsid w:val="1DA23E50"/>
    <w:rsid w:val="1DB6C4C9"/>
    <w:rsid w:val="1DCAB057"/>
    <w:rsid w:val="1DCCB0A4"/>
    <w:rsid w:val="1DDB1DCB"/>
    <w:rsid w:val="1DDE5F70"/>
    <w:rsid w:val="1DE94FB2"/>
    <w:rsid w:val="1DF0CC56"/>
    <w:rsid w:val="1DFA1223"/>
    <w:rsid w:val="1DFC0D78"/>
    <w:rsid w:val="1DFCFD56"/>
    <w:rsid w:val="1E0907BF"/>
    <w:rsid w:val="1E0F1E93"/>
    <w:rsid w:val="1E106A0C"/>
    <w:rsid w:val="1E130A2A"/>
    <w:rsid w:val="1E132F14"/>
    <w:rsid w:val="1E39A172"/>
    <w:rsid w:val="1E40BD61"/>
    <w:rsid w:val="1E429A52"/>
    <w:rsid w:val="1E57F8FF"/>
    <w:rsid w:val="1E59B82A"/>
    <w:rsid w:val="1E601896"/>
    <w:rsid w:val="1E6E1BB1"/>
    <w:rsid w:val="1E8616BD"/>
    <w:rsid w:val="1E8A7856"/>
    <w:rsid w:val="1E9BF066"/>
    <w:rsid w:val="1EC38186"/>
    <w:rsid w:val="1EC61C6F"/>
    <w:rsid w:val="1EC8706E"/>
    <w:rsid w:val="1ECD2723"/>
    <w:rsid w:val="1ECD77A7"/>
    <w:rsid w:val="1EE06AC3"/>
    <w:rsid w:val="1EEA1C37"/>
    <w:rsid w:val="1EF9A100"/>
    <w:rsid w:val="1EFE371D"/>
    <w:rsid w:val="1F066813"/>
    <w:rsid w:val="1F297108"/>
    <w:rsid w:val="1F33BB6F"/>
    <w:rsid w:val="1F346068"/>
    <w:rsid w:val="1F43192E"/>
    <w:rsid w:val="1F431F10"/>
    <w:rsid w:val="1F4389BC"/>
    <w:rsid w:val="1F4AE9A5"/>
    <w:rsid w:val="1F60B708"/>
    <w:rsid w:val="1F6DCC2D"/>
    <w:rsid w:val="1F73DCDE"/>
    <w:rsid w:val="1F85C1F3"/>
    <w:rsid w:val="1FA1F6E8"/>
    <w:rsid w:val="1FAAF582"/>
    <w:rsid w:val="1FB03158"/>
    <w:rsid w:val="1FB14449"/>
    <w:rsid w:val="1FB17F76"/>
    <w:rsid w:val="1FB19121"/>
    <w:rsid w:val="1FB25470"/>
    <w:rsid w:val="1FBF566D"/>
    <w:rsid w:val="1FCC9160"/>
    <w:rsid w:val="1FDBF4D9"/>
    <w:rsid w:val="1FE0BBFF"/>
    <w:rsid w:val="1FF42CFF"/>
    <w:rsid w:val="1FF43628"/>
    <w:rsid w:val="2016497C"/>
    <w:rsid w:val="2016AD19"/>
    <w:rsid w:val="201DCB4A"/>
    <w:rsid w:val="20288320"/>
    <w:rsid w:val="202D2DF5"/>
    <w:rsid w:val="2032519C"/>
    <w:rsid w:val="2045E603"/>
    <w:rsid w:val="204726B5"/>
    <w:rsid w:val="20480FF3"/>
    <w:rsid w:val="2049ABCC"/>
    <w:rsid w:val="204AE55A"/>
    <w:rsid w:val="204CEC9F"/>
    <w:rsid w:val="2053D894"/>
    <w:rsid w:val="20597BFA"/>
    <w:rsid w:val="20650DEC"/>
    <w:rsid w:val="20658CAC"/>
    <w:rsid w:val="2069CC8F"/>
    <w:rsid w:val="206F4B9E"/>
    <w:rsid w:val="2074C155"/>
    <w:rsid w:val="207C7A11"/>
    <w:rsid w:val="207D920C"/>
    <w:rsid w:val="2080FB85"/>
    <w:rsid w:val="2091318D"/>
    <w:rsid w:val="209F3E03"/>
    <w:rsid w:val="20A39469"/>
    <w:rsid w:val="20A3FEEC"/>
    <w:rsid w:val="20ACC999"/>
    <w:rsid w:val="20C0F866"/>
    <w:rsid w:val="20C3295C"/>
    <w:rsid w:val="20D82ACA"/>
    <w:rsid w:val="20F134AC"/>
    <w:rsid w:val="20F36313"/>
    <w:rsid w:val="20FA9D92"/>
    <w:rsid w:val="21067BCF"/>
    <w:rsid w:val="2106F9EE"/>
    <w:rsid w:val="21086B31"/>
    <w:rsid w:val="210E2F3E"/>
    <w:rsid w:val="2113B964"/>
    <w:rsid w:val="212DF2C6"/>
    <w:rsid w:val="214C2380"/>
    <w:rsid w:val="214DE98A"/>
    <w:rsid w:val="2150E7FE"/>
    <w:rsid w:val="215F33F7"/>
    <w:rsid w:val="21691D7A"/>
    <w:rsid w:val="2169FF6F"/>
    <w:rsid w:val="216BD290"/>
    <w:rsid w:val="21768F1B"/>
    <w:rsid w:val="217BD7D1"/>
    <w:rsid w:val="217D4B00"/>
    <w:rsid w:val="217E3923"/>
    <w:rsid w:val="2180B68F"/>
    <w:rsid w:val="218EEC5E"/>
    <w:rsid w:val="2199E68D"/>
    <w:rsid w:val="21A1032C"/>
    <w:rsid w:val="21A2AFAB"/>
    <w:rsid w:val="21B242C1"/>
    <w:rsid w:val="21B5C339"/>
    <w:rsid w:val="21C01B0A"/>
    <w:rsid w:val="21CC5AFB"/>
    <w:rsid w:val="21CD5DB7"/>
    <w:rsid w:val="21CFBC67"/>
    <w:rsid w:val="21D92E98"/>
    <w:rsid w:val="21DD4F7E"/>
    <w:rsid w:val="21E03D1C"/>
    <w:rsid w:val="21E3DC9A"/>
    <w:rsid w:val="21E9F30C"/>
    <w:rsid w:val="21F99C17"/>
    <w:rsid w:val="21FB0D86"/>
    <w:rsid w:val="21FC050B"/>
    <w:rsid w:val="21FFE266"/>
    <w:rsid w:val="2228F92A"/>
    <w:rsid w:val="222E67E1"/>
    <w:rsid w:val="2238588E"/>
    <w:rsid w:val="2239A814"/>
    <w:rsid w:val="224945D8"/>
    <w:rsid w:val="225AA57D"/>
    <w:rsid w:val="226788FB"/>
    <w:rsid w:val="227776DE"/>
    <w:rsid w:val="2278C611"/>
    <w:rsid w:val="22794894"/>
    <w:rsid w:val="2279FB74"/>
    <w:rsid w:val="227F291C"/>
    <w:rsid w:val="229A6E13"/>
    <w:rsid w:val="22A407E4"/>
    <w:rsid w:val="22B76A09"/>
    <w:rsid w:val="22B82B17"/>
    <w:rsid w:val="22D54CA5"/>
    <w:rsid w:val="22DAB4EB"/>
    <w:rsid w:val="22DB77BA"/>
    <w:rsid w:val="22E9D4C5"/>
    <w:rsid w:val="22EC6954"/>
    <w:rsid w:val="22EFAD25"/>
    <w:rsid w:val="22F17D77"/>
    <w:rsid w:val="2300AC2D"/>
    <w:rsid w:val="230109A4"/>
    <w:rsid w:val="23069EF0"/>
    <w:rsid w:val="23252851"/>
    <w:rsid w:val="2351DA04"/>
    <w:rsid w:val="23567713"/>
    <w:rsid w:val="235B6047"/>
    <w:rsid w:val="2369DF09"/>
    <w:rsid w:val="23782424"/>
    <w:rsid w:val="237ACB2D"/>
    <w:rsid w:val="237E64DA"/>
    <w:rsid w:val="23801414"/>
    <w:rsid w:val="23862DE4"/>
    <w:rsid w:val="238EC574"/>
    <w:rsid w:val="2390B8FA"/>
    <w:rsid w:val="23A2976A"/>
    <w:rsid w:val="23C0AE58"/>
    <w:rsid w:val="23C16B7D"/>
    <w:rsid w:val="23C798B4"/>
    <w:rsid w:val="23C79FA7"/>
    <w:rsid w:val="23DB04CA"/>
    <w:rsid w:val="23E36551"/>
    <w:rsid w:val="23E6F24F"/>
    <w:rsid w:val="23E9040D"/>
    <w:rsid w:val="23ED34FF"/>
    <w:rsid w:val="240CBF04"/>
    <w:rsid w:val="24105253"/>
    <w:rsid w:val="241DC8D7"/>
    <w:rsid w:val="2420638A"/>
    <w:rsid w:val="2420F7F1"/>
    <w:rsid w:val="24242B9E"/>
    <w:rsid w:val="2436DA1C"/>
    <w:rsid w:val="243E4521"/>
    <w:rsid w:val="2441E0DA"/>
    <w:rsid w:val="245BB6A7"/>
    <w:rsid w:val="2480A319"/>
    <w:rsid w:val="2489AEAD"/>
    <w:rsid w:val="24923F35"/>
    <w:rsid w:val="249B6878"/>
    <w:rsid w:val="249F05F7"/>
    <w:rsid w:val="24A3B39E"/>
    <w:rsid w:val="24AC6110"/>
    <w:rsid w:val="24B23D6D"/>
    <w:rsid w:val="24B2AA32"/>
    <w:rsid w:val="24E4ED1D"/>
    <w:rsid w:val="24FF372E"/>
    <w:rsid w:val="2504E9D7"/>
    <w:rsid w:val="250AAB3A"/>
    <w:rsid w:val="251BB0FE"/>
    <w:rsid w:val="251BB64E"/>
    <w:rsid w:val="25250C5D"/>
    <w:rsid w:val="2526463B"/>
    <w:rsid w:val="252EE0AE"/>
    <w:rsid w:val="252F6768"/>
    <w:rsid w:val="25303136"/>
    <w:rsid w:val="2536083C"/>
    <w:rsid w:val="253DB0CB"/>
    <w:rsid w:val="254A1D83"/>
    <w:rsid w:val="254F5C06"/>
    <w:rsid w:val="2550846B"/>
    <w:rsid w:val="255A223B"/>
    <w:rsid w:val="2568DFCB"/>
    <w:rsid w:val="2576FB50"/>
    <w:rsid w:val="257E9265"/>
    <w:rsid w:val="257ECA07"/>
    <w:rsid w:val="25837E1D"/>
    <w:rsid w:val="2596C07B"/>
    <w:rsid w:val="25A0C1F8"/>
    <w:rsid w:val="25B83176"/>
    <w:rsid w:val="25BA81A9"/>
    <w:rsid w:val="25BDB359"/>
    <w:rsid w:val="25C075F4"/>
    <w:rsid w:val="25D24A49"/>
    <w:rsid w:val="25DE610A"/>
    <w:rsid w:val="25F3E128"/>
    <w:rsid w:val="260D4690"/>
    <w:rsid w:val="260F5BC7"/>
    <w:rsid w:val="26115216"/>
    <w:rsid w:val="26265942"/>
    <w:rsid w:val="26287191"/>
    <w:rsid w:val="263CDF9B"/>
    <w:rsid w:val="263E72B9"/>
    <w:rsid w:val="264FFA2C"/>
    <w:rsid w:val="265EB7B8"/>
    <w:rsid w:val="266BCB6F"/>
    <w:rsid w:val="266D4877"/>
    <w:rsid w:val="267660EF"/>
    <w:rsid w:val="2680680D"/>
    <w:rsid w:val="2684C625"/>
    <w:rsid w:val="2688814A"/>
    <w:rsid w:val="2699ED16"/>
    <w:rsid w:val="269AB79E"/>
    <w:rsid w:val="26ACA596"/>
    <w:rsid w:val="26BA33C9"/>
    <w:rsid w:val="26BE04ED"/>
    <w:rsid w:val="26BE3AF8"/>
    <w:rsid w:val="26C1C17F"/>
    <w:rsid w:val="26C4B636"/>
    <w:rsid w:val="26C5EC99"/>
    <w:rsid w:val="26CF0C23"/>
    <w:rsid w:val="26D8E247"/>
    <w:rsid w:val="26E65C40"/>
    <w:rsid w:val="26E90A9F"/>
    <w:rsid w:val="26EB582C"/>
    <w:rsid w:val="26F87E4B"/>
    <w:rsid w:val="26FAA2D7"/>
    <w:rsid w:val="270A0926"/>
    <w:rsid w:val="270C29D3"/>
    <w:rsid w:val="2715FE2D"/>
    <w:rsid w:val="271B252D"/>
    <w:rsid w:val="27220B86"/>
    <w:rsid w:val="272C8C73"/>
    <w:rsid w:val="2739D120"/>
    <w:rsid w:val="27417F46"/>
    <w:rsid w:val="27493ECC"/>
    <w:rsid w:val="2752539B"/>
    <w:rsid w:val="275F0442"/>
    <w:rsid w:val="2760A649"/>
    <w:rsid w:val="2762B4B5"/>
    <w:rsid w:val="276D48C5"/>
    <w:rsid w:val="278B5322"/>
    <w:rsid w:val="2795C906"/>
    <w:rsid w:val="27A68045"/>
    <w:rsid w:val="27A8A33D"/>
    <w:rsid w:val="27B06BFB"/>
    <w:rsid w:val="27D4FB68"/>
    <w:rsid w:val="27DC7AF1"/>
    <w:rsid w:val="27E014D2"/>
    <w:rsid w:val="27E2B2F3"/>
    <w:rsid w:val="27F09741"/>
    <w:rsid w:val="27FD7586"/>
    <w:rsid w:val="27FE8730"/>
    <w:rsid w:val="280E86EF"/>
    <w:rsid w:val="28195550"/>
    <w:rsid w:val="281C2DB0"/>
    <w:rsid w:val="282D83C2"/>
    <w:rsid w:val="282EBCF3"/>
    <w:rsid w:val="2837B7D7"/>
    <w:rsid w:val="283AA158"/>
    <w:rsid w:val="283DF1AF"/>
    <w:rsid w:val="28428252"/>
    <w:rsid w:val="286ED60E"/>
    <w:rsid w:val="28761094"/>
    <w:rsid w:val="28807F71"/>
    <w:rsid w:val="28831639"/>
    <w:rsid w:val="28922389"/>
    <w:rsid w:val="289926A6"/>
    <w:rsid w:val="28B08D94"/>
    <w:rsid w:val="28BE7F83"/>
    <w:rsid w:val="28C2738A"/>
    <w:rsid w:val="28C8BB03"/>
    <w:rsid w:val="28C9427D"/>
    <w:rsid w:val="28CB4912"/>
    <w:rsid w:val="28CBAB42"/>
    <w:rsid w:val="28D10793"/>
    <w:rsid w:val="28D3F0C7"/>
    <w:rsid w:val="28D7A7B1"/>
    <w:rsid w:val="28DF73DC"/>
    <w:rsid w:val="28E08391"/>
    <w:rsid w:val="28E821D4"/>
    <w:rsid w:val="28E9E4CF"/>
    <w:rsid w:val="28FEEA6A"/>
    <w:rsid w:val="290C2F7A"/>
    <w:rsid w:val="29113A1A"/>
    <w:rsid w:val="29301C3F"/>
    <w:rsid w:val="2939A527"/>
    <w:rsid w:val="29476993"/>
    <w:rsid w:val="295018A7"/>
    <w:rsid w:val="2952CD49"/>
    <w:rsid w:val="295CDDC4"/>
    <w:rsid w:val="295CE0C3"/>
    <w:rsid w:val="296BA1B1"/>
    <w:rsid w:val="297E25BC"/>
    <w:rsid w:val="2985CAC6"/>
    <w:rsid w:val="298ED330"/>
    <w:rsid w:val="29A31D9E"/>
    <w:rsid w:val="29A66F2A"/>
    <w:rsid w:val="29AF4EFE"/>
    <w:rsid w:val="29B0191A"/>
    <w:rsid w:val="29B75B23"/>
    <w:rsid w:val="29B9A010"/>
    <w:rsid w:val="29BCDBA3"/>
    <w:rsid w:val="29C0577A"/>
    <w:rsid w:val="29C1F564"/>
    <w:rsid w:val="29CF4C73"/>
    <w:rsid w:val="29D404D7"/>
    <w:rsid w:val="29D4AD2F"/>
    <w:rsid w:val="29D5EEFE"/>
    <w:rsid w:val="29DCEBC6"/>
    <w:rsid w:val="29DD3B79"/>
    <w:rsid w:val="29E313AD"/>
    <w:rsid w:val="29E82B1A"/>
    <w:rsid w:val="29F03203"/>
    <w:rsid w:val="29FD61D2"/>
    <w:rsid w:val="2A0D3DA6"/>
    <w:rsid w:val="2A20E146"/>
    <w:rsid w:val="2A21C744"/>
    <w:rsid w:val="2A33E8BA"/>
    <w:rsid w:val="2A4B18F7"/>
    <w:rsid w:val="2A69286F"/>
    <w:rsid w:val="2A706203"/>
    <w:rsid w:val="2A796139"/>
    <w:rsid w:val="2A7BF4CE"/>
    <w:rsid w:val="2A84E715"/>
    <w:rsid w:val="2A91E85F"/>
    <w:rsid w:val="2A93870D"/>
    <w:rsid w:val="2A97C93E"/>
    <w:rsid w:val="2A9A7EA8"/>
    <w:rsid w:val="2A9A9DE2"/>
    <w:rsid w:val="2A9C24AB"/>
    <w:rsid w:val="2A9C90EB"/>
    <w:rsid w:val="2A9D1337"/>
    <w:rsid w:val="2AA0C2AB"/>
    <w:rsid w:val="2AA1076F"/>
    <w:rsid w:val="2AB39C9E"/>
    <w:rsid w:val="2AB50490"/>
    <w:rsid w:val="2AB75353"/>
    <w:rsid w:val="2ABBFEB9"/>
    <w:rsid w:val="2AC070ED"/>
    <w:rsid w:val="2AC85A12"/>
    <w:rsid w:val="2AE69F71"/>
    <w:rsid w:val="2AE82650"/>
    <w:rsid w:val="2AE9654B"/>
    <w:rsid w:val="2AEA6D94"/>
    <w:rsid w:val="2AEC6158"/>
    <w:rsid w:val="2AEF2EC9"/>
    <w:rsid w:val="2AFD79F8"/>
    <w:rsid w:val="2AFEFF46"/>
    <w:rsid w:val="2B09AE3C"/>
    <w:rsid w:val="2B15C7B8"/>
    <w:rsid w:val="2B1D260A"/>
    <w:rsid w:val="2B2B7960"/>
    <w:rsid w:val="2B317D22"/>
    <w:rsid w:val="2B33861C"/>
    <w:rsid w:val="2B3FFB62"/>
    <w:rsid w:val="2B411C33"/>
    <w:rsid w:val="2B521C13"/>
    <w:rsid w:val="2B5C4C2C"/>
    <w:rsid w:val="2B6AA2AB"/>
    <w:rsid w:val="2B7ED0F0"/>
    <w:rsid w:val="2B8B4247"/>
    <w:rsid w:val="2B8C968D"/>
    <w:rsid w:val="2BA1896F"/>
    <w:rsid w:val="2BA2EE07"/>
    <w:rsid w:val="2BB2E5F5"/>
    <w:rsid w:val="2BB60962"/>
    <w:rsid w:val="2BB89EF2"/>
    <w:rsid w:val="2BD83915"/>
    <w:rsid w:val="2BDBC031"/>
    <w:rsid w:val="2BDDD756"/>
    <w:rsid w:val="2BEC107E"/>
    <w:rsid w:val="2BF86555"/>
    <w:rsid w:val="2BF907F0"/>
    <w:rsid w:val="2BFC082B"/>
    <w:rsid w:val="2BFC4463"/>
    <w:rsid w:val="2BFCA6DB"/>
    <w:rsid w:val="2C059C72"/>
    <w:rsid w:val="2C185639"/>
    <w:rsid w:val="2C18DAB1"/>
    <w:rsid w:val="2C196610"/>
    <w:rsid w:val="2C19DC75"/>
    <w:rsid w:val="2C21C9DA"/>
    <w:rsid w:val="2C229288"/>
    <w:rsid w:val="2C2DF67D"/>
    <w:rsid w:val="2C31D317"/>
    <w:rsid w:val="2C391B6A"/>
    <w:rsid w:val="2C3C7204"/>
    <w:rsid w:val="2C5FFD8A"/>
    <w:rsid w:val="2C66D5F5"/>
    <w:rsid w:val="2C68298F"/>
    <w:rsid w:val="2C6C8C18"/>
    <w:rsid w:val="2C6FF39D"/>
    <w:rsid w:val="2C7630A7"/>
    <w:rsid w:val="2C847B9A"/>
    <w:rsid w:val="2C8706BB"/>
    <w:rsid w:val="2C8E4B3A"/>
    <w:rsid w:val="2C912E54"/>
    <w:rsid w:val="2C9FA66E"/>
    <w:rsid w:val="2CAD7CEA"/>
    <w:rsid w:val="2CB1313C"/>
    <w:rsid w:val="2CCF4434"/>
    <w:rsid w:val="2CD32B5E"/>
    <w:rsid w:val="2CD3B695"/>
    <w:rsid w:val="2CDF465D"/>
    <w:rsid w:val="2CDF7C36"/>
    <w:rsid w:val="2CE6244D"/>
    <w:rsid w:val="2CE8455C"/>
    <w:rsid w:val="2CEFFB78"/>
    <w:rsid w:val="2CF6F1F7"/>
    <w:rsid w:val="2CFAF0D6"/>
    <w:rsid w:val="2CFD8F9F"/>
    <w:rsid w:val="2D0100B5"/>
    <w:rsid w:val="2D0D84B0"/>
    <w:rsid w:val="2D0E9988"/>
    <w:rsid w:val="2D10EC56"/>
    <w:rsid w:val="2D14B4B9"/>
    <w:rsid w:val="2D2D83E8"/>
    <w:rsid w:val="2D3AC1AE"/>
    <w:rsid w:val="2D4085CC"/>
    <w:rsid w:val="2D425B37"/>
    <w:rsid w:val="2D441DF1"/>
    <w:rsid w:val="2D445C34"/>
    <w:rsid w:val="2D5169F7"/>
    <w:rsid w:val="2D58BCB3"/>
    <w:rsid w:val="2D6728D2"/>
    <w:rsid w:val="2D70C0A9"/>
    <w:rsid w:val="2D714423"/>
    <w:rsid w:val="2D77FBB1"/>
    <w:rsid w:val="2D7AF6F3"/>
    <w:rsid w:val="2D9C7866"/>
    <w:rsid w:val="2DA0E0EF"/>
    <w:rsid w:val="2DB1CC92"/>
    <w:rsid w:val="2DB8D253"/>
    <w:rsid w:val="2DEF3A08"/>
    <w:rsid w:val="2DF8446F"/>
    <w:rsid w:val="2E027865"/>
    <w:rsid w:val="2E121518"/>
    <w:rsid w:val="2E1D7991"/>
    <w:rsid w:val="2E2FA4B1"/>
    <w:rsid w:val="2E395022"/>
    <w:rsid w:val="2E396435"/>
    <w:rsid w:val="2E39C677"/>
    <w:rsid w:val="2E3ADA55"/>
    <w:rsid w:val="2E4C58A1"/>
    <w:rsid w:val="2E5330C5"/>
    <w:rsid w:val="2E592003"/>
    <w:rsid w:val="2E729A79"/>
    <w:rsid w:val="2E74E766"/>
    <w:rsid w:val="2E7FC0FE"/>
    <w:rsid w:val="2E8E528E"/>
    <w:rsid w:val="2EAC0AF5"/>
    <w:rsid w:val="2EBB8011"/>
    <w:rsid w:val="2ED5C84B"/>
    <w:rsid w:val="2EE00AD4"/>
    <w:rsid w:val="2EE67139"/>
    <w:rsid w:val="2EE93CD9"/>
    <w:rsid w:val="2EEFEE2B"/>
    <w:rsid w:val="2EF56BB6"/>
    <w:rsid w:val="2EFCC9CF"/>
    <w:rsid w:val="2F086B3E"/>
    <w:rsid w:val="2F109026"/>
    <w:rsid w:val="2F16C107"/>
    <w:rsid w:val="2F18339E"/>
    <w:rsid w:val="2F212CC2"/>
    <w:rsid w:val="2F2C900F"/>
    <w:rsid w:val="2F30D4AF"/>
    <w:rsid w:val="2F388441"/>
    <w:rsid w:val="2F402A85"/>
    <w:rsid w:val="2F4DD660"/>
    <w:rsid w:val="2F4E64DE"/>
    <w:rsid w:val="2F4F8090"/>
    <w:rsid w:val="2F54E1DF"/>
    <w:rsid w:val="2F6A9C99"/>
    <w:rsid w:val="2F6CDD82"/>
    <w:rsid w:val="2F6D354D"/>
    <w:rsid w:val="2F9455F5"/>
    <w:rsid w:val="2F9731F8"/>
    <w:rsid w:val="2F9C193F"/>
    <w:rsid w:val="2FA674A5"/>
    <w:rsid w:val="2FAA9573"/>
    <w:rsid w:val="2FAFFA32"/>
    <w:rsid w:val="2FB55111"/>
    <w:rsid w:val="2FB5D561"/>
    <w:rsid w:val="2FBEA55C"/>
    <w:rsid w:val="2FC721F6"/>
    <w:rsid w:val="2FCB0142"/>
    <w:rsid w:val="2FCE9DAA"/>
    <w:rsid w:val="2FEE54F4"/>
    <w:rsid w:val="2FFA1412"/>
    <w:rsid w:val="3003458E"/>
    <w:rsid w:val="302415D9"/>
    <w:rsid w:val="30251882"/>
    <w:rsid w:val="302F9BB3"/>
    <w:rsid w:val="30316427"/>
    <w:rsid w:val="303B0619"/>
    <w:rsid w:val="3041B14D"/>
    <w:rsid w:val="305D8AC2"/>
    <w:rsid w:val="306CC5D9"/>
    <w:rsid w:val="306CCAEA"/>
    <w:rsid w:val="3070E6F8"/>
    <w:rsid w:val="30828A05"/>
    <w:rsid w:val="3086ED73"/>
    <w:rsid w:val="3090B8F8"/>
    <w:rsid w:val="30A11009"/>
    <w:rsid w:val="30AA20AB"/>
    <w:rsid w:val="30AFCFF7"/>
    <w:rsid w:val="30B59D9B"/>
    <w:rsid w:val="30B6FA72"/>
    <w:rsid w:val="30B845F0"/>
    <w:rsid w:val="30BAC6E9"/>
    <w:rsid w:val="30BB745F"/>
    <w:rsid w:val="30C9CBE6"/>
    <w:rsid w:val="30CBA166"/>
    <w:rsid w:val="30CF179A"/>
    <w:rsid w:val="30D9A546"/>
    <w:rsid w:val="30DB0C7E"/>
    <w:rsid w:val="30E8B8EA"/>
    <w:rsid w:val="30F7B3FF"/>
    <w:rsid w:val="30F8B47C"/>
    <w:rsid w:val="311368B2"/>
    <w:rsid w:val="31153520"/>
    <w:rsid w:val="31189C7F"/>
    <w:rsid w:val="311A575E"/>
    <w:rsid w:val="311BB8EC"/>
    <w:rsid w:val="311E26A6"/>
    <w:rsid w:val="312014B8"/>
    <w:rsid w:val="312535D2"/>
    <w:rsid w:val="312C631F"/>
    <w:rsid w:val="313C3501"/>
    <w:rsid w:val="313DE10F"/>
    <w:rsid w:val="313FF630"/>
    <w:rsid w:val="315630E4"/>
    <w:rsid w:val="31575BFD"/>
    <w:rsid w:val="316351A3"/>
    <w:rsid w:val="31661D19"/>
    <w:rsid w:val="31677E75"/>
    <w:rsid w:val="316A579E"/>
    <w:rsid w:val="3178F336"/>
    <w:rsid w:val="317C9BF3"/>
    <w:rsid w:val="318EB8F7"/>
    <w:rsid w:val="318F44B4"/>
    <w:rsid w:val="319238C7"/>
    <w:rsid w:val="31A51882"/>
    <w:rsid w:val="31A5D2A9"/>
    <w:rsid w:val="31A711B8"/>
    <w:rsid w:val="31AB4AF7"/>
    <w:rsid w:val="31AB7E38"/>
    <w:rsid w:val="31B17766"/>
    <w:rsid w:val="31BDA867"/>
    <w:rsid w:val="31BF0A89"/>
    <w:rsid w:val="31C0A87D"/>
    <w:rsid w:val="31C626B0"/>
    <w:rsid w:val="31C859C7"/>
    <w:rsid w:val="31D2DEA7"/>
    <w:rsid w:val="31DC2537"/>
    <w:rsid w:val="31DCB29C"/>
    <w:rsid w:val="31E081F7"/>
    <w:rsid w:val="31F8259A"/>
    <w:rsid w:val="31F9DE49"/>
    <w:rsid w:val="31FB261B"/>
    <w:rsid w:val="321204AB"/>
    <w:rsid w:val="3218A1A7"/>
    <w:rsid w:val="321C8257"/>
    <w:rsid w:val="32207682"/>
    <w:rsid w:val="322A153E"/>
    <w:rsid w:val="3237D77C"/>
    <w:rsid w:val="32496CE4"/>
    <w:rsid w:val="325A5C36"/>
    <w:rsid w:val="326FCF7E"/>
    <w:rsid w:val="3272571F"/>
    <w:rsid w:val="32783CD8"/>
    <w:rsid w:val="32903E33"/>
    <w:rsid w:val="32921B22"/>
    <w:rsid w:val="3294EEF8"/>
    <w:rsid w:val="329CB313"/>
    <w:rsid w:val="329FE4FC"/>
    <w:rsid w:val="32B78C4F"/>
    <w:rsid w:val="32B8D267"/>
    <w:rsid w:val="32BDD2A9"/>
    <w:rsid w:val="32CE68CA"/>
    <w:rsid w:val="32D1787A"/>
    <w:rsid w:val="32D458DD"/>
    <w:rsid w:val="32D6E73C"/>
    <w:rsid w:val="32D8D1F4"/>
    <w:rsid w:val="32D8D46F"/>
    <w:rsid w:val="32EE757B"/>
    <w:rsid w:val="32EEBCD6"/>
    <w:rsid w:val="32F2C608"/>
    <w:rsid w:val="33211770"/>
    <w:rsid w:val="3322DB89"/>
    <w:rsid w:val="3327A27D"/>
    <w:rsid w:val="33405902"/>
    <w:rsid w:val="334A43D1"/>
    <w:rsid w:val="3350ABD4"/>
    <w:rsid w:val="33543536"/>
    <w:rsid w:val="3357A333"/>
    <w:rsid w:val="3360E649"/>
    <w:rsid w:val="33673330"/>
    <w:rsid w:val="33754498"/>
    <w:rsid w:val="33872769"/>
    <w:rsid w:val="3387EB7D"/>
    <w:rsid w:val="3389F73A"/>
    <w:rsid w:val="3397DE2F"/>
    <w:rsid w:val="339C38EC"/>
    <w:rsid w:val="33A08A9A"/>
    <w:rsid w:val="33A1706F"/>
    <w:rsid w:val="33A4DB08"/>
    <w:rsid w:val="33B77DC3"/>
    <w:rsid w:val="33C56567"/>
    <w:rsid w:val="33CAC285"/>
    <w:rsid w:val="33CD3332"/>
    <w:rsid w:val="33D6C283"/>
    <w:rsid w:val="33EDBA21"/>
    <w:rsid w:val="33F012BB"/>
    <w:rsid w:val="33F3B9A6"/>
    <w:rsid w:val="33FAF089"/>
    <w:rsid w:val="33FF89DD"/>
    <w:rsid w:val="3401FB53"/>
    <w:rsid w:val="341412AC"/>
    <w:rsid w:val="3415A2C8"/>
    <w:rsid w:val="341B50CA"/>
    <w:rsid w:val="34225DF2"/>
    <w:rsid w:val="34231634"/>
    <w:rsid w:val="343DBB7C"/>
    <w:rsid w:val="3447BE9A"/>
    <w:rsid w:val="34598654"/>
    <w:rsid w:val="347C2AEE"/>
    <w:rsid w:val="347FF2BC"/>
    <w:rsid w:val="348E40C5"/>
    <w:rsid w:val="349F2CE5"/>
    <w:rsid w:val="34AE42A5"/>
    <w:rsid w:val="34B58F67"/>
    <w:rsid w:val="34BA4659"/>
    <w:rsid w:val="34C9AF25"/>
    <w:rsid w:val="34CD8E34"/>
    <w:rsid w:val="34D2CA59"/>
    <w:rsid w:val="34E16189"/>
    <w:rsid w:val="34EA1AD4"/>
    <w:rsid w:val="34EF8B95"/>
    <w:rsid w:val="34FD2C9B"/>
    <w:rsid w:val="3502E5B1"/>
    <w:rsid w:val="35101FAD"/>
    <w:rsid w:val="3512DF7A"/>
    <w:rsid w:val="35144E5A"/>
    <w:rsid w:val="3521FCCE"/>
    <w:rsid w:val="3522751C"/>
    <w:rsid w:val="352A0E96"/>
    <w:rsid w:val="352BA82E"/>
    <w:rsid w:val="35507F7F"/>
    <w:rsid w:val="355D3C85"/>
    <w:rsid w:val="357324EF"/>
    <w:rsid w:val="357DFFA6"/>
    <w:rsid w:val="35807655"/>
    <w:rsid w:val="3581031B"/>
    <w:rsid w:val="359628C6"/>
    <w:rsid w:val="3598F0D6"/>
    <w:rsid w:val="35AB8F2A"/>
    <w:rsid w:val="35BD205A"/>
    <w:rsid w:val="35C0DA2F"/>
    <w:rsid w:val="35C2BD5F"/>
    <w:rsid w:val="35DC87C2"/>
    <w:rsid w:val="35EA2204"/>
    <w:rsid w:val="36055A2C"/>
    <w:rsid w:val="360C63D7"/>
    <w:rsid w:val="361046BF"/>
    <w:rsid w:val="36136A44"/>
    <w:rsid w:val="3630DA45"/>
    <w:rsid w:val="363121B2"/>
    <w:rsid w:val="3637BA36"/>
    <w:rsid w:val="363AAEC5"/>
    <w:rsid w:val="363E1584"/>
    <w:rsid w:val="36400A65"/>
    <w:rsid w:val="36401615"/>
    <w:rsid w:val="364BB30E"/>
    <w:rsid w:val="3653FED2"/>
    <w:rsid w:val="366475E5"/>
    <w:rsid w:val="366E30A1"/>
    <w:rsid w:val="367439BC"/>
    <w:rsid w:val="3679616F"/>
    <w:rsid w:val="3685071F"/>
    <w:rsid w:val="36925B0F"/>
    <w:rsid w:val="36A5633E"/>
    <w:rsid w:val="36ABEF15"/>
    <w:rsid w:val="36AE22B6"/>
    <w:rsid w:val="36BFD24F"/>
    <w:rsid w:val="36C0CDA2"/>
    <w:rsid w:val="36CAC2FC"/>
    <w:rsid w:val="36CF4CE4"/>
    <w:rsid w:val="36DD6B40"/>
    <w:rsid w:val="36E15E90"/>
    <w:rsid w:val="36E2D381"/>
    <w:rsid w:val="36E47FF4"/>
    <w:rsid w:val="36EF29CC"/>
    <w:rsid w:val="37022E29"/>
    <w:rsid w:val="371244B7"/>
    <w:rsid w:val="37135929"/>
    <w:rsid w:val="3714ADF1"/>
    <w:rsid w:val="3718FC84"/>
    <w:rsid w:val="371BBF52"/>
    <w:rsid w:val="37299BB7"/>
    <w:rsid w:val="37359742"/>
    <w:rsid w:val="37448628"/>
    <w:rsid w:val="3746ABA7"/>
    <w:rsid w:val="375C2CE1"/>
    <w:rsid w:val="3787C5C8"/>
    <w:rsid w:val="37889300"/>
    <w:rsid w:val="379422E4"/>
    <w:rsid w:val="37A9D7BE"/>
    <w:rsid w:val="37C5B276"/>
    <w:rsid w:val="37CBDA48"/>
    <w:rsid w:val="37D7C15F"/>
    <w:rsid w:val="37DE46A1"/>
    <w:rsid w:val="37EA2299"/>
    <w:rsid w:val="37F3526A"/>
    <w:rsid w:val="37F54234"/>
    <w:rsid w:val="37F95D65"/>
    <w:rsid w:val="37FD181E"/>
    <w:rsid w:val="38038B34"/>
    <w:rsid w:val="381A5327"/>
    <w:rsid w:val="381DC25A"/>
    <w:rsid w:val="3824093E"/>
    <w:rsid w:val="3827596A"/>
    <w:rsid w:val="382A3FB7"/>
    <w:rsid w:val="38304901"/>
    <w:rsid w:val="38457308"/>
    <w:rsid w:val="384DAFA4"/>
    <w:rsid w:val="38631BDF"/>
    <w:rsid w:val="3864860B"/>
    <w:rsid w:val="3869E4F0"/>
    <w:rsid w:val="3874BCBF"/>
    <w:rsid w:val="3881AA0E"/>
    <w:rsid w:val="38AF8590"/>
    <w:rsid w:val="38B94B4E"/>
    <w:rsid w:val="38C105F1"/>
    <w:rsid w:val="38C1482E"/>
    <w:rsid w:val="38C717DD"/>
    <w:rsid w:val="38CC402A"/>
    <w:rsid w:val="38D20620"/>
    <w:rsid w:val="38E8456B"/>
    <w:rsid w:val="38EA13BA"/>
    <w:rsid w:val="38EC1793"/>
    <w:rsid w:val="38F612D3"/>
    <w:rsid w:val="38FE88F7"/>
    <w:rsid w:val="3901AA74"/>
    <w:rsid w:val="39032229"/>
    <w:rsid w:val="390C83B8"/>
    <w:rsid w:val="390F9680"/>
    <w:rsid w:val="391047D1"/>
    <w:rsid w:val="3916BD99"/>
    <w:rsid w:val="3920E8C6"/>
    <w:rsid w:val="39386C00"/>
    <w:rsid w:val="3941FD7C"/>
    <w:rsid w:val="394B8F67"/>
    <w:rsid w:val="394EFD7F"/>
    <w:rsid w:val="395353C0"/>
    <w:rsid w:val="39648AAE"/>
    <w:rsid w:val="3968FD57"/>
    <w:rsid w:val="3970C906"/>
    <w:rsid w:val="397802AE"/>
    <w:rsid w:val="397B820D"/>
    <w:rsid w:val="39847075"/>
    <w:rsid w:val="399812F4"/>
    <w:rsid w:val="399B7AEA"/>
    <w:rsid w:val="39A636AC"/>
    <w:rsid w:val="39B4DB4D"/>
    <w:rsid w:val="39B7C60F"/>
    <w:rsid w:val="39BB97C3"/>
    <w:rsid w:val="39C1B6C4"/>
    <w:rsid w:val="39C63E0D"/>
    <w:rsid w:val="39C9D2F4"/>
    <w:rsid w:val="39D2C709"/>
    <w:rsid w:val="39E552A7"/>
    <w:rsid w:val="39E632D5"/>
    <w:rsid w:val="39EE5565"/>
    <w:rsid w:val="39F36188"/>
    <w:rsid w:val="39FF299A"/>
    <w:rsid w:val="3A02B55A"/>
    <w:rsid w:val="3A07B35D"/>
    <w:rsid w:val="3A1CEBD6"/>
    <w:rsid w:val="3A1D4A07"/>
    <w:rsid w:val="3A2A5310"/>
    <w:rsid w:val="3A2ED49E"/>
    <w:rsid w:val="3A3436B8"/>
    <w:rsid w:val="3A35C1AC"/>
    <w:rsid w:val="3A36044E"/>
    <w:rsid w:val="3A40786D"/>
    <w:rsid w:val="3A43FB4C"/>
    <w:rsid w:val="3A488C3C"/>
    <w:rsid w:val="3A48E358"/>
    <w:rsid w:val="3A493932"/>
    <w:rsid w:val="3A4AD815"/>
    <w:rsid w:val="3A4E4787"/>
    <w:rsid w:val="3A4FBFB2"/>
    <w:rsid w:val="3A5CA890"/>
    <w:rsid w:val="3A7529D7"/>
    <w:rsid w:val="3A836B01"/>
    <w:rsid w:val="3A844CB1"/>
    <w:rsid w:val="3A8C0850"/>
    <w:rsid w:val="3A91B7A6"/>
    <w:rsid w:val="3AA76C56"/>
    <w:rsid w:val="3AB1FA4D"/>
    <w:rsid w:val="3AB391A2"/>
    <w:rsid w:val="3AB5AAE5"/>
    <w:rsid w:val="3AB9C0BA"/>
    <w:rsid w:val="3AC13B5F"/>
    <w:rsid w:val="3ACA83B0"/>
    <w:rsid w:val="3ACB8E7B"/>
    <w:rsid w:val="3ADB0554"/>
    <w:rsid w:val="3ADE3D81"/>
    <w:rsid w:val="3AF4BD8D"/>
    <w:rsid w:val="3AFA26C2"/>
    <w:rsid w:val="3B05363A"/>
    <w:rsid w:val="3B22516C"/>
    <w:rsid w:val="3B267920"/>
    <w:rsid w:val="3B286A3E"/>
    <w:rsid w:val="3B3425EE"/>
    <w:rsid w:val="3B3BB290"/>
    <w:rsid w:val="3B474E98"/>
    <w:rsid w:val="3B48B2C2"/>
    <w:rsid w:val="3B495D4A"/>
    <w:rsid w:val="3B577377"/>
    <w:rsid w:val="3B58F66F"/>
    <w:rsid w:val="3B6678B6"/>
    <w:rsid w:val="3B77E159"/>
    <w:rsid w:val="3B86BC69"/>
    <w:rsid w:val="3B898275"/>
    <w:rsid w:val="3B8B1427"/>
    <w:rsid w:val="3B93C2BE"/>
    <w:rsid w:val="3B966037"/>
    <w:rsid w:val="3B98A08F"/>
    <w:rsid w:val="3B9B0199"/>
    <w:rsid w:val="3B9EA7AB"/>
    <w:rsid w:val="3BA54D8A"/>
    <w:rsid w:val="3BA7D0BF"/>
    <w:rsid w:val="3BBC8C0C"/>
    <w:rsid w:val="3BBD8866"/>
    <w:rsid w:val="3BC6A2E4"/>
    <w:rsid w:val="3BD7CD34"/>
    <w:rsid w:val="3BDA90DC"/>
    <w:rsid w:val="3BDE2A01"/>
    <w:rsid w:val="3BE4E190"/>
    <w:rsid w:val="3BE89A43"/>
    <w:rsid w:val="3BEF1380"/>
    <w:rsid w:val="3C050DC0"/>
    <w:rsid w:val="3C210202"/>
    <w:rsid w:val="3C32BA54"/>
    <w:rsid w:val="3C44B937"/>
    <w:rsid w:val="3C4EA6FA"/>
    <w:rsid w:val="3C573690"/>
    <w:rsid w:val="3C5B2D3E"/>
    <w:rsid w:val="3C7B387A"/>
    <w:rsid w:val="3C816563"/>
    <w:rsid w:val="3C865A6B"/>
    <w:rsid w:val="3C8974ED"/>
    <w:rsid w:val="3C8C1831"/>
    <w:rsid w:val="3C9043CB"/>
    <w:rsid w:val="3C9221F5"/>
    <w:rsid w:val="3C963F4A"/>
    <w:rsid w:val="3C981E92"/>
    <w:rsid w:val="3C997194"/>
    <w:rsid w:val="3CA12EE4"/>
    <w:rsid w:val="3CA3D451"/>
    <w:rsid w:val="3CA68B49"/>
    <w:rsid w:val="3CA77C18"/>
    <w:rsid w:val="3CB1E01B"/>
    <w:rsid w:val="3CB77889"/>
    <w:rsid w:val="3CC203AB"/>
    <w:rsid w:val="3CD103C7"/>
    <w:rsid w:val="3CD15F14"/>
    <w:rsid w:val="3CD3E235"/>
    <w:rsid w:val="3CEAA749"/>
    <w:rsid w:val="3CF8AE7E"/>
    <w:rsid w:val="3D122081"/>
    <w:rsid w:val="3D151F27"/>
    <w:rsid w:val="3D22A349"/>
    <w:rsid w:val="3D242199"/>
    <w:rsid w:val="3D297EFB"/>
    <w:rsid w:val="3D341A98"/>
    <w:rsid w:val="3D37F70A"/>
    <w:rsid w:val="3D6C296B"/>
    <w:rsid w:val="3D85B7F4"/>
    <w:rsid w:val="3D862586"/>
    <w:rsid w:val="3D8FA553"/>
    <w:rsid w:val="3D9E9E0C"/>
    <w:rsid w:val="3D9F0930"/>
    <w:rsid w:val="3DA6585C"/>
    <w:rsid w:val="3DA6B2AF"/>
    <w:rsid w:val="3DAB947C"/>
    <w:rsid w:val="3DAD47F7"/>
    <w:rsid w:val="3DCC9BB9"/>
    <w:rsid w:val="3DD33BE5"/>
    <w:rsid w:val="3DFF09A7"/>
    <w:rsid w:val="3DFF12D3"/>
    <w:rsid w:val="3E2497F1"/>
    <w:rsid w:val="3E26C90C"/>
    <w:rsid w:val="3E2B1B77"/>
    <w:rsid w:val="3E2CA804"/>
    <w:rsid w:val="3E3B25E8"/>
    <w:rsid w:val="3E3C0BDF"/>
    <w:rsid w:val="3E478EE0"/>
    <w:rsid w:val="3E4E599B"/>
    <w:rsid w:val="3E5FADF0"/>
    <w:rsid w:val="3E644125"/>
    <w:rsid w:val="3E680EB9"/>
    <w:rsid w:val="3E76F6A5"/>
    <w:rsid w:val="3E81D1BE"/>
    <w:rsid w:val="3E83F496"/>
    <w:rsid w:val="3E8BFE31"/>
    <w:rsid w:val="3E96B021"/>
    <w:rsid w:val="3E9CE9FF"/>
    <w:rsid w:val="3E9CF551"/>
    <w:rsid w:val="3EA4CC98"/>
    <w:rsid w:val="3EAA91F7"/>
    <w:rsid w:val="3EAE634F"/>
    <w:rsid w:val="3ED210CC"/>
    <w:rsid w:val="3ED2FE0D"/>
    <w:rsid w:val="3ED6A136"/>
    <w:rsid w:val="3EED09A9"/>
    <w:rsid w:val="3EED4FF4"/>
    <w:rsid w:val="3EEEC623"/>
    <w:rsid w:val="3EF00EF8"/>
    <w:rsid w:val="3EF5239D"/>
    <w:rsid w:val="3EFFC214"/>
    <w:rsid w:val="3F019309"/>
    <w:rsid w:val="3F01A924"/>
    <w:rsid w:val="3F04BD11"/>
    <w:rsid w:val="3F076104"/>
    <w:rsid w:val="3F0916FD"/>
    <w:rsid w:val="3F0FA6FD"/>
    <w:rsid w:val="3F163AC4"/>
    <w:rsid w:val="3F186B0E"/>
    <w:rsid w:val="3F25CC02"/>
    <w:rsid w:val="3F28B444"/>
    <w:rsid w:val="3F2E5FE7"/>
    <w:rsid w:val="3F327F8A"/>
    <w:rsid w:val="3F3408C6"/>
    <w:rsid w:val="3F377DC9"/>
    <w:rsid w:val="3F3D747B"/>
    <w:rsid w:val="3F526B4C"/>
    <w:rsid w:val="3F539E72"/>
    <w:rsid w:val="3F579684"/>
    <w:rsid w:val="3F58E0B9"/>
    <w:rsid w:val="3F658020"/>
    <w:rsid w:val="3F6882A4"/>
    <w:rsid w:val="3F71BCFE"/>
    <w:rsid w:val="3F781C29"/>
    <w:rsid w:val="3F82F64F"/>
    <w:rsid w:val="3F9406DB"/>
    <w:rsid w:val="3FADF2C3"/>
    <w:rsid w:val="3FCBFDFD"/>
    <w:rsid w:val="3FCC39EA"/>
    <w:rsid w:val="3FCEF061"/>
    <w:rsid w:val="3FD0663F"/>
    <w:rsid w:val="3FD79A83"/>
    <w:rsid w:val="3FDE82E9"/>
    <w:rsid w:val="3FE8258D"/>
    <w:rsid w:val="3FF3DF3C"/>
    <w:rsid w:val="401AD605"/>
    <w:rsid w:val="402EBE72"/>
    <w:rsid w:val="4034553A"/>
    <w:rsid w:val="4039DF6C"/>
    <w:rsid w:val="403C697A"/>
    <w:rsid w:val="4040DB78"/>
    <w:rsid w:val="404B2E06"/>
    <w:rsid w:val="404D4519"/>
    <w:rsid w:val="405219B1"/>
    <w:rsid w:val="405F0735"/>
    <w:rsid w:val="40756F14"/>
    <w:rsid w:val="40772B27"/>
    <w:rsid w:val="4083FF61"/>
    <w:rsid w:val="40860747"/>
    <w:rsid w:val="408EAF3F"/>
    <w:rsid w:val="40985484"/>
    <w:rsid w:val="409ED989"/>
    <w:rsid w:val="40A90E49"/>
    <w:rsid w:val="40A9F2A8"/>
    <w:rsid w:val="40B00224"/>
    <w:rsid w:val="40B3877B"/>
    <w:rsid w:val="40C8F28D"/>
    <w:rsid w:val="40CFF32C"/>
    <w:rsid w:val="40DF94B5"/>
    <w:rsid w:val="4109D529"/>
    <w:rsid w:val="412040BF"/>
    <w:rsid w:val="412B04E5"/>
    <w:rsid w:val="413B72CD"/>
    <w:rsid w:val="414C2178"/>
    <w:rsid w:val="41529F6B"/>
    <w:rsid w:val="41634F07"/>
    <w:rsid w:val="416E8971"/>
    <w:rsid w:val="416EADD7"/>
    <w:rsid w:val="4183E3A3"/>
    <w:rsid w:val="418A30E2"/>
    <w:rsid w:val="419E3963"/>
    <w:rsid w:val="41A10823"/>
    <w:rsid w:val="41B6A31E"/>
    <w:rsid w:val="41C61432"/>
    <w:rsid w:val="41C91D5E"/>
    <w:rsid w:val="41D5FFB9"/>
    <w:rsid w:val="41D99E84"/>
    <w:rsid w:val="41E15548"/>
    <w:rsid w:val="41EB8F7F"/>
    <w:rsid w:val="41F23799"/>
    <w:rsid w:val="41FC92C2"/>
    <w:rsid w:val="41FD7B12"/>
    <w:rsid w:val="41FE91F2"/>
    <w:rsid w:val="42019BAE"/>
    <w:rsid w:val="420F8231"/>
    <w:rsid w:val="42116D2D"/>
    <w:rsid w:val="4216E559"/>
    <w:rsid w:val="42349FC7"/>
    <w:rsid w:val="4249D5F8"/>
    <w:rsid w:val="425B7079"/>
    <w:rsid w:val="425E5AAE"/>
    <w:rsid w:val="426F972A"/>
    <w:rsid w:val="42722344"/>
    <w:rsid w:val="427E8867"/>
    <w:rsid w:val="42846763"/>
    <w:rsid w:val="428E1764"/>
    <w:rsid w:val="4292C428"/>
    <w:rsid w:val="42949BD1"/>
    <w:rsid w:val="42963865"/>
    <w:rsid w:val="42A3FEA9"/>
    <w:rsid w:val="42B74724"/>
    <w:rsid w:val="42BA8FB6"/>
    <w:rsid w:val="42BB7438"/>
    <w:rsid w:val="42BBE94A"/>
    <w:rsid w:val="42BE5282"/>
    <w:rsid w:val="42DA2DBC"/>
    <w:rsid w:val="42DA4AB3"/>
    <w:rsid w:val="42E2F400"/>
    <w:rsid w:val="42E541AB"/>
    <w:rsid w:val="42EB4A34"/>
    <w:rsid w:val="42ED1253"/>
    <w:rsid w:val="42F35C12"/>
    <w:rsid w:val="42F90655"/>
    <w:rsid w:val="42FC21C4"/>
    <w:rsid w:val="42FEF413"/>
    <w:rsid w:val="43046051"/>
    <w:rsid w:val="43067F37"/>
    <w:rsid w:val="4312B155"/>
    <w:rsid w:val="431988E5"/>
    <w:rsid w:val="4324DDD6"/>
    <w:rsid w:val="432E0F64"/>
    <w:rsid w:val="433A3F23"/>
    <w:rsid w:val="433A7ECE"/>
    <w:rsid w:val="433DF9FF"/>
    <w:rsid w:val="434274C2"/>
    <w:rsid w:val="434C9C3F"/>
    <w:rsid w:val="43564C3E"/>
    <w:rsid w:val="4358335F"/>
    <w:rsid w:val="436032A8"/>
    <w:rsid w:val="4362D973"/>
    <w:rsid w:val="436BCD2B"/>
    <w:rsid w:val="4374C658"/>
    <w:rsid w:val="43750632"/>
    <w:rsid w:val="437F8148"/>
    <w:rsid w:val="439418DD"/>
    <w:rsid w:val="43979A0D"/>
    <w:rsid w:val="43A3DD9F"/>
    <w:rsid w:val="43B2504A"/>
    <w:rsid w:val="43BB80B1"/>
    <w:rsid w:val="43C2A4D6"/>
    <w:rsid w:val="43C8D90B"/>
    <w:rsid w:val="43CAD2FE"/>
    <w:rsid w:val="43D633AF"/>
    <w:rsid w:val="43D793F8"/>
    <w:rsid w:val="43E1589D"/>
    <w:rsid w:val="43F3DC01"/>
    <w:rsid w:val="43FF6FE4"/>
    <w:rsid w:val="44089BB5"/>
    <w:rsid w:val="44168924"/>
    <w:rsid w:val="441E5546"/>
    <w:rsid w:val="4435F7B0"/>
    <w:rsid w:val="443AA694"/>
    <w:rsid w:val="444CA052"/>
    <w:rsid w:val="445FBBCF"/>
    <w:rsid w:val="446304F8"/>
    <w:rsid w:val="4470659E"/>
    <w:rsid w:val="44724891"/>
    <w:rsid w:val="4478ACB2"/>
    <w:rsid w:val="447B3EF4"/>
    <w:rsid w:val="447C109B"/>
    <w:rsid w:val="447ECFBB"/>
    <w:rsid w:val="44826706"/>
    <w:rsid w:val="448972FE"/>
    <w:rsid w:val="4493E835"/>
    <w:rsid w:val="4497E846"/>
    <w:rsid w:val="449D9C95"/>
    <w:rsid w:val="44A91CEE"/>
    <w:rsid w:val="44AD98D6"/>
    <w:rsid w:val="44B1B623"/>
    <w:rsid w:val="44B682B0"/>
    <w:rsid w:val="44BA8270"/>
    <w:rsid w:val="44BEC111"/>
    <w:rsid w:val="44C46D78"/>
    <w:rsid w:val="44C5F61D"/>
    <w:rsid w:val="44D1C313"/>
    <w:rsid w:val="44D3186C"/>
    <w:rsid w:val="44EA2D00"/>
    <w:rsid w:val="44EAA0CF"/>
    <w:rsid w:val="44F67D0C"/>
    <w:rsid w:val="450B325D"/>
    <w:rsid w:val="4510DD7B"/>
    <w:rsid w:val="451558AC"/>
    <w:rsid w:val="4517DE06"/>
    <w:rsid w:val="451BEFD2"/>
    <w:rsid w:val="45294183"/>
    <w:rsid w:val="4534C8B5"/>
    <w:rsid w:val="45397B67"/>
    <w:rsid w:val="453FEF88"/>
    <w:rsid w:val="45413160"/>
    <w:rsid w:val="454FEC36"/>
    <w:rsid w:val="456CF119"/>
    <w:rsid w:val="4581D069"/>
    <w:rsid w:val="45848933"/>
    <w:rsid w:val="458E6922"/>
    <w:rsid w:val="45963D4A"/>
    <w:rsid w:val="4596696B"/>
    <w:rsid w:val="459D64AF"/>
    <w:rsid w:val="45A1C82F"/>
    <w:rsid w:val="45A8C90A"/>
    <w:rsid w:val="45B477AF"/>
    <w:rsid w:val="45B6C8A8"/>
    <w:rsid w:val="45BFFEF2"/>
    <w:rsid w:val="45CBC175"/>
    <w:rsid w:val="45D31B66"/>
    <w:rsid w:val="45DBC760"/>
    <w:rsid w:val="45E12E78"/>
    <w:rsid w:val="45E228E2"/>
    <w:rsid w:val="45E72384"/>
    <w:rsid w:val="45E85D57"/>
    <w:rsid w:val="45F16E71"/>
    <w:rsid w:val="460DCA84"/>
    <w:rsid w:val="46114F20"/>
    <w:rsid w:val="46135D75"/>
    <w:rsid w:val="461B169B"/>
    <w:rsid w:val="46227751"/>
    <w:rsid w:val="46276EF5"/>
    <w:rsid w:val="463B126D"/>
    <w:rsid w:val="463D6926"/>
    <w:rsid w:val="46444C28"/>
    <w:rsid w:val="464ADD61"/>
    <w:rsid w:val="464D0142"/>
    <w:rsid w:val="464DA6CE"/>
    <w:rsid w:val="4653D2BC"/>
    <w:rsid w:val="46575D97"/>
    <w:rsid w:val="465D6E81"/>
    <w:rsid w:val="465E1445"/>
    <w:rsid w:val="466AEA49"/>
    <w:rsid w:val="466EA768"/>
    <w:rsid w:val="466EC602"/>
    <w:rsid w:val="4678B3C1"/>
    <w:rsid w:val="467F132E"/>
    <w:rsid w:val="46860DDE"/>
    <w:rsid w:val="468918F9"/>
    <w:rsid w:val="4691A42A"/>
    <w:rsid w:val="4698BB24"/>
    <w:rsid w:val="46AA488D"/>
    <w:rsid w:val="46ACBC38"/>
    <w:rsid w:val="46B4ED17"/>
    <w:rsid w:val="46BB74AF"/>
    <w:rsid w:val="46C9CC63"/>
    <w:rsid w:val="46D128EC"/>
    <w:rsid w:val="46D4C569"/>
    <w:rsid w:val="46D9D76E"/>
    <w:rsid w:val="46DC6587"/>
    <w:rsid w:val="46EB749C"/>
    <w:rsid w:val="46F42606"/>
    <w:rsid w:val="4702F27B"/>
    <w:rsid w:val="4718A813"/>
    <w:rsid w:val="471F00D7"/>
    <w:rsid w:val="471FCF3F"/>
    <w:rsid w:val="47277E7B"/>
    <w:rsid w:val="472BD22C"/>
    <w:rsid w:val="472F1058"/>
    <w:rsid w:val="473E696D"/>
    <w:rsid w:val="473E983A"/>
    <w:rsid w:val="474DE671"/>
    <w:rsid w:val="474FA6ED"/>
    <w:rsid w:val="47537268"/>
    <w:rsid w:val="47586952"/>
    <w:rsid w:val="47601FCC"/>
    <w:rsid w:val="4773E5A6"/>
    <w:rsid w:val="47749042"/>
    <w:rsid w:val="4778322C"/>
    <w:rsid w:val="4787741B"/>
    <w:rsid w:val="47915AAB"/>
    <w:rsid w:val="479E69D7"/>
    <w:rsid w:val="47A903D7"/>
    <w:rsid w:val="47AF4A3E"/>
    <w:rsid w:val="47C645EA"/>
    <w:rsid w:val="47CB7BC0"/>
    <w:rsid w:val="47D97460"/>
    <w:rsid w:val="47DACCCB"/>
    <w:rsid w:val="47EAB7BB"/>
    <w:rsid w:val="47EB7D30"/>
    <w:rsid w:val="47EF5A7C"/>
    <w:rsid w:val="47F1DEFC"/>
    <w:rsid w:val="480CE10E"/>
    <w:rsid w:val="480D70AE"/>
    <w:rsid w:val="48195EBF"/>
    <w:rsid w:val="481E79D1"/>
    <w:rsid w:val="482103B8"/>
    <w:rsid w:val="4821F6D6"/>
    <w:rsid w:val="48264331"/>
    <w:rsid w:val="482CE5F2"/>
    <w:rsid w:val="482EFD66"/>
    <w:rsid w:val="48307F52"/>
    <w:rsid w:val="4837C31A"/>
    <w:rsid w:val="483FC1E0"/>
    <w:rsid w:val="48439AB2"/>
    <w:rsid w:val="484DDCDC"/>
    <w:rsid w:val="484DF7B9"/>
    <w:rsid w:val="48556575"/>
    <w:rsid w:val="485A1E41"/>
    <w:rsid w:val="48654B67"/>
    <w:rsid w:val="48672D63"/>
    <w:rsid w:val="486DEA3D"/>
    <w:rsid w:val="487E1467"/>
    <w:rsid w:val="487F6922"/>
    <w:rsid w:val="487F979F"/>
    <w:rsid w:val="48871C4F"/>
    <w:rsid w:val="489E0F8F"/>
    <w:rsid w:val="48AA8E85"/>
    <w:rsid w:val="48C117A7"/>
    <w:rsid w:val="48C331BD"/>
    <w:rsid w:val="48C8CC25"/>
    <w:rsid w:val="48D55CE2"/>
    <w:rsid w:val="48E9A8B1"/>
    <w:rsid w:val="48EA8043"/>
    <w:rsid w:val="48EE64DF"/>
    <w:rsid w:val="48FE9FC3"/>
    <w:rsid w:val="49187F2C"/>
    <w:rsid w:val="49193EE7"/>
    <w:rsid w:val="492957B7"/>
    <w:rsid w:val="494AAD6D"/>
    <w:rsid w:val="494C72D5"/>
    <w:rsid w:val="49612A27"/>
    <w:rsid w:val="496BBA87"/>
    <w:rsid w:val="49850BE6"/>
    <w:rsid w:val="498C5120"/>
    <w:rsid w:val="498D91FD"/>
    <w:rsid w:val="49968B3F"/>
    <w:rsid w:val="4996DADC"/>
    <w:rsid w:val="4997DF93"/>
    <w:rsid w:val="49A5504C"/>
    <w:rsid w:val="49ABF03F"/>
    <w:rsid w:val="49AE8078"/>
    <w:rsid w:val="49B7619C"/>
    <w:rsid w:val="49BC5983"/>
    <w:rsid w:val="49C0C53D"/>
    <w:rsid w:val="49D7B567"/>
    <w:rsid w:val="49E03083"/>
    <w:rsid w:val="49E5867A"/>
    <w:rsid w:val="49F93022"/>
    <w:rsid w:val="4A02F216"/>
    <w:rsid w:val="4A23F932"/>
    <w:rsid w:val="4A341EE1"/>
    <w:rsid w:val="4A426B17"/>
    <w:rsid w:val="4A43480E"/>
    <w:rsid w:val="4A46B99F"/>
    <w:rsid w:val="4A46CC49"/>
    <w:rsid w:val="4A4B13F1"/>
    <w:rsid w:val="4A4F06DF"/>
    <w:rsid w:val="4A5897E5"/>
    <w:rsid w:val="4A6DA2CB"/>
    <w:rsid w:val="4A94DCC5"/>
    <w:rsid w:val="4A9AB3D4"/>
    <w:rsid w:val="4A9CD5CC"/>
    <w:rsid w:val="4A9D94E6"/>
    <w:rsid w:val="4AB0C637"/>
    <w:rsid w:val="4ABE140E"/>
    <w:rsid w:val="4ABF214D"/>
    <w:rsid w:val="4AC561E7"/>
    <w:rsid w:val="4AE0FA37"/>
    <w:rsid w:val="4AEAAD25"/>
    <w:rsid w:val="4AED269D"/>
    <w:rsid w:val="4B014130"/>
    <w:rsid w:val="4B0357B6"/>
    <w:rsid w:val="4B1482EB"/>
    <w:rsid w:val="4B1AB767"/>
    <w:rsid w:val="4B247816"/>
    <w:rsid w:val="4B2DB9B0"/>
    <w:rsid w:val="4B2EC693"/>
    <w:rsid w:val="4B2F38AF"/>
    <w:rsid w:val="4B357F0A"/>
    <w:rsid w:val="4B40C40E"/>
    <w:rsid w:val="4B5A8888"/>
    <w:rsid w:val="4B5D7514"/>
    <w:rsid w:val="4B843963"/>
    <w:rsid w:val="4B88EF1C"/>
    <w:rsid w:val="4B8A09DC"/>
    <w:rsid w:val="4B90578A"/>
    <w:rsid w:val="4B9BE164"/>
    <w:rsid w:val="4B9E396C"/>
    <w:rsid w:val="4BA1D7CA"/>
    <w:rsid w:val="4BC042C3"/>
    <w:rsid w:val="4BC0F788"/>
    <w:rsid w:val="4BCAF7EB"/>
    <w:rsid w:val="4BD9D0E9"/>
    <w:rsid w:val="4BDAA3A2"/>
    <w:rsid w:val="4BDC89A1"/>
    <w:rsid w:val="4BE004C9"/>
    <w:rsid w:val="4BE8B5C2"/>
    <w:rsid w:val="4C0E094C"/>
    <w:rsid w:val="4C10A989"/>
    <w:rsid w:val="4C116078"/>
    <w:rsid w:val="4C1212A7"/>
    <w:rsid w:val="4C2ED248"/>
    <w:rsid w:val="4C30DA7B"/>
    <w:rsid w:val="4C335BC2"/>
    <w:rsid w:val="4C3BE266"/>
    <w:rsid w:val="4C3F38EA"/>
    <w:rsid w:val="4C3F4BE6"/>
    <w:rsid w:val="4C43DC7D"/>
    <w:rsid w:val="4C49519F"/>
    <w:rsid w:val="4C4C0550"/>
    <w:rsid w:val="4C4C5D60"/>
    <w:rsid w:val="4C59F053"/>
    <w:rsid w:val="4C5B88B8"/>
    <w:rsid w:val="4C5E9E5F"/>
    <w:rsid w:val="4C68B2D9"/>
    <w:rsid w:val="4C85EB04"/>
    <w:rsid w:val="4C8BF688"/>
    <w:rsid w:val="4C9292FD"/>
    <w:rsid w:val="4C973801"/>
    <w:rsid w:val="4CA7859E"/>
    <w:rsid w:val="4CAC5311"/>
    <w:rsid w:val="4CB63A8A"/>
    <w:rsid w:val="4CC0F665"/>
    <w:rsid w:val="4CC345F9"/>
    <w:rsid w:val="4CCC53FF"/>
    <w:rsid w:val="4CD365B6"/>
    <w:rsid w:val="4CDAF709"/>
    <w:rsid w:val="4CDE9051"/>
    <w:rsid w:val="4CE00671"/>
    <w:rsid w:val="4CE73E40"/>
    <w:rsid w:val="4CE91DE8"/>
    <w:rsid w:val="4CF7B42C"/>
    <w:rsid w:val="4CFAAA33"/>
    <w:rsid w:val="4D0EE9F6"/>
    <w:rsid w:val="4D1EA99F"/>
    <w:rsid w:val="4D3D8BBC"/>
    <w:rsid w:val="4D42B905"/>
    <w:rsid w:val="4D54460B"/>
    <w:rsid w:val="4D6033D6"/>
    <w:rsid w:val="4D7D9155"/>
    <w:rsid w:val="4D881E3C"/>
    <w:rsid w:val="4DA0D53C"/>
    <w:rsid w:val="4DA3FB0B"/>
    <w:rsid w:val="4DA57A7B"/>
    <w:rsid w:val="4DADE2EB"/>
    <w:rsid w:val="4DB0C5FE"/>
    <w:rsid w:val="4DB94F4B"/>
    <w:rsid w:val="4DC46ABE"/>
    <w:rsid w:val="4DC83C01"/>
    <w:rsid w:val="4DC9F1D3"/>
    <w:rsid w:val="4DCBF0A0"/>
    <w:rsid w:val="4DCDC0C6"/>
    <w:rsid w:val="4DDB78A6"/>
    <w:rsid w:val="4DE1BB10"/>
    <w:rsid w:val="4DE907F9"/>
    <w:rsid w:val="4DEA0A94"/>
    <w:rsid w:val="4DEB55D2"/>
    <w:rsid w:val="4DEBDD9D"/>
    <w:rsid w:val="4DF12162"/>
    <w:rsid w:val="4DF367B8"/>
    <w:rsid w:val="4DF95311"/>
    <w:rsid w:val="4DFD8D06"/>
    <w:rsid w:val="4E0B6E98"/>
    <w:rsid w:val="4E13D3DD"/>
    <w:rsid w:val="4E21B07E"/>
    <w:rsid w:val="4E223188"/>
    <w:rsid w:val="4E43BCF3"/>
    <w:rsid w:val="4E4742EF"/>
    <w:rsid w:val="4E477E1A"/>
    <w:rsid w:val="4E4C577C"/>
    <w:rsid w:val="4E4FC154"/>
    <w:rsid w:val="4E5F49DA"/>
    <w:rsid w:val="4E60CD3E"/>
    <w:rsid w:val="4E69123B"/>
    <w:rsid w:val="4E6D4877"/>
    <w:rsid w:val="4E7CF8F4"/>
    <w:rsid w:val="4E812A4D"/>
    <w:rsid w:val="4E8893BE"/>
    <w:rsid w:val="4E905B8C"/>
    <w:rsid w:val="4E957AE1"/>
    <w:rsid w:val="4E95DD90"/>
    <w:rsid w:val="4E96B264"/>
    <w:rsid w:val="4E9A8448"/>
    <w:rsid w:val="4EA07665"/>
    <w:rsid w:val="4EB92D20"/>
    <w:rsid w:val="4EBA1137"/>
    <w:rsid w:val="4EC43CEE"/>
    <w:rsid w:val="4ED9C3EC"/>
    <w:rsid w:val="4EDED8AB"/>
    <w:rsid w:val="4EE60298"/>
    <w:rsid w:val="4EF87DF0"/>
    <w:rsid w:val="4F146A1C"/>
    <w:rsid w:val="4F247E08"/>
    <w:rsid w:val="4F2AB224"/>
    <w:rsid w:val="4F2FCC69"/>
    <w:rsid w:val="4F3DC94F"/>
    <w:rsid w:val="4F3E9F3F"/>
    <w:rsid w:val="4F418E4C"/>
    <w:rsid w:val="4F553C4E"/>
    <w:rsid w:val="4F56074C"/>
    <w:rsid w:val="4F60FFE0"/>
    <w:rsid w:val="4F6729B2"/>
    <w:rsid w:val="4F692FD6"/>
    <w:rsid w:val="4F6D2E5C"/>
    <w:rsid w:val="4F7FF9CD"/>
    <w:rsid w:val="4F802266"/>
    <w:rsid w:val="4F826A55"/>
    <w:rsid w:val="4F88515C"/>
    <w:rsid w:val="4FA1F74E"/>
    <w:rsid w:val="4FA4B531"/>
    <w:rsid w:val="4FA4BC6D"/>
    <w:rsid w:val="4FA78299"/>
    <w:rsid w:val="4FAB846F"/>
    <w:rsid w:val="4FAC9D84"/>
    <w:rsid w:val="4FB235CF"/>
    <w:rsid w:val="4FBB6466"/>
    <w:rsid w:val="4FC1B064"/>
    <w:rsid w:val="4FC414F1"/>
    <w:rsid w:val="4FD3E86F"/>
    <w:rsid w:val="4FDBE895"/>
    <w:rsid w:val="4FE01ACF"/>
    <w:rsid w:val="4FE83D9A"/>
    <w:rsid w:val="4FEE26F8"/>
    <w:rsid w:val="4FF751DA"/>
    <w:rsid w:val="4FF91D18"/>
    <w:rsid w:val="500996E6"/>
    <w:rsid w:val="50163AB9"/>
    <w:rsid w:val="5020380D"/>
    <w:rsid w:val="5025F9FE"/>
    <w:rsid w:val="502D3B6C"/>
    <w:rsid w:val="50300015"/>
    <w:rsid w:val="5036A368"/>
    <w:rsid w:val="503B7B5C"/>
    <w:rsid w:val="50418309"/>
    <w:rsid w:val="5043C47A"/>
    <w:rsid w:val="5047ED8D"/>
    <w:rsid w:val="50485F8C"/>
    <w:rsid w:val="504FBB07"/>
    <w:rsid w:val="5050FBEB"/>
    <w:rsid w:val="50512A55"/>
    <w:rsid w:val="50513C85"/>
    <w:rsid w:val="5055CCCC"/>
    <w:rsid w:val="5055F24B"/>
    <w:rsid w:val="506A2703"/>
    <w:rsid w:val="5070F1CB"/>
    <w:rsid w:val="5084D5BA"/>
    <w:rsid w:val="5086454A"/>
    <w:rsid w:val="50ACA2F0"/>
    <w:rsid w:val="50C1B6FF"/>
    <w:rsid w:val="50C2FFC8"/>
    <w:rsid w:val="50D65BE5"/>
    <w:rsid w:val="50D826E5"/>
    <w:rsid w:val="50E19DF5"/>
    <w:rsid w:val="50E4EB16"/>
    <w:rsid w:val="50E54A41"/>
    <w:rsid w:val="50E78940"/>
    <w:rsid w:val="50F82965"/>
    <w:rsid w:val="51078898"/>
    <w:rsid w:val="5119A0AE"/>
    <w:rsid w:val="511BD595"/>
    <w:rsid w:val="512B405D"/>
    <w:rsid w:val="512F7279"/>
    <w:rsid w:val="514172DD"/>
    <w:rsid w:val="515077C1"/>
    <w:rsid w:val="5154941D"/>
    <w:rsid w:val="515FCC18"/>
    <w:rsid w:val="5164234B"/>
    <w:rsid w:val="5164AE3F"/>
    <w:rsid w:val="516D4CC9"/>
    <w:rsid w:val="516F9373"/>
    <w:rsid w:val="516FDD3A"/>
    <w:rsid w:val="51795840"/>
    <w:rsid w:val="518CA124"/>
    <w:rsid w:val="5190DE66"/>
    <w:rsid w:val="5192EF62"/>
    <w:rsid w:val="5195AB2E"/>
    <w:rsid w:val="51A388FF"/>
    <w:rsid w:val="51AC0782"/>
    <w:rsid w:val="51BDE02E"/>
    <w:rsid w:val="51BED2E9"/>
    <w:rsid w:val="51D603E7"/>
    <w:rsid w:val="51D97FAE"/>
    <w:rsid w:val="51DE9D1F"/>
    <w:rsid w:val="51E6575D"/>
    <w:rsid w:val="51E7B403"/>
    <w:rsid w:val="51F36950"/>
    <w:rsid w:val="51FE41FA"/>
    <w:rsid w:val="5212B2E7"/>
    <w:rsid w:val="5218400C"/>
    <w:rsid w:val="52219FE2"/>
    <w:rsid w:val="522A630C"/>
    <w:rsid w:val="52322B12"/>
    <w:rsid w:val="524D177D"/>
    <w:rsid w:val="5254F140"/>
    <w:rsid w:val="52712E3C"/>
    <w:rsid w:val="527D6E05"/>
    <w:rsid w:val="52808119"/>
    <w:rsid w:val="52835A1F"/>
    <w:rsid w:val="528CD3E2"/>
    <w:rsid w:val="5299D0B5"/>
    <w:rsid w:val="52BCBC89"/>
    <w:rsid w:val="52C06B4E"/>
    <w:rsid w:val="52C7BE38"/>
    <w:rsid w:val="52C8CEE9"/>
    <w:rsid w:val="52D05F63"/>
    <w:rsid w:val="52D49420"/>
    <w:rsid w:val="52DE10E5"/>
    <w:rsid w:val="52E9BD15"/>
    <w:rsid w:val="52EC943A"/>
    <w:rsid w:val="52F3D8C9"/>
    <w:rsid w:val="52F6A964"/>
    <w:rsid w:val="52F76276"/>
    <w:rsid w:val="5309DA0A"/>
    <w:rsid w:val="53122E84"/>
    <w:rsid w:val="5316080E"/>
    <w:rsid w:val="5316A8A1"/>
    <w:rsid w:val="531D46F1"/>
    <w:rsid w:val="532A0C33"/>
    <w:rsid w:val="532D3252"/>
    <w:rsid w:val="532D6CA0"/>
    <w:rsid w:val="5331C0CB"/>
    <w:rsid w:val="533DE15F"/>
    <w:rsid w:val="534066EF"/>
    <w:rsid w:val="53485A6F"/>
    <w:rsid w:val="534929D5"/>
    <w:rsid w:val="535B09DE"/>
    <w:rsid w:val="5375906D"/>
    <w:rsid w:val="53797FDC"/>
    <w:rsid w:val="5380905A"/>
    <w:rsid w:val="5382A01A"/>
    <w:rsid w:val="538D658E"/>
    <w:rsid w:val="53924167"/>
    <w:rsid w:val="539E6EE8"/>
    <w:rsid w:val="53B03AD2"/>
    <w:rsid w:val="53B14CF3"/>
    <w:rsid w:val="53C5E1E0"/>
    <w:rsid w:val="53D6AB29"/>
    <w:rsid w:val="53D6B2B6"/>
    <w:rsid w:val="53DE870A"/>
    <w:rsid w:val="53E5B613"/>
    <w:rsid w:val="53F65DE1"/>
    <w:rsid w:val="53FFA5CA"/>
    <w:rsid w:val="541829A3"/>
    <w:rsid w:val="544403F6"/>
    <w:rsid w:val="5444B4D1"/>
    <w:rsid w:val="5446321F"/>
    <w:rsid w:val="5478EC67"/>
    <w:rsid w:val="547EEC60"/>
    <w:rsid w:val="549255CF"/>
    <w:rsid w:val="549D8716"/>
    <w:rsid w:val="54A253D0"/>
    <w:rsid w:val="54A671D9"/>
    <w:rsid w:val="54B23B14"/>
    <w:rsid w:val="54BBD97C"/>
    <w:rsid w:val="54FF34C2"/>
    <w:rsid w:val="550F6801"/>
    <w:rsid w:val="551E49EF"/>
    <w:rsid w:val="551FB97B"/>
    <w:rsid w:val="55275F09"/>
    <w:rsid w:val="5531E25E"/>
    <w:rsid w:val="55392E77"/>
    <w:rsid w:val="553BA78C"/>
    <w:rsid w:val="554133B2"/>
    <w:rsid w:val="5546E369"/>
    <w:rsid w:val="5549718E"/>
    <w:rsid w:val="555092D7"/>
    <w:rsid w:val="5551837C"/>
    <w:rsid w:val="5551EA24"/>
    <w:rsid w:val="5558C139"/>
    <w:rsid w:val="55637C59"/>
    <w:rsid w:val="556919B1"/>
    <w:rsid w:val="556966CE"/>
    <w:rsid w:val="5576AE5E"/>
    <w:rsid w:val="557F0AA8"/>
    <w:rsid w:val="55859935"/>
    <w:rsid w:val="558A5124"/>
    <w:rsid w:val="55921FA9"/>
    <w:rsid w:val="559EC0BC"/>
    <w:rsid w:val="55A18FBF"/>
    <w:rsid w:val="55A2AC88"/>
    <w:rsid w:val="55AA6601"/>
    <w:rsid w:val="55C61499"/>
    <w:rsid w:val="55CDE2D0"/>
    <w:rsid w:val="55D10733"/>
    <w:rsid w:val="55E17AED"/>
    <w:rsid w:val="55ECEFFB"/>
    <w:rsid w:val="55F45653"/>
    <w:rsid w:val="55F7C965"/>
    <w:rsid w:val="55FAE87F"/>
    <w:rsid w:val="55FFD305"/>
    <w:rsid w:val="560CEAB3"/>
    <w:rsid w:val="560FAFF1"/>
    <w:rsid w:val="56135BDB"/>
    <w:rsid w:val="561E4616"/>
    <w:rsid w:val="561F74DE"/>
    <w:rsid w:val="56201D8B"/>
    <w:rsid w:val="56258B61"/>
    <w:rsid w:val="56380B47"/>
    <w:rsid w:val="563B421B"/>
    <w:rsid w:val="563BFB63"/>
    <w:rsid w:val="563DEC04"/>
    <w:rsid w:val="563E1D0B"/>
    <w:rsid w:val="564373F4"/>
    <w:rsid w:val="5654F632"/>
    <w:rsid w:val="56562536"/>
    <w:rsid w:val="5656E53F"/>
    <w:rsid w:val="56577382"/>
    <w:rsid w:val="5664F865"/>
    <w:rsid w:val="566A4DCC"/>
    <w:rsid w:val="566C94AC"/>
    <w:rsid w:val="5670903D"/>
    <w:rsid w:val="5686656C"/>
    <w:rsid w:val="568945DE"/>
    <w:rsid w:val="568C003F"/>
    <w:rsid w:val="568DD5B6"/>
    <w:rsid w:val="569B66E9"/>
    <w:rsid w:val="56A0E43B"/>
    <w:rsid w:val="56A20F93"/>
    <w:rsid w:val="56A3F23B"/>
    <w:rsid w:val="56C58E34"/>
    <w:rsid w:val="56D00DFC"/>
    <w:rsid w:val="56DE32CC"/>
    <w:rsid w:val="56DE5CBE"/>
    <w:rsid w:val="56DFF7F4"/>
    <w:rsid w:val="56E6384B"/>
    <w:rsid w:val="56E73304"/>
    <w:rsid w:val="57014A7D"/>
    <w:rsid w:val="570A52CB"/>
    <w:rsid w:val="570C0CAF"/>
    <w:rsid w:val="571323C5"/>
    <w:rsid w:val="5714134A"/>
    <w:rsid w:val="571B8FA0"/>
    <w:rsid w:val="571CF678"/>
    <w:rsid w:val="571D9A2B"/>
    <w:rsid w:val="57214B14"/>
    <w:rsid w:val="57244E5C"/>
    <w:rsid w:val="57246F44"/>
    <w:rsid w:val="572AF356"/>
    <w:rsid w:val="572BC479"/>
    <w:rsid w:val="57331834"/>
    <w:rsid w:val="57364E96"/>
    <w:rsid w:val="573B7970"/>
    <w:rsid w:val="5750283C"/>
    <w:rsid w:val="57569AE5"/>
    <w:rsid w:val="575AED0F"/>
    <w:rsid w:val="576023E0"/>
    <w:rsid w:val="57628B31"/>
    <w:rsid w:val="577527C4"/>
    <w:rsid w:val="577DF23A"/>
    <w:rsid w:val="5780A958"/>
    <w:rsid w:val="57845371"/>
    <w:rsid w:val="5786D5E1"/>
    <w:rsid w:val="57BCF31C"/>
    <w:rsid w:val="57C51A73"/>
    <w:rsid w:val="57DBA934"/>
    <w:rsid w:val="57E0C127"/>
    <w:rsid w:val="57E144E3"/>
    <w:rsid w:val="57E39BC0"/>
    <w:rsid w:val="57E8DC7C"/>
    <w:rsid w:val="57F4E4E4"/>
    <w:rsid w:val="57F5C140"/>
    <w:rsid w:val="57F73583"/>
    <w:rsid w:val="57FC6154"/>
    <w:rsid w:val="580003D3"/>
    <w:rsid w:val="58003C78"/>
    <w:rsid w:val="5802AB9D"/>
    <w:rsid w:val="580F8CDE"/>
    <w:rsid w:val="580FD2C6"/>
    <w:rsid w:val="58118D7D"/>
    <w:rsid w:val="581FE399"/>
    <w:rsid w:val="58256DF8"/>
    <w:rsid w:val="582902E6"/>
    <w:rsid w:val="58388D41"/>
    <w:rsid w:val="5842CDCC"/>
    <w:rsid w:val="584E8075"/>
    <w:rsid w:val="5851A76E"/>
    <w:rsid w:val="5858C6D5"/>
    <w:rsid w:val="58721974"/>
    <w:rsid w:val="587B9A18"/>
    <w:rsid w:val="587BAA3B"/>
    <w:rsid w:val="589167A9"/>
    <w:rsid w:val="589D13D3"/>
    <w:rsid w:val="58A00AC1"/>
    <w:rsid w:val="58BA67D3"/>
    <w:rsid w:val="58BB4262"/>
    <w:rsid w:val="58BCD169"/>
    <w:rsid w:val="58C54C28"/>
    <w:rsid w:val="58CE09C6"/>
    <w:rsid w:val="58CF5CB0"/>
    <w:rsid w:val="58DABEF7"/>
    <w:rsid w:val="58E2F3AF"/>
    <w:rsid w:val="58EA5295"/>
    <w:rsid w:val="58F61DE0"/>
    <w:rsid w:val="59127BD3"/>
    <w:rsid w:val="591996C3"/>
    <w:rsid w:val="5921C7B0"/>
    <w:rsid w:val="592D6A25"/>
    <w:rsid w:val="59347C37"/>
    <w:rsid w:val="5942528C"/>
    <w:rsid w:val="59685FC6"/>
    <w:rsid w:val="599C7DFC"/>
    <w:rsid w:val="59BC8A0A"/>
    <w:rsid w:val="59BE3818"/>
    <w:rsid w:val="59C3267E"/>
    <w:rsid w:val="59CA44AB"/>
    <w:rsid w:val="59CAA4E8"/>
    <w:rsid w:val="59D0FA8E"/>
    <w:rsid w:val="59D21A77"/>
    <w:rsid w:val="59DDD993"/>
    <w:rsid w:val="59DE5BA7"/>
    <w:rsid w:val="59E0C577"/>
    <w:rsid w:val="59E8A80D"/>
    <w:rsid w:val="59F0A0BA"/>
    <w:rsid w:val="59F80DCE"/>
    <w:rsid w:val="59FA5C26"/>
    <w:rsid w:val="5A10F338"/>
    <w:rsid w:val="5A228FBF"/>
    <w:rsid w:val="5A275D36"/>
    <w:rsid w:val="5A3283E3"/>
    <w:rsid w:val="5A3ABE8E"/>
    <w:rsid w:val="5A43E365"/>
    <w:rsid w:val="5A4E0ADC"/>
    <w:rsid w:val="5A514674"/>
    <w:rsid w:val="5A59DF04"/>
    <w:rsid w:val="5A5F6433"/>
    <w:rsid w:val="5A67A000"/>
    <w:rsid w:val="5A77829E"/>
    <w:rsid w:val="5A7BA12B"/>
    <w:rsid w:val="5A7EADD8"/>
    <w:rsid w:val="5A81AFE7"/>
    <w:rsid w:val="5A918A7E"/>
    <w:rsid w:val="5A96B87F"/>
    <w:rsid w:val="5AA0A332"/>
    <w:rsid w:val="5AB9E5C3"/>
    <w:rsid w:val="5ABBB2F0"/>
    <w:rsid w:val="5AC01929"/>
    <w:rsid w:val="5AC5FD75"/>
    <w:rsid w:val="5AD69415"/>
    <w:rsid w:val="5AD88979"/>
    <w:rsid w:val="5ADA7796"/>
    <w:rsid w:val="5AE80932"/>
    <w:rsid w:val="5AE98BCD"/>
    <w:rsid w:val="5AEC8A71"/>
    <w:rsid w:val="5AEE1FFF"/>
    <w:rsid w:val="5B0AC316"/>
    <w:rsid w:val="5B135575"/>
    <w:rsid w:val="5B1E62C4"/>
    <w:rsid w:val="5B33B28D"/>
    <w:rsid w:val="5B3C356A"/>
    <w:rsid w:val="5B3C7499"/>
    <w:rsid w:val="5B3FF20E"/>
    <w:rsid w:val="5B41453C"/>
    <w:rsid w:val="5B42F507"/>
    <w:rsid w:val="5B471A86"/>
    <w:rsid w:val="5B4E1C20"/>
    <w:rsid w:val="5B523E43"/>
    <w:rsid w:val="5B5D6C68"/>
    <w:rsid w:val="5B7C1F35"/>
    <w:rsid w:val="5B7CF35C"/>
    <w:rsid w:val="5B86C15A"/>
    <w:rsid w:val="5B8B261A"/>
    <w:rsid w:val="5B9A23D2"/>
    <w:rsid w:val="5B9B0879"/>
    <w:rsid w:val="5B9DC1AE"/>
    <w:rsid w:val="5BAB1CD6"/>
    <w:rsid w:val="5BACF0D8"/>
    <w:rsid w:val="5BAE63B6"/>
    <w:rsid w:val="5BB315CE"/>
    <w:rsid w:val="5BB675CF"/>
    <w:rsid w:val="5BBFBA21"/>
    <w:rsid w:val="5BC0C655"/>
    <w:rsid w:val="5BC11F37"/>
    <w:rsid w:val="5BC123F1"/>
    <w:rsid w:val="5BC5CCBA"/>
    <w:rsid w:val="5BC5E9FB"/>
    <w:rsid w:val="5BD9B1C9"/>
    <w:rsid w:val="5BEE133B"/>
    <w:rsid w:val="5BF2539B"/>
    <w:rsid w:val="5BFB806D"/>
    <w:rsid w:val="5C113CB1"/>
    <w:rsid w:val="5C13D2DC"/>
    <w:rsid w:val="5C18B519"/>
    <w:rsid w:val="5C1E4573"/>
    <w:rsid w:val="5C261658"/>
    <w:rsid w:val="5C27B0A6"/>
    <w:rsid w:val="5C2F8D94"/>
    <w:rsid w:val="5C33C847"/>
    <w:rsid w:val="5C3BB415"/>
    <w:rsid w:val="5C4EDD6B"/>
    <w:rsid w:val="5C5B9107"/>
    <w:rsid w:val="5C6D4A89"/>
    <w:rsid w:val="5C724480"/>
    <w:rsid w:val="5C749945"/>
    <w:rsid w:val="5C7516BA"/>
    <w:rsid w:val="5C866D17"/>
    <w:rsid w:val="5C8718D5"/>
    <w:rsid w:val="5C8A61AC"/>
    <w:rsid w:val="5C98C2CF"/>
    <w:rsid w:val="5CA483B4"/>
    <w:rsid w:val="5CA8BAAB"/>
    <w:rsid w:val="5CB137C1"/>
    <w:rsid w:val="5CCE59E0"/>
    <w:rsid w:val="5CCF803D"/>
    <w:rsid w:val="5CD28FFF"/>
    <w:rsid w:val="5CD6BF23"/>
    <w:rsid w:val="5CE9FF98"/>
    <w:rsid w:val="5CFBAAE9"/>
    <w:rsid w:val="5D02E327"/>
    <w:rsid w:val="5D0BE375"/>
    <w:rsid w:val="5D0F88A2"/>
    <w:rsid w:val="5D13DD60"/>
    <w:rsid w:val="5D22B2C0"/>
    <w:rsid w:val="5D230F58"/>
    <w:rsid w:val="5D239954"/>
    <w:rsid w:val="5D28C2CD"/>
    <w:rsid w:val="5D314706"/>
    <w:rsid w:val="5D3B1EB9"/>
    <w:rsid w:val="5D45BD79"/>
    <w:rsid w:val="5D4E8C7C"/>
    <w:rsid w:val="5D557434"/>
    <w:rsid w:val="5D5A29BC"/>
    <w:rsid w:val="5D63C304"/>
    <w:rsid w:val="5D6DC3AF"/>
    <w:rsid w:val="5D7EB917"/>
    <w:rsid w:val="5D9F5EF2"/>
    <w:rsid w:val="5DA36F72"/>
    <w:rsid w:val="5DA552FF"/>
    <w:rsid w:val="5DA7A5A7"/>
    <w:rsid w:val="5DB6E36C"/>
    <w:rsid w:val="5DB8A719"/>
    <w:rsid w:val="5DBBF0E0"/>
    <w:rsid w:val="5DC1517C"/>
    <w:rsid w:val="5DC7D1F4"/>
    <w:rsid w:val="5DCF99BA"/>
    <w:rsid w:val="5DDE68B2"/>
    <w:rsid w:val="5DE066B2"/>
    <w:rsid w:val="5DEC0A23"/>
    <w:rsid w:val="5E05A752"/>
    <w:rsid w:val="5E0757D4"/>
    <w:rsid w:val="5E0A63F8"/>
    <w:rsid w:val="5E1D9B40"/>
    <w:rsid w:val="5E1F4689"/>
    <w:rsid w:val="5E1F9D1D"/>
    <w:rsid w:val="5E28B4CD"/>
    <w:rsid w:val="5E2D97B7"/>
    <w:rsid w:val="5E344643"/>
    <w:rsid w:val="5E3A9C1E"/>
    <w:rsid w:val="5E44F6FB"/>
    <w:rsid w:val="5E512B71"/>
    <w:rsid w:val="5E6BC9CB"/>
    <w:rsid w:val="5E8996A1"/>
    <w:rsid w:val="5E8B5EC6"/>
    <w:rsid w:val="5E9022B7"/>
    <w:rsid w:val="5E91740C"/>
    <w:rsid w:val="5E962914"/>
    <w:rsid w:val="5EAFAFA8"/>
    <w:rsid w:val="5EB18115"/>
    <w:rsid w:val="5EBE3F57"/>
    <w:rsid w:val="5EBE6BF3"/>
    <w:rsid w:val="5EC0D513"/>
    <w:rsid w:val="5EC3096C"/>
    <w:rsid w:val="5ECAFC80"/>
    <w:rsid w:val="5ED5D380"/>
    <w:rsid w:val="5ED8E69A"/>
    <w:rsid w:val="5EE37359"/>
    <w:rsid w:val="5EEA9D16"/>
    <w:rsid w:val="5EEE4CD9"/>
    <w:rsid w:val="5EF748F5"/>
    <w:rsid w:val="5EFEB5C6"/>
    <w:rsid w:val="5F0D9595"/>
    <w:rsid w:val="5F16B030"/>
    <w:rsid w:val="5F22BCB1"/>
    <w:rsid w:val="5F233DD5"/>
    <w:rsid w:val="5F3D5223"/>
    <w:rsid w:val="5F3D9254"/>
    <w:rsid w:val="5F45F0F5"/>
    <w:rsid w:val="5F46AC50"/>
    <w:rsid w:val="5F530399"/>
    <w:rsid w:val="5F5EFC7E"/>
    <w:rsid w:val="5F698EB5"/>
    <w:rsid w:val="5F6C96F9"/>
    <w:rsid w:val="5F70A715"/>
    <w:rsid w:val="5F73A8BA"/>
    <w:rsid w:val="5F7BF6C0"/>
    <w:rsid w:val="5F7D87C0"/>
    <w:rsid w:val="5F7EACD8"/>
    <w:rsid w:val="5F86EE3A"/>
    <w:rsid w:val="5F95145F"/>
    <w:rsid w:val="5F9738EA"/>
    <w:rsid w:val="5F97E574"/>
    <w:rsid w:val="5FAF3286"/>
    <w:rsid w:val="5FBE421F"/>
    <w:rsid w:val="5FC056ED"/>
    <w:rsid w:val="5FC3A2AD"/>
    <w:rsid w:val="5FCB3C6B"/>
    <w:rsid w:val="5FD70FE7"/>
    <w:rsid w:val="5FDB55C1"/>
    <w:rsid w:val="5FDD8FF7"/>
    <w:rsid w:val="5FE604C4"/>
    <w:rsid w:val="5FF2A431"/>
    <w:rsid w:val="5FF44754"/>
    <w:rsid w:val="60162F34"/>
    <w:rsid w:val="602C7D25"/>
    <w:rsid w:val="60363670"/>
    <w:rsid w:val="603B315D"/>
    <w:rsid w:val="604193D3"/>
    <w:rsid w:val="604511E7"/>
    <w:rsid w:val="60453C15"/>
    <w:rsid w:val="6046E1BB"/>
    <w:rsid w:val="6050C873"/>
    <w:rsid w:val="6053A1B7"/>
    <w:rsid w:val="605BE6F7"/>
    <w:rsid w:val="60613E04"/>
    <w:rsid w:val="6061D0B2"/>
    <w:rsid w:val="6065506C"/>
    <w:rsid w:val="606D1860"/>
    <w:rsid w:val="6072E249"/>
    <w:rsid w:val="6081D19E"/>
    <w:rsid w:val="60880993"/>
    <w:rsid w:val="60894F08"/>
    <w:rsid w:val="608CC4AB"/>
    <w:rsid w:val="608F563F"/>
    <w:rsid w:val="60927138"/>
    <w:rsid w:val="6097F8F5"/>
    <w:rsid w:val="60A62A1F"/>
    <w:rsid w:val="60AA9B69"/>
    <w:rsid w:val="60ABD681"/>
    <w:rsid w:val="60AEF97A"/>
    <w:rsid w:val="60BB50B5"/>
    <w:rsid w:val="60C523EA"/>
    <w:rsid w:val="60D0571E"/>
    <w:rsid w:val="60D398FC"/>
    <w:rsid w:val="60DDF4AB"/>
    <w:rsid w:val="60E3F7E2"/>
    <w:rsid w:val="60E847AB"/>
    <w:rsid w:val="60F19ECC"/>
    <w:rsid w:val="60F2B54D"/>
    <w:rsid w:val="6100AFEB"/>
    <w:rsid w:val="61102F19"/>
    <w:rsid w:val="61154690"/>
    <w:rsid w:val="611DC496"/>
    <w:rsid w:val="61310549"/>
    <w:rsid w:val="61318261"/>
    <w:rsid w:val="61354653"/>
    <w:rsid w:val="613589FA"/>
    <w:rsid w:val="614C387E"/>
    <w:rsid w:val="615CE563"/>
    <w:rsid w:val="6160485E"/>
    <w:rsid w:val="6181EAAA"/>
    <w:rsid w:val="61A134A9"/>
    <w:rsid w:val="61A5EC01"/>
    <w:rsid w:val="61A8C2B5"/>
    <w:rsid w:val="61AC2BA4"/>
    <w:rsid w:val="61AEB051"/>
    <w:rsid w:val="61B692FE"/>
    <w:rsid w:val="61B88E2D"/>
    <w:rsid w:val="61BB608E"/>
    <w:rsid w:val="61C4C97D"/>
    <w:rsid w:val="61CB5C2A"/>
    <w:rsid w:val="61D828DC"/>
    <w:rsid w:val="61DCBD47"/>
    <w:rsid w:val="61ED8C6A"/>
    <w:rsid w:val="61F83FFE"/>
    <w:rsid w:val="6204BAE8"/>
    <w:rsid w:val="62142F27"/>
    <w:rsid w:val="62274CAF"/>
    <w:rsid w:val="623D9487"/>
    <w:rsid w:val="624192D3"/>
    <w:rsid w:val="624AD4D5"/>
    <w:rsid w:val="624C1F12"/>
    <w:rsid w:val="624DBA96"/>
    <w:rsid w:val="62543A9F"/>
    <w:rsid w:val="62576628"/>
    <w:rsid w:val="625DADC2"/>
    <w:rsid w:val="626500FD"/>
    <w:rsid w:val="6265ECD3"/>
    <w:rsid w:val="626CBB60"/>
    <w:rsid w:val="626E329E"/>
    <w:rsid w:val="627D708A"/>
    <w:rsid w:val="628DDEE6"/>
    <w:rsid w:val="629FB0E9"/>
    <w:rsid w:val="62A6DFF8"/>
    <w:rsid w:val="62ABF915"/>
    <w:rsid w:val="62B2C8F0"/>
    <w:rsid w:val="62B818A5"/>
    <w:rsid w:val="62C206BD"/>
    <w:rsid w:val="62C2A70F"/>
    <w:rsid w:val="62C9EC4D"/>
    <w:rsid w:val="62E08892"/>
    <w:rsid w:val="62EB9CAE"/>
    <w:rsid w:val="62F7016F"/>
    <w:rsid w:val="62F7DA80"/>
    <w:rsid w:val="631CD606"/>
    <w:rsid w:val="63232410"/>
    <w:rsid w:val="63399229"/>
    <w:rsid w:val="634F1623"/>
    <w:rsid w:val="6356C837"/>
    <w:rsid w:val="635A8B21"/>
    <w:rsid w:val="63678402"/>
    <w:rsid w:val="63819000"/>
    <w:rsid w:val="63893C7D"/>
    <w:rsid w:val="63A03371"/>
    <w:rsid w:val="63A8B1FB"/>
    <w:rsid w:val="63B6EC7C"/>
    <w:rsid w:val="63BDF1B4"/>
    <w:rsid w:val="63BF5C97"/>
    <w:rsid w:val="63C14630"/>
    <w:rsid w:val="63CD3753"/>
    <w:rsid w:val="63CF5E45"/>
    <w:rsid w:val="63D0716D"/>
    <w:rsid w:val="63D9DE20"/>
    <w:rsid w:val="63DE0380"/>
    <w:rsid w:val="63E7FE24"/>
    <w:rsid w:val="63E9A5B2"/>
    <w:rsid w:val="63EA4ADB"/>
    <w:rsid w:val="63ECE520"/>
    <w:rsid w:val="63EF2F20"/>
    <w:rsid w:val="63FFF205"/>
    <w:rsid w:val="6403C165"/>
    <w:rsid w:val="6408761E"/>
    <w:rsid w:val="64088331"/>
    <w:rsid w:val="64090EB0"/>
    <w:rsid w:val="640977C6"/>
    <w:rsid w:val="640F3F2E"/>
    <w:rsid w:val="64113F86"/>
    <w:rsid w:val="642652F1"/>
    <w:rsid w:val="6430F104"/>
    <w:rsid w:val="64356787"/>
    <w:rsid w:val="643B1B43"/>
    <w:rsid w:val="643E8859"/>
    <w:rsid w:val="6450D7E8"/>
    <w:rsid w:val="645BA15B"/>
    <w:rsid w:val="645C65C6"/>
    <w:rsid w:val="645E3EA2"/>
    <w:rsid w:val="6460F1D9"/>
    <w:rsid w:val="646277A3"/>
    <w:rsid w:val="646AEBD0"/>
    <w:rsid w:val="64709689"/>
    <w:rsid w:val="648A0F67"/>
    <w:rsid w:val="648E47B6"/>
    <w:rsid w:val="6493955E"/>
    <w:rsid w:val="649FA5F8"/>
    <w:rsid w:val="64B4382A"/>
    <w:rsid w:val="64B891C8"/>
    <w:rsid w:val="64C5FA6C"/>
    <w:rsid w:val="64C8C384"/>
    <w:rsid w:val="64C9360E"/>
    <w:rsid w:val="64D1AF86"/>
    <w:rsid w:val="64D49F5A"/>
    <w:rsid w:val="64E33A3A"/>
    <w:rsid w:val="64F7A5B2"/>
    <w:rsid w:val="650DBB5C"/>
    <w:rsid w:val="6514FCF4"/>
    <w:rsid w:val="6515392E"/>
    <w:rsid w:val="65296669"/>
    <w:rsid w:val="652D5C87"/>
    <w:rsid w:val="65395A17"/>
    <w:rsid w:val="653BC87C"/>
    <w:rsid w:val="653F3EBD"/>
    <w:rsid w:val="6545A28A"/>
    <w:rsid w:val="65465CE1"/>
    <w:rsid w:val="655640FF"/>
    <w:rsid w:val="6560FEF3"/>
    <w:rsid w:val="6566489C"/>
    <w:rsid w:val="656B03F0"/>
    <w:rsid w:val="65737F08"/>
    <w:rsid w:val="6573D895"/>
    <w:rsid w:val="658A3F33"/>
    <w:rsid w:val="658ABD1F"/>
    <w:rsid w:val="658B0C85"/>
    <w:rsid w:val="65A05E06"/>
    <w:rsid w:val="65C5F31B"/>
    <w:rsid w:val="65CDF1C2"/>
    <w:rsid w:val="65D3F138"/>
    <w:rsid w:val="65EDAA86"/>
    <w:rsid w:val="65EE9A90"/>
    <w:rsid w:val="65F06771"/>
    <w:rsid w:val="65F34C16"/>
    <w:rsid w:val="65F6A0D8"/>
    <w:rsid w:val="6605C069"/>
    <w:rsid w:val="6611D047"/>
    <w:rsid w:val="66154BCF"/>
    <w:rsid w:val="6615E049"/>
    <w:rsid w:val="66187342"/>
    <w:rsid w:val="661FE5CF"/>
    <w:rsid w:val="6620A87A"/>
    <w:rsid w:val="66248E16"/>
    <w:rsid w:val="662EF4E7"/>
    <w:rsid w:val="66373D14"/>
    <w:rsid w:val="663B2068"/>
    <w:rsid w:val="66472A67"/>
    <w:rsid w:val="66479ACF"/>
    <w:rsid w:val="665A09DA"/>
    <w:rsid w:val="665A3D90"/>
    <w:rsid w:val="665E5802"/>
    <w:rsid w:val="666098A2"/>
    <w:rsid w:val="6662C563"/>
    <w:rsid w:val="6662F9DB"/>
    <w:rsid w:val="66640152"/>
    <w:rsid w:val="666C57F4"/>
    <w:rsid w:val="66758A5A"/>
    <w:rsid w:val="668ED7FC"/>
    <w:rsid w:val="6694F147"/>
    <w:rsid w:val="669F04E3"/>
    <w:rsid w:val="66A1E100"/>
    <w:rsid w:val="66AA62BB"/>
    <w:rsid w:val="66ABA36E"/>
    <w:rsid w:val="66AFC916"/>
    <w:rsid w:val="66BB3FCB"/>
    <w:rsid w:val="66C2C29E"/>
    <w:rsid w:val="66DBAF79"/>
    <w:rsid w:val="66DDD87B"/>
    <w:rsid w:val="66DE7A62"/>
    <w:rsid w:val="66DFF7B9"/>
    <w:rsid w:val="66E43F99"/>
    <w:rsid w:val="66EF1E9E"/>
    <w:rsid w:val="66F309CB"/>
    <w:rsid w:val="6700D4FA"/>
    <w:rsid w:val="6703A082"/>
    <w:rsid w:val="67084555"/>
    <w:rsid w:val="6709CE8F"/>
    <w:rsid w:val="670B47AC"/>
    <w:rsid w:val="670EE6F9"/>
    <w:rsid w:val="671554C7"/>
    <w:rsid w:val="6715B3EF"/>
    <w:rsid w:val="67186B39"/>
    <w:rsid w:val="671A6350"/>
    <w:rsid w:val="6724A5D8"/>
    <w:rsid w:val="6727A9C9"/>
    <w:rsid w:val="672A09CE"/>
    <w:rsid w:val="672FFF0D"/>
    <w:rsid w:val="673A17BC"/>
    <w:rsid w:val="673A5D57"/>
    <w:rsid w:val="673B999E"/>
    <w:rsid w:val="6745865C"/>
    <w:rsid w:val="67636A48"/>
    <w:rsid w:val="6766578A"/>
    <w:rsid w:val="67667DE1"/>
    <w:rsid w:val="6766C867"/>
    <w:rsid w:val="677CD978"/>
    <w:rsid w:val="6787E73E"/>
    <w:rsid w:val="678D1174"/>
    <w:rsid w:val="678E5B6C"/>
    <w:rsid w:val="67904E46"/>
    <w:rsid w:val="67958286"/>
    <w:rsid w:val="67979004"/>
    <w:rsid w:val="6799BF03"/>
    <w:rsid w:val="679EB285"/>
    <w:rsid w:val="67B01464"/>
    <w:rsid w:val="67B57151"/>
    <w:rsid w:val="67B6CEB7"/>
    <w:rsid w:val="67BAF236"/>
    <w:rsid w:val="67C58101"/>
    <w:rsid w:val="67C92BDE"/>
    <w:rsid w:val="67CBE9FA"/>
    <w:rsid w:val="67CF2983"/>
    <w:rsid w:val="67CF5AB2"/>
    <w:rsid w:val="67D059A6"/>
    <w:rsid w:val="67D3E496"/>
    <w:rsid w:val="67D52FB9"/>
    <w:rsid w:val="67D53270"/>
    <w:rsid w:val="67D5E262"/>
    <w:rsid w:val="67DABE26"/>
    <w:rsid w:val="67E19334"/>
    <w:rsid w:val="67E6A5A7"/>
    <w:rsid w:val="67EC8ED7"/>
    <w:rsid w:val="67FBCF31"/>
    <w:rsid w:val="68018609"/>
    <w:rsid w:val="68064236"/>
    <w:rsid w:val="680B4769"/>
    <w:rsid w:val="680FDFC8"/>
    <w:rsid w:val="68252CA3"/>
    <w:rsid w:val="682A6C09"/>
    <w:rsid w:val="6832489A"/>
    <w:rsid w:val="6837C0BB"/>
    <w:rsid w:val="68402E29"/>
    <w:rsid w:val="685758F0"/>
    <w:rsid w:val="68602E8F"/>
    <w:rsid w:val="6867704D"/>
    <w:rsid w:val="68A30CE9"/>
    <w:rsid w:val="68A32065"/>
    <w:rsid w:val="68A6F81F"/>
    <w:rsid w:val="68A82C79"/>
    <w:rsid w:val="68A9BDF6"/>
    <w:rsid w:val="68AAE342"/>
    <w:rsid w:val="68BE6876"/>
    <w:rsid w:val="68CBFA57"/>
    <w:rsid w:val="68D1018A"/>
    <w:rsid w:val="68D76589"/>
    <w:rsid w:val="68E628DF"/>
    <w:rsid w:val="68E6A8AC"/>
    <w:rsid w:val="68F4F738"/>
    <w:rsid w:val="68F5F8CF"/>
    <w:rsid w:val="68F7DF93"/>
    <w:rsid w:val="6909529E"/>
    <w:rsid w:val="690F1B2F"/>
    <w:rsid w:val="690FBE15"/>
    <w:rsid w:val="69117E10"/>
    <w:rsid w:val="6911DBED"/>
    <w:rsid w:val="691D012B"/>
    <w:rsid w:val="6920B2DB"/>
    <w:rsid w:val="69270788"/>
    <w:rsid w:val="692FB35C"/>
    <w:rsid w:val="69324865"/>
    <w:rsid w:val="6934D252"/>
    <w:rsid w:val="6948B5C2"/>
    <w:rsid w:val="694E174A"/>
    <w:rsid w:val="69637B41"/>
    <w:rsid w:val="6972F347"/>
    <w:rsid w:val="6973AFBD"/>
    <w:rsid w:val="69767EB2"/>
    <w:rsid w:val="697BAEA1"/>
    <w:rsid w:val="69829C4E"/>
    <w:rsid w:val="698A3662"/>
    <w:rsid w:val="698B90C3"/>
    <w:rsid w:val="698C439C"/>
    <w:rsid w:val="698E2ECE"/>
    <w:rsid w:val="6997BCE0"/>
    <w:rsid w:val="699A70E4"/>
    <w:rsid w:val="699ADECE"/>
    <w:rsid w:val="699C0910"/>
    <w:rsid w:val="699C1651"/>
    <w:rsid w:val="69CF7BDA"/>
    <w:rsid w:val="69D5BE15"/>
    <w:rsid w:val="69D60EC1"/>
    <w:rsid w:val="69D8DC15"/>
    <w:rsid w:val="69E2F610"/>
    <w:rsid w:val="69FD1A30"/>
    <w:rsid w:val="69FEEB04"/>
    <w:rsid w:val="6A050445"/>
    <w:rsid w:val="6A0C8870"/>
    <w:rsid w:val="6A11B4ED"/>
    <w:rsid w:val="6A1392EB"/>
    <w:rsid w:val="6A2551F9"/>
    <w:rsid w:val="6A34F47A"/>
    <w:rsid w:val="6A3B5BDB"/>
    <w:rsid w:val="6A43C595"/>
    <w:rsid w:val="6A54E9E5"/>
    <w:rsid w:val="6A57F20B"/>
    <w:rsid w:val="6A5C23B2"/>
    <w:rsid w:val="6A5E5D33"/>
    <w:rsid w:val="6A609D13"/>
    <w:rsid w:val="6A6177F9"/>
    <w:rsid w:val="6A7C39CA"/>
    <w:rsid w:val="6A844812"/>
    <w:rsid w:val="6A857576"/>
    <w:rsid w:val="6A87E132"/>
    <w:rsid w:val="6A8BF100"/>
    <w:rsid w:val="6A94311F"/>
    <w:rsid w:val="6A9E1AC0"/>
    <w:rsid w:val="6AACB7F8"/>
    <w:rsid w:val="6AAF59F0"/>
    <w:rsid w:val="6AB9CD5B"/>
    <w:rsid w:val="6ABB8793"/>
    <w:rsid w:val="6ADAFEDE"/>
    <w:rsid w:val="6AE5D152"/>
    <w:rsid w:val="6AE842A9"/>
    <w:rsid w:val="6AF1C5A8"/>
    <w:rsid w:val="6AF1F608"/>
    <w:rsid w:val="6AF6054F"/>
    <w:rsid w:val="6AFDB995"/>
    <w:rsid w:val="6B000E7F"/>
    <w:rsid w:val="6B13E1A7"/>
    <w:rsid w:val="6B148B92"/>
    <w:rsid w:val="6B1685C8"/>
    <w:rsid w:val="6B1B0A88"/>
    <w:rsid w:val="6B1B22E3"/>
    <w:rsid w:val="6B20889C"/>
    <w:rsid w:val="6B26D269"/>
    <w:rsid w:val="6B28CBD7"/>
    <w:rsid w:val="6B4264E3"/>
    <w:rsid w:val="6B448CB5"/>
    <w:rsid w:val="6B47F46D"/>
    <w:rsid w:val="6B4875CA"/>
    <w:rsid w:val="6B56743E"/>
    <w:rsid w:val="6B59284F"/>
    <w:rsid w:val="6B5F7DDC"/>
    <w:rsid w:val="6B65FFB5"/>
    <w:rsid w:val="6B676E6D"/>
    <w:rsid w:val="6B6AF8FA"/>
    <w:rsid w:val="6B77D5B7"/>
    <w:rsid w:val="6B7EE136"/>
    <w:rsid w:val="6B8E09CD"/>
    <w:rsid w:val="6BA1CAC4"/>
    <w:rsid w:val="6BB05E85"/>
    <w:rsid w:val="6BBA0018"/>
    <w:rsid w:val="6BCFB752"/>
    <w:rsid w:val="6BD983B5"/>
    <w:rsid w:val="6BD9C821"/>
    <w:rsid w:val="6BDC846D"/>
    <w:rsid w:val="6C1E7DE1"/>
    <w:rsid w:val="6C3069E5"/>
    <w:rsid w:val="6C3078AC"/>
    <w:rsid w:val="6C33EA69"/>
    <w:rsid w:val="6C3447CB"/>
    <w:rsid w:val="6C4924F6"/>
    <w:rsid w:val="6C50C193"/>
    <w:rsid w:val="6C5ECEDD"/>
    <w:rsid w:val="6C607364"/>
    <w:rsid w:val="6C688682"/>
    <w:rsid w:val="6C89999C"/>
    <w:rsid w:val="6C95508B"/>
    <w:rsid w:val="6C9D4F8C"/>
    <w:rsid w:val="6C9E181D"/>
    <w:rsid w:val="6CA18C67"/>
    <w:rsid w:val="6CD24170"/>
    <w:rsid w:val="6CE39868"/>
    <w:rsid w:val="6CE4F0B0"/>
    <w:rsid w:val="6CE632A1"/>
    <w:rsid w:val="6CF968EE"/>
    <w:rsid w:val="6CFB3BF0"/>
    <w:rsid w:val="6CFB7170"/>
    <w:rsid w:val="6CFCAF1B"/>
    <w:rsid w:val="6D124F71"/>
    <w:rsid w:val="6D22FE69"/>
    <w:rsid w:val="6D252474"/>
    <w:rsid w:val="6D284572"/>
    <w:rsid w:val="6D2AAB75"/>
    <w:rsid w:val="6D42F18C"/>
    <w:rsid w:val="6D48238D"/>
    <w:rsid w:val="6D4BE6C9"/>
    <w:rsid w:val="6D4BFCF1"/>
    <w:rsid w:val="6D598B82"/>
    <w:rsid w:val="6D5FABBA"/>
    <w:rsid w:val="6D6FABD6"/>
    <w:rsid w:val="6D72EE9F"/>
    <w:rsid w:val="6D78A9E8"/>
    <w:rsid w:val="6D8ACC5E"/>
    <w:rsid w:val="6D97FBFF"/>
    <w:rsid w:val="6D991043"/>
    <w:rsid w:val="6D9A1C89"/>
    <w:rsid w:val="6D9D42DB"/>
    <w:rsid w:val="6DB16719"/>
    <w:rsid w:val="6DB2C847"/>
    <w:rsid w:val="6DB43AF3"/>
    <w:rsid w:val="6DB82AF5"/>
    <w:rsid w:val="6DBB8626"/>
    <w:rsid w:val="6DCC9806"/>
    <w:rsid w:val="6DE0CF74"/>
    <w:rsid w:val="6DE59019"/>
    <w:rsid w:val="6DF32382"/>
    <w:rsid w:val="6DF7F0DD"/>
    <w:rsid w:val="6E02EBAE"/>
    <w:rsid w:val="6E06F686"/>
    <w:rsid w:val="6E0EE59B"/>
    <w:rsid w:val="6E2E0965"/>
    <w:rsid w:val="6E2F884C"/>
    <w:rsid w:val="6E3886AB"/>
    <w:rsid w:val="6E3C3AC9"/>
    <w:rsid w:val="6E3D4430"/>
    <w:rsid w:val="6E4846EA"/>
    <w:rsid w:val="6E685D4D"/>
    <w:rsid w:val="6E721D9D"/>
    <w:rsid w:val="6E7D1D38"/>
    <w:rsid w:val="6E992E75"/>
    <w:rsid w:val="6E9F559E"/>
    <w:rsid w:val="6EA3AC92"/>
    <w:rsid w:val="6EA72314"/>
    <w:rsid w:val="6EAAC3BF"/>
    <w:rsid w:val="6EB79C03"/>
    <w:rsid w:val="6EBD12B5"/>
    <w:rsid w:val="6ECEF237"/>
    <w:rsid w:val="6ED86F3A"/>
    <w:rsid w:val="6EDFDAC5"/>
    <w:rsid w:val="6EE5B6A6"/>
    <w:rsid w:val="6EFD4749"/>
    <w:rsid w:val="6F010842"/>
    <w:rsid w:val="6F0BF5EE"/>
    <w:rsid w:val="6F329C0B"/>
    <w:rsid w:val="6F3D25DD"/>
    <w:rsid w:val="6F4E67E7"/>
    <w:rsid w:val="6F4FC192"/>
    <w:rsid w:val="6F5BCE36"/>
    <w:rsid w:val="6F5F369F"/>
    <w:rsid w:val="6F70B8A6"/>
    <w:rsid w:val="6F76FBAC"/>
    <w:rsid w:val="6F8C42F0"/>
    <w:rsid w:val="6FA361E2"/>
    <w:rsid w:val="6FABE07B"/>
    <w:rsid w:val="6FB52E6E"/>
    <w:rsid w:val="6FB9878C"/>
    <w:rsid w:val="6FBBDAF5"/>
    <w:rsid w:val="6FCC5C26"/>
    <w:rsid w:val="6FCE4B9B"/>
    <w:rsid w:val="6FD21902"/>
    <w:rsid w:val="6FD82127"/>
    <w:rsid w:val="6FD9814A"/>
    <w:rsid w:val="6FDCF849"/>
    <w:rsid w:val="6FDFAA75"/>
    <w:rsid w:val="6FEAF66A"/>
    <w:rsid w:val="6FEC9987"/>
    <w:rsid w:val="6FEF0F2D"/>
    <w:rsid w:val="6FF49671"/>
    <w:rsid w:val="6FFA7572"/>
    <w:rsid w:val="6FFA99EA"/>
    <w:rsid w:val="6FFD4B56"/>
    <w:rsid w:val="6FFEB510"/>
    <w:rsid w:val="700F6E0F"/>
    <w:rsid w:val="7011832D"/>
    <w:rsid w:val="7015BE0F"/>
    <w:rsid w:val="7017C37A"/>
    <w:rsid w:val="70239B58"/>
    <w:rsid w:val="702EE06D"/>
    <w:rsid w:val="70318886"/>
    <w:rsid w:val="7038644B"/>
    <w:rsid w:val="70388E08"/>
    <w:rsid w:val="7042B948"/>
    <w:rsid w:val="704CB5B6"/>
    <w:rsid w:val="707046AE"/>
    <w:rsid w:val="7071C295"/>
    <w:rsid w:val="707CDDE9"/>
    <w:rsid w:val="70831776"/>
    <w:rsid w:val="7083D31E"/>
    <w:rsid w:val="70864841"/>
    <w:rsid w:val="70AFDCA4"/>
    <w:rsid w:val="70B525F1"/>
    <w:rsid w:val="70C66936"/>
    <w:rsid w:val="70CD7066"/>
    <w:rsid w:val="70D54E6C"/>
    <w:rsid w:val="70DE7B40"/>
    <w:rsid w:val="70E36386"/>
    <w:rsid w:val="70E88BD1"/>
    <w:rsid w:val="70E977C4"/>
    <w:rsid w:val="70EC13E1"/>
    <w:rsid w:val="70F78828"/>
    <w:rsid w:val="70FE2498"/>
    <w:rsid w:val="710C67CE"/>
    <w:rsid w:val="710F871E"/>
    <w:rsid w:val="710FB6C5"/>
    <w:rsid w:val="71102257"/>
    <w:rsid w:val="711F71F5"/>
    <w:rsid w:val="71209670"/>
    <w:rsid w:val="71384104"/>
    <w:rsid w:val="71387FCD"/>
    <w:rsid w:val="713BE890"/>
    <w:rsid w:val="71461A8C"/>
    <w:rsid w:val="71484741"/>
    <w:rsid w:val="71550DA7"/>
    <w:rsid w:val="71675A76"/>
    <w:rsid w:val="716988C0"/>
    <w:rsid w:val="716BB1A3"/>
    <w:rsid w:val="716C8739"/>
    <w:rsid w:val="717AFF72"/>
    <w:rsid w:val="717F00C4"/>
    <w:rsid w:val="718A608D"/>
    <w:rsid w:val="718C2638"/>
    <w:rsid w:val="718C61A2"/>
    <w:rsid w:val="718F8933"/>
    <w:rsid w:val="71C2F0CF"/>
    <w:rsid w:val="71C32B78"/>
    <w:rsid w:val="71CD4708"/>
    <w:rsid w:val="71D069AF"/>
    <w:rsid w:val="71D4E2FC"/>
    <w:rsid w:val="71DC2C03"/>
    <w:rsid w:val="71E0ECA7"/>
    <w:rsid w:val="71E31F75"/>
    <w:rsid w:val="71E5CEDE"/>
    <w:rsid w:val="71F9CA82"/>
    <w:rsid w:val="720B1467"/>
    <w:rsid w:val="7220BBD3"/>
    <w:rsid w:val="722E90A5"/>
    <w:rsid w:val="722EF64D"/>
    <w:rsid w:val="7239DB26"/>
    <w:rsid w:val="723DA598"/>
    <w:rsid w:val="72533BD9"/>
    <w:rsid w:val="725E8EB4"/>
    <w:rsid w:val="7262FF7B"/>
    <w:rsid w:val="7263FF75"/>
    <w:rsid w:val="7266FA7C"/>
    <w:rsid w:val="726C2718"/>
    <w:rsid w:val="72703881"/>
    <w:rsid w:val="72705686"/>
    <w:rsid w:val="72768F32"/>
    <w:rsid w:val="7277E3DD"/>
    <w:rsid w:val="7278A45A"/>
    <w:rsid w:val="727B61B5"/>
    <w:rsid w:val="72864EFC"/>
    <w:rsid w:val="72886409"/>
    <w:rsid w:val="728F5069"/>
    <w:rsid w:val="7290BC08"/>
    <w:rsid w:val="7294219B"/>
    <w:rsid w:val="7299B4C3"/>
    <w:rsid w:val="729ACB21"/>
    <w:rsid w:val="72A37C6D"/>
    <w:rsid w:val="72A534CA"/>
    <w:rsid w:val="72A6EE31"/>
    <w:rsid w:val="72A925FC"/>
    <w:rsid w:val="72AC519B"/>
    <w:rsid w:val="72B6CC87"/>
    <w:rsid w:val="72C18573"/>
    <w:rsid w:val="72CD4B07"/>
    <w:rsid w:val="72CE71C8"/>
    <w:rsid w:val="72D15F13"/>
    <w:rsid w:val="72D7DFE9"/>
    <w:rsid w:val="72D8C8FE"/>
    <w:rsid w:val="72E4C724"/>
    <w:rsid w:val="72EB7459"/>
    <w:rsid w:val="72F2C7F9"/>
    <w:rsid w:val="72F40BF6"/>
    <w:rsid w:val="72F7B6AF"/>
    <w:rsid w:val="72FF03C9"/>
    <w:rsid w:val="730284C0"/>
    <w:rsid w:val="730A83D6"/>
    <w:rsid w:val="730B6A18"/>
    <w:rsid w:val="73197E42"/>
    <w:rsid w:val="731A8370"/>
    <w:rsid w:val="732039C4"/>
    <w:rsid w:val="73223749"/>
    <w:rsid w:val="7322C20B"/>
    <w:rsid w:val="73281A7A"/>
    <w:rsid w:val="73284B32"/>
    <w:rsid w:val="732E61C1"/>
    <w:rsid w:val="733463FB"/>
    <w:rsid w:val="73347E1B"/>
    <w:rsid w:val="733AD4D4"/>
    <w:rsid w:val="733C5190"/>
    <w:rsid w:val="733D1F19"/>
    <w:rsid w:val="734F44D4"/>
    <w:rsid w:val="73587591"/>
    <w:rsid w:val="735CC708"/>
    <w:rsid w:val="73678D3D"/>
    <w:rsid w:val="7367959F"/>
    <w:rsid w:val="736D0811"/>
    <w:rsid w:val="736F1DAD"/>
    <w:rsid w:val="7379B162"/>
    <w:rsid w:val="737C36DD"/>
    <w:rsid w:val="73826A53"/>
    <w:rsid w:val="73848D32"/>
    <w:rsid w:val="7388EA2F"/>
    <w:rsid w:val="73B40418"/>
    <w:rsid w:val="73C12DD9"/>
    <w:rsid w:val="73C7B0E1"/>
    <w:rsid w:val="73DC8B28"/>
    <w:rsid w:val="73E7ADC1"/>
    <w:rsid w:val="73F6D080"/>
    <w:rsid w:val="73FA0E44"/>
    <w:rsid w:val="742142AE"/>
    <w:rsid w:val="7438C006"/>
    <w:rsid w:val="744D425F"/>
    <w:rsid w:val="7456C45F"/>
    <w:rsid w:val="745B17C9"/>
    <w:rsid w:val="745FF391"/>
    <w:rsid w:val="7460E2CD"/>
    <w:rsid w:val="74614CCC"/>
    <w:rsid w:val="74616DD0"/>
    <w:rsid w:val="7465E382"/>
    <w:rsid w:val="74696932"/>
    <w:rsid w:val="746C4D5B"/>
    <w:rsid w:val="746D04D3"/>
    <w:rsid w:val="74703A41"/>
    <w:rsid w:val="7478CD87"/>
    <w:rsid w:val="747F8823"/>
    <w:rsid w:val="748EFD73"/>
    <w:rsid w:val="749D294C"/>
    <w:rsid w:val="74A27003"/>
    <w:rsid w:val="74A79A2A"/>
    <w:rsid w:val="74B06F49"/>
    <w:rsid w:val="74C92ABF"/>
    <w:rsid w:val="74CF5EA3"/>
    <w:rsid w:val="74DCD071"/>
    <w:rsid w:val="74E74A55"/>
    <w:rsid w:val="74F3EE71"/>
    <w:rsid w:val="74F968F5"/>
    <w:rsid w:val="75058A56"/>
    <w:rsid w:val="7512BCC8"/>
    <w:rsid w:val="7516A371"/>
    <w:rsid w:val="751D266D"/>
    <w:rsid w:val="752E1F88"/>
    <w:rsid w:val="7532F33C"/>
    <w:rsid w:val="7540B152"/>
    <w:rsid w:val="755477E3"/>
    <w:rsid w:val="755C6DBD"/>
    <w:rsid w:val="755E6C57"/>
    <w:rsid w:val="756698CD"/>
    <w:rsid w:val="756A122E"/>
    <w:rsid w:val="75769566"/>
    <w:rsid w:val="757CBDD1"/>
    <w:rsid w:val="7589723A"/>
    <w:rsid w:val="75921A0B"/>
    <w:rsid w:val="75AB094D"/>
    <w:rsid w:val="75ACEA55"/>
    <w:rsid w:val="75CAD456"/>
    <w:rsid w:val="75DAA3CE"/>
    <w:rsid w:val="75E05F17"/>
    <w:rsid w:val="75E53548"/>
    <w:rsid w:val="76069948"/>
    <w:rsid w:val="7611ACEC"/>
    <w:rsid w:val="7616348B"/>
    <w:rsid w:val="761C7DCF"/>
    <w:rsid w:val="762381D3"/>
    <w:rsid w:val="7628EA04"/>
    <w:rsid w:val="76325E30"/>
    <w:rsid w:val="763A94C3"/>
    <w:rsid w:val="7647269E"/>
    <w:rsid w:val="764A680D"/>
    <w:rsid w:val="764BC73B"/>
    <w:rsid w:val="765DD0E3"/>
    <w:rsid w:val="7660BCBE"/>
    <w:rsid w:val="766360EA"/>
    <w:rsid w:val="766B8490"/>
    <w:rsid w:val="76759F4E"/>
    <w:rsid w:val="7682241B"/>
    <w:rsid w:val="76851512"/>
    <w:rsid w:val="7698B98D"/>
    <w:rsid w:val="76AD8D4A"/>
    <w:rsid w:val="76B32BAD"/>
    <w:rsid w:val="76B72017"/>
    <w:rsid w:val="76C4CC83"/>
    <w:rsid w:val="76C6E2E8"/>
    <w:rsid w:val="76C6F0B4"/>
    <w:rsid w:val="76D5A5CB"/>
    <w:rsid w:val="76E556B0"/>
    <w:rsid w:val="7737CB5A"/>
    <w:rsid w:val="774E5A17"/>
    <w:rsid w:val="774FFFDA"/>
    <w:rsid w:val="7753CF27"/>
    <w:rsid w:val="775E7B81"/>
    <w:rsid w:val="7766F7B1"/>
    <w:rsid w:val="77714FEB"/>
    <w:rsid w:val="779D287C"/>
    <w:rsid w:val="77AB8202"/>
    <w:rsid w:val="77ABD01A"/>
    <w:rsid w:val="77C7632E"/>
    <w:rsid w:val="77D2A1F2"/>
    <w:rsid w:val="77DCC158"/>
    <w:rsid w:val="77E51DDC"/>
    <w:rsid w:val="77EF3CC8"/>
    <w:rsid w:val="77EFB356"/>
    <w:rsid w:val="7805B208"/>
    <w:rsid w:val="7806F6B8"/>
    <w:rsid w:val="7816872D"/>
    <w:rsid w:val="781DC835"/>
    <w:rsid w:val="7836A8A7"/>
    <w:rsid w:val="78410BE3"/>
    <w:rsid w:val="784CB4E8"/>
    <w:rsid w:val="784D6A44"/>
    <w:rsid w:val="78673C0B"/>
    <w:rsid w:val="78685CE5"/>
    <w:rsid w:val="7869DEC3"/>
    <w:rsid w:val="78720194"/>
    <w:rsid w:val="787755BB"/>
    <w:rsid w:val="78780F53"/>
    <w:rsid w:val="788046E8"/>
    <w:rsid w:val="78852513"/>
    <w:rsid w:val="7890B60C"/>
    <w:rsid w:val="789B1359"/>
    <w:rsid w:val="78B56845"/>
    <w:rsid w:val="78B72E69"/>
    <w:rsid w:val="78C66028"/>
    <w:rsid w:val="78C8B83D"/>
    <w:rsid w:val="78D3E9C6"/>
    <w:rsid w:val="78D8528E"/>
    <w:rsid w:val="78E108B7"/>
    <w:rsid w:val="78FB57EC"/>
    <w:rsid w:val="78FBB6BB"/>
    <w:rsid w:val="79075F48"/>
    <w:rsid w:val="791A9C53"/>
    <w:rsid w:val="7920A3A1"/>
    <w:rsid w:val="792D223E"/>
    <w:rsid w:val="79349B48"/>
    <w:rsid w:val="79440E3A"/>
    <w:rsid w:val="79444550"/>
    <w:rsid w:val="7949E9D0"/>
    <w:rsid w:val="7949F317"/>
    <w:rsid w:val="794B402B"/>
    <w:rsid w:val="797418F4"/>
    <w:rsid w:val="7976846F"/>
    <w:rsid w:val="7982A394"/>
    <w:rsid w:val="79847B1D"/>
    <w:rsid w:val="7984CD72"/>
    <w:rsid w:val="798A4377"/>
    <w:rsid w:val="79964062"/>
    <w:rsid w:val="799B35E2"/>
    <w:rsid w:val="79A93C43"/>
    <w:rsid w:val="79B6D298"/>
    <w:rsid w:val="79C240AE"/>
    <w:rsid w:val="79CAA842"/>
    <w:rsid w:val="79CC7185"/>
    <w:rsid w:val="79D2FD91"/>
    <w:rsid w:val="79EBB7B8"/>
    <w:rsid w:val="79EDC8DE"/>
    <w:rsid w:val="7A02AF6A"/>
    <w:rsid w:val="7A02CC29"/>
    <w:rsid w:val="7A24C941"/>
    <w:rsid w:val="7A29D36E"/>
    <w:rsid w:val="7A2B8768"/>
    <w:rsid w:val="7A2E2FCC"/>
    <w:rsid w:val="7A36315D"/>
    <w:rsid w:val="7A3D4E72"/>
    <w:rsid w:val="7A58100B"/>
    <w:rsid w:val="7A5CFF47"/>
    <w:rsid w:val="7A60D722"/>
    <w:rsid w:val="7A6EE812"/>
    <w:rsid w:val="7A878467"/>
    <w:rsid w:val="7A9169AF"/>
    <w:rsid w:val="7AB0F3AE"/>
    <w:rsid w:val="7AB85491"/>
    <w:rsid w:val="7ACD7CC4"/>
    <w:rsid w:val="7ACE7D08"/>
    <w:rsid w:val="7AD6BBAA"/>
    <w:rsid w:val="7ADAF3E3"/>
    <w:rsid w:val="7ADC260B"/>
    <w:rsid w:val="7AE01824"/>
    <w:rsid w:val="7AE0BD17"/>
    <w:rsid w:val="7AE65100"/>
    <w:rsid w:val="7AEAB4E9"/>
    <w:rsid w:val="7AEC9344"/>
    <w:rsid w:val="7AF66D58"/>
    <w:rsid w:val="7B00F9EE"/>
    <w:rsid w:val="7B077335"/>
    <w:rsid w:val="7B28258C"/>
    <w:rsid w:val="7B2BFEEF"/>
    <w:rsid w:val="7B313830"/>
    <w:rsid w:val="7B3B8B52"/>
    <w:rsid w:val="7B4D258D"/>
    <w:rsid w:val="7B5ADAF4"/>
    <w:rsid w:val="7B6125A0"/>
    <w:rsid w:val="7B61F27B"/>
    <w:rsid w:val="7B659E37"/>
    <w:rsid w:val="7B65C777"/>
    <w:rsid w:val="7B6F789F"/>
    <w:rsid w:val="7B7FEC99"/>
    <w:rsid w:val="7B8E1A8A"/>
    <w:rsid w:val="7B9AF3C9"/>
    <w:rsid w:val="7B9E3C84"/>
    <w:rsid w:val="7BA04B2E"/>
    <w:rsid w:val="7BA3FDB9"/>
    <w:rsid w:val="7BAE2E22"/>
    <w:rsid w:val="7BAE4378"/>
    <w:rsid w:val="7BC21E65"/>
    <w:rsid w:val="7BCB4C46"/>
    <w:rsid w:val="7BCBF12D"/>
    <w:rsid w:val="7BE29A1E"/>
    <w:rsid w:val="7BE30F97"/>
    <w:rsid w:val="7BE9E209"/>
    <w:rsid w:val="7BEBD0B5"/>
    <w:rsid w:val="7BFC6608"/>
    <w:rsid w:val="7C12DFA8"/>
    <w:rsid w:val="7C274B28"/>
    <w:rsid w:val="7C39582F"/>
    <w:rsid w:val="7C4788D1"/>
    <w:rsid w:val="7C5221E3"/>
    <w:rsid w:val="7C5762A4"/>
    <w:rsid w:val="7C5EE52C"/>
    <w:rsid w:val="7C5FF996"/>
    <w:rsid w:val="7C60DFCD"/>
    <w:rsid w:val="7C6B17BD"/>
    <w:rsid w:val="7C7100B9"/>
    <w:rsid w:val="7C721514"/>
    <w:rsid w:val="7C796F0F"/>
    <w:rsid w:val="7C8DA5C9"/>
    <w:rsid w:val="7C8F3A14"/>
    <w:rsid w:val="7C95A51B"/>
    <w:rsid w:val="7C9BC87C"/>
    <w:rsid w:val="7CA688E1"/>
    <w:rsid w:val="7CACD59E"/>
    <w:rsid w:val="7CB219FE"/>
    <w:rsid w:val="7CB89DB5"/>
    <w:rsid w:val="7CC72521"/>
    <w:rsid w:val="7CCD54A8"/>
    <w:rsid w:val="7CCF18D6"/>
    <w:rsid w:val="7CCF8E02"/>
    <w:rsid w:val="7CDB16D6"/>
    <w:rsid w:val="7CDD848C"/>
    <w:rsid w:val="7CE26C74"/>
    <w:rsid w:val="7CE7A460"/>
    <w:rsid w:val="7CE82C73"/>
    <w:rsid w:val="7CF99375"/>
    <w:rsid w:val="7CFB0717"/>
    <w:rsid w:val="7CFF1575"/>
    <w:rsid w:val="7D01E8E9"/>
    <w:rsid w:val="7D09C52C"/>
    <w:rsid w:val="7D0A3F24"/>
    <w:rsid w:val="7D11162A"/>
    <w:rsid w:val="7D131732"/>
    <w:rsid w:val="7D18B63F"/>
    <w:rsid w:val="7D194B6C"/>
    <w:rsid w:val="7D1D17EB"/>
    <w:rsid w:val="7D2EF726"/>
    <w:rsid w:val="7D31E25F"/>
    <w:rsid w:val="7D33708A"/>
    <w:rsid w:val="7D3BC367"/>
    <w:rsid w:val="7D4EF843"/>
    <w:rsid w:val="7D609F5A"/>
    <w:rsid w:val="7D6295B7"/>
    <w:rsid w:val="7D728CCE"/>
    <w:rsid w:val="7D7757DD"/>
    <w:rsid w:val="7D8D9ECC"/>
    <w:rsid w:val="7D931D38"/>
    <w:rsid w:val="7D9D251D"/>
    <w:rsid w:val="7DACCE8F"/>
    <w:rsid w:val="7DB3F796"/>
    <w:rsid w:val="7DB60EF4"/>
    <w:rsid w:val="7DB97798"/>
    <w:rsid w:val="7DBED0AE"/>
    <w:rsid w:val="7DC0CE27"/>
    <w:rsid w:val="7DC3930E"/>
    <w:rsid w:val="7DD5398D"/>
    <w:rsid w:val="7DD8FA57"/>
    <w:rsid w:val="7DDF1820"/>
    <w:rsid w:val="7DE3D30E"/>
    <w:rsid w:val="7E0D0056"/>
    <w:rsid w:val="7E0E9244"/>
    <w:rsid w:val="7E0ECF8A"/>
    <w:rsid w:val="7E11112F"/>
    <w:rsid w:val="7E1E10D8"/>
    <w:rsid w:val="7E3E4BC5"/>
    <w:rsid w:val="7E421CA9"/>
    <w:rsid w:val="7E46939F"/>
    <w:rsid w:val="7E487E8D"/>
    <w:rsid w:val="7E5E7670"/>
    <w:rsid w:val="7E76D10B"/>
    <w:rsid w:val="7E7F4458"/>
    <w:rsid w:val="7E8423C5"/>
    <w:rsid w:val="7E8A5EB3"/>
    <w:rsid w:val="7E8AA46E"/>
    <w:rsid w:val="7E909A57"/>
    <w:rsid w:val="7E9AD197"/>
    <w:rsid w:val="7EA8E26E"/>
    <w:rsid w:val="7EBCE35B"/>
    <w:rsid w:val="7EC7BEA1"/>
    <w:rsid w:val="7EC9E5AB"/>
    <w:rsid w:val="7EDC9199"/>
    <w:rsid w:val="7EFD38BF"/>
    <w:rsid w:val="7F02E872"/>
    <w:rsid w:val="7F0BCA41"/>
    <w:rsid w:val="7F0E9271"/>
    <w:rsid w:val="7F42E7B8"/>
    <w:rsid w:val="7F5E36AE"/>
    <w:rsid w:val="7F671DA5"/>
    <w:rsid w:val="7F67EE5E"/>
    <w:rsid w:val="7F6C3D65"/>
    <w:rsid w:val="7F79BB94"/>
    <w:rsid w:val="7F89F4B5"/>
    <w:rsid w:val="7F8B2C40"/>
    <w:rsid w:val="7F9866A3"/>
    <w:rsid w:val="7F9F42F0"/>
    <w:rsid w:val="7FA1BFAE"/>
    <w:rsid w:val="7FA2087C"/>
    <w:rsid w:val="7FA7A028"/>
    <w:rsid w:val="7FC0F754"/>
    <w:rsid w:val="7FC3DF10"/>
    <w:rsid w:val="7FC9BE81"/>
    <w:rsid w:val="7FD87DAF"/>
    <w:rsid w:val="7FDEB645"/>
    <w:rsid w:val="7FE8642A"/>
    <w:rsid w:val="7FEEAAB1"/>
    <w:rsid w:val="7FF0C7B6"/>
    <w:rsid w:val="7FF754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F4A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A54"/>
    <w:pPr>
      <w:spacing w:before="120" w:after="120" w:line="240" w:lineRule="auto"/>
    </w:pPr>
    <w:rPr>
      <w:color w:val="000000"/>
      <w:sz w:val="20"/>
    </w:rPr>
  </w:style>
  <w:style w:type="paragraph" w:styleId="Heading1">
    <w:name w:val="heading 1"/>
    <w:basedOn w:val="Normal"/>
    <w:next w:val="Normal"/>
    <w:link w:val="Heading1Char"/>
    <w:uiPriority w:val="9"/>
    <w:qFormat/>
    <w:rsid w:val="00FF1848"/>
    <w:pPr>
      <w:keepNext/>
      <w:keepLines/>
      <w:spacing w:before="360" w:after="60" w:line="204" w:lineRule="auto"/>
      <w:outlineLvl w:val="0"/>
    </w:pPr>
    <w:rPr>
      <w:rFonts w:asciiTheme="majorHAnsi" w:eastAsiaTheme="majorEastAsia" w:hAnsiTheme="majorHAnsi" w:cstheme="majorBidi"/>
      <w:color w:val="425563" w:themeColor="text1"/>
      <w:sz w:val="44"/>
      <w:szCs w:val="32"/>
      <w:lang w:eastAsia="en-AU"/>
    </w:rPr>
  </w:style>
  <w:style w:type="paragraph" w:styleId="Heading2">
    <w:name w:val="heading 2"/>
    <w:basedOn w:val="Normal"/>
    <w:next w:val="Normal"/>
    <w:link w:val="Heading2Char"/>
    <w:uiPriority w:val="9"/>
    <w:unhideWhenUsed/>
    <w:qFormat/>
    <w:rsid w:val="00CE1B72"/>
    <w:pPr>
      <w:keepNext/>
      <w:keepLines/>
      <w:spacing w:before="240" w:after="60" w:line="204" w:lineRule="auto"/>
      <w:outlineLvl w:val="1"/>
    </w:pPr>
    <w:rPr>
      <w:rFonts w:asciiTheme="majorHAnsi" w:eastAsiaTheme="majorEastAsia" w:hAnsiTheme="majorHAnsi" w:cstheme="majorBidi"/>
      <w:color w:val="425563" w:themeColor="text1"/>
      <w:sz w:val="40"/>
      <w:szCs w:val="26"/>
    </w:rPr>
  </w:style>
  <w:style w:type="paragraph" w:styleId="Heading3">
    <w:name w:val="heading 3"/>
    <w:basedOn w:val="Normal"/>
    <w:next w:val="Normal"/>
    <w:link w:val="Heading3Char"/>
    <w:uiPriority w:val="9"/>
    <w:unhideWhenUsed/>
    <w:qFormat/>
    <w:rsid w:val="00CE1B72"/>
    <w:pPr>
      <w:keepNext/>
      <w:keepLines/>
      <w:spacing w:before="240" w:after="60" w:line="204" w:lineRule="auto"/>
      <w:outlineLvl w:val="2"/>
    </w:pPr>
    <w:rPr>
      <w:rFonts w:asciiTheme="majorHAnsi" w:eastAsiaTheme="majorEastAsia" w:hAnsiTheme="majorHAnsi" w:cstheme="majorBidi"/>
      <w:color w:val="425563" w:themeColor="text1"/>
      <w:sz w:val="36"/>
      <w:szCs w:val="24"/>
    </w:rPr>
  </w:style>
  <w:style w:type="paragraph" w:styleId="Heading4">
    <w:name w:val="heading 4"/>
    <w:basedOn w:val="Normal"/>
    <w:next w:val="Normal"/>
    <w:link w:val="Heading4Char"/>
    <w:uiPriority w:val="9"/>
    <w:unhideWhenUsed/>
    <w:qFormat/>
    <w:rsid w:val="00CE1B72"/>
    <w:pPr>
      <w:keepNext/>
      <w:keepLines/>
      <w:spacing w:before="240" w:after="60" w:line="204" w:lineRule="auto"/>
      <w:outlineLvl w:val="3"/>
    </w:pPr>
    <w:rPr>
      <w:rFonts w:asciiTheme="majorHAnsi" w:eastAsiaTheme="majorEastAsia" w:hAnsiTheme="majorHAnsi" w:cstheme="majorBidi"/>
      <w:iCs/>
      <w:color w:val="425563" w:themeColor="text1"/>
      <w:sz w:val="32"/>
    </w:rPr>
  </w:style>
  <w:style w:type="paragraph" w:styleId="Heading5">
    <w:name w:val="heading 5"/>
    <w:basedOn w:val="Normal"/>
    <w:next w:val="Normal"/>
    <w:link w:val="Heading5Char"/>
    <w:uiPriority w:val="9"/>
    <w:unhideWhenUsed/>
    <w:qFormat/>
    <w:rsid w:val="00CE1B72"/>
    <w:pPr>
      <w:keepNext/>
      <w:keepLines/>
      <w:spacing w:before="240" w:after="60" w:line="204" w:lineRule="auto"/>
      <w:outlineLvl w:val="4"/>
    </w:pPr>
    <w:rPr>
      <w:rFonts w:asciiTheme="majorHAnsi" w:eastAsiaTheme="majorEastAsia" w:hAnsiTheme="majorHAnsi" w:cstheme="majorBidi"/>
      <w:color w:val="425563" w:themeColor="text1"/>
      <w:sz w:val="28"/>
      <w:szCs w:val="24"/>
    </w:rPr>
  </w:style>
  <w:style w:type="paragraph" w:styleId="Heading6">
    <w:name w:val="heading 6"/>
    <w:basedOn w:val="Normal"/>
    <w:next w:val="Normal"/>
    <w:link w:val="Heading6Char"/>
    <w:uiPriority w:val="9"/>
    <w:unhideWhenUsed/>
    <w:qFormat/>
    <w:rsid w:val="00CE1B72"/>
    <w:pPr>
      <w:keepNext/>
      <w:keepLines/>
      <w:spacing w:before="40" w:after="0"/>
      <w:outlineLvl w:val="5"/>
    </w:pPr>
    <w:rPr>
      <w:rFonts w:asciiTheme="majorHAnsi" w:eastAsiaTheme="majorEastAsia" w:hAnsiTheme="majorHAnsi" w:cstheme="majorBidi"/>
      <w:color w:val="425563" w:themeColor="text1"/>
      <w:sz w:val="24"/>
    </w:rPr>
  </w:style>
  <w:style w:type="paragraph" w:styleId="Heading7">
    <w:name w:val="heading 7"/>
    <w:basedOn w:val="Normal"/>
    <w:next w:val="Normal"/>
    <w:link w:val="Heading7Char"/>
    <w:uiPriority w:val="9"/>
    <w:unhideWhenUsed/>
    <w:rsid w:val="007E0AFE"/>
    <w:pPr>
      <w:keepNext/>
      <w:keepLines/>
      <w:spacing w:before="40" w:after="0"/>
      <w:outlineLvl w:val="6"/>
    </w:pPr>
    <w:rPr>
      <w:rFonts w:asciiTheme="majorHAnsi" w:eastAsiaTheme="majorEastAsia" w:hAnsiTheme="majorHAnsi" w:cstheme="majorBidi"/>
      <w:i/>
      <w:iCs/>
      <w:color w:val="313F4A" w:themeColor="tex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848"/>
    <w:rPr>
      <w:rFonts w:asciiTheme="majorHAnsi" w:eastAsiaTheme="majorEastAsia" w:hAnsiTheme="majorHAnsi" w:cstheme="majorBidi"/>
      <w:color w:val="425563" w:themeColor="text1"/>
      <w:sz w:val="44"/>
      <w:szCs w:val="32"/>
      <w:lang w:eastAsia="en-AU"/>
    </w:rPr>
  </w:style>
  <w:style w:type="character" w:customStyle="1" w:styleId="Heading2Char">
    <w:name w:val="Heading 2 Char"/>
    <w:basedOn w:val="DefaultParagraphFont"/>
    <w:link w:val="Heading2"/>
    <w:uiPriority w:val="9"/>
    <w:rsid w:val="00CE1B72"/>
    <w:rPr>
      <w:rFonts w:asciiTheme="majorHAnsi" w:eastAsiaTheme="majorEastAsia" w:hAnsiTheme="majorHAnsi" w:cstheme="majorBidi"/>
      <w:color w:val="425563" w:themeColor="text1"/>
      <w:sz w:val="40"/>
      <w:szCs w:val="26"/>
    </w:rPr>
  </w:style>
  <w:style w:type="character" w:customStyle="1" w:styleId="Heading3Char">
    <w:name w:val="Heading 3 Char"/>
    <w:basedOn w:val="DefaultParagraphFont"/>
    <w:link w:val="Heading3"/>
    <w:uiPriority w:val="9"/>
    <w:rsid w:val="00CE1B72"/>
    <w:rPr>
      <w:rFonts w:asciiTheme="majorHAnsi" w:eastAsiaTheme="majorEastAsia" w:hAnsiTheme="majorHAnsi" w:cstheme="majorBidi"/>
      <w:color w:val="425563" w:themeColor="text1"/>
      <w:sz w:val="36"/>
      <w:szCs w:val="24"/>
    </w:rPr>
  </w:style>
  <w:style w:type="paragraph" w:styleId="Header">
    <w:name w:val="header"/>
    <w:basedOn w:val="Normal"/>
    <w:link w:val="HeaderChar"/>
    <w:uiPriority w:val="99"/>
    <w:unhideWhenUsed/>
    <w:rsid w:val="00EF3DEF"/>
    <w:pPr>
      <w:tabs>
        <w:tab w:val="center" w:pos="4680"/>
        <w:tab w:val="right" w:pos="9360"/>
      </w:tabs>
      <w:spacing w:after="0"/>
    </w:pPr>
    <w:rPr>
      <w:rFonts w:asciiTheme="majorHAnsi" w:hAnsiTheme="majorHAnsi"/>
      <w:caps/>
      <w:sz w:val="16"/>
    </w:rPr>
  </w:style>
  <w:style w:type="character" w:customStyle="1" w:styleId="HeaderChar">
    <w:name w:val="Header Char"/>
    <w:basedOn w:val="DefaultParagraphFont"/>
    <w:link w:val="Header"/>
    <w:uiPriority w:val="99"/>
    <w:rsid w:val="00EF3DEF"/>
    <w:rPr>
      <w:rFonts w:asciiTheme="majorHAnsi" w:hAnsiTheme="majorHAnsi"/>
      <w:caps/>
      <w:color w:val="425563" w:themeColor="text1"/>
      <w:sz w:val="16"/>
    </w:rPr>
  </w:style>
  <w:style w:type="paragraph" w:styleId="Footer">
    <w:name w:val="footer"/>
    <w:basedOn w:val="Normal"/>
    <w:link w:val="FooterChar"/>
    <w:uiPriority w:val="99"/>
    <w:unhideWhenUsed/>
    <w:rsid w:val="00EF3DEF"/>
    <w:pPr>
      <w:tabs>
        <w:tab w:val="center" w:pos="4680"/>
        <w:tab w:val="right" w:pos="9360"/>
      </w:tabs>
      <w:spacing w:before="60" w:after="60"/>
    </w:pPr>
    <w:rPr>
      <w:rFonts w:asciiTheme="majorHAnsi" w:hAnsiTheme="majorHAnsi"/>
      <w:color w:val="00BE6E" w:themeColor="text2"/>
      <w:sz w:val="16"/>
    </w:rPr>
  </w:style>
  <w:style w:type="character" w:customStyle="1" w:styleId="FooterChar">
    <w:name w:val="Footer Char"/>
    <w:basedOn w:val="DefaultParagraphFont"/>
    <w:link w:val="Footer"/>
    <w:uiPriority w:val="99"/>
    <w:rsid w:val="00EF3DEF"/>
    <w:rPr>
      <w:rFonts w:asciiTheme="majorHAnsi" w:hAnsiTheme="majorHAnsi"/>
      <w:color w:val="00BE6E" w:themeColor="text2"/>
      <w:sz w:val="16"/>
    </w:rPr>
  </w:style>
  <w:style w:type="paragraph" w:customStyle="1" w:styleId="Bullet1">
    <w:name w:val="Bullet 1"/>
    <w:basedOn w:val="Dotpoint"/>
    <w:link w:val="Bullet1Char"/>
    <w:qFormat/>
    <w:rsid w:val="00C27E6C"/>
    <w:pPr>
      <w:spacing w:before="120" w:line="240" w:lineRule="auto"/>
      <w:ind w:right="425" w:hanging="357"/>
    </w:pPr>
    <w:rPr>
      <w:rFonts w:asciiTheme="minorHAnsi" w:hAnsiTheme="minorHAnsi"/>
      <w:sz w:val="20"/>
      <w:szCs w:val="20"/>
    </w:rPr>
  </w:style>
  <w:style w:type="paragraph" w:customStyle="1" w:styleId="Bullet2">
    <w:name w:val="Bullet 2"/>
    <w:basedOn w:val="Normal"/>
    <w:link w:val="Bullet2Char"/>
    <w:uiPriority w:val="1"/>
    <w:qFormat/>
    <w:rsid w:val="00B2315D"/>
    <w:pPr>
      <w:numPr>
        <w:numId w:val="8"/>
      </w:numPr>
      <w:ind w:left="851" w:hanging="284"/>
      <w:contextualSpacing/>
    </w:pPr>
  </w:style>
  <w:style w:type="paragraph" w:customStyle="1" w:styleId="Bullet3">
    <w:name w:val="Bullet 3"/>
    <w:basedOn w:val="Normal"/>
    <w:uiPriority w:val="1"/>
    <w:qFormat/>
    <w:rsid w:val="00876974"/>
    <w:pPr>
      <w:numPr>
        <w:ilvl w:val="2"/>
        <w:numId w:val="1"/>
      </w:numPr>
      <w:ind w:left="1560" w:hanging="142"/>
    </w:pPr>
  </w:style>
  <w:style w:type="paragraph" w:customStyle="1" w:styleId="NumList">
    <w:name w:val="NumList"/>
    <w:basedOn w:val="Normal"/>
    <w:link w:val="NumListChar"/>
    <w:uiPriority w:val="2"/>
    <w:qFormat/>
    <w:rsid w:val="00CB71B2"/>
    <w:pPr>
      <w:numPr>
        <w:numId w:val="9"/>
      </w:numPr>
    </w:pPr>
  </w:style>
  <w:style w:type="table" w:styleId="TableGrid">
    <w:name w:val="Table Grid"/>
    <w:basedOn w:val="TableNormal"/>
    <w:uiPriority w:val="39"/>
    <w:rsid w:val="0038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815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1574"/>
    <w:pPr>
      <w:spacing w:after="0" w:line="240" w:lineRule="auto"/>
    </w:pPr>
    <w:tblPr>
      <w:tblStyleRowBandSize w:val="1"/>
      <w:tblStyleColBandSize w:val="1"/>
      <w:tblBorders>
        <w:top w:val="single" w:sz="4" w:space="0" w:color="97AAB9" w:themeColor="text1" w:themeTint="80"/>
        <w:bottom w:val="single" w:sz="4" w:space="0" w:color="97AAB9" w:themeColor="text1" w:themeTint="80"/>
      </w:tblBorders>
    </w:tblPr>
    <w:tblStylePr w:type="firstRow">
      <w:rPr>
        <w:b/>
        <w:bCs/>
      </w:rPr>
      <w:tblPr/>
      <w:tcPr>
        <w:tcBorders>
          <w:bottom w:val="single" w:sz="4" w:space="0" w:color="97AAB9" w:themeColor="text1" w:themeTint="80"/>
        </w:tcBorders>
      </w:tcPr>
    </w:tblStylePr>
    <w:tblStylePr w:type="lastRow">
      <w:rPr>
        <w:b/>
        <w:bCs/>
      </w:rPr>
      <w:tblPr/>
      <w:tcPr>
        <w:tcBorders>
          <w:top w:val="single" w:sz="4" w:space="0" w:color="97AAB9" w:themeColor="text1" w:themeTint="80"/>
        </w:tcBorders>
      </w:tcPr>
    </w:tblStylePr>
    <w:tblStylePr w:type="firstCol">
      <w:rPr>
        <w:b/>
        <w:bCs/>
      </w:rPr>
    </w:tblStylePr>
    <w:tblStylePr w:type="lastCol">
      <w:rPr>
        <w:b/>
        <w:bCs/>
      </w:rPr>
    </w:tblStylePr>
    <w:tblStylePr w:type="band1Vert">
      <w:tblPr/>
      <w:tcPr>
        <w:tcBorders>
          <w:left w:val="single" w:sz="4" w:space="0" w:color="97AAB9" w:themeColor="text1" w:themeTint="80"/>
          <w:right w:val="single" w:sz="4" w:space="0" w:color="97AAB9" w:themeColor="text1" w:themeTint="80"/>
        </w:tcBorders>
      </w:tcPr>
    </w:tblStylePr>
    <w:tblStylePr w:type="band2Vert">
      <w:tblPr/>
      <w:tcPr>
        <w:tcBorders>
          <w:left w:val="single" w:sz="4" w:space="0" w:color="97AAB9" w:themeColor="text1" w:themeTint="80"/>
          <w:right w:val="single" w:sz="4" w:space="0" w:color="97AAB9" w:themeColor="text1" w:themeTint="80"/>
        </w:tcBorders>
      </w:tcPr>
    </w:tblStylePr>
    <w:tblStylePr w:type="band1Horz">
      <w:tblPr/>
      <w:tcPr>
        <w:tcBorders>
          <w:top w:val="single" w:sz="4" w:space="0" w:color="97AAB9" w:themeColor="text1" w:themeTint="80"/>
          <w:bottom w:val="single" w:sz="4" w:space="0" w:color="97AAB9" w:themeColor="text1" w:themeTint="80"/>
        </w:tcBorders>
      </w:tcPr>
    </w:tblStylePr>
  </w:style>
  <w:style w:type="table" w:customStyle="1" w:styleId="UnborderedTable">
    <w:name w:val="UnborderedTable"/>
    <w:basedOn w:val="TableNormal"/>
    <w:uiPriority w:val="99"/>
    <w:rsid w:val="00F11C58"/>
    <w:pPr>
      <w:spacing w:before="60" w:after="60" w:line="240" w:lineRule="auto"/>
    </w:pPr>
    <w:tblPr>
      <w:tblInd w:w="-108" w:type="dxa"/>
    </w:tblPr>
  </w:style>
  <w:style w:type="paragraph" w:styleId="Quote">
    <w:name w:val="Quote"/>
    <w:basedOn w:val="Normal"/>
    <w:next w:val="Normal"/>
    <w:link w:val="QuoteChar"/>
    <w:uiPriority w:val="29"/>
    <w:rsid w:val="00DE374B"/>
    <w:pPr>
      <w:spacing w:after="0" w:line="254" w:lineRule="auto"/>
    </w:pPr>
    <w:rPr>
      <w:sz w:val="34"/>
    </w:rPr>
  </w:style>
  <w:style w:type="character" w:customStyle="1" w:styleId="QuoteChar">
    <w:name w:val="Quote Char"/>
    <w:basedOn w:val="DefaultParagraphFont"/>
    <w:link w:val="Quote"/>
    <w:uiPriority w:val="29"/>
    <w:rsid w:val="00DE374B"/>
    <w:rPr>
      <w:color w:val="425563" w:themeColor="text1"/>
      <w:sz w:val="34"/>
    </w:rPr>
  </w:style>
  <w:style w:type="paragraph" w:styleId="Title">
    <w:name w:val="Title"/>
    <w:basedOn w:val="Normal"/>
    <w:next w:val="Normal"/>
    <w:link w:val="TitleChar"/>
    <w:uiPriority w:val="10"/>
    <w:qFormat/>
    <w:rsid w:val="003631CF"/>
    <w:pPr>
      <w:spacing w:before="0" w:after="0"/>
      <w:contextualSpacing/>
      <w:mirrorIndents/>
    </w:pPr>
    <w:rPr>
      <w:rFonts w:asciiTheme="majorHAnsi" w:eastAsiaTheme="majorEastAsia" w:hAnsiTheme="majorHAnsi" w:cstheme="majorBidi"/>
      <w:color w:val="1A4F27" w:themeColor="accent1" w:themeShade="40"/>
      <w:spacing w:val="20"/>
      <w:kern w:val="28"/>
      <w:sz w:val="60"/>
      <w:szCs w:val="56"/>
    </w:rPr>
  </w:style>
  <w:style w:type="character" w:customStyle="1" w:styleId="TitleChar">
    <w:name w:val="Title Char"/>
    <w:basedOn w:val="DefaultParagraphFont"/>
    <w:link w:val="Title"/>
    <w:uiPriority w:val="10"/>
    <w:rsid w:val="003631CF"/>
    <w:rPr>
      <w:rFonts w:asciiTheme="majorHAnsi" w:eastAsiaTheme="majorEastAsia" w:hAnsiTheme="majorHAnsi" w:cstheme="majorBidi"/>
      <w:color w:val="1A4F27" w:themeColor="accent1" w:themeShade="40"/>
      <w:spacing w:val="20"/>
      <w:kern w:val="28"/>
      <w:sz w:val="60"/>
      <w:szCs w:val="56"/>
    </w:rPr>
  </w:style>
  <w:style w:type="paragraph" w:styleId="Subtitle">
    <w:name w:val="Subtitle"/>
    <w:basedOn w:val="Normal"/>
    <w:next w:val="Normal"/>
    <w:link w:val="SubtitleChar"/>
    <w:uiPriority w:val="11"/>
    <w:rsid w:val="00E84710"/>
    <w:pPr>
      <w:spacing w:before="0" w:after="0"/>
    </w:pPr>
    <w:rPr>
      <w:rFonts w:asciiTheme="majorHAnsi" w:hAnsiTheme="majorHAnsi"/>
      <w:sz w:val="38"/>
    </w:rPr>
  </w:style>
  <w:style w:type="character" w:customStyle="1" w:styleId="SubtitleChar">
    <w:name w:val="Subtitle Char"/>
    <w:basedOn w:val="DefaultParagraphFont"/>
    <w:link w:val="Subtitle"/>
    <w:uiPriority w:val="11"/>
    <w:rsid w:val="00E84710"/>
    <w:rPr>
      <w:rFonts w:asciiTheme="majorHAnsi" w:hAnsiTheme="majorHAnsi"/>
      <w:color w:val="425563" w:themeColor="text1"/>
      <w:sz w:val="38"/>
    </w:rPr>
  </w:style>
  <w:style w:type="paragraph" w:customStyle="1" w:styleId="Header1TOC">
    <w:name w:val="Header1TOC"/>
    <w:basedOn w:val="Normal"/>
    <w:uiPriority w:val="99"/>
    <w:rsid w:val="00A43E5B"/>
    <w:pPr>
      <w:spacing w:after="0" w:line="204" w:lineRule="auto"/>
    </w:pPr>
    <w:rPr>
      <w:rFonts w:asciiTheme="majorHAnsi" w:hAnsiTheme="majorHAnsi"/>
      <w:caps/>
      <w:noProof/>
      <w:color w:val="BDE9C8" w:themeColor="accent1"/>
      <w:sz w:val="46"/>
    </w:rPr>
  </w:style>
  <w:style w:type="paragraph" w:customStyle="1" w:styleId="Header2TOC">
    <w:name w:val="Header2TOC"/>
    <w:basedOn w:val="Normal"/>
    <w:uiPriority w:val="99"/>
    <w:rsid w:val="00A43E5B"/>
    <w:pPr>
      <w:spacing w:before="0" w:after="0"/>
    </w:pPr>
    <w:rPr>
      <w:rFonts w:asciiTheme="majorHAnsi" w:hAnsiTheme="majorHAnsi"/>
      <w:caps/>
      <w:color w:val="FFFFFF" w:themeColor="background1"/>
    </w:rPr>
  </w:style>
  <w:style w:type="paragraph" w:styleId="TOCHeading">
    <w:name w:val="TOC Heading"/>
    <w:basedOn w:val="Heading1"/>
    <w:next w:val="Normal"/>
    <w:uiPriority w:val="39"/>
    <w:unhideWhenUsed/>
    <w:qFormat/>
    <w:rsid w:val="00205E24"/>
    <w:pPr>
      <w:spacing w:before="0" w:after="1200" w:line="192" w:lineRule="auto"/>
      <w:outlineLvl w:val="9"/>
    </w:pPr>
    <w:rPr>
      <w:sz w:val="52"/>
    </w:rPr>
  </w:style>
  <w:style w:type="paragraph" w:styleId="TOC1">
    <w:name w:val="toc 1"/>
    <w:basedOn w:val="Normal"/>
    <w:next w:val="Normal"/>
    <w:autoRedefine/>
    <w:uiPriority w:val="39"/>
    <w:unhideWhenUsed/>
    <w:rsid w:val="00471A1E"/>
    <w:pPr>
      <w:tabs>
        <w:tab w:val="right" w:leader="dot" w:pos="10205"/>
      </w:tabs>
      <w:spacing w:after="60"/>
      <w:ind w:left="3402"/>
    </w:pPr>
    <w:rPr>
      <w:noProof/>
    </w:rPr>
  </w:style>
  <w:style w:type="character" w:styleId="Hyperlink">
    <w:name w:val="Hyperlink"/>
    <w:basedOn w:val="DefaultParagraphFont"/>
    <w:uiPriority w:val="99"/>
    <w:unhideWhenUsed/>
    <w:rsid w:val="00331D28"/>
    <w:rPr>
      <w:color w:val="00BE6E" w:themeColor="hyperlink"/>
      <w:u w:val="single"/>
    </w:rPr>
  </w:style>
  <w:style w:type="paragraph" w:styleId="TOC2">
    <w:name w:val="toc 2"/>
    <w:basedOn w:val="Normal"/>
    <w:next w:val="Normal"/>
    <w:autoRedefine/>
    <w:uiPriority w:val="39"/>
    <w:unhideWhenUsed/>
    <w:rsid w:val="00EF34DB"/>
    <w:pPr>
      <w:tabs>
        <w:tab w:val="right" w:leader="dot" w:pos="10205"/>
      </w:tabs>
      <w:spacing w:before="80"/>
      <w:ind w:left="3731"/>
      <w:contextualSpacing/>
    </w:pPr>
    <w:rPr>
      <w:rFonts w:ascii="Barlow Light" w:hAnsi="Barlow Light"/>
      <w:noProof/>
      <w:sz w:val="18"/>
    </w:rPr>
  </w:style>
  <w:style w:type="paragraph" w:styleId="Caption">
    <w:name w:val="caption"/>
    <w:basedOn w:val="Normal"/>
    <w:next w:val="Normal"/>
    <w:uiPriority w:val="35"/>
    <w:unhideWhenUsed/>
    <w:qFormat/>
    <w:rsid w:val="00DF7715"/>
    <w:pPr>
      <w:keepNext/>
      <w:spacing w:after="40"/>
    </w:pPr>
    <w:rPr>
      <w:rFonts w:asciiTheme="majorHAnsi" w:hAnsiTheme="majorHAnsi"/>
      <w:iCs/>
      <w:sz w:val="16"/>
      <w:szCs w:val="14"/>
    </w:rPr>
  </w:style>
  <w:style w:type="table" w:styleId="GridTable5Dark-Accent1">
    <w:name w:val="Grid Table 5 Dark Accent 1"/>
    <w:basedOn w:val="TableNormal"/>
    <w:uiPriority w:val="50"/>
    <w:rsid w:val="00D2712C"/>
    <w:pPr>
      <w:spacing w:before="100" w:after="10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AF3"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DE9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E9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E9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E9C8" w:themeFill="accent1"/>
      </w:tcPr>
    </w:tblStylePr>
    <w:tblStylePr w:type="band1Vert">
      <w:tblPr/>
      <w:tcPr>
        <w:shd w:val="clear" w:color="auto" w:fill="E4F6E8" w:themeFill="accent1" w:themeFillTint="66"/>
      </w:tcPr>
    </w:tblStylePr>
    <w:tblStylePr w:type="band1Horz">
      <w:tblPr/>
      <w:tcPr>
        <w:shd w:val="clear" w:color="auto" w:fill="F1FAF3" w:themeFill="accent1" w:themeFillTint="33"/>
      </w:tcPr>
    </w:tblStylePr>
    <w:tblStylePr w:type="band2Horz">
      <w:tblPr/>
      <w:tcPr>
        <w:shd w:val="clear" w:color="auto" w:fill="E4F6E8" w:themeFill="accent1" w:themeFillTint="66"/>
      </w:tcPr>
    </w:tblStylePr>
  </w:style>
  <w:style w:type="paragraph" w:customStyle="1" w:styleId="TableText">
    <w:name w:val="TableText"/>
    <w:basedOn w:val="Tabledot2"/>
    <w:link w:val="TableTextChar"/>
    <w:uiPriority w:val="2"/>
    <w:qFormat/>
    <w:rsid w:val="008A37C1"/>
    <w:pPr>
      <w:numPr>
        <w:numId w:val="0"/>
      </w:numPr>
    </w:pPr>
  </w:style>
  <w:style w:type="paragraph" w:customStyle="1" w:styleId="TableHeader">
    <w:name w:val="TableHeader"/>
    <w:basedOn w:val="TableText"/>
    <w:uiPriority w:val="2"/>
    <w:qFormat/>
    <w:rsid w:val="00EB444A"/>
    <w:rPr>
      <w:rFonts w:asciiTheme="majorHAnsi" w:hAnsiTheme="majorHAnsi"/>
      <w:bCs/>
    </w:rPr>
  </w:style>
  <w:style w:type="paragraph" w:customStyle="1" w:styleId="TableFootnote">
    <w:name w:val="Table Footnote"/>
    <w:basedOn w:val="TableText"/>
    <w:uiPriority w:val="3"/>
    <w:qFormat/>
    <w:rsid w:val="00B23404"/>
  </w:style>
  <w:style w:type="character" w:styleId="CommentReference">
    <w:name w:val="annotation reference"/>
    <w:basedOn w:val="DefaultParagraphFont"/>
    <w:uiPriority w:val="99"/>
    <w:semiHidden/>
    <w:unhideWhenUsed/>
    <w:rsid w:val="004D4976"/>
    <w:rPr>
      <w:sz w:val="16"/>
      <w:szCs w:val="16"/>
    </w:rPr>
  </w:style>
  <w:style w:type="paragraph" w:styleId="CommentText">
    <w:name w:val="annotation text"/>
    <w:basedOn w:val="Normal"/>
    <w:link w:val="CommentTextChar"/>
    <w:uiPriority w:val="99"/>
    <w:unhideWhenUsed/>
    <w:rsid w:val="004D4976"/>
    <w:rPr>
      <w:szCs w:val="20"/>
    </w:rPr>
  </w:style>
  <w:style w:type="character" w:customStyle="1" w:styleId="CommentTextChar">
    <w:name w:val="Comment Text Char"/>
    <w:basedOn w:val="DefaultParagraphFont"/>
    <w:link w:val="CommentText"/>
    <w:uiPriority w:val="99"/>
    <w:rsid w:val="004D4976"/>
    <w:rPr>
      <w:color w:val="00BE6E" w:themeColor="text2"/>
      <w:sz w:val="20"/>
      <w:szCs w:val="20"/>
    </w:rPr>
  </w:style>
  <w:style w:type="paragraph" w:styleId="CommentSubject">
    <w:name w:val="annotation subject"/>
    <w:basedOn w:val="CommentText"/>
    <w:next w:val="CommentText"/>
    <w:link w:val="CommentSubjectChar"/>
    <w:uiPriority w:val="99"/>
    <w:semiHidden/>
    <w:unhideWhenUsed/>
    <w:rsid w:val="004D4976"/>
    <w:rPr>
      <w:b/>
      <w:bCs/>
    </w:rPr>
  </w:style>
  <w:style w:type="character" w:customStyle="1" w:styleId="CommentSubjectChar">
    <w:name w:val="Comment Subject Char"/>
    <w:basedOn w:val="CommentTextChar"/>
    <w:link w:val="CommentSubject"/>
    <w:uiPriority w:val="99"/>
    <w:semiHidden/>
    <w:rsid w:val="004D4976"/>
    <w:rPr>
      <w:b/>
      <w:bCs/>
      <w:color w:val="00BE6E" w:themeColor="text2"/>
      <w:sz w:val="20"/>
      <w:szCs w:val="20"/>
    </w:rPr>
  </w:style>
  <w:style w:type="paragraph" w:styleId="Revision">
    <w:name w:val="Revision"/>
    <w:hidden/>
    <w:uiPriority w:val="99"/>
    <w:semiHidden/>
    <w:rsid w:val="004D4976"/>
    <w:pPr>
      <w:spacing w:after="0" w:line="240" w:lineRule="auto"/>
    </w:pPr>
    <w:rPr>
      <w:color w:val="00BE6E" w:themeColor="text2"/>
      <w:sz w:val="20"/>
    </w:rPr>
  </w:style>
  <w:style w:type="paragraph" w:styleId="BalloonText">
    <w:name w:val="Balloon Text"/>
    <w:basedOn w:val="Normal"/>
    <w:link w:val="BalloonTextChar"/>
    <w:uiPriority w:val="99"/>
    <w:semiHidden/>
    <w:unhideWhenUsed/>
    <w:rsid w:val="004D497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976"/>
    <w:rPr>
      <w:rFonts w:ascii="Segoe UI" w:hAnsi="Segoe UI" w:cs="Segoe UI"/>
      <w:color w:val="00BE6E" w:themeColor="text2"/>
      <w:sz w:val="18"/>
      <w:szCs w:val="18"/>
    </w:rPr>
  </w:style>
  <w:style w:type="paragraph" w:customStyle="1" w:styleId="Footer1">
    <w:name w:val="Footer1"/>
    <w:basedOn w:val="Footer"/>
    <w:rsid w:val="00664B39"/>
    <w:rPr>
      <w:rFonts w:asciiTheme="minorHAnsi" w:hAnsiTheme="minorHAnsi"/>
      <w:color w:val="425563" w:themeColor="text1"/>
    </w:rPr>
  </w:style>
  <w:style w:type="paragraph" w:styleId="NoSpacing">
    <w:name w:val="No Spacing"/>
    <w:link w:val="NoSpacingChar"/>
    <w:uiPriority w:val="1"/>
    <w:rsid w:val="00B63C85"/>
    <w:pPr>
      <w:spacing w:after="0" w:line="240" w:lineRule="auto"/>
    </w:pPr>
    <w:rPr>
      <w:sz w:val="20"/>
    </w:rPr>
  </w:style>
  <w:style w:type="paragraph" w:styleId="Date">
    <w:name w:val="Date"/>
    <w:basedOn w:val="Normal"/>
    <w:next w:val="Normal"/>
    <w:link w:val="DateChar"/>
    <w:uiPriority w:val="99"/>
    <w:unhideWhenUsed/>
    <w:rsid w:val="00A30A35"/>
    <w:rPr>
      <w:rFonts w:asciiTheme="majorHAnsi" w:hAnsiTheme="majorHAnsi"/>
    </w:rPr>
  </w:style>
  <w:style w:type="character" w:customStyle="1" w:styleId="DateChar">
    <w:name w:val="Date Char"/>
    <w:basedOn w:val="DefaultParagraphFont"/>
    <w:link w:val="Date"/>
    <w:uiPriority w:val="99"/>
    <w:rsid w:val="00A30A35"/>
    <w:rPr>
      <w:rFonts w:asciiTheme="majorHAnsi" w:hAnsiTheme="majorHAnsi"/>
      <w:color w:val="425563" w:themeColor="text1"/>
      <w:sz w:val="20"/>
    </w:rPr>
  </w:style>
  <w:style w:type="paragraph" w:customStyle="1" w:styleId="P1Footer1">
    <w:name w:val="P1 Footer 1"/>
    <w:basedOn w:val="Normal"/>
    <w:rsid w:val="00A30A35"/>
    <w:pPr>
      <w:spacing w:before="0" w:after="0"/>
    </w:pPr>
    <w:rPr>
      <w:rFonts w:asciiTheme="majorHAnsi" w:hAnsiTheme="majorHAnsi"/>
      <w:color w:val="00BE6E" w:themeColor="text2"/>
      <w:sz w:val="17"/>
    </w:rPr>
  </w:style>
  <w:style w:type="paragraph" w:customStyle="1" w:styleId="P1Footer2">
    <w:name w:val="P1 Footer 2"/>
    <w:basedOn w:val="Normal"/>
    <w:qFormat/>
    <w:rsid w:val="00A30A35"/>
    <w:pPr>
      <w:spacing w:before="0" w:after="0"/>
    </w:pPr>
    <w:rPr>
      <w:sz w:val="15"/>
    </w:rPr>
  </w:style>
  <w:style w:type="character" w:styleId="UnresolvedMention">
    <w:name w:val="Unresolved Mention"/>
    <w:basedOn w:val="DefaultParagraphFont"/>
    <w:uiPriority w:val="99"/>
    <w:semiHidden/>
    <w:unhideWhenUsed/>
    <w:rsid w:val="00E84710"/>
    <w:rPr>
      <w:color w:val="605E5C"/>
      <w:shd w:val="clear" w:color="auto" w:fill="E1DFDD"/>
    </w:rPr>
  </w:style>
  <w:style w:type="table" w:customStyle="1" w:styleId="WTTable1">
    <w:name w:val="WT Table 1"/>
    <w:basedOn w:val="TableNormal"/>
    <w:uiPriority w:val="99"/>
    <w:rsid w:val="00742E6E"/>
    <w:pPr>
      <w:spacing w:after="0" w:line="240" w:lineRule="auto"/>
    </w:pPr>
    <w:tblPr>
      <w:tblStyleRowBandSize w:val="1"/>
      <w:tblBorders>
        <w:insideH w:val="single" w:sz="4" w:space="0" w:color="FFFFFF" w:themeColor="background1"/>
        <w:insideV w:val="single" w:sz="4" w:space="0" w:color="FFFFFF" w:themeColor="background1"/>
      </w:tblBorders>
    </w:tblPr>
    <w:tcPr>
      <w:shd w:val="clear" w:color="auto" w:fill="F6F9F7"/>
    </w:tcPr>
    <w:tblStylePr w:type="firstRow">
      <w:rPr>
        <w:color w:val="FFFFFF" w:themeColor="background1"/>
      </w:rPr>
      <w:tblPr/>
      <w:trPr>
        <w:cantSplit/>
        <w:tblHeader/>
      </w:trPr>
      <w:tcPr>
        <w:tcBorders>
          <w:top w:val="nil"/>
          <w:left w:val="nil"/>
          <w:bottom w:val="nil"/>
          <w:right w:val="nil"/>
          <w:insideH w:val="nil"/>
          <w:insideV w:val="single" w:sz="12" w:space="0" w:color="FFFFFF" w:themeColor="background1"/>
          <w:tl2br w:val="nil"/>
          <w:tr2bl w:val="nil"/>
        </w:tcBorders>
        <w:shd w:val="clear" w:color="auto" w:fill="00BE6E" w:themeFill="text2"/>
      </w:tcPr>
    </w:tblStylePr>
    <w:tblStylePr w:type="lastRow">
      <w:rPr>
        <w:rFonts w:asciiTheme="majorHAnsi" w:hAnsiTheme="majorHAnsi"/>
      </w:rPr>
    </w:tblStylePr>
    <w:tblStylePr w:type="firstCol">
      <w:rPr>
        <w:rFonts w:asciiTheme="majorHAnsi" w:hAnsiTheme="majorHAnsi"/>
      </w:rPr>
    </w:tblStylePr>
  </w:style>
  <w:style w:type="character" w:customStyle="1" w:styleId="Heading4Char">
    <w:name w:val="Heading 4 Char"/>
    <w:basedOn w:val="DefaultParagraphFont"/>
    <w:link w:val="Heading4"/>
    <w:uiPriority w:val="9"/>
    <w:rsid w:val="00CE1B72"/>
    <w:rPr>
      <w:rFonts w:asciiTheme="majorHAnsi" w:eastAsiaTheme="majorEastAsia" w:hAnsiTheme="majorHAnsi" w:cstheme="majorBidi"/>
      <w:iCs/>
      <w:color w:val="425563" w:themeColor="text1"/>
      <w:sz w:val="32"/>
    </w:rPr>
  </w:style>
  <w:style w:type="character" w:customStyle="1" w:styleId="Heading5Char">
    <w:name w:val="Heading 5 Char"/>
    <w:basedOn w:val="DefaultParagraphFont"/>
    <w:link w:val="Heading5"/>
    <w:uiPriority w:val="9"/>
    <w:rsid w:val="00CE1B72"/>
    <w:rPr>
      <w:rFonts w:asciiTheme="majorHAnsi" w:eastAsiaTheme="majorEastAsia" w:hAnsiTheme="majorHAnsi" w:cstheme="majorBidi"/>
      <w:color w:val="425563" w:themeColor="text1"/>
      <w:sz w:val="28"/>
      <w:szCs w:val="24"/>
    </w:rPr>
  </w:style>
  <w:style w:type="paragraph" w:customStyle="1" w:styleId="SectionHeading">
    <w:name w:val="Section Heading"/>
    <w:basedOn w:val="Heading1"/>
    <w:uiPriority w:val="8"/>
    <w:qFormat/>
    <w:rsid w:val="00471A1E"/>
    <w:pPr>
      <w:spacing w:before="120" w:after="0"/>
      <w:outlineLvl w:val="9"/>
    </w:pPr>
    <w:rPr>
      <w:sz w:val="60"/>
    </w:rPr>
  </w:style>
  <w:style w:type="paragraph" w:styleId="EndnoteText">
    <w:name w:val="endnote text"/>
    <w:basedOn w:val="Normal"/>
    <w:link w:val="EndnoteTextChar"/>
    <w:uiPriority w:val="99"/>
    <w:semiHidden/>
    <w:unhideWhenUsed/>
    <w:rsid w:val="003D6AC9"/>
    <w:pPr>
      <w:spacing w:before="0" w:after="0"/>
    </w:pPr>
    <w:rPr>
      <w:szCs w:val="20"/>
    </w:rPr>
  </w:style>
  <w:style w:type="character" w:customStyle="1" w:styleId="EndnoteTextChar">
    <w:name w:val="Endnote Text Char"/>
    <w:basedOn w:val="DefaultParagraphFont"/>
    <w:link w:val="EndnoteText"/>
    <w:uiPriority w:val="99"/>
    <w:semiHidden/>
    <w:rsid w:val="003D6AC9"/>
    <w:rPr>
      <w:color w:val="425563" w:themeColor="text1"/>
      <w:sz w:val="20"/>
      <w:szCs w:val="20"/>
    </w:rPr>
  </w:style>
  <w:style w:type="character" w:styleId="EndnoteReference">
    <w:name w:val="endnote reference"/>
    <w:basedOn w:val="DefaultParagraphFont"/>
    <w:uiPriority w:val="99"/>
    <w:semiHidden/>
    <w:unhideWhenUsed/>
    <w:rsid w:val="003D6AC9"/>
    <w:rPr>
      <w:vertAlign w:val="superscript"/>
    </w:rPr>
  </w:style>
  <w:style w:type="paragraph" w:customStyle="1" w:styleId="ResearchQuote">
    <w:name w:val="Research Quote"/>
    <w:basedOn w:val="Normal"/>
    <w:rsid w:val="001F10BB"/>
    <w:pPr>
      <w:spacing w:before="0" w:after="240"/>
    </w:pPr>
    <w:rPr>
      <w:rFonts w:ascii="Barlow Light" w:hAnsi="Barlow Light"/>
      <w:sz w:val="24"/>
    </w:rPr>
  </w:style>
  <w:style w:type="paragraph" w:customStyle="1" w:styleId="DividerDots">
    <w:name w:val="Divider Dots"/>
    <w:basedOn w:val="ResearchQuote"/>
    <w:rsid w:val="00EC493B"/>
    <w:pPr>
      <w:pBdr>
        <w:bottom w:val="dotted" w:sz="18" w:space="1" w:color="00BE6E" w:themeColor="text2"/>
      </w:pBdr>
    </w:pPr>
    <w:rPr>
      <w:sz w:val="20"/>
      <w:szCs w:val="24"/>
    </w:rPr>
  </w:style>
  <w:style w:type="paragraph" w:customStyle="1" w:styleId="Quotemarkpara12">
    <w:name w:val="Quotemark para 12"/>
    <w:basedOn w:val="Normal"/>
    <w:rsid w:val="00EC493B"/>
    <w:pPr>
      <w:spacing w:before="240"/>
    </w:pPr>
    <w:rPr>
      <w:noProof/>
    </w:rPr>
  </w:style>
  <w:style w:type="paragraph" w:customStyle="1" w:styleId="Quotemarkpara14">
    <w:name w:val="Quotemark para 14"/>
    <w:basedOn w:val="Normal"/>
    <w:rsid w:val="00EC493B"/>
    <w:pPr>
      <w:spacing w:before="480"/>
    </w:pPr>
  </w:style>
  <w:style w:type="table" w:customStyle="1" w:styleId="WTTable2">
    <w:name w:val="WT Table 2"/>
    <w:basedOn w:val="TableNormal"/>
    <w:uiPriority w:val="99"/>
    <w:rsid w:val="00751CC1"/>
    <w:pPr>
      <w:spacing w:after="0" w:line="240" w:lineRule="auto"/>
    </w:pPr>
    <w:tblPr>
      <w:tblStyleRowBandSize w:val="1"/>
      <w:tblBorders>
        <w:insideH w:val="single" w:sz="4" w:space="0" w:color="FFFFFF" w:themeColor="background1"/>
        <w:insideV w:val="single" w:sz="4" w:space="0" w:color="FFFFFF" w:themeColor="background1"/>
      </w:tblBorders>
    </w:tblPr>
    <w:tcPr>
      <w:shd w:val="clear" w:color="auto" w:fill="F6F9F7"/>
    </w:tcPr>
    <w:tblStylePr w:type="firstRow">
      <w:rPr>
        <w:color w:val="FFFFFF" w:themeColor="background1"/>
      </w:rPr>
      <w:tblPr/>
      <w:trPr>
        <w:cantSplit/>
        <w:tblHeader/>
      </w:trPr>
      <w:tcPr>
        <w:shd w:val="clear" w:color="auto" w:fill="425563" w:themeFill="text1"/>
      </w:tcPr>
    </w:tblStylePr>
    <w:tblStylePr w:type="lastRow">
      <w:rPr>
        <w:rFonts w:asciiTheme="majorHAnsi" w:hAnsiTheme="majorHAnsi"/>
      </w:rPr>
    </w:tblStylePr>
    <w:tblStylePr w:type="firstCol">
      <w:rPr>
        <w:rFonts w:asciiTheme="majorHAnsi" w:hAnsiTheme="majorHAnsi"/>
      </w:rPr>
    </w:tblStylePr>
  </w:style>
  <w:style w:type="table" w:customStyle="1" w:styleId="WTTable3">
    <w:name w:val="WT Table 3"/>
    <w:basedOn w:val="TableNormal"/>
    <w:uiPriority w:val="99"/>
    <w:rsid w:val="009C5E19"/>
    <w:pPr>
      <w:spacing w:after="0" w:line="240" w:lineRule="auto"/>
    </w:pPr>
    <w:rPr>
      <w:color w:val="425563" w:themeColor="text1"/>
    </w:rPr>
    <w:tblPr>
      <w:tblStyleRowBandSize w:val="1"/>
      <w:tblBorders>
        <w:insideH w:val="single" w:sz="4" w:space="0" w:color="00BE6E" w:themeColor="text2"/>
        <w:insideV w:val="single" w:sz="4" w:space="0" w:color="00BE6E" w:themeColor="text2"/>
      </w:tblBorders>
    </w:tblPr>
    <w:tcPr>
      <w:shd w:val="clear" w:color="auto" w:fill="auto"/>
    </w:tcPr>
    <w:tblStylePr w:type="firstRow">
      <w:rPr>
        <w:rFonts w:asciiTheme="majorHAnsi" w:hAnsiTheme="majorHAnsi"/>
        <w:color w:val="425563" w:themeColor="text1"/>
      </w:rPr>
      <w:tblPr/>
      <w:trPr>
        <w:cantSplit/>
        <w:tblHeader/>
      </w:trPr>
    </w:tblStylePr>
    <w:tblStylePr w:type="lastRow">
      <w:rPr>
        <w:rFonts w:asciiTheme="majorHAnsi" w:hAnsiTheme="majorHAnsi"/>
      </w:rPr>
    </w:tblStylePr>
    <w:tblStylePr w:type="firstCol">
      <w:rPr>
        <w:rFonts w:asciiTheme="majorHAnsi" w:hAnsiTheme="majorHAnsi"/>
        <w:color w:val="425563" w:themeColor="text1"/>
      </w:rPr>
      <w:tblPr/>
      <w:tcPr>
        <w:tcBorders>
          <w:insideH w:val="single" w:sz="4" w:space="0" w:color="00BE6E" w:themeColor="text2"/>
        </w:tcBorders>
        <w:shd w:val="clear" w:color="auto" w:fill="auto"/>
      </w:tcPr>
    </w:tblStylePr>
  </w:style>
  <w:style w:type="character" w:customStyle="1" w:styleId="Heading6Char">
    <w:name w:val="Heading 6 Char"/>
    <w:basedOn w:val="DefaultParagraphFont"/>
    <w:link w:val="Heading6"/>
    <w:uiPriority w:val="9"/>
    <w:rsid w:val="00CE1B72"/>
    <w:rPr>
      <w:rFonts w:asciiTheme="majorHAnsi" w:eastAsiaTheme="majorEastAsia" w:hAnsiTheme="majorHAnsi" w:cstheme="majorBidi"/>
      <w:color w:val="425563" w:themeColor="text1"/>
      <w:sz w:val="24"/>
    </w:rPr>
  </w:style>
  <w:style w:type="paragraph" w:customStyle="1" w:styleId="QuoteAttribution">
    <w:name w:val="Quote Attribution"/>
    <w:rsid w:val="004C32B6"/>
    <w:pPr>
      <w:spacing w:line="240" w:lineRule="auto"/>
      <w:jc w:val="center"/>
    </w:pPr>
    <w:rPr>
      <w:rFonts w:asciiTheme="majorHAnsi" w:eastAsiaTheme="majorEastAsia" w:hAnsiTheme="majorHAnsi" w:cstheme="majorBidi"/>
      <w:color w:val="00BE6E" w:themeColor="text2"/>
      <w:sz w:val="20"/>
    </w:rPr>
  </w:style>
  <w:style w:type="paragraph" w:customStyle="1" w:styleId="QuoteText">
    <w:name w:val="Quote Text"/>
    <w:basedOn w:val="Normal"/>
    <w:qFormat/>
    <w:rsid w:val="00B16E39"/>
    <w:pPr>
      <w:spacing w:before="60" w:after="60"/>
      <w:ind w:left="1418"/>
      <w:jc w:val="center"/>
    </w:pPr>
    <w:rPr>
      <w:i/>
      <w:noProof/>
    </w:rPr>
  </w:style>
  <w:style w:type="table" w:styleId="TableGridLight">
    <w:name w:val="Grid Table Light"/>
    <w:basedOn w:val="TableNormal"/>
    <w:uiPriority w:val="40"/>
    <w:rsid w:val="00592D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592DC5"/>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592DC5"/>
  </w:style>
  <w:style w:type="character" w:customStyle="1" w:styleId="eop">
    <w:name w:val="eop"/>
    <w:basedOn w:val="DefaultParagraphFont"/>
    <w:rsid w:val="00592DC5"/>
  </w:style>
  <w:style w:type="paragraph" w:styleId="ListParagraph">
    <w:name w:val="List Paragraph"/>
    <w:aliases w:val="Number,Recommendation,List Paragraph1,List Paragraph11,L,b,Bullet,NAST Quote,Body Bullets 1,Bullet Point,Bullet point,Bullet points,Content descriptions,0Bullet,Bulletr List Paragraph,FooterText,Indented bullet,List Paragraph Number,b1,列"/>
    <w:basedOn w:val="Normal"/>
    <w:link w:val="ListParagraphChar"/>
    <w:qFormat/>
    <w:rsid w:val="00592DC5"/>
    <w:pPr>
      <w:ind w:left="720"/>
      <w:contextualSpacing/>
    </w:pPr>
  </w:style>
  <w:style w:type="paragraph" w:styleId="NormalWeb">
    <w:name w:val="Normal (Web)"/>
    <w:basedOn w:val="Normal"/>
    <w:uiPriority w:val="99"/>
    <w:semiHidden/>
    <w:unhideWhenUsed/>
    <w:rsid w:val="00592DC5"/>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592DC5"/>
    <w:rPr>
      <w:color w:val="605E5C"/>
      <w:shd w:val="clear" w:color="auto" w:fill="E1DFDD"/>
    </w:rPr>
  </w:style>
  <w:style w:type="character" w:customStyle="1" w:styleId="Bold">
    <w:name w:val="Bold"/>
    <w:basedOn w:val="DefaultParagraphFont"/>
    <w:uiPriority w:val="1"/>
    <w:rsid w:val="00592DC5"/>
    <w:rPr>
      <w:rFonts w:asciiTheme="majorHAnsi" w:hAnsiTheme="majorHAnsi"/>
      <w:color w:val="0A2010" w:themeColor="accent1" w:themeShade="1A"/>
    </w:rPr>
  </w:style>
  <w:style w:type="paragraph" w:styleId="ListBullet">
    <w:name w:val="List Bullet"/>
    <w:basedOn w:val="Normal"/>
    <w:link w:val="ListBulletChar"/>
    <w:uiPriority w:val="99"/>
    <w:unhideWhenUsed/>
    <w:rsid w:val="00592DC5"/>
    <w:pPr>
      <w:widowControl w:val="0"/>
      <w:numPr>
        <w:numId w:val="2"/>
      </w:numPr>
      <w:spacing w:before="0" w:line="264" w:lineRule="auto"/>
      <w:ind w:right="424"/>
      <w:contextualSpacing/>
    </w:pPr>
    <w:rPr>
      <w:rFonts w:ascii="Calibri" w:hAnsi="Calibri" w:cstheme="minorHAnsi"/>
      <w:color w:val="111111"/>
      <w:sz w:val="22"/>
      <w:lang w:val="en-US"/>
    </w:rPr>
  </w:style>
  <w:style w:type="character" w:customStyle="1" w:styleId="ListBulletChar">
    <w:name w:val="List Bullet Char"/>
    <w:basedOn w:val="DefaultParagraphFont"/>
    <w:link w:val="ListBullet"/>
    <w:uiPriority w:val="99"/>
    <w:rsid w:val="00592DC5"/>
    <w:rPr>
      <w:rFonts w:ascii="Calibri" w:hAnsi="Calibri" w:cstheme="minorHAnsi"/>
      <w:color w:val="111111"/>
      <w:lang w:val="en-US"/>
    </w:rPr>
  </w:style>
  <w:style w:type="table" w:styleId="GridTable1Light-Accent1">
    <w:name w:val="Grid Table 1 Light Accent 1"/>
    <w:basedOn w:val="TableNormal"/>
    <w:uiPriority w:val="46"/>
    <w:rsid w:val="00592DC5"/>
    <w:pPr>
      <w:spacing w:after="0" w:line="240" w:lineRule="auto"/>
    </w:pPr>
    <w:tblPr>
      <w:tblStyleRowBandSize w:val="1"/>
      <w:tblStyleColBandSize w:val="1"/>
      <w:tblBorders>
        <w:top w:val="single" w:sz="4" w:space="0" w:color="E4F6E8" w:themeColor="accent1" w:themeTint="66"/>
        <w:left w:val="single" w:sz="4" w:space="0" w:color="E4F6E8" w:themeColor="accent1" w:themeTint="66"/>
        <w:bottom w:val="single" w:sz="4" w:space="0" w:color="E4F6E8" w:themeColor="accent1" w:themeTint="66"/>
        <w:right w:val="single" w:sz="4" w:space="0" w:color="E4F6E8" w:themeColor="accent1" w:themeTint="66"/>
        <w:insideH w:val="single" w:sz="4" w:space="0" w:color="E4F6E8" w:themeColor="accent1" w:themeTint="66"/>
        <w:insideV w:val="single" w:sz="4" w:space="0" w:color="E4F6E8" w:themeColor="accent1" w:themeTint="66"/>
      </w:tblBorders>
    </w:tblPr>
    <w:tblStylePr w:type="firstRow">
      <w:rPr>
        <w:b/>
        <w:bCs/>
      </w:rPr>
      <w:tblPr/>
      <w:tcPr>
        <w:tcBorders>
          <w:bottom w:val="single" w:sz="12" w:space="0" w:color="D7F1DD" w:themeColor="accent1" w:themeTint="99"/>
        </w:tcBorders>
      </w:tcPr>
    </w:tblStylePr>
    <w:tblStylePr w:type="lastRow">
      <w:rPr>
        <w:b/>
        <w:bCs/>
      </w:rPr>
      <w:tblPr/>
      <w:tcPr>
        <w:tcBorders>
          <w:top w:val="double" w:sz="2" w:space="0" w:color="D7F1DD" w:themeColor="accent1" w:themeTint="99"/>
        </w:tcBorders>
      </w:tcPr>
    </w:tblStylePr>
    <w:tblStylePr w:type="firstCol">
      <w:rPr>
        <w:b/>
        <w:bCs/>
      </w:rPr>
    </w:tblStylePr>
    <w:tblStylePr w:type="lastCol">
      <w:rPr>
        <w:b/>
        <w:bCs/>
      </w:rPr>
    </w:tblStylePr>
  </w:style>
  <w:style w:type="paragraph" w:customStyle="1" w:styleId="Tabledot">
    <w:name w:val="Table dot"/>
    <w:basedOn w:val="ListBullet"/>
    <w:link w:val="TabledotChar"/>
    <w:rsid w:val="00592DC5"/>
    <w:pPr>
      <w:numPr>
        <w:numId w:val="4"/>
      </w:numPr>
      <w:tabs>
        <w:tab w:val="num" w:pos="321"/>
      </w:tabs>
      <w:spacing w:after="80" w:line="240" w:lineRule="auto"/>
      <w:contextualSpacing w:val="0"/>
    </w:pPr>
  </w:style>
  <w:style w:type="character" w:customStyle="1" w:styleId="TabledotChar">
    <w:name w:val="Table dot Char"/>
    <w:basedOn w:val="ListBulletChar"/>
    <w:link w:val="Tabledot"/>
    <w:rsid w:val="00592DC5"/>
    <w:rPr>
      <w:rFonts w:ascii="Calibri" w:hAnsi="Calibri" w:cstheme="minorHAnsi"/>
      <w:color w:val="111111"/>
      <w:lang w:val="en-US"/>
    </w:rPr>
  </w:style>
  <w:style w:type="paragraph" w:styleId="FootnoteText">
    <w:name w:val="footnote text"/>
    <w:basedOn w:val="Normal"/>
    <w:link w:val="FootnoteTextChar"/>
    <w:uiPriority w:val="99"/>
    <w:unhideWhenUsed/>
    <w:rsid w:val="00592DC5"/>
    <w:pPr>
      <w:widowControl w:val="0"/>
      <w:spacing w:before="0" w:after="0"/>
      <w:ind w:right="424"/>
    </w:pPr>
    <w:rPr>
      <w:rFonts w:ascii="Calibri" w:hAnsi="Calibri" w:cstheme="minorHAnsi"/>
      <w:color w:val="111111"/>
      <w:szCs w:val="20"/>
    </w:rPr>
  </w:style>
  <w:style w:type="character" w:customStyle="1" w:styleId="FootnoteTextChar">
    <w:name w:val="Footnote Text Char"/>
    <w:basedOn w:val="DefaultParagraphFont"/>
    <w:link w:val="FootnoteText"/>
    <w:uiPriority w:val="99"/>
    <w:rsid w:val="00592DC5"/>
    <w:rPr>
      <w:rFonts w:ascii="Calibri" w:hAnsi="Calibri" w:cstheme="minorHAnsi"/>
      <w:color w:val="111111"/>
      <w:sz w:val="20"/>
      <w:szCs w:val="20"/>
    </w:rPr>
  </w:style>
  <w:style w:type="character" w:styleId="FootnoteReference">
    <w:name w:val="footnote reference"/>
    <w:basedOn w:val="DefaultParagraphFont"/>
    <w:uiPriority w:val="99"/>
    <w:unhideWhenUsed/>
    <w:rsid w:val="00592DC5"/>
    <w:rPr>
      <w:vertAlign w:val="superscript"/>
    </w:rPr>
  </w:style>
  <w:style w:type="paragraph" w:customStyle="1" w:styleId="4Heading">
    <w:name w:val="4Heading"/>
    <w:basedOn w:val="Normal"/>
    <w:link w:val="4HeadingChar"/>
    <w:rsid w:val="00592DC5"/>
    <w:pPr>
      <w:widowControl w:val="0"/>
      <w:spacing w:before="240" w:after="180" w:line="264" w:lineRule="auto"/>
      <w:ind w:right="424"/>
    </w:pPr>
    <w:rPr>
      <w:rFonts w:ascii="Calibri" w:eastAsia="Times New Roman" w:hAnsi="Calibri" w:cs="Calibri"/>
      <w:b/>
      <w:bCs/>
      <w:color w:val="1A4F27" w:themeColor="accent1" w:themeShade="40"/>
      <w:sz w:val="22"/>
      <w:lang w:eastAsia="en-AU"/>
    </w:rPr>
  </w:style>
  <w:style w:type="character" w:customStyle="1" w:styleId="4HeadingChar">
    <w:name w:val="4Heading Char"/>
    <w:basedOn w:val="DefaultParagraphFont"/>
    <w:link w:val="4Heading"/>
    <w:rsid w:val="00592DC5"/>
    <w:rPr>
      <w:rFonts w:ascii="Calibri" w:eastAsia="Times New Roman" w:hAnsi="Calibri" w:cs="Calibri"/>
      <w:b/>
      <w:bCs/>
      <w:color w:val="1A4F27" w:themeColor="accent1" w:themeShade="40"/>
      <w:lang w:eastAsia="en-AU"/>
    </w:rPr>
  </w:style>
  <w:style w:type="paragraph" w:styleId="ListBullet2">
    <w:name w:val="List Bullet 2"/>
    <w:basedOn w:val="Normal"/>
    <w:uiPriority w:val="99"/>
    <w:unhideWhenUsed/>
    <w:rsid w:val="00592DC5"/>
    <w:pPr>
      <w:widowControl w:val="0"/>
      <w:tabs>
        <w:tab w:val="num" w:pos="7873"/>
      </w:tabs>
      <w:spacing w:before="0" w:line="264" w:lineRule="auto"/>
      <w:ind w:left="7873" w:right="424" w:hanging="360"/>
      <w:contextualSpacing/>
    </w:pPr>
    <w:rPr>
      <w:rFonts w:ascii="Calibri" w:hAnsi="Calibri" w:cs="Calibri"/>
      <w:sz w:val="22"/>
    </w:rPr>
  </w:style>
  <w:style w:type="character" w:styleId="Strong">
    <w:name w:val="Strong"/>
    <w:basedOn w:val="DefaultParagraphFont"/>
    <w:uiPriority w:val="22"/>
    <w:rsid w:val="00592DC5"/>
    <w:rPr>
      <w:b/>
      <w:bCs/>
    </w:rPr>
  </w:style>
  <w:style w:type="paragraph" w:customStyle="1" w:styleId="ng-binding">
    <w:name w:val="ng-binding"/>
    <w:basedOn w:val="Normal"/>
    <w:rsid w:val="00592DC5"/>
    <w:pPr>
      <w:widowControl w:val="0"/>
      <w:spacing w:before="100" w:beforeAutospacing="1" w:after="100" w:afterAutospacing="1"/>
      <w:ind w:right="424"/>
    </w:pPr>
    <w:rPr>
      <w:rFonts w:ascii="Times New Roman" w:eastAsia="Times New Roman" w:hAnsi="Times New Roman" w:cs="Times New Roman"/>
      <w:color w:val="auto"/>
      <w:sz w:val="22"/>
      <w:lang w:eastAsia="en-AU"/>
    </w:rPr>
  </w:style>
  <w:style w:type="paragraph" w:customStyle="1" w:styleId="Dotpoint">
    <w:name w:val="Dot point"/>
    <w:basedOn w:val="ListParagraph"/>
    <w:link w:val="DotpointChar"/>
    <w:rsid w:val="00592DC5"/>
    <w:pPr>
      <w:widowControl w:val="0"/>
      <w:numPr>
        <w:numId w:val="3"/>
      </w:numPr>
      <w:spacing w:before="0" w:line="264" w:lineRule="auto"/>
      <w:ind w:right="424"/>
      <w:contextualSpacing w:val="0"/>
    </w:pPr>
    <w:rPr>
      <w:rFonts w:ascii="Calibri" w:eastAsiaTheme="minorEastAsia" w:hAnsi="Calibri" w:cs="Calibri"/>
      <w:sz w:val="22"/>
    </w:rPr>
  </w:style>
  <w:style w:type="character" w:customStyle="1" w:styleId="DotpointChar">
    <w:name w:val="Dot point Char"/>
    <w:basedOn w:val="DefaultParagraphFont"/>
    <w:link w:val="Dotpoint"/>
    <w:rsid w:val="00592DC5"/>
    <w:rPr>
      <w:rFonts w:ascii="Calibri" w:eastAsiaTheme="minorEastAsia" w:hAnsi="Calibri" w:cs="Calibri"/>
      <w:color w:val="000000"/>
    </w:rPr>
  </w:style>
  <w:style w:type="paragraph" w:customStyle="1" w:styleId="Dotpoint1">
    <w:name w:val="Dot point 1"/>
    <w:basedOn w:val="CCS-Bullet"/>
    <w:link w:val="Dotpoint1Char"/>
    <w:rsid w:val="00592DC5"/>
    <w:pPr>
      <w:ind w:left="426" w:hanging="284"/>
      <w:contextualSpacing/>
    </w:pPr>
  </w:style>
  <w:style w:type="character" w:customStyle="1" w:styleId="Dotpoint1Char">
    <w:name w:val="Dot point 1 Char"/>
    <w:basedOn w:val="DefaultParagraphFont"/>
    <w:link w:val="Dotpoint1"/>
    <w:rsid w:val="00592DC5"/>
    <w:rPr>
      <w:rFonts w:ascii="Calibri" w:hAnsi="Calibri" w:cs="Calibri"/>
      <w:color w:val="111111"/>
    </w:rPr>
  </w:style>
  <w:style w:type="paragraph" w:customStyle="1" w:styleId="CCS-Bullet">
    <w:name w:val="CCS-Bullet"/>
    <w:basedOn w:val="Normal"/>
    <w:rsid w:val="00592DC5"/>
    <w:pPr>
      <w:widowControl w:val="0"/>
      <w:numPr>
        <w:numId w:val="5"/>
      </w:numPr>
      <w:spacing w:before="0" w:line="264" w:lineRule="auto"/>
      <w:ind w:right="424"/>
    </w:pPr>
    <w:rPr>
      <w:rFonts w:ascii="Calibri" w:hAnsi="Calibri" w:cs="Calibri"/>
      <w:color w:val="111111"/>
      <w:sz w:val="22"/>
    </w:rPr>
  </w:style>
  <w:style w:type="table" w:customStyle="1" w:styleId="TableGridLight1">
    <w:name w:val="Table Grid Light1"/>
    <w:basedOn w:val="TableNormal"/>
    <w:uiPriority w:val="40"/>
    <w:rsid w:val="00592DC5"/>
    <w:pPr>
      <w:spacing w:after="0" w:line="240" w:lineRule="auto"/>
    </w:pPr>
    <w:rPr>
      <w:rFonts w:eastAsia="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Col">
      <w:rPr>
        <w:b/>
      </w:rPr>
      <w:tblPr/>
      <w:tcPr>
        <w:shd w:val="clear" w:color="auto" w:fill="BDE9C8" w:themeFill="accent1"/>
      </w:tcPr>
    </w:tblStylePr>
  </w:style>
  <w:style w:type="paragraph" w:customStyle="1" w:styleId="EndNoteBibliography">
    <w:name w:val="EndNote Bibliography"/>
    <w:basedOn w:val="Normal"/>
    <w:link w:val="EndNoteBibliographyChar"/>
    <w:rsid w:val="00592DC5"/>
    <w:pPr>
      <w:widowControl w:val="0"/>
      <w:spacing w:before="0" w:after="160"/>
      <w:ind w:right="424"/>
    </w:pPr>
    <w:rPr>
      <w:rFonts w:ascii="Calibri" w:hAnsi="Calibri" w:cs="Calibri"/>
      <w:noProof/>
      <w:color w:val="auto"/>
      <w:sz w:val="22"/>
      <w:lang w:val="en-US"/>
    </w:rPr>
  </w:style>
  <w:style w:type="character" w:customStyle="1" w:styleId="EndNoteBibliographyChar">
    <w:name w:val="EndNote Bibliography Char"/>
    <w:basedOn w:val="DefaultParagraphFont"/>
    <w:link w:val="EndNoteBibliography"/>
    <w:rsid w:val="00592DC5"/>
    <w:rPr>
      <w:rFonts w:ascii="Calibri" w:hAnsi="Calibri" w:cs="Calibri"/>
      <w:noProof/>
      <w:lang w:val="en-US"/>
    </w:rPr>
  </w:style>
  <w:style w:type="table" w:customStyle="1" w:styleId="2">
    <w:name w:val="2"/>
    <w:basedOn w:val="TableNormal"/>
    <w:rsid w:val="00592DC5"/>
    <w:pPr>
      <w:spacing w:before="20" w:after="20" w:line="336" w:lineRule="auto"/>
      <w:jc w:val="right"/>
    </w:pPr>
    <w:rPr>
      <w:rFonts w:ascii="Helvetica Neue" w:eastAsia="Helvetica Neue" w:hAnsi="Helvetica Neue" w:cs="Helvetica Neue"/>
      <w:b/>
      <w:color w:val="000000"/>
      <w:sz w:val="18"/>
      <w:szCs w:val="18"/>
      <w:lang w:eastAsia="en-AU"/>
    </w:rPr>
    <w:tblPr>
      <w:tblStyleRowBandSize w:val="1"/>
      <w:tblStyleColBandSize w:val="1"/>
      <w:tblCellMar>
        <w:left w:w="115" w:type="dxa"/>
        <w:right w:w="115" w:type="dxa"/>
      </w:tblCellMar>
    </w:tblPr>
    <w:tcPr>
      <w:shd w:val="clear" w:color="auto" w:fill="auto"/>
    </w:tcPr>
    <w:tblStylePr w:type="firstRow">
      <w:rPr>
        <w:rFonts w:ascii="PMingLiU-ExtB" w:eastAsia="PMingLiU-ExtB" w:hAnsi="PMingLiU-ExtB" w:cs="PMingLiU-ExtB"/>
      </w:rPr>
      <w:tblPr/>
      <w:tcPr>
        <w:shd w:val="clear" w:color="auto" w:fill="202020"/>
      </w:tcPr>
    </w:tblStylePr>
  </w:style>
  <w:style w:type="paragraph" w:customStyle="1" w:styleId="Default">
    <w:name w:val="Default"/>
    <w:rsid w:val="00592DC5"/>
    <w:pPr>
      <w:autoSpaceDE w:val="0"/>
      <w:autoSpaceDN w:val="0"/>
      <w:adjustRightInd w:val="0"/>
      <w:spacing w:after="0" w:line="240" w:lineRule="auto"/>
    </w:pPr>
    <w:rPr>
      <w:rFonts w:ascii="Calibri" w:hAnsi="Calibri" w:cs="Calibri"/>
      <w:color w:val="000000"/>
      <w:sz w:val="24"/>
      <w:szCs w:val="24"/>
    </w:rPr>
  </w:style>
  <w:style w:type="character" w:customStyle="1" w:styleId="Mention1">
    <w:name w:val="Mention1"/>
    <w:basedOn w:val="DefaultParagraphFont"/>
    <w:uiPriority w:val="99"/>
    <w:unhideWhenUsed/>
    <w:rsid w:val="00592DC5"/>
    <w:rPr>
      <w:color w:val="2B579A"/>
      <w:shd w:val="clear" w:color="auto" w:fill="E1DFDD"/>
    </w:rPr>
  </w:style>
  <w:style w:type="character" w:customStyle="1" w:styleId="A22">
    <w:name w:val="A22"/>
    <w:uiPriority w:val="99"/>
    <w:rsid w:val="00592DC5"/>
    <w:rPr>
      <w:rFonts w:ascii="Open Sans Light" w:hAnsi="Open Sans Light" w:cs="Open Sans Light" w:hint="default"/>
      <w:color w:val="221E1F"/>
      <w:sz w:val="16"/>
      <w:szCs w:val="16"/>
    </w:rPr>
  </w:style>
  <w:style w:type="paragraph" w:customStyle="1" w:styleId="Footnotedot">
    <w:name w:val="Footnote dot"/>
    <w:basedOn w:val="FootnoteText"/>
    <w:link w:val="FootnotedotChar"/>
    <w:rsid w:val="00592DC5"/>
    <w:pPr>
      <w:ind w:right="0"/>
    </w:pPr>
    <w:rPr>
      <w:sz w:val="14"/>
      <w:szCs w:val="14"/>
    </w:rPr>
  </w:style>
  <w:style w:type="character" w:customStyle="1" w:styleId="FootnotedotChar">
    <w:name w:val="Footnote dot Char"/>
    <w:basedOn w:val="DefaultParagraphFont"/>
    <w:link w:val="Footnotedot"/>
    <w:rsid w:val="00592DC5"/>
    <w:rPr>
      <w:rFonts w:ascii="Calibri" w:hAnsi="Calibri" w:cstheme="minorHAnsi"/>
      <w:color w:val="111111"/>
      <w:sz w:val="14"/>
      <w:szCs w:val="14"/>
    </w:rPr>
  </w:style>
  <w:style w:type="paragraph" w:customStyle="1" w:styleId="xmsonormal">
    <w:name w:val="x_msonormal"/>
    <w:basedOn w:val="Normal"/>
    <w:rsid w:val="00592DC5"/>
    <w:pPr>
      <w:widowControl w:val="0"/>
      <w:spacing w:before="100" w:beforeAutospacing="1" w:after="100" w:afterAutospacing="1"/>
    </w:pPr>
    <w:rPr>
      <w:rFonts w:ascii="Times New Roman" w:eastAsia="Times New Roman" w:hAnsi="Times New Roman" w:cs="Times New Roman"/>
      <w:color w:val="auto"/>
      <w:sz w:val="22"/>
      <w:lang w:val="en-US"/>
    </w:rPr>
  </w:style>
  <w:style w:type="paragraph" w:customStyle="1" w:styleId="Tabledot2">
    <w:name w:val="Table dot2"/>
    <w:basedOn w:val="Bullet1"/>
    <w:link w:val="Tabledot2Char"/>
    <w:qFormat/>
    <w:rsid w:val="001701E6"/>
    <w:pPr>
      <w:ind w:hanging="360"/>
    </w:pPr>
    <w:rPr>
      <w:color w:val="313F4A" w:themeColor="text1" w:themeShade="BF"/>
      <w:sz w:val="18"/>
      <w:szCs w:val="18"/>
    </w:rPr>
  </w:style>
  <w:style w:type="character" w:customStyle="1" w:styleId="TableTextChar">
    <w:name w:val="TableText Char"/>
    <w:basedOn w:val="DefaultParagraphFont"/>
    <w:link w:val="TableText"/>
    <w:uiPriority w:val="2"/>
    <w:rsid w:val="008A37C1"/>
    <w:rPr>
      <w:rFonts w:eastAsiaTheme="minorEastAsia" w:cs="Calibri"/>
      <w:color w:val="425563" w:themeColor="text1"/>
      <w:sz w:val="18"/>
      <w:szCs w:val="18"/>
    </w:rPr>
  </w:style>
  <w:style w:type="character" w:customStyle="1" w:styleId="Tabledot2Char">
    <w:name w:val="Table dot2 Char"/>
    <w:basedOn w:val="TableTextChar"/>
    <w:link w:val="Tabledot2"/>
    <w:rsid w:val="001701E6"/>
    <w:rPr>
      <w:rFonts w:eastAsiaTheme="minorEastAsia" w:cs="Calibri"/>
      <w:color w:val="313F4A" w:themeColor="text1" w:themeShade="BF"/>
      <w:sz w:val="18"/>
      <w:szCs w:val="18"/>
    </w:rPr>
  </w:style>
  <w:style w:type="character" w:customStyle="1" w:styleId="cf01">
    <w:name w:val="cf01"/>
    <w:basedOn w:val="DefaultParagraphFont"/>
    <w:rsid w:val="00592DC5"/>
    <w:rPr>
      <w:rFonts w:ascii="Segoe UI" w:hAnsi="Segoe UI" w:cs="Segoe UI" w:hint="default"/>
      <w:color w:val="212A31"/>
      <w:sz w:val="18"/>
      <w:szCs w:val="18"/>
    </w:rPr>
  </w:style>
  <w:style w:type="paragraph" w:customStyle="1" w:styleId="Heading51">
    <w:name w:val="Heading 51"/>
    <w:basedOn w:val="Normal"/>
    <w:link w:val="HEading5Char0"/>
    <w:rsid w:val="00592DC5"/>
    <w:pPr>
      <w:widowControl w:val="0"/>
      <w:spacing w:before="0" w:line="264" w:lineRule="auto"/>
      <w:ind w:right="424"/>
    </w:pPr>
    <w:rPr>
      <w:rFonts w:asciiTheme="majorHAnsi" w:hAnsiTheme="majorHAnsi" w:cs="Calibri"/>
      <w:color w:val="47061B" w:themeColor="accent3" w:themeShade="40"/>
    </w:rPr>
  </w:style>
  <w:style w:type="character" w:customStyle="1" w:styleId="HEading5Char0">
    <w:name w:val="HEading 5 Char"/>
    <w:basedOn w:val="DefaultParagraphFont"/>
    <w:link w:val="Heading51"/>
    <w:rsid w:val="00592DC5"/>
    <w:rPr>
      <w:rFonts w:asciiTheme="majorHAnsi" w:hAnsiTheme="majorHAnsi" w:cs="Calibri"/>
      <w:color w:val="47061B" w:themeColor="accent3" w:themeShade="40"/>
      <w:sz w:val="20"/>
    </w:rPr>
  </w:style>
  <w:style w:type="paragraph" w:customStyle="1" w:styleId="pf0">
    <w:name w:val="pf0"/>
    <w:basedOn w:val="Normal"/>
    <w:rsid w:val="00592DC5"/>
    <w:pPr>
      <w:widowControl w:val="0"/>
      <w:spacing w:before="100" w:beforeAutospacing="1" w:after="100" w:afterAutospacing="1"/>
    </w:pPr>
    <w:rPr>
      <w:rFonts w:ascii="Times New Roman" w:eastAsia="Times New Roman" w:hAnsi="Times New Roman" w:cs="Times New Roman"/>
      <w:color w:val="auto"/>
      <w:sz w:val="22"/>
      <w:lang w:eastAsia="en-AU"/>
    </w:rPr>
  </w:style>
  <w:style w:type="character" w:customStyle="1" w:styleId="Mention2">
    <w:name w:val="Mention2"/>
    <w:basedOn w:val="DefaultParagraphFont"/>
    <w:uiPriority w:val="99"/>
    <w:unhideWhenUsed/>
    <w:rsid w:val="00592DC5"/>
    <w:rPr>
      <w:color w:val="2B579A"/>
      <w:shd w:val="clear" w:color="auto" w:fill="E1DFDD"/>
    </w:rPr>
  </w:style>
  <w:style w:type="paragraph" w:customStyle="1" w:styleId="Numbers">
    <w:name w:val="Numbers"/>
    <w:basedOn w:val="Normal"/>
    <w:link w:val="NumbersChar"/>
    <w:rsid w:val="00592DC5"/>
    <w:pPr>
      <w:widowControl w:val="0"/>
      <w:numPr>
        <w:numId w:val="6"/>
      </w:numPr>
      <w:spacing w:before="0" w:line="264" w:lineRule="auto"/>
      <w:ind w:right="424"/>
    </w:pPr>
    <w:rPr>
      <w:rFonts w:ascii="Calibri" w:hAnsi="Calibri" w:cs="Calibri"/>
      <w:color w:val="auto"/>
      <w:sz w:val="22"/>
    </w:rPr>
  </w:style>
  <w:style w:type="paragraph" w:customStyle="1" w:styleId="Numbers1">
    <w:name w:val="Numbers1"/>
    <w:basedOn w:val="Numbers"/>
    <w:link w:val="Numbers1Char"/>
    <w:rsid w:val="00592DC5"/>
  </w:style>
  <w:style w:type="character" w:customStyle="1" w:styleId="NumbersChar">
    <w:name w:val="Numbers Char"/>
    <w:basedOn w:val="DefaultParagraphFont"/>
    <w:link w:val="Numbers"/>
    <w:rsid w:val="00592DC5"/>
    <w:rPr>
      <w:rFonts w:ascii="Calibri" w:hAnsi="Calibri" w:cs="Calibri"/>
    </w:rPr>
  </w:style>
  <w:style w:type="character" w:customStyle="1" w:styleId="Numbers1Char">
    <w:name w:val="Numbers1 Char"/>
    <w:basedOn w:val="NumbersChar"/>
    <w:link w:val="Numbers1"/>
    <w:rsid w:val="00592DC5"/>
    <w:rPr>
      <w:rFonts w:ascii="Calibri" w:hAnsi="Calibri" w:cs="Calibri"/>
    </w:rPr>
  </w:style>
  <w:style w:type="character" w:customStyle="1" w:styleId="NoSpacingChar">
    <w:name w:val="No Spacing Char"/>
    <w:basedOn w:val="DefaultParagraphFont"/>
    <w:link w:val="NoSpacing"/>
    <w:uiPriority w:val="1"/>
    <w:rsid w:val="00592DC5"/>
    <w:rPr>
      <w:sz w:val="20"/>
    </w:rPr>
  </w:style>
  <w:style w:type="character" w:customStyle="1" w:styleId="ListParagraphChar">
    <w:name w:val="List Paragraph Char"/>
    <w:aliases w:val="Number Char,Recommendation Char,List Paragraph1 Char,List Paragraph11 Char,L Char,b Char,Bullet Char,NAST Quote Char,Body Bullets 1 Char,Bullet Point Char,Bullet point Char,Bullet points Char,Content descriptions Char,0Bullet Char"/>
    <w:basedOn w:val="DefaultParagraphFont"/>
    <w:link w:val="ListParagraph"/>
    <w:qFormat/>
    <w:locked/>
    <w:rsid w:val="00592DC5"/>
    <w:rPr>
      <w:color w:val="425563" w:themeColor="text1"/>
      <w:sz w:val="20"/>
    </w:rPr>
  </w:style>
  <w:style w:type="paragraph" w:styleId="BodyText">
    <w:name w:val="Body Text"/>
    <w:basedOn w:val="Normal"/>
    <w:link w:val="BodyTextChar"/>
    <w:uiPriority w:val="1"/>
    <w:rsid w:val="00592DC5"/>
    <w:pPr>
      <w:widowControl w:val="0"/>
      <w:autoSpaceDE w:val="0"/>
      <w:autoSpaceDN w:val="0"/>
      <w:spacing w:before="0" w:line="264" w:lineRule="auto"/>
      <w:ind w:left="113" w:right="635"/>
    </w:pPr>
    <w:rPr>
      <w:rFonts w:ascii="Calibri" w:eastAsia="Calibri" w:hAnsi="Calibri" w:cs="Calibri"/>
      <w:color w:val="auto"/>
      <w:sz w:val="22"/>
    </w:rPr>
  </w:style>
  <w:style w:type="character" w:customStyle="1" w:styleId="BodyTextChar">
    <w:name w:val="Body Text Char"/>
    <w:basedOn w:val="DefaultParagraphFont"/>
    <w:link w:val="BodyText"/>
    <w:uiPriority w:val="1"/>
    <w:rsid w:val="00592DC5"/>
    <w:rPr>
      <w:rFonts w:ascii="Calibri" w:eastAsia="Calibri" w:hAnsi="Calibri" w:cs="Calibri"/>
    </w:rPr>
  </w:style>
  <w:style w:type="paragraph" w:customStyle="1" w:styleId="TableParagraph">
    <w:name w:val="Table Paragraph"/>
    <w:basedOn w:val="Normal"/>
    <w:uiPriority w:val="1"/>
    <w:rsid w:val="00592DC5"/>
    <w:pPr>
      <w:widowControl w:val="0"/>
      <w:autoSpaceDE w:val="0"/>
      <w:autoSpaceDN w:val="0"/>
      <w:spacing w:before="0" w:line="264" w:lineRule="auto"/>
      <w:ind w:left="108" w:right="635"/>
    </w:pPr>
    <w:rPr>
      <w:rFonts w:ascii="Calibri" w:eastAsia="Calibri" w:hAnsi="Calibri" w:cs="Calibri"/>
      <w:color w:val="auto"/>
      <w:sz w:val="22"/>
    </w:rPr>
  </w:style>
  <w:style w:type="character" w:styleId="Mention">
    <w:name w:val="Mention"/>
    <w:basedOn w:val="DefaultParagraphFont"/>
    <w:uiPriority w:val="99"/>
    <w:unhideWhenUsed/>
    <w:rsid w:val="00592DC5"/>
    <w:rPr>
      <w:color w:val="2B579A"/>
      <w:shd w:val="clear" w:color="auto" w:fill="E6E6E6"/>
    </w:rPr>
  </w:style>
  <w:style w:type="character" w:customStyle="1" w:styleId="Bullet1Char">
    <w:name w:val="Bullet 1 Char"/>
    <w:aliases w:val="Bullet Points Char,Colorful List - Accent 11 Char,Indicator Text Char,List Paragraph Char Char Char Char,No Spacing1 Char"/>
    <w:basedOn w:val="DefaultParagraphFont"/>
    <w:link w:val="Bullet1"/>
    <w:qFormat/>
    <w:rsid w:val="00C27E6C"/>
    <w:rPr>
      <w:rFonts w:eastAsiaTheme="minorEastAsia" w:cs="Calibri"/>
      <w:color w:val="000000"/>
      <w:sz w:val="20"/>
      <w:szCs w:val="20"/>
    </w:rPr>
  </w:style>
  <w:style w:type="character" w:styleId="FollowedHyperlink">
    <w:name w:val="FollowedHyperlink"/>
    <w:basedOn w:val="DefaultParagraphFont"/>
    <w:uiPriority w:val="99"/>
    <w:semiHidden/>
    <w:unhideWhenUsed/>
    <w:rsid w:val="00592DC5"/>
    <w:rPr>
      <w:color w:val="AED3D3" w:themeColor="followedHyperlink"/>
      <w:u w:val="single"/>
    </w:rPr>
  </w:style>
  <w:style w:type="table" w:styleId="GridTable1Light">
    <w:name w:val="Grid Table 1 Light"/>
    <w:basedOn w:val="TableNormal"/>
    <w:uiPriority w:val="46"/>
    <w:rsid w:val="00592DC5"/>
    <w:pPr>
      <w:spacing w:after="0" w:line="240" w:lineRule="auto"/>
    </w:pPr>
    <w:tblPr>
      <w:tblStyleRowBandSize w:val="1"/>
      <w:tblStyleColBandSize w:val="1"/>
      <w:tblBorders>
        <w:top w:val="single" w:sz="4" w:space="0" w:color="ACBCC7" w:themeColor="text1" w:themeTint="66"/>
        <w:left w:val="single" w:sz="4" w:space="0" w:color="ACBCC7" w:themeColor="text1" w:themeTint="66"/>
        <w:bottom w:val="single" w:sz="4" w:space="0" w:color="ACBCC7" w:themeColor="text1" w:themeTint="66"/>
        <w:right w:val="single" w:sz="4" w:space="0" w:color="ACBCC7" w:themeColor="text1" w:themeTint="66"/>
        <w:insideH w:val="single" w:sz="4" w:space="0" w:color="ACBCC7" w:themeColor="text1" w:themeTint="66"/>
        <w:insideV w:val="single" w:sz="4" w:space="0" w:color="ACBCC7" w:themeColor="text1" w:themeTint="66"/>
      </w:tblBorders>
    </w:tblPr>
    <w:tblStylePr w:type="firstRow">
      <w:rPr>
        <w:b/>
        <w:bCs/>
      </w:rPr>
      <w:tblPr/>
      <w:tcPr>
        <w:tcBorders>
          <w:bottom w:val="single" w:sz="12" w:space="0" w:color="829AAC" w:themeColor="text1" w:themeTint="99"/>
        </w:tcBorders>
      </w:tcPr>
    </w:tblStylePr>
    <w:tblStylePr w:type="lastRow">
      <w:rPr>
        <w:b/>
        <w:bCs/>
      </w:rPr>
      <w:tblPr/>
      <w:tcPr>
        <w:tcBorders>
          <w:top w:val="double" w:sz="2" w:space="0" w:color="829AAC"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592DC5"/>
    <w:pPr>
      <w:spacing w:after="0" w:line="240" w:lineRule="auto"/>
    </w:pPr>
    <w:tblPr>
      <w:tblStyleRowBandSize w:val="1"/>
      <w:tblStyleColBandSize w:val="1"/>
      <w:tblBorders>
        <w:top w:val="single" w:sz="4" w:space="0" w:color="425563" w:themeColor="text1"/>
        <w:left w:val="single" w:sz="4" w:space="0" w:color="425563" w:themeColor="text1"/>
        <w:bottom w:val="single" w:sz="4" w:space="0" w:color="425563" w:themeColor="text1"/>
        <w:right w:val="single" w:sz="4" w:space="0" w:color="425563" w:themeColor="text1"/>
      </w:tblBorders>
    </w:tblPr>
    <w:tblStylePr w:type="firstRow">
      <w:rPr>
        <w:b/>
        <w:bCs/>
        <w:color w:val="FFFFFF" w:themeColor="background1"/>
      </w:rPr>
      <w:tblPr/>
      <w:tcPr>
        <w:shd w:val="clear" w:color="auto" w:fill="425563" w:themeFill="text1"/>
      </w:tcPr>
    </w:tblStylePr>
    <w:tblStylePr w:type="lastRow">
      <w:rPr>
        <w:b/>
        <w:bCs/>
      </w:rPr>
      <w:tblPr/>
      <w:tcPr>
        <w:tcBorders>
          <w:top w:val="double" w:sz="4" w:space="0" w:color="42556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5563" w:themeColor="text1"/>
          <w:right w:val="single" w:sz="4" w:space="0" w:color="425563" w:themeColor="text1"/>
        </w:tcBorders>
      </w:tcPr>
    </w:tblStylePr>
    <w:tblStylePr w:type="band1Horz">
      <w:tblPr/>
      <w:tcPr>
        <w:tcBorders>
          <w:top w:val="single" w:sz="4" w:space="0" w:color="425563" w:themeColor="text1"/>
          <w:bottom w:val="single" w:sz="4" w:space="0" w:color="42556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5563" w:themeColor="text1"/>
          <w:left w:val="nil"/>
        </w:tcBorders>
      </w:tcPr>
    </w:tblStylePr>
    <w:tblStylePr w:type="swCell">
      <w:tblPr/>
      <w:tcPr>
        <w:tcBorders>
          <w:top w:val="double" w:sz="4" w:space="0" w:color="425563" w:themeColor="text1"/>
          <w:right w:val="nil"/>
        </w:tcBorders>
      </w:tcPr>
    </w:tblStylePr>
  </w:style>
  <w:style w:type="table" w:styleId="GridTable4-Accent6">
    <w:name w:val="Grid Table 4 Accent 6"/>
    <w:basedOn w:val="TableNormal"/>
    <w:uiPriority w:val="49"/>
    <w:rsid w:val="00592DC5"/>
    <w:pPr>
      <w:spacing w:after="0" w:line="240" w:lineRule="auto"/>
    </w:pPr>
    <w:tblPr>
      <w:tblStyleRowBandSize w:val="1"/>
      <w:tblStyleColBandSize w:val="1"/>
      <w:tblBorders>
        <w:top w:val="single" w:sz="4" w:space="0" w:color="FFBA82" w:themeColor="accent6" w:themeTint="99"/>
        <w:left w:val="single" w:sz="4" w:space="0" w:color="FFBA82" w:themeColor="accent6" w:themeTint="99"/>
        <w:bottom w:val="single" w:sz="4" w:space="0" w:color="FFBA82" w:themeColor="accent6" w:themeTint="99"/>
        <w:right w:val="single" w:sz="4" w:space="0" w:color="FFBA82" w:themeColor="accent6" w:themeTint="99"/>
        <w:insideH w:val="single" w:sz="4" w:space="0" w:color="FFBA82" w:themeColor="accent6" w:themeTint="99"/>
        <w:insideV w:val="single" w:sz="4" w:space="0" w:color="FFBA82" w:themeColor="accent6" w:themeTint="99"/>
      </w:tblBorders>
    </w:tblPr>
    <w:tblStylePr w:type="firstRow">
      <w:rPr>
        <w:b/>
        <w:bCs/>
        <w:color w:val="FFFFFF" w:themeColor="background1"/>
      </w:rPr>
      <w:tblPr/>
      <w:tcPr>
        <w:tcBorders>
          <w:top w:val="single" w:sz="4" w:space="0" w:color="FF8E2F" w:themeColor="accent6"/>
          <w:left w:val="single" w:sz="4" w:space="0" w:color="FF8E2F" w:themeColor="accent6"/>
          <w:bottom w:val="single" w:sz="4" w:space="0" w:color="FF8E2F" w:themeColor="accent6"/>
          <w:right w:val="single" w:sz="4" w:space="0" w:color="FF8E2F" w:themeColor="accent6"/>
          <w:insideH w:val="nil"/>
          <w:insideV w:val="nil"/>
        </w:tcBorders>
        <w:shd w:val="clear" w:color="auto" w:fill="FF8E2F" w:themeFill="accent6"/>
      </w:tcPr>
    </w:tblStylePr>
    <w:tblStylePr w:type="lastRow">
      <w:rPr>
        <w:b/>
        <w:bCs/>
      </w:rPr>
      <w:tblPr/>
      <w:tcPr>
        <w:tcBorders>
          <w:top w:val="double" w:sz="4" w:space="0" w:color="FF8E2F" w:themeColor="accent6"/>
        </w:tcBorders>
      </w:tcPr>
    </w:tblStylePr>
    <w:tblStylePr w:type="firstCol">
      <w:rPr>
        <w:b/>
        <w:bCs/>
      </w:rPr>
    </w:tblStylePr>
    <w:tblStylePr w:type="lastCol">
      <w:rPr>
        <w:b/>
        <w:bCs/>
      </w:rPr>
    </w:tblStylePr>
    <w:tblStylePr w:type="band1Vert">
      <w:tblPr/>
      <w:tcPr>
        <w:shd w:val="clear" w:color="auto" w:fill="FFE8D5" w:themeFill="accent6" w:themeFillTint="33"/>
      </w:tcPr>
    </w:tblStylePr>
    <w:tblStylePr w:type="band1Horz">
      <w:tblPr/>
      <w:tcPr>
        <w:shd w:val="clear" w:color="auto" w:fill="FFE8D5" w:themeFill="accent6" w:themeFillTint="33"/>
      </w:tcPr>
    </w:tblStylePr>
  </w:style>
  <w:style w:type="paragraph" w:styleId="TOC3">
    <w:name w:val="toc 3"/>
    <w:basedOn w:val="Normal"/>
    <w:next w:val="Normal"/>
    <w:autoRedefine/>
    <w:uiPriority w:val="39"/>
    <w:unhideWhenUsed/>
    <w:rsid w:val="00592DC5"/>
    <w:pPr>
      <w:spacing w:after="100"/>
      <w:ind w:left="400"/>
    </w:pPr>
  </w:style>
  <w:style w:type="character" w:customStyle="1" w:styleId="itemdisplayname-495">
    <w:name w:val="itemdisplayname-495"/>
    <w:basedOn w:val="DefaultParagraphFont"/>
    <w:rsid w:val="00E749FE"/>
  </w:style>
  <w:style w:type="character" w:customStyle="1" w:styleId="screenreaderfriendlyhiddentag-414">
    <w:name w:val="screenreaderfriendlyhiddentag-414"/>
    <w:basedOn w:val="DefaultParagraphFont"/>
    <w:rsid w:val="00E749FE"/>
  </w:style>
  <w:style w:type="character" w:customStyle="1" w:styleId="entrytextsearchcolordefault-485">
    <w:name w:val="entrytextsearchcolordefault-485"/>
    <w:basedOn w:val="DefaultParagraphFont"/>
    <w:rsid w:val="00E749FE"/>
  </w:style>
  <w:style w:type="table" w:styleId="GridTable4-Accent5">
    <w:name w:val="Grid Table 4 Accent 5"/>
    <w:basedOn w:val="TableNormal"/>
    <w:uiPriority w:val="49"/>
    <w:rsid w:val="002B1F32"/>
    <w:pPr>
      <w:spacing w:after="0" w:line="240" w:lineRule="auto"/>
    </w:pPr>
    <w:tblPr>
      <w:tblStyleRowBandSize w:val="1"/>
      <w:tblStyleColBandSize w:val="1"/>
      <w:tblBorders>
        <w:top w:val="single" w:sz="4" w:space="0" w:color="8CD9CC" w:themeColor="accent5" w:themeTint="99"/>
        <w:left w:val="single" w:sz="4" w:space="0" w:color="8CD9CC" w:themeColor="accent5" w:themeTint="99"/>
        <w:bottom w:val="single" w:sz="4" w:space="0" w:color="8CD9CC" w:themeColor="accent5" w:themeTint="99"/>
        <w:right w:val="single" w:sz="4" w:space="0" w:color="8CD9CC" w:themeColor="accent5" w:themeTint="99"/>
        <w:insideH w:val="single" w:sz="4" w:space="0" w:color="8CD9CC" w:themeColor="accent5" w:themeTint="99"/>
        <w:insideV w:val="single" w:sz="4" w:space="0" w:color="8CD9CC" w:themeColor="accent5" w:themeTint="99"/>
      </w:tblBorders>
    </w:tblPr>
    <w:tblStylePr w:type="firstRow">
      <w:rPr>
        <w:b/>
        <w:bCs/>
        <w:color w:val="FFFFFF" w:themeColor="background1"/>
      </w:rPr>
      <w:tblPr/>
      <w:tcPr>
        <w:tcBorders>
          <w:top w:val="single" w:sz="4" w:space="0" w:color="40C1AB" w:themeColor="accent5"/>
          <w:left w:val="single" w:sz="4" w:space="0" w:color="40C1AB" w:themeColor="accent5"/>
          <w:bottom w:val="single" w:sz="4" w:space="0" w:color="40C1AB" w:themeColor="accent5"/>
          <w:right w:val="single" w:sz="4" w:space="0" w:color="40C1AB" w:themeColor="accent5"/>
          <w:insideH w:val="nil"/>
          <w:insideV w:val="nil"/>
        </w:tcBorders>
        <w:shd w:val="clear" w:color="auto" w:fill="40C1AB" w:themeFill="accent5"/>
      </w:tcPr>
    </w:tblStylePr>
    <w:tblStylePr w:type="lastRow">
      <w:rPr>
        <w:b/>
        <w:bCs/>
      </w:rPr>
      <w:tblPr/>
      <w:tcPr>
        <w:tcBorders>
          <w:top w:val="double" w:sz="4" w:space="0" w:color="40C1AB" w:themeColor="accent5"/>
        </w:tcBorders>
      </w:tcPr>
    </w:tblStylePr>
    <w:tblStylePr w:type="firstCol">
      <w:rPr>
        <w:b/>
        <w:bCs/>
      </w:rPr>
    </w:tblStylePr>
    <w:tblStylePr w:type="lastCol">
      <w:rPr>
        <w:b/>
        <w:bCs/>
      </w:rPr>
    </w:tblStylePr>
    <w:tblStylePr w:type="band1Vert">
      <w:tblPr/>
      <w:tcPr>
        <w:shd w:val="clear" w:color="auto" w:fill="D8F2EE" w:themeFill="accent5" w:themeFillTint="33"/>
      </w:tcPr>
    </w:tblStylePr>
    <w:tblStylePr w:type="band1Horz">
      <w:tblPr/>
      <w:tcPr>
        <w:shd w:val="clear" w:color="auto" w:fill="D8F2EE" w:themeFill="accent5" w:themeFillTint="33"/>
      </w:tcPr>
    </w:tblStylePr>
  </w:style>
  <w:style w:type="numbering" w:customStyle="1" w:styleId="DSSBulletList">
    <w:name w:val="DSS Bullet List"/>
    <w:uiPriority w:val="99"/>
    <w:rsid w:val="00394013"/>
    <w:pPr>
      <w:numPr>
        <w:numId w:val="7"/>
      </w:numPr>
    </w:pPr>
  </w:style>
  <w:style w:type="paragraph" w:customStyle="1" w:styleId="Tableheadwhite">
    <w:name w:val="Tableheadwhite"/>
    <w:basedOn w:val="Normal"/>
    <w:link w:val="TableheadwhiteChar"/>
    <w:qFormat/>
    <w:rsid w:val="008B75AA"/>
    <w:rPr>
      <w:rFonts w:asciiTheme="majorHAnsi" w:hAnsiTheme="majorHAnsi"/>
      <w:color w:val="FFFFFF" w:themeColor="background1"/>
      <w:sz w:val="18"/>
      <w:szCs w:val="20"/>
    </w:rPr>
  </w:style>
  <w:style w:type="character" w:customStyle="1" w:styleId="TableheadwhiteChar">
    <w:name w:val="Tableheadwhite Char"/>
    <w:basedOn w:val="DefaultParagraphFont"/>
    <w:link w:val="Tableheadwhite"/>
    <w:rsid w:val="008B75AA"/>
    <w:rPr>
      <w:rFonts w:asciiTheme="majorHAnsi" w:hAnsiTheme="majorHAnsi"/>
      <w:color w:val="FFFFFF" w:themeColor="background1"/>
      <w:sz w:val="18"/>
      <w:szCs w:val="20"/>
    </w:rPr>
  </w:style>
  <w:style w:type="paragraph" w:customStyle="1" w:styleId="Headingsix">
    <w:name w:val="Heading six"/>
    <w:basedOn w:val="Heading5"/>
    <w:link w:val="HeadingsixChar"/>
    <w:rsid w:val="00ED6EEA"/>
    <w:rPr>
      <w:i/>
      <w:iCs/>
    </w:rPr>
  </w:style>
  <w:style w:type="character" w:customStyle="1" w:styleId="HeadingsixChar">
    <w:name w:val="Heading six Char"/>
    <w:basedOn w:val="Heading5Char"/>
    <w:link w:val="Headingsix"/>
    <w:rsid w:val="00ED6EEA"/>
    <w:rPr>
      <w:rFonts w:asciiTheme="majorHAnsi" w:eastAsiaTheme="majorEastAsia" w:hAnsiTheme="majorHAnsi" w:cstheme="majorBidi"/>
      <w:i/>
      <w:iCs/>
      <w:color w:val="425563" w:themeColor="text1"/>
      <w:sz w:val="20"/>
      <w:szCs w:val="24"/>
    </w:rPr>
  </w:style>
  <w:style w:type="paragraph" w:customStyle="1" w:styleId="Strong1">
    <w:name w:val="Strong1"/>
    <w:rsid w:val="00AB733A"/>
    <w:pPr>
      <w:spacing w:after="0" w:line="240" w:lineRule="auto"/>
    </w:pPr>
    <w:rPr>
      <w:rFonts w:ascii="Times New Roman" w:eastAsia="Times New Roman" w:hAnsi="Times New Roman" w:cs="Times New Roman"/>
      <w:b/>
      <w:bCs/>
      <w:sz w:val="20"/>
      <w:szCs w:val="20"/>
      <w:lang w:eastAsia="en-AU"/>
    </w:rPr>
  </w:style>
  <w:style w:type="paragraph" w:customStyle="1" w:styleId="KEQ">
    <w:name w:val="KEQ"/>
    <w:basedOn w:val="NumList"/>
    <w:link w:val="KEQChar"/>
    <w:rsid w:val="00CA4717"/>
    <w:pPr>
      <w:numPr>
        <w:numId w:val="11"/>
      </w:numPr>
    </w:pPr>
  </w:style>
  <w:style w:type="character" w:customStyle="1" w:styleId="NumListChar">
    <w:name w:val="NumList Char"/>
    <w:basedOn w:val="DefaultParagraphFont"/>
    <w:link w:val="NumList"/>
    <w:uiPriority w:val="2"/>
    <w:rsid w:val="00CA4717"/>
    <w:rPr>
      <w:color w:val="000000"/>
      <w:sz w:val="20"/>
    </w:rPr>
  </w:style>
  <w:style w:type="character" w:customStyle="1" w:styleId="KEQChar">
    <w:name w:val="KEQ Char"/>
    <w:basedOn w:val="NumListChar"/>
    <w:link w:val="KEQ"/>
    <w:rsid w:val="00CA4717"/>
    <w:rPr>
      <w:color w:val="000000"/>
      <w:sz w:val="20"/>
    </w:rPr>
  </w:style>
  <w:style w:type="paragraph" w:customStyle="1" w:styleId="KEQ2">
    <w:name w:val="KEQ 2"/>
    <w:basedOn w:val="KEQ"/>
    <w:link w:val="KEQ2Char"/>
    <w:rsid w:val="004718AC"/>
    <w:pPr>
      <w:numPr>
        <w:numId w:val="12"/>
      </w:numPr>
    </w:pPr>
  </w:style>
  <w:style w:type="character" w:customStyle="1" w:styleId="KEQ2Char">
    <w:name w:val="KEQ 2 Char"/>
    <w:basedOn w:val="KEQChar"/>
    <w:link w:val="KEQ2"/>
    <w:rsid w:val="00F57E88"/>
    <w:rPr>
      <w:color w:val="000000"/>
      <w:sz w:val="20"/>
    </w:rPr>
  </w:style>
  <w:style w:type="paragraph" w:customStyle="1" w:styleId="KEQ3">
    <w:name w:val="KEQ 3"/>
    <w:basedOn w:val="KEQ2"/>
    <w:link w:val="KEQ3Char"/>
    <w:rsid w:val="004718AC"/>
    <w:pPr>
      <w:numPr>
        <w:numId w:val="0"/>
      </w:numPr>
      <w:ind w:left="720" w:hanging="363"/>
    </w:pPr>
  </w:style>
  <w:style w:type="character" w:customStyle="1" w:styleId="KEQ3Char">
    <w:name w:val="KEQ 3 Char"/>
    <w:basedOn w:val="KEQ2Char"/>
    <w:link w:val="KEQ3"/>
    <w:rsid w:val="007B1386"/>
    <w:rPr>
      <w:color w:val="425563" w:themeColor="text1"/>
      <w:sz w:val="20"/>
    </w:rPr>
  </w:style>
  <w:style w:type="paragraph" w:customStyle="1" w:styleId="QuoteQ">
    <w:name w:val="QuoteQ"/>
    <w:basedOn w:val="Normal"/>
    <w:link w:val="QuoteQChar"/>
    <w:qFormat/>
    <w:rsid w:val="00007F12"/>
    <w:pPr>
      <w:spacing w:before="0" w:line="264" w:lineRule="auto"/>
      <w:ind w:left="181" w:right="707"/>
    </w:pPr>
    <w:rPr>
      <w:rFonts w:cs="Calibri Light"/>
      <w:i/>
      <w:iCs/>
      <w:noProof/>
      <w:szCs w:val="20"/>
      <w:lang w:eastAsia="en-AU"/>
    </w:rPr>
  </w:style>
  <w:style w:type="character" w:customStyle="1" w:styleId="QuoteQChar">
    <w:name w:val="QuoteQ Char"/>
    <w:basedOn w:val="DefaultParagraphFont"/>
    <w:link w:val="QuoteQ"/>
    <w:rsid w:val="00007F12"/>
    <w:rPr>
      <w:rFonts w:cs="Calibri Light"/>
      <w:i/>
      <w:iCs/>
      <w:noProof/>
      <w:color w:val="425563" w:themeColor="text1"/>
      <w:sz w:val="20"/>
      <w:szCs w:val="20"/>
      <w:lang w:eastAsia="en-AU"/>
    </w:rPr>
  </w:style>
  <w:style w:type="paragraph" w:customStyle="1" w:styleId="Tabledot22">
    <w:name w:val="Table dot 22"/>
    <w:basedOn w:val="Bullet2"/>
    <w:link w:val="Tabledot22Char"/>
    <w:qFormat/>
    <w:rsid w:val="00244FA2"/>
    <w:pPr>
      <w:spacing w:after="80"/>
      <w:ind w:left="612" w:hanging="142"/>
    </w:pPr>
    <w:rPr>
      <w:sz w:val="18"/>
      <w:szCs w:val="18"/>
    </w:rPr>
  </w:style>
  <w:style w:type="character" w:customStyle="1" w:styleId="Bullet2Char">
    <w:name w:val="Bullet 2 Char"/>
    <w:basedOn w:val="DefaultParagraphFont"/>
    <w:link w:val="Bullet2"/>
    <w:uiPriority w:val="1"/>
    <w:rsid w:val="00B2315D"/>
    <w:rPr>
      <w:color w:val="000000"/>
      <w:sz w:val="20"/>
    </w:rPr>
  </w:style>
  <w:style w:type="character" w:customStyle="1" w:styleId="Tabledot22Char">
    <w:name w:val="Table dot 22 Char"/>
    <w:basedOn w:val="Bullet2Char"/>
    <w:link w:val="Tabledot22"/>
    <w:rsid w:val="00244FA2"/>
    <w:rPr>
      <w:color w:val="000000"/>
      <w:sz w:val="18"/>
      <w:szCs w:val="18"/>
    </w:rPr>
  </w:style>
  <w:style w:type="table" w:styleId="GridTable4-Accent1">
    <w:name w:val="Grid Table 4 Accent 1"/>
    <w:basedOn w:val="TableNormal"/>
    <w:uiPriority w:val="49"/>
    <w:rsid w:val="00BC3F2C"/>
    <w:pPr>
      <w:spacing w:after="0" w:line="240" w:lineRule="auto"/>
    </w:pPr>
    <w:tblPr>
      <w:tblStyleRowBandSize w:val="1"/>
      <w:tblStyleColBandSize w:val="1"/>
      <w:tblBorders>
        <w:top w:val="single" w:sz="4" w:space="0" w:color="D7F1DD" w:themeColor="accent1" w:themeTint="99"/>
        <w:left w:val="single" w:sz="4" w:space="0" w:color="D7F1DD" w:themeColor="accent1" w:themeTint="99"/>
        <w:bottom w:val="single" w:sz="4" w:space="0" w:color="D7F1DD" w:themeColor="accent1" w:themeTint="99"/>
        <w:right w:val="single" w:sz="4" w:space="0" w:color="D7F1DD" w:themeColor="accent1" w:themeTint="99"/>
        <w:insideH w:val="single" w:sz="4" w:space="0" w:color="D7F1DD" w:themeColor="accent1" w:themeTint="99"/>
        <w:insideV w:val="single" w:sz="4" w:space="0" w:color="D7F1DD" w:themeColor="accent1" w:themeTint="99"/>
      </w:tblBorders>
    </w:tblPr>
    <w:tblStylePr w:type="firstRow">
      <w:rPr>
        <w:b/>
        <w:bCs/>
        <w:color w:val="FFFFFF" w:themeColor="background1"/>
      </w:rPr>
      <w:tblPr/>
      <w:tcPr>
        <w:tcBorders>
          <w:top w:val="single" w:sz="4" w:space="0" w:color="BDE9C8" w:themeColor="accent1"/>
          <w:left w:val="single" w:sz="4" w:space="0" w:color="BDE9C8" w:themeColor="accent1"/>
          <w:bottom w:val="single" w:sz="4" w:space="0" w:color="BDE9C8" w:themeColor="accent1"/>
          <w:right w:val="single" w:sz="4" w:space="0" w:color="BDE9C8" w:themeColor="accent1"/>
          <w:insideH w:val="nil"/>
          <w:insideV w:val="nil"/>
        </w:tcBorders>
        <w:shd w:val="clear" w:color="auto" w:fill="BDE9C8" w:themeFill="accent1"/>
      </w:tcPr>
    </w:tblStylePr>
    <w:tblStylePr w:type="lastRow">
      <w:rPr>
        <w:b/>
        <w:bCs/>
      </w:rPr>
      <w:tblPr/>
      <w:tcPr>
        <w:tcBorders>
          <w:top w:val="double" w:sz="4" w:space="0" w:color="BDE9C8" w:themeColor="accent1"/>
        </w:tcBorders>
      </w:tcPr>
    </w:tblStylePr>
    <w:tblStylePr w:type="firstCol">
      <w:rPr>
        <w:b/>
        <w:bCs/>
      </w:rPr>
    </w:tblStylePr>
    <w:tblStylePr w:type="lastCol">
      <w:rPr>
        <w:b/>
        <w:bCs/>
      </w:rPr>
    </w:tblStylePr>
    <w:tblStylePr w:type="band1Vert">
      <w:tblPr/>
      <w:tcPr>
        <w:shd w:val="clear" w:color="auto" w:fill="F1FAF3" w:themeFill="accent1" w:themeFillTint="33"/>
      </w:tcPr>
    </w:tblStylePr>
    <w:tblStylePr w:type="band1Horz">
      <w:tblPr/>
      <w:tcPr>
        <w:shd w:val="clear" w:color="auto" w:fill="F1FAF3" w:themeFill="accent1" w:themeFillTint="33"/>
      </w:tcPr>
    </w:tblStylePr>
  </w:style>
  <w:style w:type="paragraph" w:styleId="Bibliography">
    <w:name w:val="Bibliography"/>
    <w:basedOn w:val="Normal"/>
    <w:next w:val="Normal"/>
    <w:uiPriority w:val="37"/>
    <w:unhideWhenUsed/>
    <w:rsid w:val="00C4076F"/>
    <w:pPr>
      <w:spacing w:after="0" w:line="480" w:lineRule="auto"/>
      <w:ind w:left="720" w:hanging="720"/>
    </w:pPr>
  </w:style>
  <w:style w:type="character" w:customStyle="1" w:styleId="Mention3">
    <w:name w:val="Mention3"/>
    <w:basedOn w:val="DefaultParagraphFont"/>
    <w:uiPriority w:val="99"/>
    <w:unhideWhenUsed/>
    <w:rsid w:val="00125C53"/>
    <w:rPr>
      <w:color w:val="2B579A"/>
      <w:shd w:val="clear" w:color="auto" w:fill="E6E6E6"/>
    </w:rPr>
  </w:style>
  <w:style w:type="character" w:customStyle="1" w:styleId="UnresolvedMention2">
    <w:name w:val="Unresolved Mention2"/>
    <w:basedOn w:val="DefaultParagraphFont"/>
    <w:uiPriority w:val="99"/>
    <w:semiHidden/>
    <w:unhideWhenUsed/>
    <w:rsid w:val="00125C53"/>
    <w:rPr>
      <w:color w:val="605E5C"/>
      <w:shd w:val="clear" w:color="auto" w:fill="E1DFDD"/>
    </w:rPr>
  </w:style>
  <w:style w:type="character" w:customStyle="1" w:styleId="Heading7Char">
    <w:name w:val="Heading 7 Char"/>
    <w:basedOn w:val="DefaultParagraphFont"/>
    <w:link w:val="Heading7"/>
    <w:uiPriority w:val="9"/>
    <w:rsid w:val="007E0AFE"/>
    <w:rPr>
      <w:rFonts w:asciiTheme="majorHAnsi" w:eastAsiaTheme="majorEastAsia" w:hAnsiTheme="majorHAnsi" w:cstheme="majorBidi"/>
      <w:i/>
      <w:iCs/>
      <w:color w:val="313F4A" w:themeColor="tex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9">
      <w:bodyDiv w:val="1"/>
      <w:marLeft w:val="0"/>
      <w:marRight w:val="0"/>
      <w:marTop w:val="0"/>
      <w:marBottom w:val="0"/>
      <w:divBdr>
        <w:top w:val="none" w:sz="0" w:space="0" w:color="auto"/>
        <w:left w:val="none" w:sz="0" w:space="0" w:color="auto"/>
        <w:bottom w:val="none" w:sz="0" w:space="0" w:color="auto"/>
        <w:right w:val="none" w:sz="0" w:space="0" w:color="auto"/>
      </w:divBdr>
    </w:div>
    <w:div w:id="203007">
      <w:bodyDiv w:val="1"/>
      <w:marLeft w:val="0"/>
      <w:marRight w:val="0"/>
      <w:marTop w:val="0"/>
      <w:marBottom w:val="0"/>
      <w:divBdr>
        <w:top w:val="none" w:sz="0" w:space="0" w:color="auto"/>
        <w:left w:val="none" w:sz="0" w:space="0" w:color="auto"/>
        <w:bottom w:val="none" w:sz="0" w:space="0" w:color="auto"/>
        <w:right w:val="none" w:sz="0" w:space="0" w:color="auto"/>
      </w:divBdr>
    </w:div>
    <w:div w:id="2899109">
      <w:bodyDiv w:val="1"/>
      <w:marLeft w:val="0"/>
      <w:marRight w:val="0"/>
      <w:marTop w:val="0"/>
      <w:marBottom w:val="0"/>
      <w:divBdr>
        <w:top w:val="none" w:sz="0" w:space="0" w:color="auto"/>
        <w:left w:val="none" w:sz="0" w:space="0" w:color="auto"/>
        <w:bottom w:val="none" w:sz="0" w:space="0" w:color="auto"/>
        <w:right w:val="none" w:sz="0" w:space="0" w:color="auto"/>
      </w:divBdr>
    </w:div>
    <w:div w:id="4207822">
      <w:bodyDiv w:val="1"/>
      <w:marLeft w:val="0"/>
      <w:marRight w:val="0"/>
      <w:marTop w:val="0"/>
      <w:marBottom w:val="0"/>
      <w:divBdr>
        <w:top w:val="none" w:sz="0" w:space="0" w:color="auto"/>
        <w:left w:val="none" w:sz="0" w:space="0" w:color="auto"/>
        <w:bottom w:val="none" w:sz="0" w:space="0" w:color="auto"/>
        <w:right w:val="none" w:sz="0" w:space="0" w:color="auto"/>
      </w:divBdr>
    </w:div>
    <w:div w:id="7105282">
      <w:bodyDiv w:val="1"/>
      <w:marLeft w:val="0"/>
      <w:marRight w:val="0"/>
      <w:marTop w:val="0"/>
      <w:marBottom w:val="0"/>
      <w:divBdr>
        <w:top w:val="none" w:sz="0" w:space="0" w:color="auto"/>
        <w:left w:val="none" w:sz="0" w:space="0" w:color="auto"/>
        <w:bottom w:val="none" w:sz="0" w:space="0" w:color="auto"/>
        <w:right w:val="none" w:sz="0" w:space="0" w:color="auto"/>
      </w:divBdr>
      <w:divsChild>
        <w:div w:id="150565365">
          <w:marLeft w:val="0"/>
          <w:marRight w:val="0"/>
          <w:marTop w:val="0"/>
          <w:marBottom w:val="0"/>
          <w:divBdr>
            <w:top w:val="none" w:sz="0" w:space="0" w:color="auto"/>
            <w:left w:val="none" w:sz="0" w:space="0" w:color="auto"/>
            <w:bottom w:val="none" w:sz="0" w:space="0" w:color="auto"/>
            <w:right w:val="none" w:sz="0" w:space="0" w:color="auto"/>
          </w:divBdr>
        </w:div>
        <w:div w:id="301229542">
          <w:marLeft w:val="0"/>
          <w:marRight w:val="0"/>
          <w:marTop w:val="0"/>
          <w:marBottom w:val="0"/>
          <w:divBdr>
            <w:top w:val="none" w:sz="0" w:space="0" w:color="auto"/>
            <w:left w:val="none" w:sz="0" w:space="0" w:color="auto"/>
            <w:bottom w:val="none" w:sz="0" w:space="0" w:color="auto"/>
            <w:right w:val="none" w:sz="0" w:space="0" w:color="auto"/>
          </w:divBdr>
        </w:div>
        <w:div w:id="520054094">
          <w:marLeft w:val="0"/>
          <w:marRight w:val="0"/>
          <w:marTop w:val="0"/>
          <w:marBottom w:val="0"/>
          <w:divBdr>
            <w:top w:val="none" w:sz="0" w:space="0" w:color="auto"/>
            <w:left w:val="none" w:sz="0" w:space="0" w:color="auto"/>
            <w:bottom w:val="none" w:sz="0" w:space="0" w:color="auto"/>
            <w:right w:val="none" w:sz="0" w:space="0" w:color="auto"/>
          </w:divBdr>
        </w:div>
        <w:div w:id="595552782">
          <w:marLeft w:val="0"/>
          <w:marRight w:val="0"/>
          <w:marTop w:val="0"/>
          <w:marBottom w:val="0"/>
          <w:divBdr>
            <w:top w:val="none" w:sz="0" w:space="0" w:color="auto"/>
            <w:left w:val="none" w:sz="0" w:space="0" w:color="auto"/>
            <w:bottom w:val="none" w:sz="0" w:space="0" w:color="auto"/>
            <w:right w:val="none" w:sz="0" w:space="0" w:color="auto"/>
          </w:divBdr>
        </w:div>
        <w:div w:id="665518453">
          <w:marLeft w:val="0"/>
          <w:marRight w:val="0"/>
          <w:marTop w:val="0"/>
          <w:marBottom w:val="0"/>
          <w:divBdr>
            <w:top w:val="none" w:sz="0" w:space="0" w:color="auto"/>
            <w:left w:val="none" w:sz="0" w:space="0" w:color="auto"/>
            <w:bottom w:val="none" w:sz="0" w:space="0" w:color="auto"/>
            <w:right w:val="none" w:sz="0" w:space="0" w:color="auto"/>
          </w:divBdr>
        </w:div>
        <w:div w:id="730930072">
          <w:marLeft w:val="0"/>
          <w:marRight w:val="0"/>
          <w:marTop w:val="0"/>
          <w:marBottom w:val="0"/>
          <w:divBdr>
            <w:top w:val="none" w:sz="0" w:space="0" w:color="auto"/>
            <w:left w:val="none" w:sz="0" w:space="0" w:color="auto"/>
            <w:bottom w:val="none" w:sz="0" w:space="0" w:color="auto"/>
            <w:right w:val="none" w:sz="0" w:space="0" w:color="auto"/>
          </w:divBdr>
        </w:div>
        <w:div w:id="797335778">
          <w:marLeft w:val="0"/>
          <w:marRight w:val="0"/>
          <w:marTop w:val="0"/>
          <w:marBottom w:val="0"/>
          <w:divBdr>
            <w:top w:val="none" w:sz="0" w:space="0" w:color="auto"/>
            <w:left w:val="none" w:sz="0" w:space="0" w:color="auto"/>
            <w:bottom w:val="none" w:sz="0" w:space="0" w:color="auto"/>
            <w:right w:val="none" w:sz="0" w:space="0" w:color="auto"/>
          </w:divBdr>
        </w:div>
        <w:div w:id="859903213">
          <w:marLeft w:val="0"/>
          <w:marRight w:val="0"/>
          <w:marTop w:val="0"/>
          <w:marBottom w:val="0"/>
          <w:divBdr>
            <w:top w:val="none" w:sz="0" w:space="0" w:color="auto"/>
            <w:left w:val="none" w:sz="0" w:space="0" w:color="auto"/>
            <w:bottom w:val="none" w:sz="0" w:space="0" w:color="auto"/>
            <w:right w:val="none" w:sz="0" w:space="0" w:color="auto"/>
          </w:divBdr>
        </w:div>
        <w:div w:id="883297264">
          <w:marLeft w:val="0"/>
          <w:marRight w:val="0"/>
          <w:marTop w:val="0"/>
          <w:marBottom w:val="0"/>
          <w:divBdr>
            <w:top w:val="none" w:sz="0" w:space="0" w:color="auto"/>
            <w:left w:val="none" w:sz="0" w:space="0" w:color="auto"/>
            <w:bottom w:val="none" w:sz="0" w:space="0" w:color="auto"/>
            <w:right w:val="none" w:sz="0" w:space="0" w:color="auto"/>
          </w:divBdr>
        </w:div>
        <w:div w:id="973869255">
          <w:marLeft w:val="0"/>
          <w:marRight w:val="0"/>
          <w:marTop w:val="0"/>
          <w:marBottom w:val="0"/>
          <w:divBdr>
            <w:top w:val="none" w:sz="0" w:space="0" w:color="auto"/>
            <w:left w:val="none" w:sz="0" w:space="0" w:color="auto"/>
            <w:bottom w:val="none" w:sz="0" w:space="0" w:color="auto"/>
            <w:right w:val="none" w:sz="0" w:space="0" w:color="auto"/>
          </w:divBdr>
        </w:div>
        <w:div w:id="1004552604">
          <w:marLeft w:val="0"/>
          <w:marRight w:val="0"/>
          <w:marTop w:val="0"/>
          <w:marBottom w:val="0"/>
          <w:divBdr>
            <w:top w:val="none" w:sz="0" w:space="0" w:color="auto"/>
            <w:left w:val="none" w:sz="0" w:space="0" w:color="auto"/>
            <w:bottom w:val="none" w:sz="0" w:space="0" w:color="auto"/>
            <w:right w:val="none" w:sz="0" w:space="0" w:color="auto"/>
          </w:divBdr>
        </w:div>
        <w:div w:id="1010914538">
          <w:marLeft w:val="0"/>
          <w:marRight w:val="0"/>
          <w:marTop w:val="0"/>
          <w:marBottom w:val="0"/>
          <w:divBdr>
            <w:top w:val="none" w:sz="0" w:space="0" w:color="auto"/>
            <w:left w:val="none" w:sz="0" w:space="0" w:color="auto"/>
            <w:bottom w:val="none" w:sz="0" w:space="0" w:color="auto"/>
            <w:right w:val="none" w:sz="0" w:space="0" w:color="auto"/>
          </w:divBdr>
        </w:div>
        <w:div w:id="1023634066">
          <w:marLeft w:val="0"/>
          <w:marRight w:val="0"/>
          <w:marTop w:val="0"/>
          <w:marBottom w:val="0"/>
          <w:divBdr>
            <w:top w:val="none" w:sz="0" w:space="0" w:color="auto"/>
            <w:left w:val="none" w:sz="0" w:space="0" w:color="auto"/>
            <w:bottom w:val="none" w:sz="0" w:space="0" w:color="auto"/>
            <w:right w:val="none" w:sz="0" w:space="0" w:color="auto"/>
          </w:divBdr>
        </w:div>
        <w:div w:id="1194348588">
          <w:marLeft w:val="0"/>
          <w:marRight w:val="0"/>
          <w:marTop w:val="0"/>
          <w:marBottom w:val="0"/>
          <w:divBdr>
            <w:top w:val="none" w:sz="0" w:space="0" w:color="auto"/>
            <w:left w:val="none" w:sz="0" w:space="0" w:color="auto"/>
            <w:bottom w:val="none" w:sz="0" w:space="0" w:color="auto"/>
            <w:right w:val="none" w:sz="0" w:space="0" w:color="auto"/>
          </w:divBdr>
        </w:div>
        <w:div w:id="1212881873">
          <w:marLeft w:val="0"/>
          <w:marRight w:val="0"/>
          <w:marTop w:val="0"/>
          <w:marBottom w:val="0"/>
          <w:divBdr>
            <w:top w:val="none" w:sz="0" w:space="0" w:color="auto"/>
            <w:left w:val="none" w:sz="0" w:space="0" w:color="auto"/>
            <w:bottom w:val="none" w:sz="0" w:space="0" w:color="auto"/>
            <w:right w:val="none" w:sz="0" w:space="0" w:color="auto"/>
          </w:divBdr>
        </w:div>
        <w:div w:id="1252855309">
          <w:marLeft w:val="0"/>
          <w:marRight w:val="0"/>
          <w:marTop w:val="0"/>
          <w:marBottom w:val="0"/>
          <w:divBdr>
            <w:top w:val="none" w:sz="0" w:space="0" w:color="auto"/>
            <w:left w:val="none" w:sz="0" w:space="0" w:color="auto"/>
            <w:bottom w:val="none" w:sz="0" w:space="0" w:color="auto"/>
            <w:right w:val="none" w:sz="0" w:space="0" w:color="auto"/>
          </w:divBdr>
        </w:div>
        <w:div w:id="1552033616">
          <w:marLeft w:val="0"/>
          <w:marRight w:val="0"/>
          <w:marTop w:val="0"/>
          <w:marBottom w:val="0"/>
          <w:divBdr>
            <w:top w:val="none" w:sz="0" w:space="0" w:color="auto"/>
            <w:left w:val="none" w:sz="0" w:space="0" w:color="auto"/>
            <w:bottom w:val="none" w:sz="0" w:space="0" w:color="auto"/>
            <w:right w:val="none" w:sz="0" w:space="0" w:color="auto"/>
          </w:divBdr>
        </w:div>
        <w:div w:id="1659454934">
          <w:marLeft w:val="0"/>
          <w:marRight w:val="0"/>
          <w:marTop w:val="0"/>
          <w:marBottom w:val="0"/>
          <w:divBdr>
            <w:top w:val="none" w:sz="0" w:space="0" w:color="auto"/>
            <w:left w:val="none" w:sz="0" w:space="0" w:color="auto"/>
            <w:bottom w:val="none" w:sz="0" w:space="0" w:color="auto"/>
            <w:right w:val="none" w:sz="0" w:space="0" w:color="auto"/>
          </w:divBdr>
        </w:div>
        <w:div w:id="1884561257">
          <w:marLeft w:val="0"/>
          <w:marRight w:val="0"/>
          <w:marTop w:val="0"/>
          <w:marBottom w:val="0"/>
          <w:divBdr>
            <w:top w:val="none" w:sz="0" w:space="0" w:color="auto"/>
            <w:left w:val="none" w:sz="0" w:space="0" w:color="auto"/>
            <w:bottom w:val="none" w:sz="0" w:space="0" w:color="auto"/>
            <w:right w:val="none" w:sz="0" w:space="0" w:color="auto"/>
          </w:divBdr>
        </w:div>
        <w:div w:id="2074698356">
          <w:marLeft w:val="0"/>
          <w:marRight w:val="0"/>
          <w:marTop w:val="0"/>
          <w:marBottom w:val="0"/>
          <w:divBdr>
            <w:top w:val="none" w:sz="0" w:space="0" w:color="auto"/>
            <w:left w:val="none" w:sz="0" w:space="0" w:color="auto"/>
            <w:bottom w:val="none" w:sz="0" w:space="0" w:color="auto"/>
            <w:right w:val="none" w:sz="0" w:space="0" w:color="auto"/>
          </w:divBdr>
        </w:div>
      </w:divsChild>
    </w:div>
    <w:div w:id="7759136">
      <w:bodyDiv w:val="1"/>
      <w:marLeft w:val="0"/>
      <w:marRight w:val="0"/>
      <w:marTop w:val="0"/>
      <w:marBottom w:val="0"/>
      <w:divBdr>
        <w:top w:val="none" w:sz="0" w:space="0" w:color="auto"/>
        <w:left w:val="none" w:sz="0" w:space="0" w:color="auto"/>
        <w:bottom w:val="none" w:sz="0" w:space="0" w:color="auto"/>
        <w:right w:val="none" w:sz="0" w:space="0" w:color="auto"/>
      </w:divBdr>
    </w:div>
    <w:div w:id="8257837">
      <w:bodyDiv w:val="1"/>
      <w:marLeft w:val="0"/>
      <w:marRight w:val="0"/>
      <w:marTop w:val="0"/>
      <w:marBottom w:val="0"/>
      <w:divBdr>
        <w:top w:val="none" w:sz="0" w:space="0" w:color="auto"/>
        <w:left w:val="none" w:sz="0" w:space="0" w:color="auto"/>
        <w:bottom w:val="none" w:sz="0" w:space="0" w:color="auto"/>
        <w:right w:val="none" w:sz="0" w:space="0" w:color="auto"/>
      </w:divBdr>
      <w:divsChild>
        <w:div w:id="708991356">
          <w:marLeft w:val="0"/>
          <w:marRight w:val="0"/>
          <w:marTop w:val="0"/>
          <w:marBottom w:val="0"/>
          <w:divBdr>
            <w:top w:val="none" w:sz="0" w:space="0" w:color="auto"/>
            <w:left w:val="none" w:sz="0" w:space="0" w:color="auto"/>
            <w:bottom w:val="none" w:sz="0" w:space="0" w:color="auto"/>
            <w:right w:val="none" w:sz="0" w:space="0" w:color="auto"/>
          </w:divBdr>
          <w:divsChild>
            <w:div w:id="11776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709">
      <w:bodyDiv w:val="1"/>
      <w:marLeft w:val="0"/>
      <w:marRight w:val="0"/>
      <w:marTop w:val="0"/>
      <w:marBottom w:val="0"/>
      <w:divBdr>
        <w:top w:val="none" w:sz="0" w:space="0" w:color="auto"/>
        <w:left w:val="none" w:sz="0" w:space="0" w:color="auto"/>
        <w:bottom w:val="none" w:sz="0" w:space="0" w:color="auto"/>
        <w:right w:val="none" w:sz="0" w:space="0" w:color="auto"/>
      </w:divBdr>
    </w:div>
    <w:div w:id="13505969">
      <w:bodyDiv w:val="1"/>
      <w:marLeft w:val="0"/>
      <w:marRight w:val="0"/>
      <w:marTop w:val="0"/>
      <w:marBottom w:val="0"/>
      <w:divBdr>
        <w:top w:val="none" w:sz="0" w:space="0" w:color="auto"/>
        <w:left w:val="none" w:sz="0" w:space="0" w:color="auto"/>
        <w:bottom w:val="none" w:sz="0" w:space="0" w:color="auto"/>
        <w:right w:val="none" w:sz="0" w:space="0" w:color="auto"/>
      </w:divBdr>
      <w:divsChild>
        <w:div w:id="1067150600">
          <w:marLeft w:val="274"/>
          <w:marRight w:val="0"/>
          <w:marTop w:val="0"/>
          <w:marBottom w:val="120"/>
          <w:divBdr>
            <w:top w:val="none" w:sz="0" w:space="0" w:color="auto"/>
            <w:left w:val="none" w:sz="0" w:space="0" w:color="auto"/>
            <w:bottom w:val="none" w:sz="0" w:space="0" w:color="auto"/>
            <w:right w:val="none" w:sz="0" w:space="0" w:color="auto"/>
          </w:divBdr>
        </w:div>
        <w:div w:id="1230533884">
          <w:marLeft w:val="274"/>
          <w:marRight w:val="0"/>
          <w:marTop w:val="0"/>
          <w:marBottom w:val="120"/>
          <w:divBdr>
            <w:top w:val="none" w:sz="0" w:space="0" w:color="auto"/>
            <w:left w:val="none" w:sz="0" w:space="0" w:color="auto"/>
            <w:bottom w:val="none" w:sz="0" w:space="0" w:color="auto"/>
            <w:right w:val="none" w:sz="0" w:space="0" w:color="auto"/>
          </w:divBdr>
        </w:div>
      </w:divsChild>
    </w:div>
    <w:div w:id="27488655">
      <w:bodyDiv w:val="1"/>
      <w:marLeft w:val="0"/>
      <w:marRight w:val="0"/>
      <w:marTop w:val="0"/>
      <w:marBottom w:val="0"/>
      <w:divBdr>
        <w:top w:val="none" w:sz="0" w:space="0" w:color="auto"/>
        <w:left w:val="none" w:sz="0" w:space="0" w:color="auto"/>
        <w:bottom w:val="none" w:sz="0" w:space="0" w:color="auto"/>
        <w:right w:val="none" w:sz="0" w:space="0" w:color="auto"/>
      </w:divBdr>
    </w:div>
    <w:div w:id="31463979">
      <w:bodyDiv w:val="1"/>
      <w:marLeft w:val="0"/>
      <w:marRight w:val="0"/>
      <w:marTop w:val="0"/>
      <w:marBottom w:val="0"/>
      <w:divBdr>
        <w:top w:val="none" w:sz="0" w:space="0" w:color="auto"/>
        <w:left w:val="none" w:sz="0" w:space="0" w:color="auto"/>
        <w:bottom w:val="none" w:sz="0" w:space="0" w:color="auto"/>
        <w:right w:val="none" w:sz="0" w:space="0" w:color="auto"/>
      </w:divBdr>
    </w:div>
    <w:div w:id="43719985">
      <w:bodyDiv w:val="1"/>
      <w:marLeft w:val="0"/>
      <w:marRight w:val="0"/>
      <w:marTop w:val="0"/>
      <w:marBottom w:val="0"/>
      <w:divBdr>
        <w:top w:val="none" w:sz="0" w:space="0" w:color="auto"/>
        <w:left w:val="none" w:sz="0" w:space="0" w:color="auto"/>
        <w:bottom w:val="none" w:sz="0" w:space="0" w:color="auto"/>
        <w:right w:val="none" w:sz="0" w:space="0" w:color="auto"/>
      </w:divBdr>
      <w:divsChild>
        <w:div w:id="1900837">
          <w:marLeft w:val="0"/>
          <w:marRight w:val="0"/>
          <w:marTop w:val="0"/>
          <w:marBottom w:val="0"/>
          <w:divBdr>
            <w:top w:val="none" w:sz="0" w:space="0" w:color="auto"/>
            <w:left w:val="none" w:sz="0" w:space="0" w:color="auto"/>
            <w:bottom w:val="none" w:sz="0" w:space="0" w:color="auto"/>
            <w:right w:val="none" w:sz="0" w:space="0" w:color="auto"/>
          </w:divBdr>
        </w:div>
        <w:div w:id="17439467">
          <w:marLeft w:val="0"/>
          <w:marRight w:val="0"/>
          <w:marTop w:val="0"/>
          <w:marBottom w:val="0"/>
          <w:divBdr>
            <w:top w:val="none" w:sz="0" w:space="0" w:color="auto"/>
            <w:left w:val="none" w:sz="0" w:space="0" w:color="auto"/>
            <w:bottom w:val="none" w:sz="0" w:space="0" w:color="auto"/>
            <w:right w:val="none" w:sz="0" w:space="0" w:color="auto"/>
          </w:divBdr>
        </w:div>
        <w:div w:id="23412848">
          <w:marLeft w:val="0"/>
          <w:marRight w:val="0"/>
          <w:marTop w:val="0"/>
          <w:marBottom w:val="0"/>
          <w:divBdr>
            <w:top w:val="none" w:sz="0" w:space="0" w:color="auto"/>
            <w:left w:val="none" w:sz="0" w:space="0" w:color="auto"/>
            <w:bottom w:val="none" w:sz="0" w:space="0" w:color="auto"/>
            <w:right w:val="none" w:sz="0" w:space="0" w:color="auto"/>
          </w:divBdr>
        </w:div>
        <w:div w:id="25757136">
          <w:marLeft w:val="0"/>
          <w:marRight w:val="0"/>
          <w:marTop w:val="0"/>
          <w:marBottom w:val="0"/>
          <w:divBdr>
            <w:top w:val="none" w:sz="0" w:space="0" w:color="auto"/>
            <w:left w:val="none" w:sz="0" w:space="0" w:color="auto"/>
            <w:bottom w:val="none" w:sz="0" w:space="0" w:color="auto"/>
            <w:right w:val="none" w:sz="0" w:space="0" w:color="auto"/>
          </w:divBdr>
        </w:div>
        <w:div w:id="33772436">
          <w:marLeft w:val="0"/>
          <w:marRight w:val="0"/>
          <w:marTop w:val="0"/>
          <w:marBottom w:val="0"/>
          <w:divBdr>
            <w:top w:val="none" w:sz="0" w:space="0" w:color="auto"/>
            <w:left w:val="none" w:sz="0" w:space="0" w:color="auto"/>
            <w:bottom w:val="none" w:sz="0" w:space="0" w:color="auto"/>
            <w:right w:val="none" w:sz="0" w:space="0" w:color="auto"/>
          </w:divBdr>
        </w:div>
        <w:div w:id="211038638">
          <w:marLeft w:val="0"/>
          <w:marRight w:val="0"/>
          <w:marTop w:val="0"/>
          <w:marBottom w:val="0"/>
          <w:divBdr>
            <w:top w:val="none" w:sz="0" w:space="0" w:color="auto"/>
            <w:left w:val="none" w:sz="0" w:space="0" w:color="auto"/>
            <w:bottom w:val="none" w:sz="0" w:space="0" w:color="auto"/>
            <w:right w:val="none" w:sz="0" w:space="0" w:color="auto"/>
          </w:divBdr>
        </w:div>
        <w:div w:id="263147587">
          <w:marLeft w:val="0"/>
          <w:marRight w:val="0"/>
          <w:marTop w:val="0"/>
          <w:marBottom w:val="0"/>
          <w:divBdr>
            <w:top w:val="none" w:sz="0" w:space="0" w:color="auto"/>
            <w:left w:val="none" w:sz="0" w:space="0" w:color="auto"/>
            <w:bottom w:val="none" w:sz="0" w:space="0" w:color="auto"/>
            <w:right w:val="none" w:sz="0" w:space="0" w:color="auto"/>
          </w:divBdr>
        </w:div>
        <w:div w:id="326642020">
          <w:marLeft w:val="0"/>
          <w:marRight w:val="0"/>
          <w:marTop w:val="0"/>
          <w:marBottom w:val="0"/>
          <w:divBdr>
            <w:top w:val="none" w:sz="0" w:space="0" w:color="auto"/>
            <w:left w:val="none" w:sz="0" w:space="0" w:color="auto"/>
            <w:bottom w:val="none" w:sz="0" w:space="0" w:color="auto"/>
            <w:right w:val="none" w:sz="0" w:space="0" w:color="auto"/>
          </w:divBdr>
        </w:div>
        <w:div w:id="410201215">
          <w:marLeft w:val="0"/>
          <w:marRight w:val="0"/>
          <w:marTop w:val="0"/>
          <w:marBottom w:val="0"/>
          <w:divBdr>
            <w:top w:val="none" w:sz="0" w:space="0" w:color="auto"/>
            <w:left w:val="none" w:sz="0" w:space="0" w:color="auto"/>
            <w:bottom w:val="none" w:sz="0" w:space="0" w:color="auto"/>
            <w:right w:val="none" w:sz="0" w:space="0" w:color="auto"/>
          </w:divBdr>
        </w:div>
        <w:div w:id="473447203">
          <w:marLeft w:val="0"/>
          <w:marRight w:val="0"/>
          <w:marTop w:val="0"/>
          <w:marBottom w:val="0"/>
          <w:divBdr>
            <w:top w:val="none" w:sz="0" w:space="0" w:color="auto"/>
            <w:left w:val="none" w:sz="0" w:space="0" w:color="auto"/>
            <w:bottom w:val="none" w:sz="0" w:space="0" w:color="auto"/>
            <w:right w:val="none" w:sz="0" w:space="0" w:color="auto"/>
          </w:divBdr>
        </w:div>
        <w:div w:id="487669710">
          <w:marLeft w:val="0"/>
          <w:marRight w:val="0"/>
          <w:marTop w:val="0"/>
          <w:marBottom w:val="0"/>
          <w:divBdr>
            <w:top w:val="none" w:sz="0" w:space="0" w:color="auto"/>
            <w:left w:val="none" w:sz="0" w:space="0" w:color="auto"/>
            <w:bottom w:val="none" w:sz="0" w:space="0" w:color="auto"/>
            <w:right w:val="none" w:sz="0" w:space="0" w:color="auto"/>
          </w:divBdr>
        </w:div>
        <w:div w:id="497499674">
          <w:marLeft w:val="0"/>
          <w:marRight w:val="0"/>
          <w:marTop w:val="0"/>
          <w:marBottom w:val="0"/>
          <w:divBdr>
            <w:top w:val="none" w:sz="0" w:space="0" w:color="auto"/>
            <w:left w:val="none" w:sz="0" w:space="0" w:color="auto"/>
            <w:bottom w:val="none" w:sz="0" w:space="0" w:color="auto"/>
            <w:right w:val="none" w:sz="0" w:space="0" w:color="auto"/>
          </w:divBdr>
        </w:div>
        <w:div w:id="617493175">
          <w:marLeft w:val="0"/>
          <w:marRight w:val="0"/>
          <w:marTop w:val="0"/>
          <w:marBottom w:val="0"/>
          <w:divBdr>
            <w:top w:val="none" w:sz="0" w:space="0" w:color="auto"/>
            <w:left w:val="none" w:sz="0" w:space="0" w:color="auto"/>
            <w:bottom w:val="none" w:sz="0" w:space="0" w:color="auto"/>
            <w:right w:val="none" w:sz="0" w:space="0" w:color="auto"/>
          </w:divBdr>
        </w:div>
        <w:div w:id="624459296">
          <w:marLeft w:val="0"/>
          <w:marRight w:val="0"/>
          <w:marTop w:val="0"/>
          <w:marBottom w:val="0"/>
          <w:divBdr>
            <w:top w:val="none" w:sz="0" w:space="0" w:color="auto"/>
            <w:left w:val="none" w:sz="0" w:space="0" w:color="auto"/>
            <w:bottom w:val="none" w:sz="0" w:space="0" w:color="auto"/>
            <w:right w:val="none" w:sz="0" w:space="0" w:color="auto"/>
          </w:divBdr>
        </w:div>
        <w:div w:id="670987474">
          <w:marLeft w:val="0"/>
          <w:marRight w:val="0"/>
          <w:marTop w:val="0"/>
          <w:marBottom w:val="0"/>
          <w:divBdr>
            <w:top w:val="none" w:sz="0" w:space="0" w:color="auto"/>
            <w:left w:val="none" w:sz="0" w:space="0" w:color="auto"/>
            <w:bottom w:val="none" w:sz="0" w:space="0" w:color="auto"/>
            <w:right w:val="none" w:sz="0" w:space="0" w:color="auto"/>
          </w:divBdr>
        </w:div>
        <w:div w:id="687676571">
          <w:marLeft w:val="0"/>
          <w:marRight w:val="0"/>
          <w:marTop w:val="0"/>
          <w:marBottom w:val="0"/>
          <w:divBdr>
            <w:top w:val="none" w:sz="0" w:space="0" w:color="auto"/>
            <w:left w:val="none" w:sz="0" w:space="0" w:color="auto"/>
            <w:bottom w:val="none" w:sz="0" w:space="0" w:color="auto"/>
            <w:right w:val="none" w:sz="0" w:space="0" w:color="auto"/>
          </w:divBdr>
        </w:div>
        <w:div w:id="816455101">
          <w:marLeft w:val="0"/>
          <w:marRight w:val="0"/>
          <w:marTop w:val="0"/>
          <w:marBottom w:val="0"/>
          <w:divBdr>
            <w:top w:val="none" w:sz="0" w:space="0" w:color="auto"/>
            <w:left w:val="none" w:sz="0" w:space="0" w:color="auto"/>
            <w:bottom w:val="none" w:sz="0" w:space="0" w:color="auto"/>
            <w:right w:val="none" w:sz="0" w:space="0" w:color="auto"/>
          </w:divBdr>
        </w:div>
        <w:div w:id="923104750">
          <w:marLeft w:val="0"/>
          <w:marRight w:val="0"/>
          <w:marTop w:val="0"/>
          <w:marBottom w:val="0"/>
          <w:divBdr>
            <w:top w:val="none" w:sz="0" w:space="0" w:color="auto"/>
            <w:left w:val="none" w:sz="0" w:space="0" w:color="auto"/>
            <w:bottom w:val="none" w:sz="0" w:space="0" w:color="auto"/>
            <w:right w:val="none" w:sz="0" w:space="0" w:color="auto"/>
          </w:divBdr>
        </w:div>
        <w:div w:id="946539943">
          <w:marLeft w:val="0"/>
          <w:marRight w:val="0"/>
          <w:marTop w:val="0"/>
          <w:marBottom w:val="0"/>
          <w:divBdr>
            <w:top w:val="none" w:sz="0" w:space="0" w:color="auto"/>
            <w:left w:val="none" w:sz="0" w:space="0" w:color="auto"/>
            <w:bottom w:val="none" w:sz="0" w:space="0" w:color="auto"/>
            <w:right w:val="none" w:sz="0" w:space="0" w:color="auto"/>
          </w:divBdr>
        </w:div>
        <w:div w:id="963386783">
          <w:marLeft w:val="0"/>
          <w:marRight w:val="0"/>
          <w:marTop w:val="0"/>
          <w:marBottom w:val="0"/>
          <w:divBdr>
            <w:top w:val="none" w:sz="0" w:space="0" w:color="auto"/>
            <w:left w:val="none" w:sz="0" w:space="0" w:color="auto"/>
            <w:bottom w:val="none" w:sz="0" w:space="0" w:color="auto"/>
            <w:right w:val="none" w:sz="0" w:space="0" w:color="auto"/>
          </w:divBdr>
        </w:div>
        <w:div w:id="1008600252">
          <w:marLeft w:val="0"/>
          <w:marRight w:val="0"/>
          <w:marTop w:val="0"/>
          <w:marBottom w:val="0"/>
          <w:divBdr>
            <w:top w:val="none" w:sz="0" w:space="0" w:color="auto"/>
            <w:left w:val="none" w:sz="0" w:space="0" w:color="auto"/>
            <w:bottom w:val="none" w:sz="0" w:space="0" w:color="auto"/>
            <w:right w:val="none" w:sz="0" w:space="0" w:color="auto"/>
          </w:divBdr>
        </w:div>
        <w:div w:id="1109157570">
          <w:marLeft w:val="0"/>
          <w:marRight w:val="0"/>
          <w:marTop w:val="0"/>
          <w:marBottom w:val="0"/>
          <w:divBdr>
            <w:top w:val="none" w:sz="0" w:space="0" w:color="auto"/>
            <w:left w:val="none" w:sz="0" w:space="0" w:color="auto"/>
            <w:bottom w:val="none" w:sz="0" w:space="0" w:color="auto"/>
            <w:right w:val="none" w:sz="0" w:space="0" w:color="auto"/>
          </w:divBdr>
        </w:div>
        <w:div w:id="1149663840">
          <w:marLeft w:val="0"/>
          <w:marRight w:val="0"/>
          <w:marTop w:val="0"/>
          <w:marBottom w:val="0"/>
          <w:divBdr>
            <w:top w:val="none" w:sz="0" w:space="0" w:color="auto"/>
            <w:left w:val="none" w:sz="0" w:space="0" w:color="auto"/>
            <w:bottom w:val="none" w:sz="0" w:space="0" w:color="auto"/>
            <w:right w:val="none" w:sz="0" w:space="0" w:color="auto"/>
          </w:divBdr>
        </w:div>
        <w:div w:id="1177502631">
          <w:marLeft w:val="0"/>
          <w:marRight w:val="0"/>
          <w:marTop w:val="0"/>
          <w:marBottom w:val="0"/>
          <w:divBdr>
            <w:top w:val="none" w:sz="0" w:space="0" w:color="auto"/>
            <w:left w:val="none" w:sz="0" w:space="0" w:color="auto"/>
            <w:bottom w:val="none" w:sz="0" w:space="0" w:color="auto"/>
            <w:right w:val="none" w:sz="0" w:space="0" w:color="auto"/>
          </w:divBdr>
        </w:div>
        <w:div w:id="1343162135">
          <w:marLeft w:val="0"/>
          <w:marRight w:val="0"/>
          <w:marTop w:val="0"/>
          <w:marBottom w:val="0"/>
          <w:divBdr>
            <w:top w:val="none" w:sz="0" w:space="0" w:color="auto"/>
            <w:left w:val="none" w:sz="0" w:space="0" w:color="auto"/>
            <w:bottom w:val="none" w:sz="0" w:space="0" w:color="auto"/>
            <w:right w:val="none" w:sz="0" w:space="0" w:color="auto"/>
          </w:divBdr>
        </w:div>
        <w:div w:id="1369523981">
          <w:marLeft w:val="0"/>
          <w:marRight w:val="0"/>
          <w:marTop w:val="0"/>
          <w:marBottom w:val="0"/>
          <w:divBdr>
            <w:top w:val="none" w:sz="0" w:space="0" w:color="auto"/>
            <w:left w:val="none" w:sz="0" w:space="0" w:color="auto"/>
            <w:bottom w:val="none" w:sz="0" w:space="0" w:color="auto"/>
            <w:right w:val="none" w:sz="0" w:space="0" w:color="auto"/>
          </w:divBdr>
        </w:div>
        <w:div w:id="1433819889">
          <w:marLeft w:val="0"/>
          <w:marRight w:val="0"/>
          <w:marTop w:val="0"/>
          <w:marBottom w:val="0"/>
          <w:divBdr>
            <w:top w:val="none" w:sz="0" w:space="0" w:color="auto"/>
            <w:left w:val="none" w:sz="0" w:space="0" w:color="auto"/>
            <w:bottom w:val="none" w:sz="0" w:space="0" w:color="auto"/>
            <w:right w:val="none" w:sz="0" w:space="0" w:color="auto"/>
          </w:divBdr>
        </w:div>
        <w:div w:id="1471362640">
          <w:marLeft w:val="0"/>
          <w:marRight w:val="0"/>
          <w:marTop w:val="0"/>
          <w:marBottom w:val="0"/>
          <w:divBdr>
            <w:top w:val="none" w:sz="0" w:space="0" w:color="auto"/>
            <w:left w:val="none" w:sz="0" w:space="0" w:color="auto"/>
            <w:bottom w:val="none" w:sz="0" w:space="0" w:color="auto"/>
            <w:right w:val="none" w:sz="0" w:space="0" w:color="auto"/>
          </w:divBdr>
        </w:div>
        <w:div w:id="1485388121">
          <w:marLeft w:val="0"/>
          <w:marRight w:val="0"/>
          <w:marTop w:val="0"/>
          <w:marBottom w:val="0"/>
          <w:divBdr>
            <w:top w:val="none" w:sz="0" w:space="0" w:color="auto"/>
            <w:left w:val="none" w:sz="0" w:space="0" w:color="auto"/>
            <w:bottom w:val="none" w:sz="0" w:space="0" w:color="auto"/>
            <w:right w:val="none" w:sz="0" w:space="0" w:color="auto"/>
          </w:divBdr>
        </w:div>
        <w:div w:id="1493526404">
          <w:marLeft w:val="0"/>
          <w:marRight w:val="0"/>
          <w:marTop w:val="0"/>
          <w:marBottom w:val="0"/>
          <w:divBdr>
            <w:top w:val="none" w:sz="0" w:space="0" w:color="auto"/>
            <w:left w:val="none" w:sz="0" w:space="0" w:color="auto"/>
            <w:bottom w:val="none" w:sz="0" w:space="0" w:color="auto"/>
            <w:right w:val="none" w:sz="0" w:space="0" w:color="auto"/>
          </w:divBdr>
        </w:div>
        <w:div w:id="1589919110">
          <w:marLeft w:val="0"/>
          <w:marRight w:val="0"/>
          <w:marTop w:val="0"/>
          <w:marBottom w:val="0"/>
          <w:divBdr>
            <w:top w:val="none" w:sz="0" w:space="0" w:color="auto"/>
            <w:left w:val="none" w:sz="0" w:space="0" w:color="auto"/>
            <w:bottom w:val="none" w:sz="0" w:space="0" w:color="auto"/>
            <w:right w:val="none" w:sz="0" w:space="0" w:color="auto"/>
          </w:divBdr>
        </w:div>
        <w:div w:id="1684743874">
          <w:marLeft w:val="0"/>
          <w:marRight w:val="0"/>
          <w:marTop w:val="0"/>
          <w:marBottom w:val="0"/>
          <w:divBdr>
            <w:top w:val="none" w:sz="0" w:space="0" w:color="auto"/>
            <w:left w:val="none" w:sz="0" w:space="0" w:color="auto"/>
            <w:bottom w:val="none" w:sz="0" w:space="0" w:color="auto"/>
            <w:right w:val="none" w:sz="0" w:space="0" w:color="auto"/>
          </w:divBdr>
        </w:div>
        <w:div w:id="1715301368">
          <w:marLeft w:val="0"/>
          <w:marRight w:val="0"/>
          <w:marTop w:val="0"/>
          <w:marBottom w:val="0"/>
          <w:divBdr>
            <w:top w:val="none" w:sz="0" w:space="0" w:color="auto"/>
            <w:left w:val="none" w:sz="0" w:space="0" w:color="auto"/>
            <w:bottom w:val="none" w:sz="0" w:space="0" w:color="auto"/>
            <w:right w:val="none" w:sz="0" w:space="0" w:color="auto"/>
          </w:divBdr>
        </w:div>
        <w:div w:id="1766149865">
          <w:marLeft w:val="0"/>
          <w:marRight w:val="0"/>
          <w:marTop w:val="0"/>
          <w:marBottom w:val="0"/>
          <w:divBdr>
            <w:top w:val="none" w:sz="0" w:space="0" w:color="auto"/>
            <w:left w:val="none" w:sz="0" w:space="0" w:color="auto"/>
            <w:bottom w:val="none" w:sz="0" w:space="0" w:color="auto"/>
            <w:right w:val="none" w:sz="0" w:space="0" w:color="auto"/>
          </w:divBdr>
        </w:div>
        <w:div w:id="1821655575">
          <w:marLeft w:val="0"/>
          <w:marRight w:val="0"/>
          <w:marTop w:val="0"/>
          <w:marBottom w:val="0"/>
          <w:divBdr>
            <w:top w:val="none" w:sz="0" w:space="0" w:color="auto"/>
            <w:left w:val="none" w:sz="0" w:space="0" w:color="auto"/>
            <w:bottom w:val="none" w:sz="0" w:space="0" w:color="auto"/>
            <w:right w:val="none" w:sz="0" w:space="0" w:color="auto"/>
          </w:divBdr>
        </w:div>
        <w:div w:id="1849635912">
          <w:marLeft w:val="0"/>
          <w:marRight w:val="0"/>
          <w:marTop w:val="0"/>
          <w:marBottom w:val="0"/>
          <w:divBdr>
            <w:top w:val="none" w:sz="0" w:space="0" w:color="auto"/>
            <w:left w:val="none" w:sz="0" w:space="0" w:color="auto"/>
            <w:bottom w:val="none" w:sz="0" w:space="0" w:color="auto"/>
            <w:right w:val="none" w:sz="0" w:space="0" w:color="auto"/>
          </w:divBdr>
        </w:div>
        <w:div w:id="1889678332">
          <w:marLeft w:val="0"/>
          <w:marRight w:val="0"/>
          <w:marTop w:val="0"/>
          <w:marBottom w:val="0"/>
          <w:divBdr>
            <w:top w:val="none" w:sz="0" w:space="0" w:color="auto"/>
            <w:left w:val="none" w:sz="0" w:space="0" w:color="auto"/>
            <w:bottom w:val="none" w:sz="0" w:space="0" w:color="auto"/>
            <w:right w:val="none" w:sz="0" w:space="0" w:color="auto"/>
          </w:divBdr>
        </w:div>
        <w:div w:id="1918831135">
          <w:marLeft w:val="0"/>
          <w:marRight w:val="0"/>
          <w:marTop w:val="0"/>
          <w:marBottom w:val="0"/>
          <w:divBdr>
            <w:top w:val="none" w:sz="0" w:space="0" w:color="auto"/>
            <w:left w:val="none" w:sz="0" w:space="0" w:color="auto"/>
            <w:bottom w:val="none" w:sz="0" w:space="0" w:color="auto"/>
            <w:right w:val="none" w:sz="0" w:space="0" w:color="auto"/>
          </w:divBdr>
        </w:div>
        <w:div w:id="2041779896">
          <w:marLeft w:val="0"/>
          <w:marRight w:val="0"/>
          <w:marTop w:val="0"/>
          <w:marBottom w:val="0"/>
          <w:divBdr>
            <w:top w:val="none" w:sz="0" w:space="0" w:color="auto"/>
            <w:left w:val="none" w:sz="0" w:space="0" w:color="auto"/>
            <w:bottom w:val="none" w:sz="0" w:space="0" w:color="auto"/>
            <w:right w:val="none" w:sz="0" w:space="0" w:color="auto"/>
          </w:divBdr>
        </w:div>
        <w:div w:id="2058701878">
          <w:marLeft w:val="0"/>
          <w:marRight w:val="0"/>
          <w:marTop w:val="0"/>
          <w:marBottom w:val="0"/>
          <w:divBdr>
            <w:top w:val="none" w:sz="0" w:space="0" w:color="auto"/>
            <w:left w:val="none" w:sz="0" w:space="0" w:color="auto"/>
            <w:bottom w:val="none" w:sz="0" w:space="0" w:color="auto"/>
            <w:right w:val="none" w:sz="0" w:space="0" w:color="auto"/>
          </w:divBdr>
        </w:div>
      </w:divsChild>
    </w:div>
    <w:div w:id="46145912">
      <w:bodyDiv w:val="1"/>
      <w:marLeft w:val="0"/>
      <w:marRight w:val="0"/>
      <w:marTop w:val="0"/>
      <w:marBottom w:val="0"/>
      <w:divBdr>
        <w:top w:val="none" w:sz="0" w:space="0" w:color="auto"/>
        <w:left w:val="none" w:sz="0" w:space="0" w:color="auto"/>
        <w:bottom w:val="none" w:sz="0" w:space="0" w:color="auto"/>
        <w:right w:val="none" w:sz="0" w:space="0" w:color="auto"/>
      </w:divBdr>
    </w:div>
    <w:div w:id="47414163">
      <w:bodyDiv w:val="1"/>
      <w:marLeft w:val="0"/>
      <w:marRight w:val="0"/>
      <w:marTop w:val="0"/>
      <w:marBottom w:val="0"/>
      <w:divBdr>
        <w:top w:val="none" w:sz="0" w:space="0" w:color="auto"/>
        <w:left w:val="none" w:sz="0" w:space="0" w:color="auto"/>
        <w:bottom w:val="none" w:sz="0" w:space="0" w:color="auto"/>
        <w:right w:val="none" w:sz="0" w:space="0" w:color="auto"/>
      </w:divBdr>
    </w:div>
    <w:div w:id="61802758">
      <w:bodyDiv w:val="1"/>
      <w:marLeft w:val="0"/>
      <w:marRight w:val="0"/>
      <w:marTop w:val="0"/>
      <w:marBottom w:val="0"/>
      <w:divBdr>
        <w:top w:val="none" w:sz="0" w:space="0" w:color="auto"/>
        <w:left w:val="none" w:sz="0" w:space="0" w:color="auto"/>
        <w:bottom w:val="none" w:sz="0" w:space="0" w:color="auto"/>
        <w:right w:val="none" w:sz="0" w:space="0" w:color="auto"/>
      </w:divBdr>
      <w:divsChild>
        <w:div w:id="258832119">
          <w:marLeft w:val="274"/>
          <w:marRight w:val="0"/>
          <w:marTop w:val="0"/>
          <w:marBottom w:val="120"/>
          <w:divBdr>
            <w:top w:val="none" w:sz="0" w:space="0" w:color="auto"/>
            <w:left w:val="none" w:sz="0" w:space="0" w:color="auto"/>
            <w:bottom w:val="none" w:sz="0" w:space="0" w:color="auto"/>
            <w:right w:val="none" w:sz="0" w:space="0" w:color="auto"/>
          </w:divBdr>
        </w:div>
        <w:div w:id="1244026172">
          <w:marLeft w:val="274"/>
          <w:marRight w:val="0"/>
          <w:marTop w:val="0"/>
          <w:marBottom w:val="120"/>
          <w:divBdr>
            <w:top w:val="none" w:sz="0" w:space="0" w:color="auto"/>
            <w:left w:val="none" w:sz="0" w:space="0" w:color="auto"/>
            <w:bottom w:val="none" w:sz="0" w:space="0" w:color="auto"/>
            <w:right w:val="none" w:sz="0" w:space="0" w:color="auto"/>
          </w:divBdr>
        </w:div>
        <w:div w:id="2001928735">
          <w:marLeft w:val="274"/>
          <w:marRight w:val="0"/>
          <w:marTop w:val="0"/>
          <w:marBottom w:val="120"/>
          <w:divBdr>
            <w:top w:val="none" w:sz="0" w:space="0" w:color="auto"/>
            <w:left w:val="none" w:sz="0" w:space="0" w:color="auto"/>
            <w:bottom w:val="none" w:sz="0" w:space="0" w:color="auto"/>
            <w:right w:val="none" w:sz="0" w:space="0" w:color="auto"/>
          </w:divBdr>
        </w:div>
      </w:divsChild>
    </w:div>
    <w:div w:id="68575693">
      <w:bodyDiv w:val="1"/>
      <w:marLeft w:val="0"/>
      <w:marRight w:val="0"/>
      <w:marTop w:val="0"/>
      <w:marBottom w:val="0"/>
      <w:divBdr>
        <w:top w:val="none" w:sz="0" w:space="0" w:color="auto"/>
        <w:left w:val="none" w:sz="0" w:space="0" w:color="auto"/>
        <w:bottom w:val="none" w:sz="0" w:space="0" w:color="auto"/>
        <w:right w:val="none" w:sz="0" w:space="0" w:color="auto"/>
      </w:divBdr>
    </w:div>
    <w:div w:id="83961758">
      <w:bodyDiv w:val="1"/>
      <w:marLeft w:val="0"/>
      <w:marRight w:val="0"/>
      <w:marTop w:val="0"/>
      <w:marBottom w:val="0"/>
      <w:divBdr>
        <w:top w:val="none" w:sz="0" w:space="0" w:color="auto"/>
        <w:left w:val="none" w:sz="0" w:space="0" w:color="auto"/>
        <w:bottom w:val="none" w:sz="0" w:space="0" w:color="auto"/>
        <w:right w:val="none" w:sz="0" w:space="0" w:color="auto"/>
      </w:divBdr>
    </w:div>
    <w:div w:id="88963646">
      <w:bodyDiv w:val="1"/>
      <w:marLeft w:val="0"/>
      <w:marRight w:val="0"/>
      <w:marTop w:val="0"/>
      <w:marBottom w:val="0"/>
      <w:divBdr>
        <w:top w:val="none" w:sz="0" w:space="0" w:color="auto"/>
        <w:left w:val="none" w:sz="0" w:space="0" w:color="auto"/>
        <w:bottom w:val="none" w:sz="0" w:space="0" w:color="auto"/>
        <w:right w:val="none" w:sz="0" w:space="0" w:color="auto"/>
      </w:divBdr>
    </w:div>
    <w:div w:id="89664445">
      <w:bodyDiv w:val="1"/>
      <w:marLeft w:val="0"/>
      <w:marRight w:val="0"/>
      <w:marTop w:val="0"/>
      <w:marBottom w:val="0"/>
      <w:divBdr>
        <w:top w:val="none" w:sz="0" w:space="0" w:color="auto"/>
        <w:left w:val="none" w:sz="0" w:space="0" w:color="auto"/>
        <w:bottom w:val="none" w:sz="0" w:space="0" w:color="auto"/>
        <w:right w:val="none" w:sz="0" w:space="0" w:color="auto"/>
      </w:divBdr>
    </w:div>
    <w:div w:id="100955617">
      <w:bodyDiv w:val="1"/>
      <w:marLeft w:val="0"/>
      <w:marRight w:val="0"/>
      <w:marTop w:val="0"/>
      <w:marBottom w:val="0"/>
      <w:divBdr>
        <w:top w:val="none" w:sz="0" w:space="0" w:color="auto"/>
        <w:left w:val="none" w:sz="0" w:space="0" w:color="auto"/>
        <w:bottom w:val="none" w:sz="0" w:space="0" w:color="auto"/>
        <w:right w:val="none" w:sz="0" w:space="0" w:color="auto"/>
      </w:divBdr>
    </w:div>
    <w:div w:id="118569068">
      <w:bodyDiv w:val="1"/>
      <w:marLeft w:val="0"/>
      <w:marRight w:val="0"/>
      <w:marTop w:val="0"/>
      <w:marBottom w:val="0"/>
      <w:divBdr>
        <w:top w:val="none" w:sz="0" w:space="0" w:color="auto"/>
        <w:left w:val="none" w:sz="0" w:space="0" w:color="auto"/>
        <w:bottom w:val="none" w:sz="0" w:space="0" w:color="auto"/>
        <w:right w:val="none" w:sz="0" w:space="0" w:color="auto"/>
      </w:divBdr>
    </w:div>
    <w:div w:id="119110199">
      <w:bodyDiv w:val="1"/>
      <w:marLeft w:val="0"/>
      <w:marRight w:val="0"/>
      <w:marTop w:val="0"/>
      <w:marBottom w:val="0"/>
      <w:divBdr>
        <w:top w:val="none" w:sz="0" w:space="0" w:color="auto"/>
        <w:left w:val="none" w:sz="0" w:space="0" w:color="auto"/>
        <w:bottom w:val="none" w:sz="0" w:space="0" w:color="auto"/>
        <w:right w:val="none" w:sz="0" w:space="0" w:color="auto"/>
      </w:divBdr>
      <w:divsChild>
        <w:div w:id="25643233">
          <w:marLeft w:val="0"/>
          <w:marRight w:val="0"/>
          <w:marTop w:val="0"/>
          <w:marBottom w:val="0"/>
          <w:divBdr>
            <w:top w:val="none" w:sz="0" w:space="0" w:color="auto"/>
            <w:left w:val="none" w:sz="0" w:space="0" w:color="auto"/>
            <w:bottom w:val="none" w:sz="0" w:space="0" w:color="auto"/>
            <w:right w:val="none" w:sz="0" w:space="0" w:color="auto"/>
          </w:divBdr>
        </w:div>
        <w:div w:id="217712290">
          <w:marLeft w:val="0"/>
          <w:marRight w:val="0"/>
          <w:marTop w:val="0"/>
          <w:marBottom w:val="0"/>
          <w:divBdr>
            <w:top w:val="none" w:sz="0" w:space="0" w:color="auto"/>
            <w:left w:val="none" w:sz="0" w:space="0" w:color="auto"/>
            <w:bottom w:val="none" w:sz="0" w:space="0" w:color="auto"/>
            <w:right w:val="none" w:sz="0" w:space="0" w:color="auto"/>
          </w:divBdr>
        </w:div>
        <w:div w:id="664018539">
          <w:marLeft w:val="0"/>
          <w:marRight w:val="0"/>
          <w:marTop w:val="0"/>
          <w:marBottom w:val="0"/>
          <w:divBdr>
            <w:top w:val="none" w:sz="0" w:space="0" w:color="auto"/>
            <w:left w:val="none" w:sz="0" w:space="0" w:color="auto"/>
            <w:bottom w:val="none" w:sz="0" w:space="0" w:color="auto"/>
            <w:right w:val="none" w:sz="0" w:space="0" w:color="auto"/>
          </w:divBdr>
        </w:div>
        <w:div w:id="684131396">
          <w:marLeft w:val="0"/>
          <w:marRight w:val="0"/>
          <w:marTop w:val="0"/>
          <w:marBottom w:val="0"/>
          <w:divBdr>
            <w:top w:val="none" w:sz="0" w:space="0" w:color="auto"/>
            <w:left w:val="none" w:sz="0" w:space="0" w:color="auto"/>
            <w:bottom w:val="none" w:sz="0" w:space="0" w:color="auto"/>
            <w:right w:val="none" w:sz="0" w:space="0" w:color="auto"/>
          </w:divBdr>
        </w:div>
        <w:div w:id="702831751">
          <w:marLeft w:val="0"/>
          <w:marRight w:val="0"/>
          <w:marTop w:val="0"/>
          <w:marBottom w:val="0"/>
          <w:divBdr>
            <w:top w:val="none" w:sz="0" w:space="0" w:color="auto"/>
            <w:left w:val="none" w:sz="0" w:space="0" w:color="auto"/>
            <w:bottom w:val="none" w:sz="0" w:space="0" w:color="auto"/>
            <w:right w:val="none" w:sz="0" w:space="0" w:color="auto"/>
          </w:divBdr>
        </w:div>
        <w:div w:id="1343818116">
          <w:marLeft w:val="0"/>
          <w:marRight w:val="0"/>
          <w:marTop w:val="0"/>
          <w:marBottom w:val="0"/>
          <w:divBdr>
            <w:top w:val="none" w:sz="0" w:space="0" w:color="auto"/>
            <w:left w:val="none" w:sz="0" w:space="0" w:color="auto"/>
            <w:bottom w:val="none" w:sz="0" w:space="0" w:color="auto"/>
            <w:right w:val="none" w:sz="0" w:space="0" w:color="auto"/>
          </w:divBdr>
        </w:div>
        <w:div w:id="1366176978">
          <w:marLeft w:val="0"/>
          <w:marRight w:val="0"/>
          <w:marTop w:val="0"/>
          <w:marBottom w:val="0"/>
          <w:divBdr>
            <w:top w:val="none" w:sz="0" w:space="0" w:color="auto"/>
            <w:left w:val="none" w:sz="0" w:space="0" w:color="auto"/>
            <w:bottom w:val="none" w:sz="0" w:space="0" w:color="auto"/>
            <w:right w:val="none" w:sz="0" w:space="0" w:color="auto"/>
          </w:divBdr>
        </w:div>
        <w:div w:id="1669408648">
          <w:marLeft w:val="0"/>
          <w:marRight w:val="0"/>
          <w:marTop w:val="0"/>
          <w:marBottom w:val="0"/>
          <w:divBdr>
            <w:top w:val="none" w:sz="0" w:space="0" w:color="auto"/>
            <w:left w:val="none" w:sz="0" w:space="0" w:color="auto"/>
            <w:bottom w:val="none" w:sz="0" w:space="0" w:color="auto"/>
            <w:right w:val="none" w:sz="0" w:space="0" w:color="auto"/>
          </w:divBdr>
        </w:div>
        <w:div w:id="1702439829">
          <w:marLeft w:val="0"/>
          <w:marRight w:val="0"/>
          <w:marTop w:val="0"/>
          <w:marBottom w:val="0"/>
          <w:divBdr>
            <w:top w:val="none" w:sz="0" w:space="0" w:color="auto"/>
            <w:left w:val="none" w:sz="0" w:space="0" w:color="auto"/>
            <w:bottom w:val="none" w:sz="0" w:space="0" w:color="auto"/>
            <w:right w:val="none" w:sz="0" w:space="0" w:color="auto"/>
          </w:divBdr>
        </w:div>
        <w:div w:id="2064213381">
          <w:marLeft w:val="0"/>
          <w:marRight w:val="0"/>
          <w:marTop w:val="0"/>
          <w:marBottom w:val="0"/>
          <w:divBdr>
            <w:top w:val="none" w:sz="0" w:space="0" w:color="auto"/>
            <w:left w:val="none" w:sz="0" w:space="0" w:color="auto"/>
            <w:bottom w:val="none" w:sz="0" w:space="0" w:color="auto"/>
            <w:right w:val="none" w:sz="0" w:space="0" w:color="auto"/>
          </w:divBdr>
        </w:div>
      </w:divsChild>
    </w:div>
    <w:div w:id="119229651">
      <w:bodyDiv w:val="1"/>
      <w:marLeft w:val="0"/>
      <w:marRight w:val="0"/>
      <w:marTop w:val="0"/>
      <w:marBottom w:val="0"/>
      <w:divBdr>
        <w:top w:val="none" w:sz="0" w:space="0" w:color="auto"/>
        <w:left w:val="none" w:sz="0" w:space="0" w:color="auto"/>
        <w:bottom w:val="none" w:sz="0" w:space="0" w:color="auto"/>
        <w:right w:val="none" w:sz="0" w:space="0" w:color="auto"/>
      </w:divBdr>
    </w:div>
    <w:div w:id="120810675">
      <w:bodyDiv w:val="1"/>
      <w:marLeft w:val="0"/>
      <w:marRight w:val="0"/>
      <w:marTop w:val="0"/>
      <w:marBottom w:val="0"/>
      <w:divBdr>
        <w:top w:val="none" w:sz="0" w:space="0" w:color="auto"/>
        <w:left w:val="none" w:sz="0" w:space="0" w:color="auto"/>
        <w:bottom w:val="none" w:sz="0" w:space="0" w:color="auto"/>
        <w:right w:val="none" w:sz="0" w:space="0" w:color="auto"/>
      </w:divBdr>
      <w:divsChild>
        <w:div w:id="1379280698">
          <w:marLeft w:val="0"/>
          <w:marRight w:val="0"/>
          <w:marTop w:val="0"/>
          <w:marBottom w:val="0"/>
          <w:divBdr>
            <w:top w:val="none" w:sz="0" w:space="0" w:color="auto"/>
            <w:left w:val="none" w:sz="0" w:space="0" w:color="auto"/>
            <w:bottom w:val="none" w:sz="0" w:space="0" w:color="auto"/>
            <w:right w:val="none" w:sz="0" w:space="0" w:color="auto"/>
          </w:divBdr>
        </w:div>
        <w:div w:id="1584757155">
          <w:marLeft w:val="0"/>
          <w:marRight w:val="0"/>
          <w:marTop w:val="0"/>
          <w:marBottom w:val="0"/>
          <w:divBdr>
            <w:top w:val="none" w:sz="0" w:space="0" w:color="auto"/>
            <w:left w:val="none" w:sz="0" w:space="0" w:color="auto"/>
            <w:bottom w:val="none" w:sz="0" w:space="0" w:color="auto"/>
            <w:right w:val="none" w:sz="0" w:space="0" w:color="auto"/>
          </w:divBdr>
        </w:div>
      </w:divsChild>
    </w:div>
    <w:div w:id="122045412">
      <w:bodyDiv w:val="1"/>
      <w:marLeft w:val="0"/>
      <w:marRight w:val="0"/>
      <w:marTop w:val="0"/>
      <w:marBottom w:val="0"/>
      <w:divBdr>
        <w:top w:val="none" w:sz="0" w:space="0" w:color="auto"/>
        <w:left w:val="none" w:sz="0" w:space="0" w:color="auto"/>
        <w:bottom w:val="none" w:sz="0" w:space="0" w:color="auto"/>
        <w:right w:val="none" w:sz="0" w:space="0" w:color="auto"/>
      </w:divBdr>
      <w:divsChild>
        <w:div w:id="1207377394">
          <w:marLeft w:val="0"/>
          <w:marRight w:val="0"/>
          <w:marTop w:val="0"/>
          <w:marBottom w:val="0"/>
          <w:divBdr>
            <w:top w:val="none" w:sz="0" w:space="0" w:color="auto"/>
            <w:left w:val="none" w:sz="0" w:space="0" w:color="auto"/>
            <w:bottom w:val="none" w:sz="0" w:space="0" w:color="auto"/>
            <w:right w:val="none" w:sz="0" w:space="0" w:color="auto"/>
          </w:divBdr>
        </w:div>
        <w:div w:id="1448158798">
          <w:marLeft w:val="0"/>
          <w:marRight w:val="0"/>
          <w:marTop w:val="0"/>
          <w:marBottom w:val="0"/>
          <w:divBdr>
            <w:top w:val="none" w:sz="0" w:space="0" w:color="auto"/>
            <w:left w:val="none" w:sz="0" w:space="0" w:color="auto"/>
            <w:bottom w:val="none" w:sz="0" w:space="0" w:color="auto"/>
            <w:right w:val="none" w:sz="0" w:space="0" w:color="auto"/>
          </w:divBdr>
        </w:div>
      </w:divsChild>
    </w:div>
    <w:div w:id="123275784">
      <w:bodyDiv w:val="1"/>
      <w:marLeft w:val="0"/>
      <w:marRight w:val="0"/>
      <w:marTop w:val="0"/>
      <w:marBottom w:val="0"/>
      <w:divBdr>
        <w:top w:val="none" w:sz="0" w:space="0" w:color="auto"/>
        <w:left w:val="none" w:sz="0" w:space="0" w:color="auto"/>
        <w:bottom w:val="none" w:sz="0" w:space="0" w:color="auto"/>
        <w:right w:val="none" w:sz="0" w:space="0" w:color="auto"/>
      </w:divBdr>
    </w:div>
    <w:div w:id="123622210">
      <w:bodyDiv w:val="1"/>
      <w:marLeft w:val="0"/>
      <w:marRight w:val="0"/>
      <w:marTop w:val="0"/>
      <w:marBottom w:val="0"/>
      <w:divBdr>
        <w:top w:val="none" w:sz="0" w:space="0" w:color="auto"/>
        <w:left w:val="none" w:sz="0" w:space="0" w:color="auto"/>
        <w:bottom w:val="none" w:sz="0" w:space="0" w:color="auto"/>
        <w:right w:val="none" w:sz="0" w:space="0" w:color="auto"/>
      </w:divBdr>
      <w:divsChild>
        <w:div w:id="4290234">
          <w:marLeft w:val="0"/>
          <w:marRight w:val="0"/>
          <w:marTop w:val="0"/>
          <w:marBottom w:val="0"/>
          <w:divBdr>
            <w:top w:val="none" w:sz="0" w:space="0" w:color="auto"/>
            <w:left w:val="none" w:sz="0" w:space="0" w:color="auto"/>
            <w:bottom w:val="none" w:sz="0" w:space="0" w:color="auto"/>
            <w:right w:val="none" w:sz="0" w:space="0" w:color="auto"/>
          </w:divBdr>
        </w:div>
        <w:div w:id="136604734">
          <w:marLeft w:val="0"/>
          <w:marRight w:val="0"/>
          <w:marTop w:val="0"/>
          <w:marBottom w:val="0"/>
          <w:divBdr>
            <w:top w:val="none" w:sz="0" w:space="0" w:color="auto"/>
            <w:left w:val="none" w:sz="0" w:space="0" w:color="auto"/>
            <w:bottom w:val="none" w:sz="0" w:space="0" w:color="auto"/>
            <w:right w:val="none" w:sz="0" w:space="0" w:color="auto"/>
          </w:divBdr>
        </w:div>
        <w:div w:id="258022522">
          <w:marLeft w:val="0"/>
          <w:marRight w:val="0"/>
          <w:marTop w:val="0"/>
          <w:marBottom w:val="0"/>
          <w:divBdr>
            <w:top w:val="none" w:sz="0" w:space="0" w:color="auto"/>
            <w:left w:val="none" w:sz="0" w:space="0" w:color="auto"/>
            <w:bottom w:val="none" w:sz="0" w:space="0" w:color="auto"/>
            <w:right w:val="none" w:sz="0" w:space="0" w:color="auto"/>
          </w:divBdr>
        </w:div>
        <w:div w:id="444544027">
          <w:marLeft w:val="0"/>
          <w:marRight w:val="0"/>
          <w:marTop w:val="0"/>
          <w:marBottom w:val="0"/>
          <w:divBdr>
            <w:top w:val="none" w:sz="0" w:space="0" w:color="auto"/>
            <w:left w:val="none" w:sz="0" w:space="0" w:color="auto"/>
            <w:bottom w:val="none" w:sz="0" w:space="0" w:color="auto"/>
            <w:right w:val="none" w:sz="0" w:space="0" w:color="auto"/>
          </w:divBdr>
        </w:div>
        <w:div w:id="564072195">
          <w:marLeft w:val="0"/>
          <w:marRight w:val="0"/>
          <w:marTop w:val="0"/>
          <w:marBottom w:val="0"/>
          <w:divBdr>
            <w:top w:val="none" w:sz="0" w:space="0" w:color="auto"/>
            <w:left w:val="none" w:sz="0" w:space="0" w:color="auto"/>
            <w:bottom w:val="none" w:sz="0" w:space="0" w:color="auto"/>
            <w:right w:val="none" w:sz="0" w:space="0" w:color="auto"/>
          </w:divBdr>
        </w:div>
        <w:div w:id="588584124">
          <w:marLeft w:val="0"/>
          <w:marRight w:val="0"/>
          <w:marTop w:val="0"/>
          <w:marBottom w:val="0"/>
          <w:divBdr>
            <w:top w:val="none" w:sz="0" w:space="0" w:color="auto"/>
            <w:left w:val="none" w:sz="0" w:space="0" w:color="auto"/>
            <w:bottom w:val="none" w:sz="0" w:space="0" w:color="auto"/>
            <w:right w:val="none" w:sz="0" w:space="0" w:color="auto"/>
          </w:divBdr>
        </w:div>
        <w:div w:id="866062534">
          <w:marLeft w:val="0"/>
          <w:marRight w:val="0"/>
          <w:marTop w:val="0"/>
          <w:marBottom w:val="0"/>
          <w:divBdr>
            <w:top w:val="none" w:sz="0" w:space="0" w:color="auto"/>
            <w:left w:val="none" w:sz="0" w:space="0" w:color="auto"/>
            <w:bottom w:val="none" w:sz="0" w:space="0" w:color="auto"/>
            <w:right w:val="none" w:sz="0" w:space="0" w:color="auto"/>
          </w:divBdr>
        </w:div>
        <w:div w:id="1746100048">
          <w:marLeft w:val="0"/>
          <w:marRight w:val="0"/>
          <w:marTop w:val="0"/>
          <w:marBottom w:val="0"/>
          <w:divBdr>
            <w:top w:val="none" w:sz="0" w:space="0" w:color="auto"/>
            <w:left w:val="none" w:sz="0" w:space="0" w:color="auto"/>
            <w:bottom w:val="none" w:sz="0" w:space="0" w:color="auto"/>
            <w:right w:val="none" w:sz="0" w:space="0" w:color="auto"/>
          </w:divBdr>
        </w:div>
        <w:div w:id="2025397631">
          <w:marLeft w:val="0"/>
          <w:marRight w:val="0"/>
          <w:marTop w:val="0"/>
          <w:marBottom w:val="0"/>
          <w:divBdr>
            <w:top w:val="none" w:sz="0" w:space="0" w:color="auto"/>
            <w:left w:val="none" w:sz="0" w:space="0" w:color="auto"/>
            <w:bottom w:val="none" w:sz="0" w:space="0" w:color="auto"/>
            <w:right w:val="none" w:sz="0" w:space="0" w:color="auto"/>
          </w:divBdr>
        </w:div>
        <w:div w:id="2089689525">
          <w:marLeft w:val="0"/>
          <w:marRight w:val="0"/>
          <w:marTop w:val="0"/>
          <w:marBottom w:val="0"/>
          <w:divBdr>
            <w:top w:val="none" w:sz="0" w:space="0" w:color="auto"/>
            <w:left w:val="none" w:sz="0" w:space="0" w:color="auto"/>
            <w:bottom w:val="none" w:sz="0" w:space="0" w:color="auto"/>
            <w:right w:val="none" w:sz="0" w:space="0" w:color="auto"/>
          </w:divBdr>
        </w:div>
        <w:div w:id="2137483007">
          <w:marLeft w:val="0"/>
          <w:marRight w:val="0"/>
          <w:marTop w:val="0"/>
          <w:marBottom w:val="0"/>
          <w:divBdr>
            <w:top w:val="none" w:sz="0" w:space="0" w:color="auto"/>
            <w:left w:val="none" w:sz="0" w:space="0" w:color="auto"/>
            <w:bottom w:val="none" w:sz="0" w:space="0" w:color="auto"/>
            <w:right w:val="none" w:sz="0" w:space="0" w:color="auto"/>
          </w:divBdr>
        </w:div>
      </w:divsChild>
    </w:div>
    <w:div w:id="127746649">
      <w:bodyDiv w:val="1"/>
      <w:marLeft w:val="0"/>
      <w:marRight w:val="0"/>
      <w:marTop w:val="0"/>
      <w:marBottom w:val="0"/>
      <w:divBdr>
        <w:top w:val="none" w:sz="0" w:space="0" w:color="auto"/>
        <w:left w:val="none" w:sz="0" w:space="0" w:color="auto"/>
        <w:bottom w:val="none" w:sz="0" w:space="0" w:color="auto"/>
        <w:right w:val="none" w:sz="0" w:space="0" w:color="auto"/>
      </w:divBdr>
    </w:div>
    <w:div w:id="135538134">
      <w:bodyDiv w:val="1"/>
      <w:marLeft w:val="0"/>
      <w:marRight w:val="0"/>
      <w:marTop w:val="0"/>
      <w:marBottom w:val="0"/>
      <w:divBdr>
        <w:top w:val="none" w:sz="0" w:space="0" w:color="auto"/>
        <w:left w:val="none" w:sz="0" w:space="0" w:color="auto"/>
        <w:bottom w:val="none" w:sz="0" w:space="0" w:color="auto"/>
        <w:right w:val="none" w:sz="0" w:space="0" w:color="auto"/>
      </w:divBdr>
    </w:div>
    <w:div w:id="139659839">
      <w:bodyDiv w:val="1"/>
      <w:marLeft w:val="0"/>
      <w:marRight w:val="0"/>
      <w:marTop w:val="0"/>
      <w:marBottom w:val="0"/>
      <w:divBdr>
        <w:top w:val="none" w:sz="0" w:space="0" w:color="auto"/>
        <w:left w:val="none" w:sz="0" w:space="0" w:color="auto"/>
        <w:bottom w:val="none" w:sz="0" w:space="0" w:color="auto"/>
        <w:right w:val="none" w:sz="0" w:space="0" w:color="auto"/>
      </w:divBdr>
    </w:div>
    <w:div w:id="149830837">
      <w:bodyDiv w:val="1"/>
      <w:marLeft w:val="0"/>
      <w:marRight w:val="0"/>
      <w:marTop w:val="0"/>
      <w:marBottom w:val="0"/>
      <w:divBdr>
        <w:top w:val="none" w:sz="0" w:space="0" w:color="auto"/>
        <w:left w:val="none" w:sz="0" w:space="0" w:color="auto"/>
        <w:bottom w:val="none" w:sz="0" w:space="0" w:color="auto"/>
        <w:right w:val="none" w:sz="0" w:space="0" w:color="auto"/>
      </w:divBdr>
    </w:div>
    <w:div w:id="160856224">
      <w:bodyDiv w:val="1"/>
      <w:marLeft w:val="0"/>
      <w:marRight w:val="0"/>
      <w:marTop w:val="0"/>
      <w:marBottom w:val="0"/>
      <w:divBdr>
        <w:top w:val="none" w:sz="0" w:space="0" w:color="auto"/>
        <w:left w:val="none" w:sz="0" w:space="0" w:color="auto"/>
        <w:bottom w:val="none" w:sz="0" w:space="0" w:color="auto"/>
        <w:right w:val="none" w:sz="0" w:space="0" w:color="auto"/>
      </w:divBdr>
    </w:div>
    <w:div w:id="163253196">
      <w:bodyDiv w:val="1"/>
      <w:marLeft w:val="0"/>
      <w:marRight w:val="0"/>
      <w:marTop w:val="0"/>
      <w:marBottom w:val="0"/>
      <w:divBdr>
        <w:top w:val="none" w:sz="0" w:space="0" w:color="auto"/>
        <w:left w:val="none" w:sz="0" w:space="0" w:color="auto"/>
        <w:bottom w:val="none" w:sz="0" w:space="0" w:color="auto"/>
        <w:right w:val="none" w:sz="0" w:space="0" w:color="auto"/>
      </w:divBdr>
    </w:div>
    <w:div w:id="164446123">
      <w:bodyDiv w:val="1"/>
      <w:marLeft w:val="0"/>
      <w:marRight w:val="0"/>
      <w:marTop w:val="0"/>
      <w:marBottom w:val="0"/>
      <w:divBdr>
        <w:top w:val="none" w:sz="0" w:space="0" w:color="auto"/>
        <w:left w:val="none" w:sz="0" w:space="0" w:color="auto"/>
        <w:bottom w:val="none" w:sz="0" w:space="0" w:color="auto"/>
        <w:right w:val="none" w:sz="0" w:space="0" w:color="auto"/>
      </w:divBdr>
      <w:divsChild>
        <w:div w:id="285813792">
          <w:marLeft w:val="0"/>
          <w:marRight w:val="0"/>
          <w:marTop w:val="0"/>
          <w:marBottom w:val="0"/>
          <w:divBdr>
            <w:top w:val="none" w:sz="0" w:space="0" w:color="auto"/>
            <w:left w:val="none" w:sz="0" w:space="0" w:color="auto"/>
            <w:bottom w:val="none" w:sz="0" w:space="0" w:color="auto"/>
            <w:right w:val="none" w:sz="0" w:space="0" w:color="auto"/>
          </w:divBdr>
        </w:div>
        <w:div w:id="408189520">
          <w:marLeft w:val="0"/>
          <w:marRight w:val="0"/>
          <w:marTop w:val="0"/>
          <w:marBottom w:val="0"/>
          <w:divBdr>
            <w:top w:val="none" w:sz="0" w:space="0" w:color="auto"/>
            <w:left w:val="none" w:sz="0" w:space="0" w:color="auto"/>
            <w:bottom w:val="none" w:sz="0" w:space="0" w:color="auto"/>
            <w:right w:val="none" w:sz="0" w:space="0" w:color="auto"/>
          </w:divBdr>
        </w:div>
        <w:div w:id="451293704">
          <w:marLeft w:val="0"/>
          <w:marRight w:val="0"/>
          <w:marTop w:val="0"/>
          <w:marBottom w:val="0"/>
          <w:divBdr>
            <w:top w:val="none" w:sz="0" w:space="0" w:color="auto"/>
            <w:left w:val="none" w:sz="0" w:space="0" w:color="auto"/>
            <w:bottom w:val="none" w:sz="0" w:space="0" w:color="auto"/>
            <w:right w:val="none" w:sz="0" w:space="0" w:color="auto"/>
          </w:divBdr>
        </w:div>
        <w:div w:id="492111984">
          <w:marLeft w:val="0"/>
          <w:marRight w:val="0"/>
          <w:marTop w:val="0"/>
          <w:marBottom w:val="0"/>
          <w:divBdr>
            <w:top w:val="none" w:sz="0" w:space="0" w:color="auto"/>
            <w:left w:val="none" w:sz="0" w:space="0" w:color="auto"/>
            <w:bottom w:val="none" w:sz="0" w:space="0" w:color="auto"/>
            <w:right w:val="none" w:sz="0" w:space="0" w:color="auto"/>
          </w:divBdr>
        </w:div>
        <w:div w:id="493690421">
          <w:marLeft w:val="0"/>
          <w:marRight w:val="0"/>
          <w:marTop w:val="0"/>
          <w:marBottom w:val="0"/>
          <w:divBdr>
            <w:top w:val="none" w:sz="0" w:space="0" w:color="auto"/>
            <w:left w:val="none" w:sz="0" w:space="0" w:color="auto"/>
            <w:bottom w:val="none" w:sz="0" w:space="0" w:color="auto"/>
            <w:right w:val="none" w:sz="0" w:space="0" w:color="auto"/>
          </w:divBdr>
        </w:div>
        <w:div w:id="606275081">
          <w:marLeft w:val="0"/>
          <w:marRight w:val="0"/>
          <w:marTop w:val="0"/>
          <w:marBottom w:val="0"/>
          <w:divBdr>
            <w:top w:val="none" w:sz="0" w:space="0" w:color="auto"/>
            <w:left w:val="none" w:sz="0" w:space="0" w:color="auto"/>
            <w:bottom w:val="none" w:sz="0" w:space="0" w:color="auto"/>
            <w:right w:val="none" w:sz="0" w:space="0" w:color="auto"/>
          </w:divBdr>
        </w:div>
        <w:div w:id="711467124">
          <w:marLeft w:val="0"/>
          <w:marRight w:val="0"/>
          <w:marTop w:val="0"/>
          <w:marBottom w:val="0"/>
          <w:divBdr>
            <w:top w:val="none" w:sz="0" w:space="0" w:color="auto"/>
            <w:left w:val="none" w:sz="0" w:space="0" w:color="auto"/>
            <w:bottom w:val="none" w:sz="0" w:space="0" w:color="auto"/>
            <w:right w:val="none" w:sz="0" w:space="0" w:color="auto"/>
          </w:divBdr>
        </w:div>
        <w:div w:id="994379176">
          <w:marLeft w:val="0"/>
          <w:marRight w:val="0"/>
          <w:marTop w:val="0"/>
          <w:marBottom w:val="0"/>
          <w:divBdr>
            <w:top w:val="none" w:sz="0" w:space="0" w:color="auto"/>
            <w:left w:val="none" w:sz="0" w:space="0" w:color="auto"/>
            <w:bottom w:val="none" w:sz="0" w:space="0" w:color="auto"/>
            <w:right w:val="none" w:sz="0" w:space="0" w:color="auto"/>
          </w:divBdr>
        </w:div>
        <w:div w:id="1162312607">
          <w:marLeft w:val="0"/>
          <w:marRight w:val="0"/>
          <w:marTop w:val="0"/>
          <w:marBottom w:val="0"/>
          <w:divBdr>
            <w:top w:val="none" w:sz="0" w:space="0" w:color="auto"/>
            <w:left w:val="none" w:sz="0" w:space="0" w:color="auto"/>
            <w:bottom w:val="none" w:sz="0" w:space="0" w:color="auto"/>
            <w:right w:val="none" w:sz="0" w:space="0" w:color="auto"/>
          </w:divBdr>
        </w:div>
        <w:div w:id="1195389187">
          <w:marLeft w:val="0"/>
          <w:marRight w:val="0"/>
          <w:marTop w:val="0"/>
          <w:marBottom w:val="0"/>
          <w:divBdr>
            <w:top w:val="none" w:sz="0" w:space="0" w:color="auto"/>
            <w:left w:val="none" w:sz="0" w:space="0" w:color="auto"/>
            <w:bottom w:val="none" w:sz="0" w:space="0" w:color="auto"/>
            <w:right w:val="none" w:sz="0" w:space="0" w:color="auto"/>
          </w:divBdr>
        </w:div>
        <w:div w:id="1242369903">
          <w:marLeft w:val="0"/>
          <w:marRight w:val="0"/>
          <w:marTop w:val="0"/>
          <w:marBottom w:val="0"/>
          <w:divBdr>
            <w:top w:val="none" w:sz="0" w:space="0" w:color="auto"/>
            <w:left w:val="none" w:sz="0" w:space="0" w:color="auto"/>
            <w:bottom w:val="none" w:sz="0" w:space="0" w:color="auto"/>
            <w:right w:val="none" w:sz="0" w:space="0" w:color="auto"/>
          </w:divBdr>
        </w:div>
        <w:div w:id="1456485614">
          <w:marLeft w:val="0"/>
          <w:marRight w:val="0"/>
          <w:marTop w:val="0"/>
          <w:marBottom w:val="0"/>
          <w:divBdr>
            <w:top w:val="none" w:sz="0" w:space="0" w:color="auto"/>
            <w:left w:val="none" w:sz="0" w:space="0" w:color="auto"/>
            <w:bottom w:val="none" w:sz="0" w:space="0" w:color="auto"/>
            <w:right w:val="none" w:sz="0" w:space="0" w:color="auto"/>
          </w:divBdr>
        </w:div>
        <w:div w:id="1514567200">
          <w:marLeft w:val="0"/>
          <w:marRight w:val="0"/>
          <w:marTop w:val="0"/>
          <w:marBottom w:val="0"/>
          <w:divBdr>
            <w:top w:val="none" w:sz="0" w:space="0" w:color="auto"/>
            <w:left w:val="none" w:sz="0" w:space="0" w:color="auto"/>
            <w:bottom w:val="none" w:sz="0" w:space="0" w:color="auto"/>
            <w:right w:val="none" w:sz="0" w:space="0" w:color="auto"/>
          </w:divBdr>
        </w:div>
        <w:div w:id="1741366359">
          <w:marLeft w:val="0"/>
          <w:marRight w:val="0"/>
          <w:marTop w:val="0"/>
          <w:marBottom w:val="0"/>
          <w:divBdr>
            <w:top w:val="none" w:sz="0" w:space="0" w:color="auto"/>
            <w:left w:val="none" w:sz="0" w:space="0" w:color="auto"/>
            <w:bottom w:val="none" w:sz="0" w:space="0" w:color="auto"/>
            <w:right w:val="none" w:sz="0" w:space="0" w:color="auto"/>
          </w:divBdr>
        </w:div>
        <w:div w:id="1943342745">
          <w:marLeft w:val="0"/>
          <w:marRight w:val="0"/>
          <w:marTop w:val="0"/>
          <w:marBottom w:val="0"/>
          <w:divBdr>
            <w:top w:val="none" w:sz="0" w:space="0" w:color="auto"/>
            <w:left w:val="none" w:sz="0" w:space="0" w:color="auto"/>
            <w:bottom w:val="none" w:sz="0" w:space="0" w:color="auto"/>
            <w:right w:val="none" w:sz="0" w:space="0" w:color="auto"/>
          </w:divBdr>
        </w:div>
        <w:div w:id="2006469103">
          <w:marLeft w:val="0"/>
          <w:marRight w:val="0"/>
          <w:marTop w:val="0"/>
          <w:marBottom w:val="0"/>
          <w:divBdr>
            <w:top w:val="none" w:sz="0" w:space="0" w:color="auto"/>
            <w:left w:val="none" w:sz="0" w:space="0" w:color="auto"/>
            <w:bottom w:val="none" w:sz="0" w:space="0" w:color="auto"/>
            <w:right w:val="none" w:sz="0" w:space="0" w:color="auto"/>
          </w:divBdr>
        </w:div>
        <w:div w:id="2099053613">
          <w:marLeft w:val="0"/>
          <w:marRight w:val="0"/>
          <w:marTop w:val="0"/>
          <w:marBottom w:val="0"/>
          <w:divBdr>
            <w:top w:val="none" w:sz="0" w:space="0" w:color="auto"/>
            <w:left w:val="none" w:sz="0" w:space="0" w:color="auto"/>
            <w:bottom w:val="none" w:sz="0" w:space="0" w:color="auto"/>
            <w:right w:val="none" w:sz="0" w:space="0" w:color="auto"/>
          </w:divBdr>
        </w:div>
      </w:divsChild>
    </w:div>
    <w:div w:id="182742640">
      <w:bodyDiv w:val="1"/>
      <w:marLeft w:val="0"/>
      <w:marRight w:val="0"/>
      <w:marTop w:val="0"/>
      <w:marBottom w:val="0"/>
      <w:divBdr>
        <w:top w:val="none" w:sz="0" w:space="0" w:color="auto"/>
        <w:left w:val="none" w:sz="0" w:space="0" w:color="auto"/>
        <w:bottom w:val="none" w:sz="0" w:space="0" w:color="auto"/>
        <w:right w:val="none" w:sz="0" w:space="0" w:color="auto"/>
      </w:divBdr>
    </w:div>
    <w:div w:id="184096113">
      <w:bodyDiv w:val="1"/>
      <w:marLeft w:val="0"/>
      <w:marRight w:val="0"/>
      <w:marTop w:val="0"/>
      <w:marBottom w:val="0"/>
      <w:divBdr>
        <w:top w:val="none" w:sz="0" w:space="0" w:color="auto"/>
        <w:left w:val="none" w:sz="0" w:space="0" w:color="auto"/>
        <w:bottom w:val="none" w:sz="0" w:space="0" w:color="auto"/>
        <w:right w:val="none" w:sz="0" w:space="0" w:color="auto"/>
      </w:divBdr>
    </w:div>
    <w:div w:id="188221055">
      <w:bodyDiv w:val="1"/>
      <w:marLeft w:val="0"/>
      <w:marRight w:val="0"/>
      <w:marTop w:val="0"/>
      <w:marBottom w:val="0"/>
      <w:divBdr>
        <w:top w:val="none" w:sz="0" w:space="0" w:color="auto"/>
        <w:left w:val="none" w:sz="0" w:space="0" w:color="auto"/>
        <w:bottom w:val="none" w:sz="0" w:space="0" w:color="auto"/>
        <w:right w:val="none" w:sz="0" w:space="0" w:color="auto"/>
      </w:divBdr>
    </w:div>
    <w:div w:id="190578796">
      <w:bodyDiv w:val="1"/>
      <w:marLeft w:val="0"/>
      <w:marRight w:val="0"/>
      <w:marTop w:val="0"/>
      <w:marBottom w:val="0"/>
      <w:divBdr>
        <w:top w:val="none" w:sz="0" w:space="0" w:color="auto"/>
        <w:left w:val="none" w:sz="0" w:space="0" w:color="auto"/>
        <w:bottom w:val="none" w:sz="0" w:space="0" w:color="auto"/>
        <w:right w:val="none" w:sz="0" w:space="0" w:color="auto"/>
      </w:divBdr>
      <w:divsChild>
        <w:div w:id="133302268">
          <w:marLeft w:val="0"/>
          <w:marRight w:val="0"/>
          <w:marTop w:val="0"/>
          <w:marBottom w:val="0"/>
          <w:divBdr>
            <w:top w:val="none" w:sz="0" w:space="0" w:color="auto"/>
            <w:left w:val="none" w:sz="0" w:space="0" w:color="auto"/>
            <w:bottom w:val="none" w:sz="0" w:space="0" w:color="auto"/>
            <w:right w:val="none" w:sz="0" w:space="0" w:color="auto"/>
          </w:divBdr>
        </w:div>
        <w:div w:id="181483018">
          <w:marLeft w:val="0"/>
          <w:marRight w:val="0"/>
          <w:marTop w:val="0"/>
          <w:marBottom w:val="0"/>
          <w:divBdr>
            <w:top w:val="none" w:sz="0" w:space="0" w:color="auto"/>
            <w:left w:val="none" w:sz="0" w:space="0" w:color="auto"/>
            <w:bottom w:val="none" w:sz="0" w:space="0" w:color="auto"/>
            <w:right w:val="none" w:sz="0" w:space="0" w:color="auto"/>
          </w:divBdr>
        </w:div>
        <w:div w:id="207762512">
          <w:marLeft w:val="0"/>
          <w:marRight w:val="0"/>
          <w:marTop w:val="0"/>
          <w:marBottom w:val="0"/>
          <w:divBdr>
            <w:top w:val="none" w:sz="0" w:space="0" w:color="auto"/>
            <w:left w:val="none" w:sz="0" w:space="0" w:color="auto"/>
            <w:bottom w:val="none" w:sz="0" w:space="0" w:color="auto"/>
            <w:right w:val="none" w:sz="0" w:space="0" w:color="auto"/>
          </w:divBdr>
        </w:div>
        <w:div w:id="214850837">
          <w:marLeft w:val="0"/>
          <w:marRight w:val="0"/>
          <w:marTop w:val="0"/>
          <w:marBottom w:val="0"/>
          <w:divBdr>
            <w:top w:val="none" w:sz="0" w:space="0" w:color="auto"/>
            <w:left w:val="none" w:sz="0" w:space="0" w:color="auto"/>
            <w:bottom w:val="none" w:sz="0" w:space="0" w:color="auto"/>
            <w:right w:val="none" w:sz="0" w:space="0" w:color="auto"/>
          </w:divBdr>
        </w:div>
        <w:div w:id="309208737">
          <w:marLeft w:val="0"/>
          <w:marRight w:val="0"/>
          <w:marTop w:val="0"/>
          <w:marBottom w:val="0"/>
          <w:divBdr>
            <w:top w:val="none" w:sz="0" w:space="0" w:color="auto"/>
            <w:left w:val="none" w:sz="0" w:space="0" w:color="auto"/>
            <w:bottom w:val="none" w:sz="0" w:space="0" w:color="auto"/>
            <w:right w:val="none" w:sz="0" w:space="0" w:color="auto"/>
          </w:divBdr>
        </w:div>
        <w:div w:id="350373529">
          <w:marLeft w:val="0"/>
          <w:marRight w:val="0"/>
          <w:marTop w:val="0"/>
          <w:marBottom w:val="0"/>
          <w:divBdr>
            <w:top w:val="none" w:sz="0" w:space="0" w:color="auto"/>
            <w:left w:val="none" w:sz="0" w:space="0" w:color="auto"/>
            <w:bottom w:val="none" w:sz="0" w:space="0" w:color="auto"/>
            <w:right w:val="none" w:sz="0" w:space="0" w:color="auto"/>
          </w:divBdr>
        </w:div>
        <w:div w:id="544761305">
          <w:marLeft w:val="0"/>
          <w:marRight w:val="0"/>
          <w:marTop w:val="0"/>
          <w:marBottom w:val="0"/>
          <w:divBdr>
            <w:top w:val="none" w:sz="0" w:space="0" w:color="auto"/>
            <w:left w:val="none" w:sz="0" w:space="0" w:color="auto"/>
            <w:bottom w:val="none" w:sz="0" w:space="0" w:color="auto"/>
            <w:right w:val="none" w:sz="0" w:space="0" w:color="auto"/>
          </w:divBdr>
        </w:div>
        <w:div w:id="739258129">
          <w:marLeft w:val="0"/>
          <w:marRight w:val="0"/>
          <w:marTop w:val="0"/>
          <w:marBottom w:val="0"/>
          <w:divBdr>
            <w:top w:val="none" w:sz="0" w:space="0" w:color="auto"/>
            <w:left w:val="none" w:sz="0" w:space="0" w:color="auto"/>
            <w:bottom w:val="none" w:sz="0" w:space="0" w:color="auto"/>
            <w:right w:val="none" w:sz="0" w:space="0" w:color="auto"/>
          </w:divBdr>
        </w:div>
        <w:div w:id="1011907873">
          <w:marLeft w:val="0"/>
          <w:marRight w:val="0"/>
          <w:marTop w:val="0"/>
          <w:marBottom w:val="0"/>
          <w:divBdr>
            <w:top w:val="none" w:sz="0" w:space="0" w:color="auto"/>
            <w:left w:val="none" w:sz="0" w:space="0" w:color="auto"/>
            <w:bottom w:val="none" w:sz="0" w:space="0" w:color="auto"/>
            <w:right w:val="none" w:sz="0" w:space="0" w:color="auto"/>
          </w:divBdr>
        </w:div>
        <w:div w:id="1080181202">
          <w:marLeft w:val="0"/>
          <w:marRight w:val="0"/>
          <w:marTop w:val="0"/>
          <w:marBottom w:val="0"/>
          <w:divBdr>
            <w:top w:val="none" w:sz="0" w:space="0" w:color="auto"/>
            <w:left w:val="none" w:sz="0" w:space="0" w:color="auto"/>
            <w:bottom w:val="none" w:sz="0" w:space="0" w:color="auto"/>
            <w:right w:val="none" w:sz="0" w:space="0" w:color="auto"/>
          </w:divBdr>
        </w:div>
        <w:div w:id="1096681306">
          <w:marLeft w:val="0"/>
          <w:marRight w:val="0"/>
          <w:marTop w:val="0"/>
          <w:marBottom w:val="0"/>
          <w:divBdr>
            <w:top w:val="none" w:sz="0" w:space="0" w:color="auto"/>
            <w:left w:val="none" w:sz="0" w:space="0" w:color="auto"/>
            <w:bottom w:val="none" w:sz="0" w:space="0" w:color="auto"/>
            <w:right w:val="none" w:sz="0" w:space="0" w:color="auto"/>
          </w:divBdr>
        </w:div>
        <w:div w:id="1195117206">
          <w:marLeft w:val="0"/>
          <w:marRight w:val="0"/>
          <w:marTop w:val="0"/>
          <w:marBottom w:val="0"/>
          <w:divBdr>
            <w:top w:val="none" w:sz="0" w:space="0" w:color="auto"/>
            <w:left w:val="none" w:sz="0" w:space="0" w:color="auto"/>
            <w:bottom w:val="none" w:sz="0" w:space="0" w:color="auto"/>
            <w:right w:val="none" w:sz="0" w:space="0" w:color="auto"/>
          </w:divBdr>
        </w:div>
        <w:div w:id="1560238861">
          <w:marLeft w:val="0"/>
          <w:marRight w:val="0"/>
          <w:marTop w:val="0"/>
          <w:marBottom w:val="0"/>
          <w:divBdr>
            <w:top w:val="none" w:sz="0" w:space="0" w:color="auto"/>
            <w:left w:val="none" w:sz="0" w:space="0" w:color="auto"/>
            <w:bottom w:val="none" w:sz="0" w:space="0" w:color="auto"/>
            <w:right w:val="none" w:sz="0" w:space="0" w:color="auto"/>
          </w:divBdr>
        </w:div>
        <w:div w:id="2052267014">
          <w:marLeft w:val="0"/>
          <w:marRight w:val="0"/>
          <w:marTop w:val="0"/>
          <w:marBottom w:val="0"/>
          <w:divBdr>
            <w:top w:val="none" w:sz="0" w:space="0" w:color="auto"/>
            <w:left w:val="none" w:sz="0" w:space="0" w:color="auto"/>
            <w:bottom w:val="none" w:sz="0" w:space="0" w:color="auto"/>
            <w:right w:val="none" w:sz="0" w:space="0" w:color="auto"/>
          </w:divBdr>
        </w:div>
        <w:div w:id="2085182394">
          <w:marLeft w:val="0"/>
          <w:marRight w:val="0"/>
          <w:marTop w:val="0"/>
          <w:marBottom w:val="0"/>
          <w:divBdr>
            <w:top w:val="none" w:sz="0" w:space="0" w:color="auto"/>
            <w:left w:val="none" w:sz="0" w:space="0" w:color="auto"/>
            <w:bottom w:val="none" w:sz="0" w:space="0" w:color="auto"/>
            <w:right w:val="none" w:sz="0" w:space="0" w:color="auto"/>
          </w:divBdr>
        </w:div>
      </w:divsChild>
    </w:div>
    <w:div w:id="190922465">
      <w:bodyDiv w:val="1"/>
      <w:marLeft w:val="0"/>
      <w:marRight w:val="0"/>
      <w:marTop w:val="0"/>
      <w:marBottom w:val="0"/>
      <w:divBdr>
        <w:top w:val="none" w:sz="0" w:space="0" w:color="auto"/>
        <w:left w:val="none" w:sz="0" w:space="0" w:color="auto"/>
        <w:bottom w:val="none" w:sz="0" w:space="0" w:color="auto"/>
        <w:right w:val="none" w:sz="0" w:space="0" w:color="auto"/>
      </w:divBdr>
      <w:divsChild>
        <w:div w:id="87315486">
          <w:marLeft w:val="0"/>
          <w:marRight w:val="0"/>
          <w:marTop w:val="0"/>
          <w:marBottom w:val="0"/>
          <w:divBdr>
            <w:top w:val="none" w:sz="0" w:space="0" w:color="auto"/>
            <w:left w:val="none" w:sz="0" w:space="0" w:color="auto"/>
            <w:bottom w:val="none" w:sz="0" w:space="0" w:color="auto"/>
            <w:right w:val="none" w:sz="0" w:space="0" w:color="auto"/>
          </w:divBdr>
        </w:div>
        <w:div w:id="125205153">
          <w:marLeft w:val="0"/>
          <w:marRight w:val="0"/>
          <w:marTop w:val="0"/>
          <w:marBottom w:val="0"/>
          <w:divBdr>
            <w:top w:val="none" w:sz="0" w:space="0" w:color="auto"/>
            <w:left w:val="none" w:sz="0" w:space="0" w:color="auto"/>
            <w:bottom w:val="none" w:sz="0" w:space="0" w:color="auto"/>
            <w:right w:val="none" w:sz="0" w:space="0" w:color="auto"/>
          </w:divBdr>
        </w:div>
        <w:div w:id="258873878">
          <w:marLeft w:val="0"/>
          <w:marRight w:val="0"/>
          <w:marTop w:val="0"/>
          <w:marBottom w:val="0"/>
          <w:divBdr>
            <w:top w:val="none" w:sz="0" w:space="0" w:color="auto"/>
            <w:left w:val="none" w:sz="0" w:space="0" w:color="auto"/>
            <w:bottom w:val="none" w:sz="0" w:space="0" w:color="auto"/>
            <w:right w:val="none" w:sz="0" w:space="0" w:color="auto"/>
          </w:divBdr>
        </w:div>
        <w:div w:id="344941851">
          <w:marLeft w:val="0"/>
          <w:marRight w:val="0"/>
          <w:marTop w:val="0"/>
          <w:marBottom w:val="0"/>
          <w:divBdr>
            <w:top w:val="none" w:sz="0" w:space="0" w:color="auto"/>
            <w:left w:val="none" w:sz="0" w:space="0" w:color="auto"/>
            <w:bottom w:val="none" w:sz="0" w:space="0" w:color="auto"/>
            <w:right w:val="none" w:sz="0" w:space="0" w:color="auto"/>
          </w:divBdr>
        </w:div>
        <w:div w:id="351957881">
          <w:marLeft w:val="0"/>
          <w:marRight w:val="0"/>
          <w:marTop w:val="0"/>
          <w:marBottom w:val="0"/>
          <w:divBdr>
            <w:top w:val="none" w:sz="0" w:space="0" w:color="auto"/>
            <w:left w:val="none" w:sz="0" w:space="0" w:color="auto"/>
            <w:bottom w:val="none" w:sz="0" w:space="0" w:color="auto"/>
            <w:right w:val="none" w:sz="0" w:space="0" w:color="auto"/>
          </w:divBdr>
        </w:div>
        <w:div w:id="372507683">
          <w:marLeft w:val="0"/>
          <w:marRight w:val="0"/>
          <w:marTop w:val="0"/>
          <w:marBottom w:val="0"/>
          <w:divBdr>
            <w:top w:val="none" w:sz="0" w:space="0" w:color="auto"/>
            <w:left w:val="none" w:sz="0" w:space="0" w:color="auto"/>
            <w:bottom w:val="none" w:sz="0" w:space="0" w:color="auto"/>
            <w:right w:val="none" w:sz="0" w:space="0" w:color="auto"/>
          </w:divBdr>
        </w:div>
        <w:div w:id="448357111">
          <w:marLeft w:val="0"/>
          <w:marRight w:val="0"/>
          <w:marTop w:val="0"/>
          <w:marBottom w:val="0"/>
          <w:divBdr>
            <w:top w:val="none" w:sz="0" w:space="0" w:color="auto"/>
            <w:left w:val="none" w:sz="0" w:space="0" w:color="auto"/>
            <w:bottom w:val="none" w:sz="0" w:space="0" w:color="auto"/>
            <w:right w:val="none" w:sz="0" w:space="0" w:color="auto"/>
          </w:divBdr>
        </w:div>
        <w:div w:id="569267385">
          <w:marLeft w:val="0"/>
          <w:marRight w:val="0"/>
          <w:marTop w:val="0"/>
          <w:marBottom w:val="0"/>
          <w:divBdr>
            <w:top w:val="none" w:sz="0" w:space="0" w:color="auto"/>
            <w:left w:val="none" w:sz="0" w:space="0" w:color="auto"/>
            <w:bottom w:val="none" w:sz="0" w:space="0" w:color="auto"/>
            <w:right w:val="none" w:sz="0" w:space="0" w:color="auto"/>
          </w:divBdr>
        </w:div>
        <w:div w:id="737553459">
          <w:marLeft w:val="0"/>
          <w:marRight w:val="0"/>
          <w:marTop w:val="0"/>
          <w:marBottom w:val="0"/>
          <w:divBdr>
            <w:top w:val="none" w:sz="0" w:space="0" w:color="auto"/>
            <w:left w:val="none" w:sz="0" w:space="0" w:color="auto"/>
            <w:bottom w:val="none" w:sz="0" w:space="0" w:color="auto"/>
            <w:right w:val="none" w:sz="0" w:space="0" w:color="auto"/>
          </w:divBdr>
        </w:div>
        <w:div w:id="751583353">
          <w:marLeft w:val="0"/>
          <w:marRight w:val="0"/>
          <w:marTop w:val="0"/>
          <w:marBottom w:val="0"/>
          <w:divBdr>
            <w:top w:val="none" w:sz="0" w:space="0" w:color="auto"/>
            <w:left w:val="none" w:sz="0" w:space="0" w:color="auto"/>
            <w:bottom w:val="none" w:sz="0" w:space="0" w:color="auto"/>
            <w:right w:val="none" w:sz="0" w:space="0" w:color="auto"/>
          </w:divBdr>
        </w:div>
        <w:div w:id="923106193">
          <w:marLeft w:val="0"/>
          <w:marRight w:val="0"/>
          <w:marTop w:val="0"/>
          <w:marBottom w:val="0"/>
          <w:divBdr>
            <w:top w:val="none" w:sz="0" w:space="0" w:color="auto"/>
            <w:left w:val="none" w:sz="0" w:space="0" w:color="auto"/>
            <w:bottom w:val="none" w:sz="0" w:space="0" w:color="auto"/>
            <w:right w:val="none" w:sz="0" w:space="0" w:color="auto"/>
          </w:divBdr>
        </w:div>
        <w:div w:id="974214315">
          <w:marLeft w:val="0"/>
          <w:marRight w:val="0"/>
          <w:marTop w:val="0"/>
          <w:marBottom w:val="0"/>
          <w:divBdr>
            <w:top w:val="none" w:sz="0" w:space="0" w:color="auto"/>
            <w:left w:val="none" w:sz="0" w:space="0" w:color="auto"/>
            <w:bottom w:val="none" w:sz="0" w:space="0" w:color="auto"/>
            <w:right w:val="none" w:sz="0" w:space="0" w:color="auto"/>
          </w:divBdr>
        </w:div>
        <w:div w:id="1025056000">
          <w:marLeft w:val="0"/>
          <w:marRight w:val="0"/>
          <w:marTop w:val="0"/>
          <w:marBottom w:val="0"/>
          <w:divBdr>
            <w:top w:val="none" w:sz="0" w:space="0" w:color="auto"/>
            <w:left w:val="none" w:sz="0" w:space="0" w:color="auto"/>
            <w:bottom w:val="none" w:sz="0" w:space="0" w:color="auto"/>
            <w:right w:val="none" w:sz="0" w:space="0" w:color="auto"/>
          </w:divBdr>
        </w:div>
        <w:div w:id="1108042299">
          <w:marLeft w:val="0"/>
          <w:marRight w:val="0"/>
          <w:marTop w:val="0"/>
          <w:marBottom w:val="0"/>
          <w:divBdr>
            <w:top w:val="none" w:sz="0" w:space="0" w:color="auto"/>
            <w:left w:val="none" w:sz="0" w:space="0" w:color="auto"/>
            <w:bottom w:val="none" w:sz="0" w:space="0" w:color="auto"/>
            <w:right w:val="none" w:sz="0" w:space="0" w:color="auto"/>
          </w:divBdr>
        </w:div>
        <w:div w:id="1227956836">
          <w:marLeft w:val="0"/>
          <w:marRight w:val="0"/>
          <w:marTop w:val="0"/>
          <w:marBottom w:val="0"/>
          <w:divBdr>
            <w:top w:val="none" w:sz="0" w:space="0" w:color="auto"/>
            <w:left w:val="none" w:sz="0" w:space="0" w:color="auto"/>
            <w:bottom w:val="none" w:sz="0" w:space="0" w:color="auto"/>
            <w:right w:val="none" w:sz="0" w:space="0" w:color="auto"/>
          </w:divBdr>
        </w:div>
        <w:div w:id="1233734868">
          <w:marLeft w:val="0"/>
          <w:marRight w:val="0"/>
          <w:marTop w:val="0"/>
          <w:marBottom w:val="0"/>
          <w:divBdr>
            <w:top w:val="none" w:sz="0" w:space="0" w:color="auto"/>
            <w:left w:val="none" w:sz="0" w:space="0" w:color="auto"/>
            <w:bottom w:val="none" w:sz="0" w:space="0" w:color="auto"/>
            <w:right w:val="none" w:sz="0" w:space="0" w:color="auto"/>
          </w:divBdr>
        </w:div>
        <w:div w:id="1478574922">
          <w:marLeft w:val="0"/>
          <w:marRight w:val="0"/>
          <w:marTop w:val="0"/>
          <w:marBottom w:val="0"/>
          <w:divBdr>
            <w:top w:val="none" w:sz="0" w:space="0" w:color="auto"/>
            <w:left w:val="none" w:sz="0" w:space="0" w:color="auto"/>
            <w:bottom w:val="none" w:sz="0" w:space="0" w:color="auto"/>
            <w:right w:val="none" w:sz="0" w:space="0" w:color="auto"/>
          </w:divBdr>
        </w:div>
        <w:div w:id="1563904587">
          <w:marLeft w:val="0"/>
          <w:marRight w:val="0"/>
          <w:marTop w:val="0"/>
          <w:marBottom w:val="0"/>
          <w:divBdr>
            <w:top w:val="none" w:sz="0" w:space="0" w:color="auto"/>
            <w:left w:val="none" w:sz="0" w:space="0" w:color="auto"/>
            <w:bottom w:val="none" w:sz="0" w:space="0" w:color="auto"/>
            <w:right w:val="none" w:sz="0" w:space="0" w:color="auto"/>
          </w:divBdr>
        </w:div>
        <w:div w:id="1828399258">
          <w:marLeft w:val="0"/>
          <w:marRight w:val="0"/>
          <w:marTop w:val="0"/>
          <w:marBottom w:val="0"/>
          <w:divBdr>
            <w:top w:val="none" w:sz="0" w:space="0" w:color="auto"/>
            <w:left w:val="none" w:sz="0" w:space="0" w:color="auto"/>
            <w:bottom w:val="none" w:sz="0" w:space="0" w:color="auto"/>
            <w:right w:val="none" w:sz="0" w:space="0" w:color="auto"/>
          </w:divBdr>
        </w:div>
        <w:div w:id="1854490580">
          <w:marLeft w:val="0"/>
          <w:marRight w:val="0"/>
          <w:marTop w:val="0"/>
          <w:marBottom w:val="0"/>
          <w:divBdr>
            <w:top w:val="none" w:sz="0" w:space="0" w:color="auto"/>
            <w:left w:val="none" w:sz="0" w:space="0" w:color="auto"/>
            <w:bottom w:val="none" w:sz="0" w:space="0" w:color="auto"/>
            <w:right w:val="none" w:sz="0" w:space="0" w:color="auto"/>
          </w:divBdr>
        </w:div>
        <w:div w:id="1864705236">
          <w:marLeft w:val="0"/>
          <w:marRight w:val="0"/>
          <w:marTop w:val="0"/>
          <w:marBottom w:val="0"/>
          <w:divBdr>
            <w:top w:val="none" w:sz="0" w:space="0" w:color="auto"/>
            <w:left w:val="none" w:sz="0" w:space="0" w:color="auto"/>
            <w:bottom w:val="none" w:sz="0" w:space="0" w:color="auto"/>
            <w:right w:val="none" w:sz="0" w:space="0" w:color="auto"/>
          </w:divBdr>
        </w:div>
        <w:div w:id="1968967544">
          <w:marLeft w:val="0"/>
          <w:marRight w:val="0"/>
          <w:marTop w:val="0"/>
          <w:marBottom w:val="0"/>
          <w:divBdr>
            <w:top w:val="none" w:sz="0" w:space="0" w:color="auto"/>
            <w:left w:val="none" w:sz="0" w:space="0" w:color="auto"/>
            <w:bottom w:val="none" w:sz="0" w:space="0" w:color="auto"/>
            <w:right w:val="none" w:sz="0" w:space="0" w:color="auto"/>
          </w:divBdr>
        </w:div>
      </w:divsChild>
    </w:div>
    <w:div w:id="193538946">
      <w:bodyDiv w:val="1"/>
      <w:marLeft w:val="0"/>
      <w:marRight w:val="0"/>
      <w:marTop w:val="0"/>
      <w:marBottom w:val="0"/>
      <w:divBdr>
        <w:top w:val="none" w:sz="0" w:space="0" w:color="auto"/>
        <w:left w:val="none" w:sz="0" w:space="0" w:color="auto"/>
        <w:bottom w:val="none" w:sz="0" w:space="0" w:color="auto"/>
        <w:right w:val="none" w:sz="0" w:space="0" w:color="auto"/>
      </w:divBdr>
    </w:div>
    <w:div w:id="195428521">
      <w:bodyDiv w:val="1"/>
      <w:marLeft w:val="0"/>
      <w:marRight w:val="0"/>
      <w:marTop w:val="0"/>
      <w:marBottom w:val="0"/>
      <w:divBdr>
        <w:top w:val="none" w:sz="0" w:space="0" w:color="auto"/>
        <w:left w:val="none" w:sz="0" w:space="0" w:color="auto"/>
        <w:bottom w:val="none" w:sz="0" w:space="0" w:color="auto"/>
        <w:right w:val="none" w:sz="0" w:space="0" w:color="auto"/>
      </w:divBdr>
    </w:div>
    <w:div w:id="196427346">
      <w:bodyDiv w:val="1"/>
      <w:marLeft w:val="0"/>
      <w:marRight w:val="0"/>
      <w:marTop w:val="0"/>
      <w:marBottom w:val="0"/>
      <w:divBdr>
        <w:top w:val="none" w:sz="0" w:space="0" w:color="auto"/>
        <w:left w:val="none" w:sz="0" w:space="0" w:color="auto"/>
        <w:bottom w:val="none" w:sz="0" w:space="0" w:color="auto"/>
        <w:right w:val="none" w:sz="0" w:space="0" w:color="auto"/>
      </w:divBdr>
    </w:div>
    <w:div w:id="196889501">
      <w:bodyDiv w:val="1"/>
      <w:marLeft w:val="0"/>
      <w:marRight w:val="0"/>
      <w:marTop w:val="0"/>
      <w:marBottom w:val="0"/>
      <w:divBdr>
        <w:top w:val="none" w:sz="0" w:space="0" w:color="auto"/>
        <w:left w:val="none" w:sz="0" w:space="0" w:color="auto"/>
        <w:bottom w:val="none" w:sz="0" w:space="0" w:color="auto"/>
        <w:right w:val="none" w:sz="0" w:space="0" w:color="auto"/>
      </w:divBdr>
      <w:divsChild>
        <w:div w:id="720177847">
          <w:marLeft w:val="0"/>
          <w:marRight w:val="0"/>
          <w:marTop w:val="0"/>
          <w:marBottom w:val="0"/>
          <w:divBdr>
            <w:top w:val="none" w:sz="0" w:space="0" w:color="auto"/>
            <w:left w:val="none" w:sz="0" w:space="0" w:color="auto"/>
            <w:bottom w:val="none" w:sz="0" w:space="0" w:color="auto"/>
            <w:right w:val="none" w:sz="0" w:space="0" w:color="auto"/>
          </w:divBdr>
        </w:div>
        <w:div w:id="775173745">
          <w:marLeft w:val="0"/>
          <w:marRight w:val="0"/>
          <w:marTop w:val="0"/>
          <w:marBottom w:val="0"/>
          <w:divBdr>
            <w:top w:val="none" w:sz="0" w:space="0" w:color="auto"/>
            <w:left w:val="none" w:sz="0" w:space="0" w:color="auto"/>
            <w:bottom w:val="none" w:sz="0" w:space="0" w:color="auto"/>
            <w:right w:val="none" w:sz="0" w:space="0" w:color="auto"/>
          </w:divBdr>
        </w:div>
        <w:div w:id="1524053150">
          <w:marLeft w:val="0"/>
          <w:marRight w:val="0"/>
          <w:marTop w:val="0"/>
          <w:marBottom w:val="0"/>
          <w:divBdr>
            <w:top w:val="none" w:sz="0" w:space="0" w:color="auto"/>
            <w:left w:val="none" w:sz="0" w:space="0" w:color="auto"/>
            <w:bottom w:val="none" w:sz="0" w:space="0" w:color="auto"/>
            <w:right w:val="none" w:sz="0" w:space="0" w:color="auto"/>
          </w:divBdr>
        </w:div>
      </w:divsChild>
    </w:div>
    <w:div w:id="202133766">
      <w:bodyDiv w:val="1"/>
      <w:marLeft w:val="0"/>
      <w:marRight w:val="0"/>
      <w:marTop w:val="0"/>
      <w:marBottom w:val="0"/>
      <w:divBdr>
        <w:top w:val="none" w:sz="0" w:space="0" w:color="auto"/>
        <w:left w:val="none" w:sz="0" w:space="0" w:color="auto"/>
        <w:bottom w:val="none" w:sz="0" w:space="0" w:color="auto"/>
        <w:right w:val="none" w:sz="0" w:space="0" w:color="auto"/>
      </w:divBdr>
    </w:div>
    <w:div w:id="204022285">
      <w:bodyDiv w:val="1"/>
      <w:marLeft w:val="0"/>
      <w:marRight w:val="0"/>
      <w:marTop w:val="0"/>
      <w:marBottom w:val="0"/>
      <w:divBdr>
        <w:top w:val="none" w:sz="0" w:space="0" w:color="auto"/>
        <w:left w:val="none" w:sz="0" w:space="0" w:color="auto"/>
        <w:bottom w:val="none" w:sz="0" w:space="0" w:color="auto"/>
        <w:right w:val="none" w:sz="0" w:space="0" w:color="auto"/>
      </w:divBdr>
    </w:div>
    <w:div w:id="206795313">
      <w:bodyDiv w:val="1"/>
      <w:marLeft w:val="0"/>
      <w:marRight w:val="0"/>
      <w:marTop w:val="0"/>
      <w:marBottom w:val="0"/>
      <w:divBdr>
        <w:top w:val="none" w:sz="0" w:space="0" w:color="auto"/>
        <w:left w:val="none" w:sz="0" w:space="0" w:color="auto"/>
        <w:bottom w:val="none" w:sz="0" w:space="0" w:color="auto"/>
        <w:right w:val="none" w:sz="0" w:space="0" w:color="auto"/>
      </w:divBdr>
      <w:divsChild>
        <w:div w:id="169369453">
          <w:marLeft w:val="0"/>
          <w:marRight w:val="0"/>
          <w:marTop w:val="0"/>
          <w:marBottom w:val="0"/>
          <w:divBdr>
            <w:top w:val="none" w:sz="0" w:space="0" w:color="auto"/>
            <w:left w:val="none" w:sz="0" w:space="0" w:color="auto"/>
            <w:bottom w:val="none" w:sz="0" w:space="0" w:color="auto"/>
            <w:right w:val="none" w:sz="0" w:space="0" w:color="auto"/>
          </w:divBdr>
        </w:div>
        <w:div w:id="291786436">
          <w:marLeft w:val="0"/>
          <w:marRight w:val="0"/>
          <w:marTop w:val="0"/>
          <w:marBottom w:val="0"/>
          <w:divBdr>
            <w:top w:val="none" w:sz="0" w:space="0" w:color="auto"/>
            <w:left w:val="none" w:sz="0" w:space="0" w:color="auto"/>
            <w:bottom w:val="none" w:sz="0" w:space="0" w:color="auto"/>
            <w:right w:val="none" w:sz="0" w:space="0" w:color="auto"/>
          </w:divBdr>
        </w:div>
        <w:div w:id="762534325">
          <w:marLeft w:val="0"/>
          <w:marRight w:val="0"/>
          <w:marTop w:val="0"/>
          <w:marBottom w:val="0"/>
          <w:divBdr>
            <w:top w:val="none" w:sz="0" w:space="0" w:color="auto"/>
            <w:left w:val="none" w:sz="0" w:space="0" w:color="auto"/>
            <w:bottom w:val="none" w:sz="0" w:space="0" w:color="auto"/>
            <w:right w:val="none" w:sz="0" w:space="0" w:color="auto"/>
          </w:divBdr>
        </w:div>
        <w:div w:id="1113749402">
          <w:marLeft w:val="0"/>
          <w:marRight w:val="0"/>
          <w:marTop w:val="0"/>
          <w:marBottom w:val="0"/>
          <w:divBdr>
            <w:top w:val="none" w:sz="0" w:space="0" w:color="auto"/>
            <w:left w:val="none" w:sz="0" w:space="0" w:color="auto"/>
            <w:bottom w:val="none" w:sz="0" w:space="0" w:color="auto"/>
            <w:right w:val="none" w:sz="0" w:space="0" w:color="auto"/>
          </w:divBdr>
        </w:div>
        <w:div w:id="1115708884">
          <w:marLeft w:val="0"/>
          <w:marRight w:val="0"/>
          <w:marTop w:val="0"/>
          <w:marBottom w:val="0"/>
          <w:divBdr>
            <w:top w:val="none" w:sz="0" w:space="0" w:color="auto"/>
            <w:left w:val="none" w:sz="0" w:space="0" w:color="auto"/>
            <w:bottom w:val="none" w:sz="0" w:space="0" w:color="auto"/>
            <w:right w:val="none" w:sz="0" w:space="0" w:color="auto"/>
          </w:divBdr>
        </w:div>
        <w:div w:id="1635792290">
          <w:marLeft w:val="0"/>
          <w:marRight w:val="0"/>
          <w:marTop w:val="0"/>
          <w:marBottom w:val="0"/>
          <w:divBdr>
            <w:top w:val="none" w:sz="0" w:space="0" w:color="auto"/>
            <w:left w:val="none" w:sz="0" w:space="0" w:color="auto"/>
            <w:bottom w:val="none" w:sz="0" w:space="0" w:color="auto"/>
            <w:right w:val="none" w:sz="0" w:space="0" w:color="auto"/>
          </w:divBdr>
        </w:div>
        <w:div w:id="1830637459">
          <w:marLeft w:val="0"/>
          <w:marRight w:val="0"/>
          <w:marTop w:val="0"/>
          <w:marBottom w:val="0"/>
          <w:divBdr>
            <w:top w:val="none" w:sz="0" w:space="0" w:color="auto"/>
            <w:left w:val="none" w:sz="0" w:space="0" w:color="auto"/>
            <w:bottom w:val="none" w:sz="0" w:space="0" w:color="auto"/>
            <w:right w:val="none" w:sz="0" w:space="0" w:color="auto"/>
          </w:divBdr>
        </w:div>
      </w:divsChild>
    </w:div>
    <w:div w:id="208954104">
      <w:bodyDiv w:val="1"/>
      <w:marLeft w:val="0"/>
      <w:marRight w:val="0"/>
      <w:marTop w:val="0"/>
      <w:marBottom w:val="0"/>
      <w:divBdr>
        <w:top w:val="none" w:sz="0" w:space="0" w:color="auto"/>
        <w:left w:val="none" w:sz="0" w:space="0" w:color="auto"/>
        <w:bottom w:val="none" w:sz="0" w:space="0" w:color="auto"/>
        <w:right w:val="none" w:sz="0" w:space="0" w:color="auto"/>
      </w:divBdr>
    </w:div>
    <w:div w:id="210385647">
      <w:bodyDiv w:val="1"/>
      <w:marLeft w:val="0"/>
      <w:marRight w:val="0"/>
      <w:marTop w:val="0"/>
      <w:marBottom w:val="0"/>
      <w:divBdr>
        <w:top w:val="none" w:sz="0" w:space="0" w:color="auto"/>
        <w:left w:val="none" w:sz="0" w:space="0" w:color="auto"/>
        <w:bottom w:val="none" w:sz="0" w:space="0" w:color="auto"/>
        <w:right w:val="none" w:sz="0" w:space="0" w:color="auto"/>
      </w:divBdr>
    </w:div>
    <w:div w:id="218710585">
      <w:bodyDiv w:val="1"/>
      <w:marLeft w:val="0"/>
      <w:marRight w:val="0"/>
      <w:marTop w:val="0"/>
      <w:marBottom w:val="0"/>
      <w:divBdr>
        <w:top w:val="none" w:sz="0" w:space="0" w:color="auto"/>
        <w:left w:val="none" w:sz="0" w:space="0" w:color="auto"/>
        <w:bottom w:val="none" w:sz="0" w:space="0" w:color="auto"/>
        <w:right w:val="none" w:sz="0" w:space="0" w:color="auto"/>
      </w:divBdr>
    </w:div>
    <w:div w:id="221992400">
      <w:bodyDiv w:val="1"/>
      <w:marLeft w:val="0"/>
      <w:marRight w:val="0"/>
      <w:marTop w:val="0"/>
      <w:marBottom w:val="0"/>
      <w:divBdr>
        <w:top w:val="none" w:sz="0" w:space="0" w:color="auto"/>
        <w:left w:val="none" w:sz="0" w:space="0" w:color="auto"/>
        <w:bottom w:val="none" w:sz="0" w:space="0" w:color="auto"/>
        <w:right w:val="none" w:sz="0" w:space="0" w:color="auto"/>
      </w:divBdr>
    </w:div>
    <w:div w:id="236281351">
      <w:bodyDiv w:val="1"/>
      <w:marLeft w:val="0"/>
      <w:marRight w:val="0"/>
      <w:marTop w:val="0"/>
      <w:marBottom w:val="0"/>
      <w:divBdr>
        <w:top w:val="none" w:sz="0" w:space="0" w:color="auto"/>
        <w:left w:val="none" w:sz="0" w:space="0" w:color="auto"/>
        <w:bottom w:val="none" w:sz="0" w:space="0" w:color="auto"/>
        <w:right w:val="none" w:sz="0" w:space="0" w:color="auto"/>
      </w:divBdr>
      <w:divsChild>
        <w:div w:id="226231765">
          <w:marLeft w:val="446"/>
          <w:marRight w:val="0"/>
          <w:marTop w:val="0"/>
          <w:marBottom w:val="120"/>
          <w:divBdr>
            <w:top w:val="none" w:sz="0" w:space="0" w:color="auto"/>
            <w:left w:val="none" w:sz="0" w:space="0" w:color="auto"/>
            <w:bottom w:val="none" w:sz="0" w:space="0" w:color="auto"/>
            <w:right w:val="none" w:sz="0" w:space="0" w:color="auto"/>
          </w:divBdr>
        </w:div>
        <w:div w:id="1284851590">
          <w:marLeft w:val="446"/>
          <w:marRight w:val="0"/>
          <w:marTop w:val="0"/>
          <w:marBottom w:val="120"/>
          <w:divBdr>
            <w:top w:val="none" w:sz="0" w:space="0" w:color="auto"/>
            <w:left w:val="none" w:sz="0" w:space="0" w:color="auto"/>
            <w:bottom w:val="none" w:sz="0" w:space="0" w:color="auto"/>
            <w:right w:val="none" w:sz="0" w:space="0" w:color="auto"/>
          </w:divBdr>
        </w:div>
      </w:divsChild>
    </w:div>
    <w:div w:id="239363737">
      <w:bodyDiv w:val="1"/>
      <w:marLeft w:val="0"/>
      <w:marRight w:val="0"/>
      <w:marTop w:val="0"/>
      <w:marBottom w:val="0"/>
      <w:divBdr>
        <w:top w:val="none" w:sz="0" w:space="0" w:color="auto"/>
        <w:left w:val="none" w:sz="0" w:space="0" w:color="auto"/>
        <w:bottom w:val="none" w:sz="0" w:space="0" w:color="auto"/>
        <w:right w:val="none" w:sz="0" w:space="0" w:color="auto"/>
      </w:divBdr>
    </w:div>
    <w:div w:id="248469471">
      <w:bodyDiv w:val="1"/>
      <w:marLeft w:val="0"/>
      <w:marRight w:val="0"/>
      <w:marTop w:val="0"/>
      <w:marBottom w:val="0"/>
      <w:divBdr>
        <w:top w:val="none" w:sz="0" w:space="0" w:color="auto"/>
        <w:left w:val="none" w:sz="0" w:space="0" w:color="auto"/>
        <w:bottom w:val="none" w:sz="0" w:space="0" w:color="auto"/>
        <w:right w:val="none" w:sz="0" w:space="0" w:color="auto"/>
      </w:divBdr>
    </w:div>
    <w:div w:id="249437610">
      <w:bodyDiv w:val="1"/>
      <w:marLeft w:val="0"/>
      <w:marRight w:val="0"/>
      <w:marTop w:val="0"/>
      <w:marBottom w:val="0"/>
      <w:divBdr>
        <w:top w:val="none" w:sz="0" w:space="0" w:color="auto"/>
        <w:left w:val="none" w:sz="0" w:space="0" w:color="auto"/>
        <w:bottom w:val="none" w:sz="0" w:space="0" w:color="auto"/>
        <w:right w:val="none" w:sz="0" w:space="0" w:color="auto"/>
      </w:divBdr>
    </w:div>
    <w:div w:id="250743033">
      <w:bodyDiv w:val="1"/>
      <w:marLeft w:val="0"/>
      <w:marRight w:val="0"/>
      <w:marTop w:val="0"/>
      <w:marBottom w:val="0"/>
      <w:divBdr>
        <w:top w:val="none" w:sz="0" w:space="0" w:color="auto"/>
        <w:left w:val="none" w:sz="0" w:space="0" w:color="auto"/>
        <w:bottom w:val="none" w:sz="0" w:space="0" w:color="auto"/>
        <w:right w:val="none" w:sz="0" w:space="0" w:color="auto"/>
      </w:divBdr>
      <w:divsChild>
        <w:div w:id="390273066">
          <w:marLeft w:val="0"/>
          <w:marRight w:val="0"/>
          <w:marTop w:val="0"/>
          <w:marBottom w:val="0"/>
          <w:divBdr>
            <w:top w:val="none" w:sz="0" w:space="0" w:color="auto"/>
            <w:left w:val="none" w:sz="0" w:space="0" w:color="auto"/>
            <w:bottom w:val="none" w:sz="0" w:space="0" w:color="auto"/>
            <w:right w:val="none" w:sz="0" w:space="0" w:color="auto"/>
          </w:divBdr>
        </w:div>
        <w:div w:id="668213950">
          <w:marLeft w:val="0"/>
          <w:marRight w:val="0"/>
          <w:marTop w:val="0"/>
          <w:marBottom w:val="0"/>
          <w:divBdr>
            <w:top w:val="none" w:sz="0" w:space="0" w:color="auto"/>
            <w:left w:val="none" w:sz="0" w:space="0" w:color="auto"/>
            <w:bottom w:val="none" w:sz="0" w:space="0" w:color="auto"/>
            <w:right w:val="none" w:sz="0" w:space="0" w:color="auto"/>
          </w:divBdr>
        </w:div>
        <w:div w:id="971330283">
          <w:marLeft w:val="0"/>
          <w:marRight w:val="0"/>
          <w:marTop w:val="0"/>
          <w:marBottom w:val="0"/>
          <w:divBdr>
            <w:top w:val="none" w:sz="0" w:space="0" w:color="auto"/>
            <w:left w:val="none" w:sz="0" w:space="0" w:color="auto"/>
            <w:bottom w:val="none" w:sz="0" w:space="0" w:color="auto"/>
            <w:right w:val="none" w:sz="0" w:space="0" w:color="auto"/>
          </w:divBdr>
        </w:div>
        <w:div w:id="1099444506">
          <w:marLeft w:val="0"/>
          <w:marRight w:val="0"/>
          <w:marTop w:val="0"/>
          <w:marBottom w:val="0"/>
          <w:divBdr>
            <w:top w:val="none" w:sz="0" w:space="0" w:color="auto"/>
            <w:left w:val="none" w:sz="0" w:space="0" w:color="auto"/>
            <w:bottom w:val="none" w:sz="0" w:space="0" w:color="auto"/>
            <w:right w:val="none" w:sz="0" w:space="0" w:color="auto"/>
          </w:divBdr>
        </w:div>
        <w:div w:id="2018075315">
          <w:marLeft w:val="0"/>
          <w:marRight w:val="0"/>
          <w:marTop w:val="0"/>
          <w:marBottom w:val="0"/>
          <w:divBdr>
            <w:top w:val="none" w:sz="0" w:space="0" w:color="auto"/>
            <w:left w:val="none" w:sz="0" w:space="0" w:color="auto"/>
            <w:bottom w:val="none" w:sz="0" w:space="0" w:color="auto"/>
            <w:right w:val="none" w:sz="0" w:space="0" w:color="auto"/>
          </w:divBdr>
        </w:div>
      </w:divsChild>
    </w:div>
    <w:div w:id="267156078">
      <w:bodyDiv w:val="1"/>
      <w:marLeft w:val="0"/>
      <w:marRight w:val="0"/>
      <w:marTop w:val="0"/>
      <w:marBottom w:val="0"/>
      <w:divBdr>
        <w:top w:val="none" w:sz="0" w:space="0" w:color="auto"/>
        <w:left w:val="none" w:sz="0" w:space="0" w:color="auto"/>
        <w:bottom w:val="none" w:sz="0" w:space="0" w:color="auto"/>
        <w:right w:val="none" w:sz="0" w:space="0" w:color="auto"/>
      </w:divBdr>
    </w:div>
    <w:div w:id="267396274">
      <w:bodyDiv w:val="1"/>
      <w:marLeft w:val="0"/>
      <w:marRight w:val="0"/>
      <w:marTop w:val="0"/>
      <w:marBottom w:val="0"/>
      <w:divBdr>
        <w:top w:val="none" w:sz="0" w:space="0" w:color="auto"/>
        <w:left w:val="none" w:sz="0" w:space="0" w:color="auto"/>
        <w:bottom w:val="none" w:sz="0" w:space="0" w:color="auto"/>
        <w:right w:val="none" w:sz="0" w:space="0" w:color="auto"/>
      </w:divBdr>
    </w:div>
    <w:div w:id="267734702">
      <w:bodyDiv w:val="1"/>
      <w:marLeft w:val="0"/>
      <w:marRight w:val="0"/>
      <w:marTop w:val="0"/>
      <w:marBottom w:val="0"/>
      <w:divBdr>
        <w:top w:val="none" w:sz="0" w:space="0" w:color="auto"/>
        <w:left w:val="none" w:sz="0" w:space="0" w:color="auto"/>
        <w:bottom w:val="none" w:sz="0" w:space="0" w:color="auto"/>
        <w:right w:val="none" w:sz="0" w:space="0" w:color="auto"/>
      </w:divBdr>
      <w:divsChild>
        <w:div w:id="26956510">
          <w:marLeft w:val="0"/>
          <w:marRight w:val="0"/>
          <w:marTop w:val="0"/>
          <w:marBottom w:val="0"/>
          <w:divBdr>
            <w:top w:val="none" w:sz="0" w:space="0" w:color="auto"/>
            <w:left w:val="none" w:sz="0" w:space="0" w:color="auto"/>
            <w:bottom w:val="none" w:sz="0" w:space="0" w:color="auto"/>
            <w:right w:val="none" w:sz="0" w:space="0" w:color="auto"/>
          </w:divBdr>
        </w:div>
        <w:div w:id="210113908">
          <w:marLeft w:val="0"/>
          <w:marRight w:val="0"/>
          <w:marTop w:val="0"/>
          <w:marBottom w:val="0"/>
          <w:divBdr>
            <w:top w:val="none" w:sz="0" w:space="0" w:color="auto"/>
            <w:left w:val="none" w:sz="0" w:space="0" w:color="auto"/>
            <w:bottom w:val="none" w:sz="0" w:space="0" w:color="auto"/>
            <w:right w:val="none" w:sz="0" w:space="0" w:color="auto"/>
          </w:divBdr>
        </w:div>
        <w:div w:id="269241324">
          <w:marLeft w:val="0"/>
          <w:marRight w:val="0"/>
          <w:marTop w:val="0"/>
          <w:marBottom w:val="0"/>
          <w:divBdr>
            <w:top w:val="none" w:sz="0" w:space="0" w:color="auto"/>
            <w:left w:val="none" w:sz="0" w:space="0" w:color="auto"/>
            <w:bottom w:val="none" w:sz="0" w:space="0" w:color="auto"/>
            <w:right w:val="none" w:sz="0" w:space="0" w:color="auto"/>
          </w:divBdr>
        </w:div>
        <w:div w:id="463617235">
          <w:marLeft w:val="0"/>
          <w:marRight w:val="0"/>
          <w:marTop w:val="0"/>
          <w:marBottom w:val="0"/>
          <w:divBdr>
            <w:top w:val="none" w:sz="0" w:space="0" w:color="auto"/>
            <w:left w:val="none" w:sz="0" w:space="0" w:color="auto"/>
            <w:bottom w:val="none" w:sz="0" w:space="0" w:color="auto"/>
            <w:right w:val="none" w:sz="0" w:space="0" w:color="auto"/>
          </w:divBdr>
        </w:div>
        <w:div w:id="537084023">
          <w:marLeft w:val="0"/>
          <w:marRight w:val="0"/>
          <w:marTop w:val="0"/>
          <w:marBottom w:val="0"/>
          <w:divBdr>
            <w:top w:val="none" w:sz="0" w:space="0" w:color="auto"/>
            <w:left w:val="none" w:sz="0" w:space="0" w:color="auto"/>
            <w:bottom w:val="none" w:sz="0" w:space="0" w:color="auto"/>
            <w:right w:val="none" w:sz="0" w:space="0" w:color="auto"/>
          </w:divBdr>
        </w:div>
        <w:div w:id="707218585">
          <w:marLeft w:val="0"/>
          <w:marRight w:val="0"/>
          <w:marTop w:val="0"/>
          <w:marBottom w:val="0"/>
          <w:divBdr>
            <w:top w:val="none" w:sz="0" w:space="0" w:color="auto"/>
            <w:left w:val="none" w:sz="0" w:space="0" w:color="auto"/>
            <w:bottom w:val="none" w:sz="0" w:space="0" w:color="auto"/>
            <w:right w:val="none" w:sz="0" w:space="0" w:color="auto"/>
          </w:divBdr>
        </w:div>
        <w:div w:id="980689957">
          <w:marLeft w:val="0"/>
          <w:marRight w:val="0"/>
          <w:marTop w:val="0"/>
          <w:marBottom w:val="0"/>
          <w:divBdr>
            <w:top w:val="none" w:sz="0" w:space="0" w:color="auto"/>
            <w:left w:val="none" w:sz="0" w:space="0" w:color="auto"/>
            <w:bottom w:val="none" w:sz="0" w:space="0" w:color="auto"/>
            <w:right w:val="none" w:sz="0" w:space="0" w:color="auto"/>
          </w:divBdr>
        </w:div>
        <w:div w:id="1017732358">
          <w:marLeft w:val="0"/>
          <w:marRight w:val="0"/>
          <w:marTop w:val="0"/>
          <w:marBottom w:val="0"/>
          <w:divBdr>
            <w:top w:val="none" w:sz="0" w:space="0" w:color="auto"/>
            <w:left w:val="none" w:sz="0" w:space="0" w:color="auto"/>
            <w:bottom w:val="none" w:sz="0" w:space="0" w:color="auto"/>
            <w:right w:val="none" w:sz="0" w:space="0" w:color="auto"/>
          </w:divBdr>
        </w:div>
        <w:div w:id="1077242086">
          <w:marLeft w:val="0"/>
          <w:marRight w:val="0"/>
          <w:marTop w:val="0"/>
          <w:marBottom w:val="0"/>
          <w:divBdr>
            <w:top w:val="none" w:sz="0" w:space="0" w:color="auto"/>
            <w:left w:val="none" w:sz="0" w:space="0" w:color="auto"/>
            <w:bottom w:val="none" w:sz="0" w:space="0" w:color="auto"/>
            <w:right w:val="none" w:sz="0" w:space="0" w:color="auto"/>
          </w:divBdr>
        </w:div>
        <w:div w:id="1129393055">
          <w:marLeft w:val="0"/>
          <w:marRight w:val="0"/>
          <w:marTop w:val="0"/>
          <w:marBottom w:val="0"/>
          <w:divBdr>
            <w:top w:val="none" w:sz="0" w:space="0" w:color="auto"/>
            <w:left w:val="none" w:sz="0" w:space="0" w:color="auto"/>
            <w:bottom w:val="none" w:sz="0" w:space="0" w:color="auto"/>
            <w:right w:val="none" w:sz="0" w:space="0" w:color="auto"/>
          </w:divBdr>
        </w:div>
        <w:div w:id="1168012216">
          <w:marLeft w:val="0"/>
          <w:marRight w:val="0"/>
          <w:marTop w:val="0"/>
          <w:marBottom w:val="0"/>
          <w:divBdr>
            <w:top w:val="none" w:sz="0" w:space="0" w:color="auto"/>
            <w:left w:val="none" w:sz="0" w:space="0" w:color="auto"/>
            <w:bottom w:val="none" w:sz="0" w:space="0" w:color="auto"/>
            <w:right w:val="none" w:sz="0" w:space="0" w:color="auto"/>
          </w:divBdr>
        </w:div>
        <w:div w:id="1260454493">
          <w:marLeft w:val="0"/>
          <w:marRight w:val="0"/>
          <w:marTop w:val="0"/>
          <w:marBottom w:val="0"/>
          <w:divBdr>
            <w:top w:val="none" w:sz="0" w:space="0" w:color="auto"/>
            <w:left w:val="none" w:sz="0" w:space="0" w:color="auto"/>
            <w:bottom w:val="none" w:sz="0" w:space="0" w:color="auto"/>
            <w:right w:val="none" w:sz="0" w:space="0" w:color="auto"/>
          </w:divBdr>
        </w:div>
        <w:div w:id="1543395719">
          <w:marLeft w:val="0"/>
          <w:marRight w:val="0"/>
          <w:marTop w:val="0"/>
          <w:marBottom w:val="0"/>
          <w:divBdr>
            <w:top w:val="none" w:sz="0" w:space="0" w:color="auto"/>
            <w:left w:val="none" w:sz="0" w:space="0" w:color="auto"/>
            <w:bottom w:val="none" w:sz="0" w:space="0" w:color="auto"/>
            <w:right w:val="none" w:sz="0" w:space="0" w:color="auto"/>
          </w:divBdr>
        </w:div>
        <w:div w:id="1572042706">
          <w:marLeft w:val="0"/>
          <w:marRight w:val="0"/>
          <w:marTop w:val="0"/>
          <w:marBottom w:val="0"/>
          <w:divBdr>
            <w:top w:val="none" w:sz="0" w:space="0" w:color="auto"/>
            <w:left w:val="none" w:sz="0" w:space="0" w:color="auto"/>
            <w:bottom w:val="none" w:sz="0" w:space="0" w:color="auto"/>
            <w:right w:val="none" w:sz="0" w:space="0" w:color="auto"/>
          </w:divBdr>
        </w:div>
        <w:div w:id="1664971296">
          <w:marLeft w:val="0"/>
          <w:marRight w:val="0"/>
          <w:marTop w:val="0"/>
          <w:marBottom w:val="0"/>
          <w:divBdr>
            <w:top w:val="none" w:sz="0" w:space="0" w:color="auto"/>
            <w:left w:val="none" w:sz="0" w:space="0" w:color="auto"/>
            <w:bottom w:val="none" w:sz="0" w:space="0" w:color="auto"/>
            <w:right w:val="none" w:sz="0" w:space="0" w:color="auto"/>
          </w:divBdr>
        </w:div>
        <w:div w:id="1852723458">
          <w:marLeft w:val="0"/>
          <w:marRight w:val="0"/>
          <w:marTop w:val="0"/>
          <w:marBottom w:val="0"/>
          <w:divBdr>
            <w:top w:val="none" w:sz="0" w:space="0" w:color="auto"/>
            <w:left w:val="none" w:sz="0" w:space="0" w:color="auto"/>
            <w:bottom w:val="none" w:sz="0" w:space="0" w:color="auto"/>
            <w:right w:val="none" w:sz="0" w:space="0" w:color="auto"/>
          </w:divBdr>
        </w:div>
        <w:div w:id="1857110129">
          <w:marLeft w:val="0"/>
          <w:marRight w:val="0"/>
          <w:marTop w:val="0"/>
          <w:marBottom w:val="0"/>
          <w:divBdr>
            <w:top w:val="none" w:sz="0" w:space="0" w:color="auto"/>
            <w:left w:val="none" w:sz="0" w:space="0" w:color="auto"/>
            <w:bottom w:val="none" w:sz="0" w:space="0" w:color="auto"/>
            <w:right w:val="none" w:sz="0" w:space="0" w:color="auto"/>
          </w:divBdr>
        </w:div>
      </w:divsChild>
    </w:div>
    <w:div w:id="270822217">
      <w:bodyDiv w:val="1"/>
      <w:marLeft w:val="0"/>
      <w:marRight w:val="0"/>
      <w:marTop w:val="0"/>
      <w:marBottom w:val="0"/>
      <w:divBdr>
        <w:top w:val="none" w:sz="0" w:space="0" w:color="auto"/>
        <w:left w:val="none" w:sz="0" w:space="0" w:color="auto"/>
        <w:bottom w:val="none" w:sz="0" w:space="0" w:color="auto"/>
        <w:right w:val="none" w:sz="0" w:space="0" w:color="auto"/>
      </w:divBdr>
      <w:divsChild>
        <w:div w:id="60829763">
          <w:marLeft w:val="446"/>
          <w:marRight w:val="0"/>
          <w:marTop w:val="0"/>
          <w:marBottom w:val="0"/>
          <w:divBdr>
            <w:top w:val="none" w:sz="0" w:space="0" w:color="auto"/>
            <w:left w:val="none" w:sz="0" w:space="0" w:color="auto"/>
            <w:bottom w:val="none" w:sz="0" w:space="0" w:color="auto"/>
            <w:right w:val="none" w:sz="0" w:space="0" w:color="auto"/>
          </w:divBdr>
        </w:div>
        <w:div w:id="425422371">
          <w:marLeft w:val="446"/>
          <w:marRight w:val="0"/>
          <w:marTop w:val="0"/>
          <w:marBottom w:val="0"/>
          <w:divBdr>
            <w:top w:val="none" w:sz="0" w:space="0" w:color="auto"/>
            <w:left w:val="none" w:sz="0" w:space="0" w:color="auto"/>
            <w:bottom w:val="none" w:sz="0" w:space="0" w:color="auto"/>
            <w:right w:val="none" w:sz="0" w:space="0" w:color="auto"/>
          </w:divBdr>
        </w:div>
        <w:div w:id="1657800858">
          <w:marLeft w:val="446"/>
          <w:marRight w:val="0"/>
          <w:marTop w:val="0"/>
          <w:marBottom w:val="0"/>
          <w:divBdr>
            <w:top w:val="none" w:sz="0" w:space="0" w:color="auto"/>
            <w:left w:val="none" w:sz="0" w:space="0" w:color="auto"/>
            <w:bottom w:val="none" w:sz="0" w:space="0" w:color="auto"/>
            <w:right w:val="none" w:sz="0" w:space="0" w:color="auto"/>
          </w:divBdr>
        </w:div>
        <w:div w:id="2097940683">
          <w:marLeft w:val="446"/>
          <w:marRight w:val="0"/>
          <w:marTop w:val="0"/>
          <w:marBottom w:val="0"/>
          <w:divBdr>
            <w:top w:val="none" w:sz="0" w:space="0" w:color="auto"/>
            <w:left w:val="none" w:sz="0" w:space="0" w:color="auto"/>
            <w:bottom w:val="none" w:sz="0" w:space="0" w:color="auto"/>
            <w:right w:val="none" w:sz="0" w:space="0" w:color="auto"/>
          </w:divBdr>
        </w:div>
      </w:divsChild>
    </w:div>
    <w:div w:id="276186251">
      <w:bodyDiv w:val="1"/>
      <w:marLeft w:val="0"/>
      <w:marRight w:val="0"/>
      <w:marTop w:val="0"/>
      <w:marBottom w:val="0"/>
      <w:divBdr>
        <w:top w:val="none" w:sz="0" w:space="0" w:color="auto"/>
        <w:left w:val="none" w:sz="0" w:space="0" w:color="auto"/>
        <w:bottom w:val="none" w:sz="0" w:space="0" w:color="auto"/>
        <w:right w:val="none" w:sz="0" w:space="0" w:color="auto"/>
      </w:divBdr>
    </w:div>
    <w:div w:id="280035851">
      <w:bodyDiv w:val="1"/>
      <w:marLeft w:val="0"/>
      <w:marRight w:val="0"/>
      <w:marTop w:val="0"/>
      <w:marBottom w:val="0"/>
      <w:divBdr>
        <w:top w:val="none" w:sz="0" w:space="0" w:color="auto"/>
        <w:left w:val="none" w:sz="0" w:space="0" w:color="auto"/>
        <w:bottom w:val="none" w:sz="0" w:space="0" w:color="auto"/>
        <w:right w:val="none" w:sz="0" w:space="0" w:color="auto"/>
      </w:divBdr>
    </w:div>
    <w:div w:id="280503792">
      <w:bodyDiv w:val="1"/>
      <w:marLeft w:val="0"/>
      <w:marRight w:val="0"/>
      <w:marTop w:val="0"/>
      <w:marBottom w:val="0"/>
      <w:divBdr>
        <w:top w:val="none" w:sz="0" w:space="0" w:color="auto"/>
        <w:left w:val="none" w:sz="0" w:space="0" w:color="auto"/>
        <w:bottom w:val="none" w:sz="0" w:space="0" w:color="auto"/>
        <w:right w:val="none" w:sz="0" w:space="0" w:color="auto"/>
      </w:divBdr>
      <w:divsChild>
        <w:div w:id="514611671">
          <w:marLeft w:val="0"/>
          <w:marRight w:val="0"/>
          <w:marTop w:val="0"/>
          <w:marBottom w:val="0"/>
          <w:divBdr>
            <w:top w:val="none" w:sz="0" w:space="0" w:color="auto"/>
            <w:left w:val="none" w:sz="0" w:space="0" w:color="auto"/>
            <w:bottom w:val="none" w:sz="0" w:space="0" w:color="auto"/>
            <w:right w:val="none" w:sz="0" w:space="0" w:color="auto"/>
          </w:divBdr>
        </w:div>
        <w:div w:id="731198059">
          <w:marLeft w:val="0"/>
          <w:marRight w:val="0"/>
          <w:marTop w:val="0"/>
          <w:marBottom w:val="0"/>
          <w:divBdr>
            <w:top w:val="none" w:sz="0" w:space="0" w:color="auto"/>
            <w:left w:val="none" w:sz="0" w:space="0" w:color="auto"/>
            <w:bottom w:val="none" w:sz="0" w:space="0" w:color="auto"/>
            <w:right w:val="none" w:sz="0" w:space="0" w:color="auto"/>
          </w:divBdr>
        </w:div>
        <w:div w:id="927347471">
          <w:marLeft w:val="0"/>
          <w:marRight w:val="0"/>
          <w:marTop w:val="0"/>
          <w:marBottom w:val="0"/>
          <w:divBdr>
            <w:top w:val="none" w:sz="0" w:space="0" w:color="auto"/>
            <w:left w:val="none" w:sz="0" w:space="0" w:color="auto"/>
            <w:bottom w:val="none" w:sz="0" w:space="0" w:color="auto"/>
            <w:right w:val="none" w:sz="0" w:space="0" w:color="auto"/>
          </w:divBdr>
        </w:div>
        <w:div w:id="1228765133">
          <w:marLeft w:val="0"/>
          <w:marRight w:val="0"/>
          <w:marTop w:val="0"/>
          <w:marBottom w:val="0"/>
          <w:divBdr>
            <w:top w:val="none" w:sz="0" w:space="0" w:color="auto"/>
            <w:left w:val="none" w:sz="0" w:space="0" w:color="auto"/>
            <w:bottom w:val="none" w:sz="0" w:space="0" w:color="auto"/>
            <w:right w:val="none" w:sz="0" w:space="0" w:color="auto"/>
          </w:divBdr>
        </w:div>
        <w:div w:id="1885436555">
          <w:marLeft w:val="0"/>
          <w:marRight w:val="0"/>
          <w:marTop w:val="0"/>
          <w:marBottom w:val="0"/>
          <w:divBdr>
            <w:top w:val="none" w:sz="0" w:space="0" w:color="auto"/>
            <w:left w:val="none" w:sz="0" w:space="0" w:color="auto"/>
            <w:bottom w:val="none" w:sz="0" w:space="0" w:color="auto"/>
            <w:right w:val="none" w:sz="0" w:space="0" w:color="auto"/>
          </w:divBdr>
        </w:div>
      </w:divsChild>
    </w:div>
    <w:div w:id="282807899">
      <w:bodyDiv w:val="1"/>
      <w:marLeft w:val="0"/>
      <w:marRight w:val="0"/>
      <w:marTop w:val="0"/>
      <w:marBottom w:val="0"/>
      <w:divBdr>
        <w:top w:val="none" w:sz="0" w:space="0" w:color="auto"/>
        <w:left w:val="none" w:sz="0" w:space="0" w:color="auto"/>
        <w:bottom w:val="none" w:sz="0" w:space="0" w:color="auto"/>
        <w:right w:val="none" w:sz="0" w:space="0" w:color="auto"/>
      </w:divBdr>
    </w:div>
    <w:div w:id="294455082">
      <w:bodyDiv w:val="1"/>
      <w:marLeft w:val="0"/>
      <w:marRight w:val="0"/>
      <w:marTop w:val="0"/>
      <w:marBottom w:val="0"/>
      <w:divBdr>
        <w:top w:val="none" w:sz="0" w:space="0" w:color="auto"/>
        <w:left w:val="none" w:sz="0" w:space="0" w:color="auto"/>
        <w:bottom w:val="none" w:sz="0" w:space="0" w:color="auto"/>
        <w:right w:val="none" w:sz="0" w:space="0" w:color="auto"/>
      </w:divBdr>
      <w:divsChild>
        <w:div w:id="71051767">
          <w:marLeft w:val="0"/>
          <w:marRight w:val="0"/>
          <w:marTop w:val="0"/>
          <w:marBottom w:val="0"/>
          <w:divBdr>
            <w:top w:val="none" w:sz="0" w:space="0" w:color="auto"/>
            <w:left w:val="none" w:sz="0" w:space="0" w:color="auto"/>
            <w:bottom w:val="none" w:sz="0" w:space="0" w:color="auto"/>
            <w:right w:val="none" w:sz="0" w:space="0" w:color="auto"/>
          </w:divBdr>
        </w:div>
        <w:div w:id="119497727">
          <w:marLeft w:val="0"/>
          <w:marRight w:val="0"/>
          <w:marTop w:val="0"/>
          <w:marBottom w:val="0"/>
          <w:divBdr>
            <w:top w:val="none" w:sz="0" w:space="0" w:color="auto"/>
            <w:left w:val="none" w:sz="0" w:space="0" w:color="auto"/>
            <w:bottom w:val="none" w:sz="0" w:space="0" w:color="auto"/>
            <w:right w:val="none" w:sz="0" w:space="0" w:color="auto"/>
          </w:divBdr>
        </w:div>
        <w:div w:id="279724077">
          <w:marLeft w:val="0"/>
          <w:marRight w:val="0"/>
          <w:marTop w:val="0"/>
          <w:marBottom w:val="0"/>
          <w:divBdr>
            <w:top w:val="none" w:sz="0" w:space="0" w:color="auto"/>
            <w:left w:val="none" w:sz="0" w:space="0" w:color="auto"/>
            <w:bottom w:val="none" w:sz="0" w:space="0" w:color="auto"/>
            <w:right w:val="none" w:sz="0" w:space="0" w:color="auto"/>
          </w:divBdr>
        </w:div>
        <w:div w:id="335034541">
          <w:marLeft w:val="0"/>
          <w:marRight w:val="0"/>
          <w:marTop w:val="0"/>
          <w:marBottom w:val="0"/>
          <w:divBdr>
            <w:top w:val="none" w:sz="0" w:space="0" w:color="auto"/>
            <w:left w:val="none" w:sz="0" w:space="0" w:color="auto"/>
            <w:bottom w:val="none" w:sz="0" w:space="0" w:color="auto"/>
            <w:right w:val="none" w:sz="0" w:space="0" w:color="auto"/>
          </w:divBdr>
        </w:div>
        <w:div w:id="683435366">
          <w:marLeft w:val="0"/>
          <w:marRight w:val="0"/>
          <w:marTop w:val="0"/>
          <w:marBottom w:val="0"/>
          <w:divBdr>
            <w:top w:val="none" w:sz="0" w:space="0" w:color="auto"/>
            <w:left w:val="none" w:sz="0" w:space="0" w:color="auto"/>
            <w:bottom w:val="none" w:sz="0" w:space="0" w:color="auto"/>
            <w:right w:val="none" w:sz="0" w:space="0" w:color="auto"/>
          </w:divBdr>
        </w:div>
        <w:div w:id="699236214">
          <w:marLeft w:val="0"/>
          <w:marRight w:val="0"/>
          <w:marTop w:val="0"/>
          <w:marBottom w:val="0"/>
          <w:divBdr>
            <w:top w:val="none" w:sz="0" w:space="0" w:color="auto"/>
            <w:left w:val="none" w:sz="0" w:space="0" w:color="auto"/>
            <w:bottom w:val="none" w:sz="0" w:space="0" w:color="auto"/>
            <w:right w:val="none" w:sz="0" w:space="0" w:color="auto"/>
          </w:divBdr>
        </w:div>
        <w:div w:id="800731474">
          <w:marLeft w:val="0"/>
          <w:marRight w:val="0"/>
          <w:marTop w:val="0"/>
          <w:marBottom w:val="0"/>
          <w:divBdr>
            <w:top w:val="none" w:sz="0" w:space="0" w:color="auto"/>
            <w:left w:val="none" w:sz="0" w:space="0" w:color="auto"/>
            <w:bottom w:val="none" w:sz="0" w:space="0" w:color="auto"/>
            <w:right w:val="none" w:sz="0" w:space="0" w:color="auto"/>
          </w:divBdr>
        </w:div>
        <w:div w:id="1093356500">
          <w:marLeft w:val="0"/>
          <w:marRight w:val="0"/>
          <w:marTop w:val="0"/>
          <w:marBottom w:val="0"/>
          <w:divBdr>
            <w:top w:val="none" w:sz="0" w:space="0" w:color="auto"/>
            <w:left w:val="none" w:sz="0" w:space="0" w:color="auto"/>
            <w:bottom w:val="none" w:sz="0" w:space="0" w:color="auto"/>
            <w:right w:val="none" w:sz="0" w:space="0" w:color="auto"/>
          </w:divBdr>
        </w:div>
        <w:div w:id="1166900958">
          <w:marLeft w:val="0"/>
          <w:marRight w:val="0"/>
          <w:marTop w:val="0"/>
          <w:marBottom w:val="0"/>
          <w:divBdr>
            <w:top w:val="none" w:sz="0" w:space="0" w:color="auto"/>
            <w:left w:val="none" w:sz="0" w:space="0" w:color="auto"/>
            <w:bottom w:val="none" w:sz="0" w:space="0" w:color="auto"/>
            <w:right w:val="none" w:sz="0" w:space="0" w:color="auto"/>
          </w:divBdr>
        </w:div>
        <w:div w:id="1171139681">
          <w:marLeft w:val="0"/>
          <w:marRight w:val="0"/>
          <w:marTop w:val="0"/>
          <w:marBottom w:val="0"/>
          <w:divBdr>
            <w:top w:val="none" w:sz="0" w:space="0" w:color="auto"/>
            <w:left w:val="none" w:sz="0" w:space="0" w:color="auto"/>
            <w:bottom w:val="none" w:sz="0" w:space="0" w:color="auto"/>
            <w:right w:val="none" w:sz="0" w:space="0" w:color="auto"/>
          </w:divBdr>
        </w:div>
        <w:div w:id="1316838872">
          <w:marLeft w:val="0"/>
          <w:marRight w:val="0"/>
          <w:marTop w:val="0"/>
          <w:marBottom w:val="0"/>
          <w:divBdr>
            <w:top w:val="none" w:sz="0" w:space="0" w:color="auto"/>
            <w:left w:val="none" w:sz="0" w:space="0" w:color="auto"/>
            <w:bottom w:val="none" w:sz="0" w:space="0" w:color="auto"/>
            <w:right w:val="none" w:sz="0" w:space="0" w:color="auto"/>
          </w:divBdr>
        </w:div>
        <w:div w:id="1381783893">
          <w:marLeft w:val="0"/>
          <w:marRight w:val="0"/>
          <w:marTop w:val="0"/>
          <w:marBottom w:val="0"/>
          <w:divBdr>
            <w:top w:val="none" w:sz="0" w:space="0" w:color="auto"/>
            <w:left w:val="none" w:sz="0" w:space="0" w:color="auto"/>
            <w:bottom w:val="none" w:sz="0" w:space="0" w:color="auto"/>
            <w:right w:val="none" w:sz="0" w:space="0" w:color="auto"/>
          </w:divBdr>
        </w:div>
        <w:div w:id="1786344278">
          <w:marLeft w:val="0"/>
          <w:marRight w:val="0"/>
          <w:marTop w:val="0"/>
          <w:marBottom w:val="0"/>
          <w:divBdr>
            <w:top w:val="none" w:sz="0" w:space="0" w:color="auto"/>
            <w:left w:val="none" w:sz="0" w:space="0" w:color="auto"/>
            <w:bottom w:val="none" w:sz="0" w:space="0" w:color="auto"/>
            <w:right w:val="none" w:sz="0" w:space="0" w:color="auto"/>
          </w:divBdr>
        </w:div>
        <w:div w:id="1806775225">
          <w:marLeft w:val="0"/>
          <w:marRight w:val="0"/>
          <w:marTop w:val="0"/>
          <w:marBottom w:val="0"/>
          <w:divBdr>
            <w:top w:val="none" w:sz="0" w:space="0" w:color="auto"/>
            <w:left w:val="none" w:sz="0" w:space="0" w:color="auto"/>
            <w:bottom w:val="none" w:sz="0" w:space="0" w:color="auto"/>
            <w:right w:val="none" w:sz="0" w:space="0" w:color="auto"/>
          </w:divBdr>
        </w:div>
        <w:div w:id="1921060095">
          <w:marLeft w:val="0"/>
          <w:marRight w:val="0"/>
          <w:marTop w:val="0"/>
          <w:marBottom w:val="0"/>
          <w:divBdr>
            <w:top w:val="none" w:sz="0" w:space="0" w:color="auto"/>
            <w:left w:val="none" w:sz="0" w:space="0" w:color="auto"/>
            <w:bottom w:val="none" w:sz="0" w:space="0" w:color="auto"/>
            <w:right w:val="none" w:sz="0" w:space="0" w:color="auto"/>
          </w:divBdr>
        </w:div>
      </w:divsChild>
    </w:div>
    <w:div w:id="306398274">
      <w:bodyDiv w:val="1"/>
      <w:marLeft w:val="0"/>
      <w:marRight w:val="0"/>
      <w:marTop w:val="0"/>
      <w:marBottom w:val="0"/>
      <w:divBdr>
        <w:top w:val="none" w:sz="0" w:space="0" w:color="auto"/>
        <w:left w:val="none" w:sz="0" w:space="0" w:color="auto"/>
        <w:bottom w:val="none" w:sz="0" w:space="0" w:color="auto"/>
        <w:right w:val="none" w:sz="0" w:space="0" w:color="auto"/>
      </w:divBdr>
    </w:div>
    <w:div w:id="311445354">
      <w:bodyDiv w:val="1"/>
      <w:marLeft w:val="0"/>
      <w:marRight w:val="0"/>
      <w:marTop w:val="0"/>
      <w:marBottom w:val="0"/>
      <w:divBdr>
        <w:top w:val="none" w:sz="0" w:space="0" w:color="auto"/>
        <w:left w:val="none" w:sz="0" w:space="0" w:color="auto"/>
        <w:bottom w:val="none" w:sz="0" w:space="0" w:color="auto"/>
        <w:right w:val="none" w:sz="0" w:space="0" w:color="auto"/>
      </w:divBdr>
    </w:div>
    <w:div w:id="311834611">
      <w:bodyDiv w:val="1"/>
      <w:marLeft w:val="0"/>
      <w:marRight w:val="0"/>
      <w:marTop w:val="0"/>
      <w:marBottom w:val="0"/>
      <w:divBdr>
        <w:top w:val="none" w:sz="0" w:space="0" w:color="auto"/>
        <w:left w:val="none" w:sz="0" w:space="0" w:color="auto"/>
        <w:bottom w:val="none" w:sz="0" w:space="0" w:color="auto"/>
        <w:right w:val="none" w:sz="0" w:space="0" w:color="auto"/>
      </w:divBdr>
    </w:div>
    <w:div w:id="318194236">
      <w:bodyDiv w:val="1"/>
      <w:marLeft w:val="0"/>
      <w:marRight w:val="0"/>
      <w:marTop w:val="0"/>
      <w:marBottom w:val="0"/>
      <w:divBdr>
        <w:top w:val="none" w:sz="0" w:space="0" w:color="auto"/>
        <w:left w:val="none" w:sz="0" w:space="0" w:color="auto"/>
        <w:bottom w:val="none" w:sz="0" w:space="0" w:color="auto"/>
        <w:right w:val="none" w:sz="0" w:space="0" w:color="auto"/>
      </w:divBdr>
      <w:divsChild>
        <w:div w:id="212237796">
          <w:marLeft w:val="0"/>
          <w:marRight w:val="0"/>
          <w:marTop w:val="0"/>
          <w:marBottom w:val="0"/>
          <w:divBdr>
            <w:top w:val="none" w:sz="0" w:space="0" w:color="auto"/>
            <w:left w:val="none" w:sz="0" w:space="0" w:color="auto"/>
            <w:bottom w:val="none" w:sz="0" w:space="0" w:color="auto"/>
            <w:right w:val="none" w:sz="0" w:space="0" w:color="auto"/>
          </w:divBdr>
        </w:div>
        <w:div w:id="558052380">
          <w:marLeft w:val="0"/>
          <w:marRight w:val="0"/>
          <w:marTop w:val="0"/>
          <w:marBottom w:val="0"/>
          <w:divBdr>
            <w:top w:val="none" w:sz="0" w:space="0" w:color="auto"/>
            <w:left w:val="none" w:sz="0" w:space="0" w:color="auto"/>
            <w:bottom w:val="none" w:sz="0" w:space="0" w:color="auto"/>
            <w:right w:val="none" w:sz="0" w:space="0" w:color="auto"/>
          </w:divBdr>
        </w:div>
        <w:div w:id="643896913">
          <w:marLeft w:val="0"/>
          <w:marRight w:val="0"/>
          <w:marTop w:val="0"/>
          <w:marBottom w:val="0"/>
          <w:divBdr>
            <w:top w:val="none" w:sz="0" w:space="0" w:color="auto"/>
            <w:left w:val="none" w:sz="0" w:space="0" w:color="auto"/>
            <w:bottom w:val="none" w:sz="0" w:space="0" w:color="auto"/>
            <w:right w:val="none" w:sz="0" w:space="0" w:color="auto"/>
          </w:divBdr>
        </w:div>
        <w:div w:id="793673316">
          <w:marLeft w:val="0"/>
          <w:marRight w:val="0"/>
          <w:marTop w:val="0"/>
          <w:marBottom w:val="0"/>
          <w:divBdr>
            <w:top w:val="none" w:sz="0" w:space="0" w:color="auto"/>
            <w:left w:val="none" w:sz="0" w:space="0" w:color="auto"/>
            <w:bottom w:val="none" w:sz="0" w:space="0" w:color="auto"/>
            <w:right w:val="none" w:sz="0" w:space="0" w:color="auto"/>
          </w:divBdr>
        </w:div>
        <w:div w:id="835923091">
          <w:marLeft w:val="0"/>
          <w:marRight w:val="0"/>
          <w:marTop w:val="0"/>
          <w:marBottom w:val="0"/>
          <w:divBdr>
            <w:top w:val="none" w:sz="0" w:space="0" w:color="auto"/>
            <w:left w:val="none" w:sz="0" w:space="0" w:color="auto"/>
            <w:bottom w:val="none" w:sz="0" w:space="0" w:color="auto"/>
            <w:right w:val="none" w:sz="0" w:space="0" w:color="auto"/>
          </w:divBdr>
        </w:div>
        <w:div w:id="907807639">
          <w:marLeft w:val="0"/>
          <w:marRight w:val="0"/>
          <w:marTop w:val="0"/>
          <w:marBottom w:val="0"/>
          <w:divBdr>
            <w:top w:val="none" w:sz="0" w:space="0" w:color="auto"/>
            <w:left w:val="none" w:sz="0" w:space="0" w:color="auto"/>
            <w:bottom w:val="none" w:sz="0" w:space="0" w:color="auto"/>
            <w:right w:val="none" w:sz="0" w:space="0" w:color="auto"/>
          </w:divBdr>
        </w:div>
        <w:div w:id="1150294268">
          <w:marLeft w:val="0"/>
          <w:marRight w:val="0"/>
          <w:marTop w:val="0"/>
          <w:marBottom w:val="0"/>
          <w:divBdr>
            <w:top w:val="none" w:sz="0" w:space="0" w:color="auto"/>
            <w:left w:val="none" w:sz="0" w:space="0" w:color="auto"/>
            <w:bottom w:val="none" w:sz="0" w:space="0" w:color="auto"/>
            <w:right w:val="none" w:sz="0" w:space="0" w:color="auto"/>
          </w:divBdr>
        </w:div>
        <w:div w:id="1292400909">
          <w:marLeft w:val="0"/>
          <w:marRight w:val="0"/>
          <w:marTop w:val="0"/>
          <w:marBottom w:val="0"/>
          <w:divBdr>
            <w:top w:val="none" w:sz="0" w:space="0" w:color="auto"/>
            <w:left w:val="none" w:sz="0" w:space="0" w:color="auto"/>
            <w:bottom w:val="none" w:sz="0" w:space="0" w:color="auto"/>
            <w:right w:val="none" w:sz="0" w:space="0" w:color="auto"/>
          </w:divBdr>
        </w:div>
        <w:div w:id="1895851867">
          <w:marLeft w:val="0"/>
          <w:marRight w:val="0"/>
          <w:marTop w:val="0"/>
          <w:marBottom w:val="0"/>
          <w:divBdr>
            <w:top w:val="none" w:sz="0" w:space="0" w:color="auto"/>
            <w:left w:val="none" w:sz="0" w:space="0" w:color="auto"/>
            <w:bottom w:val="none" w:sz="0" w:space="0" w:color="auto"/>
            <w:right w:val="none" w:sz="0" w:space="0" w:color="auto"/>
          </w:divBdr>
        </w:div>
      </w:divsChild>
    </w:div>
    <w:div w:id="318845800">
      <w:bodyDiv w:val="1"/>
      <w:marLeft w:val="0"/>
      <w:marRight w:val="0"/>
      <w:marTop w:val="0"/>
      <w:marBottom w:val="0"/>
      <w:divBdr>
        <w:top w:val="none" w:sz="0" w:space="0" w:color="auto"/>
        <w:left w:val="none" w:sz="0" w:space="0" w:color="auto"/>
        <w:bottom w:val="none" w:sz="0" w:space="0" w:color="auto"/>
        <w:right w:val="none" w:sz="0" w:space="0" w:color="auto"/>
      </w:divBdr>
    </w:div>
    <w:div w:id="326641751">
      <w:bodyDiv w:val="1"/>
      <w:marLeft w:val="0"/>
      <w:marRight w:val="0"/>
      <w:marTop w:val="0"/>
      <w:marBottom w:val="0"/>
      <w:divBdr>
        <w:top w:val="none" w:sz="0" w:space="0" w:color="auto"/>
        <w:left w:val="none" w:sz="0" w:space="0" w:color="auto"/>
        <w:bottom w:val="none" w:sz="0" w:space="0" w:color="auto"/>
        <w:right w:val="none" w:sz="0" w:space="0" w:color="auto"/>
      </w:divBdr>
      <w:divsChild>
        <w:div w:id="1004550857">
          <w:marLeft w:val="274"/>
          <w:marRight w:val="0"/>
          <w:marTop w:val="0"/>
          <w:marBottom w:val="0"/>
          <w:divBdr>
            <w:top w:val="none" w:sz="0" w:space="0" w:color="auto"/>
            <w:left w:val="none" w:sz="0" w:space="0" w:color="auto"/>
            <w:bottom w:val="none" w:sz="0" w:space="0" w:color="auto"/>
            <w:right w:val="none" w:sz="0" w:space="0" w:color="auto"/>
          </w:divBdr>
        </w:div>
        <w:div w:id="1565142260">
          <w:marLeft w:val="274"/>
          <w:marRight w:val="0"/>
          <w:marTop w:val="0"/>
          <w:marBottom w:val="0"/>
          <w:divBdr>
            <w:top w:val="none" w:sz="0" w:space="0" w:color="auto"/>
            <w:left w:val="none" w:sz="0" w:space="0" w:color="auto"/>
            <w:bottom w:val="none" w:sz="0" w:space="0" w:color="auto"/>
            <w:right w:val="none" w:sz="0" w:space="0" w:color="auto"/>
          </w:divBdr>
        </w:div>
        <w:div w:id="1585916547">
          <w:marLeft w:val="274"/>
          <w:marRight w:val="0"/>
          <w:marTop w:val="0"/>
          <w:marBottom w:val="0"/>
          <w:divBdr>
            <w:top w:val="none" w:sz="0" w:space="0" w:color="auto"/>
            <w:left w:val="none" w:sz="0" w:space="0" w:color="auto"/>
            <w:bottom w:val="none" w:sz="0" w:space="0" w:color="auto"/>
            <w:right w:val="none" w:sz="0" w:space="0" w:color="auto"/>
          </w:divBdr>
        </w:div>
        <w:div w:id="2031369441">
          <w:marLeft w:val="274"/>
          <w:marRight w:val="0"/>
          <w:marTop w:val="0"/>
          <w:marBottom w:val="0"/>
          <w:divBdr>
            <w:top w:val="none" w:sz="0" w:space="0" w:color="auto"/>
            <w:left w:val="none" w:sz="0" w:space="0" w:color="auto"/>
            <w:bottom w:val="none" w:sz="0" w:space="0" w:color="auto"/>
            <w:right w:val="none" w:sz="0" w:space="0" w:color="auto"/>
          </w:divBdr>
        </w:div>
      </w:divsChild>
    </w:div>
    <w:div w:id="335618070">
      <w:bodyDiv w:val="1"/>
      <w:marLeft w:val="0"/>
      <w:marRight w:val="0"/>
      <w:marTop w:val="0"/>
      <w:marBottom w:val="0"/>
      <w:divBdr>
        <w:top w:val="none" w:sz="0" w:space="0" w:color="auto"/>
        <w:left w:val="none" w:sz="0" w:space="0" w:color="auto"/>
        <w:bottom w:val="none" w:sz="0" w:space="0" w:color="auto"/>
        <w:right w:val="none" w:sz="0" w:space="0" w:color="auto"/>
      </w:divBdr>
    </w:div>
    <w:div w:id="364212257">
      <w:bodyDiv w:val="1"/>
      <w:marLeft w:val="0"/>
      <w:marRight w:val="0"/>
      <w:marTop w:val="0"/>
      <w:marBottom w:val="0"/>
      <w:divBdr>
        <w:top w:val="none" w:sz="0" w:space="0" w:color="auto"/>
        <w:left w:val="none" w:sz="0" w:space="0" w:color="auto"/>
        <w:bottom w:val="none" w:sz="0" w:space="0" w:color="auto"/>
        <w:right w:val="none" w:sz="0" w:space="0" w:color="auto"/>
      </w:divBdr>
      <w:divsChild>
        <w:div w:id="119300652">
          <w:marLeft w:val="0"/>
          <w:marRight w:val="0"/>
          <w:marTop w:val="0"/>
          <w:marBottom w:val="0"/>
          <w:divBdr>
            <w:top w:val="none" w:sz="0" w:space="0" w:color="auto"/>
            <w:left w:val="none" w:sz="0" w:space="0" w:color="auto"/>
            <w:bottom w:val="none" w:sz="0" w:space="0" w:color="auto"/>
            <w:right w:val="none" w:sz="0" w:space="0" w:color="auto"/>
          </w:divBdr>
        </w:div>
        <w:div w:id="161360731">
          <w:marLeft w:val="0"/>
          <w:marRight w:val="0"/>
          <w:marTop w:val="0"/>
          <w:marBottom w:val="0"/>
          <w:divBdr>
            <w:top w:val="none" w:sz="0" w:space="0" w:color="auto"/>
            <w:left w:val="none" w:sz="0" w:space="0" w:color="auto"/>
            <w:bottom w:val="none" w:sz="0" w:space="0" w:color="auto"/>
            <w:right w:val="none" w:sz="0" w:space="0" w:color="auto"/>
          </w:divBdr>
        </w:div>
        <w:div w:id="298151508">
          <w:marLeft w:val="0"/>
          <w:marRight w:val="0"/>
          <w:marTop w:val="0"/>
          <w:marBottom w:val="0"/>
          <w:divBdr>
            <w:top w:val="none" w:sz="0" w:space="0" w:color="auto"/>
            <w:left w:val="none" w:sz="0" w:space="0" w:color="auto"/>
            <w:bottom w:val="none" w:sz="0" w:space="0" w:color="auto"/>
            <w:right w:val="none" w:sz="0" w:space="0" w:color="auto"/>
          </w:divBdr>
        </w:div>
        <w:div w:id="336080347">
          <w:marLeft w:val="0"/>
          <w:marRight w:val="0"/>
          <w:marTop w:val="0"/>
          <w:marBottom w:val="0"/>
          <w:divBdr>
            <w:top w:val="none" w:sz="0" w:space="0" w:color="auto"/>
            <w:left w:val="none" w:sz="0" w:space="0" w:color="auto"/>
            <w:bottom w:val="none" w:sz="0" w:space="0" w:color="auto"/>
            <w:right w:val="none" w:sz="0" w:space="0" w:color="auto"/>
          </w:divBdr>
        </w:div>
        <w:div w:id="743069825">
          <w:marLeft w:val="0"/>
          <w:marRight w:val="0"/>
          <w:marTop w:val="0"/>
          <w:marBottom w:val="0"/>
          <w:divBdr>
            <w:top w:val="none" w:sz="0" w:space="0" w:color="auto"/>
            <w:left w:val="none" w:sz="0" w:space="0" w:color="auto"/>
            <w:bottom w:val="none" w:sz="0" w:space="0" w:color="auto"/>
            <w:right w:val="none" w:sz="0" w:space="0" w:color="auto"/>
          </w:divBdr>
        </w:div>
        <w:div w:id="799803445">
          <w:marLeft w:val="0"/>
          <w:marRight w:val="0"/>
          <w:marTop w:val="0"/>
          <w:marBottom w:val="0"/>
          <w:divBdr>
            <w:top w:val="none" w:sz="0" w:space="0" w:color="auto"/>
            <w:left w:val="none" w:sz="0" w:space="0" w:color="auto"/>
            <w:bottom w:val="none" w:sz="0" w:space="0" w:color="auto"/>
            <w:right w:val="none" w:sz="0" w:space="0" w:color="auto"/>
          </w:divBdr>
        </w:div>
        <w:div w:id="838665551">
          <w:marLeft w:val="0"/>
          <w:marRight w:val="0"/>
          <w:marTop w:val="0"/>
          <w:marBottom w:val="0"/>
          <w:divBdr>
            <w:top w:val="none" w:sz="0" w:space="0" w:color="auto"/>
            <w:left w:val="none" w:sz="0" w:space="0" w:color="auto"/>
            <w:bottom w:val="none" w:sz="0" w:space="0" w:color="auto"/>
            <w:right w:val="none" w:sz="0" w:space="0" w:color="auto"/>
          </w:divBdr>
        </w:div>
        <w:div w:id="879709802">
          <w:marLeft w:val="0"/>
          <w:marRight w:val="0"/>
          <w:marTop w:val="0"/>
          <w:marBottom w:val="0"/>
          <w:divBdr>
            <w:top w:val="none" w:sz="0" w:space="0" w:color="auto"/>
            <w:left w:val="none" w:sz="0" w:space="0" w:color="auto"/>
            <w:bottom w:val="none" w:sz="0" w:space="0" w:color="auto"/>
            <w:right w:val="none" w:sz="0" w:space="0" w:color="auto"/>
          </w:divBdr>
        </w:div>
        <w:div w:id="1022054443">
          <w:marLeft w:val="0"/>
          <w:marRight w:val="0"/>
          <w:marTop w:val="0"/>
          <w:marBottom w:val="0"/>
          <w:divBdr>
            <w:top w:val="none" w:sz="0" w:space="0" w:color="auto"/>
            <w:left w:val="none" w:sz="0" w:space="0" w:color="auto"/>
            <w:bottom w:val="none" w:sz="0" w:space="0" w:color="auto"/>
            <w:right w:val="none" w:sz="0" w:space="0" w:color="auto"/>
          </w:divBdr>
        </w:div>
        <w:div w:id="1096946328">
          <w:marLeft w:val="0"/>
          <w:marRight w:val="0"/>
          <w:marTop w:val="0"/>
          <w:marBottom w:val="0"/>
          <w:divBdr>
            <w:top w:val="none" w:sz="0" w:space="0" w:color="auto"/>
            <w:left w:val="none" w:sz="0" w:space="0" w:color="auto"/>
            <w:bottom w:val="none" w:sz="0" w:space="0" w:color="auto"/>
            <w:right w:val="none" w:sz="0" w:space="0" w:color="auto"/>
          </w:divBdr>
        </w:div>
        <w:div w:id="1206023042">
          <w:marLeft w:val="0"/>
          <w:marRight w:val="0"/>
          <w:marTop w:val="0"/>
          <w:marBottom w:val="0"/>
          <w:divBdr>
            <w:top w:val="none" w:sz="0" w:space="0" w:color="auto"/>
            <w:left w:val="none" w:sz="0" w:space="0" w:color="auto"/>
            <w:bottom w:val="none" w:sz="0" w:space="0" w:color="auto"/>
            <w:right w:val="none" w:sz="0" w:space="0" w:color="auto"/>
          </w:divBdr>
        </w:div>
        <w:div w:id="1342780930">
          <w:marLeft w:val="0"/>
          <w:marRight w:val="0"/>
          <w:marTop w:val="0"/>
          <w:marBottom w:val="0"/>
          <w:divBdr>
            <w:top w:val="none" w:sz="0" w:space="0" w:color="auto"/>
            <w:left w:val="none" w:sz="0" w:space="0" w:color="auto"/>
            <w:bottom w:val="none" w:sz="0" w:space="0" w:color="auto"/>
            <w:right w:val="none" w:sz="0" w:space="0" w:color="auto"/>
          </w:divBdr>
        </w:div>
        <w:div w:id="1541866823">
          <w:marLeft w:val="0"/>
          <w:marRight w:val="0"/>
          <w:marTop w:val="0"/>
          <w:marBottom w:val="0"/>
          <w:divBdr>
            <w:top w:val="none" w:sz="0" w:space="0" w:color="auto"/>
            <w:left w:val="none" w:sz="0" w:space="0" w:color="auto"/>
            <w:bottom w:val="none" w:sz="0" w:space="0" w:color="auto"/>
            <w:right w:val="none" w:sz="0" w:space="0" w:color="auto"/>
          </w:divBdr>
        </w:div>
        <w:div w:id="1592741626">
          <w:marLeft w:val="0"/>
          <w:marRight w:val="0"/>
          <w:marTop w:val="0"/>
          <w:marBottom w:val="0"/>
          <w:divBdr>
            <w:top w:val="none" w:sz="0" w:space="0" w:color="auto"/>
            <w:left w:val="none" w:sz="0" w:space="0" w:color="auto"/>
            <w:bottom w:val="none" w:sz="0" w:space="0" w:color="auto"/>
            <w:right w:val="none" w:sz="0" w:space="0" w:color="auto"/>
          </w:divBdr>
        </w:div>
        <w:div w:id="1628392517">
          <w:marLeft w:val="0"/>
          <w:marRight w:val="0"/>
          <w:marTop w:val="0"/>
          <w:marBottom w:val="0"/>
          <w:divBdr>
            <w:top w:val="none" w:sz="0" w:space="0" w:color="auto"/>
            <w:left w:val="none" w:sz="0" w:space="0" w:color="auto"/>
            <w:bottom w:val="none" w:sz="0" w:space="0" w:color="auto"/>
            <w:right w:val="none" w:sz="0" w:space="0" w:color="auto"/>
          </w:divBdr>
        </w:div>
        <w:div w:id="1690448594">
          <w:marLeft w:val="0"/>
          <w:marRight w:val="0"/>
          <w:marTop w:val="0"/>
          <w:marBottom w:val="0"/>
          <w:divBdr>
            <w:top w:val="none" w:sz="0" w:space="0" w:color="auto"/>
            <w:left w:val="none" w:sz="0" w:space="0" w:color="auto"/>
            <w:bottom w:val="none" w:sz="0" w:space="0" w:color="auto"/>
            <w:right w:val="none" w:sz="0" w:space="0" w:color="auto"/>
          </w:divBdr>
        </w:div>
        <w:div w:id="1715815040">
          <w:marLeft w:val="0"/>
          <w:marRight w:val="0"/>
          <w:marTop w:val="0"/>
          <w:marBottom w:val="0"/>
          <w:divBdr>
            <w:top w:val="none" w:sz="0" w:space="0" w:color="auto"/>
            <w:left w:val="none" w:sz="0" w:space="0" w:color="auto"/>
            <w:bottom w:val="none" w:sz="0" w:space="0" w:color="auto"/>
            <w:right w:val="none" w:sz="0" w:space="0" w:color="auto"/>
          </w:divBdr>
        </w:div>
        <w:div w:id="2020112339">
          <w:marLeft w:val="0"/>
          <w:marRight w:val="0"/>
          <w:marTop w:val="0"/>
          <w:marBottom w:val="0"/>
          <w:divBdr>
            <w:top w:val="none" w:sz="0" w:space="0" w:color="auto"/>
            <w:left w:val="none" w:sz="0" w:space="0" w:color="auto"/>
            <w:bottom w:val="none" w:sz="0" w:space="0" w:color="auto"/>
            <w:right w:val="none" w:sz="0" w:space="0" w:color="auto"/>
          </w:divBdr>
        </w:div>
        <w:div w:id="2092965335">
          <w:marLeft w:val="0"/>
          <w:marRight w:val="0"/>
          <w:marTop w:val="0"/>
          <w:marBottom w:val="0"/>
          <w:divBdr>
            <w:top w:val="none" w:sz="0" w:space="0" w:color="auto"/>
            <w:left w:val="none" w:sz="0" w:space="0" w:color="auto"/>
            <w:bottom w:val="none" w:sz="0" w:space="0" w:color="auto"/>
            <w:right w:val="none" w:sz="0" w:space="0" w:color="auto"/>
          </w:divBdr>
        </w:div>
      </w:divsChild>
    </w:div>
    <w:div w:id="367294893">
      <w:bodyDiv w:val="1"/>
      <w:marLeft w:val="0"/>
      <w:marRight w:val="0"/>
      <w:marTop w:val="0"/>
      <w:marBottom w:val="0"/>
      <w:divBdr>
        <w:top w:val="none" w:sz="0" w:space="0" w:color="auto"/>
        <w:left w:val="none" w:sz="0" w:space="0" w:color="auto"/>
        <w:bottom w:val="none" w:sz="0" w:space="0" w:color="auto"/>
        <w:right w:val="none" w:sz="0" w:space="0" w:color="auto"/>
      </w:divBdr>
    </w:div>
    <w:div w:id="373114358">
      <w:bodyDiv w:val="1"/>
      <w:marLeft w:val="0"/>
      <w:marRight w:val="0"/>
      <w:marTop w:val="0"/>
      <w:marBottom w:val="0"/>
      <w:divBdr>
        <w:top w:val="none" w:sz="0" w:space="0" w:color="auto"/>
        <w:left w:val="none" w:sz="0" w:space="0" w:color="auto"/>
        <w:bottom w:val="none" w:sz="0" w:space="0" w:color="auto"/>
        <w:right w:val="none" w:sz="0" w:space="0" w:color="auto"/>
      </w:divBdr>
    </w:div>
    <w:div w:id="374164229">
      <w:bodyDiv w:val="1"/>
      <w:marLeft w:val="0"/>
      <w:marRight w:val="0"/>
      <w:marTop w:val="0"/>
      <w:marBottom w:val="0"/>
      <w:divBdr>
        <w:top w:val="none" w:sz="0" w:space="0" w:color="auto"/>
        <w:left w:val="none" w:sz="0" w:space="0" w:color="auto"/>
        <w:bottom w:val="none" w:sz="0" w:space="0" w:color="auto"/>
        <w:right w:val="none" w:sz="0" w:space="0" w:color="auto"/>
      </w:divBdr>
    </w:div>
    <w:div w:id="377629643">
      <w:bodyDiv w:val="1"/>
      <w:marLeft w:val="0"/>
      <w:marRight w:val="0"/>
      <w:marTop w:val="0"/>
      <w:marBottom w:val="0"/>
      <w:divBdr>
        <w:top w:val="none" w:sz="0" w:space="0" w:color="auto"/>
        <w:left w:val="none" w:sz="0" w:space="0" w:color="auto"/>
        <w:bottom w:val="none" w:sz="0" w:space="0" w:color="auto"/>
        <w:right w:val="none" w:sz="0" w:space="0" w:color="auto"/>
      </w:divBdr>
      <w:divsChild>
        <w:div w:id="1493372065">
          <w:marLeft w:val="0"/>
          <w:marRight w:val="0"/>
          <w:marTop w:val="1200"/>
          <w:marBottom w:val="1200"/>
          <w:divBdr>
            <w:top w:val="none" w:sz="0" w:space="0" w:color="auto"/>
            <w:left w:val="none" w:sz="0" w:space="0" w:color="auto"/>
            <w:bottom w:val="none" w:sz="0" w:space="0" w:color="auto"/>
            <w:right w:val="none" w:sz="0" w:space="0" w:color="auto"/>
          </w:divBdr>
          <w:divsChild>
            <w:div w:id="484585560">
              <w:marLeft w:val="0"/>
              <w:marRight w:val="0"/>
              <w:marTop w:val="0"/>
              <w:marBottom w:val="0"/>
              <w:divBdr>
                <w:top w:val="none" w:sz="0" w:space="0" w:color="auto"/>
                <w:left w:val="none" w:sz="0" w:space="0" w:color="auto"/>
                <w:bottom w:val="none" w:sz="0" w:space="0" w:color="auto"/>
                <w:right w:val="none" w:sz="0" w:space="0" w:color="auto"/>
              </w:divBdr>
            </w:div>
            <w:div w:id="898246212">
              <w:marLeft w:val="0"/>
              <w:marRight w:val="0"/>
              <w:marTop w:val="0"/>
              <w:marBottom w:val="0"/>
              <w:divBdr>
                <w:top w:val="none" w:sz="0" w:space="0" w:color="auto"/>
                <w:left w:val="none" w:sz="0" w:space="0" w:color="auto"/>
                <w:bottom w:val="none" w:sz="0" w:space="0" w:color="auto"/>
                <w:right w:val="none" w:sz="0" w:space="0" w:color="auto"/>
              </w:divBdr>
            </w:div>
            <w:div w:id="1126658395">
              <w:marLeft w:val="0"/>
              <w:marRight w:val="0"/>
              <w:marTop w:val="0"/>
              <w:marBottom w:val="0"/>
              <w:divBdr>
                <w:top w:val="none" w:sz="0" w:space="0" w:color="auto"/>
                <w:left w:val="none" w:sz="0" w:space="0" w:color="auto"/>
                <w:bottom w:val="none" w:sz="0" w:space="0" w:color="auto"/>
                <w:right w:val="none" w:sz="0" w:space="0" w:color="auto"/>
              </w:divBdr>
            </w:div>
            <w:div w:id="1713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00654">
      <w:bodyDiv w:val="1"/>
      <w:marLeft w:val="0"/>
      <w:marRight w:val="0"/>
      <w:marTop w:val="0"/>
      <w:marBottom w:val="0"/>
      <w:divBdr>
        <w:top w:val="none" w:sz="0" w:space="0" w:color="auto"/>
        <w:left w:val="none" w:sz="0" w:space="0" w:color="auto"/>
        <w:bottom w:val="none" w:sz="0" w:space="0" w:color="auto"/>
        <w:right w:val="none" w:sz="0" w:space="0" w:color="auto"/>
      </w:divBdr>
    </w:div>
    <w:div w:id="380597587">
      <w:bodyDiv w:val="1"/>
      <w:marLeft w:val="0"/>
      <w:marRight w:val="0"/>
      <w:marTop w:val="0"/>
      <w:marBottom w:val="0"/>
      <w:divBdr>
        <w:top w:val="none" w:sz="0" w:space="0" w:color="auto"/>
        <w:left w:val="none" w:sz="0" w:space="0" w:color="auto"/>
        <w:bottom w:val="none" w:sz="0" w:space="0" w:color="auto"/>
        <w:right w:val="none" w:sz="0" w:space="0" w:color="auto"/>
      </w:divBdr>
    </w:div>
    <w:div w:id="383067049">
      <w:bodyDiv w:val="1"/>
      <w:marLeft w:val="0"/>
      <w:marRight w:val="0"/>
      <w:marTop w:val="0"/>
      <w:marBottom w:val="0"/>
      <w:divBdr>
        <w:top w:val="none" w:sz="0" w:space="0" w:color="auto"/>
        <w:left w:val="none" w:sz="0" w:space="0" w:color="auto"/>
        <w:bottom w:val="none" w:sz="0" w:space="0" w:color="auto"/>
        <w:right w:val="none" w:sz="0" w:space="0" w:color="auto"/>
      </w:divBdr>
    </w:div>
    <w:div w:id="388968013">
      <w:bodyDiv w:val="1"/>
      <w:marLeft w:val="0"/>
      <w:marRight w:val="0"/>
      <w:marTop w:val="0"/>
      <w:marBottom w:val="0"/>
      <w:divBdr>
        <w:top w:val="none" w:sz="0" w:space="0" w:color="auto"/>
        <w:left w:val="none" w:sz="0" w:space="0" w:color="auto"/>
        <w:bottom w:val="none" w:sz="0" w:space="0" w:color="auto"/>
        <w:right w:val="none" w:sz="0" w:space="0" w:color="auto"/>
      </w:divBdr>
    </w:div>
    <w:div w:id="403184791">
      <w:bodyDiv w:val="1"/>
      <w:marLeft w:val="0"/>
      <w:marRight w:val="0"/>
      <w:marTop w:val="0"/>
      <w:marBottom w:val="0"/>
      <w:divBdr>
        <w:top w:val="none" w:sz="0" w:space="0" w:color="auto"/>
        <w:left w:val="none" w:sz="0" w:space="0" w:color="auto"/>
        <w:bottom w:val="none" w:sz="0" w:space="0" w:color="auto"/>
        <w:right w:val="none" w:sz="0" w:space="0" w:color="auto"/>
      </w:divBdr>
    </w:div>
    <w:div w:id="417867480">
      <w:bodyDiv w:val="1"/>
      <w:marLeft w:val="0"/>
      <w:marRight w:val="0"/>
      <w:marTop w:val="0"/>
      <w:marBottom w:val="0"/>
      <w:divBdr>
        <w:top w:val="none" w:sz="0" w:space="0" w:color="auto"/>
        <w:left w:val="none" w:sz="0" w:space="0" w:color="auto"/>
        <w:bottom w:val="none" w:sz="0" w:space="0" w:color="auto"/>
        <w:right w:val="none" w:sz="0" w:space="0" w:color="auto"/>
      </w:divBdr>
    </w:div>
    <w:div w:id="421950464">
      <w:bodyDiv w:val="1"/>
      <w:marLeft w:val="0"/>
      <w:marRight w:val="0"/>
      <w:marTop w:val="0"/>
      <w:marBottom w:val="0"/>
      <w:divBdr>
        <w:top w:val="none" w:sz="0" w:space="0" w:color="auto"/>
        <w:left w:val="none" w:sz="0" w:space="0" w:color="auto"/>
        <w:bottom w:val="none" w:sz="0" w:space="0" w:color="auto"/>
        <w:right w:val="none" w:sz="0" w:space="0" w:color="auto"/>
      </w:divBdr>
    </w:div>
    <w:div w:id="422460194">
      <w:bodyDiv w:val="1"/>
      <w:marLeft w:val="0"/>
      <w:marRight w:val="0"/>
      <w:marTop w:val="0"/>
      <w:marBottom w:val="0"/>
      <w:divBdr>
        <w:top w:val="none" w:sz="0" w:space="0" w:color="auto"/>
        <w:left w:val="none" w:sz="0" w:space="0" w:color="auto"/>
        <w:bottom w:val="none" w:sz="0" w:space="0" w:color="auto"/>
        <w:right w:val="none" w:sz="0" w:space="0" w:color="auto"/>
      </w:divBdr>
    </w:div>
    <w:div w:id="427581342">
      <w:bodyDiv w:val="1"/>
      <w:marLeft w:val="0"/>
      <w:marRight w:val="0"/>
      <w:marTop w:val="0"/>
      <w:marBottom w:val="0"/>
      <w:divBdr>
        <w:top w:val="none" w:sz="0" w:space="0" w:color="auto"/>
        <w:left w:val="none" w:sz="0" w:space="0" w:color="auto"/>
        <w:bottom w:val="none" w:sz="0" w:space="0" w:color="auto"/>
        <w:right w:val="none" w:sz="0" w:space="0" w:color="auto"/>
      </w:divBdr>
    </w:div>
    <w:div w:id="433326332">
      <w:bodyDiv w:val="1"/>
      <w:marLeft w:val="0"/>
      <w:marRight w:val="0"/>
      <w:marTop w:val="0"/>
      <w:marBottom w:val="0"/>
      <w:divBdr>
        <w:top w:val="none" w:sz="0" w:space="0" w:color="auto"/>
        <w:left w:val="none" w:sz="0" w:space="0" w:color="auto"/>
        <w:bottom w:val="none" w:sz="0" w:space="0" w:color="auto"/>
        <w:right w:val="none" w:sz="0" w:space="0" w:color="auto"/>
      </w:divBdr>
      <w:divsChild>
        <w:div w:id="1221862667">
          <w:marLeft w:val="0"/>
          <w:marRight w:val="0"/>
          <w:marTop w:val="0"/>
          <w:marBottom w:val="0"/>
          <w:divBdr>
            <w:top w:val="none" w:sz="0" w:space="0" w:color="auto"/>
            <w:left w:val="none" w:sz="0" w:space="0" w:color="auto"/>
            <w:bottom w:val="none" w:sz="0" w:space="0" w:color="auto"/>
            <w:right w:val="none" w:sz="0" w:space="0" w:color="auto"/>
          </w:divBdr>
          <w:divsChild>
            <w:div w:id="477696760">
              <w:marLeft w:val="0"/>
              <w:marRight w:val="0"/>
              <w:marTop w:val="0"/>
              <w:marBottom w:val="0"/>
              <w:divBdr>
                <w:top w:val="none" w:sz="0" w:space="0" w:color="auto"/>
                <w:left w:val="none" w:sz="0" w:space="0" w:color="auto"/>
                <w:bottom w:val="none" w:sz="0" w:space="0" w:color="auto"/>
                <w:right w:val="none" w:sz="0" w:space="0" w:color="auto"/>
              </w:divBdr>
              <w:divsChild>
                <w:div w:id="1193298653">
                  <w:marLeft w:val="0"/>
                  <w:marRight w:val="0"/>
                  <w:marTop w:val="0"/>
                  <w:marBottom w:val="0"/>
                  <w:divBdr>
                    <w:top w:val="none" w:sz="0" w:space="0" w:color="auto"/>
                    <w:left w:val="none" w:sz="0" w:space="0" w:color="auto"/>
                    <w:bottom w:val="none" w:sz="0" w:space="0" w:color="auto"/>
                    <w:right w:val="none" w:sz="0" w:space="0" w:color="auto"/>
                  </w:divBdr>
                  <w:divsChild>
                    <w:div w:id="561866157">
                      <w:marLeft w:val="0"/>
                      <w:marRight w:val="0"/>
                      <w:marTop w:val="0"/>
                      <w:marBottom w:val="0"/>
                      <w:divBdr>
                        <w:top w:val="none" w:sz="0" w:space="0" w:color="auto"/>
                        <w:left w:val="none" w:sz="0" w:space="0" w:color="auto"/>
                        <w:bottom w:val="none" w:sz="0" w:space="0" w:color="auto"/>
                        <w:right w:val="none" w:sz="0" w:space="0" w:color="auto"/>
                      </w:divBdr>
                      <w:divsChild>
                        <w:div w:id="983856448">
                          <w:marLeft w:val="0"/>
                          <w:marRight w:val="0"/>
                          <w:marTop w:val="0"/>
                          <w:marBottom w:val="0"/>
                          <w:divBdr>
                            <w:top w:val="none" w:sz="0" w:space="0" w:color="auto"/>
                            <w:left w:val="none" w:sz="0" w:space="0" w:color="auto"/>
                            <w:bottom w:val="none" w:sz="0" w:space="0" w:color="auto"/>
                            <w:right w:val="none" w:sz="0" w:space="0" w:color="auto"/>
                          </w:divBdr>
                          <w:divsChild>
                            <w:div w:id="2100590909">
                              <w:marLeft w:val="0"/>
                              <w:marRight w:val="0"/>
                              <w:marTop w:val="0"/>
                              <w:marBottom w:val="0"/>
                              <w:divBdr>
                                <w:top w:val="none" w:sz="0" w:space="0" w:color="auto"/>
                                <w:left w:val="none" w:sz="0" w:space="0" w:color="auto"/>
                                <w:bottom w:val="none" w:sz="0" w:space="0" w:color="auto"/>
                                <w:right w:val="none" w:sz="0" w:space="0" w:color="auto"/>
                              </w:divBdr>
                              <w:divsChild>
                                <w:div w:id="1005324899">
                                  <w:marLeft w:val="0"/>
                                  <w:marRight w:val="0"/>
                                  <w:marTop w:val="0"/>
                                  <w:marBottom w:val="0"/>
                                  <w:divBdr>
                                    <w:top w:val="none" w:sz="0" w:space="0" w:color="auto"/>
                                    <w:left w:val="none" w:sz="0" w:space="0" w:color="auto"/>
                                    <w:bottom w:val="none" w:sz="0" w:space="0" w:color="auto"/>
                                    <w:right w:val="none" w:sz="0" w:space="0" w:color="auto"/>
                                  </w:divBdr>
                                  <w:divsChild>
                                    <w:div w:id="894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1220">
                          <w:marLeft w:val="0"/>
                          <w:marRight w:val="0"/>
                          <w:marTop w:val="0"/>
                          <w:marBottom w:val="0"/>
                          <w:divBdr>
                            <w:top w:val="none" w:sz="0" w:space="0" w:color="auto"/>
                            <w:left w:val="none" w:sz="0" w:space="0" w:color="auto"/>
                            <w:bottom w:val="none" w:sz="0" w:space="0" w:color="auto"/>
                            <w:right w:val="none" w:sz="0" w:space="0" w:color="auto"/>
                          </w:divBdr>
                          <w:divsChild>
                            <w:div w:id="1237864689">
                              <w:marLeft w:val="0"/>
                              <w:marRight w:val="0"/>
                              <w:marTop w:val="0"/>
                              <w:marBottom w:val="0"/>
                              <w:divBdr>
                                <w:top w:val="none" w:sz="0" w:space="0" w:color="auto"/>
                                <w:left w:val="none" w:sz="0" w:space="0" w:color="auto"/>
                                <w:bottom w:val="none" w:sz="0" w:space="0" w:color="auto"/>
                                <w:right w:val="none" w:sz="0" w:space="0" w:color="auto"/>
                              </w:divBdr>
                              <w:divsChild>
                                <w:div w:id="10263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559147">
      <w:bodyDiv w:val="1"/>
      <w:marLeft w:val="0"/>
      <w:marRight w:val="0"/>
      <w:marTop w:val="0"/>
      <w:marBottom w:val="0"/>
      <w:divBdr>
        <w:top w:val="none" w:sz="0" w:space="0" w:color="auto"/>
        <w:left w:val="none" w:sz="0" w:space="0" w:color="auto"/>
        <w:bottom w:val="none" w:sz="0" w:space="0" w:color="auto"/>
        <w:right w:val="none" w:sz="0" w:space="0" w:color="auto"/>
      </w:divBdr>
    </w:div>
    <w:div w:id="450132412">
      <w:bodyDiv w:val="1"/>
      <w:marLeft w:val="0"/>
      <w:marRight w:val="0"/>
      <w:marTop w:val="0"/>
      <w:marBottom w:val="0"/>
      <w:divBdr>
        <w:top w:val="none" w:sz="0" w:space="0" w:color="auto"/>
        <w:left w:val="none" w:sz="0" w:space="0" w:color="auto"/>
        <w:bottom w:val="none" w:sz="0" w:space="0" w:color="auto"/>
        <w:right w:val="none" w:sz="0" w:space="0" w:color="auto"/>
      </w:divBdr>
    </w:div>
    <w:div w:id="454909089">
      <w:bodyDiv w:val="1"/>
      <w:marLeft w:val="0"/>
      <w:marRight w:val="0"/>
      <w:marTop w:val="0"/>
      <w:marBottom w:val="0"/>
      <w:divBdr>
        <w:top w:val="none" w:sz="0" w:space="0" w:color="auto"/>
        <w:left w:val="none" w:sz="0" w:space="0" w:color="auto"/>
        <w:bottom w:val="none" w:sz="0" w:space="0" w:color="auto"/>
        <w:right w:val="none" w:sz="0" w:space="0" w:color="auto"/>
      </w:divBdr>
    </w:div>
    <w:div w:id="459809678">
      <w:bodyDiv w:val="1"/>
      <w:marLeft w:val="0"/>
      <w:marRight w:val="0"/>
      <w:marTop w:val="0"/>
      <w:marBottom w:val="0"/>
      <w:divBdr>
        <w:top w:val="none" w:sz="0" w:space="0" w:color="auto"/>
        <w:left w:val="none" w:sz="0" w:space="0" w:color="auto"/>
        <w:bottom w:val="none" w:sz="0" w:space="0" w:color="auto"/>
        <w:right w:val="none" w:sz="0" w:space="0" w:color="auto"/>
      </w:divBdr>
      <w:divsChild>
        <w:div w:id="258219195">
          <w:marLeft w:val="0"/>
          <w:marRight w:val="0"/>
          <w:marTop w:val="0"/>
          <w:marBottom w:val="0"/>
          <w:divBdr>
            <w:top w:val="none" w:sz="0" w:space="0" w:color="auto"/>
            <w:left w:val="none" w:sz="0" w:space="0" w:color="auto"/>
            <w:bottom w:val="none" w:sz="0" w:space="0" w:color="auto"/>
            <w:right w:val="none" w:sz="0" w:space="0" w:color="auto"/>
          </w:divBdr>
        </w:div>
        <w:div w:id="344093452">
          <w:marLeft w:val="0"/>
          <w:marRight w:val="0"/>
          <w:marTop w:val="0"/>
          <w:marBottom w:val="0"/>
          <w:divBdr>
            <w:top w:val="none" w:sz="0" w:space="0" w:color="auto"/>
            <w:left w:val="none" w:sz="0" w:space="0" w:color="auto"/>
            <w:bottom w:val="none" w:sz="0" w:space="0" w:color="auto"/>
            <w:right w:val="none" w:sz="0" w:space="0" w:color="auto"/>
          </w:divBdr>
        </w:div>
        <w:div w:id="372311469">
          <w:marLeft w:val="0"/>
          <w:marRight w:val="0"/>
          <w:marTop w:val="0"/>
          <w:marBottom w:val="0"/>
          <w:divBdr>
            <w:top w:val="none" w:sz="0" w:space="0" w:color="auto"/>
            <w:left w:val="none" w:sz="0" w:space="0" w:color="auto"/>
            <w:bottom w:val="none" w:sz="0" w:space="0" w:color="auto"/>
            <w:right w:val="none" w:sz="0" w:space="0" w:color="auto"/>
          </w:divBdr>
        </w:div>
        <w:div w:id="451824716">
          <w:marLeft w:val="0"/>
          <w:marRight w:val="0"/>
          <w:marTop w:val="0"/>
          <w:marBottom w:val="0"/>
          <w:divBdr>
            <w:top w:val="none" w:sz="0" w:space="0" w:color="auto"/>
            <w:left w:val="none" w:sz="0" w:space="0" w:color="auto"/>
            <w:bottom w:val="none" w:sz="0" w:space="0" w:color="auto"/>
            <w:right w:val="none" w:sz="0" w:space="0" w:color="auto"/>
          </w:divBdr>
        </w:div>
        <w:div w:id="987825554">
          <w:marLeft w:val="0"/>
          <w:marRight w:val="0"/>
          <w:marTop w:val="0"/>
          <w:marBottom w:val="0"/>
          <w:divBdr>
            <w:top w:val="none" w:sz="0" w:space="0" w:color="auto"/>
            <w:left w:val="none" w:sz="0" w:space="0" w:color="auto"/>
            <w:bottom w:val="none" w:sz="0" w:space="0" w:color="auto"/>
            <w:right w:val="none" w:sz="0" w:space="0" w:color="auto"/>
          </w:divBdr>
        </w:div>
        <w:div w:id="1034769159">
          <w:marLeft w:val="0"/>
          <w:marRight w:val="0"/>
          <w:marTop w:val="0"/>
          <w:marBottom w:val="0"/>
          <w:divBdr>
            <w:top w:val="none" w:sz="0" w:space="0" w:color="auto"/>
            <w:left w:val="none" w:sz="0" w:space="0" w:color="auto"/>
            <w:bottom w:val="none" w:sz="0" w:space="0" w:color="auto"/>
            <w:right w:val="none" w:sz="0" w:space="0" w:color="auto"/>
          </w:divBdr>
        </w:div>
        <w:div w:id="1146119976">
          <w:marLeft w:val="0"/>
          <w:marRight w:val="0"/>
          <w:marTop w:val="0"/>
          <w:marBottom w:val="0"/>
          <w:divBdr>
            <w:top w:val="none" w:sz="0" w:space="0" w:color="auto"/>
            <w:left w:val="none" w:sz="0" w:space="0" w:color="auto"/>
            <w:bottom w:val="none" w:sz="0" w:space="0" w:color="auto"/>
            <w:right w:val="none" w:sz="0" w:space="0" w:color="auto"/>
          </w:divBdr>
        </w:div>
        <w:div w:id="1227305805">
          <w:marLeft w:val="0"/>
          <w:marRight w:val="0"/>
          <w:marTop w:val="0"/>
          <w:marBottom w:val="0"/>
          <w:divBdr>
            <w:top w:val="none" w:sz="0" w:space="0" w:color="auto"/>
            <w:left w:val="none" w:sz="0" w:space="0" w:color="auto"/>
            <w:bottom w:val="none" w:sz="0" w:space="0" w:color="auto"/>
            <w:right w:val="none" w:sz="0" w:space="0" w:color="auto"/>
          </w:divBdr>
        </w:div>
        <w:div w:id="1327057234">
          <w:marLeft w:val="0"/>
          <w:marRight w:val="0"/>
          <w:marTop w:val="0"/>
          <w:marBottom w:val="0"/>
          <w:divBdr>
            <w:top w:val="none" w:sz="0" w:space="0" w:color="auto"/>
            <w:left w:val="none" w:sz="0" w:space="0" w:color="auto"/>
            <w:bottom w:val="none" w:sz="0" w:space="0" w:color="auto"/>
            <w:right w:val="none" w:sz="0" w:space="0" w:color="auto"/>
          </w:divBdr>
        </w:div>
        <w:div w:id="1372605773">
          <w:marLeft w:val="0"/>
          <w:marRight w:val="0"/>
          <w:marTop w:val="0"/>
          <w:marBottom w:val="0"/>
          <w:divBdr>
            <w:top w:val="none" w:sz="0" w:space="0" w:color="auto"/>
            <w:left w:val="none" w:sz="0" w:space="0" w:color="auto"/>
            <w:bottom w:val="none" w:sz="0" w:space="0" w:color="auto"/>
            <w:right w:val="none" w:sz="0" w:space="0" w:color="auto"/>
          </w:divBdr>
        </w:div>
        <w:div w:id="1696229565">
          <w:marLeft w:val="0"/>
          <w:marRight w:val="0"/>
          <w:marTop w:val="0"/>
          <w:marBottom w:val="0"/>
          <w:divBdr>
            <w:top w:val="none" w:sz="0" w:space="0" w:color="auto"/>
            <w:left w:val="none" w:sz="0" w:space="0" w:color="auto"/>
            <w:bottom w:val="none" w:sz="0" w:space="0" w:color="auto"/>
            <w:right w:val="none" w:sz="0" w:space="0" w:color="auto"/>
          </w:divBdr>
        </w:div>
      </w:divsChild>
    </w:div>
    <w:div w:id="461508569">
      <w:bodyDiv w:val="1"/>
      <w:marLeft w:val="0"/>
      <w:marRight w:val="0"/>
      <w:marTop w:val="0"/>
      <w:marBottom w:val="0"/>
      <w:divBdr>
        <w:top w:val="none" w:sz="0" w:space="0" w:color="auto"/>
        <w:left w:val="none" w:sz="0" w:space="0" w:color="auto"/>
        <w:bottom w:val="none" w:sz="0" w:space="0" w:color="auto"/>
        <w:right w:val="none" w:sz="0" w:space="0" w:color="auto"/>
      </w:divBdr>
    </w:div>
    <w:div w:id="464472013">
      <w:bodyDiv w:val="1"/>
      <w:marLeft w:val="0"/>
      <w:marRight w:val="0"/>
      <w:marTop w:val="0"/>
      <w:marBottom w:val="0"/>
      <w:divBdr>
        <w:top w:val="none" w:sz="0" w:space="0" w:color="auto"/>
        <w:left w:val="none" w:sz="0" w:space="0" w:color="auto"/>
        <w:bottom w:val="none" w:sz="0" w:space="0" w:color="auto"/>
        <w:right w:val="none" w:sz="0" w:space="0" w:color="auto"/>
      </w:divBdr>
      <w:divsChild>
        <w:div w:id="229846748">
          <w:marLeft w:val="0"/>
          <w:marRight w:val="0"/>
          <w:marTop w:val="0"/>
          <w:marBottom w:val="0"/>
          <w:divBdr>
            <w:top w:val="none" w:sz="0" w:space="0" w:color="auto"/>
            <w:left w:val="none" w:sz="0" w:space="0" w:color="auto"/>
            <w:bottom w:val="none" w:sz="0" w:space="0" w:color="auto"/>
            <w:right w:val="none" w:sz="0" w:space="0" w:color="auto"/>
          </w:divBdr>
        </w:div>
        <w:div w:id="587274847">
          <w:marLeft w:val="0"/>
          <w:marRight w:val="0"/>
          <w:marTop w:val="0"/>
          <w:marBottom w:val="0"/>
          <w:divBdr>
            <w:top w:val="none" w:sz="0" w:space="0" w:color="auto"/>
            <w:left w:val="none" w:sz="0" w:space="0" w:color="auto"/>
            <w:bottom w:val="none" w:sz="0" w:space="0" w:color="auto"/>
            <w:right w:val="none" w:sz="0" w:space="0" w:color="auto"/>
          </w:divBdr>
        </w:div>
        <w:div w:id="716508245">
          <w:marLeft w:val="0"/>
          <w:marRight w:val="0"/>
          <w:marTop w:val="0"/>
          <w:marBottom w:val="0"/>
          <w:divBdr>
            <w:top w:val="none" w:sz="0" w:space="0" w:color="auto"/>
            <w:left w:val="none" w:sz="0" w:space="0" w:color="auto"/>
            <w:bottom w:val="none" w:sz="0" w:space="0" w:color="auto"/>
            <w:right w:val="none" w:sz="0" w:space="0" w:color="auto"/>
          </w:divBdr>
        </w:div>
        <w:div w:id="824129978">
          <w:marLeft w:val="0"/>
          <w:marRight w:val="0"/>
          <w:marTop w:val="0"/>
          <w:marBottom w:val="0"/>
          <w:divBdr>
            <w:top w:val="none" w:sz="0" w:space="0" w:color="auto"/>
            <w:left w:val="none" w:sz="0" w:space="0" w:color="auto"/>
            <w:bottom w:val="none" w:sz="0" w:space="0" w:color="auto"/>
            <w:right w:val="none" w:sz="0" w:space="0" w:color="auto"/>
          </w:divBdr>
        </w:div>
        <w:div w:id="895777934">
          <w:marLeft w:val="0"/>
          <w:marRight w:val="0"/>
          <w:marTop w:val="0"/>
          <w:marBottom w:val="0"/>
          <w:divBdr>
            <w:top w:val="none" w:sz="0" w:space="0" w:color="auto"/>
            <w:left w:val="none" w:sz="0" w:space="0" w:color="auto"/>
            <w:bottom w:val="none" w:sz="0" w:space="0" w:color="auto"/>
            <w:right w:val="none" w:sz="0" w:space="0" w:color="auto"/>
          </w:divBdr>
        </w:div>
        <w:div w:id="1116827668">
          <w:marLeft w:val="0"/>
          <w:marRight w:val="0"/>
          <w:marTop w:val="0"/>
          <w:marBottom w:val="0"/>
          <w:divBdr>
            <w:top w:val="none" w:sz="0" w:space="0" w:color="auto"/>
            <w:left w:val="none" w:sz="0" w:space="0" w:color="auto"/>
            <w:bottom w:val="none" w:sz="0" w:space="0" w:color="auto"/>
            <w:right w:val="none" w:sz="0" w:space="0" w:color="auto"/>
          </w:divBdr>
        </w:div>
        <w:div w:id="1272317863">
          <w:marLeft w:val="0"/>
          <w:marRight w:val="0"/>
          <w:marTop w:val="0"/>
          <w:marBottom w:val="0"/>
          <w:divBdr>
            <w:top w:val="none" w:sz="0" w:space="0" w:color="auto"/>
            <w:left w:val="none" w:sz="0" w:space="0" w:color="auto"/>
            <w:bottom w:val="none" w:sz="0" w:space="0" w:color="auto"/>
            <w:right w:val="none" w:sz="0" w:space="0" w:color="auto"/>
          </w:divBdr>
        </w:div>
        <w:div w:id="1371607049">
          <w:marLeft w:val="0"/>
          <w:marRight w:val="0"/>
          <w:marTop w:val="0"/>
          <w:marBottom w:val="0"/>
          <w:divBdr>
            <w:top w:val="none" w:sz="0" w:space="0" w:color="auto"/>
            <w:left w:val="none" w:sz="0" w:space="0" w:color="auto"/>
            <w:bottom w:val="none" w:sz="0" w:space="0" w:color="auto"/>
            <w:right w:val="none" w:sz="0" w:space="0" w:color="auto"/>
          </w:divBdr>
        </w:div>
        <w:div w:id="1952737261">
          <w:marLeft w:val="0"/>
          <w:marRight w:val="0"/>
          <w:marTop w:val="0"/>
          <w:marBottom w:val="0"/>
          <w:divBdr>
            <w:top w:val="none" w:sz="0" w:space="0" w:color="auto"/>
            <w:left w:val="none" w:sz="0" w:space="0" w:color="auto"/>
            <w:bottom w:val="none" w:sz="0" w:space="0" w:color="auto"/>
            <w:right w:val="none" w:sz="0" w:space="0" w:color="auto"/>
          </w:divBdr>
        </w:div>
      </w:divsChild>
    </w:div>
    <w:div w:id="467287313">
      <w:bodyDiv w:val="1"/>
      <w:marLeft w:val="0"/>
      <w:marRight w:val="0"/>
      <w:marTop w:val="0"/>
      <w:marBottom w:val="0"/>
      <w:divBdr>
        <w:top w:val="none" w:sz="0" w:space="0" w:color="auto"/>
        <w:left w:val="none" w:sz="0" w:space="0" w:color="auto"/>
        <w:bottom w:val="none" w:sz="0" w:space="0" w:color="auto"/>
        <w:right w:val="none" w:sz="0" w:space="0" w:color="auto"/>
      </w:divBdr>
      <w:divsChild>
        <w:div w:id="160854508">
          <w:marLeft w:val="0"/>
          <w:marRight w:val="0"/>
          <w:marTop w:val="1200"/>
          <w:marBottom w:val="1200"/>
          <w:divBdr>
            <w:top w:val="none" w:sz="0" w:space="0" w:color="auto"/>
            <w:left w:val="none" w:sz="0" w:space="0" w:color="auto"/>
            <w:bottom w:val="none" w:sz="0" w:space="0" w:color="auto"/>
            <w:right w:val="none" w:sz="0" w:space="0" w:color="auto"/>
          </w:divBdr>
          <w:divsChild>
            <w:div w:id="546836862">
              <w:marLeft w:val="0"/>
              <w:marRight w:val="0"/>
              <w:marTop w:val="0"/>
              <w:marBottom w:val="0"/>
              <w:divBdr>
                <w:top w:val="none" w:sz="0" w:space="0" w:color="auto"/>
                <w:left w:val="none" w:sz="0" w:space="0" w:color="auto"/>
                <w:bottom w:val="none" w:sz="0" w:space="0" w:color="auto"/>
                <w:right w:val="none" w:sz="0" w:space="0" w:color="auto"/>
              </w:divBdr>
            </w:div>
            <w:div w:id="981083130">
              <w:marLeft w:val="0"/>
              <w:marRight w:val="0"/>
              <w:marTop w:val="0"/>
              <w:marBottom w:val="0"/>
              <w:divBdr>
                <w:top w:val="none" w:sz="0" w:space="0" w:color="auto"/>
                <w:left w:val="none" w:sz="0" w:space="0" w:color="auto"/>
                <w:bottom w:val="none" w:sz="0" w:space="0" w:color="auto"/>
                <w:right w:val="none" w:sz="0" w:space="0" w:color="auto"/>
              </w:divBdr>
            </w:div>
            <w:div w:id="1006248244">
              <w:marLeft w:val="0"/>
              <w:marRight w:val="0"/>
              <w:marTop w:val="0"/>
              <w:marBottom w:val="0"/>
              <w:divBdr>
                <w:top w:val="none" w:sz="0" w:space="0" w:color="auto"/>
                <w:left w:val="none" w:sz="0" w:space="0" w:color="auto"/>
                <w:bottom w:val="none" w:sz="0" w:space="0" w:color="auto"/>
                <w:right w:val="none" w:sz="0" w:space="0" w:color="auto"/>
              </w:divBdr>
            </w:div>
            <w:div w:id="15272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7980">
      <w:bodyDiv w:val="1"/>
      <w:marLeft w:val="0"/>
      <w:marRight w:val="0"/>
      <w:marTop w:val="0"/>
      <w:marBottom w:val="0"/>
      <w:divBdr>
        <w:top w:val="none" w:sz="0" w:space="0" w:color="auto"/>
        <w:left w:val="none" w:sz="0" w:space="0" w:color="auto"/>
        <w:bottom w:val="none" w:sz="0" w:space="0" w:color="auto"/>
        <w:right w:val="none" w:sz="0" w:space="0" w:color="auto"/>
      </w:divBdr>
      <w:divsChild>
        <w:div w:id="26151796">
          <w:marLeft w:val="0"/>
          <w:marRight w:val="0"/>
          <w:marTop w:val="0"/>
          <w:marBottom w:val="0"/>
          <w:divBdr>
            <w:top w:val="none" w:sz="0" w:space="0" w:color="auto"/>
            <w:left w:val="none" w:sz="0" w:space="0" w:color="auto"/>
            <w:bottom w:val="none" w:sz="0" w:space="0" w:color="auto"/>
            <w:right w:val="none" w:sz="0" w:space="0" w:color="auto"/>
          </w:divBdr>
        </w:div>
        <w:div w:id="140706245">
          <w:marLeft w:val="0"/>
          <w:marRight w:val="0"/>
          <w:marTop w:val="0"/>
          <w:marBottom w:val="0"/>
          <w:divBdr>
            <w:top w:val="none" w:sz="0" w:space="0" w:color="auto"/>
            <w:left w:val="none" w:sz="0" w:space="0" w:color="auto"/>
            <w:bottom w:val="none" w:sz="0" w:space="0" w:color="auto"/>
            <w:right w:val="none" w:sz="0" w:space="0" w:color="auto"/>
          </w:divBdr>
        </w:div>
        <w:div w:id="258292951">
          <w:marLeft w:val="0"/>
          <w:marRight w:val="0"/>
          <w:marTop w:val="0"/>
          <w:marBottom w:val="0"/>
          <w:divBdr>
            <w:top w:val="none" w:sz="0" w:space="0" w:color="auto"/>
            <w:left w:val="none" w:sz="0" w:space="0" w:color="auto"/>
            <w:bottom w:val="none" w:sz="0" w:space="0" w:color="auto"/>
            <w:right w:val="none" w:sz="0" w:space="0" w:color="auto"/>
          </w:divBdr>
        </w:div>
        <w:div w:id="280116589">
          <w:marLeft w:val="0"/>
          <w:marRight w:val="0"/>
          <w:marTop w:val="0"/>
          <w:marBottom w:val="0"/>
          <w:divBdr>
            <w:top w:val="none" w:sz="0" w:space="0" w:color="auto"/>
            <w:left w:val="none" w:sz="0" w:space="0" w:color="auto"/>
            <w:bottom w:val="none" w:sz="0" w:space="0" w:color="auto"/>
            <w:right w:val="none" w:sz="0" w:space="0" w:color="auto"/>
          </w:divBdr>
        </w:div>
        <w:div w:id="318462370">
          <w:marLeft w:val="0"/>
          <w:marRight w:val="0"/>
          <w:marTop w:val="0"/>
          <w:marBottom w:val="0"/>
          <w:divBdr>
            <w:top w:val="none" w:sz="0" w:space="0" w:color="auto"/>
            <w:left w:val="none" w:sz="0" w:space="0" w:color="auto"/>
            <w:bottom w:val="none" w:sz="0" w:space="0" w:color="auto"/>
            <w:right w:val="none" w:sz="0" w:space="0" w:color="auto"/>
          </w:divBdr>
        </w:div>
        <w:div w:id="355736410">
          <w:marLeft w:val="0"/>
          <w:marRight w:val="0"/>
          <w:marTop w:val="0"/>
          <w:marBottom w:val="0"/>
          <w:divBdr>
            <w:top w:val="none" w:sz="0" w:space="0" w:color="auto"/>
            <w:left w:val="none" w:sz="0" w:space="0" w:color="auto"/>
            <w:bottom w:val="none" w:sz="0" w:space="0" w:color="auto"/>
            <w:right w:val="none" w:sz="0" w:space="0" w:color="auto"/>
          </w:divBdr>
        </w:div>
        <w:div w:id="411394963">
          <w:marLeft w:val="0"/>
          <w:marRight w:val="0"/>
          <w:marTop w:val="0"/>
          <w:marBottom w:val="0"/>
          <w:divBdr>
            <w:top w:val="none" w:sz="0" w:space="0" w:color="auto"/>
            <w:left w:val="none" w:sz="0" w:space="0" w:color="auto"/>
            <w:bottom w:val="none" w:sz="0" w:space="0" w:color="auto"/>
            <w:right w:val="none" w:sz="0" w:space="0" w:color="auto"/>
          </w:divBdr>
        </w:div>
        <w:div w:id="504514415">
          <w:marLeft w:val="0"/>
          <w:marRight w:val="0"/>
          <w:marTop w:val="0"/>
          <w:marBottom w:val="0"/>
          <w:divBdr>
            <w:top w:val="none" w:sz="0" w:space="0" w:color="auto"/>
            <w:left w:val="none" w:sz="0" w:space="0" w:color="auto"/>
            <w:bottom w:val="none" w:sz="0" w:space="0" w:color="auto"/>
            <w:right w:val="none" w:sz="0" w:space="0" w:color="auto"/>
          </w:divBdr>
        </w:div>
        <w:div w:id="519203474">
          <w:marLeft w:val="0"/>
          <w:marRight w:val="0"/>
          <w:marTop w:val="0"/>
          <w:marBottom w:val="0"/>
          <w:divBdr>
            <w:top w:val="none" w:sz="0" w:space="0" w:color="auto"/>
            <w:left w:val="none" w:sz="0" w:space="0" w:color="auto"/>
            <w:bottom w:val="none" w:sz="0" w:space="0" w:color="auto"/>
            <w:right w:val="none" w:sz="0" w:space="0" w:color="auto"/>
          </w:divBdr>
        </w:div>
        <w:div w:id="531461076">
          <w:marLeft w:val="0"/>
          <w:marRight w:val="0"/>
          <w:marTop w:val="0"/>
          <w:marBottom w:val="0"/>
          <w:divBdr>
            <w:top w:val="none" w:sz="0" w:space="0" w:color="auto"/>
            <w:left w:val="none" w:sz="0" w:space="0" w:color="auto"/>
            <w:bottom w:val="none" w:sz="0" w:space="0" w:color="auto"/>
            <w:right w:val="none" w:sz="0" w:space="0" w:color="auto"/>
          </w:divBdr>
        </w:div>
        <w:div w:id="580332710">
          <w:marLeft w:val="0"/>
          <w:marRight w:val="0"/>
          <w:marTop w:val="0"/>
          <w:marBottom w:val="0"/>
          <w:divBdr>
            <w:top w:val="none" w:sz="0" w:space="0" w:color="auto"/>
            <w:left w:val="none" w:sz="0" w:space="0" w:color="auto"/>
            <w:bottom w:val="none" w:sz="0" w:space="0" w:color="auto"/>
            <w:right w:val="none" w:sz="0" w:space="0" w:color="auto"/>
          </w:divBdr>
        </w:div>
        <w:div w:id="677002370">
          <w:marLeft w:val="0"/>
          <w:marRight w:val="0"/>
          <w:marTop w:val="0"/>
          <w:marBottom w:val="0"/>
          <w:divBdr>
            <w:top w:val="none" w:sz="0" w:space="0" w:color="auto"/>
            <w:left w:val="none" w:sz="0" w:space="0" w:color="auto"/>
            <w:bottom w:val="none" w:sz="0" w:space="0" w:color="auto"/>
            <w:right w:val="none" w:sz="0" w:space="0" w:color="auto"/>
          </w:divBdr>
        </w:div>
        <w:div w:id="781459529">
          <w:marLeft w:val="0"/>
          <w:marRight w:val="0"/>
          <w:marTop w:val="0"/>
          <w:marBottom w:val="0"/>
          <w:divBdr>
            <w:top w:val="none" w:sz="0" w:space="0" w:color="auto"/>
            <w:left w:val="none" w:sz="0" w:space="0" w:color="auto"/>
            <w:bottom w:val="none" w:sz="0" w:space="0" w:color="auto"/>
            <w:right w:val="none" w:sz="0" w:space="0" w:color="auto"/>
          </w:divBdr>
        </w:div>
        <w:div w:id="800196909">
          <w:marLeft w:val="0"/>
          <w:marRight w:val="0"/>
          <w:marTop w:val="0"/>
          <w:marBottom w:val="0"/>
          <w:divBdr>
            <w:top w:val="none" w:sz="0" w:space="0" w:color="auto"/>
            <w:left w:val="none" w:sz="0" w:space="0" w:color="auto"/>
            <w:bottom w:val="none" w:sz="0" w:space="0" w:color="auto"/>
            <w:right w:val="none" w:sz="0" w:space="0" w:color="auto"/>
          </w:divBdr>
        </w:div>
        <w:div w:id="902912738">
          <w:marLeft w:val="0"/>
          <w:marRight w:val="0"/>
          <w:marTop w:val="0"/>
          <w:marBottom w:val="0"/>
          <w:divBdr>
            <w:top w:val="none" w:sz="0" w:space="0" w:color="auto"/>
            <w:left w:val="none" w:sz="0" w:space="0" w:color="auto"/>
            <w:bottom w:val="none" w:sz="0" w:space="0" w:color="auto"/>
            <w:right w:val="none" w:sz="0" w:space="0" w:color="auto"/>
          </w:divBdr>
        </w:div>
        <w:div w:id="929235156">
          <w:marLeft w:val="0"/>
          <w:marRight w:val="0"/>
          <w:marTop w:val="0"/>
          <w:marBottom w:val="0"/>
          <w:divBdr>
            <w:top w:val="none" w:sz="0" w:space="0" w:color="auto"/>
            <w:left w:val="none" w:sz="0" w:space="0" w:color="auto"/>
            <w:bottom w:val="none" w:sz="0" w:space="0" w:color="auto"/>
            <w:right w:val="none" w:sz="0" w:space="0" w:color="auto"/>
          </w:divBdr>
        </w:div>
        <w:div w:id="974528636">
          <w:marLeft w:val="0"/>
          <w:marRight w:val="0"/>
          <w:marTop w:val="0"/>
          <w:marBottom w:val="0"/>
          <w:divBdr>
            <w:top w:val="none" w:sz="0" w:space="0" w:color="auto"/>
            <w:left w:val="none" w:sz="0" w:space="0" w:color="auto"/>
            <w:bottom w:val="none" w:sz="0" w:space="0" w:color="auto"/>
            <w:right w:val="none" w:sz="0" w:space="0" w:color="auto"/>
          </w:divBdr>
        </w:div>
        <w:div w:id="1087536174">
          <w:marLeft w:val="0"/>
          <w:marRight w:val="0"/>
          <w:marTop w:val="0"/>
          <w:marBottom w:val="0"/>
          <w:divBdr>
            <w:top w:val="none" w:sz="0" w:space="0" w:color="auto"/>
            <w:left w:val="none" w:sz="0" w:space="0" w:color="auto"/>
            <w:bottom w:val="none" w:sz="0" w:space="0" w:color="auto"/>
            <w:right w:val="none" w:sz="0" w:space="0" w:color="auto"/>
          </w:divBdr>
        </w:div>
        <w:div w:id="1135369479">
          <w:marLeft w:val="0"/>
          <w:marRight w:val="0"/>
          <w:marTop w:val="0"/>
          <w:marBottom w:val="0"/>
          <w:divBdr>
            <w:top w:val="none" w:sz="0" w:space="0" w:color="auto"/>
            <w:left w:val="none" w:sz="0" w:space="0" w:color="auto"/>
            <w:bottom w:val="none" w:sz="0" w:space="0" w:color="auto"/>
            <w:right w:val="none" w:sz="0" w:space="0" w:color="auto"/>
          </w:divBdr>
        </w:div>
        <w:div w:id="1136139147">
          <w:marLeft w:val="0"/>
          <w:marRight w:val="0"/>
          <w:marTop w:val="0"/>
          <w:marBottom w:val="0"/>
          <w:divBdr>
            <w:top w:val="none" w:sz="0" w:space="0" w:color="auto"/>
            <w:left w:val="none" w:sz="0" w:space="0" w:color="auto"/>
            <w:bottom w:val="none" w:sz="0" w:space="0" w:color="auto"/>
            <w:right w:val="none" w:sz="0" w:space="0" w:color="auto"/>
          </w:divBdr>
        </w:div>
        <w:div w:id="1168013824">
          <w:marLeft w:val="0"/>
          <w:marRight w:val="0"/>
          <w:marTop w:val="0"/>
          <w:marBottom w:val="0"/>
          <w:divBdr>
            <w:top w:val="none" w:sz="0" w:space="0" w:color="auto"/>
            <w:left w:val="none" w:sz="0" w:space="0" w:color="auto"/>
            <w:bottom w:val="none" w:sz="0" w:space="0" w:color="auto"/>
            <w:right w:val="none" w:sz="0" w:space="0" w:color="auto"/>
          </w:divBdr>
        </w:div>
        <w:div w:id="1183319104">
          <w:marLeft w:val="0"/>
          <w:marRight w:val="0"/>
          <w:marTop w:val="0"/>
          <w:marBottom w:val="0"/>
          <w:divBdr>
            <w:top w:val="none" w:sz="0" w:space="0" w:color="auto"/>
            <w:left w:val="none" w:sz="0" w:space="0" w:color="auto"/>
            <w:bottom w:val="none" w:sz="0" w:space="0" w:color="auto"/>
            <w:right w:val="none" w:sz="0" w:space="0" w:color="auto"/>
          </w:divBdr>
        </w:div>
        <w:div w:id="1213882347">
          <w:marLeft w:val="0"/>
          <w:marRight w:val="0"/>
          <w:marTop w:val="0"/>
          <w:marBottom w:val="0"/>
          <w:divBdr>
            <w:top w:val="none" w:sz="0" w:space="0" w:color="auto"/>
            <w:left w:val="none" w:sz="0" w:space="0" w:color="auto"/>
            <w:bottom w:val="none" w:sz="0" w:space="0" w:color="auto"/>
            <w:right w:val="none" w:sz="0" w:space="0" w:color="auto"/>
          </w:divBdr>
        </w:div>
        <w:div w:id="1242183330">
          <w:marLeft w:val="0"/>
          <w:marRight w:val="0"/>
          <w:marTop w:val="0"/>
          <w:marBottom w:val="0"/>
          <w:divBdr>
            <w:top w:val="none" w:sz="0" w:space="0" w:color="auto"/>
            <w:left w:val="none" w:sz="0" w:space="0" w:color="auto"/>
            <w:bottom w:val="none" w:sz="0" w:space="0" w:color="auto"/>
            <w:right w:val="none" w:sz="0" w:space="0" w:color="auto"/>
          </w:divBdr>
        </w:div>
        <w:div w:id="1276056470">
          <w:marLeft w:val="0"/>
          <w:marRight w:val="0"/>
          <w:marTop w:val="0"/>
          <w:marBottom w:val="0"/>
          <w:divBdr>
            <w:top w:val="none" w:sz="0" w:space="0" w:color="auto"/>
            <w:left w:val="none" w:sz="0" w:space="0" w:color="auto"/>
            <w:bottom w:val="none" w:sz="0" w:space="0" w:color="auto"/>
            <w:right w:val="none" w:sz="0" w:space="0" w:color="auto"/>
          </w:divBdr>
        </w:div>
        <w:div w:id="1315453633">
          <w:marLeft w:val="0"/>
          <w:marRight w:val="0"/>
          <w:marTop w:val="0"/>
          <w:marBottom w:val="0"/>
          <w:divBdr>
            <w:top w:val="none" w:sz="0" w:space="0" w:color="auto"/>
            <w:left w:val="none" w:sz="0" w:space="0" w:color="auto"/>
            <w:bottom w:val="none" w:sz="0" w:space="0" w:color="auto"/>
            <w:right w:val="none" w:sz="0" w:space="0" w:color="auto"/>
          </w:divBdr>
        </w:div>
        <w:div w:id="1439905262">
          <w:marLeft w:val="0"/>
          <w:marRight w:val="0"/>
          <w:marTop w:val="0"/>
          <w:marBottom w:val="0"/>
          <w:divBdr>
            <w:top w:val="none" w:sz="0" w:space="0" w:color="auto"/>
            <w:left w:val="none" w:sz="0" w:space="0" w:color="auto"/>
            <w:bottom w:val="none" w:sz="0" w:space="0" w:color="auto"/>
            <w:right w:val="none" w:sz="0" w:space="0" w:color="auto"/>
          </w:divBdr>
        </w:div>
        <w:div w:id="1499736121">
          <w:marLeft w:val="0"/>
          <w:marRight w:val="0"/>
          <w:marTop w:val="0"/>
          <w:marBottom w:val="0"/>
          <w:divBdr>
            <w:top w:val="none" w:sz="0" w:space="0" w:color="auto"/>
            <w:left w:val="none" w:sz="0" w:space="0" w:color="auto"/>
            <w:bottom w:val="none" w:sz="0" w:space="0" w:color="auto"/>
            <w:right w:val="none" w:sz="0" w:space="0" w:color="auto"/>
          </w:divBdr>
        </w:div>
        <w:div w:id="1521091673">
          <w:marLeft w:val="0"/>
          <w:marRight w:val="0"/>
          <w:marTop w:val="0"/>
          <w:marBottom w:val="0"/>
          <w:divBdr>
            <w:top w:val="none" w:sz="0" w:space="0" w:color="auto"/>
            <w:left w:val="none" w:sz="0" w:space="0" w:color="auto"/>
            <w:bottom w:val="none" w:sz="0" w:space="0" w:color="auto"/>
            <w:right w:val="none" w:sz="0" w:space="0" w:color="auto"/>
          </w:divBdr>
        </w:div>
        <w:div w:id="1539852861">
          <w:marLeft w:val="0"/>
          <w:marRight w:val="0"/>
          <w:marTop w:val="0"/>
          <w:marBottom w:val="0"/>
          <w:divBdr>
            <w:top w:val="none" w:sz="0" w:space="0" w:color="auto"/>
            <w:left w:val="none" w:sz="0" w:space="0" w:color="auto"/>
            <w:bottom w:val="none" w:sz="0" w:space="0" w:color="auto"/>
            <w:right w:val="none" w:sz="0" w:space="0" w:color="auto"/>
          </w:divBdr>
        </w:div>
        <w:div w:id="1547598292">
          <w:marLeft w:val="0"/>
          <w:marRight w:val="0"/>
          <w:marTop w:val="0"/>
          <w:marBottom w:val="0"/>
          <w:divBdr>
            <w:top w:val="none" w:sz="0" w:space="0" w:color="auto"/>
            <w:left w:val="none" w:sz="0" w:space="0" w:color="auto"/>
            <w:bottom w:val="none" w:sz="0" w:space="0" w:color="auto"/>
            <w:right w:val="none" w:sz="0" w:space="0" w:color="auto"/>
          </w:divBdr>
        </w:div>
        <w:div w:id="1664240732">
          <w:marLeft w:val="0"/>
          <w:marRight w:val="0"/>
          <w:marTop w:val="0"/>
          <w:marBottom w:val="0"/>
          <w:divBdr>
            <w:top w:val="none" w:sz="0" w:space="0" w:color="auto"/>
            <w:left w:val="none" w:sz="0" w:space="0" w:color="auto"/>
            <w:bottom w:val="none" w:sz="0" w:space="0" w:color="auto"/>
            <w:right w:val="none" w:sz="0" w:space="0" w:color="auto"/>
          </w:divBdr>
        </w:div>
        <w:div w:id="1716848543">
          <w:marLeft w:val="0"/>
          <w:marRight w:val="0"/>
          <w:marTop w:val="0"/>
          <w:marBottom w:val="0"/>
          <w:divBdr>
            <w:top w:val="none" w:sz="0" w:space="0" w:color="auto"/>
            <w:left w:val="none" w:sz="0" w:space="0" w:color="auto"/>
            <w:bottom w:val="none" w:sz="0" w:space="0" w:color="auto"/>
            <w:right w:val="none" w:sz="0" w:space="0" w:color="auto"/>
          </w:divBdr>
        </w:div>
        <w:div w:id="1745300313">
          <w:marLeft w:val="0"/>
          <w:marRight w:val="0"/>
          <w:marTop w:val="0"/>
          <w:marBottom w:val="0"/>
          <w:divBdr>
            <w:top w:val="none" w:sz="0" w:space="0" w:color="auto"/>
            <w:left w:val="none" w:sz="0" w:space="0" w:color="auto"/>
            <w:bottom w:val="none" w:sz="0" w:space="0" w:color="auto"/>
            <w:right w:val="none" w:sz="0" w:space="0" w:color="auto"/>
          </w:divBdr>
        </w:div>
        <w:div w:id="1826312199">
          <w:marLeft w:val="0"/>
          <w:marRight w:val="0"/>
          <w:marTop w:val="0"/>
          <w:marBottom w:val="0"/>
          <w:divBdr>
            <w:top w:val="none" w:sz="0" w:space="0" w:color="auto"/>
            <w:left w:val="none" w:sz="0" w:space="0" w:color="auto"/>
            <w:bottom w:val="none" w:sz="0" w:space="0" w:color="auto"/>
            <w:right w:val="none" w:sz="0" w:space="0" w:color="auto"/>
          </w:divBdr>
        </w:div>
        <w:div w:id="1843426314">
          <w:marLeft w:val="0"/>
          <w:marRight w:val="0"/>
          <w:marTop w:val="0"/>
          <w:marBottom w:val="0"/>
          <w:divBdr>
            <w:top w:val="none" w:sz="0" w:space="0" w:color="auto"/>
            <w:left w:val="none" w:sz="0" w:space="0" w:color="auto"/>
            <w:bottom w:val="none" w:sz="0" w:space="0" w:color="auto"/>
            <w:right w:val="none" w:sz="0" w:space="0" w:color="auto"/>
          </w:divBdr>
        </w:div>
        <w:div w:id="1920141039">
          <w:marLeft w:val="0"/>
          <w:marRight w:val="0"/>
          <w:marTop w:val="0"/>
          <w:marBottom w:val="0"/>
          <w:divBdr>
            <w:top w:val="none" w:sz="0" w:space="0" w:color="auto"/>
            <w:left w:val="none" w:sz="0" w:space="0" w:color="auto"/>
            <w:bottom w:val="none" w:sz="0" w:space="0" w:color="auto"/>
            <w:right w:val="none" w:sz="0" w:space="0" w:color="auto"/>
          </w:divBdr>
        </w:div>
        <w:div w:id="1989550925">
          <w:marLeft w:val="0"/>
          <w:marRight w:val="0"/>
          <w:marTop w:val="0"/>
          <w:marBottom w:val="0"/>
          <w:divBdr>
            <w:top w:val="none" w:sz="0" w:space="0" w:color="auto"/>
            <w:left w:val="none" w:sz="0" w:space="0" w:color="auto"/>
            <w:bottom w:val="none" w:sz="0" w:space="0" w:color="auto"/>
            <w:right w:val="none" w:sz="0" w:space="0" w:color="auto"/>
          </w:divBdr>
        </w:div>
        <w:div w:id="2004241403">
          <w:marLeft w:val="0"/>
          <w:marRight w:val="0"/>
          <w:marTop w:val="0"/>
          <w:marBottom w:val="0"/>
          <w:divBdr>
            <w:top w:val="none" w:sz="0" w:space="0" w:color="auto"/>
            <w:left w:val="none" w:sz="0" w:space="0" w:color="auto"/>
            <w:bottom w:val="none" w:sz="0" w:space="0" w:color="auto"/>
            <w:right w:val="none" w:sz="0" w:space="0" w:color="auto"/>
          </w:divBdr>
        </w:div>
        <w:div w:id="2007249790">
          <w:marLeft w:val="0"/>
          <w:marRight w:val="0"/>
          <w:marTop w:val="0"/>
          <w:marBottom w:val="0"/>
          <w:divBdr>
            <w:top w:val="none" w:sz="0" w:space="0" w:color="auto"/>
            <w:left w:val="none" w:sz="0" w:space="0" w:color="auto"/>
            <w:bottom w:val="none" w:sz="0" w:space="0" w:color="auto"/>
            <w:right w:val="none" w:sz="0" w:space="0" w:color="auto"/>
          </w:divBdr>
        </w:div>
        <w:div w:id="2032953850">
          <w:marLeft w:val="0"/>
          <w:marRight w:val="0"/>
          <w:marTop w:val="0"/>
          <w:marBottom w:val="0"/>
          <w:divBdr>
            <w:top w:val="none" w:sz="0" w:space="0" w:color="auto"/>
            <w:left w:val="none" w:sz="0" w:space="0" w:color="auto"/>
            <w:bottom w:val="none" w:sz="0" w:space="0" w:color="auto"/>
            <w:right w:val="none" w:sz="0" w:space="0" w:color="auto"/>
          </w:divBdr>
        </w:div>
        <w:div w:id="2042046355">
          <w:marLeft w:val="0"/>
          <w:marRight w:val="0"/>
          <w:marTop w:val="0"/>
          <w:marBottom w:val="0"/>
          <w:divBdr>
            <w:top w:val="none" w:sz="0" w:space="0" w:color="auto"/>
            <w:left w:val="none" w:sz="0" w:space="0" w:color="auto"/>
            <w:bottom w:val="none" w:sz="0" w:space="0" w:color="auto"/>
            <w:right w:val="none" w:sz="0" w:space="0" w:color="auto"/>
          </w:divBdr>
        </w:div>
        <w:div w:id="2071227484">
          <w:marLeft w:val="0"/>
          <w:marRight w:val="0"/>
          <w:marTop w:val="0"/>
          <w:marBottom w:val="0"/>
          <w:divBdr>
            <w:top w:val="none" w:sz="0" w:space="0" w:color="auto"/>
            <w:left w:val="none" w:sz="0" w:space="0" w:color="auto"/>
            <w:bottom w:val="none" w:sz="0" w:space="0" w:color="auto"/>
            <w:right w:val="none" w:sz="0" w:space="0" w:color="auto"/>
          </w:divBdr>
        </w:div>
        <w:div w:id="2093047455">
          <w:marLeft w:val="0"/>
          <w:marRight w:val="0"/>
          <w:marTop w:val="0"/>
          <w:marBottom w:val="0"/>
          <w:divBdr>
            <w:top w:val="none" w:sz="0" w:space="0" w:color="auto"/>
            <w:left w:val="none" w:sz="0" w:space="0" w:color="auto"/>
            <w:bottom w:val="none" w:sz="0" w:space="0" w:color="auto"/>
            <w:right w:val="none" w:sz="0" w:space="0" w:color="auto"/>
          </w:divBdr>
        </w:div>
      </w:divsChild>
    </w:div>
    <w:div w:id="473791086">
      <w:bodyDiv w:val="1"/>
      <w:marLeft w:val="0"/>
      <w:marRight w:val="0"/>
      <w:marTop w:val="0"/>
      <w:marBottom w:val="0"/>
      <w:divBdr>
        <w:top w:val="none" w:sz="0" w:space="0" w:color="auto"/>
        <w:left w:val="none" w:sz="0" w:space="0" w:color="auto"/>
        <w:bottom w:val="none" w:sz="0" w:space="0" w:color="auto"/>
        <w:right w:val="none" w:sz="0" w:space="0" w:color="auto"/>
      </w:divBdr>
    </w:div>
    <w:div w:id="477190007">
      <w:bodyDiv w:val="1"/>
      <w:marLeft w:val="0"/>
      <w:marRight w:val="0"/>
      <w:marTop w:val="0"/>
      <w:marBottom w:val="0"/>
      <w:divBdr>
        <w:top w:val="none" w:sz="0" w:space="0" w:color="auto"/>
        <w:left w:val="none" w:sz="0" w:space="0" w:color="auto"/>
        <w:bottom w:val="none" w:sz="0" w:space="0" w:color="auto"/>
        <w:right w:val="none" w:sz="0" w:space="0" w:color="auto"/>
      </w:divBdr>
    </w:div>
    <w:div w:id="477192764">
      <w:bodyDiv w:val="1"/>
      <w:marLeft w:val="0"/>
      <w:marRight w:val="0"/>
      <w:marTop w:val="0"/>
      <w:marBottom w:val="0"/>
      <w:divBdr>
        <w:top w:val="none" w:sz="0" w:space="0" w:color="auto"/>
        <w:left w:val="none" w:sz="0" w:space="0" w:color="auto"/>
        <w:bottom w:val="none" w:sz="0" w:space="0" w:color="auto"/>
        <w:right w:val="none" w:sz="0" w:space="0" w:color="auto"/>
      </w:divBdr>
      <w:divsChild>
        <w:div w:id="82917218">
          <w:marLeft w:val="0"/>
          <w:marRight w:val="0"/>
          <w:marTop w:val="0"/>
          <w:marBottom w:val="0"/>
          <w:divBdr>
            <w:top w:val="none" w:sz="0" w:space="0" w:color="auto"/>
            <w:left w:val="none" w:sz="0" w:space="0" w:color="auto"/>
            <w:bottom w:val="none" w:sz="0" w:space="0" w:color="auto"/>
            <w:right w:val="none" w:sz="0" w:space="0" w:color="auto"/>
          </w:divBdr>
        </w:div>
        <w:div w:id="612395621">
          <w:marLeft w:val="0"/>
          <w:marRight w:val="0"/>
          <w:marTop w:val="0"/>
          <w:marBottom w:val="0"/>
          <w:divBdr>
            <w:top w:val="none" w:sz="0" w:space="0" w:color="auto"/>
            <w:left w:val="none" w:sz="0" w:space="0" w:color="auto"/>
            <w:bottom w:val="none" w:sz="0" w:space="0" w:color="auto"/>
            <w:right w:val="none" w:sz="0" w:space="0" w:color="auto"/>
          </w:divBdr>
        </w:div>
        <w:div w:id="622006217">
          <w:marLeft w:val="0"/>
          <w:marRight w:val="0"/>
          <w:marTop w:val="0"/>
          <w:marBottom w:val="0"/>
          <w:divBdr>
            <w:top w:val="none" w:sz="0" w:space="0" w:color="auto"/>
            <w:left w:val="none" w:sz="0" w:space="0" w:color="auto"/>
            <w:bottom w:val="none" w:sz="0" w:space="0" w:color="auto"/>
            <w:right w:val="none" w:sz="0" w:space="0" w:color="auto"/>
          </w:divBdr>
        </w:div>
        <w:div w:id="677855657">
          <w:marLeft w:val="0"/>
          <w:marRight w:val="0"/>
          <w:marTop w:val="0"/>
          <w:marBottom w:val="0"/>
          <w:divBdr>
            <w:top w:val="none" w:sz="0" w:space="0" w:color="auto"/>
            <w:left w:val="none" w:sz="0" w:space="0" w:color="auto"/>
            <w:bottom w:val="none" w:sz="0" w:space="0" w:color="auto"/>
            <w:right w:val="none" w:sz="0" w:space="0" w:color="auto"/>
          </w:divBdr>
        </w:div>
        <w:div w:id="984898517">
          <w:marLeft w:val="0"/>
          <w:marRight w:val="0"/>
          <w:marTop w:val="0"/>
          <w:marBottom w:val="0"/>
          <w:divBdr>
            <w:top w:val="none" w:sz="0" w:space="0" w:color="auto"/>
            <w:left w:val="none" w:sz="0" w:space="0" w:color="auto"/>
            <w:bottom w:val="none" w:sz="0" w:space="0" w:color="auto"/>
            <w:right w:val="none" w:sz="0" w:space="0" w:color="auto"/>
          </w:divBdr>
        </w:div>
        <w:div w:id="1271476546">
          <w:marLeft w:val="0"/>
          <w:marRight w:val="0"/>
          <w:marTop w:val="0"/>
          <w:marBottom w:val="0"/>
          <w:divBdr>
            <w:top w:val="none" w:sz="0" w:space="0" w:color="auto"/>
            <w:left w:val="none" w:sz="0" w:space="0" w:color="auto"/>
            <w:bottom w:val="none" w:sz="0" w:space="0" w:color="auto"/>
            <w:right w:val="none" w:sz="0" w:space="0" w:color="auto"/>
          </w:divBdr>
        </w:div>
        <w:div w:id="1450736889">
          <w:marLeft w:val="0"/>
          <w:marRight w:val="0"/>
          <w:marTop w:val="0"/>
          <w:marBottom w:val="0"/>
          <w:divBdr>
            <w:top w:val="none" w:sz="0" w:space="0" w:color="auto"/>
            <w:left w:val="none" w:sz="0" w:space="0" w:color="auto"/>
            <w:bottom w:val="none" w:sz="0" w:space="0" w:color="auto"/>
            <w:right w:val="none" w:sz="0" w:space="0" w:color="auto"/>
          </w:divBdr>
        </w:div>
        <w:div w:id="1478573748">
          <w:marLeft w:val="0"/>
          <w:marRight w:val="0"/>
          <w:marTop w:val="0"/>
          <w:marBottom w:val="0"/>
          <w:divBdr>
            <w:top w:val="none" w:sz="0" w:space="0" w:color="auto"/>
            <w:left w:val="none" w:sz="0" w:space="0" w:color="auto"/>
            <w:bottom w:val="none" w:sz="0" w:space="0" w:color="auto"/>
            <w:right w:val="none" w:sz="0" w:space="0" w:color="auto"/>
          </w:divBdr>
        </w:div>
        <w:div w:id="1813786649">
          <w:marLeft w:val="0"/>
          <w:marRight w:val="0"/>
          <w:marTop w:val="0"/>
          <w:marBottom w:val="0"/>
          <w:divBdr>
            <w:top w:val="none" w:sz="0" w:space="0" w:color="auto"/>
            <w:left w:val="none" w:sz="0" w:space="0" w:color="auto"/>
            <w:bottom w:val="none" w:sz="0" w:space="0" w:color="auto"/>
            <w:right w:val="none" w:sz="0" w:space="0" w:color="auto"/>
          </w:divBdr>
        </w:div>
        <w:div w:id="2122603356">
          <w:marLeft w:val="0"/>
          <w:marRight w:val="0"/>
          <w:marTop w:val="0"/>
          <w:marBottom w:val="0"/>
          <w:divBdr>
            <w:top w:val="none" w:sz="0" w:space="0" w:color="auto"/>
            <w:left w:val="none" w:sz="0" w:space="0" w:color="auto"/>
            <w:bottom w:val="none" w:sz="0" w:space="0" w:color="auto"/>
            <w:right w:val="none" w:sz="0" w:space="0" w:color="auto"/>
          </w:divBdr>
        </w:div>
      </w:divsChild>
    </w:div>
    <w:div w:id="478232379">
      <w:bodyDiv w:val="1"/>
      <w:marLeft w:val="0"/>
      <w:marRight w:val="0"/>
      <w:marTop w:val="0"/>
      <w:marBottom w:val="0"/>
      <w:divBdr>
        <w:top w:val="none" w:sz="0" w:space="0" w:color="auto"/>
        <w:left w:val="none" w:sz="0" w:space="0" w:color="auto"/>
        <w:bottom w:val="none" w:sz="0" w:space="0" w:color="auto"/>
        <w:right w:val="none" w:sz="0" w:space="0" w:color="auto"/>
      </w:divBdr>
    </w:div>
    <w:div w:id="488836920">
      <w:bodyDiv w:val="1"/>
      <w:marLeft w:val="0"/>
      <w:marRight w:val="0"/>
      <w:marTop w:val="0"/>
      <w:marBottom w:val="0"/>
      <w:divBdr>
        <w:top w:val="none" w:sz="0" w:space="0" w:color="auto"/>
        <w:left w:val="none" w:sz="0" w:space="0" w:color="auto"/>
        <w:bottom w:val="none" w:sz="0" w:space="0" w:color="auto"/>
        <w:right w:val="none" w:sz="0" w:space="0" w:color="auto"/>
      </w:divBdr>
    </w:div>
    <w:div w:id="489953308">
      <w:bodyDiv w:val="1"/>
      <w:marLeft w:val="0"/>
      <w:marRight w:val="0"/>
      <w:marTop w:val="0"/>
      <w:marBottom w:val="0"/>
      <w:divBdr>
        <w:top w:val="none" w:sz="0" w:space="0" w:color="auto"/>
        <w:left w:val="none" w:sz="0" w:space="0" w:color="auto"/>
        <w:bottom w:val="none" w:sz="0" w:space="0" w:color="auto"/>
        <w:right w:val="none" w:sz="0" w:space="0" w:color="auto"/>
      </w:divBdr>
    </w:div>
    <w:div w:id="510144648">
      <w:bodyDiv w:val="1"/>
      <w:marLeft w:val="0"/>
      <w:marRight w:val="0"/>
      <w:marTop w:val="0"/>
      <w:marBottom w:val="0"/>
      <w:divBdr>
        <w:top w:val="none" w:sz="0" w:space="0" w:color="auto"/>
        <w:left w:val="none" w:sz="0" w:space="0" w:color="auto"/>
        <w:bottom w:val="none" w:sz="0" w:space="0" w:color="auto"/>
        <w:right w:val="none" w:sz="0" w:space="0" w:color="auto"/>
      </w:divBdr>
    </w:div>
    <w:div w:id="514998362">
      <w:bodyDiv w:val="1"/>
      <w:marLeft w:val="0"/>
      <w:marRight w:val="0"/>
      <w:marTop w:val="0"/>
      <w:marBottom w:val="0"/>
      <w:divBdr>
        <w:top w:val="none" w:sz="0" w:space="0" w:color="auto"/>
        <w:left w:val="none" w:sz="0" w:space="0" w:color="auto"/>
        <w:bottom w:val="none" w:sz="0" w:space="0" w:color="auto"/>
        <w:right w:val="none" w:sz="0" w:space="0" w:color="auto"/>
      </w:divBdr>
    </w:div>
    <w:div w:id="517886229">
      <w:bodyDiv w:val="1"/>
      <w:marLeft w:val="0"/>
      <w:marRight w:val="0"/>
      <w:marTop w:val="0"/>
      <w:marBottom w:val="0"/>
      <w:divBdr>
        <w:top w:val="none" w:sz="0" w:space="0" w:color="auto"/>
        <w:left w:val="none" w:sz="0" w:space="0" w:color="auto"/>
        <w:bottom w:val="none" w:sz="0" w:space="0" w:color="auto"/>
        <w:right w:val="none" w:sz="0" w:space="0" w:color="auto"/>
      </w:divBdr>
    </w:div>
    <w:div w:id="518085952">
      <w:bodyDiv w:val="1"/>
      <w:marLeft w:val="0"/>
      <w:marRight w:val="0"/>
      <w:marTop w:val="0"/>
      <w:marBottom w:val="0"/>
      <w:divBdr>
        <w:top w:val="none" w:sz="0" w:space="0" w:color="auto"/>
        <w:left w:val="none" w:sz="0" w:space="0" w:color="auto"/>
        <w:bottom w:val="none" w:sz="0" w:space="0" w:color="auto"/>
        <w:right w:val="none" w:sz="0" w:space="0" w:color="auto"/>
      </w:divBdr>
      <w:divsChild>
        <w:div w:id="82118139">
          <w:marLeft w:val="0"/>
          <w:marRight w:val="0"/>
          <w:marTop w:val="0"/>
          <w:marBottom w:val="0"/>
          <w:divBdr>
            <w:top w:val="none" w:sz="0" w:space="0" w:color="auto"/>
            <w:left w:val="none" w:sz="0" w:space="0" w:color="auto"/>
            <w:bottom w:val="none" w:sz="0" w:space="0" w:color="auto"/>
            <w:right w:val="none" w:sz="0" w:space="0" w:color="auto"/>
          </w:divBdr>
        </w:div>
        <w:div w:id="198906326">
          <w:marLeft w:val="0"/>
          <w:marRight w:val="0"/>
          <w:marTop w:val="0"/>
          <w:marBottom w:val="0"/>
          <w:divBdr>
            <w:top w:val="none" w:sz="0" w:space="0" w:color="auto"/>
            <w:left w:val="none" w:sz="0" w:space="0" w:color="auto"/>
            <w:bottom w:val="none" w:sz="0" w:space="0" w:color="auto"/>
            <w:right w:val="none" w:sz="0" w:space="0" w:color="auto"/>
          </w:divBdr>
        </w:div>
        <w:div w:id="404763998">
          <w:marLeft w:val="0"/>
          <w:marRight w:val="0"/>
          <w:marTop w:val="0"/>
          <w:marBottom w:val="0"/>
          <w:divBdr>
            <w:top w:val="none" w:sz="0" w:space="0" w:color="auto"/>
            <w:left w:val="none" w:sz="0" w:space="0" w:color="auto"/>
            <w:bottom w:val="none" w:sz="0" w:space="0" w:color="auto"/>
            <w:right w:val="none" w:sz="0" w:space="0" w:color="auto"/>
          </w:divBdr>
        </w:div>
        <w:div w:id="962660483">
          <w:marLeft w:val="0"/>
          <w:marRight w:val="0"/>
          <w:marTop w:val="0"/>
          <w:marBottom w:val="0"/>
          <w:divBdr>
            <w:top w:val="none" w:sz="0" w:space="0" w:color="auto"/>
            <w:left w:val="none" w:sz="0" w:space="0" w:color="auto"/>
            <w:bottom w:val="none" w:sz="0" w:space="0" w:color="auto"/>
            <w:right w:val="none" w:sz="0" w:space="0" w:color="auto"/>
          </w:divBdr>
        </w:div>
        <w:div w:id="1174614292">
          <w:marLeft w:val="0"/>
          <w:marRight w:val="0"/>
          <w:marTop w:val="0"/>
          <w:marBottom w:val="0"/>
          <w:divBdr>
            <w:top w:val="none" w:sz="0" w:space="0" w:color="auto"/>
            <w:left w:val="none" w:sz="0" w:space="0" w:color="auto"/>
            <w:bottom w:val="none" w:sz="0" w:space="0" w:color="auto"/>
            <w:right w:val="none" w:sz="0" w:space="0" w:color="auto"/>
          </w:divBdr>
        </w:div>
        <w:div w:id="1377269305">
          <w:marLeft w:val="0"/>
          <w:marRight w:val="0"/>
          <w:marTop w:val="0"/>
          <w:marBottom w:val="0"/>
          <w:divBdr>
            <w:top w:val="none" w:sz="0" w:space="0" w:color="auto"/>
            <w:left w:val="none" w:sz="0" w:space="0" w:color="auto"/>
            <w:bottom w:val="none" w:sz="0" w:space="0" w:color="auto"/>
            <w:right w:val="none" w:sz="0" w:space="0" w:color="auto"/>
          </w:divBdr>
        </w:div>
        <w:div w:id="1488207807">
          <w:marLeft w:val="0"/>
          <w:marRight w:val="0"/>
          <w:marTop w:val="0"/>
          <w:marBottom w:val="0"/>
          <w:divBdr>
            <w:top w:val="none" w:sz="0" w:space="0" w:color="auto"/>
            <w:left w:val="none" w:sz="0" w:space="0" w:color="auto"/>
            <w:bottom w:val="none" w:sz="0" w:space="0" w:color="auto"/>
            <w:right w:val="none" w:sz="0" w:space="0" w:color="auto"/>
          </w:divBdr>
        </w:div>
        <w:div w:id="1790082883">
          <w:marLeft w:val="0"/>
          <w:marRight w:val="0"/>
          <w:marTop w:val="0"/>
          <w:marBottom w:val="0"/>
          <w:divBdr>
            <w:top w:val="none" w:sz="0" w:space="0" w:color="auto"/>
            <w:left w:val="none" w:sz="0" w:space="0" w:color="auto"/>
            <w:bottom w:val="none" w:sz="0" w:space="0" w:color="auto"/>
            <w:right w:val="none" w:sz="0" w:space="0" w:color="auto"/>
          </w:divBdr>
        </w:div>
        <w:div w:id="1800144845">
          <w:marLeft w:val="0"/>
          <w:marRight w:val="0"/>
          <w:marTop w:val="0"/>
          <w:marBottom w:val="0"/>
          <w:divBdr>
            <w:top w:val="none" w:sz="0" w:space="0" w:color="auto"/>
            <w:left w:val="none" w:sz="0" w:space="0" w:color="auto"/>
            <w:bottom w:val="none" w:sz="0" w:space="0" w:color="auto"/>
            <w:right w:val="none" w:sz="0" w:space="0" w:color="auto"/>
          </w:divBdr>
        </w:div>
        <w:div w:id="1857575971">
          <w:marLeft w:val="0"/>
          <w:marRight w:val="0"/>
          <w:marTop w:val="0"/>
          <w:marBottom w:val="0"/>
          <w:divBdr>
            <w:top w:val="none" w:sz="0" w:space="0" w:color="auto"/>
            <w:left w:val="none" w:sz="0" w:space="0" w:color="auto"/>
            <w:bottom w:val="none" w:sz="0" w:space="0" w:color="auto"/>
            <w:right w:val="none" w:sz="0" w:space="0" w:color="auto"/>
          </w:divBdr>
        </w:div>
        <w:div w:id="1928536098">
          <w:marLeft w:val="0"/>
          <w:marRight w:val="0"/>
          <w:marTop w:val="0"/>
          <w:marBottom w:val="0"/>
          <w:divBdr>
            <w:top w:val="none" w:sz="0" w:space="0" w:color="auto"/>
            <w:left w:val="none" w:sz="0" w:space="0" w:color="auto"/>
            <w:bottom w:val="none" w:sz="0" w:space="0" w:color="auto"/>
            <w:right w:val="none" w:sz="0" w:space="0" w:color="auto"/>
          </w:divBdr>
        </w:div>
      </w:divsChild>
    </w:div>
    <w:div w:id="518545842">
      <w:bodyDiv w:val="1"/>
      <w:marLeft w:val="0"/>
      <w:marRight w:val="0"/>
      <w:marTop w:val="0"/>
      <w:marBottom w:val="0"/>
      <w:divBdr>
        <w:top w:val="none" w:sz="0" w:space="0" w:color="auto"/>
        <w:left w:val="none" w:sz="0" w:space="0" w:color="auto"/>
        <w:bottom w:val="none" w:sz="0" w:space="0" w:color="auto"/>
        <w:right w:val="none" w:sz="0" w:space="0" w:color="auto"/>
      </w:divBdr>
    </w:div>
    <w:div w:id="518783036">
      <w:bodyDiv w:val="1"/>
      <w:marLeft w:val="0"/>
      <w:marRight w:val="0"/>
      <w:marTop w:val="0"/>
      <w:marBottom w:val="0"/>
      <w:divBdr>
        <w:top w:val="none" w:sz="0" w:space="0" w:color="auto"/>
        <w:left w:val="none" w:sz="0" w:space="0" w:color="auto"/>
        <w:bottom w:val="none" w:sz="0" w:space="0" w:color="auto"/>
        <w:right w:val="none" w:sz="0" w:space="0" w:color="auto"/>
      </w:divBdr>
    </w:div>
    <w:div w:id="522321984">
      <w:bodyDiv w:val="1"/>
      <w:marLeft w:val="0"/>
      <w:marRight w:val="0"/>
      <w:marTop w:val="0"/>
      <w:marBottom w:val="0"/>
      <w:divBdr>
        <w:top w:val="none" w:sz="0" w:space="0" w:color="auto"/>
        <w:left w:val="none" w:sz="0" w:space="0" w:color="auto"/>
        <w:bottom w:val="none" w:sz="0" w:space="0" w:color="auto"/>
        <w:right w:val="none" w:sz="0" w:space="0" w:color="auto"/>
      </w:divBdr>
    </w:div>
    <w:div w:id="534729822">
      <w:bodyDiv w:val="1"/>
      <w:marLeft w:val="0"/>
      <w:marRight w:val="0"/>
      <w:marTop w:val="0"/>
      <w:marBottom w:val="0"/>
      <w:divBdr>
        <w:top w:val="none" w:sz="0" w:space="0" w:color="auto"/>
        <w:left w:val="none" w:sz="0" w:space="0" w:color="auto"/>
        <w:bottom w:val="none" w:sz="0" w:space="0" w:color="auto"/>
        <w:right w:val="none" w:sz="0" w:space="0" w:color="auto"/>
      </w:divBdr>
    </w:div>
    <w:div w:id="543979117">
      <w:bodyDiv w:val="1"/>
      <w:marLeft w:val="0"/>
      <w:marRight w:val="0"/>
      <w:marTop w:val="0"/>
      <w:marBottom w:val="0"/>
      <w:divBdr>
        <w:top w:val="none" w:sz="0" w:space="0" w:color="auto"/>
        <w:left w:val="none" w:sz="0" w:space="0" w:color="auto"/>
        <w:bottom w:val="none" w:sz="0" w:space="0" w:color="auto"/>
        <w:right w:val="none" w:sz="0" w:space="0" w:color="auto"/>
      </w:divBdr>
      <w:divsChild>
        <w:div w:id="231043284">
          <w:marLeft w:val="0"/>
          <w:marRight w:val="0"/>
          <w:marTop w:val="0"/>
          <w:marBottom w:val="0"/>
          <w:divBdr>
            <w:top w:val="none" w:sz="0" w:space="0" w:color="auto"/>
            <w:left w:val="none" w:sz="0" w:space="0" w:color="auto"/>
            <w:bottom w:val="none" w:sz="0" w:space="0" w:color="auto"/>
            <w:right w:val="none" w:sz="0" w:space="0" w:color="auto"/>
          </w:divBdr>
        </w:div>
        <w:div w:id="276644938">
          <w:marLeft w:val="0"/>
          <w:marRight w:val="0"/>
          <w:marTop w:val="0"/>
          <w:marBottom w:val="0"/>
          <w:divBdr>
            <w:top w:val="none" w:sz="0" w:space="0" w:color="auto"/>
            <w:left w:val="none" w:sz="0" w:space="0" w:color="auto"/>
            <w:bottom w:val="none" w:sz="0" w:space="0" w:color="auto"/>
            <w:right w:val="none" w:sz="0" w:space="0" w:color="auto"/>
          </w:divBdr>
        </w:div>
        <w:div w:id="388699378">
          <w:marLeft w:val="0"/>
          <w:marRight w:val="0"/>
          <w:marTop w:val="0"/>
          <w:marBottom w:val="0"/>
          <w:divBdr>
            <w:top w:val="none" w:sz="0" w:space="0" w:color="auto"/>
            <w:left w:val="none" w:sz="0" w:space="0" w:color="auto"/>
            <w:bottom w:val="none" w:sz="0" w:space="0" w:color="auto"/>
            <w:right w:val="none" w:sz="0" w:space="0" w:color="auto"/>
          </w:divBdr>
        </w:div>
        <w:div w:id="728112079">
          <w:marLeft w:val="0"/>
          <w:marRight w:val="0"/>
          <w:marTop w:val="0"/>
          <w:marBottom w:val="0"/>
          <w:divBdr>
            <w:top w:val="none" w:sz="0" w:space="0" w:color="auto"/>
            <w:left w:val="none" w:sz="0" w:space="0" w:color="auto"/>
            <w:bottom w:val="none" w:sz="0" w:space="0" w:color="auto"/>
            <w:right w:val="none" w:sz="0" w:space="0" w:color="auto"/>
          </w:divBdr>
        </w:div>
        <w:div w:id="891505586">
          <w:marLeft w:val="0"/>
          <w:marRight w:val="0"/>
          <w:marTop w:val="0"/>
          <w:marBottom w:val="0"/>
          <w:divBdr>
            <w:top w:val="none" w:sz="0" w:space="0" w:color="auto"/>
            <w:left w:val="none" w:sz="0" w:space="0" w:color="auto"/>
            <w:bottom w:val="none" w:sz="0" w:space="0" w:color="auto"/>
            <w:right w:val="none" w:sz="0" w:space="0" w:color="auto"/>
          </w:divBdr>
        </w:div>
        <w:div w:id="1162819818">
          <w:marLeft w:val="0"/>
          <w:marRight w:val="0"/>
          <w:marTop w:val="0"/>
          <w:marBottom w:val="0"/>
          <w:divBdr>
            <w:top w:val="none" w:sz="0" w:space="0" w:color="auto"/>
            <w:left w:val="none" w:sz="0" w:space="0" w:color="auto"/>
            <w:bottom w:val="none" w:sz="0" w:space="0" w:color="auto"/>
            <w:right w:val="none" w:sz="0" w:space="0" w:color="auto"/>
          </w:divBdr>
        </w:div>
        <w:div w:id="1199124185">
          <w:marLeft w:val="0"/>
          <w:marRight w:val="0"/>
          <w:marTop w:val="0"/>
          <w:marBottom w:val="0"/>
          <w:divBdr>
            <w:top w:val="none" w:sz="0" w:space="0" w:color="auto"/>
            <w:left w:val="none" w:sz="0" w:space="0" w:color="auto"/>
            <w:bottom w:val="none" w:sz="0" w:space="0" w:color="auto"/>
            <w:right w:val="none" w:sz="0" w:space="0" w:color="auto"/>
          </w:divBdr>
        </w:div>
        <w:div w:id="1487286805">
          <w:marLeft w:val="0"/>
          <w:marRight w:val="0"/>
          <w:marTop w:val="0"/>
          <w:marBottom w:val="0"/>
          <w:divBdr>
            <w:top w:val="none" w:sz="0" w:space="0" w:color="auto"/>
            <w:left w:val="none" w:sz="0" w:space="0" w:color="auto"/>
            <w:bottom w:val="none" w:sz="0" w:space="0" w:color="auto"/>
            <w:right w:val="none" w:sz="0" w:space="0" w:color="auto"/>
          </w:divBdr>
        </w:div>
        <w:div w:id="1842309262">
          <w:marLeft w:val="0"/>
          <w:marRight w:val="0"/>
          <w:marTop w:val="0"/>
          <w:marBottom w:val="0"/>
          <w:divBdr>
            <w:top w:val="none" w:sz="0" w:space="0" w:color="auto"/>
            <w:left w:val="none" w:sz="0" w:space="0" w:color="auto"/>
            <w:bottom w:val="none" w:sz="0" w:space="0" w:color="auto"/>
            <w:right w:val="none" w:sz="0" w:space="0" w:color="auto"/>
          </w:divBdr>
        </w:div>
        <w:div w:id="1886791617">
          <w:marLeft w:val="0"/>
          <w:marRight w:val="0"/>
          <w:marTop w:val="0"/>
          <w:marBottom w:val="0"/>
          <w:divBdr>
            <w:top w:val="none" w:sz="0" w:space="0" w:color="auto"/>
            <w:left w:val="none" w:sz="0" w:space="0" w:color="auto"/>
            <w:bottom w:val="none" w:sz="0" w:space="0" w:color="auto"/>
            <w:right w:val="none" w:sz="0" w:space="0" w:color="auto"/>
          </w:divBdr>
        </w:div>
      </w:divsChild>
    </w:div>
    <w:div w:id="545607714">
      <w:bodyDiv w:val="1"/>
      <w:marLeft w:val="0"/>
      <w:marRight w:val="0"/>
      <w:marTop w:val="0"/>
      <w:marBottom w:val="0"/>
      <w:divBdr>
        <w:top w:val="none" w:sz="0" w:space="0" w:color="auto"/>
        <w:left w:val="none" w:sz="0" w:space="0" w:color="auto"/>
        <w:bottom w:val="none" w:sz="0" w:space="0" w:color="auto"/>
        <w:right w:val="none" w:sz="0" w:space="0" w:color="auto"/>
      </w:divBdr>
    </w:div>
    <w:div w:id="547033871">
      <w:bodyDiv w:val="1"/>
      <w:marLeft w:val="0"/>
      <w:marRight w:val="0"/>
      <w:marTop w:val="0"/>
      <w:marBottom w:val="0"/>
      <w:divBdr>
        <w:top w:val="none" w:sz="0" w:space="0" w:color="auto"/>
        <w:left w:val="none" w:sz="0" w:space="0" w:color="auto"/>
        <w:bottom w:val="none" w:sz="0" w:space="0" w:color="auto"/>
        <w:right w:val="none" w:sz="0" w:space="0" w:color="auto"/>
      </w:divBdr>
      <w:divsChild>
        <w:div w:id="41906513">
          <w:marLeft w:val="0"/>
          <w:marRight w:val="0"/>
          <w:marTop w:val="0"/>
          <w:marBottom w:val="0"/>
          <w:divBdr>
            <w:top w:val="none" w:sz="0" w:space="0" w:color="auto"/>
            <w:left w:val="none" w:sz="0" w:space="0" w:color="auto"/>
            <w:bottom w:val="none" w:sz="0" w:space="0" w:color="auto"/>
            <w:right w:val="none" w:sz="0" w:space="0" w:color="auto"/>
          </w:divBdr>
        </w:div>
        <w:div w:id="849486498">
          <w:marLeft w:val="0"/>
          <w:marRight w:val="0"/>
          <w:marTop w:val="0"/>
          <w:marBottom w:val="0"/>
          <w:divBdr>
            <w:top w:val="none" w:sz="0" w:space="0" w:color="auto"/>
            <w:left w:val="none" w:sz="0" w:space="0" w:color="auto"/>
            <w:bottom w:val="none" w:sz="0" w:space="0" w:color="auto"/>
            <w:right w:val="none" w:sz="0" w:space="0" w:color="auto"/>
          </w:divBdr>
        </w:div>
        <w:div w:id="1200360958">
          <w:marLeft w:val="0"/>
          <w:marRight w:val="0"/>
          <w:marTop w:val="0"/>
          <w:marBottom w:val="0"/>
          <w:divBdr>
            <w:top w:val="none" w:sz="0" w:space="0" w:color="auto"/>
            <w:left w:val="none" w:sz="0" w:space="0" w:color="auto"/>
            <w:bottom w:val="none" w:sz="0" w:space="0" w:color="auto"/>
            <w:right w:val="none" w:sz="0" w:space="0" w:color="auto"/>
          </w:divBdr>
        </w:div>
        <w:div w:id="1321426949">
          <w:marLeft w:val="0"/>
          <w:marRight w:val="0"/>
          <w:marTop w:val="0"/>
          <w:marBottom w:val="0"/>
          <w:divBdr>
            <w:top w:val="none" w:sz="0" w:space="0" w:color="auto"/>
            <w:left w:val="none" w:sz="0" w:space="0" w:color="auto"/>
            <w:bottom w:val="none" w:sz="0" w:space="0" w:color="auto"/>
            <w:right w:val="none" w:sz="0" w:space="0" w:color="auto"/>
          </w:divBdr>
        </w:div>
        <w:div w:id="1605111583">
          <w:marLeft w:val="0"/>
          <w:marRight w:val="0"/>
          <w:marTop w:val="0"/>
          <w:marBottom w:val="0"/>
          <w:divBdr>
            <w:top w:val="none" w:sz="0" w:space="0" w:color="auto"/>
            <w:left w:val="none" w:sz="0" w:space="0" w:color="auto"/>
            <w:bottom w:val="none" w:sz="0" w:space="0" w:color="auto"/>
            <w:right w:val="none" w:sz="0" w:space="0" w:color="auto"/>
          </w:divBdr>
        </w:div>
      </w:divsChild>
    </w:div>
    <w:div w:id="555163976">
      <w:bodyDiv w:val="1"/>
      <w:marLeft w:val="0"/>
      <w:marRight w:val="0"/>
      <w:marTop w:val="0"/>
      <w:marBottom w:val="0"/>
      <w:divBdr>
        <w:top w:val="none" w:sz="0" w:space="0" w:color="auto"/>
        <w:left w:val="none" w:sz="0" w:space="0" w:color="auto"/>
        <w:bottom w:val="none" w:sz="0" w:space="0" w:color="auto"/>
        <w:right w:val="none" w:sz="0" w:space="0" w:color="auto"/>
      </w:divBdr>
    </w:div>
    <w:div w:id="555580886">
      <w:bodyDiv w:val="1"/>
      <w:marLeft w:val="0"/>
      <w:marRight w:val="0"/>
      <w:marTop w:val="0"/>
      <w:marBottom w:val="0"/>
      <w:divBdr>
        <w:top w:val="none" w:sz="0" w:space="0" w:color="auto"/>
        <w:left w:val="none" w:sz="0" w:space="0" w:color="auto"/>
        <w:bottom w:val="none" w:sz="0" w:space="0" w:color="auto"/>
        <w:right w:val="none" w:sz="0" w:space="0" w:color="auto"/>
      </w:divBdr>
    </w:div>
    <w:div w:id="558517331">
      <w:bodyDiv w:val="1"/>
      <w:marLeft w:val="0"/>
      <w:marRight w:val="0"/>
      <w:marTop w:val="0"/>
      <w:marBottom w:val="0"/>
      <w:divBdr>
        <w:top w:val="none" w:sz="0" w:space="0" w:color="auto"/>
        <w:left w:val="none" w:sz="0" w:space="0" w:color="auto"/>
        <w:bottom w:val="none" w:sz="0" w:space="0" w:color="auto"/>
        <w:right w:val="none" w:sz="0" w:space="0" w:color="auto"/>
      </w:divBdr>
    </w:div>
    <w:div w:id="569074048">
      <w:bodyDiv w:val="1"/>
      <w:marLeft w:val="0"/>
      <w:marRight w:val="0"/>
      <w:marTop w:val="0"/>
      <w:marBottom w:val="0"/>
      <w:divBdr>
        <w:top w:val="none" w:sz="0" w:space="0" w:color="auto"/>
        <w:left w:val="none" w:sz="0" w:space="0" w:color="auto"/>
        <w:bottom w:val="none" w:sz="0" w:space="0" w:color="auto"/>
        <w:right w:val="none" w:sz="0" w:space="0" w:color="auto"/>
      </w:divBdr>
    </w:div>
    <w:div w:id="572857311">
      <w:bodyDiv w:val="1"/>
      <w:marLeft w:val="0"/>
      <w:marRight w:val="0"/>
      <w:marTop w:val="0"/>
      <w:marBottom w:val="0"/>
      <w:divBdr>
        <w:top w:val="none" w:sz="0" w:space="0" w:color="auto"/>
        <w:left w:val="none" w:sz="0" w:space="0" w:color="auto"/>
        <w:bottom w:val="none" w:sz="0" w:space="0" w:color="auto"/>
        <w:right w:val="none" w:sz="0" w:space="0" w:color="auto"/>
      </w:divBdr>
      <w:divsChild>
        <w:div w:id="2636085">
          <w:marLeft w:val="0"/>
          <w:marRight w:val="0"/>
          <w:marTop w:val="0"/>
          <w:marBottom w:val="0"/>
          <w:divBdr>
            <w:top w:val="none" w:sz="0" w:space="0" w:color="auto"/>
            <w:left w:val="none" w:sz="0" w:space="0" w:color="auto"/>
            <w:bottom w:val="none" w:sz="0" w:space="0" w:color="auto"/>
            <w:right w:val="none" w:sz="0" w:space="0" w:color="auto"/>
          </w:divBdr>
        </w:div>
        <w:div w:id="739013445">
          <w:marLeft w:val="0"/>
          <w:marRight w:val="0"/>
          <w:marTop w:val="0"/>
          <w:marBottom w:val="0"/>
          <w:divBdr>
            <w:top w:val="none" w:sz="0" w:space="0" w:color="auto"/>
            <w:left w:val="none" w:sz="0" w:space="0" w:color="auto"/>
            <w:bottom w:val="none" w:sz="0" w:space="0" w:color="auto"/>
            <w:right w:val="none" w:sz="0" w:space="0" w:color="auto"/>
          </w:divBdr>
        </w:div>
        <w:div w:id="925848159">
          <w:marLeft w:val="0"/>
          <w:marRight w:val="0"/>
          <w:marTop w:val="0"/>
          <w:marBottom w:val="0"/>
          <w:divBdr>
            <w:top w:val="none" w:sz="0" w:space="0" w:color="auto"/>
            <w:left w:val="none" w:sz="0" w:space="0" w:color="auto"/>
            <w:bottom w:val="none" w:sz="0" w:space="0" w:color="auto"/>
            <w:right w:val="none" w:sz="0" w:space="0" w:color="auto"/>
          </w:divBdr>
        </w:div>
        <w:div w:id="1049107836">
          <w:marLeft w:val="0"/>
          <w:marRight w:val="0"/>
          <w:marTop w:val="0"/>
          <w:marBottom w:val="0"/>
          <w:divBdr>
            <w:top w:val="none" w:sz="0" w:space="0" w:color="auto"/>
            <w:left w:val="none" w:sz="0" w:space="0" w:color="auto"/>
            <w:bottom w:val="none" w:sz="0" w:space="0" w:color="auto"/>
            <w:right w:val="none" w:sz="0" w:space="0" w:color="auto"/>
          </w:divBdr>
        </w:div>
        <w:div w:id="2139107618">
          <w:marLeft w:val="0"/>
          <w:marRight w:val="0"/>
          <w:marTop w:val="0"/>
          <w:marBottom w:val="0"/>
          <w:divBdr>
            <w:top w:val="none" w:sz="0" w:space="0" w:color="auto"/>
            <w:left w:val="none" w:sz="0" w:space="0" w:color="auto"/>
            <w:bottom w:val="none" w:sz="0" w:space="0" w:color="auto"/>
            <w:right w:val="none" w:sz="0" w:space="0" w:color="auto"/>
          </w:divBdr>
        </w:div>
      </w:divsChild>
    </w:div>
    <w:div w:id="585042009">
      <w:bodyDiv w:val="1"/>
      <w:marLeft w:val="0"/>
      <w:marRight w:val="0"/>
      <w:marTop w:val="0"/>
      <w:marBottom w:val="0"/>
      <w:divBdr>
        <w:top w:val="none" w:sz="0" w:space="0" w:color="auto"/>
        <w:left w:val="none" w:sz="0" w:space="0" w:color="auto"/>
        <w:bottom w:val="none" w:sz="0" w:space="0" w:color="auto"/>
        <w:right w:val="none" w:sz="0" w:space="0" w:color="auto"/>
      </w:divBdr>
    </w:div>
    <w:div w:id="597063199">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599140354">
      <w:bodyDiv w:val="1"/>
      <w:marLeft w:val="0"/>
      <w:marRight w:val="0"/>
      <w:marTop w:val="0"/>
      <w:marBottom w:val="0"/>
      <w:divBdr>
        <w:top w:val="none" w:sz="0" w:space="0" w:color="auto"/>
        <w:left w:val="none" w:sz="0" w:space="0" w:color="auto"/>
        <w:bottom w:val="none" w:sz="0" w:space="0" w:color="auto"/>
        <w:right w:val="none" w:sz="0" w:space="0" w:color="auto"/>
      </w:divBdr>
    </w:div>
    <w:div w:id="607198410">
      <w:bodyDiv w:val="1"/>
      <w:marLeft w:val="0"/>
      <w:marRight w:val="0"/>
      <w:marTop w:val="0"/>
      <w:marBottom w:val="0"/>
      <w:divBdr>
        <w:top w:val="none" w:sz="0" w:space="0" w:color="auto"/>
        <w:left w:val="none" w:sz="0" w:space="0" w:color="auto"/>
        <w:bottom w:val="none" w:sz="0" w:space="0" w:color="auto"/>
        <w:right w:val="none" w:sz="0" w:space="0" w:color="auto"/>
      </w:divBdr>
    </w:div>
    <w:div w:id="610281848">
      <w:bodyDiv w:val="1"/>
      <w:marLeft w:val="0"/>
      <w:marRight w:val="0"/>
      <w:marTop w:val="0"/>
      <w:marBottom w:val="0"/>
      <w:divBdr>
        <w:top w:val="none" w:sz="0" w:space="0" w:color="auto"/>
        <w:left w:val="none" w:sz="0" w:space="0" w:color="auto"/>
        <w:bottom w:val="none" w:sz="0" w:space="0" w:color="auto"/>
        <w:right w:val="none" w:sz="0" w:space="0" w:color="auto"/>
      </w:divBdr>
    </w:div>
    <w:div w:id="613632041">
      <w:bodyDiv w:val="1"/>
      <w:marLeft w:val="0"/>
      <w:marRight w:val="0"/>
      <w:marTop w:val="0"/>
      <w:marBottom w:val="0"/>
      <w:divBdr>
        <w:top w:val="none" w:sz="0" w:space="0" w:color="auto"/>
        <w:left w:val="none" w:sz="0" w:space="0" w:color="auto"/>
        <w:bottom w:val="none" w:sz="0" w:space="0" w:color="auto"/>
        <w:right w:val="none" w:sz="0" w:space="0" w:color="auto"/>
      </w:divBdr>
    </w:div>
    <w:div w:id="617105060">
      <w:bodyDiv w:val="1"/>
      <w:marLeft w:val="0"/>
      <w:marRight w:val="0"/>
      <w:marTop w:val="0"/>
      <w:marBottom w:val="0"/>
      <w:divBdr>
        <w:top w:val="none" w:sz="0" w:space="0" w:color="auto"/>
        <w:left w:val="none" w:sz="0" w:space="0" w:color="auto"/>
        <w:bottom w:val="none" w:sz="0" w:space="0" w:color="auto"/>
        <w:right w:val="none" w:sz="0" w:space="0" w:color="auto"/>
      </w:divBdr>
    </w:div>
    <w:div w:id="618686076">
      <w:bodyDiv w:val="1"/>
      <w:marLeft w:val="0"/>
      <w:marRight w:val="0"/>
      <w:marTop w:val="0"/>
      <w:marBottom w:val="0"/>
      <w:divBdr>
        <w:top w:val="none" w:sz="0" w:space="0" w:color="auto"/>
        <w:left w:val="none" w:sz="0" w:space="0" w:color="auto"/>
        <w:bottom w:val="none" w:sz="0" w:space="0" w:color="auto"/>
        <w:right w:val="none" w:sz="0" w:space="0" w:color="auto"/>
      </w:divBdr>
    </w:div>
    <w:div w:id="621040715">
      <w:bodyDiv w:val="1"/>
      <w:marLeft w:val="0"/>
      <w:marRight w:val="0"/>
      <w:marTop w:val="0"/>
      <w:marBottom w:val="0"/>
      <w:divBdr>
        <w:top w:val="none" w:sz="0" w:space="0" w:color="auto"/>
        <w:left w:val="none" w:sz="0" w:space="0" w:color="auto"/>
        <w:bottom w:val="none" w:sz="0" w:space="0" w:color="auto"/>
        <w:right w:val="none" w:sz="0" w:space="0" w:color="auto"/>
      </w:divBdr>
    </w:div>
    <w:div w:id="627442276">
      <w:bodyDiv w:val="1"/>
      <w:marLeft w:val="0"/>
      <w:marRight w:val="0"/>
      <w:marTop w:val="0"/>
      <w:marBottom w:val="0"/>
      <w:divBdr>
        <w:top w:val="none" w:sz="0" w:space="0" w:color="auto"/>
        <w:left w:val="none" w:sz="0" w:space="0" w:color="auto"/>
        <w:bottom w:val="none" w:sz="0" w:space="0" w:color="auto"/>
        <w:right w:val="none" w:sz="0" w:space="0" w:color="auto"/>
      </w:divBdr>
    </w:div>
    <w:div w:id="638540112">
      <w:bodyDiv w:val="1"/>
      <w:marLeft w:val="0"/>
      <w:marRight w:val="0"/>
      <w:marTop w:val="0"/>
      <w:marBottom w:val="0"/>
      <w:divBdr>
        <w:top w:val="none" w:sz="0" w:space="0" w:color="auto"/>
        <w:left w:val="none" w:sz="0" w:space="0" w:color="auto"/>
        <w:bottom w:val="none" w:sz="0" w:space="0" w:color="auto"/>
        <w:right w:val="none" w:sz="0" w:space="0" w:color="auto"/>
      </w:divBdr>
    </w:div>
    <w:div w:id="640576657">
      <w:bodyDiv w:val="1"/>
      <w:marLeft w:val="0"/>
      <w:marRight w:val="0"/>
      <w:marTop w:val="0"/>
      <w:marBottom w:val="0"/>
      <w:divBdr>
        <w:top w:val="none" w:sz="0" w:space="0" w:color="auto"/>
        <w:left w:val="none" w:sz="0" w:space="0" w:color="auto"/>
        <w:bottom w:val="none" w:sz="0" w:space="0" w:color="auto"/>
        <w:right w:val="none" w:sz="0" w:space="0" w:color="auto"/>
      </w:divBdr>
    </w:div>
    <w:div w:id="640960400">
      <w:bodyDiv w:val="1"/>
      <w:marLeft w:val="0"/>
      <w:marRight w:val="0"/>
      <w:marTop w:val="0"/>
      <w:marBottom w:val="0"/>
      <w:divBdr>
        <w:top w:val="none" w:sz="0" w:space="0" w:color="auto"/>
        <w:left w:val="none" w:sz="0" w:space="0" w:color="auto"/>
        <w:bottom w:val="none" w:sz="0" w:space="0" w:color="auto"/>
        <w:right w:val="none" w:sz="0" w:space="0" w:color="auto"/>
      </w:divBdr>
    </w:div>
    <w:div w:id="640961733">
      <w:bodyDiv w:val="1"/>
      <w:marLeft w:val="0"/>
      <w:marRight w:val="0"/>
      <w:marTop w:val="0"/>
      <w:marBottom w:val="0"/>
      <w:divBdr>
        <w:top w:val="none" w:sz="0" w:space="0" w:color="auto"/>
        <w:left w:val="none" w:sz="0" w:space="0" w:color="auto"/>
        <w:bottom w:val="none" w:sz="0" w:space="0" w:color="auto"/>
        <w:right w:val="none" w:sz="0" w:space="0" w:color="auto"/>
      </w:divBdr>
    </w:div>
    <w:div w:id="646593813">
      <w:bodyDiv w:val="1"/>
      <w:marLeft w:val="0"/>
      <w:marRight w:val="0"/>
      <w:marTop w:val="0"/>
      <w:marBottom w:val="0"/>
      <w:divBdr>
        <w:top w:val="none" w:sz="0" w:space="0" w:color="auto"/>
        <w:left w:val="none" w:sz="0" w:space="0" w:color="auto"/>
        <w:bottom w:val="none" w:sz="0" w:space="0" w:color="auto"/>
        <w:right w:val="none" w:sz="0" w:space="0" w:color="auto"/>
      </w:divBdr>
    </w:div>
    <w:div w:id="646781987">
      <w:bodyDiv w:val="1"/>
      <w:marLeft w:val="0"/>
      <w:marRight w:val="0"/>
      <w:marTop w:val="0"/>
      <w:marBottom w:val="0"/>
      <w:divBdr>
        <w:top w:val="none" w:sz="0" w:space="0" w:color="auto"/>
        <w:left w:val="none" w:sz="0" w:space="0" w:color="auto"/>
        <w:bottom w:val="none" w:sz="0" w:space="0" w:color="auto"/>
        <w:right w:val="none" w:sz="0" w:space="0" w:color="auto"/>
      </w:divBdr>
    </w:div>
    <w:div w:id="649096782">
      <w:bodyDiv w:val="1"/>
      <w:marLeft w:val="0"/>
      <w:marRight w:val="0"/>
      <w:marTop w:val="0"/>
      <w:marBottom w:val="0"/>
      <w:divBdr>
        <w:top w:val="none" w:sz="0" w:space="0" w:color="auto"/>
        <w:left w:val="none" w:sz="0" w:space="0" w:color="auto"/>
        <w:bottom w:val="none" w:sz="0" w:space="0" w:color="auto"/>
        <w:right w:val="none" w:sz="0" w:space="0" w:color="auto"/>
      </w:divBdr>
    </w:div>
    <w:div w:id="659423870">
      <w:bodyDiv w:val="1"/>
      <w:marLeft w:val="0"/>
      <w:marRight w:val="0"/>
      <w:marTop w:val="0"/>
      <w:marBottom w:val="0"/>
      <w:divBdr>
        <w:top w:val="none" w:sz="0" w:space="0" w:color="auto"/>
        <w:left w:val="none" w:sz="0" w:space="0" w:color="auto"/>
        <w:bottom w:val="none" w:sz="0" w:space="0" w:color="auto"/>
        <w:right w:val="none" w:sz="0" w:space="0" w:color="auto"/>
      </w:divBdr>
    </w:div>
    <w:div w:id="663974321">
      <w:bodyDiv w:val="1"/>
      <w:marLeft w:val="0"/>
      <w:marRight w:val="0"/>
      <w:marTop w:val="0"/>
      <w:marBottom w:val="0"/>
      <w:divBdr>
        <w:top w:val="none" w:sz="0" w:space="0" w:color="auto"/>
        <w:left w:val="none" w:sz="0" w:space="0" w:color="auto"/>
        <w:bottom w:val="none" w:sz="0" w:space="0" w:color="auto"/>
        <w:right w:val="none" w:sz="0" w:space="0" w:color="auto"/>
      </w:divBdr>
    </w:div>
    <w:div w:id="665786697">
      <w:bodyDiv w:val="1"/>
      <w:marLeft w:val="0"/>
      <w:marRight w:val="0"/>
      <w:marTop w:val="0"/>
      <w:marBottom w:val="0"/>
      <w:divBdr>
        <w:top w:val="none" w:sz="0" w:space="0" w:color="auto"/>
        <w:left w:val="none" w:sz="0" w:space="0" w:color="auto"/>
        <w:bottom w:val="none" w:sz="0" w:space="0" w:color="auto"/>
        <w:right w:val="none" w:sz="0" w:space="0" w:color="auto"/>
      </w:divBdr>
    </w:div>
    <w:div w:id="667907622">
      <w:bodyDiv w:val="1"/>
      <w:marLeft w:val="0"/>
      <w:marRight w:val="0"/>
      <w:marTop w:val="0"/>
      <w:marBottom w:val="0"/>
      <w:divBdr>
        <w:top w:val="none" w:sz="0" w:space="0" w:color="auto"/>
        <w:left w:val="none" w:sz="0" w:space="0" w:color="auto"/>
        <w:bottom w:val="none" w:sz="0" w:space="0" w:color="auto"/>
        <w:right w:val="none" w:sz="0" w:space="0" w:color="auto"/>
      </w:divBdr>
    </w:div>
    <w:div w:id="670984333">
      <w:bodyDiv w:val="1"/>
      <w:marLeft w:val="0"/>
      <w:marRight w:val="0"/>
      <w:marTop w:val="0"/>
      <w:marBottom w:val="0"/>
      <w:divBdr>
        <w:top w:val="none" w:sz="0" w:space="0" w:color="auto"/>
        <w:left w:val="none" w:sz="0" w:space="0" w:color="auto"/>
        <w:bottom w:val="none" w:sz="0" w:space="0" w:color="auto"/>
        <w:right w:val="none" w:sz="0" w:space="0" w:color="auto"/>
      </w:divBdr>
    </w:div>
    <w:div w:id="671182137">
      <w:bodyDiv w:val="1"/>
      <w:marLeft w:val="0"/>
      <w:marRight w:val="0"/>
      <w:marTop w:val="0"/>
      <w:marBottom w:val="0"/>
      <w:divBdr>
        <w:top w:val="none" w:sz="0" w:space="0" w:color="auto"/>
        <w:left w:val="none" w:sz="0" w:space="0" w:color="auto"/>
        <w:bottom w:val="none" w:sz="0" w:space="0" w:color="auto"/>
        <w:right w:val="none" w:sz="0" w:space="0" w:color="auto"/>
      </w:divBdr>
    </w:div>
    <w:div w:id="682512348">
      <w:bodyDiv w:val="1"/>
      <w:marLeft w:val="0"/>
      <w:marRight w:val="0"/>
      <w:marTop w:val="0"/>
      <w:marBottom w:val="0"/>
      <w:divBdr>
        <w:top w:val="none" w:sz="0" w:space="0" w:color="auto"/>
        <w:left w:val="none" w:sz="0" w:space="0" w:color="auto"/>
        <w:bottom w:val="none" w:sz="0" w:space="0" w:color="auto"/>
        <w:right w:val="none" w:sz="0" w:space="0" w:color="auto"/>
      </w:divBdr>
    </w:div>
    <w:div w:id="698892266">
      <w:bodyDiv w:val="1"/>
      <w:marLeft w:val="0"/>
      <w:marRight w:val="0"/>
      <w:marTop w:val="0"/>
      <w:marBottom w:val="0"/>
      <w:divBdr>
        <w:top w:val="none" w:sz="0" w:space="0" w:color="auto"/>
        <w:left w:val="none" w:sz="0" w:space="0" w:color="auto"/>
        <w:bottom w:val="none" w:sz="0" w:space="0" w:color="auto"/>
        <w:right w:val="none" w:sz="0" w:space="0" w:color="auto"/>
      </w:divBdr>
      <w:divsChild>
        <w:div w:id="93717862">
          <w:marLeft w:val="0"/>
          <w:marRight w:val="0"/>
          <w:marTop w:val="0"/>
          <w:marBottom w:val="0"/>
          <w:divBdr>
            <w:top w:val="none" w:sz="0" w:space="0" w:color="auto"/>
            <w:left w:val="none" w:sz="0" w:space="0" w:color="auto"/>
            <w:bottom w:val="none" w:sz="0" w:space="0" w:color="auto"/>
            <w:right w:val="none" w:sz="0" w:space="0" w:color="auto"/>
          </w:divBdr>
        </w:div>
        <w:div w:id="554270666">
          <w:marLeft w:val="0"/>
          <w:marRight w:val="0"/>
          <w:marTop w:val="0"/>
          <w:marBottom w:val="0"/>
          <w:divBdr>
            <w:top w:val="none" w:sz="0" w:space="0" w:color="auto"/>
            <w:left w:val="none" w:sz="0" w:space="0" w:color="auto"/>
            <w:bottom w:val="none" w:sz="0" w:space="0" w:color="auto"/>
            <w:right w:val="none" w:sz="0" w:space="0" w:color="auto"/>
          </w:divBdr>
        </w:div>
        <w:div w:id="966010197">
          <w:marLeft w:val="0"/>
          <w:marRight w:val="0"/>
          <w:marTop w:val="0"/>
          <w:marBottom w:val="0"/>
          <w:divBdr>
            <w:top w:val="none" w:sz="0" w:space="0" w:color="auto"/>
            <w:left w:val="none" w:sz="0" w:space="0" w:color="auto"/>
            <w:bottom w:val="none" w:sz="0" w:space="0" w:color="auto"/>
            <w:right w:val="none" w:sz="0" w:space="0" w:color="auto"/>
          </w:divBdr>
        </w:div>
        <w:div w:id="1079325443">
          <w:marLeft w:val="0"/>
          <w:marRight w:val="0"/>
          <w:marTop w:val="0"/>
          <w:marBottom w:val="0"/>
          <w:divBdr>
            <w:top w:val="none" w:sz="0" w:space="0" w:color="auto"/>
            <w:left w:val="none" w:sz="0" w:space="0" w:color="auto"/>
            <w:bottom w:val="none" w:sz="0" w:space="0" w:color="auto"/>
            <w:right w:val="none" w:sz="0" w:space="0" w:color="auto"/>
          </w:divBdr>
        </w:div>
        <w:div w:id="1716541077">
          <w:marLeft w:val="0"/>
          <w:marRight w:val="0"/>
          <w:marTop w:val="0"/>
          <w:marBottom w:val="0"/>
          <w:divBdr>
            <w:top w:val="none" w:sz="0" w:space="0" w:color="auto"/>
            <w:left w:val="none" w:sz="0" w:space="0" w:color="auto"/>
            <w:bottom w:val="none" w:sz="0" w:space="0" w:color="auto"/>
            <w:right w:val="none" w:sz="0" w:space="0" w:color="auto"/>
          </w:divBdr>
        </w:div>
      </w:divsChild>
    </w:div>
    <w:div w:id="708069518">
      <w:bodyDiv w:val="1"/>
      <w:marLeft w:val="0"/>
      <w:marRight w:val="0"/>
      <w:marTop w:val="0"/>
      <w:marBottom w:val="0"/>
      <w:divBdr>
        <w:top w:val="none" w:sz="0" w:space="0" w:color="auto"/>
        <w:left w:val="none" w:sz="0" w:space="0" w:color="auto"/>
        <w:bottom w:val="none" w:sz="0" w:space="0" w:color="auto"/>
        <w:right w:val="none" w:sz="0" w:space="0" w:color="auto"/>
      </w:divBdr>
      <w:divsChild>
        <w:div w:id="1367558702">
          <w:marLeft w:val="0"/>
          <w:marRight w:val="0"/>
          <w:marTop w:val="0"/>
          <w:marBottom w:val="0"/>
          <w:divBdr>
            <w:top w:val="none" w:sz="0" w:space="0" w:color="auto"/>
            <w:left w:val="none" w:sz="0" w:space="0" w:color="auto"/>
            <w:bottom w:val="none" w:sz="0" w:space="0" w:color="auto"/>
            <w:right w:val="none" w:sz="0" w:space="0" w:color="auto"/>
          </w:divBdr>
        </w:div>
        <w:div w:id="1478909804">
          <w:marLeft w:val="0"/>
          <w:marRight w:val="0"/>
          <w:marTop w:val="0"/>
          <w:marBottom w:val="0"/>
          <w:divBdr>
            <w:top w:val="none" w:sz="0" w:space="0" w:color="auto"/>
            <w:left w:val="none" w:sz="0" w:space="0" w:color="auto"/>
            <w:bottom w:val="none" w:sz="0" w:space="0" w:color="auto"/>
            <w:right w:val="none" w:sz="0" w:space="0" w:color="auto"/>
          </w:divBdr>
        </w:div>
        <w:div w:id="1959945708">
          <w:marLeft w:val="0"/>
          <w:marRight w:val="0"/>
          <w:marTop w:val="0"/>
          <w:marBottom w:val="0"/>
          <w:divBdr>
            <w:top w:val="none" w:sz="0" w:space="0" w:color="auto"/>
            <w:left w:val="none" w:sz="0" w:space="0" w:color="auto"/>
            <w:bottom w:val="none" w:sz="0" w:space="0" w:color="auto"/>
            <w:right w:val="none" w:sz="0" w:space="0" w:color="auto"/>
          </w:divBdr>
        </w:div>
      </w:divsChild>
    </w:div>
    <w:div w:id="708259707">
      <w:bodyDiv w:val="1"/>
      <w:marLeft w:val="0"/>
      <w:marRight w:val="0"/>
      <w:marTop w:val="0"/>
      <w:marBottom w:val="0"/>
      <w:divBdr>
        <w:top w:val="none" w:sz="0" w:space="0" w:color="auto"/>
        <w:left w:val="none" w:sz="0" w:space="0" w:color="auto"/>
        <w:bottom w:val="none" w:sz="0" w:space="0" w:color="auto"/>
        <w:right w:val="none" w:sz="0" w:space="0" w:color="auto"/>
      </w:divBdr>
    </w:div>
    <w:div w:id="720715236">
      <w:bodyDiv w:val="1"/>
      <w:marLeft w:val="0"/>
      <w:marRight w:val="0"/>
      <w:marTop w:val="0"/>
      <w:marBottom w:val="0"/>
      <w:divBdr>
        <w:top w:val="none" w:sz="0" w:space="0" w:color="auto"/>
        <w:left w:val="none" w:sz="0" w:space="0" w:color="auto"/>
        <w:bottom w:val="none" w:sz="0" w:space="0" w:color="auto"/>
        <w:right w:val="none" w:sz="0" w:space="0" w:color="auto"/>
      </w:divBdr>
    </w:div>
    <w:div w:id="727453888">
      <w:bodyDiv w:val="1"/>
      <w:marLeft w:val="0"/>
      <w:marRight w:val="0"/>
      <w:marTop w:val="0"/>
      <w:marBottom w:val="0"/>
      <w:divBdr>
        <w:top w:val="none" w:sz="0" w:space="0" w:color="auto"/>
        <w:left w:val="none" w:sz="0" w:space="0" w:color="auto"/>
        <w:bottom w:val="none" w:sz="0" w:space="0" w:color="auto"/>
        <w:right w:val="none" w:sz="0" w:space="0" w:color="auto"/>
      </w:divBdr>
    </w:div>
    <w:div w:id="737292118">
      <w:bodyDiv w:val="1"/>
      <w:marLeft w:val="0"/>
      <w:marRight w:val="0"/>
      <w:marTop w:val="0"/>
      <w:marBottom w:val="0"/>
      <w:divBdr>
        <w:top w:val="none" w:sz="0" w:space="0" w:color="auto"/>
        <w:left w:val="none" w:sz="0" w:space="0" w:color="auto"/>
        <w:bottom w:val="none" w:sz="0" w:space="0" w:color="auto"/>
        <w:right w:val="none" w:sz="0" w:space="0" w:color="auto"/>
      </w:divBdr>
    </w:div>
    <w:div w:id="740493562">
      <w:bodyDiv w:val="1"/>
      <w:marLeft w:val="0"/>
      <w:marRight w:val="0"/>
      <w:marTop w:val="0"/>
      <w:marBottom w:val="0"/>
      <w:divBdr>
        <w:top w:val="none" w:sz="0" w:space="0" w:color="auto"/>
        <w:left w:val="none" w:sz="0" w:space="0" w:color="auto"/>
        <w:bottom w:val="none" w:sz="0" w:space="0" w:color="auto"/>
        <w:right w:val="none" w:sz="0" w:space="0" w:color="auto"/>
      </w:divBdr>
      <w:divsChild>
        <w:div w:id="1279527697">
          <w:marLeft w:val="0"/>
          <w:marRight w:val="0"/>
          <w:marTop w:val="0"/>
          <w:marBottom w:val="0"/>
          <w:divBdr>
            <w:top w:val="none" w:sz="0" w:space="0" w:color="auto"/>
            <w:left w:val="none" w:sz="0" w:space="0" w:color="auto"/>
            <w:bottom w:val="none" w:sz="0" w:space="0" w:color="auto"/>
            <w:right w:val="none" w:sz="0" w:space="0" w:color="auto"/>
          </w:divBdr>
          <w:divsChild>
            <w:div w:id="995375837">
              <w:marLeft w:val="0"/>
              <w:marRight w:val="0"/>
              <w:marTop w:val="0"/>
              <w:marBottom w:val="0"/>
              <w:divBdr>
                <w:top w:val="none" w:sz="0" w:space="0" w:color="auto"/>
                <w:left w:val="none" w:sz="0" w:space="0" w:color="auto"/>
                <w:bottom w:val="none" w:sz="0" w:space="0" w:color="auto"/>
                <w:right w:val="none" w:sz="0" w:space="0" w:color="auto"/>
              </w:divBdr>
              <w:divsChild>
                <w:div w:id="331446886">
                  <w:marLeft w:val="0"/>
                  <w:marRight w:val="0"/>
                  <w:marTop w:val="0"/>
                  <w:marBottom w:val="0"/>
                  <w:divBdr>
                    <w:top w:val="none" w:sz="0" w:space="0" w:color="auto"/>
                    <w:left w:val="none" w:sz="0" w:space="0" w:color="auto"/>
                    <w:bottom w:val="none" w:sz="0" w:space="0" w:color="auto"/>
                    <w:right w:val="none" w:sz="0" w:space="0" w:color="auto"/>
                  </w:divBdr>
                  <w:divsChild>
                    <w:div w:id="1183276696">
                      <w:marLeft w:val="0"/>
                      <w:marRight w:val="0"/>
                      <w:marTop w:val="0"/>
                      <w:marBottom w:val="0"/>
                      <w:divBdr>
                        <w:top w:val="none" w:sz="0" w:space="0" w:color="auto"/>
                        <w:left w:val="none" w:sz="0" w:space="0" w:color="auto"/>
                        <w:bottom w:val="none" w:sz="0" w:space="0" w:color="auto"/>
                        <w:right w:val="none" w:sz="0" w:space="0" w:color="auto"/>
                      </w:divBdr>
                      <w:divsChild>
                        <w:div w:id="1373964894">
                          <w:marLeft w:val="0"/>
                          <w:marRight w:val="0"/>
                          <w:marTop w:val="0"/>
                          <w:marBottom w:val="0"/>
                          <w:divBdr>
                            <w:top w:val="none" w:sz="0" w:space="0" w:color="auto"/>
                            <w:left w:val="none" w:sz="0" w:space="0" w:color="auto"/>
                            <w:bottom w:val="none" w:sz="0" w:space="0" w:color="auto"/>
                            <w:right w:val="none" w:sz="0" w:space="0" w:color="auto"/>
                          </w:divBdr>
                          <w:divsChild>
                            <w:div w:id="14368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667454">
          <w:marLeft w:val="0"/>
          <w:marRight w:val="0"/>
          <w:marTop w:val="0"/>
          <w:marBottom w:val="0"/>
          <w:divBdr>
            <w:top w:val="none" w:sz="0" w:space="0" w:color="auto"/>
            <w:left w:val="none" w:sz="0" w:space="0" w:color="auto"/>
            <w:bottom w:val="none" w:sz="0" w:space="0" w:color="auto"/>
            <w:right w:val="none" w:sz="0" w:space="0" w:color="auto"/>
          </w:divBdr>
          <w:divsChild>
            <w:div w:id="1796872686">
              <w:marLeft w:val="0"/>
              <w:marRight w:val="0"/>
              <w:marTop w:val="0"/>
              <w:marBottom w:val="0"/>
              <w:divBdr>
                <w:top w:val="none" w:sz="0" w:space="0" w:color="auto"/>
                <w:left w:val="none" w:sz="0" w:space="0" w:color="auto"/>
                <w:bottom w:val="none" w:sz="0" w:space="0" w:color="auto"/>
                <w:right w:val="none" w:sz="0" w:space="0" w:color="auto"/>
              </w:divBdr>
              <w:divsChild>
                <w:div w:id="1027216074">
                  <w:marLeft w:val="0"/>
                  <w:marRight w:val="0"/>
                  <w:marTop w:val="0"/>
                  <w:marBottom w:val="0"/>
                  <w:divBdr>
                    <w:top w:val="none" w:sz="0" w:space="0" w:color="auto"/>
                    <w:left w:val="none" w:sz="0" w:space="0" w:color="auto"/>
                    <w:bottom w:val="none" w:sz="0" w:space="0" w:color="auto"/>
                    <w:right w:val="none" w:sz="0" w:space="0" w:color="auto"/>
                  </w:divBdr>
                  <w:divsChild>
                    <w:div w:id="800265883">
                      <w:marLeft w:val="0"/>
                      <w:marRight w:val="0"/>
                      <w:marTop w:val="0"/>
                      <w:marBottom w:val="0"/>
                      <w:divBdr>
                        <w:top w:val="none" w:sz="0" w:space="0" w:color="auto"/>
                        <w:left w:val="none" w:sz="0" w:space="0" w:color="auto"/>
                        <w:bottom w:val="none" w:sz="0" w:space="0" w:color="auto"/>
                        <w:right w:val="none" w:sz="0" w:space="0" w:color="auto"/>
                      </w:divBdr>
                      <w:divsChild>
                        <w:div w:id="2077048467">
                          <w:marLeft w:val="0"/>
                          <w:marRight w:val="0"/>
                          <w:marTop w:val="0"/>
                          <w:marBottom w:val="0"/>
                          <w:divBdr>
                            <w:top w:val="none" w:sz="0" w:space="0" w:color="auto"/>
                            <w:left w:val="none" w:sz="0" w:space="0" w:color="auto"/>
                            <w:bottom w:val="none" w:sz="0" w:space="0" w:color="auto"/>
                            <w:right w:val="none" w:sz="0" w:space="0" w:color="auto"/>
                          </w:divBdr>
                          <w:divsChild>
                            <w:div w:id="3917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98435">
      <w:bodyDiv w:val="1"/>
      <w:marLeft w:val="0"/>
      <w:marRight w:val="0"/>
      <w:marTop w:val="0"/>
      <w:marBottom w:val="0"/>
      <w:divBdr>
        <w:top w:val="none" w:sz="0" w:space="0" w:color="auto"/>
        <w:left w:val="none" w:sz="0" w:space="0" w:color="auto"/>
        <w:bottom w:val="none" w:sz="0" w:space="0" w:color="auto"/>
        <w:right w:val="none" w:sz="0" w:space="0" w:color="auto"/>
      </w:divBdr>
    </w:div>
    <w:div w:id="755057329">
      <w:bodyDiv w:val="1"/>
      <w:marLeft w:val="0"/>
      <w:marRight w:val="0"/>
      <w:marTop w:val="0"/>
      <w:marBottom w:val="0"/>
      <w:divBdr>
        <w:top w:val="none" w:sz="0" w:space="0" w:color="auto"/>
        <w:left w:val="none" w:sz="0" w:space="0" w:color="auto"/>
        <w:bottom w:val="none" w:sz="0" w:space="0" w:color="auto"/>
        <w:right w:val="none" w:sz="0" w:space="0" w:color="auto"/>
      </w:divBdr>
      <w:divsChild>
        <w:div w:id="55055550">
          <w:marLeft w:val="0"/>
          <w:marRight w:val="0"/>
          <w:marTop w:val="0"/>
          <w:marBottom w:val="0"/>
          <w:divBdr>
            <w:top w:val="none" w:sz="0" w:space="0" w:color="auto"/>
            <w:left w:val="none" w:sz="0" w:space="0" w:color="auto"/>
            <w:bottom w:val="none" w:sz="0" w:space="0" w:color="auto"/>
            <w:right w:val="none" w:sz="0" w:space="0" w:color="auto"/>
          </w:divBdr>
        </w:div>
        <w:div w:id="62802643">
          <w:marLeft w:val="0"/>
          <w:marRight w:val="0"/>
          <w:marTop w:val="0"/>
          <w:marBottom w:val="0"/>
          <w:divBdr>
            <w:top w:val="none" w:sz="0" w:space="0" w:color="auto"/>
            <w:left w:val="none" w:sz="0" w:space="0" w:color="auto"/>
            <w:bottom w:val="none" w:sz="0" w:space="0" w:color="auto"/>
            <w:right w:val="none" w:sz="0" w:space="0" w:color="auto"/>
          </w:divBdr>
        </w:div>
        <w:div w:id="802505311">
          <w:marLeft w:val="0"/>
          <w:marRight w:val="0"/>
          <w:marTop w:val="0"/>
          <w:marBottom w:val="0"/>
          <w:divBdr>
            <w:top w:val="none" w:sz="0" w:space="0" w:color="auto"/>
            <w:left w:val="none" w:sz="0" w:space="0" w:color="auto"/>
            <w:bottom w:val="none" w:sz="0" w:space="0" w:color="auto"/>
            <w:right w:val="none" w:sz="0" w:space="0" w:color="auto"/>
          </w:divBdr>
        </w:div>
        <w:div w:id="841242843">
          <w:marLeft w:val="0"/>
          <w:marRight w:val="0"/>
          <w:marTop w:val="0"/>
          <w:marBottom w:val="0"/>
          <w:divBdr>
            <w:top w:val="none" w:sz="0" w:space="0" w:color="auto"/>
            <w:left w:val="none" w:sz="0" w:space="0" w:color="auto"/>
            <w:bottom w:val="none" w:sz="0" w:space="0" w:color="auto"/>
            <w:right w:val="none" w:sz="0" w:space="0" w:color="auto"/>
          </w:divBdr>
        </w:div>
        <w:div w:id="1105809202">
          <w:marLeft w:val="0"/>
          <w:marRight w:val="0"/>
          <w:marTop w:val="0"/>
          <w:marBottom w:val="0"/>
          <w:divBdr>
            <w:top w:val="none" w:sz="0" w:space="0" w:color="auto"/>
            <w:left w:val="none" w:sz="0" w:space="0" w:color="auto"/>
            <w:bottom w:val="none" w:sz="0" w:space="0" w:color="auto"/>
            <w:right w:val="none" w:sz="0" w:space="0" w:color="auto"/>
          </w:divBdr>
        </w:div>
        <w:div w:id="1379427555">
          <w:marLeft w:val="0"/>
          <w:marRight w:val="0"/>
          <w:marTop w:val="0"/>
          <w:marBottom w:val="0"/>
          <w:divBdr>
            <w:top w:val="none" w:sz="0" w:space="0" w:color="auto"/>
            <w:left w:val="none" w:sz="0" w:space="0" w:color="auto"/>
            <w:bottom w:val="none" w:sz="0" w:space="0" w:color="auto"/>
            <w:right w:val="none" w:sz="0" w:space="0" w:color="auto"/>
          </w:divBdr>
        </w:div>
        <w:div w:id="1392196254">
          <w:marLeft w:val="0"/>
          <w:marRight w:val="0"/>
          <w:marTop w:val="0"/>
          <w:marBottom w:val="0"/>
          <w:divBdr>
            <w:top w:val="none" w:sz="0" w:space="0" w:color="auto"/>
            <w:left w:val="none" w:sz="0" w:space="0" w:color="auto"/>
            <w:bottom w:val="none" w:sz="0" w:space="0" w:color="auto"/>
            <w:right w:val="none" w:sz="0" w:space="0" w:color="auto"/>
          </w:divBdr>
        </w:div>
        <w:div w:id="1466973850">
          <w:marLeft w:val="0"/>
          <w:marRight w:val="0"/>
          <w:marTop w:val="0"/>
          <w:marBottom w:val="0"/>
          <w:divBdr>
            <w:top w:val="none" w:sz="0" w:space="0" w:color="auto"/>
            <w:left w:val="none" w:sz="0" w:space="0" w:color="auto"/>
            <w:bottom w:val="none" w:sz="0" w:space="0" w:color="auto"/>
            <w:right w:val="none" w:sz="0" w:space="0" w:color="auto"/>
          </w:divBdr>
        </w:div>
        <w:div w:id="1471052658">
          <w:marLeft w:val="0"/>
          <w:marRight w:val="0"/>
          <w:marTop w:val="0"/>
          <w:marBottom w:val="0"/>
          <w:divBdr>
            <w:top w:val="none" w:sz="0" w:space="0" w:color="auto"/>
            <w:left w:val="none" w:sz="0" w:space="0" w:color="auto"/>
            <w:bottom w:val="none" w:sz="0" w:space="0" w:color="auto"/>
            <w:right w:val="none" w:sz="0" w:space="0" w:color="auto"/>
          </w:divBdr>
        </w:div>
        <w:div w:id="1690719310">
          <w:marLeft w:val="0"/>
          <w:marRight w:val="0"/>
          <w:marTop w:val="0"/>
          <w:marBottom w:val="0"/>
          <w:divBdr>
            <w:top w:val="none" w:sz="0" w:space="0" w:color="auto"/>
            <w:left w:val="none" w:sz="0" w:space="0" w:color="auto"/>
            <w:bottom w:val="none" w:sz="0" w:space="0" w:color="auto"/>
            <w:right w:val="none" w:sz="0" w:space="0" w:color="auto"/>
          </w:divBdr>
        </w:div>
        <w:div w:id="1697123592">
          <w:marLeft w:val="0"/>
          <w:marRight w:val="0"/>
          <w:marTop w:val="0"/>
          <w:marBottom w:val="0"/>
          <w:divBdr>
            <w:top w:val="none" w:sz="0" w:space="0" w:color="auto"/>
            <w:left w:val="none" w:sz="0" w:space="0" w:color="auto"/>
            <w:bottom w:val="none" w:sz="0" w:space="0" w:color="auto"/>
            <w:right w:val="none" w:sz="0" w:space="0" w:color="auto"/>
          </w:divBdr>
        </w:div>
      </w:divsChild>
    </w:div>
    <w:div w:id="758913437">
      <w:bodyDiv w:val="1"/>
      <w:marLeft w:val="0"/>
      <w:marRight w:val="0"/>
      <w:marTop w:val="0"/>
      <w:marBottom w:val="0"/>
      <w:divBdr>
        <w:top w:val="none" w:sz="0" w:space="0" w:color="auto"/>
        <w:left w:val="none" w:sz="0" w:space="0" w:color="auto"/>
        <w:bottom w:val="none" w:sz="0" w:space="0" w:color="auto"/>
        <w:right w:val="none" w:sz="0" w:space="0" w:color="auto"/>
      </w:divBdr>
    </w:div>
    <w:div w:id="761146336">
      <w:bodyDiv w:val="1"/>
      <w:marLeft w:val="0"/>
      <w:marRight w:val="0"/>
      <w:marTop w:val="0"/>
      <w:marBottom w:val="0"/>
      <w:divBdr>
        <w:top w:val="none" w:sz="0" w:space="0" w:color="auto"/>
        <w:left w:val="none" w:sz="0" w:space="0" w:color="auto"/>
        <w:bottom w:val="none" w:sz="0" w:space="0" w:color="auto"/>
        <w:right w:val="none" w:sz="0" w:space="0" w:color="auto"/>
      </w:divBdr>
    </w:div>
    <w:div w:id="763494855">
      <w:bodyDiv w:val="1"/>
      <w:marLeft w:val="0"/>
      <w:marRight w:val="0"/>
      <w:marTop w:val="0"/>
      <w:marBottom w:val="0"/>
      <w:divBdr>
        <w:top w:val="none" w:sz="0" w:space="0" w:color="auto"/>
        <w:left w:val="none" w:sz="0" w:space="0" w:color="auto"/>
        <w:bottom w:val="none" w:sz="0" w:space="0" w:color="auto"/>
        <w:right w:val="none" w:sz="0" w:space="0" w:color="auto"/>
      </w:divBdr>
    </w:div>
    <w:div w:id="768426864">
      <w:bodyDiv w:val="1"/>
      <w:marLeft w:val="0"/>
      <w:marRight w:val="0"/>
      <w:marTop w:val="0"/>
      <w:marBottom w:val="0"/>
      <w:divBdr>
        <w:top w:val="none" w:sz="0" w:space="0" w:color="auto"/>
        <w:left w:val="none" w:sz="0" w:space="0" w:color="auto"/>
        <w:bottom w:val="none" w:sz="0" w:space="0" w:color="auto"/>
        <w:right w:val="none" w:sz="0" w:space="0" w:color="auto"/>
      </w:divBdr>
    </w:div>
    <w:div w:id="770127260">
      <w:bodyDiv w:val="1"/>
      <w:marLeft w:val="0"/>
      <w:marRight w:val="0"/>
      <w:marTop w:val="0"/>
      <w:marBottom w:val="0"/>
      <w:divBdr>
        <w:top w:val="none" w:sz="0" w:space="0" w:color="auto"/>
        <w:left w:val="none" w:sz="0" w:space="0" w:color="auto"/>
        <w:bottom w:val="none" w:sz="0" w:space="0" w:color="auto"/>
        <w:right w:val="none" w:sz="0" w:space="0" w:color="auto"/>
      </w:divBdr>
    </w:div>
    <w:div w:id="770971536">
      <w:bodyDiv w:val="1"/>
      <w:marLeft w:val="0"/>
      <w:marRight w:val="0"/>
      <w:marTop w:val="0"/>
      <w:marBottom w:val="0"/>
      <w:divBdr>
        <w:top w:val="none" w:sz="0" w:space="0" w:color="auto"/>
        <w:left w:val="none" w:sz="0" w:space="0" w:color="auto"/>
        <w:bottom w:val="none" w:sz="0" w:space="0" w:color="auto"/>
        <w:right w:val="none" w:sz="0" w:space="0" w:color="auto"/>
      </w:divBdr>
    </w:div>
    <w:div w:id="773945142">
      <w:bodyDiv w:val="1"/>
      <w:marLeft w:val="0"/>
      <w:marRight w:val="0"/>
      <w:marTop w:val="0"/>
      <w:marBottom w:val="0"/>
      <w:divBdr>
        <w:top w:val="none" w:sz="0" w:space="0" w:color="auto"/>
        <w:left w:val="none" w:sz="0" w:space="0" w:color="auto"/>
        <w:bottom w:val="none" w:sz="0" w:space="0" w:color="auto"/>
        <w:right w:val="none" w:sz="0" w:space="0" w:color="auto"/>
      </w:divBdr>
    </w:div>
    <w:div w:id="777330947">
      <w:bodyDiv w:val="1"/>
      <w:marLeft w:val="0"/>
      <w:marRight w:val="0"/>
      <w:marTop w:val="0"/>
      <w:marBottom w:val="0"/>
      <w:divBdr>
        <w:top w:val="none" w:sz="0" w:space="0" w:color="auto"/>
        <w:left w:val="none" w:sz="0" w:space="0" w:color="auto"/>
        <w:bottom w:val="none" w:sz="0" w:space="0" w:color="auto"/>
        <w:right w:val="none" w:sz="0" w:space="0" w:color="auto"/>
      </w:divBdr>
    </w:div>
    <w:div w:id="814640482">
      <w:bodyDiv w:val="1"/>
      <w:marLeft w:val="0"/>
      <w:marRight w:val="0"/>
      <w:marTop w:val="0"/>
      <w:marBottom w:val="0"/>
      <w:divBdr>
        <w:top w:val="none" w:sz="0" w:space="0" w:color="auto"/>
        <w:left w:val="none" w:sz="0" w:space="0" w:color="auto"/>
        <w:bottom w:val="none" w:sz="0" w:space="0" w:color="auto"/>
        <w:right w:val="none" w:sz="0" w:space="0" w:color="auto"/>
      </w:divBdr>
    </w:div>
    <w:div w:id="817918100">
      <w:bodyDiv w:val="1"/>
      <w:marLeft w:val="0"/>
      <w:marRight w:val="0"/>
      <w:marTop w:val="0"/>
      <w:marBottom w:val="0"/>
      <w:divBdr>
        <w:top w:val="none" w:sz="0" w:space="0" w:color="auto"/>
        <w:left w:val="none" w:sz="0" w:space="0" w:color="auto"/>
        <w:bottom w:val="none" w:sz="0" w:space="0" w:color="auto"/>
        <w:right w:val="none" w:sz="0" w:space="0" w:color="auto"/>
      </w:divBdr>
    </w:div>
    <w:div w:id="823738623">
      <w:bodyDiv w:val="1"/>
      <w:marLeft w:val="0"/>
      <w:marRight w:val="0"/>
      <w:marTop w:val="0"/>
      <w:marBottom w:val="0"/>
      <w:divBdr>
        <w:top w:val="none" w:sz="0" w:space="0" w:color="auto"/>
        <w:left w:val="none" w:sz="0" w:space="0" w:color="auto"/>
        <w:bottom w:val="none" w:sz="0" w:space="0" w:color="auto"/>
        <w:right w:val="none" w:sz="0" w:space="0" w:color="auto"/>
      </w:divBdr>
    </w:div>
    <w:div w:id="826477642">
      <w:bodyDiv w:val="1"/>
      <w:marLeft w:val="0"/>
      <w:marRight w:val="0"/>
      <w:marTop w:val="0"/>
      <w:marBottom w:val="0"/>
      <w:divBdr>
        <w:top w:val="none" w:sz="0" w:space="0" w:color="auto"/>
        <w:left w:val="none" w:sz="0" w:space="0" w:color="auto"/>
        <w:bottom w:val="none" w:sz="0" w:space="0" w:color="auto"/>
        <w:right w:val="none" w:sz="0" w:space="0" w:color="auto"/>
      </w:divBdr>
    </w:div>
    <w:div w:id="835264733">
      <w:bodyDiv w:val="1"/>
      <w:marLeft w:val="0"/>
      <w:marRight w:val="0"/>
      <w:marTop w:val="0"/>
      <w:marBottom w:val="0"/>
      <w:divBdr>
        <w:top w:val="none" w:sz="0" w:space="0" w:color="auto"/>
        <w:left w:val="none" w:sz="0" w:space="0" w:color="auto"/>
        <w:bottom w:val="none" w:sz="0" w:space="0" w:color="auto"/>
        <w:right w:val="none" w:sz="0" w:space="0" w:color="auto"/>
      </w:divBdr>
    </w:div>
    <w:div w:id="841705994">
      <w:bodyDiv w:val="1"/>
      <w:marLeft w:val="0"/>
      <w:marRight w:val="0"/>
      <w:marTop w:val="0"/>
      <w:marBottom w:val="0"/>
      <w:divBdr>
        <w:top w:val="none" w:sz="0" w:space="0" w:color="auto"/>
        <w:left w:val="none" w:sz="0" w:space="0" w:color="auto"/>
        <w:bottom w:val="none" w:sz="0" w:space="0" w:color="auto"/>
        <w:right w:val="none" w:sz="0" w:space="0" w:color="auto"/>
      </w:divBdr>
      <w:divsChild>
        <w:div w:id="189684337">
          <w:marLeft w:val="0"/>
          <w:marRight w:val="0"/>
          <w:marTop w:val="0"/>
          <w:marBottom w:val="0"/>
          <w:divBdr>
            <w:top w:val="none" w:sz="0" w:space="0" w:color="auto"/>
            <w:left w:val="none" w:sz="0" w:space="0" w:color="auto"/>
            <w:bottom w:val="none" w:sz="0" w:space="0" w:color="auto"/>
            <w:right w:val="none" w:sz="0" w:space="0" w:color="auto"/>
          </w:divBdr>
        </w:div>
        <w:div w:id="469369222">
          <w:marLeft w:val="0"/>
          <w:marRight w:val="0"/>
          <w:marTop w:val="0"/>
          <w:marBottom w:val="0"/>
          <w:divBdr>
            <w:top w:val="none" w:sz="0" w:space="0" w:color="auto"/>
            <w:left w:val="none" w:sz="0" w:space="0" w:color="auto"/>
            <w:bottom w:val="none" w:sz="0" w:space="0" w:color="auto"/>
            <w:right w:val="none" w:sz="0" w:space="0" w:color="auto"/>
          </w:divBdr>
        </w:div>
        <w:div w:id="1259604030">
          <w:marLeft w:val="0"/>
          <w:marRight w:val="0"/>
          <w:marTop w:val="0"/>
          <w:marBottom w:val="0"/>
          <w:divBdr>
            <w:top w:val="none" w:sz="0" w:space="0" w:color="auto"/>
            <w:left w:val="none" w:sz="0" w:space="0" w:color="auto"/>
            <w:bottom w:val="none" w:sz="0" w:space="0" w:color="auto"/>
            <w:right w:val="none" w:sz="0" w:space="0" w:color="auto"/>
          </w:divBdr>
        </w:div>
        <w:div w:id="1537229298">
          <w:marLeft w:val="0"/>
          <w:marRight w:val="0"/>
          <w:marTop w:val="0"/>
          <w:marBottom w:val="0"/>
          <w:divBdr>
            <w:top w:val="none" w:sz="0" w:space="0" w:color="auto"/>
            <w:left w:val="none" w:sz="0" w:space="0" w:color="auto"/>
            <w:bottom w:val="none" w:sz="0" w:space="0" w:color="auto"/>
            <w:right w:val="none" w:sz="0" w:space="0" w:color="auto"/>
          </w:divBdr>
        </w:div>
        <w:div w:id="1716001767">
          <w:marLeft w:val="0"/>
          <w:marRight w:val="0"/>
          <w:marTop w:val="0"/>
          <w:marBottom w:val="0"/>
          <w:divBdr>
            <w:top w:val="none" w:sz="0" w:space="0" w:color="auto"/>
            <w:left w:val="none" w:sz="0" w:space="0" w:color="auto"/>
            <w:bottom w:val="none" w:sz="0" w:space="0" w:color="auto"/>
            <w:right w:val="none" w:sz="0" w:space="0" w:color="auto"/>
          </w:divBdr>
        </w:div>
        <w:div w:id="1848445341">
          <w:marLeft w:val="0"/>
          <w:marRight w:val="0"/>
          <w:marTop w:val="0"/>
          <w:marBottom w:val="0"/>
          <w:divBdr>
            <w:top w:val="none" w:sz="0" w:space="0" w:color="auto"/>
            <w:left w:val="none" w:sz="0" w:space="0" w:color="auto"/>
            <w:bottom w:val="none" w:sz="0" w:space="0" w:color="auto"/>
            <w:right w:val="none" w:sz="0" w:space="0" w:color="auto"/>
          </w:divBdr>
        </w:div>
        <w:div w:id="1886136370">
          <w:marLeft w:val="0"/>
          <w:marRight w:val="0"/>
          <w:marTop w:val="0"/>
          <w:marBottom w:val="0"/>
          <w:divBdr>
            <w:top w:val="none" w:sz="0" w:space="0" w:color="auto"/>
            <w:left w:val="none" w:sz="0" w:space="0" w:color="auto"/>
            <w:bottom w:val="none" w:sz="0" w:space="0" w:color="auto"/>
            <w:right w:val="none" w:sz="0" w:space="0" w:color="auto"/>
          </w:divBdr>
        </w:div>
      </w:divsChild>
    </w:div>
    <w:div w:id="843209962">
      <w:bodyDiv w:val="1"/>
      <w:marLeft w:val="0"/>
      <w:marRight w:val="0"/>
      <w:marTop w:val="0"/>
      <w:marBottom w:val="0"/>
      <w:divBdr>
        <w:top w:val="none" w:sz="0" w:space="0" w:color="auto"/>
        <w:left w:val="none" w:sz="0" w:space="0" w:color="auto"/>
        <w:bottom w:val="none" w:sz="0" w:space="0" w:color="auto"/>
        <w:right w:val="none" w:sz="0" w:space="0" w:color="auto"/>
      </w:divBdr>
    </w:div>
    <w:div w:id="844438215">
      <w:bodyDiv w:val="1"/>
      <w:marLeft w:val="0"/>
      <w:marRight w:val="0"/>
      <w:marTop w:val="0"/>
      <w:marBottom w:val="0"/>
      <w:divBdr>
        <w:top w:val="none" w:sz="0" w:space="0" w:color="auto"/>
        <w:left w:val="none" w:sz="0" w:space="0" w:color="auto"/>
        <w:bottom w:val="none" w:sz="0" w:space="0" w:color="auto"/>
        <w:right w:val="none" w:sz="0" w:space="0" w:color="auto"/>
      </w:divBdr>
    </w:div>
    <w:div w:id="845092868">
      <w:bodyDiv w:val="1"/>
      <w:marLeft w:val="0"/>
      <w:marRight w:val="0"/>
      <w:marTop w:val="0"/>
      <w:marBottom w:val="0"/>
      <w:divBdr>
        <w:top w:val="none" w:sz="0" w:space="0" w:color="auto"/>
        <w:left w:val="none" w:sz="0" w:space="0" w:color="auto"/>
        <w:bottom w:val="none" w:sz="0" w:space="0" w:color="auto"/>
        <w:right w:val="none" w:sz="0" w:space="0" w:color="auto"/>
      </w:divBdr>
    </w:div>
    <w:div w:id="858394902">
      <w:bodyDiv w:val="1"/>
      <w:marLeft w:val="0"/>
      <w:marRight w:val="0"/>
      <w:marTop w:val="0"/>
      <w:marBottom w:val="0"/>
      <w:divBdr>
        <w:top w:val="none" w:sz="0" w:space="0" w:color="auto"/>
        <w:left w:val="none" w:sz="0" w:space="0" w:color="auto"/>
        <w:bottom w:val="none" w:sz="0" w:space="0" w:color="auto"/>
        <w:right w:val="none" w:sz="0" w:space="0" w:color="auto"/>
      </w:divBdr>
      <w:divsChild>
        <w:div w:id="161355265">
          <w:marLeft w:val="0"/>
          <w:marRight w:val="0"/>
          <w:marTop w:val="0"/>
          <w:marBottom w:val="0"/>
          <w:divBdr>
            <w:top w:val="none" w:sz="0" w:space="0" w:color="auto"/>
            <w:left w:val="none" w:sz="0" w:space="0" w:color="auto"/>
            <w:bottom w:val="none" w:sz="0" w:space="0" w:color="auto"/>
            <w:right w:val="none" w:sz="0" w:space="0" w:color="auto"/>
          </w:divBdr>
        </w:div>
        <w:div w:id="1064186101">
          <w:marLeft w:val="0"/>
          <w:marRight w:val="0"/>
          <w:marTop w:val="0"/>
          <w:marBottom w:val="0"/>
          <w:divBdr>
            <w:top w:val="none" w:sz="0" w:space="0" w:color="auto"/>
            <w:left w:val="none" w:sz="0" w:space="0" w:color="auto"/>
            <w:bottom w:val="none" w:sz="0" w:space="0" w:color="auto"/>
            <w:right w:val="none" w:sz="0" w:space="0" w:color="auto"/>
          </w:divBdr>
        </w:div>
      </w:divsChild>
    </w:div>
    <w:div w:id="860894041">
      <w:bodyDiv w:val="1"/>
      <w:marLeft w:val="0"/>
      <w:marRight w:val="0"/>
      <w:marTop w:val="0"/>
      <w:marBottom w:val="0"/>
      <w:divBdr>
        <w:top w:val="none" w:sz="0" w:space="0" w:color="auto"/>
        <w:left w:val="none" w:sz="0" w:space="0" w:color="auto"/>
        <w:bottom w:val="none" w:sz="0" w:space="0" w:color="auto"/>
        <w:right w:val="none" w:sz="0" w:space="0" w:color="auto"/>
      </w:divBdr>
      <w:divsChild>
        <w:div w:id="631718014">
          <w:marLeft w:val="274"/>
          <w:marRight w:val="0"/>
          <w:marTop w:val="0"/>
          <w:marBottom w:val="120"/>
          <w:divBdr>
            <w:top w:val="none" w:sz="0" w:space="0" w:color="auto"/>
            <w:left w:val="none" w:sz="0" w:space="0" w:color="auto"/>
            <w:bottom w:val="none" w:sz="0" w:space="0" w:color="auto"/>
            <w:right w:val="none" w:sz="0" w:space="0" w:color="auto"/>
          </w:divBdr>
        </w:div>
        <w:div w:id="876893104">
          <w:marLeft w:val="274"/>
          <w:marRight w:val="0"/>
          <w:marTop w:val="0"/>
          <w:marBottom w:val="120"/>
          <w:divBdr>
            <w:top w:val="none" w:sz="0" w:space="0" w:color="auto"/>
            <w:left w:val="none" w:sz="0" w:space="0" w:color="auto"/>
            <w:bottom w:val="none" w:sz="0" w:space="0" w:color="auto"/>
            <w:right w:val="none" w:sz="0" w:space="0" w:color="auto"/>
          </w:divBdr>
        </w:div>
      </w:divsChild>
    </w:div>
    <w:div w:id="862790949">
      <w:bodyDiv w:val="1"/>
      <w:marLeft w:val="0"/>
      <w:marRight w:val="0"/>
      <w:marTop w:val="0"/>
      <w:marBottom w:val="0"/>
      <w:divBdr>
        <w:top w:val="none" w:sz="0" w:space="0" w:color="auto"/>
        <w:left w:val="none" w:sz="0" w:space="0" w:color="auto"/>
        <w:bottom w:val="none" w:sz="0" w:space="0" w:color="auto"/>
        <w:right w:val="none" w:sz="0" w:space="0" w:color="auto"/>
      </w:divBdr>
    </w:div>
    <w:div w:id="868572056">
      <w:bodyDiv w:val="1"/>
      <w:marLeft w:val="0"/>
      <w:marRight w:val="0"/>
      <w:marTop w:val="0"/>
      <w:marBottom w:val="0"/>
      <w:divBdr>
        <w:top w:val="none" w:sz="0" w:space="0" w:color="auto"/>
        <w:left w:val="none" w:sz="0" w:space="0" w:color="auto"/>
        <w:bottom w:val="none" w:sz="0" w:space="0" w:color="auto"/>
        <w:right w:val="none" w:sz="0" w:space="0" w:color="auto"/>
      </w:divBdr>
    </w:div>
    <w:div w:id="868836554">
      <w:bodyDiv w:val="1"/>
      <w:marLeft w:val="0"/>
      <w:marRight w:val="0"/>
      <w:marTop w:val="0"/>
      <w:marBottom w:val="0"/>
      <w:divBdr>
        <w:top w:val="none" w:sz="0" w:space="0" w:color="auto"/>
        <w:left w:val="none" w:sz="0" w:space="0" w:color="auto"/>
        <w:bottom w:val="none" w:sz="0" w:space="0" w:color="auto"/>
        <w:right w:val="none" w:sz="0" w:space="0" w:color="auto"/>
      </w:divBdr>
    </w:div>
    <w:div w:id="869610634">
      <w:bodyDiv w:val="1"/>
      <w:marLeft w:val="0"/>
      <w:marRight w:val="0"/>
      <w:marTop w:val="0"/>
      <w:marBottom w:val="0"/>
      <w:divBdr>
        <w:top w:val="none" w:sz="0" w:space="0" w:color="auto"/>
        <w:left w:val="none" w:sz="0" w:space="0" w:color="auto"/>
        <w:bottom w:val="none" w:sz="0" w:space="0" w:color="auto"/>
        <w:right w:val="none" w:sz="0" w:space="0" w:color="auto"/>
      </w:divBdr>
    </w:div>
    <w:div w:id="870531653">
      <w:bodyDiv w:val="1"/>
      <w:marLeft w:val="0"/>
      <w:marRight w:val="0"/>
      <w:marTop w:val="0"/>
      <w:marBottom w:val="0"/>
      <w:divBdr>
        <w:top w:val="none" w:sz="0" w:space="0" w:color="auto"/>
        <w:left w:val="none" w:sz="0" w:space="0" w:color="auto"/>
        <w:bottom w:val="none" w:sz="0" w:space="0" w:color="auto"/>
        <w:right w:val="none" w:sz="0" w:space="0" w:color="auto"/>
      </w:divBdr>
    </w:div>
    <w:div w:id="873925279">
      <w:bodyDiv w:val="1"/>
      <w:marLeft w:val="0"/>
      <w:marRight w:val="0"/>
      <w:marTop w:val="0"/>
      <w:marBottom w:val="0"/>
      <w:divBdr>
        <w:top w:val="none" w:sz="0" w:space="0" w:color="auto"/>
        <w:left w:val="none" w:sz="0" w:space="0" w:color="auto"/>
        <w:bottom w:val="none" w:sz="0" w:space="0" w:color="auto"/>
        <w:right w:val="none" w:sz="0" w:space="0" w:color="auto"/>
      </w:divBdr>
      <w:divsChild>
        <w:div w:id="1196577025">
          <w:marLeft w:val="0"/>
          <w:marRight w:val="0"/>
          <w:marTop w:val="0"/>
          <w:marBottom w:val="0"/>
          <w:divBdr>
            <w:top w:val="none" w:sz="0" w:space="0" w:color="auto"/>
            <w:left w:val="none" w:sz="0" w:space="0" w:color="auto"/>
            <w:bottom w:val="none" w:sz="0" w:space="0" w:color="auto"/>
            <w:right w:val="none" w:sz="0" w:space="0" w:color="auto"/>
          </w:divBdr>
        </w:div>
        <w:div w:id="1248422694">
          <w:marLeft w:val="0"/>
          <w:marRight w:val="0"/>
          <w:marTop w:val="0"/>
          <w:marBottom w:val="0"/>
          <w:divBdr>
            <w:top w:val="none" w:sz="0" w:space="0" w:color="auto"/>
            <w:left w:val="none" w:sz="0" w:space="0" w:color="auto"/>
            <w:bottom w:val="none" w:sz="0" w:space="0" w:color="auto"/>
            <w:right w:val="none" w:sz="0" w:space="0" w:color="auto"/>
          </w:divBdr>
        </w:div>
      </w:divsChild>
    </w:div>
    <w:div w:id="882983357">
      <w:bodyDiv w:val="1"/>
      <w:marLeft w:val="0"/>
      <w:marRight w:val="0"/>
      <w:marTop w:val="0"/>
      <w:marBottom w:val="0"/>
      <w:divBdr>
        <w:top w:val="none" w:sz="0" w:space="0" w:color="auto"/>
        <w:left w:val="none" w:sz="0" w:space="0" w:color="auto"/>
        <w:bottom w:val="none" w:sz="0" w:space="0" w:color="auto"/>
        <w:right w:val="none" w:sz="0" w:space="0" w:color="auto"/>
      </w:divBdr>
    </w:div>
    <w:div w:id="888106236">
      <w:bodyDiv w:val="1"/>
      <w:marLeft w:val="0"/>
      <w:marRight w:val="0"/>
      <w:marTop w:val="0"/>
      <w:marBottom w:val="0"/>
      <w:divBdr>
        <w:top w:val="none" w:sz="0" w:space="0" w:color="auto"/>
        <w:left w:val="none" w:sz="0" w:space="0" w:color="auto"/>
        <w:bottom w:val="none" w:sz="0" w:space="0" w:color="auto"/>
        <w:right w:val="none" w:sz="0" w:space="0" w:color="auto"/>
      </w:divBdr>
    </w:div>
    <w:div w:id="888303182">
      <w:bodyDiv w:val="1"/>
      <w:marLeft w:val="0"/>
      <w:marRight w:val="0"/>
      <w:marTop w:val="0"/>
      <w:marBottom w:val="0"/>
      <w:divBdr>
        <w:top w:val="none" w:sz="0" w:space="0" w:color="auto"/>
        <w:left w:val="none" w:sz="0" w:space="0" w:color="auto"/>
        <w:bottom w:val="none" w:sz="0" w:space="0" w:color="auto"/>
        <w:right w:val="none" w:sz="0" w:space="0" w:color="auto"/>
      </w:divBdr>
      <w:divsChild>
        <w:div w:id="389620997">
          <w:marLeft w:val="0"/>
          <w:marRight w:val="0"/>
          <w:marTop w:val="0"/>
          <w:marBottom w:val="0"/>
          <w:divBdr>
            <w:top w:val="none" w:sz="0" w:space="0" w:color="auto"/>
            <w:left w:val="none" w:sz="0" w:space="0" w:color="auto"/>
            <w:bottom w:val="none" w:sz="0" w:space="0" w:color="auto"/>
            <w:right w:val="none" w:sz="0" w:space="0" w:color="auto"/>
          </w:divBdr>
        </w:div>
        <w:div w:id="534194877">
          <w:marLeft w:val="0"/>
          <w:marRight w:val="0"/>
          <w:marTop w:val="0"/>
          <w:marBottom w:val="0"/>
          <w:divBdr>
            <w:top w:val="none" w:sz="0" w:space="0" w:color="auto"/>
            <w:left w:val="none" w:sz="0" w:space="0" w:color="auto"/>
            <w:bottom w:val="none" w:sz="0" w:space="0" w:color="auto"/>
            <w:right w:val="none" w:sz="0" w:space="0" w:color="auto"/>
          </w:divBdr>
        </w:div>
        <w:div w:id="868102028">
          <w:marLeft w:val="0"/>
          <w:marRight w:val="0"/>
          <w:marTop w:val="0"/>
          <w:marBottom w:val="0"/>
          <w:divBdr>
            <w:top w:val="none" w:sz="0" w:space="0" w:color="auto"/>
            <w:left w:val="none" w:sz="0" w:space="0" w:color="auto"/>
            <w:bottom w:val="none" w:sz="0" w:space="0" w:color="auto"/>
            <w:right w:val="none" w:sz="0" w:space="0" w:color="auto"/>
          </w:divBdr>
        </w:div>
      </w:divsChild>
    </w:div>
    <w:div w:id="890071024">
      <w:bodyDiv w:val="1"/>
      <w:marLeft w:val="0"/>
      <w:marRight w:val="0"/>
      <w:marTop w:val="0"/>
      <w:marBottom w:val="0"/>
      <w:divBdr>
        <w:top w:val="none" w:sz="0" w:space="0" w:color="auto"/>
        <w:left w:val="none" w:sz="0" w:space="0" w:color="auto"/>
        <w:bottom w:val="none" w:sz="0" w:space="0" w:color="auto"/>
        <w:right w:val="none" w:sz="0" w:space="0" w:color="auto"/>
      </w:divBdr>
    </w:div>
    <w:div w:id="897402523">
      <w:bodyDiv w:val="1"/>
      <w:marLeft w:val="0"/>
      <w:marRight w:val="0"/>
      <w:marTop w:val="0"/>
      <w:marBottom w:val="0"/>
      <w:divBdr>
        <w:top w:val="none" w:sz="0" w:space="0" w:color="auto"/>
        <w:left w:val="none" w:sz="0" w:space="0" w:color="auto"/>
        <w:bottom w:val="none" w:sz="0" w:space="0" w:color="auto"/>
        <w:right w:val="none" w:sz="0" w:space="0" w:color="auto"/>
      </w:divBdr>
    </w:div>
    <w:div w:id="901410533">
      <w:bodyDiv w:val="1"/>
      <w:marLeft w:val="0"/>
      <w:marRight w:val="0"/>
      <w:marTop w:val="0"/>
      <w:marBottom w:val="0"/>
      <w:divBdr>
        <w:top w:val="none" w:sz="0" w:space="0" w:color="auto"/>
        <w:left w:val="none" w:sz="0" w:space="0" w:color="auto"/>
        <w:bottom w:val="none" w:sz="0" w:space="0" w:color="auto"/>
        <w:right w:val="none" w:sz="0" w:space="0" w:color="auto"/>
      </w:divBdr>
    </w:div>
    <w:div w:id="909383852">
      <w:bodyDiv w:val="1"/>
      <w:marLeft w:val="0"/>
      <w:marRight w:val="0"/>
      <w:marTop w:val="0"/>
      <w:marBottom w:val="0"/>
      <w:divBdr>
        <w:top w:val="none" w:sz="0" w:space="0" w:color="auto"/>
        <w:left w:val="none" w:sz="0" w:space="0" w:color="auto"/>
        <w:bottom w:val="none" w:sz="0" w:space="0" w:color="auto"/>
        <w:right w:val="none" w:sz="0" w:space="0" w:color="auto"/>
      </w:divBdr>
      <w:divsChild>
        <w:div w:id="309330415">
          <w:marLeft w:val="446"/>
          <w:marRight w:val="0"/>
          <w:marTop w:val="0"/>
          <w:marBottom w:val="0"/>
          <w:divBdr>
            <w:top w:val="none" w:sz="0" w:space="0" w:color="auto"/>
            <w:left w:val="none" w:sz="0" w:space="0" w:color="auto"/>
            <w:bottom w:val="none" w:sz="0" w:space="0" w:color="auto"/>
            <w:right w:val="none" w:sz="0" w:space="0" w:color="auto"/>
          </w:divBdr>
        </w:div>
        <w:div w:id="480315810">
          <w:marLeft w:val="446"/>
          <w:marRight w:val="0"/>
          <w:marTop w:val="0"/>
          <w:marBottom w:val="0"/>
          <w:divBdr>
            <w:top w:val="none" w:sz="0" w:space="0" w:color="auto"/>
            <w:left w:val="none" w:sz="0" w:space="0" w:color="auto"/>
            <w:bottom w:val="none" w:sz="0" w:space="0" w:color="auto"/>
            <w:right w:val="none" w:sz="0" w:space="0" w:color="auto"/>
          </w:divBdr>
        </w:div>
        <w:div w:id="974678821">
          <w:marLeft w:val="446"/>
          <w:marRight w:val="0"/>
          <w:marTop w:val="0"/>
          <w:marBottom w:val="0"/>
          <w:divBdr>
            <w:top w:val="none" w:sz="0" w:space="0" w:color="auto"/>
            <w:left w:val="none" w:sz="0" w:space="0" w:color="auto"/>
            <w:bottom w:val="none" w:sz="0" w:space="0" w:color="auto"/>
            <w:right w:val="none" w:sz="0" w:space="0" w:color="auto"/>
          </w:divBdr>
        </w:div>
        <w:div w:id="1280837470">
          <w:marLeft w:val="446"/>
          <w:marRight w:val="0"/>
          <w:marTop w:val="0"/>
          <w:marBottom w:val="0"/>
          <w:divBdr>
            <w:top w:val="none" w:sz="0" w:space="0" w:color="auto"/>
            <w:left w:val="none" w:sz="0" w:space="0" w:color="auto"/>
            <w:bottom w:val="none" w:sz="0" w:space="0" w:color="auto"/>
            <w:right w:val="none" w:sz="0" w:space="0" w:color="auto"/>
          </w:divBdr>
        </w:div>
        <w:div w:id="1441492314">
          <w:marLeft w:val="446"/>
          <w:marRight w:val="0"/>
          <w:marTop w:val="0"/>
          <w:marBottom w:val="0"/>
          <w:divBdr>
            <w:top w:val="none" w:sz="0" w:space="0" w:color="auto"/>
            <w:left w:val="none" w:sz="0" w:space="0" w:color="auto"/>
            <w:bottom w:val="none" w:sz="0" w:space="0" w:color="auto"/>
            <w:right w:val="none" w:sz="0" w:space="0" w:color="auto"/>
          </w:divBdr>
        </w:div>
        <w:div w:id="1811749562">
          <w:marLeft w:val="446"/>
          <w:marRight w:val="0"/>
          <w:marTop w:val="0"/>
          <w:marBottom w:val="0"/>
          <w:divBdr>
            <w:top w:val="none" w:sz="0" w:space="0" w:color="auto"/>
            <w:left w:val="none" w:sz="0" w:space="0" w:color="auto"/>
            <w:bottom w:val="none" w:sz="0" w:space="0" w:color="auto"/>
            <w:right w:val="none" w:sz="0" w:space="0" w:color="auto"/>
          </w:divBdr>
        </w:div>
      </w:divsChild>
    </w:div>
    <w:div w:id="914127246">
      <w:bodyDiv w:val="1"/>
      <w:marLeft w:val="0"/>
      <w:marRight w:val="0"/>
      <w:marTop w:val="0"/>
      <w:marBottom w:val="0"/>
      <w:divBdr>
        <w:top w:val="none" w:sz="0" w:space="0" w:color="auto"/>
        <w:left w:val="none" w:sz="0" w:space="0" w:color="auto"/>
        <w:bottom w:val="none" w:sz="0" w:space="0" w:color="auto"/>
        <w:right w:val="none" w:sz="0" w:space="0" w:color="auto"/>
      </w:divBdr>
    </w:div>
    <w:div w:id="920260051">
      <w:bodyDiv w:val="1"/>
      <w:marLeft w:val="0"/>
      <w:marRight w:val="0"/>
      <w:marTop w:val="0"/>
      <w:marBottom w:val="0"/>
      <w:divBdr>
        <w:top w:val="none" w:sz="0" w:space="0" w:color="auto"/>
        <w:left w:val="none" w:sz="0" w:space="0" w:color="auto"/>
        <w:bottom w:val="none" w:sz="0" w:space="0" w:color="auto"/>
        <w:right w:val="none" w:sz="0" w:space="0" w:color="auto"/>
      </w:divBdr>
    </w:div>
    <w:div w:id="923296711">
      <w:bodyDiv w:val="1"/>
      <w:marLeft w:val="0"/>
      <w:marRight w:val="0"/>
      <w:marTop w:val="0"/>
      <w:marBottom w:val="0"/>
      <w:divBdr>
        <w:top w:val="none" w:sz="0" w:space="0" w:color="auto"/>
        <w:left w:val="none" w:sz="0" w:space="0" w:color="auto"/>
        <w:bottom w:val="none" w:sz="0" w:space="0" w:color="auto"/>
        <w:right w:val="none" w:sz="0" w:space="0" w:color="auto"/>
      </w:divBdr>
      <w:divsChild>
        <w:div w:id="512260599">
          <w:marLeft w:val="0"/>
          <w:marRight w:val="0"/>
          <w:marTop w:val="0"/>
          <w:marBottom w:val="0"/>
          <w:divBdr>
            <w:top w:val="none" w:sz="0" w:space="0" w:color="auto"/>
            <w:left w:val="none" w:sz="0" w:space="0" w:color="auto"/>
            <w:bottom w:val="none" w:sz="0" w:space="0" w:color="auto"/>
            <w:right w:val="none" w:sz="0" w:space="0" w:color="auto"/>
          </w:divBdr>
          <w:divsChild>
            <w:div w:id="1625772312">
              <w:marLeft w:val="0"/>
              <w:marRight w:val="0"/>
              <w:marTop w:val="0"/>
              <w:marBottom w:val="0"/>
              <w:divBdr>
                <w:top w:val="none" w:sz="0" w:space="0" w:color="auto"/>
                <w:left w:val="none" w:sz="0" w:space="0" w:color="auto"/>
                <w:bottom w:val="none" w:sz="0" w:space="0" w:color="auto"/>
                <w:right w:val="none" w:sz="0" w:space="0" w:color="auto"/>
              </w:divBdr>
              <w:divsChild>
                <w:div w:id="515269902">
                  <w:marLeft w:val="0"/>
                  <w:marRight w:val="0"/>
                  <w:marTop w:val="0"/>
                  <w:marBottom w:val="0"/>
                  <w:divBdr>
                    <w:top w:val="none" w:sz="0" w:space="0" w:color="auto"/>
                    <w:left w:val="none" w:sz="0" w:space="0" w:color="auto"/>
                    <w:bottom w:val="none" w:sz="0" w:space="0" w:color="auto"/>
                    <w:right w:val="none" w:sz="0" w:space="0" w:color="auto"/>
                  </w:divBdr>
                  <w:divsChild>
                    <w:div w:id="1161969606">
                      <w:marLeft w:val="0"/>
                      <w:marRight w:val="0"/>
                      <w:marTop w:val="0"/>
                      <w:marBottom w:val="0"/>
                      <w:divBdr>
                        <w:top w:val="none" w:sz="0" w:space="0" w:color="auto"/>
                        <w:left w:val="none" w:sz="0" w:space="0" w:color="auto"/>
                        <w:bottom w:val="none" w:sz="0" w:space="0" w:color="auto"/>
                        <w:right w:val="none" w:sz="0" w:space="0" w:color="auto"/>
                      </w:divBdr>
                      <w:divsChild>
                        <w:div w:id="1340036734">
                          <w:marLeft w:val="0"/>
                          <w:marRight w:val="0"/>
                          <w:marTop w:val="0"/>
                          <w:marBottom w:val="0"/>
                          <w:divBdr>
                            <w:top w:val="none" w:sz="0" w:space="0" w:color="auto"/>
                            <w:left w:val="none" w:sz="0" w:space="0" w:color="auto"/>
                            <w:bottom w:val="none" w:sz="0" w:space="0" w:color="auto"/>
                            <w:right w:val="none" w:sz="0" w:space="0" w:color="auto"/>
                          </w:divBdr>
                          <w:divsChild>
                            <w:div w:id="787286068">
                              <w:marLeft w:val="0"/>
                              <w:marRight w:val="0"/>
                              <w:marTop w:val="0"/>
                              <w:marBottom w:val="0"/>
                              <w:divBdr>
                                <w:top w:val="none" w:sz="0" w:space="0" w:color="auto"/>
                                <w:left w:val="none" w:sz="0" w:space="0" w:color="auto"/>
                                <w:bottom w:val="none" w:sz="0" w:space="0" w:color="auto"/>
                                <w:right w:val="none" w:sz="0" w:space="0" w:color="auto"/>
                              </w:divBdr>
                              <w:divsChild>
                                <w:div w:id="9971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661773">
          <w:marLeft w:val="0"/>
          <w:marRight w:val="0"/>
          <w:marTop w:val="0"/>
          <w:marBottom w:val="0"/>
          <w:divBdr>
            <w:top w:val="none" w:sz="0" w:space="0" w:color="auto"/>
            <w:left w:val="none" w:sz="0" w:space="0" w:color="auto"/>
            <w:bottom w:val="none" w:sz="0" w:space="0" w:color="auto"/>
            <w:right w:val="none" w:sz="0" w:space="0" w:color="auto"/>
          </w:divBdr>
          <w:divsChild>
            <w:div w:id="313803572">
              <w:marLeft w:val="0"/>
              <w:marRight w:val="0"/>
              <w:marTop w:val="0"/>
              <w:marBottom w:val="0"/>
              <w:divBdr>
                <w:top w:val="none" w:sz="0" w:space="0" w:color="auto"/>
                <w:left w:val="none" w:sz="0" w:space="0" w:color="auto"/>
                <w:bottom w:val="none" w:sz="0" w:space="0" w:color="auto"/>
                <w:right w:val="none" w:sz="0" w:space="0" w:color="auto"/>
              </w:divBdr>
              <w:divsChild>
                <w:div w:id="237791770">
                  <w:marLeft w:val="0"/>
                  <w:marRight w:val="0"/>
                  <w:marTop w:val="0"/>
                  <w:marBottom w:val="0"/>
                  <w:divBdr>
                    <w:top w:val="none" w:sz="0" w:space="0" w:color="auto"/>
                    <w:left w:val="none" w:sz="0" w:space="0" w:color="auto"/>
                    <w:bottom w:val="none" w:sz="0" w:space="0" w:color="auto"/>
                    <w:right w:val="none" w:sz="0" w:space="0" w:color="auto"/>
                  </w:divBdr>
                  <w:divsChild>
                    <w:div w:id="2085447644">
                      <w:marLeft w:val="0"/>
                      <w:marRight w:val="0"/>
                      <w:marTop w:val="0"/>
                      <w:marBottom w:val="0"/>
                      <w:divBdr>
                        <w:top w:val="none" w:sz="0" w:space="0" w:color="auto"/>
                        <w:left w:val="none" w:sz="0" w:space="0" w:color="auto"/>
                        <w:bottom w:val="none" w:sz="0" w:space="0" w:color="auto"/>
                        <w:right w:val="none" w:sz="0" w:space="0" w:color="auto"/>
                      </w:divBdr>
                      <w:divsChild>
                        <w:div w:id="1172260615">
                          <w:marLeft w:val="0"/>
                          <w:marRight w:val="0"/>
                          <w:marTop w:val="0"/>
                          <w:marBottom w:val="0"/>
                          <w:divBdr>
                            <w:top w:val="none" w:sz="0" w:space="0" w:color="auto"/>
                            <w:left w:val="none" w:sz="0" w:space="0" w:color="auto"/>
                            <w:bottom w:val="none" w:sz="0" w:space="0" w:color="auto"/>
                            <w:right w:val="none" w:sz="0" w:space="0" w:color="auto"/>
                          </w:divBdr>
                          <w:divsChild>
                            <w:div w:id="543450081">
                              <w:marLeft w:val="0"/>
                              <w:marRight w:val="0"/>
                              <w:marTop w:val="0"/>
                              <w:marBottom w:val="0"/>
                              <w:divBdr>
                                <w:top w:val="none" w:sz="0" w:space="0" w:color="auto"/>
                                <w:left w:val="none" w:sz="0" w:space="0" w:color="auto"/>
                                <w:bottom w:val="none" w:sz="0" w:space="0" w:color="auto"/>
                                <w:right w:val="none" w:sz="0" w:space="0" w:color="auto"/>
                              </w:divBdr>
                              <w:divsChild>
                                <w:div w:id="9262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150711">
          <w:marLeft w:val="0"/>
          <w:marRight w:val="0"/>
          <w:marTop w:val="0"/>
          <w:marBottom w:val="0"/>
          <w:divBdr>
            <w:top w:val="none" w:sz="0" w:space="0" w:color="auto"/>
            <w:left w:val="none" w:sz="0" w:space="0" w:color="auto"/>
            <w:bottom w:val="none" w:sz="0" w:space="0" w:color="auto"/>
            <w:right w:val="none" w:sz="0" w:space="0" w:color="auto"/>
          </w:divBdr>
          <w:divsChild>
            <w:div w:id="992679299">
              <w:marLeft w:val="0"/>
              <w:marRight w:val="0"/>
              <w:marTop w:val="0"/>
              <w:marBottom w:val="0"/>
              <w:divBdr>
                <w:top w:val="none" w:sz="0" w:space="0" w:color="auto"/>
                <w:left w:val="none" w:sz="0" w:space="0" w:color="auto"/>
                <w:bottom w:val="none" w:sz="0" w:space="0" w:color="auto"/>
                <w:right w:val="none" w:sz="0" w:space="0" w:color="auto"/>
              </w:divBdr>
              <w:divsChild>
                <w:div w:id="1291129188">
                  <w:marLeft w:val="0"/>
                  <w:marRight w:val="0"/>
                  <w:marTop w:val="0"/>
                  <w:marBottom w:val="0"/>
                  <w:divBdr>
                    <w:top w:val="none" w:sz="0" w:space="0" w:color="auto"/>
                    <w:left w:val="none" w:sz="0" w:space="0" w:color="auto"/>
                    <w:bottom w:val="none" w:sz="0" w:space="0" w:color="auto"/>
                    <w:right w:val="none" w:sz="0" w:space="0" w:color="auto"/>
                  </w:divBdr>
                  <w:divsChild>
                    <w:div w:id="1123501670">
                      <w:marLeft w:val="0"/>
                      <w:marRight w:val="0"/>
                      <w:marTop w:val="0"/>
                      <w:marBottom w:val="0"/>
                      <w:divBdr>
                        <w:top w:val="none" w:sz="0" w:space="0" w:color="auto"/>
                        <w:left w:val="none" w:sz="0" w:space="0" w:color="auto"/>
                        <w:bottom w:val="none" w:sz="0" w:space="0" w:color="auto"/>
                        <w:right w:val="none" w:sz="0" w:space="0" w:color="auto"/>
                      </w:divBdr>
                      <w:divsChild>
                        <w:div w:id="244538623">
                          <w:marLeft w:val="0"/>
                          <w:marRight w:val="0"/>
                          <w:marTop w:val="0"/>
                          <w:marBottom w:val="0"/>
                          <w:divBdr>
                            <w:top w:val="none" w:sz="0" w:space="0" w:color="auto"/>
                            <w:left w:val="none" w:sz="0" w:space="0" w:color="auto"/>
                            <w:bottom w:val="none" w:sz="0" w:space="0" w:color="auto"/>
                            <w:right w:val="none" w:sz="0" w:space="0" w:color="auto"/>
                          </w:divBdr>
                          <w:divsChild>
                            <w:div w:id="968319730">
                              <w:marLeft w:val="0"/>
                              <w:marRight w:val="0"/>
                              <w:marTop w:val="0"/>
                              <w:marBottom w:val="0"/>
                              <w:divBdr>
                                <w:top w:val="none" w:sz="0" w:space="0" w:color="auto"/>
                                <w:left w:val="none" w:sz="0" w:space="0" w:color="auto"/>
                                <w:bottom w:val="none" w:sz="0" w:space="0" w:color="auto"/>
                                <w:right w:val="none" w:sz="0" w:space="0" w:color="auto"/>
                              </w:divBdr>
                              <w:divsChild>
                                <w:div w:id="35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903778">
          <w:marLeft w:val="0"/>
          <w:marRight w:val="0"/>
          <w:marTop w:val="0"/>
          <w:marBottom w:val="0"/>
          <w:divBdr>
            <w:top w:val="none" w:sz="0" w:space="0" w:color="auto"/>
            <w:left w:val="none" w:sz="0" w:space="0" w:color="auto"/>
            <w:bottom w:val="none" w:sz="0" w:space="0" w:color="auto"/>
            <w:right w:val="none" w:sz="0" w:space="0" w:color="auto"/>
          </w:divBdr>
          <w:divsChild>
            <w:div w:id="1297490876">
              <w:marLeft w:val="0"/>
              <w:marRight w:val="0"/>
              <w:marTop w:val="0"/>
              <w:marBottom w:val="0"/>
              <w:divBdr>
                <w:top w:val="none" w:sz="0" w:space="0" w:color="auto"/>
                <w:left w:val="none" w:sz="0" w:space="0" w:color="auto"/>
                <w:bottom w:val="none" w:sz="0" w:space="0" w:color="auto"/>
                <w:right w:val="none" w:sz="0" w:space="0" w:color="auto"/>
              </w:divBdr>
              <w:divsChild>
                <w:div w:id="644772644">
                  <w:marLeft w:val="0"/>
                  <w:marRight w:val="0"/>
                  <w:marTop w:val="0"/>
                  <w:marBottom w:val="0"/>
                  <w:divBdr>
                    <w:top w:val="none" w:sz="0" w:space="0" w:color="auto"/>
                    <w:left w:val="none" w:sz="0" w:space="0" w:color="auto"/>
                    <w:bottom w:val="none" w:sz="0" w:space="0" w:color="auto"/>
                    <w:right w:val="none" w:sz="0" w:space="0" w:color="auto"/>
                  </w:divBdr>
                  <w:divsChild>
                    <w:div w:id="228618853">
                      <w:marLeft w:val="0"/>
                      <w:marRight w:val="0"/>
                      <w:marTop w:val="0"/>
                      <w:marBottom w:val="0"/>
                      <w:divBdr>
                        <w:top w:val="none" w:sz="0" w:space="0" w:color="auto"/>
                        <w:left w:val="none" w:sz="0" w:space="0" w:color="auto"/>
                        <w:bottom w:val="none" w:sz="0" w:space="0" w:color="auto"/>
                        <w:right w:val="none" w:sz="0" w:space="0" w:color="auto"/>
                      </w:divBdr>
                      <w:divsChild>
                        <w:div w:id="2120296678">
                          <w:marLeft w:val="0"/>
                          <w:marRight w:val="0"/>
                          <w:marTop w:val="0"/>
                          <w:marBottom w:val="0"/>
                          <w:divBdr>
                            <w:top w:val="none" w:sz="0" w:space="0" w:color="auto"/>
                            <w:left w:val="none" w:sz="0" w:space="0" w:color="auto"/>
                            <w:bottom w:val="none" w:sz="0" w:space="0" w:color="auto"/>
                            <w:right w:val="none" w:sz="0" w:space="0" w:color="auto"/>
                          </w:divBdr>
                          <w:divsChild>
                            <w:div w:id="887835129">
                              <w:marLeft w:val="0"/>
                              <w:marRight w:val="0"/>
                              <w:marTop w:val="0"/>
                              <w:marBottom w:val="0"/>
                              <w:divBdr>
                                <w:top w:val="none" w:sz="0" w:space="0" w:color="auto"/>
                                <w:left w:val="none" w:sz="0" w:space="0" w:color="auto"/>
                                <w:bottom w:val="none" w:sz="0" w:space="0" w:color="auto"/>
                                <w:right w:val="none" w:sz="0" w:space="0" w:color="auto"/>
                              </w:divBdr>
                              <w:divsChild>
                                <w:div w:id="4448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069053">
      <w:bodyDiv w:val="1"/>
      <w:marLeft w:val="0"/>
      <w:marRight w:val="0"/>
      <w:marTop w:val="0"/>
      <w:marBottom w:val="0"/>
      <w:divBdr>
        <w:top w:val="none" w:sz="0" w:space="0" w:color="auto"/>
        <w:left w:val="none" w:sz="0" w:space="0" w:color="auto"/>
        <w:bottom w:val="none" w:sz="0" w:space="0" w:color="auto"/>
        <w:right w:val="none" w:sz="0" w:space="0" w:color="auto"/>
      </w:divBdr>
    </w:div>
    <w:div w:id="928200945">
      <w:bodyDiv w:val="1"/>
      <w:marLeft w:val="0"/>
      <w:marRight w:val="0"/>
      <w:marTop w:val="0"/>
      <w:marBottom w:val="0"/>
      <w:divBdr>
        <w:top w:val="none" w:sz="0" w:space="0" w:color="auto"/>
        <w:left w:val="none" w:sz="0" w:space="0" w:color="auto"/>
        <w:bottom w:val="none" w:sz="0" w:space="0" w:color="auto"/>
        <w:right w:val="none" w:sz="0" w:space="0" w:color="auto"/>
      </w:divBdr>
      <w:divsChild>
        <w:div w:id="1811747604">
          <w:marLeft w:val="0"/>
          <w:marRight w:val="0"/>
          <w:marTop w:val="0"/>
          <w:marBottom w:val="0"/>
          <w:divBdr>
            <w:top w:val="none" w:sz="0" w:space="0" w:color="auto"/>
            <w:left w:val="none" w:sz="0" w:space="0" w:color="auto"/>
            <w:bottom w:val="none" w:sz="0" w:space="0" w:color="auto"/>
            <w:right w:val="none" w:sz="0" w:space="0" w:color="auto"/>
          </w:divBdr>
        </w:div>
        <w:div w:id="2071734463">
          <w:marLeft w:val="0"/>
          <w:marRight w:val="0"/>
          <w:marTop w:val="0"/>
          <w:marBottom w:val="0"/>
          <w:divBdr>
            <w:top w:val="none" w:sz="0" w:space="0" w:color="auto"/>
            <w:left w:val="none" w:sz="0" w:space="0" w:color="auto"/>
            <w:bottom w:val="none" w:sz="0" w:space="0" w:color="auto"/>
            <w:right w:val="none" w:sz="0" w:space="0" w:color="auto"/>
          </w:divBdr>
        </w:div>
      </w:divsChild>
    </w:div>
    <w:div w:id="928469312">
      <w:bodyDiv w:val="1"/>
      <w:marLeft w:val="0"/>
      <w:marRight w:val="0"/>
      <w:marTop w:val="0"/>
      <w:marBottom w:val="0"/>
      <w:divBdr>
        <w:top w:val="none" w:sz="0" w:space="0" w:color="auto"/>
        <w:left w:val="none" w:sz="0" w:space="0" w:color="auto"/>
        <w:bottom w:val="none" w:sz="0" w:space="0" w:color="auto"/>
        <w:right w:val="none" w:sz="0" w:space="0" w:color="auto"/>
      </w:divBdr>
      <w:divsChild>
        <w:div w:id="375936444">
          <w:marLeft w:val="0"/>
          <w:marRight w:val="0"/>
          <w:marTop w:val="0"/>
          <w:marBottom w:val="0"/>
          <w:divBdr>
            <w:top w:val="none" w:sz="0" w:space="0" w:color="auto"/>
            <w:left w:val="none" w:sz="0" w:space="0" w:color="auto"/>
            <w:bottom w:val="none" w:sz="0" w:space="0" w:color="auto"/>
            <w:right w:val="none" w:sz="0" w:space="0" w:color="auto"/>
          </w:divBdr>
        </w:div>
        <w:div w:id="441074855">
          <w:marLeft w:val="0"/>
          <w:marRight w:val="0"/>
          <w:marTop w:val="0"/>
          <w:marBottom w:val="0"/>
          <w:divBdr>
            <w:top w:val="none" w:sz="0" w:space="0" w:color="auto"/>
            <w:left w:val="none" w:sz="0" w:space="0" w:color="auto"/>
            <w:bottom w:val="none" w:sz="0" w:space="0" w:color="auto"/>
            <w:right w:val="none" w:sz="0" w:space="0" w:color="auto"/>
          </w:divBdr>
        </w:div>
        <w:div w:id="607784725">
          <w:marLeft w:val="0"/>
          <w:marRight w:val="0"/>
          <w:marTop w:val="0"/>
          <w:marBottom w:val="0"/>
          <w:divBdr>
            <w:top w:val="none" w:sz="0" w:space="0" w:color="auto"/>
            <w:left w:val="none" w:sz="0" w:space="0" w:color="auto"/>
            <w:bottom w:val="none" w:sz="0" w:space="0" w:color="auto"/>
            <w:right w:val="none" w:sz="0" w:space="0" w:color="auto"/>
          </w:divBdr>
        </w:div>
        <w:div w:id="662898762">
          <w:marLeft w:val="0"/>
          <w:marRight w:val="0"/>
          <w:marTop w:val="0"/>
          <w:marBottom w:val="0"/>
          <w:divBdr>
            <w:top w:val="none" w:sz="0" w:space="0" w:color="auto"/>
            <w:left w:val="none" w:sz="0" w:space="0" w:color="auto"/>
            <w:bottom w:val="none" w:sz="0" w:space="0" w:color="auto"/>
            <w:right w:val="none" w:sz="0" w:space="0" w:color="auto"/>
          </w:divBdr>
        </w:div>
        <w:div w:id="738986526">
          <w:marLeft w:val="0"/>
          <w:marRight w:val="0"/>
          <w:marTop w:val="0"/>
          <w:marBottom w:val="0"/>
          <w:divBdr>
            <w:top w:val="none" w:sz="0" w:space="0" w:color="auto"/>
            <w:left w:val="none" w:sz="0" w:space="0" w:color="auto"/>
            <w:bottom w:val="none" w:sz="0" w:space="0" w:color="auto"/>
            <w:right w:val="none" w:sz="0" w:space="0" w:color="auto"/>
          </w:divBdr>
        </w:div>
        <w:div w:id="831290752">
          <w:marLeft w:val="0"/>
          <w:marRight w:val="0"/>
          <w:marTop w:val="0"/>
          <w:marBottom w:val="0"/>
          <w:divBdr>
            <w:top w:val="none" w:sz="0" w:space="0" w:color="auto"/>
            <w:left w:val="none" w:sz="0" w:space="0" w:color="auto"/>
            <w:bottom w:val="none" w:sz="0" w:space="0" w:color="auto"/>
            <w:right w:val="none" w:sz="0" w:space="0" w:color="auto"/>
          </w:divBdr>
        </w:div>
        <w:div w:id="934753103">
          <w:marLeft w:val="0"/>
          <w:marRight w:val="0"/>
          <w:marTop w:val="0"/>
          <w:marBottom w:val="0"/>
          <w:divBdr>
            <w:top w:val="none" w:sz="0" w:space="0" w:color="auto"/>
            <w:left w:val="none" w:sz="0" w:space="0" w:color="auto"/>
            <w:bottom w:val="none" w:sz="0" w:space="0" w:color="auto"/>
            <w:right w:val="none" w:sz="0" w:space="0" w:color="auto"/>
          </w:divBdr>
        </w:div>
        <w:div w:id="1406032655">
          <w:marLeft w:val="0"/>
          <w:marRight w:val="0"/>
          <w:marTop w:val="0"/>
          <w:marBottom w:val="0"/>
          <w:divBdr>
            <w:top w:val="none" w:sz="0" w:space="0" w:color="auto"/>
            <w:left w:val="none" w:sz="0" w:space="0" w:color="auto"/>
            <w:bottom w:val="none" w:sz="0" w:space="0" w:color="auto"/>
            <w:right w:val="none" w:sz="0" w:space="0" w:color="auto"/>
          </w:divBdr>
        </w:div>
        <w:div w:id="1544903156">
          <w:marLeft w:val="0"/>
          <w:marRight w:val="0"/>
          <w:marTop w:val="0"/>
          <w:marBottom w:val="0"/>
          <w:divBdr>
            <w:top w:val="none" w:sz="0" w:space="0" w:color="auto"/>
            <w:left w:val="none" w:sz="0" w:space="0" w:color="auto"/>
            <w:bottom w:val="none" w:sz="0" w:space="0" w:color="auto"/>
            <w:right w:val="none" w:sz="0" w:space="0" w:color="auto"/>
          </w:divBdr>
        </w:div>
        <w:div w:id="1647391443">
          <w:marLeft w:val="0"/>
          <w:marRight w:val="0"/>
          <w:marTop w:val="0"/>
          <w:marBottom w:val="0"/>
          <w:divBdr>
            <w:top w:val="none" w:sz="0" w:space="0" w:color="auto"/>
            <w:left w:val="none" w:sz="0" w:space="0" w:color="auto"/>
            <w:bottom w:val="none" w:sz="0" w:space="0" w:color="auto"/>
            <w:right w:val="none" w:sz="0" w:space="0" w:color="auto"/>
          </w:divBdr>
        </w:div>
        <w:div w:id="1711028473">
          <w:marLeft w:val="0"/>
          <w:marRight w:val="0"/>
          <w:marTop w:val="0"/>
          <w:marBottom w:val="0"/>
          <w:divBdr>
            <w:top w:val="none" w:sz="0" w:space="0" w:color="auto"/>
            <w:left w:val="none" w:sz="0" w:space="0" w:color="auto"/>
            <w:bottom w:val="none" w:sz="0" w:space="0" w:color="auto"/>
            <w:right w:val="none" w:sz="0" w:space="0" w:color="auto"/>
          </w:divBdr>
        </w:div>
        <w:div w:id="1808161600">
          <w:marLeft w:val="0"/>
          <w:marRight w:val="0"/>
          <w:marTop w:val="0"/>
          <w:marBottom w:val="0"/>
          <w:divBdr>
            <w:top w:val="none" w:sz="0" w:space="0" w:color="auto"/>
            <w:left w:val="none" w:sz="0" w:space="0" w:color="auto"/>
            <w:bottom w:val="none" w:sz="0" w:space="0" w:color="auto"/>
            <w:right w:val="none" w:sz="0" w:space="0" w:color="auto"/>
          </w:divBdr>
        </w:div>
        <w:div w:id="1844855430">
          <w:marLeft w:val="0"/>
          <w:marRight w:val="0"/>
          <w:marTop w:val="0"/>
          <w:marBottom w:val="0"/>
          <w:divBdr>
            <w:top w:val="none" w:sz="0" w:space="0" w:color="auto"/>
            <w:left w:val="none" w:sz="0" w:space="0" w:color="auto"/>
            <w:bottom w:val="none" w:sz="0" w:space="0" w:color="auto"/>
            <w:right w:val="none" w:sz="0" w:space="0" w:color="auto"/>
          </w:divBdr>
        </w:div>
        <w:div w:id="1993556906">
          <w:marLeft w:val="0"/>
          <w:marRight w:val="0"/>
          <w:marTop w:val="0"/>
          <w:marBottom w:val="0"/>
          <w:divBdr>
            <w:top w:val="none" w:sz="0" w:space="0" w:color="auto"/>
            <w:left w:val="none" w:sz="0" w:space="0" w:color="auto"/>
            <w:bottom w:val="none" w:sz="0" w:space="0" w:color="auto"/>
            <w:right w:val="none" w:sz="0" w:space="0" w:color="auto"/>
          </w:divBdr>
        </w:div>
        <w:div w:id="2074037947">
          <w:marLeft w:val="0"/>
          <w:marRight w:val="0"/>
          <w:marTop w:val="0"/>
          <w:marBottom w:val="0"/>
          <w:divBdr>
            <w:top w:val="none" w:sz="0" w:space="0" w:color="auto"/>
            <w:left w:val="none" w:sz="0" w:space="0" w:color="auto"/>
            <w:bottom w:val="none" w:sz="0" w:space="0" w:color="auto"/>
            <w:right w:val="none" w:sz="0" w:space="0" w:color="auto"/>
          </w:divBdr>
        </w:div>
        <w:div w:id="2089304321">
          <w:marLeft w:val="0"/>
          <w:marRight w:val="0"/>
          <w:marTop w:val="0"/>
          <w:marBottom w:val="0"/>
          <w:divBdr>
            <w:top w:val="none" w:sz="0" w:space="0" w:color="auto"/>
            <w:left w:val="none" w:sz="0" w:space="0" w:color="auto"/>
            <w:bottom w:val="none" w:sz="0" w:space="0" w:color="auto"/>
            <w:right w:val="none" w:sz="0" w:space="0" w:color="auto"/>
          </w:divBdr>
        </w:div>
      </w:divsChild>
    </w:div>
    <w:div w:id="930428609">
      <w:bodyDiv w:val="1"/>
      <w:marLeft w:val="0"/>
      <w:marRight w:val="0"/>
      <w:marTop w:val="0"/>
      <w:marBottom w:val="0"/>
      <w:divBdr>
        <w:top w:val="none" w:sz="0" w:space="0" w:color="auto"/>
        <w:left w:val="none" w:sz="0" w:space="0" w:color="auto"/>
        <w:bottom w:val="none" w:sz="0" w:space="0" w:color="auto"/>
        <w:right w:val="none" w:sz="0" w:space="0" w:color="auto"/>
      </w:divBdr>
    </w:div>
    <w:div w:id="931476709">
      <w:bodyDiv w:val="1"/>
      <w:marLeft w:val="0"/>
      <w:marRight w:val="0"/>
      <w:marTop w:val="0"/>
      <w:marBottom w:val="0"/>
      <w:divBdr>
        <w:top w:val="none" w:sz="0" w:space="0" w:color="auto"/>
        <w:left w:val="none" w:sz="0" w:space="0" w:color="auto"/>
        <w:bottom w:val="none" w:sz="0" w:space="0" w:color="auto"/>
        <w:right w:val="none" w:sz="0" w:space="0" w:color="auto"/>
      </w:divBdr>
    </w:div>
    <w:div w:id="931548488">
      <w:bodyDiv w:val="1"/>
      <w:marLeft w:val="0"/>
      <w:marRight w:val="0"/>
      <w:marTop w:val="0"/>
      <w:marBottom w:val="0"/>
      <w:divBdr>
        <w:top w:val="none" w:sz="0" w:space="0" w:color="auto"/>
        <w:left w:val="none" w:sz="0" w:space="0" w:color="auto"/>
        <w:bottom w:val="none" w:sz="0" w:space="0" w:color="auto"/>
        <w:right w:val="none" w:sz="0" w:space="0" w:color="auto"/>
      </w:divBdr>
    </w:div>
    <w:div w:id="933325808">
      <w:bodyDiv w:val="1"/>
      <w:marLeft w:val="0"/>
      <w:marRight w:val="0"/>
      <w:marTop w:val="0"/>
      <w:marBottom w:val="0"/>
      <w:divBdr>
        <w:top w:val="none" w:sz="0" w:space="0" w:color="auto"/>
        <w:left w:val="none" w:sz="0" w:space="0" w:color="auto"/>
        <w:bottom w:val="none" w:sz="0" w:space="0" w:color="auto"/>
        <w:right w:val="none" w:sz="0" w:space="0" w:color="auto"/>
      </w:divBdr>
    </w:div>
    <w:div w:id="939794825">
      <w:bodyDiv w:val="1"/>
      <w:marLeft w:val="0"/>
      <w:marRight w:val="0"/>
      <w:marTop w:val="0"/>
      <w:marBottom w:val="0"/>
      <w:divBdr>
        <w:top w:val="none" w:sz="0" w:space="0" w:color="auto"/>
        <w:left w:val="none" w:sz="0" w:space="0" w:color="auto"/>
        <w:bottom w:val="none" w:sz="0" w:space="0" w:color="auto"/>
        <w:right w:val="none" w:sz="0" w:space="0" w:color="auto"/>
      </w:divBdr>
    </w:div>
    <w:div w:id="950668704">
      <w:bodyDiv w:val="1"/>
      <w:marLeft w:val="0"/>
      <w:marRight w:val="0"/>
      <w:marTop w:val="0"/>
      <w:marBottom w:val="0"/>
      <w:divBdr>
        <w:top w:val="none" w:sz="0" w:space="0" w:color="auto"/>
        <w:left w:val="none" w:sz="0" w:space="0" w:color="auto"/>
        <w:bottom w:val="none" w:sz="0" w:space="0" w:color="auto"/>
        <w:right w:val="none" w:sz="0" w:space="0" w:color="auto"/>
      </w:divBdr>
    </w:div>
    <w:div w:id="951210073">
      <w:bodyDiv w:val="1"/>
      <w:marLeft w:val="0"/>
      <w:marRight w:val="0"/>
      <w:marTop w:val="0"/>
      <w:marBottom w:val="0"/>
      <w:divBdr>
        <w:top w:val="none" w:sz="0" w:space="0" w:color="auto"/>
        <w:left w:val="none" w:sz="0" w:space="0" w:color="auto"/>
        <w:bottom w:val="none" w:sz="0" w:space="0" w:color="auto"/>
        <w:right w:val="none" w:sz="0" w:space="0" w:color="auto"/>
      </w:divBdr>
    </w:div>
    <w:div w:id="952830076">
      <w:bodyDiv w:val="1"/>
      <w:marLeft w:val="0"/>
      <w:marRight w:val="0"/>
      <w:marTop w:val="0"/>
      <w:marBottom w:val="0"/>
      <w:divBdr>
        <w:top w:val="none" w:sz="0" w:space="0" w:color="auto"/>
        <w:left w:val="none" w:sz="0" w:space="0" w:color="auto"/>
        <w:bottom w:val="none" w:sz="0" w:space="0" w:color="auto"/>
        <w:right w:val="none" w:sz="0" w:space="0" w:color="auto"/>
      </w:divBdr>
      <w:divsChild>
        <w:div w:id="882865105">
          <w:marLeft w:val="274"/>
          <w:marRight w:val="0"/>
          <w:marTop w:val="0"/>
          <w:marBottom w:val="0"/>
          <w:divBdr>
            <w:top w:val="none" w:sz="0" w:space="0" w:color="auto"/>
            <w:left w:val="none" w:sz="0" w:space="0" w:color="auto"/>
            <w:bottom w:val="none" w:sz="0" w:space="0" w:color="auto"/>
            <w:right w:val="none" w:sz="0" w:space="0" w:color="auto"/>
          </w:divBdr>
        </w:div>
        <w:div w:id="1963490772">
          <w:marLeft w:val="274"/>
          <w:marRight w:val="0"/>
          <w:marTop w:val="0"/>
          <w:marBottom w:val="0"/>
          <w:divBdr>
            <w:top w:val="none" w:sz="0" w:space="0" w:color="auto"/>
            <w:left w:val="none" w:sz="0" w:space="0" w:color="auto"/>
            <w:bottom w:val="none" w:sz="0" w:space="0" w:color="auto"/>
            <w:right w:val="none" w:sz="0" w:space="0" w:color="auto"/>
          </w:divBdr>
        </w:div>
        <w:div w:id="2084065828">
          <w:marLeft w:val="274"/>
          <w:marRight w:val="0"/>
          <w:marTop w:val="0"/>
          <w:marBottom w:val="0"/>
          <w:divBdr>
            <w:top w:val="none" w:sz="0" w:space="0" w:color="auto"/>
            <w:left w:val="none" w:sz="0" w:space="0" w:color="auto"/>
            <w:bottom w:val="none" w:sz="0" w:space="0" w:color="auto"/>
            <w:right w:val="none" w:sz="0" w:space="0" w:color="auto"/>
          </w:divBdr>
        </w:div>
      </w:divsChild>
    </w:div>
    <w:div w:id="972105039">
      <w:bodyDiv w:val="1"/>
      <w:marLeft w:val="0"/>
      <w:marRight w:val="0"/>
      <w:marTop w:val="0"/>
      <w:marBottom w:val="0"/>
      <w:divBdr>
        <w:top w:val="none" w:sz="0" w:space="0" w:color="auto"/>
        <w:left w:val="none" w:sz="0" w:space="0" w:color="auto"/>
        <w:bottom w:val="none" w:sz="0" w:space="0" w:color="auto"/>
        <w:right w:val="none" w:sz="0" w:space="0" w:color="auto"/>
      </w:divBdr>
      <w:divsChild>
        <w:div w:id="1582564789">
          <w:marLeft w:val="0"/>
          <w:marRight w:val="0"/>
          <w:marTop w:val="0"/>
          <w:marBottom w:val="0"/>
          <w:divBdr>
            <w:top w:val="none" w:sz="0" w:space="0" w:color="auto"/>
            <w:left w:val="none" w:sz="0" w:space="0" w:color="auto"/>
            <w:bottom w:val="none" w:sz="0" w:space="0" w:color="auto"/>
            <w:right w:val="none" w:sz="0" w:space="0" w:color="auto"/>
          </w:divBdr>
          <w:divsChild>
            <w:div w:id="2125995933">
              <w:marLeft w:val="0"/>
              <w:marRight w:val="0"/>
              <w:marTop w:val="0"/>
              <w:marBottom w:val="0"/>
              <w:divBdr>
                <w:top w:val="none" w:sz="0" w:space="0" w:color="auto"/>
                <w:left w:val="none" w:sz="0" w:space="0" w:color="auto"/>
                <w:bottom w:val="none" w:sz="0" w:space="0" w:color="auto"/>
                <w:right w:val="none" w:sz="0" w:space="0" w:color="auto"/>
              </w:divBdr>
              <w:divsChild>
                <w:div w:id="133525530">
                  <w:marLeft w:val="0"/>
                  <w:marRight w:val="0"/>
                  <w:marTop w:val="0"/>
                  <w:marBottom w:val="0"/>
                  <w:divBdr>
                    <w:top w:val="none" w:sz="0" w:space="0" w:color="auto"/>
                    <w:left w:val="none" w:sz="0" w:space="0" w:color="auto"/>
                    <w:bottom w:val="none" w:sz="0" w:space="0" w:color="auto"/>
                    <w:right w:val="none" w:sz="0" w:space="0" w:color="auto"/>
                  </w:divBdr>
                  <w:divsChild>
                    <w:div w:id="357976069">
                      <w:marLeft w:val="0"/>
                      <w:marRight w:val="0"/>
                      <w:marTop w:val="0"/>
                      <w:marBottom w:val="0"/>
                      <w:divBdr>
                        <w:top w:val="none" w:sz="0" w:space="0" w:color="auto"/>
                        <w:left w:val="none" w:sz="0" w:space="0" w:color="auto"/>
                        <w:bottom w:val="none" w:sz="0" w:space="0" w:color="auto"/>
                        <w:right w:val="none" w:sz="0" w:space="0" w:color="auto"/>
                      </w:divBdr>
                      <w:divsChild>
                        <w:div w:id="663218">
                          <w:marLeft w:val="0"/>
                          <w:marRight w:val="0"/>
                          <w:marTop w:val="0"/>
                          <w:marBottom w:val="0"/>
                          <w:divBdr>
                            <w:top w:val="none" w:sz="0" w:space="0" w:color="auto"/>
                            <w:left w:val="none" w:sz="0" w:space="0" w:color="auto"/>
                            <w:bottom w:val="none" w:sz="0" w:space="0" w:color="auto"/>
                            <w:right w:val="none" w:sz="0" w:space="0" w:color="auto"/>
                          </w:divBdr>
                        </w:div>
                        <w:div w:id="151213555">
                          <w:marLeft w:val="0"/>
                          <w:marRight w:val="0"/>
                          <w:marTop w:val="0"/>
                          <w:marBottom w:val="0"/>
                          <w:divBdr>
                            <w:top w:val="none" w:sz="0" w:space="0" w:color="auto"/>
                            <w:left w:val="none" w:sz="0" w:space="0" w:color="auto"/>
                            <w:bottom w:val="none" w:sz="0" w:space="0" w:color="auto"/>
                            <w:right w:val="none" w:sz="0" w:space="0" w:color="auto"/>
                          </w:divBdr>
                        </w:div>
                        <w:div w:id="350225052">
                          <w:marLeft w:val="0"/>
                          <w:marRight w:val="0"/>
                          <w:marTop w:val="0"/>
                          <w:marBottom w:val="0"/>
                          <w:divBdr>
                            <w:top w:val="none" w:sz="0" w:space="0" w:color="auto"/>
                            <w:left w:val="none" w:sz="0" w:space="0" w:color="auto"/>
                            <w:bottom w:val="none" w:sz="0" w:space="0" w:color="auto"/>
                            <w:right w:val="none" w:sz="0" w:space="0" w:color="auto"/>
                          </w:divBdr>
                        </w:div>
                        <w:div w:id="509175729">
                          <w:marLeft w:val="0"/>
                          <w:marRight w:val="0"/>
                          <w:marTop w:val="0"/>
                          <w:marBottom w:val="0"/>
                          <w:divBdr>
                            <w:top w:val="none" w:sz="0" w:space="0" w:color="auto"/>
                            <w:left w:val="none" w:sz="0" w:space="0" w:color="auto"/>
                            <w:bottom w:val="none" w:sz="0" w:space="0" w:color="auto"/>
                            <w:right w:val="none" w:sz="0" w:space="0" w:color="auto"/>
                          </w:divBdr>
                        </w:div>
                        <w:div w:id="523783585">
                          <w:marLeft w:val="0"/>
                          <w:marRight w:val="0"/>
                          <w:marTop w:val="0"/>
                          <w:marBottom w:val="0"/>
                          <w:divBdr>
                            <w:top w:val="none" w:sz="0" w:space="0" w:color="auto"/>
                            <w:left w:val="none" w:sz="0" w:space="0" w:color="auto"/>
                            <w:bottom w:val="none" w:sz="0" w:space="0" w:color="auto"/>
                            <w:right w:val="none" w:sz="0" w:space="0" w:color="auto"/>
                          </w:divBdr>
                        </w:div>
                        <w:div w:id="533353111">
                          <w:marLeft w:val="0"/>
                          <w:marRight w:val="0"/>
                          <w:marTop w:val="0"/>
                          <w:marBottom w:val="0"/>
                          <w:divBdr>
                            <w:top w:val="none" w:sz="0" w:space="0" w:color="auto"/>
                            <w:left w:val="none" w:sz="0" w:space="0" w:color="auto"/>
                            <w:bottom w:val="none" w:sz="0" w:space="0" w:color="auto"/>
                            <w:right w:val="none" w:sz="0" w:space="0" w:color="auto"/>
                          </w:divBdr>
                        </w:div>
                        <w:div w:id="715006523">
                          <w:marLeft w:val="0"/>
                          <w:marRight w:val="0"/>
                          <w:marTop w:val="0"/>
                          <w:marBottom w:val="0"/>
                          <w:divBdr>
                            <w:top w:val="none" w:sz="0" w:space="0" w:color="auto"/>
                            <w:left w:val="none" w:sz="0" w:space="0" w:color="auto"/>
                            <w:bottom w:val="none" w:sz="0" w:space="0" w:color="auto"/>
                            <w:right w:val="none" w:sz="0" w:space="0" w:color="auto"/>
                          </w:divBdr>
                        </w:div>
                        <w:div w:id="727727119">
                          <w:marLeft w:val="0"/>
                          <w:marRight w:val="0"/>
                          <w:marTop w:val="0"/>
                          <w:marBottom w:val="0"/>
                          <w:divBdr>
                            <w:top w:val="none" w:sz="0" w:space="0" w:color="auto"/>
                            <w:left w:val="none" w:sz="0" w:space="0" w:color="auto"/>
                            <w:bottom w:val="none" w:sz="0" w:space="0" w:color="auto"/>
                            <w:right w:val="none" w:sz="0" w:space="0" w:color="auto"/>
                          </w:divBdr>
                        </w:div>
                        <w:div w:id="932474749">
                          <w:marLeft w:val="0"/>
                          <w:marRight w:val="0"/>
                          <w:marTop w:val="0"/>
                          <w:marBottom w:val="0"/>
                          <w:divBdr>
                            <w:top w:val="none" w:sz="0" w:space="0" w:color="auto"/>
                            <w:left w:val="none" w:sz="0" w:space="0" w:color="auto"/>
                            <w:bottom w:val="none" w:sz="0" w:space="0" w:color="auto"/>
                            <w:right w:val="none" w:sz="0" w:space="0" w:color="auto"/>
                          </w:divBdr>
                        </w:div>
                        <w:div w:id="1000885243">
                          <w:marLeft w:val="0"/>
                          <w:marRight w:val="0"/>
                          <w:marTop w:val="0"/>
                          <w:marBottom w:val="0"/>
                          <w:divBdr>
                            <w:top w:val="none" w:sz="0" w:space="0" w:color="auto"/>
                            <w:left w:val="none" w:sz="0" w:space="0" w:color="auto"/>
                            <w:bottom w:val="none" w:sz="0" w:space="0" w:color="auto"/>
                            <w:right w:val="none" w:sz="0" w:space="0" w:color="auto"/>
                          </w:divBdr>
                        </w:div>
                        <w:div w:id="1064722812">
                          <w:marLeft w:val="0"/>
                          <w:marRight w:val="0"/>
                          <w:marTop w:val="0"/>
                          <w:marBottom w:val="0"/>
                          <w:divBdr>
                            <w:top w:val="none" w:sz="0" w:space="0" w:color="auto"/>
                            <w:left w:val="none" w:sz="0" w:space="0" w:color="auto"/>
                            <w:bottom w:val="none" w:sz="0" w:space="0" w:color="auto"/>
                            <w:right w:val="none" w:sz="0" w:space="0" w:color="auto"/>
                          </w:divBdr>
                        </w:div>
                        <w:div w:id="1160001745">
                          <w:marLeft w:val="0"/>
                          <w:marRight w:val="0"/>
                          <w:marTop w:val="0"/>
                          <w:marBottom w:val="0"/>
                          <w:divBdr>
                            <w:top w:val="none" w:sz="0" w:space="0" w:color="auto"/>
                            <w:left w:val="none" w:sz="0" w:space="0" w:color="auto"/>
                            <w:bottom w:val="none" w:sz="0" w:space="0" w:color="auto"/>
                            <w:right w:val="none" w:sz="0" w:space="0" w:color="auto"/>
                          </w:divBdr>
                        </w:div>
                        <w:div w:id="1182668508">
                          <w:marLeft w:val="0"/>
                          <w:marRight w:val="0"/>
                          <w:marTop w:val="0"/>
                          <w:marBottom w:val="0"/>
                          <w:divBdr>
                            <w:top w:val="none" w:sz="0" w:space="0" w:color="auto"/>
                            <w:left w:val="none" w:sz="0" w:space="0" w:color="auto"/>
                            <w:bottom w:val="none" w:sz="0" w:space="0" w:color="auto"/>
                            <w:right w:val="none" w:sz="0" w:space="0" w:color="auto"/>
                          </w:divBdr>
                        </w:div>
                        <w:div w:id="1349062622">
                          <w:marLeft w:val="0"/>
                          <w:marRight w:val="0"/>
                          <w:marTop w:val="0"/>
                          <w:marBottom w:val="0"/>
                          <w:divBdr>
                            <w:top w:val="none" w:sz="0" w:space="0" w:color="auto"/>
                            <w:left w:val="none" w:sz="0" w:space="0" w:color="auto"/>
                            <w:bottom w:val="none" w:sz="0" w:space="0" w:color="auto"/>
                            <w:right w:val="none" w:sz="0" w:space="0" w:color="auto"/>
                          </w:divBdr>
                        </w:div>
                        <w:div w:id="1579558713">
                          <w:marLeft w:val="0"/>
                          <w:marRight w:val="0"/>
                          <w:marTop w:val="0"/>
                          <w:marBottom w:val="0"/>
                          <w:divBdr>
                            <w:top w:val="none" w:sz="0" w:space="0" w:color="auto"/>
                            <w:left w:val="none" w:sz="0" w:space="0" w:color="auto"/>
                            <w:bottom w:val="none" w:sz="0" w:space="0" w:color="auto"/>
                            <w:right w:val="none" w:sz="0" w:space="0" w:color="auto"/>
                          </w:divBdr>
                        </w:div>
                        <w:div w:id="1773476395">
                          <w:marLeft w:val="0"/>
                          <w:marRight w:val="0"/>
                          <w:marTop w:val="0"/>
                          <w:marBottom w:val="0"/>
                          <w:divBdr>
                            <w:top w:val="none" w:sz="0" w:space="0" w:color="auto"/>
                            <w:left w:val="none" w:sz="0" w:space="0" w:color="auto"/>
                            <w:bottom w:val="none" w:sz="0" w:space="0" w:color="auto"/>
                            <w:right w:val="none" w:sz="0" w:space="0" w:color="auto"/>
                          </w:divBdr>
                        </w:div>
                        <w:div w:id="1793355257">
                          <w:marLeft w:val="0"/>
                          <w:marRight w:val="0"/>
                          <w:marTop w:val="0"/>
                          <w:marBottom w:val="0"/>
                          <w:divBdr>
                            <w:top w:val="none" w:sz="0" w:space="0" w:color="auto"/>
                            <w:left w:val="none" w:sz="0" w:space="0" w:color="auto"/>
                            <w:bottom w:val="none" w:sz="0" w:space="0" w:color="auto"/>
                            <w:right w:val="none" w:sz="0" w:space="0" w:color="auto"/>
                          </w:divBdr>
                        </w:div>
                        <w:div w:id="18734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126">
                  <w:marLeft w:val="0"/>
                  <w:marRight w:val="0"/>
                  <w:marTop w:val="0"/>
                  <w:marBottom w:val="0"/>
                  <w:divBdr>
                    <w:top w:val="none" w:sz="0" w:space="0" w:color="auto"/>
                    <w:left w:val="none" w:sz="0" w:space="0" w:color="auto"/>
                    <w:bottom w:val="none" w:sz="0" w:space="0" w:color="auto"/>
                    <w:right w:val="none" w:sz="0" w:space="0" w:color="auto"/>
                  </w:divBdr>
                  <w:divsChild>
                    <w:div w:id="996348334">
                      <w:marLeft w:val="0"/>
                      <w:marRight w:val="0"/>
                      <w:marTop w:val="0"/>
                      <w:marBottom w:val="0"/>
                      <w:divBdr>
                        <w:top w:val="none" w:sz="0" w:space="0" w:color="auto"/>
                        <w:left w:val="none" w:sz="0" w:space="0" w:color="auto"/>
                        <w:bottom w:val="none" w:sz="0" w:space="0" w:color="auto"/>
                        <w:right w:val="none" w:sz="0" w:space="0" w:color="auto"/>
                      </w:divBdr>
                    </w:div>
                  </w:divsChild>
                </w:div>
                <w:div w:id="1659191931">
                  <w:marLeft w:val="0"/>
                  <w:marRight w:val="0"/>
                  <w:marTop w:val="0"/>
                  <w:marBottom w:val="0"/>
                  <w:divBdr>
                    <w:top w:val="none" w:sz="0" w:space="0" w:color="auto"/>
                    <w:left w:val="none" w:sz="0" w:space="0" w:color="auto"/>
                    <w:bottom w:val="none" w:sz="0" w:space="0" w:color="auto"/>
                    <w:right w:val="none" w:sz="0" w:space="0" w:color="auto"/>
                  </w:divBdr>
                  <w:divsChild>
                    <w:div w:id="1069571828">
                      <w:marLeft w:val="0"/>
                      <w:marRight w:val="0"/>
                      <w:marTop w:val="0"/>
                      <w:marBottom w:val="0"/>
                      <w:divBdr>
                        <w:top w:val="none" w:sz="0" w:space="0" w:color="auto"/>
                        <w:left w:val="none" w:sz="0" w:space="0" w:color="auto"/>
                        <w:bottom w:val="none" w:sz="0" w:space="0" w:color="auto"/>
                        <w:right w:val="none" w:sz="0" w:space="0" w:color="auto"/>
                      </w:divBdr>
                    </w:div>
                  </w:divsChild>
                </w:div>
                <w:div w:id="2004703940">
                  <w:marLeft w:val="0"/>
                  <w:marRight w:val="0"/>
                  <w:marTop w:val="0"/>
                  <w:marBottom w:val="0"/>
                  <w:divBdr>
                    <w:top w:val="none" w:sz="0" w:space="0" w:color="auto"/>
                    <w:left w:val="none" w:sz="0" w:space="0" w:color="auto"/>
                    <w:bottom w:val="none" w:sz="0" w:space="0" w:color="auto"/>
                    <w:right w:val="none" w:sz="0" w:space="0" w:color="auto"/>
                  </w:divBdr>
                  <w:divsChild>
                    <w:div w:id="4609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2931">
      <w:bodyDiv w:val="1"/>
      <w:marLeft w:val="0"/>
      <w:marRight w:val="0"/>
      <w:marTop w:val="0"/>
      <w:marBottom w:val="0"/>
      <w:divBdr>
        <w:top w:val="none" w:sz="0" w:space="0" w:color="auto"/>
        <w:left w:val="none" w:sz="0" w:space="0" w:color="auto"/>
        <w:bottom w:val="none" w:sz="0" w:space="0" w:color="auto"/>
        <w:right w:val="none" w:sz="0" w:space="0" w:color="auto"/>
      </w:divBdr>
    </w:div>
    <w:div w:id="979505737">
      <w:bodyDiv w:val="1"/>
      <w:marLeft w:val="0"/>
      <w:marRight w:val="0"/>
      <w:marTop w:val="0"/>
      <w:marBottom w:val="0"/>
      <w:divBdr>
        <w:top w:val="none" w:sz="0" w:space="0" w:color="auto"/>
        <w:left w:val="none" w:sz="0" w:space="0" w:color="auto"/>
        <w:bottom w:val="none" w:sz="0" w:space="0" w:color="auto"/>
        <w:right w:val="none" w:sz="0" w:space="0" w:color="auto"/>
      </w:divBdr>
    </w:div>
    <w:div w:id="984507950">
      <w:bodyDiv w:val="1"/>
      <w:marLeft w:val="0"/>
      <w:marRight w:val="0"/>
      <w:marTop w:val="0"/>
      <w:marBottom w:val="0"/>
      <w:divBdr>
        <w:top w:val="none" w:sz="0" w:space="0" w:color="auto"/>
        <w:left w:val="none" w:sz="0" w:space="0" w:color="auto"/>
        <w:bottom w:val="none" w:sz="0" w:space="0" w:color="auto"/>
        <w:right w:val="none" w:sz="0" w:space="0" w:color="auto"/>
      </w:divBdr>
    </w:div>
    <w:div w:id="995571269">
      <w:bodyDiv w:val="1"/>
      <w:marLeft w:val="0"/>
      <w:marRight w:val="0"/>
      <w:marTop w:val="0"/>
      <w:marBottom w:val="0"/>
      <w:divBdr>
        <w:top w:val="none" w:sz="0" w:space="0" w:color="auto"/>
        <w:left w:val="none" w:sz="0" w:space="0" w:color="auto"/>
        <w:bottom w:val="none" w:sz="0" w:space="0" w:color="auto"/>
        <w:right w:val="none" w:sz="0" w:space="0" w:color="auto"/>
      </w:divBdr>
    </w:div>
    <w:div w:id="996152374">
      <w:bodyDiv w:val="1"/>
      <w:marLeft w:val="0"/>
      <w:marRight w:val="0"/>
      <w:marTop w:val="0"/>
      <w:marBottom w:val="0"/>
      <w:divBdr>
        <w:top w:val="none" w:sz="0" w:space="0" w:color="auto"/>
        <w:left w:val="none" w:sz="0" w:space="0" w:color="auto"/>
        <w:bottom w:val="none" w:sz="0" w:space="0" w:color="auto"/>
        <w:right w:val="none" w:sz="0" w:space="0" w:color="auto"/>
      </w:divBdr>
    </w:div>
    <w:div w:id="1000960187">
      <w:bodyDiv w:val="1"/>
      <w:marLeft w:val="0"/>
      <w:marRight w:val="0"/>
      <w:marTop w:val="0"/>
      <w:marBottom w:val="0"/>
      <w:divBdr>
        <w:top w:val="none" w:sz="0" w:space="0" w:color="auto"/>
        <w:left w:val="none" w:sz="0" w:space="0" w:color="auto"/>
        <w:bottom w:val="none" w:sz="0" w:space="0" w:color="auto"/>
        <w:right w:val="none" w:sz="0" w:space="0" w:color="auto"/>
      </w:divBdr>
    </w:div>
    <w:div w:id="1001084645">
      <w:bodyDiv w:val="1"/>
      <w:marLeft w:val="0"/>
      <w:marRight w:val="0"/>
      <w:marTop w:val="0"/>
      <w:marBottom w:val="0"/>
      <w:divBdr>
        <w:top w:val="none" w:sz="0" w:space="0" w:color="auto"/>
        <w:left w:val="none" w:sz="0" w:space="0" w:color="auto"/>
        <w:bottom w:val="none" w:sz="0" w:space="0" w:color="auto"/>
        <w:right w:val="none" w:sz="0" w:space="0" w:color="auto"/>
      </w:divBdr>
    </w:div>
    <w:div w:id="1003362232">
      <w:bodyDiv w:val="1"/>
      <w:marLeft w:val="0"/>
      <w:marRight w:val="0"/>
      <w:marTop w:val="0"/>
      <w:marBottom w:val="0"/>
      <w:divBdr>
        <w:top w:val="none" w:sz="0" w:space="0" w:color="auto"/>
        <w:left w:val="none" w:sz="0" w:space="0" w:color="auto"/>
        <w:bottom w:val="none" w:sz="0" w:space="0" w:color="auto"/>
        <w:right w:val="none" w:sz="0" w:space="0" w:color="auto"/>
      </w:divBdr>
    </w:div>
    <w:div w:id="1004554870">
      <w:bodyDiv w:val="1"/>
      <w:marLeft w:val="0"/>
      <w:marRight w:val="0"/>
      <w:marTop w:val="0"/>
      <w:marBottom w:val="0"/>
      <w:divBdr>
        <w:top w:val="none" w:sz="0" w:space="0" w:color="auto"/>
        <w:left w:val="none" w:sz="0" w:space="0" w:color="auto"/>
        <w:bottom w:val="none" w:sz="0" w:space="0" w:color="auto"/>
        <w:right w:val="none" w:sz="0" w:space="0" w:color="auto"/>
      </w:divBdr>
    </w:div>
    <w:div w:id="1010528981">
      <w:bodyDiv w:val="1"/>
      <w:marLeft w:val="0"/>
      <w:marRight w:val="0"/>
      <w:marTop w:val="0"/>
      <w:marBottom w:val="0"/>
      <w:divBdr>
        <w:top w:val="none" w:sz="0" w:space="0" w:color="auto"/>
        <w:left w:val="none" w:sz="0" w:space="0" w:color="auto"/>
        <w:bottom w:val="none" w:sz="0" w:space="0" w:color="auto"/>
        <w:right w:val="none" w:sz="0" w:space="0" w:color="auto"/>
      </w:divBdr>
    </w:div>
    <w:div w:id="1019430657">
      <w:bodyDiv w:val="1"/>
      <w:marLeft w:val="0"/>
      <w:marRight w:val="0"/>
      <w:marTop w:val="0"/>
      <w:marBottom w:val="0"/>
      <w:divBdr>
        <w:top w:val="none" w:sz="0" w:space="0" w:color="auto"/>
        <w:left w:val="none" w:sz="0" w:space="0" w:color="auto"/>
        <w:bottom w:val="none" w:sz="0" w:space="0" w:color="auto"/>
        <w:right w:val="none" w:sz="0" w:space="0" w:color="auto"/>
      </w:divBdr>
    </w:div>
    <w:div w:id="1019965150">
      <w:bodyDiv w:val="1"/>
      <w:marLeft w:val="0"/>
      <w:marRight w:val="0"/>
      <w:marTop w:val="0"/>
      <w:marBottom w:val="0"/>
      <w:divBdr>
        <w:top w:val="none" w:sz="0" w:space="0" w:color="auto"/>
        <w:left w:val="none" w:sz="0" w:space="0" w:color="auto"/>
        <w:bottom w:val="none" w:sz="0" w:space="0" w:color="auto"/>
        <w:right w:val="none" w:sz="0" w:space="0" w:color="auto"/>
      </w:divBdr>
    </w:div>
    <w:div w:id="1020275154">
      <w:bodyDiv w:val="1"/>
      <w:marLeft w:val="0"/>
      <w:marRight w:val="0"/>
      <w:marTop w:val="0"/>
      <w:marBottom w:val="0"/>
      <w:divBdr>
        <w:top w:val="none" w:sz="0" w:space="0" w:color="auto"/>
        <w:left w:val="none" w:sz="0" w:space="0" w:color="auto"/>
        <w:bottom w:val="none" w:sz="0" w:space="0" w:color="auto"/>
        <w:right w:val="none" w:sz="0" w:space="0" w:color="auto"/>
      </w:divBdr>
    </w:div>
    <w:div w:id="1025056409">
      <w:bodyDiv w:val="1"/>
      <w:marLeft w:val="0"/>
      <w:marRight w:val="0"/>
      <w:marTop w:val="0"/>
      <w:marBottom w:val="0"/>
      <w:divBdr>
        <w:top w:val="none" w:sz="0" w:space="0" w:color="auto"/>
        <w:left w:val="none" w:sz="0" w:space="0" w:color="auto"/>
        <w:bottom w:val="none" w:sz="0" w:space="0" w:color="auto"/>
        <w:right w:val="none" w:sz="0" w:space="0" w:color="auto"/>
      </w:divBdr>
    </w:div>
    <w:div w:id="1026834257">
      <w:bodyDiv w:val="1"/>
      <w:marLeft w:val="0"/>
      <w:marRight w:val="0"/>
      <w:marTop w:val="0"/>
      <w:marBottom w:val="0"/>
      <w:divBdr>
        <w:top w:val="none" w:sz="0" w:space="0" w:color="auto"/>
        <w:left w:val="none" w:sz="0" w:space="0" w:color="auto"/>
        <w:bottom w:val="none" w:sz="0" w:space="0" w:color="auto"/>
        <w:right w:val="none" w:sz="0" w:space="0" w:color="auto"/>
      </w:divBdr>
    </w:div>
    <w:div w:id="1031805188">
      <w:bodyDiv w:val="1"/>
      <w:marLeft w:val="0"/>
      <w:marRight w:val="0"/>
      <w:marTop w:val="0"/>
      <w:marBottom w:val="0"/>
      <w:divBdr>
        <w:top w:val="none" w:sz="0" w:space="0" w:color="auto"/>
        <w:left w:val="none" w:sz="0" w:space="0" w:color="auto"/>
        <w:bottom w:val="none" w:sz="0" w:space="0" w:color="auto"/>
        <w:right w:val="none" w:sz="0" w:space="0" w:color="auto"/>
      </w:divBdr>
    </w:div>
    <w:div w:id="1032069601">
      <w:bodyDiv w:val="1"/>
      <w:marLeft w:val="0"/>
      <w:marRight w:val="0"/>
      <w:marTop w:val="0"/>
      <w:marBottom w:val="0"/>
      <w:divBdr>
        <w:top w:val="none" w:sz="0" w:space="0" w:color="auto"/>
        <w:left w:val="none" w:sz="0" w:space="0" w:color="auto"/>
        <w:bottom w:val="none" w:sz="0" w:space="0" w:color="auto"/>
        <w:right w:val="none" w:sz="0" w:space="0" w:color="auto"/>
      </w:divBdr>
    </w:div>
    <w:div w:id="1046759781">
      <w:bodyDiv w:val="1"/>
      <w:marLeft w:val="0"/>
      <w:marRight w:val="0"/>
      <w:marTop w:val="0"/>
      <w:marBottom w:val="0"/>
      <w:divBdr>
        <w:top w:val="none" w:sz="0" w:space="0" w:color="auto"/>
        <w:left w:val="none" w:sz="0" w:space="0" w:color="auto"/>
        <w:bottom w:val="none" w:sz="0" w:space="0" w:color="auto"/>
        <w:right w:val="none" w:sz="0" w:space="0" w:color="auto"/>
      </w:divBdr>
    </w:div>
    <w:div w:id="1052508508">
      <w:bodyDiv w:val="1"/>
      <w:marLeft w:val="0"/>
      <w:marRight w:val="0"/>
      <w:marTop w:val="0"/>
      <w:marBottom w:val="0"/>
      <w:divBdr>
        <w:top w:val="none" w:sz="0" w:space="0" w:color="auto"/>
        <w:left w:val="none" w:sz="0" w:space="0" w:color="auto"/>
        <w:bottom w:val="none" w:sz="0" w:space="0" w:color="auto"/>
        <w:right w:val="none" w:sz="0" w:space="0" w:color="auto"/>
      </w:divBdr>
    </w:div>
    <w:div w:id="1059132676">
      <w:bodyDiv w:val="1"/>
      <w:marLeft w:val="0"/>
      <w:marRight w:val="0"/>
      <w:marTop w:val="0"/>
      <w:marBottom w:val="0"/>
      <w:divBdr>
        <w:top w:val="none" w:sz="0" w:space="0" w:color="auto"/>
        <w:left w:val="none" w:sz="0" w:space="0" w:color="auto"/>
        <w:bottom w:val="none" w:sz="0" w:space="0" w:color="auto"/>
        <w:right w:val="none" w:sz="0" w:space="0" w:color="auto"/>
      </w:divBdr>
    </w:div>
    <w:div w:id="1059864085">
      <w:bodyDiv w:val="1"/>
      <w:marLeft w:val="0"/>
      <w:marRight w:val="0"/>
      <w:marTop w:val="0"/>
      <w:marBottom w:val="0"/>
      <w:divBdr>
        <w:top w:val="none" w:sz="0" w:space="0" w:color="auto"/>
        <w:left w:val="none" w:sz="0" w:space="0" w:color="auto"/>
        <w:bottom w:val="none" w:sz="0" w:space="0" w:color="auto"/>
        <w:right w:val="none" w:sz="0" w:space="0" w:color="auto"/>
      </w:divBdr>
    </w:div>
    <w:div w:id="1069111167">
      <w:bodyDiv w:val="1"/>
      <w:marLeft w:val="0"/>
      <w:marRight w:val="0"/>
      <w:marTop w:val="0"/>
      <w:marBottom w:val="0"/>
      <w:divBdr>
        <w:top w:val="none" w:sz="0" w:space="0" w:color="auto"/>
        <w:left w:val="none" w:sz="0" w:space="0" w:color="auto"/>
        <w:bottom w:val="none" w:sz="0" w:space="0" w:color="auto"/>
        <w:right w:val="none" w:sz="0" w:space="0" w:color="auto"/>
      </w:divBdr>
    </w:div>
    <w:div w:id="1087922302">
      <w:bodyDiv w:val="1"/>
      <w:marLeft w:val="0"/>
      <w:marRight w:val="0"/>
      <w:marTop w:val="0"/>
      <w:marBottom w:val="0"/>
      <w:divBdr>
        <w:top w:val="none" w:sz="0" w:space="0" w:color="auto"/>
        <w:left w:val="none" w:sz="0" w:space="0" w:color="auto"/>
        <w:bottom w:val="none" w:sz="0" w:space="0" w:color="auto"/>
        <w:right w:val="none" w:sz="0" w:space="0" w:color="auto"/>
      </w:divBdr>
    </w:div>
    <w:div w:id="1090010609">
      <w:bodyDiv w:val="1"/>
      <w:marLeft w:val="0"/>
      <w:marRight w:val="0"/>
      <w:marTop w:val="0"/>
      <w:marBottom w:val="0"/>
      <w:divBdr>
        <w:top w:val="none" w:sz="0" w:space="0" w:color="auto"/>
        <w:left w:val="none" w:sz="0" w:space="0" w:color="auto"/>
        <w:bottom w:val="none" w:sz="0" w:space="0" w:color="auto"/>
        <w:right w:val="none" w:sz="0" w:space="0" w:color="auto"/>
      </w:divBdr>
    </w:div>
    <w:div w:id="1090934498">
      <w:bodyDiv w:val="1"/>
      <w:marLeft w:val="0"/>
      <w:marRight w:val="0"/>
      <w:marTop w:val="0"/>
      <w:marBottom w:val="0"/>
      <w:divBdr>
        <w:top w:val="none" w:sz="0" w:space="0" w:color="auto"/>
        <w:left w:val="none" w:sz="0" w:space="0" w:color="auto"/>
        <w:bottom w:val="none" w:sz="0" w:space="0" w:color="auto"/>
        <w:right w:val="none" w:sz="0" w:space="0" w:color="auto"/>
      </w:divBdr>
    </w:div>
    <w:div w:id="1095634788">
      <w:bodyDiv w:val="1"/>
      <w:marLeft w:val="0"/>
      <w:marRight w:val="0"/>
      <w:marTop w:val="0"/>
      <w:marBottom w:val="0"/>
      <w:divBdr>
        <w:top w:val="none" w:sz="0" w:space="0" w:color="auto"/>
        <w:left w:val="none" w:sz="0" w:space="0" w:color="auto"/>
        <w:bottom w:val="none" w:sz="0" w:space="0" w:color="auto"/>
        <w:right w:val="none" w:sz="0" w:space="0" w:color="auto"/>
      </w:divBdr>
    </w:div>
    <w:div w:id="1107197887">
      <w:bodyDiv w:val="1"/>
      <w:marLeft w:val="0"/>
      <w:marRight w:val="0"/>
      <w:marTop w:val="0"/>
      <w:marBottom w:val="0"/>
      <w:divBdr>
        <w:top w:val="none" w:sz="0" w:space="0" w:color="auto"/>
        <w:left w:val="none" w:sz="0" w:space="0" w:color="auto"/>
        <w:bottom w:val="none" w:sz="0" w:space="0" w:color="auto"/>
        <w:right w:val="none" w:sz="0" w:space="0" w:color="auto"/>
      </w:divBdr>
      <w:divsChild>
        <w:div w:id="367489387">
          <w:marLeft w:val="0"/>
          <w:marRight w:val="0"/>
          <w:marTop w:val="0"/>
          <w:marBottom w:val="0"/>
          <w:divBdr>
            <w:top w:val="none" w:sz="0" w:space="0" w:color="auto"/>
            <w:left w:val="none" w:sz="0" w:space="0" w:color="auto"/>
            <w:bottom w:val="none" w:sz="0" w:space="0" w:color="auto"/>
            <w:right w:val="none" w:sz="0" w:space="0" w:color="auto"/>
          </w:divBdr>
          <w:divsChild>
            <w:div w:id="352416123">
              <w:marLeft w:val="0"/>
              <w:marRight w:val="0"/>
              <w:marTop w:val="0"/>
              <w:marBottom w:val="0"/>
              <w:divBdr>
                <w:top w:val="none" w:sz="0" w:space="0" w:color="auto"/>
                <w:left w:val="none" w:sz="0" w:space="0" w:color="auto"/>
                <w:bottom w:val="none" w:sz="0" w:space="0" w:color="auto"/>
                <w:right w:val="none" w:sz="0" w:space="0" w:color="auto"/>
              </w:divBdr>
              <w:divsChild>
                <w:div w:id="1187062690">
                  <w:marLeft w:val="0"/>
                  <w:marRight w:val="0"/>
                  <w:marTop w:val="0"/>
                  <w:marBottom w:val="0"/>
                  <w:divBdr>
                    <w:top w:val="none" w:sz="0" w:space="0" w:color="auto"/>
                    <w:left w:val="none" w:sz="0" w:space="0" w:color="auto"/>
                    <w:bottom w:val="none" w:sz="0" w:space="0" w:color="auto"/>
                    <w:right w:val="none" w:sz="0" w:space="0" w:color="auto"/>
                  </w:divBdr>
                  <w:divsChild>
                    <w:div w:id="1466433828">
                      <w:marLeft w:val="0"/>
                      <w:marRight w:val="0"/>
                      <w:marTop w:val="0"/>
                      <w:marBottom w:val="0"/>
                      <w:divBdr>
                        <w:top w:val="none" w:sz="0" w:space="0" w:color="auto"/>
                        <w:left w:val="none" w:sz="0" w:space="0" w:color="auto"/>
                        <w:bottom w:val="none" w:sz="0" w:space="0" w:color="auto"/>
                        <w:right w:val="none" w:sz="0" w:space="0" w:color="auto"/>
                      </w:divBdr>
                      <w:divsChild>
                        <w:div w:id="1747725210">
                          <w:marLeft w:val="0"/>
                          <w:marRight w:val="0"/>
                          <w:marTop w:val="0"/>
                          <w:marBottom w:val="0"/>
                          <w:divBdr>
                            <w:top w:val="none" w:sz="0" w:space="0" w:color="auto"/>
                            <w:left w:val="none" w:sz="0" w:space="0" w:color="auto"/>
                            <w:bottom w:val="none" w:sz="0" w:space="0" w:color="auto"/>
                            <w:right w:val="none" w:sz="0" w:space="0" w:color="auto"/>
                          </w:divBdr>
                          <w:divsChild>
                            <w:div w:id="986397649">
                              <w:marLeft w:val="0"/>
                              <w:marRight w:val="0"/>
                              <w:marTop w:val="0"/>
                              <w:marBottom w:val="0"/>
                              <w:divBdr>
                                <w:top w:val="none" w:sz="0" w:space="0" w:color="auto"/>
                                <w:left w:val="none" w:sz="0" w:space="0" w:color="auto"/>
                                <w:bottom w:val="none" w:sz="0" w:space="0" w:color="auto"/>
                                <w:right w:val="none" w:sz="0" w:space="0" w:color="auto"/>
                              </w:divBdr>
                              <w:divsChild>
                                <w:div w:id="17256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32673">
          <w:marLeft w:val="0"/>
          <w:marRight w:val="0"/>
          <w:marTop w:val="0"/>
          <w:marBottom w:val="0"/>
          <w:divBdr>
            <w:top w:val="none" w:sz="0" w:space="0" w:color="auto"/>
            <w:left w:val="none" w:sz="0" w:space="0" w:color="auto"/>
            <w:bottom w:val="none" w:sz="0" w:space="0" w:color="auto"/>
            <w:right w:val="none" w:sz="0" w:space="0" w:color="auto"/>
          </w:divBdr>
          <w:divsChild>
            <w:div w:id="743646791">
              <w:marLeft w:val="0"/>
              <w:marRight w:val="0"/>
              <w:marTop w:val="0"/>
              <w:marBottom w:val="0"/>
              <w:divBdr>
                <w:top w:val="none" w:sz="0" w:space="0" w:color="auto"/>
                <w:left w:val="none" w:sz="0" w:space="0" w:color="auto"/>
                <w:bottom w:val="none" w:sz="0" w:space="0" w:color="auto"/>
                <w:right w:val="none" w:sz="0" w:space="0" w:color="auto"/>
              </w:divBdr>
              <w:divsChild>
                <w:div w:id="269556635">
                  <w:marLeft w:val="0"/>
                  <w:marRight w:val="0"/>
                  <w:marTop w:val="0"/>
                  <w:marBottom w:val="0"/>
                  <w:divBdr>
                    <w:top w:val="none" w:sz="0" w:space="0" w:color="auto"/>
                    <w:left w:val="none" w:sz="0" w:space="0" w:color="auto"/>
                    <w:bottom w:val="none" w:sz="0" w:space="0" w:color="auto"/>
                    <w:right w:val="none" w:sz="0" w:space="0" w:color="auto"/>
                  </w:divBdr>
                  <w:divsChild>
                    <w:div w:id="142432820">
                      <w:marLeft w:val="0"/>
                      <w:marRight w:val="0"/>
                      <w:marTop w:val="0"/>
                      <w:marBottom w:val="0"/>
                      <w:divBdr>
                        <w:top w:val="none" w:sz="0" w:space="0" w:color="auto"/>
                        <w:left w:val="none" w:sz="0" w:space="0" w:color="auto"/>
                        <w:bottom w:val="none" w:sz="0" w:space="0" w:color="auto"/>
                        <w:right w:val="none" w:sz="0" w:space="0" w:color="auto"/>
                      </w:divBdr>
                      <w:divsChild>
                        <w:div w:id="1539315720">
                          <w:marLeft w:val="0"/>
                          <w:marRight w:val="0"/>
                          <w:marTop w:val="0"/>
                          <w:marBottom w:val="0"/>
                          <w:divBdr>
                            <w:top w:val="none" w:sz="0" w:space="0" w:color="auto"/>
                            <w:left w:val="none" w:sz="0" w:space="0" w:color="auto"/>
                            <w:bottom w:val="none" w:sz="0" w:space="0" w:color="auto"/>
                            <w:right w:val="none" w:sz="0" w:space="0" w:color="auto"/>
                          </w:divBdr>
                          <w:divsChild>
                            <w:div w:id="1532496492">
                              <w:marLeft w:val="0"/>
                              <w:marRight w:val="0"/>
                              <w:marTop w:val="0"/>
                              <w:marBottom w:val="0"/>
                              <w:divBdr>
                                <w:top w:val="none" w:sz="0" w:space="0" w:color="auto"/>
                                <w:left w:val="none" w:sz="0" w:space="0" w:color="auto"/>
                                <w:bottom w:val="none" w:sz="0" w:space="0" w:color="auto"/>
                                <w:right w:val="none" w:sz="0" w:space="0" w:color="auto"/>
                              </w:divBdr>
                              <w:divsChild>
                                <w:div w:id="10263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905145">
          <w:marLeft w:val="0"/>
          <w:marRight w:val="0"/>
          <w:marTop w:val="0"/>
          <w:marBottom w:val="0"/>
          <w:divBdr>
            <w:top w:val="none" w:sz="0" w:space="0" w:color="auto"/>
            <w:left w:val="none" w:sz="0" w:space="0" w:color="auto"/>
            <w:bottom w:val="none" w:sz="0" w:space="0" w:color="auto"/>
            <w:right w:val="none" w:sz="0" w:space="0" w:color="auto"/>
          </w:divBdr>
          <w:divsChild>
            <w:div w:id="694310615">
              <w:marLeft w:val="0"/>
              <w:marRight w:val="0"/>
              <w:marTop w:val="0"/>
              <w:marBottom w:val="0"/>
              <w:divBdr>
                <w:top w:val="none" w:sz="0" w:space="0" w:color="auto"/>
                <w:left w:val="none" w:sz="0" w:space="0" w:color="auto"/>
                <w:bottom w:val="none" w:sz="0" w:space="0" w:color="auto"/>
                <w:right w:val="none" w:sz="0" w:space="0" w:color="auto"/>
              </w:divBdr>
              <w:divsChild>
                <w:div w:id="303782546">
                  <w:marLeft w:val="0"/>
                  <w:marRight w:val="0"/>
                  <w:marTop w:val="0"/>
                  <w:marBottom w:val="0"/>
                  <w:divBdr>
                    <w:top w:val="none" w:sz="0" w:space="0" w:color="auto"/>
                    <w:left w:val="none" w:sz="0" w:space="0" w:color="auto"/>
                    <w:bottom w:val="none" w:sz="0" w:space="0" w:color="auto"/>
                    <w:right w:val="none" w:sz="0" w:space="0" w:color="auto"/>
                  </w:divBdr>
                  <w:divsChild>
                    <w:div w:id="2087992158">
                      <w:marLeft w:val="0"/>
                      <w:marRight w:val="0"/>
                      <w:marTop w:val="0"/>
                      <w:marBottom w:val="0"/>
                      <w:divBdr>
                        <w:top w:val="none" w:sz="0" w:space="0" w:color="auto"/>
                        <w:left w:val="none" w:sz="0" w:space="0" w:color="auto"/>
                        <w:bottom w:val="none" w:sz="0" w:space="0" w:color="auto"/>
                        <w:right w:val="none" w:sz="0" w:space="0" w:color="auto"/>
                      </w:divBdr>
                      <w:divsChild>
                        <w:div w:id="968707324">
                          <w:marLeft w:val="0"/>
                          <w:marRight w:val="0"/>
                          <w:marTop w:val="0"/>
                          <w:marBottom w:val="0"/>
                          <w:divBdr>
                            <w:top w:val="none" w:sz="0" w:space="0" w:color="auto"/>
                            <w:left w:val="none" w:sz="0" w:space="0" w:color="auto"/>
                            <w:bottom w:val="none" w:sz="0" w:space="0" w:color="auto"/>
                            <w:right w:val="none" w:sz="0" w:space="0" w:color="auto"/>
                          </w:divBdr>
                          <w:divsChild>
                            <w:div w:id="1516993599">
                              <w:marLeft w:val="0"/>
                              <w:marRight w:val="0"/>
                              <w:marTop w:val="0"/>
                              <w:marBottom w:val="0"/>
                              <w:divBdr>
                                <w:top w:val="none" w:sz="0" w:space="0" w:color="auto"/>
                                <w:left w:val="none" w:sz="0" w:space="0" w:color="auto"/>
                                <w:bottom w:val="none" w:sz="0" w:space="0" w:color="auto"/>
                                <w:right w:val="none" w:sz="0" w:space="0" w:color="auto"/>
                              </w:divBdr>
                              <w:divsChild>
                                <w:div w:id="17668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60954">
          <w:marLeft w:val="0"/>
          <w:marRight w:val="0"/>
          <w:marTop w:val="0"/>
          <w:marBottom w:val="0"/>
          <w:divBdr>
            <w:top w:val="none" w:sz="0" w:space="0" w:color="auto"/>
            <w:left w:val="none" w:sz="0" w:space="0" w:color="auto"/>
            <w:bottom w:val="none" w:sz="0" w:space="0" w:color="auto"/>
            <w:right w:val="none" w:sz="0" w:space="0" w:color="auto"/>
          </w:divBdr>
          <w:divsChild>
            <w:div w:id="1069770797">
              <w:marLeft w:val="0"/>
              <w:marRight w:val="0"/>
              <w:marTop w:val="0"/>
              <w:marBottom w:val="0"/>
              <w:divBdr>
                <w:top w:val="none" w:sz="0" w:space="0" w:color="auto"/>
                <w:left w:val="none" w:sz="0" w:space="0" w:color="auto"/>
                <w:bottom w:val="none" w:sz="0" w:space="0" w:color="auto"/>
                <w:right w:val="none" w:sz="0" w:space="0" w:color="auto"/>
              </w:divBdr>
              <w:divsChild>
                <w:div w:id="1596161982">
                  <w:marLeft w:val="0"/>
                  <w:marRight w:val="0"/>
                  <w:marTop w:val="0"/>
                  <w:marBottom w:val="0"/>
                  <w:divBdr>
                    <w:top w:val="none" w:sz="0" w:space="0" w:color="auto"/>
                    <w:left w:val="none" w:sz="0" w:space="0" w:color="auto"/>
                    <w:bottom w:val="none" w:sz="0" w:space="0" w:color="auto"/>
                    <w:right w:val="none" w:sz="0" w:space="0" w:color="auto"/>
                  </w:divBdr>
                  <w:divsChild>
                    <w:div w:id="2079475599">
                      <w:marLeft w:val="0"/>
                      <w:marRight w:val="0"/>
                      <w:marTop w:val="0"/>
                      <w:marBottom w:val="0"/>
                      <w:divBdr>
                        <w:top w:val="none" w:sz="0" w:space="0" w:color="auto"/>
                        <w:left w:val="none" w:sz="0" w:space="0" w:color="auto"/>
                        <w:bottom w:val="none" w:sz="0" w:space="0" w:color="auto"/>
                        <w:right w:val="none" w:sz="0" w:space="0" w:color="auto"/>
                      </w:divBdr>
                      <w:divsChild>
                        <w:div w:id="573122035">
                          <w:marLeft w:val="0"/>
                          <w:marRight w:val="0"/>
                          <w:marTop w:val="0"/>
                          <w:marBottom w:val="0"/>
                          <w:divBdr>
                            <w:top w:val="none" w:sz="0" w:space="0" w:color="auto"/>
                            <w:left w:val="none" w:sz="0" w:space="0" w:color="auto"/>
                            <w:bottom w:val="none" w:sz="0" w:space="0" w:color="auto"/>
                            <w:right w:val="none" w:sz="0" w:space="0" w:color="auto"/>
                          </w:divBdr>
                          <w:divsChild>
                            <w:div w:id="231546022">
                              <w:marLeft w:val="0"/>
                              <w:marRight w:val="0"/>
                              <w:marTop w:val="0"/>
                              <w:marBottom w:val="0"/>
                              <w:divBdr>
                                <w:top w:val="none" w:sz="0" w:space="0" w:color="auto"/>
                                <w:left w:val="none" w:sz="0" w:space="0" w:color="auto"/>
                                <w:bottom w:val="none" w:sz="0" w:space="0" w:color="auto"/>
                                <w:right w:val="none" w:sz="0" w:space="0" w:color="auto"/>
                              </w:divBdr>
                              <w:divsChild>
                                <w:div w:id="17626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892711">
      <w:bodyDiv w:val="1"/>
      <w:marLeft w:val="0"/>
      <w:marRight w:val="0"/>
      <w:marTop w:val="0"/>
      <w:marBottom w:val="0"/>
      <w:divBdr>
        <w:top w:val="none" w:sz="0" w:space="0" w:color="auto"/>
        <w:left w:val="none" w:sz="0" w:space="0" w:color="auto"/>
        <w:bottom w:val="none" w:sz="0" w:space="0" w:color="auto"/>
        <w:right w:val="none" w:sz="0" w:space="0" w:color="auto"/>
      </w:divBdr>
    </w:div>
    <w:div w:id="1121460881">
      <w:bodyDiv w:val="1"/>
      <w:marLeft w:val="0"/>
      <w:marRight w:val="0"/>
      <w:marTop w:val="0"/>
      <w:marBottom w:val="0"/>
      <w:divBdr>
        <w:top w:val="none" w:sz="0" w:space="0" w:color="auto"/>
        <w:left w:val="none" w:sz="0" w:space="0" w:color="auto"/>
        <w:bottom w:val="none" w:sz="0" w:space="0" w:color="auto"/>
        <w:right w:val="none" w:sz="0" w:space="0" w:color="auto"/>
      </w:divBdr>
    </w:div>
    <w:div w:id="1123496597">
      <w:bodyDiv w:val="1"/>
      <w:marLeft w:val="0"/>
      <w:marRight w:val="0"/>
      <w:marTop w:val="0"/>
      <w:marBottom w:val="0"/>
      <w:divBdr>
        <w:top w:val="none" w:sz="0" w:space="0" w:color="auto"/>
        <w:left w:val="none" w:sz="0" w:space="0" w:color="auto"/>
        <w:bottom w:val="none" w:sz="0" w:space="0" w:color="auto"/>
        <w:right w:val="none" w:sz="0" w:space="0" w:color="auto"/>
      </w:divBdr>
    </w:div>
    <w:div w:id="1124614134">
      <w:bodyDiv w:val="1"/>
      <w:marLeft w:val="0"/>
      <w:marRight w:val="0"/>
      <w:marTop w:val="0"/>
      <w:marBottom w:val="0"/>
      <w:divBdr>
        <w:top w:val="none" w:sz="0" w:space="0" w:color="auto"/>
        <w:left w:val="none" w:sz="0" w:space="0" w:color="auto"/>
        <w:bottom w:val="none" w:sz="0" w:space="0" w:color="auto"/>
        <w:right w:val="none" w:sz="0" w:space="0" w:color="auto"/>
      </w:divBdr>
    </w:div>
    <w:div w:id="1136143157">
      <w:bodyDiv w:val="1"/>
      <w:marLeft w:val="0"/>
      <w:marRight w:val="0"/>
      <w:marTop w:val="0"/>
      <w:marBottom w:val="0"/>
      <w:divBdr>
        <w:top w:val="none" w:sz="0" w:space="0" w:color="auto"/>
        <w:left w:val="none" w:sz="0" w:space="0" w:color="auto"/>
        <w:bottom w:val="none" w:sz="0" w:space="0" w:color="auto"/>
        <w:right w:val="none" w:sz="0" w:space="0" w:color="auto"/>
      </w:divBdr>
    </w:div>
    <w:div w:id="1140534455">
      <w:bodyDiv w:val="1"/>
      <w:marLeft w:val="0"/>
      <w:marRight w:val="0"/>
      <w:marTop w:val="0"/>
      <w:marBottom w:val="0"/>
      <w:divBdr>
        <w:top w:val="none" w:sz="0" w:space="0" w:color="auto"/>
        <w:left w:val="none" w:sz="0" w:space="0" w:color="auto"/>
        <w:bottom w:val="none" w:sz="0" w:space="0" w:color="auto"/>
        <w:right w:val="none" w:sz="0" w:space="0" w:color="auto"/>
      </w:divBdr>
    </w:div>
    <w:div w:id="1141075532">
      <w:bodyDiv w:val="1"/>
      <w:marLeft w:val="0"/>
      <w:marRight w:val="0"/>
      <w:marTop w:val="0"/>
      <w:marBottom w:val="0"/>
      <w:divBdr>
        <w:top w:val="none" w:sz="0" w:space="0" w:color="auto"/>
        <w:left w:val="none" w:sz="0" w:space="0" w:color="auto"/>
        <w:bottom w:val="none" w:sz="0" w:space="0" w:color="auto"/>
        <w:right w:val="none" w:sz="0" w:space="0" w:color="auto"/>
      </w:divBdr>
    </w:div>
    <w:div w:id="1143346630">
      <w:bodyDiv w:val="1"/>
      <w:marLeft w:val="0"/>
      <w:marRight w:val="0"/>
      <w:marTop w:val="0"/>
      <w:marBottom w:val="0"/>
      <w:divBdr>
        <w:top w:val="none" w:sz="0" w:space="0" w:color="auto"/>
        <w:left w:val="none" w:sz="0" w:space="0" w:color="auto"/>
        <w:bottom w:val="none" w:sz="0" w:space="0" w:color="auto"/>
        <w:right w:val="none" w:sz="0" w:space="0" w:color="auto"/>
      </w:divBdr>
    </w:div>
    <w:div w:id="1154908121">
      <w:bodyDiv w:val="1"/>
      <w:marLeft w:val="0"/>
      <w:marRight w:val="0"/>
      <w:marTop w:val="0"/>
      <w:marBottom w:val="0"/>
      <w:divBdr>
        <w:top w:val="none" w:sz="0" w:space="0" w:color="auto"/>
        <w:left w:val="none" w:sz="0" w:space="0" w:color="auto"/>
        <w:bottom w:val="none" w:sz="0" w:space="0" w:color="auto"/>
        <w:right w:val="none" w:sz="0" w:space="0" w:color="auto"/>
      </w:divBdr>
    </w:div>
    <w:div w:id="1161192790">
      <w:bodyDiv w:val="1"/>
      <w:marLeft w:val="0"/>
      <w:marRight w:val="0"/>
      <w:marTop w:val="0"/>
      <w:marBottom w:val="0"/>
      <w:divBdr>
        <w:top w:val="none" w:sz="0" w:space="0" w:color="auto"/>
        <w:left w:val="none" w:sz="0" w:space="0" w:color="auto"/>
        <w:bottom w:val="none" w:sz="0" w:space="0" w:color="auto"/>
        <w:right w:val="none" w:sz="0" w:space="0" w:color="auto"/>
      </w:divBdr>
    </w:div>
    <w:div w:id="1163551478">
      <w:bodyDiv w:val="1"/>
      <w:marLeft w:val="0"/>
      <w:marRight w:val="0"/>
      <w:marTop w:val="0"/>
      <w:marBottom w:val="0"/>
      <w:divBdr>
        <w:top w:val="none" w:sz="0" w:space="0" w:color="auto"/>
        <w:left w:val="none" w:sz="0" w:space="0" w:color="auto"/>
        <w:bottom w:val="none" w:sz="0" w:space="0" w:color="auto"/>
        <w:right w:val="none" w:sz="0" w:space="0" w:color="auto"/>
      </w:divBdr>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
    <w:div w:id="1171020416">
      <w:bodyDiv w:val="1"/>
      <w:marLeft w:val="0"/>
      <w:marRight w:val="0"/>
      <w:marTop w:val="0"/>
      <w:marBottom w:val="0"/>
      <w:divBdr>
        <w:top w:val="none" w:sz="0" w:space="0" w:color="auto"/>
        <w:left w:val="none" w:sz="0" w:space="0" w:color="auto"/>
        <w:bottom w:val="none" w:sz="0" w:space="0" w:color="auto"/>
        <w:right w:val="none" w:sz="0" w:space="0" w:color="auto"/>
      </w:divBdr>
    </w:div>
    <w:div w:id="1174685870">
      <w:bodyDiv w:val="1"/>
      <w:marLeft w:val="0"/>
      <w:marRight w:val="0"/>
      <w:marTop w:val="0"/>
      <w:marBottom w:val="0"/>
      <w:divBdr>
        <w:top w:val="none" w:sz="0" w:space="0" w:color="auto"/>
        <w:left w:val="none" w:sz="0" w:space="0" w:color="auto"/>
        <w:bottom w:val="none" w:sz="0" w:space="0" w:color="auto"/>
        <w:right w:val="none" w:sz="0" w:space="0" w:color="auto"/>
      </w:divBdr>
    </w:div>
    <w:div w:id="1179854568">
      <w:bodyDiv w:val="1"/>
      <w:marLeft w:val="0"/>
      <w:marRight w:val="0"/>
      <w:marTop w:val="0"/>
      <w:marBottom w:val="0"/>
      <w:divBdr>
        <w:top w:val="none" w:sz="0" w:space="0" w:color="auto"/>
        <w:left w:val="none" w:sz="0" w:space="0" w:color="auto"/>
        <w:bottom w:val="none" w:sz="0" w:space="0" w:color="auto"/>
        <w:right w:val="none" w:sz="0" w:space="0" w:color="auto"/>
      </w:divBdr>
    </w:div>
    <w:div w:id="1183981869">
      <w:bodyDiv w:val="1"/>
      <w:marLeft w:val="0"/>
      <w:marRight w:val="0"/>
      <w:marTop w:val="0"/>
      <w:marBottom w:val="0"/>
      <w:divBdr>
        <w:top w:val="none" w:sz="0" w:space="0" w:color="auto"/>
        <w:left w:val="none" w:sz="0" w:space="0" w:color="auto"/>
        <w:bottom w:val="none" w:sz="0" w:space="0" w:color="auto"/>
        <w:right w:val="none" w:sz="0" w:space="0" w:color="auto"/>
      </w:divBdr>
    </w:div>
    <w:div w:id="1184786272">
      <w:bodyDiv w:val="1"/>
      <w:marLeft w:val="0"/>
      <w:marRight w:val="0"/>
      <w:marTop w:val="0"/>
      <w:marBottom w:val="0"/>
      <w:divBdr>
        <w:top w:val="none" w:sz="0" w:space="0" w:color="auto"/>
        <w:left w:val="none" w:sz="0" w:space="0" w:color="auto"/>
        <w:bottom w:val="none" w:sz="0" w:space="0" w:color="auto"/>
        <w:right w:val="none" w:sz="0" w:space="0" w:color="auto"/>
      </w:divBdr>
    </w:div>
    <w:div w:id="1189833190">
      <w:bodyDiv w:val="1"/>
      <w:marLeft w:val="0"/>
      <w:marRight w:val="0"/>
      <w:marTop w:val="0"/>
      <w:marBottom w:val="0"/>
      <w:divBdr>
        <w:top w:val="none" w:sz="0" w:space="0" w:color="auto"/>
        <w:left w:val="none" w:sz="0" w:space="0" w:color="auto"/>
        <w:bottom w:val="none" w:sz="0" w:space="0" w:color="auto"/>
        <w:right w:val="none" w:sz="0" w:space="0" w:color="auto"/>
      </w:divBdr>
    </w:div>
    <w:div w:id="1194155294">
      <w:bodyDiv w:val="1"/>
      <w:marLeft w:val="0"/>
      <w:marRight w:val="0"/>
      <w:marTop w:val="0"/>
      <w:marBottom w:val="0"/>
      <w:divBdr>
        <w:top w:val="none" w:sz="0" w:space="0" w:color="auto"/>
        <w:left w:val="none" w:sz="0" w:space="0" w:color="auto"/>
        <w:bottom w:val="none" w:sz="0" w:space="0" w:color="auto"/>
        <w:right w:val="none" w:sz="0" w:space="0" w:color="auto"/>
      </w:divBdr>
      <w:divsChild>
        <w:div w:id="738938271">
          <w:marLeft w:val="0"/>
          <w:marRight w:val="0"/>
          <w:marTop w:val="0"/>
          <w:marBottom w:val="0"/>
          <w:divBdr>
            <w:top w:val="none" w:sz="0" w:space="0" w:color="auto"/>
            <w:left w:val="none" w:sz="0" w:space="0" w:color="auto"/>
            <w:bottom w:val="none" w:sz="0" w:space="0" w:color="auto"/>
            <w:right w:val="none" w:sz="0" w:space="0" w:color="auto"/>
          </w:divBdr>
        </w:div>
        <w:div w:id="1545213105">
          <w:marLeft w:val="0"/>
          <w:marRight w:val="0"/>
          <w:marTop w:val="0"/>
          <w:marBottom w:val="0"/>
          <w:divBdr>
            <w:top w:val="none" w:sz="0" w:space="0" w:color="auto"/>
            <w:left w:val="none" w:sz="0" w:space="0" w:color="auto"/>
            <w:bottom w:val="none" w:sz="0" w:space="0" w:color="auto"/>
            <w:right w:val="none" w:sz="0" w:space="0" w:color="auto"/>
          </w:divBdr>
        </w:div>
      </w:divsChild>
    </w:div>
    <w:div w:id="1209490859">
      <w:bodyDiv w:val="1"/>
      <w:marLeft w:val="0"/>
      <w:marRight w:val="0"/>
      <w:marTop w:val="0"/>
      <w:marBottom w:val="0"/>
      <w:divBdr>
        <w:top w:val="none" w:sz="0" w:space="0" w:color="auto"/>
        <w:left w:val="none" w:sz="0" w:space="0" w:color="auto"/>
        <w:bottom w:val="none" w:sz="0" w:space="0" w:color="auto"/>
        <w:right w:val="none" w:sz="0" w:space="0" w:color="auto"/>
      </w:divBdr>
    </w:div>
    <w:div w:id="1212309532">
      <w:bodyDiv w:val="1"/>
      <w:marLeft w:val="0"/>
      <w:marRight w:val="0"/>
      <w:marTop w:val="0"/>
      <w:marBottom w:val="0"/>
      <w:divBdr>
        <w:top w:val="none" w:sz="0" w:space="0" w:color="auto"/>
        <w:left w:val="none" w:sz="0" w:space="0" w:color="auto"/>
        <w:bottom w:val="none" w:sz="0" w:space="0" w:color="auto"/>
        <w:right w:val="none" w:sz="0" w:space="0" w:color="auto"/>
      </w:divBdr>
    </w:div>
    <w:div w:id="1216966203">
      <w:bodyDiv w:val="1"/>
      <w:marLeft w:val="0"/>
      <w:marRight w:val="0"/>
      <w:marTop w:val="0"/>
      <w:marBottom w:val="0"/>
      <w:divBdr>
        <w:top w:val="none" w:sz="0" w:space="0" w:color="auto"/>
        <w:left w:val="none" w:sz="0" w:space="0" w:color="auto"/>
        <w:bottom w:val="none" w:sz="0" w:space="0" w:color="auto"/>
        <w:right w:val="none" w:sz="0" w:space="0" w:color="auto"/>
      </w:divBdr>
      <w:divsChild>
        <w:div w:id="72749251">
          <w:marLeft w:val="0"/>
          <w:marRight w:val="0"/>
          <w:marTop w:val="0"/>
          <w:marBottom w:val="0"/>
          <w:divBdr>
            <w:top w:val="none" w:sz="0" w:space="0" w:color="auto"/>
            <w:left w:val="none" w:sz="0" w:space="0" w:color="auto"/>
            <w:bottom w:val="none" w:sz="0" w:space="0" w:color="auto"/>
            <w:right w:val="none" w:sz="0" w:space="0" w:color="auto"/>
          </w:divBdr>
        </w:div>
        <w:div w:id="202527159">
          <w:marLeft w:val="0"/>
          <w:marRight w:val="0"/>
          <w:marTop w:val="0"/>
          <w:marBottom w:val="0"/>
          <w:divBdr>
            <w:top w:val="none" w:sz="0" w:space="0" w:color="auto"/>
            <w:left w:val="none" w:sz="0" w:space="0" w:color="auto"/>
            <w:bottom w:val="none" w:sz="0" w:space="0" w:color="auto"/>
            <w:right w:val="none" w:sz="0" w:space="0" w:color="auto"/>
          </w:divBdr>
        </w:div>
        <w:div w:id="208616928">
          <w:marLeft w:val="0"/>
          <w:marRight w:val="0"/>
          <w:marTop w:val="0"/>
          <w:marBottom w:val="0"/>
          <w:divBdr>
            <w:top w:val="none" w:sz="0" w:space="0" w:color="auto"/>
            <w:left w:val="none" w:sz="0" w:space="0" w:color="auto"/>
            <w:bottom w:val="none" w:sz="0" w:space="0" w:color="auto"/>
            <w:right w:val="none" w:sz="0" w:space="0" w:color="auto"/>
          </w:divBdr>
        </w:div>
        <w:div w:id="252906385">
          <w:marLeft w:val="0"/>
          <w:marRight w:val="0"/>
          <w:marTop w:val="0"/>
          <w:marBottom w:val="0"/>
          <w:divBdr>
            <w:top w:val="none" w:sz="0" w:space="0" w:color="auto"/>
            <w:left w:val="none" w:sz="0" w:space="0" w:color="auto"/>
            <w:bottom w:val="none" w:sz="0" w:space="0" w:color="auto"/>
            <w:right w:val="none" w:sz="0" w:space="0" w:color="auto"/>
          </w:divBdr>
        </w:div>
        <w:div w:id="496725241">
          <w:marLeft w:val="0"/>
          <w:marRight w:val="0"/>
          <w:marTop w:val="0"/>
          <w:marBottom w:val="0"/>
          <w:divBdr>
            <w:top w:val="none" w:sz="0" w:space="0" w:color="auto"/>
            <w:left w:val="none" w:sz="0" w:space="0" w:color="auto"/>
            <w:bottom w:val="none" w:sz="0" w:space="0" w:color="auto"/>
            <w:right w:val="none" w:sz="0" w:space="0" w:color="auto"/>
          </w:divBdr>
        </w:div>
        <w:div w:id="499663929">
          <w:marLeft w:val="0"/>
          <w:marRight w:val="0"/>
          <w:marTop w:val="0"/>
          <w:marBottom w:val="0"/>
          <w:divBdr>
            <w:top w:val="none" w:sz="0" w:space="0" w:color="auto"/>
            <w:left w:val="none" w:sz="0" w:space="0" w:color="auto"/>
            <w:bottom w:val="none" w:sz="0" w:space="0" w:color="auto"/>
            <w:right w:val="none" w:sz="0" w:space="0" w:color="auto"/>
          </w:divBdr>
        </w:div>
        <w:div w:id="520750835">
          <w:marLeft w:val="0"/>
          <w:marRight w:val="0"/>
          <w:marTop w:val="0"/>
          <w:marBottom w:val="0"/>
          <w:divBdr>
            <w:top w:val="none" w:sz="0" w:space="0" w:color="auto"/>
            <w:left w:val="none" w:sz="0" w:space="0" w:color="auto"/>
            <w:bottom w:val="none" w:sz="0" w:space="0" w:color="auto"/>
            <w:right w:val="none" w:sz="0" w:space="0" w:color="auto"/>
          </w:divBdr>
        </w:div>
        <w:div w:id="892546246">
          <w:marLeft w:val="0"/>
          <w:marRight w:val="0"/>
          <w:marTop w:val="0"/>
          <w:marBottom w:val="0"/>
          <w:divBdr>
            <w:top w:val="none" w:sz="0" w:space="0" w:color="auto"/>
            <w:left w:val="none" w:sz="0" w:space="0" w:color="auto"/>
            <w:bottom w:val="none" w:sz="0" w:space="0" w:color="auto"/>
            <w:right w:val="none" w:sz="0" w:space="0" w:color="auto"/>
          </w:divBdr>
        </w:div>
        <w:div w:id="960573154">
          <w:marLeft w:val="0"/>
          <w:marRight w:val="0"/>
          <w:marTop w:val="0"/>
          <w:marBottom w:val="0"/>
          <w:divBdr>
            <w:top w:val="none" w:sz="0" w:space="0" w:color="auto"/>
            <w:left w:val="none" w:sz="0" w:space="0" w:color="auto"/>
            <w:bottom w:val="none" w:sz="0" w:space="0" w:color="auto"/>
            <w:right w:val="none" w:sz="0" w:space="0" w:color="auto"/>
          </w:divBdr>
        </w:div>
        <w:div w:id="1105223225">
          <w:marLeft w:val="0"/>
          <w:marRight w:val="0"/>
          <w:marTop w:val="0"/>
          <w:marBottom w:val="0"/>
          <w:divBdr>
            <w:top w:val="none" w:sz="0" w:space="0" w:color="auto"/>
            <w:left w:val="none" w:sz="0" w:space="0" w:color="auto"/>
            <w:bottom w:val="none" w:sz="0" w:space="0" w:color="auto"/>
            <w:right w:val="none" w:sz="0" w:space="0" w:color="auto"/>
          </w:divBdr>
        </w:div>
        <w:div w:id="1209104728">
          <w:marLeft w:val="0"/>
          <w:marRight w:val="0"/>
          <w:marTop w:val="0"/>
          <w:marBottom w:val="0"/>
          <w:divBdr>
            <w:top w:val="none" w:sz="0" w:space="0" w:color="auto"/>
            <w:left w:val="none" w:sz="0" w:space="0" w:color="auto"/>
            <w:bottom w:val="none" w:sz="0" w:space="0" w:color="auto"/>
            <w:right w:val="none" w:sz="0" w:space="0" w:color="auto"/>
          </w:divBdr>
        </w:div>
        <w:div w:id="1396659517">
          <w:marLeft w:val="0"/>
          <w:marRight w:val="0"/>
          <w:marTop w:val="0"/>
          <w:marBottom w:val="0"/>
          <w:divBdr>
            <w:top w:val="none" w:sz="0" w:space="0" w:color="auto"/>
            <w:left w:val="none" w:sz="0" w:space="0" w:color="auto"/>
            <w:bottom w:val="none" w:sz="0" w:space="0" w:color="auto"/>
            <w:right w:val="none" w:sz="0" w:space="0" w:color="auto"/>
          </w:divBdr>
        </w:div>
        <w:div w:id="1557083618">
          <w:marLeft w:val="0"/>
          <w:marRight w:val="0"/>
          <w:marTop w:val="0"/>
          <w:marBottom w:val="0"/>
          <w:divBdr>
            <w:top w:val="none" w:sz="0" w:space="0" w:color="auto"/>
            <w:left w:val="none" w:sz="0" w:space="0" w:color="auto"/>
            <w:bottom w:val="none" w:sz="0" w:space="0" w:color="auto"/>
            <w:right w:val="none" w:sz="0" w:space="0" w:color="auto"/>
          </w:divBdr>
        </w:div>
        <w:div w:id="1594436607">
          <w:marLeft w:val="0"/>
          <w:marRight w:val="0"/>
          <w:marTop w:val="0"/>
          <w:marBottom w:val="0"/>
          <w:divBdr>
            <w:top w:val="none" w:sz="0" w:space="0" w:color="auto"/>
            <w:left w:val="none" w:sz="0" w:space="0" w:color="auto"/>
            <w:bottom w:val="none" w:sz="0" w:space="0" w:color="auto"/>
            <w:right w:val="none" w:sz="0" w:space="0" w:color="auto"/>
          </w:divBdr>
        </w:div>
        <w:div w:id="1672951025">
          <w:marLeft w:val="0"/>
          <w:marRight w:val="0"/>
          <w:marTop w:val="0"/>
          <w:marBottom w:val="0"/>
          <w:divBdr>
            <w:top w:val="none" w:sz="0" w:space="0" w:color="auto"/>
            <w:left w:val="none" w:sz="0" w:space="0" w:color="auto"/>
            <w:bottom w:val="none" w:sz="0" w:space="0" w:color="auto"/>
            <w:right w:val="none" w:sz="0" w:space="0" w:color="auto"/>
          </w:divBdr>
        </w:div>
        <w:div w:id="1694846986">
          <w:marLeft w:val="0"/>
          <w:marRight w:val="0"/>
          <w:marTop w:val="0"/>
          <w:marBottom w:val="0"/>
          <w:divBdr>
            <w:top w:val="none" w:sz="0" w:space="0" w:color="auto"/>
            <w:left w:val="none" w:sz="0" w:space="0" w:color="auto"/>
            <w:bottom w:val="none" w:sz="0" w:space="0" w:color="auto"/>
            <w:right w:val="none" w:sz="0" w:space="0" w:color="auto"/>
          </w:divBdr>
        </w:div>
        <w:div w:id="1802645998">
          <w:marLeft w:val="0"/>
          <w:marRight w:val="0"/>
          <w:marTop w:val="0"/>
          <w:marBottom w:val="0"/>
          <w:divBdr>
            <w:top w:val="none" w:sz="0" w:space="0" w:color="auto"/>
            <w:left w:val="none" w:sz="0" w:space="0" w:color="auto"/>
            <w:bottom w:val="none" w:sz="0" w:space="0" w:color="auto"/>
            <w:right w:val="none" w:sz="0" w:space="0" w:color="auto"/>
          </w:divBdr>
        </w:div>
        <w:div w:id="1826848062">
          <w:marLeft w:val="0"/>
          <w:marRight w:val="0"/>
          <w:marTop w:val="0"/>
          <w:marBottom w:val="0"/>
          <w:divBdr>
            <w:top w:val="none" w:sz="0" w:space="0" w:color="auto"/>
            <w:left w:val="none" w:sz="0" w:space="0" w:color="auto"/>
            <w:bottom w:val="none" w:sz="0" w:space="0" w:color="auto"/>
            <w:right w:val="none" w:sz="0" w:space="0" w:color="auto"/>
          </w:divBdr>
        </w:div>
        <w:div w:id="1878616451">
          <w:marLeft w:val="0"/>
          <w:marRight w:val="0"/>
          <w:marTop w:val="0"/>
          <w:marBottom w:val="0"/>
          <w:divBdr>
            <w:top w:val="none" w:sz="0" w:space="0" w:color="auto"/>
            <w:left w:val="none" w:sz="0" w:space="0" w:color="auto"/>
            <w:bottom w:val="none" w:sz="0" w:space="0" w:color="auto"/>
            <w:right w:val="none" w:sz="0" w:space="0" w:color="auto"/>
          </w:divBdr>
        </w:div>
        <w:div w:id="2068918512">
          <w:marLeft w:val="0"/>
          <w:marRight w:val="0"/>
          <w:marTop w:val="0"/>
          <w:marBottom w:val="0"/>
          <w:divBdr>
            <w:top w:val="none" w:sz="0" w:space="0" w:color="auto"/>
            <w:left w:val="none" w:sz="0" w:space="0" w:color="auto"/>
            <w:bottom w:val="none" w:sz="0" w:space="0" w:color="auto"/>
            <w:right w:val="none" w:sz="0" w:space="0" w:color="auto"/>
          </w:divBdr>
        </w:div>
      </w:divsChild>
    </w:div>
    <w:div w:id="1217083832">
      <w:bodyDiv w:val="1"/>
      <w:marLeft w:val="0"/>
      <w:marRight w:val="0"/>
      <w:marTop w:val="0"/>
      <w:marBottom w:val="0"/>
      <w:divBdr>
        <w:top w:val="none" w:sz="0" w:space="0" w:color="auto"/>
        <w:left w:val="none" w:sz="0" w:space="0" w:color="auto"/>
        <w:bottom w:val="none" w:sz="0" w:space="0" w:color="auto"/>
        <w:right w:val="none" w:sz="0" w:space="0" w:color="auto"/>
      </w:divBdr>
    </w:div>
    <w:div w:id="1224488749">
      <w:bodyDiv w:val="1"/>
      <w:marLeft w:val="0"/>
      <w:marRight w:val="0"/>
      <w:marTop w:val="0"/>
      <w:marBottom w:val="0"/>
      <w:divBdr>
        <w:top w:val="none" w:sz="0" w:space="0" w:color="auto"/>
        <w:left w:val="none" w:sz="0" w:space="0" w:color="auto"/>
        <w:bottom w:val="none" w:sz="0" w:space="0" w:color="auto"/>
        <w:right w:val="none" w:sz="0" w:space="0" w:color="auto"/>
      </w:divBdr>
      <w:divsChild>
        <w:div w:id="790130521">
          <w:marLeft w:val="0"/>
          <w:marRight w:val="0"/>
          <w:marTop w:val="0"/>
          <w:marBottom w:val="0"/>
          <w:divBdr>
            <w:top w:val="none" w:sz="0" w:space="0" w:color="auto"/>
            <w:left w:val="none" w:sz="0" w:space="0" w:color="auto"/>
            <w:bottom w:val="none" w:sz="0" w:space="0" w:color="auto"/>
            <w:right w:val="none" w:sz="0" w:space="0" w:color="auto"/>
          </w:divBdr>
          <w:divsChild>
            <w:div w:id="545607597">
              <w:marLeft w:val="0"/>
              <w:marRight w:val="0"/>
              <w:marTop w:val="0"/>
              <w:marBottom w:val="0"/>
              <w:divBdr>
                <w:top w:val="none" w:sz="0" w:space="0" w:color="auto"/>
                <w:left w:val="none" w:sz="0" w:space="0" w:color="auto"/>
                <w:bottom w:val="none" w:sz="0" w:space="0" w:color="auto"/>
                <w:right w:val="none" w:sz="0" w:space="0" w:color="auto"/>
              </w:divBdr>
            </w:div>
            <w:div w:id="771361163">
              <w:marLeft w:val="0"/>
              <w:marRight w:val="0"/>
              <w:marTop w:val="0"/>
              <w:marBottom w:val="0"/>
              <w:divBdr>
                <w:top w:val="none" w:sz="0" w:space="0" w:color="auto"/>
                <w:left w:val="none" w:sz="0" w:space="0" w:color="auto"/>
                <w:bottom w:val="none" w:sz="0" w:space="0" w:color="auto"/>
                <w:right w:val="none" w:sz="0" w:space="0" w:color="auto"/>
              </w:divBdr>
            </w:div>
            <w:div w:id="1078139554">
              <w:marLeft w:val="0"/>
              <w:marRight w:val="0"/>
              <w:marTop w:val="0"/>
              <w:marBottom w:val="0"/>
              <w:divBdr>
                <w:top w:val="none" w:sz="0" w:space="0" w:color="auto"/>
                <w:left w:val="none" w:sz="0" w:space="0" w:color="auto"/>
                <w:bottom w:val="none" w:sz="0" w:space="0" w:color="auto"/>
                <w:right w:val="none" w:sz="0" w:space="0" w:color="auto"/>
              </w:divBdr>
            </w:div>
            <w:div w:id="1363704341">
              <w:marLeft w:val="0"/>
              <w:marRight w:val="0"/>
              <w:marTop w:val="0"/>
              <w:marBottom w:val="0"/>
              <w:divBdr>
                <w:top w:val="none" w:sz="0" w:space="0" w:color="auto"/>
                <w:left w:val="none" w:sz="0" w:space="0" w:color="auto"/>
                <w:bottom w:val="none" w:sz="0" w:space="0" w:color="auto"/>
                <w:right w:val="none" w:sz="0" w:space="0" w:color="auto"/>
              </w:divBdr>
            </w:div>
            <w:div w:id="1429890157">
              <w:marLeft w:val="0"/>
              <w:marRight w:val="0"/>
              <w:marTop w:val="0"/>
              <w:marBottom w:val="0"/>
              <w:divBdr>
                <w:top w:val="none" w:sz="0" w:space="0" w:color="auto"/>
                <w:left w:val="none" w:sz="0" w:space="0" w:color="auto"/>
                <w:bottom w:val="none" w:sz="0" w:space="0" w:color="auto"/>
                <w:right w:val="none" w:sz="0" w:space="0" w:color="auto"/>
              </w:divBdr>
            </w:div>
            <w:div w:id="1504124838">
              <w:marLeft w:val="0"/>
              <w:marRight w:val="0"/>
              <w:marTop w:val="0"/>
              <w:marBottom w:val="0"/>
              <w:divBdr>
                <w:top w:val="none" w:sz="0" w:space="0" w:color="auto"/>
                <w:left w:val="none" w:sz="0" w:space="0" w:color="auto"/>
                <w:bottom w:val="none" w:sz="0" w:space="0" w:color="auto"/>
                <w:right w:val="none" w:sz="0" w:space="0" w:color="auto"/>
              </w:divBdr>
            </w:div>
            <w:div w:id="1580597697">
              <w:marLeft w:val="0"/>
              <w:marRight w:val="0"/>
              <w:marTop w:val="0"/>
              <w:marBottom w:val="0"/>
              <w:divBdr>
                <w:top w:val="none" w:sz="0" w:space="0" w:color="auto"/>
                <w:left w:val="none" w:sz="0" w:space="0" w:color="auto"/>
                <w:bottom w:val="none" w:sz="0" w:space="0" w:color="auto"/>
                <w:right w:val="none" w:sz="0" w:space="0" w:color="auto"/>
              </w:divBdr>
            </w:div>
          </w:divsChild>
        </w:div>
        <w:div w:id="1325280063">
          <w:marLeft w:val="0"/>
          <w:marRight w:val="0"/>
          <w:marTop w:val="0"/>
          <w:marBottom w:val="0"/>
          <w:divBdr>
            <w:top w:val="none" w:sz="0" w:space="0" w:color="auto"/>
            <w:left w:val="none" w:sz="0" w:space="0" w:color="auto"/>
            <w:bottom w:val="none" w:sz="0" w:space="0" w:color="auto"/>
            <w:right w:val="none" w:sz="0" w:space="0" w:color="auto"/>
          </w:divBdr>
          <w:divsChild>
            <w:div w:id="63602012">
              <w:marLeft w:val="0"/>
              <w:marRight w:val="0"/>
              <w:marTop w:val="0"/>
              <w:marBottom w:val="0"/>
              <w:divBdr>
                <w:top w:val="none" w:sz="0" w:space="0" w:color="auto"/>
                <w:left w:val="none" w:sz="0" w:space="0" w:color="auto"/>
                <w:bottom w:val="none" w:sz="0" w:space="0" w:color="auto"/>
                <w:right w:val="none" w:sz="0" w:space="0" w:color="auto"/>
              </w:divBdr>
            </w:div>
            <w:div w:id="125851678">
              <w:marLeft w:val="0"/>
              <w:marRight w:val="0"/>
              <w:marTop w:val="0"/>
              <w:marBottom w:val="0"/>
              <w:divBdr>
                <w:top w:val="none" w:sz="0" w:space="0" w:color="auto"/>
                <w:left w:val="none" w:sz="0" w:space="0" w:color="auto"/>
                <w:bottom w:val="none" w:sz="0" w:space="0" w:color="auto"/>
                <w:right w:val="none" w:sz="0" w:space="0" w:color="auto"/>
              </w:divBdr>
            </w:div>
            <w:div w:id="232011481">
              <w:marLeft w:val="0"/>
              <w:marRight w:val="0"/>
              <w:marTop w:val="0"/>
              <w:marBottom w:val="0"/>
              <w:divBdr>
                <w:top w:val="none" w:sz="0" w:space="0" w:color="auto"/>
                <w:left w:val="none" w:sz="0" w:space="0" w:color="auto"/>
                <w:bottom w:val="none" w:sz="0" w:space="0" w:color="auto"/>
                <w:right w:val="none" w:sz="0" w:space="0" w:color="auto"/>
              </w:divBdr>
            </w:div>
            <w:div w:id="242422988">
              <w:marLeft w:val="0"/>
              <w:marRight w:val="0"/>
              <w:marTop w:val="0"/>
              <w:marBottom w:val="0"/>
              <w:divBdr>
                <w:top w:val="none" w:sz="0" w:space="0" w:color="auto"/>
                <w:left w:val="none" w:sz="0" w:space="0" w:color="auto"/>
                <w:bottom w:val="none" w:sz="0" w:space="0" w:color="auto"/>
                <w:right w:val="none" w:sz="0" w:space="0" w:color="auto"/>
              </w:divBdr>
            </w:div>
            <w:div w:id="243802302">
              <w:marLeft w:val="0"/>
              <w:marRight w:val="0"/>
              <w:marTop w:val="0"/>
              <w:marBottom w:val="0"/>
              <w:divBdr>
                <w:top w:val="none" w:sz="0" w:space="0" w:color="auto"/>
                <w:left w:val="none" w:sz="0" w:space="0" w:color="auto"/>
                <w:bottom w:val="none" w:sz="0" w:space="0" w:color="auto"/>
                <w:right w:val="none" w:sz="0" w:space="0" w:color="auto"/>
              </w:divBdr>
            </w:div>
            <w:div w:id="272057333">
              <w:marLeft w:val="0"/>
              <w:marRight w:val="0"/>
              <w:marTop w:val="0"/>
              <w:marBottom w:val="0"/>
              <w:divBdr>
                <w:top w:val="none" w:sz="0" w:space="0" w:color="auto"/>
                <w:left w:val="none" w:sz="0" w:space="0" w:color="auto"/>
                <w:bottom w:val="none" w:sz="0" w:space="0" w:color="auto"/>
                <w:right w:val="none" w:sz="0" w:space="0" w:color="auto"/>
              </w:divBdr>
            </w:div>
            <w:div w:id="345446183">
              <w:marLeft w:val="0"/>
              <w:marRight w:val="0"/>
              <w:marTop w:val="0"/>
              <w:marBottom w:val="0"/>
              <w:divBdr>
                <w:top w:val="none" w:sz="0" w:space="0" w:color="auto"/>
                <w:left w:val="none" w:sz="0" w:space="0" w:color="auto"/>
                <w:bottom w:val="none" w:sz="0" w:space="0" w:color="auto"/>
                <w:right w:val="none" w:sz="0" w:space="0" w:color="auto"/>
              </w:divBdr>
            </w:div>
            <w:div w:id="399910426">
              <w:marLeft w:val="0"/>
              <w:marRight w:val="0"/>
              <w:marTop w:val="0"/>
              <w:marBottom w:val="0"/>
              <w:divBdr>
                <w:top w:val="none" w:sz="0" w:space="0" w:color="auto"/>
                <w:left w:val="none" w:sz="0" w:space="0" w:color="auto"/>
                <w:bottom w:val="none" w:sz="0" w:space="0" w:color="auto"/>
                <w:right w:val="none" w:sz="0" w:space="0" w:color="auto"/>
              </w:divBdr>
            </w:div>
            <w:div w:id="478377907">
              <w:marLeft w:val="0"/>
              <w:marRight w:val="0"/>
              <w:marTop w:val="0"/>
              <w:marBottom w:val="0"/>
              <w:divBdr>
                <w:top w:val="none" w:sz="0" w:space="0" w:color="auto"/>
                <w:left w:val="none" w:sz="0" w:space="0" w:color="auto"/>
                <w:bottom w:val="none" w:sz="0" w:space="0" w:color="auto"/>
                <w:right w:val="none" w:sz="0" w:space="0" w:color="auto"/>
              </w:divBdr>
            </w:div>
            <w:div w:id="823207546">
              <w:marLeft w:val="0"/>
              <w:marRight w:val="0"/>
              <w:marTop w:val="0"/>
              <w:marBottom w:val="0"/>
              <w:divBdr>
                <w:top w:val="none" w:sz="0" w:space="0" w:color="auto"/>
                <w:left w:val="none" w:sz="0" w:space="0" w:color="auto"/>
                <w:bottom w:val="none" w:sz="0" w:space="0" w:color="auto"/>
                <w:right w:val="none" w:sz="0" w:space="0" w:color="auto"/>
              </w:divBdr>
            </w:div>
            <w:div w:id="925915444">
              <w:marLeft w:val="0"/>
              <w:marRight w:val="0"/>
              <w:marTop w:val="0"/>
              <w:marBottom w:val="0"/>
              <w:divBdr>
                <w:top w:val="none" w:sz="0" w:space="0" w:color="auto"/>
                <w:left w:val="none" w:sz="0" w:space="0" w:color="auto"/>
                <w:bottom w:val="none" w:sz="0" w:space="0" w:color="auto"/>
                <w:right w:val="none" w:sz="0" w:space="0" w:color="auto"/>
              </w:divBdr>
            </w:div>
            <w:div w:id="939145622">
              <w:marLeft w:val="0"/>
              <w:marRight w:val="0"/>
              <w:marTop w:val="0"/>
              <w:marBottom w:val="0"/>
              <w:divBdr>
                <w:top w:val="none" w:sz="0" w:space="0" w:color="auto"/>
                <w:left w:val="none" w:sz="0" w:space="0" w:color="auto"/>
                <w:bottom w:val="none" w:sz="0" w:space="0" w:color="auto"/>
                <w:right w:val="none" w:sz="0" w:space="0" w:color="auto"/>
              </w:divBdr>
            </w:div>
            <w:div w:id="1109593005">
              <w:marLeft w:val="0"/>
              <w:marRight w:val="0"/>
              <w:marTop w:val="0"/>
              <w:marBottom w:val="0"/>
              <w:divBdr>
                <w:top w:val="none" w:sz="0" w:space="0" w:color="auto"/>
                <w:left w:val="none" w:sz="0" w:space="0" w:color="auto"/>
                <w:bottom w:val="none" w:sz="0" w:space="0" w:color="auto"/>
                <w:right w:val="none" w:sz="0" w:space="0" w:color="auto"/>
              </w:divBdr>
            </w:div>
            <w:div w:id="1352606409">
              <w:marLeft w:val="0"/>
              <w:marRight w:val="0"/>
              <w:marTop w:val="0"/>
              <w:marBottom w:val="0"/>
              <w:divBdr>
                <w:top w:val="none" w:sz="0" w:space="0" w:color="auto"/>
                <w:left w:val="none" w:sz="0" w:space="0" w:color="auto"/>
                <w:bottom w:val="none" w:sz="0" w:space="0" w:color="auto"/>
                <w:right w:val="none" w:sz="0" w:space="0" w:color="auto"/>
              </w:divBdr>
            </w:div>
            <w:div w:id="1526677945">
              <w:marLeft w:val="0"/>
              <w:marRight w:val="0"/>
              <w:marTop w:val="0"/>
              <w:marBottom w:val="0"/>
              <w:divBdr>
                <w:top w:val="none" w:sz="0" w:space="0" w:color="auto"/>
                <w:left w:val="none" w:sz="0" w:space="0" w:color="auto"/>
                <w:bottom w:val="none" w:sz="0" w:space="0" w:color="auto"/>
                <w:right w:val="none" w:sz="0" w:space="0" w:color="auto"/>
              </w:divBdr>
            </w:div>
            <w:div w:id="1557545369">
              <w:marLeft w:val="0"/>
              <w:marRight w:val="0"/>
              <w:marTop w:val="0"/>
              <w:marBottom w:val="0"/>
              <w:divBdr>
                <w:top w:val="none" w:sz="0" w:space="0" w:color="auto"/>
                <w:left w:val="none" w:sz="0" w:space="0" w:color="auto"/>
                <w:bottom w:val="none" w:sz="0" w:space="0" w:color="auto"/>
                <w:right w:val="none" w:sz="0" w:space="0" w:color="auto"/>
              </w:divBdr>
            </w:div>
            <w:div w:id="1569874923">
              <w:marLeft w:val="0"/>
              <w:marRight w:val="0"/>
              <w:marTop w:val="0"/>
              <w:marBottom w:val="0"/>
              <w:divBdr>
                <w:top w:val="none" w:sz="0" w:space="0" w:color="auto"/>
                <w:left w:val="none" w:sz="0" w:space="0" w:color="auto"/>
                <w:bottom w:val="none" w:sz="0" w:space="0" w:color="auto"/>
                <w:right w:val="none" w:sz="0" w:space="0" w:color="auto"/>
              </w:divBdr>
            </w:div>
            <w:div w:id="1639260230">
              <w:marLeft w:val="0"/>
              <w:marRight w:val="0"/>
              <w:marTop w:val="0"/>
              <w:marBottom w:val="0"/>
              <w:divBdr>
                <w:top w:val="none" w:sz="0" w:space="0" w:color="auto"/>
                <w:left w:val="none" w:sz="0" w:space="0" w:color="auto"/>
                <w:bottom w:val="none" w:sz="0" w:space="0" w:color="auto"/>
                <w:right w:val="none" w:sz="0" w:space="0" w:color="auto"/>
              </w:divBdr>
            </w:div>
            <w:div w:id="21041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0068">
      <w:bodyDiv w:val="1"/>
      <w:marLeft w:val="0"/>
      <w:marRight w:val="0"/>
      <w:marTop w:val="0"/>
      <w:marBottom w:val="0"/>
      <w:divBdr>
        <w:top w:val="none" w:sz="0" w:space="0" w:color="auto"/>
        <w:left w:val="none" w:sz="0" w:space="0" w:color="auto"/>
        <w:bottom w:val="none" w:sz="0" w:space="0" w:color="auto"/>
        <w:right w:val="none" w:sz="0" w:space="0" w:color="auto"/>
      </w:divBdr>
      <w:divsChild>
        <w:div w:id="335500181">
          <w:marLeft w:val="0"/>
          <w:marRight w:val="0"/>
          <w:marTop w:val="0"/>
          <w:marBottom w:val="0"/>
          <w:divBdr>
            <w:top w:val="none" w:sz="0" w:space="0" w:color="auto"/>
            <w:left w:val="none" w:sz="0" w:space="0" w:color="auto"/>
            <w:bottom w:val="none" w:sz="0" w:space="0" w:color="auto"/>
            <w:right w:val="none" w:sz="0" w:space="0" w:color="auto"/>
          </w:divBdr>
        </w:div>
        <w:div w:id="527915107">
          <w:marLeft w:val="0"/>
          <w:marRight w:val="0"/>
          <w:marTop w:val="0"/>
          <w:marBottom w:val="0"/>
          <w:divBdr>
            <w:top w:val="none" w:sz="0" w:space="0" w:color="auto"/>
            <w:left w:val="none" w:sz="0" w:space="0" w:color="auto"/>
            <w:bottom w:val="none" w:sz="0" w:space="0" w:color="auto"/>
            <w:right w:val="none" w:sz="0" w:space="0" w:color="auto"/>
          </w:divBdr>
        </w:div>
        <w:div w:id="1251425710">
          <w:marLeft w:val="0"/>
          <w:marRight w:val="0"/>
          <w:marTop w:val="0"/>
          <w:marBottom w:val="0"/>
          <w:divBdr>
            <w:top w:val="none" w:sz="0" w:space="0" w:color="auto"/>
            <w:left w:val="none" w:sz="0" w:space="0" w:color="auto"/>
            <w:bottom w:val="none" w:sz="0" w:space="0" w:color="auto"/>
            <w:right w:val="none" w:sz="0" w:space="0" w:color="auto"/>
          </w:divBdr>
        </w:div>
        <w:div w:id="1403721731">
          <w:marLeft w:val="0"/>
          <w:marRight w:val="0"/>
          <w:marTop w:val="0"/>
          <w:marBottom w:val="0"/>
          <w:divBdr>
            <w:top w:val="none" w:sz="0" w:space="0" w:color="auto"/>
            <w:left w:val="none" w:sz="0" w:space="0" w:color="auto"/>
            <w:bottom w:val="none" w:sz="0" w:space="0" w:color="auto"/>
            <w:right w:val="none" w:sz="0" w:space="0" w:color="auto"/>
          </w:divBdr>
        </w:div>
        <w:div w:id="1843930356">
          <w:marLeft w:val="0"/>
          <w:marRight w:val="0"/>
          <w:marTop w:val="0"/>
          <w:marBottom w:val="0"/>
          <w:divBdr>
            <w:top w:val="none" w:sz="0" w:space="0" w:color="auto"/>
            <w:left w:val="none" w:sz="0" w:space="0" w:color="auto"/>
            <w:bottom w:val="none" w:sz="0" w:space="0" w:color="auto"/>
            <w:right w:val="none" w:sz="0" w:space="0" w:color="auto"/>
          </w:divBdr>
        </w:div>
      </w:divsChild>
    </w:div>
    <w:div w:id="1262569799">
      <w:bodyDiv w:val="1"/>
      <w:marLeft w:val="0"/>
      <w:marRight w:val="0"/>
      <w:marTop w:val="0"/>
      <w:marBottom w:val="0"/>
      <w:divBdr>
        <w:top w:val="none" w:sz="0" w:space="0" w:color="auto"/>
        <w:left w:val="none" w:sz="0" w:space="0" w:color="auto"/>
        <w:bottom w:val="none" w:sz="0" w:space="0" w:color="auto"/>
        <w:right w:val="none" w:sz="0" w:space="0" w:color="auto"/>
      </w:divBdr>
    </w:div>
    <w:div w:id="1273778580">
      <w:bodyDiv w:val="1"/>
      <w:marLeft w:val="0"/>
      <w:marRight w:val="0"/>
      <w:marTop w:val="0"/>
      <w:marBottom w:val="0"/>
      <w:divBdr>
        <w:top w:val="none" w:sz="0" w:space="0" w:color="auto"/>
        <w:left w:val="none" w:sz="0" w:space="0" w:color="auto"/>
        <w:bottom w:val="none" w:sz="0" w:space="0" w:color="auto"/>
        <w:right w:val="none" w:sz="0" w:space="0" w:color="auto"/>
      </w:divBdr>
    </w:div>
    <w:div w:id="1275363059">
      <w:bodyDiv w:val="1"/>
      <w:marLeft w:val="0"/>
      <w:marRight w:val="0"/>
      <w:marTop w:val="0"/>
      <w:marBottom w:val="0"/>
      <w:divBdr>
        <w:top w:val="none" w:sz="0" w:space="0" w:color="auto"/>
        <w:left w:val="none" w:sz="0" w:space="0" w:color="auto"/>
        <w:bottom w:val="none" w:sz="0" w:space="0" w:color="auto"/>
        <w:right w:val="none" w:sz="0" w:space="0" w:color="auto"/>
      </w:divBdr>
      <w:divsChild>
        <w:div w:id="1401168840">
          <w:marLeft w:val="274"/>
          <w:marRight w:val="0"/>
          <w:marTop w:val="0"/>
          <w:marBottom w:val="120"/>
          <w:divBdr>
            <w:top w:val="none" w:sz="0" w:space="0" w:color="auto"/>
            <w:left w:val="none" w:sz="0" w:space="0" w:color="auto"/>
            <w:bottom w:val="none" w:sz="0" w:space="0" w:color="auto"/>
            <w:right w:val="none" w:sz="0" w:space="0" w:color="auto"/>
          </w:divBdr>
        </w:div>
        <w:div w:id="1461917388">
          <w:marLeft w:val="274"/>
          <w:marRight w:val="0"/>
          <w:marTop w:val="0"/>
          <w:marBottom w:val="120"/>
          <w:divBdr>
            <w:top w:val="none" w:sz="0" w:space="0" w:color="auto"/>
            <w:left w:val="none" w:sz="0" w:space="0" w:color="auto"/>
            <w:bottom w:val="none" w:sz="0" w:space="0" w:color="auto"/>
            <w:right w:val="none" w:sz="0" w:space="0" w:color="auto"/>
          </w:divBdr>
        </w:div>
        <w:div w:id="1623803695">
          <w:marLeft w:val="274"/>
          <w:marRight w:val="0"/>
          <w:marTop w:val="0"/>
          <w:marBottom w:val="120"/>
          <w:divBdr>
            <w:top w:val="none" w:sz="0" w:space="0" w:color="auto"/>
            <w:left w:val="none" w:sz="0" w:space="0" w:color="auto"/>
            <w:bottom w:val="none" w:sz="0" w:space="0" w:color="auto"/>
            <w:right w:val="none" w:sz="0" w:space="0" w:color="auto"/>
          </w:divBdr>
        </w:div>
      </w:divsChild>
    </w:div>
    <w:div w:id="1285771784">
      <w:bodyDiv w:val="1"/>
      <w:marLeft w:val="0"/>
      <w:marRight w:val="0"/>
      <w:marTop w:val="0"/>
      <w:marBottom w:val="0"/>
      <w:divBdr>
        <w:top w:val="none" w:sz="0" w:space="0" w:color="auto"/>
        <w:left w:val="none" w:sz="0" w:space="0" w:color="auto"/>
        <w:bottom w:val="none" w:sz="0" w:space="0" w:color="auto"/>
        <w:right w:val="none" w:sz="0" w:space="0" w:color="auto"/>
      </w:divBdr>
    </w:div>
    <w:div w:id="1290818397">
      <w:bodyDiv w:val="1"/>
      <w:marLeft w:val="0"/>
      <w:marRight w:val="0"/>
      <w:marTop w:val="0"/>
      <w:marBottom w:val="0"/>
      <w:divBdr>
        <w:top w:val="none" w:sz="0" w:space="0" w:color="auto"/>
        <w:left w:val="none" w:sz="0" w:space="0" w:color="auto"/>
        <w:bottom w:val="none" w:sz="0" w:space="0" w:color="auto"/>
        <w:right w:val="none" w:sz="0" w:space="0" w:color="auto"/>
      </w:divBdr>
      <w:divsChild>
        <w:div w:id="18892699">
          <w:marLeft w:val="0"/>
          <w:marRight w:val="0"/>
          <w:marTop w:val="0"/>
          <w:marBottom w:val="0"/>
          <w:divBdr>
            <w:top w:val="none" w:sz="0" w:space="0" w:color="auto"/>
            <w:left w:val="none" w:sz="0" w:space="0" w:color="auto"/>
            <w:bottom w:val="none" w:sz="0" w:space="0" w:color="auto"/>
            <w:right w:val="none" w:sz="0" w:space="0" w:color="auto"/>
          </w:divBdr>
        </w:div>
        <w:div w:id="93475128">
          <w:marLeft w:val="0"/>
          <w:marRight w:val="0"/>
          <w:marTop w:val="0"/>
          <w:marBottom w:val="0"/>
          <w:divBdr>
            <w:top w:val="none" w:sz="0" w:space="0" w:color="auto"/>
            <w:left w:val="none" w:sz="0" w:space="0" w:color="auto"/>
            <w:bottom w:val="none" w:sz="0" w:space="0" w:color="auto"/>
            <w:right w:val="none" w:sz="0" w:space="0" w:color="auto"/>
          </w:divBdr>
        </w:div>
        <w:div w:id="118030848">
          <w:marLeft w:val="0"/>
          <w:marRight w:val="0"/>
          <w:marTop w:val="0"/>
          <w:marBottom w:val="0"/>
          <w:divBdr>
            <w:top w:val="none" w:sz="0" w:space="0" w:color="auto"/>
            <w:left w:val="none" w:sz="0" w:space="0" w:color="auto"/>
            <w:bottom w:val="none" w:sz="0" w:space="0" w:color="auto"/>
            <w:right w:val="none" w:sz="0" w:space="0" w:color="auto"/>
          </w:divBdr>
        </w:div>
        <w:div w:id="126358974">
          <w:marLeft w:val="0"/>
          <w:marRight w:val="0"/>
          <w:marTop w:val="0"/>
          <w:marBottom w:val="0"/>
          <w:divBdr>
            <w:top w:val="none" w:sz="0" w:space="0" w:color="auto"/>
            <w:left w:val="none" w:sz="0" w:space="0" w:color="auto"/>
            <w:bottom w:val="none" w:sz="0" w:space="0" w:color="auto"/>
            <w:right w:val="none" w:sz="0" w:space="0" w:color="auto"/>
          </w:divBdr>
        </w:div>
        <w:div w:id="130027350">
          <w:marLeft w:val="0"/>
          <w:marRight w:val="0"/>
          <w:marTop w:val="0"/>
          <w:marBottom w:val="0"/>
          <w:divBdr>
            <w:top w:val="none" w:sz="0" w:space="0" w:color="auto"/>
            <w:left w:val="none" w:sz="0" w:space="0" w:color="auto"/>
            <w:bottom w:val="none" w:sz="0" w:space="0" w:color="auto"/>
            <w:right w:val="none" w:sz="0" w:space="0" w:color="auto"/>
          </w:divBdr>
        </w:div>
        <w:div w:id="144863002">
          <w:marLeft w:val="0"/>
          <w:marRight w:val="0"/>
          <w:marTop w:val="0"/>
          <w:marBottom w:val="0"/>
          <w:divBdr>
            <w:top w:val="none" w:sz="0" w:space="0" w:color="auto"/>
            <w:left w:val="none" w:sz="0" w:space="0" w:color="auto"/>
            <w:bottom w:val="none" w:sz="0" w:space="0" w:color="auto"/>
            <w:right w:val="none" w:sz="0" w:space="0" w:color="auto"/>
          </w:divBdr>
        </w:div>
        <w:div w:id="147945768">
          <w:marLeft w:val="0"/>
          <w:marRight w:val="0"/>
          <w:marTop w:val="0"/>
          <w:marBottom w:val="0"/>
          <w:divBdr>
            <w:top w:val="none" w:sz="0" w:space="0" w:color="auto"/>
            <w:left w:val="none" w:sz="0" w:space="0" w:color="auto"/>
            <w:bottom w:val="none" w:sz="0" w:space="0" w:color="auto"/>
            <w:right w:val="none" w:sz="0" w:space="0" w:color="auto"/>
          </w:divBdr>
        </w:div>
        <w:div w:id="349256184">
          <w:marLeft w:val="0"/>
          <w:marRight w:val="0"/>
          <w:marTop w:val="0"/>
          <w:marBottom w:val="0"/>
          <w:divBdr>
            <w:top w:val="none" w:sz="0" w:space="0" w:color="auto"/>
            <w:left w:val="none" w:sz="0" w:space="0" w:color="auto"/>
            <w:bottom w:val="none" w:sz="0" w:space="0" w:color="auto"/>
            <w:right w:val="none" w:sz="0" w:space="0" w:color="auto"/>
          </w:divBdr>
        </w:div>
        <w:div w:id="363289840">
          <w:marLeft w:val="0"/>
          <w:marRight w:val="0"/>
          <w:marTop w:val="0"/>
          <w:marBottom w:val="0"/>
          <w:divBdr>
            <w:top w:val="none" w:sz="0" w:space="0" w:color="auto"/>
            <w:left w:val="none" w:sz="0" w:space="0" w:color="auto"/>
            <w:bottom w:val="none" w:sz="0" w:space="0" w:color="auto"/>
            <w:right w:val="none" w:sz="0" w:space="0" w:color="auto"/>
          </w:divBdr>
        </w:div>
        <w:div w:id="372195598">
          <w:marLeft w:val="0"/>
          <w:marRight w:val="0"/>
          <w:marTop w:val="0"/>
          <w:marBottom w:val="0"/>
          <w:divBdr>
            <w:top w:val="none" w:sz="0" w:space="0" w:color="auto"/>
            <w:left w:val="none" w:sz="0" w:space="0" w:color="auto"/>
            <w:bottom w:val="none" w:sz="0" w:space="0" w:color="auto"/>
            <w:right w:val="none" w:sz="0" w:space="0" w:color="auto"/>
          </w:divBdr>
        </w:div>
        <w:div w:id="432215615">
          <w:marLeft w:val="0"/>
          <w:marRight w:val="0"/>
          <w:marTop w:val="0"/>
          <w:marBottom w:val="0"/>
          <w:divBdr>
            <w:top w:val="none" w:sz="0" w:space="0" w:color="auto"/>
            <w:left w:val="none" w:sz="0" w:space="0" w:color="auto"/>
            <w:bottom w:val="none" w:sz="0" w:space="0" w:color="auto"/>
            <w:right w:val="none" w:sz="0" w:space="0" w:color="auto"/>
          </w:divBdr>
        </w:div>
        <w:div w:id="439102973">
          <w:marLeft w:val="0"/>
          <w:marRight w:val="0"/>
          <w:marTop w:val="0"/>
          <w:marBottom w:val="0"/>
          <w:divBdr>
            <w:top w:val="none" w:sz="0" w:space="0" w:color="auto"/>
            <w:left w:val="none" w:sz="0" w:space="0" w:color="auto"/>
            <w:bottom w:val="none" w:sz="0" w:space="0" w:color="auto"/>
            <w:right w:val="none" w:sz="0" w:space="0" w:color="auto"/>
          </w:divBdr>
        </w:div>
        <w:div w:id="498691625">
          <w:marLeft w:val="0"/>
          <w:marRight w:val="0"/>
          <w:marTop w:val="0"/>
          <w:marBottom w:val="0"/>
          <w:divBdr>
            <w:top w:val="none" w:sz="0" w:space="0" w:color="auto"/>
            <w:left w:val="none" w:sz="0" w:space="0" w:color="auto"/>
            <w:bottom w:val="none" w:sz="0" w:space="0" w:color="auto"/>
            <w:right w:val="none" w:sz="0" w:space="0" w:color="auto"/>
          </w:divBdr>
        </w:div>
        <w:div w:id="503932168">
          <w:marLeft w:val="0"/>
          <w:marRight w:val="0"/>
          <w:marTop w:val="0"/>
          <w:marBottom w:val="0"/>
          <w:divBdr>
            <w:top w:val="none" w:sz="0" w:space="0" w:color="auto"/>
            <w:left w:val="none" w:sz="0" w:space="0" w:color="auto"/>
            <w:bottom w:val="none" w:sz="0" w:space="0" w:color="auto"/>
            <w:right w:val="none" w:sz="0" w:space="0" w:color="auto"/>
          </w:divBdr>
        </w:div>
        <w:div w:id="507407931">
          <w:marLeft w:val="0"/>
          <w:marRight w:val="0"/>
          <w:marTop w:val="0"/>
          <w:marBottom w:val="0"/>
          <w:divBdr>
            <w:top w:val="none" w:sz="0" w:space="0" w:color="auto"/>
            <w:left w:val="none" w:sz="0" w:space="0" w:color="auto"/>
            <w:bottom w:val="none" w:sz="0" w:space="0" w:color="auto"/>
            <w:right w:val="none" w:sz="0" w:space="0" w:color="auto"/>
          </w:divBdr>
        </w:div>
        <w:div w:id="575432944">
          <w:marLeft w:val="0"/>
          <w:marRight w:val="0"/>
          <w:marTop w:val="0"/>
          <w:marBottom w:val="0"/>
          <w:divBdr>
            <w:top w:val="none" w:sz="0" w:space="0" w:color="auto"/>
            <w:left w:val="none" w:sz="0" w:space="0" w:color="auto"/>
            <w:bottom w:val="none" w:sz="0" w:space="0" w:color="auto"/>
            <w:right w:val="none" w:sz="0" w:space="0" w:color="auto"/>
          </w:divBdr>
        </w:div>
        <w:div w:id="617026916">
          <w:marLeft w:val="0"/>
          <w:marRight w:val="0"/>
          <w:marTop w:val="0"/>
          <w:marBottom w:val="0"/>
          <w:divBdr>
            <w:top w:val="none" w:sz="0" w:space="0" w:color="auto"/>
            <w:left w:val="none" w:sz="0" w:space="0" w:color="auto"/>
            <w:bottom w:val="none" w:sz="0" w:space="0" w:color="auto"/>
            <w:right w:val="none" w:sz="0" w:space="0" w:color="auto"/>
          </w:divBdr>
        </w:div>
        <w:div w:id="725764684">
          <w:marLeft w:val="0"/>
          <w:marRight w:val="0"/>
          <w:marTop w:val="0"/>
          <w:marBottom w:val="0"/>
          <w:divBdr>
            <w:top w:val="none" w:sz="0" w:space="0" w:color="auto"/>
            <w:left w:val="none" w:sz="0" w:space="0" w:color="auto"/>
            <w:bottom w:val="none" w:sz="0" w:space="0" w:color="auto"/>
            <w:right w:val="none" w:sz="0" w:space="0" w:color="auto"/>
          </w:divBdr>
        </w:div>
        <w:div w:id="774790621">
          <w:marLeft w:val="0"/>
          <w:marRight w:val="0"/>
          <w:marTop w:val="0"/>
          <w:marBottom w:val="0"/>
          <w:divBdr>
            <w:top w:val="none" w:sz="0" w:space="0" w:color="auto"/>
            <w:left w:val="none" w:sz="0" w:space="0" w:color="auto"/>
            <w:bottom w:val="none" w:sz="0" w:space="0" w:color="auto"/>
            <w:right w:val="none" w:sz="0" w:space="0" w:color="auto"/>
          </w:divBdr>
        </w:div>
        <w:div w:id="781218787">
          <w:marLeft w:val="0"/>
          <w:marRight w:val="0"/>
          <w:marTop w:val="0"/>
          <w:marBottom w:val="0"/>
          <w:divBdr>
            <w:top w:val="none" w:sz="0" w:space="0" w:color="auto"/>
            <w:left w:val="none" w:sz="0" w:space="0" w:color="auto"/>
            <w:bottom w:val="none" w:sz="0" w:space="0" w:color="auto"/>
            <w:right w:val="none" w:sz="0" w:space="0" w:color="auto"/>
          </w:divBdr>
        </w:div>
        <w:div w:id="871846801">
          <w:marLeft w:val="0"/>
          <w:marRight w:val="0"/>
          <w:marTop w:val="0"/>
          <w:marBottom w:val="0"/>
          <w:divBdr>
            <w:top w:val="none" w:sz="0" w:space="0" w:color="auto"/>
            <w:left w:val="none" w:sz="0" w:space="0" w:color="auto"/>
            <w:bottom w:val="none" w:sz="0" w:space="0" w:color="auto"/>
            <w:right w:val="none" w:sz="0" w:space="0" w:color="auto"/>
          </w:divBdr>
        </w:div>
        <w:div w:id="930545819">
          <w:marLeft w:val="0"/>
          <w:marRight w:val="0"/>
          <w:marTop w:val="0"/>
          <w:marBottom w:val="0"/>
          <w:divBdr>
            <w:top w:val="none" w:sz="0" w:space="0" w:color="auto"/>
            <w:left w:val="none" w:sz="0" w:space="0" w:color="auto"/>
            <w:bottom w:val="none" w:sz="0" w:space="0" w:color="auto"/>
            <w:right w:val="none" w:sz="0" w:space="0" w:color="auto"/>
          </w:divBdr>
        </w:div>
        <w:div w:id="1042292982">
          <w:marLeft w:val="0"/>
          <w:marRight w:val="0"/>
          <w:marTop w:val="0"/>
          <w:marBottom w:val="0"/>
          <w:divBdr>
            <w:top w:val="none" w:sz="0" w:space="0" w:color="auto"/>
            <w:left w:val="none" w:sz="0" w:space="0" w:color="auto"/>
            <w:bottom w:val="none" w:sz="0" w:space="0" w:color="auto"/>
            <w:right w:val="none" w:sz="0" w:space="0" w:color="auto"/>
          </w:divBdr>
        </w:div>
        <w:div w:id="1044524589">
          <w:marLeft w:val="0"/>
          <w:marRight w:val="0"/>
          <w:marTop w:val="0"/>
          <w:marBottom w:val="0"/>
          <w:divBdr>
            <w:top w:val="none" w:sz="0" w:space="0" w:color="auto"/>
            <w:left w:val="none" w:sz="0" w:space="0" w:color="auto"/>
            <w:bottom w:val="none" w:sz="0" w:space="0" w:color="auto"/>
            <w:right w:val="none" w:sz="0" w:space="0" w:color="auto"/>
          </w:divBdr>
        </w:div>
        <w:div w:id="1061514363">
          <w:marLeft w:val="0"/>
          <w:marRight w:val="0"/>
          <w:marTop w:val="0"/>
          <w:marBottom w:val="0"/>
          <w:divBdr>
            <w:top w:val="none" w:sz="0" w:space="0" w:color="auto"/>
            <w:left w:val="none" w:sz="0" w:space="0" w:color="auto"/>
            <w:bottom w:val="none" w:sz="0" w:space="0" w:color="auto"/>
            <w:right w:val="none" w:sz="0" w:space="0" w:color="auto"/>
          </w:divBdr>
        </w:div>
        <w:div w:id="1089470603">
          <w:marLeft w:val="0"/>
          <w:marRight w:val="0"/>
          <w:marTop w:val="0"/>
          <w:marBottom w:val="0"/>
          <w:divBdr>
            <w:top w:val="none" w:sz="0" w:space="0" w:color="auto"/>
            <w:left w:val="none" w:sz="0" w:space="0" w:color="auto"/>
            <w:bottom w:val="none" w:sz="0" w:space="0" w:color="auto"/>
            <w:right w:val="none" w:sz="0" w:space="0" w:color="auto"/>
          </w:divBdr>
        </w:div>
        <w:div w:id="1092312199">
          <w:marLeft w:val="0"/>
          <w:marRight w:val="0"/>
          <w:marTop w:val="0"/>
          <w:marBottom w:val="0"/>
          <w:divBdr>
            <w:top w:val="none" w:sz="0" w:space="0" w:color="auto"/>
            <w:left w:val="none" w:sz="0" w:space="0" w:color="auto"/>
            <w:bottom w:val="none" w:sz="0" w:space="0" w:color="auto"/>
            <w:right w:val="none" w:sz="0" w:space="0" w:color="auto"/>
          </w:divBdr>
        </w:div>
        <w:div w:id="1122964019">
          <w:marLeft w:val="0"/>
          <w:marRight w:val="0"/>
          <w:marTop w:val="0"/>
          <w:marBottom w:val="0"/>
          <w:divBdr>
            <w:top w:val="none" w:sz="0" w:space="0" w:color="auto"/>
            <w:left w:val="none" w:sz="0" w:space="0" w:color="auto"/>
            <w:bottom w:val="none" w:sz="0" w:space="0" w:color="auto"/>
            <w:right w:val="none" w:sz="0" w:space="0" w:color="auto"/>
          </w:divBdr>
        </w:div>
        <w:div w:id="1174145282">
          <w:marLeft w:val="0"/>
          <w:marRight w:val="0"/>
          <w:marTop w:val="0"/>
          <w:marBottom w:val="0"/>
          <w:divBdr>
            <w:top w:val="none" w:sz="0" w:space="0" w:color="auto"/>
            <w:left w:val="none" w:sz="0" w:space="0" w:color="auto"/>
            <w:bottom w:val="none" w:sz="0" w:space="0" w:color="auto"/>
            <w:right w:val="none" w:sz="0" w:space="0" w:color="auto"/>
          </w:divBdr>
        </w:div>
        <w:div w:id="1258371001">
          <w:marLeft w:val="0"/>
          <w:marRight w:val="0"/>
          <w:marTop w:val="0"/>
          <w:marBottom w:val="0"/>
          <w:divBdr>
            <w:top w:val="none" w:sz="0" w:space="0" w:color="auto"/>
            <w:left w:val="none" w:sz="0" w:space="0" w:color="auto"/>
            <w:bottom w:val="none" w:sz="0" w:space="0" w:color="auto"/>
            <w:right w:val="none" w:sz="0" w:space="0" w:color="auto"/>
          </w:divBdr>
        </w:div>
        <w:div w:id="1340352366">
          <w:marLeft w:val="0"/>
          <w:marRight w:val="0"/>
          <w:marTop w:val="0"/>
          <w:marBottom w:val="0"/>
          <w:divBdr>
            <w:top w:val="none" w:sz="0" w:space="0" w:color="auto"/>
            <w:left w:val="none" w:sz="0" w:space="0" w:color="auto"/>
            <w:bottom w:val="none" w:sz="0" w:space="0" w:color="auto"/>
            <w:right w:val="none" w:sz="0" w:space="0" w:color="auto"/>
          </w:divBdr>
        </w:div>
        <w:div w:id="1344554240">
          <w:marLeft w:val="0"/>
          <w:marRight w:val="0"/>
          <w:marTop w:val="0"/>
          <w:marBottom w:val="0"/>
          <w:divBdr>
            <w:top w:val="none" w:sz="0" w:space="0" w:color="auto"/>
            <w:left w:val="none" w:sz="0" w:space="0" w:color="auto"/>
            <w:bottom w:val="none" w:sz="0" w:space="0" w:color="auto"/>
            <w:right w:val="none" w:sz="0" w:space="0" w:color="auto"/>
          </w:divBdr>
        </w:div>
        <w:div w:id="1360542832">
          <w:marLeft w:val="0"/>
          <w:marRight w:val="0"/>
          <w:marTop w:val="0"/>
          <w:marBottom w:val="0"/>
          <w:divBdr>
            <w:top w:val="none" w:sz="0" w:space="0" w:color="auto"/>
            <w:left w:val="none" w:sz="0" w:space="0" w:color="auto"/>
            <w:bottom w:val="none" w:sz="0" w:space="0" w:color="auto"/>
            <w:right w:val="none" w:sz="0" w:space="0" w:color="auto"/>
          </w:divBdr>
        </w:div>
        <w:div w:id="1387559293">
          <w:marLeft w:val="0"/>
          <w:marRight w:val="0"/>
          <w:marTop w:val="0"/>
          <w:marBottom w:val="0"/>
          <w:divBdr>
            <w:top w:val="none" w:sz="0" w:space="0" w:color="auto"/>
            <w:left w:val="none" w:sz="0" w:space="0" w:color="auto"/>
            <w:bottom w:val="none" w:sz="0" w:space="0" w:color="auto"/>
            <w:right w:val="none" w:sz="0" w:space="0" w:color="auto"/>
          </w:divBdr>
        </w:div>
        <w:div w:id="1438327935">
          <w:marLeft w:val="0"/>
          <w:marRight w:val="0"/>
          <w:marTop w:val="0"/>
          <w:marBottom w:val="0"/>
          <w:divBdr>
            <w:top w:val="none" w:sz="0" w:space="0" w:color="auto"/>
            <w:left w:val="none" w:sz="0" w:space="0" w:color="auto"/>
            <w:bottom w:val="none" w:sz="0" w:space="0" w:color="auto"/>
            <w:right w:val="none" w:sz="0" w:space="0" w:color="auto"/>
          </w:divBdr>
        </w:div>
        <w:div w:id="1463646350">
          <w:marLeft w:val="0"/>
          <w:marRight w:val="0"/>
          <w:marTop w:val="0"/>
          <w:marBottom w:val="0"/>
          <w:divBdr>
            <w:top w:val="none" w:sz="0" w:space="0" w:color="auto"/>
            <w:left w:val="none" w:sz="0" w:space="0" w:color="auto"/>
            <w:bottom w:val="none" w:sz="0" w:space="0" w:color="auto"/>
            <w:right w:val="none" w:sz="0" w:space="0" w:color="auto"/>
          </w:divBdr>
        </w:div>
        <w:div w:id="1500923993">
          <w:marLeft w:val="0"/>
          <w:marRight w:val="0"/>
          <w:marTop w:val="0"/>
          <w:marBottom w:val="0"/>
          <w:divBdr>
            <w:top w:val="none" w:sz="0" w:space="0" w:color="auto"/>
            <w:left w:val="none" w:sz="0" w:space="0" w:color="auto"/>
            <w:bottom w:val="none" w:sz="0" w:space="0" w:color="auto"/>
            <w:right w:val="none" w:sz="0" w:space="0" w:color="auto"/>
          </w:divBdr>
        </w:div>
        <w:div w:id="1555123277">
          <w:marLeft w:val="0"/>
          <w:marRight w:val="0"/>
          <w:marTop w:val="0"/>
          <w:marBottom w:val="0"/>
          <w:divBdr>
            <w:top w:val="none" w:sz="0" w:space="0" w:color="auto"/>
            <w:left w:val="none" w:sz="0" w:space="0" w:color="auto"/>
            <w:bottom w:val="none" w:sz="0" w:space="0" w:color="auto"/>
            <w:right w:val="none" w:sz="0" w:space="0" w:color="auto"/>
          </w:divBdr>
        </w:div>
        <w:div w:id="1601182948">
          <w:marLeft w:val="0"/>
          <w:marRight w:val="0"/>
          <w:marTop w:val="0"/>
          <w:marBottom w:val="0"/>
          <w:divBdr>
            <w:top w:val="none" w:sz="0" w:space="0" w:color="auto"/>
            <w:left w:val="none" w:sz="0" w:space="0" w:color="auto"/>
            <w:bottom w:val="none" w:sz="0" w:space="0" w:color="auto"/>
            <w:right w:val="none" w:sz="0" w:space="0" w:color="auto"/>
          </w:divBdr>
        </w:div>
        <w:div w:id="1644964322">
          <w:marLeft w:val="0"/>
          <w:marRight w:val="0"/>
          <w:marTop w:val="0"/>
          <w:marBottom w:val="0"/>
          <w:divBdr>
            <w:top w:val="none" w:sz="0" w:space="0" w:color="auto"/>
            <w:left w:val="none" w:sz="0" w:space="0" w:color="auto"/>
            <w:bottom w:val="none" w:sz="0" w:space="0" w:color="auto"/>
            <w:right w:val="none" w:sz="0" w:space="0" w:color="auto"/>
          </w:divBdr>
        </w:div>
        <w:div w:id="1778868561">
          <w:marLeft w:val="0"/>
          <w:marRight w:val="0"/>
          <w:marTop w:val="0"/>
          <w:marBottom w:val="0"/>
          <w:divBdr>
            <w:top w:val="none" w:sz="0" w:space="0" w:color="auto"/>
            <w:left w:val="none" w:sz="0" w:space="0" w:color="auto"/>
            <w:bottom w:val="none" w:sz="0" w:space="0" w:color="auto"/>
            <w:right w:val="none" w:sz="0" w:space="0" w:color="auto"/>
          </w:divBdr>
        </w:div>
        <w:div w:id="1877113428">
          <w:marLeft w:val="0"/>
          <w:marRight w:val="0"/>
          <w:marTop w:val="0"/>
          <w:marBottom w:val="0"/>
          <w:divBdr>
            <w:top w:val="none" w:sz="0" w:space="0" w:color="auto"/>
            <w:left w:val="none" w:sz="0" w:space="0" w:color="auto"/>
            <w:bottom w:val="none" w:sz="0" w:space="0" w:color="auto"/>
            <w:right w:val="none" w:sz="0" w:space="0" w:color="auto"/>
          </w:divBdr>
        </w:div>
        <w:div w:id="1894265832">
          <w:marLeft w:val="0"/>
          <w:marRight w:val="0"/>
          <w:marTop w:val="0"/>
          <w:marBottom w:val="0"/>
          <w:divBdr>
            <w:top w:val="none" w:sz="0" w:space="0" w:color="auto"/>
            <w:left w:val="none" w:sz="0" w:space="0" w:color="auto"/>
            <w:bottom w:val="none" w:sz="0" w:space="0" w:color="auto"/>
            <w:right w:val="none" w:sz="0" w:space="0" w:color="auto"/>
          </w:divBdr>
        </w:div>
        <w:div w:id="1953392035">
          <w:marLeft w:val="0"/>
          <w:marRight w:val="0"/>
          <w:marTop w:val="0"/>
          <w:marBottom w:val="0"/>
          <w:divBdr>
            <w:top w:val="none" w:sz="0" w:space="0" w:color="auto"/>
            <w:left w:val="none" w:sz="0" w:space="0" w:color="auto"/>
            <w:bottom w:val="none" w:sz="0" w:space="0" w:color="auto"/>
            <w:right w:val="none" w:sz="0" w:space="0" w:color="auto"/>
          </w:divBdr>
        </w:div>
        <w:div w:id="1968655816">
          <w:marLeft w:val="0"/>
          <w:marRight w:val="0"/>
          <w:marTop w:val="0"/>
          <w:marBottom w:val="0"/>
          <w:divBdr>
            <w:top w:val="none" w:sz="0" w:space="0" w:color="auto"/>
            <w:left w:val="none" w:sz="0" w:space="0" w:color="auto"/>
            <w:bottom w:val="none" w:sz="0" w:space="0" w:color="auto"/>
            <w:right w:val="none" w:sz="0" w:space="0" w:color="auto"/>
          </w:divBdr>
        </w:div>
        <w:div w:id="2023628346">
          <w:marLeft w:val="0"/>
          <w:marRight w:val="0"/>
          <w:marTop w:val="0"/>
          <w:marBottom w:val="0"/>
          <w:divBdr>
            <w:top w:val="none" w:sz="0" w:space="0" w:color="auto"/>
            <w:left w:val="none" w:sz="0" w:space="0" w:color="auto"/>
            <w:bottom w:val="none" w:sz="0" w:space="0" w:color="auto"/>
            <w:right w:val="none" w:sz="0" w:space="0" w:color="auto"/>
          </w:divBdr>
        </w:div>
        <w:div w:id="2039895069">
          <w:marLeft w:val="0"/>
          <w:marRight w:val="0"/>
          <w:marTop w:val="0"/>
          <w:marBottom w:val="0"/>
          <w:divBdr>
            <w:top w:val="none" w:sz="0" w:space="0" w:color="auto"/>
            <w:left w:val="none" w:sz="0" w:space="0" w:color="auto"/>
            <w:bottom w:val="none" w:sz="0" w:space="0" w:color="auto"/>
            <w:right w:val="none" w:sz="0" w:space="0" w:color="auto"/>
          </w:divBdr>
        </w:div>
        <w:div w:id="2081782606">
          <w:marLeft w:val="0"/>
          <w:marRight w:val="0"/>
          <w:marTop w:val="0"/>
          <w:marBottom w:val="0"/>
          <w:divBdr>
            <w:top w:val="none" w:sz="0" w:space="0" w:color="auto"/>
            <w:left w:val="none" w:sz="0" w:space="0" w:color="auto"/>
            <w:bottom w:val="none" w:sz="0" w:space="0" w:color="auto"/>
            <w:right w:val="none" w:sz="0" w:space="0" w:color="auto"/>
          </w:divBdr>
        </w:div>
        <w:div w:id="2096439831">
          <w:marLeft w:val="0"/>
          <w:marRight w:val="0"/>
          <w:marTop w:val="0"/>
          <w:marBottom w:val="0"/>
          <w:divBdr>
            <w:top w:val="none" w:sz="0" w:space="0" w:color="auto"/>
            <w:left w:val="none" w:sz="0" w:space="0" w:color="auto"/>
            <w:bottom w:val="none" w:sz="0" w:space="0" w:color="auto"/>
            <w:right w:val="none" w:sz="0" w:space="0" w:color="auto"/>
          </w:divBdr>
        </w:div>
        <w:div w:id="2111855313">
          <w:marLeft w:val="0"/>
          <w:marRight w:val="0"/>
          <w:marTop w:val="0"/>
          <w:marBottom w:val="0"/>
          <w:divBdr>
            <w:top w:val="none" w:sz="0" w:space="0" w:color="auto"/>
            <w:left w:val="none" w:sz="0" w:space="0" w:color="auto"/>
            <w:bottom w:val="none" w:sz="0" w:space="0" w:color="auto"/>
            <w:right w:val="none" w:sz="0" w:space="0" w:color="auto"/>
          </w:divBdr>
        </w:div>
        <w:div w:id="2140296445">
          <w:marLeft w:val="0"/>
          <w:marRight w:val="0"/>
          <w:marTop w:val="0"/>
          <w:marBottom w:val="0"/>
          <w:divBdr>
            <w:top w:val="none" w:sz="0" w:space="0" w:color="auto"/>
            <w:left w:val="none" w:sz="0" w:space="0" w:color="auto"/>
            <w:bottom w:val="none" w:sz="0" w:space="0" w:color="auto"/>
            <w:right w:val="none" w:sz="0" w:space="0" w:color="auto"/>
          </w:divBdr>
        </w:div>
      </w:divsChild>
    </w:div>
    <w:div w:id="1301615715">
      <w:bodyDiv w:val="1"/>
      <w:marLeft w:val="0"/>
      <w:marRight w:val="0"/>
      <w:marTop w:val="0"/>
      <w:marBottom w:val="0"/>
      <w:divBdr>
        <w:top w:val="none" w:sz="0" w:space="0" w:color="auto"/>
        <w:left w:val="none" w:sz="0" w:space="0" w:color="auto"/>
        <w:bottom w:val="none" w:sz="0" w:space="0" w:color="auto"/>
        <w:right w:val="none" w:sz="0" w:space="0" w:color="auto"/>
      </w:divBdr>
    </w:div>
    <w:div w:id="1304584798">
      <w:bodyDiv w:val="1"/>
      <w:marLeft w:val="0"/>
      <w:marRight w:val="0"/>
      <w:marTop w:val="0"/>
      <w:marBottom w:val="0"/>
      <w:divBdr>
        <w:top w:val="none" w:sz="0" w:space="0" w:color="auto"/>
        <w:left w:val="none" w:sz="0" w:space="0" w:color="auto"/>
        <w:bottom w:val="none" w:sz="0" w:space="0" w:color="auto"/>
        <w:right w:val="none" w:sz="0" w:space="0" w:color="auto"/>
      </w:divBdr>
      <w:divsChild>
        <w:div w:id="206262635">
          <w:marLeft w:val="0"/>
          <w:marRight w:val="0"/>
          <w:marTop w:val="0"/>
          <w:marBottom w:val="0"/>
          <w:divBdr>
            <w:top w:val="none" w:sz="0" w:space="0" w:color="auto"/>
            <w:left w:val="none" w:sz="0" w:space="0" w:color="auto"/>
            <w:bottom w:val="none" w:sz="0" w:space="0" w:color="auto"/>
            <w:right w:val="none" w:sz="0" w:space="0" w:color="auto"/>
          </w:divBdr>
        </w:div>
        <w:div w:id="424107167">
          <w:marLeft w:val="0"/>
          <w:marRight w:val="0"/>
          <w:marTop w:val="0"/>
          <w:marBottom w:val="0"/>
          <w:divBdr>
            <w:top w:val="none" w:sz="0" w:space="0" w:color="auto"/>
            <w:left w:val="none" w:sz="0" w:space="0" w:color="auto"/>
            <w:bottom w:val="none" w:sz="0" w:space="0" w:color="auto"/>
            <w:right w:val="none" w:sz="0" w:space="0" w:color="auto"/>
          </w:divBdr>
        </w:div>
        <w:div w:id="659039253">
          <w:marLeft w:val="0"/>
          <w:marRight w:val="0"/>
          <w:marTop w:val="0"/>
          <w:marBottom w:val="0"/>
          <w:divBdr>
            <w:top w:val="none" w:sz="0" w:space="0" w:color="auto"/>
            <w:left w:val="none" w:sz="0" w:space="0" w:color="auto"/>
            <w:bottom w:val="none" w:sz="0" w:space="0" w:color="auto"/>
            <w:right w:val="none" w:sz="0" w:space="0" w:color="auto"/>
          </w:divBdr>
        </w:div>
        <w:div w:id="693263327">
          <w:marLeft w:val="0"/>
          <w:marRight w:val="0"/>
          <w:marTop w:val="0"/>
          <w:marBottom w:val="0"/>
          <w:divBdr>
            <w:top w:val="none" w:sz="0" w:space="0" w:color="auto"/>
            <w:left w:val="none" w:sz="0" w:space="0" w:color="auto"/>
            <w:bottom w:val="none" w:sz="0" w:space="0" w:color="auto"/>
            <w:right w:val="none" w:sz="0" w:space="0" w:color="auto"/>
          </w:divBdr>
        </w:div>
        <w:div w:id="1841460356">
          <w:marLeft w:val="0"/>
          <w:marRight w:val="0"/>
          <w:marTop w:val="0"/>
          <w:marBottom w:val="0"/>
          <w:divBdr>
            <w:top w:val="none" w:sz="0" w:space="0" w:color="auto"/>
            <w:left w:val="none" w:sz="0" w:space="0" w:color="auto"/>
            <w:bottom w:val="none" w:sz="0" w:space="0" w:color="auto"/>
            <w:right w:val="none" w:sz="0" w:space="0" w:color="auto"/>
          </w:divBdr>
        </w:div>
      </w:divsChild>
    </w:div>
    <w:div w:id="1312640953">
      <w:bodyDiv w:val="1"/>
      <w:marLeft w:val="0"/>
      <w:marRight w:val="0"/>
      <w:marTop w:val="0"/>
      <w:marBottom w:val="0"/>
      <w:divBdr>
        <w:top w:val="none" w:sz="0" w:space="0" w:color="auto"/>
        <w:left w:val="none" w:sz="0" w:space="0" w:color="auto"/>
        <w:bottom w:val="none" w:sz="0" w:space="0" w:color="auto"/>
        <w:right w:val="none" w:sz="0" w:space="0" w:color="auto"/>
      </w:divBdr>
    </w:div>
    <w:div w:id="1317763847">
      <w:bodyDiv w:val="1"/>
      <w:marLeft w:val="0"/>
      <w:marRight w:val="0"/>
      <w:marTop w:val="0"/>
      <w:marBottom w:val="0"/>
      <w:divBdr>
        <w:top w:val="none" w:sz="0" w:space="0" w:color="auto"/>
        <w:left w:val="none" w:sz="0" w:space="0" w:color="auto"/>
        <w:bottom w:val="none" w:sz="0" w:space="0" w:color="auto"/>
        <w:right w:val="none" w:sz="0" w:space="0" w:color="auto"/>
      </w:divBdr>
      <w:divsChild>
        <w:div w:id="1794246613">
          <w:marLeft w:val="274"/>
          <w:marRight w:val="0"/>
          <w:marTop w:val="0"/>
          <w:marBottom w:val="120"/>
          <w:divBdr>
            <w:top w:val="none" w:sz="0" w:space="0" w:color="auto"/>
            <w:left w:val="none" w:sz="0" w:space="0" w:color="auto"/>
            <w:bottom w:val="none" w:sz="0" w:space="0" w:color="auto"/>
            <w:right w:val="none" w:sz="0" w:space="0" w:color="auto"/>
          </w:divBdr>
        </w:div>
        <w:div w:id="1861894741">
          <w:marLeft w:val="274"/>
          <w:marRight w:val="0"/>
          <w:marTop w:val="0"/>
          <w:marBottom w:val="120"/>
          <w:divBdr>
            <w:top w:val="none" w:sz="0" w:space="0" w:color="auto"/>
            <w:left w:val="none" w:sz="0" w:space="0" w:color="auto"/>
            <w:bottom w:val="none" w:sz="0" w:space="0" w:color="auto"/>
            <w:right w:val="none" w:sz="0" w:space="0" w:color="auto"/>
          </w:divBdr>
        </w:div>
      </w:divsChild>
    </w:div>
    <w:div w:id="1321039580">
      <w:bodyDiv w:val="1"/>
      <w:marLeft w:val="0"/>
      <w:marRight w:val="0"/>
      <w:marTop w:val="0"/>
      <w:marBottom w:val="0"/>
      <w:divBdr>
        <w:top w:val="none" w:sz="0" w:space="0" w:color="auto"/>
        <w:left w:val="none" w:sz="0" w:space="0" w:color="auto"/>
        <w:bottom w:val="none" w:sz="0" w:space="0" w:color="auto"/>
        <w:right w:val="none" w:sz="0" w:space="0" w:color="auto"/>
      </w:divBdr>
    </w:div>
    <w:div w:id="1332372553">
      <w:bodyDiv w:val="1"/>
      <w:marLeft w:val="0"/>
      <w:marRight w:val="0"/>
      <w:marTop w:val="0"/>
      <w:marBottom w:val="0"/>
      <w:divBdr>
        <w:top w:val="none" w:sz="0" w:space="0" w:color="auto"/>
        <w:left w:val="none" w:sz="0" w:space="0" w:color="auto"/>
        <w:bottom w:val="none" w:sz="0" w:space="0" w:color="auto"/>
        <w:right w:val="none" w:sz="0" w:space="0" w:color="auto"/>
      </w:divBdr>
    </w:div>
    <w:div w:id="1333751528">
      <w:bodyDiv w:val="1"/>
      <w:marLeft w:val="0"/>
      <w:marRight w:val="0"/>
      <w:marTop w:val="0"/>
      <w:marBottom w:val="0"/>
      <w:divBdr>
        <w:top w:val="none" w:sz="0" w:space="0" w:color="auto"/>
        <w:left w:val="none" w:sz="0" w:space="0" w:color="auto"/>
        <w:bottom w:val="none" w:sz="0" w:space="0" w:color="auto"/>
        <w:right w:val="none" w:sz="0" w:space="0" w:color="auto"/>
      </w:divBdr>
    </w:div>
    <w:div w:id="1339498727">
      <w:bodyDiv w:val="1"/>
      <w:marLeft w:val="0"/>
      <w:marRight w:val="0"/>
      <w:marTop w:val="0"/>
      <w:marBottom w:val="0"/>
      <w:divBdr>
        <w:top w:val="none" w:sz="0" w:space="0" w:color="auto"/>
        <w:left w:val="none" w:sz="0" w:space="0" w:color="auto"/>
        <w:bottom w:val="none" w:sz="0" w:space="0" w:color="auto"/>
        <w:right w:val="none" w:sz="0" w:space="0" w:color="auto"/>
      </w:divBdr>
    </w:div>
    <w:div w:id="1342703094">
      <w:bodyDiv w:val="1"/>
      <w:marLeft w:val="0"/>
      <w:marRight w:val="0"/>
      <w:marTop w:val="0"/>
      <w:marBottom w:val="0"/>
      <w:divBdr>
        <w:top w:val="none" w:sz="0" w:space="0" w:color="auto"/>
        <w:left w:val="none" w:sz="0" w:space="0" w:color="auto"/>
        <w:bottom w:val="none" w:sz="0" w:space="0" w:color="auto"/>
        <w:right w:val="none" w:sz="0" w:space="0" w:color="auto"/>
      </w:divBdr>
    </w:div>
    <w:div w:id="1354769308">
      <w:bodyDiv w:val="1"/>
      <w:marLeft w:val="0"/>
      <w:marRight w:val="0"/>
      <w:marTop w:val="0"/>
      <w:marBottom w:val="0"/>
      <w:divBdr>
        <w:top w:val="none" w:sz="0" w:space="0" w:color="auto"/>
        <w:left w:val="none" w:sz="0" w:space="0" w:color="auto"/>
        <w:bottom w:val="none" w:sz="0" w:space="0" w:color="auto"/>
        <w:right w:val="none" w:sz="0" w:space="0" w:color="auto"/>
      </w:divBdr>
    </w:div>
    <w:div w:id="1355494618">
      <w:bodyDiv w:val="1"/>
      <w:marLeft w:val="0"/>
      <w:marRight w:val="0"/>
      <w:marTop w:val="0"/>
      <w:marBottom w:val="0"/>
      <w:divBdr>
        <w:top w:val="none" w:sz="0" w:space="0" w:color="auto"/>
        <w:left w:val="none" w:sz="0" w:space="0" w:color="auto"/>
        <w:bottom w:val="none" w:sz="0" w:space="0" w:color="auto"/>
        <w:right w:val="none" w:sz="0" w:space="0" w:color="auto"/>
      </w:divBdr>
      <w:divsChild>
        <w:div w:id="860972178">
          <w:marLeft w:val="0"/>
          <w:marRight w:val="0"/>
          <w:marTop w:val="0"/>
          <w:marBottom w:val="0"/>
          <w:divBdr>
            <w:top w:val="none" w:sz="0" w:space="0" w:color="auto"/>
            <w:left w:val="none" w:sz="0" w:space="0" w:color="auto"/>
            <w:bottom w:val="none" w:sz="0" w:space="0" w:color="auto"/>
            <w:right w:val="none" w:sz="0" w:space="0" w:color="auto"/>
          </w:divBdr>
        </w:div>
        <w:div w:id="1431896270">
          <w:marLeft w:val="0"/>
          <w:marRight w:val="0"/>
          <w:marTop w:val="0"/>
          <w:marBottom w:val="0"/>
          <w:divBdr>
            <w:top w:val="none" w:sz="0" w:space="0" w:color="auto"/>
            <w:left w:val="none" w:sz="0" w:space="0" w:color="auto"/>
            <w:bottom w:val="none" w:sz="0" w:space="0" w:color="auto"/>
            <w:right w:val="none" w:sz="0" w:space="0" w:color="auto"/>
          </w:divBdr>
        </w:div>
        <w:div w:id="2003586311">
          <w:marLeft w:val="0"/>
          <w:marRight w:val="0"/>
          <w:marTop w:val="0"/>
          <w:marBottom w:val="0"/>
          <w:divBdr>
            <w:top w:val="none" w:sz="0" w:space="0" w:color="auto"/>
            <w:left w:val="none" w:sz="0" w:space="0" w:color="auto"/>
            <w:bottom w:val="none" w:sz="0" w:space="0" w:color="auto"/>
            <w:right w:val="none" w:sz="0" w:space="0" w:color="auto"/>
          </w:divBdr>
        </w:div>
      </w:divsChild>
    </w:div>
    <w:div w:id="1369067891">
      <w:bodyDiv w:val="1"/>
      <w:marLeft w:val="0"/>
      <w:marRight w:val="0"/>
      <w:marTop w:val="0"/>
      <w:marBottom w:val="0"/>
      <w:divBdr>
        <w:top w:val="none" w:sz="0" w:space="0" w:color="auto"/>
        <w:left w:val="none" w:sz="0" w:space="0" w:color="auto"/>
        <w:bottom w:val="none" w:sz="0" w:space="0" w:color="auto"/>
        <w:right w:val="none" w:sz="0" w:space="0" w:color="auto"/>
      </w:divBdr>
    </w:div>
    <w:div w:id="1372615185">
      <w:bodyDiv w:val="1"/>
      <w:marLeft w:val="0"/>
      <w:marRight w:val="0"/>
      <w:marTop w:val="0"/>
      <w:marBottom w:val="0"/>
      <w:divBdr>
        <w:top w:val="none" w:sz="0" w:space="0" w:color="auto"/>
        <w:left w:val="none" w:sz="0" w:space="0" w:color="auto"/>
        <w:bottom w:val="none" w:sz="0" w:space="0" w:color="auto"/>
        <w:right w:val="none" w:sz="0" w:space="0" w:color="auto"/>
      </w:divBdr>
      <w:divsChild>
        <w:div w:id="149827877">
          <w:marLeft w:val="274"/>
          <w:marRight w:val="0"/>
          <w:marTop w:val="0"/>
          <w:marBottom w:val="0"/>
          <w:divBdr>
            <w:top w:val="none" w:sz="0" w:space="0" w:color="auto"/>
            <w:left w:val="none" w:sz="0" w:space="0" w:color="auto"/>
            <w:bottom w:val="none" w:sz="0" w:space="0" w:color="auto"/>
            <w:right w:val="none" w:sz="0" w:space="0" w:color="auto"/>
          </w:divBdr>
        </w:div>
        <w:div w:id="816268499">
          <w:marLeft w:val="274"/>
          <w:marRight w:val="0"/>
          <w:marTop w:val="0"/>
          <w:marBottom w:val="0"/>
          <w:divBdr>
            <w:top w:val="none" w:sz="0" w:space="0" w:color="auto"/>
            <w:left w:val="none" w:sz="0" w:space="0" w:color="auto"/>
            <w:bottom w:val="none" w:sz="0" w:space="0" w:color="auto"/>
            <w:right w:val="none" w:sz="0" w:space="0" w:color="auto"/>
          </w:divBdr>
        </w:div>
        <w:div w:id="1318143084">
          <w:marLeft w:val="274"/>
          <w:marRight w:val="0"/>
          <w:marTop w:val="0"/>
          <w:marBottom w:val="0"/>
          <w:divBdr>
            <w:top w:val="none" w:sz="0" w:space="0" w:color="auto"/>
            <w:left w:val="none" w:sz="0" w:space="0" w:color="auto"/>
            <w:bottom w:val="none" w:sz="0" w:space="0" w:color="auto"/>
            <w:right w:val="none" w:sz="0" w:space="0" w:color="auto"/>
          </w:divBdr>
        </w:div>
        <w:div w:id="2070226201">
          <w:marLeft w:val="274"/>
          <w:marRight w:val="0"/>
          <w:marTop w:val="0"/>
          <w:marBottom w:val="0"/>
          <w:divBdr>
            <w:top w:val="none" w:sz="0" w:space="0" w:color="auto"/>
            <w:left w:val="none" w:sz="0" w:space="0" w:color="auto"/>
            <w:bottom w:val="none" w:sz="0" w:space="0" w:color="auto"/>
            <w:right w:val="none" w:sz="0" w:space="0" w:color="auto"/>
          </w:divBdr>
        </w:div>
      </w:divsChild>
    </w:div>
    <w:div w:id="1379814843">
      <w:bodyDiv w:val="1"/>
      <w:marLeft w:val="0"/>
      <w:marRight w:val="0"/>
      <w:marTop w:val="0"/>
      <w:marBottom w:val="0"/>
      <w:divBdr>
        <w:top w:val="none" w:sz="0" w:space="0" w:color="auto"/>
        <w:left w:val="none" w:sz="0" w:space="0" w:color="auto"/>
        <w:bottom w:val="none" w:sz="0" w:space="0" w:color="auto"/>
        <w:right w:val="none" w:sz="0" w:space="0" w:color="auto"/>
      </w:divBdr>
    </w:div>
    <w:div w:id="1383407361">
      <w:bodyDiv w:val="1"/>
      <w:marLeft w:val="0"/>
      <w:marRight w:val="0"/>
      <w:marTop w:val="0"/>
      <w:marBottom w:val="0"/>
      <w:divBdr>
        <w:top w:val="none" w:sz="0" w:space="0" w:color="auto"/>
        <w:left w:val="none" w:sz="0" w:space="0" w:color="auto"/>
        <w:bottom w:val="none" w:sz="0" w:space="0" w:color="auto"/>
        <w:right w:val="none" w:sz="0" w:space="0" w:color="auto"/>
      </w:divBdr>
    </w:div>
    <w:div w:id="1385790427">
      <w:bodyDiv w:val="1"/>
      <w:marLeft w:val="0"/>
      <w:marRight w:val="0"/>
      <w:marTop w:val="0"/>
      <w:marBottom w:val="0"/>
      <w:divBdr>
        <w:top w:val="none" w:sz="0" w:space="0" w:color="auto"/>
        <w:left w:val="none" w:sz="0" w:space="0" w:color="auto"/>
        <w:bottom w:val="none" w:sz="0" w:space="0" w:color="auto"/>
        <w:right w:val="none" w:sz="0" w:space="0" w:color="auto"/>
      </w:divBdr>
    </w:div>
    <w:div w:id="1387878002">
      <w:bodyDiv w:val="1"/>
      <w:marLeft w:val="0"/>
      <w:marRight w:val="0"/>
      <w:marTop w:val="0"/>
      <w:marBottom w:val="0"/>
      <w:divBdr>
        <w:top w:val="none" w:sz="0" w:space="0" w:color="auto"/>
        <w:left w:val="none" w:sz="0" w:space="0" w:color="auto"/>
        <w:bottom w:val="none" w:sz="0" w:space="0" w:color="auto"/>
        <w:right w:val="none" w:sz="0" w:space="0" w:color="auto"/>
      </w:divBdr>
      <w:divsChild>
        <w:div w:id="128594619">
          <w:marLeft w:val="0"/>
          <w:marRight w:val="0"/>
          <w:marTop w:val="0"/>
          <w:marBottom w:val="0"/>
          <w:divBdr>
            <w:top w:val="none" w:sz="0" w:space="0" w:color="auto"/>
            <w:left w:val="none" w:sz="0" w:space="0" w:color="auto"/>
            <w:bottom w:val="none" w:sz="0" w:space="0" w:color="auto"/>
            <w:right w:val="none" w:sz="0" w:space="0" w:color="auto"/>
          </w:divBdr>
        </w:div>
        <w:div w:id="207570901">
          <w:marLeft w:val="0"/>
          <w:marRight w:val="0"/>
          <w:marTop w:val="0"/>
          <w:marBottom w:val="0"/>
          <w:divBdr>
            <w:top w:val="none" w:sz="0" w:space="0" w:color="auto"/>
            <w:left w:val="none" w:sz="0" w:space="0" w:color="auto"/>
            <w:bottom w:val="none" w:sz="0" w:space="0" w:color="auto"/>
            <w:right w:val="none" w:sz="0" w:space="0" w:color="auto"/>
          </w:divBdr>
        </w:div>
        <w:div w:id="307173482">
          <w:marLeft w:val="0"/>
          <w:marRight w:val="0"/>
          <w:marTop w:val="0"/>
          <w:marBottom w:val="0"/>
          <w:divBdr>
            <w:top w:val="none" w:sz="0" w:space="0" w:color="auto"/>
            <w:left w:val="none" w:sz="0" w:space="0" w:color="auto"/>
            <w:bottom w:val="none" w:sz="0" w:space="0" w:color="auto"/>
            <w:right w:val="none" w:sz="0" w:space="0" w:color="auto"/>
          </w:divBdr>
        </w:div>
        <w:div w:id="401875723">
          <w:marLeft w:val="0"/>
          <w:marRight w:val="0"/>
          <w:marTop w:val="0"/>
          <w:marBottom w:val="0"/>
          <w:divBdr>
            <w:top w:val="none" w:sz="0" w:space="0" w:color="auto"/>
            <w:left w:val="none" w:sz="0" w:space="0" w:color="auto"/>
            <w:bottom w:val="none" w:sz="0" w:space="0" w:color="auto"/>
            <w:right w:val="none" w:sz="0" w:space="0" w:color="auto"/>
          </w:divBdr>
        </w:div>
        <w:div w:id="482552042">
          <w:marLeft w:val="0"/>
          <w:marRight w:val="0"/>
          <w:marTop w:val="0"/>
          <w:marBottom w:val="0"/>
          <w:divBdr>
            <w:top w:val="none" w:sz="0" w:space="0" w:color="auto"/>
            <w:left w:val="none" w:sz="0" w:space="0" w:color="auto"/>
            <w:bottom w:val="none" w:sz="0" w:space="0" w:color="auto"/>
            <w:right w:val="none" w:sz="0" w:space="0" w:color="auto"/>
          </w:divBdr>
        </w:div>
        <w:div w:id="497229586">
          <w:marLeft w:val="0"/>
          <w:marRight w:val="0"/>
          <w:marTop w:val="0"/>
          <w:marBottom w:val="0"/>
          <w:divBdr>
            <w:top w:val="none" w:sz="0" w:space="0" w:color="auto"/>
            <w:left w:val="none" w:sz="0" w:space="0" w:color="auto"/>
            <w:bottom w:val="none" w:sz="0" w:space="0" w:color="auto"/>
            <w:right w:val="none" w:sz="0" w:space="0" w:color="auto"/>
          </w:divBdr>
        </w:div>
        <w:div w:id="667056795">
          <w:marLeft w:val="0"/>
          <w:marRight w:val="0"/>
          <w:marTop w:val="0"/>
          <w:marBottom w:val="0"/>
          <w:divBdr>
            <w:top w:val="none" w:sz="0" w:space="0" w:color="auto"/>
            <w:left w:val="none" w:sz="0" w:space="0" w:color="auto"/>
            <w:bottom w:val="none" w:sz="0" w:space="0" w:color="auto"/>
            <w:right w:val="none" w:sz="0" w:space="0" w:color="auto"/>
          </w:divBdr>
        </w:div>
        <w:div w:id="703212921">
          <w:marLeft w:val="0"/>
          <w:marRight w:val="0"/>
          <w:marTop w:val="0"/>
          <w:marBottom w:val="0"/>
          <w:divBdr>
            <w:top w:val="none" w:sz="0" w:space="0" w:color="auto"/>
            <w:left w:val="none" w:sz="0" w:space="0" w:color="auto"/>
            <w:bottom w:val="none" w:sz="0" w:space="0" w:color="auto"/>
            <w:right w:val="none" w:sz="0" w:space="0" w:color="auto"/>
          </w:divBdr>
        </w:div>
        <w:div w:id="709888374">
          <w:marLeft w:val="0"/>
          <w:marRight w:val="0"/>
          <w:marTop w:val="0"/>
          <w:marBottom w:val="0"/>
          <w:divBdr>
            <w:top w:val="none" w:sz="0" w:space="0" w:color="auto"/>
            <w:left w:val="none" w:sz="0" w:space="0" w:color="auto"/>
            <w:bottom w:val="none" w:sz="0" w:space="0" w:color="auto"/>
            <w:right w:val="none" w:sz="0" w:space="0" w:color="auto"/>
          </w:divBdr>
        </w:div>
        <w:div w:id="712079261">
          <w:marLeft w:val="0"/>
          <w:marRight w:val="0"/>
          <w:marTop w:val="0"/>
          <w:marBottom w:val="0"/>
          <w:divBdr>
            <w:top w:val="none" w:sz="0" w:space="0" w:color="auto"/>
            <w:left w:val="none" w:sz="0" w:space="0" w:color="auto"/>
            <w:bottom w:val="none" w:sz="0" w:space="0" w:color="auto"/>
            <w:right w:val="none" w:sz="0" w:space="0" w:color="auto"/>
          </w:divBdr>
        </w:div>
        <w:div w:id="912352470">
          <w:marLeft w:val="0"/>
          <w:marRight w:val="0"/>
          <w:marTop w:val="0"/>
          <w:marBottom w:val="0"/>
          <w:divBdr>
            <w:top w:val="none" w:sz="0" w:space="0" w:color="auto"/>
            <w:left w:val="none" w:sz="0" w:space="0" w:color="auto"/>
            <w:bottom w:val="none" w:sz="0" w:space="0" w:color="auto"/>
            <w:right w:val="none" w:sz="0" w:space="0" w:color="auto"/>
          </w:divBdr>
        </w:div>
        <w:div w:id="974915565">
          <w:marLeft w:val="0"/>
          <w:marRight w:val="0"/>
          <w:marTop w:val="0"/>
          <w:marBottom w:val="0"/>
          <w:divBdr>
            <w:top w:val="none" w:sz="0" w:space="0" w:color="auto"/>
            <w:left w:val="none" w:sz="0" w:space="0" w:color="auto"/>
            <w:bottom w:val="none" w:sz="0" w:space="0" w:color="auto"/>
            <w:right w:val="none" w:sz="0" w:space="0" w:color="auto"/>
          </w:divBdr>
        </w:div>
        <w:div w:id="1171989469">
          <w:marLeft w:val="0"/>
          <w:marRight w:val="0"/>
          <w:marTop w:val="0"/>
          <w:marBottom w:val="0"/>
          <w:divBdr>
            <w:top w:val="none" w:sz="0" w:space="0" w:color="auto"/>
            <w:left w:val="none" w:sz="0" w:space="0" w:color="auto"/>
            <w:bottom w:val="none" w:sz="0" w:space="0" w:color="auto"/>
            <w:right w:val="none" w:sz="0" w:space="0" w:color="auto"/>
          </w:divBdr>
        </w:div>
        <w:div w:id="1631978472">
          <w:marLeft w:val="0"/>
          <w:marRight w:val="0"/>
          <w:marTop w:val="0"/>
          <w:marBottom w:val="0"/>
          <w:divBdr>
            <w:top w:val="none" w:sz="0" w:space="0" w:color="auto"/>
            <w:left w:val="none" w:sz="0" w:space="0" w:color="auto"/>
            <w:bottom w:val="none" w:sz="0" w:space="0" w:color="auto"/>
            <w:right w:val="none" w:sz="0" w:space="0" w:color="auto"/>
          </w:divBdr>
        </w:div>
        <w:div w:id="1779135653">
          <w:marLeft w:val="0"/>
          <w:marRight w:val="0"/>
          <w:marTop w:val="0"/>
          <w:marBottom w:val="0"/>
          <w:divBdr>
            <w:top w:val="none" w:sz="0" w:space="0" w:color="auto"/>
            <w:left w:val="none" w:sz="0" w:space="0" w:color="auto"/>
            <w:bottom w:val="none" w:sz="0" w:space="0" w:color="auto"/>
            <w:right w:val="none" w:sz="0" w:space="0" w:color="auto"/>
          </w:divBdr>
        </w:div>
        <w:div w:id="1828745576">
          <w:marLeft w:val="0"/>
          <w:marRight w:val="0"/>
          <w:marTop w:val="0"/>
          <w:marBottom w:val="0"/>
          <w:divBdr>
            <w:top w:val="none" w:sz="0" w:space="0" w:color="auto"/>
            <w:left w:val="none" w:sz="0" w:space="0" w:color="auto"/>
            <w:bottom w:val="none" w:sz="0" w:space="0" w:color="auto"/>
            <w:right w:val="none" w:sz="0" w:space="0" w:color="auto"/>
          </w:divBdr>
        </w:div>
        <w:div w:id="1964189910">
          <w:marLeft w:val="0"/>
          <w:marRight w:val="0"/>
          <w:marTop w:val="0"/>
          <w:marBottom w:val="0"/>
          <w:divBdr>
            <w:top w:val="none" w:sz="0" w:space="0" w:color="auto"/>
            <w:left w:val="none" w:sz="0" w:space="0" w:color="auto"/>
            <w:bottom w:val="none" w:sz="0" w:space="0" w:color="auto"/>
            <w:right w:val="none" w:sz="0" w:space="0" w:color="auto"/>
          </w:divBdr>
        </w:div>
        <w:div w:id="1993021960">
          <w:marLeft w:val="0"/>
          <w:marRight w:val="0"/>
          <w:marTop w:val="0"/>
          <w:marBottom w:val="0"/>
          <w:divBdr>
            <w:top w:val="none" w:sz="0" w:space="0" w:color="auto"/>
            <w:left w:val="none" w:sz="0" w:space="0" w:color="auto"/>
            <w:bottom w:val="none" w:sz="0" w:space="0" w:color="auto"/>
            <w:right w:val="none" w:sz="0" w:space="0" w:color="auto"/>
          </w:divBdr>
        </w:div>
        <w:div w:id="2069449023">
          <w:marLeft w:val="0"/>
          <w:marRight w:val="0"/>
          <w:marTop w:val="0"/>
          <w:marBottom w:val="0"/>
          <w:divBdr>
            <w:top w:val="none" w:sz="0" w:space="0" w:color="auto"/>
            <w:left w:val="none" w:sz="0" w:space="0" w:color="auto"/>
            <w:bottom w:val="none" w:sz="0" w:space="0" w:color="auto"/>
            <w:right w:val="none" w:sz="0" w:space="0" w:color="auto"/>
          </w:divBdr>
        </w:div>
      </w:divsChild>
    </w:div>
    <w:div w:id="1388532598">
      <w:bodyDiv w:val="1"/>
      <w:marLeft w:val="0"/>
      <w:marRight w:val="0"/>
      <w:marTop w:val="0"/>
      <w:marBottom w:val="0"/>
      <w:divBdr>
        <w:top w:val="none" w:sz="0" w:space="0" w:color="auto"/>
        <w:left w:val="none" w:sz="0" w:space="0" w:color="auto"/>
        <w:bottom w:val="none" w:sz="0" w:space="0" w:color="auto"/>
        <w:right w:val="none" w:sz="0" w:space="0" w:color="auto"/>
      </w:divBdr>
    </w:div>
    <w:div w:id="1393843010">
      <w:bodyDiv w:val="1"/>
      <w:marLeft w:val="0"/>
      <w:marRight w:val="0"/>
      <w:marTop w:val="0"/>
      <w:marBottom w:val="0"/>
      <w:divBdr>
        <w:top w:val="none" w:sz="0" w:space="0" w:color="auto"/>
        <w:left w:val="none" w:sz="0" w:space="0" w:color="auto"/>
        <w:bottom w:val="none" w:sz="0" w:space="0" w:color="auto"/>
        <w:right w:val="none" w:sz="0" w:space="0" w:color="auto"/>
      </w:divBdr>
    </w:div>
    <w:div w:id="1402799144">
      <w:bodyDiv w:val="1"/>
      <w:marLeft w:val="0"/>
      <w:marRight w:val="0"/>
      <w:marTop w:val="0"/>
      <w:marBottom w:val="0"/>
      <w:divBdr>
        <w:top w:val="none" w:sz="0" w:space="0" w:color="auto"/>
        <w:left w:val="none" w:sz="0" w:space="0" w:color="auto"/>
        <w:bottom w:val="none" w:sz="0" w:space="0" w:color="auto"/>
        <w:right w:val="none" w:sz="0" w:space="0" w:color="auto"/>
      </w:divBdr>
    </w:div>
    <w:div w:id="1404522278">
      <w:bodyDiv w:val="1"/>
      <w:marLeft w:val="0"/>
      <w:marRight w:val="0"/>
      <w:marTop w:val="0"/>
      <w:marBottom w:val="0"/>
      <w:divBdr>
        <w:top w:val="none" w:sz="0" w:space="0" w:color="auto"/>
        <w:left w:val="none" w:sz="0" w:space="0" w:color="auto"/>
        <w:bottom w:val="none" w:sz="0" w:space="0" w:color="auto"/>
        <w:right w:val="none" w:sz="0" w:space="0" w:color="auto"/>
      </w:divBdr>
    </w:div>
    <w:div w:id="1411076367">
      <w:bodyDiv w:val="1"/>
      <w:marLeft w:val="0"/>
      <w:marRight w:val="0"/>
      <w:marTop w:val="0"/>
      <w:marBottom w:val="0"/>
      <w:divBdr>
        <w:top w:val="none" w:sz="0" w:space="0" w:color="auto"/>
        <w:left w:val="none" w:sz="0" w:space="0" w:color="auto"/>
        <w:bottom w:val="none" w:sz="0" w:space="0" w:color="auto"/>
        <w:right w:val="none" w:sz="0" w:space="0" w:color="auto"/>
      </w:divBdr>
      <w:divsChild>
        <w:div w:id="572936090">
          <w:marLeft w:val="0"/>
          <w:marRight w:val="0"/>
          <w:marTop w:val="0"/>
          <w:marBottom w:val="0"/>
          <w:divBdr>
            <w:top w:val="none" w:sz="0" w:space="0" w:color="auto"/>
            <w:left w:val="none" w:sz="0" w:space="0" w:color="auto"/>
            <w:bottom w:val="none" w:sz="0" w:space="0" w:color="auto"/>
            <w:right w:val="none" w:sz="0" w:space="0" w:color="auto"/>
          </w:divBdr>
        </w:div>
        <w:div w:id="879366340">
          <w:marLeft w:val="0"/>
          <w:marRight w:val="0"/>
          <w:marTop w:val="0"/>
          <w:marBottom w:val="0"/>
          <w:divBdr>
            <w:top w:val="none" w:sz="0" w:space="0" w:color="auto"/>
            <w:left w:val="none" w:sz="0" w:space="0" w:color="auto"/>
            <w:bottom w:val="none" w:sz="0" w:space="0" w:color="auto"/>
            <w:right w:val="none" w:sz="0" w:space="0" w:color="auto"/>
          </w:divBdr>
        </w:div>
        <w:div w:id="1038044279">
          <w:marLeft w:val="0"/>
          <w:marRight w:val="0"/>
          <w:marTop w:val="0"/>
          <w:marBottom w:val="0"/>
          <w:divBdr>
            <w:top w:val="none" w:sz="0" w:space="0" w:color="auto"/>
            <w:left w:val="none" w:sz="0" w:space="0" w:color="auto"/>
            <w:bottom w:val="none" w:sz="0" w:space="0" w:color="auto"/>
            <w:right w:val="none" w:sz="0" w:space="0" w:color="auto"/>
          </w:divBdr>
        </w:div>
        <w:div w:id="1260601333">
          <w:marLeft w:val="0"/>
          <w:marRight w:val="0"/>
          <w:marTop w:val="0"/>
          <w:marBottom w:val="0"/>
          <w:divBdr>
            <w:top w:val="none" w:sz="0" w:space="0" w:color="auto"/>
            <w:left w:val="none" w:sz="0" w:space="0" w:color="auto"/>
            <w:bottom w:val="none" w:sz="0" w:space="0" w:color="auto"/>
            <w:right w:val="none" w:sz="0" w:space="0" w:color="auto"/>
          </w:divBdr>
        </w:div>
        <w:div w:id="1826118798">
          <w:marLeft w:val="0"/>
          <w:marRight w:val="0"/>
          <w:marTop w:val="0"/>
          <w:marBottom w:val="0"/>
          <w:divBdr>
            <w:top w:val="none" w:sz="0" w:space="0" w:color="auto"/>
            <w:left w:val="none" w:sz="0" w:space="0" w:color="auto"/>
            <w:bottom w:val="none" w:sz="0" w:space="0" w:color="auto"/>
            <w:right w:val="none" w:sz="0" w:space="0" w:color="auto"/>
          </w:divBdr>
        </w:div>
      </w:divsChild>
    </w:div>
    <w:div w:id="1411199406">
      <w:bodyDiv w:val="1"/>
      <w:marLeft w:val="0"/>
      <w:marRight w:val="0"/>
      <w:marTop w:val="0"/>
      <w:marBottom w:val="0"/>
      <w:divBdr>
        <w:top w:val="none" w:sz="0" w:space="0" w:color="auto"/>
        <w:left w:val="none" w:sz="0" w:space="0" w:color="auto"/>
        <w:bottom w:val="none" w:sz="0" w:space="0" w:color="auto"/>
        <w:right w:val="none" w:sz="0" w:space="0" w:color="auto"/>
      </w:divBdr>
    </w:div>
    <w:div w:id="1411540946">
      <w:bodyDiv w:val="1"/>
      <w:marLeft w:val="0"/>
      <w:marRight w:val="0"/>
      <w:marTop w:val="0"/>
      <w:marBottom w:val="0"/>
      <w:divBdr>
        <w:top w:val="none" w:sz="0" w:space="0" w:color="auto"/>
        <w:left w:val="none" w:sz="0" w:space="0" w:color="auto"/>
        <w:bottom w:val="none" w:sz="0" w:space="0" w:color="auto"/>
        <w:right w:val="none" w:sz="0" w:space="0" w:color="auto"/>
      </w:divBdr>
    </w:div>
    <w:div w:id="1416828453">
      <w:bodyDiv w:val="1"/>
      <w:marLeft w:val="0"/>
      <w:marRight w:val="0"/>
      <w:marTop w:val="0"/>
      <w:marBottom w:val="0"/>
      <w:divBdr>
        <w:top w:val="none" w:sz="0" w:space="0" w:color="auto"/>
        <w:left w:val="none" w:sz="0" w:space="0" w:color="auto"/>
        <w:bottom w:val="none" w:sz="0" w:space="0" w:color="auto"/>
        <w:right w:val="none" w:sz="0" w:space="0" w:color="auto"/>
      </w:divBdr>
      <w:divsChild>
        <w:div w:id="53772276">
          <w:marLeft w:val="0"/>
          <w:marRight w:val="0"/>
          <w:marTop w:val="0"/>
          <w:marBottom w:val="0"/>
          <w:divBdr>
            <w:top w:val="none" w:sz="0" w:space="0" w:color="auto"/>
            <w:left w:val="none" w:sz="0" w:space="0" w:color="auto"/>
            <w:bottom w:val="none" w:sz="0" w:space="0" w:color="auto"/>
            <w:right w:val="none" w:sz="0" w:space="0" w:color="auto"/>
          </w:divBdr>
        </w:div>
        <w:div w:id="77679809">
          <w:marLeft w:val="0"/>
          <w:marRight w:val="0"/>
          <w:marTop w:val="0"/>
          <w:marBottom w:val="0"/>
          <w:divBdr>
            <w:top w:val="none" w:sz="0" w:space="0" w:color="auto"/>
            <w:left w:val="none" w:sz="0" w:space="0" w:color="auto"/>
            <w:bottom w:val="none" w:sz="0" w:space="0" w:color="auto"/>
            <w:right w:val="none" w:sz="0" w:space="0" w:color="auto"/>
          </w:divBdr>
        </w:div>
        <w:div w:id="95098826">
          <w:marLeft w:val="0"/>
          <w:marRight w:val="0"/>
          <w:marTop w:val="0"/>
          <w:marBottom w:val="0"/>
          <w:divBdr>
            <w:top w:val="none" w:sz="0" w:space="0" w:color="auto"/>
            <w:left w:val="none" w:sz="0" w:space="0" w:color="auto"/>
            <w:bottom w:val="none" w:sz="0" w:space="0" w:color="auto"/>
            <w:right w:val="none" w:sz="0" w:space="0" w:color="auto"/>
          </w:divBdr>
        </w:div>
        <w:div w:id="152718298">
          <w:marLeft w:val="0"/>
          <w:marRight w:val="0"/>
          <w:marTop w:val="0"/>
          <w:marBottom w:val="0"/>
          <w:divBdr>
            <w:top w:val="none" w:sz="0" w:space="0" w:color="auto"/>
            <w:left w:val="none" w:sz="0" w:space="0" w:color="auto"/>
            <w:bottom w:val="none" w:sz="0" w:space="0" w:color="auto"/>
            <w:right w:val="none" w:sz="0" w:space="0" w:color="auto"/>
          </w:divBdr>
        </w:div>
        <w:div w:id="222838057">
          <w:marLeft w:val="0"/>
          <w:marRight w:val="0"/>
          <w:marTop w:val="0"/>
          <w:marBottom w:val="0"/>
          <w:divBdr>
            <w:top w:val="none" w:sz="0" w:space="0" w:color="auto"/>
            <w:left w:val="none" w:sz="0" w:space="0" w:color="auto"/>
            <w:bottom w:val="none" w:sz="0" w:space="0" w:color="auto"/>
            <w:right w:val="none" w:sz="0" w:space="0" w:color="auto"/>
          </w:divBdr>
        </w:div>
        <w:div w:id="241914816">
          <w:marLeft w:val="0"/>
          <w:marRight w:val="0"/>
          <w:marTop w:val="0"/>
          <w:marBottom w:val="0"/>
          <w:divBdr>
            <w:top w:val="none" w:sz="0" w:space="0" w:color="auto"/>
            <w:left w:val="none" w:sz="0" w:space="0" w:color="auto"/>
            <w:bottom w:val="none" w:sz="0" w:space="0" w:color="auto"/>
            <w:right w:val="none" w:sz="0" w:space="0" w:color="auto"/>
          </w:divBdr>
        </w:div>
        <w:div w:id="288706808">
          <w:marLeft w:val="0"/>
          <w:marRight w:val="0"/>
          <w:marTop w:val="0"/>
          <w:marBottom w:val="0"/>
          <w:divBdr>
            <w:top w:val="none" w:sz="0" w:space="0" w:color="auto"/>
            <w:left w:val="none" w:sz="0" w:space="0" w:color="auto"/>
            <w:bottom w:val="none" w:sz="0" w:space="0" w:color="auto"/>
            <w:right w:val="none" w:sz="0" w:space="0" w:color="auto"/>
          </w:divBdr>
        </w:div>
        <w:div w:id="351105363">
          <w:marLeft w:val="0"/>
          <w:marRight w:val="0"/>
          <w:marTop w:val="0"/>
          <w:marBottom w:val="0"/>
          <w:divBdr>
            <w:top w:val="none" w:sz="0" w:space="0" w:color="auto"/>
            <w:left w:val="none" w:sz="0" w:space="0" w:color="auto"/>
            <w:bottom w:val="none" w:sz="0" w:space="0" w:color="auto"/>
            <w:right w:val="none" w:sz="0" w:space="0" w:color="auto"/>
          </w:divBdr>
        </w:div>
        <w:div w:id="355155190">
          <w:marLeft w:val="0"/>
          <w:marRight w:val="0"/>
          <w:marTop w:val="0"/>
          <w:marBottom w:val="0"/>
          <w:divBdr>
            <w:top w:val="none" w:sz="0" w:space="0" w:color="auto"/>
            <w:left w:val="none" w:sz="0" w:space="0" w:color="auto"/>
            <w:bottom w:val="none" w:sz="0" w:space="0" w:color="auto"/>
            <w:right w:val="none" w:sz="0" w:space="0" w:color="auto"/>
          </w:divBdr>
        </w:div>
        <w:div w:id="356466328">
          <w:marLeft w:val="0"/>
          <w:marRight w:val="0"/>
          <w:marTop w:val="0"/>
          <w:marBottom w:val="0"/>
          <w:divBdr>
            <w:top w:val="none" w:sz="0" w:space="0" w:color="auto"/>
            <w:left w:val="none" w:sz="0" w:space="0" w:color="auto"/>
            <w:bottom w:val="none" w:sz="0" w:space="0" w:color="auto"/>
            <w:right w:val="none" w:sz="0" w:space="0" w:color="auto"/>
          </w:divBdr>
        </w:div>
        <w:div w:id="363404306">
          <w:marLeft w:val="0"/>
          <w:marRight w:val="0"/>
          <w:marTop w:val="0"/>
          <w:marBottom w:val="0"/>
          <w:divBdr>
            <w:top w:val="none" w:sz="0" w:space="0" w:color="auto"/>
            <w:left w:val="none" w:sz="0" w:space="0" w:color="auto"/>
            <w:bottom w:val="none" w:sz="0" w:space="0" w:color="auto"/>
            <w:right w:val="none" w:sz="0" w:space="0" w:color="auto"/>
          </w:divBdr>
        </w:div>
        <w:div w:id="363555738">
          <w:marLeft w:val="0"/>
          <w:marRight w:val="0"/>
          <w:marTop w:val="0"/>
          <w:marBottom w:val="0"/>
          <w:divBdr>
            <w:top w:val="none" w:sz="0" w:space="0" w:color="auto"/>
            <w:left w:val="none" w:sz="0" w:space="0" w:color="auto"/>
            <w:bottom w:val="none" w:sz="0" w:space="0" w:color="auto"/>
            <w:right w:val="none" w:sz="0" w:space="0" w:color="auto"/>
          </w:divBdr>
        </w:div>
        <w:div w:id="390464459">
          <w:marLeft w:val="0"/>
          <w:marRight w:val="0"/>
          <w:marTop w:val="0"/>
          <w:marBottom w:val="0"/>
          <w:divBdr>
            <w:top w:val="none" w:sz="0" w:space="0" w:color="auto"/>
            <w:left w:val="none" w:sz="0" w:space="0" w:color="auto"/>
            <w:bottom w:val="none" w:sz="0" w:space="0" w:color="auto"/>
            <w:right w:val="none" w:sz="0" w:space="0" w:color="auto"/>
          </w:divBdr>
        </w:div>
        <w:div w:id="445664808">
          <w:marLeft w:val="0"/>
          <w:marRight w:val="0"/>
          <w:marTop w:val="0"/>
          <w:marBottom w:val="0"/>
          <w:divBdr>
            <w:top w:val="none" w:sz="0" w:space="0" w:color="auto"/>
            <w:left w:val="none" w:sz="0" w:space="0" w:color="auto"/>
            <w:bottom w:val="none" w:sz="0" w:space="0" w:color="auto"/>
            <w:right w:val="none" w:sz="0" w:space="0" w:color="auto"/>
          </w:divBdr>
        </w:div>
        <w:div w:id="455370482">
          <w:marLeft w:val="0"/>
          <w:marRight w:val="0"/>
          <w:marTop w:val="0"/>
          <w:marBottom w:val="0"/>
          <w:divBdr>
            <w:top w:val="none" w:sz="0" w:space="0" w:color="auto"/>
            <w:left w:val="none" w:sz="0" w:space="0" w:color="auto"/>
            <w:bottom w:val="none" w:sz="0" w:space="0" w:color="auto"/>
            <w:right w:val="none" w:sz="0" w:space="0" w:color="auto"/>
          </w:divBdr>
        </w:div>
        <w:div w:id="486483786">
          <w:marLeft w:val="0"/>
          <w:marRight w:val="0"/>
          <w:marTop w:val="0"/>
          <w:marBottom w:val="0"/>
          <w:divBdr>
            <w:top w:val="none" w:sz="0" w:space="0" w:color="auto"/>
            <w:left w:val="none" w:sz="0" w:space="0" w:color="auto"/>
            <w:bottom w:val="none" w:sz="0" w:space="0" w:color="auto"/>
            <w:right w:val="none" w:sz="0" w:space="0" w:color="auto"/>
          </w:divBdr>
        </w:div>
        <w:div w:id="581985006">
          <w:marLeft w:val="0"/>
          <w:marRight w:val="0"/>
          <w:marTop w:val="0"/>
          <w:marBottom w:val="0"/>
          <w:divBdr>
            <w:top w:val="none" w:sz="0" w:space="0" w:color="auto"/>
            <w:left w:val="none" w:sz="0" w:space="0" w:color="auto"/>
            <w:bottom w:val="none" w:sz="0" w:space="0" w:color="auto"/>
            <w:right w:val="none" w:sz="0" w:space="0" w:color="auto"/>
          </w:divBdr>
        </w:div>
        <w:div w:id="635180222">
          <w:marLeft w:val="0"/>
          <w:marRight w:val="0"/>
          <w:marTop w:val="0"/>
          <w:marBottom w:val="0"/>
          <w:divBdr>
            <w:top w:val="none" w:sz="0" w:space="0" w:color="auto"/>
            <w:left w:val="none" w:sz="0" w:space="0" w:color="auto"/>
            <w:bottom w:val="none" w:sz="0" w:space="0" w:color="auto"/>
            <w:right w:val="none" w:sz="0" w:space="0" w:color="auto"/>
          </w:divBdr>
        </w:div>
        <w:div w:id="663625908">
          <w:marLeft w:val="0"/>
          <w:marRight w:val="0"/>
          <w:marTop w:val="0"/>
          <w:marBottom w:val="0"/>
          <w:divBdr>
            <w:top w:val="none" w:sz="0" w:space="0" w:color="auto"/>
            <w:left w:val="none" w:sz="0" w:space="0" w:color="auto"/>
            <w:bottom w:val="none" w:sz="0" w:space="0" w:color="auto"/>
            <w:right w:val="none" w:sz="0" w:space="0" w:color="auto"/>
          </w:divBdr>
        </w:div>
        <w:div w:id="664823619">
          <w:marLeft w:val="0"/>
          <w:marRight w:val="0"/>
          <w:marTop w:val="0"/>
          <w:marBottom w:val="0"/>
          <w:divBdr>
            <w:top w:val="none" w:sz="0" w:space="0" w:color="auto"/>
            <w:left w:val="none" w:sz="0" w:space="0" w:color="auto"/>
            <w:bottom w:val="none" w:sz="0" w:space="0" w:color="auto"/>
            <w:right w:val="none" w:sz="0" w:space="0" w:color="auto"/>
          </w:divBdr>
        </w:div>
        <w:div w:id="685595954">
          <w:marLeft w:val="0"/>
          <w:marRight w:val="0"/>
          <w:marTop w:val="0"/>
          <w:marBottom w:val="0"/>
          <w:divBdr>
            <w:top w:val="none" w:sz="0" w:space="0" w:color="auto"/>
            <w:left w:val="none" w:sz="0" w:space="0" w:color="auto"/>
            <w:bottom w:val="none" w:sz="0" w:space="0" w:color="auto"/>
            <w:right w:val="none" w:sz="0" w:space="0" w:color="auto"/>
          </w:divBdr>
        </w:div>
        <w:div w:id="771634953">
          <w:marLeft w:val="0"/>
          <w:marRight w:val="0"/>
          <w:marTop w:val="0"/>
          <w:marBottom w:val="0"/>
          <w:divBdr>
            <w:top w:val="none" w:sz="0" w:space="0" w:color="auto"/>
            <w:left w:val="none" w:sz="0" w:space="0" w:color="auto"/>
            <w:bottom w:val="none" w:sz="0" w:space="0" w:color="auto"/>
            <w:right w:val="none" w:sz="0" w:space="0" w:color="auto"/>
          </w:divBdr>
        </w:div>
        <w:div w:id="775369102">
          <w:marLeft w:val="0"/>
          <w:marRight w:val="0"/>
          <w:marTop w:val="0"/>
          <w:marBottom w:val="0"/>
          <w:divBdr>
            <w:top w:val="none" w:sz="0" w:space="0" w:color="auto"/>
            <w:left w:val="none" w:sz="0" w:space="0" w:color="auto"/>
            <w:bottom w:val="none" w:sz="0" w:space="0" w:color="auto"/>
            <w:right w:val="none" w:sz="0" w:space="0" w:color="auto"/>
          </w:divBdr>
        </w:div>
        <w:div w:id="814569081">
          <w:marLeft w:val="0"/>
          <w:marRight w:val="0"/>
          <w:marTop w:val="0"/>
          <w:marBottom w:val="0"/>
          <w:divBdr>
            <w:top w:val="none" w:sz="0" w:space="0" w:color="auto"/>
            <w:left w:val="none" w:sz="0" w:space="0" w:color="auto"/>
            <w:bottom w:val="none" w:sz="0" w:space="0" w:color="auto"/>
            <w:right w:val="none" w:sz="0" w:space="0" w:color="auto"/>
          </w:divBdr>
        </w:div>
        <w:div w:id="818227352">
          <w:marLeft w:val="0"/>
          <w:marRight w:val="0"/>
          <w:marTop w:val="0"/>
          <w:marBottom w:val="0"/>
          <w:divBdr>
            <w:top w:val="none" w:sz="0" w:space="0" w:color="auto"/>
            <w:left w:val="none" w:sz="0" w:space="0" w:color="auto"/>
            <w:bottom w:val="none" w:sz="0" w:space="0" w:color="auto"/>
            <w:right w:val="none" w:sz="0" w:space="0" w:color="auto"/>
          </w:divBdr>
        </w:div>
        <w:div w:id="1001811060">
          <w:marLeft w:val="0"/>
          <w:marRight w:val="0"/>
          <w:marTop w:val="0"/>
          <w:marBottom w:val="0"/>
          <w:divBdr>
            <w:top w:val="none" w:sz="0" w:space="0" w:color="auto"/>
            <w:left w:val="none" w:sz="0" w:space="0" w:color="auto"/>
            <w:bottom w:val="none" w:sz="0" w:space="0" w:color="auto"/>
            <w:right w:val="none" w:sz="0" w:space="0" w:color="auto"/>
          </w:divBdr>
        </w:div>
        <w:div w:id="1066491194">
          <w:marLeft w:val="0"/>
          <w:marRight w:val="0"/>
          <w:marTop w:val="0"/>
          <w:marBottom w:val="0"/>
          <w:divBdr>
            <w:top w:val="none" w:sz="0" w:space="0" w:color="auto"/>
            <w:left w:val="none" w:sz="0" w:space="0" w:color="auto"/>
            <w:bottom w:val="none" w:sz="0" w:space="0" w:color="auto"/>
            <w:right w:val="none" w:sz="0" w:space="0" w:color="auto"/>
          </w:divBdr>
        </w:div>
        <w:div w:id="1114252100">
          <w:marLeft w:val="0"/>
          <w:marRight w:val="0"/>
          <w:marTop w:val="0"/>
          <w:marBottom w:val="0"/>
          <w:divBdr>
            <w:top w:val="none" w:sz="0" w:space="0" w:color="auto"/>
            <w:left w:val="none" w:sz="0" w:space="0" w:color="auto"/>
            <w:bottom w:val="none" w:sz="0" w:space="0" w:color="auto"/>
            <w:right w:val="none" w:sz="0" w:space="0" w:color="auto"/>
          </w:divBdr>
        </w:div>
        <w:div w:id="1134327228">
          <w:marLeft w:val="0"/>
          <w:marRight w:val="0"/>
          <w:marTop w:val="0"/>
          <w:marBottom w:val="0"/>
          <w:divBdr>
            <w:top w:val="none" w:sz="0" w:space="0" w:color="auto"/>
            <w:left w:val="none" w:sz="0" w:space="0" w:color="auto"/>
            <w:bottom w:val="none" w:sz="0" w:space="0" w:color="auto"/>
            <w:right w:val="none" w:sz="0" w:space="0" w:color="auto"/>
          </w:divBdr>
        </w:div>
        <w:div w:id="1147091453">
          <w:marLeft w:val="0"/>
          <w:marRight w:val="0"/>
          <w:marTop w:val="0"/>
          <w:marBottom w:val="0"/>
          <w:divBdr>
            <w:top w:val="none" w:sz="0" w:space="0" w:color="auto"/>
            <w:left w:val="none" w:sz="0" w:space="0" w:color="auto"/>
            <w:bottom w:val="none" w:sz="0" w:space="0" w:color="auto"/>
            <w:right w:val="none" w:sz="0" w:space="0" w:color="auto"/>
          </w:divBdr>
        </w:div>
        <w:div w:id="1148479894">
          <w:marLeft w:val="0"/>
          <w:marRight w:val="0"/>
          <w:marTop w:val="0"/>
          <w:marBottom w:val="0"/>
          <w:divBdr>
            <w:top w:val="none" w:sz="0" w:space="0" w:color="auto"/>
            <w:left w:val="none" w:sz="0" w:space="0" w:color="auto"/>
            <w:bottom w:val="none" w:sz="0" w:space="0" w:color="auto"/>
            <w:right w:val="none" w:sz="0" w:space="0" w:color="auto"/>
          </w:divBdr>
        </w:div>
        <w:div w:id="1159616309">
          <w:marLeft w:val="0"/>
          <w:marRight w:val="0"/>
          <w:marTop w:val="0"/>
          <w:marBottom w:val="0"/>
          <w:divBdr>
            <w:top w:val="none" w:sz="0" w:space="0" w:color="auto"/>
            <w:left w:val="none" w:sz="0" w:space="0" w:color="auto"/>
            <w:bottom w:val="none" w:sz="0" w:space="0" w:color="auto"/>
            <w:right w:val="none" w:sz="0" w:space="0" w:color="auto"/>
          </w:divBdr>
        </w:div>
        <w:div w:id="1202092759">
          <w:marLeft w:val="0"/>
          <w:marRight w:val="0"/>
          <w:marTop w:val="0"/>
          <w:marBottom w:val="0"/>
          <w:divBdr>
            <w:top w:val="none" w:sz="0" w:space="0" w:color="auto"/>
            <w:left w:val="none" w:sz="0" w:space="0" w:color="auto"/>
            <w:bottom w:val="none" w:sz="0" w:space="0" w:color="auto"/>
            <w:right w:val="none" w:sz="0" w:space="0" w:color="auto"/>
          </w:divBdr>
        </w:div>
        <w:div w:id="1254783064">
          <w:marLeft w:val="0"/>
          <w:marRight w:val="0"/>
          <w:marTop w:val="0"/>
          <w:marBottom w:val="0"/>
          <w:divBdr>
            <w:top w:val="none" w:sz="0" w:space="0" w:color="auto"/>
            <w:left w:val="none" w:sz="0" w:space="0" w:color="auto"/>
            <w:bottom w:val="none" w:sz="0" w:space="0" w:color="auto"/>
            <w:right w:val="none" w:sz="0" w:space="0" w:color="auto"/>
          </w:divBdr>
        </w:div>
        <w:div w:id="1260065502">
          <w:marLeft w:val="0"/>
          <w:marRight w:val="0"/>
          <w:marTop w:val="0"/>
          <w:marBottom w:val="0"/>
          <w:divBdr>
            <w:top w:val="none" w:sz="0" w:space="0" w:color="auto"/>
            <w:left w:val="none" w:sz="0" w:space="0" w:color="auto"/>
            <w:bottom w:val="none" w:sz="0" w:space="0" w:color="auto"/>
            <w:right w:val="none" w:sz="0" w:space="0" w:color="auto"/>
          </w:divBdr>
        </w:div>
        <w:div w:id="1348018016">
          <w:marLeft w:val="0"/>
          <w:marRight w:val="0"/>
          <w:marTop w:val="0"/>
          <w:marBottom w:val="0"/>
          <w:divBdr>
            <w:top w:val="none" w:sz="0" w:space="0" w:color="auto"/>
            <w:left w:val="none" w:sz="0" w:space="0" w:color="auto"/>
            <w:bottom w:val="none" w:sz="0" w:space="0" w:color="auto"/>
            <w:right w:val="none" w:sz="0" w:space="0" w:color="auto"/>
          </w:divBdr>
        </w:div>
        <w:div w:id="1397775197">
          <w:marLeft w:val="0"/>
          <w:marRight w:val="0"/>
          <w:marTop w:val="0"/>
          <w:marBottom w:val="0"/>
          <w:divBdr>
            <w:top w:val="none" w:sz="0" w:space="0" w:color="auto"/>
            <w:left w:val="none" w:sz="0" w:space="0" w:color="auto"/>
            <w:bottom w:val="none" w:sz="0" w:space="0" w:color="auto"/>
            <w:right w:val="none" w:sz="0" w:space="0" w:color="auto"/>
          </w:divBdr>
        </w:div>
        <w:div w:id="1398361238">
          <w:marLeft w:val="0"/>
          <w:marRight w:val="0"/>
          <w:marTop w:val="0"/>
          <w:marBottom w:val="0"/>
          <w:divBdr>
            <w:top w:val="none" w:sz="0" w:space="0" w:color="auto"/>
            <w:left w:val="none" w:sz="0" w:space="0" w:color="auto"/>
            <w:bottom w:val="none" w:sz="0" w:space="0" w:color="auto"/>
            <w:right w:val="none" w:sz="0" w:space="0" w:color="auto"/>
          </w:divBdr>
        </w:div>
        <w:div w:id="1424062555">
          <w:marLeft w:val="0"/>
          <w:marRight w:val="0"/>
          <w:marTop w:val="0"/>
          <w:marBottom w:val="0"/>
          <w:divBdr>
            <w:top w:val="none" w:sz="0" w:space="0" w:color="auto"/>
            <w:left w:val="none" w:sz="0" w:space="0" w:color="auto"/>
            <w:bottom w:val="none" w:sz="0" w:space="0" w:color="auto"/>
            <w:right w:val="none" w:sz="0" w:space="0" w:color="auto"/>
          </w:divBdr>
        </w:div>
        <w:div w:id="1427769371">
          <w:marLeft w:val="0"/>
          <w:marRight w:val="0"/>
          <w:marTop w:val="0"/>
          <w:marBottom w:val="0"/>
          <w:divBdr>
            <w:top w:val="none" w:sz="0" w:space="0" w:color="auto"/>
            <w:left w:val="none" w:sz="0" w:space="0" w:color="auto"/>
            <w:bottom w:val="none" w:sz="0" w:space="0" w:color="auto"/>
            <w:right w:val="none" w:sz="0" w:space="0" w:color="auto"/>
          </w:divBdr>
        </w:div>
        <w:div w:id="1430346978">
          <w:marLeft w:val="0"/>
          <w:marRight w:val="0"/>
          <w:marTop w:val="0"/>
          <w:marBottom w:val="0"/>
          <w:divBdr>
            <w:top w:val="none" w:sz="0" w:space="0" w:color="auto"/>
            <w:left w:val="none" w:sz="0" w:space="0" w:color="auto"/>
            <w:bottom w:val="none" w:sz="0" w:space="0" w:color="auto"/>
            <w:right w:val="none" w:sz="0" w:space="0" w:color="auto"/>
          </w:divBdr>
        </w:div>
        <w:div w:id="1444350306">
          <w:marLeft w:val="0"/>
          <w:marRight w:val="0"/>
          <w:marTop w:val="0"/>
          <w:marBottom w:val="0"/>
          <w:divBdr>
            <w:top w:val="none" w:sz="0" w:space="0" w:color="auto"/>
            <w:left w:val="none" w:sz="0" w:space="0" w:color="auto"/>
            <w:bottom w:val="none" w:sz="0" w:space="0" w:color="auto"/>
            <w:right w:val="none" w:sz="0" w:space="0" w:color="auto"/>
          </w:divBdr>
        </w:div>
        <w:div w:id="1446920969">
          <w:marLeft w:val="0"/>
          <w:marRight w:val="0"/>
          <w:marTop w:val="0"/>
          <w:marBottom w:val="0"/>
          <w:divBdr>
            <w:top w:val="none" w:sz="0" w:space="0" w:color="auto"/>
            <w:left w:val="none" w:sz="0" w:space="0" w:color="auto"/>
            <w:bottom w:val="none" w:sz="0" w:space="0" w:color="auto"/>
            <w:right w:val="none" w:sz="0" w:space="0" w:color="auto"/>
          </w:divBdr>
        </w:div>
        <w:div w:id="1463186936">
          <w:marLeft w:val="0"/>
          <w:marRight w:val="0"/>
          <w:marTop w:val="0"/>
          <w:marBottom w:val="0"/>
          <w:divBdr>
            <w:top w:val="none" w:sz="0" w:space="0" w:color="auto"/>
            <w:left w:val="none" w:sz="0" w:space="0" w:color="auto"/>
            <w:bottom w:val="none" w:sz="0" w:space="0" w:color="auto"/>
            <w:right w:val="none" w:sz="0" w:space="0" w:color="auto"/>
          </w:divBdr>
        </w:div>
        <w:div w:id="1508715086">
          <w:marLeft w:val="0"/>
          <w:marRight w:val="0"/>
          <w:marTop w:val="0"/>
          <w:marBottom w:val="0"/>
          <w:divBdr>
            <w:top w:val="none" w:sz="0" w:space="0" w:color="auto"/>
            <w:left w:val="none" w:sz="0" w:space="0" w:color="auto"/>
            <w:bottom w:val="none" w:sz="0" w:space="0" w:color="auto"/>
            <w:right w:val="none" w:sz="0" w:space="0" w:color="auto"/>
          </w:divBdr>
        </w:div>
        <w:div w:id="1512986020">
          <w:marLeft w:val="0"/>
          <w:marRight w:val="0"/>
          <w:marTop w:val="0"/>
          <w:marBottom w:val="0"/>
          <w:divBdr>
            <w:top w:val="none" w:sz="0" w:space="0" w:color="auto"/>
            <w:left w:val="none" w:sz="0" w:space="0" w:color="auto"/>
            <w:bottom w:val="none" w:sz="0" w:space="0" w:color="auto"/>
            <w:right w:val="none" w:sz="0" w:space="0" w:color="auto"/>
          </w:divBdr>
        </w:div>
        <w:div w:id="1564415191">
          <w:marLeft w:val="0"/>
          <w:marRight w:val="0"/>
          <w:marTop w:val="0"/>
          <w:marBottom w:val="0"/>
          <w:divBdr>
            <w:top w:val="none" w:sz="0" w:space="0" w:color="auto"/>
            <w:left w:val="none" w:sz="0" w:space="0" w:color="auto"/>
            <w:bottom w:val="none" w:sz="0" w:space="0" w:color="auto"/>
            <w:right w:val="none" w:sz="0" w:space="0" w:color="auto"/>
          </w:divBdr>
        </w:div>
        <w:div w:id="1565793816">
          <w:marLeft w:val="0"/>
          <w:marRight w:val="0"/>
          <w:marTop w:val="0"/>
          <w:marBottom w:val="0"/>
          <w:divBdr>
            <w:top w:val="none" w:sz="0" w:space="0" w:color="auto"/>
            <w:left w:val="none" w:sz="0" w:space="0" w:color="auto"/>
            <w:bottom w:val="none" w:sz="0" w:space="0" w:color="auto"/>
            <w:right w:val="none" w:sz="0" w:space="0" w:color="auto"/>
          </w:divBdr>
        </w:div>
        <w:div w:id="1643384627">
          <w:marLeft w:val="0"/>
          <w:marRight w:val="0"/>
          <w:marTop w:val="0"/>
          <w:marBottom w:val="0"/>
          <w:divBdr>
            <w:top w:val="none" w:sz="0" w:space="0" w:color="auto"/>
            <w:left w:val="none" w:sz="0" w:space="0" w:color="auto"/>
            <w:bottom w:val="none" w:sz="0" w:space="0" w:color="auto"/>
            <w:right w:val="none" w:sz="0" w:space="0" w:color="auto"/>
          </w:divBdr>
        </w:div>
        <w:div w:id="1654988731">
          <w:marLeft w:val="0"/>
          <w:marRight w:val="0"/>
          <w:marTop w:val="0"/>
          <w:marBottom w:val="0"/>
          <w:divBdr>
            <w:top w:val="none" w:sz="0" w:space="0" w:color="auto"/>
            <w:left w:val="none" w:sz="0" w:space="0" w:color="auto"/>
            <w:bottom w:val="none" w:sz="0" w:space="0" w:color="auto"/>
            <w:right w:val="none" w:sz="0" w:space="0" w:color="auto"/>
          </w:divBdr>
        </w:div>
        <w:div w:id="1679768411">
          <w:marLeft w:val="0"/>
          <w:marRight w:val="0"/>
          <w:marTop w:val="0"/>
          <w:marBottom w:val="0"/>
          <w:divBdr>
            <w:top w:val="none" w:sz="0" w:space="0" w:color="auto"/>
            <w:left w:val="none" w:sz="0" w:space="0" w:color="auto"/>
            <w:bottom w:val="none" w:sz="0" w:space="0" w:color="auto"/>
            <w:right w:val="none" w:sz="0" w:space="0" w:color="auto"/>
          </w:divBdr>
        </w:div>
        <w:div w:id="1689021253">
          <w:marLeft w:val="0"/>
          <w:marRight w:val="0"/>
          <w:marTop w:val="0"/>
          <w:marBottom w:val="0"/>
          <w:divBdr>
            <w:top w:val="none" w:sz="0" w:space="0" w:color="auto"/>
            <w:left w:val="none" w:sz="0" w:space="0" w:color="auto"/>
            <w:bottom w:val="none" w:sz="0" w:space="0" w:color="auto"/>
            <w:right w:val="none" w:sz="0" w:space="0" w:color="auto"/>
          </w:divBdr>
        </w:div>
        <w:div w:id="1721711309">
          <w:marLeft w:val="0"/>
          <w:marRight w:val="0"/>
          <w:marTop w:val="0"/>
          <w:marBottom w:val="0"/>
          <w:divBdr>
            <w:top w:val="none" w:sz="0" w:space="0" w:color="auto"/>
            <w:left w:val="none" w:sz="0" w:space="0" w:color="auto"/>
            <w:bottom w:val="none" w:sz="0" w:space="0" w:color="auto"/>
            <w:right w:val="none" w:sz="0" w:space="0" w:color="auto"/>
          </w:divBdr>
        </w:div>
        <w:div w:id="1753509968">
          <w:marLeft w:val="0"/>
          <w:marRight w:val="0"/>
          <w:marTop w:val="0"/>
          <w:marBottom w:val="0"/>
          <w:divBdr>
            <w:top w:val="none" w:sz="0" w:space="0" w:color="auto"/>
            <w:left w:val="none" w:sz="0" w:space="0" w:color="auto"/>
            <w:bottom w:val="none" w:sz="0" w:space="0" w:color="auto"/>
            <w:right w:val="none" w:sz="0" w:space="0" w:color="auto"/>
          </w:divBdr>
        </w:div>
        <w:div w:id="1789230360">
          <w:marLeft w:val="0"/>
          <w:marRight w:val="0"/>
          <w:marTop w:val="0"/>
          <w:marBottom w:val="0"/>
          <w:divBdr>
            <w:top w:val="none" w:sz="0" w:space="0" w:color="auto"/>
            <w:left w:val="none" w:sz="0" w:space="0" w:color="auto"/>
            <w:bottom w:val="none" w:sz="0" w:space="0" w:color="auto"/>
            <w:right w:val="none" w:sz="0" w:space="0" w:color="auto"/>
          </w:divBdr>
        </w:div>
        <w:div w:id="1904094704">
          <w:marLeft w:val="0"/>
          <w:marRight w:val="0"/>
          <w:marTop w:val="0"/>
          <w:marBottom w:val="0"/>
          <w:divBdr>
            <w:top w:val="none" w:sz="0" w:space="0" w:color="auto"/>
            <w:left w:val="none" w:sz="0" w:space="0" w:color="auto"/>
            <w:bottom w:val="none" w:sz="0" w:space="0" w:color="auto"/>
            <w:right w:val="none" w:sz="0" w:space="0" w:color="auto"/>
          </w:divBdr>
        </w:div>
        <w:div w:id="1955136578">
          <w:marLeft w:val="0"/>
          <w:marRight w:val="0"/>
          <w:marTop w:val="0"/>
          <w:marBottom w:val="0"/>
          <w:divBdr>
            <w:top w:val="none" w:sz="0" w:space="0" w:color="auto"/>
            <w:left w:val="none" w:sz="0" w:space="0" w:color="auto"/>
            <w:bottom w:val="none" w:sz="0" w:space="0" w:color="auto"/>
            <w:right w:val="none" w:sz="0" w:space="0" w:color="auto"/>
          </w:divBdr>
        </w:div>
        <w:div w:id="2013340335">
          <w:marLeft w:val="0"/>
          <w:marRight w:val="0"/>
          <w:marTop w:val="0"/>
          <w:marBottom w:val="0"/>
          <w:divBdr>
            <w:top w:val="none" w:sz="0" w:space="0" w:color="auto"/>
            <w:left w:val="none" w:sz="0" w:space="0" w:color="auto"/>
            <w:bottom w:val="none" w:sz="0" w:space="0" w:color="auto"/>
            <w:right w:val="none" w:sz="0" w:space="0" w:color="auto"/>
          </w:divBdr>
        </w:div>
        <w:div w:id="2024940902">
          <w:marLeft w:val="0"/>
          <w:marRight w:val="0"/>
          <w:marTop w:val="0"/>
          <w:marBottom w:val="0"/>
          <w:divBdr>
            <w:top w:val="none" w:sz="0" w:space="0" w:color="auto"/>
            <w:left w:val="none" w:sz="0" w:space="0" w:color="auto"/>
            <w:bottom w:val="none" w:sz="0" w:space="0" w:color="auto"/>
            <w:right w:val="none" w:sz="0" w:space="0" w:color="auto"/>
          </w:divBdr>
        </w:div>
        <w:div w:id="2085443402">
          <w:marLeft w:val="0"/>
          <w:marRight w:val="0"/>
          <w:marTop w:val="0"/>
          <w:marBottom w:val="0"/>
          <w:divBdr>
            <w:top w:val="none" w:sz="0" w:space="0" w:color="auto"/>
            <w:left w:val="none" w:sz="0" w:space="0" w:color="auto"/>
            <w:bottom w:val="none" w:sz="0" w:space="0" w:color="auto"/>
            <w:right w:val="none" w:sz="0" w:space="0" w:color="auto"/>
          </w:divBdr>
        </w:div>
        <w:div w:id="2136555796">
          <w:marLeft w:val="0"/>
          <w:marRight w:val="0"/>
          <w:marTop w:val="0"/>
          <w:marBottom w:val="0"/>
          <w:divBdr>
            <w:top w:val="none" w:sz="0" w:space="0" w:color="auto"/>
            <w:left w:val="none" w:sz="0" w:space="0" w:color="auto"/>
            <w:bottom w:val="none" w:sz="0" w:space="0" w:color="auto"/>
            <w:right w:val="none" w:sz="0" w:space="0" w:color="auto"/>
          </w:divBdr>
        </w:div>
        <w:div w:id="2144806926">
          <w:marLeft w:val="0"/>
          <w:marRight w:val="0"/>
          <w:marTop w:val="0"/>
          <w:marBottom w:val="0"/>
          <w:divBdr>
            <w:top w:val="none" w:sz="0" w:space="0" w:color="auto"/>
            <w:left w:val="none" w:sz="0" w:space="0" w:color="auto"/>
            <w:bottom w:val="none" w:sz="0" w:space="0" w:color="auto"/>
            <w:right w:val="none" w:sz="0" w:space="0" w:color="auto"/>
          </w:divBdr>
        </w:div>
      </w:divsChild>
    </w:div>
    <w:div w:id="1435978347">
      <w:bodyDiv w:val="1"/>
      <w:marLeft w:val="0"/>
      <w:marRight w:val="0"/>
      <w:marTop w:val="0"/>
      <w:marBottom w:val="0"/>
      <w:divBdr>
        <w:top w:val="none" w:sz="0" w:space="0" w:color="auto"/>
        <w:left w:val="none" w:sz="0" w:space="0" w:color="auto"/>
        <w:bottom w:val="none" w:sz="0" w:space="0" w:color="auto"/>
        <w:right w:val="none" w:sz="0" w:space="0" w:color="auto"/>
      </w:divBdr>
      <w:divsChild>
        <w:div w:id="90055787">
          <w:marLeft w:val="0"/>
          <w:marRight w:val="0"/>
          <w:marTop w:val="0"/>
          <w:marBottom w:val="0"/>
          <w:divBdr>
            <w:top w:val="none" w:sz="0" w:space="0" w:color="auto"/>
            <w:left w:val="none" w:sz="0" w:space="0" w:color="auto"/>
            <w:bottom w:val="none" w:sz="0" w:space="0" w:color="auto"/>
            <w:right w:val="none" w:sz="0" w:space="0" w:color="auto"/>
          </w:divBdr>
        </w:div>
        <w:div w:id="521433329">
          <w:marLeft w:val="0"/>
          <w:marRight w:val="0"/>
          <w:marTop w:val="0"/>
          <w:marBottom w:val="0"/>
          <w:divBdr>
            <w:top w:val="none" w:sz="0" w:space="0" w:color="auto"/>
            <w:left w:val="none" w:sz="0" w:space="0" w:color="auto"/>
            <w:bottom w:val="none" w:sz="0" w:space="0" w:color="auto"/>
            <w:right w:val="none" w:sz="0" w:space="0" w:color="auto"/>
          </w:divBdr>
        </w:div>
        <w:div w:id="614295329">
          <w:marLeft w:val="0"/>
          <w:marRight w:val="0"/>
          <w:marTop w:val="0"/>
          <w:marBottom w:val="0"/>
          <w:divBdr>
            <w:top w:val="none" w:sz="0" w:space="0" w:color="auto"/>
            <w:left w:val="none" w:sz="0" w:space="0" w:color="auto"/>
            <w:bottom w:val="none" w:sz="0" w:space="0" w:color="auto"/>
            <w:right w:val="none" w:sz="0" w:space="0" w:color="auto"/>
          </w:divBdr>
        </w:div>
        <w:div w:id="625965696">
          <w:marLeft w:val="0"/>
          <w:marRight w:val="0"/>
          <w:marTop w:val="0"/>
          <w:marBottom w:val="0"/>
          <w:divBdr>
            <w:top w:val="none" w:sz="0" w:space="0" w:color="auto"/>
            <w:left w:val="none" w:sz="0" w:space="0" w:color="auto"/>
            <w:bottom w:val="none" w:sz="0" w:space="0" w:color="auto"/>
            <w:right w:val="none" w:sz="0" w:space="0" w:color="auto"/>
          </w:divBdr>
        </w:div>
        <w:div w:id="938024717">
          <w:marLeft w:val="0"/>
          <w:marRight w:val="0"/>
          <w:marTop w:val="0"/>
          <w:marBottom w:val="0"/>
          <w:divBdr>
            <w:top w:val="none" w:sz="0" w:space="0" w:color="auto"/>
            <w:left w:val="none" w:sz="0" w:space="0" w:color="auto"/>
            <w:bottom w:val="none" w:sz="0" w:space="0" w:color="auto"/>
            <w:right w:val="none" w:sz="0" w:space="0" w:color="auto"/>
          </w:divBdr>
        </w:div>
        <w:div w:id="1131248818">
          <w:marLeft w:val="0"/>
          <w:marRight w:val="0"/>
          <w:marTop w:val="0"/>
          <w:marBottom w:val="0"/>
          <w:divBdr>
            <w:top w:val="none" w:sz="0" w:space="0" w:color="auto"/>
            <w:left w:val="none" w:sz="0" w:space="0" w:color="auto"/>
            <w:bottom w:val="none" w:sz="0" w:space="0" w:color="auto"/>
            <w:right w:val="none" w:sz="0" w:space="0" w:color="auto"/>
          </w:divBdr>
        </w:div>
        <w:div w:id="1852375737">
          <w:marLeft w:val="0"/>
          <w:marRight w:val="0"/>
          <w:marTop w:val="0"/>
          <w:marBottom w:val="0"/>
          <w:divBdr>
            <w:top w:val="none" w:sz="0" w:space="0" w:color="auto"/>
            <w:left w:val="none" w:sz="0" w:space="0" w:color="auto"/>
            <w:bottom w:val="none" w:sz="0" w:space="0" w:color="auto"/>
            <w:right w:val="none" w:sz="0" w:space="0" w:color="auto"/>
          </w:divBdr>
        </w:div>
        <w:div w:id="1874029804">
          <w:marLeft w:val="0"/>
          <w:marRight w:val="0"/>
          <w:marTop w:val="0"/>
          <w:marBottom w:val="0"/>
          <w:divBdr>
            <w:top w:val="none" w:sz="0" w:space="0" w:color="auto"/>
            <w:left w:val="none" w:sz="0" w:space="0" w:color="auto"/>
            <w:bottom w:val="none" w:sz="0" w:space="0" w:color="auto"/>
            <w:right w:val="none" w:sz="0" w:space="0" w:color="auto"/>
          </w:divBdr>
        </w:div>
        <w:div w:id="1878815109">
          <w:marLeft w:val="0"/>
          <w:marRight w:val="0"/>
          <w:marTop w:val="0"/>
          <w:marBottom w:val="0"/>
          <w:divBdr>
            <w:top w:val="none" w:sz="0" w:space="0" w:color="auto"/>
            <w:left w:val="none" w:sz="0" w:space="0" w:color="auto"/>
            <w:bottom w:val="none" w:sz="0" w:space="0" w:color="auto"/>
            <w:right w:val="none" w:sz="0" w:space="0" w:color="auto"/>
          </w:divBdr>
        </w:div>
        <w:div w:id="1982609950">
          <w:marLeft w:val="0"/>
          <w:marRight w:val="0"/>
          <w:marTop w:val="0"/>
          <w:marBottom w:val="0"/>
          <w:divBdr>
            <w:top w:val="none" w:sz="0" w:space="0" w:color="auto"/>
            <w:left w:val="none" w:sz="0" w:space="0" w:color="auto"/>
            <w:bottom w:val="none" w:sz="0" w:space="0" w:color="auto"/>
            <w:right w:val="none" w:sz="0" w:space="0" w:color="auto"/>
          </w:divBdr>
        </w:div>
        <w:div w:id="1986474060">
          <w:marLeft w:val="0"/>
          <w:marRight w:val="0"/>
          <w:marTop w:val="0"/>
          <w:marBottom w:val="0"/>
          <w:divBdr>
            <w:top w:val="none" w:sz="0" w:space="0" w:color="auto"/>
            <w:left w:val="none" w:sz="0" w:space="0" w:color="auto"/>
            <w:bottom w:val="none" w:sz="0" w:space="0" w:color="auto"/>
            <w:right w:val="none" w:sz="0" w:space="0" w:color="auto"/>
          </w:divBdr>
        </w:div>
      </w:divsChild>
    </w:div>
    <w:div w:id="1437867966">
      <w:bodyDiv w:val="1"/>
      <w:marLeft w:val="0"/>
      <w:marRight w:val="0"/>
      <w:marTop w:val="0"/>
      <w:marBottom w:val="0"/>
      <w:divBdr>
        <w:top w:val="none" w:sz="0" w:space="0" w:color="auto"/>
        <w:left w:val="none" w:sz="0" w:space="0" w:color="auto"/>
        <w:bottom w:val="none" w:sz="0" w:space="0" w:color="auto"/>
        <w:right w:val="none" w:sz="0" w:space="0" w:color="auto"/>
      </w:divBdr>
      <w:divsChild>
        <w:div w:id="786904">
          <w:marLeft w:val="0"/>
          <w:marRight w:val="0"/>
          <w:marTop w:val="0"/>
          <w:marBottom w:val="0"/>
          <w:divBdr>
            <w:top w:val="none" w:sz="0" w:space="0" w:color="auto"/>
            <w:left w:val="none" w:sz="0" w:space="0" w:color="auto"/>
            <w:bottom w:val="none" w:sz="0" w:space="0" w:color="auto"/>
            <w:right w:val="none" w:sz="0" w:space="0" w:color="auto"/>
          </w:divBdr>
        </w:div>
        <w:div w:id="117064594">
          <w:marLeft w:val="0"/>
          <w:marRight w:val="0"/>
          <w:marTop w:val="0"/>
          <w:marBottom w:val="0"/>
          <w:divBdr>
            <w:top w:val="none" w:sz="0" w:space="0" w:color="auto"/>
            <w:left w:val="none" w:sz="0" w:space="0" w:color="auto"/>
            <w:bottom w:val="none" w:sz="0" w:space="0" w:color="auto"/>
            <w:right w:val="none" w:sz="0" w:space="0" w:color="auto"/>
          </w:divBdr>
        </w:div>
        <w:div w:id="129832066">
          <w:marLeft w:val="0"/>
          <w:marRight w:val="0"/>
          <w:marTop w:val="0"/>
          <w:marBottom w:val="0"/>
          <w:divBdr>
            <w:top w:val="none" w:sz="0" w:space="0" w:color="auto"/>
            <w:left w:val="none" w:sz="0" w:space="0" w:color="auto"/>
            <w:bottom w:val="none" w:sz="0" w:space="0" w:color="auto"/>
            <w:right w:val="none" w:sz="0" w:space="0" w:color="auto"/>
          </w:divBdr>
        </w:div>
        <w:div w:id="155462710">
          <w:marLeft w:val="0"/>
          <w:marRight w:val="0"/>
          <w:marTop w:val="0"/>
          <w:marBottom w:val="0"/>
          <w:divBdr>
            <w:top w:val="none" w:sz="0" w:space="0" w:color="auto"/>
            <w:left w:val="none" w:sz="0" w:space="0" w:color="auto"/>
            <w:bottom w:val="none" w:sz="0" w:space="0" w:color="auto"/>
            <w:right w:val="none" w:sz="0" w:space="0" w:color="auto"/>
          </w:divBdr>
        </w:div>
        <w:div w:id="335815818">
          <w:marLeft w:val="0"/>
          <w:marRight w:val="0"/>
          <w:marTop w:val="0"/>
          <w:marBottom w:val="0"/>
          <w:divBdr>
            <w:top w:val="none" w:sz="0" w:space="0" w:color="auto"/>
            <w:left w:val="none" w:sz="0" w:space="0" w:color="auto"/>
            <w:bottom w:val="none" w:sz="0" w:space="0" w:color="auto"/>
            <w:right w:val="none" w:sz="0" w:space="0" w:color="auto"/>
          </w:divBdr>
        </w:div>
        <w:div w:id="350569485">
          <w:marLeft w:val="0"/>
          <w:marRight w:val="0"/>
          <w:marTop w:val="0"/>
          <w:marBottom w:val="0"/>
          <w:divBdr>
            <w:top w:val="none" w:sz="0" w:space="0" w:color="auto"/>
            <w:left w:val="none" w:sz="0" w:space="0" w:color="auto"/>
            <w:bottom w:val="none" w:sz="0" w:space="0" w:color="auto"/>
            <w:right w:val="none" w:sz="0" w:space="0" w:color="auto"/>
          </w:divBdr>
        </w:div>
        <w:div w:id="370767379">
          <w:marLeft w:val="0"/>
          <w:marRight w:val="0"/>
          <w:marTop w:val="0"/>
          <w:marBottom w:val="0"/>
          <w:divBdr>
            <w:top w:val="none" w:sz="0" w:space="0" w:color="auto"/>
            <w:left w:val="none" w:sz="0" w:space="0" w:color="auto"/>
            <w:bottom w:val="none" w:sz="0" w:space="0" w:color="auto"/>
            <w:right w:val="none" w:sz="0" w:space="0" w:color="auto"/>
          </w:divBdr>
        </w:div>
        <w:div w:id="410663952">
          <w:marLeft w:val="0"/>
          <w:marRight w:val="0"/>
          <w:marTop w:val="0"/>
          <w:marBottom w:val="0"/>
          <w:divBdr>
            <w:top w:val="none" w:sz="0" w:space="0" w:color="auto"/>
            <w:left w:val="none" w:sz="0" w:space="0" w:color="auto"/>
            <w:bottom w:val="none" w:sz="0" w:space="0" w:color="auto"/>
            <w:right w:val="none" w:sz="0" w:space="0" w:color="auto"/>
          </w:divBdr>
        </w:div>
        <w:div w:id="469904915">
          <w:marLeft w:val="0"/>
          <w:marRight w:val="0"/>
          <w:marTop w:val="0"/>
          <w:marBottom w:val="0"/>
          <w:divBdr>
            <w:top w:val="none" w:sz="0" w:space="0" w:color="auto"/>
            <w:left w:val="none" w:sz="0" w:space="0" w:color="auto"/>
            <w:bottom w:val="none" w:sz="0" w:space="0" w:color="auto"/>
            <w:right w:val="none" w:sz="0" w:space="0" w:color="auto"/>
          </w:divBdr>
        </w:div>
        <w:div w:id="565334609">
          <w:marLeft w:val="0"/>
          <w:marRight w:val="0"/>
          <w:marTop w:val="0"/>
          <w:marBottom w:val="0"/>
          <w:divBdr>
            <w:top w:val="none" w:sz="0" w:space="0" w:color="auto"/>
            <w:left w:val="none" w:sz="0" w:space="0" w:color="auto"/>
            <w:bottom w:val="none" w:sz="0" w:space="0" w:color="auto"/>
            <w:right w:val="none" w:sz="0" w:space="0" w:color="auto"/>
          </w:divBdr>
        </w:div>
        <w:div w:id="566846790">
          <w:marLeft w:val="0"/>
          <w:marRight w:val="0"/>
          <w:marTop w:val="0"/>
          <w:marBottom w:val="0"/>
          <w:divBdr>
            <w:top w:val="none" w:sz="0" w:space="0" w:color="auto"/>
            <w:left w:val="none" w:sz="0" w:space="0" w:color="auto"/>
            <w:bottom w:val="none" w:sz="0" w:space="0" w:color="auto"/>
            <w:right w:val="none" w:sz="0" w:space="0" w:color="auto"/>
          </w:divBdr>
        </w:div>
        <w:div w:id="651102017">
          <w:marLeft w:val="0"/>
          <w:marRight w:val="0"/>
          <w:marTop w:val="0"/>
          <w:marBottom w:val="0"/>
          <w:divBdr>
            <w:top w:val="none" w:sz="0" w:space="0" w:color="auto"/>
            <w:left w:val="none" w:sz="0" w:space="0" w:color="auto"/>
            <w:bottom w:val="none" w:sz="0" w:space="0" w:color="auto"/>
            <w:right w:val="none" w:sz="0" w:space="0" w:color="auto"/>
          </w:divBdr>
        </w:div>
        <w:div w:id="663245840">
          <w:marLeft w:val="0"/>
          <w:marRight w:val="0"/>
          <w:marTop w:val="0"/>
          <w:marBottom w:val="0"/>
          <w:divBdr>
            <w:top w:val="none" w:sz="0" w:space="0" w:color="auto"/>
            <w:left w:val="none" w:sz="0" w:space="0" w:color="auto"/>
            <w:bottom w:val="none" w:sz="0" w:space="0" w:color="auto"/>
            <w:right w:val="none" w:sz="0" w:space="0" w:color="auto"/>
          </w:divBdr>
        </w:div>
        <w:div w:id="665978970">
          <w:marLeft w:val="0"/>
          <w:marRight w:val="0"/>
          <w:marTop w:val="0"/>
          <w:marBottom w:val="0"/>
          <w:divBdr>
            <w:top w:val="none" w:sz="0" w:space="0" w:color="auto"/>
            <w:left w:val="none" w:sz="0" w:space="0" w:color="auto"/>
            <w:bottom w:val="none" w:sz="0" w:space="0" w:color="auto"/>
            <w:right w:val="none" w:sz="0" w:space="0" w:color="auto"/>
          </w:divBdr>
        </w:div>
        <w:div w:id="678000966">
          <w:marLeft w:val="0"/>
          <w:marRight w:val="0"/>
          <w:marTop w:val="0"/>
          <w:marBottom w:val="0"/>
          <w:divBdr>
            <w:top w:val="none" w:sz="0" w:space="0" w:color="auto"/>
            <w:left w:val="none" w:sz="0" w:space="0" w:color="auto"/>
            <w:bottom w:val="none" w:sz="0" w:space="0" w:color="auto"/>
            <w:right w:val="none" w:sz="0" w:space="0" w:color="auto"/>
          </w:divBdr>
        </w:div>
        <w:div w:id="694623055">
          <w:marLeft w:val="0"/>
          <w:marRight w:val="0"/>
          <w:marTop w:val="0"/>
          <w:marBottom w:val="0"/>
          <w:divBdr>
            <w:top w:val="none" w:sz="0" w:space="0" w:color="auto"/>
            <w:left w:val="none" w:sz="0" w:space="0" w:color="auto"/>
            <w:bottom w:val="none" w:sz="0" w:space="0" w:color="auto"/>
            <w:right w:val="none" w:sz="0" w:space="0" w:color="auto"/>
          </w:divBdr>
        </w:div>
        <w:div w:id="773525296">
          <w:marLeft w:val="0"/>
          <w:marRight w:val="0"/>
          <w:marTop w:val="0"/>
          <w:marBottom w:val="0"/>
          <w:divBdr>
            <w:top w:val="none" w:sz="0" w:space="0" w:color="auto"/>
            <w:left w:val="none" w:sz="0" w:space="0" w:color="auto"/>
            <w:bottom w:val="none" w:sz="0" w:space="0" w:color="auto"/>
            <w:right w:val="none" w:sz="0" w:space="0" w:color="auto"/>
          </w:divBdr>
        </w:div>
        <w:div w:id="840894669">
          <w:marLeft w:val="0"/>
          <w:marRight w:val="0"/>
          <w:marTop w:val="0"/>
          <w:marBottom w:val="0"/>
          <w:divBdr>
            <w:top w:val="none" w:sz="0" w:space="0" w:color="auto"/>
            <w:left w:val="none" w:sz="0" w:space="0" w:color="auto"/>
            <w:bottom w:val="none" w:sz="0" w:space="0" w:color="auto"/>
            <w:right w:val="none" w:sz="0" w:space="0" w:color="auto"/>
          </w:divBdr>
        </w:div>
        <w:div w:id="845242456">
          <w:marLeft w:val="0"/>
          <w:marRight w:val="0"/>
          <w:marTop w:val="0"/>
          <w:marBottom w:val="0"/>
          <w:divBdr>
            <w:top w:val="none" w:sz="0" w:space="0" w:color="auto"/>
            <w:left w:val="none" w:sz="0" w:space="0" w:color="auto"/>
            <w:bottom w:val="none" w:sz="0" w:space="0" w:color="auto"/>
            <w:right w:val="none" w:sz="0" w:space="0" w:color="auto"/>
          </w:divBdr>
        </w:div>
        <w:div w:id="918759404">
          <w:marLeft w:val="0"/>
          <w:marRight w:val="0"/>
          <w:marTop w:val="0"/>
          <w:marBottom w:val="0"/>
          <w:divBdr>
            <w:top w:val="none" w:sz="0" w:space="0" w:color="auto"/>
            <w:left w:val="none" w:sz="0" w:space="0" w:color="auto"/>
            <w:bottom w:val="none" w:sz="0" w:space="0" w:color="auto"/>
            <w:right w:val="none" w:sz="0" w:space="0" w:color="auto"/>
          </w:divBdr>
        </w:div>
        <w:div w:id="933394472">
          <w:marLeft w:val="0"/>
          <w:marRight w:val="0"/>
          <w:marTop w:val="0"/>
          <w:marBottom w:val="0"/>
          <w:divBdr>
            <w:top w:val="none" w:sz="0" w:space="0" w:color="auto"/>
            <w:left w:val="none" w:sz="0" w:space="0" w:color="auto"/>
            <w:bottom w:val="none" w:sz="0" w:space="0" w:color="auto"/>
            <w:right w:val="none" w:sz="0" w:space="0" w:color="auto"/>
          </w:divBdr>
        </w:div>
        <w:div w:id="937252884">
          <w:marLeft w:val="0"/>
          <w:marRight w:val="0"/>
          <w:marTop w:val="0"/>
          <w:marBottom w:val="0"/>
          <w:divBdr>
            <w:top w:val="none" w:sz="0" w:space="0" w:color="auto"/>
            <w:left w:val="none" w:sz="0" w:space="0" w:color="auto"/>
            <w:bottom w:val="none" w:sz="0" w:space="0" w:color="auto"/>
            <w:right w:val="none" w:sz="0" w:space="0" w:color="auto"/>
          </w:divBdr>
        </w:div>
        <w:div w:id="938563471">
          <w:marLeft w:val="0"/>
          <w:marRight w:val="0"/>
          <w:marTop w:val="0"/>
          <w:marBottom w:val="0"/>
          <w:divBdr>
            <w:top w:val="none" w:sz="0" w:space="0" w:color="auto"/>
            <w:left w:val="none" w:sz="0" w:space="0" w:color="auto"/>
            <w:bottom w:val="none" w:sz="0" w:space="0" w:color="auto"/>
            <w:right w:val="none" w:sz="0" w:space="0" w:color="auto"/>
          </w:divBdr>
        </w:div>
        <w:div w:id="953174138">
          <w:marLeft w:val="0"/>
          <w:marRight w:val="0"/>
          <w:marTop w:val="0"/>
          <w:marBottom w:val="0"/>
          <w:divBdr>
            <w:top w:val="none" w:sz="0" w:space="0" w:color="auto"/>
            <w:left w:val="none" w:sz="0" w:space="0" w:color="auto"/>
            <w:bottom w:val="none" w:sz="0" w:space="0" w:color="auto"/>
            <w:right w:val="none" w:sz="0" w:space="0" w:color="auto"/>
          </w:divBdr>
        </w:div>
        <w:div w:id="1013846686">
          <w:marLeft w:val="0"/>
          <w:marRight w:val="0"/>
          <w:marTop w:val="0"/>
          <w:marBottom w:val="0"/>
          <w:divBdr>
            <w:top w:val="none" w:sz="0" w:space="0" w:color="auto"/>
            <w:left w:val="none" w:sz="0" w:space="0" w:color="auto"/>
            <w:bottom w:val="none" w:sz="0" w:space="0" w:color="auto"/>
            <w:right w:val="none" w:sz="0" w:space="0" w:color="auto"/>
          </w:divBdr>
        </w:div>
        <w:div w:id="1072580284">
          <w:marLeft w:val="0"/>
          <w:marRight w:val="0"/>
          <w:marTop w:val="0"/>
          <w:marBottom w:val="0"/>
          <w:divBdr>
            <w:top w:val="none" w:sz="0" w:space="0" w:color="auto"/>
            <w:left w:val="none" w:sz="0" w:space="0" w:color="auto"/>
            <w:bottom w:val="none" w:sz="0" w:space="0" w:color="auto"/>
            <w:right w:val="none" w:sz="0" w:space="0" w:color="auto"/>
          </w:divBdr>
        </w:div>
        <w:div w:id="1108280028">
          <w:marLeft w:val="0"/>
          <w:marRight w:val="0"/>
          <w:marTop w:val="0"/>
          <w:marBottom w:val="0"/>
          <w:divBdr>
            <w:top w:val="none" w:sz="0" w:space="0" w:color="auto"/>
            <w:left w:val="none" w:sz="0" w:space="0" w:color="auto"/>
            <w:bottom w:val="none" w:sz="0" w:space="0" w:color="auto"/>
            <w:right w:val="none" w:sz="0" w:space="0" w:color="auto"/>
          </w:divBdr>
        </w:div>
        <w:div w:id="1128159672">
          <w:marLeft w:val="0"/>
          <w:marRight w:val="0"/>
          <w:marTop w:val="0"/>
          <w:marBottom w:val="0"/>
          <w:divBdr>
            <w:top w:val="none" w:sz="0" w:space="0" w:color="auto"/>
            <w:left w:val="none" w:sz="0" w:space="0" w:color="auto"/>
            <w:bottom w:val="none" w:sz="0" w:space="0" w:color="auto"/>
            <w:right w:val="none" w:sz="0" w:space="0" w:color="auto"/>
          </w:divBdr>
        </w:div>
        <w:div w:id="1187059962">
          <w:marLeft w:val="0"/>
          <w:marRight w:val="0"/>
          <w:marTop w:val="0"/>
          <w:marBottom w:val="0"/>
          <w:divBdr>
            <w:top w:val="none" w:sz="0" w:space="0" w:color="auto"/>
            <w:left w:val="none" w:sz="0" w:space="0" w:color="auto"/>
            <w:bottom w:val="none" w:sz="0" w:space="0" w:color="auto"/>
            <w:right w:val="none" w:sz="0" w:space="0" w:color="auto"/>
          </w:divBdr>
        </w:div>
        <w:div w:id="1191458320">
          <w:marLeft w:val="0"/>
          <w:marRight w:val="0"/>
          <w:marTop w:val="0"/>
          <w:marBottom w:val="0"/>
          <w:divBdr>
            <w:top w:val="none" w:sz="0" w:space="0" w:color="auto"/>
            <w:left w:val="none" w:sz="0" w:space="0" w:color="auto"/>
            <w:bottom w:val="none" w:sz="0" w:space="0" w:color="auto"/>
            <w:right w:val="none" w:sz="0" w:space="0" w:color="auto"/>
          </w:divBdr>
        </w:div>
        <w:div w:id="1267156016">
          <w:marLeft w:val="0"/>
          <w:marRight w:val="0"/>
          <w:marTop w:val="0"/>
          <w:marBottom w:val="0"/>
          <w:divBdr>
            <w:top w:val="none" w:sz="0" w:space="0" w:color="auto"/>
            <w:left w:val="none" w:sz="0" w:space="0" w:color="auto"/>
            <w:bottom w:val="none" w:sz="0" w:space="0" w:color="auto"/>
            <w:right w:val="none" w:sz="0" w:space="0" w:color="auto"/>
          </w:divBdr>
        </w:div>
        <w:div w:id="1463887984">
          <w:marLeft w:val="0"/>
          <w:marRight w:val="0"/>
          <w:marTop w:val="0"/>
          <w:marBottom w:val="0"/>
          <w:divBdr>
            <w:top w:val="none" w:sz="0" w:space="0" w:color="auto"/>
            <w:left w:val="none" w:sz="0" w:space="0" w:color="auto"/>
            <w:bottom w:val="none" w:sz="0" w:space="0" w:color="auto"/>
            <w:right w:val="none" w:sz="0" w:space="0" w:color="auto"/>
          </w:divBdr>
        </w:div>
        <w:div w:id="1588885264">
          <w:marLeft w:val="0"/>
          <w:marRight w:val="0"/>
          <w:marTop w:val="0"/>
          <w:marBottom w:val="0"/>
          <w:divBdr>
            <w:top w:val="none" w:sz="0" w:space="0" w:color="auto"/>
            <w:left w:val="none" w:sz="0" w:space="0" w:color="auto"/>
            <w:bottom w:val="none" w:sz="0" w:space="0" w:color="auto"/>
            <w:right w:val="none" w:sz="0" w:space="0" w:color="auto"/>
          </w:divBdr>
        </w:div>
        <w:div w:id="1589608317">
          <w:marLeft w:val="0"/>
          <w:marRight w:val="0"/>
          <w:marTop w:val="0"/>
          <w:marBottom w:val="0"/>
          <w:divBdr>
            <w:top w:val="none" w:sz="0" w:space="0" w:color="auto"/>
            <w:left w:val="none" w:sz="0" w:space="0" w:color="auto"/>
            <w:bottom w:val="none" w:sz="0" w:space="0" w:color="auto"/>
            <w:right w:val="none" w:sz="0" w:space="0" w:color="auto"/>
          </w:divBdr>
        </w:div>
        <w:div w:id="1673874352">
          <w:marLeft w:val="0"/>
          <w:marRight w:val="0"/>
          <w:marTop w:val="0"/>
          <w:marBottom w:val="0"/>
          <w:divBdr>
            <w:top w:val="none" w:sz="0" w:space="0" w:color="auto"/>
            <w:left w:val="none" w:sz="0" w:space="0" w:color="auto"/>
            <w:bottom w:val="none" w:sz="0" w:space="0" w:color="auto"/>
            <w:right w:val="none" w:sz="0" w:space="0" w:color="auto"/>
          </w:divBdr>
        </w:div>
        <w:div w:id="1844201761">
          <w:marLeft w:val="0"/>
          <w:marRight w:val="0"/>
          <w:marTop w:val="0"/>
          <w:marBottom w:val="0"/>
          <w:divBdr>
            <w:top w:val="none" w:sz="0" w:space="0" w:color="auto"/>
            <w:left w:val="none" w:sz="0" w:space="0" w:color="auto"/>
            <w:bottom w:val="none" w:sz="0" w:space="0" w:color="auto"/>
            <w:right w:val="none" w:sz="0" w:space="0" w:color="auto"/>
          </w:divBdr>
        </w:div>
        <w:div w:id="1873180054">
          <w:marLeft w:val="0"/>
          <w:marRight w:val="0"/>
          <w:marTop w:val="0"/>
          <w:marBottom w:val="0"/>
          <w:divBdr>
            <w:top w:val="none" w:sz="0" w:space="0" w:color="auto"/>
            <w:left w:val="none" w:sz="0" w:space="0" w:color="auto"/>
            <w:bottom w:val="none" w:sz="0" w:space="0" w:color="auto"/>
            <w:right w:val="none" w:sz="0" w:space="0" w:color="auto"/>
          </w:divBdr>
        </w:div>
        <w:div w:id="2069451732">
          <w:marLeft w:val="0"/>
          <w:marRight w:val="0"/>
          <w:marTop w:val="0"/>
          <w:marBottom w:val="0"/>
          <w:divBdr>
            <w:top w:val="none" w:sz="0" w:space="0" w:color="auto"/>
            <w:left w:val="none" w:sz="0" w:space="0" w:color="auto"/>
            <w:bottom w:val="none" w:sz="0" w:space="0" w:color="auto"/>
            <w:right w:val="none" w:sz="0" w:space="0" w:color="auto"/>
          </w:divBdr>
        </w:div>
        <w:div w:id="2122987212">
          <w:marLeft w:val="0"/>
          <w:marRight w:val="0"/>
          <w:marTop w:val="0"/>
          <w:marBottom w:val="0"/>
          <w:divBdr>
            <w:top w:val="none" w:sz="0" w:space="0" w:color="auto"/>
            <w:left w:val="none" w:sz="0" w:space="0" w:color="auto"/>
            <w:bottom w:val="none" w:sz="0" w:space="0" w:color="auto"/>
            <w:right w:val="none" w:sz="0" w:space="0" w:color="auto"/>
          </w:divBdr>
        </w:div>
      </w:divsChild>
    </w:div>
    <w:div w:id="1438285488">
      <w:bodyDiv w:val="1"/>
      <w:marLeft w:val="0"/>
      <w:marRight w:val="0"/>
      <w:marTop w:val="0"/>
      <w:marBottom w:val="0"/>
      <w:divBdr>
        <w:top w:val="none" w:sz="0" w:space="0" w:color="auto"/>
        <w:left w:val="none" w:sz="0" w:space="0" w:color="auto"/>
        <w:bottom w:val="none" w:sz="0" w:space="0" w:color="auto"/>
        <w:right w:val="none" w:sz="0" w:space="0" w:color="auto"/>
      </w:divBdr>
    </w:div>
    <w:div w:id="1439762930">
      <w:bodyDiv w:val="1"/>
      <w:marLeft w:val="0"/>
      <w:marRight w:val="0"/>
      <w:marTop w:val="0"/>
      <w:marBottom w:val="0"/>
      <w:divBdr>
        <w:top w:val="none" w:sz="0" w:space="0" w:color="auto"/>
        <w:left w:val="none" w:sz="0" w:space="0" w:color="auto"/>
        <w:bottom w:val="none" w:sz="0" w:space="0" w:color="auto"/>
        <w:right w:val="none" w:sz="0" w:space="0" w:color="auto"/>
      </w:divBdr>
    </w:div>
    <w:div w:id="1444496723">
      <w:bodyDiv w:val="1"/>
      <w:marLeft w:val="0"/>
      <w:marRight w:val="0"/>
      <w:marTop w:val="0"/>
      <w:marBottom w:val="0"/>
      <w:divBdr>
        <w:top w:val="none" w:sz="0" w:space="0" w:color="auto"/>
        <w:left w:val="none" w:sz="0" w:space="0" w:color="auto"/>
        <w:bottom w:val="none" w:sz="0" w:space="0" w:color="auto"/>
        <w:right w:val="none" w:sz="0" w:space="0" w:color="auto"/>
      </w:divBdr>
    </w:div>
    <w:div w:id="1449012958">
      <w:bodyDiv w:val="1"/>
      <w:marLeft w:val="0"/>
      <w:marRight w:val="0"/>
      <w:marTop w:val="0"/>
      <w:marBottom w:val="0"/>
      <w:divBdr>
        <w:top w:val="none" w:sz="0" w:space="0" w:color="auto"/>
        <w:left w:val="none" w:sz="0" w:space="0" w:color="auto"/>
        <w:bottom w:val="none" w:sz="0" w:space="0" w:color="auto"/>
        <w:right w:val="none" w:sz="0" w:space="0" w:color="auto"/>
      </w:divBdr>
      <w:divsChild>
        <w:div w:id="559483247">
          <w:marLeft w:val="0"/>
          <w:marRight w:val="0"/>
          <w:marTop w:val="0"/>
          <w:marBottom w:val="0"/>
          <w:divBdr>
            <w:top w:val="none" w:sz="0" w:space="0" w:color="auto"/>
            <w:left w:val="none" w:sz="0" w:space="0" w:color="auto"/>
            <w:bottom w:val="none" w:sz="0" w:space="0" w:color="auto"/>
            <w:right w:val="none" w:sz="0" w:space="0" w:color="auto"/>
          </w:divBdr>
          <w:divsChild>
            <w:div w:id="887180941">
              <w:marLeft w:val="0"/>
              <w:marRight w:val="0"/>
              <w:marTop w:val="0"/>
              <w:marBottom w:val="0"/>
              <w:divBdr>
                <w:top w:val="none" w:sz="0" w:space="0" w:color="auto"/>
                <w:left w:val="none" w:sz="0" w:space="0" w:color="auto"/>
                <w:bottom w:val="none" w:sz="0" w:space="0" w:color="auto"/>
                <w:right w:val="none" w:sz="0" w:space="0" w:color="auto"/>
              </w:divBdr>
              <w:divsChild>
                <w:div w:id="1862234525">
                  <w:marLeft w:val="0"/>
                  <w:marRight w:val="0"/>
                  <w:marTop w:val="0"/>
                  <w:marBottom w:val="0"/>
                  <w:divBdr>
                    <w:top w:val="none" w:sz="0" w:space="0" w:color="auto"/>
                    <w:left w:val="none" w:sz="0" w:space="0" w:color="auto"/>
                    <w:bottom w:val="none" w:sz="0" w:space="0" w:color="auto"/>
                    <w:right w:val="none" w:sz="0" w:space="0" w:color="auto"/>
                  </w:divBdr>
                  <w:divsChild>
                    <w:div w:id="1928028423">
                      <w:marLeft w:val="0"/>
                      <w:marRight w:val="0"/>
                      <w:marTop w:val="0"/>
                      <w:marBottom w:val="0"/>
                      <w:divBdr>
                        <w:top w:val="none" w:sz="0" w:space="0" w:color="auto"/>
                        <w:left w:val="none" w:sz="0" w:space="0" w:color="auto"/>
                        <w:bottom w:val="none" w:sz="0" w:space="0" w:color="auto"/>
                        <w:right w:val="none" w:sz="0" w:space="0" w:color="auto"/>
                      </w:divBdr>
                      <w:divsChild>
                        <w:div w:id="855728114">
                          <w:marLeft w:val="0"/>
                          <w:marRight w:val="0"/>
                          <w:marTop w:val="0"/>
                          <w:marBottom w:val="0"/>
                          <w:divBdr>
                            <w:top w:val="none" w:sz="0" w:space="0" w:color="auto"/>
                            <w:left w:val="none" w:sz="0" w:space="0" w:color="auto"/>
                            <w:bottom w:val="none" w:sz="0" w:space="0" w:color="auto"/>
                            <w:right w:val="none" w:sz="0" w:space="0" w:color="auto"/>
                          </w:divBdr>
                          <w:divsChild>
                            <w:div w:id="13414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15340">
          <w:marLeft w:val="0"/>
          <w:marRight w:val="0"/>
          <w:marTop w:val="0"/>
          <w:marBottom w:val="0"/>
          <w:divBdr>
            <w:top w:val="none" w:sz="0" w:space="0" w:color="auto"/>
            <w:left w:val="none" w:sz="0" w:space="0" w:color="auto"/>
            <w:bottom w:val="none" w:sz="0" w:space="0" w:color="auto"/>
            <w:right w:val="none" w:sz="0" w:space="0" w:color="auto"/>
          </w:divBdr>
          <w:divsChild>
            <w:div w:id="1832017164">
              <w:marLeft w:val="0"/>
              <w:marRight w:val="0"/>
              <w:marTop w:val="0"/>
              <w:marBottom w:val="0"/>
              <w:divBdr>
                <w:top w:val="none" w:sz="0" w:space="0" w:color="auto"/>
                <w:left w:val="none" w:sz="0" w:space="0" w:color="auto"/>
                <w:bottom w:val="none" w:sz="0" w:space="0" w:color="auto"/>
                <w:right w:val="none" w:sz="0" w:space="0" w:color="auto"/>
              </w:divBdr>
              <w:divsChild>
                <w:div w:id="650255628">
                  <w:marLeft w:val="0"/>
                  <w:marRight w:val="0"/>
                  <w:marTop w:val="0"/>
                  <w:marBottom w:val="0"/>
                  <w:divBdr>
                    <w:top w:val="none" w:sz="0" w:space="0" w:color="auto"/>
                    <w:left w:val="none" w:sz="0" w:space="0" w:color="auto"/>
                    <w:bottom w:val="none" w:sz="0" w:space="0" w:color="auto"/>
                    <w:right w:val="none" w:sz="0" w:space="0" w:color="auto"/>
                  </w:divBdr>
                  <w:divsChild>
                    <w:div w:id="1338581275">
                      <w:marLeft w:val="0"/>
                      <w:marRight w:val="0"/>
                      <w:marTop w:val="0"/>
                      <w:marBottom w:val="0"/>
                      <w:divBdr>
                        <w:top w:val="none" w:sz="0" w:space="0" w:color="auto"/>
                        <w:left w:val="none" w:sz="0" w:space="0" w:color="auto"/>
                        <w:bottom w:val="none" w:sz="0" w:space="0" w:color="auto"/>
                        <w:right w:val="none" w:sz="0" w:space="0" w:color="auto"/>
                      </w:divBdr>
                      <w:divsChild>
                        <w:div w:id="1563559041">
                          <w:marLeft w:val="0"/>
                          <w:marRight w:val="0"/>
                          <w:marTop w:val="0"/>
                          <w:marBottom w:val="0"/>
                          <w:divBdr>
                            <w:top w:val="none" w:sz="0" w:space="0" w:color="auto"/>
                            <w:left w:val="none" w:sz="0" w:space="0" w:color="auto"/>
                            <w:bottom w:val="none" w:sz="0" w:space="0" w:color="auto"/>
                            <w:right w:val="none" w:sz="0" w:space="0" w:color="auto"/>
                          </w:divBdr>
                          <w:divsChild>
                            <w:div w:id="18043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123412">
      <w:bodyDiv w:val="1"/>
      <w:marLeft w:val="0"/>
      <w:marRight w:val="0"/>
      <w:marTop w:val="0"/>
      <w:marBottom w:val="0"/>
      <w:divBdr>
        <w:top w:val="none" w:sz="0" w:space="0" w:color="auto"/>
        <w:left w:val="none" w:sz="0" w:space="0" w:color="auto"/>
        <w:bottom w:val="none" w:sz="0" w:space="0" w:color="auto"/>
        <w:right w:val="none" w:sz="0" w:space="0" w:color="auto"/>
      </w:divBdr>
    </w:div>
    <w:div w:id="1453747648">
      <w:bodyDiv w:val="1"/>
      <w:marLeft w:val="0"/>
      <w:marRight w:val="0"/>
      <w:marTop w:val="0"/>
      <w:marBottom w:val="0"/>
      <w:divBdr>
        <w:top w:val="none" w:sz="0" w:space="0" w:color="auto"/>
        <w:left w:val="none" w:sz="0" w:space="0" w:color="auto"/>
        <w:bottom w:val="none" w:sz="0" w:space="0" w:color="auto"/>
        <w:right w:val="none" w:sz="0" w:space="0" w:color="auto"/>
      </w:divBdr>
      <w:divsChild>
        <w:div w:id="532773031">
          <w:marLeft w:val="0"/>
          <w:marRight w:val="0"/>
          <w:marTop w:val="0"/>
          <w:marBottom w:val="0"/>
          <w:divBdr>
            <w:top w:val="none" w:sz="0" w:space="0" w:color="auto"/>
            <w:left w:val="none" w:sz="0" w:space="0" w:color="auto"/>
            <w:bottom w:val="none" w:sz="0" w:space="0" w:color="auto"/>
            <w:right w:val="none" w:sz="0" w:space="0" w:color="auto"/>
          </w:divBdr>
          <w:divsChild>
            <w:div w:id="1936788995">
              <w:marLeft w:val="0"/>
              <w:marRight w:val="0"/>
              <w:marTop w:val="0"/>
              <w:marBottom w:val="0"/>
              <w:divBdr>
                <w:top w:val="none" w:sz="0" w:space="0" w:color="auto"/>
                <w:left w:val="none" w:sz="0" w:space="0" w:color="auto"/>
                <w:bottom w:val="none" w:sz="0" w:space="0" w:color="auto"/>
                <w:right w:val="none" w:sz="0" w:space="0" w:color="auto"/>
              </w:divBdr>
              <w:divsChild>
                <w:div w:id="797458733">
                  <w:marLeft w:val="0"/>
                  <w:marRight w:val="0"/>
                  <w:marTop w:val="0"/>
                  <w:marBottom w:val="0"/>
                  <w:divBdr>
                    <w:top w:val="none" w:sz="0" w:space="0" w:color="auto"/>
                    <w:left w:val="none" w:sz="0" w:space="0" w:color="auto"/>
                    <w:bottom w:val="none" w:sz="0" w:space="0" w:color="auto"/>
                    <w:right w:val="none" w:sz="0" w:space="0" w:color="auto"/>
                  </w:divBdr>
                </w:div>
                <w:div w:id="1636982917">
                  <w:marLeft w:val="0"/>
                  <w:marRight w:val="0"/>
                  <w:marTop w:val="0"/>
                  <w:marBottom w:val="0"/>
                  <w:divBdr>
                    <w:top w:val="none" w:sz="0" w:space="0" w:color="auto"/>
                    <w:left w:val="none" w:sz="0" w:space="0" w:color="auto"/>
                    <w:bottom w:val="none" w:sz="0" w:space="0" w:color="auto"/>
                    <w:right w:val="none" w:sz="0" w:space="0" w:color="auto"/>
                  </w:divBdr>
                </w:div>
              </w:divsChild>
            </w:div>
            <w:div w:id="1957515504">
              <w:marLeft w:val="0"/>
              <w:marRight w:val="0"/>
              <w:marTop w:val="0"/>
              <w:marBottom w:val="0"/>
              <w:divBdr>
                <w:top w:val="none" w:sz="0" w:space="0" w:color="auto"/>
                <w:left w:val="none" w:sz="0" w:space="0" w:color="auto"/>
                <w:bottom w:val="none" w:sz="0" w:space="0" w:color="auto"/>
                <w:right w:val="none" w:sz="0" w:space="0" w:color="auto"/>
              </w:divBdr>
              <w:divsChild>
                <w:div w:id="20986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0668">
      <w:bodyDiv w:val="1"/>
      <w:marLeft w:val="0"/>
      <w:marRight w:val="0"/>
      <w:marTop w:val="0"/>
      <w:marBottom w:val="0"/>
      <w:divBdr>
        <w:top w:val="none" w:sz="0" w:space="0" w:color="auto"/>
        <w:left w:val="none" w:sz="0" w:space="0" w:color="auto"/>
        <w:bottom w:val="none" w:sz="0" w:space="0" w:color="auto"/>
        <w:right w:val="none" w:sz="0" w:space="0" w:color="auto"/>
      </w:divBdr>
      <w:divsChild>
        <w:div w:id="425730569">
          <w:marLeft w:val="0"/>
          <w:marRight w:val="0"/>
          <w:marTop w:val="0"/>
          <w:marBottom w:val="0"/>
          <w:divBdr>
            <w:top w:val="none" w:sz="0" w:space="0" w:color="auto"/>
            <w:left w:val="none" w:sz="0" w:space="0" w:color="auto"/>
            <w:bottom w:val="none" w:sz="0" w:space="0" w:color="auto"/>
            <w:right w:val="none" w:sz="0" w:space="0" w:color="auto"/>
          </w:divBdr>
          <w:divsChild>
            <w:div w:id="538780979">
              <w:marLeft w:val="0"/>
              <w:marRight w:val="0"/>
              <w:marTop w:val="0"/>
              <w:marBottom w:val="0"/>
              <w:divBdr>
                <w:top w:val="none" w:sz="0" w:space="0" w:color="auto"/>
                <w:left w:val="none" w:sz="0" w:space="0" w:color="auto"/>
                <w:bottom w:val="none" w:sz="0" w:space="0" w:color="auto"/>
                <w:right w:val="none" w:sz="0" w:space="0" w:color="auto"/>
              </w:divBdr>
            </w:div>
          </w:divsChild>
        </w:div>
        <w:div w:id="1596745644">
          <w:marLeft w:val="0"/>
          <w:marRight w:val="0"/>
          <w:marTop w:val="0"/>
          <w:marBottom w:val="0"/>
          <w:divBdr>
            <w:top w:val="none" w:sz="0" w:space="0" w:color="auto"/>
            <w:left w:val="none" w:sz="0" w:space="0" w:color="auto"/>
            <w:bottom w:val="none" w:sz="0" w:space="0" w:color="auto"/>
            <w:right w:val="none" w:sz="0" w:space="0" w:color="auto"/>
          </w:divBdr>
          <w:divsChild>
            <w:div w:id="526066446">
              <w:marLeft w:val="0"/>
              <w:marRight w:val="0"/>
              <w:marTop w:val="0"/>
              <w:marBottom w:val="0"/>
              <w:divBdr>
                <w:top w:val="none" w:sz="0" w:space="0" w:color="auto"/>
                <w:left w:val="none" w:sz="0" w:space="0" w:color="auto"/>
                <w:bottom w:val="none" w:sz="0" w:space="0" w:color="auto"/>
                <w:right w:val="none" w:sz="0" w:space="0" w:color="auto"/>
              </w:divBdr>
            </w:div>
            <w:div w:id="8844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642">
      <w:bodyDiv w:val="1"/>
      <w:marLeft w:val="0"/>
      <w:marRight w:val="0"/>
      <w:marTop w:val="0"/>
      <w:marBottom w:val="0"/>
      <w:divBdr>
        <w:top w:val="none" w:sz="0" w:space="0" w:color="auto"/>
        <w:left w:val="none" w:sz="0" w:space="0" w:color="auto"/>
        <w:bottom w:val="none" w:sz="0" w:space="0" w:color="auto"/>
        <w:right w:val="none" w:sz="0" w:space="0" w:color="auto"/>
      </w:divBdr>
      <w:divsChild>
        <w:div w:id="54403999">
          <w:marLeft w:val="0"/>
          <w:marRight w:val="0"/>
          <w:marTop w:val="0"/>
          <w:marBottom w:val="0"/>
          <w:divBdr>
            <w:top w:val="none" w:sz="0" w:space="0" w:color="auto"/>
            <w:left w:val="none" w:sz="0" w:space="0" w:color="auto"/>
            <w:bottom w:val="none" w:sz="0" w:space="0" w:color="auto"/>
            <w:right w:val="none" w:sz="0" w:space="0" w:color="auto"/>
          </w:divBdr>
        </w:div>
        <w:div w:id="280378435">
          <w:marLeft w:val="0"/>
          <w:marRight w:val="0"/>
          <w:marTop w:val="0"/>
          <w:marBottom w:val="0"/>
          <w:divBdr>
            <w:top w:val="none" w:sz="0" w:space="0" w:color="auto"/>
            <w:left w:val="none" w:sz="0" w:space="0" w:color="auto"/>
            <w:bottom w:val="none" w:sz="0" w:space="0" w:color="auto"/>
            <w:right w:val="none" w:sz="0" w:space="0" w:color="auto"/>
          </w:divBdr>
        </w:div>
        <w:div w:id="341780397">
          <w:marLeft w:val="0"/>
          <w:marRight w:val="0"/>
          <w:marTop w:val="0"/>
          <w:marBottom w:val="0"/>
          <w:divBdr>
            <w:top w:val="none" w:sz="0" w:space="0" w:color="auto"/>
            <w:left w:val="none" w:sz="0" w:space="0" w:color="auto"/>
            <w:bottom w:val="none" w:sz="0" w:space="0" w:color="auto"/>
            <w:right w:val="none" w:sz="0" w:space="0" w:color="auto"/>
          </w:divBdr>
        </w:div>
        <w:div w:id="379785623">
          <w:marLeft w:val="0"/>
          <w:marRight w:val="0"/>
          <w:marTop w:val="0"/>
          <w:marBottom w:val="0"/>
          <w:divBdr>
            <w:top w:val="none" w:sz="0" w:space="0" w:color="auto"/>
            <w:left w:val="none" w:sz="0" w:space="0" w:color="auto"/>
            <w:bottom w:val="none" w:sz="0" w:space="0" w:color="auto"/>
            <w:right w:val="none" w:sz="0" w:space="0" w:color="auto"/>
          </w:divBdr>
        </w:div>
        <w:div w:id="388915638">
          <w:marLeft w:val="0"/>
          <w:marRight w:val="0"/>
          <w:marTop w:val="0"/>
          <w:marBottom w:val="0"/>
          <w:divBdr>
            <w:top w:val="none" w:sz="0" w:space="0" w:color="auto"/>
            <w:left w:val="none" w:sz="0" w:space="0" w:color="auto"/>
            <w:bottom w:val="none" w:sz="0" w:space="0" w:color="auto"/>
            <w:right w:val="none" w:sz="0" w:space="0" w:color="auto"/>
          </w:divBdr>
        </w:div>
        <w:div w:id="475025413">
          <w:marLeft w:val="0"/>
          <w:marRight w:val="0"/>
          <w:marTop w:val="0"/>
          <w:marBottom w:val="0"/>
          <w:divBdr>
            <w:top w:val="none" w:sz="0" w:space="0" w:color="auto"/>
            <w:left w:val="none" w:sz="0" w:space="0" w:color="auto"/>
            <w:bottom w:val="none" w:sz="0" w:space="0" w:color="auto"/>
            <w:right w:val="none" w:sz="0" w:space="0" w:color="auto"/>
          </w:divBdr>
        </w:div>
        <w:div w:id="497115394">
          <w:marLeft w:val="0"/>
          <w:marRight w:val="0"/>
          <w:marTop w:val="0"/>
          <w:marBottom w:val="0"/>
          <w:divBdr>
            <w:top w:val="none" w:sz="0" w:space="0" w:color="auto"/>
            <w:left w:val="none" w:sz="0" w:space="0" w:color="auto"/>
            <w:bottom w:val="none" w:sz="0" w:space="0" w:color="auto"/>
            <w:right w:val="none" w:sz="0" w:space="0" w:color="auto"/>
          </w:divBdr>
        </w:div>
        <w:div w:id="567226836">
          <w:marLeft w:val="0"/>
          <w:marRight w:val="0"/>
          <w:marTop w:val="0"/>
          <w:marBottom w:val="0"/>
          <w:divBdr>
            <w:top w:val="none" w:sz="0" w:space="0" w:color="auto"/>
            <w:left w:val="none" w:sz="0" w:space="0" w:color="auto"/>
            <w:bottom w:val="none" w:sz="0" w:space="0" w:color="auto"/>
            <w:right w:val="none" w:sz="0" w:space="0" w:color="auto"/>
          </w:divBdr>
        </w:div>
        <w:div w:id="575673360">
          <w:marLeft w:val="0"/>
          <w:marRight w:val="0"/>
          <w:marTop w:val="0"/>
          <w:marBottom w:val="0"/>
          <w:divBdr>
            <w:top w:val="none" w:sz="0" w:space="0" w:color="auto"/>
            <w:left w:val="none" w:sz="0" w:space="0" w:color="auto"/>
            <w:bottom w:val="none" w:sz="0" w:space="0" w:color="auto"/>
            <w:right w:val="none" w:sz="0" w:space="0" w:color="auto"/>
          </w:divBdr>
        </w:div>
        <w:div w:id="599682421">
          <w:marLeft w:val="0"/>
          <w:marRight w:val="0"/>
          <w:marTop w:val="0"/>
          <w:marBottom w:val="0"/>
          <w:divBdr>
            <w:top w:val="none" w:sz="0" w:space="0" w:color="auto"/>
            <w:left w:val="none" w:sz="0" w:space="0" w:color="auto"/>
            <w:bottom w:val="none" w:sz="0" w:space="0" w:color="auto"/>
            <w:right w:val="none" w:sz="0" w:space="0" w:color="auto"/>
          </w:divBdr>
        </w:div>
        <w:div w:id="599877856">
          <w:marLeft w:val="0"/>
          <w:marRight w:val="0"/>
          <w:marTop w:val="0"/>
          <w:marBottom w:val="0"/>
          <w:divBdr>
            <w:top w:val="none" w:sz="0" w:space="0" w:color="auto"/>
            <w:left w:val="none" w:sz="0" w:space="0" w:color="auto"/>
            <w:bottom w:val="none" w:sz="0" w:space="0" w:color="auto"/>
            <w:right w:val="none" w:sz="0" w:space="0" w:color="auto"/>
          </w:divBdr>
        </w:div>
        <w:div w:id="608388827">
          <w:marLeft w:val="0"/>
          <w:marRight w:val="0"/>
          <w:marTop w:val="0"/>
          <w:marBottom w:val="0"/>
          <w:divBdr>
            <w:top w:val="none" w:sz="0" w:space="0" w:color="auto"/>
            <w:left w:val="none" w:sz="0" w:space="0" w:color="auto"/>
            <w:bottom w:val="none" w:sz="0" w:space="0" w:color="auto"/>
            <w:right w:val="none" w:sz="0" w:space="0" w:color="auto"/>
          </w:divBdr>
        </w:div>
        <w:div w:id="688215571">
          <w:marLeft w:val="0"/>
          <w:marRight w:val="0"/>
          <w:marTop w:val="0"/>
          <w:marBottom w:val="0"/>
          <w:divBdr>
            <w:top w:val="none" w:sz="0" w:space="0" w:color="auto"/>
            <w:left w:val="none" w:sz="0" w:space="0" w:color="auto"/>
            <w:bottom w:val="none" w:sz="0" w:space="0" w:color="auto"/>
            <w:right w:val="none" w:sz="0" w:space="0" w:color="auto"/>
          </w:divBdr>
        </w:div>
        <w:div w:id="699016058">
          <w:marLeft w:val="0"/>
          <w:marRight w:val="0"/>
          <w:marTop w:val="0"/>
          <w:marBottom w:val="0"/>
          <w:divBdr>
            <w:top w:val="none" w:sz="0" w:space="0" w:color="auto"/>
            <w:left w:val="none" w:sz="0" w:space="0" w:color="auto"/>
            <w:bottom w:val="none" w:sz="0" w:space="0" w:color="auto"/>
            <w:right w:val="none" w:sz="0" w:space="0" w:color="auto"/>
          </w:divBdr>
        </w:div>
        <w:div w:id="699552165">
          <w:marLeft w:val="0"/>
          <w:marRight w:val="0"/>
          <w:marTop w:val="0"/>
          <w:marBottom w:val="0"/>
          <w:divBdr>
            <w:top w:val="none" w:sz="0" w:space="0" w:color="auto"/>
            <w:left w:val="none" w:sz="0" w:space="0" w:color="auto"/>
            <w:bottom w:val="none" w:sz="0" w:space="0" w:color="auto"/>
            <w:right w:val="none" w:sz="0" w:space="0" w:color="auto"/>
          </w:divBdr>
        </w:div>
        <w:div w:id="727848713">
          <w:marLeft w:val="0"/>
          <w:marRight w:val="0"/>
          <w:marTop w:val="0"/>
          <w:marBottom w:val="0"/>
          <w:divBdr>
            <w:top w:val="none" w:sz="0" w:space="0" w:color="auto"/>
            <w:left w:val="none" w:sz="0" w:space="0" w:color="auto"/>
            <w:bottom w:val="none" w:sz="0" w:space="0" w:color="auto"/>
            <w:right w:val="none" w:sz="0" w:space="0" w:color="auto"/>
          </w:divBdr>
        </w:div>
        <w:div w:id="744842641">
          <w:marLeft w:val="0"/>
          <w:marRight w:val="0"/>
          <w:marTop w:val="0"/>
          <w:marBottom w:val="0"/>
          <w:divBdr>
            <w:top w:val="none" w:sz="0" w:space="0" w:color="auto"/>
            <w:left w:val="none" w:sz="0" w:space="0" w:color="auto"/>
            <w:bottom w:val="none" w:sz="0" w:space="0" w:color="auto"/>
            <w:right w:val="none" w:sz="0" w:space="0" w:color="auto"/>
          </w:divBdr>
        </w:div>
        <w:div w:id="819614649">
          <w:marLeft w:val="0"/>
          <w:marRight w:val="0"/>
          <w:marTop w:val="0"/>
          <w:marBottom w:val="0"/>
          <w:divBdr>
            <w:top w:val="none" w:sz="0" w:space="0" w:color="auto"/>
            <w:left w:val="none" w:sz="0" w:space="0" w:color="auto"/>
            <w:bottom w:val="none" w:sz="0" w:space="0" w:color="auto"/>
            <w:right w:val="none" w:sz="0" w:space="0" w:color="auto"/>
          </w:divBdr>
        </w:div>
        <w:div w:id="880820877">
          <w:marLeft w:val="0"/>
          <w:marRight w:val="0"/>
          <w:marTop w:val="0"/>
          <w:marBottom w:val="0"/>
          <w:divBdr>
            <w:top w:val="none" w:sz="0" w:space="0" w:color="auto"/>
            <w:left w:val="none" w:sz="0" w:space="0" w:color="auto"/>
            <w:bottom w:val="none" w:sz="0" w:space="0" w:color="auto"/>
            <w:right w:val="none" w:sz="0" w:space="0" w:color="auto"/>
          </w:divBdr>
        </w:div>
        <w:div w:id="896862877">
          <w:marLeft w:val="0"/>
          <w:marRight w:val="0"/>
          <w:marTop w:val="0"/>
          <w:marBottom w:val="0"/>
          <w:divBdr>
            <w:top w:val="none" w:sz="0" w:space="0" w:color="auto"/>
            <w:left w:val="none" w:sz="0" w:space="0" w:color="auto"/>
            <w:bottom w:val="none" w:sz="0" w:space="0" w:color="auto"/>
            <w:right w:val="none" w:sz="0" w:space="0" w:color="auto"/>
          </w:divBdr>
        </w:div>
        <w:div w:id="951210419">
          <w:marLeft w:val="0"/>
          <w:marRight w:val="0"/>
          <w:marTop w:val="0"/>
          <w:marBottom w:val="0"/>
          <w:divBdr>
            <w:top w:val="none" w:sz="0" w:space="0" w:color="auto"/>
            <w:left w:val="none" w:sz="0" w:space="0" w:color="auto"/>
            <w:bottom w:val="none" w:sz="0" w:space="0" w:color="auto"/>
            <w:right w:val="none" w:sz="0" w:space="0" w:color="auto"/>
          </w:divBdr>
        </w:div>
        <w:div w:id="1014842669">
          <w:marLeft w:val="0"/>
          <w:marRight w:val="0"/>
          <w:marTop w:val="0"/>
          <w:marBottom w:val="0"/>
          <w:divBdr>
            <w:top w:val="none" w:sz="0" w:space="0" w:color="auto"/>
            <w:left w:val="none" w:sz="0" w:space="0" w:color="auto"/>
            <w:bottom w:val="none" w:sz="0" w:space="0" w:color="auto"/>
            <w:right w:val="none" w:sz="0" w:space="0" w:color="auto"/>
          </w:divBdr>
        </w:div>
        <w:div w:id="1110709162">
          <w:marLeft w:val="0"/>
          <w:marRight w:val="0"/>
          <w:marTop w:val="0"/>
          <w:marBottom w:val="0"/>
          <w:divBdr>
            <w:top w:val="none" w:sz="0" w:space="0" w:color="auto"/>
            <w:left w:val="none" w:sz="0" w:space="0" w:color="auto"/>
            <w:bottom w:val="none" w:sz="0" w:space="0" w:color="auto"/>
            <w:right w:val="none" w:sz="0" w:space="0" w:color="auto"/>
          </w:divBdr>
        </w:div>
        <w:div w:id="1169444003">
          <w:marLeft w:val="0"/>
          <w:marRight w:val="0"/>
          <w:marTop w:val="0"/>
          <w:marBottom w:val="0"/>
          <w:divBdr>
            <w:top w:val="none" w:sz="0" w:space="0" w:color="auto"/>
            <w:left w:val="none" w:sz="0" w:space="0" w:color="auto"/>
            <w:bottom w:val="none" w:sz="0" w:space="0" w:color="auto"/>
            <w:right w:val="none" w:sz="0" w:space="0" w:color="auto"/>
          </w:divBdr>
        </w:div>
        <w:div w:id="1203638033">
          <w:marLeft w:val="0"/>
          <w:marRight w:val="0"/>
          <w:marTop w:val="0"/>
          <w:marBottom w:val="0"/>
          <w:divBdr>
            <w:top w:val="none" w:sz="0" w:space="0" w:color="auto"/>
            <w:left w:val="none" w:sz="0" w:space="0" w:color="auto"/>
            <w:bottom w:val="none" w:sz="0" w:space="0" w:color="auto"/>
            <w:right w:val="none" w:sz="0" w:space="0" w:color="auto"/>
          </w:divBdr>
        </w:div>
        <w:div w:id="1259560111">
          <w:marLeft w:val="0"/>
          <w:marRight w:val="0"/>
          <w:marTop w:val="0"/>
          <w:marBottom w:val="0"/>
          <w:divBdr>
            <w:top w:val="none" w:sz="0" w:space="0" w:color="auto"/>
            <w:left w:val="none" w:sz="0" w:space="0" w:color="auto"/>
            <w:bottom w:val="none" w:sz="0" w:space="0" w:color="auto"/>
            <w:right w:val="none" w:sz="0" w:space="0" w:color="auto"/>
          </w:divBdr>
        </w:div>
        <w:div w:id="1452701611">
          <w:marLeft w:val="0"/>
          <w:marRight w:val="0"/>
          <w:marTop w:val="0"/>
          <w:marBottom w:val="0"/>
          <w:divBdr>
            <w:top w:val="none" w:sz="0" w:space="0" w:color="auto"/>
            <w:left w:val="none" w:sz="0" w:space="0" w:color="auto"/>
            <w:bottom w:val="none" w:sz="0" w:space="0" w:color="auto"/>
            <w:right w:val="none" w:sz="0" w:space="0" w:color="auto"/>
          </w:divBdr>
        </w:div>
        <w:div w:id="1544946219">
          <w:marLeft w:val="0"/>
          <w:marRight w:val="0"/>
          <w:marTop w:val="0"/>
          <w:marBottom w:val="0"/>
          <w:divBdr>
            <w:top w:val="none" w:sz="0" w:space="0" w:color="auto"/>
            <w:left w:val="none" w:sz="0" w:space="0" w:color="auto"/>
            <w:bottom w:val="none" w:sz="0" w:space="0" w:color="auto"/>
            <w:right w:val="none" w:sz="0" w:space="0" w:color="auto"/>
          </w:divBdr>
        </w:div>
        <w:div w:id="1566526868">
          <w:marLeft w:val="0"/>
          <w:marRight w:val="0"/>
          <w:marTop w:val="0"/>
          <w:marBottom w:val="0"/>
          <w:divBdr>
            <w:top w:val="none" w:sz="0" w:space="0" w:color="auto"/>
            <w:left w:val="none" w:sz="0" w:space="0" w:color="auto"/>
            <w:bottom w:val="none" w:sz="0" w:space="0" w:color="auto"/>
            <w:right w:val="none" w:sz="0" w:space="0" w:color="auto"/>
          </w:divBdr>
        </w:div>
        <w:div w:id="1617445061">
          <w:marLeft w:val="0"/>
          <w:marRight w:val="0"/>
          <w:marTop w:val="0"/>
          <w:marBottom w:val="0"/>
          <w:divBdr>
            <w:top w:val="none" w:sz="0" w:space="0" w:color="auto"/>
            <w:left w:val="none" w:sz="0" w:space="0" w:color="auto"/>
            <w:bottom w:val="none" w:sz="0" w:space="0" w:color="auto"/>
            <w:right w:val="none" w:sz="0" w:space="0" w:color="auto"/>
          </w:divBdr>
        </w:div>
        <w:div w:id="1652980049">
          <w:marLeft w:val="0"/>
          <w:marRight w:val="0"/>
          <w:marTop w:val="0"/>
          <w:marBottom w:val="0"/>
          <w:divBdr>
            <w:top w:val="none" w:sz="0" w:space="0" w:color="auto"/>
            <w:left w:val="none" w:sz="0" w:space="0" w:color="auto"/>
            <w:bottom w:val="none" w:sz="0" w:space="0" w:color="auto"/>
            <w:right w:val="none" w:sz="0" w:space="0" w:color="auto"/>
          </w:divBdr>
        </w:div>
        <w:div w:id="1670130879">
          <w:marLeft w:val="0"/>
          <w:marRight w:val="0"/>
          <w:marTop w:val="0"/>
          <w:marBottom w:val="0"/>
          <w:divBdr>
            <w:top w:val="none" w:sz="0" w:space="0" w:color="auto"/>
            <w:left w:val="none" w:sz="0" w:space="0" w:color="auto"/>
            <w:bottom w:val="none" w:sz="0" w:space="0" w:color="auto"/>
            <w:right w:val="none" w:sz="0" w:space="0" w:color="auto"/>
          </w:divBdr>
        </w:div>
        <w:div w:id="1699237194">
          <w:marLeft w:val="0"/>
          <w:marRight w:val="0"/>
          <w:marTop w:val="0"/>
          <w:marBottom w:val="0"/>
          <w:divBdr>
            <w:top w:val="none" w:sz="0" w:space="0" w:color="auto"/>
            <w:left w:val="none" w:sz="0" w:space="0" w:color="auto"/>
            <w:bottom w:val="none" w:sz="0" w:space="0" w:color="auto"/>
            <w:right w:val="none" w:sz="0" w:space="0" w:color="auto"/>
          </w:divBdr>
        </w:div>
        <w:div w:id="1710521192">
          <w:marLeft w:val="0"/>
          <w:marRight w:val="0"/>
          <w:marTop w:val="0"/>
          <w:marBottom w:val="0"/>
          <w:divBdr>
            <w:top w:val="none" w:sz="0" w:space="0" w:color="auto"/>
            <w:left w:val="none" w:sz="0" w:space="0" w:color="auto"/>
            <w:bottom w:val="none" w:sz="0" w:space="0" w:color="auto"/>
            <w:right w:val="none" w:sz="0" w:space="0" w:color="auto"/>
          </w:divBdr>
        </w:div>
        <w:div w:id="1768455578">
          <w:marLeft w:val="0"/>
          <w:marRight w:val="0"/>
          <w:marTop w:val="0"/>
          <w:marBottom w:val="0"/>
          <w:divBdr>
            <w:top w:val="none" w:sz="0" w:space="0" w:color="auto"/>
            <w:left w:val="none" w:sz="0" w:space="0" w:color="auto"/>
            <w:bottom w:val="none" w:sz="0" w:space="0" w:color="auto"/>
            <w:right w:val="none" w:sz="0" w:space="0" w:color="auto"/>
          </w:divBdr>
        </w:div>
        <w:div w:id="1805390481">
          <w:marLeft w:val="0"/>
          <w:marRight w:val="0"/>
          <w:marTop w:val="0"/>
          <w:marBottom w:val="0"/>
          <w:divBdr>
            <w:top w:val="none" w:sz="0" w:space="0" w:color="auto"/>
            <w:left w:val="none" w:sz="0" w:space="0" w:color="auto"/>
            <w:bottom w:val="none" w:sz="0" w:space="0" w:color="auto"/>
            <w:right w:val="none" w:sz="0" w:space="0" w:color="auto"/>
          </w:divBdr>
        </w:div>
        <w:div w:id="1811749650">
          <w:marLeft w:val="0"/>
          <w:marRight w:val="0"/>
          <w:marTop w:val="0"/>
          <w:marBottom w:val="0"/>
          <w:divBdr>
            <w:top w:val="none" w:sz="0" w:space="0" w:color="auto"/>
            <w:left w:val="none" w:sz="0" w:space="0" w:color="auto"/>
            <w:bottom w:val="none" w:sz="0" w:space="0" w:color="auto"/>
            <w:right w:val="none" w:sz="0" w:space="0" w:color="auto"/>
          </w:divBdr>
        </w:div>
        <w:div w:id="2091002555">
          <w:marLeft w:val="0"/>
          <w:marRight w:val="0"/>
          <w:marTop w:val="0"/>
          <w:marBottom w:val="0"/>
          <w:divBdr>
            <w:top w:val="none" w:sz="0" w:space="0" w:color="auto"/>
            <w:left w:val="none" w:sz="0" w:space="0" w:color="auto"/>
            <w:bottom w:val="none" w:sz="0" w:space="0" w:color="auto"/>
            <w:right w:val="none" w:sz="0" w:space="0" w:color="auto"/>
          </w:divBdr>
        </w:div>
        <w:div w:id="2118676523">
          <w:marLeft w:val="0"/>
          <w:marRight w:val="0"/>
          <w:marTop w:val="0"/>
          <w:marBottom w:val="0"/>
          <w:divBdr>
            <w:top w:val="none" w:sz="0" w:space="0" w:color="auto"/>
            <w:left w:val="none" w:sz="0" w:space="0" w:color="auto"/>
            <w:bottom w:val="none" w:sz="0" w:space="0" w:color="auto"/>
            <w:right w:val="none" w:sz="0" w:space="0" w:color="auto"/>
          </w:divBdr>
        </w:div>
        <w:div w:id="2138641483">
          <w:marLeft w:val="0"/>
          <w:marRight w:val="0"/>
          <w:marTop w:val="0"/>
          <w:marBottom w:val="0"/>
          <w:divBdr>
            <w:top w:val="none" w:sz="0" w:space="0" w:color="auto"/>
            <w:left w:val="none" w:sz="0" w:space="0" w:color="auto"/>
            <w:bottom w:val="none" w:sz="0" w:space="0" w:color="auto"/>
            <w:right w:val="none" w:sz="0" w:space="0" w:color="auto"/>
          </w:divBdr>
        </w:div>
      </w:divsChild>
    </w:div>
    <w:div w:id="1462268632">
      <w:bodyDiv w:val="1"/>
      <w:marLeft w:val="0"/>
      <w:marRight w:val="0"/>
      <w:marTop w:val="0"/>
      <w:marBottom w:val="0"/>
      <w:divBdr>
        <w:top w:val="none" w:sz="0" w:space="0" w:color="auto"/>
        <w:left w:val="none" w:sz="0" w:space="0" w:color="auto"/>
        <w:bottom w:val="none" w:sz="0" w:space="0" w:color="auto"/>
        <w:right w:val="none" w:sz="0" w:space="0" w:color="auto"/>
      </w:divBdr>
    </w:div>
    <w:div w:id="1464150027">
      <w:bodyDiv w:val="1"/>
      <w:marLeft w:val="0"/>
      <w:marRight w:val="0"/>
      <w:marTop w:val="0"/>
      <w:marBottom w:val="0"/>
      <w:divBdr>
        <w:top w:val="none" w:sz="0" w:space="0" w:color="auto"/>
        <w:left w:val="none" w:sz="0" w:space="0" w:color="auto"/>
        <w:bottom w:val="none" w:sz="0" w:space="0" w:color="auto"/>
        <w:right w:val="none" w:sz="0" w:space="0" w:color="auto"/>
      </w:divBdr>
      <w:divsChild>
        <w:div w:id="1603296605">
          <w:marLeft w:val="0"/>
          <w:marRight w:val="0"/>
          <w:marTop w:val="0"/>
          <w:marBottom w:val="0"/>
          <w:divBdr>
            <w:top w:val="none" w:sz="0" w:space="0" w:color="auto"/>
            <w:left w:val="none" w:sz="0" w:space="0" w:color="auto"/>
            <w:bottom w:val="none" w:sz="0" w:space="0" w:color="auto"/>
            <w:right w:val="none" w:sz="0" w:space="0" w:color="auto"/>
          </w:divBdr>
          <w:divsChild>
            <w:div w:id="10929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46261">
      <w:bodyDiv w:val="1"/>
      <w:marLeft w:val="0"/>
      <w:marRight w:val="0"/>
      <w:marTop w:val="0"/>
      <w:marBottom w:val="0"/>
      <w:divBdr>
        <w:top w:val="none" w:sz="0" w:space="0" w:color="auto"/>
        <w:left w:val="none" w:sz="0" w:space="0" w:color="auto"/>
        <w:bottom w:val="none" w:sz="0" w:space="0" w:color="auto"/>
        <w:right w:val="none" w:sz="0" w:space="0" w:color="auto"/>
      </w:divBdr>
      <w:divsChild>
        <w:div w:id="1418399170">
          <w:marLeft w:val="0"/>
          <w:marRight w:val="0"/>
          <w:marTop w:val="0"/>
          <w:marBottom w:val="0"/>
          <w:divBdr>
            <w:top w:val="none" w:sz="0" w:space="0" w:color="auto"/>
            <w:left w:val="none" w:sz="0" w:space="0" w:color="auto"/>
            <w:bottom w:val="none" w:sz="0" w:space="0" w:color="auto"/>
            <w:right w:val="none" w:sz="0" w:space="0" w:color="auto"/>
          </w:divBdr>
        </w:div>
        <w:div w:id="1712414375">
          <w:marLeft w:val="0"/>
          <w:marRight w:val="0"/>
          <w:marTop w:val="0"/>
          <w:marBottom w:val="0"/>
          <w:divBdr>
            <w:top w:val="none" w:sz="0" w:space="0" w:color="auto"/>
            <w:left w:val="none" w:sz="0" w:space="0" w:color="auto"/>
            <w:bottom w:val="none" w:sz="0" w:space="0" w:color="auto"/>
            <w:right w:val="none" w:sz="0" w:space="0" w:color="auto"/>
          </w:divBdr>
        </w:div>
        <w:div w:id="1909071976">
          <w:marLeft w:val="0"/>
          <w:marRight w:val="0"/>
          <w:marTop w:val="0"/>
          <w:marBottom w:val="0"/>
          <w:divBdr>
            <w:top w:val="none" w:sz="0" w:space="0" w:color="auto"/>
            <w:left w:val="none" w:sz="0" w:space="0" w:color="auto"/>
            <w:bottom w:val="none" w:sz="0" w:space="0" w:color="auto"/>
            <w:right w:val="none" w:sz="0" w:space="0" w:color="auto"/>
          </w:divBdr>
        </w:div>
      </w:divsChild>
    </w:div>
    <w:div w:id="1475684933">
      <w:bodyDiv w:val="1"/>
      <w:marLeft w:val="0"/>
      <w:marRight w:val="0"/>
      <w:marTop w:val="0"/>
      <w:marBottom w:val="0"/>
      <w:divBdr>
        <w:top w:val="none" w:sz="0" w:space="0" w:color="auto"/>
        <w:left w:val="none" w:sz="0" w:space="0" w:color="auto"/>
        <w:bottom w:val="none" w:sz="0" w:space="0" w:color="auto"/>
        <w:right w:val="none" w:sz="0" w:space="0" w:color="auto"/>
      </w:divBdr>
      <w:divsChild>
        <w:div w:id="26682029">
          <w:marLeft w:val="0"/>
          <w:marRight w:val="0"/>
          <w:marTop w:val="0"/>
          <w:marBottom w:val="0"/>
          <w:divBdr>
            <w:top w:val="none" w:sz="0" w:space="0" w:color="auto"/>
            <w:left w:val="none" w:sz="0" w:space="0" w:color="auto"/>
            <w:bottom w:val="none" w:sz="0" w:space="0" w:color="auto"/>
            <w:right w:val="none" w:sz="0" w:space="0" w:color="auto"/>
          </w:divBdr>
        </w:div>
        <w:div w:id="32273324">
          <w:marLeft w:val="0"/>
          <w:marRight w:val="0"/>
          <w:marTop w:val="0"/>
          <w:marBottom w:val="0"/>
          <w:divBdr>
            <w:top w:val="none" w:sz="0" w:space="0" w:color="auto"/>
            <w:left w:val="none" w:sz="0" w:space="0" w:color="auto"/>
            <w:bottom w:val="none" w:sz="0" w:space="0" w:color="auto"/>
            <w:right w:val="none" w:sz="0" w:space="0" w:color="auto"/>
          </w:divBdr>
        </w:div>
        <w:div w:id="134300571">
          <w:marLeft w:val="0"/>
          <w:marRight w:val="0"/>
          <w:marTop w:val="0"/>
          <w:marBottom w:val="0"/>
          <w:divBdr>
            <w:top w:val="none" w:sz="0" w:space="0" w:color="auto"/>
            <w:left w:val="none" w:sz="0" w:space="0" w:color="auto"/>
            <w:bottom w:val="none" w:sz="0" w:space="0" w:color="auto"/>
            <w:right w:val="none" w:sz="0" w:space="0" w:color="auto"/>
          </w:divBdr>
        </w:div>
        <w:div w:id="432748333">
          <w:marLeft w:val="0"/>
          <w:marRight w:val="0"/>
          <w:marTop w:val="0"/>
          <w:marBottom w:val="0"/>
          <w:divBdr>
            <w:top w:val="none" w:sz="0" w:space="0" w:color="auto"/>
            <w:left w:val="none" w:sz="0" w:space="0" w:color="auto"/>
            <w:bottom w:val="none" w:sz="0" w:space="0" w:color="auto"/>
            <w:right w:val="none" w:sz="0" w:space="0" w:color="auto"/>
          </w:divBdr>
        </w:div>
        <w:div w:id="504632994">
          <w:marLeft w:val="0"/>
          <w:marRight w:val="0"/>
          <w:marTop w:val="0"/>
          <w:marBottom w:val="0"/>
          <w:divBdr>
            <w:top w:val="none" w:sz="0" w:space="0" w:color="auto"/>
            <w:left w:val="none" w:sz="0" w:space="0" w:color="auto"/>
            <w:bottom w:val="none" w:sz="0" w:space="0" w:color="auto"/>
            <w:right w:val="none" w:sz="0" w:space="0" w:color="auto"/>
          </w:divBdr>
        </w:div>
        <w:div w:id="573667221">
          <w:marLeft w:val="0"/>
          <w:marRight w:val="0"/>
          <w:marTop w:val="0"/>
          <w:marBottom w:val="0"/>
          <w:divBdr>
            <w:top w:val="none" w:sz="0" w:space="0" w:color="auto"/>
            <w:left w:val="none" w:sz="0" w:space="0" w:color="auto"/>
            <w:bottom w:val="none" w:sz="0" w:space="0" w:color="auto"/>
            <w:right w:val="none" w:sz="0" w:space="0" w:color="auto"/>
          </w:divBdr>
        </w:div>
        <w:div w:id="647512869">
          <w:marLeft w:val="0"/>
          <w:marRight w:val="0"/>
          <w:marTop w:val="0"/>
          <w:marBottom w:val="0"/>
          <w:divBdr>
            <w:top w:val="none" w:sz="0" w:space="0" w:color="auto"/>
            <w:left w:val="none" w:sz="0" w:space="0" w:color="auto"/>
            <w:bottom w:val="none" w:sz="0" w:space="0" w:color="auto"/>
            <w:right w:val="none" w:sz="0" w:space="0" w:color="auto"/>
          </w:divBdr>
        </w:div>
        <w:div w:id="706031968">
          <w:marLeft w:val="0"/>
          <w:marRight w:val="0"/>
          <w:marTop w:val="0"/>
          <w:marBottom w:val="0"/>
          <w:divBdr>
            <w:top w:val="none" w:sz="0" w:space="0" w:color="auto"/>
            <w:left w:val="none" w:sz="0" w:space="0" w:color="auto"/>
            <w:bottom w:val="none" w:sz="0" w:space="0" w:color="auto"/>
            <w:right w:val="none" w:sz="0" w:space="0" w:color="auto"/>
          </w:divBdr>
        </w:div>
        <w:div w:id="819924893">
          <w:marLeft w:val="0"/>
          <w:marRight w:val="0"/>
          <w:marTop w:val="0"/>
          <w:marBottom w:val="0"/>
          <w:divBdr>
            <w:top w:val="none" w:sz="0" w:space="0" w:color="auto"/>
            <w:left w:val="none" w:sz="0" w:space="0" w:color="auto"/>
            <w:bottom w:val="none" w:sz="0" w:space="0" w:color="auto"/>
            <w:right w:val="none" w:sz="0" w:space="0" w:color="auto"/>
          </w:divBdr>
        </w:div>
        <w:div w:id="995037884">
          <w:marLeft w:val="0"/>
          <w:marRight w:val="0"/>
          <w:marTop w:val="0"/>
          <w:marBottom w:val="0"/>
          <w:divBdr>
            <w:top w:val="none" w:sz="0" w:space="0" w:color="auto"/>
            <w:left w:val="none" w:sz="0" w:space="0" w:color="auto"/>
            <w:bottom w:val="none" w:sz="0" w:space="0" w:color="auto"/>
            <w:right w:val="none" w:sz="0" w:space="0" w:color="auto"/>
          </w:divBdr>
        </w:div>
        <w:div w:id="1006127174">
          <w:marLeft w:val="0"/>
          <w:marRight w:val="0"/>
          <w:marTop w:val="0"/>
          <w:marBottom w:val="0"/>
          <w:divBdr>
            <w:top w:val="none" w:sz="0" w:space="0" w:color="auto"/>
            <w:left w:val="none" w:sz="0" w:space="0" w:color="auto"/>
            <w:bottom w:val="none" w:sz="0" w:space="0" w:color="auto"/>
            <w:right w:val="none" w:sz="0" w:space="0" w:color="auto"/>
          </w:divBdr>
        </w:div>
        <w:div w:id="1088308930">
          <w:marLeft w:val="0"/>
          <w:marRight w:val="0"/>
          <w:marTop w:val="0"/>
          <w:marBottom w:val="0"/>
          <w:divBdr>
            <w:top w:val="none" w:sz="0" w:space="0" w:color="auto"/>
            <w:left w:val="none" w:sz="0" w:space="0" w:color="auto"/>
            <w:bottom w:val="none" w:sz="0" w:space="0" w:color="auto"/>
            <w:right w:val="none" w:sz="0" w:space="0" w:color="auto"/>
          </w:divBdr>
        </w:div>
        <w:div w:id="1097821740">
          <w:marLeft w:val="0"/>
          <w:marRight w:val="0"/>
          <w:marTop w:val="0"/>
          <w:marBottom w:val="0"/>
          <w:divBdr>
            <w:top w:val="none" w:sz="0" w:space="0" w:color="auto"/>
            <w:left w:val="none" w:sz="0" w:space="0" w:color="auto"/>
            <w:bottom w:val="none" w:sz="0" w:space="0" w:color="auto"/>
            <w:right w:val="none" w:sz="0" w:space="0" w:color="auto"/>
          </w:divBdr>
        </w:div>
        <w:div w:id="1157260485">
          <w:marLeft w:val="0"/>
          <w:marRight w:val="0"/>
          <w:marTop w:val="0"/>
          <w:marBottom w:val="0"/>
          <w:divBdr>
            <w:top w:val="none" w:sz="0" w:space="0" w:color="auto"/>
            <w:left w:val="none" w:sz="0" w:space="0" w:color="auto"/>
            <w:bottom w:val="none" w:sz="0" w:space="0" w:color="auto"/>
            <w:right w:val="none" w:sz="0" w:space="0" w:color="auto"/>
          </w:divBdr>
        </w:div>
        <w:div w:id="1316225934">
          <w:marLeft w:val="0"/>
          <w:marRight w:val="0"/>
          <w:marTop w:val="0"/>
          <w:marBottom w:val="0"/>
          <w:divBdr>
            <w:top w:val="none" w:sz="0" w:space="0" w:color="auto"/>
            <w:left w:val="none" w:sz="0" w:space="0" w:color="auto"/>
            <w:bottom w:val="none" w:sz="0" w:space="0" w:color="auto"/>
            <w:right w:val="none" w:sz="0" w:space="0" w:color="auto"/>
          </w:divBdr>
        </w:div>
        <w:div w:id="1405226930">
          <w:marLeft w:val="0"/>
          <w:marRight w:val="0"/>
          <w:marTop w:val="0"/>
          <w:marBottom w:val="0"/>
          <w:divBdr>
            <w:top w:val="none" w:sz="0" w:space="0" w:color="auto"/>
            <w:left w:val="none" w:sz="0" w:space="0" w:color="auto"/>
            <w:bottom w:val="none" w:sz="0" w:space="0" w:color="auto"/>
            <w:right w:val="none" w:sz="0" w:space="0" w:color="auto"/>
          </w:divBdr>
        </w:div>
        <w:div w:id="1671761285">
          <w:marLeft w:val="0"/>
          <w:marRight w:val="0"/>
          <w:marTop w:val="0"/>
          <w:marBottom w:val="0"/>
          <w:divBdr>
            <w:top w:val="none" w:sz="0" w:space="0" w:color="auto"/>
            <w:left w:val="none" w:sz="0" w:space="0" w:color="auto"/>
            <w:bottom w:val="none" w:sz="0" w:space="0" w:color="auto"/>
            <w:right w:val="none" w:sz="0" w:space="0" w:color="auto"/>
          </w:divBdr>
        </w:div>
        <w:div w:id="1842620392">
          <w:marLeft w:val="0"/>
          <w:marRight w:val="0"/>
          <w:marTop w:val="0"/>
          <w:marBottom w:val="0"/>
          <w:divBdr>
            <w:top w:val="none" w:sz="0" w:space="0" w:color="auto"/>
            <w:left w:val="none" w:sz="0" w:space="0" w:color="auto"/>
            <w:bottom w:val="none" w:sz="0" w:space="0" w:color="auto"/>
            <w:right w:val="none" w:sz="0" w:space="0" w:color="auto"/>
          </w:divBdr>
        </w:div>
        <w:div w:id="2006129431">
          <w:marLeft w:val="0"/>
          <w:marRight w:val="0"/>
          <w:marTop w:val="0"/>
          <w:marBottom w:val="0"/>
          <w:divBdr>
            <w:top w:val="none" w:sz="0" w:space="0" w:color="auto"/>
            <w:left w:val="none" w:sz="0" w:space="0" w:color="auto"/>
            <w:bottom w:val="none" w:sz="0" w:space="0" w:color="auto"/>
            <w:right w:val="none" w:sz="0" w:space="0" w:color="auto"/>
          </w:divBdr>
        </w:div>
      </w:divsChild>
    </w:div>
    <w:div w:id="1479372802">
      <w:bodyDiv w:val="1"/>
      <w:marLeft w:val="0"/>
      <w:marRight w:val="0"/>
      <w:marTop w:val="0"/>
      <w:marBottom w:val="0"/>
      <w:divBdr>
        <w:top w:val="none" w:sz="0" w:space="0" w:color="auto"/>
        <w:left w:val="none" w:sz="0" w:space="0" w:color="auto"/>
        <w:bottom w:val="none" w:sz="0" w:space="0" w:color="auto"/>
        <w:right w:val="none" w:sz="0" w:space="0" w:color="auto"/>
      </w:divBdr>
    </w:div>
    <w:div w:id="1490445362">
      <w:bodyDiv w:val="1"/>
      <w:marLeft w:val="0"/>
      <w:marRight w:val="0"/>
      <w:marTop w:val="0"/>
      <w:marBottom w:val="0"/>
      <w:divBdr>
        <w:top w:val="none" w:sz="0" w:space="0" w:color="auto"/>
        <w:left w:val="none" w:sz="0" w:space="0" w:color="auto"/>
        <w:bottom w:val="none" w:sz="0" w:space="0" w:color="auto"/>
        <w:right w:val="none" w:sz="0" w:space="0" w:color="auto"/>
      </w:divBdr>
      <w:divsChild>
        <w:div w:id="40718006">
          <w:marLeft w:val="0"/>
          <w:marRight w:val="0"/>
          <w:marTop w:val="0"/>
          <w:marBottom w:val="0"/>
          <w:divBdr>
            <w:top w:val="none" w:sz="0" w:space="0" w:color="auto"/>
            <w:left w:val="none" w:sz="0" w:space="0" w:color="auto"/>
            <w:bottom w:val="none" w:sz="0" w:space="0" w:color="auto"/>
            <w:right w:val="none" w:sz="0" w:space="0" w:color="auto"/>
          </w:divBdr>
        </w:div>
        <w:div w:id="97527245">
          <w:marLeft w:val="0"/>
          <w:marRight w:val="0"/>
          <w:marTop w:val="0"/>
          <w:marBottom w:val="0"/>
          <w:divBdr>
            <w:top w:val="none" w:sz="0" w:space="0" w:color="auto"/>
            <w:left w:val="none" w:sz="0" w:space="0" w:color="auto"/>
            <w:bottom w:val="none" w:sz="0" w:space="0" w:color="auto"/>
            <w:right w:val="none" w:sz="0" w:space="0" w:color="auto"/>
          </w:divBdr>
        </w:div>
        <w:div w:id="204997084">
          <w:marLeft w:val="0"/>
          <w:marRight w:val="0"/>
          <w:marTop w:val="0"/>
          <w:marBottom w:val="0"/>
          <w:divBdr>
            <w:top w:val="none" w:sz="0" w:space="0" w:color="auto"/>
            <w:left w:val="none" w:sz="0" w:space="0" w:color="auto"/>
            <w:bottom w:val="none" w:sz="0" w:space="0" w:color="auto"/>
            <w:right w:val="none" w:sz="0" w:space="0" w:color="auto"/>
          </w:divBdr>
        </w:div>
        <w:div w:id="232204230">
          <w:marLeft w:val="0"/>
          <w:marRight w:val="0"/>
          <w:marTop w:val="0"/>
          <w:marBottom w:val="0"/>
          <w:divBdr>
            <w:top w:val="none" w:sz="0" w:space="0" w:color="auto"/>
            <w:left w:val="none" w:sz="0" w:space="0" w:color="auto"/>
            <w:bottom w:val="none" w:sz="0" w:space="0" w:color="auto"/>
            <w:right w:val="none" w:sz="0" w:space="0" w:color="auto"/>
          </w:divBdr>
        </w:div>
        <w:div w:id="404911553">
          <w:marLeft w:val="0"/>
          <w:marRight w:val="0"/>
          <w:marTop w:val="0"/>
          <w:marBottom w:val="0"/>
          <w:divBdr>
            <w:top w:val="none" w:sz="0" w:space="0" w:color="auto"/>
            <w:left w:val="none" w:sz="0" w:space="0" w:color="auto"/>
            <w:bottom w:val="none" w:sz="0" w:space="0" w:color="auto"/>
            <w:right w:val="none" w:sz="0" w:space="0" w:color="auto"/>
          </w:divBdr>
        </w:div>
        <w:div w:id="500243306">
          <w:marLeft w:val="0"/>
          <w:marRight w:val="0"/>
          <w:marTop w:val="0"/>
          <w:marBottom w:val="0"/>
          <w:divBdr>
            <w:top w:val="none" w:sz="0" w:space="0" w:color="auto"/>
            <w:left w:val="none" w:sz="0" w:space="0" w:color="auto"/>
            <w:bottom w:val="none" w:sz="0" w:space="0" w:color="auto"/>
            <w:right w:val="none" w:sz="0" w:space="0" w:color="auto"/>
          </w:divBdr>
        </w:div>
        <w:div w:id="635454994">
          <w:marLeft w:val="0"/>
          <w:marRight w:val="0"/>
          <w:marTop w:val="0"/>
          <w:marBottom w:val="0"/>
          <w:divBdr>
            <w:top w:val="none" w:sz="0" w:space="0" w:color="auto"/>
            <w:left w:val="none" w:sz="0" w:space="0" w:color="auto"/>
            <w:bottom w:val="none" w:sz="0" w:space="0" w:color="auto"/>
            <w:right w:val="none" w:sz="0" w:space="0" w:color="auto"/>
          </w:divBdr>
        </w:div>
        <w:div w:id="736591804">
          <w:marLeft w:val="0"/>
          <w:marRight w:val="0"/>
          <w:marTop w:val="0"/>
          <w:marBottom w:val="0"/>
          <w:divBdr>
            <w:top w:val="none" w:sz="0" w:space="0" w:color="auto"/>
            <w:left w:val="none" w:sz="0" w:space="0" w:color="auto"/>
            <w:bottom w:val="none" w:sz="0" w:space="0" w:color="auto"/>
            <w:right w:val="none" w:sz="0" w:space="0" w:color="auto"/>
          </w:divBdr>
        </w:div>
        <w:div w:id="760101686">
          <w:marLeft w:val="0"/>
          <w:marRight w:val="0"/>
          <w:marTop w:val="0"/>
          <w:marBottom w:val="0"/>
          <w:divBdr>
            <w:top w:val="none" w:sz="0" w:space="0" w:color="auto"/>
            <w:left w:val="none" w:sz="0" w:space="0" w:color="auto"/>
            <w:bottom w:val="none" w:sz="0" w:space="0" w:color="auto"/>
            <w:right w:val="none" w:sz="0" w:space="0" w:color="auto"/>
          </w:divBdr>
        </w:div>
        <w:div w:id="889075862">
          <w:marLeft w:val="0"/>
          <w:marRight w:val="0"/>
          <w:marTop w:val="0"/>
          <w:marBottom w:val="0"/>
          <w:divBdr>
            <w:top w:val="none" w:sz="0" w:space="0" w:color="auto"/>
            <w:left w:val="none" w:sz="0" w:space="0" w:color="auto"/>
            <w:bottom w:val="none" w:sz="0" w:space="0" w:color="auto"/>
            <w:right w:val="none" w:sz="0" w:space="0" w:color="auto"/>
          </w:divBdr>
        </w:div>
        <w:div w:id="892156618">
          <w:marLeft w:val="0"/>
          <w:marRight w:val="0"/>
          <w:marTop w:val="0"/>
          <w:marBottom w:val="0"/>
          <w:divBdr>
            <w:top w:val="none" w:sz="0" w:space="0" w:color="auto"/>
            <w:left w:val="none" w:sz="0" w:space="0" w:color="auto"/>
            <w:bottom w:val="none" w:sz="0" w:space="0" w:color="auto"/>
            <w:right w:val="none" w:sz="0" w:space="0" w:color="auto"/>
          </w:divBdr>
        </w:div>
        <w:div w:id="1176847966">
          <w:marLeft w:val="0"/>
          <w:marRight w:val="0"/>
          <w:marTop w:val="0"/>
          <w:marBottom w:val="0"/>
          <w:divBdr>
            <w:top w:val="none" w:sz="0" w:space="0" w:color="auto"/>
            <w:left w:val="none" w:sz="0" w:space="0" w:color="auto"/>
            <w:bottom w:val="none" w:sz="0" w:space="0" w:color="auto"/>
            <w:right w:val="none" w:sz="0" w:space="0" w:color="auto"/>
          </w:divBdr>
        </w:div>
        <w:div w:id="1250653779">
          <w:marLeft w:val="0"/>
          <w:marRight w:val="0"/>
          <w:marTop w:val="0"/>
          <w:marBottom w:val="0"/>
          <w:divBdr>
            <w:top w:val="none" w:sz="0" w:space="0" w:color="auto"/>
            <w:left w:val="none" w:sz="0" w:space="0" w:color="auto"/>
            <w:bottom w:val="none" w:sz="0" w:space="0" w:color="auto"/>
            <w:right w:val="none" w:sz="0" w:space="0" w:color="auto"/>
          </w:divBdr>
        </w:div>
        <w:div w:id="1311665482">
          <w:marLeft w:val="0"/>
          <w:marRight w:val="0"/>
          <w:marTop w:val="0"/>
          <w:marBottom w:val="0"/>
          <w:divBdr>
            <w:top w:val="none" w:sz="0" w:space="0" w:color="auto"/>
            <w:left w:val="none" w:sz="0" w:space="0" w:color="auto"/>
            <w:bottom w:val="none" w:sz="0" w:space="0" w:color="auto"/>
            <w:right w:val="none" w:sz="0" w:space="0" w:color="auto"/>
          </w:divBdr>
        </w:div>
        <w:div w:id="1327175215">
          <w:marLeft w:val="0"/>
          <w:marRight w:val="0"/>
          <w:marTop w:val="0"/>
          <w:marBottom w:val="0"/>
          <w:divBdr>
            <w:top w:val="none" w:sz="0" w:space="0" w:color="auto"/>
            <w:left w:val="none" w:sz="0" w:space="0" w:color="auto"/>
            <w:bottom w:val="none" w:sz="0" w:space="0" w:color="auto"/>
            <w:right w:val="none" w:sz="0" w:space="0" w:color="auto"/>
          </w:divBdr>
        </w:div>
        <w:div w:id="1387989136">
          <w:marLeft w:val="0"/>
          <w:marRight w:val="0"/>
          <w:marTop w:val="0"/>
          <w:marBottom w:val="0"/>
          <w:divBdr>
            <w:top w:val="none" w:sz="0" w:space="0" w:color="auto"/>
            <w:left w:val="none" w:sz="0" w:space="0" w:color="auto"/>
            <w:bottom w:val="none" w:sz="0" w:space="0" w:color="auto"/>
            <w:right w:val="none" w:sz="0" w:space="0" w:color="auto"/>
          </w:divBdr>
        </w:div>
        <w:div w:id="1509516099">
          <w:marLeft w:val="0"/>
          <w:marRight w:val="0"/>
          <w:marTop w:val="0"/>
          <w:marBottom w:val="0"/>
          <w:divBdr>
            <w:top w:val="none" w:sz="0" w:space="0" w:color="auto"/>
            <w:left w:val="none" w:sz="0" w:space="0" w:color="auto"/>
            <w:bottom w:val="none" w:sz="0" w:space="0" w:color="auto"/>
            <w:right w:val="none" w:sz="0" w:space="0" w:color="auto"/>
          </w:divBdr>
        </w:div>
        <w:div w:id="1717394396">
          <w:marLeft w:val="0"/>
          <w:marRight w:val="0"/>
          <w:marTop w:val="0"/>
          <w:marBottom w:val="0"/>
          <w:divBdr>
            <w:top w:val="none" w:sz="0" w:space="0" w:color="auto"/>
            <w:left w:val="none" w:sz="0" w:space="0" w:color="auto"/>
            <w:bottom w:val="none" w:sz="0" w:space="0" w:color="auto"/>
            <w:right w:val="none" w:sz="0" w:space="0" w:color="auto"/>
          </w:divBdr>
        </w:div>
        <w:div w:id="1751928905">
          <w:marLeft w:val="0"/>
          <w:marRight w:val="0"/>
          <w:marTop w:val="0"/>
          <w:marBottom w:val="0"/>
          <w:divBdr>
            <w:top w:val="none" w:sz="0" w:space="0" w:color="auto"/>
            <w:left w:val="none" w:sz="0" w:space="0" w:color="auto"/>
            <w:bottom w:val="none" w:sz="0" w:space="0" w:color="auto"/>
            <w:right w:val="none" w:sz="0" w:space="0" w:color="auto"/>
          </w:divBdr>
        </w:div>
        <w:div w:id="1851487405">
          <w:marLeft w:val="0"/>
          <w:marRight w:val="0"/>
          <w:marTop w:val="0"/>
          <w:marBottom w:val="0"/>
          <w:divBdr>
            <w:top w:val="none" w:sz="0" w:space="0" w:color="auto"/>
            <w:left w:val="none" w:sz="0" w:space="0" w:color="auto"/>
            <w:bottom w:val="none" w:sz="0" w:space="0" w:color="auto"/>
            <w:right w:val="none" w:sz="0" w:space="0" w:color="auto"/>
          </w:divBdr>
        </w:div>
        <w:div w:id="1904756480">
          <w:marLeft w:val="0"/>
          <w:marRight w:val="0"/>
          <w:marTop w:val="0"/>
          <w:marBottom w:val="0"/>
          <w:divBdr>
            <w:top w:val="none" w:sz="0" w:space="0" w:color="auto"/>
            <w:left w:val="none" w:sz="0" w:space="0" w:color="auto"/>
            <w:bottom w:val="none" w:sz="0" w:space="0" w:color="auto"/>
            <w:right w:val="none" w:sz="0" w:space="0" w:color="auto"/>
          </w:divBdr>
        </w:div>
        <w:div w:id="2069451333">
          <w:marLeft w:val="0"/>
          <w:marRight w:val="0"/>
          <w:marTop w:val="0"/>
          <w:marBottom w:val="0"/>
          <w:divBdr>
            <w:top w:val="none" w:sz="0" w:space="0" w:color="auto"/>
            <w:left w:val="none" w:sz="0" w:space="0" w:color="auto"/>
            <w:bottom w:val="none" w:sz="0" w:space="0" w:color="auto"/>
            <w:right w:val="none" w:sz="0" w:space="0" w:color="auto"/>
          </w:divBdr>
        </w:div>
      </w:divsChild>
    </w:div>
    <w:div w:id="1498839434">
      <w:bodyDiv w:val="1"/>
      <w:marLeft w:val="0"/>
      <w:marRight w:val="0"/>
      <w:marTop w:val="0"/>
      <w:marBottom w:val="0"/>
      <w:divBdr>
        <w:top w:val="none" w:sz="0" w:space="0" w:color="auto"/>
        <w:left w:val="none" w:sz="0" w:space="0" w:color="auto"/>
        <w:bottom w:val="none" w:sz="0" w:space="0" w:color="auto"/>
        <w:right w:val="none" w:sz="0" w:space="0" w:color="auto"/>
      </w:divBdr>
      <w:divsChild>
        <w:div w:id="143544916">
          <w:marLeft w:val="0"/>
          <w:marRight w:val="0"/>
          <w:marTop w:val="0"/>
          <w:marBottom w:val="0"/>
          <w:divBdr>
            <w:top w:val="none" w:sz="0" w:space="0" w:color="auto"/>
            <w:left w:val="none" w:sz="0" w:space="0" w:color="auto"/>
            <w:bottom w:val="none" w:sz="0" w:space="0" w:color="auto"/>
            <w:right w:val="none" w:sz="0" w:space="0" w:color="auto"/>
          </w:divBdr>
        </w:div>
        <w:div w:id="316737072">
          <w:marLeft w:val="0"/>
          <w:marRight w:val="0"/>
          <w:marTop w:val="0"/>
          <w:marBottom w:val="0"/>
          <w:divBdr>
            <w:top w:val="none" w:sz="0" w:space="0" w:color="auto"/>
            <w:left w:val="none" w:sz="0" w:space="0" w:color="auto"/>
            <w:bottom w:val="none" w:sz="0" w:space="0" w:color="auto"/>
            <w:right w:val="none" w:sz="0" w:space="0" w:color="auto"/>
          </w:divBdr>
        </w:div>
        <w:div w:id="325598031">
          <w:marLeft w:val="0"/>
          <w:marRight w:val="0"/>
          <w:marTop w:val="0"/>
          <w:marBottom w:val="0"/>
          <w:divBdr>
            <w:top w:val="none" w:sz="0" w:space="0" w:color="auto"/>
            <w:left w:val="none" w:sz="0" w:space="0" w:color="auto"/>
            <w:bottom w:val="none" w:sz="0" w:space="0" w:color="auto"/>
            <w:right w:val="none" w:sz="0" w:space="0" w:color="auto"/>
          </w:divBdr>
        </w:div>
        <w:div w:id="410663709">
          <w:marLeft w:val="0"/>
          <w:marRight w:val="0"/>
          <w:marTop w:val="0"/>
          <w:marBottom w:val="0"/>
          <w:divBdr>
            <w:top w:val="none" w:sz="0" w:space="0" w:color="auto"/>
            <w:left w:val="none" w:sz="0" w:space="0" w:color="auto"/>
            <w:bottom w:val="none" w:sz="0" w:space="0" w:color="auto"/>
            <w:right w:val="none" w:sz="0" w:space="0" w:color="auto"/>
          </w:divBdr>
        </w:div>
        <w:div w:id="451243663">
          <w:marLeft w:val="0"/>
          <w:marRight w:val="0"/>
          <w:marTop w:val="0"/>
          <w:marBottom w:val="0"/>
          <w:divBdr>
            <w:top w:val="none" w:sz="0" w:space="0" w:color="auto"/>
            <w:left w:val="none" w:sz="0" w:space="0" w:color="auto"/>
            <w:bottom w:val="none" w:sz="0" w:space="0" w:color="auto"/>
            <w:right w:val="none" w:sz="0" w:space="0" w:color="auto"/>
          </w:divBdr>
        </w:div>
        <w:div w:id="484518036">
          <w:marLeft w:val="0"/>
          <w:marRight w:val="0"/>
          <w:marTop w:val="0"/>
          <w:marBottom w:val="0"/>
          <w:divBdr>
            <w:top w:val="none" w:sz="0" w:space="0" w:color="auto"/>
            <w:left w:val="none" w:sz="0" w:space="0" w:color="auto"/>
            <w:bottom w:val="none" w:sz="0" w:space="0" w:color="auto"/>
            <w:right w:val="none" w:sz="0" w:space="0" w:color="auto"/>
          </w:divBdr>
        </w:div>
        <w:div w:id="676813132">
          <w:marLeft w:val="0"/>
          <w:marRight w:val="0"/>
          <w:marTop w:val="0"/>
          <w:marBottom w:val="0"/>
          <w:divBdr>
            <w:top w:val="none" w:sz="0" w:space="0" w:color="auto"/>
            <w:left w:val="none" w:sz="0" w:space="0" w:color="auto"/>
            <w:bottom w:val="none" w:sz="0" w:space="0" w:color="auto"/>
            <w:right w:val="none" w:sz="0" w:space="0" w:color="auto"/>
          </w:divBdr>
        </w:div>
        <w:div w:id="695423548">
          <w:marLeft w:val="0"/>
          <w:marRight w:val="0"/>
          <w:marTop w:val="0"/>
          <w:marBottom w:val="0"/>
          <w:divBdr>
            <w:top w:val="none" w:sz="0" w:space="0" w:color="auto"/>
            <w:left w:val="none" w:sz="0" w:space="0" w:color="auto"/>
            <w:bottom w:val="none" w:sz="0" w:space="0" w:color="auto"/>
            <w:right w:val="none" w:sz="0" w:space="0" w:color="auto"/>
          </w:divBdr>
        </w:div>
        <w:div w:id="790053324">
          <w:marLeft w:val="0"/>
          <w:marRight w:val="0"/>
          <w:marTop w:val="0"/>
          <w:marBottom w:val="0"/>
          <w:divBdr>
            <w:top w:val="none" w:sz="0" w:space="0" w:color="auto"/>
            <w:left w:val="none" w:sz="0" w:space="0" w:color="auto"/>
            <w:bottom w:val="none" w:sz="0" w:space="0" w:color="auto"/>
            <w:right w:val="none" w:sz="0" w:space="0" w:color="auto"/>
          </w:divBdr>
        </w:div>
        <w:div w:id="981806469">
          <w:marLeft w:val="0"/>
          <w:marRight w:val="0"/>
          <w:marTop w:val="0"/>
          <w:marBottom w:val="0"/>
          <w:divBdr>
            <w:top w:val="none" w:sz="0" w:space="0" w:color="auto"/>
            <w:left w:val="none" w:sz="0" w:space="0" w:color="auto"/>
            <w:bottom w:val="none" w:sz="0" w:space="0" w:color="auto"/>
            <w:right w:val="none" w:sz="0" w:space="0" w:color="auto"/>
          </w:divBdr>
        </w:div>
        <w:div w:id="992610968">
          <w:marLeft w:val="0"/>
          <w:marRight w:val="0"/>
          <w:marTop w:val="0"/>
          <w:marBottom w:val="0"/>
          <w:divBdr>
            <w:top w:val="none" w:sz="0" w:space="0" w:color="auto"/>
            <w:left w:val="none" w:sz="0" w:space="0" w:color="auto"/>
            <w:bottom w:val="none" w:sz="0" w:space="0" w:color="auto"/>
            <w:right w:val="none" w:sz="0" w:space="0" w:color="auto"/>
          </w:divBdr>
        </w:div>
        <w:div w:id="1137643012">
          <w:marLeft w:val="0"/>
          <w:marRight w:val="0"/>
          <w:marTop w:val="0"/>
          <w:marBottom w:val="0"/>
          <w:divBdr>
            <w:top w:val="none" w:sz="0" w:space="0" w:color="auto"/>
            <w:left w:val="none" w:sz="0" w:space="0" w:color="auto"/>
            <w:bottom w:val="none" w:sz="0" w:space="0" w:color="auto"/>
            <w:right w:val="none" w:sz="0" w:space="0" w:color="auto"/>
          </w:divBdr>
        </w:div>
        <w:div w:id="1161460472">
          <w:marLeft w:val="0"/>
          <w:marRight w:val="0"/>
          <w:marTop w:val="0"/>
          <w:marBottom w:val="0"/>
          <w:divBdr>
            <w:top w:val="none" w:sz="0" w:space="0" w:color="auto"/>
            <w:left w:val="none" w:sz="0" w:space="0" w:color="auto"/>
            <w:bottom w:val="none" w:sz="0" w:space="0" w:color="auto"/>
            <w:right w:val="none" w:sz="0" w:space="0" w:color="auto"/>
          </w:divBdr>
        </w:div>
        <w:div w:id="1228567292">
          <w:marLeft w:val="0"/>
          <w:marRight w:val="0"/>
          <w:marTop w:val="0"/>
          <w:marBottom w:val="0"/>
          <w:divBdr>
            <w:top w:val="none" w:sz="0" w:space="0" w:color="auto"/>
            <w:left w:val="none" w:sz="0" w:space="0" w:color="auto"/>
            <w:bottom w:val="none" w:sz="0" w:space="0" w:color="auto"/>
            <w:right w:val="none" w:sz="0" w:space="0" w:color="auto"/>
          </w:divBdr>
        </w:div>
        <w:div w:id="1342390589">
          <w:marLeft w:val="0"/>
          <w:marRight w:val="0"/>
          <w:marTop w:val="0"/>
          <w:marBottom w:val="0"/>
          <w:divBdr>
            <w:top w:val="none" w:sz="0" w:space="0" w:color="auto"/>
            <w:left w:val="none" w:sz="0" w:space="0" w:color="auto"/>
            <w:bottom w:val="none" w:sz="0" w:space="0" w:color="auto"/>
            <w:right w:val="none" w:sz="0" w:space="0" w:color="auto"/>
          </w:divBdr>
        </w:div>
        <w:div w:id="1344894362">
          <w:marLeft w:val="0"/>
          <w:marRight w:val="0"/>
          <w:marTop w:val="0"/>
          <w:marBottom w:val="0"/>
          <w:divBdr>
            <w:top w:val="none" w:sz="0" w:space="0" w:color="auto"/>
            <w:left w:val="none" w:sz="0" w:space="0" w:color="auto"/>
            <w:bottom w:val="none" w:sz="0" w:space="0" w:color="auto"/>
            <w:right w:val="none" w:sz="0" w:space="0" w:color="auto"/>
          </w:divBdr>
        </w:div>
        <w:div w:id="1414473323">
          <w:marLeft w:val="0"/>
          <w:marRight w:val="0"/>
          <w:marTop w:val="0"/>
          <w:marBottom w:val="0"/>
          <w:divBdr>
            <w:top w:val="none" w:sz="0" w:space="0" w:color="auto"/>
            <w:left w:val="none" w:sz="0" w:space="0" w:color="auto"/>
            <w:bottom w:val="none" w:sz="0" w:space="0" w:color="auto"/>
            <w:right w:val="none" w:sz="0" w:space="0" w:color="auto"/>
          </w:divBdr>
        </w:div>
        <w:div w:id="1532187508">
          <w:marLeft w:val="0"/>
          <w:marRight w:val="0"/>
          <w:marTop w:val="0"/>
          <w:marBottom w:val="0"/>
          <w:divBdr>
            <w:top w:val="none" w:sz="0" w:space="0" w:color="auto"/>
            <w:left w:val="none" w:sz="0" w:space="0" w:color="auto"/>
            <w:bottom w:val="none" w:sz="0" w:space="0" w:color="auto"/>
            <w:right w:val="none" w:sz="0" w:space="0" w:color="auto"/>
          </w:divBdr>
        </w:div>
        <w:div w:id="1546872855">
          <w:marLeft w:val="0"/>
          <w:marRight w:val="0"/>
          <w:marTop w:val="0"/>
          <w:marBottom w:val="0"/>
          <w:divBdr>
            <w:top w:val="none" w:sz="0" w:space="0" w:color="auto"/>
            <w:left w:val="none" w:sz="0" w:space="0" w:color="auto"/>
            <w:bottom w:val="none" w:sz="0" w:space="0" w:color="auto"/>
            <w:right w:val="none" w:sz="0" w:space="0" w:color="auto"/>
          </w:divBdr>
        </w:div>
        <w:div w:id="1556044131">
          <w:marLeft w:val="0"/>
          <w:marRight w:val="0"/>
          <w:marTop w:val="0"/>
          <w:marBottom w:val="0"/>
          <w:divBdr>
            <w:top w:val="none" w:sz="0" w:space="0" w:color="auto"/>
            <w:left w:val="none" w:sz="0" w:space="0" w:color="auto"/>
            <w:bottom w:val="none" w:sz="0" w:space="0" w:color="auto"/>
            <w:right w:val="none" w:sz="0" w:space="0" w:color="auto"/>
          </w:divBdr>
        </w:div>
        <w:div w:id="1697928951">
          <w:marLeft w:val="0"/>
          <w:marRight w:val="0"/>
          <w:marTop w:val="0"/>
          <w:marBottom w:val="0"/>
          <w:divBdr>
            <w:top w:val="none" w:sz="0" w:space="0" w:color="auto"/>
            <w:left w:val="none" w:sz="0" w:space="0" w:color="auto"/>
            <w:bottom w:val="none" w:sz="0" w:space="0" w:color="auto"/>
            <w:right w:val="none" w:sz="0" w:space="0" w:color="auto"/>
          </w:divBdr>
        </w:div>
        <w:div w:id="1740521064">
          <w:marLeft w:val="0"/>
          <w:marRight w:val="0"/>
          <w:marTop w:val="0"/>
          <w:marBottom w:val="0"/>
          <w:divBdr>
            <w:top w:val="none" w:sz="0" w:space="0" w:color="auto"/>
            <w:left w:val="none" w:sz="0" w:space="0" w:color="auto"/>
            <w:bottom w:val="none" w:sz="0" w:space="0" w:color="auto"/>
            <w:right w:val="none" w:sz="0" w:space="0" w:color="auto"/>
          </w:divBdr>
        </w:div>
        <w:div w:id="1764110757">
          <w:marLeft w:val="0"/>
          <w:marRight w:val="0"/>
          <w:marTop w:val="0"/>
          <w:marBottom w:val="0"/>
          <w:divBdr>
            <w:top w:val="none" w:sz="0" w:space="0" w:color="auto"/>
            <w:left w:val="none" w:sz="0" w:space="0" w:color="auto"/>
            <w:bottom w:val="none" w:sz="0" w:space="0" w:color="auto"/>
            <w:right w:val="none" w:sz="0" w:space="0" w:color="auto"/>
          </w:divBdr>
        </w:div>
        <w:div w:id="1820262779">
          <w:marLeft w:val="0"/>
          <w:marRight w:val="0"/>
          <w:marTop w:val="0"/>
          <w:marBottom w:val="0"/>
          <w:divBdr>
            <w:top w:val="none" w:sz="0" w:space="0" w:color="auto"/>
            <w:left w:val="none" w:sz="0" w:space="0" w:color="auto"/>
            <w:bottom w:val="none" w:sz="0" w:space="0" w:color="auto"/>
            <w:right w:val="none" w:sz="0" w:space="0" w:color="auto"/>
          </w:divBdr>
        </w:div>
        <w:div w:id="1918246080">
          <w:marLeft w:val="0"/>
          <w:marRight w:val="0"/>
          <w:marTop w:val="0"/>
          <w:marBottom w:val="0"/>
          <w:divBdr>
            <w:top w:val="none" w:sz="0" w:space="0" w:color="auto"/>
            <w:left w:val="none" w:sz="0" w:space="0" w:color="auto"/>
            <w:bottom w:val="none" w:sz="0" w:space="0" w:color="auto"/>
            <w:right w:val="none" w:sz="0" w:space="0" w:color="auto"/>
          </w:divBdr>
        </w:div>
        <w:div w:id="1940135229">
          <w:marLeft w:val="0"/>
          <w:marRight w:val="0"/>
          <w:marTop w:val="0"/>
          <w:marBottom w:val="0"/>
          <w:divBdr>
            <w:top w:val="none" w:sz="0" w:space="0" w:color="auto"/>
            <w:left w:val="none" w:sz="0" w:space="0" w:color="auto"/>
            <w:bottom w:val="none" w:sz="0" w:space="0" w:color="auto"/>
            <w:right w:val="none" w:sz="0" w:space="0" w:color="auto"/>
          </w:divBdr>
        </w:div>
        <w:div w:id="1945335390">
          <w:marLeft w:val="0"/>
          <w:marRight w:val="0"/>
          <w:marTop w:val="0"/>
          <w:marBottom w:val="0"/>
          <w:divBdr>
            <w:top w:val="none" w:sz="0" w:space="0" w:color="auto"/>
            <w:left w:val="none" w:sz="0" w:space="0" w:color="auto"/>
            <w:bottom w:val="none" w:sz="0" w:space="0" w:color="auto"/>
            <w:right w:val="none" w:sz="0" w:space="0" w:color="auto"/>
          </w:divBdr>
        </w:div>
      </w:divsChild>
    </w:div>
    <w:div w:id="1504785080">
      <w:bodyDiv w:val="1"/>
      <w:marLeft w:val="0"/>
      <w:marRight w:val="0"/>
      <w:marTop w:val="0"/>
      <w:marBottom w:val="0"/>
      <w:divBdr>
        <w:top w:val="none" w:sz="0" w:space="0" w:color="auto"/>
        <w:left w:val="none" w:sz="0" w:space="0" w:color="auto"/>
        <w:bottom w:val="none" w:sz="0" w:space="0" w:color="auto"/>
        <w:right w:val="none" w:sz="0" w:space="0" w:color="auto"/>
      </w:divBdr>
      <w:divsChild>
        <w:div w:id="1163937699">
          <w:marLeft w:val="0"/>
          <w:marRight w:val="0"/>
          <w:marTop w:val="0"/>
          <w:marBottom w:val="0"/>
          <w:divBdr>
            <w:top w:val="none" w:sz="0" w:space="0" w:color="auto"/>
            <w:left w:val="none" w:sz="0" w:space="0" w:color="auto"/>
            <w:bottom w:val="none" w:sz="0" w:space="0" w:color="auto"/>
            <w:right w:val="none" w:sz="0" w:space="0" w:color="auto"/>
          </w:divBdr>
          <w:divsChild>
            <w:div w:id="601228520">
              <w:marLeft w:val="0"/>
              <w:marRight w:val="0"/>
              <w:marTop w:val="0"/>
              <w:marBottom w:val="0"/>
              <w:divBdr>
                <w:top w:val="none" w:sz="0" w:space="0" w:color="auto"/>
                <w:left w:val="none" w:sz="0" w:space="0" w:color="auto"/>
                <w:bottom w:val="none" w:sz="0" w:space="0" w:color="auto"/>
                <w:right w:val="none" w:sz="0" w:space="0" w:color="auto"/>
              </w:divBdr>
              <w:divsChild>
                <w:div w:id="534775162">
                  <w:marLeft w:val="0"/>
                  <w:marRight w:val="0"/>
                  <w:marTop w:val="0"/>
                  <w:marBottom w:val="0"/>
                  <w:divBdr>
                    <w:top w:val="none" w:sz="0" w:space="0" w:color="auto"/>
                    <w:left w:val="none" w:sz="0" w:space="0" w:color="auto"/>
                    <w:bottom w:val="none" w:sz="0" w:space="0" w:color="auto"/>
                    <w:right w:val="none" w:sz="0" w:space="0" w:color="auto"/>
                  </w:divBdr>
                </w:div>
              </w:divsChild>
            </w:div>
            <w:div w:id="788743478">
              <w:marLeft w:val="0"/>
              <w:marRight w:val="0"/>
              <w:marTop w:val="0"/>
              <w:marBottom w:val="0"/>
              <w:divBdr>
                <w:top w:val="none" w:sz="0" w:space="0" w:color="auto"/>
                <w:left w:val="none" w:sz="0" w:space="0" w:color="auto"/>
                <w:bottom w:val="none" w:sz="0" w:space="0" w:color="auto"/>
                <w:right w:val="none" w:sz="0" w:space="0" w:color="auto"/>
              </w:divBdr>
              <w:divsChild>
                <w:div w:id="650060300">
                  <w:marLeft w:val="0"/>
                  <w:marRight w:val="0"/>
                  <w:marTop w:val="0"/>
                  <w:marBottom w:val="0"/>
                  <w:divBdr>
                    <w:top w:val="none" w:sz="0" w:space="0" w:color="auto"/>
                    <w:left w:val="none" w:sz="0" w:space="0" w:color="auto"/>
                    <w:bottom w:val="none" w:sz="0" w:space="0" w:color="auto"/>
                    <w:right w:val="none" w:sz="0" w:space="0" w:color="auto"/>
                  </w:divBdr>
                </w:div>
                <w:div w:id="7848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30967">
      <w:bodyDiv w:val="1"/>
      <w:marLeft w:val="0"/>
      <w:marRight w:val="0"/>
      <w:marTop w:val="0"/>
      <w:marBottom w:val="0"/>
      <w:divBdr>
        <w:top w:val="none" w:sz="0" w:space="0" w:color="auto"/>
        <w:left w:val="none" w:sz="0" w:space="0" w:color="auto"/>
        <w:bottom w:val="none" w:sz="0" w:space="0" w:color="auto"/>
        <w:right w:val="none" w:sz="0" w:space="0" w:color="auto"/>
      </w:divBdr>
    </w:div>
    <w:div w:id="1526944559">
      <w:bodyDiv w:val="1"/>
      <w:marLeft w:val="0"/>
      <w:marRight w:val="0"/>
      <w:marTop w:val="0"/>
      <w:marBottom w:val="0"/>
      <w:divBdr>
        <w:top w:val="none" w:sz="0" w:space="0" w:color="auto"/>
        <w:left w:val="none" w:sz="0" w:space="0" w:color="auto"/>
        <w:bottom w:val="none" w:sz="0" w:space="0" w:color="auto"/>
        <w:right w:val="none" w:sz="0" w:space="0" w:color="auto"/>
      </w:divBdr>
    </w:div>
    <w:div w:id="1529103986">
      <w:bodyDiv w:val="1"/>
      <w:marLeft w:val="0"/>
      <w:marRight w:val="0"/>
      <w:marTop w:val="0"/>
      <w:marBottom w:val="0"/>
      <w:divBdr>
        <w:top w:val="none" w:sz="0" w:space="0" w:color="auto"/>
        <w:left w:val="none" w:sz="0" w:space="0" w:color="auto"/>
        <w:bottom w:val="none" w:sz="0" w:space="0" w:color="auto"/>
        <w:right w:val="none" w:sz="0" w:space="0" w:color="auto"/>
      </w:divBdr>
      <w:divsChild>
        <w:div w:id="2077429652">
          <w:marLeft w:val="0"/>
          <w:marRight w:val="0"/>
          <w:marTop w:val="0"/>
          <w:marBottom w:val="0"/>
          <w:divBdr>
            <w:top w:val="none" w:sz="0" w:space="0" w:color="auto"/>
            <w:left w:val="none" w:sz="0" w:space="0" w:color="auto"/>
            <w:bottom w:val="none" w:sz="0" w:space="0" w:color="auto"/>
            <w:right w:val="none" w:sz="0" w:space="0" w:color="auto"/>
          </w:divBdr>
          <w:divsChild>
            <w:div w:id="134683535">
              <w:marLeft w:val="0"/>
              <w:marRight w:val="0"/>
              <w:marTop w:val="0"/>
              <w:marBottom w:val="0"/>
              <w:divBdr>
                <w:top w:val="none" w:sz="0" w:space="0" w:color="auto"/>
                <w:left w:val="none" w:sz="0" w:space="0" w:color="auto"/>
                <w:bottom w:val="none" w:sz="0" w:space="0" w:color="auto"/>
                <w:right w:val="none" w:sz="0" w:space="0" w:color="auto"/>
              </w:divBdr>
            </w:div>
            <w:div w:id="1620525928">
              <w:marLeft w:val="0"/>
              <w:marRight w:val="0"/>
              <w:marTop w:val="0"/>
              <w:marBottom w:val="0"/>
              <w:divBdr>
                <w:top w:val="none" w:sz="0" w:space="0" w:color="auto"/>
                <w:left w:val="none" w:sz="0" w:space="0" w:color="auto"/>
                <w:bottom w:val="none" w:sz="0" w:space="0" w:color="auto"/>
                <w:right w:val="none" w:sz="0" w:space="0" w:color="auto"/>
              </w:divBdr>
            </w:div>
          </w:divsChild>
        </w:div>
        <w:div w:id="2086148947">
          <w:marLeft w:val="0"/>
          <w:marRight w:val="0"/>
          <w:marTop w:val="0"/>
          <w:marBottom w:val="0"/>
          <w:divBdr>
            <w:top w:val="none" w:sz="0" w:space="0" w:color="auto"/>
            <w:left w:val="none" w:sz="0" w:space="0" w:color="auto"/>
            <w:bottom w:val="none" w:sz="0" w:space="0" w:color="auto"/>
            <w:right w:val="none" w:sz="0" w:space="0" w:color="auto"/>
          </w:divBdr>
          <w:divsChild>
            <w:div w:id="5260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2578">
      <w:bodyDiv w:val="1"/>
      <w:marLeft w:val="0"/>
      <w:marRight w:val="0"/>
      <w:marTop w:val="0"/>
      <w:marBottom w:val="0"/>
      <w:divBdr>
        <w:top w:val="none" w:sz="0" w:space="0" w:color="auto"/>
        <w:left w:val="none" w:sz="0" w:space="0" w:color="auto"/>
        <w:bottom w:val="none" w:sz="0" w:space="0" w:color="auto"/>
        <w:right w:val="none" w:sz="0" w:space="0" w:color="auto"/>
      </w:divBdr>
    </w:div>
    <w:div w:id="1532760240">
      <w:bodyDiv w:val="1"/>
      <w:marLeft w:val="0"/>
      <w:marRight w:val="0"/>
      <w:marTop w:val="0"/>
      <w:marBottom w:val="0"/>
      <w:divBdr>
        <w:top w:val="none" w:sz="0" w:space="0" w:color="auto"/>
        <w:left w:val="none" w:sz="0" w:space="0" w:color="auto"/>
        <w:bottom w:val="none" w:sz="0" w:space="0" w:color="auto"/>
        <w:right w:val="none" w:sz="0" w:space="0" w:color="auto"/>
      </w:divBdr>
    </w:div>
    <w:div w:id="1533227018">
      <w:bodyDiv w:val="1"/>
      <w:marLeft w:val="0"/>
      <w:marRight w:val="0"/>
      <w:marTop w:val="0"/>
      <w:marBottom w:val="0"/>
      <w:divBdr>
        <w:top w:val="none" w:sz="0" w:space="0" w:color="auto"/>
        <w:left w:val="none" w:sz="0" w:space="0" w:color="auto"/>
        <w:bottom w:val="none" w:sz="0" w:space="0" w:color="auto"/>
        <w:right w:val="none" w:sz="0" w:space="0" w:color="auto"/>
      </w:divBdr>
      <w:divsChild>
        <w:div w:id="2074230414">
          <w:marLeft w:val="0"/>
          <w:marRight w:val="0"/>
          <w:marTop w:val="0"/>
          <w:marBottom w:val="0"/>
          <w:divBdr>
            <w:top w:val="none" w:sz="0" w:space="0" w:color="auto"/>
            <w:left w:val="none" w:sz="0" w:space="0" w:color="auto"/>
            <w:bottom w:val="none" w:sz="0" w:space="0" w:color="auto"/>
            <w:right w:val="none" w:sz="0" w:space="0" w:color="auto"/>
          </w:divBdr>
          <w:divsChild>
            <w:div w:id="9497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00723">
      <w:bodyDiv w:val="1"/>
      <w:marLeft w:val="0"/>
      <w:marRight w:val="0"/>
      <w:marTop w:val="0"/>
      <w:marBottom w:val="0"/>
      <w:divBdr>
        <w:top w:val="none" w:sz="0" w:space="0" w:color="auto"/>
        <w:left w:val="none" w:sz="0" w:space="0" w:color="auto"/>
        <w:bottom w:val="none" w:sz="0" w:space="0" w:color="auto"/>
        <w:right w:val="none" w:sz="0" w:space="0" w:color="auto"/>
      </w:divBdr>
      <w:divsChild>
        <w:div w:id="8070342">
          <w:marLeft w:val="274"/>
          <w:marRight w:val="0"/>
          <w:marTop w:val="0"/>
          <w:marBottom w:val="120"/>
          <w:divBdr>
            <w:top w:val="none" w:sz="0" w:space="0" w:color="auto"/>
            <w:left w:val="none" w:sz="0" w:space="0" w:color="auto"/>
            <w:bottom w:val="none" w:sz="0" w:space="0" w:color="auto"/>
            <w:right w:val="none" w:sz="0" w:space="0" w:color="auto"/>
          </w:divBdr>
        </w:div>
        <w:div w:id="230430606">
          <w:marLeft w:val="274"/>
          <w:marRight w:val="0"/>
          <w:marTop w:val="0"/>
          <w:marBottom w:val="120"/>
          <w:divBdr>
            <w:top w:val="none" w:sz="0" w:space="0" w:color="auto"/>
            <w:left w:val="none" w:sz="0" w:space="0" w:color="auto"/>
            <w:bottom w:val="none" w:sz="0" w:space="0" w:color="auto"/>
            <w:right w:val="none" w:sz="0" w:space="0" w:color="auto"/>
          </w:divBdr>
        </w:div>
        <w:div w:id="1088309732">
          <w:marLeft w:val="274"/>
          <w:marRight w:val="0"/>
          <w:marTop w:val="0"/>
          <w:marBottom w:val="120"/>
          <w:divBdr>
            <w:top w:val="none" w:sz="0" w:space="0" w:color="auto"/>
            <w:left w:val="none" w:sz="0" w:space="0" w:color="auto"/>
            <w:bottom w:val="none" w:sz="0" w:space="0" w:color="auto"/>
            <w:right w:val="none" w:sz="0" w:space="0" w:color="auto"/>
          </w:divBdr>
        </w:div>
      </w:divsChild>
    </w:div>
    <w:div w:id="1538275492">
      <w:bodyDiv w:val="1"/>
      <w:marLeft w:val="0"/>
      <w:marRight w:val="0"/>
      <w:marTop w:val="0"/>
      <w:marBottom w:val="0"/>
      <w:divBdr>
        <w:top w:val="none" w:sz="0" w:space="0" w:color="auto"/>
        <w:left w:val="none" w:sz="0" w:space="0" w:color="auto"/>
        <w:bottom w:val="none" w:sz="0" w:space="0" w:color="auto"/>
        <w:right w:val="none" w:sz="0" w:space="0" w:color="auto"/>
      </w:divBdr>
    </w:div>
    <w:div w:id="1539273451">
      <w:bodyDiv w:val="1"/>
      <w:marLeft w:val="0"/>
      <w:marRight w:val="0"/>
      <w:marTop w:val="0"/>
      <w:marBottom w:val="0"/>
      <w:divBdr>
        <w:top w:val="none" w:sz="0" w:space="0" w:color="auto"/>
        <w:left w:val="none" w:sz="0" w:space="0" w:color="auto"/>
        <w:bottom w:val="none" w:sz="0" w:space="0" w:color="auto"/>
        <w:right w:val="none" w:sz="0" w:space="0" w:color="auto"/>
      </w:divBdr>
      <w:divsChild>
        <w:div w:id="14890594">
          <w:marLeft w:val="0"/>
          <w:marRight w:val="0"/>
          <w:marTop w:val="0"/>
          <w:marBottom w:val="0"/>
          <w:divBdr>
            <w:top w:val="none" w:sz="0" w:space="0" w:color="auto"/>
            <w:left w:val="none" w:sz="0" w:space="0" w:color="auto"/>
            <w:bottom w:val="none" w:sz="0" w:space="0" w:color="auto"/>
            <w:right w:val="none" w:sz="0" w:space="0" w:color="auto"/>
          </w:divBdr>
        </w:div>
        <w:div w:id="208957259">
          <w:marLeft w:val="0"/>
          <w:marRight w:val="0"/>
          <w:marTop w:val="0"/>
          <w:marBottom w:val="0"/>
          <w:divBdr>
            <w:top w:val="none" w:sz="0" w:space="0" w:color="auto"/>
            <w:left w:val="none" w:sz="0" w:space="0" w:color="auto"/>
            <w:bottom w:val="none" w:sz="0" w:space="0" w:color="auto"/>
            <w:right w:val="none" w:sz="0" w:space="0" w:color="auto"/>
          </w:divBdr>
        </w:div>
        <w:div w:id="213740433">
          <w:marLeft w:val="0"/>
          <w:marRight w:val="0"/>
          <w:marTop w:val="0"/>
          <w:marBottom w:val="0"/>
          <w:divBdr>
            <w:top w:val="none" w:sz="0" w:space="0" w:color="auto"/>
            <w:left w:val="none" w:sz="0" w:space="0" w:color="auto"/>
            <w:bottom w:val="none" w:sz="0" w:space="0" w:color="auto"/>
            <w:right w:val="none" w:sz="0" w:space="0" w:color="auto"/>
          </w:divBdr>
        </w:div>
        <w:div w:id="243222015">
          <w:marLeft w:val="0"/>
          <w:marRight w:val="0"/>
          <w:marTop w:val="0"/>
          <w:marBottom w:val="0"/>
          <w:divBdr>
            <w:top w:val="none" w:sz="0" w:space="0" w:color="auto"/>
            <w:left w:val="none" w:sz="0" w:space="0" w:color="auto"/>
            <w:bottom w:val="none" w:sz="0" w:space="0" w:color="auto"/>
            <w:right w:val="none" w:sz="0" w:space="0" w:color="auto"/>
          </w:divBdr>
        </w:div>
        <w:div w:id="285741574">
          <w:marLeft w:val="0"/>
          <w:marRight w:val="0"/>
          <w:marTop w:val="0"/>
          <w:marBottom w:val="0"/>
          <w:divBdr>
            <w:top w:val="none" w:sz="0" w:space="0" w:color="auto"/>
            <w:left w:val="none" w:sz="0" w:space="0" w:color="auto"/>
            <w:bottom w:val="none" w:sz="0" w:space="0" w:color="auto"/>
            <w:right w:val="none" w:sz="0" w:space="0" w:color="auto"/>
          </w:divBdr>
        </w:div>
        <w:div w:id="289745666">
          <w:marLeft w:val="0"/>
          <w:marRight w:val="0"/>
          <w:marTop w:val="0"/>
          <w:marBottom w:val="0"/>
          <w:divBdr>
            <w:top w:val="none" w:sz="0" w:space="0" w:color="auto"/>
            <w:left w:val="none" w:sz="0" w:space="0" w:color="auto"/>
            <w:bottom w:val="none" w:sz="0" w:space="0" w:color="auto"/>
            <w:right w:val="none" w:sz="0" w:space="0" w:color="auto"/>
          </w:divBdr>
        </w:div>
        <w:div w:id="323823127">
          <w:marLeft w:val="0"/>
          <w:marRight w:val="0"/>
          <w:marTop w:val="0"/>
          <w:marBottom w:val="0"/>
          <w:divBdr>
            <w:top w:val="none" w:sz="0" w:space="0" w:color="auto"/>
            <w:left w:val="none" w:sz="0" w:space="0" w:color="auto"/>
            <w:bottom w:val="none" w:sz="0" w:space="0" w:color="auto"/>
            <w:right w:val="none" w:sz="0" w:space="0" w:color="auto"/>
          </w:divBdr>
        </w:div>
        <w:div w:id="398291592">
          <w:marLeft w:val="0"/>
          <w:marRight w:val="0"/>
          <w:marTop w:val="0"/>
          <w:marBottom w:val="0"/>
          <w:divBdr>
            <w:top w:val="none" w:sz="0" w:space="0" w:color="auto"/>
            <w:left w:val="none" w:sz="0" w:space="0" w:color="auto"/>
            <w:bottom w:val="none" w:sz="0" w:space="0" w:color="auto"/>
            <w:right w:val="none" w:sz="0" w:space="0" w:color="auto"/>
          </w:divBdr>
        </w:div>
        <w:div w:id="643972287">
          <w:marLeft w:val="0"/>
          <w:marRight w:val="0"/>
          <w:marTop w:val="0"/>
          <w:marBottom w:val="0"/>
          <w:divBdr>
            <w:top w:val="none" w:sz="0" w:space="0" w:color="auto"/>
            <w:left w:val="none" w:sz="0" w:space="0" w:color="auto"/>
            <w:bottom w:val="none" w:sz="0" w:space="0" w:color="auto"/>
            <w:right w:val="none" w:sz="0" w:space="0" w:color="auto"/>
          </w:divBdr>
        </w:div>
        <w:div w:id="687220831">
          <w:marLeft w:val="0"/>
          <w:marRight w:val="0"/>
          <w:marTop w:val="0"/>
          <w:marBottom w:val="0"/>
          <w:divBdr>
            <w:top w:val="none" w:sz="0" w:space="0" w:color="auto"/>
            <w:left w:val="none" w:sz="0" w:space="0" w:color="auto"/>
            <w:bottom w:val="none" w:sz="0" w:space="0" w:color="auto"/>
            <w:right w:val="none" w:sz="0" w:space="0" w:color="auto"/>
          </w:divBdr>
        </w:div>
        <w:div w:id="691029487">
          <w:marLeft w:val="0"/>
          <w:marRight w:val="0"/>
          <w:marTop w:val="0"/>
          <w:marBottom w:val="0"/>
          <w:divBdr>
            <w:top w:val="none" w:sz="0" w:space="0" w:color="auto"/>
            <w:left w:val="none" w:sz="0" w:space="0" w:color="auto"/>
            <w:bottom w:val="none" w:sz="0" w:space="0" w:color="auto"/>
            <w:right w:val="none" w:sz="0" w:space="0" w:color="auto"/>
          </w:divBdr>
        </w:div>
        <w:div w:id="715281560">
          <w:marLeft w:val="0"/>
          <w:marRight w:val="0"/>
          <w:marTop w:val="0"/>
          <w:marBottom w:val="0"/>
          <w:divBdr>
            <w:top w:val="none" w:sz="0" w:space="0" w:color="auto"/>
            <w:left w:val="none" w:sz="0" w:space="0" w:color="auto"/>
            <w:bottom w:val="none" w:sz="0" w:space="0" w:color="auto"/>
            <w:right w:val="none" w:sz="0" w:space="0" w:color="auto"/>
          </w:divBdr>
        </w:div>
        <w:div w:id="742338258">
          <w:marLeft w:val="0"/>
          <w:marRight w:val="0"/>
          <w:marTop w:val="0"/>
          <w:marBottom w:val="0"/>
          <w:divBdr>
            <w:top w:val="none" w:sz="0" w:space="0" w:color="auto"/>
            <w:left w:val="none" w:sz="0" w:space="0" w:color="auto"/>
            <w:bottom w:val="none" w:sz="0" w:space="0" w:color="auto"/>
            <w:right w:val="none" w:sz="0" w:space="0" w:color="auto"/>
          </w:divBdr>
        </w:div>
        <w:div w:id="778600337">
          <w:marLeft w:val="0"/>
          <w:marRight w:val="0"/>
          <w:marTop w:val="0"/>
          <w:marBottom w:val="0"/>
          <w:divBdr>
            <w:top w:val="none" w:sz="0" w:space="0" w:color="auto"/>
            <w:left w:val="none" w:sz="0" w:space="0" w:color="auto"/>
            <w:bottom w:val="none" w:sz="0" w:space="0" w:color="auto"/>
            <w:right w:val="none" w:sz="0" w:space="0" w:color="auto"/>
          </w:divBdr>
        </w:div>
        <w:div w:id="796071017">
          <w:marLeft w:val="0"/>
          <w:marRight w:val="0"/>
          <w:marTop w:val="0"/>
          <w:marBottom w:val="0"/>
          <w:divBdr>
            <w:top w:val="none" w:sz="0" w:space="0" w:color="auto"/>
            <w:left w:val="none" w:sz="0" w:space="0" w:color="auto"/>
            <w:bottom w:val="none" w:sz="0" w:space="0" w:color="auto"/>
            <w:right w:val="none" w:sz="0" w:space="0" w:color="auto"/>
          </w:divBdr>
        </w:div>
        <w:div w:id="846941711">
          <w:marLeft w:val="0"/>
          <w:marRight w:val="0"/>
          <w:marTop w:val="0"/>
          <w:marBottom w:val="0"/>
          <w:divBdr>
            <w:top w:val="none" w:sz="0" w:space="0" w:color="auto"/>
            <w:left w:val="none" w:sz="0" w:space="0" w:color="auto"/>
            <w:bottom w:val="none" w:sz="0" w:space="0" w:color="auto"/>
            <w:right w:val="none" w:sz="0" w:space="0" w:color="auto"/>
          </w:divBdr>
        </w:div>
        <w:div w:id="938833767">
          <w:marLeft w:val="0"/>
          <w:marRight w:val="0"/>
          <w:marTop w:val="0"/>
          <w:marBottom w:val="0"/>
          <w:divBdr>
            <w:top w:val="none" w:sz="0" w:space="0" w:color="auto"/>
            <w:left w:val="none" w:sz="0" w:space="0" w:color="auto"/>
            <w:bottom w:val="none" w:sz="0" w:space="0" w:color="auto"/>
            <w:right w:val="none" w:sz="0" w:space="0" w:color="auto"/>
          </w:divBdr>
        </w:div>
        <w:div w:id="969673240">
          <w:marLeft w:val="0"/>
          <w:marRight w:val="0"/>
          <w:marTop w:val="0"/>
          <w:marBottom w:val="0"/>
          <w:divBdr>
            <w:top w:val="none" w:sz="0" w:space="0" w:color="auto"/>
            <w:left w:val="none" w:sz="0" w:space="0" w:color="auto"/>
            <w:bottom w:val="none" w:sz="0" w:space="0" w:color="auto"/>
            <w:right w:val="none" w:sz="0" w:space="0" w:color="auto"/>
          </w:divBdr>
        </w:div>
        <w:div w:id="992220012">
          <w:marLeft w:val="0"/>
          <w:marRight w:val="0"/>
          <w:marTop w:val="0"/>
          <w:marBottom w:val="0"/>
          <w:divBdr>
            <w:top w:val="none" w:sz="0" w:space="0" w:color="auto"/>
            <w:left w:val="none" w:sz="0" w:space="0" w:color="auto"/>
            <w:bottom w:val="none" w:sz="0" w:space="0" w:color="auto"/>
            <w:right w:val="none" w:sz="0" w:space="0" w:color="auto"/>
          </w:divBdr>
        </w:div>
        <w:div w:id="1005789281">
          <w:marLeft w:val="0"/>
          <w:marRight w:val="0"/>
          <w:marTop w:val="0"/>
          <w:marBottom w:val="0"/>
          <w:divBdr>
            <w:top w:val="none" w:sz="0" w:space="0" w:color="auto"/>
            <w:left w:val="none" w:sz="0" w:space="0" w:color="auto"/>
            <w:bottom w:val="none" w:sz="0" w:space="0" w:color="auto"/>
            <w:right w:val="none" w:sz="0" w:space="0" w:color="auto"/>
          </w:divBdr>
        </w:div>
        <w:div w:id="1024556660">
          <w:marLeft w:val="0"/>
          <w:marRight w:val="0"/>
          <w:marTop w:val="0"/>
          <w:marBottom w:val="0"/>
          <w:divBdr>
            <w:top w:val="none" w:sz="0" w:space="0" w:color="auto"/>
            <w:left w:val="none" w:sz="0" w:space="0" w:color="auto"/>
            <w:bottom w:val="none" w:sz="0" w:space="0" w:color="auto"/>
            <w:right w:val="none" w:sz="0" w:space="0" w:color="auto"/>
          </w:divBdr>
        </w:div>
        <w:div w:id="1035353378">
          <w:marLeft w:val="0"/>
          <w:marRight w:val="0"/>
          <w:marTop w:val="0"/>
          <w:marBottom w:val="0"/>
          <w:divBdr>
            <w:top w:val="none" w:sz="0" w:space="0" w:color="auto"/>
            <w:left w:val="none" w:sz="0" w:space="0" w:color="auto"/>
            <w:bottom w:val="none" w:sz="0" w:space="0" w:color="auto"/>
            <w:right w:val="none" w:sz="0" w:space="0" w:color="auto"/>
          </w:divBdr>
        </w:div>
        <w:div w:id="1046837495">
          <w:marLeft w:val="0"/>
          <w:marRight w:val="0"/>
          <w:marTop w:val="0"/>
          <w:marBottom w:val="0"/>
          <w:divBdr>
            <w:top w:val="none" w:sz="0" w:space="0" w:color="auto"/>
            <w:left w:val="none" w:sz="0" w:space="0" w:color="auto"/>
            <w:bottom w:val="none" w:sz="0" w:space="0" w:color="auto"/>
            <w:right w:val="none" w:sz="0" w:space="0" w:color="auto"/>
          </w:divBdr>
        </w:div>
        <w:div w:id="1118914813">
          <w:marLeft w:val="0"/>
          <w:marRight w:val="0"/>
          <w:marTop w:val="0"/>
          <w:marBottom w:val="0"/>
          <w:divBdr>
            <w:top w:val="none" w:sz="0" w:space="0" w:color="auto"/>
            <w:left w:val="none" w:sz="0" w:space="0" w:color="auto"/>
            <w:bottom w:val="none" w:sz="0" w:space="0" w:color="auto"/>
            <w:right w:val="none" w:sz="0" w:space="0" w:color="auto"/>
          </w:divBdr>
        </w:div>
        <w:div w:id="1130593915">
          <w:marLeft w:val="0"/>
          <w:marRight w:val="0"/>
          <w:marTop w:val="0"/>
          <w:marBottom w:val="0"/>
          <w:divBdr>
            <w:top w:val="none" w:sz="0" w:space="0" w:color="auto"/>
            <w:left w:val="none" w:sz="0" w:space="0" w:color="auto"/>
            <w:bottom w:val="none" w:sz="0" w:space="0" w:color="auto"/>
            <w:right w:val="none" w:sz="0" w:space="0" w:color="auto"/>
          </w:divBdr>
        </w:div>
        <w:div w:id="1164009951">
          <w:marLeft w:val="0"/>
          <w:marRight w:val="0"/>
          <w:marTop w:val="0"/>
          <w:marBottom w:val="0"/>
          <w:divBdr>
            <w:top w:val="none" w:sz="0" w:space="0" w:color="auto"/>
            <w:left w:val="none" w:sz="0" w:space="0" w:color="auto"/>
            <w:bottom w:val="none" w:sz="0" w:space="0" w:color="auto"/>
            <w:right w:val="none" w:sz="0" w:space="0" w:color="auto"/>
          </w:divBdr>
        </w:div>
        <w:div w:id="1248416046">
          <w:marLeft w:val="0"/>
          <w:marRight w:val="0"/>
          <w:marTop w:val="0"/>
          <w:marBottom w:val="0"/>
          <w:divBdr>
            <w:top w:val="none" w:sz="0" w:space="0" w:color="auto"/>
            <w:left w:val="none" w:sz="0" w:space="0" w:color="auto"/>
            <w:bottom w:val="none" w:sz="0" w:space="0" w:color="auto"/>
            <w:right w:val="none" w:sz="0" w:space="0" w:color="auto"/>
          </w:divBdr>
        </w:div>
        <w:div w:id="1269658395">
          <w:marLeft w:val="0"/>
          <w:marRight w:val="0"/>
          <w:marTop w:val="0"/>
          <w:marBottom w:val="0"/>
          <w:divBdr>
            <w:top w:val="none" w:sz="0" w:space="0" w:color="auto"/>
            <w:left w:val="none" w:sz="0" w:space="0" w:color="auto"/>
            <w:bottom w:val="none" w:sz="0" w:space="0" w:color="auto"/>
            <w:right w:val="none" w:sz="0" w:space="0" w:color="auto"/>
          </w:divBdr>
        </w:div>
        <w:div w:id="1368948304">
          <w:marLeft w:val="0"/>
          <w:marRight w:val="0"/>
          <w:marTop w:val="0"/>
          <w:marBottom w:val="0"/>
          <w:divBdr>
            <w:top w:val="none" w:sz="0" w:space="0" w:color="auto"/>
            <w:left w:val="none" w:sz="0" w:space="0" w:color="auto"/>
            <w:bottom w:val="none" w:sz="0" w:space="0" w:color="auto"/>
            <w:right w:val="none" w:sz="0" w:space="0" w:color="auto"/>
          </w:divBdr>
        </w:div>
        <w:div w:id="1510828435">
          <w:marLeft w:val="0"/>
          <w:marRight w:val="0"/>
          <w:marTop w:val="0"/>
          <w:marBottom w:val="0"/>
          <w:divBdr>
            <w:top w:val="none" w:sz="0" w:space="0" w:color="auto"/>
            <w:left w:val="none" w:sz="0" w:space="0" w:color="auto"/>
            <w:bottom w:val="none" w:sz="0" w:space="0" w:color="auto"/>
            <w:right w:val="none" w:sz="0" w:space="0" w:color="auto"/>
          </w:divBdr>
        </w:div>
        <w:div w:id="1546791652">
          <w:marLeft w:val="0"/>
          <w:marRight w:val="0"/>
          <w:marTop w:val="0"/>
          <w:marBottom w:val="0"/>
          <w:divBdr>
            <w:top w:val="none" w:sz="0" w:space="0" w:color="auto"/>
            <w:left w:val="none" w:sz="0" w:space="0" w:color="auto"/>
            <w:bottom w:val="none" w:sz="0" w:space="0" w:color="auto"/>
            <w:right w:val="none" w:sz="0" w:space="0" w:color="auto"/>
          </w:divBdr>
        </w:div>
        <w:div w:id="1582563472">
          <w:marLeft w:val="0"/>
          <w:marRight w:val="0"/>
          <w:marTop w:val="0"/>
          <w:marBottom w:val="0"/>
          <w:divBdr>
            <w:top w:val="none" w:sz="0" w:space="0" w:color="auto"/>
            <w:left w:val="none" w:sz="0" w:space="0" w:color="auto"/>
            <w:bottom w:val="none" w:sz="0" w:space="0" w:color="auto"/>
            <w:right w:val="none" w:sz="0" w:space="0" w:color="auto"/>
          </w:divBdr>
        </w:div>
        <w:div w:id="1630278637">
          <w:marLeft w:val="0"/>
          <w:marRight w:val="0"/>
          <w:marTop w:val="0"/>
          <w:marBottom w:val="0"/>
          <w:divBdr>
            <w:top w:val="none" w:sz="0" w:space="0" w:color="auto"/>
            <w:left w:val="none" w:sz="0" w:space="0" w:color="auto"/>
            <w:bottom w:val="none" w:sz="0" w:space="0" w:color="auto"/>
            <w:right w:val="none" w:sz="0" w:space="0" w:color="auto"/>
          </w:divBdr>
        </w:div>
        <w:div w:id="1646012774">
          <w:marLeft w:val="0"/>
          <w:marRight w:val="0"/>
          <w:marTop w:val="0"/>
          <w:marBottom w:val="0"/>
          <w:divBdr>
            <w:top w:val="none" w:sz="0" w:space="0" w:color="auto"/>
            <w:left w:val="none" w:sz="0" w:space="0" w:color="auto"/>
            <w:bottom w:val="none" w:sz="0" w:space="0" w:color="auto"/>
            <w:right w:val="none" w:sz="0" w:space="0" w:color="auto"/>
          </w:divBdr>
        </w:div>
        <w:div w:id="1661928525">
          <w:marLeft w:val="0"/>
          <w:marRight w:val="0"/>
          <w:marTop w:val="0"/>
          <w:marBottom w:val="0"/>
          <w:divBdr>
            <w:top w:val="none" w:sz="0" w:space="0" w:color="auto"/>
            <w:left w:val="none" w:sz="0" w:space="0" w:color="auto"/>
            <w:bottom w:val="none" w:sz="0" w:space="0" w:color="auto"/>
            <w:right w:val="none" w:sz="0" w:space="0" w:color="auto"/>
          </w:divBdr>
        </w:div>
        <w:div w:id="1688216750">
          <w:marLeft w:val="0"/>
          <w:marRight w:val="0"/>
          <w:marTop w:val="0"/>
          <w:marBottom w:val="0"/>
          <w:divBdr>
            <w:top w:val="none" w:sz="0" w:space="0" w:color="auto"/>
            <w:left w:val="none" w:sz="0" w:space="0" w:color="auto"/>
            <w:bottom w:val="none" w:sz="0" w:space="0" w:color="auto"/>
            <w:right w:val="none" w:sz="0" w:space="0" w:color="auto"/>
          </w:divBdr>
        </w:div>
        <w:div w:id="1696954949">
          <w:marLeft w:val="0"/>
          <w:marRight w:val="0"/>
          <w:marTop w:val="0"/>
          <w:marBottom w:val="0"/>
          <w:divBdr>
            <w:top w:val="none" w:sz="0" w:space="0" w:color="auto"/>
            <w:left w:val="none" w:sz="0" w:space="0" w:color="auto"/>
            <w:bottom w:val="none" w:sz="0" w:space="0" w:color="auto"/>
            <w:right w:val="none" w:sz="0" w:space="0" w:color="auto"/>
          </w:divBdr>
        </w:div>
        <w:div w:id="1717773388">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1789085052">
          <w:marLeft w:val="0"/>
          <w:marRight w:val="0"/>
          <w:marTop w:val="0"/>
          <w:marBottom w:val="0"/>
          <w:divBdr>
            <w:top w:val="none" w:sz="0" w:space="0" w:color="auto"/>
            <w:left w:val="none" w:sz="0" w:space="0" w:color="auto"/>
            <w:bottom w:val="none" w:sz="0" w:space="0" w:color="auto"/>
            <w:right w:val="none" w:sz="0" w:space="0" w:color="auto"/>
          </w:divBdr>
        </w:div>
        <w:div w:id="1843399358">
          <w:marLeft w:val="0"/>
          <w:marRight w:val="0"/>
          <w:marTop w:val="0"/>
          <w:marBottom w:val="0"/>
          <w:divBdr>
            <w:top w:val="none" w:sz="0" w:space="0" w:color="auto"/>
            <w:left w:val="none" w:sz="0" w:space="0" w:color="auto"/>
            <w:bottom w:val="none" w:sz="0" w:space="0" w:color="auto"/>
            <w:right w:val="none" w:sz="0" w:space="0" w:color="auto"/>
          </w:divBdr>
        </w:div>
        <w:div w:id="1854032326">
          <w:marLeft w:val="0"/>
          <w:marRight w:val="0"/>
          <w:marTop w:val="0"/>
          <w:marBottom w:val="0"/>
          <w:divBdr>
            <w:top w:val="none" w:sz="0" w:space="0" w:color="auto"/>
            <w:left w:val="none" w:sz="0" w:space="0" w:color="auto"/>
            <w:bottom w:val="none" w:sz="0" w:space="0" w:color="auto"/>
            <w:right w:val="none" w:sz="0" w:space="0" w:color="auto"/>
          </w:divBdr>
        </w:div>
        <w:div w:id="1897006895">
          <w:marLeft w:val="0"/>
          <w:marRight w:val="0"/>
          <w:marTop w:val="0"/>
          <w:marBottom w:val="0"/>
          <w:divBdr>
            <w:top w:val="none" w:sz="0" w:space="0" w:color="auto"/>
            <w:left w:val="none" w:sz="0" w:space="0" w:color="auto"/>
            <w:bottom w:val="none" w:sz="0" w:space="0" w:color="auto"/>
            <w:right w:val="none" w:sz="0" w:space="0" w:color="auto"/>
          </w:divBdr>
        </w:div>
        <w:div w:id="2001034303">
          <w:marLeft w:val="0"/>
          <w:marRight w:val="0"/>
          <w:marTop w:val="0"/>
          <w:marBottom w:val="0"/>
          <w:divBdr>
            <w:top w:val="none" w:sz="0" w:space="0" w:color="auto"/>
            <w:left w:val="none" w:sz="0" w:space="0" w:color="auto"/>
            <w:bottom w:val="none" w:sz="0" w:space="0" w:color="auto"/>
            <w:right w:val="none" w:sz="0" w:space="0" w:color="auto"/>
          </w:divBdr>
        </w:div>
        <w:div w:id="2023623847">
          <w:marLeft w:val="0"/>
          <w:marRight w:val="0"/>
          <w:marTop w:val="0"/>
          <w:marBottom w:val="0"/>
          <w:divBdr>
            <w:top w:val="none" w:sz="0" w:space="0" w:color="auto"/>
            <w:left w:val="none" w:sz="0" w:space="0" w:color="auto"/>
            <w:bottom w:val="none" w:sz="0" w:space="0" w:color="auto"/>
            <w:right w:val="none" w:sz="0" w:space="0" w:color="auto"/>
          </w:divBdr>
        </w:div>
        <w:div w:id="2061056165">
          <w:marLeft w:val="0"/>
          <w:marRight w:val="0"/>
          <w:marTop w:val="0"/>
          <w:marBottom w:val="0"/>
          <w:divBdr>
            <w:top w:val="none" w:sz="0" w:space="0" w:color="auto"/>
            <w:left w:val="none" w:sz="0" w:space="0" w:color="auto"/>
            <w:bottom w:val="none" w:sz="0" w:space="0" w:color="auto"/>
            <w:right w:val="none" w:sz="0" w:space="0" w:color="auto"/>
          </w:divBdr>
        </w:div>
        <w:div w:id="2081629493">
          <w:marLeft w:val="0"/>
          <w:marRight w:val="0"/>
          <w:marTop w:val="0"/>
          <w:marBottom w:val="0"/>
          <w:divBdr>
            <w:top w:val="none" w:sz="0" w:space="0" w:color="auto"/>
            <w:left w:val="none" w:sz="0" w:space="0" w:color="auto"/>
            <w:bottom w:val="none" w:sz="0" w:space="0" w:color="auto"/>
            <w:right w:val="none" w:sz="0" w:space="0" w:color="auto"/>
          </w:divBdr>
        </w:div>
        <w:div w:id="2092190125">
          <w:marLeft w:val="0"/>
          <w:marRight w:val="0"/>
          <w:marTop w:val="0"/>
          <w:marBottom w:val="0"/>
          <w:divBdr>
            <w:top w:val="none" w:sz="0" w:space="0" w:color="auto"/>
            <w:left w:val="none" w:sz="0" w:space="0" w:color="auto"/>
            <w:bottom w:val="none" w:sz="0" w:space="0" w:color="auto"/>
            <w:right w:val="none" w:sz="0" w:space="0" w:color="auto"/>
          </w:divBdr>
        </w:div>
        <w:div w:id="2110152321">
          <w:marLeft w:val="0"/>
          <w:marRight w:val="0"/>
          <w:marTop w:val="0"/>
          <w:marBottom w:val="0"/>
          <w:divBdr>
            <w:top w:val="none" w:sz="0" w:space="0" w:color="auto"/>
            <w:left w:val="none" w:sz="0" w:space="0" w:color="auto"/>
            <w:bottom w:val="none" w:sz="0" w:space="0" w:color="auto"/>
            <w:right w:val="none" w:sz="0" w:space="0" w:color="auto"/>
          </w:divBdr>
        </w:div>
        <w:div w:id="2126726214">
          <w:marLeft w:val="0"/>
          <w:marRight w:val="0"/>
          <w:marTop w:val="0"/>
          <w:marBottom w:val="0"/>
          <w:divBdr>
            <w:top w:val="none" w:sz="0" w:space="0" w:color="auto"/>
            <w:left w:val="none" w:sz="0" w:space="0" w:color="auto"/>
            <w:bottom w:val="none" w:sz="0" w:space="0" w:color="auto"/>
            <w:right w:val="none" w:sz="0" w:space="0" w:color="auto"/>
          </w:divBdr>
        </w:div>
        <w:div w:id="2140954563">
          <w:marLeft w:val="0"/>
          <w:marRight w:val="0"/>
          <w:marTop w:val="0"/>
          <w:marBottom w:val="0"/>
          <w:divBdr>
            <w:top w:val="none" w:sz="0" w:space="0" w:color="auto"/>
            <w:left w:val="none" w:sz="0" w:space="0" w:color="auto"/>
            <w:bottom w:val="none" w:sz="0" w:space="0" w:color="auto"/>
            <w:right w:val="none" w:sz="0" w:space="0" w:color="auto"/>
          </w:divBdr>
        </w:div>
      </w:divsChild>
    </w:div>
    <w:div w:id="1544099590">
      <w:bodyDiv w:val="1"/>
      <w:marLeft w:val="0"/>
      <w:marRight w:val="0"/>
      <w:marTop w:val="0"/>
      <w:marBottom w:val="0"/>
      <w:divBdr>
        <w:top w:val="none" w:sz="0" w:space="0" w:color="auto"/>
        <w:left w:val="none" w:sz="0" w:space="0" w:color="auto"/>
        <w:bottom w:val="none" w:sz="0" w:space="0" w:color="auto"/>
        <w:right w:val="none" w:sz="0" w:space="0" w:color="auto"/>
      </w:divBdr>
    </w:div>
    <w:div w:id="1546746706">
      <w:bodyDiv w:val="1"/>
      <w:marLeft w:val="0"/>
      <w:marRight w:val="0"/>
      <w:marTop w:val="0"/>
      <w:marBottom w:val="0"/>
      <w:divBdr>
        <w:top w:val="none" w:sz="0" w:space="0" w:color="auto"/>
        <w:left w:val="none" w:sz="0" w:space="0" w:color="auto"/>
        <w:bottom w:val="none" w:sz="0" w:space="0" w:color="auto"/>
        <w:right w:val="none" w:sz="0" w:space="0" w:color="auto"/>
      </w:divBdr>
      <w:divsChild>
        <w:div w:id="297032023">
          <w:marLeft w:val="274"/>
          <w:marRight w:val="0"/>
          <w:marTop w:val="0"/>
          <w:marBottom w:val="0"/>
          <w:divBdr>
            <w:top w:val="none" w:sz="0" w:space="0" w:color="auto"/>
            <w:left w:val="none" w:sz="0" w:space="0" w:color="auto"/>
            <w:bottom w:val="none" w:sz="0" w:space="0" w:color="auto"/>
            <w:right w:val="none" w:sz="0" w:space="0" w:color="auto"/>
          </w:divBdr>
        </w:div>
        <w:div w:id="329984920">
          <w:marLeft w:val="274"/>
          <w:marRight w:val="0"/>
          <w:marTop w:val="0"/>
          <w:marBottom w:val="0"/>
          <w:divBdr>
            <w:top w:val="none" w:sz="0" w:space="0" w:color="auto"/>
            <w:left w:val="none" w:sz="0" w:space="0" w:color="auto"/>
            <w:bottom w:val="none" w:sz="0" w:space="0" w:color="auto"/>
            <w:right w:val="none" w:sz="0" w:space="0" w:color="auto"/>
          </w:divBdr>
        </w:div>
        <w:div w:id="576327576">
          <w:marLeft w:val="274"/>
          <w:marRight w:val="0"/>
          <w:marTop w:val="0"/>
          <w:marBottom w:val="0"/>
          <w:divBdr>
            <w:top w:val="none" w:sz="0" w:space="0" w:color="auto"/>
            <w:left w:val="none" w:sz="0" w:space="0" w:color="auto"/>
            <w:bottom w:val="none" w:sz="0" w:space="0" w:color="auto"/>
            <w:right w:val="none" w:sz="0" w:space="0" w:color="auto"/>
          </w:divBdr>
        </w:div>
        <w:div w:id="700323274">
          <w:marLeft w:val="274"/>
          <w:marRight w:val="0"/>
          <w:marTop w:val="0"/>
          <w:marBottom w:val="0"/>
          <w:divBdr>
            <w:top w:val="none" w:sz="0" w:space="0" w:color="auto"/>
            <w:left w:val="none" w:sz="0" w:space="0" w:color="auto"/>
            <w:bottom w:val="none" w:sz="0" w:space="0" w:color="auto"/>
            <w:right w:val="none" w:sz="0" w:space="0" w:color="auto"/>
          </w:divBdr>
        </w:div>
        <w:div w:id="898370357">
          <w:marLeft w:val="274"/>
          <w:marRight w:val="0"/>
          <w:marTop w:val="0"/>
          <w:marBottom w:val="0"/>
          <w:divBdr>
            <w:top w:val="none" w:sz="0" w:space="0" w:color="auto"/>
            <w:left w:val="none" w:sz="0" w:space="0" w:color="auto"/>
            <w:bottom w:val="none" w:sz="0" w:space="0" w:color="auto"/>
            <w:right w:val="none" w:sz="0" w:space="0" w:color="auto"/>
          </w:divBdr>
        </w:div>
        <w:div w:id="939146005">
          <w:marLeft w:val="274"/>
          <w:marRight w:val="0"/>
          <w:marTop w:val="0"/>
          <w:marBottom w:val="0"/>
          <w:divBdr>
            <w:top w:val="none" w:sz="0" w:space="0" w:color="auto"/>
            <w:left w:val="none" w:sz="0" w:space="0" w:color="auto"/>
            <w:bottom w:val="none" w:sz="0" w:space="0" w:color="auto"/>
            <w:right w:val="none" w:sz="0" w:space="0" w:color="auto"/>
          </w:divBdr>
        </w:div>
        <w:div w:id="998268134">
          <w:marLeft w:val="274"/>
          <w:marRight w:val="0"/>
          <w:marTop w:val="0"/>
          <w:marBottom w:val="0"/>
          <w:divBdr>
            <w:top w:val="none" w:sz="0" w:space="0" w:color="auto"/>
            <w:left w:val="none" w:sz="0" w:space="0" w:color="auto"/>
            <w:bottom w:val="none" w:sz="0" w:space="0" w:color="auto"/>
            <w:right w:val="none" w:sz="0" w:space="0" w:color="auto"/>
          </w:divBdr>
        </w:div>
        <w:div w:id="1241870067">
          <w:marLeft w:val="274"/>
          <w:marRight w:val="0"/>
          <w:marTop w:val="0"/>
          <w:marBottom w:val="0"/>
          <w:divBdr>
            <w:top w:val="none" w:sz="0" w:space="0" w:color="auto"/>
            <w:left w:val="none" w:sz="0" w:space="0" w:color="auto"/>
            <w:bottom w:val="none" w:sz="0" w:space="0" w:color="auto"/>
            <w:right w:val="none" w:sz="0" w:space="0" w:color="auto"/>
          </w:divBdr>
        </w:div>
        <w:div w:id="1486629406">
          <w:marLeft w:val="274"/>
          <w:marRight w:val="0"/>
          <w:marTop w:val="0"/>
          <w:marBottom w:val="0"/>
          <w:divBdr>
            <w:top w:val="none" w:sz="0" w:space="0" w:color="auto"/>
            <w:left w:val="none" w:sz="0" w:space="0" w:color="auto"/>
            <w:bottom w:val="none" w:sz="0" w:space="0" w:color="auto"/>
            <w:right w:val="none" w:sz="0" w:space="0" w:color="auto"/>
          </w:divBdr>
        </w:div>
        <w:div w:id="1818570431">
          <w:marLeft w:val="274"/>
          <w:marRight w:val="0"/>
          <w:marTop w:val="0"/>
          <w:marBottom w:val="0"/>
          <w:divBdr>
            <w:top w:val="none" w:sz="0" w:space="0" w:color="auto"/>
            <w:left w:val="none" w:sz="0" w:space="0" w:color="auto"/>
            <w:bottom w:val="none" w:sz="0" w:space="0" w:color="auto"/>
            <w:right w:val="none" w:sz="0" w:space="0" w:color="auto"/>
          </w:divBdr>
        </w:div>
        <w:div w:id="1840073901">
          <w:marLeft w:val="274"/>
          <w:marRight w:val="0"/>
          <w:marTop w:val="0"/>
          <w:marBottom w:val="0"/>
          <w:divBdr>
            <w:top w:val="none" w:sz="0" w:space="0" w:color="auto"/>
            <w:left w:val="none" w:sz="0" w:space="0" w:color="auto"/>
            <w:bottom w:val="none" w:sz="0" w:space="0" w:color="auto"/>
            <w:right w:val="none" w:sz="0" w:space="0" w:color="auto"/>
          </w:divBdr>
        </w:div>
      </w:divsChild>
    </w:div>
    <w:div w:id="1551258389">
      <w:bodyDiv w:val="1"/>
      <w:marLeft w:val="0"/>
      <w:marRight w:val="0"/>
      <w:marTop w:val="0"/>
      <w:marBottom w:val="0"/>
      <w:divBdr>
        <w:top w:val="none" w:sz="0" w:space="0" w:color="auto"/>
        <w:left w:val="none" w:sz="0" w:space="0" w:color="auto"/>
        <w:bottom w:val="none" w:sz="0" w:space="0" w:color="auto"/>
        <w:right w:val="none" w:sz="0" w:space="0" w:color="auto"/>
      </w:divBdr>
    </w:div>
    <w:div w:id="1552812982">
      <w:bodyDiv w:val="1"/>
      <w:marLeft w:val="0"/>
      <w:marRight w:val="0"/>
      <w:marTop w:val="0"/>
      <w:marBottom w:val="0"/>
      <w:divBdr>
        <w:top w:val="none" w:sz="0" w:space="0" w:color="auto"/>
        <w:left w:val="none" w:sz="0" w:space="0" w:color="auto"/>
        <w:bottom w:val="none" w:sz="0" w:space="0" w:color="auto"/>
        <w:right w:val="none" w:sz="0" w:space="0" w:color="auto"/>
      </w:divBdr>
    </w:div>
    <w:div w:id="1553224060">
      <w:bodyDiv w:val="1"/>
      <w:marLeft w:val="0"/>
      <w:marRight w:val="0"/>
      <w:marTop w:val="0"/>
      <w:marBottom w:val="0"/>
      <w:divBdr>
        <w:top w:val="none" w:sz="0" w:space="0" w:color="auto"/>
        <w:left w:val="none" w:sz="0" w:space="0" w:color="auto"/>
        <w:bottom w:val="none" w:sz="0" w:space="0" w:color="auto"/>
        <w:right w:val="none" w:sz="0" w:space="0" w:color="auto"/>
      </w:divBdr>
      <w:divsChild>
        <w:div w:id="162401214">
          <w:marLeft w:val="0"/>
          <w:marRight w:val="0"/>
          <w:marTop w:val="0"/>
          <w:marBottom w:val="0"/>
          <w:divBdr>
            <w:top w:val="none" w:sz="0" w:space="0" w:color="auto"/>
            <w:left w:val="none" w:sz="0" w:space="0" w:color="auto"/>
            <w:bottom w:val="none" w:sz="0" w:space="0" w:color="auto"/>
            <w:right w:val="none" w:sz="0" w:space="0" w:color="auto"/>
          </w:divBdr>
        </w:div>
        <w:div w:id="165248584">
          <w:marLeft w:val="0"/>
          <w:marRight w:val="0"/>
          <w:marTop w:val="0"/>
          <w:marBottom w:val="0"/>
          <w:divBdr>
            <w:top w:val="none" w:sz="0" w:space="0" w:color="auto"/>
            <w:left w:val="none" w:sz="0" w:space="0" w:color="auto"/>
            <w:bottom w:val="none" w:sz="0" w:space="0" w:color="auto"/>
            <w:right w:val="none" w:sz="0" w:space="0" w:color="auto"/>
          </w:divBdr>
        </w:div>
        <w:div w:id="175265449">
          <w:marLeft w:val="0"/>
          <w:marRight w:val="0"/>
          <w:marTop w:val="0"/>
          <w:marBottom w:val="0"/>
          <w:divBdr>
            <w:top w:val="none" w:sz="0" w:space="0" w:color="auto"/>
            <w:left w:val="none" w:sz="0" w:space="0" w:color="auto"/>
            <w:bottom w:val="none" w:sz="0" w:space="0" w:color="auto"/>
            <w:right w:val="none" w:sz="0" w:space="0" w:color="auto"/>
          </w:divBdr>
        </w:div>
        <w:div w:id="182935912">
          <w:marLeft w:val="0"/>
          <w:marRight w:val="0"/>
          <w:marTop w:val="0"/>
          <w:marBottom w:val="0"/>
          <w:divBdr>
            <w:top w:val="none" w:sz="0" w:space="0" w:color="auto"/>
            <w:left w:val="none" w:sz="0" w:space="0" w:color="auto"/>
            <w:bottom w:val="none" w:sz="0" w:space="0" w:color="auto"/>
            <w:right w:val="none" w:sz="0" w:space="0" w:color="auto"/>
          </w:divBdr>
        </w:div>
        <w:div w:id="185872096">
          <w:marLeft w:val="0"/>
          <w:marRight w:val="0"/>
          <w:marTop w:val="0"/>
          <w:marBottom w:val="0"/>
          <w:divBdr>
            <w:top w:val="none" w:sz="0" w:space="0" w:color="auto"/>
            <w:left w:val="none" w:sz="0" w:space="0" w:color="auto"/>
            <w:bottom w:val="none" w:sz="0" w:space="0" w:color="auto"/>
            <w:right w:val="none" w:sz="0" w:space="0" w:color="auto"/>
          </w:divBdr>
        </w:div>
        <w:div w:id="363596329">
          <w:marLeft w:val="0"/>
          <w:marRight w:val="0"/>
          <w:marTop w:val="0"/>
          <w:marBottom w:val="0"/>
          <w:divBdr>
            <w:top w:val="none" w:sz="0" w:space="0" w:color="auto"/>
            <w:left w:val="none" w:sz="0" w:space="0" w:color="auto"/>
            <w:bottom w:val="none" w:sz="0" w:space="0" w:color="auto"/>
            <w:right w:val="none" w:sz="0" w:space="0" w:color="auto"/>
          </w:divBdr>
        </w:div>
        <w:div w:id="571425687">
          <w:marLeft w:val="0"/>
          <w:marRight w:val="0"/>
          <w:marTop w:val="0"/>
          <w:marBottom w:val="0"/>
          <w:divBdr>
            <w:top w:val="none" w:sz="0" w:space="0" w:color="auto"/>
            <w:left w:val="none" w:sz="0" w:space="0" w:color="auto"/>
            <w:bottom w:val="none" w:sz="0" w:space="0" w:color="auto"/>
            <w:right w:val="none" w:sz="0" w:space="0" w:color="auto"/>
          </w:divBdr>
        </w:div>
        <w:div w:id="586812734">
          <w:marLeft w:val="0"/>
          <w:marRight w:val="0"/>
          <w:marTop w:val="0"/>
          <w:marBottom w:val="0"/>
          <w:divBdr>
            <w:top w:val="none" w:sz="0" w:space="0" w:color="auto"/>
            <w:left w:val="none" w:sz="0" w:space="0" w:color="auto"/>
            <w:bottom w:val="none" w:sz="0" w:space="0" w:color="auto"/>
            <w:right w:val="none" w:sz="0" w:space="0" w:color="auto"/>
          </w:divBdr>
        </w:div>
        <w:div w:id="680623323">
          <w:marLeft w:val="0"/>
          <w:marRight w:val="0"/>
          <w:marTop w:val="0"/>
          <w:marBottom w:val="0"/>
          <w:divBdr>
            <w:top w:val="none" w:sz="0" w:space="0" w:color="auto"/>
            <w:left w:val="none" w:sz="0" w:space="0" w:color="auto"/>
            <w:bottom w:val="none" w:sz="0" w:space="0" w:color="auto"/>
            <w:right w:val="none" w:sz="0" w:space="0" w:color="auto"/>
          </w:divBdr>
        </w:div>
        <w:div w:id="729229659">
          <w:marLeft w:val="0"/>
          <w:marRight w:val="0"/>
          <w:marTop w:val="0"/>
          <w:marBottom w:val="0"/>
          <w:divBdr>
            <w:top w:val="none" w:sz="0" w:space="0" w:color="auto"/>
            <w:left w:val="none" w:sz="0" w:space="0" w:color="auto"/>
            <w:bottom w:val="none" w:sz="0" w:space="0" w:color="auto"/>
            <w:right w:val="none" w:sz="0" w:space="0" w:color="auto"/>
          </w:divBdr>
        </w:div>
        <w:div w:id="788352808">
          <w:marLeft w:val="0"/>
          <w:marRight w:val="0"/>
          <w:marTop w:val="0"/>
          <w:marBottom w:val="0"/>
          <w:divBdr>
            <w:top w:val="none" w:sz="0" w:space="0" w:color="auto"/>
            <w:left w:val="none" w:sz="0" w:space="0" w:color="auto"/>
            <w:bottom w:val="none" w:sz="0" w:space="0" w:color="auto"/>
            <w:right w:val="none" w:sz="0" w:space="0" w:color="auto"/>
          </w:divBdr>
        </w:div>
        <w:div w:id="883829154">
          <w:marLeft w:val="0"/>
          <w:marRight w:val="0"/>
          <w:marTop w:val="0"/>
          <w:marBottom w:val="0"/>
          <w:divBdr>
            <w:top w:val="none" w:sz="0" w:space="0" w:color="auto"/>
            <w:left w:val="none" w:sz="0" w:space="0" w:color="auto"/>
            <w:bottom w:val="none" w:sz="0" w:space="0" w:color="auto"/>
            <w:right w:val="none" w:sz="0" w:space="0" w:color="auto"/>
          </w:divBdr>
        </w:div>
        <w:div w:id="1125198476">
          <w:marLeft w:val="0"/>
          <w:marRight w:val="0"/>
          <w:marTop w:val="0"/>
          <w:marBottom w:val="0"/>
          <w:divBdr>
            <w:top w:val="none" w:sz="0" w:space="0" w:color="auto"/>
            <w:left w:val="none" w:sz="0" w:space="0" w:color="auto"/>
            <w:bottom w:val="none" w:sz="0" w:space="0" w:color="auto"/>
            <w:right w:val="none" w:sz="0" w:space="0" w:color="auto"/>
          </w:divBdr>
        </w:div>
        <w:div w:id="1135561771">
          <w:marLeft w:val="0"/>
          <w:marRight w:val="0"/>
          <w:marTop w:val="0"/>
          <w:marBottom w:val="0"/>
          <w:divBdr>
            <w:top w:val="none" w:sz="0" w:space="0" w:color="auto"/>
            <w:left w:val="none" w:sz="0" w:space="0" w:color="auto"/>
            <w:bottom w:val="none" w:sz="0" w:space="0" w:color="auto"/>
            <w:right w:val="none" w:sz="0" w:space="0" w:color="auto"/>
          </w:divBdr>
        </w:div>
        <w:div w:id="1204756683">
          <w:marLeft w:val="0"/>
          <w:marRight w:val="0"/>
          <w:marTop w:val="0"/>
          <w:marBottom w:val="0"/>
          <w:divBdr>
            <w:top w:val="none" w:sz="0" w:space="0" w:color="auto"/>
            <w:left w:val="none" w:sz="0" w:space="0" w:color="auto"/>
            <w:bottom w:val="none" w:sz="0" w:space="0" w:color="auto"/>
            <w:right w:val="none" w:sz="0" w:space="0" w:color="auto"/>
          </w:divBdr>
        </w:div>
        <w:div w:id="1451895606">
          <w:marLeft w:val="0"/>
          <w:marRight w:val="0"/>
          <w:marTop w:val="0"/>
          <w:marBottom w:val="0"/>
          <w:divBdr>
            <w:top w:val="none" w:sz="0" w:space="0" w:color="auto"/>
            <w:left w:val="none" w:sz="0" w:space="0" w:color="auto"/>
            <w:bottom w:val="none" w:sz="0" w:space="0" w:color="auto"/>
            <w:right w:val="none" w:sz="0" w:space="0" w:color="auto"/>
          </w:divBdr>
        </w:div>
        <w:div w:id="1553535495">
          <w:marLeft w:val="0"/>
          <w:marRight w:val="0"/>
          <w:marTop w:val="0"/>
          <w:marBottom w:val="0"/>
          <w:divBdr>
            <w:top w:val="none" w:sz="0" w:space="0" w:color="auto"/>
            <w:left w:val="none" w:sz="0" w:space="0" w:color="auto"/>
            <w:bottom w:val="none" w:sz="0" w:space="0" w:color="auto"/>
            <w:right w:val="none" w:sz="0" w:space="0" w:color="auto"/>
          </w:divBdr>
        </w:div>
        <w:div w:id="1585065174">
          <w:marLeft w:val="0"/>
          <w:marRight w:val="0"/>
          <w:marTop w:val="0"/>
          <w:marBottom w:val="0"/>
          <w:divBdr>
            <w:top w:val="none" w:sz="0" w:space="0" w:color="auto"/>
            <w:left w:val="none" w:sz="0" w:space="0" w:color="auto"/>
            <w:bottom w:val="none" w:sz="0" w:space="0" w:color="auto"/>
            <w:right w:val="none" w:sz="0" w:space="0" w:color="auto"/>
          </w:divBdr>
        </w:div>
        <w:div w:id="1625884855">
          <w:marLeft w:val="0"/>
          <w:marRight w:val="0"/>
          <w:marTop w:val="0"/>
          <w:marBottom w:val="0"/>
          <w:divBdr>
            <w:top w:val="none" w:sz="0" w:space="0" w:color="auto"/>
            <w:left w:val="none" w:sz="0" w:space="0" w:color="auto"/>
            <w:bottom w:val="none" w:sz="0" w:space="0" w:color="auto"/>
            <w:right w:val="none" w:sz="0" w:space="0" w:color="auto"/>
          </w:divBdr>
        </w:div>
      </w:divsChild>
    </w:div>
    <w:div w:id="1553882854">
      <w:bodyDiv w:val="1"/>
      <w:marLeft w:val="0"/>
      <w:marRight w:val="0"/>
      <w:marTop w:val="0"/>
      <w:marBottom w:val="0"/>
      <w:divBdr>
        <w:top w:val="none" w:sz="0" w:space="0" w:color="auto"/>
        <w:left w:val="none" w:sz="0" w:space="0" w:color="auto"/>
        <w:bottom w:val="none" w:sz="0" w:space="0" w:color="auto"/>
        <w:right w:val="none" w:sz="0" w:space="0" w:color="auto"/>
      </w:divBdr>
    </w:div>
    <w:div w:id="1561164816">
      <w:bodyDiv w:val="1"/>
      <w:marLeft w:val="0"/>
      <w:marRight w:val="0"/>
      <w:marTop w:val="0"/>
      <w:marBottom w:val="0"/>
      <w:divBdr>
        <w:top w:val="none" w:sz="0" w:space="0" w:color="auto"/>
        <w:left w:val="none" w:sz="0" w:space="0" w:color="auto"/>
        <w:bottom w:val="none" w:sz="0" w:space="0" w:color="auto"/>
        <w:right w:val="none" w:sz="0" w:space="0" w:color="auto"/>
      </w:divBdr>
    </w:div>
    <w:div w:id="1561674421">
      <w:bodyDiv w:val="1"/>
      <w:marLeft w:val="0"/>
      <w:marRight w:val="0"/>
      <w:marTop w:val="0"/>
      <w:marBottom w:val="0"/>
      <w:divBdr>
        <w:top w:val="none" w:sz="0" w:space="0" w:color="auto"/>
        <w:left w:val="none" w:sz="0" w:space="0" w:color="auto"/>
        <w:bottom w:val="none" w:sz="0" w:space="0" w:color="auto"/>
        <w:right w:val="none" w:sz="0" w:space="0" w:color="auto"/>
      </w:divBdr>
    </w:div>
    <w:div w:id="1563711294">
      <w:bodyDiv w:val="1"/>
      <w:marLeft w:val="0"/>
      <w:marRight w:val="0"/>
      <w:marTop w:val="0"/>
      <w:marBottom w:val="0"/>
      <w:divBdr>
        <w:top w:val="none" w:sz="0" w:space="0" w:color="auto"/>
        <w:left w:val="none" w:sz="0" w:space="0" w:color="auto"/>
        <w:bottom w:val="none" w:sz="0" w:space="0" w:color="auto"/>
        <w:right w:val="none" w:sz="0" w:space="0" w:color="auto"/>
      </w:divBdr>
    </w:div>
    <w:div w:id="1568491979">
      <w:bodyDiv w:val="1"/>
      <w:marLeft w:val="0"/>
      <w:marRight w:val="0"/>
      <w:marTop w:val="0"/>
      <w:marBottom w:val="0"/>
      <w:divBdr>
        <w:top w:val="none" w:sz="0" w:space="0" w:color="auto"/>
        <w:left w:val="none" w:sz="0" w:space="0" w:color="auto"/>
        <w:bottom w:val="none" w:sz="0" w:space="0" w:color="auto"/>
        <w:right w:val="none" w:sz="0" w:space="0" w:color="auto"/>
      </w:divBdr>
      <w:divsChild>
        <w:div w:id="209846322">
          <w:marLeft w:val="0"/>
          <w:marRight w:val="0"/>
          <w:marTop w:val="0"/>
          <w:marBottom w:val="0"/>
          <w:divBdr>
            <w:top w:val="none" w:sz="0" w:space="0" w:color="auto"/>
            <w:left w:val="none" w:sz="0" w:space="0" w:color="auto"/>
            <w:bottom w:val="none" w:sz="0" w:space="0" w:color="auto"/>
            <w:right w:val="none" w:sz="0" w:space="0" w:color="auto"/>
          </w:divBdr>
        </w:div>
        <w:div w:id="282805984">
          <w:marLeft w:val="0"/>
          <w:marRight w:val="0"/>
          <w:marTop w:val="0"/>
          <w:marBottom w:val="0"/>
          <w:divBdr>
            <w:top w:val="none" w:sz="0" w:space="0" w:color="auto"/>
            <w:left w:val="none" w:sz="0" w:space="0" w:color="auto"/>
            <w:bottom w:val="none" w:sz="0" w:space="0" w:color="auto"/>
            <w:right w:val="none" w:sz="0" w:space="0" w:color="auto"/>
          </w:divBdr>
        </w:div>
        <w:div w:id="704599419">
          <w:marLeft w:val="0"/>
          <w:marRight w:val="0"/>
          <w:marTop w:val="0"/>
          <w:marBottom w:val="0"/>
          <w:divBdr>
            <w:top w:val="none" w:sz="0" w:space="0" w:color="auto"/>
            <w:left w:val="none" w:sz="0" w:space="0" w:color="auto"/>
            <w:bottom w:val="none" w:sz="0" w:space="0" w:color="auto"/>
            <w:right w:val="none" w:sz="0" w:space="0" w:color="auto"/>
          </w:divBdr>
        </w:div>
        <w:div w:id="1833377510">
          <w:marLeft w:val="0"/>
          <w:marRight w:val="0"/>
          <w:marTop w:val="0"/>
          <w:marBottom w:val="0"/>
          <w:divBdr>
            <w:top w:val="none" w:sz="0" w:space="0" w:color="auto"/>
            <w:left w:val="none" w:sz="0" w:space="0" w:color="auto"/>
            <w:bottom w:val="none" w:sz="0" w:space="0" w:color="auto"/>
            <w:right w:val="none" w:sz="0" w:space="0" w:color="auto"/>
          </w:divBdr>
        </w:div>
      </w:divsChild>
    </w:div>
    <w:div w:id="1571424820">
      <w:bodyDiv w:val="1"/>
      <w:marLeft w:val="0"/>
      <w:marRight w:val="0"/>
      <w:marTop w:val="0"/>
      <w:marBottom w:val="0"/>
      <w:divBdr>
        <w:top w:val="none" w:sz="0" w:space="0" w:color="auto"/>
        <w:left w:val="none" w:sz="0" w:space="0" w:color="auto"/>
        <w:bottom w:val="none" w:sz="0" w:space="0" w:color="auto"/>
        <w:right w:val="none" w:sz="0" w:space="0" w:color="auto"/>
      </w:divBdr>
      <w:divsChild>
        <w:div w:id="140931383">
          <w:marLeft w:val="0"/>
          <w:marRight w:val="0"/>
          <w:marTop w:val="0"/>
          <w:marBottom w:val="0"/>
          <w:divBdr>
            <w:top w:val="none" w:sz="0" w:space="0" w:color="auto"/>
            <w:left w:val="none" w:sz="0" w:space="0" w:color="auto"/>
            <w:bottom w:val="none" w:sz="0" w:space="0" w:color="auto"/>
            <w:right w:val="none" w:sz="0" w:space="0" w:color="auto"/>
          </w:divBdr>
          <w:divsChild>
            <w:div w:id="449519458">
              <w:marLeft w:val="0"/>
              <w:marRight w:val="0"/>
              <w:marTop w:val="0"/>
              <w:marBottom w:val="0"/>
              <w:divBdr>
                <w:top w:val="none" w:sz="0" w:space="0" w:color="auto"/>
                <w:left w:val="none" w:sz="0" w:space="0" w:color="auto"/>
                <w:bottom w:val="none" w:sz="0" w:space="0" w:color="auto"/>
                <w:right w:val="none" w:sz="0" w:space="0" w:color="auto"/>
              </w:divBdr>
              <w:divsChild>
                <w:div w:id="1362978917">
                  <w:marLeft w:val="0"/>
                  <w:marRight w:val="0"/>
                  <w:marTop w:val="0"/>
                  <w:marBottom w:val="0"/>
                  <w:divBdr>
                    <w:top w:val="none" w:sz="0" w:space="0" w:color="auto"/>
                    <w:left w:val="none" w:sz="0" w:space="0" w:color="auto"/>
                    <w:bottom w:val="none" w:sz="0" w:space="0" w:color="auto"/>
                    <w:right w:val="none" w:sz="0" w:space="0" w:color="auto"/>
                  </w:divBdr>
                  <w:divsChild>
                    <w:div w:id="1025907709">
                      <w:marLeft w:val="0"/>
                      <w:marRight w:val="0"/>
                      <w:marTop w:val="0"/>
                      <w:marBottom w:val="0"/>
                      <w:divBdr>
                        <w:top w:val="none" w:sz="0" w:space="0" w:color="auto"/>
                        <w:left w:val="none" w:sz="0" w:space="0" w:color="auto"/>
                        <w:bottom w:val="none" w:sz="0" w:space="0" w:color="auto"/>
                        <w:right w:val="none" w:sz="0" w:space="0" w:color="auto"/>
                      </w:divBdr>
                      <w:divsChild>
                        <w:div w:id="1200778042">
                          <w:marLeft w:val="0"/>
                          <w:marRight w:val="0"/>
                          <w:marTop w:val="0"/>
                          <w:marBottom w:val="0"/>
                          <w:divBdr>
                            <w:top w:val="none" w:sz="0" w:space="0" w:color="auto"/>
                            <w:left w:val="none" w:sz="0" w:space="0" w:color="auto"/>
                            <w:bottom w:val="none" w:sz="0" w:space="0" w:color="auto"/>
                            <w:right w:val="none" w:sz="0" w:space="0" w:color="auto"/>
                          </w:divBdr>
                          <w:divsChild>
                            <w:div w:id="1298684149">
                              <w:marLeft w:val="0"/>
                              <w:marRight w:val="0"/>
                              <w:marTop w:val="0"/>
                              <w:marBottom w:val="0"/>
                              <w:divBdr>
                                <w:top w:val="none" w:sz="0" w:space="0" w:color="auto"/>
                                <w:left w:val="none" w:sz="0" w:space="0" w:color="auto"/>
                                <w:bottom w:val="none" w:sz="0" w:space="0" w:color="auto"/>
                                <w:right w:val="none" w:sz="0" w:space="0" w:color="auto"/>
                              </w:divBdr>
                              <w:divsChild>
                                <w:div w:id="14197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65683">
          <w:marLeft w:val="0"/>
          <w:marRight w:val="0"/>
          <w:marTop w:val="0"/>
          <w:marBottom w:val="0"/>
          <w:divBdr>
            <w:top w:val="none" w:sz="0" w:space="0" w:color="auto"/>
            <w:left w:val="none" w:sz="0" w:space="0" w:color="auto"/>
            <w:bottom w:val="none" w:sz="0" w:space="0" w:color="auto"/>
            <w:right w:val="none" w:sz="0" w:space="0" w:color="auto"/>
          </w:divBdr>
          <w:divsChild>
            <w:div w:id="1114789734">
              <w:marLeft w:val="0"/>
              <w:marRight w:val="0"/>
              <w:marTop w:val="0"/>
              <w:marBottom w:val="0"/>
              <w:divBdr>
                <w:top w:val="none" w:sz="0" w:space="0" w:color="auto"/>
                <w:left w:val="none" w:sz="0" w:space="0" w:color="auto"/>
                <w:bottom w:val="none" w:sz="0" w:space="0" w:color="auto"/>
                <w:right w:val="none" w:sz="0" w:space="0" w:color="auto"/>
              </w:divBdr>
              <w:divsChild>
                <w:div w:id="1967933066">
                  <w:marLeft w:val="0"/>
                  <w:marRight w:val="0"/>
                  <w:marTop w:val="0"/>
                  <w:marBottom w:val="0"/>
                  <w:divBdr>
                    <w:top w:val="none" w:sz="0" w:space="0" w:color="auto"/>
                    <w:left w:val="none" w:sz="0" w:space="0" w:color="auto"/>
                    <w:bottom w:val="none" w:sz="0" w:space="0" w:color="auto"/>
                    <w:right w:val="none" w:sz="0" w:space="0" w:color="auto"/>
                  </w:divBdr>
                  <w:divsChild>
                    <w:div w:id="1557353337">
                      <w:marLeft w:val="0"/>
                      <w:marRight w:val="0"/>
                      <w:marTop w:val="0"/>
                      <w:marBottom w:val="0"/>
                      <w:divBdr>
                        <w:top w:val="none" w:sz="0" w:space="0" w:color="auto"/>
                        <w:left w:val="none" w:sz="0" w:space="0" w:color="auto"/>
                        <w:bottom w:val="none" w:sz="0" w:space="0" w:color="auto"/>
                        <w:right w:val="none" w:sz="0" w:space="0" w:color="auto"/>
                      </w:divBdr>
                      <w:divsChild>
                        <w:div w:id="685865451">
                          <w:marLeft w:val="0"/>
                          <w:marRight w:val="0"/>
                          <w:marTop w:val="0"/>
                          <w:marBottom w:val="0"/>
                          <w:divBdr>
                            <w:top w:val="none" w:sz="0" w:space="0" w:color="auto"/>
                            <w:left w:val="none" w:sz="0" w:space="0" w:color="auto"/>
                            <w:bottom w:val="none" w:sz="0" w:space="0" w:color="auto"/>
                            <w:right w:val="none" w:sz="0" w:space="0" w:color="auto"/>
                          </w:divBdr>
                          <w:divsChild>
                            <w:div w:id="174460580">
                              <w:marLeft w:val="0"/>
                              <w:marRight w:val="0"/>
                              <w:marTop w:val="0"/>
                              <w:marBottom w:val="0"/>
                              <w:divBdr>
                                <w:top w:val="none" w:sz="0" w:space="0" w:color="auto"/>
                                <w:left w:val="none" w:sz="0" w:space="0" w:color="auto"/>
                                <w:bottom w:val="none" w:sz="0" w:space="0" w:color="auto"/>
                                <w:right w:val="none" w:sz="0" w:space="0" w:color="auto"/>
                              </w:divBdr>
                              <w:divsChild>
                                <w:div w:id="10090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625542">
          <w:marLeft w:val="0"/>
          <w:marRight w:val="0"/>
          <w:marTop w:val="0"/>
          <w:marBottom w:val="0"/>
          <w:divBdr>
            <w:top w:val="none" w:sz="0" w:space="0" w:color="auto"/>
            <w:left w:val="none" w:sz="0" w:space="0" w:color="auto"/>
            <w:bottom w:val="none" w:sz="0" w:space="0" w:color="auto"/>
            <w:right w:val="none" w:sz="0" w:space="0" w:color="auto"/>
          </w:divBdr>
          <w:divsChild>
            <w:div w:id="880289948">
              <w:marLeft w:val="0"/>
              <w:marRight w:val="0"/>
              <w:marTop w:val="0"/>
              <w:marBottom w:val="0"/>
              <w:divBdr>
                <w:top w:val="none" w:sz="0" w:space="0" w:color="auto"/>
                <w:left w:val="none" w:sz="0" w:space="0" w:color="auto"/>
                <w:bottom w:val="none" w:sz="0" w:space="0" w:color="auto"/>
                <w:right w:val="none" w:sz="0" w:space="0" w:color="auto"/>
              </w:divBdr>
              <w:divsChild>
                <w:div w:id="1774740325">
                  <w:marLeft w:val="0"/>
                  <w:marRight w:val="0"/>
                  <w:marTop w:val="0"/>
                  <w:marBottom w:val="0"/>
                  <w:divBdr>
                    <w:top w:val="none" w:sz="0" w:space="0" w:color="auto"/>
                    <w:left w:val="none" w:sz="0" w:space="0" w:color="auto"/>
                    <w:bottom w:val="none" w:sz="0" w:space="0" w:color="auto"/>
                    <w:right w:val="none" w:sz="0" w:space="0" w:color="auto"/>
                  </w:divBdr>
                  <w:divsChild>
                    <w:div w:id="1013612175">
                      <w:marLeft w:val="0"/>
                      <w:marRight w:val="0"/>
                      <w:marTop w:val="0"/>
                      <w:marBottom w:val="0"/>
                      <w:divBdr>
                        <w:top w:val="none" w:sz="0" w:space="0" w:color="auto"/>
                        <w:left w:val="none" w:sz="0" w:space="0" w:color="auto"/>
                        <w:bottom w:val="none" w:sz="0" w:space="0" w:color="auto"/>
                        <w:right w:val="none" w:sz="0" w:space="0" w:color="auto"/>
                      </w:divBdr>
                      <w:divsChild>
                        <w:div w:id="1860461306">
                          <w:marLeft w:val="0"/>
                          <w:marRight w:val="0"/>
                          <w:marTop w:val="0"/>
                          <w:marBottom w:val="0"/>
                          <w:divBdr>
                            <w:top w:val="none" w:sz="0" w:space="0" w:color="auto"/>
                            <w:left w:val="none" w:sz="0" w:space="0" w:color="auto"/>
                            <w:bottom w:val="none" w:sz="0" w:space="0" w:color="auto"/>
                            <w:right w:val="none" w:sz="0" w:space="0" w:color="auto"/>
                          </w:divBdr>
                          <w:divsChild>
                            <w:div w:id="329214643">
                              <w:marLeft w:val="0"/>
                              <w:marRight w:val="0"/>
                              <w:marTop w:val="0"/>
                              <w:marBottom w:val="0"/>
                              <w:divBdr>
                                <w:top w:val="none" w:sz="0" w:space="0" w:color="auto"/>
                                <w:left w:val="none" w:sz="0" w:space="0" w:color="auto"/>
                                <w:bottom w:val="none" w:sz="0" w:space="0" w:color="auto"/>
                                <w:right w:val="none" w:sz="0" w:space="0" w:color="auto"/>
                              </w:divBdr>
                              <w:divsChild>
                                <w:div w:id="1044720376">
                                  <w:marLeft w:val="0"/>
                                  <w:marRight w:val="0"/>
                                  <w:marTop w:val="0"/>
                                  <w:marBottom w:val="0"/>
                                  <w:divBdr>
                                    <w:top w:val="none" w:sz="0" w:space="0" w:color="auto"/>
                                    <w:left w:val="none" w:sz="0" w:space="0" w:color="auto"/>
                                    <w:bottom w:val="none" w:sz="0" w:space="0" w:color="auto"/>
                                    <w:right w:val="none" w:sz="0" w:space="0" w:color="auto"/>
                                  </w:divBdr>
                                  <w:divsChild>
                                    <w:div w:id="1209342335">
                                      <w:marLeft w:val="0"/>
                                      <w:marRight w:val="0"/>
                                      <w:marTop w:val="0"/>
                                      <w:marBottom w:val="0"/>
                                      <w:divBdr>
                                        <w:top w:val="none" w:sz="0" w:space="0" w:color="auto"/>
                                        <w:left w:val="none" w:sz="0" w:space="0" w:color="auto"/>
                                        <w:bottom w:val="none" w:sz="0" w:space="0" w:color="auto"/>
                                        <w:right w:val="none" w:sz="0" w:space="0" w:color="auto"/>
                                      </w:divBdr>
                                      <w:divsChild>
                                        <w:div w:id="16357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270404">
                      <w:marLeft w:val="0"/>
                      <w:marRight w:val="0"/>
                      <w:marTop w:val="0"/>
                      <w:marBottom w:val="0"/>
                      <w:divBdr>
                        <w:top w:val="none" w:sz="0" w:space="0" w:color="auto"/>
                        <w:left w:val="none" w:sz="0" w:space="0" w:color="auto"/>
                        <w:bottom w:val="none" w:sz="0" w:space="0" w:color="auto"/>
                        <w:right w:val="none" w:sz="0" w:space="0" w:color="auto"/>
                      </w:divBdr>
                      <w:divsChild>
                        <w:div w:id="200434817">
                          <w:marLeft w:val="0"/>
                          <w:marRight w:val="0"/>
                          <w:marTop w:val="0"/>
                          <w:marBottom w:val="0"/>
                          <w:divBdr>
                            <w:top w:val="none" w:sz="0" w:space="0" w:color="auto"/>
                            <w:left w:val="none" w:sz="0" w:space="0" w:color="auto"/>
                            <w:bottom w:val="none" w:sz="0" w:space="0" w:color="auto"/>
                            <w:right w:val="none" w:sz="0" w:space="0" w:color="auto"/>
                          </w:divBdr>
                          <w:divsChild>
                            <w:div w:id="890963421">
                              <w:marLeft w:val="0"/>
                              <w:marRight w:val="0"/>
                              <w:marTop w:val="0"/>
                              <w:marBottom w:val="0"/>
                              <w:divBdr>
                                <w:top w:val="none" w:sz="0" w:space="0" w:color="auto"/>
                                <w:left w:val="none" w:sz="0" w:space="0" w:color="auto"/>
                                <w:bottom w:val="none" w:sz="0" w:space="0" w:color="auto"/>
                                <w:right w:val="none" w:sz="0" w:space="0" w:color="auto"/>
                              </w:divBdr>
                              <w:divsChild>
                                <w:div w:id="16837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6157">
                          <w:marLeft w:val="0"/>
                          <w:marRight w:val="0"/>
                          <w:marTop w:val="0"/>
                          <w:marBottom w:val="0"/>
                          <w:divBdr>
                            <w:top w:val="none" w:sz="0" w:space="0" w:color="auto"/>
                            <w:left w:val="none" w:sz="0" w:space="0" w:color="auto"/>
                            <w:bottom w:val="none" w:sz="0" w:space="0" w:color="auto"/>
                            <w:right w:val="none" w:sz="0" w:space="0" w:color="auto"/>
                          </w:divBdr>
                          <w:divsChild>
                            <w:div w:id="14142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85402">
          <w:marLeft w:val="0"/>
          <w:marRight w:val="0"/>
          <w:marTop w:val="0"/>
          <w:marBottom w:val="0"/>
          <w:divBdr>
            <w:top w:val="none" w:sz="0" w:space="0" w:color="auto"/>
            <w:left w:val="none" w:sz="0" w:space="0" w:color="auto"/>
            <w:bottom w:val="none" w:sz="0" w:space="0" w:color="auto"/>
            <w:right w:val="none" w:sz="0" w:space="0" w:color="auto"/>
          </w:divBdr>
          <w:divsChild>
            <w:div w:id="1727223621">
              <w:marLeft w:val="0"/>
              <w:marRight w:val="0"/>
              <w:marTop w:val="0"/>
              <w:marBottom w:val="0"/>
              <w:divBdr>
                <w:top w:val="none" w:sz="0" w:space="0" w:color="auto"/>
                <w:left w:val="none" w:sz="0" w:space="0" w:color="auto"/>
                <w:bottom w:val="none" w:sz="0" w:space="0" w:color="auto"/>
                <w:right w:val="none" w:sz="0" w:space="0" w:color="auto"/>
              </w:divBdr>
              <w:divsChild>
                <w:div w:id="562180699">
                  <w:marLeft w:val="0"/>
                  <w:marRight w:val="0"/>
                  <w:marTop w:val="0"/>
                  <w:marBottom w:val="0"/>
                  <w:divBdr>
                    <w:top w:val="none" w:sz="0" w:space="0" w:color="auto"/>
                    <w:left w:val="none" w:sz="0" w:space="0" w:color="auto"/>
                    <w:bottom w:val="none" w:sz="0" w:space="0" w:color="auto"/>
                    <w:right w:val="none" w:sz="0" w:space="0" w:color="auto"/>
                  </w:divBdr>
                  <w:divsChild>
                    <w:div w:id="484318411">
                      <w:marLeft w:val="0"/>
                      <w:marRight w:val="0"/>
                      <w:marTop w:val="0"/>
                      <w:marBottom w:val="0"/>
                      <w:divBdr>
                        <w:top w:val="none" w:sz="0" w:space="0" w:color="auto"/>
                        <w:left w:val="none" w:sz="0" w:space="0" w:color="auto"/>
                        <w:bottom w:val="none" w:sz="0" w:space="0" w:color="auto"/>
                        <w:right w:val="none" w:sz="0" w:space="0" w:color="auto"/>
                      </w:divBdr>
                      <w:divsChild>
                        <w:div w:id="798835597">
                          <w:marLeft w:val="0"/>
                          <w:marRight w:val="0"/>
                          <w:marTop w:val="0"/>
                          <w:marBottom w:val="0"/>
                          <w:divBdr>
                            <w:top w:val="none" w:sz="0" w:space="0" w:color="auto"/>
                            <w:left w:val="none" w:sz="0" w:space="0" w:color="auto"/>
                            <w:bottom w:val="none" w:sz="0" w:space="0" w:color="auto"/>
                            <w:right w:val="none" w:sz="0" w:space="0" w:color="auto"/>
                          </w:divBdr>
                          <w:divsChild>
                            <w:div w:id="1862082934">
                              <w:marLeft w:val="0"/>
                              <w:marRight w:val="0"/>
                              <w:marTop w:val="0"/>
                              <w:marBottom w:val="0"/>
                              <w:divBdr>
                                <w:top w:val="none" w:sz="0" w:space="0" w:color="auto"/>
                                <w:left w:val="none" w:sz="0" w:space="0" w:color="auto"/>
                                <w:bottom w:val="none" w:sz="0" w:space="0" w:color="auto"/>
                                <w:right w:val="none" w:sz="0" w:space="0" w:color="auto"/>
                              </w:divBdr>
                              <w:divsChild>
                                <w:div w:id="20541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17746">
          <w:marLeft w:val="0"/>
          <w:marRight w:val="0"/>
          <w:marTop w:val="0"/>
          <w:marBottom w:val="0"/>
          <w:divBdr>
            <w:top w:val="none" w:sz="0" w:space="0" w:color="auto"/>
            <w:left w:val="none" w:sz="0" w:space="0" w:color="auto"/>
            <w:bottom w:val="none" w:sz="0" w:space="0" w:color="auto"/>
            <w:right w:val="none" w:sz="0" w:space="0" w:color="auto"/>
          </w:divBdr>
          <w:divsChild>
            <w:div w:id="1689059989">
              <w:marLeft w:val="0"/>
              <w:marRight w:val="0"/>
              <w:marTop w:val="0"/>
              <w:marBottom w:val="0"/>
              <w:divBdr>
                <w:top w:val="none" w:sz="0" w:space="0" w:color="auto"/>
                <w:left w:val="none" w:sz="0" w:space="0" w:color="auto"/>
                <w:bottom w:val="none" w:sz="0" w:space="0" w:color="auto"/>
                <w:right w:val="none" w:sz="0" w:space="0" w:color="auto"/>
              </w:divBdr>
              <w:divsChild>
                <w:div w:id="499780598">
                  <w:marLeft w:val="0"/>
                  <w:marRight w:val="0"/>
                  <w:marTop w:val="0"/>
                  <w:marBottom w:val="0"/>
                  <w:divBdr>
                    <w:top w:val="none" w:sz="0" w:space="0" w:color="auto"/>
                    <w:left w:val="none" w:sz="0" w:space="0" w:color="auto"/>
                    <w:bottom w:val="none" w:sz="0" w:space="0" w:color="auto"/>
                    <w:right w:val="none" w:sz="0" w:space="0" w:color="auto"/>
                  </w:divBdr>
                  <w:divsChild>
                    <w:div w:id="684866324">
                      <w:marLeft w:val="0"/>
                      <w:marRight w:val="0"/>
                      <w:marTop w:val="0"/>
                      <w:marBottom w:val="0"/>
                      <w:divBdr>
                        <w:top w:val="none" w:sz="0" w:space="0" w:color="auto"/>
                        <w:left w:val="none" w:sz="0" w:space="0" w:color="auto"/>
                        <w:bottom w:val="none" w:sz="0" w:space="0" w:color="auto"/>
                        <w:right w:val="none" w:sz="0" w:space="0" w:color="auto"/>
                      </w:divBdr>
                      <w:divsChild>
                        <w:div w:id="541019970">
                          <w:marLeft w:val="0"/>
                          <w:marRight w:val="0"/>
                          <w:marTop w:val="0"/>
                          <w:marBottom w:val="0"/>
                          <w:divBdr>
                            <w:top w:val="none" w:sz="0" w:space="0" w:color="auto"/>
                            <w:left w:val="none" w:sz="0" w:space="0" w:color="auto"/>
                            <w:bottom w:val="none" w:sz="0" w:space="0" w:color="auto"/>
                            <w:right w:val="none" w:sz="0" w:space="0" w:color="auto"/>
                          </w:divBdr>
                          <w:divsChild>
                            <w:div w:id="1720400200">
                              <w:marLeft w:val="0"/>
                              <w:marRight w:val="0"/>
                              <w:marTop w:val="0"/>
                              <w:marBottom w:val="0"/>
                              <w:divBdr>
                                <w:top w:val="none" w:sz="0" w:space="0" w:color="auto"/>
                                <w:left w:val="none" w:sz="0" w:space="0" w:color="auto"/>
                                <w:bottom w:val="none" w:sz="0" w:space="0" w:color="auto"/>
                                <w:right w:val="none" w:sz="0" w:space="0" w:color="auto"/>
                              </w:divBdr>
                              <w:divsChild>
                                <w:div w:id="23948004">
                                  <w:marLeft w:val="0"/>
                                  <w:marRight w:val="0"/>
                                  <w:marTop w:val="0"/>
                                  <w:marBottom w:val="0"/>
                                  <w:divBdr>
                                    <w:top w:val="none" w:sz="0" w:space="0" w:color="auto"/>
                                    <w:left w:val="none" w:sz="0" w:space="0" w:color="auto"/>
                                    <w:bottom w:val="none" w:sz="0" w:space="0" w:color="auto"/>
                                    <w:right w:val="none" w:sz="0" w:space="0" w:color="auto"/>
                                  </w:divBdr>
                                  <w:divsChild>
                                    <w:div w:id="1494754630">
                                      <w:marLeft w:val="0"/>
                                      <w:marRight w:val="0"/>
                                      <w:marTop w:val="0"/>
                                      <w:marBottom w:val="0"/>
                                      <w:divBdr>
                                        <w:top w:val="none" w:sz="0" w:space="0" w:color="auto"/>
                                        <w:left w:val="none" w:sz="0" w:space="0" w:color="auto"/>
                                        <w:bottom w:val="none" w:sz="0" w:space="0" w:color="auto"/>
                                        <w:right w:val="none" w:sz="0" w:space="0" w:color="auto"/>
                                      </w:divBdr>
                                      <w:divsChild>
                                        <w:div w:id="3896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298262">
                      <w:marLeft w:val="0"/>
                      <w:marRight w:val="0"/>
                      <w:marTop w:val="0"/>
                      <w:marBottom w:val="0"/>
                      <w:divBdr>
                        <w:top w:val="none" w:sz="0" w:space="0" w:color="auto"/>
                        <w:left w:val="none" w:sz="0" w:space="0" w:color="auto"/>
                        <w:bottom w:val="none" w:sz="0" w:space="0" w:color="auto"/>
                        <w:right w:val="none" w:sz="0" w:space="0" w:color="auto"/>
                      </w:divBdr>
                      <w:divsChild>
                        <w:div w:id="376467450">
                          <w:marLeft w:val="0"/>
                          <w:marRight w:val="0"/>
                          <w:marTop w:val="0"/>
                          <w:marBottom w:val="0"/>
                          <w:divBdr>
                            <w:top w:val="none" w:sz="0" w:space="0" w:color="auto"/>
                            <w:left w:val="none" w:sz="0" w:space="0" w:color="auto"/>
                            <w:bottom w:val="none" w:sz="0" w:space="0" w:color="auto"/>
                            <w:right w:val="none" w:sz="0" w:space="0" w:color="auto"/>
                          </w:divBdr>
                          <w:divsChild>
                            <w:div w:id="304894031">
                              <w:marLeft w:val="0"/>
                              <w:marRight w:val="0"/>
                              <w:marTop w:val="0"/>
                              <w:marBottom w:val="0"/>
                              <w:divBdr>
                                <w:top w:val="none" w:sz="0" w:space="0" w:color="auto"/>
                                <w:left w:val="none" w:sz="0" w:space="0" w:color="auto"/>
                                <w:bottom w:val="none" w:sz="0" w:space="0" w:color="auto"/>
                                <w:right w:val="none" w:sz="0" w:space="0" w:color="auto"/>
                              </w:divBdr>
                            </w:div>
                          </w:divsChild>
                        </w:div>
                        <w:div w:id="485633406">
                          <w:marLeft w:val="0"/>
                          <w:marRight w:val="0"/>
                          <w:marTop w:val="0"/>
                          <w:marBottom w:val="0"/>
                          <w:divBdr>
                            <w:top w:val="none" w:sz="0" w:space="0" w:color="auto"/>
                            <w:left w:val="none" w:sz="0" w:space="0" w:color="auto"/>
                            <w:bottom w:val="none" w:sz="0" w:space="0" w:color="auto"/>
                            <w:right w:val="none" w:sz="0" w:space="0" w:color="auto"/>
                          </w:divBdr>
                          <w:divsChild>
                            <w:div w:id="1908762675">
                              <w:marLeft w:val="0"/>
                              <w:marRight w:val="0"/>
                              <w:marTop w:val="0"/>
                              <w:marBottom w:val="0"/>
                              <w:divBdr>
                                <w:top w:val="none" w:sz="0" w:space="0" w:color="auto"/>
                                <w:left w:val="none" w:sz="0" w:space="0" w:color="auto"/>
                                <w:bottom w:val="none" w:sz="0" w:space="0" w:color="auto"/>
                                <w:right w:val="none" w:sz="0" w:space="0" w:color="auto"/>
                              </w:divBdr>
                              <w:divsChild>
                                <w:div w:id="19986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043052">
          <w:marLeft w:val="0"/>
          <w:marRight w:val="0"/>
          <w:marTop w:val="0"/>
          <w:marBottom w:val="0"/>
          <w:divBdr>
            <w:top w:val="none" w:sz="0" w:space="0" w:color="auto"/>
            <w:left w:val="none" w:sz="0" w:space="0" w:color="auto"/>
            <w:bottom w:val="none" w:sz="0" w:space="0" w:color="auto"/>
            <w:right w:val="none" w:sz="0" w:space="0" w:color="auto"/>
          </w:divBdr>
          <w:divsChild>
            <w:div w:id="1460294219">
              <w:marLeft w:val="0"/>
              <w:marRight w:val="0"/>
              <w:marTop w:val="0"/>
              <w:marBottom w:val="0"/>
              <w:divBdr>
                <w:top w:val="none" w:sz="0" w:space="0" w:color="auto"/>
                <w:left w:val="none" w:sz="0" w:space="0" w:color="auto"/>
                <w:bottom w:val="none" w:sz="0" w:space="0" w:color="auto"/>
                <w:right w:val="none" w:sz="0" w:space="0" w:color="auto"/>
              </w:divBdr>
              <w:divsChild>
                <w:div w:id="1127236768">
                  <w:marLeft w:val="0"/>
                  <w:marRight w:val="0"/>
                  <w:marTop w:val="0"/>
                  <w:marBottom w:val="0"/>
                  <w:divBdr>
                    <w:top w:val="none" w:sz="0" w:space="0" w:color="auto"/>
                    <w:left w:val="none" w:sz="0" w:space="0" w:color="auto"/>
                    <w:bottom w:val="none" w:sz="0" w:space="0" w:color="auto"/>
                    <w:right w:val="none" w:sz="0" w:space="0" w:color="auto"/>
                  </w:divBdr>
                  <w:divsChild>
                    <w:div w:id="1755664381">
                      <w:marLeft w:val="0"/>
                      <w:marRight w:val="0"/>
                      <w:marTop w:val="0"/>
                      <w:marBottom w:val="0"/>
                      <w:divBdr>
                        <w:top w:val="none" w:sz="0" w:space="0" w:color="auto"/>
                        <w:left w:val="none" w:sz="0" w:space="0" w:color="auto"/>
                        <w:bottom w:val="none" w:sz="0" w:space="0" w:color="auto"/>
                        <w:right w:val="none" w:sz="0" w:space="0" w:color="auto"/>
                      </w:divBdr>
                      <w:divsChild>
                        <w:div w:id="332683500">
                          <w:marLeft w:val="0"/>
                          <w:marRight w:val="0"/>
                          <w:marTop w:val="0"/>
                          <w:marBottom w:val="0"/>
                          <w:divBdr>
                            <w:top w:val="none" w:sz="0" w:space="0" w:color="auto"/>
                            <w:left w:val="none" w:sz="0" w:space="0" w:color="auto"/>
                            <w:bottom w:val="none" w:sz="0" w:space="0" w:color="auto"/>
                            <w:right w:val="none" w:sz="0" w:space="0" w:color="auto"/>
                          </w:divBdr>
                          <w:divsChild>
                            <w:div w:id="2014798809">
                              <w:marLeft w:val="0"/>
                              <w:marRight w:val="0"/>
                              <w:marTop w:val="0"/>
                              <w:marBottom w:val="0"/>
                              <w:divBdr>
                                <w:top w:val="none" w:sz="0" w:space="0" w:color="auto"/>
                                <w:left w:val="none" w:sz="0" w:space="0" w:color="auto"/>
                                <w:bottom w:val="none" w:sz="0" w:space="0" w:color="auto"/>
                                <w:right w:val="none" w:sz="0" w:space="0" w:color="auto"/>
                              </w:divBdr>
                              <w:divsChild>
                                <w:div w:id="16137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013064">
          <w:marLeft w:val="0"/>
          <w:marRight w:val="0"/>
          <w:marTop w:val="0"/>
          <w:marBottom w:val="0"/>
          <w:divBdr>
            <w:top w:val="none" w:sz="0" w:space="0" w:color="auto"/>
            <w:left w:val="none" w:sz="0" w:space="0" w:color="auto"/>
            <w:bottom w:val="none" w:sz="0" w:space="0" w:color="auto"/>
            <w:right w:val="none" w:sz="0" w:space="0" w:color="auto"/>
          </w:divBdr>
          <w:divsChild>
            <w:div w:id="2143305938">
              <w:marLeft w:val="0"/>
              <w:marRight w:val="0"/>
              <w:marTop w:val="0"/>
              <w:marBottom w:val="0"/>
              <w:divBdr>
                <w:top w:val="none" w:sz="0" w:space="0" w:color="auto"/>
                <w:left w:val="none" w:sz="0" w:space="0" w:color="auto"/>
                <w:bottom w:val="none" w:sz="0" w:space="0" w:color="auto"/>
                <w:right w:val="none" w:sz="0" w:space="0" w:color="auto"/>
              </w:divBdr>
              <w:divsChild>
                <w:div w:id="750278832">
                  <w:marLeft w:val="0"/>
                  <w:marRight w:val="0"/>
                  <w:marTop w:val="0"/>
                  <w:marBottom w:val="0"/>
                  <w:divBdr>
                    <w:top w:val="none" w:sz="0" w:space="0" w:color="auto"/>
                    <w:left w:val="none" w:sz="0" w:space="0" w:color="auto"/>
                    <w:bottom w:val="none" w:sz="0" w:space="0" w:color="auto"/>
                    <w:right w:val="none" w:sz="0" w:space="0" w:color="auto"/>
                  </w:divBdr>
                  <w:divsChild>
                    <w:div w:id="988245711">
                      <w:marLeft w:val="0"/>
                      <w:marRight w:val="0"/>
                      <w:marTop w:val="0"/>
                      <w:marBottom w:val="0"/>
                      <w:divBdr>
                        <w:top w:val="none" w:sz="0" w:space="0" w:color="auto"/>
                        <w:left w:val="none" w:sz="0" w:space="0" w:color="auto"/>
                        <w:bottom w:val="none" w:sz="0" w:space="0" w:color="auto"/>
                        <w:right w:val="none" w:sz="0" w:space="0" w:color="auto"/>
                      </w:divBdr>
                      <w:divsChild>
                        <w:div w:id="636299285">
                          <w:marLeft w:val="0"/>
                          <w:marRight w:val="0"/>
                          <w:marTop w:val="0"/>
                          <w:marBottom w:val="0"/>
                          <w:divBdr>
                            <w:top w:val="none" w:sz="0" w:space="0" w:color="auto"/>
                            <w:left w:val="none" w:sz="0" w:space="0" w:color="auto"/>
                            <w:bottom w:val="none" w:sz="0" w:space="0" w:color="auto"/>
                            <w:right w:val="none" w:sz="0" w:space="0" w:color="auto"/>
                          </w:divBdr>
                          <w:divsChild>
                            <w:div w:id="318071893">
                              <w:marLeft w:val="0"/>
                              <w:marRight w:val="0"/>
                              <w:marTop w:val="0"/>
                              <w:marBottom w:val="0"/>
                              <w:divBdr>
                                <w:top w:val="none" w:sz="0" w:space="0" w:color="auto"/>
                                <w:left w:val="none" w:sz="0" w:space="0" w:color="auto"/>
                                <w:bottom w:val="none" w:sz="0" w:space="0" w:color="auto"/>
                                <w:right w:val="none" w:sz="0" w:space="0" w:color="auto"/>
                              </w:divBdr>
                              <w:divsChild>
                                <w:div w:id="1521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830542">
      <w:bodyDiv w:val="1"/>
      <w:marLeft w:val="0"/>
      <w:marRight w:val="0"/>
      <w:marTop w:val="0"/>
      <w:marBottom w:val="0"/>
      <w:divBdr>
        <w:top w:val="none" w:sz="0" w:space="0" w:color="auto"/>
        <w:left w:val="none" w:sz="0" w:space="0" w:color="auto"/>
        <w:bottom w:val="none" w:sz="0" w:space="0" w:color="auto"/>
        <w:right w:val="none" w:sz="0" w:space="0" w:color="auto"/>
      </w:divBdr>
    </w:div>
    <w:div w:id="1583492551">
      <w:bodyDiv w:val="1"/>
      <w:marLeft w:val="0"/>
      <w:marRight w:val="0"/>
      <w:marTop w:val="0"/>
      <w:marBottom w:val="0"/>
      <w:divBdr>
        <w:top w:val="none" w:sz="0" w:space="0" w:color="auto"/>
        <w:left w:val="none" w:sz="0" w:space="0" w:color="auto"/>
        <w:bottom w:val="none" w:sz="0" w:space="0" w:color="auto"/>
        <w:right w:val="none" w:sz="0" w:space="0" w:color="auto"/>
      </w:divBdr>
      <w:divsChild>
        <w:div w:id="491944033">
          <w:marLeft w:val="274"/>
          <w:marRight w:val="0"/>
          <w:marTop w:val="0"/>
          <w:marBottom w:val="120"/>
          <w:divBdr>
            <w:top w:val="none" w:sz="0" w:space="0" w:color="auto"/>
            <w:left w:val="none" w:sz="0" w:space="0" w:color="auto"/>
            <w:bottom w:val="none" w:sz="0" w:space="0" w:color="auto"/>
            <w:right w:val="none" w:sz="0" w:space="0" w:color="auto"/>
          </w:divBdr>
        </w:div>
        <w:div w:id="754933436">
          <w:marLeft w:val="274"/>
          <w:marRight w:val="0"/>
          <w:marTop w:val="0"/>
          <w:marBottom w:val="120"/>
          <w:divBdr>
            <w:top w:val="none" w:sz="0" w:space="0" w:color="auto"/>
            <w:left w:val="none" w:sz="0" w:space="0" w:color="auto"/>
            <w:bottom w:val="none" w:sz="0" w:space="0" w:color="auto"/>
            <w:right w:val="none" w:sz="0" w:space="0" w:color="auto"/>
          </w:divBdr>
        </w:div>
        <w:div w:id="1089813299">
          <w:marLeft w:val="274"/>
          <w:marRight w:val="0"/>
          <w:marTop w:val="0"/>
          <w:marBottom w:val="120"/>
          <w:divBdr>
            <w:top w:val="none" w:sz="0" w:space="0" w:color="auto"/>
            <w:left w:val="none" w:sz="0" w:space="0" w:color="auto"/>
            <w:bottom w:val="none" w:sz="0" w:space="0" w:color="auto"/>
            <w:right w:val="none" w:sz="0" w:space="0" w:color="auto"/>
          </w:divBdr>
        </w:div>
        <w:div w:id="1908294769">
          <w:marLeft w:val="274"/>
          <w:marRight w:val="0"/>
          <w:marTop w:val="0"/>
          <w:marBottom w:val="120"/>
          <w:divBdr>
            <w:top w:val="none" w:sz="0" w:space="0" w:color="auto"/>
            <w:left w:val="none" w:sz="0" w:space="0" w:color="auto"/>
            <w:bottom w:val="none" w:sz="0" w:space="0" w:color="auto"/>
            <w:right w:val="none" w:sz="0" w:space="0" w:color="auto"/>
          </w:divBdr>
        </w:div>
        <w:div w:id="1980383462">
          <w:marLeft w:val="274"/>
          <w:marRight w:val="0"/>
          <w:marTop w:val="0"/>
          <w:marBottom w:val="120"/>
          <w:divBdr>
            <w:top w:val="none" w:sz="0" w:space="0" w:color="auto"/>
            <w:left w:val="none" w:sz="0" w:space="0" w:color="auto"/>
            <w:bottom w:val="none" w:sz="0" w:space="0" w:color="auto"/>
            <w:right w:val="none" w:sz="0" w:space="0" w:color="auto"/>
          </w:divBdr>
        </w:div>
      </w:divsChild>
    </w:div>
    <w:div w:id="1586761517">
      <w:bodyDiv w:val="1"/>
      <w:marLeft w:val="0"/>
      <w:marRight w:val="0"/>
      <w:marTop w:val="0"/>
      <w:marBottom w:val="0"/>
      <w:divBdr>
        <w:top w:val="none" w:sz="0" w:space="0" w:color="auto"/>
        <w:left w:val="none" w:sz="0" w:space="0" w:color="auto"/>
        <w:bottom w:val="none" w:sz="0" w:space="0" w:color="auto"/>
        <w:right w:val="none" w:sz="0" w:space="0" w:color="auto"/>
      </w:divBdr>
    </w:div>
    <w:div w:id="1593271156">
      <w:bodyDiv w:val="1"/>
      <w:marLeft w:val="0"/>
      <w:marRight w:val="0"/>
      <w:marTop w:val="0"/>
      <w:marBottom w:val="0"/>
      <w:divBdr>
        <w:top w:val="none" w:sz="0" w:space="0" w:color="auto"/>
        <w:left w:val="none" w:sz="0" w:space="0" w:color="auto"/>
        <w:bottom w:val="none" w:sz="0" w:space="0" w:color="auto"/>
        <w:right w:val="none" w:sz="0" w:space="0" w:color="auto"/>
      </w:divBdr>
      <w:divsChild>
        <w:div w:id="773595464">
          <w:marLeft w:val="274"/>
          <w:marRight w:val="0"/>
          <w:marTop w:val="0"/>
          <w:marBottom w:val="0"/>
          <w:divBdr>
            <w:top w:val="none" w:sz="0" w:space="0" w:color="auto"/>
            <w:left w:val="none" w:sz="0" w:space="0" w:color="auto"/>
            <w:bottom w:val="none" w:sz="0" w:space="0" w:color="auto"/>
            <w:right w:val="none" w:sz="0" w:space="0" w:color="auto"/>
          </w:divBdr>
        </w:div>
        <w:div w:id="1841695897">
          <w:marLeft w:val="274"/>
          <w:marRight w:val="0"/>
          <w:marTop w:val="0"/>
          <w:marBottom w:val="0"/>
          <w:divBdr>
            <w:top w:val="none" w:sz="0" w:space="0" w:color="auto"/>
            <w:left w:val="none" w:sz="0" w:space="0" w:color="auto"/>
            <w:bottom w:val="none" w:sz="0" w:space="0" w:color="auto"/>
            <w:right w:val="none" w:sz="0" w:space="0" w:color="auto"/>
          </w:divBdr>
        </w:div>
        <w:div w:id="2073036781">
          <w:marLeft w:val="274"/>
          <w:marRight w:val="0"/>
          <w:marTop w:val="0"/>
          <w:marBottom w:val="0"/>
          <w:divBdr>
            <w:top w:val="none" w:sz="0" w:space="0" w:color="auto"/>
            <w:left w:val="none" w:sz="0" w:space="0" w:color="auto"/>
            <w:bottom w:val="none" w:sz="0" w:space="0" w:color="auto"/>
            <w:right w:val="none" w:sz="0" w:space="0" w:color="auto"/>
          </w:divBdr>
        </w:div>
      </w:divsChild>
    </w:div>
    <w:div w:id="1599633181">
      <w:bodyDiv w:val="1"/>
      <w:marLeft w:val="0"/>
      <w:marRight w:val="0"/>
      <w:marTop w:val="0"/>
      <w:marBottom w:val="0"/>
      <w:divBdr>
        <w:top w:val="none" w:sz="0" w:space="0" w:color="auto"/>
        <w:left w:val="none" w:sz="0" w:space="0" w:color="auto"/>
        <w:bottom w:val="none" w:sz="0" w:space="0" w:color="auto"/>
        <w:right w:val="none" w:sz="0" w:space="0" w:color="auto"/>
      </w:divBdr>
      <w:divsChild>
        <w:div w:id="66802636">
          <w:marLeft w:val="0"/>
          <w:marRight w:val="0"/>
          <w:marTop w:val="0"/>
          <w:marBottom w:val="0"/>
          <w:divBdr>
            <w:top w:val="none" w:sz="0" w:space="0" w:color="auto"/>
            <w:left w:val="none" w:sz="0" w:space="0" w:color="auto"/>
            <w:bottom w:val="none" w:sz="0" w:space="0" w:color="auto"/>
            <w:right w:val="none" w:sz="0" w:space="0" w:color="auto"/>
          </w:divBdr>
        </w:div>
        <w:div w:id="97718223">
          <w:marLeft w:val="0"/>
          <w:marRight w:val="0"/>
          <w:marTop w:val="0"/>
          <w:marBottom w:val="0"/>
          <w:divBdr>
            <w:top w:val="none" w:sz="0" w:space="0" w:color="auto"/>
            <w:left w:val="none" w:sz="0" w:space="0" w:color="auto"/>
            <w:bottom w:val="none" w:sz="0" w:space="0" w:color="auto"/>
            <w:right w:val="none" w:sz="0" w:space="0" w:color="auto"/>
          </w:divBdr>
        </w:div>
        <w:div w:id="110321876">
          <w:marLeft w:val="0"/>
          <w:marRight w:val="0"/>
          <w:marTop w:val="0"/>
          <w:marBottom w:val="0"/>
          <w:divBdr>
            <w:top w:val="none" w:sz="0" w:space="0" w:color="auto"/>
            <w:left w:val="none" w:sz="0" w:space="0" w:color="auto"/>
            <w:bottom w:val="none" w:sz="0" w:space="0" w:color="auto"/>
            <w:right w:val="none" w:sz="0" w:space="0" w:color="auto"/>
          </w:divBdr>
        </w:div>
        <w:div w:id="111674317">
          <w:marLeft w:val="0"/>
          <w:marRight w:val="0"/>
          <w:marTop w:val="0"/>
          <w:marBottom w:val="0"/>
          <w:divBdr>
            <w:top w:val="none" w:sz="0" w:space="0" w:color="auto"/>
            <w:left w:val="none" w:sz="0" w:space="0" w:color="auto"/>
            <w:bottom w:val="none" w:sz="0" w:space="0" w:color="auto"/>
            <w:right w:val="none" w:sz="0" w:space="0" w:color="auto"/>
          </w:divBdr>
        </w:div>
        <w:div w:id="142282465">
          <w:marLeft w:val="0"/>
          <w:marRight w:val="0"/>
          <w:marTop w:val="0"/>
          <w:marBottom w:val="0"/>
          <w:divBdr>
            <w:top w:val="none" w:sz="0" w:space="0" w:color="auto"/>
            <w:left w:val="none" w:sz="0" w:space="0" w:color="auto"/>
            <w:bottom w:val="none" w:sz="0" w:space="0" w:color="auto"/>
            <w:right w:val="none" w:sz="0" w:space="0" w:color="auto"/>
          </w:divBdr>
        </w:div>
        <w:div w:id="153183003">
          <w:marLeft w:val="0"/>
          <w:marRight w:val="0"/>
          <w:marTop w:val="0"/>
          <w:marBottom w:val="0"/>
          <w:divBdr>
            <w:top w:val="none" w:sz="0" w:space="0" w:color="auto"/>
            <w:left w:val="none" w:sz="0" w:space="0" w:color="auto"/>
            <w:bottom w:val="none" w:sz="0" w:space="0" w:color="auto"/>
            <w:right w:val="none" w:sz="0" w:space="0" w:color="auto"/>
          </w:divBdr>
        </w:div>
        <w:div w:id="404882341">
          <w:marLeft w:val="0"/>
          <w:marRight w:val="0"/>
          <w:marTop w:val="0"/>
          <w:marBottom w:val="0"/>
          <w:divBdr>
            <w:top w:val="none" w:sz="0" w:space="0" w:color="auto"/>
            <w:left w:val="none" w:sz="0" w:space="0" w:color="auto"/>
            <w:bottom w:val="none" w:sz="0" w:space="0" w:color="auto"/>
            <w:right w:val="none" w:sz="0" w:space="0" w:color="auto"/>
          </w:divBdr>
        </w:div>
        <w:div w:id="430861175">
          <w:marLeft w:val="0"/>
          <w:marRight w:val="0"/>
          <w:marTop w:val="0"/>
          <w:marBottom w:val="0"/>
          <w:divBdr>
            <w:top w:val="none" w:sz="0" w:space="0" w:color="auto"/>
            <w:left w:val="none" w:sz="0" w:space="0" w:color="auto"/>
            <w:bottom w:val="none" w:sz="0" w:space="0" w:color="auto"/>
            <w:right w:val="none" w:sz="0" w:space="0" w:color="auto"/>
          </w:divBdr>
        </w:div>
        <w:div w:id="438720346">
          <w:marLeft w:val="0"/>
          <w:marRight w:val="0"/>
          <w:marTop w:val="0"/>
          <w:marBottom w:val="0"/>
          <w:divBdr>
            <w:top w:val="none" w:sz="0" w:space="0" w:color="auto"/>
            <w:left w:val="none" w:sz="0" w:space="0" w:color="auto"/>
            <w:bottom w:val="none" w:sz="0" w:space="0" w:color="auto"/>
            <w:right w:val="none" w:sz="0" w:space="0" w:color="auto"/>
          </w:divBdr>
        </w:div>
        <w:div w:id="453670660">
          <w:marLeft w:val="0"/>
          <w:marRight w:val="0"/>
          <w:marTop w:val="0"/>
          <w:marBottom w:val="0"/>
          <w:divBdr>
            <w:top w:val="none" w:sz="0" w:space="0" w:color="auto"/>
            <w:left w:val="none" w:sz="0" w:space="0" w:color="auto"/>
            <w:bottom w:val="none" w:sz="0" w:space="0" w:color="auto"/>
            <w:right w:val="none" w:sz="0" w:space="0" w:color="auto"/>
          </w:divBdr>
        </w:div>
        <w:div w:id="473370018">
          <w:marLeft w:val="0"/>
          <w:marRight w:val="0"/>
          <w:marTop w:val="0"/>
          <w:marBottom w:val="0"/>
          <w:divBdr>
            <w:top w:val="none" w:sz="0" w:space="0" w:color="auto"/>
            <w:left w:val="none" w:sz="0" w:space="0" w:color="auto"/>
            <w:bottom w:val="none" w:sz="0" w:space="0" w:color="auto"/>
            <w:right w:val="none" w:sz="0" w:space="0" w:color="auto"/>
          </w:divBdr>
        </w:div>
        <w:div w:id="478301642">
          <w:marLeft w:val="0"/>
          <w:marRight w:val="0"/>
          <w:marTop w:val="0"/>
          <w:marBottom w:val="0"/>
          <w:divBdr>
            <w:top w:val="none" w:sz="0" w:space="0" w:color="auto"/>
            <w:left w:val="none" w:sz="0" w:space="0" w:color="auto"/>
            <w:bottom w:val="none" w:sz="0" w:space="0" w:color="auto"/>
            <w:right w:val="none" w:sz="0" w:space="0" w:color="auto"/>
          </w:divBdr>
        </w:div>
        <w:div w:id="525681094">
          <w:marLeft w:val="0"/>
          <w:marRight w:val="0"/>
          <w:marTop w:val="0"/>
          <w:marBottom w:val="0"/>
          <w:divBdr>
            <w:top w:val="none" w:sz="0" w:space="0" w:color="auto"/>
            <w:left w:val="none" w:sz="0" w:space="0" w:color="auto"/>
            <w:bottom w:val="none" w:sz="0" w:space="0" w:color="auto"/>
            <w:right w:val="none" w:sz="0" w:space="0" w:color="auto"/>
          </w:divBdr>
        </w:div>
        <w:div w:id="564682642">
          <w:marLeft w:val="0"/>
          <w:marRight w:val="0"/>
          <w:marTop w:val="0"/>
          <w:marBottom w:val="0"/>
          <w:divBdr>
            <w:top w:val="none" w:sz="0" w:space="0" w:color="auto"/>
            <w:left w:val="none" w:sz="0" w:space="0" w:color="auto"/>
            <w:bottom w:val="none" w:sz="0" w:space="0" w:color="auto"/>
            <w:right w:val="none" w:sz="0" w:space="0" w:color="auto"/>
          </w:divBdr>
        </w:div>
        <w:div w:id="572086315">
          <w:marLeft w:val="0"/>
          <w:marRight w:val="0"/>
          <w:marTop w:val="0"/>
          <w:marBottom w:val="0"/>
          <w:divBdr>
            <w:top w:val="none" w:sz="0" w:space="0" w:color="auto"/>
            <w:left w:val="none" w:sz="0" w:space="0" w:color="auto"/>
            <w:bottom w:val="none" w:sz="0" w:space="0" w:color="auto"/>
            <w:right w:val="none" w:sz="0" w:space="0" w:color="auto"/>
          </w:divBdr>
        </w:div>
        <w:div w:id="592789392">
          <w:marLeft w:val="0"/>
          <w:marRight w:val="0"/>
          <w:marTop w:val="0"/>
          <w:marBottom w:val="0"/>
          <w:divBdr>
            <w:top w:val="none" w:sz="0" w:space="0" w:color="auto"/>
            <w:left w:val="none" w:sz="0" w:space="0" w:color="auto"/>
            <w:bottom w:val="none" w:sz="0" w:space="0" w:color="auto"/>
            <w:right w:val="none" w:sz="0" w:space="0" w:color="auto"/>
          </w:divBdr>
        </w:div>
        <w:div w:id="603810601">
          <w:marLeft w:val="0"/>
          <w:marRight w:val="0"/>
          <w:marTop w:val="0"/>
          <w:marBottom w:val="0"/>
          <w:divBdr>
            <w:top w:val="none" w:sz="0" w:space="0" w:color="auto"/>
            <w:left w:val="none" w:sz="0" w:space="0" w:color="auto"/>
            <w:bottom w:val="none" w:sz="0" w:space="0" w:color="auto"/>
            <w:right w:val="none" w:sz="0" w:space="0" w:color="auto"/>
          </w:divBdr>
        </w:div>
        <w:div w:id="692805601">
          <w:marLeft w:val="0"/>
          <w:marRight w:val="0"/>
          <w:marTop w:val="0"/>
          <w:marBottom w:val="0"/>
          <w:divBdr>
            <w:top w:val="none" w:sz="0" w:space="0" w:color="auto"/>
            <w:left w:val="none" w:sz="0" w:space="0" w:color="auto"/>
            <w:bottom w:val="none" w:sz="0" w:space="0" w:color="auto"/>
            <w:right w:val="none" w:sz="0" w:space="0" w:color="auto"/>
          </w:divBdr>
        </w:div>
        <w:div w:id="707293653">
          <w:marLeft w:val="0"/>
          <w:marRight w:val="0"/>
          <w:marTop w:val="0"/>
          <w:marBottom w:val="0"/>
          <w:divBdr>
            <w:top w:val="none" w:sz="0" w:space="0" w:color="auto"/>
            <w:left w:val="none" w:sz="0" w:space="0" w:color="auto"/>
            <w:bottom w:val="none" w:sz="0" w:space="0" w:color="auto"/>
            <w:right w:val="none" w:sz="0" w:space="0" w:color="auto"/>
          </w:divBdr>
        </w:div>
        <w:div w:id="743379261">
          <w:marLeft w:val="0"/>
          <w:marRight w:val="0"/>
          <w:marTop w:val="0"/>
          <w:marBottom w:val="0"/>
          <w:divBdr>
            <w:top w:val="none" w:sz="0" w:space="0" w:color="auto"/>
            <w:left w:val="none" w:sz="0" w:space="0" w:color="auto"/>
            <w:bottom w:val="none" w:sz="0" w:space="0" w:color="auto"/>
            <w:right w:val="none" w:sz="0" w:space="0" w:color="auto"/>
          </w:divBdr>
        </w:div>
        <w:div w:id="849105383">
          <w:marLeft w:val="0"/>
          <w:marRight w:val="0"/>
          <w:marTop w:val="0"/>
          <w:marBottom w:val="0"/>
          <w:divBdr>
            <w:top w:val="none" w:sz="0" w:space="0" w:color="auto"/>
            <w:left w:val="none" w:sz="0" w:space="0" w:color="auto"/>
            <w:bottom w:val="none" w:sz="0" w:space="0" w:color="auto"/>
            <w:right w:val="none" w:sz="0" w:space="0" w:color="auto"/>
          </w:divBdr>
        </w:div>
        <w:div w:id="856384387">
          <w:marLeft w:val="0"/>
          <w:marRight w:val="0"/>
          <w:marTop w:val="0"/>
          <w:marBottom w:val="0"/>
          <w:divBdr>
            <w:top w:val="none" w:sz="0" w:space="0" w:color="auto"/>
            <w:left w:val="none" w:sz="0" w:space="0" w:color="auto"/>
            <w:bottom w:val="none" w:sz="0" w:space="0" w:color="auto"/>
            <w:right w:val="none" w:sz="0" w:space="0" w:color="auto"/>
          </w:divBdr>
        </w:div>
        <w:div w:id="941451979">
          <w:marLeft w:val="0"/>
          <w:marRight w:val="0"/>
          <w:marTop w:val="0"/>
          <w:marBottom w:val="0"/>
          <w:divBdr>
            <w:top w:val="none" w:sz="0" w:space="0" w:color="auto"/>
            <w:left w:val="none" w:sz="0" w:space="0" w:color="auto"/>
            <w:bottom w:val="none" w:sz="0" w:space="0" w:color="auto"/>
            <w:right w:val="none" w:sz="0" w:space="0" w:color="auto"/>
          </w:divBdr>
        </w:div>
        <w:div w:id="1030299855">
          <w:marLeft w:val="0"/>
          <w:marRight w:val="0"/>
          <w:marTop w:val="0"/>
          <w:marBottom w:val="0"/>
          <w:divBdr>
            <w:top w:val="none" w:sz="0" w:space="0" w:color="auto"/>
            <w:left w:val="none" w:sz="0" w:space="0" w:color="auto"/>
            <w:bottom w:val="none" w:sz="0" w:space="0" w:color="auto"/>
            <w:right w:val="none" w:sz="0" w:space="0" w:color="auto"/>
          </w:divBdr>
        </w:div>
        <w:div w:id="1141271442">
          <w:marLeft w:val="0"/>
          <w:marRight w:val="0"/>
          <w:marTop w:val="0"/>
          <w:marBottom w:val="0"/>
          <w:divBdr>
            <w:top w:val="none" w:sz="0" w:space="0" w:color="auto"/>
            <w:left w:val="none" w:sz="0" w:space="0" w:color="auto"/>
            <w:bottom w:val="none" w:sz="0" w:space="0" w:color="auto"/>
            <w:right w:val="none" w:sz="0" w:space="0" w:color="auto"/>
          </w:divBdr>
        </w:div>
        <w:div w:id="1142382035">
          <w:marLeft w:val="0"/>
          <w:marRight w:val="0"/>
          <w:marTop w:val="0"/>
          <w:marBottom w:val="0"/>
          <w:divBdr>
            <w:top w:val="none" w:sz="0" w:space="0" w:color="auto"/>
            <w:left w:val="none" w:sz="0" w:space="0" w:color="auto"/>
            <w:bottom w:val="none" w:sz="0" w:space="0" w:color="auto"/>
            <w:right w:val="none" w:sz="0" w:space="0" w:color="auto"/>
          </w:divBdr>
        </w:div>
        <w:div w:id="1151482063">
          <w:marLeft w:val="0"/>
          <w:marRight w:val="0"/>
          <w:marTop w:val="0"/>
          <w:marBottom w:val="0"/>
          <w:divBdr>
            <w:top w:val="none" w:sz="0" w:space="0" w:color="auto"/>
            <w:left w:val="none" w:sz="0" w:space="0" w:color="auto"/>
            <w:bottom w:val="none" w:sz="0" w:space="0" w:color="auto"/>
            <w:right w:val="none" w:sz="0" w:space="0" w:color="auto"/>
          </w:divBdr>
        </w:div>
        <w:div w:id="1247224260">
          <w:marLeft w:val="0"/>
          <w:marRight w:val="0"/>
          <w:marTop w:val="0"/>
          <w:marBottom w:val="0"/>
          <w:divBdr>
            <w:top w:val="none" w:sz="0" w:space="0" w:color="auto"/>
            <w:left w:val="none" w:sz="0" w:space="0" w:color="auto"/>
            <w:bottom w:val="none" w:sz="0" w:space="0" w:color="auto"/>
            <w:right w:val="none" w:sz="0" w:space="0" w:color="auto"/>
          </w:divBdr>
        </w:div>
        <w:div w:id="1254047992">
          <w:marLeft w:val="0"/>
          <w:marRight w:val="0"/>
          <w:marTop w:val="0"/>
          <w:marBottom w:val="0"/>
          <w:divBdr>
            <w:top w:val="none" w:sz="0" w:space="0" w:color="auto"/>
            <w:left w:val="none" w:sz="0" w:space="0" w:color="auto"/>
            <w:bottom w:val="none" w:sz="0" w:space="0" w:color="auto"/>
            <w:right w:val="none" w:sz="0" w:space="0" w:color="auto"/>
          </w:divBdr>
        </w:div>
        <w:div w:id="1403412475">
          <w:marLeft w:val="0"/>
          <w:marRight w:val="0"/>
          <w:marTop w:val="0"/>
          <w:marBottom w:val="0"/>
          <w:divBdr>
            <w:top w:val="none" w:sz="0" w:space="0" w:color="auto"/>
            <w:left w:val="none" w:sz="0" w:space="0" w:color="auto"/>
            <w:bottom w:val="none" w:sz="0" w:space="0" w:color="auto"/>
            <w:right w:val="none" w:sz="0" w:space="0" w:color="auto"/>
          </w:divBdr>
        </w:div>
        <w:div w:id="1405452160">
          <w:marLeft w:val="0"/>
          <w:marRight w:val="0"/>
          <w:marTop w:val="0"/>
          <w:marBottom w:val="0"/>
          <w:divBdr>
            <w:top w:val="none" w:sz="0" w:space="0" w:color="auto"/>
            <w:left w:val="none" w:sz="0" w:space="0" w:color="auto"/>
            <w:bottom w:val="none" w:sz="0" w:space="0" w:color="auto"/>
            <w:right w:val="none" w:sz="0" w:space="0" w:color="auto"/>
          </w:divBdr>
        </w:div>
        <w:div w:id="1408116387">
          <w:marLeft w:val="0"/>
          <w:marRight w:val="0"/>
          <w:marTop w:val="0"/>
          <w:marBottom w:val="0"/>
          <w:divBdr>
            <w:top w:val="none" w:sz="0" w:space="0" w:color="auto"/>
            <w:left w:val="none" w:sz="0" w:space="0" w:color="auto"/>
            <w:bottom w:val="none" w:sz="0" w:space="0" w:color="auto"/>
            <w:right w:val="none" w:sz="0" w:space="0" w:color="auto"/>
          </w:divBdr>
        </w:div>
        <w:div w:id="1521815023">
          <w:marLeft w:val="0"/>
          <w:marRight w:val="0"/>
          <w:marTop w:val="0"/>
          <w:marBottom w:val="0"/>
          <w:divBdr>
            <w:top w:val="none" w:sz="0" w:space="0" w:color="auto"/>
            <w:left w:val="none" w:sz="0" w:space="0" w:color="auto"/>
            <w:bottom w:val="none" w:sz="0" w:space="0" w:color="auto"/>
            <w:right w:val="none" w:sz="0" w:space="0" w:color="auto"/>
          </w:divBdr>
        </w:div>
        <w:div w:id="1524200282">
          <w:marLeft w:val="0"/>
          <w:marRight w:val="0"/>
          <w:marTop w:val="0"/>
          <w:marBottom w:val="0"/>
          <w:divBdr>
            <w:top w:val="none" w:sz="0" w:space="0" w:color="auto"/>
            <w:left w:val="none" w:sz="0" w:space="0" w:color="auto"/>
            <w:bottom w:val="none" w:sz="0" w:space="0" w:color="auto"/>
            <w:right w:val="none" w:sz="0" w:space="0" w:color="auto"/>
          </w:divBdr>
        </w:div>
        <w:div w:id="1539125746">
          <w:marLeft w:val="0"/>
          <w:marRight w:val="0"/>
          <w:marTop w:val="0"/>
          <w:marBottom w:val="0"/>
          <w:divBdr>
            <w:top w:val="none" w:sz="0" w:space="0" w:color="auto"/>
            <w:left w:val="none" w:sz="0" w:space="0" w:color="auto"/>
            <w:bottom w:val="none" w:sz="0" w:space="0" w:color="auto"/>
            <w:right w:val="none" w:sz="0" w:space="0" w:color="auto"/>
          </w:divBdr>
        </w:div>
        <w:div w:id="1556310947">
          <w:marLeft w:val="0"/>
          <w:marRight w:val="0"/>
          <w:marTop w:val="0"/>
          <w:marBottom w:val="0"/>
          <w:divBdr>
            <w:top w:val="none" w:sz="0" w:space="0" w:color="auto"/>
            <w:left w:val="none" w:sz="0" w:space="0" w:color="auto"/>
            <w:bottom w:val="none" w:sz="0" w:space="0" w:color="auto"/>
            <w:right w:val="none" w:sz="0" w:space="0" w:color="auto"/>
          </w:divBdr>
        </w:div>
        <w:div w:id="1628002889">
          <w:marLeft w:val="0"/>
          <w:marRight w:val="0"/>
          <w:marTop w:val="0"/>
          <w:marBottom w:val="0"/>
          <w:divBdr>
            <w:top w:val="none" w:sz="0" w:space="0" w:color="auto"/>
            <w:left w:val="none" w:sz="0" w:space="0" w:color="auto"/>
            <w:bottom w:val="none" w:sz="0" w:space="0" w:color="auto"/>
            <w:right w:val="none" w:sz="0" w:space="0" w:color="auto"/>
          </w:divBdr>
        </w:div>
        <w:div w:id="1628125028">
          <w:marLeft w:val="0"/>
          <w:marRight w:val="0"/>
          <w:marTop w:val="0"/>
          <w:marBottom w:val="0"/>
          <w:divBdr>
            <w:top w:val="none" w:sz="0" w:space="0" w:color="auto"/>
            <w:left w:val="none" w:sz="0" w:space="0" w:color="auto"/>
            <w:bottom w:val="none" w:sz="0" w:space="0" w:color="auto"/>
            <w:right w:val="none" w:sz="0" w:space="0" w:color="auto"/>
          </w:divBdr>
        </w:div>
        <w:div w:id="1678731863">
          <w:marLeft w:val="0"/>
          <w:marRight w:val="0"/>
          <w:marTop w:val="0"/>
          <w:marBottom w:val="0"/>
          <w:divBdr>
            <w:top w:val="none" w:sz="0" w:space="0" w:color="auto"/>
            <w:left w:val="none" w:sz="0" w:space="0" w:color="auto"/>
            <w:bottom w:val="none" w:sz="0" w:space="0" w:color="auto"/>
            <w:right w:val="none" w:sz="0" w:space="0" w:color="auto"/>
          </w:divBdr>
        </w:div>
        <w:div w:id="1730881740">
          <w:marLeft w:val="0"/>
          <w:marRight w:val="0"/>
          <w:marTop w:val="0"/>
          <w:marBottom w:val="0"/>
          <w:divBdr>
            <w:top w:val="none" w:sz="0" w:space="0" w:color="auto"/>
            <w:left w:val="none" w:sz="0" w:space="0" w:color="auto"/>
            <w:bottom w:val="none" w:sz="0" w:space="0" w:color="auto"/>
            <w:right w:val="none" w:sz="0" w:space="0" w:color="auto"/>
          </w:divBdr>
        </w:div>
        <w:div w:id="1767000254">
          <w:marLeft w:val="0"/>
          <w:marRight w:val="0"/>
          <w:marTop w:val="0"/>
          <w:marBottom w:val="0"/>
          <w:divBdr>
            <w:top w:val="none" w:sz="0" w:space="0" w:color="auto"/>
            <w:left w:val="none" w:sz="0" w:space="0" w:color="auto"/>
            <w:bottom w:val="none" w:sz="0" w:space="0" w:color="auto"/>
            <w:right w:val="none" w:sz="0" w:space="0" w:color="auto"/>
          </w:divBdr>
        </w:div>
        <w:div w:id="1784689112">
          <w:marLeft w:val="0"/>
          <w:marRight w:val="0"/>
          <w:marTop w:val="0"/>
          <w:marBottom w:val="0"/>
          <w:divBdr>
            <w:top w:val="none" w:sz="0" w:space="0" w:color="auto"/>
            <w:left w:val="none" w:sz="0" w:space="0" w:color="auto"/>
            <w:bottom w:val="none" w:sz="0" w:space="0" w:color="auto"/>
            <w:right w:val="none" w:sz="0" w:space="0" w:color="auto"/>
          </w:divBdr>
        </w:div>
        <w:div w:id="1819227143">
          <w:marLeft w:val="0"/>
          <w:marRight w:val="0"/>
          <w:marTop w:val="0"/>
          <w:marBottom w:val="0"/>
          <w:divBdr>
            <w:top w:val="none" w:sz="0" w:space="0" w:color="auto"/>
            <w:left w:val="none" w:sz="0" w:space="0" w:color="auto"/>
            <w:bottom w:val="none" w:sz="0" w:space="0" w:color="auto"/>
            <w:right w:val="none" w:sz="0" w:space="0" w:color="auto"/>
          </w:divBdr>
        </w:div>
        <w:div w:id="1847748222">
          <w:marLeft w:val="0"/>
          <w:marRight w:val="0"/>
          <w:marTop w:val="0"/>
          <w:marBottom w:val="0"/>
          <w:divBdr>
            <w:top w:val="none" w:sz="0" w:space="0" w:color="auto"/>
            <w:left w:val="none" w:sz="0" w:space="0" w:color="auto"/>
            <w:bottom w:val="none" w:sz="0" w:space="0" w:color="auto"/>
            <w:right w:val="none" w:sz="0" w:space="0" w:color="auto"/>
          </w:divBdr>
        </w:div>
        <w:div w:id="1877348833">
          <w:marLeft w:val="0"/>
          <w:marRight w:val="0"/>
          <w:marTop w:val="0"/>
          <w:marBottom w:val="0"/>
          <w:divBdr>
            <w:top w:val="none" w:sz="0" w:space="0" w:color="auto"/>
            <w:left w:val="none" w:sz="0" w:space="0" w:color="auto"/>
            <w:bottom w:val="none" w:sz="0" w:space="0" w:color="auto"/>
            <w:right w:val="none" w:sz="0" w:space="0" w:color="auto"/>
          </w:divBdr>
        </w:div>
        <w:div w:id="2014141367">
          <w:marLeft w:val="0"/>
          <w:marRight w:val="0"/>
          <w:marTop w:val="0"/>
          <w:marBottom w:val="0"/>
          <w:divBdr>
            <w:top w:val="none" w:sz="0" w:space="0" w:color="auto"/>
            <w:left w:val="none" w:sz="0" w:space="0" w:color="auto"/>
            <w:bottom w:val="none" w:sz="0" w:space="0" w:color="auto"/>
            <w:right w:val="none" w:sz="0" w:space="0" w:color="auto"/>
          </w:divBdr>
        </w:div>
        <w:div w:id="2017878464">
          <w:marLeft w:val="0"/>
          <w:marRight w:val="0"/>
          <w:marTop w:val="0"/>
          <w:marBottom w:val="0"/>
          <w:divBdr>
            <w:top w:val="none" w:sz="0" w:space="0" w:color="auto"/>
            <w:left w:val="none" w:sz="0" w:space="0" w:color="auto"/>
            <w:bottom w:val="none" w:sz="0" w:space="0" w:color="auto"/>
            <w:right w:val="none" w:sz="0" w:space="0" w:color="auto"/>
          </w:divBdr>
        </w:div>
        <w:div w:id="2019575962">
          <w:marLeft w:val="0"/>
          <w:marRight w:val="0"/>
          <w:marTop w:val="0"/>
          <w:marBottom w:val="0"/>
          <w:divBdr>
            <w:top w:val="none" w:sz="0" w:space="0" w:color="auto"/>
            <w:left w:val="none" w:sz="0" w:space="0" w:color="auto"/>
            <w:bottom w:val="none" w:sz="0" w:space="0" w:color="auto"/>
            <w:right w:val="none" w:sz="0" w:space="0" w:color="auto"/>
          </w:divBdr>
        </w:div>
        <w:div w:id="2034646516">
          <w:marLeft w:val="0"/>
          <w:marRight w:val="0"/>
          <w:marTop w:val="0"/>
          <w:marBottom w:val="0"/>
          <w:divBdr>
            <w:top w:val="none" w:sz="0" w:space="0" w:color="auto"/>
            <w:left w:val="none" w:sz="0" w:space="0" w:color="auto"/>
            <w:bottom w:val="none" w:sz="0" w:space="0" w:color="auto"/>
            <w:right w:val="none" w:sz="0" w:space="0" w:color="auto"/>
          </w:divBdr>
        </w:div>
        <w:div w:id="2116438058">
          <w:marLeft w:val="0"/>
          <w:marRight w:val="0"/>
          <w:marTop w:val="0"/>
          <w:marBottom w:val="0"/>
          <w:divBdr>
            <w:top w:val="none" w:sz="0" w:space="0" w:color="auto"/>
            <w:left w:val="none" w:sz="0" w:space="0" w:color="auto"/>
            <w:bottom w:val="none" w:sz="0" w:space="0" w:color="auto"/>
            <w:right w:val="none" w:sz="0" w:space="0" w:color="auto"/>
          </w:divBdr>
        </w:div>
      </w:divsChild>
    </w:div>
    <w:div w:id="1602952350">
      <w:bodyDiv w:val="1"/>
      <w:marLeft w:val="0"/>
      <w:marRight w:val="0"/>
      <w:marTop w:val="0"/>
      <w:marBottom w:val="0"/>
      <w:divBdr>
        <w:top w:val="none" w:sz="0" w:space="0" w:color="auto"/>
        <w:left w:val="none" w:sz="0" w:space="0" w:color="auto"/>
        <w:bottom w:val="none" w:sz="0" w:space="0" w:color="auto"/>
        <w:right w:val="none" w:sz="0" w:space="0" w:color="auto"/>
      </w:divBdr>
    </w:div>
    <w:div w:id="1604528736">
      <w:bodyDiv w:val="1"/>
      <w:marLeft w:val="0"/>
      <w:marRight w:val="0"/>
      <w:marTop w:val="0"/>
      <w:marBottom w:val="0"/>
      <w:divBdr>
        <w:top w:val="none" w:sz="0" w:space="0" w:color="auto"/>
        <w:left w:val="none" w:sz="0" w:space="0" w:color="auto"/>
        <w:bottom w:val="none" w:sz="0" w:space="0" w:color="auto"/>
        <w:right w:val="none" w:sz="0" w:space="0" w:color="auto"/>
      </w:divBdr>
    </w:div>
    <w:div w:id="1605386368">
      <w:bodyDiv w:val="1"/>
      <w:marLeft w:val="0"/>
      <w:marRight w:val="0"/>
      <w:marTop w:val="0"/>
      <w:marBottom w:val="0"/>
      <w:divBdr>
        <w:top w:val="none" w:sz="0" w:space="0" w:color="auto"/>
        <w:left w:val="none" w:sz="0" w:space="0" w:color="auto"/>
        <w:bottom w:val="none" w:sz="0" w:space="0" w:color="auto"/>
        <w:right w:val="none" w:sz="0" w:space="0" w:color="auto"/>
      </w:divBdr>
      <w:divsChild>
        <w:div w:id="959190830">
          <w:marLeft w:val="274"/>
          <w:marRight w:val="0"/>
          <w:marTop w:val="0"/>
          <w:marBottom w:val="120"/>
          <w:divBdr>
            <w:top w:val="none" w:sz="0" w:space="0" w:color="auto"/>
            <w:left w:val="none" w:sz="0" w:space="0" w:color="auto"/>
            <w:bottom w:val="none" w:sz="0" w:space="0" w:color="auto"/>
            <w:right w:val="none" w:sz="0" w:space="0" w:color="auto"/>
          </w:divBdr>
        </w:div>
        <w:div w:id="959801370">
          <w:marLeft w:val="274"/>
          <w:marRight w:val="0"/>
          <w:marTop w:val="0"/>
          <w:marBottom w:val="120"/>
          <w:divBdr>
            <w:top w:val="none" w:sz="0" w:space="0" w:color="auto"/>
            <w:left w:val="none" w:sz="0" w:space="0" w:color="auto"/>
            <w:bottom w:val="none" w:sz="0" w:space="0" w:color="auto"/>
            <w:right w:val="none" w:sz="0" w:space="0" w:color="auto"/>
          </w:divBdr>
        </w:div>
        <w:div w:id="1297293662">
          <w:marLeft w:val="274"/>
          <w:marRight w:val="0"/>
          <w:marTop w:val="0"/>
          <w:marBottom w:val="120"/>
          <w:divBdr>
            <w:top w:val="none" w:sz="0" w:space="0" w:color="auto"/>
            <w:left w:val="none" w:sz="0" w:space="0" w:color="auto"/>
            <w:bottom w:val="none" w:sz="0" w:space="0" w:color="auto"/>
            <w:right w:val="none" w:sz="0" w:space="0" w:color="auto"/>
          </w:divBdr>
        </w:div>
      </w:divsChild>
    </w:div>
    <w:div w:id="1611665081">
      <w:bodyDiv w:val="1"/>
      <w:marLeft w:val="0"/>
      <w:marRight w:val="0"/>
      <w:marTop w:val="0"/>
      <w:marBottom w:val="0"/>
      <w:divBdr>
        <w:top w:val="none" w:sz="0" w:space="0" w:color="auto"/>
        <w:left w:val="none" w:sz="0" w:space="0" w:color="auto"/>
        <w:bottom w:val="none" w:sz="0" w:space="0" w:color="auto"/>
        <w:right w:val="none" w:sz="0" w:space="0" w:color="auto"/>
      </w:divBdr>
      <w:divsChild>
        <w:div w:id="11107432">
          <w:marLeft w:val="0"/>
          <w:marRight w:val="0"/>
          <w:marTop w:val="0"/>
          <w:marBottom w:val="0"/>
          <w:divBdr>
            <w:top w:val="none" w:sz="0" w:space="0" w:color="auto"/>
            <w:left w:val="none" w:sz="0" w:space="0" w:color="auto"/>
            <w:bottom w:val="none" w:sz="0" w:space="0" w:color="auto"/>
            <w:right w:val="none" w:sz="0" w:space="0" w:color="auto"/>
          </w:divBdr>
        </w:div>
        <w:div w:id="695084346">
          <w:marLeft w:val="0"/>
          <w:marRight w:val="0"/>
          <w:marTop w:val="0"/>
          <w:marBottom w:val="0"/>
          <w:divBdr>
            <w:top w:val="none" w:sz="0" w:space="0" w:color="auto"/>
            <w:left w:val="none" w:sz="0" w:space="0" w:color="auto"/>
            <w:bottom w:val="none" w:sz="0" w:space="0" w:color="auto"/>
            <w:right w:val="none" w:sz="0" w:space="0" w:color="auto"/>
          </w:divBdr>
        </w:div>
        <w:div w:id="844982629">
          <w:marLeft w:val="0"/>
          <w:marRight w:val="0"/>
          <w:marTop w:val="0"/>
          <w:marBottom w:val="0"/>
          <w:divBdr>
            <w:top w:val="none" w:sz="0" w:space="0" w:color="auto"/>
            <w:left w:val="none" w:sz="0" w:space="0" w:color="auto"/>
            <w:bottom w:val="none" w:sz="0" w:space="0" w:color="auto"/>
            <w:right w:val="none" w:sz="0" w:space="0" w:color="auto"/>
          </w:divBdr>
        </w:div>
        <w:div w:id="920943629">
          <w:marLeft w:val="0"/>
          <w:marRight w:val="0"/>
          <w:marTop w:val="0"/>
          <w:marBottom w:val="0"/>
          <w:divBdr>
            <w:top w:val="none" w:sz="0" w:space="0" w:color="auto"/>
            <w:left w:val="none" w:sz="0" w:space="0" w:color="auto"/>
            <w:bottom w:val="none" w:sz="0" w:space="0" w:color="auto"/>
            <w:right w:val="none" w:sz="0" w:space="0" w:color="auto"/>
          </w:divBdr>
        </w:div>
        <w:div w:id="1987511867">
          <w:marLeft w:val="0"/>
          <w:marRight w:val="0"/>
          <w:marTop w:val="0"/>
          <w:marBottom w:val="0"/>
          <w:divBdr>
            <w:top w:val="none" w:sz="0" w:space="0" w:color="auto"/>
            <w:left w:val="none" w:sz="0" w:space="0" w:color="auto"/>
            <w:bottom w:val="none" w:sz="0" w:space="0" w:color="auto"/>
            <w:right w:val="none" w:sz="0" w:space="0" w:color="auto"/>
          </w:divBdr>
        </w:div>
      </w:divsChild>
    </w:div>
    <w:div w:id="1612856433">
      <w:bodyDiv w:val="1"/>
      <w:marLeft w:val="0"/>
      <w:marRight w:val="0"/>
      <w:marTop w:val="0"/>
      <w:marBottom w:val="0"/>
      <w:divBdr>
        <w:top w:val="none" w:sz="0" w:space="0" w:color="auto"/>
        <w:left w:val="none" w:sz="0" w:space="0" w:color="auto"/>
        <w:bottom w:val="none" w:sz="0" w:space="0" w:color="auto"/>
        <w:right w:val="none" w:sz="0" w:space="0" w:color="auto"/>
      </w:divBdr>
    </w:div>
    <w:div w:id="1636452441">
      <w:bodyDiv w:val="1"/>
      <w:marLeft w:val="0"/>
      <w:marRight w:val="0"/>
      <w:marTop w:val="0"/>
      <w:marBottom w:val="0"/>
      <w:divBdr>
        <w:top w:val="none" w:sz="0" w:space="0" w:color="auto"/>
        <w:left w:val="none" w:sz="0" w:space="0" w:color="auto"/>
        <w:bottom w:val="none" w:sz="0" w:space="0" w:color="auto"/>
        <w:right w:val="none" w:sz="0" w:space="0" w:color="auto"/>
      </w:divBdr>
    </w:div>
    <w:div w:id="1636522630">
      <w:bodyDiv w:val="1"/>
      <w:marLeft w:val="0"/>
      <w:marRight w:val="0"/>
      <w:marTop w:val="0"/>
      <w:marBottom w:val="0"/>
      <w:divBdr>
        <w:top w:val="none" w:sz="0" w:space="0" w:color="auto"/>
        <w:left w:val="none" w:sz="0" w:space="0" w:color="auto"/>
        <w:bottom w:val="none" w:sz="0" w:space="0" w:color="auto"/>
        <w:right w:val="none" w:sz="0" w:space="0" w:color="auto"/>
      </w:divBdr>
    </w:div>
    <w:div w:id="1640921131">
      <w:bodyDiv w:val="1"/>
      <w:marLeft w:val="0"/>
      <w:marRight w:val="0"/>
      <w:marTop w:val="0"/>
      <w:marBottom w:val="0"/>
      <w:divBdr>
        <w:top w:val="none" w:sz="0" w:space="0" w:color="auto"/>
        <w:left w:val="none" w:sz="0" w:space="0" w:color="auto"/>
        <w:bottom w:val="none" w:sz="0" w:space="0" w:color="auto"/>
        <w:right w:val="none" w:sz="0" w:space="0" w:color="auto"/>
      </w:divBdr>
    </w:div>
    <w:div w:id="1648392541">
      <w:bodyDiv w:val="1"/>
      <w:marLeft w:val="0"/>
      <w:marRight w:val="0"/>
      <w:marTop w:val="0"/>
      <w:marBottom w:val="0"/>
      <w:divBdr>
        <w:top w:val="none" w:sz="0" w:space="0" w:color="auto"/>
        <w:left w:val="none" w:sz="0" w:space="0" w:color="auto"/>
        <w:bottom w:val="none" w:sz="0" w:space="0" w:color="auto"/>
        <w:right w:val="none" w:sz="0" w:space="0" w:color="auto"/>
      </w:divBdr>
      <w:divsChild>
        <w:div w:id="611516549">
          <w:marLeft w:val="0"/>
          <w:marRight w:val="0"/>
          <w:marTop w:val="0"/>
          <w:marBottom w:val="0"/>
          <w:divBdr>
            <w:top w:val="none" w:sz="0" w:space="0" w:color="auto"/>
            <w:left w:val="none" w:sz="0" w:space="0" w:color="auto"/>
            <w:bottom w:val="none" w:sz="0" w:space="0" w:color="auto"/>
            <w:right w:val="none" w:sz="0" w:space="0" w:color="auto"/>
          </w:divBdr>
        </w:div>
        <w:div w:id="611713973">
          <w:marLeft w:val="0"/>
          <w:marRight w:val="0"/>
          <w:marTop w:val="0"/>
          <w:marBottom w:val="0"/>
          <w:divBdr>
            <w:top w:val="none" w:sz="0" w:space="0" w:color="auto"/>
            <w:left w:val="none" w:sz="0" w:space="0" w:color="auto"/>
            <w:bottom w:val="none" w:sz="0" w:space="0" w:color="auto"/>
            <w:right w:val="none" w:sz="0" w:space="0" w:color="auto"/>
          </w:divBdr>
        </w:div>
        <w:div w:id="690423242">
          <w:marLeft w:val="0"/>
          <w:marRight w:val="0"/>
          <w:marTop w:val="0"/>
          <w:marBottom w:val="0"/>
          <w:divBdr>
            <w:top w:val="none" w:sz="0" w:space="0" w:color="auto"/>
            <w:left w:val="none" w:sz="0" w:space="0" w:color="auto"/>
            <w:bottom w:val="none" w:sz="0" w:space="0" w:color="auto"/>
            <w:right w:val="none" w:sz="0" w:space="0" w:color="auto"/>
          </w:divBdr>
        </w:div>
        <w:div w:id="1151486405">
          <w:marLeft w:val="0"/>
          <w:marRight w:val="0"/>
          <w:marTop w:val="0"/>
          <w:marBottom w:val="0"/>
          <w:divBdr>
            <w:top w:val="none" w:sz="0" w:space="0" w:color="auto"/>
            <w:left w:val="none" w:sz="0" w:space="0" w:color="auto"/>
            <w:bottom w:val="none" w:sz="0" w:space="0" w:color="auto"/>
            <w:right w:val="none" w:sz="0" w:space="0" w:color="auto"/>
          </w:divBdr>
        </w:div>
        <w:div w:id="1198657830">
          <w:marLeft w:val="0"/>
          <w:marRight w:val="0"/>
          <w:marTop w:val="0"/>
          <w:marBottom w:val="0"/>
          <w:divBdr>
            <w:top w:val="none" w:sz="0" w:space="0" w:color="auto"/>
            <w:left w:val="none" w:sz="0" w:space="0" w:color="auto"/>
            <w:bottom w:val="none" w:sz="0" w:space="0" w:color="auto"/>
            <w:right w:val="none" w:sz="0" w:space="0" w:color="auto"/>
          </w:divBdr>
        </w:div>
        <w:div w:id="1255430893">
          <w:marLeft w:val="0"/>
          <w:marRight w:val="0"/>
          <w:marTop w:val="0"/>
          <w:marBottom w:val="0"/>
          <w:divBdr>
            <w:top w:val="none" w:sz="0" w:space="0" w:color="auto"/>
            <w:left w:val="none" w:sz="0" w:space="0" w:color="auto"/>
            <w:bottom w:val="none" w:sz="0" w:space="0" w:color="auto"/>
            <w:right w:val="none" w:sz="0" w:space="0" w:color="auto"/>
          </w:divBdr>
        </w:div>
        <w:div w:id="1992979212">
          <w:marLeft w:val="0"/>
          <w:marRight w:val="0"/>
          <w:marTop w:val="0"/>
          <w:marBottom w:val="0"/>
          <w:divBdr>
            <w:top w:val="none" w:sz="0" w:space="0" w:color="auto"/>
            <w:left w:val="none" w:sz="0" w:space="0" w:color="auto"/>
            <w:bottom w:val="none" w:sz="0" w:space="0" w:color="auto"/>
            <w:right w:val="none" w:sz="0" w:space="0" w:color="auto"/>
          </w:divBdr>
        </w:div>
      </w:divsChild>
    </w:div>
    <w:div w:id="1657106145">
      <w:bodyDiv w:val="1"/>
      <w:marLeft w:val="0"/>
      <w:marRight w:val="0"/>
      <w:marTop w:val="0"/>
      <w:marBottom w:val="0"/>
      <w:divBdr>
        <w:top w:val="none" w:sz="0" w:space="0" w:color="auto"/>
        <w:left w:val="none" w:sz="0" w:space="0" w:color="auto"/>
        <w:bottom w:val="none" w:sz="0" w:space="0" w:color="auto"/>
        <w:right w:val="none" w:sz="0" w:space="0" w:color="auto"/>
      </w:divBdr>
    </w:div>
    <w:div w:id="1658269097">
      <w:bodyDiv w:val="1"/>
      <w:marLeft w:val="0"/>
      <w:marRight w:val="0"/>
      <w:marTop w:val="0"/>
      <w:marBottom w:val="0"/>
      <w:divBdr>
        <w:top w:val="none" w:sz="0" w:space="0" w:color="auto"/>
        <w:left w:val="none" w:sz="0" w:space="0" w:color="auto"/>
        <w:bottom w:val="none" w:sz="0" w:space="0" w:color="auto"/>
        <w:right w:val="none" w:sz="0" w:space="0" w:color="auto"/>
      </w:divBdr>
    </w:div>
    <w:div w:id="1658612705">
      <w:bodyDiv w:val="1"/>
      <w:marLeft w:val="0"/>
      <w:marRight w:val="0"/>
      <w:marTop w:val="0"/>
      <w:marBottom w:val="0"/>
      <w:divBdr>
        <w:top w:val="none" w:sz="0" w:space="0" w:color="auto"/>
        <w:left w:val="none" w:sz="0" w:space="0" w:color="auto"/>
        <w:bottom w:val="none" w:sz="0" w:space="0" w:color="auto"/>
        <w:right w:val="none" w:sz="0" w:space="0" w:color="auto"/>
      </w:divBdr>
      <w:divsChild>
        <w:div w:id="170920529">
          <w:marLeft w:val="0"/>
          <w:marRight w:val="0"/>
          <w:marTop w:val="0"/>
          <w:marBottom w:val="0"/>
          <w:divBdr>
            <w:top w:val="none" w:sz="0" w:space="0" w:color="auto"/>
            <w:left w:val="none" w:sz="0" w:space="0" w:color="auto"/>
            <w:bottom w:val="none" w:sz="0" w:space="0" w:color="auto"/>
            <w:right w:val="none" w:sz="0" w:space="0" w:color="auto"/>
          </w:divBdr>
        </w:div>
        <w:div w:id="304431423">
          <w:marLeft w:val="0"/>
          <w:marRight w:val="0"/>
          <w:marTop w:val="0"/>
          <w:marBottom w:val="0"/>
          <w:divBdr>
            <w:top w:val="none" w:sz="0" w:space="0" w:color="auto"/>
            <w:left w:val="none" w:sz="0" w:space="0" w:color="auto"/>
            <w:bottom w:val="none" w:sz="0" w:space="0" w:color="auto"/>
            <w:right w:val="none" w:sz="0" w:space="0" w:color="auto"/>
          </w:divBdr>
        </w:div>
        <w:div w:id="309332953">
          <w:marLeft w:val="0"/>
          <w:marRight w:val="0"/>
          <w:marTop w:val="0"/>
          <w:marBottom w:val="0"/>
          <w:divBdr>
            <w:top w:val="none" w:sz="0" w:space="0" w:color="auto"/>
            <w:left w:val="none" w:sz="0" w:space="0" w:color="auto"/>
            <w:bottom w:val="none" w:sz="0" w:space="0" w:color="auto"/>
            <w:right w:val="none" w:sz="0" w:space="0" w:color="auto"/>
          </w:divBdr>
        </w:div>
        <w:div w:id="487406620">
          <w:marLeft w:val="0"/>
          <w:marRight w:val="0"/>
          <w:marTop w:val="0"/>
          <w:marBottom w:val="0"/>
          <w:divBdr>
            <w:top w:val="none" w:sz="0" w:space="0" w:color="auto"/>
            <w:left w:val="none" w:sz="0" w:space="0" w:color="auto"/>
            <w:bottom w:val="none" w:sz="0" w:space="0" w:color="auto"/>
            <w:right w:val="none" w:sz="0" w:space="0" w:color="auto"/>
          </w:divBdr>
        </w:div>
        <w:div w:id="616107995">
          <w:marLeft w:val="0"/>
          <w:marRight w:val="0"/>
          <w:marTop w:val="0"/>
          <w:marBottom w:val="0"/>
          <w:divBdr>
            <w:top w:val="none" w:sz="0" w:space="0" w:color="auto"/>
            <w:left w:val="none" w:sz="0" w:space="0" w:color="auto"/>
            <w:bottom w:val="none" w:sz="0" w:space="0" w:color="auto"/>
            <w:right w:val="none" w:sz="0" w:space="0" w:color="auto"/>
          </w:divBdr>
        </w:div>
        <w:div w:id="650140815">
          <w:marLeft w:val="0"/>
          <w:marRight w:val="0"/>
          <w:marTop w:val="0"/>
          <w:marBottom w:val="0"/>
          <w:divBdr>
            <w:top w:val="none" w:sz="0" w:space="0" w:color="auto"/>
            <w:left w:val="none" w:sz="0" w:space="0" w:color="auto"/>
            <w:bottom w:val="none" w:sz="0" w:space="0" w:color="auto"/>
            <w:right w:val="none" w:sz="0" w:space="0" w:color="auto"/>
          </w:divBdr>
        </w:div>
        <w:div w:id="945160574">
          <w:marLeft w:val="0"/>
          <w:marRight w:val="0"/>
          <w:marTop w:val="0"/>
          <w:marBottom w:val="0"/>
          <w:divBdr>
            <w:top w:val="none" w:sz="0" w:space="0" w:color="auto"/>
            <w:left w:val="none" w:sz="0" w:space="0" w:color="auto"/>
            <w:bottom w:val="none" w:sz="0" w:space="0" w:color="auto"/>
            <w:right w:val="none" w:sz="0" w:space="0" w:color="auto"/>
          </w:divBdr>
        </w:div>
        <w:div w:id="1041638634">
          <w:marLeft w:val="0"/>
          <w:marRight w:val="0"/>
          <w:marTop w:val="0"/>
          <w:marBottom w:val="0"/>
          <w:divBdr>
            <w:top w:val="none" w:sz="0" w:space="0" w:color="auto"/>
            <w:left w:val="none" w:sz="0" w:space="0" w:color="auto"/>
            <w:bottom w:val="none" w:sz="0" w:space="0" w:color="auto"/>
            <w:right w:val="none" w:sz="0" w:space="0" w:color="auto"/>
          </w:divBdr>
        </w:div>
        <w:div w:id="1052776233">
          <w:marLeft w:val="0"/>
          <w:marRight w:val="0"/>
          <w:marTop w:val="0"/>
          <w:marBottom w:val="0"/>
          <w:divBdr>
            <w:top w:val="none" w:sz="0" w:space="0" w:color="auto"/>
            <w:left w:val="none" w:sz="0" w:space="0" w:color="auto"/>
            <w:bottom w:val="none" w:sz="0" w:space="0" w:color="auto"/>
            <w:right w:val="none" w:sz="0" w:space="0" w:color="auto"/>
          </w:divBdr>
        </w:div>
        <w:div w:id="1134248606">
          <w:marLeft w:val="0"/>
          <w:marRight w:val="0"/>
          <w:marTop w:val="0"/>
          <w:marBottom w:val="0"/>
          <w:divBdr>
            <w:top w:val="none" w:sz="0" w:space="0" w:color="auto"/>
            <w:left w:val="none" w:sz="0" w:space="0" w:color="auto"/>
            <w:bottom w:val="none" w:sz="0" w:space="0" w:color="auto"/>
            <w:right w:val="none" w:sz="0" w:space="0" w:color="auto"/>
          </w:divBdr>
        </w:div>
        <w:div w:id="1403016609">
          <w:marLeft w:val="0"/>
          <w:marRight w:val="0"/>
          <w:marTop w:val="0"/>
          <w:marBottom w:val="0"/>
          <w:divBdr>
            <w:top w:val="none" w:sz="0" w:space="0" w:color="auto"/>
            <w:left w:val="none" w:sz="0" w:space="0" w:color="auto"/>
            <w:bottom w:val="none" w:sz="0" w:space="0" w:color="auto"/>
            <w:right w:val="none" w:sz="0" w:space="0" w:color="auto"/>
          </w:divBdr>
        </w:div>
      </w:divsChild>
    </w:div>
    <w:div w:id="1660227005">
      <w:bodyDiv w:val="1"/>
      <w:marLeft w:val="0"/>
      <w:marRight w:val="0"/>
      <w:marTop w:val="0"/>
      <w:marBottom w:val="0"/>
      <w:divBdr>
        <w:top w:val="none" w:sz="0" w:space="0" w:color="auto"/>
        <w:left w:val="none" w:sz="0" w:space="0" w:color="auto"/>
        <w:bottom w:val="none" w:sz="0" w:space="0" w:color="auto"/>
        <w:right w:val="none" w:sz="0" w:space="0" w:color="auto"/>
      </w:divBdr>
    </w:div>
    <w:div w:id="1667636176">
      <w:bodyDiv w:val="1"/>
      <w:marLeft w:val="0"/>
      <w:marRight w:val="0"/>
      <w:marTop w:val="0"/>
      <w:marBottom w:val="0"/>
      <w:divBdr>
        <w:top w:val="none" w:sz="0" w:space="0" w:color="auto"/>
        <w:left w:val="none" w:sz="0" w:space="0" w:color="auto"/>
        <w:bottom w:val="none" w:sz="0" w:space="0" w:color="auto"/>
        <w:right w:val="none" w:sz="0" w:space="0" w:color="auto"/>
      </w:divBdr>
      <w:divsChild>
        <w:div w:id="579871465">
          <w:marLeft w:val="0"/>
          <w:marRight w:val="0"/>
          <w:marTop w:val="0"/>
          <w:marBottom w:val="0"/>
          <w:divBdr>
            <w:top w:val="none" w:sz="0" w:space="0" w:color="auto"/>
            <w:left w:val="none" w:sz="0" w:space="0" w:color="auto"/>
            <w:bottom w:val="none" w:sz="0" w:space="0" w:color="auto"/>
            <w:right w:val="none" w:sz="0" w:space="0" w:color="auto"/>
          </w:divBdr>
          <w:divsChild>
            <w:div w:id="2199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38571">
      <w:bodyDiv w:val="1"/>
      <w:marLeft w:val="0"/>
      <w:marRight w:val="0"/>
      <w:marTop w:val="0"/>
      <w:marBottom w:val="0"/>
      <w:divBdr>
        <w:top w:val="none" w:sz="0" w:space="0" w:color="auto"/>
        <w:left w:val="none" w:sz="0" w:space="0" w:color="auto"/>
        <w:bottom w:val="none" w:sz="0" w:space="0" w:color="auto"/>
        <w:right w:val="none" w:sz="0" w:space="0" w:color="auto"/>
      </w:divBdr>
      <w:divsChild>
        <w:div w:id="114907274">
          <w:marLeft w:val="0"/>
          <w:marRight w:val="0"/>
          <w:marTop w:val="0"/>
          <w:marBottom w:val="0"/>
          <w:divBdr>
            <w:top w:val="none" w:sz="0" w:space="0" w:color="auto"/>
            <w:left w:val="none" w:sz="0" w:space="0" w:color="auto"/>
            <w:bottom w:val="none" w:sz="0" w:space="0" w:color="auto"/>
            <w:right w:val="none" w:sz="0" w:space="0" w:color="auto"/>
          </w:divBdr>
        </w:div>
        <w:div w:id="479080596">
          <w:marLeft w:val="0"/>
          <w:marRight w:val="0"/>
          <w:marTop w:val="0"/>
          <w:marBottom w:val="0"/>
          <w:divBdr>
            <w:top w:val="none" w:sz="0" w:space="0" w:color="auto"/>
            <w:left w:val="none" w:sz="0" w:space="0" w:color="auto"/>
            <w:bottom w:val="none" w:sz="0" w:space="0" w:color="auto"/>
            <w:right w:val="none" w:sz="0" w:space="0" w:color="auto"/>
          </w:divBdr>
        </w:div>
        <w:div w:id="742727669">
          <w:marLeft w:val="0"/>
          <w:marRight w:val="0"/>
          <w:marTop w:val="0"/>
          <w:marBottom w:val="0"/>
          <w:divBdr>
            <w:top w:val="none" w:sz="0" w:space="0" w:color="auto"/>
            <w:left w:val="none" w:sz="0" w:space="0" w:color="auto"/>
            <w:bottom w:val="none" w:sz="0" w:space="0" w:color="auto"/>
            <w:right w:val="none" w:sz="0" w:space="0" w:color="auto"/>
          </w:divBdr>
        </w:div>
        <w:div w:id="906496823">
          <w:marLeft w:val="0"/>
          <w:marRight w:val="0"/>
          <w:marTop w:val="0"/>
          <w:marBottom w:val="0"/>
          <w:divBdr>
            <w:top w:val="none" w:sz="0" w:space="0" w:color="auto"/>
            <w:left w:val="none" w:sz="0" w:space="0" w:color="auto"/>
            <w:bottom w:val="none" w:sz="0" w:space="0" w:color="auto"/>
            <w:right w:val="none" w:sz="0" w:space="0" w:color="auto"/>
          </w:divBdr>
        </w:div>
        <w:div w:id="1224415655">
          <w:marLeft w:val="0"/>
          <w:marRight w:val="0"/>
          <w:marTop w:val="0"/>
          <w:marBottom w:val="0"/>
          <w:divBdr>
            <w:top w:val="none" w:sz="0" w:space="0" w:color="auto"/>
            <w:left w:val="none" w:sz="0" w:space="0" w:color="auto"/>
            <w:bottom w:val="none" w:sz="0" w:space="0" w:color="auto"/>
            <w:right w:val="none" w:sz="0" w:space="0" w:color="auto"/>
          </w:divBdr>
        </w:div>
        <w:div w:id="1294285283">
          <w:marLeft w:val="0"/>
          <w:marRight w:val="0"/>
          <w:marTop w:val="0"/>
          <w:marBottom w:val="0"/>
          <w:divBdr>
            <w:top w:val="none" w:sz="0" w:space="0" w:color="auto"/>
            <w:left w:val="none" w:sz="0" w:space="0" w:color="auto"/>
            <w:bottom w:val="none" w:sz="0" w:space="0" w:color="auto"/>
            <w:right w:val="none" w:sz="0" w:space="0" w:color="auto"/>
          </w:divBdr>
        </w:div>
        <w:div w:id="1419331266">
          <w:marLeft w:val="0"/>
          <w:marRight w:val="0"/>
          <w:marTop w:val="0"/>
          <w:marBottom w:val="0"/>
          <w:divBdr>
            <w:top w:val="none" w:sz="0" w:space="0" w:color="auto"/>
            <w:left w:val="none" w:sz="0" w:space="0" w:color="auto"/>
            <w:bottom w:val="none" w:sz="0" w:space="0" w:color="auto"/>
            <w:right w:val="none" w:sz="0" w:space="0" w:color="auto"/>
          </w:divBdr>
        </w:div>
      </w:divsChild>
    </w:div>
    <w:div w:id="1679189305">
      <w:bodyDiv w:val="1"/>
      <w:marLeft w:val="0"/>
      <w:marRight w:val="0"/>
      <w:marTop w:val="0"/>
      <w:marBottom w:val="0"/>
      <w:divBdr>
        <w:top w:val="none" w:sz="0" w:space="0" w:color="auto"/>
        <w:left w:val="none" w:sz="0" w:space="0" w:color="auto"/>
        <w:bottom w:val="none" w:sz="0" w:space="0" w:color="auto"/>
        <w:right w:val="none" w:sz="0" w:space="0" w:color="auto"/>
      </w:divBdr>
    </w:div>
    <w:div w:id="1679651311">
      <w:bodyDiv w:val="1"/>
      <w:marLeft w:val="0"/>
      <w:marRight w:val="0"/>
      <w:marTop w:val="0"/>
      <w:marBottom w:val="0"/>
      <w:divBdr>
        <w:top w:val="none" w:sz="0" w:space="0" w:color="auto"/>
        <w:left w:val="none" w:sz="0" w:space="0" w:color="auto"/>
        <w:bottom w:val="none" w:sz="0" w:space="0" w:color="auto"/>
        <w:right w:val="none" w:sz="0" w:space="0" w:color="auto"/>
      </w:divBdr>
      <w:divsChild>
        <w:div w:id="554201095">
          <w:marLeft w:val="0"/>
          <w:marRight w:val="0"/>
          <w:marTop w:val="0"/>
          <w:marBottom w:val="0"/>
          <w:divBdr>
            <w:top w:val="none" w:sz="0" w:space="0" w:color="auto"/>
            <w:left w:val="none" w:sz="0" w:space="0" w:color="auto"/>
            <w:bottom w:val="none" w:sz="0" w:space="0" w:color="auto"/>
            <w:right w:val="none" w:sz="0" w:space="0" w:color="auto"/>
          </w:divBdr>
        </w:div>
        <w:div w:id="1005330408">
          <w:marLeft w:val="0"/>
          <w:marRight w:val="0"/>
          <w:marTop w:val="0"/>
          <w:marBottom w:val="0"/>
          <w:divBdr>
            <w:top w:val="none" w:sz="0" w:space="0" w:color="auto"/>
            <w:left w:val="none" w:sz="0" w:space="0" w:color="auto"/>
            <w:bottom w:val="none" w:sz="0" w:space="0" w:color="auto"/>
            <w:right w:val="none" w:sz="0" w:space="0" w:color="auto"/>
          </w:divBdr>
        </w:div>
      </w:divsChild>
    </w:div>
    <w:div w:id="1685203887">
      <w:bodyDiv w:val="1"/>
      <w:marLeft w:val="0"/>
      <w:marRight w:val="0"/>
      <w:marTop w:val="0"/>
      <w:marBottom w:val="0"/>
      <w:divBdr>
        <w:top w:val="none" w:sz="0" w:space="0" w:color="auto"/>
        <w:left w:val="none" w:sz="0" w:space="0" w:color="auto"/>
        <w:bottom w:val="none" w:sz="0" w:space="0" w:color="auto"/>
        <w:right w:val="none" w:sz="0" w:space="0" w:color="auto"/>
      </w:divBdr>
    </w:div>
    <w:div w:id="1689258198">
      <w:bodyDiv w:val="1"/>
      <w:marLeft w:val="0"/>
      <w:marRight w:val="0"/>
      <w:marTop w:val="0"/>
      <w:marBottom w:val="0"/>
      <w:divBdr>
        <w:top w:val="none" w:sz="0" w:space="0" w:color="auto"/>
        <w:left w:val="none" w:sz="0" w:space="0" w:color="auto"/>
        <w:bottom w:val="none" w:sz="0" w:space="0" w:color="auto"/>
        <w:right w:val="none" w:sz="0" w:space="0" w:color="auto"/>
      </w:divBdr>
    </w:div>
    <w:div w:id="1690065650">
      <w:bodyDiv w:val="1"/>
      <w:marLeft w:val="0"/>
      <w:marRight w:val="0"/>
      <w:marTop w:val="0"/>
      <w:marBottom w:val="0"/>
      <w:divBdr>
        <w:top w:val="none" w:sz="0" w:space="0" w:color="auto"/>
        <w:left w:val="none" w:sz="0" w:space="0" w:color="auto"/>
        <w:bottom w:val="none" w:sz="0" w:space="0" w:color="auto"/>
        <w:right w:val="none" w:sz="0" w:space="0" w:color="auto"/>
      </w:divBdr>
    </w:div>
    <w:div w:id="1697074073">
      <w:bodyDiv w:val="1"/>
      <w:marLeft w:val="0"/>
      <w:marRight w:val="0"/>
      <w:marTop w:val="0"/>
      <w:marBottom w:val="0"/>
      <w:divBdr>
        <w:top w:val="none" w:sz="0" w:space="0" w:color="auto"/>
        <w:left w:val="none" w:sz="0" w:space="0" w:color="auto"/>
        <w:bottom w:val="none" w:sz="0" w:space="0" w:color="auto"/>
        <w:right w:val="none" w:sz="0" w:space="0" w:color="auto"/>
      </w:divBdr>
      <w:divsChild>
        <w:div w:id="431751209">
          <w:marLeft w:val="0"/>
          <w:marRight w:val="0"/>
          <w:marTop w:val="0"/>
          <w:marBottom w:val="0"/>
          <w:divBdr>
            <w:top w:val="none" w:sz="0" w:space="0" w:color="auto"/>
            <w:left w:val="none" w:sz="0" w:space="0" w:color="auto"/>
            <w:bottom w:val="none" w:sz="0" w:space="0" w:color="auto"/>
            <w:right w:val="none" w:sz="0" w:space="0" w:color="auto"/>
          </w:divBdr>
        </w:div>
        <w:div w:id="471794392">
          <w:marLeft w:val="0"/>
          <w:marRight w:val="0"/>
          <w:marTop w:val="0"/>
          <w:marBottom w:val="0"/>
          <w:divBdr>
            <w:top w:val="none" w:sz="0" w:space="0" w:color="auto"/>
            <w:left w:val="none" w:sz="0" w:space="0" w:color="auto"/>
            <w:bottom w:val="none" w:sz="0" w:space="0" w:color="auto"/>
            <w:right w:val="none" w:sz="0" w:space="0" w:color="auto"/>
          </w:divBdr>
        </w:div>
        <w:div w:id="640884156">
          <w:marLeft w:val="0"/>
          <w:marRight w:val="0"/>
          <w:marTop w:val="0"/>
          <w:marBottom w:val="0"/>
          <w:divBdr>
            <w:top w:val="none" w:sz="0" w:space="0" w:color="auto"/>
            <w:left w:val="none" w:sz="0" w:space="0" w:color="auto"/>
            <w:bottom w:val="none" w:sz="0" w:space="0" w:color="auto"/>
            <w:right w:val="none" w:sz="0" w:space="0" w:color="auto"/>
          </w:divBdr>
        </w:div>
        <w:div w:id="696349814">
          <w:marLeft w:val="0"/>
          <w:marRight w:val="0"/>
          <w:marTop w:val="0"/>
          <w:marBottom w:val="0"/>
          <w:divBdr>
            <w:top w:val="none" w:sz="0" w:space="0" w:color="auto"/>
            <w:left w:val="none" w:sz="0" w:space="0" w:color="auto"/>
            <w:bottom w:val="none" w:sz="0" w:space="0" w:color="auto"/>
            <w:right w:val="none" w:sz="0" w:space="0" w:color="auto"/>
          </w:divBdr>
        </w:div>
        <w:div w:id="1286883681">
          <w:marLeft w:val="0"/>
          <w:marRight w:val="0"/>
          <w:marTop w:val="0"/>
          <w:marBottom w:val="0"/>
          <w:divBdr>
            <w:top w:val="none" w:sz="0" w:space="0" w:color="auto"/>
            <w:left w:val="none" w:sz="0" w:space="0" w:color="auto"/>
            <w:bottom w:val="none" w:sz="0" w:space="0" w:color="auto"/>
            <w:right w:val="none" w:sz="0" w:space="0" w:color="auto"/>
          </w:divBdr>
        </w:div>
        <w:div w:id="2028486823">
          <w:marLeft w:val="0"/>
          <w:marRight w:val="0"/>
          <w:marTop w:val="0"/>
          <w:marBottom w:val="0"/>
          <w:divBdr>
            <w:top w:val="none" w:sz="0" w:space="0" w:color="auto"/>
            <w:left w:val="none" w:sz="0" w:space="0" w:color="auto"/>
            <w:bottom w:val="none" w:sz="0" w:space="0" w:color="auto"/>
            <w:right w:val="none" w:sz="0" w:space="0" w:color="auto"/>
          </w:divBdr>
        </w:div>
      </w:divsChild>
    </w:div>
    <w:div w:id="1702585731">
      <w:bodyDiv w:val="1"/>
      <w:marLeft w:val="0"/>
      <w:marRight w:val="0"/>
      <w:marTop w:val="0"/>
      <w:marBottom w:val="0"/>
      <w:divBdr>
        <w:top w:val="none" w:sz="0" w:space="0" w:color="auto"/>
        <w:left w:val="none" w:sz="0" w:space="0" w:color="auto"/>
        <w:bottom w:val="none" w:sz="0" w:space="0" w:color="auto"/>
        <w:right w:val="none" w:sz="0" w:space="0" w:color="auto"/>
      </w:divBdr>
    </w:div>
    <w:div w:id="1703745632">
      <w:bodyDiv w:val="1"/>
      <w:marLeft w:val="0"/>
      <w:marRight w:val="0"/>
      <w:marTop w:val="0"/>
      <w:marBottom w:val="0"/>
      <w:divBdr>
        <w:top w:val="none" w:sz="0" w:space="0" w:color="auto"/>
        <w:left w:val="none" w:sz="0" w:space="0" w:color="auto"/>
        <w:bottom w:val="none" w:sz="0" w:space="0" w:color="auto"/>
        <w:right w:val="none" w:sz="0" w:space="0" w:color="auto"/>
      </w:divBdr>
    </w:div>
    <w:div w:id="1704281791">
      <w:bodyDiv w:val="1"/>
      <w:marLeft w:val="0"/>
      <w:marRight w:val="0"/>
      <w:marTop w:val="0"/>
      <w:marBottom w:val="0"/>
      <w:divBdr>
        <w:top w:val="none" w:sz="0" w:space="0" w:color="auto"/>
        <w:left w:val="none" w:sz="0" w:space="0" w:color="auto"/>
        <w:bottom w:val="none" w:sz="0" w:space="0" w:color="auto"/>
        <w:right w:val="none" w:sz="0" w:space="0" w:color="auto"/>
      </w:divBdr>
    </w:div>
    <w:div w:id="1708097289">
      <w:bodyDiv w:val="1"/>
      <w:marLeft w:val="0"/>
      <w:marRight w:val="0"/>
      <w:marTop w:val="0"/>
      <w:marBottom w:val="0"/>
      <w:divBdr>
        <w:top w:val="none" w:sz="0" w:space="0" w:color="auto"/>
        <w:left w:val="none" w:sz="0" w:space="0" w:color="auto"/>
        <w:bottom w:val="none" w:sz="0" w:space="0" w:color="auto"/>
        <w:right w:val="none" w:sz="0" w:space="0" w:color="auto"/>
      </w:divBdr>
    </w:div>
    <w:div w:id="1717046305">
      <w:bodyDiv w:val="1"/>
      <w:marLeft w:val="0"/>
      <w:marRight w:val="0"/>
      <w:marTop w:val="0"/>
      <w:marBottom w:val="0"/>
      <w:divBdr>
        <w:top w:val="none" w:sz="0" w:space="0" w:color="auto"/>
        <w:left w:val="none" w:sz="0" w:space="0" w:color="auto"/>
        <w:bottom w:val="none" w:sz="0" w:space="0" w:color="auto"/>
        <w:right w:val="none" w:sz="0" w:space="0" w:color="auto"/>
      </w:divBdr>
    </w:div>
    <w:div w:id="1719275705">
      <w:bodyDiv w:val="1"/>
      <w:marLeft w:val="0"/>
      <w:marRight w:val="0"/>
      <w:marTop w:val="0"/>
      <w:marBottom w:val="0"/>
      <w:divBdr>
        <w:top w:val="none" w:sz="0" w:space="0" w:color="auto"/>
        <w:left w:val="none" w:sz="0" w:space="0" w:color="auto"/>
        <w:bottom w:val="none" w:sz="0" w:space="0" w:color="auto"/>
        <w:right w:val="none" w:sz="0" w:space="0" w:color="auto"/>
      </w:divBdr>
      <w:divsChild>
        <w:div w:id="102454969">
          <w:marLeft w:val="274"/>
          <w:marRight w:val="0"/>
          <w:marTop w:val="0"/>
          <w:marBottom w:val="120"/>
          <w:divBdr>
            <w:top w:val="none" w:sz="0" w:space="0" w:color="auto"/>
            <w:left w:val="none" w:sz="0" w:space="0" w:color="auto"/>
            <w:bottom w:val="none" w:sz="0" w:space="0" w:color="auto"/>
            <w:right w:val="none" w:sz="0" w:space="0" w:color="auto"/>
          </w:divBdr>
        </w:div>
        <w:div w:id="434403416">
          <w:marLeft w:val="274"/>
          <w:marRight w:val="0"/>
          <w:marTop w:val="0"/>
          <w:marBottom w:val="120"/>
          <w:divBdr>
            <w:top w:val="none" w:sz="0" w:space="0" w:color="auto"/>
            <w:left w:val="none" w:sz="0" w:space="0" w:color="auto"/>
            <w:bottom w:val="none" w:sz="0" w:space="0" w:color="auto"/>
            <w:right w:val="none" w:sz="0" w:space="0" w:color="auto"/>
          </w:divBdr>
        </w:div>
        <w:div w:id="1439914543">
          <w:marLeft w:val="274"/>
          <w:marRight w:val="0"/>
          <w:marTop w:val="0"/>
          <w:marBottom w:val="120"/>
          <w:divBdr>
            <w:top w:val="none" w:sz="0" w:space="0" w:color="auto"/>
            <w:left w:val="none" w:sz="0" w:space="0" w:color="auto"/>
            <w:bottom w:val="none" w:sz="0" w:space="0" w:color="auto"/>
            <w:right w:val="none" w:sz="0" w:space="0" w:color="auto"/>
          </w:divBdr>
        </w:div>
      </w:divsChild>
    </w:div>
    <w:div w:id="1719469509">
      <w:bodyDiv w:val="1"/>
      <w:marLeft w:val="0"/>
      <w:marRight w:val="0"/>
      <w:marTop w:val="0"/>
      <w:marBottom w:val="0"/>
      <w:divBdr>
        <w:top w:val="none" w:sz="0" w:space="0" w:color="auto"/>
        <w:left w:val="none" w:sz="0" w:space="0" w:color="auto"/>
        <w:bottom w:val="none" w:sz="0" w:space="0" w:color="auto"/>
        <w:right w:val="none" w:sz="0" w:space="0" w:color="auto"/>
      </w:divBdr>
    </w:div>
    <w:div w:id="1724526213">
      <w:bodyDiv w:val="1"/>
      <w:marLeft w:val="0"/>
      <w:marRight w:val="0"/>
      <w:marTop w:val="0"/>
      <w:marBottom w:val="0"/>
      <w:divBdr>
        <w:top w:val="none" w:sz="0" w:space="0" w:color="auto"/>
        <w:left w:val="none" w:sz="0" w:space="0" w:color="auto"/>
        <w:bottom w:val="none" w:sz="0" w:space="0" w:color="auto"/>
        <w:right w:val="none" w:sz="0" w:space="0" w:color="auto"/>
      </w:divBdr>
      <w:divsChild>
        <w:div w:id="227568860">
          <w:marLeft w:val="274"/>
          <w:marRight w:val="0"/>
          <w:marTop w:val="0"/>
          <w:marBottom w:val="0"/>
          <w:divBdr>
            <w:top w:val="none" w:sz="0" w:space="0" w:color="auto"/>
            <w:left w:val="none" w:sz="0" w:space="0" w:color="auto"/>
            <w:bottom w:val="none" w:sz="0" w:space="0" w:color="auto"/>
            <w:right w:val="none" w:sz="0" w:space="0" w:color="auto"/>
          </w:divBdr>
        </w:div>
        <w:div w:id="464591816">
          <w:marLeft w:val="274"/>
          <w:marRight w:val="0"/>
          <w:marTop w:val="0"/>
          <w:marBottom w:val="0"/>
          <w:divBdr>
            <w:top w:val="none" w:sz="0" w:space="0" w:color="auto"/>
            <w:left w:val="none" w:sz="0" w:space="0" w:color="auto"/>
            <w:bottom w:val="none" w:sz="0" w:space="0" w:color="auto"/>
            <w:right w:val="none" w:sz="0" w:space="0" w:color="auto"/>
          </w:divBdr>
        </w:div>
        <w:div w:id="1298340827">
          <w:marLeft w:val="274"/>
          <w:marRight w:val="0"/>
          <w:marTop w:val="0"/>
          <w:marBottom w:val="0"/>
          <w:divBdr>
            <w:top w:val="none" w:sz="0" w:space="0" w:color="auto"/>
            <w:left w:val="none" w:sz="0" w:space="0" w:color="auto"/>
            <w:bottom w:val="none" w:sz="0" w:space="0" w:color="auto"/>
            <w:right w:val="none" w:sz="0" w:space="0" w:color="auto"/>
          </w:divBdr>
        </w:div>
        <w:div w:id="2090494094">
          <w:marLeft w:val="274"/>
          <w:marRight w:val="0"/>
          <w:marTop w:val="0"/>
          <w:marBottom w:val="0"/>
          <w:divBdr>
            <w:top w:val="none" w:sz="0" w:space="0" w:color="auto"/>
            <w:left w:val="none" w:sz="0" w:space="0" w:color="auto"/>
            <w:bottom w:val="none" w:sz="0" w:space="0" w:color="auto"/>
            <w:right w:val="none" w:sz="0" w:space="0" w:color="auto"/>
          </w:divBdr>
        </w:div>
      </w:divsChild>
    </w:div>
    <w:div w:id="1728841311">
      <w:bodyDiv w:val="1"/>
      <w:marLeft w:val="0"/>
      <w:marRight w:val="0"/>
      <w:marTop w:val="0"/>
      <w:marBottom w:val="0"/>
      <w:divBdr>
        <w:top w:val="none" w:sz="0" w:space="0" w:color="auto"/>
        <w:left w:val="none" w:sz="0" w:space="0" w:color="auto"/>
        <w:bottom w:val="none" w:sz="0" w:space="0" w:color="auto"/>
        <w:right w:val="none" w:sz="0" w:space="0" w:color="auto"/>
      </w:divBdr>
      <w:divsChild>
        <w:div w:id="504049771">
          <w:marLeft w:val="0"/>
          <w:marRight w:val="0"/>
          <w:marTop w:val="0"/>
          <w:marBottom w:val="0"/>
          <w:divBdr>
            <w:top w:val="none" w:sz="0" w:space="0" w:color="auto"/>
            <w:left w:val="none" w:sz="0" w:space="0" w:color="auto"/>
            <w:bottom w:val="none" w:sz="0" w:space="0" w:color="auto"/>
            <w:right w:val="none" w:sz="0" w:space="0" w:color="auto"/>
          </w:divBdr>
        </w:div>
        <w:div w:id="563755221">
          <w:marLeft w:val="0"/>
          <w:marRight w:val="0"/>
          <w:marTop w:val="0"/>
          <w:marBottom w:val="0"/>
          <w:divBdr>
            <w:top w:val="none" w:sz="0" w:space="0" w:color="auto"/>
            <w:left w:val="none" w:sz="0" w:space="0" w:color="auto"/>
            <w:bottom w:val="none" w:sz="0" w:space="0" w:color="auto"/>
            <w:right w:val="none" w:sz="0" w:space="0" w:color="auto"/>
          </w:divBdr>
        </w:div>
        <w:div w:id="599291986">
          <w:marLeft w:val="0"/>
          <w:marRight w:val="0"/>
          <w:marTop w:val="0"/>
          <w:marBottom w:val="0"/>
          <w:divBdr>
            <w:top w:val="none" w:sz="0" w:space="0" w:color="auto"/>
            <w:left w:val="none" w:sz="0" w:space="0" w:color="auto"/>
            <w:bottom w:val="none" w:sz="0" w:space="0" w:color="auto"/>
            <w:right w:val="none" w:sz="0" w:space="0" w:color="auto"/>
          </w:divBdr>
        </w:div>
      </w:divsChild>
    </w:div>
    <w:div w:id="1739009451">
      <w:bodyDiv w:val="1"/>
      <w:marLeft w:val="0"/>
      <w:marRight w:val="0"/>
      <w:marTop w:val="0"/>
      <w:marBottom w:val="0"/>
      <w:divBdr>
        <w:top w:val="none" w:sz="0" w:space="0" w:color="auto"/>
        <w:left w:val="none" w:sz="0" w:space="0" w:color="auto"/>
        <w:bottom w:val="none" w:sz="0" w:space="0" w:color="auto"/>
        <w:right w:val="none" w:sz="0" w:space="0" w:color="auto"/>
      </w:divBdr>
    </w:div>
    <w:div w:id="1746217743">
      <w:bodyDiv w:val="1"/>
      <w:marLeft w:val="0"/>
      <w:marRight w:val="0"/>
      <w:marTop w:val="0"/>
      <w:marBottom w:val="0"/>
      <w:divBdr>
        <w:top w:val="none" w:sz="0" w:space="0" w:color="auto"/>
        <w:left w:val="none" w:sz="0" w:space="0" w:color="auto"/>
        <w:bottom w:val="none" w:sz="0" w:space="0" w:color="auto"/>
        <w:right w:val="none" w:sz="0" w:space="0" w:color="auto"/>
      </w:divBdr>
    </w:div>
    <w:div w:id="1774546068">
      <w:bodyDiv w:val="1"/>
      <w:marLeft w:val="0"/>
      <w:marRight w:val="0"/>
      <w:marTop w:val="0"/>
      <w:marBottom w:val="0"/>
      <w:divBdr>
        <w:top w:val="none" w:sz="0" w:space="0" w:color="auto"/>
        <w:left w:val="none" w:sz="0" w:space="0" w:color="auto"/>
        <w:bottom w:val="none" w:sz="0" w:space="0" w:color="auto"/>
        <w:right w:val="none" w:sz="0" w:space="0" w:color="auto"/>
      </w:divBdr>
    </w:div>
    <w:div w:id="1775176275">
      <w:bodyDiv w:val="1"/>
      <w:marLeft w:val="0"/>
      <w:marRight w:val="0"/>
      <w:marTop w:val="0"/>
      <w:marBottom w:val="0"/>
      <w:divBdr>
        <w:top w:val="none" w:sz="0" w:space="0" w:color="auto"/>
        <w:left w:val="none" w:sz="0" w:space="0" w:color="auto"/>
        <w:bottom w:val="none" w:sz="0" w:space="0" w:color="auto"/>
        <w:right w:val="none" w:sz="0" w:space="0" w:color="auto"/>
      </w:divBdr>
    </w:div>
    <w:div w:id="1775780190">
      <w:bodyDiv w:val="1"/>
      <w:marLeft w:val="0"/>
      <w:marRight w:val="0"/>
      <w:marTop w:val="0"/>
      <w:marBottom w:val="0"/>
      <w:divBdr>
        <w:top w:val="none" w:sz="0" w:space="0" w:color="auto"/>
        <w:left w:val="none" w:sz="0" w:space="0" w:color="auto"/>
        <w:bottom w:val="none" w:sz="0" w:space="0" w:color="auto"/>
        <w:right w:val="none" w:sz="0" w:space="0" w:color="auto"/>
      </w:divBdr>
    </w:div>
    <w:div w:id="1780178758">
      <w:bodyDiv w:val="1"/>
      <w:marLeft w:val="0"/>
      <w:marRight w:val="0"/>
      <w:marTop w:val="0"/>
      <w:marBottom w:val="0"/>
      <w:divBdr>
        <w:top w:val="none" w:sz="0" w:space="0" w:color="auto"/>
        <w:left w:val="none" w:sz="0" w:space="0" w:color="auto"/>
        <w:bottom w:val="none" w:sz="0" w:space="0" w:color="auto"/>
        <w:right w:val="none" w:sz="0" w:space="0" w:color="auto"/>
      </w:divBdr>
      <w:divsChild>
        <w:div w:id="1202672047">
          <w:marLeft w:val="0"/>
          <w:marRight w:val="0"/>
          <w:marTop w:val="0"/>
          <w:marBottom w:val="0"/>
          <w:divBdr>
            <w:top w:val="none" w:sz="0" w:space="0" w:color="auto"/>
            <w:left w:val="none" w:sz="0" w:space="0" w:color="auto"/>
            <w:bottom w:val="none" w:sz="0" w:space="0" w:color="auto"/>
            <w:right w:val="none" w:sz="0" w:space="0" w:color="auto"/>
          </w:divBdr>
        </w:div>
        <w:div w:id="1413315976">
          <w:marLeft w:val="0"/>
          <w:marRight w:val="0"/>
          <w:marTop w:val="0"/>
          <w:marBottom w:val="0"/>
          <w:divBdr>
            <w:top w:val="none" w:sz="0" w:space="0" w:color="auto"/>
            <w:left w:val="none" w:sz="0" w:space="0" w:color="auto"/>
            <w:bottom w:val="none" w:sz="0" w:space="0" w:color="auto"/>
            <w:right w:val="none" w:sz="0" w:space="0" w:color="auto"/>
          </w:divBdr>
        </w:div>
      </w:divsChild>
    </w:div>
    <w:div w:id="1784224507">
      <w:bodyDiv w:val="1"/>
      <w:marLeft w:val="0"/>
      <w:marRight w:val="0"/>
      <w:marTop w:val="0"/>
      <w:marBottom w:val="0"/>
      <w:divBdr>
        <w:top w:val="none" w:sz="0" w:space="0" w:color="auto"/>
        <w:left w:val="none" w:sz="0" w:space="0" w:color="auto"/>
        <w:bottom w:val="none" w:sz="0" w:space="0" w:color="auto"/>
        <w:right w:val="none" w:sz="0" w:space="0" w:color="auto"/>
      </w:divBdr>
      <w:divsChild>
        <w:div w:id="429666637">
          <w:marLeft w:val="0"/>
          <w:marRight w:val="0"/>
          <w:marTop w:val="0"/>
          <w:marBottom w:val="0"/>
          <w:divBdr>
            <w:top w:val="none" w:sz="0" w:space="0" w:color="auto"/>
            <w:left w:val="none" w:sz="0" w:space="0" w:color="auto"/>
            <w:bottom w:val="none" w:sz="0" w:space="0" w:color="auto"/>
            <w:right w:val="none" w:sz="0" w:space="0" w:color="auto"/>
          </w:divBdr>
        </w:div>
        <w:div w:id="521826009">
          <w:marLeft w:val="0"/>
          <w:marRight w:val="0"/>
          <w:marTop w:val="0"/>
          <w:marBottom w:val="0"/>
          <w:divBdr>
            <w:top w:val="none" w:sz="0" w:space="0" w:color="auto"/>
            <w:left w:val="none" w:sz="0" w:space="0" w:color="auto"/>
            <w:bottom w:val="none" w:sz="0" w:space="0" w:color="auto"/>
            <w:right w:val="none" w:sz="0" w:space="0" w:color="auto"/>
          </w:divBdr>
        </w:div>
        <w:div w:id="875191966">
          <w:marLeft w:val="0"/>
          <w:marRight w:val="0"/>
          <w:marTop w:val="0"/>
          <w:marBottom w:val="0"/>
          <w:divBdr>
            <w:top w:val="none" w:sz="0" w:space="0" w:color="auto"/>
            <w:left w:val="none" w:sz="0" w:space="0" w:color="auto"/>
            <w:bottom w:val="none" w:sz="0" w:space="0" w:color="auto"/>
            <w:right w:val="none" w:sz="0" w:space="0" w:color="auto"/>
          </w:divBdr>
        </w:div>
        <w:div w:id="2035574468">
          <w:marLeft w:val="0"/>
          <w:marRight w:val="0"/>
          <w:marTop w:val="0"/>
          <w:marBottom w:val="0"/>
          <w:divBdr>
            <w:top w:val="none" w:sz="0" w:space="0" w:color="auto"/>
            <w:left w:val="none" w:sz="0" w:space="0" w:color="auto"/>
            <w:bottom w:val="none" w:sz="0" w:space="0" w:color="auto"/>
            <w:right w:val="none" w:sz="0" w:space="0" w:color="auto"/>
          </w:divBdr>
        </w:div>
        <w:div w:id="2092776476">
          <w:marLeft w:val="0"/>
          <w:marRight w:val="0"/>
          <w:marTop w:val="0"/>
          <w:marBottom w:val="0"/>
          <w:divBdr>
            <w:top w:val="none" w:sz="0" w:space="0" w:color="auto"/>
            <w:left w:val="none" w:sz="0" w:space="0" w:color="auto"/>
            <w:bottom w:val="none" w:sz="0" w:space="0" w:color="auto"/>
            <w:right w:val="none" w:sz="0" w:space="0" w:color="auto"/>
          </w:divBdr>
        </w:div>
      </w:divsChild>
    </w:div>
    <w:div w:id="1784492207">
      <w:bodyDiv w:val="1"/>
      <w:marLeft w:val="0"/>
      <w:marRight w:val="0"/>
      <w:marTop w:val="0"/>
      <w:marBottom w:val="0"/>
      <w:divBdr>
        <w:top w:val="none" w:sz="0" w:space="0" w:color="auto"/>
        <w:left w:val="none" w:sz="0" w:space="0" w:color="auto"/>
        <w:bottom w:val="none" w:sz="0" w:space="0" w:color="auto"/>
        <w:right w:val="none" w:sz="0" w:space="0" w:color="auto"/>
      </w:divBdr>
    </w:div>
    <w:div w:id="1786654124">
      <w:bodyDiv w:val="1"/>
      <w:marLeft w:val="0"/>
      <w:marRight w:val="0"/>
      <w:marTop w:val="0"/>
      <w:marBottom w:val="0"/>
      <w:divBdr>
        <w:top w:val="none" w:sz="0" w:space="0" w:color="auto"/>
        <w:left w:val="none" w:sz="0" w:space="0" w:color="auto"/>
        <w:bottom w:val="none" w:sz="0" w:space="0" w:color="auto"/>
        <w:right w:val="none" w:sz="0" w:space="0" w:color="auto"/>
      </w:divBdr>
    </w:div>
    <w:div w:id="1795249839">
      <w:bodyDiv w:val="1"/>
      <w:marLeft w:val="0"/>
      <w:marRight w:val="0"/>
      <w:marTop w:val="0"/>
      <w:marBottom w:val="0"/>
      <w:divBdr>
        <w:top w:val="none" w:sz="0" w:space="0" w:color="auto"/>
        <w:left w:val="none" w:sz="0" w:space="0" w:color="auto"/>
        <w:bottom w:val="none" w:sz="0" w:space="0" w:color="auto"/>
        <w:right w:val="none" w:sz="0" w:space="0" w:color="auto"/>
      </w:divBdr>
    </w:div>
    <w:div w:id="1801800786">
      <w:bodyDiv w:val="1"/>
      <w:marLeft w:val="0"/>
      <w:marRight w:val="0"/>
      <w:marTop w:val="0"/>
      <w:marBottom w:val="0"/>
      <w:divBdr>
        <w:top w:val="none" w:sz="0" w:space="0" w:color="auto"/>
        <w:left w:val="none" w:sz="0" w:space="0" w:color="auto"/>
        <w:bottom w:val="none" w:sz="0" w:space="0" w:color="auto"/>
        <w:right w:val="none" w:sz="0" w:space="0" w:color="auto"/>
      </w:divBdr>
    </w:div>
    <w:div w:id="1803958815">
      <w:bodyDiv w:val="1"/>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
        <w:div w:id="98187111">
          <w:marLeft w:val="0"/>
          <w:marRight w:val="0"/>
          <w:marTop w:val="0"/>
          <w:marBottom w:val="0"/>
          <w:divBdr>
            <w:top w:val="none" w:sz="0" w:space="0" w:color="auto"/>
            <w:left w:val="none" w:sz="0" w:space="0" w:color="auto"/>
            <w:bottom w:val="none" w:sz="0" w:space="0" w:color="auto"/>
            <w:right w:val="none" w:sz="0" w:space="0" w:color="auto"/>
          </w:divBdr>
        </w:div>
        <w:div w:id="497622481">
          <w:marLeft w:val="0"/>
          <w:marRight w:val="0"/>
          <w:marTop w:val="0"/>
          <w:marBottom w:val="0"/>
          <w:divBdr>
            <w:top w:val="none" w:sz="0" w:space="0" w:color="auto"/>
            <w:left w:val="none" w:sz="0" w:space="0" w:color="auto"/>
            <w:bottom w:val="none" w:sz="0" w:space="0" w:color="auto"/>
            <w:right w:val="none" w:sz="0" w:space="0" w:color="auto"/>
          </w:divBdr>
        </w:div>
        <w:div w:id="770929297">
          <w:marLeft w:val="0"/>
          <w:marRight w:val="0"/>
          <w:marTop w:val="0"/>
          <w:marBottom w:val="0"/>
          <w:divBdr>
            <w:top w:val="none" w:sz="0" w:space="0" w:color="auto"/>
            <w:left w:val="none" w:sz="0" w:space="0" w:color="auto"/>
            <w:bottom w:val="none" w:sz="0" w:space="0" w:color="auto"/>
            <w:right w:val="none" w:sz="0" w:space="0" w:color="auto"/>
          </w:divBdr>
        </w:div>
        <w:div w:id="1010790502">
          <w:marLeft w:val="0"/>
          <w:marRight w:val="0"/>
          <w:marTop w:val="0"/>
          <w:marBottom w:val="0"/>
          <w:divBdr>
            <w:top w:val="none" w:sz="0" w:space="0" w:color="auto"/>
            <w:left w:val="none" w:sz="0" w:space="0" w:color="auto"/>
            <w:bottom w:val="none" w:sz="0" w:space="0" w:color="auto"/>
            <w:right w:val="none" w:sz="0" w:space="0" w:color="auto"/>
          </w:divBdr>
        </w:div>
        <w:div w:id="1181431304">
          <w:marLeft w:val="0"/>
          <w:marRight w:val="0"/>
          <w:marTop w:val="0"/>
          <w:marBottom w:val="0"/>
          <w:divBdr>
            <w:top w:val="none" w:sz="0" w:space="0" w:color="auto"/>
            <w:left w:val="none" w:sz="0" w:space="0" w:color="auto"/>
            <w:bottom w:val="none" w:sz="0" w:space="0" w:color="auto"/>
            <w:right w:val="none" w:sz="0" w:space="0" w:color="auto"/>
          </w:divBdr>
        </w:div>
        <w:div w:id="1183713612">
          <w:marLeft w:val="0"/>
          <w:marRight w:val="0"/>
          <w:marTop w:val="0"/>
          <w:marBottom w:val="0"/>
          <w:divBdr>
            <w:top w:val="none" w:sz="0" w:space="0" w:color="auto"/>
            <w:left w:val="none" w:sz="0" w:space="0" w:color="auto"/>
            <w:bottom w:val="none" w:sz="0" w:space="0" w:color="auto"/>
            <w:right w:val="none" w:sz="0" w:space="0" w:color="auto"/>
          </w:divBdr>
        </w:div>
        <w:div w:id="1672296083">
          <w:marLeft w:val="0"/>
          <w:marRight w:val="0"/>
          <w:marTop w:val="0"/>
          <w:marBottom w:val="0"/>
          <w:divBdr>
            <w:top w:val="none" w:sz="0" w:space="0" w:color="auto"/>
            <w:left w:val="none" w:sz="0" w:space="0" w:color="auto"/>
            <w:bottom w:val="none" w:sz="0" w:space="0" w:color="auto"/>
            <w:right w:val="none" w:sz="0" w:space="0" w:color="auto"/>
          </w:divBdr>
        </w:div>
        <w:div w:id="1809009224">
          <w:marLeft w:val="0"/>
          <w:marRight w:val="0"/>
          <w:marTop w:val="0"/>
          <w:marBottom w:val="0"/>
          <w:divBdr>
            <w:top w:val="none" w:sz="0" w:space="0" w:color="auto"/>
            <w:left w:val="none" w:sz="0" w:space="0" w:color="auto"/>
            <w:bottom w:val="none" w:sz="0" w:space="0" w:color="auto"/>
            <w:right w:val="none" w:sz="0" w:space="0" w:color="auto"/>
          </w:divBdr>
        </w:div>
        <w:div w:id="1900822846">
          <w:marLeft w:val="0"/>
          <w:marRight w:val="0"/>
          <w:marTop w:val="0"/>
          <w:marBottom w:val="0"/>
          <w:divBdr>
            <w:top w:val="none" w:sz="0" w:space="0" w:color="auto"/>
            <w:left w:val="none" w:sz="0" w:space="0" w:color="auto"/>
            <w:bottom w:val="none" w:sz="0" w:space="0" w:color="auto"/>
            <w:right w:val="none" w:sz="0" w:space="0" w:color="auto"/>
          </w:divBdr>
        </w:div>
        <w:div w:id="1917545422">
          <w:marLeft w:val="0"/>
          <w:marRight w:val="0"/>
          <w:marTop w:val="0"/>
          <w:marBottom w:val="0"/>
          <w:divBdr>
            <w:top w:val="none" w:sz="0" w:space="0" w:color="auto"/>
            <w:left w:val="none" w:sz="0" w:space="0" w:color="auto"/>
            <w:bottom w:val="none" w:sz="0" w:space="0" w:color="auto"/>
            <w:right w:val="none" w:sz="0" w:space="0" w:color="auto"/>
          </w:divBdr>
        </w:div>
      </w:divsChild>
    </w:div>
    <w:div w:id="1818960250">
      <w:bodyDiv w:val="1"/>
      <w:marLeft w:val="0"/>
      <w:marRight w:val="0"/>
      <w:marTop w:val="0"/>
      <w:marBottom w:val="0"/>
      <w:divBdr>
        <w:top w:val="none" w:sz="0" w:space="0" w:color="auto"/>
        <w:left w:val="none" w:sz="0" w:space="0" w:color="auto"/>
        <w:bottom w:val="none" w:sz="0" w:space="0" w:color="auto"/>
        <w:right w:val="none" w:sz="0" w:space="0" w:color="auto"/>
      </w:divBdr>
      <w:divsChild>
        <w:div w:id="96292684">
          <w:marLeft w:val="0"/>
          <w:marRight w:val="0"/>
          <w:marTop w:val="0"/>
          <w:marBottom w:val="0"/>
          <w:divBdr>
            <w:top w:val="none" w:sz="0" w:space="0" w:color="auto"/>
            <w:left w:val="none" w:sz="0" w:space="0" w:color="auto"/>
            <w:bottom w:val="none" w:sz="0" w:space="0" w:color="auto"/>
            <w:right w:val="none" w:sz="0" w:space="0" w:color="auto"/>
          </w:divBdr>
          <w:divsChild>
            <w:div w:id="76097083">
              <w:marLeft w:val="0"/>
              <w:marRight w:val="0"/>
              <w:marTop w:val="0"/>
              <w:marBottom w:val="0"/>
              <w:divBdr>
                <w:top w:val="none" w:sz="0" w:space="0" w:color="auto"/>
                <w:left w:val="none" w:sz="0" w:space="0" w:color="auto"/>
                <w:bottom w:val="none" w:sz="0" w:space="0" w:color="auto"/>
                <w:right w:val="none" w:sz="0" w:space="0" w:color="auto"/>
              </w:divBdr>
            </w:div>
            <w:div w:id="357901291">
              <w:marLeft w:val="0"/>
              <w:marRight w:val="0"/>
              <w:marTop w:val="0"/>
              <w:marBottom w:val="0"/>
              <w:divBdr>
                <w:top w:val="none" w:sz="0" w:space="0" w:color="auto"/>
                <w:left w:val="none" w:sz="0" w:space="0" w:color="auto"/>
                <w:bottom w:val="none" w:sz="0" w:space="0" w:color="auto"/>
                <w:right w:val="none" w:sz="0" w:space="0" w:color="auto"/>
              </w:divBdr>
            </w:div>
            <w:div w:id="480776587">
              <w:marLeft w:val="0"/>
              <w:marRight w:val="0"/>
              <w:marTop w:val="0"/>
              <w:marBottom w:val="0"/>
              <w:divBdr>
                <w:top w:val="none" w:sz="0" w:space="0" w:color="auto"/>
                <w:left w:val="none" w:sz="0" w:space="0" w:color="auto"/>
                <w:bottom w:val="none" w:sz="0" w:space="0" w:color="auto"/>
                <w:right w:val="none" w:sz="0" w:space="0" w:color="auto"/>
              </w:divBdr>
            </w:div>
            <w:div w:id="501433767">
              <w:marLeft w:val="0"/>
              <w:marRight w:val="0"/>
              <w:marTop w:val="0"/>
              <w:marBottom w:val="0"/>
              <w:divBdr>
                <w:top w:val="none" w:sz="0" w:space="0" w:color="auto"/>
                <w:left w:val="none" w:sz="0" w:space="0" w:color="auto"/>
                <w:bottom w:val="none" w:sz="0" w:space="0" w:color="auto"/>
                <w:right w:val="none" w:sz="0" w:space="0" w:color="auto"/>
              </w:divBdr>
            </w:div>
            <w:div w:id="508327595">
              <w:marLeft w:val="0"/>
              <w:marRight w:val="0"/>
              <w:marTop w:val="0"/>
              <w:marBottom w:val="0"/>
              <w:divBdr>
                <w:top w:val="none" w:sz="0" w:space="0" w:color="auto"/>
                <w:left w:val="none" w:sz="0" w:space="0" w:color="auto"/>
                <w:bottom w:val="none" w:sz="0" w:space="0" w:color="auto"/>
                <w:right w:val="none" w:sz="0" w:space="0" w:color="auto"/>
              </w:divBdr>
            </w:div>
            <w:div w:id="534998084">
              <w:marLeft w:val="0"/>
              <w:marRight w:val="0"/>
              <w:marTop w:val="0"/>
              <w:marBottom w:val="0"/>
              <w:divBdr>
                <w:top w:val="none" w:sz="0" w:space="0" w:color="auto"/>
                <w:left w:val="none" w:sz="0" w:space="0" w:color="auto"/>
                <w:bottom w:val="none" w:sz="0" w:space="0" w:color="auto"/>
                <w:right w:val="none" w:sz="0" w:space="0" w:color="auto"/>
              </w:divBdr>
            </w:div>
            <w:div w:id="547112201">
              <w:marLeft w:val="0"/>
              <w:marRight w:val="0"/>
              <w:marTop w:val="0"/>
              <w:marBottom w:val="0"/>
              <w:divBdr>
                <w:top w:val="none" w:sz="0" w:space="0" w:color="auto"/>
                <w:left w:val="none" w:sz="0" w:space="0" w:color="auto"/>
                <w:bottom w:val="none" w:sz="0" w:space="0" w:color="auto"/>
                <w:right w:val="none" w:sz="0" w:space="0" w:color="auto"/>
              </w:divBdr>
            </w:div>
            <w:div w:id="672756223">
              <w:marLeft w:val="0"/>
              <w:marRight w:val="0"/>
              <w:marTop w:val="0"/>
              <w:marBottom w:val="0"/>
              <w:divBdr>
                <w:top w:val="none" w:sz="0" w:space="0" w:color="auto"/>
                <w:left w:val="none" w:sz="0" w:space="0" w:color="auto"/>
                <w:bottom w:val="none" w:sz="0" w:space="0" w:color="auto"/>
                <w:right w:val="none" w:sz="0" w:space="0" w:color="auto"/>
              </w:divBdr>
            </w:div>
            <w:div w:id="793131598">
              <w:marLeft w:val="0"/>
              <w:marRight w:val="0"/>
              <w:marTop w:val="0"/>
              <w:marBottom w:val="0"/>
              <w:divBdr>
                <w:top w:val="none" w:sz="0" w:space="0" w:color="auto"/>
                <w:left w:val="none" w:sz="0" w:space="0" w:color="auto"/>
                <w:bottom w:val="none" w:sz="0" w:space="0" w:color="auto"/>
                <w:right w:val="none" w:sz="0" w:space="0" w:color="auto"/>
              </w:divBdr>
            </w:div>
            <w:div w:id="811606230">
              <w:marLeft w:val="0"/>
              <w:marRight w:val="0"/>
              <w:marTop w:val="0"/>
              <w:marBottom w:val="0"/>
              <w:divBdr>
                <w:top w:val="none" w:sz="0" w:space="0" w:color="auto"/>
                <w:left w:val="none" w:sz="0" w:space="0" w:color="auto"/>
                <w:bottom w:val="none" w:sz="0" w:space="0" w:color="auto"/>
                <w:right w:val="none" w:sz="0" w:space="0" w:color="auto"/>
              </w:divBdr>
            </w:div>
            <w:div w:id="891161721">
              <w:marLeft w:val="0"/>
              <w:marRight w:val="0"/>
              <w:marTop w:val="0"/>
              <w:marBottom w:val="0"/>
              <w:divBdr>
                <w:top w:val="none" w:sz="0" w:space="0" w:color="auto"/>
                <w:left w:val="none" w:sz="0" w:space="0" w:color="auto"/>
                <w:bottom w:val="none" w:sz="0" w:space="0" w:color="auto"/>
                <w:right w:val="none" w:sz="0" w:space="0" w:color="auto"/>
              </w:divBdr>
            </w:div>
            <w:div w:id="992561427">
              <w:marLeft w:val="0"/>
              <w:marRight w:val="0"/>
              <w:marTop w:val="0"/>
              <w:marBottom w:val="0"/>
              <w:divBdr>
                <w:top w:val="none" w:sz="0" w:space="0" w:color="auto"/>
                <w:left w:val="none" w:sz="0" w:space="0" w:color="auto"/>
                <w:bottom w:val="none" w:sz="0" w:space="0" w:color="auto"/>
                <w:right w:val="none" w:sz="0" w:space="0" w:color="auto"/>
              </w:divBdr>
            </w:div>
            <w:div w:id="1021586230">
              <w:marLeft w:val="0"/>
              <w:marRight w:val="0"/>
              <w:marTop w:val="0"/>
              <w:marBottom w:val="0"/>
              <w:divBdr>
                <w:top w:val="none" w:sz="0" w:space="0" w:color="auto"/>
                <w:left w:val="none" w:sz="0" w:space="0" w:color="auto"/>
                <w:bottom w:val="none" w:sz="0" w:space="0" w:color="auto"/>
                <w:right w:val="none" w:sz="0" w:space="0" w:color="auto"/>
              </w:divBdr>
            </w:div>
            <w:div w:id="1043096688">
              <w:marLeft w:val="0"/>
              <w:marRight w:val="0"/>
              <w:marTop w:val="0"/>
              <w:marBottom w:val="0"/>
              <w:divBdr>
                <w:top w:val="none" w:sz="0" w:space="0" w:color="auto"/>
                <w:left w:val="none" w:sz="0" w:space="0" w:color="auto"/>
                <w:bottom w:val="none" w:sz="0" w:space="0" w:color="auto"/>
                <w:right w:val="none" w:sz="0" w:space="0" w:color="auto"/>
              </w:divBdr>
            </w:div>
            <w:div w:id="1318269007">
              <w:marLeft w:val="0"/>
              <w:marRight w:val="0"/>
              <w:marTop w:val="0"/>
              <w:marBottom w:val="0"/>
              <w:divBdr>
                <w:top w:val="none" w:sz="0" w:space="0" w:color="auto"/>
                <w:left w:val="none" w:sz="0" w:space="0" w:color="auto"/>
                <w:bottom w:val="none" w:sz="0" w:space="0" w:color="auto"/>
                <w:right w:val="none" w:sz="0" w:space="0" w:color="auto"/>
              </w:divBdr>
            </w:div>
            <w:div w:id="1459840262">
              <w:marLeft w:val="0"/>
              <w:marRight w:val="0"/>
              <w:marTop w:val="0"/>
              <w:marBottom w:val="0"/>
              <w:divBdr>
                <w:top w:val="none" w:sz="0" w:space="0" w:color="auto"/>
                <w:left w:val="none" w:sz="0" w:space="0" w:color="auto"/>
                <w:bottom w:val="none" w:sz="0" w:space="0" w:color="auto"/>
                <w:right w:val="none" w:sz="0" w:space="0" w:color="auto"/>
              </w:divBdr>
            </w:div>
            <w:div w:id="1792938400">
              <w:marLeft w:val="0"/>
              <w:marRight w:val="0"/>
              <w:marTop w:val="0"/>
              <w:marBottom w:val="0"/>
              <w:divBdr>
                <w:top w:val="none" w:sz="0" w:space="0" w:color="auto"/>
                <w:left w:val="none" w:sz="0" w:space="0" w:color="auto"/>
                <w:bottom w:val="none" w:sz="0" w:space="0" w:color="auto"/>
                <w:right w:val="none" w:sz="0" w:space="0" w:color="auto"/>
              </w:divBdr>
            </w:div>
            <w:div w:id="2038117394">
              <w:marLeft w:val="0"/>
              <w:marRight w:val="0"/>
              <w:marTop w:val="0"/>
              <w:marBottom w:val="0"/>
              <w:divBdr>
                <w:top w:val="none" w:sz="0" w:space="0" w:color="auto"/>
                <w:left w:val="none" w:sz="0" w:space="0" w:color="auto"/>
                <w:bottom w:val="none" w:sz="0" w:space="0" w:color="auto"/>
                <w:right w:val="none" w:sz="0" w:space="0" w:color="auto"/>
              </w:divBdr>
            </w:div>
            <w:div w:id="2116557785">
              <w:marLeft w:val="0"/>
              <w:marRight w:val="0"/>
              <w:marTop w:val="0"/>
              <w:marBottom w:val="0"/>
              <w:divBdr>
                <w:top w:val="none" w:sz="0" w:space="0" w:color="auto"/>
                <w:left w:val="none" w:sz="0" w:space="0" w:color="auto"/>
                <w:bottom w:val="none" w:sz="0" w:space="0" w:color="auto"/>
                <w:right w:val="none" w:sz="0" w:space="0" w:color="auto"/>
              </w:divBdr>
            </w:div>
          </w:divsChild>
        </w:div>
        <w:div w:id="1968395409">
          <w:marLeft w:val="0"/>
          <w:marRight w:val="0"/>
          <w:marTop w:val="0"/>
          <w:marBottom w:val="0"/>
          <w:divBdr>
            <w:top w:val="none" w:sz="0" w:space="0" w:color="auto"/>
            <w:left w:val="none" w:sz="0" w:space="0" w:color="auto"/>
            <w:bottom w:val="none" w:sz="0" w:space="0" w:color="auto"/>
            <w:right w:val="none" w:sz="0" w:space="0" w:color="auto"/>
          </w:divBdr>
          <w:divsChild>
            <w:div w:id="1031491145">
              <w:marLeft w:val="0"/>
              <w:marRight w:val="0"/>
              <w:marTop w:val="0"/>
              <w:marBottom w:val="0"/>
              <w:divBdr>
                <w:top w:val="none" w:sz="0" w:space="0" w:color="auto"/>
                <w:left w:val="none" w:sz="0" w:space="0" w:color="auto"/>
                <w:bottom w:val="none" w:sz="0" w:space="0" w:color="auto"/>
                <w:right w:val="none" w:sz="0" w:space="0" w:color="auto"/>
              </w:divBdr>
            </w:div>
            <w:div w:id="1108693416">
              <w:marLeft w:val="0"/>
              <w:marRight w:val="0"/>
              <w:marTop w:val="0"/>
              <w:marBottom w:val="0"/>
              <w:divBdr>
                <w:top w:val="none" w:sz="0" w:space="0" w:color="auto"/>
                <w:left w:val="none" w:sz="0" w:space="0" w:color="auto"/>
                <w:bottom w:val="none" w:sz="0" w:space="0" w:color="auto"/>
                <w:right w:val="none" w:sz="0" w:space="0" w:color="auto"/>
              </w:divBdr>
            </w:div>
            <w:div w:id="1114594332">
              <w:marLeft w:val="0"/>
              <w:marRight w:val="0"/>
              <w:marTop w:val="0"/>
              <w:marBottom w:val="0"/>
              <w:divBdr>
                <w:top w:val="none" w:sz="0" w:space="0" w:color="auto"/>
                <w:left w:val="none" w:sz="0" w:space="0" w:color="auto"/>
                <w:bottom w:val="none" w:sz="0" w:space="0" w:color="auto"/>
                <w:right w:val="none" w:sz="0" w:space="0" w:color="auto"/>
              </w:divBdr>
            </w:div>
            <w:div w:id="1195997819">
              <w:marLeft w:val="0"/>
              <w:marRight w:val="0"/>
              <w:marTop w:val="0"/>
              <w:marBottom w:val="0"/>
              <w:divBdr>
                <w:top w:val="none" w:sz="0" w:space="0" w:color="auto"/>
                <w:left w:val="none" w:sz="0" w:space="0" w:color="auto"/>
                <w:bottom w:val="none" w:sz="0" w:space="0" w:color="auto"/>
                <w:right w:val="none" w:sz="0" w:space="0" w:color="auto"/>
              </w:divBdr>
            </w:div>
            <w:div w:id="1206597621">
              <w:marLeft w:val="0"/>
              <w:marRight w:val="0"/>
              <w:marTop w:val="0"/>
              <w:marBottom w:val="0"/>
              <w:divBdr>
                <w:top w:val="none" w:sz="0" w:space="0" w:color="auto"/>
                <w:left w:val="none" w:sz="0" w:space="0" w:color="auto"/>
                <w:bottom w:val="none" w:sz="0" w:space="0" w:color="auto"/>
                <w:right w:val="none" w:sz="0" w:space="0" w:color="auto"/>
              </w:divBdr>
            </w:div>
            <w:div w:id="1493911185">
              <w:marLeft w:val="0"/>
              <w:marRight w:val="0"/>
              <w:marTop w:val="0"/>
              <w:marBottom w:val="0"/>
              <w:divBdr>
                <w:top w:val="none" w:sz="0" w:space="0" w:color="auto"/>
                <w:left w:val="none" w:sz="0" w:space="0" w:color="auto"/>
                <w:bottom w:val="none" w:sz="0" w:space="0" w:color="auto"/>
                <w:right w:val="none" w:sz="0" w:space="0" w:color="auto"/>
              </w:divBdr>
            </w:div>
            <w:div w:id="16369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046">
      <w:bodyDiv w:val="1"/>
      <w:marLeft w:val="0"/>
      <w:marRight w:val="0"/>
      <w:marTop w:val="0"/>
      <w:marBottom w:val="0"/>
      <w:divBdr>
        <w:top w:val="none" w:sz="0" w:space="0" w:color="auto"/>
        <w:left w:val="none" w:sz="0" w:space="0" w:color="auto"/>
        <w:bottom w:val="none" w:sz="0" w:space="0" w:color="auto"/>
        <w:right w:val="none" w:sz="0" w:space="0" w:color="auto"/>
      </w:divBdr>
    </w:div>
    <w:div w:id="1828159375">
      <w:bodyDiv w:val="1"/>
      <w:marLeft w:val="0"/>
      <w:marRight w:val="0"/>
      <w:marTop w:val="0"/>
      <w:marBottom w:val="0"/>
      <w:divBdr>
        <w:top w:val="none" w:sz="0" w:space="0" w:color="auto"/>
        <w:left w:val="none" w:sz="0" w:space="0" w:color="auto"/>
        <w:bottom w:val="none" w:sz="0" w:space="0" w:color="auto"/>
        <w:right w:val="none" w:sz="0" w:space="0" w:color="auto"/>
      </w:divBdr>
      <w:divsChild>
        <w:div w:id="375131650">
          <w:marLeft w:val="0"/>
          <w:marRight w:val="0"/>
          <w:marTop w:val="0"/>
          <w:marBottom w:val="0"/>
          <w:divBdr>
            <w:top w:val="none" w:sz="0" w:space="0" w:color="auto"/>
            <w:left w:val="none" w:sz="0" w:space="0" w:color="auto"/>
            <w:bottom w:val="none" w:sz="0" w:space="0" w:color="auto"/>
            <w:right w:val="none" w:sz="0" w:space="0" w:color="auto"/>
          </w:divBdr>
          <w:divsChild>
            <w:div w:id="194927126">
              <w:marLeft w:val="0"/>
              <w:marRight w:val="0"/>
              <w:marTop w:val="0"/>
              <w:marBottom w:val="0"/>
              <w:divBdr>
                <w:top w:val="none" w:sz="0" w:space="0" w:color="auto"/>
                <w:left w:val="none" w:sz="0" w:space="0" w:color="auto"/>
                <w:bottom w:val="none" w:sz="0" w:space="0" w:color="auto"/>
                <w:right w:val="none" w:sz="0" w:space="0" w:color="auto"/>
              </w:divBdr>
              <w:divsChild>
                <w:div w:id="1144271097">
                  <w:marLeft w:val="0"/>
                  <w:marRight w:val="0"/>
                  <w:marTop w:val="0"/>
                  <w:marBottom w:val="0"/>
                  <w:divBdr>
                    <w:top w:val="none" w:sz="0" w:space="0" w:color="auto"/>
                    <w:left w:val="none" w:sz="0" w:space="0" w:color="auto"/>
                    <w:bottom w:val="none" w:sz="0" w:space="0" w:color="auto"/>
                    <w:right w:val="none" w:sz="0" w:space="0" w:color="auto"/>
                  </w:divBdr>
                  <w:divsChild>
                    <w:div w:id="868563764">
                      <w:marLeft w:val="0"/>
                      <w:marRight w:val="0"/>
                      <w:marTop w:val="0"/>
                      <w:marBottom w:val="0"/>
                      <w:divBdr>
                        <w:top w:val="none" w:sz="0" w:space="0" w:color="auto"/>
                        <w:left w:val="none" w:sz="0" w:space="0" w:color="auto"/>
                        <w:bottom w:val="none" w:sz="0" w:space="0" w:color="auto"/>
                        <w:right w:val="none" w:sz="0" w:space="0" w:color="auto"/>
                      </w:divBdr>
                      <w:divsChild>
                        <w:div w:id="53086616">
                          <w:marLeft w:val="0"/>
                          <w:marRight w:val="0"/>
                          <w:marTop w:val="0"/>
                          <w:marBottom w:val="0"/>
                          <w:divBdr>
                            <w:top w:val="none" w:sz="0" w:space="0" w:color="auto"/>
                            <w:left w:val="none" w:sz="0" w:space="0" w:color="auto"/>
                            <w:bottom w:val="none" w:sz="0" w:space="0" w:color="auto"/>
                            <w:right w:val="none" w:sz="0" w:space="0" w:color="auto"/>
                          </w:divBdr>
                        </w:div>
                        <w:div w:id="91433950">
                          <w:marLeft w:val="0"/>
                          <w:marRight w:val="0"/>
                          <w:marTop w:val="0"/>
                          <w:marBottom w:val="0"/>
                          <w:divBdr>
                            <w:top w:val="none" w:sz="0" w:space="0" w:color="auto"/>
                            <w:left w:val="none" w:sz="0" w:space="0" w:color="auto"/>
                            <w:bottom w:val="none" w:sz="0" w:space="0" w:color="auto"/>
                            <w:right w:val="none" w:sz="0" w:space="0" w:color="auto"/>
                          </w:divBdr>
                        </w:div>
                        <w:div w:id="120808507">
                          <w:marLeft w:val="0"/>
                          <w:marRight w:val="0"/>
                          <w:marTop w:val="0"/>
                          <w:marBottom w:val="0"/>
                          <w:divBdr>
                            <w:top w:val="none" w:sz="0" w:space="0" w:color="auto"/>
                            <w:left w:val="none" w:sz="0" w:space="0" w:color="auto"/>
                            <w:bottom w:val="none" w:sz="0" w:space="0" w:color="auto"/>
                            <w:right w:val="none" w:sz="0" w:space="0" w:color="auto"/>
                          </w:divBdr>
                        </w:div>
                        <w:div w:id="474297362">
                          <w:marLeft w:val="0"/>
                          <w:marRight w:val="0"/>
                          <w:marTop w:val="0"/>
                          <w:marBottom w:val="0"/>
                          <w:divBdr>
                            <w:top w:val="none" w:sz="0" w:space="0" w:color="auto"/>
                            <w:left w:val="none" w:sz="0" w:space="0" w:color="auto"/>
                            <w:bottom w:val="none" w:sz="0" w:space="0" w:color="auto"/>
                            <w:right w:val="none" w:sz="0" w:space="0" w:color="auto"/>
                          </w:divBdr>
                        </w:div>
                        <w:div w:id="577594955">
                          <w:marLeft w:val="0"/>
                          <w:marRight w:val="0"/>
                          <w:marTop w:val="0"/>
                          <w:marBottom w:val="0"/>
                          <w:divBdr>
                            <w:top w:val="none" w:sz="0" w:space="0" w:color="auto"/>
                            <w:left w:val="none" w:sz="0" w:space="0" w:color="auto"/>
                            <w:bottom w:val="none" w:sz="0" w:space="0" w:color="auto"/>
                            <w:right w:val="none" w:sz="0" w:space="0" w:color="auto"/>
                          </w:divBdr>
                        </w:div>
                        <w:div w:id="605695272">
                          <w:marLeft w:val="0"/>
                          <w:marRight w:val="0"/>
                          <w:marTop w:val="0"/>
                          <w:marBottom w:val="0"/>
                          <w:divBdr>
                            <w:top w:val="none" w:sz="0" w:space="0" w:color="auto"/>
                            <w:left w:val="none" w:sz="0" w:space="0" w:color="auto"/>
                            <w:bottom w:val="none" w:sz="0" w:space="0" w:color="auto"/>
                            <w:right w:val="none" w:sz="0" w:space="0" w:color="auto"/>
                          </w:divBdr>
                        </w:div>
                        <w:div w:id="629675558">
                          <w:marLeft w:val="0"/>
                          <w:marRight w:val="0"/>
                          <w:marTop w:val="0"/>
                          <w:marBottom w:val="0"/>
                          <w:divBdr>
                            <w:top w:val="none" w:sz="0" w:space="0" w:color="auto"/>
                            <w:left w:val="none" w:sz="0" w:space="0" w:color="auto"/>
                            <w:bottom w:val="none" w:sz="0" w:space="0" w:color="auto"/>
                            <w:right w:val="none" w:sz="0" w:space="0" w:color="auto"/>
                          </w:divBdr>
                        </w:div>
                        <w:div w:id="778375345">
                          <w:marLeft w:val="0"/>
                          <w:marRight w:val="0"/>
                          <w:marTop w:val="0"/>
                          <w:marBottom w:val="0"/>
                          <w:divBdr>
                            <w:top w:val="none" w:sz="0" w:space="0" w:color="auto"/>
                            <w:left w:val="none" w:sz="0" w:space="0" w:color="auto"/>
                            <w:bottom w:val="none" w:sz="0" w:space="0" w:color="auto"/>
                            <w:right w:val="none" w:sz="0" w:space="0" w:color="auto"/>
                          </w:divBdr>
                        </w:div>
                        <w:div w:id="782502917">
                          <w:marLeft w:val="0"/>
                          <w:marRight w:val="0"/>
                          <w:marTop w:val="0"/>
                          <w:marBottom w:val="0"/>
                          <w:divBdr>
                            <w:top w:val="none" w:sz="0" w:space="0" w:color="auto"/>
                            <w:left w:val="none" w:sz="0" w:space="0" w:color="auto"/>
                            <w:bottom w:val="none" w:sz="0" w:space="0" w:color="auto"/>
                            <w:right w:val="none" w:sz="0" w:space="0" w:color="auto"/>
                          </w:divBdr>
                        </w:div>
                        <w:div w:id="974873031">
                          <w:marLeft w:val="0"/>
                          <w:marRight w:val="0"/>
                          <w:marTop w:val="0"/>
                          <w:marBottom w:val="0"/>
                          <w:divBdr>
                            <w:top w:val="none" w:sz="0" w:space="0" w:color="auto"/>
                            <w:left w:val="none" w:sz="0" w:space="0" w:color="auto"/>
                            <w:bottom w:val="none" w:sz="0" w:space="0" w:color="auto"/>
                            <w:right w:val="none" w:sz="0" w:space="0" w:color="auto"/>
                          </w:divBdr>
                        </w:div>
                        <w:div w:id="1056244245">
                          <w:marLeft w:val="0"/>
                          <w:marRight w:val="0"/>
                          <w:marTop w:val="0"/>
                          <w:marBottom w:val="0"/>
                          <w:divBdr>
                            <w:top w:val="none" w:sz="0" w:space="0" w:color="auto"/>
                            <w:left w:val="none" w:sz="0" w:space="0" w:color="auto"/>
                            <w:bottom w:val="none" w:sz="0" w:space="0" w:color="auto"/>
                            <w:right w:val="none" w:sz="0" w:space="0" w:color="auto"/>
                          </w:divBdr>
                        </w:div>
                        <w:div w:id="1091510909">
                          <w:marLeft w:val="0"/>
                          <w:marRight w:val="0"/>
                          <w:marTop w:val="0"/>
                          <w:marBottom w:val="0"/>
                          <w:divBdr>
                            <w:top w:val="none" w:sz="0" w:space="0" w:color="auto"/>
                            <w:left w:val="none" w:sz="0" w:space="0" w:color="auto"/>
                            <w:bottom w:val="none" w:sz="0" w:space="0" w:color="auto"/>
                            <w:right w:val="none" w:sz="0" w:space="0" w:color="auto"/>
                          </w:divBdr>
                        </w:div>
                        <w:div w:id="1327826541">
                          <w:marLeft w:val="0"/>
                          <w:marRight w:val="0"/>
                          <w:marTop w:val="0"/>
                          <w:marBottom w:val="0"/>
                          <w:divBdr>
                            <w:top w:val="none" w:sz="0" w:space="0" w:color="auto"/>
                            <w:left w:val="none" w:sz="0" w:space="0" w:color="auto"/>
                            <w:bottom w:val="none" w:sz="0" w:space="0" w:color="auto"/>
                            <w:right w:val="none" w:sz="0" w:space="0" w:color="auto"/>
                          </w:divBdr>
                        </w:div>
                        <w:div w:id="1710690055">
                          <w:marLeft w:val="0"/>
                          <w:marRight w:val="0"/>
                          <w:marTop w:val="0"/>
                          <w:marBottom w:val="0"/>
                          <w:divBdr>
                            <w:top w:val="none" w:sz="0" w:space="0" w:color="auto"/>
                            <w:left w:val="none" w:sz="0" w:space="0" w:color="auto"/>
                            <w:bottom w:val="none" w:sz="0" w:space="0" w:color="auto"/>
                            <w:right w:val="none" w:sz="0" w:space="0" w:color="auto"/>
                          </w:divBdr>
                        </w:div>
                        <w:div w:id="1843425601">
                          <w:marLeft w:val="0"/>
                          <w:marRight w:val="0"/>
                          <w:marTop w:val="0"/>
                          <w:marBottom w:val="0"/>
                          <w:divBdr>
                            <w:top w:val="none" w:sz="0" w:space="0" w:color="auto"/>
                            <w:left w:val="none" w:sz="0" w:space="0" w:color="auto"/>
                            <w:bottom w:val="none" w:sz="0" w:space="0" w:color="auto"/>
                            <w:right w:val="none" w:sz="0" w:space="0" w:color="auto"/>
                          </w:divBdr>
                        </w:div>
                        <w:div w:id="1915241415">
                          <w:marLeft w:val="0"/>
                          <w:marRight w:val="0"/>
                          <w:marTop w:val="0"/>
                          <w:marBottom w:val="0"/>
                          <w:divBdr>
                            <w:top w:val="none" w:sz="0" w:space="0" w:color="auto"/>
                            <w:left w:val="none" w:sz="0" w:space="0" w:color="auto"/>
                            <w:bottom w:val="none" w:sz="0" w:space="0" w:color="auto"/>
                            <w:right w:val="none" w:sz="0" w:space="0" w:color="auto"/>
                          </w:divBdr>
                        </w:div>
                        <w:div w:id="1939562148">
                          <w:marLeft w:val="0"/>
                          <w:marRight w:val="0"/>
                          <w:marTop w:val="0"/>
                          <w:marBottom w:val="0"/>
                          <w:divBdr>
                            <w:top w:val="none" w:sz="0" w:space="0" w:color="auto"/>
                            <w:left w:val="none" w:sz="0" w:space="0" w:color="auto"/>
                            <w:bottom w:val="none" w:sz="0" w:space="0" w:color="auto"/>
                            <w:right w:val="none" w:sz="0" w:space="0" w:color="auto"/>
                          </w:divBdr>
                        </w:div>
                        <w:div w:id="19695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128">
                  <w:marLeft w:val="0"/>
                  <w:marRight w:val="0"/>
                  <w:marTop w:val="0"/>
                  <w:marBottom w:val="0"/>
                  <w:divBdr>
                    <w:top w:val="none" w:sz="0" w:space="0" w:color="auto"/>
                    <w:left w:val="none" w:sz="0" w:space="0" w:color="auto"/>
                    <w:bottom w:val="none" w:sz="0" w:space="0" w:color="auto"/>
                    <w:right w:val="none" w:sz="0" w:space="0" w:color="auto"/>
                  </w:divBdr>
                  <w:divsChild>
                    <w:div w:id="1513687724">
                      <w:marLeft w:val="0"/>
                      <w:marRight w:val="0"/>
                      <w:marTop w:val="0"/>
                      <w:marBottom w:val="0"/>
                      <w:divBdr>
                        <w:top w:val="none" w:sz="0" w:space="0" w:color="auto"/>
                        <w:left w:val="none" w:sz="0" w:space="0" w:color="auto"/>
                        <w:bottom w:val="none" w:sz="0" w:space="0" w:color="auto"/>
                        <w:right w:val="none" w:sz="0" w:space="0" w:color="auto"/>
                      </w:divBdr>
                    </w:div>
                  </w:divsChild>
                </w:div>
                <w:div w:id="2071222480">
                  <w:marLeft w:val="0"/>
                  <w:marRight w:val="0"/>
                  <w:marTop w:val="0"/>
                  <w:marBottom w:val="0"/>
                  <w:divBdr>
                    <w:top w:val="none" w:sz="0" w:space="0" w:color="auto"/>
                    <w:left w:val="none" w:sz="0" w:space="0" w:color="auto"/>
                    <w:bottom w:val="none" w:sz="0" w:space="0" w:color="auto"/>
                    <w:right w:val="none" w:sz="0" w:space="0" w:color="auto"/>
                  </w:divBdr>
                  <w:divsChild>
                    <w:div w:id="246886029">
                      <w:marLeft w:val="0"/>
                      <w:marRight w:val="0"/>
                      <w:marTop w:val="0"/>
                      <w:marBottom w:val="0"/>
                      <w:divBdr>
                        <w:top w:val="none" w:sz="0" w:space="0" w:color="auto"/>
                        <w:left w:val="none" w:sz="0" w:space="0" w:color="auto"/>
                        <w:bottom w:val="none" w:sz="0" w:space="0" w:color="auto"/>
                        <w:right w:val="none" w:sz="0" w:space="0" w:color="auto"/>
                      </w:divBdr>
                    </w:div>
                  </w:divsChild>
                </w:div>
                <w:div w:id="2119836131">
                  <w:marLeft w:val="0"/>
                  <w:marRight w:val="0"/>
                  <w:marTop w:val="0"/>
                  <w:marBottom w:val="0"/>
                  <w:divBdr>
                    <w:top w:val="none" w:sz="0" w:space="0" w:color="auto"/>
                    <w:left w:val="none" w:sz="0" w:space="0" w:color="auto"/>
                    <w:bottom w:val="none" w:sz="0" w:space="0" w:color="auto"/>
                    <w:right w:val="none" w:sz="0" w:space="0" w:color="auto"/>
                  </w:divBdr>
                  <w:divsChild>
                    <w:div w:id="9000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2218">
      <w:bodyDiv w:val="1"/>
      <w:marLeft w:val="0"/>
      <w:marRight w:val="0"/>
      <w:marTop w:val="0"/>
      <w:marBottom w:val="0"/>
      <w:divBdr>
        <w:top w:val="none" w:sz="0" w:space="0" w:color="auto"/>
        <w:left w:val="none" w:sz="0" w:space="0" w:color="auto"/>
        <w:bottom w:val="none" w:sz="0" w:space="0" w:color="auto"/>
        <w:right w:val="none" w:sz="0" w:space="0" w:color="auto"/>
      </w:divBdr>
    </w:div>
    <w:div w:id="1836455765">
      <w:bodyDiv w:val="1"/>
      <w:marLeft w:val="0"/>
      <w:marRight w:val="0"/>
      <w:marTop w:val="0"/>
      <w:marBottom w:val="0"/>
      <w:divBdr>
        <w:top w:val="none" w:sz="0" w:space="0" w:color="auto"/>
        <w:left w:val="none" w:sz="0" w:space="0" w:color="auto"/>
        <w:bottom w:val="none" w:sz="0" w:space="0" w:color="auto"/>
        <w:right w:val="none" w:sz="0" w:space="0" w:color="auto"/>
      </w:divBdr>
      <w:divsChild>
        <w:div w:id="346642974">
          <w:marLeft w:val="446"/>
          <w:marRight w:val="0"/>
          <w:marTop w:val="0"/>
          <w:marBottom w:val="120"/>
          <w:divBdr>
            <w:top w:val="none" w:sz="0" w:space="0" w:color="auto"/>
            <w:left w:val="none" w:sz="0" w:space="0" w:color="auto"/>
            <w:bottom w:val="none" w:sz="0" w:space="0" w:color="auto"/>
            <w:right w:val="none" w:sz="0" w:space="0" w:color="auto"/>
          </w:divBdr>
        </w:div>
        <w:div w:id="725033772">
          <w:marLeft w:val="446"/>
          <w:marRight w:val="0"/>
          <w:marTop w:val="0"/>
          <w:marBottom w:val="120"/>
          <w:divBdr>
            <w:top w:val="none" w:sz="0" w:space="0" w:color="auto"/>
            <w:left w:val="none" w:sz="0" w:space="0" w:color="auto"/>
            <w:bottom w:val="none" w:sz="0" w:space="0" w:color="auto"/>
            <w:right w:val="none" w:sz="0" w:space="0" w:color="auto"/>
          </w:divBdr>
        </w:div>
        <w:div w:id="868296592">
          <w:marLeft w:val="446"/>
          <w:marRight w:val="0"/>
          <w:marTop w:val="0"/>
          <w:marBottom w:val="120"/>
          <w:divBdr>
            <w:top w:val="none" w:sz="0" w:space="0" w:color="auto"/>
            <w:left w:val="none" w:sz="0" w:space="0" w:color="auto"/>
            <w:bottom w:val="none" w:sz="0" w:space="0" w:color="auto"/>
            <w:right w:val="none" w:sz="0" w:space="0" w:color="auto"/>
          </w:divBdr>
        </w:div>
        <w:div w:id="1517962731">
          <w:marLeft w:val="446"/>
          <w:marRight w:val="0"/>
          <w:marTop w:val="0"/>
          <w:marBottom w:val="120"/>
          <w:divBdr>
            <w:top w:val="none" w:sz="0" w:space="0" w:color="auto"/>
            <w:left w:val="none" w:sz="0" w:space="0" w:color="auto"/>
            <w:bottom w:val="none" w:sz="0" w:space="0" w:color="auto"/>
            <w:right w:val="none" w:sz="0" w:space="0" w:color="auto"/>
          </w:divBdr>
        </w:div>
      </w:divsChild>
    </w:div>
    <w:div w:id="1837526432">
      <w:bodyDiv w:val="1"/>
      <w:marLeft w:val="0"/>
      <w:marRight w:val="0"/>
      <w:marTop w:val="0"/>
      <w:marBottom w:val="0"/>
      <w:divBdr>
        <w:top w:val="none" w:sz="0" w:space="0" w:color="auto"/>
        <w:left w:val="none" w:sz="0" w:space="0" w:color="auto"/>
        <w:bottom w:val="none" w:sz="0" w:space="0" w:color="auto"/>
        <w:right w:val="none" w:sz="0" w:space="0" w:color="auto"/>
      </w:divBdr>
      <w:divsChild>
        <w:div w:id="46681996">
          <w:marLeft w:val="0"/>
          <w:marRight w:val="0"/>
          <w:marTop w:val="0"/>
          <w:marBottom w:val="0"/>
          <w:divBdr>
            <w:top w:val="none" w:sz="0" w:space="0" w:color="auto"/>
            <w:left w:val="none" w:sz="0" w:space="0" w:color="auto"/>
            <w:bottom w:val="none" w:sz="0" w:space="0" w:color="auto"/>
            <w:right w:val="none" w:sz="0" w:space="0" w:color="auto"/>
          </w:divBdr>
        </w:div>
        <w:div w:id="231936950">
          <w:marLeft w:val="0"/>
          <w:marRight w:val="0"/>
          <w:marTop w:val="0"/>
          <w:marBottom w:val="0"/>
          <w:divBdr>
            <w:top w:val="none" w:sz="0" w:space="0" w:color="auto"/>
            <w:left w:val="none" w:sz="0" w:space="0" w:color="auto"/>
            <w:bottom w:val="none" w:sz="0" w:space="0" w:color="auto"/>
            <w:right w:val="none" w:sz="0" w:space="0" w:color="auto"/>
          </w:divBdr>
        </w:div>
        <w:div w:id="278999680">
          <w:marLeft w:val="0"/>
          <w:marRight w:val="0"/>
          <w:marTop w:val="0"/>
          <w:marBottom w:val="0"/>
          <w:divBdr>
            <w:top w:val="none" w:sz="0" w:space="0" w:color="auto"/>
            <w:left w:val="none" w:sz="0" w:space="0" w:color="auto"/>
            <w:bottom w:val="none" w:sz="0" w:space="0" w:color="auto"/>
            <w:right w:val="none" w:sz="0" w:space="0" w:color="auto"/>
          </w:divBdr>
        </w:div>
        <w:div w:id="287443168">
          <w:marLeft w:val="0"/>
          <w:marRight w:val="0"/>
          <w:marTop w:val="0"/>
          <w:marBottom w:val="0"/>
          <w:divBdr>
            <w:top w:val="none" w:sz="0" w:space="0" w:color="auto"/>
            <w:left w:val="none" w:sz="0" w:space="0" w:color="auto"/>
            <w:bottom w:val="none" w:sz="0" w:space="0" w:color="auto"/>
            <w:right w:val="none" w:sz="0" w:space="0" w:color="auto"/>
          </w:divBdr>
        </w:div>
        <w:div w:id="416169300">
          <w:marLeft w:val="0"/>
          <w:marRight w:val="0"/>
          <w:marTop w:val="0"/>
          <w:marBottom w:val="0"/>
          <w:divBdr>
            <w:top w:val="none" w:sz="0" w:space="0" w:color="auto"/>
            <w:left w:val="none" w:sz="0" w:space="0" w:color="auto"/>
            <w:bottom w:val="none" w:sz="0" w:space="0" w:color="auto"/>
            <w:right w:val="none" w:sz="0" w:space="0" w:color="auto"/>
          </w:divBdr>
        </w:div>
        <w:div w:id="425687278">
          <w:marLeft w:val="0"/>
          <w:marRight w:val="0"/>
          <w:marTop w:val="0"/>
          <w:marBottom w:val="0"/>
          <w:divBdr>
            <w:top w:val="none" w:sz="0" w:space="0" w:color="auto"/>
            <w:left w:val="none" w:sz="0" w:space="0" w:color="auto"/>
            <w:bottom w:val="none" w:sz="0" w:space="0" w:color="auto"/>
            <w:right w:val="none" w:sz="0" w:space="0" w:color="auto"/>
          </w:divBdr>
        </w:div>
        <w:div w:id="660693701">
          <w:marLeft w:val="0"/>
          <w:marRight w:val="0"/>
          <w:marTop w:val="0"/>
          <w:marBottom w:val="0"/>
          <w:divBdr>
            <w:top w:val="none" w:sz="0" w:space="0" w:color="auto"/>
            <w:left w:val="none" w:sz="0" w:space="0" w:color="auto"/>
            <w:bottom w:val="none" w:sz="0" w:space="0" w:color="auto"/>
            <w:right w:val="none" w:sz="0" w:space="0" w:color="auto"/>
          </w:divBdr>
        </w:div>
        <w:div w:id="682631347">
          <w:marLeft w:val="0"/>
          <w:marRight w:val="0"/>
          <w:marTop w:val="0"/>
          <w:marBottom w:val="0"/>
          <w:divBdr>
            <w:top w:val="none" w:sz="0" w:space="0" w:color="auto"/>
            <w:left w:val="none" w:sz="0" w:space="0" w:color="auto"/>
            <w:bottom w:val="none" w:sz="0" w:space="0" w:color="auto"/>
            <w:right w:val="none" w:sz="0" w:space="0" w:color="auto"/>
          </w:divBdr>
        </w:div>
        <w:div w:id="807011554">
          <w:marLeft w:val="0"/>
          <w:marRight w:val="0"/>
          <w:marTop w:val="0"/>
          <w:marBottom w:val="0"/>
          <w:divBdr>
            <w:top w:val="none" w:sz="0" w:space="0" w:color="auto"/>
            <w:left w:val="none" w:sz="0" w:space="0" w:color="auto"/>
            <w:bottom w:val="none" w:sz="0" w:space="0" w:color="auto"/>
            <w:right w:val="none" w:sz="0" w:space="0" w:color="auto"/>
          </w:divBdr>
        </w:div>
        <w:div w:id="916356082">
          <w:marLeft w:val="0"/>
          <w:marRight w:val="0"/>
          <w:marTop w:val="0"/>
          <w:marBottom w:val="0"/>
          <w:divBdr>
            <w:top w:val="none" w:sz="0" w:space="0" w:color="auto"/>
            <w:left w:val="none" w:sz="0" w:space="0" w:color="auto"/>
            <w:bottom w:val="none" w:sz="0" w:space="0" w:color="auto"/>
            <w:right w:val="none" w:sz="0" w:space="0" w:color="auto"/>
          </w:divBdr>
        </w:div>
        <w:div w:id="1038353421">
          <w:marLeft w:val="0"/>
          <w:marRight w:val="0"/>
          <w:marTop w:val="0"/>
          <w:marBottom w:val="0"/>
          <w:divBdr>
            <w:top w:val="none" w:sz="0" w:space="0" w:color="auto"/>
            <w:left w:val="none" w:sz="0" w:space="0" w:color="auto"/>
            <w:bottom w:val="none" w:sz="0" w:space="0" w:color="auto"/>
            <w:right w:val="none" w:sz="0" w:space="0" w:color="auto"/>
          </w:divBdr>
        </w:div>
        <w:div w:id="1045106452">
          <w:marLeft w:val="0"/>
          <w:marRight w:val="0"/>
          <w:marTop w:val="0"/>
          <w:marBottom w:val="0"/>
          <w:divBdr>
            <w:top w:val="none" w:sz="0" w:space="0" w:color="auto"/>
            <w:left w:val="none" w:sz="0" w:space="0" w:color="auto"/>
            <w:bottom w:val="none" w:sz="0" w:space="0" w:color="auto"/>
            <w:right w:val="none" w:sz="0" w:space="0" w:color="auto"/>
          </w:divBdr>
        </w:div>
        <w:div w:id="1129283394">
          <w:marLeft w:val="0"/>
          <w:marRight w:val="0"/>
          <w:marTop w:val="0"/>
          <w:marBottom w:val="0"/>
          <w:divBdr>
            <w:top w:val="none" w:sz="0" w:space="0" w:color="auto"/>
            <w:left w:val="none" w:sz="0" w:space="0" w:color="auto"/>
            <w:bottom w:val="none" w:sz="0" w:space="0" w:color="auto"/>
            <w:right w:val="none" w:sz="0" w:space="0" w:color="auto"/>
          </w:divBdr>
        </w:div>
        <w:div w:id="1281063791">
          <w:marLeft w:val="0"/>
          <w:marRight w:val="0"/>
          <w:marTop w:val="0"/>
          <w:marBottom w:val="0"/>
          <w:divBdr>
            <w:top w:val="none" w:sz="0" w:space="0" w:color="auto"/>
            <w:left w:val="none" w:sz="0" w:space="0" w:color="auto"/>
            <w:bottom w:val="none" w:sz="0" w:space="0" w:color="auto"/>
            <w:right w:val="none" w:sz="0" w:space="0" w:color="auto"/>
          </w:divBdr>
        </w:div>
        <w:div w:id="1289627634">
          <w:marLeft w:val="0"/>
          <w:marRight w:val="0"/>
          <w:marTop w:val="0"/>
          <w:marBottom w:val="0"/>
          <w:divBdr>
            <w:top w:val="none" w:sz="0" w:space="0" w:color="auto"/>
            <w:left w:val="none" w:sz="0" w:space="0" w:color="auto"/>
            <w:bottom w:val="none" w:sz="0" w:space="0" w:color="auto"/>
            <w:right w:val="none" w:sz="0" w:space="0" w:color="auto"/>
          </w:divBdr>
        </w:div>
        <w:div w:id="1494182952">
          <w:marLeft w:val="0"/>
          <w:marRight w:val="0"/>
          <w:marTop w:val="0"/>
          <w:marBottom w:val="0"/>
          <w:divBdr>
            <w:top w:val="none" w:sz="0" w:space="0" w:color="auto"/>
            <w:left w:val="none" w:sz="0" w:space="0" w:color="auto"/>
            <w:bottom w:val="none" w:sz="0" w:space="0" w:color="auto"/>
            <w:right w:val="none" w:sz="0" w:space="0" w:color="auto"/>
          </w:divBdr>
        </w:div>
        <w:div w:id="1609894504">
          <w:marLeft w:val="0"/>
          <w:marRight w:val="0"/>
          <w:marTop w:val="0"/>
          <w:marBottom w:val="0"/>
          <w:divBdr>
            <w:top w:val="none" w:sz="0" w:space="0" w:color="auto"/>
            <w:left w:val="none" w:sz="0" w:space="0" w:color="auto"/>
            <w:bottom w:val="none" w:sz="0" w:space="0" w:color="auto"/>
            <w:right w:val="none" w:sz="0" w:space="0" w:color="auto"/>
          </w:divBdr>
        </w:div>
        <w:div w:id="1638682018">
          <w:marLeft w:val="0"/>
          <w:marRight w:val="0"/>
          <w:marTop w:val="0"/>
          <w:marBottom w:val="0"/>
          <w:divBdr>
            <w:top w:val="none" w:sz="0" w:space="0" w:color="auto"/>
            <w:left w:val="none" w:sz="0" w:space="0" w:color="auto"/>
            <w:bottom w:val="none" w:sz="0" w:space="0" w:color="auto"/>
            <w:right w:val="none" w:sz="0" w:space="0" w:color="auto"/>
          </w:divBdr>
        </w:div>
        <w:div w:id="1700928815">
          <w:marLeft w:val="0"/>
          <w:marRight w:val="0"/>
          <w:marTop w:val="0"/>
          <w:marBottom w:val="0"/>
          <w:divBdr>
            <w:top w:val="none" w:sz="0" w:space="0" w:color="auto"/>
            <w:left w:val="none" w:sz="0" w:space="0" w:color="auto"/>
            <w:bottom w:val="none" w:sz="0" w:space="0" w:color="auto"/>
            <w:right w:val="none" w:sz="0" w:space="0" w:color="auto"/>
          </w:divBdr>
        </w:div>
        <w:div w:id="1787851486">
          <w:marLeft w:val="0"/>
          <w:marRight w:val="0"/>
          <w:marTop w:val="0"/>
          <w:marBottom w:val="0"/>
          <w:divBdr>
            <w:top w:val="none" w:sz="0" w:space="0" w:color="auto"/>
            <w:left w:val="none" w:sz="0" w:space="0" w:color="auto"/>
            <w:bottom w:val="none" w:sz="0" w:space="0" w:color="auto"/>
            <w:right w:val="none" w:sz="0" w:space="0" w:color="auto"/>
          </w:divBdr>
        </w:div>
        <w:div w:id="1893686555">
          <w:marLeft w:val="0"/>
          <w:marRight w:val="0"/>
          <w:marTop w:val="0"/>
          <w:marBottom w:val="0"/>
          <w:divBdr>
            <w:top w:val="none" w:sz="0" w:space="0" w:color="auto"/>
            <w:left w:val="none" w:sz="0" w:space="0" w:color="auto"/>
            <w:bottom w:val="none" w:sz="0" w:space="0" w:color="auto"/>
            <w:right w:val="none" w:sz="0" w:space="0" w:color="auto"/>
          </w:divBdr>
        </w:div>
        <w:div w:id="1953395813">
          <w:marLeft w:val="0"/>
          <w:marRight w:val="0"/>
          <w:marTop w:val="0"/>
          <w:marBottom w:val="0"/>
          <w:divBdr>
            <w:top w:val="none" w:sz="0" w:space="0" w:color="auto"/>
            <w:left w:val="none" w:sz="0" w:space="0" w:color="auto"/>
            <w:bottom w:val="none" w:sz="0" w:space="0" w:color="auto"/>
            <w:right w:val="none" w:sz="0" w:space="0" w:color="auto"/>
          </w:divBdr>
        </w:div>
        <w:div w:id="1968002314">
          <w:marLeft w:val="0"/>
          <w:marRight w:val="0"/>
          <w:marTop w:val="0"/>
          <w:marBottom w:val="0"/>
          <w:divBdr>
            <w:top w:val="none" w:sz="0" w:space="0" w:color="auto"/>
            <w:left w:val="none" w:sz="0" w:space="0" w:color="auto"/>
            <w:bottom w:val="none" w:sz="0" w:space="0" w:color="auto"/>
            <w:right w:val="none" w:sz="0" w:space="0" w:color="auto"/>
          </w:divBdr>
        </w:div>
        <w:div w:id="1987389314">
          <w:marLeft w:val="0"/>
          <w:marRight w:val="0"/>
          <w:marTop w:val="0"/>
          <w:marBottom w:val="0"/>
          <w:divBdr>
            <w:top w:val="none" w:sz="0" w:space="0" w:color="auto"/>
            <w:left w:val="none" w:sz="0" w:space="0" w:color="auto"/>
            <w:bottom w:val="none" w:sz="0" w:space="0" w:color="auto"/>
            <w:right w:val="none" w:sz="0" w:space="0" w:color="auto"/>
          </w:divBdr>
        </w:div>
        <w:div w:id="2034571727">
          <w:marLeft w:val="0"/>
          <w:marRight w:val="0"/>
          <w:marTop w:val="0"/>
          <w:marBottom w:val="0"/>
          <w:divBdr>
            <w:top w:val="none" w:sz="0" w:space="0" w:color="auto"/>
            <w:left w:val="none" w:sz="0" w:space="0" w:color="auto"/>
            <w:bottom w:val="none" w:sz="0" w:space="0" w:color="auto"/>
            <w:right w:val="none" w:sz="0" w:space="0" w:color="auto"/>
          </w:divBdr>
        </w:div>
        <w:div w:id="2134135980">
          <w:marLeft w:val="0"/>
          <w:marRight w:val="0"/>
          <w:marTop w:val="0"/>
          <w:marBottom w:val="0"/>
          <w:divBdr>
            <w:top w:val="none" w:sz="0" w:space="0" w:color="auto"/>
            <w:left w:val="none" w:sz="0" w:space="0" w:color="auto"/>
            <w:bottom w:val="none" w:sz="0" w:space="0" w:color="auto"/>
            <w:right w:val="none" w:sz="0" w:space="0" w:color="auto"/>
          </w:divBdr>
        </w:div>
        <w:div w:id="2141455776">
          <w:marLeft w:val="0"/>
          <w:marRight w:val="0"/>
          <w:marTop w:val="0"/>
          <w:marBottom w:val="0"/>
          <w:divBdr>
            <w:top w:val="none" w:sz="0" w:space="0" w:color="auto"/>
            <w:left w:val="none" w:sz="0" w:space="0" w:color="auto"/>
            <w:bottom w:val="none" w:sz="0" w:space="0" w:color="auto"/>
            <w:right w:val="none" w:sz="0" w:space="0" w:color="auto"/>
          </w:divBdr>
        </w:div>
      </w:divsChild>
    </w:div>
    <w:div w:id="1844203383">
      <w:bodyDiv w:val="1"/>
      <w:marLeft w:val="0"/>
      <w:marRight w:val="0"/>
      <w:marTop w:val="0"/>
      <w:marBottom w:val="0"/>
      <w:divBdr>
        <w:top w:val="none" w:sz="0" w:space="0" w:color="auto"/>
        <w:left w:val="none" w:sz="0" w:space="0" w:color="auto"/>
        <w:bottom w:val="none" w:sz="0" w:space="0" w:color="auto"/>
        <w:right w:val="none" w:sz="0" w:space="0" w:color="auto"/>
      </w:divBdr>
    </w:div>
    <w:div w:id="1848326511">
      <w:bodyDiv w:val="1"/>
      <w:marLeft w:val="0"/>
      <w:marRight w:val="0"/>
      <w:marTop w:val="0"/>
      <w:marBottom w:val="0"/>
      <w:divBdr>
        <w:top w:val="none" w:sz="0" w:space="0" w:color="auto"/>
        <w:left w:val="none" w:sz="0" w:space="0" w:color="auto"/>
        <w:bottom w:val="none" w:sz="0" w:space="0" w:color="auto"/>
        <w:right w:val="none" w:sz="0" w:space="0" w:color="auto"/>
      </w:divBdr>
    </w:div>
    <w:div w:id="1848790067">
      <w:bodyDiv w:val="1"/>
      <w:marLeft w:val="0"/>
      <w:marRight w:val="0"/>
      <w:marTop w:val="0"/>
      <w:marBottom w:val="0"/>
      <w:divBdr>
        <w:top w:val="none" w:sz="0" w:space="0" w:color="auto"/>
        <w:left w:val="none" w:sz="0" w:space="0" w:color="auto"/>
        <w:bottom w:val="none" w:sz="0" w:space="0" w:color="auto"/>
        <w:right w:val="none" w:sz="0" w:space="0" w:color="auto"/>
      </w:divBdr>
    </w:div>
    <w:div w:id="1861116927">
      <w:bodyDiv w:val="1"/>
      <w:marLeft w:val="0"/>
      <w:marRight w:val="0"/>
      <w:marTop w:val="0"/>
      <w:marBottom w:val="0"/>
      <w:divBdr>
        <w:top w:val="none" w:sz="0" w:space="0" w:color="auto"/>
        <w:left w:val="none" w:sz="0" w:space="0" w:color="auto"/>
        <w:bottom w:val="none" w:sz="0" w:space="0" w:color="auto"/>
        <w:right w:val="none" w:sz="0" w:space="0" w:color="auto"/>
      </w:divBdr>
    </w:div>
    <w:div w:id="1875384929">
      <w:bodyDiv w:val="1"/>
      <w:marLeft w:val="0"/>
      <w:marRight w:val="0"/>
      <w:marTop w:val="0"/>
      <w:marBottom w:val="0"/>
      <w:divBdr>
        <w:top w:val="none" w:sz="0" w:space="0" w:color="auto"/>
        <w:left w:val="none" w:sz="0" w:space="0" w:color="auto"/>
        <w:bottom w:val="none" w:sz="0" w:space="0" w:color="auto"/>
        <w:right w:val="none" w:sz="0" w:space="0" w:color="auto"/>
      </w:divBdr>
    </w:div>
    <w:div w:id="1888906636">
      <w:bodyDiv w:val="1"/>
      <w:marLeft w:val="0"/>
      <w:marRight w:val="0"/>
      <w:marTop w:val="0"/>
      <w:marBottom w:val="0"/>
      <w:divBdr>
        <w:top w:val="none" w:sz="0" w:space="0" w:color="auto"/>
        <w:left w:val="none" w:sz="0" w:space="0" w:color="auto"/>
        <w:bottom w:val="none" w:sz="0" w:space="0" w:color="auto"/>
        <w:right w:val="none" w:sz="0" w:space="0" w:color="auto"/>
      </w:divBdr>
    </w:div>
    <w:div w:id="1898735207">
      <w:bodyDiv w:val="1"/>
      <w:marLeft w:val="0"/>
      <w:marRight w:val="0"/>
      <w:marTop w:val="0"/>
      <w:marBottom w:val="0"/>
      <w:divBdr>
        <w:top w:val="none" w:sz="0" w:space="0" w:color="auto"/>
        <w:left w:val="none" w:sz="0" w:space="0" w:color="auto"/>
        <w:bottom w:val="none" w:sz="0" w:space="0" w:color="auto"/>
        <w:right w:val="none" w:sz="0" w:space="0" w:color="auto"/>
      </w:divBdr>
    </w:div>
    <w:div w:id="1904488552">
      <w:bodyDiv w:val="1"/>
      <w:marLeft w:val="0"/>
      <w:marRight w:val="0"/>
      <w:marTop w:val="0"/>
      <w:marBottom w:val="0"/>
      <w:divBdr>
        <w:top w:val="none" w:sz="0" w:space="0" w:color="auto"/>
        <w:left w:val="none" w:sz="0" w:space="0" w:color="auto"/>
        <w:bottom w:val="none" w:sz="0" w:space="0" w:color="auto"/>
        <w:right w:val="none" w:sz="0" w:space="0" w:color="auto"/>
      </w:divBdr>
      <w:divsChild>
        <w:div w:id="932396856">
          <w:marLeft w:val="446"/>
          <w:marRight w:val="0"/>
          <w:marTop w:val="0"/>
          <w:marBottom w:val="120"/>
          <w:divBdr>
            <w:top w:val="none" w:sz="0" w:space="0" w:color="auto"/>
            <w:left w:val="none" w:sz="0" w:space="0" w:color="auto"/>
            <w:bottom w:val="none" w:sz="0" w:space="0" w:color="auto"/>
            <w:right w:val="none" w:sz="0" w:space="0" w:color="auto"/>
          </w:divBdr>
        </w:div>
        <w:div w:id="1243181853">
          <w:marLeft w:val="446"/>
          <w:marRight w:val="0"/>
          <w:marTop w:val="0"/>
          <w:marBottom w:val="120"/>
          <w:divBdr>
            <w:top w:val="none" w:sz="0" w:space="0" w:color="auto"/>
            <w:left w:val="none" w:sz="0" w:space="0" w:color="auto"/>
            <w:bottom w:val="none" w:sz="0" w:space="0" w:color="auto"/>
            <w:right w:val="none" w:sz="0" w:space="0" w:color="auto"/>
          </w:divBdr>
        </w:div>
        <w:div w:id="1711686993">
          <w:marLeft w:val="446"/>
          <w:marRight w:val="0"/>
          <w:marTop w:val="0"/>
          <w:marBottom w:val="120"/>
          <w:divBdr>
            <w:top w:val="none" w:sz="0" w:space="0" w:color="auto"/>
            <w:left w:val="none" w:sz="0" w:space="0" w:color="auto"/>
            <w:bottom w:val="none" w:sz="0" w:space="0" w:color="auto"/>
            <w:right w:val="none" w:sz="0" w:space="0" w:color="auto"/>
          </w:divBdr>
        </w:div>
      </w:divsChild>
    </w:div>
    <w:div w:id="1923832047">
      <w:bodyDiv w:val="1"/>
      <w:marLeft w:val="0"/>
      <w:marRight w:val="0"/>
      <w:marTop w:val="0"/>
      <w:marBottom w:val="0"/>
      <w:divBdr>
        <w:top w:val="none" w:sz="0" w:space="0" w:color="auto"/>
        <w:left w:val="none" w:sz="0" w:space="0" w:color="auto"/>
        <w:bottom w:val="none" w:sz="0" w:space="0" w:color="auto"/>
        <w:right w:val="none" w:sz="0" w:space="0" w:color="auto"/>
      </w:divBdr>
    </w:div>
    <w:div w:id="1943566198">
      <w:bodyDiv w:val="1"/>
      <w:marLeft w:val="0"/>
      <w:marRight w:val="0"/>
      <w:marTop w:val="0"/>
      <w:marBottom w:val="0"/>
      <w:divBdr>
        <w:top w:val="none" w:sz="0" w:space="0" w:color="auto"/>
        <w:left w:val="none" w:sz="0" w:space="0" w:color="auto"/>
        <w:bottom w:val="none" w:sz="0" w:space="0" w:color="auto"/>
        <w:right w:val="none" w:sz="0" w:space="0" w:color="auto"/>
      </w:divBdr>
    </w:div>
    <w:div w:id="1949121617">
      <w:bodyDiv w:val="1"/>
      <w:marLeft w:val="0"/>
      <w:marRight w:val="0"/>
      <w:marTop w:val="0"/>
      <w:marBottom w:val="0"/>
      <w:divBdr>
        <w:top w:val="none" w:sz="0" w:space="0" w:color="auto"/>
        <w:left w:val="none" w:sz="0" w:space="0" w:color="auto"/>
        <w:bottom w:val="none" w:sz="0" w:space="0" w:color="auto"/>
        <w:right w:val="none" w:sz="0" w:space="0" w:color="auto"/>
      </w:divBdr>
    </w:div>
    <w:div w:id="1953785946">
      <w:bodyDiv w:val="1"/>
      <w:marLeft w:val="0"/>
      <w:marRight w:val="0"/>
      <w:marTop w:val="0"/>
      <w:marBottom w:val="0"/>
      <w:divBdr>
        <w:top w:val="none" w:sz="0" w:space="0" w:color="auto"/>
        <w:left w:val="none" w:sz="0" w:space="0" w:color="auto"/>
        <w:bottom w:val="none" w:sz="0" w:space="0" w:color="auto"/>
        <w:right w:val="none" w:sz="0" w:space="0" w:color="auto"/>
      </w:divBdr>
      <w:divsChild>
        <w:div w:id="174004502">
          <w:marLeft w:val="0"/>
          <w:marRight w:val="0"/>
          <w:marTop w:val="0"/>
          <w:marBottom w:val="0"/>
          <w:divBdr>
            <w:top w:val="none" w:sz="0" w:space="0" w:color="auto"/>
            <w:left w:val="none" w:sz="0" w:space="0" w:color="auto"/>
            <w:bottom w:val="none" w:sz="0" w:space="0" w:color="auto"/>
            <w:right w:val="none" w:sz="0" w:space="0" w:color="auto"/>
          </w:divBdr>
        </w:div>
        <w:div w:id="1304891419">
          <w:marLeft w:val="0"/>
          <w:marRight w:val="0"/>
          <w:marTop w:val="0"/>
          <w:marBottom w:val="0"/>
          <w:divBdr>
            <w:top w:val="none" w:sz="0" w:space="0" w:color="auto"/>
            <w:left w:val="none" w:sz="0" w:space="0" w:color="auto"/>
            <w:bottom w:val="none" w:sz="0" w:space="0" w:color="auto"/>
            <w:right w:val="none" w:sz="0" w:space="0" w:color="auto"/>
          </w:divBdr>
        </w:div>
        <w:div w:id="1677879385">
          <w:marLeft w:val="0"/>
          <w:marRight w:val="0"/>
          <w:marTop w:val="0"/>
          <w:marBottom w:val="0"/>
          <w:divBdr>
            <w:top w:val="none" w:sz="0" w:space="0" w:color="auto"/>
            <w:left w:val="none" w:sz="0" w:space="0" w:color="auto"/>
            <w:bottom w:val="none" w:sz="0" w:space="0" w:color="auto"/>
            <w:right w:val="none" w:sz="0" w:space="0" w:color="auto"/>
          </w:divBdr>
        </w:div>
      </w:divsChild>
    </w:div>
    <w:div w:id="1964340342">
      <w:bodyDiv w:val="1"/>
      <w:marLeft w:val="0"/>
      <w:marRight w:val="0"/>
      <w:marTop w:val="0"/>
      <w:marBottom w:val="0"/>
      <w:divBdr>
        <w:top w:val="none" w:sz="0" w:space="0" w:color="auto"/>
        <w:left w:val="none" w:sz="0" w:space="0" w:color="auto"/>
        <w:bottom w:val="none" w:sz="0" w:space="0" w:color="auto"/>
        <w:right w:val="none" w:sz="0" w:space="0" w:color="auto"/>
      </w:divBdr>
    </w:div>
    <w:div w:id="1968462515">
      <w:bodyDiv w:val="1"/>
      <w:marLeft w:val="0"/>
      <w:marRight w:val="0"/>
      <w:marTop w:val="0"/>
      <w:marBottom w:val="0"/>
      <w:divBdr>
        <w:top w:val="none" w:sz="0" w:space="0" w:color="auto"/>
        <w:left w:val="none" w:sz="0" w:space="0" w:color="auto"/>
        <w:bottom w:val="none" w:sz="0" w:space="0" w:color="auto"/>
        <w:right w:val="none" w:sz="0" w:space="0" w:color="auto"/>
      </w:divBdr>
    </w:div>
    <w:div w:id="1974752154">
      <w:bodyDiv w:val="1"/>
      <w:marLeft w:val="0"/>
      <w:marRight w:val="0"/>
      <w:marTop w:val="0"/>
      <w:marBottom w:val="0"/>
      <w:divBdr>
        <w:top w:val="none" w:sz="0" w:space="0" w:color="auto"/>
        <w:left w:val="none" w:sz="0" w:space="0" w:color="auto"/>
        <w:bottom w:val="none" w:sz="0" w:space="0" w:color="auto"/>
        <w:right w:val="none" w:sz="0" w:space="0" w:color="auto"/>
      </w:divBdr>
      <w:divsChild>
        <w:div w:id="237906032">
          <w:marLeft w:val="0"/>
          <w:marRight w:val="0"/>
          <w:marTop w:val="0"/>
          <w:marBottom w:val="0"/>
          <w:divBdr>
            <w:top w:val="none" w:sz="0" w:space="0" w:color="auto"/>
            <w:left w:val="none" w:sz="0" w:space="0" w:color="auto"/>
            <w:bottom w:val="none" w:sz="0" w:space="0" w:color="auto"/>
            <w:right w:val="none" w:sz="0" w:space="0" w:color="auto"/>
          </w:divBdr>
        </w:div>
        <w:div w:id="1767262506">
          <w:marLeft w:val="0"/>
          <w:marRight w:val="0"/>
          <w:marTop w:val="0"/>
          <w:marBottom w:val="0"/>
          <w:divBdr>
            <w:top w:val="none" w:sz="0" w:space="0" w:color="auto"/>
            <w:left w:val="none" w:sz="0" w:space="0" w:color="auto"/>
            <w:bottom w:val="none" w:sz="0" w:space="0" w:color="auto"/>
            <w:right w:val="none" w:sz="0" w:space="0" w:color="auto"/>
          </w:divBdr>
        </w:div>
      </w:divsChild>
    </w:div>
    <w:div w:id="1978947336">
      <w:bodyDiv w:val="1"/>
      <w:marLeft w:val="0"/>
      <w:marRight w:val="0"/>
      <w:marTop w:val="0"/>
      <w:marBottom w:val="0"/>
      <w:divBdr>
        <w:top w:val="none" w:sz="0" w:space="0" w:color="auto"/>
        <w:left w:val="none" w:sz="0" w:space="0" w:color="auto"/>
        <w:bottom w:val="none" w:sz="0" w:space="0" w:color="auto"/>
        <w:right w:val="none" w:sz="0" w:space="0" w:color="auto"/>
      </w:divBdr>
    </w:div>
    <w:div w:id="1982689537">
      <w:bodyDiv w:val="1"/>
      <w:marLeft w:val="0"/>
      <w:marRight w:val="0"/>
      <w:marTop w:val="0"/>
      <w:marBottom w:val="0"/>
      <w:divBdr>
        <w:top w:val="none" w:sz="0" w:space="0" w:color="auto"/>
        <w:left w:val="none" w:sz="0" w:space="0" w:color="auto"/>
        <w:bottom w:val="none" w:sz="0" w:space="0" w:color="auto"/>
        <w:right w:val="none" w:sz="0" w:space="0" w:color="auto"/>
      </w:divBdr>
    </w:div>
    <w:div w:id="1990599350">
      <w:bodyDiv w:val="1"/>
      <w:marLeft w:val="0"/>
      <w:marRight w:val="0"/>
      <w:marTop w:val="0"/>
      <w:marBottom w:val="0"/>
      <w:divBdr>
        <w:top w:val="none" w:sz="0" w:space="0" w:color="auto"/>
        <w:left w:val="none" w:sz="0" w:space="0" w:color="auto"/>
        <w:bottom w:val="none" w:sz="0" w:space="0" w:color="auto"/>
        <w:right w:val="none" w:sz="0" w:space="0" w:color="auto"/>
      </w:divBdr>
    </w:div>
    <w:div w:id="1993485139">
      <w:bodyDiv w:val="1"/>
      <w:marLeft w:val="0"/>
      <w:marRight w:val="0"/>
      <w:marTop w:val="0"/>
      <w:marBottom w:val="0"/>
      <w:divBdr>
        <w:top w:val="none" w:sz="0" w:space="0" w:color="auto"/>
        <w:left w:val="none" w:sz="0" w:space="0" w:color="auto"/>
        <w:bottom w:val="none" w:sz="0" w:space="0" w:color="auto"/>
        <w:right w:val="none" w:sz="0" w:space="0" w:color="auto"/>
      </w:divBdr>
    </w:div>
    <w:div w:id="1995989897">
      <w:bodyDiv w:val="1"/>
      <w:marLeft w:val="0"/>
      <w:marRight w:val="0"/>
      <w:marTop w:val="0"/>
      <w:marBottom w:val="0"/>
      <w:divBdr>
        <w:top w:val="none" w:sz="0" w:space="0" w:color="auto"/>
        <w:left w:val="none" w:sz="0" w:space="0" w:color="auto"/>
        <w:bottom w:val="none" w:sz="0" w:space="0" w:color="auto"/>
        <w:right w:val="none" w:sz="0" w:space="0" w:color="auto"/>
      </w:divBdr>
    </w:div>
    <w:div w:id="1997760595">
      <w:bodyDiv w:val="1"/>
      <w:marLeft w:val="0"/>
      <w:marRight w:val="0"/>
      <w:marTop w:val="0"/>
      <w:marBottom w:val="0"/>
      <w:divBdr>
        <w:top w:val="none" w:sz="0" w:space="0" w:color="auto"/>
        <w:left w:val="none" w:sz="0" w:space="0" w:color="auto"/>
        <w:bottom w:val="none" w:sz="0" w:space="0" w:color="auto"/>
        <w:right w:val="none" w:sz="0" w:space="0" w:color="auto"/>
      </w:divBdr>
      <w:divsChild>
        <w:div w:id="68772793">
          <w:marLeft w:val="0"/>
          <w:marRight w:val="0"/>
          <w:marTop w:val="0"/>
          <w:marBottom w:val="0"/>
          <w:divBdr>
            <w:top w:val="none" w:sz="0" w:space="0" w:color="auto"/>
            <w:left w:val="none" w:sz="0" w:space="0" w:color="auto"/>
            <w:bottom w:val="none" w:sz="0" w:space="0" w:color="auto"/>
            <w:right w:val="none" w:sz="0" w:space="0" w:color="auto"/>
          </w:divBdr>
        </w:div>
        <w:div w:id="112213838">
          <w:marLeft w:val="0"/>
          <w:marRight w:val="0"/>
          <w:marTop w:val="0"/>
          <w:marBottom w:val="0"/>
          <w:divBdr>
            <w:top w:val="none" w:sz="0" w:space="0" w:color="auto"/>
            <w:left w:val="none" w:sz="0" w:space="0" w:color="auto"/>
            <w:bottom w:val="none" w:sz="0" w:space="0" w:color="auto"/>
            <w:right w:val="none" w:sz="0" w:space="0" w:color="auto"/>
          </w:divBdr>
        </w:div>
        <w:div w:id="154683218">
          <w:marLeft w:val="0"/>
          <w:marRight w:val="0"/>
          <w:marTop w:val="0"/>
          <w:marBottom w:val="0"/>
          <w:divBdr>
            <w:top w:val="none" w:sz="0" w:space="0" w:color="auto"/>
            <w:left w:val="none" w:sz="0" w:space="0" w:color="auto"/>
            <w:bottom w:val="none" w:sz="0" w:space="0" w:color="auto"/>
            <w:right w:val="none" w:sz="0" w:space="0" w:color="auto"/>
          </w:divBdr>
        </w:div>
        <w:div w:id="202407787">
          <w:marLeft w:val="0"/>
          <w:marRight w:val="0"/>
          <w:marTop w:val="0"/>
          <w:marBottom w:val="0"/>
          <w:divBdr>
            <w:top w:val="none" w:sz="0" w:space="0" w:color="auto"/>
            <w:left w:val="none" w:sz="0" w:space="0" w:color="auto"/>
            <w:bottom w:val="none" w:sz="0" w:space="0" w:color="auto"/>
            <w:right w:val="none" w:sz="0" w:space="0" w:color="auto"/>
          </w:divBdr>
        </w:div>
        <w:div w:id="291442844">
          <w:marLeft w:val="0"/>
          <w:marRight w:val="0"/>
          <w:marTop w:val="0"/>
          <w:marBottom w:val="0"/>
          <w:divBdr>
            <w:top w:val="none" w:sz="0" w:space="0" w:color="auto"/>
            <w:left w:val="none" w:sz="0" w:space="0" w:color="auto"/>
            <w:bottom w:val="none" w:sz="0" w:space="0" w:color="auto"/>
            <w:right w:val="none" w:sz="0" w:space="0" w:color="auto"/>
          </w:divBdr>
        </w:div>
        <w:div w:id="316961175">
          <w:marLeft w:val="0"/>
          <w:marRight w:val="0"/>
          <w:marTop w:val="0"/>
          <w:marBottom w:val="0"/>
          <w:divBdr>
            <w:top w:val="none" w:sz="0" w:space="0" w:color="auto"/>
            <w:left w:val="none" w:sz="0" w:space="0" w:color="auto"/>
            <w:bottom w:val="none" w:sz="0" w:space="0" w:color="auto"/>
            <w:right w:val="none" w:sz="0" w:space="0" w:color="auto"/>
          </w:divBdr>
        </w:div>
        <w:div w:id="338970906">
          <w:marLeft w:val="0"/>
          <w:marRight w:val="0"/>
          <w:marTop w:val="0"/>
          <w:marBottom w:val="0"/>
          <w:divBdr>
            <w:top w:val="none" w:sz="0" w:space="0" w:color="auto"/>
            <w:left w:val="none" w:sz="0" w:space="0" w:color="auto"/>
            <w:bottom w:val="none" w:sz="0" w:space="0" w:color="auto"/>
            <w:right w:val="none" w:sz="0" w:space="0" w:color="auto"/>
          </w:divBdr>
        </w:div>
        <w:div w:id="372079842">
          <w:marLeft w:val="0"/>
          <w:marRight w:val="0"/>
          <w:marTop w:val="0"/>
          <w:marBottom w:val="0"/>
          <w:divBdr>
            <w:top w:val="none" w:sz="0" w:space="0" w:color="auto"/>
            <w:left w:val="none" w:sz="0" w:space="0" w:color="auto"/>
            <w:bottom w:val="none" w:sz="0" w:space="0" w:color="auto"/>
            <w:right w:val="none" w:sz="0" w:space="0" w:color="auto"/>
          </w:divBdr>
        </w:div>
        <w:div w:id="421221984">
          <w:marLeft w:val="0"/>
          <w:marRight w:val="0"/>
          <w:marTop w:val="0"/>
          <w:marBottom w:val="0"/>
          <w:divBdr>
            <w:top w:val="none" w:sz="0" w:space="0" w:color="auto"/>
            <w:left w:val="none" w:sz="0" w:space="0" w:color="auto"/>
            <w:bottom w:val="none" w:sz="0" w:space="0" w:color="auto"/>
            <w:right w:val="none" w:sz="0" w:space="0" w:color="auto"/>
          </w:divBdr>
        </w:div>
        <w:div w:id="439833512">
          <w:marLeft w:val="0"/>
          <w:marRight w:val="0"/>
          <w:marTop w:val="0"/>
          <w:marBottom w:val="0"/>
          <w:divBdr>
            <w:top w:val="none" w:sz="0" w:space="0" w:color="auto"/>
            <w:left w:val="none" w:sz="0" w:space="0" w:color="auto"/>
            <w:bottom w:val="none" w:sz="0" w:space="0" w:color="auto"/>
            <w:right w:val="none" w:sz="0" w:space="0" w:color="auto"/>
          </w:divBdr>
        </w:div>
        <w:div w:id="450126517">
          <w:marLeft w:val="0"/>
          <w:marRight w:val="0"/>
          <w:marTop w:val="0"/>
          <w:marBottom w:val="0"/>
          <w:divBdr>
            <w:top w:val="none" w:sz="0" w:space="0" w:color="auto"/>
            <w:left w:val="none" w:sz="0" w:space="0" w:color="auto"/>
            <w:bottom w:val="none" w:sz="0" w:space="0" w:color="auto"/>
            <w:right w:val="none" w:sz="0" w:space="0" w:color="auto"/>
          </w:divBdr>
        </w:div>
        <w:div w:id="506360417">
          <w:marLeft w:val="0"/>
          <w:marRight w:val="0"/>
          <w:marTop w:val="0"/>
          <w:marBottom w:val="0"/>
          <w:divBdr>
            <w:top w:val="none" w:sz="0" w:space="0" w:color="auto"/>
            <w:left w:val="none" w:sz="0" w:space="0" w:color="auto"/>
            <w:bottom w:val="none" w:sz="0" w:space="0" w:color="auto"/>
            <w:right w:val="none" w:sz="0" w:space="0" w:color="auto"/>
          </w:divBdr>
        </w:div>
        <w:div w:id="556890948">
          <w:marLeft w:val="0"/>
          <w:marRight w:val="0"/>
          <w:marTop w:val="0"/>
          <w:marBottom w:val="0"/>
          <w:divBdr>
            <w:top w:val="none" w:sz="0" w:space="0" w:color="auto"/>
            <w:left w:val="none" w:sz="0" w:space="0" w:color="auto"/>
            <w:bottom w:val="none" w:sz="0" w:space="0" w:color="auto"/>
            <w:right w:val="none" w:sz="0" w:space="0" w:color="auto"/>
          </w:divBdr>
        </w:div>
        <w:div w:id="630601179">
          <w:marLeft w:val="0"/>
          <w:marRight w:val="0"/>
          <w:marTop w:val="0"/>
          <w:marBottom w:val="0"/>
          <w:divBdr>
            <w:top w:val="none" w:sz="0" w:space="0" w:color="auto"/>
            <w:left w:val="none" w:sz="0" w:space="0" w:color="auto"/>
            <w:bottom w:val="none" w:sz="0" w:space="0" w:color="auto"/>
            <w:right w:val="none" w:sz="0" w:space="0" w:color="auto"/>
          </w:divBdr>
        </w:div>
        <w:div w:id="677661836">
          <w:marLeft w:val="0"/>
          <w:marRight w:val="0"/>
          <w:marTop w:val="0"/>
          <w:marBottom w:val="0"/>
          <w:divBdr>
            <w:top w:val="none" w:sz="0" w:space="0" w:color="auto"/>
            <w:left w:val="none" w:sz="0" w:space="0" w:color="auto"/>
            <w:bottom w:val="none" w:sz="0" w:space="0" w:color="auto"/>
            <w:right w:val="none" w:sz="0" w:space="0" w:color="auto"/>
          </w:divBdr>
        </w:div>
        <w:div w:id="736325981">
          <w:marLeft w:val="0"/>
          <w:marRight w:val="0"/>
          <w:marTop w:val="0"/>
          <w:marBottom w:val="0"/>
          <w:divBdr>
            <w:top w:val="none" w:sz="0" w:space="0" w:color="auto"/>
            <w:left w:val="none" w:sz="0" w:space="0" w:color="auto"/>
            <w:bottom w:val="none" w:sz="0" w:space="0" w:color="auto"/>
            <w:right w:val="none" w:sz="0" w:space="0" w:color="auto"/>
          </w:divBdr>
        </w:div>
        <w:div w:id="767383720">
          <w:marLeft w:val="0"/>
          <w:marRight w:val="0"/>
          <w:marTop w:val="0"/>
          <w:marBottom w:val="0"/>
          <w:divBdr>
            <w:top w:val="none" w:sz="0" w:space="0" w:color="auto"/>
            <w:left w:val="none" w:sz="0" w:space="0" w:color="auto"/>
            <w:bottom w:val="none" w:sz="0" w:space="0" w:color="auto"/>
            <w:right w:val="none" w:sz="0" w:space="0" w:color="auto"/>
          </w:divBdr>
        </w:div>
        <w:div w:id="827790501">
          <w:marLeft w:val="0"/>
          <w:marRight w:val="0"/>
          <w:marTop w:val="0"/>
          <w:marBottom w:val="0"/>
          <w:divBdr>
            <w:top w:val="none" w:sz="0" w:space="0" w:color="auto"/>
            <w:left w:val="none" w:sz="0" w:space="0" w:color="auto"/>
            <w:bottom w:val="none" w:sz="0" w:space="0" w:color="auto"/>
            <w:right w:val="none" w:sz="0" w:space="0" w:color="auto"/>
          </w:divBdr>
        </w:div>
        <w:div w:id="832256419">
          <w:marLeft w:val="0"/>
          <w:marRight w:val="0"/>
          <w:marTop w:val="0"/>
          <w:marBottom w:val="0"/>
          <w:divBdr>
            <w:top w:val="none" w:sz="0" w:space="0" w:color="auto"/>
            <w:left w:val="none" w:sz="0" w:space="0" w:color="auto"/>
            <w:bottom w:val="none" w:sz="0" w:space="0" w:color="auto"/>
            <w:right w:val="none" w:sz="0" w:space="0" w:color="auto"/>
          </w:divBdr>
        </w:div>
        <w:div w:id="847915130">
          <w:marLeft w:val="0"/>
          <w:marRight w:val="0"/>
          <w:marTop w:val="0"/>
          <w:marBottom w:val="0"/>
          <w:divBdr>
            <w:top w:val="none" w:sz="0" w:space="0" w:color="auto"/>
            <w:left w:val="none" w:sz="0" w:space="0" w:color="auto"/>
            <w:bottom w:val="none" w:sz="0" w:space="0" w:color="auto"/>
            <w:right w:val="none" w:sz="0" w:space="0" w:color="auto"/>
          </w:divBdr>
        </w:div>
        <w:div w:id="860977096">
          <w:marLeft w:val="0"/>
          <w:marRight w:val="0"/>
          <w:marTop w:val="0"/>
          <w:marBottom w:val="0"/>
          <w:divBdr>
            <w:top w:val="none" w:sz="0" w:space="0" w:color="auto"/>
            <w:left w:val="none" w:sz="0" w:space="0" w:color="auto"/>
            <w:bottom w:val="none" w:sz="0" w:space="0" w:color="auto"/>
            <w:right w:val="none" w:sz="0" w:space="0" w:color="auto"/>
          </w:divBdr>
        </w:div>
        <w:div w:id="958028315">
          <w:marLeft w:val="0"/>
          <w:marRight w:val="0"/>
          <w:marTop w:val="0"/>
          <w:marBottom w:val="0"/>
          <w:divBdr>
            <w:top w:val="none" w:sz="0" w:space="0" w:color="auto"/>
            <w:left w:val="none" w:sz="0" w:space="0" w:color="auto"/>
            <w:bottom w:val="none" w:sz="0" w:space="0" w:color="auto"/>
            <w:right w:val="none" w:sz="0" w:space="0" w:color="auto"/>
          </w:divBdr>
        </w:div>
        <w:div w:id="988364484">
          <w:marLeft w:val="0"/>
          <w:marRight w:val="0"/>
          <w:marTop w:val="0"/>
          <w:marBottom w:val="0"/>
          <w:divBdr>
            <w:top w:val="none" w:sz="0" w:space="0" w:color="auto"/>
            <w:left w:val="none" w:sz="0" w:space="0" w:color="auto"/>
            <w:bottom w:val="none" w:sz="0" w:space="0" w:color="auto"/>
            <w:right w:val="none" w:sz="0" w:space="0" w:color="auto"/>
          </w:divBdr>
        </w:div>
        <w:div w:id="996227564">
          <w:marLeft w:val="0"/>
          <w:marRight w:val="0"/>
          <w:marTop w:val="0"/>
          <w:marBottom w:val="0"/>
          <w:divBdr>
            <w:top w:val="none" w:sz="0" w:space="0" w:color="auto"/>
            <w:left w:val="none" w:sz="0" w:space="0" w:color="auto"/>
            <w:bottom w:val="none" w:sz="0" w:space="0" w:color="auto"/>
            <w:right w:val="none" w:sz="0" w:space="0" w:color="auto"/>
          </w:divBdr>
        </w:div>
        <w:div w:id="1003967748">
          <w:marLeft w:val="0"/>
          <w:marRight w:val="0"/>
          <w:marTop w:val="0"/>
          <w:marBottom w:val="0"/>
          <w:divBdr>
            <w:top w:val="none" w:sz="0" w:space="0" w:color="auto"/>
            <w:left w:val="none" w:sz="0" w:space="0" w:color="auto"/>
            <w:bottom w:val="none" w:sz="0" w:space="0" w:color="auto"/>
            <w:right w:val="none" w:sz="0" w:space="0" w:color="auto"/>
          </w:divBdr>
        </w:div>
        <w:div w:id="1006133918">
          <w:marLeft w:val="0"/>
          <w:marRight w:val="0"/>
          <w:marTop w:val="0"/>
          <w:marBottom w:val="0"/>
          <w:divBdr>
            <w:top w:val="none" w:sz="0" w:space="0" w:color="auto"/>
            <w:left w:val="none" w:sz="0" w:space="0" w:color="auto"/>
            <w:bottom w:val="none" w:sz="0" w:space="0" w:color="auto"/>
            <w:right w:val="none" w:sz="0" w:space="0" w:color="auto"/>
          </w:divBdr>
        </w:div>
        <w:div w:id="1070814185">
          <w:marLeft w:val="0"/>
          <w:marRight w:val="0"/>
          <w:marTop w:val="0"/>
          <w:marBottom w:val="0"/>
          <w:divBdr>
            <w:top w:val="none" w:sz="0" w:space="0" w:color="auto"/>
            <w:left w:val="none" w:sz="0" w:space="0" w:color="auto"/>
            <w:bottom w:val="none" w:sz="0" w:space="0" w:color="auto"/>
            <w:right w:val="none" w:sz="0" w:space="0" w:color="auto"/>
          </w:divBdr>
        </w:div>
        <w:div w:id="1261178263">
          <w:marLeft w:val="0"/>
          <w:marRight w:val="0"/>
          <w:marTop w:val="0"/>
          <w:marBottom w:val="0"/>
          <w:divBdr>
            <w:top w:val="none" w:sz="0" w:space="0" w:color="auto"/>
            <w:left w:val="none" w:sz="0" w:space="0" w:color="auto"/>
            <w:bottom w:val="none" w:sz="0" w:space="0" w:color="auto"/>
            <w:right w:val="none" w:sz="0" w:space="0" w:color="auto"/>
          </w:divBdr>
        </w:div>
        <w:div w:id="1333139508">
          <w:marLeft w:val="0"/>
          <w:marRight w:val="0"/>
          <w:marTop w:val="0"/>
          <w:marBottom w:val="0"/>
          <w:divBdr>
            <w:top w:val="none" w:sz="0" w:space="0" w:color="auto"/>
            <w:left w:val="none" w:sz="0" w:space="0" w:color="auto"/>
            <w:bottom w:val="none" w:sz="0" w:space="0" w:color="auto"/>
            <w:right w:val="none" w:sz="0" w:space="0" w:color="auto"/>
          </w:divBdr>
        </w:div>
        <w:div w:id="1420638203">
          <w:marLeft w:val="0"/>
          <w:marRight w:val="0"/>
          <w:marTop w:val="0"/>
          <w:marBottom w:val="0"/>
          <w:divBdr>
            <w:top w:val="none" w:sz="0" w:space="0" w:color="auto"/>
            <w:left w:val="none" w:sz="0" w:space="0" w:color="auto"/>
            <w:bottom w:val="none" w:sz="0" w:space="0" w:color="auto"/>
            <w:right w:val="none" w:sz="0" w:space="0" w:color="auto"/>
          </w:divBdr>
        </w:div>
        <w:div w:id="1497763902">
          <w:marLeft w:val="0"/>
          <w:marRight w:val="0"/>
          <w:marTop w:val="0"/>
          <w:marBottom w:val="0"/>
          <w:divBdr>
            <w:top w:val="none" w:sz="0" w:space="0" w:color="auto"/>
            <w:left w:val="none" w:sz="0" w:space="0" w:color="auto"/>
            <w:bottom w:val="none" w:sz="0" w:space="0" w:color="auto"/>
            <w:right w:val="none" w:sz="0" w:space="0" w:color="auto"/>
          </w:divBdr>
        </w:div>
        <w:div w:id="1579747346">
          <w:marLeft w:val="0"/>
          <w:marRight w:val="0"/>
          <w:marTop w:val="0"/>
          <w:marBottom w:val="0"/>
          <w:divBdr>
            <w:top w:val="none" w:sz="0" w:space="0" w:color="auto"/>
            <w:left w:val="none" w:sz="0" w:space="0" w:color="auto"/>
            <w:bottom w:val="none" w:sz="0" w:space="0" w:color="auto"/>
            <w:right w:val="none" w:sz="0" w:space="0" w:color="auto"/>
          </w:divBdr>
        </w:div>
        <w:div w:id="1606499739">
          <w:marLeft w:val="0"/>
          <w:marRight w:val="0"/>
          <w:marTop w:val="0"/>
          <w:marBottom w:val="0"/>
          <w:divBdr>
            <w:top w:val="none" w:sz="0" w:space="0" w:color="auto"/>
            <w:left w:val="none" w:sz="0" w:space="0" w:color="auto"/>
            <w:bottom w:val="none" w:sz="0" w:space="0" w:color="auto"/>
            <w:right w:val="none" w:sz="0" w:space="0" w:color="auto"/>
          </w:divBdr>
        </w:div>
        <w:div w:id="1610119450">
          <w:marLeft w:val="0"/>
          <w:marRight w:val="0"/>
          <w:marTop w:val="0"/>
          <w:marBottom w:val="0"/>
          <w:divBdr>
            <w:top w:val="none" w:sz="0" w:space="0" w:color="auto"/>
            <w:left w:val="none" w:sz="0" w:space="0" w:color="auto"/>
            <w:bottom w:val="none" w:sz="0" w:space="0" w:color="auto"/>
            <w:right w:val="none" w:sz="0" w:space="0" w:color="auto"/>
          </w:divBdr>
        </w:div>
        <w:div w:id="1615865866">
          <w:marLeft w:val="0"/>
          <w:marRight w:val="0"/>
          <w:marTop w:val="0"/>
          <w:marBottom w:val="0"/>
          <w:divBdr>
            <w:top w:val="none" w:sz="0" w:space="0" w:color="auto"/>
            <w:left w:val="none" w:sz="0" w:space="0" w:color="auto"/>
            <w:bottom w:val="none" w:sz="0" w:space="0" w:color="auto"/>
            <w:right w:val="none" w:sz="0" w:space="0" w:color="auto"/>
          </w:divBdr>
        </w:div>
        <w:div w:id="1671904004">
          <w:marLeft w:val="0"/>
          <w:marRight w:val="0"/>
          <w:marTop w:val="0"/>
          <w:marBottom w:val="0"/>
          <w:divBdr>
            <w:top w:val="none" w:sz="0" w:space="0" w:color="auto"/>
            <w:left w:val="none" w:sz="0" w:space="0" w:color="auto"/>
            <w:bottom w:val="none" w:sz="0" w:space="0" w:color="auto"/>
            <w:right w:val="none" w:sz="0" w:space="0" w:color="auto"/>
          </w:divBdr>
        </w:div>
        <w:div w:id="1682899743">
          <w:marLeft w:val="0"/>
          <w:marRight w:val="0"/>
          <w:marTop w:val="0"/>
          <w:marBottom w:val="0"/>
          <w:divBdr>
            <w:top w:val="none" w:sz="0" w:space="0" w:color="auto"/>
            <w:left w:val="none" w:sz="0" w:space="0" w:color="auto"/>
            <w:bottom w:val="none" w:sz="0" w:space="0" w:color="auto"/>
            <w:right w:val="none" w:sz="0" w:space="0" w:color="auto"/>
          </w:divBdr>
        </w:div>
        <w:div w:id="1697736449">
          <w:marLeft w:val="0"/>
          <w:marRight w:val="0"/>
          <w:marTop w:val="0"/>
          <w:marBottom w:val="0"/>
          <w:divBdr>
            <w:top w:val="none" w:sz="0" w:space="0" w:color="auto"/>
            <w:left w:val="none" w:sz="0" w:space="0" w:color="auto"/>
            <w:bottom w:val="none" w:sz="0" w:space="0" w:color="auto"/>
            <w:right w:val="none" w:sz="0" w:space="0" w:color="auto"/>
          </w:divBdr>
        </w:div>
        <w:div w:id="1721855573">
          <w:marLeft w:val="0"/>
          <w:marRight w:val="0"/>
          <w:marTop w:val="0"/>
          <w:marBottom w:val="0"/>
          <w:divBdr>
            <w:top w:val="none" w:sz="0" w:space="0" w:color="auto"/>
            <w:left w:val="none" w:sz="0" w:space="0" w:color="auto"/>
            <w:bottom w:val="none" w:sz="0" w:space="0" w:color="auto"/>
            <w:right w:val="none" w:sz="0" w:space="0" w:color="auto"/>
          </w:divBdr>
        </w:div>
        <w:div w:id="1752000578">
          <w:marLeft w:val="0"/>
          <w:marRight w:val="0"/>
          <w:marTop w:val="0"/>
          <w:marBottom w:val="0"/>
          <w:divBdr>
            <w:top w:val="none" w:sz="0" w:space="0" w:color="auto"/>
            <w:left w:val="none" w:sz="0" w:space="0" w:color="auto"/>
            <w:bottom w:val="none" w:sz="0" w:space="0" w:color="auto"/>
            <w:right w:val="none" w:sz="0" w:space="0" w:color="auto"/>
          </w:divBdr>
        </w:div>
        <w:div w:id="1827554834">
          <w:marLeft w:val="0"/>
          <w:marRight w:val="0"/>
          <w:marTop w:val="0"/>
          <w:marBottom w:val="0"/>
          <w:divBdr>
            <w:top w:val="none" w:sz="0" w:space="0" w:color="auto"/>
            <w:left w:val="none" w:sz="0" w:space="0" w:color="auto"/>
            <w:bottom w:val="none" w:sz="0" w:space="0" w:color="auto"/>
            <w:right w:val="none" w:sz="0" w:space="0" w:color="auto"/>
          </w:divBdr>
        </w:div>
        <w:div w:id="1973057510">
          <w:marLeft w:val="0"/>
          <w:marRight w:val="0"/>
          <w:marTop w:val="0"/>
          <w:marBottom w:val="0"/>
          <w:divBdr>
            <w:top w:val="none" w:sz="0" w:space="0" w:color="auto"/>
            <w:left w:val="none" w:sz="0" w:space="0" w:color="auto"/>
            <w:bottom w:val="none" w:sz="0" w:space="0" w:color="auto"/>
            <w:right w:val="none" w:sz="0" w:space="0" w:color="auto"/>
          </w:divBdr>
        </w:div>
        <w:div w:id="2022244402">
          <w:marLeft w:val="0"/>
          <w:marRight w:val="0"/>
          <w:marTop w:val="0"/>
          <w:marBottom w:val="0"/>
          <w:divBdr>
            <w:top w:val="none" w:sz="0" w:space="0" w:color="auto"/>
            <w:left w:val="none" w:sz="0" w:space="0" w:color="auto"/>
            <w:bottom w:val="none" w:sz="0" w:space="0" w:color="auto"/>
            <w:right w:val="none" w:sz="0" w:space="0" w:color="auto"/>
          </w:divBdr>
        </w:div>
        <w:div w:id="2145416885">
          <w:marLeft w:val="0"/>
          <w:marRight w:val="0"/>
          <w:marTop w:val="0"/>
          <w:marBottom w:val="0"/>
          <w:divBdr>
            <w:top w:val="none" w:sz="0" w:space="0" w:color="auto"/>
            <w:left w:val="none" w:sz="0" w:space="0" w:color="auto"/>
            <w:bottom w:val="none" w:sz="0" w:space="0" w:color="auto"/>
            <w:right w:val="none" w:sz="0" w:space="0" w:color="auto"/>
          </w:divBdr>
        </w:div>
      </w:divsChild>
    </w:div>
    <w:div w:id="2004116105">
      <w:bodyDiv w:val="1"/>
      <w:marLeft w:val="0"/>
      <w:marRight w:val="0"/>
      <w:marTop w:val="0"/>
      <w:marBottom w:val="0"/>
      <w:divBdr>
        <w:top w:val="none" w:sz="0" w:space="0" w:color="auto"/>
        <w:left w:val="none" w:sz="0" w:space="0" w:color="auto"/>
        <w:bottom w:val="none" w:sz="0" w:space="0" w:color="auto"/>
        <w:right w:val="none" w:sz="0" w:space="0" w:color="auto"/>
      </w:divBdr>
      <w:divsChild>
        <w:div w:id="105120161">
          <w:marLeft w:val="0"/>
          <w:marRight w:val="0"/>
          <w:marTop w:val="0"/>
          <w:marBottom w:val="0"/>
          <w:divBdr>
            <w:top w:val="none" w:sz="0" w:space="0" w:color="auto"/>
            <w:left w:val="none" w:sz="0" w:space="0" w:color="auto"/>
            <w:bottom w:val="none" w:sz="0" w:space="0" w:color="auto"/>
            <w:right w:val="none" w:sz="0" w:space="0" w:color="auto"/>
          </w:divBdr>
        </w:div>
        <w:div w:id="106435116">
          <w:marLeft w:val="0"/>
          <w:marRight w:val="0"/>
          <w:marTop w:val="0"/>
          <w:marBottom w:val="0"/>
          <w:divBdr>
            <w:top w:val="none" w:sz="0" w:space="0" w:color="auto"/>
            <w:left w:val="none" w:sz="0" w:space="0" w:color="auto"/>
            <w:bottom w:val="none" w:sz="0" w:space="0" w:color="auto"/>
            <w:right w:val="none" w:sz="0" w:space="0" w:color="auto"/>
          </w:divBdr>
        </w:div>
        <w:div w:id="122702379">
          <w:marLeft w:val="0"/>
          <w:marRight w:val="0"/>
          <w:marTop w:val="0"/>
          <w:marBottom w:val="0"/>
          <w:divBdr>
            <w:top w:val="none" w:sz="0" w:space="0" w:color="auto"/>
            <w:left w:val="none" w:sz="0" w:space="0" w:color="auto"/>
            <w:bottom w:val="none" w:sz="0" w:space="0" w:color="auto"/>
            <w:right w:val="none" w:sz="0" w:space="0" w:color="auto"/>
          </w:divBdr>
        </w:div>
        <w:div w:id="131220471">
          <w:marLeft w:val="0"/>
          <w:marRight w:val="0"/>
          <w:marTop w:val="0"/>
          <w:marBottom w:val="0"/>
          <w:divBdr>
            <w:top w:val="none" w:sz="0" w:space="0" w:color="auto"/>
            <w:left w:val="none" w:sz="0" w:space="0" w:color="auto"/>
            <w:bottom w:val="none" w:sz="0" w:space="0" w:color="auto"/>
            <w:right w:val="none" w:sz="0" w:space="0" w:color="auto"/>
          </w:divBdr>
        </w:div>
        <w:div w:id="171920292">
          <w:marLeft w:val="0"/>
          <w:marRight w:val="0"/>
          <w:marTop w:val="0"/>
          <w:marBottom w:val="0"/>
          <w:divBdr>
            <w:top w:val="none" w:sz="0" w:space="0" w:color="auto"/>
            <w:left w:val="none" w:sz="0" w:space="0" w:color="auto"/>
            <w:bottom w:val="none" w:sz="0" w:space="0" w:color="auto"/>
            <w:right w:val="none" w:sz="0" w:space="0" w:color="auto"/>
          </w:divBdr>
        </w:div>
        <w:div w:id="202251760">
          <w:marLeft w:val="0"/>
          <w:marRight w:val="0"/>
          <w:marTop w:val="0"/>
          <w:marBottom w:val="0"/>
          <w:divBdr>
            <w:top w:val="none" w:sz="0" w:space="0" w:color="auto"/>
            <w:left w:val="none" w:sz="0" w:space="0" w:color="auto"/>
            <w:bottom w:val="none" w:sz="0" w:space="0" w:color="auto"/>
            <w:right w:val="none" w:sz="0" w:space="0" w:color="auto"/>
          </w:divBdr>
        </w:div>
        <w:div w:id="208341851">
          <w:marLeft w:val="0"/>
          <w:marRight w:val="0"/>
          <w:marTop w:val="0"/>
          <w:marBottom w:val="0"/>
          <w:divBdr>
            <w:top w:val="none" w:sz="0" w:space="0" w:color="auto"/>
            <w:left w:val="none" w:sz="0" w:space="0" w:color="auto"/>
            <w:bottom w:val="none" w:sz="0" w:space="0" w:color="auto"/>
            <w:right w:val="none" w:sz="0" w:space="0" w:color="auto"/>
          </w:divBdr>
        </w:div>
        <w:div w:id="217712027">
          <w:marLeft w:val="0"/>
          <w:marRight w:val="0"/>
          <w:marTop w:val="0"/>
          <w:marBottom w:val="0"/>
          <w:divBdr>
            <w:top w:val="none" w:sz="0" w:space="0" w:color="auto"/>
            <w:left w:val="none" w:sz="0" w:space="0" w:color="auto"/>
            <w:bottom w:val="none" w:sz="0" w:space="0" w:color="auto"/>
            <w:right w:val="none" w:sz="0" w:space="0" w:color="auto"/>
          </w:divBdr>
        </w:div>
        <w:div w:id="240412524">
          <w:marLeft w:val="0"/>
          <w:marRight w:val="0"/>
          <w:marTop w:val="0"/>
          <w:marBottom w:val="0"/>
          <w:divBdr>
            <w:top w:val="none" w:sz="0" w:space="0" w:color="auto"/>
            <w:left w:val="none" w:sz="0" w:space="0" w:color="auto"/>
            <w:bottom w:val="none" w:sz="0" w:space="0" w:color="auto"/>
            <w:right w:val="none" w:sz="0" w:space="0" w:color="auto"/>
          </w:divBdr>
        </w:div>
        <w:div w:id="312105455">
          <w:marLeft w:val="0"/>
          <w:marRight w:val="0"/>
          <w:marTop w:val="0"/>
          <w:marBottom w:val="0"/>
          <w:divBdr>
            <w:top w:val="none" w:sz="0" w:space="0" w:color="auto"/>
            <w:left w:val="none" w:sz="0" w:space="0" w:color="auto"/>
            <w:bottom w:val="none" w:sz="0" w:space="0" w:color="auto"/>
            <w:right w:val="none" w:sz="0" w:space="0" w:color="auto"/>
          </w:divBdr>
        </w:div>
        <w:div w:id="358238497">
          <w:marLeft w:val="0"/>
          <w:marRight w:val="0"/>
          <w:marTop w:val="0"/>
          <w:marBottom w:val="0"/>
          <w:divBdr>
            <w:top w:val="none" w:sz="0" w:space="0" w:color="auto"/>
            <w:left w:val="none" w:sz="0" w:space="0" w:color="auto"/>
            <w:bottom w:val="none" w:sz="0" w:space="0" w:color="auto"/>
            <w:right w:val="none" w:sz="0" w:space="0" w:color="auto"/>
          </w:divBdr>
        </w:div>
        <w:div w:id="390540568">
          <w:marLeft w:val="0"/>
          <w:marRight w:val="0"/>
          <w:marTop w:val="0"/>
          <w:marBottom w:val="0"/>
          <w:divBdr>
            <w:top w:val="none" w:sz="0" w:space="0" w:color="auto"/>
            <w:left w:val="none" w:sz="0" w:space="0" w:color="auto"/>
            <w:bottom w:val="none" w:sz="0" w:space="0" w:color="auto"/>
            <w:right w:val="none" w:sz="0" w:space="0" w:color="auto"/>
          </w:divBdr>
        </w:div>
        <w:div w:id="480077966">
          <w:marLeft w:val="0"/>
          <w:marRight w:val="0"/>
          <w:marTop w:val="0"/>
          <w:marBottom w:val="0"/>
          <w:divBdr>
            <w:top w:val="none" w:sz="0" w:space="0" w:color="auto"/>
            <w:left w:val="none" w:sz="0" w:space="0" w:color="auto"/>
            <w:bottom w:val="none" w:sz="0" w:space="0" w:color="auto"/>
            <w:right w:val="none" w:sz="0" w:space="0" w:color="auto"/>
          </w:divBdr>
        </w:div>
        <w:div w:id="485049868">
          <w:marLeft w:val="0"/>
          <w:marRight w:val="0"/>
          <w:marTop w:val="0"/>
          <w:marBottom w:val="0"/>
          <w:divBdr>
            <w:top w:val="none" w:sz="0" w:space="0" w:color="auto"/>
            <w:left w:val="none" w:sz="0" w:space="0" w:color="auto"/>
            <w:bottom w:val="none" w:sz="0" w:space="0" w:color="auto"/>
            <w:right w:val="none" w:sz="0" w:space="0" w:color="auto"/>
          </w:divBdr>
        </w:div>
        <w:div w:id="493225966">
          <w:marLeft w:val="0"/>
          <w:marRight w:val="0"/>
          <w:marTop w:val="0"/>
          <w:marBottom w:val="0"/>
          <w:divBdr>
            <w:top w:val="none" w:sz="0" w:space="0" w:color="auto"/>
            <w:left w:val="none" w:sz="0" w:space="0" w:color="auto"/>
            <w:bottom w:val="none" w:sz="0" w:space="0" w:color="auto"/>
            <w:right w:val="none" w:sz="0" w:space="0" w:color="auto"/>
          </w:divBdr>
        </w:div>
        <w:div w:id="542056827">
          <w:marLeft w:val="0"/>
          <w:marRight w:val="0"/>
          <w:marTop w:val="0"/>
          <w:marBottom w:val="0"/>
          <w:divBdr>
            <w:top w:val="none" w:sz="0" w:space="0" w:color="auto"/>
            <w:left w:val="none" w:sz="0" w:space="0" w:color="auto"/>
            <w:bottom w:val="none" w:sz="0" w:space="0" w:color="auto"/>
            <w:right w:val="none" w:sz="0" w:space="0" w:color="auto"/>
          </w:divBdr>
        </w:div>
        <w:div w:id="598946380">
          <w:marLeft w:val="0"/>
          <w:marRight w:val="0"/>
          <w:marTop w:val="0"/>
          <w:marBottom w:val="0"/>
          <w:divBdr>
            <w:top w:val="none" w:sz="0" w:space="0" w:color="auto"/>
            <w:left w:val="none" w:sz="0" w:space="0" w:color="auto"/>
            <w:bottom w:val="none" w:sz="0" w:space="0" w:color="auto"/>
            <w:right w:val="none" w:sz="0" w:space="0" w:color="auto"/>
          </w:divBdr>
        </w:div>
        <w:div w:id="617562257">
          <w:marLeft w:val="0"/>
          <w:marRight w:val="0"/>
          <w:marTop w:val="0"/>
          <w:marBottom w:val="0"/>
          <w:divBdr>
            <w:top w:val="none" w:sz="0" w:space="0" w:color="auto"/>
            <w:left w:val="none" w:sz="0" w:space="0" w:color="auto"/>
            <w:bottom w:val="none" w:sz="0" w:space="0" w:color="auto"/>
            <w:right w:val="none" w:sz="0" w:space="0" w:color="auto"/>
          </w:divBdr>
        </w:div>
        <w:div w:id="691876687">
          <w:marLeft w:val="0"/>
          <w:marRight w:val="0"/>
          <w:marTop w:val="0"/>
          <w:marBottom w:val="0"/>
          <w:divBdr>
            <w:top w:val="none" w:sz="0" w:space="0" w:color="auto"/>
            <w:left w:val="none" w:sz="0" w:space="0" w:color="auto"/>
            <w:bottom w:val="none" w:sz="0" w:space="0" w:color="auto"/>
            <w:right w:val="none" w:sz="0" w:space="0" w:color="auto"/>
          </w:divBdr>
        </w:div>
        <w:div w:id="701829245">
          <w:marLeft w:val="0"/>
          <w:marRight w:val="0"/>
          <w:marTop w:val="0"/>
          <w:marBottom w:val="0"/>
          <w:divBdr>
            <w:top w:val="none" w:sz="0" w:space="0" w:color="auto"/>
            <w:left w:val="none" w:sz="0" w:space="0" w:color="auto"/>
            <w:bottom w:val="none" w:sz="0" w:space="0" w:color="auto"/>
            <w:right w:val="none" w:sz="0" w:space="0" w:color="auto"/>
          </w:divBdr>
        </w:div>
        <w:div w:id="704598629">
          <w:marLeft w:val="0"/>
          <w:marRight w:val="0"/>
          <w:marTop w:val="0"/>
          <w:marBottom w:val="0"/>
          <w:divBdr>
            <w:top w:val="none" w:sz="0" w:space="0" w:color="auto"/>
            <w:left w:val="none" w:sz="0" w:space="0" w:color="auto"/>
            <w:bottom w:val="none" w:sz="0" w:space="0" w:color="auto"/>
            <w:right w:val="none" w:sz="0" w:space="0" w:color="auto"/>
          </w:divBdr>
        </w:div>
        <w:div w:id="813643794">
          <w:marLeft w:val="0"/>
          <w:marRight w:val="0"/>
          <w:marTop w:val="0"/>
          <w:marBottom w:val="0"/>
          <w:divBdr>
            <w:top w:val="none" w:sz="0" w:space="0" w:color="auto"/>
            <w:left w:val="none" w:sz="0" w:space="0" w:color="auto"/>
            <w:bottom w:val="none" w:sz="0" w:space="0" w:color="auto"/>
            <w:right w:val="none" w:sz="0" w:space="0" w:color="auto"/>
          </w:divBdr>
        </w:div>
        <w:div w:id="823468174">
          <w:marLeft w:val="0"/>
          <w:marRight w:val="0"/>
          <w:marTop w:val="0"/>
          <w:marBottom w:val="0"/>
          <w:divBdr>
            <w:top w:val="none" w:sz="0" w:space="0" w:color="auto"/>
            <w:left w:val="none" w:sz="0" w:space="0" w:color="auto"/>
            <w:bottom w:val="none" w:sz="0" w:space="0" w:color="auto"/>
            <w:right w:val="none" w:sz="0" w:space="0" w:color="auto"/>
          </w:divBdr>
        </w:div>
        <w:div w:id="833372128">
          <w:marLeft w:val="0"/>
          <w:marRight w:val="0"/>
          <w:marTop w:val="0"/>
          <w:marBottom w:val="0"/>
          <w:divBdr>
            <w:top w:val="none" w:sz="0" w:space="0" w:color="auto"/>
            <w:left w:val="none" w:sz="0" w:space="0" w:color="auto"/>
            <w:bottom w:val="none" w:sz="0" w:space="0" w:color="auto"/>
            <w:right w:val="none" w:sz="0" w:space="0" w:color="auto"/>
          </w:divBdr>
        </w:div>
        <w:div w:id="870142558">
          <w:marLeft w:val="0"/>
          <w:marRight w:val="0"/>
          <w:marTop w:val="0"/>
          <w:marBottom w:val="0"/>
          <w:divBdr>
            <w:top w:val="none" w:sz="0" w:space="0" w:color="auto"/>
            <w:left w:val="none" w:sz="0" w:space="0" w:color="auto"/>
            <w:bottom w:val="none" w:sz="0" w:space="0" w:color="auto"/>
            <w:right w:val="none" w:sz="0" w:space="0" w:color="auto"/>
          </w:divBdr>
        </w:div>
        <w:div w:id="980623356">
          <w:marLeft w:val="0"/>
          <w:marRight w:val="0"/>
          <w:marTop w:val="0"/>
          <w:marBottom w:val="0"/>
          <w:divBdr>
            <w:top w:val="none" w:sz="0" w:space="0" w:color="auto"/>
            <w:left w:val="none" w:sz="0" w:space="0" w:color="auto"/>
            <w:bottom w:val="none" w:sz="0" w:space="0" w:color="auto"/>
            <w:right w:val="none" w:sz="0" w:space="0" w:color="auto"/>
          </w:divBdr>
        </w:div>
        <w:div w:id="1029260525">
          <w:marLeft w:val="0"/>
          <w:marRight w:val="0"/>
          <w:marTop w:val="0"/>
          <w:marBottom w:val="0"/>
          <w:divBdr>
            <w:top w:val="none" w:sz="0" w:space="0" w:color="auto"/>
            <w:left w:val="none" w:sz="0" w:space="0" w:color="auto"/>
            <w:bottom w:val="none" w:sz="0" w:space="0" w:color="auto"/>
            <w:right w:val="none" w:sz="0" w:space="0" w:color="auto"/>
          </w:divBdr>
        </w:div>
        <w:div w:id="1044524706">
          <w:marLeft w:val="0"/>
          <w:marRight w:val="0"/>
          <w:marTop w:val="0"/>
          <w:marBottom w:val="0"/>
          <w:divBdr>
            <w:top w:val="none" w:sz="0" w:space="0" w:color="auto"/>
            <w:left w:val="none" w:sz="0" w:space="0" w:color="auto"/>
            <w:bottom w:val="none" w:sz="0" w:space="0" w:color="auto"/>
            <w:right w:val="none" w:sz="0" w:space="0" w:color="auto"/>
          </w:divBdr>
        </w:div>
        <w:div w:id="1073553156">
          <w:marLeft w:val="0"/>
          <w:marRight w:val="0"/>
          <w:marTop w:val="0"/>
          <w:marBottom w:val="0"/>
          <w:divBdr>
            <w:top w:val="none" w:sz="0" w:space="0" w:color="auto"/>
            <w:left w:val="none" w:sz="0" w:space="0" w:color="auto"/>
            <w:bottom w:val="none" w:sz="0" w:space="0" w:color="auto"/>
            <w:right w:val="none" w:sz="0" w:space="0" w:color="auto"/>
          </w:divBdr>
        </w:div>
        <w:div w:id="1097216100">
          <w:marLeft w:val="0"/>
          <w:marRight w:val="0"/>
          <w:marTop w:val="0"/>
          <w:marBottom w:val="0"/>
          <w:divBdr>
            <w:top w:val="none" w:sz="0" w:space="0" w:color="auto"/>
            <w:left w:val="none" w:sz="0" w:space="0" w:color="auto"/>
            <w:bottom w:val="none" w:sz="0" w:space="0" w:color="auto"/>
            <w:right w:val="none" w:sz="0" w:space="0" w:color="auto"/>
          </w:divBdr>
        </w:div>
        <w:div w:id="1202281066">
          <w:marLeft w:val="0"/>
          <w:marRight w:val="0"/>
          <w:marTop w:val="0"/>
          <w:marBottom w:val="0"/>
          <w:divBdr>
            <w:top w:val="none" w:sz="0" w:space="0" w:color="auto"/>
            <w:left w:val="none" w:sz="0" w:space="0" w:color="auto"/>
            <w:bottom w:val="none" w:sz="0" w:space="0" w:color="auto"/>
            <w:right w:val="none" w:sz="0" w:space="0" w:color="auto"/>
          </w:divBdr>
        </w:div>
        <w:div w:id="1308512622">
          <w:marLeft w:val="0"/>
          <w:marRight w:val="0"/>
          <w:marTop w:val="0"/>
          <w:marBottom w:val="0"/>
          <w:divBdr>
            <w:top w:val="none" w:sz="0" w:space="0" w:color="auto"/>
            <w:left w:val="none" w:sz="0" w:space="0" w:color="auto"/>
            <w:bottom w:val="none" w:sz="0" w:space="0" w:color="auto"/>
            <w:right w:val="none" w:sz="0" w:space="0" w:color="auto"/>
          </w:divBdr>
        </w:div>
        <w:div w:id="1357535673">
          <w:marLeft w:val="0"/>
          <w:marRight w:val="0"/>
          <w:marTop w:val="0"/>
          <w:marBottom w:val="0"/>
          <w:divBdr>
            <w:top w:val="none" w:sz="0" w:space="0" w:color="auto"/>
            <w:left w:val="none" w:sz="0" w:space="0" w:color="auto"/>
            <w:bottom w:val="none" w:sz="0" w:space="0" w:color="auto"/>
            <w:right w:val="none" w:sz="0" w:space="0" w:color="auto"/>
          </w:divBdr>
        </w:div>
        <w:div w:id="1369335267">
          <w:marLeft w:val="0"/>
          <w:marRight w:val="0"/>
          <w:marTop w:val="0"/>
          <w:marBottom w:val="0"/>
          <w:divBdr>
            <w:top w:val="none" w:sz="0" w:space="0" w:color="auto"/>
            <w:left w:val="none" w:sz="0" w:space="0" w:color="auto"/>
            <w:bottom w:val="none" w:sz="0" w:space="0" w:color="auto"/>
            <w:right w:val="none" w:sz="0" w:space="0" w:color="auto"/>
          </w:divBdr>
        </w:div>
        <w:div w:id="1414473151">
          <w:marLeft w:val="0"/>
          <w:marRight w:val="0"/>
          <w:marTop w:val="0"/>
          <w:marBottom w:val="0"/>
          <w:divBdr>
            <w:top w:val="none" w:sz="0" w:space="0" w:color="auto"/>
            <w:left w:val="none" w:sz="0" w:space="0" w:color="auto"/>
            <w:bottom w:val="none" w:sz="0" w:space="0" w:color="auto"/>
            <w:right w:val="none" w:sz="0" w:space="0" w:color="auto"/>
          </w:divBdr>
        </w:div>
        <w:div w:id="1592469063">
          <w:marLeft w:val="0"/>
          <w:marRight w:val="0"/>
          <w:marTop w:val="0"/>
          <w:marBottom w:val="0"/>
          <w:divBdr>
            <w:top w:val="none" w:sz="0" w:space="0" w:color="auto"/>
            <w:left w:val="none" w:sz="0" w:space="0" w:color="auto"/>
            <w:bottom w:val="none" w:sz="0" w:space="0" w:color="auto"/>
            <w:right w:val="none" w:sz="0" w:space="0" w:color="auto"/>
          </w:divBdr>
        </w:div>
        <w:div w:id="1642465886">
          <w:marLeft w:val="0"/>
          <w:marRight w:val="0"/>
          <w:marTop w:val="0"/>
          <w:marBottom w:val="0"/>
          <w:divBdr>
            <w:top w:val="none" w:sz="0" w:space="0" w:color="auto"/>
            <w:left w:val="none" w:sz="0" w:space="0" w:color="auto"/>
            <w:bottom w:val="none" w:sz="0" w:space="0" w:color="auto"/>
            <w:right w:val="none" w:sz="0" w:space="0" w:color="auto"/>
          </w:divBdr>
        </w:div>
        <w:div w:id="1663779901">
          <w:marLeft w:val="0"/>
          <w:marRight w:val="0"/>
          <w:marTop w:val="0"/>
          <w:marBottom w:val="0"/>
          <w:divBdr>
            <w:top w:val="none" w:sz="0" w:space="0" w:color="auto"/>
            <w:left w:val="none" w:sz="0" w:space="0" w:color="auto"/>
            <w:bottom w:val="none" w:sz="0" w:space="0" w:color="auto"/>
            <w:right w:val="none" w:sz="0" w:space="0" w:color="auto"/>
          </w:divBdr>
        </w:div>
        <w:div w:id="1664504353">
          <w:marLeft w:val="0"/>
          <w:marRight w:val="0"/>
          <w:marTop w:val="0"/>
          <w:marBottom w:val="0"/>
          <w:divBdr>
            <w:top w:val="none" w:sz="0" w:space="0" w:color="auto"/>
            <w:left w:val="none" w:sz="0" w:space="0" w:color="auto"/>
            <w:bottom w:val="none" w:sz="0" w:space="0" w:color="auto"/>
            <w:right w:val="none" w:sz="0" w:space="0" w:color="auto"/>
          </w:divBdr>
        </w:div>
        <w:div w:id="1702510241">
          <w:marLeft w:val="0"/>
          <w:marRight w:val="0"/>
          <w:marTop w:val="0"/>
          <w:marBottom w:val="0"/>
          <w:divBdr>
            <w:top w:val="none" w:sz="0" w:space="0" w:color="auto"/>
            <w:left w:val="none" w:sz="0" w:space="0" w:color="auto"/>
            <w:bottom w:val="none" w:sz="0" w:space="0" w:color="auto"/>
            <w:right w:val="none" w:sz="0" w:space="0" w:color="auto"/>
          </w:divBdr>
        </w:div>
        <w:div w:id="1765762525">
          <w:marLeft w:val="0"/>
          <w:marRight w:val="0"/>
          <w:marTop w:val="0"/>
          <w:marBottom w:val="0"/>
          <w:divBdr>
            <w:top w:val="none" w:sz="0" w:space="0" w:color="auto"/>
            <w:left w:val="none" w:sz="0" w:space="0" w:color="auto"/>
            <w:bottom w:val="none" w:sz="0" w:space="0" w:color="auto"/>
            <w:right w:val="none" w:sz="0" w:space="0" w:color="auto"/>
          </w:divBdr>
        </w:div>
        <w:div w:id="1794784412">
          <w:marLeft w:val="0"/>
          <w:marRight w:val="0"/>
          <w:marTop w:val="0"/>
          <w:marBottom w:val="0"/>
          <w:divBdr>
            <w:top w:val="none" w:sz="0" w:space="0" w:color="auto"/>
            <w:left w:val="none" w:sz="0" w:space="0" w:color="auto"/>
            <w:bottom w:val="none" w:sz="0" w:space="0" w:color="auto"/>
            <w:right w:val="none" w:sz="0" w:space="0" w:color="auto"/>
          </w:divBdr>
        </w:div>
        <w:div w:id="1802766535">
          <w:marLeft w:val="0"/>
          <w:marRight w:val="0"/>
          <w:marTop w:val="0"/>
          <w:marBottom w:val="0"/>
          <w:divBdr>
            <w:top w:val="none" w:sz="0" w:space="0" w:color="auto"/>
            <w:left w:val="none" w:sz="0" w:space="0" w:color="auto"/>
            <w:bottom w:val="none" w:sz="0" w:space="0" w:color="auto"/>
            <w:right w:val="none" w:sz="0" w:space="0" w:color="auto"/>
          </w:divBdr>
        </w:div>
        <w:div w:id="1934435799">
          <w:marLeft w:val="0"/>
          <w:marRight w:val="0"/>
          <w:marTop w:val="0"/>
          <w:marBottom w:val="0"/>
          <w:divBdr>
            <w:top w:val="none" w:sz="0" w:space="0" w:color="auto"/>
            <w:left w:val="none" w:sz="0" w:space="0" w:color="auto"/>
            <w:bottom w:val="none" w:sz="0" w:space="0" w:color="auto"/>
            <w:right w:val="none" w:sz="0" w:space="0" w:color="auto"/>
          </w:divBdr>
        </w:div>
        <w:div w:id="1978293077">
          <w:marLeft w:val="0"/>
          <w:marRight w:val="0"/>
          <w:marTop w:val="0"/>
          <w:marBottom w:val="0"/>
          <w:divBdr>
            <w:top w:val="none" w:sz="0" w:space="0" w:color="auto"/>
            <w:left w:val="none" w:sz="0" w:space="0" w:color="auto"/>
            <w:bottom w:val="none" w:sz="0" w:space="0" w:color="auto"/>
            <w:right w:val="none" w:sz="0" w:space="0" w:color="auto"/>
          </w:divBdr>
        </w:div>
        <w:div w:id="1992250083">
          <w:marLeft w:val="0"/>
          <w:marRight w:val="0"/>
          <w:marTop w:val="0"/>
          <w:marBottom w:val="0"/>
          <w:divBdr>
            <w:top w:val="none" w:sz="0" w:space="0" w:color="auto"/>
            <w:left w:val="none" w:sz="0" w:space="0" w:color="auto"/>
            <w:bottom w:val="none" w:sz="0" w:space="0" w:color="auto"/>
            <w:right w:val="none" w:sz="0" w:space="0" w:color="auto"/>
          </w:divBdr>
        </w:div>
        <w:div w:id="2059040343">
          <w:marLeft w:val="0"/>
          <w:marRight w:val="0"/>
          <w:marTop w:val="0"/>
          <w:marBottom w:val="0"/>
          <w:divBdr>
            <w:top w:val="none" w:sz="0" w:space="0" w:color="auto"/>
            <w:left w:val="none" w:sz="0" w:space="0" w:color="auto"/>
            <w:bottom w:val="none" w:sz="0" w:space="0" w:color="auto"/>
            <w:right w:val="none" w:sz="0" w:space="0" w:color="auto"/>
          </w:divBdr>
        </w:div>
        <w:div w:id="2061243655">
          <w:marLeft w:val="0"/>
          <w:marRight w:val="0"/>
          <w:marTop w:val="0"/>
          <w:marBottom w:val="0"/>
          <w:divBdr>
            <w:top w:val="none" w:sz="0" w:space="0" w:color="auto"/>
            <w:left w:val="none" w:sz="0" w:space="0" w:color="auto"/>
            <w:bottom w:val="none" w:sz="0" w:space="0" w:color="auto"/>
            <w:right w:val="none" w:sz="0" w:space="0" w:color="auto"/>
          </w:divBdr>
        </w:div>
        <w:div w:id="2071995486">
          <w:marLeft w:val="0"/>
          <w:marRight w:val="0"/>
          <w:marTop w:val="0"/>
          <w:marBottom w:val="0"/>
          <w:divBdr>
            <w:top w:val="none" w:sz="0" w:space="0" w:color="auto"/>
            <w:left w:val="none" w:sz="0" w:space="0" w:color="auto"/>
            <w:bottom w:val="none" w:sz="0" w:space="0" w:color="auto"/>
            <w:right w:val="none" w:sz="0" w:space="0" w:color="auto"/>
          </w:divBdr>
        </w:div>
        <w:div w:id="2082754615">
          <w:marLeft w:val="0"/>
          <w:marRight w:val="0"/>
          <w:marTop w:val="0"/>
          <w:marBottom w:val="0"/>
          <w:divBdr>
            <w:top w:val="none" w:sz="0" w:space="0" w:color="auto"/>
            <w:left w:val="none" w:sz="0" w:space="0" w:color="auto"/>
            <w:bottom w:val="none" w:sz="0" w:space="0" w:color="auto"/>
            <w:right w:val="none" w:sz="0" w:space="0" w:color="auto"/>
          </w:divBdr>
        </w:div>
      </w:divsChild>
    </w:div>
    <w:div w:id="2005010384">
      <w:bodyDiv w:val="1"/>
      <w:marLeft w:val="0"/>
      <w:marRight w:val="0"/>
      <w:marTop w:val="0"/>
      <w:marBottom w:val="0"/>
      <w:divBdr>
        <w:top w:val="none" w:sz="0" w:space="0" w:color="auto"/>
        <w:left w:val="none" w:sz="0" w:space="0" w:color="auto"/>
        <w:bottom w:val="none" w:sz="0" w:space="0" w:color="auto"/>
        <w:right w:val="none" w:sz="0" w:space="0" w:color="auto"/>
      </w:divBdr>
    </w:div>
    <w:div w:id="2006854781">
      <w:bodyDiv w:val="1"/>
      <w:marLeft w:val="0"/>
      <w:marRight w:val="0"/>
      <w:marTop w:val="0"/>
      <w:marBottom w:val="0"/>
      <w:divBdr>
        <w:top w:val="none" w:sz="0" w:space="0" w:color="auto"/>
        <w:left w:val="none" w:sz="0" w:space="0" w:color="auto"/>
        <w:bottom w:val="none" w:sz="0" w:space="0" w:color="auto"/>
        <w:right w:val="none" w:sz="0" w:space="0" w:color="auto"/>
      </w:divBdr>
    </w:div>
    <w:div w:id="2012486039">
      <w:bodyDiv w:val="1"/>
      <w:marLeft w:val="0"/>
      <w:marRight w:val="0"/>
      <w:marTop w:val="0"/>
      <w:marBottom w:val="0"/>
      <w:divBdr>
        <w:top w:val="none" w:sz="0" w:space="0" w:color="auto"/>
        <w:left w:val="none" w:sz="0" w:space="0" w:color="auto"/>
        <w:bottom w:val="none" w:sz="0" w:space="0" w:color="auto"/>
        <w:right w:val="none" w:sz="0" w:space="0" w:color="auto"/>
      </w:divBdr>
      <w:divsChild>
        <w:div w:id="698316085">
          <w:marLeft w:val="274"/>
          <w:marRight w:val="0"/>
          <w:marTop w:val="0"/>
          <w:marBottom w:val="0"/>
          <w:divBdr>
            <w:top w:val="none" w:sz="0" w:space="0" w:color="auto"/>
            <w:left w:val="none" w:sz="0" w:space="0" w:color="auto"/>
            <w:bottom w:val="none" w:sz="0" w:space="0" w:color="auto"/>
            <w:right w:val="none" w:sz="0" w:space="0" w:color="auto"/>
          </w:divBdr>
        </w:div>
        <w:div w:id="974990429">
          <w:marLeft w:val="274"/>
          <w:marRight w:val="0"/>
          <w:marTop w:val="0"/>
          <w:marBottom w:val="0"/>
          <w:divBdr>
            <w:top w:val="none" w:sz="0" w:space="0" w:color="auto"/>
            <w:left w:val="none" w:sz="0" w:space="0" w:color="auto"/>
            <w:bottom w:val="none" w:sz="0" w:space="0" w:color="auto"/>
            <w:right w:val="none" w:sz="0" w:space="0" w:color="auto"/>
          </w:divBdr>
        </w:div>
        <w:div w:id="1494183140">
          <w:marLeft w:val="274"/>
          <w:marRight w:val="0"/>
          <w:marTop w:val="0"/>
          <w:marBottom w:val="0"/>
          <w:divBdr>
            <w:top w:val="none" w:sz="0" w:space="0" w:color="auto"/>
            <w:left w:val="none" w:sz="0" w:space="0" w:color="auto"/>
            <w:bottom w:val="none" w:sz="0" w:space="0" w:color="auto"/>
            <w:right w:val="none" w:sz="0" w:space="0" w:color="auto"/>
          </w:divBdr>
        </w:div>
        <w:div w:id="1547376934">
          <w:marLeft w:val="274"/>
          <w:marRight w:val="0"/>
          <w:marTop w:val="0"/>
          <w:marBottom w:val="0"/>
          <w:divBdr>
            <w:top w:val="none" w:sz="0" w:space="0" w:color="auto"/>
            <w:left w:val="none" w:sz="0" w:space="0" w:color="auto"/>
            <w:bottom w:val="none" w:sz="0" w:space="0" w:color="auto"/>
            <w:right w:val="none" w:sz="0" w:space="0" w:color="auto"/>
          </w:divBdr>
        </w:div>
        <w:div w:id="1820999248">
          <w:marLeft w:val="274"/>
          <w:marRight w:val="0"/>
          <w:marTop w:val="0"/>
          <w:marBottom w:val="0"/>
          <w:divBdr>
            <w:top w:val="none" w:sz="0" w:space="0" w:color="auto"/>
            <w:left w:val="none" w:sz="0" w:space="0" w:color="auto"/>
            <w:bottom w:val="none" w:sz="0" w:space="0" w:color="auto"/>
            <w:right w:val="none" w:sz="0" w:space="0" w:color="auto"/>
          </w:divBdr>
        </w:div>
      </w:divsChild>
    </w:div>
    <w:div w:id="2018844136">
      <w:bodyDiv w:val="1"/>
      <w:marLeft w:val="0"/>
      <w:marRight w:val="0"/>
      <w:marTop w:val="0"/>
      <w:marBottom w:val="0"/>
      <w:divBdr>
        <w:top w:val="none" w:sz="0" w:space="0" w:color="auto"/>
        <w:left w:val="none" w:sz="0" w:space="0" w:color="auto"/>
        <w:bottom w:val="none" w:sz="0" w:space="0" w:color="auto"/>
        <w:right w:val="none" w:sz="0" w:space="0" w:color="auto"/>
      </w:divBdr>
    </w:div>
    <w:div w:id="2020741601">
      <w:bodyDiv w:val="1"/>
      <w:marLeft w:val="0"/>
      <w:marRight w:val="0"/>
      <w:marTop w:val="0"/>
      <w:marBottom w:val="0"/>
      <w:divBdr>
        <w:top w:val="none" w:sz="0" w:space="0" w:color="auto"/>
        <w:left w:val="none" w:sz="0" w:space="0" w:color="auto"/>
        <w:bottom w:val="none" w:sz="0" w:space="0" w:color="auto"/>
        <w:right w:val="none" w:sz="0" w:space="0" w:color="auto"/>
      </w:divBdr>
    </w:div>
    <w:div w:id="2022464182">
      <w:bodyDiv w:val="1"/>
      <w:marLeft w:val="0"/>
      <w:marRight w:val="0"/>
      <w:marTop w:val="0"/>
      <w:marBottom w:val="0"/>
      <w:divBdr>
        <w:top w:val="none" w:sz="0" w:space="0" w:color="auto"/>
        <w:left w:val="none" w:sz="0" w:space="0" w:color="auto"/>
        <w:bottom w:val="none" w:sz="0" w:space="0" w:color="auto"/>
        <w:right w:val="none" w:sz="0" w:space="0" w:color="auto"/>
      </w:divBdr>
    </w:div>
    <w:div w:id="2023699901">
      <w:bodyDiv w:val="1"/>
      <w:marLeft w:val="0"/>
      <w:marRight w:val="0"/>
      <w:marTop w:val="0"/>
      <w:marBottom w:val="0"/>
      <w:divBdr>
        <w:top w:val="none" w:sz="0" w:space="0" w:color="auto"/>
        <w:left w:val="none" w:sz="0" w:space="0" w:color="auto"/>
        <w:bottom w:val="none" w:sz="0" w:space="0" w:color="auto"/>
        <w:right w:val="none" w:sz="0" w:space="0" w:color="auto"/>
      </w:divBdr>
    </w:div>
    <w:div w:id="2024168154">
      <w:bodyDiv w:val="1"/>
      <w:marLeft w:val="0"/>
      <w:marRight w:val="0"/>
      <w:marTop w:val="0"/>
      <w:marBottom w:val="0"/>
      <w:divBdr>
        <w:top w:val="none" w:sz="0" w:space="0" w:color="auto"/>
        <w:left w:val="none" w:sz="0" w:space="0" w:color="auto"/>
        <w:bottom w:val="none" w:sz="0" w:space="0" w:color="auto"/>
        <w:right w:val="none" w:sz="0" w:space="0" w:color="auto"/>
      </w:divBdr>
      <w:divsChild>
        <w:div w:id="356153278">
          <w:marLeft w:val="0"/>
          <w:marRight w:val="0"/>
          <w:marTop w:val="0"/>
          <w:marBottom w:val="0"/>
          <w:divBdr>
            <w:top w:val="none" w:sz="0" w:space="0" w:color="auto"/>
            <w:left w:val="none" w:sz="0" w:space="0" w:color="auto"/>
            <w:bottom w:val="none" w:sz="0" w:space="0" w:color="auto"/>
            <w:right w:val="none" w:sz="0" w:space="0" w:color="auto"/>
          </w:divBdr>
        </w:div>
        <w:div w:id="468130975">
          <w:marLeft w:val="0"/>
          <w:marRight w:val="0"/>
          <w:marTop w:val="0"/>
          <w:marBottom w:val="0"/>
          <w:divBdr>
            <w:top w:val="none" w:sz="0" w:space="0" w:color="auto"/>
            <w:left w:val="none" w:sz="0" w:space="0" w:color="auto"/>
            <w:bottom w:val="none" w:sz="0" w:space="0" w:color="auto"/>
            <w:right w:val="none" w:sz="0" w:space="0" w:color="auto"/>
          </w:divBdr>
        </w:div>
        <w:div w:id="849837364">
          <w:marLeft w:val="0"/>
          <w:marRight w:val="0"/>
          <w:marTop w:val="0"/>
          <w:marBottom w:val="0"/>
          <w:divBdr>
            <w:top w:val="none" w:sz="0" w:space="0" w:color="auto"/>
            <w:left w:val="none" w:sz="0" w:space="0" w:color="auto"/>
            <w:bottom w:val="none" w:sz="0" w:space="0" w:color="auto"/>
            <w:right w:val="none" w:sz="0" w:space="0" w:color="auto"/>
          </w:divBdr>
        </w:div>
        <w:div w:id="1142692644">
          <w:marLeft w:val="0"/>
          <w:marRight w:val="0"/>
          <w:marTop w:val="0"/>
          <w:marBottom w:val="0"/>
          <w:divBdr>
            <w:top w:val="none" w:sz="0" w:space="0" w:color="auto"/>
            <w:left w:val="none" w:sz="0" w:space="0" w:color="auto"/>
            <w:bottom w:val="none" w:sz="0" w:space="0" w:color="auto"/>
            <w:right w:val="none" w:sz="0" w:space="0" w:color="auto"/>
          </w:divBdr>
        </w:div>
        <w:div w:id="1474104284">
          <w:marLeft w:val="0"/>
          <w:marRight w:val="0"/>
          <w:marTop w:val="0"/>
          <w:marBottom w:val="0"/>
          <w:divBdr>
            <w:top w:val="none" w:sz="0" w:space="0" w:color="auto"/>
            <w:left w:val="none" w:sz="0" w:space="0" w:color="auto"/>
            <w:bottom w:val="none" w:sz="0" w:space="0" w:color="auto"/>
            <w:right w:val="none" w:sz="0" w:space="0" w:color="auto"/>
          </w:divBdr>
        </w:div>
        <w:div w:id="1495098244">
          <w:marLeft w:val="0"/>
          <w:marRight w:val="0"/>
          <w:marTop w:val="0"/>
          <w:marBottom w:val="0"/>
          <w:divBdr>
            <w:top w:val="none" w:sz="0" w:space="0" w:color="auto"/>
            <w:left w:val="none" w:sz="0" w:space="0" w:color="auto"/>
            <w:bottom w:val="none" w:sz="0" w:space="0" w:color="auto"/>
            <w:right w:val="none" w:sz="0" w:space="0" w:color="auto"/>
          </w:divBdr>
        </w:div>
        <w:div w:id="1576892968">
          <w:marLeft w:val="0"/>
          <w:marRight w:val="0"/>
          <w:marTop w:val="0"/>
          <w:marBottom w:val="0"/>
          <w:divBdr>
            <w:top w:val="none" w:sz="0" w:space="0" w:color="auto"/>
            <w:left w:val="none" w:sz="0" w:space="0" w:color="auto"/>
            <w:bottom w:val="none" w:sz="0" w:space="0" w:color="auto"/>
            <w:right w:val="none" w:sz="0" w:space="0" w:color="auto"/>
          </w:divBdr>
        </w:div>
        <w:div w:id="1766338239">
          <w:marLeft w:val="0"/>
          <w:marRight w:val="0"/>
          <w:marTop w:val="0"/>
          <w:marBottom w:val="0"/>
          <w:divBdr>
            <w:top w:val="none" w:sz="0" w:space="0" w:color="auto"/>
            <w:left w:val="none" w:sz="0" w:space="0" w:color="auto"/>
            <w:bottom w:val="none" w:sz="0" w:space="0" w:color="auto"/>
            <w:right w:val="none" w:sz="0" w:space="0" w:color="auto"/>
          </w:divBdr>
        </w:div>
        <w:div w:id="1865900321">
          <w:marLeft w:val="0"/>
          <w:marRight w:val="0"/>
          <w:marTop w:val="0"/>
          <w:marBottom w:val="0"/>
          <w:divBdr>
            <w:top w:val="none" w:sz="0" w:space="0" w:color="auto"/>
            <w:left w:val="none" w:sz="0" w:space="0" w:color="auto"/>
            <w:bottom w:val="none" w:sz="0" w:space="0" w:color="auto"/>
            <w:right w:val="none" w:sz="0" w:space="0" w:color="auto"/>
          </w:divBdr>
        </w:div>
        <w:div w:id="2021226991">
          <w:marLeft w:val="0"/>
          <w:marRight w:val="0"/>
          <w:marTop w:val="0"/>
          <w:marBottom w:val="0"/>
          <w:divBdr>
            <w:top w:val="none" w:sz="0" w:space="0" w:color="auto"/>
            <w:left w:val="none" w:sz="0" w:space="0" w:color="auto"/>
            <w:bottom w:val="none" w:sz="0" w:space="0" w:color="auto"/>
            <w:right w:val="none" w:sz="0" w:space="0" w:color="auto"/>
          </w:divBdr>
        </w:div>
      </w:divsChild>
    </w:div>
    <w:div w:id="2027244338">
      <w:bodyDiv w:val="1"/>
      <w:marLeft w:val="0"/>
      <w:marRight w:val="0"/>
      <w:marTop w:val="0"/>
      <w:marBottom w:val="0"/>
      <w:divBdr>
        <w:top w:val="none" w:sz="0" w:space="0" w:color="auto"/>
        <w:left w:val="none" w:sz="0" w:space="0" w:color="auto"/>
        <w:bottom w:val="none" w:sz="0" w:space="0" w:color="auto"/>
        <w:right w:val="none" w:sz="0" w:space="0" w:color="auto"/>
      </w:divBdr>
    </w:div>
    <w:div w:id="2047097273">
      <w:bodyDiv w:val="1"/>
      <w:marLeft w:val="0"/>
      <w:marRight w:val="0"/>
      <w:marTop w:val="0"/>
      <w:marBottom w:val="0"/>
      <w:divBdr>
        <w:top w:val="none" w:sz="0" w:space="0" w:color="auto"/>
        <w:left w:val="none" w:sz="0" w:space="0" w:color="auto"/>
        <w:bottom w:val="none" w:sz="0" w:space="0" w:color="auto"/>
        <w:right w:val="none" w:sz="0" w:space="0" w:color="auto"/>
      </w:divBdr>
    </w:div>
    <w:div w:id="2048140718">
      <w:bodyDiv w:val="1"/>
      <w:marLeft w:val="0"/>
      <w:marRight w:val="0"/>
      <w:marTop w:val="0"/>
      <w:marBottom w:val="0"/>
      <w:divBdr>
        <w:top w:val="none" w:sz="0" w:space="0" w:color="auto"/>
        <w:left w:val="none" w:sz="0" w:space="0" w:color="auto"/>
        <w:bottom w:val="none" w:sz="0" w:space="0" w:color="auto"/>
        <w:right w:val="none" w:sz="0" w:space="0" w:color="auto"/>
      </w:divBdr>
    </w:div>
    <w:div w:id="2049911661">
      <w:bodyDiv w:val="1"/>
      <w:marLeft w:val="0"/>
      <w:marRight w:val="0"/>
      <w:marTop w:val="0"/>
      <w:marBottom w:val="0"/>
      <w:divBdr>
        <w:top w:val="none" w:sz="0" w:space="0" w:color="auto"/>
        <w:left w:val="none" w:sz="0" w:space="0" w:color="auto"/>
        <w:bottom w:val="none" w:sz="0" w:space="0" w:color="auto"/>
        <w:right w:val="none" w:sz="0" w:space="0" w:color="auto"/>
      </w:divBdr>
      <w:divsChild>
        <w:div w:id="15430859">
          <w:marLeft w:val="0"/>
          <w:marRight w:val="0"/>
          <w:marTop w:val="0"/>
          <w:marBottom w:val="0"/>
          <w:divBdr>
            <w:top w:val="none" w:sz="0" w:space="0" w:color="auto"/>
            <w:left w:val="none" w:sz="0" w:space="0" w:color="auto"/>
            <w:bottom w:val="none" w:sz="0" w:space="0" w:color="auto"/>
            <w:right w:val="none" w:sz="0" w:space="0" w:color="auto"/>
          </w:divBdr>
        </w:div>
        <w:div w:id="134957232">
          <w:marLeft w:val="0"/>
          <w:marRight w:val="0"/>
          <w:marTop w:val="0"/>
          <w:marBottom w:val="0"/>
          <w:divBdr>
            <w:top w:val="none" w:sz="0" w:space="0" w:color="auto"/>
            <w:left w:val="none" w:sz="0" w:space="0" w:color="auto"/>
            <w:bottom w:val="none" w:sz="0" w:space="0" w:color="auto"/>
            <w:right w:val="none" w:sz="0" w:space="0" w:color="auto"/>
          </w:divBdr>
        </w:div>
        <w:div w:id="306473282">
          <w:marLeft w:val="0"/>
          <w:marRight w:val="0"/>
          <w:marTop w:val="0"/>
          <w:marBottom w:val="0"/>
          <w:divBdr>
            <w:top w:val="none" w:sz="0" w:space="0" w:color="auto"/>
            <w:left w:val="none" w:sz="0" w:space="0" w:color="auto"/>
            <w:bottom w:val="none" w:sz="0" w:space="0" w:color="auto"/>
            <w:right w:val="none" w:sz="0" w:space="0" w:color="auto"/>
          </w:divBdr>
        </w:div>
        <w:div w:id="486479693">
          <w:marLeft w:val="0"/>
          <w:marRight w:val="0"/>
          <w:marTop w:val="0"/>
          <w:marBottom w:val="0"/>
          <w:divBdr>
            <w:top w:val="none" w:sz="0" w:space="0" w:color="auto"/>
            <w:left w:val="none" w:sz="0" w:space="0" w:color="auto"/>
            <w:bottom w:val="none" w:sz="0" w:space="0" w:color="auto"/>
            <w:right w:val="none" w:sz="0" w:space="0" w:color="auto"/>
          </w:divBdr>
        </w:div>
        <w:div w:id="512688336">
          <w:marLeft w:val="0"/>
          <w:marRight w:val="0"/>
          <w:marTop w:val="0"/>
          <w:marBottom w:val="0"/>
          <w:divBdr>
            <w:top w:val="none" w:sz="0" w:space="0" w:color="auto"/>
            <w:left w:val="none" w:sz="0" w:space="0" w:color="auto"/>
            <w:bottom w:val="none" w:sz="0" w:space="0" w:color="auto"/>
            <w:right w:val="none" w:sz="0" w:space="0" w:color="auto"/>
          </w:divBdr>
        </w:div>
        <w:div w:id="579946456">
          <w:marLeft w:val="0"/>
          <w:marRight w:val="0"/>
          <w:marTop w:val="0"/>
          <w:marBottom w:val="0"/>
          <w:divBdr>
            <w:top w:val="none" w:sz="0" w:space="0" w:color="auto"/>
            <w:left w:val="none" w:sz="0" w:space="0" w:color="auto"/>
            <w:bottom w:val="none" w:sz="0" w:space="0" w:color="auto"/>
            <w:right w:val="none" w:sz="0" w:space="0" w:color="auto"/>
          </w:divBdr>
        </w:div>
        <w:div w:id="753472546">
          <w:marLeft w:val="0"/>
          <w:marRight w:val="0"/>
          <w:marTop w:val="0"/>
          <w:marBottom w:val="0"/>
          <w:divBdr>
            <w:top w:val="none" w:sz="0" w:space="0" w:color="auto"/>
            <w:left w:val="none" w:sz="0" w:space="0" w:color="auto"/>
            <w:bottom w:val="none" w:sz="0" w:space="0" w:color="auto"/>
            <w:right w:val="none" w:sz="0" w:space="0" w:color="auto"/>
          </w:divBdr>
        </w:div>
        <w:div w:id="804733874">
          <w:marLeft w:val="0"/>
          <w:marRight w:val="0"/>
          <w:marTop w:val="0"/>
          <w:marBottom w:val="0"/>
          <w:divBdr>
            <w:top w:val="none" w:sz="0" w:space="0" w:color="auto"/>
            <w:left w:val="none" w:sz="0" w:space="0" w:color="auto"/>
            <w:bottom w:val="none" w:sz="0" w:space="0" w:color="auto"/>
            <w:right w:val="none" w:sz="0" w:space="0" w:color="auto"/>
          </w:divBdr>
        </w:div>
        <w:div w:id="946083521">
          <w:marLeft w:val="0"/>
          <w:marRight w:val="0"/>
          <w:marTop w:val="0"/>
          <w:marBottom w:val="0"/>
          <w:divBdr>
            <w:top w:val="none" w:sz="0" w:space="0" w:color="auto"/>
            <w:left w:val="none" w:sz="0" w:space="0" w:color="auto"/>
            <w:bottom w:val="none" w:sz="0" w:space="0" w:color="auto"/>
            <w:right w:val="none" w:sz="0" w:space="0" w:color="auto"/>
          </w:divBdr>
        </w:div>
        <w:div w:id="984553580">
          <w:marLeft w:val="0"/>
          <w:marRight w:val="0"/>
          <w:marTop w:val="0"/>
          <w:marBottom w:val="0"/>
          <w:divBdr>
            <w:top w:val="none" w:sz="0" w:space="0" w:color="auto"/>
            <w:left w:val="none" w:sz="0" w:space="0" w:color="auto"/>
            <w:bottom w:val="none" w:sz="0" w:space="0" w:color="auto"/>
            <w:right w:val="none" w:sz="0" w:space="0" w:color="auto"/>
          </w:divBdr>
        </w:div>
        <w:div w:id="1022627885">
          <w:marLeft w:val="0"/>
          <w:marRight w:val="0"/>
          <w:marTop w:val="0"/>
          <w:marBottom w:val="0"/>
          <w:divBdr>
            <w:top w:val="none" w:sz="0" w:space="0" w:color="auto"/>
            <w:left w:val="none" w:sz="0" w:space="0" w:color="auto"/>
            <w:bottom w:val="none" w:sz="0" w:space="0" w:color="auto"/>
            <w:right w:val="none" w:sz="0" w:space="0" w:color="auto"/>
          </w:divBdr>
        </w:div>
        <w:div w:id="1156338885">
          <w:marLeft w:val="0"/>
          <w:marRight w:val="0"/>
          <w:marTop w:val="0"/>
          <w:marBottom w:val="0"/>
          <w:divBdr>
            <w:top w:val="none" w:sz="0" w:space="0" w:color="auto"/>
            <w:left w:val="none" w:sz="0" w:space="0" w:color="auto"/>
            <w:bottom w:val="none" w:sz="0" w:space="0" w:color="auto"/>
            <w:right w:val="none" w:sz="0" w:space="0" w:color="auto"/>
          </w:divBdr>
        </w:div>
        <w:div w:id="1288005048">
          <w:marLeft w:val="0"/>
          <w:marRight w:val="0"/>
          <w:marTop w:val="0"/>
          <w:marBottom w:val="0"/>
          <w:divBdr>
            <w:top w:val="none" w:sz="0" w:space="0" w:color="auto"/>
            <w:left w:val="none" w:sz="0" w:space="0" w:color="auto"/>
            <w:bottom w:val="none" w:sz="0" w:space="0" w:color="auto"/>
            <w:right w:val="none" w:sz="0" w:space="0" w:color="auto"/>
          </w:divBdr>
        </w:div>
        <w:div w:id="1700548855">
          <w:marLeft w:val="0"/>
          <w:marRight w:val="0"/>
          <w:marTop w:val="0"/>
          <w:marBottom w:val="0"/>
          <w:divBdr>
            <w:top w:val="none" w:sz="0" w:space="0" w:color="auto"/>
            <w:left w:val="none" w:sz="0" w:space="0" w:color="auto"/>
            <w:bottom w:val="none" w:sz="0" w:space="0" w:color="auto"/>
            <w:right w:val="none" w:sz="0" w:space="0" w:color="auto"/>
          </w:divBdr>
        </w:div>
        <w:div w:id="1814983666">
          <w:marLeft w:val="0"/>
          <w:marRight w:val="0"/>
          <w:marTop w:val="0"/>
          <w:marBottom w:val="0"/>
          <w:divBdr>
            <w:top w:val="none" w:sz="0" w:space="0" w:color="auto"/>
            <w:left w:val="none" w:sz="0" w:space="0" w:color="auto"/>
            <w:bottom w:val="none" w:sz="0" w:space="0" w:color="auto"/>
            <w:right w:val="none" w:sz="0" w:space="0" w:color="auto"/>
          </w:divBdr>
        </w:div>
        <w:div w:id="1827621187">
          <w:marLeft w:val="0"/>
          <w:marRight w:val="0"/>
          <w:marTop w:val="0"/>
          <w:marBottom w:val="0"/>
          <w:divBdr>
            <w:top w:val="none" w:sz="0" w:space="0" w:color="auto"/>
            <w:left w:val="none" w:sz="0" w:space="0" w:color="auto"/>
            <w:bottom w:val="none" w:sz="0" w:space="0" w:color="auto"/>
            <w:right w:val="none" w:sz="0" w:space="0" w:color="auto"/>
          </w:divBdr>
        </w:div>
      </w:divsChild>
    </w:div>
    <w:div w:id="2050254680">
      <w:bodyDiv w:val="1"/>
      <w:marLeft w:val="0"/>
      <w:marRight w:val="0"/>
      <w:marTop w:val="0"/>
      <w:marBottom w:val="0"/>
      <w:divBdr>
        <w:top w:val="none" w:sz="0" w:space="0" w:color="auto"/>
        <w:left w:val="none" w:sz="0" w:space="0" w:color="auto"/>
        <w:bottom w:val="none" w:sz="0" w:space="0" w:color="auto"/>
        <w:right w:val="none" w:sz="0" w:space="0" w:color="auto"/>
      </w:divBdr>
    </w:div>
    <w:div w:id="2051342970">
      <w:bodyDiv w:val="1"/>
      <w:marLeft w:val="0"/>
      <w:marRight w:val="0"/>
      <w:marTop w:val="0"/>
      <w:marBottom w:val="0"/>
      <w:divBdr>
        <w:top w:val="none" w:sz="0" w:space="0" w:color="auto"/>
        <w:left w:val="none" w:sz="0" w:space="0" w:color="auto"/>
        <w:bottom w:val="none" w:sz="0" w:space="0" w:color="auto"/>
        <w:right w:val="none" w:sz="0" w:space="0" w:color="auto"/>
      </w:divBdr>
      <w:divsChild>
        <w:div w:id="944387130">
          <w:marLeft w:val="0"/>
          <w:marRight w:val="0"/>
          <w:marTop w:val="0"/>
          <w:marBottom w:val="0"/>
          <w:divBdr>
            <w:top w:val="none" w:sz="0" w:space="0" w:color="auto"/>
            <w:left w:val="none" w:sz="0" w:space="0" w:color="auto"/>
            <w:bottom w:val="none" w:sz="0" w:space="0" w:color="auto"/>
            <w:right w:val="none" w:sz="0" w:space="0" w:color="auto"/>
          </w:divBdr>
        </w:div>
        <w:div w:id="974141157">
          <w:marLeft w:val="0"/>
          <w:marRight w:val="0"/>
          <w:marTop w:val="0"/>
          <w:marBottom w:val="0"/>
          <w:divBdr>
            <w:top w:val="none" w:sz="0" w:space="0" w:color="auto"/>
            <w:left w:val="none" w:sz="0" w:space="0" w:color="auto"/>
            <w:bottom w:val="none" w:sz="0" w:space="0" w:color="auto"/>
            <w:right w:val="none" w:sz="0" w:space="0" w:color="auto"/>
          </w:divBdr>
        </w:div>
      </w:divsChild>
    </w:div>
    <w:div w:id="2051611390">
      <w:bodyDiv w:val="1"/>
      <w:marLeft w:val="0"/>
      <w:marRight w:val="0"/>
      <w:marTop w:val="0"/>
      <w:marBottom w:val="0"/>
      <w:divBdr>
        <w:top w:val="none" w:sz="0" w:space="0" w:color="auto"/>
        <w:left w:val="none" w:sz="0" w:space="0" w:color="auto"/>
        <w:bottom w:val="none" w:sz="0" w:space="0" w:color="auto"/>
        <w:right w:val="none" w:sz="0" w:space="0" w:color="auto"/>
      </w:divBdr>
      <w:divsChild>
        <w:div w:id="358819345">
          <w:marLeft w:val="0"/>
          <w:marRight w:val="0"/>
          <w:marTop w:val="0"/>
          <w:marBottom w:val="0"/>
          <w:divBdr>
            <w:top w:val="none" w:sz="0" w:space="0" w:color="auto"/>
            <w:left w:val="none" w:sz="0" w:space="0" w:color="auto"/>
            <w:bottom w:val="none" w:sz="0" w:space="0" w:color="auto"/>
            <w:right w:val="none" w:sz="0" w:space="0" w:color="auto"/>
          </w:divBdr>
          <w:divsChild>
            <w:div w:id="330912794">
              <w:marLeft w:val="0"/>
              <w:marRight w:val="0"/>
              <w:marTop w:val="0"/>
              <w:marBottom w:val="0"/>
              <w:divBdr>
                <w:top w:val="none" w:sz="0" w:space="0" w:color="auto"/>
                <w:left w:val="none" w:sz="0" w:space="0" w:color="auto"/>
                <w:bottom w:val="none" w:sz="0" w:space="0" w:color="auto"/>
                <w:right w:val="none" w:sz="0" w:space="0" w:color="auto"/>
              </w:divBdr>
              <w:divsChild>
                <w:div w:id="1120302008">
                  <w:marLeft w:val="0"/>
                  <w:marRight w:val="0"/>
                  <w:marTop w:val="0"/>
                  <w:marBottom w:val="0"/>
                  <w:divBdr>
                    <w:top w:val="none" w:sz="0" w:space="0" w:color="auto"/>
                    <w:left w:val="none" w:sz="0" w:space="0" w:color="auto"/>
                    <w:bottom w:val="none" w:sz="0" w:space="0" w:color="auto"/>
                    <w:right w:val="none" w:sz="0" w:space="0" w:color="auto"/>
                  </w:divBdr>
                  <w:divsChild>
                    <w:div w:id="639767542">
                      <w:marLeft w:val="0"/>
                      <w:marRight w:val="0"/>
                      <w:marTop w:val="0"/>
                      <w:marBottom w:val="0"/>
                      <w:divBdr>
                        <w:top w:val="none" w:sz="0" w:space="0" w:color="auto"/>
                        <w:left w:val="none" w:sz="0" w:space="0" w:color="auto"/>
                        <w:bottom w:val="none" w:sz="0" w:space="0" w:color="auto"/>
                        <w:right w:val="none" w:sz="0" w:space="0" w:color="auto"/>
                      </w:divBdr>
                      <w:divsChild>
                        <w:div w:id="115762284">
                          <w:marLeft w:val="0"/>
                          <w:marRight w:val="0"/>
                          <w:marTop w:val="0"/>
                          <w:marBottom w:val="0"/>
                          <w:divBdr>
                            <w:top w:val="none" w:sz="0" w:space="0" w:color="auto"/>
                            <w:left w:val="none" w:sz="0" w:space="0" w:color="auto"/>
                            <w:bottom w:val="none" w:sz="0" w:space="0" w:color="auto"/>
                            <w:right w:val="none" w:sz="0" w:space="0" w:color="auto"/>
                          </w:divBdr>
                          <w:divsChild>
                            <w:div w:id="1945916479">
                              <w:marLeft w:val="0"/>
                              <w:marRight w:val="0"/>
                              <w:marTop w:val="0"/>
                              <w:marBottom w:val="0"/>
                              <w:divBdr>
                                <w:top w:val="none" w:sz="0" w:space="0" w:color="auto"/>
                                <w:left w:val="none" w:sz="0" w:space="0" w:color="auto"/>
                                <w:bottom w:val="none" w:sz="0" w:space="0" w:color="auto"/>
                                <w:right w:val="none" w:sz="0" w:space="0" w:color="auto"/>
                              </w:divBdr>
                              <w:divsChild>
                                <w:div w:id="14713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1143">
                          <w:marLeft w:val="0"/>
                          <w:marRight w:val="0"/>
                          <w:marTop w:val="0"/>
                          <w:marBottom w:val="0"/>
                          <w:divBdr>
                            <w:top w:val="none" w:sz="0" w:space="0" w:color="auto"/>
                            <w:left w:val="none" w:sz="0" w:space="0" w:color="auto"/>
                            <w:bottom w:val="none" w:sz="0" w:space="0" w:color="auto"/>
                            <w:right w:val="none" w:sz="0" w:space="0" w:color="auto"/>
                          </w:divBdr>
                          <w:divsChild>
                            <w:div w:id="2105999915">
                              <w:marLeft w:val="0"/>
                              <w:marRight w:val="0"/>
                              <w:marTop w:val="0"/>
                              <w:marBottom w:val="0"/>
                              <w:divBdr>
                                <w:top w:val="none" w:sz="0" w:space="0" w:color="auto"/>
                                <w:left w:val="none" w:sz="0" w:space="0" w:color="auto"/>
                                <w:bottom w:val="none" w:sz="0" w:space="0" w:color="auto"/>
                                <w:right w:val="none" w:sz="0" w:space="0" w:color="auto"/>
                              </w:divBdr>
                              <w:divsChild>
                                <w:div w:id="337850661">
                                  <w:marLeft w:val="0"/>
                                  <w:marRight w:val="0"/>
                                  <w:marTop w:val="0"/>
                                  <w:marBottom w:val="0"/>
                                  <w:divBdr>
                                    <w:top w:val="none" w:sz="0" w:space="0" w:color="auto"/>
                                    <w:left w:val="none" w:sz="0" w:space="0" w:color="auto"/>
                                    <w:bottom w:val="none" w:sz="0" w:space="0" w:color="auto"/>
                                    <w:right w:val="none" w:sz="0" w:space="0" w:color="auto"/>
                                  </w:divBdr>
                                  <w:divsChild>
                                    <w:div w:id="15277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241981">
      <w:bodyDiv w:val="1"/>
      <w:marLeft w:val="0"/>
      <w:marRight w:val="0"/>
      <w:marTop w:val="0"/>
      <w:marBottom w:val="0"/>
      <w:divBdr>
        <w:top w:val="none" w:sz="0" w:space="0" w:color="auto"/>
        <w:left w:val="none" w:sz="0" w:space="0" w:color="auto"/>
        <w:bottom w:val="none" w:sz="0" w:space="0" w:color="auto"/>
        <w:right w:val="none" w:sz="0" w:space="0" w:color="auto"/>
      </w:divBdr>
    </w:div>
    <w:div w:id="2062631801">
      <w:bodyDiv w:val="1"/>
      <w:marLeft w:val="0"/>
      <w:marRight w:val="0"/>
      <w:marTop w:val="0"/>
      <w:marBottom w:val="0"/>
      <w:divBdr>
        <w:top w:val="none" w:sz="0" w:space="0" w:color="auto"/>
        <w:left w:val="none" w:sz="0" w:space="0" w:color="auto"/>
        <w:bottom w:val="none" w:sz="0" w:space="0" w:color="auto"/>
        <w:right w:val="none" w:sz="0" w:space="0" w:color="auto"/>
      </w:divBdr>
    </w:div>
    <w:div w:id="2070419097">
      <w:bodyDiv w:val="1"/>
      <w:marLeft w:val="0"/>
      <w:marRight w:val="0"/>
      <w:marTop w:val="0"/>
      <w:marBottom w:val="0"/>
      <w:divBdr>
        <w:top w:val="none" w:sz="0" w:space="0" w:color="auto"/>
        <w:left w:val="none" w:sz="0" w:space="0" w:color="auto"/>
        <w:bottom w:val="none" w:sz="0" w:space="0" w:color="auto"/>
        <w:right w:val="none" w:sz="0" w:space="0" w:color="auto"/>
      </w:divBdr>
      <w:divsChild>
        <w:div w:id="1449156981">
          <w:marLeft w:val="0"/>
          <w:marRight w:val="0"/>
          <w:marTop w:val="0"/>
          <w:marBottom w:val="0"/>
          <w:divBdr>
            <w:top w:val="none" w:sz="0" w:space="0" w:color="auto"/>
            <w:left w:val="none" w:sz="0" w:space="0" w:color="auto"/>
            <w:bottom w:val="none" w:sz="0" w:space="0" w:color="auto"/>
            <w:right w:val="none" w:sz="0" w:space="0" w:color="auto"/>
          </w:divBdr>
        </w:div>
        <w:div w:id="1756703396">
          <w:marLeft w:val="0"/>
          <w:marRight w:val="0"/>
          <w:marTop w:val="0"/>
          <w:marBottom w:val="0"/>
          <w:divBdr>
            <w:top w:val="none" w:sz="0" w:space="0" w:color="auto"/>
            <w:left w:val="none" w:sz="0" w:space="0" w:color="auto"/>
            <w:bottom w:val="none" w:sz="0" w:space="0" w:color="auto"/>
            <w:right w:val="none" w:sz="0" w:space="0" w:color="auto"/>
          </w:divBdr>
        </w:div>
        <w:div w:id="2026860104">
          <w:marLeft w:val="0"/>
          <w:marRight w:val="0"/>
          <w:marTop w:val="0"/>
          <w:marBottom w:val="0"/>
          <w:divBdr>
            <w:top w:val="none" w:sz="0" w:space="0" w:color="auto"/>
            <w:left w:val="none" w:sz="0" w:space="0" w:color="auto"/>
            <w:bottom w:val="none" w:sz="0" w:space="0" w:color="auto"/>
            <w:right w:val="none" w:sz="0" w:space="0" w:color="auto"/>
          </w:divBdr>
        </w:div>
      </w:divsChild>
    </w:div>
    <w:div w:id="2081512137">
      <w:bodyDiv w:val="1"/>
      <w:marLeft w:val="0"/>
      <w:marRight w:val="0"/>
      <w:marTop w:val="0"/>
      <w:marBottom w:val="0"/>
      <w:divBdr>
        <w:top w:val="none" w:sz="0" w:space="0" w:color="auto"/>
        <w:left w:val="none" w:sz="0" w:space="0" w:color="auto"/>
        <w:bottom w:val="none" w:sz="0" w:space="0" w:color="auto"/>
        <w:right w:val="none" w:sz="0" w:space="0" w:color="auto"/>
      </w:divBdr>
      <w:divsChild>
        <w:div w:id="243221843">
          <w:marLeft w:val="274"/>
          <w:marRight w:val="0"/>
          <w:marTop w:val="0"/>
          <w:marBottom w:val="0"/>
          <w:divBdr>
            <w:top w:val="none" w:sz="0" w:space="0" w:color="auto"/>
            <w:left w:val="none" w:sz="0" w:space="0" w:color="auto"/>
            <w:bottom w:val="none" w:sz="0" w:space="0" w:color="auto"/>
            <w:right w:val="none" w:sz="0" w:space="0" w:color="auto"/>
          </w:divBdr>
        </w:div>
        <w:div w:id="711420651">
          <w:marLeft w:val="274"/>
          <w:marRight w:val="0"/>
          <w:marTop w:val="0"/>
          <w:marBottom w:val="0"/>
          <w:divBdr>
            <w:top w:val="none" w:sz="0" w:space="0" w:color="auto"/>
            <w:left w:val="none" w:sz="0" w:space="0" w:color="auto"/>
            <w:bottom w:val="none" w:sz="0" w:space="0" w:color="auto"/>
            <w:right w:val="none" w:sz="0" w:space="0" w:color="auto"/>
          </w:divBdr>
        </w:div>
        <w:div w:id="1664039840">
          <w:marLeft w:val="274"/>
          <w:marRight w:val="0"/>
          <w:marTop w:val="0"/>
          <w:marBottom w:val="0"/>
          <w:divBdr>
            <w:top w:val="none" w:sz="0" w:space="0" w:color="auto"/>
            <w:left w:val="none" w:sz="0" w:space="0" w:color="auto"/>
            <w:bottom w:val="none" w:sz="0" w:space="0" w:color="auto"/>
            <w:right w:val="none" w:sz="0" w:space="0" w:color="auto"/>
          </w:divBdr>
        </w:div>
        <w:div w:id="1694914242">
          <w:marLeft w:val="274"/>
          <w:marRight w:val="0"/>
          <w:marTop w:val="0"/>
          <w:marBottom w:val="0"/>
          <w:divBdr>
            <w:top w:val="none" w:sz="0" w:space="0" w:color="auto"/>
            <w:left w:val="none" w:sz="0" w:space="0" w:color="auto"/>
            <w:bottom w:val="none" w:sz="0" w:space="0" w:color="auto"/>
            <w:right w:val="none" w:sz="0" w:space="0" w:color="auto"/>
          </w:divBdr>
        </w:div>
        <w:div w:id="1741753526">
          <w:marLeft w:val="274"/>
          <w:marRight w:val="0"/>
          <w:marTop w:val="0"/>
          <w:marBottom w:val="0"/>
          <w:divBdr>
            <w:top w:val="none" w:sz="0" w:space="0" w:color="auto"/>
            <w:left w:val="none" w:sz="0" w:space="0" w:color="auto"/>
            <w:bottom w:val="none" w:sz="0" w:space="0" w:color="auto"/>
            <w:right w:val="none" w:sz="0" w:space="0" w:color="auto"/>
          </w:divBdr>
        </w:div>
        <w:div w:id="1882277818">
          <w:marLeft w:val="274"/>
          <w:marRight w:val="0"/>
          <w:marTop w:val="0"/>
          <w:marBottom w:val="0"/>
          <w:divBdr>
            <w:top w:val="none" w:sz="0" w:space="0" w:color="auto"/>
            <w:left w:val="none" w:sz="0" w:space="0" w:color="auto"/>
            <w:bottom w:val="none" w:sz="0" w:space="0" w:color="auto"/>
            <w:right w:val="none" w:sz="0" w:space="0" w:color="auto"/>
          </w:divBdr>
        </w:div>
      </w:divsChild>
    </w:div>
    <w:div w:id="2085180905">
      <w:bodyDiv w:val="1"/>
      <w:marLeft w:val="0"/>
      <w:marRight w:val="0"/>
      <w:marTop w:val="0"/>
      <w:marBottom w:val="0"/>
      <w:divBdr>
        <w:top w:val="none" w:sz="0" w:space="0" w:color="auto"/>
        <w:left w:val="none" w:sz="0" w:space="0" w:color="auto"/>
        <w:bottom w:val="none" w:sz="0" w:space="0" w:color="auto"/>
        <w:right w:val="none" w:sz="0" w:space="0" w:color="auto"/>
      </w:divBdr>
      <w:divsChild>
        <w:div w:id="667899710">
          <w:marLeft w:val="0"/>
          <w:marRight w:val="0"/>
          <w:marTop w:val="0"/>
          <w:marBottom w:val="0"/>
          <w:divBdr>
            <w:top w:val="none" w:sz="0" w:space="0" w:color="auto"/>
            <w:left w:val="none" w:sz="0" w:space="0" w:color="auto"/>
            <w:bottom w:val="none" w:sz="0" w:space="0" w:color="auto"/>
            <w:right w:val="none" w:sz="0" w:space="0" w:color="auto"/>
          </w:divBdr>
        </w:div>
        <w:div w:id="1911766715">
          <w:marLeft w:val="0"/>
          <w:marRight w:val="0"/>
          <w:marTop w:val="0"/>
          <w:marBottom w:val="0"/>
          <w:divBdr>
            <w:top w:val="none" w:sz="0" w:space="0" w:color="auto"/>
            <w:left w:val="none" w:sz="0" w:space="0" w:color="auto"/>
            <w:bottom w:val="none" w:sz="0" w:space="0" w:color="auto"/>
            <w:right w:val="none" w:sz="0" w:space="0" w:color="auto"/>
          </w:divBdr>
        </w:div>
      </w:divsChild>
    </w:div>
    <w:div w:id="2091005272">
      <w:bodyDiv w:val="1"/>
      <w:marLeft w:val="0"/>
      <w:marRight w:val="0"/>
      <w:marTop w:val="0"/>
      <w:marBottom w:val="0"/>
      <w:divBdr>
        <w:top w:val="none" w:sz="0" w:space="0" w:color="auto"/>
        <w:left w:val="none" w:sz="0" w:space="0" w:color="auto"/>
        <w:bottom w:val="none" w:sz="0" w:space="0" w:color="auto"/>
        <w:right w:val="none" w:sz="0" w:space="0" w:color="auto"/>
      </w:divBdr>
      <w:divsChild>
        <w:div w:id="254443120">
          <w:marLeft w:val="0"/>
          <w:marRight w:val="0"/>
          <w:marTop w:val="0"/>
          <w:marBottom w:val="0"/>
          <w:divBdr>
            <w:top w:val="none" w:sz="0" w:space="0" w:color="auto"/>
            <w:left w:val="none" w:sz="0" w:space="0" w:color="auto"/>
            <w:bottom w:val="none" w:sz="0" w:space="0" w:color="auto"/>
            <w:right w:val="none" w:sz="0" w:space="0" w:color="auto"/>
          </w:divBdr>
        </w:div>
        <w:div w:id="311300767">
          <w:marLeft w:val="0"/>
          <w:marRight w:val="0"/>
          <w:marTop w:val="0"/>
          <w:marBottom w:val="0"/>
          <w:divBdr>
            <w:top w:val="none" w:sz="0" w:space="0" w:color="auto"/>
            <w:left w:val="none" w:sz="0" w:space="0" w:color="auto"/>
            <w:bottom w:val="none" w:sz="0" w:space="0" w:color="auto"/>
            <w:right w:val="none" w:sz="0" w:space="0" w:color="auto"/>
          </w:divBdr>
        </w:div>
        <w:div w:id="398095759">
          <w:marLeft w:val="0"/>
          <w:marRight w:val="0"/>
          <w:marTop w:val="0"/>
          <w:marBottom w:val="0"/>
          <w:divBdr>
            <w:top w:val="none" w:sz="0" w:space="0" w:color="auto"/>
            <w:left w:val="none" w:sz="0" w:space="0" w:color="auto"/>
            <w:bottom w:val="none" w:sz="0" w:space="0" w:color="auto"/>
            <w:right w:val="none" w:sz="0" w:space="0" w:color="auto"/>
          </w:divBdr>
        </w:div>
        <w:div w:id="524249977">
          <w:marLeft w:val="0"/>
          <w:marRight w:val="0"/>
          <w:marTop w:val="0"/>
          <w:marBottom w:val="0"/>
          <w:divBdr>
            <w:top w:val="none" w:sz="0" w:space="0" w:color="auto"/>
            <w:left w:val="none" w:sz="0" w:space="0" w:color="auto"/>
            <w:bottom w:val="none" w:sz="0" w:space="0" w:color="auto"/>
            <w:right w:val="none" w:sz="0" w:space="0" w:color="auto"/>
          </w:divBdr>
        </w:div>
        <w:div w:id="628166867">
          <w:marLeft w:val="0"/>
          <w:marRight w:val="0"/>
          <w:marTop w:val="0"/>
          <w:marBottom w:val="0"/>
          <w:divBdr>
            <w:top w:val="none" w:sz="0" w:space="0" w:color="auto"/>
            <w:left w:val="none" w:sz="0" w:space="0" w:color="auto"/>
            <w:bottom w:val="none" w:sz="0" w:space="0" w:color="auto"/>
            <w:right w:val="none" w:sz="0" w:space="0" w:color="auto"/>
          </w:divBdr>
        </w:div>
        <w:div w:id="840588852">
          <w:marLeft w:val="0"/>
          <w:marRight w:val="0"/>
          <w:marTop w:val="0"/>
          <w:marBottom w:val="0"/>
          <w:divBdr>
            <w:top w:val="none" w:sz="0" w:space="0" w:color="auto"/>
            <w:left w:val="none" w:sz="0" w:space="0" w:color="auto"/>
            <w:bottom w:val="none" w:sz="0" w:space="0" w:color="auto"/>
            <w:right w:val="none" w:sz="0" w:space="0" w:color="auto"/>
          </w:divBdr>
        </w:div>
        <w:div w:id="1121462564">
          <w:marLeft w:val="0"/>
          <w:marRight w:val="0"/>
          <w:marTop w:val="0"/>
          <w:marBottom w:val="0"/>
          <w:divBdr>
            <w:top w:val="none" w:sz="0" w:space="0" w:color="auto"/>
            <w:left w:val="none" w:sz="0" w:space="0" w:color="auto"/>
            <w:bottom w:val="none" w:sz="0" w:space="0" w:color="auto"/>
            <w:right w:val="none" w:sz="0" w:space="0" w:color="auto"/>
          </w:divBdr>
        </w:div>
        <w:div w:id="1280989623">
          <w:marLeft w:val="0"/>
          <w:marRight w:val="0"/>
          <w:marTop w:val="0"/>
          <w:marBottom w:val="0"/>
          <w:divBdr>
            <w:top w:val="none" w:sz="0" w:space="0" w:color="auto"/>
            <w:left w:val="none" w:sz="0" w:space="0" w:color="auto"/>
            <w:bottom w:val="none" w:sz="0" w:space="0" w:color="auto"/>
            <w:right w:val="none" w:sz="0" w:space="0" w:color="auto"/>
          </w:divBdr>
        </w:div>
        <w:div w:id="1670404700">
          <w:marLeft w:val="0"/>
          <w:marRight w:val="0"/>
          <w:marTop w:val="0"/>
          <w:marBottom w:val="0"/>
          <w:divBdr>
            <w:top w:val="none" w:sz="0" w:space="0" w:color="auto"/>
            <w:left w:val="none" w:sz="0" w:space="0" w:color="auto"/>
            <w:bottom w:val="none" w:sz="0" w:space="0" w:color="auto"/>
            <w:right w:val="none" w:sz="0" w:space="0" w:color="auto"/>
          </w:divBdr>
        </w:div>
        <w:div w:id="1885604922">
          <w:marLeft w:val="0"/>
          <w:marRight w:val="0"/>
          <w:marTop w:val="0"/>
          <w:marBottom w:val="0"/>
          <w:divBdr>
            <w:top w:val="none" w:sz="0" w:space="0" w:color="auto"/>
            <w:left w:val="none" w:sz="0" w:space="0" w:color="auto"/>
            <w:bottom w:val="none" w:sz="0" w:space="0" w:color="auto"/>
            <w:right w:val="none" w:sz="0" w:space="0" w:color="auto"/>
          </w:divBdr>
        </w:div>
        <w:div w:id="2096781656">
          <w:marLeft w:val="0"/>
          <w:marRight w:val="0"/>
          <w:marTop w:val="0"/>
          <w:marBottom w:val="0"/>
          <w:divBdr>
            <w:top w:val="none" w:sz="0" w:space="0" w:color="auto"/>
            <w:left w:val="none" w:sz="0" w:space="0" w:color="auto"/>
            <w:bottom w:val="none" w:sz="0" w:space="0" w:color="auto"/>
            <w:right w:val="none" w:sz="0" w:space="0" w:color="auto"/>
          </w:divBdr>
        </w:div>
      </w:divsChild>
    </w:div>
    <w:div w:id="2098625952">
      <w:bodyDiv w:val="1"/>
      <w:marLeft w:val="0"/>
      <w:marRight w:val="0"/>
      <w:marTop w:val="0"/>
      <w:marBottom w:val="0"/>
      <w:divBdr>
        <w:top w:val="none" w:sz="0" w:space="0" w:color="auto"/>
        <w:left w:val="none" w:sz="0" w:space="0" w:color="auto"/>
        <w:bottom w:val="none" w:sz="0" w:space="0" w:color="auto"/>
        <w:right w:val="none" w:sz="0" w:space="0" w:color="auto"/>
      </w:divBdr>
    </w:div>
    <w:div w:id="2102294344">
      <w:bodyDiv w:val="1"/>
      <w:marLeft w:val="0"/>
      <w:marRight w:val="0"/>
      <w:marTop w:val="0"/>
      <w:marBottom w:val="0"/>
      <w:divBdr>
        <w:top w:val="none" w:sz="0" w:space="0" w:color="auto"/>
        <w:left w:val="none" w:sz="0" w:space="0" w:color="auto"/>
        <w:bottom w:val="none" w:sz="0" w:space="0" w:color="auto"/>
        <w:right w:val="none" w:sz="0" w:space="0" w:color="auto"/>
      </w:divBdr>
    </w:div>
    <w:div w:id="2106267370">
      <w:bodyDiv w:val="1"/>
      <w:marLeft w:val="0"/>
      <w:marRight w:val="0"/>
      <w:marTop w:val="0"/>
      <w:marBottom w:val="0"/>
      <w:divBdr>
        <w:top w:val="none" w:sz="0" w:space="0" w:color="auto"/>
        <w:left w:val="none" w:sz="0" w:space="0" w:color="auto"/>
        <w:bottom w:val="none" w:sz="0" w:space="0" w:color="auto"/>
        <w:right w:val="none" w:sz="0" w:space="0" w:color="auto"/>
      </w:divBdr>
    </w:div>
    <w:div w:id="2115124795">
      <w:bodyDiv w:val="1"/>
      <w:marLeft w:val="0"/>
      <w:marRight w:val="0"/>
      <w:marTop w:val="0"/>
      <w:marBottom w:val="0"/>
      <w:divBdr>
        <w:top w:val="none" w:sz="0" w:space="0" w:color="auto"/>
        <w:left w:val="none" w:sz="0" w:space="0" w:color="auto"/>
        <w:bottom w:val="none" w:sz="0" w:space="0" w:color="auto"/>
        <w:right w:val="none" w:sz="0" w:space="0" w:color="auto"/>
      </w:divBdr>
    </w:div>
    <w:div w:id="2119133244">
      <w:bodyDiv w:val="1"/>
      <w:marLeft w:val="0"/>
      <w:marRight w:val="0"/>
      <w:marTop w:val="0"/>
      <w:marBottom w:val="0"/>
      <w:divBdr>
        <w:top w:val="none" w:sz="0" w:space="0" w:color="auto"/>
        <w:left w:val="none" w:sz="0" w:space="0" w:color="auto"/>
        <w:bottom w:val="none" w:sz="0" w:space="0" w:color="auto"/>
        <w:right w:val="none" w:sz="0" w:space="0" w:color="auto"/>
      </w:divBdr>
      <w:divsChild>
        <w:div w:id="484904363">
          <w:marLeft w:val="0"/>
          <w:marRight w:val="0"/>
          <w:marTop w:val="0"/>
          <w:marBottom w:val="0"/>
          <w:divBdr>
            <w:top w:val="none" w:sz="0" w:space="0" w:color="auto"/>
            <w:left w:val="none" w:sz="0" w:space="0" w:color="auto"/>
            <w:bottom w:val="none" w:sz="0" w:space="0" w:color="auto"/>
            <w:right w:val="none" w:sz="0" w:space="0" w:color="auto"/>
          </w:divBdr>
        </w:div>
        <w:div w:id="500509927">
          <w:marLeft w:val="0"/>
          <w:marRight w:val="0"/>
          <w:marTop w:val="0"/>
          <w:marBottom w:val="0"/>
          <w:divBdr>
            <w:top w:val="none" w:sz="0" w:space="0" w:color="auto"/>
            <w:left w:val="none" w:sz="0" w:space="0" w:color="auto"/>
            <w:bottom w:val="none" w:sz="0" w:space="0" w:color="auto"/>
            <w:right w:val="none" w:sz="0" w:space="0" w:color="auto"/>
          </w:divBdr>
        </w:div>
        <w:div w:id="658311054">
          <w:marLeft w:val="0"/>
          <w:marRight w:val="0"/>
          <w:marTop w:val="0"/>
          <w:marBottom w:val="0"/>
          <w:divBdr>
            <w:top w:val="none" w:sz="0" w:space="0" w:color="auto"/>
            <w:left w:val="none" w:sz="0" w:space="0" w:color="auto"/>
            <w:bottom w:val="none" w:sz="0" w:space="0" w:color="auto"/>
            <w:right w:val="none" w:sz="0" w:space="0" w:color="auto"/>
          </w:divBdr>
        </w:div>
        <w:div w:id="1365136927">
          <w:marLeft w:val="0"/>
          <w:marRight w:val="0"/>
          <w:marTop w:val="0"/>
          <w:marBottom w:val="0"/>
          <w:divBdr>
            <w:top w:val="none" w:sz="0" w:space="0" w:color="auto"/>
            <w:left w:val="none" w:sz="0" w:space="0" w:color="auto"/>
            <w:bottom w:val="none" w:sz="0" w:space="0" w:color="auto"/>
            <w:right w:val="none" w:sz="0" w:space="0" w:color="auto"/>
          </w:divBdr>
        </w:div>
        <w:div w:id="1475297269">
          <w:marLeft w:val="0"/>
          <w:marRight w:val="0"/>
          <w:marTop w:val="0"/>
          <w:marBottom w:val="0"/>
          <w:divBdr>
            <w:top w:val="none" w:sz="0" w:space="0" w:color="auto"/>
            <w:left w:val="none" w:sz="0" w:space="0" w:color="auto"/>
            <w:bottom w:val="none" w:sz="0" w:space="0" w:color="auto"/>
            <w:right w:val="none" w:sz="0" w:space="0" w:color="auto"/>
          </w:divBdr>
        </w:div>
        <w:div w:id="1536457771">
          <w:marLeft w:val="0"/>
          <w:marRight w:val="0"/>
          <w:marTop w:val="0"/>
          <w:marBottom w:val="0"/>
          <w:divBdr>
            <w:top w:val="none" w:sz="0" w:space="0" w:color="auto"/>
            <w:left w:val="none" w:sz="0" w:space="0" w:color="auto"/>
            <w:bottom w:val="none" w:sz="0" w:space="0" w:color="auto"/>
            <w:right w:val="none" w:sz="0" w:space="0" w:color="auto"/>
          </w:divBdr>
        </w:div>
      </w:divsChild>
    </w:div>
    <w:div w:id="2120762118">
      <w:bodyDiv w:val="1"/>
      <w:marLeft w:val="0"/>
      <w:marRight w:val="0"/>
      <w:marTop w:val="0"/>
      <w:marBottom w:val="0"/>
      <w:divBdr>
        <w:top w:val="none" w:sz="0" w:space="0" w:color="auto"/>
        <w:left w:val="none" w:sz="0" w:space="0" w:color="auto"/>
        <w:bottom w:val="none" w:sz="0" w:space="0" w:color="auto"/>
        <w:right w:val="none" w:sz="0" w:space="0" w:color="auto"/>
      </w:divBdr>
    </w:div>
    <w:div w:id="2128238419">
      <w:bodyDiv w:val="1"/>
      <w:marLeft w:val="0"/>
      <w:marRight w:val="0"/>
      <w:marTop w:val="0"/>
      <w:marBottom w:val="0"/>
      <w:divBdr>
        <w:top w:val="none" w:sz="0" w:space="0" w:color="auto"/>
        <w:left w:val="none" w:sz="0" w:space="0" w:color="auto"/>
        <w:bottom w:val="none" w:sz="0" w:space="0" w:color="auto"/>
        <w:right w:val="none" w:sz="0" w:space="0" w:color="auto"/>
      </w:divBdr>
    </w:div>
    <w:div w:id="2142528280">
      <w:bodyDiv w:val="1"/>
      <w:marLeft w:val="0"/>
      <w:marRight w:val="0"/>
      <w:marTop w:val="0"/>
      <w:marBottom w:val="0"/>
      <w:divBdr>
        <w:top w:val="none" w:sz="0" w:space="0" w:color="auto"/>
        <w:left w:val="none" w:sz="0" w:space="0" w:color="auto"/>
        <w:bottom w:val="none" w:sz="0" w:space="0" w:color="auto"/>
        <w:right w:val="none" w:sz="0" w:space="0" w:color="auto"/>
      </w:divBdr>
      <w:divsChild>
        <w:div w:id="880091415">
          <w:marLeft w:val="0"/>
          <w:marRight w:val="0"/>
          <w:marTop w:val="0"/>
          <w:marBottom w:val="0"/>
          <w:divBdr>
            <w:top w:val="none" w:sz="0" w:space="0" w:color="auto"/>
            <w:left w:val="none" w:sz="0" w:space="0" w:color="auto"/>
            <w:bottom w:val="none" w:sz="0" w:space="0" w:color="auto"/>
            <w:right w:val="none" w:sz="0" w:space="0" w:color="auto"/>
          </w:divBdr>
        </w:div>
        <w:div w:id="908346993">
          <w:marLeft w:val="0"/>
          <w:marRight w:val="0"/>
          <w:marTop w:val="0"/>
          <w:marBottom w:val="0"/>
          <w:divBdr>
            <w:top w:val="none" w:sz="0" w:space="0" w:color="auto"/>
            <w:left w:val="none" w:sz="0" w:space="0" w:color="auto"/>
            <w:bottom w:val="none" w:sz="0" w:space="0" w:color="auto"/>
            <w:right w:val="none" w:sz="0" w:space="0" w:color="auto"/>
          </w:divBdr>
        </w:div>
        <w:div w:id="1634485010">
          <w:marLeft w:val="0"/>
          <w:marRight w:val="0"/>
          <w:marTop w:val="0"/>
          <w:marBottom w:val="0"/>
          <w:divBdr>
            <w:top w:val="none" w:sz="0" w:space="0" w:color="auto"/>
            <w:left w:val="none" w:sz="0" w:space="0" w:color="auto"/>
            <w:bottom w:val="none" w:sz="0" w:space="0" w:color="auto"/>
            <w:right w:val="none" w:sz="0" w:space="0" w:color="auto"/>
          </w:divBdr>
        </w:div>
        <w:div w:id="2005280963">
          <w:marLeft w:val="0"/>
          <w:marRight w:val="0"/>
          <w:marTop w:val="0"/>
          <w:marBottom w:val="0"/>
          <w:divBdr>
            <w:top w:val="none" w:sz="0" w:space="0" w:color="auto"/>
            <w:left w:val="none" w:sz="0" w:space="0" w:color="auto"/>
            <w:bottom w:val="none" w:sz="0" w:space="0" w:color="auto"/>
            <w:right w:val="none" w:sz="0" w:space="0" w:color="auto"/>
          </w:divBdr>
        </w:div>
      </w:divsChild>
    </w:div>
    <w:div w:id="214697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3.jpeg"/><Relationship Id="rId39" Type="http://schemas.openxmlformats.org/officeDocument/2006/relationships/hyperlink" Target="https://www.dss.gov.au/ending-violence" TargetMode="External"/><Relationship Id="rId21" Type="http://schemas.openxmlformats.org/officeDocument/2006/relationships/image" Target="media/image8.svg"/><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yperlink" Target="https://assets.publishing.service.gov.uk/media/5a5f213de5274a443e00370e/256-Interventions-to-support-victims-of-modern-slavery.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0.svg"/><Relationship Id="rId28" Type="http://schemas.openxmlformats.org/officeDocument/2006/relationships/image" Target="media/image15.svg"/><Relationship Id="rId36" Type="http://schemas.openxmlformats.org/officeDocument/2006/relationships/header" Target="header9.xml"/><Relationship Id="rId49" Type="http://schemas.openxmlformats.org/officeDocument/2006/relationships/hyperlink" Target="https://doi.org/10.1177/10982140211056913"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8.png"/><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hyperlink" Target="https://doi.org/10.1177/15248380231211955"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2.svg"/><Relationship Id="rId33" Type="http://schemas.openxmlformats.org/officeDocument/2006/relationships/header" Target="header8.xml"/><Relationship Id="rId38" Type="http://schemas.openxmlformats.org/officeDocument/2006/relationships/hyperlink" Target="https://www.homeaffairs.gov.au/criminal-justice/files/nap-combat-modern-slavery-2020-25.pdf" TargetMode="External"/><Relationship Id="rId46" Type="http://schemas.openxmlformats.org/officeDocument/2006/relationships/hyperlink" Target="https://doi.org/10.1016/j.avb.2019.04.001" TargetMode="External"/><Relationship Id="rId20" Type="http://schemas.openxmlformats.org/officeDocument/2006/relationships/image" Target="media/image7.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s>
</file>

<file path=word/_rels/footer1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6.sv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topics/family-domestic-and-sexual-violence/training-health-professional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WT Costom theme 280922">
  <a:themeElements>
    <a:clrScheme name="WT2908">
      <a:dk1>
        <a:srgbClr val="425563"/>
      </a:dk1>
      <a:lt1>
        <a:srgbClr val="FFFFFF"/>
      </a:lt1>
      <a:dk2>
        <a:srgbClr val="00BE6E"/>
      </a:dk2>
      <a:lt2>
        <a:srgbClr val="AED3D3"/>
      </a:lt2>
      <a:accent1>
        <a:srgbClr val="BDE9C8"/>
      </a:accent1>
      <a:accent2>
        <a:srgbClr val="00C1D4"/>
      </a:accent2>
      <a:accent3>
        <a:srgbClr val="EF4980"/>
      </a:accent3>
      <a:accent4>
        <a:srgbClr val="C3CC54"/>
      </a:accent4>
      <a:accent5>
        <a:srgbClr val="40C1AB"/>
      </a:accent5>
      <a:accent6>
        <a:srgbClr val="FF8E2F"/>
      </a:accent6>
      <a:hlink>
        <a:srgbClr val="00BE6E"/>
      </a:hlink>
      <a:folHlink>
        <a:srgbClr val="AED3D3"/>
      </a:folHlink>
    </a:clrScheme>
    <a:fontScheme name="Communicorp">
      <a:majorFont>
        <a:latin typeface="Barlow Semi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566A0"/>
    </a:custClr>
    <a:custClr name="Hot100">
      <a:srgbClr val="890C58"/>
    </a:custClr>
    <a:custClr name="Hot80">
      <a:srgbClr val="982C6E"/>
    </a:custClr>
    <a:custClr name="Hot60">
      <a:srgbClr val="A74982"/>
    </a:custClr>
    <a:custClr name="Hot40">
      <a:srgbClr val="B56595"/>
    </a:custClr>
  </a:custClrLst>
  <a:extLst>
    <a:ext uri="{05A4C25C-085E-4340-85A3-A5531E510DB2}">
      <thm15:themeFamily xmlns:thm15="http://schemas.microsoft.com/office/thememl/2012/main" name="WT Costom theme 280922" id="{B97E8D9D-10A9-45CB-B40D-FE5EA9979904}" vid="{966E5121-BAE7-489A-93A1-AE3CD424389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7CDA4-2FDA-4BB6-9186-C4476AA48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33086</Words>
  <Characters>197371</Characters>
  <Application>Microsoft Office Word</Application>
  <DocSecurity>0</DocSecurity>
  <Lines>4500</Lines>
  <Paragraphs>1998</Paragraphs>
  <ScaleCrop>false</ScaleCrop>
  <HeadingPairs>
    <vt:vector size="2" baseType="variant">
      <vt:variant>
        <vt:lpstr>Title</vt:lpstr>
      </vt:variant>
      <vt:variant>
        <vt:i4>1</vt:i4>
      </vt:variant>
    </vt:vector>
  </HeadingPairs>
  <TitlesOfParts>
    <vt:vector size="1" baseType="lpstr">
      <vt:lpstr>Evaluation of the Support for Trafficked People Program Report</vt:lpstr>
    </vt:vector>
  </TitlesOfParts>
  <Company/>
  <LinksUpToDate>false</LinksUpToDate>
  <CharactersWithSpaces>229528</CharactersWithSpaces>
  <SharedDoc>false</SharedDoc>
  <HLinks>
    <vt:vector size="120" baseType="variant">
      <vt:variant>
        <vt:i4>1769565</vt:i4>
      </vt:variant>
      <vt:variant>
        <vt:i4>174</vt:i4>
      </vt:variant>
      <vt:variant>
        <vt:i4>0</vt:i4>
      </vt:variant>
      <vt:variant>
        <vt:i4>5</vt:i4>
      </vt:variant>
      <vt:variant>
        <vt:lpwstr>https://doi.org/10.1177/10982140211056913</vt:lpwstr>
      </vt:variant>
      <vt:variant>
        <vt:lpwstr/>
      </vt:variant>
      <vt:variant>
        <vt:i4>1245268</vt:i4>
      </vt:variant>
      <vt:variant>
        <vt:i4>171</vt:i4>
      </vt:variant>
      <vt:variant>
        <vt:i4>0</vt:i4>
      </vt:variant>
      <vt:variant>
        <vt:i4>5</vt:i4>
      </vt:variant>
      <vt:variant>
        <vt:lpwstr>https://doi.org/10.1177/15248380231211955</vt:lpwstr>
      </vt:variant>
      <vt:variant>
        <vt:lpwstr/>
      </vt:variant>
      <vt:variant>
        <vt:i4>2424865</vt:i4>
      </vt:variant>
      <vt:variant>
        <vt:i4>168</vt:i4>
      </vt:variant>
      <vt:variant>
        <vt:i4>0</vt:i4>
      </vt:variant>
      <vt:variant>
        <vt:i4>5</vt:i4>
      </vt:variant>
      <vt:variant>
        <vt:lpwstr>https://assets.publishing.service.gov.uk/media/5a5f213de5274a443e00370e/256-Interventions-to-support-victims-of-modern-slavery.pdf</vt:lpwstr>
      </vt:variant>
      <vt:variant>
        <vt:lpwstr/>
      </vt:variant>
      <vt:variant>
        <vt:i4>4390940</vt:i4>
      </vt:variant>
      <vt:variant>
        <vt:i4>165</vt:i4>
      </vt:variant>
      <vt:variant>
        <vt:i4>0</vt:i4>
      </vt:variant>
      <vt:variant>
        <vt:i4>5</vt:i4>
      </vt:variant>
      <vt:variant>
        <vt:lpwstr>https://doi.org/10.1016/j.avb.2019.04.001</vt:lpwstr>
      </vt:variant>
      <vt:variant>
        <vt:lpwstr/>
      </vt:variant>
      <vt:variant>
        <vt:i4>7143543</vt:i4>
      </vt:variant>
      <vt:variant>
        <vt:i4>162</vt:i4>
      </vt:variant>
      <vt:variant>
        <vt:i4>0</vt:i4>
      </vt:variant>
      <vt:variant>
        <vt:i4>5</vt:i4>
      </vt:variant>
      <vt:variant>
        <vt:lpwstr>https://www.dss.gov.au/ending-violence</vt:lpwstr>
      </vt:variant>
      <vt:variant>
        <vt:lpwstr/>
      </vt:variant>
      <vt:variant>
        <vt:i4>3276840</vt:i4>
      </vt:variant>
      <vt:variant>
        <vt:i4>159</vt:i4>
      </vt:variant>
      <vt:variant>
        <vt:i4>0</vt:i4>
      </vt:variant>
      <vt:variant>
        <vt:i4>5</vt:i4>
      </vt:variant>
      <vt:variant>
        <vt:lpwstr>https://www.homeaffairs.gov.au/criminal-justice/files/nap-combat-modern-slavery-2020-25.pdf</vt:lpwstr>
      </vt:variant>
      <vt:variant>
        <vt:lpwstr/>
      </vt:variant>
      <vt:variant>
        <vt:i4>1376306</vt:i4>
      </vt:variant>
      <vt:variant>
        <vt:i4>74</vt:i4>
      </vt:variant>
      <vt:variant>
        <vt:i4>0</vt:i4>
      </vt:variant>
      <vt:variant>
        <vt:i4>5</vt:i4>
      </vt:variant>
      <vt:variant>
        <vt:lpwstr/>
      </vt:variant>
      <vt:variant>
        <vt:lpwstr>_Toc201908133</vt:lpwstr>
      </vt:variant>
      <vt:variant>
        <vt:i4>1376306</vt:i4>
      </vt:variant>
      <vt:variant>
        <vt:i4>68</vt:i4>
      </vt:variant>
      <vt:variant>
        <vt:i4>0</vt:i4>
      </vt:variant>
      <vt:variant>
        <vt:i4>5</vt:i4>
      </vt:variant>
      <vt:variant>
        <vt:lpwstr/>
      </vt:variant>
      <vt:variant>
        <vt:lpwstr>_Toc201908132</vt:lpwstr>
      </vt:variant>
      <vt:variant>
        <vt:i4>1376306</vt:i4>
      </vt:variant>
      <vt:variant>
        <vt:i4>62</vt:i4>
      </vt:variant>
      <vt:variant>
        <vt:i4>0</vt:i4>
      </vt:variant>
      <vt:variant>
        <vt:i4>5</vt:i4>
      </vt:variant>
      <vt:variant>
        <vt:lpwstr/>
      </vt:variant>
      <vt:variant>
        <vt:lpwstr>_Toc201908131</vt:lpwstr>
      </vt:variant>
      <vt:variant>
        <vt:i4>1376306</vt:i4>
      </vt:variant>
      <vt:variant>
        <vt:i4>56</vt:i4>
      </vt:variant>
      <vt:variant>
        <vt:i4>0</vt:i4>
      </vt:variant>
      <vt:variant>
        <vt:i4>5</vt:i4>
      </vt:variant>
      <vt:variant>
        <vt:lpwstr/>
      </vt:variant>
      <vt:variant>
        <vt:lpwstr>_Toc201908130</vt:lpwstr>
      </vt:variant>
      <vt:variant>
        <vt:i4>1310770</vt:i4>
      </vt:variant>
      <vt:variant>
        <vt:i4>50</vt:i4>
      </vt:variant>
      <vt:variant>
        <vt:i4>0</vt:i4>
      </vt:variant>
      <vt:variant>
        <vt:i4>5</vt:i4>
      </vt:variant>
      <vt:variant>
        <vt:lpwstr/>
      </vt:variant>
      <vt:variant>
        <vt:lpwstr>_Toc201908125</vt:lpwstr>
      </vt:variant>
      <vt:variant>
        <vt:i4>1310770</vt:i4>
      </vt:variant>
      <vt:variant>
        <vt:i4>44</vt:i4>
      </vt:variant>
      <vt:variant>
        <vt:i4>0</vt:i4>
      </vt:variant>
      <vt:variant>
        <vt:i4>5</vt:i4>
      </vt:variant>
      <vt:variant>
        <vt:lpwstr/>
      </vt:variant>
      <vt:variant>
        <vt:lpwstr>_Toc201908120</vt:lpwstr>
      </vt:variant>
      <vt:variant>
        <vt:i4>1507378</vt:i4>
      </vt:variant>
      <vt:variant>
        <vt:i4>38</vt:i4>
      </vt:variant>
      <vt:variant>
        <vt:i4>0</vt:i4>
      </vt:variant>
      <vt:variant>
        <vt:i4>5</vt:i4>
      </vt:variant>
      <vt:variant>
        <vt:lpwstr/>
      </vt:variant>
      <vt:variant>
        <vt:lpwstr>_Toc201908112</vt:lpwstr>
      </vt:variant>
      <vt:variant>
        <vt:i4>1441842</vt:i4>
      </vt:variant>
      <vt:variant>
        <vt:i4>32</vt:i4>
      </vt:variant>
      <vt:variant>
        <vt:i4>0</vt:i4>
      </vt:variant>
      <vt:variant>
        <vt:i4>5</vt:i4>
      </vt:variant>
      <vt:variant>
        <vt:lpwstr/>
      </vt:variant>
      <vt:variant>
        <vt:lpwstr>_Toc201908108</vt:lpwstr>
      </vt:variant>
      <vt:variant>
        <vt:i4>1441842</vt:i4>
      </vt:variant>
      <vt:variant>
        <vt:i4>26</vt:i4>
      </vt:variant>
      <vt:variant>
        <vt:i4>0</vt:i4>
      </vt:variant>
      <vt:variant>
        <vt:i4>5</vt:i4>
      </vt:variant>
      <vt:variant>
        <vt:lpwstr/>
      </vt:variant>
      <vt:variant>
        <vt:lpwstr>_Toc201908107</vt:lpwstr>
      </vt:variant>
      <vt:variant>
        <vt:i4>1441842</vt:i4>
      </vt:variant>
      <vt:variant>
        <vt:i4>20</vt:i4>
      </vt:variant>
      <vt:variant>
        <vt:i4>0</vt:i4>
      </vt:variant>
      <vt:variant>
        <vt:i4>5</vt:i4>
      </vt:variant>
      <vt:variant>
        <vt:lpwstr/>
      </vt:variant>
      <vt:variant>
        <vt:lpwstr>_Toc201908104</vt:lpwstr>
      </vt:variant>
      <vt:variant>
        <vt:i4>1441842</vt:i4>
      </vt:variant>
      <vt:variant>
        <vt:i4>14</vt:i4>
      </vt:variant>
      <vt:variant>
        <vt:i4>0</vt:i4>
      </vt:variant>
      <vt:variant>
        <vt:i4>5</vt:i4>
      </vt:variant>
      <vt:variant>
        <vt:lpwstr/>
      </vt:variant>
      <vt:variant>
        <vt:lpwstr>_Toc201908102</vt:lpwstr>
      </vt:variant>
      <vt:variant>
        <vt:i4>1441842</vt:i4>
      </vt:variant>
      <vt:variant>
        <vt:i4>8</vt:i4>
      </vt:variant>
      <vt:variant>
        <vt:i4>0</vt:i4>
      </vt:variant>
      <vt:variant>
        <vt:i4>5</vt:i4>
      </vt:variant>
      <vt:variant>
        <vt:lpwstr/>
      </vt:variant>
      <vt:variant>
        <vt:lpwstr>_Toc201908101</vt:lpwstr>
      </vt:variant>
      <vt:variant>
        <vt:i4>1441842</vt:i4>
      </vt:variant>
      <vt:variant>
        <vt:i4>2</vt:i4>
      </vt:variant>
      <vt:variant>
        <vt:i4>0</vt:i4>
      </vt:variant>
      <vt:variant>
        <vt:i4>5</vt:i4>
      </vt:variant>
      <vt:variant>
        <vt:lpwstr/>
      </vt:variant>
      <vt:variant>
        <vt:lpwstr>_Toc201908100</vt:lpwstr>
      </vt:variant>
      <vt:variant>
        <vt:i4>3473510</vt:i4>
      </vt:variant>
      <vt:variant>
        <vt:i4>6</vt:i4>
      </vt:variant>
      <vt:variant>
        <vt:i4>0</vt:i4>
      </vt:variant>
      <vt:variant>
        <vt:i4>5</vt:i4>
      </vt:variant>
      <vt:variant>
        <vt:lpwstr>https://www.health.gov.au/topics/family-domestic-and-sexual-violence/training-health-professionals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Support for Trafficked People Program Report</dc:title>
  <dc:subject/>
  <dc:creator/>
  <cp:keywords>[SEC=OFFICIAL]</cp:keywords>
  <dc:description/>
  <cp:lastModifiedBy/>
  <cp:revision>1</cp:revision>
  <dcterms:created xsi:type="dcterms:W3CDTF">2026-05-11T05:06:00Z</dcterms:created>
  <dcterms:modified xsi:type="dcterms:W3CDTF">2026-05-12T05:48:00Z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v=2024.1;a=SHA256;h=28948ACEC701323AF003E22CCD6ED929744EA458EB0AE2585987EA651876A6D8</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2026-05-11T05:57:13Z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2026-05-11T05:57:13Z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ff0f7a1c47484c55a5c52feb8ca6cda5</vt:lpwstr>
  </property>
  <property fmtid="{D5CDD505-2E9C-101B-9397-08002B2CF9AE}" pid="24" name="PM_Originator_Hash_SHA1">
    <vt:lpwstr>F3EEFC68690FF55C9AAB5A2A00DF8223F7DCA409</vt:lpwstr>
  </property>
  <property fmtid="{D5CDD505-2E9C-101B-9397-08002B2CF9AE}" pid="25" name="PM_Originating_FileId">
    <vt:lpwstr>B4875B44165E4C5880E4F9E92EC93C3E</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73AC4EAD9CE44ABE0D3975CCC32C94FA28991B0DAEA075717C6B657D5C5BAB9F</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46F8FDB88560B4A028074BE1AC598D2C</vt:lpwstr>
  </property>
  <property fmtid="{D5CDD505-2E9C-101B-9397-08002B2CF9AE}" pid="33" name="PM_Hash_Salt">
    <vt:lpwstr>3527805AA42C2DA994A2BEC1E817416F</vt:lpwstr>
  </property>
  <property fmtid="{D5CDD505-2E9C-101B-9397-08002B2CF9AE}" pid="34" name="PM_Hash_SHA1">
    <vt:lpwstr>3608E635C46374CF2E1605A76439E4E247FE0AD7</vt:lpwstr>
  </property>
  <property fmtid="{D5CDD505-2E9C-101B-9397-08002B2CF9AE}" pid="35" name="PM_SecurityClassification_Prev">
    <vt:lpwstr>OFFICIAL</vt:lpwstr>
  </property>
  <property fmtid="{D5CDD505-2E9C-101B-9397-08002B2CF9AE}" pid="36" name="PM_Qualifier_Prev">
    <vt:lpwstr/>
  </property>
</Properties>
</file>