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17CD" w14:textId="77777777" w:rsidR="001D0F6D" w:rsidRDefault="000E29D7" w:rsidP="00DB145C">
      <w:pPr>
        <w:pStyle w:val="Crestwithrule"/>
      </w:pPr>
      <w:r>
        <w:rPr>
          <w:lang w:eastAsia="en-AU"/>
        </w:rPr>
        <w:drawing>
          <wp:inline distT="0" distB="0" distL="0" distR="0" wp14:anchorId="2E997A6E" wp14:editId="7E78C36C">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72F8134C" w14:textId="77777777" w:rsidR="00FA7485" w:rsidRDefault="00FA7485" w:rsidP="00DB145C">
      <w:pPr>
        <w:pStyle w:val="Crestwithrule"/>
      </w:pPr>
    </w:p>
    <w:p w14:paraId="32094651" w14:textId="77777777" w:rsidR="00FA7485" w:rsidRDefault="00FA7485" w:rsidP="00DB145C">
      <w:pPr>
        <w:pStyle w:val="Crestwithrule"/>
        <w:sectPr w:rsidR="00FA7485" w:rsidSect="00157A93">
          <w:headerReference w:type="default" r:id="rId12"/>
          <w:footerReference w:type="first" r:id="rId13"/>
          <w:pgSz w:w="11906" w:h="16838"/>
          <w:pgMar w:top="851" w:right="851" w:bottom="1134" w:left="851" w:header="0" w:footer="0" w:gutter="0"/>
          <w:pgNumType w:start="2"/>
          <w:cols w:space="708"/>
          <w:titlePg/>
          <w:docGrid w:linePitch="360"/>
        </w:sectPr>
      </w:pPr>
    </w:p>
    <w:p w14:paraId="2D2E1532" w14:textId="5BEFD749" w:rsidR="007E05B4" w:rsidRPr="007E05B4" w:rsidRDefault="007E05B4" w:rsidP="007E05B4">
      <w:pPr>
        <w:spacing w:after="0"/>
        <w:jc w:val="right"/>
        <w:rPr>
          <w:sz w:val="20"/>
          <w:szCs w:val="22"/>
        </w:rPr>
      </w:pPr>
      <w:r w:rsidRPr="007E05B4">
        <w:rPr>
          <w:sz w:val="20"/>
          <w:szCs w:val="22"/>
        </w:rPr>
        <w:t>DSS3619.05.26</w:t>
      </w:r>
    </w:p>
    <w:p w14:paraId="28DB6712" w14:textId="5F286EC3" w:rsidR="00ED1335" w:rsidRPr="00056709" w:rsidRDefault="00ED1335" w:rsidP="001F5ED6">
      <w:pPr>
        <w:pStyle w:val="Heading1withsubtitle"/>
      </w:pPr>
      <w:r w:rsidRPr="00056709">
        <w:t xml:space="preserve">Outcomes-Based Contracting </w:t>
      </w:r>
    </w:p>
    <w:p w14:paraId="040DE89F" w14:textId="77777777" w:rsidR="00C66FE4" w:rsidRPr="00056709" w:rsidRDefault="00ED1335" w:rsidP="00056709">
      <w:pPr>
        <w:pStyle w:val="Heading1"/>
        <w:sectPr w:rsidR="00C66FE4" w:rsidRPr="00056709" w:rsidSect="002E0DD3">
          <w:type w:val="continuous"/>
          <w:pgSz w:w="11906" w:h="16838"/>
          <w:pgMar w:top="851" w:right="851" w:bottom="851" w:left="851" w:header="0" w:footer="0" w:gutter="0"/>
          <w:pgNumType w:start="2"/>
          <w:cols w:space="708"/>
          <w:titlePg/>
          <w:docGrid w:linePitch="360"/>
        </w:sectPr>
      </w:pPr>
      <w:r w:rsidRPr="00056709">
        <w:t>Factsheet: Introduction to Outcomes-Based Contracting</w:t>
      </w:r>
    </w:p>
    <w:p w14:paraId="24A1CF64" w14:textId="77777777" w:rsidR="00605D02" w:rsidRPr="00D41698" w:rsidRDefault="00605D02" w:rsidP="00D41698">
      <w:pPr>
        <w:pStyle w:val="IntroductionQuote"/>
      </w:pPr>
      <w:r w:rsidRPr="00753F03">
        <w:t xml:space="preserve">Outcomes-based contracting is an approach to commissioning services where </w:t>
      </w:r>
      <w:bookmarkStart w:id="0" w:name="_Hlk221117959"/>
      <w:r w:rsidR="00746E03" w:rsidRPr="00753F03">
        <w:t>contracts</w:t>
      </w:r>
      <w:r w:rsidR="00F9682D" w:rsidRPr="0015124A">
        <w:t xml:space="preserve"> are </w:t>
      </w:r>
      <w:r w:rsidR="00DF2A97" w:rsidRPr="0015124A">
        <w:t>structured</w:t>
      </w:r>
      <w:r w:rsidR="00746E03" w:rsidRPr="00753F03">
        <w:t xml:space="preserve"> around</w:t>
      </w:r>
      <w:r w:rsidRPr="00753F03">
        <w:t xml:space="preserve"> specific, measurable outcomes.</w:t>
      </w:r>
      <w:r w:rsidRPr="00D41698">
        <w:t xml:space="preserve"> </w:t>
      </w:r>
      <w:bookmarkEnd w:id="0"/>
    </w:p>
    <w:p w14:paraId="6E9DE892" w14:textId="7E2FDD63" w:rsidR="00605D02" w:rsidRPr="00D41698" w:rsidRDefault="007D1091" w:rsidP="00605D02">
      <w:r>
        <w:t xml:space="preserve">It focuses on the real-world changes a program </w:t>
      </w:r>
      <w:r w:rsidR="40CFA155">
        <w:t>achieves</w:t>
      </w:r>
      <w:r>
        <w:t>.</w:t>
      </w:r>
      <w:r w:rsidR="00605D02">
        <w:t xml:space="preserve"> Examples include:</w:t>
      </w:r>
    </w:p>
    <w:p w14:paraId="3AF0208D" w14:textId="371862E7" w:rsidR="00605D02" w:rsidRPr="006E6CA9" w:rsidRDefault="00605D02" w:rsidP="0015124A">
      <w:pPr>
        <w:pStyle w:val="ListParagraph"/>
        <w:ind w:left="426"/>
      </w:pPr>
      <w:r w:rsidRPr="006E6CA9">
        <w:t>Families being reunited</w:t>
      </w:r>
    </w:p>
    <w:p w14:paraId="291D9046" w14:textId="77777777" w:rsidR="00605D02" w:rsidRPr="006E6CA9" w:rsidRDefault="00605D02" w:rsidP="0015124A">
      <w:pPr>
        <w:pStyle w:val="ListParagraph"/>
        <w:ind w:left="426"/>
      </w:pPr>
      <w:r w:rsidRPr="006E6CA9">
        <w:t>Getting and keeping a job</w:t>
      </w:r>
    </w:p>
    <w:p w14:paraId="6E34991B" w14:textId="77777777" w:rsidR="00605D02" w:rsidRPr="006E6CA9" w:rsidRDefault="00605D02" w:rsidP="0015124A">
      <w:pPr>
        <w:pStyle w:val="ListParagraph"/>
        <w:ind w:left="426"/>
      </w:pPr>
      <w:r w:rsidRPr="006E6CA9">
        <w:t>Securing stable housing</w:t>
      </w:r>
    </w:p>
    <w:p w14:paraId="72E28C2E" w14:textId="77777777" w:rsidR="00605D02" w:rsidRPr="006E6CA9" w:rsidRDefault="00605D02" w:rsidP="0015124A">
      <w:pPr>
        <w:pStyle w:val="ListParagraph"/>
        <w:ind w:left="426"/>
      </w:pPr>
      <w:r w:rsidRPr="006E6CA9">
        <w:t>Reducing re</w:t>
      </w:r>
      <w:r w:rsidR="00E73015">
        <w:t>-</w:t>
      </w:r>
      <w:r w:rsidRPr="006E6CA9">
        <w:t>offending</w:t>
      </w:r>
      <w:r w:rsidR="007D1091">
        <w:t>.</w:t>
      </w:r>
      <w:r w:rsidRPr="006E6CA9">
        <w:t xml:space="preserve">  </w:t>
      </w:r>
    </w:p>
    <w:p w14:paraId="7828A5C9" w14:textId="77777777" w:rsidR="00605D02" w:rsidRPr="00D41698" w:rsidRDefault="00F9682D" w:rsidP="00D41698">
      <w:r>
        <w:t>There are different kinds of o</w:t>
      </w:r>
      <w:r w:rsidR="00605D02" w:rsidRPr="00D41698">
        <w:t>utcomes-based contracts</w:t>
      </w:r>
      <w:r>
        <w:t>. They</w:t>
      </w:r>
      <w:r w:rsidR="00605D02" w:rsidRPr="00D41698">
        <w:t xml:space="preserve"> are </w:t>
      </w:r>
      <w:r w:rsidR="00E73015">
        <w:t>sometimes</w:t>
      </w:r>
      <w:r w:rsidR="00E73015" w:rsidRPr="00D41698">
        <w:t xml:space="preserve"> </w:t>
      </w:r>
      <w:r w:rsidR="00605D02" w:rsidRPr="00D41698">
        <w:t xml:space="preserve">referred to as payment by outcomes or by results. A social impact bond is </w:t>
      </w:r>
      <w:r>
        <w:t>one</w:t>
      </w:r>
      <w:r w:rsidRPr="00D41698">
        <w:t xml:space="preserve"> </w:t>
      </w:r>
      <w:r w:rsidR="00605D02" w:rsidRPr="00D41698">
        <w:t>type of outcomes-based contract where private investors provide upfront funding to deliver a service.</w:t>
      </w:r>
    </w:p>
    <w:p w14:paraId="4A6D1192" w14:textId="77777777" w:rsidR="00D41698" w:rsidRPr="0044273F" w:rsidRDefault="00D41698" w:rsidP="00D41698">
      <w:pPr>
        <w:pStyle w:val="Heading2"/>
      </w:pPr>
      <w:r w:rsidRPr="2D4D3E76">
        <w:t xml:space="preserve">Why use </w:t>
      </w:r>
      <w:r w:rsidR="006E6CA9">
        <w:t>it</w:t>
      </w:r>
    </w:p>
    <w:p w14:paraId="5547EA20" w14:textId="77777777" w:rsidR="00BB3295" w:rsidRDefault="00D41698" w:rsidP="00D41698">
      <w:pPr>
        <w:spacing w:after="120"/>
        <w:rPr>
          <w:szCs w:val="22"/>
        </w:rPr>
      </w:pPr>
      <w:r>
        <w:rPr>
          <w:szCs w:val="22"/>
        </w:rPr>
        <w:t>This approach can help achieve a range of policy objectives. It is often used where traditional funding approaches</w:t>
      </w:r>
      <w:r w:rsidR="007C366C">
        <w:rPr>
          <w:szCs w:val="22"/>
        </w:rPr>
        <w:t xml:space="preserve"> </w:t>
      </w:r>
      <w:r>
        <w:rPr>
          <w:szCs w:val="22"/>
        </w:rPr>
        <w:t xml:space="preserve">haven’t delivered impact or have failed to address </w:t>
      </w:r>
      <w:r>
        <w:t>entrenched</w:t>
      </w:r>
      <w:r>
        <w:rPr>
          <w:szCs w:val="22"/>
        </w:rPr>
        <w:t xml:space="preserve"> disadvantage.</w:t>
      </w:r>
      <w:r w:rsidRPr="006C2AA3">
        <w:rPr>
          <w:szCs w:val="22"/>
        </w:rPr>
        <w:t xml:space="preserve"> </w:t>
      </w:r>
    </w:p>
    <w:p w14:paraId="42EDB088" w14:textId="77777777" w:rsidR="007C366C" w:rsidRDefault="007C366C" w:rsidP="00D41698">
      <w:pPr>
        <w:spacing w:after="120"/>
        <w:rPr>
          <w:szCs w:val="22"/>
        </w:rPr>
      </w:pPr>
    </w:p>
    <w:p w14:paraId="233047FA" w14:textId="6AFBD364" w:rsidR="003F0661" w:rsidRPr="00B346B8" w:rsidRDefault="00C80AD5" w:rsidP="003420D0">
      <w:pPr>
        <w:spacing w:after="120"/>
        <w:rPr>
          <w:szCs w:val="22"/>
        </w:rPr>
      </w:pPr>
      <w:r w:rsidRPr="00C80AD5">
        <w:rPr>
          <w:szCs w:val="22"/>
        </w:rPr>
        <w:t>Outcomes-based contracting is:</w:t>
      </w:r>
    </w:p>
    <w:p w14:paraId="449B81F1" w14:textId="773BC984" w:rsidR="00076901" w:rsidRDefault="003420D0" w:rsidP="003420D0">
      <w:pPr>
        <w:spacing w:before="360" w:after="600"/>
      </w:pPr>
      <w:r w:rsidRPr="00B13414">
        <w:rPr>
          <w:noProof/>
          <w:sz w:val="24"/>
        </w:rPr>
        <w:drawing>
          <wp:anchor distT="0" distB="0" distL="114300" distR="114300" simplePos="0" relativeHeight="251658240" behindDoc="0" locked="0" layoutInCell="1" allowOverlap="1" wp14:anchorId="7C8EFC8E" wp14:editId="2C8A6132">
            <wp:simplePos x="0" y="0"/>
            <wp:positionH relativeFrom="column">
              <wp:align>left</wp:align>
            </wp:positionH>
            <wp:positionV relativeFrom="paragraph">
              <wp:posOffset>171603</wp:posOffset>
            </wp:positionV>
            <wp:extent cx="648000" cy="648000"/>
            <wp:effectExtent l="0" t="0" r="0" b="0"/>
            <wp:wrapSquare wrapText="bothSides"/>
            <wp:docPr id="863992018" name="Picture 14" descr="Icon of four puzzle pieces, three connected and one floating above, representing concepts of problem-solving or collaboration. The design uses teal and white colors with a circular background element.&#10;&#10;">
              <a:extLst xmlns:a="http://schemas.openxmlformats.org/drawingml/2006/main">
                <a:ext uri="{FF2B5EF4-FFF2-40B4-BE49-F238E27FC236}">
                  <a16:creationId xmlns:a16="http://schemas.microsoft.com/office/drawing/2014/main" id="{6C2031FC-8E00-39BC-ECFE-97F1C88FEB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Icon of four puzzle pieces, three connected and one floating above, representing concepts of problem-solving or collaboration. The design uses teal and white colors with a circular background element.&#10;&#10;">
                      <a:extLst>
                        <a:ext uri="{FF2B5EF4-FFF2-40B4-BE49-F238E27FC236}">
                          <a16:creationId xmlns:a16="http://schemas.microsoft.com/office/drawing/2014/main" id="{6C2031FC-8E00-39BC-ECFE-97F1C88FEBDB}"/>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a:xfrm>
                      <a:off x="0" y="0"/>
                      <a:ext cx="648000" cy="648000"/>
                    </a:xfrm>
                    <a:prstGeom prst="rect">
                      <a:avLst/>
                    </a:prstGeom>
                  </pic:spPr>
                </pic:pic>
              </a:graphicData>
            </a:graphic>
            <wp14:sizeRelH relativeFrom="page">
              <wp14:pctWidth>0</wp14:pctWidth>
            </wp14:sizeRelH>
            <wp14:sizeRelV relativeFrom="page">
              <wp14:pctHeight>0</wp14:pctHeight>
            </wp14:sizeRelV>
          </wp:anchor>
        </w:drawing>
      </w:r>
      <w:r w:rsidR="00225112">
        <w:rPr>
          <w:b/>
          <w:bCs/>
        </w:rPr>
        <w:t>I</w:t>
      </w:r>
      <w:r w:rsidR="003F0661" w:rsidRPr="005F5A64">
        <w:rPr>
          <w:b/>
          <w:bCs/>
        </w:rPr>
        <w:t>terative and flexible</w:t>
      </w:r>
      <w:r w:rsidR="003F0661">
        <w:t xml:space="preserve">, allows service providers to </w:t>
      </w:r>
      <w:r w:rsidR="003F0661" w:rsidRPr="005F5A64">
        <w:rPr>
          <w:b/>
          <w:bCs/>
        </w:rPr>
        <w:t>innovate</w:t>
      </w:r>
      <w:r w:rsidR="003F0661">
        <w:t xml:space="preserve"> and identify what works</w:t>
      </w:r>
      <w:r w:rsidR="00225112">
        <w:t>.</w:t>
      </w:r>
    </w:p>
    <w:p w14:paraId="18131563" w14:textId="4BAEC643" w:rsidR="00B346B8" w:rsidRPr="00B346B8" w:rsidRDefault="00B346B8" w:rsidP="003420D0">
      <w:pPr>
        <w:spacing w:before="360" w:after="600"/>
      </w:pPr>
      <w:r w:rsidRPr="00186709">
        <w:rPr>
          <w:noProof/>
          <w:sz w:val="24"/>
        </w:rPr>
        <w:drawing>
          <wp:anchor distT="0" distB="0" distL="114300" distR="114300" simplePos="0" relativeHeight="251659264" behindDoc="0" locked="0" layoutInCell="1" allowOverlap="1" wp14:anchorId="6DF458A4" wp14:editId="400992D3">
            <wp:simplePos x="0" y="0"/>
            <wp:positionH relativeFrom="column">
              <wp:align>left</wp:align>
            </wp:positionH>
            <wp:positionV relativeFrom="paragraph">
              <wp:posOffset>4373</wp:posOffset>
            </wp:positionV>
            <wp:extent cx="648000" cy="648000"/>
            <wp:effectExtent l="0" t="0" r="0" b="0"/>
            <wp:wrapSquare wrapText="bothSides"/>
            <wp:docPr id="726783353" name="Picture 4" descr="Icon of a person pointing at a strategy board with X and O symbols and arrows, representing planning or coaching. The graphic uses blue and gray colors with simple, clean lines and minimalistic design.&#10;&#10;">
              <a:extLst xmlns:a="http://schemas.openxmlformats.org/drawingml/2006/main">
                <a:ext uri="{FF2B5EF4-FFF2-40B4-BE49-F238E27FC236}">
                  <a16:creationId xmlns:a16="http://schemas.microsoft.com/office/drawing/2014/main" id="{1E47FF8E-06A1-F7E5-4612-ECA6941C55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39047" name="Picture 4" descr="Icon of a person pointing at a strategy board with X and O symbols and arrows, representing planning or coaching. The graphic uses blue and gray colors with simple, clean lines and minimalistic design.&#10;&#10;">
                      <a:extLst>
                        <a:ext uri="{FF2B5EF4-FFF2-40B4-BE49-F238E27FC236}">
                          <a16:creationId xmlns:a16="http://schemas.microsoft.com/office/drawing/2014/main" id="{1E47FF8E-06A1-F7E5-4612-ECA6941C55A5}"/>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0" y="0"/>
                      <a:ext cx="648000" cy="648000"/>
                    </a:xfrm>
                    <a:prstGeom prst="rect">
                      <a:avLst/>
                    </a:prstGeom>
                  </pic:spPr>
                </pic:pic>
              </a:graphicData>
            </a:graphic>
            <wp14:sizeRelH relativeFrom="page">
              <wp14:pctWidth>0</wp14:pctWidth>
            </wp14:sizeRelH>
            <wp14:sizeRelV relativeFrom="page">
              <wp14:pctHeight>0</wp14:pctHeight>
            </wp14:sizeRelV>
          </wp:anchor>
        </w:drawing>
      </w:r>
      <w:r w:rsidR="00225112">
        <w:t>A</w:t>
      </w:r>
      <w:r w:rsidR="003F0661">
        <w:t xml:space="preserve">ble to focus on long term impact and reduce demand for acute services, by supporting measurable </w:t>
      </w:r>
      <w:r w:rsidR="003F0661" w:rsidRPr="005F5A64">
        <w:rPr>
          <w:b/>
          <w:bCs/>
        </w:rPr>
        <w:t>early intervention and prevention approaches</w:t>
      </w:r>
      <w:r w:rsidR="00225112">
        <w:rPr>
          <w:b/>
          <w:bCs/>
        </w:rPr>
        <w:t>.</w:t>
      </w:r>
    </w:p>
    <w:p w14:paraId="576A9037" w14:textId="17B0149F" w:rsidR="003F0661" w:rsidRPr="00B346B8" w:rsidRDefault="003420D0" w:rsidP="003420D0">
      <w:pPr>
        <w:spacing w:before="360" w:after="600"/>
        <w:rPr>
          <w:b/>
          <w:bCs/>
        </w:rPr>
      </w:pPr>
      <w:r w:rsidRPr="00B13414">
        <w:rPr>
          <w:noProof/>
          <w:sz w:val="24"/>
        </w:rPr>
        <w:drawing>
          <wp:anchor distT="0" distB="0" distL="114300" distR="114300" simplePos="0" relativeHeight="251660288" behindDoc="0" locked="0" layoutInCell="1" allowOverlap="1" wp14:anchorId="6BEA7B31" wp14:editId="2E96E925">
            <wp:simplePos x="0" y="0"/>
            <wp:positionH relativeFrom="column">
              <wp:align>left</wp:align>
            </wp:positionH>
            <wp:positionV relativeFrom="paragraph">
              <wp:posOffset>3810</wp:posOffset>
            </wp:positionV>
            <wp:extent cx="648000" cy="648000"/>
            <wp:effectExtent l="0" t="0" r="0" b="0"/>
            <wp:wrapSquare wrapText="bothSides"/>
            <wp:docPr id="634024928" name="Picture 19" descr="Icon of a web browser window displaying a bar chart with vertical bars of varying heights. A magnifying glass overlays the chart, emphasizing data analysis or detailed examination.&#10;&#10;">
              <a:extLst xmlns:a="http://schemas.openxmlformats.org/drawingml/2006/main">
                <a:ext uri="{FF2B5EF4-FFF2-40B4-BE49-F238E27FC236}">
                  <a16:creationId xmlns:a16="http://schemas.microsoft.com/office/drawing/2014/main" id="{033C18C1-42D1-8957-2AE5-99FD3E121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Icon of a web browser window displaying a bar chart with vertical bars of varying heights. A magnifying glass overlays the chart, emphasizing data analysis or detailed examination.&#10;&#10;">
                      <a:extLst>
                        <a:ext uri="{FF2B5EF4-FFF2-40B4-BE49-F238E27FC236}">
                          <a16:creationId xmlns:a16="http://schemas.microsoft.com/office/drawing/2014/main" id="{033C18C1-42D1-8957-2AE5-99FD3E121C24}"/>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0" y="0"/>
                      <a:ext cx="648000" cy="648000"/>
                    </a:xfrm>
                    <a:prstGeom prst="rect">
                      <a:avLst/>
                    </a:prstGeom>
                  </pic:spPr>
                </pic:pic>
              </a:graphicData>
            </a:graphic>
            <wp14:sizeRelH relativeFrom="page">
              <wp14:pctWidth>0</wp14:pctWidth>
            </wp14:sizeRelH>
            <wp14:sizeRelV relativeFrom="page">
              <wp14:pctHeight>0</wp14:pctHeight>
            </wp14:sizeRelV>
          </wp:anchor>
        </w:drawing>
      </w:r>
      <w:r w:rsidR="00225112">
        <w:rPr>
          <w:b/>
          <w:bCs/>
        </w:rPr>
        <w:t>D</w:t>
      </w:r>
      <w:r w:rsidR="003F0661" w:rsidRPr="005F5A64">
        <w:rPr>
          <w:b/>
          <w:bCs/>
        </w:rPr>
        <w:t xml:space="preserve">ata driven, evidence-based, </w:t>
      </w:r>
      <w:r w:rsidR="003F0661">
        <w:t xml:space="preserve">and </w:t>
      </w:r>
      <w:r w:rsidR="003F0661" w:rsidRPr="005F5A64">
        <w:rPr>
          <w:b/>
          <w:bCs/>
        </w:rPr>
        <w:t xml:space="preserve">able </w:t>
      </w:r>
      <w:r w:rsidR="003F0661">
        <w:t>to learn about entrenched disadvantage</w:t>
      </w:r>
      <w:r w:rsidR="00225112">
        <w:t>.</w:t>
      </w:r>
    </w:p>
    <w:p w14:paraId="6E77AC4F" w14:textId="21FAD8A0" w:rsidR="00B346B8" w:rsidRDefault="00B346B8" w:rsidP="003420D0">
      <w:pPr>
        <w:spacing w:before="360" w:after="600"/>
      </w:pPr>
      <w:r w:rsidRPr="000D10E7">
        <w:rPr>
          <w:noProof/>
          <w:sz w:val="24"/>
        </w:rPr>
        <w:drawing>
          <wp:anchor distT="0" distB="0" distL="114300" distR="114300" simplePos="0" relativeHeight="251661312" behindDoc="0" locked="0" layoutInCell="1" allowOverlap="1" wp14:anchorId="13CF1EA9" wp14:editId="49491196">
            <wp:simplePos x="0" y="0"/>
            <wp:positionH relativeFrom="column">
              <wp:align>left</wp:align>
            </wp:positionH>
            <wp:positionV relativeFrom="paragraph">
              <wp:posOffset>4960</wp:posOffset>
            </wp:positionV>
            <wp:extent cx="648000" cy="648000"/>
            <wp:effectExtent l="0" t="0" r="0" b="0"/>
            <wp:wrapSquare wrapText="bothSides"/>
            <wp:docPr id="1844399073" name="Picture 25" descr="Icon of a bar chart with three ascending bars and a blue upward-trending arrow above them, symbolizing growth or progress. Background includes a light gray circle with small plus signs, emphasizing positive increase or success.&#10;&#10;">
              <a:extLst xmlns:a="http://schemas.openxmlformats.org/drawingml/2006/main">
                <a:ext uri="{FF2B5EF4-FFF2-40B4-BE49-F238E27FC236}">
                  <a16:creationId xmlns:a16="http://schemas.microsoft.com/office/drawing/2014/main" id="{9860CA1B-44B1-E097-C1FC-1206A6F939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00643" name="Picture 25" descr="Icon of a bar chart with three ascending bars and a blue upward-trending arrow above them, symbolizing growth or progress. Background includes a light gray circle with small plus signs, emphasizing positive increase or success.&#10;&#10;">
                      <a:extLst>
                        <a:ext uri="{FF2B5EF4-FFF2-40B4-BE49-F238E27FC236}">
                          <a16:creationId xmlns:a16="http://schemas.microsoft.com/office/drawing/2014/main" id="{9860CA1B-44B1-E097-C1FC-1206A6F939BD}"/>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0" y="0"/>
                      <a:ext cx="648000" cy="648000"/>
                    </a:xfrm>
                    <a:prstGeom prst="rect">
                      <a:avLst/>
                    </a:prstGeom>
                  </pic:spPr>
                </pic:pic>
              </a:graphicData>
            </a:graphic>
            <wp14:sizeRelH relativeFrom="page">
              <wp14:pctWidth>0</wp14:pctWidth>
            </wp14:sizeRelH>
            <wp14:sizeRelV relativeFrom="page">
              <wp14:pctHeight>0</wp14:pctHeight>
            </wp14:sizeRelV>
          </wp:anchor>
        </w:drawing>
      </w:r>
      <w:r w:rsidR="006F0354">
        <w:t>A</w:t>
      </w:r>
      <w:r w:rsidR="003F0661">
        <w:t xml:space="preserve"> means to </w:t>
      </w:r>
      <w:r w:rsidR="003F0661" w:rsidRPr="005F5A64">
        <w:rPr>
          <w:b/>
          <w:bCs/>
        </w:rPr>
        <w:t>test new ways of working</w:t>
      </w:r>
      <w:r w:rsidR="003F0661">
        <w:t xml:space="preserve"> to deliver better, adaptive, services</w:t>
      </w:r>
      <w:r w:rsidR="006F0354">
        <w:t>.</w:t>
      </w:r>
    </w:p>
    <w:p w14:paraId="40455D44" w14:textId="3C441D1E" w:rsidR="003F0661" w:rsidRPr="00B346B8" w:rsidRDefault="00983F8D" w:rsidP="003420D0">
      <w:pPr>
        <w:spacing w:before="360" w:after="600"/>
        <w:rPr>
          <w:b/>
          <w:bCs/>
        </w:rPr>
      </w:pPr>
      <w:r w:rsidRPr="00B13414">
        <w:rPr>
          <w:noProof/>
          <w:sz w:val="24"/>
        </w:rPr>
        <w:drawing>
          <wp:anchor distT="0" distB="0" distL="114300" distR="114300" simplePos="0" relativeHeight="251662336" behindDoc="0" locked="0" layoutInCell="1" allowOverlap="1" wp14:anchorId="790DF17F" wp14:editId="206036DF">
            <wp:simplePos x="0" y="0"/>
            <wp:positionH relativeFrom="column">
              <wp:align>left</wp:align>
            </wp:positionH>
            <wp:positionV relativeFrom="paragraph">
              <wp:posOffset>18786</wp:posOffset>
            </wp:positionV>
            <wp:extent cx="648000" cy="648000"/>
            <wp:effectExtent l="0" t="0" r="0" b="0"/>
            <wp:wrapSquare wrapText="bothSides"/>
            <wp:docPr id="1918678661" name="Picture 12" descr="Icon of a pair of scissors cutting a dollar bill, symbolizing financial risk sharing with others. The design uses teal and dark blue colors with dashed lines indicating the cut area.">
              <a:extLst xmlns:a="http://schemas.openxmlformats.org/drawingml/2006/main">
                <a:ext uri="{FF2B5EF4-FFF2-40B4-BE49-F238E27FC236}">
                  <a16:creationId xmlns:a16="http://schemas.microsoft.com/office/drawing/2014/main" id="{87307A03-86C0-5CB8-9031-A72503BF8A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Icon of a pair of scissors cutting a dollar bill, symbolizing financial risk sharing with others. The design uses teal and dark blue colors with dashed lines indicating the cut area.">
                      <a:extLst>
                        <a:ext uri="{FF2B5EF4-FFF2-40B4-BE49-F238E27FC236}">
                          <a16:creationId xmlns:a16="http://schemas.microsoft.com/office/drawing/2014/main" id="{87307A03-86C0-5CB8-9031-A72503BF8A6A}"/>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0" y="0"/>
                      <a:ext cx="648000" cy="648000"/>
                    </a:xfrm>
                    <a:prstGeom prst="rect">
                      <a:avLst/>
                    </a:prstGeom>
                  </pic:spPr>
                </pic:pic>
              </a:graphicData>
            </a:graphic>
            <wp14:sizeRelH relativeFrom="page">
              <wp14:pctWidth>0</wp14:pctWidth>
            </wp14:sizeRelH>
            <wp14:sizeRelV relativeFrom="page">
              <wp14:pctHeight>0</wp14:pctHeight>
            </wp14:sizeRelV>
          </wp:anchor>
        </w:drawing>
      </w:r>
      <w:r w:rsidR="006F0354">
        <w:t>A</w:t>
      </w:r>
      <w:r w:rsidR="003F0661">
        <w:t xml:space="preserve">n opportunity to </w:t>
      </w:r>
      <w:r w:rsidR="003F0661" w:rsidRPr="005F5A64">
        <w:rPr>
          <w:b/>
          <w:bCs/>
        </w:rPr>
        <w:t xml:space="preserve">unlock capital </w:t>
      </w:r>
      <w:r w:rsidR="003F0661">
        <w:t xml:space="preserve">and </w:t>
      </w:r>
      <w:r w:rsidR="003F0661" w:rsidRPr="005F5A64">
        <w:rPr>
          <w:b/>
          <w:bCs/>
        </w:rPr>
        <w:t>partner with other commissioners and philanthropy</w:t>
      </w:r>
      <w:r w:rsidR="006F0354">
        <w:rPr>
          <w:b/>
          <w:bCs/>
        </w:rPr>
        <w:t>.</w:t>
      </w:r>
    </w:p>
    <w:p w14:paraId="6AD98729" w14:textId="1BE939AD" w:rsidR="003F0661" w:rsidRDefault="002707B6" w:rsidP="003420D0">
      <w:pPr>
        <w:spacing w:before="360" w:after="600"/>
      </w:pPr>
      <w:r w:rsidRPr="00CB4F0C">
        <w:rPr>
          <w:noProof/>
          <w:sz w:val="24"/>
        </w:rPr>
        <w:drawing>
          <wp:anchor distT="0" distB="0" distL="114300" distR="114300" simplePos="0" relativeHeight="251663360" behindDoc="0" locked="0" layoutInCell="1" allowOverlap="1" wp14:anchorId="59930165" wp14:editId="311A427F">
            <wp:simplePos x="0" y="0"/>
            <wp:positionH relativeFrom="column">
              <wp:align>left</wp:align>
            </wp:positionH>
            <wp:positionV relativeFrom="paragraph">
              <wp:posOffset>8255</wp:posOffset>
            </wp:positionV>
            <wp:extent cx="647700" cy="647700"/>
            <wp:effectExtent l="0" t="0" r="0" b="0"/>
            <wp:wrapSquare wrapText="bothSides"/>
            <wp:docPr id="1102033937" name="Picture 17" descr="Icon showing three people in teal below a glowing light bulb with rays, symbolizing group brainstorming or idea generation. Simple design uses minimal colors and shapes to represent collaboration and creativity.&#10;&#10;">
              <a:extLst xmlns:a="http://schemas.openxmlformats.org/drawingml/2006/main">
                <a:ext uri="{FF2B5EF4-FFF2-40B4-BE49-F238E27FC236}">
                  <a16:creationId xmlns:a16="http://schemas.microsoft.com/office/drawing/2014/main" id="{5FC09715-6C9C-5B5E-2FD4-2AB5031973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 showing three people in teal below a glowing light bulb with rays, symbolizing group brainstorming or idea generation. Simple design uses minimal colors and shapes to represent collaboration and creativity.&#10;&#10;">
                      <a:extLst>
                        <a:ext uri="{FF2B5EF4-FFF2-40B4-BE49-F238E27FC236}">
                          <a16:creationId xmlns:a16="http://schemas.microsoft.com/office/drawing/2014/main" id="{5FC09715-6C9C-5B5E-2FD4-2AB503197359}"/>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006F0354">
        <w:t>A</w:t>
      </w:r>
      <w:r w:rsidR="003F0661">
        <w:t xml:space="preserve">ble to </w:t>
      </w:r>
      <w:r w:rsidR="003F0661" w:rsidRPr="005F5A64">
        <w:rPr>
          <w:b/>
          <w:bCs/>
        </w:rPr>
        <w:t>align the efforts of diverse stakeholders</w:t>
      </w:r>
      <w:r w:rsidR="003F0661">
        <w:t xml:space="preserve"> around common outcomes</w:t>
      </w:r>
      <w:r w:rsidR="006F0354">
        <w:t>.</w:t>
      </w:r>
    </w:p>
    <w:p w14:paraId="36231FFD" w14:textId="56DA22E1" w:rsidR="003F0661" w:rsidRDefault="00B346B8" w:rsidP="003420D0">
      <w:pPr>
        <w:spacing w:before="360" w:after="600"/>
      </w:pPr>
      <w:r w:rsidRPr="00FD4942">
        <w:rPr>
          <w:noProof/>
          <w:sz w:val="24"/>
        </w:rPr>
        <w:drawing>
          <wp:anchor distT="0" distB="0" distL="114300" distR="114300" simplePos="0" relativeHeight="251664384" behindDoc="0" locked="0" layoutInCell="1" allowOverlap="1" wp14:anchorId="35D1341B" wp14:editId="51BF4080">
            <wp:simplePos x="0" y="0"/>
            <wp:positionH relativeFrom="column">
              <wp:align>left</wp:align>
            </wp:positionH>
            <wp:positionV relativeFrom="paragraph">
              <wp:posOffset>1785</wp:posOffset>
            </wp:positionV>
            <wp:extent cx="648000" cy="648000"/>
            <wp:effectExtent l="0" t="0" r="0" b="0"/>
            <wp:wrapSquare wrapText="bothSides"/>
            <wp:docPr id="306235122" name="Picture 31" descr="Icon of a circular chart divided into four segments with a dollar sign in the center, representing financial risk sharing.">
              <a:extLst xmlns:a="http://schemas.openxmlformats.org/drawingml/2006/main">
                <a:ext uri="{FF2B5EF4-FFF2-40B4-BE49-F238E27FC236}">
                  <a16:creationId xmlns:a16="http://schemas.microsoft.com/office/drawing/2014/main" id="{C11D82F6-F6E7-22D2-D0DE-FC2422246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Icon of a circular chart divided into four segments with a dollar sign in the center, representing financial risk sharing.">
                      <a:extLst>
                        <a:ext uri="{FF2B5EF4-FFF2-40B4-BE49-F238E27FC236}">
                          <a16:creationId xmlns:a16="http://schemas.microsoft.com/office/drawing/2014/main" id="{C11D82F6-F6E7-22D2-D0DE-FC2422246892}"/>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pic:blipFill>
                  <pic:spPr>
                    <a:xfrm>
                      <a:off x="0" y="0"/>
                      <a:ext cx="648000" cy="648000"/>
                    </a:xfrm>
                    <a:prstGeom prst="rect">
                      <a:avLst/>
                    </a:prstGeom>
                  </pic:spPr>
                </pic:pic>
              </a:graphicData>
            </a:graphic>
            <wp14:sizeRelH relativeFrom="page">
              <wp14:pctWidth>0</wp14:pctWidth>
            </wp14:sizeRelH>
            <wp14:sizeRelV relativeFrom="page">
              <wp14:pctHeight>0</wp14:pctHeight>
            </wp14:sizeRelV>
          </wp:anchor>
        </w:drawing>
      </w:r>
      <w:r w:rsidR="006F0354">
        <w:t>A</w:t>
      </w:r>
      <w:r w:rsidR="003F0661">
        <w:t xml:space="preserve">n opportunity to </w:t>
      </w:r>
      <w:r w:rsidR="003F0661" w:rsidRPr="005F5A64">
        <w:rPr>
          <w:b/>
          <w:bCs/>
        </w:rPr>
        <w:t>share risk</w:t>
      </w:r>
      <w:r w:rsidR="003F0661">
        <w:t xml:space="preserve"> and </w:t>
      </w:r>
      <w:r w:rsidR="003F0661" w:rsidRPr="005F5A64">
        <w:rPr>
          <w:b/>
          <w:bCs/>
        </w:rPr>
        <w:t xml:space="preserve">provide more accountability </w:t>
      </w:r>
      <w:r w:rsidR="003F0661">
        <w:t>of public funds</w:t>
      </w:r>
      <w:r w:rsidR="001843EB">
        <w:t>.</w:t>
      </w:r>
    </w:p>
    <w:p w14:paraId="3EA41E74" w14:textId="09ED0E35" w:rsidR="00C66FE4" w:rsidRDefault="00C66FE4" w:rsidP="006F0354">
      <w:pPr>
        <w:spacing w:after="120"/>
        <w:sectPr w:rsidR="00C66FE4" w:rsidSect="00F75927">
          <w:type w:val="continuous"/>
          <w:pgSz w:w="11906" w:h="16838"/>
          <w:pgMar w:top="851" w:right="851" w:bottom="851" w:left="851" w:header="0" w:footer="0" w:gutter="0"/>
          <w:pgNumType w:start="2"/>
          <w:cols w:num="2" w:space="710" w:equalWidth="0">
            <w:col w:w="3686" w:space="710"/>
            <w:col w:w="5808"/>
          </w:cols>
          <w:titlePg/>
          <w:docGrid w:linePitch="360"/>
        </w:sectPr>
      </w:pPr>
    </w:p>
    <w:p w14:paraId="39312C9F" w14:textId="77777777" w:rsidR="00D41698" w:rsidRPr="00613DBD" w:rsidRDefault="00D41698" w:rsidP="007519B0">
      <w:pPr>
        <w:pStyle w:val="Heading2"/>
      </w:pPr>
      <w:r w:rsidRPr="2D4D3E76">
        <w:lastRenderedPageBreak/>
        <w:t xml:space="preserve">What’s different about </w:t>
      </w:r>
      <w:r>
        <w:t>outcomes-based contracting</w:t>
      </w:r>
    </w:p>
    <w:p w14:paraId="2E89997E" w14:textId="77777777" w:rsidR="00D41698" w:rsidRDefault="00D41698" w:rsidP="00D41698">
      <w:pPr>
        <w:rPr>
          <w:szCs w:val="22"/>
        </w:rPr>
      </w:pPr>
      <w:r>
        <w:rPr>
          <w:szCs w:val="22"/>
        </w:rPr>
        <w:t>Outcomes-based contracting differs significantly to traditional funding approaches.</w:t>
      </w:r>
    </w:p>
    <w:tbl>
      <w:tblPr>
        <w:tblStyle w:val="TableGridLight2"/>
        <w:tblW w:w="1034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ook w:val="04A0" w:firstRow="1" w:lastRow="0" w:firstColumn="1" w:lastColumn="0" w:noHBand="0" w:noVBand="1"/>
      </w:tblPr>
      <w:tblGrid>
        <w:gridCol w:w="3256"/>
        <w:gridCol w:w="3543"/>
        <w:gridCol w:w="3544"/>
      </w:tblGrid>
      <w:tr w:rsidR="00076284" w:rsidRPr="00076284" w14:paraId="61259AE8" w14:textId="77777777" w:rsidTr="00F8010C">
        <w:trPr>
          <w:trHeight w:val="376"/>
          <w:tblHeader/>
        </w:trPr>
        <w:tc>
          <w:tcPr>
            <w:tcW w:w="3256" w:type="dxa"/>
            <w:shd w:val="clear" w:color="auto" w:fill="156082"/>
            <w:vAlign w:val="center"/>
          </w:tcPr>
          <w:p w14:paraId="6FD2466B" w14:textId="77777777" w:rsidR="00076284" w:rsidRPr="00BA621C" w:rsidRDefault="00076284" w:rsidP="00A87353">
            <w:pPr>
              <w:spacing w:before="60" w:after="60"/>
              <w:jc w:val="center"/>
              <w:rPr>
                <w:b/>
                <w:bCs/>
                <w:color w:val="FFFFFF" w:themeColor="background1"/>
                <w:sz w:val="20"/>
                <w:szCs w:val="20"/>
              </w:rPr>
            </w:pPr>
            <w:r w:rsidRPr="00BA621C">
              <w:rPr>
                <w:b/>
                <w:bCs/>
                <w:color w:val="FFFFFF" w:themeColor="background1"/>
                <w:sz w:val="20"/>
                <w:szCs w:val="20"/>
              </w:rPr>
              <w:t>Component</w:t>
            </w:r>
          </w:p>
        </w:tc>
        <w:tc>
          <w:tcPr>
            <w:tcW w:w="3543" w:type="dxa"/>
            <w:shd w:val="clear" w:color="auto" w:fill="156082"/>
            <w:vAlign w:val="center"/>
          </w:tcPr>
          <w:p w14:paraId="70E47A4B" w14:textId="77777777" w:rsidR="00076284" w:rsidRPr="00BA621C" w:rsidRDefault="00076284" w:rsidP="00A87353">
            <w:pPr>
              <w:spacing w:before="60" w:after="60"/>
              <w:jc w:val="center"/>
              <w:rPr>
                <w:b/>
                <w:bCs/>
                <w:color w:val="FFFFFF" w:themeColor="background1"/>
                <w:sz w:val="20"/>
                <w:szCs w:val="20"/>
              </w:rPr>
            </w:pPr>
            <w:r w:rsidRPr="00BA621C">
              <w:rPr>
                <w:b/>
                <w:bCs/>
                <w:color w:val="FFFFFF" w:themeColor="background1"/>
                <w:sz w:val="20"/>
                <w:szCs w:val="20"/>
              </w:rPr>
              <w:t>Traditional funding approaches</w:t>
            </w:r>
          </w:p>
        </w:tc>
        <w:tc>
          <w:tcPr>
            <w:tcW w:w="3544" w:type="dxa"/>
            <w:shd w:val="clear" w:color="auto" w:fill="156082"/>
            <w:vAlign w:val="center"/>
          </w:tcPr>
          <w:p w14:paraId="0834802B" w14:textId="77777777" w:rsidR="00076284" w:rsidRPr="00BA621C" w:rsidRDefault="00076284" w:rsidP="00A87353">
            <w:pPr>
              <w:spacing w:before="60" w:after="60"/>
              <w:jc w:val="center"/>
              <w:rPr>
                <w:b/>
                <w:bCs/>
                <w:color w:val="FFFFFF" w:themeColor="background1"/>
                <w:sz w:val="20"/>
                <w:szCs w:val="20"/>
              </w:rPr>
            </w:pPr>
            <w:r w:rsidRPr="00BA621C">
              <w:rPr>
                <w:b/>
                <w:bCs/>
                <w:color w:val="FFFFFF" w:themeColor="background1"/>
                <w:sz w:val="20"/>
                <w:szCs w:val="20"/>
              </w:rPr>
              <w:t>Outcome</w:t>
            </w:r>
            <w:r w:rsidR="00772E81">
              <w:rPr>
                <w:b/>
                <w:bCs/>
                <w:color w:val="FFFFFF" w:themeColor="background1"/>
                <w:sz w:val="20"/>
                <w:szCs w:val="20"/>
              </w:rPr>
              <w:t>s-</w:t>
            </w:r>
            <w:r w:rsidRPr="00BA621C">
              <w:rPr>
                <w:b/>
                <w:bCs/>
                <w:color w:val="FFFFFF" w:themeColor="background1"/>
                <w:sz w:val="20"/>
                <w:szCs w:val="20"/>
              </w:rPr>
              <w:t>based contracting</w:t>
            </w:r>
          </w:p>
        </w:tc>
      </w:tr>
      <w:tr w:rsidR="00076284" w:rsidRPr="00076284" w14:paraId="7A67E7A2" w14:textId="77777777" w:rsidTr="00F8010C">
        <w:trPr>
          <w:trHeight w:val="536"/>
        </w:trPr>
        <w:tc>
          <w:tcPr>
            <w:tcW w:w="3256" w:type="dxa"/>
            <w:shd w:val="clear" w:color="auto" w:fill="C1E4F5"/>
            <w:vAlign w:val="center"/>
          </w:tcPr>
          <w:p w14:paraId="7AB49357" w14:textId="77777777" w:rsidR="00A33761" w:rsidRDefault="00A33761" w:rsidP="00A87353">
            <w:pPr>
              <w:spacing w:before="60" w:after="60"/>
              <w:jc w:val="center"/>
              <w:rPr>
                <w:b/>
                <w:bCs/>
                <w:color w:val="156082"/>
                <w:sz w:val="20"/>
                <w:szCs w:val="20"/>
              </w:rPr>
            </w:pPr>
            <w:r w:rsidRPr="00A33761">
              <w:rPr>
                <w:b/>
                <w:bCs/>
                <w:noProof/>
                <w:color w:val="156082"/>
                <w:sz w:val="20"/>
                <w:szCs w:val="20"/>
              </w:rPr>
              <w:drawing>
                <wp:inline distT="0" distB="0" distL="0" distR="0" wp14:anchorId="232F5612" wp14:editId="22F951AE">
                  <wp:extent cx="360000" cy="360000"/>
                  <wp:effectExtent l="0" t="0" r="2540" b="2540"/>
                  <wp:docPr id="10" name="Picture 9">
                    <a:extLst xmlns:a="http://schemas.openxmlformats.org/drawingml/2006/main">
                      <a:ext uri="{FF2B5EF4-FFF2-40B4-BE49-F238E27FC236}">
                        <a16:creationId xmlns:a16="http://schemas.microsoft.com/office/drawing/2014/main" id="{81A31D0B-7FDA-2BFE-BE2A-9317857B657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1A31D0B-7FDA-2BFE-BE2A-9317857B6577}"/>
                              </a:ex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pic:blipFill>
                        <pic:spPr>
                          <a:xfrm>
                            <a:off x="0" y="0"/>
                            <a:ext cx="360000" cy="360000"/>
                          </a:xfrm>
                          <a:prstGeom prst="rect">
                            <a:avLst/>
                          </a:prstGeom>
                        </pic:spPr>
                      </pic:pic>
                    </a:graphicData>
                  </a:graphic>
                </wp:inline>
              </w:drawing>
            </w:r>
          </w:p>
          <w:p w14:paraId="7C85615F" w14:textId="77777777" w:rsidR="00076284" w:rsidRPr="00BA621C" w:rsidRDefault="00076284" w:rsidP="00A87353">
            <w:pPr>
              <w:spacing w:before="60" w:after="60"/>
              <w:jc w:val="center"/>
              <w:rPr>
                <w:b/>
                <w:bCs/>
                <w:sz w:val="20"/>
                <w:szCs w:val="20"/>
              </w:rPr>
            </w:pPr>
            <w:r w:rsidRPr="00BA621C">
              <w:rPr>
                <w:b/>
                <w:bCs/>
                <w:color w:val="156082"/>
                <w:sz w:val="20"/>
                <w:szCs w:val="20"/>
              </w:rPr>
              <w:t>What’s contracted?</w:t>
            </w:r>
          </w:p>
        </w:tc>
        <w:tc>
          <w:tcPr>
            <w:tcW w:w="3543" w:type="dxa"/>
            <w:vAlign w:val="center"/>
          </w:tcPr>
          <w:p w14:paraId="23F56197" w14:textId="77777777" w:rsidR="00076284" w:rsidRPr="00504273" w:rsidRDefault="00D431EE" w:rsidP="00A87353">
            <w:pPr>
              <w:spacing w:before="60" w:after="60"/>
              <w:jc w:val="center"/>
              <w:rPr>
                <w:sz w:val="20"/>
                <w:szCs w:val="20"/>
              </w:rPr>
            </w:pPr>
            <w:r w:rsidRPr="00504273">
              <w:rPr>
                <w:sz w:val="20"/>
                <w:szCs w:val="20"/>
              </w:rPr>
              <w:t xml:space="preserve">Contract </w:t>
            </w:r>
            <w:r w:rsidR="009B53F5" w:rsidRPr="00504273">
              <w:rPr>
                <w:sz w:val="20"/>
                <w:szCs w:val="20"/>
              </w:rPr>
              <w:t>describes the</w:t>
            </w:r>
            <w:r w:rsidR="00D004FE" w:rsidRPr="00504273">
              <w:rPr>
                <w:sz w:val="20"/>
                <w:szCs w:val="20"/>
              </w:rPr>
              <w:t xml:space="preserve"> service</w:t>
            </w:r>
            <w:r w:rsidR="00CC4E91" w:rsidRPr="00504273">
              <w:rPr>
                <w:sz w:val="20"/>
                <w:szCs w:val="20"/>
              </w:rPr>
              <w:t xml:space="preserve"> </w:t>
            </w:r>
            <w:r w:rsidR="004E11B4" w:rsidRPr="00504273">
              <w:rPr>
                <w:sz w:val="20"/>
                <w:szCs w:val="20"/>
              </w:rPr>
              <w:t>inputs</w:t>
            </w:r>
            <w:r w:rsidR="00364F48" w:rsidRPr="00504273">
              <w:rPr>
                <w:sz w:val="20"/>
                <w:szCs w:val="20"/>
              </w:rPr>
              <w:t xml:space="preserve"> and outputs (</w:t>
            </w:r>
            <w:r w:rsidR="0007287E" w:rsidRPr="00504273">
              <w:rPr>
                <w:sz w:val="20"/>
                <w:szCs w:val="20"/>
              </w:rPr>
              <w:t>e.g</w:t>
            </w:r>
            <w:r w:rsidR="00364F48" w:rsidRPr="00504273">
              <w:rPr>
                <w:sz w:val="20"/>
                <w:szCs w:val="20"/>
              </w:rPr>
              <w:t xml:space="preserve">. number of </w:t>
            </w:r>
            <w:r w:rsidR="00C83E2B" w:rsidRPr="00504273">
              <w:rPr>
                <w:sz w:val="20"/>
                <w:szCs w:val="20"/>
              </w:rPr>
              <w:t xml:space="preserve">clients </w:t>
            </w:r>
            <w:r w:rsidR="005806F6" w:rsidRPr="00504273">
              <w:rPr>
                <w:sz w:val="20"/>
                <w:szCs w:val="20"/>
              </w:rPr>
              <w:t>supported,</w:t>
            </w:r>
            <w:r w:rsidR="00696CFE" w:rsidRPr="00504273">
              <w:rPr>
                <w:sz w:val="20"/>
                <w:szCs w:val="20"/>
              </w:rPr>
              <w:t xml:space="preserve"> or </w:t>
            </w:r>
            <w:r w:rsidR="00DD78EE" w:rsidRPr="00504273">
              <w:rPr>
                <w:sz w:val="20"/>
                <w:szCs w:val="20"/>
              </w:rPr>
              <w:t>types of</w:t>
            </w:r>
            <w:r w:rsidR="0055103D" w:rsidRPr="00504273">
              <w:rPr>
                <w:sz w:val="20"/>
                <w:szCs w:val="20"/>
              </w:rPr>
              <w:t xml:space="preserve"> </w:t>
            </w:r>
            <w:r w:rsidR="00266145" w:rsidRPr="00504273">
              <w:rPr>
                <w:sz w:val="20"/>
                <w:szCs w:val="20"/>
              </w:rPr>
              <w:t>activities delivered</w:t>
            </w:r>
            <w:r w:rsidR="00364F48" w:rsidRPr="00504273">
              <w:rPr>
                <w:sz w:val="20"/>
                <w:szCs w:val="20"/>
              </w:rPr>
              <w:t>)</w:t>
            </w:r>
          </w:p>
        </w:tc>
        <w:tc>
          <w:tcPr>
            <w:tcW w:w="3544" w:type="dxa"/>
            <w:shd w:val="clear" w:color="auto" w:fill="FFFFFF" w:themeFill="background1"/>
            <w:vAlign w:val="center"/>
          </w:tcPr>
          <w:p w14:paraId="17AD9CDF" w14:textId="77777777" w:rsidR="00076284" w:rsidRPr="00504273" w:rsidRDefault="00DD78EE" w:rsidP="00A87353">
            <w:pPr>
              <w:spacing w:before="60" w:after="60"/>
              <w:jc w:val="center"/>
              <w:rPr>
                <w:sz w:val="20"/>
                <w:szCs w:val="20"/>
              </w:rPr>
            </w:pPr>
            <w:r w:rsidRPr="00504273">
              <w:rPr>
                <w:sz w:val="20"/>
                <w:szCs w:val="20"/>
              </w:rPr>
              <w:t xml:space="preserve">Contract </w:t>
            </w:r>
            <w:r w:rsidR="00D004FE" w:rsidRPr="00504273">
              <w:rPr>
                <w:sz w:val="20"/>
                <w:szCs w:val="20"/>
              </w:rPr>
              <w:t>describes</w:t>
            </w:r>
            <w:r w:rsidRPr="00504273">
              <w:rPr>
                <w:sz w:val="20"/>
                <w:szCs w:val="20"/>
              </w:rPr>
              <w:t xml:space="preserve"> the </w:t>
            </w:r>
            <w:r w:rsidR="00076284" w:rsidRPr="00504273">
              <w:rPr>
                <w:sz w:val="20"/>
                <w:szCs w:val="20"/>
              </w:rPr>
              <w:t xml:space="preserve">measurable outcomes </w:t>
            </w:r>
            <w:r w:rsidRPr="00504273">
              <w:rPr>
                <w:sz w:val="20"/>
                <w:szCs w:val="20"/>
              </w:rPr>
              <w:t xml:space="preserve">which are sought </w:t>
            </w:r>
            <w:r w:rsidR="00076284" w:rsidRPr="00504273">
              <w:rPr>
                <w:sz w:val="20"/>
                <w:szCs w:val="20"/>
              </w:rPr>
              <w:t>for defined cohorts</w:t>
            </w:r>
            <w:r w:rsidR="3377B29A" w:rsidRPr="00504273">
              <w:rPr>
                <w:sz w:val="20"/>
                <w:szCs w:val="20"/>
              </w:rPr>
              <w:t xml:space="preserve"> </w:t>
            </w:r>
            <w:r w:rsidR="00D004FE" w:rsidRPr="00504273">
              <w:rPr>
                <w:sz w:val="20"/>
                <w:szCs w:val="20"/>
              </w:rPr>
              <w:t>(</w:t>
            </w:r>
            <w:r w:rsidR="00AD40D3">
              <w:rPr>
                <w:sz w:val="20"/>
                <w:szCs w:val="20"/>
              </w:rPr>
              <w:t xml:space="preserve">e.g. </w:t>
            </w:r>
            <w:r w:rsidR="001A4AF9">
              <w:rPr>
                <w:sz w:val="20"/>
                <w:szCs w:val="20"/>
              </w:rPr>
              <w:t xml:space="preserve">a </w:t>
            </w:r>
            <w:r w:rsidR="002011E5">
              <w:rPr>
                <w:sz w:val="20"/>
                <w:szCs w:val="20"/>
              </w:rPr>
              <w:t>reduction in welfare c</w:t>
            </w:r>
            <w:r w:rsidR="001A4AF9">
              <w:rPr>
                <w:sz w:val="20"/>
                <w:szCs w:val="20"/>
              </w:rPr>
              <w:t>onsumption</w:t>
            </w:r>
            <w:r w:rsidR="002011E5">
              <w:rPr>
                <w:sz w:val="20"/>
                <w:szCs w:val="20"/>
              </w:rPr>
              <w:t>)</w:t>
            </w:r>
          </w:p>
        </w:tc>
      </w:tr>
      <w:tr w:rsidR="00076284" w:rsidRPr="00076284" w14:paraId="3B129B6D" w14:textId="77777777" w:rsidTr="00F8010C">
        <w:trPr>
          <w:trHeight w:val="376"/>
        </w:trPr>
        <w:tc>
          <w:tcPr>
            <w:tcW w:w="3256" w:type="dxa"/>
            <w:shd w:val="clear" w:color="auto" w:fill="C1E4F5"/>
            <w:vAlign w:val="center"/>
          </w:tcPr>
          <w:p w14:paraId="7F2E1CC5" w14:textId="77777777" w:rsidR="00A87353" w:rsidRDefault="00A87353" w:rsidP="00A87353">
            <w:pPr>
              <w:spacing w:before="60" w:after="60"/>
              <w:jc w:val="center"/>
              <w:rPr>
                <w:b/>
                <w:bCs/>
                <w:color w:val="156082"/>
                <w:sz w:val="20"/>
                <w:szCs w:val="20"/>
              </w:rPr>
            </w:pPr>
            <w:r w:rsidRPr="00A87353">
              <w:rPr>
                <w:b/>
                <w:bCs/>
                <w:noProof/>
                <w:color w:val="156082"/>
                <w:sz w:val="20"/>
                <w:szCs w:val="20"/>
              </w:rPr>
              <w:drawing>
                <wp:inline distT="0" distB="0" distL="0" distR="0" wp14:anchorId="7A028F4F" wp14:editId="63B7F330">
                  <wp:extent cx="360000" cy="360000"/>
                  <wp:effectExtent l="0" t="0" r="2540" b="2540"/>
                  <wp:docPr id="30" name="Picture 29">
                    <a:extLst xmlns:a="http://schemas.openxmlformats.org/drawingml/2006/main">
                      <a:ext uri="{FF2B5EF4-FFF2-40B4-BE49-F238E27FC236}">
                        <a16:creationId xmlns:a16="http://schemas.microsoft.com/office/drawing/2014/main" id="{589AD11E-2E9E-16F0-A957-A040C89E69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589AD11E-2E9E-16F0-A957-A040C89E6906}"/>
                              </a:ex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pic:blipFill>
                        <pic:spPr>
                          <a:xfrm>
                            <a:off x="0" y="0"/>
                            <a:ext cx="360000" cy="360000"/>
                          </a:xfrm>
                          <a:prstGeom prst="rect">
                            <a:avLst/>
                          </a:prstGeom>
                        </pic:spPr>
                      </pic:pic>
                    </a:graphicData>
                  </a:graphic>
                </wp:inline>
              </w:drawing>
            </w:r>
          </w:p>
          <w:p w14:paraId="2712B990" w14:textId="77777777" w:rsidR="00076284" w:rsidRPr="00BA621C" w:rsidRDefault="00076284" w:rsidP="00A87353">
            <w:pPr>
              <w:spacing w:before="60" w:after="60"/>
              <w:jc w:val="center"/>
              <w:rPr>
                <w:b/>
                <w:bCs/>
                <w:sz w:val="20"/>
                <w:szCs w:val="20"/>
              </w:rPr>
            </w:pPr>
            <w:r w:rsidRPr="00BA621C">
              <w:rPr>
                <w:b/>
                <w:bCs/>
                <w:color w:val="156082"/>
                <w:sz w:val="20"/>
                <w:szCs w:val="20"/>
              </w:rPr>
              <w:t>Service model</w:t>
            </w:r>
          </w:p>
        </w:tc>
        <w:tc>
          <w:tcPr>
            <w:tcW w:w="3543" w:type="dxa"/>
            <w:vAlign w:val="center"/>
          </w:tcPr>
          <w:p w14:paraId="146596DE" w14:textId="77777777" w:rsidR="00076284" w:rsidRPr="00504273" w:rsidRDefault="004E356E" w:rsidP="00A87353">
            <w:pPr>
              <w:spacing w:before="60" w:after="60"/>
              <w:jc w:val="center"/>
              <w:rPr>
                <w:sz w:val="20"/>
                <w:szCs w:val="20"/>
              </w:rPr>
            </w:pPr>
            <w:r w:rsidRPr="00504273">
              <w:rPr>
                <w:sz w:val="20"/>
                <w:szCs w:val="20"/>
              </w:rPr>
              <w:t xml:space="preserve">Program design </w:t>
            </w:r>
            <w:r w:rsidR="00772E81" w:rsidRPr="00504273">
              <w:rPr>
                <w:sz w:val="20"/>
                <w:szCs w:val="20"/>
              </w:rPr>
              <w:t xml:space="preserve">is </w:t>
            </w:r>
            <w:r w:rsidRPr="00504273">
              <w:rPr>
                <w:sz w:val="20"/>
                <w:szCs w:val="20"/>
              </w:rPr>
              <w:t>a</w:t>
            </w:r>
            <w:r w:rsidR="00076284" w:rsidRPr="00504273">
              <w:rPr>
                <w:sz w:val="20"/>
                <w:szCs w:val="20"/>
              </w:rPr>
              <w:t xml:space="preserve">greed </w:t>
            </w:r>
            <w:r w:rsidR="0055103D" w:rsidRPr="00504273">
              <w:rPr>
                <w:sz w:val="20"/>
                <w:szCs w:val="20"/>
              </w:rPr>
              <w:t>upfront and</w:t>
            </w:r>
            <w:r w:rsidRPr="00504273">
              <w:rPr>
                <w:sz w:val="20"/>
                <w:szCs w:val="20"/>
              </w:rPr>
              <w:t xml:space="preserve"> can be </w:t>
            </w:r>
            <w:r w:rsidR="001A3D35" w:rsidRPr="00504273">
              <w:rPr>
                <w:sz w:val="20"/>
                <w:szCs w:val="20"/>
              </w:rPr>
              <w:t>hard to change</w:t>
            </w:r>
            <w:r w:rsidR="005C3275" w:rsidRPr="00504273">
              <w:rPr>
                <w:sz w:val="20"/>
                <w:szCs w:val="20"/>
              </w:rPr>
              <w:t xml:space="preserve"> </w:t>
            </w:r>
            <w:r w:rsidR="00980419" w:rsidRPr="00504273">
              <w:rPr>
                <w:sz w:val="20"/>
                <w:szCs w:val="20"/>
              </w:rPr>
              <w:t>service model</w:t>
            </w:r>
            <w:r w:rsidR="005C3275" w:rsidRPr="00504273">
              <w:rPr>
                <w:sz w:val="20"/>
                <w:szCs w:val="20"/>
              </w:rPr>
              <w:t xml:space="preserve"> </w:t>
            </w:r>
            <w:r w:rsidR="0055103D" w:rsidRPr="00504273">
              <w:rPr>
                <w:sz w:val="20"/>
                <w:szCs w:val="20"/>
              </w:rPr>
              <w:t>once contract is in place</w:t>
            </w:r>
            <w:r w:rsidR="005A344F" w:rsidRPr="00504273">
              <w:rPr>
                <w:sz w:val="20"/>
                <w:szCs w:val="20"/>
              </w:rPr>
              <w:t xml:space="preserve">. </w:t>
            </w:r>
            <w:r w:rsidRPr="00504273">
              <w:rPr>
                <w:sz w:val="20"/>
                <w:szCs w:val="20"/>
              </w:rPr>
              <w:t xml:space="preserve"> </w:t>
            </w:r>
          </w:p>
        </w:tc>
        <w:tc>
          <w:tcPr>
            <w:tcW w:w="3544" w:type="dxa"/>
            <w:shd w:val="clear" w:color="auto" w:fill="FFFFFF" w:themeFill="background1"/>
            <w:vAlign w:val="center"/>
          </w:tcPr>
          <w:p w14:paraId="1859760D" w14:textId="77777777" w:rsidR="00076284" w:rsidRPr="00504273" w:rsidRDefault="00D92320" w:rsidP="00A87353">
            <w:pPr>
              <w:spacing w:before="60" w:after="60"/>
              <w:jc w:val="center"/>
              <w:rPr>
                <w:sz w:val="20"/>
                <w:szCs w:val="20"/>
              </w:rPr>
            </w:pPr>
            <w:r w:rsidRPr="00D92320">
              <w:rPr>
                <w:sz w:val="20"/>
                <w:szCs w:val="20"/>
              </w:rPr>
              <w:t>Allows flexibility for service providers to deliver what is needed and learn, adapt and change approach to meet people’s needs</w:t>
            </w:r>
          </w:p>
        </w:tc>
      </w:tr>
      <w:tr w:rsidR="00076284" w:rsidRPr="00076284" w14:paraId="2014D138" w14:textId="77777777" w:rsidTr="00F8010C">
        <w:trPr>
          <w:trHeight w:val="837"/>
        </w:trPr>
        <w:tc>
          <w:tcPr>
            <w:tcW w:w="3256" w:type="dxa"/>
            <w:shd w:val="clear" w:color="auto" w:fill="C1E4F5"/>
            <w:vAlign w:val="center"/>
          </w:tcPr>
          <w:p w14:paraId="53E1821B" w14:textId="77777777" w:rsidR="00C44430" w:rsidRDefault="00C44430" w:rsidP="00A87353">
            <w:pPr>
              <w:spacing w:before="60" w:after="60"/>
              <w:jc w:val="center"/>
              <w:rPr>
                <w:b/>
                <w:bCs/>
                <w:color w:val="156082"/>
                <w:sz w:val="20"/>
                <w:szCs w:val="20"/>
              </w:rPr>
            </w:pPr>
            <w:r w:rsidRPr="00C44430">
              <w:rPr>
                <w:b/>
                <w:bCs/>
                <w:noProof/>
                <w:color w:val="156082"/>
                <w:sz w:val="20"/>
                <w:szCs w:val="20"/>
              </w:rPr>
              <w:drawing>
                <wp:inline distT="0" distB="0" distL="0" distR="0" wp14:anchorId="70F4DBC0" wp14:editId="7C124397">
                  <wp:extent cx="360000" cy="360000"/>
                  <wp:effectExtent l="0" t="0" r="2540" b="2540"/>
                  <wp:docPr id="24" name="Picture 23">
                    <a:extLst xmlns:a="http://schemas.openxmlformats.org/drawingml/2006/main">
                      <a:ext uri="{FF2B5EF4-FFF2-40B4-BE49-F238E27FC236}">
                        <a16:creationId xmlns:a16="http://schemas.microsoft.com/office/drawing/2014/main" id="{756B5232-4BEB-AFC3-77E1-D512707360B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756B5232-4BEB-AFC3-77E1-D512707360B4}"/>
                              </a:ex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0" y="0"/>
                            <a:ext cx="360000" cy="360000"/>
                          </a:xfrm>
                          <a:prstGeom prst="rect">
                            <a:avLst/>
                          </a:prstGeom>
                        </pic:spPr>
                      </pic:pic>
                    </a:graphicData>
                  </a:graphic>
                </wp:inline>
              </w:drawing>
            </w:r>
          </w:p>
          <w:p w14:paraId="0D493A07" w14:textId="77777777" w:rsidR="00076284" w:rsidRPr="00BA621C" w:rsidRDefault="00076284" w:rsidP="00A87353">
            <w:pPr>
              <w:spacing w:before="60" w:after="60"/>
              <w:jc w:val="center"/>
              <w:rPr>
                <w:b/>
                <w:bCs/>
                <w:sz w:val="20"/>
                <w:szCs w:val="20"/>
              </w:rPr>
            </w:pPr>
            <w:r w:rsidRPr="00BA621C">
              <w:rPr>
                <w:b/>
                <w:bCs/>
                <w:color w:val="156082"/>
                <w:sz w:val="20"/>
                <w:szCs w:val="20"/>
              </w:rPr>
              <w:t>Target cohort</w:t>
            </w:r>
          </w:p>
        </w:tc>
        <w:tc>
          <w:tcPr>
            <w:tcW w:w="3543" w:type="dxa"/>
            <w:vAlign w:val="center"/>
          </w:tcPr>
          <w:p w14:paraId="4D43C774" w14:textId="77777777" w:rsidR="00076284" w:rsidRPr="00504273" w:rsidRDefault="3E3752C6" w:rsidP="00A87353">
            <w:pPr>
              <w:spacing w:before="60" w:after="60"/>
              <w:jc w:val="center"/>
              <w:rPr>
                <w:sz w:val="20"/>
                <w:szCs w:val="20"/>
              </w:rPr>
            </w:pPr>
            <w:r w:rsidRPr="00504273">
              <w:rPr>
                <w:sz w:val="20"/>
                <w:szCs w:val="20"/>
              </w:rPr>
              <w:t>Broad or flexible eligibility, with focus on responding to people that present to the service</w:t>
            </w:r>
          </w:p>
        </w:tc>
        <w:tc>
          <w:tcPr>
            <w:tcW w:w="3544" w:type="dxa"/>
            <w:shd w:val="clear" w:color="auto" w:fill="FFFFFF" w:themeFill="background1"/>
            <w:vAlign w:val="center"/>
          </w:tcPr>
          <w:p w14:paraId="3C478DB9" w14:textId="77777777" w:rsidR="00076284" w:rsidRPr="00504273" w:rsidRDefault="3E3752C6" w:rsidP="00A87353">
            <w:pPr>
              <w:spacing w:before="60" w:after="60"/>
              <w:jc w:val="center"/>
              <w:rPr>
                <w:sz w:val="20"/>
                <w:szCs w:val="20"/>
              </w:rPr>
            </w:pPr>
            <w:r w:rsidRPr="00504273">
              <w:rPr>
                <w:sz w:val="20"/>
                <w:szCs w:val="20"/>
              </w:rPr>
              <w:t xml:space="preserve">Specific </w:t>
            </w:r>
            <w:r w:rsidR="575D09F8" w:rsidRPr="00504273">
              <w:rPr>
                <w:sz w:val="20"/>
                <w:szCs w:val="20"/>
              </w:rPr>
              <w:t>e</w:t>
            </w:r>
            <w:r w:rsidRPr="00504273">
              <w:rPr>
                <w:sz w:val="20"/>
                <w:szCs w:val="20"/>
              </w:rPr>
              <w:t xml:space="preserve">ligibility criteria for </w:t>
            </w:r>
            <w:r w:rsidR="2AFEF7F5" w:rsidRPr="00504273">
              <w:rPr>
                <w:sz w:val="20"/>
                <w:szCs w:val="20"/>
              </w:rPr>
              <w:t xml:space="preserve">targeted </w:t>
            </w:r>
            <w:r w:rsidRPr="00504273">
              <w:rPr>
                <w:sz w:val="20"/>
                <w:szCs w:val="20"/>
              </w:rPr>
              <w:t>cohorts of people experiencing disadvantage</w:t>
            </w:r>
          </w:p>
        </w:tc>
      </w:tr>
      <w:tr w:rsidR="00076284" w:rsidRPr="00076284" w14:paraId="162DB4A9" w14:textId="77777777" w:rsidTr="00F8010C">
        <w:trPr>
          <w:trHeight w:val="527"/>
        </w:trPr>
        <w:tc>
          <w:tcPr>
            <w:tcW w:w="3256" w:type="dxa"/>
            <w:shd w:val="clear" w:color="auto" w:fill="C1E4F5"/>
            <w:vAlign w:val="center"/>
          </w:tcPr>
          <w:p w14:paraId="59AB111B" w14:textId="77777777" w:rsidR="00330E3E" w:rsidRDefault="00330E3E" w:rsidP="00A87353">
            <w:pPr>
              <w:spacing w:before="60" w:after="60"/>
              <w:jc w:val="center"/>
              <w:rPr>
                <w:b/>
                <w:bCs/>
                <w:color w:val="156082"/>
                <w:sz w:val="20"/>
                <w:szCs w:val="20"/>
              </w:rPr>
            </w:pPr>
            <w:r w:rsidRPr="00330E3E">
              <w:rPr>
                <w:b/>
                <w:bCs/>
                <w:noProof/>
                <w:color w:val="156082"/>
                <w:sz w:val="20"/>
                <w:szCs w:val="20"/>
              </w:rPr>
              <w:drawing>
                <wp:inline distT="0" distB="0" distL="0" distR="0" wp14:anchorId="7850B0AB" wp14:editId="17503BC9">
                  <wp:extent cx="360000" cy="360000"/>
                  <wp:effectExtent l="0" t="0" r="2540" b="2540"/>
                  <wp:docPr id="26" name="Picture 25">
                    <a:extLst xmlns:a="http://schemas.openxmlformats.org/drawingml/2006/main">
                      <a:ext uri="{FF2B5EF4-FFF2-40B4-BE49-F238E27FC236}">
                        <a16:creationId xmlns:a16="http://schemas.microsoft.com/office/drawing/2014/main" id="{ACB59989-BA6B-1CB1-153B-01C847516CD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ACB59989-BA6B-1CB1-153B-01C847516CD9}"/>
                              </a:ext>
                              <a:ext uri="{C183D7F6-B498-43B3-948B-1728B52AA6E4}">
                                <adec:decorative xmlns:adec="http://schemas.microsoft.com/office/drawing/2017/decorative" val="1"/>
                              </a:ext>
                            </a:extLst>
                          </pic:cNvPr>
                          <pic:cNvPicPr>
                            <a:picLocks noChangeAspect="1"/>
                          </pic:cNvPicPr>
                        </pic:nvPicPr>
                        <pic:blipFill>
                          <a:blip r:embed="rId24" cstate="print">
                            <a:extLst>
                              <a:ext uri="{28A0092B-C50C-407E-A947-70E740481C1C}">
                                <a14:useLocalDpi xmlns:a14="http://schemas.microsoft.com/office/drawing/2010/main" val="0"/>
                              </a:ext>
                            </a:extLst>
                          </a:blip>
                          <a:srcRect/>
                          <a:stretch/>
                        </pic:blipFill>
                        <pic:spPr>
                          <a:xfrm>
                            <a:off x="0" y="0"/>
                            <a:ext cx="360000" cy="360000"/>
                          </a:xfrm>
                          <a:prstGeom prst="rect">
                            <a:avLst/>
                          </a:prstGeom>
                        </pic:spPr>
                      </pic:pic>
                    </a:graphicData>
                  </a:graphic>
                </wp:inline>
              </w:drawing>
            </w:r>
          </w:p>
          <w:p w14:paraId="12BC28C1" w14:textId="77777777" w:rsidR="00076284" w:rsidRPr="00BA621C" w:rsidRDefault="00076284" w:rsidP="00A87353">
            <w:pPr>
              <w:spacing w:before="60" w:after="60"/>
              <w:jc w:val="center"/>
              <w:rPr>
                <w:b/>
                <w:bCs/>
                <w:sz w:val="20"/>
                <w:szCs w:val="20"/>
              </w:rPr>
            </w:pPr>
            <w:r w:rsidRPr="00BA621C">
              <w:rPr>
                <w:b/>
                <w:bCs/>
                <w:color w:val="156082"/>
                <w:sz w:val="20"/>
                <w:szCs w:val="20"/>
              </w:rPr>
              <w:t>Reporting focus</w:t>
            </w:r>
          </w:p>
        </w:tc>
        <w:tc>
          <w:tcPr>
            <w:tcW w:w="3543" w:type="dxa"/>
            <w:vAlign w:val="center"/>
          </w:tcPr>
          <w:p w14:paraId="577435D3" w14:textId="77777777" w:rsidR="00076284" w:rsidRPr="00504273" w:rsidRDefault="001A3D35" w:rsidP="00A87353">
            <w:pPr>
              <w:spacing w:before="60" w:after="60"/>
              <w:jc w:val="center"/>
              <w:rPr>
                <w:sz w:val="20"/>
                <w:szCs w:val="20"/>
              </w:rPr>
            </w:pPr>
            <w:r w:rsidRPr="00504273">
              <w:rPr>
                <w:sz w:val="20"/>
                <w:szCs w:val="20"/>
              </w:rPr>
              <w:t>Reporting on activities and outputs, often short-term</w:t>
            </w:r>
            <w:r w:rsidR="008E0EB6">
              <w:rPr>
                <w:sz w:val="20"/>
                <w:szCs w:val="20"/>
              </w:rPr>
              <w:t xml:space="preserve"> (i.e. 6 monthly during service delivery)</w:t>
            </w:r>
            <w:r w:rsidRPr="00504273">
              <w:rPr>
                <w:sz w:val="20"/>
                <w:szCs w:val="20"/>
              </w:rPr>
              <w:t xml:space="preserve">. </w:t>
            </w:r>
          </w:p>
        </w:tc>
        <w:tc>
          <w:tcPr>
            <w:tcW w:w="3544" w:type="dxa"/>
            <w:shd w:val="clear" w:color="auto" w:fill="FFFFFF" w:themeFill="background1"/>
            <w:vAlign w:val="center"/>
          </w:tcPr>
          <w:p w14:paraId="2041C4F5" w14:textId="77777777" w:rsidR="00076284" w:rsidRPr="00504273" w:rsidRDefault="001A3D35" w:rsidP="00A87353">
            <w:pPr>
              <w:spacing w:before="60" w:after="60"/>
              <w:jc w:val="center"/>
              <w:rPr>
                <w:sz w:val="20"/>
                <w:szCs w:val="20"/>
              </w:rPr>
            </w:pPr>
            <w:r w:rsidRPr="00504273">
              <w:rPr>
                <w:sz w:val="20"/>
                <w:szCs w:val="20"/>
              </w:rPr>
              <w:t>Reporting on p</w:t>
            </w:r>
            <w:r w:rsidR="00076284" w:rsidRPr="00504273">
              <w:rPr>
                <w:sz w:val="20"/>
                <w:szCs w:val="20"/>
              </w:rPr>
              <w:t>rogress toward outcomes</w:t>
            </w:r>
            <w:r w:rsidR="00EA4098" w:rsidRPr="00504273">
              <w:rPr>
                <w:sz w:val="20"/>
                <w:szCs w:val="20"/>
              </w:rPr>
              <w:t xml:space="preserve"> and </w:t>
            </w:r>
            <w:r w:rsidR="009B678B" w:rsidRPr="00504273">
              <w:rPr>
                <w:sz w:val="20"/>
                <w:szCs w:val="20"/>
              </w:rPr>
              <w:t>long-term</w:t>
            </w:r>
            <w:r w:rsidR="00EA4098" w:rsidRPr="00504273">
              <w:rPr>
                <w:sz w:val="20"/>
                <w:szCs w:val="20"/>
              </w:rPr>
              <w:t xml:space="preserve"> impact</w:t>
            </w:r>
            <w:r w:rsidR="008E0EB6">
              <w:rPr>
                <w:sz w:val="20"/>
                <w:szCs w:val="20"/>
              </w:rPr>
              <w:t xml:space="preserve"> (</w:t>
            </w:r>
            <w:r w:rsidR="007260C3">
              <w:rPr>
                <w:sz w:val="20"/>
                <w:szCs w:val="20"/>
              </w:rPr>
              <w:t xml:space="preserve">i.e. 2 </w:t>
            </w:r>
            <w:r w:rsidR="008E0EB6">
              <w:rPr>
                <w:sz w:val="20"/>
                <w:szCs w:val="20"/>
              </w:rPr>
              <w:t>years after service</w:t>
            </w:r>
            <w:r w:rsidR="007260C3">
              <w:rPr>
                <w:sz w:val="20"/>
                <w:szCs w:val="20"/>
              </w:rPr>
              <w:t xml:space="preserve"> finishes)</w:t>
            </w:r>
          </w:p>
        </w:tc>
      </w:tr>
      <w:tr w:rsidR="00076284" w:rsidRPr="00076284" w14:paraId="7D17C712" w14:textId="77777777" w:rsidTr="00F8010C">
        <w:trPr>
          <w:trHeight w:val="536"/>
        </w:trPr>
        <w:tc>
          <w:tcPr>
            <w:tcW w:w="3256" w:type="dxa"/>
            <w:shd w:val="clear" w:color="auto" w:fill="C1E4F5"/>
            <w:vAlign w:val="center"/>
          </w:tcPr>
          <w:p w14:paraId="72788012" w14:textId="77777777" w:rsidR="00461033" w:rsidRDefault="00461033" w:rsidP="00A87353">
            <w:pPr>
              <w:spacing w:before="60" w:after="60"/>
              <w:jc w:val="center"/>
              <w:rPr>
                <w:b/>
                <w:bCs/>
                <w:color w:val="156082"/>
                <w:sz w:val="20"/>
                <w:szCs w:val="20"/>
              </w:rPr>
            </w:pPr>
            <w:r w:rsidRPr="00461033">
              <w:rPr>
                <w:b/>
                <w:bCs/>
                <w:noProof/>
                <w:color w:val="156082"/>
                <w:sz w:val="20"/>
                <w:szCs w:val="20"/>
              </w:rPr>
              <w:drawing>
                <wp:inline distT="0" distB="0" distL="0" distR="0" wp14:anchorId="62F63D35" wp14:editId="214CB88A">
                  <wp:extent cx="360000" cy="360000"/>
                  <wp:effectExtent l="0" t="0" r="2540" b="2540"/>
                  <wp:docPr id="34" name="Picture 33">
                    <a:extLst xmlns:a="http://schemas.openxmlformats.org/drawingml/2006/main">
                      <a:ext uri="{FF2B5EF4-FFF2-40B4-BE49-F238E27FC236}">
                        <a16:creationId xmlns:a16="http://schemas.microsoft.com/office/drawing/2014/main" id="{2465C596-8BD3-169D-5AC7-60F5175C15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2465C596-8BD3-169D-5AC7-60F5175C15FC}"/>
                              </a:ex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pic:blipFill>
                        <pic:spPr>
                          <a:xfrm>
                            <a:off x="0" y="0"/>
                            <a:ext cx="360000" cy="360000"/>
                          </a:xfrm>
                          <a:prstGeom prst="rect">
                            <a:avLst/>
                          </a:prstGeom>
                        </pic:spPr>
                      </pic:pic>
                    </a:graphicData>
                  </a:graphic>
                </wp:inline>
              </w:drawing>
            </w:r>
          </w:p>
          <w:p w14:paraId="13D63A16" w14:textId="77777777" w:rsidR="00076284" w:rsidRPr="00BA621C" w:rsidRDefault="00076284" w:rsidP="00A87353">
            <w:pPr>
              <w:spacing w:before="60" w:after="60"/>
              <w:jc w:val="center"/>
              <w:rPr>
                <w:b/>
                <w:bCs/>
                <w:sz w:val="20"/>
                <w:szCs w:val="20"/>
              </w:rPr>
            </w:pPr>
            <w:r w:rsidRPr="00BA621C">
              <w:rPr>
                <w:b/>
                <w:bCs/>
                <w:color w:val="156082"/>
                <w:sz w:val="20"/>
                <w:szCs w:val="20"/>
              </w:rPr>
              <w:t>Relationship between parties</w:t>
            </w:r>
          </w:p>
        </w:tc>
        <w:tc>
          <w:tcPr>
            <w:tcW w:w="3543" w:type="dxa"/>
            <w:vAlign w:val="center"/>
          </w:tcPr>
          <w:p w14:paraId="1C7F2819" w14:textId="77777777" w:rsidR="00076284" w:rsidRPr="00504273" w:rsidRDefault="006B6B62" w:rsidP="00A87353">
            <w:pPr>
              <w:spacing w:before="60" w:after="60"/>
              <w:jc w:val="center"/>
              <w:rPr>
                <w:sz w:val="20"/>
                <w:szCs w:val="20"/>
              </w:rPr>
            </w:pPr>
            <w:r w:rsidRPr="00504273">
              <w:rPr>
                <w:sz w:val="20"/>
                <w:szCs w:val="20"/>
              </w:rPr>
              <w:t>Tends to be g</w:t>
            </w:r>
            <w:r w:rsidR="00076284" w:rsidRPr="00504273">
              <w:rPr>
                <w:sz w:val="20"/>
                <w:szCs w:val="20"/>
              </w:rPr>
              <w:t>rounded on compliance</w:t>
            </w:r>
            <w:r w:rsidR="00083939" w:rsidRPr="00504273">
              <w:rPr>
                <w:sz w:val="20"/>
                <w:szCs w:val="20"/>
              </w:rPr>
              <w:t xml:space="preserve">, </w:t>
            </w:r>
            <w:r w:rsidR="00076284" w:rsidRPr="00504273">
              <w:rPr>
                <w:sz w:val="20"/>
                <w:szCs w:val="20"/>
              </w:rPr>
              <w:t>contract management</w:t>
            </w:r>
            <w:r w:rsidR="000C2499" w:rsidRPr="00504273">
              <w:rPr>
                <w:sz w:val="20"/>
                <w:szCs w:val="20"/>
              </w:rPr>
              <w:t xml:space="preserve"> and performance</w:t>
            </w:r>
          </w:p>
        </w:tc>
        <w:tc>
          <w:tcPr>
            <w:tcW w:w="3544" w:type="dxa"/>
            <w:shd w:val="clear" w:color="auto" w:fill="FFFFFF" w:themeFill="background1"/>
            <w:vAlign w:val="center"/>
          </w:tcPr>
          <w:p w14:paraId="55321335" w14:textId="77777777" w:rsidR="00076284" w:rsidRPr="00504273" w:rsidRDefault="00CD182A" w:rsidP="00A87353">
            <w:pPr>
              <w:spacing w:before="60" w:after="60"/>
              <w:jc w:val="center"/>
              <w:rPr>
                <w:sz w:val="20"/>
                <w:szCs w:val="20"/>
              </w:rPr>
            </w:pPr>
            <w:r w:rsidRPr="00504273">
              <w:rPr>
                <w:sz w:val="20"/>
                <w:szCs w:val="20"/>
              </w:rPr>
              <w:t>Parties</w:t>
            </w:r>
            <w:r w:rsidR="00C12215" w:rsidRPr="00504273">
              <w:rPr>
                <w:sz w:val="20"/>
                <w:szCs w:val="20"/>
              </w:rPr>
              <w:t xml:space="preserve"> work together and shar</w:t>
            </w:r>
            <w:r w:rsidR="00D00D51" w:rsidRPr="00504273">
              <w:rPr>
                <w:sz w:val="20"/>
                <w:szCs w:val="20"/>
              </w:rPr>
              <w:t>e</w:t>
            </w:r>
            <w:r w:rsidR="00C12215" w:rsidRPr="00504273">
              <w:rPr>
                <w:sz w:val="20"/>
                <w:szCs w:val="20"/>
              </w:rPr>
              <w:t xml:space="preserve"> data</w:t>
            </w:r>
            <w:r w:rsidRPr="00504273">
              <w:rPr>
                <w:sz w:val="20"/>
                <w:szCs w:val="20"/>
              </w:rPr>
              <w:t xml:space="preserve"> and learnings,</w:t>
            </w:r>
            <w:r w:rsidR="00C12215" w:rsidRPr="00504273">
              <w:rPr>
                <w:sz w:val="20"/>
                <w:szCs w:val="20"/>
              </w:rPr>
              <w:t xml:space="preserve"> to achieve outcomes </w:t>
            </w:r>
          </w:p>
        </w:tc>
      </w:tr>
      <w:tr w:rsidR="00076284" w:rsidRPr="00076284" w14:paraId="6DD74EE5" w14:textId="77777777" w:rsidTr="00F8010C">
        <w:trPr>
          <w:trHeight w:val="483"/>
        </w:trPr>
        <w:tc>
          <w:tcPr>
            <w:tcW w:w="3256" w:type="dxa"/>
            <w:shd w:val="clear" w:color="auto" w:fill="C1E4F5"/>
            <w:vAlign w:val="center"/>
          </w:tcPr>
          <w:p w14:paraId="143CF02F" w14:textId="77777777" w:rsidR="007F1F66" w:rsidRDefault="007F1F66" w:rsidP="00A87353">
            <w:pPr>
              <w:spacing w:before="60" w:after="60"/>
              <w:jc w:val="center"/>
              <w:rPr>
                <w:b/>
                <w:bCs/>
                <w:color w:val="156082"/>
                <w:sz w:val="20"/>
                <w:szCs w:val="20"/>
              </w:rPr>
            </w:pPr>
            <w:r w:rsidRPr="007F1F66">
              <w:rPr>
                <w:b/>
                <w:bCs/>
                <w:noProof/>
                <w:color w:val="156082"/>
                <w:sz w:val="20"/>
                <w:szCs w:val="20"/>
              </w:rPr>
              <w:drawing>
                <wp:inline distT="0" distB="0" distL="0" distR="0" wp14:anchorId="0E557132" wp14:editId="036DAB2E">
                  <wp:extent cx="360000" cy="360000"/>
                  <wp:effectExtent l="0" t="0" r="2540" b="2540"/>
                  <wp:docPr id="5" name="Picture 4">
                    <a:extLst xmlns:a="http://schemas.openxmlformats.org/drawingml/2006/main">
                      <a:ext uri="{FF2B5EF4-FFF2-40B4-BE49-F238E27FC236}">
                        <a16:creationId xmlns:a16="http://schemas.microsoft.com/office/drawing/2014/main" id="{731488AD-F164-59A0-52E1-E7F1477B88B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31488AD-F164-59A0-52E1-E7F1477B88BF}"/>
                              </a:ext>
                              <a:ext uri="{C183D7F6-B498-43B3-948B-1728B52AA6E4}">
                                <adec:decorative xmlns:adec="http://schemas.microsoft.com/office/drawing/2017/decorative" val="1"/>
                              </a:ext>
                            </a:extLst>
                          </pic:cNvPr>
                          <pic:cNvPicPr>
                            <a:picLocks noChangeAspect="1"/>
                          </pic:cNvPicPr>
                        </pic:nvPicPr>
                        <pic:blipFill>
                          <a:blip r:embed="rId26" cstate="print">
                            <a:extLst>
                              <a:ext uri="{28A0092B-C50C-407E-A947-70E740481C1C}">
                                <a14:useLocalDpi xmlns:a14="http://schemas.microsoft.com/office/drawing/2010/main" val="0"/>
                              </a:ext>
                            </a:extLst>
                          </a:blip>
                          <a:srcRect/>
                          <a:stretch/>
                        </pic:blipFill>
                        <pic:spPr>
                          <a:xfrm>
                            <a:off x="0" y="0"/>
                            <a:ext cx="360000" cy="360000"/>
                          </a:xfrm>
                          <a:prstGeom prst="rect">
                            <a:avLst/>
                          </a:prstGeom>
                        </pic:spPr>
                      </pic:pic>
                    </a:graphicData>
                  </a:graphic>
                </wp:inline>
              </w:drawing>
            </w:r>
          </w:p>
          <w:p w14:paraId="00D6EB42" w14:textId="77777777" w:rsidR="00076284" w:rsidRPr="00BA621C" w:rsidRDefault="00076284" w:rsidP="00A87353">
            <w:pPr>
              <w:spacing w:before="60" w:after="60"/>
              <w:jc w:val="center"/>
              <w:rPr>
                <w:b/>
                <w:bCs/>
                <w:sz w:val="20"/>
                <w:szCs w:val="20"/>
              </w:rPr>
            </w:pPr>
            <w:r w:rsidRPr="00BA621C">
              <w:rPr>
                <w:b/>
                <w:bCs/>
                <w:color w:val="156082"/>
                <w:sz w:val="20"/>
                <w:szCs w:val="20"/>
              </w:rPr>
              <w:t>Payment terms</w:t>
            </w:r>
          </w:p>
        </w:tc>
        <w:tc>
          <w:tcPr>
            <w:tcW w:w="3543" w:type="dxa"/>
            <w:vAlign w:val="center"/>
          </w:tcPr>
          <w:p w14:paraId="500BEE96" w14:textId="77777777" w:rsidR="00076284" w:rsidRPr="00504273" w:rsidRDefault="00C12215" w:rsidP="00A87353">
            <w:pPr>
              <w:spacing w:before="60" w:after="60"/>
              <w:jc w:val="center"/>
              <w:rPr>
                <w:sz w:val="20"/>
                <w:szCs w:val="20"/>
              </w:rPr>
            </w:pPr>
            <w:r w:rsidRPr="00504273">
              <w:rPr>
                <w:sz w:val="20"/>
                <w:szCs w:val="20"/>
              </w:rPr>
              <w:t>Payments made upfront or based on activities delivered</w:t>
            </w:r>
          </w:p>
        </w:tc>
        <w:tc>
          <w:tcPr>
            <w:tcW w:w="3544" w:type="dxa"/>
            <w:shd w:val="clear" w:color="auto" w:fill="FFFFFF" w:themeFill="background1"/>
            <w:vAlign w:val="center"/>
          </w:tcPr>
          <w:p w14:paraId="74CCBF64" w14:textId="77777777" w:rsidR="00076284" w:rsidRPr="00504273" w:rsidRDefault="00076284" w:rsidP="00A87353">
            <w:pPr>
              <w:spacing w:before="60" w:after="60"/>
              <w:jc w:val="center"/>
              <w:rPr>
                <w:sz w:val="20"/>
                <w:szCs w:val="20"/>
              </w:rPr>
            </w:pPr>
            <w:r w:rsidRPr="00504273">
              <w:rPr>
                <w:sz w:val="20"/>
                <w:szCs w:val="20"/>
              </w:rPr>
              <w:t>Both upfront and outcomes-based payments</w:t>
            </w:r>
          </w:p>
        </w:tc>
      </w:tr>
      <w:tr w:rsidR="00076284" w:rsidRPr="00076284" w14:paraId="5DDCD224" w14:textId="77777777" w:rsidTr="00F8010C">
        <w:trPr>
          <w:trHeight w:val="847"/>
        </w:trPr>
        <w:tc>
          <w:tcPr>
            <w:tcW w:w="3256" w:type="dxa"/>
            <w:shd w:val="clear" w:color="auto" w:fill="C1E4F5"/>
            <w:vAlign w:val="center"/>
          </w:tcPr>
          <w:p w14:paraId="77FA92DC" w14:textId="77777777" w:rsidR="0087623E" w:rsidRDefault="0087623E" w:rsidP="00A87353">
            <w:pPr>
              <w:spacing w:before="60" w:after="60"/>
              <w:jc w:val="center"/>
              <w:rPr>
                <w:b/>
                <w:bCs/>
                <w:color w:val="156082"/>
                <w:sz w:val="20"/>
                <w:szCs w:val="20"/>
              </w:rPr>
            </w:pPr>
            <w:r w:rsidRPr="0087623E">
              <w:rPr>
                <w:b/>
                <w:bCs/>
                <w:noProof/>
                <w:color w:val="156082"/>
                <w:sz w:val="20"/>
                <w:szCs w:val="20"/>
              </w:rPr>
              <w:drawing>
                <wp:inline distT="0" distB="0" distL="0" distR="0" wp14:anchorId="78D638E5" wp14:editId="49C41BDC">
                  <wp:extent cx="360000" cy="360000"/>
                  <wp:effectExtent l="0" t="0" r="2540" b="2540"/>
                  <wp:docPr id="28" name="Picture 27">
                    <a:extLst xmlns:a="http://schemas.openxmlformats.org/drawingml/2006/main">
                      <a:ext uri="{FF2B5EF4-FFF2-40B4-BE49-F238E27FC236}">
                        <a16:creationId xmlns:a16="http://schemas.microsoft.com/office/drawing/2014/main" id="{E792EBBF-0F52-1D30-51D6-F4D5AAE725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E792EBBF-0F52-1D30-51D6-F4D5AAE7254F}"/>
                              </a:ext>
                              <a:ext uri="{C183D7F6-B498-43B3-948B-1728B52AA6E4}">
                                <adec:decorative xmlns:adec="http://schemas.microsoft.com/office/drawing/2017/decorative" val="1"/>
                              </a:ext>
                            </a:extLst>
                          </pic:cNvPr>
                          <pic:cNvPicPr>
                            <a:picLocks noChangeAspect="1"/>
                          </pic:cNvPicPr>
                        </pic:nvPicPr>
                        <pic:blipFill>
                          <a:blip r:embed="rId27" cstate="print">
                            <a:extLst>
                              <a:ext uri="{28A0092B-C50C-407E-A947-70E740481C1C}">
                                <a14:useLocalDpi xmlns:a14="http://schemas.microsoft.com/office/drawing/2010/main" val="0"/>
                              </a:ext>
                            </a:extLst>
                          </a:blip>
                          <a:srcRect/>
                          <a:stretch/>
                        </pic:blipFill>
                        <pic:spPr>
                          <a:xfrm>
                            <a:off x="0" y="0"/>
                            <a:ext cx="360000" cy="360000"/>
                          </a:xfrm>
                          <a:prstGeom prst="rect">
                            <a:avLst/>
                          </a:prstGeom>
                        </pic:spPr>
                      </pic:pic>
                    </a:graphicData>
                  </a:graphic>
                </wp:inline>
              </w:drawing>
            </w:r>
          </w:p>
          <w:p w14:paraId="62E102DF" w14:textId="77777777" w:rsidR="00076284" w:rsidRPr="00BA621C" w:rsidRDefault="00076284" w:rsidP="00A87353">
            <w:pPr>
              <w:spacing w:before="60" w:after="60"/>
              <w:jc w:val="center"/>
              <w:rPr>
                <w:b/>
                <w:bCs/>
                <w:sz w:val="20"/>
                <w:szCs w:val="20"/>
              </w:rPr>
            </w:pPr>
            <w:r w:rsidRPr="00BA621C">
              <w:rPr>
                <w:b/>
                <w:bCs/>
                <w:color w:val="156082"/>
                <w:sz w:val="20"/>
                <w:szCs w:val="20"/>
              </w:rPr>
              <w:t>Performance reviews</w:t>
            </w:r>
          </w:p>
        </w:tc>
        <w:tc>
          <w:tcPr>
            <w:tcW w:w="3543" w:type="dxa"/>
            <w:vAlign w:val="center"/>
          </w:tcPr>
          <w:p w14:paraId="6D381613" w14:textId="77777777" w:rsidR="00076284" w:rsidRPr="00504273" w:rsidRDefault="00D5528C" w:rsidP="00A87353">
            <w:pPr>
              <w:spacing w:before="60" w:after="60"/>
              <w:jc w:val="center"/>
              <w:rPr>
                <w:sz w:val="20"/>
                <w:szCs w:val="20"/>
              </w:rPr>
            </w:pPr>
            <w:r>
              <w:rPr>
                <w:sz w:val="20"/>
                <w:szCs w:val="20"/>
              </w:rPr>
              <w:t>Reviews are centred on outputs. T</w:t>
            </w:r>
            <w:r w:rsidR="008B0DF4" w:rsidRPr="00504273">
              <w:rPr>
                <w:sz w:val="20"/>
                <w:szCs w:val="20"/>
              </w:rPr>
              <w:t>end</w:t>
            </w:r>
            <w:r>
              <w:rPr>
                <w:sz w:val="20"/>
                <w:szCs w:val="20"/>
              </w:rPr>
              <w:t>s</w:t>
            </w:r>
            <w:r w:rsidR="008B0DF4" w:rsidRPr="00504273">
              <w:rPr>
                <w:sz w:val="20"/>
                <w:szCs w:val="20"/>
              </w:rPr>
              <w:t xml:space="preserve"> </w:t>
            </w:r>
            <w:r>
              <w:rPr>
                <w:sz w:val="20"/>
                <w:szCs w:val="20"/>
              </w:rPr>
              <w:t>to use</w:t>
            </w:r>
            <w:r w:rsidR="008B0DF4" w:rsidRPr="00504273">
              <w:rPr>
                <w:sz w:val="20"/>
                <w:szCs w:val="20"/>
              </w:rPr>
              <w:t xml:space="preserve"> service provider data,</w:t>
            </w:r>
            <w:r w:rsidR="00076284" w:rsidRPr="00504273">
              <w:rPr>
                <w:sz w:val="20"/>
                <w:szCs w:val="20"/>
              </w:rPr>
              <w:t xml:space="preserve"> with limited understanding of outcomes achieved</w:t>
            </w:r>
          </w:p>
        </w:tc>
        <w:tc>
          <w:tcPr>
            <w:tcW w:w="3544" w:type="dxa"/>
            <w:shd w:val="clear" w:color="auto" w:fill="FFFFFF" w:themeFill="background1"/>
            <w:vAlign w:val="center"/>
          </w:tcPr>
          <w:p w14:paraId="1BB3DAC7" w14:textId="77777777" w:rsidR="00076284" w:rsidRPr="00504273" w:rsidRDefault="00C12215" w:rsidP="00A87353">
            <w:pPr>
              <w:spacing w:before="60" w:after="60"/>
              <w:jc w:val="center"/>
              <w:rPr>
                <w:sz w:val="20"/>
                <w:szCs w:val="20"/>
              </w:rPr>
            </w:pPr>
            <w:r w:rsidRPr="00504273">
              <w:rPr>
                <w:sz w:val="20"/>
                <w:szCs w:val="20"/>
              </w:rPr>
              <w:t xml:space="preserve">Reviews </w:t>
            </w:r>
            <w:r w:rsidR="00076284" w:rsidRPr="00504273">
              <w:rPr>
                <w:sz w:val="20"/>
                <w:szCs w:val="20"/>
              </w:rPr>
              <w:t xml:space="preserve">are </w:t>
            </w:r>
            <w:r w:rsidRPr="00504273">
              <w:rPr>
                <w:sz w:val="20"/>
                <w:szCs w:val="20"/>
              </w:rPr>
              <w:t xml:space="preserve">centred </w:t>
            </w:r>
            <w:r w:rsidR="00076284" w:rsidRPr="00504273">
              <w:rPr>
                <w:sz w:val="20"/>
                <w:szCs w:val="20"/>
              </w:rPr>
              <w:t xml:space="preserve">on </w:t>
            </w:r>
            <w:r w:rsidR="008B0DF4" w:rsidRPr="00504273">
              <w:rPr>
                <w:sz w:val="20"/>
                <w:szCs w:val="20"/>
              </w:rPr>
              <w:t>outcomes. Use</w:t>
            </w:r>
            <w:r w:rsidR="00D5528C">
              <w:rPr>
                <w:sz w:val="20"/>
                <w:szCs w:val="20"/>
              </w:rPr>
              <w:t>s</w:t>
            </w:r>
            <w:r w:rsidR="008B0DF4" w:rsidRPr="00504273">
              <w:rPr>
                <w:sz w:val="20"/>
                <w:szCs w:val="20"/>
              </w:rPr>
              <w:t xml:space="preserve"> a mix of government and service provider </w:t>
            </w:r>
            <w:r w:rsidR="00076284" w:rsidRPr="00504273">
              <w:rPr>
                <w:sz w:val="20"/>
                <w:szCs w:val="20"/>
              </w:rPr>
              <w:t xml:space="preserve">data </w:t>
            </w:r>
            <w:r w:rsidR="008B0DF4" w:rsidRPr="00504273">
              <w:rPr>
                <w:sz w:val="20"/>
                <w:szCs w:val="20"/>
              </w:rPr>
              <w:t xml:space="preserve">to understand </w:t>
            </w:r>
            <w:r w:rsidR="00076284" w:rsidRPr="00504273">
              <w:rPr>
                <w:sz w:val="20"/>
                <w:szCs w:val="20"/>
              </w:rPr>
              <w:t>outcomes achieved</w:t>
            </w:r>
          </w:p>
        </w:tc>
      </w:tr>
      <w:tr w:rsidR="00076284" w:rsidRPr="00076284" w14:paraId="416F2B57" w14:textId="77777777" w:rsidTr="00F8010C">
        <w:trPr>
          <w:trHeight w:val="677"/>
        </w:trPr>
        <w:tc>
          <w:tcPr>
            <w:tcW w:w="3256" w:type="dxa"/>
            <w:shd w:val="clear" w:color="auto" w:fill="C1E4F5"/>
            <w:vAlign w:val="center"/>
          </w:tcPr>
          <w:p w14:paraId="7B76A4B6" w14:textId="77777777" w:rsidR="00C95077" w:rsidRDefault="003E7EEE" w:rsidP="00A87353">
            <w:pPr>
              <w:spacing w:before="60" w:after="60"/>
              <w:jc w:val="center"/>
              <w:rPr>
                <w:b/>
                <w:bCs/>
                <w:color w:val="156082"/>
                <w:sz w:val="20"/>
                <w:szCs w:val="20"/>
              </w:rPr>
            </w:pPr>
            <w:r w:rsidRPr="003E7EEE">
              <w:rPr>
                <w:noProof/>
                <w:kern w:val="0"/>
                <w14:ligatures w14:val="none"/>
              </w:rPr>
              <w:t xml:space="preserve"> </w:t>
            </w:r>
            <w:r w:rsidRPr="003E7EEE">
              <w:rPr>
                <w:b/>
                <w:bCs/>
                <w:noProof/>
                <w:color w:val="156082"/>
                <w:sz w:val="20"/>
                <w:szCs w:val="20"/>
              </w:rPr>
              <w:drawing>
                <wp:inline distT="0" distB="0" distL="0" distR="0" wp14:anchorId="5CABB260" wp14:editId="1F66E74C">
                  <wp:extent cx="360000" cy="360000"/>
                  <wp:effectExtent l="0" t="0" r="2540" b="2540"/>
                  <wp:docPr id="1349150810" name="Picture 9">
                    <a:extLst xmlns:a="http://schemas.openxmlformats.org/drawingml/2006/main">
                      <a:ext uri="{FF2B5EF4-FFF2-40B4-BE49-F238E27FC236}">
                        <a16:creationId xmlns:a16="http://schemas.microsoft.com/office/drawing/2014/main" id="{A000DF80-41D1-0E7C-5AE6-3DF56861E4F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50810" name="Picture 9">
                            <a:extLst>
                              <a:ext uri="{FF2B5EF4-FFF2-40B4-BE49-F238E27FC236}">
                                <a16:creationId xmlns:a16="http://schemas.microsoft.com/office/drawing/2014/main" id="{A000DF80-41D1-0E7C-5AE6-3DF56861E4F8}"/>
                              </a:ex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Lst>
                          </a:blip>
                          <a:srcRect/>
                          <a:stretch/>
                        </pic:blipFill>
                        <pic:spPr>
                          <a:xfrm>
                            <a:off x="0" y="0"/>
                            <a:ext cx="360000" cy="360000"/>
                          </a:xfrm>
                          <a:prstGeom prst="rect">
                            <a:avLst/>
                          </a:prstGeom>
                        </pic:spPr>
                      </pic:pic>
                    </a:graphicData>
                  </a:graphic>
                </wp:inline>
              </w:drawing>
            </w:r>
          </w:p>
          <w:p w14:paraId="1199E111" w14:textId="77777777" w:rsidR="00076284" w:rsidRPr="00BA621C" w:rsidRDefault="00076284" w:rsidP="00A87353">
            <w:pPr>
              <w:spacing w:before="60" w:after="60"/>
              <w:jc w:val="center"/>
              <w:rPr>
                <w:b/>
                <w:bCs/>
                <w:sz w:val="20"/>
                <w:szCs w:val="20"/>
              </w:rPr>
            </w:pPr>
            <w:r w:rsidRPr="00BA621C">
              <w:rPr>
                <w:b/>
                <w:bCs/>
                <w:color w:val="156082"/>
                <w:sz w:val="20"/>
                <w:szCs w:val="20"/>
              </w:rPr>
              <w:t>Financial benefit and risk allocation</w:t>
            </w:r>
          </w:p>
        </w:tc>
        <w:tc>
          <w:tcPr>
            <w:tcW w:w="3543" w:type="dxa"/>
            <w:vAlign w:val="center"/>
          </w:tcPr>
          <w:p w14:paraId="575C01E5" w14:textId="77777777" w:rsidR="00076284" w:rsidRPr="00504273" w:rsidRDefault="00076284" w:rsidP="00A87353">
            <w:pPr>
              <w:spacing w:before="60" w:after="60"/>
              <w:jc w:val="center"/>
              <w:rPr>
                <w:sz w:val="20"/>
                <w:szCs w:val="20"/>
              </w:rPr>
            </w:pPr>
            <w:r w:rsidRPr="00504273">
              <w:rPr>
                <w:sz w:val="20"/>
                <w:szCs w:val="20"/>
              </w:rPr>
              <w:t>Financial benefits and risks typically held by commissioner</w:t>
            </w:r>
          </w:p>
        </w:tc>
        <w:tc>
          <w:tcPr>
            <w:tcW w:w="3544" w:type="dxa"/>
            <w:shd w:val="clear" w:color="auto" w:fill="FFFFFF" w:themeFill="background1"/>
            <w:vAlign w:val="center"/>
          </w:tcPr>
          <w:p w14:paraId="7FC19B49" w14:textId="77777777" w:rsidR="00076284" w:rsidRPr="00504273" w:rsidRDefault="00076284" w:rsidP="00A87353">
            <w:pPr>
              <w:spacing w:before="60" w:after="60"/>
              <w:jc w:val="center"/>
              <w:rPr>
                <w:sz w:val="20"/>
                <w:szCs w:val="20"/>
              </w:rPr>
            </w:pPr>
            <w:r w:rsidRPr="00504273">
              <w:rPr>
                <w:sz w:val="20"/>
                <w:szCs w:val="20"/>
              </w:rPr>
              <w:t xml:space="preserve">Financial benefits and risks are shared between the commissioner and service provider </w:t>
            </w:r>
            <w:r w:rsidR="00022D58" w:rsidRPr="00022D58">
              <w:rPr>
                <w:sz w:val="20"/>
                <w:szCs w:val="20"/>
              </w:rPr>
              <w:t>(and investors for social impact bonds)</w:t>
            </w:r>
          </w:p>
        </w:tc>
      </w:tr>
    </w:tbl>
    <w:p w14:paraId="60DE9121" w14:textId="77777777" w:rsidR="00F1131E" w:rsidRDefault="00F1131E" w:rsidP="00A87353">
      <w:pPr>
        <w:sectPr w:rsidR="00F1131E" w:rsidSect="002E0DD3">
          <w:footerReference w:type="first" r:id="rId29"/>
          <w:type w:val="continuous"/>
          <w:pgSz w:w="11906" w:h="16838"/>
          <w:pgMar w:top="851" w:right="851" w:bottom="851" w:left="851" w:header="0" w:footer="0" w:gutter="0"/>
          <w:pgNumType w:start="2"/>
          <w:cols w:space="708"/>
          <w:titlePg/>
          <w:docGrid w:linePitch="360"/>
        </w:sectPr>
      </w:pPr>
    </w:p>
    <w:p w14:paraId="557287BD" w14:textId="77777777" w:rsidR="00D41698" w:rsidRPr="00B82B32" w:rsidRDefault="00D41698" w:rsidP="007519B0">
      <w:pPr>
        <w:pStyle w:val="Heading2"/>
      </w:pPr>
      <w:r w:rsidRPr="00B82B32">
        <w:t>Outcomes Fund</w:t>
      </w:r>
      <w:r w:rsidR="00504273">
        <w:t xml:space="preserve"> and</w:t>
      </w:r>
      <w:r w:rsidRPr="00B82B32">
        <w:t xml:space="preserve"> outcomes-based contracting</w:t>
      </w:r>
    </w:p>
    <w:p w14:paraId="25CE34F4" w14:textId="77777777" w:rsidR="00F1131E" w:rsidRDefault="00D41698" w:rsidP="00A87353">
      <w:r w:rsidRPr="2D4D3E76">
        <w:t xml:space="preserve">The Australian Government </w:t>
      </w:r>
      <w:r>
        <w:t xml:space="preserve">has </w:t>
      </w:r>
      <w:r w:rsidRPr="2D4D3E76">
        <w:t xml:space="preserve">committed $100 million to establish the Commonwealth Outcomes </w:t>
      </w:r>
      <w:r w:rsidRPr="00BA164D">
        <w:t>Fund. The Outcomes Fund will provide opportunities for outcomes-based contracting projects</w:t>
      </w:r>
      <w:r>
        <w:t xml:space="preserve"> by making</w:t>
      </w:r>
      <w:r w:rsidRPr="00BA164D">
        <w:t xml:space="preserve"> payments to Governments (State and Territory)</w:t>
      </w:r>
      <w:r w:rsidR="00DF2A97">
        <w:t xml:space="preserve"> and</w:t>
      </w:r>
      <w:r w:rsidRPr="00BA164D">
        <w:t xml:space="preserve"> service providers</w:t>
      </w:r>
      <w:r w:rsidR="00DF2A97">
        <w:t xml:space="preserve"> to address entrenched disadvantage</w:t>
      </w:r>
      <w:r w:rsidRPr="00BA164D">
        <w:t xml:space="preserve">. </w:t>
      </w:r>
    </w:p>
    <w:p w14:paraId="72D23F91" w14:textId="77777777" w:rsidR="00D41698" w:rsidRPr="00A87353" w:rsidRDefault="00B33B57" w:rsidP="00F1131E">
      <w:pPr>
        <w:pStyle w:val="Heading2"/>
        <w:pBdr>
          <w:top w:val="single" w:sz="36" w:space="1" w:color="C1E4F5"/>
          <w:left w:val="single" w:sz="36" w:space="4" w:color="C1E4F5"/>
          <w:bottom w:val="single" w:sz="36" w:space="1" w:color="C1E4F5"/>
          <w:right w:val="single" w:sz="36" w:space="4" w:color="C1E4F5"/>
        </w:pBdr>
        <w:rPr>
          <w:b/>
          <w:bCs w:val="0"/>
        </w:rPr>
      </w:pPr>
      <w:r w:rsidRPr="00A87353">
        <w:rPr>
          <w:b/>
          <w:bCs w:val="0"/>
        </w:rPr>
        <w:t>Learn more</w:t>
      </w:r>
    </w:p>
    <w:p w14:paraId="06DD9018" w14:textId="77777777" w:rsidR="00071364" w:rsidRPr="00A87353" w:rsidRDefault="00A87353" w:rsidP="00F1131E">
      <w:pPr>
        <w:pStyle w:val="ListParagraph"/>
        <w:pBdr>
          <w:top w:val="single" w:sz="36" w:space="1" w:color="C1E4F5"/>
          <w:left w:val="single" w:sz="36" w:space="4" w:color="C1E4F5"/>
          <w:bottom w:val="single" w:sz="36" w:space="1" w:color="C1E4F5"/>
          <w:right w:val="single" w:sz="36" w:space="4" w:color="C1E4F5"/>
        </w:pBdr>
        <w:rPr>
          <w:sz w:val="20"/>
          <w:szCs w:val="20"/>
        </w:rPr>
      </w:pPr>
      <w:r w:rsidRPr="00A87353">
        <w:rPr>
          <w:sz w:val="20"/>
          <w:szCs w:val="20"/>
        </w:rPr>
        <w:t>D</w:t>
      </w:r>
      <w:r w:rsidR="00071364" w:rsidRPr="00A87353">
        <w:rPr>
          <w:sz w:val="20"/>
          <w:szCs w:val="20"/>
        </w:rPr>
        <w:t xml:space="preserve">efine who a service is for in </w:t>
      </w:r>
      <w:r w:rsidR="00071364" w:rsidRPr="00A87353">
        <w:rPr>
          <w:b/>
          <w:bCs/>
          <w:sz w:val="20"/>
          <w:szCs w:val="20"/>
        </w:rPr>
        <w:t>Identifying a Target Cohort</w:t>
      </w:r>
    </w:p>
    <w:p w14:paraId="7CEDAA47" w14:textId="77777777" w:rsidR="00071364" w:rsidRPr="00A87353" w:rsidRDefault="00071364" w:rsidP="00F1131E">
      <w:pPr>
        <w:pStyle w:val="ListParagraph"/>
        <w:pBdr>
          <w:top w:val="single" w:sz="36" w:space="1" w:color="C1E4F5"/>
          <w:left w:val="single" w:sz="36" w:space="4" w:color="C1E4F5"/>
          <w:bottom w:val="single" w:sz="36" w:space="1" w:color="C1E4F5"/>
          <w:right w:val="single" w:sz="36" w:space="4" w:color="C1E4F5"/>
        </w:pBdr>
        <w:rPr>
          <w:b/>
          <w:bCs/>
          <w:sz w:val="20"/>
          <w:szCs w:val="20"/>
        </w:rPr>
      </w:pPr>
      <w:r w:rsidRPr="00A87353">
        <w:rPr>
          <w:sz w:val="20"/>
          <w:szCs w:val="20"/>
        </w:rPr>
        <w:t xml:space="preserve">Identify indicators of real-world changes that align with your policy objectives in </w:t>
      </w:r>
      <w:r w:rsidRPr="00A87353">
        <w:rPr>
          <w:b/>
          <w:bCs/>
          <w:sz w:val="20"/>
          <w:szCs w:val="20"/>
        </w:rPr>
        <w:t>Defining Outcome Metrics</w:t>
      </w:r>
    </w:p>
    <w:p w14:paraId="44AA6386" w14:textId="77777777" w:rsidR="00071364" w:rsidRPr="00A87353" w:rsidRDefault="00071364" w:rsidP="00F1131E">
      <w:pPr>
        <w:pStyle w:val="ListParagraph"/>
        <w:pBdr>
          <w:top w:val="single" w:sz="36" w:space="1" w:color="C1E4F5"/>
          <w:left w:val="single" w:sz="36" w:space="4" w:color="C1E4F5"/>
          <w:bottom w:val="single" w:sz="36" w:space="1" w:color="C1E4F5"/>
          <w:right w:val="single" w:sz="36" w:space="4" w:color="C1E4F5"/>
        </w:pBdr>
        <w:rPr>
          <w:sz w:val="20"/>
          <w:szCs w:val="20"/>
        </w:rPr>
      </w:pPr>
      <w:r w:rsidRPr="00A87353">
        <w:rPr>
          <w:sz w:val="20"/>
          <w:szCs w:val="20"/>
        </w:rPr>
        <w:t xml:space="preserve">Develop an approach to assessing impact in </w:t>
      </w:r>
      <w:r w:rsidRPr="00A87353">
        <w:rPr>
          <w:b/>
          <w:bCs/>
          <w:sz w:val="20"/>
          <w:szCs w:val="20"/>
        </w:rPr>
        <w:t>Understanding Outcome Measurement</w:t>
      </w:r>
    </w:p>
    <w:p w14:paraId="57B8DDBA" w14:textId="77777777" w:rsidR="00466DDB" w:rsidRPr="00A87353" w:rsidRDefault="00C12215" w:rsidP="00F1131E">
      <w:pPr>
        <w:pStyle w:val="ListParagraph"/>
        <w:pBdr>
          <w:top w:val="single" w:sz="36" w:space="1" w:color="C1E4F5"/>
          <w:left w:val="single" w:sz="36" w:space="4" w:color="C1E4F5"/>
          <w:bottom w:val="single" w:sz="36" w:space="1" w:color="C1E4F5"/>
          <w:right w:val="single" w:sz="36" w:space="4" w:color="C1E4F5"/>
        </w:pBdr>
        <w:rPr>
          <w:b/>
          <w:bCs/>
          <w:sz w:val="20"/>
          <w:szCs w:val="20"/>
        </w:rPr>
      </w:pPr>
      <w:r>
        <w:rPr>
          <w:sz w:val="20"/>
          <w:szCs w:val="20"/>
        </w:rPr>
        <w:t>D</w:t>
      </w:r>
      <w:r w:rsidR="00071364" w:rsidRPr="00A87353">
        <w:rPr>
          <w:sz w:val="20"/>
          <w:szCs w:val="20"/>
        </w:rPr>
        <w:t xml:space="preserve">etermine how much to pay for an outcome in </w:t>
      </w:r>
      <w:r w:rsidR="00071364" w:rsidRPr="00A87353">
        <w:rPr>
          <w:b/>
          <w:bCs/>
          <w:sz w:val="20"/>
          <w:szCs w:val="20"/>
        </w:rPr>
        <w:t>Pricing Outcomes</w:t>
      </w:r>
    </w:p>
    <w:p w14:paraId="6A1EFE70" w14:textId="1114937B" w:rsidR="00F1131E" w:rsidRPr="008B0DF4" w:rsidRDefault="00071364" w:rsidP="00B60557">
      <w:pPr>
        <w:pStyle w:val="ListParagraph"/>
        <w:pBdr>
          <w:top w:val="single" w:sz="36" w:space="1" w:color="C1E4F5"/>
          <w:left w:val="single" w:sz="36" w:space="4" w:color="C1E4F5"/>
          <w:bottom w:val="single" w:sz="36" w:space="1" w:color="C1E4F5"/>
          <w:right w:val="single" w:sz="36" w:space="4" w:color="C1E4F5"/>
        </w:pBdr>
        <w:sectPr w:rsidR="00F1131E" w:rsidRPr="008B0DF4" w:rsidSect="00F1131E">
          <w:type w:val="continuous"/>
          <w:pgSz w:w="11906" w:h="16838"/>
          <w:pgMar w:top="851" w:right="851" w:bottom="851" w:left="851" w:header="0" w:footer="0" w:gutter="0"/>
          <w:pgNumType w:start="2"/>
          <w:cols w:num="2" w:space="708"/>
          <w:titlePg/>
          <w:docGrid w:linePitch="360"/>
        </w:sectPr>
      </w:pPr>
      <w:r w:rsidRPr="00A87353">
        <w:rPr>
          <w:sz w:val="20"/>
          <w:szCs w:val="20"/>
        </w:rPr>
        <w:t xml:space="preserve">Self-assess your readiness for outcomes-based contracting in the </w:t>
      </w:r>
      <w:r w:rsidRPr="00A87353">
        <w:rPr>
          <w:b/>
          <w:bCs/>
          <w:sz w:val="20"/>
          <w:szCs w:val="20"/>
        </w:rPr>
        <w:t>Readiness Checklist</w:t>
      </w:r>
    </w:p>
    <w:p w14:paraId="2EC20CC3" w14:textId="77777777" w:rsidR="00B9016B" w:rsidRDefault="00B9016B" w:rsidP="719EED2C">
      <w:pPr>
        <w:rPr>
          <w:i/>
          <w:iCs/>
          <w:sz w:val="18"/>
          <w:szCs w:val="18"/>
          <w:highlight w:val="yellow"/>
        </w:rPr>
        <w:sectPr w:rsidR="00B9016B" w:rsidSect="002E0DD3">
          <w:type w:val="continuous"/>
          <w:pgSz w:w="11906" w:h="16838"/>
          <w:pgMar w:top="851" w:right="851" w:bottom="851" w:left="851" w:header="0" w:footer="0" w:gutter="0"/>
          <w:pgNumType w:start="2"/>
          <w:cols w:space="708"/>
          <w:titlePg/>
          <w:docGrid w:linePitch="360"/>
        </w:sectPr>
      </w:pPr>
    </w:p>
    <w:p w14:paraId="48018F71" w14:textId="77777777" w:rsidR="00EC4845" w:rsidRDefault="00EC4845" w:rsidP="00EC4845">
      <w:pPr>
        <w:pStyle w:val="Crestwithrule"/>
      </w:pPr>
      <w:r>
        <w:rPr>
          <w:lang w:eastAsia="en-AU"/>
        </w:rPr>
        <w:lastRenderedPageBreak/>
        <w:drawing>
          <wp:inline distT="0" distB="0" distL="0" distR="0" wp14:anchorId="338F7F60" wp14:editId="23165AD9">
            <wp:extent cx="3235960" cy="768868"/>
            <wp:effectExtent l="0" t="0" r="2540" b="0"/>
            <wp:docPr id="2021259898" name="Picture 2021259898"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7EE8C507" w14:textId="77777777" w:rsidR="00EC4845" w:rsidRDefault="00EC4845" w:rsidP="00EC4845">
      <w:pPr>
        <w:pStyle w:val="Crestwithrule"/>
      </w:pPr>
    </w:p>
    <w:p w14:paraId="42DB9BB9" w14:textId="77777777" w:rsidR="00EC4845" w:rsidRDefault="00EC4845" w:rsidP="00EC4845">
      <w:pPr>
        <w:pStyle w:val="Crestwithrule"/>
        <w:sectPr w:rsidR="00EC4845" w:rsidSect="00EC4845">
          <w:headerReference w:type="default" r:id="rId30"/>
          <w:headerReference w:type="first" r:id="rId31"/>
          <w:footerReference w:type="first" r:id="rId32"/>
          <w:pgSz w:w="11906" w:h="16838"/>
          <w:pgMar w:top="851" w:right="851" w:bottom="1134" w:left="851" w:header="0" w:footer="0" w:gutter="0"/>
          <w:pgNumType w:start="2"/>
          <w:cols w:space="708"/>
          <w:titlePg/>
          <w:docGrid w:linePitch="360"/>
        </w:sectPr>
      </w:pPr>
    </w:p>
    <w:p w14:paraId="7DF1DD8C" w14:textId="77777777" w:rsidR="00EC4845" w:rsidRPr="00B772FB" w:rsidRDefault="00EC4845" w:rsidP="00EC4845">
      <w:pPr>
        <w:pStyle w:val="Title"/>
      </w:pPr>
      <w:r w:rsidRPr="00B772FB">
        <w:t xml:space="preserve">Outcomes-Based Contracting </w:t>
      </w:r>
    </w:p>
    <w:p w14:paraId="42CD3FCA" w14:textId="77777777" w:rsidR="00EC4845" w:rsidRPr="0095074F" w:rsidRDefault="00EC4845" w:rsidP="00EC4845">
      <w:pPr>
        <w:pStyle w:val="Subtitle"/>
      </w:pPr>
      <w:r w:rsidRPr="0095074F">
        <w:t xml:space="preserve">Factsheet: </w:t>
      </w:r>
      <w:r>
        <w:t>Identifying a Target Cohort</w:t>
      </w:r>
      <w:r w:rsidRPr="0095074F">
        <w:t xml:space="preserve"> </w:t>
      </w:r>
    </w:p>
    <w:p w14:paraId="57151301" w14:textId="77777777" w:rsidR="00EC4845" w:rsidRDefault="00EC4845" w:rsidP="00EC4845">
      <w:pPr>
        <w:pStyle w:val="IntroductionQuote"/>
        <w:sectPr w:rsidR="00EC4845" w:rsidSect="00EC4845">
          <w:type w:val="continuous"/>
          <w:pgSz w:w="11906" w:h="16838"/>
          <w:pgMar w:top="851" w:right="851" w:bottom="851" w:left="851" w:header="0" w:footer="0" w:gutter="0"/>
          <w:pgNumType w:start="2"/>
          <w:cols w:space="708"/>
          <w:titlePg/>
          <w:docGrid w:linePitch="360"/>
        </w:sectPr>
      </w:pPr>
    </w:p>
    <w:p w14:paraId="5E86F969" w14:textId="77777777" w:rsidR="00EC4845" w:rsidRDefault="00EC4845" w:rsidP="00EC4845">
      <w:pPr>
        <w:pStyle w:val="IntroductionQuote"/>
      </w:pPr>
      <w:r>
        <w:t xml:space="preserve">Outcomes-based contracting enables commissioners to focus on clearly defined groups within a population. This can ensure that services are directed towards people with the greatest need or those who are underserviced, whilst building evidence about what works to address disadvantage. </w:t>
      </w:r>
    </w:p>
    <w:p w14:paraId="7B1B0822" w14:textId="77777777" w:rsidR="00EC4845" w:rsidRPr="005F5B28" w:rsidRDefault="00EC4845" w:rsidP="00EC4845">
      <w:r w:rsidRPr="005F5B28">
        <w:t>A well-defined target cohort ensures that:</w:t>
      </w:r>
    </w:p>
    <w:p w14:paraId="5713FC22" w14:textId="77777777" w:rsidR="00EC4845" w:rsidRPr="005F5B28" w:rsidRDefault="00EC4845" w:rsidP="00EC4845">
      <w:pPr>
        <w:pStyle w:val="ListParagraph"/>
      </w:pPr>
      <w:r>
        <w:t>P</w:t>
      </w:r>
      <w:r w:rsidRPr="005F5B28">
        <w:t xml:space="preserve">eople </w:t>
      </w:r>
      <w:r>
        <w:t>who</w:t>
      </w:r>
      <w:r w:rsidRPr="005F5B28">
        <w:t xml:space="preserve"> are directly impacted by the identified social problem are captured</w:t>
      </w:r>
    </w:p>
    <w:p w14:paraId="34BC80E4" w14:textId="77777777" w:rsidR="00EC4845" w:rsidRDefault="00EC4845" w:rsidP="00EC4845">
      <w:pPr>
        <w:pStyle w:val="ListParagraph"/>
      </w:pPr>
      <w:r>
        <w:t>There is no ambiguity around who the</w:t>
      </w:r>
      <w:r w:rsidRPr="005F5B28">
        <w:t xml:space="preserve"> service is for (and who it is not for)</w:t>
      </w:r>
    </w:p>
    <w:p w14:paraId="3EA96AD1" w14:textId="77777777" w:rsidR="00EC4845" w:rsidRPr="005F5B28" w:rsidRDefault="00EC4845" w:rsidP="00EC4845">
      <w:pPr>
        <w:pStyle w:val="ListParagraph"/>
      </w:pPr>
      <w:r>
        <w:t>There is a clear process for identifying potential service users</w:t>
      </w:r>
    </w:p>
    <w:p w14:paraId="0473B26A" w14:textId="77777777" w:rsidR="00EC4845" w:rsidRPr="005F5B28" w:rsidRDefault="00EC4845" w:rsidP="00EC4845">
      <w:pPr>
        <w:pStyle w:val="ListParagraph"/>
      </w:pPr>
      <w:r w:rsidRPr="005F5B28">
        <w:t>Outcomes can be measured fairly and consistently</w:t>
      </w:r>
    </w:p>
    <w:p w14:paraId="659041DB" w14:textId="77777777" w:rsidR="00EC4845" w:rsidRDefault="00EC4845" w:rsidP="00EC4845">
      <w:pPr>
        <w:pStyle w:val="ListParagraph"/>
      </w:pPr>
      <w:r w:rsidRPr="005F5B28">
        <w:t>Commissioners can link improvements for the cohort to the funding that is provided</w:t>
      </w:r>
    </w:p>
    <w:p w14:paraId="6A3B54FC" w14:textId="77777777" w:rsidR="00EC4845" w:rsidRPr="005F5B28" w:rsidRDefault="00EC4845" w:rsidP="00EC4845">
      <w:pPr>
        <w:pStyle w:val="ListParagraph"/>
      </w:pPr>
      <w:r>
        <w:t xml:space="preserve">Outcomes are priced fairly and sustainably. </w:t>
      </w:r>
    </w:p>
    <w:p w14:paraId="01382D01" w14:textId="77777777" w:rsidR="00EC4845" w:rsidRPr="007E593C" w:rsidRDefault="00EC4845" w:rsidP="00EC4845">
      <w:pPr>
        <w:pStyle w:val="Heading2"/>
      </w:pPr>
      <w:r w:rsidRPr="007E593C">
        <w:t>Target cohorts</w:t>
      </w:r>
    </w:p>
    <w:p w14:paraId="63233097" w14:textId="77777777" w:rsidR="00EC4845" w:rsidRDefault="00EC4845" w:rsidP="00EC4845">
      <w:r w:rsidRPr="00F6476B">
        <w:t xml:space="preserve">The target cohort refers to everyone that is eligible for, and can access, a service funded by an outcomes-based contract.  </w:t>
      </w:r>
    </w:p>
    <w:p w14:paraId="580BF7A8" w14:textId="77777777" w:rsidR="00EC4845" w:rsidRDefault="00EC4845" w:rsidP="00EC4845"/>
    <w:p w14:paraId="5E28D56D" w14:textId="77777777" w:rsidR="00EC4845" w:rsidRDefault="00EC4845" w:rsidP="00EC4845"/>
    <w:p w14:paraId="5F9097EE" w14:textId="77777777" w:rsidR="00EC4845" w:rsidRPr="00F6476B" w:rsidRDefault="00EC4845" w:rsidP="00EC4845">
      <w:r w:rsidRPr="00F6476B">
        <w:t>A target cohort is defined using eligibility criteria</w:t>
      </w:r>
      <w:r>
        <w:t>. Some examples include:</w:t>
      </w:r>
    </w:p>
    <w:p w14:paraId="49215D6D" w14:textId="77777777" w:rsidR="00EC4845" w:rsidRPr="00214A98" w:rsidRDefault="00EC4845" w:rsidP="00EC4845">
      <w:pPr>
        <w:pStyle w:val="Heading3colourblock"/>
      </w:pPr>
      <w:r w:rsidRPr="00214A98">
        <w:t>Demographic factors</w:t>
      </w:r>
    </w:p>
    <w:p w14:paraId="200A01E1" w14:textId="77777777" w:rsidR="00EC4845" w:rsidRPr="00214A98" w:rsidRDefault="00EC4845" w:rsidP="00EC4845">
      <w:pPr>
        <w:pStyle w:val="ListParagraph"/>
      </w:pPr>
      <w:r w:rsidRPr="00214A98">
        <w:t>Age</w:t>
      </w:r>
    </w:p>
    <w:p w14:paraId="3AF6E211" w14:textId="77777777" w:rsidR="00EC4845" w:rsidRPr="00214A98" w:rsidRDefault="00EC4845" w:rsidP="00EC4845">
      <w:pPr>
        <w:pStyle w:val="ListParagraph"/>
      </w:pPr>
      <w:r w:rsidRPr="00214A98">
        <w:t>Gender</w:t>
      </w:r>
    </w:p>
    <w:p w14:paraId="2C4B6B09" w14:textId="77777777" w:rsidR="00EC4845" w:rsidRPr="00214A98" w:rsidRDefault="00EC4845" w:rsidP="00EC4845">
      <w:pPr>
        <w:pStyle w:val="ListParagraph"/>
      </w:pPr>
      <w:r w:rsidRPr="00214A98">
        <w:t>Cultural background</w:t>
      </w:r>
    </w:p>
    <w:p w14:paraId="64560F56" w14:textId="77777777" w:rsidR="00EC4845" w:rsidRPr="00214A98" w:rsidRDefault="00EC4845" w:rsidP="00EC4845">
      <w:pPr>
        <w:pStyle w:val="Heading3colourblock"/>
      </w:pPr>
      <w:r w:rsidRPr="00214A98">
        <w:t>Life stage or situation</w:t>
      </w:r>
    </w:p>
    <w:p w14:paraId="549732A1" w14:textId="77777777" w:rsidR="00EC4845" w:rsidRPr="00214A98" w:rsidRDefault="00EC4845" w:rsidP="00EC4845">
      <w:pPr>
        <w:pStyle w:val="ListParagraph"/>
      </w:pPr>
      <w:r w:rsidRPr="00214A98">
        <w:t>Leaving out of home care</w:t>
      </w:r>
    </w:p>
    <w:p w14:paraId="477E22E7" w14:textId="77777777" w:rsidR="00EC4845" w:rsidRPr="00214A98" w:rsidRDefault="00EC4845" w:rsidP="00EC4845">
      <w:pPr>
        <w:pStyle w:val="ListParagraph"/>
      </w:pPr>
      <w:r w:rsidRPr="00214A98">
        <w:t>Exiting prison</w:t>
      </w:r>
    </w:p>
    <w:p w14:paraId="4D0DDEA5" w14:textId="77777777" w:rsidR="00EC4845" w:rsidRPr="00214A98" w:rsidRDefault="00EC4845" w:rsidP="00EC4845">
      <w:pPr>
        <w:pStyle w:val="ListParagraph"/>
      </w:pPr>
      <w:r w:rsidRPr="00214A98">
        <w:t>Experiencing homelessness</w:t>
      </w:r>
    </w:p>
    <w:p w14:paraId="28233AE8" w14:textId="77777777" w:rsidR="00EC4845" w:rsidRPr="00214A98" w:rsidRDefault="00EC4845" w:rsidP="00EC4845">
      <w:pPr>
        <w:pStyle w:val="Heading3colourblock"/>
      </w:pPr>
      <w:r w:rsidRPr="00214A98">
        <w:t>Service use</w:t>
      </w:r>
    </w:p>
    <w:p w14:paraId="6A979D63" w14:textId="77777777" w:rsidR="00EC4845" w:rsidRPr="00214A98" w:rsidRDefault="00EC4845" w:rsidP="00EC4845">
      <w:pPr>
        <w:pStyle w:val="ListParagraph"/>
      </w:pPr>
      <w:r w:rsidRPr="00214A98">
        <w:t>Hospital admissions</w:t>
      </w:r>
    </w:p>
    <w:p w14:paraId="557DC744" w14:textId="77777777" w:rsidR="00EC4845" w:rsidRPr="00214A98" w:rsidRDefault="00EC4845" w:rsidP="00EC4845">
      <w:pPr>
        <w:pStyle w:val="ListParagraph"/>
      </w:pPr>
      <w:r w:rsidRPr="00214A98">
        <w:t>School attendance</w:t>
      </w:r>
    </w:p>
    <w:p w14:paraId="55524F8C" w14:textId="77777777" w:rsidR="00EC4845" w:rsidRPr="00214A98" w:rsidRDefault="00EC4845" w:rsidP="00EC4845">
      <w:pPr>
        <w:pStyle w:val="ListParagraph"/>
      </w:pPr>
      <w:r w:rsidRPr="00214A98">
        <w:t>Welfare payments</w:t>
      </w:r>
    </w:p>
    <w:p w14:paraId="51C29183" w14:textId="77777777" w:rsidR="00EC4845" w:rsidRPr="00214A98" w:rsidRDefault="00EC4845" w:rsidP="00EC4845">
      <w:pPr>
        <w:pStyle w:val="Heading3colourblock"/>
      </w:pPr>
      <w:r w:rsidRPr="00214A98">
        <w:t>Time since an event</w:t>
      </w:r>
    </w:p>
    <w:p w14:paraId="30553EC2" w14:textId="77777777" w:rsidR="00EC4845" w:rsidRPr="00214A98" w:rsidRDefault="00EC4845" w:rsidP="00EC4845">
      <w:pPr>
        <w:pStyle w:val="ListParagraph"/>
      </w:pPr>
      <w:r w:rsidRPr="00214A98">
        <w:t>Received welfare payments for 13+ fortnights in the year immediately prior to enrolment</w:t>
      </w:r>
    </w:p>
    <w:p w14:paraId="51556F18" w14:textId="77777777" w:rsidR="00EC4845" w:rsidRPr="00214A98" w:rsidRDefault="00EC4845" w:rsidP="00EC4845">
      <w:pPr>
        <w:pStyle w:val="Heading3colourblock"/>
      </w:pPr>
      <w:r w:rsidRPr="00214A98">
        <w:t>Assessed risk factors</w:t>
      </w:r>
    </w:p>
    <w:p w14:paraId="5593C4A8" w14:textId="77777777" w:rsidR="00EC4845" w:rsidRPr="00214A98" w:rsidRDefault="00EC4845" w:rsidP="00EC4845">
      <w:pPr>
        <w:pStyle w:val="ListParagraph"/>
      </w:pPr>
      <w:r w:rsidRPr="00214A98">
        <w:t>Assessed as at risk of homelessness</w:t>
      </w:r>
    </w:p>
    <w:p w14:paraId="20EC522D" w14:textId="77777777" w:rsidR="00EC4845" w:rsidRPr="00214A98" w:rsidRDefault="00EC4845" w:rsidP="00EC4845">
      <w:pPr>
        <w:pStyle w:val="ListParagraph"/>
      </w:pPr>
      <w:r w:rsidRPr="00214A98">
        <w:t>Risk of school disengagement</w:t>
      </w:r>
    </w:p>
    <w:p w14:paraId="25194677" w14:textId="77777777" w:rsidR="00EC4845" w:rsidRPr="00214A98" w:rsidRDefault="00EC4845" w:rsidP="00EC4845">
      <w:pPr>
        <w:pStyle w:val="ListParagraph"/>
      </w:pPr>
      <w:r w:rsidRPr="00214A98">
        <w:t>Reoffending likelihood</w:t>
      </w:r>
    </w:p>
    <w:p w14:paraId="55B10CF5" w14:textId="77777777" w:rsidR="00EC4845" w:rsidRPr="00214A98" w:rsidRDefault="00EC4845" w:rsidP="00EC4845">
      <w:pPr>
        <w:pStyle w:val="Heading3colourblock"/>
      </w:pPr>
      <w:r w:rsidRPr="00214A98">
        <w:t>Able to meet program</w:t>
      </w:r>
      <w:r>
        <w:t xml:space="preserve"> </w:t>
      </w:r>
      <w:r w:rsidRPr="00214A98">
        <w:t>requirements</w:t>
      </w:r>
    </w:p>
    <w:p w14:paraId="044B0905" w14:textId="77777777" w:rsidR="00EC4845" w:rsidRPr="00214A98" w:rsidRDefault="00EC4845" w:rsidP="00EC4845">
      <w:pPr>
        <w:pStyle w:val="ListParagraph"/>
      </w:pPr>
      <w:r w:rsidRPr="00214A98">
        <w:t xml:space="preserve">Able to attend weekly program sessions </w:t>
      </w:r>
    </w:p>
    <w:p w14:paraId="4DA5BB83" w14:textId="77777777" w:rsidR="00EC4845" w:rsidRDefault="00EC4845" w:rsidP="00EC4845">
      <w:pPr>
        <w:pStyle w:val="ListParagraph"/>
      </w:pPr>
      <w:r w:rsidRPr="00214A98">
        <w:t>Willing to participate</w:t>
      </w:r>
    </w:p>
    <w:p w14:paraId="6A17815B" w14:textId="77777777" w:rsidR="00EC4845" w:rsidRDefault="00EC4845" w:rsidP="00EC4845">
      <w:pPr>
        <w:sectPr w:rsidR="00EC4845" w:rsidSect="00EC4845">
          <w:type w:val="continuous"/>
          <w:pgSz w:w="11906" w:h="16838"/>
          <w:pgMar w:top="851" w:right="851" w:bottom="851" w:left="851" w:header="0" w:footer="0" w:gutter="0"/>
          <w:pgNumType w:start="2"/>
          <w:cols w:num="2" w:space="708"/>
          <w:titlePg/>
          <w:docGrid w:linePitch="360"/>
        </w:sectPr>
      </w:pPr>
    </w:p>
    <w:p w14:paraId="22CA6810" w14:textId="77777777" w:rsidR="00EC4845" w:rsidRDefault="00EC4845" w:rsidP="00EC4845">
      <w:pPr>
        <w:pStyle w:val="Heading2"/>
      </w:pPr>
      <w:r w:rsidRPr="00C1728E">
        <w:lastRenderedPageBreak/>
        <w:t>Defining eligibility criteria</w:t>
      </w:r>
    </w:p>
    <w:p w14:paraId="4A06E5C9" w14:textId="77777777" w:rsidR="00EC4845" w:rsidRPr="00C1728E" w:rsidRDefault="00EC4845" w:rsidP="00EC4845">
      <w:pPr>
        <w:spacing w:before="240" w:after="120" w:line="240" w:lineRule="auto"/>
        <w:outlineLvl w:val="1"/>
        <w:rPr>
          <w:rFonts w:ascii="Tahoma" w:eastAsia="MS Gothic" w:hAnsi="Tahoma" w:cs="Times New Roman"/>
          <w:bCs/>
          <w:color w:val="005A70"/>
          <w:sz w:val="40"/>
          <w:szCs w:val="26"/>
        </w:rPr>
      </w:pPr>
      <w:r>
        <w:rPr>
          <w:rFonts w:ascii="Tahoma" w:eastAsia="Tahoma" w:hAnsi="Tahoma" w:cs="Times New Roman"/>
        </w:rPr>
        <w:t>How the eligibility criteria of a service are defined has</w:t>
      </w:r>
      <w:r w:rsidRPr="00C1728E">
        <w:rPr>
          <w:rFonts w:ascii="Tahoma" w:eastAsia="Tahoma" w:hAnsi="Tahoma" w:cs="Times New Roman"/>
        </w:rPr>
        <w:t xml:space="preserve"> implications for commissioners</w:t>
      </w:r>
      <w:r>
        <w:rPr>
          <w:rFonts w:ascii="Tahoma" w:eastAsia="Tahoma" w:hAnsi="Tahoma" w:cs="Times New Roman"/>
        </w:rPr>
        <w:t xml:space="preserve">, </w:t>
      </w:r>
      <w:r w:rsidRPr="00C1728E">
        <w:rPr>
          <w:rFonts w:ascii="Tahoma" w:eastAsia="Tahoma" w:hAnsi="Tahoma" w:cs="Times New Roman"/>
        </w:rPr>
        <w:t>service providers</w:t>
      </w:r>
      <w:r>
        <w:rPr>
          <w:rFonts w:ascii="Tahoma" w:eastAsia="Tahoma" w:hAnsi="Tahoma" w:cs="Times New Roman"/>
        </w:rPr>
        <w:t xml:space="preserve"> and service users. There are benefits and drawbacks with different approaches. Commissioners should consider the implications and define the criteria to suit the context and purpose of the service. </w:t>
      </w:r>
    </w:p>
    <w:p w14:paraId="05AA1DCD" w14:textId="77777777" w:rsidR="00EC4845" w:rsidRPr="00C1728E" w:rsidRDefault="00EC4845" w:rsidP="00EC4845">
      <w:pPr>
        <w:pStyle w:val="Heading3"/>
      </w:pPr>
      <w:r w:rsidRPr="00C1728E">
        <w:t>Breadth of eligibility criteria</w:t>
      </w:r>
    </w:p>
    <w:p w14:paraId="6A45E36A" w14:textId="77777777" w:rsidR="00EC4845" w:rsidRPr="00C1728E" w:rsidRDefault="00EC4845" w:rsidP="00EC4845">
      <w:pPr>
        <w:rPr>
          <w:rFonts w:ascii="Tahoma" w:eastAsia="Tahoma" w:hAnsi="Tahoma" w:cs="Times New Roman"/>
        </w:rPr>
      </w:pPr>
      <w:r w:rsidRPr="00C1728E">
        <w:rPr>
          <w:rFonts w:ascii="Tahoma" w:eastAsia="Tahoma" w:hAnsi="Tahoma" w:cs="Times New Roman"/>
        </w:rPr>
        <w:t>The brea</w:t>
      </w:r>
      <w:r>
        <w:rPr>
          <w:rFonts w:ascii="Tahoma" w:eastAsia="Tahoma" w:hAnsi="Tahoma" w:cs="Times New Roman"/>
        </w:rPr>
        <w:t>d</w:t>
      </w:r>
      <w:r w:rsidRPr="00C1728E">
        <w:rPr>
          <w:rFonts w:ascii="Tahoma" w:eastAsia="Tahoma" w:hAnsi="Tahoma" w:cs="Times New Roman"/>
        </w:rPr>
        <w:t xml:space="preserve">th of eligibility criteria refers to how wide or narrow your criteria </w:t>
      </w:r>
      <w:r>
        <w:rPr>
          <w:rFonts w:ascii="Tahoma" w:eastAsia="Tahoma" w:hAnsi="Tahoma" w:cs="Times New Roman"/>
        </w:rPr>
        <w:t>are.</w:t>
      </w:r>
    </w:p>
    <w:tbl>
      <w:tblPr>
        <w:tblStyle w:val="TableGridLight3"/>
        <w:tblW w:w="0" w:type="auto"/>
        <w:tblBorders>
          <w:top w:val="single" w:sz="6" w:space="0" w:color="00576D"/>
          <w:left w:val="single" w:sz="6" w:space="0" w:color="00576D"/>
          <w:bottom w:val="single" w:sz="6" w:space="0" w:color="00576D"/>
          <w:right w:val="single" w:sz="6" w:space="0" w:color="00576D"/>
          <w:insideH w:val="single" w:sz="6" w:space="0" w:color="00576D"/>
          <w:insideV w:val="single" w:sz="6" w:space="0" w:color="00576D"/>
        </w:tblBorders>
        <w:tblLook w:val="04A0" w:firstRow="1" w:lastRow="0" w:firstColumn="1" w:lastColumn="0" w:noHBand="0" w:noVBand="1"/>
      </w:tblPr>
      <w:tblGrid>
        <w:gridCol w:w="1380"/>
        <w:gridCol w:w="1511"/>
        <w:gridCol w:w="5705"/>
        <w:gridCol w:w="1592"/>
      </w:tblGrid>
      <w:tr w:rsidR="00EC4845" w:rsidRPr="00C1728E" w14:paraId="22B305DD" w14:textId="77777777" w:rsidTr="00DC6B04">
        <w:trPr>
          <w:tblHeader/>
        </w:trPr>
        <w:tc>
          <w:tcPr>
            <w:tcW w:w="1410" w:type="dxa"/>
            <w:shd w:val="clear" w:color="auto" w:fill="156082"/>
            <w:vAlign w:val="center"/>
          </w:tcPr>
          <w:p w14:paraId="16323E37" w14:textId="77777777" w:rsidR="00EC4845" w:rsidRPr="00B964D7" w:rsidRDefault="00EC4845" w:rsidP="00DC6B04">
            <w:pPr>
              <w:rPr>
                <w:rFonts w:ascii="Tahoma" w:eastAsia="Tahoma" w:hAnsi="Tahoma" w:cs="Times New Roman"/>
                <w:b/>
                <w:bCs/>
                <w:color w:val="FFFFFF"/>
                <w:szCs w:val="22"/>
              </w:rPr>
            </w:pPr>
            <w:r w:rsidRPr="00B964D7">
              <w:rPr>
                <w:rFonts w:ascii="Tahoma" w:eastAsia="Tahoma" w:hAnsi="Tahoma" w:cs="Times New Roman"/>
                <w:b/>
                <w:bCs/>
                <w:color w:val="FFFFFF"/>
                <w:szCs w:val="22"/>
              </w:rPr>
              <w:t xml:space="preserve">Criteria </w:t>
            </w:r>
          </w:p>
        </w:tc>
        <w:tc>
          <w:tcPr>
            <w:tcW w:w="1134" w:type="dxa"/>
            <w:shd w:val="clear" w:color="auto" w:fill="156082"/>
            <w:vAlign w:val="center"/>
          </w:tcPr>
          <w:p w14:paraId="20897C41" w14:textId="77777777" w:rsidR="00EC4845" w:rsidRPr="00B964D7" w:rsidRDefault="00EC4845" w:rsidP="00DC6B04">
            <w:pPr>
              <w:rPr>
                <w:rFonts w:ascii="Tahoma" w:eastAsia="Tahoma" w:hAnsi="Tahoma" w:cs="Times New Roman"/>
                <w:b/>
                <w:bCs/>
                <w:color w:val="FFFFFF"/>
                <w:szCs w:val="22"/>
              </w:rPr>
            </w:pPr>
            <w:r w:rsidRPr="00B964D7">
              <w:rPr>
                <w:rFonts w:ascii="Tahoma" w:eastAsia="Tahoma" w:hAnsi="Tahoma" w:cs="Times New Roman"/>
                <w:b/>
                <w:bCs/>
                <w:color w:val="FFFFFF"/>
                <w:szCs w:val="22"/>
              </w:rPr>
              <w:t xml:space="preserve">Description </w:t>
            </w:r>
          </w:p>
        </w:tc>
        <w:tc>
          <w:tcPr>
            <w:tcW w:w="6095" w:type="dxa"/>
            <w:shd w:val="clear" w:color="auto" w:fill="156082"/>
            <w:vAlign w:val="center"/>
          </w:tcPr>
          <w:p w14:paraId="55708CE6" w14:textId="77777777" w:rsidR="00EC4845" w:rsidRPr="00B964D7" w:rsidRDefault="00EC4845" w:rsidP="00DC6B04">
            <w:pPr>
              <w:rPr>
                <w:rFonts w:ascii="Tahoma" w:eastAsia="Tahoma" w:hAnsi="Tahoma" w:cs="Times New Roman"/>
                <w:b/>
                <w:bCs/>
                <w:color w:val="FFFFFF"/>
                <w:szCs w:val="22"/>
              </w:rPr>
            </w:pPr>
            <w:r w:rsidRPr="00B964D7">
              <w:rPr>
                <w:rFonts w:ascii="Tahoma" w:eastAsia="Tahoma" w:hAnsi="Tahoma" w:cs="Times New Roman"/>
                <w:b/>
                <w:bCs/>
                <w:color w:val="FFFFFF"/>
                <w:szCs w:val="22"/>
              </w:rPr>
              <w:t>Implications</w:t>
            </w:r>
          </w:p>
        </w:tc>
        <w:tc>
          <w:tcPr>
            <w:tcW w:w="1549" w:type="dxa"/>
            <w:shd w:val="clear" w:color="auto" w:fill="156082"/>
            <w:vAlign w:val="center"/>
          </w:tcPr>
          <w:p w14:paraId="59DA31BD" w14:textId="77777777" w:rsidR="00EC4845" w:rsidRPr="00B964D7" w:rsidRDefault="00EC4845" w:rsidP="00DC6B04">
            <w:pPr>
              <w:rPr>
                <w:rFonts w:ascii="Tahoma" w:eastAsia="Tahoma" w:hAnsi="Tahoma" w:cs="Times New Roman"/>
                <w:b/>
                <w:bCs/>
                <w:color w:val="FFFFFF"/>
                <w:szCs w:val="22"/>
              </w:rPr>
            </w:pPr>
            <w:r w:rsidRPr="00B964D7">
              <w:rPr>
                <w:rFonts w:ascii="Tahoma" w:eastAsia="Tahoma" w:hAnsi="Tahoma" w:cs="Times New Roman"/>
                <w:b/>
                <w:bCs/>
                <w:color w:val="FFFFFF"/>
                <w:szCs w:val="22"/>
              </w:rPr>
              <w:t>Example</w:t>
            </w:r>
          </w:p>
        </w:tc>
      </w:tr>
      <w:tr w:rsidR="00EC4845" w:rsidRPr="00E005AA" w14:paraId="1203E96C" w14:textId="77777777" w:rsidTr="00DC6B04">
        <w:tc>
          <w:tcPr>
            <w:tcW w:w="1410" w:type="dxa"/>
            <w:shd w:val="clear" w:color="auto" w:fill="C1E4F5"/>
            <w:vAlign w:val="center"/>
          </w:tcPr>
          <w:p w14:paraId="48F4BFD5" w14:textId="77777777" w:rsidR="00EC4845" w:rsidRPr="00B964D7" w:rsidRDefault="00EC4845" w:rsidP="00DC6B04">
            <w:pPr>
              <w:rPr>
                <w:rFonts w:ascii="Tahoma" w:eastAsia="Tahoma" w:hAnsi="Tahoma" w:cs="Times New Roman"/>
                <w:b/>
                <w:bCs/>
                <w:color w:val="005A70"/>
                <w:szCs w:val="22"/>
              </w:rPr>
            </w:pPr>
            <w:r w:rsidRPr="00B964D7">
              <w:rPr>
                <w:rFonts w:ascii="Tahoma" w:eastAsia="Tahoma" w:hAnsi="Tahoma" w:cs="Times New Roman"/>
                <w:b/>
                <w:bCs/>
                <w:color w:val="005A70"/>
                <w:szCs w:val="22"/>
              </w:rPr>
              <w:t>Broad criteria</w:t>
            </w:r>
          </w:p>
        </w:tc>
        <w:tc>
          <w:tcPr>
            <w:tcW w:w="1134" w:type="dxa"/>
            <w:vAlign w:val="center"/>
          </w:tcPr>
          <w:p w14:paraId="70703255" w14:textId="77777777" w:rsidR="00EC4845" w:rsidRPr="00B964D7" w:rsidRDefault="00EC4845" w:rsidP="00DC6B04">
            <w:pPr>
              <w:rPr>
                <w:rFonts w:ascii="Tahoma" w:eastAsia="Tahoma" w:hAnsi="Tahoma" w:cs="Times New Roman"/>
                <w:szCs w:val="22"/>
              </w:rPr>
            </w:pPr>
            <w:r w:rsidRPr="00B964D7">
              <w:rPr>
                <w:rFonts w:ascii="Tahoma" w:eastAsia="Tahoma" w:hAnsi="Tahoma" w:cs="Times New Roman"/>
                <w:i/>
                <w:iCs/>
                <w:szCs w:val="22"/>
              </w:rPr>
              <w:t>More</w:t>
            </w:r>
            <w:r w:rsidRPr="00B964D7">
              <w:rPr>
                <w:rFonts w:ascii="Tahoma" w:eastAsia="Tahoma" w:hAnsi="Tahoma" w:cs="Times New Roman"/>
                <w:szCs w:val="22"/>
              </w:rPr>
              <w:t xml:space="preserve"> people are potentially eligible for a service</w:t>
            </w:r>
          </w:p>
        </w:tc>
        <w:tc>
          <w:tcPr>
            <w:tcW w:w="6095" w:type="dxa"/>
            <w:vAlign w:val="center"/>
          </w:tcPr>
          <w:p w14:paraId="1B47CC8F" w14:textId="77777777" w:rsidR="00EC4845" w:rsidRPr="00B964D7" w:rsidRDefault="00EC4845" w:rsidP="00DC6B04">
            <w:pPr>
              <w:rPr>
                <w:szCs w:val="22"/>
              </w:rPr>
            </w:pPr>
            <w:r w:rsidRPr="00B964D7">
              <w:rPr>
                <w:szCs w:val="22"/>
              </w:rPr>
              <w:t>More outcomes can be measured giving confidence that measured outcomes reflect true impact of service.</w:t>
            </w:r>
          </w:p>
          <w:p w14:paraId="2C7F5029" w14:textId="77777777" w:rsidR="00EC4845" w:rsidRPr="00B964D7" w:rsidRDefault="00EC4845" w:rsidP="00DC6B04">
            <w:pPr>
              <w:rPr>
                <w:szCs w:val="22"/>
              </w:rPr>
            </w:pPr>
            <w:r w:rsidRPr="00B964D7">
              <w:rPr>
                <w:szCs w:val="22"/>
              </w:rPr>
              <w:t xml:space="preserve">The cohort will have a wide spectrum of complexity. Some people may require high support needs, and other may require minimal support. This can make it harder to measure and understand the true costs and benefits of the service.  </w:t>
            </w:r>
          </w:p>
          <w:p w14:paraId="2B32EFF1" w14:textId="77777777" w:rsidR="00EC4845" w:rsidRPr="00B964D7" w:rsidRDefault="00EC4845" w:rsidP="00DC6B04">
            <w:pPr>
              <w:rPr>
                <w:szCs w:val="22"/>
              </w:rPr>
            </w:pPr>
            <w:r w:rsidRPr="00B964D7">
              <w:rPr>
                <w:szCs w:val="22"/>
              </w:rPr>
              <w:t>Incentives may arise to support those with lower needs and not support more ‘complex’ individuals where outcomes may require more effort and resources (i.e. cherry-picking).</w:t>
            </w:r>
          </w:p>
        </w:tc>
        <w:tc>
          <w:tcPr>
            <w:tcW w:w="1549" w:type="dxa"/>
            <w:vAlign w:val="center"/>
          </w:tcPr>
          <w:p w14:paraId="5C2BA91F" w14:textId="77777777" w:rsidR="00EC4845" w:rsidRPr="00B964D7" w:rsidRDefault="00EC4845" w:rsidP="00DC6B04">
            <w:pPr>
              <w:rPr>
                <w:rFonts w:ascii="Tahoma" w:eastAsia="Tahoma" w:hAnsi="Tahoma" w:cs="Times New Roman"/>
                <w:i/>
                <w:iCs/>
                <w:szCs w:val="22"/>
              </w:rPr>
            </w:pPr>
            <w:r w:rsidRPr="00B964D7">
              <w:rPr>
                <w:rFonts w:ascii="Tahoma" w:eastAsia="Tahoma" w:hAnsi="Tahoma" w:cs="Times New Roman"/>
                <w:szCs w:val="22"/>
              </w:rPr>
              <w:t>Individuals aged 16-24 who received Youth Allowance</w:t>
            </w:r>
          </w:p>
        </w:tc>
      </w:tr>
      <w:tr w:rsidR="00EC4845" w:rsidRPr="00E005AA" w14:paraId="44B4A0D4" w14:textId="77777777" w:rsidTr="00DC6B04">
        <w:tc>
          <w:tcPr>
            <w:tcW w:w="1410" w:type="dxa"/>
            <w:shd w:val="clear" w:color="auto" w:fill="C1E4F5"/>
            <w:vAlign w:val="center"/>
          </w:tcPr>
          <w:p w14:paraId="3B1EA1F0" w14:textId="77777777" w:rsidR="00EC4845" w:rsidRPr="00B964D7" w:rsidRDefault="00EC4845" w:rsidP="00DC6B04">
            <w:pPr>
              <w:rPr>
                <w:rFonts w:ascii="Tahoma" w:eastAsia="Tahoma" w:hAnsi="Tahoma" w:cs="Times New Roman"/>
                <w:b/>
                <w:bCs/>
                <w:color w:val="005A70"/>
                <w:szCs w:val="22"/>
              </w:rPr>
            </w:pPr>
            <w:r w:rsidRPr="00B964D7">
              <w:rPr>
                <w:rFonts w:ascii="Tahoma" w:eastAsia="Tahoma" w:hAnsi="Tahoma" w:cs="Times New Roman"/>
                <w:b/>
                <w:bCs/>
                <w:color w:val="005A70"/>
                <w:szCs w:val="22"/>
              </w:rPr>
              <w:t>Narrow criteria</w:t>
            </w:r>
          </w:p>
        </w:tc>
        <w:tc>
          <w:tcPr>
            <w:tcW w:w="1134" w:type="dxa"/>
            <w:vAlign w:val="center"/>
          </w:tcPr>
          <w:p w14:paraId="21373587" w14:textId="77777777" w:rsidR="00EC4845" w:rsidRPr="00B964D7" w:rsidRDefault="00EC4845" w:rsidP="00DC6B04">
            <w:pPr>
              <w:rPr>
                <w:rFonts w:ascii="Tahoma" w:eastAsia="Tahoma" w:hAnsi="Tahoma" w:cs="Times New Roman"/>
                <w:szCs w:val="22"/>
              </w:rPr>
            </w:pPr>
            <w:r w:rsidRPr="00B964D7">
              <w:rPr>
                <w:rFonts w:ascii="Tahoma" w:eastAsia="Tahoma" w:hAnsi="Tahoma" w:cs="Times New Roman"/>
                <w:i/>
                <w:iCs/>
                <w:szCs w:val="22"/>
              </w:rPr>
              <w:t>Fewer</w:t>
            </w:r>
            <w:r w:rsidRPr="00B964D7">
              <w:rPr>
                <w:rFonts w:ascii="Tahoma" w:eastAsia="Tahoma" w:hAnsi="Tahoma" w:cs="Times New Roman"/>
                <w:szCs w:val="22"/>
              </w:rPr>
              <w:t xml:space="preserve"> people are potentially eligible for a service</w:t>
            </w:r>
          </w:p>
        </w:tc>
        <w:tc>
          <w:tcPr>
            <w:tcW w:w="6095" w:type="dxa"/>
            <w:vAlign w:val="center"/>
          </w:tcPr>
          <w:p w14:paraId="5E0D3E81" w14:textId="77777777" w:rsidR="00EC4845" w:rsidRPr="00B964D7" w:rsidRDefault="00EC4845" w:rsidP="00DC6B04">
            <w:pPr>
              <w:rPr>
                <w:szCs w:val="22"/>
              </w:rPr>
            </w:pPr>
            <w:r w:rsidRPr="00B964D7">
              <w:rPr>
                <w:szCs w:val="22"/>
              </w:rPr>
              <w:t>Enables focus on individuals with greatest need.</w:t>
            </w:r>
          </w:p>
          <w:p w14:paraId="3D23B920" w14:textId="77777777" w:rsidR="00EC4845" w:rsidRPr="00B964D7" w:rsidRDefault="00EC4845" w:rsidP="00DC6B04">
            <w:pPr>
              <w:rPr>
                <w:szCs w:val="22"/>
              </w:rPr>
            </w:pPr>
            <w:r w:rsidRPr="00B964D7">
              <w:rPr>
                <w:szCs w:val="22"/>
              </w:rPr>
              <w:t xml:space="preserve">It can be easier to estimate the cost of achieving an outcome (and the benefits arising from the outcome) as the cohort will be less variable. </w:t>
            </w:r>
          </w:p>
          <w:p w14:paraId="1E81C76F" w14:textId="77777777" w:rsidR="00EC4845" w:rsidRPr="00B964D7" w:rsidRDefault="00EC4845" w:rsidP="00DC6B04">
            <w:pPr>
              <w:rPr>
                <w:szCs w:val="22"/>
              </w:rPr>
            </w:pPr>
            <w:r w:rsidRPr="00B964D7">
              <w:rPr>
                <w:szCs w:val="22"/>
              </w:rPr>
              <w:t>There is less risk of ‘cherry-picking’.</w:t>
            </w:r>
          </w:p>
          <w:p w14:paraId="73CCB9C0" w14:textId="77777777" w:rsidR="00EC4845" w:rsidRPr="00B964D7" w:rsidRDefault="00EC4845" w:rsidP="00DC6B04">
            <w:pPr>
              <w:rPr>
                <w:szCs w:val="22"/>
              </w:rPr>
            </w:pPr>
            <w:r w:rsidRPr="00B964D7">
              <w:rPr>
                <w:szCs w:val="22"/>
              </w:rPr>
              <w:t>There may be effort and resources required to identify eligible people.</w:t>
            </w:r>
          </w:p>
          <w:p w14:paraId="0FFEDF15" w14:textId="77777777" w:rsidR="00EC4845" w:rsidRPr="00B964D7" w:rsidRDefault="00EC4845" w:rsidP="00DC6B04">
            <w:pPr>
              <w:rPr>
                <w:szCs w:val="22"/>
              </w:rPr>
            </w:pPr>
            <w:r w:rsidRPr="00B964D7">
              <w:rPr>
                <w:szCs w:val="22"/>
              </w:rPr>
              <w:t>Fewer outcomes can be measured which can reduce reliability and confidence in results.</w:t>
            </w:r>
          </w:p>
          <w:p w14:paraId="3FC0E47F" w14:textId="77777777" w:rsidR="00EC4845" w:rsidRPr="00B964D7" w:rsidRDefault="00EC4845" w:rsidP="00DC6B04">
            <w:pPr>
              <w:rPr>
                <w:szCs w:val="22"/>
              </w:rPr>
            </w:pPr>
            <w:r w:rsidRPr="00B964D7">
              <w:rPr>
                <w:szCs w:val="22"/>
              </w:rPr>
              <w:t>People may be excluded from a service who would benefit from support.</w:t>
            </w:r>
          </w:p>
        </w:tc>
        <w:tc>
          <w:tcPr>
            <w:tcW w:w="1549" w:type="dxa"/>
            <w:vAlign w:val="center"/>
          </w:tcPr>
          <w:p w14:paraId="660ABAFE" w14:textId="77777777" w:rsidR="00EC4845" w:rsidRPr="00B964D7" w:rsidRDefault="00EC4845" w:rsidP="00DC6B04">
            <w:pPr>
              <w:rPr>
                <w:rFonts w:ascii="Tahoma" w:eastAsia="Tahoma" w:hAnsi="Tahoma" w:cs="Times New Roman"/>
                <w:szCs w:val="22"/>
              </w:rPr>
            </w:pPr>
            <w:r w:rsidRPr="00B964D7">
              <w:rPr>
                <w:rFonts w:ascii="Tahoma" w:eastAsia="Tahoma" w:hAnsi="Tahoma" w:cs="Times New Roman"/>
                <w:szCs w:val="22"/>
              </w:rPr>
              <w:t>Individuals aged 16-24 who received Youth Allowance and presented to a homelessness service</w:t>
            </w:r>
          </w:p>
        </w:tc>
      </w:tr>
    </w:tbl>
    <w:p w14:paraId="608AB6D6" w14:textId="77777777" w:rsidR="00EC4845" w:rsidRDefault="00EC4845" w:rsidP="00EC4845">
      <w:pPr>
        <w:pStyle w:val="Heading3"/>
      </w:pPr>
    </w:p>
    <w:p w14:paraId="44951711" w14:textId="77777777" w:rsidR="00EC4845" w:rsidRDefault="00EC4845" w:rsidP="00EC4845">
      <w:pPr>
        <w:spacing w:after="240"/>
        <w:rPr>
          <w:rFonts w:asciiTheme="majorHAnsi" w:eastAsiaTheme="majorEastAsia" w:hAnsiTheme="majorHAnsi" w:cstheme="majorBidi"/>
          <w:bCs/>
          <w:color w:val="005A70" w:themeColor="accent1"/>
          <w:sz w:val="32"/>
        </w:rPr>
      </w:pPr>
      <w:r>
        <w:br w:type="page"/>
      </w:r>
    </w:p>
    <w:p w14:paraId="26A2D386" w14:textId="77777777" w:rsidR="00EC4845" w:rsidRPr="007E593C" w:rsidRDefault="00EC4845" w:rsidP="00EC4845">
      <w:pPr>
        <w:pStyle w:val="Heading3"/>
      </w:pPr>
      <w:r w:rsidRPr="007E593C">
        <w:lastRenderedPageBreak/>
        <w:t>Subjectivity of eligibility criteria</w:t>
      </w:r>
    </w:p>
    <w:p w14:paraId="4F99882E" w14:textId="77777777" w:rsidR="00EC4845" w:rsidRPr="00C1728E" w:rsidRDefault="00EC4845" w:rsidP="00EC4845">
      <w:r w:rsidRPr="00C1728E">
        <w:t xml:space="preserve">The subjectivity of eligibility criteria refers to how </w:t>
      </w:r>
      <w:r>
        <w:t>precise or generalised</w:t>
      </w:r>
      <w:r w:rsidRPr="00C1728E">
        <w:t xml:space="preserve"> your criteria is</w:t>
      </w:r>
      <w:r>
        <w:t>.</w:t>
      </w:r>
    </w:p>
    <w:tbl>
      <w:tblPr>
        <w:tblStyle w:val="TableGridLight3"/>
        <w:tblW w:w="0" w:type="auto"/>
        <w:tblBorders>
          <w:top w:val="single" w:sz="6" w:space="0" w:color="00576D"/>
          <w:left w:val="single" w:sz="6" w:space="0" w:color="00576D"/>
          <w:bottom w:val="single" w:sz="6" w:space="0" w:color="00576D"/>
          <w:right w:val="single" w:sz="6" w:space="0" w:color="00576D"/>
          <w:insideH w:val="single" w:sz="6" w:space="0" w:color="00576D"/>
          <w:insideV w:val="single" w:sz="6" w:space="0" w:color="00576D"/>
        </w:tblBorders>
        <w:tblLook w:val="04A0" w:firstRow="1" w:lastRow="0" w:firstColumn="1" w:lastColumn="0" w:noHBand="0" w:noVBand="1"/>
      </w:tblPr>
      <w:tblGrid>
        <w:gridCol w:w="1408"/>
        <w:gridCol w:w="1734"/>
        <w:gridCol w:w="5294"/>
        <w:gridCol w:w="1752"/>
      </w:tblGrid>
      <w:tr w:rsidR="00EC4845" w:rsidRPr="00E005AA" w14:paraId="66A487C9" w14:textId="77777777" w:rsidTr="00DC6B04">
        <w:trPr>
          <w:cantSplit/>
          <w:tblHeader/>
        </w:trPr>
        <w:tc>
          <w:tcPr>
            <w:tcW w:w="1302" w:type="dxa"/>
            <w:shd w:val="clear" w:color="auto" w:fill="156082"/>
            <w:vAlign w:val="center"/>
          </w:tcPr>
          <w:p w14:paraId="500A3802" w14:textId="77777777" w:rsidR="00EC4845" w:rsidRPr="00B964D7" w:rsidRDefault="00EC4845" w:rsidP="00DC6B04">
            <w:pPr>
              <w:rPr>
                <w:rFonts w:ascii="Tahoma" w:eastAsia="Tahoma" w:hAnsi="Tahoma" w:cs="Times New Roman"/>
                <w:b/>
                <w:bCs/>
                <w:color w:val="FFFFFF"/>
                <w:szCs w:val="22"/>
              </w:rPr>
            </w:pPr>
            <w:r w:rsidRPr="00B964D7">
              <w:rPr>
                <w:rFonts w:ascii="Tahoma" w:eastAsia="Tahoma" w:hAnsi="Tahoma" w:cs="Times New Roman"/>
                <w:b/>
                <w:bCs/>
                <w:color w:val="FFFFFF"/>
                <w:szCs w:val="22"/>
              </w:rPr>
              <w:t xml:space="preserve">Criteria </w:t>
            </w:r>
          </w:p>
        </w:tc>
        <w:tc>
          <w:tcPr>
            <w:tcW w:w="1736" w:type="dxa"/>
            <w:shd w:val="clear" w:color="auto" w:fill="156082"/>
            <w:vAlign w:val="center"/>
          </w:tcPr>
          <w:p w14:paraId="331382C3" w14:textId="77777777" w:rsidR="00EC4845" w:rsidRPr="00B964D7" w:rsidRDefault="00EC4845" w:rsidP="00DC6B04">
            <w:pPr>
              <w:rPr>
                <w:rFonts w:ascii="Tahoma" w:eastAsia="Tahoma" w:hAnsi="Tahoma" w:cs="Times New Roman"/>
                <w:b/>
                <w:bCs/>
                <w:color w:val="FFFFFF"/>
                <w:szCs w:val="22"/>
              </w:rPr>
            </w:pPr>
            <w:r w:rsidRPr="00B964D7">
              <w:rPr>
                <w:rFonts w:ascii="Tahoma" w:eastAsia="Tahoma" w:hAnsi="Tahoma" w:cs="Times New Roman"/>
                <w:b/>
                <w:bCs/>
                <w:color w:val="FFFFFF"/>
                <w:szCs w:val="22"/>
              </w:rPr>
              <w:t xml:space="preserve">Description </w:t>
            </w:r>
          </w:p>
        </w:tc>
        <w:tc>
          <w:tcPr>
            <w:tcW w:w="5534" w:type="dxa"/>
            <w:shd w:val="clear" w:color="auto" w:fill="156082"/>
            <w:vAlign w:val="center"/>
          </w:tcPr>
          <w:p w14:paraId="0E8C4B1C" w14:textId="77777777" w:rsidR="00EC4845" w:rsidRPr="00B964D7" w:rsidRDefault="00EC4845" w:rsidP="00DC6B04">
            <w:pPr>
              <w:rPr>
                <w:rFonts w:ascii="Tahoma" w:eastAsia="Tahoma" w:hAnsi="Tahoma" w:cs="Times New Roman"/>
                <w:b/>
                <w:bCs/>
                <w:color w:val="FFFFFF"/>
                <w:szCs w:val="22"/>
              </w:rPr>
            </w:pPr>
            <w:r w:rsidRPr="00B964D7">
              <w:rPr>
                <w:rFonts w:ascii="Tahoma" w:eastAsia="Tahoma" w:hAnsi="Tahoma" w:cs="Times New Roman"/>
                <w:b/>
                <w:bCs/>
                <w:color w:val="FFFFFF"/>
                <w:szCs w:val="22"/>
              </w:rPr>
              <w:t>Implications</w:t>
            </w:r>
          </w:p>
        </w:tc>
        <w:tc>
          <w:tcPr>
            <w:tcW w:w="1616" w:type="dxa"/>
            <w:shd w:val="clear" w:color="auto" w:fill="156082"/>
            <w:vAlign w:val="center"/>
          </w:tcPr>
          <w:p w14:paraId="372A2399" w14:textId="77777777" w:rsidR="00EC4845" w:rsidRPr="00B964D7" w:rsidRDefault="00EC4845" w:rsidP="00DC6B04">
            <w:pPr>
              <w:rPr>
                <w:rFonts w:ascii="Tahoma" w:eastAsia="Tahoma" w:hAnsi="Tahoma" w:cs="Times New Roman"/>
                <w:b/>
                <w:bCs/>
                <w:color w:val="FFFFFF"/>
                <w:szCs w:val="22"/>
              </w:rPr>
            </w:pPr>
            <w:r w:rsidRPr="00B964D7">
              <w:rPr>
                <w:rFonts w:ascii="Tahoma" w:eastAsia="Tahoma" w:hAnsi="Tahoma" w:cs="Times New Roman"/>
                <w:b/>
                <w:bCs/>
                <w:color w:val="FFFFFF"/>
                <w:szCs w:val="22"/>
              </w:rPr>
              <w:t>Example</w:t>
            </w:r>
          </w:p>
        </w:tc>
      </w:tr>
      <w:tr w:rsidR="00EC4845" w:rsidRPr="00E005AA" w14:paraId="48C3570A" w14:textId="77777777" w:rsidTr="00DC6B04">
        <w:trPr>
          <w:cantSplit/>
        </w:trPr>
        <w:tc>
          <w:tcPr>
            <w:tcW w:w="1302" w:type="dxa"/>
            <w:shd w:val="clear" w:color="auto" w:fill="C1E4F5"/>
            <w:vAlign w:val="center"/>
          </w:tcPr>
          <w:p w14:paraId="50FA16BD" w14:textId="77777777" w:rsidR="00EC4845" w:rsidRPr="00B964D7" w:rsidRDefault="00EC4845" w:rsidP="00DC6B04">
            <w:pPr>
              <w:rPr>
                <w:rFonts w:ascii="Tahoma" w:eastAsia="Tahoma" w:hAnsi="Tahoma" w:cs="Times New Roman"/>
                <w:b/>
                <w:bCs/>
                <w:color w:val="005A70"/>
                <w:szCs w:val="22"/>
              </w:rPr>
            </w:pPr>
            <w:r w:rsidRPr="00B964D7">
              <w:rPr>
                <w:rFonts w:ascii="Tahoma" w:eastAsia="Tahoma" w:hAnsi="Tahoma" w:cs="Times New Roman"/>
                <w:b/>
                <w:bCs/>
                <w:color w:val="005A70"/>
                <w:szCs w:val="22"/>
              </w:rPr>
              <w:t>Subjective criteria</w:t>
            </w:r>
          </w:p>
        </w:tc>
        <w:tc>
          <w:tcPr>
            <w:tcW w:w="1736" w:type="dxa"/>
            <w:vAlign w:val="center"/>
          </w:tcPr>
          <w:p w14:paraId="25474001" w14:textId="77777777" w:rsidR="00EC4845" w:rsidRPr="00B964D7" w:rsidRDefault="00EC4845" w:rsidP="00DC6B04">
            <w:pPr>
              <w:rPr>
                <w:rFonts w:ascii="Tahoma" w:eastAsia="Tahoma" w:hAnsi="Tahoma" w:cs="Times New Roman"/>
                <w:szCs w:val="22"/>
              </w:rPr>
            </w:pPr>
            <w:r w:rsidRPr="00B964D7">
              <w:rPr>
                <w:rFonts w:ascii="Tahoma" w:eastAsia="Tahoma" w:hAnsi="Tahoma" w:cs="Times New Roman"/>
                <w:szCs w:val="22"/>
              </w:rPr>
              <w:t xml:space="preserve">Relies on </w:t>
            </w:r>
            <w:r w:rsidRPr="00B964D7">
              <w:rPr>
                <w:rFonts w:ascii="Tahoma" w:eastAsia="Tahoma" w:hAnsi="Tahoma" w:cs="Times New Roman"/>
                <w:i/>
                <w:iCs/>
                <w:szCs w:val="22"/>
              </w:rPr>
              <w:t>judgment or interpretation</w:t>
            </w:r>
            <w:r w:rsidRPr="00B964D7">
              <w:rPr>
                <w:rFonts w:ascii="Tahoma" w:eastAsia="Tahoma" w:hAnsi="Tahoma" w:cs="Times New Roman"/>
                <w:szCs w:val="22"/>
              </w:rPr>
              <w:t xml:space="preserve"> by service providers</w:t>
            </w:r>
          </w:p>
        </w:tc>
        <w:tc>
          <w:tcPr>
            <w:tcW w:w="5534" w:type="dxa"/>
            <w:vAlign w:val="center"/>
          </w:tcPr>
          <w:p w14:paraId="396F3D0E" w14:textId="77777777" w:rsidR="00EC4845" w:rsidRPr="00B964D7" w:rsidRDefault="00EC4845" w:rsidP="00DC6B04">
            <w:pPr>
              <w:rPr>
                <w:szCs w:val="22"/>
              </w:rPr>
            </w:pPr>
            <w:r w:rsidRPr="00B964D7">
              <w:rPr>
                <w:szCs w:val="22"/>
              </w:rPr>
              <w:t>Can capture emerging needs that are not reflected in datasets.</w:t>
            </w:r>
          </w:p>
          <w:p w14:paraId="7B8621FE" w14:textId="77777777" w:rsidR="00EC4845" w:rsidRPr="00B964D7" w:rsidRDefault="00EC4845" w:rsidP="00DC6B04">
            <w:pPr>
              <w:rPr>
                <w:szCs w:val="22"/>
              </w:rPr>
            </w:pPr>
            <w:r w:rsidRPr="00B964D7">
              <w:rPr>
                <w:szCs w:val="22"/>
              </w:rPr>
              <w:t>Offers flexibility to include people whose needs align with the intent of the service.</w:t>
            </w:r>
          </w:p>
          <w:p w14:paraId="63D2FA4B" w14:textId="77777777" w:rsidR="00EC4845" w:rsidRPr="00B964D7" w:rsidRDefault="00EC4845" w:rsidP="00DC6B04">
            <w:pPr>
              <w:rPr>
                <w:szCs w:val="22"/>
              </w:rPr>
            </w:pPr>
            <w:r w:rsidRPr="00B964D7">
              <w:rPr>
                <w:szCs w:val="22"/>
              </w:rPr>
              <w:t>May be harder to verify eligibility and can increase risk of inconsistency or selection bias.</w:t>
            </w:r>
          </w:p>
          <w:p w14:paraId="2FD8F42D" w14:textId="77777777" w:rsidR="00EC4845" w:rsidRPr="00B964D7" w:rsidRDefault="00EC4845" w:rsidP="00DC6B04">
            <w:pPr>
              <w:rPr>
                <w:szCs w:val="22"/>
              </w:rPr>
            </w:pPr>
            <w:r w:rsidRPr="00B964D7">
              <w:rPr>
                <w:szCs w:val="22"/>
              </w:rPr>
              <w:t>Can be difficult to communicate to referral partners.</w:t>
            </w:r>
          </w:p>
          <w:p w14:paraId="311C2F86" w14:textId="77777777" w:rsidR="00EC4845" w:rsidRPr="00B964D7" w:rsidRDefault="00EC4845" w:rsidP="00DC6B04">
            <w:pPr>
              <w:rPr>
                <w:szCs w:val="22"/>
              </w:rPr>
            </w:pPr>
            <w:r w:rsidRPr="00B964D7">
              <w:rPr>
                <w:szCs w:val="22"/>
              </w:rPr>
              <w:t>May be unable to identify people in datasets so may be harder to evaluate or develop a counterfactual.</w:t>
            </w:r>
          </w:p>
        </w:tc>
        <w:tc>
          <w:tcPr>
            <w:tcW w:w="1616" w:type="dxa"/>
            <w:vAlign w:val="center"/>
          </w:tcPr>
          <w:p w14:paraId="215804F8" w14:textId="77777777" w:rsidR="00EC4845" w:rsidRPr="00B964D7" w:rsidRDefault="00EC4845" w:rsidP="00DC6B04">
            <w:pPr>
              <w:rPr>
                <w:rFonts w:ascii="Tahoma" w:eastAsia="Tahoma" w:hAnsi="Tahoma" w:cs="Times New Roman"/>
                <w:i/>
                <w:iCs/>
                <w:szCs w:val="22"/>
              </w:rPr>
            </w:pPr>
            <w:r w:rsidRPr="00B964D7">
              <w:rPr>
                <w:rFonts w:ascii="Tahoma" w:eastAsia="Tahoma" w:hAnsi="Tahoma" w:cs="Times New Roman"/>
                <w:szCs w:val="22"/>
              </w:rPr>
              <w:t>People underemployed or at risk of losing a job</w:t>
            </w:r>
          </w:p>
        </w:tc>
      </w:tr>
      <w:tr w:rsidR="00EC4845" w:rsidRPr="00E005AA" w14:paraId="79F3C87C" w14:textId="77777777" w:rsidTr="00DC6B04">
        <w:trPr>
          <w:cantSplit/>
        </w:trPr>
        <w:tc>
          <w:tcPr>
            <w:tcW w:w="1302" w:type="dxa"/>
            <w:shd w:val="clear" w:color="auto" w:fill="C1E4F5"/>
            <w:vAlign w:val="center"/>
          </w:tcPr>
          <w:p w14:paraId="08EEF646" w14:textId="77777777" w:rsidR="00EC4845" w:rsidRPr="00B964D7" w:rsidRDefault="00EC4845" w:rsidP="00DC6B04">
            <w:pPr>
              <w:rPr>
                <w:rFonts w:ascii="Tahoma" w:eastAsia="Tahoma" w:hAnsi="Tahoma" w:cs="Times New Roman"/>
                <w:b/>
                <w:bCs/>
                <w:color w:val="005A70"/>
                <w:szCs w:val="22"/>
              </w:rPr>
            </w:pPr>
            <w:r w:rsidRPr="00B964D7">
              <w:rPr>
                <w:rFonts w:ascii="Tahoma" w:eastAsia="Tahoma" w:hAnsi="Tahoma" w:cs="Times New Roman"/>
                <w:b/>
                <w:bCs/>
                <w:color w:val="005A70"/>
                <w:szCs w:val="22"/>
              </w:rPr>
              <w:t>Objective criteria</w:t>
            </w:r>
          </w:p>
        </w:tc>
        <w:tc>
          <w:tcPr>
            <w:tcW w:w="1736" w:type="dxa"/>
            <w:vAlign w:val="center"/>
          </w:tcPr>
          <w:p w14:paraId="526A9486" w14:textId="77777777" w:rsidR="00EC4845" w:rsidRPr="00B964D7" w:rsidRDefault="00EC4845" w:rsidP="00DC6B04">
            <w:pPr>
              <w:rPr>
                <w:rFonts w:ascii="Tahoma" w:eastAsia="Tahoma" w:hAnsi="Tahoma" w:cs="Times New Roman"/>
                <w:szCs w:val="22"/>
              </w:rPr>
            </w:pPr>
            <w:r w:rsidRPr="00B964D7">
              <w:rPr>
                <w:rFonts w:ascii="Tahoma" w:eastAsia="Tahoma" w:hAnsi="Tahoma" w:cs="Times New Roman"/>
                <w:i/>
                <w:iCs/>
                <w:szCs w:val="22"/>
              </w:rPr>
              <w:t>Fact-based and verifiable</w:t>
            </w:r>
            <w:r w:rsidRPr="00B964D7">
              <w:rPr>
                <w:rFonts w:ascii="Tahoma" w:eastAsia="Tahoma" w:hAnsi="Tahoma" w:cs="Times New Roman"/>
                <w:szCs w:val="22"/>
              </w:rPr>
              <w:t xml:space="preserve"> using data or documentation</w:t>
            </w:r>
          </w:p>
        </w:tc>
        <w:tc>
          <w:tcPr>
            <w:tcW w:w="5534" w:type="dxa"/>
            <w:vAlign w:val="center"/>
          </w:tcPr>
          <w:p w14:paraId="5DD0C241" w14:textId="77777777" w:rsidR="00EC4845" w:rsidRPr="00B964D7" w:rsidRDefault="00EC4845" w:rsidP="00DC6B04">
            <w:pPr>
              <w:rPr>
                <w:szCs w:val="22"/>
              </w:rPr>
            </w:pPr>
            <w:r w:rsidRPr="00B964D7">
              <w:rPr>
                <w:szCs w:val="22"/>
              </w:rPr>
              <w:t>Easy for referral partners and service providers to check and apply consistently.</w:t>
            </w:r>
          </w:p>
          <w:p w14:paraId="2CB90ED5" w14:textId="77777777" w:rsidR="00EC4845" w:rsidRPr="00B964D7" w:rsidRDefault="00EC4845" w:rsidP="00DC6B04">
            <w:pPr>
              <w:rPr>
                <w:szCs w:val="22"/>
              </w:rPr>
            </w:pPr>
            <w:r w:rsidRPr="00B964D7">
              <w:rPr>
                <w:szCs w:val="22"/>
              </w:rPr>
              <w:t>More likely to be identifiable in datasets that can be used for evaluations or developing a counterfactual.</w:t>
            </w:r>
          </w:p>
          <w:p w14:paraId="527AC557" w14:textId="77777777" w:rsidR="00EC4845" w:rsidRPr="00B964D7" w:rsidRDefault="00EC4845" w:rsidP="00DC6B04">
            <w:pPr>
              <w:rPr>
                <w:szCs w:val="22"/>
              </w:rPr>
            </w:pPr>
            <w:r w:rsidRPr="00B964D7">
              <w:rPr>
                <w:szCs w:val="22"/>
              </w:rPr>
              <w:t>May exclude people in need from a service or reduce flexibility to support people in complex situations.</w:t>
            </w:r>
          </w:p>
          <w:p w14:paraId="4AF16AC7" w14:textId="77777777" w:rsidR="00EC4845" w:rsidRPr="00B964D7" w:rsidRDefault="00EC4845" w:rsidP="00DC6B04">
            <w:pPr>
              <w:rPr>
                <w:szCs w:val="22"/>
              </w:rPr>
            </w:pPr>
            <w:r w:rsidRPr="00B964D7">
              <w:rPr>
                <w:szCs w:val="22"/>
              </w:rPr>
              <w:t>May require access to additional datasets to determine eligibility.</w:t>
            </w:r>
          </w:p>
        </w:tc>
        <w:tc>
          <w:tcPr>
            <w:tcW w:w="1616" w:type="dxa"/>
            <w:vAlign w:val="center"/>
          </w:tcPr>
          <w:p w14:paraId="2A9A3BC5" w14:textId="77777777" w:rsidR="00EC4845" w:rsidRPr="00B964D7" w:rsidRDefault="00EC4845" w:rsidP="00DC6B04">
            <w:pPr>
              <w:rPr>
                <w:rFonts w:ascii="Tahoma" w:eastAsia="Tahoma" w:hAnsi="Tahoma" w:cs="Times New Roman"/>
                <w:szCs w:val="22"/>
              </w:rPr>
            </w:pPr>
            <w:r w:rsidRPr="00B964D7">
              <w:rPr>
                <w:rFonts w:ascii="Tahoma" w:eastAsia="Tahoma" w:hAnsi="Tahoma" w:cs="Times New Roman"/>
                <w:szCs w:val="22"/>
              </w:rPr>
              <w:t>People employed less than 10 hours per week</w:t>
            </w:r>
          </w:p>
        </w:tc>
      </w:tr>
    </w:tbl>
    <w:p w14:paraId="185F27AC" w14:textId="77777777" w:rsidR="00EC4845" w:rsidRPr="007E593C" w:rsidRDefault="00EC4845" w:rsidP="00EC4845">
      <w:pPr>
        <w:pStyle w:val="Heading3"/>
      </w:pPr>
      <w:r w:rsidRPr="007E593C">
        <w:t xml:space="preserve">Referral pathways </w:t>
      </w:r>
    </w:p>
    <w:p w14:paraId="1581B73F" w14:textId="77777777" w:rsidR="00EC4845" w:rsidRDefault="00EC4845" w:rsidP="00EC4845">
      <w:pPr>
        <w:rPr>
          <w:szCs w:val="22"/>
        </w:rPr>
      </w:pPr>
      <w:r>
        <w:rPr>
          <w:szCs w:val="22"/>
        </w:rPr>
        <w:t>I</w:t>
      </w:r>
      <w:r w:rsidRPr="002157E6">
        <w:rPr>
          <w:szCs w:val="22"/>
        </w:rPr>
        <w:t xml:space="preserve">t’s important to </w:t>
      </w:r>
      <w:r>
        <w:rPr>
          <w:szCs w:val="22"/>
        </w:rPr>
        <w:t>consider</w:t>
      </w:r>
      <w:r w:rsidRPr="002157E6">
        <w:rPr>
          <w:szCs w:val="22"/>
        </w:rPr>
        <w:t xml:space="preserve"> how eligible people will be found and referred into </w:t>
      </w:r>
      <w:r>
        <w:rPr>
          <w:szCs w:val="22"/>
        </w:rPr>
        <w:t>a</w:t>
      </w:r>
      <w:r w:rsidRPr="002157E6">
        <w:rPr>
          <w:szCs w:val="22"/>
        </w:rPr>
        <w:t xml:space="preserve"> </w:t>
      </w:r>
      <w:r>
        <w:rPr>
          <w:szCs w:val="22"/>
        </w:rPr>
        <w:t>service, which may inform how you define eligibility criteria</w:t>
      </w:r>
      <w:r w:rsidRPr="002157E6">
        <w:rPr>
          <w:szCs w:val="22"/>
        </w:rPr>
        <w:t>.</w:t>
      </w:r>
      <w:r>
        <w:rPr>
          <w:szCs w:val="22"/>
        </w:rPr>
        <w:t xml:space="preserve"> You should ask yourself:</w:t>
      </w:r>
    </w:p>
    <w:p w14:paraId="2C5FA37C" w14:textId="77777777" w:rsidR="00EC4845" w:rsidRPr="00F2099A" w:rsidRDefault="00EC4845" w:rsidP="00EC4845">
      <w:pPr>
        <w:pStyle w:val="ListParagraph"/>
      </w:pPr>
      <w:r w:rsidRPr="00F2099A">
        <w:t>Which organisations interact with the target cohort? For example, schools, hospitals, prisons, or non-government organisations may interact with the target cohort. You may need to consider additional strategies to find people if they do not regularly engage with other services.</w:t>
      </w:r>
    </w:p>
    <w:p w14:paraId="6C0F9D57" w14:textId="77777777" w:rsidR="00EC4845" w:rsidRDefault="00EC4845" w:rsidP="00EC4845">
      <w:pPr>
        <w:pStyle w:val="ListParagraph"/>
      </w:pPr>
      <w:r w:rsidRPr="00F2099A">
        <w:t xml:space="preserve">How will referring organisations identify eligible individuals? You will need to consider what information they will have access to confirm eligibility, and what guidance they will need to apply eligibility criteria consistently. </w:t>
      </w:r>
    </w:p>
    <w:p w14:paraId="2E1415E2" w14:textId="77777777" w:rsidR="00EC4845" w:rsidRPr="00D15956" w:rsidRDefault="00EC4845" w:rsidP="00EC4845">
      <w:pPr>
        <w:sectPr w:rsidR="00EC4845" w:rsidRPr="00D15956" w:rsidSect="00EC4845">
          <w:type w:val="continuous"/>
          <w:pgSz w:w="11906" w:h="16838"/>
          <w:pgMar w:top="851" w:right="851" w:bottom="851" w:left="851" w:header="0" w:footer="0" w:gutter="0"/>
          <w:pgNumType w:start="2"/>
          <w:cols w:space="708"/>
          <w:titlePg/>
          <w:docGrid w:linePitch="360"/>
        </w:sectPr>
      </w:pPr>
    </w:p>
    <w:p w14:paraId="53983B91" w14:textId="77777777" w:rsidR="00EC4845" w:rsidRDefault="00EC4845" w:rsidP="00EC4845">
      <w:pPr>
        <w:spacing w:after="240"/>
        <w:rPr>
          <w:rFonts w:asciiTheme="majorHAnsi" w:eastAsiaTheme="majorEastAsia" w:hAnsiTheme="majorHAnsi" w:cstheme="majorBidi"/>
          <w:b/>
          <w:color w:val="005A70" w:themeColor="accent1"/>
          <w:sz w:val="40"/>
          <w:szCs w:val="26"/>
        </w:rPr>
      </w:pPr>
      <w:r>
        <w:rPr>
          <w:b/>
          <w:bCs/>
        </w:rPr>
        <w:br w:type="page"/>
      </w:r>
    </w:p>
    <w:p w14:paraId="123219EC" w14:textId="77777777" w:rsidR="00EC4845" w:rsidRPr="00F2099A" w:rsidRDefault="00EC4845" w:rsidP="00EC4845">
      <w:pPr>
        <w:pStyle w:val="Heading2"/>
        <w:rPr>
          <w:b/>
          <w:bCs w:val="0"/>
        </w:rPr>
      </w:pPr>
      <w:r w:rsidRPr="00F2099A">
        <w:rPr>
          <w:b/>
          <w:bCs w:val="0"/>
        </w:rPr>
        <w:lastRenderedPageBreak/>
        <w:t xml:space="preserve">Case study: Foyer Central </w:t>
      </w:r>
    </w:p>
    <w:p w14:paraId="271929F5" w14:textId="77777777" w:rsidR="00EC4845" w:rsidRDefault="00EC4845" w:rsidP="00EC4845">
      <w:pPr>
        <w:spacing w:after="160" w:line="278" w:lineRule="auto"/>
      </w:pPr>
      <w:r>
        <w:t>Foyer Central provides young people who have been in out-of-home care in New South Wales with stable housing and strengths-based supports. It aims to build</w:t>
      </w:r>
      <w:r w:rsidRPr="00492A6D">
        <w:t xml:space="preserve"> their capacity to access education, training and employment, and make positive decisions.</w:t>
      </w:r>
      <w:r w:rsidRPr="00422BD4">
        <w:t xml:space="preserve"> </w:t>
      </w:r>
    </w:p>
    <w:p w14:paraId="0B6B70D4" w14:textId="77777777" w:rsidR="00EC4845" w:rsidRDefault="00EC4845" w:rsidP="00EC4845">
      <w:pPr>
        <w:spacing w:after="160" w:line="278" w:lineRule="auto"/>
      </w:pPr>
      <w:r>
        <w:t xml:space="preserve">Eligible young people are referred by the NSW Department of Communities and Justice and non-government organisations. Some young people also self-refer. </w:t>
      </w:r>
    </w:p>
    <w:p w14:paraId="33D419CE" w14:textId="77777777" w:rsidR="00EC4845" w:rsidRDefault="00EC4845" w:rsidP="00EC4845">
      <w:pPr>
        <w:spacing w:after="160" w:line="278" w:lineRule="auto"/>
      </w:pPr>
      <w:r>
        <w:t>Individuals</w:t>
      </w:r>
      <w:r w:rsidRPr="009B1DA5">
        <w:t xml:space="preserve"> must meet the following criteria:</w:t>
      </w:r>
    </w:p>
    <w:p w14:paraId="6AEED4CA" w14:textId="77777777" w:rsidR="00EC4845" w:rsidRPr="000B1E7F" w:rsidRDefault="00EC4845" w:rsidP="00EC4845">
      <w:pPr>
        <w:pStyle w:val="ListParagraph"/>
      </w:pPr>
      <w:r w:rsidRPr="000B1E7F">
        <w:t>aged 18 to 22 years;</w:t>
      </w:r>
    </w:p>
    <w:p w14:paraId="67664B3B" w14:textId="77777777" w:rsidR="00EC4845" w:rsidRPr="000B1E7F" w:rsidRDefault="00EC4845" w:rsidP="00EC4845">
      <w:pPr>
        <w:pStyle w:val="ListParagraph"/>
      </w:pPr>
      <w:r>
        <w:t xml:space="preserve">has </w:t>
      </w:r>
      <w:r w:rsidRPr="000B1E7F">
        <w:t xml:space="preserve">been in out-of-home care and exited care aged </w:t>
      </w:r>
      <w:r>
        <w:t xml:space="preserve">between </w:t>
      </w:r>
      <w:r w:rsidRPr="000B1E7F">
        <w:t>14 to 18 years;</w:t>
      </w:r>
    </w:p>
    <w:p w14:paraId="5A610E64" w14:textId="77777777" w:rsidR="00EC4845" w:rsidRPr="000B1E7F" w:rsidRDefault="00EC4845" w:rsidP="00EC4845">
      <w:pPr>
        <w:pStyle w:val="ListParagraph"/>
      </w:pPr>
      <w:r w:rsidRPr="000B1E7F">
        <w:t>is homeless or at risk of homelessness;</w:t>
      </w:r>
    </w:p>
    <w:p w14:paraId="58720B1D" w14:textId="77777777" w:rsidR="00EC4845" w:rsidRPr="000B1E7F" w:rsidRDefault="00EC4845" w:rsidP="00EC4845">
      <w:pPr>
        <w:pStyle w:val="ListParagraph"/>
      </w:pPr>
      <w:r w:rsidRPr="000B1E7F">
        <w:t xml:space="preserve">is assessed as motivated, willing and able to commit to the </w:t>
      </w:r>
      <w:r>
        <w:t>p</w:t>
      </w:r>
      <w:r w:rsidRPr="000B1E7F">
        <w:t>rogram; and</w:t>
      </w:r>
    </w:p>
    <w:p w14:paraId="2A2129E2" w14:textId="77777777" w:rsidR="00EC4845" w:rsidRDefault="00EC4845" w:rsidP="00EC4845">
      <w:pPr>
        <w:pStyle w:val="ListParagraph"/>
      </w:pPr>
      <w:r w:rsidRPr="000B1E7F">
        <w:t>not meet any exclusion criteria</w:t>
      </w:r>
      <w:r>
        <w:t xml:space="preserve"> (e.g. no recent history of violent behaviour)</w:t>
      </w:r>
      <w:r w:rsidRPr="000B1E7F">
        <w:t xml:space="preserve"> </w:t>
      </w:r>
    </w:p>
    <w:p w14:paraId="55508E7A" w14:textId="77777777" w:rsidR="00EC4845" w:rsidRDefault="00EC4845" w:rsidP="00EC4845">
      <w:pPr>
        <w:spacing w:after="160" w:line="278" w:lineRule="auto"/>
        <w:rPr>
          <w:rFonts w:ascii="Aptos" w:eastAsia="Aptos" w:hAnsi="Aptos" w:cs="Arial"/>
          <w:spacing w:val="0"/>
          <w:kern w:val="2"/>
          <w14:ligatures w14:val="standardContextual"/>
        </w:rPr>
      </w:pPr>
      <w:r>
        <w:t>The service provider, Uniting, undertakes a comprehensive assessment of each referred young person to ensure they are eligible. Uniting also considers a range of factors to ensure that there is an appropriate mixture of residents at Foyer Central. An assessment panel comprising representatives from a mixture of organisations makes the final decision about whether a young person is eligible for enrolment.</w:t>
      </w:r>
    </w:p>
    <w:p w14:paraId="0E76D430" w14:textId="77777777" w:rsidR="00EC4845" w:rsidRDefault="00EC4845" w:rsidP="00EC4845">
      <w:pPr>
        <w:spacing w:after="160" w:line="278" w:lineRule="auto"/>
        <w:rPr>
          <w:rFonts w:ascii="Aptos" w:eastAsia="Aptos" w:hAnsi="Aptos" w:cs="Arial"/>
          <w:spacing w:val="0"/>
          <w:kern w:val="2"/>
          <w14:ligatures w14:val="standardContextual"/>
        </w:rPr>
        <w:sectPr w:rsidR="00EC4845" w:rsidSect="00EC4845">
          <w:type w:val="continuous"/>
          <w:pgSz w:w="11906" w:h="16838"/>
          <w:pgMar w:top="851" w:right="851" w:bottom="851" w:left="851" w:header="0" w:footer="0" w:gutter="0"/>
          <w:pgNumType w:start="2"/>
          <w:cols w:num="2" w:space="708"/>
          <w:titlePg/>
          <w:docGrid w:linePitch="360"/>
        </w:sectPr>
      </w:pPr>
    </w:p>
    <w:p w14:paraId="7FB6DE32" w14:textId="77777777" w:rsidR="00EC4845" w:rsidRPr="00A87353" w:rsidRDefault="00EC4845" w:rsidP="00EC4845">
      <w:pPr>
        <w:pStyle w:val="Heading2"/>
        <w:pBdr>
          <w:top w:val="single" w:sz="36" w:space="1" w:color="C1E4F5"/>
          <w:left w:val="single" w:sz="36" w:space="4" w:color="C1E4F5"/>
          <w:bottom w:val="single" w:sz="36" w:space="1" w:color="C1E4F5"/>
          <w:right w:val="single" w:sz="36" w:space="4" w:color="C1E4F5"/>
        </w:pBdr>
        <w:rPr>
          <w:b/>
          <w:bCs w:val="0"/>
        </w:rPr>
      </w:pPr>
      <w:r w:rsidRPr="00A87353">
        <w:rPr>
          <w:b/>
          <w:bCs w:val="0"/>
        </w:rPr>
        <w:t>Learn more</w:t>
      </w:r>
    </w:p>
    <w:p w14:paraId="25771D2D" w14:textId="77777777" w:rsidR="00EC4845" w:rsidRPr="00C45BB0" w:rsidRDefault="00EC4845" w:rsidP="00EC4845">
      <w:pPr>
        <w:pStyle w:val="ListParagraph"/>
        <w:pBdr>
          <w:top w:val="single" w:sz="36" w:space="1" w:color="C1E4F5"/>
          <w:left w:val="single" w:sz="36" w:space="4" w:color="C1E4F5"/>
          <w:bottom w:val="single" w:sz="36" w:space="1" w:color="C1E4F5"/>
          <w:right w:val="single" w:sz="36" w:space="4" w:color="C1E4F5"/>
        </w:pBdr>
        <w:rPr>
          <w:b/>
          <w:bCs/>
        </w:rPr>
      </w:pPr>
      <w:r w:rsidRPr="00C45BB0">
        <w:t xml:space="preserve">Understand the basics of outcomes-based contracting in </w:t>
      </w:r>
      <w:r w:rsidRPr="00C45BB0">
        <w:rPr>
          <w:b/>
          <w:bCs/>
        </w:rPr>
        <w:t>Introduction to outcomes-based contracting</w:t>
      </w:r>
    </w:p>
    <w:p w14:paraId="65A7084F" w14:textId="77777777" w:rsidR="00EC4845" w:rsidRPr="00C45BB0" w:rsidRDefault="00EC4845" w:rsidP="00EC4845">
      <w:pPr>
        <w:pStyle w:val="ListParagraph"/>
        <w:pBdr>
          <w:top w:val="single" w:sz="36" w:space="1" w:color="C1E4F5"/>
          <w:left w:val="single" w:sz="36" w:space="4" w:color="C1E4F5"/>
          <w:bottom w:val="single" w:sz="36" w:space="1" w:color="C1E4F5"/>
          <w:right w:val="single" w:sz="36" w:space="4" w:color="C1E4F5"/>
        </w:pBdr>
        <w:rPr>
          <w:b/>
          <w:bCs/>
        </w:rPr>
      </w:pPr>
      <w:r w:rsidRPr="00C45BB0">
        <w:t xml:space="preserve">Identify indicators of real-world changes that align with your policy objectives in </w:t>
      </w:r>
      <w:r w:rsidRPr="00C45BB0">
        <w:rPr>
          <w:b/>
          <w:bCs/>
        </w:rPr>
        <w:t>Defining Outcome Metrics</w:t>
      </w:r>
    </w:p>
    <w:p w14:paraId="53F6AB0B" w14:textId="77777777" w:rsidR="00EC4845" w:rsidRPr="00C45BB0" w:rsidRDefault="00EC4845" w:rsidP="00EC4845">
      <w:pPr>
        <w:pStyle w:val="ListParagraph"/>
        <w:pBdr>
          <w:top w:val="single" w:sz="36" w:space="1" w:color="C1E4F5"/>
          <w:left w:val="single" w:sz="36" w:space="4" w:color="C1E4F5"/>
          <w:bottom w:val="single" w:sz="36" w:space="1" w:color="C1E4F5"/>
          <w:right w:val="single" w:sz="36" w:space="4" w:color="C1E4F5"/>
        </w:pBdr>
      </w:pPr>
      <w:r w:rsidRPr="00C45BB0">
        <w:t xml:space="preserve">Develop an approach to assessing impact in </w:t>
      </w:r>
      <w:r w:rsidRPr="00C45BB0">
        <w:rPr>
          <w:b/>
          <w:bCs/>
        </w:rPr>
        <w:t>Understanding Outcome Measurement</w:t>
      </w:r>
    </w:p>
    <w:p w14:paraId="390CB7DD" w14:textId="77777777" w:rsidR="00EC4845" w:rsidRPr="00C45BB0" w:rsidRDefault="00EC4845" w:rsidP="00EC4845">
      <w:pPr>
        <w:pStyle w:val="ListParagraph"/>
        <w:pBdr>
          <w:top w:val="single" w:sz="36" w:space="1" w:color="C1E4F5"/>
          <w:left w:val="single" w:sz="36" w:space="4" w:color="C1E4F5"/>
          <w:bottom w:val="single" w:sz="36" w:space="1" w:color="C1E4F5"/>
          <w:right w:val="single" w:sz="36" w:space="4" w:color="C1E4F5"/>
        </w:pBdr>
        <w:rPr>
          <w:b/>
          <w:bCs/>
        </w:rPr>
      </w:pPr>
      <w:r w:rsidRPr="00C45BB0">
        <w:t xml:space="preserve">Determine how much to pay for an outcome in </w:t>
      </w:r>
      <w:r w:rsidRPr="00C45BB0">
        <w:rPr>
          <w:b/>
          <w:bCs/>
        </w:rPr>
        <w:t>Pricing Outcomes</w:t>
      </w:r>
    </w:p>
    <w:p w14:paraId="37F65E38" w14:textId="77777777" w:rsidR="00EC4845" w:rsidRPr="00C45BB0" w:rsidRDefault="00EC4845" w:rsidP="00EC4845">
      <w:pPr>
        <w:pStyle w:val="ListParagraph"/>
        <w:pBdr>
          <w:top w:val="single" w:sz="36" w:space="1" w:color="C1E4F5"/>
          <w:left w:val="single" w:sz="36" w:space="4" w:color="C1E4F5"/>
          <w:bottom w:val="single" w:sz="36" w:space="1" w:color="C1E4F5"/>
          <w:right w:val="single" w:sz="36" w:space="4" w:color="C1E4F5"/>
        </w:pBdr>
        <w:rPr>
          <w:b/>
          <w:bCs/>
        </w:rPr>
      </w:pPr>
      <w:r w:rsidRPr="00C45BB0">
        <w:t xml:space="preserve">Self-assess your readiness for outcomes-based contracting in the </w:t>
      </w:r>
      <w:r w:rsidRPr="00C45BB0">
        <w:rPr>
          <w:b/>
          <w:bCs/>
        </w:rPr>
        <w:t>Readiness Checklist</w:t>
      </w:r>
    </w:p>
    <w:p w14:paraId="01896862" w14:textId="77777777" w:rsidR="00EC4845" w:rsidRDefault="00EC4845" w:rsidP="00EC4845">
      <w:pPr>
        <w:pStyle w:val="Smalltext"/>
        <w:jc w:val="center"/>
        <w:rPr>
          <w:lang w:val="en-AU"/>
        </w:rPr>
        <w:sectPr w:rsidR="00EC4845" w:rsidSect="00EC4845">
          <w:type w:val="continuous"/>
          <w:pgSz w:w="11906" w:h="16838"/>
          <w:pgMar w:top="851" w:right="851" w:bottom="851" w:left="851" w:header="0" w:footer="0" w:gutter="0"/>
          <w:pgNumType w:start="2"/>
          <w:cols w:space="708"/>
          <w:titlePg/>
          <w:docGrid w:linePitch="360"/>
        </w:sectPr>
      </w:pPr>
    </w:p>
    <w:p w14:paraId="0500C6EA" w14:textId="77777777" w:rsidR="00EC4845" w:rsidRDefault="00EC4845" w:rsidP="00EC4845">
      <w:pPr>
        <w:pStyle w:val="Smalltext"/>
        <w:jc w:val="right"/>
        <w:rPr>
          <w:lang w:val="en-AU"/>
        </w:rPr>
        <w:sectPr w:rsidR="00EC4845" w:rsidSect="00EC4845">
          <w:type w:val="continuous"/>
          <w:pgSz w:w="11906" w:h="16838"/>
          <w:pgMar w:top="851" w:right="851" w:bottom="851" w:left="851" w:header="0" w:footer="0" w:gutter="0"/>
          <w:pgNumType w:start="2"/>
          <w:cols w:space="708"/>
          <w:titlePg/>
          <w:docGrid w:linePitch="360"/>
        </w:sectPr>
      </w:pPr>
    </w:p>
    <w:p w14:paraId="039685D6" w14:textId="77777777" w:rsidR="00415340" w:rsidRDefault="00415340" w:rsidP="00415340">
      <w:pPr>
        <w:pStyle w:val="Crestwithrule"/>
      </w:pPr>
      <w:r>
        <w:rPr>
          <w:lang w:eastAsia="en-AU"/>
        </w:rPr>
        <w:lastRenderedPageBreak/>
        <w:drawing>
          <wp:inline distT="0" distB="0" distL="0" distR="0" wp14:anchorId="115B517F" wp14:editId="77522337">
            <wp:extent cx="3235960" cy="768868"/>
            <wp:effectExtent l="0" t="0" r="2540" b="0"/>
            <wp:docPr id="2059787749" name="Picture 205978774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409916AB" w14:textId="77777777" w:rsidR="00415340" w:rsidRDefault="00415340" w:rsidP="00415340">
      <w:pPr>
        <w:pStyle w:val="Crestwithrule"/>
      </w:pPr>
    </w:p>
    <w:p w14:paraId="4C07733D" w14:textId="77777777" w:rsidR="00415340" w:rsidRDefault="00415340" w:rsidP="00415340">
      <w:pPr>
        <w:pStyle w:val="Crestwithrule"/>
        <w:sectPr w:rsidR="00415340" w:rsidSect="00415340">
          <w:headerReference w:type="default" r:id="rId33"/>
          <w:headerReference w:type="first" r:id="rId34"/>
          <w:footerReference w:type="first" r:id="rId35"/>
          <w:pgSz w:w="11906" w:h="16838"/>
          <w:pgMar w:top="851" w:right="851" w:bottom="1134" w:left="851" w:header="0" w:footer="0" w:gutter="0"/>
          <w:pgNumType w:start="2"/>
          <w:cols w:space="708"/>
          <w:titlePg/>
          <w:docGrid w:linePitch="360"/>
        </w:sectPr>
      </w:pPr>
    </w:p>
    <w:p w14:paraId="54DCD230" w14:textId="77777777" w:rsidR="00415340" w:rsidRPr="002D188D" w:rsidRDefault="00415340" w:rsidP="00415340">
      <w:pPr>
        <w:pStyle w:val="Title"/>
      </w:pPr>
      <w:r w:rsidRPr="002D188D">
        <w:t xml:space="preserve">Outcomes-Based Contracting </w:t>
      </w:r>
    </w:p>
    <w:p w14:paraId="36784BE9" w14:textId="77777777" w:rsidR="00415340" w:rsidRDefault="00415340" w:rsidP="00415340">
      <w:pPr>
        <w:pStyle w:val="Subtitle"/>
        <w:sectPr w:rsidR="00415340" w:rsidSect="00415340">
          <w:type w:val="continuous"/>
          <w:pgSz w:w="11906" w:h="16838"/>
          <w:pgMar w:top="851" w:right="851" w:bottom="851" w:left="851" w:header="0" w:footer="0" w:gutter="0"/>
          <w:pgNumType w:start="2"/>
          <w:cols w:space="708"/>
          <w:titlePg/>
          <w:docGrid w:linePitch="360"/>
        </w:sectPr>
      </w:pPr>
    </w:p>
    <w:p w14:paraId="400506A2" w14:textId="77777777" w:rsidR="00415340" w:rsidRPr="002D188D" w:rsidRDefault="00415340" w:rsidP="00415340">
      <w:pPr>
        <w:pStyle w:val="Heading1"/>
      </w:pPr>
      <w:r w:rsidRPr="002D188D">
        <w:t xml:space="preserve">Factsheet: Defining Outcome Metrics </w:t>
      </w:r>
    </w:p>
    <w:p w14:paraId="1BDC384A" w14:textId="77777777" w:rsidR="00415340" w:rsidRDefault="00415340" w:rsidP="00415340">
      <w:pPr>
        <w:pStyle w:val="IntroductionQuote"/>
        <w:sectPr w:rsidR="00415340" w:rsidSect="00415340">
          <w:type w:val="continuous"/>
          <w:pgSz w:w="11906" w:h="16838"/>
          <w:pgMar w:top="851" w:right="851" w:bottom="851" w:left="851" w:header="0" w:footer="0" w:gutter="0"/>
          <w:pgNumType w:start="2"/>
          <w:cols w:space="708"/>
          <w:titlePg/>
          <w:docGrid w:linePitch="360"/>
        </w:sectPr>
      </w:pPr>
    </w:p>
    <w:p w14:paraId="6A6834A4" w14:textId="77777777" w:rsidR="00415340" w:rsidRPr="00235AEA" w:rsidRDefault="00415340" w:rsidP="00415340">
      <w:pPr>
        <w:pStyle w:val="IntroductionQuote"/>
      </w:pPr>
      <w:r w:rsidRPr="00235AEA">
        <w:t xml:space="preserve">An outcome is a change for an individual </w:t>
      </w:r>
      <w:proofErr w:type="gramStart"/>
      <w:r w:rsidRPr="00235AEA">
        <w:t>as a result of</w:t>
      </w:r>
      <w:proofErr w:type="gramEnd"/>
      <w:r w:rsidRPr="00235AEA">
        <w:t xml:space="preserve"> a service or intervention. An outcome metric is the indicator selected to </w:t>
      </w:r>
      <w:r>
        <w:t>measure</w:t>
      </w:r>
      <w:r w:rsidRPr="00235AEA">
        <w:t xml:space="preserve"> whether that outcome has been achieved. </w:t>
      </w:r>
    </w:p>
    <w:p w14:paraId="3AB8558A" w14:textId="77777777" w:rsidR="00415340" w:rsidRDefault="00415340" w:rsidP="00415340">
      <w:pPr>
        <w:pStyle w:val="Heading2"/>
      </w:pPr>
      <w:r>
        <w:t>How metrics are different with outcomes-based contracting</w:t>
      </w:r>
    </w:p>
    <w:p w14:paraId="4CB6606E" w14:textId="77777777" w:rsidR="00415340" w:rsidRDefault="00415340" w:rsidP="00415340">
      <w:pPr>
        <w:rPr>
          <w:noProof/>
        </w:rPr>
      </w:pPr>
      <w:r w:rsidRPr="22FD2FDC">
        <w:rPr>
          <w:noProof/>
        </w:rPr>
        <w:t>Outcome metrics used in outcomes-based contracting are distin</w:t>
      </w:r>
      <w:r>
        <w:rPr>
          <w:noProof/>
        </w:rPr>
        <w:t>ctly</w:t>
      </w:r>
      <w:r w:rsidRPr="22FD2FDC">
        <w:rPr>
          <w:noProof/>
        </w:rPr>
        <w:t xml:space="preserve"> different to key performance indicators used in traditional funding approaches.</w:t>
      </w:r>
    </w:p>
    <w:tbl>
      <w:tblPr>
        <w:tblStyle w:val="TableGrid"/>
        <w:tblW w:w="10196"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Look w:val="04A0" w:firstRow="1" w:lastRow="0" w:firstColumn="1" w:lastColumn="0" w:noHBand="0" w:noVBand="1"/>
      </w:tblPr>
      <w:tblGrid>
        <w:gridCol w:w="1511"/>
        <w:gridCol w:w="4202"/>
        <w:gridCol w:w="4483"/>
      </w:tblGrid>
      <w:tr w:rsidR="00415340" w:rsidRPr="00364846" w14:paraId="257C48EB" w14:textId="77777777" w:rsidTr="00DC6B04">
        <w:trPr>
          <w:trHeight w:val="538"/>
          <w:tblHeader/>
        </w:trPr>
        <w:tc>
          <w:tcPr>
            <w:tcW w:w="1408" w:type="dxa"/>
            <w:shd w:val="clear" w:color="auto" w:fill="156082"/>
            <w:vAlign w:val="center"/>
          </w:tcPr>
          <w:p w14:paraId="0B9E38E0" w14:textId="77777777" w:rsidR="00415340" w:rsidRPr="00356B38" w:rsidRDefault="00415340" w:rsidP="00DC6B04">
            <w:pPr>
              <w:rPr>
                <w:b/>
                <w:bCs/>
                <w:noProof/>
                <w:color w:val="FFFFFF" w:themeColor="background1"/>
              </w:rPr>
            </w:pPr>
            <w:r w:rsidRPr="00356B38">
              <w:rPr>
                <w:b/>
                <w:bCs/>
                <w:noProof/>
                <w:color w:val="FFFFFF" w:themeColor="background1"/>
              </w:rPr>
              <w:t>Funding model</w:t>
            </w:r>
          </w:p>
        </w:tc>
        <w:tc>
          <w:tcPr>
            <w:tcW w:w="4252" w:type="dxa"/>
            <w:shd w:val="clear" w:color="auto" w:fill="156082"/>
            <w:vAlign w:val="center"/>
          </w:tcPr>
          <w:p w14:paraId="4FF8A5D7" w14:textId="77777777" w:rsidR="00415340" w:rsidRPr="00356B38" w:rsidRDefault="00415340" w:rsidP="00DC6B04">
            <w:pPr>
              <w:rPr>
                <w:b/>
                <w:bCs/>
                <w:noProof/>
                <w:color w:val="FFFFFF" w:themeColor="background1"/>
              </w:rPr>
            </w:pPr>
            <w:r w:rsidRPr="00356B38">
              <w:rPr>
                <w:b/>
                <w:bCs/>
                <w:noProof/>
                <w:color w:val="FFFFFF" w:themeColor="background1"/>
              </w:rPr>
              <w:t>Traditional funding approaches</w:t>
            </w:r>
          </w:p>
        </w:tc>
        <w:tc>
          <w:tcPr>
            <w:tcW w:w="4536" w:type="dxa"/>
            <w:shd w:val="clear" w:color="auto" w:fill="156082"/>
            <w:vAlign w:val="center"/>
          </w:tcPr>
          <w:p w14:paraId="10FF195A" w14:textId="77777777" w:rsidR="00415340" w:rsidRPr="00356B38" w:rsidRDefault="00415340" w:rsidP="00DC6B04">
            <w:pPr>
              <w:rPr>
                <w:b/>
                <w:bCs/>
                <w:noProof/>
                <w:color w:val="FFFFFF" w:themeColor="background1"/>
              </w:rPr>
            </w:pPr>
            <w:r w:rsidRPr="00356B38">
              <w:rPr>
                <w:b/>
                <w:bCs/>
                <w:noProof/>
                <w:color w:val="FFFFFF" w:themeColor="background1"/>
              </w:rPr>
              <w:t>Outcomes-based contracting</w:t>
            </w:r>
          </w:p>
        </w:tc>
      </w:tr>
      <w:tr w:rsidR="00415340" w:rsidRPr="00364846" w14:paraId="61878C11" w14:textId="77777777" w:rsidTr="00DC6B04">
        <w:trPr>
          <w:trHeight w:val="538"/>
        </w:trPr>
        <w:tc>
          <w:tcPr>
            <w:tcW w:w="1408" w:type="dxa"/>
            <w:shd w:val="clear" w:color="auto" w:fill="C1E4F5"/>
            <w:vAlign w:val="center"/>
          </w:tcPr>
          <w:p w14:paraId="2C063431" w14:textId="77777777" w:rsidR="00415340" w:rsidRPr="00356B38" w:rsidRDefault="00415340" w:rsidP="00DC6B04">
            <w:pPr>
              <w:rPr>
                <w:b/>
                <w:bCs/>
                <w:noProof/>
                <w:color w:val="005A70" w:themeColor="accent1"/>
              </w:rPr>
            </w:pPr>
            <w:r w:rsidRPr="00356B38">
              <w:rPr>
                <w:b/>
                <w:bCs/>
                <w:noProof/>
                <w:color w:val="005A70" w:themeColor="accent1"/>
              </w:rPr>
              <w:t>Metric type</w:t>
            </w:r>
          </w:p>
        </w:tc>
        <w:tc>
          <w:tcPr>
            <w:tcW w:w="4252" w:type="dxa"/>
            <w:shd w:val="clear" w:color="auto" w:fill="FFFFFF" w:themeFill="background1"/>
            <w:vAlign w:val="center"/>
          </w:tcPr>
          <w:p w14:paraId="050D06F5" w14:textId="77777777" w:rsidR="00415340" w:rsidRPr="006B7E24" w:rsidRDefault="00415340" w:rsidP="00DC6B04">
            <w:pPr>
              <w:rPr>
                <w:noProof/>
              </w:rPr>
            </w:pPr>
            <w:r w:rsidRPr="006B7E24">
              <w:rPr>
                <w:noProof/>
              </w:rPr>
              <w:t>Key performance indicator (KPI)</w:t>
            </w:r>
            <w:r>
              <w:rPr>
                <w:noProof/>
              </w:rPr>
              <w:t>.</w:t>
            </w:r>
          </w:p>
        </w:tc>
        <w:tc>
          <w:tcPr>
            <w:tcW w:w="4536" w:type="dxa"/>
            <w:shd w:val="clear" w:color="auto" w:fill="FFFFFF" w:themeFill="background1"/>
            <w:vAlign w:val="center"/>
          </w:tcPr>
          <w:p w14:paraId="5FD09F99" w14:textId="77777777" w:rsidR="00415340" w:rsidRPr="006B7E24" w:rsidRDefault="00415340" w:rsidP="00DC6B04">
            <w:pPr>
              <w:rPr>
                <w:noProof/>
              </w:rPr>
            </w:pPr>
            <w:r w:rsidRPr="006B7E24">
              <w:rPr>
                <w:noProof/>
              </w:rPr>
              <w:t>Outcome metric</w:t>
            </w:r>
            <w:r>
              <w:rPr>
                <w:noProof/>
              </w:rPr>
              <w:t>.</w:t>
            </w:r>
          </w:p>
        </w:tc>
      </w:tr>
      <w:tr w:rsidR="00415340" w:rsidRPr="00364846" w14:paraId="7E0046FC" w14:textId="77777777" w:rsidTr="00DC6B04">
        <w:trPr>
          <w:trHeight w:val="1061"/>
        </w:trPr>
        <w:tc>
          <w:tcPr>
            <w:tcW w:w="1408" w:type="dxa"/>
            <w:shd w:val="clear" w:color="auto" w:fill="C1E4F5"/>
            <w:vAlign w:val="center"/>
          </w:tcPr>
          <w:p w14:paraId="28156010" w14:textId="77777777" w:rsidR="00415340" w:rsidRPr="00356B38" w:rsidRDefault="00415340" w:rsidP="00DC6B04">
            <w:pPr>
              <w:rPr>
                <w:b/>
                <w:bCs/>
                <w:noProof/>
                <w:color w:val="005A70" w:themeColor="accent1"/>
              </w:rPr>
            </w:pPr>
            <w:r w:rsidRPr="00356B38">
              <w:rPr>
                <w:b/>
                <w:bCs/>
                <w:noProof/>
                <w:color w:val="005A70" w:themeColor="accent1"/>
              </w:rPr>
              <w:t>Description</w:t>
            </w:r>
          </w:p>
        </w:tc>
        <w:tc>
          <w:tcPr>
            <w:tcW w:w="4252" w:type="dxa"/>
            <w:shd w:val="clear" w:color="auto" w:fill="FFFFFF" w:themeFill="background1"/>
            <w:vAlign w:val="center"/>
          </w:tcPr>
          <w:p w14:paraId="57131144" w14:textId="77777777" w:rsidR="00415340" w:rsidRPr="006B7E24" w:rsidRDefault="00415340" w:rsidP="00DC6B04">
            <w:r w:rsidRPr="006B7E24">
              <w:t>Tracks activities, outputs, or process milestones by reporting on “what was done</w:t>
            </w:r>
            <w:r>
              <w:t xml:space="preserve"> to support people</w:t>
            </w:r>
            <w:r w:rsidRPr="006B7E24">
              <w:t>”</w:t>
            </w:r>
            <w:r>
              <w:t>.</w:t>
            </w:r>
          </w:p>
        </w:tc>
        <w:tc>
          <w:tcPr>
            <w:tcW w:w="4536" w:type="dxa"/>
            <w:shd w:val="clear" w:color="auto" w:fill="FFFFFF" w:themeFill="background1"/>
            <w:vAlign w:val="center"/>
          </w:tcPr>
          <w:p w14:paraId="118A342C" w14:textId="77777777" w:rsidR="00415340" w:rsidRPr="006D48C2" w:rsidRDefault="00415340" w:rsidP="00DC6B04">
            <w:r w:rsidRPr="4F44E53A">
              <w:t>Tracks meaningful outcomes (or progress toward outcomes) for service users by measuring “what changed for the people supported”</w:t>
            </w:r>
            <w:r>
              <w:t>.</w:t>
            </w:r>
          </w:p>
        </w:tc>
      </w:tr>
      <w:tr w:rsidR="00415340" w:rsidRPr="00364846" w14:paraId="6C9E91C4" w14:textId="77777777" w:rsidTr="00DC6B04">
        <w:trPr>
          <w:trHeight w:val="508"/>
        </w:trPr>
        <w:tc>
          <w:tcPr>
            <w:tcW w:w="1408" w:type="dxa"/>
            <w:shd w:val="clear" w:color="auto" w:fill="C1E4F5"/>
            <w:vAlign w:val="center"/>
          </w:tcPr>
          <w:p w14:paraId="6BB02AEE" w14:textId="77777777" w:rsidR="00415340" w:rsidRPr="00356B38" w:rsidRDefault="00415340" w:rsidP="00DC6B04">
            <w:pPr>
              <w:rPr>
                <w:b/>
                <w:bCs/>
                <w:noProof/>
                <w:color w:val="005A70" w:themeColor="accent1"/>
              </w:rPr>
            </w:pPr>
            <w:r w:rsidRPr="00356B38">
              <w:rPr>
                <w:b/>
                <w:bCs/>
                <w:noProof/>
                <w:color w:val="005A70" w:themeColor="accent1"/>
              </w:rPr>
              <w:t>Purpose</w:t>
            </w:r>
          </w:p>
        </w:tc>
        <w:tc>
          <w:tcPr>
            <w:tcW w:w="4252" w:type="dxa"/>
            <w:shd w:val="clear" w:color="auto" w:fill="FFFFFF" w:themeFill="background1"/>
            <w:vAlign w:val="center"/>
          </w:tcPr>
          <w:p w14:paraId="606BD030" w14:textId="77777777" w:rsidR="00415340" w:rsidRPr="006B7E24" w:rsidRDefault="00415340" w:rsidP="00DC6B04">
            <w:r w:rsidRPr="006B7E24">
              <w:t>Used to monitor service delivery activities, budget adherence and compliance</w:t>
            </w:r>
            <w:r>
              <w:t>.</w:t>
            </w:r>
          </w:p>
        </w:tc>
        <w:tc>
          <w:tcPr>
            <w:tcW w:w="4536" w:type="dxa"/>
            <w:shd w:val="clear" w:color="auto" w:fill="FFFFFF" w:themeFill="background1"/>
            <w:vAlign w:val="center"/>
          </w:tcPr>
          <w:p w14:paraId="231EB8A7" w14:textId="77777777" w:rsidR="00415340" w:rsidRPr="006D48C2" w:rsidRDefault="00415340" w:rsidP="00DC6B04">
            <w:r w:rsidRPr="006D48C2">
              <w:t>Used to assess impact of a service, support continuous learning, and align stakeholders’ efforts</w:t>
            </w:r>
            <w:r>
              <w:t>.</w:t>
            </w:r>
          </w:p>
        </w:tc>
      </w:tr>
      <w:tr w:rsidR="00415340" w:rsidRPr="00364846" w14:paraId="0E392E85" w14:textId="77777777" w:rsidTr="00DC6B04">
        <w:trPr>
          <w:trHeight w:val="1984"/>
        </w:trPr>
        <w:tc>
          <w:tcPr>
            <w:tcW w:w="1408" w:type="dxa"/>
            <w:shd w:val="clear" w:color="auto" w:fill="C1E4F5"/>
            <w:vAlign w:val="center"/>
          </w:tcPr>
          <w:p w14:paraId="1A4B07C3" w14:textId="77777777" w:rsidR="00415340" w:rsidRPr="00356B38" w:rsidRDefault="00415340" w:rsidP="00DC6B04">
            <w:pPr>
              <w:rPr>
                <w:b/>
                <w:bCs/>
                <w:noProof/>
                <w:color w:val="005A70" w:themeColor="accent1"/>
              </w:rPr>
            </w:pPr>
            <w:r w:rsidRPr="00356B38">
              <w:rPr>
                <w:b/>
                <w:bCs/>
                <w:noProof/>
                <w:color w:val="005A70" w:themeColor="accent1"/>
              </w:rPr>
              <w:t>Examples</w:t>
            </w:r>
          </w:p>
        </w:tc>
        <w:tc>
          <w:tcPr>
            <w:tcW w:w="4252" w:type="dxa"/>
            <w:shd w:val="clear" w:color="auto" w:fill="FFFFFF" w:themeFill="background1"/>
            <w:vAlign w:val="center"/>
          </w:tcPr>
          <w:p w14:paraId="4B758B8C" w14:textId="77777777" w:rsidR="00415340" w:rsidRPr="006919A1" w:rsidRDefault="00415340" w:rsidP="00DC6B04">
            <w:r w:rsidRPr="006B7E24">
              <w:t>N</w:t>
            </w:r>
            <w:r w:rsidRPr="006919A1">
              <w:t>umber of participants served</w:t>
            </w:r>
            <w:r>
              <w:t>.</w:t>
            </w:r>
          </w:p>
          <w:p w14:paraId="77774D2D" w14:textId="77777777" w:rsidR="00415340" w:rsidRPr="006919A1" w:rsidRDefault="00415340" w:rsidP="00DC6B04">
            <w:r w:rsidRPr="006919A1">
              <w:t>Number of sessions delivered</w:t>
            </w:r>
            <w:r>
              <w:t>.</w:t>
            </w:r>
            <w:r w:rsidRPr="006919A1">
              <w:t xml:space="preserve"> </w:t>
            </w:r>
          </w:p>
          <w:p w14:paraId="36D8B6F4" w14:textId="77777777" w:rsidR="00415340" w:rsidRPr="006919A1" w:rsidRDefault="00415340" w:rsidP="00DC6B04">
            <w:r w:rsidRPr="006919A1">
              <w:t>% of funds spent and adherence to planned budget</w:t>
            </w:r>
            <w:r>
              <w:t>.</w:t>
            </w:r>
          </w:p>
          <w:p w14:paraId="32EF6F01" w14:textId="77777777" w:rsidR="00415340" w:rsidRPr="006919A1" w:rsidRDefault="00415340" w:rsidP="00DC6B04">
            <w:r w:rsidRPr="006919A1">
              <w:t>Submission of financial and activity reports on schedule</w:t>
            </w:r>
            <w:r>
              <w:t>.</w:t>
            </w:r>
          </w:p>
          <w:p w14:paraId="26825454" w14:textId="77777777" w:rsidR="00415340" w:rsidRPr="00FD3053" w:rsidRDefault="00415340" w:rsidP="00DC6B04">
            <w:pPr>
              <w:rPr>
                <w:noProof/>
              </w:rPr>
            </w:pPr>
            <w:r w:rsidRPr="006919A1">
              <w:t>Number of case managers employed to deliver the service</w:t>
            </w:r>
            <w:r>
              <w:t>.</w:t>
            </w:r>
          </w:p>
        </w:tc>
        <w:tc>
          <w:tcPr>
            <w:tcW w:w="4536" w:type="dxa"/>
            <w:shd w:val="clear" w:color="auto" w:fill="FFFFFF" w:themeFill="background1"/>
            <w:vAlign w:val="center"/>
          </w:tcPr>
          <w:p w14:paraId="70E9E19F" w14:textId="77777777" w:rsidR="00415340" w:rsidRPr="006B7E24" w:rsidRDefault="00415340" w:rsidP="00DC6B04">
            <w:r w:rsidRPr="006B7E24">
              <w:t xml:space="preserve">Number of days </w:t>
            </w:r>
            <w:r>
              <w:t xml:space="preserve">spent </w:t>
            </w:r>
            <w:r w:rsidRPr="006B7E24">
              <w:t>in hospital</w:t>
            </w:r>
            <w:r>
              <w:t>.</w:t>
            </w:r>
          </w:p>
          <w:p w14:paraId="57817910" w14:textId="77777777" w:rsidR="00415340" w:rsidRPr="006B7E24" w:rsidRDefault="00415340" w:rsidP="00DC6B04">
            <w:r w:rsidRPr="006B7E24">
              <w:t>Number of presentations to homelessness services</w:t>
            </w:r>
            <w:r>
              <w:t xml:space="preserve">. </w:t>
            </w:r>
          </w:p>
          <w:p w14:paraId="1D0E2EA9" w14:textId="77777777" w:rsidR="00415340" w:rsidRDefault="00415340" w:rsidP="00DC6B04">
            <w:r>
              <w:t xml:space="preserve">% of service users who report improvements in </w:t>
            </w:r>
            <w:r w:rsidRPr="006B7E24">
              <w:t>wellbeing</w:t>
            </w:r>
            <w:r>
              <w:t>.</w:t>
            </w:r>
            <w:r w:rsidRPr="006B7E24">
              <w:t xml:space="preserve"> </w:t>
            </w:r>
          </w:p>
          <w:p w14:paraId="4420C6B0" w14:textId="77777777" w:rsidR="00415340" w:rsidRDefault="00415340" w:rsidP="00DC6B04">
            <w:r w:rsidRPr="006B7E24">
              <w:t>Number of job placements</w:t>
            </w:r>
            <w:r>
              <w:t>.</w:t>
            </w:r>
          </w:p>
          <w:p w14:paraId="387317BE" w14:textId="77777777" w:rsidR="00415340" w:rsidRDefault="00415340" w:rsidP="00DC6B04">
            <w:r>
              <w:t>Amount of award wage income reported by service users.</w:t>
            </w:r>
          </w:p>
          <w:p w14:paraId="3262AAA4" w14:textId="77777777" w:rsidR="00415340" w:rsidRPr="006B7E24" w:rsidRDefault="00415340" w:rsidP="00DC6B04">
            <w:r>
              <w:t xml:space="preserve">% </w:t>
            </w:r>
            <w:r w:rsidRPr="006B7E24">
              <w:t>children reunified with their families</w:t>
            </w:r>
            <w:r>
              <w:t>.</w:t>
            </w:r>
          </w:p>
        </w:tc>
      </w:tr>
    </w:tbl>
    <w:p w14:paraId="42BA6F18" w14:textId="77777777" w:rsidR="00415340" w:rsidRPr="00A469AE" w:rsidRDefault="00415340" w:rsidP="00415340">
      <w:pPr>
        <w:pStyle w:val="Heading2"/>
      </w:pPr>
      <w:r>
        <w:lastRenderedPageBreak/>
        <w:t>Metric considerations</w:t>
      </w:r>
    </w:p>
    <w:p w14:paraId="0544D034" w14:textId="77777777" w:rsidR="00415340" w:rsidRPr="00E10D75" w:rsidRDefault="00415340" w:rsidP="00415340">
      <w:pPr>
        <w:pStyle w:val="Heading3"/>
      </w:pPr>
      <w:r w:rsidRPr="00E10D75">
        <w:t>Alignment with policy objective</w:t>
      </w:r>
    </w:p>
    <w:p w14:paraId="3BF3FE42" w14:textId="77777777" w:rsidR="00415340" w:rsidRPr="00A50DCE" w:rsidRDefault="00415340" w:rsidP="00415340">
      <w:r>
        <w:t xml:space="preserve">An outcome metric should clearly align with your policy objectives and allow commissioners to assess whether they are achieving this. </w:t>
      </w:r>
    </w:p>
    <w:p w14:paraId="1A6DF9A1" w14:textId="77777777" w:rsidR="00415340" w:rsidRPr="00E10D75" w:rsidRDefault="00415340" w:rsidP="00415340">
      <w:pPr>
        <w:pStyle w:val="Heading3"/>
      </w:pPr>
      <w:r w:rsidRPr="00E10D75">
        <w:t>Broader monitoring and evaluation framework</w:t>
      </w:r>
    </w:p>
    <w:p w14:paraId="080E4C31" w14:textId="77777777" w:rsidR="00415340" w:rsidRPr="005846A8" w:rsidRDefault="00415340" w:rsidP="00415340">
      <w:r>
        <w:t xml:space="preserve">Not all outcome metrics need to be linked to payments. You can develop a broader set of outcome metrics that can be used to inform adaptive service delivery and evaluate the impact of the service. </w:t>
      </w:r>
    </w:p>
    <w:p w14:paraId="278D97D8" w14:textId="77777777" w:rsidR="00415340" w:rsidRPr="00E10D75" w:rsidRDefault="00415340" w:rsidP="00415340">
      <w:pPr>
        <w:pStyle w:val="Heading3"/>
      </w:pPr>
      <w:r w:rsidRPr="00E10D75">
        <w:t xml:space="preserve">Data sources </w:t>
      </w:r>
    </w:p>
    <w:p w14:paraId="7E06FB1A" w14:textId="77777777" w:rsidR="00415340" w:rsidRDefault="00415340" w:rsidP="00415340">
      <w:pPr>
        <w:rPr>
          <w:szCs w:val="22"/>
        </w:rPr>
      </w:pPr>
      <w:r>
        <w:rPr>
          <w:szCs w:val="22"/>
        </w:rPr>
        <w:t>Outcome metrics linked to payments should rely on existing data sources where possible so you can minimise investment into new data collection systems and processes. There are typically two different data sources that can be considered.</w:t>
      </w:r>
    </w:p>
    <w:tbl>
      <w:tblPr>
        <w:tblStyle w:val="TableGrid"/>
        <w:tblW w:w="10343"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Look w:val="04A0" w:firstRow="1" w:lastRow="0" w:firstColumn="1" w:lastColumn="0" w:noHBand="0" w:noVBand="1"/>
      </w:tblPr>
      <w:tblGrid>
        <w:gridCol w:w="1838"/>
        <w:gridCol w:w="3964"/>
        <w:gridCol w:w="4541"/>
      </w:tblGrid>
      <w:tr w:rsidR="00415340" w:rsidRPr="00244EC5" w14:paraId="679968C4" w14:textId="77777777" w:rsidTr="00DC6B04">
        <w:trPr>
          <w:trHeight w:val="519"/>
          <w:tblHeader/>
        </w:trPr>
        <w:tc>
          <w:tcPr>
            <w:tcW w:w="1838" w:type="dxa"/>
            <w:shd w:val="clear" w:color="auto" w:fill="005A70" w:themeFill="accent1"/>
            <w:vAlign w:val="center"/>
          </w:tcPr>
          <w:p w14:paraId="6CDC1924" w14:textId="77777777" w:rsidR="00415340" w:rsidRPr="00356B38" w:rsidRDefault="00415340" w:rsidP="00DC6B04">
            <w:pPr>
              <w:rPr>
                <w:b/>
                <w:bCs/>
                <w:color w:val="FFFFFF" w:themeColor="background1"/>
              </w:rPr>
            </w:pPr>
            <w:r w:rsidRPr="00356B38">
              <w:rPr>
                <w:b/>
                <w:bCs/>
                <w:color w:val="FFFFFF" w:themeColor="background1"/>
              </w:rPr>
              <w:t>Data source</w:t>
            </w:r>
          </w:p>
        </w:tc>
        <w:tc>
          <w:tcPr>
            <w:tcW w:w="3964" w:type="dxa"/>
            <w:shd w:val="clear" w:color="auto" w:fill="005A70" w:themeFill="accent1"/>
            <w:vAlign w:val="center"/>
          </w:tcPr>
          <w:p w14:paraId="52BD6E4B" w14:textId="77777777" w:rsidR="00415340" w:rsidRPr="00356B38" w:rsidRDefault="00415340" w:rsidP="00DC6B04">
            <w:pPr>
              <w:rPr>
                <w:b/>
                <w:bCs/>
                <w:color w:val="FFFFFF" w:themeColor="background1"/>
              </w:rPr>
            </w:pPr>
            <w:r w:rsidRPr="00356B38">
              <w:rPr>
                <w:b/>
                <w:bCs/>
                <w:color w:val="FFFFFF" w:themeColor="background1"/>
              </w:rPr>
              <w:t>Advantages</w:t>
            </w:r>
          </w:p>
        </w:tc>
        <w:tc>
          <w:tcPr>
            <w:tcW w:w="4541" w:type="dxa"/>
            <w:shd w:val="clear" w:color="auto" w:fill="005A70" w:themeFill="accent1"/>
            <w:vAlign w:val="center"/>
          </w:tcPr>
          <w:p w14:paraId="483D0298" w14:textId="77777777" w:rsidR="00415340" w:rsidRPr="00356B38" w:rsidRDefault="00415340" w:rsidP="00DC6B04">
            <w:pPr>
              <w:rPr>
                <w:b/>
                <w:bCs/>
                <w:color w:val="FFFFFF" w:themeColor="background1"/>
              </w:rPr>
            </w:pPr>
            <w:r w:rsidRPr="00356B38">
              <w:rPr>
                <w:b/>
                <w:bCs/>
                <w:color w:val="FFFFFF" w:themeColor="background1"/>
              </w:rPr>
              <w:t>Challenges</w:t>
            </w:r>
          </w:p>
        </w:tc>
      </w:tr>
      <w:tr w:rsidR="00415340" w:rsidRPr="00302D8E" w14:paraId="52B71A47" w14:textId="77777777" w:rsidTr="00DC6B04">
        <w:tc>
          <w:tcPr>
            <w:tcW w:w="1838" w:type="dxa"/>
            <w:shd w:val="clear" w:color="auto" w:fill="C1E4F5"/>
            <w:vAlign w:val="center"/>
          </w:tcPr>
          <w:p w14:paraId="03552875" w14:textId="77777777" w:rsidR="00415340" w:rsidRPr="00356B38" w:rsidRDefault="00415340" w:rsidP="00DC6B04">
            <w:pPr>
              <w:rPr>
                <w:b/>
                <w:bCs/>
                <w:color w:val="005A70" w:themeColor="accent1"/>
              </w:rPr>
            </w:pPr>
            <w:r w:rsidRPr="00356B38">
              <w:rPr>
                <w:b/>
                <w:bCs/>
                <w:color w:val="005A70" w:themeColor="accent1"/>
              </w:rPr>
              <w:t>Government</w:t>
            </w:r>
          </w:p>
        </w:tc>
        <w:tc>
          <w:tcPr>
            <w:tcW w:w="3964" w:type="dxa"/>
            <w:vAlign w:val="center"/>
          </w:tcPr>
          <w:p w14:paraId="74FDD0A4" w14:textId="77777777" w:rsidR="00415340" w:rsidRPr="006919A1" w:rsidRDefault="00415340" w:rsidP="00DC6B04">
            <w:r w:rsidRPr="006919A1">
              <w:t>May require lower level of verification</w:t>
            </w:r>
            <w:r>
              <w:t>.</w:t>
            </w:r>
          </w:p>
          <w:p w14:paraId="483A1000" w14:textId="77777777" w:rsidR="00415340" w:rsidRPr="006919A1" w:rsidRDefault="00415340" w:rsidP="00DC6B04">
            <w:r w:rsidRPr="006919A1">
              <w:t>Service provider resourcing effort is reduced</w:t>
            </w:r>
            <w:r>
              <w:t>.</w:t>
            </w:r>
          </w:p>
          <w:p w14:paraId="7684BA78" w14:textId="77777777" w:rsidR="00415340" w:rsidRPr="006919A1" w:rsidRDefault="00415340" w:rsidP="00DC6B04">
            <w:r w:rsidRPr="006919A1">
              <w:t>Better suited to establishing counterfactuals and relative measurement approaches</w:t>
            </w:r>
            <w:r>
              <w:t>.</w:t>
            </w:r>
          </w:p>
        </w:tc>
        <w:tc>
          <w:tcPr>
            <w:tcW w:w="4541" w:type="dxa"/>
            <w:vAlign w:val="center"/>
          </w:tcPr>
          <w:p w14:paraId="5CF29211" w14:textId="77777777" w:rsidR="00415340" w:rsidRPr="006919A1" w:rsidRDefault="00415340" w:rsidP="00DC6B04">
            <w:r w:rsidRPr="006919A1">
              <w:t>Access may be limited or delayed</w:t>
            </w:r>
            <w:r>
              <w:t>.</w:t>
            </w:r>
          </w:p>
          <w:p w14:paraId="60DA7568" w14:textId="77777777" w:rsidR="00415340" w:rsidRPr="006919A1" w:rsidRDefault="00415340" w:rsidP="00DC6B04">
            <w:r w:rsidRPr="006919A1">
              <w:t>Requires greater commissioner resourcing</w:t>
            </w:r>
            <w:r>
              <w:t>.</w:t>
            </w:r>
          </w:p>
          <w:p w14:paraId="37D711D0" w14:textId="77777777" w:rsidR="00415340" w:rsidRPr="006919A1" w:rsidRDefault="00415340" w:rsidP="00DC6B04">
            <w:r w:rsidRPr="006919A1">
              <w:t>Service providers need to collect additional data to match participants to dataset</w:t>
            </w:r>
            <w:r>
              <w:t>.</w:t>
            </w:r>
          </w:p>
          <w:p w14:paraId="50D33C24" w14:textId="77777777" w:rsidR="00415340" w:rsidRPr="006919A1" w:rsidRDefault="00415340" w:rsidP="00DC6B04">
            <w:r w:rsidRPr="006919A1">
              <w:t>Often reliant on existing datasets</w:t>
            </w:r>
            <w:r>
              <w:t>.</w:t>
            </w:r>
          </w:p>
        </w:tc>
      </w:tr>
      <w:tr w:rsidR="00415340" w:rsidRPr="00302D8E" w14:paraId="641B2CD6" w14:textId="77777777" w:rsidTr="00DC6B04">
        <w:tc>
          <w:tcPr>
            <w:tcW w:w="1838" w:type="dxa"/>
            <w:shd w:val="clear" w:color="auto" w:fill="C1E4F5"/>
            <w:vAlign w:val="center"/>
          </w:tcPr>
          <w:p w14:paraId="5577F088" w14:textId="77777777" w:rsidR="00415340" w:rsidRPr="00356B38" w:rsidRDefault="00415340" w:rsidP="00DC6B04">
            <w:pPr>
              <w:rPr>
                <w:b/>
                <w:bCs/>
                <w:color w:val="005A70" w:themeColor="accent1"/>
              </w:rPr>
            </w:pPr>
            <w:r w:rsidRPr="00356B38">
              <w:rPr>
                <w:b/>
                <w:bCs/>
                <w:color w:val="005A70" w:themeColor="accent1"/>
              </w:rPr>
              <w:t>Service provider (or service users)</w:t>
            </w:r>
          </w:p>
        </w:tc>
        <w:tc>
          <w:tcPr>
            <w:tcW w:w="3964" w:type="dxa"/>
            <w:vAlign w:val="center"/>
          </w:tcPr>
          <w:p w14:paraId="755369F8" w14:textId="77777777" w:rsidR="00415340" w:rsidRPr="006919A1" w:rsidRDefault="00415340" w:rsidP="00DC6B04">
            <w:r w:rsidRPr="006919A1">
              <w:t>Potential to be quicker and more direct</w:t>
            </w:r>
            <w:r>
              <w:t>.</w:t>
            </w:r>
          </w:p>
          <w:p w14:paraId="1C1543C2" w14:textId="77777777" w:rsidR="00415340" w:rsidRPr="006919A1" w:rsidRDefault="00415340" w:rsidP="00DC6B04">
            <w:r w:rsidRPr="006919A1">
              <w:t>Can capture broader set of outcomes not linked to use of government services (e.g. self-reported wellbeing)</w:t>
            </w:r>
            <w:r>
              <w:t>.</w:t>
            </w:r>
          </w:p>
          <w:p w14:paraId="76D53C45" w14:textId="77777777" w:rsidR="00415340" w:rsidRPr="006919A1" w:rsidRDefault="00415340" w:rsidP="00DC6B04">
            <w:r w:rsidRPr="006919A1">
              <w:t>Can more readily inform changes to service delivery on the ground</w:t>
            </w:r>
            <w:r>
              <w:t>.</w:t>
            </w:r>
          </w:p>
        </w:tc>
        <w:tc>
          <w:tcPr>
            <w:tcW w:w="4541" w:type="dxa"/>
            <w:vAlign w:val="center"/>
          </w:tcPr>
          <w:p w14:paraId="6D761840" w14:textId="77777777" w:rsidR="00415340" w:rsidRPr="006919A1" w:rsidRDefault="00415340" w:rsidP="00DC6B04">
            <w:r w:rsidRPr="006919A1">
              <w:t>Requires higher level of verification</w:t>
            </w:r>
            <w:r>
              <w:t>.</w:t>
            </w:r>
          </w:p>
          <w:p w14:paraId="668D52BF" w14:textId="77777777" w:rsidR="00415340" w:rsidRPr="006919A1" w:rsidRDefault="00415340" w:rsidP="00DC6B04">
            <w:r w:rsidRPr="006919A1">
              <w:t xml:space="preserve">Subject to ‘survivorship </w:t>
            </w:r>
            <w:proofErr w:type="spellStart"/>
            <w:r w:rsidRPr="006919A1">
              <w:t>bias’</w:t>
            </w:r>
            <w:proofErr w:type="spellEnd"/>
            <w:r w:rsidRPr="006919A1">
              <w:t xml:space="preserve"> or inaccuracy</w:t>
            </w:r>
            <w:r>
              <w:t>.</w:t>
            </w:r>
          </w:p>
          <w:p w14:paraId="56AC6132" w14:textId="77777777" w:rsidR="00415340" w:rsidRPr="006919A1" w:rsidRDefault="00415340" w:rsidP="00DC6B04">
            <w:r w:rsidRPr="006919A1">
              <w:t>Creates additional administrative burden for service provider</w:t>
            </w:r>
            <w:r>
              <w:t>.</w:t>
            </w:r>
          </w:p>
          <w:p w14:paraId="2E19A603" w14:textId="77777777" w:rsidR="00415340" w:rsidRPr="006919A1" w:rsidRDefault="00415340" w:rsidP="00DC6B04">
            <w:r w:rsidRPr="006919A1">
              <w:t>May impact relationship between provider and participants</w:t>
            </w:r>
            <w:r>
              <w:t>.</w:t>
            </w:r>
          </w:p>
          <w:p w14:paraId="29029BAE" w14:textId="77777777" w:rsidR="00415340" w:rsidRPr="006919A1" w:rsidRDefault="00415340" w:rsidP="00DC6B04">
            <w:r w:rsidRPr="006919A1">
              <w:t>Unlikely to be able to establish robust counterfactual so better suited for absolute measurement approaches</w:t>
            </w:r>
            <w:r>
              <w:t>.</w:t>
            </w:r>
          </w:p>
        </w:tc>
      </w:tr>
    </w:tbl>
    <w:p w14:paraId="01940AA7" w14:textId="77777777" w:rsidR="00415340" w:rsidRDefault="00415340" w:rsidP="00415340">
      <w:pPr>
        <w:pStyle w:val="Heading3"/>
      </w:pPr>
      <w:r>
        <w:t xml:space="preserve">Objectivity </w:t>
      </w:r>
    </w:p>
    <w:p w14:paraId="27695447" w14:textId="77777777" w:rsidR="00415340" w:rsidRDefault="00415340" w:rsidP="00415340">
      <w:pPr>
        <w:rPr>
          <w:szCs w:val="22"/>
        </w:rPr>
      </w:pPr>
      <w:r w:rsidRPr="00D02422">
        <w:rPr>
          <w:szCs w:val="22"/>
        </w:rPr>
        <w:t>Outcome metric</w:t>
      </w:r>
      <w:r>
        <w:rPr>
          <w:szCs w:val="22"/>
        </w:rPr>
        <w:t>s linked to payments should rely</w:t>
      </w:r>
      <w:r w:rsidRPr="00D02422">
        <w:rPr>
          <w:szCs w:val="22"/>
        </w:rPr>
        <w:t xml:space="preserve"> on quantifiable </w:t>
      </w:r>
      <w:r>
        <w:rPr>
          <w:szCs w:val="22"/>
        </w:rPr>
        <w:t xml:space="preserve">and verifiable </w:t>
      </w:r>
      <w:r w:rsidRPr="00D02422">
        <w:rPr>
          <w:szCs w:val="22"/>
        </w:rPr>
        <w:t>data rather than human judgement</w:t>
      </w:r>
      <w:r>
        <w:rPr>
          <w:szCs w:val="22"/>
        </w:rPr>
        <w:t>. This ensures there is</w:t>
      </w:r>
      <w:r w:rsidRPr="00D02422">
        <w:rPr>
          <w:szCs w:val="22"/>
        </w:rPr>
        <w:t xml:space="preserve"> minimal ambiguity in definition and measurement</w:t>
      </w:r>
      <w:r>
        <w:rPr>
          <w:szCs w:val="22"/>
        </w:rPr>
        <w:t>.</w:t>
      </w:r>
    </w:p>
    <w:p w14:paraId="0ED2F6B2" w14:textId="77777777" w:rsidR="00415340" w:rsidRPr="00E10D75" w:rsidRDefault="00415340" w:rsidP="00415340">
      <w:pPr>
        <w:pStyle w:val="Heading3"/>
      </w:pPr>
      <w:r w:rsidRPr="00E10D75">
        <w:t>Perverse incentives</w:t>
      </w:r>
    </w:p>
    <w:p w14:paraId="4E4ED3E8" w14:textId="77777777" w:rsidR="00415340" w:rsidRDefault="00415340" w:rsidP="00415340">
      <w:r>
        <w:t>Linking payments to outcomes creates a financial incentive to achieve the outcomes. Therefore, it is important to ensure that these o</w:t>
      </w:r>
      <w:r w:rsidRPr="00982FB0">
        <w:t>utcome metric</w:t>
      </w:r>
      <w:r>
        <w:t>s</w:t>
      </w:r>
      <w:r w:rsidRPr="00982FB0">
        <w:t xml:space="preserve"> </w:t>
      </w:r>
      <w:r>
        <w:t>do</w:t>
      </w:r>
      <w:r w:rsidRPr="00982FB0">
        <w:t xml:space="preserve"> not encourage service provider</w:t>
      </w:r>
      <w:r>
        <w:t>s</w:t>
      </w:r>
      <w:r w:rsidRPr="00982FB0">
        <w:t xml:space="preserve"> to behave in a way that is detrimental to </w:t>
      </w:r>
      <w:r>
        <w:t>service users and the objectives of the outcomes-based contract</w:t>
      </w:r>
      <w:r w:rsidRPr="00982FB0">
        <w:t xml:space="preserve"> to maximise payment</w:t>
      </w:r>
      <w:r>
        <w:t>s. For example, an</w:t>
      </w:r>
      <w:r w:rsidRPr="00302D8E">
        <w:t xml:space="preserve"> outcome</w:t>
      </w:r>
      <w:r>
        <w:t xml:space="preserve"> that can only be </w:t>
      </w:r>
      <w:r w:rsidRPr="00302D8E">
        <w:t>assessed as a ‘pass’ or ‘fail’</w:t>
      </w:r>
      <w:r>
        <w:t xml:space="preserve"> (e.g.</w:t>
      </w:r>
      <w:r w:rsidRPr="00302D8E">
        <w:t xml:space="preserve"> an individual does or does not </w:t>
      </w:r>
      <w:r>
        <w:t>re-</w:t>
      </w:r>
      <w:r w:rsidRPr="00302D8E">
        <w:t>offen</w:t>
      </w:r>
      <w:r>
        <w:t>d) can sometimes create perverse incentives</w:t>
      </w:r>
      <w:r w:rsidRPr="00302D8E">
        <w:t>.</w:t>
      </w:r>
    </w:p>
    <w:p w14:paraId="4124472E" w14:textId="77777777" w:rsidR="00415340" w:rsidRPr="00E10D75" w:rsidRDefault="00415340" w:rsidP="00415340">
      <w:pPr>
        <w:pStyle w:val="Heading3"/>
      </w:pPr>
      <w:r w:rsidRPr="00E10D75">
        <w:lastRenderedPageBreak/>
        <w:t>Attribution</w:t>
      </w:r>
    </w:p>
    <w:p w14:paraId="27CB946B" w14:textId="77777777" w:rsidR="00415340" w:rsidRDefault="00415340" w:rsidP="00415340">
      <w:r w:rsidRPr="00D54603">
        <w:t xml:space="preserve">Attribution is about proving the </w:t>
      </w:r>
      <w:r w:rsidRPr="00D54603">
        <w:rPr>
          <w:i/>
          <w:iCs/>
        </w:rPr>
        <w:t>additional impact</w:t>
      </w:r>
      <w:r w:rsidRPr="00D54603">
        <w:t xml:space="preserve"> of a service – i.e. the outcomes that can reasonably be credited to a service over and above what would have happened anyway. See the ‘Understanding Outcome Measurement’ factsheet for more information.</w:t>
      </w:r>
    </w:p>
    <w:p w14:paraId="48098524" w14:textId="77777777" w:rsidR="00415340" w:rsidRPr="00E10D75" w:rsidRDefault="00415340" w:rsidP="00415340">
      <w:pPr>
        <w:pStyle w:val="Heading2"/>
      </w:pPr>
      <w:r w:rsidRPr="00E10D75">
        <w:t>Outcome metrics that use government data</w:t>
      </w:r>
    </w:p>
    <w:p w14:paraId="30459FBA" w14:textId="77777777" w:rsidR="00415340" w:rsidRDefault="00415340" w:rsidP="00415340">
      <w:r>
        <w:t>There</w:t>
      </w:r>
      <w:r w:rsidRPr="3A4A853B">
        <w:t xml:space="preserve"> </w:t>
      </w:r>
      <w:r>
        <w:t>are</w:t>
      </w:r>
      <w:r w:rsidRPr="3A4A853B">
        <w:t xml:space="preserve"> </w:t>
      </w:r>
      <w:r>
        <w:t xml:space="preserve">a wide range of outcome metrics that rely on </w:t>
      </w:r>
      <w:r w:rsidRPr="3A4A853B">
        <w:t>government data sources</w:t>
      </w:r>
      <w:r>
        <w:t>.</w:t>
      </w:r>
    </w:p>
    <w:p w14:paraId="7A0D80C1" w14:textId="77777777" w:rsidR="00415340" w:rsidRPr="00E10D75" w:rsidRDefault="00415340" w:rsidP="00415340">
      <w:pPr>
        <w:pStyle w:val="Heading3"/>
      </w:pPr>
      <w:r w:rsidRPr="00E10D75">
        <w:t>Employment</w:t>
      </w:r>
    </w:p>
    <w:tbl>
      <w:tblPr>
        <w:tblW w:w="10201"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Look w:val="04A0" w:firstRow="1" w:lastRow="0" w:firstColumn="1" w:lastColumn="0" w:noHBand="0" w:noVBand="1"/>
      </w:tblPr>
      <w:tblGrid>
        <w:gridCol w:w="3400"/>
        <w:gridCol w:w="4954"/>
        <w:gridCol w:w="1847"/>
      </w:tblGrid>
      <w:tr w:rsidR="00415340" w:rsidRPr="006B7E24" w14:paraId="4C78CAC4" w14:textId="77777777" w:rsidTr="00DC6B04">
        <w:trPr>
          <w:tblHeader/>
        </w:trPr>
        <w:tc>
          <w:tcPr>
            <w:tcW w:w="3400" w:type="dxa"/>
            <w:shd w:val="clear" w:color="auto" w:fill="156082"/>
            <w:vAlign w:val="center"/>
            <w:hideMark/>
          </w:tcPr>
          <w:p w14:paraId="73115250" w14:textId="77777777" w:rsidR="00415340" w:rsidRPr="00356B38" w:rsidRDefault="00415340" w:rsidP="00DC6B04">
            <w:pPr>
              <w:rPr>
                <w:b/>
                <w:bCs/>
                <w:color w:val="FFFFFF" w:themeColor="background1"/>
                <w:lang w:val="en-US"/>
              </w:rPr>
            </w:pPr>
            <w:r w:rsidRPr="00356B38">
              <w:rPr>
                <w:b/>
                <w:bCs/>
                <w:color w:val="FFFFFF" w:themeColor="background1"/>
                <w:lang w:val="en-US"/>
              </w:rPr>
              <w:t>Outcome Metric</w:t>
            </w:r>
          </w:p>
        </w:tc>
        <w:tc>
          <w:tcPr>
            <w:tcW w:w="4954" w:type="dxa"/>
            <w:shd w:val="clear" w:color="auto" w:fill="156082"/>
            <w:vAlign w:val="center"/>
            <w:hideMark/>
          </w:tcPr>
          <w:p w14:paraId="7A8FBDF8" w14:textId="77777777" w:rsidR="00415340" w:rsidRPr="00356B38" w:rsidRDefault="00415340" w:rsidP="00DC6B04">
            <w:pPr>
              <w:rPr>
                <w:b/>
                <w:bCs/>
                <w:color w:val="FFFFFF" w:themeColor="background1"/>
                <w:lang w:val="en-US"/>
              </w:rPr>
            </w:pPr>
            <w:r w:rsidRPr="00356B38">
              <w:rPr>
                <w:b/>
                <w:bCs/>
                <w:color w:val="FFFFFF" w:themeColor="background1"/>
                <w:lang w:val="en-US"/>
              </w:rPr>
              <w:t>Detail</w:t>
            </w:r>
          </w:p>
        </w:tc>
        <w:tc>
          <w:tcPr>
            <w:tcW w:w="1847" w:type="dxa"/>
            <w:shd w:val="clear" w:color="auto" w:fill="156082"/>
            <w:vAlign w:val="center"/>
            <w:hideMark/>
          </w:tcPr>
          <w:p w14:paraId="7777DD7C" w14:textId="77777777" w:rsidR="00415340" w:rsidRPr="00356B38" w:rsidRDefault="00415340" w:rsidP="00DC6B04">
            <w:pPr>
              <w:rPr>
                <w:b/>
                <w:bCs/>
                <w:color w:val="FFFFFF" w:themeColor="background1"/>
                <w:lang w:val="en-US"/>
              </w:rPr>
            </w:pPr>
            <w:r w:rsidRPr="00356B38">
              <w:rPr>
                <w:b/>
                <w:bCs/>
                <w:color w:val="FFFFFF" w:themeColor="background1"/>
                <w:lang w:val="en-US"/>
              </w:rPr>
              <w:t>Government</w:t>
            </w:r>
          </w:p>
        </w:tc>
      </w:tr>
      <w:tr w:rsidR="00415340" w:rsidRPr="006B7E24" w14:paraId="605F1536" w14:textId="77777777" w:rsidTr="00DC6B04">
        <w:tc>
          <w:tcPr>
            <w:tcW w:w="3400" w:type="dxa"/>
            <w:shd w:val="clear" w:color="auto" w:fill="C1E4F5"/>
            <w:vAlign w:val="center"/>
            <w:hideMark/>
          </w:tcPr>
          <w:p w14:paraId="5107B09F" w14:textId="77777777" w:rsidR="00415340" w:rsidRPr="00356B38" w:rsidRDefault="00415340" w:rsidP="00DC6B04">
            <w:pPr>
              <w:rPr>
                <w:b/>
                <w:bCs/>
                <w:color w:val="005A70" w:themeColor="accent1"/>
                <w:lang w:val="en-US"/>
              </w:rPr>
            </w:pPr>
            <w:r w:rsidRPr="00356B38">
              <w:rPr>
                <w:b/>
                <w:bCs/>
                <w:color w:val="005A70" w:themeColor="accent1"/>
                <w:lang w:val="en-US"/>
              </w:rPr>
              <w:t>Income support payments</w:t>
            </w:r>
          </w:p>
        </w:tc>
        <w:tc>
          <w:tcPr>
            <w:tcW w:w="4954" w:type="dxa"/>
            <w:vAlign w:val="center"/>
            <w:hideMark/>
          </w:tcPr>
          <w:p w14:paraId="2F0FA16C" w14:textId="77777777" w:rsidR="00415340" w:rsidRPr="006B7E24" w:rsidRDefault="00415340" w:rsidP="00DC6B04">
            <w:pPr>
              <w:rPr>
                <w:lang w:val="en-US"/>
              </w:rPr>
            </w:pPr>
            <w:r w:rsidRPr="006B7E24">
              <w:rPr>
                <w:lang w:val="en-US"/>
              </w:rPr>
              <w:t>Dollars of income support paid</w:t>
            </w:r>
          </w:p>
        </w:tc>
        <w:tc>
          <w:tcPr>
            <w:tcW w:w="1847" w:type="dxa"/>
            <w:vAlign w:val="center"/>
            <w:hideMark/>
          </w:tcPr>
          <w:p w14:paraId="05B08807" w14:textId="77777777" w:rsidR="00415340" w:rsidRPr="006B7E24" w:rsidRDefault="00415340" w:rsidP="00DC6B04">
            <w:pPr>
              <w:rPr>
                <w:lang w:val="en-US"/>
              </w:rPr>
            </w:pPr>
            <w:r w:rsidRPr="006B7E24">
              <w:rPr>
                <w:lang w:val="en-US"/>
              </w:rPr>
              <w:t>Commonwealth</w:t>
            </w:r>
          </w:p>
        </w:tc>
      </w:tr>
      <w:tr w:rsidR="00415340" w:rsidRPr="006B7E24" w14:paraId="128AD42A" w14:textId="77777777" w:rsidTr="00DC6B04">
        <w:tc>
          <w:tcPr>
            <w:tcW w:w="3400" w:type="dxa"/>
            <w:shd w:val="clear" w:color="auto" w:fill="C1E4F5"/>
            <w:vAlign w:val="center"/>
            <w:hideMark/>
          </w:tcPr>
          <w:p w14:paraId="3ABD99F3" w14:textId="77777777" w:rsidR="00415340" w:rsidRPr="00356B38" w:rsidRDefault="00415340" w:rsidP="00DC6B04">
            <w:pPr>
              <w:rPr>
                <w:b/>
                <w:bCs/>
                <w:color w:val="005A70" w:themeColor="accent1"/>
                <w:lang w:val="en-US"/>
              </w:rPr>
            </w:pPr>
            <w:r w:rsidRPr="00356B38">
              <w:rPr>
                <w:b/>
                <w:bCs/>
                <w:color w:val="005A70" w:themeColor="accent1"/>
                <w:lang w:val="en-US"/>
              </w:rPr>
              <w:t>Income support periods</w:t>
            </w:r>
          </w:p>
        </w:tc>
        <w:tc>
          <w:tcPr>
            <w:tcW w:w="4954" w:type="dxa"/>
            <w:vAlign w:val="center"/>
            <w:hideMark/>
          </w:tcPr>
          <w:p w14:paraId="16C7D73F" w14:textId="77777777" w:rsidR="00415340" w:rsidRPr="006B7E24" w:rsidRDefault="00415340" w:rsidP="00DC6B04">
            <w:pPr>
              <w:rPr>
                <w:lang w:val="en-US"/>
              </w:rPr>
            </w:pPr>
            <w:r w:rsidRPr="006B7E24">
              <w:rPr>
                <w:lang w:val="en-US"/>
              </w:rPr>
              <w:t>Number of periods receiving income support</w:t>
            </w:r>
          </w:p>
        </w:tc>
        <w:tc>
          <w:tcPr>
            <w:tcW w:w="1847" w:type="dxa"/>
            <w:vAlign w:val="center"/>
            <w:hideMark/>
          </w:tcPr>
          <w:p w14:paraId="0B9948CF" w14:textId="77777777" w:rsidR="00415340" w:rsidRPr="006B7E24" w:rsidRDefault="00415340" w:rsidP="00DC6B04">
            <w:pPr>
              <w:rPr>
                <w:lang w:val="en-US"/>
              </w:rPr>
            </w:pPr>
            <w:r w:rsidRPr="006B7E24">
              <w:rPr>
                <w:lang w:val="en-US"/>
              </w:rPr>
              <w:t>Commonwealth</w:t>
            </w:r>
          </w:p>
        </w:tc>
      </w:tr>
      <w:tr w:rsidR="00415340" w:rsidRPr="006B7E24" w14:paraId="75549821" w14:textId="77777777" w:rsidTr="00DC6B04">
        <w:tc>
          <w:tcPr>
            <w:tcW w:w="3400" w:type="dxa"/>
            <w:shd w:val="clear" w:color="auto" w:fill="C1E4F5"/>
            <w:vAlign w:val="center"/>
            <w:hideMark/>
          </w:tcPr>
          <w:p w14:paraId="72FA141D" w14:textId="77777777" w:rsidR="00415340" w:rsidRPr="00356B38" w:rsidRDefault="00415340" w:rsidP="00DC6B04">
            <w:pPr>
              <w:rPr>
                <w:b/>
                <w:bCs/>
                <w:color w:val="005A70" w:themeColor="accent1"/>
                <w:lang w:val="en-US"/>
              </w:rPr>
            </w:pPr>
            <w:r w:rsidRPr="00356B38">
              <w:rPr>
                <w:b/>
                <w:bCs/>
                <w:color w:val="005A70" w:themeColor="accent1"/>
                <w:lang w:val="en-US"/>
              </w:rPr>
              <w:t>Off welfare</w:t>
            </w:r>
          </w:p>
        </w:tc>
        <w:tc>
          <w:tcPr>
            <w:tcW w:w="4954" w:type="dxa"/>
            <w:vAlign w:val="center"/>
            <w:hideMark/>
          </w:tcPr>
          <w:p w14:paraId="7EE299F6" w14:textId="77777777" w:rsidR="00415340" w:rsidRPr="006B7E24" w:rsidRDefault="00415340" w:rsidP="00DC6B04">
            <w:pPr>
              <w:rPr>
                <w:lang w:val="en-US"/>
              </w:rPr>
            </w:pPr>
            <w:r w:rsidRPr="006B7E24">
              <w:rPr>
                <w:lang w:val="en-US"/>
              </w:rPr>
              <w:t xml:space="preserve">Whether off benefits for at least </w:t>
            </w:r>
            <w:r w:rsidRPr="006B7E24">
              <w:rPr>
                <w:i/>
                <w:iCs/>
                <w:lang w:val="en-US"/>
              </w:rPr>
              <w:t>x</w:t>
            </w:r>
            <w:r w:rsidRPr="006B7E24">
              <w:rPr>
                <w:lang w:val="en-US"/>
              </w:rPr>
              <w:t xml:space="preserve"> number of weeks</w:t>
            </w:r>
          </w:p>
        </w:tc>
        <w:tc>
          <w:tcPr>
            <w:tcW w:w="1847" w:type="dxa"/>
            <w:vAlign w:val="center"/>
            <w:hideMark/>
          </w:tcPr>
          <w:p w14:paraId="56397544" w14:textId="77777777" w:rsidR="00415340" w:rsidRPr="006B7E24" w:rsidRDefault="00415340" w:rsidP="00DC6B04">
            <w:pPr>
              <w:rPr>
                <w:lang w:val="en-US"/>
              </w:rPr>
            </w:pPr>
            <w:r w:rsidRPr="006B7E24">
              <w:rPr>
                <w:lang w:val="en-US"/>
              </w:rPr>
              <w:t>Commonwealth</w:t>
            </w:r>
          </w:p>
        </w:tc>
      </w:tr>
      <w:tr w:rsidR="00415340" w:rsidRPr="006B7E24" w14:paraId="637951F3" w14:textId="77777777" w:rsidTr="00DC6B04">
        <w:tc>
          <w:tcPr>
            <w:tcW w:w="3400" w:type="dxa"/>
            <w:shd w:val="clear" w:color="auto" w:fill="C1E4F5"/>
            <w:vAlign w:val="center"/>
            <w:hideMark/>
          </w:tcPr>
          <w:p w14:paraId="495D0F71" w14:textId="77777777" w:rsidR="00415340" w:rsidRPr="00356B38" w:rsidRDefault="00415340" w:rsidP="00DC6B04">
            <w:pPr>
              <w:rPr>
                <w:b/>
                <w:bCs/>
                <w:color w:val="005A70" w:themeColor="accent1"/>
                <w:lang w:val="en-US"/>
              </w:rPr>
            </w:pPr>
            <w:r w:rsidRPr="00356B38">
              <w:rPr>
                <w:b/>
                <w:bCs/>
                <w:color w:val="005A70" w:themeColor="accent1"/>
                <w:lang w:val="en-US"/>
              </w:rPr>
              <w:t>Income</w:t>
            </w:r>
          </w:p>
        </w:tc>
        <w:tc>
          <w:tcPr>
            <w:tcW w:w="4954" w:type="dxa"/>
            <w:vAlign w:val="center"/>
            <w:hideMark/>
          </w:tcPr>
          <w:p w14:paraId="122639CC" w14:textId="77777777" w:rsidR="00415340" w:rsidRPr="006B7E24" w:rsidRDefault="00415340" w:rsidP="00DC6B04">
            <w:pPr>
              <w:rPr>
                <w:lang w:val="en-US"/>
              </w:rPr>
            </w:pPr>
            <w:r w:rsidRPr="006B7E24">
              <w:rPr>
                <w:lang w:val="en-US"/>
              </w:rPr>
              <w:t>Dollars of (non-welfare) income</w:t>
            </w:r>
          </w:p>
        </w:tc>
        <w:tc>
          <w:tcPr>
            <w:tcW w:w="1847" w:type="dxa"/>
            <w:vAlign w:val="center"/>
            <w:hideMark/>
          </w:tcPr>
          <w:p w14:paraId="5F83EF1F" w14:textId="77777777" w:rsidR="00415340" w:rsidRPr="006B7E24" w:rsidRDefault="00415340" w:rsidP="00DC6B04">
            <w:pPr>
              <w:rPr>
                <w:lang w:val="en-US"/>
              </w:rPr>
            </w:pPr>
            <w:r w:rsidRPr="006B7E24">
              <w:rPr>
                <w:lang w:val="en-US"/>
              </w:rPr>
              <w:t>Commonwealth</w:t>
            </w:r>
          </w:p>
        </w:tc>
      </w:tr>
      <w:tr w:rsidR="00415340" w:rsidRPr="006B7E24" w14:paraId="59671D2F" w14:textId="77777777" w:rsidTr="00DC6B04">
        <w:tc>
          <w:tcPr>
            <w:tcW w:w="3400" w:type="dxa"/>
            <w:shd w:val="clear" w:color="auto" w:fill="C1E4F5"/>
            <w:vAlign w:val="center"/>
            <w:hideMark/>
          </w:tcPr>
          <w:p w14:paraId="4049C160" w14:textId="77777777" w:rsidR="00415340" w:rsidRPr="00356B38" w:rsidRDefault="00415340" w:rsidP="00DC6B04">
            <w:pPr>
              <w:rPr>
                <w:b/>
                <w:bCs/>
                <w:color w:val="005A70" w:themeColor="accent1"/>
                <w:lang w:val="en-US"/>
              </w:rPr>
            </w:pPr>
            <w:r w:rsidRPr="00356B38">
              <w:rPr>
                <w:b/>
                <w:bCs/>
                <w:color w:val="005A70" w:themeColor="accent1"/>
                <w:lang w:val="en-US"/>
              </w:rPr>
              <w:t>Job placements</w:t>
            </w:r>
          </w:p>
        </w:tc>
        <w:tc>
          <w:tcPr>
            <w:tcW w:w="4954" w:type="dxa"/>
            <w:vAlign w:val="center"/>
            <w:hideMark/>
          </w:tcPr>
          <w:p w14:paraId="688C6181" w14:textId="77777777" w:rsidR="00415340" w:rsidRPr="006B7E24" w:rsidRDefault="00415340" w:rsidP="00DC6B04">
            <w:pPr>
              <w:rPr>
                <w:lang w:val="en-US"/>
              </w:rPr>
            </w:pPr>
            <w:r w:rsidRPr="006B7E24">
              <w:rPr>
                <w:lang w:val="en-US"/>
              </w:rPr>
              <w:t>Number of job placements</w:t>
            </w:r>
          </w:p>
        </w:tc>
        <w:tc>
          <w:tcPr>
            <w:tcW w:w="1847" w:type="dxa"/>
            <w:vAlign w:val="center"/>
            <w:hideMark/>
          </w:tcPr>
          <w:p w14:paraId="6C8585B3" w14:textId="77777777" w:rsidR="00415340" w:rsidRPr="006B7E24" w:rsidRDefault="00415340" w:rsidP="00DC6B04">
            <w:pPr>
              <w:rPr>
                <w:lang w:val="en-US"/>
              </w:rPr>
            </w:pPr>
            <w:r w:rsidRPr="006B7E24">
              <w:rPr>
                <w:lang w:val="en-US"/>
              </w:rPr>
              <w:t>Commonwealth</w:t>
            </w:r>
          </w:p>
        </w:tc>
      </w:tr>
      <w:tr w:rsidR="00415340" w:rsidRPr="006B7E24" w14:paraId="5E39DB62" w14:textId="77777777" w:rsidTr="00DC6B04">
        <w:tc>
          <w:tcPr>
            <w:tcW w:w="3400" w:type="dxa"/>
            <w:shd w:val="clear" w:color="auto" w:fill="C1E4F5"/>
            <w:vAlign w:val="center"/>
            <w:hideMark/>
          </w:tcPr>
          <w:p w14:paraId="63D78956" w14:textId="77777777" w:rsidR="00415340" w:rsidRPr="00356B38" w:rsidRDefault="00415340" w:rsidP="00DC6B04">
            <w:pPr>
              <w:rPr>
                <w:b/>
                <w:bCs/>
                <w:color w:val="005A70" w:themeColor="accent1"/>
                <w:lang w:val="en-US"/>
              </w:rPr>
            </w:pPr>
            <w:r w:rsidRPr="00356B38">
              <w:rPr>
                <w:b/>
                <w:bCs/>
                <w:color w:val="005A70" w:themeColor="accent1"/>
                <w:lang w:val="en-US"/>
              </w:rPr>
              <w:t>Job duration outcome</w:t>
            </w:r>
          </w:p>
        </w:tc>
        <w:tc>
          <w:tcPr>
            <w:tcW w:w="4954" w:type="dxa"/>
            <w:vAlign w:val="center"/>
            <w:hideMark/>
          </w:tcPr>
          <w:p w14:paraId="5EBC8C58" w14:textId="77777777" w:rsidR="00415340" w:rsidRPr="006B7E24" w:rsidRDefault="00415340" w:rsidP="00DC6B04">
            <w:pPr>
              <w:rPr>
                <w:lang w:val="en-US"/>
              </w:rPr>
            </w:pPr>
            <w:r w:rsidRPr="006B7E24">
              <w:rPr>
                <w:lang w:val="en-US"/>
              </w:rPr>
              <w:t>12- or 26-week employment outcome achieved</w:t>
            </w:r>
          </w:p>
        </w:tc>
        <w:tc>
          <w:tcPr>
            <w:tcW w:w="1847" w:type="dxa"/>
            <w:vAlign w:val="center"/>
            <w:hideMark/>
          </w:tcPr>
          <w:p w14:paraId="0260FF96" w14:textId="77777777" w:rsidR="00415340" w:rsidRPr="006B7E24" w:rsidRDefault="00415340" w:rsidP="00DC6B04">
            <w:pPr>
              <w:rPr>
                <w:lang w:val="en-US"/>
              </w:rPr>
            </w:pPr>
            <w:r w:rsidRPr="006B7E24">
              <w:rPr>
                <w:lang w:val="en-US"/>
              </w:rPr>
              <w:t>Commonwealth</w:t>
            </w:r>
          </w:p>
        </w:tc>
      </w:tr>
    </w:tbl>
    <w:p w14:paraId="6CA219CA" w14:textId="77777777" w:rsidR="00415340" w:rsidRPr="00E10D75" w:rsidRDefault="00415340" w:rsidP="00415340">
      <w:pPr>
        <w:pStyle w:val="Heading3"/>
      </w:pPr>
      <w:r w:rsidRPr="00E10D75">
        <w:t xml:space="preserve">Housing </w:t>
      </w:r>
    </w:p>
    <w:tbl>
      <w:tblPr>
        <w:tblW w:w="10201"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Look w:val="04A0" w:firstRow="1" w:lastRow="0" w:firstColumn="1" w:lastColumn="0" w:noHBand="0" w:noVBand="1"/>
      </w:tblPr>
      <w:tblGrid>
        <w:gridCol w:w="3400"/>
        <w:gridCol w:w="4954"/>
        <w:gridCol w:w="1847"/>
      </w:tblGrid>
      <w:tr w:rsidR="00415340" w:rsidRPr="006B7E24" w14:paraId="413976BC" w14:textId="77777777" w:rsidTr="00DC6B04">
        <w:trPr>
          <w:tblHeader/>
        </w:trPr>
        <w:tc>
          <w:tcPr>
            <w:tcW w:w="3400" w:type="dxa"/>
            <w:shd w:val="clear" w:color="auto" w:fill="156082"/>
            <w:vAlign w:val="center"/>
            <w:hideMark/>
          </w:tcPr>
          <w:p w14:paraId="21C44D66" w14:textId="77777777" w:rsidR="00415340" w:rsidRPr="00356B38" w:rsidRDefault="00415340" w:rsidP="00DC6B04">
            <w:pPr>
              <w:rPr>
                <w:b/>
                <w:bCs/>
                <w:color w:val="FFFFFF" w:themeColor="background1"/>
                <w:lang w:val="en-US"/>
              </w:rPr>
            </w:pPr>
            <w:r w:rsidRPr="00356B38">
              <w:rPr>
                <w:b/>
                <w:bCs/>
                <w:color w:val="FFFFFF" w:themeColor="background1"/>
                <w:lang w:val="en-US"/>
              </w:rPr>
              <w:t>Outcome Metric</w:t>
            </w:r>
          </w:p>
        </w:tc>
        <w:tc>
          <w:tcPr>
            <w:tcW w:w="4954" w:type="dxa"/>
            <w:shd w:val="clear" w:color="auto" w:fill="156082"/>
            <w:vAlign w:val="center"/>
            <w:hideMark/>
          </w:tcPr>
          <w:p w14:paraId="02DA1501" w14:textId="77777777" w:rsidR="00415340" w:rsidRPr="00356B38" w:rsidRDefault="00415340" w:rsidP="00DC6B04">
            <w:pPr>
              <w:rPr>
                <w:b/>
                <w:bCs/>
                <w:color w:val="FFFFFF" w:themeColor="background1"/>
                <w:lang w:val="en-US"/>
              </w:rPr>
            </w:pPr>
            <w:r w:rsidRPr="00356B38">
              <w:rPr>
                <w:b/>
                <w:bCs/>
                <w:color w:val="FFFFFF" w:themeColor="background1"/>
                <w:lang w:val="en-US"/>
              </w:rPr>
              <w:t>Detail</w:t>
            </w:r>
          </w:p>
        </w:tc>
        <w:tc>
          <w:tcPr>
            <w:tcW w:w="1847" w:type="dxa"/>
            <w:shd w:val="clear" w:color="auto" w:fill="156082"/>
            <w:vAlign w:val="center"/>
            <w:hideMark/>
          </w:tcPr>
          <w:p w14:paraId="03647DC4" w14:textId="77777777" w:rsidR="00415340" w:rsidRPr="00356B38" w:rsidRDefault="00415340" w:rsidP="00DC6B04">
            <w:pPr>
              <w:rPr>
                <w:b/>
                <w:bCs/>
                <w:color w:val="FFFFFF" w:themeColor="background1"/>
                <w:lang w:val="en-US"/>
              </w:rPr>
            </w:pPr>
            <w:r w:rsidRPr="00356B38">
              <w:rPr>
                <w:b/>
                <w:bCs/>
                <w:color w:val="FFFFFF" w:themeColor="background1"/>
                <w:lang w:val="en-US"/>
              </w:rPr>
              <w:t>Government</w:t>
            </w:r>
          </w:p>
        </w:tc>
      </w:tr>
      <w:tr w:rsidR="00415340" w:rsidRPr="006B7E24" w14:paraId="630DFFE9" w14:textId="77777777" w:rsidTr="00DC6B04">
        <w:tc>
          <w:tcPr>
            <w:tcW w:w="3400" w:type="dxa"/>
            <w:shd w:val="clear" w:color="auto" w:fill="C1E4F5"/>
            <w:hideMark/>
          </w:tcPr>
          <w:p w14:paraId="548CF369" w14:textId="77777777" w:rsidR="00415340" w:rsidRPr="00356B38" w:rsidRDefault="00415340" w:rsidP="00DC6B04">
            <w:pPr>
              <w:rPr>
                <w:b/>
                <w:bCs/>
                <w:color w:val="005A70" w:themeColor="accent1"/>
                <w:lang w:val="en-US"/>
              </w:rPr>
            </w:pPr>
            <w:r w:rsidRPr="00356B38">
              <w:rPr>
                <w:b/>
                <w:bCs/>
                <w:color w:val="005A70" w:themeColor="accent1"/>
                <w:lang w:val="en-US"/>
              </w:rPr>
              <w:t>Rent assistance payments</w:t>
            </w:r>
          </w:p>
        </w:tc>
        <w:tc>
          <w:tcPr>
            <w:tcW w:w="4954" w:type="dxa"/>
            <w:hideMark/>
          </w:tcPr>
          <w:p w14:paraId="3E62EDFE" w14:textId="77777777" w:rsidR="00415340" w:rsidRPr="006B7E24" w:rsidRDefault="00415340" w:rsidP="00DC6B04">
            <w:pPr>
              <w:rPr>
                <w:lang w:val="en-US"/>
              </w:rPr>
            </w:pPr>
            <w:r w:rsidRPr="0047171B">
              <w:rPr>
                <w:lang w:val="en-US"/>
              </w:rPr>
              <w:t>Dollars of rent assistance</w:t>
            </w:r>
          </w:p>
        </w:tc>
        <w:tc>
          <w:tcPr>
            <w:tcW w:w="1847" w:type="dxa"/>
            <w:hideMark/>
          </w:tcPr>
          <w:p w14:paraId="745103DC" w14:textId="77777777" w:rsidR="00415340" w:rsidRPr="006B7E24" w:rsidRDefault="00415340" w:rsidP="00DC6B04">
            <w:pPr>
              <w:rPr>
                <w:lang w:val="en-US"/>
              </w:rPr>
            </w:pPr>
            <w:r w:rsidRPr="0047171B">
              <w:rPr>
                <w:lang w:val="en-US"/>
              </w:rPr>
              <w:t>Commonwealth</w:t>
            </w:r>
          </w:p>
        </w:tc>
      </w:tr>
      <w:tr w:rsidR="00415340" w:rsidRPr="006B7E24" w14:paraId="5959BFFE" w14:textId="77777777" w:rsidTr="00DC6B04">
        <w:tc>
          <w:tcPr>
            <w:tcW w:w="3400" w:type="dxa"/>
            <w:shd w:val="clear" w:color="auto" w:fill="C1E4F5"/>
            <w:hideMark/>
          </w:tcPr>
          <w:p w14:paraId="2B1F8A8D" w14:textId="77777777" w:rsidR="00415340" w:rsidRPr="00356B38" w:rsidRDefault="00415340" w:rsidP="00DC6B04">
            <w:pPr>
              <w:rPr>
                <w:b/>
                <w:bCs/>
                <w:color w:val="005A70" w:themeColor="accent1"/>
                <w:lang w:val="en-US"/>
              </w:rPr>
            </w:pPr>
            <w:r w:rsidRPr="00356B38">
              <w:rPr>
                <w:b/>
                <w:bCs/>
                <w:color w:val="005A70" w:themeColor="accent1"/>
                <w:lang w:val="en-US"/>
              </w:rPr>
              <w:t>Homelessness support services</w:t>
            </w:r>
          </w:p>
        </w:tc>
        <w:tc>
          <w:tcPr>
            <w:tcW w:w="4954" w:type="dxa"/>
            <w:hideMark/>
          </w:tcPr>
          <w:p w14:paraId="74131531" w14:textId="77777777" w:rsidR="00415340" w:rsidRPr="006B7E24" w:rsidRDefault="00415340" w:rsidP="00DC6B04">
            <w:pPr>
              <w:rPr>
                <w:lang w:val="en-US"/>
              </w:rPr>
            </w:pPr>
            <w:r w:rsidRPr="0047171B">
              <w:rPr>
                <w:lang w:val="en-US"/>
              </w:rPr>
              <w:t>Number of presentations to specialist support services</w:t>
            </w:r>
          </w:p>
        </w:tc>
        <w:tc>
          <w:tcPr>
            <w:tcW w:w="1847" w:type="dxa"/>
            <w:hideMark/>
          </w:tcPr>
          <w:p w14:paraId="1B20EE11" w14:textId="77777777" w:rsidR="00415340" w:rsidRPr="006B7E24" w:rsidRDefault="00415340" w:rsidP="00DC6B04">
            <w:pPr>
              <w:rPr>
                <w:lang w:val="en-US"/>
              </w:rPr>
            </w:pPr>
            <w:r w:rsidRPr="0047171B">
              <w:rPr>
                <w:lang w:val="en-US"/>
              </w:rPr>
              <w:t>State / Territory</w:t>
            </w:r>
          </w:p>
        </w:tc>
      </w:tr>
    </w:tbl>
    <w:p w14:paraId="6327477E" w14:textId="77777777" w:rsidR="00415340" w:rsidRDefault="00415340" w:rsidP="00415340">
      <w:pPr>
        <w:pStyle w:val="Heading3"/>
      </w:pPr>
      <w:r>
        <w:t>Health</w:t>
      </w:r>
    </w:p>
    <w:tbl>
      <w:tblPr>
        <w:tblW w:w="10201"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Look w:val="04A0" w:firstRow="1" w:lastRow="0" w:firstColumn="1" w:lastColumn="0" w:noHBand="0" w:noVBand="1"/>
      </w:tblPr>
      <w:tblGrid>
        <w:gridCol w:w="3400"/>
        <w:gridCol w:w="4954"/>
        <w:gridCol w:w="1847"/>
      </w:tblGrid>
      <w:tr w:rsidR="00415340" w:rsidRPr="006B7E24" w14:paraId="5C779584" w14:textId="77777777" w:rsidTr="00DC6B04">
        <w:trPr>
          <w:tblHeader/>
        </w:trPr>
        <w:tc>
          <w:tcPr>
            <w:tcW w:w="3400" w:type="dxa"/>
            <w:shd w:val="clear" w:color="auto" w:fill="156082"/>
            <w:vAlign w:val="center"/>
            <w:hideMark/>
          </w:tcPr>
          <w:p w14:paraId="74EE8CE7" w14:textId="77777777" w:rsidR="00415340" w:rsidRPr="00356B38" w:rsidRDefault="00415340" w:rsidP="00DC6B04">
            <w:pPr>
              <w:rPr>
                <w:b/>
                <w:bCs/>
                <w:color w:val="FFFFFF" w:themeColor="background1"/>
                <w:lang w:val="en-US"/>
              </w:rPr>
            </w:pPr>
            <w:r w:rsidRPr="00356B38">
              <w:rPr>
                <w:b/>
                <w:bCs/>
                <w:color w:val="FFFFFF" w:themeColor="background1"/>
                <w:lang w:val="en-US"/>
              </w:rPr>
              <w:t>Outcome Metric</w:t>
            </w:r>
          </w:p>
        </w:tc>
        <w:tc>
          <w:tcPr>
            <w:tcW w:w="4954" w:type="dxa"/>
            <w:shd w:val="clear" w:color="auto" w:fill="156082"/>
            <w:vAlign w:val="center"/>
            <w:hideMark/>
          </w:tcPr>
          <w:p w14:paraId="7EA07BD7" w14:textId="77777777" w:rsidR="00415340" w:rsidRPr="00356B38" w:rsidRDefault="00415340" w:rsidP="00DC6B04">
            <w:pPr>
              <w:rPr>
                <w:b/>
                <w:bCs/>
                <w:color w:val="FFFFFF" w:themeColor="background1"/>
                <w:lang w:val="en-US"/>
              </w:rPr>
            </w:pPr>
            <w:r w:rsidRPr="00356B38">
              <w:rPr>
                <w:b/>
                <w:bCs/>
                <w:color w:val="FFFFFF" w:themeColor="background1"/>
                <w:lang w:val="en-US"/>
              </w:rPr>
              <w:t>Detail</w:t>
            </w:r>
          </w:p>
        </w:tc>
        <w:tc>
          <w:tcPr>
            <w:tcW w:w="1847" w:type="dxa"/>
            <w:shd w:val="clear" w:color="auto" w:fill="156082"/>
            <w:vAlign w:val="center"/>
            <w:hideMark/>
          </w:tcPr>
          <w:p w14:paraId="6DBBE61B" w14:textId="77777777" w:rsidR="00415340" w:rsidRPr="00356B38" w:rsidRDefault="00415340" w:rsidP="00DC6B04">
            <w:pPr>
              <w:rPr>
                <w:b/>
                <w:bCs/>
                <w:color w:val="FFFFFF" w:themeColor="background1"/>
                <w:lang w:val="en-US"/>
              </w:rPr>
            </w:pPr>
            <w:r w:rsidRPr="00356B38">
              <w:rPr>
                <w:b/>
                <w:bCs/>
                <w:color w:val="FFFFFF" w:themeColor="background1"/>
                <w:lang w:val="en-US"/>
              </w:rPr>
              <w:t>Government</w:t>
            </w:r>
          </w:p>
        </w:tc>
      </w:tr>
      <w:tr w:rsidR="00415340" w:rsidRPr="006B7E24" w14:paraId="3C6FD5F4" w14:textId="77777777" w:rsidTr="00DC6B04">
        <w:trPr>
          <w:tblHeader/>
        </w:trPr>
        <w:tc>
          <w:tcPr>
            <w:tcW w:w="3400" w:type="dxa"/>
            <w:shd w:val="clear" w:color="auto" w:fill="C1E4F5"/>
            <w:hideMark/>
          </w:tcPr>
          <w:p w14:paraId="72AFBE98" w14:textId="77777777" w:rsidR="00415340" w:rsidRPr="00356B38" w:rsidRDefault="00415340" w:rsidP="00DC6B04">
            <w:pPr>
              <w:rPr>
                <w:b/>
                <w:bCs/>
                <w:color w:val="005A70" w:themeColor="accent1"/>
                <w:lang w:val="en-US"/>
              </w:rPr>
            </w:pPr>
            <w:r w:rsidRPr="00356B38">
              <w:rPr>
                <w:b/>
                <w:bCs/>
                <w:color w:val="005A70" w:themeColor="accent1"/>
                <w:lang w:val="en-US"/>
              </w:rPr>
              <w:t>Hospital bed days</w:t>
            </w:r>
          </w:p>
        </w:tc>
        <w:tc>
          <w:tcPr>
            <w:tcW w:w="4954" w:type="dxa"/>
            <w:hideMark/>
          </w:tcPr>
          <w:p w14:paraId="5B2FBEA9" w14:textId="77777777" w:rsidR="00415340" w:rsidRPr="006B7E24" w:rsidRDefault="00415340" w:rsidP="00DC6B04">
            <w:pPr>
              <w:rPr>
                <w:lang w:val="en-US"/>
              </w:rPr>
            </w:pPr>
            <w:r w:rsidRPr="0047171B">
              <w:rPr>
                <w:lang w:val="en-US"/>
              </w:rPr>
              <w:t>Number of days in hospital</w:t>
            </w:r>
          </w:p>
        </w:tc>
        <w:tc>
          <w:tcPr>
            <w:tcW w:w="1847" w:type="dxa"/>
            <w:hideMark/>
          </w:tcPr>
          <w:p w14:paraId="51B23388" w14:textId="77777777" w:rsidR="00415340" w:rsidRPr="006B7E24" w:rsidRDefault="00415340" w:rsidP="00DC6B04">
            <w:pPr>
              <w:rPr>
                <w:lang w:val="en-US"/>
              </w:rPr>
            </w:pPr>
            <w:r w:rsidRPr="0047171B">
              <w:rPr>
                <w:lang w:val="en-US"/>
              </w:rPr>
              <w:t>State / Territory</w:t>
            </w:r>
          </w:p>
        </w:tc>
      </w:tr>
      <w:tr w:rsidR="00415340" w:rsidRPr="006B7E24" w14:paraId="0D567F2E" w14:textId="77777777" w:rsidTr="00DC6B04">
        <w:tc>
          <w:tcPr>
            <w:tcW w:w="3400" w:type="dxa"/>
            <w:shd w:val="clear" w:color="auto" w:fill="C1E4F5"/>
            <w:hideMark/>
          </w:tcPr>
          <w:p w14:paraId="296FBA8C" w14:textId="77777777" w:rsidR="00415340" w:rsidRPr="00356B38" w:rsidRDefault="00415340" w:rsidP="00DC6B04">
            <w:pPr>
              <w:rPr>
                <w:b/>
                <w:bCs/>
                <w:color w:val="005A70" w:themeColor="accent1"/>
                <w:lang w:val="en-US"/>
              </w:rPr>
            </w:pPr>
            <w:r w:rsidRPr="00356B38">
              <w:rPr>
                <w:b/>
                <w:bCs/>
                <w:color w:val="005A70" w:themeColor="accent1"/>
                <w:lang w:val="en-US"/>
              </w:rPr>
              <w:t>National weighted activity units</w:t>
            </w:r>
          </w:p>
        </w:tc>
        <w:tc>
          <w:tcPr>
            <w:tcW w:w="4954" w:type="dxa"/>
            <w:hideMark/>
          </w:tcPr>
          <w:p w14:paraId="3E545C95" w14:textId="77777777" w:rsidR="00415340" w:rsidRPr="006B7E24" w:rsidRDefault="00415340" w:rsidP="00DC6B04">
            <w:pPr>
              <w:rPr>
                <w:lang w:val="en-US"/>
              </w:rPr>
            </w:pPr>
            <w:r w:rsidRPr="0047171B">
              <w:rPr>
                <w:lang w:val="en-US"/>
              </w:rPr>
              <w:t>Relative cost of healthcare provision</w:t>
            </w:r>
          </w:p>
        </w:tc>
        <w:tc>
          <w:tcPr>
            <w:tcW w:w="1847" w:type="dxa"/>
            <w:hideMark/>
          </w:tcPr>
          <w:p w14:paraId="4570A428" w14:textId="77777777" w:rsidR="00415340" w:rsidRPr="006B7E24" w:rsidRDefault="00415340" w:rsidP="00DC6B04">
            <w:pPr>
              <w:rPr>
                <w:lang w:val="en-US"/>
              </w:rPr>
            </w:pPr>
            <w:r w:rsidRPr="0047171B">
              <w:rPr>
                <w:lang w:val="en-US"/>
              </w:rPr>
              <w:t>State / Territory</w:t>
            </w:r>
          </w:p>
        </w:tc>
      </w:tr>
      <w:tr w:rsidR="00415340" w:rsidRPr="006B7E24" w14:paraId="6C902AF2" w14:textId="77777777" w:rsidTr="00DC6B04">
        <w:tc>
          <w:tcPr>
            <w:tcW w:w="3400" w:type="dxa"/>
            <w:shd w:val="clear" w:color="auto" w:fill="C1E4F5"/>
          </w:tcPr>
          <w:p w14:paraId="4A59C9B9" w14:textId="77777777" w:rsidR="00415340" w:rsidRPr="00356B38" w:rsidRDefault="00415340" w:rsidP="00DC6B04">
            <w:pPr>
              <w:rPr>
                <w:b/>
                <w:bCs/>
                <w:color w:val="005A70" w:themeColor="accent1"/>
                <w:lang w:val="en-US"/>
              </w:rPr>
            </w:pPr>
            <w:r w:rsidRPr="00356B38">
              <w:rPr>
                <w:b/>
                <w:bCs/>
                <w:color w:val="005A70" w:themeColor="accent1"/>
                <w:lang w:val="en-US"/>
              </w:rPr>
              <w:t>Emergency department visits</w:t>
            </w:r>
          </w:p>
        </w:tc>
        <w:tc>
          <w:tcPr>
            <w:tcW w:w="4954" w:type="dxa"/>
          </w:tcPr>
          <w:p w14:paraId="719C9904" w14:textId="77777777" w:rsidR="00415340" w:rsidRPr="0047171B" w:rsidRDefault="00415340" w:rsidP="00DC6B04">
            <w:pPr>
              <w:rPr>
                <w:lang w:val="en-US"/>
              </w:rPr>
            </w:pPr>
            <w:r w:rsidRPr="0047171B">
              <w:rPr>
                <w:lang w:val="en-US"/>
              </w:rPr>
              <w:t>Number of presentations to E</w:t>
            </w:r>
            <w:r>
              <w:rPr>
                <w:lang w:val="en-US"/>
              </w:rPr>
              <w:t xml:space="preserve">mergency </w:t>
            </w:r>
            <w:r w:rsidRPr="0047171B">
              <w:rPr>
                <w:lang w:val="en-US"/>
              </w:rPr>
              <w:t>D</w:t>
            </w:r>
            <w:r>
              <w:rPr>
                <w:lang w:val="en-US"/>
              </w:rPr>
              <w:t>epartment</w:t>
            </w:r>
          </w:p>
        </w:tc>
        <w:tc>
          <w:tcPr>
            <w:tcW w:w="1847" w:type="dxa"/>
          </w:tcPr>
          <w:p w14:paraId="1FA7345A" w14:textId="77777777" w:rsidR="00415340" w:rsidRPr="0047171B" w:rsidRDefault="00415340" w:rsidP="00DC6B04">
            <w:pPr>
              <w:rPr>
                <w:lang w:val="en-US"/>
              </w:rPr>
            </w:pPr>
            <w:r w:rsidRPr="0047171B">
              <w:rPr>
                <w:lang w:val="en-US"/>
              </w:rPr>
              <w:t>State / Territory</w:t>
            </w:r>
          </w:p>
        </w:tc>
      </w:tr>
      <w:tr w:rsidR="00415340" w:rsidRPr="006B7E24" w14:paraId="3121EE73" w14:textId="77777777" w:rsidTr="00DC6B04">
        <w:tc>
          <w:tcPr>
            <w:tcW w:w="3400" w:type="dxa"/>
            <w:shd w:val="clear" w:color="auto" w:fill="C1E4F5"/>
          </w:tcPr>
          <w:p w14:paraId="71CC8657" w14:textId="77777777" w:rsidR="00415340" w:rsidRPr="00356B38" w:rsidRDefault="00415340" w:rsidP="00DC6B04">
            <w:pPr>
              <w:rPr>
                <w:b/>
                <w:bCs/>
                <w:color w:val="005A70" w:themeColor="accent1"/>
                <w:lang w:val="en-US"/>
              </w:rPr>
            </w:pPr>
            <w:r w:rsidRPr="00356B38">
              <w:rPr>
                <w:b/>
                <w:bCs/>
                <w:color w:val="005A70" w:themeColor="accent1"/>
                <w:lang w:val="en-US"/>
              </w:rPr>
              <w:t>Mortality</w:t>
            </w:r>
          </w:p>
        </w:tc>
        <w:tc>
          <w:tcPr>
            <w:tcW w:w="4954" w:type="dxa"/>
          </w:tcPr>
          <w:p w14:paraId="4E4A9E55" w14:textId="77777777" w:rsidR="00415340" w:rsidRPr="0047171B" w:rsidRDefault="00415340" w:rsidP="00DC6B04">
            <w:pPr>
              <w:rPr>
                <w:lang w:val="en-US"/>
              </w:rPr>
            </w:pPr>
            <w:r w:rsidRPr="0047171B">
              <w:rPr>
                <w:lang w:val="en-US"/>
              </w:rPr>
              <w:t>Incidence of death, or other morbidity events</w:t>
            </w:r>
          </w:p>
        </w:tc>
        <w:tc>
          <w:tcPr>
            <w:tcW w:w="1847" w:type="dxa"/>
          </w:tcPr>
          <w:p w14:paraId="1FA8FDEB" w14:textId="77777777" w:rsidR="00415340" w:rsidRPr="0047171B" w:rsidRDefault="00415340" w:rsidP="00DC6B04">
            <w:pPr>
              <w:rPr>
                <w:lang w:val="en-US"/>
              </w:rPr>
            </w:pPr>
            <w:r w:rsidRPr="0047171B">
              <w:rPr>
                <w:lang w:val="en-US"/>
              </w:rPr>
              <w:t>State / Territory</w:t>
            </w:r>
          </w:p>
        </w:tc>
      </w:tr>
      <w:tr w:rsidR="00415340" w:rsidRPr="006B7E24" w14:paraId="49D939DA" w14:textId="77777777" w:rsidTr="00DC6B04">
        <w:tc>
          <w:tcPr>
            <w:tcW w:w="3400" w:type="dxa"/>
            <w:shd w:val="clear" w:color="auto" w:fill="C1E4F5"/>
          </w:tcPr>
          <w:p w14:paraId="7DC56F97" w14:textId="77777777" w:rsidR="00415340" w:rsidRPr="00356B38" w:rsidRDefault="00415340" w:rsidP="00DC6B04">
            <w:pPr>
              <w:rPr>
                <w:b/>
                <w:bCs/>
                <w:color w:val="005A70" w:themeColor="accent1"/>
                <w:lang w:val="en-US"/>
              </w:rPr>
            </w:pPr>
            <w:r w:rsidRPr="00356B38">
              <w:rPr>
                <w:b/>
                <w:bCs/>
                <w:color w:val="005A70" w:themeColor="accent1"/>
                <w:lang w:val="en-US"/>
              </w:rPr>
              <w:t>MBS and PBS spending</w:t>
            </w:r>
          </w:p>
        </w:tc>
        <w:tc>
          <w:tcPr>
            <w:tcW w:w="4954" w:type="dxa"/>
          </w:tcPr>
          <w:p w14:paraId="1A56EE71" w14:textId="77777777" w:rsidR="00415340" w:rsidRPr="0047171B" w:rsidRDefault="00415340" w:rsidP="00DC6B04">
            <w:pPr>
              <w:rPr>
                <w:lang w:val="en-US"/>
              </w:rPr>
            </w:pPr>
            <w:r w:rsidRPr="0047171B">
              <w:rPr>
                <w:lang w:val="en-US"/>
              </w:rPr>
              <w:t>Cost to Commonwealth based on schedule fees</w:t>
            </w:r>
          </w:p>
        </w:tc>
        <w:tc>
          <w:tcPr>
            <w:tcW w:w="1847" w:type="dxa"/>
          </w:tcPr>
          <w:p w14:paraId="14061ED3" w14:textId="77777777" w:rsidR="00415340" w:rsidRPr="0047171B" w:rsidRDefault="00415340" w:rsidP="00DC6B04">
            <w:pPr>
              <w:rPr>
                <w:lang w:val="en-US"/>
              </w:rPr>
            </w:pPr>
            <w:r w:rsidRPr="0047171B">
              <w:rPr>
                <w:lang w:val="en-US"/>
              </w:rPr>
              <w:t>Commonwealth</w:t>
            </w:r>
          </w:p>
        </w:tc>
      </w:tr>
    </w:tbl>
    <w:p w14:paraId="1DC47F46" w14:textId="77777777" w:rsidR="00415340" w:rsidRDefault="00415340" w:rsidP="00415340">
      <w:pPr>
        <w:pStyle w:val="Heading3"/>
      </w:pPr>
      <w:r>
        <w:lastRenderedPageBreak/>
        <w:t xml:space="preserve">Justice </w:t>
      </w:r>
    </w:p>
    <w:tbl>
      <w:tblPr>
        <w:tblW w:w="10201"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Look w:val="04A0" w:firstRow="1" w:lastRow="0" w:firstColumn="1" w:lastColumn="0" w:noHBand="0" w:noVBand="1"/>
      </w:tblPr>
      <w:tblGrid>
        <w:gridCol w:w="3400"/>
        <w:gridCol w:w="4954"/>
        <w:gridCol w:w="1847"/>
      </w:tblGrid>
      <w:tr w:rsidR="00415340" w:rsidRPr="006B7E24" w14:paraId="63A69705" w14:textId="77777777" w:rsidTr="00DC6B04">
        <w:trPr>
          <w:tblHeader/>
        </w:trPr>
        <w:tc>
          <w:tcPr>
            <w:tcW w:w="3400" w:type="dxa"/>
            <w:shd w:val="clear" w:color="auto" w:fill="156082"/>
            <w:vAlign w:val="center"/>
            <w:hideMark/>
          </w:tcPr>
          <w:p w14:paraId="165350E9" w14:textId="77777777" w:rsidR="00415340" w:rsidRPr="00356B38" w:rsidRDefault="00415340" w:rsidP="00DC6B04">
            <w:pPr>
              <w:rPr>
                <w:b/>
                <w:bCs/>
                <w:color w:val="FFFFFF" w:themeColor="background1"/>
                <w:lang w:val="en-US"/>
              </w:rPr>
            </w:pPr>
            <w:r w:rsidRPr="00356B38">
              <w:rPr>
                <w:b/>
                <w:bCs/>
                <w:color w:val="FFFFFF" w:themeColor="background1"/>
                <w:lang w:val="en-US"/>
              </w:rPr>
              <w:t>Outcome Metric</w:t>
            </w:r>
          </w:p>
        </w:tc>
        <w:tc>
          <w:tcPr>
            <w:tcW w:w="4954" w:type="dxa"/>
            <w:shd w:val="clear" w:color="auto" w:fill="156082"/>
            <w:vAlign w:val="center"/>
            <w:hideMark/>
          </w:tcPr>
          <w:p w14:paraId="1553C221" w14:textId="77777777" w:rsidR="00415340" w:rsidRPr="00356B38" w:rsidRDefault="00415340" w:rsidP="00DC6B04">
            <w:pPr>
              <w:rPr>
                <w:b/>
                <w:bCs/>
                <w:color w:val="FFFFFF" w:themeColor="background1"/>
                <w:lang w:val="en-US"/>
              </w:rPr>
            </w:pPr>
            <w:r w:rsidRPr="00356B38">
              <w:rPr>
                <w:b/>
                <w:bCs/>
                <w:color w:val="FFFFFF" w:themeColor="background1"/>
                <w:lang w:val="en-US"/>
              </w:rPr>
              <w:t>Detail</w:t>
            </w:r>
          </w:p>
        </w:tc>
        <w:tc>
          <w:tcPr>
            <w:tcW w:w="1847" w:type="dxa"/>
            <w:shd w:val="clear" w:color="auto" w:fill="156082"/>
            <w:vAlign w:val="center"/>
            <w:hideMark/>
          </w:tcPr>
          <w:p w14:paraId="494B2A67" w14:textId="77777777" w:rsidR="00415340" w:rsidRPr="00356B38" w:rsidRDefault="00415340" w:rsidP="00DC6B04">
            <w:pPr>
              <w:rPr>
                <w:b/>
                <w:bCs/>
                <w:color w:val="FFFFFF" w:themeColor="background1"/>
                <w:lang w:val="en-US"/>
              </w:rPr>
            </w:pPr>
            <w:r w:rsidRPr="00356B38">
              <w:rPr>
                <w:b/>
                <w:bCs/>
                <w:color w:val="FFFFFF" w:themeColor="background1"/>
                <w:lang w:val="en-US"/>
              </w:rPr>
              <w:t>Government</w:t>
            </w:r>
          </w:p>
        </w:tc>
      </w:tr>
      <w:tr w:rsidR="00415340" w:rsidRPr="006B7E24" w14:paraId="4737A283" w14:textId="77777777" w:rsidTr="00DC6B04">
        <w:tc>
          <w:tcPr>
            <w:tcW w:w="3400" w:type="dxa"/>
            <w:shd w:val="clear" w:color="auto" w:fill="C1E4F5"/>
            <w:hideMark/>
          </w:tcPr>
          <w:p w14:paraId="08FC8059" w14:textId="77777777" w:rsidR="00415340" w:rsidRPr="00356B38" w:rsidRDefault="00415340" w:rsidP="00DC6B04">
            <w:pPr>
              <w:rPr>
                <w:b/>
                <w:bCs/>
                <w:color w:val="005A70" w:themeColor="accent1"/>
                <w:lang w:val="en-US"/>
              </w:rPr>
            </w:pPr>
            <w:r w:rsidRPr="00356B38">
              <w:rPr>
                <w:b/>
                <w:bCs/>
                <w:color w:val="005A70" w:themeColor="accent1"/>
                <w:lang w:val="en-US"/>
              </w:rPr>
              <w:t>Recidivism</w:t>
            </w:r>
          </w:p>
        </w:tc>
        <w:tc>
          <w:tcPr>
            <w:tcW w:w="4954" w:type="dxa"/>
            <w:hideMark/>
          </w:tcPr>
          <w:p w14:paraId="59D48E87" w14:textId="77777777" w:rsidR="00415340" w:rsidRPr="006B7E24" w:rsidRDefault="00415340" w:rsidP="00DC6B04">
            <w:pPr>
              <w:rPr>
                <w:lang w:val="en-US"/>
              </w:rPr>
            </w:pPr>
            <w:r w:rsidRPr="0047171B">
              <w:rPr>
                <w:lang w:val="en-US"/>
              </w:rPr>
              <w:t>Re-entry into custody</w:t>
            </w:r>
          </w:p>
        </w:tc>
        <w:tc>
          <w:tcPr>
            <w:tcW w:w="1847" w:type="dxa"/>
            <w:hideMark/>
          </w:tcPr>
          <w:p w14:paraId="4A6CB3B9" w14:textId="77777777" w:rsidR="00415340" w:rsidRPr="006B7E24" w:rsidRDefault="00415340" w:rsidP="00DC6B04">
            <w:pPr>
              <w:rPr>
                <w:lang w:val="en-US"/>
              </w:rPr>
            </w:pPr>
            <w:r w:rsidRPr="0047171B">
              <w:rPr>
                <w:lang w:val="en-US"/>
              </w:rPr>
              <w:t>State / Territory</w:t>
            </w:r>
          </w:p>
        </w:tc>
      </w:tr>
      <w:tr w:rsidR="00415340" w:rsidRPr="006B7E24" w14:paraId="7832F730" w14:textId="77777777" w:rsidTr="00DC6B04">
        <w:tc>
          <w:tcPr>
            <w:tcW w:w="3400" w:type="dxa"/>
            <w:shd w:val="clear" w:color="auto" w:fill="C1E4F5"/>
            <w:hideMark/>
          </w:tcPr>
          <w:p w14:paraId="3C62616B" w14:textId="77777777" w:rsidR="00415340" w:rsidRPr="00356B38" w:rsidRDefault="00415340" w:rsidP="00DC6B04">
            <w:pPr>
              <w:rPr>
                <w:b/>
                <w:bCs/>
                <w:color w:val="005A70" w:themeColor="accent1"/>
                <w:lang w:val="en-US"/>
              </w:rPr>
            </w:pPr>
            <w:r w:rsidRPr="00356B38">
              <w:rPr>
                <w:b/>
                <w:bCs/>
                <w:color w:val="005A70" w:themeColor="accent1"/>
                <w:lang w:val="en-US"/>
              </w:rPr>
              <w:t>Charges</w:t>
            </w:r>
          </w:p>
        </w:tc>
        <w:tc>
          <w:tcPr>
            <w:tcW w:w="4954" w:type="dxa"/>
            <w:hideMark/>
          </w:tcPr>
          <w:p w14:paraId="254019F1" w14:textId="77777777" w:rsidR="00415340" w:rsidRPr="006B7E24" w:rsidRDefault="00415340" w:rsidP="00DC6B04">
            <w:pPr>
              <w:rPr>
                <w:lang w:val="en-US"/>
              </w:rPr>
            </w:pPr>
            <w:r w:rsidRPr="0047171B">
              <w:rPr>
                <w:lang w:val="en-US"/>
              </w:rPr>
              <w:t>Number of charges</w:t>
            </w:r>
          </w:p>
        </w:tc>
        <w:tc>
          <w:tcPr>
            <w:tcW w:w="1847" w:type="dxa"/>
            <w:hideMark/>
          </w:tcPr>
          <w:p w14:paraId="273004C0" w14:textId="77777777" w:rsidR="00415340" w:rsidRPr="006B7E24" w:rsidRDefault="00415340" w:rsidP="00DC6B04">
            <w:pPr>
              <w:rPr>
                <w:lang w:val="en-US"/>
              </w:rPr>
            </w:pPr>
            <w:r w:rsidRPr="0047171B">
              <w:rPr>
                <w:lang w:val="en-US"/>
              </w:rPr>
              <w:t>State / Territory</w:t>
            </w:r>
          </w:p>
        </w:tc>
      </w:tr>
      <w:tr w:rsidR="00415340" w:rsidRPr="006B7E24" w14:paraId="53709F04" w14:textId="77777777" w:rsidTr="00DC6B04">
        <w:tc>
          <w:tcPr>
            <w:tcW w:w="3400" w:type="dxa"/>
            <w:shd w:val="clear" w:color="auto" w:fill="C1E4F5"/>
          </w:tcPr>
          <w:p w14:paraId="5641EA8A" w14:textId="77777777" w:rsidR="00415340" w:rsidRPr="00356B38" w:rsidRDefault="00415340" w:rsidP="00DC6B04">
            <w:pPr>
              <w:rPr>
                <w:b/>
                <w:bCs/>
                <w:color w:val="005A70" w:themeColor="accent1"/>
                <w:lang w:val="en-US"/>
              </w:rPr>
            </w:pPr>
            <w:r w:rsidRPr="00356B38">
              <w:rPr>
                <w:b/>
                <w:bCs/>
                <w:color w:val="005A70" w:themeColor="accent1"/>
                <w:lang w:val="en-US"/>
              </w:rPr>
              <w:t>Proven offences</w:t>
            </w:r>
          </w:p>
        </w:tc>
        <w:tc>
          <w:tcPr>
            <w:tcW w:w="4954" w:type="dxa"/>
          </w:tcPr>
          <w:p w14:paraId="39CFA4F2" w14:textId="77777777" w:rsidR="00415340" w:rsidRPr="0047171B" w:rsidRDefault="00415340" w:rsidP="00DC6B04">
            <w:pPr>
              <w:rPr>
                <w:lang w:val="en-US"/>
              </w:rPr>
            </w:pPr>
            <w:r w:rsidRPr="0047171B">
              <w:rPr>
                <w:lang w:val="en-US"/>
              </w:rPr>
              <w:t xml:space="preserve">Number of proven offences, </w:t>
            </w:r>
            <w:proofErr w:type="gramStart"/>
            <w:r w:rsidRPr="0047171B">
              <w:rPr>
                <w:lang w:val="en-US"/>
              </w:rPr>
              <w:t>potentially</w:t>
            </w:r>
            <w:proofErr w:type="gramEnd"/>
            <w:r w:rsidRPr="0047171B">
              <w:rPr>
                <w:lang w:val="en-US"/>
              </w:rPr>
              <w:t xml:space="preserve"> by severity</w:t>
            </w:r>
          </w:p>
        </w:tc>
        <w:tc>
          <w:tcPr>
            <w:tcW w:w="1847" w:type="dxa"/>
          </w:tcPr>
          <w:p w14:paraId="6DF7B892" w14:textId="77777777" w:rsidR="00415340" w:rsidRPr="0047171B" w:rsidRDefault="00415340" w:rsidP="00DC6B04">
            <w:pPr>
              <w:rPr>
                <w:lang w:val="en-US"/>
              </w:rPr>
            </w:pPr>
            <w:r w:rsidRPr="0047171B">
              <w:rPr>
                <w:lang w:val="en-US"/>
              </w:rPr>
              <w:t>State / Territory</w:t>
            </w:r>
          </w:p>
        </w:tc>
      </w:tr>
      <w:tr w:rsidR="00415340" w:rsidRPr="006B7E24" w14:paraId="2409595F" w14:textId="77777777" w:rsidTr="00DC6B04">
        <w:tc>
          <w:tcPr>
            <w:tcW w:w="3400" w:type="dxa"/>
            <w:shd w:val="clear" w:color="auto" w:fill="C1E4F5"/>
          </w:tcPr>
          <w:p w14:paraId="22913E89" w14:textId="77777777" w:rsidR="00415340" w:rsidRPr="00356B38" w:rsidRDefault="00415340" w:rsidP="00DC6B04">
            <w:pPr>
              <w:rPr>
                <w:b/>
                <w:bCs/>
                <w:color w:val="005A70" w:themeColor="accent1"/>
                <w:lang w:val="en-US"/>
              </w:rPr>
            </w:pPr>
            <w:r w:rsidRPr="00356B38">
              <w:rPr>
                <w:b/>
                <w:bCs/>
                <w:color w:val="005A70" w:themeColor="accent1"/>
                <w:lang w:val="en-US"/>
              </w:rPr>
              <w:t>Incarceration</w:t>
            </w:r>
          </w:p>
        </w:tc>
        <w:tc>
          <w:tcPr>
            <w:tcW w:w="4954" w:type="dxa"/>
          </w:tcPr>
          <w:p w14:paraId="3918DEB1" w14:textId="77777777" w:rsidR="00415340" w:rsidRPr="0047171B" w:rsidRDefault="00415340" w:rsidP="00DC6B04">
            <w:pPr>
              <w:rPr>
                <w:lang w:val="en-US"/>
              </w:rPr>
            </w:pPr>
            <w:r w:rsidRPr="0047171B">
              <w:rPr>
                <w:lang w:val="en-US"/>
              </w:rPr>
              <w:t>Number of days in remand or serving custodial sentences, or total length of sentences awarded</w:t>
            </w:r>
          </w:p>
        </w:tc>
        <w:tc>
          <w:tcPr>
            <w:tcW w:w="1847" w:type="dxa"/>
          </w:tcPr>
          <w:p w14:paraId="0A240CBD" w14:textId="77777777" w:rsidR="00415340" w:rsidRPr="0047171B" w:rsidRDefault="00415340" w:rsidP="00DC6B04">
            <w:pPr>
              <w:rPr>
                <w:lang w:val="en-US"/>
              </w:rPr>
            </w:pPr>
            <w:r w:rsidRPr="0047171B">
              <w:rPr>
                <w:lang w:val="en-US"/>
              </w:rPr>
              <w:t>State / Territory</w:t>
            </w:r>
          </w:p>
        </w:tc>
      </w:tr>
      <w:tr w:rsidR="00415340" w:rsidRPr="006B7E24" w14:paraId="68D71419" w14:textId="77777777" w:rsidTr="00DC6B04">
        <w:tc>
          <w:tcPr>
            <w:tcW w:w="3400" w:type="dxa"/>
            <w:shd w:val="clear" w:color="auto" w:fill="C1E4F5"/>
          </w:tcPr>
          <w:p w14:paraId="15B65985" w14:textId="77777777" w:rsidR="00415340" w:rsidRPr="00356B38" w:rsidRDefault="00415340" w:rsidP="00DC6B04">
            <w:pPr>
              <w:rPr>
                <w:b/>
                <w:bCs/>
                <w:color w:val="005A70" w:themeColor="accent1"/>
                <w:lang w:val="en-US"/>
              </w:rPr>
            </w:pPr>
            <w:r w:rsidRPr="00356B38">
              <w:rPr>
                <w:b/>
                <w:bCs/>
                <w:color w:val="005A70" w:themeColor="accent1"/>
                <w:lang w:val="en-US"/>
              </w:rPr>
              <w:t>Parole completions</w:t>
            </w:r>
          </w:p>
        </w:tc>
        <w:tc>
          <w:tcPr>
            <w:tcW w:w="4954" w:type="dxa"/>
          </w:tcPr>
          <w:p w14:paraId="0F950C26" w14:textId="77777777" w:rsidR="00415340" w:rsidRPr="0047171B" w:rsidRDefault="00415340" w:rsidP="00DC6B04">
            <w:pPr>
              <w:rPr>
                <w:lang w:val="en-US"/>
              </w:rPr>
            </w:pPr>
            <w:r w:rsidRPr="0047171B">
              <w:rPr>
                <w:lang w:val="en-US"/>
              </w:rPr>
              <w:t>Completion of parole period without violation</w:t>
            </w:r>
          </w:p>
        </w:tc>
        <w:tc>
          <w:tcPr>
            <w:tcW w:w="1847" w:type="dxa"/>
          </w:tcPr>
          <w:p w14:paraId="63FFD68F" w14:textId="77777777" w:rsidR="00415340" w:rsidRPr="0047171B" w:rsidRDefault="00415340" w:rsidP="00DC6B04">
            <w:pPr>
              <w:rPr>
                <w:lang w:val="en-US"/>
              </w:rPr>
            </w:pPr>
            <w:r w:rsidRPr="0047171B">
              <w:rPr>
                <w:lang w:val="en-US"/>
              </w:rPr>
              <w:t>State / Territory</w:t>
            </w:r>
          </w:p>
        </w:tc>
      </w:tr>
    </w:tbl>
    <w:p w14:paraId="1E2AEF5B" w14:textId="77777777" w:rsidR="00415340" w:rsidRDefault="00415340" w:rsidP="00415340">
      <w:pPr>
        <w:pStyle w:val="Smalltext"/>
        <w:spacing w:after="0"/>
        <w:rPr>
          <w:lang w:val="en-AU"/>
        </w:rPr>
      </w:pPr>
    </w:p>
    <w:p w14:paraId="702D3B97" w14:textId="77777777" w:rsidR="00415340" w:rsidRPr="00A87353" w:rsidRDefault="00415340" w:rsidP="00415340">
      <w:pPr>
        <w:pStyle w:val="Heading2"/>
        <w:pBdr>
          <w:top w:val="single" w:sz="36" w:space="1" w:color="C1E4F5"/>
          <w:left w:val="single" w:sz="36" w:space="4" w:color="C1E4F5"/>
          <w:bottom w:val="single" w:sz="36" w:space="1" w:color="C1E4F5"/>
          <w:right w:val="single" w:sz="36" w:space="4" w:color="C1E4F5"/>
        </w:pBdr>
        <w:spacing w:before="0"/>
        <w:rPr>
          <w:b/>
          <w:bCs w:val="0"/>
        </w:rPr>
      </w:pPr>
      <w:r w:rsidRPr="00A87353">
        <w:rPr>
          <w:b/>
          <w:bCs w:val="0"/>
        </w:rPr>
        <w:t>Learn more</w:t>
      </w:r>
    </w:p>
    <w:p w14:paraId="1253FF47" w14:textId="77777777" w:rsidR="00415340" w:rsidRPr="00356B38" w:rsidRDefault="00415340" w:rsidP="00415340">
      <w:pPr>
        <w:pStyle w:val="ListParagraph"/>
        <w:pBdr>
          <w:top w:val="single" w:sz="36" w:space="1" w:color="C1E4F5"/>
          <w:left w:val="single" w:sz="36" w:space="4" w:color="C1E4F5"/>
          <w:bottom w:val="single" w:sz="36" w:space="1" w:color="C1E4F5"/>
          <w:right w:val="single" w:sz="36" w:space="4" w:color="C1E4F5"/>
        </w:pBdr>
        <w:rPr>
          <w:b/>
          <w:bCs/>
        </w:rPr>
      </w:pPr>
      <w:r w:rsidRPr="00356B38">
        <w:t xml:space="preserve">Clearly define who a service is for in </w:t>
      </w:r>
      <w:r w:rsidRPr="00356B38">
        <w:rPr>
          <w:b/>
          <w:bCs/>
        </w:rPr>
        <w:t>Identifying a Target Cohort</w:t>
      </w:r>
    </w:p>
    <w:p w14:paraId="3B74FE2A" w14:textId="77777777" w:rsidR="00415340" w:rsidRPr="00356B38" w:rsidRDefault="00415340" w:rsidP="00415340">
      <w:pPr>
        <w:pStyle w:val="ListParagraph"/>
        <w:pBdr>
          <w:top w:val="single" w:sz="36" w:space="1" w:color="C1E4F5"/>
          <w:left w:val="single" w:sz="36" w:space="4" w:color="C1E4F5"/>
          <w:bottom w:val="single" w:sz="36" w:space="1" w:color="C1E4F5"/>
          <w:right w:val="single" w:sz="36" w:space="4" w:color="C1E4F5"/>
        </w:pBdr>
        <w:rPr>
          <w:b/>
          <w:bCs/>
        </w:rPr>
      </w:pPr>
      <w:r w:rsidRPr="00356B38">
        <w:t xml:space="preserve">Develop an approach to assessing impact in </w:t>
      </w:r>
      <w:r w:rsidRPr="00356B38">
        <w:rPr>
          <w:b/>
          <w:bCs/>
        </w:rPr>
        <w:t>Understanding Outcome Measurement</w:t>
      </w:r>
    </w:p>
    <w:p w14:paraId="12477404" w14:textId="77777777" w:rsidR="00415340" w:rsidRPr="00356B38" w:rsidRDefault="00415340" w:rsidP="00415340">
      <w:pPr>
        <w:pStyle w:val="ListParagraph"/>
        <w:pBdr>
          <w:top w:val="single" w:sz="36" w:space="1" w:color="C1E4F5"/>
          <w:left w:val="single" w:sz="36" w:space="4" w:color="C1E4F5"/>
          <w:bottom w:val="single" w:sz="36" w:space="1" w:color="C1E4F5"/>
          <w:right w:val="single" w:sz="36" w:space="4" w:color="C1E4F5"/>
        </w:pBdr>
        <w:rPr>
          <w:b/>
          <w:bCs/>
        </w:rPr>
      </w:pPr>
      <w:r w:rsidRPr="00356B38">
        <w:t xml:space="preserve">Determine how much to pay for an outcome in </w:t>
      </w:r>
      <w:r w:rsidRPr="00356B38">
        <w:rPr>
          <w:b/>
          <w:bCs/>
        </w:rPr>
        <w:t>Pricing Outcomes</w:t>
      </w:r>
    </w:p>
    <w:p w14:paraId="23FE5E80" w14:textId="77777777" w:rsidR="004E047A" w:rsidRDefault="00415340" w:rsidP="00415340">
      <w:pPr>
        <w:pStyle w:val="ListParagraph"/>
        <w:pBdr>
          <w:top w:val="single" w:sz="36" w:space="1" w:color="C1E4F5"/>
          <w:left w:val="single" w:sz="36" w:space="4" w:color="C1E4F5"/>
          <w:bottom w:val="single" w:sz="36" w:space="1" w:color="C1E4F5"/>
          <w:right w:val="single" w:sz="36" w:space="4" w:color="C1E4F5"/>
        </w:pBdr>
        <w:rPr>
          <w:b/>
          <w:bCs/>
        </w:rPr>
        <w:sectPr w:rsidR="004E047A" w:rsidSect="00415340">
          <w:type w:val="continuous"/>
          <w:pgSz w:w="11906" w:h="16838"/>
          <w:pgMar w:top="851" w:right="851" w:bottom="851" w:left="851" w:header="0" w:footer="0" w:gutter="0"/>
          <w:pgNumType w:start="2"/>
          <w:cols w:space="708"/>
          <w:titlePg/>
          <w:docGrid w:linePitch="360"/>
        </w:sectPr>
      </w:pPr>
      <w:r w:rsidRPr="00356B38">
        <w:t xml:space="preserve">Self-assess your readiness for outcomes-based contracting in the </w:t>
      </w:r>
      <w:r w:rsidRPr="00356B38">
        <w:rPr>
          <w:b/>
          <w:bCs/>
        </w:rPr>
        <w:t>Readiness Checklist</w:t>
      </w:r>
    </w:p>
    <w:p w14:paraId="1DE0BD58" w14:textId="77777777" w:rsidR="00B86EE7" w:rsidRDefault="00B86EE7" w:rsidP="00B86EE7">
      <w:pPr>
        <w:pStyle w:val="Crestwithrule"/>
      </w:pPr>
      <w:r>
        <w:rPr>
          <w:lang w:eastAsia="en-AU"/>
        </w:rPr>
        <w:lastRenderedPageBreak/>
        <w:drawing>
          <wp:inline distT="0" distB="0" distL="0" distR="0" wp14:anchorId="0A220297" wp14:editId="55CA0F61">
            <wp:extent cx="3235960" cy="768868"/>
            <wp:effectExtent l="0" t="0" r="2540" b="0"/>
            <wp:docPr id="1027828241" name="Picture 1027828241"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51CC9536" w14:textId="77777777" w:rsidR="00B86EE7" w:rsidRDefault="00B86EE7" w:rsidP="00B86EE7">
      <w:pPr>
        <w:pStyle w:val="Crestwithrule"/>
      </w:pPr>
    </w:p>
    <w:p w14:paraId="308513F5" w14:textId="77777777" w:rsidR="00B86EE7" w:rsidRDefault="00B86EE7" w:rsidP="00B86EE7">
      <w:pPr>
        <w:pStyle w:val="Crestwithrule"/>
        <w:sectPr w:rsidR="00B86EE7" w:rsidSect="00B86EE7">
          <w:headerReference w:type="default" r:id="rId36"/>
          <w:headerReference w:type="first" r:id="rId37"/>
          <w:footerReference w:type="first" r:id="rId38"/>
          <w:pgSz w:w="11906" w:h="16838"/>
          <w:pgMar w:top="851" w:right="851" w:bottom="1134" w:left="851" w:header="0" w:footer="0" w:gutter="0"/>
          <w:pgNumType w:start="2"/>
          <w:cols w:space="708"/>
          <w:titlePg/>
          <w:docGrid w:linePitch="360"/>
        </w:sectPr>
      </w:pPr>
    </w:p>
    <w:p w14:paraId="7C5B6196" w14:textId="77777777" w:rsidR="00B86EE7" w:rsidRPr="00090B04" w:rsidRDefault="00B86EE7" w:rsidP="00B86EE7">
      <w:pPr>
        <w:pStyle w:val="Title"/>
      </w:pPr>
      <w:r w:rsidRPr="00090B04">
        <w:t xml:space="preserve">Outcomes-Based Contracting </w:t>
      </w:r>
    </w:p>
    <w:p w14:paraId="58BBB18D" w14:textId="77777777" w:rsidR="00B86EE7" w:rsidRPr="00090B04" w:rsidRDefault="00B86EE7" w:rsidP="00B86EE7">
      <w:pPr>
        <w:pStyle w:val="Heading1"/>
      </w:pPr>
      <w:r w:rsidRPr="00090B04">
        <w:t xml:space="preserve">Factsheet: Understanding Outcome Measurement </w:t>
      </w:r>
    </w:p>
    <w:p w14:paraId="33974404" w14:textId="77777777" w:rsidR="00B86EE7" w:rsidRDefault="00B86EE7" w:rsidP="00B86EE7">
      <w:pPr>
        <w:pStyle w:val="IntroductionQuote"/>
        <w:sectPr w:rsidR="00B86EE7" w:rsidSect="00B86EE7">
          <w:type w:val="continuous"/>
          <w:pgSz w:w="11906" w:h="16838"/>
          <w:pgMar w:top="851" w:right="851" w:bottom="851" w:left="851" w:header="0" w:footer="0" w:gutter="0"/>
          <w:pgNumType w:start="2"/>
          <w:cols w:space="708"/>
          <w:titlePg/>
          <w:docGrid w:linePitch="360"/>
        </w:sectPr>
      </w:pPr>
    </w:p>
    <w:p w14:paraId="4D192678" w14:textId="77777777" w:rsidR="00B86EE7" w:rsidRPr="001D222B" w:rsidRDefault="00B86EE7" w:rsidP="00B86EE7">
      <w:pPr>
        <w:pStyle w:val="IntroductionQuote"/>
      </w:pPr>
      <w:r w:rsidRPr="001D222B">
        <w:t xml:space="preserve">Outcome measurement is the process of assessing whether meaningful changes have occurred for an individual that received a service. </w:t>
      </w:r>
    </w:p>
    <w:p w14:paraId="58E59B57" w14:textId="77777777" w:rsidR="00B86EE7" w:rsidRPr="00D05BD7" w:rsidRDefault="00B86EE7" w:rsidP="00B86EE7">
      <w:pPr>
        <w:pStyle w:val="Heading2"/>
      </w:pPr>
      <w:r w:rsidRPr="00D05BD7">
        <w:t>The importance of measurement</w:t>
      </w:r>
    </w:p>
    <w:p w14:paraId="7B8538F6" w14:textId="77777777" w:rsidR="00B86EE7" w:rsidRDefault="00B86EE7" w:rsidP="00B86EE7">
      <w:r>
        <w:t xml:space="preserve">Outcome measurement is important to different stakeholders – such as service providers, communities and commissioners – for a variety of reasons. In the context of outcomes-based contracting, outcome measurement is central to determining whether the commissioner’s policy objectives have been achieved. </w:t>
      </w:r>
    </w:p>
    <w:p w14:paraId="40E725D6" w14:textId="77777777" w:rsidR="00B86EE7" w:rsidRDefault="00B86EE7" w:rsidP="00B86EE7">
      <w:r>
        <w:t>It’s important because it:</w:t>
      </w:r>
    </w:p>
    <w:p w14:paraId="7EA34EF1" w14:textId="77777777" w:rsidR="00B86EE7" w:rsidRPr="00E05BFA" w:rsidRDefault="00B86EE7" w:rsidP="00B86EE7">
      <w:pPr>
        <w:pStyle w:val="ListParagraph"/>
      </w:pPr>
      <w:r>
        <w:t>a</w:t>
      </w:r>
      <w:r w:rsidRPr="00E05BFA">
        <w:t>ssesses impact, by determining whether targeted outcomes and policy objectives have been achieved</w:t>
      </w:r>
    </w:p>
    <w:p w14:paraId="5A186956" w14:textId="77777777" w:rsidR="00B86EE7" w:rsidRPr="00E05BFA" w:rsidRDefault="00B86EE7" w:rsidP="00B86EE7">
      <w:pPr>
        <w:pStyle w:val="ListParagraph"/>
      </w:pPr>
      <w:r>
        <w:t>i</w:t>
      </w:r>
      <w:r w:rsidRPr="00E05BFA">
        <w:t>nforms payments, so funding to service providers is linked to improvements in agreed outcome metrics</w:t>
      </w:r>
    </w:p>
    <w:p w14:paraId="758DF6C2" w14:textId="77777777" w:rsidR="00B86EE7" w:rsidRPr="00E05BFA" w:rsidRDefault="00B86EE7" w:rsidP="00B86EE7">
      <w:pPr>
        <w:pStyle w:val="ListParagraph"/>
      </w:pPr>
      <w:r>
        <w:t>s</w:t>
      </w:r>
      <w:r w:rsidRPr="00E05BFA">
        <w:t>upports adaptive service delivery, by providing feedback to adapt services to meet users’ needs over time</w:t>
      </w:r>
    </w:p>
    <w:p w14:paraId="62406D9B" w14:textId="77777777" w:rsidR="00B86EE7" w:rsidRPr="00E05BFA" w:rsidRDefault="00B86EE7" w:rsidP="00B86EE7">
      <w:pPr>
        <w:pStyle w:val="ListParagraph"/>
      </w:pPr>
      <w:r>
        <w:t>p</w:t>
      </w:r>
      <w:r w:rsidRPr="00E05BFA">
        <w:t>rovides deeper insight, by generating insight into what services are effective, and the value generated to support further investment</w:t>
      </w:r>
      <w:r>
        <w:t>.</w:t>
      </w:r>
    </w:p>
    <w:p w14:paraId="5CB9BA55" w14:textId="77777777" w:rsidR="00B86EE7" w:rsidRPr="00BB288D" w:rsidRDefault="00B86EE7" w:rsidP="00B86EE7">
      <w:pPr>
        <w:pStyle w:val="Heading2"/>
      </w:pPr>
      <w:r>
        <w:br w:type="column"/>
      </w:r>
      <w:r>
        <w:t>Key concepts related to outcome measurement</w:t>
      </w:r>
    </w:p>
    <w:p w14:paraId="5C2E45B7" w14:textId="77777777" w:rsidR="00B86EE7" w:rsidRPr="00A87A18" w:rsidRDefault="00B86EE7" w:rsidP="00B86EE7">
      <w:pPr>
        <w:pStyle w:val="Heading3"/>
      </w:pPr>
      <w:r w:rsidRPr="00A87A18">
        <w:t>Attribution</w:t>
      </w:r>
    </w:p>
    <w:p w14:paraId="76355A77" w14:textId="77777777" w:rsidR="00B86EE7" w:rsidRDefault="00B86EE7" w:rsidP="00B86EE7">
      <w:r w:rsidRPr="00673516">
        <w:rPr>
          <w:b/>
          <w:bCs/>
        </w:rPr>
        <w:t>Attribution</w:t>
      </w:r>
      <w:r>
        <w:t xml:space="preserve"> is about proving the </w:t>
      </w:r>
      <w:r w:rsidRPr="57A79880">
        <w:rPr>
          <w:i/>
          <w:iCs/>
        </w:rPr>
        <w:t>additional impact</w:t>
      </w:r>
      <w:r>
        <w:t xml:space="preserve"> of a service – i.e., the outcomes that can reasonably be credited to a service over and above what would have happened anyway. </w:t>
      </w:r>
    </w:p>
    <w:p w14:paraId="77DC7107" w14:textId="77777777" w:rsidR="00B86EE7" w:rsidRDefault="00B86EE7" w:rsidP="00B86EE7">
      <w:r>
        <w:t xml:space="preserve">A </w:t>
      </w:r>
      <w:r w:rsidRPr="57A79880">
        <w:rPr>
          <w:b/>
          <w:bCs/>
        </w:rPr>
        <w:t>counterfactual</w:t>
      </w:r>
      <w:r>
        <w:t xml:space="preserve"> is an estimate of what would have happened anyway. There are a range of approaches to estimating a counterfactual. Each has different benefits and limitations. Cost, complexity, robustness and ethics need to be considered with selecting an approach. </w:t>
      </w:r>
    </w:p>
    <w:tbl>
      <w:tblPr>
        <w:tblStyle w:val="TableGrid"/>
        <w:tblW w:w="4810"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Look w:val="04A0" w:firstRow="1" w:lastRow="0" w:firstColumn="1" w:lastColumn="0" w:noHBand="0" w:noVBand="1"/>
      </w:tblPr>
      <w:tblGrid>
        <w:gridCol w:w="1975"/>
        <w:gridCol w:w="2835"/>
      </w:tblGrid>
      <w:tr w:rsidR="00B86EE7" w:rsidRPr="00587A7B" w14:paraId="71A8CC02" w14:textId="77777777" w:rsidTr="00DC6B04">
        <w:trPr>
          <w:trHeight w:val="225"/>
          <w:tblHeader/>
        </w:trPr>
        <w:tc>
          <w:tcPr>
            <w:tcW w:w="1975" w:type="dxa"/>
            <w:shd w:val="clear" w:color="auto" w:fill="005A70" w:themeFill="accent1"/>
            <w:hideMark/>
          </w:tcPr>
          <w:p w14:paraId="5EE905AA" w14:textId="77777777" w:rsidR="00B86EE7" w:rsidRPr="00587A7B" w:rsidRDefault="00B86EE7" w:rsidP="00DC6B04">
            <w:pPr>
              <w:spacing w:before="60" w:after="60" w:line="278" w:lineRule="auto"/>
              <w:rPr>
                <w:color w:val="FFFFFF" w:themeColor="background1"/>
                <w:szCs w:val="22"/>
                <w:lang w:val="en-US"/>
              </w:rPr>
            </w:pPr>
            <w:r w:rsidRPr="00587A7B">
              <w:rPr>
                <w:b/>
                <w:color w:val="FFFFFF" w:themeColor="background1"/>
                <w:szCs w:val="22"/>
                <w:lang w:val="en-US"/>
              </w:rPr>
              <w:t>Approach</w:t>
            </w:r>
          </w:p>
        </w:tc>
        <w:tc>
          <w:tcPr>
            <w:tcW w:w="2835" w:type="dxa"/>
            <w:shd w:val="clear" w:color="auto" w:fill="005A70" w:themeFill="accent1"/>
            <w:hideMark/>
          </w:tcPr>
          <w:p w14:paraId="2C8B28CB" w14:textId="77777777" w:rsidR="00B86EE7" w:rsidRPr="00587A7B" w:rsidRDefault="00B86EE7" w:rsidP="00DC6B04">
            <w:pPr>
              <w:spacing w:before="60" w:after="60" w:line="278" w:lineRule="auto"/>
              <w:rPr>
                <w:color w:val="FFFFFF" w:themeColor="background1"/>
                <w:szCs w:val="22"/>
                <w:lang w:val="en-US"/>
              </w:rPr>
            </w:pPr>
            <w:r w:rsidRPr="00587A7B">
              <w:rPr>
                <w:b/>
                <w:color w:val="FFFFFF" w:themeColor="background1"/>
                <w:szCs w:val="22"/>
                <w:lang w:val="en-US"/>
              </w:rPr>
              <w:t>Overview</w:t>
            </w:r>
          </w:p>
        </w:tc>
      </w:tr>
      <w:tr w:rsidR="00B86EE7" w:rsidRPr="00587A7B" w14:paraId="2478BB38" w14:textId="77777777" w:rsidTr="00DC6B04">
        <w:trPr>
          <w:trHeight w:val="680"/>
        </w:trPr>
        <w:tc>
          <w:tcPr>
            <w:tcW w:w="1975" w:type="dxa"/>
            <w:shd w:val="clear" w:color="auto" w:fill="C1E4F5"/>
            <w:vAlign w:val="center"/>
            <w:hideMark/>
          </w:tcPr>
          <w:p w14:paraId="73A767E1" w14:textId="77777777" w:rsidR="00B86EE7" w:rsidRPr="00587A7B" w:rsidRDefault="00B86EE7" w:rsidP="00DC6B04">
            <w:pPr>
              <w:spacing w:before="60" w:after="60" w:line="278" w:lineRule="auto"/>
              <w:rPr>
                <w:b/>
                <w:bCs/>
                <w:color w:val="005A70" w:themeColor="accent1"/>
                <w:szCs w:val="22"/>
                <w:lang w:val="en-US"/>
              </w:rPr>
            </w:pPr>
            <w:r w:rsidRPr="00587A7B">
              <w:rPr>
                <w:b/>
                <w:bCs/>
                <w:color w:val="005A70" w:themeColor="accent1"/>
                <w:szCs w:val="22"/>
                <w:lang w:val="en-US"/>
              </w:rPr>
              <w:t>Assumption-based estimate</w:t>
            </w:r>
          </w:p>
        </w:tc>
        <w:tc>
          <w:tcPr>
            <w:tcW w:w="2835" w:type="dxa"/>
            <w:hideMark/>
          </w:tcPr>
          <w:p w14:paraId="78490604" w14:textId="77777777" w:rsidR="00B86EE7" w:rsidRPr="00587A7B" w:rsidRDefault="00B86EE7" w:rsidP="00DC6B04">
            <w:pPr>
              <w:spacing w:before="60" w:after="60" w:line="278" w:lineRule="auto"/>
              <w:rPr>
                <w:szCs w:val="22"/>
                <w:lang w:val="en-US"/>
              </w:rPr>
            </w:pPr>
            <w:r w:rsidRPr="00587A7B">
              <w:rPr>
                <w:szCs w:val="22"/>
                <w:lang w:val="en-US"/>
              </w:rPr>
              <w:t>Using available data to inform assumptions about what would have happened anyway.</w:t>
            </w:r>
          </w:p>
        </w:tc>
      </w:tr>
      <w:tr w:rsidR="00B86EE7" w:rsidRPr="00587A7B" w14:paraId="22C6CA1D" w14:textId="77777777" w:rsidTr="00DC6B04">
        <w:trPr>
          <w:trHeight w:val="70"/>
        </w:trPr>
        <w:tc>
          <w:tcPr>
            <w:tcW w:w="1975" w:type="dxa"/>
            <w:shd w:val="clear" w:color="auto" w:fill="C1E4F5"/>
            <w:vAlign w:val="center"/>
            <w:hideMark/>
          </w:tcPr>
          <w:p w14:paraId="46B31F3F" w14:textId="77777777" w:rsidR="00B86EE7" w:rsidRPr="00587A7B" w:rsidRDefault="00B86EE7" w:rsidP="00DC6B04">
            <w:pPr>
              <w:spacing w:before="60" w:after="60" w:line="278" w:lineRule="auto"/>
              <w:rPr>
                <w:b/>
                <w:bCs/>
                <w:color w:val="005A70" w:themeColor="accent1"/>
                <w:szCs w:val="22"/>
                <w:lang w:val="en-US"/>
              </w:rPr>
            </w:pPr>
            <w:r w:rsidRPr="00587A7B">
              <w:rPr>
                <w:b/>
                <w:bCs/>
                <w:color w:val="005A70" w:themeColor="accent1"/>
                <w:szCs w:val="22"/>
                <w:lang w:val="en-US"/>
              </w:rPr>
              <w:t>Individual’s pre-service experience</w:t>
            </w:r>
          </w:p>
        </w:tc>
        <w:tc>
          <w:tcPr>
            <w:tcW w:w="2835" w:type="dxa"/>
            <w:hideMark/>
          </w:tcPr>
          <w:p w14:paraId="60C28DCD" w14:textId="77777777" w:rsidR="00B86EE7" w:rsidRPr="00587A7B" w:rsidRDefault="00B86EE7" w:rsidP="00DC6B04">
            <w:pPr>
              <w:spacing w:before="60" w:after="60" w:line="278" w:lineRule="auto"/>
              <w:rPr>
                <w:szCs w:val="22"/>
                <w:lang w:val="en-US"/>
              </w:rPr>
            </w:pPr>
            <w:proofErr w:type="gramStart"/>
            <w:r w:rsidRPr="00587A7B">
              <w:rPr>
                <w:szCs w:val="22"/>
                <w:lang w:val="en-US"/>
              </w:rPr>
              <w:t>Each individual’s</w:t>
            </w:r>
            <w:proofErr w:type="gramEnd"/>
            <w:r w:rsidRPr="00587A7B">
              <w:rPr>
                <w:szCs w:val="22"/>
                <w:lang w:val="en-US"/>
              </w:rPr>
              <w:t xml:space="preserve"> experience before participating in the service forms their own historic baseline.</w:t>
            </w:r>
          </w:p>
        </w:tc>
      </w:tr>
      <w:tr w:rsidR="00B86EE7" w:rsidRPr="00587A7B" w14:paraId="7110B0EA" w14:textId="77777777" w:rsidTr="00DC6B04">
        <w:trPr>
          <w:trHeight w:val="534"/>
        </w:trPr>
        <w:tc>
          <w:tcPr>
            <w:tcW w:w="1975" w:type="dxa"/>
            <w:shd w:val="clear" w:color="auto" w:fill="C1E4F5"/>
            <w:vAlign w:val="center"/>
            <w:hideMark/>
          </w:tcPr>
          <w:p w14:paraId="3F448FCE" w14:textId="77777777" w:rsidR="00B86EE7" w:rsidRPr="00587A7B" w:rsidRDefault="00B86EE7" w:rsidP="00DC6B04">
            <w:pPr>
              <w:spacing w:before="60" w:after="60" w:line="278" w:lineRule="auto"/>
              <w:rPr>
                <w:b/>
                <w:bCs/>
                <w:color w:val="005A70" w:themeColor="accent1"/>
                <w:szCs w:val="22"/>
                <w:lang w:val="en-US"/>
              </w:rPr>
            </w:pPr>
            <w:r w:rsidRPr="00587A7B">
              <w:rPr>
                <w:b/>
                <w:bCs/>
                <w:color w:val="005A70" w:themeColor="accent1"/>
                <w:szCs w:val="22"/>
                <w:lang w:val="en-US"/>
              </w:rPr>
              <w:t>Historical baseline for target cohort</w:t>
            </w:r>
          </w:p>
        </w:tc>
        <w:tc>
          <w:tcPr>
            <w:tcW w:w="2835" w:type="dxa"/>
            <w:hideMark/>
          </w:tcPr>
          <w:p w14:paraId="444DA070" w14:textId="77777777" w:rsidR="00B86EE7" w:rsidRPr="00587A7B" w:rsidRDefault="00B86EE7" w:rsidP="00DC6B04">
            <w:pPr>
              <w:spacing w:before="60" w:after="60" w:line="278" w:lineRule="auto"/>
              <w:rPr>
                <w:szCs w:val="22"/>
                <w:lang w:val="en-US"/>
              </w:rPr>
            </w:pPr>
            <w:r w:rsidRPr="00587A7B">
              <w:rPr>
                <w:szCs w:val="22"/>
                <w:lang w:val="en-US"/>
              </w:rPr>
              <w:t xml:space="preserve">Past outcomes for a similar population using historical data are </w:t>
            </w:r>
            <w:proofErr w:type="spellStart"/>
            <w:r w:rsidRPr="00587A7B">
              <w:rPr>
                <w:szCs w:val="22"/>
                <w:lang w:val="en-US"/>
              </w:rPr>
              <w:t>analysed</w:t>
            </w:r>
            <w:proofErr w:type="spellEnd"/>
            <w:r w:rsidRPr="00587A7B">
              <w:rPr>
                <w:szCs w:val="22"/>
                <w:lang w:val="en-US"/>
              </w:rPr>
              <w:t xml:space="preserve"> to set a baseline.</w:t>
            </w:r>
          </w:p>
        </w:tc>
      </w:tr>
      <w:tr w:rsidR="00B86EE7" w:rsidRPr="00587A7B" w14:paraId="45B4C075" w14:textId="77777777" w:rsidTr="00DC6B04">
        <w:trPr>
          <w:trHeight w:val="70"/>
        </w:trPr>
        <w:tc>
          <w:tcPr>
            <w:tcW w:w="1975" w:type="dxa"/>
            <w:shd w:val="clear" w:color="auto" w:fill="C1E4F5"/>
            <w:vAlign w:val="center"/>
            <w:hideMark/>
          </w:tcPr>
          <w:p w14:paraId="2860051C" w14:textId="77777777" w:rsidR="00B86EE7" w:rsidRPr="00587A7B" w:rsidRDefault="00B86EE7" w:rsidP="00DC6B04">
            <w:pPr>
              <w:spacing w:before="60" w:after="60" w:line="278" w:lineRule="auto"/>
              <w:rPr>
                <w:b/>
                <w:bCs/>
                <w:color w:val="005A70" w:themeColor="accent1"/>
                <w:szCs w:val="22"/>
                <w:lang w:val="en-US"/>
              </w:rPr>
            </w:pPr>
            <w:r w:rsidRPr="00587A7B">
              <w:rPr>
                <w:b/>
                <w:bCs/>
                <w:color w:val="005A70" w:themeColor="accent1"/>
                <w:szCs w:val="22"/>
                <w:lang w:val="en-US"/>
              </w:rPr>
              <w:lastRenderedPageBreak/>
              <w:t>Matched control group</w:t>
            </w:r>
          </w:p>
        </w:tc>
        <w:tc>
          <w:tcPr>
            <w:tcW w:w="2835" w:type="dxa"/>
            <w:hideMark/>
          </w:tcPr>
          <w:p w14:paraId="06B0BFA5" w14:textId="77777777" w:rsidR="00B86EE7" w:rsidRPr="00587A7B" w:rsidRDefault="00B86EE7" w:rsidP="00DC6B04">
            <w:pPr>
              <w:spacing w:before="60" w:after="60" w:line="278" w:lineRule="auto"/>
              <w:rPr>
                <w:szCs w:val="22"/>
                <w:lang w:val="en-US"/>
              </w:rPr>
            </w:pPr>
            <w:r w:rsidRPr="00587A7B">
              <w:rPr>
                <w:szCs w:val="22"/>
                <w:lang w:val="en-US"/>
              </w:rPr>
              <w:t>A comparison group is constructed based on the attributes of the individuals participating in the service.</w:t>
            </w:r>
          </w:p>
        </w:tc>
      </w:tr>
      <w:tr w:rsidR="00B86EE7" w:rsidRPr="00587A7B" w14:paraId="033B2A81" w14:textId="77777777" w:rsidTr="00DC6B04">
        <w:trPr>
          <w:trHeight w:val="70"/>
        </w:trPr>
        <w:tc>
          <w:tcPr>
            <w:tcW w:w="1975" w:type="dxa"/>
            <w:shd w:val="clear" w:color="auto" w:fill="C1E4F5"/>
            <w:vAlign w:val="center"/>
            <w:hideMark/>
          </w:tcPr>
          <w:p w14:paraId="42482617" w14:textId="77777777" w:rsidR="00B86EE7" w:rsidRPr="00587A7B" w:rsidRDefault="00B86EE7" w:rsidP="00DC6B04">
            <w:pPr>
              <w:spacing w:before="60" w:after="60" w:line="278" w:lineRule="auto"/>
              <w:rPr>
                <w:b/>
                <w:bCs/>
                <w:color w:val="005A70" w:themeColor="accent1"/>
                <w:szCs w:val="22"/>
                <w:lang w:val="en-US"/>
              </w:rPr>
            </w:pPr>
            <w:proofErr w:type="spellStart"/>
            <w:r w:rsidRPr="00587A7B">
              <w:rPr>
                <w:b/>
                <w:bCs/>
                <w:color w:val="005A70" w:themeColor="accent1"/>
                <w:szCs w:val="22"/>
                <w:lang w:val="en-US"/>
              </w:rPr>
              <w:t>Randomised</w:t>
            </w:r>
            <w:proofErr w:type="spellEnd"/>
            <w:r w:rsidRPr="00587A7B">
              <w:rPr>
                <w:b/>
                <w:bCs/>
                <w:color w:val="005A70" w:themeColor="accent1"/>
                <w:szCs w:val="22"/>
                <w:lang w:val="en-US"/>
              </w:rPr>
              <w:t xml:space="preserve"> control trial</w:t>
            </w:r>
          </w:p>
        </w:tc>
        <w:tc>
          <w:tcPr>
            <w:tcW w:w="2835" w:type="dxa"/>
            <w:hideMark/>
          </w:tcPr>
          <w:p w14:paraId="64EA152C" w14:textId="77777777" w:rsidR="00B86EE7" w:rsidRPr="00587A7B" w:rsidRDefault="00B86EE7" w:rsidP="00DC6B04">
            <w:pPr>
              <w:spacing w:before="60" w:after="60" w:line="278" w:lineRule="auto"/>
              <w:rPr>
                <w:szCs w:val="22"/>
                <w:lang w:val="en-US"/>
              </w:rPr>
            </w:pPr>
            <w:r w:rsidRPr="00587A7B">
              <w:rPr>
                <w:szCs w:val="22"/>
                <w:lang w:val="en-US"/>
              </w:rPr>
              <w:t>Individuals are randomly allocated to participate in the service or to receive other services as usual.</w:t>
            </w:r>
          </w:p>
        </w:tc>
      </w:tr>
    </w:tbl>
    <w:p w14:paraId="0FDA5176" w14:textId="77777777" w:rsidR="00B86EE7" w:rsidRDefault="00B86EE7" w:rsidP="00B86EE7">
      <w:pPr>
        <w:spacing w:before="200"/>
      </w:pPr>
      <w:r>
        <w:t xml:space="preserve">Randomised control trials are considered the most reliable way to estimate the counterfactual. </w:t>
      </w:r>
    </w:p>
    <w:p w14:paraId="4573D0FE" w14:textId="77777777" w:rsidR="00B86EE7" w:rsidRDefault="00B86EE7" w:rsidP="00B86EE7">
      <w:r>
        <w:t xml:space="preserve">Alternative approaches – like using an individual’s service experience or historical data for the target population – while not always as accurate, can offer a simpler and more cost-effective way to estimate what would have happened anyway. </w:t>
      </w:r>
    </w:p>
    <w:p w14:paraId="072588CD" w14:textId="77777777" w:rsidR="00B86EE7" w:rsidRDefault="00B86EE7" w:rsidP="00B86EE7">
      <w:pPr>
        <w:spacing w:before="160"/>
        <w:contextualSpacing/>
        <w:rPr>
          <w:sz w:val="16"/>
          <w:szCs w:val="16"/>
        </w:rPr>
      </w:pPr>
      <w:r>
        <w:t xml:space="preserve">When designing a contract, commissioners need to weigh up the benefits and limitations of each approach, to select the most appropriate. </w:t>
      </w:r>
    </w:p>
    <w:p w14:paraId="45FDE2DC" w14:textId="77777777" w:rsidR="00B86EE7" w:rsidRDefault="00B86EE7" w:rsidP="00B86EE7">
      <w:pPr>
        <w:pStyle w:val="Heading3"/>
      </w:pPr>
      <w:r>
        <w:t>I</w:t>
      </w:r>
      <w:r w:rsidRPr="00BB288D">
        <w:t xml:space="preserve">ndividual </w:t>
      </w:r>
      <w:r>
        <w:t>and</w:t>
      </w:r>
      <w:r w:rsidRPr="00BB288D">
        <w:t xml:space="preserve"> cohort measurement</w:t>
      </w:r>
    </w:p>
    <w:p w14:paraId="37F4E937" w14:textId="77777777" w:rsidR="00B86EE7" w:rsidRDefault="00B86EE7" w:rsidP="00B86EE7">
      <w:r>
        <w:t xml:space="preserve">Outcomes can be assessed at an </w:t>
      </w:r>
      <w:r w:rsidRPr="0A18C774">
        <w:rPr>
          <w:b/>
          <w:bCs/>
        </w:rPr>
        <w:t>individual level</w:t>
      </w:r>
      <w:r>
        <w:t xml:space="preserve">, where each service user is assessed separately to determine whether they achieved an outcome (e.g., whether a child reunified with their parents after participating in the service for 18 months). </w:t>
      </w:r>
    </w:p>
    <w:p w14:paraId="49A3ADE9" w14:textId="77777777" w:rsidR="00B86EE7" w:rsidRDefault="00B86EE7" w:rsidP="00B86EE7">
      <w:r>
        <w:t xml:space="preserve">Outcomes at an individual level are typically then aggregated across all service users to assess the impact of the service (e.g., the number or proportion of children that are reunified with their families). This will inform the data sources that are used for measurement (see ‘Defining Outcome Metrics’ for more information). </w:t>
      </w:r>
    </w:p>
    <w:p w14:paraId="27538FB3" w14:textId="77777777" w:rsidR="00B86EE7" w:rsidRDefault="00B86EE7" w:rsidP="00B86EE7">
      <w:r>
        <w:t xml:space="preserve">Outcomes do not need to be assessed at an individual level and can instead be aggregated for all service users at a </w:t>
      </w:r>
      <w:r w:rsidRPr="48982624">
        <w:rPr>
          <w:b/>
          <w:bCs/>
        </w:rPr>
        <w:t>cohort level</w:t>
      </w:r>
      <w:r>
        <w:t xml:space="preserve"> (e.g. the total number of presentations to specialist homelessness services by all service users).</w:t>
      </w:r>
    </w:p>
    <w:p w14:paraId="4BBC8784" w14:textId="77777777" w:rsidR="00B86EE7" w:rsidRDefault="00B86EE7" w:rsidP="00B86EE7">
      <w:r>
        <w:t>For each metric, it is important to distinguish between measuring outcomes at an individual level and at a cohort level because it impacts how success is defined, what data needs to be collected and how payments are calculated.</w:t>
      </w:r>
    </w:p>
    <w:p w14:paraId="1AA7A35B" w14:textId="77777777" w:rsidR="00B86EE7" w:rsidRDefault="00B86EE7" w:rsidP="00B86EE7">
      <w:pPr>
        <w:pStyle w:val="Heading3"/>
      </w:pPr>
      <w:r>
        <w:t>Outcome verification</w:t>
      </w:r>
    </w:p>
    <w:p w14:paraId="2C3289B7" w14:textId="77777777" w:rsidR="00B86EE7" w:rsidRDefault="00B86EE7" w:rsidP="00B86EE7">
      <w:r>
        <w:t>Outcome metrics linked to payments are typically verified to ensure credibility and transparency in measured outcomes. There are three options for verifying outcomes:</w:t>
      </w:r>
    </w:p>
    <w:p w14:paraId="29D9F90A" w14:textId="77777777" w:rsidR="00B86EE7" w:rsidRPr="00E05BFA" w:rsidRDefault="00B86EE7" w:rsidP="00B86EE7">
      <w:pPr>
        <w:pStyle w:val="ListNumber"/>
      </w:pPr>
      <w:r>
        <w:t>Engaging an external organisation to independently review and certify measured outcomes and calculate payments. This is an additional cost for the commissioner but can provide greater confidence in the results</w:t>
      </w:r>
    </w:p>
    <w:p w14:paraId="2A33BA05" w14:textId="77777777" w:rsidR="00B86EE7" w:rsidRPr="00E05BFA" w:rsidRDefault="00B86EE7" w:rsidP="00B86EE7">
      <w:pPr>
        <w:pStyle w:val="ListNumber"/>
      </w:pPr>
      <w:r w:rsidRPr="00E05BFA">
        <w:t>Appointing the commissioner’s contract manager to review and verify measured outcomes and calculate payments in accordance with the outcomes-based contract</w:t>
      </w:r>
    </w:p>
    <w:p w14:paraId="1D740CF0" w14:textId="77777777" w:rsidR="00B86EE7" w:rsidRPr="00E05BFA" w:rsidRDefault="00B86EE7" w:rsidP="00B86EE7">
      <w:pPr>
        <w:pStyle w:val="ListNumber"/>
      </w:pPr>
      <w:r>
        <w:t>Setting up the service provider to self-report measured outcomes and claim payments from the commissioner. This is less costly for the commissioner but can lead to lower confidence in the results.</w:t>
      </w:r>
    </w:p>
    <w:p w14:paraId="082112BB" w14:textId="77777777" w:rsidR="00B86EE7" w:rsidRDefault="00B86EE7" w:rsidP="00B86EE7">
      <w:pPr>
        <w:pStyle w:val="IntroductionQuote"/>
        <w:sectPr w:rsidR="00B86EE7" w:rsidSect="00B86EE7">
          <w:type w:val="continuous"/>
          <w:pgSz w:w="11906" w:h="16838"/>
          <w:pgMar w:top="851" w:right="851" w:bottom="851" w:left="851" w:header="0" w:footer="0" w:gutter="0"/>
          <w:pgNumType w:start="2"/>
          <w:cols w:num="2" w:space="708"/>
          <w:titlePg/>
          <w:docGrid w:linePitch="360"/>
        </w:sectPr>
      </w:pPr>
    </w:p>
    <w:p w14:paraId="77D8449B" w14:textId="77777777" w:rsidR="00B86EE7" w:rsidRDefault="00B86EE7" w:rsidP="00B86EE7">
      <w:pPr>
        <w:pStyle w:val="IntroductionQuote"/>
      </w:pPr>
    </w:p>
    <w:p w14:paraId="3ECCE2BF" w14:textId="77777777" w:rsidR="00B86EE7" w:rsidRDefault="00B86EE7" w:rsidP="00B86EE7">
      <w:pPr>
        <w:pStyle w:val="IntroductionQuote"/>
      </w:pPr>
    </w:p>
    <w:p w14:paraId="55239DB7" w14:textId="77777777" w:rsidR="00B86EE7" w:rsidRDefault="00B86EE7" w:rsidP="00B86EE7">
      <w:pPr>
        <w:spacing w:after="240"/>
        <w:rPr>
          <w:rFonts w:asciiTheme="majorHAnsi" w:eastAsiaTheme="majorEastAsia" w:hAnsiTheme="majorHAnsi" w:cstheme="majorBidi"/>
          <w:bCs/>
          <w:color w:val="005A70" w:themeColor="accent1"/>
          <w:sz w:val="40"/>
          <w:szCs w:val="26"/>
        </w:rPr>
      </w:pPr>
      <w:r>
        <w:br w:type="page"/>
      </w:r>
    </w:p>
    <w:p w14:paraId="526657A3" w14:textId="77777777" w:rsidR="00B86EE7" w:rsidRPr="00A0608D" w:rsidRDefault="00B86EE7" w:rsidP="00B86EE7">
      <w:pPr>
        <w:pStyle w:val="Heading2"/>
        <w:rPr>
          <w:b/>
          <w:bCs w:val="0"/>
        </w:rPr>
      </w:pPr>
      <w:r w:rsidRPr="00A0608D">
        <w:rPr>
          <w:b/>
          <w:bCs w:val="0"/>
        </w:rPr>
        <w:lastRenderedPageBreak/>
        <w:t xml:space="preserve">Case study 1: Aspire Social Impact Bond </w:t>
      </w:r>
    </w:p>
    <w:p w14:paraId="3B3CE01B" w14:textId="77777777" w:rsidR="00B86EE7" w:rsidRDefault="00B86EE7" w:rsidP="00B86EE7">
      <w:pPr>
        <w:pStyle w:val="Heading3"/>
      </w:pPr>
      <w:r>
        <w:t>Overview</w:t>
      </w:r>
    </w:p>
    <w:p w14:paraId="296E481F" w14:textId="77777777" w:rsidR="00B86EE7" w:rsidRDefault="00B86EE7" w:rsidP="00B86EE7">
      <w:pPr>
        <w:spacing w:after="160" w:line="278" w:lineRule="auto"/>
      </w:pPr>
      <w:r>
        <w:t xml:space="preserve">The Aspire Social Impact Bond aimed to provide people experiencing chronic homelessness in Adelaide with assistance with securing stable accommodation, job readiness training, and pathways to training, employment and life skills development. </w:t>
      </w:r>
    </w:p>
    <w:p w14:paraId="06D19EB6" w14:textId="77777777" w:rsidR="00B86EE7" w:rsidRDefault="00B86EE7" w:rsidP="00B86EE7">
      <w:pPr>
        <w:spacing w:after="160" w:line="278" w:lineRule="auto"/>
      </w:pPr>
      <w:r>
        <w:t>The commissioner (the Government of South Australia) sought to explore a range of initiatives to promote innovation in the delivery of social and community services.</w:t>
      </w:r>
    </w:p>
    <w:p w14:paraId="32C2709A" w14:textId="77777777" w:rsidR="00B86EE7" w:rsidRDefault="00B86EE7" w:rsidP="00B86EE7">
      <w:pPr>
        <w:pStyle w:val="Heading3"/>
      </w:pPr>
      <w:r>
        <w:t>Outcome measurement</w:t>
      </w:r>
    </w:p>
    <w:p w14:paraId="68669E88" w14:textId="77777777" w:rsidR="00B86EE7" w:rsidRDefault="00B86EE7" w:rsidP="00B86EE7">
      <w:pPr>
        <w:spacing w:after="160" w:line="278" w:lineRule="auto"/>
      </w:pPr>
      <w:r>
        <w:t>There were three outcome metrics linked to payments:</w:t>
      </w:r>
    </w:p>
    <w:p w14:paraId="43DCB866" w14:textId="77777777" w:rsidR="00B86EE7" w:rsidRPr="00E05BFA" w:rsidRDefault="00B86EE7" w:rsidP="00B86EE7">
      <w:pPr>
        <w:pStyle w:val="ListNumber"/>
        <w:numPr>
          <w:ilvl w:val="0"/>
          <w:numId w:val="20"/>
        </w:numPr>
      </w:pPr>
      <w:r w:rsidRPr="00E05BFA">
        <w:t>Hospital bed days: the number of days spent in hospital bed over a three-year period</w:t>
      </w:r>
    </w:p>
    <w:p w14:paraId="059AF79A" w14:textId="77777777" w:rsidR="00B86EE7" w:rsidRPr="00E05BFA" w:rsidRDefault="00B86EE7" w:rsidP="00B86EE7">
      <w:pPr>
        <w:pStyle w:val="ListNumber"/>
      </w:pPr>
      <w:r w:rsidRPr="00E05BFA">
        <w:t>Convictions: the number of convictions recorded in respect of offences over a three-year period</w:t>
      </w:r>
    </w:p>
    <w:p w14:paraId="25197A8E" w14:textId="77777777" w:rsidR="00B86EE7" w:rsidRPr="00E05BFA" w:rsidRDefault="00B86EE7" w:rsidP="00B86EE7">
      <w:pPr>
        <w:pStyle w:val="ListNumber"/>
      </w:pPr>
      <w:r w:rsidRPr="00E05BFA">
        <w:t>Accommodation periods: the number of emergency accommodation periods accessed over a three-year period</w:t>
      </w:r>
      <w:r>
        <w:t>.</w:t>
      </w:r>
    </w:p>
    <w:p w14:paraId="5D7F687C" w14:textId="77777777" w:rsidR="00B86EE7" w:rsidRDefault="00B86EE7" w:rsidP="00B86EE7">
      <w:pPr>
        <w:spacing w:after="160" w:line="278" w:lineRule="auto"/>
      </w:pPr>
      <w:r>
        <w:t xml:space="preserve">Each outcome metric was measured relative to a counterfactual. The counterfactual was initially determined using analysis of service usage rates for a historic group of people experiencing homelessness in metropolitan Adelaide. The counterfactual was subsequently updated during the life of the program to more fairly </w:t>
      </w:r>
      <w:r w:rsidRPr="0009122E">
        <w:t xml:space="preserve">reflect the complexity and characteristics of the individuals entering </w:t>
      </w:r>
      <w:r>
        <w:t>the Aspire p</w:t>
      </w:r>
      <w:r w:rsidRPr="0009122E">
        <w:t>rogram</w:t>
      </w:r>
      <w:r>
        <w:t xml:space="preserve">. The revised counterfactual </w:t>
      </w:r>
      <w:r w:rsidRPr="000B5F86">
        <w:t>reflect</w:t>
      </w:r>
      <w:r>
        <w:t>ed</w:t>
      </w:r>
      <w:r w:rsidRPr="000B5F86">
        <w:t xml:space="preserve"> Aspire participants’ average service usage over the two-year period prior to </w:t>
      </w:r>
      <w:r>
        <w:t xml:space="preserve">commencing the program. </w:t>
      </w:r>
    </w:p>
    <w:tbl>
      <w:tblPr>
        <w:tblStyle w:val="TableGrid"/>
        <w:tblW w:w="0" w:type="auto"/>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Look w:val="04A0" w:firstRow="1" w:lastRow="0" w:firstColumn="1" w:lastColumn="0" w:noHBand="0" w:noVBand="1"/>
      </w:tblPr>
      <w:tblGrid>
        <w:gridCol w:w="2038"/>
        <w:gridCol w:w="2038"/>
        <w:gridCol w:w="2036"/>
        <w:gridCol w:w="2036"/>
        <w:gridCol w:w="2036"/>
      </w:tblGrid>
      <w:tr w:rsidR="00B86EE7" w:rsidRPr="00E05BFA" w14:paraId="0025978C" w14:textId="77777777" w:rsidTr="00DC6B04">
        <w:trPr>
          <w:tblHeader/>
        </w:trPr>
        <w:tc>
          <w:tcPr>
            <w:tcW w:w="2038" w:type="dxa"/>
            <w:shd w:val="clear" w:color="auto" w:fill="005A70" w:themeFill="accent1"/>
          </w:tcPr>
          <w:p w14:paraId="7BD84126" w14:textId="77777777" w:rsidR="00B86EE7" w:rsidRPr="00DB26B9" w:rsidRDefault="00B86EE7" w:rsidP="00DC6B04">
            <w:pPr>
              <w:spacing w:after="160" w:line="278" w:lineRule="auto"/>
              <w:rPr>
                <w:b/>
                <w:bCs/>
                <w:color w:val="FFFFFF" w:themeColor="background1"/>
              </w:rPr>
            </w:pPr>
            <w:r w:rsidRPr="00DB26B9">
              <w:rPr>
                <w:b/>
                <w:bCs/>
                <w:color w:val="FFFFFF" w:themeColor="background1"/>
              </w:rPr>
              <w:t>Outcome metric</w:t>
            </w:r>
          </w:p>
        </w:tc>
        <w:tc>
          <w:tcPr>
            <w:tcW w:w="2039" w:type="dxa"/>
            <w:shd w:val="clear" w:color="auto" w:fill="005A70" w:themeFill="accent1"/>
          </w:tcPr>
          <w:p w14:paraId="3248426C" w14:textId="77777777" w:rsidR="00B86EE7" w:rsidRPr="00DB26B9" w:rsidRDefault="00B86EE7" w:rsidP="00DC6B04">
            <w:pPr>
              <w:spacing w:after="160" w:line="278" w:lineRule="auto"/>
              <w:rPr>
                <w:b/>
                <w:bCs/>
                <w:color w:val="FFFFFF" w:themeColor="background1"/>
              </w:rPr>
            </w:pPr>
            <w:r w:rsidRPr="00DB26B9">
              <w:rPr>
                <w:b/>
                <w:bCs/>
                <w:color w:val="FFFFFF" w:themeColor="background1"/>
              </w:rPr>
              <w:t>Counterfactual rate per person per year</w:t>
            </w:r>
          </w:p>
        </w:tc>
        <w:tc>
          <w:tcPr>
            <w:tcW w:w="2039" w:type="dxa"/>
            <w:shd w:val="clear" w:color="auto" w:fill="005A70" w:themeFill="accent1"/>
          </w:tcPr>
          <w:p w14:paraId="1928E734" w14:textId="77777777" w:rsidR="00B86EE7" w:rsidRPr="00DB26B9" w:rsidRDefault="00B86EE7" w:rsidP="00DC6B04">
            <w:pPr>
              <w:spacing w:after="160" w:line="278" w:lineRule="auto"/>
              <w:rPr>
                <w:b/>
                <w:bCs/>
                <w:color w:val="FFFFFF" w:themeColor="background1"/>
              </w:rPr>
            </w:pPr>
            <w:r w:rsidRPr="00DB26B9">
              <w:rPr>
                <w:b/>
                <w:bCs/>
                <w:color w:val="FFFFFF" w:themeColor="background1"/>
              </w:rPr>
              <w:t>Recorded rate per person per year</w:t>
            </w:r>
          </w:p>
        </w:tc>
        <w:tc>
          <w:tcPr>
            <w:tcW w:w="2039" w:type="dxa"/>
            <w:shd w:val="clear" w:color="auto" w:fill="005A70" w:themeFill="accent1"/>
          </w:tcPr>
          <w:p w14:paraId="513A71AF" w14:textId="77777777" w:rsidR="00B86EE7" w:rsidRPr="00DB26B9" w:rsidRDefault="00B86EE7" w:rsidP="00DC6B04">
            <w:pPr>
              <w:spacing w:after="160" w:line="278" w:lineRule="auto"/>
              <w:rPr>
                <w:b/>
                <w:bCs/>
                <w:color w:val="FFFFFF" w:themeColor="background1"/>
              </w:rPr>
            </w:pPr>
            <w:r w:rsidRPr="00DB26B9">
              <w:rPr>
                <w:b/>
                <w:bCs/>
                <w:color w:val="FFFFFF" w:themeColor="background1"/>
              </w:rPr>
              <w:t>Initial target reduction</w:t>
            </w:r>
          </w:p>
        </w:tc>
        <w:tc>
          <w:tcPr>
            <w:tcW w:w="2039" w:type="dxa"/>
            <w:shd w:val="clear" w:color="auto" w:fill="005A70" w:themeFill="accent1"/>
          </w:tcPr>
          <w:p w14:paraId="4A281E77" w14:textId="77777777" w:rsidR="00B86EE7" w:rsidRPr="00DB26B9" w:rsidRDefault="00B86EE7" w:rsidP="00DC6B04">
            <w:pPr>
              <w:spacing w:after="160" w:line="278" w:lineRule="auto"/>
              <w:rPr>
                <w:b/>
                <w:bCs/>
                <w:color w:val="FFFFFF" w:themeColor="background1"/>
              </w:rPr>
            </w:pPr>
            <w:r w:rsidRPr="00DB26B9">
              <w:rPr>
                <w:b/>
                <w:bCs/>
                <w:color w:val="FFFFFF" w:themeColor="background1"/>
              </w:rPr>
              <w:t xml:space="preserve">Actual reduction </w:t>
            </w:r>
          </w:p>
        </w:tc>
      </w:tr>
      <w:tr w:rsidR="00B86EE7" w:rsidRPr="00E05BFA" w14:paraId="48268CEC" w14:textId="77777777" w:rsidTr="00DC6B04">
        <w:tc>
          <w:tcPr>
            <w:tcW w:w="2038" w:type="dxa"/>
          </w:tcPr>
          <w:p w14:paraId="3D3380F2" w14:textId="77777777" w:rsidR="00B86EE7" w:rsidRPr="00DB26B9" w:rsidRDefault="00B86EE7" w:rsidP="00DC6B04">
            <w:pPr>
              <w:spacing w:after="160" w:line="278" w:lineRule="auto"/>
            </w:pPr>
            <w:r w:rsidRPr="00DB26B9">
              <w:t>Hospital bed days</w:t>
            </w:r>
          </w:p>
        </w:tc>
        <w:tc>
          <w:tcPr>
            <w:tcW w:w="2039" w:type="dxa"/>
          </w:tcPr>
          <w:p w14:paraId="7BE68866" w14:textId="77777777" w:rsidR="00B86EE7" w:rsidRPr="00DB26B9" w:rsidRDefault="00B86EE7" w:rsidP="00DC6B04">
            <w:pPr>
              <w:spacing w:after="160" w:line="278" w:lineRule="auto"/>
            </w:pPr>
            <w:r w:rsidRPr="00DB26B9">
              <w:t>5.9</w:t>
            </w:r>
          </w:p>
        </w:tc>
        <w:tc>
          <w:tcPr>
            <w:tcW w:w="2039" w:type="dxa"/>
          </w:tcPr>
          <w:p w14:paraId="560B9A07" w14:textId="77777777" w:rsidR="00B86EE7" w:rsidRPr="00DB26B9" w:rsidRDefault="00B86EE7" w:rsidP="00DC6B04">
            <w:pPr>
              <w:spacing w:after="160" w:line="278" w:lineRule="auto"/>
            </w:pPr>
            <w:r w:rsidRPr="00DB26B9">
              <w:t>4.2</w:t>
            </w:r>
          </w:p>
        </w:tc>
        <w:tc>
          <w:tcPr>
            <w:tcW w:w="2039" w:type="dxa"/>
          </w:tcPr>
          <w:p w14:paraId="1620EAD1" w14:textId="77777777" w:rsidR="00B86EE7" w:rsidRPr="00DB26B9" w:rsidRDefault="00B86EE7" w:rsidP="00DC6B04">
            <w:pPr>
              <w:spacing w:after="160" w:line="278" w:lineRule="auto"/>
            </w:pPr>
            <w:r w:rsidRPr="00DB26B9">
              <w:t>15 per cent</w:t>
            </w:r>
          </w:p>
        </w:tc>
        <w:tc>
          <w:tcPr>
            <w:tcW w:w="2039" w:type="dxa"/>
          </w:tcPr>
          <w:p w14:paraId="07DD1977" w14:textId="77777777" w:rsidR="00B86EE7" w:rsidRPr="00DB26B9" w:rsidRDefault="00B86EE7" w:rsidP="00DC6B04">
            <w:pPr>
              <w:spacing w:after="160" w:line="278" w:lineRule="auto"/>
            </w:pPr>
            <w:r w:rsidRPr="00DB26B9">
              <w:t>29 per cent</w:t>
            </w:r>
          </w:p>
        </w:tc>
      </w:tr>
      <w:tr w:rsidR="00B86EE7" w:rsidRPr="00E05BFA" w14:paraId="109F3C32" w14:textId="77777777" w:rsidTr="00DC6B04">
        <w:tc>
          <w:tcPr>
            <w:tcW w:w="2038" w:type="dxa"/>
          </w:tcPr>
          <w:p w14:paraId="09F91766" w14:textId="77777777" w:rsidR="00B86EE7" w:rsidRPr="00DB26B9" w:rsidRDefault="00B86EE7" w:rsidP="00DC6B04">
            <w:pPr>
              <w:spacing w:after="160" w:line="278" w:lineRule="auto"/>
            </w:pPr>
            <w:r w:rsidRPr="00DB26B9">
              <w:t>Convictions</w:t>
            </w:r>
          </w:p>
        </w:tc>
        <w:tc>
          <w:tcPr>
            <w:tcW w:w="2039" w:type="dxa"/>
          </w:tcPr>
          <w:p w14:paraId="3403597B" w14:textId="77777777" w:rsidR="00B86EE7" w:rsidRPr="00DB26B9" w:rsidRDefault="00B86EE7" w:rsidP="00DC6B04">
            <w:pPr>
              <w:spacing w:after="160" w:line="278" w:lineRule="auto"/>
            </w:pPr>
            <w:r w:rsidRPr="00DB26B9">
              <w:t>1.2</w:t>
            </w:r>
          </w:p>
        </w:tc>
        <w:tc>
          <w:tcPr>
            <w:tcW w:w="2039" w:type="dxa"/>
          </w:tcPr>
          <w:p w14:paraId="7F8C8AB6" w14:textId="77777777" w:rsidR="00B86EE7" w:rsidRPr="00DB26B9" w:rsidRDefault="00B86EE7" w:rsidP="00DC6B04">
            <w:pPr>
              <w:spacing w:after="160" w:line="278" w:lineRule="auto"/>
            </w:pPr>
            <w:r w:rsidRPr="00DB26B9">
              <w:t>0.8</w:t>
            </w:r>
          </w:p>
        </w:tc>
        <w:tc>
          <w:tcPr>
            <w:tcW w:w="2039" w:type="dxa"/>
          </w:tcPr>
          <w:p w14:paraId="4DB26FD0" w14:textId="77777777" w:rsidR="00B86EE7" w:rsidRPr="00DB26B9" w:rsidRDefault="00B86EE7" w:rsidP="00DC6B04">
            <w:pPr>
              <w:spacing w:after="160" w:line="278" w:lineRule="auto"/>
            </w:pPr>
            <w:r w:rsidRPr="00DB26B9">
              <w:t>15 per cent</w:t>
            </w:r>
          </w:p>
        </w:tc>
        <w:tc>
          <w:tcPr>
            <w:tcW w:w="2039" w:type="dxa"/>
          </w:tcPr>
          <w:p w14:paraId="5178569A" w14:textId="77777777" w:rsidR="00B86EE7" w:rsidRPr="00DB26B9" w:rsidRDefault="00B86EE7" w:rsidP="00DC6B04">
            <w:pPr>
              <w:spacing w:after="160" w:line="278" w:lineRule="auto"/>
            </w:pPr>
            <w:r w:rsidRPr="00DB26B9">
              <w:t xml:space="preserve">33 per cent </w:t>
            </w:r>
          </w:p>
        </w:tc>
      </w:tr>
      <w:tr w:rsidR="00B86EE7" w:rsidRPr="00E05BFA" w14:paraId="551F00B3" w14:textId="77777777" w:rsidTr="00DC6B04">
        <w:tc>
          <w:tcPr>
            <w:tcW w:w="2038" w:type="dxa"/>
          </w:tcPr>
          <w:p w14:paraId="47D5135E" w14:textId="77777777" w:rsidR="00B86EE7" w:rsidRPr="00DB26B9" w:rsidRDefault="00B86EE7" w:rsidP="00DC6B04">
            <w:pPr>
              <w:spacing w:after="160" w:line="278" w:lineRule="auto"/>
            </w:pPr>
            <w:r w:rsidRPr="00DB26B9">
              <w:t>Accommodation periods</w:t>
            </w:r>
          </w:p>
        </w:tc>
        <w:tc>
          <w:tcPr>
            <w:tcW w:w="2039" w:type="dxa"/>
          </w:tcPr>
          <w:p w14:paraId="5454E8BF" w14:textId="77777777" w:rsidR="00B86EE7" w:rsidRPr="00DB26B9" w:rsidRDefault="00B86EE7" w:rsidP="00DC6B04">
            <w:pPr>
              <w:spacing w:after="160" w:line="278" w:lineRule="auto"/>
            </w:pPr>
            <w:r w:rsidRPr="00DB26B9">
              <w:t>1.1</w:t>
            </w:r>
          </w:p>
        </w:tc>
        <w:tc>
          <w:tcPr>
            <w:tcW w:w="2039" w:type="dxa"/>
          </w:tcPr>
          <w:p w14:paraId="5871BAEE" w14:textId="77777777" w:rsidR="00B86EE7" w:rsidRPr="00DB26B9" w:rsidRDefault="00B86EE7" w:rsidP="00DC6B04">
            <w:pPr>
              <w:spacing w:after="160" w:line="278" w:lineRule="auto"/>
            </w:pPr>
            <w:r w:rsidRPr="00DB26B9">
              <w:t>0.3</w:t>
            </w:r>
          </w:p>
        </w:tc>
        <w:tc>
          <w:tcPr>
            <w:tcW w:w="2039" w:type="dxa"/>
          </w:tcPr>
          <w:p w14:paraId="1E1D2A9C" w14:textId="77777777" w:rsidR="00B86EE7" w:rsidRPr="00DB26B9" w:rsidRDefault="00B86EE7" w:rsidP="00DC6B04">
            <w:pPr>
              <w:spacing w:after="160" w:line="278" w:lineRule="auto"/>
            </w:pPr>
            <w:r w:rsidRPr="00DB26B9">
              <w:t>50 per cent</w:t>
            </w:r>
          </w:p>
        </w:tc>
        <w:tc>
          <w:tcPr>
            <w:tcW w:w="2039" w:type="dxa"/>
          </w:tcPr>
          <w:p w14:paraId="5FF85698" w14:textId="77777777" w:rsidR="00B86EE7" w:rsidRPr="00DB26B9" w:rsidRDefault="00B86EE7" w:rsidP="00DC6B04">
            <w:pPr>
              <w:spacing w:after="160" w:line="278" w:lineRule="auto"/>
            </w:pPr>
            <w:r w:rsidRPr="00DB26B9">
              <w:t xml:space="preserve">73 per cent </w:t>
            </w:r>
          </w:p>
        </w:tc>
      </w:tr>
    </w:tbl>
    <w:p w14:paraId="216ABA0E" w14:textId="77777777" w:rsidR="00B86EE7" w:rsidRDefault="00B86EE7" w:rsidP="00B86EE7">
      <w:pPr>
        <w:spacing w:before="200"/>
      </w:pPr>
      <w:r>
        <w:t xml:space="preserve">Other metrics used to inform ongoing service delivery were the number of participants housed, the number of participants maintaining their housing and the number of job placements. An </w:t>
      </w:r>
      <w:hyperlink r:id="rId39">
        <w:r w:rsidRPr="57A79880">
          <w:rPr>
            <w:rStyle w:val="Hyperlink"/>
          </w:rPr>
          <w:t>evaluation</w:t>
        </w:r>
      </w:hyperlink>
      <w:r>
        <w:t xml:space="preserve"> was commissioned separately which measured a broad range of outcomes to better understand the effectiveness of the Aspire program and why it was effective.</w:t>
      </w:r>
    </w:p>
    <w:p w14:paraId="16707B90" w14:textId="77777777" w:rsidR="00B86EE7" w:rsidRDefault="00B86EE7" w:rsidP="00B86EE7">
      <w:pPr>
        <w:pStyle w:val="IntroductionQuote"/>
      </w:pPr>
    </w:p>
    <w:p w14:paraId="7440F9EF" w14:textId="77777777" w:rsidR="00B86EE7" w:rsidRDefault="00B86EE7" w:rsidP="00B86EE7">
      <w:pPr>
        <w:spacing w:after="240"/>
        <w:rPr>
          <w:rFonts w:asciiTheme="majorHAnsi" w:eastAsiaTheme="majorEastAsia" w:hAnsiTheme="majorHAnsi" w:cstheme="majorBidi"/>
          <w:bCs/>
          <w:color w:val="005A70" w:themeColor="accent1"/>
          <w:sz w:val="40"/>
          <w:szCs w:val="26"/>
        </w:rPr>
      </w:pPr>
      <w:r>
        <w:br w:type="page"/>
      </w:r>
    </w:p>
    <w:p w14:paraId="7BC12F9F" w14:textId="77777777" w:rsidR="00B86EE7" w:rsidRPr="00A0608D" w:rsidRDefault="00B86EE7" w:rsidP="00B86EE7">
      <w:pPr>
        <w:pStyle w:val="Heading2"/>
        <w:rPr>
          <w:b/>
          <w:bCs w:val="0"/>
        </w:rPr>
      </w:pPr>
      <w:r w:rsidRPr="00A0608D">
        <w:rPr>
          <w:b/>
          <w:bCs w:val="0"/>
        </w:rPr>
        <w:lastRenderedPageBreak/>
        <w:t xml:space="preserve">Case study 2: Greater Manchester Refugee Integration Partnership </w:t>
      </w:r>
    </w:p>
    <w:p w14:paraId="3D4CD2E2" w14:textId="77777777" w:rsidR="00B86EE7" w:rsidRDefault="00B86EE7" w:rsidP="00B86EE7">
      <w:pPr>
        <w:pStyle w:val="Heading3"/>
      </w:pPr>
      <w:r>
        <w:t>Overview</w:t>
      </w:r>
    </w:p>
    <w:p w14:paraId="47430623" w14:textId="77777777" w:rsidR="00B86EE7" w:rsidRDefault="00B86EE7" w:rsidP="00B86EE7">
      <w:pPr>
        <w:spacing w:after="160" w:line="278" w:lineRule="auto"/>
      </w:pPr>
      <w:r>
        <w:t xml:space="preserve">The </w:t>
      </w:r>
      <w:r w:rsidRPr="007D7DD8">
        <w:t>Greater Manchester Refugee Integration Partnership</w:t>
      </w:r>
      <w:r>
        <w:t xml:space="preserve"> aims to </w:t>
      </w:r>
      <w:r w:rsidRPr="0068067D">
        <w:t xml:space="preserve">increase the self-sufficiency and integration of newly granted refugees, helping them to move into work, learn English, access housing and build links in their local communities. </w:t>
      </w:r>
    </w:p>
    <w:p w14:paraId="714F44FA" w14:textId="77777777" w:rsidR="00B86EE7" w:rsidRDefault="00B86EE7" w:rsidP="00B86EE7">
      <w:pPr>
        <w:spacing w:after="160" w:line="278" w:lineRule="auto"/>
      </w:pPr>
      <w:r>
        <w:t>The commissioner</w:t>
      </w:r>
      <w:r w:rsidRPr="0068067D">
        <w:t xml:space="preserve"> </w:t>
      </w:r>
      <w:r>
        <w:t>(the UK Home Office), through the Refugee Transitions Outcomes Fund, is seeking to</w:t>
      </w:r>
      <w:r w:rsidRPr="0068067D">
        <w:t xml:space="preserve"> encourage new partnerships and evaluate activities to better understand what works for refugees</w:t>
      </w:r>
      <w:r>
        <w:t>.</w:t>
      </w:r>
    </w:p>
    <w:p w14:paraId="091629FA" w14:textId="77777777" w:rsidR="00B86EE7" w:rsidRDefault="00B86EE7" w:rsidP="00B86EE7">
      <w:pPr>
        <w:pStyle w:val="Heading3"/>
      </w:pPr>
      <w:r>
        <w:t>Outcome measurement</w:t>
      </w:r>
    </w:p>
    <w:p w14:paraId="325518BD" w14:textId="77777777" w:rsidR="00B86EE7" w:rsidRDefault="00B86EE7" w:rsidP="00B86EE7">
      <w:pPr>
        <w:spacing w:after="160" w:line="278" w:lineRule="auto"/>
      </w:pPr>
      <w:r>
        <w:t>There were eight outcome metrics linked to payments:</w:t>
      </w:r>
    </w:p>
    <w:p w14:paraId="05A2D7FD" w14:textId="77777777" w:rsidR="00B86EE7" w:rsidRPr="00E05BFA" w:rsidRDefault="00B86EE7" w:rsidP="00B86EE7">
      <w:pPr>
        <w:pStyle w:val="ListNumber"/>
        <w:numPr>
          <w:ilvl w:val="0"/>
          <w:numId w:val="21"/>
        </w:numPr>
      </w:pPr>
      <w:r w:rsidRPr="00E05BFA">
        <w:t>Intermediate employability outcome: undertaking volunteering or work experience alongside improvements on two further individualised employability targets</w:t>
      </w:r>
    </w:p>
    <w:p w14:paraId="5344C9C5" w14:textId="77777777" w:rsidR="00B86EE7" w:rsidRPr="00E05BFA" w:rsidRDefault="00B86EE7" w:rsidP="00B86EE7">
      <w:pPr>
        <w:pStyle w:val="ListNumber"/>
        <w:numPr>
          <w:ilvl w:val="0"/>
          <w:numId w:val="21"/>
        </w:numPr>
      </w:pPr>
      <w:r w:rsidRPr="00E05BFA">
        <w:t>Employment entry: entering employment or self-employment</w:t>
      </w:r>
    </w:p>
    <w:p w14:paraId="10FD61A3" w14:textId="77777777" w:rsidR="00B86EE7" w:rsidRPr="00E05BFA" w:rsidRDefault="00B86EE7" w:rsidP="00B86EE7">
      <w:pPr>
        <w:pStyle w:val="ListNumber"/>
        <w:numPr>
          <w:ilvl w:val="0"/>
          <w:numId w:val="21"/>
        </w:numPr>
      </w:pPr>
      <w:r w:rsidRPr="00E05BFA">
        <w:t>Employment sustained: sustaining employment or self-employment for three months</w:t>
      </w:r>
    </w:p>
    <w:p w14:paraId="6397603C" w14:textId="77777777" w:rsidR="00B86EE7" w:rsidRPr="00E05BFA" w:rsidRDefault="00B86EE7" w:rsidP="00B86EE7">
      <w:pPr>
        <w:pStyle w:val="ListNumber"/>
        <w:numPr>
          <w:ilvl w:val="0"/>
          <w:numId w:val="21"/>
        </w:numPr>
      </w:pPr>
      <w:r w:rsidRPr="00E05BFA">
        <w:t>Housing entry: entering safe and secure accommodation</w:t>
      </w:r>
    </w:p>
    <w:p w14:paraId="4153DC93" w14:textId="77777777" w:rsidR="00B86EE7" w:rsidRPr="00E05BFA" w:rsidRDefault="00B86EE7" w:rsidP="00B86EE7">
      <w:pPr>
        <w:pStyle w:val="ListNumber"/>
        <w:numPr>
          <w:ilvl w:val="0"/>
          <w:numId w:val="21"/>
        </w:numPr>
      </w:pPr>
      <w:r w:rsidRPr="00E05BFA">
        <w:t>Housing sustained: sustaining housing for three months</w:t>
      </w:r>
    </w:p>
    <w:p w14:paraId="4941DA21" w14:textId="77777777" w:rsidR="00B86EE7" w:rsidRPr="00E05BFA" w:rsidRDefault="00B86EE7" w:rsidP="00B86EE7">
      <w:pPr>
        <w:pStyle w:val="ListNumber"/>
        <w:numPr>
          <w:ilvl w:val="0"/>
          <w:numId w:val="21"/>
        </w:numPr>
      </w:pPr>
      <w:r w:rsidRPr="00E05BFA">
        <w:t>Integration plan: completing a person-centred individualised integration plan covering all areas relevant to their integration journey</w:t>
      </w:r>
    </w:p>
    <w:p w14:paraId="7E59FEF3" w14:textId="77777777" w:rsidR="00B86EE7" w:rsidRPr="00E05BFA" w:rsidRDefault="00B86EE7" w:rsidP="00B86EE7">
      <w:pPr>
        <w:pStyle w:val="ListNumber"/>
        <w:numPr>
          <w:ilvl w:val="0"/>
          <w:numId w:val="21"/>
        </w:numPr>
      </w:pPr>
      <w:r w:rsidRPr="00E05BFA">
        <w:t>Six-month integration improvement: completed individualised integration plan, with improvement on two or more six-month progress targets</w:t>
      </w:r>
    </w:p>
    <w:p w14:paraId="5D969DBF" w14:textId="77777777" w:rsidR="00B86EE7" w:rsidRPr="00E05BFA" w:rsidRDefault="00B86EE7" w:rsidP="00B86EE7">
      <w:pPr>
        <w:pStyle w:val="ListNumber"/>
        <w:numPr>
          <w:ilvl w:val="0"/>
          <w:numId w:val="21"/>
        </w:numPr>
      </w:pPr>
      <w:r w:rsidRPr="00E05BFA">
        <w:t>Twelve-month integration improvement: completed individualised integration plan, with improvement on two or more 12-month progress targets</w:t>
      </w:r>
      <w:r>
        <w:t>.</w:t>
      </w:r>
    </w:p>
    <w:p w14:paraId="762E90C2" w14:textId="77777777" w:rsidR="00B86EE7" w:rsidRDefault="00B86EE7" w:rsidP="00B86EE7">
      <w:r>
        <w:t xml:space="preserve">These outcome metrics were not measured relative to a counterfactual for the purpose of determining payments. </w:t>
      </w:r>
    </w:p>
    <w:p w14:paraId="737463A6" w14:textId="77777777" w:rsidR="00B86EE7" w:rsidRDefault="00B86EE7" w:rsidP="00B86EE7">
      <w:r>
        <w:t xml:space="preserve">The </w:t>
      </w:r>
      <w:hyperlink r:id="rId40" w:anchor="social-impact-bond-design-and-effects">
        <w:r w:rsidRPr="57A79880">
          <w:rPr>
            <w:rStyle w:val="Hyperlink"/>
          </w:rPr>
          <w:t>evaluation</w:t>
        </w:r>
      </w:hyperlink>
      <w:r>
        <w:t xml:space="preserve"> of the Refugee Transitions Outcomes Fund considers the impact of the initiative relative to a matched control group.</w:t>
      </w:r>
    </w:p>
    <w:p w14:paraId="531FDD33" w14:textId="77777777" w:rsidR="00B86EE7" w:rsidRPr="00D05BD7" w:rsidRDefault="00B86EE7" w:rsidP="00B86EE7">
      <w:pPr>
        <w:pStyle w:val="Heading2"/>
        <w:rPr>
          <w:b/>
          <w:bCs w:val="0"/>
        </w:rPr>
      </w:pPr>
      <w:r w:rsidRPr="00D05BD7">
        <w:rPr>
          <w:b/>
          <w:bCs w:val="0"/>
        </w:rPr>
        <w:t>Learn more</w:t>
      </w:r>
    </w:p>
    <w:p w14:paraId="0875DE26" w14:textId="77777777" w:rsidR="00B86EE7" w:rsidRPr="00942526" w:rsidRDefault="00B86EE7" w:rsidP="00B86EE7">
      <w:pPr>
        <w:pStyle w:val="ListParagraph"/>
        <w:pBdr>
          <w:top w:val="single" w:sz="36" w:space="1" w:color="C1E4F5"/>
          <w:left w:val="single" w:sz="36" w:space="4" w:color="C1E4F5"/>
          <w:bottom w:val="single" w:sz="36" w:space="1" w:color="C1E4F5"/>
          <w:right w:val="single" w:sz="36" w:space="4" w:color="C1E4F5"/>
        </w:pBdr>
        <w:rPr>
          <w:b/>
          <w:bCs/>
        </w:rPr>
      </w:pPr>
      <w:r w:rsidRPr="00942526">
        <w:t xml:space="preserve">Understand the basics of outcomes-based contracting in </w:t>
      </w:r>
      <w:r w:rsidRPr="00942526">
        <w:rPr>
          <w:b/>
          <w:bCs/>
        </w:rPr>
        <w:t>Introduction to outcomes-based contracting</w:t>
      </w:r>
    </w:p>
    <w:p w14:paraId="2CD80B82" w14:textId="77777777" w:rsidR="00B86EE7" w:rsidRPr="00942526" w:rsidRDefault="00B86EE7" w:rsidP="00B86EE7">
      <w:pPr>
        <w:pStyle w:val="ListParagraph"/>
        <w:pBdr>
          <w:top w:val="single" w:sz="36" w:space="1" w:color="C1E4F5"/>
          <w:left w:val="single" w:sz="36" w:space="4" w:color="C1E4F5"/>
          <w:bottom w:val="single" w:sz="36" w:space="1" w:color="C1E4F5"/>
          <w:right w:val="single" w:sz="36" w:space="4" w:color="C1E4F5"/>
        </w:pBdr>
      </w:pPr>
      <w:r w:rsidRPr="00942526">
        <w:t xml:space="preserve">Define who a service is for in </w:t>
      </w:r>
      <w:r w:rsidRPr="00942526">
        <w:rPr>
          <w:b/>
          <w:bCs/>
        </w:rPr>
        <w:t>Identifying a Target Cohort</w:t>
      </w:r>
    </w:p>
    <w:p w14:paraId="773E3A70" w14:textId="77777777" w:rsidR="00B86EE7" w:rsidRPr="00942526" w:rsidRDefault="00B86EE7" w:rsidP="00B86EE7">
      <w:pPr>
        <w:pStyle w:val="ListParagraph"/>
        <w:pBdr>
          <w:top w:val="single" w:sz="36" w:space="1" w:color="C1E4F5"/>
          <w:left w:val="single" w:sz="36" w:space="4" w:color="C1E4F5"/>
          <w:bottom w:val="single" w:sz="36" w:space="1" w:color="C1E4F5"/>
          <w:right w:val="single" w:sz="36" w:space="4" w:color="C1E4F5"/>
        </w:pBdr>
      </w:pPr>
      <w:r w:rsidRPr="00942526">
        <w:t xml:space="preserve">Identify indicators of real-world changes that align with your policy objectives in </w:t>
      </w:r>
      <w:r w:rsidRPr="00942526">
        <w:rPr>
          <w:b/>
          <w:bCs/>
        </w:rPr>
        <w:t>Defining Outcome Metrics</w:t>
      </w:r>
    </w:p>
    <w:p w14:paraId="2954CE14" w14:textId="77777777" w:rsidR="00B86EE7" w:rsidRPr="00942526" w:rsidRDefault="00B86EE7" w:rsidP="00B86EE7">
      <w:pPr>
        <w:pStyle w:val="ListParagraph"/>
        <w:pBdr>
          <w:top w:val="single" w:sz="36" w:space="1" w:color="C1E4F5"/>
          <w:left w:val="single" w:sz="36" w:space="4" w:color="C1E4F5"/>
          <w:bottom w:val="single" w:sz="36" w:space="1" w:color="C1E4F5"/>
          <w:right w:val="single" w:sz="36" w:space="4" w:color="C1E4F5"/>
        </w:pBdr>
      </w:pPr>
      <w:r>
        <w:t>D</w:t>
      </w:r>
      <w:r w:rsidRPr="00942526">
        <w:t xml:space="preserve">etermine how much to pay for an outcome in </w:t>
      </w:r>
      <w:r w:rsidRPr="00942526">
        <w:rPr>
          <w:b/>
          <w:bCs/>
        </w:rPr>
        <w:t>Pricing Outcomes</w:t>
      </w:r>
    </w:p>
    <w:p w14:paraId="3572A49E" w14:textId="77777777" w:rsidR="00B86EE7" w:rsidRPr="00942526" w:rsidRDefault="00B86EE7" w:rsidP="00B86EE7">
      <w:pPr>
        <w:pStyle w:val="ListParagraph"/>
        <w:pBdr>
          <w:top w:val="single" w:sz="36" w:space="1" w:color="C1E4F5"/>
          <w:left w:val="single" w:sz="36" w:space="4" w:color="C1E4F5"/>
          <w:bottom w:val="single" w:sz="36" w:space="1" w:color="C1E4F5"/>
          <w:right w:val="single" w:sz="36" w:space="4" w:color="C1E4F5"/>
        </w:pBdr>
      </w:pPr>
      <w:r w:rsidRPr="00942526">
        <w:t xml:space="preserve">Self-assess your readiness for outcomes-based contracting in the </w:t>
      </w:r>
      <w:r w:rsidRPr="00942526">
        <w:rPr>
          <w:b/>
          <w:bCs/>
        </w:rPr>
        <w:t>Readiness Checklist</w:t>
      </w:r>
    </w:p>
    <w:p w14:paraId="0CAF2F50" w14:textId="77777777" w:rsidR="00B86EE7" w:rsidRDefault="00B86EE7" w:rsidP="00415340">
      <w:pPr>
        <w:pStyle w:val="ListParagraph"/>
        <w:pBdr>
          <w:top w:val="single" w:sz="36" w:space="1" w:color="C1E4F5"/>
          <w:left w:val="single" w:sz="36" w:space="4" w:color="C1E4F5"/>
          <w:bottom w:val="single" w:sz="36" w:space="1" w:color="C1E4F5"/>
          <w:right w:val="single" w:sz="36" w:space="4" w:color="C1E4F5"/>
        </w:pBdr>
        <w:rPr>
          <w:b/>
          <w:bCs/>
        </w:rPr>
        <w:sectPr w:rsidR="00B86EE7" w:rsidSect="004E047A">
          <w:pgSz w:w="11906" w:h="16838"/>
          <w:pgMar w:top="851" w:right="851" w:bottom="851" w:left="851" w:header="0" w:footer="0" w:gutter="0"/>
          <w:pgNumType w:start="2"/>
          <w:cols w:space="708"/>
          <w:titlePg/>
          <w:docGrid w:linePitch="360"/>
        </w:sectPr>
      </w:pPr>
    </w:p>
    <w:p w14:paraId="6F281BA5" w14:textId="77777777" w:rsidR="00B67360" w:rsidRDefault="00B67360" w:rsidP="00B67360">
      <w:pPr>
        <w:pStyle w:val="Crestwithrule"/>
      </w:pPr>
      <w:r>
        <w:rPr>
          <w:lang w:eastAsia="en-AU"/>
        </w:rPr>
        <w:lastRenderedPageBreak/>
        <w:drawing>
          <wp:inline distT="0" distB="0" distL="0" distR="0" wp14:anchorId="7A29006E" wp14:editId="12027BCB">
            <wp:extent cx="3235960" cy="768868"/>
            <wp:effectExtent l="0" t="0" r="2540" b="0"/>
            <wp:docPr id="1346005482" name="Picture 1346005482"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70B98C5D" w14:textId="77777777" w:rsidR="00B67360" w:rsidRDefault="00B67360" w:rsidP="00B67360">
      <w:pPr>
        <w:pStyle w:val="Crestwithrule"/>
      </w:pPr>
    </w:p>
    <w:p w14:paraId="194ABCB4" w14:textId="77777777" w:rsidR="00B67360" w:rsidRPr="00DD3A98" w:rsidRDefault="00B67360" w:rsidP="00B67360">
      <w:pPr>
        <w:pStyle w:val="Title"/>
      </w:pPr>
      <w:r w:rsidRPr="00DD3A98">
        <w:t xml:space="preserve">Outcomes-Based Contracting </w:t>
      </w:r>
    </w:p>
    <w:p w14:paraId="6336150A" w14:textId="77777777" w:rsidR="00B67360" w:rsidRPr="00DD3A98" w:rsidRDefault="00B67360" w:rsidP="00B67360">
      <w:pPr>
        <w:pStyle w:val="Heading1"/>
      </w:pPr>
      <w:r w:rsidRPr="00DD3A98">
        <w:t xml:space="preserve">Factsheet: Outcomes Payments  </w:t>
      </w:r>
    </w:p>
    <w:p w14:paraId="2CD1FDB2" w14:textId="77777777" w:rsidR="00B67360" w:rsidRDefault="00B67360" w:rsidP="00B67360">
      <w:pPr>
        <w:pStyle w:val="IntroductionQuote"/>
      </w:pPr>
      <w:r>
        <w:t xml:space="preserve">Outcomes payments are linked to the achievement of an agreed outcome, within an outcomes-based contract. </w:t>
      </w:r>
    </w:p>
    <w:p w14:paraId="0EFE6012" w14:textId="77777777" w:rsidR="00B67360" w:rsidRDefault="00B67360" w:rsidP="00B67360">
      <w:r>
        <w:t xml:space="preserve">Choosing the right outcomes payment is important, because it: </w:t>
      </w:r>
    </w:p>
    <w:p w14:paraId="4FB8542D" w14:textId="77777777" w:rsidR="00B67360" w:rsidRPr="00D93909" w:rsidRDefault="00B67360" w:rsidP="00B67360">
      <w:pPr>
        <w:pStyle w:val="ListParagraph"/>
      </w:pPr>
      <w:r>
        <w:t>c</w:t>
      </w:r>
      <w:r w:rsidRPr="00D93909">
        <w:t>reates conditions to foster innovation in service delivery</w:t>
      </w:r>
    </w:p>
    <w:p w14:paraId="6D8220AE" w14:textId="77777777" w:rsidR="00B67360" w:rsidRPr="00D93909" w:rsidRDefault="00B67360" w:rsidP="00B67360">
      <w:pPr>
        <w:pStyle w:val="ListParagraph"/>
      </w:pPr>
      <w:r>
        <w:t>b</w:t>
      </w:r>
      <w:r w:rsidRPr="00D93909">
        <w:t>uilds a healthy ecosystem of service providers by reflecting the true cost of delivering outcomes</w:t>
      </w:r>
    </w:p>
    <w:p w14:paraId="342CA75A" w14:textId="77777777" w:rsidR="00B67360" w:rsidRDefault="00B67360" w:rsidP="00B67360">
      <w:pPr>
        <w:pStyle w:val="ListParagraph"/>
      </w:pPr>
      <w:r>
        <w:t>d</w:t>
      </w:r>
      <w:r w:rsidRPr="00D93909">
        <w:t>emonstrates value for money with prices reflecting benefits of the outcomes achieved</w:t>
      </w:r>
    </w:p>
    <w:p w14:paraId="301CF027" w14:textId="77777777" w:rsidR="00B67360" w:rsidRPr="00D93909" w:rsidRDefault="00B67360" w:rsidP="00B67360">
      <w:pPr>
        <w:pStyle w:val="ListParagraph"/>
      </w:pPr>
      <w:r>
        <w:t>a</w:t>
      </w:r>
      <w:r w:rsidRPr="00D93909">
        <w:t>ligns incentives</w:t>
      </w:r>
      <w:r>
        <w:t xml:space="preserve"> and manages risk</w:t>
      </w:r>
      <w:r w:rsidRPr="00D93909">
        <w:t xml:space="preserve"> for commissioners, service providers and other stakeholders</w:t>
      </w:r>
      <w:r>
        <w:t>.</w:t>
      </w:r>
      <w:r w:rsidRPr="00D93909">
        <w:t xml:space="preserve"> </w:t>
      </w:r>
    </w:p>
    <w:p w14:paraId="6135D471" w14:textId="77777777" w:rsidR="00B67360" w:rsidRPr="00DD3A98" w:rsidRDefault="00B67360" w:rsidP="00B67360">
      <w:pPr>
        <w:pStyle w:val="Heading2"/>
      </w:pPr>
      <w:r w:rsidRPr="00DD3A98">
        <w:t xml:space="preserve">How funding is different </w:t>
      </w:r>
    </w:p>
    <w:p w14:paraId="6923EFCE" w14:textId="77777777" w:rsidR="00B67360" w:rsidRDefault="00B67360" w:rsidP="00B67360">
      <w:r>
        <w:t>Funding under an outcomes-based contract is different to most traditional funding approaches across a range of dimensions.</w:t>
      </w:r>
    </w:p>
    <w:tbl>
      <w:tblPr>
        <w:tblStyle w:val="TableGrid"/>
        <w:tblW w:w="10196"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Look w:val="04A0" w:firstRow="1" w:lastRow="0" w:firstColumn="1" w:lastColumn="0" w:noHBand="0" w:noVBand="1"/>
      </w:tblPr>
      <w:tblGrid>
        <w:gridCol w:w="1414"/>
        <w:gridCol w:w="4392"/>
        <w:gridCol w:w="4390"/>
      </w:tblGrid>
      <w:tr w:rsidR="00B67360" w14:paraId="5D465ACA" w14:textId="77777777" w:rsidTr="00DC6B04">
        <w:trPr>
          <w:tblHeader/>
        </w:trPr>
        <w:tc>
          <w:tcPr>
            <w:tcW w:w="1308" w:type="dxa"/>
            <w:shd w:val="clear" w:color="auto" w:fill="005A70" w:themeFill="accent1"/>
            <w:vAlign w:val="center"/>
          </w:tcPr>
          <w:p w14:paraId="22B39C3C" w14:textId="77777777" w:rsidR="00B67360" w:rsidRPr="009C44E8" w:rsidRDefault="00B67360" w:rsidP="00DC6B04">
            <w:pPr>
              <w:rPr>
                <w:b/>
                <w:bCs/>
                <w:color w:val="FFFFFF" w:themeColor="background1"/>
              </w:rPr>
            </w:pPr>
            <w:r w:rsidRPr="009C44E8">
              <w:rPr>
                <w:b/>
                <w:bCs/>
                <w:color w:val="FFFFFF" w:themeColor="background1"/>
              </w:rPr>
              <w:t>Dimension</w:t>
            </w:r>
          </w:p>
        </w:tc>
        <w:tc>
          <w:tcPr>
            <w:tcW w:w="4444" w:type="dxa"/>
            <w:shd w:val="clear" w:color="auto" w:fill="005A70" w:themeFill="accent1"/>
            <w:vAlign w:val="center"/>
          </w:tcPr>
          <w:p w14:paraId="5F7D80F0" w14:textId="77777777" w:rsidR="00B67360" w:rsidRPr="009C44E8" w:rsidRDefault="00B67360" w:rsidP="00DC6B04">
            <w:pPr>
              <w:rPr>
                <w:b/>
                <w:bCs/>
                <w:color w:val="FFFFFF" w:themeColor="background1"/>
              </w:rPr>
            </w:pPr>
            <w:r w:rsidRPr="009C44E8">
              <w:rPr>
                <w:b/>
                <w:bCs/>
                <w:color w:val="FFFFFF" w:themeColor="background1"/>
              </w:rPr>
              <w:t>Traditional funding arrangements</w:t>
            </w:r>
          </w:p>
        </w:tc>
        <w:tc>
          <w:tcPr>
            <w:tcW w:w="4444" w:type="dxa"/>
            <w:shd w:val="clear" w:color="auto" w:fill="005A70" w:themeFill="accent1"/>
            <w:vAlign w:val="center"/>
          </w:tcPr>
          <w:p w14:paraId="6CC85A8A" w14:textId="77777777" w:rsidR="00B67360" w:rsidRPr="009C44E8" w:rsidRDefault="00B67360" w:rsidP="00DC6B04">
            <w:pPr>
              <w:rPr>
                <w:b/>
                <w:bCs/>
                <w:color w:val="FFFFFF" w:themeColor="background1"/>
              </w:rPr>
            </w:pPr>
            <w:r w:rsidRPr="009C44E8">
              <w:rPr>
                <w:b/>
                <w:bCs/>
                <w:color w:val="FFFFFF" w:themeColor="background1"/>
              </w:rPr>
              <w:t xml:space="preserve">Outcome based </w:t>
            </w:r>
            <w:r w:rsidRPr="009C44E8">
              <w:rPr>
                <w:b/>
                <w:bCs/>
                <w:color w:val="FFFFFF" w:themeColor="background1"/>
              </w:rPr>
              <w:br/>
              <w:t>contracting</w:t>
            </w:r>
          </w:p>
        </w:tc>
      </w:tr>
      <w:tr w:rsidR="00B67360" w14:paraId="76199DCE" w14:textId="77777777" w:rsidTr="00DC6B04">
        <w:tc>
          <w:tcPr>
            <w:tcW w:w="1308" w:type="dxa"/>
            <w:shd w:val="clear" w:color="auto" w:fill="C1E4F5"/>
            <w:vAlign w:val="center"/>
          </w:tcPr>
          <w:p w14:paraId="6F15DE8E" w14:textId="77777777" w:rsidR="00B67360" w:rsidRPr="009C44E8" w:rsidRDefault="00B67360" w:rsidP="00DC6B04">
            <w:pPr>
              <w:rPr>
                <w:b/>
                <w:bCs/>
                <w:color w:val="005A70" w:themeColor="accent1"/>
              </w:rPr>
            </w:pPr>
            <w:r w:rsidRPr="009C44E8">
              <w:rPr>
                <w:b/>
                <w:bCs/>
                <w:color w:val="005A70" w:themeColor="accent1"/>
              </w:rPr>
              <w:t>Types of payment</w:t>
            </w:r>
          </w:p>
        </w:tc>
        <w:tc>
          <w:tcPr>
            <w:tcW w:w="4444" w:type="dxa"/>
            <w:vAlign w:val="center"/>
          </w:tcPr>
          <w:p w14:paraId="3507F25C" w14:textId="77777777" w:rsidR="00B67360" w:rsidRPr="00C47DEA" w:rsidRDefault="00B67360" w:rsidP="00DC6B04">
            <w:r w:rsidRPr="00C47DEA">
              <w:t>Payments based on inputs or outputs.</w:t>
            </w:r>
          </w:p>
        </w:tc>
        <w:tc>
          <w:tcPr>
            <w:tcW w:w="4444" w:type="dxa"/>
            <w:vAlign w:val="center"/>
          </w:tcPr>
          <w:p w14:paraId="0CE9882B" w14:textId="77777777" w:rsidR="00B67360" w:rsidRPr="00C47DEA" w:rsidRDefault="00B67360" w:rsidP="00DC6B04">
            <w:r w:rsidRPr="00C47DEA">
              <w:t>A mixture of fixed and outcomes-based payments.</w:t>
            </w:r>
          </w:p>
        </w:tc>
      </w:tr>
      <w:tr w:rsidR="00B67360" w14:paraId="0EF7944A" w14:textId="77777777" w:rsidTr="00DC6B04">
        <w:tc>
          <w:tcPr>
            <w:tcW w:w="1308" w:type="dxa"/>
            <w:shd w:val="clear" w:color="auto" w:fill="C1E4F5"/>
            <w:vAlign w:val="center"/>
          </w:tcPr>
          <w:p w14:paraId="4FC7CCEA" w14:textId="77777777" w:rsidR="00B67360" w:rsidRPr="009C44E8" w:rsidRDefault="00B67360" w:rsidP="00DC6B04">
            <w:pPr>
              <w:rPr>
                <w:b/>
                <w:bCs/>
                <w:color w:val="005A70" w:themeColor="accent1"/>
              </w:rPr>
            </w:pPr>
            <w:r w:rsidRPr="009C44E8">
              <w:rPr>
                <w:b/>
                <w:bCs/>
                <w:color w:val="005A70" w:themeColor="accent1"/>
              </w:rPr>
              <w:t>Payment timing</w:t>
            </w:r>
          </w:p>
        </w:tc>
        <w:tc>
          <w:tcPr>
            <w:tcW w:w="4444" w:type="dxa"/>
            <w:vAlign w:val="center"/>
          </w:tcPr>
          <w:p w14:paraId="3F0D0832" w14:textId="77777777" w:rsidR="00B67360" w:rsidRPr="00C47DEA" w:rsidRDefault="00B67360" w:rsidP="00DC6B04">
            <w:r w:rsidRPr="00C47DEA">
              <w:t>Regular payments paid in advance or based on completion of activity reports or milestones.</w:t>
            </w:r>
          </w:p>
        </w:tc>
        <w:tc>
          <w:tcPr>
            <w:tcW w:w="4444" w:type="dxa"/>
            <w:vAlign w:val="center"/>
          </w:tcPr>
          <w:p w14:paraId="7200422C" w14:textId="77777777" w:rsidR="00B67360" w:rsidRPr="00C47DEA" w:rsidRDefault="00B67360" w:rsidP="00DC6B04">
            <w:r w:rsidRPr="00C47DEA">
              <w:t>Fixed payments paid in advance, with outcome payments paid after achievement and verification of outcomes.</w:t>
            </w:r>
          </w:p>
        </w:tc>
      </w:tr>
      <w:tr w:rsidR="00B67360" w14:paraId="0F27D680" w14:textId="77777777" w:rsidTr="00DC6B04">
        <w:tc>
          <w:tcPr>
            <w:tcW w:w="1308" w:type="dxa"/>
            <w:shd w:val="clear" w:color="auto" w:fill="C1E4F5"/>
            <w:vAlign w:val="center"/>
          </w:tcPr>
          <w:p w14:paraId="4B008990" w14:textId="77777777" w:rsidR="00B67360" w:rsidRPr="009C44E8" w:rsidRDefault="00B67360" w:rsidP="00DC6B04">
            <w:pPr>
              <w:rPr>
                <w:b/>
                <w:bCs/>
                <w:color w:val="005A70" w:themeColor="accent1"/>
              </w:rPr>
            </w:pPr>
            <w:r w:rsidRPr="009C44E8">
              <w:rPr>
                <w:b/>
                <w:bCs/>
                <w:color w:val="005A70" w:themeColor="accent1"/>
              </w:rPr>
              <w:t>Price</w:t>
            </w:r>
          </w:p>
        </w:tc>
        <w:tc>
          <w:tcPr>
            <w:tcW w:w="4444" w:type="dxa"/>
            <w:vAlign w:val="center"/>
          </w:tcPr>
          <w:p w14:paraId="6EAA395E" w14:textId="77777777" w:rsidR="00B67360" w:rsidRPr="00C47DEA" w:rsidRDefault="00B67360" w:rsidP="00DC6B04">
            <w:r w:rsidRPr="00C47DEA">
              <w:t xml:space="preserve">Based on </w:t>
            </w:r>
            <w:proofErr w:type="gramStart"/>
            <w:r w:rsidRPr="00C47DEA">
              <w:t>cost of service</w:t>
            </w:r>
            <w:proofErr w:type="gramEnd"/>
            <w:r w:rsidRPr="00C47DEA">
              <w:t xml:space="preserve"> delivery.</w:t>
            </w:r>
          </w:p>
        </w:tc>
        <w:tc>
          <w:tcPr>
            <w:tcW w:w="4444" w:type="dxa"/>
            <w:vAlign w:val="center"/>
          </w:tcPr>
          <w:p w14:paraId="1367C61C" w14:textId="77777777" w:rsidR="00B67360" w:rsidRPr="00C47DEA" w:rsidRDefault="00B67360" w:rsidP="00DC6B04">
            <w:r w:rsidRPr="00C47DEA">
              <w:t>Determined using</w:t>
            </w:r>
            <w:r>
              <w:t xml:space="preserve"> a</w:t>
            </w:r>
            <w:r w:rsidRPr="00C47DEA">
              <w:t xml:space="preserve"> combination of cost to achieve outcomes and value of the outcomes.</w:t>
            </w:r>
          </w:p>
        </w:tc>
      </w:tr>
      <w:tr w:rsidR="00B67360" w14:paraId="599FDB3E" w14:textId="77777777" w:rsidTr="00DC6B04">
        <w:tc>
          <w:tcPr>
            <w:tcW w:w="1308" w:type="dxa"/>
            <w:shd w:val="clear" w:color="auto" w:fill="C1E4F5"/>
            <w:vAlign w:val="center"/>
          </w:tcPr>
          <w:p w14:paraId="065C9411" w14:textId="77777777" w:rsidR="00B67360" w:rsidRPr="009C44E8" w:rsidRDefault="00B67360" w:rsidP="00DC6B04">
            <w:pPr>
              <w:rPr>
                <w:b/>
                <w:bCs/>
                <w:color w:val="005A70" w:themeColor="accent1"/>
              </w:rPr>
            </w:pPr>
            <w:r w:rsidRPr="009C44E8">
              <w:rPr>
                <w:b/>
                <w:bCs/>
                <w:color w:val="005A70" w:themeColor="accent1"/>
              </w:rPr>
              <w:t>Financial risk allocation</w:t>
            </w:r>
          </w:p>
        </w:tc>
        <w:tc>
          <w:tcPr>
            <w:tcW w:w="4444" w:type="dxa"/>
            <w:vAlign w:val="center"/>
          </w:tcPr>
          <w:p w14:paraId="28A9000F" w14:textId="77777777" w:rsidR="00B67360" w:rsidRPr="00C47DEA" w:rsidRDefault="00B67360" w:rsidP="00DC6B04">
            <w:r w:rsidRPr="00C47DEA">
              <w:t xml:space="preserve">Lower financial risk for service providers as payments are fixed or </w:t>
            </w:r>
            <w:proofErr w:type="gramStart"/>
            <w:r w:rsidRPr="00C47DEA">
              <w:t>volume-based</w:t>
            </w:r>
            <w:proofErr w:type="gramEnd"/>
            <w:r w:rsidRPr="00C47DEA">
              <w:t>.</w:t>
            </w:r>
          </w:p>
        </w:tc>
        <w:tc>
          <w:tcPr>
            <w:tcW w:w="4444" w:type="dxa"/>
            <w:vAlign w:val="center"/>
          </w:tcPr>
          <w:p w14:paraId="7673F58B" w14:textId="77777777" w:rsidR="00B67360" w:rsidRPr="00C47DEA" w:rsidRDefault="00B67360" w:rsidP="00DC6B04">
            <w:r w:rsidRPr="00C47DEA">
              <w:t>Shared financial risk with service providers for proportion of funding contingent on achieving outcomes.</w:t>
            </w:r>
          </w:p>
        </w:tc>
      </w:tr>
      <w:tr w:rsidR="00B67360" w14:paraId="60775C57" w14:textId="77777777" w:rsidTr="00DC6B04">
        <w:tc>
          <w:tcPr>
            <w:tcW w:w="1308" w:type="dxa"/>
            <w:shd w:val="clear" w:color="auto" w:fill="C1E4F5"/>
            <w:vAlign w:val="center"/>
          </w:tcPr>
          <w:p w14:paraId="64AABC34" w14:textId="77777777" w:rsidR="00B67360" w:rsidRPr="009C44E8" w:rsidRDefault="00B67360" w:rsidP="00DC6B04">
            <w:pPr>
              <w:rPr>
                <w:b/>
                <w:bCs/>
                <w:color w:val="005A70" w:themeColor="accent1"/>
              </w:rPr>
            </w:pPr>
            <w:r w:rsidRPr="009C44E8">
              <w:rPr>
                <w:b/>
                <w:bCs/>
                <w:color w:val="005A70" w:themeColor="accent1"/>
              </w:rPr>
              <w:t>Funding sources</w:t>
            </w:r>
          </w:p>
        </w:tc>
        <w:tc>
          <w:tcPr>
            <w:tcW w:w="4444" w:type="dxa"/>
            <w:vAlign w:val="center"/>
          </w:tcPr>
          <w:p w14:paraId="0502F933" w14:textId="77777777" w:rsidR="00B67360" w:rsidRPr="00C47DEA" w:rsidRDefault="00B67360" w:rsidP="00DC6B04">
            <w:proofErr w:type="gramStart"/>
            <w:r w:rsidRPr="00C47DEA">
              <w:t>Typically</w:t>
            </w:r>
            <w:proofErr w:type="gramEnd"/>
            <w:r w:rsidRPr="00C47DEA">
              <w:t xml:space="preserve"> one source of funding.</w:t>
            </w:r>
          </w:p>
        </w:tc>
        <w:tc>
          <w:tcPr>
            <w:tcW w:w="4444" w:type="dxa"/>
            <w:vAlign w:val="center"/>
          </w:tcPr>
          <w:p w14:paraId="5E1ED8FD" w14:textId="77777777" w:rsidR="00B67360" w:rsidRPr="00C47DEA" w:rsidRDefault="00B67360" w:rsidP="00DC6B04">
            <w:r w:rsidRPr="00C47DEA">
              <w:t>Can involve multiple funders including other commissioners (i.e. philanthropy).</w:t>
            </w:r>
          </w:p>
        </w:tc>
      </w:tr>
    </w:tbl>
    <w:p w14:paraId="5E1E6E2A" w14:textId="77777777" w:rsidR="00B67360" w:rsidRDefault="00B67360" w:rsidP="00B67360">
      <w:pPr>
        <w:pStyle w:val="Heading2"/>
      </w:pPr>
    </w:p>
    <w:p w14:paraId="50752510" w14:textId="77777777" w:rsidR="00B67360" w:rsidRDefault="00B67360" w:rsidP="00B67360">
      <w:pPr>
        <w:spacing w:after="240"/>
        <w:rPr>
          <w:rFonts w:asciiTheme="majorHAnsi" w:eastAsiaTheme="majorEastAsia" w:hAnsiTheme="majorHAnsi" w:cstheme="majorBidi"/>
          <w:bCs/>
          <w:color w:val="005A70" w:themeColor="accent1"/>
          <w:sz w:val="40"/>
          <w:szCs w:val="26"/>
        </w:rPr>
      </w:pPr>
      <w:r>
        <w:br w:type="page"/>
      </w:r>
    </w:p>
    <w:p w14:paraId="391BAE8E" w14:textId="77777777" w:rsidR="00B67360" w:rsidRPr="007F6BAF" w:rsidRDefault="00B67360" w:rsidP="00B67360">
      <w:pPr>
        <w:pStyle w:val="Heading2"/>
      </w:pPr>
      <w:r>
        <w:lastRenderedPageBreak/>
        <w:t>Key concepts related to outcome pricing</w:t>
      </w:r>
    </w:p>
    <w:p w14:paraId="76044BF5" w14:textId="77777777" w:rsidR="00B67360" w:rsidRPr="00DD3A98" w:rsidRDefault="00B67360" w:rsidP="00B67360">
      <w:pPr>
        <w:pStyle w:val="Heading3"/>
      </w:pPr>
      <w:r w:rsidRPr="00DD3A98">
        <w:t>Fixed funding</w:t>
      </w:r>
    </w:p>
    <w:p w14:paraId="1DE2F60F" w14:textId="77777777" w:rsidR="00B67360" w:rsidRDefault="00B67360" w:rsidP="00B67360">
      <w:r w:rsidRPr="00A03B47">
        <w:rPr>
          <w:b/>
          <w:bCs/>
        </w:rPr>
        <w:t>Fixed funding</w:t>
      </w:r>
      <w:r>
        <w:t xml:space="preserve"> refers to the amount of funding under an outcomes-based contract that will be paid regardless of what outcomes are achieved. This funding is used to help cover the </w:t>
      </w:r>
      <w:proofErr w:type="gramStart"/>
      <w:r>
        <w:t>cost of service</w:t>
      </w:r>
      <w:proofErr w:type="gramEnd"/>
      <w:r>
        <w:t xml:space="preserve"> delivery until outcomes are achieved and paid on. </w:t>
      </w:r>
    </w:p>
    <w:p w14:paraId="27066143" w14:textId="77777777" w:rsidR="00B67360" w:rsidRDefault="00B67360" w:rsidP="00B67360">
      <w:pPr>
        <w:sectPr w:rsidR="00B67360" w:rsidSect="00B67360">
          <w:headerReference w:type="default" r:id="rId41"/>
          <w:headerReference w:type="first" r:id="rId42"/>
          <w:footerReference w:type="first" r:id="rId43"/>
          <w:pgSz w:w="11906" w:h="16838"/>
          <w:pgMar w:top="851" w:right="851" w:bottom="851" w:left="851" w:header="0" w:footer="0" w:gutter="0"/>
          <w:pgNumType w:start="2"/>
          <w:cols w:space="708"/>
          <w:titlePg/>
          <w:docGrid w:linePitch="360"/>
        </w:sectPr>
      </w:pPr>
    </w:p>
    <w:p w14:paraId="3ACE0994" w14:textId="77777777" w:rsidR="00B67360" w:rsidRDefault="00B67360" w:rsidP="00B67360">
      <w:r>
        <w:t>The amount of fixed funding also reflects the level of financial risk allocated to a service provider (and other stakeholders in some cases) and should be considered with reference to the policy objectives of the outcomes-based contract.</w:t>
      </w:r>
    </w:p>
    <w:p w14:paraId="0D523C20" w14:textId="77777777" w:rsidR="00B67360" w:rsidRDefault="00B67360" w:rsidP="00B67360">
      <w:r>
        <w:t xml:space="preserve">The amount of fixed funding can vary between having no fixed payments, to having a small proportion linked to outcomes (i.e. ~95% fixed payments). </w:t>
      </w:r>
    </w:p>
    <w:p w14:paraId="26D9446F" w14:textId="77777777" w:rsidR="00B67360" w:rsidRDefault="00B67360" w:rsidP="00B67360">
      <w:r>
        <w:t>Key considerations for determining this amount and, therefore, the financial risk allocated to the service provider include:</w:t>
      </w:r>
    </w:p>
    <w:p w14:paraId="782321A0" w14:textId="77777777" w:rsidR="00B67360" w:rsidRDefault="00B67360" w:rsidP="00B67360">
      <w:pPr>
        <w:pStyle w:val="ListParagraph"/>
      </w:pPr>
      <w:r w:rsidRPr="00A03B47">
        <w:rPr>
          <w:b/>
          <w:bCs/>
        </w:rPr>
        <w:t>Financial capacity of service providers</w:t>
      </w:r>
      <w:r>
        <w:t>: do service providers have the financial reserves to fund the service until the outcomes are achieved and paid on?</w:t>
      </w:r>
    </w:p>
    <w:p w14:paraId="76CDE604" w14:textId="77777777" w:rsidR="00B67360" w:rsidRDefault="00B67360" w:rsidP="00B67360">
      <w:pPr>
        <w:pStyle w:val="ListParagraph"/>
      </w:pPr>
      <w:r w:rsidRPr="00A03B47">
        <w:rPr>
          <w:b/>
          <w:bCs/>
        </w:rPr>
        <w:t>Track record of the service</w:t>
      </w:r>
      <w:r>
        <w:t>: Has the service or a similar intervention model previously achieved the outcomes?</w:t>
      </w:r>
    </w:p>
    <w:p w14:paraId="53FE2110" w14:textId="77777777" w:rsidR="00B67360" w:rsidRDefault="00B67360" w:rsidP="00B67360">
      <w:pPr>
        <w:pStyle w:val="ListParagraph"/>
        <w:rPr>
          <w:b/>
          <w:bCs/>
        </w:rPr>
        <w:sectPr w:rsidR="00B67360" w:rsidSect="00B67360">
          <w:type w:val="continuous"/>
          <w:pgSz w:w="11906" w:h="16838"/>
          <w:pgMar w:top="851" w:right="851" w:bottom="851" w:left="851" w:header="0" w:footer="0" w:gutter="0"/>
          <w:pgNumType w:start="2"/>
          <w:cols w:space="708"/>
          <w:titlePg/>
          <w:docGrid w:linePitch="360"/>
        </w:sectPr>
      </w:pPr>
    </w:p>
    <w:p w14:paraId="57473528" w14:textId="77777777" w:rsidR="00B67360" w:rsidRDefault="00B67360" w:rsidP="00B67360">
      <w:pPr>
        <w:pStyle w:val="ListParagraph"/>
      </w:pPr>
      <w:r w:rsidRPr="00A03B47">
        <w:rPr>
          <w:b/>
          <w:bCs/>
        </w:rPr>
        <w:t>The policy context</w:t>
      </w:r>
      <w:r w:rsidRPr="00A03B47">
        <w:t>: I</w:t>
      </w:r>
      <w:r>
        <w:t>s it appropriate to be shifting this amount of financial risk to service providers operating in this policy area?</w:t>
      </w:r>
    </w:p>
    <w:p w14:paraId="61CF3145" w14:textId="77777777" w:rsidR="00B67360" w:rsidRDefault="00B67360" w:rsidP="00B67360">
      <w:pPr>
        <w:pStyle w:val="ListParagraph"/>
      </w:pPr>
      <w:r w:rsidRPr="00A03B47">
        <w:rPr>
          <w:b/>
          <w:bCs/>
        </w:rPr>
        <w:t>Ability to access external funding</w:t>
      </w:r>
      <w:r w:rsidRPr="00A03B47">
        <w:t>: C</w:t>
      </w:r>
      <w:r>
        <w:t>an service providers access funding from private investors or philanthropic funders to fund the service and share financial risk?</w:t>
      </w:r>
    </w:p>
    <w:p w14:paraId="64A219ED" w14:textId="77777777" w:rsidR="00B67360" w:rsidRDefault="00B67360" w:rsidP="00B67360">
      <w:pPr>
        <w:jc w:val="center"/>
        <w:sectPr w:rsidR="00B67360" w:rsidSect="00B67360">
          <w:type w:val="continuous"/>
          <w:pgSz w:w="11906" w:h="16838"/>
          <w:pgMar w:top="851" w:right="851" w:bottom="851" w:left="851" w:header="0" w:footer="0" w:gutter="0"/>
          <w:pgNumType w:start="2"/>
          <w:cols w:space="708"/>
          <w:titlePg/>
          <w:docGrid w:linePitch="360"/>
        </w:sectPr>
      </w:pPr>
    </w:p>
    <w:p w14:paraId="39C98E96" w14:textId="77777777" w:rsidR="00B67360" w:rsidRDefault="00B67360" w:rsidP="00B67360">
      <w:r>
        <w:rPr>
          <w:noProof/>
        </w:rPr>
        <w:drawing>
          <wp:inline distT="0" distB="0" distL="0" distR="0" wp14:anchorId="0453C9BB" wp14:editId="1D6EBA24">
            <wp:extent cx="3684062" cy="3219450"/>
            <wp:effectExtent l="0" t="0" r="0" b="0"/>
            <wp:docPr id="697939509" name="Picture 4" descr="Bar chart comparing Outcomes Based (L) and Traditional Contracts (R). The chart shows 'Fixed payments' of $4 million in the  L bar, and $4.5million in the R, coloured teal. The L also includes $1m of 'Outcome Payments', coloured blue and a total value of $5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39509" name="Picture 4" descr="Bar chart comparing Outcomes Based (L) and Traditional Contracts (R). The chart shows 'Fixed payments' of $4 million in the  L bar, and $4.5million in the R, coloured teal. The L also includes $1m of 'Outcome Payments', coloured blue and a total value of $5million"/>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87707" cy="3222636"/>
                    </a:xfrm>
                    <a:prstGeom prst="rect">
                      <a:avLst/>
                    </a:prstGeom>
                    <a:noFill/>
                  </pic:spPr>
                </pic:pic>
              </a:graphicData>
            </a:graphic>
          </wp:inline>
        </w:drawing>
      </w:r>
    </w:p>
    <w:p w14:paraId="046FE324" w14:textId="77777777" w:rsidR="00B67360" w:rsidRDefault="00B67360" w:rsidP="00B67360">
      <w:pPr>
        <w:pStyle w:val="Heading3"/>
        <w:sectPr w:rsidR="00B67360" w:rsidSect="00B67360">
          <w:type w:val="continuous"/>
          <w:pgSz w:w="11906" w:h="16838"/>
          <w:pgMar w:top="851" w:right="851" w:bottom="851" w:left="851" w:header="0" w:footer="0" w:gutter="0"/>
          <w:pgNumType w:start="2"/>
          <w:cols w:num="2" w:space="708"/>
          <w:titlePg/>
          <w:docGrid w:linePitch="360"/>
        </w:sectPr>
      </w:pPr>
    </w:p>
    <w:p w14:paraId="53699CF7" w14:textId="77777777" w:rsidR="00B67360" w:rsidRPr="00DD3A98" w:rsidRDefault="00B67360" w:rsidP="00B67360">
      <w:pPr>
        <w:pStyle w:val="Heading3"/>
      </w:pPr>
      <w:r w:rsidRPr="00DD3A98">
        <w:t>Price of an outcome</w:t>
      </w:r>
    </w:p>
    <w:p w14:paraId="15B7951D" w14:textId="77777777" w:rsidR="00B67360" w:rsidRDefault="00B67360" w:rsidP="00B67360">
      <w:r>
        <w:t>The price is the amount agreed by the service provider and commissioner for achievement of agreed outcomes. This is the level of funding that is ‘at risk’ if outcomes are not achieved.</w:t>
      </w:r>
    </w:p>
    <w:p w14:paraId="3EE023CC" w14:textId="77777777" w:rsidR="00B67360" w:rsidRDefault="00B67360" w:rsidP="00B67360">
      <w:r>
        <w:rPr>
          <w:noProof/>
        </w:rPr>
        <w:lastRenderedPageBreak/>
        <w:drawing>
          <wp:inline distT="0" distB="0" distL="0" distR="0" wp14:anchorId="3BE7BB30" wp14:editId="4404FE8C">
            <wp:extent cx="5293820" cy="2914650"/>
            <wp:effectExtent l="0" t="0" r="0" b="0"/>
            <wp:docPr id="2028826389" name="Picture 2" descr="Bar chart showing the relationship between Cost (R, in light blue) at $4.5million, Price in the centre at $5million (in dark teal) and Value (L in mid blue) of $7million.&#10;$7 million is labelled as quantifiable benefits for the commissioner, price the amount paid and cost is labelled service co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26389" name="Picture 2" descr="Bar chart showing the relationship between Cost (R, in light blue) at $4.5million, Price in the centre at $5million (in dark teal) and Value (L in mid blue) of $7million.&#10;$7 million is labelled as quantifiable benefits for the commissioner, price the amount paid and cost is labelled service cost.  "/>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16817" cy="2927312"/>
                    </a:xfrm>
                    <a:prstGeom prst="rect">
                      <a:avLst/>
                    </a:prstGeom>
                    <a:noFill/>
                  </pic:spPr>
                </pic:pic>
              </a:graphicData>
            </a:graphic>
          </wp:inline>
        </w:drawing>
      </w:r>
    </w:p>
    <w:p w14:paraId="37CA0DAB" w14:textId="77777777" w:rsidR="00B67360" w:rsidRDefault="00B67360" w:rsidP="00B67360">
      <w:r>
        <w:t xml:space="preserve">The </w:t>
      </w:r>
      <w:r w:rsidRPr="44402BA1">
        <w:rPr>
          <w:b/>
          <w:bCs/>
        </w:rPr>
        <w:t>price</w:t>
      </w:r>
      <w:r>
        <w:t xml:space="preserve"> is different to the </w:t>
      </w:r>
      <w:r w:rsidRPr="44402BA1">
        <w:rPr>
          <w:b/>
          <w:bCs/>
        </w:rPr>
        <w:t>cost</w:t>
      </w:r>
      <w:r>
        <w:t xml:space="preserve"> to achieve the outcome for the service provider and the </w:t>
      </w:r>
      <w:r w:rsidRPr="44402BA1">
        <w:rPr>
          <w:b/>
          <w:bCs/>
        </w:rPr>
        <w:t>value</w:t>
      </w:r>
      <w:r>
        <w:t xml:space="preserve"> generated for the commissioner. The cost and the value are the bookends for determining the price of an outcome, with the price of an outcome usually being somewhere between. </w:t>
      </w:r>
    </w:p>
    <w:p w14:paraId="5D7B3AAD" w14:textId="77777777" w:rsidR="00B67360" w:rsidRDefault="00B67360" w:rsidP="00B67360">
      <w:r>
        <w:t xml:space="preserve">In determining the price of outcomes, commissioners need to consider the minimum cost needed to deliver a service, without creating undue financial pressure or risks for service providers. Pricing should consider locational differences, for example remote locations may have higher costs. Commissioners should also recognise that different services providers or sectors may have key differences, for example smaller organisations may have higher relative administration costs or may be less able to bear risks than a larger organisation delivering programs nationally.  </w:t>
      </w:r>
    </w:p>
    <w:p w14:paraId="5B86EBB8" w14:textId="77777777" w:rsidR="00B67360" w:rsidRDefault="00B67360" w:rsidP="00B67360">
      <w:r>
        <w:t>Additional considerations for determining price include:</w:t>
      </w:r>
    </w:p>
    <w:p w14:paraId="620DC8C2" w14:textId="77777777" w:rsidR="00B67360" w:rsidRPr="00D93909" w:rsidRDefault="00B67360" w:rsidP="00B67360">
      <w:pPr>
        <w:pStyle w:val="ListParagraph"/>
      </w:pPr>
      <w:r w:rsidRPr="00D93909">
        <w:t xml:space="preserve">The level of certainty about whether the outcomes will be achieved, as service providers may require a higher price with more uncertainty </w:t>
      </w:r>
    </w:p>
    <w:p w14:paraId="45DBAF4A" w14:textId="77777777" w:rsidR="00B67360" w:rsidRPr="00D93909" w:rsidRDefault="00B67360" w:rsidP="00B67360">
      <w:pPr>
        <w:pStyle w:val="ListParagraph"/>
      </w:pPr>
      <w:r w:rsidRPr="00D93909">
        <w:t xml:space="preserve">The complexity and the characteristics of the target cohort, which impacts the level of support </w:t>
      </w:r>
      <w:r>
        <w:t xml:space="preserve">and amount of time </w:t>
      </w:r>
      <w:r w:rsidRPr="00D93909">
        <w:t xml:space="preserve">required to achieve the outcomes and, therefore, the cost of the service   </w:t>
      </w:r>
    </w:p>
    <w:p w14:paraId="17E08A8B" w14:textId="77777777" w:rsidR="00B67360" w:rsidRPr="00D93909" w:rsidRDefault="00B67360" w:rsidP="00B67360">
      <w:pPr>
        <w:pStyle w:val="ListParagraph"/>
      </w:pPr>
      <w:r w:rsidRPr="00D93909">
        <w:t>The timing of payments, as longer-term outcome payments may require interim funding from a private investor or philanthropic funder, which may come with additional costs</w:t>
      </w:r>
    </w:p>
    <w:p w14:paraId="1C2FB61D" w14:textId="77777777" w:rsidR="00B67360" w:rsidRPr="00D93909" w:rsidRDefault="00B67360" w:rsidP="00B67360">
      <w:pPr>
        <w:pStyle w:val="ListParagraph"/>
      </w:pPr>
      <w:r w:rsidRPr="00D93909">
        <w:t>Whether outcomes would have happened anyway, as ideally the price should only reflect ‘additional’ outcomes that are achieved by the service provider</w:t>
      </w:r>
      <w:r>
        <w:t>.</w:t>
      </w:r>
    </w:p>
    <w:p w14:paraId="6D6A322D" w14:textId="77777777" w:rsidR="00B67360" w:rsidRPr="00815510" w:rsidDel="004B7B1D" w:rsidRDefault="00B67360" w:rsidP="00B67360">
      <w:pPr>
        <w:pStyle w:val="Heading3"/>
      </w:pPr>
      <w:r>
        <w:t>Funding cap</w:t>
      </w:r>
    </w:p>
    <w:p w14:paraId="1E13D8AB" w14:textId="77777777" w:rsidR="00B67360" w:rsidDel="004B7B1D" w:rsidRDefault="00B67360" w:rsidP="00B67360">
      <w:r w:rsidDel="004B7B1D">
        <w:t>The cap on funding (or funding envelope) refers to t</w:t>
      </w:r>
      <w:r w:rsidRPr="000275D8" w:rsidDel="004B7B1D">
        <w:t>he maximum amount of funding available</w:t>
      </w:r>
      <w:r>
        <w:t>, which ensures that the commissioner does not pay more than the maximum amount it is prepared to pay for outcomes.</w:t>
      </w:r>
    </w:p>
    <w:p w14:paraId="7A6BD662" w14:textId="77777777" w:rsidR="00B67360" w:rsidRPr="00587E77" w:rsidDel="004B7B1D" w:rsidRDefault="00B67360" w:rsidP="00B67360">
      <w:r w:rsidDel="004B7B1D">
        <w:t xml:space="preserve">The cap is typically higher than the expected funding to be made available to the service provider as it allows service providers to outperform agreed performance targets, whilst ensuring that overall payments made to the service provider are not excessive. </w:t>
      </w:r>
    </w:p>
    <w:p w14:paraId="160C6BA2" w14:textId="77777777" w:rsidR="00B67360" w:rsidRPr="00296555" w:rsidRDefault="00B67360" w:rsidP="00B67360">
      <w:pPr>
        <w:pStyle w:val="Heading3"/>
      </w:pPr>
      <w:r w:rsidRPr="00296555">
        <w:t>Engaging the market on outcome pricing</w:t>
      </w:r>
    </w:p>
    <w:p w14:paraId="7589ED68" w14:textId="77777777" w:rsidR="00B67360" w:rsidRDefault="00B67360" w:rsidP="00B67360">
      <w:r>
        <w:t>There are two ways to engage the market in relation to outcome pricing:</w:t>
      </w:r>
    </w:p>
    <w:p w14:paraId="47659A87" w14:textId="77777777" w:rsidR="00B67360" w:rsidRPr="00D93909" w:rsidRDefault="00B67360" w:rsidP="00B67360">
      <w:pPr>
        <w:pStyle w:val="ListParagraph"/>
      </w:pPr>
      <w:r w:rsidRPr="00D93909">
        <w:rPr>
          <w:b/>
          <w:bCs/>
        </w:rPr>
        <w:lastRenderedPageBreak/>
        <w:t>Commissioner set price:</w:t>
      </w:r>
      <w:r w:rsidRPr="00D93909">
        <w:t xml:space="preserve"> the commissioner defines the price it is willing to pay for a specified outcome and communicates this to the market (e.g., $5,000 per employment outcome sustained for 26 fortnights), which is typically closer to the value. Service providers can then propose pricing and a set of payment terms for their service based on this information and their estimated cost to achieve the outcomes.</w:t>
      </w:r>
    </w:p>
    <w:p w14:paraId="1FE60EAD" w14:textId="77777777" w:rsidR="00B67360" w:rsidRPr="00D93909" w:rsidRDefault="00B67360" w:rsidP="00B67360">
      <w:pPr>
        <w:pStyle w:val="ListParagraph"/>
      </w:pPr>
      <w:r w:rsidRPr="00D93909">
        <w:rPr>
          <w:b/>
          <w:bCs/>
        </w:rPr>
        <w:t>Provider proposed pricing:</w:t>
      </w:r>
      <w:r w:rsidRPr="00D93909">
        <w:t xml:space="preserve"> service providers propose pricing and payment terms based on the cost to achieve the outcomes, with some additional upside to reflect the financial risk taken on by the service provider (and other stakeholders) and the value to the outcome payer.</w:t>
      </w:r>
    </w:p>
    <w:p w14:paraId="57CDD053" w14:textId="77777777" w:rsidR="00B67360" w:rsidRPr="009C44E8" w:rsidRDefault="00B67360" w:rsidP="00B67360">
      <w:pPr>
        <w:pStyle w:val="Heading2"/>
        <w:rPr>
          <w:b/>
          <w:bCs w:val="0"/>
        </w:rPr>
      </w:pPr>
      <w:r w:rsidRPr="009C44E8">
        <w:rPr>
          <w:b/>
          <w:bCs w:val="0"/>
        </w:rPr>
        <w:t xml:space="preserve">Case study: Many Rivers Payment by Outcomes Trial </w:t>
      </w:r>
    </w:p>
    <w:p w14:paraId="0DBDD2F4" w14:textId="77777777" w:rsidR="00B67360" w:rsidRPr="00247B8E" w:rsidRDefault="00B67360" w:rsidP="00B67360">
      <w:pPr>
        <w:sectPr w:rsidR="00B67360" w:rsidRPr="00247B8E" w:rsidSect="00B67360">
          <w:type w:val="continuous"/>
          <w:pgSz w:w="11906" w:h="16838"/>
          <w:pgMar w:top="851" w:right="851" w:bottom="851" w:left="851" w:header="0" w:footer="0" w:gutter="0"/>
          <w:pgNumType w:start="2"/>
          <w:cols w:space="708"/>
          <w:titlePg/>
          <w:docGrid w:linePitch="360"/>
        </w:sectPr>
      </w:pPr>
    </w:p>
    <w:p w14:paraId="4652831A" w14:textId="77777777" w:rsidR="00B67360" w:rsidRDefault="00B67360" w:rsidP="00B67360">
      <w:pPr>
        <w:pStyle w:val="Heading3"/>
        <w:shd w:val="clear" w:color="auto" w:fill="FFFFFF" w:themeFill="background1"/>
      </w:pPr>
      <w:r>
        <w:t>Overview</w:t>
      </w:r>
    </w:p>
    <w:p w14:paraId="667C5994" w14:textId="77777777" w:rsidR="00B67360" w:rsidRDefault="00B67360" w:rsidP="00B67360">
      <w:pPr>
        <w:shd w:val="clear" w:color="auto" w:fill="FFFFFF" w:themeFill="background1"/>
        <w:spacing w:after="160" w:line="278" w:lineRule="auto"/>
      </w:pPr>
      <w:r>
        <w:t>The Many Rivers Payment by Outcomes (PBO) Trial</w:t>
      </w:r>
      <w:r w:rsidRPr="00A57AD2">
        <w:rPr>
          <w:rFonts w:ascii="Arial" w:hAnsi="Arial" w:cs="Arial"/>
        </w:rPr>
        <w:t> </w:t>
      </w:r>
      <w:r>
        <w:t xml:space="preserve">aims to support unemployed or underemployed people into microenterprise development and self-employment. </w:t>
      </w:r>
    </w:p>
    <w:p w14:paraId="4B857A80" w14:textId="77777777" w:rsidR="00B67360" w:rsidRPr="00623B17" w:rsidRDefault="00B67360" w:rsidP="00B67360">
      <w:pPr>
        <w:pStyle w:val="Heading3"/>
      </w:pPr>
      <w:r w:rsidRPr="00623B17">
        <w:t>Outcome measurement</w:t>
      </w:r>
    </w:p>
    <w:p w14:paraId="5AB96461" w14:textId="77777777" w:rsidR="00B67360" w:rsidRDefault="00B67360" w:rsidP="00B67360">
      <w:pPr>
        <w:shd w:val="clear" w:color="auto" w:fill="FFFFFF" w:themeFill="background1"/>
        <w:spacing w:after="160" w:line="278" w:lineRule="auto"/>
      </w:pPr>
      <w:r>
        <w:t>There were two outcome metrics linked to payments:</w:t>
      </w:r>
    </w:p>
    <w:p w14:paraId="154CBBF3" w14:textId="77777777" w:rsidR="00B67360" w:rsidRPr="00D93909" w:rsidRDefault="00B67360" w:rsidP="00B67360">
      <w:pPr>
        <w:pStyle w:val="ListParagraph"/>
        <w:shd w:val="clear" w:color="auto" w:fill="FFFFFF" w:themeFill="background1"/>
      </w:pPr>
      <w:r w:rsidRPr="00D93909">
        <w:t>Business establishments: the number of businesses established by program participants</w:t>
      </w:r>
    </w:p>
    <w:p w14:paraId="3BD32388" w14:textId="77777777" w:rsidR="00B67360" w:rsidRPr="00D93909" w:rsidRDefault="00B67360" w:rsidP="00B67360">
      <w:pPr>
        <w:pStyle w:val="ListParagraph"/>
        <w:shd w:val="clear" w:color="auto" w:fill="FFFFFF" w:themeFill="background1"/>
      </w:pPr>
      <w:r w:rsidRPr="00D93909">
        <w:t xml:space="preserve">Welfare payments: the amount of income support payments received by program participants over a three-year period (compared to the three years </w:t>
      </w:r>
      <w:r>
        <w:t>prior</w:t>
      </w:r>
      <w:r w:rsidRPr="00D93909">
        <w:t xml:space="preserve"> to participating in the program)</w:t>
      </w:r>
    </w:p>
    <w:p w14:paraId="2E06F279" w14:textId="77777777" w:rsidR="00B67360" w:rsidRDefault="00B67360" w:rsidP="00B67360">
      <w:r>
        <w:t xml:space="preserve">The business establishment metric was not measured relative to a counterfactual. Payments were provided at a fixed rate for each business established.  </w:t>
      </w:r>
    </w:p>
    <w:p w14:paraId="5B90CC2B" w14:textId="77777777" w:rsidR="00B67360" w:rsidRDefault="00B67360" w:rsidP="00B67360">
      <w:pPr>
        <w:shd w:val="clear" w:color="auto" w:fill="FFFFFF" w:themeFill="background1"/>
      </w:pPr>
      <w:r>
        <w:t xml:space="preserve">The welfare payment for each individual participant was measured relative to a counterfactual. This compared the amount of income support payments received by each participant in the three years before participating in the program, to the amount of income support received in the three years after participating in the program. </w:t>
      </w:r>
    </w:p>
    <w:p w14:paraId="5CF58102" w14:textId="77777777" w:rsidR="00B67360" w:rsidRDefault="00B67360" w:rsidP="00B67360">
      <w:pPr>
        <w:pStyle w:val="Heading3"/>
      </w:pPr>
      <w:r>
        <w:br w:type="column"/>
      </w:r>
      <w:r>
        <w:t>Pricing</w:t>
      </w:r>
    </w:p>
    <w:p w14:paraId="51631F70" w14:textId="77777777" w:rsidR="00B67360" w:rsidRDefault="00B67360" w:rsidP="00B67360">
      <w:pPr>
        <w:shd w:val="clear" w:color="auto" w:fill="FFFFFF" w:themeFill="background1"/>
        <w:spacing w:after="160" w:line="278" w:lineRule="auto"/>
      </w:pPr>
      <w:r>
        <w:t xml:space="preserve">The payment terms agreed by the commissioner (the Department of Social Services) and Many Rivers at the start of the PBO were as follows: </w:t>
      </w:r>
    </w:p>
    <w:p w14:paraId="62B9F33D" w14:textId="77777777" w:rsidR="00B67360" w:rsidRPr="00D93909" w:rsidRDefault="00B67360" w:rsidP="00B67360">
      <w:pPr>
        <w:pStyle w:val="ListParagraph"/>
        <w:shd w:val="clear" w:color="auto" w:fill="FFFFFF" w:themeFill="background1"/>
      </w:pPr>
      <w:r w:rsidRPr="00D93909">
        <w:t>Cap on funding: a maximum of $3.8 million</w:t>
      </w:r>
      <w:r>
        <w:t xml:space="preserve"> was available under the contract. </w:t>
      </w:r>
    </w:p>
    <w:p w14:paraId="12B5460D" w14:textId="77777777" w:rsidR="00B67360" w:rsidRDefault="00B67360" w:rsidP="00B67360">
      <w:pPr>
        <w:pStyle w:val="ListParagraph"/>
        <w:shd w:val="clear" w:color="auto" w:fill="FFFFFF" w:themeFill="background1"/>
      </w:pPr>
      <w:r w:rsidRPr="00D93909">
        <w:t>Proportion of fixed funding: around 40% of the expected funding ($1.3 million in total)</w:t>
      </w:r>
      <w:r>
        <w:t xml:space="preserve"> was paid up front to support service delivery. </w:t>
      </w:r>
    </w:p>
    <w:p w14:paraId="4F4D20DC" w14:textId="77777777" w:rsidR="00B67360" w:rsidRDefault="00B67360" w:rsidP="00B67360">
      <w:pPr>
        <w:pStyle w:val="ListParagraph"/>
        <w:shd w:val="clear" w:color="auto" w:fill="FFFFFF" w:themeFill="background1"/>
      </w:pPr>
      <w:r>
        <w:t xml:space="preserve">Outcomes Payments: The </w:t>
      </w:r>
      <w:r w:rsidRPr="00D93909">
        <w:t>remaining 60%</w:t>
      </w:r>
      <w:r>
        <w:t xml:space="preserve"> was</w:t>
      </w:r>
      <w:r w:rsidRPr="00D93909">
        <w:t xml:space="preserve"> linked to outcomes </w:t>
      </w:r>
      <w:r>
        <w:t xml:space="preserve">payments </w:t>
      </w:r>
      <w:r w:rsidRPr="00D93909">
        <w:t>($2</w:t>
      </w:r>
      <w:r>
        <w:t> </w:t>
      </w:r>
      <w:r w:rsidRPr="00D93909">
        <w:t>million)</w:t>
      </w:r>
      <w:r>
        <w:t xml:space="preserve"> split across two outcomes metrics. This included: </w:t>
      </w:r>
    </w:p>
    <w:p w14:paraId="5CF28457" w14:textId="77777777" w:rsidR="00B67360" w:rsidRDefault="00B67360" w:rsidP="00B67360">
      <w:pPr>
        <w:pStyle w:val="ListParagraph"/>
        <w:numPr>
          <w:ilvl w:val="1"/>
          <w:numId w:val="18"/>
        </w:numPr>
        <w:shd w:val="clear" w:color="auto" w:fill="FFFFFF" w:themeFill="background1"/>
        <w:ind w:left="851"/>
      </w:pPr>
      <w:r w:rsidRPr="00D93909">
        <w:t xml:space="preserve">$4,500 </w:t>
      </w:r>
      <w:r>
        <w:t xml:space="preserve">was paid for every </w:t>
      </w:r>
      <w:r w:rsidRPr="00D93909">
        <w:t>business established</w:t>
      </w:r>
      <w:r>
        <w:t>;</w:t>
      </w:r>
      <w:r w:rsidRPr="00D93909">
        <w:t xml:space="preserve"> </w:t>
      </w:r>
      <w:r>
        <w:t>and</w:t>
      </w:r>
    </w:p>
    <w:p w14:paraId="5ECBF770" w14:textId="77777777" w:rsidR="00B67360" w:rsidRDefault="00B67360" w:rsidP="00B67360">
      <w:pPr>
        <w:pStyle w:val="ListParagraph"/>
        <w:numPr>
          <w:ilvl w:val="1"/>
          <w:numId w:val="18"/>
        </w:numPr>
        <w:shd w:val="clear" w:color="auto" w:fill="FFFFFF" w:themeFill="background1"/>
        <w:ind w:left="851"/>
      </w:pPr>
      <w:r w:rsidRPr="00754FCA">
        <w:t xml:space="preserve">$0.50 </w:t>
      </w:r>
      <w:r>
        <w:t>of every</w:t>
      </w:r>
      <w:r w:rsidRPr="00754FCA">
        <w:t xml:space="preserve"> $1 of welfare savings recorded</w:t>
      </w:r>
      <w:r>
        <w:t xml:space="preserve"> over three years, was paid to the service provider. </w:t>
      </w:r>
    </w:p>
    <w:p w14:paraId="51E06ADD" w14:textId="77777777" w:rsidR="00B67360" w:rsidRPr="00A87353" w:rsidRDefault="00B67360" w:rsidP="00B67360">
      <w:pPr>
        <w:pStyle w:val="Heading2"/>
        <w:pBdr>
          <w:top w:val="single" w:sz="36" w:space="1" w:color="C1E4F5"/>
          <w:left w:val="single" w:sz="36" w:space="4" w:color="C1E4F5"/>
          <w:bottom w:val="single" w:sz="36" w:space="1" w:color="C1E4F5"/>
          <w:right w:val="single" w:sz="36" w:space="4" w:color="C1E4F5"/>
        </w:pBdr>
        <w:rPr>
          <w:b/>
          <w:bCs w:val="0"/>
        </w:rPr>
      </w:pPr>
      <w:r w:rsidRPr="00A87353">
        <w:rPr>
          <w:b/>
          <w:bCs w:val="0"/>
        </w:rPr>
        <w:t>Learn more</w:t>
      </w:r>
    </w:p>
    <w:p w14:paraId="29707EB2" w14:textId="77777777" w:rsidR="00B67360" w:rsidRPr="009C44E8" w:rsidRDefault="00B67360" w:rsidP="00B67360">
      <w:pPr>
        <w:pStyle w:val="ListParagraph"/>
        <w:pBdr>
          <w:top w:val="single" w:sz="36" w:space="1" w:color="C1E4F5"/>
          <w:left w:val="single" w:sz="36" w:space="4" w:color="C1E4F5"/>
          <w:bottom w:val="single" w:sz="36" w:space="1" w:color="C1E4F5"/>
          <w:right w:val="single" w:sz="36" w:space="4" w:color="C1E4F5"/>
        </w:pBdr>
        <w:rPr>
          <w:b/>
          <w:bCs/>
          <w:sz w:val="18"/>
          <w:szCs w:val="18"/>
        </w:rPr>
      </w:pPr>
      <w:r w:rsidRPr="009C44E8">
        <w:rPr>
          <w:sz w:val="20"/>
          <w:szCs w:val="20"/>
        </w:rPr>
        <w:t xml:space="preserve">Understand the basics of outcomes-based contracting in </w:t>
      </w:r>
      <w:r w:rsidRPr="009C44E8">
        <w:rPr>
          <w:b/>
          <w:bCs/>
          <w:sz w:val="20"/>
          <w:szCs w:val="20"/>
        </w:rPr>
        <w:t xml:space="preserve">Introduction to outcomes-based contracting </w:t>
      </w:r>
    </w:p>
    <w:p w14:paraId="5BB94768" w14:textId="77777777" w:rsidR="00B67360" w:rsidRPr="009C44E8" w:rsidRDefault="00B67360" w:rsidP="00B67360">
      <w:pPr>
        <w:pStyle w:val="ListParagraph"/>
        <w:pBdr>
          <w:top w:val="single" w:sz="36" w:space="1" w:color="C1E4F5"/>
          <w:left w:val="single" w:sz="36" w:space="4" w:color="C1E4F5"/>
          <w:bottom w:val="single" w:sz="36" w:space="1" w:color="C1E4F5"/>
          <w:right w:val="single" w:sz="36" w:space="4" w:color="C1E4F5"/>
        </w:pBdr>
        <w:rPr>
          <w:b/>
          <w:bCs/>
          <w:sz w:val="18"/>
          <w:szCs w:val="18"/>
        </w:rPr>
      </w:pPr>
      <w:r w:rsidRPr="009C44E8">
        <w:rPr>
          <w:sz w:val="20"/>
          <w:szCs w:val="20"/>
        </w:rPr>
        <w:t xml:space="preserve">Define who a service is for in </w:t>
      </w:r>
      <w:r w:rsidRPr="009C44E8">
        <w:rPr>
          <w:b/>
          <w:bCs/>
          <w:sz w:val="20"/>
          <w:szCs w:val="20"/>
        </w:rPr>
        <w:t>Identifying a Target Cohort guidance</w:t>
      </w:r>
    </w:p>
    <w:p w14:paraId="6DF54B54" w14:textId="77777777" w:rsidR="00B67360" w:rsidRPr="009C44E8" w:rsidRDefault="00B67360" w:rsidP="00B67360">
      <w:pPr>
        <w:pStyle w:val="ListParagraph"/>
        <w:pBdr>
          <w:top w:val="single" w:sz="36" w:space="1" w:color="C1E4F5"/>
          <w:left w:val="single" w:sz="36" w:space="4" w:color="C1E4F5"/>
          <w:bottom w:val="single" w:sz="36" w:space="1" w:color="C1E4F5"/>
          <w:right w:val="single" w:sz="36" w:space="4" w:color="C1E4F5"/>
        </w:pBdr>
        <w:rPr>
          <w:b/>
          <w:bCs/>
          <w:sz w:val="18"/>
          <w:szCs w:val="18"/>
        </w:rPr>
      </w:pPr>
      <w:r w:rsidRPr="009C44E8">
        <w:rPr>
          <w:sz w:val="20"/>
          <w:szCs w:val="20"/>
        </w:rPr>
        <w:t xml:space="preserve">Identify indicators of real-world changes in </w:t>
      </w:r>
      <w:r w:rsidRPr="009C44E8">
        <w:rPr>
          <w:b/>
          <w:bCs/>
          <w:sz w:val="20"/>
          <w:szCs w:val="20"/>
        </w:rPr>
        <w:t>Defining Outcome Metrics guidance</w:t>
      </w:r>
    </w:p>
    <w:p w14:paraId="7657BA97" w14:textId="77777777" w:rsidR="00B67360" w:rsidRPr="009C44E8" w:rsidRDefault="00B67360" w:rsidP="00B67360">
      <w:pPr>
        <w:pStyle w:val="ListParagraph"/>
        <w:pBdr>
          <w:top w:val="single" w:sz="36" w:space="1" w:color="C1E4F5"/>
          <w:left w:val="single" w:sz="36" w:space="4" w:color="C1E4F5"/>
          <w:bottom w:val="single" w:sz="36" w:space="1" w:color="C1E4F5"/>
          <w:right w:val="single" w:sz="36" w:space="4" w:color="C1E4F5"/>
        </w:pBdr>
        <w:rPr>
          <w:sz w:val="18"/>
          <w:szCs w:val="18"/>
        </w:rPr>
      </w:pPr>
      <w:r w:rsidRPr="009C44E8">
        <w:rPr>
          <w:sz w:val="20"/>
          <w:szCs w:val="20"/>
        </w:rPr>
        <w:t xml:space="preserve">Develop an approach to assessing impact in </w:t>
      </w:r>
      <w:r w:rsidRPr="009C44E8">
        <w:rPr>
          <w:b/>
          <w:bCs/>
          <w:sz w:val="20"/>
          <w:szCs w:val="20"/>
        </w:rPr>
        <w:t>Understanding Outcome Measurement guidance</w:t>
      </w:r>
    </w:p>
    <w:p w14:paraId="1E9E3469" w14:textId="77777777" w:rsidR="00B67360" w:rsidRPr="009C44E8" w:rsidRDefault="00B67360" w:rsidP="00B67360">
      <w:pPr>
        <w:pStyle w:val="ListParagraph"/>
        <w:pBdr>
          <w:top w:val="single" w:sz="36" w:space="1" w:color="C1E4F5"/>
          <w:left w:val="single" w:sz="36" w:space="4" w:color="C1E4F5"/>
          <w:bottom w:val="single" w:sz="36" w:space="1" w:color="C1E4F5"/>
          <w:right w:val="single" w:sz="36" w:space="4" w:color="C1E4F5"/>
        </w:pBdr>
        <w:rPr>
          <w:b/>
          <w:bCs/>
          <w:sz w:val="18"/>
          <w:szCs w:val="18"/>
        </w:rPr>
      </w:pPr>
      <w:r w:rsidRPr="009C44E8">
        <w:rPr>
          <w:sz w:val="20"/>
          <w:szCs w:val="20"/>
        </w:rPr>
        <w:t xml:space="preserve">Self-assess your readiness for outcomes-based contracting in the </w:t>
      </w:r>
      <w:r w:rsidRPr="009C44E8">
        <w:rPr>
          <w:b/>
          <w:bCs/>
          <w:sz w:val="20"/>
          <w:szCs w:val="20"/>
        </w:rPr>
        <w:t>Readiness Checklist</w:t>
      </w:r>
    </w:p>
    <w:p w14:paraId="364D55DE" w14:textId="77777777" w:rsidR="00B67360" w:rsidRDefault="00B67360" w:rsidP="00B67360">
      <w:pPr>
        <w:pStyle w:val="Smalltext"/>
        <w:jc w:val="right"/>
        <w:rPr>
          <w:lang w:val="en-AU"/>
        </w:rPr>
        <w:sectPr w:rsidR="00B67360" w:rsidSect="00B67360">
          <w:type w:val="continuous"/>
          <w:pgSz w:w="11906" w:h="16838"/>
          <w:pgMar w:top="851" w:right="851" w:bottom="851" w:left="851" w:header="0" w:footer="0" w:gutter="0"/>
          <w:pgNumType w:start="2"/>
          <w:cols w:num="2" w:space="708"/>
          <w:titlePg/>
          <w:docGrid w:linePitch="360"/>
        </w:sectPr>
      </w:pPr>
    </w:p>
    <w:p w14:paraId="4FE4088E" w14:textId="77777777" w:rsidR="00B67360" w:rsidRPr="00ED1335" w:rsidRDefault="00B67360" w:rsidP="00B67360">
      <w:pPr>
        <w:pStyle w:val="Smalltext"/>
        <w:rPr>
          <w:lang w:val="en-AU"/>
        </w:rPr>
      </w:pPr>
    </w:p>
    <w:p w14:paraId="45C2D4CB" w14:textId="77777777" w:rsidR="002A4D16" w:rsidRDefault="002A4D16" w:rsidP="002A4D16">
      <w:pPr>
        <w:pStyle w:val="Crestwithrule"/>
      </w:pPr>
      <w:r>
        <w:rPr>
          <w:lang w:eastAsia="en-AU"/>
        </w:rPr>
        <w:drawing>
          <wp:inline distT="0" distB="0" distL="0" distR="0" wp14:anchorId="08A784C7" wp14:editId="1D9D7D98">
            <wp:extent cx="3235960" cy="768868"/>
            <wp:effectExtent l="0" t="0" r="2540" b="0"/>
            <wp:docPr id="1363103311" name="Picture 1363103311"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5E6A4F21" w14:textId="77777777" w:rsidR="002A4D16" w:rsidRDefault="002A4D16" w:rsidP="002A4D16">
      <w:pPr>
        <w:pStyle w:val="Crestwithrule"/>
      </w:pPr>
    </w:p>
    <w:p w14:paraId="2F6A8798" w14:textId="77777777" w:rsidR="002A4D16" w:rsidRDefault="002A4D16" w:rsidP="002A4D16">
      <w:pPr>
        <w:pStyle w:val="Crestwithrule"/>
        <w:sectPr w:rsidR="002A4D16" w:rsidSect="002A4D16">
          <w:headerReference w:type="default" r:id="rId46"/>
          <w:headerReference w:type="first" r:id="rId47"/>
          <w:footerReference w:type="first" r:id="rId48"/>
          <w:pgSz w:w="11906" w:h="16838"/>
          <w:pgMar w:top="851" w:right="851" w:bottom="1134" w:left="851" w:header="0" w:footer="0" w:gutter="0"/>
          <w:pgNumType w:start="2"/>
          <w:cols w:space="708"/>
          <w:titlePg/>
          <w:docGrid w:linePitch="360"/>
        </w:sectPr>
      </w:pPr>
    </w:p>
    <w:p w14:paraId="24E0AD8F" w14:textId="77777777" w:rsidR="002A4D16" w:rsidRPr="00390BB8" w:rsidRDefault="002A4D16" w:rsidP="002A4D16">
      <w:pPr>
        <w:pStyle w:val="Title"/>
      </w:pPr>
      <w:r w:rsidRPr="00390BB8">
        <w:t xml:space="preserve">Outcomes-Based Contracting </w:t>
      </w:r>
    </w:p>
    <w:p w14:paraId="5A6F0A89" w14:textId="77777777" w:rsidR="002A4D16" w:rsidRPr="00390BB8" w:rsidRDefault="002A4D16" w:rsidP="002A4D16">
      <w:pPr>
        <w:pStyle w:val="Heading1"/>
      </w:pPr>
      <w:r w:rsidRPr="00390BB8">
        <w:t xml:space="preserve">Checklist: Are you ready to take the next step? </w:t>
      </w:r>
    </w:p>
    <w:p w14:paraId="70F3FD76" w14:textId="77777777" w:rsidR="002A4D16" w:rsidRDefault="002A4D16" w:rsidP="002A4D16">
      <w:pPr>
        <w:pStyle w:val="IntroductionQuote"/>
      </w:pPr>
      <w:r w:rsidRPr="00C61BF0">
        <w:t>This checklist is designed to help you self-assess your readiness for outcomes</w:t>
      </w:r>
      <w:r>
        <w:t>-</w:t>
      </w:r>
      <w:r w:rsidRPr="00C61BF0">
        <w:t>based contracting.</w:t>
      </w:r>
      <w:r>
        <w:t xml:space="preserve"> It will highlight areas </w:t>
      </w:r>
      <w:r w:rsidRPr="00346601">
        <w:t>where you are well-prepared and identify aspects that may need further work before you begin your outcomes-based contracting jo</w:t>
      </w:r>
      <w:r>
        <w:t xml:space="preserve">urney. </w:t>
      </w:r>
    </w:p>
    <w:p w14:paraId="5B4F93F2" w14:textId="77777777" w:rsidR="002A4D16" w:rsidRDefault="002A4D16" w:rsidP="002A4D16">
      <w:r w:rsidRPr="00AB60EA">
        <w:t xml:space="preserve">Below the checklist, you’ll find </w:t>
      </w:r>
      <w:r w:rsidRPr="005F3B71">
        <w:t>instructions for interpreting your responses, additional guidance for each question, along with suggested next steps to help you strengthen your readiness.</w:t>
      </w:r>
    </w:p>
    <w:p w14:paraId="16EBA354" w14:textId="77777777" w:rsidR="002A4D16" w:rsidRPr="005F3B71" w:rsidRDefault="002A4D16" w:rsidP="002A4D16">
      <w:r w:rsidRPr="009E6ECE">
        <w:t>This checklist is designed for print or reference purposes and is not an interactive form</w:t>
      </w:r>
      <w:r>
        <w:t>.</w:t>
      </w:r>
    </w:p>
    <w:p w14:paraId="68E57D05" w14:textId="77777777" w:rsidR="002A4D16" w:rsidRDefault="002A4D16" w:rsidP="002A4D16">
      <w:pPr>
        <w:pStyle w:val="Heading2"/>
      </w:pPr>
      <w:r w:rsidRPr="00214726">
        <w:t>Policy objective</w:t>
      </w:r>
    </w:p>
    <w:tbl>
      <w:tblPr>
        <w:tblStyle w:val="TableGrid"/>
        <w:tblW w:w="0" w:type="auto"/>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shd w:val="clear" w:color="auto" w:fill="FFFFFF" w:themeFill="background1"/>
        <w:tblLayout w:type="fixed"/>
        <w:tblLook w:val="04A0" w:firstRow="1" w:lastRow="0" w:firstColumn="1" w:lastColumn="0" w:noHBand="0" w:noVBand="1"/>
      </w:tblPr>
      <w:tblGrid>
        <w:gridCol w:w="6936"/>
        <w:gridCol w:w="1082"/>
        <w:gridCol w:w="1083"/>
        <w:gridCol w:w="1083"/>
      </w:tblGrid>
      <w:tr w:rsidR="002A4D16" w14:paraId="32071994" w14:textId="77777777" w:rsidTr="00DC6B04">
        <w:trPr>
          <w:tblHeader/>
        </w:trPr>
        <w:tc>
          <w:tcPr>
            <w:tcW w:w="6936" w:type="dxa"/>
            <w:shd w:val="clear" w:color="auto" w:fill="156082"/>
          </w:tcPr>
          <w:p w14:paraId="46FA08CD" w14:textId="77777777" w:rsidR="002A4D16" w:rsidRPr="00FC3A4C" w:rsidRDefault="002A4D16" w:rsidP="00DC6B04">
            <w:pPr>
              <w:rPr>
                <w:b/>
                <w:bCs/>
                <w:color w:val="FFFFFF" w:themeColor="background1"/>
              </w:rPr>
            </w:pPr>
            <w:r w:rsidRPr="00FC3A4C">
              <w:rPr>
                <w:b/>
                <w:bCs/>
                <w:color w:val="FFFFFF" w:themeColor="background1"/>
              </w:rPr>
              <w:t>Question</w:t>
            </w:r>
          </w:p>
        </w:tc>
        <w:tc>
          <w:tcPr>
            <w:tcW w:w="1082" w:type="dxa"/>
            <w:shd w:val="clear" w:color="auto" w:fill="156082"/>
          </w:tcPr>
          <w:p w14:paraId="01306E1A" w14:textId="77777777" w:rsidR="002A4D16" w:rsidRPr="00FC3A4C" w:rsidRDefault="002A4D16" w:rsidP="00DC6B04">
            <w:pPr>
              <w:rPr>
                <w:b/>
                <w:bCs/>
                <w:color w:val="FFFFFF" w:themeColor="background1"/>
              </w:rPr>
            </w:pPr>
            <w:r w:rsidRPr="00FC3A4C">
              <w:rPr>
                <w:b/>
                <w:bCs/>
                <w:color w:val="FFFFFF" w:themeColor="background1"/>
              </w:rPr>
              <w:t>Yes</w:t>
            </w:r>
          </w:p>
        </w:tc>
        <w:tc>
          <w:tcPr>
            <w:tcW w:w="1083" w:type="dxa"/>
            <w:shd w:val="clear" w:color="auto" w:fill="156082"/>
          </w:tcPr>
          <w:p w14:paraId="39FC95D1" w14:textId="77777777" w:rsidR="002A4D16" w:rsidRPr="00FC3A4C" w:rsidRDefault="002A4D16" w:rsidP="00DC6B04">
            <w:pPr>
              <w:rPr>
                <w:b/>
                <w:bCs/>
                <w:color w:val="FFFFFF" w:themeColor="background1"/>
              </w:rPr>
            </w:pPr>
            <w:r w:rsidRPr="00FC3A4C">
              <w:rPr>
                <w:b/>
                <w:bCs/>
                <w:color w:val="FFFFFF" w:themeColor="background1"/>
              </w:rPr>
              <w:t>No</w:t>
            </w:r>
          </w:p>
        </w:tc>
        <w:tc>
          <w:tcPr>
            <w:tcW w:w="1083" w:type="dxa"/>
            <w:shd w:val="clear" w:color="auto" w:fill="156082"/>
          </w:tcPr>
          <w:p w14:paraId="2A0C3983" w14:textId="77777777" w:rsidR="002A4D16" w:rsidRPr="00FC3A4C" w:rsidRDefault="002A4D16" w:rsidP="00DC6B04">
            <w:pPr>
              <w:rPr>
                <w:b/>
                <w:bCs/>
                <w:color w:val="FFFFFF" w:themeColor="background1"/>
              </w:rPr>
            </w:pPr>
            <w:r w:rsidRPr="00FC3A4C">
              <w:rPr>
                <w:b/>
                <w:bCs/>
                <w:color w:val="FFFFFF" w:themeColor="background1"/>
              </w:rPr>
              <w:t>Unsure</w:t>
            </w:r>
          </w:p>
        </w:tc>
      </w:tr>
      <w:tr w:rsidR="002A4D16" w14:paraId="0C82DC61" w14:textId="77777777" w:rsidTr="00DC6B04">
        <w:tc>
          <w:tcPr>
            <w:tcW w:w="6936" w:type="dxa"/>
            <w:shd w:val="clear" w:color="auto" w:fill="FFFFFF" w:themeFill="background1"/>
          </w:tcPr>
          <w:p w14:paraId="556D0514" w14:textId="77777777" w:rsidR="002A4D16" w:rsidRPr="002D4C07" w:rsidRDefault="002A4D16" w:rsidP="00DC6B04">
            <w:pPr>
              <w:rPr>
                <w:rFonts w:cstheme="minorHAnsi"/>
              </w:rPr>
            </w:pPr>
            <w:r w:rsidRPr="002D4C07">
              <w:rPr>
                <w:rFonts w:cstheme="minorHAnsi"/>
              </w:rPr>
              <w:t xml:space="preserve">Is there a clearly defined policy objective that outcomes-based contracting will help you achieve? </w:t>
            </w:r>
          </w:p>
        </w:tc>
        <w:tc>
          <w:tcPr>
            <w:tcW w:w="1082" w:type="dxa"/>
            <w:shd w:val="clear" w:color="auto" w:fill="FFFFFF" w:themeFill="background1"/>
            <w:vAlign w:val="center"/>
          </w:tcPr>
          <w:p w14:paraId="5268A097" w14:textId="77777777" w:rsidR="002A4D16" w:rsidRPr="002D4C07" w:rsidRDefault="002A4D16" w:rsidP="00DC6B04">
            <w:pPr>
              <w:rPr>
                <w:rFonts w:cstheme="minorHAnsi"/>
              </w:rPr>
            </w:pPr>
          </w:p>
        </w:tc>
        <w:tc>
          <w:tcPr>
            <w:tcW w:w="1083" w:type="dxa"/>
            <w:shd w:val="clear" w:color="auto" w:fill="FFFFFF" w:themeFill="background1"/>
            <w:vAlign w:val="center"/>
          </w:tcPr>
          <w:p w14:paraId="12E58FE8" w14:textId="77777777" w:rsidR="002A4D16" w:rsidRPr="002D4C07" w:rsidRDefault="002A4D16" w:rsidP="00DC6B04">
            <w:pPr>
              <w:rPr>
                <w:rFonts w:cstheme="minorHAnsi"/>
              </w:rPr>
            </w:pPr>
          </w:p>
        </w:tc>
        <w:tc>
          <w:tcPr>
            <w:tcW w:w="1083" w:type="dxa"/>
            <w:shd w:val="clear" w:color="auto" w:fill="FFFFFF" w:themeFill="background1"/>
            <w:vAlign w:val="center"/>
          </w:tcPr>
          <w:p w14:paraId="0BCE82F6" w14:textId="77777777" w:rsidR="002A4D16" w:rsidRPr="002D4C07" w:rsidRDefault="002A4D16" w:rsidP="00DC6B04">
            <w:pPr>
              <w:rPr>
                <w:rFonts w:cstheme="minorHAnsi"/>
              </w:rPr>
            </w:pPr>
          </w:p>
        </w:tc>
      </w:tr>
    </w:tbl>
    <w:p w14:paraId="134D33E2" w14:textId="77777777" w:rsidR="002A4D16" w:rsidRDefault="002A4D16" w:rsidP="002A4D16">
      <w:pPr>
        <w:pStyle w:val="Heading2"/>
      </w:pPr>
      <w:r w:rsidRPr="002D4C07">
        <w:t>Cohort identification</w:t>
      </w:r>
    </w:p>
    <w:tbl>
      <w:tblPr>
        <w:tblStyle w:val="TableGrid"/>
        <w:tblW w:w="10196"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shd w:val="clear" w:color="auto" w:fill="FFFFFF" w:themeFill="background1"/>
        <w:tblLook w:val="04A0" w:firstRow="1" w:lastRow="0" w:firstColumn="1" w:lastColumn="0" w:noHBand="0" w:noVBand="1"/>
      </w:tblPr>
      <w:tblGrid>
        <w:gridCol w:w="6936"/>
        <w:gridCol w:w="992"/>
        <w:gridCol w:w="1134"/>
        <w:gridCol w:w="1134"/>
      </w:tblGrid>
      <w:tr w:rsidR="002A4D16" w14:paraId="2C97FB7C" w14:textId="77777777" w:rsidTr="00DC6B04">
        <w:trPr>
          <w:tblHeader/>
        </w:trPr>
        <w:tc>
          <w:tcPr>
            <w:tcW w:w="6936" w:type="dxa"/>
            <w:shd w:val="clear" w:color="auto" w:fill="156082"/>
          </w:tcPr>
          <w:p w14:paraId="13CC12E3" w14:textId="77777777" w:rsidR="002A4D16" w:rsidRPr="00FC3A4C" w:rsidRDefault="002A4D16" w:rsidP="00DC6B04">
            <w:pPr>
              <w:rPr>
                <w:b/>
                <w:bCs/>
                <w:color w:val="FFFFFF" w:themeColor="background1"/>
              </w:rPr>
            </w:pPr>
            <w:r w:rsidRPr="00FC3A4C">
              <w:rPr>
                <w:b/>
                <w:bCs/>
                <w:color w:val="FFFFFF" w:themeColor="background1"/>
              </w:rPr>
              <w:t>Question</w:t>
            </w:r>
          </w:p>
        </w:tc>
        <w:tc>
          <w:tcPr>
            <w:tcW w:w="992" w:type="dxa"/>
            <w:shd w:val="clear" w:color="auto" w:fill="156082"/>
          </w:tcPr>
          <w:p w14:paraId="16FD4145" w14:textId="77777777" w:rsidR="002A4D16" w:rsidRPr="00FC3A4C" w:rsidRDefault="002A4D16" w:rsidP="00DC6B04">
            <w:pPr>
              <w:rPr>
                <w:b/>
                <w:bCs/>
                <w:color w:val="FFFFFF" w:themeColor="background1"/>
              </w:rPr>
            </w:pPr>
            <w:r w:rsidRPr="00FC3A4C">
              <w:rPr>
                <w:b/>
                <w:bCs/>
                <w:color w:val="FFFFFF" w:themeColor="background1"/>
              </w:rPr>
              <w:t>Yes</w:t>
            </w:r>
          </w:p>
        </w:tc>
        <w:tc>
          <w:tcPr>
            <w:tcW w:w="1134" w:type="dxa"/>
            <w:shd w:val="clear" w:color="auto" w:fill="156082"/>
          </w:tcPr>
          <w:p w14:paraId="0CBDAD64" w14:textId="77777777" w:rsidR="002A4D16" w:rsidRPr="00FC3A4C" w:rsidRDefault="002A4D16" w:rsidP="00DC6B04">
            <w:pPr>
              <w:rPr>
                <w:b/>
                <w:bCs/>
                <w:color w:val="FFFFFF" w:themeColor="background1"/>
              </w:rPr>
            </w:pPr>
            <w:r w:rsidRPr="00FC3A4C">
              <w:rPr>
                <w:b/>
                <w:bCs/>
                <w:color w:val="FFFFFF" w:themeColor="background1"/>
              </w:rPr>
              <w:t>No</w:t>
            </w:r>
          </w:p>
        </w:tc>
        <w:tc>
          <w:tcPr>
            <w:tcW w:w="1134" w:type="dxa"/>
            <w:shd w:val="clear" w:color="auto" w:fill="156082"/>
          </w:tcPr>
          <w:p w14:paraId="63B18714" w14:textId="77777777" w:rsidR="002A4D16" w:rsidRPr="00FC3A4C" w:rsidRDefault="002A4D16" w:rsidP="00DC6B04">
            <w:pPr>
              <w:rPr>
                <w:b/>
                <w:bCs/>
                <w:color w:val="FFFFFF" w:themeColor="background1"/>
              </w:rPr>
            </w:pPr>
            <w:r w:rsidRPr="00FC3A4C">
              <w:rPr>
                <w:b/>
                <w:bCs/>
                <w:color w:val="FFFFFF" w:themeColor="background1"/>
              </w:rPr>
              <w:t>Unsure</w:t>
            </w:r>
          </w:p>
        </w:tc>
      </w:tr>
      <w:tr w:rsidR="002A4D16" w14:paraId="537980CF" w14:textId="77777777" w:rsidTr="00DC6B04">
        <w:tc>
          <w:tcPr>
            <w:tcW w:w="6936" w:type="dxa"/>
            <w:shd w:val="clear" w:color="auto" w:fill="FFFFFF" w:themeFill="background1"/>
          </w:tcPr>
          <w:p w14:paraId="5D978921" w14:textId="77777777" w:rsidR="002A4D16" w:rsidRPr="002D4C07" w:rsidRDefault="002A4D16" w:rsidP="00DC6B04">
            <w:pPr>
              <w:rPr>
                <w:rFonts w:cstheme="minorHAnsi"/>
              </w:rPr>
            </w:pPr>
            <w:r w:rsidRPr="002D4C07">
              <w:rPr>
                <w:rFonts w:cstheme="minorHAnsi"/>
              </w:rPr>
              <w:t xml:space="preserve">Have you defined your target cohort using </w:t>
            </w:r>
            <w:r>
              <w:rPr>
                <w:rFonts w:cstheme="minorHAnsi"/>
              </w:rPr>
              <w:t>well defined</w:t>
            </w:r>
            <w:r w:rsidRPr="002D4C07">
              <w:rPr>
                <w:rFonts w:cstheme="minorHAnsi"/>
              </w:rPr>
              <w:t xml:space="preserve"> eligibility criteria?</w:t>
            </w:r>
          </w:p>
        </w:tc>
        <w:tc>
          <w:tcPr>
            <w:tcW w:w="992" w:type="dxa"/>
            <w:shd w:val="clear" w:color="auto" w:fill="FFFFFF" w:themeFill="background1"/>
            <w:vAlign w:val="center"/>
          </w:tcPr>
          <w:p w14:paraId="1974A2F6" w14:textId="77777777" w:rsidR="002A4D16" w:rsidRPr="002D4C07" w:rsidRDefault="002A4D16" w:rsidP="00DC6B04">
            <w:pPr>
              <w:rPr>
                <w:rFonts w:cstheme="minorHAnsi"/>
              </w:rPr>
            </w:pPr>
          </w:p>
        </w:tc>
        <w:tc>
          <w:tcPr>
            <w:tcW w:w="1134" w:type="dxa"/>
            <w:shd w:val="clear" w:color="auto" w:fill="FFFFFF" w:themeFill="background1"/>
            <w:vAlign w:val="center"/>
          </w:tcPr>
          <w:p w14:paraId="2A9C8764" w14:textId="77777777" w:rsidR="002A4D16" w:rsidRPr="002D4C07" w:rsidRDefault="002A4D16" w:rsidP="00DC6B04">
            <w:pPr>
              <w:rPr>
                <w:rFonts w:cstheme="minorHAnsi"/>
              </w:rPr>
            </w:pPr>
          </w:p>
        </w:tc>
        <w:tc>
          <w:tcPr>
            <w:tcW w:w="1134" w:type="dxa"/>
            <w:shd w:val="clear" w:color="auto" w:fill="FFFFFF" w:themeFill="background1"/>
            <w:vAlign w:val="center"/>
          </w:tcPr>
          <w:p w14:paraId="5202E0DE" w14:textId="77777777" w:rsidR="002A4D16" w:rsidRPr="002D4C07" w:rsidRDefault="002A4D16" w:rsidP="00DC6B04">
            <w:pPr>
              <w:rPr>
                <w:rFonts w:cstheme="minorHAnsi"/>
              </w:rPr>
            </w:pPr>
          </w:p>
        </w:tc>
      </w:tr>
      <w:tr w:rsidR="002A4D16" w14:paraId="5811F4D3" w14:textId="77777777" w:rsidTr="00DC6B04">
        <w:tc>
          <w:tcPr>
            <w:tcW w:w="6936" w:type="dxa"/>
            <w:shd w:val="clear" w:color="auto" w:fill="FFFFFF" w:themeFill="background1"/>
          </w:tcPr>
          <w:p w14:paraId="774F6F12" w14:textId="77777777" w:rsidR="002A4D16" w:rsidRPr="002D4C07" w:rsidRDefault="002A4D16" w:rsidP="00DC6B04">
            <w:pPr>
              <w:rPr>
                <w:rFonts w:cstheme="minorHAnsi"/>
              </w:rPr>
            </w:pPr>
            <w:r w:rsidRPr="002D4C07">
              <w:rPr>
                <w:rFonts w:cstheme="minorHAnsi"/>
              </w:rPr>
              <w:t xml:space="preserve">Can service providers and referring organisations easily identify and enrol people from the target cohort? </w:t>
            </w:r>
          </w:p>
        </w:tc>
        <w:tc>
          <w:tcPr>
            <w:tcW w:w="992" w:type="dxa"/>
            <w:shd w:val="clear" w:color="auto" w:fill="FFFFFF" w:themeFill="background1"/>
            <w:vAlign w:val="center"/>
          </w:tcPr>
          <w:p w14:paraId="3D64F8A1" w14:textId="77777777" w:rsidR="002A4D16" w:rsidRPr="002D4C07" w:rsidRDefault="002A4D16" w:rsidP="00DC6B04">
            <w:pPr>
              <w:rPr>
                <w:rFonts w:cstheme="minorHAnsi"/>
              </w:rPr>
            </w:pPr>
          </w:p>
        </w:tc>
        <w:tc>
          <w:tcPr>
            <w:tcW w:w="1134" w:type="dxa"/>
            <w:shd w:val="clear" w:color="auto" w:fill="FFFFFF" w:themeFill="background1"/>
            <w:vAlign w:val="center"/>
          </w:tcPr>
          <w:p w14:paraId="65A31253" w14:textId="77777777" w:rsidR="002A4D16" w:rsidRPr="002D4C07" w:rsidRDefault="002A4D16" w:rsidP="00DC6B04">
            <w:pPr>
              <w:rPr>
                <w:rFonts w:cstheme="minorHAnsi"/>
              </w:rPr>
            </w:pPr>
          </w:p>
        </w:tc>
        <w:tc>
          <w:tcPr>
            <w:tcW w:w="1134" w:type="dxa"/>
            <w:shd w:val="clear" w:color="auto" w:fill="FFFFFF" w:themeFill="background1"/>
            <w:vAlign w:val="center"/>
          </w:tcPr>
          <w:p w14:paraId="3C02F230" w14:textId="77777777" w:rsidR="002A4D16" w:rsidRPr="002D4C07" w:rsidRDefault="002A4D16" w:rsidP="00DC6B04">
            <w:pPr>
              <w:rPr>
                <w:rFonts w:cstheme="minorHAnsi"/>
              </w:rPr>
            </w:pPr>
          </w:p>
        </w:tc>
      </w:tr>
      <w:tr w:rsidR="002A4D16" w14:paraId="20F89A60" w14:textId="77777777" w:rsidTr="00DC6B04">
        <w:tc>
          <w:tcPr>
            <w:tcW w:w="6936" w:type="dxa"/>
            <w:shd w:val="clear" w:color="auto" w:fill="FFFFFF" w:themeFill="background1"/>
          </w:tcPr>
          <w:p w14:paraId="43EA373E" w14:textId="77777777" w:rsidR="002A4D16" w:rsidRPr="002D4C07" w:rsidRDefault="002A4D16" w:rsidP="00DC6B04">
            <w:pPr>
              <w:rPr>
                <w:rFonts w:cstheme="minorHAnsi"/>
              </w:rPr>
            </w:pPr>
            <w:r w:rsidRPr="002D4C07">
              <w:rPr>
                <w:rFonts w:cstheme="minorHAnsi"/>
              </w:rPr>
              <w:t>Can your target cohort be identified within existing datasets?</w:t>
            </w:r>
          </w:p>
        </w:tc>
        <w:tc>
          <w:tcPr>
            <w:tcW w:w="992" w:type="dxa"/>
            <w:shd w:val="clear" w:color="auto" w:fill="FFFFFF" w:themeFill="background1"/>
            <w:vAlign w:val="center"/>
          </w:tcPr>
          <w:p w14:paraId="0B561148" w14:textId="77777777" w:rsidR="002A4D16" w:rsidRPr="002D4C07" w:rsidRDefault="002A4D16" w:rsidP="00DC6B04">
            <w:pPr>
              <w:rPr>
                <w:rFonts w:cstheme="minorHAnsi"/>
              </w:rPr>
            </w:pPr>
          </w:p>
        </w:tc>
        <w:tc>
          <w:tcPr>
            <w:tcW w:w="1134" w:type="dxa"/>
            <w:shd w:val="clear" w:color="auto" w:fill="FFFFFF" w:themeFill="background1"/>
            <w:vAlign w:val="center"/>
          </w:tcPr>
          <w:p w14:paraId="7FE19CC4" w14:textId="77777777" w:rsidR="002A4D16" w:rsidRPr="002D4C07" w:rsidRDefault="002A4D16" w:rsidP="00DC6B04">
            <w:pPr>
              <w:rPr>
                <w:rFonts w:cstheme="minorHAnsi"/>
              </w:rPr>
            </w:pPr>
          </w:p>
        </w:tc>
        <w:tc>
          <w:tcPr>
            <w:tcW w:w="1134" w:type="dxa"/>
            <w:shd w:val="clear" w:color="auto" w:fill="FFFFFF" w:themeFill="background1"/>
            <w:vAlign w:val="center"/>
          </w:tcPr>
          <w:p w14:paraId="0D481274" w14:textId="77777777" w:rsidR="002A4D16" w:rsidRPr="002D4C07" w:rsidRDefault="002A4D16" w:rsidP="00DC6B04">
            <w:pPr>
              <w:rPr>
                <w:rFonts w:cstheme="minorHAnsi"/>
              </w:rPr>
            </w:pPr>
          </w:p>
        </w:tc>
      </w:tr>
      <w:tr w:rsidR="002A4D16" w14:paraId="3673E0B8" w14:textId="77777777" w:rsidTr="00DC6B04">
        <w:tc>
          <w:tcPr>
            <w:tcW w:w="6936" w:type="dxa"/>
            <w:shd w:val="clear" w:color="auto" w:fill="FFFFFF" w:themeFill="background1"/>
          </w:tcPr>
          <w:p w14:paraId="7C470B1F" w14:textId="77777777" w:rsidR="002A4D16" w:rsidRPr="002D4C07" w:rsidRDefault="002A4D16" w:rsidP="00DC6B04">
            <w:pPr>
              <w:rPr>
                <w:rFonts w:cstheme="minorHAnsi"/>
              </w:rPr>
            </w:pPr>
            <w:r w:rsidRPr="002D4C07">
              <w:rPr>
                <w:rFonts w:cstheme="minorHAnsi"/>
              </w:rPr>
              <w:t>Have you estimated the size of your target cohort?</w:t>
            </w:r>
          </w:p>
        </w:tc>
        <w:tc>
          <w:tcPr>
            <w:tcW w:w="992" w:type="dxa"/>
            <w:shd w:val="clear" w:color="auto" w:fill="FFFFFF" w:themeFill="background1"/>
            <w:vAlign w:val="center"/>
          </w:tcPr>
          <w:p w14:paraId="4C829195" w14:textId="77777777" w:rsidR="002A4D16" w:rsidRPr="002D4C07" w:rsidRDefault="002A4D16" w:rsidP="00DC6B04">
            <w:pPr>
              <w:rPr>
                <w:rFonts w:cstheme="minorHAnsi"/>
              </w:rPr>
            </w:pPr>
          </w:p>
        </w:tc>
        <w:tc>
          <w:tcPr>
            <w:tcW w:w="1134" w:type="dxa"/>
            <w:shd w:val="clear" w:color="auto" w:fill="FFFFFF" w:themeFill="background1"/>
            <w:vAlign w:val="center"/>
          </w:tcPr>
          <w:p w14:paraId="4817DB91" w14:textId="77777777" w:rsidR="002A4D16" w:rsidRPr="002D4C07" w:rsidRDefault="002A4D16" w:rsidP="00DC6B04">
            <w:pPr>
              <w:rPr>
                <w:rFonts w:cstheme="minorHAnsi"/>
              </w:rPr>
            </w:pPr>
          </w:p>
        </w:tc>
        <w:tc>
          <w:tcPr>
            <w:tcW w:w="1134" w:type="dxa"/>
            <w:shd w:val="clear" w:color="auto" w:fill="FFFFFF" w:themeFill="background1"/>
            <w:vAlign w:val="center"/>
          </w:tcPr>
          <w:p w14:paraId="564F2CBB" w14:textId="77777777" w:rsidR="002A4D16" w:rsidRPr="002D4C07" w:rsidRDefault="002A4D16" w:rsidP="00DC6B04">
            <w:pPr>
              <w:rPr>
                <w:rFonts w:cstheme="minorHAnsi"/>
              </w:rPr>
            </w:pPr>
          </w:p>
        </w:tc>
      </w:tr>
      <w:tr w:rsidR="002A4D16" w14:paraId="2CF51323" w14:textId="77777777" w:rsidTr="00DC6B04">
        <w:tc>
          <w:tcPr>
            <w:tcW w:w="6936" w:type="dxa"/>
            <w:shd w:val="clear" w:color="auto" w:fill="FFFFFF" w:themeFill="background1"/>
          </w:tcPr>
          <w:p w14:paraId="1680C412" w14:textId="77777777" w:rsidR="002A4D16" w:rsidRPr="002D4C07" w:rsidRDefault="002A4D16" w:rsidP="00DC6B04">
            <w:pPr>
              <w:rPr>
                <w:rFonts w:cstheme="minorHAnsi"/>
              </w:rPr>
            </w:pPr>
            <w:r w:rsidRPr="002D4C07">
              <w:rPr>
                <w:rFonts w:cstheme="minorHAnsi"/>
              </w:rPr>
              <w:t xml:space="preserve">Is your target cohort large enough to support your policy objectives and achieve meaningful results? </w:t>
            </w:r>
          </w:p>
        </w:tc>
        <w:tc>
          <w:tcPr>
            <w:tcW w:w="992" w:type="dxa"/>
            <w:shd w:val="clear" w:color="auto" w:fill="FFFFFF" w:themeFill="background1"/>
            <w:vAlign w:val="center"/>
          </w:tcPr>
          <w:p w14:paraId="64EE961E" w14:textId="77777777" w:rsidR="002A4D16" w:rsidRPr="002D4C07" w:rsidRDefault="002A4D16" w:rsidP="00DC6B04">
            <w:pPr>
              <w:rPr>
                <w:rFonts w:cstheme="minorHAnsi"/>
              </w:rPr>
            </w:pPr>
          </w:p>
        </w:tc>
        <w:tc>
          <w:tcPr>
            <w:tcW w:w="1134" w:type="dxa"/>
            <w:shd w:val="clear" w:color="auto" w:fill="FFFFFF" w:themeFill="background1"/>
            <w:vAlign w:val="center"/>
          </w:tcPr>
          <w:p w14:paraId="3001E3DA" w14:textId="77777777" w:rsidR="002A4D16" w:rsidRPr="002D4C07" w:rsidRDefault="002A4D16" w:rsidP="00DC6B04">
            <w:pPr>
              <w:rPr>
                <w:rFonts w:cstheme="minorHAnsi"/>
              </w:rPr>
            </w:pPr>
          </w:p>
        </w:tc>
        <w:tc>
          <w:tcPr>
            <w:tcW w:w="1134" w:type="dxa"/>
            <w:shd w:val="clear" w:color="auto" w:fill="FFFFFF" w:themeFill="background1"/>
            <w:vAlign w:val="center"/>
          </w:tcPr>
          <w:p w14:paraId="538EEBB3" w14:textId="77777777" w:rsidR="002A4D16" w:rsidRPr="002D4C07" w:rsidRDefault="002A4D16" w:rsidP="00DC6B04">
            <w:pPr>
              <w:rPr>
                <w:rFonts w:cstheme="minorHAnsi"/>
              </w:rPr>
            </w:pPr>
          </w:p>
        </w:tc>
      </w:tr>
    </w:tbl>
    <w:p w14:paraId="50EBE8C6" w14:textId="77777777" w:rsidR="002A4D16" w:rsidRDefault="002A4D16" w:rsidP="002A4D16">
      <w:pPr>
        <w:pStyle w:val="Heading2"/>
      </w:pPr>
    </w:p>
    <w:p w14:paraId="054DE394" w14:textId="77777777" w:rsidR="002A4D16" w:rsidRDefault="002A4D16" w:rsidP="002A4D16">
      <w:pPr>
        <w:spacing w:after="240"/>
        <w:rPr>
          <w:rFonts w:asciiTheme="majorHAnsi" w:eastAsiaTheme="majorEastAsia" w:hAnsiTheme="majorHAnsi" w:cstheme="majorBidi"/>
          <w:bCs/>
          <w:color w:val="005A70" w:themeColor="accent1"/>
          <w:sz w:val="40"/>
          <w:szCs w:val="26"/>
        </w:rPr>
      </w:pPr>
      <w:r>
        <w:br w:type="page"/>
      </w:r>
    </w:p>
    <w:p w14:paraId="18204A9B" w14:textId="77777777" w:rsidR="002A4D16" w:rsidRDefault="002A4D16" w:rsidP="002A4D16">
      <w:pPr>
        <w:pStyle w:val="Heading2"/>
      </w:pPr>
      <w:r w:rsidRPr="002D4C07">
        <w:lastRenderedPageBreak/>
        <w:t>Outcome measurement</w:t>
      </w:r>
    </w:p>
    <w:tbl>
      <w:tblPr>
        <w:tblStyle w:val="TableGrid"/>
        <w:tblW w:w="10196"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shd w:val="clear" w:color="auto" w:fill="FFFFFF" w:themeFill="background1"/>
        <w:tblLook w:val="04A0" w:firstRow="1" w:lastRow="0" w:firstColumn="1" w:lastColumn="0" w:noHBand="0" w:noVBand="1"/>
      </w:tblPr>
      <w:tblGrid>
        <w:gridCol w:w="6936"/>
        <w:gridCol w:w="992"/>
        <w:gridCol w:w="1134"/>
        <w:gridCol w:w="1134"/>
      </w:tblGrid>
      <w:tr w:rsidR="002A4D16" w14:paraId="338B9D6F" w14:textId="77777777" w:rsidTr="00DC6B04">
        <w:trPr>
          <w:tblHeader/>
        </w:trPr>
        <w:tc>
          <w:tcPr>
            <w:tcW w:w="6936" w:type="dxa"/>
            <w:shd w:val="clear" w:color="auto" w:fill="156082"/>
          </w:tcPr>
          <w:p w14:paraId="29DAEBBC" w14:textId="77777777" w:rsidR="002A4D16" w:rsidRPr="00FC3A4C" w:rsidRDefault="002A4D16" w:rsidP="00DC6B04">
            <w:pPr>
              <w:rPr>
                <w:b/>
                <w:bCs/>
                <w:color w:val="FFFFFF" w:themeColor="background1"/>
              </w:rPr>
            </w:pPr>
            <w:r w:rsidRPr="00FC3A4C">
              <w:rPr>
                <w:b/>
                <w:bCs/>
                <w:color w:val="FFFFFF" w:themeColor="background1"/>
              </w:rPr>
              <w:t>Question</w:t>
            </w:r>
          </w:p>
        </w:tc>
        <w:tc>
          <w:tcPr>
            <w:tcW w:w="992" w:type="dxa"/>
            <w:shd w:val="clear" w:color="auto" w:fill="156082"/>
          </w:tcPr>
          <w:p w14:paraId="4E925374" w14:textId="77777777" w:rsidR="002A4D16" w:rsidRPr="00FC3A4C" w:rsidRDefault="002A4D16" w:rsidP="00DC6B04">
            <w:pPr>
              <w:rPr>
                <w:b/>
                <w:bCs/>
                <w:color w:val="FFFFFF" w:themeColor="background1"/>
              </w:rPr>
            </w:pPr>
            <w:r w:rsidRPr="00FC3A4C">
              <w:rPr>
                <w:b/>
                <w:bCs/>
                <w:color w:val="FFFFFF" w:themeColor="background1"/>
              </w:rPr>
              <w:t>Yes</w:t>
            </w:r>
          </w:p>
        </w:tc>
        <w:tc>
          <w:tcPr>
            <w:tcW w:w="1134" w:type="dxa"/>
            <w:shd w:val="clear" w:color="auto" w:fill="156082"/>
          </w:tcPr>
          <w:p w14:paraId="5E985FE8" w14:textId="77777777" w:rsidR="002A4D16" w:rsidRPr="00FC3A4C" w:rsidRDefault="002A4D16" w:rsidP="00DC6B04">
            <w:pPr>
              <w:rPr>
                <w:b/>
                <w:bCs/>
                <w:color w:val="FFFFFF" w:themeColor="background1"/>
              </w:rPr>
            </w:pPr>
            <w:r w:rsidRPr="00FC3A4C">
              <w:rPr>
                <w:b/>
                <w:bCs/>
                <w:color w:val="FFFFFF" w:themeColor="background1"/>
              </w:rPr>
              <w:t>No</w:t>
            </w:r>
          </w:p>
        </w:tc>
        <w:tc>
          <w:tcPr>
            <w:tcW w:w="1134" w:type="dxa"/>
            <w:shd w:val="clear" w:color="auto" w:fill="156082"/>
          </w:tcPr>
          <w:p w14:paraId="16A42E29" w14:textId="77777777" w:rsidR="002A4D16" w:rsidRPr="00FC3A4C" w:rsidRDefault="002A4D16" w:rsidP="00DC6B04">
            <w:pPr>
              <w:rPr>
                <w:b/>
                <w:bCs/>
                <w:color w:val="FFFFFF" w:themeColor="background1"/>
              </w:rPr>
            </w:pPr>
            <w:r w:rsidRPr="00FC3A4C">
              <w:rPr>
                <w:b/>
                <w:bCs/>
                <w:color w:val="FFFFFF" w:themeColor="background1"/>
              </w:rPr>
              <w:t>Unsure</w:t>
            </w:r>
          </w:p>
        </w:tc>
      </w:tr>
      <w:tr w:rsidR="002A4D16" w14:paraId="4DFBEF05" w14:textId="77777777" w:rsidTr="00DC6B04">
        <w:tc>
          <w:tcPr>
            <w:tcW w:w="6936" w:type="dxa"/>
            <w:shd w:val="clear" w:color="auto" w:fill="FFFFFF" w:themeFill="background1"/>
          </w:tcPr>
          <w:p w14:paraId="0E236A31" w14:textId="77777777" w:rsidR="002A4D16" w:rsidRPr="002D4C07" w:rsidRDefault="002A4D16" w:rsidP="00DC6B04">
            <w:pPr>
              <w:rPr>
                <w:rFonts w:cstheme="minorHAnsi"/>
              </w:rPr>
            </w:pPr>
            <w:r w:rsidRPr="002D4C07">
              <w:rPr>
                <w:rFonts w:cstheme="minorHAnsi"/>
              </w:rPr>
              <w:t>Have you identified outcome metrics that are aligned with your policy objectives?</w:t>
            </w:r>
          </w:p>
        </w:tc>
        <w:tc>
          <w:tcPr>
            <w:tcW w:w="992" w:type="dxa"/>
            <w:shd w:val="clear" w:color="auto" w:fill="FFFFFF" w:themeFill="background1"/>
            <w:vAlign w:val="center"/>
          </w:tcPr>
          <w:p w14:paraId="7FAD9C7C" w14:textId="77777777" w:rsidR="002A4D16" w:rsidRPr="002D4C07" w:rsidRDefault="002A4D16" w:rsidP="00DC6B04">
            <w:pPr>
              <w:rPr>
                <w:rFonts w:cstheme="minorHAnsi"/>
              </w:rPr>
            </w:pPr>
          </w:p>
        </w:tc>
        <w:tc>
          <w:tcPr>
            <w:tcW w:w="1134" w:type="dxa"/>
            <w:shd w:val="clear" w:color="auto" w:fill="FFFFFF" w:themeFill="background1"/>
            <w:vAlign w:val="center"/>
          </w:tcPr>
          <w:p w14:paraId="42593436" w14:textId="77777777" w:rsidR="002A4D16" w:rsidRPr="002D4C07" w:rsidRDefault="002A4D16" w:rsidP="00DC6B04">
            <w:pPr>
              <w:rPr>
                <w:rFonts w:cstheme="minorHAnsi"/>
              </w:rPr>
            </w:pPr>
          </w:p>
        </w:tc>
        <w:tc>
          <w:tcPr>
            <w:tcW w:w="1134" w:type="dxa"/>
            <w:shd w:val="clear" w:color="auto" w:fill="FFFFFF" w:themeFill="background1"/>
            <w:vAlign w:val="center"/>
          </w:tcPr>
          <w:p w14:paraId="7334DC7F" w14:textId="77777777" w:rsidR="002A4D16" w:rsidRPr="002D4C07" w:rsidRDefault="002A4D16" w:rsidP="00DC6B04">
            <w:pPr>
              <w:rPr>
                <w:rFonts w:cstheme="minorHAnsi"/>
              </w:rPr>
            </w:pPr>
          </w:p>
        </w:tc>
      </w:tr>
      <w:tr w:rsidR="002A4D16" w14:paraId="2CD55F10" w14:textId="77777777" w:rsidTr="00DC6B04">
        <w:tc>
          <w:tcPr>
            <w:tcW w:w="6936" w:type="dxa"/>
            <w:shd w:val="clear" w:color="auto" w:fill="FFFFFF" w:themeFill="background1"/>
          </w:tcPr>
          <w:p w14:paraId="550D6875" w14:textId="77777777" w:rsidR="002A4D16" w:rsidRPr="002D4C07" w:rsidRDefault="002A4D16" w:rsidP="00DC6B04">
            <w:pPr>
              <w:rPr>
                <w:rFonts w:cstheme="minorHAnsi"/>
              </w:rPr>
            </w:pPr>
            <w:r w:rsidRPr="002D4C07">
              <w:rPr>
                <w:rFonts w:cstheme="minorHAnsi"/>
              </w:rPr>
              <w:t>Have you identified outcome metrics that are linked to payments (i.e., payment metrics)?</w:t>
            </w:r>
          </w:p>
        </w:tc>
        <w:tc>
          <w:tcPr>
            <w:tcW w:w="992" w:type="dxa"/>
            <w:shd w:val="clear" w:color="auto" w:fill="FFFFFF" w:themeFill="background1"/>
            <w:vAlign w:val="center"/>
          </w:tcPr>
          <w:p w14:paraId="7E6D41F1" w14:textId="77777777" w:rsidR="002A4D16" w:rsidRPr="002D4C07" w:rsidRDefault="002A4D16" w:rsidP="00DC6B04">
            <w:pPr>
              <w:rPr>
                <w:rFonts w:cstheme="minorHAnsi"/>
              </w:rPr>
            </w:pPr>
          </w:p>
        </w:tc>
        <w:tc>
          <w:tcPr>
            <w:tcW w:w="1134" w:type="dxa"/>
            <w:shd w:val="clear" w:color="auto" w:fill="FFFFFF" w:themeFill="background1"/>
            <w:vAlign w:val="center"/>
          </w:tcPr>
          <w:p w14:paraId="4087BAE7" w14:textId="77777777" w:rsidR="002A4D16" w:rsidRPr="002D4C07" w:rsidRDefault="002A4D16" w:rsidP="00DC6B04">
            <w:pPr>
              <w:rPr>
                <w:rFonts w:cstheme="minorHAnsi"/>
              </w:rPr>
            </w:pPr>
          </w:p>
        </w:tc>
        <w:tc>
          <w:tcPr>
            <w:tcW w:w="1134" w:type="dxa"/>
            <w:shd w:val="clear" w:color="auto" w:fill="FFFFFF" w:themeFill="background1"/>
            <w:vAlign w:val="center"/>
          </w:tcPr>
          <w:p w14:paraId="321A0F9A" w14:textId="77777777" w:rsidR="002A4D16" w:rsidRPr="002D4C07" w:rsidRDefault="002A4D16" w:rsidP="00DC6B04">
            <w:pPr>
              <w:rPr>
                <w:rFonts w:cstheme="minorHAnsi"/>
              </w:rPr>
            </w:pPr>
          </w:p>
        </w:tc>
      </w:tr>
      <w:tr w:rsidR="002A4D16" w14:paraId="6268283D" w14:textId="77777777" w:rsidTr="00DC6B04">
        <w:tc>
          <w:tcPr>
            <w:tcW w:w="6936" w:type="dxa"/>
            <w:shd w:val="clear" w:color="auto" w:fill="FFFFFF" w:themeFill="background1"/>
          </w:tcPr>
          <w:p w14:paraId="10ACB3AB" w14:textId="77777777" w:rsidR="002A4D16" w:rsidRPr="002D4C07" w:rsidRDefault="002A4D16" w:rsidP="00DC6B04">
            <w:pPr>
              <w:rPr>
                <w:rFonts w:cstheme="minorHAnsi"/>
              </w:rPr>
            </w:pPr>
            <w:r w:rsidRPr="002D4C07">
              <w:rPr>
                <w:rFonts w:cstheme="minorHAnsi"/>
              </w:rPr>
              <w:t>Are your payment metrics unambiguous and can be objectively determined?</w:t>
            </w:r>
          </w:p>
        </w:tc>
        <w:tc>
          <w:tcPr>
            <w:tcW w:w="992" w:type="dxa"/>
            <w:shd w:val="clear" w:color="auto" w:fill="FFFFFF" w:themeFill="background1"/>
            <w:vAlign w:val="center"/>
          </w:tcPr>
          <w:p w14:paraId="4C756C34" w14:textId="77777777" w:rsidR="002A4D16" w:rsidRPr="002D4C07" w:rsidRDefault="002A4D16" w:rsidP="00DC6B04">
            <w:pPr>
              <w:rPr>
                <w:rFonts w:cstheme="minorHAnsi"/>
              </w:rPr>
            </w:pPr>
          </w:p>
        </w:tc>
        <w:tc>
          <w:tcPr>
            <w:tcW w:w="1134" w:type="dxa"/>
            <w:shd w:val="clear" w:color="auto" w:fill="FFFFFF" w:themeFill="background1"/>
            <w:vAlign w:val="center"/>
          </w:tcPr>
          <w:p w14:paraId="4FC4F2DD" w14:textId="77777777" w:rsidR="002A4D16" w:rsidRPr="002D4C07" w:rsidRDefault="002A4D16" w:rsidP="00DC6B04">
            <w:pPr>
              <w:rPr>
                <w:rFonts w:cstheme="minorHAnsi"/>
              </w:rPr>
            </w:pPr>
          </w:p>
        </w:tc>
        <w:tc>
          <w:tcPr>
            <w:tcW w:w="1134" w:type="dxa"/>
            <w:shd w:val="clear" w:color="auto" w:fill="FFFFFF" w:themeFill="background1"/>
            <w:vAlign w:val="center"/>
          </w:tcPr>
          <w:p w14:paraId="51A5D84F" w14:textId="77777777" w:rsidR="002A4D16" w:rsidRPr="002D4C07" w:rsidRDefault="002A4D16" w:rsidP="00DC6B04">
            <w:pPr>
              <w:rPr>
                <w:rFonts w:cstheme="minorHAnsi"/>
              </w:rPr>
            </w:pPr>
          </w:p>
        </w:tc>
      </w:tr>
      <w:tr w:rsidR="002A4D16" w14:paraId="6BC1C936" w14:textId="77777777" w:rsidTr="00DC6B04">
        <w:tc>
          <w:tcPr>
            <w:tcW w:w="6936" w:type="dxa"/>
            <w:shd w:val="clear" w:color="auto" w:fill="FFFFFF" w:themeFill="background1"/>
          </w:tcPr>
          <w:p w14:paraId="50DC8852" w14:textId="77777777" w:rsidR="002A4D16" w:rsidRPr="002D4C07" w:rsidRDefault="002A4D16" w:rsidP="00DC6B04">
            <w:pPr>
              <w:rPr>
                <w:rFonts w:cstheme="minorHAnsi"/>
              </w:rPr>
            </w:pPr>
            <w:r w:rsidRPr="002D4C07">
              <w:rPr>
                <w:rFonts w:cstheme="minorHAnsi"/>
              </w:rPr>
              <w:t>Do you (or service providers) have access to existing data sources to measure your payment metrics?</w:t>
            </w:r>
          </w:p>
        </w:tc>
        <w:tc>
          <w:tcPr>
            <w:tcW w:w="992" w:type="dxa"/>
            <w:shd w:val="clear" w:color="auto" w:fill="FFFFFF" w:themeFill="background1"/>
            <w:vAlign w:val="center"/>
          </w:tcPr>
          <w:p w14:paraId="37669BAA" w14:textId="77777777" w:rsidR="002A4D16" w:rsidRPr="002D4C07" w:rsidRDefault="002A4D16" w:rsidP="00DC6B04">
            <w:pPr>
              <w:rPr>
                <w:rFonts w:cstheme="minorHAnsi"/>
              </w:rPr>
            </w:pPr>
          </w:p>
        </w:tc>
        <w:tc>
          <w:tcPr>
            <w:tcW w:w="1134" w:type="dxa"/>
            <w:shd w:val="clear" w:color="auto" w:fill="FFFFFF" w:themeFill="background1"/>
            <w:vAlign w:val="center"/>
          </w:tcPr>
          <w:p w14:paraId="766E957B" w14:textId="77777777" w:rsidR="002A4D16" w:rsidRPr="002D4C07" w:rsidRDefault="002A4D16" w:rsidP="00DC6B04">
            <w:pPr>
              <w:rPr>
                <w:rFonts w:cstheme="minorHAnsi"/>
              </w:rPr>
            </w:pPr>
          </w:p>
        </w:tc>
        <w:tc>
          <w:tcPr>
            <w:tcW w:w="1134" w:type="dxa"/>
            <w:shd w:val="clear" w:color="auto" w:fill="FFFFFF" w:themeFill="background1"/>
            <w:vAlign w:val="center"/>
          </w:tcPr>
          <w:p w14:paraId="0B698FE4" w14:textId="77777777" w:rsidR="002A4D16" w:rsidRPr="002D4C07" w:rsidRDefault="002A4D16" w:rsidP="00DC6B04">
            <w:pPr>
              <w:rPr>
                <w:rFonts w:cstheme="minorHAnsi"/>
              </w:rPr>
            </w:pPr>
          </w:p>
        </w:tc>
      </w:tr>
      <w:tr w:rsidR="002A4D16" w14:paraId="01F868BB" w14:textId="77777777" w:rsidTr="00DC6B04">
        <w:tc>
          <w:tcPr>
            <w:tcW w:w="6936" w:type="dxa"/>
            <w:shd w:val="clear" w:color="auto" w:fill="FFFFFF" w:themeFill="background1"/>
          </w:tcPr>
          <w:p w14:paraId="0450FCFB" w14:textId="77777777" w:rsidR="002A4D16" w:rsidRPr="002D4C07" w:rsidRDefault="002A4D16" w:rsidP="00DC6B04">
            <w:pPr>
              <w:rPr>
                <w:rFonts w:cstheme="minorHAnsi"/>
              </w:rPr>
            </w:pPr>
            <w:r w:rsidRPr="002D4C07">
              <w:rPr>
                <w:rFonts w:cstheme="minorHAnsi"/>
              </w:rPr>
              <w:t>Do your payment metrics create the right behaviours and avoid unintended consequences?</w:t>
            </w:r>
          </w:p>
        </w:tc>
        <w:tc>
          <w:tcPr>
            <w:tcW w:w="992" w:type="dxa"/>
            <w:shd w:val="clear" w:color="auto" w:fill="FFFFFF" w:themeFill="background1"/>
            <w:vAlign w:val="center"/>
          </w:tcPr>
          <w:p w14:paraId="3205CD13" w14:textId="77777777" w:rsidR="002A4D16" w:rsidRPr="002D4C07" w:rsidRDefault="002A4D16" w:rsidP="00DC6B04">
            <w:pPr>
              <w:rPr>
                <w:rFonts w:cstheme="minorHAnsi"/>
              </w:rPr>
            </w:pPr>
          </w:p>
        </w:tc>
        <w:tc>
          <w:tcPr>
            <w:tcW w:w="1134" w:type="dxa"/>
            <w:shd w:val="clear" w:color="auto" w:fill="FFFFFF" w:themeFill="background1"/>
            <w:vAlign w:val="center"/>
          </w:tcPr>
          <w:p w14:paraId="23992BF8" w14:textId="77777777" w:rsidR="002A4D16" w:rsidRPr="002D4C07" w:rsidRDefault="002A4D16" w:rsidP="00DC6B04">
            <w:pPr>
              <w:rPr>
                <w:rFonts w:cstheme="minorHAnsi"/>
              </w:rPr>
            </w:pPr>
          </w:p>
        </w:tc>
        <w:tc>
          <w:tcPr>
            <w:tcW w:w="1134" w:type="dxa"/>
            <w:shd w:val="clear" w:color="auto" w:fill="FFFFFF" w:themeFill="background1"/>
            <w:vAlign w:val="center"/>
          </w:tcPr>
          <w:p w14:paraId="4638894F" w14:textId="77777777" w:rsidR="002A4D16" w:rsidRPr="002D4C07" w:rsidRDefault="002A4D16" w:rsidP="00DC6B04">
            <w:pPr>
              <w:rPr>
                <w:rFonts w:cstheme="minorHAnsi"/>
              </w:rPr>
            </w:pPr>
          </w:p>
        </w:tc>
      </w:tr>
      <w:tr w:rsidR="002A4D16" w14:paraId="76A06931" w14:textId="77777777" w:rsidTr="00DC6B04">
        <w:tc>
          <w:tcPr>
            <w:tcW w:w="6936" w:type="dxa"/>
            <w:shd w:val="clear" w:color="auto" w:fill="FFFFFF" w:themeFill="background1"/>
          </w:tcPr>
          <w:p w14:paraId="31D676EC" w14:textId="77777777" w:rsidR="002A4D16" w:rsidRPr="002D4C07" w:rsidRDefault="002A4D16" w:rsidP="00DC6B04">
            <w:pPr>
              <w:rPr>
                <w:rFonts w:cstheme="minorHAnsi"/>
              </w:rPr>
            </w:pPr>
            <w:r w:rsidRPr="002D4C07">
              <w:rPr>
                <w:rFonts w:cstheme="minorHAnsi"/>
              </w:rPr>
              <w:t>Do you have a clear method for determining how much impact is attributable to the service?</w:t>
            </w:r>
          </w:p>
        </w:tc>
        <w:tc>
          <w:tcPr>
            <w:tcW w:w="992" w:type="dxa"/>
            <w:shd w:val="clear" w:color="auto" w:fill="FFFFFF" w:themeFill="background1"/>
            <w:vAlign w:val="center"/>
          </w:tcPr>
          <w:p w14:paraId="0B9CFCEE" w14:textId="77777777" w:rsidR="002A4D16" w:rsidRPr="002D4C07" w:rsidRDefault="002A4D16" w:rsidP="00DC6B04">
            <w:pPr>
              <w:rPr>
                <w:rFonts w:cstheme="minorHAnsi"/>
              </w:rPr>
            </w:pPr>
          </w:p>
        </w:tc>
        <w:tc>
          <w:tcPr>
            <w:tcW w:w="1134" w:type="dxa"/>
            <w:shd w:val="clear" w:color="auto" w:fill="FFFFFF" w:themeFill="background1"/>
            <w:vAlign w:val="center"/>
          </w:tcPr>
          <w:p w14:paraId="209FDBA1" w14:textId="77777777" w:rsidR="002A4D16" w:rsidRPr="002D4C07" w:rsidRDefault="002A4D16" w:rsidP="00DC6B04">
            <w:pPr>
              <w:rPr>
                <w:rFonts w:cstheme="minorHAnsi"/>
              </w:rPr>
            </w:pPr>
          </w:p>
        </w:tc>
        <w:tc>
          <w:tcPr>
            <w:tcW w:w="1134" w:type="dxa"/>
            <w:shd w:val="clear" w:color="auto" w:fill="FFFFFF" w:themeFill="background1"/>
            <w:vAlign w:val="center"/>
          </w:tcPr>
          <w:p w14:paraId="2FB96690" w14:textId="77777777" w:rsidR="002A4D16" w:rsidRPr="002D4C07" w:rsidRDefault="002A4D16" w:rsidP="00DC6B04">
            <w:pPr>
              <w:rPr>
                <w:rFonts w:cstheme="minorHAnsi"/>
              </w:rPr>
            </w:pPr>
          </w:p>
        </w:tc>
      </w:tr>
    </w:tbl>
    <w:p w14:paraId="02F07690" w14:textId="77777777" w:rsidR="002A4D16" w:rsidRDefault="002A4D16" w:rsidP="002A4D16">
      <w:pPr>
        <w:pStyle w:val="Heading2"/>
      </w:pPr>
      <w:r w:rsidRPr="002D4C07">
        <w:t>Outcome pricing</w:t>
      </w:r>
    </w:p>
    <w:tbl>
      <w:tblPr>
        <w:tblStyle w:val="TableGrid"/>
        <w:tblW w:w="10196"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shd w:val="clear" w:color="auto" w:fill="FFFFFF" w:themeFill="background1"/>
        <w:tblLook w:val="04A0" w:firstRow="1" w:lastRow="0" w:firstColumn="1" w:lastColumn="0" w:noHBand="0" w:noVBand="1"/>
      </w:tblPr>
      <w:tblGrid>
        <w:gridCol w:w="6936"/>
        <w:gridCol w:w="992"/>
        <w:gridCol w:w="1134"/>
        <w:gridCol w:w="1134"/>
      </w:tblGrid>
      <w:tr w:rsidR="002A4D16" w14:paraId="5C378485" w14:textId="77777777" w:rsidTr="00DC6B04">
        <w:trPr>
          <w:tblHeader/>
        </w:trPr>
        <w:tc>
          <w:tcPr>
            <w:tcW w:w="6936" w:type="dxa"/>
            <w:shd w:val="clear" w:color="auto" w:fill="156082"/>
          </w:tcPr>
          <w:p w14:paraId="5E012C3B" w14:textId="77777777" w:rsidR="002A4D16" w:rsidRPr="00FC3A4C" w:rsidRDefault="002A4D16" w:rsidP="00DC6B04">
            <w:pPr>
              <w:rPr>
                <w:b/>
                <w:bCs/>
                <w:color w:val="FFFFFF" w:themeColor="background1"/>
              </w:rPr>
            </w:pPr>
            <w:r w:rsidRPr="00FC3A4C">
              <w:rPr>
                <w:b/>
                <w:bCs/>
                <w:color w:val="FFFFFF" w:themeColor="background1"/>
              </w:rPr>
              <w:t>Question</w:t>
            </w:r>
          </w:p>
        </w:tc>
        <w:tc>
          <w:tcPr>
            <w:tcW w:w="992" w:type="dxa"/>
            <w:shd w:val="clear" w:color="auto" w:fill="156082"/>
          </w:tcPr>
          <w:p w14:paraId="6E0ABCEF" w14:textId="77777777" w:rsidR="002A4D16" w:rsidRPr="00FC3A4C" w:rsidRDefault="002A4D16" w:rsidP="00DC6B04">
            <w:pPr>
              <w:rPr>
                <w:b/>
                <w:bCs/>
                <w:color w:val="FFFFFF" w:themeColor="background1"/>
              </w:rPr>
            </w:pPr>
            <w:r w:rsidRPr="00FC3A4C">
              <w:rPr>
                <w:b/>
                <w:bCs/>
                <w:color w:val="FFFFFF" w:themeColor="background1"/>
              </w:rPr>
              <w:t>Yes</w:t>
            </w:r>
          </w:p>
        </w:tc>
        <w:tc>
          <w:tcPr>
            <w:tcW w:w="1134" w:type="dxa"/>
            <w:shd w:val="clear" w:color="auto" w:fill="156082"/>
          </w:tcPr>
          <w:p w14:paraId="2CFF0414" w14:textId="77777777" w:rsidR="002A4D16" w:rsidRPr="00FC3A4C" w:rsidRDefault="002A4D16" w:rsidP="00DC6B04">
            <w:pPr>
              <w:rPr>
                <w:b/>
                <w:bCs/>
                <w:color w:val="FFFFFF" w:themeColor="background1"/>
              </w:rPr>
            </w:pPr>
            <w:r w:rsidRPr="00FC3A4C">
              <w:rPr>
                <w:b/>
                <w:bCs/>
                <w:color w:val="FFFFFF" w:themeColor="background1"/>
              </w:rPr>
              <w:t>No</w:t>
            </w:r>
          </w:p>
        </w:tc>
        <w:tc>
          <w:tcPr>
            <w:tcW w:w="1134" w:type="dxa"/>
            <w:shd w:val="clear" w:color="auto" w:fill="156082"/>
          </w:tcPr>
          <w:p w14:paraId="4E4C326E" w14:textId="77777777" w:rsidR="002A4D16" w:rsidRPr="00FC3A4C" w:rsidRDefault="002A4D16" w:rsidP="00DC6B04">
            <w:pPr>
              <w:rPr>
                <w:b/>
                <w:bCs/>
                <w:color w:val="FFFFFF" w:themeColor="background1"/>
              </w:rPr>
            </w:pPr>
            <w:r w:rsidRPr="00FC3A4C">
              <w:rPr>
                <w:b/>
                <w:bCs/>
                <w:color w:val="FFFFFF" w:themeColor="background1"/>
              </w:rPr>
              <w:t>Unsure</w:t>
            </w:r>
          </w:p>
        </w:tc>
      </w:tr>
      <w:tr w:rsidR="002A4D16" w14:paraId="3A1848E5" w14:textId="77777777" w:rsidTr="00DC6B04">
        <w:tc>
          <w:tcPr>
            <w:tcW w:w="6936" w:type="dxa"/>
            <w:shd w:val="clear" w:color="auto" w:fill="FFFFFF" w:themeFill="background1"/>
          </w:tcPr>
          <w:p w14:paraId="58E3C4FF" w14:textId="77777777" w:rsidR="002A4D16" w:rsidRPr="002D4C07" w:rsidRDefault="002A4D16" w:rsidP="00DC6B04">
            <w:pPr>
              <w:rPr>
                <w:rFonts w:cstheme="minorHAnsi"/>
              </w:rPr>
            </w:pPr>
            <w:r w:rsidRPr="002D4C07">
              <w:rPr>
                <w:rFonts w:cstheme="minorHAnsi"/>
              </w:rPr>
              <w:t>Do you have enough information to set fair and realistic prices for outcomes?</w:t>
            </w:r>
          </w:p>
        </w:tc>
        <w:tc>
          <w:tcPr>
            <w:tcW w:w="992" w:type="dxa"/>
            <w:shd w:val="clear" w:color="auto" w:fill="FFFFFF" w:themeFill="background1"/>
            <w:vAlign w:val="center"/>
          </w:tcPr>
          <w:p w14:paraId="35094CF2" w14:textId="77777777" w:rsidR="002A4D16" w:rsidRPr="002D4C07" w:rsidRDefault="002A4D16" w:rsidP="00DC6B04">
            <w:pPr>
              <w:rPr>
                <w:rFonts w:cstheme="minorHAnsi"/>
              </w:rPr>
            </w:pPr>
          </w:p>
        </w:tc>
        <w:tc>
          <w:tcPr>
            <w:tcW w:w="1134" w:type="dxa"/>
            <w:shd w:val="clear" w:color="auto" w:fill="FFFFFF" w:themeFill="background1"/>
            <w:vAlign w:val="center"/>
          </w:tcPr>
          <w:p w14:paraId="40D99F61" w14:textId="77777777" w:rsidR="002A4D16" w:rsidRPr="002D4C07" w:rsidRDefault="002A4D16" w:rsidP="00DC6B04">
            <w:pPr>
              <w:rPr>
                <w:rFonts w:cstheme="minorHAnsi"/>
              </w:rPr>
            </w:pPr>
          </w:p>
        </w:tc>
        <w:tc>
          <w:tcPr>
            <w:tcW w:w="1134" w:type="dxa"/>
            <w:shd w:val="clear" w:color="auto" w:fill="FFFFFF" w:themeFill="background1"/>
            <w:vAlign w:val="center"/>
          </w:tcPr>
          <w:p w14:paraId="77C4204E" w14:textId="77777777" w:rsidR="002A4D16" w:rsidRPr="002D4C07" w:rsidRDefault="002A4D16" w:rsidP="00DC6B04">
            <w:pPr>
              <w:rPr>
                <w:rFonts w:cstheme="minorHAnsi"/>
              </w:rPr>
            </w:pPr>
          </w:p>
        </w:tc>
      </w:tr>
      <w:tr w:rsidR="002A4D16" w14:paraId="76B20BD2" w14:textId="77777777" w:rsidTr="00DC6B04">
        <w:tc>
          <w:tcPr>
            <w:tcW w:w="6936" w:type="dxa"/>
            <w:shd w:val="clear" w:color="auto" w:fill="FFFFFF" w:themeFill="background1"/>
          </w:tcPr>
          <w:p w14:paraId="50B15D12" w14:textId="77777777" w:rsidR="002A4D16" w:rsidRPr="002D4C07" w:rsidRDefault="002A4D16" w:rsidP="00DC6B04">
            <w:pPr>
              <w:rPr>
                <w:rFonts w:cstheme="minorHAnsi"/>
              </w:rPr>
            </w:pPr>
            <w:r w:rsidRPr="002D4C07">
              <w:rPr>
                <w:rFonts w:cstheme="minorHAnsi"/>
              </w:rPr>
              <w:t>Do you have a view of the outcomes funding parameters (i.e., maximum funding, minimum funding, proportion of fixed funding)?</w:t>
            </w:r>
          </w:p>
        </w:tc>
        <w:tc>
          <w:tcPr>
            <w:tcW w:w="992" w:type="dxa"/>
            <w:shd w:val="clear" w:color="auto" w:fill="FFFFFF" w:themeFill="background1"/>
            <w:vAlign w:val="center"/>
          </w:tcPr>
          <w:p w14:paraId="3F4C5A40" w14:textId="77777777" w:rsidR="002A4D16" w:rsidRPr="002D4C07" w:rsidRDefault="002A4D16" w:rsidP="00DC6B04">
            <w:pPr>
              <w:rPr>
                <w:rFonts w:cstheme="minorHAnsi"/>
              </w:rPr>
            </w:pPr>
          </w:p>
        </w:tc>
        <w:tc>
          <w:tcPr>
            <w:tcW w:w="1134" w:type="dxa"/>
            <w:shd w:val="clear" w:color="auto" w:fill="FFFFFF" w:themeFill="background1"/>
            <w:vAlign w:val="center"/>
          </w:tcPr>
          <w:p w14:paraId="6F2F1380" w14:textId="77777777" w:rsidR="002A4D16" w:rsidRPr="002D4C07" w:rsidRDefault="002A4D16" w:rsidP="00DC6B04">
            <w:pPr>
              <w:rPr>
                <w:rFonts w:cstheme="minorHAnsi"/>
              </w:rPr>
            </w:pPr>
          </w:p>
        </w:tc>
        <w:tc>
          <w:tcPr>
            <w:tcW w:w="1134" w:type="dxa"/>
            <w:shd w:val="clear" w:color="auto" w:fill="FFFFFF" w:themeFill="background1"/>
            <w:vAlign w:val="center"/>
          </w:tcPr>
          <w:p w14:paraId="7C0C15EC" w14:textId="77777777" w:rsidR="002A4D16" w:rsidRPr="002D4C07" w:rsidRDefault="002A4D16" w:rsidP="00DC6B04">
            <w:pPr>
              <w:rPr>
                <w:rFonts w:cstheme="minorHAnsi"/>
              </w:rPr>
            </w:pPr>
          </w:p>
        </w:tc>
      </w:tr>
      <w:tr w:rsidR="002A4D16" w14:paraId="5D251469" w14:textId="77777777" w:rsidTr="00DC6B04">
        <w:tc>
          <w:tcPr>
            <w:tcW w:w="6936" w:type="dxa"/>
            <w:shd w:val="clear" w:color="auto" w:fill="FFFFFF" w:themeFill="background1"/>
          </w:tcPr>
          <w:p w14:paraId="277C78B1" w14:textId="77777777" w:rsidR="002A4D16" w:rsidRPr="002D4C07" w:rsidRDefault="002A4D16" w:rsidP="00DC6B04">
            <w:pPr>
              <w:rPr>
                <w:rFonts w:cstheme="minorHAnsi"/>
              </w:rPr>
            </w:pPr>
            <w:r w:rsidRPr="002D4C07">
              <w:rPr>
                <w:rFonts w:cstheme="minorHAnsi"/>
              </w:rPr>
              <w:t>Have you considered how payments will reflect the additional impact created by the service (and not due to other existing services or external factors)?</w:t>
            </w:r>
          </w:p>
        </w:tc>
        <w:tc>
          <w:tcPr>
            <w:tcW w:w="992" w:type="dxa"/>
            <w:shd w:val="clear" w:color="auto" w:fill="FFFFFF" w:themeFill="background1"/>
            <w:vAlign w:val="center"/>
          </w:tcPr>
          <w:p w14:paraId="6D2EEC73" w14:textId="77777777" w:rsidR="002A4D16" w:rsidRPr="002D4C07" w:rsidRDefault="002A4D16" w:rsidP="00DC6B04">
            <w:pPr>
              <w:rPr>
                <w:rFonts w:cstheme="minorHAnsi"/>
              </w:rPr>
            </w:pPr>
          </w:p>
        </w:tc>
        <w:tc>
          <w:tcPr>
            <w:tcW w:w="1134" w:type="dxa"/>
            <w:shd w:val="clear" w:color="auto" w:fill="FFFFFF" w:themeFill="background1"/>
            <w:vAlign w:val="center"/>
          </w:tcPr>
          <w:p w14:paraId="3C31E2ED" w14:textId="77777777" w:rsidR="002A4D16" w:rsidRPr="002D4C07" w:rsidRDefault="002A4D16" w:rsidP="00DC6B04">
            <w:pPr>
              <w:rPr>
                <w:rFonts w:cstheme="minorHAnsi"/>
              </w:rPr>
            </w:pPr>
          </w:p>
        </w:tc>
        <w:tc>
          <w:tcPr>
            <w:tcW w:w="1134" w:type="dxa"/>
            <w:shd w:val="clear" w:color="auto" w:fill="FFFFFF" w:themeFill="background1"/>
            <w:vAlign w:val="center"/>
          </w:tcPr>
          <w:p w14:paraId="60DB6E58" w14:textId="77777777" w:rsidR="002A4D16" w:rsidRPr="002D4C07" w:rsidRDefault="002A4D16" w:rsidP="00DC6B04">
            <w:pPr>
              <w:rPr>
                <w:rFonts w:cstheme="minorHAnsi"/>
              </w:rPr>
            </w:pPr>
          </w:p>
        </w:tc>
      </w:tr>
    </w:tbl>
    <w:p w14:paraId="728CF64E" w14:textId="77777777" w:rsidR="002A4D16" w:rsidRDefault="002A4D16" w:rsidP="002A4D16">
      <w:pPr>
        <w:pStyle w:val="Heading2"/>
      </w:pPr>
      <w:r w:rsidRPr="002D4C07">
        <w:t>Implementation</w:t>
      </w:r>
    </w:p>
    <w:tbl>
      <w:tblPr>
        <w:tblStyle w:val="TableGrid"/>
        <w:tblW w:w="10196" w:type="dxa"/>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shd w:val="clear" w:color="auto" w:fill="FFFFFF" w:themeFill="background1"/>
        <w:tblLook w:val="04A0" w:firstRow="1" w:lastRow="0" w:firstColumn="1" w:lastColumn="0" w:noHBand="0" w:noVBand="1"/>
      </w:tblPr>
      <w:tblGrid>
        <w:gridCol w:w="6936"/>
        <w:gridCol w:w="992"/>
        <w:gridCol w:w="1134"/>
        <w:gridCol w:w="1134"/>
      </w:tblGrid>
      <w:tr w:rsidR="002A4D16" w14:paraId="661D9E02" w14:textId="77777777" w:rsidTr="00DC6B04">
        <w:trPr>
          <w:tblHeader/>
        </w:trPr>
        <w:tc>
          <w:tcPr>
            <w:tcW w:w="6936" w:type="dxa"/>
            <w:shd w:val="clear" w:color="auto" w:fill="156082"/>
          </w:tcPr>
          <w:p w14:paraId="24D1F956" w14:textId="77777777" w:rsidR="002A4D16" w:rsidRPr="00FC3A4C" w:rsidRDefault="002A4D16" w:rsidP="00DC6B04">
            <w:pPr>
              <w:rPr>
                <w:b/>
                <w:bCs/>
                <w:color w:val="FFFFFF" w:themeColor="background1"/>
              </w:rPr>
            </w:pPr>
            <w:r w:rsidRPr="00FC3A4C">
              <w:rPr>
                <w:b/>
                <w:bCs/>
                <w:color w:val="FFFFFF" w:themeColor="background1"/>
              </w:rPr>
              <w:t>Question</w:t>
            </w:r>
          </w:p>
        </w:tc>
        <w:tc>
          <w:tcPr>
            <w:tcW w:w="992" w:type="dxa"/>
            <w:shd w:val="clear" w:color="auto" w:fill="156082"/>
          </w:tcPr>
          <w:p w14:paraId="26571A68" w14:textId="77777777" w:rsidR="002A4D16" w:rsidRPr="00FC3A4C" w:rsidRDefault="002A4D16" w:rsidP="00DC6B04">
            <w:pPr>
              <w:rPr>
                <w:b/>
                <w:bCs/>
                <w:color w:val="FFFFFF" w:themeColor="background1"/>
              </w:rPr>
            </w:pPr>
            <w:r w:rsidRPr="00FC3A4C">
              <w:rPr>
                <w:b/>
                <w:bCs/>
                <w:color w:val="FFFFFF" w:themeColor="background1"/>
              </w:rPr>
              <w:t>Yes</w:t>
            </w:r>
          </w:p>
        </w:tc>
        <w:tc>
          <w:tcPr>
            <w:tcW w:w="1134" w:type="dxa"/>
            <w:shd w:val="clear" w:color="auto" w:fill="156082"/>
          </w:tcPr>
          <w:p w14:paraId="769CCA2A" w14:textId="77777777" w:rsidR="002A4D16" w:rsidRPr="00FC3A4C" w:rsidRDefault="002A4D16" w:rsidP="00DC6B04">
            <w:pPr>
              <w:rPr>
                <w:b/>
                <w:bCs/>
                <w:color w:val="FFFFFF" w:themeColor="background1"/>
              </w:rPr>
            </w:pPr>
            <w:r w:rsidRPr="00FC3A4C">
              <w:rPr>
                <w:b/>
                <w:bCs/>
                <w:color w:val="FFFFFF" w:themeColor="background1"/>
              </w:rPr>
              <w:t>No</w:t>
            </w:r>
          </w:p>
        </w:tc>
        <w:tc>
          <w:tcPr>
            <w:tcW w:w="1134" w:type="dxa"/>
            <w:shd w:val="clear" w:color="auto" w:fill="156082"/>
          </w:tcPr>
          <w:p w14:paraId="7804AAE9" w14:textId="77777777" w:rsidR="002A4D16" w:rsidRPr="00FC3A4C" w:rsidRDefault="002A4D16" w:rsidP="00DC6B04">
            <w:pPr>
              <w:rPr>
                <w:b/>
                <w:bCs/>
                <w:color w:val="FFFFFF" w:themeColor="background1"/>
              </w:rPr>
            </w:pPr>
            <w:r w:rsidRPr="00FC3A4C">
              <w:rPr>
                <w:b/>
                <w:bCs/>
                <w:color w:val="FFFFFF" w:themeColor="background1"/>
              </w:rPr>
              <w:t>Unsure</w:t>
            </w:r>
          </w:p>
        </w:tc>
      </w:tr>
      <w:tr w:rsidR="002A4D16" w14:paraId="4DCB6DCB" w14:textId="77777777" w:rsidTr="00DC6B04">
        <w:trPr>
          <w:trHeight w:val="300"/>
        </w:trPr>
        <w:tc>
          <w:tcPr>
            <w:tcW w:w="6936" w:type="dxa"/>
            <w:tcBorders>
              <w:top w:val="single" w:sz="8" w:space="0" w:color="156082"/>
              <w:left w:val="single" w:sz="8" w:space="0" w:color="156082"/>
              <w:bottom w:val="single" w:sz="8" w:space="0" w:color="156082"/>
              <w:right w:val="single" w:sz="8" w:space="0" w:color="156082"/>
            </w:tcBorders>
          </w:tcPr>
          <w:p w14:paraId="1943AC30" w14:textId="77777777" w:rsidR="002A4D16" w:rsidRPr="002D4C07" w:rsidRDefault="002A4D16" w:rsidP="00DC6B04">
            <w:r w:rsidRPr="21A49F04">
              <w:t>Does your organisation have the capabilities required to support outcomes-based contracting?</w:t>
            </w:r>
          </w:p>
        </w:tc>
        <w:tc>
          <w:tcPr>
            <w:tcW w:w="992" w:type="dxa"/>
            <w:tcBorders>
              <w:top w:val="single" w:sz="8" w:space="0" w:color="156082"/>
              <w:left w:val="single" w:sz="8" w:space="0" w:color="156082"/>
              <w:bottom w:val="single" w:sz="8" w:space="0" w:color="156082"/>
              <w:right w:val="single" w:sz="8" w:space="0" w:color="156082"/>
            </w:tcBorders>
            <w:vAlign w:val="center"/>
          </w:tcPr>
          <w:p w14:paraId="543171C5" w14:textId="77777777" w:rsidR="002A4D16" w:rsidRDefault="002A4D16" w:rsidP="00DC6B04"/>
        </w:tc>
        <w:tc>
          <w:tcPr>
            <w:tcW w:w="1134" w:type="dxa"/>
            <w:tcBorders>
              <w:top w:val="single" w:sz="8" w:space="0" w:color="156082"/>
              <w:left w:val="single" w:sz="8" w:space="0" w:color="156082"/>
              <w:bottom w:val="single" w:sz="8" w:space="0" w:color="156082"/>
              <w:right w:val="single" w:sz="8" w:space="0" w:color="156082"/>
            </w:tcBorders>
            <w:vAlign w:val="center"/>
          </w:tcPr>
          <w:p w14:paraId="07E68596" w14:textId="77777777" w:rsidR="002A4D16" w:rsidRDefault="002A4D16" w:rsidP="00DC6B04"/>
        </w:tc>
        <w:tc>
          <w:tcPr>
            <w:tcW w:w="1134" w:type="dxa"/>
            <w:tcBorders>
              <w:top w:val="single" w:sz="8" w:space="0" w:color="156082"/>
              <w:left w:val="single" w:sz="8" w:space="0" w:color="156082"/>
              <w:bottom w:val="single" w:sz="8" w:space="0" w:color="156082"/>
              <w:right w:val="single" w:sz="8" w:space="0" w:color="156082"/>
            </w:tcBorders>
            <w:vAlign w:val="center"/>
          </w:tcPr>
          <w:p w14:paraId="319F7800" w14:textId="77777777" w:rsidR="002A4D16" w:rsidRDefault="002A4D16" w:rsidP="00DC6B04"/>
        </w:tc>
      </w:tr>
      <w:tr w:rsidR="002A4D16" w14:paraId="7BE3DFD7" w14:textId="77777777" w:rsidTr="00DC6B04">
        <w:tc>
          <w:tcPr>
            <w:tcW w:w="6936" w:type="dxa"/>
            <w:shd w:val="clear" w:color="auto" w:fill="FFFFFF" w:themeFill="background1"/>
          </w:tcPr>
          <w:p w14:paraId="103FDDC4" w14:textId="77777777" w:rsidR="002A4D16" w:rsidRPr="002D4C07" w:rsidRDefault="002A4D16" w:rsidP="00DC6B04">
            <w:pPr>
              <w:rPr>
                <w:rFonts w:cstheme="minorHAnsi"/>
              </w:rPr>
            </w:pPr>
            <w:r w:rsidRPr="002D4C07">
              <w:rPr>
                <w:rFonts w:cstheme="minorHAnsi"/>
              </w:rPr>
              <w:t>Do service providers have appetite for operating under an outcomes-based contracting approach?</w:t>
            </w:r>
          </w:p>
        </w:tc>
        <w:tc>
          <w:tcPr>
            <w:tcW w:w="992" w:type="dxa"/>
            <w:shd w:val="clear" w:color="auto" w:fill="FFFFFF" w:themeFill="background1"/>
            <w:vAlign w:val="center"/>
          </w:tcPr>
          <w:p w14:paraId="7D2B5395" w14:textId="77777777" w:rsidR="002A4D16" w:rsidRPr="002D4C07" w:rsidRDefault="002A4D16" w:rsidP="00DC6B04">
            <w:pPr>
              <w:rPr>
                <w:rFonts w:cstheme="minorHAnsi"/>
              </w:rPr>
            </w:pPr>
          </w:p>
        </w:tc>
        <w:tc>
          <w:tcPr>
            <w:tcW w:w="1134" w:type="dxa"/>
            <w:shd w:val="clear" w:color="auto" w:fill="FFFFFF" w:themeFill="background1"/>
            <w:vAlign w:val="center"/>
          </w:tcPr>
          <w:p w14:paraId="023281DB" w14:textId="77777777" w:rsidR="002A4D16" w:rsidRPr="002D4C07" w:rsidRDefault="002A4D16" w:rsidP="00DC6B04">
            <w:pPr>
              <w:rPr>
                <w:rFonts w:cstheme="minorHAnsi"/>
              </w:rPr>
            </w:pPr>
          </w:p>
        </w:tc>
        <w:tc>
          <w:tcPr>
            <w:tcW w:w="1134" w:type="dxa"/>
            <w:shd w:val="clear" w:color="auto" w:fill="FFFFFF" w:themeFill="background1"/>
            <w:vAlign w:val="center"/>
          </w:tcPr>
          <w:p w14:paraId="66AC5272" w14:textId="77777777" w:rsidR="002A4D16" w:rsidRPr="002D4C07" w:rsidRDefault="002A4D16" w:rsidP="00DC6B04">
            <w:pPr>
              <w:rPr>
                <w:rFonts w:cstheme="minorHAnsi"/>
              </w:rPr>
            </w:pPr>
          </w:p>
        </w:tc>
      </w:tr>
      <w:tr w:rsidR="002A4D16" w14:paraId="3D497B2C" w14:textId="77777777" w:rsidTr="00DC6B04">
        <w:tc>
          <w:tcPr>
            <w:tcW w:w="6936" w:type="dxa"/>
            <w:shd w:val="clear" w:color="auto" w:fill="FFFFFF" w:themeFill="background1"/>
          </w:tcPr>
          <w:p w14:paraId="700F38AF" w14:textId="77777777" w:rsidR="002A4D16" w:rsidRPr="002D4C07" w:rsidRDefault="002A4D16" w:rsidP="00DC6B04">
            <w:pPr>
              <w:rPr>
                <w:rFonts w:cstheme="minorHAnsi"/>
              </w:rPr>
            </w:pPr>
            <w:r w:rsidRPr="002D4C07">
              <w:rPr>
                <w:rFonts w:cstheme="minorHAnsi"/>
              </w:rPr>
              <w:t xml:space="preserve">Do services providers currently have, or could they develop the capacity to take on this approach? </w:t>
            </w:r>
          </w:p>
        </w:tc>
        <w:tc>
          <w:tcPr>
            <w:tcW w:w="992" w:type="dxa"/>
            <w:shd w:val="clear" w:color="auto" w:fill="FFFFFF" w:themeFill="background1"/>
            <w:vAlign w:val="center"/>
          </w:tcPr>
          <w:p w14:paraId="12FE7BE7" w14:textId="77777777" w:rsidR="002A4D16" w:rsidRPr="002D4C07" w:rsidRDefault="002A4D16" w:rsidP="00DC6B04">
            <w:pPr>
              <w:rPr>
                <w:rFonts w:cstheme="minorHAnsi"/>
              </w:rPr>
            </w:pPr>
          </w:p>
        </w:tc>
        <w:tc>
          <w:tcPr>
            <w:tcW w:w="1134" w:type="dxa"/>
            <w:shd w:val="clear" w:color="auto" w:fill="FFFFFF" w:themeFill="background1"/>
            <w:vAlign w:val="center"/>
          </w:tcPr>
          <w:p w14:paraId="47E3F6CD" w14:textId="77777777" w:rsidR="002A4D16" w:rsidRPr="002D4C07" w:rsidRDefault="002A4D16" w:rsidP="00DC6B04">
            <w:pPr>
              <w:rPr>
                <w:rFonts w:cstheme="minorHAnsi"/>
              </w:rPr>
            </w:pPr>
          </w:p>
        </w:tc>
        <w:tc>
          <w:tcPr>
            <w:tcW w:w="1134" w:type="dxa"/>
            <w:shd w:val="clear" w:color="auto" w:fill="FFFFFF" w:themeFill="background1"/>
            <w:vAlign w:val="center"/>
          </w:tcPr>
          <w:p w14:paraId="0F8004EC" w14:textId="77777777" w:rsidR="002A4D16" w:rsidRPr="002D4C07" w:rsidRDefault="002A4D16" w:rsidP="00DC6B04">
            <w:pPr>
              <w:rPr>
                <w:rFonts w:cstheme="minorHAnsi"/>
              </w:rPr>
            </w:pPr>
          </w:p>
        </w:tc>
      </w:tr>
      <w:tr w:rsidR="002A4D16" w14:paraId="7372AA46" w14:textId="77777777" w:rsidTr="00DC6B04">
        <w:tc>
          <w:tcPr>
            <w:tcW w:w="6936" w:type="dxa"/>
            <w:shd w:val="clear" w:color="auto" w:fill="FFFFFF" w:themeFill="background1"/>
          </w:tcPr>
          <w:p w14:paraId="47070B9E" w14:textId="77777777" w:rsidR="002A4D16" w:rsidRPr="002D4C07" w:rsidRDefault="002A4D16" w:rsidP="00DC6B04">
            <w:pPr>
              <w:rPr>
                <w:rFonts w:cstheme="minorHAnsi"/>
              </w:rPr>
            </w:pPr>
            <w:r w:rsidRPr="002D4C07">
              <w:rPr>
                <w:rFonts w:cstheme="minorHAnsi"/>
              </w:rPr>
              <w:t xml:space="preserve">Have you identified an appropriate process for engaging the market?  </w:t>
            </w:r>
          </w:p>
        </w:tc>
        <w:tc>
          <w:tcPr>
            <w:tcW w:w="992" w:type="dxa"/>
            <w:shd w:val="clear" w:color="auto" w:fill="FFFFFF" w:themeFill="background1"/>
            <w:vAlign w:val="center"/>
          </w:tcPr>
          <w:p w14:paraId="745594EC" w14:textId="77777777" w:rsidR="002A4D16" w:rsidRPr="002D4C07" w:rsidRDefault="002A4D16" w:rsidP="00DC6B04">
            <w:pPr>
              <w:rPr>
                <w:rFonts w:cstheme="minorHAnsi"/>
              </w:rPr>
            </w:pPr>
          </w:p>
        </w:tc>
        <w:tc>
          <w:tcPr>
            <w:tcW w:w="1134" w:type="dxa"/>
            <w:shd w:val="clear" w:color="auto" w:fill="FFFFFF" w:themeFill="background1"/>
            <w:vAlign w:val="center"/>
          </w:tcPr>
          <w:p w14:paraId="123F0A7D" w14:textId="77777777" w:rsidR="002A4D16" w:rsidRPr="002D4C07" w:rsidRDefault="002A4D16" w:rsidP="00DC6B04">
            <w:pPr>
              <w:rPr>
                <w:rFonts w:cstheme="minorHAnsi"/>
              </w:rPr>
            </w:pPr>
          </w:p>
        </w:tc>
        <w:tc>
          <w:tcPr>
            <w:tcW w:w="1134" w:type="dxa"/>
            <w:shd w:val="clear" w:color="auto" w:fill="FFFFFF" w:themeFill="background1"/>
            <w:vAlign w:val="center"/>
          </w:tcPr>
          <w:p w14:paraId="17820E7E" w14:textId="77777777" w:rsidR="002A4D16" w:rsidRPr="002D4C07" w:rsidRDefault="002A4D16" w:rsidP="00DC6B04">
            <w:pPr>
              <w:rPr>
                <w:rFonts w:cstheme="minorHAnsi"/>
              </w:rPr>
            </w:pPr>
          </w:p>
        </w:tc>
      </w:tr>
      <w:tr w:rsidR="002A4D16" w14:paraId="6FE269AC" w14:textId="77777777" w:rsidTr="00DC6B04">
        <w:tc>
          <w:tcPr>
            <w:tcW w:w="6936" w:type="dxa"/>
            <w:shd w:val="clear" w:color="auto" w:fill="FFFFFF" w:themeFill="background1"/>
          </w:tcPr>
          <w:p w14:paraId="10FB299B" w14:textId="77777777" w:rsidR="002A4D16" w:rsidRPr="002D4C07" w:rsidRDefault="002A4D16" w:rsidP="00DC6B04">
            <w:pPr>
              <w:rPr>
                <w:rFonts w:cstheme="minorHAnsi"/>
              </w:rPr>
            </w:pPr>
            <w:r w:rsidRPr="002D4C07">
              <w:rPr>
                <w:rFonts w:cstheme="minorHAnsi"/>
              </w:rPr>
              <w:t xml:space="preserve">Have you decided whether you will be adopting standardised or bespoke payment terms for service providers? </w:t>
            </w:r>
          </w:p>
        </w:tc>
        <w:tc>
          <w:tcPr>
            <w:tcW w:w="992" w:type="dxa"/>
            <w:shd w:val="clear" w:color="auto" w:fill="FFFFFF" w:themeFill="background1"/>
            <w:vAlign w:val="center"/>
          </w:tcPr>
          <w:p w14:paraId="0E77E1A0" w14:textId="77777777" w:rsidR="002A4D16" w:rsidRPr="002D4C07" w:rsidRDefault="002A4D16" w:rsidP="00DC6B04">
            <w:pPr>
              <w:rPr>
                <w:rFonts w:cstheme="minorHAnsi"/>
              </w:rPr>
            </w:pPr>
          </w:p>
        </w:tc>
        <w:tc>
          <w:tcPr>
            <w:tcW w:w="1134" w:type="dxa"/>
            <w:shd w:val="clear" w:color="auto" w:fill="FFFFFF" w:themeFill="background1"/>
            <w:vAlign w:val="center"/>
          </w:tcPr>
          <w:p w14:paraId="28176116" w14:textId="77777777" w:rsidR="002A4D16" w:rsidRPr="002D4C07" w:rsidRDefault="002A4D16" w:rsidP="00DC6B04">
            <w:pPr>
              <w:rPr>
                <w:rFonts w:cstheme="minorHAnsi"/>
              </w:rPr>
            </w:pPr>
          </w:p>
        </w:tc>
        <w:tc>
          <w:tcPr>
            <w:tcW w:w="1134" w:type="dxa"/>
            <w:shd w:val="clear" w:color="auto" w:fill="FFFFFF" w:themeFill="background1"/>
            <w:vAlign w:val="center"/>
          </w:tcPr>
          <w:p w14:paraId="23F4580B" w14:textId="77777777" w:rsidR="002A4D16" w:rsidRPr="002D4C07" w:rsidRDefault="002A4D16" w:rsidP="00DC6B04">
            <w:pPr>
              <w:rPr>
                <w:rFonts w:cstheme="minorHAnsi"/>
              </w:rPr>
            </w:pPr>
          </w:p>
        </w:tc>
      </w:tr>
    </w:tbl>
    <w:p w14:paraId="5BFCD6DB" w14:textId="77777777" w:rsidR="002A4D16" w:rsidRPr="00F56848" w:rsidRDefault="002A4D16" w:rsidP="002A4D16">
      <w:pPr>
        <w:spacing w:after="240"/>
        <w:rPr>
          <w:rFonts w:asciiTheme="majorHAnsi" w:eastAsiaTheme="majorEastAsia" w:hAnsiTheme="majorHAnsi" w:cstheme="majorBidi"/>
          <w:bCs/>
          <w:color w:val="005A70" w:themeColor="accent1"/>
          <w:sz w:val="40"/>
          <w:szCs w:val="26"/>
        </w:rPr>
      </w:pPr>
      <w:r>
        <w:br w:type="page"/>
      </w:r>
    </w:p>
    <w:p w14:paraId="0DCB74A4" w14:textId="77777777" w:rsidR="002A4D16" w:rsidRPr="00F56848" w:rsidRDefault="002A4D16" w:rsidP="002A4D16">
      <w:pPr>
        <w:sectPr w:rsidR="002A4D16" w:rsidRPr="00F56848" w:rsidSect="002A4D16">
          <w:type w:val="continuous"/>
          <w:pgSz w:w="11906" w:h="16838"/>
          <w:pgMar w:top="851" w:right="851" w:bottom="851" w:left="851" w:header="0" w:footer="0" w:gutter="0"/>
          <w:pgNumType w:start="2"/>
          <w:cols w:space="708"/>
          <w:titlePg/>
          <w:docGrid w:linePitch="360"/>
        </w:sectPr>
      </w:pPr>
    </w:p>
    <w:p w14:paraId="51466C54" w14:textId="77777777" w:rsidR="002A4D16" w:rsidRDefault="002A4D16" w:rsidP="002A4D16">
      <w:pPr>
        <w:pStyle w:val="Heading2"/>
      </w:pPr>
      <w:r>
        <w:lastRenderedPageBreak/>
        <w:t xml:space="preserve">Interpreting your completed checklist </w:t>
      </w:r>
    </w:p>
    <w:p w14:paraId="15B6A790" w14:textId="77777777" w:rsidR="002A4D16" w:rsidRDefault="002A4D16" w:rsidP="002A4D16">
      <w:r>
        <w:t>If your checklist responses were:</w:t>
      </w:r>
    </w:p>
    <w:p w14:paraId="1B46F903" w14:textId="77777777" w:rsidR="002A4D16" w:rsidRPr="00F70707" w:rsidRDefault="002A4D16" w:rsidP="002A4D16">
      <w:pPr>
        <w:pStyle w:val="ListBullet"/>
      </w:pPr>
      <w:r w:rsidRPr="00F70707">
        <w:t>‘Yes’, then you are likely ready to embark on your outcome-based contracting journey. See ‘where to next?’ for some practical next steps</w:t>
      </w:r>
    </w:p>
    <w:p w14:paraId="0CCB9653" w14:textId="77777777" w:rsidR="002A4D16" w:rsidRPr="00F70707" w:rsidRDefault="002A4D16" w:rsidP="002A4D16">
      <w:pPr>
        <w:pStyle w:val="ListBullet"/>
      </w:pPr>
      <w:r w:rsidRPr="00F70707">
        <w:t>‘Unsure’, then more information is needed to determine if you are ready for outcomes-based contracting. See guidance below and factsheets for more information</w:t>
      </w:r>
    </w:p>
    <w:p w14:paraId="7952A466" w14:textId="77777777" w:rsidR="002A4D16" w:rsidRPr="00F70707" w:rsidRDefault="002A4D16" w:rsidP="002A4D16">
      <w:pPr>
        <w:pStyle w:val="ListBullet"/>
      </w:pPr>
      <w:r w:rsidRPr="00F70707">
        <w:t xml:space="preserve">‘No’, then you are </w:t>
      </w:r>
      <w:r>
        <w:t xml:space="preserve">likely </w:t>
      </w:r>
      <w:r w:rsidRPr="00F70707">
        <w:t xml:space="preserve">not </w:t>
      </w:r>
      <w:proofErr w:type="gramStart"/>
      <w:r w:rsidRPr="00F70707">
        <w:t>ready</w:t>
      </w:r>
      <w:proofErr w:type="gramEnd"/>
      <w:r w:rsidRPr="00F70707">
        <w:t xml:space="preserve"> and you may need to consider adjustments to ensure your policy objective is suitable for outcomes-based contracting.  </w:t>
      </w:r>
    </w:p>
    <w:p w14:paraId="7279CA5F" w14:textId="77777777" w:rsidR="002A4D16" w:rsidRDefault="002A4D16" w:rsidP="002A4D16">
      <w:pPr>
        <w:pStyle w:val="Heading2"/>
      </w:pPr>
      <w:bookmarkStart w:id="1" w:name="_Hlk216334561"/>
      <w:r>
        <w:t xml:space="preserve">Additional guidance for </w:t>
      </w:r>
      <w:bookmarkEnd w:id="1"/>
      <w:r>
        <w:t>completing the checklist</w:t>
      </w:r>
    </w:p>
    <w:p w14:paraId="45559F50" w14:textId="77777777" w:rsidR="002A4D16" w:rsidRDefault="002A4D16" w:rsidP="002A4D16">
      <w:pPr>
        <w:pStyle w:val="Heading3"/>
      </w:pPr>
      <w:r>
        <w:t>Policy objective</w:t>
      </w:r>
    </w:p>
    <w:p w14:paraId="00CDA332" w14:textId="77777777" w:rsidR="002A4D16" w:rsidRDefault="002A4D16" w:rsidP="002A4D16">
      <w:r>
        <w:t>Defining your policy objective is important because o</w:t>
      </w:r>
      <w:r w:rsidRPr="00D2577D">
        <w:t xml:space="preserve">utcomes-based contracting works best when you have a clear long-term goal. </w:t>
      </w:r>
      <w:r>
        <w:t xml:space="preserve">This means you should be clear on what you want </w:t>
      </w:r>
      <w:r w:rsidRPr="00D2577D">
        <w:t>to achieve beyond the initial contract period</w:t>
      </w:r>
      <w:r>
        <w:t>.</w:t>
      </w:r>
    </w:p>
    <w:p w14:paraId="6BFA748D" w14:textId="77777777" w:rsidR="002A4D16" w:rsidRDefault="002A4D16" w:rsidP="002A4D16">
      <w:r>
        <w:t>See the ‘</w:t>
      </w:r>
      <w:r w:rsidRPr="006F6F51">
        <w:rPr>
          <w:b/>
          <w:bCs/>
        </w:rPr>
        <w:t>Introduction to Outcomes-Based Contracting</w:t>
      </w:r>
      <w:r>
        <w:t>’ factsheet for more information.</w:t>
      </w:r>
    </w:p>
    <w:p w14:paraId="025638B1" w14:textId="77777777" w:rsidR="002A4D16" w:rsidRDefault="002A4D16" w:rsidP="002A4D16">
      <w:pPr>
        <w:pStyle w:val="Heading3"/>
      </w:pPr>
      <w:r>
        <w:t>Cohort identification</w:t>
      </w:r>
    </w:p>
    <w:p w14:paraId="40C999DE" w14:textId="77777777" w:rsidR="002A4D16" w:rsidRDefault="002A4D16" w:rsidP="002A4D16">
      <w:r>
        <w:t xml:space="preserve">Cohort identification is important in outcomes-based contracting because clearly defining </w:t>
      </w:r>
      <w:r>
        <w:rPr>
          <w:i/>
          <w:iCs/>
        </w:rPr>
        <w:t>who</w:t>
      </w:r>
      <w:r>
        <w:t xml:space="preserve"> the service is for ensures that outcomes can be measured accurately, fairly attributed to the service and priced appropriately. </w:t>
      </w:r>
    </w:p>
    <w:p w14:paraId="1120C301" w14:textId="77777777" w:rsidR="002A4D16" w:rsidRPr="009F6AF7" w:rsidRDefault="002A4D16" w:rsidP="002A4D16">
      <w:r>
        <w:t xml:space="preserve">This means you should: </w:t>
      </w:r>
    </w:p>
    <w:p w14:paraId="30E5B051" w14:textId="77777777" w:rsidR="002A4D16" w:rsidRPr="00F70707" w:rsidRDefault="002A4D16" w:rsidP="002A4D16">
      <w:pPr>
        <w:pStyle w:val="ListBullet"/>
      </w:pPr>
      <w:r>
        <w:t>Use well defined eligibility criteria to define your target cohort</w:t>
      </w:r>
    </w:p>
    <w:p w14:paraId="76A9DAAE" w14:textId="77777777" w:rsidR="002A4D16" w:rsidRPr="00F70707" w:rsidRDefault="002A4D16" w:rsidP="002A4D16">
      <w:pPr>
        <w:pStyle w:val="ListBullet"/>
      </w:pPr>
      <w:r w:rsidRPr="00F70707">
        <w:t>Check that:</w:t>
      </w:r>
    </w:p>
    <w:p w14:paraId="6D373B72" w14:textId="77777777" w:rsidR="002A4D16" w:rsidRPr="00F70707" w:rsidRDefault="002A4D16" w:rsidP="002A4D16">
      <w:pPr>
        <w:pStyle w:val="ListBullet"/>
        <w:numPr>
          <w:ilvl w:val="1"/>
          <w:numId w:val="18"/>
        </w:numPr>
        <w:ind w:left="1440"/>
      </w:pPr>
      <w:r w:rsidRPr="00F70707">
        <w:t xml:space="preserve">Referring organisations </w:t>
      </w:r>
      <w:proofErr w:type="gramStart"/>
      <w:r w:rsidRPr="00F70707">
        <w:t>are able to</w:t>
      </w:r>
      <w:proofErr w:type="gramEnd"/>
      <w:r w:rsidRPr="00F70707">
        <w:t xml:space="preserve"> find the target cohort, and</w:t>
      </w:r>
    </w:p>
    <w:p w14:paraId="7AF07687" w14:textId="77777777" w:rsidR="002A4D16" w:rsidRPr="00F70707" w:rsidRDefault="002A4D16" w:rsidP="002A4D16">
      <w:pPr>
        <w:pStyle w:val="ListBullet"/>
        <w:numPr>
          <w:ilvl w:val="1"/>
          <w:numId w:val="18"/>
        </w:numPr>
        <w:ind w:left="1440"/>
      </w:pPr>
      <w:r w:rsidRPr="00F70707">
        <w:t xml:space="preserve">Service providers </w:t>
      </w:r>
      <w:proofErr w:type="gramStart"/>
      <w:r w:rsidRPr="00F70707">
        <w:t>are able to</w:t>
      </w:r>
      <w:proofErr w:type="gramEnd"/>
      <w:r w:rsidRPr="00F70707">
        <w:t xml:space="preserve"> confirm eligibility when enrolling individuals</w:t>
      </w:r>
    </w:p>
    <w:p w14:paraId="76000B75" w14:textId="77777777" w:rsidR="002A4D16" w:rsidRPr="00F70707" w:rsidRDefault="002A4D16" w:rsidP="002A4D16">
      <w:pPr>
        <w:pStyle w:val="ListBullet"/>
      </w:pPr>
      <w:r w:rsidRPr="00F70707">
        <w:t>Be able to identify the target cohort in existing datasets if you are estimating a counterfactual (i.e., what would have happened without the service)</w:t>
      </w:r>
    </w:p>
    <w:p w14:paraId="7AC46F6D" w14:textId="77777777" w:rsidR="002A4D16" w:rsidRPr="00F70707" w:rsidRDefault="002A4D16" w:rsidP="002A4D16">
      <w:pPr>
        <w:pStyle w:val="ListBullet"/>
      </w:pPr>
      <w:r w:rsidRPr="00F70707">
        <w:t>Understand the size and location of the target cohort as:</w:t>
      </w:r>
    </w:p>
    <w:p w14:paraId="5CF3A667" w14:textId="77777777" w:rsidR="002A4D16" w:rsidRPr="00F70707" w:rsidRDefault="002A4D16" w:rsidP="002A4D16">
      <w:pPr>
        <w:pStyle w:val="ListBullet"/>
      </w:pPr>
      <w:r w:rsidRPr="00F70707">
        <w:t>Too small or geographically dispersed cohorts result in operational challenges, and</w:t>
      </w:r>
    </w:p>
    <w:p w14:paraId="0A43965D" w14:textId="77777777" w:rsidR="002A4D16" w:rsidRPr="00F70707" w:rsidRDefault="002A4D16" w:rsidP="002A4D16">
      <w:pPr>
        <w:pStyle w:val="ListBullet"/>
        <w:numPr>
          <w:ilvl w:val="1"/>
          <w:numId w:val="18"/>
        </w:numPr>
        <w:ind w:left="1440"/>
      </w:pPr>
      <w:r w:rsidRPr="00F70707">
        <w:t>Larger and geographically concentrated cohorts can generate more robust results and evidence, whilst potentially being more cost-effective.</w:t>
      </w:r>
    </w:p>
    <w:p w14:paraId="5DEC1233" w14:textId="77777777" w:rsidR="002A4D16" w:rsidRDefault="002A4D16" w:rsidP="002A4D16">
      <w:r>
        <w:t>See the ‘</w:t>
      </w:r>
      <w:r w:rsidRPr="006F6F51">
        <w:rPr>
          <w:b/>
          <w:bCs/>
        </w:rPr>
        <w:t>Cohort Identification</w:t>
      </w:r>
      <w:r>
        <w:t>’ factsheet for more information.</w:t>
      </w:r>
    </w:p>
    <w:p w14:paraId="44831302" w14:textId="77777777" w:rsidR="002A4D16" w:rsidRDefault="002A4D16" w:rsidP="002A4D16">
      <w:pPr>
        <w:pStyle w:val="Heading3"/>
      </w:pPr>
      <w:r>
        <w:t>Outcome measurement</w:t>
      </w:r>
    </w:p>
    <w:p w14:paraId="737CFD74" w14:textId="77777777" w:rsidR="002A4D16" w:rsidRDefault="002A4D16" w:rsidP="002A4D16">
      <w:r>
        <w:t xml:space="preserve">In </w:t>
      </w:r>
      <w:r w:rsidRPr="008F1153">
        <w:t xml:space="preserve">the context of outcomes-based contracting, outcome measurement is </w:t>
      </w:r>
      <w:r>
        <w:t xml:space="preserve">important because it allows you to assess impact, determine payments, provide real-time results to enable adaptive service delivery and generate deeper insight about the efficacy of the service. </w:t>
      </w:r>
    </w:p>
    <w:p w14:paraId="1D144128" w14:textId="77777777" w:rsidR="002A4D16" w:rsidRDefault="002A4D16" w:rsidP="002A4D16">
      <w:r>
        <w:t>This means you should:</w:t>
      </w:r>
    </w:p>
    <w:p w14:paraId="2D14524E" w14:textId="77777777" w:rsidR="002A4D16" w:rsidRPr="00F70707" w:rsidRDefault="002A4D16" w:rsidP="002A4D16">
      <w:pPr>
        <w:pStyle w:val="ListBullet"/>
      </w:pPr>
      <w:r w:rsidRPr="00F70707">
        <w:t>Define metrics that clearly indicate progress toward policy objectives</w:t>
      </w:r>
    </w:p>
    <w:p w14:paraId="7FA64BB4" w14:textId="77777777" w:rsidR="002A4D16" w:rsidRPr="00F70707" w:rsidRDefault="002A4D16" w:rsidP="002A4D16">
      <w:pPr>
        <w:pStyle w:val="ListBullet"/>
      </w:pPr>
      <w:r w:rsidRPr="00F70707">
        <w:lastRenderedPageBreak/>
        <w:t xml:space="preserve">Define metrics that can be used to trigger payments </w:t>
      </w:r>
      <w:proofErr w:type="gramStart"/>
      <w:r w:rsidRPr="00F70707">
        <w:t>and also</w:t>
      </w:r>
      <w:proofErr w:type="gramEnd"/>
      <w:r w:rsidRPr="00F70707">
        <w:t xml:space="preserve"> form part of a broader monitoring and evaluation framework</w:t>
      </w:r>
    </w:p>
    <w:p w14:paraId="29B342A3" w14:textId="77777777" w:rsidR="002A4D16" w:rsidRPr="00F70707" w:rsidRDefault="002A4D16" w:rsidP="002A4D16">
      <w:pPr>
        <w:pStyle w:val="ListBullet"/>
      </w:pPr>
      <w:r w:rsidRPr="00F70707">
        <w:t>Define payment metrics that:</w:t>
      </w:r>
    </w:p>
    <w:p w14:paraId="5D101FA2" w14:textId="77777777" w:rsidR="002A4D16" w:rsidRPr="00F70707" w:rsidRDefault="002A4D16" w:rsidP="002A4D16">
      <w:pPr>
        <w:pStyle w:val="ListBullet"/>
        <w:numPr>
          <w:ilvl w:val="1"/>
          <w:numId w:val="18"/>
        </w:numPr>
        <w:ind w:left="1440"/>
      </w:pPr>
      <w:r>
        <w:t>Are meaningful for the impact you seek and easy to measure,</w:t>
      </w:r>
    </w:p>
    <w:p w14:paraId="4E9A8170" w14:textId="77777777" w:rsidR="002A4D16" w:rsidRDefault="002A4D16" w:rsidP="002A4D16">
      <w:pPr>
        <w:pStyle w:val="ListBullet"/>
        <w:numPr>
          <w:ilvl w:val="1"/>
          <w:numId w:val="18"/>
        </w:numPr>
        <w:ind w:left="1440"/>
      </w:pPr>
      <w:r>
        <w:t>Use existing data sources where possible to avoid investment in new collection processes and systems (data availability and governance may constrain the scope of your measurement approach), and</w:t>
      </w:r>
    </w:p>
    <w:p w14:paraId="18647BA2" w14:textId="77777777" w:rsidR="002A4D16" w:rsidRPr="00F70707" w:rsidRDefault="002A4D16" w:rsidP="002A4D16">
      <w:pPr>
        <w:pStyle w:val="ListBullet"/>
        <w:numPr>
          <w:ilvl w:val="1"/>
          <w:numId w:val="18"/>
        </w:numPr>
        <w:ind w:left="1440"/>
      </w:pPr>
      <w:r w:rsidRPr="00F70707">
        <w:t>Encourage positive behaviours and avoid perverse incentives (i.e., unintended harmful actions) from service providers</w:t>
      </w:r>
    </w:p>
    <w:p w14:paraId="61E7B670" w14:textId="77777777" w:rsidR="002A4D16" w:rsidRPr="00F70707" w:rsidRDefault="002A4D16" w:rsidP="002A4D16">
      <w:pPr>
        <w:pStyle w:val="ListBullet"/>
      </w:pPr>
      <w:r w:rsidRPr="00F70707">
        <w:t xml:space="preserve">Consider how you might estimate what would have happened anyway (i.e., a counterfactual) to show additional impact of a service. This can be considered as part of the broader monitoring and evaluation framework. Consideration should be given to your policy objectives, cost, complexity, robustness and ethics. </w:t>
      </w:r>
    </w:p>
    <w:p w14:paraId="114ED68F" w14:textId="77777777" w:rsidR="002A4D16" w:rsidRPr="00CA3C53" w:rsidRDefault="002A4D16" w:rsidP="002A4D16">
      <w:r>
        <w:t>See the ‘</w:t>
      </w:r>
      <w:r w:rsidRPr="006F6F51">
        <w:rPr>
          <w:b/>
          <w:bCs/>
        </w:rPr>
        <w:t>Outcome Metrics</w:t>
      </w:r>
      <w:r>
        <w:t>’ and ‘</w:t>
      </w:r>
      <w:r w:rsidRPr="006F6F51">
        <w:rPr>
          <w:b/>
          <w:bCs/>
        </w:rPr>
        <w:t>Understanding Outcome Measurement</w:t>
      </w:r>
      <w:r>
        <w:t>’ factsheets for more information.</w:t>
      </w:r>
    </w:p>
    <w:p w14:paraId="1889E6B2" w14:textId="77777777" w:rsidR="002A4D16" w:rsidRDefault="002A4D16" w:rsidP="002A4D16">
      <w:pPr>
        <w:pStyle w:val="Heading3"/>
      </w:pPr>
      <w:r>
        <w:t>Outcomes pricing</w:t>
      </w:r>
    </w:p>
    <w:p w14:paraId="7D63FDB9" w14:textId="77777777" w:rsidR="002A4D16" w:rsidRDefault="002A4D16" w:rsidP="002A4D16">
      <w:r>
        <w:t>Pricing outcomes in outcomes-based contracting is important to ensure that incentives are aligned between commissioners and service providers, risk is appropriately shared and value for money is demonstrated for the commissioner.</w:t>
      </w:r>
    </w:p>
    <w:p w14:paraId="000991DB" w14:textId="77777777" w:rsidR="002A4D16" w:rsidRPr="009F6AF7" w:rsidRDefault="002A4D16" w:rsidP="002A4D16">
      <w:r>
        <w:t>This means you should:</w:t>
      </w:r>
    </w:p>
    <w:p w14:paraId="0A2D248D" w14:textId="77777777" w:rsidR="002A4D16" w:rsidRPr="00F70707" w:rsidRDefault="002A4D16" w:rsidP="002A4D16">
      <w:pPr>
        <w:pStyle w:val="ListBullet"/>
      </w:pPr>
      <w:r w:rsidRPr="00F70707">
        <w:t>Use the cost to achieve the outcomes and the value of benefits arising from the outcomes to inform the agreed price of outcomes</w:t>
      </w:r>
    </w:p>
    <w:p w14:paraId="00DFEC3A" w14:textId="77777777" w:rsidR="002A4D16" w:rsidRPr="00F70707" w:rsidRDefault="002A4D16" w:rsidP="002A4D16">
      <w:pPr>
        <w:pStyle w:val="ListBullet"/>
      </w:pPr>
      <w:r w:rsidRPr="00F70707">
        <w:t>Define clear funding parameters, including:</w:t>
      </w:r>
    </w:p>
    <w:p w14:paraId="29761447" w14:textId="77777777" w:rsidR="002A4D16" w:rsidRPr="00F70707" w:rsidRDefault="002A4D16" w:rsidP="002A4D16">
      <w:pPr>
        <w:pStyle w:val="ListBullet"/>
        <w:numPr>
          <w:ilvl w:val="1"/>
          <w:numId w:val="18"/>
        </w:numPr>
        <w:ind w:left="1440"/>
      </w:pPr>
      <w:r w:rsidRPr="00F70707">
        <w:t xml:space="preserve">The maximum and minimum funding, and </w:t>
      </w:r>
    </w:p>
    <w:p w14:paraId="31F4B9B6" w14:textId="77777777" w:rsidR="002A4D16" w:rsidRPr="00F70707" w:rsidRDefault="002A4D16" w:rsidP="002A4D16">
      <w:pPr>
        <w:pStyle w:val="ListBullet"/>
        <w:numPr>
          <w:ilvl w:val="1"/>
          <w:numId w:val="18"/>
        </w:numPr>
        <w:ind w:left="1440"/>
      </w:pPr>
      <w:r w:rsidRPr="00F70707">
        <w:t>The proportion of fixed vs. outcome-based payments (this can be flexible but will require service providers to propose their own payment terms)</w:t>
      </w:r>
    </w:p>
    <w:p w14:paraId="148546AF" w14:textId="77777777" w:rsidR="002A4D16" w:rsidRPr="00F70707" w:rsidRDefault="002A4D16" w:rsidP="002A4D16">
      <w:pPr>
        <w:pStyle w:val="ListBullet"/>
      </w:pPr>
      <w:r w:rsidRPr="00F70707">
        <w:t>Ensure that payments reflect additional outcomes attributable to the service. This means that payments are tied to results that the service provider can realistically deliver, rather than outcomes influenced by external factors (e.g., other services, economic conditions, policy settings).</w:t>
      </w:r>
    </w:p>
    <w:p w14:paraId="57F57550" w14:textId="77777777" w:rsidR="002A4D16" w:rsidRPr="00CA3C53" w:rsidRDefault="002A4D16" w:rsidP="002A4D16">
      <w:r>
        <w:t>See the ‘</w:t>
      </w:r>
      <w:r w:rsidRPr="00B45AE7">
        <w:rPr>
          <w:b/>
          <w:bCs/>
        </w:rPr>
        <w:t>Understanding Pricing of Outcomes</w:t>
      </w:r>
      <w:r>
        <w:t>’ factsheet for more information.</w:t>
      </w:r>
    </w:p>
    <w:p w14:paraId="7EA25610" w14:textId="77777777" w:rsidR="002A4D16" w:rsidRDefault="002A4D16" w:rsidP="002A4D16">
      <w:pPr>
        <w:pStyle w:val="Heading3"/>
      </w:pPr>
      <w:r>
        <w:t>Implementation</w:t>
      </w:r>
    </w:p>
    <w:p w14:paraId="34CC9DCC" w14:textId="77777777" w:rsidR="002A4D16" w:rsidRDefault="002A4D16" w:rsidP="002A4D16">
      <w:r>
        <w:t>Your outcomes-based contracting approach needs to be feasible to implement for it to be successful. This means you should consider:</w:t>
      </w:r>
    </w:p>
    <w:p w14:paraId="28CE69DC" w14:textId="77777777" w:rsidR="002A4D16" w:rsidRDefault="002A4D16" w:rsidP="002A4D16">
      <w:pPr>
        <w:pStyle w:val="ListBullet"/>
      </w:pPr>
      <w:r>
        <w:t>Additional support within your organisation to support this approach (i.e. a senior champion)</w:t>
      </w:r>
    </w:p>
    <w:p w14:paraId="11BFF318" w14:textId="77777777" w:rsidR="002A4D16" w:rsidRDefault="002A4D16" w:rsidP="002A4D16">
      <w:pPr>
        <w:pStyle w:val="ListBullet"/>
      </w:pPr>
      <w:r>
        <w:t>New capabilities within your organisations to implement this approach (i.e. data, financial modelling, project management, contract design)</w:t>
      </w:r>
    </w:p>
    <w:p w14:paraId="0BDD8EDA" w14:textId="77777777" w:rsidR="002A4D16" w:rsidRDefault="002A4D16" w:rsidP="002A4D16">
      <w:pPr>
        <w:pStyle w:val="ListBullet"/>
      </w:pPr>
      <w:r>
        <w:t xml:space="preserve">New capabilities and additional capacity service providers may require </w:t>
      </w:r>
      <w:proofErr w:type="gramStart"/>
      <w:r>
        <w:t>to take</w:t>
      </w:r>
      <w:proofErr w:type="gramEnd"/>
      <w:r>
        <w:t xml:space="preserve"> on this approach (e.g., financial risk management, data management, project management). You may need to consider capacity building for your sector</w:t>
      </w:r>
    </w:p>
    <w:p w14:paraId="4DBDFE56" w14:textId="77777777" w:rsidR="002A4D16" w:rsidRDefault="002A4D16" w:rsidP="002A4D16">
      <w:pPr>
        <w:pStyle w:val="ListBullet"/>
      </w:pPr>
      <w:r>
        <w:t>Supports service providers may need to manage the financial risk associated with the outcomes-based contract. You may need to consider having higher fixed payments or encouraging risk-sharing models (e.g., with investors or philanthropy) for service providers</w:t>
      </w:r>
    </w:p>
    <w:p w14:paraId="0CD30B7A" w14:textId="77777777" w:rsidR="002A4D16" w:rsidRDefault="002A4D16" w:rsidP="002A4D16">
      <w:pPr>
        <w:pStyle w:val="ListBullet"/>
      </w:pPr>
      <w:r>
        <w:lastRenderedPageBreak/>
        <w:t>Your approach for engaging the market or sector (e.g., expression of interest, time bound proposals, rolling proposals) that aligns with your objectives</w:t>
      </w:r>
    </w:p>
    <w:p w14:paraId="176BFFD2" w14:textId="77777777" w:rsidR="002A4D16" w:rsidRDefault="002A4D16" w:rsidP="002A4D16">
      <w:pPr>
        <w:pStyle w:val="ListBullet"/>
      </w:pPr>
      <w:r>
        <w:t xml:space="preserve">Whether you will utilise standardized or bespoke payment terms as: </w:t>
      </w:r>
    </w:p>
    <w:p w14:paraId="2541CD1E" w14:textId="77777777" w:rsidR="002A4D16" w:rsidRDefault="002A4D16" w:rsidP="002A4D16">
      <w:pPr>
        <w:pStyle w:val="ListBullet"/>
        <w:numPr>
          <w:ilvl w:val="1"/>
          <w:numId w:val="18"/>
        </w:numPr>
        <w:ind w:left="1440"/>
      </w:pPr>
      <w:r>
        <w:t>Standardised terms are faster to negotiate, help set clearer priorities, and enable broader learnings, and</w:t>
      </w:r>
    </w:p>
    <w:p w14:paraId="6866C9B8" w14:textId="77777777" w:rsidR="002A4D16" w:rsidRDefault="002A4D16" w:rsidP="002A4D16">
      <w:pPr>
        <w:pStyle w:val="ListBullet"/>
        <w:numPr>
          <w:ilvl w:val="1"/>
          <w:numId w:val="18"/>
        </w:numPr>
        <w:ind w:left="1440"/>
      </w:pPr>
      <w:r>
        <w:t>Bespoke terms can be tailored but are slower to negotiate and limits learning and market development to a project-by-project basis.</w:t>
      </w:r>
    </w:p>
    <w:p w14:paraId="4A557F2B" w14:textId="77777777" w:rsidR="002A4D16" w:rsidRDefault="002A4D16" w:rsidP="002A4D16">
      <w:pPr>
        <w:pStyle w:val="Heading2"/>
        <w:sectPr w:rsidR="002A4D16" w:rsidSect="002A4D16">
          <w:type w:val="continuous"/>
          <w:pgSz w:w="11906" w:h="16838"/>
          <w:pgMar w:top="851" w:right="851" w:bottom="851" w:left="851" w:header="0" w:footer="0" w:gutter="0"/>
          <w:pgNumType w:start="2"/>
          <w:cols w:space="708"/>
          <w:titlePg/>
          <w:docGrid w:linePitch="360"/>
        </w:sectPr>
      </w:pPr>
    </w:p>
    <w:p w14:paraId="4CFC80F8" w14:textId="77777777" w:rsidR="002A4D16" w:rsidRPr="00C70FF7" w:rsidRDefault="002A4D16" w:rsidP="002A4D16">
      <w:pPr>
        <w:pStyle w:val="Heading2"/>
        <w:pBdr>
          <w:top w:val="single" w:sz="36" w:space="1" w:color="C1E4F5"/>
          <w:left w:val="single" w:sz="36" w:space="4" w:color="C1E4F5"/>
          <w:bottom w:val="single" w:sz="36" w:space="1" w:color="C1E4F5"/>
          <w:right w:val="single" w:sz="36" w:space="4" w:color="C1E4F5"/>
        </w:pBdr>
        <w:rPr>
          <w:b/>
          <w:bCs w:val="0"/>
        </w:rPr>
      </w:pPr>
      <w:r w:rsidRPr="00C70FF7">
        <w:rPr>
          <w:b/>
          <w:bCs w:val="0"/>
        </w:rPr>
        <w:t>Next steps</w:t>
      </w:r>
    </w:p>
    <w:p w14:paraId="0DEC7699" w14:textId="77777777" w:rsidR="002A4D16" w:rsidRDefault="002A4D16" w:rsidP="002A4D16">
      <w:pPr>
        <w:pBdr>
          <w:top w:val="single" w:sz="36" w:space="1" w:color="C1E4F5"/>
          <w:left w:val="single" w:sz="36" w:space="4" w:color="C1E4F5"/>
          <w:bottom w:val="single" w:sz="36" w:space="1" w:color="C1E4F5"/>
          <w:right w:val="single" w:sz="36" w:space="4" w:color="C1E4F5"/>
        </w:pBdr>
      </w:pPr>
      <w:r>
        <w:t xml:space="preserve">After completing the checklist, you may find there are areas to strengthen before starting outcomes-based contracting. </w:t>
      </w:r>
    </w:p>
    <w:p w14:paraId="438E9084" w14:textId="77777777" w:rsidR="002A4D16" w:rsidRDefault="002A4D16" w:rsidP="002A4D16">
      <w:pPr>
        <w:pBdr>
          <w:top w:val="single" w:sz="36" w:space="1" w:color="C1E4F5"/>
          <w:left w:val="single" w:sz="36" w:space="4" w:color="C1E4F5"/>
          <w:bottom w:val="single" w:sz="36" w:space="1" w:color="C1E4F5"/>
          <w:right w:val="single" w:sz="36" w:space="4" w:color="C1E4F5"/>
        </w:pBdr>
      </w:pPr>
      <w:r>
        <w:t>Here are some practical next steps:</w:t>
      </w:r>
    </w:p>
    <w:p w14:paraId="4F4AF5FD" w14:textId="77777777" w:rsidR="002A4D16" w:rsidRPr="00C70FF7" w:rsidRDefault="002A4D16" w:rsidP="002A4D16">
      <w:pPr>
        <w:pStyle w:val="ListParagraph"/>
        <w:pBdr>
          <w:top w:val="single" w:sz="36" w:space="1" w:color="C1E4F5"/>
          <w:left w:val="single" w:sz="36" w:space="4" w:color="C1E4F5"/>
          <w:bottom w:val="single" w:sz="36" w:space="1" w:color="C1E4F5"/>
          <w:right w:val="single" w:sz="36" w:space="4" w:color="C1E4F5"/>
        </w:pBdr>
      </w:pPr>
      <w:r w:rsidRPr="00F56848">
        <w:rPr>
          <w:b/>
          <w:bCs/>
        </w:rPr>
        <w:t>Start the conversation internally</w:t>
      </w:r>
      <w:r w:rsidRPr="00C70FF7">
        <w:t>: share your checklist results with others in your organisation and discuss what needs to change or improve</w:t>
      </w:r>
    </w:p>
    <w:p w14:paraId="09CBC32E" w14:textId="77777777" w:rsidR="002A4D16" w:rsidRDefault="002A4D16" w:rsidP="002A4D16">
      <w:pPr>
        <w:pStyle w:val="ListParagraph"/>
        <w:pBdr>
          <w:top w:val="single" w:sz="36" w:space="1" w:color="C1E4F5"/>
          <w:left w:val="single" w:sz="36" w:space="4" w:color="C1E4F5"/>
          <w:bottom w:val="single" w:sz="36" w:space="1" w:color="C1E4F5"/>
          <w:right w:val="single" w:sz="36" w:space="4" w:color="C1E4F5"/>
        </w:pBdr>
      </w:pPr>
      <w:r w:rsidRPr="00F56848">
        <w:rPr>
          <w:b/>
          <w:bCs/>
        </w:rPr>
        <w:t>Connect with experts</w:t>
      </w:r>
      <w:r w:rsidRPr="00C70FF7">
        <w:t>: Speak to a central government agency about outcomes-based contracting</w:t>
      </w:r>
      <w:r>
        <w:t xml:space="preserve"> and e</w:t>
      </w:r>
      <w:r w:rsidRPr="00C70FF7">
        <w:t>ngage external specialists to help build capability or advise on designing your initiative</w:t>
      </w:r>
    </w:p>
    <w:p w14:paraId="690B6E23" w14:textId="77777777" w:rsidR="002A4D16" w:rsidRDefault="002A4D16" w:rsidP="002A4D16">
      <w:pPr>
        <w:pStyle w:val="ListParagraph"/>
        <w:pBdr>
          <w:top w:val="single" w:sz="36" w:space="1" w:color="C1E4F5"/>
          <w:left w:val="single" w:sz="36" w:space="4" w:color="C1E4F5"/>
          <w:bottom w:val="single" w:sz="36" w:space="1" w:color="C1E4F5"/>
          <w:right w:val="single" w:sz="36" w:space="4" w:color="C1E4F5"/>
        </w:pBdr>
      </w:pPr>
      <w:r w:rsidRPr="00F56848">
        <w:rPr>
          <w:b/>
          <w:bCs/>
        </w:rPr>
        <w:t>Explore trusted resources</w:t>
      </w:r>
      <w:r w:rsidRPr="00C70FF7">
        <w:t xml:space="preserve">: </w:t>
      </w:r>
      <w:hyperlink r:id="rId49" w:history="1">
        <w:r w:rsidRPr="00D13B95">
          <w:rPr>
            <w:rStyle w:val="Hyperlink"/>
          </w:rPr>
          <w:t>UK Government Outcomes Lab</w:t>
        </w:r>
      </w:hyperlink>
      <w:r>
        <w:t xml:space="preserve">; </w:t>
      </w:r>
      <w:hyperlink r:id="rId50" w:history="1">
        <w:r w:rsidRPr="00842CAB">
          <w:rPr>
            <w:rStyle w:val="Hyperlink"/>
          </w:rPr>
          <w:t>NSW Office of Social Impact Investment</w:t>
        </w:r>
      </w:hyperlink>
      <w:r>
        <w:t xml:space="preserve">; </w:t>
      </w:r>
      <w:hyperlink r:id="rId51" w:history="1">
        <w:r w:rsidRPr="00BA2E15">
          <w:rPr>
            <w:rStyle w:val="Hyperlink"/>
          </w:rPr>
          <w:t>Victorian Department of Treasury and Finance</w:t>
        </w:r>
      </w:hyperlink>
      <w:r>
        <w:t xml:space="preserve">; </w:t>
      </w:r>
      <w:hyperlink r:id="rId52" w:history="1">
        <w:r w:rsidRPr="00A6083C">
          <w:rPr>
            <w:rStyle w:val="Hyperlink"/>
          </w:rPr>
          <w:t>Social Ventures Australia</w:t>
        </w:r>
      </w:hyperlink>
    </w:p>
    <w:p w14:paraId="768D17EB" w14:textId="77777777" w:rsidR="002A4D16" w:rsidRPr="00C70FF7" w:rsidRDefault="002A4D16" w:rsidP="002A4D16">
      <w:pPr>
        <w:rPr>
          <w:szCs w:val="22"/>
        </w:rPr>
        <w:sectPr w:rsidR="002A4D16" w:rsidRPr="00C70FF7" w:rsidSect="002A4D16">
          <w:type w:val="continuous"/>
          <w:pgSz w:w="11906" w:h="16838"/>
          <w:pgMar w:top="851" w:right="851" w:bottom="851" w:left="851" w:header="0" w:footer="0" w:gutter="0"/>
          <w:pgNumType w:start="2"/>
          <w:cols w:space="708"/>
          <w:titlePg/>
          <w:docGrid w:linePitch="360"/>
        </w:sectPr>
      </w:pPr>
    </w:p>
    <w:p w14:paraId="1DDB7F18" w14:textId="77777777" w:rsidR="002A4D16" w:rsidRPr="00ED1335" w:rsidRDefault="002A4D16" w:rsidP="002A4D16">
      <w:pPr>
        <w:pStyle w:val="Smalltext"/>
        <w:rPr>
          <w:lang w:val="en-AU"/>
        </w:rPr>
      </w:pPr>
    </w:p>
    <w:sectPr w:rsidR="002A4D16" w:rsidRPr="00ED1335" w:rsidSect="00D55FB9">
      <w:headerReference w:type="default" r:id="rId53"/>
      <w:headerReference w:type="first" r:id="rId54"/>
      <w:footerReference w:type="first" r:id="rId55"/>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CC28" w14:textId="77777777" w:rsidR="009D1D5F" w:rsidRDefault="009D1D5F" w:rsidP="008F3023">
      <w:pPr>
        <w:spacing w:after="0" w:line="240" w:lineRule="auto"/>
      </w:pPr>
      <w:r>
        <w:separator/>
      </w:r>
    </w:p>
  </w:endnote>
  <w:endnote w:type="continuationSeparator" w:id="0">
    <w:p w14:paraId="0B963C34" w14:textId="77777777" w:rsidR="009D1D5F" w:rsidRDefault="009D1D5F" w:rsidP="008F3023">
      <w:pPr>
        <w:spacing w:after="0" w:line="240" w:lineRule="auto"/>
      </w:pPr>
      <w:r>
        <w:continuationSeparator/>
      </w:r>
    </w:p>
  </w:endnote>
  <w:endnote w:type="continuationNotice" w:id="1">
    <w:p w14:paraId="450B981A" w14:textId="77777777" w:rsidR="009D1D5F" w:rsidRDefault="009D1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0898" w14:textId="766451F2" w:rsidR="008009CA" w:rsidRDefault="008009CA" w:rsidP="007E05B4">
    <w:pPr>
      <w:tabs>
        <w:tab w:val="left" w:pos="3040"/>
      </w:tabs>
    </w:pPr>
    <w:r>
      <w:rPr>
        <w:noProof/>
        <w:color w:val="2B579A"/>
        <w:shd w:val="clear" w:color="auto" w:fill="E6E6E6"/>
        <w:lang w:eastAsia="en-AU"/>
      </w:rPr>
      <w:drawing>
        <wp:anchor distT="0" distB="0" distL="114300" distR="114300" simplePos="0" relativeHeight="251650560" behindDoc="1" locked="0" layoutInCell="1" allowOverlap="1" wp14:anchorId="6973C610" wp14:editId="4C0A93C3">
          <wp:simplePos x="0" y="0"/>
          <wp:positionH relativeFrom="page">
            <wp:posOffset>34945</wp:posOffset>
          </wp:positionH>
          <wp:positionV relativeFrom="page">
            <wp:align>bottom</wp:align>
          </wp:positionV>
          <wp:extent cx="7574400" cy="1184400"/>
          <wp:effectExtent l="0" t="0" r="762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592E6ADC" w14:textId="77777777" w:rsidR="008009CA" w:rsidRDefault="008009CA" w:rsidP="00B10EB1">
    <w:pPr>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5CDA" w14:textId="0732E64E" w:rsidR="007E05B4" w:rsidRDefault="007E05B4" w:rsidP="007E05B4">
    <w:pPr>
      <w:tabs>
        <w:tab w:val="left" w:pos="3040"/>
      </w:tabs>
    </w:pPr>
    <w:r>
      <w:rPr>
        <w:noProof/>
        <w:color w:val="2B579A"/>
        <w:shd w:val="clear" w:color="auto" w:fill="E6E6E6"/>
        <w:lang w:eastAsia="en-AU"/>
      </w:rPr>
      <w:drawing>
        <wp:anchor distT="0" distB="0" distL="114300" distR="114300" simplePos="0" relativeHeight="251652608" behindDoc="1" locked="0" layoutInCell="1" allowOverlap="1" wp14:anchorId="005CEF77" wp14:editId="085B5AA9">
          <wp:simplePos x="0" y="0"/>
          <wp:positionH relativeFrom="page">
            <wp:posOffset>34945</wp:posOffset>
          </wp:positionH>
          <wp:positionV relativeFrom="page">
            <wp:align>bottom</wp:align>
          </wp:positionV>
          <wp:extent cx="7574400" cy="1184400"/>
          <wp:effectExtent l="0" t="0" r="7620" b="0"/>
          <wp:wrapNone/>
          <wp:docPr id="2121070726" name="Picture 2121070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CE22" w14:textId="77777777" w:rsidR="00EC4845" w:rsidRDefault="00EC4845" w:rsidP="00D86E50">
    <w:pPr>
      <w:tabs>
        <w:tab w:val="left" w:pos="3040"/>
      </w:tabs>
      <w:jc w:val="center"/>
    </w:pPr>
    <w:r>
      <w:rPr>
        <w:noProof/>
        <w:color w:val="2B579A"/>
        <w:shd w:val="clear" w:color="auto" w:fill="E6E6E6"/>
        <w:lang w:eastAsia="en-AU"/>
      </w:rPr>
      <w:drawing>
        <wp:anchor distT="0" distB="0" distL="114300" distR="114300" simplePos="0" relativeHeight="251653632" behindDoc="1" locked="0" layoutInCell="1" allowOverlap="1" wp14:anchorId="0AC4F099" wp14:editId="404EE6CA">
          <wp:simplePos x="0" y="0"/>
          <wp:positionH relativeFrom="page">
            <wp:posOffset>34945</wp:posOffset>
          </wp:positionH>
          <wp:positionV relativeFrom="page">
            <wp:align>bottom</wp:align>
          </wp:positionV>
          <wp:extent cx="7574400" cy="1184400"/>
          <wp:effectExtent l="0" t="0" r="7620" b="0"/>
          <wp:wrapNone/>
          <wp:docPr id="1462805176" name="Picture 146280517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2074623951"/>
        <w:docPartObj>
          <w:docPartGallery w:val="Page Numbers (Bottom of Page)"/>
          <w:docPartUnique/>
        </w:docPartObj>
      </w:sdtPr>
      <w:sdtEndPr>
        <w:rPr>
          <w:noProof/>
          <w:color w:val="auto"/>
          <w:shd w:val="clear" w:color="auto" w:fill="auto"/>
        </w:rPr>
      </w:sdtEndPr>
      <w:sdtContent/>
    </w:sdt>
  </w:p>
  <w:p w14:paraId="2F49A87F" w14:textId="77777777" w:rsidR="00EC4845" w:rsidRDefault="00EC4845" w:rsidP="00B10EB1">
    <w:pPr>
      <w:ind w:left="-141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38F3" w14:textId="77777777" w:rsidR="00415340" w:rsidRDefault="00415340" w:rsidP="00D86E50">
    <w:pPr>
      <w:tabs>
        <w:tab w:val="left" w:pos="3040"/>
      </w:tabs>
      <w:jc w:val="center"/>
    </w:pPr>
    <w:r>
      <w:rPr>
        <w:noProof/>
        <w:color w:val="2B579A"/>
        <w:shd w:val="clear" w:color="auto" w:fill="E6E6E6"/>
        <w:lang w:eastAsia="en-AU"/>
      </w:rPr>
      <w:drawing>
        <wp:anchor distT="0" distB="0" distL="114300" distR="114300" simplePos="0" relativeHeight="251658752" behindDoc="1" locked="0" layoutInCell="1" allowOverlap="1" wp14:anchorId="2CCDEDE2" wp14:editId="732BD236">
          <wp:simplePos x="0" y="0"/>
          <wp:positionH relativeFrom="page">
            <wp:posOffset>34945</wp:posOffset>
          </wp:positionH>
          <wp:positionV relativeFrom="page">
            <wp:align>bottom</wp:align>
          </wp:positionV>
          <wp:extent cx="7574400" cy="1184400"/>
          <wp:effectExtent l="0" t="0" r="7620" b="0"/>
          <wp:wrapNone/>
          <wp:docPr id="1341469759" name="Picture 134146975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869134031"/>
        <w:docPartObj>
          <w:docPartGallery w:val="Page Numbers (Bottom of Page)"/>
          <w:docPartUnique/>
        </w:docPartObj>
      </w:sdtPr>
      <w:sdtEndPr>
        <w:rPr>
          <w:noProof/>
          <w:color w:val="auto"/>
          <w:shd w:val="clear" w:color="auto" w:fill="auto"/>
        </w:rPr>
      </w:sdtEndPr>
      <w:sdtContent/>
    </w:sdt>
  </w:p>
  <w:p w14:paraId="4C63BD62" w14:textId="77777777" w:rsidR="00415340" w:rsidRDefault="00415340" w:rsidP="00B10EB1">
    <w:pPr>
      <w:ind w:left="-141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4BA" w14:textId="77777777" w:rsidR="00B86EE7" w:rsidRDefault="00B86EE7" w:rsidP="00D86E50">
    <w:pPr>
      <w:tabs>
        <w:tab w:val="left" w:pos="3040"/>
      </w:tabs>
      <w:jc w:val="center"/>
    </w:pPr>
    <w:r>
      <w:rPr>
        <w:noProof/>
        <w:color w:val="2B579A"/>
        <w:shd w:val="clear" w:color="auto" w:fill="E6E6E6"/>
        <w:lang w:eastAsia="en-AU"/>
      </w:rPr>
      <w:drawing>
        <wp:anchor distT="0" distB="0" distL="114300" distR="114300" simplePos="0" relativeHeight="251660800" behindDoc="1" locked="0" layoutInCell="1" allowOverlap="1" wp14:anchorId="57219BA8" wp14:editId="3F5D5AE4">
          <wp:simplePos x="0" y="0"/>
          <wp:positionH relativeFrom="page">
            <wp:posOffset>34945</wp:posOffset>
          </wp:positionH>
          <wp:positionV relativeFrom="page">
            <wp:align>bottom</wp:align>
          </wp:positionV>
          <wp:extent cx="7574400" cy="1184400"/>
          <wp:effectExtent l="0" t="0" r="7620" b="0"/>
          <wp:wrapNone/>
          <wp:docPr id="1217396851" name="Picture 121739685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1083569074"/>
        <w:docPartObj>
          <w:docPartGallery w:val="Page Numbers (Bottom of Page)"/>
          <w:docPartUnique/>
        </w:docPartObj>
      </w:sdtPr>
      <w:sdtEndPr>
        <w:rPr>
          <w:noProof/>
          <w:color w:val="auto"/>
          <w:shd w:val="clear" w:color="auto" w:fill="auto"/>
        </w:rPr>
      </w:sdtEndPr>
      <w:sdtContent/>
    </w:sdt>
  </w:p>
  <w:p w14:paraId="45B10910" w14:textId="77777777" w:rsidR="00B86EE7" w:rsidRDefault="00B86EE7" w:rsidP="00B10EB1">
    <w:pPr>
      <w:ind w:left="-141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3872" w14:textId="77777777" w:rsidR="00B67360" w:rsidRDefault="00B67360" w:rsidP="00D86E50">
    <w:pPr>
      <w:tabs>
        <w:tab w:val="left" w:pos="3040"/>
      </w:tabs>
      <w:jc w:val="center"/>
    </w:pPr>
    <w:r>
      <w:rPr>
        <w:noProof/>
        <w:color w:val="2B579A"/>
        <w:shd w:val="clear" w:color="auto" w:fill="E6E6E6"/>
        <w:lang w:eastAsia="en-AU"/>
      </w:rPr>
      <w:drawing>
        <wp:anchor distT="0" distB="0" distL="114300" distR="114300" simplePos="0" relativeHeight="251661824" behindDoc="1" locked="0" layoutInCell="1" allowOverlap="1" wp14:anchorId="7EDA10F4" wp14:editId="0EC95455">
          <wp:simplePos x="0" y="0"/>
          <wp:positionH relativeFrom="page">
            <wp:posOffset>34945</wp:posOffset>
          </wp:positionH>
          <wp:positionV relativeFrom="page">
            <wp:align>bottom</wp:align>
          </wp:positionV>
          <wp:extent cx="7574400" cy="1184400"/>
          <wp:effectExtent l="0" t="0" r="7620" b="0"/>
          <wp:wrapNone/>
          <wp:docPr id="695794254" name="Picture 69579425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1629741419"/>
        <w:docPartObj>
          <w:docPartGallery w:val="Page Numbers (Bottom of Page)"/>
          <w:docPartUnique/>
        </w:docPartObj>
      </w:sdtPr>
      <w:sdtEndPr>
        <w:rPr>
          <w:noProof/>
          <w:color w:val="auto"/>
          <w:shd w:val="clear" w:color="auto" w:fill="auto"/>
        </w:rPr>
      </w:sdtEndPr>
      <w:sdtContent/>
    </w:sdt>
  </w:p>
  <w:p w14:paraId="11D62863" w14:textId="77777777" w:rsidR="00B67360" w:rsidRDefault="00B67360" w:rsidP="00B10EB1">
    <w:pPr>
      <w:ind w:left="-141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7E1D" w14:textId="77777777" w:rsidR="002A4D16" w:rsidRDefault="002A4D16" w:rsidP="00D86E50">
    <w:pPr>
      <w:tabs>
        <w:tab w:val="left" w:pos="3040"/>
      </w:tabs>
      <w:jc w:val="center"/>
    </w:pPr>
    <w:r>
      <w:rPr>
        <w:noProof/>
        <w:color w:val="2B579A"/>
        <w:shd w:val="clear" w:color="auto" w:fill="E6E6E6"/>
        <w:lang w:eastAsia="en-AU"/>
      </w:rPr>
      <w:drawing>
        <wp:anchor distT="0" distB="0" distL="114300" distR="114300" simplePos="0" relativeHeight="251663872" behindDoc="1" locked="0" layoutInCell="1" allowOverlap="1" wp14:anchorId="4434FE38" wp14:editId="400971D3">
          <wp:simplePos x="0" y="0"/>
          <wp:positionH relativeFrom="page">
            <wp:posOffset>34945</wp:posOffset>
          </wp:positionH>
          <wp:positionV relativeFrom="page">
            <wp:align>bottom</wp:align>
          </wp:positionV>
          <wp:extent cx="7574400" cy="1184400"/>
          <wp:effectExtent l="0" t="0" r="7620" b="0"/>
          <wp:wrapNone/>
          <wp:docPr id="27263705" name="Picture 2726370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2011369567"/>
        <w:docPartObj>
          <w:docPartGallery w:val="Page Numbers (Bottom of Page)"/>
          <w:docPartUnique/>
        </w:docPartObj>
      </w:sdtPr>
      <w:sdtEndPr>
        <w:rPr>
          <w:noProof/>
          <w:color w:val="auto"/>
          <w:shd w:val="clear" w:color="auto" w:fill="auto"/>
        </w:rPr>
      </w:sdtEndPr>
      <w:sdtContent/>
    </w:sdt>
  </w:p>
  <w:p w14:paraId="6C02F706" w14:textId="77777777" w:rsidR="002A4D16" w:rsidRDefault="002A4D16" w:rsidP="00B10EB1">
    <w:pPr>
      <w:ind w:left="-141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B036" w14:textId="77777777" w:rsidR="00D55FB9" w:rsidRDefault="00D55FB9" w:rsidP="00D86E50">
    <w:pPr>
      <w:tabs>
        <w:tab w:val="left" w:pos="3040"/>
      </w:tabs>
      <w:jc w:val="center"/>
    </w:pPr>
    <w:r>
      <w:rPr>
        <w:noProof/>
        <w:color w:val="2B579A"/>
        <w:shd w:val="clear" w:color="auto" w:fill="E6E6E6"/>
        <w:lang w:eastAsia="en-AU"/>
      </w:rPr>
      <w:drawing>
        <wp:anchor distT="0" distB="0" distL="114300" distR="114300" simplePos="0" relativeHeight="251656704" behindDoc="1" locked="0" layoutInCell="1" allowOverlap="1" wp14:anchorId="26B740BF" wp14:editId="5F3BB5C7">
          <wp:simplePos x="0" y="0"/>
          <wp:positionH relativeFrom="page">
            <wp:posOffset>34945</wp:posOffset>
          </wp:positionH>
          <wp:positionV relativeFrom="page">
            <wp:align>bottom</wp:align>
          </wp:positionV>
          <wp:extent cx="7574400" cy="1184400"/>
          <wp:effectExtent l="0" t="0" r="7620" b="0"/>
          <wp:wrapNone/>
          <wp:docPr id="1562187584" name="Picture 156218758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1650632416"/>
        <w:docPartObj>
          <w:docPartGallery w:val="Page Numbers (Bottom of Page)"/>
          <w:docPartUnique/>
        </w:docPartObj>
      </w:sdtPr>
      <w:sdtEndPr>
        <w:rPr>
          <w:noProof/>
          <w:color w:val="auto"/>
          <w:shd w:val="clear" w:color="auto" w:fill="auto"/>
        </w:rPr>
      </w:sdtEndPr>
      <w:sdtContent/>
    </w:sdt>
  </w:p>
  <w:p w14:paraId="3901D3BF" w14:textId="77777777" w:rsidR="00D55FB9" w:rsidRDefault="00D55FB9"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D285" w14:textId="77777777" w:rsidR="009D1D5F" w:rsidRDefault="009D1D5F" w:rsidP="008F3023">
      <w:pPr>
        <w:spacing w:after="0" w:line="240" w:lineRule="auto"/>
      </w:pPr>
      <w:r>
        <w:separator/>
      </w:r>
    </w:p>
  </w:footnote>
  <w:footnote w:type="continuationSeparator" w:id="0">
    <w:p w14:paraId="4FCFE30E" w14:textId="77777777" w:rsidR="009D1D5F" w:rsidRDefault="009D1D5F" w:rsidP="008F3023">
      <w:pPr>
        <w:spacing w:after="0" w:line="240" w:lineRule="auto"/>
      </w:pPr>
      <w:r>
        <w:continuationSeparator/>
      </w:r>
    </w:p>
  </w:footnote>
  <w:footnote w:type="continuationNotice" w:id="1">
    <w:p w14:paraId="27F8EAAE" w14:textId="77777777" w:rsidR="009D1D5F" w:rsidRDefault="009D1D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1E7D" w14:textId="77777777" w:rsidR="008009CA" w:rsidRDefault="008009CA" w:rsidP="000E29D7">
    <w:pPr>
      <w:pStyle w:val="Header"/>
    </w:pPr>
    <w:r>
      <w:rPr>
        <w:noProof/>
        <w:shd w:val="clear" w:color="auto" w:fill="E6E6E6"/>
        <w:lang w:eastAsia="en-AU"/>
      </w:rPr>
      <w:drawing>
        <wp:anchor distT="0" distB="0" distL="114300" distR="114300" simplePos="0" relativeHeight="251651584" behindDoc="1" locked="0" layoutInCell="1" allowOverlap="1" wp14:anchorId="57033A1A" wp14:editId="2C51484C">
          <wp:simplePos x="0" y="0"/>
          <wp:positionH relativeFrom="page">
            <wp:align>left</wp:align>
          </wp:positionH>
          <wp:positionV relativeFrom="page">
            <wp:align>bottom</wp:align>
          </wp:positionV>
          <wp:extent cx="7563600" cy="118440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E5A5" w14:textId="77777777" w:rsidR="002A4D16" w:rsidRDefault="002A4D16" w:rsidP="000E29D7">
    <w:pPr>
      <w:pStyle w:val="Header"/>
    </w:pPr>
    <w:r>
      <w:rPr>
        <w:noProof/>
        <w:shd w:val="clear" w:color="auto" w:fill="E6E6E6"/>
        <w:lang w:eastAsia="en-AU"/>
      </w:rPr>
      <w:drawing>
        <wp:anchor distT="0" distB="0" distL="114300" distR="114300" simplePos="0" relativeHeight="251664896" behindDoc="1" locked="0" layoutInCell="1" allowOverlap="1" wp14:anchorId="32F57ECA" wp14:editId="0F0DE35A">
          <wp:simplePos x="0" y="0"/>
          <wp:positionH relativeFrom="page">
            <wp:align>left</wp:align>
          </wp:positionH>
          <wp:positionV relativeFrom="page">
            <wp:align>bottom</wp:align>
          </wp:positionV>
          <wp:extent cx="7563600" cy="1184400"/>
          <wp:effectExtent l="0" t="0" r="0" b="0"/>
          <wp:wrapNone/>
          <wp:docPr id="1583570418" name="Picture 158357041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B09D" w14:textId="77777777" w:rsidR="002A4D16" w:rsidRDefault="002A4D16" w:rsidP="000E29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4478" w14:textId="77777777" w:rsidR="00D55FB9" w:rsidRDefault="00D55FB9" w:rsidP="000E29D7">
    <w:pPr>
      <w:pStyle w:val="Header"/>
    </w:pPr>
    <w:r>
      <w:rPr>
        <w:noProof/>
        <w:shd w:val="clear" w:color="auto" w:fill="E6E6E6"/>
        <w:lang w:eastAsia="en-AU"/>
      </w:rPr>
      <w:drawing>
        <wp:anchor distT="0" distB="0" distL="114300" distR="114300" simplePos="0" relativeHeight="251655680" behindDoc="1" locked="0" layoutInCell="1" allowOverlap="1" wp14:anchorId="2061FBE6" wp14:editId="6A09796C">
          <wp:simplePos x="0" y="0"/>
          <wp:positionH relativeFrom="page">
            <wp:align>left</wp:align>
          </wp:positionH>
          <wp:positionV relativeFrom="page">
            <wp:align>bottom</wp:align>
          </wp:positionV>
          <wp:extent cx="7563600" cy="1184400"/>
          <wp:effectExtent l="0" t="0" r="0" b="0"/>
          <wp:wrapNone/>
          <wp:docPr id="237759878" name="Picture 23775987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2065" w14:textId="77777777" w:rsidR="00D55FB9" w:rsidRDefault="00D55FB9" w:rsidP="000E2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E98F" w14:textId="77777777" w:rsidR="00EC4845" w:rsidRDefault="00EC4845" w:rsidP="000E29D7">
    <w:pPr>
      <w:pStyle w:val="Header"/>
    </w:pPr>
    <w:r>
      <w:rPr>
        <w:noProof/>
        <w:shd w:val="clear" w:color="auto" w:fill="E6E6E6"/>
        <w:lang w:eastAsia="en-AU"/>
      </w:rPr>
      <w:drawing>
        <wp:anchor distT="0" distB="0" distL="114300" distR="114300" simplePos="0" relativeHeight="251654656" behindDoc="1" locked="0" layoutInCell="1" allowOverlap="1" wp14:anchorId="21D8B4FF" wp14:editId="11A4651E">
          <wp:simplePos x="0" y="0"/>
          <wp:positionH relativeFrom="page">
            <wp:align>left</wp:align>
          </wp:positionH>
          <wp:positionV relativeFrom="page">
            <wp:align>bottom</wp:align>
          </wp:positionV>
          <wp:extent cx="7563600" cy="1184400"/>
          <wp:effectExtent l="0" t="0" r="0" b="0"/>
          <wp:wrapNone/>
          <wp:docPr id="1782217761" name="Picture 178221776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F880" w14:textId="77777777" w:rsidR="00EC4845" w:rsidRDefault="00EC4845" w:rsidP="000E29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EA05" w14:textId="77777777" w:rsidR="00415340" w:rsidRDefault="00415340" w:rsidP="000E29D7">
    <w:pPr>
      <w:pStyle w:val="Header"/>
    </w:pPr>
    <w:r>
      <w:rPr>
        <w:noProof/>
        <w:shd w:val="clear" w:color="auto" w:fill="E6E6E6"/>
        <w:lang w:eastAsia="en-AU"/>
      </w:rPr>
      <w:drawing>
        <wp:anchor distT="0" distB="0" distL="114300" distR="114300" simplePos="0" relativeHeight="251657728" behindDoc="1" locked="0" layoutInCell="1" allowOverlap="1" wp14:anchorId="4278DFCF" wp14:editId="322EE317">
          <wp:simplePos x="0" y="0"/>
          <wp:positionH relativeFrom="page">
            <wp:align>left</wp:align>
          </wp:positionH>
          <wp:positionV relativeFrom="page">
            <wp:align>bottom</wp:align>
          </wp:positionV>
          <wp:extent cx="7563600" cy="1184400"/>
          <wp:effectExtent l="0" t="0" r="0" b="0"/>
          <wp:wrapNone/>
          <wp:docPr id="549635239" name="Picture 54963523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A97E" w14:textId="77777777" w:rsidR="00415340" w:rsidRDefault="00415340" w:rsidP="000E29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E2BE" w14:textId="77777777" w:rsidR="00B86EE7" w:rsidRDefault="00B86EE7" w:rsidP="000E29D7">
    <w:pPr>
      <w:pStyle w:val="Header"/>
    </w:pPr>
    <w:r>
      <w:rPr>
        <w:noProof/>
        <w:shd w:val="clear" w:color="auto" w:fill="E6E6E6"/>
        <w:lang w:eastAsia="en-AU"/>
      </w:rPr>
      <w:drawing>
        <wp:anchor distT="0" distB="0" distL="114300" distR="114300" simplePos="0" relativeHeight="251659776" behindDoc="1" locked="0" layoutInCell="1" allowOverlap="1" wp14:anchorId="588D4E19" wp14:editId="3FF9FC42">
          <wp:simplePos x="0" y="0"/>
          <wp:positionH relativeFrom="page">
            <wp:align>left</wp:align>
          </wp:positionH>
          <wp:positionV relativeFrom="page">
            <wp:align>bottom</wp:align>
          </wp:positionV>
          <wp:extent cx="7563600" cy="1184400"/>
          <wp:effectExtent l="0" t="0" r="0" b="0"/>
          <wp:wrapNone/>
          <wp:docPr id="1516942768" name="Picture 151694276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4E62" w14:textId="77777777" w:rsidR="00B86EE7" w:rsidRDefault="00B86EE7" w:rsidP="000E29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2019" w14:textId="77777777" w:rsidR="00B67360" w:rsidRDefault="00B67360" w:rsidP="000E29D7">
    <w:pPr>
      <w:pStyle w:val="Header"/>
    </w:pPr>
    <w:r>
      <w:rPr>
        <w:noProof/>
        <w:shd w:val="clear" w:color="auto" w:fill="E6E6E6"/>
        <w:lang w:eastAsia="en-AU"/>
      </w:rPr>
      <w:drawing>
        <wp:anchor distT="0" distB="0" distL="114300" distR="114300" simplePos="0" relativeHeight="251662848" behindDoc="1" locked="0" layoutInCell="1" allowOverlap="1" wp14:anchorId="6650728B" wp14:editId="374727B2">
          <wp:simplePos x="0" y="0"/>
          <wp:positionH relativeFrom="page">
            <wp:align>left</wp:align>
          </wp:positionH>
          <wp:positionV relativeFrom="page">
            <wp:align>bottom</wp:align>
          </wp:positionV>
          <wp:extent cx="7563600" cy="1184400"/>
          <wp:effectExtent l="0" t="0" r="0" b="0"/>
          <wp:wrapNone/>
          <wp:docPr id="1753256600" name="Picture 175325660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267" w14:textId="77777777" w:rsidR="00B67360" w:rsidRDefault="00B67360" w:rsidP="000E2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81B2546"/>
    <w:multiLevelType w:val="hybridMultilevel"/>
    <w:tmpl w:val="6DE2E4BA"/>
    <w:lvl w:ilvl="0" w:tplc="7450AB30">
      <w:start w:val="1"/>
      <w:numFmt w:val="bullet"/>
      <w:pStyle w:val="ListParagraph"/>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DF057C3"/>
    <w:multiLevelType w:val="multilevel"/>
    <w:tmpl w:val="9FDEB948"/>
    <w:numStyleLink w:val="DSSBulletList"/>
  </w:abstractNum>
  <w:abstractNum w:abstractNumId="4"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223805"/>
    <w:multiLevelType w:val="multilevel"/>
    <w:tmpl w:val="9FDEB948"/>
    <w:numStyleLink w:val="DSSBulletList"/>
  </w:abstractNum>
  <w:abstractNum w:abstractNumId="11" w15:restartNumberingAfterBreak="0">
    <w:nsid w:val="49824738"/>
    <w:multiLevelType w:val="multilevel"/>
    <w:tmpl w:val="9FDEB948"/>
    <w:numStyleLink w:val="DSSBulletList"/>
  </w:abstractNum>
  <w:abstractNum w:abstractNumId="12" w15:restartNumberingAfterBreak="0">
    <w:nsid w:val="49CC697D"/>
    <w:multiLevelType w:val="hybridMultilevel"/>
    <w:tmpl w:val="5498A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6" w15:restartNumberingAfterBreak="0">
    <w:nsid w:val="76074ECA"/>
    <w:multiLevelType w:val="multilevel"/>
    <w:tmpl w:val="9FDEB948"/>
    <w:numStyleLink w:val="DSSBulletList"/>
  </w:abstractNum>
  <w:abstractNum w:abstractNumId="17"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17"/>
  </w:num>
  <w:num w:numId="2" w16cid:durableId="603616384">
    <w:abstractNumId w:val="15"/>
  </w:num>
  <w:num w:numId="3" w16cid:durableId="1776898335">
    <w:abstractNumId w:val="1"/>
  </w:num>
  <w:num w:numId="4" w16cid:durableId="2095198095">
    <w:abstractNumId w:val="8"/>
  </w:num>
  <w:num w:numId="5" w16cid:durableId="1272399657">
    <w:abstractNumId w:val="14"/>
  </w:num>
  <w:num w:numId="6" w16cid:durableId="49574427">
    <w:abstractNumId w:val="7"/>
  </w:num>
  <w:num w:numId="7" w16cid:durableId="1516722866">
    <w:abstractNumId w:val="4"/>
  </w:num>
  <w:num w:numId="8" w16cid:durableId="164823704">
    <w:abstractNumId w:val="6"/>
  </w:num>
  <w:num w:numId="9" w16cid:durableId="1422482963">
    <w:abstractNumId w:val="13"/>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1"/>
  </w:num>
  <w:num w:numId="13" w16cid:durableId="1936858350">
    <w:abstractNumId w:val="5"/>
  </w:num>
  <w:num w:numId="14" w16cid:durableId="1314525174">
    <w:abstractNumId w:val="9"/>
  </w:num>
  <w:num w:numId="15" w16cid:durableId="843473068">
    <w:abstractNumId w:val="16"/>
  </w:num>
  <w:num w:numId="16" w16cid:durableId="287008484">
    <w:abstractNumId w:val="3"/>
  </w:num>
  <w:num w:numId="17" w16cid:durableId="2046100428">
    <w:abstractNumId w:val="10"/>
  </w:num>
  <w:num w:numId="18" w16cid:durableId="1585528455">
    <w:abstractNumId w:val="2"/>
  </w:num>
  <w:num w:numId="19" w16cid:durableId="1475247350">
    <w:abstractNumId w:val="12"/>
  </w:num>
  <w:num w:numId="20" w16cid:durableId="1760132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3006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2A4"/>
    <w:rsid w:val="00000825"/>
    <w:rsid w:val="00000AB1"/>
    <w:rsid w:val="00003F94"/>
    <w:rsid w:val="000058F1"/>
    <w:rsid w:val="000140B8"/>
    <w:rsid w:val="00014BD3"/>
    <w:rsid w:val="00022D58"/>
    <w:rsid w:val="000317E3"/>
    <w:rsid w:val="000318B7"/>
    <w:rsid w:val="00033C4F"/>
    <w:rsid w:val="000378C4"/>
    <w:rsid w:val="00037D97"/>
    <w:rsid w:val="00037E3E"/>
    <w:rsid w:val="0004140D"/>
    <w:rsid w:val="00044684"/>
    <w:rsid w:val="00046C31"/>
    <w:rsid w:val="00054F5F"/>
    <w:rsid w:val="00056709"/>
    <w:rsid w:val="00060714"/>
    <w:rsid w:val="00064140"/>
    <w:rsid w:val="00065DCF"/>
    <w:rsid w:val="00071364"/>
    <w:rsid w:val="0007287E"/>
    <w:rsid w:val="00074080"/>
    <w:rsid w:val="00074AED"/>
    <w:rsid w:val="000750D2"/>
    <w:rsid w:val="00076284"/>
    <w:rsid w:val="00076901"/>
    <w:rsid w:val="00076F36"/>
    <w:rsid w:val="00081610"/>
    <w:rsid w:val="00083939"/>
    <w:rsid w:val="00091ABE"/>
    <w:rsid w:val="000A4799"/>
    <w:rsid w:val="000B5EF5"/>
    <w:rsid w:val="000B6BDD"/>
    <w:rsid w:val="000B7635"/>
    <w:rsid w:val="000B7D80"/>
    <w:rsid w:val="000C2499"/>
    <w:rsid w:val="000C35D0"/>
    <w:rsid w:val="000C4A0F"/>
    <w:rsid w:val="000D0755"/>
    <w:rsid w:val="000D10E7"/>
    <w:rsid w:val="000D1B63"/>
    <w:rsid w:val="000D5965"/>
    <w:rsid w:val="000E28C0"/>
    <w:rsid w:val="000E29D7"/>
    <w:rsid w:val="000E6227"/>
    <w:rsid w:val="000F2B5A"/>
    <w:rsid w:val="000F5B57"/>
    <w:rsid w:val="000F7266"/>
    <w:rsid w:val="000F75FC"/>
    <w:rsid w:val="00130233"/>
    <w:rsid w:val="001510D7"/>
    <w:rsid w:val="0015124A"/>
    <w:rsid w:val="001573F3"/>
    <w:rsid w:val="00157A93"/>
    <w:rsid w:val="00161696"/>
    <w:rsid w:val="00173731"/>
    <w:rsid w:val="001803F7"/>
    <w:rsid w:val="001843EB"/>
    <w:rsid w:val="001856A3"/>
    <w:rsid w:val="00186709"/>
    <w:rsid w:val="001900B2"/>
    <w:rsid w:val="00192AB5"/>
    <w:rsid w:val="001A3D35"/>
    <w:rsid w:val="001A4AF9"/>
    <w:rsid w:val="001A7461"/>
    <w:rsid w:val="001B2BF6"/>
    <w:rsid w:val="001B4C2A"/>
    <w:rsid w:val="001C4603"/>
    <w:rsid w:val="001C64F8"/>
    <w:rsid w:val="001D0F6D"/>
    <w:rsid w:val="001E39FC"/>
    <w:rsid w:val="001E60D6"/>
    <w:rsid w:val="001E630D"/>
    <w:rsid w:val="001F5ED6"/>
    <w:rsid w:val="001F5EF5"/>
    <w:rsid w:val="001F6546"/>
    <w:rsid w:val="002011E5"/>
    <w:rsid w:val="00201C6D"/>
    <w:rsid w:val="002141E1"/>
    <w:rsid w:val="00214210"/>
    <w:rsid w:val="00214738"/>
    <w:rsid w:val="002172D9"/>
    <w:rsid w:val="0022162B"/>
    <w:rsid w:val="002226D0"/>
    <w:rsid w:val="00223FA8"/>
    <w:rsid w:val="00225112"/>
    <w:rsid w:val="002346B5"/>
    <w:rsid w:val="00235DB6"/>
    <w:rsid w:val="002408DC"/>
    <w:rsid w:val="00240A6E"/>
    <w:rsid w:val="00240F02"/>
    <w:rsid w:val="00242D59"/>
    <w:rsid w:val="0024524B"/>
    <w:rsid w:val="00247CA9"/>
    <w:rsid w:val="002532C0"/>
    <w:rsid w:val="00254A70"/>
    <w:rsid w:val="00261DE6"/>
    <w:rsid w:val="00262CDD"/>
    <w:rsid w:val="002642B1"/>
    <w:rsid w:val="00265257"/>
    <w:rsid w:val="00266145"/>
    <w:rsid w:val="00266B26"/>
    <w:rsid w:val="00266B95"/>
    <w:rsid w:val="00267A25"/>
    <w:rsid w:val="002700BB"/>
    <w:rsid w:val="0027075A"/>
    <w:rsid w:val="002707B6"/>
    <w:rsid w:val="002755A4"/>
    <w:rsid w:val="00275EA9"/>
    <w:rsid w:val="00281C99"/>
    <w:rsid w:val="00281DFB"/>
    <w:rsid w:val="00282835"/>
    <w:rsid w:val="00295471"/>
    <w:rsid w:val="00295934"/>
    <w:rsid w:val="00297FC8"/>
    <w:rsid w:val="002A40F5"/>
    <w:rsid w:val="002A4D16"/>
    <w:rsid w:val="002A6F61"/>
    <w:rsid w:val="002A75DF"/>
    <w:rsid w:val="002B3CC6"/>
    <w:rsid w:val="002B58B9"/>
    <w:rsid w:val="002B626A"/>
    <w:rsid w:val="002B7002"/>
    <w:rsid w:val="002D32AA"/>
    <w:rsid w:val="002E0DD3"/>
    <w:rsid w:val="002E17BD"/>
    <w:rsid w:val="002E4F38"/>
    <w:rsid w:val="002F2AD3"/>
    <w:rsid w:val="002F4CF8"/>
    <w:rsid w:val="002F667C"/>
    <w:rsid w:val="003021F2"/>
    <w:rsid w:val="00303B38"/>
    <w:rsid w:val="003042A4"/>
    <w:rsid w:val="003100E1"/>
    <w:rsid w:val="00311FC7"/>
    <w:rsid w:val="00314451"/>
    <w:rsid w:val="003166E0"/>
    <w:rsid w:val="00317169"/>
    <w:rsid w:val="00317746"/>
    <w:rsid w:val="003212D9"/>
    <w:rsid w:val="00323667"/>
    <w:rsid w:val="003271F0"/>
    <w:rsid w:val="00330E3E"/>
    <w:rsid w:val="00331639"/>
    <w:rsid w:val="00331DEA"/>
    <w:rsid w:val="00335A14"/>
    <w:rsid w:val="00337926"/>
    <w:rsid w:val="003420D0"/>
    <w:rsid w:val="003443F5"/>
    <w:rsid w:val="00347279"/>
    <w:rsid w:val="003475B6"/>
    <w:rsid w:val="00347FE0"/>
    <w:rsid w:val="0035380D"/>
    <w:rsid w:val="00353E11"/>
    <w:rsid w:val="00355D7B"/>
    <w:rsid w:val="00360364"/>
    <w:rsid w:val="0036088A"/>
    <w:rsid w:val="003616E2"/>
    <w:rsid w:val="00363FD6"/>
    <w:rsid w:val="00364F48"/>
    <w:rsid w:val="0038044C"/>
    <w:rsid w:val="003978F7"/>
    <w:rsid w:val="003A2512"/>
    <w:rsid w:val="003A3A9A"/>
    <w:rsid w:val="003A70C3"/>
    <w:rsid w:val="003A7612"/>
    <w:rsid w:val="003B0D19"/>
    <w:rsid w:val="003B2BB8"/>
    <w:rsid w:val="003B4AE0"/>
    <w:rsid w:val="003B6F90"/>
    <w:rsid w:val="003B6FAF"/>
    <w:rsid w:val="003B7424"/>
    <w:rsid w:val="003C1645"/>
    <w:rsid w:val="003C7303"/>
    <w:rsid w:val="003D34FF"/>
    <w:rsid w:val="003D62C8"/>
    <w:rsid w:val="003E03F8"/>
    <w:rsid w:val="003E0A57"/>
    <w:rsid w:val="003E0CA7"/>
    <w:rsid w:val="003E10A6"/>
    <w:rsid w:val="003E2B62"/>
    <w:rsid w:val="003E7673"/>
    <w:rsid w:val="003E7EEE"/>
    <w:rsid w:val="003F0661"/>
    <w:rsid w:val="003F112C"/>
    <w:rsid w:val="0040002F"/>
    <w:rsid w:val="00403055"/>
    <w:rsid w:val="00405B20"/>
    <w:rsid w:val="00415340"/>
    <w:rsid w:val="00415B6C"/>
    <w:rsid w:val="004220FC"/>
    <w:rsid w:val="004243F2"/>
    <w:rsid w:val="004262FC"/>
    <w:rsid w:val="0043026A"/>
    <w:rsid w:val="00431278"/>
    <w:rsid w:val="00433480"/>
    <w:rsid w:val="004354C2"/>
    <w:rsid w:val="004354E6"/>
    <w:rsid w:val="00437B00"/>
    <w:rsid w:val="00440CB8"/>
    <w:rsid w:val="00441FD7"/>
    <w:rsid w:val="00443697"/>
    <w:rsid w:val="0044466B"/>
    <w:rsid w:val="00451C7E"/>
    <w:rsid w:val="0045365D"/>
    <w:rsid w:val="004555D5"/>
    <w:rsid w:val="00461033"/>
    <w:rsid w:val="00466DDB"/>
    <w:rsid w:val="0047044E"/>
    <w:rsid w:val="00471275"/>
    <w:rsid w:val="00471456"/>
    <w:rsid w:val="0047261D"/>
    <w:rsid w:val="00480D3E"/>
    <w:rsid w:val="00481EAA"/>
    <w:rsid w:val="004837A4"/>
    <w:rsid w:val="00486EC0"/>
    <w:rsid w:val="00490516"/>
    <w:rsid w:val="00490F3B"/>
    <w:rsid w:val="00491310"/>
    <w:rsid w:val="004950F6"/>
    <w:rsid w:val="004A2151"/>
    <w:rsid w:val="004B0B9F"/>
    <w:rsid w:val="004B2E9B"/>
    <w:rsid w:val="004B5025"/>
    <w:rsid w:val="004B54CA"/>
    <w:rsid w:val="004B653B"/>
    <w:rsid w:val="004B668F"/>
    <w:rsid w:val="004D3573"/>
    <w:rsid w:val="004D7310"/>
    <w:rsid w:val="004E047A"/>
    <w:rsid w:val="004E11B4"/>
    <w:rsid w:val="004E356E"/>
    <w:rsid w:val="004E5CBF"/>
    <w:rsid w:val="004E6837"/>
    <w:rsid w:val="004E7A2C"/>
    <w:rsid w:val="004F2660"/>
    <w:rsid w:val="004F77F4"/>
    <w:rsid w:val="0050098E"/>
    <w:rsid w:val="0050168B"/>
    <w:rsid w:val="00504273"/>
    <w:rsid w:val="00504EB8"/>
    <w:rsid w:val="00506976"/>
    <w:rsid w:val="005072B0"/>
    <w:rsid w:val="00510D2D"/>
    <w:rsid w:val="00515ED5"/>
    <w:rsid w:val="0051729F"/>
    <w:rsid w:val="005175B2"/>
    <w:rsid w:val="00517AE4"/>
    <w:rsid w:val="00522101"/>
    <w:rsid w:val="005312DA"/>
    <w:rsid w:val="0053302E"/>
    <w:rsid w:val="00542B4F"/>
    <w:rsid w:val="005434F8"/>
    <w:rsid w:val="0054621C"/>
    <w:rsid w:val="0054713E"/>
    <w:rsid w:val="0055103D"/>
    <w:rsid w:val="005543A8"/>
    <w:rsid w:val="00560CBA"/>
    <w:rsid w:val="00563A40"/>
    <w:rsid w:val="0056473D"/>
    <w:rsid w:val="00567053"/>
    <w:rsid w:val="0057132D"/>
    <w:rsid w:val="0057328C"/>
    <w:rsid w:val="005806F6"/>
    <w:rsid w:val="005812D4"/>
    <w:rsid w:val="00581BB7"/>
    <w:rsid w:val="00584048"/>
    <w:rsid w:val="00584763"/>
    <w:rsid w:val="00584FC1"/>
    <w:rsid w:val="00586246"/>
    <w:rsid w:val="005877DC"/>
    <w:rsid w:val="0059023E"/>
    <w:rsid w:val="005957FF"/>
    <w:rsid w:val="00597852"/>
    <w:rsid w:val="005A344F"/>
    <w:rsid w:val="005A425A"/>
    <w:rsid w:val="005A5C09"/>
    <w:rsid w:val="005A7503"/>
    <w:rsid w:val="005A7CD2"/>
    <w:rsid w:val="005B06DE"/>
    <w:rsid w:val="005B2DCB"/>
    <w:rsid w:val="005B40DC"/>
    <w:rsid w:val="005C3275"/>
    <w:rsid w:val="005C3AA9"/>
    <w:rsid w:val="005C5644"/>
    <w:rsid w:val="005C76C7"/>
    <w:rsid w:val="005C77C4"/>
    <w:rsid w:val="005D1F2B"/>
    <w:rsid w:val="005D6069"/>
    <w:rsid w:val="005E4AD4"/>
    <w:rsid w:val="005E4DAE"/>
    <w:rsid w:val="005E6F55"/>
    <w:rsid w:val="005F2041"/>
    <w:rsid w:val="005F5EEF"/>
    <w:rsid w:val="005F6612"/>
    <w:rsid w:val="00605D02"/>
    <w:rsid w:val="006074EA"/>
    <w:rsid w:val="00613437"/>
    <w:rsid w:val="0061442B"/>
    <w:rsid w:val="0061493E"/>
    <w:rsid w:val="00620AB0"/>
    <w:rsid w:val="00623095"/>
    <w:rsid w:val="00624250"/>
    <w:rsid w:val="00626821"/>
    <w:rsid w:val="00631A2C"/>
    <w:rsid w:val="0063297E"/>
    <w:rsid w:val="00633A89"/>
    <w:rsid w:val="00633DF9"/>
    <w:rsid w:val="006345EC"/>
    <w:rsid w:val="00637929"/>
    <w:rsid w:val="00643CDC"/>
    <w:rsid w:val="006443A1"/>
    <w:rsid w:val="006516C1"/>
    <w:rsid w:val="00653C0D"/>
    <w:rsid w:val="006550CC"/>
    <w:rsid w:val="006555B8"/>
    <w:rsid w:val="00655B3F"/>
    <w:rsid w:val="00656AC7"/>
    <w:rsid w:val="00672307"/>
    <w:rsid w:val="00672E73"/>
    <w:rsid w:val="00682546"/>
    <w:rsid w:val="00683BC0"/>
    <w:rsid w:val="00686716"/>
    <w:rsid w:val="00687921"/>
    <w:rsid w:val="00693D27"/>
    <w:rsid w:val="00696CFE"/>
    <w:rsid w:val="006A0A46"/>
    <w:rsid w:val="006A0E3C"/>
    <w:rsid w:val="006A30E8"/>
    <w:rsid w:val="006A3896"/>
    <w:rsid w:val="006A4CE7"/>
    <w:rsid w:val="006A7DD3"/>
    <w:rsid w:val="006B2D84"/>
    <w:rsid w:val="006B4B38"/>
    <w:rsid w:val="006B6B62"/>
    <w:rsid w:val="006C3D8F"/>
    <w:rsid w:val="006C4EE3"/>
    <w:rsid w:val="006C574D"/>
    <w:rsid w:val="006D161A"/>
    <w:rsid w:val="006D2DA3"/>
    <w:rsid w:val="006D3A23"/>
    <w:rsid w:val="006D622A"/>
    <w:rsid w:val="006E2FE7"/>
    <w:rsid w:val="006E6CA9"/>
    <w:rsid w:val="006E6DFC"/>
    <w:rsid w:val="006F0354"/>
    <w:rsid w:val="006F1FBB"/>
    <w:rsid w:val="006F3D9C"/>
    <w:rsid w:val="00701BB6"/>
    <w:rsid w:val="007041A6"/>
    <w:rsid w:val="007065F3"/>
    <w:rsid w:val="007260C3"/>
    <w:rsid w:val="0072678E"/>
    <w:rsid w:val="0073320E"/>
    <w:rsid w:val="0074190C"/>
    <w:rsid w:val="00743028"/>
    <w:rsid w:val="00746215"/>
    <w:rsid w:val="0074698A"/>
    <w:rsid w:val="00746E03"/>
    <w:rsid w:val="007519B0"/>
    <w:rsid w:val="00752533"/>
    <w:rsid w:val="00753F03"/>
    <w:rsid w:val="00755DA3"/>
    <w:rsid w:val="007626E6"/>
    <w:rsid w:val="00765A7C"/>
    <w:rsid w:val="00772E81"/>
    <w:rsid w:val="00782AFF"/>
    <w:rsid w:val="00785261"/>
    <w:rsid w:val="007929FE"/>
    <w:rsid w:val="00794157"/>
    <w:rsid w:val="00795CEA"/>
    <w:rsid w:val="00796D42"/>
    <w:rsid w:val="007A291F"/>
    <w:rsid w:val="007A4309"/>
    <w:rsid w:val="007B0256"/>
    <w:rsid w:val="007B11F7"/>
    <w:rsid w:val="007C366C"/>
    <w:rsid w:val="007C3D2E"/>
    <w:rsid w:val="007D052A"/>
    <w:rsid w:val="007D08AA"/>
    <w:rsid w:val="007D1091"/>
    <w:rsid w:val="007D1C2F"/>
    <w:rsid w:val="007D30A2"/>
    <w:rsid w:val="007E007C"/>
    <w:rsid w:val="007E05B4"/>
    <w:rsid w:val="007E24B1"/>
    <w:rsid w:val="007E3959"/>
    <w:rsid w:val="007E3B8B"/>
    <w:rsid w:val="007F1F66"/>
    <w:rsid w:val="008006FC"/>
    <w:rsid w:val="008009CA"/>
    <w:rsid w:val="00802C26"/>
    <w:rsid w:val="0080363D"/>
    <w:rsid w:val="008063AF"/>
    <w:rsid w:val="00807463"/>
    <w:rsid w:val="00813D63"/>
    <w:rsid w:val="00815A31"/>
    <w:rsid w:val="0082068B"/>
    <w:rsid w:val="0082155A"/>
    <w:rsid w:val="00831FDD"/>
    <w:rsid w:val="00833F75"/>
    <w:rsid w:val="00837F4E"/>
    <w:rsid w:val="0084227C"/>
    <w:rsid w:val="0084343F"/>
    <w:rsid w:val="00846A82"/>
    <w:rsid w:val="0084725D"/>
    <w:rsid w:val="0085088E"/>
    <w:rsid w:val="00850C04"/>
    <w:rsid w:val="008565DF"/>
    <w:rsid w:val="0085710F"/>
    <w:rsid w:val="008607EC"/>
    <w:rsid w:val="00862EAA"/>
    <w:rsid w:val="00862F90"/>
    <w:rsid w:val="00863E37"/>
    <w:rsid w:val="0086610A"/>
    <w:rsid w:val="00871AEF"/>
    <w:rsid w:val="00874643"/>
    <w:rsid w:val="0087623E"/>
    <w:rsid w:val="00876CA6"/>
    <w:rsid w:val="00877018"/>
    <w:rsid w:val="008800E4"/>
    <w:rsid w:val="008905FD"/>
    <w:rsid w:val="008916D6"/>
    <w:rsid w:val="00891E2F"/>
    <w:rsid w:val="008978D2"/>
    <w:rsid w:val="008A371C"/>
    <w:rsid w:val="008B0DF4"/>
    <w:rsid w:val="008B210B"/>
    <w:rsid w:val="008C3726"/>
    <w:rsid w:val="008C4502"/>
    <w:rsid w:val="008C4CC4"/>
    <w:rsid w:val="008D251A"/>
    <w:rsid w:val="008D3758"/>
    <w:rsid w:val="008D64FA"/>
    <w:rsid w:val="008E0C72"/>
    <w:rsid w:val="008E0EB6"/>
    <w:rsid w:val="008E4D22"/>
    <w:rsid w:val="008E6DCA"/>
    <w:rsid w:val="008F1038"/>
    <w:rsid w:val="008F3023"/>
    <w:rsid w:val="009017CE"/>
    <w:rsid w:val="009225F0"/>
    <w:rsid w:val="009243E7"/>
    <w:rsid w:val="0093440B"/>
    <w:rsid w:val="00942FBB"/>
    <w:rsid w:val="0094563F"/>
    <w:rsid w:val="00946B15"/>
    <w:rsid w:val="009537D0"/>
    <w:rsid w:val="00964F9F"/>
    <w:rsid w:val="00965A72"/>
    <w:rsid w:val="009708AC"/>
    <w:rsid w:val="00972BF1"/>
    <w:rsid w:val="00974CB2"/>
    <w:rsid w:val="00980419"/>
    <w:rsid w:val="00983F8D"/>
    <w:rsid w:val="00986A3A"/>
    <w:rsid w:val="00987714"/>
    <w:rsid w:val="0099173B"/>
    <w:rsid w:val="00996415"/>
    <w:rsid w:val="009A69F9"/>
    <w:rsid w:val="009B26D3"/>
    <w:rsid w:val="009B53F5"/>
    <w:rsid w:val="009B5AB3"/>
    <w:rsid w:val="009B678B"/>
    <w:rsid w:val="009B717B"/>
    <w:rsid w:val="009C061B"/>
    <w:rsid w:val="009C1CCA"/>
    <w:rsid w:val="009D1D5F"/>
    <w:rsid w:val="009D2616"/>
    <w:rsid w:val="009D2DF8"/>
    <w:rsid w:val="009D3CCB"/>
    <w:rsid w:val="009D4AC2"/>
    <w:rsid w:val="009E4E3C"/>
    <w:rsid w:val="009E716D"/>
    <w:rsid w:val="009F2BBA"/>
    <w:rsid w:val="009F6D01"/>
    <w:rsid w:val="00A007BA"/>
    <w:rsid w:val="00A00F5B"/>
    <w:rsid w:val="00A0183C"/>
    <w:rsid w:val="00A03850"/>
    <w:rsid w:val="00A10431"/>
    <w:rsid w:val="00A13549"/>
    <w:rsid w:val="00A17555"/>
    <w:rsid w:val="00A2362A"/>
    <w:rsid w:val="00A2568C"/>
    <w:rsid w:val="00A27493"/>
    <w:rsid w:val="00A32CF0"/>
    <w:rsid w:val="00A33761"/>
    <w:rsid w:val="00A40E7B"/>
    <w:rsid w:val="00A4334C"/>
    <w:rsid w:val="00A43B99"/>
    <w:rsid w:val="00A43E66"/>
    <w:rsid w:val="00A4462B"/>
    <w:rsid w:val="00A51123"/>
    <w:rsid w:val="00A536F0"/>
    <w:rsid w:val="00A5538B"/>
    <w:rsid w:val="00A6075B"/>
    <w:rsid w:val="00A6317F"/>
    <w:rsid w:val="00A64212"/>
    <w:rsid w:val="00A646C7"/>
    <w:rsid w:val="00A70393"/>
    <w:rsid w:val="00A74769"/>
    <w:rsid w:val="00A77A75"/>
    <w:rsid w:val="00A80DE0"/>
    <w:rsid w:val="00A80F37"/>
    <w:rsid w:val="00A85365"/>
    <w:rsid w:val="00A8695E"/>
    <w:rsid w:val="00A87353"/>
    <w:rsid w:val="00A96A71"/>
    <w:rsid w:val="00AA7226"/>
    <w:rsid w:val="00AB1B09"/>
    <w:rsid w:val="00AB62CC"/>
    <w:rsid w:val="00AB7A99"/>
    <w:rsid w:val="00AC3B9D"/>
    <w:rsid w:val="00AD01EF"/>
    <w:rsid w:val="00AD40D3"/>
    <w:rsid w:val="00AD627F"/>
    <w:rsid w:val="00AD6700"/>
    <w:rsid w:val="00AD7FE8"/>
    <w:rsid w:val="00AF3E16"/>
    <w:rsid w:val="00AF4893"/>
    <w:rsid w:val="00AF49DE"/>
    <w:rsid w:val="00AF77F3"/>
    <w:rsid w:val="00B00752"/>
    <w:rsid w:val="00B023DA"/>
    <w:rsid w:val="00B03625"/>
    <w:rsid w:val="00B10EA9"/>
    <w:rsid w:val="00B10EB1"/>
    <w:rsid w:val="00B13414"/>
    <w:rsid w:val="00B20FAD"/>
    <w:rsid w:val="00B22D01"/>
    <w:rsid w:val="00B246E8"/>
    <w:rsid w:val="00B25125"/>
    <w:rsid w:val="00B27B13"/>
    <w:rsid w:val="00B31B91"/>
    <w:rsid w:val="00B31D33"/>
    <w:rsid w:val="00B33B57"/>
    <w:rsid w:val="00B3459A"/>
    <w:rsid w:val="00B346B8"/>
    <w:rsid w:val="00B36B86"/>
    <w:rsid w:val="00B37603"/>
    <w:rsid w:val="00B413E1"/>
    <w:rsid w:val="00B42C8F"/>
    <w:rsid w:val="00B44F9B"/>
    <w:rsid w:val="00B53619"/>
    <w:rsid w:val="00B60557"/>
    <w:rsid w:val="00B6542A"/>
    <w:rsid w:val="00B6576E"/>
    <w:rsid w:val="00B67360"/>
    <w:rsid w:val="00B709CD"/>
    <w:rsid w:val="00B71EDF"/>
    <w:rsid w:val="00B72C3F"/>
    <w:rsid w:val="00B73DE4"/>
    <w:rsid w:val="00B760FC"/>
    <w:rsid w:val="00B772ED"/>
    <w:rsid w:val="00B77C4D"/>
    <w:rsid w:val="00B820CD"/>
    <w:rsid w:val="00B82B32"/>
    <w:rsid w:val="00B85379"/>
    <w:rsid w:val="00B854AC"/>
    <w:rsid w:val="00B8586C"/>
    <w:rsid w:val="00B86EE7"/>
    <w:rsid w:val="00B9016B"/>
    <w:rsid w:val="00B9168F"/>
    <w:rsid w:val="00B9464D"/>
    <w:rsid w:val="00BA2BCD"/>
    <w:rsid w:val="00BA2DB9"/>
    <w:rsid w:val="00BA5842"/>
    <w:rsid w:val="00BA621C"/>
    <w:rsid w:val="00BA6A09"/>
    <w:rsid w:val="00BB03A8"/>
    <w:rsid w:val="00BB16A6"/>
    <w:rsid w:val="00BB3295"/>
    <w:rsid w:val="00BC04D2"/>
    <w:rsid w:val="00BC0A30"/>
    <w:rsid w:val="00BC15CB"/>
    <w:rsid w:val="00BC5AB7"/>
    <w:rsid w:val="00BC79CD"/>
    <w:rsid w:val="00BE0F6F"/>
    <w:rsid w:val="00BE32B9"/>
    <w:rsid w:val="00BE7148"/>
    <w:rsid w:val="00BF5DFB"/>
    <w:rsid w:val="00BF63F9"/>
    <w:rsid w:val="00C01536"/>
    <w:rsid w:val="00C027B8"/>
    <w:rsid w:val="00C05BA9"/>
    <w:rsid w:val="00C12215"/>
    <w:rsid w:val="00C1717A"/>
    <w:rsid w:val="00C175D2"/>
    <w:rsid w:val="00C21EA2"/>
    <w:rsid w:val="00C24D7F"/>
    <w:rsid w:val="00C27ABB"/>
    <w:rsid w:val="00C35257"/>
    <w:rsid w:val="00C35E9A"/>
    <w:rsid w:val="00C36523"/>
    <w:rsid w:val="00C4058D"/>
    <w:rsid w:val="00C4285D"/>
    <w:rsid w:val="00C438A6"/>
    <w:rsid w:val="00C44430"/>
    <w:rsid w:val="00C44F69"/>
    <w:rsid w:val="00C513D3"/>
    <w:rsid w:val="00C53EA0"/>
    <w:rsid w:val="00C55DE7"/>
    <w:rsid w:val="00C57001"/>
    <w:rsid w:val="00C636DE"/>
    <w:rsid w:val="00C64C40"/>
    <w:rsid w:val="00C66FE4"/>
    <w:rsid w:val="00C70067"/>
    <w:rsid w:val="00C706B9"/>
    <w:rsid w:val="00C7347B"/>
    <w:rsid w:val="00C74C90"/>
    <w:rsid w:val="00C76B3D"/>
    <w:rsid w:val="00C80AD5"/>
    <w:rsid w:val="00C83B47"/>
    <w:rsid w:val="00C83C98"/>
    <w:rsid w:val="00C83E2B"/>
    <w:rsid w:val="00C93AD3"/>
    <w:rsid w:val="00C95077"/>
    <w:rsid w:val="00C95E29"/>
    <w:rsid w:val="00CA5D88"/>
    <w:rsid w:val="00CA7B5F"/>
    <w:rsid w:val="00CB4F0C"/>
    <w:rsid w:val="00CB7101"/>
    <w:rsid w:val="00CB718C"/>
    <w:rsid w:val="00CB74B3"/>
    <w:rsid w:val="00CC4E91"/>
    <w:rsid w:val="00CC58D6"/>
    <w:rsid w:val="00CD182A"/>
    <w:rsid w:val="00CE0B04"/>
    <w:rsid w:val="00CE1CB4"/>
    <w:rsid w:val="00CE381E"/>
    <w:rsid w:val="00CE4A1F"/>
    <w:rsid w:val="00CF24AA"/>
    <w:rsid w:val="00CF3D71"/>
    <w:rsid w:val="00CF77DE"/>
    <w:rsid w:val="00D004FE"/>
    <w:rsid w:val="00D00D51"/>
    <w:rsid w:val="00D04BD0"/>
    <w:rsid w:val="00D066BF"/>
    <w:rsid w:val="00D1071A"/>
    <w:rsid w:val="00D22A8A"/>
    <w:rsid w:val="00D2619A"/>
    <w:rsid w:val="00D33ED2"/>
    <w:rsid w:val="00D40593"/>
    <w:rsid w:val="00D412B9"/>
    <w:rsid w:val="00D41698"/>
    <w:rsid w:val="00D431EE"/>
    <w:rsid w:val="00D44DF6"/>
    <w:rsid w:val="00D5528C"/>
    <w:rsid w:val="00D55FB9"/>
    <w:rsid w:val="00D63D1B"/>
    <w:rsid w:val="00D666DD"/>
    <w:rsid w:val="00D67522"/>
    <w:rsid w:val="00D71C54"/>
    <w:rsid w:val="00D74ED3"/>
    <w:rsid w:val="00D83803"/>
    <w:rsid w:val="00D83A7C"/>
    <w:rsid w:val="00D86E50"/>
    <w:rsid w:val="00D90D3C"/>
    <w:rsid w:val="00D91F38"/>
    <w:rsid w:val="00D92320"/>
    <w:rsid w:val="00D971D2"/>
    <w:rsid w:val="00DA1B31"/>
    <w:rsid w:val="00DA1C73"/>
    <w:rsid w:val="00DA33DB"/>
    <w:rsid w:val="00DA66C1"/>
    <w:rsid w:val="00DA7B4A"/>
    <w:rsid w:val="00DB012A"/>
    <w:rsid w:val="00DB145C"/>
    <w:rsid w:val="00DB33E4"/>
    <w:rsid w:val="00DB5374"/>
    <w:rsid w:val="00DC61A0"/>
    <w:rsid w:val="00DD6202"/>
    <w:rsid w:val="00DD68AB"/>
    <w:rsid w:val="00DD78EE"/>
    <w:rsid w:val="00DF2A97"/>
    <w:rsid w:val="00DF32A0"/>
    <w:rsid w:val="00DF6274"/>
    <w:rsid w:val="00DF7996"/>
    <w:rsid w:val="00E14443"/>
    <w:rsid w:val="00E179DE"/>
    <w:rsid w:val="00E30C3C"/>
    <w:rsid w:val="00E312EE"/>
    <w:rsid w:val="00E3231C"/>
    <w:rsid w:val="00E51EF1"/>
    <w:rsid w:val="00E52261"/>
    <w:rsid w:val="00E57B48"/>
    <w:rsid w:val="00E62182"/>
    <w:rsid w:val="00E643E0"/>
    <w:rsid w:val="00E708BB"/>
    <w:rsid w:val="00E73015"/>
    <w:rsid w:val="00E761A2"/>
    <w:rsid w:val="00E82B90"/>
    <w:rsid w:val="00E83946"/>
    <w:rsid w:val="00E857CA"/>
    <w:rsid w:val="00E858A7"/>
    <w:rsid w:val="00E86439"/>
    <w:rsid w:val="00E922F7"/>
    <w:rsid w:val="00E9285A"/>
    <w:rsid w:val="00E943B5"/>
    <w:rsid w:val="00E956B6"/>
    <w:rsid w:val="00E96198"/>
    <w:rsid w:val="00E975C4"/>
    <w:rsid w:val="00EA2DD9"/>
    <w:rsid w:val="00EA4098"/>
    <w:rsid w:val="00EA550A"/>
    <w:rsid w:val="00EA66F0"/>
    <w:rsid w:val="00EA7E8C"/>
    <w:rsid w:val="00EB268B"/>
    <w:rsid w:val="00EB7949"/>
    <w:rsid w:val="00EC4845"/>
    <w:rsid w:val="00EC66E0"/>
    <w:rsid w:val="00EC7AD6"/>
    <w:rsid w:val="00ED1335"/>
    <w:rsid w:val="00ED3F6A"/>
    <w:rsid w:val="00ED5372"/>
    <w:rsid w:val="00EE1878"/>
    <w:rsid w:val="00EE3834"/>
    <w:rsid w:val="00EE5D6C"/>
    <w:rsid w:val="00EE67D9"/>
    <w:rsid w:val="00EE68BA"/>
    <w:rsid w:val="00EF3823"/>
    <w:rsid w:val="00EF39C1"/>
    <w:rsid w:val="00F00217"/>
    <w:rsid w:val="00F047F4"/>
    <w:rsid w:val="00F07D2D"/>
    <w:rsid w:val="00F1131E"/>
    <w:rsid w:val="00F12BA1"/>
    <w:rsid w:val="00F148C2"/>
    <w:rsid w:val="00F15211"/>
    <w:rsid w:val="00F212CF"/>
    <w:rsid w:val="00F30908"/>
    <w:rsid w:val="00F32AAD"/>
    <w:rsid w:val="00F37C38"/>
    <w:rsid w:val="00F429E8"/>
    <w:rsid w:val="00F42CAA"/>
    <w:rsid w:val="00F44F79"/>
    <w:rsid w:val="00F47F8D"/>
    <w:rsid w:val="00F510E9"/>
    <w:rsid w:val="00F54F33"/>
    <w:rsid w:val="00F71D70"/>
    <w:rsid w:val="00F75927"/>
    <w:rsid w:val="00F76B8C"/>
    <w:rsid w:val="00F8010C"/>
    <w:rsid w:val="00F824BF"/>
    <w:rsid w:val="00F8470A"/>
    <w:rsid w:val="00F85669"/>
    <w:rsid w:val="00F8611B"/>
    <w:rsid w:val="00F90893"/>
    <w:rsid w:val="00F9442B"/>
    <w:rsid w:val="00F95B97"/>
    <w:rsid w:val="00F9682D"/>
    <w:rsid w:val="00FA1012"/>
    <w:rsid w:val="00FA6E65"/>
    <w:rsid w:val="00FA7485"/>
    <w:rsid w:val="00FC024E"/>
    <w:rsid w:val="00FC077A"/>
    <w:rsid w:val="00FC143A"/>
    <w:rsid w:val="00FC2061"/>
    <w:rsid w:val="00FC3918"/>
    <w:rsid w:val="00FC63F4"/>
    <w:rsid w:val="00FD044A"/>
    <w:rsid w:val="00FD2261"/>
    <w:rsid w:val="00FD4942"/>
    <w:rsid w:val="00FE61A6"/>
    <w:rsid w:val="00FF0451"/>
    <w:rsid w:val="00FF1799"/>
    <w:rsid w:val="00FF725E"/>
    <w:rsid w:val="014FB1F8"/>
    <w:rsid w:val="068EA2F5"/>
    <w:rsid w:val="096DCFB4"/>
    <w:rsid w:val="0B59FB43"/>
    <w:rsid w:val="0C14AD34"/>
    <w:rsid w:val="0C1BFFD5"/>
    <w:rsid w:val="0E733FAA"/>
    <w:rsid w:val="10CF72F3"/>
    <w:rsid w:val="11CCDF7C"/>
    <w:rsid w:val="136FC976"/>
    <w:rsid w:val="17125896"/>
    <w:rsid w:val="174938E2"/>
    <w:rsid w:val="182A0E5E"/>
    <w:rsid w:val="189879E4"/>
    <w:rsid w:val="18E31F4A"/>
    <w:rsid w:val="1A3AE779"/>
    <w:rsid w:val="1D9C7050"/>
    <w:rsid w:val="21464EED"/>
    <w:rsid w:val="21D5E852"/>
    <w:rsid w:val="25CCE2EA"/>
    <w:rsid w:val="290A7FDC"/>
    <w:rsid w:val="29D36F66"/>
    <w:rsid w:val="2AFEF7F5"/>
    <w:rsid w:val="2C6A3497"/>
    <w:rsid w:val="2D23EF3C"/>
    <w:rsid w:val="2E98F6AA"/>
    <w:rsid w:val="2F9E847B"/>
    <w:rsid w:val="306E402D"/>
    <w:rsid w:val="31896D02"/>
    <w:rsid w:val="3219DFA7"/>
    <w:rsid w:val="3377B29A"/>
    <w:rsid w:val="3459DF24"/>
    <w:rsid w:val="372F1835"/>
    <w:rsid w:val="3866B465"/>
    <w:rsid w:val="3A7FB428"/>
    <w:rsid w:val="3AA965EB"/>
    <w:rsid w:val="3CC0D4E7"/>
    <w:rsid w:val="3E3752C6"/>
    <w:rsid w:val="40CFA155"/>
    <w:rsid w:val="41502695"/>
    <w:rsid w:val="42225BE8"/>
    <w:rsid w:val="442674DB"/>
    <w:rsid w:val="464DBA66"/>
    <w:rsid w:val="465C3ED3"/>
    <w:rsid w:val="471ED88E"/>
    <w:rsid w:val="476B8657"/>
    <w:rsid w:val="48364D7B"/>
    <w:rsid w:val="48D7BB4B"/>
    <w:rsid w:val="4BD5BBFA"/>
    <w:rsid w:val="4DBEF9D8"/>
    <w:rsid w:val="50C0BA66"/>
    <w:rsid w:val="54427CFA"/>
    <w:rsid w:val="546CB281"/>
    <w:rsid w:val="550AD02D"/>
    <w:rsid w:val="5648A2B7"/>
    <w:rsid w:val="57043F0C"/>
    <w:rsid w:val="57300A29"/>
    <w:rsid w:val="575D09F8"/>
    <w:rsid w:val="577B1E08"/>
    <w:rsid w:val="578FF03F"/>
    <w:rsid w:val="58CA459B"/>
    <w:rsid w:val="594B4E62"/>
    <w:rsid w:val="5A938DCF"/>
    <w:rsid w:val="5B76AA6C"/>
    <w:rsid w:val="5CC604C0"/>
    <w:rsid w:val="5D72E918"/>
    <w:rsid w:val="5DF3C9BF"/>
    <w:rsid w:val="5F9C7D64"/>
    <w:rsid w:val="61D2FE1C"/>
    <w:rsid w:val="6311ECF1"/>
    <w:rsid w:val="632CD531"/>
    <w:rsid w:val="65A8ED72"/>
    <w:rsid w:val="688A7F69"/>
    <w:rsid w:val="6AD254AA"/>
    <w:rsid w:val="6DD067B2"/>
    <w:rsid w:val="6E2985F7"/>
    <w:rsid w:val="7163C15C"/>
    <w:rsid w:val="719EED2C"/>
    <w:rsid w:val="722DEEB9"/>
    <w:rsid w:val="726DFE74"/>
    <w:rsid w:val="7419CBEA"/>
    <w:rsid w:val="74D4A23C"/>
    <w:rsid w:val="7A473925"/>
    <w:rsid w:val="7AD5B5DC"/>
    <w:rsid w:val="7C267E7C"/>
    <w:rsid w:val="7E7CAB0B"/>
    <w:rsid w:val="7F6232E3"/>
    <w:rsid w:val="7F6B5789"/>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4333D"/>
  <w15:docId w15:val="{A3A71051-9016-418B-8D81-E6931167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Subtitle"/>
    <w:next w:val="Normal"/>
    <w:link w:val="Heading1Char"/>
    <w:uiPriority w:val="9"/>
    <w:qFormat/>
    <w:rsid w:val="00056709"/>
    <w:pPr>
      <w:outlineLvl w:val="0"/>
    </w:p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709"/>
    <w:rPr>
      <w:rFonts w:asciiTheme="majorHAnsi" w:eastAsiaTheme="majorEastAsia" w:hAnsiTheme="majorHAnsi" w:cstheme="majorBidi"/>
      <w:iCs/>
      <w:color w:val="000000" w:themeColor="text1"/>
      <w:spacing w:val="6"/>
      <w:sz w:val="32"/>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Subtitle"/>
    <w:next w:val="Subtitle"/>
    <w:uiPriority w:val="9"/>
    <w:rsid w:val="001B4C2A"/>
    <w:pPr>
      <w:spacing w:before="360" w:after="0"/>
      <w:contextualSpacing/>
      <w:outlineLvl w:val="0"/>
    </w:pPr>
    <w:rPr>
      <w:b/>
      <w:bCs/>
      <w:iCs w:val="0"/>
      <w:color w:val="005A70" w:themeColor="accent1"/>
      <w:spacing w:val="3"/>
      <w:sz w:val="60"/>
      <w:szCs w:val="28"/>
    </w:rPr>
  </w:style>
  <w:style w:type="paragraph" w:styleId="Subtitle">
    <w:name w:val="Subtitle"/>
    <w:basedOn w:val="Normal"/>
    <w:next w:val="Normal"/>
    <w:link w:val="SubtitleChar"/>
    <w:uiPriority w:val="9"/>
    <w:qFormat/>
    <w:rsid w:val="003E7673"/>
    <w:pPr>
      <w:spacing w:after="480" w:line="240" w:lineRule="auto"/>
    </w:pPr>
    <w:rPr>
      <w:rFonts w:asciiTheme="majorHAnsi" w:eastAsiaTheme="majorEastAsia" w:hAnsiTheme="majorHAnsi" w:cstheme="majorBidi"/>
      <w:iCs/>
      <w:color w:val="000000" w:themeColor="text1"/>
      <w:spacing w:val="6"/>
      <w:sz w:val="32"/>
    </w:rPr>
  </w:style>
  <w:style w:type="character" w:customStyle="1" w:styleId="SubtitleChar">
    <w:name w:val="Subtitle Char"/>
    <w:basedOn w:val="DefaultParagraphFont"/>
    <w:link w:val="Subtitle"/>
    <w:uiPriority w:val="9"/>
    <w:rsid w:val="003E7673"/>
    <w:rPr>
      <w:rFonts w:asciiTheme="majorHAnsi" w:eastAsiaTheme="majorEastAsia" w:hAnsiTheme="majorHAnsi" w:cstheme="majorBidi"/>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833F75"/>
    <w:pPr>
      <w:spacing w:after="120"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6E6CA9"/>
    <w:pPr>
      <w:numPr>
        <w:numId w:val="18"/>
      </w:numPr>
      <w:spacing w:after="160" w:line="278" w:lineRule="auto"/>
      <w:ind w:left="284" w:hanging="284"/>
      <w:contextualSpacing/>
    </w:pPr>
    <w:rPr>
      <w:szCs w:val="22"/>
    </w:r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3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Heading1withsubtitle"/>
    <w:next w:val="Normal"/>
    <w:link w:val="TitleChar"/>
    <w:uiPriority w:val="10"/>
    <w:unhideWhenUsed/>
    <w:qFormat/>
    <w:rsid w:val="00056709"/>
  </w:style>
  <w:style w:type="character" w:customStyle="1" w:styleId="TitleChar">
    <w:name w:val="Title Char"/>
    <w:basedOn w:val="DefaultParagraphFont"/>
    <w:link w:val="Title"/>
    <w:uiPriority w:val="10"/>
    <w:rsid w:val="00056709"/>
    <w:rPr>
      <w:rFonts w:asciiTheme="majorHAnsi" w:eastAsiaTheme="majorEastAsia" w:hAnsiTheme="majorHAnsi" w:cstheme="majorBidi"/>
      <w:b/>
      <w:bCs/>
      <w:color w:val="005A70" w:themeColor="accent1"/>
      <w:spacing w:val="3"/>
      <w:sz w:val="60"/>
      <w:szCs w:val="28"/>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table" w:customStyle="1" w:styleId="TableGridLight1">
    <w:name w:val="Table Grid Light1"/>
    <w:basedOn w:val="TableNormal"/>
    <w:next w:val="TableGridLight"/>
    <w:uiPriority w:val="40"/>
    <w:rsid w:val="00BB3295"/>
    <w:pPr>
      <w:spacing w:after="0" w:line="240" w:lineRule="auto"/>
    </w:pPr>
    <w:rPr>
      <w:kern w:val="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
    <w:uiPriority w:val="40"/>
    <w:rsid w:val="00076284"/>
    <w:pPr>
      <w:spacing w:after="0" w:line="240" w:lineRule="auto"/>
    </w:pPr>
    <w:rPr>
      <w:kern w:val="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ubtleReference">
    <w:name w:val="Subtle Reference"/>
    <w:basedOn w:val="DefaultParagraphFont"/>
    <w:uiPriority w:val="31"/>
    <w:qFormat/>
    <w:rsid w:val="007E05B4"/>
    <w:rPr>
      <w:smallCaps/>
      <w:color w:val="5A5A5A" w:themeColor="text1" w:themeTint="A5"/>
    </w:rPr>
  </w:style>
  <w:style w:type="paragraph" w:customStyle="1" w:styleId="Heading3colourblock">
    <w:name w:val="Heading 3 colour block"/>
    <w:basedOn w:val="Heading3"/>
    <w:link w:val="Heading3colourblockChar"/>
    <w:qFormat/>
    <w:rsid w:val="00EC4845"/>
    <w:pPr>
      <w:pBdr>
        <w:top w:val="single" w:sz="24" w:space="1" w:color="C1E4F5"/>
        <w:left w:val="single" w:sz="24" w:space="4" w:color="C1E4F5"/>
        <w:bottom w:val="single" w:sz="24" w:space="1" w:color="C1E4F5"/>
        <w:right w:val="single" w:sz="24" w:space="4" w:color="C1E4F5"/>
      </w:pBdr>
      <w:shd w:val="clear" w:color="auto" w:fill="C1E4F5"/>
    </w:pPr>
    <w:rPr>
      <w:b/>
      <w:sz w:val="28"/>
    </w:rPr>
  </w:style>
  <w:style w:type="character" w:customStyle="1" w:styleId="Heading3colourblockChar">
    <w:name w:val="Heading 3 colour block Char"/>
    <w:basedOn w:val="Heading3Char"/>
    <w:link w:val="Heading3colourblock"/>
    <w:rsid w:val="00EC4845"/>
    <w:rPr>
      <w:rFonts w:asciiTheme="majorHAnsi" w:eastAsiaTheme="majorEastAsia" w:hAnsiTheme="majorHAnsi" w:cstheme="majorBidi"/>
      <w:b/>
      <w:bCs/>
      <w:color w:val="005A70" w:themeColor="accent1"/>
      <w:spacing w:val="3"/>
      <w:sz w:val="28"/>
      <w:shd w:val="clear" w:color="auto" w:fill="C1E4F5"/>
    </w:rPr>
  </w:style>
  <w:style w:type="table" w:customStyle="1" w:styleId="TableGridLight3">
    <w:name w:val="Table Grid Light3"/>
    <w:basedOn w:val="TableNormal"/>
    <w:next w:val="TableGridLight"/>
    <w:uiPriority w:val="40"/>
    <w:rsid w:val="00EC4845"/>
    <w:pPr>
      <w:spacing w:after="0" w:line="240" w:lineRule="auto"/>
    </w:pPr>
    <w:rPr>
      <w:kern w:val="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https://www.treasury.sa.gov.au/Growing-South-Australia/social-impact-investment/Aspire-evaluation-report-final.pdf" TargetMode="External"/><Relationship Id="rId21" Type="http://schemas.openxmlformats.org/officeDocument/2006/relationships/image" Target="media/image10.png"/><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header" Target="header11.xml"/><Relationship Id="rId50" Type="http://schemas.openxmlformats.org/officeDocument/2006/relationships/hyperlink" Target="https://www.nsw.gov.au/departments-and-agencies/osii" TargetMode="External"/><Relationship Id="rId55"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footer" Target="footer2.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footer" Target="footer3.xml"/><Relationship Id="rId37" Type="http://schemas.openxmlformats.org/officeDocument/2006/relationships/header" Target="header7.xml"/><Relationship Id="rId40" Type="http://schemas.openxmlformats.org/officeDocument/2006/relationships/hyperlink" Target="https://www.gov.uk/government/publications/evaluation-of-the-refugee-transitions-outcomes-fund/evaluation-of-the-refugee-transitions-outcomes-fund" TargetMode="External"/><Relationship Id="rId45" Type="http://schemas.openxmlformats.org/officeDocument/2006/relationships/image" Target="media/image19.png"/><Relationship Id="rId53" Type="http://schemas.openxmlformats.org/officeDocument/2006/relationships/header" Target="header12.xml"/><Relationship Id="rId5" Type="http://schemas.openxmlformats.org/officeDocument/2006/relationships/numbering" Target="numbering.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 Id="rId35" Type="http://schemas.openxmlformats.org/officeDocument/2006/relationships/footer" Target="footer4.xml"/><Relationship Id="rId43" Type="http://schemas.openxmlformats.org/officeDocument/2006/relationships/footer" Target="footer6.xml"/><Relationship Id="rId48" Type="http://schemas.openxmlformats.org/officeDocument/2006/relationships/footer" Target="footer7.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dtf.vic.gov.au/partnerships-addressing-disadvantag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4.xml"/><Relationship Id="rId38" Type="http://schemas.openxmlformats.org/officeDocument/2006/relationships/footer" Target="footer5.xml"/><Relationship Id="rId46" Type="http://schemas.openxmlformats.org/officeDocument/2006/relationships/header" Target="header10.xml"/><Relationship Id="rId20" Type="http://schemas.openxmlformats.org/officeDocument/2006/relationships/image" Target="media/image9.png"/><Relationship Id="rId41" Type="http://schemas.openxmlformats.org/officeDocument/2006/relationships/header" Target="header8.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eader" Target="header6.xml"/><Relationship Id="rId49" Type="http://schemas.openxmlformats.org/officeDocument/2006/relationships/hyperlink" Target="https://golab.bsg.ox.ac.uk/"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image" Target="media/image18.png"/><Relationship Id="rId52" Type="http://schemas.openxmlformats.org/officeDocument/2006/relationships/hyperlink" Target="https://www.socialventures.org.au/our-impact/a-guide-to-outcomes-contracting-and-social-impact-bon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13" ma:contentTypeDescription="Create a new document." ma:contentTypeScope="" ma:versionID="177c6e610e21e789bef737f5ec646122">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0c139116f5be561dfc30621af4408bd0" ns2:_="" ns3:_="">
    <xsd:import namespace="178084fd-78ef-4070-a466-936eddb55aac"/>
    <xsd:import namespace="ecead6e6-14a6-4d9b-90e8-a4c8dbd97e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c3b57e-7d75-4e74-9589-b64188dce344}" ma:internalName="TaxCatchAll"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2.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customXml/itemProps3.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customXml/itemProps4.xml><?xml version="1.0" encoding="utf-8"?>
<ds:datastoreItem xmlns:ds="http://schemas.openxmlformats.org/officeDocument/2006/customXml" ds:itemID="{A315DDA4-B385-4B15-B6E1-01393F7ED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6155</Words>
  <Characters>36326</Characters>
  <Application>Microsoft Office Word</Application>
  <DocSecurity>0</DocSecurity>
  <Lines>1250</Lines>
  <Paragraphs>569</Paragraphs>
  <ScaleCrop>false</ScaleCrop>
  <HeadingPairs>
    <vt:vector size="2" baseType="variant">
      <vt:variant>
        <vt:lpstr>Title</vt:lpstr>
      </vt:variant>
      <vt:variant>
        <vt:i4>1</vt:i4>
      </vt:variant>
    </vt:vector>
  </HeadingPairs>
  <TitlesOfParts>
    <vt:vector size="1" baseType="lpstr">
      <vt:lpstr>DSS A4 Fact Sheet Template</vt:lpstr>
    </vt:vector>
  </TitlesOfParts>
  <Company>Department of Social Services</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Outcomes-Based Contracting</dc:title>
  <dc:subject/>
  <dc:creator>WARDROP, Shaye</dc:creator>
  <cp:keywords>[SEC=OFFICIAL]</cp:keywords>
  <cp:lastModifiedBy>MILLER, Vicky</cp:lastModifiedBy>
  <cp:revision>13</cp:revision>
  <cp:lastPrinted>2026-05-11T23:14:00Z</cp:lastPrinted>
  <dcterms:created xsi:type="dcterms:W3CDTF">2026-05-12T02:29:00Z</dcterms:created>
  <dcterms:modified xsi:type="dcterms:W3CDTF">2026-05-12T21:28:00Z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0DD8ABEF265912D6621FF293CF3D7CFABEC45F40</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B7E13AD8FE808A93A9701D7E5CCB9533</vt:lpwstr>
  </property>
  <property fmtid="{D5CDD505-2E9C-101B-9397-08002B2CF9AE}" pid="21" name="PM_Hash_Salt">
    <vt:lpwstr>579682070D9F7094FBA8F2C3723D30A8</vt:lpwstr>
  </property>
  <property fmtid="{D5CDD505-2E9C-101B-9397-08002B2CF9AE}" pid="22" name="PM_Hash_SHA1">
    <vt:lpwstr>5A36B3DFC67F83D3B4ACE4C224005C4F69F25700</vt:lpwstr>
  </property>
  <property fmtid="{D5CDD505-2E9C-101B-9397-08002B2CF9AE}" pid="23" name="PM_OriginatorUserAccountName_SHA256">
    <vt:lpwstr>9871F6CFFBF84B5DD096BCB24488EABDE9250CEAA716568F68B24D42DED533FD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0x01010026E276F24DFD374D9FDBBEE3ABC4327E</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041e7712995c49d8ab904b9e127e7e65</vt:lpwstr>
  </property>
  <property fmtid="{D5CDD505-2E9C-101B-9397-08002B2CF9AE}" pid="35" name="MSIP_Label_eb34d90b-fc41-464d-af60-f74d721d0790_ContentBits">
    <vt:lpwstr>3</vt:lpwstr>
  </property>
  <property fmtid="{D5CDD505-2E9C-101B-9397-08002B2CF9AE}" pid="36" name="PMHMAC">
    <vt:lpwstr>v=2024.1;a=SHA256;h=942D12626B08253CB6C46397687961DD6D66EA7DE2B6C597D76000A9B1D47A32</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