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27861" w14:textId="359EC516" w:rsidR="00640150" w:rsidRDefault="00640150" w:rsidP="00722473">
      <w:pPr>
        <w:tabs>
          <w:tab w:val="left" w:pos="7560"/>
        </w:tabs>
        <w:sectPr w:rsidR="00640150" w:rsidSect="00640150">
          <w:headerReference w:type="default" r:id="rId11"/>
          <w:footerReference w:type="default" r:id="rId12"/>
          <w:footerReference w:type="first" r:id="rId13"/>
          <w:pgSz w:w="11906" w:h="16838"/>
          <w:pgMar w:top="284" w:right="851" w:bottom="1134" w:left="851" w:header="0" w:footer="0" w:gutter="0"/>
          <w:pgNumType w:start="2"/>
          <w:cols w:space="708"/>
          <w:titlePg/>
          <w:docGrid w:linePitch="360"/>
        </w:sectPr>
      </w:pPr>
      <w:r>
        <w:rPr>
          <w:noProof/>
        </w:rPr>
        <w:drawing>
          <wp:anchor distT="0" distB="0" distL="114300" distR="114300" simplePos="0" relativeHeight="251658240" behindDoc="1" locked="0" layoutInCell="1" allowOverlap="1" wp14:anchorId="7119703E" wp14:editId="6AFCCFC8">
            <wp:simplePos x="0" y="0"/>
            <wp:positionH relativeFrom="margin">
              <wp:posOffset>-170180</wp:posOffset>
            </wp:positionH>
            <wp:positionV relativeFrom="margin">
              <wp:posOffset>176530</wp:posOffset>
            </wp:positionV>
            <wp:extent cx="6827862" cy="9972000"/>
            <wp:effectExtent l="0" t="0" r="0" b="0"/>
            <wp:wrapNone/>
            <wp:docPr id="98960136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01364" name="Picture 2">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4146" r="-1"/>
                    <a:stretch/>
                  </pic:blipFill>
                  <pic:spPr bwMode="auto">
                    <a:xfrm flipH="1">
                      <a:off x="0" y="0"/>
                      <a:ext cx="6827862" cy="99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473">
        <w:tab/>
      </w:r>
    </w:p>
    <w:p w14:paraId="3110E93F" w14:textId="31BEC5C5" w:rsidR="00640150" w:rsidRDefault="009A3B1C" w:rsidP="00640150">
      <w:bookmarkStart w:id="0" w:name="_Toc140757166"/>
      <w:bookmarkStart w:id="1" w:name="_Toc144375361"/>
      <w:r>
        <w:rPr>
          <w:noProof/>
        </w:rPr>
        <w:drawing>
          <wp:inline distT="0" distB="0" distL="0" distR="0" wp14:anchorId="7EB5DECB" wp14:editId="34B7DFE0">
            <wp:extent cx="1676486" cy="841418"/>
            <wp:effectExtent l="0" t="0" r="0" b="0"/>
            <wp:docPr id="341135423" name="Picture 1"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35423" name="Picture 1" descr="Australian Govern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86" cy="841418"/>
                    </a:xfrm>
                    <a:prstGeom prst="rect">
                      <a:avLst/>
                    </a:prstGeom>
                  </pic:spPr>
                </pic:pic>
              </a:graphicData>
            </a:graphic>
          </wp:inline>
        </w:drawing>
      </w:r>
    </w:p>
    <w:p w14:paraId="603332CE" w14:textId="697AE26F" w:rsidR="00640150" w:rsidRPr="009A3B1C" w:rsidRDefault="510DBEF6" w:rsidP="00A951C8">
      <w:pPr>
        <w:pStyle w:val="Heading1"/>
      </w:pPr>
      <w:bookmarkStart w:id="2" w:name="_Toc183032719"/>
      <w:bookmarkEnd w:id="0"/>
      <w:bookmarkEnd w:id="1"/>
      <w:r w:rsidRPr="60A5DBCD">
        <w:t>G</w:t>
      </w:r>
      <w:r w:rsidR="00640150" w:rsidRPr="60A5DBCD">
        <w:t xml:space="preserve">uide to </w:t>
      </w:r>
      <w:r w:rsidR="0069486D">
        <w:t>G</w:t>
      </w:r>
      <w:r w:rsidR="00640150" w:rsidRPr="60A5DBCD">
        <w:t xml:space="preserve">overnment </w:t>
      </w:r>
      <w:r w:rsidR="0069486D" w:rsidRPr="00A951C8">
        <w:t>P</w:t>
      </w:r>
      <w:r w:rsidR="00640150" w:rsidRPr="00A951C8">
        <w:t>artnership</w:t>
      </w:r>
      <w:r w:rsidR="00640150" w:rsidRPr="60A5DBCD">
        <w:t xml:space="preserve"> with </w:t>
      </w:r>
      <w:r w:rsidR="0069486D">
        <w:t>P</w:t>
      </w:r>
      <w:r w:rsidR="00640150" w:rsidRPr="60A5DBCD">
        <w:t>hilanthropy</w:t>
      </w:r>
      <w:bookmarkEnd w:id="2"/>
    </w:p>
    <w:p w14:paraId="1D434CAE" w14:textId="77777777" w:rsidR="00640150" w:rsidRDefault="00640150" w:rsidP="00640150">
      <w:bookmarkStart w:id="3" w:name="_Toc395536189"/>
      <w:r>
        <w:br w:type="page"/>
      </w:r>
    </w:p>
    <w:p w14:paraId="39E178A4" w14:textId="77777777" w:rsidR="00640150" w:rsidRPr="008E55EF" w:rsidRDefault="00640150" w:rsidP="00640150">
      <w:pPr>
        <w:rPr>
          <w:b/>
          <w:bCs/>
          <w:color w:val="2A4055"/>
        </w:rPr>
      </w:pPr>
      <w:r w:rsidRPr="008E55EF">
        <w:rPr>
          <w:b/>
          <w:bCs/>
          <w:noProof/>
          <w:color w:val="2A4055"/>
        </w:rPr>
        <w:lastRenderedPageBreak/>
        <w:drawing>
          <wp:anchor distT="0" distB="0" distL="114300" distR="114300" simplePos="0" relativeHeight="251658241" behindDoc="1" locked="0" layoutInCell="1" allowOverlap="1" wp14:anchorId="27724CC4" wp14:editId="48A5EF4D">
            <wp:simplePos x="0" y="0"/>
            <wp:positionH relativeFrom="column">
              <wp:posOffset>4768215</wp:posOffset>
            </wp:positionH>
            <wp:positionV relativeFrom="paragraph">
              <wp:posOffset>5715</wp:posOffset>
            </wp:positionV>
            <wp:extent cx="1633220" cy="1672590"/>
            <wp:effectExtent l="0" t="0" r="5080" b="3810"/>
            <wp:wrapTight wrapText="bothSides">
              <wp:wrapPolygon edited="0">
                <wp:start x="0" y="0"/>
                <wp:lineTo x="0" y="21403"/>
                <wp:lineTo x="21415" y="21403"/>
                <wp:lineTo x="21415" y="0"/>
                <wp:lineTo x="0" y="0"/>
              </wp:wrapPolygon>
            </wp:wrapTight>
            <wp:docPr id="112313098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30988" name="Picture 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3220" cy="1672590"/>
                    </a:xfrm>
                    <a:prstGeom prst="rect">
                      <a:avLst/>
                    </a:prstGeom>
                    <a:noFill/>
                  </pic:spPr>
                </pic:pic>
              </a:graphicData>
            </a:graphic>
            <wp14:sizeRelH relativeFrom="page">
              <wp14:pctWidth>0</wp14:pctWidth>
            </wp14:sizeRelH>
            <wp14:sizeRelV relativeFrom="page">
              <wp14:pctHeight>0</wp14:pctHeight>
            </wp14:sizeRelV>
          </wp:anchor>
        </w:drawing>
      </w:r>
      <w:bookmarkStart w:id="4" w:name="_Toc175821613"/>
      <w:bookmarkStart w:id="5" w:name="_Toc175906037"/>
      <w:r w:rsidRPr="008E55EF">
        <w:rPr>
          <w:b/>
          <w:bCs/>
          <w:color w:val="2A4055"/>
        </w:rPr>
        <w:t>Acknowledgement of Country</w:t>
      </w:r>
      <w:bookmarkEnd w:id="4"/>
      <w:bookmarkEnd w:id="5"/>
    </w:p>
    <w:p w14:paraId="19DE05B8" w14:textId="77777777" w:rsidR="00640150" w:rsidRPr="003F6480" w:rsidRDefault="00640150" w:rsidP="00C933AA">
      <w:pPr>
        <w:spacing w:after="120"/>
      </w:pPr>
      <w:r w:rsidRPr="25666478">
        <w:t>The Australian Government acknowledges Aboriginal and Torres Strait Islander peoples throughout Australia and their continuing connection to land, water, culture and community. We pay our respects to the Elders both past and present.</w:t>
      </w:r>
    </w:p>
    <w:p w14:paraId="758E2B06" w14:textId="77777777" w:rsidR="00640150" w:rsidRDefault="00640150" w:rsidP="00640150">
      <w:r w:rsidRPr="00DC733B">
        <w:rPr>
          <w:b/>
          <w:bCs/>
          <w:color w:val="2A4055"/>
        </w:rPr>
        <w:t>Artwork:</w:t>
      </w:r>
      <w:r w:rsidRPr="00DC733B">
        <w:rPr>
          <w:color w:val="2A4055"/>
        </w:rPr>
        <w:t xml:space="preserve"> </w:t>
      </w:r>
      <w:r w:rsidRPr="002D5409">
        <w:t>Reconciliation Journeys.</w:t>
      </w:r>
    </w:p>
    <w:p w14:paraId="6A157472" w14:textId="13E34336" w:rsidR="00640150" w:rsidRDefault="00640150" w:rsidP="00640150">
      <w:r w:rsidRPr="00661BF0">
        <w:t xml:space="preserve">© Commonwealth of Australia </w:t>
      </w:r>
      <w:r w:rsidRPr="002D03F0">
        <w:t>202</w:t>
      </w:r>
      <w:r w:rsidR="00025B0C">
        <w:t>6</w:t>
      </w:r>
    </w:p>
    <w:p w14:paraId="54212F93" w14:textId="765914B5" w:rsidR="00640150" w:rsidRDefault="00640150" w:rsidP="00640150">
      <w:r>
        <w:t>ISBN:</w:t>
      </w:r>
      <w:r w:rsidR="00A33C6E" w:rsidRPr="00A33C6E">
        <w:rPr>
          <w:rFonts w:ascii="Calibri" w:hAnsi="Calibri" w:cs="Calibri"/>
          <w:color w:val="4EA72E"/>
          <w:spacing w:val="0"/>
          <w:szCs w:val="22"/>
        </w:rPr>
        <w:t xml:space="preserve"> </w:t>
      </w:r>
      <w:r w:rsidR="00A33C6E" w:rsidRPr="00A33C6E">
        <w:t>978-1-921647-83-3</w:t>
      </w:r>
    </w:p>
    <w:p w14:paraId="4ACD7896" w14:textId="65F22334" w:rsidR="009B26BF" w:rsidRPr="00444CDB" w:rsidRDefault="009B26BF" w:rsidP="00640150">
      <w:r>
        <w:t xml:space="preserve">DSS product number: </w:t>
      </w:r>
      <w:r w:rsidRPr="009B26BF">
        <w:t>DSS3602.11.25</w:t>
      </w:r>
    </w:p>
    <w:p w14:paraId="182B0567" w14:textId="77777777" w:rsidR="00640150" w:rsidRPr="00086F82" w:rsidRDefault="00640150" w:rsidP="00C933AA">
      <w:pPr>
        <w:spacing w:after="120"/>
        <w:rPr>
          <w:sz w:val="24"/>
        </w:rPr>
      </w:pPr>
      <w:r w:rsidRPr="25666478">
        <w:t>This publication is available for your use under a</w:t>
      </w:r>
      <w:r w:rsidRPr="25666478">
        <w:rPr>
          <w:sz w:val="24"/>
        </w:rPr>
        <w:t xml:space="preserve"> </w:t>
      </w:r>
      <w:hyperlink r:id="rId17">
        <w:r w:rsidRPr="25666478">
          <w:rPr>
            <w:rStyle w:val="Hyperlink"/>
          </w:rPr>
          <w:t>Creative Commons Attribution 4.0 International</w:t>
        </w:r>
      </w:hyperlink>
      <w:r w:rsidRPr="25666478">
        <w:rPr>
          <w:sz w:val="24"/>
        </w:rPr>
        <w:t xml:space="preserve"> </w:t>
      </w:r>
      <w:r w:rsidRPr="25666478">
        <w:t>licence, with the exception of the Commonwealth Coat of Arms, Australian Government logo, photographs, images, third party materials, materials protected by a trademark, signatures and where otherwise stated. The full licence terms are available from</w:t>
      </w:r>
      <w:r w:rsidRPr="25666478">
        <w:rPr>
          <w:sz w:val="24"/>
        </w:rPr>
        <w:t xml:space="preserve"> </w:t>
      </w:r>
      <w:hyperlink r:id="rId18">
        <w:r w:rsidRPr="25666478">
          <w:rPr>
            <w:rStyle w:val="Hyperlink"/>
          </w:rPr>
          <w:t>creativecommons.org/licenses/by/4.0/</w:t>
        </w:r>
        <w:proofErr w:type="spellStart"/>
        <w:r w:rsidRPr="25666478">
          <w:rPr>
            <w:rStyle w:val="Hyperlink"/>
          </w:rPr>
          <w:t>legalcode</w:t>
        </w:r>
        <w:proofErr w:type="spellEnd"/>
      </w:hyperlink>
      <w:r w:rsidRPr="25666478">
        <w:t>.</w:t>
      </w:r>
      <w:r w:rsidRPr="25666478">
        <w:rPr>
          <w:sz w:val="24"/>
        </w:rPr>
        <w:t xml:space="preserve"> </w:t>
      </w:r>
    </w:p>
    <w:p w14:paraId="457B0294" w14:textId="77777777" w:rsidR="00640150" w:rsidRDefault="00640150" w:rsidP="00640150">
      <w:pPr>
        <w:rPr>
          <w:rFonts w:ascii="Arial" w:hAnsi="Arial" w:cs="Arial"/>
        </w:rPr>
      </w:pPr>
      <w:r>
        <w:rPr>
          <w:noProof/>
          <w:lang w:eastAsia="en-AU"/>
        </w:rPr>
        <w:drawing>
          <wp:inline distT="0" distB="0" distL="0" distR="0" wp14:anchorId="49A13C1A" wp14:editId="498B9B78">
            <wp:extent cx="1227411" cy="429442"/>
            <wp:effectExtent l="0" t="0" r="0" b="8890"/>
            <wp:docPr id="4" name="Picture 4" descr="Creative Commons Attribution 4.0 International Lic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4.0 International Licence">
                      <a:extLst>
                        <a:ext uri="{C183D7F6-B498-43B3-948B-1728B52AA6E4}">
                          <adec:decorative xmlns:adec="http://schemas.microsoft.com/office/drawing/2017/decorative" val="0"/>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B1ED085" w14:textId="77777777" w:rsidR="00640150" w:rsidRPr="006627B4" w:rsidRDefault="00640150" w:rsidP="00C933AA">
      <w:pPr>
        <w:spacing w:after="120"/>
      </w:pPr>
      <w:r w:rsidRPr="006627B4">
        <w:t xml:space="preserve">Use of </w:t>
      </w:r>
      <w:r>
        <w:t xml:space="preserve">this </w:t>
      </w:r>
      <w:r w:rsidRPr="006627B4">
        <w:t>material under a</w:t>
      </w:r>
      <w:r w:rsidRPr="00476F09">
        <w:rPr>
          <w:rFonts w:cstheme="minorHAnsi"/>
          <w:sz w:val="24"/>
        </w:rPr>
        <w:t xml:space="preserve"> </w:t>
      </w:r>
      <w:hyperlink r:id="rId20" w:history="1">
        <w:r>
          <w:rPr>
            <w:rStyle w:val="Hyperlink"/>
          </w:rPr>
          <w:t>Creative Commons Attribution 4.0 International</w:t>
        </w:r>
      </w:hyperlink>
      <w:r>
        <w:t xml:space="preserve"> l</w:t>
      </w:r>
      <w:r w:rsidRPr="006627B4">
        <w:t xml:space="preserve">icence requires you to attribute the work (but not in any way that suggests that the </w:t>
      </w:r>
      <w:r>
        <w:t>Australian Government</w:t>
      </w:r>
      <w:r w:rsidRPr="006627B4">
        <w:t xml:space="preserve"> endorse</w:t>
      </w:r>
      <w:r>
        <w:t>s you or your use of the work).</w:t>
      </w:r>
    </w:p>
    <w:p w14:paraId="08322F40" w14:textId="77777777" w:rsidR="00640150" w:rsidRPr="008E55EF" w:rsidRDefault="00640150" w:rsidP="00640150">
      <w:pPr>
        <w:rPr>
          <w:b/>
          <w:bCs/>
          <w:color w:val="2A4055"/>
        </w:rPr>
      </w:pPr>
      <w:r w:rsidRPr="008E55EF">
        <w:rPr>
          <w:b/>
          <w:bCs/>
          <w:color w:val="2A4055"/>
        </w:rPr>
        <w:t>Material used ‘as supplied’</w:t>
      </w:r>
    </w:p>
    <w:p w14:paraId="084B4ED2" w14:textId="128046DA" w:rsidR="00640150" w:rsidRPr="00A13A11" w:rsidRDefault="00640150" w:rsidP="00C933AA">
      <w:pPr>
        <w:spacing w:after="120"/>
      </w:pPr>
      <w:r w:rsidRPr="25666478">
        <w:t xml:space="preserve">Provided you have not modified or transformed material in this publication in any way including, for example, by changing the text; calculating percentage changes; graphing or charting data; or deriving new statistics from published statistics </w:t>
      </w:r>
      <w:r w:rsidR="00B236DB" w:rsidRPr="25666478">
        <w:rPr>
          <w:rFonts w:cs="Calibri Light"/>
        </w:rPr>
        <w:t>–</w:t>
      </w:r>
      <w:r w:rsidR="00B236DB" w:rsidRPr="25666478">
        <w:t xml:space="preserve"> use</w:t>
      </w:r>
      <w:r w:rsidRPr="25666478">
        <w:t xml:space="preserve"> the following attribution: Source</w:t>
      </w:r>
      <w:r w:rsidRPr="25666478">
        <w:rPr>
          <w:b/>
          <w:bCs/>
        </w:rPr>
        <w:t>:</w:t>
      </w:r>
      <w:r w:rsidRPr="25666478">
        <w:rPr>
          <w:b/>
          <w:bCs/>
          <w:i/>
          <w:iCs/>
        </w:rPr>
        <w:t xml:space="preserve"> </w:t>
      </w:r>
      <w:r w:rsidRPr="25666478">
        <w:rPr>
          <w:rStyle w:val="Emphasis"/>
          <w:b w:val="0"/>
          <w:bCs w:val="0"/>
        </w:rPr>
        <w:t>The Commonwealth of Australia.</w:t>
      </w:r>
    </w:p>
    <w:p w14:paraId="4C1B73FA" w14:textId="77777777" w:rsidR="00640150" w:rsidRPr="008E55EF" w:rsidRDefault="00640150" w:rsidP="00640150">
      <w:pPr>
        <w:rPr>
          <w:b/>
          <w:bCs/>
          <w:color w:val="2A4055"/>
        </w:rPr>
      </w:pPr>
      <w:r w:rsidRPr="008E55EF">
        <w:rPr>
          <w:b/>
          <w:bCs/>
          <w:color w:val="2A4055"/>
        </w:rPr>
        <w:t>Derivative material</w:t>
      </w:r>
    </w:p>
    <w:p w14:paraId="543D25AC" w14:textId="77777777" w:rsidR="00640150" w:rsidRPr="002D5409" w:rsidRDefault="00640150" w:rsidP="00C933AA">
      <w:pPr>
        <w:spacing w:after="120"/>
        <w:rPr>
          <w:rStyle w:val="Emphasis"/>
          <w:b w:val="0"/>
          <w:bCs w:val="0"/>
          <w:i w:val="0"/>
          <w:iCs w:val="0"/>
          <w:spacing w:val="3"/>
        </w:rPr>
      </w:pPr>
      <w:r w:rsidRPr="25666478">
        <w:t xml:space="preserve">If you have modified or transformed material in this publication or derived new material from those in this publication in any way, use the following attribution: </w:t>
      </w:r>
      <w:r w:rsidRPr="25666478">
        <w:rPr>
          <w:rStyle w:val="Emphasis"/>
          <w:b w:val="0"/>
          <w:bCs w:val="0"/>
        </w:rPr>
        <w:t>Based on Commonwealth of Australia data.</w:t>
      </w:r>
    </w:p>
    <w:p w14:paraId="48DB07E2" w14:textId="77777777" w:rsidR="00640150" w:rsidRPr="008E55EF" w:rsidRDefault="00640150" w:rsidP="00640150">
      <w:pPr>
        <w:rPr>
          <w:b/>
          <w:bCs/>
          <w:color w:val="2A4055"/>
        </w:rPr>
      </w:pPr>
      <w:r w:rsidRPr="008E55EF">
        <w:rPr>
          <w:b/>
          <w:bCs/>
          <w:color w:val="2A4055"/>
        </w:rPr>
        <w:t>Other material or rights in this publication</w:t>
      </w:r>
    </w:p>
    <w:p w14:paraId="15CA3F1F" w14:textId="2FD229F4" w:rsidR="00640150" w:rsidRPr="005C503A" w:rsidRDefault="00640150" w:rsidP="00C933AA">
      <w:pPr>
        <w:spacing w:after="120"/>
      </w:pPr>
      <w:r w:rsidRPr="005C503A">
        <w:t xml:space="preserve">The terms under which the Coat of Arms can be used are set out on the Department of the Prime Minister and Cabinet website (see </w:t>
      </w:r>
      <w:hyperlink r:id="rId21" w:history="1">
        <w:r>
          <w:rPr>
            <w:rStyle w:val="Hyperlink"/>
          </w:rPr>
          <w:t>www.pmc.gov.au/government/commonwealth-coat-arms</w:t>
        </w:r>
      </w:hyperlink>
      <w:r w:rsidRPr="005C503A">
        <w:t>).</w:t>
      </w:r>
    </w:p>
    <w:p w14:paraId="0AE44FD2" w14:textId="77777777" w:rsidR="00640150" w:rsidRPr="002D5409" w:rsidRDefault="00640150" w:rsidP="00C933AA">
      <w:pPr>
        <w:spacing w:after="120"/>
        <w:rPr>
          <w:rStyle w:val="Strong"/>
          <w:b w:val="0"/>
          <w:bCs w:val="0"/>
        </w:rPr>
      </w:pPr>
      <w:r w:rsidRPr="25666478">
        <w:rPr>
          <w:rStyle w:val="Strong"/>
          <w:b w:val="0"/>
          <w:bCs w:val="0"/>
        </w:rPr>
        <w:t xml:space="preserve">Cover image licensed by </w:t>
      </w:r>
      <w:proofErr w:type="spellStart"/>
      <w:r w:rsidRPr="25666478">
        <w:rPr>
          <w:rStyle w:val="Strong"/>
          <w:b w:val="0"/>
          <w:bCs w:val="0"/>
        </w:rPr>
        <w:t>Envato</w:t>
      </w:r>
      <w:proofErr w:type="spellEnd"/>
      <w:r w:rsidRPr="25666478">
        <w:rPr>
          <w:rStyle w:val="Strong"/>
          <w:b w:val="0"/>
          <w:bCs w:val="0"/>
        </w:rPr>
        <w:t xml:space="preserve">. </w:t>
      </w:r>
    </w:p>
    <w:p w14:paraId="73D6F0AB" w14:textId="77777777" w:rsidR="00640150" w:rsidRPr="008E55EF" w:rsidRDefault="00640150" w:rsidP="00640150">
      <w:pPr>
        <w:rPr>
          <w:b/>
          <w:bCs/>
          <w:color w:val="2A4055"/>
        </w:rPr>
      </w:pPr>
      <w:r w:rsidRPr="008E55EF">
        <w:rPr>
          <w:b/>
          <w:bCs/>
          <w:color w:val="2A4055"/>
        </w:rPr>
        <w:t>Other uses</w:t>
      </w:r>
    </w:p>
    <w:p w14:paraId="17DBD7F8" w14:textId="77777777" w:rsidR="00640150" w:rsidRPr="007772C5" w:rsidRDefault="00640150" w:rsidP="25666478">
      <w:pPr>
        <w:rPr>
          <w:rStyle w:val="Hyperlink"/>
        </w:rPr>
      </w:pPr>
      <w:r w:rsidRPr="25666478">
        <w:t xml:space="preserve">Inquiries regarding this licence or any other use of this document are welcome. Please contact: Branch Manager, Communication Services Branch, Department of Social Services. Phone: 1300 653 227. Email: </w:t>
      </w:r>
      <w:r>
        <w:fldChar w:fldCharType="begin"/>
      </w:r>
      <w:r>
        <w:instrText xml:space="preserve"> HYPERLINK "mailto:communication@dss.gov.au" </w:instrText>
      </w:r>
      <w:r>
        <w:fldChar w:fldCharType="separate"/>
      </w:r>
      <w:r w:rsidRPr="25666478">
        <w:rPr>
          <w:rStyle w:val="Hyperlink"/>
        </w:rPr>
        <w:t>communication@dss.gov.au</w:t>
      </w:r>
    </w:p>
    <w:p w14:paraId="67F904B5" w14:textId="77777777" w:rsidR="00640150" w:rsidRDefault="00640150" w:rsidP="00640150">
      <w:pPr>
        <w:pStyle w:val="TOCHeading"/>
      </w:pPr>
      <w:r>
        <w:lastRenderedPageBreak/>
        <w:fldChar w:fldCharType="end"/>
      </w:r>
      <w:bookmarkStart w:id="6" w:name="_Toc183353876"/>
      <w:bookmarkEnd w:id="3"/>
      <w:r>
        <w:t>Contents</w:t>
      </w:r>
      <w:bookmarkEnd w:id="6"/>
    </w:p>
    <w:p w14:paraId="5E051F77" w14:textId="109A3555" w:rsidR="00F54CCB" w:rsidRDefault="00640150">
      <w:pPr>
        <w:pStyle w:val="TOC2"/>
        <w:tabs>
          <w:tab w:val="right" w:leader="dot" w:pos="10194"/>
        </w:tabs>
        <w:rPr>
          <w:rFonts w:eastAsiaTheme="minorEastAsia"/>
          <w:noProof/>
          <w:spacing w:val="0"/>
          <w:kern w:val="2"/>
          <w:sz w:val="24"/>
          <w:lang w:eastAsia="en-AU"/>
          <w14:ligatures w14:val="standardContextual"/>
        </w:rPr>
      </w:pPr>
      <w:r>
        <w:fldChar w:fldCharType="begin"/>
      </w:r>
      <w:r>
        <w:instrText xml:space="preserve"> TOC \o "3-3" \h \z \t "Heading 2,2" </w:instrText>
      </w:r>
      <w:r>
        <w:fldChar w:fldCharType="separate"/>
      </w:r>
      <w:hyperlink w:anchor="_Toc225929558" w:history="1">
        <w:r w:rsidR="00F54CCB" w:rsidRPr="00EE0876">
          <w:rPr>
            <w:rStyle w:val="Hyperlink"/>
            <w:noProof/>
          </w:rPr>
          <w:t>Introduction</w:t>
        </w:r>
        <w:r w:rsidR="00F54CCB">
          <w:rPr>
            <w:noProof/>
            <w:webHidden/>
          </w:rPr>
          <w:tab/>
        </w:r>
        <w:r w:rsidR="00F54CCB">
          <w:rPr>
            <w:noProof/>
            <w:webHidden/>
          </w:rPr>
          <w:fldChar w:fldCharType="begin"/>
        </w:r>
        <w:r w:rsidR="00F54CCB">
          <w:rPr>
            <w:noProof/>
            <w:webHidden/>
          </w:rPr>
          <w:instrText xml:space="preserve"> PAGEREF _Toc225929558 \h </w:instrText>
        </w:r>
        <w:r w:rsidR="00F54CCB">
          <w:rPr>
            <w:noProof/>
            <w:webHidden/>
          </w:rPr>
        </w:r>
        <w:r w:rsidR="00F54CCB">
          <w:rPr>
            <w:noProof/>
            <w:webHidden/>
          </w:rPr>
          <w:fldChar w:fldCharType="separate"/>
        </w:r>
        <w:r w:rsidR="00D50C1A">
          <w:rPr>
            <w:noProof/>
            <w:webHidden/>
          </w:rPr>
          <w:t>4</w:t>
        </w:r>
        <w:r w:rsidR="00F54CCB">
          <w:rPr>
            <w:noProof/>
            <w:webHidden/>
          </w:rPr>
          <w:fldChar w:fldCharType="end"/>
        </w:r>
      </w:hyperlink>
    </w:p>
    <w:p w14:paraId="059506E7" w14:textId="5875B3D7" w:rsidR="00F54CCB" w:rsidRDefault="00F54CCB">
      <w:pPr>
        <w:pStyle w:val="TOC2"/>
        <w:tabs>
          <w:tab w:val="right" w:leader="dot" w:pos="10194"/>
        </w:tabs>
        <w:rPr>
          <w:rFonts w:eastAsiaTheme="minorEastAsia"/>
          <w:noProof/>
          <w:spacing w:val="0"/>
          <w:kern w:val="2"/>
          <w:sz w:val="24"/>
          <w:lang w:eastAsia="en-AU"/>
          <w14:ligatures w14:val="standardContextual"/>
        </w:rPr>
      </w:pPr>
      <w:hyperlink w:anchor="_Toc225929559" w:history="1">
        <w:r w:rsidRPr="00EE0876">
          <w:rPr>
            <w:rStyle w:val="Hyperlink"/>
            <w:noProof/>
          </w:rPr>
          <w:t>About this document</w:t>
        </w:r>
        <w:r>
          <w:rPr>
            <w:noProof/>
            <w:webHidden/>
          </w:rPr>
          <w:tab/>
        </w:r>
        <w:r>
          <w:rPr>
            <w:noProof/>
            <w:webHidden/>
          </w:rPr>
          <w:fldChar w:fldCharType="begin"/>
        </w:r>
        <w:r>
          <w:rPr>
            <w:noProof/>
            <w:webHidden/>
          </w:rPr>
          <w:instrText xml:space="preserve"> PAGEREF _Toc225929559 \h </w:instrText>
        </w:r>
        <w:r>
          <w:rPr>
            <w:noProof/>
            <w:webHidden/>
          </w:rPr>
        </w:r>
        <w:r>
          <w:rPr>
            <w:noProof/>
            <w:webHidden/>
          </w:rPr>
          <w:fldChar w:fldCharType="separate"/>
        </w:r>
        <w:r w:rsidR="00D50C1A">
          <w:rPr>
            <w:noProof/>
            <w:webHidden/>
          </w:rPr>
          <w:t>5</w:t>
        </w:r>
        <w:r>
          <w:rPr>
            <w:noProof/>
            <w:webHidden/>
          </w:rPr>
          <w:fldChar w:fldCharType="end"/>
        </w:r>
      </w:hyperlink>
    </w:p>
    <w:p w14:paraId="41368A42" w14:textId="15D6FD5A" w:rsidR="00F54CCB" w:rsidRDefault="00F54CCB">
      <w:pPr>
        <w:pStyle w:val="TOC2"/>
        <w:tabs>
          <w:tab w:val="right" w:leader="dot" w:pos="10194"/>
        </w:tabs>
        <w:rPr>
          <w:rFonts w:eastAsiaTheme="minorEastAsia"/>
          <w:noProof/>
          <w:spacing w:val="0"/>
          <w:kern w:val="2"/>
          <w:sz w:val="24"/>
          <w:lang w:eastAsia="en-AU"/>
          <w14:ligatures w14:val="standardContextual"/>
        </w:rPr>
      </w:pPr>
      <w:hyperlink w:anchor="_Toc225929560" w:history="1">
        <w:r w:rsidRPr="00EE0876">
          <w:rPr>
            <w:rStyle w:val="Hyperlink"/>
            <w:noProof/>
          </w:rPr>
          <w:t>Understanding partnership</w:t>
        </w:r>
        <w:r>
          <w:rPr>
            <w:noProof/>
            <w:webHidden/>
          </w:rPr>
          <w:tab/>
        </w:r>
        <w:r>
          <w:rPr>
            <w:noProof/>
            <w:webHidden/>
          </w:rPr>
          <w:fldChar w:fldCharType="begin"/>
        </w:r>
        <w:r>
          <w:rPr>
            <w:noProof/>
            <w:webHidden/>
          </w:rPr>
          <w:instrText xml:space="preserve"> PAGEREF _Toc225929560 \h </w:instrText>
        </w:r>
        <w:r>
          <w:rPr>
            <w:noProof/>
            <w:webHidden/>
          </w:rPr>
        </w:r>
        <w:r>
          <w:rPr>
            <w:noProof/>
            <w:webHidden/>
          </w:rPr>
          <w:fldChar w:fldCharType="separate"/>
        </w:r>
        <w:r w:rsidR="00D50C1A">
          <w:rPr>
            <w:noProof/>
            <w:webHidden/>
          </w:rPr>
          <w:t>6</w:t>
        </w:r>
        <w:r>
          <w:rPr>
            <w:noProof/>
            <w:webHidden/>
          </w:rPr>
          <w:fldChar w:fldCharType="end"/>
        </w:r>
      </w:hyperlink>
    </w:p>
    <w:p w14:paraId="6462E49C" w14:textId="77D6A3F5" w:rsidR="00F54CCB" w:rsidRDefault="00F54CCB">
      <w:pPr>
        <w:pStyle w:val="TOC3"/>
        <w:tabs>
          <w:tab w:val="right" w:leader="dot" w:pos="10194"/>
        </w:tabs>
        <w:rPr>
          <w:rFonts w:eastAsiaTheme="minorEastAsia"/>
          <w:noProof/>
          <w:spacing w:val="0"/>
          <w:kern w:val="2"/>
          <w:sz w:val="24"/>
          <w:lang w:eastAsia="en-AU"/>
          <w14:ligatures w14:val="standardContextual"/>
        </w:rPr>
      </w:pPr>
      <w:hyperlink w:anchor="_Toc225929561" w:history="1">
        <w:r w:rsidRPr="00EE0876">
          <w:rPr>
            <w:rStyle w:val="Hyperlink"/>
            <w:noProof/>
          </w:rPr>
          <w:t>Types of partnership</w:t>
        </w:r>
        <w:r>
          <w:rPr>
            <w:noProof/>
            <w:webHidden/>
          </w:rPr>
          <w:tab/>
        </w:r>
        <w:r>
          <w:rPr>
            <w:noProof/>
            <w:webHidden/>
          </w:rPr>
          <w:fldChar w:fldCharType="begin"/>
        </w:r>
        <w:r>
          <w:rPr>
            <w:noProof/>
            <w:webHidden/>
          </w:rPr>
          <w:instrText xml:space="preserve"> PAGEREF _Toc225929561 \h </w:instrText>
        </w:r>
        <w:r>
          <w:rPr>
            <w:noProof/>
            <w:webHidden/>
          </w:rPr>
        </w:r>
        <w:r>
          <w:rPr>
            <w:noProof/>
            <w:webHidden/>
          </w:rPr>
          <w:fldChar w:fldCharType="separate"/>
        </w:r>
        <w:r w:rsidR="00D50C1A">
          <w:rPr>
            <w:noProof/>
            <w:webHidden/>
          </w:rPr>
          <w:t>6</w:t>
        </w:r>
        <w:r>
          <w:rPr>
            <w:noProof/>
            <w:webHidden/>
          </w:rPr>
          <w:fldChar w:fldCharType="end"/>
        </w:r>
      </w:hyperlink>
    </w:p>
    <w:p w14:paraId="40E91E52" w14:textId="04B02118" w:rsidR="00F54CCB" w:rsidRDefault="00F54CCB">
      <w:pPr>
        <w:pStyle w:val="TOC2"/>
        <w:tabs>
          <w:tab w:val="right" w:leader="dot" w:pos="10194"/>
        </w:tabs>
        <w:rPr>
          <w:rFonts w:eastAsiaTheme="minorEastAsia"/>
          <w:noProof/>
          <w:spacing w:val="0"/>
          <w:kern w:val="2"/>
          <w:sz w:val="24"/>
          <w:lang w:eastAsia="en-AU"/>
          <w14:ligatures w14:val="standardContextual"/>
        </w:rPr>
      </w:pPr>
      <w:hyperlink w:anchor="_Toc225929562" w:history="1">
        <w:r w:rsidRPr="00EE0876">
          <w:rPr>
            <w:rStyle w:val="Hyperlink"/>
            <w:noProof/>
          </w:rPr>
          <w:t>Understanding the partners</w:t>
        </w:r>
        <w:r>
          <w:rPr>
            <w:noProof/>
            <w:webHidden/>
          </w:rPr>
          <w:tab/>
        </w:r>
        <w:r>
          <w:rPr>
            <w:noProof/>
            <w:webHidden/>
          </w:rPr>
          <w:fldChar w:fldCharType="begin"/>
        </w:r>
        <w:r>
          <w:rPr>
            <w:noProof/>
            <w:webHidden/>
          </w:rPr>
          <w:instrText xml:space="preserve"> PAGEREF _Toc225929562 \h </w:instrText>
        </w:r>
        <w:r>
          <w:rPr>
            <w:noProof/>
            <w:webHidden/>
          </w:rPr>
        </w:r>
        <w:r>
          <w:rPr>
            <w:noProof/>
            <w:webHidden/>
          </w:rPr>
          <w:fldChar w:fldCharType="separate"/>
        </w:r>
        <w:r w:rsidR="00D50C1A">
          <w:rPr>
            <w:noProof/>
            <w:webHidden/>
          </w:rPr>
          <w:t>7</w:t>
        </w:r>
        <w:r>
          <w:rPr>
            <w:noProof/>
            <w:webHidden/>
          </w:rPr>
          <w:fldChar w:fldCharType="end"/>
        </w:r>
      </w:hyperlink>
    </w:p>
    <w:p w14:paraId="4A3D0DF9" w14:textId="33A3A40B" w:rsidR="00F54CCB" w:rsidRDefault="00F54CCB">
      <w:pPr>
        <w:pStyle w:val="TOC3"/>
        <w:tabs>
          <w:tab w:val="right" w:leader="dot" w:pos="10194"/>
        </w:tabs>
        <w:rPr>
          <w:rFonts w:eastAsiaTheme="minorEastAsia"/>
          <w:noProof/>
          <w:spacing w:val="0"/>
          <w:kern w:val="2"/>
          <w:sz w:val="24"/>
          <w:lang w:eastAsia="en-AU"/>
          <w14:ligatures w14:val="standardContextual"/>
        </w:rPr>
      </w:pPr>
      <w:hyperlink w:anchor="_Toc225929563" w:history="1">
        <w:r w:rsidRPr="00EE0876">
          <w:rPr>
            <w:rStyle w:val="Hyperlink"/>
            <w:noProof/>
          </w:rPr>
          <w:t>Role of government</w:t>
        </w:r>
        <w:r>
          <w:rPr>
            <w:noProof/>
            <w:webHidden/>
          </w:rPr>
          <w:tab/>
        </w:r>
        <w:r>
          <w:rPr>
            <w:noProof/>
            <w:webHidden/>
          </w:rPr>
          <w:fldChar w:fldCharType="begin"/>
        </w:r>
        <w:r>
          <w:rPr>
            <w:noProof/>
            <w:webHidden/>
          </w:rPr>
          <w:instrText xml:space="preserve"> PAGEREF _Toc225929563 \h </w:instrText>
        </w:r>
        <w:r>
          <w:rPr>
            <w:noProof/>
            <w:webHidden/>
          </w:rPr>
        </w:r>
        <w:r>
          <w:rPr>
            <w:noProof/>
            <w:webHidden/>
          </w:rPr>
          <w:fldChar w:fldCharType="separate"/>
        </w:r>
        <w:r w:rsidR="00D50C1A">
          <w:rPr>
            <w:noProof/>
            <w:webHidden/>
          </w:rPr>
          <w:t>7</w:t>
        </w:r>
        <w:r>
          <w:rPr>
            <w:noProof/>
            <w:webHidden/>
          </w:rPr>
          <w:fldChar w:fldCharType="end"/>
        </w:r>
      </w:hyperlink>
    </w:p>
    <w:p w14:paraId="234DEFA9" w14:textId="4A48B38A" w:rsidR="00F54CCB" w:rsidRDefault="00F54CCB">
      <w:pPr>
        <w:pStyle w:val="TOC3"/>
        <w:tabs>
          <w:tab w:val="right" w:leader="dot" w:pos="10194"/>
        </w:tabs>
        <w:rPr>
          <w:rFonts w:eastAsiaTheme="minorEastAsia"/>
          <w:noProof/>
          <w:spacing w:val="0"/>
          <w:kern w:val="2"/>
          <w:sz w:val="24"/>
          <w:lang w:eastAsia="en-AU"/>
          <w14:ligatures w14:val="standardContextual"/>
        </w:rPr>
      </w:pPr>
      <w:hyperlink w:anchor="_Toc225929564" w:history="1">
        <w:r w:rsidRPr="00EE0876">
          <w:rPr>
            <w:rStyle w:val="Hyperlink"/>
            <w:noProof/>
          </w:rPr>
          <w:t>Role of philanthropic organisations</w:t>
        </w:r>
        <w:r>
          <w:rPr>
            <w:noProof/>
            <w:webHidden/>
          </w:rPr>
          <w:tab/>
        </w:r>
        <w:r>
          <w:rPr>
            <w:noProof/>
            <w:webHidden/>
          </w:rPr>
          <w:fldChar w:fldCharType="begin"/>
        </w:r>
        <w:r>
          <w:rPr>
            <w:noProof/>
            <w:webHidden/>
          </w:rPr>
          <w:instrText xml:space="preserve"> PAGEREF _Toc225929564 \h </w:instrText>
        </w:r>
        <w:r>
          <w:rPr>
            <w:noProof/>
            <w:webHidden/>
          </w:rPr>
        </w:r>
        <w:r>
          <w:rPr>
            <w:noProof/>
            <w:webHidden/>
          </w:rPr>
          <w:fldChar w:fldCharType="separate"/>
        </w:r>
        <w:r w:rsidR="00D50C1A">
          <w:rPr>
            <w:noProof/>
            <w:webHidden/>
          </w:rPr>
          <w:t>7</w:t>
        </w:r>
        <w:r>
          <w:rPr>
            <w:noProof/>
            <w:webHidden/>
          </w:rPr>
          <w:fldChar w:fldCharType="end"/>
        </w:r>
      </w:hyperlink>
    </w:p>
    <w:p w14:paraId="7FEFF6F0" w14:textId="7D802E4C" w:rsidR="00F54CCB" w:rsidRDefault="00F54CCB">
      <w:pPr>
        <w:pStyle w:val="TOC3"/>
        <w:tabs>
          <w:tab w:val="right" w:leader="dot" w:pos="10194"/>
        </w:tabs>
        <w:rPr>
          <w:rFonts w:eastAsiaTheme="minorEastAsia"/>
          <w:noProof/>
          <w:spacing w:val="0"/>
          <w:kern w:val="2"/>
          <w:sz w:val="24"/>
          <w:lang w:eastAsia="en-AU"/>
          <w14:ligatures w14:val="standardContextual"/>
        </w:rPr>
      </w:pPr>
      <w:hyperlink w:anchor="_Toc225929565" w:history="1">
        <w:r w:rsidRPr="00EE0876">
          <w:rPr>
            <w:rStyle w:val="Hyperlink"/>
            <w:noProof/>
          </w:rPr>
          <w:t>Different operating environments</w:t>
        </w:r>
        <w:r>
          <w:rPr>
            <w:noProof/>
            <w:webHidden/>
          </w:rPr>
          <w:tab/>
        </w:r>
        <w:r>
          <w:rPr>
            <w:noProof/>
            <w:webHidden/>
          </w:rPr>
          <w:fldChar w:fldCharType="begin"/>
        </w:r>
        <w:r>
          <w:rPr>
            <w:noProof/>
            <w:webHidden/>
          </w:rPr>
          <w:instrText xml:space="preserve"> PAGEREF _Toc225929565 \h </w:instrText>
        </w:r>
        <w:r>
          <w:rPr>
            <w:noProof/>
            <w:webHidden/>
          </w:rPr>
        </w:r>
        <w:r>
          <w:rPr>
            <w:noProof/>
            <w:webHidden/>
          </w:rPr>
          <w:fldChar w:fldCharType="separate"/>
        </w:r>
        <w:r w:rsidR="00D50C1A">
          <w:rPr>
            <w:noProof/>
            <w:webHidden/>
          </w:rPr>
          <w:t>8</w:t>
        </w:r>
        <w:r>
          <w:rPr>
            <w:noProof/>
            <w:webHidden/>
          </w:rPr>
          <w:fldChar w:fldCharType="end"/>
        </w:r>
      </w:hyperlink>
    </w:p>
    <w:p w14:paraId="33E15F82" w14:textId="0E515DF4" w:rsidR="00F54CCB" w:rsidRDefault="00F54CCB">
      <w:pPr>
        <w:pStyle w:val="TOC2"/>
        <w:tabs>
          <w:tab w:val="right" w:leader="dot" w:pos="10194"/>
        </w:tabs>
        <w:rPr>
          <w:rFonts w:eastAsiaTheme="minorEastAsia"/>
          <w:noProof/>
          <w:spacing w:val="0"/>
          <w:kern w:val="2"/>
          <w:sz w:val="24"/>
          <w:lang w:eastAsia="en-AU"/>
          <w14:ligatures w14:val="standardContextual"/>
        </w:rPr>
      </w:pPr>
      <w:hyperlink w:anchor="_Toc225929566" w:history="1">
        <w:r w:rsidRPr="00EE0876">
          <w:rPr>
            <w:rStyle w:val="Hyperlink"/>
            <w:noProof/>
          </w:rPr>
          <w:t>Principles for partnership</w:t>
        </w:r>
        <w:r>
          <w:rPr>
            <w:noProof/>
            <w:webHidden/>
          </w:rPr>
          <w:tab/>
        </w:r>
        <w:r>
          <w:rPr>
            <w:noProof/>
            <w:webHidden/>
          </w:rPr>
          <w:fldChar w:fldCharType="begin"/>
        </w:r>
        <w:r>
          <w:rPr>
            <w:noProof/>
            <w:webHidden/>
          </w:rPr>
          <w:instrText xml:space="preserve"> PAGEREF _Toc225929566 \h </w:instrText>
        </w:r>
        <w:r>
          <w:rPr>
            <w:noProof/>
            <w:webHidden/>
          </w:rPr>
        </w:r>
        <w:r>
          <w:rPr>
            <w:noProof/>
            <w:webHidden/>
          </w:rPr>
          <w:fldChar w:fldCharType="separate"/>
        </w:r>
        <w:r w:rsidR="00D50C1A">
          <w:rPr>
            <w:noProof/>
            <w:webHidden/>
          </w:rPr>
          <w:t>11</w:t>
        </w:r>
        <w:r>
          <w:rPr>
            <w:noProof/>
            <w:webHidden/>
          </w:rPr>
          <w:fldChar w:fldCharType="end"/>
        </w:r>
      </w:hyperlink>
    </w:p>
    <w:p w14:paraId="6819BDB0" w14:textId="7DAB744D" w:rsidR="00F54CCB" w:rsidRDefault="00F54CCB">
      <w:pPr>
        <w:pStyle w:val="TOC2"/>
        <w:tabs>
          <w:tab w:val="right" w:leader="dot" w:pos="10194"/>
        </w:tabs>
        <w:rPr>
          <w:rFonts w:eastAsiaTheme="minorEastAsia"/>
          <w:noProof/>
          <w:spacing w:val="0"/>
          <w:kern w:val="2"/>
          <w:sz w:val="24"/>
          <w:lang w:eastAsia="en-AU"/>
          <w14:ligatures w14:val="standardContextual"/>
        </w:rPr>
      </w:pPr>
      <w:hyperlink w:anchor="_Toc225929567" w:history="1">
        <w:r w:rsidRPr="00EE0876">
          <w:rPr>
            <w:rStyle w:val="Hyperlink"/>
            <w:noProof/>
          </w:rPr>
          <w:t>Principle 1. Be purposeful</w:t>
        </w:r>
        <w:r>
          <w:rPr>
            <w:noProof/>
            <w:webHidden/>
          </w:rPr>
          <w:tab/>
        </w:r>
        <w:r>
          <w:rPr>
            <w:noProof/>
            <w:webHidden/>
          </w:rPr>
          <w:fldChar w:fldCharType="begin"/>
        </w:r>
        <w:r>
          <w:rPr>
            <w:noProof/>
            <w:webHidden/>
          </w:rPr>
          <w:instrText xml:space="preserve"> PAGEREF _Toc225929567 \h </w:instrText>
        </w:r>
        <w:r>
          <w:rPr>
            <w:noProof/>
            <w:webHidden/>
          </w:rPr>
        </w:r>
        <w:r>
          <w:rPr>
            <w:noProof/>
            <w:webHidden/>
          </w:rPr>
          <w:fldChar w:fldCharType="separate"/>
        </w:r>
        <w:r w:rsidR="00D50C1A">
          <w:rPr>
            <w:noProof/>
            <w:webHidden/>
          </w:rPr>
          <w:t>12</w:t>
        </w:r>
        <w:r>
          <w:rPr>
            <w:noProof/>
            <w:webHidden/>
          </w:rPr>
          <w:fldChar w:fldCharType="end"/>
        </w:r>
      </w:hyperlink>
    </w:p>
    <w:p w14:paraId="3E8F035F" w14:textId="632EEC81" w:rsidR="00F54CCB" w:rsidRDefault="00F54CCB">
      <w:pPr>
        <w:pStyle w:val="TOC3"/>
        <w:tabs>
          <w:tab w:val="right" w:leader="dot" w:pos="10194"/>
        </w:tabs>
        <w:rPr>
          <w:rFonts w:eastAsiaTheme="minorEastAsia"/>
          <w:noProof/>
          <w:spacing w:val="0"/>
          <w:kern w:val="2"/>
          <w:sz w:val="24"/>
          <w:lang w:eastAsia="en-AU"/>
          <w14:ligatures w14:val="standardContextual"/>
        </w:rPr>
      </w:pPr>
      <w:hyperlink w:anchor="_Toc225929568" w:history="1">
        <w:r w:rsidRPr="00EE0876">
          <w:rPr>
            <w:rStyle w:val="Hyperlink"/>
            <w:noProof/>
          </w:rPr>
          <w:t>Purpose of the proposed partnership</w:t>
        </w:r>
        <w:r>
          <w:rPr>
            <w:noProof/>
            <w:webHidden/>
          </w:rPr>
          <w:tab/>
        </w:r>
        <w:r>
          <w:rPr>
            <w:noProof/>
            <w:webHidden/>
          </w:rPr>
          <w:fldChar w:fldCharType="begin"/>
        </w:r>
        <w:r>
          <w:rPr>
            <w:noProof/>
            <w:webHidden/>
          </w:rPr>
          <w:instrText xml:space="preserve"> PAGEREF _Toc225929568 \h </w:instrText>
        </w:r>
        <w:r>
          <w:rPr>
            <w:noProof/>
            <w:webHidden/>
          </w:rPr>
        </w:r>
        <w:r>
          <w:rPr>
            <w:noProof/>
            <w:webHidden/>
          </w:rPr>
          <w:fldChar w:fldCharType="separate"/>
        </w:r>
        <w:r w:rsidR="00D50C1A">
          <w:rPr>
            <w:noProof/>
            <w:webHidden/>
          </w:rPr>
          <w:t>12</w:t>
        </w:r>
        <w:r>
          <w:rPr>
            <w:noProof/>
            <w:webHidden/>
          </w:rPr>
          <w:fldChar w:fldCharType="end"/>
        </w:r>
      </w:hyperlink>
    </w:p>
    <w:p w14:paraId="0F8125B6" w14:textId="58494453" w:rsidR="00F54CCB" w:rsidRDefault="00F54CCB">
      <w:pPr>
        <w:pStyle w:val="TOC3"/>
        <w:tabs>
          <w:tab w:val="right" w:leader="dot" w:pos="10194"/>
        </w:tabs>
        <w:rPr>
          <w:rFonts w:eastAsiaTheme="minorEastAsia"/>
          <w:noProof/>
          <w:spacing w:val="0"/>
          <w:kern w:val="2"/>
          <w:sz w:val="24"/>
          <w:lang w:eastAsia="en-AU"/>
          <w14:ligatures w14:val="standardContextual"/>
        </w:rPr>
      </w:pPr>
      <w:hyperlink w:anchor="_Toc225929569" w:history="1">
        <w:r w:rsidRPr="00EE0876">
          <w:rPr>
            <w:rStyle w:val="Hyperlink"/>
            <w:noProof/>
          </w:rPr>
          <w:t>Choosing a partnership</w:t>
        </w:r>
        <w:r>
          <w:rPr>
            <w:noProof/>
            <w:webHidden/>
          </w:rPr>
          <w:tab/>
        </w:r>
        <w:r>
          <w:rPr>
            <w:noProof/>
            <w:webHidden/>
          </w:rPr>
          <w:fldChar w:fldCharType="begin"/>
        </w:r>
        <w:r>
          <w:rPr>
            <w:noProof/>
            <w:webHidden/>
          </w:rPr>
          <w:instrText xml:space="preserve"> PAGEREF _Toc225929569 \h </w:instrText>
        </w:r>
        <w:r>
          <w:rPr>
            <w:noProof/>
            <w:webHidden/>
          </w:rPr>
        </w:r>
        <w:r>
          <w:rPr>
            <w:noProof/>
            <w:webHidden/>
          </w:rPr>
          <w:fldChar w:fldCharType="separate"/>
        </w:r>
        <w:r w:rsidR="00D50C1A">
          <w:rPr>
            <w:noProof/>
            <w:webHidden/>
          </w:rPr>
          <w:t>12</w:t>
        </w:r>
        <w:r>
          <w:rPr>
            <w:noProof/>
            <w:webHidden/>
          </w:rPr>
          <w:fldChar w:fldCharType="end"/>
        </w:r>
      </w:hyperlink>
    </w:p>
    <w:p w14:paraId="6890748E" w14:textId="59D020FC" w:rsidR="00F54CCB" w:rsidRDefault="00F54CCB">
      <w:pPr>
        <w:pStyle w:val="TOC2"/>
        <w:tabs>
          <w:tab w:val="right" w:leader="dot" w:pos="10194"/>
        </w:tabs>
        <w:rPr>
          <w:rFonts w:eastAsiaTheme="minorEastAsia"/>
          <w:noProof/>
          <w:spacing w:val="0"/>
          <w:kern w:val="2"/>
          <w:sz w:val="24"/>
          <w:lang w:eastAsia="en-AU"/>
          <w14:ligatures w14:val="standardContextual"/>
        </w:rPr>
      </w:pPr>
      <w:hyperlink w:anchor="_Toc225929570" w:history="1">
        <w:r w:rsidRPr="00EE0876">
          <w:rPr>
            <w:rStyle w:val="Hyperlink"/>
            <w:noProof/>
          </w:rPr>
          <w:t>Principle 2. Establish trust</w:t>
        </w:r>
        <w:r>
          <w:rPr>
            <w:noProof/>
            <w:webHidden/>
          </w:rPr>
          <w:tab/>
        </w:r>
        <w:r>
          <w:rPr>
            <w:noProof/>
            <w:webHidden/>
          </w:rPr>
          <w:fldChar w:fldCharType="begin"/>
        </w:r>
        <w:r>
          <w:rPr>
            <w:noProof/>
            <w:webHidden/>
          </w:rPr>
          <w:instrText xml:space="preserve"> PAGEREF _Toc225929570 \h </w:instrText>
        </w:r>
        <w:r>
          <w:rPr>
            <w:noProof/>
            <w:webHidden/>
          </w:rPr>
        </w:r>
        <w:r>
          <w:rPr>
            <w:noProof/>
            <w:webHidden/>
          </w:rPr>
          <w:fldChar w:fldCharType="separate"/>
        </w:r>
        <w:r w:rsidR="00D50C1A">
          <w:rPr>
            <w:noProof/>
            <w:webHidden/>
          </w:rPr>
          <w:t>15</w:t>
        </w:r>
        <w:r>
          <w:rPr>
            <w:noProof/>
            <w:webHidden/>
          </w:rPr>
          <w:fldChar w:fldCharType="end"/>
        </w:r>
      </w:hyperlink>
    </w:p>
    <w:p w14:paraId="08D469B2" w14:textId="0FF4C12D" w:rsidR="00F54CCB" w:rsidRDefault="00F54CCB">
      <w:pPr>
        <w:pStyle w:val="TOC3"/>
        <w:tabs>
          <w:tab w:val="right" w:leader="dot" w:pos="10194"/>
        </w:tabs>
        <w:rPr>
          <w:rFonts w:eastAsiaTheme="minorEastAsia"/>
          <w:noProof/>
          <w:spacing w:val="0"/>
          <w:kern w:val="2"/>
          <w:sz w:val="24"/>
          <w:lang w:eastAsia="en-AU"/>
          <w14:ligatures w14:val="standardContextual"/>
        </w:rPr>
      </w:pPr>
      <w:hyperlink w:anchor="_Toc225929571" w:history="1">
        <w:r w:rsidRPr="00EE0876">
          <w:rPr>
            <w:rStyle w:val="Hyperlink"/>
            <w:noProof/>
          </w:rPr>
          <w:t>Developing trusting relationships</w:t>
        </w:r>
        <w:r>
          <w:rPr>
            <w:noProof/>
            <w:webHidden/>
          </w:rPr>
          <w:tab/>
        </w:r>
        <w:r>
          <w:rPr>
            <w:noProof/>
            <w:webHidden/>
          </w:rPr>
          <w:fldChar w:fldCharType="begin"/>
        </w:r>
        <w:r>
          <w:rPr>
            <w:noProof/>
            <w:webHidden/>
          </w:rPr>
          <w:instrText xml:space="preserve"> PAGEREF _Toc225929571 \h </w:instrText>
        </w:r>
        <w:r>
          <w:rPr>
            <w:noProof/>
            <w:webHidden/>
          </w:rPr>
        </w:r>
        <w:r>
          <w:rPr>
            <w:noProof/>
            <w:webHidden/>
          </w:rPr>
          <w:fldChar w:fldCharType="separate"/>
        </w:r>
        <w:r w:rsidR="00D50C1A">
          <w:rPr>
            <w:noProof/>
            <w:webHidden/>
          </w:rPr>
          <w:t>15</w:t>
        </w:r>
        <w:r>
          <w:rPr>
            <w:noProof/>
            <w:webHidden/>
          </w:rPr>
          <w:fldChar w:fldCharType="end"/>
        </w:r>
      </w:hyperlink>
    </w:p>
    <w:p w14:paraId="57E779AD" w14:textId="0FE9C0F4" w:rsidR="00F54CCB" w:rsidRDefault="00F54CCB">
      <w:pPr>
        <w:pStyle w:val="TOC3"/>
        <w:tabs>
          <w:tab w:val="right" w:leader="dot" w:pos="10194"/>
        </w:tabs>
        <w:rPr>
          <w:rFonts w:eastAsiaTheme="minorEastAsia"/>
          <w:noProof/>
          <w:spacing w:val="0"/>
          <w:kern w:val="2"/>
          <w:sz w:val="24"/>
          <w:lang w:eastAsia="en-AU"/>
          <w14:ligatures w14:val="standardContextual"/>
        </w:rPr>
      </w:pPr>
      <w:hyperlink w:anchor="_Toc225929572" w:history="1">
        <w:r w:rsidRPr="00EE0876">
          <w:rPr>
            <w:rStyle w:val="Hyperlink"/>
            <w:noProof/>
          </w:rPr>
          <w:t>Formalising the relationship</w:t>
        </w:r>
        <w:r>
          <w:rPr>
            <w:noProof/>
            <w:webHidden/>
          </w:rPr>
          <w:tab/>
        </w:r>
        <w:r>
          <w:rPr>
            <w:noProof/>
            <w:webHidden/>
          </w:rPr>
          <w:fldChar w:fldCharType="begin"/>
        </w:r>
        <w:r>
          <w:rPr>
            <w:noProof/>
            <w:webHidden/>
          </w:rPr>
          <w:instrText xml:space="preserve"> PAGEREF _Toc225929572 \h </w:instrText>
        </w:r>
        <w:r>
          <w:rPr>
            <w:noProof/>
            <w:webHidden/>
          </w:rPr>
        </w:r>
        <w:r>
          <w:rPr>
            <w:noProof/>
            <w:webHidden/>
          </w:rPr>
          <w:fldChar w:fldCharType="separate"/>
        </w:r>
        <w:r w:rsidR="00D50C1A">
          <w:rPr>
            <w:noProof/>
            <w:webHidden/>
          </w:rPr>
          <w:t>16</w:t>
        </w:r>
        <w:r>
          <w:rPr>
            <w:noProof/>
            <w:webHidden/>
          </w:rPr>
          <w:fldChar w:fldCharType="end"/>
        </w:r>
      </w:hyperlink>
    </w:p>
    <w:p w14:paraId="6633BB89" w14:textId="1D036853" w:rsidR="00F54CCB" w:rsidRDefault="00F54CCB">
      <w:pPr>
        <w:pStyle w:val="TOC3"/>
        <w:tabs>
          <w:tab w:val="right" w:leader="dot" w:pos="10194"/>
        </w:tabs>
        <w:rPr>
          <w:rFonts w:eastAsiaTheme="minorEastAsia"/>
          <w:noProof/>
          <w:spacing w:val="0"/>
          <w:kern w:val="2"/>
          <w:sz w:val="24"/>
          <w:lang w:eastAsia="en-AU"/>
          <w14:ligatures w14:val="standardContextual"/>
        </w:rPr>
      </w:pPr>
      <w:hyperlink w:anchor="_Toc225929573" w:history="1">
        <w:r w:rsidRPr="00EE0876">
          <w:rPr>
            <w:rStyle w:val="Hyperlink"/>
            <w:noProof/>
          </w:rPr>
          <w:t>Case study</w:t>
        </w:r>
        <w:r>
          <w:rPr>
            <w:noProof/>
            <w:webHidden/>
          </w:rPr>
          <w:tab/>
        </w:r>
        <w:r>
          <w:rPr>
            <w:noProof/>
            <w:webHidden/>
          </w:rPr>
          <w:fldChar w:fldCharType="begin"/>
        </w:r>
        <w:r>
          <w:rPr>
            <w:noProof/>
            <w:webHidden/>
          </w:rPr>
          <w:instrText xml:space="preserve"> PAGEREF _Toc225929573 \h </w:instrText>
        </w:r>
        <w:r>
          <w:rPr>
            <w:noProof/>
            <w:webHidden/>
          </w:rPr>
        </w:r>
        <w:r>
          <w:rPr>
            <w:noProof/>
            <w:webHidden/>
          </w:rPr>
          <w:fldChar w:fldCharType="separate"/>
        </w:r>
        <w:r w:rsidR="00D50C1A">
          <w:rPr>
            <w:noProof/>
            <w:webHidden/>
          </w:rPr>
          <w:t>18</w:t>
        </w:r>
        <w:r>
          <w:rPr>
            <w:noProof/>
            <w:webHidden/>
          </w:rPr>
          <w:fldChar w:fldCharType="end"/>
        </w:r>
      </w:hyperlink>
    </w:p>
    <w:p w14:paraId="69AE60DE" w14:textId="1285AA4F" w:rsidR="00F54CCB" w:rsidRDefault="00F54CCB">
      <w:pPr>
        <w:pStyle w:val="TOC3"/>
        <w:tabs>
          <w:tab w:val="right" w:leader="dot" w:pos="10194"/>
        </w:tabs>
        <w:rPr>
          <w:rFonts w:eastAsiaTheme="minorEastAsia"/>
          <w:noProof/>
          <w:spacing w:val="0"/>
          <w:kern w:val="2"/>
          <w:sz w:val="24"/>
          <w:lang w:eastAsia="en-AU"/>
          <w14:ligatures w14:val="standardContextual"/>
        </w:rPr>
      </w:pPr>
      <w:hyperlink w:anchor="_Toc225929574" w:history="1">
        <w:r w:rsidRPr="00EE0876">
          <w:rPr>
            <w:rStyle w:val="Hyperlink"/>
            <w:noProof/>
          </w:rPr>
          <w:t>Communicating the limits</w:t>
        </w:r>
        <w:r>
          <w:rPr>
            <w:noProof/>
            <w:webHidden/>
          </w:rPr>
          <w:tab/>
        </w:r>
        <w:r>
          <w:rPr>
            <w:noProof/>
            <w:webHidden/>
          </w:rPr>
          <w:fldChar w:fldCharType="begin"/>
        </w:r>
        <w:r>
          <w:rPr>
            <w:noProof/>
            <w:webHidden/>
          </w:rPr>
          <w:instrText xml:space="preserve"> PAGEREF _Toc225929574 \h </w:instrText>
        </w:r>
        <w:r>
          <w:rPr>
            <w:noProof/>
            <w:webHidden/>
          </w:rPr>
        </w:r>
        <w:r>
          <w:rPr>
            <w:noProof/>
            <w:webHidden/>
          </w:rPr>
          <w:fldChar w:fldCharType="separate"/>
        </w:r>
        <w:r w:rsidR="00D50C1A">
          <w:rPr>
            <w:noProof/>
            <w:webHidden/>
          </w:rPr>
          <w:t>19</w:t>
        </w:r>
        <w:r>
          <w:rPr>
            <w:noProof/>
            <w:webHidden/>
          </w:rPr>
          <w:fldChar w:fldCharType="end"/>
        </w:r>
      </w:hyperlink>
    </w:p>
    <w:p w14:paraId="61C70647" w14:textId="28A0387E" w:rsidR="00F54CCB" w:rsidRDefault="00F54CCB">
      <w:pPr>
        <w:pStyle w:val="TOC2"/>
        <w:tabs>
          <w:tab w:val="right" w:leader="dot" w:pos="10194"/>
        </w:tabs>
        <w:rPr>
          <w:rFonts w:eastAsiaTheme="minorEastAsia"/>
          <w:noProof/>
          <w:spacing w:val="0"/>
          <w:kern w:val="2"/>
          <w:sz w:val="24"/>
          <w:lang w:eastAsia="en-AU"/>
          <w14:ligatures w14:val="standardContextual"/>
        </w:rPr>
      </w:pPr>
      <w:hyperlink w:anchor="_Toc225929575" w:history="1">
        <w:r w:rsidRPr="00EE0876">
          <w:rPr>
            <w:rStyle w:val="Hyperlink"/>
            <w:noProof/>
          </w:rPr>
          <w:t>Principle 3. Reflect integrity</w:t>
        </w:r>
        <w:r>
          <w:rPr>
            <w:noProof/>
            <w:webHidden/>
          </w:rPr>
          <w:tab/>
        </w:r>
        <w:r>
          <w:rPr>
            <w:noProof/>
            <w:webHidden/>
          </w:rPr>
          <w:fldChar w:fldCharType="begin"/>
        </w:r>
        <w:r>
          <w:rPr>
            <w:noProof/>
            <w:webHidden/>
          </w:rPr>
          <w:instrText xml:space="preserve"> PAGEREF _Toc225929575 \h </w:instrText>
        </w:r>
        <w:r>
          <w:rPr>
            <w:noProof/>
            <w:webHidden/>
          </w:rPr>
        </w:r>
        <w:r>
          <w:rPr>
            <w:noProof/>
            <w:webHidden/>
          </w:rPr>
          <w:fldChar w:fldCharType="separate"/>
        </w:r>
        <w:r w:rsidR="00D50C1A">
          <w:rPr>
            <w:noProof/>
            <w:webHidden/>
          </w:rPr>
          <w:t>21</w:t>
        </w:r>
        <w:r>
          <w:rPr>
            <w:noProof/>
            <w:webHidden/>
          </w:rPr>
          <w:fldChar w:fldCharType="end"/>
        </w:r>
      </w:hyperlink>
    </w:p>
    <w:p w14:paraId="2B48C5A2" w14:textId="213B2F19" w:rsidR="00F54CCB" w:rsidRDefault="00F54CCB">
      <w:pPr>
        <w:pStyle w:val="TOC2"/>
        <w:tabs>
          <w:tab w:val="right" w:leader="dot" w:pos="10194"/>
        </w:tabs>
        <w:rPr>
          <w:rFonts w:eastAsiaTheme="minorEastAsia"/>
          <w:noProof/>
          <w:spacing w:val="0"/>
          <w:kern w:val="2"/>
          <w:sz w:val="24"/>
          <w:lang w:eastAsia="en-AU"/>
          <w14:ligatures w14:val="standardContextual"/>
        </w:rPr>
      </w:pPr>
      <w:hyperlink w:anchor="_Toc225929576" w:history="1">
        <w:r w:rsidRPr="00EE0876">
          <w:rPr>
            <w:rStyle w:val="Hyperlink"/>
            <w:noProof/>
          </w:rPr>
          <w:t>Principle 4. Be informed by lived experience</w:t>
        </w:r>
        <w:r>
          <w:rPr>
            <w:noProof/>
            <w:webHidden/>
          </w:rPr>
          <w:tab/>
        </w:r>
        <w:r>
          <w:rPr>
            <w:noProof/>
            <w:webHidden/>
          </w:rPr>
          <w:fldChar w:fldCharType="begin"/>
        </w:r>
        <w:r>
          <w:rPr>
            <w:noProof/>
            <w:webHidden/>
          </w:rPr>
          <w:instrText xml:space="preserve"> PAGEREF _Toc225929576 \h </w:instrText>
        </w:r>
        <w:r>
          <w:rPr>
            <w:noProof/>
            <w:webHidden/>
          </w:rPr>
        </w:r>
        <w:r>
          <w:rPr>
            <w:noProof/>
            <w:webHidden/>
          </w:rPr>
          <w:fldChar w:fldCharType="separate"/>
        </w:r>
        <w:r w:rsidR="00D50C1A">
          <w:rPr>
            <w:noProof/>
            <w:webHidden/>
          </w:rPr>
          <w:t>22</w:t>
        </w:r>
        <w:r>
          <w:rPr>
            <w:noProof/>
            <w:webHidden/>
          </w:rPr>
          <w:fldChar w:fldCharType="end"/>
        </w:r>
      </w:hyperlink>
    </w:p>
    <w:p w14:paraId="21D2AAA6" w14:textId="3FA1FD8A" w:rsidR="00F54CCB" w:rsidRDefault="00F54CCB">
      <w:pPr>
        <w:pStyle w:val="TOC3"/>
        <w:tabs>
          <w:tab w:val="right" w:leader="dot" w:pos="10194"/>
        </w:tabs>
        <w:rPr>
          <w:rFonts w:eastAsiaTheme="minorEastAsia"/>
          <w:noProof/>
          <w:spacing w:val="0"/>
          <w:kern w:val="2"/>
          <w:sz w:val="24"/>
          <w:lang w:eastAsia="en-AU"/>
          <w14:ligatures w14:val="standardContextual"/>
        </w:rPr>
      </w:pPr>
      <w:hyperlink w:anchor="_Toc225929577" w:history="1">
        <w:r w:rsidRPr="00EE0876">
          <w:rPr>
            <w:rStyle w:val="Hyperlink"/>
            <w:noProof/>
          </w:rPr>
          <w:t>Case study</w:t>
        </w:r>
        <w:r>
          <w:rPr>
            <w:noProof/>
            <w:webHidden/>
          </w:rPr>
          <w:tab/>
        </w:r>
        <w:r>
          <w:rPr>
            <w:noProof/>
            <w:webHidden/>
          </w:rPr>
          <w:fldChar w:fldCharType="begin"/>
        </w:r>
        <w:r>
          <w:rPr>
            <w:noProof/>
            <w:webHidden/>
          </w:rPr>
          <w:instrText xml:space="preserve"> PAGEREF _Toc225929577 \h </w:instrText>
        </w:r>
        <w:r>
          <w:rPr>
            <w:noProof/>
            <w:webHidden/>
          </w:rPr>
        </w:r>
        <w:r>
          <w:rPr>
            <w:noProof/>
            <w:webHidden/>
          </w:rPr>
          <w:fldChar w:fldCharType="separate"/>
        </w:r>
        <w:r w:rsidR="00D50C1A">
          <w:rPr>
            <w:noProof/>
            <w:webHidden/>
          </w:rPr>
          <w:t>24</w:t>
        </w:r>
        <w:r>
          <w:rPr>
            <w:noProof/>
            <w:webHidden/>
          </w:rPr>
          <w:fldChar w:fldCharType="end"/>
        </w:r>
      </w:hyperlink>
    </w:p>
    <w:p w14:paraId="29E97122" w14:textId="3ED92F5B" w:rsidR="00F54CCB" w:rsidRDefault="00F54CCB">
      <w:pPr>
        <w:pStyle w:val="TOC3"/>
        <w:tabs>
          <w:tab w:val="right" w:leader="dot" w:pos="10194"/>
        </w:tabs>
        <w:rPr>
          <w:rFonts w:eastAsiaTheme="minorEastAsia"/>
          <w:noProof/>
          <w:spacing w:val="0"/>
          <w:kern w:val="2"/>
          <w:sz w:val="24"/>
          <w:lang w:eastAsia="en-AU"/>
          <w14:ligatures w14:val="standardContextual"/>
        </w:rPr>
      </w:pPr>
      <w:hyperlink w:anchor="_Toc225929578" w:history="1">
        <w:r w:rsidRPr="00EE0876">
          <w:rPr>
            <w:rStyle w:val="Hyperlink"/>
            <w:noProof/>
          </w:rPr>
          <w:t>Place-based responses</w:t>
        </w:r>
        <w:r>
          <w:rPr>
            <w:noProof/>
            <w:webHidden/>
          </w:rPr>
          <w:tab/>
        </w:r>
        <w:r>
          <w:rPr>
            <w:noProof/>
            <w:webHidden/>
          </w:rPr>
          <w:fldChar w:fldCharType="begin"/>
        </w:r>
        <w:r>
          <w:rPr>
            <w:noProof/>
            <w:webHidden/>
          </w:rPr>
          <w:instrText xml:space="preserve"> PAGEREF _Toc225929578 \h </w:instrText>
        </w:r>
        <w:r>
          <w:rPr>
            <w:noProof/>
            <w:webHidden/>
          </w:rPr>
        </w:r>
        <w:r>
          <w:rPr>
            <w:noProof/>
            <w:webHidden/>
          </w:rPr>
          <w:fldChar w:fldCharType="separate"/>
        </w:r>
        <w:r w:rsidR="00D50C1A">
          <w:rPr>
            <w:noProof/>
            <w:webHidden/>
          </w:rPr>
          <w:t>24</w:t>
        </w:r>
        <w:r>
          <w:rPr>
            <w:noProof/>
            <w:webHidden/>
          </w:rPr>
          <w:fldChar w:fldCharType="end"/>
        </w:r>
      </w:hyperlink>
    </w:p>
    <w:p w14:paraId="7BA5DC1F" w14:textId="24F62AA4" w:rsidR="00F54CCB" w:rsidRDefault="00F54CCB">
      <w:pPr>
        <w:pStyle w:val="TOC3"/>
        <w:tabs>
          <w:tab w:val="right" w:leader="dot" w:pos="10194"/>
        </w:tabs>
        <w:rPr>
          <w:rFonts w:eastAsiaTheme="minorEastAsia"/>
          <w:noProof/>
          <w:spacing w:val="0"/>
          <w:kern w:val="2"/>
          <w:sz w:val="24"/>
          <w:lang w:eastAsia="en-AU"/>
          <w14:ligatures w14:val="standardContextual"/>
        </w:rPr>
      </w:pPr>
      <w:hyperlink w:anchor="_Toc225929579" w:history="1">
        <w:r w:rsidRPr="00EE0876">
          <w:rPr>
            <w:rStyle w:val="Hyperlink"/>
            <w:noProof/>
          </w:rPr>
          <w:t>First Nations perspectives</w:t>
        </w:r>
        <w:r>
          <w:rPr>
            <w:noProof/>
            <w:webHidden/>
          </w:rPr>
          <w:tab/>
        </w:r>
        <w:r>
          <w:rPr>
            <w:noProof/>
            <w:webHidden/>
          </w:rPr>
          <w:fldChar w:fldCharType="begin"/>
        </w:r>
        <w:r>
          <w:rPr>
            <w:noProof/>
            <w:webHidden/>
          </w:rPr>
          <w:instrText xml:space="preserve"> PAGEREF _Toc225929579 \h </w:instrText>
        </w:r>
        <w:r>
          <w:rPr>
            <w:noProof/>
            <w:webHidden/>
          </w:rPr>
        </w:r>
        <w:r>
          <w:rPr>
            <w:noProof/>
            <w:webHidden/>
          </w:rPr>
          <w:fldChar w:fldCharType="separate"/>
        </w:r>
        <w:r w:rsidR="00D50C1A">
          <w:rPr>
            <w:noProof/>
            <w:webHidden/>
          </w:rPr>
          <w:t>24</w:t>
        </w:r>
        <w:r>
          <w:rPr>
            <w:noProof/>
            <w:webHidden/>
          </w:rPr>
          <w:fldChar w:fldCharType="end"/>
        </w:r>
      </w:hyperlink>
    </w:p>
    <w:p w14:paraId="24FA8900" w14:textId="1A9A56AC" w:rsidR="00F54CCB" w:rsidRDefault="00F54CCB">
      <w:pPr>
        <w:pStyle w:val="TOC2"/>
        <w:tabs>
          <w:tab w:val="right" w:leader="dot" w:pos="10194"/>
        </w:tabs>
        <w:rPr>
          <w:rFonts w:eastAsiaTheme="minorEastAsia"/>
          <w:noProof/>
          <w:spacing w:val="0"/>
          <w:kern w:val="2"/>
          <w:sz w:val="24"/>
          <w:lang w:eastAsia="en-AU"/>
          <w14:ligatures w14:val="standardContextual"/>
        </w:rPr>
      </w:pPr>
      <w:hyperlink w:anchor="_Toc225929580" w:history="1">
        <w:r w:rsidRPr="00EE0876">
          <w:rPr>
            <w:rStyle w:val="Hyperlink"/>
            <w:noProof/>
          </w:rPr>
          <w:t>Principle 5. Seek improvement through feedback and evaluation</w:t>
        </w:r>
        <w:r>
          <w:rPr>
            <w:noProof/>
            <w:webHidden/>
          </w:rPr>
          <w:tab/>
        </w:r>
        <w:r>
          <w:rPr>
            <w:noProof/>
            <w:webHidden/>
          </w:rPr>
          <w:fldChar w:fldCharType="begin"/>
        </w:r>
        <w:r>
          <w:rPr>
            <w:noProof/>
            <w:webHidden/>
          </w:rPr>
          <w:instrText xml:space="preserve"> PAGEREF _Toc225929580 \h </w:instrText>
        </w:r>
        <w:r>
          <w:rPr>
            <w:noProof/>
            <w:webHidden/>
          </w:rPr>
        </w:r>
        <w:r>
          <w:rPr>
            <w:noProof/>
            <w:webHidden/>
          </w:rPr>
          <w:fldChar w:fldCharType="separate"/>
        </w:r>
        <w:r w:rsidR="00D50C1A">
          <w:rPr>
            <w:noProof/>
            <w:webHidden/>
          </w:rPr>
          <w:t>26</w:t>
        </w:r>
        <w:r>
          <w:rPr>
            <w:noProof/>
            <w:webHidden/>
          </w:rPr>
          <w:fldChar w:fldCharType="end"/>
        </w:r>
      </w:hyperlink>
    </w:p>
    <w:p w14:paraId="3A6682AB" w14:textId="2DA7A036" w:rsidR="00F54CCB" w:rsidRDefault="00F54CCB">
      <w:pPr>
        <w:pStyle w:val="TOC3"/>
        <w:tabs>
          <w:tab w:val="right" w:leader="dot" w:pos="10194"/>
        </w:tabs>
        <w:rPr>
          <w:rFonts w:eastAsiaTheme="minorEastAsia"/>
          <w:noProof/>
          <w:spacing w:val="0"/>
          <w:kern w:val="2"/>
          <w:sz w:val="24"/>
          <w:lang w:eastAsia="en-AU"/>
          <w14:ligatures w14:val="standardContextual"/>
        </w:rPr>
      </w:pPr>
      <w:hyperlink w:anchor="_Toc225929581" w:history="1">
        <w:r w:rsidRPr="00EE0876">
          <w:rPr>
            <w:rStyle w:val="Hyperlink"/>
            <w:noProof/>
          </w:rPr>
          <w:t>Evaluating a partnership and the partnership outcomes</w:t>
        </w:r>
        <w:r>
          <w:rPr>
            <w:noProof/>
            <w:webHidden/>
          </w:rPr>
          <w:tab/>
        </w:r>
        <w:r>
          <w:rPr>
            <w:noProof/>
            <w:webHidden/>
          </w:rPr>
          <w:fldChar w:fldCharType="begin"/>
        </w:r>
        <w:r>
          <w:rPr>
            <w:noProof/>
            <w:webHidden/>
          </w:rPr>
          <w:instrText xml:space="preserve"> PAGEREF _Toc225929581 \h </w:instrText>
        </w:r>
        <w:r>
          <w:rPr>
            <w:noProof/>
            <w:webHidden/>
          </w:rPr>
        </w:r>
        <w:r>
          <w:rPr>
            <w:noProof/>
            <w:webHidden/>
          </w:rPr>
          <w:fldChar w:fldCharType="separate"/>
        </w:r>
        <w:r w:rsidR="00D50C1A">
          <w:rPr>
            <w:noProof/>
            <w:webHidden/>
          </w:rPr>
          <w:t>26</w:t>
        </w:r>
        <w:r>
          <w:rPr>
            <w:noProof/>
            <w:webHidden/>
          </w:rPr>
          <w:fldChar w:fldCharType="end"/>
        </w:r>
      </w:hyperlink>
    </w:p>
    <w:p w14:paraId="09AFA068" w14:textId="0639D2D2" w:rsidR="00F54CCB" w:rsidRDefault="00F54CCB">
      <w:pPr>
        <w:pStyle w:val="TOC3"/>
        <w:tabs>
          <w:tab w:val="right" w:leader="dot" w:pos="10194"/>
        </w:tabs>
        <w:rPr>
          <w:rFonts w:eastAsiaTheme="minorEastAsia"/>
          <w:noProof/>
          <w:spacing w:val="0"/>
          <w:kern w:val="2"/>
          <w:sz w:val="24"/>
          <w:lang w:eastAsia="en-AU"/>
          <w14:ligatures w14:val="standardContextual"/>
        </w:rPr>
      </w:pPr>
      <w:hyperlink w:anchor="_Toc225929582" w:history="1">
        <w:r w:rsidRPr="00EE0876">
          <w:rPr>
            <w:rStyle w:val="Hyperlink"/>
            <w:noProof/>
          </w:rPr>
          <w:t>Indigenous Evaluation Strategy</w:t>
        </w:r>
        <w:r>
          <w:rPr>
            <w:noProof/>
            <w:webHidden/>
          </w:rPr>
          <w:tab/>
        </w:r>
        <w:r>
          <w:rPr>
            <w:noProof/>
            <w:webHidden/>
          </w:rPr>
          <w:fldChar w:fldCharType="begin"/>
        </w:r>
        <w:r>
          <w:rPr>
            <w:noProof/>
            <w:webHidden/>
          </w:rPr>
          <w:instrText xml:space="preserve"> PAGEREF _Toc225929582 \h </w:instrText>
        </w:r>
        <w:r>
          <w:rPr>
            <w:noProof/>
            <w:webHidden/>
          </w:rPr>
        </w:r>
        <w:r>
          <w:rPr>
            <w:noProof/>
            <w:webHidden/>
          </w:rPr>
          <w:fldChar w:fldCharType="separate"/>
        </w:r>
        <w:r w:rsidR="00D50C1A">
          <w:rPr>
            <w:noProof/>
            <w:webHidden/>
          </w:rPr>
          <w:t>27</w:t>
        </w:r>
        <w:r>
          <w:rPr>
            <w:noProof/>
            <w:webHidden/>
          </w:rPr>
          <w:fldChar w:fldCharType="end"/>
        </w:r>
      </w:hyperlink>
    </w:p>
    <w:p w14:paraId="31A977CB" w14:textId="480DC8A3" w:rsidR="00F54CCB" w:rsidRDefault="00F54CCB">
      <w:pPr>
        <w:pStyle w:val="TOC3"/>
        <w:tabs>
          <w:tab w:val="right" w:leader="dot" w:pos="10194"/>
        </w:tabs>
        <w:rPr>
          <w:rFonts w:eastAsiaTheme="minorEastAsia"/>
          <w:noProof/>
          <w:spacing w:val="0"/>
          <w:kern w:val="2"/>
          <w:sz w:val="24"/>
          <w:lang w:eastAsia="en-AU"/>
          <w14:ligatures w14:val="standardContextual"/>
        </w:rPr>
      </w:pPr>
      <w:hyperlink w:anchor="_Toc225929583" w:history="1">
        <w:r w:rsidRPr="00EE0876">
          <w:rPr>
            <w:rStyle w:val="Hyperlink"/>
            <w:noProof/>
          </w:rPr>
          <w:t>Monitoring and data</w:t>
        </w:r>
        <w:r>
          <w:rPr>
            <w:noProof/>
            <w:webHidden/>
          </w:rPr>
          <w:tab/>
        </w:r>
        <w:r>
          <w:rPr>
            <w:noProof/>
            <w:webHidden/>
          </w:rPr>
          <w:fldChar w:fldCharType="begin"/>
        </w:r>
        <w:r>
          <w:rPr>
            <w:noProof/>
            <w:webHidden/>
          </w:rPr>
          <w:instrText xml:space="preserve"> PAGEREF _Toc225929583 \h </w:instrText>
        </w:r>
        <w:r>
          <w:rPr>
            <w:noProof/>
            <w:webHidden/>
          </w:rPr>
        </w:r>
        <w:r>
          <w:rPr>
            <w:noProof/>
            <w:webHidden/>
          </w:rPr>
          <w:fldChar w:fldCharType="separate"/>
        </w:r>
        <w:r w:rsidR="00D50C1A">
          <w:rPr>
            <w:noProof/>
            <w:webHidden/>
          </w:rPr>
          <w:t>27</w:t>
        </w:r>
        <w:r>
          <w:rPr>
            <w:noProof/>
            <w:webHidden/>
          </w:rPr>
          <w:fldChar w:fldCharType="end"/>
        </w:r>
      </w:hyperlink>
    </w:p>
    <w:p w14:paraId="4D65818F" w14:textId="7708447B" w:rsidR="00F54CCB" w:rsidRDefault="00F54CCB">
      <w:pPr>
        <w:pStyle w:val="TOC3"/>
        <w:tabs>
          <w:tab w:val="right" w:leader="dot" w:pos="10194"/>
        </w:tabs>
        <w:rPr>
          <w:rFonts w:eastAsiaTheme="minorEastAsia"/>
          <w:noProof/>
          <w:spacing w:val="0"/>
          <w:kern w:val="2"/>
          <w:sz w:val="24"/>
          <w:lang w:eastAsia="en-AU"/>
          <w14:ligatures w14:val="standardContextual"/>
        </w:rPr>
      </w:pPr>
      <w:hyperlink w:anchor="_Toc225929584" w:history="1">
        <w:r w:rsidRPr="00EE0876">
          <w:rPr>
            <w:rStyle w:val="Hyperlink"/>
            <w:noProof/>
          </w:rPr>
          <w:t>Evaluation</w:t>
        </w:r>
        <w:r>
          <w:rPr>
            <w:noProof/>
            <w:webHidden/>
          </w:rPr>
          <w:tab/>
        </w:r>
        <w:r>
          <w:rPr>
            <w:noProof/>
            <w:webHidden/>
          </w:rPr>
          <w:fldChar w:fldCharType="begin"/>
        </w:r>
        <w:r>
          <w:rPr>
            <w:noProof/>
            <w:webHidden/>
          </w:rPr>
          <w:instrText xml:space="preserve"> PAGEREF _Toc225929584 \h </w:instrText>
        </w:r>
        <w:r>
          <w:rPr>
            <w:noProof/>
            <w:webHidden/>
          </w:rPr>
        </w:r>
        <w:r>
          <w:rPr>
            <w:noProof/>
            <w:webHidden/>
          </w:rPr>
          <w:fldChar w:fldCharType="separate"/>
        </w:r>
        <w:r w:rsidR="00D50C1A">
          <w:rPr>
            <w:noProof/>
            <w:webHidden/>
          </w:rPr>
          <w:t>28</w:t>
        </w:r>
        <w:r>
          <w:rPr>
            <w:noProof/>
            <w:webHidden/>
          </w:rPr>
          <w:fldChar w:fldCharType="end"/>
        </w:r>
      </w:hyperlink>
    </w:p>
    <w:p w14:paraId="4A282A7C" w14:textId="692C8C67" w:rsidR="00F54CCB" w:rsidRDefault="00F54CCB">
      <w:pPr>
        <w:pStyle w:val="TOC2"/>
        <w:tabs>
          <w:tab w:val="right" w:leader="dot" w:pos="10194"/>
        </w:tabs>
        <w:rPr>
          <w:rFonts w:eastAsiaTheme="minorEastAsia"/>
          <w:noProof/>
          <w:spacing w:val="0"/>
          <w:kern w:val="2"/>
          <w:sz w:val="24"/>
          <w:lang w:eastAsia="en-AU"/>
          <w14:ligatures w14:val="standardContextual"/>
        </w:rPr>
      </w:pPr>
      <w:hyperlink w:anchor="_Toc225929585" w:history="1">
        <w:r w:rsidRPr="00EE0876">
          <w:rPr>
            <w:rStyle w:val="Hyperlink"/>
            <w:noProof/>
            <w:spacing w:val="10"/>
          </w:rPr>
          <w:t>Conclusion</w:t>
        </w:r>
        <w:r>
          <w:rPr>
            <w:noProof/>
            <w:webHidden/>
          </w:rPr>
          <w:tab/>
        </w:r>
        <w:r>
          <w:rPr>
            <w:noProof/>
            <w:webHidden/>
          </w:rPr>
          <w:fldChar w:fldCharType="begin"/>
        </w:r>
        <w:r>
          <w:rPr>
            <w:noProof/>
            <w:webHidden/>
          </w:rPr>
          <w:instrText xml:space="preserve"> PAGEREF _Toc225929585 \h </w:instrText>
        </w:r>
        <w:r>
          <w:rPr>
            <w:noProof/>
            <w:webHidden/>
          </w:rPr>
        </w:r>
        <w:r>
          <w:rPr>
            <w:noProof/>
            <w:webHidden/>
          </w:rPr>
          <w:fldChar w:fldCharType="separate"/>
        </w:r>
        <w:r w:rsidR="00D50C1A">
          <w:rPr>
            <w:noProof/>
            <w:webHidden/>
          </w:rPr>
          <w:t>30</w:t>
        </w:r>
        <w:r>
          <w:rPr>
            <w:noProof/>
            <w:webHidden/>
          </w:rPr>
          <w:fldChar w:fldCharType="end"/>
        </w:r>
      </w:hyperlink>
    </w:p>
    <w:p w14:paraId="01F2A13B" w14:textId="15EA5FB9" w:rsidR="00F54CCB" w:rsidRDefault="00F54CCB">
      <w:pPr>
        <w:pStyle w:val="TOC2"/>
        <w:tabs>
          <w:tab w:val="right" w:leader="dot" w:pos="10194"/>
        </w:tabs>
        <w:rPr>
          <w:rFonts w:eastAsiaTheme="minorEastAsia"/>
          <w:noProof/>
          <w:spacing w:val="0"/>
          <w:kern w:val="2"/>
          <w:sz w:val="24"/>
          <w:lang w:eastAsia="en-AU"/>
          <w14:ligatures w14:val="standardContextual"/>
        </w:rPr>
      </w:pPr>
      <w:hyperlink w:anchor="_Toc225929586" w:history="1">
        <w:r w:rsidRPr="00EE0876">
          <w:rPr>
            <w:rStyle w:val="Hyperlink"/>
            <w:noProof/>
          </w:rPr>
          <w:t>References</w:t>
        </w:r>
        <w:r>
          <w:rPr>
            <w:noProof/>
            <w:webHidden/>
          </w:rPr>
          <w:tab/>
        </w:r>
        <w:r>
          <w:rPr>
            <w:noProof/>
            <w:webHidden/>
          </w:rPr>
          <w:fldChar w:fldCharType="begin"/>
        </w:r>
        <w:r>
          <w:rPr>
            <w:noProof/>
            <w:webHidden/>
          </w:rPr>
          <w:instrText xml:space="preserve"> PAGEREF _Toc225929586 \h </w:instrText>
        </w:r>
        <w:r>
          <w:rPr>
            <w:noProof/>
            <w:webHidden/>
          </w:rPr>
        </w:r>
        <w:r>
          <w:rPr>
            <w:noProof/>
            <w:webHidden/>
          </w:rPr>
          <w:fldChar w:fldCharType="separate"/>
        </w:r>
        <w:r w:rsidR="00D50C1A">
          <w:rPr>
            <w:noProof/>
            <w:webHidden/>
          </w:rPr>
          <w:t>31</w:t>
        </w:r>
        <w:r>
          <w:rPr>
            <w:noProof/>
            <w:webHidden/>
          </w:rPr>
          <w:fldChar w:fldCharType="end"/>
        </w:r>
      </w:hyperlink>
    </w:p>
    <w:p w14:paraId="6818B560" w14:textId="5420012A" w:rsidR="00640150" w:rsidRPr="00A53264" w:rsidRDefault="00640150" w:rsidP="00640150">
      <w:r>
        <w:fldChar w:fldCharType="end"/>
      </w:r>
    </w:p>
    <w:p w14:paraId="54D17DFA" w14:textId="77777777" w:rsidR="002C3C9B" w:rsidRDefault="00640150" w:rsidP="002C3C9B">
      <w:pPr>
        <w:pStyle w:val="Heading2"/>
      </w:pPr>
      <w:r>
        <w:br w:type="page"/>
      </w:r>
      <w:bookmarkStart w:id="7" w:name="_Toc183353878"/>
      <w:bookmarkStart w:id="8" w:name="_Toc225929558"/>
      <w:bookmarkStart w:id="9" w:name="_Toc183353877"/>
      <w:r w:rsidR="002C3C9B">
        <w:lastRenderedPageBreak/>
        <w:t>Introduction</w:t>
      </w:r>
      <w:bookmarkEnd w:id="7"/>
      <w:bookmarkEnd w:id="8"/>
    </w:p>
    <w:p w14:paraId="03DAD2EA" w14:textId="6002B0CE" w:rsidR="002C3C9B" w:rsidRPr="00F03A18" w:rsidRDefault="002C3C9B" w:rsidP="002838CF">
      <w:pPr>
        <w:pStyle w:val="Quote"/>
        <w:jc w:val="left"/>
      </w:pPr>
      <w:r w:rsidRPr="25666478">
        <w:t xml:space="preserve">Government and philanthropy working together can find new ways to break cycles of disadvantage and address some of Australia’s most intractable challenges. </w:t>
      </w:r>
      <w:r w:rsidRPr="25666478">
        <w:rPr>
          <w:b/>
          <w:bCs/>
        </w:rPr>
        <w:t>Glyn</w:t>
      </w:r>
      <w:r w:rsidR="00487789" w:rsidRPr="25666478">
        <w:rPr>
          <w:b/>
          <w:bCs/>
        </w:rPr>
        <w:t> </w:t>
      </w:r>
      <w:r w:rsidRPr="25666478">
        <w:rPr>
          <w:b/>
          <w:bCs/>
        </w:rPr>
        <w:t xml:space="preserve">Davis AC, Kenneth Myer Lecture on the great impact of philanthropy </w:t>
      </w:r>
      <w:r w:rsidR="004C6558">
        <w:rPr>
          <w:b/>
          <w:bCs/>
        </w:rPr>
        <w:t>(</w:t>
      </w:r>
      <w:r w:rsidRPr="25666478">
        <w:rPr>
          <w:b/>
          <w:bCs/>
        </w:rPr>
        <w:t>2024</w:t>
      </w:r>
      <w:r w:rsidR="004C6558">
        <w:rPr>
          <w:b/>
          <w:bCs/>
        </w:rPr>
        <w:t>)</w:t>
      </w:r>
    </w:p>
    <w:p w14:paraId="7CDA0E7B" w14:textId="71B57A87" w:rsidR="002C3C9B" w:rsidRPr="007F4CD6" w:rsidRDefault="002C3C9B" w:rsidP="002C3C9B">
      <w:r w:rsidRPr="25666478">
        <w:t>Philanthropy in Australia is increasing, and government policies are supporting this growth</w:t>
      </w:r>
      <w:r w:rsidR="00B7623D">
        <w:t xml:space="preserve"> (</w:t>
      </w:r>
      <w:r w:rsidR="00181B3E">
        <w:t xml:space="preserve">Productivity Commission (PC) </w:t>
      </w:r>
      <w:r w:rsidR="00B7623D">
        <w:t>2024)</w:t>
      </w:r>
      <w:r w:rsidR="0017282F">
        <w:t>.</w:t>
      </w:r>
      <w:r w:rsidR="0017282F" w:rsidRPr="25666478">
        <w:t xml:space="preserve"> </w:t>
      </w:r>
      <w:r w:rsidRPr="25666478">
        <w:t>The funding provided by philanthropy has different benefits (and costs) to government support and can complement, or inform areas for, direct government funding</w:t>
      </w:r>
      <w:r w:rsidR="003E4E4F">
        <w:t xml:space="preserve"> (</w:t>
      </w:r>
      <w:r w:rsidR="00FC2504">
        <w:t xml:space="preserve">PC </w:t>
      </w:r>
      <w:r w:rsidR="003E4E4F">
        <w:t>2024)</w:t>
      </w:r>
      <w:r w:rsidRPr="25666478">
        <w:t>.</w:t>
      </w:r>
    </w:p>
    <w:p w14:paraId="546A7CB8" w14:textId="4EA6B904" w:rsidR="002C3C9B" w:rsidRPr="007F4CD6" w:rsidRDefault="002C3C9B" w:rsidP="002C3C9B">
      <w:r w:rsidRPr="25666478">
        <w:t>As philanthropy in Australia grows, there is an increasing opportunity for governments and philanthropic organisations to work together to achieve shared aims. Partnership between philanthropic organisations and governments has the potential to achieve ambitious, measurable outcomes, that could not be achieved by either government or philanthropic organisations working alone</w:t>
      </w:r>
      <w:r w:rsidR="00586F5F">
        <w:t xml:space="preserve"> (Rishworth 2023)</w:t>
      </w:r>
      <w:r w:rsidR="0017282F">
        <w:t>.</w:t>
      </w:r>
      <w:r w:rsidRPr="25666478">
        <w:t xml:space="preserve"> </w:t>
      </w:r>
    </w:p>
    <w:p w14:paraId="143F7863" w14:textId="66A618E3" w:rsidR="002C3C9B" w:rsidRPr="007F4CD6" w:rsidRDefault="002C3C9B" w:rsidP="002C3C9B">
      <w:r w:rsidRPr="25666478">
        <w:t>The Government, as well as state and territory governments, have engaged with philanthropic organisations for many years</w:t>
      </w:r>
      <w:r w:rsidR="007F20C1">
        <w:t xml:space="preserve"> (Williams 2020)</w:t>
      </w:r>
      <w:r w:rsidRPr="25666478">
        <w:t xml:space="preserve">. The Government incentivises philanthropic giving through tax settings and many charitable organisations receive funding from governments and philanthropy. The </w:t>
      </w:r>
      <w:r w:rsidR="00A021FB">
        <w:t xml:space="preserve">Australian </w:t>
      </w:r>
      <w:r w:rsidRPr="25666478">
        <w:t>Government has also committed to collaborating with the philanthropic sector, amongst other stakeholders, to double philanthropic giving by 2030</w:t>
      </w:r>
      <w:r w:rsidR="007F20C1">
        <w:t xml:space="preserve"> (Leigh </w:t>
      </w:r>
      <w:r w:rsidR="00111B16">
        <w:t>2023)</w:t>
      </w:r>
      <w:r w:rsidRPr="25666478">
        <w:t xml:space="preserve">. </w:t>
      </w:r>
    </w:p>
    <w:p w14:paraId="61FA23C3" w14:textId="1B4F3F61" w:rsidR="004150FC" w:rsidRDefault="002C3C9B" w:rsidP="25666478">
      <w:r w:rsidRPr="25666478">
        <w:t>There are myriad ways in which philanthropy and governments will work together in the coming years to change the lives of Australians for the better</w:t>
      </w:r>
      <w:r w:rsidR="002F4567">
        <w:t xml:space="preserve"> (Wood </w:t>
      </w:r>
      <w:r w:rsidR="00874C08">
        <w:t>2023</w:t>
      </w:r>
      <w:r w:rsidR="0014009D">
        <w:t>)</w:t>
      </w:r>
      <w:r w:rsidRPr="25666478">
        <w:t xml:space="preserve">. This document focuses on working together through partnership. It considers the </w:t>
      </w:r>
      <w:r w:rsidR="00A021FB">
        <w:t xml:space="preserve">Australian </w:t>
      </w:r>
      <w:r w:rsidRPr="25666478">
        <w:t>Government’s role in partnering with philanthropic organisations and serves as a guide for Australian Public Service (APS) officials when establishing a partnership between the government and philanthropic organisations.</w:t>
      </w:r>
      <w:r w:rsidR="004150FC" w:rsidRPr="25666478">
        <w:br w:type="page"/>
      </w:r>
    </w:p>
    <w:p w14:paraId="16F30FD9" w14:textId="1EDCECE1" w:rsidR="00640150" w:rsidRPr="004150FC" w:rsidRDefault="001E0764" w:rsidP="004150FC">
      <w:pPr>
        <w:pStyle w:val="Heading2"/>
      </w:pPr>
      <w:bookmarkStart w:id="10" w:name="_Toc225929559"/>
      <w:bookmarkEnd w:id="9"/>
      <w:r w:rsidRPr="004150FC">
        <w:lastRenderedPageBreak/>
        <w:t>About this document</w:t>
      </w:r>
      <w:bookmarkEnd w:id="10"/>
    </w:p>
    <w:p w14:paraId="05B3C7DC" w14:textId="77777777" w:rsidR="00640150" w:rsidRPr="007B6352" w:rsidRDefault="00640150" w:rsidP="00FF1C1C">
      <w:r w:rsidRPr="25666478">
        <w:t>This document focuses on the Australian Government’s role in partnering with philanthropic organisations. It serves as a guide for Australian Public Service (APS) officials when establishing a partnership between the government and philanthropic organisations.</w:t>
      </w:r>
    </w:p>
    <w:p w14:paraId="5D06F619" w14:textId="77777777" w:rsidR="00640150" w:rsidRPr="007B6352" w:rsidRDefault="00640150" w:rsidP="00FF1C1C">
      <w:r w:rsidRPr="007B6352">
        <w:t>Partnerships between the government and philanthropic organisations can take different forms:</w:t>
      </w:r>
    </w:p>
    <w:p w14:paraId="6F1BF93E" w14:textId="125A9FF3" w:rsidR="00640150" w:rsidRPr="00906BE1" w:rsidRDefault="007C42CE" w:rsidP="00906BE1">
      <w:pPr>
        <w:pStyle w:val="ListParagraph"/>
      </w:pPr>
      <w:r>
        <w:t>f</w:t>
      </w:r>
      <w:r w:rsidR="00640150" w:rsidRPr="00906BE1">
        <w:t>inancial co-contributions to joint initiatives</w:t>
      </w:r>
    </w:p>
    <w:p w14:paraId="1F35A966" w14:textId="631D9451" w:rsidR="00640150" w:rsidRPr="00F11AC9" w:rsidRDefault="007C42CE" w:rsidP="00906BE1">
      <w:pPr>
        <w:pStyle w:val="ListParagraph"/>
      </w:pPr>
      <w:r>
        <w:t>c</w:t>
      </w:r>
      <w:r w:rsidR="00640150" w:rsidRPr="00F11AC9">
        <w:t>ollaborating to avoid duplication and undertake complementary work</w:t>
      </w:r>
    </w:p>
    <w:p w14:paraId="68B07ADB" w14:textId="6612F4EF" w:rsidR="00640150" w:rsidRPr="00F11AC9" w:rsidRDefault="007C42CE" w:rsidP="00906BE1">
      <w:pPr>
        <w:pStyle w:val="ListParagraph"/>
      </w:pPr>
      <w:r>
        <w:t>m</w:t>
      </w:r>
      <w:r w:rsidR="00640150" w:rsidRPr="00F11AC9">
        <w:t xml:space="preserve">aking connections and exchanging ideas across sectors </w:t>
      </w:r>
    </w:p>
    <w:p w14:paraId="7FC4A956" w14:textId="6C33A17F" w:rsidR="008D5E38" w:rsidRPr="00821DF5" w:rsidRDefault="007C42CE" w:rsidP="00906BE1">
      <w:pPr>
        <w:pStyle w:val="ListParagraph"/>
      </w:pPr>
      <w:r>
        <w:t>a</w:t>
      </w:r>
      <w:r w:rsidR="00640150" w:rsidRPr="00F11AC9">
        <w:t xml:space="preserve"> combination of these collaborative approaches.</w:t>
      </w:r>
    </w:p>
    <w:p w14:paraId="45C257B3" w14:textId="77777777" w:rsidR="00640150" w:rsidRPr="007B6352" w:rsidRDefault="00640150" w:rsidP="00FF1C1C">
      <w:r w:rsidRPr="25666478">
        <w:t xml:space="preserve">This document provides context on the current landscape for potential partnerships. It outlines roles that government and philanthropy play in Australian society and identifies the unique operating environments of potential partners. The document seeks to provide guiding principles to support a consistent government approach to partnering with philanthropic organisations. </w:t>
      </w:r>
    </w:p>
    <w:p w14:paraId="4BAB47CB" w14:textId="4E1464B2" w:rsidR="00640150" w:rsidRPr="007B6352" w:rsidRDefault="00640150" w:rsidP="00FF1C1C">
      <w:r w:rsidRPr="25666478">
        <w:t>The document also establishes five key principles to support APS officials as they work in partnership with philanthropic organisations. The principles highlight that partnerships between the government and philanthropic organisations should:</w:t>
      </w:r>
    </w:p>
    <w:p w14:paraId="04EE0174" w14:textId="7AF80613" w:rsidR="00640150" w:rsidRPr="00906BE1" w:rsidRDefault="005D7AF8" w:rsidP="00906BE1">
      <w:pPr>
        <w:pStyle w:val="ListNumber"/>
      </w:pPr>
      <w:r>
        <w:t xml:space="preserve">be </w:t>
      </w:r>
      <w:r w:rsidR="00EA5F20">
        <w:t>p</w:t>
      </w:r>
      <w:r w:rsidR="00640150" w:rsidRPr="00906BE1">
        <w:t>urposeful</w:t>
      </w:r>
    </w:p>
    <w:p w14:paraId="39BA764A" w14:textId="4DCBFD52" w:rsidR="00640150" w:rsidRPr="006C55E5" w:rsidRDefault="00EA5F20" w:rsidP="00906BE1">
      <w:pPr>
        <w:pStyle w:val="ListNumber"/>
      </w:pPr>
      <w:r>
        <w:t>e</w:t>
      </w:r>
      <w:r w:rsidR="00640150" w:rsidRPr="006C55E5">
        <w:t>stablish</w:t>
      </w:r>
      <w:r w:rsidR="001F67FC">
        <w:t xml:space="preserve"> </w:t>
      </w:r>
      <w:r w:rsidR="00640150" w:rsidRPr="006C55E5">
        <w:t>trust</w:t>
      </w:r>
    </w:p>
    <w:p w14:paraId="4158C2BC" w14:textId="25C20B48" w:rsidR="00640150" w:rsidRPr="006C55E5" w:rsidRDefault="00EA5F20" w:rsidP="00906BE1">
      <w:pPr>
        <w:pStyle w:val="ListNumber"/>
      </w:pPr>
      <w:r>
        <w:t>r</w:t>
      </w:r>
      <w:r w:rsidR="00640150" w:rsidRPr="006C55E5">
        <w:t>eflect integrity</w:t>
      </w:r>
    </w:p>
    <w:p w14:paraId="05337593" w14:textId="33F861EC" w:rsidR="00640150" w:rsidRPr="006C55E5" w:rsidRDefault="005D7AF8" w:rsidP="00906BE1">
      <w:pPr>
        <w:pStyle w:val="ListNumber"/>
      </w:pPr>
      <w:r>
        <w:t xml:space="preserve">be </w:t>
      </w:r>
      <w:r w:rsidR="00EA5F20">
        <w:t>i</w:t>
      </w:r>
      <w:r w:rsidR="00640150" w:rsidRPr="006C55E5">
        <w:t>nformed by lived experience</w:t>
      </w:r>
    </w:p>
    <w:p w14:paraId="223242A0" w14:textId="2AADC99D" w:rsidR="00640150" w:rsidRPr="006C55E5" w:rsidRDefault="00EA5F20" w:rsidP="00906BE1">
      <w:pPr>
        <w:pStyle w:val="ListNumber"/>
      </w:pPr>
      <w:r>
        <w:t>s</w:t>
      </w:r>
      <w:r w:rsidR="00640150" w:rsidRPr="006C55E5">
        <w:t xml:space="preserve">eek improvement through </w:t>
      </w:r>
      <w:r w:rsidR="001F67FC">
        <w:t xml:space="preserve">feedback and </w:t>
      </w:r>
      <w:r w:rsidR="00640150" w:rsidRPr="006C55E5">
        <w:t>evaluation</w:t>
      </w:r>
      <w:r w:rsidR="006B63D8">
        <w:t>.</w:t>
      </w:r>
    </w:p>
    <w:p w14:paraId="7D32ACC4" w14:textId="77777777" w:rsidR="00640150" w:rsidRDefault="00640150" w:rsidP="00640150">
      <w:r w:rsidRPr="007B6352">
        <w:t xml:space="preserve">The document also presents case studies of the Investment Dialogue for Australia’s Children to share key insights and learnings on relevant principles. </w:t>
      </w:r>
    </w:p>
    <w:p w14:paraId="1C1AE7B2" w14:textId="77777777" w:rsidR="00640150" w:rsidRDefault="00640150" w:rsidP="00640150">
      <w:r>
        <w:br w:type="page"/>
      </w:r>
    </w:p>
    <w:p w14:paraId="09C9649A" w14:textId="77777777" w:rsidR="00640150" w:rsidRDefault="00640150" w:rsidP="00640150">
      <w:pPr>
        <w:pStyle w:val="Heading2"/>
      </w:pPr>
      <w:bookmarkStart w:id="11" w:name="_Toc183353879"/>
      <w:bookmarkStart w:id="12" w:name="_Toc225929560"/>
      <w:r w:rsidRPr="0083356C">
        <w:lastRenderedPageBreak/>
        <w:t>Understanding partnership</w:t>
      </w:r>
      <w:bookmarkEnd w:id="11"/>
      <w:bookmarkEnd w:id="12"/>
      <w:r w:rsidRPr="0083356C">
        <w:t> </w:t>
      </w:r>
    </w:p>
    <w:p w14:paraId="0E251A3A" w14:textId="77777777" w:rsidR="00640150" w:rsidRPr="0083356C" w:rsidRDefault="00640150" w:rsidP="00640150">
      <w:pPr>
        <w:pStyle w:val="Heading3"/>
      </w:pPr>
      <w:bookmarkStart w:id="13" w:name="_Toc183353880"/>
      <w:bookmarkStart w:id="14" w:name="_Toc225929561"/>
      <w:r w:rsidRPr="0083356C">
        <w:t>Types of partnership</w:t>
      </w:r>
      <w:bookmarkEnd w:id="13"/>
      <w:bookmarkEnd w:id="14"/>
      <w:r w:rsidRPr="0083356C">
        <w:t> </w:t>
      </w:r>
    </w:p>
    <w:p w14:paraId="1765FE5E" w14:textId="1F590F69" w:rsidR="00B3602C" w:rsidRDefault="00640150" w:rsidP="00B3602C">
      <w:r w:rsidRPr="25666478">
        <w:t>Strategic and ongoing partnerships between the government and the philanthropic sector represent a relatively new way of working. They rely on a shared purpose, genuine collaboration and joint action. Effective and impactful partnerships can help to create better outcomes for Australians.</w:t>
      </w:r>
      <w:r w:rsidR="0052138D">
        <w:t xml:space="preserve"> </w:t>
      </w:r>
    </w:p>
    <w:p w14:paraId="0F922178" w14:textId="3AA522ED" w:rsidR="00640150" w:rsidRPr="00B3602C" w:rsidRDefault="00640150" w:rsidP="00B3602C">
      <w:pPr>
        <w:sectPr w:rsidR="00640150" w:rsidRPr="00B3602C" w:rsidSect="00640150">
          <w:headerReference w:type="default" r:id="rId22"/>
          <w:endnotePr>
            <w:numFmt w:val="decimal"/>
          </w:endnotePr>
          <w:type w:val="continuous"/>
          <w:pgSz w:w="11906" w:h="16838"/>
          <w:pgMar w:top="851" w:right="851" w:bottom="1134" w:left="851" w:header="0" w:footer="281" w:gutter="0"/>
          <w:pgNumType w:start="1"/>
          <w:cols w:space="708"/>
          <w:titlePg/>
          <w:docGrid w:linePitch="360"/>
        </w:sectPr>
      </w:pPr>
      <w:r w:rsidRPr="0083356C">
        <w:t>When embarking on an ongoing and strategic partnership between government and philanthropy it is important to recognise that partnership</w:t>
      </w:r>
      <w:r w:rsidR="006D5D44">
        <w:t>s</w:t>
      </w:r>
      <w:r w:rsidRPr="0083356C">
        <w:t xml:space="preserve"> can take different forms. Partnerships may involve single, or multiple forms of collaboration. Some of the options for partnership mechanisms are outlined below.</w:t>
      </w:r>
      <w:r w:rsidR="0052138D">
        <w:t xml:space="preserve"> </w:t>
      </w:r>
    </w:p>
    <w:p w14:paraId="641EE6C5" w14:textId="77777777" w:rsidR="00B3602C" w:rsidRDefault="00640150" w:rsidP="00B3602C">
      <w:pPr>
        <w:pStyle w:val="Heading4"/>
      </w:pPr>
      <w:r w:rsidRPr="00A00B90">
        <w:t>Making financial co</w:t>
      </w:r>
      <w:r w:rsidR="004C5F90">
        <w:t>-</w:t>
      </w:r>
      <w:r w:rsidRPr="00A00B90">
        <w:t>contributions to joint initiatives</w:t>
      </w:r>
    </w:p>
    <w:p w14:paraId="1F315153" w14:textId="77777777" w:rsidR="00B3602C" w:rsidRDefault="00640150" w:rsidP="00B3602C">
      <w:r w:rsidRPr="0083356C">
        <w:t>Partners contribute funding to a joint initiative, or separate initiatives as part of a joint package of work.</w:t>
      </w:r>
      <w:r>
        <w:t xml:space="preserve"> </w:t>
      </w:r>
      <w:r w:rsidRPr="0083356C">
        <w:t>This can create a greater pool of resources, help to share risks and fill funding gaps. Co-funding can, however, require significant amount of effort to coordinate.</w:t>
      </w:r>
    </w:p>
    <w:p w14:paraId="051A3383" w14:textId="77777777" w:rsidR="00B3602C" w:rsidRDefault="00640150" w:rsidP="00B3602C">
      <w:pPr>
        <w:pStyle w:val="Heading4"/>
      </w:pPr>
      <w:r w:rsidRPr="00A00B90">
        <w:t>Sharing information and making decisions to complement the work of partners</w:t>
      </w:r>
    </w:p>
    <w:p w14:paraId="477CB23D" w14:textId="6F6B5EA1" w:rsidR="00640150" w:rsidRDefault="00640150" w:rsidP="00B3602C">
      <w:r w:rsidRPr="0083356C">
        <w:t>Partners share information so that each partner can make well-informed decisions.</w:t>
      </w:r>
      <w:r>
        <w:t xml:space="preserve"> </w:t>
      </w:r>
      <w:r w:rsidRPr="0083356C">
        <w:t>This can reduce duplication and fragmentation of efforts, leading to better coordination within support systems.</w:t>
      </w:r>
      <w:r>
        <w:t xml:space="preserve"> </w:t>
      </w:r>
      <w:r w:rsidRPr="0083356C">
        <w:t>Partners can utilise the strengths and respective roles of one another.</w:t>
      </w:r>
    </w:p>
    <w:p w14:paraId="15CE9A5D" w14:textId="77777777" w:rsidR="00640150" w:rsidRPr="00A00B90" w:rsidRDefault="00640150" w:rsidP="00B3602C">
      <w:pPr>
        <w:pStyle w:val="Heading4"/>
        <w:rPr>
          <w:sz w:val="28"/>
          <w:szCs w:val="32"/>
        </w:rPr>
      </w:pPr>
      <w:r w:rsidRPr="00A00B90">
        <w:t xml:space="preserve">Making connections and exchanging ideas across sectors </w:t>
      </w:r>
    </w:p>
    <w:p w14:paraId="3204B136" w14:textId="77777777" w:rsidR="00640150" w:rsidRPr="0083356C" w:rsidRDefault="00640150" w:rsidP="00B3602C">
      <w:r w:rsidRPr="25666478">
        <w:t>Partners come together to exchange ideas, information and learnings to work more effectively in a shared landscape. This can support improved coordination between partners and across sectors. Solutions and holistic responses to cross-cutting issues can be identified.</w:t>
      </w:r>
    </w:p>
    <w:p w14:paraId="56357EB2" w14:textId="4D003BCB" w:rsidR="00640150" w:rsidRPr="00F31AB1" w:rsidRDefault="00640150" w:rsidP="00B3602C">
      <w:r w:rsidRPr="25666478">
        <w:t xml:space="preserve">Partnerships and types of collaboration will not all look the same. In some cases, a formal partnership may not be </w:t>
      </w:r>
      <w:r w:rsidR="005A3301" w:rsidRPr="25666478">
        <w:t>needed or</w:t>
      </w:r>
      <w:r w:rsidRPr="25666478">
        <w:t xml:space="preserve"> not needed at the outset but could be a future possibility. </w:t>
      </w:r>
    </w:p>
    <w:p w14:paraId="5D4A59B0" w14:textId="77777777" w:rsidR="00640150" w:rsidRDefault="00640150" w:rsidP="00640150">
      <w:r>
        <w:br w:type="page"/>
      </w:r>
    </w:p>
    <w:p w14:paraId="085FABC7" w14:textId="7CAE6B3A" w:rsidR="00640150" w:rsidRDefault="00640150" w:rsidP="00640150">
      <w:pPr>
        <w:pStyle w:val="Heading2"/>
      </w:pPr>
      <w:bookmarkStart w:id="15" w:name="_Toc183353881"/>
      <w:bookmarkStart w:id="16" w:name="_Toc225929562"/>
      <w:r w:rsidRPr="001D3AFA">
        <w:lastRenderedPageBreak/>
        <w:t>Understanding the partners</w:t>
      </w:r>
      <w:bookmarkEnd w:id="15"/>
      <w:bookmarkEnd w:id="16"/>
      <w:r w:rsidR="0052138D">
        <w:t xml:space="preserve"> </w:t>
      </w:r>
    </w:p>
    <w:p w14:paraId="594DA7EA" w14:textId="77777777" w:rsidR="00640150" w:rsidRDefault="00640150" w:rsidP="00640150">
      <w:pPr>
        <w:pStyle w:val="Heading3"/>
      </w:pPr>
      <w:bookmarkStart w:id="17" w:name="_Toc225929563"/>
      <w:r>
        <w:t>Role of government</w:t>
      </w:r>
      <w:bookmarkEnd w:id="17"/>
      <w:r>
        <w:t xml:space="preserve"> </w:t>
      </w:r>
    </w:p>
    <w:p w14:paraId="132FA5CF" w14:textId="284FB55F" w:rsidR="00640150" w:rsidRPr="00E342D5" w:rsidRDefault="00640150" w:rsidP="00640150">
      <w:r w:rsidRPr="25666478">
        <w:rPr>
          <w:rFonts w:cs="Calibri Light"/>
          <w:color w:val="0C0C0C"/>
          <w:shd w:val="clear" w:color="auto" w:fill="FEFEFE"/>
        </w:rPr>
        <w:t>Australia has three levels of government that work together to help provide people with the services they need</w:t>
      </w:r>
      <w:r w:rsidR="00C269B3">
        <w:rPr>
          <w:rFonts w:cs="Calibri Light"/>
          <w:color w:val="0C0C0C"/>
          <w:shd w:val="clear" w:color="auto" w:fill="FEFEFE"/>
        </w:rPr>
        <w:t xml:space="preserve"> (Parliamentary Education Office 2023)</w:t>
      </w:r>
      <w:r w:rsidRPr="25666478">
        <w:t>. Each level is responsible for providing different services.</w:t>
      </w:r>
      <w:r w:rsidRPr="25666478">
        <w:rPr>
          <w:rFonts w:ascii="Nunito Sans" w:hAnsi="Nunito Sans"/>
          <w:color w:val="0C0C0C"/>
          <w:sz w:val="26"/>
          <w:szCs w:val="26"/>
          <w:shd w:val="clear" w:color="auto" w:fill="FEFEFE"/>
        </w:rPr>
        <w:t xml:space="preserve"> </w:t>
      </w:r>
      <w:r w:rsidRPr="25666478">
        <w:t>Sections 51 and 52 of the Australian Constitution list the areas the Australian Government can make laws about.</w:t>
      </w:r>
      <w:r w:rsidRPr="25666478">
        <w:rPr>
          <w:rFonts w:ascii="Nunito Sans" w:hAnsi="Nunito Sans"/>
          <w:color w:val="0C0C0C"/>
          <w:sz w:val="26"/>
          <w:szCs w:val="26"/>
          <w:shd w:val="clear" w:color="auto" w:fill="FEFEFE"/>
        </w:rPr>
        <w:t xml:space="preserve"> </w:t>
      </w:r>
    </w:p>
    <w:p w14:paraId="25F8BBF6" w14:textId="7307697A" w:rsidR="00640150" w:rsidRPr="001B2C53" w:rsidRDefault="00640150" w:rsidP="00640150">
      <w:r w:rsidRPr="25666478">
        <w:t xml:space="preserve">Funding is only one </w:t>
      </w:r>
      <w:r w:rsidR="00823E4F" w:rsidRPr="25666478">
        <w:t xml:space="preserve">option </w:t>
      </w:r>
      <w:r w:rsidRPr="25666478">
        <w:t xml:space="preserve">available to governments to achieve a particular outcome. Governments have a range of policy levers </w:t>
      </w:r>
      <w:r w:rsidR="00F1132D" w:rsidRPr="25666478">
        <w:t>they can use</w:t>
      </w:r>
      <w:r w:rsidRPr="25666478">
        <w:t xml:space="preserve">. </w:t>
      </w:r>
      <w:r w:rsidR="00F1132D" w:rsidRPr="25666478">
        <w:t>Options</w:t>
      </w:r>
      <w:r w:rsidRPr="25666478">
        <w:t xml:space="preserve"> available to the Australian Government include making amendments to the law and regulations, economic instruments such as taxation or subsidies, organisational structures (allocation of physical and human capital</w:t>
      </w:r>
      <w:r w:rsidR="00A672CD">
        <w:t>)</w:t>
      </w:r>
      <w:r w:rsidRPr="25666478">
        <w:t>, and community education (achieved through guidelines or media campaigns)</w:t>
      </w:r>
      <w:r w:rsidR="00A54AF5">
        <w:t xml:space="preserve"> (Esdaile et al 20</w:t>
      </w:r>
      <w:r w:rsidR="003A7AF6">
        <w:t>19)</w:t>
      </w:r>
      <w:r w:rsidRPr="25666478">
        <w:t>. Governments can also influence outcomes, convene stakeholders, generate insights and invest strategically.</w:t>
      </w:r>
    </w:p>
    <w:p w14:paraId="524F83F7" w14:textId="77777777" w:rsidR="00640150" w:rsidRDefault="00640150" w:rsidP="00640150">
      <w:pPr>
        <w:pStyle w:val="Heading3"/>
      </w:pPr>
      <w:bookmarkStart w:id="18" w:name="_Toc225929564"/>
      <w:r>
        <w:t>Role of philanthropic organisations</w:t>
      </w:r>
      <w:bookmarkEnd w:id="18"/>
    </w:p>
    <w:p w14:paraId="4F866C07" w14:textId="002F3994" w:rsidR="00640150" w:rsidRPr="00F03A18" w:rsidRDefault="00640150" w:rsidP="002838CF">
      <w:pPr>
        <w:pStyle w:val="Quote"/>
        <w:jc w:val="left"/>
      </w:pPr>
      <w:r w:rsidRPr="002D03F0">
        <w:t>Philanthropic funding can have a different risk profile from government funding and can have a greater tolerance for – and even expectation of – failure when trialling new models of service delivery. This can have important positive spillovers for government.</w:t>
      </w:r>
      <w:r>
        <w:t xml:space="preserve"> </w:t>
      </w:r>
      <w:r w:rsidRPr="002D03F0">
        <w:rPr>
          <w:b/>
          <w:bCs/>
        </w:rPr>
        <w:t>Productivity Commission, Future Foundations for Giving Inquiry Report</w:t>
      </w:r>
      <w:r w:rsidR="004C6558">
        <w:rPr>
          <w:b/>
          <w:bCs/>
        </w:rPr>
        <w:t xml:space="preserve"> (2024)</w:t>
      </w:r>
    </w:p>
    <w:p w14:paraId="72EB2574" w14:textId="77777777" w:rsidR="00640150" w:rsidRDefault="00640150" w:rsidP="00640150">
      <w:r w:rsidRPr="25666478">
        <w:t xml:space="preserve">Unlike the roles and responsibilities of governments outlined by the Australian Constitution, the role of philanthropy in Australia has changed over time and perceptions vary throughout society. </w:t>
      </w:r>
    </w:p>
    <w:p w14:paraId="4208B5F9" w14:textId="77777777" w:rsidR="00640150" w:rsidRDefault="00640150" w:rsidP="00640150">
      <w:r w:rsidRPr="25666478">
        <w:t>Philanthropy can support leaders, individuals, organisations and communities, by:</w:t>
      </w:r>
    </w:p>
    <w:p w14:paraId="6339DB69" w14:textId="62EAB45C" w:rsidR="00640150" w:rsidRPr="00674D0E" w:rsidRDefault="00640150" w:rsidP="00906BE1">
      <w:pPr>
        <w:pStyle w:val="ListParagraph"/>
      </w:pPr>
      <w:r w:rsidRPr="25666478">
        <w:t>growing the capacity of community-sector organisations</w:t>
      </w:r>
    </w:p>
    <w:p w14:paraId="3DA32FB3" w14:textId="35EB12B2" w:rsidR="00640150" w:rsidRPr="00CC7104" w:rsidRDefault="00640150" w:rsidP="00906BE1">
      <w:pPr>
        <w:pStyle w:val="ListParagraph"/>
      </w:pPr>
      <w:r w:rsidRPr="00CC7104">
        <w:t>supporting innovative projects and ideas and investing upfront capital in projects which may have a higher risk profile</w:t>
      </w:r>
      <w:r w:rsidR="003B2A84">
        <w:t xml:space="preserve"> (PC 2024)</w:t>
      </w:r>
      <w:r w:rsidRPr="00CC7104">
        <w:t xml:space="preserve"> </w:t>
      </w:r>
    </w:p>
    <w:p w14:paraId="3869B6BA" w14:textId="77777777" w:rsidR="00640150" w:rsidRPr="00674D0E" w:rsidRDefault="00640150" w:rsidP="00906BE1">
      <w:pPr>
        <w:pStyle w:val="ListParagraph"/>
      </w:pPr>
      <w:r w:rsidRPr="25666478">
        <w:t>supporting collaboration, advocacy and research in the not-for-profit sector</w:t>
      </w:r>
    </w:p>
    <w:p w14:paraId="4A93C919" w14:textId="77777777" w:rsidR="00640150" w:rsidRPr="00674D0E" w:rsidRDefault="00640150" w:rsidP="00906BE1">
      <w:pPr>
        <w:pStyle w:val="ListParagraph"/>
      </w:pPr>
      <w:r w:rsidRPr="00674D0E">
        <w:t>providing immediate and responsive support in times of great need</w:t>
      </w:r>
    </w:p>
    <w:p w14:paraId="2296A185" w14:textId="145A929D" w:rsidR="00640150" w:rsidRPr="006F4AEC" w:rsidRDefault="00640150" w:rsidP="00906BE1">
      <w:pPr>
        <w:pStyle w:val="ListParagraph"/>
      </w:pPr>
      <w:r>
        <w:rPr>
          <w:shd w:val="clear" w:color="auto" w:fill="FFFFFF"/>
        </w:rPr>
        <w:t>elevating</w:t>
      </w:r>
      <w:r w:rsidRPr="00674D0E">
        <w:rPr>
          <w:shd w:val="clear" w:color="auto" w:fill="FFFFFF"/>
        </w:rPr>
        <w:t xml:space="preserve"> diverse voices </w:t>
      </w:r>
      <w:r>
        <w:rPr>
          <w:shd w:val="clear" w:color="auto" w:fill="FFFFFF"/>
        </w:rPr>
        <w:t xml:space="preserve">and building evidence </w:t>
      </w:r>
      <w:r w:rsidRPr="00674D0E">
        <w:rPr>
          <w:shd w:val="clear" w:color="auto" w:fill="FFFFFF"/>
        </w:rPr>
        <w:t>to shape policy development</w:t>
      </w:r>
      <w:r w:rsidR="005171EE">
        <w:rPr>
          <w:shd w:val="clear" w:color="auto" w:fill="FFFFFF"/>
        </w:rPr>
        <w:t xml:space="preserve"> (Philanthropy Australia 2024)</w:t>
      </w:r>
      <w:r w:rsidR="0047303B">
        <w:rPr>
          <w:shd w:val="clear" w:color="auto" w:fill="FFFFFF"/>
        </w:rPr>
        <w:t>.</w:t>
      </w:r>
    </w:p>
    <w:p w14:paraId="07BF3234" w14:textId="77777777" w:rsidR="00640150" w:rsidRDefault="00640150" w:rsidP="00640150">
      <w:r w:rsidRPr="25666478">
        <w:t xml:space="preserve">Flexible or untied philanthropic support can provide a form of ‘risk capital’, enabling not-for-profit organisations to innovate by trialling new initiatives or approaches to service delivery and evaluating their effectiveness. </w:t>
      </w:r>
    </w:p>
    <w:p w14:paraId="4CF5A1EC" w14:textId="77777777" w:rsidR="00640150" w:rsidRDefault="00640150" w:rsidP="00640150">
      <w:r>
        <w:t xml:space="preserve">Philanthropy can also contribute to the building of social capital or leverage networks and influence to promote collaboration and advocate for certain issues (depending on the scope of the organisation). </w:t>
      </w:r>
    </w:p>
    <w:p w14:paraId="7D9FC58B" w14:textId="77777777" w:rsidR="00FD5482" w:rsidRDefault="00FD5482" w:rsidP="00640150">
      <w:pPr>
        <w:pStyle w:val="Heading3"/>
      </w:pPr>
      <w:bookmarkStart w:id="19" w:name="_Toc183353882"/>
    </w:p>
    <w:p w14:paraId="7C9BE7F9" w14:textId="77777777" w:rsidR="00FD5482" w:rsidRDefault="00FD5482" w:rsidP="00640150">
      <w:pPr>
        <w:pStyle w:val="Heading3"/>
      </w:pPr>
    </w:p>
    <w:p w14:paraId="0651BAF2" w14:textId="5282BD10" w:rsidR="00640150" w:rsidRPr="00E11105" w:rsidRDefault="00640150" w:rsidP="00640150">
      <w:pPr>
        <w:pStyle w:val="Heading3"/>
      </w:pPr>
      <w:bookmarkStart w:id="20" w:name="_Toc225929565"/>
      <w:r>
        <w:lastRenderedPageBreak/>
        <w:t>Different operating environments</w:t>
      </w:r>
      <w:bookmarkEnd w:id="19"/>
      <w:bookmarkEnd w:id="20"/>
    </w:p>
    <w:p w14:paraId="087D9216" w14:textId="77777777" w:rsidR="00640150" w:rsidRPr="00CF4DEA" w:rsidRDefault="00640150" w:rsidP="00CF4DEA">
      <w:pPr>
        <w:pStyle w:val="Heading4"/>
      </w:pPr>
      <w:r w:rsidRPr="00CF4DEA">
        <w:t xml:space="preserve">Philanthropic organisations </w:t>
      </w:r>
    </w:p>
    <w:p w14:paraId="545A03FF" w14:textId="77777777" w:rsidR="00640150" w:rsidRDefault="00640150" w:rsidP="00640150">
      <w:pPr>
        <w:autoSpaceDE w:val="0"/>
        <w:autoSpaceDN w:val="0"/>
        <w:adjustRightInd w:val="0"/>
      </w:pPr>
      <w:r w:rsidRPr="25666478">
        <w:t xml:space="preserve">Philanthropic organisations in Australia have unique governing documents and different structures. Philanthropic organisations are legally bound by their governing documents. These documents outline the purpose of the organisation, the governance requirements of the organisation, and how and where the organisation can allocate its funds. This is different for each philanthropic organisation. </w:t>
      </w:r>
    </w:p>
    <w:p w14:paraId="1C583BB5" w14:textId="77777777" w:rsidR="00640150" w:rsidRDefault="00640150" w:rsidP="00640150">
      <w:pPr>
        <w:autoSpaceDE w:val="0"/>
        <w:autoSpaceDN w:val="0"/>
        <w:adjustRightInd w:val="0"/>
      </w:pPr>
      <w:r w:rsidRPr="25666478">
        <w:t xml:space="preserve">When APS officials engage with philanthropic organisations it is important to demonstrate an understanding of the broader philanthropic operating environment, before asking questions to understand the unique enabling environment and strategy of that organisation. Understanding these issues will help to build trust and demonstrate a genuine desire to work together in partnership. </w:t>
      </w:r>
    </w:p>
    <w:p w14:paraId="7FF76212" w14:textId="44C6856B" w:rsidR="00640150" w:rsidRDefault="00640150" w:rsidP="00640150">
      <w:pPr>
        <w:autoSpaceDE w:val="0"/>
        <w:autoSpaceDN w:val="0"/>
        <w:adjustRightInd w:val="0"/>
      </w:pPr>
      <w:r w:rsidRPr="25666478">
        <w:t xml:space="preserve">It is important that APS officials do not underestimate the complexity associated with philanthropic funding. Philanthropic organisations often require approvals from their Board and/or Trustees to allocate funding and must consider the timeframes for delivering funding. As with government programs, recipients of philanthropic funding may also be required to report on how their funding is used. This can create administrative burdens for organisations that receive funding from government and philanthropic sources. </w:t>
      </w:r>
    </w:p>
    <w:p w14:paraId="507A4C24" w14:textId="326470B4" w:rsidR="00640150" w:rsidRDefault="00640150" w:rsidP="25666478">
      <w:pPr>
        <w:autoSpaceDE w:val="0"/>
        <w:autoSpaceDN w:val="0"/>
        <w:adjustRightInd w:val="0"/>
        <w:rPr>
          <w:rFonts w:cs="Calibri Light"/>
        </w:rPr>
      </w:pPr>
      <w:r w:rsidRPr="25666478">
        <w:rPr>
          <w:rFonts w:cs="Calibri Light"/>
        </w:rPr>
        <w:t xml:space="preserve">Like government, some philanthropic organisations are shifting towards longer-term funding arrangements that provide general operating support for not-for-profit organisations rather than support for specific projects, with less emphasis on detailed reporting and more focus on outcomes. There is also a growing shift for philanthropic organisations to ensure that project-specific funding properly covers indirect costs, such as by ‘paying what </w:t>
      </w:r>
      <w:proofErr w:type="gramStart"/>
      <w:r w:rsidRPr="25666478">
        <w:rPr>
          <w:rFonts w:cs="Calibri Light"/>
        </w:rPr>
        <w:t>it</w:t>
      </w:r>
      <w:proofErr w:type="gramEnd"/>
      <w:r w:rsidRPr="25666478">
        <w:rPr>
          <w:rFonts w:cs="Calibri Light"/>
        </w:rPr>
        <w:t xml:space="preserve"> takes’</w:t>
      </w:r>
      <w:r w:rsidR="00A62B43">
        <w:rPr>
          <w:rFonts w:cs="Calibri Light"/>
        </w:rPr>
        <w:t xml:space="preserve"> (PC 2024)</w:t>
      </w:r>
      <w:r w:rsidRPr="25666478">
        <w:rPr>
          <w:rFonts w:cs="Calibri Light"/>
        </w:rPr>
        <w:t>.</w:t>
      </w:r>
    </w:p>
    <w:p w14:paraId="7EC7E7CD" w14:textId="24D8B5CF" w:rsidR="00640150" w:rsidRPr="0039156E" w:rsidRDefault="00640150" w:rsidP="002838CF">
      <w:r w:rsidRPr="0039156E">
        <w:t>Funding questions to ask a philanthropic partner</w:t>
      </w:r>
      <w:r w:rsidR="0039156E">
        <w:t>:</w:t>
      </w:r>
    </w:p>
    <w:p w14:paraId="1C952769" w14:textId="721E1372" w:rsidR="00941917" w:rsidRPr="00891170" w:rsidRDefault="008646A2" w:rsidP="00891170">
      <w:pPr>
        <w:pStyle w:val="ListParagraph"/>
      </w:pPr>
      <w:r w:rsidRPr="00891170">
        <w:rPr>
          <w:b/>
          <w:bCs/>
        </w:rPr>
        <w:t>e</w:t>
      </w:r>
      <w:r w:rsidR="00941917" w:rsidRPr="00891170">
        <w:rPr>
          <w:b/>
          <w:bCs/>
        </w:rPr>
        <w:t>nabling environment</w:t>
      </w:r>
      <w:r w:rsidR="0039156E" w:rsidRPr="00891170">
        <w:rPr>
          <w:b/>
          <w:bCs/>
        </w:rPr>
        <w:t>:</w:t>
      </w:r>
      <w:r w:rsidR="0039156E" w:rsidRPr="00891170">
        <w:t xml:space="preserve"> </w:t>
      </w:r>
      <w:r w:rsidR="00941917" w:rsidRPr="00891170">
        <w:t>What can they spend funds on?</w:t>
      </w:r>
      <w:r w:rsidR="00C33EB2" w:rsidRPr="00891170">
        <w:t xml:space="preserve"> </w:t>
      </w:r>
      <w:r w:rsidR="00941917" w:rsidRPr="00891170">
        <w:t>What is their strategy?</w:t>
      </w:r>
    </w:p>
    <w:p w14:paraId="4D0958D2" w14:textId="6D3986B8" w:rsidR="00C17B71" w:rsidRPr="00891170" w:rsidRDefault="008646A2" w:rsidP="00891170">
      <w:pPr>
        <w:pStyle w:val="ListParagraph"/>
      </w:pPr>
      <w:r w:rsidRPr="00891170">
        <w:rPr>
          <w:b/>
          <w:bCs/>
        </w:rPr>
        <w:t>g</w:t>
      </w:r>
      <w:r w:rsidR="00941917" w:rsidRPr="00891170">
        <w:rPr>
          <w:b/>
          <w:bCs/>
        </w:rPr>
        <w:t>eographical limitations</w:t>
      </w:r>
      <w:r w:rsidR="0039156E" w:rsidRPr="00891170">
        <w:rPr>
          <w:b/>
          <w:bCs/>
        </w:rPr>
        <w:t>:</w:t>
      </w:r>
      <w:r w:rsidR="0039156E" w:rsidRPr="00891170">
        <w:t xml:space="preserve"> </w:t>
      </w:r>
      <w:r w:rsidR="00941917" w:rsidRPr="00891170">
        <w:t>Where can they spend their funds?</w:t>
      </w:r>
    </w:p>
    <w:p w14:paraId="42C4EB3C" w14:textId="77777777" w:rsidR="00891170" w:rsidRPr="00891170" w:rsidRDefault="008646A2" w:rsidP="00891170">
      <w:pPr>
        <w:pStyle w:val="ListParagraph"/>
      </w:pPr>
      <w:r w:rsidRPr="00891170">
        <w:rPr>
          <w:b/>
          <w:bCs/>
        </w:rPr>
        <w:t>e</w:t>
      </w:r>
      <w:r w:rsidR="00941917" w:rsidRPr="00891170">
        <w:rPr>
          <w:b/>
          <w:bCs/>
        </w:rPr>
        <w:t>ligibility requirements</w:t>
      </w:r>
      <w:r w:rsidR="0039156E" w:rsidRPr="00891170">
        <w:rPr>
          <w:b/>
          <w:bCs/>
        </w:rPr>
        <w:t xml:space="preserve">: </w:t>
      </w:r>
      <w:r w:rsidR="00941917" w:rsidRPr="00891170">
        <w:t>Can they give money to any organisation or are they limited to those with charity and/or deductable gift recipient status?</w:t>
      </w:r>
    </w:p>
    <w:p w14:paraId="42BB83C6" w14:textId="4B597AB2" w:rsidR="00C17B71" w:rsidRPr="00891170" w:rsidRDefault="00574DAF" w:rsidP="00891170">
      <w:pPr>
        <w:pStyle w:val="ListParagraph"/>
      </w:pPr>
      <w:r w:rsidRPr="00891170">
        <w:rPr>
          <w:b/>
          <w:bCs/>
        </w:rPr>
        <w:t>a</w:t>
      </w:r>
      <w:r w:rsidR="00941917" w:rsidRPr="00891170">
        <w:rPr>
          <w:b/>
          <w:bCs/>
        </w:rPr>
        <w:t>pplication process</w:t>
      </w:r>
      <w:r w:rsidR="0039156E" w:rsidRPr="00891170">
        <w:rPr>
          <w:b/>
          <w:bCs/>
        </w:rPr>
        <w:t>:</w:t>
      </w:r>
      <w:r w:rsidR="0039156E" w:rsidRPr="00891170">
        <w:t xml:space="preserve"> </w:t>
      </w:r>
      <w:r w:rsidR="00941917" w:rsidRPr="00891170">
        <w:t>Is the funder open to applications?</w:t>
      </w:r>
    </w:p>
    <w:p w14:paraId="4FD82287" w14:textId="129DA025" w:rsidR="00941917" w:rsidRPr="00891170" w:rsidRDefault="00574DAF" w:rsidP="00891170">
      <w:pPr>
        <w:pStyle w:val="ListParagraph"/>
      </w:pPr>
      <w:r w:rsidRPr="00891170">
        <w:rPr>
          <w:b/>
          <w:bCs/>
        </w:rPr>
        <w:t>t</w:t>
      </w:r>
      <w:r w:rsidR="00941917" w:rsidRPr="00891170">
        <w:rPr>
          <w:b/>
          <w:bCs/>
        </w:rPr>
        <w:t>imeframes for approvals</w:t>
      </w:r>
      <w:r w:rsidR="00C33EB2" w:rsidRPr="00891170">
        <w:rPr>
          <w:b/>
          <w:bCs/>
        </w:rPr>
        <w:t xml:space="preserve">: </w:t>
      </w:r>
      <w:r w:rsidR="00941917" w:rsidRPr="00891170">
        <w:t>When are applications considered?</w:t>
      </w:r>
    </w:p>
    <w:p w14:paraId="710313BA" w14:textId="77777777" w:rsidR="00640150" w:rsidRPr="00020E60" w:rsidRDefault="00640150" w:rsidP="00C0706D">
      <w:pPr>
        <w:pStyle w:val="Heading5"/>
      </w:pPr>
      <w:r w:rsidRPr="002D03F0">
        <w:t>Deductible gift recipient status</w:t>
      </w:r>
    </w:p>
    <w:p w14:paraId="1E18BCCF" w14:textId="77777777" w:rsidR="00640150" w:rsidRDefault="00640150" w:rsidP="00640150">
      <w:pPr>
        <w:rPr>
          <w:shd w:val="clear" w:color="auto" w:fill="FFFFFF"/>
        </w:rPr>
      </w:pPr>
      <w:r w:rsidRPr="00164639">
        <w:rPr>
          <w:shd w:val="clear" w:color="auto" w:fill="FFFFFF"/>
        </w:rPr>
        <w:t xml:space="preserve">Deductible </w:t>
      </w:r>
      <w:r>
        <w:rPr>
          <w:shd w:val="clear" w:color="auto" w:fill="FFFFFF"/>
        </w:rPr>
        <w:t>G</w:t>
      </w:r>
      <w:r w:rsidRPr="00164639">
        <w:rPr>
          <w:shd w:val="clear" w:color="auto" w:fill="FFFFFF"/>
        </w:rPr>
        <w:t xml:space="preserve">ift </w:t>
      </w:r>
      <w:r>
        <w:rPr>
          <w:shd w:val="clear" w:color="auto" w:fill="FFFFFF"/>
        </w:rPr>
        <w:t>R</w:t>
      </w:r>
      <w:r w:rsidRPr="00164639">
        <w:rPr>
          <w:shd w:val="clear" w:color="auto" w:fill="FFFFFF"/>
        </w:rPr>
        <w:t xml:space="preserve">ecipient </w:t>
      </w:r>
      <w:r>
        <w:rPr>
          <w:shd w:val="clear" w:color="auto" w:fill="FFFFFF"/>
        </w:rPr>
        <w:t>(</w:t>
      </w:r>
      <w:r w:rsidRPr="00783FB7">
        <w:rPr>
          <w:shd w:val="clear" w:color="auto" w:fill="FFFFFF"/>
        </w:rPr>
        <w:t>DGR</w:t>
      </w:r>
      <w:r>
        <w:rPr>
          <w:shd w:val="clear" w:color="auto" w:fill="FFFFFF"/>
        </w:rPr>
        <w:t>)</w:t>
      </w:r>
      <w:r w:rsidRPr="00783FB7">
        <w:rPr>
          <w:shd w:val="clear" w:color="auto" w:fill="FFFFFF"/>
        </w:rPr>
        <w:t xml:space="preserve"> status allows an entity to receive tax deductible gifts and contributions from the public.</w:t>
      </w:r>
      <w:r>
        <w:rPr>
          <w:shd w:val="clear" w:color="auto" w:fill="FFFFFF"/>
        </w:rPr>
        <w:t xml:space="preserve"> </w:t>
      </w:r>
      <w:r w:rsidRPr="00783FB7">
        <w:rPr>
          <w:shd w:val="clear" w:color="auto" w:fill="FFFFFF"/>
        </w:rPr>
        <w:t xml:space="preserve">Donors can claim an income tax deduction for donations of $2 or more to an organisation that has DGR status. </w:t>
      </w:r>
    </w:p>
    <w:p w14:paraId="36101CF4" w14:textId="642082CD" w:rsidR="00640150" w:rsidRDefault="00640150" w:rsidP="00640150">
      <w:r w:rsidRPr="25666478">
        <w:rPr>
          <w:shd w:val="clear" w:color="auto" w:fill="FFFFFF"/>
        </w:rPr>
        <w:t xml:space="preserve">Division 30 of the </w:t>
      </w:r>
      <w:r w:rsidRPr="25666478">
        <w:rPr>
          <w:i/>
          <w:iCs/>
          <w:shd w:val="clear" w:color="auto" w:fill="FFFFFF"/>
        </w:rPr>
        <w:t>Income Tax Assessment Act 1997</w:t>
      </w:r>
      <w:r w:rsidRPr="25666478">
        <w:rPr>
          <w:shd w:val="clear" w:color="auto" w:fill="FFFFFF"/>
        </w:rPr>
        <w:t xml:space="preserve"> contains the gift deductibility provisions of the tax law</w:t>
      </w:r>
      <w:r w:rsidRPr="25666478">
        <w:rPr>
          <w:rFonts w:cs="Calibri Light"/>
          <w:shd w:val="clear" w:color="auto" w:fill="FFFFFF"/>
        </w:rPr>
        <w:t>. There are 52 DGR endorsement categories, each with specific criteria. Eligibility is based on the organisation's purpose or the purpose of a fund, authority or institution it operates</w:t>
      </w:r>
      <w:r w:rsidR="002C0CBA">
        <w:rPr>
          <w:rFonts w:cs="Calibri Light"/>
          <w:shd w:val="clear" w:color="auto" w:fill="FFFFFF"/>
        </w:rPr>
        <w:t xml:space="preserve"> (ATO 2024)</w:t>
      </w:r>
      <w:r w:rsidRPr="25666478">
        <w:rPr>
          <w:rFonts w:cs="Calibri Light"/>
          <w:shd w:val="clear" w:color="auto" w:fill="FFFFFF"/>
        </w:rPr>
        <w:t xml:space="preserve">. </w:t>
      </w:r>
      <w:r w:rsidRPr="25666478">
        <w:rPr>
          <w:rFonts w:cs="Calibri Light"/>
        </w:rPr>
        <w:t xml:space="preserve">An organisation must be a registered charity with the </w:t>
      </w:r>
      <w:hyperlink r:id="rId23" w:history="1">
        <w:r w:rsidRPr="25666478">
          <w:rPr>
            <w:rStyle w:val="Hyperlink"/>
            <w:rFonts w:cs="Calibri Light"/>
          </w:rPr>
          <w:t>Australian Charities and Not-for-profits Commission (ACNC)</w:t>
        </w:r>
      </w:hyperlink>
      <w:r w:rsidRPr="25666478">
        <w:rPr>
          <w:rFonts w:cs="Calibri Light"/>
        </w:rPr>
        <w:t xml:space="preserve"> to be eligible for DGR status</w:t>
      </w:r>
      <w:r w:rsidR="00B03D4D">
        <w:rPr>
          <w:rFonts w:cs="Calibri Light"/>
        </w:rPr>
        <w:t xml:space="preserve"> (ATO 2024</w:t>
      </w:r>
      <w:r w:rsidR="00665BEA">
        <w:rPr>
          <w:rFonts w:cs="Calibri Light"/>
        </w:rPr>
        <w:t>A</w:t>
      </w:r>
      <w:r w:rsidR="00B03D4D">
        <w:rPr>
          <w:rFonts w:cs="Calibri Light"/>
        </w:rPr>
        <w:t>)</w:t>
      </w:r>
      <w:r w:rsidRPr="25666478">
        <w:rPr>
          <w:rFonts w:cs="Calibri Light"/>
        </w:rPr>
        <w:t xml:space="preserve">. </w:t>
      </w:r>
      <w:r w:rsidRPr="25666478">
        <w:t xml:space="preserve">If an organisation does not fit into </w:t>
      </w:r>
      <w:r w:rsidRPr="25666478">
        <w:lastRenderedPageBreak/>
        <w:t>the DGR categories, it may apply to be specifically listed in the tax law, which only occurs in exceptional circumstances.</w:t>
      </w:r>
    </w:p>
    <w:p w14:paraId="2333889F" w14:textId="77E5F7CA" w:rsidR="00640150" w:rsidRDefault="00640150" w:rsidP="00640150">
      <w:pPr>
        <w:rPr>
          <w:shd w:val="clear" w:color="auto" w:fill="FFFFFF"/>
        </w:rPr>
      </w:pPr>
      <w:r w:rsidRPr="003170AE">
        <w:rPr>
          <w:rFonts w:cs="Calibri Light"/>
          <w:shd w:val="clear" w:color="auto" w:fill="FFFFFF"/>
        </w:rPr>
        <w:t>Organisations can be categorised</w:t>
      </w:r>
      <w:r>
        <w:rPr>
          <w:shd w:val="clear" w:color="auto" w:fill="FFFFFF"/>
        </w:rPr>
        <w:t xml:space="preserve"> as either DGR Item 1 (DGR1) </w:t>
      </w:r>
      <w:r w:rsidR="002D1FC5">
        <w:rPr>
          <w:shd w:val="clear" w:color="auto" w:fill="FFFFFF"/>
        </w:rPr>
        <w:t xml:space="preserve">or </w:t>
      </w:r>
      <w:r>
        <w:rPr>
          <w:shd w:val="clear" w:color="auto" w:fill="FFFFFF"/>
        </w:rPr>
        <w:t>DGR Item 2 (DGR 2).</w:t>
      </w:r>
      <w:r w:rsidRPr="00C554C4">
        <w:rPr>
          <w:shd w:val="clear" w:color="auto" w:fill="FFFFFF"/>
        </w:rPr>
        <w:t xml:space="preserve"> </w:t>
      </w:r>
      <w:r>
        <w:rPr>
          <w:shd w:val="clear" w:color="auto" w:fill="FFFFFF"/>
        </w:rPr>
        <w:t xml:space="preserve">DGR1 organisations are sometimes called “doing DGRs” because they directly engage in activities that serve the public. Most organisations with DGR status are type 1 DGRs. </w:t>
      </w:r>
    </w:p>
    <w:p w14:paraId="0B0CF649" w14:textId="0AC0B982" w:rsidR="00640150" w:rsidRDefault="00A14551" w:rsidP="25666478">
      <w:pPr>
        <w:rPr>
          <w:shd w:val="clear" w:color="auto" w:fill="FFFFFF"/>
        </w:rPr>
      </w:pPr>
      <w:r>
        <w:rPr>
          <w:shd w:val="clear" w:color="auto" w:fill="FFFFFF"/>
        </w:rPr>
        <w:t>M</w:t>
      </w:r>
      <w:r w:rsidR="00640150" w:rsidRPr="25666478">
        <w:rPr>
          <w:shd w:val="clear" w:color="auto" w:fill="FFFFFF"/>
        </w:rPr>
        <w:t>any philanthropic organisations will have DGR2 status. Organisations with DGR2 status are often called “giving DGRs”. They are private or public ancillary funds that disperse funds to DGR1 organisations to support them in carrying out their charitable purpose. DGR2 organisations are typically restricted from engaging in direct activities</w:t>
      </w:r>
      <w:r w:rsidR="0098231B">
        <w:rPr>
          <w:shd w:val="clear" w:color="auto" w:fill="FFFFFF"/>
        </w:rPr>
        <w:t xml:space="preserve"> (Better Boards 2023)</w:t>
      </w:r>
      <w:r w:rsidR="00640150" w:rsidRPr="25666478">
        <w:rPr>
          <w:shd w:val="clear" w:color="auto" w:fill="FFFFFF"/>
        </w:rPr>
        <w:t xml:space="preserve">. </w:t>
      </w:r>
    </w:p>
    <w:p w14:paraId="0B50FCAE" w14:textId="77777777" w:rsidR="00640150" w:rsidRPr="005F748C" w:rsidRDefault="00640150" w:rsidP="00640150">
      <w:pPr>
        <w:rPr>
          <w:shd w:val="clear" w:color="auto" w:fill="FFFFFF"/>
        </w:rPr>
      </w:pPr>
      <w:r w:rsidRPr="00020E60">
        <w:rPr>
          <w:shd w:val="clear" w:color="auto" w:fill="FFFFFF"/>
        </w:rPr>
        <w:t>If a partner has DGR status, the funding provided by the organisation will be supplemented by the government through the taxation system. It is important to consider this when partnering with an organisation with DGR status, to ensure the benefit of any co-funding and partnership impacts are appropriately considered in broader whole-of-government and fiscal impacts.</w:t>
      </w:r>
    </w:p>
    <w:p w14:paraId="3CFA4E7E" w14:textId="77777777" w:rsidR="00640150" w:rsidRPr="00CF4DEA" w:rsidRDefault="00640150" w:rsidP="00CF4DEA">
      <w:pPr>
        <w:pStyle w:val="Heading4"/>
      </w:pPr>
      <w:r w:rsidRPr="00CF4DEA">
        <w:t>Structured giving vehicles</w:t>
      </w:r>
    </w:p>
    <w:p w14:paraId="69A202D9" w14:textId="77777777" w:rsidR="00640150" w:rsidRDefault="00640150" w:rsidP="00640150">
      <w:pPr>
        <w:pStyle w:val="Heading5"/>
      </w:pPr>
      <w:r w:rsidRPr="006C106A">
        <w:t>Private Ancillary Funds (PAFs)</w:t>
      </w:r>
    </w:p>
    <w:p w14:paraId="07543F30" w14:textId="77777777" w:rsidR="00640150" w:rsidRPr="004B04C2" w:rsidRDefault="00640150" w:rsidP="00640150">
      <w:pPr>
        <w:rPr>
          <w:szCs w:val="20"/>
        </w:rPr>
      </w:pPr>
      <w:r w:rsidRPr="004B04C2">
        <w:rPr>
          <w:szCs w:val="20"/>
        </w:rPr>
        <w:t>PAFs are private charitable trusts to which taxpayers can make tax deductible donations, for giving to ‘Item 1’ DGR charities and other eligible entities.</w:t>
      </w:r>
    </w:p>
    <w:p w14:paraId="4608CDAF" w14:textId="098B83E3" w:rsidR="00640150" w:rsidRPr="004B04C2" w:rsidRDefault="00640150" w:rsidP="00640150">
      <w:r w:rsidRPr="25666478">
        <w:t xml:space="preserve">PAFs can be attractive to those who want greater control over granting and investment management, </w:t>
      </w:r>
      <w:r w:rsidR="00D14E63" w:rsidRPr="25666478">
        <w:t>whil</w:t>
      </w:r>
      <w:r w:rsidR="00D14E63">
        <w:t xml:space="preserve">e meeting </w:t>
      </w:r>
      <w:r w:rsidRPr="25666478">
        <w:t>compliance obligations involved with operating such a vehicle. They can be particularly attractive to people who want to use a vehicle for establishing a longer-term legacy which can be stewarded by future generations. Some corporate foundations also use PAFs.</w:t>
      </w:r>
    </w:p>
    <w:p w14:paraId="5AC783B8" w14:textId="77777777" w:rsidR="00640150" w:rsidRDefault="00640150" w:rsidP="25666478">
      <w:pPr>
        <w:pStyle w:val="Heading5"/>
      </w:pPr>
      <w:r w:rsidRPr="25666478">
        <w:t>Public Ancillary Funds (</w:t>
      </w:r>
      <w:proofErr w:type="spellStart"/>
      <w:r w:rsidRPr="25666478">
        <w:t>PuAFs</w:t>
      </w:r>
      <w:proofErr w:type="spellEnd"/>
      <w:r w:rsidRPr="25666478">
        <w:t xml:space="preserve">) and Sub-funds within a </w:t>
      </w:r>
      <w:proofErr w:type="spellStart"/>
      <w:r w:rsidRPr="25666478">
        <w:t>PuAF</w:t>
      </w:r>
      <w:proofErr w:type="spellEnd"/>
    </w:p>
    <w:p w14:paraId="33151F2F" w14:textId="6C4C8D6B" w:rsidR="00640150" w:rsidRPr="004B04C2" w:rsidRDefault="00640150" w:rsidP="00640150">
      <w:proofErr w:type="spellStart"/>
      <w:r w:rsidRPr="25666478">
        <w:t>PuAFs</w:t>
      </w:r>
      <w:proofErr w:type="spellEnd"/>
      <w:r w:rsidRPr="25666478">
        <w:t xml:space="preserve"> are a vehicle for public philanthropy – meaning they are allowed to raise funds from the public (PAFs cannot). A common use of </w:t>
      </w:r>
      <w:proofErr w:type="spellStart"/>
      <w:r w:rsidRPr="25666478">
        <w:t>PuAF</w:t>
      </w:r>
      <w:r w:rsidR="007D61FB">
        <w:t>s</w:t>
      </w:r>
      <w:proofErr w:type="spellEnd"/>
      <w:r w:rsidRPr="25666478">
        <w:t xml:space="preserve"> is to enable donors to carry out their giving through a sub-fund, a form of ‘giving account’ that generally sits within a </w:t>
      </w:r>
      <w:proofErr w:type="spellStart"/>
      <w:r w:rsidRPr="25666478">
        <w:t>PuAF</w:t>
      </w:r>
      <w:proofErr w:type="spellEnd"/>
      <w:r w:rsidRPr="25666478">
        <w:t xml:space="preserve">. </w:t>
      </w:r>
      <w:proofErr w:type="spellStart"/>
      <w:r w:rsidRPr="25666478">
        <w:t>PuAFs</w:t>
      </w:r>
      <w:proofErr w:type="spellEnd"/>
      <w:r w:rsidRPr="25666478">
        <w:t xml:space="preserve"> can donate to DGR</w:t>
      </w:r>
      <w:r w:rsidR="00EB53C3">
        <w:t xml:space="preserve"> </w:t>
      </w:r>
      <w:r w:rsidRPr="25666478">
        <w:t>’Item 1’ charities and other eligible entities.</w:t>
      </w:r>
    </w:p>
    <w:p w14:paraId="4C5A12C8" w14:textId="039E5F39" w:rsidR="00640150" w:rsidRPr="004B04C2" w:rsidRDefault="00640150" w:rsidP="00640150">
      <w:proofErr w:type="spellStart"/>
      <w:r w:rsidRPr="25666478">
        <w:t>PuAF</w:t>
      </w:r>
      <w:r w:rsidR="007D61FB">
        <w:t>s</w:t>
      </w:r>
      <w:proofErr w:type="spellEnd"/>
      <w:r w:rsidRPr="25666478">
        <w:t xml:space="preserve"> are generally used by community foundations or by families wishing to structure their giving, but happy to relinquish the control normally associated with PAFs.</w:t>
      </w:r>
    </w:p>
    <w:p w14:paraId="381B006F" w14:textId="77777777" w:rsidR="00640150" w:rsidRDefault="00640150" w:rsidP="00640150">
      <w:pPr>
        <w:pStyle w:val="Heading5"/>
      </w:pPr>
      <w:r w:rsidRPr="006C106A">
        <w:t>Testamentary and private charitable trusts</w:t>
      </w:r>
    </w:p>
    <w:p w14:paraId="7EEC79FD" w14:textId="77777777" w:rsidR="00640150" w:rsidRPr="004B04C2" w:rsidRDefault="00640150" w:rsidP="00640150">
      <w:pPr>
        <w:rPr>
          <w:szCs w:val="20"/>
        </w:rPr>
      </w:pPr>
      <w:r w:rsidRPr="004B04C2">
        <w:rPr>
          <w:szCs w:val="20"/>
        </w:rPr>
        <w:t>Private charitable trusts are often, though not only, created through a bequest in a will.</w:t>
      </w:r>
    </w:p>
    <w:p w14:paraId="5110CCAE" w14:textId="77777777" w:rsidR="00640150" w:rsidRPr="004B04C2" w:rsidRDefault="00640150" w:rsidP="00640150">
      <w:pPr>
        <w:rPr>
          <w:szCs w:val="20"/>
        </w:rPr>
      </w:pPr>
      <w:r w:rsidRPr="004B04C2">
        <w:rPr>
          <w:szCs w:val="20"/>
        </w:rPr>
        <w:t>Private charitable trusts appeal to those intending to gift to non-DGR charities, those not concerned about receiving a tax deduction for their donations, and/or making plans for the allocation of assets following end of life.</w:t>
      </w:r>
    </w:p>
    <w:p w14:paraId="1DA8972E" w14:textId="77777777" w:rsidR="00640150" w:rsidRDefault="00640150" w:rsidP="00640150">
      <w:pPr>
        <w:pStyle w:val="Heading5"/>
      </w:pPr>
      <w:r w:rsidRPr="006C106A">
        <w:t>Bequests</w:t>
      </w:r>
    </w:p>
    <w:p w14:paraId="67BC7BCD" w14:textId="77777777" w:rsidR="00640150" w:rsidRPr="004B04C2" w:rsidRDefault="00640150" w:rsidP="00640150">
      <w:pPr>
        <w:rPr>
          <w:szCs w:val="20"/>
        </w:rPr>
      </w:pPr>
      <w:r w:rsidRPr="004B04C2">
        <w:rPr>
          <w:szCs w:val="20"/>
        </w:rPr>
        <w:t>Bequests are a way to donate directly to a charity through a will and come into effect on the passing of the donor.</w:t>
      </w:r>
    </w:p>
    <w:p w14:paraId="44E666BD" w14:textId="77777777" w:rsidR="00640150" w:rsidRPr="004B04C2" w:rsidRDefault="00640150" w:rsidP="00640150">
      <w:pPr>
        <w:rPr>
          <w:sz w:val="24"/>
          <w:szCs w:val="28"/>
        </w:rPr>
      </w:pPr>
      <w:r w:rsidRPr="004B04C2">
        <w:rPr>
          <w:szCs w:val="20"/>
        </w:rPr>
        <w:lastRenderedPageBreak/>
        <w:t>Bequests appeal to people right across the population, of all income brackets.</w:t>
      </w:r>
    </w:p>
    <w:p w14:paraId="56003B2C" w14:textId="77777777" w:rsidR="00640150" w:rsidRPr="005C28E0" w:rsidRDefault="00640150" w:rsidP="00640150">
      <w:pPr>
        <w:pStyle w:val="Heading4"/>
      </w:pPr>
      <w:r w:rsidRPr="005C28E0">
        <w:t>Minimum distribution requirements</w:t>
      </w:r>
    </w:p>
    <w:p w14:paraId="61EAF102" w14:textId="7F3E5955" w:rsidR="00640150" w:rsidRDefault="00640150" w:rsidP="25666478">
      <w:pPr>
        <w:rPr>
          <w:shd w:val="clear" w:color="auto" w:fill="FFFFFF"/>
        </w:rPr>
      </w:pPr>
      <w:r w:rsidRPr="25666478">
        <w:rPr>
          <w:shd w:val="clear" w:color="auto" w:fill="FFFFFF"/>
        </w:rPr>
        <w:t xml:space="preserve">During each financial year, a PAF must distribute at least 5 per cent of the market value of the fund's net assets as valued at the end of the previous financial year. </w:t>
      </w:r>
      <w:r w:rsidRPr="25666478">
        <w:t xml:space="preserve">A </w:t>
      </w:r>
      <w:proofErr w:type="spellStart"/>
      <w:r w:rsidRPr="25666478">
        <w:t>PuAF</w:t>
      </w:r>
      <w:proofErr w:type="spellEnd"/>
      <w:r w:rsidRPr="25666478">
        <w:t xml:space="preserve"> must distribute at least 4 per cent of the market value of the fund's net assets as valued at the end of the previous financial year</w:t>
      </w:r>
      <w:r w:rsidR="00F169C0">
        <w:t xml:space="preserve"> (ATO 20</w:t>
      </w:r>
      <w:r w:rsidR="00245177">
        <w:t>19</w:t>
      </w:r>
      <w:r w:rsidR="00F169C0">
        <w:t>)</w:t>
      </w:r>
      <w:r w:rsidRPr="25666478">
        <w:t>. Exceptions may be agreed to by the</w:t>
      </w:r>
      <w:r w:rsidRPr="25666478">
        <w:rPr>
          <w:shd w:val="clear" w:color="auto" w:fill="FFFFFF"/>
        </w:rPr>
        <w:t xml:space="preserve"> Commissioner of Taxation. </w:t>
      </w:r>
    </w:p>
    <w:p w14:paraId="0D2CB465" w14:textId="77777777" w:rsidR="00640150" w:rsidRPr="0090719E" w:rsidRDefault="00640150" w:rsidP="00640150">
      <w:pPr>
        <w:pStyle w:val="Heading4"/>
      </w:pPr>
      <w:r>
        <w:t>Australian Government</w:t>
      </w:r>
    </w:p>
    <w:p w14:paraId="5C286BEB" w14:textId="77777777" w:rsidR="009A07F0" w:rsidRDefault="00640150" w:rsidP="00640150">
      <w:r w:rsidRPr="25666478">
        <w:t>It is important to note that philanthropic organisations may not fully understand the Government’s operating environment. It may be necessary when seeking to partner with philanthropy to reinforce some of the following</w:t>
      </w:r>
      <w:r w:rsidR="009A07F0">
        <w:t>.</w:t>
      </w:r>
    </w:p>
    <w:p w14:paraId="071131EE" w14:textId="71A7D49D" w:rsidR="00640150" w:rsidRDefault="009A07F0" w:rsidP="00C33EB2">
      <w:pPr>
        <w:pStyle w:val="Heading5"/>
      </w:pPr>
      <w:r>
        <w:t xml:space="preserve">Operating </w:t>
      </w:r>
      <w:r w:rsidR="00FC5DA4">
        <w:t>environment</w:t>
      </w:r>
    </w:p>
    <w:p w14:paraId="39B52385" w14:textId="458335F4" w:rsidR="00640150" w:rsidRDefault="00640150" w:rsidP="001C002D">
      <w:r w:rsidRPr="004A3D30">
        <w:t>The Government’s operating environment will be informed by the government of the day. Ministers will have different priorities and agendas</w:t>
      </w:r>
      <w:r w:rsidR="00D47596">
        <w:t>.</w:t>
      </w:r>
      <w:r w:rsidRPr="004A3D30">
        <w:t xml:space="preserve"> </w:t>
      </w:r>
    </w:p>
    <w:p w14:paraId="47133EA5" w14:textId="38EBC26D" w:rsidR="009A07F0" w:rsidRPr="004A3D30" w:rsidRDefault="00FC5DA4" w:rsidP="00C33EB2">
      <w:pPr>
        <w:pStyle w:val="Heading5"/>
      </w:pPr>
      <w:r>
        <w:t>Authority and budget</w:t>
      </w:r>
    </w:p>
    <w:p w14:paraId="752077A9" w14:textId="3B83F061" w:rsidR="00640150" w:rsidRPr="004A3D30" w:rsidRDefault="00640150" w:rsidP="00C33EB2">
      <w:r w:rsidRPr="25666478">
        <w:t xml:space="preserve">The government cannot spend money without the authorisation of the Parliament. It is through the Budget process that the government gains the Parliament’s authority to spend relevant money, through the passage of the annual appropriation Acts. The Budget process is underpinned by legislation and policies that enable and restrict government spending. Similarly, governments have specific requirements under the </w:t>
      </w:r>
      <w:r w:rsidRPr="25666478">
        <w:rPr>
          <w:i/>
          <w:iCs/>
        </w:rPr>
        <w:t>Public Governance, Performance and Accountability (PGPA) Act</w:t>
      </w:r>
      <w:r w:rsidRPr="25666478">
        <w:t xml:space="preserve"> which must be met </w:t>
      </w:r>
      <w:r w:rsidR="007D61FB" w:rsidRPr="25666478">
        <w:t>to</w:t>
      </w:r>
      <w:r w:rsidRPr="25666478">
        <w:t xml:space="preserve"> spend government funds</w:t>
      </w:r>
      <w:r w:rsidR="001A08DD">
        <w:t xml:space="preserve"> (Department of Finance 2024)</w:t>
      </w:r>
      <w:r w:rsidRPr="25666478">
        <w:t xml:space="preserve">. </w:t>
      </w:r>
    </w:p>
    <w:p w14:paraId="799B8022" w14:textId="2A5FF8D7" w:rsidR="00640150" w:rsidRDefault="00640150" w:rsidP="001C002D">
      <w:r w:rsidRPr="004A3D30">
        <w:t xml:space="preserve">Preparation for any government Budget process often begins </w:t>
      </w:r>
      <w:r w:rsidR="00B95004">
        <w:t>many</w:t>
      </w:r>
      <w:r w:rsidRPr="004A3D30">
        <w:t xml:space="preserve"> months ahead of formal announcements and involves considerable cross-agency coordination. Philanthropy partners should be aware that funding proposals require </w:t>
      </w:r>
      <w:r w:rsidR="00B95004">
        <w:t xml:space="preserve">long </w:t>
      </w:r>
      <w:r w:rsidRPr="004A3D30">
        <w:t>lead times to support their consideration.</w:t>
      </w:r>
    </w:p>
    <w:p w14:paraId="6E5A3D35" w14:textId="2335ECF0" w:rsidR="00FC5DA4" w:rsidRPr="004A3D30" w:rsidRDefault="00FC5DA4" w:rsidP="00C33EB2">
      <w:pPr>
        <w:pStyle w:val="Heading5"/>
      </w:pPr>
      <w:r>
        <w:t>Responsibilities</w:t>
      </w:r>
    </w:p>
    <w:p w14:paraId="675562EB" w14:textId="77777777" w:rsidR="00640150" w:rsidRPr="004A3D30" w:rsidRDefault="00640150" w:rsidP="00C33EB2">
      <w:r w:rsidRPr="25666478">
        <w:t xml:space="preserve">The Australian Government is given exclusive powers by Section 51 of the Constitution, over issues including, but not limited to, foreign affairs, trade, immigration, borders, travel, currency, defence, telecommunications, and old age pensions. The states </w:t>
      </w:r>
      <w:proofErr w:type="gramStart"/>
      <w:r w:rsidRPr="25666478">
        <w:t>are not able to</w:t>
      </w:r>
      <w:proofErr w:type="gramEnd"/>
      <w:r w:rsidRPr="25666478">
        <w:t xml:space="preserve"> legislate in these areas. On some matters the Commonwealth and the states have concurrent powers, meaning both jurisdictions may legislate. </w:t>
      </w:r>
    </w:p>
    <w:p w14:paraId="6BEFF4B0" w14:textId="36953B33" w:rsidR="00640150" w:rsidRDefault="00640150" w:rsidP="00C33EB2">
      <w:r w:rsidRPr="25666478">
        <w:t xml:space="preserve">The states retain legislative powers over matters not specifically listed in the Constitution, including but not limited to hospitals, transport, schools, public works, main roads, and waterways. The Australian Government provides funding to state and territory governments through the </w:t>
      </w:r>
      <w:hyperlink r:id="rId24">
        <w:r w:rsidRPr="25666478">
          <w:rPr>
            <w:rStyle w:val="Hyperlink"/>
          </w:rPr>
          <w:t>Federal Financial Relations (FFR) Framework</w:t>
        </w:r>
      </w:hyperlink>
      <w:r w:rsidRPr="25666478">
        <w:t xml:space="preserve">. </w:t>
      </w:r>
      <w:r>
        <w:br w:type="page"/>
      </w:r>
    </w:p>
    <w:p w14:paraId="6F8AE2A5" w14:textId="77777777" w:rsidR="00640150" w:rsidRDefault="00640150" w:rsidP="00640150">
      <w:pPr>
        <w:pStyle w:val="Heading2"/>
      </w:pPr>
      <w:bookmarkStart w:id="21" w:name="_Toc183353883"/>
      <w:bookmarkStart w:id="22" w:name="_Toc225929566"/>
      <w:r>
        <w:lastRenderedPageBreak/>
        <w:t>Principles for partnership</w:t>
      </w:r>
      <w:bookmarkEnd w:id="21"/>
      <w:bookmarkEnd w:id="22"/>
      <w:r>
        <w:t xml:space="preserve"> </w:t>
      </w:r>
    </w:p>
    <w:p w14:paraId="3E25C48F" w14:textId="5D74AD5B" w:rsidR="00640150" w:rsidRDefault="00640150" w:rsidP="00640150">
      <w:r w:rsidRPr="25666478">
        <w:t xml:space="preserve">Every partnership between government and philanthropy will have its own story. Partnerships will look different depending on the </w:t>
      </w:r>
      <w:r w:rsidR="0080612B" w:rsidRPr="25666478">
        <w:t>context</w:t>
      </w:r>
      <w:r w:rsidRPr="25666478">
        <w:t xml:space="preserve">, portfolio responsibility and parties involved. Some partnerships may involve additional stakeholders, such as state or territory governments. It is likely that any partnership will have the foundation of a shared goal and a desire to leverage the respective strengths of partners to achieve a better outcome. </w:t>
      </w:r>
    </w:p>
    <w:p w14:paraId="49F27C16" w14:textId="77777777" w:rsidR="00640150" w:rsidRDefault="00640150" w:rsidP="25666478">
      <w:pPr>
        <w:rPr>
          <w:highlight w:val="yellow"/>
        </w:rPr>
      </w:pPr>
      <w:r w:rsidRPr="25666478">
        <w:t>Partnerships will likely need to consider how to share power. This includes sharing power with those impacted by decisions, to ensure those with expertise and lived experience are informing all decisions. This will ensure that partnerships do not become a top-down decision-making structure, but a genuinely effective tool to achieve change.</w:t>
      </w:r>
    </w:p>
    <w:p w14:paraId="768F4589" w14:textId="5BBD8800" w:rsidR="00640150" w:rsidRDefault="00640150" w:rsidP="00640150">
      <w:pPr>
        <w:pStyle w:val="TableChartheading"/>
      </w:pPr>
      <w:r w:rsidRPr="00E84366">
        <w:t xml:space="preserve">Figure </w:t>
      </w:r>
      <w:r w:rsidR="00896227">
        <w:t>1</w:t>
      </w:r>
      <w:r w:rsidRPr="00E84366">
        <w:t xml:space="preserve">: </w:t>
      </w:r>
      <w:r>
        <w:t>Principles</w:t>
      </w:r>
      <w:r w:rsidRPr="00E84366">
        <w:t xml:space="preserve"> </w:t>
      </w:r>
      <w:r>
        <w:t>for</w:t>
      </w:r>
      <w:r w:rsidRPr="00E84366">
        <w:t xml:space="preserve"> partnership</w:t>
      </w:r>
    </w:p>
    <w:p w14:paraId="7C4ACF70" w14:textId="0EAEE241" w:rsidR="003A6BB5" w:rsidRPr="00362F15" w:rsidRDefault="003D726A" w:rsidP="0090427C">
      <w:pPr>
        <w:pStyle w:val="Colourblock-yellowpale"/>
        <w:jc w:val="center"/>
        <w:rPr>
          <w:b/>
          <w:bCs w:val="0"/>
        </w:rPr>
      </w:pPr>
      <w:r>
        <w:rPr>
          <w:b/>
          <w:bCs w:val="0"/>
        </w:rPr>
        <w:t>Be p</w:t>
      </w:r>
      <w:r w:rsidR="003A6BB5" w:rsidRPr="00362F15">
        <w:rPr>
          <w:b/>
          <w:bCs w:val="0"/>
        </w:rPr>
        <w:t>urposeful</w:t>
      </w:r>
    </w:p>
    <w:p w14:paraId="4116A1A1" w14:textId="662A9F18" w:rsidR="003A6BB5" w:rsidRPr="00362F15" w:rsidRDefault="003A6BB5" w:rsidP="0090427C">
      <w:pPr>
        <w:pStyle w:val="Colourblock-orangepale"/>
        <w:jc w:val="center"/>
        <w:rPr>
          <w:b/>
          <w:bCs w:val="0"/>
        </w:rPr>
      </w:pPr>
      <w:r w:rsidRPr="00362F15">
        <w:rPr>
          <w:b/>
          <w:bCs w:val="0"/>
        </w:rPr>
        <w:t>Establish trust</w:t>
      </w:r>
    </w:p>
    <w:p w14:paraId="7E4EC01E" w14:textId="4BC3251E" w:rsidR="003A6BB5" w:rsidRPr="00362F15" w:rsidRDefault="003A6BB5" w:rsidP="0090427C">
      <w:pPr>
        <w:pStyle w:val="colourblock-greenpale"/>
        <w:jc w:val="center"/>
        <w:rPr>
          <w:b/>
          <w:bCs w:val="0"/>
        </w:rPr>
      </w:pPr>
      <w:r w:rsidRPr="00362F15">
        <w:rPr>
          <w:b/>
          <w:bCs w:val="0"/>
        </w:rPr>
        <w:t>Reflect integrity</w:t>
      </w:r>
    </w:p>
    <w:p w14:paraId="12341936" w14:textId="0C264080" w:rsidR="003A6BB5" w:rsidRPr="00362F15" w:rsidRDefault="00D65D43" w:rsidP="0090427C">
      <w:pPr>
        <w:pStyle w:val="colourblock-bluepale"/>
        <w:jc w:val="center"/>
        <w:rPr>
          <w:b/>
          <w:bCs w:val="0"/>
        </w:rPr>
      </w:pPr>
      <w:r>
        <w:rPr>
          <w:b/>
          <w:bCs w:val="0"/>
        </w:rPr>
        <w:t>Be i</w:t>
      </w:r>
      <w:r w:rsidR="003A6BB5" w:rsidRPr="00362F15">
        <w:rPr>
          <w:b/>
          <w:bCs w:val="0"/>
        </w:rPr>
        <w:t>nformed by lived experience</w:t>
      </w:r>
    </w:p>
    <w:p w14:paraId="48C06625" w14:textId="69C29495" w:rsidR="003A6BB5" w:rsidRPr="00362F15" w:rsidRDefault="003A6BB5" w:rsidP="0090427C">
      <w:pPr>
        <w:pStyle w:val="colourblock-purplepale"/>
        <w:jc w:val="center"/>
        <w:rPr>
          <w:b/>
          <w:bCs w:val="0"/>
        </w:rPr>
      </w:pPr>
      <w:r w:rsidRPr="00362F15">
        <w:rPr>
          <w:b/>
          <w:bCs w:val="0"/>
        </w:rPr>
        <w:t xml:space="preserve">Seek improvement through </w:t>
      </w:r>
      <w:r w:rsidR="001F67FC">
        <w:rPr>
          <w:b/>
          <w:bCs w:val="0"/>
        </w:rPr>
        <w:t xml:space="preserve">feedback and </w:t>
      </w:r>
      <w:r w:rsidRPr="00362F15">
        <w:rPr>
          <w:b/>
          <w:bCs w:val="0"/>
        </w:rPr>
        <w:t>evaluation</w:t>
      </w:r>
    </w:p>
    <w:p w14:paraId="6EA72BF5" w14:textId="77777777" w:rsidR="002118DC" w:rsidRDefault="002118DC" w:rsidP="002118DC"/>
    <w:p w14:paraId="454EB76E" w14:textId="4BCC10A3" w:rsidR="00640150" w:rsidRDefault="00640150" w:rsidP="002663C1">
      <w:r w:rsidRPr="25666478">
        <w:t>This document outlines broad principles to support APS officials when embarking on any new partnership opportunity with philanthropy. Whil</w:t>
      </w:r>
      <w:r w:rsidR="006943B7">
        <w:t>e</w:t>
      </w:r>
      <w:r w:rsidRPr="25666478">
        <w:t xml:space="preserve"> the principles are explained separately, each principle is interconnected with the others and should be considered holistically. The principles are most applicable to longer-term partnerships between the government and philanthropy. The principles may be less applicable to one-off co-funding arrangements with philanthropy, noting existing partnerships and arrangements may be leveraged in these circumstances. </w:t>
      </w:r>
    </w:p>
    <w:p w14:paraId="77DFE208" w14:textId="31166B1F" w:rsidR="00640150" w:rsidRDefault="00640150" w:rsidP="25666478">
      <w:r w:rsidRPr="25666478">
        <w:t xml:space="preserve">Principles of shared decision-making between government and First Nations partners are already in practice through existing partnerships operating under Priority Reform One of the </w:t>
      </w:r>
      <w:hyperlink r:id="rId25" w:history="1">
        <w:r w:rsidRPr="25666478">
          <w:rPr>
            <w:rStyle w:val="Hyperlink"/>
          </w:rPr>
          <w:t>National Agreement on Closing the Gap</w:t>
        </w:r>
      </w:hyperlink>
      <w:r w:rsidRPr="25666478">
        <w:t>. These structures include both place-based and policy partnerships. When partnering with First Nations individuals or organisations, officials should consider modelling lessons learned and best practice examples from these fora and seeking to embed strong partnership elements, as identified at Clause 32 of the National Agreement</w:t>
      </w:r>
      <w:r w:rsidR="008E58BF">
        <w:t xml:space="preserve"> (National Agreement on Closing the Gap 20</w:t>
      </w:r>
      <w:r w:rsidR="006142CE">
        <w:t>20</w:t>
      </w:r>
      <w:r w:rsidR="008E58BF">
        <w:t>)</w:t>
      </w:r>
      <w:r w:rsidRPr="25666478">
        <w:t>.</w:t>
      </w:r>
    </w:p>
    <w:p w14:paraId="62EF3C66" w14:textId="77777777" w:rsidR="00640150" w:rsidRDefault="00640150" w:rsidP="00640150">
      <w:pPr>
        <w:spacing w:after="240"/>
        <w:jc w:val="center"/>
        <w:rPr>
          <w:rFonts w:asciiTheme="majorHAnsi" w:eastAsiaTheme="majorEastAsia" w:hAnsiTheme="majorHAnsi" w:cstheme="majorBidi"/>
          <w:b/>
          <w:bCs/>
          <w:color w:val="2A4055"/>
          <w:sz w:val="28"/>
        </w:rPr>
      </w:pPr>
      <w:r>
        <w:br w:type="page"/>
      </w:r>
    </w:p>
    <w:p w14:paraId="0EECF9B0" w14:textId="32852DBE" w:rsidR="00640150" w:rsidRPr="0090719E" w:rsidRDefault="00640150" w:rsidP="00640150">
      <w:pPr>
        <w:pStyle w:val="Heading2"/>
      </w:pPr>
      <w:bookmarkStart w:id="23" w:name="_Toc183353884"/>
      <w:bookmarkStart w:id="24" w:name="_Toc225929567"/>
      <w:r>
        <w:lastRenderedPageBreak/>
        <w:t>Principle 1</w:t>
      </w:r>
      <w:r w:rsidR="00BB3380">
        <w:t>.</w:t>
      </w:r>
      <w:r>
        <w:t xml:space="preserve"> </w:t>
      </w:r>
      <w:r w:rsidR="00CF0471">
        <w:t>Be p</w:t>
      </w:r>
      <w:r>
        <w:t>urposeful</w:t>
      </w:r>
      <w:bookmarkEnd w:id="23"/>
      <w:bookmarkEnd w:id="24"/>
    </w:p>
    <w:p w14:paraId="3433863E" w14:textId="77777777" w:rsidR="00640150" w:rsidRDefault="00640150" w:rsidP="00640150">
      <w:r>
        <w:t xml:space="preserve">It is important that any partnership between government and philanthropy is grounded in a clear and shared purpose. This will be the unifying feature of the partnership and the key motivator behind all efforts and activities. </w:t>
      </w:r>
    </w:p>
    <w:p w14:paraId="54AC1A3E" w14:textId="6DC30FD6" w:rsidR="001A5AC7" w:rsidRDefault="00640150" w:rsidP="00640150">
      <w:r w:rsidRPr="25666478">
        <w:t xml:space="preserve">Similarly, it is important to recognise that a partnership represents a commitment. </w:t>
      </w:r>
      <w:r w:rsidR="006943B7">
        <w:t>J</w:t>
      </w:r>
      <w:r w:rsidRPr="25666478">
        <w:t xml:space="preserve">ust like a partnership structure for a business, there are key advantages and disadvantages associated with entering this type of commitment. </w:t>
      </w:r>
    </w:p>
    <w:p w14:paraId="37B1BFEE" w14:textId="4C2F7BC5" w:rsidR="00640150" w:rsidRDefault="00640150" w:rsidP="00640150">
      <w:r w:rsidRPr="25666478">
        <w:t>Partnerships bring people, ideas, resources and knowledge together. Partnerships between government and philanthropy can leverage the strengths of partners, resulting in alignment of priorities and shared learnings. However, there are also risks associated with this, as each party has their own priorities, opinions and authorising environment (see above).</w:t>
      </w:r>
    </w:p>
    <w:p w14:paraId="391CEB46" w14:textId="46A926EE" w:rsidR="00640150" w:rsidRDefault="00640150" w:rsidP="00640150">
      <w:pPr>
        <w:autoSpaceDE w:val="0"/>
        <w:autoSpaceDN w:val="0"/>
        <w:adjustRightInd w:val="0"/>
      </w:pPr>
      <w:r w:rsidRPr="25666478">
        <w:t xml:space="preserve">Consequently, before </w:t>
      </w:r>
      <w:r w:rsidR="0080612B" w:rsidRPr="25666478">
        <w:t>entering</w:t>
      </w:r>
      <w:r w:rsidRPr="25666478">
        <w:t xml:space="preserve"> a partnership with philanthropy, APS officials should ask two key questions</w:t>
      </w:r>
      <w:r w:rsidR="005A3301">
        <w:t>:</w:t>
      </w:r>
    </w:p>
    <w:p w14:paraId="257A9FCB" w14:textId="26001588" w:rsidR="00640150" w:rsidRPr="001360EF" w:rsidRDefault="00E317E6" w:rsidP="001360EF">
      <w:pPr>
        <w:pStyle w:val="ListParagraph"/>
      </w:pPr>
      <w:r w:rsidRPr="001360EF">
        <w:t>w</w:t>
      </w:r>
      <w:r w:rsidR="00640150" w:rsidRPr="001360EF">
        <w:t>hat is the purpose of the proposed partnership?</w:t>
      </w:r>
    </w:p>
    <w:p w14:paraId="6C50ED89" w14:textId="2C2BDC6A" w:rsidR="00640150" w:rsidRPr="001360EF" w:rsidRDefault="00E317E6" w:rsidP="001360EF">
      <w:pPr>
        <w:pStyle w:val="ListParagraph"/>
      </w:pPr>
      <w:r w:rsidRPr="001360EF">
        <w:t>w</w:t>
      </w:r>
      <w:r w:rsidR="00640150" w:rsidRPr="001360EF">
        <w:t xml:space="preserve">ith the purpose in mind, is a partnership model appropriate? </w:t>
      </w:r>
    </w:p>
    <w:p w14:paraId="77B582D9" w14:textId="639B72F9" w:rsidR="00640150" w:rsidRDefault="00D5718C" w:rsidP="00640150">
      <w:pPr>
        <w:pStyle w:val="Heading3"/>
      </w:pPr>
      <w:bookmarkStart w:id="25" w:name="_Toc183353885"/>
      <w:bookmarkStart w:id="26" w:name="_Toc225929568"/>
      <w:r>
        <w:t>P</w:t>
      </w:r>
      <w:r w:rsidR="00640150">
        <w:t>urpose of the proposed partnership</w:t>
      </w:r>
      <w:bookmarkEnd w:id="25"/>
      <w:bookmarkEnd w:id="26"/>
    </w:p>
    <w:p w14:paraId="0969B632" w14:textId="77777777" w:rsidR="00640150" w:rsidRDefault="00640150" w:rsidP="00640150">
      <w:r w:rsidRPr="25666478">
        <w:t xml:space="preserve">The purpose will explain the reason why the partners are collaborating, what the partners are seeking to do, and who the partnership will benefit. </w:t>
      </w:r>
    </w:p>
    <w:p w14:paraId="377F5D47" w14:textId="75957BEF" w:rsidR="00640150" w:rsidRDefault="00640150" w:rsidP="00640150">
      <w:r w:rsidRPr="25666478">
        <w:t>Once the reason has been agreed, parties should consider the vision, goals, and values of the proposed partnership. These factors will help uncover the expectations and motivations of potential partners, whil</w:t>
      </w:r>
      <w:r w:rsidR="00AB6A43">
        <w:t>e</w:t>
      </w:r>
      <w:r w:rsidRPr="25666478">
        <w:t xml:space="preserve"> also creating a unified view of what the partnership is working towards. Whil</w:t>
      </w:r>
      <w:r w:rsidR="00AB6A43">
        <w:t>e</w:t>
      </w:r>
      <w:r w:rsidRPr="25666478">
        <w:t xml:space="preserve"> these factors may be high level, the activity of agreeing these factors will provide valuable lessons about working together and help you to conclude whether a partnership will be viable. </w:t>
      </w:r>
    </w:p>
    <w:p w14:paraId="2C2A40B7" w14:textId="77777777" w:rsidR="00640150" w:rsidRDefault="00640150" w:rsidP="00640150">
      <w:r w:rsidRPr="25666478">
        <w:t xml:space="preserve">Partners may choose to engage with a framework, like a theory of change, to think through and document how the partnership is supposed to work, why it will work, who it will benefit (and in what way), and the conditions required for success. This will be built on evidence, beliefs and assumptions, as well as experiences from partners. </w:t>
      </w:r>
    </w:p>
    <w:p w14:paraId="6D1AE8C8" w14:textId="7D40EC15" w:rsidR="002663C1" w:rsidRDefault="008646A2" w:rsidP="00C33EB2">
      <w:pPr>
        <w:pStyle w:val="ListParagraph"/>
      </w:pPr>
      <w:r>
        <w:t>Questions to ask about t</w:t>
      </w:r>
      <w:r w:rsidR="00640150" w:rsidRPr="25666478">
        <w:t>he reason, vision, goals and values of a partnership</w:t>
      </w:r>
      <w:r>
        <w:t xml:space="preserve"> include:</w:t>
      </w:r>
      <w:r w:rsidR="00C33EB2">
        <w:t xml:space="preserve"> </w:t>
      </w:r>
      <w:r w:rsidR="00C33EB2">
        <w:rPr>
          <w:b/>
          <w:bCs/>
        </w:rPr>
        <w:t>r</w:t>
      </w:r>
      <w:r w:rsidR="002663C1" w:rsidRPr="00C33EB2">
        <w:rPr>
          <w:b/>
          <w:bCs/>
        </w:rPr>
        <w:t>eason</w:t>
      </w:r>
      <w:r w:rsidR="00C33EB2">
        <w:t xml:space="preserve">: </w:t>
      </w:r>
      <w:r w:rsidR="002663C1">
        <w:t>Why does the partnership exist?</w:t>
      </w:r>
      <w:r w:rsidR="00C33EB2">
        <w:t xml:space="preserve"> </w:t>
      </w:r>
      <w:r w:rsidR="002663C1">
        <w:t>What is being done and for whom?</w:t>
      </w:r>
    </w:p>
    <w:p w14:paraId="3EDD5B39" w14:textId="0C16C6DA" w:rsidR="002663C1" w:rsidRDefault="00C33EB2" w:rsidP="00C33EB2">
      <w:pPr>
        <w:pStyle w:val="ListParagraph"/>
      </w:pPr>
      <w:r>
        <w:rPr>
          <w:b/>
          <w:bCs/>
        </w:rPr>
        <w:t>v</w:t>
      </w:r>
      <w:r w:rsidR="002663C1" w:rsidRPr="00C33EB2">
        <w:rPr>
          <w:b/>
          <w:bCs/>
        </w:rPr>
        <w:t>ision</w:t>
      </w:r>
      <w:r>
        <w:rPr>
          <w:b/>
          <w:bCs/>
        </w:rPr>
        <w:t xml:space="preserve">: </w:t>
      </w:r>
      <w:r w:rsidR="002663C1" w:rsidRPr="008646A2">
        <w:t>Where are you going?</w:t>
      </w:r>
      <w:r w:rsidR="008646A2" w:rsidRPr="008646A2">
        <w:t xml:space="preserve"> </w:t>
      </w:r>
      <w:r w:rsidR="002663C1">
        <w:t>What do you want to achieve?</w:t>
      </w:r>
    </w:p>
    <w:p w14:paraId="04C429B8" w14:textId="0868FA73" w:rsidR="002663C1" w:rsidRPr="00C33EB2" w:rsidRDefault="00C33EB2" w:rsidP="00C33EB2">
      <w:pPr>
        <w:pStyle w:val="ListParagraph"/>
        <w:rPr>
          <w:b/>
        </w:rPr>
      </w:pPr>
      <w:r>
        <w:rPr>
          <w:b/>
          <w:bCs/>
        </w:rPr>
        <w:t>g</w:t>
      </w:r>
      <w:r w:rsidR="002663C1" w:rsidRPr="00C33EB2">
        <w:rPr>
          <w:b/>
          <w:bCs/>
        </w:rPr>
        <w:t>oals</w:t>
      </w:r>
      <w:r>
        <w:rPr>
          <w:b/>
          <w:bCs/>
        </w:rPr>
        <w:t xml:space="preserve">: </w:t>
      </w:r>
      <w:r w:rsidR="002663C1" w:rsidRPr="001A5AC7">
        <w:t>What are the tangible ways to carry out your purpose and progress toward your vision?</w:t>
      </w:r>
    </w:p>
    <w:p w14:paraId="180005F2" w14:textId="567BB89C" w:rsidR="002663C1" w:rsidRPr="00C33EB2" w:rsidRDefault="00C33EB2" w:rsidP="00C33EB2">
      <w:pPr>
        <w:pStyle w:val="ListParagraph"/>
        <w:rPr>
          <w:b/>
        </w:rPr>
      </w:pPr>
      <w:r>
        <w:rPr>
          <w:b/>
          <w:bCs/>
        </w:rPr>
        <w:t>v</w:t>
      </w:r>
      <w:r w:rsidR="002663C1" w:rsidRPr="00C33EB2">
        <w:rPr>
          <w:b/>
          <w:bCs/>
        </w:rPr>
        <w:t>alues</w:t>
      </w:r>
      <w:r>
        <w:rPr>
          <w:b/>
          <w:bCs/>
        </w:rPr>
        <w:t xml:space="preserve">: </w:t>
      </w:r>
      <w:r w:rsidR="002663C1">
        <w:t>What do you stand for?</w:t>
      </w:r>
      <w:r w:rsidR="008646A2">
        <w:t xml:space="preserve"> </w:t>
      </w:r>
      <w:r w:rsidR="002663C1">
        <w:t>What beliefs help you carry out your goals?</w:t>
      </w:r>
    </w:p>
    <w:p w14:paraId="05286CE6" w14:textId="6BD9BAB3" w:rsidR="00640150" w:rsidRDefault="00D5718C" w:rsidP="00A74806">
      <w:pPr>
        <w:pStyle w:val="Heading3"/>
      </w:pPr>
      <w:bookmarkStart w:id="27" w:name="_Toc183353886"/>
      <w:bookmarkStart w:id="28" w:name="_Toc225929569"/>
      <w:r>
        <w:t>Choosing a</w:t>
      </w:r>
      <w:r w:rsidR="00640150">
        <w:t xml:space="preserve"> partnership</w:t>
      </w:r>
      <w:bookmarkEnd w:id="27"/>
      <w:bookmarkEnd w:id="28"/>
    </w:p>
    <w:p w14:paraId="7AE6708B" w14:textId="77777777" w:rsidR="00640150" w:rsidRDefault="00640150" w:rsidP="00640150">
      <w:r w:rsidRPr="25666478">
        <w:t xml:space="preserve">A partnership requires a considerable investment of time and resources to establish and a continued commitment to work together. Consequently, a partnership should only be entered into when it is </w:t>
      </w:r>
      <w:r w:rsidRPr="25666478">
        <w:lastRenderedPageBreak/>
        <w:t xml:space="preserve">both viable and worthwhile. Once the purpose has been established, partners should reflect on whether the model is appropriate to achieve that purpose, before formalising the partnership. </w:t>
      </w:r>
    </w:p>
    <w:p w14:paraId="75787F27" w14:textId="77777777" w:rsidR="00640150" w:rsidRDefault="00640150" w:rsidP="00640150">
      <w:r w:rsidRPr="25666478">
        <w:t>APS officials should consider whether the partnership is viable. This requires consideration of both the scope of the partnership and the authorising environments of partners.</w:t>
      </w:r>
    </w:p>
    <w:p w14:paraId="2AB2E259" w14:textId="77777777" w:rsidR="00640150" w:rsidRDefault="00640150" w:rsidP="00640150">
      <w:pPr>
        <w:pStyle w:val="Heading4"/>
      </w:pPr>
      <w:r w:rsidRPr="004A3D30">
        <w:t>Scope of partnership</w:t>
      </w:r>
    </w:p>
    <w:p w14:paraId="0278E29A" w14:textId="321462C6" w:rsidR="00456D5B" w:rsidRPr="00456D5B" w:rsidRDefault="00F62EF5" w:rsidP="00456D5B">
      <w:r>
        <w:t xml:space="preserve">When considering the scope of </w:t>
      </w:r>
      <w:r w:rsidR="00D81764">
        <w:t>a</w:t>
      </w:r>
      <w:r>
        <w:t xml:space="preserve"> partnership, a</w:t>
      </w:r>
      <w:r w:rsidR="00456D5B">
        <w:t>sk:</w:t>
      </w:r>
    </w:p>
    <w:p w14:paraId="4315B90A" w14:textId="77777777" w:rsidR="00E57D6A" w:rsidRDefault="00067D89" w:rsidP="00906BE1">
      <w:pPr>
        <w:pStyle w:val="ListParagraph"/>
      </w:pPr>
      <w:r>
        <w:t>w</w:t>
      </w:r>
      <w:r w:rsidR="00640150" w:rsidRPr="25666478">
        <w:t xml:space="preserve">hat issue is the partnership seeking to address? </w:t>
      </w:r>
    </w:p>
    <w:p w14:paraId="2BA22874" w14:textId="548022A1" w:rsidR="00640150" w:rsidRPr="00B91895" w:rsidRDefault="008646A2" w:rsidP="00906BE1">
      <w:pPr>
        <w:pStyle w:val="ListParagraph"/>
      </w:pPr>
      <w:r>
        <w:t>i</w:t>
      </w:r>
      <w:r w:rsidR="00E57D6A">
        <w:t>s</w:t>
      </w:r>
      <w:r w:rsidR="00640150" w:rsidRPr="25666478">
        <w:t xml:space="preserve"> </w:t>
      </w:r>
      <w:r w:rsidR="00E57D6A">
        <w:t>the issue</w:t>
      </w:r>
      <w:r w:rsidR="00640150" w:rsidRPr="25666478">
        <w:t xml:space="preserve"> in the </w:t>
      </w:r>
      <w:r w:rsidR="00F7421B">
        <w:t>Australian Government’s</w:t>
      </w:r>
      <w:r w:rsidR="00640150" w:rsidRPr="25666478">
        <w:t xml:space="preserve"> remit?</w:t>
      </w:r>
    </w:p>
    <w:p w14:paraId="06F6C5DB" w14:textId="5095A2C2" w:rsidR="00640150" w:rsidRDefault="00067D89" w:rsidP="00906BE1">
      <w:pPr>
        <w:pStyle w:val="ListParagraph"/>
      </w:pPr>
      <w:r>
        <w:t>c</w:t>
      </w:r>
      <w:r w:rsidR="00640150" w:rsidRPr="25666478">
        <w:t xml:space="preserve">an the philanthropic partner(s) contribute funds or knowledge to the project(s), or are they limited (e.g., to a particular jurisdiction)? </w:t>
      </w:r>
    </w:p>
    <w:p w14:paraId="4411229F" w14:textId="59A7F09F" w:rsidR="00640150" w:rsidRDefault="00067D89" w:rsidP="00906BE1">
      <w:pPr>
        <w:pStyle w:val="ListParagraph"/>
      </w:pPr>
      <w:r>
        <w:t>d</w:t>
      </w:r>
      <w:r w:rsidR="00640150" w:rsidRPr="25666478">
        <w:t>oes the partnership include the relevant stakeholders, such as state and territory governments, communities, corporate foundations or not-for-profit organisations?</w:t>
      </w:r>
    </w:p>
    <w:p w14:paraId="606A1337" w14:textId="77777777" w:rsidR="00640150" w:rsidRDefault="00640150" w:rsidP="00640150">
      <w:pPr>
        <w:pStyle w:val="Heading4"/>
      </w:pPr>
      <w:r w:rsidRPr="004A3D30">
        <w:t>Authorising environment</w:t>
      </w:r>
    </w:p>
    <w:p w14:paraId="3C451698" w14:textId="766119FB" w:rsidR="00456D5B" w:rsidRPr="00456D5B" w:rsidRDefault="005D0C2C" w:rsidP="00456D5B">
      <w:r>
        <w:t xml:space="preserve">When considering the authorising environment of </w:t>
      </w:r>
      <w:r w:rsidR="00D81764">
        <w:t>a</w:t>
      </w:r>
      <w:r>
        <w:t xml:space="preserve"> partnership, a</w:t>
      </w:r>
      <w:r w:rsidR="00456D5B">
        <w:t>sk:</w:t>
      </w:r>
    </w:p>
    <w:p w14:paraId="606FFC92" w14:textId="31B3C808" w:rsidR="00640150" w:rsidRPr="00F06944" w:rsidRDefault="00067D89" w:rsidP="00906BE1">
      <w:pPr>
        <w:pStyle w:val="ListParagraph"/>
      </w:pPr>
      <w:r>
        <w:t>a</w:t>
      </w:r>
      <w:r w:rsidR="00640150" w:rsidRPr="25666478">
        <w:t>re there any integrity or probity concerns that would preclude a partnership with potential philanthropic partner(s)? This includes the need for transparency and the establishment of processes to mitigate any real or perceived conflict of interest.</w:t>
      </w:r>
    </w:p>
    <w:p w14:paraId="433953D7" w14:textId="5716ACBA" w:rsidR="00640150" w:rsidRPr="00B91895" w:rsidRDefault="00067D89" w:rsidP="00906BE1">
      <w:pPr>
        <w:pStyle w:val="ListParagraph"/>
      </w:pPr>
      <w:r>
        <w:t>c</w:t>
      </w:r>
      <w:r w:rsidR="00640150" w:rsidRPr="00B91895">
        <w:t xml:space="preserve">an the </w:t>
      </w:r>
      <w:r w:rsidR="007C10F8">
        <w:t>G</w:t>
      </w:r>
      <w:r w:rsidR="00640150">
        <w:t>overnment</w:t>
      </w:r>
      <w:r w:rsidR="00640150" w:rsidRPr="00B91895">
        <w:t xml:space="preserve"> appropriate funds for this purpose?</w:t>
      </w:r>
    </w:p>
    <w:p w14:paraId="4EAA4516" w14:textId="77777777" w:rsidR="00B02CD1" w:rsidRDefault="00067D89" w:rsidP="00906BE1">
      <w:pPr>
        <w:pStyle w:val="ListParagraph"/>
      </w:pPr>
      <w:r>
        <w:t>d</w:t>
      </w:r>
      <w:r w:rsidR="00640150" w:rsidRPr="25666478">
        <w:t xml:space="preserve">oes my agency have portfolio responsibility or an appropriate link to the intended purpose of the partnership? </w:t>
      </w:r>
    </w:p>
    <w:p w14:paraId="0952410A" w14:textId="2AC9F499" w:rsidR="00640150" w:rsidRPr="00B91895" w:rsidRDefault="00B02CD1" w:rsidP="00906BE1">
      <w:pPr>
        <w:pStyle w:val="ListParagraph"/>
      </w:pPr>
      <w:r>
        <w:t>w</w:t>
      </w:r>
      <w:r w:rsidR="00640150" w:rsidRPr="25666478">
        <w:t>ill the scope of the partnership’s work require the involvement of other APS agencies?</w:t>
      </w:r>
    </w:p>
    <w:p w14:paraId="7F443592" w14:textId="77777777" w:rsidR="00B02CD1" w:rsidRDefault="00067D89" w:rsidP="00906BE1">
      <w:pPr>
        <w:pStyle w:val="ListParagraph"/>
      </w:pPr>
      <w:r>
        <w:t>h</w:t>
      </w:r>
      <w:r w:rsidR="00640150" w:rsidRPr="00B91895">
        <w:t xml:space="preserve">as the responsible Minister provided agreement for the </w:t>
      </w:r>
      <w:r w:rsidR="00111F1B">
        <w:t>Australian Government</w:t>
      </w:r>
      <w:r w:rsidR="00640150" w:rsidRPr="00B91895">
        <w:t xml:space="preserve"> to enter this partnership? </w:t>
      </w:r>
    </w:p>
    <w:p w14:paraId="3395DF9F" w14:textId="7D66D270" w:rsidR="00640150" w:rsidRPr="00B91895" w:rsidRDefault="00B02CD1" w:rsidP="00906BE1">
      <w:pPr>
        <w:pStyle w:val="ListParagraph"/>
      </w:pPr>
      <w:r>
        <w:t>i</w:t>
      </w:r>
      <w:r w:rsidR="00640150">
        <w:t>s authority</w:t>
      </w:r>
      <w:r>
        <w:t xml:space="preserve"> for the partnership</w:t>
      </w:r>
      <w:r w:rsidR="00640150">
        <w:t xml:space="preserve"> needed?</w:t>
      </w:r>
    </w:p>
    <w:p w14:paraId="17B09913" w14:textId="3CDFCC92" w:rsidR="00640150" w:rsidRPr="006940CB" w:rsidRDefault="00067D89" w:rsidP="00906BE1">
      <w:pPr>
        <w:pStyle w:val="ListParagraph"/>
      </w:pPr>
      <w:r>
        <w:t>d</w:t>
      </w:r>
      <w:r w:rsidR="00640150" w:rsidRPr="00B91895">
        <w:t xml:space="preserve">o the philanthropic partner(s) have the authorising environment (their Board and governing documents) to work towards </w:t>
      </w:r>
      <w:r w:rsidR="00640150">
        <w:t>the</w:t>
      </w:r>
      <w:r w:rsidR="00640150" w:rsidRPr="00B91895">
        <w:t xml:space="preserve"> agreed purpose?</w:t>
      </w:r>
    </w:p>
    <w:p w14:paraId="6CED3E39" w14:textId="77777777" w:rsidR="00640150" w:rsidRDefault="00640150" w:rsidP="00640150">
      <w:r w:rsidRPr="25666478">
        <w:t xml:space="preserve">APS officials should also consider whether a partnership is worthwhile. This involves weighing up the effort associated with a partnership and asking whether that is justified for the intended outcome. A short-term partnership may benefit from an agreement or memorandum of understanding, even if a comprehensive partnership agreement is not established. </w:t>
      </w:r>
    </w:p>
    <w:p w14:paraId="6479061E" w14:textId="77777777" w:rsidR="00640150" w:rsidRDefault="00640150" w:rsidP="00640150">
      <w:r w:rsidRPr="25666478">
        <w:t>In some circumstances, the government and a philanthropic organisation could choose to collaborate without a formalised partnership. For example, if the government and a philanthropic organisation want to separately fund complementary initiatives in a community, as a one-off, this could be achieved through a one-time collaboration when drafting grant agreements, to ensure timeframes and KPIs are aligned. In that scenario, it is best to use available resources to achieve the short-term outcome of aligned grant agreements. The establishment of a formalised partnership agreement would likely require a disproportionate investment of resources for the intended one-off outcome.</w:t>
      </w:r>
    </w:p>
    <w:p w14:paraId="11EC9F04" w14:textId="77777777" w:rsidR="00640150" w:rsidRDefault="00640150" w:rsidP="00640150">
      <w:pPr>
        <w:pStyle w:val="Heading4"/>
      </w:pPr>
      <w:r>
        <w:lastRenderedPageBreak/>
        <w:t>Effort</w:t>
      </w:r>
      <w:r w:rsidRPr="00B91895">
        <w:t xml:space="preserve"> </w:t>
      </w:r>
      <w:r>
        <w:t>versus</w:t>
      </w:r>
      <w:r w:rsidRPr="00B91895">
        <w:t xml:space="preserve"> outcome</w:t>
      </w:r>
    </w:p>
    <w:p w14:paraId="1C8F1FA8" w14:textId="542AD430" w:rsidR="00456D5B" w:rsidRDefault="005D0C2C" w:rsidP="00C33EB2">
      <w:r>
        <w:t>When considering effort verses outcome, a</w:t>
      </w:r>
      <w:r w:rsidR="00456D5B">
        <w:t>sk:</w:t>
      </w:r>
    </w:p>
    <w:p w14:paraId="3D9D286E" w14:textId="47F1849C" w:rsidR="00640150" w:rsidRDefault="00067D89" w:rsidP="00906BE1">
      <w:pPr>
        <w:pStyle w:val="ListParagraph"/>
      </w:pPr>
      <w:r>
        <w:t>d</w:t>
      </w:r>
      <w:r w:rsidR="00640150" w:rsidRPr="25666478">
        <w:t>oes the timeframe of the collaboration justify a formalised partnership?</w:t>
      </w:r>
    </w:p>
    <w:p w14:paraId="5124E4D8" w14:textId="7AEB085D" w:rsidR="00640150" w:rsidRPr="006940CB" w:rsidRDefault="00067D89" w:rsidP="00906BE1">
      <w:pPr>
        <w:pStyle w:val="ListParagraph"/>
      </w:pPr>
      <w:r>
        <w:t>d</w:t>
      </w:r>
      <w:r w:rsidR="00640150" w:rsidRPr="25666478">
        <w:t>oes the investment of resources into the collaboration (including developing mechanisms to facilitate collaboration that meet the required standards for government and philanthropic decision-making) justify a formalised partnership?</w:t>
      </w:r>
    </w:p>
    <w:p w14:paraId="0F6C06FE" w14:textId="45E0FCA0" w:rsidR="00640150" w:rsidRPr="00B91895" w:rsidRDefault="00067D89" w:rsidP="00906BE1">
      <w:pPr>
        <w:pStyle w:val="ListParagraph"/>
      </w:pPr>
      <w:r>
        <w:t>d</w:t>
      </w:r>
      <w:r w:rsidR="00640150">
        <w:t xml:space="preserve">oes the intended outcome justify a formalised partnership? </w:t>
      </w:r>
    </w:p>
    <w:p w14:paraId="3E54ED8E" w14:textId="5DFC4E29" w:rsidR="00640150" w:rsidRDefault="00067D89" w:rsidP="00906BE1">
      <w:pPr>
        <w:pStyle w:val="ListParagraph"/>
      </w:pPr>
      <w:r>
        <w:t>i</w:t>
      </w:r>
      <w:r w:rsidR="00640150" w:rsidRPr="25666478">
        <w:t xml:space="preserve">s it more appropriate to collaborate with philanthropy without the ongoing commitment of a formalised partnership? </w:t>
      </w:r>
    </w:p>
    <w:p w14:paraId="5B2A2BAA" w14:textId="0F4C1680" w:rsidR="00640150" w:rsidRDefault="00067D89" w:rsidP="00906BE1">
      <w:pPr>
        <w:pStyle w:val="ListParagraph"/>
      </w:pPr>
      <w:r>
        <w:t>w</w:t>
      </w:r>
      <w:r w:rsidR="00640150" w:rsidRPr="0F411727">
        <w:t>ould a partnership pave the way for more efficient collaboration in the future?</w:t>
      </w:r>
    </w:p>
    <w:p w14:paraId="7BD9F2BE" w14:textId="4A8ACD25" w:rsidR="00640150" w:rsidRPr="006940CB" w:rsidRDefault="00067D89" w:rsidP="00906BE1">
      <w:pPr>
        <w:pStyle w:val="ListParagraph"/>
      </w:pPr>
      <w:r>
        <w:t>i</w:t>
      </w:r>
      <w:r w:rsidR="00640150">
        <w:t>s there a risk of collaborating without a formalised partnership?</w:t>
      </w:r>
    </w:p>
    <w:p w14:paraId="734268FE" w14:textId="77777777" w:rsidR="00640150" w:rsidRDefault="00640150" w:rsidP="00640150">
      <w:r w:rsidRPr="25666478">
        <w:t>If the factors suggest that a partnership for the agreed purpose is both viable and worthwhile, partners should take steps to formalise the agreement in writing. This is outlined below.</w:t>
      </w:r>
    </w:p>
    <w:p w14:paraId="55C2CFC8" w14:textId="77777777" w:rsidR="00640150" w:rsidRDefault="00640150" w:rsidP="00640150">
      <w:pPr>
        <w:spacing w:after="240"/>
        <w:rPr>
          <w:rFonts w:asciiTheme="majorHAnsi" w:eastAsiaTheme="majorEastAsia" w:hAnsiTheme="majorHAnsi" w:cstheme="majorBidi"/>
          <w:b/>
          <w:bCs/>
          <w:color w:val="2A4055"/>
          <w:sz w:val="28"/>
        </w:rPr>
      </w:pPr>
      <w:r>
        <w:br w:type="page"/>
      </w:r>
    </w:p>
    <w:p w14:paraId="2DAA2112" w14:textId="3EADE162" w:rsidR="00640150" w:rsidRDefault="00640150" w:rsidP="00640150">
      <w:pPr>
        <w:pStyle w:val="Heading2"/>
      </w:pPr>
      <w:bookmarkStart w:id="29" w:name="_Toc183353887"/>
      <w:bookmarkStart w:id="30" w:name="_Toc225929570"/>
      <w:r>
        <w:lastRenderedPageBreak/>
        <w:t>Principle 2. Establish trust</w:t>
      </w:r>
      <w:bookmarkEnd w:id="29"/>
      <w:bookmarkEnd w:id="30"/>
    </w:p>
    <w:p w14:paraId="72C37B37" w14:textId="77777777" w:rsidR="00640150" w:rsidRDefault="00640150" w:rsidP="00640150">
      <w:r>
        <w:t xml:space="preserve">Guided by the purpose, trust is the binding agent of partnerships. Trust in a partnership can hinge on the interpersonal relationships between stakeholders and be enabled by formalised agreements and governance arrangements that transfer trust in people into trustworthiness of the relationship. As APS officials work to build trust and engage with philanthropic partners in good faith, they must also uphold their responsibilities as public servants. </w:t>
      </w:r>
    </w:p>
    <w:p w14:paraId="505AD85A" w14:textId="0997D4C4" w:rsidR="00640150" w:rsidRPr="00FE41E8" w:rsidRDefault="00640150" w:rsidP="00C33EB2">
      <w:pPr>
        <w:pStyle w:val="Quote"/>
        <w:jc w:val="left"/>
      </w:pPr>
      <w:r>
        <w:t xml:space="preserve">People have more satisfying lives when they live in an environment where they have trust in each other and their institutions, and where those institutions are strong and effective. Trust also creates the conditions necessary for a society to make progress in pursuing policy that can improve the wellbeing of all people. </w:t>
      </w:r>
      <w:r w:rsidRPr="00C851BF">
        <w:rPr>
          <w:b/>
          <w:bCs/>
          <w:sz w:val="20"/>
          <w:szCs w:val="18"/>
        </w:rPr>
        <w:t xml:space="preserve">Measuring What Matters Statement </w:t>
      </w:r>
      <w:r w:rsidR="004C6558">
        <w:rPr>
          <w:b/>
          <w:bCs/>
          <w:sz w:val="20"/>
          <w:szCs w:val="18"/>
        </w:rPr>
        <w:t>(</w:t>
      </w:r>
      <w:r w:rsidRPr="00C851BF">
        <w:rPr>
          <w:b/>
          <w:bCs/>
          <w:sz w:val="20"/>
          <w:szCs w:val="18"/>
        </w:rPr>
        <w:t>2023</w:t>
      </w:r>
      <w:r w:rsidR="004C6558">
        <w:rPr>
          <w:b/>
          <w:bCs/>
          <w:sz w:val="20"/>
          <w:szCs w:val="18"/>
        </w:rPr>
        <w:t>)</w:t>
      </w:r>
    </w:p>
    <w:p w14:paraId="482AD9C6" w14:textId="77777777" w:rsidR="00640150" w:rsidRDefault="00640150" w:rsidP="00640150">
      <w:pPr>
        <w:pStyle w:val="Heading3"/>
      </w:pPr>
      <w:bookmarkStart w:id="31" w:name="_Toc183353888"/>
      <w:bookmarkStart w:id="32" w:name="_Toc225929571"/>
      <w:r>
        <w:t>Developing trusting relationships</w:t>
      </w:r>
      <w:bookmarkEnd w:id="31"/>
      <w:bookmarkEnd w:id="32"/>
    </w:p>
    <w:p w14:paraId="2EF15C0B" w14:textId="77777777" w:rsidR="00640150" w:rsidRDefault="00640150" w:rsidP="00640150">
      <w:r w:rsidRPr="25666478">
        <w:t>It takes time to develop trust between stakeholders, and working in partnership across sectors is no different. In some circumstances, it could take a year or more to build deep trust between government and philanthropic partners. Trust can be built over time but lost easily. Trust is ongoing and will differ between individuals and organisations. The investment of time to develop trusting relationships should not be understated. It is important to establish appropriate governance and procedures to embed trust in the partnership and reduce key person risk.</w:t>
      </w:r>
    </w:p>
    <w:p w14:paraId="7C64E709" w14:textId="77777777" w:rsidR="00640150" w:rsidRDefault="00640150" w:rsidP="00640150">
      <w:r>
        <w:t>Actions that can help to build trust include:</w:t>
      </w:r>
    </w:p>
    <w:p w14:paraId="46004AB1" w14:textId="5C71AEAC" w:rsidR="00640150" w:rsidRDefault="00B175C9" w:rsidP="00906BE1">
      <w:pPr>
        <w:pStyle w:val="ListParagraph"/>
      </w:pPr>
      <w:r>
        <w:t>r</w:t>
      </w:r>
      <w:r w:rsidR="00640150">
        <w:t>egular interactions at the start of the partnership</w:t>
      </w:r>
    </w:p>
    <w:p w14:paraId="143E3D0C" w14:textId="2AAE2BD5" w:rsidR="00640150" w:rsidRDefault="00B175C9" w:rsidP="00906BE1">
      <w:pPr>
        <w:pStyle w:val="ListParagraph"/>
      </w:pPr>
      <w:r>
        <w:t>f</w:t>
      </w:r>
      <w:r w:rsidR="00640150">
        <w:t xml:space="preserve">ace-to-face workshops </w:t>
      </w:r>
    </w:p>
    <w:p w14:paraId="32B8B98C" w14:textId="4A4F89F5" w:rsidR="00640150" w:rsidRDefault="00B175C9" w:rsidP="00906BE1">
      <w:pPr>
        <w:pStyle w:val="ListParagraph"/>
      </w:pPr>
      <w:r>
        <w:t>h</w:t>
      </w:r>
      <w:r w:rsidR="00640150">
        <w:t>aving a sound understanding of APS processes</w:t>
      </w:r>
    </w:p>
    <w:p w14:paraId="73B2EE92" w14:textId="22286E7C" w:rsidR="00640150" w:rsidRPr="00D1343A" w:rsidRDefault="00B175C9" w:rsidP="00906BE1">
      <w:pPr>
        <w:pStyle w:val="ListParagraph"/>
      </w:pPr>
      <w:r>
        <w:t>a</w:t>
      </w:r>
      <w:r w:rsidR="00640150">
        <w:t xml:space="preserve">greeing to progress deliverables, and </w:t>
      </w:r>
      <w:r w:rsidR="00640150" w:rsidRPr="005650F8">
        <w:t>delivering</w:t>
      </w:r>
      <w:r w:rsidR="00640150">
        <w:t xml:space="preserve"> </w:t>
      </w:r>
      <w:r w:rsidR="00640150" w:rsidRPr="00D1343A">
        <w:t xml:space="preserve">on those commitments </w:t>
      </w:r>
    </w:p>
    <w:p w14:paraId="32775884" w14:textId="58479F29" w:rsidR="00640150" w:rsidRDefault="00B175C9" w:rsidP="00906BE1">
      <w:pPr>
        <w:pStyle w:val="ListParagraph"/>
      </w:pPr>
      <w:r>
        <w:t>a</w:t>
      </w:r>
      <w:r w:rsidR="00640150">
        <w:t xml:space="preserve"> willingness to share information with partners, where possible</w:t>
      </w:r>
    </w:p>
    <w:p w14:paraId="278B9500" w14:textId="149018E7" w:rsidR="00640150" w:rsidRDefault="00B175C9" w:rsidP="00906BE1">
      <w:pPr>
        <w:pStyle w:val="ListParagraph"/>
      </w:pPr>
      <w:r>
        <w:t>a</w:t>
      </w:r>
      <w:r w:rsidR="00640150">
        <w:t xml:space="preserve"> willingness to learn from partners and be open-minded</w:t>
      </w:r>
    </w:p>
    <w:p w14:paraId="30DFDAB2" w14:textId="71B9E783" w:rsidR="00640150" w:rsidRDefault="00B175C9" w:rsidP="00906BE1">
      <w:pPr>
        <w:pStyle w:val="ListParagraph"/>
      </w:pPr>
      <w:r>
        <w:t>a</w:t>
      </w:r>
      <w:r w:rsidR="00640150">
        <w:t xml:space="preserve"> willingness to be transparent about motivations for entering partnership</w:t>
      </w:r>
    </w:p>
    <w:p w14:paraId="16D5B343" w14:textId="367D5453" w:rsidR="00640150" w:rsidRDefault="00B175C9" w:rsidP="00906BE1">
      <w:pPr>
        <w:pStyle w:val="ListParagraph"/>
      </w:pPr>
      <w:r>
        <w:t>e</w:t>
      </w:r>
      <w:r w:rsidR="00640150">
        <w:t>xploring the ideas and viewpoints of all parties</w:t>
      </w:r>
      <w:r w:rsidR="006A3A16">
        <w:t xml:space="preserve">, including </w:t>
      </w:r>
      <w:r w:rsidR="00640150">
        <w:t>recognition of cultural considerations that support First Nations self-determination, including:</w:t>
      </w:r>
    </w:p>
    <w:p w14:paraId="1F4AC797" w14:textId="466013A4" w:rsidR="00640150" w:rsidRDefault="00B175C9" w:rsidP="00C33EB2">
      <w:pPr>
        <w:pStyle w:val="ListParagraph"/>
        <w:numPr>
          <w:ilvl w:val="1"/>
          <w:numId w:val="31"/>
        </w:numPr>
      </w:pPr>
      <w:r>
        <w:t>c</w:t>
      </w:r>
      <w:r w:rsidR="00640150">
        <w:t>ultural awareness and safety</w:t>
      </w:r>
    </w:p>
    <w:p w14:paraId="12D7B2D1" w14:textId="639E2FED" w:rsidR="00640150" w:rsidRDefault="00640150" w:rsidP="00C33EB2">
      <w:pPr>
        <w:pStyle w:val="ListParagraph"/>
        <w:numPr>
          <w:ilvl w:val="1"/>
          <w:numId w:val="31"/>
        </w:numPr>
      </w:pPr>
      <w:r>
        <w:t>Indigenous data sovereignty</w:t>
      </w:r>
    </w:p>
    <w:p w14:paraId="77F3AFEC" w14:textId="49615307" w:rsidR="00640150" w:rsidRDefault="00B175C9" w:rsidP="00C33EB2">
      <w:pPr>
        <w:pStyle w:val="ListParagraph"/>
        <w:numPr>
          <w:ilvl w:val="1"/>
          <w:numId w:val="31"/>
        </w:numPr>
      </w:pPr>
      <w:r>
        <w:t>t</w:t>
      </w:r>
      <w:r w:rsidR="00640150">
        <w:t xml:space="preserve">he </w:t>
      </w:r>
      <w:r>
        <w:t>t</w:t>
      </w:r>
      <w:r w:rsidR="00640150">
        <w:t xml:space="preserve">ransformational </w:t>
      </w:r>
      <w:r>
        <w:t>e</w:t>
      </w:r>
      <w:r w:rsidR="00640150">
        <w:t xml:space="preserve">lements and Priority Reforms contained in the National Agreement on Closing the Gap. </w:t>
      </w:r>
    </w:p>
    <w:p w14:paraId="5AB0F32F" w14:textId="365BB103" w:rsidR="00640150" w:rsidRDefault="00640150" w:rsidP="25666478">
      <w:r w:rsidRPr="25666478">
        <w:t xml:space="preserve">Early engagement is also essential to build trust, shape </w:t>
      </w:r>
      <w:r w:rsidR="00DD1EE8">
        <w:t xml:space="preserve">future </w:t>
      </w:r>
      <w:r w:rsidRPr="25666478">
        <w:t xml:space="preserve">engagement and develop buy-in from philanthropic organisations. As outlined in the Productivity Commission’s </w:t>
      </w:r>
      <w:hyperlink r:id="rId26" w:history="1">
        <w:r w:rsidR="00036F14">
          <w:rPr>
            <w:rStyle w:val="Hyperlink"/>
            <w:i/>
            <w:iCs/>
          </w:rPr>
          <w:t>Future foundations for giving inquiry Report</w:t>
        </w:r>
      </w:hyperlink>
      <w:r w:rsidRPr="25666478">
        <w:t xml:space="preserve">, the </w:t>
      </w:r>
      <w:hyperlink r:id="rId27" w:history="1">
        <w:r w:rsidRPr="25666478">
          <w:rPr>
            <w:rStyle w:val="Hyperlink"/>
          </w:rPr>
          <w:t>Australian Environmental Grantmakers Network</w:t>
        </w:r>
      </w:hyperlink>
      <w:r w:rsidRPr="25666478">
        <w:t xml:space="preserve"> suggested early engagement to shape initiatives together is an enabler of effective collaboration between government and philanthropy that can improve outcomes for beneficiaries</w:t>
      </w:r>
      <w:r w:rsidR="001B7A35">
        <w:t xml:space="preserve"> (PC 2024)</w:t>
      </w:r>
      <w:r w:rsidRPr="25666478">
        <w:t>.</w:t>
      </w:r>
    </w:p>
    <w:p w14:paraId="0BF631E8" w14:textId="77777777" w:rsidR="00640150" w:rsidRDefault="00640150" w:rsidP="00640150">
      <w:pPr>
        <w:pStyle w:val="Heading4"/>
      </w:pPr>
      <w:r>
        <w:lastRenderedPageBreak/>
        <w:t>Managing change</w:t>
      </w:r>
    </w:p>
    <w:p w14:paraId="7EE54042" w14:textId="7CBD1FCC" w:rsidR="00640150" w:rsidRDefault="00F76B85" w:rsidP="00640150">
      <w:r>
        <w:t>C</w:t>
      </w:r>
      <w:r w:rsidR="00640150" w:rsidRPr="25666478">
        <w:t>hange, including staff changes, will be likely and that it is important to have systems in place to support management of change. It is important to consider continuity of government involvement in the partnership. This will involve consideration of how agencies practically demonstrate and maintain the commitment to the partnership.</w:t>
      </w:r>
    </w:p>
    <w:p w14:paraId="3BDF1FE9" w14:textId="77777777" w:rsidR="00640150" w:rsidRDefault="00640150" w:rsidP="00640150">
      <w:pPr>
        <w:pStyle w:val="Heading4"/>
      </w:pPr>
      <w:r>
        <w:t>Elections</w:t>
      </w:r>
    </w:p>
    <w:p w14:paraId="79D7F1E7" w14:textId="77777777" w:rsidR="00640150" w:rsidRDefault="00640150" w:rsidP="00640150">
      <w:r w:rsidRPr="25666478">
        <w:t>Any formal partnership is still subject to a government decision. Consequently, it is important that philanthropic partners understand that a change in the government may impact the partnership. The continuation of any partnership will be subject to Ministerial agreement.</w:t>
      </w:r>
    </w:p>
    <w:p w14:paraId="6C6816F6" w14:textId="7E99AC3A" w:rsidR="00640150" w:rsidRPr="008112BD" w:rsidRDefault="005A584B" w:rsidP="00640150">
      <w:r>
        <w:t>W</w:t>
      </w:r>
      <w:r w:rsidR="00640150" w:rsidRPr="25666478">
        <w:t>here partnerships include government members or officials, legislated election caretaker periods may apply at different times and restrict their ability to agree or endorse specific matters. While requirements may vary between different jurisdictions, caretaker conventions generally require that governments avoid making major policy decisions that are likely to commit an incoming government. Whether a particular policy decision qualifies as ‘major’ is a matter for judgement,</w:t>
      </w:r>
      <w:r w:rsidR="00950474">
        <w:t xml:space="preserve"> (Department of Prime Minister and Cabinet 2024)</w:t>
      </w:r>
      <w:r w:rsidR="00640150" w:rsidRPr="25666478">
        <w:t xml:space="preserve"> noting all decisions should be documented appropriately.</w:t>
      </w:r>
    </w:p>
    <w:p w14:paraId="7045D8DF" w14:textId="77777777" w:rsidR="00640150" w:rsidRDefault="00640150" w:rsidP="00640150">
      <w:pPr>
        <w:pStyle w:val="Heading3"/>
      </w:pPr>
      <w:bookmarkStart w:id="33" w:name="_Toc183353889"/>
      <w:bookmarkStart w:id="34" w:name="_Toc225929572"/>
      <w:r>
        <w:t>Formalising the relationship</w:t>
      </w:r>
      <w:bookmarkEnd w:id="33"/>
      <w:bookmarkEnd w:id="34"/>
    </w:p>
    <w:p w14:paraId="429DC671" w14:textId="77777777" w:rsidR="00640150" w:rsidRPr="00F13D52" w:rsidRDefault="00640150" w:rsidP="00640150">
      <w:r w:rsidRPr="25666478">
        <w:t xml:space="preserve">It is also essential for the government and philanthropic partners to document a partnership arrangement from the beginning. Records provide evidence of communications, decisions and actions. Good recordkeeping is essential for good government and is an essential part of meeting accountability obligations. Formal partnership documents can provide guidance for partners and be used in public communication about the partnership. </w:t>
      </w:r>
    </w:p>
    <w:p w14:paraId="39D2B864" w14:textId="77777777" w:rsidR="00640150" w:rsidRDefault="00640150" w:rsidP="00640150">
      <w:pPr>
        <w:pStyle w:val="Heading4"/>
      </w:pPr>
      <w:r>
        <w:t>Partnership agreement</w:t>
      </w:r>
    </w:p>
    <w:p w14:paraId="63F897E9" w14:textId="77777777" w:rsidR="00640150" w:rsidRDefault="00640150" w:rsidP="00640150">
      <w:r w:rsidRPr="25666478">
        <w:t xml:space="preserve">When establishing a partnership, government and philanthropic partners should seek to formalise the commitment through a written partnership agreement. This document could take many forms. It may be a formal contract that is signed by parties, a high-level guiding document that is published by the partners or an internal guiding document. Regardless, it will likely require a significant amount of time to formalise and agree the wording of the agreement between partners, as each partner brings their own ideas and agenda to the drafting process. </w:t>
      </w:r>
    </w:p>
    <w:p w14:paraId="52E8BFB4" w14:textId="77777777" w:rsidR="00640150" w:rsidRDefault="00640150" w:rsidP="00640150">
      <w:r>
        <w:t>Key features of a partnership agreement may include:</w:t>
      </w:r>
    </w:p>
    <w:p w14:paraId="460F321C" w14:textId="54DEB28D" w:rsidR="00640150" w:rsidRDefault="00B175C9" w:rsidP="00906BE1">
      <w:pPr>
        <w:pStyle w:val="ListParagraph"/>
      </w:pPr>
      <w:r>
        <w:t>t</w:t>
      </w:r>
      <w:r w:rsidR="00640150">
        <w:t xml:space="preserve">he purpose </w:t>
      </w:r>
    </w:p>
    <w:p w14:paraId="50022E38" w14:textId="136712F3" w:rsidR="00640150" w:rsidRDefault="00640150" w:rsidP="00906BE1">
      <w:pPr>
        <w:pStyle w:val="ListParagraph"/>
      </w:pPr>
      <w:r w:rsidRPr="25666478">
        <w:t xml:space="preserve">vision, goals and values </w:t>
      </w:r>
    </w:p>
    <w:p w14:paraId="7EB3F035" w14:textId="0267B3E7" w:rsidR="00640150" w:rsidRDefault="00640150" w:rsidP="00906BE1">
      <w:pPr>
        <w:pStyle w:val="ListParagraph"/>
      </w:pPr>
      <w:r w:rsidRPr="25666478">
        <w:t>timeframe</w:t>
      </w:r>
    </w:p>
    <w:p w14:paraId="58132799" w14:textId="50FB8C0A" w:rsidR="00640150" w:rsidRDefault="00640150" w:rsidP="00906BE1">
      <w:pPr>
        <w:pStyle w:val="ListParagraph"/>
      </w:pPr>
      <w:r w:rsidRPr="25666478">
        <w:t>membership, roles and responsibilities of each partner</w:t>
      </w:r>
    </w:p>
    <w:p w14:paraId="71E30CA5" w14:textId="110E015F" w:rsidR="00640150" w:rsidRDefault="00B175C9" w:rsidP="00906BE1">
      <w:pPr>
        <w:pStyle w:val="ListParagraph"/>
      </w:pPr>
      <w:r>
        <w:t>i</w:t>
      </w:r>
      <w:r w:rsidR="00640150">
        <w:t>ntended focus areas for future work</w:t>
      </w:r>
    </w:p>
    <w:p w14:paraId="2E68FDA5" w14:textId="70C64E53" w:rsidR="00640150" w:rsidRDefault="00B175C9" w:rsidP="00906BE1">
      <w:pPr>
        <w:pStyle w:val="ListParagraph"/>
      </w:pPr>
      <w:r>
        <w:t>d</w:t>
      </w:r>
      <w:r w:rsidR="00640150">
        <w:t>ecision-making functions</w:t>
      </w:r>
    </w:p>
    <w:p w14:paraId="0CD76568" w14:textId="1595516D" w:rsidR="00640150" w:rsidRDefault="00B175C9" w:rsidP="00906BE1">
      <w:pPr>
        <w:pStyle w:val="ListParagraph"/>
      </w:pPr>
      <w:r>
        <w:t>g</w:t>
      </w:r>
      <w:r w:rsidR="00640150">
        <w:t>overnance arrangements</w:t>
      </w:r>
      <w:r w:rsidR="005F1B29">
        <w:t xml:space="preserve">, </w:t>
      </w:r>
      <w:r w:rsidR="00640150">
        <w:t xml:space="preserve">including how to manage probity concerns </w:t>
      </w:r>
    </w:p>
    <w:p w14:paraId="3E59FEAE" w14:textId="601B7D62" w:rsidR="00640150" w:rsidRDefault="00B175C9" w:rsidP="00906BE1">
      <w:pPr>
        <w:pStyle w:val="ListParagraph"/>
      </w:pPr>
      <w:r>
        <w:t>a</w:t>
      </w:r>
      <w:r w:rsidR="00640150">
        <w:t xml:space="preserve"> mechanism to signal agreement to the partnership (such as a signature)</w:t>
      </w:r>
    </w:p>
    <w:p w14:paraId="1D8C2005" w14:textId="45D7673D" w:rsidR="00640150" w:rsidRDefault="00B175C9" w:rsidP="00906BE1">
      <w:pPr>
        <w:pStyle w:val="ListParagraph"/>
      </w:pPr>
      <w:r>
        <w:lastRenderedPageBreak/>
        <w:t>a</w:t>
      </w:r>
      <w:r w:rsidR="00640150">
        <w:t>n</w:t>
      </w:r>
      <w:r w:rsidR="0057146A">
        <w:t xml:space="preserve"> </w:t>
      </w:r>
      <w:r w:rsidR="00640150">
        <w:t>agreement of non-negotiable elements</w:t>
      </w:r>
    </w:p>
    <w:p w14:paraId="23B52C3F" w14:textId="645C2AD7" w:rsidR="00640150" w:rsidRDefault="00B175C9" w:rsidP="00906BE1">
      <w:pPr>
        <w:pStyle w:val="ListParagraph"/>
      </w:pPr>
      <w:r>
        <w:t>d</w:t>
      </w:r>
      <w:r w:rsidR="00640150">
        <w:t>efinitions of key terms</w:t>
      </w:r>
      <w:r>
        <w:t>.</w:t>
      </w:r>
    </w:p>
    <w:p w14:paraId="786F2AD9" w14:textId="588C8BC5" w:rsidR="00640150" w:rsidRDefault="00640150" w:rsidP="00640150">
      <w:r w:rsidRPr="25666478">
        <w:t xml:space="preserve">Additional steps should be taken if the partnership agreement is a contract, requires signature or imposes obligations on the government. An agency should obtain legal advice and seek advice from the Department of Finance regarding how to allocate funds before signing or agreeing to a partnership agreement to fully understand the obligations on the Government. An agency should seek agreement from its Minister. This should be done to obtain agreement to the partnership and will determine which Minister or APS official is the most appropriate to signal the </w:t>
      </w:r>
      <w:r w:rsidR="009A614C">
        <w:t xml:space="preserve">Government’s </w:t>
      </w:r>
      <w:r w:rsidRPr="25666478">
        <w:t xml:space="preserve">agreement to the partnership. Commonwealth agencies will have their own internal requirements and processes. </w:t>
      </w:r>
    </w:p>
    <w:p w14:paraId="5BCBCF5A" w14:textId="2507404A" w:rsidR="00640150" w:rsidRDefault="00640150" w:rsidP="00640150">
      <w:r w:rsidRPr="25666478">
        <w:t>Partners will also need to decide if the partnership agreement will be published or publicised through additional communication such as a media release. Depending on the type of partnership agreement there may be requirements for the Government to publish; for example</w:t>
      </w:r>
      <w:r w:rsidR="00DA107F" w:rsidRPr="25666478">
        <w:t>,</w:t>
      </w:r>
      <w:r w:rsidRPr="25666478">
        <w:t xml:space="preserve"> if it is in the form of a grant, it must be published </w:t>
      </w:r>
      <w:r w:rsidR="0057146A">
        <w:t>on the Australian Government’s</w:t>
      </w:r>
      <w:r w:rsidRPr="25666478">
        <w:t xml:space="preserve"> </w:t>
      </w:r>
      <w:hyperlink r:id="rId28">
        <w:proofErr w:type="spellStart"/>
        <w:r w:rsidRPr="25666478">
          <w:rPr>
            <w:rStyle w:val="Hyperlink"/>
          </w:rPr>
          <w:t>GrantConnect</w:t>
        </w:r>
        <w:proofErr w:type="spellEnd"/>
      </w:hyperlink>
      <w:r w:rsidRPr="25666478">
        <w:t xml:space="preserve">. This will require communications advice and may require a Ministerial decision. </w:t>
      </w:r>
    </w:p>
    <w:p w14:paraId="34DE87BD" w14:textId="02CC3392" w:rsidR="00640150" w:rsidRDefault="00640150" w:rsidP="00640150">
      <w:r w:rsidRPr="25666478">
        <w:t xml:space="preserve">APS officials should also consider the </w:t>
      </w:r>
      <w:hyperlink r:id="rId29">
        <w:r w:rsidRPr="25666478">
          <w:rPr>
            <w:rStyle w:val="Hyperlink"/>
          </w:rPr>
          <w:t>National Agreement on Closing the Gap</w:t>
        </w:r>
      </w:hyperlink>
      <w:r w:rsidRPr="25666478">
        <w:t>, as is outlines the Australian Government’s commitments to First Nations partnerships and provides guidance for establishing partnerships in line with Priority Reform One - Formal Partnerships and Shared Decision</w:t>
      </w:r>
      <w:r w:rsidR="008629A0">
        <w:t>-</w:t>
      </w:r>
      <w:r w:rsidRPr="25666478">
        <w:t>Making. If the partnership is with the Community Controlled Sector, APS officials should refer to Priority Reform Two - Building the Community-Controlled Sector.</w:t>
      </w:r>
    </w:p>
    <w:p w14:paraId="580A218B" w14:textId="77777777" w:rsidR="00640150" w:rsidRDefault="00640150" w:rsidP="00640150">
      <w:pPr>
        <w:spacing w:after="240"/>
        <w:rPr>
          <w:rFonts w:asciiTheme="majorHAnsi" w:eastAsiaTheme="majorEastAsia" w:hAnsiTheme="majorHAnsi" w:cstheme="majorBidi"/>
          <w:b/>
          <w:bCs/>
          <w:color w:val="2A4055"/>
          <w:sz w:val="28"/>
        </w:rPr>
      </w:pPr>
      <w:r>
        <w:br w:type="page"/>
      </w:r>
    </w:p>
    <w:p w14:paraId="547C7BD1" w14:textId="77777777" w:rsidR="00D5718C" w:rsidRDefault="00640150" w:rsidP="00640150">
      <w:pPr>
        <w:pStyle w:val="Heading3"/>
      </w:pPr>
      <w:bookmarkStart w:id="35" w:name="_Toc225929573"/>
      <w:bookmarkStart w:id="36" w:name="_Toc183353890"/>
      <w:r w:rsidRPr="0079366D">
        <w:lastRenderedPageBreak/>
        <w:t>Case study</w:t>
      </w:r>
      <w:bookmarkEnd w:id="35"/>
    </w:p>
    <w:p w14:paraId="17B5C111" w14:textId="32ED4BAA" w:rsidR="00640150" w:rsidRPr="0079366D" w:rsidRDefault="00640150" w:rsidP="00D5718C">
      <w:pPr>
        <w:pStyle w:val="Heading4"/>
      </w:pPr>
      <w:r w:rsidRPr="0079366D">
        <w:t xml:space="preserve">The Investment Dialogue for Australia’s Children - </w:t>
      </w:r>
      <w:r w:rsidRPr="00C0706D">
        <w:rPr>
          <w:iCs w:val="0"/>
        </w:rPr>
        <w:t>Working Together Agreement</w:t>
      </w:r>
      <w:bookmarkEnd w:id="36"/>
    </w:p>
    <w:p w14:paraId="32BC6E69" w14:textId="2153003E" w:rsidR="00640150" w:rsidRDefault="00640150" w:rsidP="00B3602C">
      <w:pPr>
        <w:pStyle w:val="Focus-blue"/>
      </w:pPr>
      <w:r w:rsidRPr="25666478">
        <w:t xml:space="preserve">The </w:t>
      </w:r>
      <w:hyperlink r:id="rId30">
        <w:r w:rsidRPr="25666478">
          <w:rPr>
            <w:rStyle w:val="Hyperlink"/>
          </w:rPr>
          <w:t>Investment Dialogue for Australia’s Children</w:t>
        </w:r>
      </w:hyperlink>
      <w:r w:rsidRPr="25666478">
        <w:t xml:space="preserve"> (</w:t>
      </w:r>
      <w:r w:rsidR="002C3517">
        <w:t>IDAC</w:t>
      </w:r>
      <w:r w:rsidRPr="25666478">
        <w:t xml:space="preserve">) was formally established in 2023, as an outcome of the Jobs and Skills Summit in September 2022. </w:t>
      </w:r>
    </w:p>
    <w:p w14:paraId="01E485B2" w14:textId="4B36777F" w:rsidR="00640150" w:rsidRDefault="00640150" w:rsidP="00B3602C">
      <w:pPr>
        <w:pStyle w:val="Focus-blue"/>
      </w:pPr>
      <w:r w:rsidRPr="25666478">
        <w:t xml:space="preserve">APS officials worked with an initial group of philanthropic partners, supported by the Australian Research Alliance for Children and Youth (ARACY) as the </w:t>
      </w:r>
      <w:r w:rsidR="0078011D">
        <w:t xml:space="preserve">IDAC </w:t>
      </w:r>
      <w:r w:rsidRPr="25666478">
        <w:t xml:space="preserve">Strategic Convenor, to craft a document that accurately captured the proposed partnership. Partners also wanted to highlight the respective strengths of government and philanthropy to be leveraged through a partnership approach. </w:t>
      </w:r>
    </w:p>
    <w:p w14:paraId="36E99F15" w14:textId="7205555D" w:rsidR="00640150" w:rsidRDefault="00640150" w:rsidP="00B3602C">
      <w:pPr>
        <w:pStyle w:val="Focus-blue"/>
      </w:pPr>
      <w:r w:rsidRPr="25666478">
        <w:t>The creation of the I</w:t>
      </w:r>
      <w:r w:rsidR="0078011D">
        <w:t>DAC</w:t>
      </w:r>
      <w:r w:rsidRPr="25666478">
        <w:t xml:space="preserve"> </w:t>
      </w:r>
      <w:r w:rsidRPr="25666478">
        <w:rPr>
          <w:i/>
          <w:iCs/>
        </w:rPr>
        <w:t>Working Together Agreement</w:t>
      </w:r>
      <w:r w:rsidRPr="25666478">
        <w:t xml:space="preserve"> </w:t>
      </w:r>
      <w:r w:rsidR="00A61C7A">
        <w:t>(IDAC 2023)</w:t>
      </w:r>
      <w:r w:rsidR="00A61C7A" w:rsidRPr="25666478">
        <w:t xml:space="preserve"> </w:t>
      </w:r>
      <w:r w:rsidRPr="25666478">
        <w:t xml:space="preserve">demonstrated a genuine willingness between government and philanthropic organisations to work together. The drafting of the document required a significant amount of time and effort to reach agreement between </w:t>
      </w:r>
      <w:r w:rsidR="0008718E" w:rsidRPr="25666478">
        <w:t>partners but</w:t>
      </w:r>
      <w:r w:rsidRPr="25666478">
        <w:t xml:space="preserve"> was a useful trust-building exercise. </w:t>
      </w:r>
    </w:p>
    <w:p w14:paraId="3B88C2EC" w14:textId="0C86A9F3" w:rsidR="00640150" w:rsidRDefault="00640150" w:rsidP="00B3602C">
      <w:pPr>
        <w:pStyle w:val="Focus-blue"/>
      </w:pPr>
      <w:r w:rsidRPr="25666478">
        <w:t>The inaugural National I</w:t>
      </w:r>
      <w:r w:rsidR="0078011D">
        <w:t>DAC</w:t>
      </w:r>
      <w:r w:rsidRPr="25666478">
        <w:t xml:space="preserve"> Roundtable was then held at Parliament House on 4 December 2023, bringing together key stakeholders and representatives of government and representatives of the philanthropic dialogue members. The Treasurer, the Minister for Social Services, the CEO of the Paul Ramsay Foundation, the CEO of The Ian Potter Foundation and the Executive Director of The Bryan Foundation, signed the final version of the </w:t>
      </w:r>
      <w:r w:rsidRPr="00A61C7A">
        <w:rPr>
          <w:i/>
          <w:iCs/>
        </w:rPr>
        <w:t>Working Together Agreement</w:t>
      </w:r>
      <w:r w:rsidRPr="25666478">
        <w:t xml:space="preserve"> as a commitment to the establishment of the I</w:t>
      </w:r>
      <w:r w:rsidR="0078011D">
        <w:t>DAC</w:t>
      </w:r>
      <w:r w:rsidRPr="25666478">
        <w:t xml:space="preserve"> partnership. </w:t>
      </w:r>
    </w:p>
    <w:p w14:paraId="349FF5D2" w14:textId="3E2379D2" w:rsidR="00640150" w:rsidRPr="00C0706D" w:rsidRDefault="00640150" w:rsidP="00B3602C">
      <w:pPr>
        <w:pStyle w:val="Focus-blue"/>
      </w:pPr>
      <w:r w:rsidRPr="25666478">
        <w:t xml:space="preserve">The </w:t>
      </w:r>
      <w:r w:rsidRPr="00A61C7A">
        <w:rPr>
          <w:i/>
          <w:iCs/>
        </w:rPr>
        <w:t>Working Together Agreement</w:t>
      </w:r>
      <w:r w:rsidR="00616903">
        <w:t xml:space="preserve"> </w:t>
      </w:r>
      <w:r w:rsidRPr="25666478">
        <w:t>outlines the Investment Dialogue’s shared 10-year vision, commitments, priorities and ways of working. It outlines that government and philanthropic partners are committed to a long-term collaboration to improve the wellbeing of children, young people, and their families by working with communities to reduce intergenerational disadvantage in Australia. It also includes</w:t>
      </w:r>
      <w:r w:rsidR="00F13A0D" w:rsidRPr="25666478">
        <w:t>: t</w:t>
      </w:r>
      <w:r w:rsidRPr="25666478">
        <w:t>he vision of the partnership</w:t>
      </w:r>
      <w:r w:rsidR="00F13A0D" w:rsidRPr="25666478">
        <w:t>; a</w:t>
      </w:r>
      <w:r w:rsidRPr="25666478">
        <w:t>n explanation of the need for a partnership approach</w:t>
      </w:r>
      <w:r w:rsidR="00F13A0D" w:rsidRPr="25666478">
        <w:t>; t</w:t>
      </w:r>
      <w:r w:rsidRPr="25666478">
        <w:t>he commitments of partners, including collaboration, a long-term approach, community-leg, meaningful outcomes and continual improvement</w:t>
      </w:r>
      <w:r w:rsidR="00F13A0D" w:rsidRPr="25666478">
        <w:t>; and t</w:t>
      </w:r>
      <w:r w:rsidRPr="25666478">
        <w:t>he focus domains of the partnership</w:t>
      </w:r>
      <w:r w:rsidR="00F13A0D" w:rsidRPr="25666478">
        <w:t>.</w:t>
      </w:r>
    </w:p>
    <w:p w14:paraId="77A6432A" w14:textId="51A8B616" w:rsidR="00640150" w:rsidRDefault="00640150" w:rsidP="00B3602C">
      <w:pPr>
        <w:pStyle w:val="Focus-blue"/>
      </w:pPr>
      <w:r w:rsidRPr="25666478">
        <w:t xml:space="preserve">The </w:t>
      </w:r>
      <w:r w:rsidRPr="25666478">
        <w:rPr>
          <w:i/>
          <w:iCs/>
        </w:rPr>
        <w:t>Working Together Agreement</w:t>
      </w:r>
      <w:r w:rsidRPr="25666478">
        <w:t xml:space="preserve"> has </w:t>
      </w:r>
      <w:r w:rsidR="006F1369" w:rsidRPr="25666478">
        <w:t>served as a successful foundational document, supporting</w:t>
      </w:r>
      <w:r w:rsidR="00631CC4" w:rsidRPr="25666478">
        <w:t xml:space="preserve"> collaborative work between philanthropy and the government</w:t>
      </w:r>
      <w:r w:rsidR="002D5001" w:rsidRPr="25666478">
        <w:t>. This includes</w:t>
      </w:r>
      <w:r w:rsidR="00631CC4" w:rsidRPr="25666478">
        <w:t xml:space="preserve"> </w:t>
      </w:r>
      <w:r w:rsidR="00C303D2" w:rsidRPr="25666478">
        <w:t xml:space="preserve">commitments to back in communities-led change by jointly investing in the Partnerships for Local Action and Community Empowerment (PLACE), </w:t>
      </w:r>
      <w:r w:rsidR="00F069BD" w:rsidRPr="25666478">
        <w:t>establish</w:t>
      </w:r>
      <w:r w:rsidR="00C303D2" w:rsidRPr="25666478">
        <w:t xml:space="preserve"> a working group to collaborate on early learning models and integrated service delivery and support improved outcomes measurement in the early years.</w:t>
      </w:r>
      <w:r w:rsidR="00631CC4" w:rsidRPr="25666478">
        <w:t xml:space="preserve"> </w:t>
      </w:r>
      <w:r w:rsidR="002D5001" w:rsidRPr="25666478">
        <w:t>There is</w:t>
      </w:r>
      <w:r w:rsidRPr="25666478">
        <w:t xml:space="preserve"> also an invitation for current and future philanthropies and governments to commit to the vision and shared objectives of the Investment Dialogue.</w:t>
      </w:r>
    </w:p>
    <w:p w14:paraId="7CD41425" w14:textId="04A7C09D" w:rsidR="00640150" w:rsidRPr="00466517" w:rsidRDefault="00640150" w:rsidP="00466517">
      <w:pPr>
        <w:pStyle w:val="Heading4"/>
      </w:pPr>
      <w:r>
        <w:br w:type="page"/>
      </w:r>
      <w:r>
        <w:lastRenderedPageBreak/>
        <w:t>Governance arrangements</w:t>
      </w:r>
    </w:p>
    <w:p w14:paraId="6F15C7EC" w14:textId="77777777" w:rsidR="00640150" w:rsidRDefault="00640150" w:rsidP="00640150">
      <w:r w:rsidRPr="25666478">
        <w:t xml:space="preserve">The governance of a partnership between the government and philanthropy is crucial to the success of the collaboration. However, the arrangements may also take a considerable amount of time to agree, formalise and establish. </w:t>
      </w:r>
    </w:p>
    <w:p w14:paraId="31A3ABEF" w14:textId="75174F57" w:rsidR="00640150" w:rsidRDefault="00640150" w:rsidP="00640150">
      <w:pPr>
        <w:rPr>
          <w:rStyle w:val="normaltextrun"/>
          <w:rFonts w:cs="Calibri Light"/>
          <w:color w:val="000000"/>
          <w:szCs w:val="22"/>
          <w:shd w:val="clear" w:color="auto" w:fill="FFFFFF"/>
          <w:lang w:val="en-US"/>
        </w:rPr>
      </w:pPr>
      <w:r>
        <w:rPr>
          <w:rStyle w:val="normaltextrun"/>
          <w:rFonts w:cs="Calibri Light"/>
          <w:color w:val="000000"/>
          <w:szCs w:val="22"/>
          <w:shd w:val="clear" w:color="auto" w:fill="FFFFFF"/>
          <w:lang w:val="en-US"/>
        </w:rPr>
        <w:t>Governance arrangements will need to outline the involvement of partners and any other external participants. It may</w:t>
      </w:r>
      <w:r w:rsidRPr="00B91895">
        <w:rPr>
          <w:rStyle w:val="normaltextrun"/>
          <w:rFonts w:cs="Calibri Light"/>
          <w:color w:val="000000"/>
          <w:szCs w:val="22"/>
          <w:shd w:val="clear" w:color="auto" w:fill="FFFFFF"/>
          <w:lang w:val="en-US"/>
        </w:rPr>
        <w:t xml:space="preserve"> include leadership groups, advisory bodies</w:t>
      </w:r>
      <w:r>
        <w:rPr>
          <w:rStyle w:val="normaltextrun"/>
          <w:rFonts w:cs="Calibri Light"/>
          <w:color w:val="000000"/>
          <w:szCs w:val="22"/>
          <w:shd w:val="clear" w:color="auto" w:fill="FFFFFF"/>
          <w:lang w:val="en-US"/>
        </w:rPr>
        <w:t xml:space="preserve"> or </w:t>
      </w:r>
      <w:r w:rsidRPr="00B91895">
        <w:rPr>
          <w:rStyle w:val="normaltextrun"/>
          <w:rFonts w:cs="Calibri Light"/>
          <w:color w:val="000000"/>
          <w:szCs w:val="22"/>
          <w:shd w:val="clear" w:color="auto" w:fill="FFFFFF"/>
          <w:lang w:val="en-US"/>
        </w:rPr>
        <w:t>steering committees</w:t>
      </w:r>
      <w:r>
        <w:rPr>
          <w:rStyle w:val="normaltextrun"/>
          <w:rFonts w:cs="Calibri Light"/>
          <w:color w:val="000000"/>
          <w:szCs w:val="22"/>
          <w:shd w:val="clear" w:color="auto" w:fill="FFFFFF"/>
          <w:lang w:val="en-US"/>
        </w:rPr>
        <w:t>. The governance structures may also include</w:t>
      </w:r>
      <w:r w:rsidRPr="00B91895">
        <w:rPr>
          <w:rStyle w:val="normaltextrun"/>
          <w:rFonts w:cs="Calibri Light"/>
          <w:color w:val="000000"/>
          <w:szCs w:val="22"/>
          <w:shd w:val="clear" w:color="auto" w:fill="FFFFFF"/>
          <w:lang w:val="en-US"/>
        </w:rPr>
        <w:t xml:space="preserve"> </w:t>
      </w:r>
      <w:r>
        <w:rPr>
          <w:rStyle w:val="normaltextrun"/>
          <w:rFonts w:cs="Calibri Light"/>
          <w:color w:val="000000"/>
          <w:szCs w:val="22"/>
          <w:shd w:val="clear" w:color="auto" w:fill="FFFFFF"/>
          <w:lang w:val="en-US"/>
        </w:rPr>
        <w:t>groups or committees</w:t>
      </w:r>
      <w:r w:rsidRPr="00B91895">
        <w:rPr>
          <w:rStyle w:val="normaltextrun"/>
          <w:rFonts w:cs="Calibri Light"/>
          <w:color w:val="000000"/>
          <w:szCs w:val="22"/>
          <w:shd w:val="clear" w:color="auto" w:fill="FFFFFF"/>
          <w:lang w:val="en-US"/>
        </w:rPr>
        <w:t xml:space="preserve"> </w:t>
      </w:r>
      <w:r>
        <w:rPr>
          <w:rStyle w:val="normaltextrun"/>
          <w:rFonts w:cs="Calibri Light"/>
          <w:color w:val="000000"/>
          <w:szCs w:val="22"/>
          <w:shd w:val="clear" w:color="auto" w:fill="FFFFFF"/>
          <w:lang w:val="en-US"/>
        </w:rPr>
        <w:t>with</w:t>
      </w:r>
      <w:r w:rsidRPr="00B91895">
        <w:rPr>
          <w:rStyle w:val="normaltextrun"/>
          <w:rFonts w:cs="Calibri Light"/>
          <w:color w:val="000000"/>
          <w:szCs w:val="22"/>
          <w:shd w:val="clear" w:color="auto" w:fill="FFFFFF"/>
          <w:lang w:val="en-US"/>
        </w:rPr>
        <w:t xml:space="preserve"> representatives from government, </w:t>
      </w:r>
      <w:r>
        <w:rPr>
          <w:rStyle w:val="normaltextrun"/>
          <w:rFonts w:cs="Calibri Light"/>
          <w:color w:val="000000"/>
          <w:szCs w:val="22"/>
          <w:shd w:val="clear" w:color="auto" w:fill="FFFFFF"/>
          <w:lang w:val="en-US"/>
        </w:rPr>
        <w:t xml:space="preserve">philanthropy, First Nations communities, peak bodies, community sector organisations, community backbone organisations, not-for-profit organisations, and academia. </w:t>
      </w:r>
    </w:p>
    <w:p w14:paraId="6F07CBC2" w14:textId="77777777" w:rsidR="00640150" w:rsidRDefault="00640150" w:rsidP="00640150">
      <w:pPr>
        <w:rPr>
          <w:rStyle w:val="normaltextrun"/>
          <w:rFonts w:cs="Calibri Light"/>
          <w:color w:val="000000"/>
          <w:szCs w:val="22"/>
          <w:shd w:val="clear" w:color="auto" w:fill="FFFFFF"/>
          <w:lang w:val="en-US"/>
        </w:rPr>
      </w:pPr>
      <w:r>
        <w:rPr>
          <w:rStyle w:val="normaltextrun"/>
          <w:rFonts w:cs="Calibri Light"/>
          <w:color w:val="000000"/>
          <w:szCs w:val="22"/>
          <w:shd w:val="clear" w:color="auto" w:fill="FFFFFF"/>
          <w:lang w:val="en-US"/>
        </w:rPr>
        <w:t>To determine the appropriate governance arrangements, partners will need to consider:</w:t>
      </w:r>
    </w:p>
    <w:p w14:paraId="1920CCD0" w14:textId="3E8A3A80" w:rsidR="00640150" w:rsidRDefault="000C0019" w:rsidP="00906BE1">
      <w:pPr>
        <w:pStyle w:val="ListParagraph"/>
        <w:rPr>
          <w:rStyle w:val="normaltextrun"/>
          <w:rFonts w:cs="Calibri Light"/>
          <w:color w:val="000000"/>
          <w:szCs w:val="22"/>
          <w:shd w:val="clear" w:color="auto" w:fill="FFFFFF"/>
          <w:lang w:val="en-US"/>
        </w:rPr>
      </w:pPr>
      <w:r>
        <w:rPr>
          <w:rStyle w:val="normaltextrun"/>
          <w:rFonts w:cs="Calibri Light"/>
          <w:color w:val="000000"/>
          <w:szCs w:val="22"/>
          <w:shd w:val="clear" w:color="auto" w:fill="FFFFFF"/>
          <w:lang w:val="en-US"/>
        </w:rPr>
        <w:t>w</w:t>
      </w:r>
      <w:r w:rsidR="00640150">
        <w:rPr>
          <w:rStyle w:val="normaltextrun"/>
          <w:rFonts w:cs="Calibri Light"/>
          <w:color w:val="000000"/>
          <w:szCs w:val="22"/>
          <w:shd w:val="clear" w:color="auto" w:fill="FFFFFF"/>
          <w:lang w:val="en-US"/>
        </w:rPr>
        <w:t xml:space="preserve">hich governance structures already exist within the government context </w:t>
      </w:r>
    </w:p>
    <w:p w14:paraId="1A5DFA71" w14:textId="13F186F2" w:rsidR="00640150" w:rsidRDefault="000C0019" w:rsidP="00906BE1">
      <w:pPr>
        <w:pStyle w:val="ListParagraph"/>
        <w:rPr>
          <w:rStyle w:val="normaltextrun"/>
          <w:rFonts w:cs="Calibri Light"/>
          <w:color w:val="000000"/>
          <w:szCs w:val="22"/>
          <w:shd w:val="clear" w:color="auto" w:fill="FFFFFF"/>
          <w:lang w:val="en-US"/>
        </w:rPr>
      </w:pPr>
      <w:r>
        <w:rPr>
          <w:rStyle w:val="normaltextrun"/>
          <w:rFonts w:cs="Calibri Light"/>
          <w:color w:val="000000"/>
          <w:szCs w:val="22"/>
          <w:shd w:val="clear" w:color="auto" w:fill="FFFFFF"/>
          <w:lang w:val="en-US"/>
        </w:rPr>
        <w:t>h</w:t>
      </w:r>
      <w:r w:rsidR="00640150">
        <w:rPr>
          <w:rStyle w:val="normaltextrun"/>
          <w:rFonts w:cs="Calibri Light"/>
          <w:color w:val="000000"/>
          <w:szCs w:val="22"/>
          <w:shd w:val="clear" w:color="auto" w:fill="FFFFFF"/>
          <w:lang w:val="en-US"/>
        </w:rPr>
        <w:t xml:space="preserve">ow involved the relevant Minister(s) and their </w:t>
      </w:r>
      <w:r w:rsidR="00F14EB8">
        <w:rPr>
          <w:rStyle w:val="normaltextrun"/>
          <w:rFonts w:cs="Calibri Light"/>
          <w:color w:val="000000"/>
          <w:szCs w:val="22"/>
          <w:shd w:val="clear" w:color="auto" w:fill="FFFFFF"/>
          <w:lang w:val="en-US"/>
        </w:rPr>
        <w:t>O</w:t>
      </w:r>
      <w:r w:rsidR="00640150">
        <w:rPr>
          <w:rStyle w:val="normaltextrun"/>
          <w:rFonts w:cs="Calibri Light"/>
          <w:color w:val="000000"/>
          <w:szCs w:val="22"/>
          <w:shd w:val="clear" w:color="auto" w:fill="FFFFFF"/>
          <w:lang w:val="en-US"/>
        </w:rPr>
        <w:t>ffice</w:t>
      </w:r>
      <w:r w:rsidR="00F14EB8">
        <w:rPr>
          <w:rStyle w:val="normaltextrun"/>
          <w:rFonts w:cs="Calibri Light"/>
          <w:color w:val="000000"/>
          <w:szCs w:val="22"/>
          <w:shd w:val="clear" w:color="auto" w:fill="FFFFFF"/>
          <w:lang w:val="en-US"/>
        </w:rPr>
        <w:t>(</w:t>
      </w:r>
      <w:r w:rsidR="00640150">
        <w:rPr>
          <w:rStyle w:val="normaltextrun"/>
          <w:rFonts w:cs="Calibri Light"/>
          <w:color w:val="000000"/>
          <w:szCs w:val="22"/>
          <w:shd w:val="clear" w:color="auto" w:fill="FFFFFF"/>
          <w:lang w:val="en-US"/>
        </w:rPr>
        <w:t>s</w:t>
      </w:r>
      <w:r w:rsidR="00F14EB8">
        <w:rPr>
          <w:rStyle w:val="normaltextrun"/>
          <w:rFonts w:cs="Calibri Light"/>
          <w:color w:val="000000"/>
          <w:szCs w:val="22"/>
          <w:shd w:val="clear" w:color="auto" w:fill="FFFFFF"/>
          <w:lang w:val="en-US"/>
        </w:rPr>
        <w:t>)</w:t>
      </w:r>
      <w:r w:rsidR="00640150">
        <w:rPr>
          <w:rStyle w:val="normaltextrun"/>
          <w:rFonts w:cs="Calibri Light"/>
          <w:color w:val="000000"/>
          <w:szCs w:val="22"/>
          <w:shd w:val="clear" w:color="auto" w:fill="FFFFFF"/>
          <w:lang w:val="en-US"/>
        </w:rPr>
        <w:t xml:space="preserve"> </w:t>
      </w:r>
      <w:r w:rsidR="00930231">
        <w:rPr>
          <w:rStyle w:val="normaltextrun"/>
          <w:rFonts w:cs="Calibri Light"/>
          <w:color w:val="000000"/>
          <w:szCs w:val="22"/>
          <w:shd w:val="clear" w:color="auto" w:fill="FFFFFF"/>
          <w:lang w:val="en-US"/>
        </w:rPr>
        <w:t xml:space="preserve">will </w:t>
      </w:r>
      <w:r w:rsidR="00640150">
        <w:rPr>
          <w:rStyle w:val="normaltextrun"/>
          <w:rFonts w:cs="Calibri Light"/>
          <w:color w:val="000000"/>
          <w:szCs w:val="22"/>
          <w:shd w:val="clear" w:color="auto" w:fill="FFFFFF"/>
          <w:lang w:val="en-US"/>
        </w:rPr>
        <w:t>be</w:t>
      </w:r>
    </w:p>
    <w:p w14:paraId="225D8157" w14:textId="7DE413B0" w:rsidR="00640150" w:rsidRDefault="000C0019" w:rsidP="00906BE1">
      <w:pPr>
        <w:pStyle w:val="ListParagraph"/>
        <w:rPr>
          <w:rStyle w:val="normaltextrun"/>
          <w:rFonts w:cs="Calibri Light"/>
          <w:color w:val="000000"/>
          <w:szCs w:val="22"/>
          <w:shd w:val="clear" w:color="auto" w:fill="FFFFFF"/>
          <w:lang w:val="en-US"/>
        </w:rPr>
      </w:pPr>
      <w:r>
        <w:rPr>
          <w:rStyle w:val="normaltextrun"/>
          <w:rFonts w:cs="Calibri Light"/>
          <w:color w:val="000000"/>
          <w:szCs w:val="22"/>
          <w:shd w:val="clear" w:color="auto" w:fill="FFFFFF"/>
          <w:lang w:val="en-US"/>
        </w:rPr>
        <w:t>w</w:t>
      </w:r>
      <w:r w:rsidR="00640150">
        <w:rPr>
          <w:rStyle w:val="normaltextrun"/>
          <w:rFonts w:cs="Calibri Light"/>
          <w:color w:val="000000"/>
          <w:szCs w:val="22"/>
          <w:shd w:val="clear" w:color="auto" w:fill="FFFFFF"/>
          <w:lang w:val="en-US"/>
        </w:rPr>
        <w:t>hat governance structures already exist within the philanthropic partners</w:t>
      </w:r>
    </w:p>
    <w:p w14:paraId="7837BA99" w14:textId="65DA62BD" w:rsidR="00640150" w:rsidRDefault="000C0019" w:rsidP="00906BE1">
      <w:pPr>
        <w:pStyle w:val="ListParagraph"/>
        <w:rPr>
          <w:rStyle w:val="normaltextrun"/>
          <w:rFonts w:cs="Calibri Light"/>
          <w:color w:val="000000"/>
          <w:szCs w:val="22"/>
          <w:shd w:val="clear" w:color="auto" w:fill="FFFFFF"/>
          <w:lang w:val="en-US"/>
        </w:rPr>
      </w:pPr>
      <w:r>
        <w:rPr>
          <w:rStyle w:val="normaltextrun"/>
          <w:rFonts w:cs="Calibri Light"/>
          <w:color w:val="000000"/>
          <w:szCs w:val="22"/>
          <w:shd w:val="clear" w:color="auto" w:fill="FFFFFF"/>
          <w:lang w:val="en-US"/>
        </w:rPr>
        <w:t>h</w:t>
      </w:r>
      <w:r w:rsidR="00640150">
        <w:rPr>
          <w:rStyle w:val="normaltextrun"/>
          <w:rFonts w:cs="Calibri Light"/>
          <w:color w:val="000000"/>
          <w:szCs w:val="22"/>
          <w:shd w:val="clear" w:color="auto" w:fill="FFFFFF"/>
          <w:lang w:val="en-US"/>
        </w:rPr>
        <w:t xml:space="preserve">ow involved the </w:t>
      </w:r>
      <w:r w:rsidR="00930231">
        <w:rPr>
          <w:rStyle w:val="normaltextrun"/>
          <w:rFonts w:cs="Calibri Light"/>
          <w:color w:val="000000"/>
          <w:szCs w:val="22"/>
          <w:shd w:val="clear" w:color="auto" w:fill="FFFFFF"/>
          <w:lang w:val="en-US"/>
        </w:rPr>
        <w:t>b</w:t>
      </w:r>
      <w:r w:rsidR="00640150">
        <w:rPr>
          <w:rStyle w:val="normaltextrun"/>
          <w:rFonts w:cs="Calibri Light"/>
          <w:color w:val="000000"/>
          <w:szCs w:val="22"/>
          <w:shd w:val="clear" w:color="auto" w:fill="FFFFFF"/>
          <w:lang w:val="en-US"/>
        </w:rPr>
        <w:t>oard members/</w:t>
      </w:r>
      <w:r w:rsidR="00930231">
        <w:rPr>
          <w:rStyle w:val="normaltextrun"/>
          <w:rFonts w:cs="Calibri Light"/>
          <w:color w:val="000000"/>
          <w:szCs w:val="22"/>
          <w:shd w:val="clear" w:color="auto" w:fill="FFFFFF"/>
          <w:lang w:val="en-US"/>
        </w:rPr>
        <w:t>t</w:t>
      </w:r>
      <w:r w:rsidR="00640150">
        <w:rPr>
          <w:rStyle w:val="normaltextrun"/>
          <w:rFonts w:cs="Calibri Light"/>
          <w:color w:val="000000"/>
          <w:szCs w:val="22"/>
          <w:shd w:val="clear" w:color="auto" w:fill="FFFFFF"/>
          <w:lang w:val="en-US"/>
        </w:rPr>
        <w:t xml:space="preserve">rustees of the philanthropic partners </w:t>
      </w:r>
      <w:r w:rsidR="00930231">
        <w:rPr>
          <w:rStyle w:val="normaltextrun"/>
          <w:rFonts w:cs="Calibri Light"/>
          <w:color w:val="000000"/>
          <w:szCs w:val="22"/>
          <w:shd w:val="clear" w:color="auto" w:fill="FFFFFF"/>
          <w:lang w:val="en-US"/>
        </w:rPr>
        <w:t xml:space="preserve">will </w:t>
      </w:r>
      <w:r w:rsidR="00640150">
        <w:rPr>
          <w:rStyle w:val="normaltextrun"/>
          <w:rFonts w:cs="Calibri Light"/>
          <w:color w:val="000000"/>
          <w:szCs w:val="22"/>
          <w:shd w:val="clear" w:color="auto" w:fill="FFFFFF"/>
          <w:lang w:val="en-US"/>
        </w:rPr>
        <w:t xml:space="preserve">be </w:t>
      </w:r>
    </w:p>
    <w:p w14:paraId="15D3523E" w14:textId="77777777" w:rsidR="00B344CB" w:rsidRDefault="000C0019" w:rsidP="00B344CB">
      <w:pPr>
        <w:pStyle w:val="ListParagraph"/>
        <w:rPr>
          <w:rStyle w:val="normaltextrun"/>
          <w:rFonts w:cs="Calibri Light"/>
          <w:color w:val="000000"/>
          <w:szCs w:val="22"/>
          <w:shd w:val="clear" w:color="auto" w:fill="FFFFFF"/>
          <w:lang w:val="en-US"/>
        </w:rPr>
      </w:pPr>
      <w:r>
        <w:rPr>
          <w:rStyle w:val="normaltextrun"/>
          <w:rFonts w:cs="Calibri Light"/>
          <w:color w:val="000000"/>
          <w:szCs w:val="22"/>
          <w:shd w:val="clear" w:color="auto" w:fill="FFFFFF"/>
          <w:lang w:val="en-US"/>
        </w:rPr>
        <w:t>w</w:t>
      </w:r>
      <w:r w:rsidR="00640150">
        <w:rPr>
          <w:rStyle w:val="normaltextrun"/>
          <w:rFonts w:cs="Calibri Light"/>
          <w:color w:val="000000"/>
          <w:szCs w:val="22"/>
          <w:shd w:val="clear" w:color="auto" w:fill="FFFFFF"/>
          <w:lang w:val="en-US"/>
        </w:rPr>
        <w:t>hich other voices should be embedded into the partnership through a governance mechanism (</w:t>
      </w:r>
      <w:r w:rsidR="0057146A">
        <w:rPr>
          <w:rStyle w:val="normaltextrun"/>
          <w:rFonts w:cs="Calibri Light"/>
          <w:color w:val="000000"/>
          <w:szCs w:val="22"/>
          <w:shd w:val="clear" w:color="auto" w:fill="FFFFFF"/>
          <w:lang w:val="en-US"/>
        </w:rPr>
        <w:t xml:space="preserve">voices </w:t>
      </w:r>
      <w:r w:rsidR="00640150">
        <w:rPr>
          <w:rStyle w:val="normaltextrun"/>
          <w:rFonts w:cs="Calibri Light"/>
          <w:color w:val="000000"/>
          <w:szCs w:val="22"/>
          <w:shd w:val="clear" w:color="auto" w:fill="FFFFFF"/>
          <w:lang w:val="en-US"/>
        </w:rPr>
        <w:t>may include First Nations, community, academia, not-for-profit sector)</w:t>
      </w:r>
    </w:p>
    <w:p w14:paraId="4AA4DF31" w14:textId="6CD3B45C" w:rsidR="00D37BDA" w:rsidRPr="00B344CB" w:rsidRDefault="00B344CB" w:rsidP="00B344CB">
      <w:pPr>
        <w:pStyle w:val="ListParagraph"/>
        <w:rPr>
          <w:rStyle w:val="normaltextrun"/>
          <w:rFonts w:cs="Calibri Light"/>
          <w:color w:val="000000"/>
          <w:szCs w:val="22"/>
          <w:shd w:val="clear" w:color="auto" w:fill="FFFFFF"/>
          <w:lang w:val="en-US"/>
        </w:rPr>
      </w:pPr>
      <w:proofErr w:type="gramStart"/>
      <w:r>
        <w:rPr>
          <w:rStyle w:val="normaltextrun"/>
          <w:rFonts w:cs="Calibri Light"/>
          <w:color w:val="000000"/>
          <w:shd w:val="clear" w:color="auto" w:fill="FFFFFF"/>
          <w:lang w:val="en-US"/>
        </w:rPr>
        <w:t>h</w:t>
      </w:r>
      <w:r w:rsidRPr="00B344CB">
        <w:rPr>
          <w:rStyle w:val="normaltextrun"/>
          <w:rFonts w:cs="Calibri Light"/>
          <w:color w:val="000000"/>
          <w:shd w:val="clear" w:color="auto" w:fill="FFFFFF"/>
          <w:lang w:val="en-US"/>
        </w:rPr>
        <w:t>ow</w:t>
      </w:r>
      <w:proofErr w:type="gramEnd"/>
      <w:r w:rsidR="00640150" w:rsidRPr="00B344CB">
        <w:rPr>
          <w:rStyle w:val="normaltextrun"/>
          <w:rFonts w:cs="Calibri Light"/>
          <w:color w:val="000000"/>
          <w:shd w:val="clear" w:color="auto" w:fill="FFFFFF"/>
          <w:lang w:val="en-US"/>
        </w:rPr>
        <w:t xml:space="preserve"> governance structure</w:t>
      </w:r>
      <w:r w:rsidR="000C0019" w:rsidRPr="00B344CB">
        <w:rPr>
          <w:rStyle w:val="normaltextrun"/>
          <w:rFonts w:cs="Calibri Light"/>
          <w:color w:val="000000"/>
          <w:shd w:val="clear" w:color="auto" w:fill="FFFFFF"/>
          <w:lang w:val="en-US"/>
        </w:rPr>
        <w:t>s</w:t>
      </w:r>
      <w:r w:rsidR="00640150" w:rsidRPr="00B344CB">
        <w:rPr>
          <w:rStyle w:val="normaltextrun"/>
          <w:rFonts w:cs="Calibri Light"/>
          <w:color w:val="000000"/>
          <w:shd w:val="clear" w:color="auto" w:fill="FFFFFF"/>
          <w:lang w:val="en-US"/>
        </w:rPr>
        <w:t xml:space="preserve"> meet the shared decision-making requirements in the National Agreement on Closing the Gap</w:t>
      </w:r>
    </w:p>
    <w:p w14:paraId="18488CEA" w14:textId="37C52AB9" w:rsidR="00640150" w:rsidRPr="00BC727D" w:rsidRDefault="000C0019" w:rsidP="00906BE1">
      <w:pPr>
        <w:pStyle w:val="ListParagraph"/>
        <w:rPr>
          <w:rStyle w:val="normaltextrun"/>
          <w:rFonts w:cs="Calibri Light"/>
          <w:color w:val="000000"/>
          <w:shd w:val="clear" w:color="auto" w:fill="FFFFFF"/>
          <w:lang w:val="en-US"/>
        </w:rPr>
      </w:pPr>
      <w:r>
        <w:rPr>
          <w:rStyle w:val="normaltextrun"/>
          <w:rFonts w:cs="Calibri Light"/>
          <w:color w:val="000000"/>
          <w:shd w:val="clear" w:color="auto" w:fill="FFFFFF"/>
          <w:lang w:val="en-US"/>
        </w:rPr>
        <w:t>if</w:t>
      </w:r>
      <w:r w:rsidR="00640150" w:rsidRPr="670FD037">
        <w:rPr>
          <w:rStyle w:val="normaltextrun"/>
          <w:rFonts w:cs="Calibri Light"/>
          <w:color w:val="000000"/>
          <w:shd w:val="clear" w:color="auto" w:fill="FFFFFF"/>
          <w:lang w:val="en-US"/>
        </w:rPr>
        <w:t xml:space="preserve"> relevant Aboriginal and Torres Strait Islander' bodies </w:t>
      </w:r>
      <w:r w:rsidR="00D37BDA">
        <w:rPr>
          <w:rStyle w:val="normaltextrun"/>
          <w:rFonts w:cs="Calibri Light"/>
          <w:color w:val="000000"/>
          <w:shd w:val="clear" w:color="auto" w:fill="FFFFFF"/>
          <w:lang w:val="en-US"/>
        </w:rPr>
        <w:t xml:space="preserve">have </w:t>
      </w:r>
      <w:r w:rsidR="00640150" w:rsidRPr="670FD037">
        <w:rPr>
          <w:rStyle w:val="normaltextrun"/>
          <w:rFonts w:cs="Calibri Light"/>
          <w:color w:val="000000"/>
          <w:shd w:val="clear" w:color="auto" w:fill="FFFFFF"/>
          <w:lang w:val="en-US"/>
        </w:rPr>
        <w:t>been engaged</w:t>
      </w:r>
      <w:r>
        <w:rPr>
          <w:rStyle w:val="normaltextrun"/>
          <w:rFonts w:cs="Calibri Light"/>
          <w:color w:val="000000"/>
          <w:shd w:val="clear" w:color="auto" w:fill="FFFFFF"/>
          <w:lang w:val="en-US"/>
        </w:rPr>
        <w:t>.</w:t>
      </w:r>
    </w:p>
    <w:p w14:paraId="32529E03" w14:textId="77777777" w:rsidR="00640150" w:rsidRDefault="00640150" w:rsidP="00640150">
      <w:pPr>
        <w:rPr>
          <w:rStyle w:val="normaltextrun"/>
          <w:rFonts w:cs="Calibri Light"/>
          <w:color w:val="000000"/>
          <w:szCs w:val="22"/>
          <w:shd w:val="clear" w:color="auto" w:fill="FFFFFF"/>
          <w:lang w:val="en-US"/>
        </w:rPr>
      </w:pPr>
      <w:r>
        <w:rPr>
          <w:rStyle w:val="normaltextrun"/>
          <w:rFonts w:cs="Calibri Light"/>
          <w:color w:val="000000"/>
          <w:szCs w:val="22"/>
          <w:shd w:val="clear" w:color="auto" w:fill="FFFFFF"/>
          <w:lang w:val="en-US"/>
        </w:rPr>
        <w:t>Partners must also agree on a decision-making mechanism for the partnership</w:t>
      </w:r>
      <w:r w:rsidRPr="00A81038">
        <w:rPr>
          <w:rStyle w:val="normaltextrun"/>
          <w:rFonts w:cs="Calibri Light"/>
          <w:color w:val="000000"/>
          <w:szCs w:val="22"/>
          <w:shd w:val="clear" w:color="auto" w:fill="FFFFFF"/>
          <w:lang w:val="en-US"/>
        </w:rPr>
        <w:t xml:space="preserve">. </w:t>
      </w:r>
      <w:r>
        <w:rPr>
          <w:rStyle w:val="normaltextrun"/>
          <w:rFonts w:cs="Calibri Light"/>
          <w:color w:val="000000"/>
          <w:szCs w:val="22"/>
          <w:shd w:val="clear" w:color="auto" w:fill="FFFFFF"/>
        </w:rPr>
        <w:t>Government</w:t>
      </w:r>
      <w:r w:rsidRPr="00B91895">
        <w:rPr>
          <w:rStyle w:val="normaltextrun"/>
          <w:rFonts w:cs="Calibri Light"/>
          <w:color w:val="000000"/>
          <w:szCs w:val="22"/>
          <w:shd w:val="clear" w:color="auto" w:fill="FFFFFF"/>
        </w:rPr>
        <w:t xml:space="preserve"> and </w:t>
      </w:r>
      <w:r>
        <w:rPr>
          <w:rStyle w:val="normaltextrun"/>
          <w:rFonts w:cs="Calibri Light"/>
          <w:color w:val="000000"/>
          <w:szCs w:val="22"/>
          <w:shd w:val="clear" w:color="auto" w:fill="FFFFFF"/>
        </w:rPr>
        <w:t xml:space="preserve">philanthropy will likely enter the partnership with different perspectives, expectations and ways of working. However, decisions will need to be made by the partnership to progress the purpose of the collaboration. </w:t>
      </w:r>
      <w:r>
        <w:rPr>
          <w:rStyle w:val="normaltextrun"/>
          <w:rFonts w:cs="Calibri Light"/>
          <w:color w:val="000000"/>
          <w:szCs w:val="22"/>
          <w:shd w:val="clear" w:color="auto" w:fill="FFFFFF"/>
          <w:lang w:val="en-US"/>
        </w:rPr>
        <w:t>Government</w:t>
      </w:r>
      <w:r w:rsidRPr="00A81038">
        <w:rPr>
          <w:rStyle w:val="normaltextrun"/>
          <w:rFonts w:cs="Calibri Light"/>
          <w:color w:val="000000"/>
          <w:szCs w:val="22"/>
          <w:shd w:val="clear" w:color="auto" w:fill="FFFFFF"/>
          <w:lang w:val="en-US"/>
        </w:rPr>
        <w:t xml:space="preserve"> processes, especially the Budget</w:t>
      </w:r>
      <w:r>
        <w:rPr>
          <w:rStyle w:val="normaltextrun"/>
          <w:rFonts w:cs="Calibri Light"/>
          <w:color w:val="000000"/>
          <w:szCs w:val="22"/>
          <w:shd w:val="clear" w:color="auto" w:fill="FFFFFF"/>
          <w:lang w:val="en-US"/>
        </w:rPr>
        <w:t xml:space="preserve"> rules and frameworks, or philanthropic processes, may create limitations if they are not properly considered from the start. </w:t>
      </w:r>
    </w:p>
    <w:p w14:paraId="2684AAFD" w14:textId="77777777" w:rsidR="00640150" w:rsidRDefault="00640150" w:rsidP="00640150">
      <w:pPr>
        <w:rPr>
          <w:rStyle w:val="normaltextrun"/>
          <w:rFonts w:cs="Calibri Light"/>
          <w:color w:val="000000"/>
          <w:szCs w:val="22"/>
          <w:shd w:val="clear" w:color="auto" w:fill="FFFFFF"/>
          <w:lang w:val="en-US"/>
        </w:rPr>
      </w:pPr>
      <w:r>
        <w:rPr>
          <w:rStyle w:val="normaltextrun"/>
          <w:rFonts w:cs="Calibri Light"/>
          <w:color w:val="000000"/>
          <w:szCs w:val="22"/>
          <w:shd w:val="clear" w:color="auto" w:fill="FFFFFF"/>
          <w:lang w:val="en-US"/>
        </w:rPr>
        <w:t xml:space="preserve">A government partner should seek to understand the internal structure, governance limitations and decision-making processes of philanthropic partner(s). There is immense value in sharing information about the government’s decision-making and Budget processes with the philanthropic partner. </w:t>
      </w:r>
    </w:p>
    <w:p w14:paraId="4AA073D7" w14:textId="77777777" w:rsidR="00640150" w:rsidRDefault="00640150" w:rsidP="00640150">
      <w:pPr>
        <w:rPr>
          <w:rStyle w:val="normaltextrun"/>
          <w:rFonts w:cs="Calibri Light"/>
          <w:color w:val="000000"/>
          <w:szCs w:val="22"/>
          <w:shd w:val="clear" w:color="auto" w:fill="FFFFFF"/>
          <w:lang w:val="en-US"/>
        </w:rPr>
      </w:pPr>
      <w:r>
        <w:rPr>
          <w:rStyle w:val="normaltextrun"/>
          <w:rFonts w:cs="Calibri Light"/>
          <w:color w:val="000000"/>
          <w:szCs w:val="22"/>
          <w:shd w:val="clear" w:color="auto" w:fill="FFFFFF"/>
          <w:lang w:val="en-US"/>
        </w:rPr>
        <w:t xml:space="preserve">Partners should also consider whether the partnership would benefit from appointing a neutral convening body to act as an intermediary between parties. Partners should consider how to </w:t>
      </w:r>
      <w:proofErr w:type="gramStart"/>
      <w:r>
        <w:rPr>
          <w:rStyle w:val="normaltextrun"/>
          <w:rFonts w:cs="Calibri Light"/>
          <w:color w:val="000000"/>
          <w:szCs w:val="22"/>
          <w:shd w:val="clear" w:color="auto" w:fill="FFFFFF"/>
          <w:lang w:val="en-US"/>
        </w:rPr>
        <w:t>manage</w:t>
      </w:r>
      <w:proofErr w:type="gramEnd"/>
      <w:r>
        <w:rPr>
          <w:rStyle w:val="normaltextrun"/>
          <w:rFonts w:cs="Calibri Light"/>
          <w:color w:val="000000"/>
          <w:szCs w:val="22"/>
          <w:shd w:val="clear" w:color="auto" w:fill="FFFFFF"/>
          <w:lang w:val="en-US"/>
        </w:rPr>
        <w:t xml:space="preserve"> requests to join the partnership, and whether the partnership is open to additional partners or </w:t>
      </w:r>
      <w:proofErr w:type="gramStart"/>
      <w:r>
        <w:rPr>
          <w:rStyle w:val="normaltextrun"/>
          <w:rFonts w:cs="Calibri Light"/>
          <w:color w:val="000000"/>
          <w:szCs w:val="22"/>
          <w:shd w:val="clear" w:color="auto" w:fill="FFFFFF"/>
          <w:lang w:val="en-US"/>
        </w:rPr>
        <w:t>closed</w:t>
      </w:r>
      <w:proofErr w:type="gramEnd"/>
      <w:r>
        <w:rPr>
          <w:rStyle w:val="normaltextrun"/>
          <w:rFonts w:cs="Calibri Light"/>
          <w:color w:val="000000"/>
          <w:szCs w:val="22"/>
          <w:shd w:val="clear" w:color="auto" w:fill="FFFFFF"/>
          <w:lang w:val="en-US"/>
        </w:rPr>
        <w:t xml:space="preserve"> to the existing parties. Partners may also wish to consider a dispute resolution process, for if disputes were to occur. </w:t>
      </w:r>
    </w:p>
    <w:p w14:paraId="0888E756" w14:textId="77777777" w:rsidR="00640150" w:rsidRDefault="00640150" w:rsidP="00640150">
      <w:pPr>
        <w:pStyle w:val="Heading3"/>
      </w:pPr>
      <w:bookmarkStart w:id="37" w:name="_Toc183353891"/>
      <w:bookmarkStart w:id="38" w:name="_Toc225929574"/>
      <w:r>
        <w:t>Communicating the limits</w:t>
      </w:r>
      <w:bookmarkEnd w:id="37"/>
      <w:bookmarkEnd w:id="38"/>
      <w:r>
        <w:t xml:space="preserve"> </w:t>
      </w:r>
    </w:p>
    <w:p w14:paraId="4FE6F7D8" w14:textId="433317E2" w:rsidR="000C3D8B" w:rsidRDefault="00640150" w:rsidP="00E87521">
      <w:r w:rsidRPr="25666478">
        <w:t xml:space="preserve">When operating in an environment of trust, APS officials must also recognise the frameworks and limitations placed on the Australian Government. The relevant frameworks that could impact the partnership should be communicated clearly to philanthropic partners to avoid frustration or misunderstanding. Relevant considerations may include: </w:t>
      </w:r>
    </w:p>
    <w:p w14:paraId="5CCEF7E3" w14:textId="3DD2926C" w:rsidR="00640150" w:rsidRDefault="00071DB7" w:rsidP="00906BE1">
      <w:pPr>
        <w:pStyle w:val="ListParagraph"/>
      </w:pPr>
      <w:r>
        <w:lastRenderedPageBreak/>
        <w:t>b</w:t>
      </w:r>
      <w:r w:rsidR="00640150" w:rsidRPr="25666478">
        <w:t>udget and Mid-Year Economic and Fiscal Outlook (MYEFO) timeframes</w:t>
      </w:r>
    </w:p>
    <w:p w14:paraId="0B08AF43" w14:textId="31B495B7" w:rsidR="00640150" w:rsidRDefault="00071DB7" w:rsidP="00906BE1">
      <w:pPr>
        <w:pStyle w:val="ListParagraph"/>
      </w:pPr>
      <w:r>
        <w:t>w</w:t>
      </w:r>
      <w:r w:rsidR="00640150" w:rsidRPr="25666478">
        <w:t>here authority needs to be sought to bring forward a Cabinet submission</w:t>
      </w:r>
    </w:p>
    <w:p w14:paraId="6738511D" w14:textId="739B6C7B" w:rsidR="00640150" w:rsidRDefault="00071DB7" w:rsidP="00906BE1">
      <w:pPr>
        <w:pStyle w:val="ListParagraph"/>
      </w:pPr>
      <w:r>
        <w:t>t</w:t>
      </w:r>
      <w:r w:rsidR="00640150">
        <w:t>he Federal Financial Relations system</w:t>
      </w:r>
    </w:p>
    <w:p w14:paraId="768CB314" w14:textId="2E0A1372" w:rsidR="00640150" w:rsidRDefault="00071DB7" w:rsidP="00906BE1">
      <w:pPr>
        <w:pStyle w:val="ListParagraph"/>
      </w:pPr>
      <w:r>
        <w:t xml:space="preserve">the </w:t>
      </w:r>
      <w:r w:rsidR="00640150">
        <w:t>Commonwealth Grants Rules and Guidelines</w:t>
      </w:r>
    </w:p>
    <w:p w14:paraId="0EBEF58A" w14:textId="353934AA" w:rsidR="00640150" w:rsidRPr="00F13A0D" w:rsidRDefault="00071DB7" w:rsidP="00906BE1">
      <w:pPr>
        <w:pStyle w:val="ListParagraph"/>
      </w:pPr>
      <w:r>
        <w:t>t</w:t>
      </w:r>
      <w:r w:rsidR="00640150" w:rsidRPr="00F13A0D">
        <w:t>he Public Governance, Performance and Accountability Framework</w:t>
      </w:r>
    </w:p>
    <w:p w14:paraId="4EDE5891" w14:textId="788D6750" w:rsidR="00640150" w:rsidRDefault="00071DB7" w:rsidP="00906BE1">
      <w:pPr>
        <w:pStyle w:val="ListParagraph"/>
      </w:pPr>
      <w:r>
        <w:t>t</w:t>
      </w:r>
      <w:r w:rsidR="00640150">
        <w:t xml:space="preserve">he Australian Constitution </w:t>
      </w:r>
    </w:p>
    <w:p w14:paraId="42F89DAC" w14:textId="0CDE150F" w:rsidR="00640150" w:rsidRDefault="00071DB7" w:rsidP="00906BE1">
      <w:pPr>
        <w:pStyle w:val="ListParagraph"/>
      </w:pPr>
      <w:r>
        <w:t>a</w:t>
      </w:r>
      <w:r w:rsidR="00640150">
        <w:t>dvice from the Australian Government Solicitor</w:t>
      </w:r>
    </w:p>
    <w:p w14:paraId="56C5B802" w14:textId="624A1E31" w:rsidR="00640150" w:rsidRDefault="00071DB7" w:rsidP="00906BE1">
      <w:pPr>
        <w:pStyle w:val="ListParagraph"/>
      </w:pPr>
      <w:r>
        <w:t>p</w:t>
      </w:r>
      <w:r w:rsidR="00640150">
        <w:t xml:space="preserve">robity and integrity. </w:t>
      </w:r>
    </w:p>
    <w:p w14:paraId="7A310D79" w14:textId="77777777" w:rsidR="00640150" w:rsidRDefault="00640150" w:rsidP="00640150">
      <w:pPr>
        <w:spacing w:after="240"/>
        <w:rPr>
          <w:rFonts w:asciiTheme="majorHAnsi" w:eastAsiaTheme="majorEastAsia" w:hAnsiTheme="majorHAnsi" w:cstheme="majorBidi"/>
          <w:b/>
          <w:bCs/>
          <w:color w:val="2A4055"/>
          <w:sz w:val="28"/>
        </w:rPr>
      </w:pPr>
      <w:r>
        <w:br w:type="page"/>
      </w:r>
    </w:p>
    <w:p w14:paraId="46DED89D" w14:textId="5DB02781" w:rsidR="00640150" w:rsidRDefault="00640150" w:rsidP="00640150">
      <w:pPr>
        <w:pStyle w:val="Heading2"/>
      </w:pPr>
      <w:bookmarkStart w:id="39" w:name="_Toc183353892"/>
      <w:bookmarkStart w:id="40" w:name="_Toc225929575"/>
      <w:r>
        <w:lastRenderedPageBreak/>
        <w:t>Principle 3. Reflect integrity</w:t>
      </w:r>
      <w:bookmarkEnd w:id="39"/>
      <w:bookmarkEnd w:id="40"/>
    </w:p>
    <w:p w14:paraId="6E28CA09" w14:textId="3A22B171" w:rsidR="00640150" w:rsidRPr="001B173C" w:rsidRDefault="00640150" w:rsidP="00B344CB">
      <w:pPr>
        <w:pStyle w:val="Quote"/>
        <w:jc w:val="left"/>
      </w:pPr>
      <w:r>
        <w:t xml:space="preserve">Integrity is… “the pursuit of high standards of professionalism, which in turn means doing the right thing at the right time to deliver the best outcomes for Australia sought by the government of the day.” </w:t>
      </w:r>
      <w:r w:rsidRPr="00DF2319">
        <w:rPr>
          <w:b/>
          <w:bCs/>
          <w:sz w:val="20"/>
          <w:szCs w:val="18"/>
        </w:rPr>
        <w:t>Stephen Sedgwick AO</w:t>
      </w:r>
      <w:r w:rsidR="00893CFC">
        <w:rPr>
          <w:b/>
          <w:bCs/>
          <w:sz w:val="20"/>
          <w:szCs w:val="18"/>
        </w:rPr>
        <w:t xml:space="preserve"> (202</w:t>
      </w:r>
      <w:r w:rsidR="004C6558">
        <w:rPr>
          <w:b/>
          <w:bCs/>
          <w:sz w:val="20"/>
          <w:szCs w:val="18"/>
        </w:rPr>
        <w:t>0)</w:t>
      </w:r>
    </w:p>
    <w:p w14:paraId="2DDBB4A8" w14:textId="4EDD5085" w:rsidR="00640150" w:rsidRDefault="00640150" w:rsidP="00640150">
      <w:r w:rsidRPr="25666478">
        <w:t>Integrity in the APS is a multi-layered concept that is shaped by frameworks and policies, assurance mechanisms, its employees and broader organisational culture. All APS employees and their agencies must have a genuine commitment to upholding and championing integrity. This is driven by the APS Values, Employment Principles and Code of Conduct which set the expectation that APS employees are accountable for their decisions and act consistently in the public interest</w:t>
      </w:r>
      <w:r w:rsidR="0056599B">
        <w:t xml:space="preserve"> (A</w:t>
      </w:r>
      <w:r w:rsidR="001930AB">
        <w:t xml:space="preserve">ustralian </w:t>
      </w:r>
      <w:r w:rsidR="0056599B">
        <w:t>P</w:t>
      </w:r>
      <w:r w:rsidR="001930AB">
        <w:t xml:space="preserve">ublic </w:t>
      </w:r>
      <w:r w:rsidR="0056599B">
        <w:t>S</w:t>
      </w:r>
      <w:r w:rsidR="001930AB">
        <w:t xml:space="preserve">ervice </w:t>
      </w:r>
      <w:r w:rsidR="0056599B">
        <w:t>C</w:t>
      </w:r>
      <w:r w:rsidR="001930AB">
        <w:t>ommission</w:t>
      </w:r>
      <w:r w:rsidR="0056599B">
        <w:t xml:space="preserve"> 2024)</w:t>
      </w:r>
      <w:r w:rsidRPr="25666478">
        <w:t xml:space="preserve">. </w:t>
      </w:r>
    </w:p>
    <w:p w14:paraId="60AE4E65" w14:textId="4DE9C63E" w:rsidR="00640150" w:rsidRDefault="00640150" w:rsidP="25666478">
      <w:pPr>
        <w:keepNext/>
        <w:keepLines/>
        <w:autoSpaceDE w:val="0"/>
        <w:autoSpaceDN w:val="0"/>
        <w:adjustRightInd w:val="0"/>
        <w:rPr>
          <w:rFonts w:cs="Calibri Light"/>
          <w:color w:val="000000"/>
          <w:shd w:val="clear" w:color="auto" w:fill="FFFFFF"/>
        </w:rPr>
      </w:pPr>
      <w:r w:rsidRPr="25666478">
        <w:rPr>
          <w:rFonts w:cs="Calibri Light"/>
          <w:color w:val="000000"/>
          <w:shd w:val="clear" w:color="auto" w:fill="FFFFFF"/>
        </w:rPr>
        <w:t xml:space="preserve">It is important to communicate these features of the government’s operating environment to philanthropic partners, where relevant. More information can be found in the </w:t>
      </w:r>
      <w:r w:rsidRPr="25666478">
        <w:rPr>
          <w:rFonts w:cs="Calibri Light"/>
          <w:i/>
          <w:iCs/>
          <w:color w:val="000000"/>
          <w:shd w:val="clear" w:color="auto" w:fill="FFFFFF"/>
        </w:rPr>
        <w:t>Public Service Act 1999</w:t>
      </w:r>
      <w:r w:rsidRPr="25666478">
        <w:rPr>
          <w:rFonts w:cs="Calibri Light"/>
          <w:color w:val="000000"/>
          <w:shd w:val="clear" w:color="auto" w:fill="FFFFFF"/>
        </w:rPr>
        <w:t>.</w:t>
      </w:r>
    </w:p>
    <w:p w14:paraId="1A026FD4" w14:textId="77777777" w:rsidR="00640150" w:rsidRDefault="00640150" w:rsidP="00640150">
      <w:r w:rsidRPr="25666478">
        <w:t xml:space="preserve">In the partnership context, APS officials should consider how to apply these policies and frameworks. This includes consideration of whether philanthropic partners and external stakeholders (who may be advising the partners about decisions) need to declare their private interests, or the interests of their organisation, through a conflict-of-interest declaration. APS officials are already required to declare these interests as part of their employment. </w:t>
      </w:r>
    </w:p>
    <w:p w14:paraId="6A88EA82" w14:textId="77777777" w:rsidR="00640150" w:rsidRDefault="00640150" w:rsidP="00640150">
      <w:r w:rsidRPr="007F2584">
        <w:t>When partnering with philanthropy, APS officials must ensure that the partnership satisfies the integrity standards required of working for the government. Embedding integrity into a partnership’s culture ensures integrity is a core consideration in all it does—from the conduct of its individual partners to its activities.</w:t>
      </w:r>
    </w:p>
    <w:p w14:paraId="21997CE8" w14:textId="77777777" w:rsidR="00640150" w:rsidRDefault="00640150" w:rsidP="00640150">
      <w:r>
        <w:t xml:space="preserve">It is important that all stakeholders and partners are clear about probity and integrity requirements, as well as the limits of the partnership. </w:t>
      </w:r>
    </w:p>
    <w:p w14:paraId="1859978A" w14:textId="77777777" w:rsidR="00640150" w:rsidRDefault="00640150" w:rsidP="00640150">
      <w:pPr>
        <w:spacing w:after="240"/>
        <w:rPr>
          <w:rFonts w:asciiTheme="majorHAnsi" w:eastAsiaTheme="majorEastAsia" w:hAnsiTheme="majorHAnsi" w:cstheme="majorBidi"/>
          <w:b/>
          <w:bCs/>
          <w:color w:val="2A4055"/>
          <w:sz w:val="28"/>
        </w:rPr>
      </w:pPr>
      <w:r>
        <w:br w:type="page"/>
      </w:r>
    </w:p>
    <w:p w14:paraId="40175902" w14:textId="6A6771C5" w:rsidR="00640150" w:rsidRPr="0090719E" w:rsidRDefault="00640150" w:rsidP="00640150">
      <w:pPr>
        <w:pStyle w:val="Heading2"/>
      </w:pPr>
      <w:bookmarkStart w:id="41" w:name="_Toc183353893"/>
      <w:bookmarkStart w:id="42" w:name="_Toc225929576"/>
      <w:r>
        <w:lastRenderedPageBreak/>
        <w:t xml:space="preserve">Principle 4. </w:t>
      </w:r>
      <w:r w:rsidR="00CF0471">
        <w:t>Be i</w:t>
      </w:r>
      <w:r>
        <w:t>nformed by lived experience</w:t>
      </w:r>
      <w:bookmarkEnd w:id="41"/>
      <w:bookmarkEnd w:id="42"/>
      <w:r>
        <w:t xml:space="preserve"> </w:t>
      </w:r>
    </w:p>
    <w:p w14:paraId="5ABE6D54" w14:textId="77777777" w:rsidR="00640150" w:rsidRDefault="00640150" w:rsidP="00640150">
      <w:pPr>
        <w:autoSpaceDE w:val="0"/>
        <w:autoSpaceDN w:val="0"/>
        <w:adjustRightInd w:val="0"/>
      </w:pPr>
      <w:r w:rsidRPr="25666478">
        <w:t>A partnership that incorporates the perspectives of those it is intended to support has considerable potential to achieve real outcomes. Like all good policy development, approaches initiated through a partnership should be shaped by the views of the people the approach will impact. In many cases it is also important to consider power structures and how this may impact the ability for frank feedback from individuals, communities and funded entities.</w:t>
      </w:r>
    </w:p>
    <w:p w14:paraId="567513EB" w14:textId="77777777" w:rsidR="00640150" w:rsidRDefault="00640150" w:rsidP="00640150">
      <w:pPr>
        <w:autoSpaceDE w:val="0"/>
        <w:autoSpaceDN w:val="0"/>
        <w:adjustRightInd w:val="0"/>
      </w:pPr>
      <w:r w:rsidRPr="25666478">
        <w:t xml:space="preserve">Both the government and philanthropic organisations hold power, resources, and influence in society. There is a risk that any partnership between government and philanthropy will be, or will be perceived as, a concentration of power in decision makers that is detached from real life perspectives and Australian communities. If that perception is realised, the partnership will not deliver the best outcomes for Australians. Consequently, it is important for partners to embed the perspectives of individuals with relevant lived experience into the partnership’s regular activities such as governance processes. This may include collective community experiences and expectations. </w:t>
      </w:r>
    </w:p>
    <w:p w14:paraId="648A077E" w14:textId="60F3FA5C" w:rsidR="00640150" w:rsidRDefault="00640150" w:rsidP="00640150">
      <w:pPr>
        <w:autoSpaceDE w:val="0"/>
        <w:autoSpaceDN w:val="0"/>
        <w:adjustRightInd w:val="0"/>
      </w:pPr>
      <w:r w:rsidRPr="25666478">
        <w:t xml:space="preserve">The purpose of a partnership between government and philanthropy will inform who is captured by the terms </w:t>
      </w:r>
      <w:r w:rsidR="00D02BF7" w:rsidRPr="25666478">
        <w:t>“</w:t>
      </w:r>
      <w:r w:rsidRPr="25666478">
        <w:t>lived experience</w:t>
      </w:r>
      <w:r w:rsidR="00201427" w:rsidRPr="25666478">
        <w:t>”</w:t>
      </w:r>
      <w:r w:rsidRPr="25666478">
        <w:t xml:space="preserve"> and </w:t>
      </w:r>
      <w:r w:rsidR="0080612B">
        <w:t>“</w:t>
      </w:r>
      <w:r w:rsidRPr="25666478">
        <w:t>people with lived experience</w:t>
      </w:r>
      <w:r w:rsidR="00201427" w:rsidRPr="25666478">
        <w:t>”</w:t>
      </w:r>
      <w:r w:rsidRPr="25666478">
        <w:t xml:space="preserve">. This should be determined from the establishment of the partnership. Lived experience may be less relevant in an arts context, however, is crucial to embed lived experience in partnerships focusing on social service provision. For example, a partnership with the purpose of improving the lives of young parents should seek to embed the views of people who have been young parents into the governance, decisions and activities of the partnership. Other examples of people and </w:t>
      </w:r>
      <w:r w:rsidR="003E5809">
        <w:t>groups</w:t>
      </w:r>
      <w:r w:rsidR="003E5809" w:rsidRPr="25666478">
        <w:t xml:space="preserve"> </w:t>
      </w:r>
      <w:r w:rsidRPr="25666478">
        <w:t>with lived experience that may be relevant to a partnership between philanthropy and government may include:</w:t>
      </w:r>
    </w:p>
    <w:p w14:paraId="1E4E66E9" w14:textId="77777777" w:rsidR="00640150" w:rsidRDefault="00640150" w:rsidP="00906BE1">
      <w:pPr>
        <w:pStyle w:val="ListParagraph"/>
      </w:pPr>
      <w:r w:rsidRPr="00393FD5">
        <w:t>Aboriginal and Torres Strait Islander peoples</w:t>
      </w:r>
    </w:p>
    <w:p w14:paraId="40CEAEF8" w14:textId="2BEA06E4" w:rsidR="00640150" w:rsidRDefault="000C0019" w:rsidP="00906BE1">
      <w:pPr>
        <w:pStyle w:val="ListParagraph"/>
      </w:pPr>
      <w:r>
        <w:t>p</w:t>
      </w:r>
      <w:r w:rsidR="00640150" w:rsidRPr="00393FD5">
        <w:t>eople from culturally and linguistically diverse backgrounds</w:t>
      </w:r>
    </w:p>
    <w:p w14:paraId="541B2E05" w14:textId="29A0E92A" w:rsidR="00640150" w:rsidRDefault="000C0019" w:rsidP="00906BE1">
      <w:pPr>
        <w:pStyle w:val="ListParagraph"/>
      </w:pPr>
      <w:r>
        <w:t>p</w:t>
      </w:r>
      <w:r w:rsidR="00640150" w:rsidRPr="00393FD5">
        <w:t>eople with disability</w:t>
      </w:r>
    </w:p>
    <w:p w14:paraId="31C14C0F" w14:textId="15DCEC70" w:rsidR="00640150" w:rsidRDefault="000C0019" w:rsidP="00906BE1">
      <w:pPr>
        <w:pStyle w:val="ListParagraph"/>
      </w:pPr>
      <w:r>
        <w:t>p</w:t>
      </w:r>
      <w:r w:rsidR="00640150" w:rsidRPr="00393FD5">
        <w:t>eople living in regional or remote communities</w:t>
      </w:r>
    </w:p>
    <w:p w14:paraId="5F8FB7E9" w14:textId="2D4CFBA8" w:rsidR="00640150" w:rsidRDefault="000C0019" w:rsidP="00906BE1">
      <w:pPr>
        <w:pStyle w:val="ListParagraph"/>
      </w:pPr>
      <w:r>
        <w:t>w</w:t>
      </w:r>
      <w:r w:rsidR="00640150" w:rsidRPr="00393FD5">
        <w:t>omen and gender diverse people</w:t>
      </w:r>
    </w:p>
    <w:p w14:paraId="278F4508" w14:textId="462FD9E0" w:rsidR="00640150" w:rsidRDefault="000C0019" w:rsidP="00906BE1">
      <w:pPr>
        <w:pStyle w:val="ListParagraph"/>
      </w:pPr>
      <w:r>
        <w:t>y</w:t>
      </w:r>
      <w:r w:rsidR="00640150" w:rsidRPr="00393FD5">
        <w:t>oung people</w:t>
      </w:r>
    </w:p>
    <w:p w14:paraId="3E580026" w14:textId="36F034C1" w:rsidR="00640150" w:rsidRDefault="000C0019" w:rsidP="00906BE1">
      <w:pPr>
        <w:pStyle w:val="ListParagraph"/>
      </w:pPr>
      <w:r>
        <w:t>p</w:t>
      </w:r>
      <w:r w:rsidR="00640150" w:rsidRPr="00393FD5">
        <w:t>eople who identify as part of the LGBTQIA+ community</w:t>
      </w:r>
      <w:r w:rsidR="00D5718C">
        <w:t>.</w:t>
      </w:r>
    </w:p>
    <w:p w14:paraId="510A8D24" w14:textId="77777777" w:rsidR="00640150" w:rsidRDefault="00640150" w:rsidP="00640150">
      <w:pPr>
        <w:autoSpaceDE w:val="0"/>
        <w:autoSpaceDN w:val="0"/>
        <w:adjustRightInd w:val="0"/>
      </w:pPr>
      <w:r>
        <w:t>It is fundamental that APS officials and philanthropic partners consider the best mechanisms to engage people with lived experience and embed their perspectives into governance and decision-making structures of the partnership</w:t>
      </w:r>
      <w:r w:rsidRPr="00F45E98">
        <w:rPr>
          <w:rFonts w:cs="Calibri Light"/>
        </w:rPr>
        <w:t xml:space="preserve">. This will require </w:t>
      </w:r>
      <w:r w:rsidRPr="00203437">
        <w:rPr>
          <w:rFonts w:cs="Calibri Light"/>
          <w:color w:val="1A1A1A"/>
          <w:spacing w:val="5"/>
        </w:rPr>
        <w:t>foregrounding the voices, ideas, and perspectives of people with lived experience and involving people with lived experience in decision-making.</w:t>
      </w:r>
      <w:r>
        <w:t xml:space="preserve"> To genuinely embrace and value lived experience, partners should:</w:t>
      </w:r>
    </w:p>
    <w:p w14:paraId="1CD58807" w14:textId="26A61B69" w:rsidR="00640150" w:rsidRDefault="004B4D40" w:rsidP="00906BE1">
      <w:pPr>
        <w:pStyle w:val="ListParagraph"/>
      </w:pPr>
      <w:r>
        <w:t>c</w:t>
      </w:r>
      <w:r w:rsidR="00640150">
        <w:t>onsult a wide range of people with relevant lived experience</w:t>
      </w:r>
    </w:p>
    <w:p w14:paraId="46D0483D" w14:textId="4D97BC90" w:rsidR="00640150" w:rsidRDefault="004B4D40" w:rsidP="00906BE1">
      <w:pPr>
        <w:pStyle w:val="ListParagraph"/>
      </w:pPr>
      <w:r>
        <w:t>t</w:t>
      </w:r>
      <w:r w:rsidR="00640150" w:rsidRPr="25666478">
        <w:t>rust the expertise and lived experience of those being asked to provide their perspective</w:t>
      </w:r>
    </w:p>
    <w:p w14:paraId="3F7021E1" w14:textId="46BDB406" w:rsidR="00640150" w:rsidRDefault="004B4D40" w:rsidP="00906BE1">
      <w:pPr>
        <w:pStyle w:val="ListParagraph"/>
      </w:pPr>
      <w:r>
        <w:t>r</w:t>
      </w:r>
      <w:r w:rsidR="00640150">
        <w:t>espectfully apply the information and insights provided by people with lived experience</w:t>
      </w:r>
    </w:p>
    <w:p w14:paraId="4BD086C9" w14:textId="5ED2C071" w:rsidR="00640150" w:rsidRDefault="004B4D40" w:rsidP="00906BE1">
      <w:pPr>
        <w:pStyle w:val="ListParagraph"/>
      </w:pPr>
      <w:r>
        <w:t>e</w:t>
      </w:r>
      <w:r w:rsidR="00640150" w:rsidRPr="25666478">
        <w:t xml:space="preserve">nable ongoing capacity building of all participants </w:t>
      </w:r>
    </w:p>
    <w:p w14:paraId="19CFA2E4" w14:textId="3083EF7A" w:rsidR="00640150" w:rsidRDefault="004B4D40" w:rsidP="00906BE1">
      <w:pPr>
        <w:pStyle w:val="ListParagraph"/>
      </w:pPr>
      <w:r>
        <w:lastRenderedPageBreak/>
        <w:t>d</w:t>
      </w:r>
      <w:r w:rsidR="00640150">
        <w:t>evelop a safe space for dialogue and respectful inclusion of people with lived experience</w:t>
      </w:r>
    </w:p>
    <w:p w14:paraId="4DA8BE73" w14:textId="64277B30" w:rsidR="00640150" w:rsidRDefault="004B4D40" w:rsidP="00906BE1">
      <w:pPr>
        <w:pStyle w:val="ListParagraph"/>
      </w:pPr>
      <w:r>
        <w:t>c</w:t>
      </w:r>
      <w:r w:rsidR="00640150" w:rsidRPr="25666478">
        <w:t>hallenge the status quo regarding mindsets, values, culture, and current work practices</w:t>
      </w:r>
    </w:p>
    <w:p w14:paraId="5D9F0F67" w14:textId="78CA47B8" w:rsidR="00640150" w:rsidRDefault="004B4D40" w:rsidP="00906BE1">
      <w:pPr>
        <w:pStyle w:val="ListParagraph"/>
      </w:pPr>
      <w:r>
        <w:t>c</w:t>
      </w:r>
      <w:r w:rsidR="00640150">
        <w:t xml:space="preserve">reate or adopt existing practical tools for change and provide support and training to partners as they implement change </w:t>
      </w:r>
    </w:p>
    <w:p w14:paraId="3A1EC327" w14:textId="2605B6A8" w:rsidR="00640150" w:rsidRDefault="004B4D40" w:rsidP="00906BE1">
      <w:pPr>
        <w:pStyle w:val="ListParagraph"/>
      </w:pPr>
      <w:r>
        <w:t>c</w:t>
      </w:r>
      <w:r w:rsidR="00640150" w:rsidRPr="25666478">
        <w:t>onsider acknowledging the contributions of people with lived experience through remuneration</w:t>
      </w:r>
    </w:p>
    <w:p w14:paraId="6DAD4B8B" w14:textId="7DE52A72" w:rsidR="00640150" w:rsidRDefault="004B4D40" w:rsidP="00497F38">
      <w:pPr>
        <w:pStyle w:val="ListParagraph"/>
      </w:pPr>
      <w:r>
        <w:t>d</w:t>
      </w:r>
      <w:r w:rsidR="00640150">
        <w:t>raw on other frameworks for lived experience</w:t>
      </w:r>
    </w:p>
    <w:p w14:paraId="2C37F488" w14:textId="3E9EE277" w:rsidR="00640150" w:rsidRDefault="004B4D40" w:rsidP="00906BE1">
      <w:pPr>
        <w:pStyle w:val="ListParagraph"/>
      </w:pPr>
      <w:r>
        <w:t>c</w:t>
      </w:r>
      <w:r w:rsidR="00640150" w:rsidRPr="25666478">
        <w:t>ommit to ongoing collaboration through co-leadership, co-design, co-creation, co-production, evaluation and shared accountability</w:t>
      </w:r>
    </w:p>
    <w:p w14:paraId="79ACC192" w14:textId="06E6622C" w:rsidR="00640150" w:rsidRDefault="004B4D40" w:rsidP="00906BE1">
      <w:pPr>
        <w:pStyle w:val="ListParagraph"/>
      </w:pPr>
      <w:r>
        <w:t>s</w:t>
      </w:r>
      <w:r w:rsidR="00640150">
        <w:t xml:space="preserve">hare how the contributions of people with lived experience contributed to the outcomes of the partnership. </w:t>
      </w:r>
    </w:p>
    <w:p w14:paraId="738AF8C5" w14:textId="77777777" w:rsidR="00640150" w:rsidRDefault="00640150" w:rsidP="00640150">
      <w:r w:rsidRPr="25666478">
        <w:t>Both government and philanthropic partners should also separately consider how to elevate voices of lived experience to decision makers within their own organisations. This will reflect a truly new way of working and help to breakdown rigid decision-making processes that lack the insight gained from voices of lived experience. This will also require partners to invest the time and effort to listen to people with lived experience and be willing to change in response to feedback. For government, this may look like giving community members the opportunity to speak at an interdepartmental committee or share their experiences with senior APS officials or government Ministers. Partners should empower community members to co-design and partner to realise joint outcomes.</w:t>
      </w:r>
    </w:p>
    <w:p w14:paraId="35768BC9" w14:textId="074CD38B" w:rsidR="00640150" w:rsidRDefault="00640150" w:rsidP="00640150">
      <w:r w:rsidRPr="25666478">
        <w:t>Government partners should also be aware that people with lived experience are rarely funded to provide input into government processes. Whil</w:t>
      </w:r>
      <w:r w:rsidR="008028DD">
        <w:t>e</w:t>
      </w:r>
      <w:r w:rsidRPr="25666478">
        <w:t xml:space="preserve"> all parties will likely recognise the importance of sharing and learning from these experiences, there should also be recognition that this engagement requires resourcing and compensation. In the partnership context, resourcing and compensation will be a shared responsibility. </w:t>
      </w:r>
    </w:p>
    <w:p w14:paraId="1FDD7F5B" w14:textId="3FE65144" w:rsidR="00640150" w:rsidRDefault="00640150" w:rsidP="00640150">
      <w:r w:rsidRPr="25666478">
        <w:t xml:space="preserve">Similarly, if people with lived experience have already shared their story with one partner, it may be draining and possibly re-traumatising if they are consistently asked the same questions by other partners or other government agencies. Partners should recognise a person’s preferences on sharing their story, as it will vary between individuals. Partners should also ask for an individual’s preferences on how they would like to lead, engage, partner and collaborate with the partnership, and partners need to respect these preferences. Partners will need to consider how to maintain the language used by those with lived experience and avoid adding a bureaucratic layer to any advice, including through cross-agency communication. Partners must also recognise that there are </w:t>
      </w:r>
      <w:r w:rsidR="003977AE" w:rsidRPr="25666478">
        <w:t xml:space="preserve">specific </w:t>
      </w:r>
      <w:r w:rsidRPr="25666478">
        <w:t>requirements for partnerships that impact Aboriginal and Torres Strait Island</w:t>
      </w:r>
      <w:r w:rsidR="00394AAD">
        <w:t>er</w:t>
      </w:r>
      <w:r w:rsidRPr="25666478">
        <w:t xml:space="preserve"> peoples, as per the </w:t>
      </w:r>
      <w:hyperlink r:id="rId31">
        <w:r w:rsidRPr="25666478">
          <w:rPr>
            <w:rStyle w:val="Hyperlink"/>
          </w:rPr>
          <w:t>National Agreement on Closing the Gap</w:t>
        </w:r>
      </w:hyperlink>
      <w:r w:rsidRPr="25666478">
        <w:t xml:space="preserve">, as outlined below. </w:t>
      </w:r>
    </w:p>
    <w:p w14:paraId="0F6B77AA" w14:textId="77777777" w:rsidR="00640150" w:rsidRDefault="00640150" w:rsidP="00640150">
      <w:pPr>
        <w:spacing w:after="240"/>
        <w:rPr>
          <w:rFonts w:asciiTheme="majorHAnsi" w:eastAsiaTheme="majorEastAsia" w:hAnsiTheme="majorHAnsi" w:cstheme="majorBidi"/>
          <w:b/>
          <w:bCs/>
          <w:color w:val="2A4055"/>
          <w:sz w:val="28"/>
        </w:rPr>
      </w:pPr>
      <w:r>
        <w:br w:type="page"/>
      </w:r>
    </w:p>
    <w:p w14:paraId="351C9E1C" w14:textId="77777777" w:rsidR="00D5718C" w:rsidRDefault="00640150" w:rsidP="00640150">
      <w:pPr>
        <w:pStyle w:val="Heading3"/>
      </w:pPr>
      <w:bookmarkStart w:id="43" w:name="_Toc225929577"/>
      <w:bookmarkStart w:id="44" w:name="_Toc183353894"/>
      <w:r w:rsidRPr="00DF2319">
        <w:lastRenderedPageBreak/>
        <w:t>Case study</w:t>
      </w:r>
      <w:bookmarkEnd w:id="43"/>
    </w:p>
    <w:p w14:paraId="28DA71AD" w14:textId="2EF3AA21" w:rsidR="00640150" w:rsidRPr="00DF2319" w:rsidRDefault="00640150" w:rsidP="00D5718C">
      <w:pPr>
        <w:pStyle w:val="Heading4"/>
      </w:pPr>
      <w:r w:rsidRPr="00DF2319">
        <w:t>The Investment Dialogue for Australia’s Children –</w:t>
      </w:r>
      <w:r w:rsidR="00D5718C">
        <w:t xml:space="preserve"> </w:t>
      </w:r>
      <w:r w:rsidRPr="00DF2319">
        <w:t>Community and First Nations Leadership Councils</w:t>
      </w:r>
      <w:bookmarkEnd w:id="44"/>
      <w:r w:rsidRPr="00DF2319">
        <w:rPr>
          <w:i/>
        </w:rPr>
        <w:t xml:space="preserve"> </w:t>
      </w:r>
    </w:p>
    <w:p w14:paraId="5F47C72C" w14:textId="61074880" w:rsidR="00640150" w:rsidRDefault="00640150" w:rsidP="00B3602C">
      <w:pPr>
        <w:pStyle w:val="Focus-blue"/>
      </w:pPr>
      <w:r>
        <w:t xml:space="preserve">At the inaugural National </w:t>
      </w:r>
      <w:r w:rsidR="0078011D">
        <w:t xml:space="preserve">IDAC </w:t>
      </w:r>
      <w:r>
        <w:t xml:space="preserve">Roundtable, government and philanthropic </w:t>
      </w:r>
      <w:r w:rsidR="00F1639F">
        <w:t>IDAC</w:t>
      </w:r>
      <w:r>
        <w:t xml:space="preserve"> partners made a ten-year commitment to work together with communities to improve outcomes for children, young people, and their families. As part of this commitment, partners agreed to prioritise the establishment of Community and First Nations Leadership Councils (the Councils) to elevate community and First Nations voices and guide the I</w:t>
      </w:r>
      <w:r w:rsidR="0078011D">
        <w:t>DAC</w:t>
      </w:r>
      <w:r>
        <w:t xml:space="preserve"> process.</w:t>
      </w:r>
    </w:p>
    <w:p w14:paraId="5FB0CE35" w14:textId="43F6B81F" w:rsidR="00640150" w:rsidRDefault="00640150" w:rsidP="00B3602C">
      <w:pPr>
        <w:pStyle w:val="Focus-blue"/>
      </w:pPr>
      <w:r w:rsidRPr="25666478">
        <w:t xml:space="preserve">The role of the Councils is to embed the lived experience of communities and First Nations people in all facets of </w:t>
      </w:r>
      <w:r w:rsidR="000D270C">
        <w:t>IDAC</w:t>
      </w:r>
      <w:r w:rsidRPr="25666478">
        <w:t>. The inaugural chairs of the Councils were appointed in early 2024. Membership of the Councils was then determined by an open Expression of Interest process in early 2024. The Councils have each agreed a Terms of Reference to guide their work</w:t>
      </w:r>
      <w:r w:rsidR="00595B2E">
        <w:t xml:space="preserve"> (IDAC 2024</w:t>
      </w:r>
      <w:r w:rsidR="002024AB">
        <w:t xml:space="preserve"> and 2024</w:t>
      </w:r>
      <w:r w:rsidR="00A34D8A">
        <w:t>A</w:t>
      </w:r>
      <w:r w:rsidR="00595B2E">
        <w:t>)</w:t>
      </w:r>
      <w:r w:rsidRPr="25666478">
        <w:t>.</w:t>
      </w:r>
    </w:p>
    <w:p w14:paraId="1CE39E53" w14:textId="60F856FD" w:rsidR="00640150" w:rsidRDefault="00640150" w:rsidP="00B3602C">
      <w:pPr>
        <w:pStyle w:val="Focus-blue"/>
      </w:pPr>
      <w:r>
        <w:t xml:space="preserve">The Councils themselves are not decision-making bodies but play a key role in providing insights and knowledge to shape the actions of </w:t>
      </w:r>
      <w:r w:rsidR="000D270C">
        <w:t>IDAC</w:t>
      </w:r>
      <w:r>
        <w:t xml:space="preserve">. They provide strategic advice and leadership, working collaboratively with the other governance structures of </w:t>
      </w:r>
      <w:r w:rsidR="00CA7F16">
        <w:t>IDAC</w:t>
      </w:r>
      <w:r>
        <w:t>.</w:t>
      </w:r>
    </w:p>
    <w:p w14:paraId="633D8C2C" w14:textId="77777777" w:rsidR="00640150" w:rsidRDefault="00640150" w:rsidP="00B3602C">
      <w:pPr>
        <w:pStyle w:val="Focus-blue"/>
      </w:pPr>
      <w:r w:rsidRPr="25666478">
        <w:t>The role of the Councils is also expected to evolve over time, to adapt to new information and priorities as identified by Council members.</w:t>
      </w:r>
    </w:p>
    <w:p w14:paraId="4B3772C3" w14:textId="17972109" w:rsidR="00640150" w:rsidRDefault="00640150" w:rsidP="00640150">
      <w:pPr>
        <w:pStyle w:val="Heading3"/>
      </w:pPr>
      <w:bookmarkStart w:id="45" w:name="_Toc183353895"/>
      <w:bookmarkStart w:id="46" w:name="_Toc225929578"/>
      <w:r>
        <w:t xml:space="preserve">Place-based </w:t>
      </w:r>
      <w:bookmarkEnd w:id="45"/>
      <w:r w:rsidR="0059600B">
        <w:t>responses</w:t>
      </w:r>
      <w:bookmarkEnd w:id="46"/>
    </w:p>
    <w:p w14:paraId="293A8991" w14:textId="2A970063" w:rsidR="00640150" w:rsidRDefault="00640150" w:rsidP="00640150">
      <w:r>
        <w:t xml:space="preserve">One way to embed lived experience in the activities of the partnership is through adopting place-based </w:t>
      </w:r>
      <w:r w:rsidR="0059600B">
        <w:t>responses</w:t>
      </w:r>
      <w:r w:rsidRPr="00343F81">
        <w:t xml:space="preserve">. </w:t>
      </w:r>
      <w:r w:rsidRPr="00DF2319">
        <w:t xml:space="preserve">Place-based </w:t>
      </w:r>
      <w:r w:rsidR="008D0317">
        <w:t xml:space="preserve">responses </w:t>
      </w:r>
      <w:r w:rsidRPr="00DF2319">
        <w:t>target the specific circumstances of a place and engage local people from different sectors as active participants in development and implementation. They can happen without government, but, when government is involved, they require government to share decision-making with community to work collaboratively towards shared outcomes</w:t>
      </w:r>
      <w:r w:rsidR="006259FB">
        <w:t xml:space="preserve"> (Victorian Government 2020)</w:t>
      </w:r>
      <w:r w:rsidRPr="00DF2319">
        <w:t>.</w:t>
      </w:r>
      <w:r w:rsidRPr="00423ED4">
        <w:rPr>
          <w:rStyle w:val="cf01"/>
          <w:rFonts w:cs="Calibri Light"/>
          <w:szCs w:val="22"/>
        </w:rPr>
        <w:t xml:space="preserve"> </w:t>
      </w:r>
      <w:r w:rsidR="00631107" w:rsidRPr="7370C107">
        <w:t>Working in place is a collaborative</w:t>
      </w:r>
      <w:r w:rsidR="00631107">
        <w:t xml:space="preserve"> and</w:t>
      </w:r>
      <w:r w:rsidR="00631107" w:rsidRPr="7370C107">
        <w:t xml:space="preserve"> flexible response to local needs, challenges and priorities, in which </w:t>
      </w:r>
      <w:r w:rsidR="00631107">
        <w:t>local communities are at the centre of driving solutions in partnership with and with support from government and other stakeholders.</w:t>
      </w:r>
      <w:r w:rsidR="00A435B3">
        <w:t xml:space="preserve"> </w:t>
      </w:r>
      <w:r w:rsidR="00F56962" w:rsidRPr="00F8590F">
        <w:t>There is no single way of working in place. Place initiatives need tailored methods and strategies to meet the unique needs of the stakeholders and the situation.</w:t>
      </w:r>
    </w:p>
    <w:p w14:paraId="65EE0CAF" w14:textId="77777777" w:rsidR="00640150" w:rsidRPr="00FC11ED" w:rsidRDefault="00640150" w:rsidP="00640150">
      <w:pPr>
        <w:pStyle w:val="Heading3"/>
        <w:rPr>
          <w:rFonts w:cs="Calibri Light"/>
          <w:szCs w:val="22"/>
        </w:rPr>
      </w:pPr>
      <w:bookmarkStart w:id="47" w:name="_Toc183353896"/>
      <w:bookmarkStart w:id="48" w:name="_Toc225929579"/>
      <w:r>
        <w:t>First Nations perspectives</w:t>
      </w:r>
      <w:bookmarkEnd w:id="47"/>
      <w:bookmarkEnd w:id="48"/>
    </w:p>
    <w:p w14:paraId="78697DDF" w14:textId="5DA86436" w:rsidR="00640150" w:rsidRDefault="00640150" w:rsidP="00640150">
      <w:r>
        <w:t xml:space="preserve">When partnering with philanthropic organisations, APS officials must consider how to genuinely engage Aboriginal and Torres Strait Islander peoples, embed voices of lived experience, adhere to the commitments under the </w:t>
      </w:r>
      <w:hyperlink r:id="rId32" w:history="1">
        <w:r w:rsidRPr="005A411F">
          <w:rPr>
            <w:rStyle w:val="Hyperlink"/>
          </w:rPr>
          <w:t>National Agreement on Closing the Gap</w:t>
        </w:r>
      </w:hyperlink>
      <w:r>
        <w:t xml:space="preserve"> (the Agreement) and support sustainable economic empowerment and social development. This should include consideration of involving First Nations-led philanthropic organisations in partnerships with the Commonwealth. </w:t>
      </w:r>
    </w:p>
    <w:p w14:paraId="020ECE39" w14:textId="0D42E00D" w:rsidR="00640150" w:rsidRDefault="00640150" w:rsidP="25666478">
      <w:r w:rsidRPr="25666478">
        <w:t>As Parties to the Agreement, all Australian Governments have acknowledged the strength of Aboriginal and Torres Strait Islander people in sustaining the world’s oldest living culture, despite too many experiencing entrenched disadvantage, political exclusion, intergenerational trauma and ongoing institutional racism</w:t>
      </w:r>
      <w:r w:rsidR="00A871B6">
        <w:t xml:space="preserve"> </w:t>
      </w:r>
      <w:r w:rsidR="006D4E13">
        <w:t>(</w:t>
      </w:r>
      <w:r w:rsidR="00312349">
        <w:t xml:space="preserve">National Agreement on </w:t>
      </w:r>
      <w:r w:rsidR="006D4E13">
        <w:t>Closing the Gap 2020)</w:t>
      </w:r>
      <w:r w:rsidR="00A871B6">
        <w:t>.</w:t>
      </w:r>
    </w:p>
    <w:p w14:paraId="0D0A1E14" w14:textId="77777777" w:rsidR="00640150" w:rsidRDefault="00640150" w:rsidP="00640150">
      <w:r>
        <w:lastRenderedPageBreak/>
        <w:t xml:space="preserve">For meaningful progress to be made towards Closing the Gap, governments have agreed they must share power, recognising that the right of Aboriginal and Torres Strait Islander people to have control over decisions that affect their lives is central to self-determination. This right is set out in the United Nations Declaration on the Rights of Indigenous Peoples (UNDRIP), of which Australia is a signatory. </w:t>
      </w:r>
    </w:p>
    <w:p w14:paraId="58308FAD" w14:textId="7F90489D" w:rsidR="00640150" w:rsidRDefault="00640150" w:rsidP="25666478">
      <w:r w:rsidRPr="25666478">
        <w:t>Although philanthropic organisations are not subject to the Agreement, the commitments within the Agreement are relevant to philanthropy. Changing the approaches of philanthropic donors and enhancing access to philanthropy for Aboriginal and Torres Strait Islander organisations seeking such resources, involves significant and ongoing effort within the philanthropic sector. Structural shifts in the practices of some philanthropic donors working with Aboriginal and Torres Strait Islander people may be necessary. Following these principles would enable the philanthropic sector to keep pace with government funders, and to provide better access to philanthropy for Aboriginal and Torres Strait Islander communities</w:t>
      </w:r>
      <w:r w:rsidR="002538A5">
        <w:t xml:space="preserve"> (PC 2024)</w:t>
      </w:r>
      <w:r w:rsidRPr="25666478">
        <w:t>.</w:t>
      </w:r>
    </w:p>
    <w:p w14:paraId="5A04C956" w14:textId="72343FAD" w:rsidR="00640150" w:rsidRDefault="00640150" w:rsidP="00640150">
      <w:pPr>
        <w:keepNext/>
        <w:keepLines/>
      </w:pPr>
      <w:r w:rsidRPr="25666478">
        <w:t xml:space="preserve">The Australian Public Service Commission </w:t>
      </w:r>
      <w:r w:rsidR="00CB1AA1">
        <w:t xml:space="preserve">has </w:t>
      </w:r>
      <w:r w:rsidRPr="25666478">
        <w:t>develop</w:t>
      </w:r>
      <w:r w:rsidR="00CB1AA1">
        <w:t>ed</w:t>
      </w:r>
      <w:r w:rsidRPr="25666478">
        <w:t xml:space="preserve"> a </w:t>
      </w:r>
      <w:hyperlink r:id="rId33" w:history="1">
        <w:r w:rsidR="00CB1AA1" w:rsidRPr="00BA30ED">
          <w:rPr>
            <w:rStyle w:val="Hyperlink"/>
            <w:i/>
            <w:iCs/>
          </w:rPr>
          <w:t xml:space="preserve">First Nations </w:t>
        </w:r>
        <w:r w:rsidRPr="00BA30ED">
          <w:rPr>
            <w:rStyle w:val="Hyperlink"/>
            <w:i/>
            <w:iCs/>
          </w:rPr>
          <w:t>Partnership</w:t>
        </w:r>
        <w:r w:rsidR="00CB1AA1" w:rsidRPr="00BA30ED">
          <w:rPr>
            <w:rStyle w:val="Hyperlink"/>
            <w:i/>
            <w:iCs/>
          </w:rPr>
          <w:t xml:space="preserve"> </w:t>
        </w:r>
        <w:r w:rsidRPr="00BA30ED">
          <w:rPr>
            <w:rStyle w:val="Hyperlink"/>
            <w:i/>
            <w:iCs/>
          </w:rPr>
          <w:t>Playbook</w:t>
        </w:r>
      </w:hyperlink>
      <w:r w:rsidR="00F640E8">
        <w:t xml:space="preserve"> (20</w:t>
      </w:r>
      <w:r w:rsidR="00CB6A6F">
        <w:t>25)</w:t>
      </w:r>
      <w:r w:rsidRPr="25666478">
        <w:t xml:space="preserve"> </w:t>
      </w:r>
      <w:r w:rsidR="001E317E">
        <w:t>to</w:t>
      </w:r>
      <w:r w:rsidRPr="25666478">
        <w:t xml:space="preserve"> better enable the APS to work in genuine partnership with First Nations People. These documents should also be used alongside the </w:t>
      </w:r>
      <w:hyperlink r:id="rId34" w:history="1">
        <w:r w:rsidRPr="00BA30ED">
          <w:rPr>
            <w:rStyle w:val="Hyperlink"/>
            <w:i/>
            <w:iCs/>
          </w:rPr>
          <w:t>Charter of Partnerships and Engagement</w:t>
        </w:r>
      </w:hyperlink>
      <w:r w:rsidRPr="25666478">
        <w:t xml:space="preserve"> (the Charter)</w:t>
      </w:r>
      <w:r w:rsidR="00312349">
        <w:t xml:space="preserve"> (2023)</w:t>
      </w:r>
      <w:r w:rsidR="00017C10" w:rsidRPr="25666478">
        <w:t xml:space="preserve">, </w:t>
      </w:r>
      <w:r w:rsidRPr="25666478">
        <w:t xml:space="preserve">when entering into partnerships with First Nations organisations and engaging First Nations People in existing partnerships between the Government and philanthropy. </w:t>
      </w:r>
    </w:p>
    <w:p w14:paraId="04ACCF92" w14:textId="77777777" w:rsidR="00640150" w:rsidRDefault="00640150" w:rsidP="00640150">
      <w:pPr>
        <w:spacing w:after="240"/>
        <w:rPr>
          <w:rFonts w:asciiTheme="majorHAnsi" w:eastAsiaTheme="majorEastAsia" w:hAnsiTheme="majorHAnsi" w:cstheme="majorBidi"/>
          <w:b/>
          <w:bCs/>
          <w:color w:val="2A4055"/>
          <w:sz w:val="40"/>
          <w:szCs w:val="26"/>
        </w:rPr>
      </w:pPr>
      <w:r>
        <w:br w:type="page"/>
      </w:r>
    </w:p>
    <w:p w14:paraId="74A3DA05" w14:textId="597BCA0E" w:rsidR="00640150" w:rsidRPr="0090719E" w:rsidRDefault="00640150" w:rsidP="00640150">
      <w:pPr>
        <w:pStyle w:val="Heading2"/>
      </w:pPr>
      <w:bookmarkStart w:id="49" w:name="_Toc183353897"/>
      <w:bookmarkStart w:id="50" w:name="_Toc225929580"/>
      <w:r>
        <w:lastRenderedPageBreak/>
        <w:t xml:space="preserve">Principle 5. Seek improvement through </w:t>
      </w:r>
      <w:r w:rsidR="001F67FC">
        <w:t xml:space="preserve">feedback and </w:t>
      </w:r>
      <w:r>
        <w:t>evaluation</w:t>
      </w:r>
      <w:bookmarkEnd w:id="49"/>
      <w:bookmarkEnd w:id="50"/>
      <w:r>
        <w:t xml:space="preserve"> </w:t>
      </w:r>
    </w:p>
    <w:p w14:paraId="4CEFE4AE" w14:textId="47802EB9" w:rsidR="00640150" w:rsidRPr="001B173C" w:rsidRDefault="00640150" w:rsidP="00A44451">
      <w:pPr>
        <w:pStyle w:val="Quote"/>
        <w:jc w:val="left"/>
      </w:pPr>
      <w:r w:rsidRPr="25666478">
        <w:t xml:space="preserve">Evaluation is the systematic and objective assessment of the design, implementation or results of a government program or activity for the purposes of continuous improvement, accountability and decision-making… It provides a structured and disciplined analysis of the value of policies, programs and activities at all stages of the policy cycle. </w:t>
      </w:r>
      <w:r w:rsidRPr="25666478">
        <w:rPr>
          <w:b/>
          <w:bCs/>
          <w:sz w:val="20"/>
          <w:szCs w:val="20"/>
        </w:rPr>
        <w:t>Australian Centre for Evaluation</w:t>
      </w:r>
    </w:p>
    <w:p w14:paraId="2A24D296" w14:textId="080E658E" w:rsidR="00640150" w:rsidRDefault="00640150" w:rsidP="00640150">
      <w:r w:rsidRPr="25666478">
        <w:t>Given that partnerships between Government and philanthropy are a relatively new way of working, it is important that all partners learn from the collaborative experience. It is important to recognise the need to monitor and evaluate both the partnership itself and the outcomes achieved by the partnership. This distinction will help uncover lessons that can contribute to continual improvement. When evaluating the partnership, partners may engage in regular health checks to provide feedback on the relationship, the shared values and the goals of the partnership.</w:t>
      </w:r>
    </w:p>
    <w:p w14:paraId="61AF8321" w14:textId="77777777" w:rsidR="00640150" w:rsidRDefault="00640150" w:rsidP="00640150">
      <w:r w:rsidRPr="25666478">
        <w:t xml:space="preserve">Philanthropic organisations already consider learning and evaluation in their work, as do government agencies. Given their experience and unique insight, it is important to value philanthropic contributions, practices and expertise when working in partnership. </w:t>
      </w:r>
    </w:p>
    <w:p w14:paraId="2546837F" w14:textId="77777777" w:rsidR="00640150" w:rsidRDefault="00640150" w:rsidP="00640150">
      <w:pPr>
        <w:pStyle w:val="Heading3"/>
      </w:pPr>
      <w:bookmarkStart w:id="51" w:name="_Toc183353898"/>
      <w:bookmarkStart w:id="52" w:name="_Toc225929581"/>
      <w:r>
        <w:t>Evaluating a partnership and the partnership outcomes</w:t>
      </w:r>
      <w:bookmarkEnd w:id="51"/>
      <w:bookmarkEnd w:id="52"/>
    </w:p>
    <w:p w14:paraId="412701A8" w14:textId="77777777" w:rsidR="00640150" w:rsidRPr="008E534E" w:rsidRDefault="00640150" w:rsidP="00A44451">
      <w:r w:rsidRPr="008E534E">
        <w:t xml:space="preserve">For partnerships, ask: </w:t>
      </w:r>
    </w:p>
    <w:p w14:paraId="10776226" w14:textId="46138F13" w:rsidR="00640150" w:rsidRPr="00DF2319" w:rsidRDefault="008E110D" w:rsidP="007B4ED7">
      <w:pPr>
        <w:pStyle w:val="ListParagraph"/>
      </w:pPr>
      <w:r>
        <w:t>a</w:t>
      </w:r>
      <w:r w:rsidR="00640150" w:rsidRPr="00DF2319">
        <w:t>re the governance arrangements working?</w:t>
      </w:r>
    </w:p>
    <w:p w14:paraId="4EFD16A8" w14:textId="6B9EB70A" w:rsidR="00640150" w:rsidRPr="00DF2319" w:rsidRDefault="008E110D" w:rsidP="007B4ED7">
      <w:pPr>
        <w:pStyle w:val="ListParagraph"/>
      </w:pPr>
      <w:r>
        <w:t>a</w:t>
      </w:r>
      <w:r w:rsidR="00640150" w:rsidRPr="00DF2319">
        <w:t>re all partners contributing to the partnership?</w:t>
      </w:r>
    </w:p>
    <w:p w14:paraId="5E5B167A" w14:textId="46FBEF6D" w:rsidR="00640150" w:rsidRPr="00DF2319" w:rsidRDefault="008E110D" w:rsidP="007B4ED7">
      <w:pPr>
        <w:pStyle w:val="ListParagraph"/>
      </w:pPr>
      <w:r>
        <w:t>a</w:t>
      </w:r>
      <w:r w:rsidR="00640150" w:rsidRPr="00DF2319">
        <w:t>re the decision-making processes working?</w:t>
      </w:r>
    </w:p>
    <w:p w14:paraId="677A324A" w14:textId="26F91668" w:rsidR="00640150" w:rsidRPr="00DF2319" w:rsidRDefault="008E110D" w:rsidP="007B4ED7">
      <w:pPr>
        <w:pStyle w:val="ListParagraph"/>
      </w:pPr>
      <w:r>
        <w:t>w</w:t>
      </w:r>
      <w:r w:rsidR="00640150" w:rsidRPr="00DF2319">
        <w:t>hat can be learned?</w:t>
      </w:r>
    </w:p>
    <w:p w14:paraId="55E83745" w14:textId="1475CD70" w:rsidR="00640150" w:rsidRPr="00DF2319" w:rsidRDefault="008E110D" w:rsidP="007B4ED7">
      <w:pPr>
        <w:pStyle w:val="ListParagraph"/>
      </w:pPr>
      <w:r>
        <w:t>w</w:t>
      </w:r>
      <w:r w:rsidR="00640150" w:rsidRPr="00DF2319">
        <w:t>hat are the enablers and barriers to collaboration?</w:t>
      </w:r>
    </w:p>
    <w:p w14:paraId="489D2B9B" w14:textId="539D402F" w:rsidR="00640150" w:rsidRPr="00DF2319" w:rsidRDefault="008E110D" w:rsidP="007B4ED7">
      <w:pPr>
        <w:pStyle w:val="ListParagraph"/>
      </w:pPr>
      <w:r>
        <w:t>h</w:t>
      </w:r>
      <w:r w:rsidR="00640150" w:rsidRPr="00DF2319">
        <w:t>ow have voices of lived experiences influenced the work of the partnership?</w:t>
      </w:r>
    </w:p>
    <w:p w14:paraId="509EB578" w14:textId="6596E40E" w:rsidR="00640150" w:rsidRPr="00DF2319" w:rsidRDefault="008E110D" w:rsidP="007B4ED7">
      <w:pPr>
        <w:pStyle w:val="ListParagraph"/>
      </w:pPr>
      <w:r>
        <w:t>w</w:t>
      </w:r>
      <w:r w:rsidR="00640150" w:rsidRPr="25666478">
        <w:t>hat action is required?</w:t>
      </w:r>
    </w:p>
    <w:p w14:paraId="73A4A677" w14:textId="77777777" w:rsidR="00640150" w:rsidRPr="008E534E" w:rsidRDefault="00640150" w:rsidP="00A44451">
      <w:r w:rsidRPr="008E534E">
        <w:t xml:space="preserve">For outcomes, ask: </w:t>
      </w:r>
    </w:p>
    <w:p w14:paraId="0E931653" w14:textId="4C730F28" w:rsidR="00640150" w:rsidRPr="00DF2319" w:rsidRDefault="008E110D" w:rsidP="00906BE1">
      <w:pPr>
        <w:pStyle w:val="ListParagraph"/>
      </w:pPr>
      <w:r>
        <w:t>w</w:t>
      </w:r>
      <w:r w:rsidR="00640150" w:rsidRPr="00DF2319">
        <w:t>hat has the impact of the partnership been?</w:t>
      </w:r>
    </w:p>
    <w:p w14:paraId="3BCC21A1" w14:textId="67983FBB" w:rsidR="00640150" w:rsidRPr="00DF2319" w:rsidRDefault="008E110D" w:rsidP="00906BE1">
      <w:pPr>
        <w:pStyle w:val="ListParagraph"/>
      </w:pPr>
      <w:r>
        <w:t>w</w:t>
      </w:r>
      <w:r w:rsidR="00640150" w:rsidRPr="00DF2319">
        <w:t>hat evidence is available?</w:t>
      </w:r>
    </w:p>
    <w:p w14:paraId="2132EF2A" w14:textId="4CE14149" w:rsidR="00640150" w:rsidRPr="00DF2319" w:rsidRDefault="008E110D" w:rsidP="00906BE1">
      <w:pPr>
        <w:pStyle w:val="ListParagraph"/>
      </w:pPr>
      <w:r>
        <w:t>a</w:t>
      </w:r>
      <w:r w:rsidR="00640150" w:rsidRPr="00DF2319">
        <w:t>re the programs and activities leading to the intended outcomes?</w:t>
      </w:r>
    </w:p>
    <w:p w14:paraId="3A0DD149" w14:textId="22D64EA2" w:rsidR="00640150" w:rsidRPr="00DF2319" w:rsidRDefault="008E110D" w:rsidP="00906BE1">
      <w:pPr>
        <w:pStyle w:val="ListParagraph"/>
      </w:pPr>
      <w:r>
        <w:t>a</w:t>
      </w:r>
      <w:r w:rsidR="00640150" w:rsidRPr="25666478">
        <w:t>re the program or activity operating as planned?</w:t>
      </w:r>
    </w:p>
    <w:p w14:paraId="3F22ABBF" w14:textId="38F07304" w:rsidR="00640150" w:rsidRPr="00DF2319" w:rsidRDefault="008E110D" w:rsidP="00906BE1">
      <w:pPr>
        <w:pStyle w:val="ListParagraph"/>
      </w:pPr>
      <w:r>
        <w:t>w</w:t>
      </w:r>
      <w:r w:rsidR="00640150" w:rsidRPr="00DF2319">
        <w:t>hat can be learned?</w:t>
      </w:r>
    </w:p>
    <w:p w14:paraId="30238A24" w14:textId="1BE00BDC" w:rsidR="00640150" w:rsidRPr="00DF2319" w:rsidRDefault="008E110D" w:rsidP="00906BE1">
      <w:pPr>
        <w:pStyle w:val="ListParagraph"/>
      </w:pPr>
      <w:r>
        <w:t>w</w:t>
      </w:r>
      <w:r w:rsidR="00640150" w:rsidRPr="25666478">
        <w:t>hat action is required?</w:t>
      </w:r>
    </w:p>
    <w:p w14:paraId="5E77530E" w14:textId="1C891F43" w:rsidR="00640150" w:rsidRPr="00DF2319" w:rsidRDefault="008E110D" w:rsidP="00906BE1">
      <w:pPr>
        <w:pStyle w:val="ListParagraph"/>
      </w:pPr>
      <w:r>
        <w:t>w</w:t>
      </w:r>
      <w:r w:rsidR="00640150" w:rsidRPr="00DF2319">
        <w:t>hat evidence is available?</w:t>
      </w:r>
    </w:p>
    <w:p w14:paraId="2F1D4C20" w14:textId="77777777" w:rsidR="00AF5C31" w:rsidRDefault="00AF5C31" w:rsidP="00640150"/>
    <w:p w14:paraId="598F9E9D" w14:textId="06A2D04A" w:rsidR="00640150" w:rsidRDefault="00640150" w:rsidP="00640150">
      <w:r w:rsidRPr="25666478">
        <w:lastRenderedPageBreak/>
        <w:t>Regular evaluation of collaborative partnerships will enable partners to embed what they have learnt from past experiences into future practices. This would enhance the effectiveness of government and philanthropic collaborations, so that once established, they have more prospect of providing better outcomes for the community while also furthering the partnership’s objectives</w:t>
      </w:r>
      <w:r w:rsidR="007B0A2D">
        <w:t xml:space="preserve"> (PC 2024)</w:t>
      </w:r>
      <w:r w:rsidRPr="25666478">
        <w:t xml:space="preserve">. </w:t>
      </w:r>
    </w:p>
    <w:p w14:paraId="35E0E906" w14:textId="77777777" w:rsidR="00640150" w:rsidRDefault="00640150" w:rsidP="00640150">
      <w:pPr>
        <w:pStyle w:val="Heading3"/>
      </w:pPr>
      <w:bookmarkStart w:id="53" w:name="_Toc183353899"/>
      <w:bookmarkStart w:id="54" w:name="_Toc225929582"/>
      <w:r>
        <w:t>Indigenous Evaluation Strategy</w:t>
      </w:r>
      <w:bookmarkEnd w:id="53"/>
      <w:bookmarkEnd w:id="54"/>
    </w:p>
    <w:p w14:paraId="1058525D" w14:textId="4B900443" w:rsidR="00640150" w:rsidRPr="001B173C" w:rsidRDefault="00640150" w:rsidP="00A44451">
      <w:pPr>
        <w:pStyle w:val="Quote"/>
        <w:jc w:val="left"/>
      </w:pPr>
      <w:r w:rsidRPr="25666478">
        <w:t xml:space="preserve">The Strategy sets out a new approach to evaluating policies and programs affecting Aboriginal and Torres Strait Islander people aimed at improving the quality and usefulness of evaluation. It puts Aboriginal and Torres Strait Islander people at its centre, and emphasises the importance of drawing on the perspectives, priorities and knowledges of Aboriginal and Torres Strait Islander people when deciding what to evaluate and how to conduct an evaluation. </w:t>
      </w:r>
      <w:r w:rsidRPr="25666478">
        <w:rPr>
          <w:b/>
          <w:bCs/>
          <w:sz w:val="20"/>
          <w:szCs w:val="20"/>
        </w:rPr>
        <w:t>Productivity Commission</w:t>
      </w:r>
      <w:r w:rsidR="00911C06">
        <w:rPr>
          <w:b/>
          <w:bCs/>
          <w:sz w:val="20"/>
          <w:szCs w:val="20"/>
        </w:rPr>
        <w:t xml:space="preserve"> (2020)</w:t>
      </w:r>
    </w:p>
    <w:p w14:paraId="275C82B1" w14:textId="7E11B557" w:rsidR="00640150" w:rsidRDefault="00640150" w:rsidP="00640150">
      <w:r w:rsidRPr="25666478">
        <w:t xml:space="preserve">The Productivity Commission’s </w:t>
      </w:r>
      <w:r w:rsidRPr="25666478">
        <w:rPr>
          <w:i/>
          <w:iCs/>
        </w:rPr>
        <w:t>Indigenous Evaluation Strategy</w:t>
      </w:r>
      <w:r w:rsidRPr="25666478">
        <w:t xml:space="preserve"> provides principles-based guidance for Commonwealth agencies when selecting, planning, conducting, and using evaluations of policies and programs affecting Aboriginal and Torres Strait Islander people. It also outlines the governance arrangements needed to strengthen accountability and support the centring of Aboriginal and Torres Strait Islander people, perspectives, priorities and knowledges</w:t>
      </w:r>
      <w:r w:rsidR="004A5F86">
        <w:t xml:space="preserve"> (PC 2020)</w:t>
      </w:r>
      <w:r w:rsidRPr="25666478">
        <w:t xml:space="preserve">. </w:t>
      </w:r>
    </w:p>
    <w:p w14:paraId="7A0AB498" w14:textId="77777777" w:rsidR="00B214C7" w:rsidRDefault="00640150" w:rsidP="00640150">
      <w:r>
        <w:t xml:space="preserve">When evaluating partnerships (including partnerships between Government and philanthropy where the partnership aims to improve outcomes for First Nations people and communities), the evaluation planning, design, conduct, reporting and use should all be informed by First Nations people’s perspectives, priorities, and knowledge. </w:t>
      </w:r>
    </w:p>
    <w:p w14:paraId="230E9007" w14:textId="4B6197D5" w:rsidR="00640150" w:rsidRDefault="00640150" w:rsidP="00640150">
      <w:r>
        <w:t xml:space="preserve">Evaluation in this context includes shaping key evaluation questions and methodologies to assess outcomes and make evaluative judgment by centring First Nations people’s perspectives, priorities, and knowledge. </w:t>
      </w:r>
      <w:r w:rsidR="00003524">
        <w:t>E</w:t>
      </w:r>
      <w:r>
        <w:t>xamples of monitoring questions that could inform a basis for engaging with First Nations people to further refine and design key evaluation questions to assess the process, implementation, and outcomes of partnerships</w:t>
      </w:r>
      <w:r w:rsidR="00003524">
        <w:t xml:space="preserve"> are below</w:t>
      </w:r>
      <w:r>
        <w:t xml:space="preserve">. </w:t>
      </w:r>
    </w:p>
    <w:p w14:paraId="00B81A37" w14:textId="77777777" w:rsidR="00640150" w:rsidRDefault="00640150" w:rsidP="00640150">
      <w:pPr>
        <w:pStyle w:val="Heading3"/>
      </w:pPr>
      <w:bookmarkStart w:id="55" w:name="_Toc183353900"/>
      <w:bookmarkStart w:id="56" w:name="_Toc225929583"/>
      <w:r>
        <w:t>Monitoring and data</w:t>
      </w:r>
      <w:bookmarkEnd w:id="55"/>
      <w:bookmarkEnd w:id="56"/>
    </w:p>
    <w:p w14:paraId="5DF7D3E1" w14:textId="77777777" w:rsidR="00AF5C31" w:rsidRDefault="00640150" w:rsidP="00640150">
      <w:r w:rsidRPr="25666478">
        <w:t>Monitoring refers to the routine collection, analysis and use of data, to track how an initiative’s previously identified activities, outputs and outcomes are progressing</w:t>
      </w:r>
      <w:r w:rsidR="00302A23">
        <w:t xml:space="preserve"> (Victorian Government </w:t>
      </w:r>
      <w:r w:rsidR="003266C5">
        <w:t>2023)</w:t>
      </w:r>
      <w:r w:rsidRPr="25666478">
        <w:t>. Whil</w:t>
      </w:r>
      <w:r w:rsidR="00BE217A">
        <w:t>e</w:t>
      </w:r>
      <w:r w:rsidRPr="25666478">
        <w:t xml:space="preserve"> there is flexibility in how partnerships can choose to monitor progress, partners should consider the sources and types of data that are needed to track and evaluate progress. </w:t>
      </w:r>
    </w:p>
    <w:p w14:paraId="31D24FE7" w14:textId="11FE25AB" w:rsidR="00640150" w:rsidRDefault="00640150" w:rsidP="00640150">
      <w:r w:rsidRPr="25666478">
        <w:t xml:space="preserve">Partners should determine an approach from the establishment of the partnership to ensure that all lessons are adequately captured. Partners should also be willing to adjust their actions to reflect any lessons learnt throughout the process of the partnership. </w:t>
      </w:r>
    </w:p>
    <w:p w14:paraId="6C5012EE" w14:textId="6EE31FA2" w:rsidR="00640150" w:rsidRDefault="00640150" w:rsidP="00640150">
      <w:r>
        <w:t xml:space="preserve">Government partners should seek to implement the </w:t>
      </w:r>
      <w:r w:rsidRPr="006D12A9">
        <w:rPr>
          <w:i/>
          <w:iCs/>
        </w:rPr>
        <w:t>Framework for Governance of Indigenous Data</w:t>
      </w:r>
      <w:r w:rsidR="00C51F75">
        <w:rPr>
          <w:i/>
          <w:iCs/>
        </w:rPr>
        <w:t xml:space="preserve"> (2024)</w:t>
      </w:r>
      <w:r>
        <w:t xml:space="preserve">, particularly the focus on working in partnership and monitoring and accountability. Partners should also adhere to the requirements under the National Agreement on Closing the Gap Priority Reform </w:t>
      </w:r>
      <w:r w:rsidR="00DC754F">
        <w:t>Four</w:t>
      </w:r>
      <w:r>
        <w:t xml:space="preserve"> – Shared Access to Data and Information at a Regional Level. </w:t>
      </w:r>
    </w:p>
    <w:p w14:paraId="56F31AC6" w14:textId="77777777" w:rsidR="00640150" w:rsidRPr="00525D34" w:rsidRDefault="00640150" w:rsidP="00640150">
      <w:pPr>
        <w:pStyle w:val="Heading4"/>
      </w:pPr>
      <w:r>
        <w:t>Types of data</w:t>
      </w:r>
    </w:p>
    <w:p w14:paraId="4D0E3341" w14:textId="77777777" w:rsidR="00B214C7" w:rsidRDefault="00640150" w:rsidP="25666478">
      <w:pPr>
        <w:rPr>
          <w:shd w:val="clear" w:color="auto" w:fill="FFFFFF"/>
        </w:rPr>
      </w:pPr>
      <w:r w:rsidRPr="25666478">
        <w:rPr>
          <w:shd w:val="clear" w:color="auto" w:fill="FFFFFF"/>
        </w:rPr>
        <w:lastRenderedPageBreak/>
        <w:t>Quantitative and qualitative data provide different outcomes and are often used together to get a full picture</w:t>
      </w:r>
      <w:r w:rsidR="00AC298E">
        <w:rPr>
          <w:shd w:val="clear" w:color="auto" w:fill="FFFFFF"/>
        </w:rPr>
        <w:t xml:space="preserve"> (ABS</w:t>
      </w:r>
      <w:r w:rsidR="00BD79A8">
        <w:rPr>
          <w:shd w:val="clear" w:color="auto" w:fill="FFFFFF"/>
        </w:rPr>
        <w:t>)</w:t>
      </w:r>
      <w:r w:rsidRPr="25666478">
        <w:rPr>
          <w:shd w:val="clear" w:color="auto" w:fill="FFFFFF"/>
        </w:rPr>
        <w:t xml:space="preserve">. Whilst quantitative data uses numeric values to communicate a message, qualitative data can be used to tell a story or share an experience. </w:t>
      </w:r>
    </w:p>
    <w:p w14:paraId="741FE42A" w14:textId="07BF32D8" w:rsidR="00BE217A" w:rsidRDefault="00640150" w:rsidP="25666478">
      <w:pPr>
        <w:rPr>
          <w:shd w:val="clear" w:color="auto" w:fill="FFFFFF"/>
        </w:rPr>
      </w:pPr>
      <w:r w:rsidRPr="25666478">
        <w:rPr>
          <w:shd w:val="clear" w:color="auto" w:fill="FFFFFF"/>
        </w:rPr>
        <w:t xml:space="preserve">It is important to value both types of data in a partnership between Government and philanthropy, to capture and convey a full picture of the operation and impact of the partnership. Data is essential for high-quality evaluation. Partners should identify the data needed for an evaluation early </w:t>
      </w:r>
      <w:r w:rsidR="00F33C6B">
        <w:rPr>
          <w:shd w:val="clear" w:color="auto" w:fill="FFFFFF"/>
        </w:rPr>
        <w:t xml:space="preserve">in </w:t>
      </w:r>
      <w:r w:rsidRPr="25666478">
        <w:rPr>
          <w:shd w:val="clear" w:color="auto" w:fill="FFFFFF"/>
        </w:rPr>
        <w:t xml:space="preserve">the partnership. </w:t>
      </w:r>
    </w:p>
    <w:p w14:paraId="7179EF0F" w14:textId="73C1FD50" w:rsidR="00640150" w:rsidRDefault="00640150" w:rsidP="25666478">
      <w:pPr>
        <w:rPr>
          <w:shd w:val="clear" w:color="auto" w:fill="FFFFFF"/>
        </w:rPr>
      </w:pPr>
      <w:r w:rsidRPr="25666478">
        <w:rPr>
          <w:shd w:val="clear" w:color="auto" w:fill="FFFFFF"/>
        </w:rPr>
        <w:t>Data planning should consider:</w:t>
      </w:r>
    </w:p>
    <w:p w14:paraId="6DD509CF" w14:textId="7747C104" w:rsidR="00640150" w:rsidRDefault="00603747" w:rsidP="00906BE1">
      <w:pPr>
        <w:pStyle w:val="ListParagraph"/>
      </w:pPr>
      <w:r>
        <w:t>w</w:t>
      </w:r>
      <w:r w:rsidR="00640150">
        <w:t>hat questions an evaluation might ask, and what data is needed to answer those questions</w:t>
      </w:r>
    </w:p>
    <w:p w14:paraId="20E631AD" w14:textId="171AB969" w:rsidR="00640150" w:rsidRDefault="00603747" w:rsidP="00906BE1">
      <w:pPr>
        <w:pStyle w:val="ListParagraph"/>
      </w:pPr>
      <w:r>
        <w:t>w</w:t>
      </w:r>
      <w:r w:rsidR="00640150">
        <w:t>hat data is needed to produce credible results (both qualitative and quantitative data)</w:t>
      </w:r>
    </w:p>
    <w:p w14:paraId="3A0C8DD8" w14:textId="6F006CB5" w:rsidR="00640150" w:rsidRDefault="00603747" w:rsidP="00906BE1">
      <w:pPr>
        <w:pStyle w:val="ListParagraph"/>
      </w:pPr>
      <w:r>
        <w:t>w</w:t>
      </w:r>
      <w:r w:rsidR="00640150">
        <w:t>hat existing data is available</w:t>
      </w:r>
    </w:p>
    <w:p w14:paraId="0EAA62B3" w14:textId="7E574AF2" w:rsidR="00640150" w:rsidRDefault="00603747" w:rsidP="00906BE1">
      <w:pPr>
        <w:pStyle w:val="ListParagraph"/>
      </w:pPr>
      <w:r>
        <w:t>w</w:t>
      </w:r>
      <w:r w:rsidR="00640150">
        <w:t>hat data needs to be collected</w:t>
      </w:r>
      <w:r w:rsidR="000C19F3">
        <w:t>.</w:t>
      </w:r>
    </w:p>
    <w:p w14:paraId="39992E97" w14:textId="5D6062BF" w:rsidR="00640150" w:rsidRDefault="00390F91" w:rsidP="00390F91">
      <w:r>
        <w:t>T</w:t>
      </w:r>
      <w:r w:rsidR="00640150">
        <w:t>o ensure data is relevant for Aboriginal and Torres Strait Islander people and then collected and managed in a culturally safe manner, agencies should also develop and use:</w:t>
      </w:r>
    </w:p>
    <w:p w14:paraId="449D2E39" w14:textId="40510ED5" w:rsidR="00640150" w:rsidRDefault="00603747" w:rsidP="00906BE1">
      <w:pPr>
        <w:pStyle w:val="ListParagraph"/>
      </w:pPr>
      <w:r>
        <w:t>a</w:t>
      </w:r>
      <w:r w:rsidR="00640150" w:rsidRPr="25666478">
        <w:t xml:space="preserve">ppropriate Indigenous data governance arrangements, with consideration of the </w:t>
      </w:r>
      <w:r w:rsidR="00640150" w:rsidRPr="25666478">
        <w:rPr>
          <w:i/>
          <w:iCs/>
        </w:rPr>
        <w:t>Framework for Governance of Indigenous Data</w:t>
      </w:r>
      <w:r w:rsidR="00985B9C">
        <w:rPr>
          <w:i/>
          <w:iCs/>
        </w:rPr>
        <w:t xml:space="preserve"> (2024)</w:t>
      </w:r>
      <w:r w:rsidR="00640150" w:rsidRPr="25666478">
        <w:t>. This will include partnership with Aboriginal and Torres Strait Islander people in the development, collection, use and management of data.</w:t>
      </w:r>
    </w:p>
    <w:p w14:paraId="5D03129A" w14:textId="67CD4DCF" w:rsidR="00640150" w:rsidRDefault="00603747" w:rsidP="00906BE1">
      <w:pPr>
        <w:pStyle w:val="ListParagraph"/>
      </w:pPr>
      <w:r>
        <w:t>a</w:t>
      </w:r>
      <w:r w:rsidR="00640150">
        <w:t>ppropriate data standards</w:t>
      </w:r>
    </w:p>
    <w:p w14:paraId="59ED8C3D" w14:textId="03D20160" w:rsidR="00640150" w:rsidRDefault="00603747" w:rsidP="00906BE1">
      <w:pPr>
        <w:pStyle w:val="ListParagraph"/>
      </w:pPr>
      <w:r>
        <w:t>a</w:t>
      </w:r>
      <w:r w:rsidR="00640150">
        <w:t>ppropriate data sharing and release protocols</w:t>
      </w:r>
    </w:p>
    <w:p w14:paraId="0929E864" w14:textId="40E98B7B" w:rsidR="00640150" w:rsidRPr="000F01FE" w:rsidRDefault="00603747" w:rsidP="00906BE1">
      <w:pPr>
        <w:pStyle w:val="ListParagraph"/>
      </w:pPr>
      <w:r>
        <w:t>e</w:t>
      </w:r>
      <w:r w:rsidR="00640150">
        <w:t xml:space="preserve">thical and culturally safe data collection processes. </w:t>
      </w:r>
    </w:p>
    <w:p w14:paraId="27C4EAD8" w14:textId="77777777" w:rsidR="00640150" w:rsidRDefault="00640150" w:rsidP="00640150">
      <w:pPr>
        <w:pStyle w:val="Heading3"/>
      </w:pPr>
      <w:bookmarkStart w:id="57" w:name="_Toc183353901"/>
      <w:bookmarkStart w:id="58" w:name="_Toc225929584"/>
      <w:r>
        <w:t>Evaluation</w:t>
      </w:r>
      <w:bookmarkEnd w:id="57"/>
      <w:bookmarkEnd w:id="58"/>
    </w:p>
    <w:p w14:paraId="43018AC5" w14:textId="77777777" w:rsidR="00FB7D45" w:rsidRDefault="00640150" w:rsidP="00FB7D45">
      <w:pPr>
        <w:rPr>
          <w:sz w:val="24"/>
        </w:rPr>
      </w:pPr>
      <w:r w:rsidRPr="0023245B">
        <w:t>Evaluation uses robust analytical methods to provide evidence and input to decision</w:t>
      </w:r>
      <w:r w:rsidRPr="0023245B">
        <w:noBreakHyphen/>
        <w:t>makers about performance and good practices across the policy cycle.</w:t>
      </w:r>
      <w:r>
        <w:t xml:space="preserve"> </w:t>
      </w:r>
      <w:r w:rsidRPr="0023245B">
        <w:t>It contributes to continuous improvement in policy design and organisational effectiveness.</w:t>
      </w:r>
      <w:r w:rsidR="00F33C6B">
        <w:t xml:space="preserve"> </w:t>
      </w:r>
      <w:r>
        <w:t>Evaluation activities are important at all stages of the policy cycle.</w:t>
      </w:r>
      <w:r>
        <w:rPr>
          <w:sz w:val="24"/>
        </w:rPr>
        <w:t xml:space="preserve"> </w:t>
      </w:r>
    </w:p>
    <w:p w14:paraId="5D8AA488" w14:textId="35BA3149" w:rsidR="00640150" w:rsidRPr="00FB7D45" w:rsidRDefault="00640150" w:rsidP="00FB7D45">
      <w:pPr>
        <w:rPr>
          <w:sz w:val="24"/>
        </w:rPr>
      </w:pPr>
      <w:r>
        <w:t>Evaluative approaches can:</w:t>
      </w:r>
    </w:p>
    <w:p w14:paraId="2AD6CF8C" w14:textId="77777777" w:rsidR="00640150" w:rsidRDefault="00640150" w:rsidP="00906BE1">
      <w:pPr>
        <w:pStyle w:val="ListParagraph"/>
      </w:pPr>
      <w:r>
        <w:t>help understand the need for a government program or activity</w:t>
      </w:r>
    </w:p>
    <w:p w14:paraId="0DE4F50B" w14:textId="77777777" w:rsidR="00640150" w:rsidRDefault="00640150" w:rsidP="00906BE1">
      <w:pPr>
        <w:pStyle w:val="ListParagraph"/>
      </w:pPr>
      <w:r w:rsidRPr="25666478">
        <w:t>identify best practice in responding to a particular issue</w:t>
      </w:r>
    </w:p>
    <w:p w14:paraId="23996FE7" w14:textId="77777777" w:rsidR="00640150" w:rsidRDefault="00640150" w:rsidP="00906BE1">
      <w:pPr>
        <w:pStyle w:val="ListParagraph"/>
      </w:pPr>
      <w:r>
        <w:t>improve the design and performance of a government program or activity</w:t>
      </w:r>
    </w:p>
    <w:p w14:paraId="5066C0A4" w14:textId="77777777" w:rsidR="00640150" w:rsidRDefault="00640150" w:rsidP="00906BE1">
      <w:pPr>
        <w:pStyle w:val="ListParagraph"/>
      </w:pPr>
      <w:r>
        <w:t>define expected benefits of a program or activity in the early planning stage</w:t>
      </w:r>
    </w:p>
    <w:p w14:paraId="10F9379C" w14:textId="77777777" w:rsidR="00640150" w:rsidRDefault="00640150" w:rsidP="00906BE1">
      <w:pPr>
        <w:pStyle w:val="ListParagraph"/>
      </w:pPr>
      <w:r>
        <w:t>establish baseline information to measure and assess changes over time</w:t>
      </w:r>
    </w:p>
    <w:p w14:paraId="43D721F4" w14:textId="77777777" w:rsidR="00640150" w:rsidRDefault="00640150" w:rsidP="00906BE1">
      <w:pPr>
        <w:pStyle w:val="ListParagraph"/>
      </w:pPr>
      <w:r w:rsidRPr="25666478">
        <w:t>determine effects/impacts by assessing whether expected benefits are being delivered</w:t>
      </w:r>
    </w:p>
    <w:p w14:paraId="2F3E7604" w14:textId="77777777" w:rsidR="00640150" w:rsidRDefault="00640150" w:rsidP="00906BE1">
      <w:pPr>
        <w:pStyle w:val="ListParagraph"/>
      </w:pPr>
      <w:r>
        <w:t>report on, and be accountable for, results achieved by a particular program or activity</w:t>
      </w:r>
    </w:p>
    <w:p w14:paraId="0A425245" w14:textId="77777777" w:rsidR="00640150" w:rsidRPr="00D96F3A" w:rsidRDefault="00640150" w:rsidP="00906BE1">
      <w:pPr>
        <w:pStyle w:val="ListParagraph"/>
      </w:pPr>
      <w:r>
        <w:t>inform decisions about future policy development.</w:t>
      </w:r>
    </w:p>
    <w:p w14:paraId="53E94C90" w14:textId="77777777" w:rsidR="00B214C7" w:rsidRDefault="00B214C7" w:rsidP="00640150"/>
    <w:p w14:paraId="2D5ADA3D" w14:textId="34D11397" w:rsidR="00640150" w:rsidRPr="0023245B" w:rsidRDefault="00640150" w:rsidP="00640150">
      <w:r>
        <w:lastRenderedPageBreak/>
        <w:t xml:space="preserve">In a partnership context, evaluation may focus on how the partners are feeling about their engagement with each other. This could include regular health checks about the relationship. </w:t>
      </w:r>
      <w:r w:rsidR="00F33C6B">
        <w:t>A</w:t>
      </w:r>
      <w:r>
        <w:t xml:space="preserve">n evaluation may consider whether voices of lived experience have been genuinely consulted, and result in partners being willing to revise how they work to share power more effectively. </w:t>
      </w:r>
    </w:p>
    <w:p w14:paraId="7A41D279" w14:textId="77777777" w:rsidR="00FB7D45" w:rsidRDefault="00640150" w:rsidP="25666478">
      <w:r w:rsidRPr="25666478">
        <w:t xml:space="preserve">Evaluation in the Commonwealth is underpinned by a </w:t>
      </w:r>
      <w:r w:rsidR="00B55F94" w:rsidRPr="25666478">
        <w:t>principles-based</w:t>
      </w:r>
      <w:r w:rsidRPr="25666478">
        <w:t xml:space="preserve"> approach. However, given that philanthropic organisations also have expertise in evaluating programs and activities, it is important to consider their insight and reach an agreement on the partnership’s approach. </w:t>
      </w:r>
    </w:p>
    <w:p w14:paraId="11732058" w14:textId="2D358BD2" w:rsidR="00640150" w:rsidRPr="000B496D" w:rsidRDefault="00640150" w:rsidP="25666478">
      <w:pPr>
        <w:rPr>
          <w:shd w:val="clear" w:color="auto" w:fill="FFFFFF"/>
        </w:rPr>
      </w:pPr>
      <w:r w:rsidRPr="25666478">
        <w:t xml:space="preserve">APS officials should engage with the </w:t>
      </w:r>
      <w:hyperlink r:id="rId35" w:history="1">
        <w:r w:rsidRPr="25666478">
          <w:rPr>
            <w:rStyle w:val="Hyperlink"/>
          </w:rPr>
          <w:t>Australian Centre for Evaluation</w:t>
        </w:r>
      </w:hyperlink>
      <w:r w:rsidRPr="25666478">
        <w:t xml:space="preserve"> to guide any evaluation activity across the </w:t>
      </w:r>
      <w:r w:rsidR="00892484" w:rsidRPr="25666478">
        <w:t>Commonwealth and</w:t>
      </w:r>
      <w:r w:rsidRPr="25666478">
        <w:t xml:space="preserve"> consider their principles for evaluation.</w:t>
      </w:r>
    </w:p>
    <w:p w14:paraId="343939B0" w14:textId="77777777" w:rsidR="00603747" w:rsidRDefault="00603747">
      <w:pPr>
        <w:spacing w:after="240"/>
        <w:rPr>
          <w:rStyle w:val="Emphasis"/>
          <w:rFonts w:asciiTheme="majorHAnsi" w:eastAsiaTheme="majorEastAsia" w:hAnsiTheme="majorHAnsi" w:cstheme="majorBidi"/>
          <w:i w:val="0"/>
          <w:iCs w:val="0"/>
          <w:color w:val="2A4055"/>
          <w:sz w:val="40"/>
          <w:szCs w:val="26"/>
        </w:rPr>
      </w:pPr>
      <w:bookmarkStart w:id="59" w:name="_Toc183353902"/>
      <w:r>
        <w:rPr>
          <w:rStyle w:val="Emphasis"/>
          <w:b w:val="0"/>
          <w:bCs w:val="0"/>
          <w:i w:val="0"/>
          <w:iCs w:val="0"/>
        </w:rPr>
        <w:br w:type="page"/>
      </w:r>
    </w:p>
    <w:p w14:paraId="4E5EAA94" w14:textId="5A98D53C" w:rsidR="00640150" w:rsidRPr="0063252B" w:rsidRDefault="00640150" w:rsidP="00640150">
      <w:pPr>
        <w:pStyle w:val="Heading2"/>
        <w:rPr>
          <w:rStyle w:val="Emphasis"/>
          <w:b/>
          <w:bCs/>
          <w:i w:val="0"/>
          <w:iCs w:val="0"/>
        </w:rPr>
      </w:pPr>
      <w:bookmarkStart w:id="60" w:name="_Toc225929585"/>
      <w:r w:rsidRPr="0063252B">
        <w:rPr>
          <w:rStyle w:val="Emphasis"/>
          <w:b/>
          <w:bCs/>
          <w:i w:val="0"/>
          <w:iCs w:val="0"/>
        </w:rPr>
        <w:lastRenderedPageBreak/>
        <w:t>Conclusion</w:t>
      </w:r>
      <w:bookmarkEnd w:id="59"/>
      <w:bookmarkEnd w:id="60"/>
      <w:r w:rsidRPr="0063252B">
        <w:rPr>
          <w:rStyle w:val="Emphasis"/>
          <w:b/>
          <w:bCs/>
          <w:i w:val="0"/>
          <w:iCs w:val="0"/>
        </w:rPr>
        <w:t xml:space="preserve"> </w:t>
      </w:r>
    </w:p>
    <w:p w14:paraId="20C2C590" w14:textId="3D3F3355" w:rsidR="00640150" w:rsidRDefault="00640150" w:rsidP="00640150">
      <w:r w:rsidRPr="25666478">
        <w:t>This document has sought to outline sufficiently broad principles to support government officials when embarking on any new partnership opportunity with philanthropy. Whil</w:t>
      </w:r>
      <w:r w:rsidR="001B6C85">
        <w:t>e</w:t>
      </w:r>
      <w:r w:rsidRPr="25666478">
        <w:t xml:space="preserve"> the principles are explained separately throughout the paper, each principle is interconnected, requiring APS officials to consider the principles holistically. APS officials also need to discern the application of each of the principles when partnering with philanthropy, as each partnership will be different. </w:t>
      </w:r>
    </w:p>
    <w:p w14:paraId="6B21D7F6" w14:textId="77777777" w:rsidR="00640150" w:rsidRDefault="00640150" w:rsidP="00640150">
      <w:r w:rsidRPr="25666478">
        <w:t>When considering a partnership between government and philanthropy, partners need to recognise the different roles of each institution within Australian society and the operational governance that enables each partner to function.</w:t>
      </w:r>
    </w:p>
    <w:p w14:paraId="1B0C7099" w14:textId="1816AFE1" w:rsidR="00810325" w:rsidRDefault="00640150" w:rsidP="00640150">
      <w:r w:rsidRPr="25666478">
        <w:t xml:space="preserve">Partners must also recognise that partnerships between government and philanthropy are </w:t>
      </w:r>
      <w:r w:rsidR="00E05D50">
        <w:t xml:space="preserve">often </w:t>
      </w:r>
      <w:r w:rsidRPr="25666478">
        <w:t xml:space="preserve">a new way of working. Government and philanthropy may have inherently different priorities and perspectives when </w:t>
      </w:r>
      <w:r w:rsidR="0080612B" w:rsidRPr="25666478">
        <w:t>entering</w:t>
      </w:r>
      <w:r w:rsidRPr="25666478">
        <w:t xml:space="preserve"> a partnership. However, when collaborating to achieve the same purpose, the strengths of each partner can be harnessed to create a positive impact. </w:t>
      </w:r>
    </w:p>
    <w:p w14:paraId="0C66F07B" w14:textId="053CC267" w:rsidR="00640150" w:rsidRDefault="00640150" w:rsidP="00640150">
      <w:r w:rsidRPr="25666478">
        <w:t xml:space="preserve">A partnership needs to be established in trust, with effort put into both the relationship between partners and formalised agreements. Partners need to uphold integrity, with government consideration of public accountability for decision-making as well as budgetary constraints and election cycles. Partnerships between government and philanthropy need to be informed by lived experience, </w:t>
      </w:r>
      <w:r w:rsidR="008E294B">
        <w:t>use</w:t>
      </w:r>
      <w:r w:rsidRPr="25666478">
        <w:t xml:space="preserve"> opportunities for shared decision-making and embed different perspectives into governance and activities. And partnerships should seek opportunities for continuous improvement through monitoring and evaluation. </w:t>
      </w:r>
    </w:p>
    <w:p w14:paraId="642458C0" w14:textId="77777777" w:rsidR="00640150" w:rsidRDefault="00640150" w:rsidP="00640150">
      <w:r w:rsidRPr="25666478">
        <w:t xml:space="preserve">Overall, the prospect for partnership between government and philanthropy presents a valuable opportunity to leverage strengths across sectors, embrace a spirit of collaboration, share power, and create long-lasting change in Australian society. </w:t>
      </w:r>
    </w:p>
    <w:p w14:paraId="616DB52F" w14:textId="77777777" w:rsidR="00640150" w:rsidRDefault="00640150" w:rsidP="00640150">
      <w:pPr>
        <w:rPr>
          <w:rFonts w:ascii="Calibri Light" w:eastAsia="Times New Roman" w:hAnsi="Calibri Light" w:cs="Times New Roman"/>
          <w:spacing w:val="0"/>
          <w:szCs w:val="20"/>
          <w:lang w:eastAsia="en-AU"/>
        </w:rPr>
      </w:pPr>
      <w:r>
        <w:br w:type="page"/>
      </w:r>
    </w:p>
    <w:p w14:paraId="48CCBA72" w14:textId="77777777" w:rsidR="00640150" w:rsidRDefault="00640150" w:rsidP="00DD7549">
      <w:pPr>
        <w:pStyle w:val="Heading2"/>
        <w:spacing w:before="0" w:after="120"/>
      </w:pPr>
      <w:bookmarkStart w:id="61" w:name="_Toc183353903"/>
      <w:bookmarkStart w:id="62" w:name="_Toc225929586"/>
      <w:r w:rsidRPr="001D3AFA">
        <w:lastRenderedPageBreak/>
        <w:t>References</w:t>
      </w:r>
      <w:bookmarkEnd w:id="61"/>
      <w:bookmarkEnd w:id="62"/>
    </w:p>
    <w:p w14:paraId="372402CB" w14:textId="33F41E96" w:rsidR="007A453C" w:rsidRDefault="007A453C" w:rsidP="007A453C">
      <w:pPr>
        <w:spacing w:after="170"/>
      </w:pPr>
      <w:r>
        <w:t>APS Reform</w:t>
      </w:r>
      <w:r w:rsidR="00D61B4D">
        <w:t xml:space="preserve"> (1 November 2023)</w:t>
      </w:r>
      <w:r>
        <w:t xml:space="preserve"> </w:t>
      </w:r>
      <w:hyperlink r:id="rId36" w:history="1">
        <w:r w:rsidRPr="00C51048">
          <w:rPr>
            <w:rStyle w:val="Hyperlink"/>
            <w:i/>
            <w:iCs/>
          </w:rPr>
          <w:t>The Charter of Partnerships and Engagement</w:t>
        </w:r>
      </w:hyperlink>
      <w:r>
        <w:t xml:space="preserve">, </w:t>
      </w:r>
      <w:r w:rsidR="00237468">
        <w:t xml:space="preserve">APS Reform, </w:t>
      </w:r>
      <w:r>
        <w:t>accessed 10 July 2024</w:t>
      </w:r>
    </w:p>
    <w:p w14:paraId="7B8BEA87" w14:textId="304AC52A" w:rsidR="007A453C" w:rsidRPr="00EE5023" w:rsidRDefault="007A453C" w:rsidP="007A453C">
      <w:pPr>
        <w:spacing w:after="170"/>
      </w:pPr>
      <w:r>
        <w:t xml:space="preserve">Australian Bureau of Statistics (ABS), </w:t>
      </w:r>
      <w:hyperlink r:id="rId37" w:history="1">
        <w:r w:rsidRPr="00706B75">
          <w:rPr>
            <w:rStyle w:val="Hyperlink"/>
            <w:i/>
            <w:iCs/>
          </w:rPr>
          <w:t>Quantitative and qualitative data</w:t>
        </w:r>
      </w:hyperlink>
      <w:r>
        <w:t>, ABS website, accessed 10 July 2024</w:t>
      </w:r>
    </w:p>
    <w:p w14:paraId="06377EAE" w14:textId="77777777" w:rsidR="001229D8" w:rsidRDefault="007A453C" w:rsidP="001229D8">
      <w:pPr>
        <w:spacing w:after="170"/>
      </w:pPr>
      <w:r w:rsidRPr="007E59E4">
        <w:t>Australian Government</w:t>
      </w:r>
      <w:r w:rsidR="001229D8">
        <w:t xml:space="preserve"> (July 2020)</w:t>
      </w:r>
      <w:r w:rsidRPr="007E59E4">
        <w:t xml:space="preserve"> </w:t>
      </w:r>
      <w:hyperlink r:id="rId38" w:history="1">
        <w:r w:rsidRPr="007E59E4">
          <w:rPr>
            <w:rStyle w:val="Hyperlink"/>
            <w:i/>
            <w:iCs/>
          </w:rPr>
          <w:t>National Agreement on Closing the Gap</w:t>
        </w:r>
      </w:hyperlink>
      <w:r w:rsidRPr="007E59E4">
        <w:t xml:space="preserve">, </w:t>
      </w:r>
      <w:r w:rsidR="001229D8">
        <w:t>accessed 20 August 2024</w:t>
      </w:r>
    </w:p>
    <w:p w14:paraId="66AA9A5D" w14:textId="651E8B95" w:rsidR="007A453C" w:rsidRDefault="007A453C" w:rsidP="007A453C">
      <w:pPr>
        <w:spacing w:after="170"/>
      </w:pPr>
      <w:r w:rsidRPr="009E2E3B">
        <w:rPr>
          <w:rFonts w:cs="Calibri Light"/>
        </w:rPr>
        <w:t>Australian Government</w:t>
      </w:r>
      <w:r w:rsidR="0051012B">
        <w:rPr>
          <w:rFonts w:cs="Calibri Light"/>
        </w:rPr>
        <w:t xml:space="preserve"> (2026)</w:t>
      </w:r>
      <w:r w:rsidRPr="009E2E3B">
        <w:rPr>
          <w:rFonts w:cs="Calibri Light"/>
        </w:rPr>
        <w:t xml:space="preserve">, </w:t>
      </w:r>
      <w:hyperlink r:id="rId39" w:history="1">
        <w:r w:rsidR="0069486D">
          <w:rPr>
            <w:rStyle w:val="Hyperlink"/>
            <w:rFonts w:cs="Calibri Light"/>
            <w:i/>
            <w:iCs/>
          </w:rPr>
          <w:t>APS Guide to Working in Place</w:t>
        </w:r>
      </w:hyperlink>
      <w:r w:rsidR="00C822E3">
        <w:t>, Department of Social Services website</w:t>
      </w:r>
    </w:p>
    <w:p w14:paraId="39F0C9DC" w14:textId="07B86FD0" w:rsidR="007A453C" w:rsidRDefault="007A453C" w:rsidP="007A453C">
      <w:pPr>
        <w:spacing w:after="170"/>
      </w:pPr>
      <w:r>
        <w:t xml:space="preserve">Australian Government, </w:t>
      </w:r>
      <w:hyperlink r:id="rId40" w:history="1">
        <w:r w:rsidRPr="00D512A9">
          <w:rPr>
            <w:rStyle w:val="Hyperlink"/>
            <w:i/>
            <w:iCs/>
          </w:rPr>
          <w:t>Public Service Act 1999</w:t>
        </w:r>
      </w:hyperlink>
      <w:r>
        <w:t>, Federal Register of Legislation</w:t>
      </w:r>
    </w:p>
    <w:p w14:paraId="02FF94BB" w14:textId="03760B40" w:rsidR="007A453C" w:rsidRDefault="007A453C" w:rsidP="007A453C">
      <w:pPr>
        <w:spacing w:after="170"/>
      </w:pPr>
      <w:r>
        <w:t>Australian Public Service Commission</w:t>
      </w:r>
      <w:r w:rsidR="00C822E3">
        <w:t xml:space="preserve"> (APSC) </w:t>
      </w:r>
      <w:r w:rsidR="0051012B">
        <w:t>(21 Jun</w:t>
      </w:r>
      <w:r w:rsidR="00C822E3">
        <w:t>e 2024)</w:t>
      </w:r>
      <w:r>
        <w:t xml:space="preserve"> </w:t>
      </w:r>
      <w:hyperlink r:id="rId41" w:history="1">
        <w:r w:rsidRPr="001379D3">
          <w:rPr>
            <w:rStyle w:val="Hyperlink"/>
            <w:i/>
            <w:iCs/>
          </w:rPr>
          <w:t>Integrity</w:t>
        </w:r>
      </w:hyperlink>
      <w:r>
        <w:t xml:space="preserve">, </w:t>
      </w:r>
      <w:r w:rsidR="00C822E3">
        <w:t xml:space="preserve">APSC website, </w:t>
      </w:r>
      <w:r>
        <w:t>accessed 10 July 2024</w:t>
      </w:r>
    </w:p>
    <w:p w14:paraId="21F96C41" w14:textId="40E530E8" w:rsidR="007A453C" w:rsidRDefault="00C822E3" w:rsidP="007A453C">
      <w:pPr>
        <w:spacing w:after="170"/>
      </w:pPr>
      <w:r>
        <w:t>APSC (12 June 2025)</w:t>
      </w:r>
      <w:r w:rsidR="007A453C" w:rsidRPr="000B2F68">
        <w:t xml:space="preserve"> </w:t>
      </w:r>
      <w:hyperlink r:id="rId42" w:history="1">
        <w:r w:rsidR="007A453C" w:rsidRPr="000B2F68">
          <w:rPr>
            <w:rStyle w:val="Hyperlink"/>
            <w:i/>
            <w:iCs/>
          </w:rPr>
          <w:t>Working in genuine partnership with First Nations people</w:t>
        </w:r>
      </w:hyperlink>
      <w:r w:rsidR="007A453C" w:rsidRPr="000B2F68">
        <w:t xml:space="preserve">, </w:t>
      </w:r>
      <w:r>
        <w:t>APSC website</w:t>
      </w:r>
      <w:r w:rsidR="007A453C" w:rsidRPr="000B2F68">
        <w:t>, accessed 25 June 2025</w:t>
      </w:r>
    </w:p>
    <w:p w14:paraId="78BAB46E" w14:textId="14F2E345" w:rsidR="007A453C" w:rsidRDefault="007A453C" w:rsidP="007A453C">
      <w:pPr>
        <w:spacing w:after="170"/>
      </w:pPr>
      <w:r>
        <w:t>Australian Taxation Office</w:t>
      </w:r>
      <w:r w:rsidR="00C822E3">
        <w:t xml:space="preserve"> (2 January 2024)</w:t>
      </w:r>
      <w:r>
        <w:t xml:space="preserve"> </w:t>
      </w:r>
      <w:hyperlink r:id="rId43" w:history="1">
        <w:r w:rsidRPr="0063558C">
          <w:rPr>
            <w:rStyle w:val="Hyperlink"/>
            <w:i/>
            <w:iCs/>
          </w:rPr>
          <w:t>DGR categories</w:t>
        </w:r>
      </w:hyperlink>
      <w:r>
        <w:t xml:space="preserve">, </w:t>
      </w:r>
      <w:r w:rsidR="00C822E3">
        <w:t>Australian Taxation Office website</w:t>
      </w:r>
      <w:r>
        <w:t>, accessed 10 July 2024</w:t>
      </w:r>
    </w:p>
    <w:p w14:paraId="2DA8E75C" w14:textId="55AB126D" w:rsidR="007A453C" w:rsidRDefault="007A453C" w:rsidP="007A453C">
      <w:pPr>
        <w:spacing w:after="170"/>
      </w:pPr>
      <w:r>
        <w:t>Australian Taxation Office</w:t>
      </w:r>
      <w:r w:rsidR="00C822E3">
        <w:t xml:space="preserve"> (2 January 2024)</w:t>
      </w:r>
      <w:r>
        <w:t xml:space="preserve"> </w:t>
      </w:r>
      <w:hyperlink r:id="rId44" w:history="1">
        <w:r w:rsidRPr="00045DE7">
          <w:rPr>
            <w:rStyle w:val="Hyperlink"/>
            <w:i/>
            <w:iCs/>
          </w:rPr>
          <w:t>DGRs required to be a registered charity</w:t>
        </w:r>
      </w:hyperlink>
      <w:r>
        <w:t xml:space="preserve">, </w:t>
      </w:r>
      <w:r w:rsidR="00C822E3">
        <w:t>Australian Taxation Office website</w:t>
      </w:r>
      <w:r>
        <w:t>, accessed 10 July 2024</w:t>
      </w:r>
    </w:p>
    <w:p w14:paraId="43C07097" w14:textId="0D31CDAE" w:rsidR="007A453C" w:rsidRDefault="007A453C" w:rsidP="007A453C">
      <w:pPr>
        <w:spacing w:after="170"/>
      </w:pPr>
      <w:r>
        <w:t>Australian Taxation Office</w:t>
      </w:r>
      <w:r w:rsidR="00C822E3">
        <w:t xml:space="preserve"> (13 February 2019)</w:t>
      </w:r>
      <w:r>
        <w:t xml:space="preserve"> </w:t>
      </w:r>
      <w:hyperlink r:id="rId45" w:history="1">
        <w:r w:rsidRPr="00C01DC8">
          <w:rPr>
            <w:rStyle w:val="Hyperlink"/>
            <w:i/>
            <w:iCs/>
          </w:rPr>
          <w:t>What is the minimum distribution allowed?</w:t>
        </w:r>
      </w:hyperlink>
      <w:r>
        <w:t xml:space="preserve">, </w:t>
      </w:r>
      <w:r w:rsidR="00C822E3">
        <w:t>Australian Taxation Office website,</w:t>
      </w:r>
      <w:r>
        <w:t xml:space="preserve"> accessed 10 July 2024</w:t>
      </w:r>
    </w:p>
    <w:p w14:paraId="48AC2539" w14:textId="4823CB91" w:rsidR="007A453C" w:rsidRDefault="007A453C" w:rsidP="007A453C">
      <w:pPr>
        <w:spacing w:after="170"/>
      </w:pPr>
      <w:r>
        <w:t>Better Boards</w:t>
      </w:r>
      <w:r w:rsidR="00C822E3">
        <w:t xml:space="preserve"> (22 February 2023)</w:t>
      </w:r>
      <w:r>
        <w:t xml:space="preserve"> </w:t>
      </w:r>
      <w:hyperlink r:id="rId46" w:history="1">
        <w:r w:rsidRPr="00B112B6">
          <w:rPr>
            <w:rStyle w:val="Hyperlink"/>
            <w:i/>
            <w:iCs/>
          </w:rPr>
          <w:t>What is Deductible Gift Recipient (DGR) Status</w:t>
        </w:r>
      </w:hyperlink>
      <w:r>
        <w:t xml:space="preserve">, </w:t>
      </w:r>
      <w:r w:rsidR="00965696">
        <w:t xml:space="preserve">Better Boards website, </w:t>
      </w:r>
      <w:r>
        <w:t>accessed 10 July 2024</w:t>
      </w:r>
    </w:p>
    <w:p w14:paraId="0F1CE9C8" w14:textId="26BD25EC" w:rsidR="007A453C" w:rsidRDefault="007A453C" w:rsidP="00965696">
      <w:pPr>
        <w:spacing w:after="170"/>
      </w:pPr>
      <w:r>
        <w:t>Danielle Wood</w:t>
      </w:r>
      <w:r w:rsidR="00965696">
        <w:t xml:space="preserve"> (24 October 2023)</w:t>
      </w:r>
      <w:r>
        <w:t xml:space="preserve"> </w:t>
      </w:r>
      <w:hyperlink r:id="rId47" w:history="1">
        <w:r w:rsidR="000468E0">
          <w:rPr>
            <w:rStyle w:val="Hyperlink"/>
          </w:rPr>
          <w:t>Collaborating for impact: the role of government and philanthropy in building Australia’s leading think tank</w:t>
        </w:r>
      </w:hyperlink>
      <w:r>
        <w:t>, Grattan Institute website</w:t>
      </w:r>
    </w:p>
    <w:p w14:paraId="24AC808A" w14:textId="77777777" w:rsidR="000468E0" w:rsidRDefault="000468E0" w:rsidP="000468E0">
      <w:pPr>
        <w:spacing w:after="170"/>
      </w:pPr>
      <w:r w:rsidRPr="001219A0">
        <w:t xml:space="preserve">Department of the Prime Minister and the Cabinet, </w:t>
      </w:r>
      <w:hyperlink r:id="rId48" w:history="1">
        <w:r w:rsidRPr="001219A0">
          <w:rPr>
            <w:rStyle w:val="Hyperlink"/>
            <w:i/>
            <w:iCs/>
          </w:rPr>
          <w:t>Guidance on Caretaker Conventions 2024</w:t>
        </w:r>
      </w:hyperlink>
      <w:r w:rsidRPr="001219A0">
        <w:t>, PMC website, accessed 18 July 2025</w:t>
      </w:r>
    </w:p>
    <w:p w14:paraId="7E37F8A1" w14:textId="77777777" w:rsidR="000468E0" w:rsidRDefault="000468E0" w:rsidP="000468E0">
      <w:pPr>
        <w:spacing w:after="170"/>
      </w:pPr>
      <w:r>
        <w:t xml:space="preserve">Department of the Treasury, Australian Centre for Evaluation, </w:t>
      </w:r>
      <w:hyperlink r:id="rId49" w:history="1">
        <w:r w:rsidRPr="00642EA2">
          <w:rPr>
            <w:rStyle w:val="Hyperlink"/>
            <w:i/>
            <w:iCs/>
          </w:rPr>
          <w:t>What is evaluation</w:t>
        </w:r>
      </w:hyperlink>
      <w:r>
        <w:t>, accessed 10 July 2024</w:t>
      </w:r>
    </w:p>
    <w:p w14:paraId="5AD84246" w14:textId="673834F2" w:rsidR="007A453C" w:rsidRDefault="007A453C" w:rsidP="007A453C">
      <w:pPr>
        <w:spacing w:after="170"/>
      </w:pPr>
      <w:r>
        <w:t xml:space="preserve">Dr A Suomi, Ben Freeman and Dr M Banfield, </w:t>
      </w:r>
      <w:hyperlink r:id="rId50" w:history="1">
        <w:r w:rsidRPr="00C44343">
          <w:rPr>
            <w:rStyle w:val="Hyperlink"/>
            <w:i/>
            <w:iCs/>
          </w:rPr>
          <w:t>Framework for the engagement of people with a lived experience in program implementation and research</w:t>
        </w:r>
      </w:hyperlink>
      <w:r>
        <w:t>, Black Dog Institute</w:t>
      </w:r>
    </w:p>
    <w:p w14:paraId="35735E15" w14:textId="39CD529F" w:rsidR="007A453C" w:rsidRDefault="007A453C" w:rsidP="007A453C">
      <w:pPr>
        <w:spacing w:after="170"/>
      </w:pPr>
      <w:r>
        <w:t>E Esdaile, A Thow, T Gill, G Sacks, R Golley, P Love, L Wen, C Rissel</w:t>
      </w:r>
      <w:r w:rsidR="00283143">
        <w:t xml:space="preserve"> (2019)</w:t>
      </w:r>
      <w:r>
        <w:t xml:space="preserve"> ‘National policies to prevent obesity in early childhood: Using policy mapping to compare policy lessons for Australia with six developing countries’ Obesity Reviews</w:t>
      </w:r>
    </w:p>
    <w:p w14:paraId="25ED1FA0" w14:textId="46F7F7DA" w:rsidR="007A453C" w:rsidRPr="001D4BAB" w:rsidRDefault="007A453C" w:rsidP="007A453C">
      <w:pPr>
        <w:spacing w:after="170"/>
        <w:rPr>
          <w:i/>
          <w:iCs/>
        </w:rPr>
      </w:pPr>
      <w:r>
        <w:t>Investment Dialogue for Australia’s Children</w:t>
      </w:r>
      <w:r w:rsidR="00283143">
        <w:t xml:space="preserve"> (IDAC)</w:t>
      </w:r>
      <w:r>
        <w:t xml:space="preserve">, </w:t>
      </w:r>
      <w:hyperlink r:id="rId51" w:history="1">
        <w:r w:rsidRPr="001D4BAB">
          <w:rPr>
            <w:rStyle w:val="Hyperlink"/>
            <w:i/>
            <w:iCs/>
          </w:rPr>
          <w:t>Community Leadership Council Terms of Reference</w:t>
        </w:r>
      </w:hyperlink>
      <w:r>
        <w:t>, IDAC website, accessed 10 July 2024</w:t>
      </w:r>
    </w:p>
    <w:p w14:paraId="14E3085B" w14:textId="4AA74322" w:rsidR="007A453C" w:rsidRDefault="007A453C" w:rsidP="007A453C">
      <w:pPr>
        <w:spacing w:after="170"/>
      </w:pPr>
      <w:r>
        <w:t>Investment Dialogue for Australia’s Children</w:t>
      </w:r>
      <w:r w:rsidR="00283143">
        <w:t xml:space="preserve"> (IDAC)</w:t>
      </w:r>
      <w:r>
        <w:t xml:space="preserve">, </w:t>
      </w:r>
      <w:hyperlink r:id="rId52" w:history="1">
        <w:r w:rsidRPr="00326D9A">
          <w:rPr>
            <w:rStyle w:val="Hyperlink"/>
            <w:i/>
            <w:iCs/>
          </w:rPr>
          <w:t>First Nations Leadership Council Terms of Reference</w:t>
        </w:r>
      </w:hyperlink>
      <w:r>
        <w:t xml:space="preserve">, </w:t>
      </w:r>
      <w:r w:rsidR="00283143">
        <w:t xml:space="preserve">IDAC website, </w:t>
      </w:r>
      <w:r>
        <w:t>accessed 10 July 2024</w:t>
      </w:r>
    </w:p>
    <w:p w14:paraId="64C44C9E" w14:textId="1FF46C74" w:rsidR="007A453C" w:rsidRDefault="007A453C" w:rsidP="007A453C">
      <w:pPr>
        <w:spacing w:after="170"/>
      </w:pPr>
      <w:r>
        <w:lastRenderedPageBreak/>
        <w:t>Investment Dialogue for Australia’s Children</w:t>
      </w:r>
      <w:r w:rsidR="00283143">
        <w:t xml:space="preserve"> (IDAC)</w:t>
      </w:r>
      <w:r>
        <w:t xml:space="preserve">, </w:t>
      </w:r>
      <w:hyperlink r:id="rId53" w:history="1">
        <w:r w:rsidRPr="00F4467C">
          <w:rPr>
            <w:rStyle w:val="Hyperlink"/>
            <w:i/>
            <w:iCs/>
          </w:rPr>
          <w:t>Working Together Agreement</w:t>
        </w:r>
      </w:hyperlink>
      <w:r>
        <w:t xml:space="preserve">, </w:t>
      </w:r>
      <w:r w:rsidR="00283143">
        <w:t xml:space="preserve">IDAC website, </w:t>
      </w:r>
      <w:r>
        <w:t>accessed December 2023</w:t>
      </w:r>
    </w:p>
    <w:p w14:paraId="59BC4720" w14:textId="5F70FEE8" w:rsidR="007A453C" w:rsidRDefault="007A453C" w:rsidP="007A453C">
      <w:pPr>
        <w:spacing w:after="170"/>
      </w:pPr>
      <w:r>
        <w:t>Leigh</w:t>
      </w:r>
      <w:r w:rsidR="00283143">
        <w:t xml:space="preserve"> </w:t>
      </w:r>
      <w:r>
        <w:t>A</w:t>
      </w:r>
      <w:r w:rsidR="00283143">
        <w:t xml:space="preserve"> (11 February 2023)</w:t>
      </w:r>
      <w:r>
        <w:t xml:space="preserve"> </w:t>
      </w:r>
      <w:hyperlink r:id="rId54" w:history="1">
        <w:r w:rsidRPr="00B17295">
          <w:rPr>
            <w:rStyle w:val="Hyperlink"/>
            <w:i/>
            <w:iCs/>
          </w:rPr>
          <w:t>Harnessing generosity, boosting philanthropy</w:t>
        </w:r>
      </w:hyperlink>
      <w:r>
        <w:t xml:space="preserve"> [media release], The Department of the Treasury</w:t>
      </w:r>
    </w:p>
    <w:p w14:paraId="27018EE3" w14:textId="5065C756" w:rsidR="007A453C" w:rsidRDefault="007A453C" w:rsidP="007A453C">
      <w:pPr>
        <w:spacing w:after="170"/>
      </w:pPr>
      <w:r>
        <w:t>Mental Health Commission of New South Wales</w:t>
      </w:r>
      <w:r w:rsidR="00283143">
        <w:t xml:space="preserve"> (21 September 2023) </w:t>
      </w:r>
      <w:hyperlink r:id="rId55" w:history="1">
        <w:r w:rsidRPr="00AF6246">
          <w:rPr>
            <w:rStyle w:val="Hyperlink"/>
            <w:i/>
            <w:iCs/>
          </w:rPr>
          <w:t>Lived Experience Framework for NSW</w:t>
        </w:r>
      </w:hyperlink>
      <w:r>
        <w:t xml:space="preserve">, </w:t>
      </w:r>
      <w:r w:rsidR="00283143">
        <w:t>NSW Mental Health Commission website</w:t>
      </w:r>
    </w:p>
    <w:p w14:paraId="4BB384F7" w14:textId="4DA4134D" w:rsidR="000468E0" w:rsidRDefault="000468E0" w:rsidP="000468E0">
      <w:pPr>
        <w:spacing w:after="170"/>
      </w:pPr>
      <w:r>
        <w:t>National Indigenous Australians Agency</w:t>
      </w:r>
      <w:r w:rsidR="00283143">
        <w:t xml:space="preserve"> (May 2024)</w:t>
      </w:r>
      <w:r>
        <w:t xml:space="preserve">, </w:t>
      </w:r>
      <w:hyperlink r:id="rId56" w:history="1">
        <w:r>
          <w:rPr>
            <w:rStyle w:val="Hyperlink"/>
            <w:i/>
            <w:iCs/>
          </w:rPr>
          <w:t>Framework for Governance of Indigenous Data</w:t>
        </w:r>
      </w:hyperlink>
    </w:p>
    <w:p w14:paraId="01D36266" w14:textId="20CBB5D1" w:rsidR="007A453C" w:rsidRDefault="007A453C" w:rsidP="00283143">
      <w:pPr>
        <w:spacing w:after="170"/>
      </w:pPr>
      <w:r>
        <w:t>National Mental Health Commission</w:t>
      </w:r>
      <w:r w:rsidR="00283143">
        <w:t xml:space="preserve"> (26 September 2023)</w:t>
      </w:r>
      <w:r>
        <w:t xml:space="preserve"> </w:t>
      </w:r>
      <w:hyperlink r:id="rId57" w:history="1">
        <w:r w:rsidRPr="00365CDE">
          <w:rPr>
            <w:rStyle w:val="Hyperlink"/>
            <w:i/>
            <w:iCs/>
          </w:rPr>
          <w:t>National Lived Experience (Peer) Workforce Development Guidelines</w:t>
        </w:r>
      </w:hyperlink>
      <w:r>
        <w:t xml:space="preserve">, </w:t>
      </w:r>
      <w:r w:rsidR="00283143">
        <w:t>NSW Mental Health Commission website</w:t>
      </w:r>
    </w:p>
    <w:p w14:paraId="2572A4EB" w14:textId="42E997EB" w:rsidR="007A453C" w:rsidRDefault="007A453C" w:rsidP="007A453C">
      <w:pPr>
        <w:spacing w:after="170"/>
      </w:pPr>
      <w:r>
        <w:t>Parliamentary Education Office</w:t>
      </w:r>
      <w:r w:rsidR="00153F2B">
        <w:t xml:space="preserve"> (PEO)</w:t>
      </w:r>
      <w:r w:rsidR="00283143">
        <w:t xml:space="preserve"> (9 November 2023)</w:t>
      </w:r>
      <w:r>
        <w:t xml:space="preserve"> </w:t>
      </w:r>
      <w:hyperlink r:id="rId58" w:history="1">
        <w:r w:rsidRPr="002D2A9D">
          <w:rPr>
            <w:rStyle w:val="Hyperlink"/>
            <w:i/>
            <w:iCs/>
          </w:rPr>
          <w:t>The responsibilities of the three levels of government</w:t>
        </w:r>
      </w:hyperlink>
      <w:r>
        <w:t>,</w:t>
      </w:r>
      <w:r w:rsidR="00153F2B">
        <w:t xml:space="preserve"> PEO website</w:t>
      </w:r>
      <w:r>
        <w:t>, accessed 10 July 2024</w:t>
      </w:r>
    </w:p>
    <w:p w14:paraId="3A2D9840" w14:textId="522E64FC" w:rsidR="007A453C" w:rsidRDefault="007A453C" w:rsidP="007A453C">
      <w:pPr>
        <w:spacing w:after="170"/>
      </w:pPr>
      <w:r>
        <w:t>Philanthropy Australia</w:t>
      </w:r>
      <w:r w:rsidR="00153F2B">
        <w:t xml:space="preserve"> (23 February 2024)</w:t>
      </w:r>
      <w:r>
        <w:t xml:space="preserve"> </w:t>
      </w:r>
      <w:hyperlink r:id="rId59" w:history="1">
        <w:r w:rsidRPr="00C168F1">
          <w:rPr>
            <w:rStyle w:val="Hyperlink"/>
            <w:i/>
            <w:iCs/>
          </w:rPr>
          <w:t>Glyn Davis delivers Kenneth Myer Lecture on the great impact of philanthropy</w:t>
        </w:r>
      </w:hyperlink>
      <w:r>
        <w:t xml:space="preserve">, </w:t>
      </w:r>
      <w:r w:rsidR="00153F2B">
        <w:t>Philanthropy Australia website</w:t>
      </w:r>
      <w:r>
        <w:t>, accessed 10 July 2024</w:t>
      </w:r>
    </w:p>
    <w:p w14:paraId="0236A7AB" w14:textId="1C0AC510" w:rsidR="007A453C" w:rsidRDefault="007A453C" w:rsidP="007A453C">
      <w:pPr>
        <w:spacing w:after="170"/>
      </w:pPr>
      <w:r>
        <w:t>Philanthropy Australia</w:t>
      </w:r>
      <w:r w:rsidR="00153F2B">
        <w:t xml:space="preserve"> (2022)</w:t>
      </w:r>
      <w:r>
        <w:t xml:space="preserve">, </w:t>
      </w:r>
      <w:hyperlink r:id="rId60" w:history="1">
        <w:r w:rsidRPr="00666D16">
          <w:rPr>
            <w:rStyle w:val="Hyperlink"/>
            <w:i/>
            <w:iCs/>
          </w:rPr>
          <w:t>Structured giving in Australia</w:t>
        </w:r>
      </w:hyperlink>
      <w:r>
        <w:t xml:space="preserve">, </w:t>
      </w:r>
      <w:r w:rsidR="00153F2B">
        <w:t>Philanthropy Australia website</w:t>
      </w:r>
      <w:r>
        <w:t>, accessed 10 July 2024</w:t>
      </w:r>
    </w:p>
    <w:p w14:paraId="05CB0B7D" w14:textId="1EEE5F5E" w:rsidR="007A453C" w:rsidRDefault="007A453C" w:rsidP="007A453C">
      <w:pPr>
        <w:spacing w:after="170"/>
      </w:pPr>
      <w:r>
        <w:t>Productivity Commission</w:t>
      </w:r>
      <w:r w:rsidR="00153F2B">
        <w:t xml:space="preserve"> (May 2024)</w:t>
      </w:r>
      <w:r>
        <w:t xml:space="preserve">, </w:t>
      </w:r>
      <w:hyperlink r:id="rId61" w:history="1">
        <w:r w:rsidRPr="00C168F1">
          <w:rPr>
            <w:rStyle w:val="Hyperlink"/>
            <w:i/>
            <w:iCs/>
          </w:rPr>
          <w:t>Future foundations for giving</w:t>
        </w:r>
      </w:hyperlink>
      <w:r>
        <w:t>,</w:t>
      </w:r>
      <w:r w:rsidR="00153F2B">
        <w:t xml:space="preserve"> Productivity Commission website</w:t>
      </w:r>
    </w:p>
    <w:p w14:paraId="59846F03" w14:textId="0F834A98" w:rsidR="007A453C" w:rsidRDefault="007A453C" w:rsidP="007A453C">
      <w:pPr>
        <w:spacing w:after="170"/>
      </w:pPr>
      <w:r>
        <w:t>Productivity Commission</w:t>
      </w:r>
      <w:r w:rsidR="00153F2B">
        <w:t xml:space="preserve"> (October 2020)</w:t>
      </w:r>
      <w:r>
        <w:t xml:space="preserve">, </w:t>
      </w:r>
      <w:hyperlink r:id="rId62" w:history="1">
        <w:r w:rsidRPr="000347AF">
          <w:rPr>
            <w:rStyle w:val="Hyperlink"/>
          </w:rPr>
          <w:t>Indigenous Evaluation Strategy</w:t>
        </w:r>
      </w:hyperlink>
      <w:r w:rsidR="00153F2B">
        <w:t>, Productivity Commission website</w:t>
      </w:r>
    </w:p>
    <w:p w14:paraId="48A3A431" w14:textId="29D657AD" w:rsidR="007A453C" w:rsidRDefault="007A453C" w:rsidP="00153F2B">
      <w:pPr>
        <w:spacing w:after="170"/>
      </w:pPr>
      <w:r>
        <w:t>Rishworth</w:t>
      </w:r>
      <w:r w:rsidR="00153F2B">
        <w:t xml:space="preserve"> </w:t>
      </w:r>
      <w:r>
        <w:t>A</w:t>
      </w:r>
      <w:r w:rsidR="00153F2B">
        <w:t xml:space="preserve"> (24 October 2023)</w:t>
      </w:r>
      <w:r>
        <w:t xml:space="preserve"> </w:t>
      </w:r>
      <w:hyperlink r:id="rId63" w:history="1">
        <w:r w:rsidR="00907D28">
          <w:rPr>
            <w:rStyle w:val="Hyperlink"/>
            <w:i/>
            <w:iCs/>
          </w:rPr>
          <w:t>Philanthropy Australia: Philanthropy Meets Parliament House</w:t>
        </w:r>
      </w:hyperlink>
      <w:r>
        <w:t xml:space="preserve"> [media release], </w:t>
      </w:r>
      <w:r w:rsidR="00153F2B">
        <w:t>t</w:t>
      </w:r>
      <w:r>
        <w:t>he Department of Social Services</w:t>
      </w:r>
      <w:r w:rsidR="00153F2B">
        <w:t xml:space="preserve"> website</w:t>
      </w:r>
    </w:p>
    <w:p w14:paraId="48DEBBC0" w14:textId="39145378" w:rsidR="007A453C" w:rsidRDefault="007A453C" w:rsidP="007A453C">
      <w:pPr>
        <w:spacing w:after="170"/>
      </w:pPr>
      <w:r>
        <w:t>S Sedgwick</w:t>
      </w:r>
      <w:r w:rsidR="00153F2B">
        <w:t xml:space="preserve"> (October 2020)</w:t>
      </w:r>
      <w:r>
        <w:t xml:space="preserve"> </w:t>
      </w:r>
      <w:hyperlink r:id="rId64" w:history="1">
        <w:r w:rsidRPr="00B138CE">
          <w:rPr>
            <w:rStyle w:val="Hyperlink"/>
            <w:i/>
            <w:iCs/>
          </w:rPr>
          <w:t>Report into consultations regarding APS approaches to ensure institutional integrity</w:t>
        </w:r>
      </w:hyperlink>
      <w:r>
        <w:t>, Australian Public Service Commission website</w:t>
      </w:r>
    </w:p>
    <w:p w14:paraId="51B53512" w14:textId="0BE09268" w:rsidR="007A453C" w:rsidRDefault="007A453C" w:rsidP="007A453C">
      <w:pPr>
        <w:spacing w:after="170"/>
      </w:pPr>
      <w:r w:rsidRPr="003C7C8D">
        <w:t>The Department of Finance</w:t>
      </w:r>
      <w:r w:rsidR="00153F2B">
        <w:t xml:space="preserve"> (October 2024)</w:t>
      </w:r>
      <w:r w:rsidRPr="003C7C8D">
        <w:t xml:space="preserve"> </w:t>
      </w:r>
      <w:hyperlink r:id="rId65" w:history="1">
        <w:r w:rsidRPr="00AE6AF6">
          <w:rPr>
            <w:rStyle w:val="Hyperlink"/>
            <w:i/>
            <w:iCs/>
          </w:rPr>
          <w:t>Grants, Procurements and other financial arrangements (RMG 411)</w:t>
        </w:r>
      </w:hyperlink>
      <w:r w:rsidRPr="003C7C8D">
        <w:t xml:space="preserve">, </w:t>
      </w:r>
      <w:r w:rsidR="00153F2B">
        <w:t>Department of Finance website,</w:t>
      </w:r>
      <w:r w:rsidRPr="003C7C8D">
        <w:t xml:space="preserve"> accessed July 2025</w:t>
      </w:r>
    </w:p>
    <w:p w14:paraId="2FC1DD0A" w14:textId="092FE2FD" w:rsidR="007A453C" w:rsidRPr="001219A0" w:rsidRDefault="007A453C" w:rsidP="007A453C">
      <w:pPr>
        <w:spacing w:after="170"/>
      </w:pPr>
      <w:r>
        <w:t>The Department of the Treasury</w:t>
      </w:r>
      <w:r w:rsidR="00153F2B">
        <w:t xml:space="preserve"> (July 2013)</w:t>
      </w:r>
      <w:r>
        <w:t xml:space="preserve"> </w:t>
      </w:r>
      <w:hyperlink r:id="rId66" w:history="1">
        <w:r w:rsidRPr="004C2E1B">
          <w:rPr>
            <w:rStyle w:val="Hyperlink"/>
            <w:i/>
            <w:iCs/>
          </w:rPr>
          <w:t>Measuring What Matters</w:t>
        </w:r>
      </w:hyperlink>
      <w:r>
        <w:t xml:space="preserve">, </w:t>
      </w:r>
      <w:r w:rsidR="00153F2B">
        <w:t>Department of the Treasury website</w:t>
      </w:r>
    </w:p>
    <w:p w14:paraId="58E46C89" w14:textId="4A54949E" w:rsidR="00D15F5B" w:rsidRDefault="007A453C" w:rsidP="00D15F5B">
      <w:pPr>
        <w:spacing w:after="170"/>
      </w:pPr>
      <w:r>
        <w:t>Victorian Government</w:t>
      </w:r>
      <w:r w:rsidR="00153F2B">
        <w:t xml:space="preserve"> (February 2020)</w:t>
      </w:r>
      <w:r>
        <w:t xml:space="preserve"> </w:t>
      </w:r>
      <w:hyperlink r:id="rId67" w:history="1">
        <w:r w:rsidRPr="001D62A8">
          <w:rPr>
            <w:rStyle w:val="Hyperlink"/>
            <w:i/>
            <w:iCs/>
          </w:rPr>
          <w:t>A framework for place-based approaches</w:t>
        </w:r>
      </w:hyperlink>
      <w:r>
        <w:t>,</w:t>
      </w:r>
      <w:r w:rsidR="00153F2B">
        <w:t xml:space="preserve"> Victorian government website</w:t>
      </w:r>
    </w:p>
    <w:p w14:paraId="117ADE30" w14:textId="0842DEDE" w:rsidR="007A453C" w:rsidRDefault="00D15F5B" w:rsidP="00153F2B">
      <w:pPr>
        <w:spacing w:after="170"/>
      </w:pPr>
      <w:r>
        <w:t>V</w:t>
      </w:r>
      <w:r w:rsidR="007A453C">
        <w:t>ictorian Government</w:t>
      </w:r>
      <w:r w:rsidR="00153F2B">
        <w:t xml:space="preserve"> (2 March 2023)</w:t>
      </w:r>
      <w:r w:rsidR="007A453C">
        <w:t xml:space="preserve">, </w:t>
      </w:r>
      <w:hyperlink r:id="rId68" w:history="1">
        <w:r w:rsidR="007A453C" w:rsidRPr="000557ED">
          <w:rPr>
            <w:rStyle w:val="Hyperlink"/>
            <w:i/>
            <w:iCs/>
          </w:rPr>
          <w:t>Place-based approaches: Monitoring, Evaluation and Learning (MEL) toolkit</w:t>
        </w:r>
      </w:hyperlink>
      <w:r w:rsidR="007A453C">
        <w:t xml:space="preserve">, </w:t>
      </w:r>
      <w:r w:rsidR="00153F2B">
        <w:t>Victorian government website,</w:t>
      </w:r>
      <w:r w:rsidR="007A453C">
        <w:t xml:space="preserve"> accessed 10 July 2024</w:t>
      </w:r>
    </w:p>
    <w:p w14:paraId="63B68267" w14:textId="2F228259" w:rsidR="002C3517" w:rsidRDefault="007A453C" w:rsidP="007A453C">
      <w:pPr>
        <w:spacing w:after="170"/>
      </w:pPr>
      <w:r>
        <w:t>Williams W</w:t>
      </w:r>
      <w:r w:rsidR="00153F2B">
        <w:t xml:space="preserve"> (4 June 2020)</w:t>
      </w:r>
      <w:r>
        <w:t xml:space="preserve"> </w:t>
      </w:r>
      <w:hyperlink r:id="rId69" w:history="1">
        <w:r w:rsidR="00D973FC" w:rsidRPr="00D973FC">
          <w:rPr>
            <w:rStyle w:val="Hyperlink"/>
          </w:rPr>
          <w:t>Australian philanthropy over 20 years: A timeline</w:t>
        </w:r>
      </w:hyperlink>
      <w:r>
        <w:t xml:space="preserve">, </w:t>
      </w:r>
      <w:r w:rsidR="003F2415">
        <w:t>Pro</w:t>
      </w:r>
      <w:r w:rsidR="00D25C02">
        <w:t xml:space="preserve"> B</w:t>
      </w:r>
      <w:r w:rsidR="003F2415">
        <w:t>ono Australia website</w:t>
      </w:r>
    </w:p>
    <w:sectPr w:rsidR="002C3517" w:rsidSect="005602B4">
      <w:headerReference w:type="default" r:id="rId70"/>
      <w:endnotePr>
        <w:numFmt w:val="decimal"/>
      </w:endnotePr>
      <w:type w:val="continuous"/>
      <w:pgSz w:w="11906" w:h="16838"/>
      <w:pgMar w:top="851" w:right="851" w:bottom="1134" w:left="851" w:header="0" w:footer="2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E21CE" w14:textId="77777777" w:rsidR="00AE6655" w:rsidRDefault="00AE6655" w:rsidP="00EC54C5">
      <w:r>
        <w:separator/>
      </w:r>
    </w:p>
  </w:endnote>
  <w:endnote w:type="continuationSeparator" w:id="0">
    <w:p w14:paraId="18D1223D" w14:textId="77777777" w:rsidR="00AE6655" w:rsidRDefault="00AE6655" w:rsidP="00EC54C5">
      <w:r>
        <w:continuationSeparator/>
      </w:r>
    </w:p>
  </w:endnote>
  <w:endnote w:type="continuationNotice" w:id="1">
    <w:p w14:paraId="71B35BB8" w14:textId="77777777" w:rsidR="00AE6655" w:rsidRDefault="00AE6655" w:rsidP="00EC54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unito Sans">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8112772"/>
      <w:docPartObj>
        <w:docPartGallery w:val="Page Numbers (Bottom of Page)"/>
        <w:docPartUnique/>
      </w:docPartObj>
    </w:sdtPr>
    <w:sdtEndPr>
      <w:rPr>
        <w:noProof/>
      </w:rPr>
    </w:sdtEndPr>
    <w:sdtContent>
      <w:p w14:paraId="20F2D592" w14:textId="77777777" w:rsidR="00640150" w:rsidRDefault="006401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F80C72" w14:textId="77777777" w:rsidR="00640150" w:rsidRDefault="006401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D580F" w14:textId="77777777" w:rsidR="00640150" w:rsidRDefault="00A951C8" w:rsidP="00EC54C5">
    <w:sdt>
      <w:sdtPr>
        <w:id w:val="95303039"/>
        <w:docPartObj>
          <w:docPartGallery w:val="Page Numbers (Bottom of Page)"/>
          <w:docPartUnique/>
        </w:docPartObj>
      </w:sdtPr>
      <w:sdtEndPr>
        <w:rPr>
          <w:noProof/>
        </w:rPr>
      </w:sdtEndPr>
      <w:sdtContent/>
    </w:sdt>
  </w:p>
  <w:p w14:paraId="25D8053A" w14:textId="77777777" w:rsidR="00640150" w:rsidRDefault="00640150" w:rsidP="00EC54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E1D97" w14:textId="77777777" w:rsidR="00AE6655" w:rsidRDefault="00AE6655" w:rsidP="00EC54C5">
      <w:r>
        <w:separator/>
      </w:r>
    </w:p>
  </w:footnote>
  <w:footnote w:type="continuationSeparator" w:id="0">
    <w:p w14:paraId="3041032D" w14:textId="77777777" w:rsidR="00AE6655" w:rsidRDefault="00AE6655" w:rsidP="00EC54C5">
      <w:r>
        <w:continuationSeparator/>
      </w:r>
    </w:p>
  </w:footnote>
  <w:footnote w:type="continuationNotice" w:id="1">
    <w:p w14:paraId="760AD861" w14:textId="77777777" w:rsidR="00AE6655" w:rsidRDefault="00AE6655" w:rsidP="00EC54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640150" w14:paraId="0757DBAE" w14:textId="77777777" w:rsidTr="00C263A2">
      <w:trPr>
        <w:trHeight w:val="300"/>
      </w:trPr>
      <w:tc>
        <w:tcPr>
          <w:tcW w:w="3400" w:type="dxa"/>
        </w:tcPr>
        <w:p w14:paraId="32664356" w14:textId="77777777" w:rsidR="00640150" w:rsidRDefault="00640150" w:rsidP="00EC54C5">
          <w:pPr>
            <w:pStyle w:val="Header"/>
          </w:pPr>
        </w:p>
      </w:tc>
      <w:tc>
        <w:tcPr>
          <w:tcW w:w="3400" w:type="dxa"/>
        </w:tcPr>
        <w:p w14:paraId="1832132F" w14:textId="77777777" w:rsidR="00640150" w:rsidRDefault="00640150" w:rsidP="00EC54C5">
          <w:pPr>
            <w:pStyle w:val="Header"/>
          </w:pPr>
        </w:p>
      </w:tc>
      <w:tc>
        <w:tcPr>
          <w:tcW w:w="3400" w:type="dxa"/>
        </w:tcPr>
        <w:p w14:paraId="5416BCDA" w14:textId="77777777" w:rsidR="00640150" w:rsidRDefault="00640150" w:rsidP="00EC54C5">
          <w:pPr>
            <w:pStyle w:val="Header"/>
          </w:pPr>
        </w:p>
      </w:tc>
    </w:tr>
  </w:tbl>
  <w:p w14:paraId="50934594" w14:textId="77777777" w:rsidR="00640150" w:rsidRDefault="00640150" w:rsidP="00EC54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B2995" w14:textId="77777777" w:rsidR="00640150" w:rsidRDefault="00640150" w:rsidP="00EC54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A7D41" w14:textId="36A33611" w:rsidR="00861764" w:rsidRDefault="00861764" w:rsidP="00EC54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A81"/>
    <w:multiLevelType w:val="hybridMultilevel"/>
    <w:tmpl w:val="06C4F71E"/>
    <w:lvl w:ilvl="0" w:tplc="F7C2966C">
      <w:start w:val="1"/>
      <w:numFmt w:val="bullet"/>
      <w:lvlText w:val=""/>
      <w:lvlJc w:val="left"/>
      <w:pPr>
        <w:ind w:left="1020" w:hanging="360"/>
      </w:pPr>
      <w:rPr>
        <w:rFonts w:ascii="Symbol" w:hAnsi="Symbol"/>
      </w:rPr>
    </w:lvl>
    <w:lvl w:ilvl="1" w:tplc="24321C5A">
      <w:start w:val="1"/>
      <w:numFmt w:val="bullet"/>
      <w:lvlText w:val=""/>
      <w:lvlJc w:val="left"/>
      <w:pPr>
        <w:ind w:left="1020" w:hanging="360"/>
      </w:pPr>
      <w:rPr>
        <w:rFonts w:ascii="Symbol" w:hAnsi="Symbol"/>
      </w:rPr>
    </w:lvl>
    <w:lvl w:ilvl="2" w:tplc="18F6E1DA">
      <w:start w:val="1"/>
      <w:numFmt w:val="bullet"/>
      <w:lvlText w:val=""/>
      <w:lvlJc w:val="left"/>
      <w:pPr>
        <w:ind w:left="1020" w:hanging="360"/>
      </w:pPr>
      <w:rPr>
        <w:rFonts w:ascii="Symbol" w:hAnsi="Symbol"/>
      </w:rPr>
    </w:lvl>
    <w:lvl w:ilvl="3" w:tplc="F0B27EC0">
      <w:start w:val="1"/>
      <w:numFmt w:val="bullet"/>
      <w:lvlText w:val=""/>
      <w:lvlJc w:val="left"/>
      <w:pPr>
        <w:ind w:left="1020" w:hanging="360"/>
      </w:pPr>
      <w:rPr>
        <w:rFonts w:ascii="Symbol" w:hAnsi="Symbol"/>
      </w:rPr>
    </w:lvl>
    <w:lvl w:ilvl="4" w:tplc="03EE2AEA">
      <w:start w:val="1"/>
      <w:numFmt w:val="bullet"/>
      <w:lvlText w:val=""/>
      <w:lvlJc w:val="left"/>
      <w:pPr>
        <w:ind w:left="1020" w:hanging="360"/>
      </w:pPr>
      <w:rPr>
        <w:rFonts w:ascii="Symbol" w:hAnsi="Symbol"/>
      </w:rPr>
    </w:lvl>
    <w:lvl w:ilvl="5" w:tplc="C1D00488">
      <w:start w:val="1"/>
      <w:numFmt w:val="bullet"/>
      <w:lvlText w:val=""/>
      <w:lvlJc w:val="left"/>
      <w:pPr>
        <w:ind w:left="1020" w:hanging="360"/>
      </w:pPr>
      <w:rPr>
        <w:rFonts w:ascii="Symbol" w:hAnsi="Symbol"/>
      </w:rPr>
    </w:lvl>
    <w:lvl w:ilvl="6" w:tplc="51E075B2">
      <w:start w:val="1"/>
      <w:numFmt w:val="bullet"/>
      <w:lvlText w:val=""/>
      <w:lvlJc w:val="left"/>
      <w:pPr>
        <w:ind w:left="1020" w:hanging="360"/>
      </w:pPr>
      <w:rPr>
        <w:rFonts w:ascii="Symbol" w:hAnsi="Symbol"/>
      </w:rPr>
    </w:lvl>
    <w:lvl w:ilvl="7" w:tplc="88A805BC">
      <w:start w:val="1"/>
      <w:numFmt w:val="bullet"/>
      <w:lvlText w:val=""/>
      <w:lvlJc w:val="left"/>
      <w:pPr>
        <w:ind w:left="1020" w:hanging="360"/>
      </w:pPr>
      <w:rPr>
        <w:rFonts w:ascii="Symbol" w:hAnsi="Symbol"/>
      </w:rPr>
    </w:lvl>
    <w:lvl w:ilvl="8" w:tplc="78083AC6">
      <w:start w:val="1"/>
      <w:numFmt w:val="bullet"/>
      <w:lvlText w:val=""/>
      <w:lvlJc w:val="left"/>
      <w:pPr>
        <w:ind w:left="1020" w:hanging="360"/>
      </w:pPr>
      <w:rPr>
        <w:rFonts w:ascii="Symbol" w:hAnsi="Symbol"/>
      </w:rPr>
    </w:lvl>
  </w:abstractNum>
  <w:abstractNum w:abstractNumId="1" w15:restartNumberingAfterBreak="0">
    <w:nsid w:val="021D3C4C"/>
    <w:multiLevelType w:val="hybridMultilevel"/>
    <w:tmpl w:val="BBC632CC"/>
    <w:lvl w:ilvl="0" w:tplc="379840F0">
      <w:start w:val="1"/>
      <w:numFmt w:val="bullet"/>
      <w:lvlText w:val=""/>
      <w:lvlJc w:val="left"/>
      <w:pPr>
        <w:ind w:left="1020" w:hanging="360"/>
      </w:pPr>
      <w:rPr>
        <w:rFonts w:ascii="Symbol" w:hAnsi="Symbol"/>
      </w:rPr>
    </w:lvl>
    <w:lvl w:ilvl="1" w:tplc="BD0E66CE">
      <w:start w:val="1"/>
      <w:numFmt w:val="bullet"/>
      <w:lvlText w:val=""/>
      <w:lvlJc w:val="left"/>
      <w:pPr>
        <w:ind w:left="1020" w:hanging="360"/>
      </w:pPr>
      <w:rPr>
        <w:rFonts w:ascii="Symbol" w:hAnsi="Symbol"/>
      </w:rPr>
    </w:lvl>
    <w:lvl w:ilvl="2" w:tplc="765886B8">
      <w:start w:val="1"/>
      <w:numFmt w:val="bullet"/>
      <w:lvlText w:val=""/>
      <w:lvlJc w:val="left"/>
      <w:pPr>
        <w:ind w:left="1020" w:hanging="360"/>
      </w:pPr>
      <w:rPr>
        <w:rFonts w:ascii="Symbol" w:hAnsi="Symbol"/>
      </w:rPr>
    </w:lvl>
    <w:lvl w:ilvl="3" w:tplc="EAF8EB42">
      <w:start w:val="1"/>
      <w:numFmt w:val="bullet"/>
      <w:lvlText w:val=""/>
      <w:lvlJc w:val="left"/>
      <w:pPr>
        <w:ind w:left="1020" w:hanging="360"/>
      </w:pPr>
      <w:rPr>
        <w:rFonts w:ascii="Symbol" w:hAnsi="Symbol"/>
      </w:rPr>
    </w:lvl>
    <w:lvl w:ilvl="4" w:tplc="F780B1EC">
      <w:start w:val="1"/>
      <w:numFmt w:val="bullet"/>
      <w:lvlText w:val=""/>
      <w:lvlJc w:val="left"/>
      <w:pPr>
        <w:ind w:left="1020" w:hanging="360"/>
      </w:pPr>
      <w:rPr>
        <w:rFonts w:ascii="Symbol" w:hAnsi="Symbol"/>
      </w:rPr>
    </w:lvl>
    <w:lvl w:ilvl="5" w:tplc="1B8E5658">
      <w:start w:val="1"/>
      <w:numFmt w:val="bullet"/>
      <w:lvlText w:val=""/>
      <w:lvlJc w:val="left"/>
      <w:pPr>
        <w:ind w:left="1020" w:hanging="360"/>
      </w:pPr>
      <w:rPr>
        <w:rFonts w:ascii="Symbol" w:hAnsi="Symbol"/>
      </w:rPr>
    </w:lvl>
    <w:lvl w:ilvl="6" w:tplc="08F01FEC">
      <w:start w:val="1"/>
      <w:numFmt w:val="bullet"/>
      <w:lvlText w:val=""/>
      <w:lvlJc w:val="left"/>
      <w:pPr>
        <w:ind w:left="1020" w:hanging="360"/>
      </w:pPr>
      <w:rPr>
        <w:rFonts w:ascii="Symbol" w:hAnsi="Symbol"/>
      </w:rPr>
    </w:lvl>
    <w:lvl w:ilvl="7" w:tplc="EDB28D0E">
      <w:start w:val="1"/>
      <w:numFmt w:val="bullet"/>
      <w:lvlText w:val=""/>
      <w:lvlJc w:val="left"/>
      <w:pPr>
        <w:ind w:left="1020" w:hanging="360"/>
      </w:pPr>
      <w:rPr>
        <w:rFonts w:ascii="Symbol" w:hAnsi="Symbol"/>
      </w:rPr>
    </w:lvl>
    <w:lvl w:ilvl="8" w:tplc="DB34DF78">
      <w:start w:val="1"/>
      <w:numFmt w:val="bullet"/>
      <w:lvlText w:val=""/>
      <w:lvlJc w:val="left"/>
      <w:pPr>
        <w:ind w:left="1020" w:hanging="360"/>
      </w:pPr>
      <w:rPr>
        <w:rFonts w:ascii="Symbol" w:hAnsi="Symbol"/>
      </w:rPr>
    </w:lvl>
  </w:abstractNum>
  <w:abstractNum w:abstractNumId="2" w15:restartNumberingAfterBreak="0">
    <w:nsid w:val="0417272E"/>
    <w:multiLevelType w:val="hybridMultilevel"/>
    <w:tmpl w:val="889C657C"/>
    <w:lvl w:ilvl="0" w:tplc="C0B8F518">
      <w:start w:val="1"/>
      <w:numFmt w:val="bullet"/>
      <w:lvlText w:val="•"/>
      <w:lvlJc w:val="left"/>
      <w:pPr>
        <w:tabs>
          <w:tab w:val="num" w:pos="720"/>
        </w:tabs>
        <w:ind w:left="720" w:hanging="360"/>
      </w:pPr>
      <w:rPr>
        <w:rFonts w:ascii="Calibri Light" w:hAnsi="Calibri Light" w:hint="default"/>
      </w:rPr>
    </w:lvl>
    <w:lvl w:ilvl="1" w:tplc="559EE32C" w:tentative="1">
      <w:start w:val="1"/>
      <w:numFmt w:val="bullet"/>
      <w:lvlText w:val="•"/>
      <w:lvlJc w:val="left"/>
      <w:pPr>
        <w:tabs>
          <w:tab w:val="num" w:pos="1440"/>
        </w:tabs>
        <w:ind w:left="1440" w:hanging="360"/>
      </w:pPr>
      <w:rPr>
        <w:rFonts w:ascii="Calibri Light" w:hAnsi="Calibri Light" w:hint="default"/>
      </w:rPr>
    </w:lvl>
    <w:lvl w:ilvl="2" w:tplc="8A4885E0" w:tentative="1">
      <w:start w:val="1"/>
      <w:numFmt w:val="bullet"/>
      <w:lvlText w:val="•"/>
      <w:lvlJc w:val="left"/>
      <w:pPr>
        <w:tabs>
          <w:tab w:val="num" w:pos="2160"/>
        </w:tabs>
        <w:ind w:left="2160" w:hanging="360"/>
      </w:pPr>
      <w:rPr>
        <w:rFonts w:ascii="Calibri Light" w:hAnsi="Calibri Light" w:hint="default"/>
      </w:rPr>
    </w:lvl>
    <w:lvl w:ilvl="3" w:tplc="8092EBE6" w:tentative="1">
      <w:start w:val="1"/>
      <w:numFmt w:val="bullet"/>
      <w:lvlText w:val="•"/>
      <w:lvlJc w:val="left"/>
      <w:pPr>
        <w:tabs>
          <w:tab w:val="num" w:pos="2880"/>
        </w:tabs>
        <w:ind w:left="2880" w:hanging="360"/>
      </w:pPr>
      <w:rPr>
        <w:rFonts w:ascii="Calibri Light" w:hAnsi="Calibri Light" w:hint="default"/>
      </w:rPr>
    </w:lvl>
    <w:lvl w:ilvl="4" w:tplc="6660F552" w:tentative="1">
      <w:start w:val="1"/>
      <w:numFmt w:val="bullet"/>
      <w:lvlText w:val="•"/>
      <w:lvlJc w:val="left"/>
      <w:pPr>
        <w:tabs>
          <w:tab w:val="num" w:pos="3600"/>
        </w:tabs>
        <w:ind w:left="3600" w:hanging="360"/>
      </w:pPr>
      <w:rPr>
        <w:rFonts w:ascii="Calibri Light" w:hAnsi="Calibri Light" w:hint="default"/>
      </w:rPr>
    </w:lvl>
    <w:lvl w:ilvl="5" w:tplc="1248B54E" w:tentative="1">
      <w:start w:val="1"/>
      <w:numFmt w:val="bullet"/>
      <w:lvlText w:val="•"/>
      <w:lvlJc w:val="left"/>
      <w:pPr>
        <w:tabs>
          <w:tab w:val="num" w:pos="4320"/>
        </w:tabs>
        <w:ind w:left="4320" w:hanging="360"/>
      </w:pPr>
      <w:rPr>
        <w:rFonts w:ascii="Calibri Light" w:hAnsi="Calibri Light" w:hint="default"/>
      </w:rPr>
    </w:lvl>
    <w:lvl w:ilvl="6" w:tplc="F3EEA6BE" w:tentative="1">
      <w:start w:val="1"/>
      <w:numFmt w:val="bullet"/>
      <w:lvlText w:val="•"/>
      <w:lvlJc w:val="left"/>
      <w:pPr>
        <w:tabs>
          <w:tab w:val="num" w:pos="5040"/>
        </w:tabs>
        <w:ind w:left="5040" w:hanging="360"/>
      </w:pPr>
      <w:rPr>
        <w:rFonts w:ascii="Calibri Light" w:hAnsi="Calibri Light" w:hint="default"/>
      </w:rPr>
    </w:lvl>
    <w:lvl w:ilvl="7" w:tplc="55DC533E" w:tentative="1">
      <w:start w:val="1"/>
      <w:numFmt w:val="bullet"/>
      <w:lvlText w:val="•"/>
      <w:lvlJc w:val="left"/>
      <w:pPr>
        <w:tabs>
          <w:tab w:val="num" w:pos="5760"/>
        </w:tabs>
        <w:ind w:left="5760" w:hanging="360"/>
      </w:pPr>
      <w:rPr>
        <w:rFonts w:ascii="Calibri Light" w:hAnsi="Calibri Light" w:hint="default"/>
      </w:rPr>
    </w:lvl>
    <w:lvl w:ilvl="8" w:tplc="CBF04E78" w:tentative="1">
      <w:start w:val="1"/>
      <w:numFmt w:val="bullet"/>
      <w:lvlText w:val="•"/>
      <w:lvlJc w:val="left"/>
      <w:pPr>
        <w:tabs>
          <w:tab w:val="num" w:pos="6480"/>
        </w:tabs>
        <w:ind w:left="6480" w:hanging="360"/>
      </w:pPr>
      <w:rPr>
        <w:rFonts w:ascii="Calibri Light" w:hAnsi="Calibri Light" w:hint="default"/>
      </w:rPr>
    </w:lvl>
  </w:abstractNum>
  <w:abstractNum w:abstractNumId="3" w15:restartNumberingAfterBreak="0">
    <w:nsid w:val="08F837C4"/>
    <w:multiLevelType w:val="hybridMultilevel"/>
    <w:tmpl w:val="3B7E9EA2"/>
    <w:lvl w:ilvl="0" w:tplc="58C84A14">
      <w:start w:val="1"/>
      <w:numFmt w:val="bullet"/>
      <w:lvlText w:val=""/>
      <w:lvlJc w:val="left"/>
      <w:pPr>
        <w:ind w:left="1020" w:hanging="360"/>
      </w:pPr>
      <w:rPr>
        <w:rFonts w:ascii="Symbol" w:hAnsi="Symbol"/>
      </w:rPr>
    </w:lvl>
    <w:lvl w:ilvl="1" w:tplc="75DE5C94">
      <w:start w:val="1"/>
      <w:numFmt w:val="bullet"/>
      <w:lvlText w:val=""/>
      <w:lvlJc w:val="left"/>
      <w:pPr>
        <w:ind w:left="1020" w:hanging="360"/>
      </w:pPr>
      <w:rPr>
        <w:rFonts w:ascii="Symbol" w:hAnsi="Symbol"/>
      </w:rPr>
    </w:lvl>
    <w:lvl w:ilvl="2" w:tplc="F01ACA40">
      <w:start w:val="1"/>
      <w:numFmt w:val="bullet"/>
      <w:lvlText w:val=""/>
      <w:lvlJc w:val="left"/>
      <w:pPr>
        <w:ind w:left="1020" w:hanging="360"/>
      </w:pPr>
      <w:rPr>
        <w:rFonts w:ascii="Symbol" w:hAnsi="Symbol"/>
      </w:rPr>
    </w:lvl>
    <w:lvl w:ilvl="3" w:tplc="B04CD7FC">
      <w:start w:val="1"/>
      <w:numFmt w:val="bullet"/>
      <w:lvlText w:val=""/>
      <w:lvlJc w:val="left"/>
      <w:pPr>
        <w:ind w:left="1020" w:hanging="360"/>
      </w:pPr>
      <w:rPr>
        <w:rFonts w:ascii="Symbol" w:hAnsi="Symbol"/>
      </w:rPr>
    </w:lvl>
    <w:lvl w:ilvl="4" w:tplc="785277AC">
      <w:start w:val="1"/>
      <w:numFmt w:val="bullet"/>
      <w:lvlText w:val=""/>
      <w:lvlJc w:val="left"/>
      <w:pPr>
        <w:ind w:left="1020" w:hanging="360"/>
      </w:pPr>
      <w:rPr>
        <w:rFonts w:ascii="Symbol" w:hAnsi="Symbol"/>
      </w:rPr>
    </w:lvl>
    <w:lvl w:ilvl="5" w:tplc="813ED0F2">
      <w:start w:val="1"/>
      <w:numFmt w:val="bullet"/>
      <w:lvlText w:val=""/>
      <w:lvlJc w:val="left"/>
      <w:pPr>
        <w:ind w:left="1020" w:hanging="360"/>
      </w:pPr>
      <w:rPr>
        <w:rFonts w:ascii="Symbol" w:hAnsi="Symbol"/>
      </w:rPr>
    </w:lvl>
    <w:lvl w:ilvl="6" w:tplc="66D2116A">
      <w:start w:val="1"/>
      <w:numFmt w:val="bullet"/>
      <w:lvlText w:val=""/>
      <w:lvlJc w:val="left"/>
      <w:pPr>
        <w:ind w:left="1020" w:hanging="360"/>
      </w:pPr>
      <w:rPr>
        <w:rFonts w:ascii="Symbol" w:hAnsi="Symbol"/>
      </w:rPr>
    </w:lvl>
    <w:lvl w:ilvl="7" w:tplc="570267D0">
      <w:start w:val="1"/>
      <w:numFmt w:val="bullet"/>
      <w:lvlText w:val=""/>
      <w:lvlJc w:val="left"/>
      <w:pPr>
        <w:ind w:left="1020" w:hanging="360"/>
      </w:pPr>
      <w:rPr>
        <w:rFonts w:ascii="Symbol" w:hAnsi="Symbol"/>
      </w:rPr>
    </w:lvl>
    <w:lvl w:ilvl="8" w:tplc="F57880E2">
      <w:start w:val="1"/>
      <w:numFmt w:val="bullet"/>
      <w:lvlText w:val=""/>
      <w:lvlJc w:val="left"/>
      <w:pPr>
        <w:ind w:left="1020" w:hanging="360"/>
      </w:pPr>
      <w:rPr>
        <w:rFonts w:ascii="Symbol" w:hAnsi="Symbol"/>
      </w:rPr>
    </w:lvl>
  </w:abstractNum>
  <w:abstractNum w:abstractNumId="4" w15:restartNumberingAfterBreak="0">
    <w:nsid w:val="091773D1"/>
    <w:multiLevelType w:val="hybridMultilevel"/>
    <w:tmpl w:val="E1A2B1D4"/>
    <w:lvl w:ilvl="0" w:tplc="84AC5686">
      <w:start w:val="1"/>
      <w:numFmt w:val="bullet"/>
      <w:lvlText w:val=""/>
      <w:lvlJc w:val="left"/>
      <w:pPr>
        <w:ind w:left="1020" w:hanging="360"/>
      </w:pPr>
      <w:rPr>
        <w:rFonts w:ascii="Symbol" w:hAnsi="Symbol"/>
      </w:rPr>
    </w:lvl>
    <w:lvl w:ilvl="1" w:tplc="A5EE21BE">
      <w:start w:val="1"/>
      <w:numFmt w:val="bullet"/>
      <w:lvlText w:val=""/>
      <w:lvlJc w:val="left"/>
      <w:pPr>
        <w:ind w:left="1020" w:hanging="360"/>
      </w:pPr>
      <w:rPr>
        <w:rFonts w:ascii="Symbol" w:hAnsi="Symbol"/>
      </w:rPr>
    </w:lvl>
    <w:lvl w:ilvl="2" w:tplc="0218A894">
      <w:start w:val="1"/>
      <w:numFmt w:val="bullet"/>
      <w:lvlText w:val=""/>
      <w:lvlJc w:val="left"/>
      <w:pPr>
        <w:ind w:left="1020" w:hanging="360"/>
      </w:pPr>
      <w:rPr>
        <w:rFonts w:ascii="Symbol" w:hAnsi="Symbol"/>
      </w:rPr>
    </w:lvl>
    <w:lvl w:ilvl="3" w:tplc="A8EC0A90">
      <w:start w:val="1"/>
      <w:numFmt w:val="bullet"/>
      <w:lvlText w:val=""/>
      <w:lvlJc w:val="left"/>
      <w:pPr>
        <w:ind w:left="1020" w:hanging="360"/>
      </w:pPr>
      <w:rPr>
        <w:rFonts w:ascii="Symbol" w:hAnsi="Symbol"/>
      </w:rPr>
    </w:lvl>
    <w:lvl w:ilvl="4" w:tplc="BA26E020">
      <w:start w:val="1"/>
      <w:numFmt w:val="bullet"/>
      <w:lvlText w:val=""/>
      <w:lvlJc w:val="left"/>
      <w:pPr>
        <w:ind w:left="1020" w:hanging="360"/>
      </w:pPr>
      <w:rPr>
        <w:rFonts w:ascii="Symbol" w:hAnsi="Symbol"/>
      </w:rPr>
    </w:lvl>
    <w:lvl w:ilvl="5" w:tplc="C44C2B82">
      <w:start w:val="1"/>
      <w:numFmt w:val="bullet"/>
      <w:lvlText w:val=""/>
      <w:lvlJc w:val="left"/>
      <w:pPr>
        <w:ind w:left="1020" w:hanging="360"/>
      </w:pPr>
      <w:rPr>
        <w:rFonts w:ascii="Symbol" w:hAnsi="Symbol"/>
      </w:rPr>
    </w:lvl>
    <w:lvl w:ilvl="6" w:tplc="9CA61680">
      <w:start w:val="1"/>
      <w:numFmt w:val="bullet"/>
      <w:lvlText w:val=""/>
      <w:lvlJc w:val="left"/>
      <w:pPr>
        <w:ind w:left="1020" w:hanging="360"/>
      </w:pPr>
      <w:rPr>
        <w:rFonts w:ascii="Symbol" w:hAnsi="Symbol"/>
      </w:rPr>
    </w:lvl>
    <w:lvl w:ilvl="7" w:tplc="90769260">
      <w:start w:val="1"/>
      <w:numFmt w:val="bullet"/>
      <w:lvlText w:val=""/>
      <w:lvlJc w:val="left"/>
      <w:pPr>
        <w:ind w:left="1020" w:hanging="360"/>
      </w:pPr>
      <w:rPr>
        <w:rFonts w:ascii="Symbol" w:hAnsi="Symbol"/>
      </w:rPr>
    </w:lvl>
    <w:lvl w:ilvl="8" w:tplc="DFE4C33E">
      <w:start w:val="1"/>
      <w:numFmt w:val="bullet"/>
      <w:lvlText w:val=""/>
      <w:lvlJc w:val="left"/>
      <w:pPr>
        <w:ind w:left="1020" w:hanging="360"/>
      </w:pPr>
      <w:rPr>
        <w:rFonts w:ascii="Symbol" w:hAnsi="Symbol"/>
      </w:rPr>
    </w:lvl>
  </w:abstractNum>
  <w:abstractNum w:abstractNumId="5" w15:restartNumberingAfterBreak="0">
    <w:nsid w:val="0C8D2584"/>
    <w:multiLevelType w:val="hybridMultilevel"/>
    <w:tmpl w:val="02967A04"/>
    <w:lvl w:ilvl="0" w:tplc="90E08A12">
      <w:start w:val="1"/>
      <w:numFmt w:val="bullet"/>
      <w:lvlText w:val="•"/>
      <w:lvlJc w:val="left"/>
      <w:pPr>
        <w:tabs>
          <w:tab w:val="num" w:pos="720"/>
        </w:tabs>
        <w:ind w:left="720" w:hanging="360"/>
      </w:pPr>
      <w:rPr>
        <w:rFonts w:ascii="Calibri Light" w:hAnsi="Calibri Light" w:hint="default"/>
      </w:rPr>
    </w:lvl>
    <w:lvl w:ilvl="1" w:tplc="7D84C746" w:tentative="1">
      <w:start w:val="1"/>
      <w:numFmt w:val="bullet"/>
      <w:lvlText w:val="•"/>
      <w:lvlJc w:val="left"/>
      <w:pPr>
        <w:tabs>
          <w:tab w:val="num" w:pos="1440"/>
        </w:tabs>
        <w:ind w:left="1440" w:hanging="360"/>
      </w:pPr>
      <w:rPr>
        <w:rFonts w:ascii="Calibri Light" w:hAnsi="Calibri Light" w:hint="default"/>
      </w:rPr>
    </w:lvl>
    <w:lvl w:ilvl="2" w:tplc="7E1EDB9C" w:tentative="1">
      <w:start w:val="1"/>
      <w:numFmt w:val="bullet"/>
      <w:lvlText w:val="•"/>
      <w:lvlJc w:val="left"/>
      <w:pPr>
        <w:tabs>
          <w:tab w:val="num" w:pos="2160"/>
        </w:tabs>
        <w:ind w:left="2160" w:hanging="360"/>
      </w:pPr>
      <w:rPr>
        <w:rFonts w:ascii="Calibri Light" w:hAnsi="Calibri Light" w:hint="default"/>
      </w:rPr>
    </w:lvl>
    <w:lvl w:ilvl="3" w:tplc="8298A9C0" w:tentative="1">
      <w:start w:val="1"/>
      <w:numFmt w:val="bullet"/>
      <w:lvlText w:val="•"/>
      <w:lvlJc w:val="left"/>
      <w:pPr>
        <w:tabs>
          <w:tab w:val="num" w:pos="2880"/>
        </w:tabs>
        <w:ind w:left="2880" w:hanging="360"/>
      </w:pPr>
      <w:rPr>
        <w:rFonts w:ascii="Calibri Light" w:hAnsi="Calibri Light" w:hint="default"/>
      </w:rPr>
    </w:lvl>
    <w:lvl w:ilvl="4" w:tplc="BFDE2FFC" w:tentative="1">
      <w:start w:val="1"/>
      <w:numFmt w:val="bullet"/>
      <w:lvlText w:val="•"/>
      <w:lvlJc w:val="left"/>
      <w:pPr>
        <w:tabs>
          <w:tab w:val="num" w:pos="3600"/>
        </w:tabs>
        <w:ind w:left="3600" w:hanging="360"/>
      </w:pPr>
      <w:rPr>
        <w:rFonts w:ascii="Calibri Light" w:hAnsi="Calibri Light" w:hint="default"/>
      </w:rPr>
    </w:lvl>
    <w:lvl w:ilvl="5" w:tplc="5FB89252" w:tentative="1">
      <w:start w:val="1"/>
      <w:numFmt w:val="bullet"/>
      <w:lvlText w:val="•"/>
      <w:lvlJc w:val="left"/>
      <w:pPr>
        <w:tabs>
          <w:tab w:val="num" w:pos="4320"/>
        </w:tabs>
        <w:ind w:left="4320" w:hanging="360"/>
      </w:pPr>
      <w:rPr>
        <w:rFonts w:ascii="Calibri Light" w:hAnsi="Calibri Light" w:hint="default"/>
      </w:rPr>
    </w:lvl>
    <w:lvl w:ilvl="6" w:tplc="E1D68104" w:tentative="1">
      <w:start w:val="1"/>
      <w:numFmt w:val="bullet"/>
      <w:lvlText w:val="•"/>
      <w:lvlJc w:val="left"/>
      <w:pPr>
        <w:tabs>
          <w:tab w:val="num" w:pos="5040"/>
        </w:tabs>
        <w:ind w:left="5040" w:hanging="360"/>
      </w:pPr>
      <w:rPr>
        <w:rFonts w:ascii="Calibri Light" w:hAnsi="Calibri Light" w:hint="default"/>
      </w:rPr>
    </w:lvl>
    <w:lvl w:ilvl="7" w:tplc="DF96FFF6" w:tentative="1">
      <w:start w:val="1"/>
      <w:numFmt w:val="bullet"/>
      <w:lvlText w:val="•"/>
      <w:lvlJc w:val="left"/>
      <w:pPr>
        <w:tabs>
          <w:tab w:val="num" w:pos="5760"/>
        </w:tabs>
        <w:ind w:left="5760" w:hanging="360"/>
      </w:pPr>
      <w:rPr>
        <w:rFonts w:ascii="Calibri Light" w:hAnsi="Calibri Light" w:hint="default"/>
      </w:rPr>
    </w:lvl>
    <w:lvl w:ilvl="8" w:tplc="3862744C" w:tentative="1">
      <w:start w:val="1"/>
      <w:numFmt w:val="bullet"/>
      <w:lvlText w:val="•"/>
      <w:lvlJc w:val="left"/>
      <w:pPr>
        <w:tabs>
          <w:tab w:val="num" w:pos="6480"/>
        </w:tabs>
        <w:ind w:left="6480" w:hanging="360"/>
      </w:pPr>
      <w:rPr>
        <w:rFonts w:ascii="Calibri Light" w:hAnsi="Calibri Light" w:hint="default"/>
      </w:rPr>
    </w:lvl>
  </w:abstractNum>
  <w:abstractNum w:abstractNumId="6" w15:restartNumberingAfterBreak="0">
    <w:nsid w:val="0C942EB2"/>
    <w:multiLevelType w:val="hybridMultilevel"/>
    <w:tmpl w:val="3058F33E"/>
    <w:lvl w:ilvl="0" w:tplc="0C09000F">
      <w:start w:val="1"/>
      <w:numFmt w:val="decimal"/>
      <w:lvlText w:val="%1."/>
      <w:lvlJc w:val="left"/>
      <w:pPr>
        <w:ind w:left="501"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0F775A"/>
    <w:multiLevelType w:val="hybridMultilevel"/>
    <w:tmpl w:val="1BD4F4B0"/>
    <w:lvl w:ilvl="0" w:tplc="B70E31E8">
      <w:start w:val="1"/>
      <w:numFmt w:val="bullet"/>
      <w:lvlText w:val="•"/>
      <w:lvlJc w:val="left"/>
      <w:pPr>
        <w:tabs>
          <w:tab w:val="num" w:pos="720"/>
        </w:tabs>
        <w:ind w:left="720" w:hanging="360"/>
      </w:pPr>
      <w:rPr>
        <w:rFonts w:ascii="Calibri Light" w:hAnsi="Calibri Light" w:hint="default"/>
      </w:rPr>
    </w:lvl>
    <w:lvl w:ilvl="1" w:tplc="16424054" w:tentative="1">
      <w:start w:val="1"/>
      <w:numFmt w:val="bullet"/>
      <w:lvlText w:val="•"/>
      <w:lvlJc w:val="left"/>
      <w:pPr>
        <w:tabs>
          <w:tab w:val="num" w:pos="1440"/>
        </w:tabs>
        <w:ind w:left="1440" w:hanging="360"/>
      </w:pPr>
      <w:rPr>
        <w:rFonts w:ascii="Calibri Light" w:hAnsi="Calibri Light" w:hint="default"/>
      </w:rPr>
    </w:lvl>
    <w:lvl w:ilvl="2" w:tplc="41107A84" w:tentative="1">
      <w:start w:val="1"/>
      <w:numFmt w:val="bullet"/>
      <w:lvlText w:val="•"/>
      <w:lvlJc w:val="left"/>
      <w:pPr>
        <w:tabs>
          <w:tab w:val="num" w:pos="2160"/>
        </w:tabs>
        <w:ind w:left="2160" w:hanging="360"/>
      </w:pPr>
      <w:rPr>
        <w:rFonts w:ascii="Calibri Light" w:hAnsi="Calibri Light" w:hint="default"/>
      </w:rPr>
    </w:lvl>
    <w:lvl w:ilvl="3" w:tplc="958487F8" w:tentative="1">
      <w:start w:val="1"/>
      <w:numFmt w:val="bullet"/>
      <w:lvlText w:val="•"/>
      <w:lvlJc w:val="left"/>
      <w:pPr>
        <w:tabs>
          <w:tab w:val="num" w:pos="2880"/>
        </w:tabs>
        <w:ind w:left="2880" w:hanging="360"/>
      </w:pPr>
      <w:rPr>
        <w:rFonts w:ascii="Calibri Light" w:hAnsi="Calibri Light" w:hint="default"/>
      </w:rPr>
    </w:lvl>
    <w:lvl w:ilvl="4" w:tplc="95A45F0C" w:tentative="1">
      <w:start w:val="1"/>
      <w:numFmt w:val="bullet"/>
      <w:lvlText w:val="•"/>
      <w:lvlJc w:val="left"/>
      <w:pPr>
        <w:tabs>
          <w:tab w:val="num" w:pos="3600"/>
        </w:tabs>
        <w:ind w:left="3600" w:hanging="360"/>
      </w:pPr>
      <w:rPr>
        <w:rFonts w:ascii="Calibri Light" w:hAnsi="Calibri Light" w:hint="default"/>
      </w:rPr>
    </w:lvl>
    <w:lvl w:ilvl="5" w:tplc="AEB26454" w:tentative="1">
      <w:start w:val="1"/>
      <w:numFmt w:val="bullet"/>
      <w:lvlText w:val="•"/>
      <w:lvlJc w:val="left"/>
      <w:pPr>
        <w:tabs>
          <w:tab w:val="num" w:pos="4320"/>
        </w:tabs>
        <w:ind w:left="4320" w:hanging="360"/>
      </w:pPr>
      <w:rPr>
        <w:rFonts w:ascii="Calibri Light" w:hAnsi="Calibri Light" w:hint="default"/>
      </w:rPr>
    </w:lvl>
    <w:lvl w:ilvl="6" w:tplc="58FA0638" w:tentative="1">
      <w:start w:val="1"/>
      <w:numFmt w:val="bullet"/>
      <w:lvlText w:val="•"/>
      <w:lvlJc w:val="left"/>
      <w:pPr>
        <w:tabs>
          <w:tab w:val="num" w:pos="5040"/>
        </w:tabs>
        <w:ind w:left="5040" w:hanging="360"/>
      </w:pPr>
      <w:rPr>
        <w:rFonts w:ascii="Calibri Light" w:hAnsi="Calibri Light" w:hint="default"/>
      </w:rPr>
    </w:lvl>
    <w:lvl w:ilvl="7" w:tplc="EC680EC2" w:tentative="1">
      <w:start w:val="1"/>
      <w:numFmt w:val="bullet"/>
      <w:lvlText w:val="•"/>
      <w:lvlJc w:val="left"/>
      <w:pPr>
        <w:tabs>
          <w:tab w:val="num" w:pos="5760"/>
        </w:tabs>
        <w:ind w:left="5760" w:hanging="360"/>
      </w:pPr>
      <w:rPr>
        <w:rFonts w:ascii="Calibri Light" w:hAnsi="Calibri Light" w:hint="default"/>
      </w:rPr>
    </w:lvl>
    <w:lvl w:ilvl="8" w:tplc="A740B0B6" w:tentative="1">
      <w:start w:val="1"/>
      <w:numFmt w:val="bullet"/>
      <w:lvlText w:val="•"/>
      <w:lvlJc w:val="left"/>
      <w:pPr>
        <w:tabs>
          <w:tab w:val="num" w:pos="6480"/>
        </w:tabs>
        <w:ind w:left="6480" w:hanging="360"/>
      </w:pPr>
      <w:rPr>
        <w:rFonts w:ascii="Calibri Light" w:hAnsi="Calibri Light" w:hint="default"/>
      </w:rPr>
    </w:lvl>
  </w:abstractNum>
  <w:abstractNum w:abstractNumId="8" w15:restartNumberingAfterBreak="0">
    <w:nsid w:val="132931D9"/>
    <w:multiLevelType w:val="hybridMultilevel"/>
    <w:tmpl w:val="3E5E1CCE"/>
    <w:lvl w:ilvl="0" w:tplc="577EDD9C">
      <w:start w:val="1"/>
      <w:numFmt w:val="bullet"/>
      <w:lvlText w:val=""/>
      <w:lvlJc w:val="left"/>
      <w:pPr>
        <w:ind w:left="720" w:hanging="360"/>
      </w:pPr>
      <w:rPr>
        <w:rFonts w:ascii="Symbol" w:hAnsi="Symbol"/>
      </w:rPr>
    </w:lvl>
    <w:lvl w:ilvl="1" w:tplc="4F3C498E">
      <w:start w:val="1"/>
      <w:numFmt w:val="bullet"/>
      <w:lvlText w:val=""/>
      <w:lvlJc w:val="left"/>
      <w:pPr>
        <w:ind w:left="720" w:hanging="360"/>
      </w:pPr>
      <w:rPr>
        <w:rFonts w:ascii="Symbol" w:hAnsi="Symbol"/>
      </w:rPr>
    </w:lvl>
    <w:lvl w:ilvl="2" w:tplc="58809B02">
      <w:start w:val="1"/>
      <w:numFmt w:val="bullet"/>
      <w:lvlText w:val=""/>
      <w:lvlJc w:val="left"/>
      <w:pPr>
        <w:ind w:left="720" w:hanging="360"/>
      </w:pPr>
      <w:rPr>
        <w:rFonts w:ascii="Symbol" w:hAnsi="Symbol"/>
      </w:rPr>
    </w:lvl>
    <w:lvl w:ilvl="3" w:tplc="4502BBD0">
      <w:start w:val="1"/>
      <w:numFmt w:val="bullet"/>
      <w:lvlText w:val=""/>
      <w:lvlJc w:val="left"/>
      <w:pPr>
        <w:ind w:left="720" w:hanging="360"/>
      </w:pPr>
      <w:rPr>
        <w:rFonts w:ascii="Symbol" w:hAnsi="Symbol"/>
      </w:rPr>
    </w:lvl>
    <w:lvl w:ilvl="4" w:tplc="89620636">
      <w:start w:val="1"/>
      <w:numFmt w:val="bullet"/>
      <w:lvlText w:val=""/>
      <w:lvlJc w:val="left"/>
      <w:pPr>
        <w:ind w:left="720" w:hanging="360"/>
      </w:pPr>
      <w:rPr>
        <w:rFonts w:ascii="Symbol" w:hAnsi="Symbol"/>
      </w:rPr>
    </w:lvl>
    <w:lvl w:ilvl="5" w:tplc="C4D845FA">
      <w:start w:val="1"/>
      <w:numFmt w:val="bullet"/>
      <w:lvlText w:val=""/>
      <w:lvlJc w:val="left"/>
      <w:pPr>
        <w:ind w:left="720" w:hanging="360"/>
      </w:pPr>
      <w:rPr>
        <w:rFonts w:ascii="Symbol" w:hAnsi="Symbol"/>
      </w:rPr>
    </w:lvl>
    <w:lvl w:ilvl="6" w:tplc="D8D046AC">
      <w:start w:val="1"/>
      <w:numFmt w:val="bullet"/>
      <w:lvlText w:val=""/>
      <w:lvlJc w:val="left"/>
      <w:pPr>
        <w:ind w:left="720" w:hanging="360"/>
      </w:pPr>
      <w:rPr>
        <w:rFonts w:ascii="Symbol" w:hAnsi="Symbol"/>
      </w:rPr>
    </w:lvl>
    <w:lvl w:ilvl="7" w:tplc="939C377C">
      <w:start w:val="1"/>
      <w:numFmt w:val="bullet"/>
      <w:lvlText w:val=""/>
      <w:lvlJc w:val="left"/>
      <w:pPr>
        <w:ind w:left="720" w:hanging="360"/>
      </w:pPr>
      <w:rPr>
        <w:rFonts w:ascii="Symbol" w:hAnsi="Symbol"/>
      </w:rPr>
    </w:lvl>
    <w:lvl w:ilvl="8" w:tplc="1B8C1DD4">
      <w:start w:val="1"/>
      <w:numFmt w:val="bullet"/>
      <w:lvlText w:val=""/>
      <w:lvlJc w:val="left"/>
      <w:pPr>
        <w:ind w:left="720" w:hanging="360"/>
      </w:pPr>
      <w:rPr>
        <w:rFonts w:ascii="Symbol" w:hAnsi="Symbol"/>
      </w:rPr>
    </w:lvl>
  </w:abstractNum>
  <w:abstractNum w:abstractNumId="9" w15:restartNumberingAfterBreak="0">
    <w:nsid w:val="165F60A1"/>
    <w:multiLevelType w:val="hybridMultilevel"/>
    <w:tmpl w:val="974CB446"/>
    <w:lvl w:ilvl="0" w:tplc="69F8CCF4">
      <w:start w:val="1"/>
      <w:numFmt w:val="bullet"/>
      <w:lvlText w:val=""/>
      <w:lvlJc w:val="left"/>
      <w:pPr>
        <w:ind w:left="1020" w:hanging="360"/>
      </w:pPr>
      <w:rPr>
        <w:rFonts w:ascii="Symbol" w:hAnsi="Symbol"/>
      </w:rPr>
    </w:lvl>
    <w:lvl w:ilvl="1" w:tplc="462A27B0">
      <w:start w:val="1"/>
      <w:numFmt w:val="bullet"/>
      <w:lvlText w:val=""/>
      <w:lvlJc w:val="left"/>
      <w:pPr>
        <w:ind w:left="1020" w:hanging="360"/>
      </w:pPr>
      <w:rPr>
        <w:rFonts w:ascii="Symbol" w:hAnsi="Symbol"/>
      </w:rPr>
    </w:lvl>
    <w:lvl w:ilvl="2" w:tplc="13D66478">
      <w:start w:val="1"/>
      <w:numFmt w:val="bullet"/>
      <w:lvlText w:val=""/>
      <w:lvlJc w:val="left"/>
      <w:pPr>
        <w:ind w:left="1020" w:hanging="360"/>
      </w:pPr>
      <w:rPr>
        <w:rFonts w:ascii="Symbol" w:hAnsi="Symbol"/>
      </w:rPr>
    </w:lvl>
    <w:lvl w:ilvl="3" w:tplc="C3B0C24C">
      <w:start w:val="1"/>
      <w:numFmt w:val="bullet"/>
      <w:lvlText w:val=""/>
      <w:lvlJc w:val="left"/>
      <w:pPr>
        <w:ind w:left="1020" w:hanging="360"/>
      </w:pPr>
      <w:rPr>
        <w:rFonts w:ascii="Symbol" w:hAnsi="Symbol"/>
      </w:rPr>
    </w:lvl>
    <w:lvl w:ilvl="4" w:tplc="6DA0FD40">
      <w:start w:val="1"/>
      <w:numFmt w:val="bullet"/>
      <w:lvlText w:val=""/>
      <w:lvlJc w:val="left"/>
      <w:pPr>
        <w:ind w:left="1020" w:hanging="360"/>
      </w:pPr>
      <w:rPr>
        <w:rFonts w:ascii="Symbol" w:hAnsi="Symbol"/>
      </w:rPr>
    </w:lvl>
    <w:lvl w:ilvl="5" w:tplc="4CE66C0E">
      <w:start w:val="1"/>
      <w:numFmt w:val="bullet"/>
      <w:lvlText w:val=""/>
      <w:lvlJc w:val="left"/>
      <w:pPr>
        <w:ind w:left="1020" w:hanging="360"/>
      </w:pPr>
      <w:rPr>
        <w:rFonts w:ascii="Symbol" w:hAnsi="Symbol"/>
      </w:rPr>
    </w:lvl>
    <w:lvl w:ilvl="6" w:tplc="BDC8314E">
      <w:start w:val="1"/>
      <w:numFmt w:val="bullet"/>
      <w:lvlText w:val=""/>
      <w:lvlJc w:val="left"/>
      <w:pPr>
        <w:ind w:left="1020" w:hanging="360"/>
      </w:pPr>
      <w:rPr>
        <w:rFonts w:ascii="Symbol" w:hAnsi="Symbol"/>
      </w:rPr>
    </w:lvl>
    <w:lvl w:ilvl="7" w:tplc="FA9A9AE6">
      <w:start w:val="1"/>
      <w:numFmt w:val="bullet"/>
      <w:lvlText w:val=""/>
      <w:lvlJc w:val="left"/>
      <w:pPr>
        <w:ind w:left="1020" w:hanging="360"/>
      </w:pPr>
      <w:rPr>
        <w:rFonts w:ascii="Symbol" w:hAnsi="Symbol"/>
      </w:rPr>
    </w:lvl>
    <w:lvl w:ilvl="8" w:tplc="02D859C4">
      <w:start w:val="1"/>
      <w:numFmt w:val="bullet"/>
      <w:lvlText w:val=""/>
      <w:lvlJc w:val="left"/>
      <w:pPr>
        <w:ind w:left="1020" w:hanging="360"/>
      </w:pPr>
      <w:rPr>
        <w:rFonts w:ascii="Symbol" w:hAnsi="Symbol"/>
      </w:rPr>
    </w:lvl>
  </w:abstractNum>
  <w:abstractNum w:abstractNumId="10" w15:restartNumberingAfterBreak="0">
    <w:nsid w:val="18006A55"/>
    <w:multiLevelType w:val="hybridMultilevel"/>
    <w:tmpl w:val="1070E97E"/>
    <w:lvl w:ilvl="0" w:tplc="23E098DA">
      <w:start w:val="1"/>
      <w:numFmt w:val="bullet"/>
      <w:lvlText w:val=""/>
      <w:lvlJc w:val="left"/>
      <w:pPr>
        <w:ind w:left="720" w:hanging="360"/>
      </w:pPr>
      <w:rPr>
        <w:rFonts w:ascii="Symbol" w:hAnsi="Symbol"/>
      </w:rPr>
    </w:lvl>
    <w:lvl w:ilvl="1" w:tplc="4914E6B0">
      <w:start w:val="1"/>
      <w:numFmt w:val="bullet"/>
      <w:lvlText w:val=""/>
      <w:lvlJc w:val="left"/>
      <w:pPr>
        <w:ind w:left="720" w:hanging="360"/>
      </w:pPr>
      <w:rPr>
        <w:rFonts w:ascii="Symbol" w:hAnsi="Symbol"/>
      </w:rPr>
    </w:lvl>
    <w:lvl w:ilvl="2" w:tplc="74DA4FFA">
      <w:start w:val="1"/>
      <w:numFmt w:val="bullet"/>
      <w:lvlText w:val=""/>
      <w:lvlJc w:val="left"/>
      <w:pPr>
        <w:ind w:left="720" w:hanging="360"/>
      </w:pPr>
      <w:rPr>
        <w:rFonts w:ascii="Symbol" w:hAnsi="Symbol"/>
      </w:rPr>
    </w:lvl>
    <w:lvl w:ilvl="3" w:tplc="8EE45820">
      <w:start w:val="1"/>
      <w:numFmt w:val="bullet"/>
      <w:lvlText w:val=""/>
      <w:lvlJc w:val="left"/>
      <w:pPr>
        <w:ind w:left="720" w:hanging="360"/>
      </w:pPr>
      <w:rPr>
        <w:rFonts w:ascii="Symbol" w:hAnsi="Symbol"/>
      </w:rPr>
    </w:lvl>
    <w:lvl w:ilvl="4" w:tplc="3C48E00A">
      <w:start w:val="1"/>
      <w:numFmt w:val="bullet"/>
      <w:lvlText w:val=""/>
      <w:lvlJc w:val="left"/>
      <w:pPr>
        <w:ind w:left="720" w:hanging="360"/>
      </w:pPr>
      <w:rPr>
        <w:rFonts w:ascii="Symbol" w:hAnsi="Symbol"/>
      </w:rPr>
    </w:lvl>
    <w:lvl w:ilvl="5" w:tplc="7898EEFA">
      <w:start w:val="1"/>
      <w:numFmt w:val="bullet"/>
      <w:lvlText w:val=""/>
      <w:lvlJc w:val="left"/>
      <w:pPr>
        <w:ind w:left="720" w:hanging="360"/>
      </w:pPr>
      <w:rPr>
        <w:rFonts w:ascii="Symbol" w:hAnsi="Symbol"/>
      </w:rPr>
    </w:lvl>
    <w:lvl w:ilvl="6" w:tplc="943661A8">
      <w:start w:val="1"/>
      <w:numFmt w:val="bullet"/>
      <w:lvlText w:val=""/>
      <w:lvlJc w:val="left"/>
      <w:pPr>
        <w:ind w:left="720" w:hanging="360"/>
      </w:pPr>
      <w:rPr>
        <w:rFonts w:ascii="Symbol" w:hAnsi="Symbol"/>
      </w:rPr>
    </w:lvl>
    <w:lvl w:ilvl="7" w:tplc="027ED31C">
      <w:start w:val="1"/>
      <w:numFmt w:val="bullet"/>
      <w:lvlText w:val=""/>
      <w:lvlJc w:val="left"/>
      <w:pPr>
        <w:ind w:left="720" w:hanging="360"/>
      </w:pPr>
      <w:rPr>
        <w:rFonts w:ascii="Symbol" w:hAnsi="Symbol"/>
      </w:rPr>
    </w:lvl>
    <w:lvl w:ilvl="8" w:tplc="568A72F8">
      <w:start w:val="1"/>
      <w:numFmt w:val="bullet"/>
      <w:lvlText w:val=""/>
      <w:lvlJc w:val="left"/>
      <w:pPr>
        <w:ind w:left="720" w:hanging="360"/>
      </w:pPr>
      <w:rPr>
        <w:rFonts w:ascii="Symbol" w:hAnsi="Symbol"/>
      </w:rPr>
    </w:lvl>
  </w:abstractNum>
  <w:abstractNum w:abstractNumId="11" w15:restartNumberingAfterBreak="0">
    <w:nsid w:val="19F90BE0"/>
    <w:multiLevelType w:val="multilevel"/>
    <w:tmpl w:val="6466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493098"/>
    <w:multiLevelType w:val="hybridMultilevel"/>
    <w:tmpl w:val="CDF4C732"/>
    <w:lvl w:ilvl="0" w:tplc="774AC010">
      <w:start w:val="1"/>
      <w:numFmt w:val="bullet"/>
      <w:lvlText w:val="•"/>
      <w:lvlJc w:val="left"/>
      <w:pPr>
        <w:tabs>
          <w:tab w:val="num" w:pos="720"/>
        </w:tabs>
        <w:ind w:left="720" w:hanging="360"/>
      </w:pPr>
      <w:rPr>
        <w:rFonts w:ascii="Calibri Light" w:hAnsi="Calibri Light" w:hint="default"/>
      </w:rPr>
    </w:lvl>
    <w:lvl w:ilvl="1" w:tplc="B300A378" w:tentative="1">
      <w:start w:val="1"/>
      <w:numFmt w:val="bullet"/>
      <w:lvlText w:val="•"/>
      <w:lvlJc w:val="left"/>
      <w:pPr>
        <w:tabs>
          <w:tab w:val="num" w:pos="1440"/>
        </w:tabs>
        <w:ind w:left="1440" w:hanging="360"/>
      </w:pPr>
      <w:rPr>
        <w:rFonts w:ascii="Calibri Light" w:hAnsi="Calibri Light" w:hint="default"/>
      </w:rPr>
    </w:lvl>
    <w:lvl w:ilvl="2" w:tplc="99CE169A" w:tentative="1">
      <w:start w:val="1"/>
      <w:numFmt w:val="bullet"/>
      <w:lvlText w:val="•"/>
      <w:lvlJc w:val="left"/>
      <w:pPr>
        <w:tabs>
          <w:tab w:val="num" w:pos="2160"/>
        </w:tabs>
        <w:ind w:left="2160" w:hanging="360"/>
      </w:pPr>
      <w:rPr>
        <w:rFonts w:ascii="Calibri Light" w:hAnsi="Calibri Light" w:hint="default"/>
      </w:rPr>
    </w:lvl>
    <w:lvl w:ilvl="3" w:tplc="5FF80FC2" w:tentative="1">
      <w:start w:val="1"/>
      <w:numFmt w:val="bullet"/>
      <w:lvlText w:val="•"/>
      <w:lvlJc w:val="left"/>
      <w:pPr>
        <w:tabs>
          <w:tab w:val="num" w:pos="2880"/>
        </w:tabs>
        <w:ind w:left="2880" w:hanging="360"/>
      </w:pPr>
      <w:rPr>
        <w:rFonts w:ascii="Calibri Light" w:hAnsi="Calibri Light" w:hint="default"/>
      </w:rPr>
    </w:lvl>
    <w:lvl w:ilvl="4" w:tplc="C4383EEC" w:tentative="1">
      <w:start w:val="1"/>
      <w:numFmt w:val="bullet"/>
      <w:lvlText w:val="•"/>
      <w:lvlJc w:val="left"/>
      <w:pPr>
        <w:tabs>
          <w:tab w:val="num" w:pos="3600"/>
        </w:tabs>
        <w:ind w:left="3600" w:hanging="360"/>
      </w:pPr>
      <w:rPr>
        <w:rFonts w:ascii="Calibri Light" w:hAnsi="Calibri Light" w:hint="default"/>
      </w:rPr>
    </w:lvl>
    <w:lvl w:ilvl="5" w:tplc="37203076" w:tentative="1">
      <w:start w:val="1"/>
      <w:numFmt w:val="bullet"/>
      <w:lvlText w:val="•"/>
      <w:lvlJc w:val="left"/>
      <w:pPr>
        <w:tabs>
          <w:tab w:val="num" w:pos="4320"/>
        </w:tabs>
        <w:ind w:left="4320" w:hanging="360"/>
      </w:pPr>
      <w:rPr>
        <w:rFonts w:ascii="Calibri Light" w:hAnsi="Calibri Light" w:hint="default"/>
      </w:rPr>
    </w:lvl>
    <w:lvl w:ilvl="6" w:tplc="8A186406" w:tentative="1">
      <w:start w:val="1"/>
      <w:numFmt w:val="bullet"/>
      <w:lvlText w:val="•"/>
      <w:lvlJc w:val="left"/>
      <w:pPr>
        <w:tabs>
          <w:tab w:val="num" w:pos="5040"/>
        </w:tabs>
        <w:ind w:left="5040" w:hanging="360"/>
      </w:pPr>
      <w:rPr>
        <w:rFonts w:ascii="Calibri Light" w:hAnsi="Calibri Light" w:hint="default"/>
      </w:rPr>
    </w:lvl>
    <w:lvl w:ilvl="7" w:tplc="BD3A14E2" w:tentative="1">
      <w:start w:val="1"/>
      <w:numFmt w:val="bullet"/>
      <w:lvlText w:val="•"/>
      <w:lvlJc w:val="left"/>
      <w:pPr>
        <w:tabs>
          <w:tab w:val="num" w:pos="5760"/>
        </w:tabs>
        <w:ind w:left="5760" w:hanging="360"/>
      </w:pPr>
      <w:rPr>
        <w:rFonts w:ascii="Calibri Light" w:hAnsi="Calibri Light" w:hint="default"/>
      </w:rPr>
    </w:lvl>
    <w:lvl w:ilvl="8" w:tplc="958A4868" w:tentative="1">
      <w:start w:val="1"/>
      <w:numFmt w:val="bullet"/>
      <w:lvlText w:val="•"/>
      <w:lvlJc w:val="left"/>
      <w:pPr>
        <w:tabs>
          <w:tab w:val="num" w:pos="6480"/>
        </w:tabs>
        <w:ind w:left="6480" w:hanging="360"/>
      </w:pPr>
      <w:rPr>
        <w:rFonts w:ascii="Calibri Light" w:hAnsi="Calibri Light" w:hint="default"/>
      </w:rPr>
    </w:lvl>
  </w:abstractNum>
  <w:abstractNum w:abstractNumId="13" w15:restartNumberingAfterBreak="0">
    <w:nsid w:val="1F065F90"/>
    <w:multiLevelType w:val="multilevel"/>
    <w:tmpl w:val="0C09001D"/>
    <w:styleLink w:val="AusGovStyleManualList"/>
    <w:lvl w:ilvl="0">
      <w:start w:val="1"/>
      <w:numFmt w:val="bullet"/>
      <w:lvlText w:val="•"/>
      <w:lvlJc w:val="left"/>
      <w:pPr>
        <w:ind w:left="360" w:hanging="360"/>
      </w:pPr>
      <w:rPr>
        <w:rFonts w:asciiTheme="minorHAnsi" w:hAnsiTheme="minorHAnsi" w:hint="default"/>
        <w:color w:val="auto"/>
      </w:rPr>
    </w:lvl>
    <w:lvl w:ilvl="1">
      <w:start w:val="1"/>
      <w:numFmt w:val="bullet"/>
      <w:lvlText w:val="‐"/>
      <w:lvlJc w:val="left"/>
      <w:pPr>
        <w:ind w:left="720" w:hanging="360"/>
      </w:pPr>
      <w:rPr>
        <w:rFonts w:asciiTheme="minorHAnsi" w:hAnsiTheme="minorHAnsi" w:hint="default"/>
        <w:color w:val="auto"/>
      </w:rPr>
    </w:lvl>
    <w:lvl w:ilvl="2">
      <w:start w:val="1"/>
      <w:numFmt w:val="bullet"/>
      <w:lvlText w:val="◦"/>
      <w:lvlJc w:val="left"/>
      <w:pPr>
        <w:ind w:left="1080" w:hanging="360"/>
      </w:pPr>
      <w:rPr>
        <w:rFonts w:asciiTheme="minorHAnsi" w:hAnsiTheme="minorHAnsi" w:hint="default"/>
        <w:color w:val="auto"/>
      </w:rPr>
    </w:lvl>
    <w:lvl w:ilvl="3">
      <w:start w:val="1"/>
      <w:numFmt w:val="bullet"/>
      <w:lvlText w:val="▪"/>
      <w:lvlJc w:val="left"/>
      <w:pPr>
        <w:ind w:left="1440" w:hanging="360"/>
      </w:pPr>
      <w:rPr>
        <w:rFonts w:asciiTheme="minorHAnsi" w:hAnsiTheme="minorHAnsi" w:hint="default"/>
        <w:color w:val="auto"/>
      </w:rPr>
    </w:lvl>
    <w:lvl w:ilvl="4">
      <w:start w:val="1"/>
      <w:numFmt w:val="bullet"/>
      <w:lvlText w:val="▫"/>
      <w:lvlJc w:val="left"/>
      <w:pPr>
        <w:ind w:left="1800" w:hanging="360"/>
      </w:pPr>
      <w:rPr>
        <w:rFonts w:asciiTheme="minorHAnsi" w:hAnsiTheme="minorHAnsi"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F222166"/>
    <w:multiLevelType w:val="hybridMultilevel"/>
    <w:tmpl w:val="F992FC4A"/>
    <w:lvl w:ilvl="0" w:tplc="6D98BB4C">
      <w:start w:val="1"/>
      <w:numFmt w:val="bullet"/>
      <w:lvlText w:val=""/>
      <w:lvlJc w:val="left"/>
      <w:pPr>
        <w:ind w:left="1020" w:hanging="360"/>
      </w:pPr>
      <w:rPr>
        <w:rFonts w:ascii="Symbol" w:hAnsi="Symbol"/>
      </w:rPr>
    </w:lvl>
    <w:lvl w:ilvl="1" w:tplc="CDA016AE">
      <w:start w:val="1"/>
      <w:numFmt w:val="bullet"/>
      <w:lvlText w:val=""/>
      <w:lvlJc w:val="left"/>
      <w:pPr>
        <w:ind w:left="1020" w:hanging="360"/>
      </w:pPr>
      <w:rPr>
        <w:rFonts w:ascii="Symbol" w:hAnsi="Symbol"/>
      </w:rPr>
    </w:lvl>
    <w:lvl w:ilvl="2" w:tplc="5C1896F2">
      <w:start w:val="1"/>
      <w:numFmt w:val="bullet"/>
      <w:lvlText w:val=""/>
      <w:lvlJc w:val="left"/>
      <w:pPr>
        <w:ind w:left="1020" w:hanging="360"/>
      </w:pPr>
      <w:rPr>
        <w:rFonts w:ascii="Symbol" w:hAnsi="Symbol"/>
      </w:rPr>
    </w:lvl>
    <w:lvl w:ilvl="3" w:tplc="59487AB2">
      <w:start w:val="1"/>
      <w:numFmt w:val="bullet"/>
      <w:lvlText w:val=""/>
      <w:lvlJc w:val="left"/>
      <w:pPr>
        <w:ind w:left="1020" w:hanging="360"/>
      </w:pPr>
      <w:rPr>
        <w:rFonts w:ascii="Symbol" w:hAnsi="Symbol"/>
      </w:rPr>
    </w:lvl>
    <w:lvl w:ilvl="4" w:tplc="6E9A93D4">
      <w:start w:val="1"/>
      <w:numFmt w:val="bullet"/>
      <w:lvlText w:val=""/>
      <w:lvlJc w:val="left"/>
      <w:pPr>
        <w:ind w:left="1020" w:hanging="360"/>
      </w:pPr>
      <w:rPr>
        <w:rFonts w:ascii="Symbol" w:hAnsi="Symbol"/>
      </w:rPr>
    </w:lvl>
    <w:lvl w:ilvl="5" w:tplc="D9C4F806">
      <w:start w:val="1"/>
      <w:numFmt w:val="bullet"/>
      <w:lvlText w:val=""/>
      <w:lvlJc w:val="left"/>
      <w:pPr>
        <w:ind w:left="1020" w:hanging="360"/>
      </w:pPr>
      <w:rPr>
        <w:rFonts w:ascii="Symbol" w:hAnsi="Symbol"/>
      </w:rPr>
    </w:lvl>
    <w:lvl w:ilvl="6" w:tplc="C8748B06">
      <w:start w:val="1"/>
      <w:numFmt w:val="bullet"/>
      <w:lvlText w:val=""/>
      <w:lvlJc w:val="left"/>
      <w:pPr>
        <w:ind w:left="1020" w:hanging="360"/>
      </w:pPr>
      <w:rPr>
        <w:rFonts w:ascii="Symbol" w:hAnsi="Symbol"/>
      </w:rPr>
    </w:lvl>
    <w:lvl w:ilvl="7" w:tplc="0ACEC0AA">
      <w:start w:val="1"/>
      <w:numFmt w:val="bullet"/>
      <w:lvlText w:val=""/>
      <w:lvlJc w:val="left"/>
      <w:pPr>
        <w:ind w:left="1020" w:hanging="360"/>
      </w:pPr>
      <w:rPr>
        <w:rFonts w:ascii="Symbol" w:hAnsi="Symbol"/>
      </w:rPr>
    </w:lvl>
    <w:lvl w:ilvl="8" w:tplc="F12E34EE">
      <w:start w:val="1"/>
      <w:numFmt w:val="bullet"/>
      <w:lvlText w:val=""/>
      <w:lvlJc w:val="left"/>
      <w:pPr>
        <w:ind w:left="1020" w:hanging="360"/>
      </w:pPr>
      <w:rPr>
        <w:rFonts w:ascii="Symbol" w:hAnsi="Symbol"/>
      </w:rPr>
    </w:lvl>
  </w:abstractNum>
  <w:abstractNum w:abstractNumId="15" w15:restartNumberingAfterBreak="0">
    <w:nsid w:val="22E60040"/>
    <w:multiLevelType w:val="hybridMultilevel"/>
    <w:tmpl w:val="ACE44CA4"/>
    <w:lvl w:ilvl="0" w:tplc="92F4154A">
      <w:start w:val="1"/>
      <w:numFmt w:val="bullet"/>
      <w:lvlText w:val=""/>
      <w:lvlJc w:val="left"/>
      <w:pPr>
        <w:ind w:left="1020" w:hanging="360"/>
      </w:pPr>
      <w:rPr>
        <w:rFonts w:ascii="Symbol" w:hAnsi="Symbol"/>
      </w:rPr>
    </w:lvl>
    <w:lvl w:ilvl="1" w:tplc="2B9669FE">
      <w:start w:val="1"/>
      <w:numFmt w:val="bullet"/>
      <w:lvlText w:val=""/>
      <w:lvlJc w:val="left"/>
      <w:pPr>
        <w:ind w:left="1020" w:hanging="360"/>
      </w:pPr>
      <w:rPr>
        <w:rFonts w:ascii="Symbol" w:hAnsi="Symbol"/>
      </w:rPr>
    </w:lvl>
    <w:lvl w:ilvl="2" w:tplc="C532A1A2">
      <w:start w:val="1"/>
      <w:numFmt w:val="bullet"/>
      <w:lvlText w:val=""/>
      <w:lvlJc w:val="left"/>
      <w:pPr>
        <w:ind w:left="1020" w:hanging="360"/>
      </w:pPr>
      <w:rPr>
        <w:rFonts w:ascii="Symbol" w:hAnsi="Symbol"/>
      </w:rPr>
    </w:lvl>
    <w:lvl w:ilvl="3" w:tplc="518CD3A2">
      <w:start w:val="1"/>
      <w:numFmt w:val="bullet"/>
      <w:lvlText w:val=""/>
      <w:lvlJc w:val="left"/>
      <w:pPr>
        <w:ind w:left="1020" w:hanging="360"/>
      </w:pPr>
      <w:rPr>
        <w:rFonts w:ascii="Symbol" w:hAnsi="Symbol"/>
      </w:rPr>
    </w:lvl>
    <w:lvl w:ilvl="4" w:tplc="A4224D34">
      <w:start w:val="1"/>
      <w:numFmt w:val="bullet"/>
      <w:lvlText w:val=""/>
      <w:lvlJc w:val="left"/>
      <w:pPr>
        <w:ind w:left="1020" w:hanging="360"/>
      </w:pPr>
      <w:rPr>
        <w:rFonts w:ascii="Symbol" w:hAnsi="Symbol"/>
      </w:rPr>
    </w:lvl>
    <w:lvl w:ilvl="5" w:tplc="2E42F19A">
      <w:start w:val="1"/>
      <w:numFmt w:val="bullet"/>
      <w:lvlText w:val=""/>
      <w:lvlJc w:val="left"/>
      <w:pPr>
        <w:ind w:left="1020" w:hanging="360"/>
      </w:pPr>
      <w:rPr>
        <w:rFonts w:ascii="Symbol" w:hAnsi="Symbol"/>
      </w:rPr>
    </w:lvl>
    <w:lvl w:ilvl="6" w:tplc="4FE09912">
      <w:start w:val="1"/>
      <w:numFmt w:val="bullet"/>
      <w:lvlText w:val=""/>
      <w:lvlJc w:val="left"/>
      <w:pPr>
        <w:ind w:left="1020" w:hanging="360"/>
      </w:pPr>
      <w:rPr>
        <w:rFonts w:ascii="Symbol" w:hAnsi="Symbol"/>
      </w:rPr>
    </w:lvl>
    <w:lvl w:ilvl="7" w:tplc="CEA64F96">
      <w:start w:val="1"/>
      <w:numFmt w:val="bullet"/>
      <w:lvlText w:val=""/>
      <w:lvlJc w:val="left"/>
      <w:pPr>
        <w:ind w:left="1020" w:hanging="360"/>
      </w:pPr>
      <w:rPr>
        <w:rFonts w:ascii="Symbol" w:hAnsi="Symbol"/>
      </w:rPr>
    </w:lvl>
    <w:lvl w:ilvl="8" w:tplc="96525ACE">
      <w:start w:val="1"/>
      <w:numFmt w:val="bullet"/>
      <w:lvlText w:val=""/>
      <w:lvlJc w:val="left"/>
      <w:pPr>
        <w:ind w:left="1020" w:hanging="360"/>
      </w:pPr>
      <w:rPr>
        <w:rFonts w:ascii="Symbol" w:hAnsi="Symbol"/>
      </w:rPr>
    </w:lvl>
  </w:abstractNum>
  <w:abstractNum w:abstractNumId="16" w15:restartNumberingAfterBreak="0">
    <w:nsid w:val="24B86F52"/>
    <w:multiLevelType w:val="hybridMultilevel"/>
    <w:tmpl w:val="B7E6766C"/>
    <w:lvl w:ilvl="0" w:tplc="6AB284FC">
      <w:start w:val="1"/>
      <w:numFmt w:val="bullet"/>
      <w:lvlText w:val=""/>
      <w:lvlJc w:val="left"/>
      <w:pPr>
        <w:ind w:left="1020" w:hanging="360"/>
      </w:pPr>
      <w:rPr>
        <w:rFonts w:ascii="Symbol" w:hAnsi="Symbol"/>
      </w:rPr>
    </w:lvl>
    <w:lvl w:ilvl="1" w:tplc="499AF870">
      <w:start w:val="1"/>
      <w:numFmt w:val="bullet"/>
      <w:lvlText w:val=""/>
      <w:lvlJc w:val="left"/>
      <w:pPr>
        <w:ind w:left="1020" w:hanging="360"/>
      </w:pPr>
      <w:rPr>
        <w:rFonts w:ascii="Symbol" w:hAnsi="Symbol"/>
      </w:rPr>
    </w:lvl>
    <w:lvl w:ilvl="2" w:tplc="7DBAB636">
      <w:start w:val="1"/>
      <w:numFmt w:val="bullet"/>
      <w:lvlText w:val=""/>
      <w:lvlJc w:val="left"/>
      <w:pPr>
        <w:ind w:left="1020" w:hanging="360"/>
      </w:pPr>
      <w:rPr>
        <w:rFonts w:ascii="Symbol" w:hAnsi="Symbol"/>
      </w:rPr>
    </w:lvl>
    <w:lvl w:ilvl="3" w:tplc="BA48F1C0">
      <w:start w:val="1"/>
      <w:numFmt w:val="bullet"/>
      <w:lvlText w:val=""/>
      <w:lvlJc w:val="left"/>
      <w:pPr>
        <w:ind w:left="1020" w:hanging="360"/>
      </w:pPr>
      <w:rPr>
        <w:rFonts w:ascii="Symbol" w:hAnsi="Symbol"/>
      </w:rPr>
    </w:lvl>
    <w:lvl w:ilvl="4" w:tplc="D416EC16">
      <w:start w:val="1"/>
      <w:numFmt w:val="bullet"/>
      <w:lvlText w:val=""/>
      <w:lvlJc w:val="left"/>
      <w:pPr>
        <w:ind w:left="1020" w:hanging="360"/>
      </w:pPr>
      <w:rPr>
        <w:rFonts w:ascii="Symbol" w:hAnsi="Symbol"/>
      </w:rPr>
    </w:lvl>
    <w:lvl w:ilvl="5" w:tplc="CCAA41C0">
      <w:start w:val="1"/>
      <w:numFmt w:val="bullet"/>
      <w:lvlText w:val=""/>
      <w:lvlJc w:val="left"/>
      <w:pPr>
        <w:ind w:left="1020" w:hanging="360"/>
      </w:pPr>
      <w:rPr>
        <w:rFonts w:ascii="Symbol" w:hAnsi="Symbol"/>
      </w:rPr>
    </w:lvl>
    <w:lvl w:ilvl="6" w:tplc="DDBAC1F2">
      <w:start w:val="1"/>
      <w:numFmt w:val="bullet"/>
      <w:lvlText w:val=""/>
      <w:lvlJc w:val="left"/>
      <w:pPr>
        <w:ind w:left="1020" w:hanging="360"/>
      </w:pPr>
      <w:rPr>
        <w:rFonts w:ascii="Symbol" w:hAnsi="Symbol"/>
      </w:rPr>
    </w:lvl>
    <w:lvl w:ilvl="7" w:tplc="EDB030C2">
      <w:start w:val="1"/>
      <w:numFmt w:val="bullet"/>
      <w:lvlText w:val=""/>
      <w:lvlJc w:val="left"/>
      <w:pPr>
        <w:ind w:left="1020" w:hanging="360"/>
      </w:pPr>
      <w:rPr>
        <w:rFonts w:ascii="Symbol" w:hAnsi="Symbol"/>
      </w:rPr>
    </w:lvl>
    <w:lvl w:ilvl="8" w:tplc="CBF628D0">
      <w:start w:val="1"/>
      <w:numFmt w:val="bullet"/>
      <w:lvlText w:val=""/>
      <w:lvlJc w:val="left"/>
      <w:pPr>
        <w:ind w:left="1020" w:hanging="360"/>
      </w:pPr>
      <w:rPr>
        <w:rFonts w:ascii="Symbol" w:hAnsi="Symbol"/>
      </w:rPr>
    </w:lvl>
  </w:abstractNum>
  <w:abstractNum w:abstractNumId="17" w15:restartNumberingAfterBreak="0">
    <w:nsid w:val="261E108B"/>
    <w:multiLevelType w:val="multilevel"/>
    <w:tmpl w:val="B2D8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772A46"/>
    <w:multiLevelType w:val="multilevel"/>
    <w:tmpl w:val="CEDA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537F40"/>
    <w:multiLevelType w:val="hybridMultilevel"/>
    <w:tmpl w:val="273483B2"/>
    <w:lvl w:ilvl="0" w:tplc="C5C6F00A">
      <w:start w:val="1"/>
      <w:numFmt w:val="bullet"/>
      <w:lvlText w:val=""/>
      <w:lvlJc w:val="left"/>
      <w:pPr>
        <w:ind w:left="1020" w:hanging="360"/>
      </w:pPr>
      <w:rPr>
        <w:rFonts w:ascii="Symbol" w:hAnsi="Symbol"/>
      </w:rPr>
    </w:lvl>
    <w:lvl w:ilvl="1" w:tplc="2FF07D16">
      <w:start w:val="1"/>
      <w:numFmt w:val="bullet"/>
      <w:lvlText w:val=""/>
      <w:lvlJc w:val="left"/>
      <w:pPr>
        <w:ind w:left="1020" w:hanging="360"/>
      </w:pPr>
      <w:rPr>
        <w:rFonts w:ascii="Symbol" w:hAnsi="Symbol"/>
      </w:rPr>
    </w:lvl>
    <w:lvl w:ilvl="2" w:tplc="2DA0A97E">
      <w:start w:val="1"/>
      <w:numFmt w:val="bullet"/>
      <w:lvlText w:val=""/>
      <w:lvlJc w:val="left"/>
      <w:pPr>
        <w:ind w:left="1020" w:hanging="360"/>
      </w:pPr>
      <w:rPr>
        <w:rFonts w:ascii="Symbol" w:hAnsi="Symbol"/>
      </w:rPr>
    </w:lvl>
    <w:lvl w:ilvl="3" w:tplc="C4AA4E48">
      <w:start w:val="1"/>
      <w:numFmt w:val="bullet"/>
      <w:lvlText w:val=""/>
      <w:lvlJc w:val="left"/>
      <w:pPr>
        <w:ind w:left="1020" w:hanging="360"/>
      </w:pPr>
      <w:rPr>
        <w:rFonts w:ascii="Symbol" w:hAnsi="Symbol"/>
      </w:rPr>
    </w:lvl>
    <w:lvl w:ilvl="4" w:tplc="76B203E2">
      <w:start w:val="1"/>
      <w:numFmt w:val="bullet"/>
      <w:lvlText w:val=""/>
      <w:lvlJc w:val="left"/>
      <w:pPr>
        <w:ind w:left="1020" w:hanging="360"/>
      </w:pPr>
      <w:rPr>
        <w:rFonts w:ascii="Symbol" w:hAnsi="Symbol"/>
      </w:rPr>
    </w:lvl>
    <w:lvl w:ilvl="5" w:tplc="6FE4170A">
      <w:start w:val="1"/>
      <w:numFmt w:val="bullet"/>
      <w:lvlText w:val=""/>
      <w:lvlJc w:val="left"/>
      <w:pPr>
        <w:ind w:left="1020" w:hanging="360"/>
      </w:pPr>
      <w:rPr>
        <w:rFonts w:ascii="Symbol" w:hAnsi="Symbol"/>
      </w:rPr>
    </w:lvl>
    <w:lvl w:ilvl="6" w:tplc="2854639A">
      <w:start w:val="1"/>
      <w:numFmt w:val="bullet"/>
      <w:lvlText w:val=""/>
      <w:lvlJc w:val="left"/>
      <w:pPr>
        <w:ind w:left="1020" w:hanging="360"/>
      </w:pPr>
      <w:rPr>
        <w:rFonts w:ascii="Symbol" w:hAnsi="Symbol"/>
      </w:rPr>
    </w:lvl>
    <w:lvl w:ilvl="7" w:tplc="8F485498">
      <w:start w:val="1"/>
      <w:numFmt w:val="bullet"/>
      <w:lvlText w:val=""/>
      <w:lvlJc w:val="left"/>
      <w:pPr>
        <w:ind w:left="1020" w:hanging="360"/>
      </w:pPr>
      <w:rPr>
        <w:rFonts w:ascii="Symbol" w:hAnsi="Symbol"/>
      </w:rPr>
    </w:lvl>
    <w:lvl w:ilvl="8" w:tplc="E5826D0E">
      <w:start w:val="1"/>
      <w:numFmt w:val="bullet"/>
      <w:lvlText w:val=""/>
      <w:lvlJc w:val="left"/>
      <w:pPr>
        <w:ind w:left="1020" w:hanging="360"/>
      </w:pPr>
      <w:rPr>
        <w:rFonts w:ascii="Symbol" w:hAnsi="Symbol"/>
      </w:rPr>
    </w:lvl>
  </w:abstractNum>
  <w:abstractNum w:abstractNumId="20" w15:restartNumberingAfterBreak="0">
    <w:nsid w:val="308C2710"/>
    <w:multiLevelType w:val="multilevel"/>
    <w:tmpl w:val="5804FFF0"/>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1" w15:restartNumberingAfterBreak="0">
    <w:nsid w:val="327A3D33"/>
    <w:multiLevelType w:val="hybridMultilevel"/>
    <w:tmpl w:val="31001F7E"/>
    <w:lvl w:ilvl="0" w:tplc="AE627916">
      <w:start w:val="1"/>
      <w:numFmt w:val="bullet"/>
      <w:lvlText w:val="•"/>
      <w:lvlJc w:val="left"/>
      <w:pPr>
        <w:tabs>
          <w:tab w:val="num" w:pos="720"/>
        </w:tabs>
        <w:ind w:left="720" w:hanging="360"/>
      </w:pPr>
      <w:rPr>
        <w:rFonts w:ascii="Calibri Light" w:hAnsi="Calibri Light" w:hint="default"/>
      </w:rPr>
    </w:lvl>
    <w:lvl w:ilvl="1" w:tplc="AE929D24" w:tentative="1">
      <w:start w:val="1"/>
      <w:numFmt w:val="bullet"/>
      <w:lvlText w:val="•"/>
      <w:lvlJc w:val="left"/>
      <w:pPr>
        <w:tabs>
          <w:tab w:val="num" w:pos="1440"/>
        </w:tabs>
        <w:ind w:left="1440" w:hanging="360"/>
      </w:pPr>
      <w:rPr>
        <w:rFonts w:ascii="Calibri Light" w:hAnsi="Calibri Light" w:hint="default"/>
      </w:rPr>
    </w:lvl>
    <w:lvl w:ilvl="2" w:tplc="D5B06E7C" w:tentative="1">
      <w:start w:val="1"/>
      <w:numFmt w:val="bullet"/>
      <w:lvlText w:val="•"/>
      <w:lvlJc w:val="left"/>
      <w:pPr>
        <w:tabs>
          <w:tab w:val="num" w:pos="2160"/>
        </w:tabs>
        <w:ind w:left="2160" w:hanging="360"/>
      </w:pPr>
      <w:rPr>
        <w:rFonts w:ascii="Calibri Light" w:hAnsi="Calibri Light" w:hint="default"/>
      </w:rPr>
    </w:lvl>
    <w:lvl w:ilvl="3" w:tplc="1ACA2F04" w:tentative="1">
      <w:start w:val="1"/>
      <w:numFmt w:val="bullet"/>
      <w:lvlText w:val="•"/>
      <w:lvlJc w:val="left"/>
      <w:pPr>
        <w:tabs>
          <w:tab w:val="num" w:pos="2880"/>
        </w:tabs>
        <w:ind w:left="2880" w:hanging="360"/>
      </w:pPr>
      <w:rPr>
        <w:rFonts w:ascii="Calibri Light" w:hAnsi="Calibri Light" w:hint="default"/>
      </w:rPr>
    </w:lvl>
    <w:lvl w:ilvl="4" w:tplc="0E2A9FA6" w:tentative="1">
      <w:start w:val="1"/>
      <w:numFmt w:val="bullet"/>
      <w:lvlText w:val="•"/>
      <w:lvlJc w:val="left"/>
      <w:pPr>
        <w:tabs>
          <w:tab w:val="num" w:pos="3600"/>
        </w:tabs>
        <w:ind w:left="3600" w:hanging="360"/>
      </w:pPr>
      <w:rPr>
        <w:rFonts w:ascii="Calibri Light" w:hAnsi="Calibri Light" w:hint="default"/>
      </w:rPr>
    </w:lvl>
    <w:lvl w:ilvl="5" w:tplc="33329652" w:tentative="1">
      <w:start w:val="1"/>
      <w:numFmt w:val="bullet"/>
      <w:lvlText w:val="•"/>
      <w:lvlJc w:val="left"/>
      <w:pPr>
        <w:tabs>
          <w:tab w:val="num" w:pos="4320"/>
        </w:tabs>
        <w:ind w:left="4320" w:hanging="360"/>
      </w:pPr>
      <w:rPr>
        <w:rFonts w:ascii="Calibri Light" w:hAnsi="Calibri Light" w:hint="default"/>
      </w:rPr>
    </w:lvl>
    <w:lvl w:ilvl="6" w:tplc="339E94FC" w:tentative="1">
      <w:start w:val="1"/>
      <w:numFmt w:val="bullet"/>
      <w:lvlText w:val="•"/>
      <w:lvlJc w:val="left"/>
      <w:pPr>
        <w:tabs>
          <w:tab w:val="num" w:pos="5040"/>
        </w:tabs>
        <w:ind w:left="5040" w:hanging="360"/>
      </w:pPr>
      <w:rPr>
        <w:rFonts w:ascii="Calibri Light" w:hAnsi="Calibri Light" w:hint="default"/>
      </w:rPr>
    </w:lvl>
    <w:lvl w:ilvl="7" w:tplc="F634E578" w:tentative="1">
      <w:start w:val="1"/>
      <w:numFmt w:val="bullet"/>
      <w:lvlText w:val="•"/>
      <w:lvlJc w:val="left"/>
      <w:pPr>
        <w:tabs>
          <w:tab w:val="num" w:pos="5760"/>
        </w:tabs>
        <w:ind w:left="5760" w:hanging="360"/>
      </w:pPr>
      <w:rPr>
        <w:rFonts w:ascii="Calibri Light" w:hAnsi="Calibri Light" w:hint="default"/>
      </w:rPr>
    </w:lvl>
    <w:lvl w:ilvl="8" w:tplc="DE04E17A" w:tentative="1">
      <w:start w:val="1"/>
      <w:numFmt w:val="bullet"/>
      <w:lvlText w:val="•"/>
      <w:lvlJc w:val="left"/>
      <w:pPr>
        <w:tabs>
          <w:tab w:val="num" w:pos="6480"/>
        </w:tabs>
        <w:ind w:left="6480" w:hanging="360"/>
      </w:pPr>
      <w:rPr>
        <w:rFonts w:ascii="Calibri Light" w:hAnsi="Calibri Light" w:hint="default"/>
      </w:rPr>
    </w:lvl>
  </w:abstractNum>
  <w:abstractNum w:abstractNumId="22" w15:restartNumberingAfterBreak="0">
    <w:nsid w:val="36A64BE7"/>
    <w:multiLevelType w:val="hybridMultilevel"/>
    <w:tmpl w:val="5B1479EE"/>
    <w:lvl w:ilvl="0" w:tplc="2A929E4E">
      <w:start w:val="1"/>
      <w:numFmt w:val="bullet"/>
      <w:lvlText w:val="•"/>
      <w:lvlJc w:val="left"/>
      <w:pPr>
        <w:tabs>
          <w:tab w:val="num" w:pos="720"/>
        </w:tabs>
        <w:ind w:left="720" w:hanging="360"/>
      </w:pPr>
      <w:rPr>
        <w:rFonts w:ascii="Calibri Light" w:hAnsi="Calibri Light" w:hint="default"/>
      </w:rPr>
    </w:lvl>
    <w:lvl w:ilvl="1" w:tplc="AC7827C0" w:tentative="1">
      <w:start w:val="1"/>
      <w:numFmt w:val="bullet"/>
      <w:lvlText w:val="•"/>
      <w:lvlJc w:val="left"/>
      <w:pPr>
        <w:tabs>
          <w:tab w:val="num" w:pos="1440"/>
        </w:tabs>
        <w:ind w:left="1440" w:hanging="360"/>
      </w:pPr>
      <w:rPr>
        <w:rFonts w:ascii="Calibri Light" w:hAnsi="Calibri Light" w:hint="default"/>
      </w:rPr>
    </w:lvl>
    <w:lvl w:ilvl="2" w:tplc="480C653E" w:tentative="1">
      <w:start w:val="1"/>
      <w:numFmt w:val="bullet"/>
      <w:lvlText w:val="•"/>
      <w:lvlJc w:val="left"/>
      <w:pPr>
        <w:tabs>
          <w:tab w:val="num" w:pos="2160"/>
        </w:tabs>
        <w:ind w:left="2160" w:hanging="360"/>
      </w:pPr>
      <w:rPr>
        <w:rFonts w:ascii="Calibri Light" w:hAnsi="Calibri Light" w:hint="default"/>
      </w:rPr>
    </w:lvl>
    <w:lvl w:ilvl="3" w:tplc="6DF498A8" w:tentative="1">
      <w:start w:val="1"/>
      <w:numFmt w:val="bullet"/>
      <w:lvlText w:val="•"/>
      <w:lvlJc w:val="left"/>
      <w:pPr>
        <w:tabs>
          <w:tab w:val="num" w:pos="2880"/>
        </w:tabs>
        <w:ind w:left="2880" w:hanging="360"/>
      </w:pPr>
      <w:rPr>
        <w:rFonts w:ascii="Calibri Light" w:hAnsi="Calibri Light" w:hint="default"/>
      </w:rPr>
    </w:lvl>
    <w:lvl w:ilvl="4" w:tplc="F6EEA20E" w:tentative="1">
      <w:start w:val="1"/>
      <w:numFmt w:val="bullet"/>
      <w:lvlText w:val="•"/>
      <w:lvlJc w:val="left"/>
      <w:pPr>
        <w:tabs>
          <w:tab w:val="num" w:pos="3600"/>
        </w:tabs>
        <w:ind w:left="3600" w:hanging="360"/>
      </w:pPr>
      <w:rPr>
        <w:rFonts w:ascii="Calibri Light" w:hAnsi="Calibri Light" w:hint="default"/>
      </w:rPr>
    </w:lvl>
    <w:lvl w:ilvl="5" w:tplc="5D54F69E" w:tentative="1">
      <w:start w:val="1"/>
      <w:numFmt w:val="bullet"/>
      <w:lvlText w:val="•"/>
      <w:lvlJc w:val="left"/>
      <w:pPr>
        <w:tabs>
          <w:tab w:val="num" w:pos="4320"/>
        </w:tabs>
        <w:ind w:left="4320" w:hanging="360"/>
      </w:pPr>
      <w:rPr>
        <w:rFonts w:ascii="Calibri Light" w:hAnsi="Calibri Light" w:hint="default"/>
      </w:rPr>
    </w:lvl>
    <w:lvl w:ilvl="6" w:tplc="BF28E0C2" w:tentative="1">
      <w:start w:val="1"/>
      <w:numFmt w:val="bullet"/>
      <w:lvlText w:val="•"/>
      <w:lvlJc w:val="left"/>
      <w:pPr>
        <w:tabs>
          <w:tab w:val="num" w:pos="5040"/>
        </w:tabs>
        <w:ind w:left="5040" w:hanging="360"/>
      </w:pPr>
      <w:rPr>
        <w:rFonts w:ascii="Calibri Light" w:hAnsi="Calibri Light" w:hint="default"/>
      </w:rPr>
    </w:lvl>
    <w:lvl w:ilvl="7" w:tplc="0D085E60" w:tentative="1">
      <w:start w:val="1"/>
      <w:numFmt w:val="bullet"/>
      <w:lvlText w:val="•"/>
      <w:lvlJc w:val="left"/>
      <w:pPr>
        <w:tabs>
          <w:tab w:val="num" w:pos="5760"/>
        </w:tabs>
        <w:ind w:left="5760" w:hanging="360"/>
      </w:pPr>
      <w:rPr>
        <w:rFonts w:ascii="Calibri Light" w:hAnsi="Calibri Light" w:hint="default"/>
      </w:rPr>
    </w:lvl>
    <w:lvl w:ilvl="8" w:tplc="FAF87EB6" w:tentative="1">
      <w:start w:val="1"/>
      <w:numFmt w:val="bullet"/>
      <w:lvlText w:val="•"/>
      <w:lvlJc w:val="left"/>
      <w:pPr>
        <w:tabs>
          <w:tab w:val="num" w:pos="6480"/>
        </w:tabs>
        <w:ind w:left="6480" w:hanging="360"/>
      </w:pPr>
      <w:rPr>
        <w:rFonts w:ascii="Calibri Light" w:hAnsi="Calibri Light" w:hint="default"/>
      </w:rPr>
    </w:lvl>
  </w:abstractNum>
  <w:abstractNum w:abstractNumId="23" w15:restartNumberingAfterBreak="0">
    <w:nsid w:val="38F7081E"/>
    <w:multiLevelType w:val="hybridMultilevel"/>
    <w:tmpl w:val="276EF7A0"/>
    <w:lvl w:ilvl="0" w:tplc="4FFE565A">
      <w:start w:val="1"/>
      <w:numFmt w:val="bullet"/>
      <w:lvlText w:val=""/>
      <w:lvlJc w:val="left"/>
      <w:pPr>
        <w:ind w:left="1020" w:hanging="360"/>
      </w:pPr>
      <w:rPr>
        <w:rFonts w:ascii="Symbol" w:hAnsi="Symbol"/>
      </w:rPr>
    </w:lvl>
    <w:lvl w:ilvl="1" w:tplc="17D23C62">
      <w:start w:val="1"/>
      <w:numFmt w:val="bullet"/>
      <w:lvlText w:val=""/>
      <w:lvlJc w:val="left"/>
      <w:pPr>
        <w:ind w:left="1020" w:hanging="360"/>
      </w:pPr>
      <w:rPr>
        <w:rFonts w:ascii="Symbol" w:hAnsi="Symbol"/>
      </w:rPr>
    </w:lvl>
    <w:lvl w:ilvl="2" w:tplc="EAC8A464">
      <w:start w:val="1"/>
      <w:numFmt w:val="bullet"/>
      <w:lvlText w:val=""/>
      <w:lvlJc w:val="left"/>
      <w:pPr>
        <w:ind w:left="1020" w:hanging="360"/>
      </w:pPr>
      <w:rPr>
        <w:rFonts w:ascii="Symbol" w:hAnsi="Symbol"/>
      </w:rPr>
    </w:lvl>
    <w:lvl w:ilvl="3" w:tplc="2776344E">
      <w:start w:val="1"/>
      <w:numFmt w:val="bullet"/>
      <w:lvlText w:val=""/>
      <w:lvlJc w:val="left"/>
      <w:pPr>
        <w:ind w:left="1020" w:hanging="360"/>
      </w:pPr>
      <w:rPr>
        <w:rFonts w:ascii="Symbol" w:hAnsi="Symbol"/>
      </w:rPr>
    </w:lvl>
    <w:lvl w:ilvl="4" w:tplc="120E27A2">
      <w:start w:val="1"/>
      <w:numFmt w:val="bullet"/>
      <w:lvlText w:val=""/>
      <w:lvlJc w:val="left"/>
      <w:pPr>
        <w:ind w:left="1020" w:hanging="360"/>
      </w:pPr>
      <w:rPr>
        <w:rFonts w:ascii="Symbol" w:hAnsi="Symbol"/>
      </w:rPr>
    </w:lvl>
    <w:lvl w:ilvl="5" w:tplc="C69031A4">
      <w:start w:val="1"/>
      <w:numFmt w:val="bullet"/>
      <w:lvlText w:val=""/>
      <w:lvlJc w:val="left"/>
      <w:pPr>
        <w:ind w:left="1020" w:hanging="360"/>
      </w:pPr>
      <w:rPr>
        <w:rFonts w:ascii="Symbol" w:hAnsi="Symbol"/>
      </w:rPr>
    </w:lvl>
    <w:lvl w:ilvl="6" w:tplc="DE7CFF50">
      <w:start w:val="1"/>
      <w:numFmt w:val="bullet"/>
      <w:lvlText w:val=""/>
      <w:lvlJc w:val="left"/>
      <w:pPr>
        <w:ind w:left="1020" w:hanging="360"/>
      </w:pPr>
      <w:rPr>
        <w:rFonts w:ascii="Symbol" w:hAnsi="Symbol"/>
      </w:rPr>
    </w:lvl>
    <w:lvl w:ilvl="7" w:tplc="261689DE">
      <w:start w:val="1"/>
      <w:numFmt w:val="bullet"/>
      <w:lvlText w:val=""/>
      <w:lvlJc w:val="left"/>
      <w:pPr>
        <w:ind w:left="1020" w:hanging="360"/>
      </w:pPr>
      <w:rPr>
        <w:rFonts w:ascii="Symbol" w:hAnsi="Symbol"/>
      </w:rPr>
    </w:lvl>
    <w:lvl w:ilvl="8" w:tplc="A9B87A2C">
      <w:start w:val="1"/>
      <w:numFmt w:val="bullet"/>
      <w:lvlText w:val=""/>
      <w:lvlJc w:val="left"/>
      <w:pPr>
        <w:ind w:left="1020" w:hanging="360"/>
      </w:pPr>
      <w:rPr>
        <w:rFonts w:ascii="Symbol" w:hAnsi="Symbol"/>
      </w:rPr>
    </w:lvl>
  </w:abstractNum>
  <w:abstractNum w:abstractNumId="24" w15:restartNumberingAfterBreak="0">
    <w:nsid w:val="3C733604"/>
    <w:multiLevelType w:val="multilevel"/>
    <w:tmpl w:val="1E16A490"/>
    <w:lvl w:ilvl="0">
      <w:start w:val="1"/>
      <w:numFmt w:val="bullet"/>
      <w:lvlText w:val=""/>
      <w:lvlJc w:val="left"/>
      <w:pPr>
        <w:ind w:left="720" w:hanging="360"/>
      </w:pPr>
      <w:rPr>
        <w:rFonts w:ascii="Symbol" w:hAnsi="Symbol" w:hint="default"/>
      </w:rPr>
    </w:lvl>
    <w:lvl w:ilvl="1">
      <w:start w:val="1"/>
      <w:numFmt w:val="bullet"/>
      <w:lvlText w:val="–"/>
      <w:lvlJc w:val="left"/>
      <w:pPr>
        <w:ind w:left="1069"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FB42367"/>
    <w:multiLevelType w:val="hybridMultilevel"/>
    <w:tmpl w:val="AC547EBC"/>
    <w:lvl w:ilvl="0" w:tplc="544C599A">
      <w:start w:val="1"/>
      <w:numFmt w:val="bullet"/>
      <w:lvlText w:val="•"/>
      <w:lvlJc w:val="left"/>
      <w:pPr>
        <w:tabs>
          <w:tab w:val="num" w:pos="720"/>
        </w:tabs>
        <w:ind w:left="720" w:hanging="360"/>
      </w:pPr>
      <w:rPr>
        <w:rFonts w:ascii="Calibri Light" w:hAnsi="Calibri Light" w:hint="default"/>
      </w:rPr>
    </w:lvl>
    <w:lvl w:ilvl="1" w:tplc="F71A2554" w:tentative="1">
      <w:start w:val="1"/>
      <w:numFmt w:val="bullet"/>
      <w:lvlText w:val="•"/>
      <w:lvlJc w:val="left"/>
      <w:pPr>
        <w:tabs>
          <w:tab w:val="num" w:pos="1440"/>
        </w:tabs>
        <w:ind w:left="1440" w:hanging="360"/>
      </w:pPr>
      <w:rPr>
        <w:rFonts w:ascii="Calibri Light" w:hAnsi="Calibri Light" w:hint="default"/>
      </w:rPr>
    </w:lvl>
    <w:lvl w:ilvl="2" w:tplc="48EC0C2E" w:tentative="1">
      <w:start w:val="1"/>
      <w:numFmt w:val="bullet"/>
      <w:lvlText w:val="•"/>
      <w:lvlJc w:val="left"/>
      <w:pPr>
        <w:tabs>
          <w:tab w:val="num" w:pos="2160"/>
        </w:tabs>
        <w:ind w:left="2160" w:hanging="360"/>
      </w:pPr>
      <w:rPr>
        <w:rFonts w:ascii="Calibri Light" w:hAnsi="Calibri Light" w:hint="default"/>
      </w:rPr>
    </w:lvl>
    <w:lvl w:ilvl="3" w:tplc="B36E1810" w:tentative="1">
      <w:start w:val="1"/>
      <w:numFmt w:val="bullet"/>
      <w:lvlText w:val="•"/>
      <w:lvlJc w:val="left"/>
      <w:pPr>
        <w:tabs>
          <w:tab w:val="num" w:pos="2880"/>
        </w:tabs>
        <w:ind w:left="2880" w:hanging="360"/>
      </w:pPr>
      <w:rPr>
        <w:rFonts w:ascii="Calibri Light" w:hAnsi="Calibri Light" w:hint="default"/>
      </w:rPr>
    </w:lvl>
    <w:lvl w:ilvl="4" w:tplc="8BC46ADE" w:tentative="1">
      <w:start w:val="1"/>
      <w:numFmt w:val="bullet"/>
      <w:lvlText w:val="•"/>
      <w:lvlJc w:val="left"/>
      <w:pPr>
        <w:tabs>
          <w:tab w:val="num" w:pos="3600"/>
        </w:tabs>
        <w:ind w:left="3600" w:hanging="360"/>
      </w:pPr>
      <w:rPr>
        <w:rFonts w:ascii="Calibri Light" w:hAnsi="Calibri Light" w:hint="default"/>
      </w:rPr>
    </w:lvl>
    <w:lvl w:ilvl="5" w:tplc="2508F14A" w:tentative="1">
      <w:start w:val="1"/>
      <w:numFmt w:val="bullet"/>
      <w:lvlText w:val="•"/>
      <w:lvlJc w:val="left"/>
      <w:pPr>
        <w:tabs>
          <w:tab w:val="num" w:pos="4320"/>
        </w:tabs>
        <w:ind w:left="4320" w:hanging="360"/>
      </w:pPr>
      <w:rPr>
        <w:rFonts w:ascii="Calibri Light" w:hAnsi="Calibri Light" w:hint="default"/>
      </w:rPr>
    </w:lvl>
    <w:lvl w:ilvl="6" w:tplc="55481AA8" w:tentative="1">
      <w:start w:val="1"/>
      <w:numFmt w:val="bullet"/>
      <w:lvlText w:val="•"/>
      <w:lvlJc w:val="left"/>
      <w:pPr>
        <w:tabs>
          <w:tab w:val="num" w:pos="5040"/>
        </w:tabs>
        <w:ind w:left="5040" w:hanging="360"/>
      </w:pPr>
      <w:rPr>
        <w:rFonts w:ascii="Calibri Light" w:hAnsi="Calibri Light" w:hint="default"/>
      </w:rPr>
    </w:lvl>
    <w:lvl w:ilvl="7" w:tplc="E1B20E70" w:tentative="1">
      <w:start w:val="1"/>
      <w:numFmt w:val="bullet"/>
      <w:lvlText w:val="•"/>
      <w:lvlJc w:val="left"/>
      <w:pPr>
        <w:tabs>
          <w:tab w:val="num" w:pos="5760"/>
        </w:tabs>
        <w:ind w:left="5760" w:hanging="360"/>
      </w:pPr>
      <w:rPr>
        <w:rFonts w:ascii="Calibri Light" w:hAnsi="Calibri Light" w:hint="default"/>
      </w:rPr>
    </w:lvl>
    <w:lvl w:ilvl="8" w:tplc="2F785CBA" w:tentative="1">
      <w:start w:val="1"/>
      <w:numFmt w:val="bullet"/>
      <w:lvlText w:val="•"/>
      <w:lvlJc w:val="left"/>
      <w:pPr>
        <w:tabs>
          <w:tab w:val="num" w:pos="6480"/>
        </w:tabs>
        <w:ind w:left="6480" w:hanging="360"/>
      </w:pPr>
      <w:rPr>
        <w:rFonts w:ascii="Calibri Light" w:hAnsi="Calibri Light" w:hint="default"/>
      </w:rPr>
    </w:lvl>
  </w:abstractNum>
  <w:abstractNum w:abstractNumId="26" w15:restartNumberingAfterBreak="0">
    <w:nsid w:val="3FE042A8"/>
    <w:multiLevelType w:val="multilevel"/>
    <w:tmpl w:val="AD6A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11C147D"/>
    <w:multiLevelType w:val="hybridMultilevel"/>
    <w:tmpl w:val="88E09F16"/>
    <w:lvl w:ilvl="0" w:tplc="9FBA1296">
      <w:start w:val="1"/>
      <w:numFmt w:val="bullet"/>
      <w:lvlText w:val="•"/>
      <w:lvlJc w:val="left"/>
      <w:pPr>
        <w:tabs>
          <w:tab w:val="num" w:pos="720"/>
        </w:tabs>
        <w:ind w:left="720" w:hanging="360"/>
      </w:pPr>
      <w:rPr>
        <w:rFonts w:ascii="Calibri Light" w:hAnsi="Calibri Light" w:hint="default"/>
      </w:rPr>
    </w:lvl>
    <w:lvl w:ilvl="1" w:tplc="5A4EC62C" w:tentative="1">
      <w:start w:val="1"/>
      <w:numFmt w:val="bullet"/>
      <w:lvlText w:val="•"/>
      <w:lvlJc w:val="left"/>
      <w:pPr>
        <w:tabs>
          <w:tab w:val="num" w:pos="1440"/>
        </w:tabs>
        <w:ind w:left="1440" w:hanging="360"/>
      </w:pPr>
      <w:rPr>
        <w:rFonts w:ascii="Calibri Light" w:hAnsi="Calibri Light" w:hint="default"/>
      </w:rPr>
    </w:lvl>
    <w:lvl w:ilvl="2" w:tplc="00AC16EE" w:tentative="1">
      <w:start w:val="1"/>
      <w:numFmt w:val="bullet"/>
      <w:lvlText w:val="•"/>
      <w:lvlJc w:val="left"/>
      <w:pPr>
        <w:tabs>
          <w:tab w:val="num" w:pos="2160"/>
        </w:tabs>
        <w:ind w:left="2160" w:hanging="360"/>
      </w:pPr>
      <w:rPr>
        <w:rFonts w:ascii="Calibri Light" w:hAnsi="Calibri Light" w:hint="default"/>
      </w:rPr>
    </w:lvl>
    <w:lvl w:ilvl="3" w:tplc="FBE2D4BA" w:tentative="1">
      <w:start w:val="1"/>
      <w:numFmt w:val="bullet"/>
      <w:lvlText w:val="•"/>
      <w:lvlJc w:val="left"/>
      <w:pPr>
        <w:tabs>
          <w:tab w:val="num" w:pos="2880"/>
        </w:tabs>
        <w:ind w:left="2880" w:hanging="360"/>
      </w:pPr>
      <w:rPr>
        <w:rFonts w:ascii="Calibri Light" w:hAnsi="Calibri Light" w:hint="default"/>
      </w:rPr>
    </w:lvl>
    <w:lvl w:ilvl="4" w:tplc="820099AC" w:tentative="1">
      <w:start w:val="1"/>
      <w:numFmt w:val="bullet"/>
      <w:lvlText w:val="•"/>
      <w:lvlJc w:val="left"/>
      <w:pPr>
        <w:tabs>
          <w:tab w:val="num" w:pos="3600"/>
        </w:tabs>
        <w:ind w:left="3600" w:hanging="360"/>
      </w:pPr>
      <w:rPr>
        <w:rFonts w:ascii="Calibri Light" w:hAnsi="Calibri Light" w:hint="default"/>
      </w:rPr>
    </w:lvl>
    <w:lvl w:ilvl="5" w:tplc="039A7FE0" w:tentative="1">
      <w:start w:val="1"/>
      <w:numFmt w:val="bullet"/>
      <w:lvlText w:val="•"/>
      <w:lvlJc w:val="left"/>
      <w:pPr>
        <w:tabs>
          <w:tab w:val="num" w:pos="4320"/>
        </w:tabs>
        <w:ind w:left="4320" w:hanging="360"/>
      </w:pPr>
      <w:rPr>
        <w:rFonts w:ascii="Calibri Light" w:hAnsi="Calibri Light" w:hint="default"/>
      </w:rPr>
    </w:lvl>
    <w:lvl w:ilvl="6" w:tplc="49E2D7A6" w:tentative="1">
      <w:start w:val="1"/>
      <w:numFmt w:val="bullet"/>
      <w:lvlText w:val="•"/>
      <w:lvlJc w:val="left"/>
      <w:pPr>
        <w:tabs>
          <w:tab w:val="num" w:pos="5040"/>
        </w:tabs>
        <w:ind w:left="5040" w:hanging="360"/>
      </w:pPr>
      <w:rPr>
        <w:rFonts w:ascii="Calibri Light" w:hAnsi="Calibri Light" w:hint="default"/>
      </w:rPr>
    </w:lvl>
    <w:lvl w:ilvl="7" w:tplc="B34AB884" w:tentative="1">
      <w:start w:val="1"/>
      <w:numFmt w:val="bullet"/>
      <w:lvlText w:val="•"/>
      <w:lvlJc w:val="left"/>
      <w:pPr>
        <w:tabs>
          <w:tab w:val="num" w:pos="5760"/>
        </w:tabs>
        <w:ind w:left="5760" w:hanging="360"/>
      </w:pPr>
      <w:rPr>
        <w:rFonts w:ascii="Calibri Light" w:hAnsi="Calibri Light" w:hint="default"/>
      </w:rPr>
    </w:lvl>
    <w:lvl w:ilvl="8" w:tplc="13CCB81E" w:tentative="1">
      <w:start w:val="1"/>
      <w:numFmt w:val="bullet"/>
      <w:lvlText w:val="•"/>
      <w:lvlJc w:val="left"/>
      <w:pPr>
        <w:tabs>
          <w:tab w:val="num" w:pos="6480"/>
        </w:tabs>
        <w:ind w:left="6480" w:hanging="360"/>
      </w:pPr>
      <w:rPr>
        <w:rFonts w:ascii="Calibri Light" w:hAnsi="Calibri Light" w:hint="default"/>
      </w:rPr>
    </w:lvl>
  </w:abstractNum>
  <w:abstractNum w:abstractNumId="28" w15:restartNumberingAfterBreak="0">
    <w:nsid w:val="442A407E"/>
    <w:multiLevelType w:val="hybridMultilevel"/>
    <w:tmpl w:val="D9285534"/>
    <w:lvl w:ilvl="0" w:tplc="24BEE462">
      <w:start w:val="1"/>
      <w:numFmt w:val="bullet"/>
      <w:lvlText w:val=""/>
      <w:lvlJc w:val="left"/>
      <w:pPr>
        <w:ind w:left="1020" w:hanging="360"/>
      </w:pPr>
      <w:rPr>
        <w:rFonts w:ascii="Symbol" w:hAnsi="Symbol"/>
      </w:rPr>
    </w:lvl>
    <w:lvl w:ilvl="1" w:tplc="0368E43E">
      <w:start w:val="1"/>
      <w:numFmt w:val="bullet"/>
      <w:lvlText w:val=""/>
      <w:lvlJc w:val="left"/>
      <w:pPr>
        <w:ind w:left="1020" w:hanging="360"/>
      </w:pPr>
      <w:rPr>
        <w:rFonts w:ascii="Symbol" w:hAnsi="Symbol"/>
      </w:rPr>
    </w:lvl>
    <w:lvl w:ilvl="2" w:tplc="B7CA5AE4">
      <w:start w:val="1"/>
      <w:numFmt w:val="bullet"/>
      <w:lvlText w:val=""/>
      <w:lvlJc w:val="left"/>
      <w:pPr>
        <w:ind w:left="1020" w:hanging="360"/>
      </w:pPr>
      <w:rPr>
        <w:rFonts w:ascii="Symbol" w:hAnsi="Symbol"/>
      </w:rPr>
    </w:lvl>
    <w:lvl w:ilvl="3" w:tplc="73A4FF90">
      <w:start w:val="1"/>
      <w:numFmt w:val="bullet"/>
      <w:lvlText w:val=""/>
      <w:lvlJc w:val="left"/>
      <w:pPr>
        <w:ind w:left="1020" w:hanging="360"/>
      </w:pPr>
      <w:rPr>
        <w:rFonts w:ascii="Symbol" w:hAnsi="Symbol"/>
      </w:rPr>
    </w:lvl>
    <w:lvl w:ilvl="4" w:tplc="C570CF8C">
      <w:start w:val="1"/>
      <w:numFmt w:val="bullet"/>
      <w:lvlText w:val=""/>
      <w:lvlJc w:val="left"/>
      <w:pPr>
        <w:ind w:left="1020" w:hanging="360"/>
      </w:pPr>
      <w:rPr>
        <w:rFonts w:ascii="Symbol" w:hAnsi="Symbol"/>
      </w:rPr>
    </w:lvl>
    <w:lvl w:ilvl="5" w:tplc="C4F2277A">
      <w:start w:val="1"/>
      <w:numFmt w:val="bullet"/>
      <w:lvlText w:val=""/>
      <w:lvlJc w:val="left"/>
      <w:pPr>
        <w:ind w:left="1020" w:hanging="360"/>
      </w:pPr>
      <w:rPr>
        <w:rFonts w:ascii="Symbol" w:hAnsi="Symbol"/>
      </w:rPr>
    </w:lvl>
    <w:lvl w:ilvl="6" w:tplc="F61AF36A">
      <w:start w:val="1"/>
      <w:numFmt w:val="bullet"/>
      <w:lvlText w:val=""/>
      <w:lvlJc w:val="left"/>
      <w:pPr>
        <w:ind w:left="1020" w:hanging="360"/>
      </w:pPr>
      <w:rPr>
        <w:rFonts w:ascii="Symbol" w:hAnsi="Symbol"/>
      </w:rPr>
    </w:lvl>
    <w:lvl w:ilvl="7" w:tplc="DA86F376">
      <w:start w:val="1"/>
      <w:numFmt w:val="bullet"/>
      <w:lvlText w:val=""/>
      <w:lvlJc w:val="left"/>
      <w:pPr>
        <w:ind w:left="1020" w:hanging="360"/>
      </w:pPr>
      <w:rPr>
        <w:rFonts w:ascii="Symbol" w:hAnsi="Symbol"/>
      </w:rPr>
    </w:lvl>
    <w:lvl w:ilvl="8" w:tplc="BA945A60">
      <w:start w:val="1"/>
      <w:numFmt w:val="bullet"/>
      <w:lvlText w:val=""/>
      <w:lvlJc w:val="left"/>
      <w:pPr>
        <w:ind w:left="1020" w:hanging="360"/>
      </w:pPr>
      <w:rPr>
        <w:rFonts w:ascii="Symbol" w:hAnsi="Symbol"/>
      </w:rPr>
    </w:lvl>
  </w:abstractNum>
  <w:abstractNum w:abstractNumId="29" w15:restartNumberingAfterBreak="0">
    <w:nsid w:val="45482809"/>
    <w:multiLevelType w:val="multilevel"/>
    <w:tmpl w:val="24CC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BB19BA"/>
    <w:multiLevelType w:val="hybridMultilevel"/>
    <w:tmpl w:val="4476AE82"/>
    <w:lvl w:ilvl="0" w:tplc="4FC81700">
      <w:start w:val="1"/>
      <w:numFmt w:val="bullet"/>
      <w:lvlText w:val=""/>
      <w:lvlJc w:val="left"/>
      <w:pPr>
        <w:ind w:left="720" w:hanging="360"/>
      </w:pPr>
      <w:rPr>
        <w:rFonts w:ascii="Symbol" w:hAnsi="Symbol"/>
      </w:rPr>
    </w:lvl>
    <w:lvl w:ilvl="1" w:tplc="B622AF52">
      <w:start w:val="1"/>
      <w:numFmt w:val="bullet"/>
      <w:lvlText w:val=""/>
      <w:lvlJc w:val="left"/>
      <w:pPr>
        <w:ind w:left="720" w:hanging="360"/>
      </w:pPr>
      <w:rPr>
        <w:rFonts w:ascii="Symbol" w:hAnsi="Symbol"/>
      </w:rPr>
    </w:lvl>
    <w:lvl w:ilvl="2" w:tplc="73FE6468">
      <w:start w:val="1"/>
      <w:numFmt w:val="bullet"/>
      <w:lvlText w:val=""/>
      <w:lvlJc w:val="left"/>
      <w:pPr>
        <w:ind w:left="720" w:hanging="360"/>
      </w:pPr>
      <w:rPr>
        <w:rFonts w:ascii="Symbol" w:hAnsi="Symbol"/>
      </w:rPr>
    </w:lvl>
    <w:lvl w:ilvl="3" w:tplc="8A124EA0">
      <w:start w:val="1"/>
      <w:numFmt w:val="bullet"/>
      <w:lvlText w:val=""/>
      <w:lvlJc w:val="left"/>
      <w:pPr>
        <w:ind w:left="720" w:hanging="360"/>
      </w:pPr>
      <w:rPr>
        <w:rFonts w:ascii="Symbol" w:hAnsi="Symbol"/>
      </w:rPr>
    </w:lvl>
    <w:lvl w:ilvl="4" w:tplc="E49614BC">
      <w:start w:val="1"/>
      <w:numFmt w:val="bullet"/>
      <w:lvlText w:val=""/>
      <w:lvlJc w:val="left"/>
      <w:pPr>
        <w:ind w:left="720" w:hanging="360"/>
      </w:pPr>
      <w:rPr>
        <w:rFonts w:ascii="Symbol" w:hAnsi="Symbol"/>
      </w:rPr>
    </w:lvl>
    <w:lvl w:ilvl="5" w:tplc="C6EA8336">
      <w:start w:val="1"/>
      <w:numFmt w:val="bullet"/>
      <w:lvlText w:val=""/>
      <w:lvlJc w:val="left"/>
      <w:pPr>
        <w:ind w:left="720" w:hanging="360"/>
      </w:pPr>
      <w:rPr>
        <w:rFonts w:ascii="Symbol" w:hAnsi="Symbol"/>
      </w:rPr>
    </w:lvl>
    <w:lvl w:ilvl="6" w:tplc="0C1AB6F6">
      <w:start w:val="1"/>
      <w:numFmt w:val="bullet"/>
      <w:lvlText w:val=""/>
      <w:lvlJc w:val="left"/>
      <w:pPr>
        <w:ind w:left="720" w:hanging="360"/>
      </w:pPr>
      <w:rPr>
        <w:rFonts w:ascii="Symbol" w:hAnsi="Symbol"/>
      </w:rPr>
    </w:lvl>
    <w:lvl w:ilvl="7" w:tplc="A03C9480">
      <w:start w:val="1"/>
      <w:numFmt w:val="bullet"/>
      <w:lvlText w:val=""/>
      <w:lvlJc w:val="left"/>
      <w:pPr>
        <w:ind w:left="720" w:hanging="360"/>
      </w:pPr>
      <w:rPr>
        <w:rFonts w:ascii="Symbol" w:hAnsi="Symbol"/>
      </w:rPr>
    </w:lvl>
    <w:lvl w:ilvl="8" w:tplc="61FC5888">
      <w:start w:val="1"/>
      <w:numFmt w:val="bullet"/>
      <w:lvlText w:val=""/>
      <w:lvlJc w:val="left"/>
      <w:pPr>
        <w:ind w:left="720" w:hanging="360"/>
      </w:pPr>
      <w:rPr>
        <w:rFonts w:ascii="Symbol" w:hAnsi="Symbol"/>
      </w:rPr>
    </w:lvl>
  </w:abstractNum>
  <w:abstractNum w:abstractNumId="31" w15:restartNumberingAfterBreak="0">
    <w:nsid w:val="4BDC7C4F"/>
    <w:multiLevelType w:val="hybridMultilevel"/>
    <w:tmpl w:val="796A3930"/>
    <w:lvl w:ilvl="0" w:tplc="6A8033DE">
      <w:start w:val="1"/>
      <w:numFmt w:val="bullet"/>
      <w:lvlText w:val=""/>
      <w:lvlJc w:val="left"/>
      <w:pPr>
        <w:ind w:left="1020" w:hanging="360"/>
      </w:pPr>
      <w:rPr>
        <w:rFonts w:ascii="Symbol" w:hAnsi="Symbol"/>
      </w:rPr>
    </w:lvl>
    <w:lvl w:ilvl="1" w:tplc="2B5CF19C">
      <w:start w:val="1"/>
      <w:numFmt w:val="bullet"/>
      <w:lvlText w:val=""/>
      <w:lvlJc w:val="left"/>
      <w:pPr>
        <w:ind w:left="1020" w:hanging="360"/>
      </w:pPr>
      <w:rPr>
        <w:rFonts w:ascii="Symbol" w:hAnsi="Symbol"/>
      </w:rPr>
    </w:lvl>
    <w:lvl w:ilvl="2" w:tplc="81308200">
      <w:start w:val="1"/>
      <w:numFmt w:val="bullet"/>
      <w:lvlText w:val=""/>
      <w:lvlJc w:val="left"/>
      <w:pPr>
        <w:ind w:left="1020" w:hanging="360"/>
      </w:pPr>
      <w:rPr>
        <w:rFonts w:ascii="Symbol" w:hAnsi="Symbol"/>
      </w:rPr>
    </w:lvl>
    <w:lvl w:ilvl="3" w:tplc="D9E60EDE">
      <w:start w:val="1"/>
      <w:numFmt w:val="bullet"/>
      <w:lvlText w:val=""/>
      <w:lvlJc w:val="left"/>
      <w:pPr>
        <w:ind w:left="1020" w:hanging="360"/>
      </w:pPr>
      <w:rPr>
        <w:rFonts w:ascii="Symbol" w:hAnsi="Symbol"/>
      </w:rPr>
    </w:lvl>
    <w:lvl w:ilvl="4" w:tplc="C30296C8">
      <w:start w:val="1"/>
      <w:numFmt w:val="bullet"/>
      <w:lvlText w:val=""/>
      <w:lvlJc w:val="left"/>
      <w:pPr>
        <w:ind w:left="1020" w:hanging="360"/>
      </w:pPr>
      <w:rPr>
        <w:rFonts w:ascii="Symbol" w:hAnsi="Symbol"/>
      </w:rPr>
    </w:lvl>
    <w:lvl w:ilvl="5" w:tplc="060AF7FA">
      <w:start w:val="1"/>
      <w:numFmt w:val="bullet"/>
      <w:lvlText w:val=""/>
      <w:lvlJc w:val="left"/>
      <w:pPr>
        <w:ind w:left="1020" w:hanging="360"/>
      </w:pPr>
      <w:rPr>
        <w:rFonts w:ascii="Symbol" w:hAnsi="Symbol"/>
      </w:rPr>
    </w:lvl>
    <w:lvl w:ilvl="6" w:tplc="D9AE9AF6">
      <w:start w:val="1"/>
      <w:numFmt w:val="bullet"/>
      <w:lvlText w:val=""/>
      <w:lvlJc w:val="left"/>
      <w:pPr>
        <w:ind w:left="1020" w:hanging="360"/>
      </w:pPr>
      <w:rPr>
        <w:rFonts w:ascii="Symbol" w:hAnsi="Symbol"/>
      </w:rPr>
    </w:lvl>
    <w:lvl w:ilvl="7" w:tplc="733C3F12">
      <w:start w:val="1"/>
      <w:numFmt w:val="bullet"/>
      <w:lvlText w:val=""/>
      <w:lvlJc w:val="left"/>
      <w:pPr>
        <w:ind w:left="1020" w:hanging="360"/>
      </w:pPr>
      <w:rPr>
        <w:rFonts w:ascii="Symbol" w:hAnsi="Symbol"/>
      </w:rPr>
    </w:lvl>
    <w:lvl w:ilvl="8" w:tplc="E61C4B36">
      <w:start w:val="1"/>
      <w:numFmt w:val="bullet"/>
      <w:lvlText w:val=""/>
      <w:lvlJc w:val="left"/>
      <w:pPr>
        <w:ind w:left="1020" w:hanging="360"/>
      </w:pPr>
      <w:rPr>
        <w:rFonts w:ascii="Symbol" w:hAnsi="Symbol"/>
      </w:rPr>
    </w:lvl>
  </w:abstractNum>
  <w:abstractNum w:abstractNumId="32" w15:restartNumberingAfterBreak="0">
    <w:nsid w:val="4D660EC1"/>
    <w:multiLevelType w:val="hybridMultilevel"/>
    <w:tmpl w:val="6846C2C8"/>
    <w:lvl w:ilvl="0" w:tplc="E6A03C54">
      <w:start w:val="1"/>
      <w:numFmt w:val="bullet"/>
      <w:lvlText w:val="•"/>
      <w:lvlJc w:val="left"/>
      <w:pPr>
        <w:tabs>
          <w:tab w:val="num" w:pos="720"/>
        </w:tabs>
        <w:ind w:left="720" w:hanging="360"/>
      </w:pPr>
      <w:rPr>
        <w:rFonts w:ascii="Calibri Light" w:hAnsi="Calibri Light" w:hint="default"/>
      </w:rPr>
    </w:lvl>
    <w:lvl w:ilvl="1" w:tplc="D1B47F56" w:tentative="1">
      <w:start w:val="1"/>
      <w:numFmt w:val="bullet"/>
      <w:lvlText w:val="•"/>
      <w:lvlJc w:val="left"/>
      <w:pPr>
        <w:tabs>
          <w:tab w:val="num" w:pos="1440"/>
        </w:tabs>
        <w:ind w:left="1440" w:hanging="360"/>
      </w:pPr>
      <w:rPr>
        <w:rFonts w:ascii="Calibri Light" w:hAnsi="Calibri Light" w:hint="default"/>
      </w:rPr>
    </w:lvl>
    <w:lvl w:ilvl="2" w:tplc="9F6A4C1A" w:tentative="1">
      <w:start w:val="1"/>
      <w:numFmt w:val="bullet"/>
      <w:lvlText w:val="•"/>
      <w:lvlJc w:val="left"/>
      <w:pPr>
        <w:tabs>
          <w:tab w:val="num" w:pos="2160"/>
        </w:tabs>
        <w:ind w:left="2160" w:hanging="360"/>
      </w:pPr>
      <w:rPr>
        <w:rFonts w:ascii="Calibri Light" w:hAnsi="Calibri Light" w:hint="default"/>
      </w:rPr>
    </w:lvl>
    <w:lvl w:ilvl="3" w:tplc="165663FA" w:tentative="1">
      <w:start w:val="1"/>
      <w:numFmt w:val="bullet"/>
      <w:lvlText w:val="•"/>
      <w:lvlJc w:val="left"/>
      <w:pPr>
        <w:tabs>
          <w:tab w:val="num" w:pos="2880"/>
        </w:tabs>
        <w:ind w:left="2880" w:hanging="360"/>
      </w:pPr>
      <w:rPr>
        <w:rFonts w:ascii="Calibri Light" w:hAnsi="Calibri Light" w:hint="default"/>
      </w:rPr>
    </w:lvl>
    <w:lvl w:ilvl="4" w:tplc="D4D8ECE4" w:tentative="1">
      <w:start w:val="1"/>
      <w:numFmt w:val="bullet"/>
      <w:lvlText w:val="•"/>
      <w:lvlJc w:val="left"/>
      <w:pPr>
        <w:tabs>
          <w:tab w:val="num" w:pos="3600"/>
        </w:tabs>
        <w:ind w:left="3600" w:hanging="360"/>
      </w:pPr>
      <w:rPr>
        <w:rFonts w:ascii="Calibri Light" w:hAnsi="Calibri Light" w:hint="default"/>
      </w:rPr>
    </w:lvl>
    <w:lvl w:ilvl="5" w:tplc="928ECE98" w:tentative="1">
      <w:start w:val="1"/>
      <w:numFmt w:val="bullet"/>
      <w:lvlText w:val="•"/>
      <w:lvlJc w:val="left"/>
      <w:pPr>
        <w:tabs>
          <w:tab w:val="num" w:pos="4320"/>
        </w:tabs>
        <w:ind w:left="4320" w:hanging="360"/>
      </w:pPr>
      <w:rPr>
        <w:rFonts w:ascii="Calibri Light" w:hAnsi="Calibri Light" w:hint="default"/>
      </w:rPr>
    </w:lvl>
    <w:lvl w:ilvl="6" w:tplc="2E0AA08E" w:tentative="1">
      <w:start w:val="1"/>
      <w:numFmt w:val="bullet"/>
      <w:lvlText w:val="•"/>
      <w:lvlJc w:val="left"/>
      <w:pPr>
        <w:tabs>
          <w:tab w:val="num" w:pos="5040"/>
        </w:tabs>
        <w:ind w:left="5040" w:hanging="360"/>
      </w:pPr>
      <w:rPr>
        <w:rFonts w:ascii="Calibri Light" w:hAnsi="Calibri Light" w:hint="default"/>
      </w:rPr>
    </w:lvl>
    <w:lvl w:ilvl="7" w:tplc="ED9E64DC" w:tentative="1">
      <w:start w:val="1"/>
      <w:numFmt w:val="bullet"/>
      <w:lvlText w:val="•"/>
      <w:lvlJc w:val="left"/>
      <w:pPr>
        <w:tabs>
          <w:tab w:val="num" w:pos="5760"/>
        </w:tabs>
        <w:ind w:left="5760" w:hanging="360"/>
      </w:pPr>
      <w:rPr>
        <w:rFonts w:ascii="Calibri Light" w:hAnsi="Calibri Light" w:hint="default"/>
      </w:rPr>
    </w:lvl>
    <w:lvl w:ilvl="8" w:tplc="E08AAEFA" w:tentative="1">
      <w:start w:val="1"/>
      <w:numFmt w:val="bullet"/>
      <w:lvlText w:val="•"/>
      <w:lvlJc w:val="left"/>
      <w:pPr>
        <w:tabs>
          <w:tab w:val="num" w:pos="6480"/>
        </w:tabs>
        <w:ind w:left="6480" w:hanging="360"/>
      </w:pPr>
      <w:rPr>
        <w:rFonts w:ascii="Calibri Light" w:hAnsi="Calibri Light" w:hint="default"/>
      </w:rPr>
    </w:lvl>
  </w:abstractNum>
  <w:abstractNum w:abstractNumId="33" w15:restartNumberingAfterBreak="0">
    <w:nsid w:val="50C84890"/>
    <w:multiLevelType w:val="hybridMultilevel"/>
    <w:tmpl w:val="EC58A550"/>
    <w:lvl w:ilvl="0" w:tplc="9FB432D6">
      <w:start w:val="1"/>
      <w:numFmt w:val="bullet"/>
      <w:lvlText w:val="•"/>
      <w:lvlJc w:val="left"/>
      <w:pPr>
        <w:tabs>
          <w:tab w:val="num" w:pos="720"/>
        </w:tabs>
        <w:ind w:left="720" w:hanging="360"/>
      </w:pPr>
      <w:rPr>
        <w:rFonts w:ascii="Calibri Light" w:hAnsi="Calibri Light" w:hint="default"/>
      </w:rPr>
    </w:lvl>
    <w:lvl w:ilvl="1" w:tplc="984E9746" w:tentative="1">
      <w:start w:val="1"/>
      <w:numFmt w:val="bullet"/>
      <w:lvlText w:val="•"/>
      <w:lvlJc w:val="left"/>
      <w:pPr>
        <w:tabs>
          <w:tab w:val="num" w:pos="1440"/>
        </w:tabs>
        <w:ind w:left="1440" w:hanging="360"/>
      </w:pPr>
      <w:rPr>
        <w:rFonts w:ascii="Calibri Light" w:hAnsi="Calibri Light" w:hint="default"/>
      </w:rPr>
    </w:lvl>
    <w:lvl w:ilvl="2" w:tplc="E094442E" w:tentative="1">
      <w:start w:val="1"/>
      <w:numFmt w:val="bullet"/>
      <w:lvlText w:val="•"/>
      <w:lvlJc w:val="left"/>
      <w:pPr>
        <w:tabs>
          <w:tab w:val="num" w:pos="2160"/>
        </w:tabs>
        <w:ind w:left="2160" w:hanging="360"/>
      </w:pPr>
      <w:rPr>
        <w:rFonts w:ascii="Calibri Light" w:hAnsi="Calibri Light" w:hint="default"/>
      </w:rPr>
    </w:lvl>
    <w:lvl w:ilvl="3" w:tplc="E7A2AF86" w:tentative="1">
      <w:start w:val="1"/>
      <w:numFmt w:val="bullet"/>
      <w:lvlText w:val="•"/>
      <w:lvlJc w:val="left"/>
      <w:pPr>
        <w:tabs>
          <w:tab w:val="num" w:pos="2880"/>
        </w:tabs>
        <w:ind w:left="2880" w:hanging="360"/>
      </w:pPr>
      <w:rPr>
        <w:rFonts w:ascii="Calibri Light" w:hAnsi="Calibri Light" w:hint="default"/>
      </w:rPr>
    </w:lvl>
    <w:lvl w:ilvl="4" w:tplc="2BB2D96A" w:tentative="1">
      <w:start w:val="1"/>
      <w:numFmt w:val="bullet"/>
      <w:lvlText w:val="•"/>
      <w:lvlJc w:val="left"/>
      <w:pPr>
        <w:tabs>
          <w:tab w:val="num" w:pos="3600"/>
        </w:tabs>
        <w:ind w:left="3600" w:hanging="360"/>
      </w:pPr>
      <w:rPr>
        <w:rFonts w:ascii="Calibri Light" w:hAnsi="Calibri Light" w:hint="default"/>
      </w:rPr>
    </w:lvl>
    <w:lvl w:ilvl="5" w:tplc="508EDFCE" w:tentative="1">
      <w:start w:val="1"/>
      <w:numFmt w:val="bullet"/>
      <w:lvlText w:val="•"/>
      <w:lvlJc w:val="left"/>
      <w:pPr>
        <w:tabs>
          <w:tab w:val="num" w:pos="4320"/>
        </w:tabs>
        <w:ind w:left="4320" w:hanging="360"/>
      </w:pPr>
      <w:rPr>
        <w:rFonts w:ascii="Calibri Light" w:hAnsi="Calibri Light" w:hint="default"/>
      </w:rPr>
    </w:lvl>
    <w:lvl w:ilvl="6" w:tplc="A0E2750E" w:tentative="1">
      <w:start w:val="1"/>
      <w:numFmt w:val="bullet"/>
      <w:lvlText w:val="•"/>
      <w:lvlJc w:val="left"/>
      <w:pPr>
        <w:tabs>
          <w:tab w:val="num" w:pos="5040"/>
        </w:tabs>
        <w:ind w:left="5040" w:hanging="360"/>
      </w:pPr>
      <w:rPr>
        <w:rFonts w:ascii="Calibri Light" w:hAnsi="Calibri Light" w:hint="default"/>
      </w:rPr>
    </w:lvl>
    <w:lvl w:ilvl="7" w:tplc="21481462" w:tentative="1">
      <w:start w:val="1"/>
      <w:numFmt w:val="bullet"/>
      <w:lvlText w:val="•"/>
      <w:lvlJc w:val="left"/>
      <w:pPr>
        <w:tabs>
          <w:tab w:val="num" w:pos="5760"/>
        </w:tabs>
        <w:ind w:left="5760" w:hanging="360"/>
      </w:pPr>
      <w:rPr>
        <w:rFonts w:ascii="Calibri Light" w:hAnsi="Calibri Light" w:hint="default"/>
      </w:rPr>
    </w:lvl>
    <w:lvl w:ilvl="8" w:tplc="6DB0731C" w:tentative="1">
      <w:start w:val="1"/>
      <w:numFmt w:val="bullet"/>
      <w:lvlText w:val="•"/>
      <w:lvlJc w:val="left"/>
      <w:pPr>
        <w:tabs>
          <w:tab w:val="num" w:pos="6480"/>
        </w:tabs>
        <w:ind w:left="6480" w:hanging="360"/>
      </w:pPr>
      <w:rPr>
        <w:rFonts w:ascii="Calibri Light" w:hAnsi="Calibri Light" w:hint="default"/>
      </w:rPr>
    </w:lvl>
  </w:abstractNum>
  <w:abstractNum w:abstractNumId="34" w15:restartNumberingAfterBreak="0">
    <w:nsid w:val="50E65644"/>
    <w:multiLevelType w:val="hybridMultilevel"/>
    <w:tmpl w:val="66C62F72"/>
    <w:lvl w:ilvl="0" w:tplc="AD645CB6">
      <w:start w:val="1"/>
      <w:numFmt w:val="bullet"/>
      <w:lvlText w:val=""/>
      <w:lvlJc w:val="left"/>
      <w:pPr>
        <w:ind w:left="1020" w:hanging="360"/>
      </w:pPr>
      <w:rPr>
        <w:rFonts w:ascii="Symbol" w:hAnsi="Symbol"/>
      </w:rPr>
    </w:lvl>
    <w:lvl w:ilvl="1" w:tplc="05CE1170">
      <w:start w:val="1"/>
      <w:numFmt w:val="bullet"/>
      <w:lvlText w:val=""/>
      <w:lvlJc w:val="left"/>
      <w:pPr>
        <w:ind w:left="1020" w:hanging="360"/>
      </w:pPr>
      <w:rPr>
        <w:rFonts w:ascii="Symbol" w:hAnsi="Symbol"/>
      </w:rPr>
    </w:lvl>
    <w:lvl w:ilvl="2" w:tplc="420ACE10">
      <w:start w:val="1"/>
      <w:numFmt w:val="bullet"/>
      <w:lvlText w:val=""/>
      <w:lvlJc w:val="left"/>
      <w:pPr>
        <w:ind w:left="1020" w:hanging="360"/>
      </w:pPr>
      <w:rPr>
        <w:rFonts w:ascii="Symbol" w:hAnsi="Symbol"/>
      </w:rPr>
    </w:lvl>
    <w:lvl w:ilvl="3" w:tplc="C90A05E6">
      <w:start w:val="1"/>
      <w:numFmt w:val="bullet"/>
      <w:lvlText w:val=""/>
      <w:lvlJc w:val="left"/>
      <w:pPr>
        <w:ind w:left="1020" w:hanging="360"/>
      </w:pPr>
      <w:rPr>
        <w:rFonts w:ascii="Symbol" w:hAnsi="Symbol"/>
      </w:rPr>
    </w:lvl>
    <w:lvl w:ilvl="4" w:tplc="8CD6666C">
      <w:start w:val="1"/>
      <w:numFmt w:val="bullet"/>
      <w:lvlText w:val=""/>
      <w:lvlJc w:val="left"/>
      <w:pPr>
        <w:ind w:left="1020" w:hanging="360"/>
      </w:pPr>
      <w:rPr>
        <w:rFonts w:ascii="Symbol" w:hAnsi="Symbol"/>
      </w:rPr>
    </w:lvl>
    <w:lvl w:ilvl="5" w:tplc="BAF4BB48">
      <w:start w:val="1"/>
      <w:numFmt w:val="bullet"/>
      <w:lvlText w:val=""/>
      <w:lvlJc w:val="left"/>
      <w:pPr>
        <w:ind w:left="1020" w:hanging="360"/>
      </w:pPr>
      <w:rPr>
        <w:rFonts w:ascii="Symbol" w:hAnsi="Symbol"/>
      </w:rPr>
    </w:lvl>
    <w:lvl w:ilvl="6" w:tplc="41803DBC">
      <w:start w:val="1"/>
      <w:numFmt w:val="bullet"/>
      <w:lvlText w:val=""/>
      <w:lvlJc w:val="left"/>
      <w:pPr>
        <w:ind w:left="1020" w:hanging="360"/>
      </w:pPr>
      <w:rPr>
        <w:rFonts w:ascii="Symbol" w:hAnsi="Symbol"/>
      </w:rPr>
    </w:lvl>
    <w:lvl w:ilvl="7" w:tplc="A4E67F46">
      <w:start w:val="1"/>
      <w:numFmt w:val="bullet"/>
      <w:lvlText w:val=""/>
      <w:lvlJc w:val="left"/>
      <w:pPr>
        <w:ind w:left="1020" w:hanging="360"/>
      </w:pPr>
      <w:rPr>
        <w:rFonts w:ascii="Symbol" w:hAnsi="Symbol"/>
      </w:rPr>
    </w:lvl>
    <w:lvl w:ilvl="8" w:tplc="1FA43658">
      <w:start w:val="1"/>
      <w:numFmt w:val="bullet"/>
      <w:lvlText w:val=""/>
      <w:lvlJc w:val="left"/>
      <w:pPr>
        <w:ind w:left="1020" w:hanging="360"/>
      </w:pPr>
      <w:rPr>
        <w:rFonts w:ascii="Symbol" w:hAnsi="Symbol"/>
      </w:rPr>
    </w:lvl>
  </w:abstractNum>
  <w:abstractNum w:abstractNumId="35" w15:restartNumberingAfterBreak="0">
    <w:nsid w:val="51544687"/>
    <w:multiLevelType w:val="multilevel"/>
    <w:tmpl w:val="751AECDE"/>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16B29BB"/>
    <w:multiLevelType w:val="multilevel"/>
    <w:tmpl w:val="25BE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24C796B"/>
    <w:multiLevelType w:val="hybridMultilevel"/>
    <w:tmpl w:val="A7724A6C"/>
    <w:lvl w:ilvl="0" w:tplc="8FB485DA">
      <w:start w:val="1"/>
      <w:numFmt w:val="bullet"/>
      <w:lvlText w:val="•"/>
      <w:lvlJc w:val="left"/>
      <w:pPr>
        <w:tabs>
          <w:tab w:val="num" w:pos="720"/>
        </w:tabs>
        <w:ind w:left="720" w:hanging="360"/>
      </w:pPr>
      <w:rPr>
        <w:rFonts w:ascii="Calibri Light" w:hAnsi="Calibri Light" w:hint="default"/>
      </w:rPr>
    </w:lvl>
    <w:lvl w:ilvl="1" w:tplc="60F2886C" w:tentative="1">
      <w:start w:val="1"/>
      <w:numFmt w:val="bullet"/>
      <w:lvlText w:val="•"/>
      <w:lvlJc w:val="left"/>
      <w:pPr>
        <w:tabs>
          <w:tab w:val="num" w:pos="1440"/>
        </w:tabs>
        <w:ind w:left="1440" w:hanging="360"/>
      </w:pPr>
      <w:rPr>
        <w:rFonts w:ascii="Calibri Light" w:hAnsi="Calibri Light" w:hint="default"/>
      </w:rPr>
    </w:lvl>
    <w:lvl w:ilvl="2" w:tplc="426457F6" w:tentative="1">
      <w:start w:val="1"/>
      <w:numFmt w:val="bullet"/>
      <w:lvlText w:val="•"/>
      <w:lvlJc w:val="left"/>
      <w:pPr>
        <w:tabs>
          <w:tab w:val="num" w:pos="2160"/>
        </w:tabs>
        <w:ind w:left="2160" w:hanging="360"/>
      </w:pPr>
      <w:rPr>
        <w:rFonts w:ascii="Calibri Light" w:hAnsi="Calibri Light" w:hint="default"/>
      </w:rPr>
    </w:lvl>
    <w:lvl w:ilvl="3" w:tplc="E1EC9A70" w:tentative="1">
      <w:start w:val="1"/>
      <w:numFmt w:val="bullet"/>
      <w:lvlText w:val="•"/>
      <w:lvlJc w:val="left"/>
      <w:pPr>
        <w:tabs>
          <w:tab w:val="num" w:pos="2880"/>
        </w:tabs>
        <w:ind w:left="2880" w:hanging="360"/>
      </w:pPr>
      <w:rPr>
        <w:rFonts w:ascii="Calibri Light" w:hAnsi="Calibri Light" w:hint="default"/>
      </w:rPr>
    </w:lvl>
    <w:lvl w:ilvl="4" w:tplc="37E6EE96" w:tentative="1">
      <w:start w:val="1"/>
      <w:numFmt w:val="bullet"/>
      <w:lvlText w:val="•"/>
      <w:lvlJc w:val="left"/>
      <w:pPr>
        <w:tabs>
          <w:tab w:val="num" w:pos="3600"/>
        </w:tabs>
        <w:ind w:left="3600" w:hanging="360"/>
      </w:pPr>
      <w:rPr>
        <w:rFonts w:ascii="Calibri Light" w:hAnsi="Calibri Light" w:hint="default"/>
      </w:rPr>
    </w:lvl>
    <w:lvl w:ilvl="5" w:tplc="75A2507A" w:tentative="1">
      <w:start w:val="1"/>
      <w:numFmt w:val="bullet"/>
      <w:lvlText w:val="•"/>
      <w:lvlJc w:val="left"/>
      <w:pPr>
        <w:tabs>
          <w:tab w:val="num" w:pos="4320"/>
        </w:tabs>
        <w:ind w:left="4320" w:hanging="360"/>
      </w:pPr>
      <w:rPr>
        <w:rFonts w:ascii="Calibri Light" w:hAnsi="Calibri Light" w:hint="default"/>
      </w:rPr>
    </w:lvl>
    <w:lvl w:ilvl="6" w:tplc="BD6097BE" w:tentative="1">
      <w:start w:val="1"/>
      <w:numFmt w:val="bullet"/>
      <w:lvlText w:val="•"/>
      <w:lvlJc w:val="left"/>
      <w:pPr>
        <w:tabs>
          <w:tab w:val="num" w:pos="5040"/>
        </w:tabs>
        <w:ind w:left="5040" w:hanging="360"/>
      </w:pPr>
      <w:rPr>
        <w:rFonts w:ascii="Calibri Light" w:hAnsi="Calibri Light" w:hint="default"/>
      </w:rPr>
    </w:lvl>
    <w:lvl w:ilvl="7" w:tplc="EFE49B42" w:tentative="1">
      <w:start w:val="1"/>
      <w:numFmt w:val="bullet"/>
      <w:lvlText w:val="•"/>
      <w:lvlJc w:val="left"/>
      <w:pPr>
        <w:tabs>
          <w:tab w:val="num" w:pos="5760"/>
        </w:tabs>
        <w:ind w:left="5760" w:hanging="360"/>
      </w:pPr>
      <w:rPr>
        <w:rFonts w:ascii="Calibri Light" w:hAnsi="Calibri Light" w:hint="default"/>
      </w:rPr>
    </w:lvl>
    <w:lvl w:ilvl="8" w:tplc="BD5631DC" w:tentative="1">
      <w:start w:val="1"/>
      <w:numFmt w:val="bullet"/>
      <w:lvlText w:val="•"/>
      <w:lvlJc w:val="left"/>
      <w:pPr>
        <w:tabs>
          <w:tab w:val="num" w:pos="6480"/>
        </w:tabs>
        <w:ind w:left="6480" w:hanging="360"/>
      </w:pPr>
      <w:rPr>
        <w:rFonts w:ascii="Calibri Light" w:hAnsi="Calibri Light" w:hint="default"/>
      </w:rPr>
    </w:lvl>
  </w:abstractNum>
  <w:abstractNum w:abstractNumId="38" w15:restartNumberingAfterBreak="0">
    <w:nsid w:val="55C40DDD"/>
    <w:multiLevelType w:val="hybridMultilevel"/>
    <w:tmpl w:val="00E25F9A"/>
    <w:lvl w:ilvl="0" w:tplc="17AA12CC">
      <w:start w:val="1"/>
      <w:numFmt w:val="bullet"/>
      <w:lvlText w:val="•"/>
      <w:lvlJc w:val="left"/>
      <w:pPr>
        <w:tabs>
          <w:tab w:val="num" w:pos="720"/>
        </w:tabs>
        <w:ind w:left="720" w:hanging="360"/>
      </w:pPr>
      <w:rPr>
        <w:rFonts w:ascii="Calibri Light" w:hAnsi="Calibri Light" w:hint="default"/>
      </w:rPr>
    </w:lvl>
    <w:lvl w:ilvl="1" w:tplc="952C5368" w:tentative="1">
      <w:start w:val="1"/>
      <w:numFmt w:val="bullet"/>
      <w:lvlText w:val="•"/>
      <w:lvlJc w:val="left"/>
      <w:pPr>
        <w:tabs>
          <w:tab w:val="num" w:pos="1440"/>
        </w:tabs>
        <w:ind w:left="1440" w:hanging="360"/>
      </w:pPr>
      <w:rPr>
        <w:rFonts w:ascii="Calibri Light" w:hAnsi="Calibri Light" w:hint="default"/>
      </w:rPr>
    </w:lvl>
    <w:lvl w:ilvl="2" w:tplc="427E2EEE" w:tentative="1">
      <w:start w:val="1"/>
      <w:numFmt w:val="bullet"/>
      <w:lvlText w:val="•"/>
      <w:lvlJc w:val="left"/>
      <w:pPr>
        <w:tabs>
          <w:tab w:val="num" w:pos="2160"/>
        </w:tabs>
        <w:ind w:left="2160" w:hanging="360"/>
      </w:pPr>
      <w:rPr>
        <w:rFonts w:ascii="Calibri Light" w:hAnsi="Calibri Light" w:hint="default"/>
      </w:rPr>
    </w:lvl>
    <w:lvl w:ilvl="3" w:tplc="DED2A1EE" w:tentative="1">
      <w:start w:val="1"/>
      <w:numFmt w:val="bullet"/>
      <w:lvlText w:val="•"/>
      <w:lvlJc w:val="left"/>
      <w:pPr>
        <w:tabs>
          <w:tab w:val="num" w:pos="2880"/>
        </w:tabs>
        <w:ind w:left="2880" w:hanging="360"/>
      </w:pPr>
      <w:rPr>
        <w:rFonts w:ascii="Calibri Light" w:hAnsi="Calibri Light" w:hint="default"/>
      </w:rPr>
    </w:lvl>
    <w:lvl w:ilvl="4" w:tplc="9814E3C0" w:tentative="1">
      <w:start w:val="1"/>
      <w:numFmt w:val="bullet"/>
      <w:lvlText w:val="•"/>
      <w:lvlJc w:val="left"/>
      <w:pPr>
        <w:tabs>
          <w:tab w:val="num" w:pos="3600"/>
        </w:tabs>
        <w:ind w:left="3600" w:hanging="360"/>
      </w:pPr>
      <w:rPr>
        <w:rFonts w:ascii="Calibri Light" w:hAnsi="Calibri Light" w:hint="default"/>
      </w:rPr>
    </w:lvl>
    <w:lvl w:ilvl="5" w:tplc="E586C0EA" w:tentative="1">
      <w:start w:val="1"/>
      <w:numFmt w:val="bullet"/>
      <w:lvlText w:val="•"/>
      <w:lvlJc w:val="left"/>
      <w:pPr>
        <w:tabs>
          <w:tab w:val="num" w:pos="4320"/>
        </w:tabs>
        <w:ind w:left="4320" w:hanging="360"/>
      </w:pPr>
      <w:rPr>
        <w:rFonts w:ascii="Calibri Light" w:hAnsi="Calibri Light" w:hint="default"/>
      </w:rPr>
    </w:lvl>
    <w:lvl w:ilvl="6" w:tplc="4C0CFCCC" w:tentative="1">
      <w:start w:val="1"/>
      <w:numFmt w:val="bullet"/>
      <w:lvlText w:val="•"/>
      <w:lvlJc w:val="left"/>
      <w:pPr>
        <w:tabs>
          <w:tab w:val="num" w:pos="5040"/>
        </w:tabs>
        <w:ind w:left="5040" w:hanging="360"/>
      </w:pPr>
      <w:rPr>
        <w:rFonts w:ascii="Calibri Light" w:hAnsi="Calibri Light" w:hint="default"/>
      </w:rPr>
    </w:lvl>
    <w:lvl w:ilvl="7" w:tplc="B88C82BA" w:tentative="1">
      <w:start w:val="1"/>
      <w:numFmt w:val="bullet"/>
      <w:lvlText w:val="•"/>
      <w:lvlJc w:val="left"/>
      <w:pPr>
        <w:tabs>
          <w:tab w:val="num" w:pos="5760"/>
        </w:tabs>
        <w:ind w:left="5760" w:hanging="360"/>
      </w:pPr>
      <w:rPr>
        <w:rFonts w:ascii="Calibri Light" w:hAnsi="Calibri Light" w:hint="default"/>
      </w:rPr>
    </w:lvl>
    <w:lvl w:ilvl="8" w:tplc="82C436E6" w:tentative="1">
      <w:start w:val="1"/>
      <w:numFmt w:val="bullet"/>
      <w:lvlText w:val="•"/>
      <w:lvlJc w:val="left"/>
      <w:pPr>
        <w:tabs>
          <w:tab w:val="num" w:pos="6480"/>
        </w:tabs>
        <w:ind w:left="6480" w:hanging="360"/>
      </w:pPr>
      <w:rPr>
        <w:rFonts w:ascii="Calibri Light" w:hAnsi="Calibri Light" w:hint="default"/>
      </w:rPr>
    </w:lvl>
  </w:abstractNum>
  <w:abstractNum w:abstractNumId="39" w15:restartNumberingAfterBreak="0">
    <w:nsid w:val="55D10AE8"/>
    <w:multiLevelType w:val="hybridMultilevel"/>
    <w:tmpl w:val="372051B4"/>
    <w:lvl w:ilvl="0" w:tplc="EA8E028A">
      <w:start w:val="1"/>
      <w:numFmt w:val="bullet"/>
      <w:lvlText w:val=""/>
      <w:lvlJc w:val="left"/>
      <w:pPr>
        <w:ind w:left="720" w:hanging="360"/>
      </w:pPr>
      <w:rPr>
        <w:rFonts w:ascii="Symbol" w:hAnsi="Symbol"/>
      </w:rPr>
    </w:lvl>
    <w:lvl w:ilvl="1" w:tplc="D006FCA2">
      <w:start w:val="1"/>
      <w:numFmt w:val="bullet"/>
      <w:lvlText w:val=""/>
      <w:lvlJc w:val="left"/>
      <w:pPr>
        <w:ind w:left="720" w:hanging="360"/>
      </w:pPr>
      <w:rPr>
        <w:rFonts w:ascii="Symbol" w:hAnsi="Symbol"/>
      </w:rPr>
    </w:lvl>
    <w:lvl w:ilvl="2" w:tplc="920C5FD4">
      <w:start w:val="1"/>
      <w:numFmt w:val="bullet"/>
      <w:lvlText w:val=""/>
      <w:lvlJc w:val="left"/>
      <w:pPr>
        <w:ind w:left="720" w:hanging="360"/>
      </w:pPr>
      <w:rPr>
        <w:rFonts w:ascii="Symbol" w:hAnsi="Symbol"/>
      </w:rPr>
    </w:lvl>
    <w:lvl w:ilvl="3" w:tplc="E56ACB7C">
      <w:start w:val="1"/>
      <w:numFmt w:val="bullet"/>
      <w:lvlText w:val=""/>
      <w:lvlJc w:val="left"/>
      <w:pPr>
        <w:ind w:left="720" w:hanging="360"/>
      </w:pPr>
      <w:rPr>
        <w:rFonts w:ascii="Symbol" w:hAnsi="Symbol"/>
      </w:rPr>
    </w:lvl>
    <w:lvl w:ilvl="4" w:tplc="0D086CA0">
      <w:start w:val="1"/>
      <w:numFmt w:val="bullet"/>
      <w:lvlText w:val=""/>
      <w:lvlJc w:val="left"/>
      <w:pPr>
        <w:ind w:left="720" w:hanging="360"/>
      </w:pPr>
      <w:rPr>
        <w:rFonts w:ascii="Symbol" w:hAnsi="Symbol"/>
      </w:rPr>
    </w:lvl>
    <w:lvl w:ilvl="5" w:tplc="BF70B8D4">
      <w:start w:val="1"/>
      <w:numFmt w:val="bullet"/>
      <w:lvlText w:val=""/>
      <w:lvlJc w:val="left"/>
      <w:pPr>
        <w:ind w:left="720" w:hanging="360"/>
      </w:pPr>
      <w:rPr>
        <w:rFonts w:ascii="Symbol" w:hAnsi="Symbol"/>
      </w:rPr>
    </w:lvl>
    <w:lvl w:ilvl="6" w:tplc="4C3AB8D6">
      <w:start w:val="1"/>
      <w:numFmt w:val="bullet"/>
      <w:lvlText w:val=""/>
      <w:lvlJc w:val="left"/>
      <w:pPr>
        <w:ind w:left="720" w:hanging="360"/>
      </w:pPr>
      <w:rPr>
        <w:rFonts w:ascii="Symbol" w:hAnsi="Symbol"/>
      </w:rPr>
    </w:lvl>
    <w:lvl w:ilvl="7" w:tplc="81BEF956">
      <w:start w:val="1"/>
      <w:numFmt w:val="bullet"/>
      <w:lvlText w:val=""/>
      <w:lvlJc w:val="left"/>
      <w:pPr>
        <w:ind w:left="720" w:hanging="360"/>
      </w:pPr>
      <w:rPr>
        <w:rFonts w:ascii="Symbol" w:hAnsi="Symbol"/>
      </w:rPr>
    </w:lvl>
    <w:lvl w:ilvl="8" w:tplc="116E0D20">
      <w:start w:val="1"/>
      <w:numFmt w:val="bullet"/>
      <w:lvlText w:val=""/>
      <w:lvlJc w:val="left"/>
      <w:pPr>
        <w:ind w:left="720" w:hanging="360"/>
      </w:pPr>
      <w:rPr>
        <w:rFonts w:ascii="Symbol" w:hAnsi="Symbol"/>
      </w:rPr>
    </w:lvl>
  </w:abstractNum>
  <w:abstractNum w:abstractNumId="40" w15:restartNumberingAfterBreak="0">
    <w:nsid w:val="577B4C61"/>
    <w:multiLevelType w:val="hybridMultilevel"/>
    <w:tmpl w:val="D404157C"/>
    <w:lvl w:ilvl="0" w:tplc="88E42C06">
      <w:start w:val="1"/>
      <w:numFmt w:val="bullet"/>
      <w:lvlText w:val=""/>
      <w:lvlJc w:val="left"/>
      <w:pPr>
        <w:ind w:left="1020" w:hanging="360"/>
      </w:pPr>
      <w:rPr>
        <w:rFonts w:ascii="Symbol" w:hAnsi="Symbol"/>
      </w:rPr>
    </w:lvl>
    <w:lvl w:ilvl="1" w:tplc="6A827F28">
      <w:start w:val="1"/>
      <w:numFmt w:val="bullet"/>
      <w:lvlText w:val=""/>
      <w:lvlJc w:val="left"/>
      <w:pPr>
        <w:ind w:left="1020" w:hanging="360"/>
      </w:pPr>
      <w:rPr>
        <w:rFonts w:ascii="Symbol" w:hAnsi="Symbol"/>
      </w:rPr>
    </w:lvl>
    <w:lvl w:ilvl="2" w:tplc="B240EF50">
      <w:start w:val="1"/>
      <w:numFmt w:val="bullet"/>
      <w:lvlText w:val=""/>
      <w:lvlJc w:val="left"/>
      <w:pPr>
        <w:ind w:left="1020" w:hanging="360"/>
      </w:pPr>
      <w:rPr>
        <w:rFonts w:ascii="Symbol" w:hAnsi="Symbol"/>
      </w:rPr>
    </w:lvl>
    <w:lvl w:ilvl="3" w:tplc="63B81458">
      <w:start w:val="1"/>
      <w:numFmt w:val="bullet"/>
      <w:lvlText w:val=""/>
      <w:lvlJc w:val="left"/>
      <w:pPr>
        <w:ind w:left="1020" w:hanging="360"/>
      </w:pPr>
      <w:rPr>
        <w:rFonts w:ascii="Symbol" w:hAnsi="Symbol"/>
      </w:rPr>
    </w:lvl>
    <w:lvl w:ilvl="4" w:tplc="E7148518">
      <w:start w:val="1"/>
      <w:numFmt w:val="bullet"/>
      <w:lvlText w:val=""/>
      <w:lvlJc w:val="left"/>
      <w:pPr>
        <w:ind w:left="1020" w:hanging="360"/>
      </w:pPr>
      <w:rPr>
        <w:rFonts w:ascii="Symbol" w:hAnsi="Symbol"/>
      </w:rPr>
    </w:lvl>
    <w:lvl w:ilvl="5" w:tplc="539039A4">
      <w:start w:val="1"/>
      <w:numFmt w:val="bullet"/>
      <w:lvlText w:val=""/>
      <w:lvlJc w:val="left"/>
      <w:pPr>
        <w:ind w:left="1020" w:hanging="360"/>
      </w:pPr>
      <w:rPr>
        <w:rFonts w:ascii="Symbol" w:hAnsi="Symbol"/>
      </w:rPr>
    </w:lvl>
    <w:lvl w:ilvl="6" w:tplc="C92C1EAE">
      <w:start w:val="1"/>
      <w:numFmt w:val="bullet"/>
      <w:lvlText w:val=""/>
      <w:lvlJc w:val="left"/>
      <w:pPr>
        <w:ind w:left="1020" w:hanging="360"/>
      </w:pPr>
      <w:rPr>
        <w:rFonts w:ascii="Symbol" w:hAnsi="Symbol"/>
      </w:rPr>
    </w:lvl>
    <w:lvl w:ilvl="7" w:tplc="594633BC">
      <w:start w:val="1"/>
      <w:numFmt w:val="bullet"/>
      <w:lvlText w:val=""/>
      <w:lvlJc w:val="left"/>
      <w:pPr>
        <w:ind w:left="1020" w:hanging="360"/>
      </w:pPr>
      <w:rPr>
        <w:rFonts w:ascii="Symbol" w:hAnsi="Symbol"/>
      </w:rPr>
    </w:lvl>
    <w:lvl w:ilvl="8" w:tplc="3B7EA490">
      <w:start w:val="1"/>
      <w:numFmt w:val="bullet"/>
      <w:lvlText w:val=""/>
      <w:lvlJc w:val="left"/>
      <w:pPr>
        <w:ind w:left="1020" w:hanging="360"/>
      </w:pPr>
      <w:rPr>
        <w:rFonts w:ascii="Symbol" w:hAnsi="Symbol"/>
      </w:rPr>
    </w:lvl>
  </w:abstractNum>
  <w:abstractNum w:abstractNumId="41" w15:restartNumberingAfterBreak="0">
    <w:nsid w:val="58B300B7"/>
    <w:multiLevelType w:val="hybridMultilevel"/>
    <w:tmpl w:val="52F05902"/>
    <w:lvl w:ilvl="0" w:tplc="3ECCA1FA">
      <w:start w:val="1"/>
      <w:numFmt w:val="bullet"/>
      <w:lvlText w:val=""/>
      <w:lvlJc w:val="left"/>
      <w:pPr>
        <w:ind w:left="1020" w:hanging="360"/>
      </w:pPr>
      <w:rPr>
        <w:rFonts w:ascii="Symbol" w:hAnsi="Symbol"/>
      </w:rPr>
    </w:lvl>
    <w:lvl w:ilvl="1" w:tplc="A0A68D4C">
      <w:start w:val="1"/>
      <w:numFmt w:val="bullet"/>
      <w:lvlText w:val=""/>
      <w:lvlJc w:val="left"/>
      <w:pPr>
        <w:ind w:left="1020" w:hanging="360"/>
      </w:pPr>
      <w:rPr>
        <w:rFonts w:ascii="Symbol" w:hAnsi="Symbol"/>
      </w:rPr>
    </w:lvl>
    <w:lvl w:ilvl="2" w:tplc="3DB496B6">
      <w:start w:val="1"/>
      <w:numFmt w:val="bullet"/>
      <w:lvlText w:val=""/>
      <w:lvlJc w:val="left"/>
      <w:pPr>
        <w:ind w:left="1020" w:hanging="360"/>
      </w:pPr>
      <w:rPr>
        <w:rFonts w:ascii="Symbol" w:hAnsi="Symbol"/>
      </w:rPr>
    </w:lvl>
    <w:lvl w:ilvl="3" w:tplc="43A8078C">
      <w:start w:val="1"/>
      <w:numFmt w:val="bullet"/>
      <w:lvlText w:val=""/>
      <w:lvlJc w:val="left"/>
      <w:pPr>
        <w:ind w:left="1020" w:hanging="360"/>
      </w:pPr>
      <w:rPr>
        <w:rFonts w:ascii="Symbol" w:hAnsi="Symbol"/>
      </w:rPr>
    </w:lvl>
    <w:lvl w:ilvl="4" w:tplc="E37EFEF2">
      <w:start w:val="1"/>
      <w:numFmt w:val="bullet"/>
      <w:lvlText w:val=""/>
      <w:lvlJc w:val="left"/>
      <w:pPr>
        <w:ind w:left="1020" w:hanging="360"/>
      </w:pPr>
      <w:rPr>
        <w:rFonts w:ascii="Symbol" w:hAnsi="Symbol"/>
      </w:rPr>
    </w:lvl>
    <w:lvl w:ilvl="5" w:tplc="242AAED6">
      <w:start w:val="1"/>
      <w:numFmt w:val="bullet"/>
      <w:lvlText w:val=""/>
      <w:lvlJc w:val="left"/>
      <w:pPr>
        <w:ind w:left="1020" w:hanging="360"/>
      </w:pPr>
      <w:rPr>
        <w:rFonts w:ascii="Symbol" w:hAnsi="Symbol"/>
      </w:rPr>
    </w:lvl>
    <w:lvl w:ilvl="6" w:tplc="CB04FA6A">
      <w:start w:val="1"/>
      <w:numFmt w:val="bullet"/>
      <w:lvlText w:val=""/>
      <w:lvlJc w:val="left"/>
      <w:pPr>
        <w:ind w:left="1020" w:hanging="360"/>
      </w:pPr>
      <w:rPr>
        <w:rFonts w:ascii="Symbol" w:hAnsi="Symbol"/>
      </w:rPr>
    </w:lvl>
    <w:lvl w:ilvl="7" w:tplc="584A82AC">
      <w:start w:val="1"/>
      <w:numFmt w:val="bullet"/>
      <w:lvlText w:val=""/>
      <w:lvlJc w:val="left"/>
      <w:pPr>
        <w:ind w:left="1020" w:hanging="360"/>
      </w:pPr>
      <w:rPr>
        <w:rFonts w:ascii="Symbol" w:hAnsi="Symbol"/>
      </w:rPr>
    </w:lvl>
    <w:lvl w:ilvl="8" w:tplc="9E4A1852">
      <w:start w:val="1"/>
      <w:numFmt w:val="bullet"/>
      <w:lvlText w:val=""/>
      <w:lvlJc w:val="left"/>
      <w:pPr>
        <w:ind w:left="1020" w:hanging="360"/>
      </w:pPr>
      <w:rPr>
        <w:rFonts w:ascii="Symbol" w:hAnsi="Symbol"/>
      </w:rPr>
    </w:lvl>
  </w:abstractNum>
  <w:abstractNum w:abstractNumId="42" w15:restartNumberingAfterBreak="0">
    <w:nsid w:val="5C961EFD"/>
    <w:multiLevelType w:val="hybridMultilevel"/>
    <w:tmpl w:val="F880E88E"/>
    <w:lvl w:ilvl="0" w:tplc="20246D06">
      <w:start w:val="1"/>
      <w:numFmt w:val="bullet"/>
      <w:lvlText w:val="•"/>
      <w:lvlJc w:val="left"/>
      <w:pPr>
        <w:tabs>
          <w:tab w:val="num" w:pos="720"/>
        </w:tabs>
        <w:ind w:left="720" w:hanging="360"/>
      </w:pPr>
      <w:rPr>
        <w:rFonts w:ascii="Calibri Light" w:hAnsi="Calibri Light" w:hint="default"/>
      </w:rPr>
    </w:lvl>
    <w:lvl w:ilvl="1" w:tplc="FBB4DF40" w:tentative="1">
      <w:start w:val="1"/>
      <w:numFmt w:val="bullet"/>
      <w:lvlText w:val="•"/>
      <w:lvlJc w:val="left"/>
      <w:pPr>
        <w:tabs>
          <w:tab w:val="num" w:pos="1440"/>
        </w:tabs>
        <w:ind w:left="1440" w:hanging="360"/>
      </w:pPr>
      <w:rPr>
        <w:rFonts w:ascii="Calibri Light" w:hAnsi="Calibri Light" w:hint="default"/>
      </w:rPr>
    </w:lvl>
    <w:lvl w:ilvl="2" w:tplc="544425A2" w:tentative="1">
      <w:start w:val="1"/>
      <w:numFmt w:val="bullet"/>
      <w:lvlText w:val="•"/>
      <w:lvlJc w:val="left"/>
      <w:pPr>
        <w:tabs>
          <w:tab w:val="num" w:pos="2160"/>
        </w:tabs>
        <w:ind w:left="2160" w:hanging="360"/>
      </w:pPr>
      <w:rPr>
        <w:rFonts w:ascii="Calibri Light" w:hAnsi="Calibri Light" w:hint="default"/>
      </w:rPr>
    </w:lvl>
    <w:lvl w:ilvl="3" w:tplc="1CA8E104" w:tentative="1">
      <w:start w:val="1"/>
      <w:numFmt w:val="bullet"/>
      <w:lvlText w:val="•"/>
      <w:lvlJc w:val="left"/>
      <w:pPr>
        <w:tabs>
          <w:tab w:val="num" w:pos="2880"/>
        </w:tabs>
        <w:ind w:left="2880" w:hanging="360"/>
      </w:pPr>
      <w:rPr>
        <w:rFonts w:ascii="Calibri Light" w:hAnsi="Calibri Light" w:hint="default"/>
      </w:rPr>
    </w:lvl>
    <w:lvl w:ilvl="4" w:tplc="0AD032E6" w:tentative="1">
      <w:start w:val="1"/>
      <w:numFmt w:val="bullet"/>
      <w:lvlText w:val="•"/>
      <w:lvlJc w:val="left"/>
      <w:pPr>
        <w:tabs>
          <w:tab w:val="num" w:pos="3600"/>
        </w:tabs>
        <w:ind w:left="3600" w:hanging="360"/>
      </w:pPr>
      <w:rPr>
        <w:rFonts w:ascii="Calibri Light" w:hAnsi="Calibri Light" w:hint="default"/>
      </w:rPr>
    </w:lvl>
    <w:lvl w:ilvl="5" w:tplc="F3B27F40" w:tentative="1">
      <w:start w:val="1"/>
      <w:numFmt w:val="bullet"/>
      <w:lvlText w:val="•"/>
      <w:lvlJc w:val="left"/>
      <w:pPr>
        <w:tabs>
          <w:tab w:val="num" w:pos="4320"/>
        </w:tabs>
        <w:ind w:left="4320" w:hanging="360"/>
      </w:pPr>
      <w:rPr>
        <w:rFonts w:ascii="Calibri Light" w:hAnsi="Calibri Light" w:hint="default"/>
      </w:rPr>
    </w:lvl>
    <w:lvl w:ilvl="6" w:tplc="4DC2883E" w:tentative="1">
      <w:start w:val="1"/>
      <w:numFmt w:val="bullet"/>
      <w:lvlText w:val="•"/>
      <w:lvlJc w:val="left"/>
      <w:pPr>
        <w:tabs>
          <w:tab w:val="num" w:pos="5040"/>
        </w:tabs>
        <w:ind w:left="5040" w:hanging="360"/>
      </w:pPr>
      <w:rPr>
        <w:rFonts w:ascii="Calibri Light" w:hAnsi="Calibri Light" w:hint="default"/>
      </w:rPr>
    </w:lvl>
    <w:lvl w:ilvl="7" w:tplc="23F032FE" w:tentative="1">
      <w:start w:val="1"/>
      <w:numFmt w:val="bullet"/>
      <w:lvlText w:val="•"/>
      <w:lvlJc w:val="left"/>
      <w:pPr>
        <w:tabs>
          <w:tab w:val="num" w:pos="5760"/>
        </w:tabs>
        <w:ind w:left="5760" w:hanging="360"/>
      </w:pPr>
      <w:rPr>
        <w:rFonts w:ascii="Calibri Light" w:hAnsi="Calibri Light" w:hint="default"/>
      </w:rPr>
    </w:lvl>
    <w:lvl w:ilvl="8" w:tplc="9D52D96E" w:tentative="1">
      <w:start w:val="1"/>
      <w:numFmt w:val="bullet"/>
      <w:lvlText w:val="•"/>
      <w:lvlJc w:val="left"/>
      <w:pPr>
        <w:tabs>
          <w:tab w:val="num" w:pos="6480"/>
        </w:tabs>
        <w:ind w:left="6480" w:hanging="360"/>
      </w:pPr>
      <w:rPr>
        <w:rFonts w:ascii="Calibri Light" w:hAnsi="Calibri Light" w:hint="default"/>
      </w:rPr>
    </w:lvl>
  </w:abstractNum>
  <w:abstractNum w:abstractNumId="43" w15:restartNumberingAfterBreak="0">
    <w:nsid w:val="61BE0351"/>
    <w:multiLevelType w:val="hybridMultilevel"/>
    <w:tmpl w:val="C4687F7E"/>
    <w:lvl w:ilvl="0" w:tplc="83B64F30">
      <w:start w:val="1"/>
      <w:numFmt w:val="bullet"/>
      <w:lvlText w:val=""/>
      <w:lvlJc w:val="left"/>
      <w:pPr>
        <w:ind w:left="1020" w:hanging="360"/>
      </w:pPr>
      <w:rPr>
        <w:rFonts w:ascii="Symbol" w:hAnsi="Symbol"/>
      </w:rPr>
    </w:lvl>
    <w:lvl w:ilvl="1" w:tplc="4F0CEA82">
      <w:start w:val="1"/>
      <w:numFmt w:val="bullet"/>
      <w:lvlText w:val=""/>
      <w:lvlJc w:val="left"/>
      <w:pPr>
        <w:ind w:left="1020" w:hanging="360"/>
      </w:pPr>
      <w:rPr>
        <w:rFonts w:ascii="Symbol" w:hAnsi="Symbol"/>
      </w:rPr>
    </w:lvl>
    <w:lvl w:ilvl="2" w:tplc="305E0C2C">
      <w:start w:val="1"/>
      <w:numFmt w:val="bullet"/>
      <w:lvlText w:val=""/>
      <w:lvlJc w:val="left"/>
      <w:pPr>
        <w:ind w:left="1020" w:hanging="360"/>
      </w:pPr>
      <w:rPr>
        <w:rFonts w:ascii="Symbol" w:hAnsi="Symbol"/>
      </w:rPr>
    </w:lvl>
    <w:lvl w:ilvl="3" w:tplc="5ACA80BA">
      <w:start w:val="1"/>
      <w:numFmt w:val="bullet"/>
      <w:lvlText w:val=""/>
      <w:lvlJc w:val="left"/>
      <w:pPr>
        <w:ind w:left="1020" w:hanging="360"/>
      </w:pPr>
      <w:rPr>
        <w:rFonts w:ascii="Symbol" w:hAnsi="Symbol"/>
      </w:rPr>
    </w:lvl>
    <w:lvl w:ilvl="4" w:tplc="E32E0F8E">
      <w:start w:val="1"/>
      <w:numFmt w:val="bullet"/>
      <w:lvlText w:val=""/>
      <w:lvlJc w:val="left"/>
      <w:pPr>
        <w:ind w:left="1020" w:hanging="360"/>
      </w:pPr>
      <w:rPr>
        <w:rFonts w:ascii="Symbol" w:hAnsi="Symbol"/>
      </w:rPr>
    </w:lvl>
    <w:lvl w:ilvl="5" w:tplc="41FA8E30">
      <w:start w:val="1"/>
      <w:numFmt w:val="bullet"/>
      <w:lvlText w:val=""/>
      <w:lvlJc w:val="left"/>
      <w:pPr>
        <w:ind w:left="1020" w:hanging="360"/>
      </w:pPr>
      <w:rPr>
        <w:rFonts w:ascii="Symbol" w:hAnsi="Symbol"/>
      </w:rPr>
    </w:lvl>
    <w:lvl w:ilvl="6" w:tplc="2B40B62E">
      <w:start w:val="1"/>
      <w:numFmt w:val="bullet"/>
      <w:lvlText w:val=""/>
      <w:lvlJc w:val="left"/>
      <w:pPr>
        <w:ind w:left="1020" w:hanging="360"/>
      </w:pPr>
      <w:rPr>
        <w:rFonts w:ascii="Symbol" w:hAnsi="Symbol"/>
      </w:rPr>
    </w:lvl>
    <w:lvl w:ilvl="7" w:tplc="A47831E2">
      <w:start w:val="1"/>
      <w:numFmt w:val="bullet"/>
      <w:lvlText w:val=""/>
      <w:lvlJc w:val="left"/>
      <w:pPr>
        <w:ind w:left="1020" w:hanging="360"/>
      </w:pPr>
      <w:rPr>
        <w:rFonts w:ascii="Symbol" w:hAnsi="Symbol"/>
      </w:rPr>
    </w:lvl>
    <w:lvl w:ilvl="8" w:tplc="2B20ECCE">
      <w:start w:val="1"/>
      <w:numFmt w:val="bullet"/>
      <w:lvlText w:val=""/>
      <w:lvlJc w:val="left"/>
      <w:pPr>
        <w:ind w:left="1020" w:hanging="360"/>
      </w:pPr>
      <w:rPr>
        <w:rFonts w:ascii="Symbol" w:hAnsi="Symbol"/>
      </w:rPr>
    </w:lvl>
  </w:abstractNum>
  <w:abstractNum w:abstractNumId="44" w15:restartNumberingAfterBreak="0">
    <w:nsid w:val="63BA292A"/>
    <w:multiLevelType w:val="hybridMultilevel"/>
    <w:tmpl w:val="ED36B278"/>
    <w:lvl w:ilvl="0" w:tplc="1D08367E">
      <w:start w:val="1"/>
      <w:numFmt w:val="bullet"/>
      <w:lvlText w:val=""/>
      <w:lvlJc w:val="left"/>
      <w:pPr>
        <w:ind w:left="1020" w:hanging="360"/>
      </w:pPr>
      <w:rPr>
        <w:rFonts w:ascii="Symbol" w:hAnsi="Symbol"/>
      </w:rPr>
    </w:lvl>
    <w:lvl w:ilvl="1" w:tplc="0838C09E">
      <w:start w:val="1"/>
      <w:numFmt w:val="bullet"/>
      <w:lvlText w:val=""/>
      <w:lvlJc w:val="left"/>
      <w:pPr>
        <w:ind w:left="1020" w:hanging="360"/>
      </w:pPr>
      <w:rPr>
        <w:rFonts w:ascii="Symbol" w:hAnsi="Symbol"/>
      </w:rPr>
    </w:lvl>
    <w:lvl w:ilvl="2" w:tplc="148C9954">
      <w:start w:val="1"/>
      <w:numFmt w:val="bullet"/>
      <w:lvlText w:val=""/>
      <w:lvlJc w:val="left"/>
      <w:pPr>
        <w:ind w:left="1020" w:hanging="360"/>
      </w:pPr>
      <w:rPr>
        <w:rFonts w:ascii="Symbol" w:hAnsi="Symbol"/>
      </w:rPr>
    </w:lvl>
    <w:lvl w:ilvl="3" w:tplc="92E83402">
      <w:start w:val="1"/>
      <w:numFmt w:val="bullet"/>
      <w:lvlText w:val=""/>
      <w:lvlJc w:val="left"/>
      <w:pPr>
        <w:ind w:left="1020" w:hanging="360"/>
      </w:pPr>
      <w:rPr>
        <w:rFonts w:ascii="Symbol" w:hAnsi="Symbol"/>
      </w:rPr>
    </w:lvl>
    <w:lvl w:ilvl="4" w:tplc="B28A0A4C">
      <w:start w:val="1"/>
      <w:numFmt w:val="bullet"/>
      <w:lvlText w:val=""/>
      <w:lvlJc w:val="left"/>
      <w:pPr>
        <w:ind w:left="1020" w:hanging="360"/>
      </w:pPr>
      <w:rPr>
        <w:rFonts w:ascii="Symbol" w:hAnsi="Symbol"/>
      </w:rPr>
    </w:lvl>
    <w:lvl w:ilvl="5" w:tplc="7184426E">
      <w:start w:val="1"/>
      <w:numFmt w:val="bullet"/>
      <w:lvlText w:val=""/>
      <w:lvlJc w:val="left"/>
      <w:pPr>
        <w:ind w:left="1020" w:hanging="360"/>
      </w:pPr>
      <w:rPr>
        <w:rFonts w:ascii="Symbol" w:hAnsi="Symbol"/>
      </w:rPr>
    </w:lvl>
    <w:lvl w:ilvl="6" w:tplc="E0CA4A7C">
      <w:start w:val="1"/>
      <w:numFmt w:val="bullet"/>
      <w:lvlText w:val=""/>
      <w:lvlJc w:val="left"/>
      <w:pPr>
        <w:ind w:left="1020" w:hanging="360"/>
      </w:pPr>
      <w:rPr>
        <w:rFonts w:ascii="Symbol" w:hAnsi="Symbol"/>
      </w:rPr>
    </w:lvl>
    <w:lvl w:ilvl="7" w:tplc="C9CAFF42">
      <w:start w:val="1"/>
      <w:numFmt w:val="bullet"/>
      <w:lvlText w:val=""/>
      <w:lvlJc w:val="left"/>
      <w:pPr>
        <w:ind w:left="1020" w:hanging="360"/>
      </w:pPr>
      <w:rPr>
        <w:rFonts w:ascii="Symbol" w:hAnsi="Symbol"/>
      </w:rPr>
    </w:lvl>
    <w:lvl w:ilvl="8" w:tplc="44421890">
      <w:start w:val="1"/>
      <w:numFmt w:val="bullet"/>
      <w:lvlText w:val=""/>
      <w:lvlJc w:val="left"/>
      <w:pPr>
        <w:ind w:left="1020" w:hanging="360"/>
      </w:pPr>
      <w:rPr>
        <w:rFonts w:ascii="Symbol" w:hAnsi="Symbol"/>
      </w:rPr>
    </w:lvl>
  </w:abstractNum>
  <w:abstractNum w:abstractNumId="45" w15:restartNumberingAfterBreak="0">
    <w:nsid w:val="6AB6233C"/>
    <w:multiLevelType w:val="hybridMultilevel"/>
    <w:tmpl w:val="D682F22A"/>
    <w:lvl w:ilvl="0" w:tplc="E50E06FE">
      <w:start w:val="1"/>
      <w:numFmt w:val="bullet"/>
      <w:lvlText w:val="•"/>
      <w:lvlJc w:val="left"/>
      <w:pPr>
        <w:tabs>
          <w:tab w:val="num" w:pos="720"/>
        </w:tabs>
        <w:ind w:left="720" w:hanging="360"/>
      </w:pPr>
      <w:rPr>
        <w:rFonts w:ascii="Calibri Light" w:hAnsi="Calibri Light" w:hint="default"/>
      </w:rPr>
    </w:lvl>
    <w:lvl w:ilvl="1" w:tplc="AE08D9D6" w:tentative="1">
      <w:start w:val="1"/>
      <w:numFmt w:val="bullet"/>
      <w:lvlText w:val="•"/>
      <w:lvlJc w:val="left"/>
      <w:pPr>
        <w:tabs>
          <w:tab w:val="num" w:pos="1440"/>
        </w:tabs>
        <w:ind w:left="1440" w:hanging="360"/>
      </w:pPr>
      <w:rPr>
        <w:rFonts w:ascii="Calibri Light" w:hAnsi="Calibri Light" w:hint="default"/>
      </w:rPr>
    </w:lvl>
    <w:lvl w:ilvl="2" w:tplc="8B9EAF4E" w:tentative="1">
      <w:start w:val="1"/>
      <w:numFmt w:val="bullet"/>
      <w:lvlText w:val="•"/>
      <w:lvlJc w:val="left"/>
      <w:pPr>
        <w:tabs>
          <w:tab w:val="num" w:pos="2160"/>
        </w:tabs>
        <w:ind w:left="2160" w:hanging="360"/>
      </w:pPr>
      <w:rPr>
        <w:rFonts w:ascii="Calibri Light" w:hAnsi="Calibri Light" w:hint="default"/>
      </w:rPr>
    </w:lvl>
    <w:lvl w:ilvl="3" w:tplc="B2CCD6E6" w:tentative="1">
      <w:start w:val="1"/>
      <w:numFmt w:val="bullet"/>
      <w:lvlText w:val="•"/>
      <w:lvlJc w:val="left"/>
      <w:pPr>
        <w:tabs>
          <w:tab w:val="num" w:pos="2880"/>
        </w:tabs>
        <w:ind w:left="2880" w:hanging="360"/>
      </w:pPr>
      <w:rPr>
        <w:rFonts w:ascii="Calibri Light" w:hAnsi="Calibri Light" w:hint="default"/>
      </w:rPr>
    </w:lvl>
    <w:lvl w:ilvl="4" w:tplc="B5B20900" w:tentative="1">
      <w:start w:val="1"/>
      <w:numFmt w:val="bullet"/>
      <w:lvlText w:val="•"/>
      <w:lvlJc w:val="left"/>
      <w:pPr>
        <w:tabs>
          <w:tab w:val="num" w:pos="3600"/>
        </w:tabs>
        <w:ind w:left="3600" w:hanging="360"/>
      </w:pPr>
      <w:rPr>
        <w:rFonts w:ascii="Calibri Light" w:hAnsi="Calibri Light" w:hint="default"/>
      </w:rPr>
    </w:lvl>
    <w:lvl w:ilvl="5" w:tplc="B1105846" w:tentative="1">
      <w:start w:val="1"/>
      <w:numFmt w:val="bullet"/>
      <w:lvlText w:val="•"/>
      <w:lvlJc w:val="left"/>
      <w:pPr>
        <w:tabs>
          <w:tab w:val="num" w:pos="4320"/>
        </w:tabs>
        <w:ind w:left="4320" w:hanging="360"/>
      </w:pPr>
      <w:rPr>
        <w:rFonts w:ascii="Calibri Light" w:hAnsi="Calibri Light" w:hint="default"/>
      </w:rPr>
    </w:lvl>
    <w:lvl w:ilvl="6" w:tplc="E79A8F20" w:tentative="1">
      <w:start w:val="1"/>
      <w:numFmt w:val="bullet"/>
      <w:lvlText w:val="•"/>
      <w:lvlJc w:val="left"/>
      <w:pPr>
        <w:tabs>
          <w:tab w:val="num" w:pos="5040"/>
        </w:tabs>
        <w:ind w:left="5040" w:hanging="360"/>
      </w:pPr>
      <w:rPr>
        <w:rFonts w:ascii="Calibri Light" w:hAnsi="Calibri Light" w:hint="default"/>
      </w:rPr>
    </w:lvl>
    <w:lvl w:ilvl="7" w:tplc="5730361C" w:tentative="1">
      <w:start w:val="1"/>
      <w:numFmt w:val="bullet"/>
      <w:lvlText w:val="•"/>
      <w:lvlJc w:val="left"/>
      <w:pPr>
        <w:tabs>
          <w:tab w:val="num" w:pos="5760"/>
        </w:tabs>
        <w:ind w:left="5760" w:hanging="360"/>
      </w:pPr>
      <w:rPr>
        <w:rFonts w:ascii="Calibri Light" w:hAnsi="Calibri Light" w:hint="default"/>
      </w:rPr>
    </w:lvl>
    <w:lvl w:ilvl="8" w:tplc="183408BA" w:tentative="1">
      <w:start w:val="1"/>
      <w:numFmt w:val="bullet"/>
      <w:lvlText w:val="•"/>
      <w:lvlJc w:val="left"/>
      <w:pPr>
        <w:tabs>
          <w:tab w:val="num" w:pos="6480"/>
        </w:tabs>
        <w:ind w:left="6480" w:hanging="360"/>
      </w:pPr>
      <w:rPr>
        <w:rFonts w:ascii="Calibri Light" w:hAnsi="Calibri Light" w:hint="default"/>
      </w:rPr>
    </w:lvl>
  </w:abstractNum>
  <w:abstractNum w:abstractNumId="46" w15:restartNumberingAfterBreak="0">
    <w:nsid w:val="6D7D2987"/>
    <w:multiLevelType w:val="hybridMultilevel"/>
    <w:tmpl w:val="BC4C61A6"/>
    <w:lvl w:ilvl="0" w:tplc="8C644936">
      <w:start w:val="1"/>
      <w:numFmt w:val="bullet"/>
      <w:lvlText w:val="•"/>
      <w:lvlJc w:val="left"/>
      <w:pPr>
        <w:tabs>
          <w:tab w:val="num" w:pos="720"/>
        </w:tabs>
        <w:ind w:left="720" w:hanging="360"/>
      </w:pPr>
      <w:rPr>
        <w:rFonts w:ascii="Calibri Light" w:hAnsi="Calibri Light" w:hint="default"/>
      </w:rPr>
    </w:lvl>
    <w:lvl w:ilvl="1" w:tplc="031A59B8" w:tentative="1">
      <w:start w:val="1"/>
      <w:numFmt w:val="bullet"/>
      <w:lvlText w:val="•"/>
      <w:lvlJc w:val="left"/>
      <w:pPr>
        <w:tabs>
          <w:tab w:val="num" w:pos="1440"/>
        </w:tabs>
        <w:ind w:left="1440" w:hanging="360"/>
      </w:pPr>
      <w:rPr>
        <w:rFonts w:ascii="Calibri Light" w:hAnsi="Calibri Light" w:hint="default"/>
      </w:rPr>
    </w:lvl>
    <w:lvl w:ilvl="2" w:tplc="759AFB06" w:tentative="1">
      <w:start w:val="1"/>
      <w:numFmt w:val="bullet"/>
      <w:lvlText w:val="•"/>
      <w:lvlJc w:val="left"/>
      <w:pPr>
        <w:tabs>
          <w:tab w:val="num" w:pos="2160"/>
        </w:tabs>
        <w:ind w:left="2160" w:hanging="360"/>
      </w:pPr>
      <w:rPr>
        <w:rFonts w:ascii="Calibri Light" w:hAnsi="Calibri Light" w:hint="default"/>
      </w:rPr>
    </w:lvl>
    <w:lvl w:ilvl="3" w:tplc="A4586A06" w:tentative="1">
      <w:start w:val="1"/>
      <w:numFmt w:val="bullet"/>
      <w:lvlText w:val="•"/>
      <w:lvlJc w:val="left"/>
      <w:pPr>
        <w:tabs>
          <w:tab w:val="num" w:pos="2880"/>
        </w:tabs>
        <w:ind w:left="2880" w:hanging="360"/>
      </w:pPr>
      <w:rPr>
        <w:rFonts w:ascii="Calibri Light" w:hAnsi="Calibri Light" w:hint="default"/>
      </w:rPr>
    </w:lvl>
    <w:lvl w:ilvl="4" w:tplc="07A46650" w:tentative="1">
      <w:start w:val="1"/>
      <w:numFmt w:val="bullet"/>
      <w:lvlText w:val="•"/>
      <w:lvlJc w:val="left"/>
      <w:pPr>
        <w:tabs>
          <w:tab w:val="num" w:pos="3600"/>
        </w:tabs>
        <w:ind w:left="3600" w:hanging="360"/>
      </w:pPr>
      <w:rPr>
        <w:rFonts w:ascii="Calibri Light" w:hAnsi="Calibri Light" w:hint="default"/>
      </w:rPr>
    </w:lvl>
    <w:lvl w:ilvl="5" w:tplc="6CC2E920" w:tentative="1">
      <w:start w:val="1"/>
      <w:numFmt w:val="bullet"/>
      <w:lvlText w:val="•"/>
      <w:lvlJc w:val="left"/>
      <w:pPr>
        <w:tabs>
          <w:tab w:val="num" w:pos="4320"/>
        </w:tabs>
        <w:ind w:left="4320" w:hanging="360"/>
      </w:pPr>
      <w:rPr>
        <w:rFonts w:ascii="Calibri Light" w:hAnsi="Calibri Light" w:hint="default"/>
      </w:rPr>
    </w:lvl>
    <w:lvl w:ilvl="6" w:tplc="00A618BA" w:tentative="1">
      <w:start w:val="1"/>
      <w:numFmt w:val="bullet"/>
      <w:lvlText w:val="•"/>
      <w:lvlJc w:val="left"/>
      <w:pPr>
        <w:tabs>
          <w:tab w:val="num" w:pos="5040"/>
        </w:tabs>
        <w:ind w:left="5040" w:hanging="360"/>
      </w:pPr>
      <w:rPr>
        <w:rFonts w:ascii="Calibri Light" w:hAnsi="Calibri Light" w:hint="default"/>
      </w:rPr>
    </w:lvl>
    <w:lvl w:ilvl="7" w:tplc="18DC2376" w:tentative="1">
      <w:start w:val="1"/>
      <w:numFmt w:val="bullet"/>
      <w:lvlText w:val="•"/>
      <w:lvlJc w:val="left"/>
      <w:pPr>
        <w:tabs>
          <w:tab w:val="num" w:pos="5760"/>
        </w:tabs>
        <w:ind w:left="5760" w:hanging="360"/>
      </w:pPr>
      <w:rPr>
        <w:rFonts w:ascii="Calibri Light" w:hAnsi="Calibri Light" w:hint="default"/>
      </w:rPr>
    </w:lvl>
    <w:lvl w:ilvl="8" w:tplc="BD2E391E" w:tentative="1">
      <w:start w:val="1"/>
      <w:numFmt w:val="bullet"/>
      <w:lvlText w:val="•"/>
      <w:lvlJc w:val="left"/>
      <w:pPr>
        <w:tabs>
          <w:tab w:val="num" w:pos="6480"/>
        </w:tabs>
        <w:ind w:left="6480" w:hanging="360"/>
      </w:pPr>
      <w:rPr>
        <w:rFonts w:ascii="Calibri Light" w:hAnsi="Calibri Light" w:hint="default"/>
      </w:rPr>
    </w:lvl>
  </w:abstractNum>
  <w:abstractNum w:abstractNumId="47" w15:restartNumberingAfterBreak="0">
    <w:nsid w:val="6E871216"/>
    <w:multiLevelType w:val="multilevel"/>
    <w:tmpl w:val="F5FC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179775B"/>
    <w:multiLevelType w:val="hybridMultilevel"/>
    <w:tmpl w:val="73A889CC"/>
    <w:lvl w:ilvl="0" w:tplc="C0A8A12A">
      <w:start w:val="1"/>
      <w:numFmt w:val="bullet"/>
      <w:lvlText w:val=""/>
      <w:lvlJc w:val="left"/>
      <w:pPr>
        <w:ind w:left="1020" w:hanging="360"/>
      </w:pPr>
      <w:rPr>
        <w:rFonts w:ascii="Symbol" w:hAnsi="Symbol"/>
      </w:rPr>
    </w:lvl>
    <w:lvl w:ilvl="1" w:tplc="35DED730">
      <w:start w:val="1"/>
      <w:numFmt w:val="bullet"/>
      <w:lvlText w:val=""/>
      <w:lvlJc w:val="left"/>
      <w:pPr>
        <w:ind w:left="1020" w:hanging="360"/>
      </w:pPr>
      <w:rPr>
        <w:rFonts w:ascii="Symbol" w:hAnsi="Symbol"/>
      </w:rPr>
    </w:lvl>
    <w:lvl w:ilvl="2" w:tplc="DC96075A">
      <w:start w:val="1"/>
      <w:numFmt w:val="bullet"/>
      <w:lvlText w:val=""/>
      <w:lvlJc w:val="left"/>
      <w:pPr>
        <w:ind w:left="1020" w:hanging="360"/>
      </w:pPr>
      <w:rPr>
        <w:rFonts w:ascii="Symbol" w:hAnsi="Symbol"/>
      </w:rPr>
    </w:lvl>
    <w:lvl w:ilvl="3" w:tplc="654A4A9A">
      <w:start w:val="1"/>
      <w:numFmt w:val="bullet"/>
      <w:lvlText w:val=""/>
      <w:lvlJc w:val="left"/>
      <w:pPr>
        <w:ind w:left="1020" w:hanging="360"/>
      </w:pPr>
      <w:rPr>
        <w:rFonts w:ascii="Symbol" w:hAnsi="Symbol"/>
      </w:rPr>
    </w:lvl>
    <w:lvl w:ilvl="4" w:tplc="51188DC6">
      <w:start w:val="1"/>
      <w:numFmt w:val="bullet"/>
      <w:lvlText w:val=""/>
      <w:lvlJc w:val="left"/>
      <w:pPr>
        <w:ind w:left="1020" w:hanging="360"/>
      </w:pPr>
      <w:rPr>
        <w:rFonts w:ascii="Symbol" w:hAnsi="Symbol"/>
      </w:rPr>
    </w:lvl>
    <w:lvl w:ilvl="5" w:tplc="828CDB98">
      <w:start w:val="1"/>
      <w:numFmt w:val="bullet"/>
      <w:lvlText w:val=""/>
      <w:lvlJc w:val="left"/>
      <w:pPr>
        <w:ind w:left="1020" w:hanging="360"/>
      </w:pPr>
      <w:rPr>
        <w:rFonts w:ascii="Symbol" w:hAnsi="Symbol"/>
      </w:rPr>
    </w:lvl>
    <w:lvl w:ilvl="6" w:tplc="0A38748A">
      <w:start w:val="1"/>
      <w:numFmt w:val="bullet"/>
      <w:lvlText w:val=""/>
      <w:lvlJc w:val="left"/>
      <w:pPr>
        <w:ind w:left="1020" w:hanging="360"/>
      </w:pPr>
      <w:rPr>
        <w:rFonts w:ascii="Symbol" w:hAnsi="Symbol"/>
      </w:rPr>
    </w:lvl>
    <w:lvl w:ilvl="7" w:tplc="3CEA623A">
      <w:start w:val="1"/>
      <w:numFmt w:val="bullet"/>
      <w:lvlText w:val=""/>
      <w:lvlJc w:val="left"/>
      <w:pPr>
        <w:ind w:left="1020" w:hanging="360"/>
      </w:pPr>
      <w:rPr>
        <w:rFonts w:ascii="Symbol" w:hAnsi="Symbol"/>
      </w:rPr>
    </w:lvl>
    <w:lvl w:ilvl="8" w:tplc="E68E6606">
      <w:start w:val="1"/>
      <w:numFmt w:val="bullet"/>
      <w:lvlText w:val=""/>
      <w:lvlJc w:val="left"/>
      <w:pPr>
        <w:ind w:left="1020" w:hanging="360"/>
      </w:pPr>
      <w:rPr>
        <w:rFonts w:ascii="Symbol" w:hAnsi="Symbol"/>
      </w:rPr>
    </w:lvl>
  </w:abstractNum>
  <w:abstractNum w:abstractNumId="49"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50" w15:restartNumberingAfterBreak="0">
    <w:nsid w:val="76B371B7"/>
    <w:multiLevelType w:val="hybridMultilevel"/>
    <w:tmpl w:val="888CF8DE"/>
    <w:lvl w:ilvl="0" w:tplc="0CCC3B22">
      <w:start w:val="1"/>
      <w:numFmt w:val="bullet"/>
      <w:lvlText w:val=""/>
      <w:lvlJc w:val="left"/>
      <w:pPr>
        <w:ind w:left="1020" w:hanging="360"/>
      </w:pPr>
      <w:rPr>
        <w:rFonts w:ascii="Symbol" w:hAnsi="Symbol"/>
      </w:rPr>
    </w:lvl>
    <w:lvl w:ilvl="1" w:tplc="08200590">
      <w:start w:val="1"/>
      <w:numFmt w:val="bullet"/>
      <w:lvlText w:val=""/>
      <w:lvlJc w:val="left"/>
      <w:pPr>
        <w:ind w:left="1020" w:hanging="360"/>
      </w:pPr>
      <w:rPr>
        <w:rFonts w:ascii="Symbol" w:hAnsi="Symbol"/>
      </w:rPr>
    </w:lvl>
    <w:lvl w:ilvl="2" w:tplc="9F2015E4">
      <w:start w:val="1"/>
      <w:numFmt w:val="bullet"/>
      <w:lvlText w:val=""/>
      <w:lvlJc w:val="left"/>
      <w:pPr>
        <w:ind w:left="1020" w:hanging="360"/>
      </w:pPr>
      <w:rPr>
        <w:rFonts w:ascii="Symbol" w:hAnsi="Symbol"/>
      </w:rPr>
    </w:lvl>
    <w:lvl w:ilvl="3" w:tplc="4064B9F2">
      <w:start w:val="1"/>
      <w:numFmt w:val="bullet"/>
      <w:lvlText w:val=""/>
      <w:lvlJc w:val="left"/>
      <w:pPr>
        <w:ind w:left="1020" w:hanging="360"/>
      </w:pPr>
      <w:rPr>
        <w:rFonts w:ascii="Symbol" w:hAnsi="Symbol"/>
      </w:rPr>
    </w:lvl>
    <w:lvl w:ilvl="4" w:tplc="F5B487AE">
      <w:start w:val="1"/>
      <w:numFmt w:val="bullet"/>
      <w:lvlText w:val=""/>
      <w:lvlJc w:val="left"/>
      <w:pPr>
        <w:ind w:left="1020" w:hanging="360"/>
      </w:pPr>
      <w:rPr>
        <w:rFonts w:ascii="Symbol" w:hAnsi="Symbol"/>
      </w:rPr>
    </w:lvl>
    <w:lvl w:ilvl="5" w:tplc="95345576">
      <w:start w:val="1"/>
      <w:numFmt w:val="bullet"/>
      <w:lvlText w:val=""/>
      <w:lvlJc w:val="left"/>
      <w:pPr>
        <w:ind w:left="1020" w:hanging="360"/>
      </w:pPr>
      <w:rPr>
        <w:rFonts w:ascii="Symbol" w:hAnsi="Symbol"/>
      </w:rPr>
    </w:lvl>
    <w:lvl w:ilvl="6" w:tplc="06401CB2">
      <w:start w:val="1"/>
      <w:numFmt w:val="bullet"/>
      <w:lvlText w:val=""/>
      <w:lvlJc w:val="left"/>
      <w:pPr>
        <w:ind w:left="1020" w:hanging="360"/>
      </w:pPr>
      <w:rPr>
        <w:rFonts w:ascii="Symbol" w:hAnsi="Symbol"/>
      </w:rPr>
    </w:lvl>
    <w:lvl w:ilvl="7" w:tplc="3E942C2A">
      <w:start w:val="1"/>
      <w:numFmt w:val="bullet"/>
      <w:lvlText w:val=""/>
      <w:lvlJc w:val="left"/>
      <w:pPr>
        <w:ind w:left="1020" w:hanging="360"/>
      </w:pPr>
      <w:rPr>
        <w:rFonts w:ascii="Symbol" w:hAnsi="Symbol"/>
      </w:rPr>
    </w:lvl>
    <w:lvl w:ilvl="8" w:tplc="D346B184">
      <w:start w:val="1"/>
      <w:numFmt w:val="bullet"/>
      <w:lvlText w:val=""/>
      <w:lvlJc w:val="left"/>
      <w:pPr>
        <w:ind w:left="1020" w:hanging="360"/>
      </w:pPr>
      <w:rPr>
        <w:rFonts w:ascii="Symbol" w:hAnsi="Symbol"/>
      </w:rPr>
    </w:lvl>
  </w:abstractNum>
  <w:abstractNum w:abstractNumId="51" w15:restartNumberingAfterBreak="0">
    <w:nsid w:val="76EB5B02"/>
    <w:multiLevelType w:val="hybridMultilevel"/>
    <w:tmpl w:val="44189EDA"/>
    <w:lvl w:ilvl="0" w:tplc="9E246D94">
      <w:start w:val="1"/>
      <w:numFmt w:val="bullet"/>
      <w:lvlText w:val=""/>
      <w:lvlJc w:val="left"/>
      <w:pPr>
        <w:ind w:left="1020" w:hanging="360"/>
      </w:pPr>
      <w:rPr>
        <w:rFonts w:ascii="Symbol" w:hAnsi="Symbol"/>
      </w:rPr>
    </w:lvl>
    <w:lvl w:ilvl="1" w:tplc="373421A0">
      <w:start w:val="1"/>
      <w:numFmt w:val="bullet"/>
      <w:lvlText w:val=""/>
      <w:lvlJc w:val="left"/>
      <w:pPr>
        <w:ind w:left="1020" w:hanging="360"/>
      </w:pPr>
      <w:rPr>
        <w:rFonts w:ascii="Symbol" w:hAnsi="Symbol"/>
      </w:rPr>
    </w:lvl>
    <w:lvl w:ilvl="2" w:tplc="411C5F1C">
      <w:start w:val="1"/>
      <w:numFmt w:val="bullet"/>
      <w:lvlText w:val=""/>
      <w:lvlJc w:val="left"/>
      <w:pPr>
        <w:ind w:left="1020" w:hanging="360"/>
      </w:pPr>
      <w:rPr>
        <w:rFonts w:ascii="Symbol" w:hAnsi="Symbol"/>
      </w:rPr>
    </w:lvl>
    <w:lvl w:ilvl="3" w:tplc="46164E0E">
      <w:start w:val="1"/>
      <w:numFmt w:val="bullet"/>
      <w:lvlText w:val=""/>
      <w:lvlJc w:val="left"/>
      <w:pPr>
        <w:ind w:left="1020" w:hanging="360"/>
      </w:pPr>
      <w:rPr>
        <w:rFonts w:ascii="Symbol" w:hAnsi="Symbol"/>
      </w:rPr>
    </w:lvl>
    <w:lvl w:ilvl="4" w:tplc="CDCE165E">
      <w:start w:val="1"/>
      <w:numFmt w:val="bullet"/>
      <w:lvlText w:val=""/>
      <w:lvlJc w:val="left"/>
      <w:pPr>
        <w:ind w:left="1020" w:hanging="360"/>
      </w:pPr>
      <w:rPr>
        <w:rFonts w:ascii="Symbol" w:hAnsi="Symbol"/>
      </w:rPr>
    </w:lvl>
    <w:lvl w:ilvl="5" w:tplc="8B002642">
      <w:start w:val="1"/>
      <w:numFmt w:val="bullet"/>
      <w:lvlText w:val=""/>
      <w:lvlJc w:val="left"/>
      <w:pPr>
        <w:ind w:left="1020" w:hanging="360"/>
      </w:pPr>
      <w:rPr>
        <w:rFonts w:ascii="Symbol" w:hAnsi="Symbol"/>
      </w:rPr>
    </w:lvl>
    <w:lvl w:ilvl="6" w:tplc="0FD49694">
      <w:start w:val="1"/>
      <w:numFmt w:val="bullet"/>
      <w:lvlText w:val=""/>
      <w:lvlJc w:val="left"/>
      <w:pPr>
        <w:ind w:left="1020" w:hanging="360"/>
      </w:pPr>
      <w:rPr>
        <w:rFonts w:ascii="Symbol" w:hAnsi="Symbol"/>
      </w:rPr>
    </w:lvl>
    <w:lvl w:ilvl="7" w:tplc="355EC164">
      <w:start w:val="1"/>
      <w:numFmt w:val="bullet"/>
      <w:lvlText w:val=""/>
      <w:lvlJc w:val="left"/>
      <w:pPr>
        <w:ind w:left="1020" w:hanging="360"/>
      </w:pPr>
      <w:rPr>
        <w:rFonts w:ascii="Symbol" w:hAnsi="Symbol"/>
      </w:rPr>
    </w:lvl>
    <w:lvl w:ilvl="8" w:tplc="9C4A5646">
      <w:start w:val="1"/>
      <w:numFmt w:val="bullet"/>
      <w:lvlText w:val=""/>
      <w:lvlJc w:val="left"/>
      <w:pPr>
        <w:ind w:left="1020" w:hanging="360"/>
      </w:pPr>
      <w:rPr>
        <w:rFonts w:ascii="Symbol" w:hAnsi="Symbol"/>
      </w:rPr>
    </w:lvl>
  </w:abstractNum>
  <w:abstractNum w:abstractNumId="52" w15:restartNumberingAfterBreak="0">
    <w:nsid w:val="7B53712E"/>
    <w:multiLevelType w:val="hybridMultilevel"/>
    <w:tmpl w:val="8918BF94"/>
    <w:lvl w:ilvl="0" w:tplc="487C37FA">
      <w:start w:val="1"/>
      <w:numFmt w:val="bullet"/>
      <w:lvlText w:val=""/>
      <w:lvlJc w:val="left"/>
      <w:pPr>
        <w:ind w:left="1020" w:hanging="360"/>
      </w:pPr>
      <w:rPr>
        <w:rFonts w:ascii="Symbol" w:hAnsi="Symbol"/>
      </w:rPr>
    </w:lvl>
    <w:lvl w:ilvl="1" w:tplc="041297CC">
      <w:start w:val="1"/>
      <w:numFmt w:val="bullet"/>
      <w:lvlText w:val=""/>
      <w:lvlJc w:val="left"/>
      <w:pPr>
        <w:ind w:left="1020" w:hanging="360"/>
      </w:pPr>
      <w:rPr>
        <w:rFonts w:ascii="Symbol" w:hAnsi="Symbol"/>
      </w:rPr>
    </w:lvl>
    <w:lvl w:ilvl="2" w:tplc="F32A4164">
      <w:start w:val="1"/>
      <w:numFmt w:val="bullet"/>
      <w:lvlText w:val=""/>
      <w:lvlJc w:val="left"/>
      <w:pPr>
        <w:ind w:left="1020" w:hanging="360"/>
      </w:pPr>
      <w:rPr>
        <w:rFonts w:ascii="Symbol" w:hAnsi="Symbol"/>
      </w:rPr>
    </w:lvl>
    <w:lvl w:ilvl="3" w:tplc="0A6C30DC">
      <w:start w:val="1"/>
      <w:numFmt w:val="bullet"/>
      <w:lvlText w:val=""/>
      <w:lvlJc w:val="left"/>
      <w:pPr>
        <w:ind w:left="1020" w:hanging="360"/>
      </w:pPr>
      <w:rPr>
        <w:rFonts w:ascii="Symbol" w:hAnsi="Symbol"/>
      </w:rPr>
    </w:lvl>
    <w:lvl w:ilvl="4" w:tplc="F92A44CC">
      <w:start w:val="1"/>
      <w:numFmt w:val="bullet"/>
      <w:lvlText w:val=""/>
      <w:lvlJc w:val="left"/>
      <w:pPr>
        <w:ind w:left="1020" w:hanging="360"/>
      </w:pPr>
      <w:rPr>
        <w:rFonts w:ascii="Symbol" w:hAnsi="Symbol"/>
      </w:rPr>
    </w:lvl>
    <w:lvl w:ilvl="5" w:tplc="AD122CB6">
      <w:start w:val="1"/>
      <w:numFmt w:val="bullet"/>
      <w:lvlText w:val=""/>
      <w:lvlJc w:val="left"/>
      <w:pPr>
        <w:ind w:left="1020" w:hanging="360"/>
      </w:pPr>
      <w:rPr>
        <w:rFonts w:ascii="Symbol" w:hAnsi="Symbol"/>
      </w:rPr>
    </w:lvl>
    <w:lvl w:ilvl="6" w:tplc="B7DAAC1E">
      <w:start w:val="1"/>
      <w:numFmt w:val="bullet"/>
      <w:lvlText w:val=""/>
      <w:lvlJc w:val="left"/>
      <w:pPr>
        <w:ind w:left="1020" w:hanging="360"/>
      </w:pPr>
      <w:rPr>
        <w:rFonts w:ascii="Symbol" w:hAnsi="Symbol"/>
      </w:rPr>
    </w:lvl>
    <w:lvl w:ilvl="7" w:tplc="97703506">
      <w:start w:val="1"/>
      <w:numFmt w:val="bullet"/>
      <w:lvlText w:val=""/>
      <w:lvlJc w:val="left"/>
      <w:pPr>
        <w:ind w:left="1020" w:hanging="360"/>
      </w:pPr>
      <w:rPr>
        <w:rFonts w:ascii="Symbol" w:hAnsi="Symbol"/>
      </w:rPr>
    </w:lvl>
    <w:lvl w:ilvl="8" w:tplc="9B687468">
      <w:start w:val="1"/>
      <w:numFmt w:val="bullet"/>
      <w:lvlText w:val=""/>
      <w:lvlJc w:val="left"/>
      <w:pPr>
        <w:ind w:left="1020" w:hanging="360"/>
      </w:pPr>
      <w:rPr>
        <w:rFonts w:ascii="Symbol" w:hAnsi="Symbol"/>
      </w:rPr>
    </w:lvl>
  </w:abstractNum>
  <w:abstractNum w:abstractNumId="53" w15:restartNumberingAfterBreak="0">
    <w:nsid w:val="7BEB3116"/>
    <w:multiLevelType w:val="hybridMultilevel"/>
    <w:tmpl w:val="B8589180"/>
    <w:lvl w:ilvl="0" w:tplc="3E92B5DC">
      <w:start w:val="1"/>
      <w:numFmt w:val="bullet"/>
      <w:lvlText w:val=""/>
      <w:lvlJc w:val="left"/>
      <w:pPr>
        <w:ind w:left="720" w:hanging="360"/>
      </w:pPr>
      <w:rPr>
        <w:rFonts w:ascii="Symbol" w:hAnsi="Symbol"/>
      </w:rPr>
    </w:lvl>
    <w:lvl w:ilvl="1" w:tplc="3A088E48">
      <w:start w:val="1"/>
      <w:numFmt w:val="bullet"/>
      <w:lvlText w:val=""/>
      <w:lvlJc w:val="left"/>
      <w:pPr>
        <w:ind w:left="720" w:hanging="360"/>
      </w:pPr>
      <w:rPr>
        <w:rFonts w:ascii="Symbol" w:hAnsi="Symbol"/>
      </w:rPr>
    </w:lvl>
    <w:lvl w:ilvl="2" w:tplc="0186BE5C">
      <w:start w:val="1"/>
      <w:numFmt w:val="bullet"/>
      <w:lvlText w:val=""/>
      <w:lvlJc w:val="left"/>
      <w:pPr>
        <w:ind w:left="720" w:hanging="360"/>
      </w:pPr>
      <w:rPr>
        <w:rFonts w:ascii="Symbol" w:hAnsi="Symbol"/>
      </w:rPr>
    </w:lvl>
    <w:lvl w:ilvl="3" w:tplc="73EEEAE4">
      <w:start w:val="1"/>
      <w:numFmt w:val="bullet"/>
      <w:lvlText w:val=""/>
      <w:lvlJc w:val="left"/>
      <w:pPr>
        <w:ind w:left="720" w:hanging="360"/>
      </w:pPr>
      <w:rPr>
        <w:rFonts w:ascii="Symbol" w:hAnsi="Symbol"/>
      </w:rPr>
    </w:lvl>
    <w:lvl w:ilvl="4" w:tplc="CC94D4E8">
      <w:start w:val="1"/>
      <w:numFmt w:val="bullet"/>
      <w:lvlText w:val=""/>
      <w:lvlJc w:val="left"/>
      <w:pPr>
        <w:ind w:left="720" w:hanging="360"/>
      </w:pPr>
      <w:rPr>
        <w:rFonts w:ascii="Symbol" w:hAnsi="Symbol"/>
      </w:rPr>
    </w:lvl>
    <w:lvl w:ilvl="5" w:tplc="59BABEFA">
      <w:start w:val="1"/>
      <w:numFmt w:val="bullet"/>
      <w:lvlText w:val=""/>
      <w:lvlJc w:val="left"/>
      <w:pPr>
        <w:ind w:left="720" w:hanging="360"/>
      </w:pPr>
      <w:rPr>
        <w:rFonts w:ascii="Symbol" w:hAnsi="Symbol"/>
      </w:rPr>
    </w:lvl>
    <w:lvl w:ilvl="6" w:tplc="FFF2898A">
      <w:start w:val="1"/>
      <w:numFmt w:val="bullet"/>
      <w:lvlText w:val=""/>
      <w:lvlJc w:val="left"/>
      <w:pPr>
        <w:ind w:left="720" w:hanging="360"/>
      </w:pPr>
      <w:rPr>
        <w:rFonts w:ascii="Symbol" w:hAnsi="Symbol"/>
      </w:rPr>
    </w:lvl>
    <w:lvl w:ilvl="7" w:tplc="F2C64B36">
      <w:start w:val="1"/>
      <w:numFmt w:val="bullet"/>
      <w:lvlText w:val=""/>
      <w:lvlJc w:val="left"/>
      <w:pPr>
        <w:ind w:left="720" w:hanging="360"/>
      </w:pPr>
      <w:rPr>
        <w:rFonts w:ascii="Symbol" w:hAnsi="Symbol"/>
      </w:rPr>
    </w:lvl>
    <w:lvl w:ilvl="8" w:tplc="D63413F6">
      <w:start w:val="1"/>
      <w:numFmt w:val="bullet"/>
      <w:lvlText w:val=""/>
      <w:lvlJc w:val="left"/>
      <w:pPr>
        <w:ind w:left="720" w:hanging="360"/>
      </w:pPr>
      <w:rPr>
        <w:rFonts w:ascii="Symbol" w:hAnsi="Symbol"/>
      </w:rPr>
    </w:lvl>
  </w:abstractNum>
  <w:abstractNum w:abstractNumId="54" w15:restartNumberingAfterBreak="0">
    <w:nsid w:val="7D2B3629"/>
    <w:multiLevelType w:val="hybridMultilevel"/>
    <w:tmpl w:val="1AF0BD70"/>
    <w:lvl w:ilvl="0" w:tplc="F2A08892">
      <w:start w:val="1"/>
      <w:numFmt w:val="bullet"/>
      <w:lvlText w:val=""/>
      <w:lvlJc w:val="left"/>
      <w:pPr>
        <w:ind w:left="720" w:hanging="360"/>
      </w:pPr>
      <w:rPr>
        <w:rFonts w:ascii="Symbol" w:hAnsi="Symbol"/>
      </w:rPr>
    </w:lvl>
    <w:lvl w:ilvl="1" w:tplc="D1543A96">
      <w:start w:val="1"/>
      <w:numFmt w:val="bullet"/>
      <w:lvlText w:val=""/>
      <w:lvlJc w:val="left"/>
      <w:pPr>
        <w:ind w:left="720" w:hanging="360"/>
      </w:pPr>
      <w:rPr>
        <w:rFonts w:ascii="Symbol" w:hAnsi="Symbol"/>
      </w:rPr>
    </w:lvl>
    <w:lvl w:ilvl="2" w:tplc="D5129D5E">
      <w:start w:val="1"/>
      <w:numFmt w:val="bullet"/>
      <w:lvlText w:val=""/>
      <w:lvlJc w:val="left"/>
      <w:pPr>
        <w:ind w:left="720" w:hanging="360"/>
      </w:pPr>
      <w:rPr>
        <w:rFonts w:ascii="Symbol" w:hAnsi="Symbol"/>
      </w:rPr>
    </w:lvl>
    <w:lvl w:ilvl="3" w:tplc="C85AA05A">
      <w:start w:val="1"/>
      <w:numFmt w:val="bullet"/>
      <w:lvlText w:val=""/>
      <w:lvlJc w:val="left"/>
      <w:pPr>
        <w:ind w:left="720" w:hanging="360"/>
      </w:pPr>
      <w:rPr>
        <w:rFonts w:ascii="Symbol" w:hAnsi="Symbol"/>
      </w:rPr>
    </w:lvl>
    <w:lvl w:ilvl="4" w:tplc="42BC90D4">
      <w:start w:val="1"/>
      <w:numFmt w:val="bullet"/>
      <w:lvlText w:val=""/>
      <w:lvlJc w:val="left"/>
      <w:pPr>
        <w:ind w:left="720" w:hanging="360"/>
      </w:pPr>
      <w:rPr>
        <w:rFonts w:ascii="Symbol" w:hAnsi="Symbol"/>
      </w:rPr>
    </w:lvl>
    <w:lvl w:ilvl="5" w:tplc="7ADE2D56">
      <w:start w:val="1"/>
      <w:numFmt w:val="bullet"/>
      <w:lvlText w:val=""/>
      <w:lvlJc w:val="left"/>
      <w:pPr>
        <w:ind w:left="720" w:hanging="360"/>
      </w:pPr>
      <w:rPr>
        <w:rFonts w:ascii="Symbol" w:hAnsi="Symbol"/>
      </w:rPr>
    </w:lvl>
    <w:lvl w:ilvl="6" w:tplc="CB122ECC">
      <w:start w:val="1"/>
      <w:numFmt w:val="bullet"/>
      <w:lvlText w:val=""/>
      <w:lvlJc w:val="left"/>
      <w:pPr>
        <w:ind w:left="720" w:hanging="360"/>
      </w:pPr>
      <w:rPr>
        <w:rFonts w:ascii="Symbol" w:hAnsi="Symbol"/>
      </w:rPr>
    </w:lvl>
    <w:lvl w:ilvl="7" w:tplc="8D101CA0">
      <w:start w:val="1"/>
      <w:numFmt w:val="bullet"/>
      <w:lvlText w:val=""/>
      <w:lvlJc w:val="left"/>
      <w:pPr>
        <w:ind w:left="720" w:hanging="360"/>
      </w:pPr>
      <w:rPr>
        <w:rFonts w:ascii="Symbol" w:hAnsi="Symbol"/>
      </w:rPr>
    </w:lvl>
    <w:lvl w:ilvl="8" w:tplc="799265A4">
      <w:start w:val="1"/>
      <w:numFmt w:val="bullet"/>
      <w:lvlText w:val=""/>
      <w:lvlJc w:val="left"/>
      <w:pPr>
        <w:ind w:left="720" w:hanging="360"/>
      </w:pPr>
      <w:rPr>
        <w:rFonts w:ascii="Symbol" w:hAnsi="Symbol"/>
      </w:rPr>
    </w:lvl>
  </w:abstractNum>
  <w:abstractNum w:abstractNumId="55" w15:restartNumberingAfterBreak="0">
    <w:nsid w:val="7D6B5224"/>
    <w:multiLevelType w:val="multilevel"/>
    <w:tmpl w:val="58D0B304"/>
    <w:lvl w:ilvl="0">
      <w:start w:val="1"/>
      <w:numFmt w:val="bullet"/>
      <w:pStyle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7E805164"/>
    <w:multiLevelType w:val="hybridMultilevel"/>
    <w:tmpl w:val="3ED493F6"/>
    <w:lvl w:ilvl="0" w:tplc="F350E6FE">
      <w:start w:val="1"/>
      <w:numFmt w:val="bullet"/>
      <w:lvlText w:val=""/>
      <w:lvlJc w:val="left"/>
      <w:pPr>
        <w:ind w:left="1020" w:hanging="360"/>
      </w:pPr>
      <w:rPr>
        <w:rFonts w:ascii="Symbol" w:hAnsi="Symbol"/>
      </w:rPr>
    </w:lvl>
    <w:lvl w:ilvl="1" w:tplc="31E6B5AA">
      <w:start w:val="1"/>
      <w:numFmt w:val="bullet"/>
      <w:lvlText w:val=""/>
      <w:lvlJc w:val="left"/>
      <w:pPr>
        <w:ind w:left="1020" w:hanging="360"/>
      </w:pPr>
      <w:rPr>
        <w:rFonts w:ascii="Symbol" w:hAnsi="Symbol"/>
      </w:rPr>
    </w:lvl>
    <w:lvl w:ilvl="2" w:tplc="B59254C2">
      <w:start w:val="1"/>
      <w:numFmt w:val="bullet"/>
      <w:lvlText w:val=""/>
      <w:lvlJc w:val="left"/>
      <w:pPr>
        <w:ind w:left="1020" w:hanging="360"/>
      </w:pPr>
      <w:rPr>
        <w:rFonts w:ascii="Symbol" w:hAnsi="Symbol"/>
      </w:rPr>
    </w:lvl>
    <w:lvl w:ilvl="3" w:tplc="30BE594C">
      <w:start w:val="1"/>
      <w:numFmt w:val="bullet"/>
      <w:lvlText w:val=""/>
      <w:lvlJc w:val="left"/>
      <w:pPr>
        <w:ind w:left="1020" w:hanging="360"/>
      </w:pPr>
      <w:rPr>
        <w:rFonts w:ascii="Symbol" w:hAnsi="Symbol"/>
      </w:rPr>
    </w:lvl>
    <w:lvl w:ilvl="4" w:tplc="23E67090">
      <w:start w:val="1"/>
      <w:numFmt w:val="bullet"/>
      <w:lvlText w:val=""/>
      <w:lvlJc w:val="left"/>
      <w:pPr>
        <w:ind w:left="1020" w:hanging="360"/>
      </w:pPr>
      <w:rPr>
        <w:rFonts w:ascii="Symbol" w:hAnsi="Symbol"/>
      </w:rPr>
    </w:lvl>
    <w:lvl w:ilvl="5" w:tplc="BEFC44F4">
      <w:start w:val="1"/>
      <w:numFmt w:val="bullet"/>
      <w:lvlText w:val=""/>
      <w:lvlJc w:val="left"/>
      <w:pPr>
        <w:ind w:left="1020" w:hanging="360"/>
      </w:pPr>
      <w:rPr>
        <w:rFonts w:ascii="Symbol" w:hAnsi="Symbol"/>
      </w:rPr>
    </w:lvl>
    <w:lvl w:ilvl="6" w:tplc="BD526714">
      <w:start w:val="1"/>
      <w:numFmt w:val="bullet"/>
      <w:lvlText w:val=""/>
      <w:lvlJc w:val="left"/>
      <w:pPr>
        <w:ind w:left="1020" w:hanging="360"/>
      </w:pPr>
      <w:rPr>
        <w:rFonts w:ascii="Symbol" w:hAnsi="Symbol"/>
      </w:rPr>
    </w:lvl>
    <w:lvl w:ilvl="7" w:tplc="E5EC54B4">
      <w:start w:val="1"/>
      <w:numFmt w:val="bullet"/>
      <w:lvlText w:val=""/>
      <w:lvlJc w:val="left"/>
      <w:pPr>
        <w:ind w:left="1020" w:hanging="360"/>
      </w:pPr>
      <w:rPr>
        <w:rFonts w:ascii="Symbol" w:hAnsi="Symbol"/>
      </w:rPr>
    </w:lvl>
    <w:lvl w:ilvl="8" w:tplc="10B68A8A">
      <w:start w:val="1"/>
      <w:numFmt w:val="bullet"/>
      <w:lvlText w:val=""/>
      <w:lvlJc w:val="left"/>
      <w:pPr>
        <w:ind w:left="1020" w:hanging="360"/>
      </w:pPr>
      <w:rPr>
        <w:rFonts w:ascii="Symbol" w:hAnsi="Symbol"/>
      </w:rPr>
    </w:lvl>
  </w:abstractNum>
  <w:abstractNum w:abstractNumId="57" w15:restartNumberingAfterBreak="0">
    <w:nsid w:val="7E8B691D"/>
    <w:multiLevelType w:val="multilevel"/>
    <w:tmpl w:val="D8F0319C"/>
    <w:styleLink w:val="BulletListStyle"/>
    <w:lvl w:ilvl="0">
      <w:start w:val="1"/>
      <w:numFmt w:val="bullet"/>
      <w:pStyle w:val="ListParagraph"/>
      <w:lvlText w:val="•"/>
      <w:lvlJc w:val="left"/>
      <w:pPr>
        <w:ind w:left="284" w:hanging="284"/>
      </w:pPr>
      <w:rPr>
        <w:rFonts w:ascii="Arial" w:hAnsi="Arial" w:hint="default"/>
        <w:color w:val="323232"/>
      </w:rPr>
    </w:lvl>
    <w:lvl w:ilvl="1">
      <w:start w:val="1"/>
      <w:numFmt w:val="bullet"/>
      <w:lvlText w:val="–"/>
      <w:lvlJc w:val="left"/>
      <w:pPr>
        <w:ind w:left="568" w:hanging="284"/>
      </w:pPr>
      <w:rPr>
        <w:rFonts w:ascii="Calibri" w:hAnsi="Calibri" w:hint="default"/>
        <w:color w:val="323232"/>
      </w:rPr>
    </w:lvl>
    <w:lvl w:ilvl="2">
      <w:start w:val="1"/>
      <w:numFmt w:val="bullet"/>
      <w:lvlText w:val="»"/>
      <w:lvlJc w:val="left"/>
      <w:pPr>
        <w:ind w:left="852" w:hanging="284"/>
      </w:pPr>
      <w:rPr>
        <w:rFonts w:ascii="Calibri" w:hAnsi="Calibri" w:hint="default"/>
        <w:color w:val="323232"/>
      </w:rPr>
    </w:lvl>
    <w:lvl w:ilvl="3">
      <w:start w:val="1"/>
      <w:numFmt w:val="bullet"/>
      <w:lvlText w:val="◦"/>
      <w:lvlJc w:val="left"/>
      <w:pPr>
        <w:ind w:left="1136" w:hanging="284"/>
      </w:pPr>
      <w:rPr>
        <w:rFonts w:ascii="Calibri" w:hAnsi="Calibri" w:hint="default"/>
        <w:color w:val="323232"/>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975256365">
    <w:abstractNumId w:val="49"/>
  </w:num>
  <w:num w:numId="2" w16cid:durableId="897058088">
    <w:abstractNumId w:val="13"/>
  </w:num>
  <w:num w:numId="3" w16cid:durableId="1422482963">
    <w:abstractNumId w:val="35"/>
  </w:num>
  <w:num w:numId="4" w16cid:durableId="726417126">
    <w:abstractNumId w:val="24"/>
  </w:num>
  <w:num w:numId="5" w16cid:durableId="2136948764">
    <w:abstractNumId w:val="29"/>
  </w:num>
  <w:num w:numId="6" w16cid:durableId="2099935983">
    <w:abstractNumId w:val="18"/>
  </w:num>
  <w:num w:numId="7" w16cid:durableId="348604405">
    <w:abstractNumId w:val="26"/>
  </w:num>
  <w:num w:numId="8" w16cid:durableId="2024083871">
    <w:abstractNumId w:val="11"/>
  </w:num>
  <w:num w:numId="9" w16cid:durableId="77413390">
    <w:abstractNumId w:val="47"/>
  </w:num>
  <w:num w:numId="10" w16cid:durableId="1890140935">
    <w:abstractNumId w:val="17"/>
  </w:num>
  <w:num w:numId="11" w16cid:durableId="938609998">
    <w:abstractNumId w:val="36"/>
  </w:num>
  <w:num w:numId="12" w16cid:durableId="1276794248">
    <w:abstractNumId w:val="20"/>
  </w:num>
  <w:num w:numId="13" w16cid:durableId="927924739">
    <w:abstractNumId w:val="5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40530442">
    <w:abstractNumId w:val="33"/>
  </w:num>
  <w:num w:numId="15" w16cid:durableId="1960915847">
    <w:abstractNumId w:val="7"/>
  </w:num>
  <w:num w:numId="16" w16cid:durableId="566065769">
    <w:abstractNumId w:val="45"/>
  </w:num>
  <w:num w:numId="17" w16cid:durableId="260377617">
    <w:abstractNumId w:val="12"/>
  </w:num>
  <w:num w:numId="18" w16cid:durableId="1767648912">
    <w:abstractNumId w:val="2"/>
  </w:num>
  <w:num w:numId="19" w16cid:durableId="2033845667">
    <w:abstractNumId w:val="42"/>
  </w:num>
  <w:num w:numId="20" w16cid:durableId="1373456934">
    <w:abstractNumId w:val="38"/>
  </w:num>
  <w:num w:numId="21" w16cid:durableId="1366785853">
    <w:abstractNumId w:val="21"/>
  </w:num>
  <w:num w:numId="22" w16cid:durableId="276644930">
    <w:abstractNumId w:val="37"/>
  </w:num>
  <w:num w:numId="23" w16cid:durableId="286208422">
    <w:abstractNumId w:val="5"/>
  </w:num>
  <w:num w:numId="24" w16cid:durableId="2145804685">
    <w:abstractNumId w:val="27"/>
  </w:num>
  <w:num w:numId="25" w16cid:durableId="1262379205">
    <w:abstractNumId w:val="22"/>
  </w:num>
  <w:num w:numId="26" w16cid:durableId="637880688">
    <w:abstractNumId w:val="32"/>
  </w:num>
  <w:num w:numId="27" w16cid:durableId="1674986214">
    <w:abstractNumId w:val="46"/>
  </w:num>
  <w:num w:numId="28" w16cid:durableId="1762294243">
    <w:abstractNumId w:val="25"/>
  </w:num>
  <w:num w:numId="29" w16cid:durableId="146874130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78474137">
    <w:abstractNumId w:val="6"/>
  </w:num>
  <w:num w:numId="31" w16cid:durableId="650867841">
    <w:abstractNumId w:val="57"/>
  </w:num>
  <w:num w:numId="32" w16cid:durableId="2075426689">
    <w:abstractNumId w:val="14"/>
  </w:num>
  <w:num w:numId="33" w16cid:durableId="1280991902">
    <w:abstractNumId w:val="44"/>
  </w:num>
  <w:num w:numId="34" w16cid:durableId="1233615022">
    <w:abstractNumId w:val="40"/>
  </w:num>
  <w:num w:numId="35" w16cid:durableId="1705598334">
    <w:abstractNumId w:val="4"/>
  </w:num>
  <w:num w:numId="36" w16cid:durableId="1679700153">
    <w:abstractNumId w:val="54"/>
  </w:num>
  <w:num w:numId="37" w16cid:durableId="58985680">
    <w:abstractNumId w:val="9"/>
  </w:num>
  <w:num w:numId="38" w16cid:durableId="1119031568">
    <w:abstractNumId w:val="50"/>
  </w:num>
  <w:num w:numId="39" w16cid:durableId="1792629780">
    <w:abstractNumId w:val="30"/>
  </w:num>
  <w:num w:numId="40" w16cid:durableId="1954552670">
    <w:abstractNumId w:val="3"/>
  </w:num>
  <w:num w:numId="41" w16cid:durableId="337276008">
    <w:abstractNumId w:val="52"/>
  </w:num>
  <w:num w:numId="42" w16cid:durableId="507410728">
    <w:abstractNumId w:val="0"/>
  </w:num>
  <w:num w:numId="43" w16cid:durableId="494106605">
    <w:abstractNumId w:val="19"/>
  </w:num>
  <w:num w:numId="44" w16cid:durableId="2004117617">
    <w:abstractNumId w:val="31"/>
  </w:num>
  <w:num w:numId="45" w16cid:durableId="472210806">
    <w:abstractNumId w:val="51"/>
  </w:num>
  <w:num w:numId="46" w16cid:durableId="1020426182">
    <w:abstractNumId w:val="1"/>
  </w:num>
  <w:num w:numId="47" w16cid:durableId="2138330266">
    <w:abstractNumId w:val="10"/>
  </w:num>
  <w:num w:numId="48" w16cid:durableId="431322961">
    <w:abstractNumId w:val="43"/>
  </w:num>
  <w:num w:numId="49" w16cid:durableId="636760166">
    <w:abstractNumId w:val="34"/>
  </w:num>
  <w:num w:numId="50" w16cid:durableId="268590319">
    <w:abstractNumId w:val="53"/>
  </w:num>
  <w:num w:numId="51" w16cid:durableId="1294098964">
    <w:abstractNumId w:val="28"/>
  </w:num>
  <w:num w:numId="52" w16cid:durableId="460808434">
    <w:abstractNumId w:val="56"/>
  </w:num>
  <w:num w:numId="53" w16cid:durableId="2114284214">
    <w:abstractNumId w:val="39"/>
  </w:num>
  <w:num w:numId="54" w16cid:durableId="852648375">
    <w:abstractNumId w:val="41"/>
  </w:num>
  <w:num w:numId="55" w16cid:durableId="1646350306">
    <w:abstractNumId w:val="8"/>
  </w:num>
  <w:num w:numId="56" w16cid:durableId="975334485">
    <w:abstractNumId w:val="48"/>
  </w:num>
  <w:num w:numId="57" w16cid:durableId="1997029723">
    <w:abstractNumId w:val="15"/>
  </w:num>
  <w:num w:numId="58" w16cid:durableId="440801286">
    <w:abstractNumId w:val="16"/>
  </w:num>
  <w:num w:numId="59" w16cid:durableId="669799376">
    <w:abstractNumId w:val="2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defaultTableStyle w:val="DSSDatatablesty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88B"/>
    <w:rsid w:val="00001F54"/>
    <w:rsid w:val="00003524"/>
    <w:rsid w:val="00004C36"/>
    <w:rsid w:val="00004E1C"/>
    <w:rsid w:val="00004E89"/>
    <w:rsid w:val="00007E18"/>
    <w:rsid w:val="0001023A"/>
    <w:rsid w:val="00010B57"/>
    <w:rsid w:val="0001116F"/>
    <w:rsid w:val="0001292C"/>
    <w:rsid w:val="000140B8"/>
    <w:rsid w:val="00015681"/>
    <w:rsid w:val="00017C10"/>
    <w:rsid w:val="00020E60"/>
    <w:rsid w:val="00022378"/>
    <w:rsid w:val="000234E2"/>
    <w:rsid w:val="000254F5"/>
    <w:rsid w:val="00025B0C"/>
    <w:rsid w:val="00030087"/>
    <w:rsid w:val="00031E51"/>
    <w:rsid w:val="000336BE"/>
    <w:rsid w:val="000347AF"/>
    <w:rsid w:val="00035573"/>
    <w:rsid w:val="00036F14"/>
    <w:rsid w:val="000373A3"/>
    <w:rsid w:val="00040DB2"/>
    <w:rsid w:val="00041D69"/>
    <w:rsid w:val="00042D52"/>
    <w:rsid w:val="00042ED4"/>
    <w:rsid w:val="00045763"/>
    <w:rsid w:val="00045DE7"/>
    <w:rsid w:val="0004656F"/>
    <w:rsid w:val="000468E0"/>
    <w:rsid w:val="00050990"/>
    <w:rsid w:val="000522C5"/>
    <w:rsid w:val="00052E46"/>
    <w:rsid w:val="00053101"/>
    <w:rsid w:val="0005396B"/>
    <w:rsid w:val="00053DC8"/>
    <w:rsid w:val="000557ED"/>
    <w:rsid w:val="00057DDF"/>
    <w:rsid w:val="0006006C"/>
    <w:rsid w:val="00060389"/>
    <w:rsid w:val="00061806"/>
    <w:rsid w:val="00061852"/>
    <w:rsid w:val="00064140"/>
    <w:rsid w:val="00066EB1"/>
    <w:rsid w:val="000677A7"/>
    <w:rsid w:val="00067D89"/>
    <w:rsid w:val="00070ADA"/>
    <w:rsid w:val="00070E55"/>
    <w:rsid w:val="00071DB7"/>
    <w:rsid w:val="000742D6"/>
    <w:rsid w:val="00076983"/>
    <w:rsid w:val="00077DD0"/>
    <w:rsid w:val="000801E7"/>
    <w:rsid w:val="00081610"/>
    <w:rsid w:val="00082342"/>
    <w:rsid w:val="000830C2"/>
    <w:rsid w:val="00085FDD"/>
    <w:rsid w:val="00086CA8"/>
    <w:rsid w:val="0008718E"/>
    <w:rsid w:val="00087468"/>
    <w:rsid w:val="00087AE0"/>
    <w:rsid w:val="0009043F"/>
    <w:rsid w:val="000936C9"/>
    <w:rsid w:val="000974C1"/>
    <w:rsid w:val="000A1591"/>
    <w:rsid w:val="000A332D"/>
    <w:rsid w:val="000A5308"/>
    <w:rsid w:val="000A606B"/>
    <w:rsid w:val="000B2608"/>
    <w:rsid w:val="000B2F68"/>
    <w:rsid w:val="000B38CC"/>
    <w:rsid w:val="000B496D"/>
    <w:rsid w:val="000B7651"/>
    <w:rsid w:val="000C0019"/>
    <w:rsid w:val="000C0951"/>
    <w:rsid w:val="000C19F3"/>
    <w:rsid w:val="000C1A5B"/>
    <w:rsid w:val="000C33AA"/>
    <w:rsid w:val="000C3A7F"/>
    <w:rsid w:val="000C3D8B"/>
    <w:rsid w:val="000C48E2"/>
    <w:rsid w:val="000C4A0F"/>
    <w:rsid w:val="000D000D"/>
    <w:rsid w:val="000D270C"/>
    <w:rsid w:val="000D369C"/>
    <w:rsid w:val="000D3EF3"/>
    <w:rsid w:val="000D45C9"/>
    <w:rsid w:val="000D5965"/>
    <w:rsid w:val="000E1875"/>
    <w:rsid w:val="000E5168"/>
    <w:rsid w:val="000E55FE"/>
    <w:rsid w:val="000F04A0"/>
    <w:rsid w:val="000F0A76"/>
    <w:rsid w:val="000F10F1"/>
    <w:rsid w:val="000F4399"/>
    <w:rsid w:val="000F4CDF"/>
    <w:rsid w:val="000F4D4C"/>
    <w:rsid w:val="000F5521"/>
    <w:rsid w:val="000F5D63"/>
    <w:rsid w:val="000F7266"/>
    <w:rsid w:val="000F75FC"/>
    <w:rsid w:val="000F77C0"/>
    <w:rsid w:val="001018B3"/>
    <w:rsid w:val="00101919"/>
    <w:rsid w:val="00104135"/>
    <w:rsid w:val="001067A8"/>
    <w:rsid w:val="001101CD"/>
    <w:rsid w:val="00111769"/>
    <w:rsid w:val="001118CB"/>
    <w:rsid w:val="00111B16"/>
    <w:rsid w:val="00111F1B"/>
    <w:rsid w:val="001138E8"/>
    <w:rsid w:val="0011758F"/>
    <w:rsid w:val="001219A0"/>
    <w:rsid w:val="001229D8"/>
    <w:rsid w:val="00125125"/>
    <w:rsid w:val="001254B4"/>
    <w:rsid w:val="001260C6"/>
    <w:rsid w:val="0012641C"/>
    <w:rsid w:val="00134FDF"/>
    <w:rsid w:val="001360EF"/>
    <w:rsid w:val="001379D3"/>
    <w:rsid w:val="0014009D"/>
    <w:rsid w:val="0014064A"/>
    <w:rsid w:val="001417A5"/>
    <w:rsid w:val="001431BD"/>
    <w:rsid w:val="00143BFE"/>
    <w:rsid w:val="00144967"/>
    <w:rsid w:val="001450C6"/>
    <w:rsid w:val="00146672"/>
    <w:rsid w:val="00146FDB"/>
    <w:rsid w:val="001478C7"/>
    <w:rsid w:val="00147EA7"/>
    <w:rsid w:val="00147F4E"/>
    <w:rsid w:val="001510D7"/>
    <w:rsid w:val="00152C1F"/>
    <w:rsid w:val="001534EF"/>
    <w:rsid w:val="00153F2B"/>
    <w:rsid w:val="0015424A"/>
    <w:rsid w:val="001547E9"/>
    <w:rsid w:val="001561F4"/>
    <w:rsid w:val="00160863"/>
    <w:rsid w:val="001608B4"/>
    <w:rsid w:val="00161696"/>
    <w:rsid w:val="0016330C"/>
    <w:rsid w:val="00170664"/>
    <w:rsid w:val="001718B2"/>
    <w:rsid w:val="0017282F"/>
    <w:rsid w:val="0017318A"/>
    <w:rsid w:val="00174012"/>
    <w:rsid w:val="00174F42"/>
    <w:rsid w:val="00175542"/>
    <w:rsid w:val="00176581"/>
    <w:rsid w:val="001765E7"/>
    <w:rsid w:val="00176BC5"/>
    <w:rsid w:val="00176C3E"/>
    <w:rsid w:val="001805F5"/>
    <w:rsid w:val="00180746"/>
    <w:rsid w:val="001819EE"/>
    <w:rsid w:val="00181B3E"/>
    <w:rsid w:val="00181CF5"/>
    <w:rsid w:val="00182381"/>
    <w:rsid w:val="00182CBC"/>
    <w:rsid w:val="00183187"/>
    <w:rsid w:val="00183214"/>
    <w:rsid w:val="00184B7B"/>
    <w:rsid w:val="00184BF0"/>
    <w:rsid w:val="0018686D"/>
    <w:rsid w:val="00187423"/>
    <w:rsid w:val="0019068E"/>
    <w:rsid w:val="00191253"/>
    <w:rsid w:val="0019204A"/>
    <w:rsid w:val="00192890"/>
    <w:rsid w:val="001930AB"/>
    <w:rsid w:val="00193A09"/>
    <w:rsid w:val="00193A32"/>
    <w:rsid w:val="0019405B"/>
    <w:rsid w:val="00194ABC"/>
    <w:rsid w:val="00194D9D"/>
    <w:rsid w:val="001961B2"/>
    <w:rsid w:val="001973BC"/>
    <w:rsid w:val="001A08DD"/>
    <w:rsid w:val="001A1349"/>
    <w:rsid w:val="001A16D1"/>
    <w:rsid w:val="001A2478"/>
    <w:rsid w:val="001A2C64"/>
    <w:rsid w:val="001A2E7F"/>
    <w:rsid w:val="001A386E"/>
    <w:rsid w:val="001A4653"/>
    <w:rsid w:val="001A48F5"/>
    <w:rsid w:val="001A5262"/>
    <w:rsid w:val="001A5704"/>
    <w:rsid w:val="001A5A47"/>
    <w:rsid w:val="001A5AC7"/>
    <w:rsid w:val="001A6EC4"/>
    <w:rsid w:val="001A7461"/>
    <w:rsid w:val="001A7B30"/>
    <w:rsid w:val="001B1132"/>
    <w:rsid w:val="001B173C"/>
    <w:rsid w:val="001B3CB7"/>
    <w:rsid w:val="001B49A0"/>
    <w:rsid w:val="001B6526"/>
    <w:rsid w:val="001B6C85"/>
    <w:rsid w:val="001B7A35"/>
    <w:rsid w:val="001C002D"/>
    <w:rsid w:val="001C09F2"/>
    <w:rsid w:val="001C1272"/>
    <w:rsid w:val="001C133A"/>
    <w:rsid w:val="001C28C9"/>
    <w:rsid w:val="001C3F5D"/>
    <w:rsid w:val="001C5A2F"/>
    <w:rsid w:val="001C68D6"/>
    <w:rsid w:val="001D0F6D"/>
    <w:rsid w:val="001D393F"/>
    <w:rsid w:val="001D3AFA"/>
    <w:rsid w:val="001D4BAB"/>
    <w:rsid w:val="001D5CE9"/>
    <w:rsid w:val="001D62A8"/>
    <w:rsid w:val="001D6322"/>
    <w:rsid w:val="001D7A1D"/>
    <w:rsid w:val="001E0764"/>
    <w:rsid w:val="001E317E"/>
    <w:rsid w:val="001E3539"/>
    <w:rsid w:val="001E42DA"/>
    <w:rsid w:val="001E630D"/>
    <w:rsid w:val="001F2DB6"/>
    <w:rsid w:val="001F4126"/>
    <w:rsid w:val="001F44EA"/>
    <w:rsid w:val="001F53B5"/>
    <w:rsid w:val="001F5A9F"/>
    <w:rsid w:val="001F67FC"/>
    <w:rsid w:val="001F6D57"/>
    <w:rsid w:val="00200745"/>
    <w:rsid w:val="00201427"/>
    <w:rsid w:val="00201EEF"/>
    <w:rsid w:val="002024AB"/>
    <w:rsid w:val="0020268C"/>
    <w:rsid w:val="002033A7"/>
    <w:rsid w:val="002058C5"/>
    <w:rsid w:val="0020764B"/>
    <w:rsid w:val="00210A3B"/>
    <w:rsid w:val="00211469"/>
    <w:rsid w:val="002118DC"/>
    <w:rsid w:val="00212F52"/>
    <w:rsid w:val="00215DA7"/>
    <w:rsid w:val="00217DB1"/>
    <w:rsid w:val="002207E4"/>
    <w:rsid w:val="002214B2"/>
    <w:rsid w:val="00222176"/>
    <w:rsid w:val="00225FBD"/>
    <w:rsid w:val="00227C16"/>
    <w:rsid w:val="0023137B"/>
    <w:rsid w:val="00231536"/>
    <w:rsid w:val="00231DDB"/>
    <w:rsid w:val="002346B5"/>
    <w:rsid w:val="00237468"/>
    <w:rsid w:val="00240A6E"/>
    <w:rsid w:val="002428B9"/>
    <w:rsid w:val="00244275"/>
    <w:rsid w:val="00245177"/>
    <w:rsid w:val="00245436"/>
    <w:rsid w:val="002468F7"/>
    <w:rsid w:val="00250D8B"/>
    <w:rsid w:val="00251101"/>
    <w:rsid w:val="0025124E"/>
    <w:rsid w:val="00253356"/>
    <w:rsid w:val="00253449"/>
    <w:rsid w:val="002536DC"/>
    <w:rsid w:val="002538A5"/>
    <w:rsid w:val="002554DF"/>
    <w:rsid w:val="00255944"/>
    <w:rsid w:val="0026075E"/>
    <w:rsid w:val="002618F8"/>
    <w:rsid w:val="002624E8"/>
    <w:rsid w:val="00263F41"/>
    <w:rsid w:val="002644F3"/>
    <w:rsid w:val="00265FB0"/>
    <w:rsid w:val="002663C1"/>
    <w:rsid w:val="00267B38"/>
    <w:rsid w:val="00270453"/>
    <w:rsid w:val="002710DB"/>
    <w:rsid w:val="002727A2"/>
    <w:rsid w:val="00274081"/>
    <w:rsid w:val="002757F7"/>
    <w:rsid w:val="00275EA9"/>
    <w:rsid w:val="002768FA"/>
    <w:rsid w:val="00281BF1"/>
    <w:rsid w:val="00281DFB"/>
    <w:rsid w:val="00282835"/>
    <w:rsid w:val="00283143"/>
    <w:rsid w:val="00283352"/>
    <w:rsid w:val="002833A7"/>
    <w:rsid w:val="002838CF"/>
    <w:rsid w:val="00283B25"/>
    <w:rsid w:val="00284BAA"/>
    <w:rsid w:val="0029340F"/>
    <w:rsid w:val="00293F38"/>
    <w:rsid w:val="00295DBE"/>
    <w:rsid w:val="002A1935"/>
    <w:rsid w:val="002A252F"/>
    <w:rsid w:val="002A456D"/>
    <w:rsid w:val="002A4B58"/>
    <w:rsid w:val="002A4E8C"/>
    <w:rsid w:val="002A4EBC"/>
    <w:rsid w:val="002A7072"/>
    <w:rsid w:val="002A7D6E"/>
    <w:rsid w:val="002B00BD"/>
    <w:rsid w:val="002B07FE"/>
    <w:rsid w:val="002B1359"/>
    <w:rsid w:val="002B17AD"/>
    <w:rsid w:val="002B2929"/>
    <w:rsid w:val="002B2EFA"/>
    <w:rsid w:val="002B3CC6"/>
    <w:rsid w:val="002B7002"/>
    <w:rsid w:val="002C0CBA"/>
    <w:rsid w:val="002C1E13"/>
    <w:rsid w:val="002C28CE"/>
    <w:rsid w:val="002C3517"/>
    <w:rsid w:val="002C3C9B"/>
    <w:rsid w:val="002C4D80"/>
    <w:rsid w:val="002C50B5"/>
    <w:rsid w:val="002C515A"/>
    <w:rsid w:val="002C6105"/>
    <w:rsid w:val="002C774B"/>
    <w:rsid w:val="002D03F0"/>
    <w:rsid w:val="002D1388"/>
    <w:rsid w:val="002D1FC5"/>
    <w:rsid w:val="002D2A9D"/>
    <w:rsid w:val="002D46A4"/>
    <w:rsid w:val="002D4E04"/>
    <w:rsid w:val="002D5001"/>
    <w:rsid w:val="002D5409"/>
    <w:rsid w:val="002D5F54"/>
    <w:rsid w:val="002E003C"/>
    <w:rsid w:val="002E021C"/>
    <w:rsid w:val="002E0EC7"/>
    <w:rsid w:val="002E1325"/>
    <w:rsid w:val="002E13C3"/>
    <w:rsid w:val="002E1524"/>
    <w:rsid w:val="002E1A5E"/>
    <w:rsid w:val="002E3A05"/>
    <w:rsid w:val="002E47A9"/>
    <w:rsid w:val="002E6C5C"/>
    <w:rsid w:val="002F05FD"/>
    <w:rsid w:val="002F06C1"/>
    <w:rsid w:val="002F452C"/>
    <w:rsid w:val="002F4567"/>
    <w:rsid w:val="002F675D"/>
    <w:rsid w:val="002F6869"/>
    <w:rsid w:val="002F7193"/>
    <w:rsid w:val="0030075C"/>
    <w:rsid w:val="00302A23"/>
    <w:rsid w:val="003030C9"/>
    <w:rsid w:val="003038B5"/>
    <w:rsid w:val="003059C0"/>
    <w:rsid w:val="0030619D"/>
    <w:rsid w:val="00307C9A"/>
    <w:rsid w:val="00307CB6"/>
    <w:rsid w:val="00307E28"/>
    <w:rsid w:val="003119B6"/>
    <w:rsid w:val="00311FC7"/>
    <w:rsid w:val="00312349"/>
    <w:rsid w:val="003160AE"/>
    <w:rsid w:val="00317E7F"/>
    <w:rsid w:val="003204BF"/>
    <w:rsid w:val="00323268"/>
    <w:rsid w:val="00325A55"/>
    <w:rsid w:val="00325ACF"/>
    <w:rsid w:val="003266C5"/>
    <w:rsid w:val="00326B31"/>
    <w:rsid w:val="00326D9A"/>
    <w:rsid w:val="003273AE"/>
    <w:rsid w:val="00330774"/>
    <w:rsid w:val="00333382"/>
    <w:rsid w:val="00333B6A"/>
    <w:rsid w:val="00334834"/>
    <w:rsid w:val="00335A14"/>
    <w:rsid w:val="00337926"/>
    <w:rsid w:val="0034107B"/>
    <w:rsid w:val="00341708"/>
    <w:rsid w:val="00341CE0"/>
    <w:rsid w:val="0034233C"/>
    <w:rsid w:val="00343EBD"/>
    <w:rsid w:val="00345A1B"/>
    <w:rsid w:val="00347FE0"/>
    <w:rsid w:val="003507B6"/>
    <w:rsid w:val="00353919"/>
    <w:rsid w:val="00355D04"/>
    <w:rsid w:val="00356042"/>
    <w:rsid w:val="00357942"/>
    <w:rsid w:val="00360538"/>
    <w:rsid w:val="00362C8B"/>
    <w:rsid w:val="00362F15"/>
    <w:rsid w:val="00364612"/>
    <w:rsid w:val="00364E96"/>
    <w:rsid w:val="00365CDE"/>
    <w:rsid w:val="00365E99"/>
    <w:rsid w:val="00367EAE"/>
    <w:rsid w:val="0037010B"/>
    <w:rsid w:val="003727DB"/>
    <w:rsid w:val="00373B2E"/>
    <w:rsid w:val="00373BB3"/>
    <w:rsid w:val="00374828"/>
    <w:rsid w:val="003753FD"/>
    <w:rsid w:val="00376A07"/>
    <w:rsid w:val="003774CB"/>
    <w:rsid w:val="0038044C"/>
    <w:rsid w:val="00383124"/>
    <w:rsid w:val="00386372"/>
    <w:rsid w:val="003874B6"/>
    <w:rsid w:val="00390F91"/>
    <w:rsid w:val="0039156E"/>
    <w:rsid w:val="003933AF"/>
    <w:rsid w:val="00394AAD"/>
    <w:rsid w:val="00394E96"/>
    <w:rsid w:val="00395687"/>
    <w:rsid w:val="003977AE"/>
    <w:rsid w:val="003A0048"/>
    <w:rsid w:val="003A0A04"/>
    <w:rsid w:val="003A1441"/>
    <w:rsid w:val="003A1A8D"/>
    <w:rsid w:val="003A3777"/>
    <w:rsid w:val="003A3EA5"/>
    <w:rsid w:val="003A54AD"/>
    <w:rsid w:val="003A6BB5"/>
    <w:rsid w:val="003A70C3"/>
    <w:rsid w:val="003A7AF6"/>
    <w:rsid w:val="003B0D19"/>
    <w:rsid w:val="003B2A84"/>
    <w:rsid w:val="003B2BB8"/>
    <w:rsid w:val="003B52A7"/>
    <w:rsid w:val="003B58DF"/>
    <w:rsid w:val="003B5F26"/>
    <w:rsid w:val="003B6F02"/>
    <w:rsid w:val="003B7424"/>
    <w:rsid w:val="003C3CA7"/>
    <w:rsid w:val="003C5898"/>
    <w:rsid w:val="003C5D1D"/>
    <w:rsid w:val="003C5F4F"/>
    <w:rsid w:val="003C603A"/>
    <w:rsid w:val="003C6CA6"/>
    <w:rsid w:val="003C7327"/>
    <w:rsid w:val="003C7C8D"/>
    <w:rsid w:val="003C7EE8"/>
    <w:rsid w:val="003D15A0"/>
    <w:rsid w:val="003D34FF"/>
    <w:rsid w:val="003D4A5B"/>
    <w:rsid w:val="003D626D"/>
    <w:rsid w:val="003D65E2"/>
    <w:rsid w:val="003D726A"/>
    <w:rsid w:val="003E0A57"/>
    <w:rsid w:val="003E1151"/>
    <w:rsid w:val="003E19CB"/>
    <w:rsid w:val="003E2B62"/>
    <w:rsid w:val="003E4E4F"/>
    <w:rsid w:val="003E5809"/>
    <w:rsid w:val="003E5B0E"/>
    <w:rsid w:val="003E749B"/>
    <w:rsid w:val="003E7D07"/>
    <w:rsid w:val="003F19BE"/>
    <w:rsid w:val="003F2415"/>
    <w:rsid w:val="003F255E"/>
    <w:rsid w:val="003F3478"/>
    <w:rsid w:val="003F371F"/>
    <w:rsid w:val="003F3D9E"/>
    <w:rsid w:val="003F4F54"/>
    <w:rsid w:val="003F5507"/>
    <w:rsid w:val="003F5E60"/>
    <w:rsid w:val="003F6D16"/>
    <w:rsid w:val="003F6D68"/>
    <w:rsid w:val="00400B23"/>
    <w:rsid w:val="00403055"/>
    <w:rsid w:val="00403AAD"/>
    <w:rsid w:val="00411070"/>
    <w:rsid w:val="00411675"/>
    <w:rsid w:val="00414E26"/>
    <w:rsid w:val="004150FC"/>
    <w:rsid w:val="00415B6C"/>
    <w:rsid w:val="00415BCD"/>
    <w:rsid w:val="00416E7D"/>
    <w:rsid w:val="00420C2E"/>
    <w:rsid w:val="00421623"/>
    <w:rsid w:val="00422567"/>
    <w:rsid w:val="00423C08"/>
    <w:rsid w:val="004243F2"/>
    <w:rsid w:val="00424D2D"/>
    <w:rsid w:val="00425184"/>
    <w:rsid w:val="0042666E"/>
    <w:rsid w:val="0042676C"/>
    <w:rsid w:val="00426873"/>
    <w:rsid w:val="00427158"/>
    <w:rsid w:val="00430147"/>
    <w:rsid w:val="00431002"/>
    <w:rsid w:val="00433307"/>
    <w:rsid w:val="0043385D"/>
    <w:rsid w:val="004350C5"/>
    <w:rsid w:val="004354E6"/>
    <w:rsid w:val="004375F1"/>
    <w:rsid w:val="00437FDD"/>
    <w:rsid w:val="00440022"/>
    <w:rsid w:val="0044048D"/>
    <w:rsid w:val="00440988"/>
    <w:rsid w:val="00440CB8"/>
    <w:rsid w:val="0044332A"/>
    <w:rsid w:val="00444CFB"/>
    <w:rsid w:val="004458D2"/>
    <w:rsid w:val="00447202"/>
    <w:rsid w:val="004474EB"/>
    <w:rsid w:val="00450DE1"/>
    <w:rsid w:val="00450DEE"/>
    <w:rsid w:val="0045286F"/>
    <w:rsid w:val="00452CB2"/>
    <w:rsid w:val="0045379E"/>
    <w:rsid w:val="00454337"/>
    <w:rsid w:val="004546EC"/>
    <w:rsid w:val="004548BD"/>
    <w:rsid w:val="00455666"/>
    <w:rsid w:val="00456D5B"/>
    <w:rsid w:val="00457435"/>
    <w:rsid w:val="004606B8"/>
    <w:rsid w:val="004613B5"/>
    <w:rsid w:val="00461FC0"/>
    <w:rsid w:val="00462143"/>
    <w:rsid w:val="00462A01"/>
    <w:rsid w:val="00462BAB"/>
    <w:rsid w:val="00462D67"/>
    <w:rsid w:val="00463E48"/>
    <w:rsid w:val="0046415D"/>
    <w:rsid w:val="00465173"/>
    <w:rsid w:val="00465AD7"/>
    <w:rsid w:val="00466517"/>
    <w:rsid w:val="00471050"/>
    <w:rsid w:val="00471456"/>
    <w:rsid w:val="004724F7"/>
    <w:rsid w:val="0047261D"/>
    <w:rsid w:val="0047303B"/>
    <w:rsid w:val="0047350E"/>
    <w:rsid w:val="00475C91"/>
    <w:rsid w:val="00480850"/>
    <w:rsid w:val="00480A16"/>
    <w:rsid w:val="00480E67"/>
    <w:rsid w:val="00481D7D"/>
    <w:rsid w:val="0048200E"/>
    <w:rsid w:val="00483104"/>
    <w:rsid w:val="00484A2F"/>
    <w:rsid w:val="0048735C"/>
    <w:rsid w:val="00487789"/>
    <w:rsid w:val="0049144B"/>
    <w:rsid w:val="00492F16"/>
    <w:rsid w:val="004937E0"/>
    <w:rsid w:val="00494CE3"/>
    <w:rsid w:val="00496580"/>
    <w:rsid w:val="00496D7F"/>
    <w:rsid w:val="00497F38"/>
    <w:rsid w:val="004A2151"/>
    <w:rsid w:val="004A3D30"/>
    <w:rsid w:val="004A4F14"/>
    <w:rsid w:val="004A4FBF"/>
    <w:rsid w:val="004A5F86"/>
    <w:rsid w:val="004A6CCB"/>
    <w:rsid w:val="004A7C97"/>
    <w:rsid w:val="004B04C2"/>
    <w:rsid w:val="004B3007"/>
    <w:rsid w:val="004B32F3"/>
    <w:rsid w:val="004B4179"/>
    <w:rsid w:val="004B4D40"/>
    <w:rsid w:val="004B52DA"/>
    <w:rsid w:val="004B54CA"/>
    <w:rsid w:val="004C011A"/>
    <w:rsid w:val="004C2B8C"/>
    <w:rsid w:val="004C2E1B"/>
    <w:rsid w:val="004C3390"/>
    <w:rsid w:val="004C58DA"/>
    <w:rsid w:val="004C5C43"/>
    <w:rsid w:val="004C5CCB"/>
    <w:rsid w:val="004C5F90"/>
    <w:rsid w:val="004C63EB"/>
    <w:rsid w:val="004C6558"/>
    <w:rsid w:val="004D1A30"/>
    <w:rsid w:val="004D1B3E"/>
    <w:rsid w:val="004D5E02"/>
    <w:rsid w:val="004D7BB5"/>
    <w:rsid w:val="004E1EDF"/>
    <w:rsid w:val="004E2768"/>
    <w:rsid w:val="004E3190"/>
    <w:rsid w:val="004E39C0"/>
    <w:rsid w:val="004E4885"/>
    <w:rsid w:val="004E5CBF"/>
    <w:rsid w:val="004E708B"/>
    <w:rsid w:val="004F2400"/>
    <w:rsid w:val="004F25F9"/>
    <w:rsid w:val="004F42E8"/>
    <w:rsid w:val="004F55AC"/>
    <w:rsid w:val="004F56E5"/>
    <w:rsid w:val="004F77F4"/>
    <w:rsid w:val="005008EC"/>
    <w:rsid w:val="00500E15"/>
    <w:rsid w:val="005024D2"/>
    <w:rsid w:val="0050505D"/>
    <w:rsid w:val="00505AC3"/>
    <w:rsid w:val="00506C49"/>
    <w:rsid w:val="005072B0"/>
    <w:rsid w:val="0051012B"/>
    <w:rsid w:val="00512A52"/>
    <w:rsid w:val="00513D2D"/>
    <w:rsid w:val="00514BDE"/>
    <w:rsid w:val="00515ED5"/>
    <w:rsid w:val="005171EE"/>
    <w:rsid w:val="005176FA"/>
    <w:rsid w:val="00517AE4"/>
    <w:rsid w:val="005206B3"/>
    <w:rsid w:val="0052138D"/>
    <w:rsid w:val="00521DF2"/>
    <w:rsid w:val="005229A0"/>
    <w:rsid w:val="00523E66"/>
    <w:rsid w:val="00524DD3"/>
    <w:rsid w:val="00525586"/>
    <w:rsid w:val="005261D2"/>
    <w:rsid w:val="005261E6"/>
    <w:rsid w:val="00526EBB"/>
    <w:rsid w:val="005312DA"/>
    <w:rsid w:val="0053302E"/>
    <w:rsid w:val="00534ABD"/>
    <w:rsid w:val="0053598B"/>
    <w:rsid w:val="00535BB7"/>
    <w:rsid w:val="00536254"/>
    <w:rsid w:val="005366A2"/>
    <w:rsid w:val="005373DB"/>
    <w:rsid w:val="00537957"/>
    <w:rsid w:val="0054030C"/>
    <w:rsid w:val="005403BC"/>
    <w:rsid w:val="00540889"/>
    <w:rsid w:val="00541ADF"/>
    <w:rsid w:val="00542CD3"/>
    <w:rsid w:val="005433FD"/>
    <w:rsid w:val="005453C2"/>
    <w:rsid w:val="0054713E"/>
    <w:rsid w:val="00547A6B"/>
    <w:rsid w:val="005512A7"/>
    <w:rsid w:val="0055185C"/>
    <w:rsid w:val="00551CC8"/>
    <w:rsid w:val="00551D2B"/>
    <w:rsid w:val="00552D0A"/>
    <w:rsid w:val="005536D9"/>
    <w:rsid w:val="005537E7"/>
    <w:rsid w:val="005540B9"/>
    <w:rsid w:val="005543A8"/>
    <w:rsid w:val="00555FA4"/>
    <w:rsid w:val="0055625F"/>
    <w:rsid w:val="00556A2D"/>
    <w:rsid w:val="0055735D"/>
    <w:rsid w:val="005602B4"/>
    <w:rsid w:val="005606A5"/>
    <w:rsid w:val="005625CE"/>
    <w:rsid w:val="0056312D"/>
    <w:rsid w:val="005650F8"/>
    <w:rsid w:val="00565755"/>
    <w:rsid w:val="0056599B"/>
    <w:rsid w:val="005668A7"/>
    <w:rsid w:val="00567030"/>
    <w:rsid w:val="00567053"/>
    <w:rsid w:val="0057009B"/>
    <w:rsid w:val="005713A3"/>
    <w:rsid w:val="0057146A"/>
    <w:rsid w:val="00572F49"/>
    <w:rsid w:val="00574DAF"/>
    <w:rsid w:val="00576CFF"/>
    <w:rsid w:val="00581990"/>
    <w:rsid w:val="00581ED8"/>
    <w:rsid w:val="00583603"/>
    <w:rsid w:val="00584FC1"/>
    <w:rsid w:val="00586246"/>
    <w:rsid w:val="00586F5F"/>
    <w:rsid w:val="005877DC"/>
    <w:rsid w:val="005925F4"/>
    <w:rsid w:val="005930E2"/>
    <w:rsid w:val="00593223"/>
    <w:rsid w:val="00593788"/>
    <w:rsid w:val="0059394B"/>
    <w:rsid w:val="00594E73"/>
    <w:rsid w:val="00595AD9"/>
    <w:rsid w:val="00595B2E"/>
    <w:rsid w:val="00595E1A"/>
    <w:rsid w:val="0059600B"/>
    <w:rsid w:val="00596354"/>
    <w:rsid w:val="00597852"/>
    <w:rsid w:val="005A1634"/>
    <w:rsid w:val="005A3301"/>
    <w:rsid w:val="005A3484"/>
    <w:rsid w:val="005A3BBE"/>
    <w:rsid w:val="005A411F"/>
    <w:rsid w:val="005A584B"/>
    <w:rsid w:val="005A633C"/>
    <w:rsid w:val="005A712D"/>
    <w:rsid w:val="005A71F9"/>
    <w:rsid w:val="005B0348"/>
    <w:rsid w:val="005B06DE"/>
    <w:rsid w:val="005B0A50"/>
    <w:rsid w:val="005B362A"/>
    <w:rsid w:val="005B4471"/>
    <w:rsid w:val="005B5916"/>
    <w:rsid w:val="005B5BC4"/>
    <w:rsid w:val="005B788A"/>
    <w:rsid w:val="005C121E"/>
    <w:rsid w:val="005C1EC2"/>
    <w:rsid w:val="005C28E0"/>
    <w:rsid w:val="005C29D4"/>
    <w:rsid w:val="005C29DF"/>
    <w:rsid w:val="005C30ED"/>
    <w:rsid w:val="005C3AA9"/>
    <w:rsid w:val="005C5093"/>
    <w:rsid w:val="005C5C88"/>
    <w:rsid w:val="005C63E8"/>
    <w:rsid w:val="005D066E"/>
    <w:rsid w:val="005D0C2C"/>
    <w:rsid w:val="005D40CE"/>
    <w:rsid w:val="005D46B2"/>
    <w:rsid w:val="005D4B68"/>
    <w:rsid w:val="005D5027"/>
    <w:rsid w:val="005D53F8"/>
    <w:rsid w:val="005D6069"/>
    <w:rsid w:val="005D7AF8"/>
    <w:rsid w:val="005E051D"/>
    <w:rsid w:val="005E09CB"/>
    <w:rsid w:val="005E142F"/>
    <w:rsid w:val="005E1456"/>
    <w:rsid w:val="005E190E"/>
    <w:rsid w:val="005E1C27"/>
    <w:rsid w:val="005E209B"/>
    <w:rsid w:val="005E34F4"/>
    <w:rsid w:val="005E3F1E"/>
    <w:rsid w:val="005E4AD4"/>
    <w:rsid w:val="005E4CB2"/>
    <w:rsid w:val="005E57D0"/>
    <w:rsid w:val="005E7856"/>
    <w:rsid w:val="005E7B10"/>
    <w:rsid w:val="005F0CE1"/>
    <w:rsid w:val="005F1AD6"/>
    <w:rsid w:val="005F1B29"/>
    <w:rsid w:val="005F2041"/>
    <w:rsid w:val="005F24D7"/>
    <w:rsid w:val="005F5D15"/>
    <w:rsid w:val="00600105"/>
    <w:rsid w:val="00600FA2"/>
    <w:rsid w:val="006020FB"/>
    <w:rsid w:val="0060281E"/>
    <w:rsid w:val="00603747"/>
    <w:rsid w:val="0060485B"/>
    <w:rsid w:val="00607A85"/>
    <w:rsid w:val="00611556"/>
    <w:rsid w:val="006142CE"/>
    <w:rsid w:val="006160D7"/>
    <w:rsid w:val="00616903"/>
    <w:rsid w:val="00620328"/>
    <w:rsid w:val="00620D1A"/>
    <w:rsid w:val="00621CB0"/>
    <w:rsid w:val="0062238E"/>
    <w:rsid w:val="00622BE6"/>
    <w:rsid w:val="00623ACE"/>
    <w:rsid w:val="006240B0"/>
    <w:rsid w:val="00624731"/>
    <w:rsid w:val="0062489C"/>
    <w:rsid w:val="00624BDC"/>
    <w:rsid w:val="006259FB"/>
    <w:rsid w:val="00625C07"/>
    <w:rsid w:val="00630012"/>
    <w:rsid w:val="00631107"/>
    <w:rsid w:val="00631A2C"/>
    <w:rsid w:val="00631CC4"/>
    <w:rsid w:val="006322E5"/>
    <w:rsid w:val="0063252B"/>
    <w:rsid w:val="00632677"/>
    <w:rsid w:val="00632BE6"/>
    <w:rsid w:val="00633D76"/>
    <w:rsid w:val="0063558C"/>
    <w:rsid w:val="00640150"/>
    <w:rsid w:val="0064184F"/>
    <w:rsid w:val="00642EA2"/>
    <w:rsid w:val="006432EB"/>
    <w:rsid w:val="0064482A"/>
    <w:rsid w:val="006454E4"/>
    <w:rsid w:val="0064577F"/>
    <w:rsid w:val="00647A35"/>
    <w:rsid w:val="00647B7D"/>
    <w:rsid w:val="00650523"/>
    <w:rsid w:val="00650AB8"/>
    <w:rsid w:val="0065188A"/>
    <w:rsid w:val="00651F39"/>
    <w:rsid w:val="0065375E"/>
    <w:rsid w:val="00653775"/>
    <w:rsid w:val="006557B9"/>
    <w:rsid w:val="0066075E"/>
    <w:rsid w:val="006607E8"/>
    <w:rsid w:val="0066086A"/>
    <w:rsid w:val="00660F67"/>
    <w:rsid w:val="00661461"/>
    <w:rsid w:val="006628DD"/>
    <w:rsid w:val="00663FC5"/>
    <w:rsid w:val="00665BEA"/>
    <w:rsid w:val="006666D6"/>
    <w:rsid w:val="00666762"/>
    <w:rsid w:val="00666AAD"/>
    <w:rsid w:val="00666AD4"/>
    <w:rsid w:val="00666D16"/>
    <w:rsid w:val="00666D26"/>
    <w:rsid w:val="006713E0"/>
    <w:rsid w:val="0067334E"/>
    <w:rsid w:val="00674833"/>
    <w:rsid w:val="006758A8"/>
    <w:rsid w:val="0068051E"/>
    <w:rsid w:val="006812E4"/>
    <w:rsid w:val="00681928"/>
    <w:rsid w:val="006830F3"/>
    <w:rsid w:val="006845A3"/>
    <w:rsid w:val="006846EC"/>
    <w:rsid w:val="00685A7C"/>
    <w:rsid w:val="00686716"/>
    <w:rsid w:val="00686A9D"/>
    <w:rsid w:val="0069096F"/>
    <w:rsid w:val="00691C37"/>
    <w:rsid w:val="0069371E"/>
    <w:rsid w:val="006940CB"/>
    <w:rsid w:val="006943B7"/>
    <w:rsid w:val="0069486D"/>
    <w:rsid w:val="00695014"/>
    <w:rsid w:val="006A153C"/>
    <w:rsid w:val="006A2FD7"/>
    <w:rsid w:val="006A3A16"/>
    <w:rsid w:val="006A3BA5"/>
    <w:rsid w:val="006A4CE7"/>
    <w:rsid w:val="006A53EC"/>
    <w:rsid w:val="006A6B77"/>
    <w:rsid w:val="006A7DD3"/>
    <w:rsid w:val="006B0B34"/>
    <w:rsid w:val="006B1319"/>
    <w:rsid w:val="006B15D7"/>
    <w:rsid w:val="006B2D84"/>
    <w:rsid w:val="006B3FFE"/>
    <w:rsid w:val="006B42E4"/>
    <w:rsid w:val="006B4BB7"/>
    <w:rsid w:val="006B63D8"/>
    <w:rsid w:val="006C02E6"/>
    <w:rsid w:val="006C0A16"/>
    <w:rsid w:val="006C0E97"/>
    <w:rsid w:val="006C1F56"/>
    <w:rsid w:val="006C20EF"/>
    <w:rsid w:val="006C28D0"/>
    <w:rsid w:val="006C2B25"/>
    <w:rsid w:val="006C55E5"/>
    <w:rsid w:val="006C71CB"/>
    <w:rsid w:val="006D12A9"/>
    <w:rsid w:val="006D16B5"/>
    <w:rsid w:val="006D2DA3"/>
    <w:rsid w:val="006D3347"/>
    <w:rsid w:val="006D4E13"/>
    <w:rsid w:val="006D5C23"/>
    <w:rsid w:val="006D5D44"/>
    <w:rsid w:val="006D622A"/>
    <w:rsid w:val="006D70AB"/>
    <w:rsid w:val="006D758D"/>
    <w:rsid w:val="006E109A"/>
    <w:rsid w:val="006E1CDF"/>
    <w:rsid w:val="006E1FB8"/>
    <w:rsid w:val="006E2ACE"/>
    <w:rsid w:val="006F1369"/>
    <w:rsid w:val="006F1ACD"/>
    <w:rsid w:val="006F2090"/>
    <w:rsid w:val="006F270A"/>
    <w:rsid w:val="006F3D9C"/>
    <w:rsid w:val="00701D51"/>
    <w:rsid w:val="00703F6A"/>
    <w:rsid w:val="00704AC8"/>
    <w:rsid w:val="007065F3"/>
    <w:rsid w:val="00706B75"/>
    <w:rsid w:val="00714660"/>
    <w:rsid w:val="00714783"/>
    <w:rsid w:val="0071612F"/>
    <w:rsid w:val="0072031B"/>
    <w:rsid w:val="0072056E"/>
    <w:rsid w:val="007205E1"/>
    <w:rsid w:val="00720630"/>
    <w:rsid w:val="00722473"/>
    <w:rsid w:val="00722841"/>
    <w:rsid w:val="00722C85"/>
    <w:rsid w:val="0072491D"/>
    <w:rsid w:val="00724D69"/>
    <w:rsid w:val="007251E1"/>
    <w:rsid w:val="00725D75"/>
    <w:rsid w:val="00727D52"/>
    <w:rsid w:val="00727FD7"/>
    <w:rsid w:val="00730867"/>
    <w:rsid w:val="00731FDF"/>
    <w:rsid w:val="007331A4"/>
    <w:rsid w:val="0073320E"/>
    <w:rsid w:val="007357B1"/>
    <w:rsid w:val="00740BB6"/>
    <w:rsid w:val="007431AC"/>
    <w:rsid w:val="007433EC"/>
    <w:rsid w:val="0074356C"/>
    <w:rsid w:val="00743AFC"/>
    <w:rsid w:val="00745371"/>
    <w:rsid w:val="0074585D"/>
    <w:rsid w:val="00745A65"/>
    <w:rsid w:val="00746DE9"/>
    <w:rsid w:val="007473B8"/>
    <w:rsid w:val="00751E6A"/>
    <w:rsid w:val="00754AAE"/>
    <w:rsid w:val="00757B42"/>
    <w:rsid w:val="00761EFE"/>
    <w:rsid w:val="00762ED1"/>
    <w:rsid w:val="00763C67"/>
    <w:rsid w:val="00763CA4"/>
    <w:rsid w:val="00763E7D"/>
    <w:rsid w:val="00764B1B"/>
    <w:rsid w:val="00767F9F"/>
    <w:rsid w:val="0077096F"/>
    <w:rsid w:val="00770F5D"/>
    <w:rsid w:val="00771EED"/>
    <w:rsid w:val="00771F15"/>
    <w:rsid w:val="00776610"/>
    <w:rsid w:val="00776FEC"/>
    <w:rsid w:val="007772C5"/>
    <w:rsid w:val="00777E71"/>
    <w:rsid w:val="00777ED3"/>
    <w:rsid w:val="00780010"/>
    <w:rsid w:val="0078011D"/>
    <w:rsid w:val="007845D2"/>
    <w:rsid w:val="00785261"/>
    <w:rsid w:val="00785413"/>
    <w:rsid w:val="00785F35"/>
    <w:rsid w:val="00786AFB"/>
    <w:rsid w:val="00786C71"/>
    <w:rsid w:val="0079008F"/>
    <w:rsid w:val="00791670"/>
    <w:rsid w:val="0079276F"/>
    <w:rsid w:val="0079366D"/>
    <w:rsid w:val="00793D2A"/>
    <w:rsid w:val="00794E65"/>
    <w:rsid w:val="00795CEA"/>
    <w:rsid w:val="00797FE2"/>
    <w:rsid w:val="007A051C"/>
    <w:rsid w:val="007A35E1"/>
    <w:rsid w:val="007A453C"/>
    <w:rsid w:val="007A49D8"/>
    <w:rsid w:val="007A4C51"/>
    <w:rsid w:val="007A7023"/>
    <w:rsid w:val="007B0256"/>
    <w:rsid w:val="007B0367"/>
    <w:rsid w:val="007B0A2D"/>
    <w:rsid w:val="007B3525"/>
    <w:rsid w:val="007B3DA4"/>
    <w:rsid w:val="007B4ED7"/>
    <w:rsid w:val="007B6352"/>
    <w:rsid w:val="007B6815"/>
    <w:rsid w:val="007B7899"/>
    <w:rsid w:val="007C06EC"/>
    <w:rsid w:val="007C0C51"/>
    <w:rsid w:val="007C10F8"/>
    <w:rsid w:val="007C2C76"/>
    <w:rsid w:val="007C42CE"/>
    <w:rsid w:val="007C462F"/>
    <w:rsid w:val="007C5B44"/>
    <w:rsid w:val="007C6750"/>
    <w:rsid w:val="007D04F3"/>
    <w:rsid w:val="007D05C0"/>
    <w:rsid w:val="007D110B"/>
    <w:rsid w:val="007D1C2F"/>
    <w:rsid w:val="007D1E45"/>
    <w:rsid w:val="007D30A2"/>
    <w:rsid w:val="007D483D"/>
    <w:rsid w:val="007D4951"/>
    <w:rsid w:val="007D61FB"/>
    <w:rsid w:val="007D62D8"/>
    <w:rsid w:val="007D6D21"/>
    <w:rsid w:val="007E0F3D"/>
    <w:rsid w:val="007E19B9"/>
    <w:rsid w:val="007E1B3A"/>
    <w:rsid w:val="007E29C1"/>
    <w:rsid w:val="007E36B0"/>
    <w:rsid w:val="007E3945"/>
    <w:rsid w:val="007E3959"/>
    <w:rsid w:val="007E3B8B"/>
    <w:rsid w:val="007E3C61"/>
    <w:rsid w:val="007E59E4"/>
    <w:rsid w:val="007E6EE8"/>
    <w:rsid w:val="007E6F28"/>
    <w:rsid w:val="007E77BE"/>
    <w:rsid w:val="007E7CD1"/>
    <w:rsid w:val="007F152D"/>
    <w:rsid w:val="007F1E34"/>
    <w:rsid w:val="007F20C1"/>
    <w:rsid w:val="007F2584"/>
    <w:rsid w:val="007F4CD6"/>
    <w:rsid w:val="007F4F86"/>
    <w:rsid w:val="007F5B34"/>
    <w:rsid w:val="007F5ED1"/>
    <w:rsid w:val="007F7BBC"/>
    <w:rsid w:val="00801082"/>
    <w:rsid w:val="00801700"/>
    <w:rsid w:val="0080225F"/>
    <w:rsid w:val="008028DD"/>
    <w:rsid w:val="00803467"/>
    <w:rsid w:val="0080363D"/>
    <w:rsid w:val="00803969"/>
    <w:rsid w:val="00804507"/>
    <w:rsid w:val="0080572D"/>
    <w:rsid w:val="0080612B"/>
    <w:rsid w:val="0080631C"/>
    <w:rsid w:val="00806A90"/>
    <w:rsid w:val="00807AA2"/>
    <w:rsid w:val="00810325"/>
    <w:rsid w:val="008114D3"/>
    <w:rsid w:val="00811923"/>
    <w:rsid w:val="008132A4"/>
    <w:rsid w:val="008146C6"/>
    <w:rsid w:val="00814DB8"/>
    <w:rsid w:val="00814E7C"/>
    <w:rsid w:val="00815A31"/>
    <w:rsid w:val="00815CCC"/>
    <w:rsid w:val="00816F4C"/>
    <w:rsid w:val="0082036A"/>
    <w:rsid w:val="00821DF5"/>
    <w:rsid w:val="00823E4F"/>
    <w:rsid w:val="00824023"/>
    <w:rsid w:val="00826881"/>
    <w:rsid w:val="00827B69"/>
    <w:rsid w:val="008326AD"/>
    <w:rsid w:val="0083356C"/>
    <w:rsid w:val="00833632"/>
    <w:rsid w:val="0083470A"/>
    <w:rsid w:val="00835942"/>
    <w:rsid w:val="00837F4E"/>
    <w:rsid w:val="008410A5"/>
    <w:rsid w:val="008412A9"/>
    <w:rsid w:val="0084227C"/>
    <w:rsid w:val="00843259"/>
    <w:rsid w:val="00843AAA"/>
    <w:rsid w:val="00844BE5"/>
    <w:rsid w:val="008460E0"/>
    <w:rsid w:val="00846446"/>
    <w:rsid w:val="008474DB"/>
    <w:rsid w:val="00850417"/>
    <w:rsid w:val="00850B56"/>
    <w:rsid w:val="00850C5B"/>
    <w:rsid w:val="00850CD7"/>
    <w:rsid w:val="00853462"/>
    <w:rsid w:val="0085393C"/>
    <w:rsid w:val="00853F85"/>
    <w:rsid w:val="00855C49"/>
    <w:rsid w:val="008565DF"/>
    <w:rsid w:val="008568EC"/>
    <w:rsid w:val="0085710F"/>
    <w:rsid w:val="00860675"/>
    <w:rsid w:val="00860C79"/>
    <w:rsid w:val="00861764"/>
    <w:rsid w:val="0086268C"/>
    <w:rsid w:val="008629A0"/>
    <w:rsid w:val="008646A2"/>
    <w:rsid w:val="00864AD3"/>
    <w:rsid w:val="00865AC4"/>
    <w:rsid w:val="00866C46"/>
    <w:rsid w:val="00866E9F"/>
    <w:rsid w:val="00870752"/>
    <w:rsid w:val="0087178D"/>
    <w:rsid w:val="00871A7D"/>
    <w:rsid w:val="00872519"/>
    <w:rsid w:val="0087401C"/>
    <w:rsid w:val="00874643"/>
    <w:rsid w:val="00874C08"/>
    <w:rsid w:val="00876CA6"/>
    <w:rsid w:val="00877018"/>
    <w:rsid w:val="00881EA2"/>
    <w:rsid w:val="00883827"/>
    <w:rsid w:val="0088463A"/>
    <w:rsid w:val="00885D3A"/>
    <w:rsid w:val="00885F93"/>
    <w:rsid w:val="008879A5"/>
    <w:rsid w:val="00891170"/>
    <w:rsid w:val="008916D6"/>
    <w:rsid w:val="00892484"/>
    <w:rsid w:val="00893CFC"/>
    <w:rsid w:val="008944AA"/>
    <w:rsid w:val="00895819"/>
    <w:rsid w:val="00896227"/>
    <w:rsid w:val="008965CF"/>
    <w:rsid w:val="008973D0"/>
    <w:rsid w:val="00897C78"/>
    <w:rsid w:val="00897CC1"/>
    <w:rsid w:val="008A01A9"/>
    <w:rsid w:val="008A02AA"/>
    <w:rsid w:val="008A04BA"/>
    <w:rsid w:val="008A212E"/>
    <w:rsid w:val="008A2270"/>
    <w:rsid w:val="008A2843"/>
    <w:rsid w:val="008A2C03"/>
    <w:rsid w:val="008A4C86"/>
    <w:rsid w:val="008A5BEE"/>
    <w:rsid w:val="008A6131"/>
    <w:rsid w:val="008B2261"/>
    <w:rsid w:val="008B250D"/>
    <w:rsid w:val="008B2EF4"/>
    <w:rsid w:val="008B3863"/>
    <w:rsid w:val="008B3CEF"/>
    <w:rsid w:val="008C0D36"/>
    <w:rsid w:val="008C2E19"/>
    <w:rsid w:val="008C3726"/>
    <w:rsid w:val="008D0007"/>
    <w:rsid w:val="008D0317"/>
    <w:rsid w:val="008D0B84"/>
    <w:rsid w:val="008D3D5C"/>
    <w:rsid w:val="008D4054"/>
    <w:rsid w:val="008D5E38"/>
    <w:rsid w:val="008D624D"/>
    <w:rsid w:val="008D6316"/>
    <w:rsid w:val="008D6EB1"/>
    <w:rsid w:val="008E0C72"/>
    <w:rsid w:val="008E110D"/>
    <w:rsid w:val="008E203C"/>
    <w:rsid w:val="008E2281"/>
    <w:rsid w:val="008E294B"/>
    <w:rsid w:val="008E2F02"/>
    <w:rsid w:val="008E534E"/>
    <w:rsid w:val="008E55EF"/>
    <w:rsid w:val="008E572D"/>
    <w:rsid w:val="008E58BF"/>
    <w:rsid w:val="008E66BC"/>
    <w:rsid w:val="008E6E97"/>
    <w:rsid w:val="008E7A68"/>
    <w:rsid w:val="008E7D0B"/>
    <w:rsid w:val="008F0FC6"/>
    <w:rsid w:val="008F1D22"/>
    <w:rsid w:val="008F2A9A"/>
    <w:rsid w:val="008F2DC9"/>
    <w:rsid w:val="008F3023"/>
    <w:rsid w:val="008F32B9"/>
    <w:rsid w:val="008F3733"/>
    <w:rsid w:val="008F4633"/>
    <w:rsid w:val="008F5A98"/>
    <w:rsid w:val="008F63DB"/>
    <w:rsid w:val="008F7225"/>
    <w:rsid w:val="008F7666"/>
    <w:rsid w:val="00900686"/>
    <w:rsid w:val="00900D72"/>
    <w:rsid w:val="009012DB"/>
    <w:rsid w:val="009019FA"/>
    <w:rsid w:val="0090427C"/>
    <w:rsid w:val="0090552B"/>
    <w:rsid w:val="00906392"/>
    <w:rsid w:val="0090639C"/>
    <w:rsid w:val="00906BE1"/>
    <w:rsid w:val="00907D28"/>
    <w:rsid w:val="00911C06"/>
    <w:rsid w:val="009121DB"/>
    <w:rsid w:val="0091359B"/>
    <w:rsid w:val="0091473B"/>
    <w:rsid w:val="00915F82"/>
    <w:rsid w:val="00916E7D"/>
    <w:rsid w:val="00917424"/>
    <w:rsid w:val="00917601"/>
    <w:rsid w:val="009176FA"/>
    <w:rsid w:val="00920855"/>
    <w:rsid w:val="00921E01"/>
    <w:rsid w:val="009225F0"/>
    <w:rsid w:val="00922A47"/>
    <w:rsid w:val="00924AD4"/>
    <w:rsid w:val="00930231"/>
    <w:rsid w:val="009312CB"/>
    <w:rsid w:val="00932FDB"/>
    <w:rsid w:val="00933296"/>
    <w:rsid w:val="00933320"/>
    <w:rsid w:val="00933AD6"/>
    <w:rsid w:val="00936B04"/>
    <w:rsid w:val="00936C5B"/>
    <w:rsid w:val="00941917"/>
    <w:rsid w:val="00941EA4"/>
    <w:rsid w:val="00941F4A"/>
    <w:rsid w:val="00942AAC"/>
    <w:rsid w:val="009450FF"/>
    <w:rsid w:val="0094563F"/>
    <w:rsid w:val="00946384"/>
    <w:rsid w:val="00946530"/>
    <w:rsid w:val="00947491"/>
    <w:rsid w:val="00947E84"/>
    <w:rsid w:val="00950474"/>
    <w:rsid w:val="00954177"/>
    <w:rsid w:val="00954635"/>
    <w:rsid w:val="00955755"/>
    <w:rsid w:val="00955887"/>
    <w:rsid w:val="00956C09"/>
    <w:rsid w:val="00961E18"/>
    <w:rsid w:val="00963512"/>
    <w:rsid w:val="00963609"/>
    <w:rsid w:val="00963DB8"/>
    <w:rsid w:val="00965696"/>
    <w:rsid w:val="009670C6"/>
    <w:rsid w:val="00967435"/>
    <w:rsid w:val="009711EA"/>
    <w:rsid w:val="00972A27"/>
    <w:rsid w:val="009732F7"/>
    <w:rsid w:val="00973D63"/>
    <w:rsid w:val="009740F9"/>
    <w:rsid w:val="00974792"/>
    <w:rsid w:val="00975687"/>
    <w:rsid w:val="009758DD"/>
    <w:rsid w:val="009763E2"/>
    <w:rsid w:val="009765A7"/>
    <w:rsid w:val="0098015E"/>
    <w:rsid w:val="00981BD2"/>
    <w:rsid w:val="0098231B"/>
    <w:rsid w:val="009828AC"/>
    <w:rsid w:val="009831CE"/>
    <w:rsid w:val="00983671"/>
    <w:rsid w:val="00983882"/>
    <w:rsid w:val="009844DA"/>
    <w:rsid w:val="009850FF"/>
    <w:rsid w:val="00985B9C"/>
    <w:rsid w:val="0098682B"/>
    <w:rsid w:val="00987714"/>
    <w:rsid w:val="00987ABD"/>
    <w:rsid w:val="00987AE8"/>
    <w:rsid w:val="009901F2"/>
    <w:rsid w:val="00994180"/>
    <w:rsid w:val="00994CA2"/>
    <w:rsid w:val="0099598D"/>
    <w:rsid w:val="00995EEA"/>
    <w:rsid w:val="009A07F0"/>
    <w:rsid w:val="009A0C45"/>
    <w:rsid w:val="009A38A9"/>
    <w:rsid w:val="009A3B1C"/>
    <w:rsid w:val="009A4232"/>
    <w:rsid w:val="009A4991"/>
    <w:rsid w:val="009A5477"/>
    <w:rsid w:val="009A5A0A"/>
    <w:rsid w:val="009A614C"/>
    <w:rsid w:val="009A73C3"/>
    <w:rsid w:val="009B0A83"/>
    <w:rsid w:val="009B0E17"/>
    <w:rsid w:val="009B1C63"/>
    <w:rsid w:val="009B26BF"/>
    <w:rsid w:val="009B2CBD"/>
    <w:rsid w:val="009B372D"/>
    <w:rsid w:val="009B5AB3"/>
    <w:rsid w:val="009B60D1"/>
    <w:rsid w:val="009C0430"/>
    <w:rsid w:val="009C17E0"/>
    <w:rsid w:val="009C54EC"/>
    <w:rsid w:val="009C709D"/>
    <w:rsid w:val="009D26DE"/>
    <w:rsid w:val="009D2DF8"/>
    <w:rsid w:val="009D3CCB"/>
    <w:rsid w:val="009D5319"/>
    <w:rsid w:val="009D583A"/>
    <w:rsid w:val="009D70AE"/>
    <w:rsid w:val="009D7D44"/>
    <w:rsid w:val="009E213A"/>
    <w:rsid w:val="009E2E3B"/>
    <w:rsid w:val="009E31FD"/>
    <w:rsid w:val="009E3320"/>
    <w:rsid w:val="009E4892"/>
    <w:rsid w:val="009F1B99"/>
    <w:rsid w:val="009F2F63"/>
    <w:rsid w:val="009F38E9"/>
    <w:rsid w:val="009F46E8"/>
    <w:rsid w:val="009F4C52"/>
    <w:rsid w:val="009F6533"/>
    <w:rsid w:val="009F73E0"/>
    <w:rsid w:val="00A0026C"/>
    <w:rsid w:val="00A00B90"/>
    <w:rsid w:val="00A01E2D"/>
    <w:rsid w:val="00A021FB"/>
    <w:rsid w:val="00A026BE"/>
    <w:rsid w:val="00A02A7A"/>
    <w:rsid w:val="00A02D04"/>
    <w:rsid w:val="00A03914"/>
    <w:rsid w:val="00A05642"/>
    <w:rsid w:val="00A05AB4"/>
    <w:rsid w:val="00A05C43"/>
    <w:rsid w:val="00A0604A"/>
    <w:rsid w:val="00A063B0"/>
    <w:rsid w:val="00A069C6"/>
    <w:rsid w:val="00A13549"/>
    <w:rsid w:val="00A14551"/>
    <w:rsid w:val="00A16486"/>
    <w:rsid w:val="00A205C2"/>
    <w:rsid w:val="00A209B4"/>
    <w:rsid w:val="00A22944"/>
    <w:rsid w:val="00A22E16"/>
    <w:rsid w:val="00A23E7E"/>
    <w:rsid w:val="00A25649"/>
    <w:rsid w:val="00A2591F"/>
    <w:rsid w:val="00A2688B"/>
    <w:rsid w:val="00A32D8A"/>
    <w:rsid w:val="00A33C6E"/>
    <w:rsid w:val="00A33E53"/>
    <w:rsid w:val="00A34A77"/>
    <w:rsid w:val="00A34D8A"/>
    <w:rsid w:val="00A35AD3"/>
    <w:rsid w:val="00A35D93"/>
    <w:rsid w:val="00A37592"/>
    <w:rsid w:val="00A424C0"/>
    <w:rsid w:val="00A435B3"/>
    <w:rsid w:val="00A438DE"/>
    <w:rsid w:val="00A43E66"/>
    <w:rsid w:val="00A442C9"/>
    <w:rsid w:val="00A44451"/>
    <w:rsid w:val="00A4462B"/>
    <w:rsid w:val="00A44B41"/>
    <w:rsid w:val="00A451DF"/>
    <w:rsid w:val="00A47887"/>
    <w:rsid w:val="00A50A61"/>
    <w:rsid w:val="00A51393"/>
    <w:rsid w:val="00A51394"/>
    <w:rsid w:val="00A5179B"/>
    <w:rsid w:val="00A53264"/>
    <w:rsid w:val="00A53798"/>
    <w:rsid w:val="00A54745"/>
    <w:rsid w:val="00A5484F"/>
    <w:rsid w:val="00A54AF5"/>
    <w:rsid w:val="00A5598F"/>
    <w:rsid w:val="00A603A0"/>
    <w:rsid w:val="00A60C36"/>
    <w:rsid w:val="00A6161A"/>
    <w:rsid w:val="00A61C7A"/>
    <w:rsid w:val="00A62B43"/>
    <w:rsid w:val="00A63413"/>
    <w:rsid w:val="00A63808"/>
    <w:rsid w:val="00A64B8C"/>
    <w:rsid w:val="00A65D53"/>
    <w:rsid w:val="00A6601E"/>
    <w:rsid w:val="00A667FA"/>
    <w:rsid w:val="00A668FD"/>
    <w:rsid w:val="00A672CD"/>
    <w:rsid w:val="00A676F4"/>
    <w:rsid w:val="00A67B09"/>
    <w:rsid w:val="00A67DCE"/>
    <w:rsid w:val="00A67F99"/>
    <w:rsid w:val="00A72423"/>
    <w:rsid w:val="00A72640"/>
    <w:rsid w:val="00A72CB4"/>
    <w:rsid w:val="00A736B0"/>
    <w:rsid w:val="00A73D5F"/>
    <w:rsid w:val="00A74769"/>
    <w:rsid w:val="00A74806"/>
    <w:rsid w:val="00A75390"/>
    <w:rsid w:val="00A756DC"/>
    <w:rsid w:val="00A75CD0"/>
    <w:rsid w:val="00A768FA"/>
    <w:rsid w:val="00A77A94"/>
    <w:rsid w:val="00A80DE0"/>
    <w:rsid w:val="00A81F81"/>
    <w:rsid w:val="00A829F2"/>
    <w:rsid w:val="00A82D4F"/>
    <w:rsid w:val="00A84589"/>
    <w:rsid w:val="00A865FE"/>
    <w:rsid w:val="00A86EDC"/>
    <w:rsid w:val="00A871B6"/>
    <w:rsid w:val="00A879F2"/>
    <w:rsid w:val="00A918E2"/>
    <w:rsid w:val="00A91D35"/>
    <w:rsid w:val="00A9253C"/>
    <w:rsid w:val="00A944CC"/>
    <w:rsid w:val="00A951C8"/>
    <w:rsid w:val="00A96011"/>
    <w:rsid w:val="00A970B0"/>
    <w:rsid w:val="00A977BC"/>
    <w:rsid w:val="00AA236C"/>
    <w:rsid w:val="00AA64AC"/>
    <w:rsid w:val="00AA6E24"/>
    <w:rsid w:val="00AA7226"/>
    <w:rsid w:val="00AA734B"/>
    <w:rsid w:val="00AA7D19"/>
    <w:rsid w:val="00AB1056"/>
    <w:rsid w:val="00AB1B09"/>
    <w:rsid w:val="00AB214C"/>
    <w:rsid w:val="00AB27D2"/>
    <w:rsid w:val="00AB534F"/>
    <w:rsid w:val="00AB54A6"/>
    <w:rsid w:val="00AB56A5"/>
    <w:rsid w:val="00AB5FCA"/>
    <w:rsid w:val="00AB61D3"/>
    <w:rsid w:val="00AB6A43"/>
    <w:rsid w:val="00AC101D"/>
    <w:rsid w:val="00AC11BF"/>
    <w:rsid w:val="00AC18C8"/>
    <w:rsid w:val="00AC1930"/>
    <w:rsid w:val="00AC1C8E"/>
    <w:rsid w:val="00AC2524"/>
    <w:rsid w:val="00AC298E"/>
    <w:rsid w:val="00AC388B"/>
    <w:rsid w:val="00AC5AC6"/>
    <w:rsid w:val="00AC74A8"/>
    <w:rsid w:val="00AD0178"/>
    <w:rsid w:val="00AD1F75"/>
    <w:rsid w:val="00AD223D"/>
    <w:rsid w:val="00AD2B28"/>
    <w:rsid w:val="00AD309B"/>
    <w:rsid w:val="00AD313D"/>
    <w:rsid w:val="00AD3A4A"/>
    <w:rsid w:val="00AD5039"/>
    <w:rsid w:val="00AD507A"/>
    <w:rsid w:val="00AD5527"/>
    <w:rsid w:val="00AD6AE8"/>
    <w:rsid w:val="00AD6DB7"/>
    <w:rsid w:val="00AD7D00"/>
    <w:rsid w:val="00AE2811"/>
    <w:rsid w:val="00AE54B0"/>
    <w:rsid w:val="00AE6655"/>
    <w:rsid w:val="00AE67E3"/>
    <w:rsid w:val="00AE68C1"/>
    <w:rsid w:val="00AE6AF6"/>
    <w:rsid w:val="00AE6E0F"/>
    <w:rsid w:val="00AE7411"/>
    <w:rsid w:val="00AF112D"/>
    <w:rsid w:val="00AF1160"/>
    <w:rsid w:val="00AF188B"/>
    <w:rsid w:val="00AF3687"/>
    <w:rsid w:val="00AF4DC1"/>
    <w:rsid w:val="00AF5788"/>
    <w:rsid w:val="00AF5C31"/>
    <w:rsid w:val="00AF6246"/>
    <w:rsid w:val="00B008BC"/>
    <w:rsid w:val="00B01663"/>
    <w:rsid w:val="00B02169"/>
    <w:rsid w:val="00B02CD1"/>
    <w:rsid w:val="00B03D4D"/>
    <w:rsid w:val="00B10CEA"/>
    <w:rsid w:val="00B10E3C"/>
    <w:rsid w:val="00B10EB1"/>
    <w:rsid w:val="00B112B6"/>
    <w:rsid w:val="00B12484"/>
    <w:rsid w:val="00B138CE"/>
    <w:rsid w:val="00B141AF"/>
    <w:rsid w:val="00B14389"/>
    <w:rsid w:val="00B17295"/>
    <w:rsid w:val="00B175C9"/>
    <w:rsid w:val="00B1789E"/>
    <w:rsid w:val="00B20220"/>
    <w:rsid w:val="00B20D86"/>
    <w:rsid w:val="00B214C7"/>
    <w:rsid w:val="00B21C01"/>
    <w:rsid w:val="00B2208E"/>
    <w:rsid w:val="00B2224A"/>
    <w:rsid w:val="00B236DB"/>
    <w:rsid w:val="00B2388F"/>
    <w:rsid w:val="00B246E8"/>
    <w:rsid w:val="00B24C21"/>
    <w:rsid w:val="00B25125"/>
    <w:rsid w:val="00B25271"/>
    <w:rsid w:val="00B266CA"/>
    <w:rsid w:val="00B2703E"/>
    <w:rsid w:val="00B3047F"/>
    <w:rsid w:val="00B307C7"/>
    <w:rsid w:val="00B31D33"/>
    <w:rsid w:val="00B344CB"/>
    <w:rsid w:val="00B35FB7"/>
    <w:rsid w:val="00B3602C"/>
    <w:rsid w:val="00B36E40"/>
    <w:rsid w:val="00B37287"/>
    <w:rsid w:val="00B37603"/>
    <w:rsid w:val="00B3767F"/>
    <w:rsid w:val="00B37790"/>
    <w:rsid w:val="00B40388"/>
    <w:rsid w:val="00B413E1"/>
    <w:rsid w:val="00B4480A"/>
    <w:rsid w:val="00B44A40"/>
    <w:rsid w:val="00B44B02"/>
    <w:rsid w:val="00B44F9B"/>
    <w:rsid w:val="00B45EE7"/>
    <w:rsid w:val="00B45F57"/>
    <w:rsid w:val="00B46654"/>
    <w:rsid w:val="00B502BD"/>
    <w:rsid w:val="00B51B62"/>
    <w:rsid w:val="00B5226D"/>
    <w:rsid w:val="00B54889"/>
    <w:rsid w:val="00B5522C"/>
    <w:rsid w:val="00B55487"/>
    <w:rsid w:val="00B55F94"/>
    <w:rsid w:val="00B618DC"/>
    <w:rsid w:val="00B620E3"/>
    <w:rsid w:val="00B628D3"/>
    <w:rsid w:val="00B62950"/>
    <w:rsid w:val="00B630AF"/>
    <w:rsid w:val="00B6366F"/>
    <w:rsid w:val="00B71EDF"/>
    <w:rsid w:val="00B73F1F"/>
    <w:rsid w:val="00B740D4"/>
    <w:rsid w:val="00B74711"/>
    <w:rsid w:val="00B75B26"/>
    <w:rsid w:val="00B7623D"/>
    <w:rsid w:val="00B76FC5"/>
    <w:rsid w:val="00B772ED"/>
    <w:rsid w:val="00B7781F"/>
    <w:rsid w:val="00B810C9"/>
    <w:rsid w:val="00B820CD"/>
    <w:rsid w:val="00B83E90"/>
    <w:rsid w:val="00B840EE"/>
    <w:rsid w:val="00B85090"/>
    <w:rsid w:val="00B85379"/>
    <w:rsid w:val="00B85607"/>
    <w:rsid w:val="00B860B6"/>
    <w:rsid w:val="00B877FE"/>
    <w:rsid w:val="00B95004"/>
    <w:rsid w:val="00B95AD7"/>
    <w:rsid w:val="00B95E82"/>
    <w:rsid w:val="00BA0C54"/>
    <w:rsid w:val="00BA2DB9"/>
    <w:rsid w:val="00BA30ED"/>
    <w:rsid w:val="00BA3142"/>
    <w:rsid w:val="00BA577A"/>
    <w:rsid w:val="00BA59EE"/>
    <w:rsid w:val="00BA68A1"/>
    <w:rsid w:val="00BA6A09"/>
    <w:rsid w:val="00BA7275"/>
    <w:rsid w:val="00BA7CA0"/>
    <w:rsid w:val="00BB0047"/>
    <w:rsid w:val="00BB03A8"/>
    <w:rsid w:val="00BB081A"/>
    <w:rsid w:val="00BB0992"/>
    <w:rsid w:val="00BB0DB5"/>
    <w:rsid w:val="00BB0EB7"/>
    <w:rsid w:val="00BB17D7"/>
    <w:rsid w:val="00BB2025"/>
    <w:rsid w:val="00BB254A"/>
    <w:rsid w:val="00BB3118"/>
    <w:rsid w:val="00BB3380"/>
    <w:rsid w:val="00BB4795"/>
    <w:rsid w:val="00BB4B4B"/>
    <w:rsid w:val="00BB4FA8"/>
    <w:rsid w:val="00BB5E91"/>
    <w:rsid w:val="00BB63C4"/>
    <w:rsid w:val="00BB6977"/>
    <w:rsid w:val="00BC04D2"/>
    <w:rsid w:val="00BC0A30"/>
    <w:rsid w:val="00BC1AEA"/>
    <w:rsid w:val="00BC28D1"/>
    <w:rsid w:val="00BC6ADE"/>
    <w:rsid w:val="00BC6B79"/>
    <w:rsid w:val="00BC75E1"/>
    <w:rsid w:val="00BC79CD"/>
    <w:rsid w:val="00BD1136"/>
    <w:rsid w:val="00BD2884"/>
    <w:rsid w:val="00BD3E40"/>
    <w:rsid w:val="00BD554E"/>
    <w:rsid w:val="00BD79A8"/>
    <w:rsid w:val="00BE0198"/>
    <w:rsid w:val="00BE217A"/>
    <w:rsid w:val="00BE2351"/>
    <w:rsid w:val="00BE4A58"/>
    <w:rsid w:val="00BE5CE9"/>
    <w:rsid w:val="00BE5DC7"/>
    <w:rsid w:val="00BE692F"/>
    <w:rsid w:val="00BE7148"/>
    <w:rsid w:val="00BF0682"/>
    <w:rsid w:val="00BF3435"/>
    <w:rsid w:val="00BF44B4"/>
    <w:rsid w:val="00BF5489"/>
    <w:rsid w:val="00BF561A"/>
    <w:rsid w:val="00C00CCD"/>
    <w:rsid w:val="00C01DC8"/>
    <w:rsid w:val="00C023C1"/>
    <w:rsid w:val="00C027B8"/>
    <w:rsid w:val="00C03D84"/>
    <w:rsid w:val="00C0495B"/>
    <w:rsid w:val="00C0706D"/>
    <w:rsid w:val="00C07808"/>
    <w:rsid w:val="00C07E6C"/>
    <w:rsid w:val="00C136CA"/>
    <w:rsid w:val="00C13C15"/>
    <w:rsid w:val="00C14C6D"/>
    <w:rsid w:val="00C1591A"/>
    <w:rsid w:val="00C16143"/>
    <w:rsid w:val="00C168F1"/>
    <w:rsid w:val="00C16C63"/>
    <w:rsid w:val="00C175D2"/>
    <w:rsid w:val="00C17B71"/>
    <w:rsid w:val="00C22B37"/>
    <w:rsid w:val="00C25074"/>
    <w:rsid w:val="00C253B5"/>
    <w:rsid w:val="00C257BE"/>
    <w:rsid w:val="00C263A2"/>
    <w:rsid w:val="00C269B3"/>
    <w:rsid w:val="00C303D2"/>
    <w:rsid w:val="00C3188F"/>
    <w:rsid w:val="00C31FBF"/>
    <w:rsid w:val="00C33EB2"/>
    <w:rsid w:val="00C348F1"/>
    <w:rsid w:val="00C35DAC"/>
    <w:rsid w:val="00C360AD"/>
    <w:rsid w:val="00C36523"/>
    <w:rsid w:val="00C36E71"/>
    <w:rsid w:val="00C37516"/>
    <w:rsid w:val="00C4058D"/>
    <w:rsid w:val="00C41350"/>
    <w:rsid w:val="00C438A6"/>
    <w:rsid w:val="00C44343"/>
    <w:rsid w:val="00C4506F"/>
    <w:rsid w:val="00C45A95"/>
    <w:rsid w:val="00C474CD"/>
    <w:rsid w:val="00C474F5"/>
    <w:rsid w:val="00C51048"/>
    <w:rsid w:val="00C51DA4"/>
    <w:rsid w:val="00C51F75"/>
    <w:rsid w:val="00C53815"/>
    <w:rsid w:val="00C53835"/>
    <w:rsid w:val="00C55DE7"/>
    <w:rsid w:val="00C56C95"/>
    <w:rsid w:val="00C57001"/>
    <w:rsid w:val="00C57BD0"/>
    <w:rsid w:val="00C6041A"/>
    <w:rsid w:val="00C60D73"/>
    <w:rsid w:val="00C615CD"/>
    <w:rsid w:val="00C619D4"/>
    <w:rsid w:val="00C64886"/>
    <w:rsid w:val="00C64EAF"/>
    <w:rsid w:val="00C67C0A"/>
    <w:rsid w:val="00C67E01"/>
    <w:rsid w:val="00C70942"/>
    <w:rsid w:val="00C714FE"/>
    <w:rsid w:val="00C73833"/>
    <w:rsid w:val="00C73A21"/>
    <w:rsid w:val="00C73EA8"/>
    <w:rsid w:val="00C73F02"/>
    <w:rsid w:val="00C74C89"/>
    <w:rsid w:val="00C757AD"/>
    <w:rsid w:val="00C76B3D"/>
    <w:rsid w:val="00C76D76"/>
    <w:rsid w:val="00C822E3"/>
    <w:rsid w:val="00C829E9"/>
    <w:rsid w:val="00C82B6C"/>
    <w:rsid w:val="00C8423A"/>
    <w:rsid w:val="00C84851"/>
    <w:rsid w:val="00C851BF"/>
    <w:rsid w:val="00C86407"/>
    <w:rsid w:val="00C92F22"/>
    <w:rsid w:val="00C933AA"/>
    <w:rsid w:val="00C946E1"/>
    <w:rsid w:val="00C953C1"/>
    <w:rsid w:val="00C9568A"/>
    <w:rsid w:val="00C962E7"/>
    <w:rsid w:val="00C97A15"/>
    <w:rsid w:val="00CA245B"/>
    <w:rsid w:val="00CA5D88"/>
    <w:rsid w:val="00CA72EA"/>
    <w:rsid w:val="00CA7F16"/>
    <w:rsid w:val="00CB042D"/>
    <w:rsid w:val="00CB1058"/>
    <w:rsid w:val="00CB1380"/>
    <w:rsid w:val="00CB1AA1"/>
    <w:rsid w:val="00CB3627"/>
    <w:rsid w:val="00CB4882"/>
    <w:rsid w:val="00CB6A6F"/>
    <w:rsid w:val="00CB6E64"/>
    <w:rsid w:val="00CB718C"/>
    <w:rsid w:val="00CB74B3"/>
    <w:rsid w:val="00CB7FA1"/>
    <w:rsid w:val="00CC01E6"/>
    <w:rsid w:val="00CC0410"/>
    <w:rsid w:val="00CC0E53"/>
    <w:rsid w:val="00CC1A52"/>
    <w:rsid w:val="00CC511C"/>
    <w:rsid w:val="00CD09CE"/>
    <w:rsid w:val="00CD1460"/>
    <w:rsid w:val="00CD2105"/>
    <w:rsid w:val="00CD27D7"/>
    <w:rsid w:val="00CD5FF6"/>
    <w:rsid w:val="00CD6613"/>
    <w:rsid w:val="00CE0585"/>
    <w:rsid w:val="00CE13EC"/>
    <w:rsid w:val="00CE1931"/>
    <w:rsid w:val="00CE1CB4"/>
    <w:rsid w:val="00CE21E1"/>
    <w:rsid w:val="00CE6118"/>
    <w:rsid w:val="00CF0471"/>
    <w:rsid w:val="00CF11D9"/>
    <w:rsid w:val="00CF2CC0"/>
    <w:rsid w:val="00CF3780"/>
    <w:rsid w:val="00CF46FA"/>
    <w:rsid w:val="00CF4DEA"/>
    <w:rsid w:val="00CF4F99"/>
    <w:rsid w:val="00CF4FAA"/>
    <w:rsid w:val="00CF524B"/>
    <w:rsid w:val="00CF53A9"/>
    <w:rsid w:val="00CF6D42"/>
    <w:rsid w:val="00CF72DE"/>
    <w:rsid w:val="00D021A0"/>
    <w:rsid w:val="00D02BF7"/>
    <w:rsid w:val="00D033EC"/>
    <w:rsid w:val="00D05020"/>
    <w:rsid w:val="00D05475"/>
    <w:rsid w:val="00D064AA"/>
    <w:rsid w:val="00D07E1C"/>
    <w:rsid w:val="00D07FDB"/>
    <w:rsid w:val="00D1017E"/>
    <w:rsid w:val="00D12BAF"/>
    <w:rsid w:val="00D14E63"/>
    <w:rsid w:val="00D14FDD"/>
    <w:rsid w:val="00D15CC4"/>
    <w:rsid w:val="00D15F5B"/>
    <w:rsid w:val="00D16D69"/>
    <w:rsid w:val="00D17758"/>
    <w:rsid w:val="00D17BA4"/>
    <w:rsid w:val="00D2009D"/>
    <w:rsid w:val="00D22A32"/>
    <w:rsid w:val="00D22A8A"/>
    <w:rsid w:val="00D25831"/>
    <w:rsid w:val="00D25C02"/>
    <w:rsid w:val="00D26DAF"/>
    <w:rsid w:val="00D306EA"/>
    <w:rsid w:val="00D30C03"/>
    <w:rsid w:val="00D31397"/>
    <w:rsid w:val="00D35DAD"/>
    <w:rsid w:val="00D36F79"/>
    <w:rsid w:val="00D379EA"/>
    <w:rsid w:val="00D37BDA"/>
    <w:rsid w:val="00D40593"/>
    <w:rsid w:val="00D408DC"/>
    <w:rsid w:val="00D43E33"/>
    <w:rsid w:val="00D47596"/>
    <w:rsid w:val="00D47875"/>
    <w:rsid w:val="00D50A5E"/>
    <w:rsid w:val="00D50C1A"/>
    <w:rsid w:val="00D512A9"/>
    <w:rsid w:val="00D55470"/>
    <w:rsid w:val="00D563CA"/>
    <w:rsid w:val="00D5718C"/>
    <w:rsid w:val="00D60BC3"/>
    <w:rsid w:val="00D60E49"/>
    <w:rsid w:val="00D61B4D"/>
    <w:rsid w:val="00D61EF2"/>
    <w:rsid w:val="00D62E24"/>
    <w:rsid w:val="00D6397A"/>
    <w:rsid w:val="00D65D43"/>
    <w:rsid w:val="00D66581"/>
    <w:rsid w:val="00D667D5"/>
    <w:rsid w:val="00D66F43"/>
    <w:rsid w:val="00D679F0"/>
    <w:rsid w:val="00D67D2A"/>
    <w:rsid w:val="00D715B2"/>
    <w:rsid w:val="00D71A43"/>
    <w:rsid w:val="00D71C54"/>
    <w:rsid w:val="00D728C7"/>
    <w:rsid w:val="00D74B17"/>
    <w:rsid w:val="00D75756"/>
    <w:rsid w:val="00D77FE2"/>
    <w:rsid w:val="00D80E73"/>
    <w:rsid w:val="00D81764"/>
    <w:rsid w:val="00D81A14"/>
    <w:rsid w:val="00D820FA"/>
    <w:rsid w:val="00D86E50"/>
    <w:rsid w:val="00D87081"/>
    <w:rsid w:val="00D908BB"/>
    <w:rsid w:val="00D90D3C"/>
    <w:rsid w:val="00D90D6F"/>
    <w:rsid w:val="00D92F22"/>
    <w:rsid w:val="00D95305"/>
    <w:rsid w:val="00D95AB7"/>
    <w:rsid w:val="00D95AC9"/>
    <w:rsid w:val="00D973FC"/>
    <w:rsid w:val="00DA00D3"/>
    <w:rsid w:val="00DA107F"/>
    <w:rsid w:val="00DA1124"/>
    <w:rsid w:val="00DA1C14"/>
    <w:rsid w:val="00DA1C33"/>
    <w:rsid w:val="00DA208B"/>
    <w:rsid w:val="00DA2374"/>
    <w:rsid w:val="00DA31C2"/>
    <w:rsid w:val="00DA33DB"/>
    <w:rsid w:val="00DA3985"/>
    <w:rsid w:val="00DA5FD9"/>
    <w:rsid w:val="00DA7B4A"/>
    <w:rsid w:val="00DB00C4"/>
    <w:rsid w:val="00DB0A53"/>
    <w:rsid w:val="00DB0C23"/>
    <w:rsid w:val="00DB1519"/>
    <w:rsid w:val="00DB33E4"/>
    <w:rsid w:val="00DC0D89"/>
    <w:rsid w:val="00DC15CC"/>
    <w:rsid w:val="00DC2818"/>
    <w:rsid w:val="00DC29E7"/>
    <w:rsid w:val="00DC2C48"/>
    <w:rsid w:val="00DC3BCE"/>
    <w:rsid w:val="00DC5726"/>
    <w:rsid w:val="00DC5EA7"/>
    <w:rsid w:val="00DC61A0"/>
    <w:rsid w:val="00DC72BA"/>
    <w:rsid w:val="00DC733B"/>
    <w:rsid w:val="00DC754F"/>
    <w:rsid w:val="00DC7890"/>
    <w:rsid w:val="00DC7EDB"/>
    <w:rsid w:val="00DD060A"/>
    <w:rsid w:val="00DD086F"/>
    <w:rsid w:val="00DD0F36"/>
    <w:rsid w:val="00DD1574"/>
    <w:rsid w:val="00DD1EE8"/>
    <w:rsid w:val="00DD2449"/>
    <w:rsid w:val="00DD358E"/>
    <w:rsid w:val="00DD5554"/>
    <w:rsid w:val="00DD5D44"/>
    <w:rsid w:val="00DD7549"/>
    <w:rsid w:val="00DD7AA3"/>
    <w:rsid w:val="00DD7ACE"/>
    <w:rsid w:val="00DE2463"/>
    <w:rsid w:val="00DE39E1"/>
    <w:rsid w:val="00DE405A"/>
    <w:rsid w:val="00DE525D"/>
    <w:rsid w:val="00DF154C"/>
    <w:rsid w:val="00DF1D31"/>
    <w:rsid w:val="00DF202F"/>
    <w:rsid w:val="00DF2319"/>
    <w:rsid w:val="00DF2916"/>
    <w:rsid w:val="00DF4900"/>
    <w:rsid w:val="00DF644A"/>
    <w:rsid w:val="00DF7FEC"/>
    <w:rsid w:val="00E02128"/>
    <w:rsid w:val="00E02555"/>
    <w:rsid w:val="00E05A21"/>
    <w:rsid w:val="00E05D50"/>
    <w:rsid w:val="00E05F62"/>
    <w:rsid w:val="00E06B1F"/>
    <w:rsid w:val="00E10AD5"/>
    <w:rsid w:val="00E11267"/>
    <w:rsid w:val="00E11AD9"/>
    <w:rsid w:val="00E12F59"/>
    <w:rsid w:val="00E130C7"/>
    <w:rsid w:val="00E14065"/>
    <w:rsid w:val="00E15B20"/>
    <w:rsid w:val="00E1635F"/>
    <w:rsid w:val="00E1799A"/>
    <w:rsid w:val="00E17E2A"/>
    <w:rsid w:val="00E21D92"/>
    <w:rsid w:val="00E249F1"/>
    <w:rsid w:val="00E2652A"/>
    <w:rsid w:val="00E30B48"/>
    <w:rsid w:val="00E30C3C"/>
    <w:rsid w:val="00E317E6"/>
    <w:rsid w:val="00E33FF2"/>
    <w:rsid w:val="00E34587"/>
    <w:rsid w:val="00E35503"/>
    <w:rsid w:val="00E37128"/>
    <w:rsid w:val="00E41170"/>
    <w:rsid w:val="00E41DFA"/>
    <w:rsid w:val="00E41ED7"/>
    <w:rsid w:val="00E424B2"/>
    <w:rsid w:val="00E42D2D"/>
    <w:rsid w:val="00E51EF1"/>
    <w:rsid w:val="00E52ABB"/>
    <w:rsid w:val="00E54C64"/>
    <w:rsid w:val="00E54E76"/>
    <w:rsid w:val="00E55CD8"/>
    <w:rsid w:val="00E57D6A"/>
    <w:rsid w:val="00E603BA"/>
    <w:rsid w:val="00E61153"/>
    <w:rsid w:val="00E622BF"/>
    <w:rsid w:val="00E643E0"/>
    <w:rsid w:val="00E708BB"/>
    <w:rsid w:val="00E718F1"/>
    <w:rsid w:val="00E724F8"/>
    <w:rsid w:val="00E74217"/>
    <w:rsid w:val="00E746F0"/>
    <w:rsid w:val="00E761A2"/>
    <w:rsid w:val="00E77FFA"/>
    <w:rsid w:val="00E80BBF"/>
    <w:rsid w:val="00E820E7"/>
    <w:rsid w:val="00E8236B"/>
    <w:rsid w:val="00E82B90"/>
    <w:rsid w:val="00E84FC3"/>
    <w:rsid w:val="00E858A7"/>
    <w:rsid w:val="00E86545"/>
    <w:rsid w:val="00E869D4"/>
    <w:rsid w:val="00E87521"/>
    <w:rsid w:val="00E9285A"/>
    <w:rsid w:val="00E953B7"/>
    <w:rsid w:val="00E956B6"/>
    <w:rsid w:val="00E96EEE"/>
    <w:rsid w:val="00E97001"/>
    <w:rsid w:val="00E97AB2"/>
    <w:rsid w:val="00E97D29"/>
    <w:rsid w:val="00EA30B8"/>
    <w:rsid w:val="00EA3696"/>
    <w:rsid w:val="00EA36C0"/>
    <w:rsid w:val="00EA3A71"/>
    <w:rsid w:val="00EA5458"/>
    <w:rsid w:val="00EA550A"/>
    <w:rsid w:val="00EA5F20"/>
    <w:rsid w:val="00EA66F0"/>
    <w:rsid w:val="00EA6DCF"/>
    <w:rsid w:val="00EB074E"/>
    <w:rsid w:val="00EB0ECC"/>
    <w:rsid w:val="00EB1C0F"/>
    <w:rsid w:val="00EB33C3"/>
    <w:rsid w:val="00EB40A6"/>
    <w:rsid w:val="00EB463B"/>
    <w:rsid w:val="00EB53C3"/>
    <w:rsid w:val="00EB7AB9"/>
    <w:rsid w:val="00EC41EB"/>
    <w:rsid w:val="00EC54C5"/>
    <w:rsid w:val="00EC5597"/>
    <w:rsid w:val="00EC5CCB"/>
    <w:rsid w:val="00EC662D"/>
    <w:rsid w:val="00EC6967"/>
    <w:rsid w:val="00EC6A67"/>
    <w:rsid w:val="00EC7691"/>
    <w:rsid w:val="00ED08FE"/>
    <w:rsid w:val="00ED1458"/>
    <w:rsid w:val="00ED30C2"/>
    <w:rsid w:val="00ED492B"/>
    <w:rsid w:val="00ED5F52"/>
    <w:rsid w:val="00ED699A"/>
    <w:rsid w:val="00EE14CC"/>
    <w:rsid w:val="00EE24E1"/>
    <w:rsid w:val="00EE32D4"/>
    <w:rsid w:val="00EE3834"/>
    <w:rsid w:val="00EE4888"/>
    <w:rsid w:val="00EE4ED7"/>
    <w:rsid w:val="00EE5023"/>
    <w:rsid w:val="00EE6274"/>
    <w:rsid w:val="00EE67D9"/>
    <w:rsid w:val="00EE6B98"/>
    <w:rsid w:val="00EF020B"/>
    <w:rsid w:val="00EF2B1A"/>
    <w:rsid w:val="00EF40BE"/>
    <w:rsid w:val="00EF41C8"/>
    <w:rsid w:val="00EF4E37"/>
    <w:rsid w:val="00F00433"/>
    <w:rsid w:val="00F00665"/>
    <w:rsid w:val="00F01823"/>
    <w:rsid w:val="00F01B42"/>
    <w:rsid w:val="00F01DAB"/>
    <w:rsid w:val="00F022D0"/>
    <w:rsid w:val="00F028F9"/>
    <w:rsid w:val="00F03A18"/>
    <w:rsid w:val="00F06537"/>
    <w:rsid w:val="00F069BD"/>
    <w:rsid w:val="00F07018"/>
    <w:rsid w:val="00F07529"/>
    <w:rsid w:val="00F07832"/>
    <w:rsid w:val="00F07D2D"/>
    <w:rsid w:val="00F07ED1"/>
    <w:rsid w:val="00F1132D"/>
    <w:rsid w:val="00F11AC9"/>
    <w:rsid w:val="00F11B46"/>
    <w:rsid w:val="00F124B0"/>
    <w:rsid w:val="00F12C45"/>
    <w:rsid w:val="00F13A0D"/>
    <w:rsid w:val="00F13E8C"/>
    <w:rsid w:val="00F148C2"/>
    <w:rsid w:val="00F14EB8"/>
    <w:rsid w:val="00F150E3"/>
    <w:rsid w:val="00F1639F"/>
    <w:rsid w:val="00F166DC"/>
    <w:rsid w:val="00F169C0"/>
    <w:rsid w:val="00F16F4C"/>
    <w:rsid w:val="00F212CF"/>
    <w:rsid w:val="00F224C2"/>
    <w:rsid w:val="00F25310"/>
    <w:rsid w:val="00F25D64"/>
    <w:rsid w:val="00F262DF"/>
    <w:rsid w:val="00F263D3"/>
    <w:rsid w:val="00F30908"/>
    <w:rsid w:val="00F31518"/>
    <w:rsid w:val="00F31AB1"/>
    <w:rsid w:val="00F32540"/>
    <w:rsid w:val="00F33C6B"/>
    <w:rsid w:val="00F342AC"/>
    <w:rsid w:val="00F3512E"/>
    <w:rsid w:val="00F37707"/>
    <w:rsid w:val="00F37BC9"/>
    <w:rsid w:val="00F40FF2"/>
    <w:rsid w:val="00F416B2"/>
    <w:rsid w:val="00F42254"/>
    <w:rsid w:val="00F4467C"/>
    <w:rsid w:val="00F45679"/>
    <w:rsid w:val="00F45AFB"/>
    <w:rsid w:val="00F460B3"/>
    <w:rsid w:val="00F47398"/>
    <w:rsid w:val="00F47399"/>
    <w:rsid w:val="00F47996"/>
    <w:rsid w:val="00F52259"/>
    <w:rsid w:val="00F527A1"/>
    <w:rsid w:val="00F52D2A"/>
    <w:rsid w:val="00F54CCB"/>
    <w:rsid w:val="00F55B40"/>
    <w:rsid w:val="00F56962"/>
    <w:rsid w:val="00F61573"/>
    <w:rsid w:val="00F6165E"/>
    <w:rsid w:val="00F617D3"/>
    <w:rsid w:val="00F61CC1"/>
    <w:rsid w:val="00F61E1D"/>
    <w:rsid w:val="00F62EF5"/>
    <w:rsid w:val="00F640E8"/>
    <w:rsid w:val="00F643C4"/>
    <w:rsid w:val="00F710E1"/>
    <w:rsid w:val="00F7211F"/>
    <w:rsid w:val="00F7421B"/>
    <w:rsid w:val="00F76B85"/>
    <w:rsid w:val="00F76D21"/>
    <w:rsid w:val="00F779E0"/>
    <w:rsid w:val="00F813A0"/>
    <w:rsid w:val="00F81A29"/>
    <w:rsid w:val="00F81AEE"/>
    <w:rsid w:val="00F82736"/>
    <w:rsid w:val="00F82EBB"/>
    <w:rsid w:val="00F84719"/>
    <w:rsid w:val="00F849FF"/>
    <w:rsid w:val="00F8542C"/>
    <w:rsid w:val="00F85669"/>
    <w:rsid w:val="00F86311"/>
    <w:rsid w:val="00F865A6"/>
    <w:rsid w:val="00F87810"/>
    <w:rsid w:val="00F90A7D"/>
    <w:rsid w:val="00F910D2"/>
    <w:rsid w:val="00F92351"/>
    <w:rsid w:val="00FA098F"/>
    <w:rsid w:val="00FA1012"/>
    <w:rsid w:val="00FA1325"/>
    <w:rsid w:val="00FA149F"/>
    <w:rsid w:val="00FA29BE"/>
    <w:rsid w:val="00FA66AA"/>
    <w:rsid w:val="00FA6848"/>
    <w:rsid w:val="00FA7346"/>
    <w:rsid w:val="00FA7F85"/>
    <w:rsid w:val="00FB2999"/>
    <w:rsid w:val="00FB2C6D"/>
    <w:rsid w:val="00FB4648"/>
    <w:rsid w:val="00FB6065"/>
    <w:rsid w:val="00FB611D"/>
    <w:rsid w:val="00FB632F"/>
    <w:rsid w:val="00FB7D45"/>
    <w:rsid w:val="00FC0CD6"/>
    <w:rsid w:val="00FC0D53"/>
    <w:rsid w:val="00FC143A"/>
    <w:rsid w:val="00FC1604"/>
    <w:rsid w:val="00FC18A2"/>
    <w:rsid w:val="00FC1FC4"/>
    <w:rsid w:val="00FC2504"/>
    <w:rsid w:val="00FC4C65"/>
    <w:rsid w:val="00FC5DA4"/>
    <w:rsid w:val="00FC6110"/>
    <w:rsid w:val="00FC7A38"/>
    <w:rsid w:val="00FD0180"/>
    <w:rsid w:val="00FD0D2A"/>
    <w:rsid w:val="00FD3B20"/>
    <w:rsid w:val="00FD3F43"/>
    <w:rsid w:val="00FD497A"/>
    <w:rsid w:val="00FD5482"/>
    <w:rsid w:val="00FD562D"/>
    <w:rsid w:val="00FD59FA"/>
    <w:rsid w:val="00FD5FF3"/>
    <w:rsid w:val="00FD68F8"/>
    <w:rsid w:val="00FD762C"/>
    <w:rsid w:val="00FD7E29"/>
    <w:rsid w:val="00FE33D2"/>
    <w:rsid w:val="00FE41E8"/>
    <w:rsid w:val="00FE6C20"/>
    <w:rsid w:val="00FE7022"/>
    <w:rsid w:val="00FE7D85"/>
    <w:rsid w:val="00FE7DEC"/>
    <w:rsid w:val="00FF0603"/>
    <w:rsid w:val="00FF1A2A"/>
    <w:rsid w:val="00FF1C1C"/>
    <w:rsid w:val="00FF71C5"/>
    <w:rsid w:val="00FF7D7F"/>
    <w:rsid w:val="039F0223"/>
    <w:rsid w:val="05943610"/>
    <w:rsid w:val="0619D8F1"/>
    <w:rsid w:val="087E2D5E"/>
    <w:rsid w:val="113849CD"/>
    <w:rsid w:val="12F3B709"/>
    <w:rsid w:val="1B012E0C"/>
    <w:rsid w:val="1CAA52F6"/>
    <w:rsid w:val="1D971A7C"/>
    <w:rsid w:val="25666478"/>
    <w:rsid w:val="2B05D73D"/>
    <w:rsid w:val="320EF9B3"/>
    <w:rsid w:val="3BEA8F58"/>
    <w:rsid w:val="4D81EBEC"/>
    <w:rsid w:val="510DBEF6"/>
    <w:rsid w:val="51BD44B4"/>
    <w:rsid w:val="52A37532"/>
    <w:rsid w:val="544C0DBF"/>
    <w:rsid w:val="54F4E576"/>
    <w:rsid w:val="5AB336D2"/>
    <w:rsid w:val="5E887FFC"/>
    <w:rsid w:val="60A5DBCD"/>
    <w:rsid w:val="691D4498"/>
    <w:rsid w:val="6C54E55A"/>
    <w:rsid w:val="73FF80B3"/>
    <w:rsid w:val="76ABC2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9FE81"/>
  <w15:docId w15:val="{1C7D17E6-5480-4462-9391-B20548711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C1C"/>
    <w:pPr>
      <w:spacing w:after="200"/>
    </w:pPr>
    <w:rPr>
      <w:spacing w:val="3"/>
      <w:sz w:val="22"/>
    </w:rPr>
  </w:style>
  <w:style w:type="paragraph" w:styleId="Heading1">
    <w:name w:val="heading 1"/>
    <w:basedOn w:val="Normal"/>
    <w:next w:val="Normal"/>
    <w:link w:val="Heading1Char"/>
    <w:uiPriority w:val="9"/>
    <w:qFormat/>
    <w:rsid w:val="00A951C8"/>
    <w:pPr>
      <w:spacing w:before="360" w:after="240" w:line="240" w:lineRule="auto"/>
      <w:contextualSpacing/>
      <w:outlineLvl w:val="0"/>
    </w:pPr>
    <w:rPr>
      <w:rFonts w:asciiTheme="majorHAnsi" w:eastAsiaTheme="majorEastAsia" w:hAnsiTheme="majorHAnsi" w:cstheme="majorBidi"/>
      <w:b/>
      <w:bCs/>
      <w:color w:val="15202A" w:themeColor="text1" w:themeShade="80"/>
      <w:sz w:val="72"/>
      <w:szCs w:val="28"/>
    </w:rPr>
  </w:style>
  <w:style w:type="paragraph" w:styleId="Heading2">
    <w:name w:val="heading 2"/>
    <w:basedOn w:val="Normal"/>
    <w:next w:val="Normal"/>
    <w:link w:val="Heading2Char"/>
    <w:uiPriority w:val="2"/>
    <w:qFormat/>
    <w:rsid w:val="006D70AB"/>
    <w:pPr>
      <w:pBdr>
        <w:top w:val="single" w:sz="48" w:space="1" w:color="2A4055"/>
      </w:pBdr>
      <w:spacing w:before="240" w:after="360" w:line="240" w:lineRule="auto"/>
      <w:outlineLvl w:val="1"/>
    </w:pPr>
    <w:rPr>
      <w:rFonts w:asciiTheme="majorHAnsi" w:eastAsiaTheme="majorEastAsia" w:hAnsiTheme="majorHAnsi" w:cstheme="majorBidi"/>
      <w:b/>
      <w:bCs/>
      <w:color w:val="2A4055"/>
      <w:sz w:val="40"/>
      <w:szCs w:val="26"/>
    </w:rPr>
  </w:style>
  <w:style w:type="paragraph" w:styleId="Heading3">
    <w:name w:val="heading 3"/>
    <w:basedOn w:val="Normal"/>
    <w:next w:val="Normal"/>
    <w:link w:val="Heading3Char"/>
    <w:uiPriority w:val="2"/>
    <w:qFormat/>
    <w:rsid w:val="00465AD7"/>
    <w:pPr>
      <w:spacing w:before="200" w:after="120" w:line="271" w:lineRule="auto"/>
      <w:outlineLvl w:val="2"/>
    </w:pPr>
    <w:rPr>
      <w:rFonts w:asciiTheme="majorHAnsi" w:eastAsiaTheme="majorEastAsia" w:hAnsiTheme="majorHAnsi" w:cstheme="majorBidi"/>
      <w:b/>
      <w:bCs/>
      <w:color w:val="2A4055"/>
      <w:sz w:val="28"/>
    </w:rPr>
  </w:style>
  <w:style w:type="paragraph" w:styleId="Heading4">
    <w:name w:val="heading 4"/>
    <w:basedOn w:val="Normal"/>
    <w:next w:val="Normal"/>
    <w:link w:val="Heading4Char"/>
    <w:uiPriority w:val="2"/>
    <w:qFormat/>
    <w:rsid w:val="005A3301"/>
    <w:pPr>
      <w:spacing w:before="200" w:after="120"/>
      <w:outlineLvl w:val="3"/>
    </w:pPr>
    <w:rPr>
      <w:rFonts w:asciiTheme="majorHAnsi" w:eastAsiaTheme="majorEastAsia" w:hAnsiTheme="majorHAnsi" w:cstheme="majorBidi"/>
      <w:bCs/>
      <w:iCs/>
      <w:sz w:val="26"/>
    </w:rPr>
  </w:style>
  <w:style w:type="paragraph" w:styleId="Heading5">
    <w:name w:val="heading 5"/>
    <w:basedOn w:val="Normal"/>
    <w:next w:val="Normal"/>
    <w:link w:val="Heading5Char"/>
    <w:uiPriority w:val="2"/>
    <w:unhideWhenUsed/>
    <w:qFormat/>
    <w:rsid w:val="00465AD7"/>
    <w:pPr>
      <w:spacing w:before="200" w:after="120"/>
      <w:outlineLvl w:val="4"/>
    </w:pPr>
    <w:rPr>
      <w:rFonts w:asciiTheme="majorHAnsi" w:eastAsiaTheme="majorEastAsia" w:hAnsiTheme="majorHAnsi" w:cstheme="majorBidi"/>
      <w:bCs/>
      <w:color w:val="2A4055"/>
      <w:sz w:val="24"/>
    </w:rPr>
  </w:style>
  <w:style w:type="paragraph" w:styleId="Heading6">
    <w:name w:val="heading 6"/>
    <w:basedOn w:val="Normal"/>
    <w:next w:val="Normal"/>
    <w:link w:val="Heading6Char"/>
    <w:uiPriority w:val="2"/>
    <w:unhideWhenUsed/>
    <w:rsid w:val="00450DE1"/>
    <w:pPr>
      <w:spacing w:after="0" w:line="271" w:lineRule="auto"/>
      <w:outlineLvl w:val="5"/>
    </w:pPr>
    <w:rPr>
      <w:rFonts w:asciiTheme="majorHAnsi" w:eastAsiaTheme="majorEastAsia" w:hAnsiTheme="majorHAnsi" w:cstheme="majorBidi"/>
      <w:b/>
      <w:bCs/>
      <w:iCs/>
      <w:color w:val="2A4055" w:themeColor="text1"/>
      <w:sz w:val="20"/>
    </w:rPr>
  </w:style>
  <w:style w:type="paragraph" w:styleId="Heading7">
    <w:name w:val="heading 7"/>
    <w:basedOn w:val="Normal"/>
    <w:next w:val="Normal"/>
    <w:link w:val="Heading7Char"/>
    <w:uiPriority w:val="10"/>
    <w:unhideWhenUsed/>
    <w:qFormat/>
    <w:rsid w:val="00450DE1"/>
    <w:pPr>
      <w:spacing w:after="0"/>
      <w:outlineLvl w:val="6"/>
    </w:pPr>
    <w:rPr>
      <w:rFonts w:eastAsiaTheme="majorEastAsia" w:cstheme="majorBidi"/>
      <w:iCs/>
    </w:rPr>
  </w:style>
  <w:style w:type="paragraph" w:styleId="Heading8">
    <w:name w:val="heading 8"/>
    <w:basedOn w:val="Normal"/>
    <w:next w:val="Normal"/>
    <w:link w:val="Heading8Char"/>
    <w:uiPriority w:val="10"/>
    <w:unhideWhenUsed/>
    <w:qFormat/>
    <w:rsid w:val="00450DE1"/>
    <w:pPr>
      <w:spacing w:after="0"/>
      <w:outlineLvl w:val="7"/>
    </w:pPr>
    <w:rPr>
      <w:rFonts w:eastAsiaTheme="majorEastAsia" w:cstheme="majorBidi"/>
      <w:szCs w:val="20"/>
    </w:rPr>
  </w:style>
  <w:style w:type="paragraph" w:styleId="Heading9">
    <w:name w:val="heading 9"/>
    <w:basedOn w:val="Normal"/>
    <w:next w:val="Normal"/>
    <w:link w:val="Heading9Char"/>
    <w:uiPriority w:val="10"/>
    <w:unhideWhenUsed/>
    <w:qFormat/>
    <w:rsid w:val="00450DE1"/>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1C8"/>
    <w:rPr>
      <w:rFonts w:asciiTheme="majorHAnsi" w:eastAsiaTheme="majorEastAsia" w:hAnsiTheme="majorHAnsi" w:cstheme="majorBidi"/>
      <w:b/>
      <w:bCs/>
      <w:color w:val="15202A" w:themeColor="text1" w:themeShade="80"/>
      <w:spacing w:val="3"/>
      <w:sz w:val="72"/>
      <w:szCs w:val="28"/>
    </w:rPr>
  </w:style>
  <w:style w:type="character" w:customStyle="1" w:styleId="Heading2Char">
    <w:name w:val="Heading 2 Char"/>
    <w:basedOn w:val="DefaultParagraphFont"/>
    <w:link w:val="Heading2"/>
    <w:uiPriority w:val="2"/>
    <w:rsid w:val="006D70AB"/>
    <w:rPr>
      <w:rFonts w:asciiTheme="majorHAnsi" w:eastAsiaTheme="majorEastAsia" w:hAnsiTheme="majorHAnsi" w:cstheme="majorBidi"/>
      <w:b/>
      <w:bCs/>
      <w:color w:val="2A4055"/>
      <w:spacing w:val="3"/>
      <w:sz w:val="40"/>
      <w:szCs w:val="26"/>
    </w:rPr>
  </w:style>
  <w:style w:type="paragraph" w:styleId="BalloonText">
    <w:name w:val="Balloon Text"/>
    <w:basedOn w:val="Normal"/>
    <w:link w:val="BalloonTextChar"/>
    <w:uiPriority w:val="99"/>
    <w:semiHidden/>
    <w:unhideWhenUsed/>
    <w:rsid w:val="00450DE1"/>
    <w:pPr>
      <w:spacing w:after="0" w:line="240" w:lineRule="auto"/>
    </w:pPr>
    <w:rPr>
      <w:rFonts w:ascii="Tahoma" w:hAnsi="Tahoma" w:cs="Tahoma"/>
      <w:sz w:val="16"/>
      <w:szCs w:val="16"/>
    </w:rPr>
  </w:style>
  <w:style w:type="character" w:customStyle="1" w:styleId="Heading3Char">
    <w:name w:val="Heading 3 Char"/>
    <w:basedOn w:val="DefaultParagraphFont"/>
    <w:link w:val="Heading3"/>
    <w:uiPriority w:val="2"/>
    <w:rsid w:val="00465AD7"/>
    <w:rPr>
      <w:rFonts w:asciiTheme="majorHAnsi" w:eastAsiaTheme="majorEastAsia" w:hAnsiTheme="majorHAnsi" w:cstheme="majorBidi"/>
      <w:b/>
      <w:bCs/>
      <w:color w:val="2A4055"/>
      <w:spacing w:val="3"/>
      <w:sz w:val="28"/>
    </w:rPr>
  </w:style>
  <w:style w:type="character" w:customStyle="1" w:styleId="Heading4Char">
    <w:name w:val="Heading 4 Char"/>
    <w:basedOn w:val="DefaultParagraphFont"/>
    <w:link w:val="Heading4"/>
    <w:uiPriority w:val="2"/>
    <w:rsid w:val="005A3301"/>
    <w:rPr>
      <w:rFonts w:asciiTheme="majorHAnsi" w:eastAsiaTheme="majorEastAsia" w:hAnsiTheme="majorHAnsi" w:cstheme="majorBidi"/>
      <w:bCs/>
      <w:iCs/>
      <w:spacing w:val="3"/>
      <w:sz w:val="26"/>
    </w:rPr>
  </w:style>
  <w:style w:type="character" w:customStyle="1" w:styleId="Heading5Char">
    <w:name w:val="Heading 5 Char"/>
    <w:basedOn w:val="DefaultParagraphFont"/>
    <w:link w:val="Heading5"/>
    <w:uiPriority w:val="2"/>
    <w:rsid w:val="00465AD7"/>
    <w:rPr>
      <w:rFonts w:asciiTheme="majorHAnsi" w:eastAsiaTheme="majorEastAsia" w:hAnsiTheme="majorHAnsi" w:cstheme="majorBidi"/>
      <w:bCs/>
      <w:color w:val="2A4055"/>
      <w:spacing w:val="3"/>
    </w:rPr>
  </w:style>
  <w:style w:type="character" w:customStyle="1" w:styleId="Heading6Char">
    <w:name w:val="Heading 6 Char"/>
    <w:basedOn w:val="DefaultParagraphFont"/>
    <w:link w:val="Heading6"/>
    <w:uiPriority w:val="2"/>
    <w:rsid w:val="00450DE1"/>
    <w:rPr>
      <w:rFonts w:asciiTheme="majorHAnsi" w:eastAsiaTheme="majorEastAsia" w:hAnsiTheme="majorHAnsi" w:cstheme="majorBidi"/>
      <w:b/>
      <w:bCs/>
      <w:iCs/>
      <w:color w:val="2A4055" w:themeColor="text1"/>
      <w:spacing w:val="3"/>
      <w:sz w:val="20"/>
    </w:rPr>
  </w:style>
  <w:style w:type="character" w:customStyle="1" w:styleId="Heading7Char">
    <w:name w:val="Heading 7 Char"/>
    <w:basedOn w:val="DefaultParagraphFont"/>
    <w:link w:val="Heading7"/>
    <w:uiPriority w:val="10"/>
    <w:rsid w:val="00450DE1"/>
    <w:rPr>
      <w:rFonts w:eastAsiaTheme="majorEastAsia" w:cstheme="majorBidi"/>
      <w:iCs/>
      <w:spacing w:val="3"/>
      <w:sz w:val="22"/>
    </w:rPr>
  </w:style>
  <w:style w:type="character" w:customStyle="1" w:styleId="Heading8Char">
    <w:name w:val="Heading 8 Char"/>
    <w:basedOn w:val="DefaultParagraphFont"/>
    <w:link w:val="Heading8"/>
    <w:uiPriority w:val="10"/>
    <w:rsid w:val="00450DE1"/>
    <w:rPr>
      <w:rFonts w:eastAsiaTheme="majorEastAsia" w:cstheme="majorBidi"/>
      <w:spacing w:val="3"/>
      <w:sz w:val="22"/>
      <w:szCs w:val="20"/>
    </w:rPr>
  </w:style>
  <w:style w:type="character" w:customStyle="1" w:styleId="Heading9Char">
    <w:name w:val="Heading 9 Char"/>
    <w:basedOn w:val="DefaultParagraphFont"/>
    <w:link w:val="Heading9"/>
    <w:uiPriority w:val="10"/>
    <w:rsid w:val="00450DE1"/>
    <w:rPr>
      <w:rFonts w:eastAsiaTheme="majorEastAsia" w:cstheme="majorBidi"/>
      <w:iCs/>
      <w:spacing w:val="5"/>
      <w:sz w:val="22"/>
      <w:szCs w:val="20"/>
    </w:rPr>
  </w:style>
  <w:style w:type="character" w:customStyle="1" w:styleId="BalloonTextChar">
    <w:name w:val="Balloon Text Char"/>
    <w:basedOn w:val="DefaultParagraphFont"/>
    <w:link w:val="BalloonText"/>
    <w:uiPriority w:val="99"/>
    <w:semiHidden/>
    <w:rsid w:val="00450DE1"/>
    <w:rPr>
      <w:rFonts w:ascii="Tahoma" w:hAnsi="Tahoma" w:cs="Tahoma"/>
      <w:spacing w:val="3"/>
      <w:sz w:val="16"/>
      <w:szCs w:val="16"/>
    </w:rPr>
  </w:style>
  <w:style w:type="numbering" w:customStyle="1" w:styleId="BulletsList">
    <w:name w:val="Bullets List"/>
    <w:uiPriority w:val="99"/>
    <w:rsid w:val="00450DE1"/>
    <w:pPr>
      <w:numPr>
        <w:numId w:val="1"/>
      </w:numPr>
    </w:pPr>
  </w:style>
  <w:style w:type="paragraph" w:styleId="Caption">
    <w:name w:val="caption"/>
    <w:aliases w:val="Caption Table title"/>
    <w:basedOn w:val="Normal"/>
    <w:next w:val="Normal"/>
    <w:uiPriority w:val="35"/>
    <w:unhideWhenUsed/>
    <w:rsid w:val="00450DE1"/>
    <w:pPr>
      <w:spacing w:before="360" w:after="120" w:line="240" w:lineRule="atLeast"/>
    </w:pPr>
    <w:rPr>
      <w:b/>
      <w:bCs/>
      <w:szCs w:val="18"/>
    </w:rPr>
  </w:style>
  <w:style w:type="paragraph" w:customStyle="1" w:styleId="Horizontalrule">
    <w:name w:val="Horizontal rule"/>
    <w:basedOn w:val="Normal"/>
    <w:uiPriority w:val="4"/>
    <w:semiHidden/>
    <w:qFormat/>
    <w:rsid w:val="00450DE1"/>
    <w:pPr>
      <w:pBdr>
        <w:bottom w:val="single" w:sz="24" w:space="1" w:color="A873E8" w:themeColor="accent1"/>
      </w:pBdr>
      <w:spacing w:after="0" w:line="240" w:lineRule="auto"/>
    </w:pPr>
    <w:rPr>
      <w:noProof/>
    </w:rPr>
  </w:style>
  <w:style w:type="paragraph" w:customStyle="1" w:styleId="Crestwithrule">
    <w:name w:val="Crest with rule"/>
    <w:basedOn w:val="Horizontalrule"/>
    <w:uiPriority w:val="99"/>
    <w:qFormat/>
    <w:rsid w:val="00A47887"/>
    <w:pPr>
      <w:pBdr>
        <w:bottom w:val="single" w:sz="24" w:space="1" w:color="auto"/>
      </w:pBdr>
      <w:ind w:right="-425" w:hanging="284"/>
    </w:pPr>
  </w:style>
  <w:style w:type="table" w:customStyle="1" w:styleId="DSSDatatablestyle">
    <w:name w:val="DSS Data table style"/>
    <w:basedOn w:val="TableNormal"/>
    <w:uiPriority w:val="99"/>
    <w:rsid w:val="00DC733B"/>
    <w:pPr>
      <w:spacing w:after="0" w:line="240" w:lineRule="auto"/>
    </w:pPr>
    <w:rPr>
      <w:color w:val="2A4055" w:themeColor="text1"/>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2A4055" w:themeFill="tex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leNormal"/>
    <w:uiPriority w:val="99"/>
    <w:rsid w:val="00DC733B"/>
    <w:pPr>
      <w:spacing w:after="0" w:line="240" w:lineRule="auto"/>
    </w:pPr>
    <w:rPr>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2A4055" w:themeColor="text1"/>
        <w:sz w:val="22"/>
      </w:rPr>
      <w:tblPr/>
      <w:tcPr>
        <w:tcBorders>
          <w:top w:val="nil"/>
          <w:left w:val="nil"/>
          <w:bottom w:val="single" w:sz="18" w:space="0" w:color="2A4055" w:themeColor="text1"/>
          <w:right w:val="nil"/>
          <w:insideH w:val="nil"/>
          <w:insideV w:val="nil"/>
          <w:tl2br w:val="nil"/>
          <w:tr2bl w:val="nil"/>
        </w:tcBorders>
      </w:tcPr>
    </w:tblStylePr>
    <w:tblStylePr w:type="lastRow">
      <w:pPr>
        <w:jc w:val="left"/>
      </w:pPr>
      <w:rPr>
        <w:rFonts w:asciiTheme="minorHAnsi" w:hAnsiTheme="minorHAnsi"/>
        <w:b w:val="0"/>
        <w:color w:val="2A4055" w:themeColor="text1"/>
        <w:sz w:val="22"/>
      </w:rPr>
      <w:tblPr/>
      <w:tcPr>
        <w:shd w:val="clear" w:color="auto" w:fill="FFFFFF" w:themeFill="background1"/>
      </w:tcPr>
    </w:tblStylePr>
    <w:tblStylePr w:type="band1Horz">
      <w:tblPr/>
      <w:tcPr>
        <w:tcBorders>
          <w:bottom w:val="single" w:sz="4" w:space="0" w:color="2A4055" w:themeColor="text1"/>
        </w:tcBorders>
      </w:tcPr>
    </w:tblStylePr>
    <w:tblStylePr w:type="band2Horz">
      <w:rPr>
        <w14:numSpacing w14:val="tabular"/>
      </w:rPr>
      <w:tblPr/>
      <w:tcPr>
        <w:tcBorders>
          <w:bottom w:val="single" w:sz="4" w:space="0" w:color="auto"/>
        </w:tcBorders>
        <w:shd w:val="clear" w:color="auto" w:fill="FFFFFF" w:themeFill="background1"/>
      </w:tcPr>
    </w:tblStylePr>
  </w:style>
  <w:style w:type="character" w:styleId="Emphasis">
    <w:name w:val="Emphasis"/>
    <w:uiPriority w:val="20"/>
    <w:unhideWhenUsed/>
    <w:qFormat/>
    <w:rsid w:val="00450DE1"/>
    <w:rPr>
      <w:b/>
      <w:bCs/>
      <w:i/>
      <w:iCs/>
      <w:spacing w:val="10"/>
      <w:bdr w:val="none" w:sz="0" w:space="0" w:color="auto"/>
      <w:shd w:val="clear" w:color="auto" w:fill="auto"/>
    </w:rPr>
  </w:style>
  <w:style w:type="paragraph" w:customStyle="1" w:styleId="Focus-green">
    <w:name w:val="Focus - green"/>
    <w:basedOn w:val="Normal"/>
    <w:next w:val="Normal"/>
    <w:uiPriority w:val="7"/>
    <w:qFormat/>
    <w:rsid w:val="009A4991"/>
    <w:pPr>
      <w:pBdr>
        <w:top w:val="single" w:sz="4" w:space="4" w:color="A6CE43" w:themeColor="accent5"/>
        <w:left w:val="single" w:sz="4" w:space="4" w:color="A6CE43" w:themeColor="accent5"/>
        <w:bottom w:val="single" w:sz="4" w:space="4" w:color="A6CE43" w:themeColor="accent5"/>
        <w:right w:val="single" w:sz="4" w:space="6" w:color="A6CE43" w:themeColor="accent5"/>
      </w:pBdr>
      <w:shd w:val="clear" w:color="auto" w:fill="EDF5D9" w:themeFill="accent5" w:themeFillTint="33"/>
    </w:pPr>
  </w:style>
  <w:style w:type="paragraph" w:customStyle="1" w:styleId="Focus-Yellow">
    <w:name w:val="Focus - Yellow"/>
    <w:next w:val="Normal"/>
    <w:uiPriority w:val="7"/>
    <w:qFormat/>
    <w:rsid w:val="009A4991"/>
    <w:pPr>
      <w:pBdr>
        <w:top w:val="single" w:sz="4" w:space="4" w:color="FABE2D" w:themeColor="accent4"/>
        <w:left w:val="single" w:sz="4" w:space="4" w:color="FABE2D" w:themeColor="accent4"/>
        <w:bottom w:val="single" w:sz="4" w:space="4" w:color="FABE2D" w:themeColor="accent4"/>
        <w:right w:val="single" w:sz="4" w:space="6" w:color="FABE2D" w:themeColor="accent4"/>
      </w:pBdr>
      <w:shd w:val="clear" w:color="auto" w:fill="FEF1D5" w:themeFill="accent4" w:themeFillTint="33"/>
    </w:pPr>
    <w:rPr>
      <w:spacing w:val="3"/>
      <w:sz w:val="22"/>
    </w:rPr>
  </w:style>
  <w:style w:type="paragraph" w:customStyle="1" w:styleId="Focus-orange">
    <w:name w:val="Focus - orange"/>
    <w:next w:val="Normal"/>
    <w:uiPriority w:val="7"/>
    <w:qFormat/>
    <w:rsid w:val="00A01E2D"/>
    <w:pPr>
      <w:pBdr>
        <w:top w:val="single" w:sz="4" w:space="4" w:color="F18439" w:themeColor="accent3"/>
        <w:left w:val="single" w:sz="4" w:space="4" w:color="F18439" w:themeColor="accent3"/>
        <w:bottom w:val="single" w:sz="4" w:space="4" w:color="F18439" w:themeColor="accent3"/>
        <w:right w:val="single" w:sz="4" w:space="6" w:color="F18439" w:themeColor="accent3"/>
      </w:pBdr>
      <w:shd w:val="clear" w:color="auto" w:fill="FCE6D7" w:themeFill="accent3" w:themeFillTint="33"/>
    </w:pPr>
    <w:rPr>
      <w:spacing w:val="3"/>
      <w:sz w:val="22"/>
    </w:rPr>
  </w:style>
  <w:style w:type="paragraph" w:customStyle="1" w:styleId="Focus-blue">
    <w:name w:val="Focus - blue"/>
    <w:basedOn w:val="Focus-green"/>
    <w:next w:val="Normal"/>
    <w:uiPriority w:val="7"/>
    <w:qFormat/>
    <w:rsid w:val="00B3602C"/>
    <w:pPr>
      <w:pBdr>
        <w:top w:val="single" w:sz="2" w:space="4" w:color="2A4055" w:themeColor="text1"/>
        <w:left w:val="single" w:sz="2" w:space="4" w:color="2A4055" w:themeColor="text1"/>
        <w:bottom w:val="single" w:sz="2" w:space="4" w:color="2A4055" w:themeColor="text1"/>
        <w:right w:val="single" w:sz="2" w:space="6" w:color="2A4055" w:themeColor="text1"/>
      </w:pBdr>
      <w:shd w:val="clear" w:color="auto" w:fill="auto"/>
    </w:pPr>
  </w:style>
  <w:style w:type="character" w:styleId="FollowedHyperlink">
    <w:name w:val="FollowedHyperlink"/>
    <w:basedOn w:val="DefaultParagraphFont"/>
    <w:uiPriority w:val="99"/>
    <w:semiHidden/>
    <w:unhideWhenUsed/>
    <w:rsid w:val="00450DE1"/>
    <w:rPr>
      <w:color w:val="000000" w:themeColor="followedHyperlink"/>
      <w:u w:val="single"/>
    </w:rPr>
  </w:style>
  <w:style w:type="paragraph" w:styleId="Footer">
    <w:name w:val="footer"/>
    <w:basedOn w:val="Normal"/>
    <w:link w:val="FooterChar"/>
    <w:uiPriority w:val="99"/>
    <w:unhideWhenUsed/>
    <w:rsid w:val="00450D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0DE1"/>
    <w:rPr>
      <w:spacing w:val="3"/>
      <w:sz w:val="22"/>
    </w:rPr>
  </w:style>
  <w:style w:type="table" w:styleId="GridTable4">
    <w:name w:val="Grid Table 4"/>
    <w:basedOn w:val="TableNormal"/>
    <w:uiPriority w:val="49"/>
    <w:rsid w:val="00450DE1"/>
    <w:pPr>
      <w:spacing w:after="0" w:line="240" w:lineRule="auto"/>
    </w:pPr>
    <w:tblPr>
      <w:tblStyleRowBandSize w:val="1"/>
      <w:tblStyleColBandSize w:val="1"/>
      <w:tblBorders>
        <w:top w:val="single" w:sz="4" w:space="0" w:color="658CB3" w:themeColor="text1" w:themeTint="99"/>
        <w:left w:val="single" w:sz="4" w:space="0" w:color="658CB3" w:themeColor="text1" w:themeTint="99"/>
        <w:bottom w:val="single" w:sz="4" w:space="0" w:color="658CB3" w:themeColor="text1" w:themeTint="99"/>
        <w:right w:val="single" w:sz="4" w:space="0" w:color="658CB3" w:themeColor="text1" w:themeTint="99"/>
        <w:insideH w:val="single" w:sz="4" w:space="0" w:color="658CB3" w:themeColor="text1" w:themeTint="99"/>
        <w:insideV w:val="single" w:sz="4" w:space="0" w:color="658CB3" w:themeColor="text1" w:themeTint="99"/>
      </w:tblBorders>
    </w:tblPr>
    <w:tblStylePr w:type="firstRow">
      <w:rPr>
        <w:b/>
        <w:bCs/>
        <w:color w:val="FFFFFF" w:themeColor="background1"/>
      </w:rPr>
      <w:tblPr/>
      <w:tcPr>
        <w:tcBorders>
          <w:top w:val="single" w:sz="4" w:space="0" w:color="2A4055" w:themeColor="text1"/>
          <w:left w:val="single" w:sz="4" w:space="0" w:color="2A4055" w:themeColor="text1"/>
          <w:bottom w:val="single" w:sz="4" w:space="0" w:color="2A4055" w:themeColor="text1"/>
          <w:right w:val="single" w:sz="4" w:space="0" w:color="2A4055" w:themeColor="text1"/>
          <w:insideH w:val="nil"/>
          <w:insideV w:val="nil"/>
        </w:tcBorders>
        <w:shd w:val="clear" w:color="auto" w:fill="2A4055" w:themeFill="text1"/>
      </w:tcPr>
    </w:tblStylePr>
    <w:tblStylePr w:type="lastRow">
      <w:rPr>
        <w:b/>
        <w:bCs/>
      </w:rPr>
      <w:tblPr/>
      <w:tcPr>
        <w:tcBorders>
          <w:top w:val="double" w:sz="4" w:space="0" w:color="2A4055" w:themeColor="text1"/>
        </w:tcBorders>
      </w:tcPr>
    </w:tblStylePr>
    <w:tblStylePr w:type="firstCol">
      <w:rPr>
        <w:b/>
        <w:bCs/>
      </w:rPr>
    </w:tblStylePr>
    <w:tblStylePr w:type="lastCol">
      <w:rPr>
        <w:b/>
        <w:bCs/>
      </w:rPr>
    </w:tblStylePr>
    <w:tblStylePr w:type="band1Vert">
      <w:tblPr/>
      <w:tcPr>
        <w:shd w:val="clear" w:color="auto" w:fill="CBD8E5" w:themeFill="text1" w:themeFillTint="33"/>
      </w:tcPr>
    </w:tblStylePr>
    <w:tblStylePr w:type="band1Horz">
      <w:tblPr/>
      <w:tcPr>
        <w:shd w:val="clear" w:color="auto" w:fill="CBD8E5" w:themeFill="text1" w:themeFillTint="33"/>
      </w:tcPr>
    </w:tblStylePr>
  </w:style>
  <w:style w:type="paragraph" w:styleId="Header">
    <w:name w:val="header"/>
    <w:basedOn w:val="Normal"/>
    <w:link w:val="HeaderChar"/>
    <w:uiPriority w:val="99"/>
    <w:unhideWhenUsed/>
    <w:rsid w:val="00450DE1"/>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HeaderChar">
    <w:name w:val="Header Char"/>
    <w:basedOn w:val="DefaultParagraphFont"/>
    <w:link w:val="Header"/>
    <w:uiPriority w:val="99"/>
    <w:rsid w:val="00450DE1"/>
    <w:rPr>
      <w:rFonts w:ascii="Georgia" w:hAnsi="Georgia"/>
      <w:color w:val="24596E"/>
      <w:spacing w:val="3"/>
      <w:sz w:val="22"/>
    </w:rPr>
  </w:style>
  <w:style w:type="paragraph" w:customStyle="1" w:styleId="Heading1withsubtitle">
    <w:name w:val="Heading 1 (with subtitle)"/>
    <w:basedOn w:val="Heading1"/>
    <w:next w:val="Subtitle"/>
    <w:uiPriority w:val="9"/>
    <w:qFormat/>
    <w:rsid w:val="00450DE1"/>
  </w:style>
  <w:style w:type="paragraph" w:styleId="Subtitle">
    <w:name w:val="Subtitle"/>
    <w:basedOn w:val="Normal"/>
    <w:next w:val="Normal"/>
    <w:link w:val="SubtitleChar"/>
    <w:uiPriority w:val="9"/>
    <w:qFormat/>
    <w:rsid w:val="00EB0ECC"/>
    <w:pPr>
      <w:spacing w:after="480" w:line="240" w:lineRule="auto"/>
    </w:pPr>
    <w:rPr>
      <w:rFonts w:asciiTheme="majorHAnsi" w:eastAsiaTheme="majorEastAsia" w:hAnsiTheme="majorHAnsi" w:cstheme="majorBidi"/>
      <w:b/>
      <w:iCs/>
      <w:color w:val="FFFFFF" w:themeColor="background1"/>
      <w:spacing w:val="6"/>
      <w:sz w:val="32"/>
    </w:rPr>
  </w:style>
  <w:style w:type="character" w:customStyle="1" w:styleId="SubtitleChar">
    <w:name w:val="Subtitle Char"/>
    <w:basedOn w:val="DefaultParagraphFont"/>
    <w:link w:val="Subtitle"/>
    <w:uiPriority w:val="9"/>
    <w:rsid w:val="00EB0ECC"/>
    <w:rPr>
      <w:rFonts w:asciiTheme="majorHAnsi" w:eastAsiaTheme="majorEastAsia" w:hAnsiTheme="majorHAnsi" w:cstheme="majorBidi"/>
      <w:b/>
      <w:iCs/>
      <w:color w:val="FFFFFF" w:themeColor="background1"/>
      <w:spacing w:val="6"/>
      <w:sz w:val="32"/>
    </w:rPr>
  </w:style>
  <w:style w:type="character" w:styleId="Hyperlink">
    <w:name w:val="Hyperlink"/>
    <w:uiPriority w:val="99"/>
    <w:rsid w:val="00450DE1"/>
    <w:rPr>
      <w:rFonts w:asciiTheme="minorHAnsi" w:hAnsiTheme="minorHAnsi"/>
      <w:b w:val="0"/>
      <w:color w:val="0070C0"/>
      <w:u w:val="single"/>
    </w:rPr>
  </w:style>
  <w:style w:type="character" w:styleId="IntenseEmphasis">
    <w:name w:val="Intense Emphasis"/>
    <w:uiPriority w:val="21"/>
    <w:unhideWhenUsed/>
    <w:qFormat/>
    <w:rsid w:val="00450DE1"/>
    <w:rPr>
      <w:b/>
      <w:bCs/>
    </w:rPr>
  </w:style>
  <w:style w:type="paragraph" w:customStyle="1" w:styleId="IntroductionQuote">
    <w:name w:val="Introduction / Quote"/>
    <w:basedOn w:val="Normal"/>
    <w:uiPriority w:val="1"/>
    <w:qFormat/>
    <w:rsid w:val="00465AD7"/>
    <w:pPr>
      <w:spacing w:line="288" w:lineRule="auto"/>
    </w:pPr>
    <w:rPr>
      <w:color w:val="2A4055"/>
      <w:sz w:val="28"/>
    </w:rPr>
  </w:style>
  <w:style w:type="paragraph" w:styleId="ListBullet">
    <w:name w:val="List Bullet"/>
    <w:basedOn w:val="Normal"/>
    <w:uiPriority w:val="99"/>
    <w:unhideWhenUsed/>
    <w:rsid w:val="00450DE1"/>
    <w:pPr>
      <w:tabs>
        <w:tab w:val="left" w:pos="170"/>
      </w:tabs>
      <w:spacing w:before="120" w:after="180" w:line="280" w:lineRule="atLeast"/>
      <w:ind w:left="533" w:hanging="360"/>
    </w:pPr>
    <w:rPr>
      <w:rFonts w:ascii="Arial" w:eastAsia="Times New Roman" w:hAnsi="Arial" w:cs="Times New Roman"/>
      <w:spacing w:val="4"/>
      <w:lang w:eastAsia="en-AU"/>
    </w:rPr>
  </w:style>
  <w:style w:type="paragraph" w:styleId="ListParagraph">
    <w:name w:val="List Paragraph"/>
    <w:basedOn w:val="Bullet1"/>
    <w:uiPriority w:val="34"/>
    <w:qFormat/>
    <w:rsid w:val="00F81A29"/>
    <w:pPr>
      <w:numPr>
        <w:numId w:val="31"/>
      </w:numPr>
      <w:ind w:left="426"/>
    </w:pPr>
    <w:rPr>
      <w:color w:val="auto"/>
    </w:rPr>
  </w:style>
  <w:style w:type="table" w:styleId="ListTable3-Accent6">
    <w:name w:val="List Table 3 Accent 6"/>
    <w:basedOn w:val="TableNormal"/>
    <w:uiPriority w:val="48"/>
    <w:rsid w:val="00450DE1"/>
    <w:pPr>
      <w:spacing w:after="0" w:line="240" w:lineRule="auto"/>
    </w:pPr>
    <w:tblPr>
      <w:tblStyleRowBandSize w:val="1"/>
      <w:tblStyleColBandSize w:val="1"/>
      <w:tblBorders>
        <w:top w:val="single" w:sz="4" w:space="0" w:color="6ACFF4" w:themeColor="accent6"/>
        <w:left w:val="single" w:sz="4" w:space="0" w:color="6ACFF4" w:themeColor="accent6"/>
        <w:bottom w:val="single" w:sz="4" w:space="0" w:color="6ACFF4" w:themeColor="accent6"/>
        <w:right w:val="single" w:sz="4" w:space="0" w:color="6ACFF4" w:themeColor="accent6"/>
      </w:tblBorders>
    </w:tblPr>
    <w:tblStylePr w:type="firstRow">
      <w:rPr>
        <w:b/>
        <w:bCs/>
        <w:color w:val="FFFFFF" w:themeColor="background1"/>
      </w:rPr>
      <w:tblPr/>
      <w:tcPr>
        <w:shd w:val="clear" w:color="auto" w:fill="6ACFF4" w:themeFill="accent6"/>
      </w:tcPr>
    </w:tblStylePr>
    <w:tblStylePr w:type="lastRow">
      <w:rPr>
        <w:b/>
        <w:bCs/>
      </w:rPr>
      <w:tblPr/>
      <w:tcPr>
        <w:tcBorders>
          <w:top w:val="double" w:sz="4" w:space="0" w:color="6ACFF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CFF4" w:themeColor="accent6"/>
          <w:right w:val="single" w:sz="4" w:space="0" w:color="6ACFF4" w:themeColor="accent6"/>
        </w:tcBorders>
      </w:tcPr>
    </w:tblStylePr>
    <w:tblStylePr w:type="band1Horz">
      <w:tblPr/>
      <w:tcPr>
        <w:tcBorders>
          <w:top w:val="single" w:sz="4" w:space="0" w:color="6ACFF4" w:themeColor="accent6"/>
          <w:bottom w:val="single" w:sz="4" w:space="0" w:color="6ACFF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CFF4" w:themeColor="accent6"/>
          <w:left w:val="nil"/>
        </w:tcBorders>
      </w:tcPr>
    </w:tblStylePr>
    <w:tblStylePr w:type="swCell">
      <w:tblPr/>
      <w:tcPr>
        <w:tcBorders>
          <w:top w:val="double" w:sz="4" w:space="0" w:color="6ACFF4" w:themeColor="accent6"/>
          <w:right w:val="nil"/>
        </w:tcBorders>
      </w:tcPr>
    </w:tblStylePr>
  </w:style>
  <w:style w:type="table" w:styleId="ListTable4-Accent5">
    <w:name w:val="List Table 4 Accent 5"/>
    <w:aliases w:val="DSS - Default striped table"/>
    <w:basedOn w:val="TableNormal"/>
    <w:uiPriority w:val="49"/>
    <w:rsid w:val="00450DE1"/>
    <w:pPr>
      <w:spacing w:after="0" w:line="240" w:lineRule="auto"/>
    </w:pPr>
    <w:rPr>
      <w:color w:val="454545" w:themeColor="text2"/>
      <w:sz w:val="22"/>
      <w14:numSpacing w14:val="tabular"/>
    </w:rPr>
    <w:tblPr>
      <w:tblStyleRowBandSize w:val="1"/>
      <w:tblStyleColBandSize w:val="1"/>
      <w:tblBorders>
        <w:bottom w:val="single" w:sz="6" w:space="0" w:color="FABE2D"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A873E8" w:themeFill="accent1"/>
      </w:tcPr>
    </w:tblStylePr>
    <w:tblStylePr w:type="lastRow">
      <w:rPr>
        <w:b/>
        <w:bCs/>
      </w:rPr>
      <w:tblPr/>
      <w:tcPr>
        <w:tcBorders>
          <w:top w:val="single" w:sz="6" w:space="0" w:color="2A4055"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FABE2D" w:themeColor="accent4"/>
          <w:right w:val="nil"/>
          <w:insideH w:val="nil"/>
          <w:insideV w:val="nil"/>
        </w:tcBorders>
        <w:shd w:val="clear" w:color="auto" w:fill="F8F8F8" w:themeFill="background2"/>
      </w:tcPr>
    </w:tblStylePr>
    <w:tblStylePr w:type="band2Horz">
      <w:tblPr/>
      <w:tcPr>
        <w:tcBorders>
          <w:bottom w:val="single" w:sz="6" w:space="0" w:color="FABE2D" w:themeColor="accent4"/>
        </w:tcBorders>
      </w:tcPr>
    </w:tblStylePr>
  </w:style>
  <w:style w:type="paragraph" w:styleId="NoSpacing">
    <w:name w:val="No Spacing"/>
    <w:basedOn w:val="Normal"/>
    <w:link w:val="NoSpacingChar"/>
    <w:uiPriority w:val="1"/>
    <w:qFormat/>
    <w:rsid w:val="00450DE1"/>
    <w:pPr>
      <w:spacing w:after="0" w:line="240" w:lineRule="auto"/>
    </w:pPr>
  </w:style>
  <w:style w:type="character" w:customStyle="1" w:styleId="NoSpacingChar">
    <w:name w:val="No Spacing Char"/>
    <w:basedOn w:val="DefaultParagraphFont"/>
    <w:link w:val="NoSpacing"/>
    <w:uiPriority w:val="1"/>
    <w:rsid w:val="00450DE1"/>
    <w:rPr>
      <w:spacing w:val="3"/>
      <w:sz w:val="22"/>
    </w:rPr>
  </w:style>
  <w:style w:type="paragraph" w:styleId="NormalWeb">
    <w:name w:val="Normal (Web)"/>
    <w:basedOn w:val="Normal"/>
    <w:uiPriority w:val="99"/>
    <w:semiHidden/>
    <w:unhideWhenUsed/>
    <w:rsid w:val="00450DE1"/>
    <w:pPr>
      <w:spacing w:before="100" w:beforeAutospacing="1" w:after="100" w:afterAutospacing="1" w:line="240" w:lineRule="auto"/>
    </w:pPr>
    <w:rPr>
      <w:rFonts w:ascii="Times New Roman" w:hAnsi="Times New Roman"/>
    </w:rPr>
  </w:style>
  <w:style w:type="paragraph" w:customStyle="1" w:styleId="PageNumber1">
    <w:name w:val="Page Number1"/>
    <w:basedOn w:val="Normal"/>
    <w:uiPriority w:val="97"/>
    <w:qFormat/>
    <w:rsid w:val="00A47887"/>
    <w:pPr>
      <w:spacing w:after="120"/>
    </w:pPr>
    <w:rPr>
      <w:noProof/>
      <w:sz w:val="18"/>
      <w:lang w:eastAsia="en-AU"/>
    </w:rPr>
  </w:style>
  <w:style w:type="paragraph" w:customStyle="1" w:styleId="PageNumber10">
    <w:name w:val="Page Number10"/>
    <w:basedOn w:val="Normal"/>
    <w:uiPriority w:val="1"/>
    <w:semiHidden/>
    <w:unhideWhenUsed/>
    <w:qFormat/>
    <w:rsid w:val="00450DE1"/>
    <w:rPr>
      <w:color w:val="A873E8" w:themeColor="accent1"/>
      <w:sz w:val="18"/>
    </w:rPr>
  </w:style>
  <w:style w:type="table" w:styleId="PlainTable1">
    <w:name w:val="Plain Table 1"/>
    <w:basedOn w:val="TableNormal"/>
    <w:uiPriority w:val="41"/>
    <w:rsid w:val="00450DE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Pullouttext">
    <w:name w:val="Blockquote / Pullout text"/>
    <w:basedOn w:val="Normal"/>
    <w:next w:val="Normal"/>
    <w:link w:val="BlockquotePullouttextChar"/>
    <w:uiPriority w:val="5"/>
    <w:qFormat/>
    <w:rsid w:val="00DC733B"/>
    <w:pPr>
      <w:keepLines/>
      <w:pBdr>
        <w:left w:val="single" w:sz="18" w:space="16" w:color="2A4055"/>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PullouttextChar">
    <w:name w:val="Blockquote / Pullout text Char"/>
    <w:basedOn w:val="Heading2Char"/>
    <w:link w:val="BlockquotePullouttext"/>
    <w:uiPriority w:val="5"/>
    <w:rsid w:val="00DC733B"/>
    <w:rPr>
      <w:rFonts w:asciiTheme="majorHAnsi" w:eastAsia="Times New Roman" w:hAnsiTheme="majorHAnsi" w:cs="Arial"/>
      <w:b w:val="0"/>
      <w:bCs/>
      <w:iCs/>
      <w:color w:val="2A4055"/>
      <w:spacing w:val="3"/>
      <w:sz w:val="22"/>
      <w:szCs w:val="28"/>
      <w:shd w:val="clear" w:color="auto" w:fill="FFFFFF" w:themeFill="background1"/>
      <w:lang w:eastAsia="en-AU"/>
    </w:rPr>
  </w:style>
  <w:style w:type="paragraph" w:customStyle="1" w:styleId="Smalltext">
    <w:name w:val="Small text"/>
    <w:basedOn w:val="Normal"/>
    <w:unhideWhenUsed/>
    <w:rsid w:val="00450DE1"/>
    <w:pPr>
      <w:spacing w:after="120" w:line="240" w:lineRule="auto"/>
    </w:pPr>
    <w:rPr>
      <w:sz w:val="12"/>
      <w:szCs w:val="16"/>
      <w:lang w:val="en-US"/>
    </w:rPr>
  </w:style>
  <w:style w:type="character" w:styleId="Strong">
    <w:name w:val="Strong"/>
    <w:aliases w:val="Bold"/>
    <w:uiPriority w:val="22"/>
    <w:qFormat/>
    <w:rsid w:val="00450DE1"/>
    <w:rPr>
      <w:b/>
      <w:bCs/>
    </w:rPr>
  </w:style>
  <w:style w:type="numbering" w:customStyle="1" w:styleId="AusGovStyleManualList">
    <w:name w:val="AusGov Style Manual List"/>
    <w:uiPriority w:val="99"/>
    <w:rsid w:val="00E41ED7"/>
    <w:pPr>
      <w:numPr>
        <w:numId w:val="2"/>
      </w:numPr>
    </w:pPr>
  </w:style>
  <w:style w:type="table" w:styleId="TableGrid">
    <w:name w:val="Table Grid"/>
    <w:basedOn w:val="TableNormal"/>
    <w:uiPriority w:val="39"/>
    <w:rsid w:val="00450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detailed">
    <w:name w:val="Table text - detailed"/>
    <w:basedOn w:val="NoSpacing"/>
    <w:uiPriority w:val="4"/>
    <w:qFormat/>
    <w:rsid w:val="00450DE1"/>
    <w:pPr>
      <w:spacing w:line="312" w:lineRule="auto"/>
    </w:pPr>
    <w:rPr>
      <w:sz w:val="20"/>
    </w:rPr>
  </w:style>
  <w:style w:type="paragraph" w:customStyle="1" w:styleId="TableChartheading">
    <w:name w:val="Table/Chart heading"/>
    <w:basedOn w:val="Caption"/>
    <w:next w:val="Normal"/>
    <w:uiPriority w:val="4"/>
    <w:qFormat/>
    <w:rsid w:val="00450DE1"/>
    <w:pPr>
      <w:spacing w:line="288" w:lineRule="auto"/>
    </w:pPr>
    <w:rPr>
      <w:rFonts w:asciiTheme="majorHAnsi" w:hAnsiTheme="majorHAnsi"/>
    </w:rPr>
  </w:style>
  <w:style w:type="paragraph" w:styleId="Title">
    <w:name w:val="Title"/>
    <w:basedOn w:val="Normal"/>
    <w:next w:val="Normal"/>
    <w:link w:val="TitleChar"/>
    <w:uiPriority w:val="10"/>
    <w:unhideWhenUsed/>
    <w:qFormat/>
    <w:rsid w:val="00A47887"/>
    <w:pPr>
      <w:spacing w:before="1440" w:line="240" w:lineRule="auto"/>
      <w:contextualSpacing/>
    </w:pPr>
    <w:rPr>
      <w:rFonts w:asciiTheme="majorHAnsi" w:eastAsiaTheme="majorEastAsia" w:hAnsiTheme="majorHAnsi" w:cstheme="majorBidi"/>
      <w:sz w:val="66"/>
      <w:szCs w:val="52"/>
    </w:rPr>
  </w:style>
  <w:style w:type="character" w:customStyle="1" w:styleId="TitleChar">
    <w:name w:val="Title Char"/>
    <w:basedOn w:val="DefaultParagraphFont"/>
    <w:link w:val="Title"/>
    <w:uiPriority w:val="10"/>
    <w:rsid w:val="00A47887"/>
    <w:rPr>
      <w:rFonts w:asciiTheme="majorHAnsi" w:eastAsiaTheme="majorEastAsia" w:hAnsiTheme="majorHAnsi" w:cstheme="majorBidi"/>
      <w:spacing w:val="3"/>
      <w:sz w:val="66"/>
      <w:szCs w:val="52"/>
    </w:rPr>
  </w:style>
  <w:style w:type="paragraph" w:customStyle="1" w:styleId="Titlepage">
    <w:name w:val="Title page"/>
    <w:basedOn w:val="Title"/>
    <w:semiHidden/>
    <w:rsid w:val="00450DE1"/>
    <w:pPr>
      <w:spacing w:before="4000"/>
      <w:jc w:val="center"/>
    </w:pPr>
    <w:rPr>
      <w:sz w:val="72"/>
    </w:rPr>
  </w:style>
  <w:style w:type="paragraph" w:styleId="TOC1">
    <w:name w:val="toc 1"/>
    <w:basedOn w:val="Normal"/>
    <w:next w:val="Normal"/>
    <w:autoRedefine/>
    <w:uiPriority w:val="39"/>
    <w:unhideWhenUsed/>
    <w:rsid w:val="00AB27D2"/>
    <w:pPr>
      <w:tabs>
        <w:tab w:val="right" w:leader="dot" w:pos="10194"/>
      </w:tabs>
      <w:spacing w:after="100"/>
    </w:pPr>
  </w:style>
  <w:style w:type="paragraph" w:styleId="TOC2">
    <w:name w:val="toc 2"/>
    <w:basedOn w:val="Normal"/>
    <w:next w:val="Normal"/>
    <w:autoRedefine/>
    <w:uiPriority w:val="39"/>
    <w:unhideWhenUsed/>
    <w:rsid w:val="00450DE1"/>
    <w:pPr>
      <w:spacing w:after="100"/>
      <w:ind w:left="200"/>
    </w:pPr>
  </w:style>
  <w:style w:type="paragraph" w:styleId="TOC3">
    <w:name w:val="toc 3"/>
    <w:basedOn w:val="Normal"/>
    <w:next w:val="Normal"/>
    <w:autoRedefine/>
    <w:uiPriority w:val="39"/>
    <w:unhideWhenUsed/>
    <w:rsid w:val="00450DE1"/>
    <w:pPr>
      <w:spacing w:after="100"/>
      <w:ind w:left="400"/>
    </w:pPr>
  </w:style>
  <w:style w:type="paragraph" w:styleId="TOCHeading">
    <w:name w:val="TOC Heading"/>
    <w:basedOn w:val="Heading2"/>
    <w:next w:val="Normal"/>
    <w:uiPriority w:val="39"/>
    <w:unhideWhenUsed/>
    <w:qFormat/>
    <w:rsid w:val="00450DE1"/>
  </w:style>
  <w:style w:type="character" w:styleId="CommentReference">
    <w:name w:val="annotation reference"/>
    <w:basedOn w:val="DefaultParagraphFont"/>
    <w:uiPriority w:val="99"/>
    <w:semiHidden/>
    <w:unhideWhenUsed/>
    <w:rsid w:val="005261E6"/>
    <w:rPr>
      <w:sz w:val="16"/>
      <w:szCs w:val="16"/>
    </w:rPr>
  </w:style>
  <w:style w:type="paragraph" w:styleId="CommentText">
    <w:name w:val="annotation text"/>
    <w:basedOn w:val="Normal"/>
    <w:link w:val="CommentTextChar"/>
    <w:uiPriority w:val="99"/>
    <w:unhideWhenUsed/>
    <w:rsid w:val="005261E6"/>
    <w:pPr>
      <w:spacing w:line="240" w:lineRule="auto"/>
    </w:pPr>
    <w:rPr>
      <w:sz w:val="20"/>
      <w:szCs w:val="20"/>
    </w:rPr>
  </w:style>
  <w:style w:type="character" w:customStyle="1" w:styleId="CommentTextChar">
    <w:name w:val="Comment Text Char"/>
    <w:basedOn w:val="DefaultParagraphFont"/>
    <w:link w:val="CommentText"/>
    <w:uiPriority w:val="99"/>
    <w:rsid w:val="005261E6"/>
    <w:rPr>
      <w:spacing w:val="3"/>
      <w:sz w:val="20"/>
      <w:szCs w:val="20"/>
    </w:rPr>
  </w:style>
  <w:style w:type="paragraph" w:styleId="CommentSubject">
    <w:name w:val="annotation subject"/>
    <w:basedOn w:val="CommentText"/>
    <w:next w:val="CommentText"/>
    <w:link w:val="CommentSubjectChar"/>
    <w:uiPriority w:val="99"/>
    <w:semiHidden/>
    <w:unhideWhenUsed/>
    <w:rsid w:val="005261E6"/>
    <w:rPr>
      <w:b/>
      <w:bCs/>
    </w:rPr>
  </w:style>
  <w:style w:type="character" w:customStyle="1" w:styleId="CommentSubjectChar">
    <w:name w:val="Comment Subject Char"/>
    <w:basedOn w:val="CommentTextChar"/>
    <w:link w:val="CommentSubject"/>
    <w:uiPriority w:val="99"/>
    <w:semiHidden/>
    <w:rsid w:val="005261E6"/>
    <w:rPr>
      <w:b/>
      <w:bCs/>
      <w:spacing w:val="3"/>
      <w:sz w:val="20"/>
      <w:szCs w:val="20"/>
    </w:rPr>
  </w:style>
  <w:style w:type="paragraph" w:styleId="Revision">
    <w:name w:val="Revision"/>
    <w:hidden/>
    <w:uiPriority w:val="99"/>
    <w:semiHidden/>
    <w:rsid w:val="00807AA2"/>
    <w:pPr>
      <w:spacing w:after="0" w:line="240" w:lineRule="auto"/>
    </w:pPr>
    <w:rPr>
      <w:spacing w:val="3"/>
      <w:sz w:val="22"/>
    </w:rPr>
  </w:style>
  <w:style w:type="paragraph" w:styleId="TableofFigures">
    <w:name w:val="table of figures"/>
    <w:basedOn w:val="Normal"/>
    <w:next w:val="Normal"/>
    <w:uiPriority w:val="99"/>
    <w:unhideWhenUsed/>
    <w:rsid w:val="00F07ED1"/>
    <w:pPr>
      <w:spacing w:after="0"/>
      <w:ind w:left="440" w:hanging="440"/>
    </w:pPr>
    <w:rPr>
      <w:rFonts w:cstheme="minorHAnsi"/>
      <w:b/>
      <w:bCs/>
      <w:sz w:val="20"/>
      <w:szCs w:val="20"/>
    </w:rPr>
  </w:style>
  <w:style w:type="character" w:styleId="Mention">
    <w:name w:val="Mention"/>
    <w:basedOn w:val="DefaultParagraphFont"/>
    <w:uiPriority w:val="99"/>
    <w:unhideWhenUsed/>
    <w:rsid w:val="006E2ACE"/>
    <w:rPr>
      <w:color w:val="2B579A"/>
      <w:shd w:val="clear" w:color="auto" w:fill="E1DFDD"/>
    </w:rPr>
  </w:style>
  <w:style w:type="paragraph" w:customStyle="1" w:styleId="Tableimagenote">
    <w:name w:val="Table/image note"/>
    <w:basedOn w:val="Normal"/>
    <w:next w:val="Normal"/>
    <w:uiPriority w:val="4"/>
    <w:qFormat/>
    <w:rsid w:val="00CB3627"/>
    <w:pPr>
      <w:spacing w:before="120"/>
      <w:contextualSpacing/>
    </w:pPr>
    <w:rPr>
      <w:color w:val="5883AC" w:themeColor="text1" w:themeTint="A6"/>
      <w:sz w:val="20"/>
    </w:rPr>
  </w:style>
  <w:style w:type="paragraph" w:styleId="ListNumber">
    <w:name w:val="List Number"/>
    <w:basedOn w:val="NumberedList1"/>
    <w:uiPriority w:val="99"/>
    <w:unhideWhenUsed/>
    <w:qFormat/>
    <w:rsid w:val="00535BB7"/>
    <w:pPr>
      <w:numPr>
        <w:numId w:val="3"/>
      </w:numPr>
      <w:spacing w:before="200" w:after="200"/>
      <w:ind w:left="426" w:hanging="284"/>
    </w:pPr>
    <w:rPr>
      <w:color w:val="auto"/>
    </w:rPr>
  </w:style>
  <w:style w:type="character" w:styleId="UnresolvedMention">
    <w:name w:val="Unresolved Mention"/>
    <w:basedOn w:val="DefaultParagraphFont"/>
    <w:uiPriority w:val="99"/>
    <w:semiHidden/>
    <w:unhideWhenUsed/>
    <w:rsid w:val="00A438DE"/>
    <w:rPr>
      <w:color w:val="605E5C"/>
      <w:shd w:val="clear" w:color="auto" w:fill="E1DFDD"/>
    </w:rPr>
  </w:style>
  <w:style w:type="table" w:styleId="PlainTable2">
    <w:name w:val="Plain Table 2"/>
    <w:basedOn w:val="TableNormal"/>
    <w:uiPriority w:val="42"/>
    <w:rsid w:val="00F865A6"/>
    <w:pPr>
      <w:spacing w:after="0" w:line="240" w:lineRule="auto"/>
    </w:pPr>
    <w:tblPr>
      <w:tblStyleRowBandSize w:val="1"/>
      <w:tblStyleColBandSize w:val="1"/>
      <w:tblBorders>
        <w:top w:val="single" w:sz="4" w:space="0" w:color="7E9FBF" w:themeColor="text1" w:themeTint="80"/>
        <w:bottom w:val="single" w:sz="4" w:space="0" w:color="7E9FBF" w:themeColor="text1" w:themeTint="80"/>
      </w:tblBorders>
    </w:tblPr>
    <w:tblStylePr w:type="firstRow">
      <w:rPr>
        <w:b/>
        <w:bCs/>
      </w:rPr>
      <w:tblPr/>
      <w:tcPr>
        <w:tcBorders>
          <w:bottom w:val="single" w:sz="4" w:space="0" w:color="7E9FBF" w:themeColor="text1" w:themeTint="80"/>
        </w:tcBorders>
      </w:tcPr>
    </w:tblStylePr>
    <w:tblStylePr w:type="lastRow">
      <w:rPr>
        <w:b/>
        <w:bCs/>
      </w:rPr>
      <w:tblPr/>
      <w:tcPr>
        <w:tcBorders>
          <w:top w:val="single" w:sz="4" w:space="0" w:color="7E9FBF" w:themeColor="text1" w:themeTint="80"/>
        </w:tcBorders>
      </w:tcPr>
    </w:tblStylePr>
    <w:tblStylePr w:type="firstCol">
      <w:rPr>
        <w:b/>
        <w:bCs/>
      </w:rPr>
    </w:tblStylePr>
    <w:tblStylePr w:type="lastCol">
      <w:rPr>
        <w:b/>
        <w:bCs/>
      </w:rPr>
    </w:tblStylePr>
    <w:tblStylePr w:type="band1Vert">
      <w:tblPr/>
      <w:tcPr>
        <w:tcBorders>
          <w:left w:val="single" w:sz="4" w:space="0" w:color="7E9FBF" w:themeColor="text1" w:themeTint="80"/>
          <w:right w:val="single" w:sz="4" w:space="0" w:color="7E9FBF" w:themeColor="text1" w:themeTint="80"/>
        </w:tcBorders>
      </w:tcPr>
    </w:tblStylePr>
    <w:tblStylePr w:type="band2Vert">
      <w:tblPr/>
      <w:tcPr>
        <w:tcBorders>
          <w:left w:val="single" w:sz="4" w:space="0" w:color="7E9FBF" w:themeColor="text1" w:themeTint="80"/>
          <w:right w:val="single" w:sz="4" w:space="0" w:color="7E9FBF" w:themeColor="text1" w:themeTint="80"/>
        </w:tcBorders>
      </w:tcPr>
    </w:tblStylePr>
    <w:tblStylePr w:type="band1Horz">
      <w:tblPr/>
      <w:tcPr>
        <w:tcBorders>
          <w:top w:val="single" w:sz="4" w:space="0" w:color="7E9FBF" w:themeColor="text1" w:themeTint="80"/>
          <w:bottom w:val="single" w:sz="4" w:space="0" w:color="7E9FBF" w:themeColor="text1" w:themeTint="80"/>
        </w:tcBorders>
      </w:tcPr>
    </w:tblStylePr>
  </w:style>
  <w:style w:type="paragraph" w:styleId="FootnoteText">
    <w:name w:val="footnote text"/>
    <w:basedOn w:val="Normal"/>
    <w:link w:val="FootnoteTextChar"/>
    <w:unhideWhenUsed/>
    <w:rsid w:val="007F4CD6"/>
    <w:pPr>
      <w:spacing w:after="0" w:line="240" w:lineRule="auto"/>
    </w:pPr>
    <w:rPr>
      <w:sz w:val="20"/>
      <w:szCs w:val="20"/>
    </w:rPr>
  </w:style>
  <w:style w:type="character" w:customStyle="1" w:styleId="FootnoteTextChar">
    <w:name w:val="Footnote Text Char"/>
    <w:basedOn w:val="DefaultParagraphFont"/>
    <w:link w:val="FootnoteText"/>
    <w:rsid w:val="007F4CD6"/>
    <w:rPr>
      <w:spacing w:val="3"/>
      <w:sz w:val="20"/>
      <w:szCs w:val="20"/>
    </w:rPr>
  </w:style>
  <w:style w:type="character" w:styleId="FootnoteReference">
    <w:name w:val="footnote reference"/>
    <w:basedOn w:val="DefaultParagraphFont"/>
    <w:unhideWhenUsed/>
    <w:rsid w:val="007F4CD6"/>
    <w:rPr>
      <w:vertAlign w:val="superscript"/>
    </w:rPr>
  </w:style>
  <w:style w:type="paragraph" w:styleId="EndnoteText">
    <w:name w:val="endnote text"/>
    <w:basedOn w:val="Normal"/>
    <w:link w:val="EndnoteTextChar"/>
    <w:uiPriority w:val="99"/>
    <w:unhideWhenUsed/>
    <w:rsid w:val="00484A2F"/>
    <w:pPr>
      <w:spacing w:after="0" w:line="240" w:lineRule="auto"/>
    </w:pPr>
    <w:rPr>
      <w:sz w:val="20"/>
      <w:szCs w:val="20"/>
    </w:rPr>
  </w:style>
  <w:style w:type="character" w:customStyle="1" w:styleId="EndnoteTextChar">
    <w:name w:val="Endnote Text Char"/>
    <w:basedOn w:val="DefaultParagraphFont"/>
    <w:link w:val="EndnoteText"/>
    <w:uiPriority w:val="99"/>
    <w:rsid w:val="00484A2F"/>
    <w:rPr>
      <w:spacing w:val="3"/>
      <w:sz w:val="20"/>
      <w:szCs w:val="20"/>
    </w:rPr>
  </w:style>
  <w:style w:type="character" w:styleId="EndnoteReference">
    <w:name w:val="endnote reference"/>
    <w:basedOn w:val="DefaultParagraphFont"/>
    <w:uiPriority w:val="99"/>
    <w:semiHidden/>
    <w:unhideWhenUsed/>
    <w:rsid w:val="00484A2F"/>
    <w:rPr>
      <w:vertAlign w:val="superscript"/>
    </w:rPr>
  </w:style>
  <w:style w:type="paragraph" w:customStyle="1" w:styleId="Dash">
    <w:name w:val="Dash"/>
    <w:basedOn w:val="Normal"/>
    <w:link w:val="DashChar"/>
    <w:rsid w:val="006B4BB7"/>
    <w:pPr>
      <w:numPr>
        <w:ilvl w:val="1"/>
        <w:numId w:val="12"/>
      </w:numPr>
      <w:tabs>
        <w:tab w:val="clear" w:pos="567"/>
      </w:tabs>
      <w:spacing w:after="120" w:line="240" w:lineRule="auto"/>
      <w:ind w:left="397" w:hanging="170"/>
    </w:pPr>
    <w:rPr>
      <w:rFonts w:ascii="Calibri Light" w:eastAsia="Times New Roman" w:hAnsi="Calibri Light" w:cs="Times New Roman"/>
      <w:spacing w:val="0"/>
      <w:szCs w:val="20"/>
      <w:lang w:eastAsia="en-AU"/>
    </w:rPr>
  </w:style>
  <w:style w:type="paragraph" w:customStyle="1" w:styleId="DoubleDot">
    <w:name w:val="Double Dot"/>
    <w:basedOn w:val="Normal"/>
    <w:link w:val="DoubleDotChar"/>
    <w:rsid w:val="006B4BB7"/>
    <w:pPr>
      <w:numPr>
        <w:ilvl w:val="2"/>
        <w:numId w:val="12"/>
      </w:numPr>
      <w:tabs>
        <w:tab w:val="clear" w:pos="850"/>
      </w:tabs>
      <w:spacing w:after="120" w:line="240" w:lineRule="auto"/>
      <w:ind w:left="567" w:hanging="170"/>
    </w:pPr>
    <w:rPr>
      <w:rFonts w:ascii="Calibri Light" w:eastAsia="Times New Roman" w:hAnsi="Calibri Light" w:cs="Times New Roman"/>
      <w:spacing w:val="0"/>
      <w:szCs w:val="20"/>
      <w:lang w:eastAsia="en-AU"/>
    </w:rPr>
  </w:style>
  <w:style w:type="paragraph" w:customStyle="1" w:styleId="BoxText">
    <w:name w:val="Box Text"/>
    <w:basedOn w:val="Normal"/>
    <w:link w:val="BoxTextChar"/>
    <w:rsid w:val="006B4BB7"/>
    <w:pPr>
      <w:spacing w:before="60" w:after="60" w:line="240" w:lineRule="auto"/>
    </w:pPr>
    <w:rPr>
      <w:rFonts w:ascii="Calibri Light" w:eastAsia="Times New Roman" w:hAnsi="Calibri Light" w:cs="Times New Roman"/>
      <w:spacing w:val="0"/>
      <w:szCs w:val="20"/>
      <w:lang w:eastAsia="en-AU"/>
    </w:rPr>
  </w:style>
  <w:style w:type="character" w:customStyle="1" w:styleId="BoxTextChar">
    <w:name w:val="Box Text Char"/>
    <w:basedOn w:val="DefaultParagraphFont"/>
    <w:link w:val="BoxText"/>
    <w:rsid w:val="006B4BB7"/>
    <w:rPr>
      <w:rFonts w:ascii="Calibri Light" w:eastAsia="Times New Roman" w:hAnsi="Calibri Light" w:cs="Times New Roman"/>
      <w:sz w:val="22"/>
      <w:szCs w:val="20"/>
      <w:lang w:eastAsia="en-AU"/>
    </w:rPr>
  </w:style>
  <w:style w:type="paragraph" w:customStyle="1" w:styleId="Boxdoubledot">
    <w:name w:val="Box double dot"/>
    <w:basedOn w:val="DoubleDot"/>
    <w:rsid w:val="006B4BB7"/>
    <w:pPr>
      <w:tabs>
        <w:tab w:val="num" w:pos="1560"/>
      </w:tabs>
      <w:spacing w:after="60" w:line="276" w:lineRule="auto"/>
    </w:pPr>
    <w:rPr>
      <w:rFonts w:eastAsiaTheme="minorHAnsi"/>
      <w:color w:val="304961" w:themeColor="text1" w:themeTint="F2"/>
    </w:rPr>
  </w:style>
  <w:style w:type="paragraph" w:customStyle="1" w:styleId="Bullet">
    <w:name w:val="Bullet"/>
    <w:basedOn w:val="Normal"/>
    <w:link w:val="BulletChar"/>
    <w:rsid w:val="00E35503"/>
    <w:pPr>
      <w:numPr>
        <w:numId w:val="13"/>
      </w:numPr>
      <w:tabs>
        <w:tab w:val="clear" w:pos="520"/>
      </w:tabs>
      <w:spacing w:before="120" w:after="120" w:line="276" w:lineRule="auto"/>
      <w:ind w:left="170" w:hanging="170"/>
    </w:pPr>
    <w:rPr>
      <w:rFonts w:ascii="Calibri Light" w:eastAsia="Times New Roman" w:hAnsi="Calibri Light" w:cs="Times New Roman"/>
      <w:spacing w:val="0"/>
      <w:szCs w:val="20"/>
      <w:lang w:eastAsia="en-AU"/>
    </w:rPr>
  </w:style>
  <w:style w:type="character" w:customStyle="1" w:styleId="BulletChar">
    <w:name w:val="Bullet Char"/>
    <w:basedOn w:val="DefaultParagraphFont"/>
    <w:link w:val="Bullet"/>
    <w:rsid w:val="00E35503"/>
    <w:rPr>
      <w:rFonts w:ascii="Calibri Light" w:eastAsia="Times New Roman" w:hAnsi="Calibri Light" w:cs="Times New Roman"/>
      <w:sz w:val="22"/>
      <w:szCs w:val="20"/>
      <w:lang w:eastAsia="en-AU"/>
    </w:rPr>
  </w:style>
  <w:style w:type="character" w:customStyle="1" w:styleId="normaltextrun">
    <w:name w:val="normaltextrun"/>
    <w:basedOn w:val="DefaultParagraphFont"/>
    <w:rsid w:val="008D624D"/>
  </w:style>
  <w:style w:type="character" w:customStyle="1" w:styleId="DashChar">
    <w:name w:val="Dash Char"/>
    <w:basedOn w:val="DefaultParagraphFont"/>
    <w:link w:val="Dash"/>
    <w:rsid w:val="005E7856"/>
    <w:rPr>
      <w:rFonts w:ascii="Calibri Light" w:eastAsia="Times New Roman" w:hAnsi="Calibri Light" w:cs="Times New Roman"/>
      <w:sz w:val="22"/>
      <w:szCs w:val="20"/>
      <w:lang w:eastAsia="en-AU"/>
    </w:rPr>
  </w:style>
  <w:style w:type="character" w:customStyle="1" w:styleId="eop">
    <w:name w:val="eop"/>
    <w:basedOn w:val="DefaultParagraphFont"/>
    <w:rsid w:val="008F0FC6"/>
  </w:style>
  <w:style w:type="character" w:customStyle="1" w:styleId="cf01">
    <w:name w:val="cf01"/>
    <w:basedOn w:val="DefaultParagraphFont"/>
    <w:rsid w:val="00C9568A"/>
    <w:rPr>
      <w:rFonts w:ascii="Segoe UI" w:hAnsi="Segoe UI" w:cs="Segoe UI" w:hint="default"/>
      <w:sz w:val="18"/>
      <w:szCs w:val="18"/>
    </w:rPr>
  </w:style>
  <w:style w:type="character" w:customStyle="1" w:styleId="DoubleDotChar">
    <w:name w:val="Double Dot Char"/>
    <w:basedOn w:val="DefaultParagraphFont"/>
    <w:link w:val="DoubleDot"/>
    <w:rsid w:val="002C50B5"/>
    <w:rPr>
      <w:rFonts w:ascii="Calibri Light" w:eastAsia="Times New Roman" w:hAnsi="Calibri Light" w:cs="Times New Roman"/>
      <w:sz w:val="22"/>
      <w:szCs w:val="20"/>
      <w:lang w:eastAsia="en-AU"/>
    </w:rPr>
  </w:style>
  <w:style w:type="paragraph" w:styleId="Quote">
    <w:name w:val="Quote"/>
    <w:basedOn w:val="Normal"/>
    <w:next w:val="Normal"/>
    <w:link w:val="QuoteChar"/>
    <w:uiPriority w:val="29"/>
    <w:qFormat/>
    <w:rsid w:val="00F03A18"/>
    <w:pPr>
      <w:spacing w:before="200" w:after="160"/>
      <w:ind w:left="864" w:right="864"/>
      <w:jc w:val="center"/>
    </w:pPr>
    <w:rPr>
      <w:i/>
      <w:iCs/>
      <w:color w:val="2A4055" w:themeColor="text1"/>
    </w:rPr>
  </w:style>
  <w:style w:type="character" w:customStyle="1" w:styleId="QuoteChar">
    <w:name w:val="Quote Char"/>
    <w:basedOn w:val="DefaultParagraphFont"/>
    <w:link w:val="Quote"/>
    <w:uiPriority w:val="29"/>
    <w:rsid w:val="00F03A18"/>
    <w:rPr>
      <w:i/>
      <w:iCs/>
      <w:color w:val="2A4055" w:themeColor="text1"/>
      <w:spacing w:val="3"/>
      <w:sz w:val="22"/>
    </w:rPr>
  </w:style>
  <w:style w:type="paragraph" w:customStyle="1" w:styleId="Colourblock-yellowpale">
    <w:name w:val="Colour block - yellow pale"/>
    <w:basedOn w:val="Normal"/>
    <w:next w:val="Normal"/>
    <w:link w:val="Colourblock-yellowpaleChar"/>
    <w:qFormat/>
    <w:rsid w:val="00695014"/>
    <w:pPr>
      <w:pBdr>
        <w:top w:val="single" w:sz="36" w:space="4" w:color="FABE2D" w:themeColor="accent4"/>
        <w:left w:val="single" w:sz="36" w:space="4" w:color="FABE2D" w:themeColor="accent4"/>
        <w:bottom w:val="single" w:sz="36" w:space="4" w:color="FABE2D" w:themeColor="accent4"/>
        <w:right w:val="single" w:sz="36" w:space="6" w:color="FABE2D" w:themeColor="accent4"/>
      </w:pBdr>
      <w:shd w:val="clear" w:color="auto" w:fill="FABE2D" w:themeFill="accent4"/>
      <w:spacing w:after="0"/>
      <w:ind w:left="2835" w:right="2835"/>
    </w:pPr>
    <w:rPr>
      <w:rFonts w:ascii="Tahoma" w:eastAsia="Tahoma" w:hAnsi="Tahoma" w:cs="Times New Roman"/>
      <w:bCs/>
    </w:rPr>
  </w:style>
  <w:style w:type="character" w:customStyle="1" w:styleId="Colourblock-yellowpaleChar">
    <w:name w:val="Colour block - yellow pale Char"/>
    <w:basedOn w:val="DefaultParagraphFont"/>
    <w:link w:val="Colourblock-yellowpale"/>
    <w:rsid w:val="00695014"/>
    <w:rPr>
      <w:rFonts w:ascii="Tahoma" w:eastAsia="Tahoma" w:hAnsi="Tahoma" w:cs="Times New Roman"/>
      <w:bCs/>
      <w:spacing w:val="3"/>
      <w:sz w:val="22"/>
      <w:shd w:val="clear" w:color="auto" w:fill="FABE2D" w:themeFill="accent4"/>
    </w:rPr>
  </w:style>
  <w:style w:type="paragraph" w:customStyle="1" w:styleId="Colourblock-orangepale">
    <w:name w:val="Colour block - orange pale"/>
    <w:basedOn w:val="Normal"/>
    <w:next w:val="Normal"/>
    <w:qFormat/>
    <w:rsid w:val="00695014"/>
    <w:pPr>
      <w:pBdr>
        <w:top w:val="single" w:sz="36" w:space="4" w:color="F18439" w:themeColor="accent3"/>
        <w:left w:val="single" w:sz="36" w:space="4" w:color="F18439" w:themeColor="accent3"/>
        <w:bottom w:val="single" w:sz="36" w:space="4" w:color="F18439" w:themeColor="accent3"/>
        <w:right w:val="single" w:sz="36" w:space="6" w:color="F18439" w:themeColor="accent3"/>
      </w:pBdr>
      <w:shd w:val="clear" w:color="auto" w:fill="F18439" w:themeFill="accent3"/>
      <w:spacing w:after="0"/>
      <w:ind w:left="2835" w:right="2835"/>
    </w:pPr>
    <w:rPr>
      <w:rFonts w:ascii="Tahoma" w:eastAsia="Tahoma" w:hAnsi="Tahoma" w:cs="Times New Roman"/>
      <w:bCs/>
    </w:rPr>
  </w:style>
  <w:style w:type="paragraph" w:customStyle="1" w:styleId="colourblock-greenpale">
    <w:name w:val="colour block - green pale"/>
    <w:basedOn w:val="Normal"/>
    <w:next w:val="Normal"/>
    <w:qFormat/>
    <w:rsid w:val="00695014"/>
    <w:pPr>
      <w:pBdr>
        <w:top w:val="single" w:sz="36" w:space="4" w:color="A6CE43" w:themeColor="accent5"/>
        <w:left w:val="single" w:sz="36" w:space="4" w:color="A6CE43" w:themeColor="accent5"/>
        <w:bottom w:val="single" w:sz="36" w:space="4" w:color="A6CE43" w:themeColor="accent5"/>
        <w:right w:val="single" w:sz="36" w:space="6" w:color="A6CE43" w:themeColor="accent5"/>
      </w:pBdr>
      <w:shd w:val="clear" w:color="auto" w:fill="A6CE43" w:themeFill="accent5"/>
      <w:spacing w:after="0"/>
      <w:ind w:left="2835" w:right="2835"/>
    </w:pPr>
    <w:rPr>
      <w:rFonts w:ascii="Tahoma" w:eastAsia="Tahoma" w:hAnsi="Tahoma" w:cs="Times New Roman"/>
      <w:bCs/>
    </w:rPr>
  </w:style>
  <w:style w:type="paragraph" w:customStyle="1" w:styleId="colourblock-bluepale">
    <w:name w:val="colour block - blue pale"/>
    <w:basedOn w:val="Normal"/>
    <w:next w:val="Normal"/>
    <w:qFormat/>
    <w:rsid w:val="00695014"/>
    <w:pPr>
      <w:pBdr>
        <w:top w:val="single" w:sz="36" w:space="4" w:color="6ACFF4" w:themeColor="accent6"/>
        <w:left w:val="single" w:sz="36" w:space="4" w:color="6ACFF4" w:themeColor="accent6"/>
        <w:bottom w:val="single" w:sz="36" w:space="4" w:color="6ACFF4" w:themeColor="accent6"/>
        <w:right w:val="single" w:sz="36" w:space="6" w:color="6ACFF4" w:themeColor="accent6"/>
      </w:pBdr>
      <w:shd w:val="clear" w:color="auto" w:fill="6ACFF4" w:themeFill="accent6"/>
      <w:spacing w:after="0"/>
      <w:ind w:left="2835" w:right="2835"/>
    </w:pPr>
    <w:rPr>
      <w:rFonts w:ascii="Tahoma" w:eastAsia="Tahoma" w:hAnsi="Tahoma" w:cs="Times New Roman"/>
      <w:bCs/>
    </w:rPr>
  </w:style>
  <w:style w:type="paragraph" w:customStyle="1" w:styleId="colourblock-purplepale">
    <w:name w:val="colour block - purple pale"/>
    <w:basedOn w:val="Colourblock-yellowpale"/>
    <w:next w:val="Normal"/>
    <w:qFormat/>
    <w:rsid w:val="00176BC5"/>
    <w:pPr>
      <w:pBdr>
        <w:top w:val="single" w:sz="36" w:space="4" w:color="A873E8" w:themeColor="accent1"/>
        <w:left w:val="single" w:sz="36" w:space="4" w:color="A873E8" w:themeColor="accent1"/>
        <w:bottom w:val="single" w:sz="36" w:space="4" w:color="A873E8" w:themeColor="accent1"/>
        <w:right w:val="single" w:sz="36" w:space="6" w:color="A873E8" w:themeColor="accent1"/>
      </w:pBdr>
      <w:shd w:val="clear" w:color="auto" w:fill="A873E8" w:themeFill="accent1"/>
    </w:pPr>
  </w:style>
  <w:style w:type="paragraph" w:customStyle="1" w:styleId="Bullet1">
    <w:name w:val="Bullet 1"/>
    <w:basedOn w:val="Normal"/>
    <w:uiPriority w:val="2"/>
    <w:qFormat/>
    <w:rsid w:val="00647A35"/>
    <w:pPr>
      <w:spacing w:before="120" w:after="120" w:line="278" w:lineRule="auto"/>
      <w:ind w:left="284" w:hanging="284"/>
    </w:pPr>
    <w:rPr>
      <w:rFonts w:ascii="Tahoma" w:eastAsiaTheme="minorEastAsia" w:hAnsi="Tahoma"/>
      <w:color w:val="454545" w:themeColor="text2"/>
      <w:spacing w:val="0"/>
      <w:szCs w:val="20"/>
      <w:lang w:eastAsia="zh-CN"/>
    </w:rPr>
  </w:style>
  <w:style w:type="paragraph" w:customStyle="1" w:styleId="NumberedList1">
    <w:name w:val="Numbered List 1"/>
    <w:basedOn w:val="Normal"/>
    <w:uiPriority w:val="2"/>
    <w:qFormat/>
    <w:rsid w:val="006C55E5"/>
    <w:pPr>
      <w:spacing w:before="120" w:after="120" w:line="278" w:lineRule="auto"/>
      <w:ind w:left="284" w:hanging="284"/>
    </w:pPr>
    <w:rPr>
      <w:rFonts w:ascii="Tahoma" w:eastAsiaTheme="minorEastAsia" w:hAnsi="Tahoma"/>
      <w:color w:val="454545" w:themeColor="text2"/>
      <w:spacing w:val="0"/>
      <w:szCs w:val="20"/>
      <w:lang w:eastAsia="zh-CN"/>
    </w:rPr>
  </w:style>
  <w:style w:type="paragraph" w:customStyle="1" w:styleId="Bullet2">
    <w:name w:val="Bullet 2"/>
    <w:basedOn w:val="Bullet1"/>
    <w:uiPriority w:val="2"/>
    <w:qFormat/>
    <w:rsid w:val="008D5E38"/>
    <w:pPr>
      <w:ind w:left="568"/>
    </w:pPr>
  </w:style>
  <w:style w:type="paragraph" w:customStyle="1" w:styleId="Bullet3">
    <w:name w:val="Bullet 3"/>
    <w:basedOn w:val="Bullet2"/>
    <w:uiPriority w:val="2"/>
    <w:qFormat/>
    <w:rsid w:val="008D5E38"/>
    <w:pPr>
      <w:ind w:left="852"/>
    </w:pPr>
  </w:style>
  <w:style w:type="numbering" w:customStyle="1" w:styleId="BulletListStyle">
    <w:name w:val="Bullet List Style"/>
    <w:uiPriority w:val="99"/>
    <w:rsid w:val="008D5E38"/>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65331">
      <w:bodyDiv w:val="1"/>
      <w:marLeft w:val="0"/>
      <w:marRight w:val="0"/>
      <w:marTop w:val="0"/>
      <w:marBottom w:val="0"/>
      <w:divBdr>
        <w:top w:val="none" w:sz="0" w:space="0" w:color="auto"/>
        <w:left w:val="none" w:sz="0" w:space="0" w:color="auto"/>
        <w:bottom w:val="none" w:sz="0" w:space="0" w:color="auto"/>
        <w:right w:val="none" w:sz="0" w:space="0" w:color="auto"/>
      </w:divBdr>
      <w:divsChild>
        <w:div w:id="74399754">
          <w:marLeft w:val="547"/>
          <w:marRight w:val="0"/>
          <w:marTop w:val="0"/>
          <w:marBottom w:val="0"/>
          <w:divBdr>
            <w:top w:val="none" w:sz="0" w:space="0" w:color="auto"/>
            <w:left w:val="none" w:sz="0" w:space="0" w:color="auto"/>
            <w:bottom w:val="none" w:sz="0" w:space="0" w:color="auto"/>
            <w:right w:val="none" w:sz="0" w:space="0" w:color="auto"/>
          </w:divBdr>
        </w:div>
        <w:div w:id="1118257023">
          <w:marLeft w:val="547"/>
          <w:marRight w:val="0"/>
          <w:marTop w:val="0"/>
          <w:marBottom w:val="0"/>
          <w:divBdr>
            <w:top w:val="none" w:sz="0" w:space="0" w:color="auto"/>
            <w:left w:val="none" w:sz="0" w:space="0" w:color="auto"/>
            <w:bottom w:val="none" w:sz="0" w:space="0" w:color="auto"/>
            <w:right w:val="none" w:sz="0" w:space="0" w:color="auto"/>
          </w:divBdr>
        </w:div>
        <w:div w:id="2076774743">
          <w:marLeft w:val="547"/>
          <w:marRight w:val="0"/>
          <w:marTop w:val="0"/>
          <w:marBottom w:val="0"/>
          <w:divBdr>
            <w:top w:val="none" w:sz="0" w:space="0" w:color="auto"/>
            <w:left w:val="none" w:sz="0" w:space="0" w:color="auto"/>
            <w:bottom w:val="none" w:sz="0" w:space="0" w:color="auto"/>
            <w:right w:val="none" w:sz="0" w:space="0" w:color="auto"/>
          </w:divBdr>
        </w:div>
      </w:divsChild>
    </w:div>
    <w:div w:id="185601057">
      <w:bodyDiv w:val="1"/>
      <w:marLeft w:val="0"/>
      <w:marRight w:val="0"/>
      <w:marTop w:val="0"/>
      <w:marBottom w:val="0"/>
      <w:divBdr>
        <w:top w:val="none" w:sz="0" w:space="0" w:color="auto"/>
        <w:left w:val="none" w:sz="0" w:space="0" w:color="auto"/>
        <w:bottom w:val="none" w:sz="0" w:space="0" w:color="auto"/>
        <w:right w:val="none" w:sz="0" w:space="0" w:color="auto"/>
      </w:divBdr>
      <w:divsChild>
        <w:div w:id="889344349">
          <w:marLeft w:val="547"/>
          <w:marRight w:val="0"/>
          <w:marTop w:val="0"/>
          <w:marBottom w:val="0"/>
          <w:divBdr>
            <w:top w:val="none" w:sz="0" w:space="0" w:color="auto"/>
            <w:left w:val="none" w:sz="0" w:space="0" w:color="auto"/>
            <w:bottom w:val="none" w:sz="0" w:space="0" w:color="auto"/>
            <w:right w:val="none" w:sz="0" w:space="0" w:color="auto"/>
          </w:divBdr>
        </w:div>
        <w:div w:id="962418601">
          <w:marLeft w:val="547"/>
          <w:marRight w:val="0"/>
          <w:marTop w:val="0"/>
          <w:marBottom w:val="0"/>
          <w:divBdr>
            <w:top w:val="none" w:sz="0" w:space="0" w:color="auto"/>
            <w:left w:val="none" w:sz="0" w:space="0" w:color="auto"/>
            <w:bottom w:val="none" w:sz="0" w:space="0" w:color="auto"/>
            <w:right w:val="none" w:sz="0" w:space="0" w:color="auto"/>
          </w:divBdr>
        </w:div>
        <w:div w:id="1493180708">
          <w:marLeft w:val="547"/>
          <w:marRight w:val="0"/>
          <w:marTop w:val="0"/>
          <w:marBottom w:val="0"/>
          <w:divBdr>
            <w:top w:val="none" w:sz="0" w:space="0" w:color="auto"/>
            <w:left w:val="none" w:sz="0" w:space="0" w:color="auto"/>
            <w:bottom w:val="none" w:sz="0" w:space="0" w:color="auto"/>
            <w:right w:val="none" w:sz="0" w:space="0" w:color="auto"/>
          </w:divBdr>
        </w:div>
        <w:div w:id="1671517319">
          <w:marLeft w:val="547"/>
          <w:marRight w:val="0"/>
          <w:marTop w:val="0"/>
          <w:marBottom w:val="0"/>
          <w:divBdr>
            <w:top w:val="none" w:sz="0" w:space="0" w:color="auto"/>
            <w:left w:val="none" w:sz="0" w:space="0" w:color="auto"/>
            <w:bottom w:val="none" w:sz="0" w:space="0" w:color="auto"/>
            <w:right w:val="none" w:sz="0" w:space="0" w:color="auto"/>
          </w:divBdr>
        </w:div>
      </w:divsChild>
    </w:div>
    <w:div w:id="260265045">
      <w:bodyDiv w:val="1"/>
      <w:marLeft w:val="0"/>
      <w:marRight w:val="0"/>
      <w:marTop w:val="0"/>
      <w:marBottom w:val="0"/>
      <w:divBdr>
        <w:top w:val="none" w:sz="0" w:space="0" w:color="auto"/>
        <w:left w:val="none" w:sz="0" w:space="0" w:color="auto"/>
        <w:bottom w:val="none" w:sz="0" w:space="0" w:color="auto"/>
        <w:right w:val="none" w:sz="0" w:space="0" w:color="auto"/>
      </w:divBdr>
      <w:divsChild>
        <w:div w:id="737097749">
          <w:marLeft w:val="547"/>
          <w:marRight w:val="0"/>
          <w:marTop w:val="0"/>
          <w:marBottom w:val="0"/>
          <w:divBdr>
            <w:top w:val="none" w:sz="0" w:space="0" w:color="auto"/>
            <w:left w:val="none" w:sz="0" w:space="0" w:color="auto"/>
            <w:bottom w:val="none" w:sz="0" w:space="0" w:color="auto"/>
            <w:right w:val="none" w:sz="0" w:space="0" w:color="auto"/>
          </w:divBdr>
        </w:div>
      </w:divsChild>
    </w:div>
    <w:div w:id="350643661">
      <w:bodyDiv w:val="1"/>
      <w:marLeft w:val="0"/>
      <w:marRight w:val="0"/>
      <w:marTop w:val="0"/>
      <w:marBottom w:val="0"/>
      <w:divBdr>
        <w:top w:val="none" w:sz="0" w:space="0" w:color="auto"/>
        <w:left w:val="none" w:sz="0" w:space="0" w:color="auto"/>
        <w:bottom w:val="none" w:sz="0" w:space="0" w:color="auto"/>
        <w:right w:val="none" w:sz="0" w:space="0" w:color="auto"/>
      </w:divBdr>
    </w:div>
    <w:div w:id="406653127">
      <w:bodyDiv w:val="1"/>
      <w:marLeft w:val="0"/>
      <w:marRight w:val="0"/>
      <w:marTop w:val="0"/>
      <w:marBottom w:val="0"/>
      <w:divBdr>
        <w:top w:val="none" w:sz="0" w:space="0" w:color="auto"/>
        <w:left w:val="none" w:sz="0" w:space="0" w:color="auto"/>
        <w:bottom w:val="none" w:sz="0" w:space="0" w:color="auto"/>
        <w:right w:val="none" w:sz="0" w:space="0" w:color="auto"/>
      </w:divBdr>
      <w:divsChild>
        <w:div w:id="902449181">
          <w:marLeft w:val="547"/>
          <w:marRight w:val="0"/>
          <w:marTop w:val="0"/>
          <w:marBottom w:val="0"/>
          <w:divBdr>
            <w:top w:val="none" w:sz="0" w:space="0" w:color="auto"/>
            <w:left w:val="none" w:sz="0" w:space="0" w:color="auto"/>
            <w:bottom w:val="none" w:sz="0" w:space="0" w:color="auto"/>
            <w:right w:val="none" w:sz="0" w:space="0" w:color="auto"/>
          </w:divBdr>
        </w:div>
        <w:div w:id="1929654667">
          <w:marLeft w:val="547"/>
          <w:marRight w:val="0"/>
          <w:marTop w:val="0"/>
          <w:marBottom w:val="0"/>
          <w:divBdr>
            <w:top w:val="none" w:sz="0" w:space="0" w:color="auto"/>
            <w:left w:val="none" w:sz="0" w:space="0" w:color="auto"/>
            <w:bottom w:val="none" w:sz="0" w:space="0" w:color="auto"/>
            <w:right w:val="none" w:sz="0" w:space="0" w:color="auto"/>
          </w:divBdr>
        </w:div>
      </w:divsChild>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23134928">
      <w:bodyDiv w:val="1"/>
      <w:marLeft w:val="0"/>
      <w:marRight w:val="0"/>
      <w:marTop w:val="0"/>
      <w:marBottom w:val="0"/>
      <w:divBdr>
        <w:top w:val="none" w:sz="0" w:space="0" w:color="auto"/>
        <w:left w:val="none" w:sz="0" w:space="0" w:color="auto"/>
        <w:bottom w:val="none" w:sz="0" w:space="0" w:color="auto"/>
        <w:right w:val="none" w:sz="0" w:space="0" w:color="auto"/>
      </w:divBdr>
    </w:div>
    <w:div w:id="617225073">
      <w:bodyDiv w:val="1"/>
      <w:marLeft w:val="0"/>
      <w:marRight w:val="0"/>
      <w:marTop w:val="0"/>
      <w:marBottom w:val="0"/>
      <w:divBdr>
        <w:top w:val="none" w:sz="0" w:space="0" w:color="auto"/>
        <w:left w:val="none" w:sz="0" w:space="0" w:color="auto"/>
        <w:bottom w:val="none" w:sz="0" w:space="0" w:color="auto"/>
        <w:right w:val="none" w:sz="0" w:space="0" w:color="auto"/>
      </w:divBdr>
      <w:divsChild>
        <w:div w:id="121968108">
          <w:marLeft w:val="547"/>
          <w:marRight w:val="0"/>
          <w:marTop w:val="0"/>
          <w:marBottom w:val="0"/>
          <w:divBdr>
            <w:top w:val="none" w:sz="0" w:space="0" w:color="auto"/>
            <w:left w:val="none" w:sz="0" w:space="0" w:color="auto"/>
            <w:bottom w:val="none" w:sz="0" w:space="0" w:color="auto"/>
            <w:right w:val="none" w:sz="0" w:space="0" w:color="auto"/>
          </w:divBdr>
        </w:div>
        <w:div w:id="769860004">
          <w:marLeft w:val="547"/>
          <w:marRight w:val="0"/>
          <w:marTop w:val="0"/>
          <w:marBottom w:val="0"/>
          <w:divBdr>
            <w:top w:val="none" w:sz="0" w:space="0" w:color="auto"/>
            <w:left w:val="none" w:sz="0" w:space="0" w:color="auto"/>
            <w:bottom w:val="none" w:sz="0" w:space="0" w:color="auto"/>
            <w:right w:val="none" w:sz="0" w:space="0" w:color="auto"/>
          </w:divBdr>
        </w:div>
        <w:div w:id="926381255">
          <w:marLeft w:val="547"/>
          <w:marRight w:val="0"/>
          <w:marTop w:val="0"/>
          <w:marBottom w:val="0"/>
          <w:divBdr>
            <w:top w:val="none" w:sz="0" w:space="0" w:color="auto"/>
            <w:left w:val="none" w:sz="0" w:space="0" w:color="auto"/>
            <w:bottom w:val="none" w:sz="0" w:space="0" w:color="auto"/>
            <w:right w:val="none" w:sz="0" w:space="0" w:color="auto"/>
          </w:divBdr>
        </w:div>
      </w:divsChild>
    </w:div>
    <w:div w:id="630868965">
      <w:bodyDiv w:val="1"/>
      <w:marLeft w:val="0"/>
      <w:marRight w:val="0"/>
      <w:marTop w:val="0"/>
      <w:marBottom w:val="0"/>
      <w:divBdr>
        <w:top w:val="none" w:sz="0" w:space="0" w:color="auto"/>
        <w:left w:val="none" w:sz="0" w:space="0" w:color="auto"/>
        <w:bottom w:val="none" w:sz="0" w:space="0" w:color="auto"/>
        <w:right w:val="none" w:sz="0" w:space="0" w:color="auto"/>
      </w:divBdr>
      <w:divsChild>
        <w:div w:id="507646181">
          <w:marLeft w:val="0"/>
          <w:marRight w:val="0"/>
          <w:marTop w:val="0"/>
          <w:marBottom w:val="0"/>
          <w:divBdr>
            <w:top w:val="none" w:sz="0" w:space="0" w:color="auto"/>
            <w:left w:val="none" w:sz="0" w:space="0" w:color="auto"/>
            <w:bottom w:val="none" w:sz="0" w:space="0" w:color="auto"/>
            <w:right w:val="none" w:sz="0" w:space="0" w:color="auto"/>
          </w:divBdr>
          <w:divsChild>
            <w:div w:id="14474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21486">
      <w:bodyDiv w:val="1"/>
      <w:marLeft w:val="0"/>
      <w:marRight w:val="0"/>
      <w:marTop w:val="0"/>
      <w:marBottom w:val="0"/>
      <w:divBdr>
        <w:top w:val="none" w:sz="0" w:space="0" w:color="auto"/>
        <w:left w:val="none" w:sz="0" w:space="0" w:color="auto"/>
        <w:bottom w:val="none" w:sz="0" w:space="0" w:color="auto"/>
        <w:right w:val="none" w:sz="0" w:space="0" w:color="auto"/>
      </w:divBdr>
      <w:divsChild>
        <w:div w:id="242031052">
          <w:marLeft w:val="0"/>
          <w:marRight w:val="0"/>
          <w:marTop w:val="0"/>
          <w:marBottom w:val="0"/>
          <w:divBdr>
            <w:top w:val="none" w:sz="0" w:space="0" w:color="auto"/>
            <w:left w:val="none" w:sz="0" w:space="0" w:color="auto"/>
            <w:bottom w:val="none" w:sz="0" w:space="0" w:color="auto"/>
            <w:right w:val="none" w:sz="0" w:space="0" w:color="auto"/>
          </w:divBdr>
          <w:divsChild>
            <w:div w:id="1382707335">
              <w:marLeft w:val="0"/>
              <w:marRight w:val="0"/>
              <w:marTop w:val="30"/>
              <w:marBottom w:val="30"/>
              <w:divBdr>
                <w:top w:val="none" w:sz="0" w:space="0" w:color="auto"/>
                <w:left w:val="none" w:sz="0" w:space="0" w:color="auto"/>
                <w:bottom w:val="none" w:sz="0" w:space="0" w:color="auto"/>
                <w:right w:val="none" w:sz="0" w:space="0" w:color="auto"/>
              </w:divBdr>
              <w:divsChild>
                <w:div w:id="66729836">
                  <w:marLeft w:val="0"/>
                  <w:marRight w:val="0"/>
                  <w:marTop w:val="0"/>
                  <w:marBottom w:val="0"/>
                  <w:divBdr>
                    <w:top w:val="none" w:sz="0" w:space="0" w:color="auto"/>
                    <w:left w:val="none" w:sz="0" w:space="0" w:color="auto"/>
                    <w:bottom w:val="none" w:sz="0" w:space="0" w:color="auto"/>
                    <w:right w:val="none" w:sz="0" w:space="0" w:color="auto"/>
                  </w:divBdr>
                  <w:divsChild>
                    <w:div w:id="1448621580">
                      <w:marLeft w:val="0"/>
                      <w:marRight w:val="0"/>
                      <w:marTop w:val="0"/>
                      <w:marBottom w:val="0"/>
                      <w:divBdr>
                        <w:top w:val="none" w:sz="0" w:space="0" w:color="auto"/>
                        <w:left w:val="none" w:sz="0" w:space="0" w:color="auto"/>
                        <w:bottom w:val="none" w:sz="0" w:space="0" w:color="auto"/>
                        <w:right w:val="none" w:sz="0" w:space="0" w:color="auto"/>
                      </w:divBdr>
                    </w:div>
                  </w:divsChild>
                </w:div>
                <w:div w:id="95908407">
                  <w:marLeft w:val="0"/>
                  <w:marRight w:val="0"/>
                  <w:marTop w:val="0"/>
                  <w:marBottom w:val="0"/>
                  <w:divBdr>
                    <w:top w:val="none" w:sz="0" w:space="0" w:color="auto"/>
                    <w:left w:val="none" w:sz="0" w:space="0" w:color="auto"/>
                    <w:bottom w:val="none" w:sz="0" w:space="0" w:color="auto"/>
                    <w:right w:val="none" w:sz="0" w:space="0" w:color="auto"/>
                  </w:divBdr>
                  <w:divsChild>
                    <w:div w:id="122043106">
                      <w:marLeft w:val="0"/>
                      <w:marRight w:val="0"/>
                      <w:marTop w:val="0"/>
                      <w:marBottom w:val="0"/>
                      <w:divBdr>
                        <w:top w:val="none" w:sz="0" w:space="0" w:color="auto"/>
                        <w:left w:val="none" w:sz="0" w:space="0" w:color="auto"/>
                        <w:bottom w:val="none" w:sz="0" w:space="0" w:color="auto"/>
                        <w:right w:val="none" w:sz="0" w:space="0" w:color="auto"/>
                      </w:divBdr>
                    </w:div>
                    <w:div w:id="980616187">
                      <w:marLeft w:val="0"/>
                      <w:marRight w:val="0"/>
                      <w:marTop w:val="0"/>
                      <w:marBottom w:val="0"/>
                      <w:divBdr>
                        <w:top w:val="none" w:sz="0" w:space="0" w:color="auto"/>
                        <w:left w:val="none" w:sz="0" w:space="0" w:color="auto"/>
                        <w:bottom w:val="none" w:sz="0" w:space="0" w:color="auto"/>
                        <w:right w:val="none" w:sz="0" w:space="0" w:color="auto"/>
                      </w:divBdr>
                    </w:div>
                  </w:divsChild>
                </w:div>
                <w:div w:id="866142636">
                  <w:marLeft w:val="0"/>
                  <w:marRight w:val="0"/>
                  <w:marTop w:val="0"/>
                  <w:marBottom w:val="0"/>
                  <w:divBdr>
                    <w:top w:val="none" w:sz="0" w:space="0" w:color="auto"/>
                    <w:left w:val="none" w:sz="0" w:space="0" w:color="auto"/>
                    <w:bottom w:val="none" w:sz="0" w:space="0" w:color="auto"/>
                    <w:right w:val="none" w:sz="0" w:space="0" w:color="auto"/>
                  </w:divBdr>
                  <w:divsChild>
                    <w:div w:id="1467510279">
                      <w:marLeft w:val="0"/>
                      <w:marRight w:val="0"/>
                      <w:marTop w:val="0"/>
                      <w:marBottom w:val="0"/>
                      <w:divBdr>
                        <w:top w:val="none" w:sz="0" w:space="0" w:color="auto"/>
                        <w:left w:val="none" w:sz="0" w:space="0" w:color="auto"/>
                        <w:bottom w:val="none" w:sz="0" w:space="0" w:color="auto"/>
                        <w:right w:val="none" w:sz="0" w:space="0" w:color="auto"/>
                      </w:divBdr>
                    </w:div>
                  </w:divsChild>
                </w:div>
                <w:div w:id="1373655514">
                  <w:marLeft w:val="0"/>
                  <w:marRight w:val="0"/>
                  <w:marTop w:val="0"/>
                  <w:marBottom w:val="0"/>
                  <w:divBdr>
                    <w:top w:val="none" w:sz="0" w:space="0" w:color="auto"/>
                    <w:left w:val="none" w:sz="0" w:space="0" w:color="auto"/>
                    <w:bottom w:val="none" w:sz="0" w:space="0" w:color="auto"/>
                    <w:right w:val="none" w:sz="0" w:space="0" w:color="auto"/>
                  </w:divBdr>
                  <w:divsChild>
                    <w:div w:id="1338382590">
                      <w:marLeft w:val="0"/>
                      <w:marRight w:val="0"/>
                      <w:marTop w:val="0"/>
                      <w:marBottom w:val="0"/>
                      <w:divBdr>
                        <w:top w:val="none" w:sz="0" w:space="0" w:color="auto"/>
                        <w:left w:val="none" w:sz="0" w:space="0" w:color="auto"/>
                        <w:bottom w:val="none" w:sz="0" w:space="0" w:color="auto"/>
                        <w:right w:val="none" w:sz="0" w:space="0" w:color="auto"/>
                      </w:divBdr>
                    </w:div>
                  </w:divsChild>
                </w:div>
                <w:div w:id="1531381631">
                  <w:marLeft w:val="0"/>
                  <w:marRight w:val="0"/>
                  <w:marTop w:val="0"/>
                  <w:marBottom w:val="0"/>
                  <w:divBdr>
                    <w:top w:val="none" w:sz="0" w:space="0" w:color="auto"/>
                    <w:left w:val="none" w:sz="0" w:space="0" w:color="auto"/>
                    <w:bottom w:val="none" w:sz="0" w:space="0" w:color="auto"/>
                    <w:right w:val="none" w:sz="0" w:space="0" w:color="auto"/>
                  </w:divBdr>
                  <w:divsChild>
                    <w:div w:id="327056101">
                      <w:marLeft w:val="0"/>
                      <w:marRight w:val="0"/>
                      <w:marTop w:val="0"/>
                      <w:marBottom w:val="0"/>
                      <w:divBdr>
                        <w:top w:val="none" w:sz="0" w:space="0" w:color="auto"/>
                        <w:left w:val="none" w:sz="0" w:space="0" w:color="auto"/>
                        <w:bottom w:val="none" w:sz="0" w:space="0" w:color="auto"/>
                        <w:right w:val="none" w:sz="0" w:space="0" w:color="auto"/>
                      </w:divBdr>
                    </w:div>
                    <w:div w:id="632518260">
                      <w:marLeft w:val="0"/>
                      <w:marRight w:val="0"/>
                      <w:marTop w:val="0"/>
                      <w:marBottom w:val="0"/>
                      <w:divBdr>
                        <w:top w:val="none" w:sz="0" w:space="0" w:color="auto"/>
                        <w:left w:val="none" w:sz="0" w:space="0" w:color="auto"/>
                        <w:bottom w:val="none" w:sz="0" w:space="0" w:color="auto"/>
                        <w:right w:val="none" w:sz="0" w:space="0" w:color="auto"/>
                      </w:divBdr>
                    </w:div>
                    <w:div w:id="746149838">
                      <w:marLeft w:val="0"/>
                      <w:marRight w:val="0"/>
                      <w:marTop w:val="0"/>
                      <w:marBottom w:val="0"/>
                      <w:divBdr>
                        <w:top w:val="none" w:sz="0" w:space="0" w:color="auto"/>
                        <w:left w:val="none" w:sz="0" w:space="0" w:color="auto"/>
                        <w:bottom w:val="none" w:sz="0" w:space="0" w:color="auto"/>
                        <w:right w:val="none" w:sz="0" w:space="0" w:color="auto"/>
                      </w:divBdr>
                    </w:div>
                  </w:divsChild>
                </w:div>
                <w:div w:id="1705793233">
                  <w:marLeft w:val="0"/>
                  <w:marRight w:val="0"/>
                  <w:marTop w:val="0"/>
                  <w:marBottom w:val="0"/>
                  <w:divBdr>
                    <w:top w:val="none" w:sz="0" w:space="0" w:color="auto"/>
                    <w:left w:val="none" w:sz="0" w:space="0" w:color="auto"/>
                    <w:bottom w:val="none" w:sz="0" w:space="0" w:color="auto"/>
                    <w:right w:val="none" w:sz="0" w:space="0" w:color="auto"/>
                  </w:divBdr>
                  <w:divsChild>
                    <w:div w:id="728310022">
                      <w:marLeft w:val="0"/>
                      <w:marRight w:val="0"/>
                      <w:marTop w:val="0"/>
                      <w:marBottom w:val="0"/>
                      <w:divBdr>
                        <w:top w:val="none" w:sz="0" w:space="0" w:color="auto"/>
                        <w:left w:val="none" w:sz="0" w:space="0" w:color="auto"/>
                        <w:bottom w:val="none" w:sz="0" w:space="0" w:color="auto"/>
                        <w:right w:val="none" w:sz="0" w:space="0" w:color="auto"/>
                      </w:divBdr>
                    </w:div>
                    <w:div w:id="1198468722">
                      <w:marLeft w:val="0"/>
                      <w:marRight w:val="0"/>
                      <w:marTop w:val="0"/>
                      <w:marBottom w:val="0"/>
                      <w:divBdr>
                        <w:top w:val="none" w:sz="0" w:space="0" w:color="auto"/>
                        <w:left w:val="none" w:sz="0" w:space="0" w:color="auto"/>
                        <w:bottom w:val="none" w:sz="0" w:space="0" w:color="auto"/>
                        <w:right w:val="none" w:sz="0" w:space="0" w:color="auto"/>
                      </w:divBdr>
                    </w:div>
                    <w:div w:id="14608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14892">
          <w:marLeft w:val="0"/>
          <w:marRight w:val="0"/>
          <w:marTop w:val="0"/>
          <w:marBottom w:val="0"/>
          <w:divBdr>
            <w:top w:val="none" w:sz="0" w:space="0" w:color="auto"/>
            <w:left w:val="none" w:sz="0" w:space="0" w:color="auto"/>
            <w:bottom w:val="none" w:sz="0" w:space="0" w:color="auto"/>
            <w:right w:val="none" w:sz="0" w:space="0" w:color="auto"/>
          </w:divBdr>
        </w:div>
        <w:div w:id="1009332546">
          <w:marLeft w:val="0"/>
          <w:marRight w:val="0"/>
          <w:marTop w:val="0"/>
          <w:marBottom w:val="0"/>
          <w:divBdr>
            <w:top w:val="none" w:sz="0" w:space="0" w:color="auto"/>
            <w:left w:val="none" w:sz="0" w:space="0" w:color="auto"/>
            <w:bottom w:val="none" w:sz="0" w:space="0" w:color="auto"/>
            <w:right w:val="none" w:sz="0" w:space="0" w:color="auto"/>
          </w:divBdr>
        </w:div>
        <w:div w:id="1240628561">
          <w:marLeft w:val="0"/>
          <w:marRight w:val="0"/>
          <w:marTop w:val="0"/>
          <w:marBottom w:val="0"/>
          <w:divBdr>
            <w:top w:val="none" w:sz="0" w:space="0" w:color="auto"/>
            <w:left w:val="none" w:sz="0" w:space="0" w:color="auto"/>
            <w:bottom w:val="none" w:sz="0" w:space="0" w:color="auto"/>
            <w:right w:val="none" w:sz="0" w:space="0" w:color="auto"/>
          </w:divBdr>
        </w:div>
      </w:divsChild>
    </w:div>
    <w:div w:id="698093472">
      <w:bodyDiv w:val="1"/>
      <w:marLeft w:val="0"/>
      <w:marRight w:val="0"/>
      <w:marTop w:val="0"/>
      <w:marBottom w:val="0"/>
      <w:divBdr>
        <w:top w:val="none" w:sz="0" w:space="0" w:color="auto"/>
        <w:left w:val="none" w:sz="0" w:space="0" w:color="auto"/>
        <w:bottom w:val="none" w:sz="0" w:space="0" w:color="auto"/>
        <w:right w:val="none" w:sz="0" w:space="0" w:color="auto"/>
      </w:divBdr>
    </w:div>
    <w:div w:id="741219935">
      <w:bodyDiv w:val="1"/>
      <w:marLeft w:val="0"/>
      <w:marRight w:val="0"/>
      <w:marTop w:val="0"/>
      <w:marBottom w:val="0"/>
      <w:divBdr>
        <w:top w:val="none" w:sz="0" w:space="0" w:color="auto"/>
        <w:left w:val="none" w:sz="0" w:space="0" w:color="auto"/>
        <w:bottom w:val="none" w:sz="0" w:space="0" w:color="auto"/>
        <w:right w:val="none" w:sz="0" w:space="0" w:color="auto"/>
      </w:divBdr>
    </w:div>
    <w:div w:id="780800463">
      <w:bodyDiv w:val="1"/>
      <w:marLeft w:val="0"/>
      <w:marRight w:val="0"/>
      <w:marTop w:val="0"/>
      <w:marBottom w:val="0"/>
      <w:divBdr>
        <w:top w:val="none" w:sz="0" w:space="0" w:color="auto"/>
        <w:left w:val="none" w:sz="0" w:space="0" w:color="auto"/>
        <w:bottom w:val="none" w:sz="0" w:space="0" w:color="auto"/>
        <w:right w:val="none" w:sz="0" w:space="0" w:color="auto"/>
      </w:divBdr>
      <w:divsChild>
        <w:div w:id="92484279">
          <w:marLeft w:val="0"/>
          <w:marRight w:val="0"/>
          <w:marTop w:val="0"/>
          <w:marBottom w:val="0"/>
          <w:divBdr>
            <w:top w:val="none" w:sz="0" w:space="0" w:color="auto"/>
            <w:left w:val="none" w:sz="0" w:space="0" w:color="auto"/>
            <w:bottom w:val="none" w:sz="0" w:space="0" w:color="auto"/>
            <w:right w:val="none" w:sz="0" w:space="0" w:color="auto"/>
          </w:divBdr>
        </w:div>
        <w:div w:id="206257599">
          <w:marLeft w:val="0"/>
          <w:marRight w:val="0"/>
          <w:marTop w:val="0"/>
          <w:marBottom w:val="0"/>
          <w:divBdr>
            <w:top w:val="none" w:sz="0" w:space="0" w:color="auto"/>
            <w:left w:val="none" w:sz="0" w:space="0" w:color="auto"/>
            <w:bottom w:val="none" w:sz="0" w:space="0" w:color="auto"/>
            <w:right w:val="none" w:sz="0" w:space="0" w:color="auto"/>
          </w:divBdr>
        </w:div>
        <w:div w:id="659312196">
          <w:marLeft w:val="0"/>
          <w:marRight w:val="0"/>
          <w:marTop w:val="0"/>
          <w:marBottom w:val="0"/>
          <w:divBdr>
            <w:top w:val="none" w:sz="0" w:space="0" w:color="auto"/>
            <w:left w:val="none" w:sz="0" w:space="0" w:color="auto"/>
            <w:bottom w:val="none" w:sz="0" w:space="0" w:color="auto"/>
            <w:right w:val="none" w:sz="0" w:space="0" w:color="auto"/>
          </w:divBdr>
          <w:divsChild>
            <w:div w:id="323705987">
              <w:marLeft w:val="0"/>
              <w:marRight w:val="0"/>
              <w:marTop w:val="30"/>
              <w:marBottom w:val="30"/>
              <w:divBdr>
                <w:top w:val="none" w:sz="0" w:space="0" w:color="auto"/>
                <w:left w:val="none" w:sz="0" w:space="0" w:color="auto"/>
                <w:bottom w:val="none" w:sz="0" w:space="0" w:color="auto"/>
                <w:right w:val="none" w:sz="0" w:space="0" w:color="auto"/>
              </w:divBdr>
              <w:divsChild>
                <w:div w:id="65884377">
                  <w:marLeft w:val="0"/>
                  <w:marRight w:val="0"/>
                  <w:marTop w:val="0"/>
                  <w:marBottom w:val="0"/>
                  <w:divBdr>
                    <w:top w:val="none" w:sz="0" w:space="0" w:color="auto"/>
                    <w:left w:val="none" w:sz="0" w:space="0" w:color="auto"/>
                    <w:bottom w:val="none" w:sz="0" w:space="0" w:color="auto"/>
                    <w:right w:val="none" w:sz="0" w:space="0" w:color="auto"/>
                  </w:divBdr>
                  <w:divsChild>
                    <w:div w:id="1258250710">
                      <w:marLeft w:val="0"/>
                      <w:marRight w:val="0"/>
                      <w:marTop w:val="0"/>
                      <w:marBottom w:val="0"/>
                      <w:divBdr>
                        <w:top w:val="none" w:sz="0" w:space="0" w:color="auto"/>
                        <w:left w:val="none" w:sz="0" w:space="0" w:color="auto"/>
                        <w:bottom w:val="none" w:sz="0" w:space="0" w:color="auto"/>
                        <w:right w:val="none" w:sz="0" w:space="0" w:color="auto"/>
                      </w:divBdr>
                    </w:div>
                    <w:div w:id="1914268489">
                      <w:marLeft w:val="0"/>
                      <w:marRight w:val="0"/>
                      <w:marTop w:val="0"/>
                      <w:marBottom w:val="0"/>
                      <w:divBdr>
                        <w:top w:val="none" w:sz="0" w:space="0" w:color="auto"/>
                        <w:left w:val="none" w:sz="0" w:space="0" w:color="auto"/>
                        <w:bottom w:val="none" w:sz="0" w:space="0" w:color="auto"/>
                        <w:right w:val="none" w:sz="0" w:space="0" w:color="auto"/>
                      </w:divBdr>
                    </w:div>
                  </w:divsChild>
                </w:div>
                <w:div w:id="87433433">
                  <w:marLeft w:val="0"/>
                  <w:marRight w:val="0"/>
                  <w:marTop w:val="0"/>
                  <w:marBottom w:val="0"/>
                  <w:divBdr>
                    <w:top w:val="none" w:sz="0" w:space="0" w:color="auto"/>
                    <w:left w:val="none" w:sz="0" w:space="0" w:color="auto"/>
                    <w:bottom w:val="none" w:sz="0" w:space="0" w:color="auto"/>
                    <w:right w:val="none" w:sz="0" w:space="0" w:color="auto"/>
                  </w:divBdr>
                  <w:divsChild>
                    <w:div w:id="1493184595">
                      <w:marLeft w:val="0"/>
                      <w:marRight w:val="0"/>
                      <w:marTop w:val="0"/>
                      <w:marBottom w:val="0"/>
                      <w:divBdr>
                        <w:top w:val="none" w:sz="0" w:space="0" w:color="auto"/>
                        <w:left w:val="none" w:sz="0" w:space="0" w:color="auto"/>
                        <w:bottom w:val="none" w:sz="0" w:space="0" w:color="auto"/>
                        <w:right w:val="none" w:sz="0" w:space="0" w:color="auto"/>
                      </w:divBdr>
                    </w:div>
                  </w:divsChild>
                </w:div>
                <w:div w:id="241987304">
                  <w:marLeft w:val="0"/>
                  <w:marRight w:val="0"/>
                  <w:marTop w:val="0"/>
                  <w:marBottom w:val="0"/>
                  <w:divBdr>
                    <w:top w:val="none" w:sz="0" w:space="0" w:color="auto"/>
                    <w:left w:val="none" w:sz="0" w:space="0" w:color="auto"/>
                    <w:bottom w:val="none" w:sz="0" w:space="0" w:color="auto"/>
                    <w:right w:val="none" w:sz="0" w:space="0" w:color="auto"/>
                  </w:divBdr>
                  <w:divsChild>
                    <w:div w:id="1397359016">
                      <w:marLeft w:val="0"/>
                      <w:marRight w:val="0"/>
                      <w:marTop w:val="0"/>
                      <w:marBottom w:val="0"/>
                      <w:divBdr>
                        <w:top w:val="none" w:sz="0" w:space="0" w:color="auto"/>
                        <w:left w:val="none" w:sz="0" w:space="0" w:color="auto"/>
                        <w:bottom w:val="none" w:sz="0" w:space="0" w:color="auto"/>
                        <w:right w:val="none" w:sz="0" w:space="0" w:color="auto"/>
                      </w:divBdr>
                    </w:div>
                    <w:div w:id="1425960247">
                      <w:marLeft w:val="0"/>
                      <w:marRight w:val="0"/>
                      <w:marTop w:val="0"/>
                      <w:marBottom w:val="0"/>
                      <w:divBdr>
                        <w:top w:val="none" w:sz="0" w:space="0" w:color="auto"/>
                        <w:left w:val="none" w:sz="0" w:space="0" w:color="auto"/>
                        <w:bottom w:val="none" w:sz="0" w:space="0" w:color="auto"/>
                        <w:right w:val="none" w:sz="0" w:space="0" w:color="auto"/>
                      </w:divBdr>
                    </w:div>
                    <w:div w:id="1534995578">
                      <w:marLeft w:val="0"/>
                      <w:marRight w:val="0"/>
                      <w:marTop w:val="0"/>
                      <w:marBottom w:val="0"/>
                      <w:divBdr>
                        <w:top w:val="none" w:sz="0" w:space="0" w:color="auto"/>
                        <w:left w:val="none" w:sz="0" w:space="0" w:color="auto"/>
                        <w:bottom w:val="none" w:sz="0" w:space="0" w:color="auto"/>
                        <w:right w:val="none" w:sz="0" w:space="0" w:color="auto"/>
                      </w:divBdr>
                    </w:div>
                  </w:divsChild>
                </w:div>
                <w:div w:id="870536388">
                  <w:marLeft w:val="0"/>
                  <w:marRight w:val="0"/>
                  <w:marTop w:val="0"/>
                  <w:marBottom w:val="0"/>
                  <w:divBdr>
                    <w:top w:val="none" w:sz="0" w:space="0" w:color="auto"/>
                    <w:left w:val="none" w:sz="0" w:space="0" w:color="auto"/>
                    <w:bottom w:val="none" w:sz="0" w:space="0" w:color="auto"/>
                    <w:right w:val="none" w:sz="0" w:space="0" w:color="auto"/>
                  </w:divBdr>
                  <w:divsChild>
                    <w:div w:id="443840512">
                      <w:marLeft w:val="0"/>
                      <w:marRight w:val="0"/>
                      <w:marTop w:val="0"/>
                      <w:marBottom w:val="0"/>
                      <w:divBdr>
                        <w:top w:val="none" w:sz="0" w:space="0" w:color="auto"/>
                        <w:left w:val="none" w:sz="0" w:space="0" w:color="auto"/>
                        <w:bottom w:val="none" w:sz="0" w:space="0" w:color="auto"/>
                        <w:right w:val="none" w:sz="0" w:space="0" w:color="auto"/>
                      </w:divBdr>
                    </w:div>
                  </w:divsChild>
                </w:div>
                <w:div w:id="908001356">
                  <w:marLeft w:val="0"/>
                  <w:marRight w:val="0"/>
                  <w:marTop w:val="0"/>
                  <w:marBottom w:val="0"/>
                  <w:divBdr>
                    <w:top w:val="none" w:sz="0" w:space="0" w:color="auto"/>
                    <w:left w:val="none" w:sz="0" w:space="0" w:color="auto"/>
                    <w:bottom w:val="none" w:sz="0" w:space="0" w:color="auto"/>
                    <w:right w:val="none" w:sz="0" w:space="0" w:color="auto"/>
                  </w:divBdr>
                  <w:divsChild>
                    <w:div w:id="674039794">
                      <w:marLeft w:val="0"/>
                      <w:marRight w:val="0"/>
                      <w:marTop w:val="0"/>
                      <w:marBottom w:val="0"/>
                      <w:divBdr>
                        <w:top w:val="none" w:sz="0" w:space="0" w:color="auto"/>
                        <w:left w:val="none" w:sz="0" w:space="0" w:color="auto"/>
                        <w:bottom w:val="none" w:sz="0" w:space="0" w:color="auto"/>
                        <w:right w:val="none" w:sz="0" w:space="0" w:color="auto"/>
                      </w:divBdr>
                    </w:div>
                    <w:div w:id="1383291331">
                      <w:marLeft w:val="0"/>
                      <w:marRight w:val="0"/>
                      <w:marTop w:val="0"/>
                      <w:marBottom w:val="0"/>
                      <w:divBdr>
                        <w:top w:val="none" w:sz="0" w:space="0" w:color="auto"/>
                        <w:left w:val="none" w:sz="0" w:space="0" w:color="auto"/>
                        <w:bottom w:val="none" w:sz="0" w:space="0" w:color="auto"/>
                        <w:right w:val="none" w:sz="0" w:space="0" w:color="auto"/>
                      </w:divBdr>
                    </w:div>
                    <w:div w:id="1920363918">
                      <w:marLeft w:val="0"/>
                      <w:marRight w:val="0"/>
                      <w:marTop w:val="0"/>
                      <w:marBottom w:val="0"/>
                      <w:divBdr>
                        <w:top w:val="none" w:sz="0" w:space="0" w:color="auto"/>
                        <w:left w:val="none" w:sz="0" w:space="0" w:color="auto"/>
                        <w:bottom w:val="none" w:sz="0" w:space="0" w:color="auto"/>
                        <w:right w:val="none" w:sz="0" w:space="0" w:color="auto"/>
                      </w:divBdr>
                    </w:div>
                  </w:divsChild>
                </w:div>
                <w:div w:id="1861237062">
                  <w:marLeft w:val="0"/>
                  <w:marRight w:val="0"/>
                  <w:marTop w:val="0"/>
                  <w:marBottom w:val="0"/>
                  <w:divBdr>
                    <w:top w:val="none" w:sz="0" w:space="0" w:color="auto"/>
                    <w:left w:val="none" w:sz="0" w:space="0" w:color="auto"/>
                    <w:bottom w:val="none" w:sz="0" w:space="0" w:color="auto"/>
                    <w:right w:val="none" w:sz="0" w:space="0" w:color="auto"/>
                  </w:divBdr>
                  <w:divsChild>
                    <w:div w:id="32081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8456">
          <w:marLeft w:val="0"/>
          <w:marRight w:val="0"/>
          <w:marTop w:val="0"/>
          <w:marBottom w:val="0"/>
          <w:divBdr>
            <w:top w:val="none" w:sz="0" w:space="0" w:color="auto"/>
            <w:left w:val="none" w:sz="0" w:space="0" w:color="auto"/>
            <w:bottom w:val="none" w:sz="0" w:space="0" w:color="auto"/>
            <w:right w:val="none" w:sz="0" w:space="0" w:color="auto"/>
          </w:divBdr>
        </w:div>
      </w:divsChild>
    </w:div>
    <w:div w:id="872690480">
      <w:bodyDiv w:val="1"/>
      <w:marLeft w:val="0"/>
      <w:marRight w:val="0"/>
      <w:marTop w:val="0"/>
      <w:marBottom w:val="0"/>
      <w:divBdr>
        <w:top w:val="none" w:sz="0" w:space="0" w:color="auto"/>
        <w:left w:val="none" w:sz="0" w:space="0" w:color="auto"/>
        <w:bottom w:val="none" w:sz="0" w:space="0" w:color="auto"/>
        <w:right w:val="none" w:sz="0" w:space="0" w:color="auto"/>
      </w:divBdr>
      <w:divsChild>
        <w:div w:id="484594166">
          <w:marLeft w:val="0"/>
          <w:marRight w:val="0"/>
          <w:marTop w:val="0"/>
          <w:marBottom w:val="0"/>
          <w:divBdr>
            <w:top w:val="none" w:sz="0" w:space="0" w:color="auto"/>
            <w:left w:val="none" w:sz="0" w:space="0" w:color="auto"/>
            <w:bottom w:val="none" w:sz="0" w:space="0" w:color="auto"/>
            <w:right w:val="none" w:sz="0" w:space="0" w:color="auto"/>
          </w:divBdr>
        </w:div>
        <w:div w:id="658117444">
          <w:marLeft w:val="0"/>
          <w:marRight w:val="0"/>
          <w:marTop w:val="0"/>
          <w:marBottom w:val="0"/>
          <w:divBdr>
            <w:top w:val="none" w:sz="0" w:space="0" w:color="auto"/>
            <w:left w:val="none" w:sz="0" w:space="0" w:color="auto"/>
            <w:bottom w:val="none" w:sz="0" w:space="0" w:color="auto"/>
            <w:right w:val="none" w:sz="0" w:space="0" w:color="auto"/>
          </w:divBdr>
        </w:div>
        <w:div w:id="1307010972">
          <w:marLeft w:val="0"/>
          <w:marRight w:val="0"/>
          <w:marTop w:val="0"/>
          <w:marBottom w:val="0"/>
          <w:divBdr>
            <w:top w:val="none" w:sz="0" w:space="0" w:color="auto"/>
            <w:left w:val="none" w:sz="0" w:space="0" w:color="auto"/>
            <w:bottom w:val="none" w:sz="0" w:space="0" w:color="auto"/>
            <w:right w:val="none" w:sz="0" w:space="0" w:color="auto"/>
          </w:divBdr>
        </w:div>
        <w:div w:id="1677491832">
          <w:marLeft w:val="0"/>
          <w:marRight w:val="0"/>
          <w:marTop w:val="0"/>
          <w:marBottom w:val="0"/>
          <w:divBdr>
            <w:top w:val="none" w:sz="0" w:space="0" w:color="auto"/>
            <w:left w:val="none" w:sz="0" w:space="0" w:color="auto"/>
            <w:bottom w:val="none" w:sz="0" w:space="0" w:color="auto"/>
            <w:right w:val="none" w:sz="0" w:space="0" w:color="auto"/>
          </w:divBdr>
        </w:div>
        <w:div w:id="1721589769">
          <w:marLeft w:val="0"/>
          <w:marRight w:val="0"/>
          <w:marTop w:val="0"/>
          <w:marBottom w:val="0"/>
          <w:divBdr>
            <w:top w:val="none" w:sz="0" w:space="0" w:color="auto"/>
            <w:left w:val="none" w:sz="0" w:space="0" w:color="auto"/>
            <w:bottom w:val="none" w:sz="0" w:space="0" w:color="auto"/>
            <w:right w:val="none" w:sz="0" w:space="0" w:color="auto"/>
          </w:divBdr>
        </w:div>
        <w:div w:id="1984918326">
          <w:marLeft w:val="0"/>
          <w:marRight w:val="0"/>
          <w:marTop w:val="0"/>
          <w:marBottom w:val="0"/>
          <w:divBdr>
            <w:top w:val="none" w:sz="0" w:space="0" w:color="auto"/>
            <w:left w:val="none" w:sz="0" w:space="0" w:color="auto"/>
            <w:bottom w:val="none" w:sz="0" w:space="0" w:color="auto"/>
            <w:right w:val="none" w:sz="0" w:space="0" w:color="auto"/>
          </w:divBdr>
        </w:div>
        <w:div w:id="2031490981">
          <w:marLeft w:val="0"/>
          <w:marRight w:val="0"/>
          <w:marTop w:val="0"/>
          <w:marBottom w:val="0"/>
          <w:divBdr>
            <w:top w:val="none" w:sz="0" w:space="0" w:color="auto"/>
            <w:left w:val="none" w:sz="0" w:space="0" w:color="auto"/>
            <w:bottom w:val="none" w:sz="0" w:space="0" w:color="auto"/>
            <w:right w:val="none" w:sz="0" w:space="0" w:color="auto"/>
          </w:divBdr>
        </w:div>
      </w:divsChild>
    </w:div>
    <w:div w:id="913516259">
      <w:bodyDiv w:val="1"/>
      <w:marLeft w:val="0"/>
      <w:marRight w:val="0"/>
      <w:marTop w:val="0"/>
      <w:marBottom w:val="0"/>
      <w:divBdr>
        <w:top w:val="none" w:sz="0" w:space="0" w:color="auto"/>
        <w:left w:val="none" w:sz="0" w:space="0" w:color="auto"/>
        <w:bottom w:val="none" w:sz="0" w:space="0" w:color="auto"/>
        <w:right w:val="none" w:sz="0" w:space="0" w:color="auto"/>
      </w:divBdr>
    </w:div>
    <w:div w:id="930624740">
      <w:bodyDiv w:val="1"/>
      <w:marLeft w:val="0"/>
      <w:marRight w:val="0"/>
      <w:marTop w:val="0"/>
      <w:marBottom w:val="0"/>
      <w:divBdr>
        <w:top w:val="none" w:sz="0" w:space="0" w:color="auto"/>
        <w:left w:val="none" w:sz="0" w:space="0" w:color="auto"/>
        <w:bottom w:val="none" w:sz="0" w:space="0" w:color="auto"/>
        <w:right w:val="none" w:sz="0" w:space="0" w:color="auto"/>
      </w:divBdr>
    </w:div>
    <w:div w:id="932473170">
      <w:bodyDiv w:val="1"/>
      <w:marLeft w:val="0"/>
      <w:marRight w:val="0"/>
      <w:marTop w:val="0"/>
      <w:marBottom w:val="0"/>
      <w:divBdr>
        <w:top w:val="none" w:sz="0" w:space="0" w:color="auto"/>
        <w:left w:val="none" w:sz="0" w:space="0" w:color="auto"/>
        <w:bottom w:val="none" w:sz="0" w:space="0" w:color="auto"/>
        <w:right w:val="none" w:sz="0" w:space="0" w:color="auto"/>
      </w:divBdr>
      <w:divsChild>
        <w:div w:id="1465125623">
          <w:marLeft w:val="547"/>
          <w:marRight w:val="0"/>
          <w:marTop w:val="0"/>
          <w:marBottom w:val="0"/>
          <w:divBdr>
            <w:top w:val="none" w:sz="0" w:space="0" w:color="auto"/>
            <w:left w:val="none" w:sz="0" w:space="0" w:color="auto"/>
            <w:bottom w:val="none" w:sz="0" w:space="0" w:color="auto"/>
            <w:right w:val="none" w:sz="0" w:space="0" w:color="auto"/>
          </w:divBdr>
        </w:div>
      </w:divsChild>
    </w:div>
    <w:div w:id="1010252183">
      <w:bodyDiv w:val="1"/>
      <w:marLeft w:val="0"/>
      <w:marRight w:val="0"/>
      <w:marTop w:val="0"/>
      <w:marBottom w:val="0"/>
      <w:divBdr>
        <w:top w:val="none" w:sz="0" w:space="0" w:color="auto"/>
        <w:left w:val="none" w:sz="0" w:space="0" w:color="auto"/>
        <w:bottom w:val="none" w:sz="0" w:space="0" w:color="auto"/>
        <w:right w:val="none" w:sz="0" w:space="0" w:color="auto"/>
      </w:divBdr>
      <w:divsChild>
        <w:div w:id="799802683">
          <w:marLeft w:val="0"/>
          <w:marRight w:val="0"/>
          <w:marTop w:val="0"/>
          <w:marBottom w:val="0"/>
          <w:divBdr>
            <w:top w:val="none" w:sz="0" w:space="0" w:color="auto"/>
            <w:left w:val="none" w:sz="0" w:space="0" w:color="auto"/>
            <w:bottom w:val="none" w:sz="0" w:space="0" w:color="auto"/>
            <w:right w:val="none" w:sz="0" w:space="0" w:color="auto"/>
          </w:divBdr>
        </w:div>
        <w:div w:id="948589746">
          <w:marLeft w:val="0"/>
          <w:marRight w:val="0"/>
          <w:marTop w:val="0"/>
          <w:marBottom w:val="0"/>
          <w:divBdr>
            <w:top w:val="none" w:sz="0" w:space="0" w:color="auto"/>
            <w:left w:val="none" w:sz="0" w:space="0" w:color="auto"/>
            <w:bottom w:val="none" w:sz="0" w:space="0" w:color="auto"/>
            <w:right w:val="none" w:sz="0" w:space="0" w:color="auto"/>
          </w:divBdr>
        </w:div>
        <w:div w:id="1557664083">
          <w:marLeft w:val="0"/>
          <w:marRight w:val="0"/>
          <w:marTop w:val="0"/>
          <w:marBottom w:val="0"/>
          <w:divBdr>
            <w:top w:val="none" w:sz="0" w:space="0" w:color="auto"/>
            <w:left w:val="none" w:sz="0" w:space="0" w:color="auto"/>
            <w:bottom w:val="none" w:sz="0" w:space="0" w:color="auto"/>
            <w:right w:val="none" w:sz="0" w:space="0" w:color="auto"/>
          </w:divBdr>
        </w:div>
      </w:divsChild>
    </w:div>
    <w:div w:id="1014309803">
      <w:bodyDiv w:val="1"/>
      <w:marLeft w:val="0"/>
      <w:marRight w:val="0"/>
      <w:marTop w:val="0"/>
      <w:marBottom w:val="0"/>
      <w:divBdr>
        <w:top w:val="none" w:sz="0" w:space="0" w:color="auto"/>
        <w:left w:val="none" w:sz="0" w:space="0" w:color="auto"/>
        <w:bottom w:val="none" w:sz="0" w:space="0" w:color="auto"/>
        <w:right w:val="none" w:sz="0" w:space="0" w:color="auto"/>
      </w:divBdr>
      <w:divsChild>
        <w:div w:id="893465591">
          <w:marLeft w:val="547"/>
          <w:marRight w:val="0"/>
          <w:marTop w:val="0"/>
          <w:marBottom w:val="0"/>
          <w:divBdr>
            <w:top w:val="none" w:sz="0" w:space="0" w:color="auto"/>
            <w:left w:val="none" w:sz="0" w:space="0" w:color="auto"/>
            <w:bottom w:val="none" w:sz="0" w:space="0" w:color="auto"/>
            <w:right w:val="none" w:sz="0" w:space="0" w:color="auto"/>
          </w:divBdr>
        </w:div>
        <w:div w:id="1529947137">
          <w:marLeft w:val="547"/>
          <w:marRight w:val="0"/>
          <w:marTop w:val="0"/>
          <w:marBottom w:val="0"/>
          <w:divBdr>
            <w:top w:val="none" w:sz="0" w:space="0" w:color="auto"/>
            <w:left w:val="none" w:sz="0" w:space="0" w:color="auto"/>
            <w:bottom w:val="none" w:sz="0" w:space="0" w:color="auto"/>
            <w:right w:val="none" w:sz="0" w:space="0" w:color="auto"/>
          </w:divBdr>
        </w:div>
        <w:div w:id="1617441746">
          <w:marLeft w:val="547"/>
          <w:marRight w:val="0"/>
          <w:marTop w:val="0"/>
          <w:marBottom w:val="0"/>
          <w:divBdr>
            <w:top w:val="none" w:sz="0" w:space="0" w:color="auto"/>
            <w:left w:val="none" w:sz="0" w:space="0" w:color="auto"/>
            <w:bottom w:val="none" w:sz="0" w:space="0" w:color="auto"/>
            <w:right w:val="none" w:sz="0" w:space="0" w:color="auto"/>
          </w:divBdr>
        </w:div>
        <w:div w:id="2135362211">
          <w:marLeft w:val="547"/>
          <w:marRight w:val="0"/>
          <w:marTop w:val="0"/>
          <w:marBottom w:val="0"/>
          <w:divBdr>
            <w:top w:val="none" w:sz="0" w:space="0" w:color="auto"/>
            <w:left w:val="none" w:sz="0" w:space="0" w:color="auto"/>
            <w:bottom w:val="none" w:sz="0" w:space="0" w:color="auto"/>
            <w:right w:val="none" w:sz="0" w:space="0" w:color="auto"/>
          </w:divBdr>
        </w:div>
      </w:divsChild>
    </w:div>
    <w:div w:id="1110709412">
      <w:bodyDiv w:val="1"/>
      <w:marLeft w:val="0"/>
      <w:marRight w:val="0"/>
      <w:marTop w:val="0"/>
      <w:marBottom w:val="0"/>
      <w:divBdr>
        <w:top w:val="none" w:sz="0" w:space="0" w:color="auto"/>
        <w:left w:val="none" w:sz="0" w:space="0" w:color="auto"/>
        <w:bottom w:val="none" w:sz="0" w:space="0" w:color="auto"/>
        <w:right w:val="none" w:sz="0" w:space="0" w:color="auto"/>
      </w:divBdr>
      <w:divsChild>
        <w:div w:id="67121595">
          <w:marLeft w:val="547"/>
          <w:marRight w:val="0"/>
          <w:marTop w:val="0"/>
          <w:marBottom w:val="0"/>
          <w:divBdr>
            <w:top w:val="none" w:sz="0" w:space="0" w:color="auto"/>
            <w:left w:val="none" w:sz="0" w:space="0" w:color="auto"/>
            <w:bottom w:val="none" w:sz="0" w:space="0" w:color="auto"/>
            <w:right w:val="none" w:sz="0" w:space="0" w:color="auto"/>
          </w:divBdr>
        </w:div>
        <w:div w:id="383330679">
          <w:marLeft w:val="547"/>
          <w:marRight w:val="0"/>
          <w:marTop w:val="0"/>
          <w:marBottom w:val="0"/>
          <w:divBdr>
            <w:top w:val="none" w:sz="0" w:space="0" w:color="auto"/>
            <w:left w:val="none" w:sz="0" w:space="0" w:color="auto"/>
            <w:bottom w:val="none" w:sz="0" w:space="0" w:color="auto"/>
            <w:right w:val="none" w:sz="0" w:space="0" w:color="auto"/>
          </w:divBdr>
        </w:div>
        <w:div w:id="719672069">
          <w:marLeft w:val="547"/>
          <w:marRight w:val="0"/>
          <w:marTop w:val="0"/>
          <w:marBottom w:val="0"/>
          <w:divBdr>
            <w:top w:val="none" w:sz="0" w:space="0" w:color="auto"/>
            <w:left w:val="none" w:sz="0" w:space="0" w:color="auto"/>
            <w:bottom w:val="none" w:sz="0" w:space="0" w:color="auto"/>
            <w:right w:val="none" w:sz="0" w:space="0" w:color="auto"/>
          </w:divBdr>
        </w:div>
        <w:div w:id="890312714">
          <w:marLeft w:val="547"/>
          <w:marRight w:val="0"/>
          <w:marTop w:val="0"/>
          <w:marBottom w:val="0"/>
          <w:divBdr>
            <w:top w:val="none" w:sz="0" w:space="0" w:color="auto"/>
            <w:left w:val="none" w:sz="0" w:space="0" w:color="auto"/>
            <w:bottom w:val="none" w:sz="0" w:space="0" w:color="auto"/>
            <w:right w:val="none" w:sz="0" w:space="0" w:color="auto"/>
          </w:divBdr>
        </w:div>
        <w:div w:id="920875338">
          <w:marLeft w:val="547"/>
          <w:marRight w:val="0"/>
          <w:marTop w:val="0"/>
          <w:marBottom w:val="0"/>
          <w:divBdr>
            <w:top w:val="none" w:sz="0" w:space="0" w:color="auto"/>
            <w:left w:val="none" w:sz="0" w:space="0" w:color="auto"/>
            <w:bottom w:val="none" w:sz="0" w:space="0" w:color="auto"/>
            <w:right w:val="none" w:sz="0" w:space="0" w:color="auto"/>
          </w:divBdr>
        </w:div>
        <w:div w:id="1625622963">
          <w:marLeft w:val="547"/>
          <w:marRight w:val="0"/>
          <w:marTop w:val="0"/>
          <w:marBottom w:val="0"/>
          <w:divBdr>
            <w:top w:val="none" w:sz="0" w:space="0" w:color="auto"/>
            <w:left w:val="none" w:sz="0" w:space="0" w:color="auto"/>
            <w:bottom w:val="none" w:sz="0" w:space="0" w:color="auto"/>
            <w:right w:val="none" w:sz="0" w:space="0" w:color="auto"/>
          </w:divBdr>
        </w:div>
        <w:div w:id="2080396208">
          <w:marLeft w:val="547"/>
          <w:marRight w:val="0"/>
          <w:marTop w:val="0"/>
          <w:marBottom w:val="0"/>
          <w:divBdr>
            <w:top w:val="none" w:sz="0" w:space="0" w:color="auto"/>
            <w:left w:val="none" w:sz="0" w:space="0" w:color="auto"/>
            <w:bottom w:val="none" w:sz="0" w:space="0" w:color="auto"/>
            <w:right w:val="none" w:sz="0" w:space="0" w:color="auto"/>
          </w:divBdr>
        </w:div>
      </w:divsChild>
    </w:div>
    <w:div w:id="1206525898">
      <w:bodyDiv w:val="1"/>
      <w:marLeft w:val="0"/>
      <w:marRight w:val="0"/>
      <w:marTop w:val="0"/>
      <w:marBottom w:val="0"/>
      <w:divBdr>
        <w:top w:val="none" w:sz="0" w:space="0" w:color="auto"/>
        <w:left w:val="none" w:sz="0" w:space="0" w:color="auto"/>
        <w:bottom w:val="none" w:sz="0" w:space="0" w:color="auto"/>
        <w:right w:val="none" w:sz="0" w:space="0" w:color="auto"/>
      </w:divBdr>
    </w:div>
    <w:div w:id="1242108358">
      <w:bodyDiv w:val="1"/>
      <w:marLeft w:val="0"/>
      <w:marRight w:val="0"/>
      <w:marTop w:val="0"/>
      <w:marBottom w:val="0"/>
      <w:divBdr>
        <w:top w:val="none" w:sz="0" w:space="0" w:color="auto"/>
        <w:left w:val="none" w:sz="0" w:space="0" w:color="auto"/>
        <w:bottom w:val="none" w:sz="0" w:space="0" w:color="auto"/>
        <w:right w:val="none" w:sz="0" w:space="0" w:color="auto"/>
      </w:divBdr>
      <w:divsChild>
        <w:div w:id="1843664904">
          <w:marLeft w:val="0"/>
          <w:marRight w:val="0"/>
          <w:marTop w:val="0"/>
          <w:marBottom w:val="0"/>
          <w:divBdr>
            <w:top w:val="none" w:sz="0" w:space="0" w:color="auto"/>
            <w:left w:val="none" w:sz="0" w:space="0" w:color="auto"/>
            <w:bottom w:val="none" w:sz="0" w:space="0" w:color="auto"/>
            <w:right w:val="none" w:sz="0" w:space="0" w:color="auto"/>
          </w:divBdr>
          <w:divsChild>
            <w:div w:id="20888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05083">
      <w:bodyDiv w:val="1"/>
      <w:marLeft w:val="0"/>
      <w:marRight w:val="0"/>
      <w:marTop w:val="0"/>
      <w:marBottom w:val="0"/>
      <w:divBdr>
        <w:top w:val="none" w:sz="0" w:space="0" w:color="auto"/>
        <w:left w:val="none" w:sz="0" w:space="0" w:color="auto"/>
        <w:bottom w:val="none" w:sz="0" w:space="0" w:color="auto"/>
        <w:right w:val="none" w:sz="0" w:space="0" w:color="auto"/>
      </w:divBdr>
      <w:divsChild>
        <w:div w:id="52193506">
          <w:marLeft w:val="547"/>
          <w:marRight w:val="0"/>
          <w:marTop w:val="0"/>
          <w:marBottom w:val="0"/>
          <w:divBdr>
            <w:top w:val="none" w:sz="0" w:space="0" w:color="auto"/>
            <w:left w:val="none" w:sz="0" w:space="0" w:color="auto"/>
            <w:bottom w:val="none" w:sz="0" w:space="0" w:color="auto"/>
            <w:right w:val="none" w:sz="0" w:space="0" w:color="auto"/>
          </w:divBdr>
        </w:div>
        <w:div w:id="1873961518">
          <w:marLeft w:val="547"/>
          <w:marRight w:val="0"/>
          <w:marTop w:val="0"/>
          <w:marBottom w:val="0"/>
          <w:divBdr>
            <w:top w:val="none" w:sz="0" w:space="0" w:color="auto"/>
            <w:left w:val="none" w:sz="0" w:space="0" w:color="auto"/>
            <w:bottom w:val="none" w:sz="0" w:space="0" w:color="auto"/>
            <w:right w:val="none" w:sz="0" w:space="0" w:color="auto"/>
          </w:divBdr>
        </w:div>
      </w:divsChild>
    </w:div>
    <w:div w:id="1613240539">
      <w:bodyDiv w:val="1"/>
      <w:marLeft w:val="0"/>
      <w:marRight w:val="0"/>
      <w:marTop w:val="0"/>
      <w:marBottom w:val="0"/>
      <w:divBdr>
        <w:top w:val="none" w:sz="0" w:space="0" w:color="auto"/>
        <w:left w:val="none" w:sz="0" w:space="0" w:color="auto"/>
        <w:bottom w:val="none" w:sz="0" w:space="0" w:color="auto"/>
        <w:right w:val="none" w:sz="0" w:space="0" w:color="auto"/>
      </w:divBdr>
      <w:divsChild>
        <w:div w:id="684091472">
          <w:marLeft w:val="547"/>
          <w:marRight w:val="0"/>
          <w:marTop w:val="0"/>
          <w:marBottom w:val="0"/>
          <w:divBdr>
            <w:top w:val="none" w:sz="0" w:space="0" w:color="auto"/>
            <w:left w:val="none" w:sz="0" w:space="0" w:color="auto"/>
            <w:bottom w:val="none" w:sz="0" w:space="0" w:color="auto"/>
            <w:right w:val="none" w:sz="0" w:space="0" w:color="auto"/>
          </w:divBdr>
        </w:div>
        <w:div w:id="1868254953">
          <w:marLeft w:val="547"/>
          <w:marRight w:val="0"/>
          <w:marTop w:val="0"/>
          <w:marBottom w:val="0"/>
          <w:divBdr>
            <w:top w:val="none" w:sz="0" w:space="0" w:color="auto"/>
            <w:left w:val="none" w:sz="0" w:space="0" w:color="auto"/>
            <w:bottom w:val="none" w:sz="0" w:space="0" w:color="auto"/>
            <w:right w:val="none" w:sz="0" w:space="0" w:color="auto"/>
          </w:divBdr>
        </w:div>
      </w:divsChild>
    </w:div>
    <w:div w:id="1663239340">
      <w:bodyDiv w:val="1"/>
      <w:marLeft w:val="0"/>
      <w:marRight w:val="0"/>
      <w:marTop w:val="0"/>
      <w:marBottom w:val="0"/>
      <w:divBdr>
        <w:top w:val="none" w:sz="0" w:space="0" w:color="auto"/>
        <w:left w:val="none" w:sz="0" w:space="0" w:color="auto"/>
        <w:bottom w:val="none" w:sz="0" w:space="0" w:color="auto"/>
        <w:right w:val="none" w:sz="0" w:space="0" w:color="auto"/>
      </w:divBdr>
      <w:divsChild>
        <w:div w:id="232352907">
          <w:marLeft w:val="0"/>
          <w:marRight w:val="0"/>
          <w:marTop w:val="0"/>
          <w:marBottom w:val="0"/>
          <w:divBdr>
            <w:top w:val="none" w:sz="0" w:space="0" w:color="auto"/>
            <w:left w:val="none" w:sz="0" w:space="0" w:color="auto"/>
            <w:bottom w:val="none" w:sz="0" w:space="0" w:color="auto"/>
            <w:right w:val="none" w:sz="0" w:space="0" w:color="auto"/>
          </w:divBdr>
        </w:div>
        <w:div w:id="1021082798">
          <w:marLeft w:val="0"/>
          <w:marRight w:val="0"/>
          <w:marTop w:val="0"/>
          <w:marBottom w:val="0"/>
          <w:divBdr>
            <w:top w:val="none" w:sz="0" w:space="0" w:color="auto"/>
            <w:left w:val="none" w:sz="0" w:space="0" w:color="auto"/>
            <w:bottom w:val="none" w:sz="0" w:space="0" w:color="auto"/>
            <w:right w:val="none" w:sz="0" w:space="0" w:color="auto"/>
          </w:divBdr>
        </w:div>
        <w:div w:id="1405638721">
          <w:marLeft w:val="0"/>
          <w:marRight w:val="0"/>
          <w:marTop w:val="0"/>
          <w:marBottom w:val="0"/>
          <w:divBdr>
            <w:top w:val="none" w:sz="0" w:space="0" w:color="auto"/>
            <w:left w:val="none" w:sz="0" w:space="0" w:color="auto"/>
            <w:bottom w:val="none" w:sz="0" w:space="0" w:color="auto"/>
            <w:right w:val="none" w:sz="0" w:space="0" w:color="auto"/>
          </w:divBdr>
        </w:div>
      </w:divsChild>
    </w:div>
    <w:div w:id="1676221367">
      <w:bodyDiv w:val="1"/>
      <w:marLeft w:val="0"/>
      <w:marRight w:val="0"/>
      <w:marTop w:val="0"/>
      <w:marBottom w:val="0"/>
      <w:divBdr>
        <w:top w:val="none" w:sz="0" w:space="0" w:color="auto"/>
        <w:left w:val="none" w:sz="0" w:space="0" w:color="auto"/>
        <w:bottom w:val="none" w:sz="0" w:space="0" w:color="auto"/>
        <w:right w:val="none" w:sz="0" w:space="0" w:color="auto"/>
      </w:divBdr>
      <w:divsChild>
        <w:div w:id="915747729">
          <w:marLeft w:val="547"/>
          <w:marRight w:val="0"/>
          <w:marTop w:val="0"/>
          <w:marBottom w:val="0"/>
          <w:divBdr>
            <w:top w:val="none" w:sz="0" w:space="0" w:color="auto"/>
            <w:left w:val="none" w:sz="0" w:space="0" w:color="auto"/>
            <w:bottom w:val="none" w:sz="0" w:space="0" w:color="auto"/>
            <w:right w:val="none" w:sz="0" w:space="0" w:color="auto"/>
          </w:divBdr>
        </w:div>
        <w:div w:id="1100183324">
          <w:marLeft w:val="547"/>
          <w:marRight w:val="0"/>
          <w:marTop w:val="0"/>
          <w:marBottom w:val="0"/>
          <w:divBdr>
            <w:top w:val="none" w:sz="0" w:space="0" w:color="auto"/>
            <w:left w:val="none" w:sz="0" w:space="0" w:color="auto"/>
            <w:bottom w:val="none" w:sz="0" w:space="0" w:color="auto"/>
            <w:right w:val="none" w:sz="0" w:space="0" w:color="auto"/>
          </w:divBdr>
        </w:div>
      </w:divsChild>
    </w:div>
    <w:div w:id="1693260083">
      <w:bodyDiv w:val="1"/>
      <w:marLeft w:val="0"/>
      <w:marRight w:val="0"/>
      <w:marTop w:val="0"/>
      <w:marBottom w:val="0"/>
      <w:divBdr>
        <w:top w:val="none" w:sz="0" w:space="0" w:color="auto"/>
        <w:left w:val="none" w:sz="0" w:space="0" w:color="auto"/>
        <w:bottom w:val="none" w:sz="0" w:space="0" w:color="auto"/>
        <w:right w:val="none" w:sz="0" w:space="0" w:color="auto"/>
      </w:divBdr>
      <w:divsChild>
        <w:div w:id="547883482">
          <w:marLeft w:val="0"/>
          <w:marRight w:val="0"/>
          <w:marTop w:val="0"/>
          <w:marBottom w:val="0"/>
          <w:divBdr>
            <w:top w:val="none" w:sz="0" w:space="0" w:color="auto"/>
            <w:left w:val="none" w:sz="0" w:space="0" w:color="auto"/>
            <w:bottom w:val="none" w:sz="0" w:space="0" w:color="auto"/>
            <w:right w:val="none" w:sz="0" w:space="0" w:color="auto"/>
          </w:divBdr>
        </w:div>
        <w:div w:id="617493079">
          <w:marLeft w:val="0"/>
          <w:marRight w:val="0"/>
          <w:marTop w:val="0"/>
          <w:marBottom w:val="0"/>
          <w:divBdr>
            <w:top w:val="none" w:sz="0" w:space="0" w:color="auto"/>
            <w:left w:val="none" w:sz="0" w:space="0" w:color="auto"/>
            <w:bottom w:val="none" w:sz="0" w:space="0" w:color="auto"/>
            <w:right w:val="none" w:sz="0" w:space="0" w:color="auto"/>
          </w:divBdr>
        </w:div>
        <w:div w:id="1102258992">
          <w:marLeft w:val="0"/>
          <w:marRight w:val="0"/>
          <w:marTop w:val="0"/>
          <w:marBottom w:val="0"/>
          <w:divBdr>
            <w:top w:val="none" w:sz="0" w:space="0" w:color="auto"/>
            <w:left w:val="none" w:sz="0" w:space="0" w:color="auto"/>
            <w:bottom w:val="none" w:sz="0" w:space="0" w:color="auto"/>
            <w:right w:val="none" w:sz="0" w:space="0" w:color="auto"/>
          </w:divBdr>
        </w:div>
        <w:div w:id="1284656780">
          <w:marLeft w:val="0"/>
          <w:marRight w:val="0"/>
          <w:marTop w:val="0"/>
          <w:marBottom w:val="0"/>
          <w:divBdr>
            <w:top w:val="none" w:sz="0" w:space="0" w:color="auto"/>
            <w:left w:val="none" w:sz="0" w:space="0" w:color="auto"/>
            <w:bottom w:val="none" w:sz="0" w:space="0" w:color="auto"/>
            <w:right w:val="none" w:sz="0" w:space="0" w:color="auto"/>
          </w:divBdr>
        </w:div>
        <w:div w:id="1497262954">
          <w:marLeft w:val="0"/>
          <w:marRight w:val="0"/>
          <w:marTop w:val="0"/>
          <w:marBottom w:val="0"/>
          <w:divBdr>
            <w:top w:val="none" w:sz="0" w:space="0" w:color="auto"/>
            <w:left w:val="none" w:sz="0" w:space="0" w:color="auto"/>
            <w:bottom w:val="none" w:sz="0" w:space="0" w:color="auto"/>
            <w:right w:val="none" w:sz="0" w:space="0" w:color="auto"/>
          </w:divBdr>
        </w:div>
        <w:div w:id="1761829008">
          <w:marLeft w:val="0"/>
          <w:marRight w:val="0"/>
          <w:marTop w:val="0"/>
          <w:marBottom w:val="0"/>
          <w:divBdr>
            <w:top w:val="none" w:sz="0" w:space="0" w:color="auto"/>
            <w:left w:val="none" w:sz="0" w:space="0" w:color="auto"/>
            <w:bottom w:val="none" w:sz="0" w:space="0" w:color="auto"/>
            <w:right w:val="none" w:sz="0" w:space="0" w:color="auto"/>
          </w:divBdr>
        </w:div>
        <w:div w:id="1788961223">
          <w:marLeft w:val="0"/>
          <w:marRight w:val="0"/>
          <w:marTop w:val="0"/>
          <w:marBottom w:val="0"/>
          <w:divBdr>
            <w:top w:val="none" w:sz="0" w:space="0" w:color="auto"/>
            <w:left w:val="none" w:sz="0" w:space="0" w:color="auto"/>
            <w:bottom w:val="none" w:sz="0" w:space="0" w:color="auto"/>
            <w:right w:val="none" w:sz="0" w:space="0" w:color="auto"/>
          </w:divBdr>
        </w:div>
      </w:divsChild>
    </w:div>
    <w:div w:id="1729186879">
      <w:bodyDiv w:val="1"/>
      <w:marLeft w:val="0"/>
      <w:marRight w:val="0"/>
      <w:marTop w:val="0"/>
      <w:marBottom w:val="0"/>
      <w:divBdr>
        <w:top w:val="none" w:sz="0" w:space="0" w:color="auto"/>
        <w:left w:val="none" w:sz="0" w:space="0" w:color="auto"/>
        <w:bottom w:val="none" w:sz="0" w:space="0" w:color="auto"/>
        <w:right w:val="none" w:sz="0" w:space="0" w:color="auto"/>
      </w:divBdr>
    </w:div>
    <w:div w:id="1873961589">
      <w:bodyDiv w:val="1"/>
      <w:marLeft w:val="0"/>
      <w:marRight w:val="0"/>
      <w:marTop w:val="0"/>
      <w:marBottom w:val="0"/>
      <w:divBdr>
        <w:top w:val="none" w:sz="0" w:space="0" w:color="auto"/>
        <w:left w:val="none" w:sz="0" w:space="0" w:color="auto"/>
        <w:bottom w:val="none" w:sz="0" w:space="0" w:color="auto"/>
        <w:right w:val="none" w:sz="0" w:space="0" w:color="auto"/>
      </w:divBdr>
      <w:divsChild>
        <w:div w:id="167987571">
          <w:marLeft w:val="547"/>
          <w:marRight w:val="0"/>
          <w:marTop w:val="0"/>
          <w:marBottom w:val="0"/>
          <w:divBdr>
            <w:top w:val="none" w:sz="0" w:space="0" w:color="auto"/>
            <w:left w:val="none" w:sz="0" w:space="0" w:color="auto"/>
            <w:bottom w:val="none" w:sz="0" w:space="0" w:color="auto"/>
            <w:right w:val="none" w:sz="0" w:space="0" w:color="auto"/>
          </w:divBdr>
        </w:div>
        <w:div w:id="1318804923">
          <w:marLeft w:val="547"/>
          <w:marRight w:val="0"/>
          <w:marTop w:val="0"/>
          <w:marBottom w:val="0"/>
          <w:divBdr>
            <w:top w:val="none" w:sz="0" w:space="0" w:color="auto"/>
            <w:left w:val="none" w:sz="0" w:space="0" w:color="auto"/>
            <w:bottom w:val="none" w:sz="0" w:space="0" w:color="auto"/>
            <w:right w:val="none" w:sz="0" w:space="0" w:color="auto"/>
          </w:divBdr>
        </w:div>
      </w:divsChild>
    </w:div>
    <w:div w:id="1883252540">
      <w:bodyDiv w:val="1"/>
      <w:marLeft w:val="0"/>
      <w:marRight w:val="0"/>
      <w:marTop w:val="0"/>
      <w:marBottom w:val="0"/>
      <w:divBdr>
        <w:top w:val="none" w:sz="0" w:space="0" w:color="auto"/>
        <w:left w:val="none" w:sz="0" w:space="0" w:color="auto"/>
        <w:bottom w:val="none" w:sz="0" w:space="0" w:color="auto"/>
        <w:right w:val="none" w:sz="0" w:space="0" w:color="auto"/>
      </w:divBdr>
      <w:divsChild>
        <w:div w:id="84810569">
          <w:marLeft w:val="547"/>
          <w:marRight w:val="0"/>
          <w:marTop w:val="0"/>
          <w:marBottom w:val="0"/>
          <w:divBdr>
            <w:top w:val="none" w:sz="0" w:space="0" w:color="auto"/>
            <w:left w:val="none" w:sz="0" w:space="0" w:color="auto"/>
            <w:bottom w:val="none" w:sz="0" w:space="0" w:color="auto"/>
            <w:right w:val="none" w:sz="0" w:space="0" w:color="auto"/>
          </w:divBdr>
        </w:div>
        <w:div w:id="282226248">
          <w:marLeft w:val="547"/>
          <w:marRight w:val="0"/>
          <w:marTop w:val="0"/>
          <w:marBottom w:val="0"/>
          <w:divBdr>
            <w:top w:val="none" w:sz="0" w:space="0" w:color="auto"/>
            <w:left w:val="none" w:sz="0" w:space="0" w:color="auto"/>
            <w:bottom w:val="none" w:sz="0" w:space="0" w:color="auto"/>
            <w:right w:val="none" w:sz="0" w:space="0" w:color="auto"/>
          </w:divBdr>
        </w:div>
        <w:div w:id="1707681234">
          <w:marLeft w:val="547"/>
          <w:marRight w:val="0"/>
          <w:marTop w:val="0"/>
          <w:marBottom w:val="0"/>
          <w:divBdr>
            <w:top w:val="none" w:sz="0" w:space="0" w:color="auto"/>
            <w:left w:val="none" w:sz="0" w:space="0" w:color="auto"/>
            <w:bottom w:val="none" w:sz="0" w:space="0" w:color="auto"/>
            <w:right w:val="none" w:sz="0" w:space="0" w:color="auto"/>
          </w:divBdr>
        </w:div>
      </w:divsChild>
    </w:div>
    <w:div w:id="1893467778">
      <w:bodyDiv w:val="1"/>
      <w:marLeft w:val="0"/>
      <w:marRight w:val="0"/>
      <w:marTop w:val="0"/>
      <w:marBottom w:val="0"/>
      <w:divBdr>
        <w:top w:val="none" w:sz="0" w:space="0" w:color="auto"/>
        <w:left w:val="none" w:sz="0" w:space="0" w:color="auto"/>
        <w:bottom w:val="none" w:sz="0" w:space="0" w:color="auto"/>
        <w:right w:val="none" w:sz="0" w:space="0" w:color="auto"/>
      </w:divBdr>
      <w:divsChild>
        <w:div w:id="1568689073">
          <w:marLeft w:val="547"/>
          <w:marRight w:val="0"/>
          <w:marTop w:val="0"/>
          <w:marBottom w:val="0"/>
          <w:divBdr>
            <w:top w:val="none" w:sz="0" w:space="0" w:color="auto"/>
            <w:left w:val="none" w:sz="0" w:space="0" w:color="auto"/>
            <w:bottom w:val="none" w:sz="0" w:space="0" w:color="auto"/>
            <w:right w:val="none" w:sz="0" w:space="0" w:color="auto"/>
          </w:divBdr>
        </w:div>
      </w:divsChild>
    </w:div>
    <w:div w:id="1896307229">
      <w:bodyDiv w:val="1"/>
      <w:marLeft w:val="0"/>
      <w:marRight w:val="0"/>
      <w:marTop w:val="0"/>
      <w:marBottom w:val="0"/>
      <w:divBdr>
        <w:top w:val="none" w:sz="0" w:space="0" w:color="auto"/>
        <w:left w:val="none" w:sz="0" w:space="0" w:color="auto"/>
        <w:bottom w:val="none" w:sz="0" w:space="0" w:color="auto"/>
        <w:right w:val="none" w:sz="0" w:space="0" w:color="auto"/>
      </w:divBdr>
    </w:div>
    <w:div w:id="1956329572">
      <w:bodyDiv w:val="1"/>
      <w:marLeft w:val="0"/>
      <w:marRight w:val="0"/>
      <w:marTop w:val="0"/>
      <w:marBottom w:val="0"/>
      <w:divBdr>
        <w:top w:val="none" w:sz="0" w:space="0" w:color="auto"/>
        <w:left w:val="none" w:sz="0" w:space="0" w:color="auto"/>
        <w:bottom w:val="none" w:sz="0" w:space="0" w:color="auto"/>
        <w:right w:val="none" w:sz="0" w:space="0" w:color="auto"/>
      </w:divBdr>
    </w:div>
    <w:div w:id="1992709779">
      <w:bodyDiv w:val="1"/>
      <w:marLeft w:val="0"/>
      <w:marRight w:val="0"/>
      <w:marTop w:val="0"/>
      <w:marBottom w:val="0"/>
      <w:divBdr>
        <w:top w:val="none" w:sz="0" w:space="0" w:color="auto"/>
        <w:left w:val="none" w:sz="0" w:space="0" w:color="auto"/>
        <w:bottom w:val="none" w:sz="0" w:space="0" w:color="auto"/>
        <w:right w:val="none" w:sz="0" w:space="0" w:color="auto"/>
      </w:divBdr>
      <w:divsChild>
        <w:div w:id="2118022419">
          <w:marLeft w:val="547"/>
          <w:marRight w:val="0"/>
          <w:marTop w:val="0"/>
          <w:marBottom w:val="0"/>
          <w:divBdr>
            <w:top w:val="none" w:sz="0" w:space="0" w:color="auto"/>
            <w:left w:val="none" w:sz="0" w:space="0" w:color="auto"/>
            <w:bottom w:val="none" w:sz="0" w:space="0" w:color="auto"/>
            <w:right w:val="none" w:sz="0" w:space="0" w:color="auto"/>
          </w:divBdr>
        </w:div>
      </w:divsChild>
    </w:div>
    <w:div w:id="2025010037">
      <w:bodyDiv w:val="1"/>
      <w:marLeft w:val="0"/>
      <w:marRight w:val="0"/>
      <w:marTop w:val="0"/>
      <w:marBottom w:val="0"/>
      <w:divBdr>
        <w:top w:val="none" w:sz="0" w:space="0" w:color="auto"/>
        <w:left w:val="none" w:sz="0" w:space="0" w:color="auto"/>
        <w:bottom w:val="none" w:sz="0" w:space="0" w:color="auto"/>
        <w:right w:val="none" w:sz="0" w:space="0" w:color="auto"/>
      </w:divBdr>
    </w:div>
    <w:div w:id="2039356654">
      <w:bodyDiv w:val="1"/>
      <w:marLeft w:val="0"/>
      <w:marRight w:val="0"/>
      <w:marTop w:val="0"/>
      <w:marBottom w:val="0"/>
      <w:divBdr>
        <w:top w:val="none" w:sz="0" w:space="0" w:color="auto"/>
        <w:left w:val="none" w:sz="0" w:space="0" w:color="auto"/>
        <w:bottom w:val="none" w:sz="0" w:space="0" w:color="auto"/>
        <w:right w:val="none" w:sz="0" w:space="0" w:color="auto"/>
      </w:divBdr>
      <w:divsChild>
        <w:div w:id="359859434">
          <w:marLeft w:val="547"/>
          <w:marRight w:val="0"/>
          <w:marTop w:val="0"/>
          <w:marBottom w:val="0"/>
          <w:divBdr>
            <w:top w:val="none" w:sz="0" w:space="0" w:color="auto"/>
            <w:left w:val="none" w:sz="0" w:space="0" w:color="auto"/>
            <w:bottom w:val="none" w:sz="0" w:space="0" w:color="auto"/>
            <w:right w:val="none" w:sz="0" w:space="0" w:color="auto"/>
          </w:divBdr>
        </w:div>
        <w:div w:id="7526228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c.gov.au/inquiries/completed/philanthropy/report" TargetMode="External"/><Relationship Id="rId21" Type="http://schemas.openxmlformats.org/officeDocument/2006/relationships/hyperlink" Target="http://www.pmc.gov.au/government/commonwealth-coat-arms" TargetMode="External"/><Relationship Id="rId42" Type="http://schemas.openxmlformats.org/officeDocument/2006/relationships/hyperlink" Target="https://www.apsc.gov.au/news-and-events/aps-news/working-genuine-partnership-first-nations-people" TargetMode="External"/><Relationship Id="rId47" Type="http://schemas.openxmlformats.org/officeDocument/2006/relationships/hyperlink" Target="https://grattan.edu.au/news/collaborating-for-impact-the-role-of-government-and-philanthropy-in-building-australias-leading-think-tank/" TargetMode="External"/><Relationship Id="rId63" Type="http://schemas.openxmlformats.org/officeDocument/2006/relationships/hyperlink" Target="https://ministers.dss.gov.au/speeches/12881" TargetMode="External"/><Relationship Id="rId68" Type="http://schemas.openxmlformats.org/officeDocument/2006/relationships/hyperlink" Target="https://www.vic.gov.au/place-based-approaches-monitoring-evaluation-and-learning-mel-toolkit"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closingthegap.gov.au/national-agreement" TargetMode="External"/><Relationship Id="rId11" Type="http://schemas.openxmlformats.org/officeDocument/2006/relationships/header" Target="header1.xml"/><Relationship Id="rId24" Type="http://schemas.openxmlformats.org/officeDocument/2006/relationships/hyperlink" Target="https://federalfinancialrelations.gov.au/" TargetMode="External"/><Relationship Id="rId32" Type="http://schemas.openxmlformats.org/officeDocument/2006/relationships/hyperlink" Target="https://www.closingthegap.gov.au/national-agreement" TargetMode="External"/><Relationship Id="rId37" Type="http://schemas.openxmlformats.org/officeDocument/2006/relationships/hyperlink" Target="https://www.abs.gov.au/statistics/understanding-statistics/statistical-terms-and-concepts/quantitative-and-qualitative-data" TargetMode="External"/><Relationship Id="rId40" Type="http://schemas.openxmlformats.org/officeDocument/2006/relationships/hyperlink" Target="https://www.legislation.gov.au/C2004A00538/latest/text" TargetMode="External"/><Relationship Id="rId45" Type="http://schemas.openxmlformats.org/officeDocument/2006/relationships/hyperlink" Target="https://www.ato.gov.au/forms-and-instructions/ancillary-fund-return-2018-and-instructions/section-c-income/what-is-the-minimum-distribution-allowed" TargetMode="External"/><Relationship Id="rId53" Type="http://schemas.openxmlformats.org/officeDocument/2006/relationships/hyperlink" Target="https://www.investmentdialogue.org.au/wp-content/uploads/2024/11/Working-Together-Agreement-December-2023.pdf" TargetMode="External"/><Relationship Id="rId58" Type="http://schemas.openxmlformats.org/officeDocument/2006/relationships/hyperlink" Target="https://peo.gov.au/understand-our-parliament/how-parliament-works/three-levels-of-government/the-responsibilities-of-the-three-levels-of-government" TargetMode="External"/><Relationship Id="rId66" Type="http://schemas.openxmlformats.org/officeDocument/2006/relationships/hyperlink" Target="https://treasury.gov.au/sites/default/files/2023-07/measuring-what-matters-statement020230721_0.pdf" TargetMode="External"/><Relationship Id="rId5" Type="http://schemas.openxmlformats.org/officeDocument/2006/relationships/numbering" Target="numbering.xml"/><Relationship Id="rId61" Type="http://schemas.openxmlformats.org/officeDocument/2006/relationships/hyperlink" Target="https://www.pc.gov.au/inquiries-and-research/philanthropy/report/" TargetMode="External"/><Relationship Id="rId19" Type="http://schemas.openxmlformats.org/officeDocument/2006/relationships/image" Target="media/image4.png"/><Relationship Id="rId14" Type="http://schemas.openxmlformats.org/officeDocument/2006/relationships/image" Target="media/image1.jpeg"/><Relationship Id="rId22" Type="http://schemas.openxmlformats.org/officeDocument/2006/relationships/header" Target="header2.xml"/><Relationship Id="rId27" Type="http://schemas.openxmlformats.org/officeDocument/2006/relationships/hyperlink" Target="https://www.aegn.org.au/" TargetMode="External"/><Relationship Id="rId30" Type="http://schemas.openxmlformats.org/officeDocument/2006/relationships/hyperlink" Target="https://investmentdialogue.org.au/" TargetMode="External"/><Relationship Id="rId35" Type="http://schemas.openxmlformats.org/officeDocument/2006/relationships/hyperlink" Target="https://evaluation.treasury.gov.au/" TargetMode="External"/><Relationship Id="rId43" Type="http://schemas.openxmlformats.org/officeDocument/2006/relationships/hyperlink" Target="https://www.ato.gov.au/businesses-and-organisations/not-for-profit-organisations/getting-started/getting-endorsed-for-tax-concessions-or-as-a-dgr/is-my-organisation-eligible-for-dgr-endorsement/dgr-categories" TargetMode="External"/><Relationship Id="rId48" Type="http://schemas.openxmlformats.org/officeDocument/2006/relationships/hyperlink" Target="https://www.pmc.gov.au/resources/guidance-caretaker-conventions/3-major-policy-decisions" TargetMode="External"/><Relationship Id="rId56" Type="http://schemas.openxmlformats.org/officeDocument/2006/relationships/hyperlink" Target="https://www.niaa.gov.au/sites/default/files/documents/2024-05/framework-governance-indigenous-data.pdf" TargetMode="External"/><Relationship Id="rId64" Type="http://schemas.openxmlformats.org/officeDocument/2006/relationships/hyperlink" Target="https://www.apsc.gov.au/sites/default/files/2021-03/report_into_consultations_regarding_aps_approaches_to_ensure_institutional_integrity.pdf" TargetMode="External"/><Relationship Id="rId69" Type="http://schemas.openxmlformats.org/officeDocument/2006/relationships/hyperlink" Target="https://probonoaustralia.com.au/news/2020/06/australian-philanthropy-over-20-years-a-timeline/" TargetMode="External"/><Relationship Id="rId8" Type="http://schemas.openxmlformats.org/officeDocument/2006/relationships/webSettings" Target="webSettings.xml"/><Relationship Id="rId51" Type="http://schemas.openxmlformats.org/officeDocument/2006/relationships/hyperlink" Target="https://www.investmentdialogue.org.au/wp-content/uploads/2024/11/Community-Leadership-Council-ToRs-2024.06.18.pdf"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creativecommons.org/licenses/by/4.0/" TargetMode="External"/><Relationship Id="rId25" Type="http://schemas.openxmlformats.org/officeDocument/2006/relationships/hyperlink" Target="https://www.closingthegap.gov.au/national-agreement" TargetMode="External"/><Relationship Id="rId33" Type="http://schemas.openxmlformats.org/officeDocument/2006/relationships/hyperlink" Target="https://www.apsc.gov.au/news-and-events/aps-news/working-genuine-partnership-first-nations-people" TargetMode="External"/><Relationship Id="rId38" Type="http://schemas.openxmlformats.org/officeDocument/2006/relationships/hyperlink" Target="https://www.closingthegap.gov.au/national-agreement/national-agreement-closing-the-gap" TargetMode="External"/><Relationship Id="rId46" Type="http://schemas.openxmlformats.org/officeDocument/2006/relationships/hyperlink" Target="https://betterboards.net/non-profit-fact-sheets/deductible-gift-recipient-dgr/" TargetMode="External"/><Relationship Id="rId59" Type="http://schemas.openxmlformats.org/officeDocument/2006/relationships/hyperlink" Target="https://www.philanthropy.org.au/news-and-stories/glyn-davis-delivers-kenneth-myer-lecture-on-the-great-impact-of-philanthropy/" TargetMode="External"/><Relationship Id="rId67" Type="http://schemas.openxmlformats.org/officeDocument/2006/relationships/hyperlink" Target="https://content.vic.gov.au/sites/default/files/2020-03/Working-%20together-in%20place-Policy%20Framework.pdf" TargetMode="External"/><Relationship Id="rId20" Type="http://schemas.openxmlformats.org/officeDocument/2006/relationships/hyperlink" Target="https://creativecommons.org/licenses/by/4.0/" TargetMode="External"/><Relationship Id="rId41" Type="http://schemas.openxmlformats.org/officeDocument/2006/relationships/hyperlink" Target="https://www.apsc.gov.au/working-aps/integrity" TargetMode="External"/><Relationship Id="rId54" Type="http://schemas.openxmlformats.org/officeDocument/2006/relationships/hyperlink" Target="https://ministers.treasury.gov.au/ministers/andrew-leigh-2022/media-releases/harnessing-generosity-boosting-philanthropy" TargetMode="External"/><Relationship Id="rId62" Type="http://schemas.openxmlformats.org/officeDocument/2006/relationships/hyperlink" Target="https://www.pc.gov.au/inquiries/completed/indigenous-evaluation/strategy"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acnc.gov.au/" TargetMode="External"/><Relationship Id="rId28" Type="http://schemas.openxmlformats.org/officeDocument/2006/relationships/hyperlink" Target="https://www.grants.gov.au/" TargetMode="External"/><Relationship Id="rId36" Type="http://schemas.openxmlformats.org/officeDocument/2006/relationships/hyperlink" Target="https://www.apsreform.gov.au/news/charter-partnerships-and-engagement" TargetMode="External"/><Relationship Id="rId49" Type="http://schemas.openxmlformats.org/officeDocument/2006/relationships/hyperlink" Target="https://evaluation.treasury.gov.au/toolkit/what-evaluation" TargetMode="External"/><Relationship Id="rId57" Type="http://schemas.openxmlformats.org/officeDocument/2006/relationships/hyperlink" Target="https://www.mentalhealthcommission.gov.au/lived-experience/lived-experience-workforces/peer-experience-workforce-guidelines/national-lived-experience-%28peer%29-workforce-develop" TargetMode="External"/><Relationship Id="rId10" Type="http://schemas.openxmlformats.org/officeDocument/2006/relationships/endnotes" Target="endnotes.xml"/><Relationship Id="rId31" Type="http://schemas.openxmlformats.org/officeDocument/2006/relationships/hyperlink" Target="https://www.closingthegap.gov.au/national-agreement" TargetMode="External"/><Relationship Id="rId44" Type="http://schemas.openxmlformats.org/officeDocument/2006/relationships/hyperlink" Target="https://www.ato.gov.au/businesses-and-organisations/not-for-profit-organisations/getting-started/getting-endorsed-for-tax-concessions-or-as-a-dgr/is-my-organisation-eligible-for-dgr-endorsement/rules-and-tests-for-dgr-endorsement/dgrs-required-to-be-a-registered-charity" TargetMode="External"/><Relationship Id="rId52" Type="http://schemas.openxmlformats.org/officeDocument/2006/relationships/hyperlink" Target="https://www.investmentdialogue.org.au/wp-content/uploads/2024/11/First-Nations-Leadership-Council-ToRs-2024.06.18.pdf" TargetMode="External"/><Relationship Id="rId60" Type="http://schemas.openxmlformats.org/officeDocument/2006/relationships/hyperlink" Target="https://www.philanthropy.org.au/learn-about-philanthropy/structured-giving-in-australia/" TargetMode="External"/><Relationship Id="rId65" Type="http://schemas.openxmlformats.org/officeDocument/2006/relationships/hyperlink" Target="https://www.finance.gov.au/publications/resource-management-guides/grants-procurements-and-other-financial-arrangements-rmg-41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creativecommons.org/licenses/by/4.0/legalcode" TargetMode="External"/><Relationship Id="rId39" Type="http://schemas.openxmlformats.org/officeDocument/2006/relationships/hyperlink" Target="https://www.dss.gov.au/node/4131" TargetMode="External"/><Relationship Id="rId34" Type="http://schemas.openxmlformats.org/officeDocument/2006/relationships/hyperlink" Target="https://www.apsreform.gov.au/sites/default/files/2024-03/Good%20Practice%20Guidance%20-%20Charter%20of%20Partnerships%20and%20Engagement.pdf" TargetMode="External"/><Relationship Id="rId50" Type="http://schemas.openxmlformats.org/officeDocument/2006/relationships/hyperlink" Target="https://www.blackdoginstitute.org.au/wp-content/uploads/2020/04/anu-lived-experience-framework.pdf" TargetMode="External"/><Relationship Id="rId55" Type="http://schemas.openxmlformats.org/officeDocument/2006/relationships/hyperlink" Target="https://www.nswmentalhealthcommission.com.au/sites/default/files/old/documents/final_lef_a4_layout_for_web.pdf" TargetMode="External"/></Relationships>
</file>

<file path=word/theme/theme1.xml><?xml version="1.0" encoding="utf-8"?>
<a:theme xmlns:a="http://schemas.openxmlformats.org/drawingml/2006/main" name="DSS Blue">
  <a:themeElements>
    <a:clrScheme name="Custom 1">
      <a:dk1>
        <a:srgbClr val="2A4055"/>
      </a:dk1>
      <a:lt1>
        <a:sysClr val="window" lastClr="FFFFFF"/>
      </a:lt1>
      <a:dk2>
        <a:srgbClr val="454545"/>
      </a:dk2>
      <a:lt2>
        <a:srgbClr val="F8F8F8"/>
      </a:lt2>
      <a:accent1>
        <a:srgbClr val="A873E8"/>
      </a:accent1>
      <a:accent2>
        <a:srgbClr val="EB6073"/>
      </a:accent2>
      <a:accent3>
        <a:srgbClr val="F18439"/>
      </a:accent3>
      <a:accent4>
        <a:srgbClr val="FABE2D"/>
      </a:accent4>
      <a:accent5>
        <a:srgbClr val="A6CE43"/>
      </a:accent5>
      <a:accent6>
        <a:srgbClr val="6ACFF4"/>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ead6e6-14a6-4d9b-90e8-a4c8dbd97ed7" xsi:nil="true"/>
    <lcf76f155ced4ddcb4097134ff3c332f xmlns="178084fd-78ef-4070-a466-936eddb55aa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6E276F24DFD374D9FDBBEE3ABC4327E" ma:contentTypeVersion="13" ma:contentTypeDescription="Create a new document." ma:contentTypeScope="" ma:versionID="177c6e610e21e789bef737f5ec646122">
  <xsd:schema xmlns:xsd="http://www.w3.org/2001/XMLSchema" xmlns:xs="http://www.w3.org/2001/XMLSchema" xmlns:p="http://schemas.microsoft.com/office/2006/metadata/properties" xmlns:ns2="178084fd-78ef-4070-a466-936eddb55aac" xmlns:ns3="ecead6e6-14a6-4d9b-90e8-a4c8dbd97ed7" targetNamespace="http://schemas.microsoft.com/office/2006/metadata/properties" ma:root="true" ma:fieldsID="0c139116f5be561dfc30621af4408bd0" ns2:_="" ns3:_="">
    <xsd:import namespace="178084fd-78ef-4070-a466-936eddb55aac"/>
    <xsd:import namespace="ecead6e6-14a6-4d9b-90e8-a4c8dbd97e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084fd-78ef-4070-a466-936eddb55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ead6e6-14a6-4d9b-90e8-a4c8dbd97ed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ec3b57e-7d75-4e74-9589-b64188dce344}" ma:internalName="TaxCatchAll" ma:showField="CatchAllData" ma:web="ecead6e6-14a6-4d9b-90e8-a4c8dbd97e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DF3293-3212-4711-AD78-69980025FAC2}">
  <ds:schemaRefs>
    <ds:schemaRef ds:uri="178084fd-78ef-4070-a466-936eddb55aac"/>
    <ds:schemaRef ds:uri="http://purl.org/dc/dcmitype/"/>
    <ds:schemaRef ds:uri="ecead6e6-14a6-4d9b-90e8-a4c8dbd97ed7"/>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http://purl.org/dc/elements/1.1/"/>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F8772835-2493-4C3D-BA08-F8715073C07F}">
  <ds:schemaRefs>
    <ds:schemaRef ds:uri="http://schemas.openxmlformats.org/officeDocument/2006/bibliography"/>
  </ds:schemaRefs>
</ds:datastoreItem>
</file>

<file path=customXml/itemProps3.xml><?xml version="1.0" encoding="utf-8"?>
<ds:datastoreItem xmlns:ds="http://schemas.openxmlformats.org/officeDocument/2006/customXml" ds:itemID="{C278A759-EC8B-496B-9793-485FBAB71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084fd-78ef-4070-a466-936eddb55aac"/>
    <ds:schemaRef ds:uri="ecead6e6-14a6-4d9b-90e8-a4c8dbd97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053444-966A-467A-B01C-180A1F1F3E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32</Pages>
  <Words>9618</Words>
  <Characters>58080</Characters>
  <Application>Microsoft Office Word</Application>
  <DocSecurity>0</DocSecurity>
  <Lines>938</Lines>
  <Paragraphs>413</Paragraphs>
  <ScaleCrop>false</ScaleCrop>
  <HeadingPairs>
    <vt:vector size="2" baseType="variant">
      <vt:variant>
        <vt:lpstr>Title</vt:lpstr>
      </vt:variant>
      <vt:variant>
        <vt:i4>1</vt:i4>
      </vt:variant>
    </vt:vector>
  </HeadingPairs>
  <TitlesOfParts>
    <vt:vector size="1" baseType="lpstr">
      <vt:lpstr>DSS Report Template</vt:lpstr>
    </vt:vector>
  </TitlesOfParts>
  <Company>Department of Social Services</Company>
  <LinksUpToDate>false</LinksUpToDate>
  <CharactersWithSpaces>67521</CharactersWithSpaces>
  <SharedDoc>false</SharedDoc>
  <HLinks>
    <vt:vector size="540" baseType="variant">
      <vt:variant>
        <vt:i4>3145773</vt:i4>
      </vt:variant>
      <vt:variant>
        <vt:i4>345</vt:i4>
      </vt:variant>
      <vt:variant>
        <vt:i4>0</vt:i4>
      </vt:variant>
      <vt:variant>
        <vt:i4>5</vt:i4>
      </vt:variant>
      <vt:variant>
        <vt:lpwstr>https://probonoaustralia.com.au/news/2020/06/australian-philanthropy-over-20-years-a-timeline/</vt:lpwstr>
      </vt:variant>
      <vt:variant>
        <vt:lpwstr/>
      </vt:variant>
      <vt:variant>
        <vt:i4>1048644</vt:i4>
      </vt:variant>
      <vt:variant>
        <vt:i4>342</vt:i4>
      </vt:variant>
      <vt:variant>
        <vt:i4>0</vt:i4>
      </vt:variant>
      <vt:variant>
        <vt:i4>5</vt:i4>
      </vt:variant>
      <vt:variant>
        <vt:lpwstr>https://www.vic.gov.au/place-based-approaches-monitoring-evaluation-and-learning-mel-toolkit</vt:lpwstr>
      </vt:variant>
      <vt:variant>
        <vt:lpwstr/>
      </vt:variant>
      <vt:variant>
        <vt:i4>7733299</vt:i4>
      </vt:variant>
      <vt:variant>
        <vt:i4>339</vt:i4>
      </vt:variant>
      <vt:variant>
        <vt:i4>0</vt:i4>
      </vt:variant>
      <vt:variant>
        <vt:i4>5</vt:i4>
      </vt:variant>
      <vt:variant>
        <vt:lpwstr>https://content.vic.gov.au/sites/default/files/2020-03/Working- together-in place-Policy Framework.pdf</vt:lpwstr>
      </vt:variant>
      <vt:variant>
        <vt:lpwstr/>
      </vt:variant>
      <vt:variant>
        <vt:i4>5177390</vt:i4>
      </vt:variant>
      <vt:variant>
        <vt:i4>336</vt:i4>
      </vt:variant>
      <vt:variant>
        <vt:i4>0</vt:i4>
      </vt:variant>
      <vt:variant>
        <vt:i4>5</vt:i4>
      </vt:variant>
      <vt:variant>
        <vt:lpwstr>https://treasury.gov.au/sites/default/files/2023-07/measuring-what-matters-statement020230721_0.pdf</vt:lpwstr>
      </vt:variant>
      <vt:variant>
        <vt:lpwstr/>
      </vt:variant>
      <vt:variant>
        <vt:i4>3407909</vt:i4>
      </vt:variant>
      <vt:variant>
        <vt:i4>333</vt:i4>
      </vt:variant>
      <vt:variant>
        <vt:i4>0</vt:i4>
      </vt:variant>
      <vt:variant>
        <vt:i4>5</vt:i4>
      </vt:variant>
      <vt:variant>
        <vt:lpwstr>https://www.finance.gov.au/publications/resource-management-guides/grants-procurements-and-other-financial-arrangements-rmg-411</vt:lpwstr>
      </vt:variant>
      <vt:variant>
        <vt:lpwstr/>
      </vt:variant>
      <vt:variant>
        <vt:i4>983135</vt:i4>
      </vt:variant>
      <vt:variant>
        <vt:i4>330</vt:i4>
      </vt:variant>
      <vt:variant>
        <vt:i4>0</vt:i4>
      </vt:variant>
      <vt:variant>
        <vt:i4>5</vt:i4>
      </vt:variant>
      <vt:variant>
        <vt:lpwstr>https://www.aph.gov.au/-/media/05_About_Parliament/52_Sen/523_PPP/2023_Australian_Constitution.pdf</vt:lpwstr>
      </vt:variant>
      <vt:variant>
        <vt:lpwstr/>
      </vt:variant>
      <vt:variant>
        <vt:i4>6946838</vt:i4>
      </vt:variant>
      <vt:variant>
        <vt:i4>327</vt:i4>
      </vt:variant>
      <vt:variant>
        <vt:i4>0</vt:i4>
      </vt:variant>
      <vt:variant>
        <vt:i4>5</vt:i4>
      </vt:variant>
      <vt:variant>
        <vt:lpwstr>https://www.apsc.gov.au/sites/default/files/2021-03/report_into_consultations_regarding_aps_approaches_to_ensure_institutional_integrity.pdf</vt:lpwstr>
      </vt:variant>
      <vt:variant>
        <vt:lpwstr/>
      </vt:variant>
      <vt:variant>
        <vt:i4>6619241</vt:i4>
      </vt:variant>
      <vt:variant>
        <vt:i4>324</vt:i4>
      </vt:variant>
      <vt:variant>
        <vt:i4>0</vt:i4>
      </vt:variant>
      <vt:variant>
        <vt:i4>5</vt:i4>
      </vt:variant>
      <vt:variant>
        <vt:lpwstr>https://ministers.dss.gov.au/speeches/12881</vt:lpwstr>
      </vt:variant>
      <vt:variant>
        <vt:lpwstr/>
      </vt:variant>
      <vt:variant>
        <vt:i4>5570561</vt:i4>
      </vt:variant>
      <vt:variant>
        <vt:i4>321</vt:i4>
      </vt:variant>
      <vt:variant>
        <vt:i4>0</vt:i4>
      </vt:variant>
      <vt:variant>
        <vt:i4>5</vt:i4>
      </vt:variant>
      <vt:variant>
        <vt:lpwstr>https://www.pc.gov.au/inquiries/completed/indigenous-evaluation/strategy</vt:lpwstr>
      </vt:variant>
      <vt:variant>
        <vt:lpwstr/>
      </vt:variant>
      <vt:variant>
        <vt:i4>3014696</vt:i4>
      </vt:variant>
      <vt:variant>
        <vt:i4>318</vt:i4>
      </vt:variant>
      <vt:variant>
        <vt:i4>0</vt:i4>
      </vt:variant>
      <vt:variant>
        <vt:i4>5</vt:i4>
      </vt:variant>
      <vt:variant>
        <vt:lpwstr>https://www.pc.gov.au/inquiries/completed/philanthropy/report/philanthropy.pdf</vt:lpwstr>
      </vt:variant>
      <vt:variant>
        <vt:lpwstr/>
      </vt:variant>
      <vt:variant>
        <vt:i4>5505091</vt:i4>
      </vt:variant>
      <vt:variant>
        <vt:i4>315</vt:i4>
      </vt:variant>
      <vt:variant>
        <vt:i4>0</vt:i4>
      </vt:variant>
      <vt:variant>
        <vt:i4>5</vt:i4>
      </vt:variant>
      <vt:variant>
        <vt:lpwstr>https://www.philanthropy.org.au/learn-about-philanthropy/structured-giving-in-australia/</vt:lpwstr>
      </vt:variant>
      <vt:variant>
        <vt:lpwstr/>
      </vt:variant>
      <vt:variant>
        <vt:i4>7929953</vt:i4>
      </vt:variant>
      <vt:variant>
        <vt:i4>312</vt:i4>
      </vt:variant>
      <vt:variant>
        <vt:i4>0</vt:i4>
      </vt:variant>
      <vt:variant>
        <vt:i4>5</vt:i4>
      </vt:variant>
      <vt:variant>
        <vt:lpwstr>https://www.philanthropy.org.au/news-and-stories/glyn-davis-delivers-kenneth-myer-lecture-on-the-great-impact-of-philanthropy/</vt:lpwstr>
      </vt:variant>
      <vt:variant>
        <vt:lpwstr/>
      </vt:variant>
      <vt:variant>
        <vt:i4>8192037</vt:i4>
      </vt:variant>
      <vt:variant>
        <vt:i4>309</vt:i4>
      </vt:variant>
      <vt:variant>
        <vt:i4>0</vt:i4>
      </vt:variant>
      <vt:variant>
        <vt:i4>5</vt:i4>
      </vt:variant>
      <vt:variant>
        <vt:lpwstr>https://peo.gov.au/understand-our-parliament/how-parliament-works/three-levels-of-government/the-responsibilities-of-the-three-levels-of-government</vt:lpwstr>
      </vt:variant>
      <vt:variant>
        <vt:lpwstr/>
      </vt:variant>
      <vt:variant>
        <vt:i4>6815789</vt:i4>
      </vt:variant>
      <vt:variant>
        <vt:i4>306</vt:i4>
      </vt:variant>
      <vt:variant>
        <vt:i4>0</vt:i4>
      </vt:variant>
      <vt:variant>
        <vt:i4>5</vt:i4>
      </vt:variant>
      <vt:variant>
        <vt:lpwstr>https://www.mentalhealthcommission.gov.au/lived-experience/lived-experience-workforces/peer-experience-workforce-guidelines/national-lived-experience-%28peer%29-workforce-develop</vt:lpwstr>
      </vt:variant>
      <vt:variant>
        <vt:lpwstr/>
      </vt:variant>
      <vt:variant>
        <vt:i4>655402</vt:i4>
      </vt:variant>
      <vt:variant>
        <vt:i4>303</vt:i4>
      </vt:variant>
      <vt:variant>
        <vt:i4>0</vt:i4>
      </vt:variant>
      <vt:variant>
        <vt:i4>5</vt:i4>
      </vt:variant>
      <vt:variant>
        <vt:lpwstr>https://www.nswmentalhealthcommission.com.au/sites/default/files/old/documents/final_lef_a4_layout_for_web.pdf</vt:lpwstr>
      </vt:variant>
      <vt:variant>
        <vt:lpwstr/>
      </vt:variant>
      <vt:variant>
        <vt:i4>4587592</vt:i4>
      </vt:variant>
      <vt:variant>
        <vt:i4>300</vt:i4>
      </vt:variant>
      <vt:variant>
        <vt:i4>0</vt:i4>
      </vt:variant>
      <vt:variant>
        <vt:i4>5</vt:i4>
      </vt:variant>
      <vt:variant>
        <vt:lpwstr>https://ministers.treasury.gov.au/ministers/andrew-leigh-2022/media-releases/harnessing-generosity-boosting-philanthropy</vt:lpwstr>
      </vt:variant>
      <vt:variant>
        <vt:lpwstr/>
      </vt:variant>
      <vt:variant>
        <vt:i4>4980760</vt:i4>
      </vt:variant>
      <vt:variant>
        <vt:i4>297</vt:i4>
      </vt:variant>
      <vt:variant>
        <vt:i4>0</vt:i4>
      </vt:variant>
      <vt:variant>
        <vt:i4>5</vt:i4>
      </vt:variant>
      <vt:variant>
        <vt:lpwstr>https://www.investmentdialogue.org.au/wp-content/uploads/2024/11/Working-Together-Agreement-December-2023.pdf</vt:lpwstr>
      </vt:variant>
      <vt:variant>
        <vt:lpwstr/>
      </vt:variant>
      <vt:variant>
        <vt:i4>1900558</vt:i4>
      </vt:variant>
      <vt:variant>
        <vt:i4>294</vt:i4>
      </vt:variant>
      <vt:variant>
        <vt:i4>0</vt:i4>
      </vt:variant>
      <vt:variant>
        <vt:i4>5</vt:i4>
      </vt:variant>
      <vt:variant>
        <vt:lpwstr>https://www.investmentdialogue.org.au/wp-content/uploads/2024/11/First-Nations-Leadership-Council-ToRs-2024.06.18.pdf</vt:lpwstr>
      </vt:variant>
      <vt:variant>
        <vt:lpwstr/>
      </vt:variant>
      <vt:variant>
        <vt:i4>1048647</vt:i4>
      </vt:variant>
      <vt:variant>
        <vt:i4>291</vt:i4>
      </vt:variant>
      <vt:variant>
        <vt:i4>0</vt:i4>
      </vt:variant>
      <vt:variant>
        <vt:i4>5</vt:i4>
      </vt:variant>
      <vt:variant>
        <vt:lpwstr>https://www.investmentdialogue.org.au/wp-content/uploads/2024/11/Community-Leadership-Council-ToRs-2024.06.18.pdf</vt:lpwstr>
      </vt:variant>
      <vt:variant>
        <vt:lpwstr/>
      </vt:variant>
      <vt:variant>
        <vt:i4>8323176</vt:i4>
      </vt:variant>
      <vt:variant>
        <vt:i4>288</vt:i4>
      </vt:variant>
      <vt:variant>
        <vt:i4>0</vt:i4>
      </vt:variant>
      <vt:variant>
        <vt:i4>5</vt:i4>
      </vt:variant>
      <vt:variant>
        <vt:lpwstr>https://www.blackdoginstitute.org.au/wp-content/uploads/2020/04/anu-lived-experience-framework.pdf</vt:lpwstr>
      </vt:variant>
      <vt:variant>
        <vt:lpwstr/>
      </vt:variant>
      <vt:variant>
        <vt:i4>1114183</vt:i4>
      </vt:variant>
      <vt:variant>
        <vt:i4>285</vt:i4>
      </vt:variant>
      <vt:variant>
        <vt:i4>0</vt:i4>
      </vt:variant>
      <vt:variant>
        <vt:i4>5</vt:i4>
      </vt:variant>
      <vt:variant>
        <vt:lpwstr>https://www.pmc.gov.au/resources/guidance-caretaker-conventions/3-major-policy-decisions</vt:lpwstr>
      </vt:variant>
      <vt:variant>
        <vt:lpwstr/>
      </vt:variant>
      <vt:variant>
        <vt:i4>6357040</vt:i4>
      </vt:variant>
      <vt:variant>
        <vt:i4>282</vt:i4>
      </vt:variant>
      <vt:variant>
        <vt:i4>0</vt:i4>
      </vt:variant>
      <vt:variant>
        <vt:i4>5</vt:i4>
      </vt:variant>
      <vt:variant>
        <vt:lpwstr>https://grattan.edu.au/news/collaborating-for-impact-the-role-of-government-and-philanthropy-in-building-australias-leading-think-tank/</vt:lpwstr>
      </vt:variant>
      <vt:variant>
        <vt:lpwstr/>
      </vt:variant>
      <vt:variant>
        <vt:i4>2359412</vt:i4>
      </vt:variant>
      <vt:variant>
        <vt:i4>279</vt:i4>
      </vt:variant>
      <vt:variant>
        <vt:i4>0</vt:i4>
      </vt:variant>
      <vt:variant>
        <vt:i4>5</vt:i4>
      </vt:variant>
      <vt:variant>
        <vt:lpwstr>https://betterboards.net/non-profit-fact-sheets/deductible-gift-recipient-dgr/</vt:lpwstr>
      </vt:variant>
      <vt:variant>
        <vt:lpwstr/>
      </vt:variant>
      <vt:variant>
        <vt:i4>2228280</vt:i4>
      </vt:variant>
      <vt:variant>
        <vt:i4>276</vt:i4>
      </vt:variant>
      <vt:variant>
        <vt:i4>0</vt:i4>
      </vt:variant>
      <vt:variant>
        <vt:i4>5</vt:i4>
      </vt:variant>
      <vt:variant>
        <vt:lpwstr>https://www.ato.gov.au/forms-and-instructions/ancillary-fund-return-2018-and-instructions/section-c-income/what-is-the-minimum-distribution-allowed</vt:lpwstr>
      </vt:variant>
      <vt:variant>
        <vt:lpwstr/>
      </vt:variant>
      <vt:variant>
        <vt:i4>2162793</vt:i4>
      </vt:variant>
      <vt:variant>
        <vt:i4>273</vt:i4>
      </vt:variant>
      <vt:variant>
        <vt:i4>0</vt:i4>
      </vt:variant>
      <vt:variant>
        <vt:i4>5</vt:i4>
      </vt:variant>
      <vt:variant>
        <vt:lpwstr>https://www.ato.gov.au/businesses-and-organisations/not-for-profit-organisations/getting-started/getting-endorsed-for-tax-concessions-or-as-a-dgr/is-my-organisation-eligible-for-dgr-endorsement/rules-and-tests-for-dgr-endorsement/dgrs-required-to-be-a-registered-charity</vt:lpwstr>
      </vt:variant>
      <vt:variant>
        <vt:lpwstr/>
      </vt:variant>
      <vt:variant>
        <vt:i4>5242899</vt:i4>
      </vt:variant>
      <vt:variant>
        <vt:i4>270</vt:i4>
      </vt:variant>
      <vt:variant>
        <vt:i4>0</vt:i4>
      </vt:variant>
      <vt:variant>
        <vt:i4>5</vt:i4>
      </vt:variant>
      <vt:variant>
        <vt:lpwstr>https://www.ato.gov.au/businesses-and-organisations/not-for-profit-organisations/getting-started/getting-endorsed-for-tax-concessions-or-as-a-dgr/is-my-organisation-eligible-for-dgr-endorsement/dgr-categories</vt:lpwstr>
      </vt:variant>
      <vt:variant>
        <vt:lpwstr/>
      </vt:variant>
      <vt:variant>
        <vt:i4>1704010</vt:i4>
      </vt:variant>
      <vt:variant>
        <vt:i4>267</vt:i4>
      </vt:variant>
      <vt:variant>
        <vt:i4>0</vt:i4>
      </vt:variant>
      <vt:variant>
        <vt:i4>5</vt:i4>
      </vt:variant>
      <vt:variant>
        <vt:lpwstr>https://www.apsc.gov.au/news-and-events/aps-news/working-genuine-partnership-first-nations-people</vt:lpwstr>
      </vt:variant>
      <vt:variant>
        <vt:lpwstr/>
      </vt:variant>
      <vt:variant>
        <vt:i4>1114178</vt:i4>
      </vt:variant>
      <vt:variant>
        <vt:i4>264</vt:i4>
      </vt:variant>
      <vt:variant>
        <vt:i4>0</vt:i4>
      </vt:variant>
      <vt:variant>
        <vt:i4>5</vt:i4>
      </vt:variant>
      <vt:variant>
        <vt:lpwstr>https://www.apsc.gov.au/working-aps/integrity</vt:lpwstr>
      </vt:variant>
      <vt:variant>
        <vt:lpwstr/>
      </vt:variant>
      <vt:variant>
        <vt:i4>2490418</vt:i4>
      </vt:variant>
      <vt:variant>
        <vt:i4>258</vt:i4>
      </vt:variant>
      <vt:variant>
        <vt:i4>0</vt:i4>
      </vt:variant>
      <vt:variant>
        <vt:i4>5</vt:i4>
      </vt:variant>
      <vt:variant>
        <vt:lpwstr>https://www.legislation.gov.au/C2004A00538/latest/text</vt:lpwstr>
      </vt:variant>
      <vt:variant>
        <vt:lpwstr/>
      </vt:variant>
      <vt:variant>
        <vt:i4>262149</vt:i4>
      </vt:variant>
      <vt:variant>
        <vt:i4>255</vt:i4>
      </vt:variant>
      <vt:variant>
        <vt:i4>0</vt:i4>
      </vt:variant>
      <vt:variant>
        <vt:i4>5</vt:i4>
      </vt:variant>
      <vt:variant>
        <vt:lpwstr>https://www.dss.gov.au/node/4131</vt:lpwstr>
      </vt:variant>
      <vt:variant>
        <vt:lpwstr/>
      </vt:variant>
      <vt:variant>
        <vt:i4>2752629</vt:i4>
      </vt:variant>
      <vt:variant>
        <vt:i4>252</vt:i4>
      </vt:variant>
      <vt:variant>
        <vt:i4>0</vt:i4>
      </vt:variant>
      <vt:variant>
        <vt:i4>5</vt:i4>
      </vt:variant>
      <vt:variant>
        <vt:lpwstr>https://www.closingthegap.gov.au/national-agreement/national-agreement-closing-the-gap/6-priority-reform-areas/four</vt:lpwstr>
      </vt:variant>
      <vt:variant>
        <vt:lpwstr/>
      </vt:variant>
      <vt:variant>
        <vt:i4>2949218</vt:i4>
      </vt:variant>
      <vt:variant>
        <vt:i4>249</vt:i4>
      </vt:variant>
      <vt:variant>
        <vt:i4>0</vt:i4>
      </vt:variant>
      <vt:variant>
        <vt:i4>5</vt:i4>
      </vt:variant>
      <vt:variant>
        <vt:lpwstr>https://www.closingthegap.gov.au/national-agreement/national-agreement-closing-the-gap</vt:lpwstr>
      </vt:variant>
      <vt:variant>
        <vt:lpwstr/>
      </vt:variant>
      <vt:variant>
        <vt:i4>7667770</vt:i4>
      </vt:variant>
      <vt:variant>
        <vt:i4>246</vt:i4>
      </vt:variant>
      <vt:variant>
        <vt:i4>0</vt:i4>
      </vt:variant>
      <vt:variant>
        <vt:i4>5</vt:i4>
      </vt:variant>
      <vt:variant>
        <vt:lpwstr>https://www.niaa.gov.au/sites/default/files/documents/2024-05/framework-governance-indigenous-data.pdf</vt:lpwstr>
      </vt:variant>
      <vt:variant>
        <vt:lpwstr/>
      </vt:variant>
      <vt:variant>
        <vt:i4>2359415</vt:i4>
      </vt:variant>
      <vt:variant>
        <vt:i4>243</vt:i4>
      </vt:variant>
      <vt:variant>
        <vt:i4>0</vt:i4>
      </vt:variant>
      <vt:variant>
        <vt:i4>5</vt:i4>
      </vt:variant>
      <vt:variant>
        <vt:lpwstr>https://evaluation.treasury.gov.au/toolkit/what-evaluation</vt:lpwstr>
      </vt:variant>
      <vt:variant>
        <vt:lpwstr/>
      </vt:variant>
      <vt:variant>
        <vt:i4>7929904</vt:i4>
      </vt:variant>
      <vt:variant>
        <vt:i4>240</vt:i4>
      </vt:variant>
      <vt:variant>
        <vt:i4>0</vt:i4>
      </vt:variant>
      <vt:variant>
        <vt:i4>5</vt:i4>
      </vt:variant>
      <vt:variant>
        <vt:lpwstr>https://www.abs.gov.au/statistics/understanding-statistics/statistical-terms-and-concepts/quantitative-and-qualitative-data</vt:lpwstr>
      </vt:variant>
      <vt:variant>
        <vt:lpwstr/>
      </vt:variant>
      <vt:variant>
        <vt:i4>5898271</vt:i4>
      </vt:variant>
      <vt:variant>
        <vt:i4>237</vt:i4>
      </vt:variant>
      <vt:variant>
        <vt:i4>0</vt:i4>
      </vt:variant>
      <vt:variant>
        <vt:i4>5</vt:i4>
      </vt:variant>
      <vt:variant>
        <vt:lpwstr>https://www.apsreform.gov.au/news/charter-partnerships-and-engagement</vt:lpwstr>
      </vt:variant>
      <vt:variant>
        <vt:lpwstr/>
      </vt:variant>
      <vt:variant>
        <vt:i4>6750315</vt:i4>
      </vt:variant>
      <vt:variant>
        <vt:i4>231</vt:i4>
      </vt:variant>
      <vt:variant>
        <vt:i4>0</vt:i4>
      </vt:variant>
      <vt:variant>
        <vt:i4>5</vt:i4>
      </vt:variant>
      <vt:variant>
        <vt:lpwstr>https://evaluation.treasury.gov.au/</vt:lpwstr>
      </vt:variant>
      <vt:variant>
        <vt:lpwstr/>
      </vt:variant>
      <vt:variant>
        <vt:i4>5308503</vt:i4>
      </vt:variant>
      <vt:variant>
        <vt:i4>228</vt:i4>
      </vt:variant>
      <vt:variant>
        <vt:i4>0</vt:i4>
      </vt:variant>
      <vt:variant>
        <vt:i4>5</vt:i4>
      </vt:variant>
      <vt:variant>
        <vt:lpwstr>https://www.apsreform.gov.au/sites/default/files/2024-03/Good Practice Guidance - Charter of Partnerships and Engagement.pdf</vt:lpwstr>
      </vt:variant>
      <vt:variant>
        <vt:lpwstr/>
      </vt:variant>
      <vt:variant>
        <vt:i4>1704010</vt:i4>
      </vt:variant>
      <vt:variant>
        <vt:i4>225</vt:i4>
      </vt:variant>
      <vt:variant>
        <vt:i4>0</vt:i4>
      </vt:variant>
      <vt:variant>
        <vt:i4>5</vt:i4>
      </vt:variant>
      <vt:variant>
        <vt:lpwstr>https://www.apsc.gov.au/news-and-events/aps-news/working-genuine-partnership-first-nations-people</vt:lpwstr>
      </vt:variant>
      <vt:variant>
        <vt:lpwstr/>
      </vt:variant>
      <vt:variant>
        <vt:i4>7012475</vt:i4>
      </vt:variant>
      <vt:variant>
        <vt:i4>222</vt:i4>
      </vt:variant>
      <vt:variant>
        <vt:i4>0</vt:i4>
      </vt:variant>
      <vt:variant>
        <vt:i4>5</vt:i4>
      </vt:variant>
      <vt:variant>
        <vt:lpwstr>https://www.closingthegap.gov.au/national-agreement</vt:lpwstr>
      </vt:variant>
      <vt:variant>
        <vt:lpwstr/>
      </vt:variant>
      <vt:variant>
        <vt:i4>7012475</vt:i4>
      </vt:variant>
      <vt:variant>
        <vt:i4>216</vt:i4>
      </vt:variant>
      <vt:variant>
        <vt:i4>0</vt:i4>
      </vt:variant>
      <vt:variant>
        <vt:i4>5</vt:i4>
      </vt:variant>
      <vt:variant>
        <vt:lpwstr>https://www.closingthegap.gov.au/national-agreement</vt:lpwstr>
      </vt:variant>
      <vt:variant>
        <vt:lpwstr/>
      </vt:variant>
      <vt:variant>
        <vt:i4>4063287</vt:i4>
      </vt:variant>
      <vt:variant>
        <vt:i4>213</vt:i4>
      </vt:variant>
      <vt:variant>
        <vt:i4>0</vt:i4>
      </vt:variant>
      <vt:variant>
        <vt:i4>5</vt:i4>
      </vt:variant>
      <vt:variant>
        <vt:lpwstr>https://investmentdialogue.org.au/</vt:lpwstr>
      </vt:variant>
      <vt:variant>
        <vt:lpwstr/>
      </vt:variant>
      <vt:variant>
        <vt:i4>7012475</vt:i4>
      </vt:variant>
      <vt:variant>
        <vt:i4>210</vt:i4>
      </vt:variant>
      <vt:variant>
        <vt:i4>0</vt:i4>
      </vt:variant>
      <vt:variant>
        <vt:i4>5</vt:i4>
      </vt:variant>
      <vt:variant>
        <vt:lpwstr>https://www.closingthegap.gov.au/national-agreement</vt:lpwstr>
      </vt:variant>
      <vt:variant>
        <vt:lpwstr/>
      </vt:variant>
      <vt:variant>
        <vt:i4>7864360</vt:i4>
      </vt:variant>
      <vt:variant>
        <vt:i4>207</vt:i4>
      </vt:variant>
      <vt:variant>
        <vt:i4>0</vt:i4>
      </vt:variant>
      <vt:variant>
        <vt:i4>5</vt:i4>
      </vt:variant>
      <vt:variant>
        <vt:lpwstr>https://www.grants.gov.au/</vt:lpwstr>
      </vt:variant>
      <vt:variant>
        <vt:lpwstr/>
      </vt:variant>
      <vt:variant>
        <vt:i4>327745</vt:i4>
      </vt:variant>
      <vt:variant>
        <vt:i4>204</vt:i4>
      </vt:variant>
      <vt:variant>
        <vt:i4>0</vt:i4>
      </vt:variant>
      <vt:variant>
        <vt:i4>5</vt:i4>
      </vt:variant>
      <vt:variant>
        <vt:lpwstr>https://www.aegn.org.au/</vt:lpwstr>
      </vt:variant>
      <vt:variant>
        <vt:lpwstr/>
      </vt:variant>
      <vt:variant>
        <vt:i4>196632</vt:i4>
      </vt:variant>
      <vt:variant>
        <vt:i4>201</vt:i4>
      </vt:variant>
      <vt:variant>
        <vt:i4>0</vt:i4>
      </vt:variant>
      <vt:variant>
        <vt:i4>5</vt:i4>
      </vt:variant>
      <vt:variant>
        <vt:lpwstr>https://www.pc.gov.au/inquiries/completed/philanthropy/report</vt:lpwstr>
      </vt:variant>
      <vt:variant>
        <vt:lpwstr/>
      </vt:variant>
      <vt:variant>
        <vt:i4>7012475</vt:i4>
      </vt:variant>
      <vt:variant>
        <vt:i4>198</vt:i4>
      </vt:variant>
      <vt:variant>
        <vt:i4>0</vt:i4>
      </vt:variant>
      <vt:variant>
        <vt:i4>5</vt:i4>
      </vt:variant>
      <vt:variant>
        <vt:lpwstr>https://www.closingthegap.gov.au/national-agreement</vt:lpwstr>
      </vt:variant>
      <vt:variant>
        <vt:lpwstr/>
      </vt:variant>
      <vt:variant>
        <vt:i4>655440</vt:i4>
      </vt:variant>
      <vt:variant>
        <vt:i4>195</vt:i4>
      </vt:variant>
      <vt:variant>
        <vt:i4>0</vt:i4>
      </vt:variant>
      <vt:variant>
        <vt:i4>5</vt:i4>
      </vt:variant>
      <vt:variant>
        <vt:lpwstr>https://federalfinancialrelations.gov.au/</vt:lpwstr>
      </vt:variant>
      <vt:variant>
        <vt:lpwstr/>
      </vt:variant>
      <vt:variant>
        <vt:i4>1507413</vt:i4>
      </vt:variant>
      <vt:variant>
        <vt:i4>192</vt:i4>
      </vt:variant>
      <vt:variant>
        <vt:i4>0</vt:i4>
      </vt:variant>
      <vt:variant>
        <vt:i4>5</vt:i4>
      </vt:variant>
      <vt:variant>
        <vt:lpwstr>https://www.acnc.gov.au/</vt:lpwstr>
      </vt:variant>
      <vt:variant>
        <vt:lpwstr/>
      </vt:variant>
      <vt:variant>
        <vt:i4>1376317</vt:i4>
      </vt:variant>
      <vt:variant>
        <vt:i4>185</vt:i4>
      </vt:variant>
      <vt:variant>
        <vt:i4>0</vt:i4>
      </vt:variant>
      <vt:variant>
        <vt:i4>5</vt:i4>
      </vt:variant>
      <vt:variant>
        <vt:lpwstr/>
      </vt:variant>
      <vt:variant>
        <vt:lpwstr>_Toc217297169</vt:lpwstr>
      </vt:variant>
      <vt:variant>
        <vt:i4>1376317</vt:i4>
      </vt:variant>
      <vt:variant>
        <vt:i4>179</vt:i4>
      </vt:variant>
      <vt:variant>
        <vt:i4>0</vt:i4>
      </vt:variant>
      <vt:variant>
        <vt:i4>5</vt:i4>
      </vt:variant>
      <vt:variant>
        <vt:lpwstr/>
      </vt:variant>
      <vt:variant>
        <vt:lpwstr>_Toc217297168</vt:lpwstr>
      </vt:variant>
      <vt:variant>
        <vt:i4>1376317</vt:i4>
      </vt:variant>
      <vt:variant>
        <vt:i4>173</vt:i4>
      </vt:variant>
      <vt:variant>
        <vt:i4>0</vt:i4>
      </vt:variant>
      <vt:variant>
        <vt:i4>5</vt:i4>
      </vt:variant>
      <vt:variant>
        <vt:lpwstr/>
      </vt:variant>
      <vt:variant>
        <vt:lpwstr>_Toc217297167</vt:lpwstr>
      </vt:variant>
      <vt:variant>
        <vt:i4>1376317</vt:i4>
      </vt:variant>
      <vt:variant>
        <vt:i4>167</vt:i4>
      </vt:variant>
      <vt:variant>
        <vt:i4>0</vt:i4>
      </vt:variant>
      <vt:variant>
        <vt:i4>5</vt:i4>
      </vt:variant>
      <vt:variant>
        <vt:lpwstr/>
      </vt:variant>
      <vt:variant>
        <vt:lpwstr>_Toc217297166</vt:lpwstr>
      </vt:variant>
      <vt:variant>
        <vt:i4>1376317</vt:i4>
      </vt:variant>
      <vt:variant>
        <vt:i4>161</vt:i4>
      </vt:variant>
      <vt:variant>
        <vt:i4>0</vt:i4>
      </vt:variant>
      <vt:variant>
        <vt:i4>5</vt:i4>
      </vt:variant>
      <vt:variant>
        <vt:lpwstr/>
      </vt:variant>
      <vt:variant>
        <vt:lpwstr>_Toc217297165</vt:lpwstr>
      </vt:variant>
      <vt:variant>
        <vt:i4>1376317</vt:i4>
      </vt:variant>
      <vt:variant>
        <vt:i4>155</vt:i4>
      </vt:variant>
      <vt:variant>
        <vt:i4>0</vt:i4>
      </vt:variant>
      <vt:variant>
        <vt:i4>5</vt:i4>
      </vt:variant>
      <vt:variant>
        <vt:lpwstr/>
      </vt:variant>
      <vt:variant>
        <vt:lpwstr>_Toc217297164</vt:lpwstr>
      </vt:variant>
      <vt:variant>
        <vt:i4>1376317</vt:i4>
      </vt:variant>
      <vt:variant>
        <vt:i4>149</vt:i4>
      </vt:variant>
      <vt:variant>
        <vt:i4>0</vt:i4>
      </vt:variant>
      <vt:variant>
        <vt:i4>5</vt:i4>
      </vt:variant>
      <vt:variant>
        <vt:lpwstr/>
      </vt:variant>
      <vt:variant>
        <vt:lpwstr>_Toc217297163</vt:lpwstr>
      </vt:variant>
      <vt:variant>
        <vt:i4>1376317</vt:i4>
      </vt:variant>
      <vt:variant>
        <vt:i4>143</vt:i4>
      </vt:variant>
      <vt:variant>
        <vt:i4>0</vt:i4>
      </vt:variant>
      <vt:variant>
        <vt:i4>5</vt:i4>
      </vt:variant>
      <vt:variant>
        <vt:lpwstr/>
      </vt:variant>
      <vt:variant>
        <vt:lpwstr>_Toc217297162</vt:lpwstr>
      </vt:variant>
      <vt:variant>
        <vt:i4>1376317</vt:i4>
      </vt:variant>
      <vt:variant>
        <vt:i4>137</vt:i4>
      </vt:variant>
      <vt:variant>
        <vt:i4>0</vt:i4>
      </vt:variant>
      <vt:variant>
        <vt:i4>5</vt:i4>
      </vt:variant>
      <vt:variant>
        <vt:lpwstr/>
      </vt:variant>
      <vt:variant>
        <vt:lpwstr>_Toc217297161</vt:lpwstr>
      </vt:variant>
      <vt:variant>
        <vt:i4>1376317</vt:i4>
      </vt:variant>
      <vt:variant>
        <vt:i4>131</vt:i4>
      </vt:variant>
      <vt:variant>
        <vt:i4>0</vt:i4>
      </vt:variant>
      <vt:variant>
        <vt:i4>5</vt:i4>
      </vt:variant>
      <vt:variant>
        <vt:lpwstr/>
      </vt:variant>
      <vt:variant>
        <vt:lpwstr>_Toc217297160</vt:lpwstr>
      </vt:variant>
      <vt:variant>
        <vt:i4>1441853</vt:i4>
      </vt:variant>
      <vt:variant>
        <vt:i4>125</vt:i4>
      </vt:variant>
      <vt:variant>
        <vt:i4>0</vt:i4>
      </vt:variant>
      <vt:variant>
        <vt:i4>5</vt:i4>
      </vt:variant>
      <vt:variant>
        <vt:lpwstr/>
      </vt:variant>
      <vt:variant>
        <vt:lpwstr>_Toc217297159</vt:lpwstr>
      </vt:variant>
      <vt:variant>
        <vt:i4>1441853</vt:i4>
      </vt:variant>
      <vt:variant>
        <vt:i4>119</vt:i4>
      </vt:variant>
      <vt:variant>
        <vt:i4>0</vt:i4>
      </vt:variant>
      <vt:variant>
        <vt:i4>5</vt:i4>
      </vt:variant>
      <vt:variant>
        <vt:lpwstr/>
      </vt:variant>
      <vt:variant>
        <vt:lpwstr>_Toc217297158</vt:lpwstr>
      </vt:variant>
      <vt:variant>
        <vt:i4>1441853</vt:i4>
      </vt:variant>
      <vt:variant>
        <vt:i4>113</vt:i4>
      </vt:variant>
      <vt:variant>
        <vt:i4>0</vt:i4>
      </vt:variant>
      <vt:variant>
        <vt:i4>5</vt:i4>
      </vt:variant>
      <vt:variant>
        <vt:lpwstr/>
      </vt:variant>
      <vt:variant>
        <vt:lpwstr>_Toc217297157</vt:lpwstr>
      </vt:variant>
      <vt:variant>
        <vt:i4>1441853</vt:i4>
      </vt:variant>
      <vt:variant>
        <vt:i4>107</vt:i4>
      </vt:variant>
      <vt:variant>
        <vt:i4>0</vt:i4>
      </vt:variant>
      <vt:variant>
        <vt:i4>5</vt:i4>
      </vt:variant>
      <vt:variant>
        <vt:lpwstr/>
      </vt:variant>
      <vt:variant>
        <vt:lpwstr>_Toc217297156</vt:lpwstr>
      </vt:variant>
      <vt:variant>
        <vt:i4>1441853</vt:i4>
      </vt:variant>
      <vt:variant>
        <vt:i4>101</vt:i4>
      </vt:variant>
      <vt:variant>
        <vt:i4>0</vt:i4>
      </vt:variant>
      <vt:variant>
        <vt:i4>5</vt:i4>
      </vt:variant>
      <vt:variant>
        <vt:lpwstr/>
      </vt:variant>
      <vt:variant>
        <vt:lpwstr>_Toc217297155</vt:lpwstr>
      </vt:variant>
      <vt:variant>
        <vt:i4>1441853</vt:i4>
      </vt:variant>
      <vt:variant>
        <vt:i4>95</vt:i4>
      </vt:variant>
      <vt:variant>
        <vt:i4>0</vt:i4>
      </vt:variant>
      <vt:variant>
        <vt:i4>5</vt:i4>
      </vt:variant>
      <vt:variant>
        <vt:lpwstr/>
      </vt:variant>
      <vt:variant>
        <vt:lpwstr>_Toc217297154</vt:lpwstr>
      </vt:variant>
      <vt:variant>
        <vt:i4>1441853</vt:i4>
      </vt:variant>
      <vt:variant>
        <vt:i4>89</vt:i4>
      </vt:variant>
      <vt:variant>
        <vt:i4>0</vt:i4>
      </vt:variant>
      <vt:variant>
        <vt:i4>5</vt:i4>
      </vt:variant>
      <vt:variant>
        <vt:lpwstr/>
      </vt:variant>
      <vt:variant>
        <vt:lpwstr>_Toc217297153</vt:lpwstr>
      </vt:variant>
      <vt:variant>
        <vt:i4>1441853</vt:i4>
      </vt:variant>
      <vt:variant>
        <vt:i4>83</vt:i4>
      </vt:variant>
      <vt:variant>
        <vt:i4>0</vt:i4>
      </vt:variant>
      <vt:variant>
        <vt:i4>5</vt:i4>
      </vt:variant>
      <vt:variant>
        <vt:lpwstr/>
      </vt:variant>
      <vt:variant>
        <vt:lpwstr>_Toc217297152</vt:lpwstr>
      </vt:variant>
      <vt:variant>
        <vt:i4>1441853</vt:i4>
      </vt:variant>
      <vt:variant>
        <vt:i4>77</vt:i4>
      </vt:variant>
      <vt:variant>
        <vt:i4>0</vt:i4>
      </vt:variant>
      <vt:variant>
        <vt:i4>5</vt:i4>
      </vt:variant>
      <vt:variant>
        <vt:lpwstr/>
      </vt:variant>
      <vt:variant>
        <vt:lpwstr>_Toc217297151</vt:lpwstr>
      </vt:variant>
      <vt:variant>
        <vt:i4>1441853</vt:i4>
      </vt:variant>
      <vt:variant>
        <vt:i4>71</vt:i4>
      </vt:variant>
      <vt:variant>
        <vt:i4>0</vt:i4>
      </vt:variant>
      <vt:variant>
        <vt:i4>5</vt:i4>
      </vt:variant>
      <vt:variant>
        <vt:lpwstr/>
      </vt:variant>
      <vt:variant>
        <vt:lpwstr>_Toc217297150</vt:lpwstr>
      </vt:variant>
      <vt:variant>
        <vt:i4>1507389</vt:i4>
      </vt:variant>
      <vt:variant>
        <vt:i4>65</vt:i4>
      </vt:variant>
      <vt:variant>
        <vt:i4>0</vt:i4>
      </vt:variant>
      <vt:variant>
        <vt:i4>5</vt:i4>
      </vt:variant>
      <vt:variant>
        <vt:lpwstr/>
      </vt:variant>
      <vt:variant>
        <vt:lpwstr>_Toc217297149</vt:lpwstr>
      </vt:variant>
      <vt:variant>
        <vt:i4>1507389</vt:i4>
      </vt:variant>
      <vt:variant>
        <vt:i4>59</vt:i4>
      </vt:variant>
      <vt:variant>
        <vt:i4>0</vt:i4>
      </vt:variant>
      <vt:variant>
        <vt:i4>5</vt:i4>
      </vt:variant>
      <vt:variant>
        <vt:lpwstr/>
      </vt:variant>
      <vt:variant>
        <vt:lpwstr>_Toc217297148</vt:lpwstr>
      </vt:variant>
      <vt:variant>
        <vt:i4>1507389</vt:i4>
      </vt:variant>
      <vt:variant>
        <vt:i4>53</vt:i4>
      </vt:variant>
      <vt:variant>
        <vt:i4>0</vt:i4>
      </vt:variant>
      <vt:variant>
        <vt:i4>5</vt:i4>
      </vt:variant>
      <vt:variant>
        <vt:lpwstr/>
      </vt:variant>
      <vt:variant>
        <vt:lpwstr>_Toc217297147</vt:lpwstr>
      </vt:variant>
      <vt:variant>
        <vt:i4>1507389</vt:i4>
      </vt:variant>
      <vt:variant>
        <vt:i4>47</vt:i4>
      </vt:variant>
      <vt:variant>
        <vt:i4>0</vt:i4>
      </vt:variant>
      <vt:variant>
        <vt:i4>5</vt:i4>
      </vt:variant>
      <vt:variant>
        <vt:lpwstr/>
      </vt:variant>
      <vt:variant>
        <vt:lpwstr>_Toc217297146</vt:lpwstr>
      </vt:variant>
      <vt:variant>
        <vt:i4>1507389</vt:i4>
      </vt:variant>
      <vt:variant>
        <vt:i4>41</vt:i4>
      </vt:variant>
      <vt:variant>
        <vt:i4>0</vt:i4>
      </vt:variant>
      <vt:variant>
        <vt:i4>5</vt:i4>
      </vt:variant>
      <vt:variant>
        <vt:lpwstr/>
      </vt:variant>
      <vt:variant>
        <vt:lpwstr>_Toc217297145</vt:lpwstr>
      </vt:variant>
      <vt:variant>
        <vt:i4>1507389</vt:i4>
      </vt:variant>
      <vt:variant>
        <vt:i4>35</vt:i4>
      </vt:variant>
      <vt:variant>
        <vt:i4>0</vt:i4>
      </vt:variant>
      <vt:variant>
        <vt:i4>5</vt:i4>
      </vt:variant>
      <vt:variant>
        <vt:lpwstr/>
      </vt:variant>
      <vt:variant>
        <vt:lpwstr>_Toc217297144</vt:lpwstr>
      </vt:variant>
      <vt:variant>
        <vt:i4>1507389</vt:i4>
      </vt:variant>
      <vt:variant>
        <vt:i4>29</vt:i4>
      </vt:variant>
      <vt:variant>
        <vt:i4>0</vt:i4>
      </vt:variant>
      <vt:variant>
        <vt:i4>5</vt:i4>
      </vt:variant>
      <vt:variant>
        <vt:lpwstr/>
      </vt:variant>
      <vt:variant>
        <vt:lpwstr>_Toc217297143</vt:lpwstr>
      </vt:variant>
      <vt:variant>
        <vt:i4>1507389</vt:i4>
      </vt:variant>
      <vt:variant>
        <vt:i4>23</vt:i4>
      </vt:variant>
      <vt:variant>
        <vt:i4>0</vt:i4>
      </vt:variant>
      <vt:variant>
        <vt:i4>5</vt:i4>
      </vt:variant>
      <vt:variant>
        <vt:lpwstr/>
      </vt:variant>
      <vt:variant>
        <vt:lpwstr>_Toc217297142</vt:lpwstr>
      </vt:variant>
      <vt:variant>
        <vt:i4>1507389</vt:i4>
      </vt:variant>
      <vt:variant>
        <vt:i4>17</vt:i4>
      </vt:variant>
      <vt:variant>
        <vt:i4>0</vt:i4>
      </vt:variant>
      <vt:variant>
        <vt:i4>5</vt:i4>
      </vt:variant>
      <vt:variant>
        <vt:lpwstr/>
      </vt:variant>
      <vt:variant>
        <vt:lpwstr>_Toc217297141</vt:lpwstr>
      </vt:variant>
      <vt:variant>
        <vt:i4>7405570</vt:i4>
      </vt:variant>
      <vt:variant>
        <vt:i4>12</vt:i4>
      </vt:variant>
      <vt:variant>
        <vt:i4>0</vt:i4>
      </vt:variant>
      <vt:variant>
        <vt:i4>5</vt:i4>
      </vt:variant>
      <vt:variant>
        <vt:lpwstr>mailto:communication@dss.gov.au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983119</vt:i4>
      </vt:variant>
      <vt:variant>
        <vt:i4>18</vt:i4>
      </vt:variant>
      <vt:variant>
        <vt:i4>0</vt:i4>
      </vt:variant>
      <vt:variant>
        <vt:i4>5</vt:i4>
      </vt:variant>
      <vt:variant>
        <vt:lpwstr>https://www.stylemanual.gov.au/referencing-and-attribution/author-date</vt:lpwstr>
      </vt:variant>
      <vt:variant>
        <vt:lpwstr>hyperlink_titles_and_include_access_dates_for_online_works</vt:lpwstr>
      </vt:variant>
      <vt:variant>
        <vt:i4>5832755</vt:i4>
      </vt:variant>
      <vt:variant>
        <vt:i4>15</vt:i4>
      </vt:variant>
      <vt:variant>
        <vt:i4>0</vt:i4>
      </vt:variant>
      <vt:variant>
        <vt:i4>5</vt:i4>
      </vt:variant>
      <vt:variant>
        <vt:lpwstr>https://www.stylemanual.gov.au/grammar-punctuation-and-conventions/punctuation/quotation-marks</vt:lpwstr>
      </vt:variant>
      <vt:variant>
        <vt:lpwstr>format_long_quotes_as_block_quotations_with_no_quotation_marks</vt:lpwstr>
      </vt:variant>
      <vt:variant>
        <vt:i4>196632</vt:i4>
      </vt:variant>
      <vt:variant>
        <vt:i4>12</vt:i4>
      </vt:variant>
      <vt:variant>
        <vt:i4>0</vt:i4>
      </vt:variant>
      <vt:variant>
        <vt:i4>5</vt:i4>
      </vt:variant>
      <vt:variant>
        <vt:lpwstr>https://www.pc.gov.au/inquiries/completed/philanthropy/report</vt:lpwstr>
      </vt:variant>
      <vt:variant>
        <vt:lpwstr/>
      </vt:variant>
      <vt:variant>
        <vt:i4>5832755</vt:i4>
      </vt:variant>
      <vt:variant>
        <vt:i4>9</vt:i4>
      </vt:variant>
      <vt:variant>
        <vt:i4>0</vt:i4>
      </vt:variant>
      <vt:variant>
        <vt:i4>5</vt:i4>
      </vt:variant>
      <vt:variant>
        <vt:lpwstr>https://www.stylemanual.gov.au/grammar-punctuation-and-conventions/punctuation/quotation-marks</vt:lpwstr>
      </vt:variant>
      <vt:variant>
        <vt:lpwstr>format_long_quotes_as_block_quotations_with_no_quotation_marks</vt:lpwstr>
      </vt:variant>
      <vt:variant>
        <vt:i4>655439</vt:i4>
      </vt:variant>
      <vt:variant>
        <vt:i4>6</vt:i4>
      </vt:variant>
      <vt:variant>
        <vt:i4>0</vt:i4>
      </vt:variant>
      <vt:variant>
        <vt:i4>5</vt:i4>
      </vt:variant>
      <vt:variant>
        <vt:lpwstr>https://federalfinancialrelations.gov.au/federation-funding-agreements-framework</vt:lpwstr>
      </vt:variant>
      <vt:variant>
        <vt:lpwstr/>
      </vt:variant>
      <vt:variant>
        <vt:i4>5832755</vt:i4>
      </vt:variant>
      <vt:variant>
        <vt:i4>3</vt:i4>
      </vt:variant>
      <vt:variant>
        <vt:i4>0</vt:i4>
      </vt:variant>
      <vt:variant>
        <vt:i4>5</vt:i4>
      </vt:variant>
      <vt:variant>
        <vt:lpwstr>https://www.stylemanual.gov.au/grammar-punctuation-and-conventions/punctuation/quotation-marks</vt:lpwstr>
      </vt:variant>
      <vt:variant>
        <vt:lpwstr>format_long_quotes_as_block_quotations_with_no_quotation_marks</vt:lpwstr>
      </vt:variant>
      <vt:variant>
        <vt:i4>2752630</vt:i4>
      </vt:variant>
      <vt:variant>
        <vt:i4>0</vt:i4>
      </vt:variant>
      <vt:variant>
        <vt:i4>0</vt:i4>
      </vt:variant>
      <vt:variant>
        <vt:i4>5</vt:i4>
      </vt:variant>
      <vt:variant>
        <vt:lpwstr>https://www.stylemanual.gov.au/grammar-punctuation-and-conventions/shortened-words-and-phrases/acronyms-and-initialisms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Government Partnership with Philanthropy</dc:title>
  <dc:subject/>
  <dc:creator>Vicki Taylor</dc:creator>
  <cp:keywords>[SEC=OFFICIAL]</cp:keywords>
  <cp:lastModifiedBy>MILLER, Vicky</cp:lastModifiedBy>
  <cp:revision>10</cp:revision>
  <cp:lastPrinted>2026-05-11T08:05:00Z</cp:lastPrinted>
  <dcterms:created xsi:type="dcterms:W3CDTF">2026-05-11T07:55:00Z</dcterms:created>
  <dcterms:modified xsi:type="dcterms:W3CDTF">2026-05-12T21:38:00Z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B51A5B0BF72647C5B505FD48B6A220E6</vt:lpwstr>
  </property>
  <property fmtid="{D5CDD505-2E9C-101B-9397-08002B2CF9AE}" pid="9" name="PM_ProtectiveMarkingValue_Footer">
    <vt:lpwstr>OFFICIAL</vt:lpwstr>
  </property>
  <property fmtid="{D5CDD505-2E9C-101B-9397-08002B2CF9AE}" pid="10" name="PM_Originator_Hash_SHA1">
    <vt:lpwstr>0DD8ABEF265912D6621FF293CF3D7CFABEC45F40</vt:lpwstr>
  </property>
  <property fmtid="{D5CDD505-2E9C-101B-9397-08002B2CF9AE}" pid="11" name="PM_OriginationTimeStamp">
    <vt:lpwstr>2024-03-06T04:11:27Z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2024.1</vt:lpwstr>
  </property>
  <property fmtid="{D5CDD505-2E9C-101B-9397-08002B2CF9AE}" pid="20" name="PM_Hash_Salt_Prev">
    <vt:lpwstr>2AB7A94BB1EBE3026F8E7591E3757909</vt:lpwstr>
  </property>
  <property fmtid="{D5CDD505-2E9C-101B-9397-08002B2CF9AE}" pid="21" name="PM_Hash_Salt">
    <vt:lpwstr>0CF071FB73795EC3F1A4E0D553128EF6</vt:lpwstr>
  </property>
  <property fmtid="{D5CDD505-2E9C-101B-9397-08002B2CF9AE}" pid="22" name="PM_Hash_SHA1">
    <vt:lpwstr>1328776D615C556D1410C84770BB01AA6F095131</vt:lpwstr>
  </property>
  <property fmtid="{D5CDD505-2E9C-101B-9397-08002B2CF9AE}" pid="23" name="PM_OriginatorUserAccountName_SHA256">
    <vt:lpwstr>9871F6CFFBF84B5DD096BCB24488EABDE9250CEAA716568F68B24D42DED533FD</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ContentTypeId">
    <vt:lpwstr>0x01010026E276F24DFD374D9FDBBEE3ABC4327E</vt:lpwstr>
  </property>
  <property fmtid="{D5CDD505-2E9C-101B-9397-08002B2CF9AE}" pid="28" name="MediaServiceImageTags">
    <vt:lpwstr/>
  </property>
  <property fmtid="{D5CDD505-2E9C-101B-9397-08002B2CF9AE}" pid="29" name="MSIP_Label_eb34d90b-fc41-464d-af60-f74d721d0790_Enabled">
    <vt:lpwstr>true</vt:lpwstr>
  </property>
  <property fmtid="{D5CDD505-2E9C-101B-9397-08002B2CF9AE}" pid="30" name="MSIP_Label_eb34d90b-fc41-464d-af60-f74d721d0790_SetDate">
    <vt:lpwstr>2024-03-06T04:11:27Z</vt:lpwstr>
  </property>
  <property fmtid="{D5CDD505-2E9C-101B-9397-08002B2CF9AE}" pid="31" name="MSIP_Label_eb34d90b-fc41-464d-af60-f74d721d0790_Method">
    <vt:lpwstr>Privileged</vt:lpwstr>
  </property>
  <property fmtid="{D5CDD505-2E9C-101B-9397-08002B2CF9AE}" pid="32" name="MSIP_Label_eb34d90b-fc41-464d-af60-f74d721d0790_Name">
    <vt:lpwstr>OFFICIAL</vt:lpwstr>
  </property>
  <property fmtid="{D5CDD505-2E9C-101B-9397-08002B2CF9AE}" pid="33" name="MSIP_Label_eb34d90b-fc41-464d-af60-f74d721d0790_SiteId">
    <vt:lpwstr>61e36dd1-ca6e-4d61-aa0a-2b4eb88317a3</vt:lpwstr>
  </property>
  <property fmtid="{D5CDD505-2E9C-101B-9397-08002B2CF9AE}" pid="34" name="MSIP_Label_eb34d90b-fc41-464d-af60-f74d721d0790_ActionId">
    <vt:lpwstr>fab20956401546c3b2a38a17e8d77094</vt:lpwstr>
  </property>
  <property fmtid="{D5CDD505-2E9C-101B-9397-08002B2CF9AE}" pid="35" name="MSIP_Label_eb34d90b-fc41-464d-af60-f74d721d0790_ContentBits">
    <vt:lpwstr>3</vt:lpwstr>
  </property>
  <property fmtid="{D5CDD505-2E9C-101B-9397-08002B2CF9AE}" pid="36" name="PMHMAC">
    <vt:lpwstr>v=2024.1;a=SHA256;h=F809737F2CAC703D7991B2642BB4FABC83DDC9D36F5A3C958BFB194949DB593B</vt:lpwstr>
  </property>
  <property fmtid="{D5CDD505-2E9C-101B-9397-08002B2CF9AE}" pid="37" name="PMUuid">
    <vt:lpwstr>v=2022.2;d=gov.au;g=46DD6D7C-8107-577B-BC6E-F348953B2E44</vt:lpwstr>
  </property>
  <property fmtid="{D5CDD505-2E9C-101B-9397-08002B2CF9AE}" pid="38" name="eTheme">
    <vt:lpwstr>1;#Social Services|7a884215-272f-4c7e-8494-9f64e298e305</vt:lpwstr>
  </property>
  <property fmtid="{D5CDD505-2E9C-101B-9397-08002B2CF9AE}" pid="39" name="_dlc_DocIdItemGuid">
    <vt:lpwstr>92d6602c-d4b3-4819-a823-f97a9b6fae5b</vt:lpwstr>
  </property>
  <property fmtid="{D5CDD505-2E9C-101B-9397-08002B2CF9AE}" pid="40" name="TSYStatus">
    <vt:lpwstr/>
  </property>
  <property fmtid="{D5CDD505-2E9C-101B-9397-08002B2CF9AE}" pid="41" name="eDocumentType">
    <vt:lpwstr>24;#Paper (Analysis or Research or Report)|6ad78538-b056-4e5b-8c06-e0b6c43f0ffa</vt:lpwstr>
  </property>
  <property fmtid="{D5CDD505-2E9C-101B-9397-08002B2CF9AE}" pid="42" name="eTopic">
    <vt:lpwstr>10;#Framework to Support Community Change|d4428bf3-407a-4bc4-b02e-32f614aeff17;#8;#Investment Dialogue for Australia's Children|9403b190-2547-47d9-9226-1dd69b09631b</vt:lpwstr>
  </property>
  <property fmtid="{D5CDD505-2E9C-101B-9397-08002B2CF9AE}" pid="43" name="eActivity">
    <vt:lpwstr>6;#Policy development|3c21fa22-a311-4c7a-a8b0-1d9dee90bb01</vt:lpwstr>
  </property>
  <property fmtid="{D5CDD505-2E9C-101B-9397-08002B2CF9AE}" pid="44" name="PM_Expires">
    <vt:lpwstr/>
  </property>
  <property fmtid="{D5CDD505-2E9C-101B-9397-08002B2CF9AE}" pid="45" name="PM_DownTo">
    <vt:lpwstr/>
  </property>
  <property fmtid="{D5CDD505-2E9C-101B-9397-08002B2CF9AE}" pid="46" name="PM_DowngradeTo">
    <vt:lpwstr/>
  </property>
</Properties>
</file>