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3C8F" w14:textId="77777777" w:rsidR="002A619D" w:rsidRDefault="002A619D" w:rsidP="002A619D">
      <w:pPr>
        <w:jc w:val="center"/>
      </w:pPr>
      <w:r>
        <w:rPr>
          <w:noProof/>
          <w:lang w:eastAsia="en-AU"/>
        </w:rPr>
        <w:drawing>
          <wp:inline distT="0" distB="0" distL="0" distR="0" wp14:anchorId="5DBE3CBB" wp14:editId="5DBE3CBC">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5DBE3C90" w14:textId="77777777" w:rsidR="002A619D" w:rsidRDefault="002A619D" w:rsidP="002A619D">
      <w:pPr>
        <w:spacing w:after="0"/>
        <w:sectPr w:rsidR="002A619D">
          <w:headerReference w:type="even" r:id="rId9"/>
          <w:footerReference w:type="even" r:id="rId10"/>
          <w:headerReference w:type="first" r:id="rId11"/>
          <w:footerReference w:type="first" r:id="rId12"/>
          <w:pgSz w:w="11906" w:h="16838"/>
          <w:pgMar w:top="1418" w:right="1440" w:bottom="1440" w:left="1440" w:header="0" w:footer="346" w:gutter="0"/>
          <w:cols w:space="720"/>
        </w:sectPr>
      </w:pPr>
    </w:p>
    <w:p w14:paraId="5DBE3C91" w14:textId="78AD09EA" w:rsidR="002A619D" w:rsidRPr="00E66A06" w:rsidRDefault="002A619D" w:rsidP="00EE651D">
      <w:pPr>
        <w:pStyle w:val="Heading1"/>
      </w:pPr>
      <w:r w:rsidRPr="00E66A06">
        <w:t xml:space="preserve">Australian Government </w:t>
      </w:r>
      <w:r w:rsidRPr="00EE651D">
        <w:t>response</w:t>
      </w:r>
      <w:r w:rsidRPr="00E66A06">
        <w:t xml:space="preserve"> to the</w:t>
      </w:r>
      <w:r w:rsidR="002040C2" w:rsidRPr="00E66A06">
        <w:t xml:space="preserve"> House of Representatives Standing Committee on Social Policy and Legal Affairs</w:t>
      </w:r>
      <w:r w:rsidR="004A726B" w:rsidRPr="00E66A06">
        <w:t xml:space="preserve"> Inquiry</w:t>
      </w:r>
      <w:r w:rsidRPr="00E66A06">
        <w:t xml:space="preserve"> report:</w:t>
      </w:r>
    </w:p>
    <w:p w14:paraId="5DBE3C92" w14:textId="50E63194" w:rsidR="002A619D" w:rsidRPr="00C24025" w:rsidRDefault="004A726B" w:rsidP="00EE651D">
      <w:pPr>
        <w:pStyle w:val="Heading1"/>
        <w:spacing w:before="0" w:after="2400"/>
        <w:rPr>
          <w:rFonts w:asciiTheme="minorHAnsi" w:hAnsiTheme="minorHAnsi" w:cstheme="minorHAnsi"/>
          <w:b w:val="0"/>
          <w:bCs w:val="0"/>
          <w:sz w:val="44"/>
          <w:szCs w:val="44"/>
        </w:rPr>
      </w:pPr>
      <w:r w:rsidRPr="00C24025">
        <w:rPr>
          <w:rFonts w:asciiTheme="minorHAnsi" w:hAnsiTheme="minorHAnsi" w:cstheme="minorHAnsi"/>
          <w:b w:val="0"/>
          <w:bCs w:val="0"/>
          <w:sz w:val="44"/>
          <w:szCs w:val="44"/>
        </w:rPr>
        <w:t>You win some, you lose more: O</w:t>
      </w:r>
      <w:r w:rsidR="002040C2" w:rsidRPr="00C24025">
        <w:rPr>
          <w:rFonts w:asciiTheme="minorHAnsi" w:hAnsiTheme="minorHAnsi" w:cstheme="minorHAnsi"/>
          <w:b w:val="0"/>
          <w:bCs w:val="0"/>
          <w:sz w:val="44"/>
          <w:szCs w:val="44"/>
        </w:rPr>
        <w:t>nline gambling and its impacts on those experiencing gambling harm</w:t>
      </w:r>
    </w:p>
    <w:p w14:paraId="07A72948" w14:textId="2018FE04" w:rsidR="00CA36C5" w:rsidRPr="004C1C02" w:rsidRDefault="001374B5" w:rsidP="00231C91">
      <w:pPr>
        <w:pStyle w:val="Title"/>
        <w:spacing w:after="4080"/>
        <w:contextualSpacing w:val="0"/>
        <w:jc w:val="center"/>
        <w:rPr>
          <w:rFonts w:asciiTheme="minorHAnsi" w:hAnsiTheme="minorHAnsi" w:cstheme="minorHAnsi"/>
          <w:sz w:val="44"/>
          <w:szCs w:val="44"/>
        </w:rPr>
      </w:pPr>
      <w:r w:rsidRPr="004C1C02">
        <w:rPr>
          <w:rFonts w:asciiTheme="minorHAnsi" w:hAnsiTheme="minorHAnsi" w:cstheme="minorHAnsi"/>
          <w:sz w:val="44"/>
          <w:szCs w:val="44"/>
        </w:rPr>
        <w:t>May</w:t>
      </w:r>
      <w:r w:rsidR="001446AF" w:rsidRPr="004C1C02">
        <w:rPr>
          <w:rFonts w:asciiTheme="minorHAnsi" w:hAnsiTheme="minorHAnsi" w:cstheme="minorHAnsi"/>
          <w:sz w:val="44"/>
          <w:szCs w:val="44"/>
        </w:rPr>
        <w:t xml:space="preserve"> 2026</w:t>
      </w:r>
    </w:p>
    <w:p w14:paraId="5DBE3C9E" w14:textId="77777777" w:rsidR="00CA36C5" w:rsidRDefault="00CA36C5" w:rsidP="002A619D">
      <w:pPr>
        <w:spacing w:after="0"/>
        <w:rPr>
          <w:lang w:eastAsia="en-US"/>
        </w:rPr>
        <w:sectPr w:rsidR="00CA36C5">
          <w:type w:val="continuous"/>
          <w:pgSz w:w="11906" w:h="16838"/>
          <w:pgMar w:top="1418" w:right="1133" w:bottom="1440" w:left="1440" w:header="510" w:footer="510" w:gutter="0"/>
          <w:pgNumType w:fmt="lowerRoman" w:start="1"/>
          <w:cols w:space="720"/>
        </w:sectPr>
      </w:pPr>
    </w:p>
    <w:p w14:paraId="3DD3A75F" w14:textId="439EFB7A" w:rsidR="00902C70" w:rsidRPr="0041452F" w:rsidRDefault="00902C70" w:rsidP="00902C70">
      <w:pPr>
        <w:pStyle w:val="Heading2"/>
        <w:rPr>
          <w:color w:val="2F5496" w:themeColor="accent1" w:themeShade="BF"/>
        </w:rPr>
      </w:pPr>
      <w:bookmarkStart w:id="0" w:name="_Toc412126163"/>
      <w:bookmarkStart w:id="1" w:name="_Toc382493211"/>
      <w:r w:rsidRPr="0041452F">
        <w:rPr>
          <w:color w:val="2F5496" w:themeColor="accent1" w:themeShade="BF"/>
        </w:rPr>
        <w:lastRenderedPageBreak/>
        <w:t xml:space="preserve">Acknowledgement of Country </w:t>
      </w:r>
    </w:p>
    <w:p w14:paraId="7BC8A9F8" w14:textId="076B7DFE" w:rsidR="00902C70" w:rsidRPr="00383840" w:rsidRDefault="00902C70" w:rsidP="00902C70">
      <w:r w:rsidRPr="00383840">
        <w:t>The Australian Government acknowledges Aboriginal and Torres Strait Islander peoples throughout Australia and their continuing connection to land, water, culture and community</w:t>
      </w:r>
      <w:r w:rsidR="006F0A81">
        <w:t>, and</w:t>
      </w:r>
      <w:r w:rsidRPr="00383840">
        <w:t xml:space="preserve"> pay our respects to Elders past and present.</w:t>
      </w:r>
    </w:p>
    <w:p w14:paraId="5C2D93B7" w14:textId="26ECD046" w:rsidR="00902C70" w:rsidRPr="0041452F" w:rsidRDefault="00902C70" w:rsidP="00902C70">
      <w:pPr>
        <w:pStyle w:val="Heading2"/>
        <w:rPr>
          <w:color w:val="2F5496" w:themeColor="accent1" w:themeShade="BF"/>
        </w:rPr>
      </w:pPr>
      <w:r w:rsidRPr="0041452F">
        <w:rPr>
          <w:color w:val="2F5496" w:themeColor="accent1" w:themeShade="BF"/>
        </w:rPr>
        <w:t xml:space="preserve">Help and </w:t>
      </w:r>
      <w:r w:rsidR="00EB298F" w:rsidRPr="0041452F">
        <w:rPr>
          <w:color w:val="2F5496" w:themeColor="accent1" w:themeShade="BF"/>
        </w:rPr>
        <w:t>s</w:t>
      </w:r>
      <w:r w:rsidRPr="0041452F">
        <w:rPr>
          <w:color w:val="2F5496" w:themeColor="accent1" w:themeShade="BF"/>
        </w:rPr>
        <w:t>upport</w:t>
      </w:r>
    </w:p>
    <w:p w14:paraId="5B88C0CD" w14:textId="77777777" w:rsidR="00902C70" w:rsidRPr="00383840" w:rsidRDefault="00902C70" w:rsidP="001374B5">
      <w:r w:rsidRPr="00383840">
        <w:t>Support is available for people experiencing gambling harm.</w:t>
      </w:r>
    </w:p>
    <w:p w14:paraId="285952D7" w14:textId="77777777" w:rsidR="00902C70" w:rsidRPr="0041452F" w:rsidRDefault="00902C70" w:rsidP="00E825ED">
      <w:pPr>
        <w:pStyle w:val="Heading3"/>
        <w:rPr>
          <w:color w:val="323E4F" w:themeColor="text2" w:themeShade="BF"/>
        </w:rPr>
      </w:pPr>
      <w:r w:rsidRPr="0041452F">
        <w:rPr>
          <w:color w:val="323E4F" w:themeColor="text2" w:themeShade="BF"/>
        </w:rPr>
        <w:t>Gambling Help Online</w:t>
      </w:r>
    </w:p>
    <w:p w14:paraId="05CBB7D5" w14:textId="22F19906" w:rsidR="00902C70" w:rsidRPr="00383840" w:rsidRDefault="00902C70" w:rsidP="00902C70">
      <w:r w:rsidRPr="00383840">
        <w:t xml:space="preserve">For free and confidential support visit </w:t>
      </w:r>
      <w:r w:rsidRPr="005C7CC0">
        <w:t>Gambling Help Online at</w:t>
      </w:r>
      <w:r w:rsidRPr="001374B5">
        <w:t> </w:t>
      </w:r>
      <w:r w:rsidRPr="00C60386">
        <w:rPr>
          <w:u w:val="single"/>
        </w:rPr>
        <w:t>www.gamblinghelponline.org.au</w:t>
      </w:r>
      <w:r w:rsidR="00686848">
        <w:t xml:space="preserve"> </w:t>
      </w:r>
      <w:r w:rsidRPr="00383840">
        <w:t>to</w:t>
      </w:r>
      <w:r w:rsidR="00686848">
        <w:t> </w:t>
      </w:r>
      <w:r w:rsidRPr="00383840">
        <w:t>find out more about online counselling, live chat and email support, self</w:t>
      </w:r>
      <w:r>
        <w:noBreakHyphen/>
      </w:r>
      <w:r w:rsidRPr="00383840">
        <w:t>help advice and information. This</w:t>
      </w:r>
      <w:r>
        <w:t xml:space="preserve"> support </w:t>
      </w:r>
      <w:r w:rsidRPr="00383840">
        <w:t>is available to anyone experiencing harm and</w:t>
      </w:r>
      <w:r>
        <w:t xml:space="preserve"> anyone</w:t>
      </w:r>
      <w:r w:rsidRPr="00383840">
        <w:t xml:space="preserve"> concerned about a</w:t>
      </w:r>
      <w:r w:rsidR="00686848">
        <w:t> </w:t>
      </w:r>
      <w:r w:rsidRPr="00383840">
        <w:t>friend or family member.</w:t>
      </w:r>
    </w:p>
    <w:p w14:paraId="735822EB" w14:textId="77777777" w:rsidR="00902C70" w:rsidRPr="0041452F" w:rsidRDefault="00902C70" w:rsidP="00E825ED">
      <w:pPr>
        <w:pStyle w:val="Heading3"/>
        <w:rPr>
          <w:color w:val="323E4F" w:themeColor="text2" w:themeShade="BF"/>
        </w:rPr>
      </w:pPr>
      <w:r w:rsidRPr="0041452F">
        <w:rPr>
          <w:color w:val="323E4F" w:themeColor="text2" w:themeShade="BF"/>
        </w:rPr>
        <w:t>Telephone support</w:t>
      </w:r>
    </w:p>
    <w:p w14:paraId="17408896" w14:textId="77777777" w:rsidR="00902C70" w:rsidRPr="00383840" w:rsidRDefault="00902C70" w:rsidP="00902C70">
      <w:r w:rsidRPr="00383840">
        <w:t>You can get immediate assistance by calling the National Gambling Helpline on</w:t>
      </w:r>
      <w:r>
        <w:t> </w:t>
      </w:r>
      <w:r w:rsidRPr="00383840">
        <w:rPr>
          <w:b/>
        </w:rPr>
        <w:t>1800</w:t>
      </w:r>
      <w:r>
        <w:rPr>
          <w:b/>
        </w:rPr>
        <w:t> </w:t>
      </w:r>
      <w:r w:rsidRPr="00383840">
        <w:rPr>
          <w:b/>
        </w:rPr>
        <w:t>858</w:t>
      </w:r>
      <w:r>
        <w:rPr>
          <w:b/>
        </w:rPr>
        <w:t> </w:t>
      </w:r>
      <w:r w:rsidRPr="00383840">
        <w:rPr>
          <w:b/>
        </w:rPr>
        <w:t>858</w:t>
      </w:r>
      <w:r w:rsidRPr="00383840">
        <w:t> for free, professional and confidential support 24 hours a day, 7 days a</w:t>
      </w:r>
      <w:r>
        <w:t> </w:t>
      </w:r>
      <w:r w:rsidRPr="00383840">
        <w:t>week. </w:t>
      </w:r>
    </w:p>
    <w:p w14:paraId="21C495AC" w14:textId="77777777" w:rsidR="00902C70" w:rsidRPr="0041452F" w:rsidRDefault="00902C70" w:rsidP="00E825ED">
      <w:pPr>
        <w:pStyle w:val="Heading3"/>
        <w:rPr>
          <w:color w:val="323E4F" w:themeColor="text2" w:themeShade="BF"/>
        </w:rPr>
      </w:pPr>
      <w:r w:rsidRPr="0041452F">
        <w:rPr>
          <w:color w:val="323E4F" w:themeColor="text2" w:themeShade="BF"/>
        </w:rPr>
        <w:t>Financial counselling</w:t>
      </w:r>
    </w:p>
    <w:p w14:paraId="0DAE9D49" w14:textId="31164B36" w:rsidR="00902C70" w:rsidRPr="00902C70" w:rsidRDefault="00902C70" w:rsidP="00902C70">
      <w:r w:rsidRPr="00902C70">
        <w:t>Financial counselling is available to support people affected by gambling harm. Visit the Department</w:t>
      </w:r>
      <w:r w:rsidR="00D43037">
        <w:t> </w:t>
      </w:r>
      <w:r w:rsidRPr="00902C70">
        <w:t>of Social Services’ </w:t>
      </w:r>
      <w:hyperlink r:id="rId13" w:history="1">
        <w:r w:rsidRPr="00902C70">
          <w:t>webpage</w:t>
        </w:r>
      </w:hyperlink>
      <w:r w:rsidRPr="00902C70">
        <w:t xml:space="preserve"> </w:t>
      </w:r>
      <w:hyperlink r:id="rId14" w:history="1">
        <w:r w:rsidRPr="00C60386">
          <w:rPr>
            <w:u w:val="single"/>
          </w:rPr>
          <w:t>www.dss.gov.au/financialcounselling</w:t>
        </w:r>
      </w:hyperlink>
      <w:r w:rsidRPr="00902C70">
        <w:t xml:space="preserve"> for more information.</w:t>
      </w:r>
    </w:p>
    <w:p w14:paraId="7ED4BD07" w14:textId="4BCE9DD6" w:rsidR="00902C70" w:rsidRPr="0041452F" w:rsidRDefault="00902C70" w:rsidP="00E825ED">
      <w:pPr>
        <w:pStyle w:val="Heading3"/>
        <w:rPr>
          <w:color w:val="323E4F" w:themeColor="text2" w:themeShade="BF"/>
        </w:rPr>
      </w:pPr>
      <w:r w:rsidRPr="0041452F">
        <w:rPr>
          <w:color w:val="323E4F" w:themeColor="text2" w:themeShade="BF"/>
        </w:rPr>
        <w:t xml:space="preserve">BetStop </w:t>
      </w:r>
      <w:r w:rsidR="00E825ED" w:rsidRPr="0041452F">
        <w:rPr>
          <w:color w:val="323E4F" w:themeColor="text2" w:themeShade="BF"/>
        </w:rPr>
        <w:t xml:space="preserve">- </w:t>
      </w:r>
      <w:r w:rsidRPr="0041452F">
        <w:rPr>
          <w:color w:val="323E4F" w:themeColor="text2" w:themeShade="BF"/>
        </w:rPr>
        <w:t>the National Self</w:t>
      </w:r>
      <w:r w:rsidRPr="0041452F">
        <w:rPr>
          <w:color w:val="323E4F" w:themeColor="text2" w:themeShade="BF"/>
        </w:rPr>
        <w:noBreakHyphen/>
        <w:t>Exclusion Register</w:t>
      </w:r>
    </w:p>
    <w:p w14:paraId="4264A8A2" w14:textId="6A2AF447" w:rsidR="00902C70" w:rsidRPr="00383840" w:rsidRDefault="00902C70" w:rsidP="00902C70">
      <w:r w:rsidRPr="00383840">
        <w:t xml:space="preserve">BetStop </w:t>
      </w:r>
      <w:r w:rsidR="00E825ED">
        <w:t xml:space="preserve">- </w:t>
      </w:r>
      <w:r w:rsidRPr="00383840">
        <w:t>the National Self</w:t>
      </w:r>
      <w:r>
        <w:noBreakHyphen/>
      </w:r>
      <w:r w:rsidRPr="00383840">
        <w:t>Exclusion Register</w:t>
      </w:r>
      <w:r>
        <w:t xml:space="preserve"> </w:t>
      </w:r>
      <w:r w:rsidRPr="00383840">
        <w:t>lets you exclude yourself from all Australian licensed online and phone wagering services in a single step for a minimum of 3 months and up to a lifetime. </w:t>
      </w:r>
    </w:p>
    <w:p w14:paraId="2AA628B1" w14:textId="77777777" w:rsidR="00902C70" w:rsidRPr="00383840" w:rsidRDefault="00902C70" w:rsidP="00902C70">
      <w:r w:rsidRPr="00383840">
        <w:t>Registering is quick and easy. All you need is a mobile phone number, email address and an Australian driver’s licence</w:t>
      </w:r>
      <w:r>
        <w:t xml:space="preserve">, </w:t>
      </w:r>
      <w:r w:rsidRPr="00383840">
        <w:t>a Medicare car</w:t>
      </w:r>
      <w:r>
        <w:t xml:space="preserve">d </w:t>
      </w:r>
      <w:r w:rsidRPr="2A86EEDF">
        <w:t>or a passport. </w:t>
      </w:r>
    </w:p>
    <w:p w14:paraId="4373DFF9" w14:textId="77777777" w:rsidR="00902C70" w:rsidRPr="00383840" w:rsidRDefault="00902C70" w:rsidP="00902C70">
      <w:pPr>
        <w:rPr>
          <w:rFonts w:eastAsia="Times New Roman"/>
        </w:rPr>
      </w:pPr>
      <w:r w:rsidRPr="00383840">
        <w:t>The service is free, and your personal details will be protected.</w:t>
      </w:r>
    </w:p>
    <w:p w14:paraId="4F642CD9" w14:textId="77777777" w:rsidR="00902C70" w:rsidRDefault="00902C70" w:rsidP="00902C70">
      <w:pPr>
        <w:rPr>
          <w:rFonts w:eastAsia="Times New Roman"/>
        </w:rPr>
      </w:pPr>
      <w:r>
        <w:rPr>
          <w:rFonts w:eastAsia="Times New Roman"/>
        </w:rPr>
        <w:t xml:space="preserve">Visit </w:t>
      </w:r>
      <w:hyperlink r:id="rId15" w:history="1">
        <w:r w:rsidRPr="00C60386">
          <w:rPr>
            <w:rFonts w:eastAsia="Times New Roman"/>
            <w:u w:val="single"/>
          </w:rPr>
          <w:t>www.betstop.gov.au</w:t>
        </w:r>
      </w:hyperlink>
      <w:r>
        <w:rPr>
          <w:rFonts w:eastAsia="Times New Roman"/>
        </w:rPr>
        <w:t xml:space="preserve"> for more information. </w:t>
      </w:r>
    </w:p>
    <w:p w14:paraId="7F0460EA" w14:textId="4A011260" w:rsidR="00902C70" w:rsidRPr="00532D0D" w:rsidRDefault="00902C70" w:rsidP="00532D0D">
      <w:pPr>
        <w:spacing w:after="160" w:line="259" w:lineRule="auto"/>
        <w:rPr>
          <w:rFonts w:eastAsia="Times New Roman"/>
        </w:rPr>
      </w:pPr>
      <w:r>
        <w:rPr>
          <w:rFonts w:eastAsia="Times New Roman"/>
        </w:rPr>
        <w:br w:type="page"/>
      </w:r>
    </w:p>
    <w:p w14:paraId="63262D2C" w14:textId="7C31011B" w:rsidR="008666EE" w:rsidRPr="0041452F" w:rsidRDefault="001A695A" w:rsidP="00F06ADD">
      <w:pPr>
        <w:pStyle w:val="Heading2"/>
        <w:rPr>
          <w:color w:val="2F5496" w:themeColor="accent1" w:themeShade="BF"/>
        </w:rPr>
      </w:pPr>
      <w:r w:rsidRPr="0041452F">
        <w:rPr>
          <w:color w:val="2F5496" w:themeColor="accent1" w:themeShade="BF"/>
        </w:rPr>
        <w:lastRenderedPageBreak/>
        <w:t>Introduction</w:t>
      </w:r>
    </w:p>
    <w:p w14:paraId="6C119C75" w14:textId="251AFA45" w:rsidR="00960DC0" w:rsidRDefault="00960DC0" w:rsidP="00532D0D">
      <w:r w:rsidRPr="00D43068">
        <w:t xml:space="preserve">The Australian Government takes </w:t>
      </w:r>
      <w:r>
        <w:t>its</w:t>
      </w:r>
      <w:r w:rsidRPr="00D43068">
        <w:t xml:space="preserve"> responsibility to protect Australians from online gambling harm seriously.</w:t>
      </w:r>
    </w:p>
    <w:p w14:paraId="4FB7A770" w14:textId="5DF95BD7" w:rsidR="00532D0D" w:rsidRDefault="000531A4" w:rsidP="00532D0D">
      <w:r>
        <w:t xml:space="preserve">The Government </w:t>
      </w:r>
      <w:r w:rsidR="00960DC0">
        <w:t>welcomes</w:t>
      </w:r>
      <w:r>
        <w:t xml:space="preserve"> the report </w:t>
      </w:r>
      <w:r w:rsidR="006E1B17">
        <w:t>of</w:t>
      </w:r>
      <w:r>
        <w:t xml:space="preserve"> </w:t>
      </w:r>
      <w:r w:rsidR="001C020C" w:rsidRPr="001C020C">
        <w:t>the House of Representatives Standing Committee on</w:t>
      </w:r>
      <w:r w:rsidR="00785170">
        <w:t> </w:t>
      </w:r>
      <w:r w:rsidR="001C020C" w:rsidRPr="001C020C">
        <w:t>Social Policy and Legal Affairs</w:t>
      </w:r>
      <w:r w:rsidR="00532D0D">
        <w:t xml:space="preserve"> (the Committee)</w:t>
      </w:r>
      <w:r w:rsidR="001C020C" w:rsidRPr="001C020C">
        <w:t xml:space="preserve"> </w:t>
      </w:r>
      <w:r w:rsidR="001C020C" w:rsidRPr="00532D0D">
        <w:rPr>
          <w:i/>
          <w:iCs/>
        </w:rPr>
        <w:t>Inquiry into online gambling and its impacts on those experiencing gambling harm</w:t>
      </w:r>
      <w:r w:rsidR="001C020C" w:rsidRPr="001C020C">
        <w:t xml:space="preserve"> </w:t>
      </w:r>
      <w:r w:rsidR="007B67CA">
        <w:t xml:space="preserve">(the </w:t>
      </w:r>
      <w:r>
        <w:t xml:space="preserve">Online Gambling </w:t>
      </w:r>
      <w:r w:rsidR="007B67CA">
        <w:t>Inquiry)</w:t>
      </w:r>
      <w:r w:rsidR="006E1B17">
        <w:t>.</w:t>
      </w:r>
      <w:r>
        <w:t xml:space="preserve"> </w:t>
      </w:r>
    </w:p>
    <w:p w14:paraId="34798674" w14:textId="0ECCE880" w:rsidR="00960DC0" w:rsidRDefault="00532D0D" w:rsidP="00532D0D">
      <w:r w:rsidRPr="00D43068">
        <w:t xml:space="preserve">The </w:t>
      </w:r>
      <w:r w:rsidR="000531A4">
        <w:t xml:space="preserve">Online Gambling </w:t>
      </w:r>
      <w:r w:rsidRPr="00D43068">
        <w:t>Inquiry was established following a referral by the</w:t>
      </w:r>
      <w:r w:rsidR="00C95842">
        <w:t>n</w:t>
      </w:r>
      <w:r w:rsidRPr="00D43068">
        <w:t xml:space="preserve"> Minister for Social Services, the Hon Amanda Rishworth MP. The Committee, chaired by the late Ms Peta Murphy MP, examined whether current laws, regulations, consumer protections, education and support programs are sufficient at reducing online gambling harm. </w:t>
      </w:r>
    </w:p>
    <w:p w14:paraId="1409D742" w14:textId="486DDBCF" w:rsidR="00960DC0" w:rsidRDefault="00960DC0" w:rsidP="00532D0D">
      <w:r>
        <w:t xml:space="preserve">The Government </w:t>
      </w:r>
      <w:r w:rsidRPr="006200F9">
        <w:t>thanks the</w:t>
      </w:r>
      <w:r w:rsidR="001D4B9F">
        <w:t xml:space="preserve"> Committee</w:t>
      </w:r>
      <w:r w:rsidRPr="006200F9">
        <w:t xml:space="preserve"> members for their dedication and professionalism </w:t>
      </w:r>
      <w:r w:rsidR="001D4B9F">
        <w:t>throughout</w:t>
      </w:r>
      <w:r w:rsidRPr="006200F9">
        <w:t xml:space="preserve"> the Inquiry</w:t>
      </w:r>
      <w:r>
        <w:t xml:space="preserve"> and </w:t>
      </w:r>
      <w:r w:rsidRPr="006200F9">
        <w:t>acknowledge</w:t>
      </w:r>
      <w:r>
        <w:t>s</w:t>
      </w:r>
      <w:r w:rsidRPr="006200F9">
        <w:t xml:space="preserve"> the </w:t>
      </w:r>
      <w:r w:rsidR="001D4B9F">
        <w:t>late Peta M</w:t>
      </w:r>
      <w:r w:rsidR="007C4F2A">
        <w:t xml:space="preserve">urphy’s </w:t>
      </w:r>
      <w:r w:rsidRPr="006200F9">
        <w:t>courageous and tireless</w:t>
      </w:r>
      <w:r w:rsidR="008307C4">
        <w:t xml:space="preserve"> </w:t>
      </w:r>
      <w:proofErr w:type="gramStart"/>
      <w:r w:rsidR="008307C4">
        <w:t>advocacy</w:t>
      </w:r>
      <w:r w:rsidRPr="006200F9">
        <w:t xml:space="preserve">  </w:t>
      </w:r>
      <w:r w:rsidR="00AD025C">
        <w:t>to</w:t>
      </w:r>
      <w:proofErr w:type="gramEnd"/>
      <w:r w:rsidR="00AD025C">
        <w:t xml:space="preserve"> </w:t>
      </w:r>
      <w:r w:rsidR="00AD025C" w:rsidRPr="006200F9">
        <w:t>reduc</w:t>
      </w:r>
      <w:r w:rsidR="00AD025C">
        <w:t>e</w:t>
      </w:r>
      <w:r w:rsidR="00AD025C" w:rsidRPr="006200F9">
        <w:t xml:space="preserve"> </w:t>
      </w:r>
      <w:r w:rsidRPr="006200F9">
        <w:t>online gambling</w:t>
      </w:r>
      <w:r w:rsidR="00957F75">
        <w:t xml:space="preserve"> harm</w:t>
      </w:r>
      <w:r w:rsidRPr="006200F9">
        <w:t xml:space="preserve">, including in her capacity as chair of the Committee. </w:t>
      </w:r>
    </w:p>
    <w:p w14:paraId="28E2F472" w14:textId="4668738D" w:rsidR="000531A4" w:rsidRDefault="000531A4" w:rsidP="00532D0D">
      <w:r>
        <w:t>T</w:t>
      </w:r>
      <w:r w:rsidR="00532D0D" w:rsidRPr="00D43068">
        <w:t xml:space="preserve">he Committee received 161 submissions, 26 exhibits and held 13 public hearings. </w:t>
      </w:r>
      <w:r w:rsidR="00960DC0" w:rsidRPr="001C020C">
        <w:t>The</w:t>
      </w:r>
      <w:r w:rsidR="00960DC0">
        <w:t xml:space="preserve"> </w:t>
      </w:r>
      <w:r w:rsidR="00960DC0" w:rsidRPr="001C020C">
        <w:t>Government</w:t>
      </w:r>
      <w:r w:rsidR="00960DC0">
        <w:t xml:space="preserve"> </w:t>
      </w:r>
      <w:r w:rsidR="00960DC0" w:rsidRPr="006200F9">
        <w:t>acknowledge</w:t>
      </w:r>
      <w:r w:rsidR="00960DC0">
        <w:t>s</w:t>
      </w:r>
      <w:r w:rsidR="00960DC0" w:rsidRPr="006200F9">
        <w:t xml:space="preserve"> all those who </w:t>
      </w:r>
      <w:r w:rsidR="00960DC0">
        <w:t xml:space="preserve">took the time to make a </w:t>
      </w:r>
      <w:r w:rsidR="00960DC0" w:rsidRPr="006200F9">
        <w:t>submission</w:t>
      </w:r>
      <w:r w:rsidR="00960DC0">
        <w:t xml:space="preserve"> </w:t>
      </w:r>
      <w:r w:rsidR="00960DC0" w:rsidRPr="006200F9">
        <w:t>or</w:t>
      </w:r>
      <w:r w:rsidR="00960DC0">
        <w:t> </w:t>
      </w:r>
      <w:r w:rsidR="0061680B">
        <w:t>appeared</w:t>
      </w:r>
      <w:r w:rsidR="00960DC0" w:rsidRPr="006200F9">
        <w:t xml:space="preserve"> before the Committee as witnesses.</w:t>
      </w:r>
      <w:r w:rsidR="00960DC0">
        <w:t xml:space="preserve"> </w:t>
      </w:r>
      <w:proofErr w:type="gramStart"/>
      <w:r w:rsidR="00960DC0">
        <w:t>In particular, w</w:t>
      </w:r>
      <w:r w:rsidR="00960DC0" w:rsidRPr="001C020C">
        <w:t>e</w:t>
      </w:r>
      <w:proofErr w:type="gramEnd"/>
      <w:r w:rsidR="00960DC0">
        <w:t xml:space="preserve"> recognise</w:t>
      </w:r>
      <w:r w:rsidR="00960DC0" w:rsidRPr="001C020C">
        <w:t xml:space="preserve"> those people </w:t>
      </w:r>
      <w:r w:rsidR="00960DC0">
        <w:t xml:space="preserve">with </w:t>
      </w:r>
      <w:r w:rsidR="001B18D0">
        <w:t xml:space="preserve">the lived experience of </w:t>
      </w:r>
      <w:r w:rsidR="00960DC0" w:rsidRPr="001C020C">
        <w:t>gambling harm for sharing their personal experiences with the Committee and support</w:t>
      </w:r>
      <w:r w:rsidR="00960DC0">
        <w:t>ing</w:t>
      </w:r>
      <w:r w:rsidR="00960DC0" w:rsidRPr="001C020C">
        <w:t xml:space="preserve"> its work. </w:t>
      </w:r>
    </w:p>
    <w:p w14:paraId="30AF7DEA" w14:textId="695B8BE9" w:rsidR="00532D0D" w:rsidRPr="00D43068" w:rsidRDefault="00532D0D" w:rsidP="00532D0D">
      <w:r w:rsidRPr="00D43068">
        <w:t>Based on this evidence and testimony, the Committee</w:t>
      </w:r>
      <w:r w:rsidR="000531A4">
        <w:t xml:space="preserve">’s report </w:t>
      </w:r>
      <w:r w:rsidR="000531A4" w:rsidRPr="001C020C">
        <w:t>highlight</w:t>
      </w:r>
      <w:r w:rsidR="000531A4">
        <w:t>ed the substantial harm that</w:t>
      </w:r>
      <w:r w:rsidR="000531A4" w:rsidRPr="001C020C">
        <w:t xml:space="preserve"> online gambling</w:t>
      </w:r>
      <w:r w:rsidR="000531A4">
        <w:t xml:space="preserve"> can cause to individuals and families and</w:t>
      </w:r>
      <w:r w:rsidRPr="00D43068">
        <w:t xml:space="preserve"> made 31</w:t>
      </w:r>
      <w:r w:rsidR="000531A4">
        <w:t> </w:t>
      </w:r>
      <w:r w:rsidRPr="00D43068">
        <w:t>wide</w:t>
      </w:r>
      <w:r w:rsidRPr="00D43068">
        <w:noBreakHyphen/>
        <w:t>ranging recommendations</w:t>
      </w:r>
      <w:r w:rsidR="0055178B">
        <w:t xml:space="preserve"> to address </w:t>
      </w:r>
      <w:r w:rsidR="00CD62E1">
        <w:t xml:space="preserve">online </w:t>
      </w:r>
      <w:r w:rsidR="0055178B">
        <w:t>gambling harm</w:t>
      </w:r>
      <w:r w:rsidR="00CD62E1">
        <w:t>s</w:t>
      </w:r>
      <w:r w:rsidRPr="00D43068">
        <w:t xml:space="preserve">. </w:t>
      </w:r>
    </w:p>
    <w:p w14:paraId="4F1952D1" w14:textId="50AB6C71" w:rsidR="001C020C" w:rsidRPr="001C020C" w:rsidRDefault="001C020C" w:rsidP="001C020C">
      <w:r w:rsidRPr="001C020C">
        <w:t xml:space="preserve">Gambling harm is a significant public health concern. </w:t>
      </w:r>
      <w:r w:rsidR="00D21720">
        <w:t>Queensland Treasury data shows that</w:t>
      </w:r>
      <w:r w:rsidRPr="001C020C">
        <w:t xml:space="preserve"> Australians lost over $3</w:t>
      </w:r>
      <w:r w:rsidR="003E7D06">
        <w:t>2</w:t>
      </w:r>
      <w:r w:rsidRPr="001C020C">
        <w:t> billion</w:t>
      </w:r>
      <w:r w:rsidR="00532D0D">
        <w:t xml:space="preserve"> on legal forms of gambling</w:t>
      </w:r>
      <w:r w:rsidR="00D21720">
        <w:t xml:space="preserve"> i</w:t>
      </w:r>
      <w:r w:rsidR="00D21720" w:rsidRPr="001C020C">
        <w:t>n 202</w:t>
      </w:r>
      <w:r w:rsidR="00D21720">
        <w:t>3-</w:t>
      </w:r>
      <w:r w:rsidR="00D21720" w:rsidRPr="001C020C">
        <w:t>2</w:t>
      </w:r>
      <w:r w:rsidR="00D21720">
        <w:t>4</w:t>
      </w:r>
      <w:r w:rsidRPr="001C020C">
        <w:t>, representing the highest losses per capita in the world of around $1,52</w:t>
      </w:r>
      <w:r w:rsidR="009715CB">
        <w:t>1</w:t>
      </w:r>
      <w:r w:rsidR="00532D0D">
        <w:t xml:space="preserve"> per adult</w:t>
      </w:r>
      <w:r w:rsidRPr="001C020C">
        <w:t>.</w:t>
      </w:r>
      <w:r w:rsidR="00EB3E22">
        <w:t xml:space="preserve"> </w:t>
      </w:r>
      <w:r w:rsidR="005010FD" w:rsidRPr="001C020C">
        <w:t xml:space="preserve">Research by the </w:t>
      </w:r>
      <w:r w:rsidR="005010FD">
        <w:t xml:space="preserve">Australian Institute of Family Studies found that </w:t>
      </w:r>
      <w:r w:rsidR="005010FD" w:rsidRPr="001C020C">
        <w:t>in 2024</w:t>
      </w:r>
      <w:r w:rsidR="005010FD">
        <w:t>,</w:t>
      </w:r>
      <w:r w:rsidR="005010FD" w:rsidRPr="001C020C">
        <w:t xml:space="preserve"> </w:t>
      </w:r>
      <w:r w:rsidR="005010FD">
        <w:t xml:space="preserve">15 </w:t>
      </w:r>
      <w:r w:rsidR="005010FD" w:rsidRPr="001C020C">
        <w:t xml:space="preserve">per cent of Australian adults </w:t>
      </w:r>
      <w:r w:rsidR="005010FD">
        <w:t>we</w:t>
      </w:r>
      <w:r w:rsidR="005010FD" w:rsidRPr="001C020C">
        <w:t>re experiencing or at</w:t>
      </w:r>
      <w:r w:rsidR="005010FD">
        <w:t> </w:t>
      </w:r>
      <w:r w:rsidR="005010FD" w:rsidRPr="001C020C">
        <w:t>risk of experiencing gambling harm.</w:t>
      </w:r>
      <w:r w:rsidRPr="001C020C">
        <w:t xml:space="preserve"> </w:t>
      </w:r>
    </w:p>
    <w:p w14:paraId="198B09C6" w14:textId="18CFF820" w:rsidR="001C020C" w:rsidRPr="001C020C" w:rsidRDefault="00CD62E1" w:rsidP="001C020C">
      <w:r w:rsidRPr="006A05C0">
        <w:t>The impact of gambling harm is felt throughout the community,</w:t>
      </w:r>
      <w:r w:rsidRPr="006A05C0" w:rsidDel="00CA7CA6">
        <w:t xml:space="preserve"> </w:t>
      </w:r>
      <w:r w:rsidRPr="006A05C0">
        <w:t>where for every individual at</w:t>
      </w:r>
      <w:r w:rsidR="005A0EF6">
        <w:t> </w:t>
      </w:r>
      <w:r w:rsidRPr="006A05C0">
        <w:t>high risk of gambling harm, up to 6 other individuals can be affected.</w:t>
      </w:r>
      <w:r w:rsidR="00B66AB6">
        <w:rPr>
          <w:rStyle w:val="FootnoteReference"/>
        </w:rPr>
        <w:footnoteReference w:id="1"/>
      </w:r>
      <w:r w:rsidRPr="006A05C0">
        <w:t xml:space="preserve"> </w:t>
      </w:r>
      <w:r w:rsidR="00620D5E" w:rsidRPr="006A05C0">
        <w:t xml:space="preserve">Gambling harm can span many aspects of an individual’s life, including finances, relationships, emotional and psychological issues, physical health, work and study performance. </w:t>
      </w:r>
      <w:r w:rsidR="001C020C" w:rsidRPr="001C020C">
        <w:t xml:space="preserve">Research commissioned by the Victorian Government estimates the social cost of gambling in Victoria was $14.1 billion in 2023 alone, comprising adverse financial, emotional and psychological costs, relationship and family impacts, and productivity loss. </w:t>
      </w:r>
    </w:p>
    <w:p w14:paraId="499C449F" w14:textId="7E47E494" w:rsidR="00960DC0" w:rsidRDefault="00960DC0" w:rsidP="002C0C15">
      <w:r>
        <w:t xml:space="preserve">The Government is taking strong action to protect Australians, particularly children and young people, from the harms of online gambling. </w:t>
      </w:r>
      <w:r w:rsidR="00E73FCE">
        <w:t xml:space="preserve">On 2 April 2026, </w:t>
      </w:r>
      <w:r w:rsidR="00E73FCE" w:rsidRPr="004A5F90">
        <w:t xml:space="preserve">the Government </w:t>
      </w:r>
      <w:r w:rsidR="00E73FCE" w:rsidRPr="006200F9">
        <w:t>announced a</w:t>
      </w:r>
      <w:r w:rsidR="00E73FCE">
        <w:t xml:space="preserve"> package of </w:t>
      </w:r>
      <w:r w:rsidR="00354EAE">
        <w:t>measures</w:t>
      </w:r>
      <w:r w:rsidR="00E73FCE">
        <w:t xml:space="preserve"> that address key themes of the Committee’s report and set</w:t>
      </w:r>
      <w:r w:rsidR="00E73FCE" w:rsidRPr="001C020C">
        <w:t xml:space="preserve"> the Government’s forward agenda to reduce online gambling harms in Australia.</w:t>
      </w:r>
      <w:r w:rsidR="00E73FCE">
        <w:t xml:space="preserve"> </w:t>
      </w:r>
      <w:r w:rsidR="00CD62E1">
        <w:t xml:space="preserve">The details of these measures are </w:t>
      </w:r>
      <w:r w:rsidR="00620D5E">
        <w:t>outlined in</w:t>
      </w:r>
      <w:r w:rsidR="005A0EF6">
        <w:t> </w:t>
      </w:r>
      <w:r w:rsidR="00620D5E">
        <w:t>this response</w:t>
      </w:r>
      <w:r w:rsidR="00C60386">
        <w:t xml:space="preserve">. These </w:t>
      </w:r>
      <w:r w:rsidR="00CD62E1">
        <w:t xml:space="preserve">strong actions </w:t>
      </w:r>
      <w:r w:rsidR="00620D5E">
        <w:t xml:space="preserve">build on </w:t>
      </w:r>
      <w:r w:rsidR="00354EAE">
        <w:t xml:space="preserve">the </w:t>
      </w:r>
      <w:r w:rsidR="00354EAE" w:rsidRPr="006200F9">
        <w:t>work the Government has already delivered</w:t>
      </w:r>
      <w:r w:rsidR="006B28C6">
        <w:t xml:space="preserve">, including key measures </w:t>
      </w:r>
      <w:r w:rsidR="00DB3E49">
        <w:t>implemented</w:t>
      </w:r>
      <w:r w:rsidR="00DB3E49" w:rsidRPr="006200F9">
        <w:t xml:space="preserve"> </w:t>
      </w:r>
      <w:r w:rsidR="00354EAE" w:rsidRPr="006200F9">
        <w:t>in partnership with the states and territories to reduce online gambling harms</w:t>
      </w:r>
      <w:r w:rsidR="00620D5E">
        <w:t xml:space="preserve"> through the National Consumer Protection Framework for </w:t>
      </w:r>
      <w:r w:rsidR="0055178B">
        <w:t>O</w:t>
      </w:r>
      <w:r w:rsidR="00620D5E">
        <w:t xml:space="preserve">nline </w:t>
      </w:r>
      <w:r w:rsidR="0055178B">
        <w:t>W</w:t>
      </w:r>
      <w:r w:rsidR="00620D5E">
        <w:t>agering</w:t>
      </w:r>
      <w:r w:rsidR="0055178B">
        <w:t xml:space="preserve"> (</w:t>
      </w:r>
      <w:r w:rsidR="00CD62E1">
        <w:t>the</w:t>
      </w:r>
      <w:r w:rsidR="005A0EF6">
        <w:t> </w:t>
      </w:r>
      <w:r w:rsidR="0055178B">
        <w:t>National Framework)</w:t>
      </w:r>
      <w:r w:rsidR="00620D5E">
        <w:t xml:space="preserve">. </w:t>
      </w:r>
    </w:p>
    <w:p w14:paraId="257498ED" w14:textId="1A559525" w:rsidR="0055178B" w:rsidRPr="0041452F" w:rsidRDefault="002A619D" w:rsidP="0041452F">
      <w:pPr>
        <w:pStyle w:val="Heading2"/>
        <w:rPr>
          <w:color w:val="2F5496" w:themeColor="accent1" w:themeShade="BF"/>
        </w:rPr>
      </w:pPr>
      <w:bookmarkStart w:id="2" w:name="_Toc129340690"/>
      <w:bookmarkStart w:id="3" w:name="_Toc499905943"/>
      <w:r w:rsidRPr="0041452F">
        <w:rPr>
          <w:color w:val="2F5496" w:themeColor="accent1" w:themeShade="BF"/>
        </w:rPr>
        <w:lastRenderedPageBreak/>
        <w:t>Australian Government response</w:t>
      </w:r>
      <w:bookmarkEnd w:id="2"/>
      <w:bookmarkEnd w:id="3"/>
    </w:p>
    <w:p w14:paraId="4971CB1A" w14:textId="5CCDDEAB" w:rsidR="002D6D15" w:rsidRDefault="00C329ED" w:rsidP="00E75424">
      <w:pPr>
        <w:spacing w:before="240" w:after="240" w:line="259" w:lineRule="auto"/>
        <w:rPr>
          <w:szCs w:val="24"/>
        </w:rPr>
      </w:pPr>
      <w:r w:rsidRPr="00223796">
        <w:rPr>
          <w:szCs w:val="24"/>
        </w:rPr>
        <w:t>The Government notes the 31 recommendations made by the Committee</w:t>
      </w:r>
      <w:r w:rsidR="00DB3E49" w:rsidRPr="00223796">
        <w:rPr>
          <w:szCs w:val="24"/>
        </w:rPr>
        <w:t xml:space="preserve">. </w:t>
      </w:r>
      <w:r w:rsidR="003E2188">
        <w:rPr>
          <w:szCs w:val="24"/>
        </w:rPr>
        <w:t xml:space="preserve">The Government </w:t>
      </w:r>
      <w:r w:rsidR="00DB3E49">
        <w:rPr>
          <w:szCs w:val="24"/>
        </w:rPr>
        <w:t xml:space="preserve">announced </w:t>
      </w:r>
      <w:r w:rsidR="00E25ABF">
        <w:rPr>
          <w:szCs w:val="24"/>
        </w:rPr>
        <w:t xml:space="preserve">a package of gambling reforms on </w:t>
      </w:r>
      <w:r w:rsidR="00DB3E49">
        <w:t xml:space="preserve">2 April 2026, to </w:t>
      </w:r>
      <w:r w:rsidR="00DB3E49" w:rsidRPr="00F85F44">
        <w:t>better protect Australians from the harms of online gambling</w:t>
      </w:r>
      <w:r w:rsidR="002B2AA2">
        <w:rPr>
          <w:szCs w:val="24"/>
        </w:rPr>
        <w:t xml:space="preserve">. </w:t>
      </w:r>
      <w:r w:rsidR="00E25ABF">
        <w:rPr>
          <w:szCs w:val="24"/>
        </w:rPr>
        <w:t xml:space="preserve">These reforms were informed by the work of the </w:t>
      </w:r>
      <w:proofErr w:type="gramStart"/>
      <w:r w:rsidR="00E25ABF">
        <w:rPr>
          <w:szCs w:val="24"/>
        </w:rPr>
        <w:t>Committee</w:t>
      </w:r>
      <w:proofErr w:type="gramEnd"/>
      <w:r w:rsidR="00E25ABF">
        <w:rPr>
          <w:szCs w:val="24"/>
        </w:rPr>
        <w:t xml:space="preserve"> and a</w:t>
      </w:r>
      <w:r w:rsidR="00E93714">
        <w:rPr>
          <w:szCs w:val="24"/>
        </w:rPr>
        <w:t> </w:t>
      </w:r>
      <w:r w:rsidR="00A70000">
        <w:rPr>
          <w:szCs w:val="24"/>
        </w:rPr>
        <w:t xml:space="preserve">number of </w:t>
      </w:r>
      <w:r w:rsidR="004D4E29">
        <w:rPr>
          <w:szCs w:val="24"/>
        </w:rPr>
        <w:t xml:space="preserve">these measures </w:t>
      </w:r>
      <w:r w:rsidR="00E93714">
        <w:rPr>
          <w:szCs w:val="24"/>
        </w:rPr>
        <w:t xml:space="preserve">also </w:t>
      </w:r>
      <w:r w:rsidR="003C38EC">
        <w:rPr>
          <w:szCs w:val="24"/>
        </w:rPr>
        <w:t>build on</w:t>
      </w:r>
      <w:r w:rsidR="004D4E29">
        <w:rPr>
          <w:szCs w:val="24"/>
        </w:rPr>
        <w:t xml:space="preserve"> what was proposed in the Online Gamb</w:t>
      </w:r>
      <w:r w:rsidR="00544EFC">
        <w:rPr>
          <w:szCs w:val="24"/>
        </w:rPr>
        <w:t>ling Inquiry report</w:t>
      </w:r>
      <w:r w:rsidR="003C38EC">
        <w:rPr>
          <w:szCs w:val="24"/>
        </w:rPr>
        <w:t>,</w:t>
      </w:r>
      <w:r w:rsidR="00544EFC">
        <w:rPr>
          <w:szCs w:val="24"/>
        </w:rPr>
        <w:t xml:space="preserve"> </w:t>
      </w:r>
      <w:r w:rsidR="003C38EC">
        <w:rPr>
          <w:szCs w:val="24"/>
        </w:rPr>
        <w:t>in response</w:t>
      </w:r>
      <w:r w:rsidR="008E2A8E">
        <w:rPr>
          <w:szCs w:val="24"/>
        </w:rPr>
        <w:t xml:space="preserve"> to new and emerging challenges. </w:t>
      </w:r>
    </w:p>
    <w:p w14:paraId="17837679" w14:textId="4A0470FC" w:rsidR="002D6D15" w:rsidRDefault="002D6D15" w:rsidP="00E75424">
      <w:pPr>
        <w:spacing w:before="240" w:after="240" w:line="259" w:lineRule="auto"/>
        <w:rPr>
          <w:szCs w:val="24"/>
        </w:rPr>
      </w:pPr>
      <w:proofErr w:type="gramStart"/>
      <w:r>
        <w:rPr>
          <w:szCs w:val="24"/>
        </w:rPr>
        <w:t>A number of</w:t>
      </w:r>
      <w:proofErr w:type="gramEnd"/>
      <w:r>
        <w:rPr>
          <w:szCs w:val="24"/>
        </w:rPr>
        <w:t xml:space="preserve"> recommendations made by the committee relate to policy within the responsibility of States and Territories. The Australian Government calls on States and Territories to examine the recommendations of the committee and respond accordingly. </w:t>
      </w:r>
    </w:p>
    <w:p w14:paraId="0CFD7F33" w14:textId="4A2EDD23" w:rsidR="00BF3329" w:rsidRDefault="00BF3329" w:rsidP="00E75424">
      <w:pPr>
        <w:spacing w:before="240" w:after="240" w:line="259" w:lineRule="auto"/>
        <w:rPr>
          <w:szCs w:val="24"/>
        </w:rPr>
      </w:pPr>
      <w:r>
        <w:rPr>
          <w:szCs w:val="24"/>
        </w:rPr>
        <w:t xml:space="preserve">The Government’s package includes: </w:t>
      </w:r>
    </w:p>
    <w:p w14:paraId="48155951" w14:textId="6E5C032E" w:rsidR="008C78B0" w:rsidRDefault="008C78B0" w:rsidP="00F85F44">
      <w:pPr>
        <w:pStyle w:val="ListParagraph"/>
        <w:numPr>
          <w:ilvl w:val="0"/>
          <w:numId w:val="17"/>
        </w:numPr>
      </w:pPr>
      <w:r>
        <w:t>restricting wagering advertising</w:t>
      </w:r>
    </w:p>
    <w:p w14:paraId="367B9BAA" w14:textId="59E3D70D" w:rsidR="0055178B" w:rsidRDefault="008C78B0" w:rsidP="00F85F44">
      <w:pPr>
        <w:pStyle w:val="ListParagraph"/>
        <w:numPr>
          <w:ilvl w:val="0"/>
          <w:numId w:val="17"/>
        </w:numPr>
      </w:pPr>
      <w:r>
        <w:t>b</w:t>
      </w:r>
      <w:r w:rsidR="0055178B" w:rsidRPr="0055178B">
        <w:t>oost</w:t>
      </w:r>
      <w:r>
        <w:t>ing</w:t>
      </w:r>
      <w:r w:rsidR="0055178B" w:rsidRPr="0055178B">
        <w:t xml:space="preserve"> enforcement </w:t>
      </w:r>
      <w:r>
        <w:t xml:space="preserve">action </w:t>
      </w:r>
      <w:r w:rsidR="0055178B" w:rsidRPr="0055178B">
        <w:t xml:space="preserve">against illegal </w:t>
      </w:r>
      <w:r w:rsidR="00777AFC">
        <w:t xml:space="preserve">online </w:t>
      </w:r>
      <w:r w:rsidR="0055178B" w:rsidRPr="0055178B">
        <w:t xml:space="preserve">gambling </w:t>
      </w:r>
      <w:r>
        <w:t xml:space="preserve">services </w:t>
      </w:r>
    </w:p>
    <w:p w14:paraId="242D6893" w14:textId="6F69A58D" w:rsidR="008C78B0" w:rsidRPr="0055178B" w:rsidRDefault="008C78B0" w:rsidP="00DB3E49">
      <w:pPr>
        <w:pStyle w:val="ListParagraph"/>
        <w:numPr>
          <w:ilvl w:val="0"/>
          <w:numId w:val="17"/>
        </w:numPr>
      </w:pPr>
      <w:r>
        <w:t>s</w:t>
      </w:r>
      <w:r w:rsidRPr="0055178B">
        <w:t>trengthen</w:t>
      </w:r>
      <w:r>
        <w:t>ing the operation of</w:t>
      </w:r>
      <w:r w:rsidRPr="0055178B">
        <w:t xml:space="preserve"> BetStop </w:t>
      </w:r>
      <w:r w:rsidR="00DB3E49">
        <w:t>–</w:t>
      </w:r>
      <w:r w:rsidRPr="0055178B">
        <w:t xml:space="preserve"> the National Self-Exclusion Register</w:t>
      </w:r>
      <w:r>
        <w:t xml:space="preserve"> (BetStop) </w:t>
      </w:r>
    </w:p>
    <w:p w14:paraId="74299FDB" w14:textId="6C6582FB" w:rsidR="0002694C" w:rsidRPr="0055178B" w:rsidRDefault="008C78B0" w:rsidP="008C78B0">
      <w:pPr>
        <w:pStyle w:val="ListParagraph"/>
        <w:numPr>
          <w:ilvl w:val="0"/>
          <w:numId w:val="17"/>
        </w:numPr>
      </w:pPr>
      <w:r>
        <w:t xml:space="preserve">addressing harmful and emerging online lottery products </w:t>
      </w:r>
    </w:p>
    <w:p w14:paraId="3C43E7B8" w14:textId="3A7A3DAC" w:rsidR="002A146A" w:rsidRDefault="003C38EC" w:rsidP="00F85F44">
      <w:pPr>
        <w:pStyle w:val="ListParagraph"/>
        <w:numPr>
          <w:ilvl w:val="0"/>
          <w:numId w:val="17"/>
        </w:numPr>
      </w:pPr>
      <w:r>
        <w:t>doubling</w:t>
      </w:r>
      <w:r w:rsidR="0055178B" w:rsidRPr="0055178B">
        <w:t xml:space="preserve"> financial counselling support for gambling</w:t>
      </w:r>
      <w:r w:rsidR="00C77A44">
        <w:t>,</w:t>
      </w:r>
      <w:r w:rsidR="0055178B" w:rsidRPr="0055178B">
        <w:t xml:space="preserve"> and </w:t>
      </w:r>
    </w:p>
    <w:p w14:paraId="184F8179" w14:textId="70A2A438" w:rsidR="0055178B" w:rsidRPr="0055178B" w:rsidRDefault="008C78B0" w:rsidP="00F85F44">
      <w:pPr>
        <w:pStyle w:val="ListParagraph"/>
        <w:numPr>
          <w:ilvl w:val="0"/>
          <w:numId w:val="17"/>
        </w:numPr>
      </w:pPr>
      <w:r>
        <w:t>i</w:t>
      </w:r>
      <w:r w:rsidR="0055178B" w:rsidRPr="0055178B">
        <w:t>ncreas</w:t>
      </w:r>
      <w:r>
        <w:t>ing</w:t>
      </w:r>
      <w:r w:rsidR="0055178B" w:rsidRPr="0055178B">
        <w:t xml:space="preserve"> public awareness of online gambling harms</w:t>
      </w:r>
      <w:r w:rsidR="003C38EC">
        <w:t xml:space="preserve"> targeted to those most at risk</w:t>
      </w:r>
      <w:r w:rsidR="0055178B" w:rsidRPr="0055178B">
        <w:t>.</w:t>
      </w:r>
    </w:p>
    <w:p w14:paraId="50525CCA" w14:textId="77777777" w:rsidR="008C78B0" w:rsidRDefault="008C78B0" w:rsidP="008C78B0">
      <w:r>
        <w:t xml:space="preserve">The Government will also make match-fixing criminal offences consistent across Australia, improving the integrity of Australian sport and lessening its appeal as a target for criminal infiltration. </w:t>
      </w:r>
    </w:p>
    <w:p w14:paraId="61468585" w14:textId="4300FFEB" w:rsidR="008C78B0" w:rsidRPr="0055178B" w:rsidRDefault="008C78B0" w:rsidP="008C78B0">
      <w:r>
        <w:t xml:space="preserve">The Government will develop legislation to implement these measures where required, with the reforms to begin from 1 January 2027. Further details will be refined through the legislative drafting process, which will include consultation with relevant stakeholders. </w:t>
      </w:r>
    </w:p>
    <w:p w14:paraId="5F72C2A1" w14:textId="072AE4E0" w:rsidR="0055178B" w:rsidRPr="00D70834" w:rsidRDefault="00B95EFA" w:rsidP="00C36913">
      <w:r w:rsidRPr="00D70834">
        <w:t xml:space="preserve">These reforms build on </w:t>
      </w:r>
      <w:r w:rsidR="00C61C5C" w:rsidRPr="00D70834">
        <w:t>the significant measures already delivered to reduce online gambling harms</w:t>
      </w:r>
      <w:r w:rsidR="0041452F" w:rsidRPr="00D70834">
        <w:t>, including</w:t>
      </w:r>
      <w:r w:rsidR="00E93714">
        <w:t>:</w:t>
      </w:r>
      <w:r w:rsidR="0041452F" w:rsidRPr="00D70834">
        <w:t xml:space="preserve"> </w:t>
      </w:r>
      <w:r w:rsidR="00D70834" w:rsidRPr="009A2C13">
        <w:t>introducing new evidence-based taglines in March 2023</w:t>
      </w:r>
      <w:r w:rsidR="00C36913">
        <w:t xml:space="preserve">; </w:t>
      </w:r>
      <w:r w:rsidR="00D70834" w:rsidRPr="00E24387">
        <w:t>launching BetStop in</w:t>
      </w:r>
      <w:r w:rsidR="005A0EF6">
        <w:t> </w:t>
      </w:r>
      <w:r w:rsidR="00D70834" w:rsidRPr="00E24387">
        <w:t>August</w:t>
      </w:r>
      <w:r w:rsidR="001B45BA">
        <w:t> </w:t>
      </w:r>
      <w:r w:rsidR="00D70834" w:rsidRPr="00E24387">
        <w:t>2023</w:t>
      </w:r>
      <w:r w:rsidR="00C36913">
        <w:t xml:space="preserve">; </w:t>
      </w:r>
      <w:r w:rsidR="00D70834" w:rsidRPr="009A2C13">
        <w:t>banning the use of credit cards and other credi</w:t>
      </w:r>
      <w:r w:rsidR="00D70834">
        <w:t>t</w:t>
      </w:r>
      <w:r w:rsidR="00D70834" w:rsidRPr="009A2C13">
        <w:t>-related products for online wagering in June</w:t>
      </w:r>
      <w:r w:rsidR="00D70834">
        <w:t> </w:t>
      </w:r>
      <w:r w:rsidR="00D70834" w:rsidRPr="009A2C13">
        <w:t>2024</w:t>
      </w:r>
      <w:r w:rsidR="00E93714">
        <w:t>,</w:t>
      </w:r>
      <w:r w:rsidR="007A5D3C">
        <w:t xml:space="preserve"> and i</w:t>
      </w:r>
      <w:r w:rsidR="007A5D3C" w:rsidRPr="00354EAE">
        <w:t>ntroducing mandatory minimum classifications for gambling-like content, including loot boxes and simulated gambling in computer games in September 2024</w:t>
      </w:r>
      <w:r w:rsidR="00D70834" w:rsidRPr="009A2C13">
        <w:t xml:space="preserve">. </w:t>
      </w:r>
    </w:p>
    <w:p w14:paraId="004D29CD" w14:textId="4C7B4BCD" w:rsidR="0055178B" w:rsidRPr="007B7E1A" w:rsidRDefault="007E533E" w:rsidP="0048620E">
      <w:pPr>
        <w:pStyle w:val="Heading3"/>
        <w:rPr>
          <w:color w:val="323E4F" w:themeColor="text2" w:themeShade="BF"/>
          <w:sz w:val="28"/>
          <w:szCs w:val="28"/>
        </w:rPr>
      </w:pPr>
      <w:r>
        <w:rPr>
          <w:color w:val="323E4F" w:themeColor="text2" w:themeShade="BF"/>
          <w:sz w:val="28"/>
          <w:szCs w:val="28"/>
        </w:rPr>
        <w:t xml:space="preserve">Restricting wagering advertising </w:t>
      </w:r>
    </w:p>
    <w:p w14:paraId="249CB507" w14:textId="1799231C" w:rsidR="006472EE" w:rsidRDefault="006472EE" w:rsidP="00274040">
      <w:r w:rsidRPr="00274040">
        <w:rPr>
          <w:rFonts w:eastAsia="Times New Roman"/>
        </w:rPr>
        <w:t>The Government acknowledges the widespread concern across the Australian community about the volume of</w:t>
      </w:r>
      <w:r>
        <w:rPr>
          <w:rFonts w:eastAsia="Times New Roman"/>
        </w:rPr>
        <w:t>,</w:t>
      </w:r>
      <w:r w:rsidRPr="00274040">
        <w:rPr>
          <w:rFonts w:eastAsia="Times New Roman"/>
        </w:rPr>
        <w:t xml:space="preserve"> and harm associated with</w:t>
      </w:r>
      <w:r>
        <w:rPr>
          <w:rFonts w:eastAsia="Times New Roman"/>
        </w:rPr>
        <w:t>,</w:t>
      </w:r>
      <w:r w:rsidRPr="00274040">
        <w:rPr>
          <w:rFonts w:eastAsia="Times New Roman"/>
        </w:rPr>
        <w:t xml:space="preserve"> wagering advertisements on television, radio, online and outdoor platforms.</w:t>
      </w:r>
    </w:p>
    <w:p w14:paraId="4B561983" w14:textId="0C9548A7" w:rsidR="0096438C" w:rsidRDefault="0096438C" w:rsidP="00274040">
      <w:r>
        <w:t>The Government is taking action to address the prevalence and saturation of wagering advertising, with a focus on minimising the dangers of exposing children and vulnerable people to wagering advertisements.</w:t>
      </w:r>
      <w:r w:rsidR="00C26674">
        <w:t xml:space="preserve"> The Government’s reforms </w:t>
      </w:r>
      <w:r w:rsidR="00C26674" w:rsidRPr="00C26674">
        <w:t>represent a balanced approach while targeting key community concerns around the proliferation of wagering advertising</w:t>
      </w:r>
      <w:r w:rsidR="00C26674">
        <w:t>. These reforms will:</w:t>
      </w:r>
    </w:p>
    <w:p w14:paraId="220A2CEC" w14:textId="77777777" w:rsidR="00C26674" w:rsidRDefault="00C26674" w:rsidP="00C26674">
      <w:pPr>
        <w:pStyle w:val="ListParagraph"/>
        <w:numPr>
          <w:ilvl w:val="0"/>
          <w:numId w:val="22"/>
        </w:numPr>
      </w:pPr>
      <w:r>
        <w:t>a</w:t>
      </w:r>
      <w:r w:rsidRPr="0048620E">
        <w:t>ddres</w:t>
      </w:r>
      <w:r>
        <w:t>s</w:t>
      </w:r>
      <w:r w:rsidRPr="0048620E">
        <w:t xml:space="preserve"> the saturation and targeting of wagering advertising</w:t>
      </w:r>
      <w:r>
        <w:t xml:space="preserve"> </w:t>
      </w:r>
    </w:p>
    <w:p w14:paraId="7B6A1539" w14:textId="5BF80A6E" w:rsidR="00C26674" w:rsidRDefault="00C26674" w:rsidP="00C26674">
      <w:pPr>
        <w:pStyle w:val="ListParagraph"/>
        <w:numPr>
          <w:ilvl w:val="0"/>
          <w:numId w:val="22"/>
        </w:numPr>
      </w:pPr>
      <w:r>
        <w:t>b</w:t>
      </w:r>
      <w:r w:rsidRPr="0048620E">
        <w:t>rea</w:t>
      </w:r>
      <w:r>
        <w:t>k</w:t>
      </w:r>
      <w:r w:rsidRPr="0048620E">
        <w:t xml:space="preserve"> the link between sports and </w:t>
      </w:r>
      <w:r w:rsidR="00C329ED">
        <w:t xml:space="preserve">online </w:t>
      </w:r>
      <w:r w:rsidRPr="0048620E">
        <w:t>wagering</w:t>
      </w:r>
      <w:r>
        <w:t xml:space="preserve">, and </w:t>
      </w:r>
    </w:p>
    <w:p w14:paraId="2F4C33BD" w14:textId="5CC98009" w:rsidR="00C26674" w:rsidRDefault="00C26674" w:rsidP="009A2C13">
      <w:pPr>
        <w:pStyle w:val="ListParagraph"/>
        <w:numPr>
          <w:ilvl w:val="0"/>
          <w:numId w:val="22"/>
        </w:numPr>
      </w:pPr>
      <w:r>
        <w:t>p</w:t>
      </w:r>
      <w:r w:rsidRPr="0048620E">
        <w:t>rotect children and vulnerable people from the harms of wagering advertising</w:t>
      </w:r>
      <w:r>
        <w:t>.</w:t>
      </w:r>
    </w:p>
    <w:p w14:paraId="2205BFFB" w14:textId="5E4CD9CC" w:rsidR="0096438C" w:rsidRDefault="0096438C" w:rsidP="009A2C13">
      <w:pPr>
        <w:keepNext/>
      </w:pPr>
      <w:r w:rsidRPr="0048620E">
        <w:lastRenderedPageBreak/>
        <w:t>The Government</w:t>
      </w:r>
      <w:r w:rsidR="001B45BA">
        <w:t>’s</w:t>
      </w:r>
      <w:r w:rsidRPr="0048620E">
        <w:t xml:space="preserve"> comprehensive package of wagering advertising reforms will:</w:t>
      </w:r>
    </w:p>
    <w:p w14:paraId="7F0BAC10" w14:textId="032B5BD7" w:rsidR="00474B62" w:rsidRPr="004E780D" w:rsidRDefault="00474B62" w:rsidP="0096438C">
      <w:pPr>
        <w:pStyle w:val="ListParagraph"/>
        <w:numPr>
          <w:ilvl w:val="0"/>
          <w:numId w:val="17"/>
        </w:numPr>
      </w:pPr>
      <w:r w:rsidRPr="004E780D">
        <w:t xml:space="preserve">ban all wagering advertising during live sporting events on broadcast </w:t>
      </w:r>
      <w:r w:rsidR="004E780D" w:rsidRPr="004E780D">
        <w:t xml:space="preserve">channels </w:t>
      </w:r>
      <w:r w:rsidRPr="004E780D">
        <w:t>between 6:00am and 8:30pm</w:t>
      </w:r>
    </w:p>
    <w:p w14:paraId="64EF0BBD" w14:textId="4659FE99" w:rsidR="00474B62" w:rsidRDefault="00474B62" w:rsidP="0096438C">
      <w:pPr>
        <w:pStyle w:val="ListParagraph"/>
        <w:numPr>
          <w:ilvl w:val="0"/>
          <w:numId w:val="17"/>
        </w:numPr>
      </w:pPr>
      <w:r>
        <w:t>ban all wagering advertising in sports venues and on players’ and officials’ uniforms</w:t>
      </w:r>
    </w:p>
    <w:p w14:paraId="7C48F5C0" w14:textId="36AB3FDE" w:rsidR="00474B62" w:rsidRDefault="00474B62" w:rsidP="0096438C">
      <w:pPr>
        <w:pStyle w:val="ListParagraph"/>
        <w:numPr>
          <w:ilvl w:val="0"/>
          <w:numId w:val="17"/>
        </w:numPr>
      </w:pPr>
      <w:r>
        <w:t>restrict all wagering advertising on broadcast television to no more than 3 wagering advertisements per hour per channel between 6:00am and 8:30pm</w:t>
      </w:r>
    </w:p>
    <w:p w14:paraId="55AC5234" w14:textId="25D76C7A" w:rsidR="00474B62" w:rsidRDefault="00474B62" w:rsidP="0096438C">
      <w:pPr>
        <w:pStyle w:val="ListParagraph"/>
        <w:numPr>
          <w:ilvl w:val="0"/>
          <w:numId w:val="17"/>
        </w:numPr>
      </w:pPr>
      <w:r>
        <w:t>ban all wagering advertising on broadcast radio during school drop-off (8:00-9:00am) and pick-up (3:00-4:00pm) hours</w:t>
      </w:r>
    </w:p>
    <w:p w14:paraId="2E987252" w14:textId="494D5418" w:rsidR="00474B62" w:rsidRDefault="00474B62" w:rsidP="0096438C">
      <w:pPr>
        <w:pStyle w:val="ListParagraph"/>
        <w:numPr>
          <w:ilvl w:val="0"/>
          <w:numId w:val="17"/>
        </w:numPr>
      </w:pPr>
      <w:r>
        <w:t>ban all wagering advertising on online platforms, except where users are logged in, are 18</w:t>
      </w:r>
      <w:r w:rsidR="001E2C1A">
        <w:t> </w:t>
      </w:r>
      <w:r>
        <w:t xml:space="preserve">years or older, and have not opted out of such advertising (triple lock functionality), and </w:t>
      </w:r>
    </w:p>
    <w:p w14:paraId="5445014F" w14:textId="03FD70D7" w:rsidR="00474B62" w:rsidRDefault="00474B62" w:rsidP="0096438C">
      <w:pPr>
        <w:pStyle w:val="ListParagraph"/>
        <w:numPr>
          <w:ilvl w:val="0"/>
          <w:numId w:val="17"/>
        </w:numPr>
      </w:pPr>
      <w:r>
        <w:t xml:space="preserve">ban the use of notable people (including celebrities and </w:t>
      </w:r>
      <w:r w:rsidR="00890D22">
        <w:t>athletes</w:t>
      </w:r>
      <w:r>
        <w:t>) and the promotion of</w:t>
      </w:r>
      <w:r w:rsidR="00407D72">
        <w:t> </w:t>
      </w:r>
      <w:r>
        <w:t xml:space="preserve">odds in wagering advertising. </w:t>
      </w:r>
    </w:p>
    <w:p w14:paraId="7CF03682" w14:textId="0BED44C2" w:rsidR="00C26674" w:rsidRDefault="002B1EA6" w:rsidP="00C26674">
      <w:pPr>
        <w:rPr>
          <w:rFonts w:eastAsia="Times New Roman"/>
        </w:rPr>
      </w:pPr>
      <w:r w:rsidRPr="00C77A44">
        <w:rPr>
          <w:rFonts w:eastAsia="Times New Roman"/>
        </w:rPr>
        <w:t xml:space="preserve">Consistent with the </w:t>
      </w:r>
      <w:r>
        <w:t xml:space="preserve">Online Gambling </w:t>
      </w:r>
      <w:r w:rsidRPr="00C77A44">
        <w:rPr>
          <w:rFonts w:eastAsia="Times New Roman"/>
        </w:rPr>
        <w:t xml:space="preserve">Inquiry, dedicated racing channels, programs, and </w:t>
      </w:r>
      <w:r>
        <w:rPr>
          <w:rFonts w:eastAsia="Times New Roman"/>
        </w:rPr>
        <w:t>racetracks</w:t>
      </w:r>
      <w:r w:rsidRPr="00C77A44">
        <w:rPr>
          <w:rFonts w:eastAsia="Times New Roman"/>
        </w:rPr>
        <w:t xml:space="preserve"> (e.g. racing.com, racing programs and telecasts) will be exempt from the proposed reforms in</w:t>
      </w:r>
      <w:r w:rsidR="00407D72">
        <w:rPr>
          <w:rFonts w:eastAsia="Times New Roman"/>
        </w:rPr>
        <w:t> </w:t>
      </w:r>
      <w:r w:rsidRPr="00C77A44">
        <w:rPr>
          <w:rFonts w:eastAsia="Times New Roman"/>
        </w:rPr>
        <w:t xml:space="preserve">recognition of the intrinsic link between racing and wagering activities. Dedicated betting websites and venues (e.g. TAB outlets) will also be exempt. </w:t>
      </w:r>
    </w:p>
    <w:p w14:paraId="0F3D6A24" w14:textId="179BCA41" w:rsidR="00C26674" w:rsidRPr="0041452F" w:rsidRDefault="00C26674" w:rsidP="009A2C13">
      <w:pPr>
        <w:rPr>
          <w:rStyle w:val="Strong"/>
          <w:color w:val="323E4F" w:themeColor="text2" w:themeShade="BF"/>
          <w:sz w:val="24"/>
        </w:rPr>
      </w:pPr>
      <w:r>
        <w:rPr>
          <w:rFonts w:eastAsia="Times New Roman"/>
        </w:rPr>
        <w:t xml:space="preserve">These reforms will be implemented through legislative amendment to the </w:t>
      </w:r>
      <w:r>
        <w:rPr>
          <w:rFonts w:eastAsia="Times New Roman"/>
          <w:i/>
          <w:iCs/>
        </w:rPr>
        <w:t xml:space="preserve">Interactive Gambling Act 2001 </w:t>
      </w:r>
      <w:r w:rsidR="00D42557">
        <w:rPr>
          <w:rFonts w:eastAsia="Times New Roman"/>
        </w:rPr>
        <w:t xml:space="preserve">(IGA) </w:t>
      </w:r>
      <w:r>
        <w:rPr>
          <w:rFonts w:eastAsia="Times New Roman"/>
        </w:rPr>
        <w:t xml:space="preserve">and will commence from 1 January 2027. This approach will provide strong legislative backing for the new restrictions and strong penalties for non-compliance. </w:t>
      </w:r>
    </w:p>
    <w:p w14:paraId="143760A8" w14:textId="66FB8A94" w:rsidR="00274040" w:rsidRDefault="00274040" w:rsidP="00785806">
      <w:pPr>
        <w:rPr>
          <w:rFonts w:eastAsia="Times New Roman"/>
        </w:rPr>
      </w:pPr>
      <w:r w:rsidRPr="00785806">
        <w:rPr>
          <w:rFonts w:eastAsia="Times New Roman"/>
        </w:rPr>
        <w:t>The A</w:t>
      </w:r>
      <w:r w:rsidR="00FF59E9">
        <w:rPr>
          <w:rFonts w:eastAsia="Times New Roman"/>
        </w:rPr>
        <w:t xml:space="preserve">ustralian </w:t>
      </w:r>
      <w:r w:rsidR="00FF59E9" w:rsidRPr="00785806">
        <w:rPr>
          <w:rFonts w:eastAsia="Times New Roman"/>
        </w:rPr>
        <w:t>C</w:t>
      </w:r>
      <w:r w:rsidR="00FF59E9">
        <w:rPr>
          <w:rFonts w:eastAsia="Times New Roman"/>
        </w:rPr>
        <w:t xml:space="preserve">ommunications and </w:t>
      </w:r>
      <w:r w:rsidRPr="00785806">
        <w:rPr>
          <w:rFonts w:eastAsia="Times New Roman"/>
        </w:rPr>
        <w:t>M</w:t>
      </w:r>
      <w:r w:rsidR="00FF59E9">
        <w:rPr>
          <w:rFonts w:eastAsia="Times New Roman"/>
        </w:rPr>
        <w:t xml:space="preserve">edia </w:t>
      </w:r>
      <w:r w:rsidRPr="00785806">
        <w:rPr>
          <w:rFonts w:eastAsia="Times New Roman"/>
        </w:rPr>
        <w:t>A</w:t>
      </w:r>
      <w:r w:rsidR="00FF59E9">
        <w:rPr>
          <w:rFonts w:eastAsia="Times New Roman"/>
        </w:rPr>
        <w:t>uthority</w:t>
      </w:r>
      <w:r w:rsidRPr="00785806">
        <w:rPr>
          <w:rFonts w:eastAsia="Times New Roman"/>
        </w:rPr>
        <w:t xml:space="preserve"> </w:t>
      </w:r>
      <w:r w:rsidR="00752F54">
        <w:rPr>
          <w:rFonts w:eastAsia="Times New Roman"/>
        </w:rPr>
        <w:t xml:space="preserve">(ACMA) </w:t>
      </w:r>
      <w:r w:rsidR="0057481F">
        <w:rPr>
          <w:rFonts w:eastAsia="Times New Roman"/>
        </w:rPr>
        <w:t xml:space="preserve">will be responsible for enforcing compliance with these restrictions. </w:t>
      </w:r>
    </w:p>
    <w:p w14:paraId="081DA87D" w14:textId="4BBBC145" w:rsidR="00D42557" w:rsidRPr="00D42557" w:rsidRDefault="00D42557" w:rsidP="00D42557">
      <w:pPr>
        <w:pStyle w:val="Heading3"/>
        <w:rPr>
          <w:color w:val="323E4F" w:themeColor="text2" w:themeShade="BF"/>
        </w:rPr>
      </w:pPr>
      <w:r>
        <w:rPr>
          <w:color w:val="323E4F" w:themeColor="text2" w:themeShade="BF"/>
        </w:rPr>
        <w:t xml:space="preserve">Boosting enforcement action against illegal </w:t>
      </w:r>
      <w:r w:rsidR="001E2C1A">
        <w:rPr>
          <w:color w:val="323E4F" w:themeColor="text2" w:themeShade="BF"/>
        </w:rPr>
        <w:t>online</w:t>
      </w:r>
      <w:r>
        <w:rPr>
          <w:color w:val="323E4F" w:themeColor="text2" w:themeShade="BF"/>
        </w:rPr>
        <w:t xml:space="preserve"> gambling services </w:t>
      </w:r>
    </w:p>
    <w:p w14:paraId="458238ED" w14:textId="73593D72" w:rsidR="00072585" w:rsidRDefault="004C3F16" w:rsidP="00072585">
      <w:r w:rsidRPr="004C3F16">
        <w:t>The Government acknowledges that illegal online gambling services present a risk to the community</w:t>
      </w:r>
      <w:r w:rsidR="001B45BA">
        <w:t>,</w:t>
      </w:r>
      <w:r w:rsidRPr="004C3F16">
        <w:t xml:space="preserve"> as they</w:t>
      </w:r>
      <w:r w:rsidR="003D4F89">
        <w:t xml:space="preserve"> are unlikely to have </w:t>
      </w:r>
      <w:r w:rsidRPr="004C3F16">
        <w:t xml:space="preserve">consumer protections, pay no Australian taxes, racing or sports fees, and can be used for money laundering or match fixing purposes. </w:t>
      </w:r>
      <w:r>
        <w:t xml:space="preserve">The </w:t>
      </w:r>
      <w:r w:rsidR="00072585">
        <w:t xml:space="preserve">illegal </w:t>
      </w:r>
      <w:r w:rsidR="008C072E">
        <w:t xml:space="preserve">offshore </w:t>
      </w:r>
      <w:r w:rsidR="00072585">
        <w:t xml:space="preserve">gambling market </w:t>
      </w:r>
      <w:r>
        <w:t>in</w:t>
      </w:r>
      <w:r w:rsidR="00407D72">
        <w:t> </w:t>
      </w:r>
      <w:r>
        <w:t xml:space="preserve">Australia </w:t>
      </w:r>
      <w:r w:rsidR="00072585">
        <w:t>is growing faster than the licenced and regulated onshore market and is expected to be valued at $5 billion by 2029.</w:t>
      </w:r>
    </w:p>
    <w:p w14:paraId="123AAEBF" w14:textId="66032D7D" w:rsidR="004C3F16" w:rsidRDefault="004C3F16" w:rsidP="00072585">
      <w:r w:rsidRPr="004C3F16">
        <w:t xml:space="preserve">The </w:t>
      </w:r>
      <w:r w:rsidR="0046240B" w:rsidRPr="0046240B">
        <w:t>IGA</w:t>
      </w:r>
      <w:r w:rsidRPr="004C3F16">
        <w:t xml:space="preserve"> prohibits the provision </w:t>
      </w:r>
      <w:r w:rsidR="005176A0">
        <w:t xml:space="preserve">and advertising </w:t>
      </w:r>
      <w:r w:rsidRPr="004C3F16">
        <w:t xml:space="preserve">of illegal </w:t>
      </w:r>
      <w:r w:rsidR="001E2C1A">
        <w:t xml:space="preserve">online </w:t>
      </w:r>
      <w:r w:rsidRPr="004C3F16">
        <w:t>gambling services to Australians, including offshore wagering services. Strong penalties apply for the provision of these services to</w:t>
      </w:r>
      <w:r w:rsidR="00407D72">
        <w:t> </w:t>
      </w:r>
      <w:r w:rsidRPr="004C3F16">
        <w:t xml:space="preserve">persons located in Australia. </w:t>
      </w:r>
    </w:p>
    <w:p w14:paraId="49A42CD0" w14:textId="0B925D19" w:rsidR="00072585" w:rsidRDefault="00072585" w:rsidP="00072585">
      <w:r>
        <w:t xml:space="preserve">The ACMA already has the tools to block these websites from </w:t>
      </w:r>
      <w:r w:rsidR="008C072E">
        <w:t>operating and</w:t>
      </w:r>
      <w:r w:rsidR="004C3F16" w:rsidRPr="00D26F25">
        <w:t xml:space="preserve"> ha</w:t>
      </w:r>
      <w:r w:rsidR="008C072E">
        <w:t>s</w:t>
      </w:r>
      <w:r w:rsidR="003D4F89">
        <w:t xml:space="preserve"> blocked</w:t>
      </w:r>
      <w:r w:rsidR="004C3F16" w:rsidRPr="00D26F25">
        <w:t xml:space="preserve"> over 1</w:t>
      </w:r>
      <w:r w:rsidR="004C3F16">
        <w:t>,</w:t>
      </w:r>
      <w:r w:rsidR="004C3F16" w:rsidRPr="00D26F25">
        <w:t xml:space="preserve">500 sites since this work commenced. </w:t>
      </w:r>
      <w:r w:rsidR="004C3F16">
        <w:t>However,</w:t>
      </w:r>
      <w:r>
        <w:t xml:space="preserve"> the regulatory requirements are onerous and prohibit the ACMA from being able to investigate and respond rapidly</w:t>
      </w:r>
      <w:r w:rsidR="008C072E">
        <w:t>.</w:t>
      </w:r>
      <w:r>
        <w:t xml:space="preserve"> </w:t>
      </w:r>
    </w:p>
    <w:p w14:paraId="2AA1E256" w14:textId="1C97E310" w:rsidR="00072585" w:rsidRPr="006C367F" w:rsidRDefault="00D26F25" w:rsidP="00072585">
      <w:r w:rsidRPr="00D26F25">
        <w:t>The Government will boost enforcement against illegal online gambling services to stop these sites from operating within Australia</w:t>
      </w:r>
      <w:r w:rsidR="001B45BA">
        <w:t>,</w:t>
      </w:r>
      <w:r w:rsidRPr="00D26F25">
        <w:t xml:space="preserve"> but outside </w:t>
      </w:r>
      <w:r w:rsidR="005176A0">
        <w:t>of</w:t>
      </w:r>
      <w:r w:rsidRPr="00D26F25">
        <w:t xml:space="preserve"> Australia’s laws and consumer protections. </w:t>
      </w:r>
      <w:r w:rsidR="007B7E1A">
        <w:t>To</w:t>
      </w:r>
      <w:r w:rsidR="00407D72">
        <w:t> </w:t>
      </w:r>
      <w:r w:rsidR="007B7E1A">
        <w:t>do</w:t>
      </w:r>
      <w:r w:rsidR="00407D72">
        <w:t> </w:t>
      </w:r>
      <w:r w:rsidR="007B7E1A">
        <w:t>this, t</w:t>
      </w:r>
      <w:r w:rsidR="00072585">
        <w:t>he Government will:</w:t>
      </w:r>
      <w:r w:rsidR="00072585" w:rsidRPr="006C367F">
        <w:t xml:space="preserve"> </w:t>
      </w:r>
    </w:p>
    <w:p w14:paraId="1F74C21B" w14:textId="75BBEA47" w:rsidR="00072585" w:rsidRDefault="004C3F16" w:rsidP="00072585">
      <w:pPr>
        <w:pStyle w:val="ListParagraph"/>
        <w:numPr>
          <w:ilvl w:val="0"/>
          <w:numId w:val="17"/>
        </w:numPr>
      </w:pPr>
      <w:r w:rsidRPr="00D26F25">
        <w:t xml:space="preserve">work with Australia’s banking sector to enable them </w:t>
      </w:r>
      <w:r>
        <w:t xml:space="preserve">to </w:t>
      </w:r>
      <w:r w:rsidR="00072585">
        <w:t xml:space="preserve">block financial transactions between Australian bank accounts and </w:t>
      </w:r>
      <w:bookmarkStart w:id="4" w:name="_Hlk209706081"/>
      <w:r w:rsidR="00072585">
        <w:t xml:space="preserve">illegal gambling </w:t>
      </w:r>
      <w:bookmarkEnd w:id="4"/>
      <w:r w:rsidR="00072585">
        <w:t>operators</w:t>
      </w:r>
    </w:p>
    <w:p w14:paraId="5D473683" w14:textId="29819DA1" w:rsidR="00072585" w:rsidRDefault="00072585" w:rsidP="00072585">
      <w:pPr>
        <w:pStyle w:val="ListParagraph"/>
        <w:numPr>
          <w:ilvl w:val="0"/>
          <w:numId w:val="17"/>
        </w:numPr>
      </w:pPr>
      <w:r>
        <w:t>s</w:t>
      </w:r>
      <w:r w:rsidRPr="00941939">
        <w:t xml:space="preserve">treamline, automate and </w:t>
      </w:r>
      <w:r>
        <w:t>extend the scope of the ACMA’s website blocking scheme to</w:t>
      </w:r>
      <w:r w:rsidR="00407D72">
        <w:t> </w:t>
      </w:r>
      <w:r>
        <w:t>include additional internet service providers and alternate domain name system providers</w:t>
      </w:r>
      <w:r w:rsidR="0046240B">
        <w:t>,</w:t>
      </w:r>
      <w:r>
        <w:t xml:space="preserve"> and</w:t>
      </w:r>
    </w:p>
    <w:p w14:paraId="10031BFB" w14:textId="7958DDD7" w:rsidR="00072585" w:rsidRDefault="00072585" w:rsidP="00072585">
      <w:pPr>
        <w:pStyle w:val="ListParagraph"/>
        <w:numPr>
          <w:ilvl w:val="0"/>
          <w:numId w:val="17"/>
        </w:numPr>
      </w:pPr>
      <w:r>
        <w:t xml:space="preserve">extend the scope of the existing ban on advertising illegal </w:t>
      </w:r>
      <w:r w:rsidR="001E2C1A">
        <w:t>online</w:t>
      </w:r>
      <w:r>
        <w:t xml:space="preserve"> gambling services to</w:t>
      </w:r>
      <w:r w:rsidR="00E100ED">
        <w:t> </w:t>
      </w:r>
      <w:r>
        <w:t>capture social media sites</w:t>
      </w:r>
      <w:r w:rsidR="004C3F16">
        <w:t xml:space="preserve"> and require hosting services and digital platforms to take down illegal content.</w:t>
      </w:r>
    </w:p>
    <w:p w14:paraId="67D00FDE" w14:textId="341161B4" w:rsidR="00737B6C" w:rsidRDefault="00737B6C" w:rsidP="0046240B">
      <w:r>
        <w:lastRenderedPageBreak/>
        <w:t xml:space="preserve">These measures seek to reduce the adverse effects of illegal online gambling on Australians, noting illegal gambling operators are unregulated and </w:t>
      </w:r>
      <w:r w:rsidR="003A5513">
        <w:t>operate outside of</w:t>
      </w:r>
      <w:r>
        <w:t xml:space="preserve"> Australian consumer protection </w:t>
      </w:r>
      <w:r w:rsidR="003A5513">
        <w:t>mechanisms</w:t>
      </w:r>
      <w:r>
        <w:t xml:space="preserve">, including BetStop, mandatory customer pre-verification and </w:t>
      </w:r>
      <w:r w:rsidR="001B45BA">
        <w:t xml:space="preserve">the </w:t>
      </w:r>
      <w:r>
        <w:t>credit card payment</w:t>
      </w:r>
      <w:r w:rsidR="0025328D">
        <w:t xml:space="preserve"> ban</w:t>
      </w:r>
      <w:r>
        <w:t xml:space="preserve">. </w:t>
      </w:r>
    </w:p>
    <w:p w14:paraId="15977359" w14:textId="3A0C4EC9" w:rsidR="007E533E" w:rsidRPr="009A2C13" w:rsidRDefault="0046240B" w:rsidP="009A2C13">
      <w:pPr>
        <w:rPr>
          <w:lang w:eastAsia="en-US"/>
        </w:rPr>
      </w:pPr>
      <w:r>
        <w:t xml:space="preserve">These additional disruptions are </w:t>
      </w:r>
      <w:r w:rsidR="003D4F89">
        <w:t xml:space="preserve">also </w:t>
      </w:r>
      <w:r>
        <w:t>intended to deter</w:t>
      </w:r>
      <w:r w:rsidR="004614C4">
        <w:t xml:space="preserve"> potential illegal operators</w:t>
      </w:r>
      <w:r>
        <w:t xml:space="preserve"> </w:t>
      </w:r>
      <w:r w:rsidR="004614C4">
        <w:t>from entering the Australian market</w:t>
      </w:r>
      <w:r w:rsidR="004240E7">
        <w:t>,</w:t>
      </w:r>
      <w:r w:rsidR="004614C4">
        <w:t xml:space="preserve"> leading to a reduction in illegal gambling activities over the long-term.</w:t>
      </w:r>
    </w:p>
    <w:p w14:paraId="4DF1C778" w14:textId="53534B3C" w:rsidR="007E533E" w:rsidRPr="009A2C13" w:rsidRDefault="007E533E" w:rsidP="007E533E">
      <w:pPr>
        <w:pStyle w:val="Heading3"/>
        <w:rPr>
          <w:color w:val="323E4F" w:themeColor="text2" w:themeShade="BF"/>
          <w:sz w:val="28"/>
          <w:szCs w:val="28"/>
        </w:rPr>
      </w:pPr>
      <w:r w:rsidRPr="009A2C13">
        <w:rPr>
          <w:color w:val="323E4F" w:themeColor="text2" w:themeShade="BF"/>
          <w:sz w:val="28"/>
          <w:szCs w:val="28"/>
        </w:rPr>
        <w:t xml:space="preserve">Strengthening the operation of BetStop </w:t>
      </w:r>
    </w:p>
    <w:p w14:paraId="4F7E27ED" w14:textId="271A269A" w:rsidR="007E533E" w:rsidRDefault="007E533E" w:rsidP="007E533E">
      <w:pPr>
        <w:spacing w:before="120" w:after="120"/>
      </w:pPr>
      <w:r>
        <w:t>BetStop</w:t>
      </w:r>
      <w:r w:rsidR="00DE5BB6">
        <w:t xml:space="preserve"> </w:t>
      </w:r>
      <w:r w:rsidRPr="00A87A8E">
        <w:t>allows Australians to self-exclude from all Australian licensed online and phone wagering providers, who primarily offer online sports and race betting services, for a minimum period of</w:t>
      </w:r>
      <w:r w:rsidR="00AE16B9">
        <w:t> </w:t>
      </w:r>
      <w:r w:rsidRPr="00A87A8E">
        <w:t>3</w:t>
      </w:r>
      <w:r>
        <w:t> </w:t>
      </w:r>
      <w:r w:rsidRPr="00A87A8E">
        <w:t xml:space="preserve">months, up to a lifetime. Between launching in August 2023 and </w:t>
      </w:r>
      <w:r>
        <w:t xml:space="preserve">April 2026, over 60,000 </w:t>
      </w:r>
      <w:r w:rsidRPr="00A87A8E">
        <w:t>Australians had registered to self-exclude</w:t>
      </w:r>
      <w:r>
        <w:t xml:space="preserve"> and</w:t>
      </w:r>
      <w:r w:rsidRPr="00A87A8E">
        <w:t xml:space="preserve"> there were</w:t>
      </w:r>
      <w:r>
        <w:t xml:space="preserve"> over</w:t>
      </w:r>
      <w:r w:rsidRPr="00A87A8E">
        <w:t xml:space="preserve"> 3</w:t>
      </w:r>
      <w:r>
        <w:t>7,000 </w:t>
      </w:r>
      <w:r w:rsidRPr="00A87A8E">
        <w:t>active registrations.</w:t>
      </w:r>
    </w:p>
    <w:p w14:paraId="39E3F9A8" w14:textId="08D3E309" w:rsidR="00AA4E8E" w:rsidRDefault="007E533E" w:rsidP="00CF7B20">
      <w:pPr>
        <w:spacing w:before="120" w:after="120"/>
      </w:pPr>
      <w:r>
        <w:t xml:space="preserve">The IGA required a review of BetStop after 12 months of operation and the Government tabled the final </w:t>
      </w:r>
      <w:r w:rsidR="0025328D">
        <w:t>r</w:t>
      </w:r>
      <w:r>
        <w:t xml:space="preserve">eport of the Statutory Review of BetStop (the Review) on 25 February 2026.  </w:t>
      </w:r>
    </w:p>
    <w:p w14:paraId="1B585C24" w14:textId="27A5A393" w:rsidR="005D5BD2" w:rsidRDefault="007E533E" w:rsidP="00CF7B20">
      <w:pPr>
        <w:spacing w:before="120" w:after="120"/>
      </w:pPr>
      <w:r>
        <w:t xml:space="preserve">The Review found that BetStop </w:t>
      </w:r>
      <w:r>
        <w:rPr>
          <w:rFonts w:cstheme="minorHAnsi"/>
        </w:rPr>
        <w:t>is a successful policy and is delivering well on its objectives. It</w:t>
      </w:r>
      <w:r w:rsidR="00AE16B9">
        <w:rPr>
          <w:rFonts w:cstheme="minorHAnsi"/>
        </w:rPr>
        <w:t> </w:t>
      </w:r>
      <w:r>
        <w:rPr>
          <w:rFonts w:cstheme="minorHAnsi"/>
        </w:rPr>
        <w:t xml:space="preserve">identified several areas where changes could </w:t>
      </w:r>
      <w:r w:rsidRPr="00BC54FE">
        <w:t xml:space="preserve">optimise </w:t>
      </w:r>
      <w:r>
        <w:t>BetStop’s</w:t>
      </w:r>
      <w:r w:rsidRPr="00BC54FE">
        <w:t xml:space="preserve"> role in addressing gambling harm</w:t>
      </w:r>
      <w:r w:rsidR="006B4378">
        <w:t>.</w:t>
      </w:r>
      <w:r w:rsidR="005D5BD2">
        <w:t xml:space="preserve"> </w:t>
      </w:r>
    </w:p>
    <w:p w14:paraId="05F8081E" w14:textId="375C9007" w:rsidR="006B4378" w:rsidRDefault="007E533E" w:rsidP="00CF7B20">
      <w:pPr>
        <w:spacing w:before="120" w:after="120"/>
      </w:pPr>
      <w:r w:rsidRPr="001367CD">
        <w:t xml:space="preserve">The </w:t>
      </w:r>
      <w:r>
        <w:t>G</w:t>
      </w:r>
      <w:r w:rsidRPr="001367CD">
        <w:t xml:space="preserve">overnment will </w:t>
      </w:r>
      <w:r>
        <w:t xml:space="preserve">take action to </w:t>
      </w:r>
      <w:r w:rsidRPr="001367CD">
        <w:t>strengthen</w:t>
      </w:r>
      <w:r>
        <w:t xml:space="preserve"> BetStop</w:t>
      </w:r>
      <w:r w:rsidRPr="001367CD">
        <w:t xml:space="preserve"> in line with</w:t>
      </w:r>
      <w:r w:rsidR="0025328D">
        <w:t xml:space="preserve"> the</w:t>
      </w:r>
      <w:r w:rsidRPr="001367CD">
        <w:t xml:space="preserve"> outcomes of the </w:t>
      </w:r>
      <w:r>
        <w:t>Review</w:t>
      </w:r>
      <w:r w:rsidRPr="001367CD">
        <w:t xml:space="preserve">. </w:t>
      </w:r>
      <w:r w:rsidR="00544EFC">
        <w:t xml:space="preserve"> </w:t>
      </w:r>
    </w:p>
    <w:p w14:paraId="458167C8" w14:textId="6CDE83BB" w:rsidR="0025328D" w:rsidRDefault="00CF7B20" w:rsidP="00CF7B20">
      <w:pPr>
        <w:spacing w:before="120" w:after="120"/>
      </w:pPr>
      <w:r>
        <w:t xml:space="preserve">This will include increasing </w:t>
      </w:r>
      <w:r w:rsidRPr="001367CD">
        <w:t>promotion of</w:t>
      </w:r>
      <w:r w:rsidR="006B4378">
        <w:t xml:space="preserve"> BetStop</w:t>
      </w:r>
      <w:r>
        <w:t xml:space="preserve"> </w:t>
      </w:r>
      <w:r w:rsidR="003A5513">
        <w:t xml:space="preserve">to support increased take up of the service, </w:t>
      </w:r>
      <w:r>
        <w:t xml:space="preserve">through an advertising campaign and </w:t>
      </w:r>
      <w:r w:rsidR="003D4F89">
        <w:t xml:space="preserve">phased </w:t>
      </w:r>
      <w:r w:rsidR="006B4378">
        <w:t>funding for the ACMA to increase its</w:t>
      </w:r>
      <w:r w:rsidRPr="0004719A">
        <w:t xml:space="preserve"> </w:t>
      </w:r>
      <w:r>
        <w:t xml:space="preserve">ongoing </w:t>
      </w:r>
      <w:r w:rsidRPr="0004719A">
        <w:t>marketing, promotion and education efforts</w:t>
      </w:r>
      <w:r w:rsidR="003D4F89">
        <w:t xml:space="preserve"> after the campaign concludes</w:t>
      </w:r>
      <w:r w:rsidRPr="0004719A">
        <w:t>.</w:t>
      </w:r>
      <w:r w:rsidR="0025328D">
        <w:t xml:space="preserve"> </w:t>
      </w:r>
    </w:p>
    <w:p w14:paraId="2C706D59" w14:textId="27028872" w:rsidR="00CF7B20" w:rsidRDefault="00CF7B20" w:rsidP="00CF7B20">
      <w:pPr>
        <w:spacing w:before="120" w:after="120"/>
      </w:pPr>
      <w:r>
        <w:t xml:space="preserve">The Government will also </w:t>
      </w:r>
      <w:r w:rsidRPr="0004719A">
        <w:t xml:space="preserve">commission market research to investigate the feasibility and options for embedding BetStop in </w:t>
      </w:r>
      <w:r>
        <w:t xml:space="preserve">existing </w:t>
      </w:r>
      <w:r w:rsidRPr="0004719A">
        <w:t>gambling tagline</w:t>
      </w:r>
      <w:r>
        <w:t xml:space="preserve">s and call to action messages, which wagering providers are required to include alongside their advertisements </w:t>
      </w:r>
      <w:r w:rsidR="00F807D2">
        <w:t>(</w:t>
      </w:r>
      <w:r>
        <w:t xml:space="preserve">e.g. </w:t>
      </w:r>
      <w:r w:rsidRPr="00661BC5">
        <w:rPr>
          <w:i/>
          <w:iCs/>
        </w:rPr>
        <w:t>‘Chances are you’re about to</w:t>
      </w:r>
      <w:r w:rsidR="00AE16B9">
        <w:rPr>
          <w:i/>
          <w:iCs/>
        </w:rPr>
        <w:t> </w:t>
      </w:r>
      <w:r w:rsidRPr="00661BC5">
        <w:rPr>
          <w:i/>
          <w:iCs/>
        </w:rPr>
        <w:t>lose - For free and confidential support call 1800 858 858 or visit gamblinghelponline.org.au’</w:t>
      </w:r>
      <w:r w:rsidRPr="00F16555">
        <w:t>).</w:t>
      </w:r>
    </w:p>
    <w:p w14:paraId="139B9605" w14:textId="10774A50" w:rsidR="007E533E" w:rsidRPr="001367CD" w:rsidRDefault="006B4378" w:rsidP="007E533E">
      <w:pPr>
        <w:spacing w:before="120" w:after="120"/>
      </w:pPr>
      <w:r>
        <w:t xml:space="preserve">In line with review recommendations, </w:t>
      </w:r>
      <w:r w:rsidR="005D5BD2">
        <w:t xml:space="preserve">several </w:t>
      </w:r>
      <w:r>
        <w:t>a</w:t>
      </w:r>
      <w:r w:rsidRPr="001367CD">
        <w:t>mendments to the IGA will be progressed to enhance clarity and improve user experience and safety</w:t>
      </w:r>
      <w:r>
        <w:t xml:space="preserve"> outcomes. T</w:t>
      </w:r>
      <w:r w:rsidR="00F807D2">
        <w:t>he ACMA will also progress</w:t>
      </w:r>
      <w:r w:rsidR="007E533E" w:rsidRPr="001367CD">
        <w:t xml:space="preserve"> necessary system updates and </w:t>
      </w:r>
      <w:r>
        <w:t>increase</w:t>
      </w:r>
      <w:r w:rsidR="007E533E" w:rsidRPr="001367CD">
        <w:t xml:space="preserve"> compliance efforts</w:t>
      </w:r>
      <w:r w:rsidR="00F807D2">
        <w:t xml:space="preserve"> to strengthen BetStop</w:t>
      </w:r>
      <w:r w:rsidR="007E533E" w:rsidRPr="001367CD">
        <w:t>.</w:t>
      </w:r>
      <w:r w:rsidR="007E533E">
        <w:t xml:space="preserve"> </w:t>
      </w:r>
    </w:p>
    <w:p w14:paraId="7400C01F" w14:textId="5BAFD4D7" w:rsidR="00F807D2" w:rsidRDefault="007E533E" w:rsidP="007E533E">
      <w:pPr>
        <w:spacing w:before="120" w:after="120"/>
      </w:pPr>
      <w:r w:rsidRPr="001367CD">
        <w:t xml:space="preserve">Legislative amendments to cost recovery arrangements will </w:t>
      </w:r>
      <w:r>
        <w:t xml:space="preserve">also </w:t>
      </w:r>
      <w:r w:rsidRPr="001367CD">
        <w:t xml:space="preserve">be progressed to ensure that </w:t>
      </w:r>
      <w:r>
        <w:t xml:space="preserve">all </w:t>
      </w:r>
      <w:r w:rsidRPr="001367CD">
        <w:t xml:space="preserve">measures to strengthen the system </w:t>
      </w:r>
      <w:r w:rsidR="00A70000">
        <w:t>will</w:t>
      </w:r>
      <w:r w:rsidRPr="001367CD">
        <w:t xml:space="preserve"> be cost-recovered from industry.</w:t>
      </w:r>
      <w:r>
        <w:t xml:space="preserve"> </w:t>
      </w:r>
    </w:p>
    <w:p w14:paraId="52D6F26A" w14:textId="608F496D" w:rsidR="007E533E" w:rsidRDefault="007E533E" w:rsidP="007E533E">
      <w:pPr>
        <w:spacing w:before="120" w:after="120"/>
      </w:pPr>
      <w:r w:rsidRPr="004614C4">
        <w:t xml:space="preserve">The Government will consult with states, territories and </w:t>
      </w:r>
      <w:r>
        <w:t>other stakeholders</w:t>
      </w:r>
      <w:r w:rsidRPr="004614C4">
        <w:t xml:space="preserve"> </w:t>
      </w:r>
      <w:r>
        <w:t>ahead of implementing legislative changes.</w:t>
      </w:r>
    </w:p>
    <w:p w14:paraId="36DBEE09" w14:textId="024D2287" w:rsidR="005B18D5" w:rsidRPr="009A2C13" w:rsidRDefault="007E533E" w:rsidP="005B18D5">
      <w:pPr>
        <w:pStyle w:val="Heading3"/>
        <w:rPr>
          <w:sz w:val="28"/>
          <w:szCs w:val="28"/>
        </w:rPr>
      </w:pPr>
      <w:r w:rsidRPr="009A2C13">
        <w:rPr>
          <w:color w:val="323E4F" w:themeColor="text2" w:themeShade="BF"/>
          <w:sz w:val="28"/>
          <w:szCs w:val="28"/>
        </w:rPr>
        <w:t xml:space="preserve">Addressing harmful and emerging online lottery products </w:t>
      </w:r>
    </w:p>
    <w:p w14:paraId="486D41AC" w14:textId="28E9DCC2" w:rsidR="00B81488" w:rsidRPr="00D26F25" w:rsidRDefault="00B81488" w:rsidP="00B81488">
      <w:pPr>
        <w:spacing w:before="120" w:after="120"/>
      </w:pPr>
      <w:r>
        <w:t xml:space="preserve">New </w:t>
      </w:r>
      <w:r w:rsidR="008A2D65">
        <w:t>online gambling and lottery</w:t>
      </w:r>
      <w:r>
        <w:t xml:space="preserve"> products are being offered and promoted to Australian consumers that are </w:t>
      </w:r>
      <w:r w:rsidRPr="00AA4A0F">
        <w:t xml:space="preserve">contrary to </w:t>
      </w:r>
      <w:r w:rsidR="00E5051C">
        <w:t xml:space="preserve">the </w:t>
      </w:r>
      <w:r w:rsidRPr="00AA4A0F">
        <w:t xml:space="preserve">intent and spirit of </w:t>
      </w:r>
      <w:r w:rsidR="0046240B" w:rsidRPr="0046240B">
        <w:t>the IGA</w:t>
      </w:r>
      <w:r w:rsidR="004614C4" w:rsidRPr="0046240B">
        <w:t>,</w:t>
      </w:r>
      <w:r w:rsidR="001367CD">
        <w:t xml:space="preserve"> </w:t>
      </w:r>
      <w:r>
        <w:t xml:space="preserve">with </w:t>
      </w:r>
      <w:r w:rsidR="008A2D65">
        <w:t>some</w:t>
      </w:r>
      <w:r>
        <w:t xml:space="preserve"> products now operating in a </w:t>
      </w:r>
      <w:r w:rsidRPr="00AA4A0F">
        <w:t>‘grey’ regulatory space</w:t>
      </w:r>
      <w:r>
        <w:t xml:space="preserve">, without appropriate consumer protection mechanisms in place. </w:t>
      </w:r>
    </w:p>
    <w:p w14:paraId="74B85022" w14:textId="643252B5" w:rsidR="005B18D5" w:rsidRPr="00EE651D" w:rsidRDefault="005B18D5" w:rsidP="00EE651D">
      <w:pPr>
        <w:pStyle w:val="Heading4"/>
      </w:pPr>
      <w:r w:rsidRPr="00EE651D">
        <w:t xml:space="preserve">Online keno </w:t>
      </w:r>
    </w:p>
    <w:p w14:paraId="1671F401" w14:textId="637759AE" w:rsidR="001367CD" w:rsidRDefault="004760E2" w:rsidP="00D26F25">
      <w:r>
        <w:t>O</w:t>
      </w:r>
      <w:r w:rsidRPr="00A87A8E">
        <w:t xml:space="preserve">nline keno </w:t>
      </w:r>
      <w:r>
        <w:t xml:space="preserve">services have evolved from traditional keno and are now offered as a highly repetitive, rapid play gambling product, with high spend limits and high frequency ‘draws’, with some offerings allowing consumers to spend up to $1,000 every 3 minutes. </w:t>
      </w:r>
    </w:p>
    <w:p w14:paraId="5B6A743E" w14:textId="52A63EF2" w:rsidR="00D26F25" w:rsidRPr="00D26F25" w:rsidRDefault="004760E2" w:rsidP="00D26F25">
      <w:r>
        <w:t>Online keno is being marketed aggressively, with the a</w:t>
      </w:r>
      <w:r w:rsidRPr="00EE367B">
        <w:t xml:space="preserve">dvertising spend </w:t>
      </w:r>
      <w:r>
        <w:t>almost doubling</w:t>
      </w:r>
      <w:r w:rsidRPr="00EE367B">
        <w:t xml:space="preserve"> between 2023 and 2024.</w:t>
      </w:r>
      <w:r>
        <w:t xml:space="preserve"> </w:t>
      </w:r>
      <w:r w:rsidR="00FD37AD">
        <w:t>This product</w:t>
      </w:r>
      <w:r w:rsidR="0026207B">
        <w:t xml:space="preserve"> has</w:t>
      </w:r>
      <w:r w:rsidR="00D26F25" w:rsidRPr="00D26F25">
        <w:t xml:space="preserve"> also been </w:t>
      </w:r>
      <w:r w:rsidRPr="00D26F25">
        <w:t>exempted</w:t>
      </w:r>
      <w:r w:rsidR="00D26F25" w:rsidRPr="00D26F25">
        <w:t xml:space="preserve"> from consumer protection measures implemented in recent years, including the credit card ban and </w:t>
      </w:r>
      <w:r w:rsidR="0026207B">
        <w:t>BetStop</w:t>
      </w:r>
      <w:r w:rsidR="00D26F25" w:rsidRPr="00D26F25">
        <w:t xml:space="preserve">. </w:t>
      </w:r>
      <w:r w:rsidR="003D4F89">
        <w:t>It is also exempt from gambling advertising rules.</w:t>
      </w:r>
    </w:p>
    <w:p w14:paraId="25C9E5A9" w14:textId="5A4E92E4" w:rsidR="004614C4" w:rsidRDefault="00D26F25" w:rsidP="004614C4">
      <w:r w:rsidRPr="00D26F25">
        <w:lastRenderedPageBreak/>
        <w:t>Recognising this as a significant danger to the Australian community, the Government will ban all online keno, including for current operators</w:t>
      </w:r>
      <w:r w:rsidR="004614C4">
        <w:t>.</w:t>
      </w:r>
      <w:r w:rsidR="004760E2">
        <w:t xml:space="preserve"> </w:t>
      </w:r>
      <w:r w:rsidR="004614C4" w:rsidRPr="004614C4">
        <w:t>This change is consistent with the intent of the IGA to</w:t>
      </w:r>
      <w:r w:rsidR="00AE16B9">
        <w:t> </w:t>
      </w:r>
      <w:r w:rsidR="004614C4" w:rsidRPr="004614C4">
        <w:t xml:space="preserve">limit online gambling products that can lead to harmful gambling and </w:t>
      </w:r>
      <w:r w:rsidR="004614C4">
        <w:t xml:space="preserve">will </w:t>
      </w:r>
      <w:r w:rsidR="004614C4" w:rsidRPr="004614C4">
        <w:t>ensure consistent treatment of this product with online casino games, including online poker machines and online poker</w:t>
      </w:r>
      <w:r w:rsidR="004614C4">
        <w:t>,</w:t>
      </w:r>
      <w:r w:rsidR="004614C4" w:rsidRPr="004614C4">
        <w:t xml:space="preserve"> which are also banned under the IGA</w:t>
      </w:r>
      <w:r w:rsidR="004614C4">
        <w:t>.</w:t>
      </w:r>
      <w:r w:rsidR="004614C4" w:rsidRPr="004614C4">
        <w:t xml:space="preserve"> </w:t>
      </w:r>
    </w:p>
    <w:p w14:paraId="2C106FFE" w14:textId="4EC9A806" w:rsidR="005B18D5" w:rsidRDefault="005B18D5" w:rsidP="004614C4">
      <w:r w:rsidRPr="004614C4">
        <w:t xml:space="preserve">The Government will consult with states, territories and industry </w:t>
      </w:r>
      <w:r>
        <w:t>ahead of implementing legislative changes to ban online keno.</w:t>
      </w:r>
    </w:p>
    <w:p w14:paraId="14C2E8D8" w14:textId="2C7505CB" w:rsidR="005B18D5" w:rsidRPr="00EE651D" w:rsidRDefault="005B18D5" w:rsidP="00EE651D">
      <w:pPr>
        <w:pStyle w:val="Heading4"/>
        <w:rPr>
          <w:b/>
          <w:bCs/>
          <w:color w:val="44546A" w:themeColor="text2"/>
        </w:rPr>
      </w:pPr>
      <w:r w:rsidRPr="00EE651D">
        <w:rPr>
          <w:rStyle w:val="Strong"/>
          <w:b w:val="0"/>
          <w:bCs w:val="0"/>
          <w:color w:val="323E4F" w:themeColor="text2" w:themeShade="BF"/>
        </w:rPr>
        <w:t xml:space="preserve">Foreign-matched lotteries </w:t>
      </w:r>
    </w:p>
    <w:p w14:paraId="7AE72899" w14:textId="516F5833" w:rsidR="004614C4" w:rsidRDefault="005B18D5" w:rsidP="0065597C">
      <w:r w:rsidRPr="00E3502B">
        <w:t>Foreign-matched lotteries are an emerging product which allow consumers to access international multi-</w:t>
      </w:r>
      <w:proofErr w:type="gramStart"/>
      <w:r w:rsidRPr="00E3502B">
        <w:t>million</w:t>
      </w:r>
      <w:r w:rsidR="009B4B49">
        <w:t xml:space="preserve"> </w:t>
      </w:r>
      <w:r w:rsidRPr="00E3502B">
        <w:t>dollar</w:t>
      </w:r>
      <w:proofErr w:type="gramEnd"/>
      <w:r w:rsidRPr="00E3502B">
        <w:t xml:space="preserve"> lottery draws multiple times a week, when they would otherwise be ineligible to</w:t>
      </w:r>
      <w:r w:rsidR="00AE16B9">
        <w:t> </w:t>
      </w:r>
      <w:r w:rsidRPr="00E3502B">
        <w:t xml:space="preserve">do so. </w:t>
      </w:r>
      <w:r w:rsidR="004614C4" w:rsidRPr="004614C4">
        <w:t xml:space="preserve">Foreign-matched lotteries are </w:t>
      </w:r>
      <w:r w:rsidR="00060A6C">
        <w:t>an</w:t>
      </w:r>
      <w:r w:rsidR="004614C4" w:rsidRPr="004614C4">
        <w:t xml:space="preserve"> ‘excluded lottery service’ in the IGA, and as a result</w:t>
      </w:r>
      <w:r>
        <w:t xml:space="preserve"> are exempt from</w:t>
      </w:r>
      <w:r w:rsidR="004614C4" w:rsidRPr="004614C4">
        <w:t xml:space="preserve"> existing consumer protection mechanisms. </w:t>
      </w:r>
    </w:p>
    <w:p w14:paraId="68DFDA0F" w14:textId="0934A3FD" w:rsidR="005B18D5" w:rsidRDefault="005B18D5" w:rsidP="005B18D5">
      <w:r>
        <w:t xml:space="preserve">The Government will undertake consultation with states, territories and industry to scope and implement legislative changes that enhance protections against foreign-matched lotteries. </w:t>
      </w:r>
    </w:p>
    <w:p w14:paraId="61480504" w14:textId="56823A7B" w:rsidR="005B18D5" w:rsidRPr="00EE651D" w:rsidRDefault="005B18D5" w:rsidP="00EE651D">
      <w:pPr>
        <w:pStyle w:val="Heading4"/>
        <w:rPr>
          <w:b/>
          <w:bCs/>
          <w:color w:val="44546A" w:themeColor="text2"/>
        </w:rPr>
      </w:pPr>
      <w:r w:rsidRPr="00EE651D">
        <w:rPr>
          <w:rStyle w:val="Strong"/>
          <w:b w:val="0"/>
          <w:bCs w:val="0"/>
          <w:color w:val="323E4F" w:themeColor="text2" w:themeShade="BF"/>
        </w:rPr>
        <w:t>Trade promotion lotteries</w:t>
      </w:r>
    </w:p>
    <w:p w14:paraId="2D59822B" w14:textId="37926CE6" w:rsidR="0065597C" w:rsidRDefault="0065597C" w:rsidP="0065597C">
      <w:r w:rsidRPr="00F87E51">
        <w:t xml:space="preserve">Many organisations in Australia offer </w:t>
      </w:r>
      <w:r>
        <w:t>‘</w:t>
      </w:r>
      <w:r w:rsidRPr="00F87E51">
        <w:t>rewards club</w:t>
      </w:r>
      <w:r>
        <w:t>’</w:t>
      </w:r>
      <w:r w:rsidRPr="00F87E51">
        <w:t xml:space="preserve"> or loyalty programs. However, there are emerging concerns that some rewards club operators are exploiting regulatory gaps to offer lottery products under the guise of </w:t>
      </w:r>
      <w:r>
        <w:t>‘</w:t>
      </w:r>
      <w:r w:rsidRPr="00F87E51">
        <w:t xml:space="preserve">trade </w:t>
      </w:r>
      <w:proofErr w:type="gramStart"/>
      <w:r w:rsidRPr="00F87E51">
        <w:t>promotions</w:t>
      </w:r>
      <w:r w:rsidR="00060A6C">
        <w:t>’</w:t>
      </w:r>
      <w:proofErr w:type="gramEnd"/>
      <w:r w:rsidRPr="00F87E51">
        <w:t xml:space="preserve">. These ‘shadow lottery products’ involve operators selling memberships at a monthly fee and are structured around frequent prize giveaways via lottery-style draws. Prizes typically include items of high value such as cars, houses or </w:t>
      </w:r>
      <w:r>
        <w:t xml:space="preserve">significant sums of </w:t>
      </w:r>
      <w:r w:rsidRPr="00F87E51">
        <w:t>money.</w:t>
      </w:r>
    </w:p>
    <w:p w14:paraId="603B7B50" w14:textId="4A795910" w:rsidR="005B18D5" w:rsidRDefault="0065597C" w:rsidP="0065597C">
      <w:r w:rsidRPr="00897FC9">
        <w:t xml:space="preserve">While defined in the IGA, trade promotion gambling services are unregulated at the Commonwealth level. Again, this means that consumer protections established under the IGA </w:t>
      </w:r>
      <w:r>
        <w:t xml:space="preserve">do not </w:t>
      </w:r>
      <w:r w:rsidRPr="00897FC9">
        <w:t>appl</w:t>
      </w:r>
      <w:r>
        <w:t>y</w:t>
      </w:r>
      <w:r w:rsidRPr="00897FC9">
        <w:t xml:space="preserve"> to these services.</w:t>
      </w:r>
      <w:r w:rsidR="005B18D5">
        <w:t xml:space="preserve"> </w:t>
      </w:r>
    </w:p>
    <w:p w14:paraId="0EFA7794" w14:textId="3C975C88" w:rsidR="0065597C" w:rsidRPr="004614C4" w:rsidRDefault="005B18D5" w:rsidP="005B18D5">
      <w:r>
        <w:t xml:space="preserve">The </w:t>
      </w:r>
      <w:r w:rsidR="00732FC1">
        <w:t>G</w:t>
      </w:r>
      <w:r>
        <w:t>overnment will work with</w:t>
      </w:r>
      <w:r w:rsidR="0065597C" w:rsidRPr="00897FC9">
        <w:t xml:space="preserve"> state</w:t>
      </w:r>
      <w:r w:rsidR="0065597C">
        <w:t>s</w:t>
      </w:r>
      <w:r w:rsidR="0065597C" w:rsidRPr="00897FC9">
        <w:t xml:space="preserve"> and territor</w:t>
      </w:r>
      <w:r w:rsidR="0065597C">
        <w:t xml:space="preserve">ies </w:t>
      </w:r>
      <w:r w:rsidR="0065597C" w:rsidRPr="00897FC9">
        <w:t xml:space="preserve">to </w:t>
      </w:r>
      <w:r w:rsidR="0065597C">
        <w:t xml:space="preserve">examine the exemptions currently afforded to rewards club activities </w:t>
      </w:r>
      <w:r w:rsidR="00E219A2">
        <w:t xml:space="preserve">and introduce regulatory changes to support national regulation of these products, including to ensure there are appropriate consumer protections. This will include explicit definitions for a lottery product. </w:t>
      </w:r>
    </w:p>
    <w:bookmarkEnd w:id="0"/>
    <w:bookmarkEnd w:id="1"/>
    <w:p w14:paraId="7CB40F5F" w14:textId="1AADD0A6" w:rsidR="007E4F2E" w:rsidRPr="00484563" w:rsidRDefault="007E4F2E" w:rsidP="007E4F2E">
      <w:pPr>
        <w:pStyle w:val="Heading3"/>
        <w:rPr>
          <w:color w:val="323E4F" w:themeColor="text2" w:themeShade="BF"/>
        </w:rPr>
      </w:pPr>
      <w:r w:rsidRPr="00484563">
        <w:rPr>
          <w:color w:val="323E4F" w:themeColor="text2" w:themeShade="BF"/>
        </w:rPr>
        <w:t>Credit card ban</w:t>
      </w:r>
      <w:r>
        <w:rPr>
          <w:color w:val="323E4F" w:themeColor="text2" w:themeShade="BF"/>
        </w:rPr>
        <w:t xml:space="preserve"> </w:t>
      </w:r>
    </w:p>
    <w:p w14:paraId="22BEA48D" w14:textId="4B45678F" w:rsidR="007E4F2E" w:rsidRDefault="00FE1EB4" w:rsidP="007E4F2E">
      <w:r>
        <w:t xml:space="preserve">To strengthen protections against online gambling harms for vulnerable Australians, </w:t>
      </w:r>
      <w:r w:rsidR="00033F51">
        <w:t xml:space="preserve">in June 2024 </w:t>
      </w:r>
      <w:r>
        <w:t>t</w:t>
      </w:r>
      <w:r w:rsidR="00CC279B" w:rsidRPr="00CC279B">
        <w:t xml:space="preserve">he </w:t>
      </w:r>
      <w:r w:rsidR="007E4F2E" w:rsidRPr="00950DF2">
        <w:t xml:space="preserve">Government </w:t>
      </w:r>
      <w:r w:rsidR="00FC14AF">
        <w:t>legislated</w:t>
      </w:r>
      <w:r w:rsidR="007E4F2E" w:rsidRPr="00484563">
        <w:t xml:space="preserve"> a ban on the use of credit cards, credit-related products (such as digital wallets) and digital currency (such as cryptocurrency) as payment methods for online wagering</w:t>
      </w:r>
      <w:r w:rsidR="007E4F2E">
        <w:t>.</w:t>
      </w:r>
      <w:r w:rsidR="00FC14AF">
        <w:t xml:space="preserve"> This</w:t>
      </w:r>
      <w:r w:rsidR="00AE16B9">
        <w:t> </w:t>
      </w:r>
      <w:r w:rsidR="00FC14AF">
        <w:t xml:space="preserve">change </w:t>
      </w:r>
      <w:r w:rsidR="00CC279B">
        <w:t>has aligned</w:t>
      </w:r>
      <w:r w:rsidR="00CC279B" w:rsidRPr="00FC14AF">
        <w:t xml:space="preserve"> online wagering with land</w:t>
      </w:r>
      <w:r w:rsidR="00CC279B" w:rsidRPr="00FC14AF">
        <w:noBreakHyphen/>
        <w:t>based gambling regulations</w:t>
      </w:r>
      <w:r w:rsidR="00CC279B">
        <w:t xml:space="preserve">, </w:t>
      </w:r>
      <w:r w:rsidR="00CC279B" w:rsidRPr="00FC14AF">
        <w:t xml:space="preserve">where credit card use </w:t>
      </w:r>
      <w:r w:rsidR="00CC279B">
        <w:t>was already</w:t>
      </w:r>
      <w:r w:rsidR="00CC279B" w:rsidRPr="00FC14AF">
        <w:t xml:space="preserve"> banned.</w:t>
      </w:r>
      <w:r w:rsidR="00CC279B">
        <w:t xml:space="preserve"> </w:t>
      </w:r>
    </w:p>
    <w:p w14:paraId="06BB8493" w14:textId="0EDEBA23" w:rsidR="007E4F2E" w:rsidRDefault="007E4F2E" w:rsidP="007E4F2E">
      <w:r w:rsidRPr="00484563">
        <w:t xml:space="preserve">The Minister for Communications is </w:t>
      </w:r>
      <w:r>
        <w:t xml:space="preserve">also </w:t>
      </w:r>
      <w:r w:rsidRPr="00484563">
        <w:t>able to make legislative instruments to extend this ban to</w:t>
      </w:r>
      <w:r w:rsidR="00AE16B9">
        <w:t> </w:t>
      </w:r>
      <w:r w:rsidRPr="00484563">
        <w:t>new types of credit products that may be introduced to the market over time. This will enable an</w:t>
      </w:r>
      <w:r w:rsidR="00AE16B9">
        <w:t> </w:t>
      </w:r>
      <w:r w:rsidRPr="00484563">
        <w:t xml:space="preserve">expedient response to address problematic payment methods that </w:t>
      </w:r>
      <w:r w:rsidR="004240E7">
        <w:t xml:space="preserve">may </w:t>
      </w:r>
      <w:r w:rsidRPr="00484563">
        <w:t>become available in the future.</w:t>
      </w:r>
    </w:p>
    <w:p w14:paraId="4818DBC6" w14:textId="4409C399" w:rsidR="007E4F2E" w:rsidRPr="007E4F2E" w:rsidRDefault="007E4F2E" w:rsidP="007E4F2E">
      <w:r>
        <w:t xml:space="preserve">A statutory review of the credit card ban is </w:t>
      </w:r>
      <w:r w:rsidR="00FC14AF">
        <w:t xml:space="preserve">due to commence in June 2026 </w:t>
      </w:r>
      <w:r w:rsidR="00CC279B">
        <w:t>and will</w:t>
      </w:r>
      <w:r w:rsidR="00FC14AF">
        <w:t xml:space="preserve"> consider the effectiveness of the ban</w:t>
      </w:r>
      <w:r w:rsidR="00CC279B">
        <w:t xml:space="preserve"> since its implementation</w:t>
      </w:r>
      <w:r w:rsidR="00FC14AF">
        <w:t>, and ensure the ban is operating as intended.</w:t>
      </w:r>
    </w:p>
    <w:p w14:paraId="1B76E3B7" w14:textId="3F47FF45" w:rsidR="0002694C" w:rsidRPr="0041452F" w:rsidRDefault="0002694C" w:rsidP="0002694C">
      <w:pPr>
        <w:pStyle w:val="Heading3"/>
        <w:rPr>
          <w:color w:val="323E4F" w:themeColor="text2" w:themeShade="BF"/>
        </w:rPr>
      </w:pPr>
      <w:r w:rsidRPr="0041452F">
        <w:rPr>
          <w:color w:val="323E4F" w:themeColor="text2" w:themeShade="BF"/>
        </w:rPr>
        <w:lastRenderedPageBreak/>
        <w:t>Expand</w:t>
      </w:r>
      <w:r w:rsidR="001F030D">
        <w:rPr>
          <w:color w:val="323E4F" w:themeColor="text2" w:themeShade="BF"/>
        </w:rPr>
        <w:t>ing</w:t>
      </w:r>
      <w:r w:rsidRPr="0041452F">
        <w:rPr>
          <w:color w:val="323E4F" w:themeColor="text2" w:themeShade="BF"/>
        </w:rPr>
        <w:t xml:space="preserve"> financial counselling support for gambling </w:t>
      </w:r>
    </w:p>
    <w:p w14:paraId="03145A5F" w14:textId="746FA07B" w:rsidR="003C38EC" w:rsidRPr="003C38EC" w:rsidRDefault="003C38EC" w:rsidP="003C38EC">
      <w:r w:rsidRPr="003C38EC">
        <w:t>Financial counselling services</w:t>
      </w:r>
      <w:r w:rsidRPr="003C38EC" w:rsidDel="000C083F">
        <w:t xml:space="preserve"> </w:t>
      </w:r>
      <w:r w:rsidRPr="003C38EC">
        <w:t>are seeing the increasingly complex and far-reaching impacts of</w:t>
      </w:r>
      <w:r w:rsidR="007875AA">
        <w:t> </w:t>
      </w:r>
      <w:r w:rsidRPr="003C38EC">
        <w:t xml:space="preserve">gambling harm. The </w:t>
      </w:r>
      <w:r w:rsidR="003A5513">
        <w:t>G</w:t>
      </w:r>
      <w:r w:rsidRPr="003C38EC">
        <w:t xml:space="preserve">overnment recognises there is a need for more investment in prevention and early intervention programs alongside </w:t>
      </w:r>
      <w:r w:rsidR="008D2CCC">
        <w:t xml:space="preserve">the </w:t>
      </w:r>
      <w:r w:rsidRPr="003C38EC">
        <w:t xml:space="preserve">upskilling of qualified staff to increase </w:t>
      </w:r>
      <w:r w:rsidR="008D2CCC">
        <w:t xml:space="preserve">the </w:t>
      </w:r>
      <w:r w:rsidRPr="003C38EC">
        <w:t>availability of specialist services.</w:t>
      </w:r>
    </w:p>
    <w:p w14:paraId="3EDB9CBE" w14:textId="77777777" w:rsidR="003C38EC" w:rsidRPr="003C38EC" w:rsidRDefault="003C38EC" w:rsidP="003C38EC">
      <w:r w:rsidRPr="003C38EC">
        <w:t xml:space="preserve">To further support those who are experiencing gambling harm, the Government will expand the reach and availability of Commonwealth-funded financial counselling services under the Financial Counselling for Gambling program. This program provides specialised financial counselling services for people who are experiencing financial hardship </w:t>
      </w:r>
      <w:proofErr w:type="gramStart"/>
      <w:r w:rsidRPr="003C38EC">
        <w:t>as a result of</w:t>
      </w:r>
      <w:proofErr w:type="gramEnd"/>
      <w:r w:rsidRPr="003C38EC">
        <w:t xml:space="preserve"> gambling </w:t>
      </w:r>
      <w:proofErr w:type="gramStart"/>
      <w:r w:rsidRPr="003C38EC">
        <w:t>harm, and</w:t>
      </w:r>
      <w:proofErr w:type="gramEnd"/>
      <w:r w:rsidRPr="003C38EC">
        <w:t> supports them to make informed choices and build long-term financial capability. This expansion will increase the accessibility of services, including in new locations, doubling the number of people already supported through this program each year.</w:t>
      </w:r>
    </w:p>
    <w:p w14:paraId="0A1901A4" w14:textId="77777777" w:rsidR="003C38EC" w:rsidRDefault="003C38EC" w:rsidP="003C38EC">
      <w:r w:rsidRPr="003C38EC">
        <w:t>Funding for targeted community education initiatives will also increase awareness of gambling harm, from any form of gambling, and seek to build workforce capability through scholarships and training to support the longer-term sustainability of the financial counselling workforce, including specialist gambling financial counsellors.</w:t>
      </w:r>
    </w:p>
    <w:p w14:paraId="34282BAE" w14:textId="7882C63C" w:rsidR="00C84139" w:rsidRPr="0041452F" w:rsidRDefault="00C84139" w:rsidP="00C84139">
      <w:pPr>
        <w:pStyle w:val="Heading3"/>
        <w:rPr>
          <w:color w:val="323E4F" w:themeColor="text2" w:themeShade="BF"/>
        </w:rPr>
      </w:pPr>
      <w:r w:rsidRPr="0041452F">
        <w:rPr>
          <w:color w:val="323E4F" w:themeColor="text2" w:themeShade="BF"/>
        </w:rPr>
        <w:t xml:space="preserve">Increasing public awareness of online gambling harms </w:t>
      </w:r>
    </w:p>
    <w:p w14:paraId="787F2B7F" w14:textId="77777777" w:rsidR="003C38EC" w:rsidRPr="003C38EC" w:rsidRDefault="003C38EC" w:rsidP="003C38EC">
      <w:r w:rsidRPr="003C38EC">
        <w:t>Evidence shows the number of Australians at risk of gambling harm is increasing and a lack of awareness and stigma are barriers to help-seeking.</w:t>
      </w:r>
    </w:p>
    <w:p w14:paraId="41B4A3E4" w14:textId="77777777" w:rsidR="003C38EC" w:rsidRPr="003C38EC" w:rsidRDefault="003C38EC" w:rsidP="003C38EC">
      <w:r w:rsidRPr="003C38EC">
        <w:t>The Government recognises that increasing awareness of the harms of online gambling, alongside improved access to support, can strengthen harm</w:t>
      </w:r>
      <w:r w:rsidRPr="003C38EC">
        <w:noBreakHyphen/>
        <w:t xml:space="preserve">minimisation efforts nationwide. </w:t>
      </w:r>
    </w:p>
    <w:p w14:paraId="4A004C4D" w14:textId="77777777" w:rsidR="003C38EC" w:rsidRPr="003C38EC" w:rsidRDefault="003C38EC" w:rsidP="003C38EC">
      <w:r w:rsidRPr="003C38EC">
        <w:t>A national online gambling digital public awareness and education campaign will help drive greater understanding of the risks and harms of online gambling and seek to counter the harmful messages of gambling advertising.</w:t>
      </w:r>
    </w:p>
    <w:p w14:paraId="087C0416" w14:textId="39DC22D5" w:rsidR="003C38EC" w:rsidRPr="00E21CF2" w:rsidRDefault="003C38EC" w:rsidP="003C38EC">
      <w:r w:rsidRPr="003C38EC">
        <w:t>The Government will fund a national online gambling public awareness and education campaign, informed by research and focused primarily on those at greatest risk, which are anticipated to be young men (aged 18-34), First Nations and Culturally and Linguistically Diverse communities. The</w:t>
      </w:r>
      <w:r w:rsidR="003A5513">
        <w:t> </w:t>
      </w:r>
      <w:r w:rsidRPr="003C38EC">
        <w:t>campaign will communicate the risks and harms of gambling, encourage safer gambling behaviours, promote help-seeking and reduce stigma associated with gambling harm.</w:t>
      </w:r>
    </w:p>
    <w:p w14:paraId="4CBF5174" w14:textId="060A6876" w:rsidR="001F030D" w:rsidRPr="0041452F" w:rsidRDefault="001F030D" w:rsidP="001F030D">
      <w:pPr>
        <w:pStyle w:val="Heading3"/>
        <w:rPr>
          <w:color w:val="323E4F" w:themeColor="text2" w:themeShade="BF"/>
        </w:rPr>
      </w:pPr>
      <w:r>
        <w:rPr>
          <w:color w:val="323E4F" w:themeColor="text2" w:themeShade="BF"/>
        </w:rPr>
        <w:t>Making match-fixing criminal offences consistent across Australia</w:t>
      </w:r>
    </w:p>
    <w:p w14:paraId="2A6820F3" w14:textId="77777777" w:rsidR="001F030D" w:rsidRPr="00D26F25" w:rsidRDefault="001F030D" w:rsidP="001F030D">
      <w:r>
        <w:t>Illegal</w:t>
      </w:r>
      <w:r w:rsidRPr="00D26F25">
        <w:t xml:space="preserve"> offshore </w:t>
      </w:r>
      <w:r>
        <w:t xml:space="preserve">gambling </w:t>
      </w:r>
      <w:r w:rsidRPr="00D26F25">
        <w:t>sites do not participate in Australia’s sporting integrity arrangements, raising further risks of match fixing and competition manipulation.</w:t>
      </w:r>
    </w:p>
    <w:p w14:paraId="77C4C8C4" w14:textId="77777777" w:rsidR="001F030D" w:rsidRDefault="001F030D" w:rsidP="001F030D">
      <w:r>
        <w:t xml:space="preserve">The Government will progress work to define match fixing as an offence under the Commonwealth Criminal Code, consistent with our commitment under the </w:t>
      </w:r>
      <w:r w:rsidRPr="00294A9A">
        <w:t>Council of Europe Convention on the Manipulation of Sports</w:t>
      </w:r>
      <w:r>
        <w:t xml:space="preserve"> </w:t>
      </w:r>
      <w:r w:rsidRPr="00294A9A">
        <w:t>Competitions</w:t>
      </w:r>
      <w:r>
        <w:t xml:space="preserve"> </w:t>
      </w:r>
      <w:r w:rsidRPr="00294A9A">
        <w:t>(Macolin</w:t>
      </w:r>
      <w:r>
        <w:t xml:space="preserve"> </w:t>
      </w:r>
      <w:r w:rsidRPr="00294A9A">
        <w:t>Convention)</w:t>
      </w:r>
      <w:r>
        <w:t xml:space="preserve">. </w:t>
      </w:r>
    </w:p>
    <w:p w14:paraId="5356F3C6" w14:textId="7ABD8191" w:rsidR="001F030D" w:rsidRDefault="001F030D" w:rsidP="001F030D">
      <w:r>
        <w:t xml:space="preserve">This change will provide the Government </w:t>
      </w:r>
      <w:r w:rsidR="008D2CCC">
        <w:t xml:space="preserve">with </w:t>
      </w:r>
      <w:r>
        <w:t xml:space="preserve">the power to investigate and prosecute the corrupt manipulation of Australian sporting competitions. </w:t>
      </w:r>
    </w:p>
    <w:p w14:paraId="49D2D469" w14:textId="77777777" w:rsidR="001F030D" w:rsidRDefault="001F030D" w:rsidP="001F030D">
      <w:r w:rsidRPr="001C2779">
        <w:t>In addition to direct benefits for the integrity of domestic sporting competitions, these changes have the potential to reduce gambling harm through hardening of sport as a target for criminal infiltration.</w:t>
      </w:r>
    </w:p>
    <w:p w14:paraId="40DFE61C" w14:textId="192A2488" w:rsidR="00484563" w:rsidRDefault="00484563" w:rsidP="00484563">
      <w:pPr>
        <w:pStyle w:val="Heading3"/>
        <w:rPr>
          <w:color w:val="323E4F" w:themeColor="text2" w:themeShade="BF"/>
        </w:rPr>
      </w:pPr>
      <w:r>
        <w:rPr>
          <w:color w:val="323E4F" w:themeColor="text2" w:themeShade="BF"/>
        </w:rPr>
        <w:lastRenderedPageBreak/>
        <w:t>Mandatory minimum c</w:t>
      </w:r>
      <w:r w:rsidRPr="00484563">
        <w:rPr>
          <w:color w:val="323E4F" w:themeColor="text2" w:themeShade="BF"/>
        </w:rPr>
        <w:t>lassification</w:t>
      </w:r>
      <w:r>
        <w:rPr>
          <w:color w:val="323E4F" w:themeColor="text2" w:themeShade="BF"/>
        </w:rPr>
        <w:t>s for gambling-like content</w:t>
      </w:r>
    </w:p>
    <w:p w14:paraId="045DDCCA" w14:textId="55DC8EBD" w:rsidR="00D03A3C" w:rsidRDefault="00D03A3C" w:rsidP="00D03A3C">
      <w:r w:rsidRPr="00BC72D1">
        <w:t>On 23 September 2023, the Government announced the introduction of new mandatory minimum classifications for computer games containing gambling</w:t>
      </w:r>
      <w:r>
        <w:noBreakHyphen/>
      </w:r>
      <w:r w:rsidRPr="00BC72D1">
        <w:t>like content, in</w:t>
      </w:r>
      <w:r>
        <w:t> </w:t>
      </w:r>
      <w:r w:rsidRPr="00BC72D1">
        <w:t xml:space="preserve">particular simulated gambling or paid loot boxes. </w:t>
      </w:r>
      <w:r w:rsidR="00C12318">
        <w:t>These changes a</w:t>
      </w:r>
      <w:r w:rsidR="00C12318" w:rsidRPr="00C12318">
        <w:t xml:space="preserve">im to protect children and young people from potential harms associated with exposure to gambling-like </w:t>
      </w:r>
      <w:r w:rsidR="00C12318">
        <w:t>content.</w:t>
      </w:r>
    </w:p>
    <w:p w14:paraId="616DFD3C" w14:textId="53C996C3" w:rsidR="00D03A3C" w:rsidRPr="00BC72D1" w:rsidRDefault="00D03A3C" w:rsidP="00D03A3C">
      <w:r w:rsidRPr="00D03A3C">
        <w:t>The new mandatory minimum classifications came into force in September 2024 and introduced a</w:t>
      </w:r>
      <w:r w:rsidR="007875AA">
        <w:t> </w:t>
      </w:r>
      <w:r w:rsidRPr="00D03A3C">
        <w:t>classification of:</w:t>
      </w:r>
    </w:p>
    <w:p w14:paraId="5DB315A5" w14:textId="1CA547BF" w:rsidR="00D03A3C" w:rsidRPr="002B3D3B" w:rsidRDefault="00D03A3C" w:rsidP="00D03A3C">
      <w:pPr>
        <w:pStyle w:val="ListParagraph"/>
        <w:numPr>
          <w:ilvl w:val="0"/>
          <w:numId w:val="22"/>
        </w:numPr>
        <w:spacing w:after="120"/>
      </w:pPr>
      <w:r w:rsidRPr="002B3D3B">
        <w:t>R18+ (Restricted) for games with ‘simulated gambling’, which legally restricts access to</w:t>
      </w:r>
      <w:r w:rsidR="007D2F31">
        <w:t> </w:t>
      </w:r>
      <w:r w:rsidRPr="002B3D3B">
        <w:t>persons aged 18 and over, aligning with age restrictions for real-world gambling</w:t>
      </w:r>
      <w:r>
        <w:t>, and</w:t>
      </w:r>
    </w:p>
    <w:p w14:paraId="3A525467" w14:textId="095CCC78" w:rsidR="00D03A3C" w:rsidRPr="00354EAE" w:rsidRDefault="00D03A3C" w:rsidP="00D03A3C">
      <w:pPr>
        <w:pStyle w:val="ListParagraph"/>
        <w:numPr>
          <w:ilvl w:val="0"/>
          <w:numId w:val="22"/>
        </w:numPr>
        <w:spacing w:after="120"/>
      </w:pPr>
      <w:r w:rsidRPr="002B3D3B">
        <w:t>M (Mature) rating for games containing ‘loot boxes’ that can b</w:t>
      </w:r>
      <w:r>
        <w:t xml:space="preserve">e </w:t>
      </w:r>
      <w:r w:rsidRPr="002B3D3B">
        <w:t>purchased</w:t>
      </w:r>
      <w:r>
        <w:t xml:space="preserve">, </w:t>
      </w:r>
      <w:r w:rsidRPr="002B3D3B">
        <w:t>which</w:t>
      </w:r>
      <w:r>
        <w:t xml:space="preserve"> </w:t>
      </w:r>
      <w:r w:rsidRPr="002B3D3B">
        <w:t>highlights the risks that parents and carers should consider before allowing children in their care to engage with them. </w:t>
      </w:r>
    </w:p>
    <w:p w14:paraId="29BE76DC" w14:textId="16E5C076" w:rsidR="008D2CCC" w:rsidRDefault="00484563" w:rsidP="00D03A3C">
      <w:r w:rsidRPr="00396C4B">
        <w:t>All games classified after 22 September 2024 that contain simulated gambling</w:t>
      </w:r>
      <w:r w:rsidR="00D03A3C">
        <w:t xml:space="preserve"> are </w:t>
      </w:r>
      <w:r w:rsidRPr="00396C4B">
        <w:t>also</w:t>
      </w:r>
      <w:r>
        <w:t> </w:t>
      </w:r>
      <w:r w:rsidRPr="00396C4B">
        <w:t>required to</w:t>
      </w:r>
      <w:r w:rsidR="007D2F31">
        <w:t> </w:t>
      </w:r>
      <w:r w:rsidRPr="00396C4B">
        <w:t xml:space="preserve">display consumer </w:t>
      </w:r>
      <w:r w:rsidRPr="00D03A3C">
        <w:t>advice of ‘high impact simulated</w:t>
      </w:r>
      <w:r w:rsidRPr="00396C4B">
        <w:t xml:space="preserve"> gambling’. </w:t>
      </w:r>
    </w:p>
    <w:p w14:paraId="453BED52" w14:textId="530F7E0D" w:rsidR="00BA4186" w:rsidRPr="00BA4186" w:rsidRDefault="00484563" w:rsidP="00BA4186">
      <w:r w:rsidRPr="00396C4B">
        <w:t>In addition, the</w:t>
      </w:r>
      <w:r>
        <w:t> </w:t>
      </w:r>
      <w:r w:rsidRPr="00396C4B">
        <w:t xml:space="preserve">Classification Board has updated their consumer advice so that games </w:t>
      </w:r>
      <w:r>
        <w:t>that</w:t>
      </w:r>
      <w:r w:rsidRPr="00396C4B">
        <w:t xml:space="preserve"> contain paid loot boxes and other in</w:t>
      </w:r>
      <w:r>
        <w:noBreakHyphen/>
      </w:r>
      <w:r w:rsidRPr="00396C4B">
        <w:t>game purchases linked to elements of chance will display consumer advice of</w:t>
      </w:r>
      <w:r>
        <w:t> </w:t>
      </w:r>
      <w:r w:rsidR="00BE5DB8">
        <w:t>‘</w:t>
      </w:r>
      <w:r w:rsidRPr="00396C4B">
        <w:t>chance</w:t>
      </w:r>
      <w:r>
        <w:noBreakHyphen/>
      </w:r>
      <w:r w:rsidRPr="00396C4B">
        <w:t>based in</w:t>
      </w:r>
      <w:r>
        <w:noBreakHyphen/>
      </w:r>
      <w:r w:rsidRPr="00396C4B">
        <w:t>game purchases</w:t>
      </w:r>
      <w:r w:rsidR="008D2CCC">
        <w:t>’</w:t>
      </w:r>
      <w:r w:rsidRPr="00396C4B">
        <w:t>.</w:t>
      </w:r>
    </w:p>
    <w:sectPr w:rsidR="00BA4186" w:rsidRPr="00BA418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EEEC" w14:textId="77777777" w:rsidR="003A0938" w:rsidRDefault="003A0938" w:rsidP="009F2249">
      <w:pPr>
        <w:spacing w:after="0"/>
      </w:pPr>
      <w:r>
        <w:separator/>
      </w:r>
    </w:p>
  </w:endnote>
  <w:endnote w:type="continuationSeparator" w:id="0">
    <w:p w14:paraId="5DEA8EBA" w14:textId="77777777" w:rsidR="003A0938" w:rsidRDefault="003A0938" w:rsidP="009F22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04A2" w14:textId="1111A569" w:rsidR="009F2249" w:rsidRDefault="009F2249">
    <w:pPr>
      <w:pStyle w:val="Footer"/>
    </w:pPr>
    <w:r>
      <w:rPr>
        <w:noProof/>
      </w:rPr>
      <mc:AlternateContent>
        <mc:Choice Requires="wps">
          <w:drawing>
            <wp:anchor distT="0" distB="0" distL="0" distR="0" simplePos="0" relativeHeight="251658244" behindDoc="0" locked="0" layoutInCell="1" allowOverlap="1" wp14:anchorId="6D0373B9" wp14:editId="42A64ACD">
              <wp:simplePos x="635" y="635"/>
              <wp:positionH relativeFrom="page">
                <wp:align>center</wp:align>
              </wp:positionH>
              <wp:positionV relativeFrom="page">
                <wp:align>bottom</wp:align>
              </wp:positionV>
              <wp:extent cx="726440" cy="407670"/>
              <wp:effectExtent l="0" t="0" r="16510" b="0"/>
              <wp:wrapNone/>
              <wp:docPr id="1108731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ACE1A47" w14:textId="4FD31A7E"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373B9"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7ACE1A47" w14:textId="4FD31A7E"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CBA8" w14:textId="3CF0F3A6" w:rsidR="009F2249" w:rsidRDefault="009F2249">
    <w:pPr>
      <w:pStyle w:val="Footer"/>
    </w:pPr>
    <w:r>
      <w:rPr>
        <w:noProof/>
      </w:rPr>
      <mc:AlternateContent>
        <mc:Choice Requires="wps">
          <w:drawing>
            <wp:anchor distT="0" distB="0" distL="0" distR="0" simplePos="0" relativeHeight="251658243" behindDoc="0" locked="0" layoutInCell="1" allowOverlap="1" wp14:anchorId="02BFE9C5" wp14:editId="17BE87A5">
              <wp:simplePos x="635" y="635"/>
              <wp:positionH relativeFrom="page">
                <wp:align>center</wp:align>
              </wp:positionH>
              <wp:positionV relativeFrom="page">
                <wp:align>bottom</wp:align>
              </wp:positionV>
              <wp:extent cx="726440" cy="407670"/>
              <wp:effectExtent l="0" t="0" r="16510" b="0"/>
              <wp:wrapNone/>
              <wp:docPr id="1631229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4F8111" w14:textId="3E171E27"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FE9C5" id="_x0000_t202" coordsize="21600,21600" o:spt="202" path="m,l,21600r21600,l21600,xe">
              <v:stroke joinstyle="miter"/>
              <v:path gradientshapeok="t" o:connecttype="rect"/>
            </v:shapetype>
            <v:shape id="Text Box 4" o:spid="_x0000_s1029" type="#_x0000_t202" alt="OFFICIAL" style="position:absolute;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0D4F8111" w14:textId="3E171E27"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625149"/>
      <w:docPartObj>
        <w:docPartGallery w:val="Page Numbers (Bottom of Page)"/>
        <w:docPartUnique/>
      </w:docPartObj>
    </w:sdtPr>
    <w:sdtEndPr>
      <w:rPr>
        <w:noProof/>
      </w:rPr>
    </w:sdtEndPr>
    <w:sdtContent>
      <w:p w14:paraId="6343C35F" w14:textId="61F7C33F" w:rsidR="00D11D15" w:rsidRDefault="00D11D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4BDF27" w14:textId="5EF11F1F" w:rsidR="00354EAE" w:rsidRPr="00AE7F84" w:rsidRDefault="00354EAE" w:rsidP="00EC64EE">
    <w:pPr>
      <w:pStyle w:val="Header"/>
      <w:rPr>
        <w:rStyle w:val="ResponseParagraphListparagraphChar"/>
        <w:rFonts w:ascii="Arial" w:eastAsiaTheme="minorHAnsi" w:hAnsi="Arial" w:cs="Arial"/>
        <w:b/>
        <w:color w:val="FF0000"/>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DCE0" w14:textId="77777777" w:rsidR="003A0938" w:rsidRDefault="003A0938" w:rsidP="009F2249">
      <w:pPr>
        <w:spacing w:after="0"/>
      </w:pPr>
      <w:r>
        <w:separator/>
      </w:r>
    </w:p>
  </w:footnote>
  <w:footnote w:type="continuationSeparator" w:id="0">
    <w:p w14:paraId="1ED6E4A6" w14:textId="77777777" w:rsidR="003A0938" w:rsidRDefault="003A0938" w:rsidP="009F2249">
      <w:pPr>
        <w:spacing w:after="0"/>
      </w:pPr>
      <w:r>
        <w:continuationSeparator/>
      </w:r>
    </w:p>
  </w:footnote>
  <w:footnote w:id="1">
    <w:p w14:paraId="0C6A39FD" w14:textId="13749271" w:rsidR="00B66AB6" w:rsidRDefault="00B66AB6">
      <w:pPr>
        <w:pStyle w:val="FootnoteText"/>
      </w:pPr>
      <w:r>
        <w:rPr>
          <w:rStyle w:val="FootnoteReference"/>
        </w:rPr>
        <w:footnoteRef/>
      </w:r>
      <w:r>
        <w:t xml:space="preserve"> </w:t>
      </w:r>
      <w:r w:rsidRPr="00B66AB6">
        <w:t>Goodwin, B. C., Browne, M., Rockloff, M., &amp; Rose, J. (2017). A typical problem gambler affects six others. </w:t>
      </w:r>
      <w:r w:rsidRPr="00B66AB6">
        <w:rPr>
          <w:i/>
          <w:iCs/>
        </w:rPr>
        <w:t>International Gambling Studies</w:t>
      </w:r>
      <w:r w:rsidRPr="00B66AB6">
        <w:t>, </w:t>
      </w:r>
      <w:r w:rsidRPr="00B66AB6">
        <w:rPr>
          <w:i/>
          <w:iCs/>
        </w:rPr>
        <w:t>17</w:t>
      </w:r>
      <w:r w:rsidRPr="00B66AB6">
        <w:t>(2), 276–289.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0748" w14:textId="03BCF3C1" w:rsidR="009F2249" w:rsidRDefault="009F2249">
    <w:pPr>
      <w:pStyle w:val="Header"/>
    </w:pPr>
    <w:r>
      <w:rPr>
        <w:noProof/>
      </w:rPr>
      <mc:AlternateContent>
        <mc:Choice Requires="wps">
          <w:drawing>
            <wp:anchor distT="0" distB="0" distL="0" distR="0" simplePos="0" relativeHeight="251658241" behindDoc="0" locked="0" layoutInCell="1" allowOverlap="1" wp14:anchorId="02DFDF2D" wp14:editId="47F3278E">
              <wp:simplePos x="635" y="635"/>
              <wp:positionH relativeFrom="page">
                <wp:align>center</wp:align>
              </wp:positionH>
              <wp:positionV relativeFrom="page">
                <wp:align>top</wp:align>
              </wp:positionV>
              <wp:extent cx="726440" cy="407670"/>
              <wp:effectExtent l="0" t="0" r="16510" b="11430"/>
              <wp:wrapNone/>
              <wp:docPr id="5668823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CA4C77B" w14:textId="48857FBE"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DFDF2D"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2CA4C77B" w14:textId="48857FBE"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8C1C" w14:textId="38E7134D" w:rsidR="009F2249" w:rsidRDefault="009F2249">
    <w:pPr>
      <w:pStyle w:val="Header"/>
    </w:pPr>
    <w:r>
      <w:rPr>
        <w:noProof/>
      </w:rPr>
      <mc:AlternateContent>
        <mc:Choice Requires="wps">
          <w:drawing>
            <wp:anchor distT="0" distB="0" distL="0" distR="0" simplePos="0" relativeHeight="251658240" behindDoc="0" locked="0" layoutInCell="1" allowOverlap="1" wp14:anchorId="13DC3396" wp14:editId="5A3611BD">
              <wp:simplePos x="635" y="635"/>
              <wp:positionH relativeFrom="page">
                <wp:align>center</wp:align>
              </wp:positionH>
              <wp:positionV relativeFrom="page">
                <wp:align>top</wp:align>
              </wp:positionV>
              <wp:extent cx="726440" cy="407670"/>
              <wp:effectExtent l="0" t="0" r="16510" b="11430"/>
              <wp:wrapNone/>
              <wp:docPr id="2052058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EF412CF" w14:textId="34825D20"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C3396" id="_x0000_t202" coordsize="21600,21600" o:spt="202" path="m,l,21600r21600,l21600,xe">
              <v:stroke joinstyle="miter"/>
              <v:path gradientshapeok="t" o:connecttype="rect"/>
            </v:shapetype>
            <v:shape id="Text Box 1" o:spid="_x0000_s1028"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3EF412CF" w14:textId="34825D20" w:rsidR="009F2249" w:rsidRPr="009F2249" w:rsidRDefault="009F2249" w:rsidP="009F2249">
                    <w:pPr>
                      <w:spacing w:after="0"/>
                      <w:rPr>
                        <w:rFonts w:ascii="Aptos" w:eastAsia="Aptos" w:hAnsi="Aptos" w:cs="Aptos"/>
                        <w:noProof/>
                        <w:color w:val="FF0000"/>
                        <w:sz w:val="28"/>
                        <w:szCs w:val="28"/>
                      </w:rPr>
                    </w:pPr>
                    <w:r w:rsidRPr="009F224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820"/>
    <w:multiLevelType w:val="hybridMultilevel"/>
    <w:tmpl w:val="E2C2A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D323C9"/>
    <w:multiLevelType w:val="hybridMultilevel"/>
    <w:tmpl w:val="5AB8E26C"/>
    <w:lvl w:ilvl="0" w:tplc="3C20F08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6A30D1"/>
    <w:multiLevelType w:val="multilevel"/>
    <w:tmpl w:val="486492A2"/>
    <w:lvl w:ilvl="0">
      <w:numFmt w:val="bullet"/>
      <w:lvlText w:val="•"/>
      <w:lvlJc w:val="left"/>
      <w:pPr>
        <w:ind w:left="369" w:hanging="369"/>
      </w:pPr>
      <w:rPr>
        <w:rFonts w:ascii="Times New Roman" w:eastAsia="Times New Roman" w:hAnsi="Times New Roman" w:cs="Times New Roman" w:hint="default"/>
        <w:sz w:val="32"/>
      </w:rPr>
    </w:lvl>
    <w:lvl w:ilvl="1">
      <w:start w:val="1"/>
      <w:numFmt w:val="bullet"/>
      <w:lvlText w:val=""/>
      <w:lvlJc w:val="left"/>
      <w:pPr>
        <w:ind w:left="737" w:hanging="368"/>
      </w:pPr>
      <w:rPr>
        <w:rFonts w:ascii="Wingdings" w:hAnsi="Wingding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14A12408"/>
    <w:multiLevelType w:val="multilevel"/>
    <w:tmpl w:val="1136A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A0F31"/>
    <w:multiLevelType w:val="multilevel"/>
    <w:tmpl w:val="486492A2"/>
    <w:lvl w:ilvl="0">
      <w:numFmt w:val="bullet"/>
      <w:lvlText w:val="•"/>
      <w:lvlJc w:val="left"/>
      <w:pPr>
        <w:ind w:left="369" w:hanging="369"/>
      </w:pPr>
      <w:rPr>
        <w:rFonts w:ascii="Times New Roman" w:eastAsia="Times New Roman" w:hAnsi="Times New Roman" w:cs="Times New Roman" w:hint="default"/>
        <w:sz w:val="32"/>
      </w:rPr>
    </w:lvl>
    <w:lvl w:ilvl="1">
      <w:start w:val="1"/>
      <w:numFmt w:val="bullet"/>
      <w:lvlText w:val=""/>
      <w:lvlJc w:val="left"/>
      <w:pPr>
        <w:ind w:left="737" w:hanging="368"/>
      </w:pPr>
      <w:rPr>
        <w:rFonts w:ascii="Wingdings" w:hAnsi="Wingding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5" w15:restartNumberingAfterBreak="0">
    <w:nsid w:val="1BE550BC"/>
    <w:multiLevelType w:val="hybridMultilevel"/>
    <w:tmpl w:val="F40651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C2666C"/>
    <w:multiLevelType w:val="hybridMultilevel"/>
    <w:tmpl w:val="35705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501455D"/>
    <w:multiLevelType w:val="multilevel"/>
    <w:tmpl w:val="91EE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16E65"/>
    <w:multiLevelType w:val="hybridMultilevel"/>
    <w:tmpl w:val="5A421248"/>
    <w:lvl w:ilvl="0" w:tplc="EDA09984">
      <w:start w:val="1"/>
      <w:numFmt w:val="bullet"/>
      <w:lvlText w:val=""/>
      <w:lvlJc w:val="left"/>
      <w:pPr>
        <w:ind w:left="360" w:hanging="360"/>
      </w:pPr>
      <w:rPr>
        <w:rFonts w:ascii="Symbol" w:hAnsi="Symbol" w:hint="default"/>
      </w:rPr>
    </w:lvl>
    <w:lvl w:ilvl="1" w:tplc="D8F48A72">
      <w:start w:val="1"/>
      <w:numFmt w:val="bullet"/>
      <w:lvlText w:val="o"/>
      <w:lvlJc w:val="left"/>
      <w:pPr>
        <w:ind w:left="1080" w:hanging="360"/>
      </w:pPr>
      <w:rPr>
        <w:rFonts w:ascii="Courier New" w:hAnsi="Courier New" w:cs="Courier New" w:hint="default"/>
      </w:rPr>
    </w:lvl>
    <w:lvl w:ilvl="2" w:tplc="B4D60AEC">
      <w:start w:val="1"/>
      <w:numFmt w:val="bullet"/>
      <w:lvlText w:val=""/>
      <w:lvlJc w:val="left"/>
      <w:pPr>
        <w:ind w:left="1559" w:hanging="360"/>
      </w:pPr>
      <w:rPr>
        <w:rFonts w:ascii="Wingdings" w:hAnsi="Wingdings" w:hint="default"/>
      </w:rPr>
    </w:lvl>
    <w:lvl w:ilvl="3" w:tplc="7804D1E2">
      <w:start w:val="1"/>
      <w:numFmt w:val="bullet"/>
      <w:lvlText w:val=""/>
      <w:lvlJc w:val="left"/>
      <w:pPr>
        <w:ind w:left="2520" w:hanging="360"/>
      </w:pPr>
      <w:rPr>
        <w:rFonts w:ascii="Symbol" w:hAnsi="Symbol" w:hint="default"/>
      </w:rPr>
    </w:lvl>
    <w:lvl w:ilvl="4" w:tplc="52E0ACA8">
      <w:start w:val="1"/>
      <w:numFmt w:val="bullet"/>
      <w:lvlText w:val="o"/>
      <w:lvlJc w:val="left"/>
      <w:pPr>
        <w:ind w:left="3240" w:hanging="360"/>
      </w:pPr>
      <w:rPr>
        <w:rFonts w:ascii="Courier New" w:hAnsi="Courier New" w:cs="Courier New" w:hint="default"/>
      </w:rPr>
    </w:lvl>
    <w:lvl w:ilvl="5" w:tplc="27BCA98A">
      <w:start w:val="1"/>
      <w:numFmt w:val="bullet"/>
      <w:lvlText w:val=""/>
      <w:lvlJc w:val="left"/>
      <w:pPr>
        <w:ind w:left="3960" w:hanging="360"/>
      </w:pPr>
      <w:rPr>
        <w:rFonts w:ascii="Wingdings" w:hAnsi="Wingdings" w:hint="default"/>
      </w:rPr>
    </w:lvl>
    <w:lvl w:ilvl="6" w:tplc="C08C2BEE">
      <w:start w:val="1"/>
      <w:numFmt w:val="bullet"/>
      <w:lvlText w:val=""/>
      <w:lvlJc w:val="left"/>
      <w:pPr>
        <w:ind w:left="4680" w:hanging="360"/>
      </w:pPr>
      <w:rPr>
        <w:rFonts w:ascii="Symbol" w:hAnsi="Symbol" w:hint="default"/>
      </w:rPr>
    </w:lvl>
    <w:lvl w:ilvl="7" w:tplc="C38419D6">
      <w:start w:val="1"/>
      <w:numFmt w:val="bullet"/>
      <w:lvlText w:val="o"/>
      <w:lvlJc w:val="left"/>
      <w:pPr>
        <w:ind w:left="5400" w:hanging="360"/>
      </w:pPr>
      <w:rPr>
        <w:rFonts w:ascii="Courier New" w:hAnsi="Courier New" w:cs="Courier New" w:hint="default"/>
      </w:rPr>
    </w:lvl>
    <w:lvl w:ilvl="8" w:tplc="6526F038">
      <w:start w:val="1"/>
      <w:numFmt w:val="bullet"/>
      <w:lvlText w:val=""/>
      <w:lvlJc w:val="left"/>
      <w:pPr>
        <w:ind w:left="6120" w:hanging="360"/>
      </w:pPr>
      <w:rPr>
        <w:rFonts w:ascii="Wingdings" w:hAnsi="Wingdings" w:hint="default"/>
      </w:rPr>
    </w:lvl>
  </w:abstractNum>
  <w:abstractNum w:abstractNumId="10" w15:restartNumberingAfterBreak="0">
    <w:nsid w:val="339235D3"/>
    <w:multiLevelType w:val="hybridMultilevel"/>
    <w:tmpl w:val="39803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710"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2E935B2"/>
    <w:multiLevelType w:val="hybridMultilevel"/>
    <w:tmpl w:val="30904906"/>
    <w:lvl w:ilvl="0" w:tplc="3C20F088">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75D08C4"/>
    <w:multiLevelType w:val="multilevel"/>
    <w:tmpl w:val="0A1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937A9E"/>
    <w:multiLevelType w:val="hybridMultilevel"/>
    <w:tmpl w:val="AC4E9E3C"/>
    <w:styleLink w:val="BulletList"/>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A69341"/>
    <w:multiLevelType w:val="hybridMultilevel"/>
    <w:tmpl w:val="BA804AF8"/>
    <w:lvl w:ilvl="0" w:tplc="6FBCE4AA">
      <w:start w:val="1"/>
      <w:numFmt w:val="bullet"/>
      <w:lvlText w:val=""/>
      <w:lvlJc w:val="left"/>
      <w:pPr>
        <w:ind w:left="720" w:hanging="360"/>
      </w:pPr>
      <w:rPr>
        <w:rFonts w:ascii="Symbol" w:hAnsi="Symbol" w:hint="default"/>
      </w:rPr>
    </w:lvl>
    <w:lvl w:ilvl="1" w:tplc="F7C2959E">
      <w:start w:val="1"/>
      <w:numFmt w:val="bullet"/>
      <w:lvlText w:val="·"/>
      <w:lvlJc w:val="left"/>
      <w:pPr>
        <w:ind w:left="1440" w:hanging="360"/>
      </w:pPr>
      <w:rPr>
        <w:rFonts w:ascii="Symbol" w:hAnsi="Symbol" w:hint="default"/>
      </w:rPr>
    </w:lvl>
    <w:lvl w:ilvl="2" w:tplc="69323E56">
      <w:start w:val="1"/>
      <w:numFmt w:val="bullet"/>
      <w:lvlText w:val=""/>
      <w:lvlJc w:val="left"/>
      <w:pPr>
        <w:ind w:left="2160" w:hanging="360"/>
      </w:pPr>
      <w:rPr>
        <w:rFonts w:ascii="Wingdings" w:hAnsi="Wingdings" w:hint="default"/>
      </w:rPr>
    </w:lvl>
    <w:lvl w:ilvl="3" w:tplc="C49666E6">
      <w:start w:val="1"/>
      <w:numFmt w:val="bullet"/>
      <w:lvlText w:val=""/>
      <w:lvlJc w:val="left"/>
      <w:pPr>
        <w:ind w:left="2880" w:hanging="360"/>
      </w:pPr>
      <w:rPr>
        <w:rFonts w:ascii="Symbol" w:hAnsi="Symbol" w:hint="default"/>
      </w:rPr>
    </w:lvl>
    <w:lvl w:ilvl="4" w:tplc="10F4CBEA">
      <w:start w:val="1"/>
      <w:numFmt w:val="bullet"/>
      <w:lvlText w:val="o"/>
      <w:lvlJc w:val="left"/>
      <w:pPr>
        <w:ind w:left="3600" w:hanging="360"/>
      </w:pPr>
      <w:rPr>
        <w:rFonts w:ascii="Courier New" w:hAnsi="Courier New" w:cs="Times New Roman" w:hint="default"/>
      </w:rPr>
    </w:lvl>
    <w:lvl w:ilvl="5" w:tplc="52D04972">
      <w:start w:val="1"/>
      <w:numFmt w:val="bullet"/>
      <w:lvlText w:val=""/>
      <w:lvlJc w:val="left"/>
      <w:pPr>
        <w:ind w:left="4320" w:hanging="360"/>
      </w:pPr>
      <w:rPr>
        <w:rFonts w:ascii="Wingdings" w:hAnsi="Wingdings" w:hint="default"/>
      </w:rPr>
    </w:lvl>
    <w:lvl w:ilvl="6" w:tplc="1352B2E6">
      <w:start w:val="1"/>
      <w:numFmt w:val="bullet"/>
      <w:lvlText w:val=""/>
      <w:lvlJc w:val="left"/>
      <w:pPr>
        <w:ind w:left="5040" w:hanging="360"/>
      </w:pPr>
      <w:rPr>
        <w:rFonts w:ascii="Symbol" w:hAnsi="Symbol" w:hint="default"/>
      </w:rPr>
    </w:lvl>
    <w:lvl w:ilvl="7" w:tplc="C45C86AE">
      <w:start w:val="1"/>
      <w:numFmt w:val="bullet"/>
      <w:lvlText w:val="o"/>
      <w:lvlJc w:val="left"/>
      <w:pPr>
        <w:ind w:left="5760" w:hanging="360"/>
      </w:pPr>
      <w:rPr>
        <w:rFonts w:ascii="Courier New" w:hAnsi="Courier New" w:cs="Times New Roman" w:hint="default"/>
      </w:rPr>
    </w:lvl>
    <w:lvl w:ilvl="8" w:tplc="69E00C6E">
      <w:start w:val="1"/>
      <w:numFmt w:val="bullet"/>
      <w:lvlText w:val=""/>
      <w:lvlJc w:val="left"/>
      <w:pPr>
        <w:ind w:left="6480" w:hanging="360"/>
      </w:pPr>
      <w:rPr>
        <w:rFonts w:ascii="Wingdings" w:hAnsi="Wingdings" w:hint="default"/>
      </w:rPr>
    </w:lvl>
  </w:abstractNum>
  <w:abstractNum w:abstractNumId="16" w15:restartNumberingAfterBreak="0">
    <w:nsid w:val="4AD33D61"/>
    <w:multiLevelType w:val="hybridMultilevel"/>
    <w:tmpl w:val="7BFABEBE"/>
    <w:lvl w:ilvl="0" w:tplc="15C0C8EA">
      <w:start w:val="1"/>
      <w:numFmt w:val="bullet"/>
      <w:lvlText w:val=""/>
      <w:lvlJc w:val="left"/>
      <w:pPr>
        <w:ind w:left="360" w:hanging="360"/>
      </w:pPr>
      <w:rPr>
        <w:rFonts w:ascii="Symbol" w:hAnsi="Symbol" w:hint="default"/>
        <w:color w:val="auto"/>
        <w:sz w:val="24"/>
        <w:szCs w:val="24"/>
      </w:rPr>
    </w:lvl>
    <w:lvl w:ilvl="1" w:tplc="02523AFE">
      <w:start w:val="1"/>
      <w:numFmt w:val="bullet"/>
      <w:lvlText w:val=""/>
      <w:lvlJc w:val="left"/>
      <w:pPr>
        <w:ind w:left="642" w:hanging="360"/>
      </w:pPr>
      <w:rPr>
        <w:rFonts w:ascii="Wingdings" w:hAnsi="Wingdings" w:hint="default"/>
      </w:rPr>
    </w:lvl>
    <w:lvl w:ilvl="2" w:tplc="954AE138">
      <w:start w:val="1"/>
      <w:numFmt w:val="bullet"/>
      <w:lvlText w:val=""/>
      <w:lvlJc w:val="left"/>
      <w:pPr>
        <w:ind w:left="1800" w:hanging="360"/>
      </w:pPr>
      <w:rPr>
        <w:rFonts w:ascii="Wingdings" w:hAnsi="Wingdings" w:hint="default"/>
      </w:rPr>
    </w:lvl>
    <w:lvl w:ilvl="3" w:tplc="B5CE0F36">
      <w:start w:val="1"/>
      <w:numFmt w:val="bullet"/>
      <w:lvlText w:val=""/>
      <w:lvlJc w:val="left"/>
      <w:pPr>
        <w:ind w:left="2520" w:hanging="360"/>
      </w:pPr>
      <w:rPr>
        <w:rFonts w:ascii="Symbol" w:hAnsi="Symbol" w:hint="default"/>
      </w:rPr>
    </w:lvl>
    <w:lvl w:ilvl="4" w:tplc="041E684A">
      <w:start w:val="1"/>
      <w:numFmt w:val="bullet"/>
      <w:lvlText w:val="o"/>
      <w:lvlJc w:val="left"/>
      <w:pPr>
        <w:ind w:left="3240" w:hanging="360"/>
      </w:pPr>
      <w:rPr>
        <w:rFonts w:ascii="Courier New" w:hAnsi="Courier New" w:cs="Courier New" w:hint="default"/>
      </w:rPr>
    </w:lvl>
    <w:lvl w:ilvl="5" w:tplc="470AC984">
      <w:start w:val="1"/>
      <w:numFmt w:val="bullet"/>
      <w:lvlText w:val=""/>
      <w:lvlJc w:val="left"/>
      <w:pPr>
        <w:ind w:left="3960" w:hanging="360"/>
      </w:pPr>
      <w:rPr>
        <w:rFonts w:ascii="Wingdings" w:hAnsi="Wingdings" w:hint="default"/>
      </w:rPr>
    </w:lvl>
    <w:lvl w:ilvl="6" w:tplc="4EE29CCE">
      <w:start w:val="1"/>
      <w:numFmt w:val="bullet"/>
      <w:lvlText w:val=""/>
      <w:lvlJc w:val="left"/>
      <w:pPr>
        <w:ind w:left="4680" w:hanging="360"/>
      </w:pPr>
      <w:rPr>
        <w:rFonts w:ascii="Symbol" w:hAnsi="Symbol" w:hint="default"/>
      </w:rPr>
    </w:lvl>
    <w:lvl w:ilvl="7" w:tplc="1E12D7EC">
      <w:start w:val="1"/>
      <w:numFmt w:val="bullet"/>
      <w:lvlText w:val="o"/>
      <w:lvlJc w:val="left"/>
      <w:pPr>
        <w:ind w:left="5400" w:hanging="360"/>
      </w:pPr>
      <w:rPr>
        <w:rFonts w:ascii="Courier New" w:hAnsi="Courier New" w:cs="Courier New" w:hint="default"/>
      </w:rPr>
    </w:lvl>
    <w:lvl w:ilvl="8" w:tplc="39FCDE9A">
      <w:start w:val="1"/>
      <w:numFmt w:val="bullet"/>
      <w:lvlText w:val=""/>
      <w:lvlJc w:val="left"/>
      <w:pPr>
        <w:ind w:left="6120" w:hanging="360"/>
      </w:pPr>
      <w:rPr>
        <w:rFonts w:ascii="Wingdings" w:hAnsi="Wingdings" w:hint="default"/>
      </w:rPr>
    </w:lvl>
  </w:abstractNum>
  <w:abstractNum w:abstractNumId="17" w15:restartNumberingAfterBreak="0">
    <w:nsid w:val="4D6D0A17"/>
    <w:multiLevelType w:val="multilevel"/>
    <w:tmpl w:val="99B4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C86A02"/>
    <w:multiLevelType w:val="hybridMultilevel"/>
    <w:tmpl w:val="5F54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95347"/>
    <w:multiLevelType w:val="hybridMultilevel"/>
    <w:tmpl w:val="245A1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6A5A2B"/>
    <w:multiLevelType w:val="hybridMultilevel"/>
    <w:tmpl w:val="D4CC47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A81BF5"/>
    <w:multiLevelType w:val="hybridMultilevel"/>
    <w:tmpl w:val="5C244032"/>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F478AA"/>
    <w:multiLevelType w:val="multilevel"/>
    <w:tmpl w:val="CCB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64972"/>
    <w:multiLevelType w:val="hybridMultilevel"/>
    <w:tmpl w:val="C0A63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96D570A"/>
    <w:multiLevelType w:val="hybridMultilevel"/>
    <w:tmpl w:val="DE001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FF35FB"/>
    <w:multiLevelType w:val="hybridMultilevel"/>
    <w:tmpl w:val="2786A09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F26231"/>
    <w:multiLevelType w:val="hybridMultilevel"/>
    <w:tmpl w:val="C5889A8E"/>
    <w:lvl w:ilvl="0" w:tplc="F3AA5E56">
      <w:start w:val="1"/>
      <w:numFmt w:val="bullet"/>
      <w:pStyle w:val="CABBulletList"/>
      <w:lvlText w:val=""/>
      <w:lvlJc w:val="left"/>
      <w:pPr>
        <w:ind w:left="1078" w:hanging="284"/>
      </w:pPr>
      <w:rPr>
        <w:rFonts w:ascii="Symbol" w:hAnsi="Symbol" w:hint="default"/>
        <w:color w:val="auto"/>
      </w:rPr>
    </w:lvl>
    <w:lvl w:ilvl="1" w:tplc="9BC45F1A" w:tentative="1">
      <w:start w:val="1"/>
      <w:numFmt w:val="bullet"/>
      <w:lvlText w:val="o"/>
      <w:lvlJc w:val="left"/>
      <w:pPr>
        <w:ind w:left="2234" w:hanging="360"/>
      </w:pPr>
      <w:rPr>
        <w:rFonts w:ascii="Courier New" w:hAnsi="Courier New" w:hint="default"/>
      </w:rPr>
    </w:lvl>
    <w:lvl w:ilvl="2" w:tplc="0442C806" w:tentative="1">
      <w:start w:val="1"/>
      <w:numFmt w:val="bullet"/>
      <w:lvlText w:val=""/>
      <w:lvlJc w:val="left"/>
      <w:pPr>
        <w:ind w:left="2954" w:hanging="360"/>
      </w:pPr>
      <w:rPr>
        <w:rFonts w:ascii="Wingdings" w:hAnsi="Wingdings" w:hint="default"/>
      </w:rPr>
    </w:lvl>
    <w:lvl w:ilvl="3" w:tplc="2A06AA5E" w:tentative="1">
      <w:start w:val="1"/>
      <w:numFmt w:val="bullet"/>
      <w:lvlText w:val=""/>
      <w:lvlJc w:val="left"/>
      <w:pPr>
        <w:ind w:left="3674" w:hanging="360"/>
      </w:pPr>
      <w:rPr>
        <w:rFonts w:ascii="Symbol" w:hAnsi="Symbol" w:hint="default"/>
      </w:rPr>
    </w:lvl>
    <w:lvl w:ilvl="4" w:tplc="4FC6B548" w:tentative="1">
      <w:start w:val="1"/>
      <w:numFmt w:val="bullet"/>
      <w:lvlText w:val="o"/>
      <w:lvlJc w:val="left"/>
      <w:pPr>
        <w:ind w:left="4394" w:hanging="360"/>
      </w:pPr>
      <w:rPr>
        <w:rFonts w:ascii="Courier New" w:hAnsi="Courier New" w:hint="default"/>
      </w:rPr>
    </w:lvl>
    <w:lvl w:ilvl="5" w:tplc="2806E8BC" w:tentative="1">
      <w:start w:val="1"/>
      <w:numFmt w:val="bullet"/>
      <w:lvlText w:val=""/>
      <w:lvlJc w:val="left"/>
      <w:pPr>
        <w:ind w:left="5114" w:hanging="360"/>
      </w:pPr>
      <w:rPr>
        <w:rFonts w:ascii="Wingdings" w:hAnsi="Wingdings" w:hint="default"/>
      </w:rPr>
    </w:lvl>
    <w:lvl w:ilvl="6" w:tplc="1A101BB8" w:tentative="1">
      <w:start w:val="1"/>
      <w:numFmt w:val="bullet"/>
      <w:lvlText w:val=""/>
      <w:lvlJc w:val="left"/>
      <w:pPr>
        <w:ind w:left="5834" w:hanging="360"/>
      </w:pPr>
      <w:rPr>
        <w:rFonts w:ascii="Symbol" w:hAnsi="Symbol" w:hint="default"/>
      </w:rPr>
    </w:lvl>
    <w:lvl w:ilvl="7" w:tplc="C05035FC" w:tentative="1">
      <w:start w:val="1"/>
      <w:numFmt w:val="bullet"/>
      <w:lvlText w:val="o"/>
      <w:lvlJc w:val="left"/>
      <w:pPr>
        <w:ind w:left="6554" w:hanging="360"/>
      </w:pPr>
      <w:rPr>
        <w:rFonts w:ascii="Courier New" w:hAnsi="Courier New" w:hint="default"/>
      </w:rPr>
    </w:lvl>
    <w:lvl w:ilvl="8" w:tplc="624C82F4" w:tentative="1">
      <w:start w:val="1"/>
      <w:numFmt w:val="bullet"/>
      <w:lvlText w:val=""/>
      <w:lvlJc w:val="left"/>
      <w:pPr>
        <w:ind w:left="7274" w:hanging="360"/>
      </w:pPr>
      <w:rPr>
        <w:rFonts w:ascii="Wingdings" w:hAnsi="Wingdings" w:hint="default"/>
      </w:rPr>
    </w:lvl>
  </w:abstractNum>
  <w:abstractNum w:abstractNumId="27" w15:restartNumberingAfterBreak="0">
    <w:nsid w:val="7A3766FA"/>
    <w:multiLevelType w:val="hybridMultilevel"/>
    <w:tmpl w:val="FB626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CB61AAF"/>
    <w:multiLevelType w:val="hybridMultilevel"/>
    <w:tmpl w:val="B93E0EAE"/>
    <w:lvl w:ilvl="0" w:tplc="0FF44D56">
      <w:start w:val="1"/>
      <w:numFmt w:val="bullet"/>
      <w:lvlText w:val="o"/>
      <w:lvlJc w:val="left"/>
      <w:pPr>
        <w:ind w:left="360" w:hanging="360"/>
      </w:pPr>
      <w:rPr>
        <w:rFonts w:ascii="Courier New" w:hAnsi="Courier New" w:cs="Courier New" w:hint="default"/>
        <w:color w:val="auto"/>
      </w:rPr>
    </w:lvl>
    <w:lvl w:ilvl="1" w:tplc="403226E8">
      <w:start w:val="1"/>
      <w:numFmt w:val="bullet"/>
      <w:lvlText w:val="o"/>
      <w:lvlJc w:val="left"/>
      <w:pPr>
        <w:ind w:left="642" w:hanging="360"/>
      </w:pPr>
      <w:rPr>
        <w:rFonts w:ascii="Courier New" w:hAnsi="Courier New" w:cs="Courier New" w:hint="default"/>
      </w:rPr>
    </w:lvl>
    <w:lvl w:ilvl="2" w:tplc="F6F48796">
      <w:start w:val="1"/>
      <w:numFmt w:val="bullet"/>
      <w:lvlText w:val=""/>
      <w:lvlJc w:val="left"/>
      <w:pPr>
        <w:ind w:left="1800" w:hanging="360"/>
      </w:pPr>
      <w:rPr>
        <w:rFonts w:ascii="Wingdings" w:hAnsi="Wingdings" w:hint="default"/>
      </w:rPr>
    </w:lvl>
    <w:lvl w:ilvl="3" w:tplc="2D384AD2">
      <w:start w:val="1"/>
      <w:numFmt w:val="bullet"/>
      <w:lvlText w:val=""/>
      <w:lvlJc w:val="left"/>
      <w:pPr>
        <w:ind w:left="2520" w:hanging="360"/>
      </w:pPr>
      <w:rPr>
        <w:rFonts w:ascii="Symbol" w:hAnsi="Symbol" w:hint="default"/>
      </w:rPr>
    </w:lvl>
    <w:lvl w:ilvl="4" w:tplc="F1EC6E7C">
      <w:start w:val="1"/>
      <w:numFmt w:val="bullet"/>
      <w:lvlText w:val="o"/>
      <w:lvlJc w:val="left"/>
      <w:pPr>
        <w:ind w:left="3240" w:hanging="360"/>
      </w:pPr>
      <w:rPr>
        <w:rFonts w:ascii="Courier New" w:hAnsi="Courier New" w:cs="Courier New" w:hint="default"/>
      </w:rPr>
    </w:lvl>
    <w:lvl w:ilvl="5" w:tplc="FDCAD432">
      <w:start w:val="1"/>
      <w:numFmt w:val="bullet"/>
      <w:lvlText w:val=""/>
      <w:lvlJc w:val="left"/>
      <w:pPr>
        <w:ind w:left="3960" w:hanging="360"/>
      </w:pPr>
      <w:rPr>
        <w:rFonts w:ascii="Wingdings" w:hAnsi="Wingdings" w:hint="default"/>
      </w:rPr>
    </w:lvl>
    <w:lvl w:ilvl="6" w:tplc="FF285530">
      <w:start w:val="1"/>
      <w:numFmt w:val="bullet"/>
      <w:lvlText w:val=""/>
      <w:lvlJc w:val="left"/>
      <w:pPr>
        <w:ind w:left="4680" w:hanging="360"/>
      </w:pPr>
      <w:rPr>
        <w:rFonts w:ascii="Symbol" w:hAnsi="Symbol" w:hint="default"/>
      </w:rPr>
    </w:lvl>
    <w:lvl w:ilvl="7" w:tplc="77186770">
      <w:start w:val="1"/>
      <w:numFmt w:val="bullet"/>
      <w:lvlText w:val="o"/>
      <w:lvlJc w:val="left"/>
      <w:pPr>
        <w:ind w:left="5400" w:hanging="360"/>
      </w:pPr>
      <w:rPr>
        <w:rFonts w:ascii="Courier New" w:hAnsi="Courier New" w:cs="Courier New" w:hint="default"/>
      </w:rPr>
    </w:lvl>
    <w:lvl w:ilvl="8" w:tplc="CD92FADE">
      <w:start w:val="1"/>
      <w:numFmt w:val="bullet"/>
      <w:lvlText w:val=""/>
      <w:lvlJc w:val="left"/>
      <w:pPr>
        <w:ind w:left="6120" w:hanging="360"/>
      </w:pPr>
      <w:rPr>
        <w:rFonts w:ascii="Wingdings" w:hAnsi="Wingdings" w:hint="default"/>
      </w:rPr>
    </w:lvl>
  </w:abstractNum>
  <w:num w:numId="1" w16cid:durableId="718096004">
    <w:abstractNumId w:val="7"/>
  </w:num>
  <w:num w:numId="2" w16cid:durableId="1314946319">
    <w:abstractNumId w:val="25"/>
  </w:num>
  <w:num w:numId="3" w16cid:durableId="2003004341">
    <w:abstractNumId w:val="1"/>
  </w:num>
  <w:num w:numId="4" w16cid:durableId="1919974526">
    <w:abstractNumId w:val="15"/>
  </w:num>
  <w:num w:numId="5" w16cid:durableId="1524243386">
    <w:abstractNumId w:val="12"/>
  </w:num>
  <w:num w:numId="6" w16cid:durableId="1991208151">
    <w:abstractNumId w:val="1"/>
  </w:num>
  <w:num w:numId="7" w16cid:durableId="364797152">
    <w:abstractNumId w:val="26"/>
  </w:num>
  <w:num w:numId="8" w16cid:durableId="1465276194">
    <w:abstractNumId w:val="16"/>
  </w:num>
  <w:num w:numId="9" w16cid:durableId="1895583136">
    <w:abstractNumId w:val="28"/>
  </w:num>
  <w:num w:numId="10" w16cid:durableId="112989472">
    <w:abstractNumId w:val="4"/>
  </w:num>
  <w:num w:numId="11" w16cid:durableId="2044674116">
    <w:abstractNumId w:val="17"/>
  </w:num>
  <w:num w:numId="12" w16cid:durableId="834229421">
    <w:abstractNumId w:val="8"/>
  </w:num>
  <w:num w:numId="13" w16cid:durableId="719015516">
    <w:abstractNumId w:val="23"/>
  </w:num>
  <w:num w:numId="14" w16cid:durableId="1569412570">
    <w:abstractNumId w:val="2"/>
  </w:num>
  <w:num w:numId="15" w16cid:durableId="553589274">
    <w:abstractNumId w:val="0"/>
  </w:num>
  <w:num w:numId="16" w16cid:durableId="993492491">
    <w:abstractNumId w:val="3"/>
  </w:num>
  <w:num w:numId="17" w16cid:durableId="648022148">
    <w:abstractNumId w:val="24"/>
  </w:num>
  <w:num w:numId="18" w16cid:durableId="1865553415">
    <w:abstractNumId w:val="13"/>
  </w:num>
  <w:num w:numId="19" w16cid:durableId="402487389">
    <w:abstractNumId w:val="27"/>
  </w:num>
  <w:num w:numId="20" w16cid:durableId="772020464">
    <w:abstractNumId w:val="20"/>
  </w:num>
  <w:num w:numId="21" w16cid:durableId="4210270">
    <w:abstractNumId w:val="19"/>
  </w:num>
  <w:num w:numId="22" w16cid:durableId="1432237157">
    <w:abstractNumId w:val="10"/>
  </w:num>
  <w:num w:numId="23" w16cid:durableId="180626559">
    <w:abstractNumId w:val="22"/>
  </w:num>
  <w:num w:numId="24" w16cid:durableId="1864710494">
    <w:abstractNumId w:val="14"/>
  </w:num>
  <w:num w:numId="25" w16cid:durableId="1523325252">
    <w:abstractNumId w:val="21"/>
  </w:num>
  <w:num w:numId="26" w16cid:durableId="1113328301">
    <w:abstractNumId w:val="18"/>
  </w:num>
  <w:num w:numId="27" w16cid:durableId="1996372379">
    <w:abstractNumId w:val="11"/>
  </w:num>
  <w:num w:numId="28" w16cid:durableId="1544635297">
    <w:abstractNumId w:val="5"/>
  </w:num>
  <w:num w:numId="29" w16cid:durableId="543908112">
    <w:abstractNumId w:val="6"/>
  </w:num>
  <w:num w:numId="30" w16cid:durableId="566571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19D"/>
    <w:rsid w:val="000019DC"/>
    <w:rsid w:val="00006580"/>
    <w:rsid w:val="0000796D"/>
    <w:rsid w:val="0001377B"/>
    <w:rsid w:val="00015DE3"/>
    <w:rsid w:val="0002694C"/>
    <w:rsid w:val="000323DE"/>
    <w:rsid w:val="00033F51"/>
    <w:rsid w:val="00034F89"/>
    <w:rsid w:val="00035992"/>
    <w:rsid w:val="00042239"/>
    <w:rsid w:val="000459DB"/>
    <w:rsid w:val="000531A4"/>
    <w:rsid w:val="00060A6C"/>
    <w:rsid w:val="00062E81"/>
    <w:rsid w:val="0006479C"/>
    <w:rsid w:val="00065F48"/>
    <w:rsid w:val="00070194"/>
    <w:rsid w:val="00071278"/>
    <w:rsid w:val="00072585"/>
    <w:rsid w:val="000763C9"/>
    <w:rsid w:val="00083ABF"/>
    <w:rsid w:val="00083D8A"/>
    <w:rsid w:val="00085295"/>
    <w:rsid w:val="000852C4"/>
    <w:rsid w:val="00096407"/>
    <w:rsid w:val="00097C0E"/>
    <w:rsid w:val="000A4A3B"/>
    <w:rsid w:val="000A786C"/>
    <w:rsid w:val="000B1B10"/>
    <w:rsid w:val="000D4201"/>
    <w:rsid w:val="000D7B7E"/>
    <w:rsid w:val="000E197C"/>
    <w:rsid w:val="000E4F27"/>
    <w:rsid w:val="000E64B0"/>
    <w:rsid w:val="000E76AE"/>
    <w:rsid w:val="000F16E9"/>
    <w:rsid w:val="000F4282"/>
    <w:rsid w:val="001073D1"/>
    <w:rsid w:val="00114E7A"/>
    <w:rsid w:val="00117C87"/>
    <w:rsid w:val="0012637B"/>
    <w:rsid w:val="00127442"/>
    <w:rsid w:val="00130684"/>
    <w:rsid w:val="001361C0"/>
    <w:rsid w:val="001367CD"/>
    <w:rsid w:val="001374B5"/>
    <w:rsid w:val="00137B6D"/>
    <w:rsid w:val="0014335F"/>
    <w:rsid w:val="0014359E"/>
    <w:rsid w:val="001446AF"/>
    <w:rsid w:val="001455E7"/>
    <w:rsid w:val="001547FF"/>
    <w:rsid w:val="00160313"/>
    <w:rsid w:val="00164037"/>
    <w:rsid w:val="00165200"/>
    <w:rsid w:val="00171D7D"/>
    <w:rsid w:val="00181803"/>
    <w:rsid w:val="00183A7D"/>
    <w:rsid w:val="00184E74"/>
    <w:rsid w:val="00191446"/>
    <w:rsid w:val="00196D64"/>
    <w:rsid w:val="001975A8"/>
    <w:rsid w:val="00197706"/>
    <w:rsid w:val="001A5EAB"/>
    <w:rsid w:val="001A695A"/>
    <w:rsid w:val="001A7076"/>
    <w:rsid w:val="001B18D0"/>
    <w:rsid w:val="001B45BA"/>
    <w:rsid w:val="001C020C"/>
    <w:rsid w:val="001C30C1"/>
    <w:rsid w:val="001C3249"/>
    <w:rsid w:val="001D19CC"/>
    <w:rsid w:val="001D2BB6"/>
    <w:rsid w:val="001D4B9F"/>
    <w:rsid w:val="001D7E84"/>
    <w:rsid w:val="001E2C1A"/>
    <w:rsid w:val="001F030D"/>
    <w:rsid w:val="001F5408"/>
    <w:rsid w:val="002040C2"/>
    <w:rsid w:val="00207CD3"/>
    <w:rsid w:val="00212658"/>
    <w:rsid w:val="00214DF5"/>
    <w:rsid w:val="00217F4C"/>
    <w:rsid w:val="00222772"/>
    <w:rsid w:val="00222DBA"/>
    <w:rsid w:val="0022347C"/>
    <w:rsid w:val="00223796"/>
    <w:rsid w:val="00231C91"/>
    <w:rsid w:val="0025328D"/>
    <w:rsid w:val="002537FA"/>
    <w:rsid w:val="00255B87"/>
    <w:rsid w:val="0026207B"/>
    <w:rsid w:val="00267EAB"/>
    <w:rsid w:val="00271E93"/>
    <w:rsid w:val="00272425"/>
    <w:rsid w:val="00272ABD"/>
    <w:rsid w:val="00274040"/>
    <w:rsid w:val="002813BB"/>
    <w:rsid w:val="00287B9F"/>
    <w:rsid w:val="0029041E"/>
    <w:rsid w:val="00293604"/>
    <w:rsid w:val="00293838"/>
    <w:rsid w:val="002A146A"/>
    <w:rsid w:val="002A1BA1"/>
    <w:rsid w:val="002A619D"/>
    <w:rsid w:val="002B1EA6"/>
    <w:rsid w:val="002B2AA2"/>
    <w:rsid w:val="002B3AAC"/>
    <w:rsid w:val="002B3D3B"/>
    <w:rsid w:val="002B4C75"/>
    <w:rsid w:val="002B6B22"/>
    <w:rsid w:val="002C0C15"/>
    <w:rsid w:val="002C5BF0"/>
    <w:rsid w:val="002D60C8"/>
    <w:rsid w:val="002D6D15"/>
    <w:rsid w:val="002E5DEF"/>
    <w:rsid w:val="002E7231"/>
    <w:rsid w:val="002F20FE"/>
    <w:rsid w:val="003075E4"/>
    <w:rsid w:val="003078F7"/>
    <w:rsid w:val="00307BB9"/>
    <w:rsid w:val="003113F8"/>
    <w:rsid w:val="00314EDF"/>
    <w:rsid w:val="00325B91"/>
    <w:rsid w:val="00330AFF"/>
    <w:rsid w:val="003340C6"/>
    <w:rsid w:val="003374A9"/>
    <w:rsid w:val="00353B4A"/>
    <w:rsid w:val="00354EAE"/>
    <w:rsid w:val="003616DD"/>
    <w:rsid w:val="00366576"/>
    <w:rsid w:val="00373F0D"/>
    <w:rsid w:val="0037423E"/>
    <w:rsid w:val="003828B3"/>
    <w:rsid w:val="0039227A"/>
    <w:rsid w:val="003A0938"/>
    <w:rsid w:val="003A4173"/>
    <w:rsid w:val="003A5513"/>
    <w:rsid w:val="003B23CF"/>
    <w:rsid w:val="003C19BC"/>
    <w:rsid w:val="003C38EC"/>
    <w:rsid w:val="003C39F1"/>
    <w:rsid w:val="003D0325"/>
    <w:rsid w:val="003D20AC"/>
    <w:rsid w:val="003D4F89"/>
    <w:rsid w:val="003E2188"/>
    <w:rsid w:val="003E7D06"/>
    <w:rsid w:val="003F0B9D"/>
    <w:rsid w:val="003F141D"/>
    <w:rsid w:val="003F29FE"/>
    <w:rsid w:val="00404D4B"/>
    <w:rsid w:val="00406031"/>
    <w:rsid w:val="00407D72"/>
    <w:rsid w:val="0041384F"/>
    <w:rsid w:val="0041452F"/>
    <w:rsid w:val="00423362"/>
    <w:rsid w:val="004238CD"/>
    <w:rsid w:val="004240E7"/>
    <w:rsid w:val="00443F75"/>
    <w:rsid w:val="00446489"/>
    <w:rsid w:val="00447EAA"/>
    <w:rsid w:val="004614C4"/>
    <w:rsid w:val="0046240B"/>
    <w:rsid w:val="00474B62"/>
    <w:rsid w:val="004760E2"/>
    <w:rsid w:val="00477FB6"/>
    <w:rsid w:val="00482072"/>
    <w:rsid w:val="00484563"/>
    <w:rsid w:val="004852CA"/>
    <w:rsid w:val="0048620E"/>
    <w:rsid w:val="00490232"/>
    <w:rsid w:val="00491419"/>
    <w:rsid w:val="00495F39"/>
    <w:rsid w:val="00496210"/>
    <w:rsid w:val="004A340A"/>
    <w:rsid w:val="004A56E0"/>
    <w:rsid w:val="004A726B"/>
    <w:rsid w:val="004B7AA5"/>
    <w:rsid w:val="004C1C02"/>
    <w:rsid w:val="004C3F16"/>
    <w:rsid w:val="004D4422"/>
    <w:rsid w:val="004D4E29"/>
    <w:rsid w:val="004E1B03"/>
    <w:rsid w:val="004E5FB4"/>
    <w:rsid w:val="004E6D27"/>
    <w:rsid w:val="004E780D"/>
    <w:rsid w:val="004F7C82"/>
    <w:rsid w:val="005010FD"/>
    <w:rsid w:val="00501196"/>
    <w:rsid w:val="00501EB6"/>
    <w:rsid w:val="005047F7"/>
    <w:rsid w:val="0051486A"/>
    <w:rsid w:val="005176A0"/>
    <w:rsid w:val="00521BC1"/>
    <w:rsid w:val="00523A31"/>
    <w:rsid w:val="00530664"/>
    <w:rsid w:val="0053257C"/>
    <w:rsid w:val="00532D0D"/>
    <w:rsid w:val="00534E16"/>
    <w:rsid w:val="0053518E"/>
    <w:rsid w:val="005372AA"/>
    <w:rsid w:val="00540CBB"/>
    <w:rsid w:val="00542F83"/>
    <w:rsid w:val="00543A87"/>
    <w:rsid w:val="0054440C"/>
    <w:rsid w:val="00544EFC"/>
    <w:rsid w:val="00547837"/>
    <w:rsid w:val="0055178B"/>
    <w:rsid w:val="0057474B"/>
    <w:rsid w:val="0057481F"/>
    <w:rsid w:val="00582272"/>
    <w:rsid w:val="00585FA1"/>
    <w:rsid w:val="00593F5E"/>
    <w:rsid w:val="005976AB"/>
    <w:rsid w:val="00597A32"/>
    <w:rsid w:val="005A0EF6"/>
    <w:rsid w:val="005A19AC"/>
    <w:rsid w:val="005A34EA"/>
    <w:rsid w:val="005A756C"/>
    <w:rsid w:val="005B18D5"/>
    <w:rsid w:val="005C058C"/>
    <w:rsid w:val="005C2638"/>
    <w:rsid w:val="005C2C3E"/>
    <w:rsid w:val="005C6E01"/>
    <w:rsid w:val="005D453A"/>
    <w:rsid w:val="005D4B61"/>
    <w:rsid w:val="005D5AFE"/>
    <w:rsid w:val="005D5BD2"/>
    <w:rsid w:val="005E1D7B"/>
    <w:rsid w:val="005E6E1A"/>
    <w:rsid w:val="005F5E8F"/>
    <w:rsid w:val="005F64E1"/>
    <w:rsid w:val="006004A9"/>
    <w:rsid w:val="00607AB7"/>
    <w:rsid w:val="00607AEE"/>
    <w:rsid w:val="006114D8"/>
    <w:rsid w:val="00614D6F"/>
    <w:rsid w:val="0061680B"/>
    <w:rsid w:val="00617587"/>
    <w:rsid w:val="00620D5E"/>
    <w:rsid w:val="00625390"/>
    <w:rsid w:val="00631019"/>
    <w:rsid w:val="00631259"/>
    <w:rsid w:val="0063418D"/>
    <w:rsid w:val="00634886"/>
    <w:rsid w:val="00644451"/>
    <w:rsid w:val="006451DD"/>
    <w:rsid w:val="00645B60"/>
    <w:rsid w:val="006472EE"/>
    <w:rsid w:val="006516AA"/>
    <w:rsid w:val="0065597C"/>
    <w:rsid w:val="006562AA"/>
    <w:rsid w:val="00660B45"/>
    <w:rsid w:val="00661647"/>
    <w:rsid w:val="00661787"/>
    <w:rsid w:val="00662002"/>
    <w:rsid w:val="006635D0"/>
    <w:rsid w:val="00664C92"/>
    <w:rsid w:val="00666225"/>
    <w:rsid w:val="00670B64"/>
    <w:rsid w:val="006710ED"/>
    <w:rsid w:val="00675775"/>
    <w:rsid w:val="00680EE0"/>
    <w:rsid w:val="00686848"/>
    <w:rsid w:val="006A706B"/>
    <w:rsid w:val="006B28C6"/>
    <w:rsid w:val="006B2BDC"/>
    <w:rsid w:val="006B4378"/>
    <w:rsid w:val="006C3494"/>
    <w:rsid w:val="006C5031"/>
    <w:rsid w:val="006D25CF"/>
    <w:rsid w:val="006D5038"/>
    <w:rsid w:val="006D7B22"/>
    <w:rsid w:val="006E1B17"/>
    <w:rsid w:val="006E2291"/>
    <w:rsid w:val="006E2DAA"/>
    <w:rsid w:val="006E486A"/>
    <w:rsid w:val="006E5FA9"/>
    <w:rsid w:val="006F0A81"/>
    <w:rsid w:val="006F2CD6"/>
    <w:rsid w:val="006F4BB0"/>
    <w:rsid w:val="006F7933"/>
    <w:rsid w:val="0070024C"/>
    <w:rsid w:val="00700A95"/>
    <w:rsid w:val="0070137F"/>
    <w:rsid w:val="00711FDA"/>
    <w:rsid w:val="00720758"/>
    <w:rsid w:val="00732FC1"/>
    <w:rsid w:val="00737B6C"/>
    <w:rsid w:val="0074659C"/>
    <w:rsid w:val="00752F54"/>
    <w:rsid w:val="00753AFA"/>
    <w:rsid w:val="00755F62"/>
    <w:rsid w:val="00756A49"/>
    <w:rsid w:val="00760162"/>
    <w:rsid w:val="0077104C"/>
    <w:rsid w:val="00777AFC"/>
    <w:rsid w:val="00782987"/>
    <w:rsid w:val="00785170"/>
    <w:rsid w:val="00785806"/>
    <w:rsid w:val="007875AA"/>
    <w:rsid w:val="00790C67"/>
    <w:rsid w:val="007A5D3C"/>
    <w:rsid w:val="007B23CD"/>
    <w:rsid w:val="007B443A"/>
    <w:rsid w:val="007B67CA"/>
    <w:rsid w:val="007B7E1A"/>
    <w:rsid w:val="007C0CD8"/>
    <w:rsid w:val="007C2B79"/>
    <w:rsid w:val="007C4F2A"/>
    <w:rsid w:val="007C7FE2"/>
    <w:rsid w:val="007D2F31"/>
    <w:rsid w:val="007E106E"/>
    <w:rsid w:val="007E1AAE"/>
    <w:rsid w:val="007E4F2E"/>
    <w:rsid w:val="007E533E"/>
    <w:rsid w:val="007E5FBF"/>
    <w:rsid w:val="007E7DD5"/>
    <w:rsid w:val="007F4AF9"/>
    <w:rsid w:val="007F574F"/>
    <w:rsid w:val="00802039"/>
    <w:rsid w:val="00812A57"/>
    <w:rsid w:val="00813EDA"/>
    <w:rsid w:val="0082275A"/>
    <w:rsid w:val="00822C11"/>
    <w:rsid w:val="008300D6"/>
    <w:rsid w:val="008307C4"/>
    <w:rsid w:val="00834159"/>
    <w:rsid w:val="00841397"/>
    <w:rsid w:val="00845719"/>
    <w:rsid w:val="00845BFD"/>
    <w:rsid w:val="00850BFB"/>
    <w:rsid w:val="00854BBE"/>
    <w:rsid w:val="00860F94"/>
    <w:rsid w:val="00864F2E"/>
    <w:rsid w:val="008666EE"/>
    <w:rsid w:val="00866D38"/>
    <w:rsid w:val="00866F21"/>
    <w:rsid w:val="0087131B"/>
    <w:rsid w:val="008732D2"/>
    <w:rsid w:val="00875CE8"/>
    <w:rsid w:val="00876846"/>
    <w:rsid w:val="0088559C"/>
    <w:rsid w:val="00890D22"/>
    <w:rsid w:val="008A2D65"/>
    <w:rsid w:val="008A3CC0"/>
    <w:rsid w:val="008A5977"/>
    <w:rsid w:val="008A7C90"/>
    <w:rsid w:val="008B113B"/>
    <w:rsid w:val="008B619C"/>
    <w:rsid w:val="008C072E"/>
    <w:rsid w:val="008C425E"/>
    <w:rsid w:val="008C78B0"/>
    <w:rsid w:val="008D1DBA"/>
    <w:rsid w:val="008D2CCC"/>
    <w:rsid w:val="008E2A8E"/>
    <w:rsid w:val="008F03F9"/>
    <w:rsid w:val="008F05F7"/>
    <w:rsid w:val="008F2C07"/>
    <w:rsid w:val="008F35CF"/>
    <w:rsid w:val="0090035F"/>
    <w:rsid w:val="00902C70"/>
    <w:rsid w:val="0090477C"/>
    <w:rsid w:val="00914108"/>
    <w:rsid w:val="0091519D"/>
    <w:rsid w:val="00931B89"/>
    <w:rsid w:val="00933037"/>
    <w:rsid w:val="009338E9"/>
    <w:rsid w:val="00941750"/>
    <w:rsid w:val="0094651A"/>
    <w:rsid w:val="00947E18"/>
    <w:rsid w:val="00950508"/>
    <w:rsid w:val="00957F75"/>
    <w:rsid w:val="00960DC0"/>
    <w:rsid w:val="0096438C"/>
    <w:rsid w:val="00967675"/>
    <w:rsid w:val="0097135D"/>
    <w:rsid w:val="009715CB"/>
    <w:rsid w:val="009748EF"/>
    <w:rsid w:val="00982DA6"/>
    <w:rsid w:val="009A2C13"/>
    <w:rsid w:val="009A364F"/>
    <w:rsid w:val="009B202D"/>
    <w:rsid w:val="009B308C"/>
    <w:rsid w:val="009B3B5D"/>
    <w:rsid w:val="009B42AC"/>
    <w:rsid w:val="009B49AD"/>
    <w:rsid w:val="009B4B49"/>
    <w:rsid w:val="009B692C"/>
    <w:rsid w:val="009C05EF"/>
    <w:rsid w:val="009D387A"/>
    <w:rsid w:val="009E1CB1"/>
    <w:rsid w:val="009F2249"/>
    <w:rsid w:val="009F2B16"/>
    <w:rsid w:val="00A03ABD"/>
    <w:rsid w:val="00A10F45"/>
    <w:rsid w:val="00A127B3"/>
    <w:rsid w:val="00A139A6"/>
    <w:rsid w:val="00A15A6C"/>
    <w:rsid w:val="00A20E47"/>
    <w:rsid w:val="00A213ED"/>
    <w:rsid w:val="00A30C1F"/>
    <w:rsid w:val="00A34737"/>
    <w:rsid w:val="00A427D1"/>
    <w:rsid w:val="00A5185E"/>
    <w:rsid w:val="00A5204F"/>
    <w:rsid w:val="00A563F4"/>
    <w:rsid w:val="00A5755F"/>
    <w:rsid w:val="00A636FC"/>
    <w:rsid w:val="00A65B90"/>
    <w:rsid w:val="00A65FAF"/>
    <w:rsid w:val="00A70000"/>
    <w:rsid w:val="00A73ED5"/>
    <w:rsid w:val="00A848D1"/>
    <w:rsid w:val="00A92A7C"/>
    <w:rsid w:val="00A9639C"/>
    <w:rsid w:val="00A97EEB"/>
    <w:rsid w:val="00AA10EC"/>
    <w:rsid w:val="00AA1CE4"/>
    <w:rsid w:val="00AA4E8E"/>
    <w:rsid w:val="00AB034A"/>
    <w:rsid w:val="00AC5773"/>
    <w:rsid w:val="00AD025C"/>
    <w:rsid w:val="00AD6C68"/>
    <w:rsid w:val="00AD7121"/>
    <w:rsid w:val="00AE16B9"/>
    <w:rsid w:val="00AF1411"/>
    <w:rsid w:val="00AF4952"/>
    <w:rsid w:val="00AF5D6D"/>
    <w:rsid w:val="00B005A2"/>
    <w:rsid w:val="00B018E9"/>
    <w:rsid w:val="00B04969"/>
    <w:rsid w:val="00B049CE"/>
    <w:rsid w:val="00B061D2"/>
    <w:rsid w:val="00B0634A"/>
    <w:rsid w:val="00B13FE3"/>
    <w:rsid w:val="00B14F54"/>
    <w:rsid w:val="00B23B41"/>
    <w:rsid w:val="00B310BA"/>
    <w:rsid w:val="00B35B0C"/>
    <w:rsid w:val="00B409B5"/>
    <w:rsid w:val="00B409C9"/>
    <w:rsid w:val="00B50322"/>
    <w:rsid w:val="00B504B3"/>
    <w:rsid w:val="00B55C64"/>
    <w:rsid w:val="00B57EE6"/>
    <w:rsid w:val="00B66AB6"/>
    <w:rsid w:val="00B675ED"/>
    <w:rsid w:val="00B750DC"/>
    <w:rsid w:val="00B81488"/>
    <w:rsid w:val="00B87C5B"/>
    <w:rsid w:val="00B922F0"/>
    <w:rsid w:val="00B95EFA"/>
    <w:rsid w:val="00BA2F76"/>
    <w:rsid w:val="00BA4186"/>
    <w:rsid w:val="00BA54FA"/>
    <w:rsid w:val="00BA723F"/>
    <w:rsid w:val="00BB04BA"/>
    <w:rsid w:val="00BC54FE"/>
    <w:rsid w:val="00BC56FF"/>
    <w:rsid w:val="00BD0671"/>
    <w:rsid w:val="00BD0E0E"/>
    <w:rsid w:val="00BD5C87"/>
    <w:rsid w:val="00BE05F7"/>
    <w:rsid w:val="00BE5DB8"/>
    <w:rsid w:val="00BE7A29"/>
    <w:rsid w:val="00BE7F14"/>
    <w:rsid w:val="00BF3329"/>
    <w:rsid w:val="00BF5388"/>
    <w:rsid w:val="00C00A10"/>
    <w:rsid w:val="00C042D6"/>
    <w:rsid w:val="00C12318"/>
    <w:rsid w:val="00C23874"/>
    <w:rsid w:val="00C24025"/>
    <w:rsid w:val="00C25365"/>
    <w:rsid w:val="00C26674"/>
    <w:rsid w:val="00C3149D"/>
    <w:rsid w:val="00C329ED"/>
    <w:rsid w:val="00C33528"/>
    <w:rsid w:val="00C36913"/>
    <w:rsid w:val="00C43704"/>
    <w:rsid w:val="00C448C6"/>
    <w:rsid w:val="00C47B1B"/>
    <w:rsid w:val="00C54025"/>
    <w:rsid w:val="00C545A4"/>
    <w:rsid w:val="00C60386"/>
    <w:rsid w:val="00C61C5C"/>
    <w:rsid w:val="00C62004"/>
    <w:rsid w:val="00C67D1A"/>
    <w:rsid w:val="00C703F3"/>
    <w:rsid w:val="00C70F50"/>
    <w:rsid w:val="00C77A44"/>
    <w:rsid w:val="00C80B24"/>
    <w:rsid w:val="00C814B3"/>
    <w:rsid w:val="00C8262F"/>
    <w:rsid w:val="00C83265"/>
    <w:rsid w:val="00C84139"/>
    <w:rsid w:val="00C8431E"/>
    <w:rsid w:val="00C95842"/>
    <w:rsid w:val="00C96D40"/>
    <w:rsid w:val="00CA36C5"/>
    <w:rsid w:val="00CA6C2A"/>
    <w:rsid w:val="00CB434F"/>
    <w:rsid w:val="00CC18E5"/>
    <w:rsid w:val="00CC279B"/>
    <w:rsid w:val="00CC5656"/>
    <w:rsid w:val="00CC5ED4"/>
    <w:rsid w:val="00CC7E25"/>
    <w:rsid w:val="00CD1670"/>
    <w:rsid w:val="00CD55FD"/>
    <w:rsid w:val="00CD62E1"/>
    <w:rsid w:val="00CE362E"/>
    <w:rsid w:val="00CE580D"/>
    <w:rsid w:val="00CE626E"/>
    <w:rsid w:val="00CF7B20"/>
    <w:rsid w:val="00D02F1F"/>
    <w:rsid w:val="00D03A3C"/>
    <w:rsid w:val="00D05C99"/>
    <w:rsid w:val="00D0612D"/>
    <w:rsid w:val="00D11D15"/>
    <w:rsid w:val="00D17E4B"/>
    <w:rsid w:val="00D201A2"/>
    <w:rsid w:val="00D20E71"/>
    <w:rsid w:val="00D21720"/>
    <w:rsid w:val="00D22111"/>
    <w:rsid w:val="00D251E0"/>
    <w:rsid w:val="00D26F25"/>
    <w:rsid w:val="00D30354"/>
    <w:rsid w:val="00D33B4A"/>
    <w:rsid w:val="00D34634"/>
    <w:rsid w:val="00D34FD7"/>
    <w:rsid w:val="00D42031"/>
    <w:rsid w:val="00D42557"/>
    <w:rsid w:val="00D43037"/>
    <w:rsid w:val="00D43068"/>
    <w:rsid w:val="00D442BA"/>
    <w:rsid w:val="00D521CE"/>
    <w:rsid w:val="00D60113"/>
    <w:rsid w:val="00D61AD9"/>
    <w:rsid w:val="00D632BE"/>
    <w:rsid w:val="00D66071"/>
    <w:rsid w:val="00D70834"/>
    <w:rsid w:val="00D735AF"/>
    <w:rsid w:val="00D7375A"/>
    <w:rsid w:val="00D76E28"/>
    <w:rsid w:val="00D85B8C"/>
    <w:rsid w:val="00D86E9C"/>
    <w:rsid w:val="00D92234"/>
    <w:rsid w:val="00D94BC7"/>
    <w:rsid w:val="00DA66B5"/>
    <w:rsid w:val="00DB0D6B"/>
    <w:rsid w:val="00DB0FB7"/>
    <w:rsid w:val="00DB3E49"/>
    <w:rsid w:val="00DC0E33"/>
    <w:rsid w:val="00DC1B19"/>
    <w:rsid w:val="00DD3BC2"/>
    <w:rsid w:val="00DE5BB6"/>
    <w:rsid w:val="00DF5910"/>
    <w:rsid w:val="00DF6468"/>
    <w:rsid w:val="00DF7883"/>
    <w:rsid w:val="00E062D7"/>
    <w:rsid w:val="00E06D3D"/>
    <w:rsid w:val="00E100ED"/>
    <w:rsid w:val="00E103CA"/>
    <w:rsid w:val="00E1459E"/>
    <w:rsid w:val="00E219A2"/>
    <w:rsid w:val="00E2382F"/>
    <w:rsid w:val="00E244A7"/>
    <w:rsid w:val="00E251BE"/>
    <w:rsid w:val="00E25ABF"/>
    <w:rsid w:val="00E27E04"/>
    <w:rsid w:val="00E34A5B"/>
    <w:rsid w:val="00E4120A"/>
    <w:rsid w:val="00E438E7"/>
    <w:rsid w:val="00E44B67"/>
    <w:rsid w:val="00E5051C"/>
    <w:rsid w:val="00E54F50"/>
    <w:rsid w:val="00E571C4"/>
    <w:rsid w:val="00E63BB0"/>
    <w:rsid w:val="00E66A06"/>
    <w:rsid w:val="00E73FCE"/>
    <w:rsid w:val="00E74E75"/>
    <w:rsid w:val="00E75424"/>
    <w:rsid w:val="00E75B9D"/>
    <w:rsid w:val="00E825ED"/>
    <w:rsid w:val="00E916B6"/>
    <w:rsid w:val="00E93714"/>
    <w:rsid w:val="00E94BC3"/>
    <w:rsid w:val="00E97B0C"/>
    <w:rsid w:val="00EA1B4D"/>
    <w:rsid w:val="00EA6DEB"/>
    <w:rsid w:val="00EB0B1E"/>
    <w:rsid w:val="00EB298F"/>
    <w:rsid w:val="00EB3E22"/>
    <w:rsid w:val="00EC34E8"/>
    <w:rsid w:val="00EC64EE"/>
    <w:rsid w:val="00ED1682"/>
    <w:rsid w:val="00ED22F3"/>
    <w:rsid w:val="00ED4DF5"/>
    <w:rsid w:val="00EE651D"/>
    <w:rsid w:val="00EE70C2"/>
    <w:rsid w:val="00F04E4F"/>
    <w:rsid w:val="00F06ADD"/>
    <w:rsid w:val="00F1035C"/>
    <w:rsid w:val="00F1198D"/>
    <w:rsid w:val="00F11E7F"/>
    <w:rsid w:val="00F11F11"/>
    <w:rsid w:val="00F157FA"/>
    <w:rsid w:val="00F24479"/>
    <w:rsid w:val="00F34C5A"/>
    <w:rsid w:val="00F36636"/>
    <w:rsid w:val="00F41794"/>
    <w:rsid w:val="00F43A7E"/>
    <w:rsid w:val="00F456C0"/>
    <w:rsid w:val="00F45A44"/>
    <w:rsid w:val="00F45FF4"/>
    <w:rsid w:val="00F46081"/>
    <w:rsid w:val="00F4623C"/>
    <w:rsid w:val="00F47B78"/>
    <w:rsid w:val="00F511A0"/>
    <w:rsid w:val="00F53306"/>
    <w:rsid w:val="00F61F36"/>
    <w:rsid w:val="00F64BBA"/>
    <w:rsid w:val="00F66D45"/>
    <w:rsid w:val="00F706FF"/>
    <w:rsid w:val="00F72E93"/>
    <w:rsid w:val="00F7410B"/>
    <w:rsid w:val="00F76709"/>
    <w:rsid w:val="00F807D2"/>
    <w:rsid w:val="00F8350F"/>
    <w:rsid w:val="00F84A7E"/>
    <w:rsid w:val="00F84BE7"/>
    <w:rsid w:val="00F84EEA"/>
    <w:rsid w:val="00F85F44"/>
    <w:rsid w:val="00F87632"/>
    <w:rsid w:val="00F916F7"/>
    <w:rsid w:val="00F92A12"/>
    <w:rsid w:val="00FA6F7B"/>
    <w:rsid w:val="00FB1075"/>
    <w:rsid w:val="00FB7C33"/>
    <w:rsid w:val="00FC14AF"/>
    <w:rsid w:val="00FC3920"/>
    <w:rsid w:val="00FD24B4"/>
    <w:rsid w:val="00FD37AD"/>
    <w:rsid w:val="00FD6401"/>
    <w:rsid w:val="00FE0FDC"/>
    <w:rsid w:val="00FE179C"/>
    <w:rsid w:val="00FE1EB4"/>
    <w:rsid w:val="00FF229D"/>
    <w:rsid w:val="00FF59E9"/>
    <w:rsid w:val="00FF5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3C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19D"/>
    <w:pPr>
      <w:spacing w:after="200" w:line="240" w:lineRule="auto"/>
    </w:pPr>
    <w:rPr>
      <w:rFonts w:eastAsiaTheme="minorEastAsia"/>
      <w:lang w:eastAsia="zh-TW"/>
    </w:rPr>
  </w:style>
  <w:style w:type="paragraph" w:styleId="Heading1">
    <w:name w:val="heading 1"/>
    <w:basedOn w:val="Title"/>
    <w:next w:val="Normal"/>
    <w:link w:val="Heading1Char"/>
    <w:uiPriority w:val="9"/>
    <w:qFormat/>
    <w:rsid w:val="00EE651D"/>
    <w:pPr>
      <w:spacing w:before="2400" w:after="1080"/>
      <w:contextualSpacing w:val="0"/>
      <w:jc w:val="center"/>
      <w:outlineLvl w:val="0"/>
    </w:pPr>
    <w:rPr>
      <w:b/>
      <w:bCs/>
      <w:sz w:val="48"/>
      <w:szCs w:val="48"/>
    </w:rPr>
  </w:style>
  <w:style w:type="paragraph" w:styleId="Heading2">
    <w:name w:val="heading 2"/>
    <w:basedOn w:val="Normal"/>
    <w:next w:val="Normal"/>
    <w:link w:val="Heading2Char"/>
    <w:uiPriority w:val="9"/>
    <w:unhideWhenUsed/>
    <w:qFormat/>
    <w:rsid w:val="002A619D"/>
    <w:pPr>
      <w:keepNext/>
      <w:outlineLvl w:val="1"/>
    </w:pPr>
    <w:rPr>
      <w:rFonts w:asciiTheme="majorHAnsi" w:eastAsiaTheme="majorEastAsia" w:hAnsiTheme="majorHAnsi" w:cstheme="majorBidi"/>
      <w:b/>
      <w:sz w:val="36"/>
      <w:szCs w:val="26"/>
      <w:lang w:eastAsia="en-US"/>
    </w:rPr>
  </w:style>
  <w:style w:type="paragraph" w:styleId="Heading3">
    <w:name w:val="heading 3"/>
    <w:basedOn w:val="Normal"/>
    <w:next w:val="Normal"/>
    <w:link w:val="Heading3Char"/>
    <w:uiPriority w:val="9"/>
    <w:unhideWhenUsed/>
    <w:qFormat/>
    <w:rsid w:val="002A619D"/>
    <w:pPr>
      <w:keepNext/>
      <w:spacing w:after="120"/>
      <w:outlineLvl w:val="2"/>
    </w:pPr>
    <w:rPr>
      <w:rFonts w:asciiTheme="majorHAnsi" w:eastAsiaTheme="majorEastAsia" w:hAnsiTheme="majorHAnsi" w:cstheme="majorBidi"/>
      <w:b/>
      <w:sz w:val="30"/>
      <w:szCs w:val="24"/>
      <w:lang w:eastAsia="en-US"/>
    </w:rPr>
  </w:style>
  <w:style w:type="paragraph" w:styleId="Heading4">
    <w:name w:val="heading 4"/>
    <w:basedOn w:val="Normal"/>
    <w:next w:val="Normal"/>
    <w:link w:val="Heading4Char"/>
    <w:uiPriority w:val="9"/>
    <w:unhideWhenUsed/>
    <w:qFormat/>
    <w:rsid w:val="00EE651D"/>
    <w:pPr>
      <w:spacing w:after="120"/>
      <w:outlineLvl w:val="3"/>
    </w:pPr>
    <w:rPr>
      <w:rFonts w:asciiTheme="majorHAnsi" w:hAnsiTheme="majorHAnsi" w:cstheme="majorHAnsi"/>
      <w:color w:val="323E4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1D"/>
    <w:rPr>
      <w:rFonts w:asciiTheme="majorHAnsi" w:eastAsiaTheme="majorEastAsia" w:hAnsiTheme="majorHAnsi" w:cstheme="majorBidi"/>
      <w:b/>
      <w:bCs/>
      <w:spacing w:val="-10"/>
      <w:kern w:val="28"/>
      <w:sz w:val="48"/>
      <w:szCs w:val="48"/>
      <w:lang w:eastAsia="zh-TW"/>
    </w:rPr>
  </w:style>
  <w:style w:type="character" w:customStyle="1" w:styleId="Heading2Char">
    <w:name w:val="Heading 2 Char"/>
    <w:basedOn w:val="DefaultParagraphFont"/>
    <w:link w:val="Heading2"/>
    <w:uiPriority w:val="9"/>
    <w:rsid w:val="002A619D"/>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2A619D"/>
    <w:rPr>
      <w:rFonts w:asciiTheme="majorHAnsi" w:eastAsiaTheme="majorEastAsia" w:hAnsiTheme="majorHAnsi" w:cstheme="majorBidi"/>
      <w:b/>
      <w:sz w:val="30"/>
      <w:szCs w:val="24"/>
    </w:rPr>
  </w:style>
  <w:style w:type="character" w:styleId="Hyperlink">
    <w:name w:val="Hyperlink"/>
    <w:basedOn w:val="DefaultParagraphFont"/>
    <w:uiPriority w:val="99"/>
    <w:unhideWhenUsed/>
    <w:rsid w:val="002A619D"/>
    <w:rPr>
      <w:color w:val="FFC000" w:themeColor="accent4"/>
      <w:u w:val="single"/>
    </w:rPr>
  </w:style>
  <w:style w:type="paragraph" w:styleId="TOC1">
    <w:name w:val="toc 1"/>
    <w:basedOn w:val="Normal"/>
    <w:next w:val="Normal"/>
    <w:autoRedefine/>
    <w:uiPriority w:val="39"/>
    <w:semiHidden/>
    <w:unhideWhenUsed/>
    <w:rsid w:val="002A619D"/>
    <w:pPr>
      <w:tabs>
        <w:tab w:val="right" w:leader="dot" w:pos="9072"/>
      </w:tabs>
      <w:spacing w:before="120" w:after="0"/>
    </w:pPr>
    <w:rPr>
      <w:b/>
      <w:sz w:val="24"/>
    </w:rPr>
  </w:style>
  <w:style w:type="paragraph" w:styleId="TOC2">
    <w:name w:val="toc 2"/>
    <w:basedOn w:val="Normal"/>
    <w:next w:val="Normal"/>
    <w:autoRedefine/>
    <w:uiPriority w:val="39"/>
    <w:semiHidden/>
    <w:unhideWhenUsed/>
    <w:rsid w:val="002A619D"/>
    <w:pPr>
      <w:tabs>
        <w:tab w:val="right" w:leader="dot" w:pos="9072"/>
      </w:tabs>
      <w:spacing w:after="0"/>
      <w:ind w:left="567"/>
    </w:pPr>
  </w:style>
  <w:style w:type="paragraph" w:customStyle="1" w:styleId="Bulletlevel1">
    <w:name w:val="Bullet level 1"/>
    <w:basedOn w:val="Normal"/>
    <w:qFormat/>
    <w:rsid w:val="002A619D"/>
    <w:pPr>
      <w:numPr>
        <w:numId w:val="1"/>
      </w:numPr>
      <w:ind w:left="567" w:hanging="567"/>
      <w:contextualSpacing/>
    </w:pPr>
    <w:rPr>
      <w:rFonts w:eastAsiaTheme="minorHAnsi"/>
      <w:lang w:eastAsia="en-US"/>
    </w:rPr>
  </w:style>
  <w:style w:type="paragraph" w:customStyle="1" w:styleId="Heading2-notshowing">
    <w:name w:val="Heading 2 - not showing"/>
    <w:basedOn w:val="Heading2"/>
    <w:qFormat/>
    <w:rsid w:val="002A619D"/>
    <w:pPr>
      <w:spacing w:after="120"/>
    </w:pPr>
    <w:rPr>
      <w:sz w:val="32"/>
    </w:rPr>
  </w:style>
  <w:style w:type="paragraph" w:customStyle="1" w:styleId="reporttitle">
    <w:name w:val="report title"/>
    <w:basedOn w:val="Normal"/>
    <w:qFormat/>
    <w:rsid w:val="002A619D"/>
    <w:pPr>
      <w:spacing w:after="4080"/>
      <w:jc w:val="center"/>
    </w:pPr>
    <w:rPr>
      <w:sz w:val="44"/>
      <w:szCs w:val="44"/>
    </w:rPr>
  </w:style>
  <w:style w:type="paragraph" w:customStyle="1" w:styleId="monthyearoncover">
    <w:name w:val="month/year on cover"/>
    <w:basedOn w:val="Normal"/>
    <w:qFormat/>
    <w:rsid w:val="002A619D"/>
    <w:pPr>
      <w:spacing w:after="0"/>
      <w:jc w:val="right"/>
    </w:pPr>
    <w:rPr>
      <w:lang w:eastAsia="en-US"/>
    </w:rPr>
  </w:style>
  <w:style w:type="paragraph" w:styleId="Header">
    <w:name w:val="header"/>
    <w:basedOn w:val="Normal"/>
    <w:link w:val="HeaderChar"/>
    <w:uiPriority w:val="99"/>
    <w:unhideWhenUsed/>
    <w:rsid w:val="009F2249"/>
    <w:pPr>
      <w:tabs>
        <w:tab w:val="center" w:pos="4513"/>
        <w:tab w:val="right" w:pos="9026"/>
      </w:tabs>
      <w:spacing w:after="0"/>
    </w:pPr>
  </w:style>
  <w:style w:type="character" w:customStyle="1" w:styleId="HeaderChar">
    <w:name w:val="Header Char"/>
    <w:basedOn w:val="DefaultParagraphFont"/>
    <w:link w:val="Header"/>
    <w:uiPriority w:val="99"/>
    <w:rsid w:val="009F2249"/>
    <w:rPr>
      <w:rFonts w:eastAsiaTheme="minorEastAsia"/>
      <w:lang w:eastAsia="zh-TW"/>
    </w:rPr>
  </w:style>
  <w:style w:type="paragraph" w:styleId="Footer">
    <w:name w:val="footer"/>
    <w:basedOn w:val="Normal"/>
    <w:link w:val="FooterChar"/>
    <w:uiPriority w:val="99"/>
    <w:unhideWhenUsed/>
    <w:rsid w:val="009F2249"/>
    <w:pPr>
      <w:tabs>
        <w:tab w:val="center" w:pos="4513"/>
        <w:tab w:val="right" w:pos="9026"/>
      </w:tabs>
      <w:spacing w:after="0"/>
    </w:pPr>
  </w:style>
  <w:style w:type="character" w:customStyle="1" w:styleId="FooterChar">
    <w:name w:val="Footer Char"/>
    <w:basedOn w:val="DefaultParagraphFont"/>
    <w:link w:val="Footer"/>
    <w:uiPriority w:val="99"/>
    <w:rsid w:val="009F2249"/>
    <w:rPr>
      <w:rFonts w:eastAsiaTheme="minorEastAsia"/>
      <w:lang w:eastAsia="zh-TW"/>
    </w:rPr>
  </w:style>
  <w:style w:type="paragraph" w:styleId="FootnoteText">
    <w:name w:val="footnote text"/>
    <w:basedOn w:val="Normal"/>
    <w:link w:val="FootnoteTextChar"/>
    <w:uiPriority w:val="99"/>
    <w:unhideWhenUsed/>
    <w:rsid w:val="00496210"/>
    <w:pPr>
      <w:spacing w:after="0"/>
    </w:pPr>
    <w:rPr>
      <w:sz w:val="20"/>
      <w:szCs w:val="20"/>
    </w:rPr>
  </w:style>
  <w:style w:type="character" w:customStyle="1" w:styleId="FootnoteTextChar">
    <w:name w:val="Footnote Text Char"/>
    <w:basedOn w:val="DefaultParagraphFont"/>
    <w:link w:val="FootnoteText"/>
    <w:uiPriority w:val="99"/>
    <w:rsid w:val="00496210"/>
    <w:rPr>
      <w:rFonts w:eastAsiaTheme="minorEastAsia"/>
      <w:sz w:val="20"/>
      <w:szCs w:val="20"/>
      <w:lang w:eastAsia="zh-TW"/>
    </w:rPr>
  </w:style>
  <w:style w:type="character" w:styleId="FootnoteReference">
    <w:name w:val="footnote reference"/>
    <w:basedOn w:val="DefaultParagraphFont"/>
    <w:uiPriority w:val="99"/>
    <w:unhideWhenUsed/>
    <w:rsid w:val="00496210"/>
    <w:rPr>
      <w:vertAlign w:val="superscript"/>
    </w:rPr>
  </w:style>
  <w:style w:type="paragraph" w:styleId="ListParagraph">
    <w:name w:val="List Paragraph"/>
    <w:aliases w:val="CAB - List Bullet,List Bullet Cab,Bullet Points,CV text,Dot pt,F5 List Paragraph,Indicator Text,L,List Paragraph Char Char Char,List Paragraph1,List Paragraph11,List Paragraph12,MAIN CONTENT,No Spacing1,Numbered Para 1,列,列出段,Bullet Poin"/>
    <w:basedOn w:val="Normal"/>
    <w:link w:val="ListParagraphChar"/>
    <w:uiPriority w:val="34"/>
    <w:qFormat/>
    <w:rsid w:val="00EA6DEB"/>
    <w:pPr>
      <w:ind w:left="720"/>
      <w:contextualSpacing/>
    </w:pPr>
  </w:style>
  <w:style w:type="paragraph" w:styleId="Revision">
    <w:name w:val="Revision"/>
    <w:hidden/>
    <w:uiPriority w:val="99"/>
    <w:semiHidden/>
    <w:rsid w:val="0097135D"/>
    <w:pPr>
      <w:spacing w:after="0" w:line="240" w:lineRule="auto"/>
    </w:pPr>
    <w:rPr>
      <w:rFonts w:eastAsiaTheme="minorEastAsia"/>
      <w:lang w:eastAsia="zh-TW"/>
    </w:rPr>
  </w:style>
  <w:style w:type="character" w:styleId="CommentReference">
    <w:name w:val="annotation reference"/>
    <w:basedOn w:val="DefaultParagraphFont"/>
    <w:uiPriority w:val="99"/>
    <w:semiHidden/>
    <w:unhideWhenUsed/>
    <w:rsid w:val="00845BFD"/>
    <w:rPr>
      <w:sz w:val="16"/>
      <w:szCs w:val="16"/>
    </w:rPr>
  </w:style>
  <w:style w:type="paragraph" w:styleId="CommentText">
    <w:name w:val="annotation text"/>
    <w:basedOn w:val="Normal"/>
    <w:link w:val="CommentTextChar"/>
    <w:uiPriority w:val="99"/>
    <w:unhideWhenUsed/>
    <w:rsid w:val="00845BFD"/>
    <w:rPr>
      <w:sz w:val="20"/>
      <w:szCs w:val="20"/>
    </w:rPr>
  </w:style>
  <w:style w:type="character" w:customStyle="1" w:styleId="CommentTextChar">
    <w:name w:val="Comment Text Char"/>
    <w:basedOn w:val="DefaultParagraphFont"/>
    <w:link w:val="CommentText"/>
    <w:uiPriority w:val="99"/>
    <w:rsid w:val="00845BFD"/>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845BFD"/>
    <w:rPr>
      <w:b/>
      <w:bCs/>
    </w:rPr>
  </w:style>
  <w:style w:type="character" w:customStyle="1" w:styleId="CommentSubjectChar">
    <w:name w:val="Comment Subject Char"/>
    <w:basedOn w:val="CommentTextChar"/>
    <w:link w:val="CommentSubject"/>
    <w:uiPriority w:val="99"/>
    <w:semiHidden/>
    <w:rsid w:val="00845BFD"/>
    <w:rPr>
      <w:rFonts w:eastAsiaTheme="minorEastAsia"/>
      <w:b/>
      <w:bCs/>
      <w:sz w:val="20"/>
      <w:szCs w:val="20"/>
      <w:lang w:eastAsia="zh-TW"/>
    </w:rPr>
  </w:style>
  <w:style w:type="paragraph" w:customStyle="1" w:styleId="CABBulletList">
    <w:name w:val="CAB Bullet List"/>
    <w:basedOn w:val="ListParagraph"/>
    <w:uiPriority w:val="98"/>
    <w:qFormat/>
    <w:rsid w:val="004B7AA5"/>
    <w:pPr>
      <w:numPr>
        <w:numId w:val="7"/>
      </w:numPr>
      <w:tabs>
        <w:tab w:val="left" w:pos="851"/>
      </w:tabs>
      <w:spacing w:before="60" w:after="60"/>
    </w:pPr>
    <w:rPr>
      <w:rFonts w:ascii="Arial" w:eastAsiaTheme="minorHAnsi" w:hAnsi="Arial"/>
      <w:lang w:eastAsia="en-US"/>
    </w:rPr>
  </w:style>
  <w:style w:type="table" w:styleId="ListTable2-Accent1">
    <w:name w:val="List Table 2 Accent 1"/>
    <w:basedOn w:val="TableNormal"/>
    <w:uiPriority w:val="47"/>
    <w:rsid w:val="00902C7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link w:val="BodyTextChar"/>
    <w:qFormat/>
    <w:rsid w:val="00532D0D"/>
    <w:pPr>
      <w:widowControl w:val="0"/>
      <w:spacing w:before="120" w:after="120" w:line="276"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2D0D"/>
    <w:rPr>
      <w:rFonts w:ascii="Times New Roman" w:eastAsia="Times New Roman" w:hAnsi="Times New Roman" w:cs="Times New Roman"/>
      <w:sz w:val="24"/>
      <w:szCs w:val="24"/>
    </w:rPr>
  </w:style>
  <w:style w:type="paragraph" w:customStyle="1" w:styleId="ResponseParagraphListparagraph">
    <w:name w:val="Response Paragraph (List paragraph)"/>
    <w:basedOn w:val="BodyText"/>
    <w:link w:val="ResponseParagraphListparagraphChar"/>
    <w:rsid w:val="00354EAE"/>
  </w:style>
  <w:style w:type="character" w:customStyle="1" w:styleId="ResponseParagraphListparagraphChar">
    <w:name w:val="Response Paragraph (List paragraph) Char"/>
    <w:basedOn w:val="DefaultParagraphFont"/>
    <w:link w:val="ResponseParagraphListparagraph"/>
    <w:rsid w:val="00354EAE"/>
    <w:rPr>
      <w:rFonts w:ascii="Times New Roman" w:eastAsia="Times New Roman" w:hAnsi="Times New Roman" w:cs="Times New Roman"/>
      <w:sz w:val="24"/>
      <w:szCs w:val="24"/>
    </w:rPr>
  </w:style>
  <w:style w:type="character" w:customStyle="1" w:styleId="ListParagraphChar">
    <w:name w:val="List Paragraph Char"/>
    <w:aliases w:val="CAB - List Bullet Char,List Bullet Cab Char,Bullet Points Char,CV text Char,Dot pt Char,F5 List Paragraph Char,Indicator Text Char,L Char,List Paragraph Char Char Char Char,List Paragraph1 Char,List Paragraph11 Char,MAIN CONTENT Char"/>
    <w:link w:val="ListParagraph"/>
    <w:uiPriority w:val="34"/>
    <w:qFormat/>
    <w:locked/>
    <w:rsid w:val="00F66D45"/>
    <w:rPr>
      <w:rFonts w:eastAsiaTheme="minorEastAsia"/>
      <w:lang w:eastAsia="zh-TW"/>
    </w:rPr>
  </w:style>
  <w:style w:type="character" w:styleId="Strong">
    <w:name w:val="Strong"/>
    <w:basedOn w:val="DefaultParagraphFont"/>
    <w:uiPriority w:val="22"/>
    <w:qFormat/>
    <w:rsid w:val="00785806"/>
    <w:rPr>
      <w:b/>
      <w:bCs/>
    </w:rPr>
  </w:style>
  <w:style w:type="paragraph" w:customStyle="1" w:styleId="CABNETParagraph">
    <w:name w:val="CABNET Paragraph."/>
    <w:basedOn w:val="Normal"/>
    <w:link w:val="CABNETParagraphChar"/>
    <w:uiPriority w:val="98"/>
    <w:qFormat/>
    <w:rsid w:val="00072585"/>
    <w:pPr>
      <w:spacing w:before="120" w:after="120"/>
    </w:pPr>
    <w:rPr>
      <w:rFonts w:ascii="Arial" w:eastAsiaTheme="minorHAnsi" w:hAnsi="Arial" w:cstheme="minorHAnsi"/>
      <w:lang w:eastAsia="en-US"/>
    </w:rPr>
  </w:style>
  <w:style w:type="character" w:customStyle="1" w:styleId="CABNETParagraphChar">
    <w:name w:val="CABNET Paragraph. Char"/>
    <w:basedOn w:val="DefaultParagraphFont"/>
    <w:link w:val="CABNETParagraph"/>
    <w:uiPriority w:val="98"/>
    <w:rsid w:val="00072585"/>
    <w:rPr>
      <w:rFonts w:ascii="Arial" w:hAnsi="Arial" w:cstheme="minorHAnsi"/>
    </w:rPr>
  </w:style>
  <w:style w:type="numbering" w:customStyle="1" w:styleId="BulletList">
    <w:name w:val="Bullet List"/>
    <w:uiPriority w:val="99"/>
    <w:rsid w:val="004C3F16"/>
    <w:pPr>
      <w:numPr>
        <w:numId w:val="24"/>
      </w:numPr>
    </w:pPr>
  </w:style>
  <w:style w:type="paragraph" w:customStyle="1" w:styleId="Bullet1">
    <w:name w:val="Bullet 1"/>
    <w:basedOn w:val="Normal"/>
    <w:uiPriority w:val="3"/>
    <w:qFormat/>
    <w:rsid w:val="00BC54FE"/>
    <w:pPr>
      <w:numPr>
        <w:numId w:val="27"/>
      </w:numPr>
      <w:suppressAutoHyphens/>
      <w:spacing w:before="80" w:after="80"/>
    </w:pPr>
    <w:rPr>
      <w:rFonts w:eastAsiaTheme="minorHAnsi"/>
      <w:color w:val="000000" w:themeColor="text1"/>
      <w:lang w:val="x-none" w:eastAsia="en-US"/>
    </w:rPr>
  </w:style>
  <w:style w:type="paragraph" w:customStyle="1" w:styleId="Bullet2">
    <w:name w:val="Bullet 2"/>
    <w:basedOn w:val="Bullet1"/>
    <w:uiPriority w:val="3"/>
    <w:rsid w:val="00BC54FE"/>
    <w:pPr>
      <w:numPr>
        <w:ilvl w:val="1"/>
      </w:numPr>
      <w:ind w:left="568"/>
    </w:pPr>
  </w:style>
  <w:style w:type="paragraph" w:customStyle="1" w:styleId="Bullet3">
    <w:name w:val="Bullet 3"/>
    <w:basedOn w:val="Bullet2"/>
    <w:uiPriority w:val="3"/>
    <w:rsid w:val="00BC54FE"/>
    <w:pPr>
      <w:numPr>
        <w:ilvl w:val="2"/>
      </w:numPr>
      <w:ind w:left="1800" w:hanging="360"/>
    </w:pPr>
  </w:style>
  <w:style w:type="numbering" w:customStyle="1" w:styleId="Bullets">
    <w:name w:val="Bullets"/>
    <w:uiPriority w:val="99"/>
    <w:rsid w:val="00BC54FE"/>
    <w:pPr>
      <w:numPr>
        <w:numId w:val="27"/>
      </w:numPr>
    </w:pPr>
  </w:style>
  <w:style w:type="character" w:styleId="UnresolvedMention">
    <w:name w:val="Unresolved Mention"/>
    <w:basedOn w:val="DefaultParagraphFont"/>
    <w:uiPriority w:val="99"/>
    <w:semiHidden/>
    <w:unhideWhenUsed/>
    <w:rsid w:val="00C3149D"/>
    <w:rPr>
      <w:color w:val="605E5C"/>
      <w:shd w:val="clear" w:color="auto" w:fill="E1DFDD"/>
    </w:rPr>
  </w:style>
  <w:style w:type="paragraph" w:styleId="Title">
    <w:name w:val="Title"/>
    <w:basedOn w:val="Normal"/>
    <w:next w:val="Normal"/>
    <w:link w:val="TitleChar"/>
    <w:uiPriority w:val="10"/>
    <w:qFormat/>
    <w:rsid w:val="00C2536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5365"/>
    <w:rPr>
      <w:rFonts w:asciiTheme="majorHAnsi" w:eastAsiaTheme="majorEastAsia" w:hAnsiTheme="majorHAnsi" w:cstheme="majorBidi"/>
      <w:spacing w:val="-10"/>
      <w:kern w:val="28"/>
      <w:sz w:val="56"/>
      <w:szCs w:val="56"/>
      <w:lang w:eastAsia="zh-TW"/>
    </w:rPr>
  </w:style>
  <w:style w:type="character" w:customStyle="1" w:styleId="Heading4Char">
    <w:name w:val="Heading 4 Char"/>
    <w:basedOn w:val="DefaultParagraphFont"/>
    <w:link w:val="Heading4"/>
    <w:uiPriority w:val="9"/>
    <w:rsid w:val="00EE651D"/>
    <w:rPr>
      <w:rFonts w:asciiTheme="majorHAnsi" w:eastAsiaTheme="minorEastAsia" w:hAnsiTheme="majorHAnsi" w:cstheme="majorHAnsi"/>
      <w:color w:val="323E4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2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ss.gov.au/our-responsibilities/communities-and-vulnerable-people/programs-services/commonwealth-financial-counselling-cf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betstop.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dss.gov.au/financialcouns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F2C27-1D1A-44D2-9B33-CFCC76F08A1A}">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3254</Words>
  <Characters>19332</Characters>
  <Application>Microsoft Office Word</Application>
  <DocSecurity>0</DocSecurity>
  <Lines>302</Lines>
  <Paragraphs>136</Paragraphs>
  <ScaleCrop>false</ScaleCrop>
  <HeadingPairs>
    <vt:vector size="2" baseType="variant">
      <vt:variant>
        <vt:lpstr>Title</vt:lpstr>
      </vt:variant>
      <vt:variant>
        <vt:i4>1</vt:i4>
      </vt:variant>
    </vt:vector>
  </HeadingPairs>
  <TitlesOfParts>
    <vt:vector size="1" baseType="lpstr">
      <vt:lpstr>Online Gambling Inquiry - Australian Government Response</vt:lpstr>
    </vt:vector>
  </TitlesOfParts>
  <Company/>
  <LinksUpToDate>false</LinksUpToDate>
  <CharactersWithSpaces>22450</CharactersWithSpaces>
  <SharedDoc>false</SharedDoc>
  <HLinks>
    <vt:vector size="18" baseType="variant">
      <vt:variant>
        <vt:i4>2818082</vt:i4>
      </vt:variant>
      <vt:variant>
        <vt:i4>6</vt:i4>
      </vt:variant>
      <vt:variant>
        <vt:i4>0</vt:i4>
      </vt:variant>
      <vt:variant>
        <vt:i4>5</vt:i4>
      </vt:variant>
      <vt:variant>
        <vt:lpwstr>https://www.betstop.gov.au/</vt:lpwstr>
      </vt:variant>
      <vt:variant>
        <vt:lpwstr/>
      </vt:variant>
      <vt:variant>
        <vt:i4>7209020</vt:i4>
      </vt:variant>
      <vt:variant>
        <vt:i4>3</vt:i4>
      </vt:variant>
      <vt:variant>
        <vt:i4>0</vt:i4>
      </vt:variant>
      <vt:variant>
        <vt:i4>5</vt:i4>
      </vt:variant>
      <vt:variant>
        <vt:lpwstr>http://www.dss.gov.au/financialcounselling</vt:lpwstr>
      </vt:variant>
      <vt:variant>
        <vt:lpwstr/>
      </vt:variant>
      <vt:variant>
        <vt:i4>8126576</vt:i4>
      </vt:variant>
      <vt:variant>
        <vt:i4>0</vt:i4>
      </vt:variant>
      <vt:variant>
        <vt:i4>0</vt:i4>
      </vt:variant>
      <vt:variant>
        <vt:i4>5</vt:i4>
      </vt:variant>
      <vt:variant>
        <vt:lpwstr>https://www.dss.gov.au/our-responsibilities/communities-and-vulnerable-people/programs-services/commonwealth-financial-counselling-cfc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Gambling Inquiry - Australian Government Response</dc:title>
  <dc:subject/>
  <dc:creator/>
  <cp:keywords>[SEC=OFFICIAL]</cp:keywords>
  <dc:description/>
  <cp:lastModifiedBy/>
  <cp:revision>1</cp:revision>
  <dcterms:created xsi:type="dcterms:W3CDTF">2026-05-11T03:53:00Z</dcterms:created>
  <dcterms:modified xsi:type="dcterms:W3CDTF">2026-05-11T03:57:00Z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ote">
    <vt:lpwstr/>
  </property>
  <property fmtid="{D5CDD505-2E9C-101B-9397-08002B2CF9AE}" pid="3" name="MSIP_Label_eb34d90b-fc41-464d-af60-f74d721d0790_Name">
    <vt:lpwstr>OFFICIAL</vt:lpwstr>
  </property>
  <property fmtid="{D5CDD505-2E9C-101B-9397-08002B2CF9AE}" pid="4" name="MSIP_Label_eb34d90b-fc41-464d-af60-f74d721d0790_Method">
    <vt:lpwstr>Privileged</vt:lpwstr>
  </property>
  <property fmtid="{D5CDD505-2E9C-101B-9397-08002B2CF9AE}" pid="5" name="PM_Originator_Hash_SHA1">
    <vt:lpwstr>F3EEFC68690FF55C9AAB5A2A00DF8223F7DCA409</vt:lpwstr>
  </property>
  <property fmtid="{D5CDD505-2E9C-101B-9397-08002B2CF9AE}" pid="6" name="PMUuid">
    <vt:lpwstr>v=2022.2;d=gov.au;g=46DD6D7C-8107-577B-BC6E-F348953B2E44</vt:lpwstr>
  </property>
  <property fmtid="{D5CDD505-2E9C-101B-9397-08002B2CF9AE}" pid="7" name="MSIP_Label_eb34d90b-fc41-464d-af60-f74d721d0790_SiteId">
    <vt:lpwstr>61e36dd1-ca6e-4d61-aa0a-2b4eb88317a3</vt:lpwstr>
  </property>
  <property fmtid="{D5CDD505-2E9C-101B-9397-08002B2CF9AE}" pid="8" name="PM_ProtectiveMarkingImage_Header">
    <vt:lpwstr>C:\Program Files (x86)\Common Files\janusNET Shared\janusSEAL\Images\DocumentSlashBlue.png</vt:lpwstr>
  </property>
  <property fmtid="{D5CDD505-2E9C-101B-9397-08002B2CF9AE}" pid="9" name="MSIP_Label_eb34d90b-fc41-464d-af60-f74d721d0790_SetDate">
    <vt:lpwstr>2023-01-03T00:40:56Z</vt:lpwstr>
  </property>
  <property fmtid="{D5CDD505-2E9C-101B-9397-08002B2CF9AE}" pid="10" name="PM_ProtectiveMarkingImage_Footer">
    <vt:lpwstr>C:\Program Files (x86)\Common Files\janusNET Shared\janusSEAL\Images\DocumentSlashBlue.png</vt:lpwstr>
  </property>
  <property fmtid="{D5CDD505-2E9C-101B-9397-08002B2CF9AE}" pid="11" name="PM_Qualifier_Prev">
    <vt:lpwstr/>
  </property>
  <property fmtid="{D5CDD505-2E9C-101B-9397-08002B2CF9AE}" pid="12" name="PM_ProtectiveMarkingValue_Footer">
    <vt:lpwstr>OFFICIAL</vt:lpwstr>
  </property>
  <property fmtid="{D5CDD505-2E9C-101B-9397-08002B2CF9AE}" pid="13" name="PM_Originating_FileId">
    <vt:lpwstr>22A86C8176DC4347AC94271D8F4C5631</vt:lpwstr>
  </property>
  <property fmtid="{D5CDD505-2E9C-101B-9397-08002B2CF9AE}" pid="14" name="PM_Hash_Salt_Prev">
    <vt:lpwstr>8EEDC4F4008435C80DD65F00F12F694A</vt:lpwstr>
  </property>
  <property fmtid="{D5CDD505-2E9C-101B-9397-08002B2CF9AE}" pid="15" name="PM_OriginatorUserAccountName_SHA256">
    <vt:lpwstr>73AC4EAD9CE44ABE0D3975CCC32C94FA28991B0DAEA075717C6B657D5C5BAB9F</vt:lpwstr>
  </property>
  <property fmtid="{D5CDD505-2E9C-101B-9397-08002B2CF9AE}" pid="16" name="PM_DowngradeTo">
    <vt:lpwstr/>
  </property>
  <property fmtid="{D5CDD505-2E9C-101B-9397-08002B2CF9AE}" pid="17" name="PM_InsertionValue">
    <vt:lpwstr>OFFICIAL</vt:lpwstr>
  </property>
  <property fmtid="{D5CDD505-2E9C-101B-9397-08002B2CF9AE}" pid="18" name="PM_Hash_Salt">
    <vt:lpwstr>F75D17CFAFCC998B62FDAF833A779351</vt:lpwstr>
  </property>
  <property fmtid="{D5CDD505-2E9C-101B-9397-08002B2CF9AE}" pid="19" name="PM_OriginationTimeStamp">
    <vt:lpwstr>2023-01-03T00:40:56Z</vt:lpwstr>
  </property>
  <property fmtid="{D5CDD505-2E9C-101B-9397-08002B2CF9AE}" pid="20" name="PM_ProtectiveMarkingValue_Header">
    <vt:lpwstr>OFFICIAL</vt:lpwstr>
  </property>
  <property fmtid="{D5CDD505-2E9C-101B-9397-08002B2CF9AE}" pid="21" name="PM_Expires">
    <vt:lpwstr/>
  </property>
  <property fmtid="{D5CDD505-2E9C-101B-9397-08002B2CF9AE}" pid="22" name="PM_DisplayValueSecClassificationWithQualifier">
    <vt:lpwstr>OFFICIAL</vt:lpwstr>
  </property>
  <property fmtid="{D5CDD505-2E9C-101B-9397-08002B2CF9AE}" pid="23" name="PM_Hash_Version">
    <vt:lpwstr>2024.1</vt:lpwstr>
  </property>
  <property fmtid="{D5CDD505-2E9C-101B-9397-08002B2CF9AE}" pid="24" name="PM_Hash_SHA1">
    <vt:lpwstr>FC454770DBFC463FDD368B4B90EDB61DC115A344</vt:lpwstr>
  </property>
  <property fmtid="{D5CDD505-2E9C-101B-9397-08002B2CF9AE}" pid="25" name="PM_Display">
    <vt:lpwstr>OFFICIAL</vt:lpwstr>
  </property>
  <property fmtid="{D5CDD505-2E9C-101B-9397-08002B2CF9AE}" pid="26" name="MSIP_Label_eb34d90b-fc41-464d-af60-f74d721d0790_Enabled">
    <vt:lpwstr>true</vt:lpwstr>
  </property>
  <property fmtid="{D5CDD505-2E9C-101B-9397-08002B2CF9AE}" pid="27" name="MSIP_Label_eb34d90b-fc41-464d-af60-f74d721d0790_ContentBits">
    <vt:lpwstr>3</vt:lpwstr>
  </property>
  <property fmtid="{D5CDD505-2E9C-101B-9397-08002B2CF9AE}" pid="28" name="PM_SecurityClassification_Prev">
    <vt:lpwstr>OFFICIAL</vt:lpwstr>
  </property>
  <property fmtid="{D5CDD505-2E9C-101B-9397-08002B2CF9AE}" pid="29" name="MSIP_Label_eb34d90b-fc41-464d-af60-f74d721d0790_ActionId">
    <vt:lpwstr>eb32685f31014029a297a5c1f9390a8c</vt:lpwstr>
  </property>
  <property fmtid="{D5CDD505-2E9C-101B-9397-08002B2CF9AE}" pid="30" name="PM_OriginatorDomainName_SHA256">
    <vt:lpwstr>E83A2A66C4061446A7E3732E8D44762184B6B377D962B96C83DC624302585857</vt:lpwstr>
  </property>
  <property fmtid="{D5CDD505-2E9C-101B-9397-08002B2CF9AE}" pid="31" name="PM_Namespace">
    <vt:lpwstr>gov.au</vt:lpwstr>
  </property>
  <property fmtid="{D5CDD505-2E9C-101B-9397-08002B2CF9AE}" pid="32" name="PM_Version">
    <vt:lpwstr>2018.4</vt:lpwstr>
  </property>
  <property fmtid="{D5CDD505-2E9C-101B-9397-08002B2CF9AE}" pid="33" name="PM_SecurityClassification">
    <vt:lpwstr>OFFICIAL</vt:lpwstr>
  </property>
  <property fmtid="{D5CDD505-2E9C-101B-9397-08002B2CF9AE}" pid="34" name="PMHMAC">
    <vt:lpwstr>v=2024.1;a=SHA256;h=30429ADD952BE890FDFAA970BB0EBF28580082F06383780C01ADDC53937207BE</vt:lpwstr>
  </property>
  <property fmtid="{D5CDD505-2E9C-101B-9397-08002B2CF9AE}" pid="35" name="PM_Qualifier">
    <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