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554FEF1" w14:textId="2939AE10" w:rsidR="008F0B14" w:rsidRDefault="001F23BC" w:rsidP="001F23BC">
      <w:pPr>
        <w:spacing w:before="4680"/>
      </w:pPr>
      <w:bookmarkStart w:id="0" w:name="_Toc140757166"/>
      <w:bookmarkStart w:id="1" w:name="_Toc144375361"/>
      <w:r>
        <w:rPr>
          <w:noProof/>
        </w:rPr>
        <w:drawing>
          <wp:anchor distT="0" distB="0" distL="114300" distR="114300" simplePos="0" relativeHeight="251674624" behindDoc="1" locked="0" layoutInCell="1" allowOverlap="1" wp14:anchorId="24D76A31" wp14:editId="5DD92CA6">
            <wp:simplePos x="0" y="0"/>
            <wp:positionH relativeFrom="margin">
              <wp:posOffset>-1943100</wp:posOffset>
            </wp:positionH>
            <wp:positionV relativeFrom="margin">
              <wp:posOffset>11693</wp:posOffset>
            </wp:positionV>
            <wp:extent cx="9845040" cy="9459311"/>
            <wp:effectExtent l="0" t="0" r="3810" b="8890"/>
            <wp:wrapNone/>
            <wp:docPr id="1780264001"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264001" name="Picture 7">
                      <a:extLst>
                        <a:ext uri="{C183D7F6-B498-43B3-948B-1728B52AA6E4}">
                          <adec:decorative xmlns:adec="http://schemas.microsoft.com/office/drawing/2017/decorative" val="1"/>
                        </a:ext>
                      </a:extLst>
                    </pic:cNvPr>
                    <pic:cNvPicPr/>
                  </pic:nvPicPr>
                  <pic:blipFill>
                    <a:blip r:embed="rId11">
                      <a:extLst>
                        <a:ext uri="{28A0092B-C50C-407E-A947-70E740481C1C}">
                          <a14:useLocalDpi xmlns:a14="http://schemas.microsoft.com/office/drawing/2010/main"/>
                        </a:ext>
                      </a:extLst>
                    </a:blip>
                    <a:stretch>
                      <a:fillRect/>
                    </a:stretch>
                  </pic:blipFill>
                  <pic:spPr>
                    <a:xfrm>
                      <a:off x="0" y="0"/>
                      <a:ext cx="9845040" cy="9459311"/>
                    </a:xfrm>
                    <a:prstGeom prst="rect">
                      <a:avLst/>
                    </a:prstGeom>
                  </pic:spPr>
                </pic:pic>
              </a:graphicData>
            </a:graphic>
            <wp14:sizeRelH relativeFrom="page">
              <wp14:pctWidth>0</wp14:pctWidth>
            </wp14:sizeRelH>
            <wp14:sizeRelV relativeFrom="page">
              <wp14:pctHeight>0</wp14:pctHeight>
            </wp14:sizeRelV>
          </wp:anchor>
        </w:drawing>
      </w:r>
      <w:r w:rsidR="008F0B14">
        <w:rPr>
          <w:noProof/>
        </w:rPr>
        <w:drawing>
          <wp:anchor distT="0" distB="0" distL="114300" distR="114300" simplePos="0" relativeHeight="251672576" behindDoc="0" locked="0" layoutInCell="1" allowOverlap="1" wp14:anchorId="42150941" wp14:editId="66B8F6A8">
            <wp:simplePos x="0" y="0"/>
            <wp:positionH relativeFrom="margin">
              <wp:align>center</wp:align>
            </wp:positionH>
            <wp:positionV relativeFrom="paragraph">
              <wp:posOffset>2372140</wp:posOffset>
            </wp:positionV>
            <wp:extent cx="2057400" cy="1058180"/>
            <wp:effectExtent l="0" t="0" r="0" b="8890"/>
            <wp:wrapSquare wrapText="bothSides"/>
            <wp:docPr id="1737893320" name="Picture 4" descr="Australian Government Department of Social Serv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893320" name="Picture 4" descr="Australian Government Department of Social Services"/>
                    <pic:cNvPicPr/>
                  </pic:nvPicPr>
                  <pic:blipFill>
                    <a:blip r:embed="rId12" cstate="print">
                      <a:extLst>
                        <a:ext uri="{28A0092B-C50C-407E-A947-70E740481C1C}">
                          <a14:useLocalDpi xmlns:a14="http://schemas.microsoft.com/office/drawing/2010/main"/>
                        </a:ext>
                      </a:extLst>
                    </a:blip>
                    <a:stretch>
                      <a:fillRect/>
                    </a:stretch>
                  </pic:blipFill>
                  <pic:spPr>
                    <a:xfrm>
                      <a:off x="0" y="0"/>
                      <a:ext cx="2057400" cy="1058180"/>
                    </a:xfrm>
                    <a:prstGeom prst="rect">
                      <a:avLst/>
                    </a:prstGeom>
                  </pic:spPr>
                </pic:pic>
              </a:graphicData>
            </a:graphic>
          </wp:anchor>
        </w:drawing>
      </w:r>
      <w:r>
        <w:br w:type="textWrapping" w:clear="all"/>
      </w:r>
    </w:p>
    <w:p w14:paraId="3EE7A4DB" w14:textId="1D660046" w:rsidR="00570FCD" w:rsidRPr="003510FA" w:rsidRDefault="00570FCD" w:rsidP="003510FA">
      <w:pPr>
        <w:pStyle w:val="BodyText"/>
        <w:jc w:val="center"/>
        <w:rPr>
          <w:rFonts w:ascii="Calibri" w:hAnsi="Calibri" w:cs="Calibri"/>
          <w:b/>
          <w:bCs/>
          <w:sz w:val="72"/>
          <w:szCs w:val="72"/>
        </w:rPr>
      </w:pPr>
      <w:bookmarkStart w:id="2" w:name="_Toc215824416"/>
      <w:bookmarkStart w:id="3" w:name="_Toc215830129"/>
      <w:bookmarkStart w:id="4" w:name="_Toc215145875"/>
      <w:bookmarkStart w:id="5" w:name="_Toc215146302"/>
      <w:bookmarkStart w:id="6" w:name="_Toc215150963"/>
      <w:bookmarkStart w:id="7" w:name="_Toc215151207"/>
      <w:bookmarkEnd w:id="0"/>
      <w:bookmarkEnd w:id="1"/>
      <w:r w:rsidRPr="003510FA">
        <w:rPr>
          <w:rFonts w:ascii="Calibri" w:hAnsi="Calibri" w:cs="Calibri"/>
          <w:b/>
          <w:bCs/>
          <w:sz w:val="72"/>
          <w:szCs w:val="72"/>
        </w:rPr>
        <w:t>Early Years Strategy</w:t>
      </w:r>
      <w:bookmarkEnd w:id="2"/>
      <w:bookmarkEnd w:id="3"/>
    </w:p>
    <w:p w14:paraId="3DB96B43" w14:textId="0B2C7337" w:rsidR="00E07CF5" w:rsidRPr="003510FA" w:rsidRDefault="00570FCD" w:rsidP="003510FA">
      <w:pPr>
        <w:pStyle w:val="BodyText"/>
        <w:jc w:val="center"/>
        <w:rPr>
          <w:rFonts w:ascii="Calibri Light" w:hAnsi="Calibri Light" w:cs="Calibri Light"/>
          <w:bCs/>
          <w:sz w:val="72"/>
          <w:szCs w:val="72"/>
        </w:rPr>
      </w:pPr>
      <w:bookmarkStart w:id="8" w:name="_Toc215824417"/>
      <w:bookmarkStart w:id="9" w:name="_Toc215824535"/>
      <w:bookmarkStart w:id="10" w:name="_Toc215830130"/>
      <w:r w:rsidRPr="003510FA">
        <w:rPr>
          <w:rFonts w:ascii="Calibri Light" w:hAnsi="Calibri Light" w:cs="Calibri Light"/>
          <w:sz w:val="72"/>
          <w:szCs w:val="72"/>
        </w:rPr>
        <w:t>2024-2034</w:t>
      </w:r>
      <w:bookmarkEnd w:id="4"/>
      <w:bookmarkEnd w:id="5"/>
      <w:bookmarkEnd w:id="6"/>
      <w:bookmarkEnd w:id="7"/>
      <w:bookmarkEnd w:id="8"/>
      <w:bookmarkEnd w:id="9"/>
      <w:bookmarkEnd w:id="10"/>
    </w:p>
    <w:p w14:paraId="636B02FA" w14:textId="5954316A" w:rsidR="008F0B14" w:rsidRPr="008F0B14" w:rsidRDefault="00570FCD" w:rsidP="008F0B14">
      <w:pPr>
        <w:pStyle w:val="Subtitle"/>
        <w:sectPr w:rsidR="008F0B14" w:rsidRPr="008F0B14" w:rsidSect="00D07417">
          <w:footerReference w:type="even" r:id="rId13"/>
          <w:footerReference w:type="default" r:id="rId14"/>
          <w:footerReference w:type="first" r:id="rId15"/>
          <w:type w:val="nextColumn"/>
          <w:pgSz w:w="11906" w:h="16838"/>
          <w:pgMar w:top="851" w:right="851" w:bottom="1134" w:left="851" w:header="0" w:footer="281" w:gutter="0"/>
          <w:pgNumType w:start="0"/>
          <w:cols w:space="708"/>
          <w:titlePg/>
          <w:docGrid w:linePitch="360"/>
        </w:sectPr>
      </w:pPr>
      <w:bookmarkStart w:id="11" w:name="_Toc395536189"/>
      <w:r>
        <w:t>Monitoring and Evaluation Framework</w:t>
      </w:r>
    </w:p>
    <w:p w14:paraId="3B3298C1" w14:textId="77777777" w:rsidR="00994711" w:rsidRPr="00BB56F0" w:rsidRDefault="00994711" w:rsidP="00994711">
      <w:pPr>
        <w:spacing w:before="4600"/>
        <w:rPr>
          <w:b/>
          <w:bCs/>
          <w:i/>
          <w:iCs/>
          <w:smallCaps/>
        </w:rPr>
      </w:pPr>
      <w:r w:rsidRPr="00BB56F0">
        <w:rPr>
          <w:b/>
          <w:bCs/>
        </w:rPr>
        <w:lastRenderedPageBreak/>
        <w:t>ISBN:</w:t>
      </w:r>
      <w:r w:rsidRPr="00BB56F0">
        <w:rPr>
          <w:rFonts w:cs="Calibri"/>
          <w:b/>
          <w:bCs/>
          <w:color w:val="000000"/>
          <w:szCs w:val="22"/>
          <w:lang w:eastAsia="en-AU"/>
        </w:rPr>
        <w:t xml:space="preserve"> </w:t>
      </w:r>
      <w:r w:rsidRPr="00BB56F0">
        <w:rPr>
          <w:b/>
          <w:bCs/>
        </w:rPr>
        <w:t>978-1-921975-45-5</w:t>
      </w:r>
    </w:p>
    <w:p w14:paraId="69002424" w14:textId="77777777" w:rsidR="00994711" w:rsidRPr="00717729" w:rsidRDefault="00994711" w:rsidP="00994711">
      <w:pPr>
        <w:spacing w:before="600" w:after="0"/>
        <w:jc w:val="both"/>
        <w:rPr>
          <w:rFonts w:cs="Arial"/>
          <w:b/>
        </w:rPr>
      </w:pPr>
      <w:r>
        <w:rPr>
          <w:rFonts w:cs="Arial"/>
          <w:b/>
        </w:rPr>
        <w:t>Copyright n</w:t>
      </w:r>
      <w:r w:rsidRPr="00717729">
        <w:rPr>
          <w:rFonts w:cs="Arial"/>
          <w:b/>
        </w:rPr>
        <w:t>otice</w:t>
      </w:r>
    </w:p>
    <w:p w14:paraId="4577608E" w14:textId="77777777" w:rsidR="00994711" w:rsidRDefault="00994711" w:rsidP="00994711">
      <w:pPr>
        <w:rPr>
          <w:rFonts w:ascii="Arial" w:hAnsi="Arial" w:cs="Arial"/>
        </w:rPr>
      </w:pPr>
      <w:r>
        <w:rPr>
          <w:noProof/>
          <w:lang w:eastAsia="en-AU"/>
        </w:rPr>
        <w:drawing>
          <wp:inline distT="0" distB="0" distL="0" distR="0" wp14:anchorId="3E9DE00F" wp14:editId="49A9770A">
            <wp:extent cx="1227411" cy="429442"/>
            <wp:effectExtent l="0" t="0" r="0" b="8890"/>
            <wp:docPr id="4" name="Picture 4" descr="Creative Commons Attribution 4.0 International Licen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Creative Commons Attribution 4.0 International Licence">
                      <a:extLst>
                        <a:ext uri="{C183D7F6-B498-43B3-948B-1728B52AA6E4}">
                          <adec:decorative xmlns:adec="http://schemas.microsoft.com/office/drawing/2017/decorative" val="0"/>
                        </a:ext>
                      </a:extLst>
                    </pic:cNvPr>
                    <pic:cNvPicPr/>
                  </pic:nvPicPr>
                  <pic:blipFill>
                    <a:blip r:embed="rId16">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0FBFFB82" w14:textId="77777777" w:rsidR="00994711" w:rsidRDefault="00994711" w:rsidP="00994711">
      <w:pPr>
        <w:rPr>
          <w:rFonts w:ascii="Arial" w:hAnsi="Arial" w:cs="Arial"/>
        </w:rPr>
      </w:pPr>
    </w:p>
    <w:p w14:paraId="53206E7C" w14:textId="4169528D" w:rsidR="00994711" w:rsidRPr="00C84851" w:rsidRDefault="00994711" w:rsidP="00994711">
      <w:pPr>
        <w:rPr>
          <w:rStyle w:val="Hyperlink"/>
        </w:rPr>
      </w:pPr>
      <w:r w:rsidRPr="00717729">
        <w:t>This document</w:t>
      </w:r>
      <w:r w:rsidRPr="00112FEE">
        <w:t>, Australian Government, Early Years Strategy 2024-2034, Monitoring and Evaluation Framework, is lice</w:t>
      </w:r>
      <w:r w:rsidRPr="00717729">
        <w:t xml:space="preserve">nsed under the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Creative Commons Attribution 4.0 International Licence</w:t>
      </w:r>
    </w:p>
    <w:p w14:paraId="1E3B7719" w14:textId="77777777" w:rsidR="00994711" w:rsidRPr="00C84851" w:rsidRDefault="00994711" w:rsidP="00994711">
      <w:pPr>
        <w:rPr>
          <w:rStyle w:val="Hyperlink"/>
        </w:rPr>
      </w:pPr>
      <w:r w:rsidRPr="00C84851">
        <w:fldChar w:fldCharType="end"/>
      </w:r>
      <w:r w:rsidRPr="00C84851">
        <w:t xml:space="preserve">Licence URL: </w:t>
      </w:r>
      <w:r w:rsidRPr="00C84851">
        <w:fldChar w:fldCharType="begin"/>
      </w:r>
      <w:r w:rsidRPr="00C84851">
        <w:instrText xml:space="preserve"> HYPERLINK "https://creativecommons.org/licenses/by/4.0/legalcode" </w:instrText>
      </w:r>
      <w:r w:rsidRPr="00C84851">
        <w:fldChar w:fldCharType="separate"/>
      </w:r>
      <w:r w:rsidRPr="00C84851">
        <w:rPr>
          <w:rStyle w:val="Hyperlink"/>
        </w:rPr>
        <w:t>https://creativecommons.org/licenses/by/4.0/legalcode</w:t>
      </w:r>
    </w:p>
    <w:p w14:paraId="6A54AAB5" w14:textId="77777777" w:rsidR="00994711" w:rsidRPr="00C84851" w:rsidRDefault="00994711" w:rsidP="00994711">
      <w:r w:rsidRPr="00C84851">
        <w:fldChar w:fldCharType="end"/>
      </w:r>
      <w:r w:rsidRPr="00C84851">
        <w:t>Please attribute: © Commonwealth of Australia (</w:t>
      </w:r>
      <w:hyperlink r:id="rId17" w:history="1">
        <w:r w:rsidRPr="00C84851">
          <w:rPr>
            <w:rStyle w:val="Hyperlink"/>
          </w:rPr>
          <w:t>Department of Social Services</w:t>
        </w:r>
      </w:hyperlink>
      <w:r w:rsidRPr="00C84851">
        <w:t xml:space="preserve">) </w:t>
      </w:r>
      <w:r>
        <w:t>2025</w:t>
      </w:r>
    </w:p>
    <w:p w14:paraId="4D25DD89" w14:textId="77777777" w:rsidR="00994711" w:rsidRPr="00C84851" w:rsidRDefault="00994711" w:rsidP="00994711">
      <w:pPr>
        <w:rPr>
          <w:b/>
        </w:rPr>
      </w:pPr>
      <w:r w:rsidRPr="00C84851">
        <w:rPr>
          <w:b/>
        </w:rPr>
        <w:t xml:space="preserve">Notice: </w:t>
      </w:r>
    </w:p>
    <w:p w14:paraId="40B0AD4E" w14:textId="77777777" w:rsidR="00994711" w:rsidRPr="00C84851" w:rsidRDefault="00994711" w:rsidP="00994711">
      <w:pPr>
        <w:pStyle w:val="ListParagraph"/>
        <w:numPr>
          <w:ilvl w:val="0"/>
          <w:numId w:val="2"/>
        </w:numPr>
      </w:pPr>
      <w:r w:rsidRPr="00C84851">
        <w:t>If you create a derivative of this document, the Department of Social Services requests the following notice be placed on your derivative: Based on Commonwealth of Australia (Department of Social Services) data.</w:t>
      </w:r>
    </w:p>
    <w:p w14:paraId="54F56FB0" w14:textId="77777777" w:rsidR="00994711" w:rsidRPr="007772C5" w:rsidRDefault="00994711" w:rsidP="00994711">
      <w:pPr>
        <w:pStyle w:val="ListParagraph"/>
        <w:numPr>
          <w:ilvl w:val="0"/>
          <w:numId w:val="2"/>
        </w:numPr>
        <w:rPr>
          <w:rStyle w:val="Hyperlink"/>
        </w:rPr>
      </w:pPr>
      <w:r>
        <w:t xml:space="preserve">Inquiries regarding this licence or any other use of this document are welcome. Please contact: Branch Manager, Communication Services Branch, Department of Social Services. Phone: 1300 653 227. Email: </w:t>
      </w:r>
      <w:r>
        <w:fldChar w:fldCharType="begin"/>
      </w:r>
      <w:r>
        <w:instrText xml:space="preserve"> HYPERLINK "mailto:communication@dss.gov.au" </w:instrText>
      </w:r>
      <w:r>
        <w:fldChar w:fldCharType="separate"/>
      </w:r>
      <w:r w:rsidRPr="007772C5">
        <w:rPr>
          <w:rStyle w:val="Hyperlink"/>
        </w:rPr>
        <w:t>communication@dss.gov.au</w:t>
      </w:r>
    </w:p>
    <w:p w14:paraId="66CA916C" w14:textId="77777777" w:rsidR="00994711" w:rsidRPr="00C84851" w:rsidRDefault="00994711" w:rsidP="00994711">
      <w:pPr>
        <w:rPr>
          <w:b/>
        </w:rPr>
      </w:pPr>
      <w:r>
        <w:fldChar w:fldCharType="end"/>
      </w:r>
      <w:r w:rsidRPr="00C84851">
        <w:rPr>
          <w:b/>
        </w:rPr>
        <w:t>Notice identifying other material or rights in this publication:</w:t>
      </w:r>
    </w:p>
    <w:p w14:paraId="0439B7F3" w14:textId="77777777" w:rsidR="00994711" w:rsidRPr="00C84851" w:rsidRDefault="00994711" w:rsidP="00994711">
      <w:pPr>
        <w:pStyle w:val="ListParagraph"/>
        <w:numPr>
          <w:ilvl w:val="0"/>
          <w:numId w:val="3"/>
        </w:numPr>
      </w:pPr>
      <w:r>
        <w:t xml:space="preserve">Australian Commonwealth Coat of Arms – not Licensed under Creative Commons, see </w:t>
      </w:r>
      <w:hyperlink r:id="rId18" w:history="1">
        <w:r w:rsidRPr="544C0DBF">
          <w:rPr>
            <w:rStyle w:val="Hyperlink"/>
          </w:rPr>
          <w:t>https://www.pmc.gov.au/honours-and-symbols/commonwealth-coat-arms</w:t>
        </w:r>
      </w:hyperlink>
    </w:p>
    <w:p w14:paraId="3552A558" w14:textId="77777777" w:rsidR="00994711" w:rsidRPr="00C84851" w:rsidRDefault="00994711" w:rsidP="00994711">
      <w:pPr>
        <w:pStyle w:val="ListParagraph"/>
        <w:numPr>
          <w:ilvl w:val="0"/>
          <w:numId w:val="3"/>
        </w:numPr>
      </w:pPr>
      <w:r>
        <w:t>Certain images and photographs (as marked) – not licensed under Creative Commons.</w:t>
      </w:r>
    </w:p>
    <w:p w14:paraId="4133C80D" w14:textId="74624F97" w:rsidR="0059743C" w:rsidRDefault="00994711">
      <w:pPr>
        <w:spacing w:after="240"/>
      </w:pPr>
      <w:r>
        <w:rPr>
          <w:noProof/>
        </w:rPr>
        <w:lastRenderedPageBreak/>
        <w:drawing>
          <wp:anchor distT="0" distB="0" distL="114300" distR="114300" simplePos="0" relativeHeight="251651065" behindDoc="1" locked="0" layoutInCell="1" allowOverlap="1" wp14:anchorId="56123462" wp14:editId="5BF41E71">
            <wp:simplePos x="0" y="0"/>
            <wp:positionH relativeFrom="margin">
              <wp:posOffset>-5074340</wp:posOffset>
            </wp:positionH>
            <wp:positionV relativeFrom="paragraph">
              <wp:posOffset>-1114919</wp:posOffset>
            </wp:positionV>
            <wp:extent cx="16369882" cy="10913255"/>
            <wp:effectExtent l="0" t="0" r="635" b="0"/>
            <wp:wrapNone/>
            <wp:docPr id="834568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568131" name="Picture 1"/>
                    <pic:cNvPicPr>
                      <a:picLocks noChangeAspect="1" noChangeArrowheads="1"/>
                    </pic:cNvPicPr>
                  </pic:nvPicPr>
                  <pic:blipFill>
                    <a:blip r:embed="rId19"/>
                    <a:stretch>
                      <a:fillRect/>
                    </a:stretch>
                  </pic:blipFill>
                  <pic:spPr bwMode="auto">
                    <a:xfrm>
                      <a:off x="0" y="0"/>
                      <a:ext cx="16369882" cy="109132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1AA33A" w14:textId="2711E3F1" w:rsidR="001D2CFF" w:rsidRDefault="00B20D86" w:rsidP="0059743C">
      <w:pPr>
        <w:pStyle w:val="ListParagraph"/>
        <w:ind w:left="720"/>
      </w:pPr>
      <w:r>
        <w:br w:type="page"/>
      </w:r>
    </w:p>
    <w:p w14:paraId="5AE7D39E" w14:textId="07B667A3" w:rsidR="0083663D" w:rsidRDefault="007A5217" w:rsidP="0083663D">
      <w:r>
        <w:rPr>
          <w:noProof/>
        </w:rPr>
        <w:lastRenderedPageBreak/>
        <w:drawing>
          <wp:anchor distT="0" distB="0" distL="114300" distR="114300" simplePos="0" relativeHeight="251661312" behindDoc="1" locked="0" layoutInCell="1" allowOverlap="1" wp14:anchorId="2FF9A322" wp14:editId="3883EB9B">
            <wp:simplePos x="0" y="0"/>
            <wp:positionH relativeFrom="margin">
              <wp:align>center</wp:align>
            </wp:positionH>
            <wp:positionV relativeFrom="margin">
              <wp:posOffset>-389386</wp:posOffset>
            </wp:positionV>
            <wp:extent cx="9332595" cy="9204325"/>
            <wp:effectExtent l="0" t="0" r="1905" b="0"/>
            <wp:wrapNone/>
            <wp:docPr id="42906762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67622" name="Picture 2">
                      <a:extLst>
                        <a:ext uri="{C183D7F6-B498-43B3-948B-1728B52AA6E4}">
                          <adec:decorative xmlns:adec="http://schemas.microsoft.com/office/drawing/2017/decorative" val="1"/>
                        </a:ext>
                      </a:extLst>
                    </pic:cNvPr>
                    <pic:cNvPicPr/>
                  </pic:nvPicPr>
                  <pic:blipFill>
                    <a:blip r:embed="rId20" cstate="print">
                      <a:extLst>
                        <a:ext uri="{28A0092B-C50C-407E-A947-70E740481C1C}">
                          <a14:useLocalDpi xmlns:a14="http://schemas.microsoft.com/office/drawing/2010/main"/>
                        </a:ext>
                      </a:extLst>
                    </a:blip>
                    <a:stretch>
                      <a:fillRect/>
                    </a:stretch>
                  </pic:blipFill>
                  <pic:spPr>
                    <a:xfrm>
                      <a:off x="0" y="0"/>
                      <a:ext cx="9332660" cy="9204450"/>
                    </a:xfrm>
                    <a:prstGeom prst="rect">
                      <a:avLst/>
                    </a:prstGeom>
                  </pic:spPr>
                </pic:pic>
              </a:graphicData>
            </a:graphic>
            <wp14:sizeRelH relativeFrom="page">
              <wp14:pctWidth>0</wp14:pctWidth>
            </wp14:sizeRelH>
            <wp14:sizeRelV relativeFrom="page">
              <wp14:pctHeight>0</wp14:pctHeight>
            </wp14:sizeRelV>
          </wp:anchor>
        </w:drawing>
      </w:r>
      <w:r w:rsidR="00FA6FC0">
        <w:rPr>
          <w:noProof/>
        </w:rPr>
        <mc:AlternateContent>
          <mc:Choice Requires="wps">
            <w:drawing>
              <wp:anchor distT="0" distB="0" distL="114300" distR="114300" simplePos="0" relativeHeight="251652090" behindDoc="1" locked="0" layoutInCell="1" allowOverlap="1" wp14:anchorId="2CDCF753" wp14:editId="254A9006">
                <wp:simplePos x="0" y="0"/>
                <wp:positionH relativeFrom="page">
                  <wp:align>left</wp:align>
                </wp:positionH>
                <wp:positionV relativeFrom="paragraph">
                  <wp:posOffset>-1020073</wp:posOffset>
                </wp:positionV>
                <wp:extent cx="7696638" cy="10794421"/>
                <wp:effectExtent l="0" t="0" r="0" b="6985"/>
                <wp:wrapNone/>
                <wp:docPr id="1159609739" name="Rectangle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696638" cy="10794421"/>
                        </a:xfrm>
                        <a:prstGeom prst="rect">
                          <a:avLst/>
                        </a:prstGeom>
                        <a:solidFill>
                          <a:schemeClr val="bg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4F2C56" id="Rectangle 5" o:spid="_x0000_s1026" alt="&quot;&quot;" style="position:absolute;margin-left:0;margin-top:-80.3pt;width:606.05pt;height:849.95pt;z-index:-25166439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" fillcolor="#e8e8e8 [3214]" stroked="f" strokeweight=".73403mm">
                <w10:wrap anchorx="page"/>
              </v:rect>
            </w:pict>
          </mc:Fallback>
        </mc:AlternateContent>
      </w:r>
    </w:p>
    <w:p w14:paraId="705E9077" w14:textId="42306901" w:rsidR="003510FA" w:rsidRDefault="008F0B14" w:rsidP="003510FA">
      <w:pPr>
        <w:pStyle w:val="BodyText"/>
        <w:jc w:val="center"/>
        <w:rPr>
          <w:rFonts w:ascii="Calibri" w:hAnsi="Calibri" w:cs="Calibri"/>
          <w:b/>
          <w:bCs/>
          <w:sz w:val="40"/>
          <w:szCs w:val="40"/>
        </w:rPr>
      </w:pPr>
      <w:bookmarkStart w:id="12" w:name="_Toc215145876"/>
      <w:bookmarkStart w:id="13" w:name="_Toc215146303"/>
      <w:bookmarkStart w:id="14" w:name="_Toc215824536"/>
      <w:r w:rsidRPr="003510FA">
        <w:rPr>
          <w:rFonts w:ascii="Calibri" w:hAnsi="Calibri" w:cs="Calibri"/>
          <w:b/>
          <w:bCs/>
          <w:sz w:val="40"/>
          <w:szCs w:val="40"/>
        </w:rPr>
        <w:br/>
      </w:r>
    </w:p>
    <w:p w14:paraId="7B9D3342" w14:textId="448ABE9E" w:rsidR="003510FA" w:rsidRDefault="003510FA" w:rsidP="003510FA">
      <w:pPr>
        <w:pStyle w:val="BodyText"/>
        <w:jc w:val="center"/>
        <w:rPr>
          <w:rFonts w:ascii="Calibri" w:hAnsi="Calibri" w:cs="Calibri"/>
          <w:b/>
          <w:bCs/>
          <w:sz w:val="40"/>
          <w:szCs w:val="40"/>
        </w:rPr>
      </w:pPr>
    </w:p>
    <w:p w14:paraId="0211584F" w14:textId="56391039" w:rsidR="003510FA" w:rsidRDefault="003510FA" w:rsidP="003510FA">
      <w:pPr>
        <w:pStyle w:val="BodyText"/>
        <w:jc w:val="center"/>
        <w:rPr>
          <w:rFonts w:ascii="Calibri" w:hAnsi="Calibri" w:cs="Calibri"/>
          <w:b/>
          <w:bCs/>
          <w:sz w:val="40"/>
          <w:szCs w:val="40"/>
        </w:rPr>
      </w:pPr>
      <w:r w:rsidRPr="003510FA">
        <w:rPr>
          <w:rFonts w:ascii="Calibri" w:hAnsi="Calibri" w:cs="Calibri"/>
          <w:b/>
          <w:bCs/>
          <w:noProof/>
          <w:sz w:val="40"/>
          <w:szCs w:val="40"/>
        </w:rPr>
        <w:drawing>
          <wp:anchor distT="0" distB="0" distL="114300" distR="114300" simplePos="0" relativeHeight="251746304" behindDoc="0" locked="0" layoutInCell="1" allowOverlap="1" wp14:anchorId="1533E8A9" wp14:editId="7BD00024">
            <wp:simplePos x="0" y="0"/>
            <wp:positionH relativeFrom="column">
              <wp:posOffset>1358265</wp:posOffset>
            </wp:positionH>
            <wp:positionV relativeFrom="paragraph">
              <wp:posOffset>254635</wp:posOffset>
            </wp:positionV>
            <wp:extent cx="2678400" cy="2768400"/>
            <wp:effectExtent l="0" t="0" r="0" b="0"/>
            <wp:wrapSquare wrapText="bothSides"/>
            <wp:docPr id="473757813"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57813" name="Picture 1">
                      <a:extLst>
                        <a:ext uri="{C183D7F6-B498-43B3-948B-1728B52AA6E4}">
                          <adec:decorative xmlns:adec="http://schemas.microsoft.com/office/drawing/2017/decorative" val="1"/>
                        </a:ext>
                      </a:extLst>
                    </pic:cNvPr>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2678400" cy="276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60C8EF" w14:textId="0D1A394F" w:rsidR="003510FA" w:rsidRDefault="003510FA" w:rsidP="003510FA">
      <w:pPr>
        <w:pStyle w:val="BodyText"/>
        <w:jc w:val="center"/>
        <w:rPr>
          <w:rFonts w:ascii="Calibri" w:hAnsi="Calibri" w:cs="Calibri"/>
          <w:b/>
          <w:bCs/>
          <w:sz w:val="40"/>
          <w:szCs w:val="40"/>
        </w:rPr>
      </w:pPr>
    </w:p>
    <w:p w14:paraId="22768651" w14:textId="77777777" w:rsidR="003510FA" w:rsidRDefault="003510FA" w:rsidP="003510FA">
      <w:pPr>
        <w:pStyle w:val="BodyText"/>
        <w:jc w:val="center"/>
        <w:rPr>
          <w:rFonts w:ascii="Calibri" w:hAnsi="Calibri" w:cs="Calibri"/>
          <w:b/>
          <w:bCs/>
          <w:sz w:val="40"/>
          <w:szCs w:val="40"/>
        </w:rPr>
      </w:pPr>
    </w:p>
    <w:p w14:paraId="30603C47" w14:textId="77777777" w:rsidR="003510FA" w:rsidRDefault="003510FA" w:rsidP="003510FA">
      <w:pPr>
        <w:pStyle w:val="BodyText"/>
        <w:jc w:val="center"/>
        <w:rPr>
          <w:rFonts w:ascii="Calibri" w:hAnsi="Calibri" w:cs="Calibri"/>
          <w:b/>
          <w:bCs/>
          <w:sz w:val="40"/>
          <w:szCs w:val="40"/>
        </w:rPr>
      </w:pPr>
    </w:p>
    <w:p w14:paraId="2C67EF78" w14:textId="380B9BAE" w:rsidR="0083663D" w:rsidRPr="003510FA" w:rsidRDefault="001D2CFF" w:rsidP="003510FA">
      <w:pPr>
        <w:pStyle w:val="BodyText"/>
        <w:jc w:val="center"/>
        <w:rPr>
          <w:rFonts w:ascii="Calibri" w:hAnsi="Calibri" w:cs="Calibri"/>
          <w:b/>
          <w:bCs/>
          <w:sz w:val="40"/>
          <w:szCs w:val="40"/>
        </w:rPr>
      </w:pPr>
      <w:r w:rsidRPr="003510FA">
        <w:rPr>
          <w:rFonts w:ascii="Calibri" w:hAnsi="Calibri" w:cs="Calibri"/>
          <w:b/>
          <w:bCs/>
          <w:sz w:val="40"/>
          <w:szCs w:val="40"/>
        </w:rPr>
        <w:t>Acknowledgement of Country</w:t>
      </w:r>
      <w:bookmarkStart w:id="15" w:name="_Toc391890680"/>
      <w:bookmarkStart w:id="16" w:name="_Toc140757167"/>
      <w:bookmarkStart w:id="17" w:name="_Toc144375362"/>
      <w:bookmarkStart w:id="18" w:name="_Toc161056818"/>
      <w:bookmarkEnd w:id="11"/>
      <w:bookmarkEnd w:id="12"/>
      <w:bookmarkEnd w:id="13"/>
      <w:bookmarkEnd w:id="14"/>
    </w:p>
    <w:p w14:paraId="30E0638A" w14:textId="42630D2D" w:rsidR="008F0B14" w:rsidRDefault="0083663D" w:rsidP="001F23BC">
      <w:pPr>
        <w:tabs>
          <w:tab w:val="left" w:pos="284"/>
        </w:tabs>
        <w:spacing w:after="240"/>
        <w:jc w:val="center"/>
      </w:pPr>
      <w:r>
        <w:t>We</w:t>
      </w:r>
      <w:r w:rsidRPr="0083663D">
        <w:t xml:space="preserve"> </w:t>
      </w:r>
      <w:r w:rsidR="00E2261C" w:rsidRPr="0083663D">
        <w:t>acknowledge</w:t>
      </w:r>
      <w:r w:rsidRPr="0083663D">
        <w:t xml:space="preserve"> the Traditional Custodians of Country </w:t>
      </w:r>
      <w:r>
        <w:br/>
      </w:r>
      <w:r w:rsidRPr="0083663D">
        <w:t xml:space="preserve">throughout Australia and recognise their continued care </w:t>
      </w:r>
      <w:r>
        <w:br/>
      </w:r>
      <w:r w:rsidRPr="0083663D">
        <w:t xml:space="preserve">of and connection to land, water, culture and community. </w:t>
      </w:r>
      <w:r>
        <w:br/>
      </w:r>
      <w:r w:rsidRPr="0083663D">
        <w:t xml:space="preserve">We pay our respects to Aboriginal and Torres Strait Islander </w:t>
      </w:r>
      <w:r>
        <w:br/>
      </w:r>
      <w:r w:rsidRPr="0083663D">
        <w:t>cultures, and to Elders both past and present</w:t>
      </w:r>
    </w:p>
    <w:p w14:paraId="31B7BEC1" w14:textId="77777777" w:rsidR="007A5217" w:rsidRDefault="007A5217">
      <w:pPr>
        <w:spacing w:after="240"/>
      </w:pPr>
      <w:bookmarkStart w:id="19" w:name="_Toc215146304"/>
      <w:bookmarkStart w:id="20" w:name="_Toc207286648"/>
      <w:bookmarkEnd w:id="15"/>
      <w:bookmarkEnd w:id="16"/>
      <w:bookmarkEnd w:id="17"/>
      <w:bookmarkEnd w:id="18"/>
      <w:r>
        <w:rPr>
          <w:b/>
        </w:rPr>
        <w:br w:type="page"/>
      </w:r>
    </w:p>
    <w:sdt>
      <w:sdtPr>
        <w:rPr>
          <w:b w:val="0"/>
          <w:color w:val="auto"/>
        </w:rPr>
        <w:id w:val="-576671871"/>
        <w:docPartObj>
          <w:docPartGallery w:val="Table of Contents"/>
          <w:docPartUnique/>
        </w:docPartObj>
      </w:sdtPr>
      <w:sdtEndPr>
        <w:rPr>
          <w:bCs/>
          <w:noProof/>
        </w:rPr>
      </w:sdtEndPr>
      <w:sdtContent>
        <w:p w14:paraId="0DF0DE3C" w14:textId="77777777" w:rsidR="005B16A8" w:rsidRDefault="00ED06AA" w:rsidP="00ED06AA">
          <w:pPr>
            <w:pStyle w:val="TOC1"/>
            <w:rPr>
              <w:noProof/>
            </w:rPr>
          </w:pPr>
          <w:r w:rsidRPr="00E07CF5">
            <w:rPr>
              <w:rStyle w:val="Heading2Char"/>
            </w:rPr>
            <w:t>Contents</w:t>
          </w:r>
          <w:r w:rsidR="00911B7D">
            <w:fldChar w:fldCharType="begin"/>
          </w:r>
          <w:r w:rsidR="00911B7D">
            <w:instrText xml:space="preserve"> TOC \o "1-3" \h \z \u </w:instrText>
          </w:r>
          <w:r w:rsidR="00911B7D">
            <w:fldChar w:fldCharType="separate"/>
          </w:r>
        </w:p>
        <w:p w14:paraId="15734560" w14:textId="4C383CB2" w:rsidR="005B16A8" w:rsidRDefault="005B16A8">
          <w:pPr>
            <w:pStyle w:val="TOC1"/>
            <w:rPr>
              <w:rFonts w:asciiTheme="minorHAnsi" w:eastAsiaTheme="minorEastAsia" w:hAnsiTheme="minorHAnsi"/>
              <w:b w:val="0"/>
              <w:noProof/>
              <w:color w:val="auto"/>
              <w:spacing w:val="0"/>
              <w:kern w:val="2"/>
              <w:sz w:val="24"/>
              <w:lang w:eastAsia="en-AU"/>
              <w14:ligatures w14:val="standardContextual"/>
            </w:rPr>
          </w:pPr>
          <w:hyperlink w:anchor="_Toc228974155" w:history="1">
            <w:r w:rsidRPr="00D970E6">
              <w:rPr>
                <w:rStyle w:val="Hyperlink"/>
                <w:rFonts w:ascii="Calibri" w:hAnsi="Calibri" w:cs="Calibri"/>
                <w:noProof/>
              </w:rPr>
              <w:t>Introduction</w:t>
            </w:r>
            <w:r>
              <w:rPr>
                <w:noProof/>
                <w:webHidden/>
              </w:rPr>
              <w:tab/>
            </w:r>
            <w:r>
              <w:rPr>
                <w:noProof/>
                <w:webHidden/>
              </w:rPr>
              <w:fldChar w:fldCharType="begin"/>
            </w:r>
            <w:r>
              <w:rPr>
                <w:noProof/>
                <w:webHidden/>
              </w:rPr>
              <w:instrText xml:space="preserve"> PAGEREF _Toc228974155 \h </w:instrText>
            </w:r>
            <w:r>
              <w:rPr>
                <w:noProof/>
                <w:webHidden/>
              </w:rPr>
            </w:r>
            <w:r>
              <w:rPr>
                <w:noProof/>
                <w:webHidden/>
              </w:rPr>
              <w:fldChar w:fldCharType="separate"/>
            </w:r>
            <w:r>
              <w:rPr>
                <w:noProof/>
                <w:webHidden/>
              </w:rPr>
              <w:t>1</w:t>
            </w:r>
            <w:r>
              <w:rPr>
                <w:noProof/>
                <w:webHidden/>
              </w:rPr>
              <w:fldChar w:fldCharType="end"/>
            </w:r>
          </w:hyperlink>
        </w:p>
        <w:p w14:paraId="023939F0" w14:textId="7700EE76"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56" w:history="1">
            <w:r w:rsidRPr="00D970E6">
              <w:rPr>
                <w:rStyle w:val="Hyperlink"/>
              </w:rPr>
              <w:t>Early Years Strategy</w:t>
            </w:r>
            <w:r>
              <w:rPr>
                <w:webHidden/>
              </w:rPr>
              <w:tab/>
            </w:r>
            <w:r>
              <w:rPr>
                <w:webHidden/>
              </w:rPr>
              <w:fldChar w:fldCharType="begin"/>
            </w:r>
            <w:r>
              <w:rPr>
                <w:webHidden/>
              </w:rPr>
              <w:instrText xml:space="preserve"> PAGEREF _Toc228974156 \h </w:instrText>
            </w:r>
            <w:r>
              <w:rPr>
                <w:webHidden/>
              </w:rPr>
            </w:r>
            <w:r>
              <w:rPr>
                <w:webHidden/>
              </w:rPr>
              <w:fldChar w:fldCharType="separate"/>
            </w:r>
            <w:r>
              <w:rPr>
                <w:webHidden/>
              </w:rPr>
              <w:t>1</w:t>
            </w:r>
            <w:r>
              <w:rPr>
                <w:webHidden/>
              </w:rPr>
              <w:fldChar w:fldCharType="end"/>
            </w:r>
          </w:hyperlink>
        </w:p>
        <w:p w14:paraId="6870594B" w14:textId="362CA371"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57" w:history="1">
            <w:r w:rsidRPr="00D970E6">
              <w:rPr>
                <w:rStyle w:val="Hyperlink"/>
              </w:rPr>
              <w:t>Purpose of the Strategy</w:t>
            </w:r>
            <w:r>
              <w:rPr>
                <w:webHidden/>
              </w:rPr>
              <w:tab/>
            </w:r>
            <w:r>
              <w:rPr>
                <w:webHidden/>
              </w:rPr>
              <w:fldChar w:fldCharType="begin"/>
            </w:r>
            <w:r>
              <w:rPr>
                <w:webHidden/>
              </w:rPr>
              <w:instrText xml:space="preserve"> PAGEREF _Toc228974157 \h </w:instrText>
            </w:r>
            <w:r>
              <w:rPr>
                <w:webHidden/>
              </w:rPr>
            </w:r>
            <w:r>
              <w:rPr>
                <w:webHidden/>
              </w:rPr>
              <w:fldChar w:fldCharType="separate"/>
            </w:r>
            <w:r>
              <w:rPr>
                <w:webHidden/>
              </w:rPr>
              <w:t>1</w:t>
            </w:r>
            <w:r>
              <w:rPr>
                <w:webHidden/>
              </w:rPr>
              <w:fldChar w:fldCharType="end"/>
            </w:r>
          </w:hyperlink>
        </w:p>
        <w:p w14:paraId="391E796D" w14:textId="77538AB1"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58" w:history="1">
            <w:r w:rsidRPr="00D970E6">
              <w:rPr>
                <w:rStyle w:val="Hyperlink"/>
              </w:rPr>
              <w:t>Monitoring and Evaluation Framework</w:t>
            </w:r>
            <w:r>
              <w:rPr>
                <w:webHidden/>
              </w:rPr>
              <w:tab/>
            </w:r>
            <w:r>
              <w:rPr>
                <w:webHidden/>
              </w:rPr>
              <w:fldChar w:fldCharType="begin"/>
            </w:r>
            <w:r>
              <w:rPr>
                <w:webHidden/>
              </w:rPr>
              <w:instrText xml:space="preserve"> PAGEREF _Toc228974158 \h </w:instrText>
            </w:r>
            <w:r>
              <w:rPr>
                <w:webHidden/>
              </w:rPr>
            </w:r>
            <w:r>
              <w:rPr>
                <w:webHidden/>
              </w:rPr>
              <w:fldChar w:fldCharType="separate"/>
            </w:r>
            <w:r>
              <w:rPr>
                <w:webHidden/>
              </w:rPr>
              <w:t>2</w:t>
            </w:r>
            <w:r>
              <w:rPr>
                <w:webHidden/>
              </w:rPr>
              <w:fldChar w:fldCharType="end"/>
            </w:r>
          </w:hyperlink>
        </w:p>
        <w:p w14:paraId="612519A5" w14:textId="2915B768"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59" w:history="1">
            <w:r w:rsidRPr="00D970E6">
              <w:rPr>
                <w:rStyle w:val="Hyperlink"/>
              </w:rPr>
              <w:t>Purpose of the Framework</w:t>
            </w:r>
            <w:r>
              <w:rPr>
                <w:webHidden/>
              </w:rPr>
              <w:tab/>
            </w:r>
            <w:r>
              <w:rPr>
                <w:webHidden/>
              </w:rPr>
              <w:fldChar w:fldCharType="begin"/>
            </w:r>
            <w:r>
              <w:rPr>
                <w:webHidden/>
              </w:rPr>
              <w:instrText xml:space="preserve"> PAGEREF _Toc228974159 \h </w:instrText>
            </w:r>
            <w:r>
              <w:rPr>
                <w:webHidden/>
              </w:rPr>
            </w:r>
            <w:r>
              <w:rPr>
                <w:webHidden/>
              </w:rPr>
              <w:fldChar w:fldCharType="separate"/>
            </w:r>
            <w:r>
              <w:rPr>
                <w:webHidden/>
              </w:rPr>
              <w:t>2</w:t>
            </w:r>
            <w:r>
              <w:rPr>
                <w:webHidden/>
              </w:rPr>
              <w:fldChar w:fldCharType="end"/>
            </w:r>
          </w:hyperlink>
        </w:p>
        <w:p w14:paraId="6755C0FB" w14:textId="7D156A38"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60" w:history="1">
            <w:r w:rsidRPr="00D970E6">
              <w:rPr>
                <w:rStyle w:val="Hyperlink"/>
              </w:rPr>
              <w:t>Development of the Framework</w:t>
            </w:r>
            <w:r>
              <w:rPr>
                <w:webHidden/>
              </w:rPr>
              <w:tab/>
            </w:r>
            <w:r>
              <w:rPr>
                <w:webHidden/>
              </w:rPr>
              <w:fldChar w:fldCharType="begin"/>
            </w:r>
            <w:r>
              <w:rPr>
                <w:webHidden/>
              </w:rPr>
              <w:instrText xml:space="preserve"> PAGEREF _Toc228974160 \h </w:instrText>
            </w:r>
            <w:r>
              <w:rPr>
                <w:webHidden/>
              </w:rPr>
            </w:r>
            <w:r>
              <w:rPr>
                <w:webHidden/>
              </w:rPr>
              <w:fldChar w:fldCharType="separate"/>
            </w:r>
            <w:r>
              <w:rPr>
                <w:webHidden/>
              </w:rPr>
              <w:t>3</w:t>
            </w:r>
            <w:r>
              <w:rPr>
                <w:webHidden/>
              </w:rPr>
              <w:fldChar w:fldCharType="end"/>
            </w:r>
          </w:hyperlink>
        </w:p>
        <w:p w14:paraId="5FD9488E" w14:textId="3927C22A" w:rsidR="005B16A8" w:rsidRDefault="005B16A8">
          <w:pPr>
            <w:pStyle w:val="TOC1"/>
            <w:rPr>
              <w:rFonts w:asciiTheme="minorHAnsi" w:eastAsiaTheme="minorEastAsia" w:hAnsiTheme="minorHAnsi"/>
              <w:b w:val="0"/>
              <w:noProof/>
              <w:color w:val="auto"/>
              <w:spacing w:val="0"/>
              <w:kern w:val="2"/>
              <w:sz w:val="24"/>
              <w:lang w:eastAsia="en-AU"/>
              <w14:ligatures w14:val="standardContextual"/>
            </w:rPr>
          </w:pPr>
          <w:hyperlink w:anchor="_Toc228974161" w:history="1">
            <w:r w:rsidRPr="00D970E6">
              <w:rPr>
                <w:rStyle w:val="Hyperlink"/>
                <w:rFonts w:ascii="Calibri" w:hAnsi="Calibri" w:cs="Calibri"/>
                <w:noProof/>
              </w:rPr>
              <w:t>Monitoring and Evaluation under the Framework</w:t>
            </w:r>
            <w:r>
              <w:rPr>
                <w:noProof/>
                <w:webHidden/>
              </w:rPr>
              <w:tab/>
            </w:r>
            <w:r>
              <w:rPr>
                <w:noProof/>
                <w:webHidden/>
              </w:rPr>
              <w:fldChar w:fldCharType="begin"/>
            </w:r>
            <w:r>
              <w:rPr>
                <w:noProof/>
                <w:webHidden/>
              </w:rPr>
              <w:instrText xml:space="preserve"> PAGEREF _Toc228974161 \h </w:instrText>
            </w:r>
            <w:r>
              <w:rPr>
                <w:noProof/>
                <w:webHidden/>
              </w:rPr>
            </w:r>
            <w:r>
              <w:rPr>
                <w:noProof/>
                <w:webHidden/>
              </w:rPr>
              <w:fldChar w:fldCharType="separate"/>
            </w:r>
            <w:r>
              <w:rPr>
                <w:noProof/>
                <w:webHidden/>
              </w:rPr>
              <w:t>5</w:t>
            </w:r>
            <w:r>
              <w:rPr>
                <w:noProof/>
                <w:webHidden/>
              </w:rPr>
              <w:fldChar w:fldCharType="end"/>
            </w:r>
          </w:hyperlink>
        </w:p>
        <w:p w14:paraId="2DC15497" w14:textId="3D14A05F"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62" w:history="1">
            <w:r w:rsidRPr="00D970E6">
              <w:rPr>
                <w:rStyle w:val="Hyperlink"/>
              </w:rPr>
              <w:t>Overview</w:t>
            </w:r>
            <w:r>
              <w:rPr>
                <w:webHidden/>
              </w:rPr>
              <w:tab/>
            </w:r>
            <w:r>
              <w:rPr>
                <w:webHidden/>
              </w:rPr>
              <w:fldChar w:fldCharType="begin"/>
            </w:r>
            <w:r>
              <w:rPr>
                <w:webHidden/>
              </w:rPr>
              <w:instrText xml:space="preserve"> PAGEREF _Toc228974162 \h </w:instrText>
            </w:r>
            <w:r>
              <w:rPr>
                <w:webHidden/>
              </w:rPr>
            </w:r>
            <w:r>
              <w:rPr>
                <w:webHidden/>
              </w:rPr>
              <w:fldChar w:fldCharType="separate"/>
            </w:r>
            <w:r>
              <w:rPr>
                <w:webHidden/>
              </w:rPr>
              <w:t>5</w:t>
            </w:r>
            <w:r>
              <w:rPr>
                <w:webHidden/>
              </w:rPr>
              <w:fldChar w:fldCharType="end"/>
            </w:r>
          </w:hyperlink>
        </w:p>
        <w:p w14:paraId="6CD6F8FF" w14:textId="08CEC923"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63" w:history="1">
            <w:r w:rsidRPr="00D970E6">
              <w:rPr>
                <w:rStyle w:val="Hyperlink"/>
              </w:rPr>
              <w:t>Guiding Principles for Monitoring and Evaluation</w:t>
            </w:r>
            <w:r>
              <w:rPr>
                <w:webHidden/>
              </w:rPr>
              <w:tab/>
            </w:r>
            <w:r>
              <w:rPr>
                <w:webHidden/>
              </w:rPr>
              <w:fldChar w:fldCharType="begin"/>
            </w:r>
            <w:r>
              <w:rPr>
                <w:webHidden/>
              </w:rPr>
              <w:instrText xml:space="preserve"> PAGEREF _Toc228974163 \h </w:instrText>
            </w:r>
            <w:r>
              <w:rPr>
                <w:webHidden/>
              </w:rPr>
            </w:r>
            <w:r>
              <w:rPr>
                <w:webHidden/>
              </w:rPr>
              <w:fldChar w:fldCharType="separate"/>
            </w:r>
            <w:r>
              <w:rPr>
                <w:webHidden/>
              </w:rPr>
              <w:t>6</w:t>
            </w:r>
            <w:r>
              <w:rPr>
                <w:webHidden/>
              </w:rPr>
              <w:fldChar w:fldCharType="end"/>
            </w:r>
          </w:hyperlink>
        </w:p>
        <w:p w14:paraId="0E1B4E2B" w14:textId="2803706E"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64" w:history="1">
            <w:r w:rsidRPr="00D970E6">
              <w:rPr>
                <w:rStyle w:val="Hyperlink"/>
              </w:rPr>
              <w:t>1. Early Years Strategy Principles</w:t>
            </w:r>
            <w:r>
              <w:rPr>
                <w:webHidden/>
              </w:rPr>
              <w:tab/>
            </w:r>
            <w:r>
              <w:rPr>
                <w:webHidden/>
              </w:rPr>
              <w:fldChar w:fldCharType="begin"/>
            </w:r>
            <w:r>
              <w:rPr>
                <w:webHidden/>
              </w:rPr>
              <w:instrText xml:space="preserve"> PAGEREF _Toc228974164 \h </w:instrText>
            </w:r>
            <w:r>
              <w:rPr>
                <w:webHidden/>
              </w:rPr>
            </w:r>
            <w:r>
              <w:rPr>
                <w:webHidden/>
              </w:rPr>
              <w:fldChar w:fldCharType="separate"/>
            </w:r>
            <w:r>
              <w:rPr>
                <w:webHidden/>
              </w:rPr>
              <w:t>6</w:t>
            </w:r>
            <w:r>
              <w:rPr>
                <w:webHidden/>
              </w:rPr>
              <w:fldChar w:fldCharType="end"/>
            </w:r>
          </w:hyperlink>
        </w:p>
        <w:p w14:paraId="48928117" w14:textId="5005F49F"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65" w:history="1">
            <w:r w:rsidRPr="00D970E6">
              <w:rPr>
                <w:rStyle w:val="Hyperlink"/>
              </w:rPr>
              <w:t>2. Best Practice Principles from the Commonwealth Evaluation Policy and Toolkit</w:t>
            </w:r>
            <w:r>
              <w:rPr>
                <w:webHidden/>
              </w:rPr>
              <w:tab/>
            </w:r>
            <w:r>
              <w:rPr>
                <w:webHidden/>
              </w:rPr>
              <w:fldChar w:fldCharType="begin"/>
            </w:r>
            <w:r>
              <w:rPr>
                <w:webHidden/>
              </w:rPr>
              <w:instrText xml:space="preserve"> PAGEREF _Toc228974165 \h </w:instrText>
            </w:r>
            <w:r>
              <w:rPr>
                <w:webHidden/>
              </w:rPr>
            </w:r>
            <w:r>
              <w:rPr>
                <w:webHidden/>
              </w:rPr>
              <w:fldChar w:fldCharType="separate"/>
            </w:r>
            <w:r>
              <w:rPr>
                <w:webHidden/>
              </w:rPr>
              <w:t>9</w:t>
            </w:r>
            <w:r>
              <w:rPr>
                <w:webHidden/>
              </w:rPr>
              <w:fldChar w:fldCharType="end"/>
            </w:r>
          </w:hyperlink>
        </w:p>
        <w:p w14:paraId="376F3569" w14:textId="319E93F8"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66" w:history="1">
            <w:r w:rsidRPr="00D970E6">
              <w:rPr>
                <w:rStyle w:val="Hyperlink"/>
              </w:rPr>
              <w:t>Monitoring approach</w:t>
            </w:r>
            <w:r>
              <w:rPr>
                <w:webHidden/>
              </w:rPr>
              <w:tab/>
            </w:r>
            <w:r>
              <w:rPr>
                <w:webHidden/>
              </w:rPr>
              <w:fldChar w:fldCharType="begin"/>
            </w:r>
            <w:r>
              <w:rPr>
                <w:webHidden/>
              </w:rPr>
              <w:instrText xml:space="preserve"> PAGEREF _Toc228974166 \h </w:instrText>
            </w:r>
            <w:r>
              <w:rPr>
                <w:webHidden/>
              </w:rPr>
            </w:r>
            <w:r>
              <w:rPr>
                <w:webHidden/>
              </w:rPr>
              <w:fldChar w:fldCharType="separate"/>
            </w:r>
            <w:r>
              <w:rPr>
                <w:webHidden/>
              </w:rPr>
              <w:t>11</w:t>
            </w:r>
            <w:r>
              <w:rPr>
                <w:webHidden/>
              </w:rPr>
              <w:fldChar w:fldCharType="end"/>
            </w:r>
          </w:hyperlink>
        </w:p>
        <w:p w14:paraId="4060BFC2" w14:textId="1B2163AB"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67" w:history="1">
            <w:r w:rsidRPr="00D970E6">
              <w:rPr>
                <w:rStyle w:val="Hyperlink"/>
              </w:rPr>
              <w:t>Key monitoring questions</w:t>
            </w:r>
            <w:r>
              <w:rPr>
                <w:webHidden/>
              </w:rPr>
              <w:tab/>
            </w:r>
            <w:r>
              <w:rPr>
                <w:webHidden/>
              </w:rPr>
              <w:fldChar w:fldCharType="begin"/>
            </w:r>
            <w:r>
              <w:rPr>
                <w:webHidden/>
              </w:rPr>
              <w:instrText xml:space="preserve"> PAGEREF _Toc228974167 \h </w:instrText>
            </w:r>
            <w:r>
              <w:rPr>
                <w:webHidden/>
              </w:rPr>
            </w:r>
            <w:r>
              <w:rPr>
                <w:webHidden/>
              </w:rPr>
              <w:fldChar w:fldCharType="separate"/>
            </w:r>
            <w:r>
              <w:rPr>
                <w:webHidden/>
              </w:rPr>
              <w:t>12</w:t>
            </w:r>
            <w:r>
              <w:rPr>
                <w:webHidden/>
              </w:rPr>
              <w:fldChar w:fldCharType="end"/>
            </w:r>
          </w:hyperlink>
        </w:p>
        <w:p w14:paraId="5AA93B4F" w14:textId="77FA8966"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68" w:history="1">
            <w:r w:rsidRPr="00D970E6">
              <w:rPr>
                <w:rStyle w:val="Hyperlink"/>
              </w:rPr>
              <w:t>Data and information to be collated</w:t>
            </w:r>
            <w:r>
              <w:rPr>
                <w:webHidden/>
              </w:rPr>
              <w:tab/>
            </w:r>
            <w:r>
              <w:rPr>
                <w:webHidden/>
              </w:rPr>
              <w:fldChar w:fldCharType="begin"/>
            </w:r>
            <w:r>
              <w:rPr>
                <w:webHidden/>
              </w:rPr>
              <w:instrText xml:space="preserve"> PAGEREF _Toc228974168 \h </w:instrText>
            </w:r>
            <w:r>
              <w:rPr>
                <w:webHidden/>
              </w:rPr>
            </w:r>
            <w:r>
              <w:rPr>
                <w:webHidden/>
              </w:rPr>
              <w:fldChar w:fldCharType="separate"/>
            </w:r>
            <w:r>
              <w:rPr>
                <w:webHidden/>
              </w:rPr>
              <w:t>12</w:t>
            </w:r>
            <w:r>
              <w:rPr>
                <w:webHidden/>
              </w:rPr>
              <w:fldChar w:fldCharType="end"/>
            </w:r>
          </w:hyperlink>
        </w:p>
        <w:p w14:paraId="29552AA1" w14:textId="07A95BC3"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69" w:history="1">
            <w:r w:rsidRPr="00D970E6">
              <w:rPr>
                <w:rStyle w:val="Hyperlink"/>
              </w:rPr>
              <w:t>Evaluation approach</w:t>
            </w:r>
            <w:r>
              <w:rPr>
                <w:webHidden/>
              </w:rPr>
              <w:tab/>
            </w:r>
            <w:r>
              <w:rPr>
                <w:webHidden/>
              </w:rPr>
              <w:fldChar w:fldCharType="begin"/>
            </w:r>
            <w:r>
              <w:rPr>
                <w:webHidden/>
              </w:rPr>
              <w:instrText xml:space="preserve"> PAGEREF _Toc228974169 \h </w:instrText>
            </w:r>
            <w:r>
              <w:rPr>
                <w:webHidden/>
              </w:rPr>
            </w:r>
            <w:r>
              <w:rPr>
                <w:webHidden/>
              </w:rPr>
              <w:fldChar w:fldCharType="separate"/>
            </w:r>
            <w:r>
              <w:rPr>
                <w:webHidden/>
              </w:rPr>
              <w:t>16</w:t>
            </w:r>
            <w:r>
              <w:rPr>
                <w:webHidden/>
              </w:rPr>
              <w:fldChar w:fldCharType="end"/>
            </w:r>
          </w:hyperlink>
        </w:p>
        <w:p w14:paraId="43512FAA" w14:textId="2654A3A4"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70" w:history="1">
            <w:r w:rsidRPr="00D970E6">
              <w:rPr>
                <w:rStyle w:val="Hyperlink"/>
              </w:rPr>
              <w:t>Evaluation focus areas</w:t>
            </w:r>
            <w:r>
              <w:rPr>
                <w:webHidden/>
              </w:rPr>
              <w:tab/>
            </w:r>
            <w:r>
              <w:rPr>
                <w:webHidden/>
              </w:rPr>
              <w:fldChar w:fldCharType="begin"/>
            </w:r>
            <w:r>
              <w:rPr>
                <w:webHidden/>
              </w:rPr>
              <w:instrText xml:space="preserve"> PAGEREF _Toc228974170 \h </w:instrText>
            </w:r>
            <w:r>
              <w:rPr>
                <w:webHidden/>
              </w:rPr>
            </w:r>
            <w:r>
              <w:rPr>
                <w:webHidden/>
              </w:rPr>
              <w:fldChar w:fldCharType="separate"/>
            </w:r>
            <w:r>
              <w:rPr>
                <w:webHidden/>
              </w:rPr>
              <w:t>16</w:t>
            </w:r>
            <w:r>
              <w:rPr>
                <w:webHidden/>
              </w:rPr>
              <w:fldChar w:fldCharType="end"/>
            </w:r>
          </w:hyperlink>
        </w:p>
        <w:p w14:paraId="1C9E6A0C" w14:textId="32140F14"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71" w:history="1">
            <w:r w:rsidRPr="00D970E6">
              <w:rPr>
                <w:rStyle w:val="Hyperlink"/>
              </w:rPr>
              <w:t>Key evaluation questions</w:t>
            </w:r>
            <w:r>
              <w:rPr>
                <w:webHidden/>
              </w:rPr>
              <w:tab/>
            </w:r>
            <w:r>
              <w:rPr>
                <w:webHidden/>
              </w:rPr>
              <w:fldChar w:fldCharType="begin"/>
            </w:r>
            <w:r>
              <w:rPr>
                <w:webHidden/>
              </w:rPr>
              <w:instrText xml:space="preserve"> PAGEREF _Toc228974171 \h </w:instrText>
            </w:r>
            <w:r>
              <w:rPr>
                <w:webHidden/>
              </w:rPr>
            </w:r>
            <w:r>
              <w:rPr>
                <w:webHidden/>
              </w:rPr>
              <w:fldChar w:fldCharType="separate"/>
            </w:r>
            <w:r>
              <w:rPr>
                <w:webHidden/>
              </w:rPr>
              <w:t>16</w:t>
            </w:r>
            <w:r>
              <w:rPr>
                <w:webHidden/>
              </w:rPr>
              <w:fldChar w:fldCharType="end"/>
            </w:r>
          </w:hyperlink>
        </w:p>
        <w:p w14:paraId="0457074F" w14:textId="1982B483"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72" w:history="1">
            <w:r w:rsidRPr="00D970E6">
              <w:rPr>
                <w:rStyle w:val="Hyperlink"/>
              </w:rPr>
              <w:t>Designing and conducting the formal evaluation</w:t>
            </w:r>
            <w:r>
              <w:rPr>
                <w:webHidden/>
              </w:rPr>
              <w:tab/>
            </w:r>
            <w:r>
              <w:rPr>
                <w:webHidden/>
              </w:rPr>
              <w:fldChar w:fldCharType="begin"/>
            </w:r>
            <w:r>
              <w:rPr>
                <w:webHidden/>
              </w:rPr>
              <w:instrText xml:space="preserve"> PAGEREF _Toc228974172 \h </w:instrText>
            </w:r>
            <w:r>
              <w:rPr>
                <w:webHidden/>
              </w:rPr>
            </w:r>
            <w:r>
              <w:rPr>
                <w:webHidden/>
              </w:rPr>
              <w:fldChar w:fldCharType="separate"/>
            </w:r>
            <w:r>
              <w:rPr>
                <w:webHidden/>
              </w:rPr>
              <w:t>19</w:t>
            </w:r>
            <w:r>
              <w:rPr>
                <w:webHidden/>
              </w:rPr>
              <w:fldChar w:fldCharType="end"/>
            </w:r>
          </w:hyperlink>
        </w:p>
        <w:p w14:paraId="19C016FA" w14:textId="177655C1"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73" w:history="1">
            <w:r w:rsidRPr="00D970E6">
              <w:rPr>
                <w:rStyle w:val="Hyperlink"/>
              </w:rPr>
              <w:t>Challenges for monitoring and evaluation</w:t>
            </w:r>
            <w:r>
              <w:rPr>
                <w:webHidden/>
              </w:rPr>
              <w:tab/>
            </w:r>
            <w:r>
              <w:rPr>
                <w:webHidden/>
              </w:rPr>
              <w:fldChar w:fldCharType="begin"/>
            </w:r>
            <w:r>
              <w:rPr>
                <w:webHidden/>
              </w:rPr>
              <w:instrText xml:space="preserve"> PAGEREF _Toc228974173 \h </w:instrText>
            </w:r>
            <w:r>
              <w:rPr>
                <w:webHidden/>
              </w:rPr>
            </w:r>
            <w:r>
              <w:rPr>
                <w:webHidden/>
              </w:rPr>
              <w:fldChar w:fldCharType="separate"/>
            </w:r>
            <w:r>
              <w:rPr>
                <w:webHidden/>
              </w:rPr>
              <w:t>20</w:t>
            </w:r>
            <w:r>
              <w:rPr>
                <w:webHidden/>
              </w:rPr>
              <w:fldChar w:fldCharType="end"/>
            </w:r>
          </w:hyperlink>
        </w:p>
        <w:p w14:paraId="793E2DEA" w14:textId="597A9E8E" w:rsidR="005B16A8" w:rsidRDefault="005B16A8">
          <w:pPr>
            <w:pStyle w:val="TOC1"/>
            <w:rPr>
              <w:rFonts w:asciiTheme="minorHAnsi" w:eastAsiaTheme="minorEastAsia" w:hAnsiTheme="minorHAnsi"/>
              <w:b w:val="0"/>
              <w:noProof/>
              <w:color w:val="auto"/>
              <w:spacing w:val="0"/>
              <w:kern w:val="2"/>
              <w:sz w:val="24"/>
              <w:lang w:eastAsia="en-AU"/>
              <w14:ligatures w14:val="standardContextual"/>
            </w:rPr>
          </w:pPr>
          <w:hyperlink w:anchor="_Toc228974174" w:history="1">
            <w:r w:rsidRPr="00D970E6">
              <w:rPr>
                <w:rStyle w:val="Hyperlink"/>
                <w:rFonts w:ascii="Calibri" w:hAnsi="Calibri" w:cs="Calibri"/>
                <w:noProof/>
              </w:rPr>
              <w:t>Governance of the Framework</w:t>
            </w:r>
            <w:r>
              <w:rPr>
                <w:noProof/>
                <w:webHidden/>
              </w:rPr>
              <w:tab/>
            </w:r>
            <w:r>
              <w:rPr>
                <w:noProof/>
                <w:webHidden/>
              </w:rPr>
              <w:fldChar w:fldCharType="begin"/>
            </w:r>
            <w:r>
              <w:rPr>
                <w:noProof/>
                <w:webHidden/>
              </w:rPr>
              <w:instrText xml:space="preserve"> PAGEREF _Toc228974174 \h </w:instrText>
            </w:r>
            <w:r>
              <w:rPr>
                <w:noProof/>
                <w:webHidden/>
              </w:rPr>
            </w:r>
            <w:r>
              <w:rPr>
                <w:noProof/>
                <w:webHidden/>
              </w:rPr>
              <w:fldChar w:fldCharType="separate"/>
            </w:r>
            <w:r>
              <w:rPr>
                <w:noProof/>
                <w:webHidden/>
              </w:rPr>
              <w:t>21</w:t>
            </w:r>
            <w:r>
              <w:rPr>
                <w:noProof/>
                <w:webHidden/>
              </w:rPr>
              <w:fldChar w:fldCharType="end"/>
            </w:r>
          </w:hyperlink>
        </w:p>
        <w:p w14:paraId="61745394" w14:textId="313593B1"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75" w:history="1">
            <w:r w:rsidRPr="00D970E6">
              <w:rPr>
                <w:rStyle w:val="Hyperlink"/>
              </w:rPr>
              <w:t>Roles and responsibilities</w:t>
            </w:r>
            <w:r>
              <w:rPr>
                <w:webHidden/>
              </w:rPr>
              <w:tab/>
            </w:r>
            <w:r>
              <w:rPr>
                <w:webHidden/>
              </w:rPr>
              <w:fldChar w:fldCharType="begin"/>
            </w:r>
            <w:r>
              <w:rPr>
                <w:webHidden/>
              </w:rPr>
              <w:instrText xml:space="preserve"> PAGEREF _Toc228974175 \h </w:instrText>
            </w:r>
            <w:r>
              <w:rPr>
                <w:webHidden/>
              </w:rPr>
            </w:r>
            <w:r>
              <w:rPr>
                <w:webHidden/>
              </w:rPr>
              <w:fldChar w:fldCharType="separate"/>
            </w:r>
            <w:r>
              <w:rPr>
                <w:webHidden/>
              </w:rPr>
              <w:t>21</w:t>
            </w:r>
            <w:r>
              <w:rPr>
                <w:webHidden/>
              </w:rPr>
              <w:fldChar w:fldCharType="end"/>
            </w:r>
          </w:hyperlink>
        </w:p>
        <w:p w14:paraId="46B7526C" w14:textId="2F319680"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76" w:history="1">
            <w:r w:rsidRPr="00D970E6">
              <w:rPr>
                <w:rStyle w:val="Hyperlink"/>
              </w:rPr>
              <w:t>Senior-level steering committee</w:t>
            </w:r>
            <w:r>
              <w:rPr>
                <w:webHidden/>
              </w:rPr>
              <w:tab/>
            </w:r>
            <w:r>
              <w:rPr>
                <w:webHidden/>
              </w:rPr>
              <w:fldChar w:fldCharType="begin"/>
            </w:r>
            <w:r>
              <w:rPr>
                <w:webHidden/>
              </w:rPr>
              <w:instrText xml:space="preserve"> PAGEREF _Toc228974176 \h </w:instrText>
            </w:r>
            <w:r>
              <w:rPr>
                <w:webHidden/>
              </w:rPr>
            </w:r>
            <w:r>
              <w:rPr>
                <w:webHidden/>
              </w:rPr>
              <w:fldChar w:fldCharType="separate"/>
            </w:r>
            <w:r>
              <w:rPr>
                <w:webHidden/>
              </w:rPr>
              <w:t>21</w:t>
            </w:r>
            <w:r>
              <w:rPr>
                <w:webHidden/>
              </w:rPr>
              <w:fldChar w:fldCharType="end"/>
            </w:r>
          </w:hyperlink>
        </w:p>
        <w:p w14:paraId="01E1C42B" w14:textId="488E60D0"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77" w:history="1">
            <w:r w:rsidRPr="00D970E6">
              <w:rPr>
                <w:rStyle w:val="Hyperlink"/>
              </w:rPr>
              <w:t>Lead Government agency</w:t>
            </w:r>
            <w:r>
              <w:rPr>
                <w:webHidden/>
              </w:rPr>
              <w:tab/>
            </w:r>
            <w:r>
              <w:rPr>
                <w:webHidden/>
              </w:rPr>
              <w:fldChar w:fldCharType="begin"/>
            </w:r>
            <w:r>
              <w:rPr>
                <w:webHidden/>
              </w:rPr>
              <w:instrText xml:space="preserve"> PAGEREF _Toc228974177 \h </w:instrText>
            </w:r>
            <w:r>
              <w:rPr>
                <w:webHidden/>
              </w:rPr>
            </w:r>
            <w:r>
              <w:rPr>
                <w:webHidden/>
              </w:rPr>
              <w:fldChar w:fldCharType="separate"/>
            </w:r>
            <w:r>
              <w:rPr>
                <w:webHidden/>
              </w:rPr>
              <w:t>21</w:t>
            </w:r>
            <w:r>
              <w:rPr>
                <w:webHidden/>
              </w:rPr>
              <w:fldChar w:fldCharType="end"/>
            </w:r>
          </w:hyperlink>
        </w:p>
        <w:p w14:paraId="4D2F4B4F" w14:textId="3A9ACE66" w:rsidR="005B16A8" w:rsidRDefault="005B16A8">
          <w:pPr>
            <w:pStyle w:val="TOC3"/>
            <w:rPr>
              <w:rFonts w:asciiTheme="minorHAnsi" w:eastAsiaTheme="minorEastAsia" w:hAnsiTheme="minorHAnsi"/>
              <w:spacing w:val="0"/>
              <w:kern w:val="2"/>
              <w:sz w:val="24"/>
              <w:lang w:eastAsia="en-AU"/>
              <w14:ligatures w14:val="standardContextual"/>
            </w:rPr>
          </w:pPr>
          <w:hyperlink w:anchor="_Toc228974178" w:history="1">
            <w:r w:rsidRPr="00D970E6">
              <w:rPr>
                <w:rStyle w:val="Hyperlink"/>
              </w:rPr>
              <w:t>Consultation mechanism with parents and carers</w:t>
            </w:r>
            <w:r>
              <w:rPr>
                <w:webHidden/>
              </w:rPr>
              <w:tab/>
            </w:r>
            <w:r>
              <w:rPr>
                <w:webHidden/>
              </w:rPr>
              <w:fldChar w:fldCharType="begin"/>
            </w:r>
            <w:r>
              <w:rPr>
                <w:webHidden/>
              </w:rPr>
              <w:instrText xml:space="preserve"> PAGEREF _Toc228974178 \h </w:instrText>
            </w:r>
            <w:r>
              <w:rPr>
                <w:webHidden/>
              </w:rPr>
            </w:r>
            <w:r>
              <w:rPr>
                <w:webHidden/>
              </w:rPr>
              <w:fldChar w:fldCharType="separate"/>
            </w:r>
            <w:r>
              <w:rPr>
                <w:webHidden/>
              </w:rPr>
              <w:t>22</w:t>
            </w:r>
            <w:r>
              <w:rPr>
                <w:webHidden/>
              </w:rPr>
              <w:fldChar w:fldCharType="end"/>
            </w:r>
          </w:hyperlink>
        </w:p>
        <w:p w14:paraId="2A68FD8E" w14:textId="1D49A694" w:rsidR="005B16A8" w:rsidRDefault="005B16A8">
          <w:pPr>
            <w:pStyle w:val="TOC1"/>
            <w:rPr>
              <w:rFonts w:asciiTheme="minorHAnsi" w:eastAsiaTheme="minorEastAsia" w:hAnsiTheme="minorHAnsi"/>
              <w:b w:val="0"/>
              <w:noProof/>
              <w:color w:val="auto"/>
              <w:spacing w:val="0"/>
              <w:kern w:val="2"/>
              <w:sz w:val="24"/>
              <w:lang w:eastAsia="en-AU"/>
              <w14:ligatures w14:val="standardContextual"/>
            </w:rPr>
          </w:pPr>
          <w:hyperlink w:anchor="_Toc228974179" w:history="1">
            <w:r w:rsidRPr="00D970E6">
              <w:rPr>
                <w:rStyle w:val="Hyperlink"/>
                <w:rFonts w:ascii="Calibri" w:hAnsi="Calibri" w:cs="Calibri"/>
                <w:noProof/>
              </w:rPr>
              <w:t>Appendices</w:t>
            </w:r>
            <w:r>
              <w:rPr>
                <w:noProof/>
                <w:webHidden/>
              </w:rPr>
              <w:tab/>
            </w:r>
            <w:r>
              <w:rPr>
                <w:noProof/>
                <w:webHidden/>
              </w:rPr>
              <w:fldChar w:fldCharType="begin"/>
            </w:r>
            <w:r>
              <w:rPr>
                <w:noProof/>
                <w:webHidden/>
              </w:rPr>
              <w:instrText xml:space="preserve"> PAGEREF _Toc228974179 \h </w:instrText>
            </w:r>
            <w:r>
              <w:rPr>
                <w:noProof/>
                <w:webHidden/>
              </w:rPr>
            </w:r>
            <w:r>
              <w:rPr>
                <w:noProof/>
                <w:webHidden/>
              </w:rPr>
              <w:fldChar w:fldCharType="separate"/>
            </w:r>
            <w:r>
              <w:rPr>
                <w:noProof/>
                <w:webHidden/>
              </w:rPr>
              <w:t>23</w:t>
            </w:r>
            <w:r>
              <w:rPr>
                <w:noProof/>
                <w:webHidden/>
              </w:rPr>
              <w:fldChar w:fldCharType="end"/>
            </w:r>
          </w:hyperlink>
        </w:p>
        <w:p w14:paraId="18D3F1A0" w14:textId="5E3E1B89"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80" w:history="1">
            <w:r w:rsidRPr="00D970E6">
              <w:rPr>
                <w:rStyle w:val="Hyperlink"/>
              </w:rPr>
              <w:t>Appendix A: Additional detail on key elements of the Strategy</w:t>
            </w:r>
            <w:r>
              <w:rPr>
                <w:webHidden/>
              </w:rPr>
              <w:tab/>
            </w:r>
            <w:r>
              <w:rPr>
                <w:webHidden/>
              </w:rPr>
              <w:fldChar w:fldCharType="begin"/>
            </w:r>
            <w:r>
              <w:rPr>
                <w:webHidden/>
              </w:rPr>
              <w:instrText xml:space="preserve"> PAGEREF _Toc228974180 \h </w:instrText>
            </w:r>
            <w:r>
              <w:rPr>
                <w:webHidden/>
              </w:rPr>
            </w:r>
            <w:r>
              <w:rPr>
                <w:webHidden/>
              </w:rPr>
              <w:fldChar w:fldCharType="separate"/>
            </w:r>
            <w:r>
              <w:rPr>
                <w:webHidden/>
              </w:rPr>
              <w:t>23</w:t>
            </w:r>
            <w:r>
              <w:rPr>
                <w:webHidden/>
              </w:rPr>
              <w:fldChar w:fldCharType="end"/>
            </w:r>
          </w:hyperlink>
        </w:p>
        <w:p w14:paraId="15E95414" w14:textId="6C2836A1"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81" w:history="1">
            <w:r w:rsidRPr="00D970E6">
              <w:rPr>
                <w:rStyle w:val="Hyperlink"/>
              </w:rPr>
              <w:t>Appendix B: Early Years Strategy Logic</w:t>
            </w:r>
            <w:r>
              <w:rPr>
                <w:webHidden/>
              </w:rPr>
              <w:tab/>
            </w:r>
            <w:r>
              <w:rPr>
                <w:webHidden/>
              </w:rPr>
              <w:fldChar w:fldCharType="begin"/>
            </w:r>
            <w:r>
              <w:rPr>
                <w:webHidden/>
              </w:rPr>
              <w:instrText xml:space="preserve"> PAGEREF _Toc228974181 \h </w:instrText>
            </w:r>
            <w:r>
              <w:rPr>
                <w:webHidden/>
              </w:rPr>
            </w:r>
            <w:r>
              <w:rPr>
                <w:webHidden/>
              </w:rPr>
              <w:fldChar w:fldCharType="separate"/>
            </w:r>
            <w:r>
              <w:rPr>
                <w:webHidden/>
              </w:rPr>
              <w:t>24</w:t>
            </w:r>
            <w:r>
              <w:rPr>
                <w:webHidden/>
              </w:rPr>
              <w:fldChar w:fldCharType="end"/>
            </w:r>
          </w:hyperlink>
        </w:p>
        <w:p w14:paraId="334B4BA6" w14:textId="5DFCF341" w:rsidR="005B16A8" w:rsidRDefault="005B16A8">
          <w:pPr>
            <w:pStyle w:val="TOC2"/>
            <w:rPr>
              <w:rFonts w:asciiTheme="minorHAnsi" w:eastAsiaTheme="minorEastAsia" w:hAnsiTheme="minorHAnsi"/>
              <w:bCs w:val="0"/>
              <w:spacing w:val="0"/>
              <w:kern w:val="2"/>
              <w:sz w:val="24"/>
              <w:lang w:eastAsia="en-AU"/>
              <w14:ligatures w14:val="standardContextual"/>
            </w:rPr>
          </w:pPr>
          <w:hyperlink w:anchor="_Toc228974182" w:history="1">
            <w:r w:rsidRPr="00D970E6">
              <w:rPr>
                <w:rStyle w:val="Hyperlink"/>
              </w:rPr>
              <w:t>Appendix C: Glossary of Key Terms</w:t>
            </w:r>
            <w:r>
              <w:rPr>
                <w:webHidden/>
              </w:rPr>
              <w:tab/>
            </w:r>
            <w:r>
              <w:rPr>
                <w:webHidden/>
              </w:rPr>
              <w:fldChar w:fldCharType="begin"/>
            </w:r>
            <w:r>
              <w:rPr>
                <w:webHidden/>
              </w:rPr>
              <w:instrText xml:space="preserve"> PAGEREF _Toc228974182 \h </w:instrText>
            </w:r>
            <w:r>
              <w:rPr>
                <w:webHidden/>
              </w:rPr>
            </w:r>
            <w:r>
              <w:rPr>
                <w:webHidden/>
              </w:rPr>
              <w:fldChar w:fldCharType="separate"/>
            </w:r>
            <w:r>
              <w:rPr>
                <w:webHidden/>
              </w:rPr>
              <w:t>25</w:t>
            </w:r>
            <w:r>
              <w:rPr>
                <w:webHidden/>
              </w:rPr>
              <w:fldChar w:fldCharType="end"/>
            </w:r>
          </w:hyperlink>
        </w:p>
        <w:p w14:paraId="4C06F8AA" w14:textId="33E87A08" w:rsidR="00911B7D" w:rsidRDefault="00911B7D">
          <w:r>
            <w:rPr>
              <w:b/>
              <w:bCs/>
              <w:noProof/>
            </w:rPr>
            <w:fldChar w:fldCharType="end"/>
          </w:r>
        </w:p>
      </w:sdtContent>
    </w:sdt>
    <w:p w14:paraId="013E9949" w14:textId="77777777" w:rsidR="007A5217" w:rsidRDefault="007A5217" w:rsidP="00156921">
      <w:pPr>
        <w:pStyle w:val="Heading1"/>
        <w:rPr>
          <w:rFonts w:ascii="Calibri" w:hAnsi="Calibri" w:cs="Calibri"/>
        </w:rPr>
        <w:sectPr w:rsidR="007A5217" w:rsidSect="007A5217">
          <w:headerReference w:type="even" r:id="rId22"/>
          <w:headerReference w:type="default" r:id="rId23"/>
          <w:headerReference w:type="first" r:id="rId24"/>
          <w:pgSz w:w="11901" w:h="16840"/>
          <w:pgMar w:top="1418" w:right="1701" w:bottom="1418" w:left="1701" w:header="680" w:footer="680" w:gutter="0"/>
          <w:pgNumType w:fmt="lowerRoman" w:start="1"/>
          <w:cols w:space="708"/>
          <w:noEndnote/>
        </w:sectPr>
      </w:pPr>
    </w:p>
    <w:p w14:paraId="7AECADC5" w14:textId="545D5D05" w:rsidR="005E0044" w:rsidRPr="00156921" w:rsidRDefault="005E0044" w:rsidP="00156921">
      <w:pPr>
        <w:pStyle w:val="Heading1"/>
        <w:rPr>
          <w:rFonts w:ascii="Calibri" w:hAnsi="Calibri" w:cs="Calibri"/>
        </w:rPr>
      </w:pPr>
      <w:bookmarkStart w:id="21" w:name="_Toc228974155"/>
      <w:r w:rsidRPr="00156921">
        <w:rPr>
          <w:rFonts w:ascii="Calibri" w:hAnsi="Calibri" w:cs="Calibri"/>
        </w:rPr>
        <w:lastRenderedPageBreak/>
        <w:t>Introduction</w:t>
      </w:r>
      <w:bookmarkEnd w:id="19"/>
      <w:bookmarkEnd w:id="21"/>
      <w:r w:rsidR="00FE0DF3" w:rsidRPr="00156921">
        <w:rPr>
          <w:rFonts w:ascii="Calibri" w:hAnsi="Calibri" w:cs="Calibri"/>
        </w:rPr>
        <w:tab/>
      </w:r>
    </w:p>
    <w:p w14:paraId="64D35254" w14:textId="77777777" w:rsidR="005E0044" w:rsidRPr="00156921" w:rsidRDefault="005E0044" w:rsidP="00156921">
      <w:pPr>
        <w:pStyle w:val="Heading2"/>
        <w:rPr>
          <w:color w:val="640638"/>
        </w:rPr>
      </w:pPr>
      <w:bookmarkStart w:id="22" w:name="_Toc215146305"/>
      <w:bookmarkStart w:id="23" w:name="_Toc228974156"/>
      <w:r w:rsidRPr="00156921">
        <w:rPr>
          <w:color w:val="640638"/>
        </w:rPr>
        <w:t>Early Years Strategy</w:t>
      </w:r>
      <w:bookmarkEnd w:id="20"/>
      <w:bookmarkEnd w:id="22"/>
      <w:bookmarkEnd w:id="23"/>
    </w:p>
    <w:p w14:paraId="1A0A52C9" w14:textId="77777777" w:rsidR="005E0044" w:rsidRPr="00AD25F5" w:rsidRDefault="005E0044" w:rsidP="00156921">
      <w:pPr>
        <w:pStyle w:val="Heading3"/>
        <w:spacing w:after="240"/>
      </w:pPr>
      <w:bookmarkStart w:id="24" w:name="_Toc215146306"/>
      <w:bookmarkStart w:id="25" w:name="_Toc228974157"/>
      <w:r w:rsidRPr="00AD25F5">
        <w:t>Purpose of the Strategy</w:t>
      </w:r>
      <w:bookmarkEnd w:id="24"/>
      <w:bookmarkEnd w:id="25"/>
    </w:p>
    <w:p w14:paraId="19169C93" w14:textId="170520D9" w:rsidR="005E0044" w:rsidRPr="004748F9" w:rsidRDefault="005E0044" w:rsidP="004748F9">
      <w:pPr>
        <w:rPr>
          <w:rFonts w:cs="Calibri"/>
        </w:rPr>
      </w:pPr>
      <w:r w:rsidRPr="004748F9">
        <w:rPr>
          <w:rFonts w:cs="Calibri"/>
        </w:rPr>
        <w:t>The</w:t>
      </w:r>
      <w:r w:rsidR="00095C48">
        <w:rPr>
          <w:rFonts w:cs="Calibri"/>
        </w:rPr>
        <w:t xml:space="preserve"> </w:t>
      </w:r>
      <w:hyperlink r:id="rId25" w:history="1">
        <w:r w:rsidR="00095C48" w:rsidRPr="00095C48">
          <w:rPr>
            <w:rStyle w:val="Hyperlink"/>
            <w:rFonts w:ascii="Calibri" w:hAnsi="Calibri" w:cs="Calibri"/>
          </w:rPr>
          <w:t>Early Years Strategy 2024-2034</w:t>
        </w:r>
      </w:hyperlink>
      <w:r w:rsidRPr="004748F9">
        <w:rPr>
          <w:rFonts w:cs="Calibri"/>
        </w:rPr>
        <w:t xml:space="preserve"> </w:t>
      </w:r>
      <w:r w:rsidR="00095C48">
        <w:rPr>
          <w:rFonts w:cs="Calibri"/>
        </w:rPr>
        <w:t>(</w:t>
      </w:r>
      <w:r w:rsidRPr="004748F9">
        <w:rPr>
          <w:rFonts w:cs="Calibri"/>
        </w:rPr>
        <w:t>the Strategy) was launched in May 2024 and sets out the Australian Government’s vision to best support Australia’s children and their families in the early years.</w:t>
      </w:r>
    </w:p>
    <w:p w14:paraId="138165AF" w14:textId="77777777" w:rsidR="005E0044" w:rsidRPr="004748F9" w:rsidRDefault="005E0044" w:rsidP="004748F9">
      <w:pPr>
        <w:rPr>
          <w:rFonts w:cs="Calibri"/>
        </w:rPr>
      </w:pPr>
      <w:r w:rsidRPr="004748F9">
        <w:rPr>
          <w:rFonts w:cs="Calibri"/>
        </w:rPr>
        <w:t xml:space="preserve">The Strategy outlines how the Government will prioritise and support child-centred policy development and target investment in early years supports and services over the next decade. </w:t>
      </w:r>
    </w:p>
    <w:p w14:paraId="6626997A" w14:textId="2BC8687A" w:rsidR="005E0044" w:rsidRPr="004748F9" w:rsidRDefault="005E0044" w:rsidP="004748F9">
      <w:pPr>
        <w:rPr>
          <w:rFonts w:cs="Calibri"/>
        </w:rPr>
      </w:pPr>
      <w:r w:rsidRPr="004748F9">
        <w:rPr>
          <w:rFonts w:cs="Calibri"/>
        </w:rPr>
        <w:t xml:space="preserve">It also provides a framework to drive and align the Government’s efforts in the early years, and to enhance cooperation and coordination of the Government’s early childhood policies, programs and services. </w:t>
      </w:r>
    </w:p>
    <w:p w14:paraId="71DAD248" w14:textId="77777777" w:rsidR="005E0044" w:rsidRPr="004748F9" w:rsidRDefault="005E0044" w:rsidP="004748F9">
      <w:pPr>
        <w:rPr>
          <w:rFonts w:cs="Calibri"/>
        </w:rPr>
      </w:pPr>
      <w:r w:rsidRPr="004748F9">
        <w:rPr>
          <w:rFonts w:cs="Calibri"/>
        </w:rPr>
        <w:t xml:space="preserve">The Strategy includes 4 key elements – a vision, 5 principles, 8 outcomes and 4 priority focus areas. Together, these set out where the Government will direct its efforts, how it will work and what it seeks to achieve. Further detail on these can be found at </w:t>
      </w:r>
      <w:r w:rsidRPr="004748F9">
        <w:rPr>
          <w:rFonts w:cs="Calibri"/>
          <w:b/>
          <w:bCs/>
        </w:rPr>
        <w:t>Appendix A</w:t>
      </w:r>
      <w:r w:rsidRPr="004748F9">
        <w:rPr>
          <w:rFonts w:cs="Calibri"/>
        </w:rPr>
        <w:t xml:space="preserve">.  </w:t>
      </w:r>
    </w:p>
    <w:p w14:paraId="72C202BF" w14:textId="7C2088B1" w:rsidR="005E0044" w:rsidRPr="004748F9" w:rsidRDefault="005E0044" w:rsidP="004748F9">
      <w:pPr>
        <w:rPr>
          <w:rFonts w:cs="Calibri"/>
        </w:rPr>
      </w:pPr>
      <w:r w:rsidRPr="004748F9">
        <w:rPr>
          <w:rFonts w:cs="Calibri"/>
        </w:rPr>
        <w:t xml:space="preserve">The Strategy is supported by an </w:t>
      </w:r>
      <w:hyperlink r:id="rId26" w:history="1">
        <w:r w:rsidRPr="00095C48">
          <w:rPr>
            <w:rStyle w:val="Hyperlink"/>
            <w:rFonts w:ascii="Calibri" w:hAnsi="Calibri" w:cs="Calibri"/>
          </w:rPr>
          <w:t>Evidence Summary</w:t>
        </w:r>
      </w:hyperlink>
      <w:r w:rsidRPr="004748F9">
        <w:rPr>
          <w:rFonts w:cs="Calibri"/>
        </w:rPr>
        <w:t xml:space="preserve">, which outlines the research underpinning the Strategy, and a </w:t>
      </w:r>
      <w:hyperlink r:id="rId27" w:history="1">
        <w:r w:rsidRPr="00095C48">
          <w:rPr>
            <w:rStyle w:val="Hyperlink"/>
            <w:rFonts w:ascii="Calibri" w:hAnsi="Calibri" w:cs="Calibri"/>
          </w:rPr>
          <w:t>Consultation Report</w:t>
        </w:r>
      </w:hyperlink>
      <w:r w:rsidRPr="004748F9">
        <w:rPr>
          <w:rFonts w:cs="Calibri"/>
        </w:rPr>
        <w:t xml:space="preserve">, which summarises what we heard during the consultation process to inform the Strategy.  </w:t>
      </w:r>
    </w:p>
    <w:p w14:paraId="17F05D7D" w14:textId="13E40948" w:rsidR="005E0044" w:rsidRPr="004748F9" w:rsidRDefault="005E0044" w:rsidP="004748F9">
      <w:pPr>
        <w:rPr>
          <w:rFonts w:cs="Calibri"/>
        </w:rPr>
      </w:pPr>
      <w:r w:rsidRPr="004748F9">
        <w:rPr>
          <w:rFonts w:cs="Calibri"/>
        </w:rPr>
        <w:t xml:space="preserve">The Strategy will be delivered through action plans to outline the practical steps the Government is taking to support young children and their families, in line with the Strategy’s 5 principles and 4 priority focus areas. The </w:t>
      </w:r>
      <w:hyperlink r:id="rId28" w:history="1">
        <w:r w:rsidRPr="00095C48">
          <w:rPr>
            <w:rStyle w:val="Hyperlink"/>
            <w:rFonts w:ascii="Calibri" w:hAnsi="Calibri" w:cs="Calibri"/>
          </w:rPr>
          <w:t>First Action Plan 2024 - 2027</w:t>
        </w:r>
      </w:hyperlink>
      <w:r w:rsidRPr="004748F9">
        <w:rPr>
          <w:rFonts w:cs="Calibri"/>
        </w:rPr>
        <w:t xml:space="preserve"> </w:t>
      </w:r>
      <w:r w:rsidR="000230E3">
        <w:rPr>
          <w:rFonts w:cs="Calibri"/>
        </w:rPr>
        <w:t xml:space="preserve">(the First Action Plan) </w:t>
      </w:r>
      <w:r w:rsidRPr="004748F9">
        <w:rPr>
          <w:rFonts w:cs="Calibri"/>
        </w:rPr>
        <w:t xml:space="preserve">was released in December 2024 and covers the first implementation phase of the Strategy. </w:t>
      </w:r>
    </w:p>
    <w:p w14:paraId="7B3F40E0" w14:textId="62A2EFE3" w:rsidR="005E0044" w:rsidRPr="004748F9" w:rsidRDefault="005E0044" w:rsidP="004748F9">
      <w:pPr>
        <w:rPr>
          <w:rFonts w:cs="Calibri"/>
        </w:rPr>
      </w:pPr>
      <w:r w:rsidRPr="004748F9">
        <w:rPr>
          <w:rFonts w:cs="Calibri"/>
        </w:rPr>
        <w:t xml:space="preserve">An </w:t>
      </w:r>
      <w:hyperlink r:id="rId29" w:history="1">
        <w:r w:rsidRPr="00095C48">
          <w:rPr>
            <w:rStyle w:val="Hyperlink"/>
            <w:rFonts w:ascii="Calibri" w:hAnsi="Calibri" w:cs="Calibri"/>
          </w:rPr>
          <w:t>Outcomes Framework</w:t>
        </w:r>
      </w:hyperlink>
      <w:r w:rsidRPr="004748F9">
        <w:rPr>
          <w:rFonts w:cs="Calibri"/>
        </w:rPr>
        <w:t xml:space="preserve"> was also released in December 2024 which sets out how the Government will measure the Strategy’s 8 outcomes. The Outcomes Framework will allow the Government to better understand how Australia’s young children and their families are faring across wellbeing domains and monitor trends and changes over time.   </w:t>
      </w:r>
    </w:p>
    <w:p w14:paraId="3F72EB4F" w14:textId="237B8AC8" w:rsidR="00B12858" w:rsidRPr="004748F9" w:rsidRDefault="005E0044" w:rsidP="004748F9">
      <w:pPr>
        <w:rPr>
          <w:rFonts w:cs="Calibri"/>
        </w:rPr>
      </w:pPr>
      <w:r w:rsidRPr="004748F9">
        <w:rPr>
          <w:rFonts w:cs="Calibri"/>
        </w:rPr>
        <w:t xml:space="preserve">While the Strategy will guide the Government’s work in the early years, achieving the Strategy’s vision and outcomes requires collective action. This includes contributions from state, territory, local and Commonwealth governments, the early years system and workforce, the philanthropic sector, communities, and families. </w:t>
      </w:r>
    </w:p>
    <w:p w14:paraId="1918A823" w14:textId="54E3265E" w:rsidR="005E0044" w:rsidRPr="00156921" w:rsidRDefault="00940CAB" w:rsidP="00156921">
      <w:pPr>
        <w:pStyle w:val="Heading2"/>
        <w:rPr>
          <w:bCs w:val="0"/>
          <w:color w:val="640638"/>
        </w:rPr>
      </w:pPr>
      <w:bookmarkStart w:id="26" w:name="_Toc212566534"/>
      <w:bookmarkStart w:id="27" w:name="_Toc215146307"/>
      <w:r w:rsidRPr="00095C48">
        <w:rPr>
          <w:bCs w:val="0"/>
          <w:color w:val="640638"/>
        </w:rPr>
        <w:br w:type="page"/>
      </w:r>
      <w:bookmarkStart w:id="28" w:name="_Toc228974158"/>
      <w:r w:rsidR="005E0044" w:rsidRPr="00156921">
        <w:rPr>
          <w:color w:val="640638"/>
        </w:rPr>
        <w:lastRenderedPageBreak/>
        <w:t>Monitoring and Evaluation Framework</w:t>
      </w:r>
      <w:bookmarkEnd w:id="26"/>
      <w:bookmarkEnd w:id="27"/>
      <w:bookmarkEnd w:id="28"/>
    </w:p>
    <w:p w14:paraId="61F7031B" w14:textId="776CAB36" w:rsidR="005E0044" w:rsidRPr="00156921" w:rsidRDefault="005E0044" w:rsidP="00156921">
      <w:pPr>
        <w:pStyle w:val="Heading3"/>
        <w:spacing w:after="240"/>
      </w:pPr>
      <w:bookmarkStart w:id="29" w:name="_Toc215146308"/>
      <w:bookmarkStart w:id="30" w:name="_Toc228974159"/>
      <w:r w:rsidRPr="00156921">
        <w:t>Purpose of the Framework</w:t>
      </w:r>
      <w:bookmarkEnd w:id="29"/>
      <w:bookmarkEnd w:id="30"/>
    </w:p>
    <w:p w14:paraId="5C3F0C15" w14:textId="6DAE4CB0" w:rsidR="005E0044" w:rsidRPr="00EE2A29" w:rsidRDefault="005E0044" w:rsidP="005E0044">
      <w:r w:rsidRPr="00EE2A29">
        <w:t>The Strategy commit</w:t>
      </w:r>
      <w:r>
        <w:t>s</w:t>
      </w:r>
      <w:r w:rsidRPr="00EE2A29">
        <w:t xml:space="preserve"> to </w:t>
      </w:r>
      <w:r>
        <w:t xml:space="preserve">undertaking </w:t>
      </w:r>
      <w:r w:rsidRPr="00EE2A29">
        <w:t xml:space="preserve">monitoring and evaluation to </w:t>
      </w:r>
      <w:r>
        <w:t xml:space="preserve">help </w:t>
      </w:r>
      <w:r w:rsidRPr="00EE2A29">
        <w:t xml:space="preserve">track </w:t>
      </w:r>
      <w:r>
        <w:t xml:space="preserve">the </w:t>
      </w:r>
      <w:r w:rsidRPr="00EE2A29">
        <w:t>progress</w:t>
      </w:r>
      <w:r>
        <w:t xml:space="preserve"> and success of actions, measure change over time, and assess the overall effectiveness of the Strategy in achieving its vision and outcomes.</w:t>
      </w:r>
      <w:r w:rsidRPr="00EE2A29">
        <w:t xml:space="preserve"> </w:t>
      </w:r>
    </w:p>
    <w:p w14:paraId="79BF6355" w14:textId="0F6E5A37" w:rsidR="005E0044" w:rsidRDefault="005E0044" w:rsidP="005E0044">
      <w:r w:rsidRPr="00EE2A29">
        <w:t xml:space="preserve">This Monitoring and Evaluation Framework (the Framework) </w:t>
      </w:r>
      <w:r>
        <w:t>sets out the Government’s overall approach to monitoring and evaluation over the 10-year life of the Strategy</w:t>
      </w:r>
      <w:r w:rsidRPr="00EE2A29">
        <w:t>.</w:t>
      </w:r>
      <w:r>
        <w:t xml:space="preserve"> It aims to assist those commissioning, planning and undertaking future monitoring and evaluation activities under the Strategy, by providing guidance on</w:t>
      </w:r>
      <w:r w:rsidRPr="00EE2A29">
        <w:t xml:space="preserve"> how </w:t>
      </w:r>
      <w:r>
        <w:t xml:space="preserve">the Strategy’s </w:t>
      </w:r>
      <w:r w:rsidRPr="00EE2A29">
        <w:t xml:space="preserve">actions </w:t>
      </w:r>
      <w:r>
        <w:t xml:space="preserve">and </w:t>
      </w:r>
      <w:r w:rsidRPr="00EE2A29">
        <w:t>outcomes will be monitored</w:t>
      </w:r>
      <w:r>
        <w:t>, as well as how</w:t>
      </w:r>
      <w:r w:rsidRPr="00EE2A29">
        <w:t xml:space="preserve"> the Strategy</w:t>
      </w:r>
      <w:r>
        <w:t xml:space="preserve"> will be</w:t>
      </w:r>
      <w:r w:rsidRPr="00EE2A29">
        <w:t xml:space="preserve"> evalua</w:t>
      </w:r>
      <w:r>
        <w:t>ted</w:t>
      </w:r>
      <w:r w:rsidRPr="00EE2A29">
        <w:t xml:space="preserve">. </w:t>
      </w:r>
    </w:p>
    <w:p w14:paraId="3E52AEB0" w14:textId="1EF37B3C" w:rsidR="005E0044" w:rsidRDefault="005E0044" w:rsidP="005E0044">
      <w:r>
        <w:t xml:space="preserve">The Framework is also intended to assist those designing or delivering early years policies, programs and services that align with the Strategy, by providing guiding principles and a consistent approach to ensure any new activities can contribute to overarching monitoring and evaluation of the Strategy. </w:t>
      </w:r>
    </w:p>
    <w:p w14:paraId="050464B1" w14:textId="77777777" w:rsidR="005E0044" w:rsidRPr="00B01D67" w:rsidRDefault="005E0044" w:rsidP="005E0044">
      <w:r>
        <w:t>The Framework has been developed</w:t>
      </w:r>
      <w:r w:rsidRPr="00B01D67">
        <w:t xml:space="preserve"> to allow </w:t>
      </w:r>
      <w:r>
        <w:t xml:space="preserve">enough </w:t>
      </w:r>
      <w:r w:rsidRPr="00B01D67">
        <w:t xml:space="preserve">flexibility to adapt </w:t>
      </w:r>
      <w:r>
        <w:t xml:space="preserve">and respond </w:t>
      </w:r>
      <w:r w:rsidRPr="00B01D67">
        <w:t>to evolving circumstances over the Strategy’s 10-year life</w:t>
      </w:r>
      <w:r>
        <w:t>, while still retaining an overarching focus on the long-term vision and outcomes the Strategy is seeking to achieve</w:t>
      </w:r>
      <w:r w:rsidRPr="00B01D67">
        <w:t>.</w:t>
      </w:r>
    </w:p>
    <w:p w14:paraId="14978A1C" w14:textId="5FDAFBA1" w:rsidR="005E0044" w:rsidRDefault="0068229C" w:rsidP="005E0044">
      <w:r w:rsidRPr="005131AD">
        <w:rPr>
          <w:noProof/>
        </w:rPr>
        <w:drawing>
          <wp:anchor distT="0" distB="0" distL="114300" distR="114300" simplePos="0" relativeHeight="251685888" behindDoc="0" locked="0" layoutInCell="1" allowOverlap="1" wp14:anchorId="156F4D07" wp14:editId="2B97CD5A">
            <wp:simplePos x="0" y="0"/>
            <wp:positionH relativeFrom="margin">
              <wp:posOffset>154305</wp:posOffset>
            </wp:positionH>
            <wp:positionV relativeFrom="paragraph">
              <wp:posOffset>934967</wp:posOffset>
            </wp:positionV>
            <wp:extent cx="4892040" cy="3170555"/>
            <wp:effectExtent l="0" t="0" r="3810" b="0"/>
            <wp:wrapTopAndBottom/>
            <wp:docPr id="1144319043" name="Picture 1" descr="Early Years Strategy 2024-2034 10-year vision and sco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19043" name="Picture 1" descr="Early Years Strategy 2024-2034 10-year vision and scope."/>
                    <pic:cNvPicPr/>
                  </pic:nvPicPr>
                  <pic:blipFill rotWithShape="1">
                    <a:blip r:embed="rId30"/>
                    <a:srcRect b="11686"/>
                    <a:stretch>
                      <a:fillRect/>
                    </a:stretch>
                  </pic:blipFill>
                  <pic:spPr bwMode="auto">
                    <a:xfrm>
                      <a:off x="0" y="0"/>
                      <a:ext cx="4892040" cy="31705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9920" behindDoc="0" locked="0" layoutInCell="1" allowOverlap="1" wp14:anchorId="3745B5BE" wp14:editId="2488D2B5">
                <wp:simplePos x="0" y="0"/>
                <wp:positionH relativeFrom="margin">
                  <wp:align>right</wp:align>
                </wp:positionH>
                <wp:positionV relativeFrom="paragraph">
                  <wp:posOffset>3951605</wp:posOffset>
                </wp:positionV>
                <wp:extent cx="4892040" cy="450850"/>
                <wp:effectExtent l="0" t="0" r="3810" b="6350"/>
                <wp:wrapTopAndBottom/>
                <wp:docPr id="1299176484" name="Text Box 1"/>
                <wp:cNvGraphicFramePr/>
                <a:graphic xmlns:a="http://schemas.openxmlformats.org/drawingml/2006/main">
                  <a:graphicData uri="http://schemas.microsoft.com/office/word/2010/wordprocessingShape">
                    <wps:wsp>
                      <wps:cNvSpPr txBox="1"/>
                      <wps:spPr>
                        <a:xfrm>
                          <a:off x="0" y="0"/>
                          <a:ext cx="4892040" cy="451262"/>
                        </a:xfrm>
                        <a:prstGeom prst="rect">
                          <a:avLst/>
                        </a:prstGeom>
                        <a:noFill/>
                        <a:ln>
                          <a:noFill/>
                        </a:ln>
                      </wps:spPr>
                      <wps:txbx>
                        <w:txbxContent>
                          <w:p w14:paraId="42BC16C7" w14:textId="060C2E41" w:rsidR="0068229C" w:rsidRPr="001200DE" w:rsidRDefault="0068229C" w:rsidP="0068229C">
                            <w:pPr>
                              <w:pStyle w:val="Caption"/>
                              <w:rPr>
                                <w:noProof/>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Strategy </w:t>
                            </w:r>
                            <w:r w:rsidR="00502BD8">
                              <w:t>i</w:t>
                            </w:r>
                            <w:r>
                              <w:t xml:space="preserve">mplementation </w:t>
                            </w:r>
                            <w:r w:rsidR="00502BD8">
                              <w:t>o</w:t>
                            </w:r>
                            <w:r>
                              <w:t>verview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745B5BE" id="_x0000_t202" coordsize="21600,21600" o:spt="202" path="m,l,21600r21600,l21600,xe">
                <v:stroke joinstyle="miter"/>
                <v:path gradientshapeok="t" o:connecttype="rect"/>
              </v:shapetype>
              <v:shape id="Text Box 1" o:spid="_x0000_s1026" type="#_x0000_t202" style="position:absolute;margin-left:334pt;margin-top:311.15pt;width:385.2pt;height:35.5pt;z-index:251729920;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" filled="f" stroked="f">
                <v:textbox inset="0,0,0,0">
                  <w:txbxContent>
                    <w:p w14:paraId="42BC16C7" w14:textId="060C2E41" w:rsidR="0068229C" w:rsidRPr="001200DE" w:rsidRDefault="0068229C" w:rsidP="0068229C">
                      <w:pPr>
                        <w:pStyle w:val="Caption"/>
                        <w:rPr>
                          <w:noProof/>
                        </w:rPr>
                      </w:pPr>
                      <w:r>
                        <w:t xml:space="preserve">Figure </w:t>
                      </w:r>
                      <w:r>
                        <w:fldChar w:fldCharType="begin"/>
                      </w:r>
                      <w:r>
                        <w:instrText xml:space="preserve"> SEQ Figure \* ARABIC </w:instrText>
                      </w:r>
                      <w:r>
                        <w:fldChar w:fldCharType="separate"/>
                      </w:r>
                      <w:r>
                        <w:rPr>
                          <w:noProof/>
                        </w:rPr>
                        <w:t>1</w:t>
                      </w:r>
                      <w:r>
                        <w:rPr>
                          <w:noProof/>
                        </w:rPr>
                        <w:fldChar w:fldCharType="end"/>
                      </w:r>
                      <w:r>
                        <w:t xml:space="preserve">: Strategy </w:t>
                      </w:r>
                      <w:r w:rsidR="00502BD8">
                        <w:t>i</w:t>
                      </w:r>
                      <w:r>
                        <w:t xml:space="preserve">mplementation </w:t>
                      </w:r>
                      <w:r w:rsidR="00502BD8">
                        <w:t>o</w:t>
                      </w:r>
                      <w:r>
                        <w:t>verview</w:t>
                      </w:r>
                    </w:p>
                  </w:txbxContent>
                </v:textbox>
                <w10:wrap type="topAndBottom" anchorx="margin"/>
              </v:shape>
            </w:pict>
          </mc:Fallback>
        </mc:AlternateContent>
      </w:r>
      <w:r w:rsidR="005E0044" w:rsidRPr="00EE2A29">
        <w:t xml:space="preserve">The Framework </w:t>
      </w:r>
      <w:r w:rsidR="005E0044">
        <w:t>aims to ensure accountability and transparency for tracking progress under the Strategy, fostering continuous improvement and informing decision making.</w:t>
      </w:r>
      <w:r w:rsidR="005E0044" w:rsidRPr="00EE2A29">
        <w:t xml:space="preserve"> </w:t>
      </w:r>
      <w:r w:rsidR="005E0044">
        <w:t xml:space="preserve">It </w:t>
      </w:r>
      <w:r w:rsidR="005E0044" w:rsidRPr="00EE2A29">
        <w:t xml:space="preserve">sits alongside the Strategy, the Outcomes Framework and </w:t>
      </w:r>
      <w:r w:rsidR="005E0044">
        <w:t>a</w:t>
      </w:r>
      <w:r w:rsidR="005E0044" w:rsidRPr="00EE2A29">
        <w:t xml:space="preserve">ction </w:t>
      </w:r>
      <w:r w:rsidR="005E0044">
        <w:t>p</w:t>
      </w:r>
      <w:r w:rsidR="005E0044" w:rsidRPr="00EE2A29">
        <w:t>lans</w:t>
      </w:r>
      <w:r w:rsidR="005E0044">
        <w:t>, and will help inform future actions and evaluation of the Strategy</w:t>
      </w:r>
      <w:r w:rsidR="005E0044" w:rsidRPr="00EE2A29">
        <w:t xml:space="preserve">. </w:t>
      </w:r>
    </w:p>
    <w:p w14:paraId="69B0E628" w14:textId="4AB67C82" w:rsidR="005E0044" w:rsidRPr="00EE2A29" w:rsidRDefault="005E0044" w:rsidP="005E0044">
      <w:r w:rsidRPr="00EE2A29">
        <w:lastRenderedPageBreak/>
        <w:t xml:space="preserve">Development of this Framework </w:t>
      </w:r>
      <w:r>
        <w:t xml:space="preserve">was an action in the First Action Plan (Action 4.5) and </w:t>
      </w:r>
      <w:r w:rsidRPr="00EE2A29">
        <w:t>contributes to Priority Focus Area 4</w:t>
      </w:r>
      <w:r>
        <w:t xml:space="preserve"> of the Strategy – </w:t>
      </w:r>
      <w:r w:rsidRPr="00EE2A29">
        <w:t>Strengthen</w:t>
      </w:r>
      <w:r>
        <w:t xml:space="preserve"> </w:t>
      </w:r>
      <w:r w:rsidRPr="00EE2A29">
        <w:t>accountability and coordination</w:t>
      </w:r>
      <w:r>
        <w:t>, particularly Priority Focus Area 4.1 which aims to strengthen data, research and evaluation in the early years. This includes capturing the views and live</w:t>
      </w:r>
      <w:r w:rsidR="000230E3">
        <w:t>d</w:t>
      </w:r>
      <w:r>
        <w:t xml:space="preserve"> experiences of children and families, building and sharing the evidence base around what works, and</w:t>
      </w:r>
      <w:r w:rsidRPr="00EE2A29">
        <w:t xml:space="preserve"> supporting a culture of evaluation and strong evaluation processes. </w:t>
      </w:r>
    </w:p>
    <w:p w14:paraId="68FB5CF1" w14:textId="77777777" w:rsidR="004111FA" w:rsidRDefault="005E0044" w:rsidP="005E0044">
      <w:r>
        <w:t>As with the Strategy, t</w:t>
      </w:r>
      <w:r w:rsidRPr="003734C8">
        <w:t>he Framework also supports accountability</w:t>
      </w:r>
      <w:r>
        <w:t xml:space="preserve"> and coordination</w:t>
      </w:r>
      <w:r w:rsidRPr="003734C8">
        <w:t xml:space="preserve"> across the early years system. </w:t>
      </w:r>
      <w:r>
        <w:t xml:space="preserve">It is designed to ensure monitoring and evaluation activities complement, rather than duplicate, other strategies and frameworks that seek to improve outcomes for young children and families in Australia. </w:t>
      </w:r>
    </w:p>
    <w:p w14:paraId="043A57F4" w14:textId="67A2BB61" w:rsidR="00C3117B" w:rsidRDefault="005E0044" w:rsidP="005E0044">
      <w:r>
        <w:t>This includes</w:t>
      </w:r>
      <w:r w:rsidR="00C3117B">
        <w:t>:</w:t>
      </w:r>
    </w:p>
    <w:p w14:paraId="05860CF8" w14:textId="39102B6B" w:rsidR="00C3117B" w:rsidRPr="004111FA" w:rsidRDefault="005E0044" w:rsidP="00C3117B">
      <w:pPr>
        <w:pStyle w:val="ListParagraph"/>
        <w:numPr>
          <w:ilvl w:val="0"/>
          <w:numId w:val="36"/>
        </w:numPr>
      </w:pPr>
      <w:hyperlink r:id="rId31" w:history="1">
        <w:r w:rsidRPr="00095C48">
          <w:rPr>
            <w:rStyle w:val="Hyperlink"/>
            <w:rFonts w:ascii="Calibri" w:hAnsi="Calibri"/>
          </w:rPr>
          <w:t>Safe and Supported: The National Framework for Protecting Australia’s Children 2021-2031</w:t>
        </w:r>
      </w:hyperlink>
      <w:r w:rsidR="00E55254">
        <w:t>.</w:t>
      </w:r>
    </w:p>
    <w:p w14:paraId="0F0B0A06" w14:textId="1BB45441" w:rsidR="00C3117B" w:rsidRPr="00095C48" w:rsidRDefault="00E55254" w:rsidP="00C3117B">
      <w:pPr>
        <w:pStyle w:val="ListParagraph"/>
        <w:numPr>
          <w:ilvl w:val="0"/>
          <w:numId w:val="36"/>
        </w:numPr>
      </w:pPr>
      <w:hyperlink r:id="rId32" w:history="1">
        <w:r>
          <w:rPr>
            <w:rStyle w:val="Hyperlink"/>
            <w:rFonts w:ascii="Calibri" w:hAnsi="Calibri"/>
          </w:rPr>
          <w:t>T</w:t>
        </w:r>
        <w:r w:rsidR="005E0044" w:rsidRPr="00095C48">
          <w:rPr>
            <w:rStyle w:val="Hyperlink"/>
            <w:rFonts w:ascii="Calibri" w:hAnsi="Calibri"/>
          </w:rPr>
          <w:t>he National Plan to End Violence against Women and Children 2022-2032</w:t>
        </w:r>
      </w:hyperlink>
      <w:r>
        <w:t>.</w:t>
      </w:r>
      <w:r w:rsidR="005E0044" w:rsidRPr="004111FA">
        <w:t xml:space="preserve"> </w:t>
      </w:r>
    </w:p>
    <w:p w14:paraId="3D0F1D5D" w14:textId="55DE4178" w:rsidR="00C3117B" w:rsidRPr="00095C48" w:rsidRDefault="00E55254" w:rsidP="00C3117B">
      <w:pPr>
        <w:pStyle w:val="ListParagraph"/>
        <w:numPr>
          <w:ilvl w:val="0"/>
          <w:numId w:val="36"/>
        </w:numPr>
      </w:pPr>
      <w:hyperlink r:id="rId33" w:history="1">
        <w:r>
          <w:rPr>
            <w:rStyle w:val="Hyperlink"/>
            <w:rFonts w:ascii="Calibri" w:hAnsi="Calibri"/>
          </w:rPr>
          <w:t>T</w:t>
        </w:r>
        <w:r w:rsidR="00C36663" w:rsidRPr="00095C48">
          <w:rPr>
            <w:rStyle w:val="Hyperlink"/>
            <w:rFonts w:ascii="Calibri" w:hAnsi="Calibri"/>
          </w:rPr>
          <w:t>he National Agreement on Closing the Gap</w:t>
        </w:r>
      </w:hyperlink>
      <w:r w:rsidR="00C36663" w:rsidRPr="004111FA">
        <w:t xml:space="preserve"> (Closing the Gap)</w:t>
      </w:r>
      <w:r>
        <w:t>.</w:t>
      </w:r>
      <w:r w:rsidR="005E0044" w:rsidRPr="004111FA">
        <w:t xml:space="preserve"> </w:t>
      </w:r>
    </w:p>
    <w:p w14:paraId="427A6BB1" w14:textId="754E0FDD" w:rsidR="005E0044" w:rsidRPr="004111FA" w:rsidRDefault="005E0044" w:rsidP="00095C48">
      <w:pPr>
        <w:pStyle w:val="ListParagraph"/>
        <w:numPr>
          <w:ilvl w:val="0"/>
          <w:numId w:val="36"/>
        </w:numPr>
      </w:pPr>
      <w:hyperlink r:id="rId34" w:history="1">
        <w:r w:rsidRPr="00095C48">
          <w:rPr>
            <w:rStyle w:val="Hyperlink"/>
            <w:rFonts w:ascii="Calibri" w:hAnsi="Calibri"/>
          </w:rPr>
          <w:t>Australia’s Disability Strategy 2021-2031</w:t>
        </w:r>
      </w:hyperlink>
      <w:r w:rsidRPr="004111FA">
        <w:t>.</w:t>
      </w:r>
    </w:p>
    <w:p w14:paraId="6D823300" w14:textId="77777777" w:rsidR="005E0044" w:rsidRPr="009606B1" w:rsidRDefault="005E0044" w:rsidP="005E0044">
      <w:r>
        <w:t xml:space="preserve">In line with Priority Focus Area 4 of the Strategy, the Government will continue to identify opportunities to strengthen monitoring and evaluation, including periodically reviewing the Framework over the life of the Strategy to see if any elements need to be adjusted based on emerging challenges and opportunities. </w:t>
      </w:r>
    </w:p>
    <w:p w14:paraId="36EB6EB4" w14:textId="77777777" w:rsidR="005E0044" w:rsidRPr="009606B1" w:rsidRDefault="005E0044" w:rsidP="00156921">
      <w:pPr>
        <w:pStyle w:val="Heading3"/>
        <w:spacing w:after="240"/>
      </w:pPr>
      <w:bookmarkStart w:id="31" w:name="_Toc215146309"/>
      <w:bookmarkStart w:id="32" w:name="_Toc228974160"/>
      <w:r w:rsidRPr="009606B1">
        <w:t>Development of the Framework</w:t>
      </w:r>
      <w:bookmarkEnd w:id="31"/>
      <w:bookmarkEnd w:id="32"/>
    </w:p>
    <w:p w14:paraId="0102B1DB" w14:textId="77777777" w:rsidR="005E0044" w:rsidRPr="009606B1" w:rsidRDefault="005E0044" w:rsidP="00DF2AFB">
      <w:r w:rsidRPr="009606B1">
        <w:t>The Department of Social Services</w:t>
      </w:r>
      <w:r>
        <w:t xml:space="preserve"> (DSS)</w:t>
      </w:r>
      <w:r w:rsidRPr="009606B1">
        <w:t xml:space="preserve"> developed this Framework with advice from the Australian Institute of Family Studies (AIFS) and feedback from other Government agencies. The AIFS advice focussed on identifying best practice approaches across </w:t>
      </w:r>
      <w:r>
        <w:t>3</w:t>
      </w:r>
      <w:r w:rsidRPr="009606B1">
        <w:t xml:space="preserve"> critical areas: guiding principles, monitoring and evaluation, and governance arrangements. </w:t>
      </w:r>
    </w:p>
    <w:p w14:paraId="5F6DD674" w14:textId="77777777" w:rsidR="005E0044" w:rsidRPr="009606B1" w:rsidRDefault="005E0044" w:rsidP="00DF2AFB">
      <w:bookmarkStart w:id="33" w:name="_Hlk211940204"/>
      <w:r>
        <w:t>DSS</w:t>
      </w:r>
      <w:r w:rsidRPr="1D047116">
        <w:t xml:space="preserve"> also </w:t>
      </w:r>
      <w:bookmarkEnd w:id="33"/>
      <w:r w:rsidRPr="1D047116">
        <w:t xml:space="preserve">drew on </w:t>
      </w:r>
      <w:r>
        <w:t xml:space="preserve">key themes and findings </w:t>
      </w:r>
      <w:r w:rsidRPr="1D047116">
        <w:t xml:space="preserve">from earlier consultations </w:t>
      </w:r>
      <w:r>
        <w:t xml:space="preserve">to inform development of </w:t>
      </w:r>
      <w:r w:rsidRPr="1D047116">
        <w:t>the Strategy</w:t>
      </w:r>
      <w:r>
        <w:t xml:space="preserve"> and the Outcomes Framework</w:t>
      </w:r>
      <w:r w:rsidRPr="1D047116">
        <w:t>, including</w:t>
      </w:r>
      <w:r>
        <w:t xml:space="preserve"> engagement with young children, families, the early childhood sector, academics and data experts. </w:t>
      </w:r>
    </w:p>
    <w:p w14:paraId="1E63888A" w14:textId="55370F60" w:rsidR="001E2B04" w:rsidRDefault="005E0044" w:rsidP="00DF2AFB">
      <w:r w:rsidRPr="009606B1">
        <w:t xml:space="preserve">This Framework </w:t>
      </w:r>
      <w:r>
        <w:t xml:space="preserve">builds on these previous consultations to ensure future monitoring and evaluation activities under the Strategy also embed the voices of children, families, kin and communities, in line with the Strategy’s 5 principles and 4 priority focus areas. </w:t>
      </w:r>
    </w:p>
    <w:p w14:paraId="7F35ED54" w14:textId="7015B88A" w:rsidR="00940CAB" w:rsidRDefault="00940CAB">
      <w:pPr>
        <w:spacing w:after="240"/>
        <w:rPr>
          <w:rFonts w:eastAsiaTheme="majorEastAsia" w:cstheme="majorBidi"/>
          <w:b/>
          <w:bCs/>
          <w:color w:val="002A3F" w:themeColor="accent2"/>
          <w:sz w:val="40"/>
          <w:szCs w:val="26"/>
        </w:rPr>
      </w:pPr>
      <w:bookmarkStart w:id="34" w:name="_Toc215146310"/>
      <w:r>
        <w:br w:type="page"/>
      </w:r>
    </w:p>
    <w:p w14:paraId="150E6388" w14:textId="1E4A318F" w:rsidR="00940CAB" w:rsidRPr="00940CAB" w:rsidRDefault="00940CAB" w:rsidP="00940CAB">
      <w:pPr>
        <w:spacing w:after="240"/>
      </w:pPr>
      <w:r w:rsidRPr="00940CAB">
        <w:rPr>
          <w:noProof/>
        </w:rPr>
        <w:lastRenderedPageBreak/>
        <w:drawing>
          <wp:anchor distT="0" distB="0" distL="114300" distR="114300" simplePos="0" relativeHeight="251703296" behindDoc="1" locked="0" layoutInCell="1" allowOverlap="1" wp14:anchorId="57C3FEAF" wp14:editId="2CEE2619">
            <wp:simplePos x="0" y="0"/>
            <wp:positionH relativeFrom="page">
              <wp:posOffset>-33867</wp:posOffset>
            </wp:positionH>
            <wp:positionV relativeFrom="paragraph">
              <wp:posOffset>-1510030</wp:posOffset>
            </wp:positionV>
            <wp:extent cx="7585881" cy="11375360"/>
            <wp:effectExtent l="0" t="0" r="0" b="4445"/>
            <wp:wrapNone/>
            <wp:docPr id="10454109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41095" name="Picture 3">
                      <a:extLst>
                        <a:ext uri="{C183D7F6-B498-43B3-948B-1728B52AA6E4}">
                          <adec:decorative xmlns:adec="http://schemas.microsoft.com/office/drawing/2017/decorative" val="1"/>
                        </a:ext>
                      </a:extLst>
                    </pic:cNvPr>
                    <pic:cNvPicPr>
                      <a:picLocks noChangeAspect="1" noChangeArrowheads="1"/>
                    </pic:cNvPicPr>
                  </pic:nvPicPr>
                  <pic:blipFill>
                    <a:blip r:embed="rId35"/>
                    <a:stretch>
                      <a:fillRect/>
                    </a:stretch>
                  </pic:blipFill>
                  <pic:spPr bwMode="auto">
                    <a:xfrm>
                      <a:off x="0" y="0"/>
                      <a:ext cx="7604976" cy="114039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2D78DF" w14:textId="582E18EC" w:rsidR="00940CAB" w:rsidRDefault="00940CAB">
      <w:pPr>
        <w:spacing w:after="240"/>
        <w:rPr>
          <w:rFonts w:eastAsiaTheme="majorEastAsia" w:cstheme="majorBidi"/>
          <w:b/>
          <w:bCs/>
          <w:color w:val="002A3F" w:themeColor="accent2"/>
          <w:sz w:val="40"/>
          <w:szCs w:val="26"/>
        </w:rPr>
      </w:pPr>
      <w:r>
        <w:br w:type="page"/>
      </w:r>
    </w:p>
    <w:p w14:paraId="23108DF5" w14:textId="63F61FED" w:rsidR="005E0044" w:rsidRPr="00156921" w:rsidRDefault="005E0044" w:rsidP="00156921">
      <w:pPr>
        <w:pStyle w:val="Heading1"/>
        <w:rPr>
          <w:rFonts w:ascii="Calibri" w:hAnsi="Calibri" w:cs="Calibri"/>
        </w:rPr>
      </w:pPr>
      <w:bookmarkStart w:id="35" w:name="_Toc228974161"/>
      <w:r w:rsidRPr="00156921">
        <w:rPr>
          <w:rFonts w:ascii="Calibri" w:hAnsi="Calibri" w:cs="Calibri"/>
        </w:rPr>
        <w:lastRenderedPageBreak/>
        <w:t>Monitoring and Evaluation under the Framework</w:t>
      </w:r>
      <w:bookmarkEnd w:id="34"/>
      <w:bookmarkEnd w:id="35"/>
      <w:r w:rsidRPr="00156921">
        <w:rPr>
          <w:rFonts w:ascii="Calibri" w:hAnsi="Calibri" w:cs="Calibri"/>
        </w:rPr>
        <w:t xml:space="preserve"> </w:t>
      </w:r>
    </w:p>
    <w:p w14:paraId="4A308C1C" w14:textId="0D318C8B" w:rsidR="000F5EC6" w:rsidRPr="00156921" w:rsidRDefault="000F5EC6" w:rsidP="00156921">
      <w:pPr>
        <w:pStyle w:val="Heading2"/>
        <w:spacing w:after="240"/>
        <w:rPr>
          <w:color w:val="640638"/>
        </w:rPr>
      </w:pPr>
      <w:bookmarkStart w:id="36" w:name="_Toc228974162"/>
      <w:r w:rsidRPr="00156921">
        <w:rPr>
          <w:color w:val="640638"/>
        </w:rPr>
        <w:t>Overview</w:t>
      </w:r>
      <w:bookmarkEnd w:id="36"/>
    </w:p>
    <w:p w14:paraId="4D22A5F4" w14:textId="1ECFB549" w:rsidR="005E0044" w:rsidRPr="004748F9" w:rsidRDefault="005E0044" w:rsidP="00DF2AFB">
      <w:r w:rsidRPr="004748F9">
        <w:t xml:space="preserve">The Government will lead the implementation of the Framework and monitoring and evaluation activities under the Strategy. In implementing the Framework, the Government will work collaboratively and partner with other early years system stakeholders as appropriate (see also </w:t>
      </w:r>
      <w:hyperlink w:anchor="_Governance_of_the" w:history="1">
        <w:r w:rsidRPr="00E85DE3">
          <w:rPr>
            <w:rStyle w:val="Hyperlink"/>
            <w:rFonts w:ascii="Calibri" w:hAnsi="Calibri"/>
          </w:rPr>
          <w:t>Governance of the Framework</w:t>
        </w:r>
      </w:hyperlink>
      <w:r w:rsidRPr="004748F9">
        <w:t xml:space="preserve">). </w:t>
      </w:r>
    </w:p>
    <w:p w14:paraId="45455316" w14:textId="33CD3C87" w:rsidR="005E0044" w:rsidRPr="004748F9" w:rsidRDefault="005E0044" w:rsidP="00DF2AFB">
      <w:r w:rsidRPr="004748F9">
        <w:t xml:space="preserve">Under the Framework, monitoring and evaluation will generate evidence to support accountability and transparency for progress under the Strategy, foster continuous improvement, and inform Government decision-making on early years policies, programs and services over the life of the Strategy and beyond. </w:t>
      </w:r>
    </w:p>
    <w:p w14:paraId="0F915DD8" w14:textId="77777777" w:rsidR="005E0044" w:rsidRPr="004748F9" w:rsidRDefault="005E0044" w:rsidP="00DF2AFB">
      <w:r w:rsidRPr="004748F9">
        <w:t>Monitoring and evaluation will:</w:t>
      </w:r>
    </w:p>
    <w:p w14:paraId="56C9DBB1" w14:textId="53429428" w:rsidR="005E0044" w:rsidRPr="004748F9" w:rsidRDefault="005E0044" w:rsidP="00FE0E32">
      <w:pPr>
        <w:pStyle w:val="ListParagraph"/>
        <w:numPr>
          <w:ilvl w:val="0"/>
          <w:numId w:val="3"/>
        </w:numPr>
        <w:rPr>
          <w:rFonts w:cs="Calibri"/>
          <w:szCs w:val="22"/>
        </w:rPr>
      </w:pPr>
      <w:r w:rsidRPr="004748F9">
        <w:rPr>
          <w:rFonts w:cs="Calibri"/>
          <w:szCs w:val="22"/>
        </w:rPr>
        <w:t>Enhance community trust and confidence, by ensuring Government is transparent about progress and holds themselves to account for commitments under the Strategy.</w:t>
      </w:r>
    </w:p>
    <w:p w14:paraId="18FE064C" w14:textId="465AD3B2" w:rsidR="005E0044" w:rsidRPr="004748F9" w:rsidRDefault="005E0044" w:rsidP="00FE0E32">
      <w:pPr>
        <w:pStyle w:val="ListParagraph"/>
        <w:numPr>
          <w:ilvl w:val="0"/>
          <w:numId w:val="3"/>
        </w:numPr>
        <w:rPr>
          <w:rFonts w:cs="Calibri"/>
          <w:szCs w:val="22"/>
        </w:rPr>
      </w:pPr>
      <w:r w:rsidRPr="004748F9">
        <w:rPr>
          <w:rFonts w:cs="Calibri"/>
          <w:szCs w:val="22"/>
        </w:rPr>
        <w:t xml:space="preserve">Highlight opportunities for learning and improvement by identifying where changes are needed to support the Strategy’s outcomes and vision. </w:t>
      </w:r>
    </w:p>
    <w:p w14:paraId="6BB67C5F" w14:textId="2D5DE3D6" w:rsidR="00E17E31" w:rsidRPr="004748F9" w:rsidRDefault="005E0044" w:rsidP="00FE0E32">
      <w:pPr>
        <w:pStyle w:val="ListParagraph"/>
        <w:numPr>
          <w:ilvl w:val="0"/>
          <w:numId w:val="3"/>
        </w:numPr>
        <w:rPr>
          <w:rFonts w:cs="Calibri"/>
          <w:szCs w:val="22"/>
        </w:rPr>
      </w:pPr>
      <w:r w:rsidRPr="004748F9">
        <w:rPr>
          <w:rFonts w:cs="Calibri"/>
          <w:szCs w:val="22"/>
        </w:rPr>
        <w:t xml:space="preserve">Support evidence-informed decision-making processes to inform early years policies, programs and services over the life </w:t>
      </w:r>
      <w:r w:rsidR="00D15931">
        <w:rPr>
          <w:rFonts w:cs="Calibri"/>
          <w:szCs w:val="22"/>
        </w:rPr>
        <w:t>of</w:t>
      </w:r>
      <w:r w:rsidRPr="004748F9">
        <w:rPr>
          <w:rFonts w:cs="Calibri"/>
          <w:szCs w:val="22"/>
        </w:rPr>
        <w:t xml:space="preserve"> the Strategy</w:t>
      </w:r>
      <w:r w:rsidR="00D15931">
        <w:rPr>
          <w:rFonts w:cs="Calibri"/>
          <w:szCs w:val="22"/>
        </w:rPr>
        <w:t xml:space="preserve"> and beyond</w:t>
      </w:r>
      <w:r w:rsidRPr="004748F9">
        <w:rPr>
          <w:rFonts w:cs="Calibri"/>
          <w:szCs w:val="22"/>
        </w:rPr>
        <w:t>.</w:t>
      </w:r>
    </w:p>
    <w:p w14:paraId="299CB45B" w14:textId="0340ABF6" w:rsidR="005E0044" w:rsidRPr="004748F9" w:rsidRDefault="005E0044" w:rsidP="00DF2AFB">
      <w:r w:rsidRPr="004748F9">
        <w:t xml:space="preserve">Under the Framework, monitoring and evaluation will serve distinct but interconnected functions. Monitoring will track the implementation of actions in the action plans and progress towards the long-term </w:t>
      </w:r>
      <w:proofErr w:type="gramStart"/>
      <w:r w:rsidRPr="004748F9">
        <w:t>outcomes, and</w:t>
      </w:r>
      <w:proofErr w:type="gramEnd"/>
      <w:r w:rsidRPr="004748F9">
        <w:t xml:space="preserve"> will help to assess the effectiveness of the actions in achieving the Strategy’s goals. This monitoring activity will in turn support formal evaluation of the Strategy.</w:t>
      </w:r>
    </w:p>
    <w:p w14:paraId="7BBFD5F4" w14:textId="558BE22F" w:rsidR="005E0044" w:rsidRPr="004748F9" w:rsidRDefault="005E0044" w:rsidP="00DF2AFB">
      <w:r w:rsidRPr="004748F9">
        <w:t xml:space="preserve">Evaluation will enable an in-depth assessment of whether the Strategy and its action plans have supported progress towards its goals, including the reasons for success or challenges and who benefitted the most or least. This will help to inform the Government’s future priorities and investments in the early years, beyond the life of the Strategy. </w:t>
      </w:r>
    </w:p>
    <w:p w14:paraId="097FFC1D" w14:textId="71A6D07E" w:rsidR="005E0044" w:rsidRPr="004748F9" w:rsidRDefault="005E0044" w:rsidP="00DF2AFB">
      <w:r w:rsidRPr="004748F9">
        <w:t>Monitoring will help set evaluation priorities by providing insights on implementation progress and outcomes achieved over the life of the Strategy. In turn, evaluation will rely on this data and information collected during monitoring to demonstrate evidence of the effectiveness and impact of the Strategy as a whole.</w:t>
      </w:r>
    </w:p>
    <w:p w14:paraId="0DF78B6D" w14:textId="26387833" w:rsidR="005E0044" w:rsidRPr="004748F9" w:rsidRDefault="005E0044" w:rsidP="00DF2AFB">
      <w:r w:rsidRPr="004748F9">
        <w:lastRenderedPageBreak/>
        <w:t xml:space="preserve">The Framework focusses on monitoring and evaluation of the Strategy as a whole, rather than on the specific programs or policies under it. However, it may also be used to inform monitoring and evaluation of broader early years policies, programs and services, including (but not limited to) those included in the Strategy’s action plans. </w:t>
      </w:r>
    </w:p>
    <w:p w14:paraId="6CAC927C" w14:textId="27FCB075" w:rsidR="005E0044" w:rsidRPr="004748F9" w:rsidRDefault="005E0044" w:rsidP="00DF2AFB">
      <w:r w:rsidRPr="004748F9">
        <w:t xml:space="preserve">The Framework has </w:t>
      </w:r>
      <w:r w:rsidR="006B141F">
        <w:t>3</w:t>
      </w:r>
      <w:r w:rsidRPr="004748F9">
        <w:t xml:space="preserve"> key elements:</w:t>
      </w:r>
    </w:p>
    <w:p w14:paraId="337CA099" w14:textId="77777777" w:rsidR="005E0044" w:rsidRPr="004748F9" w:rsidRDefault="005E0044" w:rsidP="00FE0E32">
      <w:pPr>
        <w:pStyle w:val="ListParagraph"/>
        <w:numPr>
          <w:ilvl w:val="0"/>
          <w:numId w:val="3"/>
        </w:numPr>
        <w:rPr>
          <w:rFonts w:cs="Calibri"/>
          <w:szCs w:val="22"/>
        </w:rPr>
      </w:pPr>
      <w:r w:rsidRPr="004748F9">
        <w:rPr>
          <w:rFonts w:cs="Calibri"/>
          <w:szCs w:val="22"/>
        </w:rPr>
        <w:t xml:space="preserve">Principles to guide all monitoring and evaluation activities under the Strategy. </w:t>
      </w:r>
    </w:p>
    <w:p w14:paraId="4F29E9AB" w14:textId="77777777" w:rsidR="005E0044" w:rsidRPr="00786BA2" w:rsidRDefault="005E0044" w:rsidP="00FE0E32">
      <w:pPr>
        <w:pStyle w:val="ListParagraph"/>
        <w:numPr>
          <w:ilvl w:val="0"/>
          <w:numId w:val="3"/>
        </w:numPr>
      </w:pPr>
      <w:r>
        <w:t xml:space="preserve">The </w:t>
      </w:r>
      <w:r w:rsidRPr="00786BA2">
        <w:t>monitoring approach</w:t>
      </w:r>
      <w:r>
        <w:t xml:space="preserve"> under the Strategy, including key monitoring questions and data and information to be collected. </w:t>
      </w:r>
      <w:r w:rsidRPr="00786BA2">
        <w:t xml:space="preserve"> </w:t>
      </w:r>
    </w:p>
    <w:p w14:paraId="277194BF" w14:textId="3DF20CA5" w:rsidR="0072401E" w:rsidRPr="00786BA2" w:rsidRDefault="005E0044" w:rsidP="0072401E">
      <w:pPr>
        <w:pStyle w:val="ListParagraph"/>
        <w:numPr>
          <w:ilvl w:val="0"/>
          <w:numId w:val="3"/>
        </w:numPr>
      </w:pPr>
      <w:r>
        <w:t xml:space="preserve">The </w:t>
      </w:r>
      <w:r w:rsidRPr="00786BA2">
        <w:t>evaluation approach</w:t>
      </w:r>
      <w:r>
        <w:t xml:space="preserve"> under the Strategy, including key evaluation focus areas and questions, as well as considerations for designing and conducting an evaluation.</w:t>
      </w:r>
    </w:p>
    <w:p w14:paraId="1F6A6565" w14:textId="77777777" w:rsidR="005E0044" w:rsidRPr="00095C48" w:rsidRDefault="005E0044" w:rsidP="00156921">
      <w:pPr>
        <w:pStyle w:val="Heading2"/>
        <w:spacing w:after="240"/>
        <w:rPr>
          <w:bCs w:val="0"/>
          <w:color w:val="640638"/>
        </w:rPr>
      </w:pPr>
      <w:bookmarkStart w:id="37" w:name="_Toc215146311"/>
      <w:bookmarkStart w:id="38" w:name="_Toc228974163"/>
      <w:bookmarkStart w:id="39" w:name="_Toc207614575"/>
      <w:r w:rsidRPr="00156921">
        <w:rPr>
          <w:color w:val="640638"/>
        </w:rPr>
        <w:t>Guiding Principles for Monitoring and Evaluation</w:t>
      </w:r>
      <w:bookmarkEnd w:id="37"/>
      <w:bookmarkEnd w:id="38"/>
    </w:p>
    <w:bookmarkEnd w:id="39"/>
    <w:p w14:paraId="4FC086CB" w14:textId="583F2084" w:rsidR="005E0044" w:rsidRPr="004748F9" w:rsidRDefault="005E0044" w:rsidP="00DF2AFB">
      <w:r w:rsidRPr="004748F9">
        <w:t xml:space="preserve">There are </w:t>
      </w:r>
      <w:r w:rsidR="00512E52">
        <w:t>2</w:t>
      </w:r>
      <w:r w:rsidRPr="004748F9">
        <w:t xml:space="preserve"> sets of guiding principles that will apply to monitoring and evaluation under the Strategy: </w:t>
      </w:r>
      <w:proofErr w:type="gramStart"/>
      <w:r w:rsidRPr="004748F9">
        <w:t>the</w:t>
      </w:r>
      <w:proofErr w:type="gramEnd"/>
      <w:r w:rsidRPr="004748F9">
        <w:t xml:space="preserve"> Early Years Strategy Principles and Best Practice Principles from the Commonwealth Evaluation Policy and Toolkit. The principles are designed to guide the overall monitoring and evaluation of the Strategy itself but can also apply to monitoring and evaluation of individual actions under the Strategy.</w:t>
      </w:r>
    </w:p>
    <w:p w14:paraId="27FFEEF1" w14:textId="77777777" w:rsidR="005E0044" w:rsidRDefault="005E0044" w:rsidP="00156921">
      <w:pPr>
        <w:pStyle w:val="Heading3"/>
        <w:spacing w:after="240"/>
      </w:pPr>
      <w:bookmarkStart w:id="40" w:name="_Toc215146312"/>
      <w:bookmarkStart w:id="41" w:name="_Toc228974164"/>
      <w:r>
        <w:t>1. Early Years Strategy Principles</w:t>
      </w:r>
      <w:bookmarkEnd w:id="40"/>
      <w:bookmarkEnd w:id="41"/>
    </w:p>
    <w:p w14:paraId="207E5B2F" w14:textId="77777777" w:rsidR="005E0044" w:rsidRPr="004748F9" w:rsidRDefault="005E0044" w:rsidP="00DF2AFB">
      <w:r w:rsidRPr="004748F9">
        <w:t>The Strategy sets out 5 principles (Table 1). These principles reflect what the Government heard from families and communities during development of the Strategy about what is important and how the Government should work to support children and families in the early years. In particular, the principles are intended to guide how the Government will:</w:t>
      </w:r>
    </w:p>
    <w:p w14:paraId="2A7CE66E" w14:textId="6C7CB007" w:rsidR="005E0044" w:rsidRPr="004748F9" w:rsidRDefault="005E0044" w:rsidP="00FE0E32">
      <w:pPr>
        <w:pStyle w:val="ListParagraph"/>
        <w:numPr>
          <w:ilvl w:val="0"/>
          <w:numId w:val="3"/>
        </w:numPr>
        <w:rPr>
          <w:rFonts w:cs="Calibri"/>
          <w:szCs w:val="22"/>
        </w:rPr>
      </w:pPr>
      <w:r w:rsidRPr="004748F9">
        <w:rPr>
          <w:rFonts w:cs="Calibri"/>
          <w:szCs w:val="22"/>
        </w:rPr>
        <w:t xml:space="preserve">Deliver the Strategy through action plans. </w:t>
      </w:r>
    </w:p>
    <w:p w14:paraId="14A0C0F6" w14:textId="77777777" w:rsidR="005E0044" w:rsidRPr="004748F9" w:rsidRDefault="005E0044" w:rsidP="00FE0E32">
      <w:pPr>
        <w:pStyle w:val="ListParagraph"/>
        <w:numPr>
          <w:ilvl w:val="0"/>
          <w:numId w:val="3"/>
        </w:numPr>
        <w:rPr>
          <w:rFonts w:cs="Calibri"/>
          <w:szCs w:val="22"/>
        </w:rPr>
      </w:pPr>
      <w:r w:rsidRPr="004748F9">
        <w:rPr>
          <w:rFonts w:cs="Calibri"/>
          <w:szCs w:val="22"/>
        </w:rPr>
        <w:t xml:space="preserve">Monitor and assess the progress of actions and outcomes over the life of the Strategy. </w:t>
      </w:r>
    </w:p>
    <w:p w14:paraId="76175D47" w14:textId="77777777" w:rsidR="005E0044" w:rsidRPr="004748F9" w:rsidRDefault="005E0044" w:rsidP="00FE0E32">
      <w:pPr>
        <w:pStyle w:val="ListParagraph"/>
        <w:numPr>
          <w:ilvl w:val="0"/>
          <w:numId w:val="3"/>
        </w:numPr>
        <w:rPr>
          <w:rFonts w:cs="Calibri"/>
          <w:szCs w:val="22"/>
        </w:rPr>
      </w:pPr>
      <w:r w:rsidRPr="004748F9">
        <w:rPr>
          <w:rFonts w:cs="Calibri"/>
          <w:szCs w:val="22"/>
        </w:rPr>
        <w:t>Evaluate the overall impact and effectiveness of the Strategy in achieving its goals.</w:t>
      </w:r>
    </w:p>
    <w:p w14:paraId="79626AAB" w14:textId="77777777" w:rsidR="005E0044" w:rsidRPr="004748F9" w:rsidRDefault="005E0044" w:rsidP="00DF2AFB">
      <w:r w:rsidRPr="004748F9">
        <w:t>All 5 principles apply to both monitoring and evaluation. This Framework gives effect to the ‘evidence-informed’ principle by providing a structure and guidance for gathering data and evidence to inform improvements to the Strategy and its actions over time. The Framework also gives effect to other principles in the Strategy, such as ‘child- and family-centred’, by ensuring the perspectives and experiences of children and families are embedded in monitoring and evaluation activities, for example in the evaluation design, findings and recommendations.</w:t>
      </w:r>
    </w:p>
    <w:p w14:paraId="375D9B55" w14:textId="2FF3875A" w:rsidR="00405F88" w:rsidRDefault="005E0044" w:rsidP="00095C48">
      <w:pPr>
        <w:rPr>
          <w:b/>
          <w:bCs/>
        </w:rPr>
      </w:pPr>
      <w:r w:rsidRPr="004748F9">
        <w:t xml:space="preserve">Guidance on how these principles should apply in practice to monitoring and evaluation activities is provided in Table 1. In practice, these principles often intersect. For example, tracking progress on the outcome indicators for diverse groups of children and families over </w:t>
      </w:r>
      <w:r w:rsidRPr="004748F9">
        <w:lastRenderedPageBreak/>
        <w:t xml:space="preserve">time exemplifies both ‘respect for diversity’ and a ‘strengths-based’ approach.  This approach demonstrates ‘respect for diversity’ because it seeks to understand outcomes for diverse groups. It also demonstrates a ‘strengths-based’ approach because it makes it possible to highlight where groups have achieved positive progress over time, rather than focusing on deficits between groups at a particular point in time.  </w:t>
      </w:r>
    </w:p>
    <w:p w14:paraId="414E918E" w14:textId="7E018878" w:rsidR="005E0044" w:rsidRPr="00405F88" w:rsidRDefault="005E0044" w:rsidP="00405F88">
      <w:pPr>
        <w:rPr>
          <w:b/>
          <w:bCs/>
        </w:rPr>
      </w:pPr>
      <w:r w:rsidRPr="00405F88">
        <w:rPr>
          <w:b/>
          <w:bCs/>
        </w:rPr>
        <w:t>Table 1: Early Years Strategy principles applied to monitoring and evaluation activities</w:t>
      </w:r>
    </w:p>
    <w:tbl>
      <w:tblPr>
        <w:tblStyle w:val="DSSTableStyleB"/>
        <w:tblW w:w="5234" w:type="pct"/>
        <w:tblLook w:val="04E0" w:firstRow="1" w:lastRow="1" w:firstColumn="1" w:lastColumn="0" w:noHBand="0" w:noVBand="1"/>
      </w:tblPr>
      <w:tblGrid>
        <w:gridCol w:w="2449"/>
        <w:gridCol w:w="2885"/>
        <w:gridCol w:w="3563"/>
      </w:tblGrid>
      <w:tr w:rsidR="005E0044" w:rsidRPr="00E55B88" w14:paraId="729A4FAC" w14:textId="77777777" w:rsidTr="00095C48">
        <w:trPr>
          <w:cnfStyle w:val="100000000000" w:firstRow="1" w:lastRow="0" w:firstColumn="0" w:lastColumn="0" w:oddVBand="0" w:evenVBand="0" w:oddHBand="0" w:evenHBand="0" w:firstRowFirstColumn="0" w:firstRowLastColumn="0" w:lastRowFirstColumn="0" w:lastRowLastColumn="0"/>
        </w:trPr>
        <w:tc>
          <w:tcPr>
            <w:tcW w:w="0" w:type="pct"/>
            <w:shd w:val="clear" w:color="auto" w:fill="E0E9AD" w:themeFill="accent5" w:themeFillTint="66"/>
          </w:tcPr>
          <w:p w14:paraId="7E32BE29" w14:textId="6D6283DA" w:rsidR="005E0044" w:rsidRPr="00E55B88" w:rsidRDefault="005E0044" w:rsidP="00E55B88">
            <w:pPr>
              <w:pStyle w:val="TableColHeadLeft"/>
              <w:keepNext w:val="0"/>
              <w:widowControl w:val="0"/>
              <w:rPr>
                <w:rFonts w:ascii="Calibri" w:hAnsi="Calibri" w:cs="Calibri"/>
                <w:color w:val="auto"/>
                <w:sz w:val="22"/>
                <w:szCs w:val="22"/>
              </w:rPr>
            </w:pPr>
            <w:r w:rsidRPr="00E55B88">
              <w:rPr>
                <w:rFonts w:ascii="Calibri" w:hAnsi="Calibri" w:cs="Calibri"/>
                <w:bCs/>
                <w:color w:val="auto"/>
                <w:sz w:val="22"/>
                <w:szCs w:val="22"/>
              </w:rPr>
              <w:t>Principle</w:t>
            </w:r>
            <w:r w:rsidRPr="00E55B88">
              <w:rPr>
                <w:rFonts w:ascii="Calibri" w:hAnsi="Calibri" w:cs="Calibri"/>
                <w:color w:val="auto"/>
                <w:sz w:val="22"/>
                <w:szCs w:val="22"/>
              </w:rPr>
              <w:t xml:space="preserve"> </w:t>
            </w:r>
          </w:p>
        </w:tc>
        <w:tc>
          <w:tcPr>
            <w:tcW w:w="0" w:type="pct"/>
            <w:shd w:val="clear" w:color="auto" w:fill="E0E9AD" w:themeFill="accent5" w:themeFillTint="66"/>
          </w:tcPr>
          <w:p w14:paraId="7BB63954" w14:textId="77777777" w:rsidR="005E0044" w:rsidRPr="00E55B88" w:rsidRDefault="005E0044" w:rsidP="00E55B88">
            <w:pPr>
              <w:pStyle w:val="TableColHeadCentre"/>
              <w:keepNext w:val="0"/>
              <w:widowControl w:val="0"/>
              <w:jc w:val="left"/>
              <w:rPr>
                <w:rFonts w:ascii="Calibri" w:hAnsi="Calibri" w:cs="Calibri"/>
                <w:color w:val="auto"/>
                <w:sz w:val="22"/>
                <w:szCs w:val="22"/>
              </w:rPr>
            </w:pPr>
            <w:r w:rsidRPr="00E55B88">
              <w:rPr>
                <w:rFonts w:ascii="Calibri" w:hAnsi="Calibri" w:cs="Calibri"/>
                <w:bCs/>
                <w:color w:val="auto"/>
                <w:sz w:val="22"/>
                <w:szCs w:val="22"/>
              </w:rPr>
              <w:t>What should be done</w:t>
            </w:r>
            <w:r w:rsidRPr="00E55B88">
              <w:rPr>
                <w:rFonts w:ascii="Calibri" w:hAnsi="Calibri" w:cs="Calibri"/>
                <w:color w:val="auto"/>
                <w:sz w:val="22"/>
                <w:szCs w:val="22"/>
              </w:rPr>
              <w:t xml:space="preserve"> </w:t>
            </w:r>
          </w:p>
        </w:tc>
        <w:tc>
          <w:tcPr>
            <w:tcW w:w="0" w:type="pct"/>
            <w:shd w:val="clear" w:color="auto" w:fill="E0E9AD" w:themeFill="accent5" w:themeFillTint="66"/>
          </w:tcPr>
          <w:p w14:paraId="18C25742" w14:textId="77777777" w:rsidR="005E0044" w:rsidRPr="00E55B88" w:rsidRDefault="005E0044" w:rsidP="00E55B88">
            <w:pPr>
              <w:pStyle w:val="TableColHeadCentre"/>
              <w:keepNext w:val="0"/>
              <w:widowControl w:val="0"/>
              <w:jc w:val="left"/>
              <w:rPr>
                <w:rFonts w:ascii="Calibri" w:hAnsi="Calibri" w:cs="Calibri"/>
                <w:color w:val="auto"/>
                <w:sz w:val="22"/>
                <w:szCs w:val="22"/>
              </w:rPr>
            </w:pPr>
            <w:r w:rsidRPr="00E55B88">
              <w:rPr>
                <w:rFonts w:ascii="Calibri" w:hAnsi="Calibri" w:cs="Calibri"/>
                <w:bCs/>
                <w:color w:val="auto"/>
                <w:sz w:val="22"/>
                <w:szCs w:val="22"/>
              </w:rPr>
              <w:t>How it should be done - examples</w:t>
            </w:r>
          </w:p>
        </w:tc>
      </w:tr>
      <w:tr w:rsidR="005E0044" w:rsidRPr="00E55B88" w14:paraId="7E098CEE" w14:textId="77777777" w:rsidTr="00095C48">
        <w:trPr>
          <w:cnfStyle w:val="000000100000" w:firstRow="0" w:lastRow="0" w:firstColumn="0" w:lastColumn="0" w:oddVBand="0" w:evenVBand="0" w:oddHBand="1" w:evenHBand="0" w:firstRowFirstColumn="0" w:firstRowLastColumn="0" w:lastRowFirstColumn="0" w:lastRowLastColumn="0"/>
        </w:trPr>
        <w:tc>
          <w:tcPr>
            <w:tcW w:w="0" w:type="pct"/>
            <w:tcBorders>
              <w:bottom w:val="single" w:sz="4" w:space="0" w:color="B3C934" w:themeColor="accent5"/>
            </w:tcBorders>
          </w:tcPr>
          <w:p w14:paraId="07F5BEE3" w14:textId="530C8535" w:rsidR="0080171F" w:rsidRDefault="0080171F" w:rsidP="00E55B88">
            <w:pPr>
              <w:pStyle w:val="TableText"/>
              <w:keepNext w:val="0"/>
              <w:widowControl w:val="0"/>
              <w:rPr>
                <w:rFonts w:ascii="Calibri" w:hAnsi="Calibri" w:cs="Calibri"/>
                <w:sz w:val="22"/>
                <w:szCs w:val="22"/>
              </w:rPr>
            </w:pPr>
          </w:p>
          <w:p w14:paraId="5CC9C1EC" w14:textId="37C06F25"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Child- and family-centred</w:t>
            </w:r>
          </w:p>
          <w:p w14:paraId="24EF6B61" w14:textId="5B0D6C2B" w:rsidR="00450E57" w:rsidRPr="00E55B88" w:rsidRDefault="00450E57" w:rsidP="00E55B88">
            <w:pPr>
              <w:pStyle w:val="TableText"/>
              <w:keepNext w:val="0"/>
              <w:widowControl w:val="0"/>
              <w:rPr>
                <w:rFonts w:ascii="Calibri" w:hAnsi="Calibri" w:cs="Calibri"/>
                <w:sz w:val="22"/>
                <w:szCs w:val="22"/>
              </w:rPr>
            </w:pPr>
          </w:p>
        </w:tc>
        <w:tc>
          <w:tcPr>
            <w:tcW w:w="0" w:type="pct"/>
            <w:tcBorders>
              <w:bottom w:val="single" w:sz="4" w:space="0" w:color="B3C934" w:themeColor="accent5"/>
            </w:tcBorders>
          </w:tcPr>
          <w:p w14:paraId="0FF71F50" w14:textId="77777777"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Monitoring and evaluation should include the voices of children and families.</w:t>
            </w:r>
          </w:p>
        </w:tc>
        <w:tc>
          <w:tcPr>
            <w:tcW w:w="0" w:type="pct"/>
            <w:tcBorders>
              <w:bottom w:val="single" w:sz="4" w:space="0" w:color="B3C934" w:themeColor="accent5"/>
            </w:tcBorders>
          </w:tcPr>
          <w:p w14:paraId="167906F3" w14:textId="64F81A4D"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rPr>
            </w:pPr>
            <w:r w:rsidRPr="00E55B88">
              <w:rPr>
                <w:rFonts w:ascii="Calibri" w:hAnsi="Calibri" w:cs="Calibri"/>
                <w:sz w:val="22"/>
                <w:szCs w:val="22"/>
              </w:rPr>
              <w:t>Seek out, support engagement with, and listen to children and families in shaping monitoring and evaluation approaches. For example, seek input to shape the evaluation questions and design.</w:t>
            </w:r>
          </w:p>
          <w:p w14:paraId="3C0C454F"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rPr>
            </w:pPr>
            <w:r w:rsidRPr="00E55B88">
              <w:rPr>
                <w:rFonts w:ascii="Calibri" w:hAnsi="Calibri" w:cs="Calibri"/>
                <w:sz w:val="22"/>
                <w:szCs w:val="22"/>
              </w:rPr>
              <w:t>Incorporate children and families’ perspectives in evaluation findings and recommendations. For example, by collecting data on wellbeing directly from children and families.</w:t>
            </w:r>
          </w:p>
          <w:p w14:paraId="3DCBC7E8"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rPr>
            </w:pPr>
            <w:r w:rsidRPr="00E55B88">
              <w:rPr>
                <w:rFonts w:ascii="Calibri" w:hAnsi="Calibri" w:cs="Calibri"/>
                <w:sz w:val="22"/>
                <w:szCs w:val="22"/>
              </w:rPr>
              <w:t>Include children and families’ perspectives in monitoring outputs and reports, for example, through case studies or direct quotes.</w:t>
            </w:r>
          </w:p>
          <w:p w14:paraId="4DC0F1D0"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color w:val="auto"/>
                <w:sz w:val="22"/>
                <w:szCs w:val="22"/>
              </w:rPr>
            </w:pPr>
            <w:r w:rsidRPr="00E55B88">
              <w:rPr>
                <w:rFonts w:ascii="Calibri" w:hAnsi="Calibri" w:cs="Calibri"/>
                <w:sz w:val="22"/>
                <w:szCs w:val="22"/>
              </w:rPr>
              <w:t>Implement governance arrangements that are inclusive of families with young children. For example, engaging a parent reference group in the design and preparation of evaluation or monitoring outputs.</w:t>
            </w:r>
          </w:p>
        </w:tc>
      </w:tr>
      <w:tr w:rsidR="005E0044" w:rsidRPr="00E55B88" w14:paraId="52EF1066" w14:textId="77777777" w:rsidTr="00095C48">
        <w:trPr>
          <w:cnfStyle w:val="000000010000" w:firstRow="0" w:lastRow="0" w:firstColumn="0" w:lastColumn="0" w:oddVBand="0" w:evenVBand="0" w:oddHBand="0" w:evenHBand="1" w:firstRowFirstColumn="0" w:firstRowLastColumn="0" w:lastRowFirstColumn="0" w:lastRowLastColumn="0"/>
        </w:trPr>
        <w:tc>
          <w:tcPr>
            <w:tcW w:w="0" w:type="pct"/>
            <w:tcBorders>
              <w:top w:val="single" w:sz="4" w:space="0" w:color="B3C934" w:themeColor="accent5"/>
              <w:bottom w:val="single" w:sz="4" w:space="0" w:color="B3C934" w:themeColor="accent5"/>
            </w:tcBorders>
            <w:shd w:val="clear" w:color="auto" w:fill="auto"/>
          </w:tcPr>
          <w:p w14:paraId="22D10AF4" w14:textId="1245AD3B" w:rsidR="00B74D51" w:rsidRDefault="00B74D51" w:rsidP="00E55B88">
            <w:pPr>
              <w:pStyle w:val="TableText"/>
              <w:keepNext w:val="0"/>
              <w:widowControl w:val="0"/>
              <w:rPr>
                <w:rFonts w:ascii="Calibri" w:hAnsi="Calibri" w:cs="Calibri"/>
                <w:sz w:val="22"/>
                <w:szCs w:val="22"/>
              </w:rPr>
            </w:pPr>
          </w:p>
          <w:p w14:paraId="4D57B638" w14:textId="01A1ED39"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Strengths-based</w:t>
            </w:r>
          </w:p>
          <w:p w14:paraId="4F707488" w14:textId="08F30181" w:rsidR="00450E57" w:rsidRPr="00E55B88" w:rsidRDefault="00450E57" w:rsidP="00E55B88">
            <w:pPr>
              <w:pStyle w:val="TableText"/>
              <w:keepNext w:val="0"/>
              <w:widowControl w:val="0"/>
              <w:rPr>
                <w:rFonts w:ascii="Calibri" w:hAnsi="Calibri" w:cs="Calibri"/>
                <w:sz w:val="22"/>
                <w:szCs w:val="22"/>
              </w:rPr>
            </w:pPr>
          </w:p>
        </w:tc>
        <w:tc>
          <w:tcPr>
            <w:tcW w:w="0" w:type="pct"/>
            <w:tcBorders>
              <w:top w:val="single" w:sz="4" w:space="0" w:color="B3C934" w:themeColor="accent5"/>
              <w:bottom w:val="single" w:sz="4" w:space="0" w:color="B3C934" w:themeColor="accent5"/>
            </w:tcBorders>
            <w:shd w:val="clear" w:color="auto" w:fill="auto"/>
          </w:tcPr>
          <w:p w14:paraId="283358CE" w14:textId="2ACCFB0A"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Monitoring and evaluation should recognise the strengths, abilities, knowledge and capacities of young children and their families.</w:t>
            </w:r>
          </w:p>
        </w:tc>
        <w:tc>
          <w:tcPr>
            <w:tcW w:w="0" w:type="pct"/>
            <w:tcBorders>
              <w:top w:val="single" w:sz="4" w:space="0" w:color="B3C934" w:themeColor="accent5"/>
              <w:bottom w:val="single" w:sz="4" w:space="0" w:color="B3C934" w:themeColor="accent5"/>
            </w:tcBorders>
            <w:shd w:val="clear" w:color="auto" w:fill="auto"/>
          </w:tcPr>
          <w:p w14:paraId="54E290AE"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Apply strengths-based framing when presenting monitoring results, evaluation findings and recommendations.</w:t>
            </w:r>
          </w:p>
          <w:p w14:paraId="12D545BF"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 xml:space="preserve">Use strengths-based indicators and measures to report on outcomes where possible. For example, presenting the proportion of children who are ‘developmentally on track’ rather than focusing on the </w:t>
            </w:r>
            <w:r w:rsidRPr="00E55B88">
              <w:rPr>
                <w:rFonts w:ascii="Calibri" w:hAnsi="Calibri" w:cs="Calibri"/>
                <w:sz w:val="22"/>
                <w:szCs w:val="22"/>
                <w:lang w:val="en-AU"/>
              </w:rPr>
              <w:lastRenderedPageBreak/>
              <w:t>proportion ‘not on track’.</w:t>
            </w:r>
          </w:p>
          <w:p w14:paraId="1AE15E65"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Provide contextual information or data in outputs and reports to explain wellbeing outcomes – especially when worsening – to avoid negative framing of families.</w:t>
            </w:r>
          </w:p>
        </w:tc>
      </w:tr>
      <w:tr w:rsidR="005E0044" w:rsidRPr="00E55B88" w14:paraId="51DF8DA0" w14:textId="77777777" w:rsidTr="00095C48">
        <w:trPr>
          <w:cnfStyle w:val="000000100000" w:firstRow="0" w:lastRow="0" w:firstColumn="0" w:lastColumn="0" w:oddVBand="0" w:evenVBand="0" w:oddHBand="1" w:evenHBand="0" w:firstRowFirstColumn="0" w:firstRowLastColumn="0" w:lastRowFirstColumn="0" w:lastRowLastColumn="0"/>
        </w:trPr>
        <w:tc>
          <w:tcPr>
            <w:tcW w:w="0" w:type="pct"/>
            <w:tcBorders>
              <w:top w:val="single" w:sz="4" w:space="0" w:color="B3C934" w:themeColor="accent5"/>
              <w:bottom w:val="single" w:sz="4" w:space="0" w:color="B3C934" w:themeColor="accent5"/>
            </w:tcBorders>
          </w:tcPr>
          <w:p w14:paraId="55037B73" w14:textId="77777777" w:rsidR="00156921" w:rsidRDefault="00156921" w:rsidP="00E55B88">
            <w:pPr>
              <w:pStyle w:val="TableText"/>
              <w:keepNext w:val="0"/>
              <w:widowControl w:val="0"/>
              <w:rPr>
                <w:rFonts w:ascii="Calibri" w:hAnsi="Calibri" w:cs="Calibri"/>
                <w:sz w:val="22"/>
                <w:szCs w:val="22"/>
              </w:rPr>
            </w:pPr>
          </w:p>
          <w:p w14:paraId="79AC1D76" w14:textId="353227FD" w:rsidR="005E0044" w:rsidRPr="00E55B88" w:rsidRDefault="00156921" w:rsidP="00E55B88">
            <w:pPr>
              <w:pStyle w:val="TableText"/>
              <w:keepNext w:val="0"/>
              <w:widowControl w:val="0"/>
              <w:rPr>
                <w:rFonts w:ascii="Calibri" w:hAnsi="Calibri" w:cs="Calibri"/>
                <w:sz w:val="22"/>
                <w:szCs w:val="22"/>
              </w:rPr>
            </w:pPr>
            <w:r>
              <w:rPr>
                <w:rFonts w:ascii="Calibri" w:hAnsi="Calibri" w:cs="Calibri"/>
                <w:sz w:val="22"/>
                <w:szCs w:val="22"/>
              </w:rPr>
              <w:t>Re</w:t>
            </w:r>
            <w:r w:rsidR="005E0044" w:rsidRPr="00E55B88">
              <w:rPr>
                <w:rFonts w:ascii="Calibri" w:hAnsi="Calibri" w:cs="Calibri"/>
                <w:sz w:val="22"/>
                <w:szCs w:val="22"/>
              </w:rPr>
              <w:t>spect for families and communities</w:t>
            </w:r>
          </w:p>
          <w:p w14:paraId="3854EC60" w14:textId="48D0895E" w:rsidR="00450E57" w:rsidRPr="00E55B88" w:rsidRDefault="00450E57" w:rsidP="00E55B88">
            <w:pPr>
              <w:pStyle w:val="TableText"/>
              <w:keepNext w:val="0"/>
              <w:widowControl w:val="0"/>
              <w:rPr>
                <w:rFonts w:ascii="Calibri" w:hAnsi="Calibri" w:cs="Calibri"/>
                <w:sz w:val="22"/>
                <w:szCs w:val="22"/>
              </w:rPr>
            </w:pPr>
          </w:p>
        </w:tc>
        <w:tc>
          <w:tcPr>
            <w:tcW w:w="0" w:type="pct"/>
            <w:tcBorders>
              <w:top w:val="single" w:sz="4" w:space="0" w:color="B3C934" w:themeColor="accent5"/>
              <w:bottom w:val="single" w:sz="4" w:space="0" w:color="B3C934" w:themeColor="accent5"/>
            </w:tcBorders>
          </w:tcPr>
          <w:p w14:paraId="2CFCF81E" w14:textId="77777777"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Monitoring and evaluation should respect and value the roles that parents, caregivers, families, kin, educators, communities, language and culture play for children.</w:t>
            </w:r>
          </w:p>
        </w:tc>
        <w:tc>
          <w:tcPr>
            <w:tcW w:w="0" w:type="pct"/>
            <w:tcBorders>
              <w:top w:val="single" w:sz="4" w:space="0" w:color="B3C934" w:themeColor="accent5"/>
              <w:bottom w:val="single" w:sz="4" w:space="0" w:color="B3C934" w:themeColor="accent5"/>
            </w:tcBorders>
          </w:tcPr>
          <w:p w14:paraId="7FC7572F"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Recognise and respect the roles that families, educators, and communities play. For example, highlighting their importance in reports and noting the key role of parents as first teachers, nurturers, and protectors.</w:t>
            </w:r>
          </w:p>
          <w:p w14:paraId="1D68A06F"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Respect and value the influence of language and culture on children’s wellbeing, including for Aboriginal and/or Torres Strait Islander people, by highlighting the relevant supporting measures and including other contextual data that captures these aspects.</w:t>
            </w:r>
          </w:p>
        </w:tc>
      </w:tr>
      <w:tr w:rsidR="005E0044" w:rsidRPr="00E55B88" w14:paraId="063647EB" w14:textId="77777777" w:rsidTr="00095C48">
        <w:trPr>
          <w:cnfStyle w:val="000000010000" w:firstRow="0" w:lastRow="0" w:firstColumn="0" w:lastColumn="0" w:oddVBand="0" w:evenVBand="0" w:oddHBand="0" w:evenHBand="1" w:firstRowFirstColumn="0" w:firstRowLastColumn="0" w:lastRowFirstColumn="0" w:lastRowLastColumn="0"/>
        </w:trPr>
        <w:tc>
          <w:tcPr>
            <w:tcW w:w="0" w:type="pct"/>
            <w:tcBorders>
              <w:top w:val="single" w:sz="4" w:space="0" w:color="B3C934" w:themeColor="accent5"/>
              <w:bottom w:val="single" w:sz="4" w:space="0" w:color="B3C934" w:themeColor="accent5"/>
            </w:tcBorders>
            <w:shd w:val="clear" w:color="auto" w:fill="auto"/>
          </w:tcPr>
          <w:p w14:paraId="6B5582D0" w14:textId="42A3D08A" w:rsidR="00B74D51" w:rsidRDefault="00B74D51" w:rsidP="00E55B88">
            <w:pPr>
              <w:pStyle w:val="TableText"/>
              <w:keepNext w:val="0"/>
              <w:widowControl w:val="0"/>
              <w:rPr>
                <w:rFonts w:ascii="Calibri" w:hAnsi="Calibri" w:cs="Calibri"/>
                <w:sz w:val="22"/>
                <w:szCs w:val="22"/>
              </w:rPr>
            </w:pPr>
          </w:p>
          <w:p w14:paraId="49B22315" w14:textId="7975B63F"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Equitable, inclusive and respectful of diversity</w:t>
            </w:r>
          </w:p>
          <w:p w14:paraId="08492206" w14:textId="519AF572" w:rsidR="00450E57" w:rsidRPr="00E55B88" w:rsidRDefault="00450E57" w:rsidP="00E55B88">
            <w:pPr>
              <w:pStyle w:val="TableText"/>
              <w:keepNext w:val="0"/>
              <w:widowControl w:val="0"/>
              <w:rPr>
                <w:rFonts w:ascii="Calibri" w:hAnsi="Calibri" w:cs="Calibri"/>
                <w:sz w:val="22"/>
                <w:szCs w:val="22"/>
              </w:rPr>
            </w:pPr>
          </w:p>
        </w:tc>
        <w:tc>
          <w:tcPr>
            <w:tcW w:w="0" w:type="pct"/>
            <w:tcBorders>
              <w:top w:val="single" w:sz="4" w:space="0" w:color="B3C934" w:themeColor="accent5"/>
              <w:bottom w:val="single" w:sz="4" w:space="0" w:color="B3C934" w:themeColor="accent5"/>
            </w:tcBorders>
            <w:shd w:val="clear" w:color="auto" w:fill="auto"/>
          </w:tcPr>
          <w:p w14:paraId="78AAED0F" w14:textId="77777777" w:rsidR="005E0044" w:rsidRPr="00E55B88" w:rsidRDefault="005E0044" w:rsidP="00E55B88">
            <w:pPr>
              <w:pStyle w:val="TableText"/>
              <w:keepNext w:val="0"/>
              <w:widowControl w:val="0"/>
              <w:rPr>
                <w:rFonts w:ascii="Calibri" w:hAnsi="Calibri" w:cs="Calibri"/>
                <w:sz w:val="22"/>
                <w:szCs w:val="22"/>
              </w:rPr>
            </w:pPr>
            <w:r w:rsidRPr="00E55B88">
              <w:rPr>
                <w:rFonts w:ascii="Calibri" w:hAnsi="Calibri" w:cs="Calibri"/>
                <w:sz w:val="22"/>
                <w:szCs w:val="22"/>
              </w:rPr>
              <w:t>Monitoring and evaluation should value all forms of diversity, including in relation to gender, culture, language, place and disability.</w:t>
            </w:r>
          </w:p>
        </w:tc>
        <w:tc>
          <w:tcPr>
            <w:tcW w:w="0" w:type="pct"/>
            <w:tcBorders>
              <w:top w:val="single" w:sz="4" w:space="0" w:color="B3C934" w:themeColor="accent5"/>
              <w:bottom w:val="single" w:sz="4" w:space="0" w:color="B3C934" w:themeColor="accent5"/>
            </w:tcBorders>
            <w:shd w:val="clear" w:color="auto" w:fill="auto"/>
          </w:tcPr>
          <w:p w14:paraId="50555115"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Ensure active engagement with diverse groups to inform monitoring and evaluation activities, and ensure this engagement is culturally safe and respectful. This includes alignment with all Closing the Gap Priority Reforms.</w:t>
            </w:r>
          </w:p>
          <w:p w14:paraId="74147D8C"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Establish governance arrangements that are culturally safe and inclusive. For example, involving representatives from diverse groups in reference groups or engaging with existing governance structures for different communities.</w:t>
            </w:r>
          </w:p>
          <w:p w14:paraId="51216BC7"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t>Design inclusive outputs or reports, for example, that use plain English and a variety of formats suitable for different audiences, such as visually appealing versions for children.</w:t>
            </w:r>
          </w:p>
          <w:p w14:paraId="0A309E51" w14:textId="77777777" w:rsidR="005E0044" w:rsidRPr="00E55B88" w:rsidRDefault="005E0044" w:rsidP="00095C48">
            <w:pPr>
              <w:pStyle w:val="TableBullet1"/>
              <w:keepNext w:val="0"/>
              <w:widowControl w:val="0"/>
              <w:numPr>
                <w:ilvl w:val="0"/>
                <w:numId w:val="31"/>
              </w:numPr>
              <w:spacing w:before="40" w:after="0"/>
              <w:ind w:left="473" w:right="113"/>
              <w:rPr>
                <w:rFonts w:ascii="Calibri" w:hAnsi="Calibri" w:cs="Calibri"/>
                <w:sz w:val="22"/>
                <w:szCs w:val="22"/>
                <w:lang w:val="en-AU"/>
              </w:rPr>
            </w:pPr>
            <w:r w:rsidRPr="00E55B88">
              <w:rPr>
                <w:rFonts w:ascii="Calibri" w:hAnsi="Calibri" w:cs="Calibri"/>
                <w:sz w:val="22"/>
                <w:szCs w:val="22"/>
                <w:lang w:val="en-AU"/>
              </w:rPr>
              <w:lastRenderedPageBreak/>
              <w:t>Report progress on wellbeing indicators for diverse groups over time, rather than making direct comparisons across groups that can result in deficit reporting for some groups.</w:t>
            </w:r>
          </w:p>
        </w:tc>
      </w:tr>
      <w:tr w:rsidR="005E0044" w:rsidRPr="00E55B88" w14:paraId="3C30EDFC" w14:textId="77777777" w:rsidTr="002A2FE1">
        <w:trPr>
          <w:cnfStyle w:val="010000000000" w:firstRow="0" w:lastRow="1" w:firstColumn="0" w:lastColumn="0" w:oddVBand="0" w:evenVBand="0" w:oddHBand="0" w:evenHBand="0" w:firstRowFirstColumn="0" w:firstRowLastColumn="0" w:lastRowFirstColumn="0" w:lastRowLastColumn="0"/>
        </w:trPr>
        <w:tc>
          <w:tcPr>
            <w:tcW w:w="0" w:type="pct"/>
            <w:tcBorders>
              <w:top w:val="single" w:sz="4" w:space="0" w:color="B3C934" w:themeColor="accent5"/>
              <w:bottom w:val="single" w:sz="4" w:space="0" w:color="B3C934" w:themeColor="accent5"/>
            </w:tcBorders>
            <w:shd w:val="clear" w:color="auto" w:fill="auto"/>
          </w:tcPr>
          <w:p w14:paraId="7B788171" w14:textId="77777777" w:rsidR="00156921" w:rsidRPr="00156921" w:rsidRDefault="00156921" w:rsidP="00E55B88">
            <w:pPr>
              <w:pStyle w:val="TableText"/>
              <w:keepNext w:val="0"/>
              <w:widowControl w:val="0"/>
              <w:rPr>
                <w:rFonts w:ascii="Calibri" w:hAnsi="Calibri" w:cs="Calibri"/>
                <w:b w:val="0"/>
                <w:bCs/>
                <w:sz w:val="22"/>
                <w:szCs w:val="22"/>
              </w:rPr>
            </w:pPr>
          </w:p>
          <w:p w14:paraId="1A835330" w14:textId="4F72A032" w:rsidR="005E0044" w:rsidRPr="00156921" w:rsidRDefault="005E0044" w:rsidP="00E55B88">
            <w:pPr>
              <w:pStyle w:val="TableText"/>
              <w:keepNext w:val="0"/>
              <w:widowControl w:val="0"/>
              <w:rPr>
                <w:rFonts w:ascii="Calibri" w:hAnsi="Calibri" w:cs="Calibri"/>
                <w:b w:val="0"/>
                <w:bCs/>
                <w:sz w:val="22"/>
                <w:szCs w:val="22"/>
              </w:rPr>
            </w:pPr>
            <w:r w:rsidRPr="00156921">
              <w:rPr>
                <w:rFonts w:ascii="Calibri" w:hAnsi="Calibri" w:cs="Calibri"/>
                <w:b w:val="0"/>
                <w:bCs/>
                <w:sz w:val="22"/>
                <w:szCs w:val="22"/>
              </w:rPr>
              <w:t>Evidence-informed</w:t>
            </w:r>
          </w:p>
          <w:p w14:paraId="6B71C894" w14:textId="61FFEF2E" w:rsidR="00450E57" w:rsidRPr="00156921" w:rsidRDefault="00450E57" w:rsidP="00E55B88">
            <w:pPr>
              <w:pStyle w:val="TableText"/>
              <w:keepNext w:val="0"/>
              <w:widowControl w:val="0"/>
              <w:rPr>
                <w:rFonts w:ascii="Calibri" w:hAnsi="Calibri" w:cs="Calibri"/>
                <w:b w:val="0"/>
                <w:bCs/>
                <w:sz w:val="22"/>
                <w:szCs w:val="22"/>
              </w:rPr>
            </w:pPr>
          </w:p>
        </w:tc>
        <w:tc>
          <w:tcPr>
            <w:tcW w:w="0" w:type="pct"/>
            <w:tcBorders>
              <w:top w:val="single" w:sz="4" w:space="0" w:color="B3C934" w:themeColor="accent5"/>
              <w:bottom w:val="single" w:sz="4" w:space="0" w:color="B3C934" w:themeColor="accent5"/>
            </w:tcBorders>
            <w:shd w:val="clear" w:color="auto" w:fill="auto"/>
          </w:tcPr>
          <w:p w14:paraId="0728B72D" w14:textId="77777777" w:rsidR="005E0044" w:rsidRPr="00156921" w:rsidRDefault="005E0044" w:rsidP="00E55B88">
            <w:pPr>
              <w:pStyle w:val="TableText"/>
              <w:keepNext w:val="0"/>
              <w:widowControl w:val="0"/>
              <w:rPr>
                <w:rFonts w:ascii="Calibri" w:hAnsi="Calibri" w:cs="Calibri"/>
                <w:b w:val="0"/>
                <w:bCs/>
                <w:sz w:val="22"/>
                <w:szCs w:val="22"/>
              </w:rPr>
            </w:pPr>
            <w:r w:rsidRPr="00156921">
              <w:rPr>
                <w:rFonts w:ascii="Calibri" w:hAnsi="Calibri" w:cs="Calibri"/>
                <w:b w:val="0"/>
                <w:bCs/>
                <w:sz w:val="22"/>
                <w:szCs w:val="22"/>
              </w:rPr>
              <w:t>Monitoring and evaluation should:</w:t>
            </w:r>
          </w:p>
          <w:p w14:paraId="4007F1EB" w14:textId="77777777" w:rsidR="005E0044" w:rsidRPr="00156921" w:rsidRDefault="005E0044" w:rsidP="002A2FE1">
            <w:pPr>
              <w:pStyle w:val="TableBullet1"/>
              <w:keepNext w:val="0"/>
              <w:widowControl w:val="0"/>
              <w:numPr>
                <w:ilvl w:val="0"/>
                <w:numId w:val="6"/>
              </w:numPr>
              <w:ind w:left="407" w:hanging="283"/>
              <w:rPr>
                <w:rFonts w:ascii="Calibri" w:hAnsi="Calibri" w:cs="Calibri"/>
                <w:b w:val="0"/>
                <w:bCs/>
                <w:sz w:val="22"/>
                <w:szCs w:val="22"/>
                <w:lang w:val="en-AU"/>
              </w:rPr>
            </w:pPr>
            <w:r w:rsidRPr="00156921">
              <w:rPr>
                <w:rFonts w:ascii="Calibri" w:hAnsi="Calibri" w:cs="Calibri"/>
                <w:b w:val="0"/>
                <w:bCs/>
                <w:sz w:val="22"/>
                <w:szCs w:val="22"/>
                <w:lang w:val="en-AU"/>
              </w:rPr>
              <w:t xml:space="preserve">build and continually draw on the latest available data, evidence and insights </w:t>
            </w:r>
          </w:p>
          <w:p w14:paraId="0BD8A389" w14:textId="77777777" w:rsidR="005E0044" w:rsidRPr="00156921" w:rsidRDefault="005E0044" w:rsidP="002A2FE1">
            <w:pPr>
              <w:pStyle w:val="TableBullet1"/>
              <w:keepNext w:val="0"/>
              <w:widowControl w:val="0"/>
              <w:numPr>
                <w:ilvl w:val="0"/>
                <w:numId w:val="6"/>
              </w:numPr>
              <w:ind w:left="407" w:hanging="283"/>
              <w:rPr>
                <w:rFonts w:ascii="Calibri" w:hAnsi="Calibri" w:cs="Calibri"/>
                <w:b w:val="0"/>
                <w:bCs/>
                <w:sz w:val="22"/>
                <w:szCs w:val="22"/>
                <w:lang w:val="en-AU"/>
              </w:rPr>
            </w:pPr>
            <w:r w:rsidRPr="00156921">
              <w:rPr>
                <w:rFonts w:ascii="Calibri" w:hAnsi="Calibri" w:cs="Calibri"/>
                <w:b w:val="0"/>
                <w:bCs/>
                <w:sz w:val="22"/>
                <w:szCs w:val="22"/>
                <w:lang w:val="en-AU"/>
              </w:rPr>
              <w:t>inform the design, development and review of supports and services for children and families.</w:t>
            </w:r>
          </w:p>
        </w:tc>
        <w:tc>
          <w:tcPr>
            <w:tcW w:w="0" w:type="pct"/>
            <w:tcBorders>
              <w:top w:val="single" w:sz="4" w:space="0" w:color="B3C934" w:themeColor="accent5"/>
              <w:bottom w:val="single" w:sz="4" w:space="0" w:color="B3C934" w:themeColor="accent5"/>
            </w:tcBorders>
            <w:shd w:val="clear" w:color="auto" w:fill="auto"/>
          </w:tcPr>
          <w:p w14:paraId="1106661C" w14:textId="77777777" w:rsidR="005E0044" w:rsidRPr="00156921" w:rsidRDefault="005E0044" w:rsidP="00095C48">
            <w:pPr>
              <w:pStyle w:val="TableBullet1"/>
              <w:keepNext w:val="0"/>
              <w:widowControl w:val="0"/>
              <w:numPr>
                <w:ilvl w:val="0"/>
                <w:numId w:val="31"/>
              </w:numPr>
              <w:spacing w:before="40" w:after="0"/>
              <w:ind w:left="473" w:right="113"/>
              <w:rPr>
                <w:rFonts w:ascii="Calibri" w:hAnsi="Calibri" w:cs="Calibri"/>
                <w:b w:val="0"/>
                <w:bCs/>
                <w:sz w:val="22"/>
                <w:szCs w:val="22"/>
                <w:lang w:val="en-AU"/>
              </w:rPr>
            </w:pPr>
            <w:r w:rsidRPr="00156921">
              <w:rPr>
                <w:rFonts w:ascii="Calibri" w:hAnsi="Calibri" w:cs="Calibri"/>
                <w:b w:val="0"/>
                <w:bCs/>
                <w:sz w:val="22"/>
                <w:szCs w:val="22"/>
                <w:lang w:val="en-AU"/>
              </w:rPr>
              <w:t>Remain flexible, incorporating new evidence and improved measures or data sources as they become available. For example, updating indicator measures when better or more timely data becomes available.</w:t>
            </w:r>
          </w:p>
          <w:p w14:paraId="3D880183" w14:textId="77777777" w:rsidR="005E0044" w:rsidRPr="00156921" w:rsidRDefault="005E0044" w:rsidP="00095C48">
            <w:pPr>
              <w:pStyle w:val="TableBullet1"/>
              <w:keepNext w:val="0"/>
              <w:widowControl w:val="0"/>
              <w:numPr>
                <w:ilvl w:val="0"/>
                <w:numId w:val="31"/>
              </w:numPr>
              <w:spacing w:before="40" w:after="0"/>
              <w:ind w:left="473" w:right="113"/>
              <w:rPr>
                <w:rFonts w:ascii="Calibri" w:hAnsi="Calibri" w:cs="Calibri"/>
                <w:b w:val="0"/>
                <w:bCs/>
                <w:sz w:val="22"/>
                <w:szCs w:val="22"/>
                <w:lang w:val="en-AU"/>
              </w:rPr>
            </w:pPr>
            <w:r w:rsidRPr="00156921">
              <w:rPr>
                <w:rFonts w:ascii="Calibri" w:hAnsi="Calibri" w:cs="Calibri"/>
                <w:b w:val="0"/>
                <w:bCs/>
                <w:sz w:val="22"/>
                <w:szCs w:val="22"/>
                <w:lang w:val="en-AU"/>
              </w:rPr>
              <w:t>Focus on generating useful learnings for service and community-level support, for example, by making reports and data available promptly to stakeholders and regularly seeking feedback on their utility.</w:t>
            </w:r>
          </w:p>
          <w:p w14:paraId="25AEC10E" w14:textId="5C56FBEC" w:rsidR="005E0044" w:rsidRPr="00156921" w:rsidRDefault="005E0044" w:rsidP="00095C48">
            <w:pPr>
              <w:pStyle w:val="TableBullet1"/>
              <w:keepNext w:val="0"/>
              <w:widowControl w:val="0"/>
              <w:numPr>
                <w:ilvl w:val="0"/>
                <w:numId w:val="31"/>
              </w:numPr>
              <w:spacing w:before="40" w:after="0"/>
              <w:ind w:left="473" w:right="113"/>
              <w:rPr>
                <w:rFonts w:ascii="Calibri" w:hAnsi="Calibri" w:cs="Calibri"/>
                <w:b w:val="0"/>
                <w:bCs/>
                <w:sz w:val="22"/>
                <w:szCs w:val="22"/>
                <w:lang w:val="en-AU"/>
              </w:rPr>
            </w:pPr>
            <w:r w:rsidRPr="00156921">
              <w:rPr>
                <w:rFonts w:ascii="Calibri" w:hAnsi="Calibri" w:cs="Calibri"/>
                <w:b w:val="0"/>
                <w:bCs/>
                <w:sz w:val="22"/>
                <w:szCs w:val="22"/>
                <w:lang w:val="en-AU"/>
              </w:rPr>
              <w:t>Implement transparent and robust cross-agency accountability</w:t>
            </w:r>
            <w:r w:rsidR="00877C1D">
              <w:rPr>
                <w:rFonts w:ascii="Calibri" w:hAnsi="Calibri" w:cs="Calibri"/>
                <w:b w:val="0"/>
                <w:bCs/>
                <w:sz w:val="22"/>
                <w:szCs w:val="22"/>
                <w:lang w:val="en-AU"/>
              </w:rPr>
              <w:t>.</w:t>
            </w:r>
            <w:r w:rsidRPr="00156921">
              <w:rPr>
                <w:rFonts w:ascii="Calibri" w:hAnsi="Calibri" w:cs="Calibri"/>
                <w:b w:val="0"/>
                <w:bCs/>
                <w:sz w:val="22"/>
                <w:szCs w:val="22"/>
                <w:lang w:val="en-AU"/>
              </w:rPr>
              <w:t xml:space="preserve"> </w:t>
            </w:r>
            <w:r w:rsidR="00877C1D">
              <w:rPr>
                <w:rFonts w:ascii="Calibri" w:hAnsi="Calibri" w:cs="Calibri"/>
                <w:b w:val="0"/>
                <w:bCs/>
                <w:sz w:val="22"/>
                <w:szCs w:val="22"/>
                <w:lang w:val="en-AU"/>
              </w:rPr>
              <w:t>F</w:t>
            </w:r>
            <w:r w:rsidRPr="00156921">
              <w:rPr>
                <w:rFonts w:ascii="Calibri" w:hAnsi="Calibri" w:cs="Calibri"/>
                <w:b w:val="0"/>
                <w:bCs/>
                <w:sz w:val="22"/>
                <w:szCs w:val="22"/>
                <w:lang w:val="en-AU"/>
              </w:rPr>
              <w:t>or example, by obtaining data from multiple agencies, regular public reporting, and strong evaluation processes.</w:t>
            </w:r>
          </w:p>
        </w:tc>
      </w:tr>
    </w:tbl>
    <w:p w14:paraId="26BC0619" w14:textId="77777777" w:rsidR="00B615F8" w:rsidRDefault="00B615F8" w:rsidP="00095C48">
      <w:pPr>
        <w:rPr>
          <w:rFonts w:eastAsia="Times New Roman" w:cs="Calibri"/>
          <w:color w:val="2C2624"/>
          <w:spacing w:val="0"/>
          <w:szCs w:val="22"/>
          <w:lang w:val="en-US" w:eastAsia="ja-JP" w:bidi="en-US"/>
        </w:rPr>
      </w:pPr>
      <w:bookmarkStart w:id="42" w:name="_Toc207286651"/>
    </w:p>
    <w:p w14:paraId="68F4D172" w14:textId="18873399" w:rsidR="00AB505E" w:rsidRPr="00405F88" w:rsidRDefault="00F07B9E" w:rsidP="00B615F8">
      <w:r w:rsidRPr="00F07B9E">
        <w:rPr>
          <w:rFonts w:eastAsia="Times New Roman" w:cs="Calibri"/>
          <w:color w:val="2C2624"/>
          <w:spacing w:val="0"/>
          <w:szCs w:val="22"/>
          <w:lang w:val="en-US" w:eastAsia="ja-JP" w:bidi="en-US"/>
        </w:rPr>
        <w:t xml:space="preserve">Note: There may be limited circumstances where alignment with these principles is not possible. For example, administrative reporting requirements mandated under existing data systems or variations in data collection methods/sources may restrict the full application of these principles. </w:t>
      </w:r>
    </w:p>
    <w:p w14:paraId="3155A67D" w14:textId="7A58127F" w:rsidR="005E0044" w:rsidRPr="00136A90" w:rsidRDefault="005E0044" w:rsidP="00156921">
      <w:pPr>
        <w:pStyle w:val="Heading3"/>
        <w:spacing w:after="240"/>
      </w:pPr>
      <w:bookmarkStart w:id="43" w:name="_Toc215146313"/>
      <w:bookmarkStart w:id="44" w:name="_Toc228974165"/>
      <w:r w:rsidRPr="00136A90">
        <w:t xml:space="preserve">2. Best Practice Principles from the Commonwealth Evaluation </w:t>
      </w:r>
      <w:r>
        <w:t xml:space="preserve">Policy and </w:t>
      </w:r>
      <w:r w:rsidRPr="00136A90">
        <w:t>Toolkit</w:t>
      </w:r>
      <w:bookmarkEnd w:id="43"/>
      <w:bookmarkEnd w:id="44"/>
    </w:p>
    <w:p w14:paraId="20F51A99" w14:textId="57C38F55" w:rsidR="0028002F" w:rsidRDefault="005E0044" w:rsidP="00095C48">
      <w:pPr>
        <w:rPr>
          <w:b/>
          <w:bCs/>
        </w:rPr>
      </w:pPr>
      <w:r w:rsidRPr="004748F9">
        <w:t xml:space="preserve">In addition to the Strategy’s own principles, there are 5 overarching ‘best practice’ principles to guide evaluation activities, as outlined in the </w:t>
      </w:r>
      <w:hyperlink r:id="rId36" w:history="1">
        <w:r w:rsidRPr="00450E57">
          <w:rPr>
            <w:rStyle w:val="Hyperlink"/>
            <w:rFonts w:ascii="Calibri" w:hAnsi="Calibri"/>
          </w:rPr>
          <w:t>Commonwealth Evaluation Policy</w:t>
        </w:r>
      </w:hyperlink>
      <w:r w:rsidRPr="004748F9">
        <w:t xml:space="preserve">. </w:t>
      </w:r>
    </w:p>
    <w:p w14:paraId="734D9007" w14:textId="1BE60634" w:rsidR="005E0044" w:rsidRPr="00405F88" w:rsidRDefault="005E0044" w:rsidP="002C0A8F">
      <w:pPr>
        <w:keepNext/>
        <w:rPr>
          <w:b/>
          <w:bCs/>
        </w:rPr>
      </w:pPr>
      <w:r w:rsidRPr="00405F88">
        <w:rPr>
          <w:b/>
          <w:bCs/>
        </w:rPr>
        <w:lastRenderedPageBreak/>
        <w:t>Table 2: Commonwealth evaluation principles</w:t>
      </w:r>
    </w:p>
    <w:tbl>
      <w:tblPr>
        <w:tblStyle w:val="DSSTableStyleB"/>
        <w:tblW w:w="5234" w:type="pct"/>
        <w:shd w:val="clear" w:color="auto" w:fill="FDDFA2" w:themeFill="accent6" w:themeFillTint="66"/>
        <w:tblLook w:val="04A0" w:firstRow="1" w:lastRow="0" w:firstColumn="1" w:lastColumn="0" w:noHBand="0" w:noVBand="1"/>
      </w:tblPr>
      <w:tblGrid>
        <w:gridCol w:w="1529"/>
        <w:gridCol w:w="7368"/>
      </w:tblGrid>
      <w:tr w:rsidR="005E0044" w:rsidRPr="004748F9" w14:paraId="06A6808F" w14:textId="77777777" w:rsidTr="001E2B04">
        <w:trPr>
          <w:cnfStyle w:val="100000000000" w:firstRow="1" w:lastRow="0" w:firstColumn="0" w:lastColumn="0" w:oddVBand="0" w:evenVBand="0" w:oddHBand="0" w:evenHBand="0" w:firstRowFirstColumn="0" w:firstRowLastColumn="0" w:lastRowFirstColumn="0" w:lastRowLastColumn="0"/>
        </w:trPr>
        <w:tc>
          <w:tcPr>
            <w:tcW w:w="859" w:type="pct"/>
            <w:shd w:val="clear" w:color="auto" w:fill="FDDFA2" w:themeFill="accent6" w:themeFillTint="66"/>
          </w:tcPr>
          <w:p w14:paraId="019B5ACD" w14:textId="77777777" w:rsidR="005E0044" w:rsidRPr="004748F9" w:rsidRDefault="005E0044" w:rsidP="00E55B88">
            <w:pPr>
              <w:pStyle w:val="TableColHeadLeft"/>
              <w:keepNext w:val="0"/>
              <w:widowControl w:val="0"/>
              <w:rPr>
                <w:rFonts w:ascii="Calibri" w:hAnsi="Calibri" w:cs="Calibri"/>
                <w:color w:val="auto"/>
                <w:sz w:val="22"/>
                <w:szCs w:val="22"/>
              </w:rPr>
            </w:pPr>
            <w:r w:rsidRPr="004748F9">
              <w:rPr>
                <w:rFonts w:ascii="Calibri" w:hAnsi="Calibri" w:cs="Calibri"/>
                <w:bCs/>
                <w:color w:val="auto"/>
                <w:sz w:val="22"/>
                <w:szCs w:val="22"/>
              </w:rPr>
              <w:t>Principle</w:t>
            </w:r>
            <w:r w:rsidRPr="004748F9">
              <w:rPr>
                <w:rFonts w:ascii="Calibri" w:hAnsi="Calibri" w:cs="Calibri"/>
                <w:color w:val="auto"/>
                <w:sz w:val="22"/>
                <w:szCs w:val="22"/>
              </w:rPr>
              <w:t xml:space="preserve"> </w:t>
            </w:r>
          </w:p>
        </w:tc>
        <w:tc>
          <w:tcPr>
            <w:tcW w:w="4141" w:type="pct"/>
            <w:shd w:val="clear" w:color="auto" w:fill="FDDFA2" w:themeFill="accent6" w:themeFillTint="66"/>
          </w:tcPr>
          <w:p w14:paraId="3FF7207F" w14:textId="6053F7CE" w:rsidR="005E0044" w:rsidRPr="004748F9" w:rsidRDefault="005E0044" w:rsidP="00E55B88">
            <w:pPr>
              <w:pStyle w:val="TableColHeadCentre"/>
              <w:keepNext w:val="0"/>
              <w:widowControl w:val="0"/>
              <w:jc w:val="left"/>
              <w:rPr>
                <w:rFonts w:ascii="Calibri" w:hAnsi="Calibri" w:cs="Calibri"/>
                <w:color w:val="auto"/>
                <w:sz w:val="22"/>
                <w:szCs w:val="22"/>
              </w:rPr>
            </w:pPr>
            <w:r w:rsidRPr="004748F9">
              <w:rPr>
                <w:rFonts w:ascii="Calibri" w:hAnsi="Calibri" w:cs="Calibri"/>
                <w:bCs/>
                <w:color w:val="auto"/>
                <w:sz w:val="22"/>
                <w:szCs w:val="22"/>
              </w:rPr>
              <w:t>Description</w:t>
            </w:r>
          </w:p>
        </w:tc>
      </w:tr>
      <w:tr w:rsidR="005E0044" w:rsidRPr="004748F9" w14:paraId="337BF4D0" w14:textId="77777777" w:rsidTr="001E2B04">
        <w:trPr>
          <w:cnfStyle w:val="000000100000" w:firstRow="0" w:lastRow="0" w:firstColumn="0" w:lastColumn="0" w:oddVBand="0" w:evenVBand="0" w:oddHBand="1" w:evenHBand="0" w:firstRowFirstColumn="0" w:firstRowLastColumn="0" w:lastRowFirstColumn="0" w:lastRowLastColumn="0"/>
        </w:trPr>
        <w:tc>
          <w:tcPr>
            <w:tcW w:w="859" w:type="pct"/>
            <w:tcBorders>
              <w:bottom w:val="single" w:sz="4" w:space="0" w:color="FCB017" w:themeColor="accent6"/>
            </w:tcBorders>
          </w:tcPr>
          <w:p w14:paraId="3C9E936A" w14:textId="77777777" w:rsidR="005E0044" w:rsidRPr="004748F9" w:rsidRDefault="005E0044" w:rsidP="00E55B88">
            <w:pPr>
              <w:pStyle w:val="TableText"/>
              <w:keepNext w:val="0"/>
              <w:widowControl w:val="0"/>
              <w:rPr>
                <w:rFonts w:ascii="Calibri" w:hAnsi="Calibri" w:cs="Calibri"/>
                <w:sz w:val="22"/>
                <w:szCs w:val="22"/>
              </w:rPr>
            </w:pPr>
            <w:r w:rsidRPr="004748F9">
              <w:rPr>
                <w:rFonts w:ascii="Calibri" w:hAnsi="Calibri" w:cs="Calibri"/>
                <w:sz w:val="22"/>
                <w:szCs w:val="22"/>
              </w:rPr>
              <w:t>Fit for purpose</w:t>
            </w:r>
          </w:p>
        </w:tc>
        <w:tc>
          <w:tcPr>
            <w:tcW w:w="4141" w:type="pct"/>
            <w:tcBorders>
              <w:bottom w:val="single" w:sz="4" w:space="0" w:color="FCB017" w:themeColor="accent6"/>
            </w:tcBorders>
          </w:tcPr>
          <w:p w14:paraId="2A8A1C74" w14:textId="5CE6DDB8" w:rsidR="005E0044" w:rsidRPr="004748F9" w:rsidRDefault="005E0044" w:rsidP="00095C48">
            <w:pPr>
              <w:pStyle w:val="TableBullet1"/>
              <w:widowControl w:val="0"/>
              <w:numPr>
                <w:ilvl w:val="0"/>
                <w:numId w:val="32"/>
              </w:numPr>
              <w:spacing w:before="40" w:after="0"/>
              <w:ind w:left="473" w:right="113"/>
              <w:rPr>
                <w:rFonts w:ascii="Calibri" w:hAnsi="Calibri" w:cs="Calibri"/>
                <w:color w:val="auto"/>
                <w:sz w:val="22"/>
                <w:szCs w:val="22"/>
                <w:lang w:val="en-AU"/>
              </w:rPr>
            </w:pPr>
            <w:r w:rsidRPr="004748F9">
              <w:rPr>
                <w:rFonts w:ascii="Calibri" w:hAnsi="Calibri" w:cs="Calibri"/>
                <w:color w:val="auto"/>
                <w:sz w:val="22"/>
                <w:szCs w:val="22"/>
                <w:lang w:val="en-AU"/>
              </w:rPr>
              <w:t>The choice to evaluate and the scale of effort and resources allocated to an evaluation should be proportional to the value, impact, strategic importance and risk profile of the program or activity.</w:t>
            </w:r>
          </w:p>
          <w:p w14:paraId="0F726AE8" w14:textId="77777777" w:rsidR="005E0044" w:rsidRPr="004748F9" w:rsidRDefault="005E0044" w:rsidP="00095C48">
            <w:pPr>
              <w:pStyle w:val="TableBullet1"/>
              <w:keepNext w:val="0"/>
              <w:widowControl w:val="0"/>
              <w:numPr>
                <w:ilvl w:val="0"/>
                <w:numId w:val="32"/>
              </w:numPr>
              <w:spacing w:before="40" w:after="0"/>
              <w:ind w:left="473" w:right="113"/>
              <w:rPr>
                <w:rFonts w:ascii="Calibri" w:hAnsi="Calibri" w:cs="Calibri"/>
                <w:color w:val="auto"/>
                <w:sz w:val="22"/>
                <w:szCs w:val="22"/>
              </w:rPr>
            </w:pPr>
            <w:r w:rsidRPr="004748F9">
              <w:rPr>
                <w:rFonts w:ascii="Calibri" w:hAnsi="Calibri" w:cs="Calibri"/>
                <w:color w:val="auto"/>
                <w:sz w:val="22"/>
                <w:szCs w:val="22"/>
                <w:lang w:val="en-AU"/>
              </w:rPr>
              <w:t>Methods should differentiate between evaluations to inform program administration and evaluations to inform policy decisions.</w:t>
            </w:r>
          </w:p>
        </w:tc>
      </w:tr>
      <w:tr w:rsidR="005E0044" w:rsidRPr="004748F9" w14:paraId="6C112585" w14:textId="77777777" w:rsidTr="001E2B04">
        <w:trPr>
          <w:cnfStyle w:val="000000010000" w:firstRow="0" w:lastRow="0" w:firstColumn="0" w:lastColumn="0" w:oddVBand="0" w:evenVBand="0" w:oddHBand="0" w:evenHBand="1" w:firstRowFirstColumn="0" w:firstRowLastColumn="0" w:lastRowFirstColumn="0" w:lastRowLastColumn="0"/>
        </w:trPr>
        <w:tc>
          <w:tcPr>
            <w:tcW w:w="859" w:type="pct"/>
            <w:tcBorders>
              <w:top w:val="single" w:sz="4" w:space="0" w:color="FCB017" w:themeColor="accent6"/>
              <w:bottom w:val="single" w:sz="4" w:space="0" w:color="FCB017" w:themeColor="accent6"/>
            </w:tcBorders>
            <w:shd w:val="clear" w:color="auto" w:fill="auto"/>
          </w:tcPr>
          <w:p w14:paraId="356BA1AF" w14:textId="77777777" w:rsidR="005E0044" w:rsidRPr="004748F9" w:rsidRDefault="005E0044" w:rsidP="00E55B88">
            <w:pPr>
              <w:pStyle w:val="TableText"/>
              <w:keepNext w:val="0"/>
              <w:widowControl w:val="0"/>
              <w:rPr>
                <w:rFonts w:ascii="Calibri" w:hAnsi="Calibri" w:cs="Calibri"/>
                <w:sz w:val="22"/>
                <w:szCs w:val="22"/>
              </w:rPr>
            </w:pPr>
            <w:r w:rsidRPr="004748F9">
              <w:rPr>
                <w:rFonts w:ascii="Calibri" w:hAnsi="Calibri" w:cs="Calibri"/>
                <w:sz w:val="22"/>
                <w:szCs w:val="22"/>
              </w:rPr>
              <w:t>Useful</w:t>
            </w:r>
          </w:p>
        </w:tc>
        <w:tc>
          <w:tcPr>
            <w:tcW w:w="4141" w:type="pct"/>
            <w:tcBorders>
              <w:top w:val="single" w:sz="4" w:space="0" w:color="FCB017" w:themeColor="accent6"/>
              <w:bottom w:val="single" w:sz="4" w:space="0" w:color="FCB017" w:themeColor="accent6"/>
            </w:tcBorders>
            <w:shd w:val="clear" w:color="auto" w:fill="auto"/>
          </w:tcPr>
          <w:p w14:paraId="7D269368" w14:textId="2A7B20D9" w:rsidR="005E0044" w:rsidRPr="00512E52" w:rsidRDefault="005E0044" w:rsidP="00095C48">
            <w:pPr>
              <w:pStyle w:val="TableBullet1"/>
              <w:widowControl w:val="0"/>
              <w:numPr>
                <w:ilvl w:val="0"/>
                <w:numId w:val="32"/>
              </w:numPr>
              <w:spacing w:before="40" w:after="0"/>
              <w:ind w:left="473" w:right="113"/>
              <w:rPr>
                <w:rFonts w:ascii="Calibri" w:hAnsi="Calibri" w:cs="Calibri"/>
                <w:sz w:val="22"/>
                <w:szCs w:val="22"/>
              </w:rPr>
            </w:pPr>
            <w:r w:rsidRPr="00095C48">
              <w:rPr>
                <w:rFonts w:ascii="Calibri" w:hAnsi="Calibri" w:cs="Calibri"/>
                <w:sz w:val="22"/>
                <w:szCs w:val="22"/>
              </w:rPr>
              <w:t>Evaluations to inform program delivery</w:t>
            </w:r>
            <w:r w:rsidRPr="00512E52">
              <w:rPr>
                <w:rFonts w:ascii="Calibri" w:hAnsi="Calibri" w:cs="Calibri"/>
                <w:sz w:val="22"/>
                <w:szCs w:val="22"/>
              </w:rPr>
              <w:t> should be designed for the purposes of continuous improvement and accountability against objectives.</w:t>
            </w:r>
          </w:p>
          <w:p w14:paraId="4BF1FF02" w14:textId="77777777" w:rsidR="005E0044" w:rsidRPr="00512E52" w:rsidRDefault="005E0044" w:rsidP="00095C48">
            <w:pPr>
              <w:pStyle w:val="TableBullet1"/>
              <w:widowControl w:val="0"/>
              <w:numPr>
                <w:ilvl w:val="0"/>
                <w:numId w:val="32"/>
              </w:numPr>
              <w:spacing w:before="40" w:after="0"/>
              <w:ind w:left="473" w:right="113"/>
              <w:rPr>
                <w:rFonts w:ascii="Calibri" w:hAnsi="Calibri" w:cs="Calibri"/>
                <w:sz w:val="22"/>
                <w:szCs w:val="22"/>
              </w:rPr>
            </w:pPr>
            <w:r w:rsidRPr="00095C48">
              <w:rPr>
                <w:rFonts w:ascii="Calibri" w:hAnsi="Calibri" w:cs="Calibri"/>
                <w:sz w:val="22"/>
                <w:szCs w:val="22"/>
              </w:rPr>
              <w:t>Evaluations for decision</w:t>
            </w:r>
            <w:r w:rsidRPr="00095C48">
              <w:rPr>
                <w:rFonts w:ascii="Calibri" w:hAnsi="Calibri" w:cs="Calibri"/>
                <w:sz w:val="22"/>
                <w:szCs w:val="22"/>
              </w:rPr>
              <w:noBreakHyphen/>
              <w:t>making</w:t>
            </w:r>
            <w:r w:rsidRPr="00512E52">
              <w:rPr>
                <w:rFonts w:ascii="Calibri" w:hAnsi="Calibri" w:cs="Calibri"/>
                <w:sz w:val="22"/>
                <w:szCs w:val="22"/>
              </w:rPr>
              <w:t> should be designed for the purpose of defining achievable outcomes, taking account of any pilots, prototyping or experience from other jurisdictions.</w:t>
            </w:r>
          </w:p>
          <w:p w14:paraId="1DD0BDE1"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 xml:space="preserve">A strong understanding of Government </w:t>
            </w:r>
            <w:proofErr w:type="gramStart"/>
            <w:r w:rsidRPr="004748F9">
              <w:rPr>
                <w:rFonts w:ascii="Calibri" w:hAnsi="Calibri" w:cs="Calibri"/>
                <w:sz w:val="22"/>
                <w:szCs w:val="22"/>
              </w:rPr>
              <w:t>policy intent</w:t>
            </w:r>
            <w:proofErr w:type="gramEnd"/>
            <w:r w:rsidRPr="004748F9">
              <w:rPr>
                <w:rFonts w:ascii="Calibri" w:hAnsi="Calibri" w:cs="Calibri"/>
                <w:sz w:val="22"/>
                <w:szCs w:val="22"/>
              </w:rPr>
              <w:t xml:space="preserve"> is required, both when evaluation is used as a monitoring tool and when it is an input to new program design.</w:t>
            </w:r>
          </w:p>
        </w:tc>
      </w:tr>
      <w:tr w:rsidR="005E0044" w:rsidRPr="004748F9" w14:paraId="7FF8BF83" w14:textId="77777777" w:rsidTr="001E2B04">
        <w:trPr>
          <w:cnfStyle w:val="000000100000" w:firstRow="0" w:lastRow="0" w:firstColumn="0" w:lastColumn="0" w:oddVBand="0" w:evenVBand="0" w:oddHBand="1" w:evenHBand="0" w:firstRowFirstColumn="0" w:firstRowLastColumn="0" w:lastRowFirstColumn="0" w:lastRowLastColumn="0"/>
        </w:trPr>
        <w:tc>
          <w:tcPr>
            <w:tcW w:w="859" w:type="pct"/>
            <w:tcBorders>
              <w:top w:val="single" w:sz="4" w:space="0" w:color="FCB017" w:themeColor="accent6"/>
              <w:bottom w:val="single" w:sz="4" w:space="0" w:color="FCB017" w:themeColor="accent6"/>
            </w:tcBorders>
          </w:tcPr>
          <w:p w14:paraId="68D955C7" w14:textId="77777777" w:rsidR="005E0044" w:rsidRPr="004748F9" w:rsidRDefault="005E0044" w:rsidP="00E55B88">
            <w:pPr>
              <w:pStyle w:val="TableText"/>
              <w:keepNext w:val="0"/>
              <w:widowControl w:val="0"/>
              <w:rPr>
                <w:rFonts w:ascii="Calibri" w:hAnsi="Calibri" w:cs="Calibri"/>
                <w:sz w:val="22"/>
                <w:szCs w:val="22"/>
              </w:rPr>
            </w:pPr>
            <w:r w:rsidRPr="004748F9">
              <w:rPr>
                <w:rFonts w:ascii="Calibri" w:hAnsi="Calibri" w:cs="Calibri"/>
                <w:sz w:val="22"/>
                <w:szCs w:val="22"/>
              </w:rPr>
              <w:t>Robust, ethical and culturally appropriate</w:t>
            </w:r>
          </w:p>
        </w:tc>
        <w:tc>
          <w:tcPr>
            <w:tcW w:w="4141" w:type="pct"/>
            <w:tcBorders>
              <w:top w:val="single" w:sz="4" w:space="0" w:color="FCB017" w:themeColor="accent6"/>
              <w:bottom w:val="single" w:sz="4" w:space="0" w:color="FCB017" w:themeColor="accent6"/>
            </w:tcBorders>
          </w:tcPr>
          <w:p w14:paraId="74BC93DF"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Evaluations should be well</w:t>
            </w:r>
            <w:r w:rsidRPr="004748F9">
              <w:rPr>
                <w:rFonts w:ascii="Calibri" w:hAnsi="Calibri" w:cs="Calibri"/>
                <w:sz w:val="22"/>
                <w:szCs w:val="22"/>
              </w:rPr>
              <w:noBreakHyphen/>
              <w:t>designed, identify potential evaluator bias and take account of the impact of programs and evaluations on stakeholders.</w:t>
            </w:r>
          </w:p>
          <w:p w14:paraId="0181D763"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Robust data and evidence should provide performance insights and drive continuous improvement for programs in the delivery stage.</w:t>
            </w:r>
          </w:p>
          <w:p w14:paraId="6D30B0BA"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Ethical and culturally appropriate approaches should be considered in all evaluation activities, including for the collection, assessment and use of information.</w:t>
            </w:r>
          </w:p>
        </w:tc>
      </w:tr>
      <w:tr w:rsidR="005E0044" w:rsidRPr="004748F9" w14:paraId="2F429F62" w14:textId="77777777" w:rsidTr="001E2B04">
        <w:trPr>
          <w:cnfStyle w:val="000000010000" w:firstRow="0" w:lastRow="0" w:firstColumn="0" w:lastColumn="0" w:oddVBand="0" w:evenVBand="0" w:oddHBand="0" w:evenHBand="1" w:firstRowFirstColumn="0" w:firstRowLastColumn="0" w:lastRowFirstColumn="0" w:lastRowLastColumn="0"/>
        </w:trPr>
        <w:tc>
          <w:tcPr>
            <w:tcW w:w="859" w:type="pct"/>
            <w:tcBorders>
              <w:top w:val="single" w:sz="4" w:space="0" w:color="FCB017" w:themeColor="accent6"/>
              <w:bottom w:val="single" w:sz="4" w:space="0" w:color="FCB017" w:themeColor="accent6"/>
            </w:tcBorders>
            <w:shd w:val="clear" w:color="auto" w:fill="auto"/>
          </w:tcPr>
          <w:p w14:paraId="04D7F835" w14:textId="77777777" w:rsidR="005E0044" w:rsidRPr="004748F9" w:rsidRDefault="005E0044" w:rsidP="00E55B88">
            <w:pPr>
              <w:pStyle w:val="TableText"/>
              <w:keepNext w:val="0"/>
              <w:widowControl w:val="0"/>
              <w:rPr>
                <w:rFonts w:ascii="Calibri" w:hAnsi="Calibri" w:cs="Calibri"/>
                <w:sz w:val="22"/>
                <w:szCs w:val="22"/>
              </w:rPr>
            </w:pPr>
            <w:r w:rsidRPr="004748F9">
              <w:rPr>
                <w:rFonts w:ascii="Calibri" w:hAnsi="Calibri" w:cs="Calibri"/>
                <w:sz w:val="22"/>
                <w:szCs w:val="22"/>
              </w:rPr>
              <w:t>Credible</w:t>
            </w:r>
          </w:p>
        </w:tc>
        <w:tc>
          <w:tcPr>
            <w:tcW w:w="4141" w:type="pct"/>
            <w:tcBorders>
              <w:top w:val="single" w:sz="4" w:space="0" w:color="FCB017" w:themeColor="accent6"/>
              <w:bottom w:val="single" w:sz="4" w:space="0" w:color="FCB017" w:themeColor="accent6"/>
            </w:tcBorders>
            <w:shd w:val="clear" w:color="auto" w:fill="auto"/>
          </w:tcPr>
          <w:p w14:paraId="6C59C738"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 xml:space="preserve">Evaluations should be conducted by people who are technically and culturally capable. </w:t>
            </w:r>
          </w:p>
          <w:p w14:paraId="4B3C9180"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 xml:space="preserve">The collection and analysis of evidence should be undertaken in an impartial and systematic way, having regard to the perspectives of all relevant stakeholders. </w:t>
            </w:r>
          </w:p>
          <w:p w14:paraId="6DA6B38A"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Evaluations should adhere to appropriate standards of integrity and independence.</w:t>
            </w:r>
          </w:p>
        </w:tc>
      </w:tr>
      <w:tr w:rsidR="005E0044" w:rsidRPr="004748F9" w14:paraId="63021546" w14:textId="77777777" w:rsidTr="001E2B04">
        <w:trPr>
          <w:cnfStyle w:val="000000100000" w:firstRow="0" w:lastRow="0" w:firstColumn="0" w:lastColumn="0" w:oddVBand="0" w:evenVBand="0" w:oddHBand="1" w:evenHBand="0" w:firstRowFirstColumn="0" w:firstRowLastColumn="0" w:lastRowFirstColumn="0" w:lastRowLastColumn="0"/>
        </w:trPr>
        <w:tc>
          <w:tcPr>
            <w:tcW w:w="859" w:type="pct"/>
            <w:tcBorders>
              <w:top w:val="single" w:sz="4" w:space="0" w:color="FCB017" w:themeColor="accent6"/>
              <w:bottom w:val="single" w:sz="4" w:space="0" w:color="FCB017" w:themeColor="accent6"/>
            </w:tcBorders>
          </w:tcPr>
          <w:p w14:paraId="29E93BF5" w14:textId="77777777" w:rsidR="005E0044" w:rsidRPr="004748F9" w:rsidRDefault="005E0044" w:rsidP="00E55B88">
            <w:pPr>
              <w:pStyle w:val="TableText"/>
              <w:keepNext w:val="0"/>
              <w:widowControl w:val="0"/>
              <w:rPr>
                <w:rFonts w:ascii="Calibri" w:hAnsi="Calibri" w:cs="Calibri"/>
                <w:sz w:val="22"/>
                <w:szCs w:val="22"/>
              </w:rPr>
            </w:pPr>
            <w:r w:rsidRPr="004748F9">
              <w:rPr>
                <w:rFonts w:ascii="Calibri" w:hAnsi="Calibri" w:cs="Calibri"/>
                <w:sz w:val="22"/>
                <w:szCs w:val="22"/>
              </w:rPr>
              <w:t>Transparent where appropriate</w:t>
            </w:r>
          </w:p>
        </w:tc>
        <w:tc>
          <w:tcPr>
            <w:tcW w:w="4141" w:type="pct"/>
            <w:tcBorders>
              <w:top w:val="single" w:sz="4" w:space="0" w:color="FCB017" w:themeColor="accent6"/>
              <w:bottom w:val="single" w:sz="4" w:space="0" w:color="FCB017" w:themeColor="accent6"/>
            </w:tcBorders>
          </w:tcPr>
          <w:p w14:paraId="73ADF92C"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To be useful, evaluation findings should be transparent by default unless there are appropriate reasons for not releasing information publicly.</w:t>
            </w:r>
          </w:p>
          <w:p w14:paraId="743CFEA6" w14:textId="77777777" w:rsidR="005E0044" w:rsidRPr="004748F9" w:rsidRDefault="005E0044" w:rsidP="00095C48">
            <w:pPr>
              <w:pStyle w:val="TableBullet1"/>
              <w:widowControl w:val="0"/>
              <w:numPr>
                <w:ilvl w:val="0"/>
                <w:numId w:val="32"/>
              </w:numPr>
              <w:spacing w:before="40" w:after="0"/>
              <w:ind w:left="473" w:right="113"/>
              <w:rPr>
                <w:rFonts w:ascii="Calibri" w:hAnsi="Calibri" w:cs="Calibri"/>
                <w:sz w:val="22"/>
                <w:szCs w:val="22"/>
              </w:rPr>
            </w:pPr>
            <w:r w:rsidRPr="004748F9">
              <w:rPr>
                <w:rFonts w:ascii="Calibri" w:hAnsi="Calibri" w:cs="Calibri"/>
                <w:sz w:val="22"/>
                <w:szCs w:val="22"/>
              </w:rPr>
              <w:t>To support continuous improvement, accountability and decision</w:t>
            </w:r>
            <w:r w:rsidRPr="004748F9">
              <w:rPr>
                <w:rFonts w:ascii="Calibri" w:hAnsi="Calibri" w:cs="Calibri"/>
                <w:sz w:val="22"/>
                <w:szCs w:val="22"/>
              </w:rPr>
              <w:noBreakHyphen/>
              <w:t>making, evaluation findings should be provided to appropriate stakeholders.</w:t>
            </w:r>
          </w:p>
        </w:tc>
      </w:tr>
    </w:tbl>
    <w:p w14:paraId="11260E46" w14:textId="76DC1082" w:rsidR="00450E57" w:rsidRDefault="005E0044" w:rsidP="00095C48">
      <w:pPr>
        <w:pStyle w:val="TableNotes"/>
      </w:pPr>
      <w:r>
        <w:t xml:space="preserve">Source: Adapted from The Treasury (2025). </w:t>
      </w:r>
    </w:p>
    <w:p w14:paraId="5AB07FF6" w14:textId="1E320AC4" w:rsidR="005E0044" w:rsidRPr="00095C48" w:rsidRDefault="005E0044" w:rsidP="005E0044">
      <w:pPr>
        <w:pStyle w:val="BodyText"/>
        <w:rPr>
          <w:rFonts w:ascii="Calibri" w:hAnsi="Calibri" w:cs="Calibri"/>
          <w:sz w:val="22"/>
          <w:szCs w:val="22"/>
        </w:rPr>
      </w:pPr>
      <w:r w:rsidRPr="00095C48">
        <w:rPr>
          <w:rFonts w:ascii="Calibri" w:hAnsi="Calibri" w:cs="Calibri"/>
          <w:sz w:val="22"/>
          <w:szCs w:val="22"/>
        </w:rPr>
        <w:t xml:space="preserve">The </w:t>
      </w:r>
      <w:hyperlink r:id="rId37" w:history="1">
        <w:r w:rsidRPr="00095C48">
          <w:rPr>
            <w:rStyle w:val="Hyperlink"/>
            <w:rFonts w:ascii="Calibri" w:hAnsi="Calibri" w:cs="Calibri"/>
            <w:sz w:val="22"/>
            <w:szCs w:val="22"/>
          </w:rPr>
          <w:t>Commonwealth Evaluation Toolkit</w:t>
        </w:r>
      </w:hyperlink>
      <w:r w:rsidRPr="00095C48">
        <w:rPr>
          <w:rFonts w:ascii="Calibri" w:hAnsi="Calibri" w:cs="Calibri"/>
          <w:sz w:val="22"/>
          <w:szCs w:val="22"/>
        </w:rPr>
        <w:t xml:space="preserve"> offers further advice and guidance on applying these principles to evaluation activities. </w:t>
      </w:r>
    </w:p>
    <w:p w14:paraId="3E8EFBC0" w14:textId="6A2B14CB" w:rsidR="00940CAB" w:rsidRDefault="00940CAB" w:rsidP="005E0044">
      <w:pPr>
        <w:pStyle w:val="BodyText"/>
      </w:pPr>
    </w:p>
    <w:p w14:paraId="2FFCB5F5" w14:textId="578FA799" w:rsidR="00940CAB" w:rsidRDefault="00940CAB" w:rsidP="005E0044">
      <w:pPr>
        <w:pStyle w:val="BodyText"/>
      </w:pPr>
    </w:p>
    <w:p w14:paraId="6324FA5D" w14:textId="0106F2B8" w:rsidR="00940CAB" w:rsidRDefault="00940CAB">
      <w:pPr>
        <w:spacing w:after="240"/>
        <w:rPr>
          <w:rFonts w:eastAsiaTheme="majorEastAsia" w:cstheme="majorBidi"/>
          <w:bCs/>
          <w:color w:val="002A3F" w:themeColor="accent2"/>
          <w:sz w:val="36"/>
        </w:rPr>
      </w:pPr>
      <w:bookmarkStart w:id="45" w:name="_Toc215146314"/>
      <w:r>
        <w:br w:type="page"/>
      </w:r>
    </w:p>
    <w:p w14:paraId="79473E6B" w14:textId="029A27B5" w:rsidR="00875521" w:rsidRPr="00875521" w:rsidRDefault="00C959C3" w:rsidP="00875521">
      <w:pPr>
        <w:spacing w:after="240"/>
        <w:rPr>
          <w:rFonts w:eastAsiaTheme="majorEastAsia" w:cstheme="majorBidi"/>
          <w:bCs/>
          <w:color w:val="002A3F" w:themeColor="accent2"/>
          <w:sz w:val="36"/>
        </w:rPr>
      </w:pPr>
      <w:r>
        <w:rPr>
          <w:noProof/>
        </w:rPr>
        <w:lastRenderedPageBreak/>
        <w:drawing>
          <wp:anchor distT="0" distB="0" distL="114300" distR="114300" simplePos="0" relativeHeight="251748352" behindDoc="0" locked="0" layoutInCell="1" allowOverlap="1" wp14:anchorId="6D069612" wp14:editId="18A9943E">
            <wp:simplePos x="0" y="0"/>
            <wp:positionH relativeFrom="margin">
              <wp:posOffset>-1908740</wp:posOffset>
            </wp:positionH>
            <wp:positionV relativeFrom="paragraph">
              <wp:posOffset>-1103206</wp:posOffset>
            </wp:positionV>
            <wp:extent cx="9887585" cy="6245860"/>
            <wp:effectExtent l="0" t="0" r="0" b="2540"/>
            <wp:wrapNone/>
            <wp:docPr id="203805687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01877" name="Picture 7">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a:ext>
                      </a:extLst>
                    </a:blip>
                    <a:stretch>
                      <a:fillRect/>
                    </a:stretch>
                  </pic:blipFill>
                  <pic:spPr>
                    <a:xfrm>
                      <a:off x="0" y="0"/>
                      <a:ext cx="9887585" cy="6245860"/>
                    </a:xfrm>
                    <a:prstGeom prst="rect">
                      <a:avLst/>
                    </a:prstGeom>
                  </pic:spPr>
                </pic:pic>
              </a:graphicData>
            </a:graphic>
            <wp14:sizeRelH relativeFrom="page">
              <wp14:pctWidth>0</wp14:pctWidth>
            </wp14:sizeRelH>
            <wp14:sizeRelV relativeFrom="page">
              <wp14:pctHeight>0</wp14:pctHeight>
            </wp14:sizeRelV>
          </wp:anchor>
        </w:drawing>
      </w:r>
      <w:r w:rsidR="00DE225D">
        <w:rPr>
          <w:noProof/>
        </w:rPr>
        <w:drawing>
          <wp:anchor distT="0" distB="0" distL="114300" distR="114300" simplePos="0" relativeHeight="251650040" behindDoc="0" locked="0" layoutInCell="1" allowOverlap="1" wp14:anchorId="46F5108F" wp14:editId="6A71F6CF">
            <wp:simplePos x="0" y="0"/>
            <wp:positionH relativeFrom="page">
              <wp:posOffset>-338667</wp:posOffset>
            </wp:positionH>
            <wp:positionV relativeFrom="page">
              <wp:posOffset>216150</wp:posOffset>
            </wp:positionV>
            <wp:extent cx="8895715" cy="5168399"/>
            <wp:effectExtent l="0" t="0" r="0" b="635"/>
            <wp:wrapNone/>
            <wp:docPr id="122777024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770246" name="Picture 7">
                      <a:extLst>
                        <a:ext uri="{C183D7F6-B498-43B3-948B-1728B52AA6E4}">
                          <adec:decorative xmlns:adec="http://schemas.microsoft.com/office/drawing/2017/decorative" val="1"/>
                        </a:ext>
                      </a:extLst>
                    </pic:cNvPr>
                    <pic:cNvPicPr/>
                  </pic:nvPicPr>
                  <pic:blipFill>
                    <a:blip r:embed="rId38"/>
                    <a:stretch>
                      <a:fillRect/>
                    </a:stretch>
                  </pic:blipFill>
                  <pic:spPr>
                    <a:xfrm>
                      <a:off x="0" y="0"/>
                      <a:ext cx="8895715" cy="5168399"/>
                    </a:xfrm>
                    <a:prstGeom prst="ellipse">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DE225D" w:rsidRPr="00875521">
        <w:rPr>
          <w:rFonts w:eastAsiaTheme="majorEastAsia" w:cstheme="majorBidi"/>
          <w:bCs/>
          <w:noProof/>
          <w:color w:val="002A3F" w:themeColor="accent2"/>
          <w:sz w:val="36"/>
        </w:rPr>
        <w:drawing>
          <wp:anchor distT="0" distB="0" distL="114300" distR="114300" simplePos="0" relativeHeight="251739136" behindDoc="1" locked="0" layoutInCell="1" allowOverlap="1" wp14:anchorId="12D10F5E" wp14:editId="1C55C890">
            <wp:simplePos x="0" y="0"/>
            <wp:positionH relativeFrom="page">
              <wp:posOffset>-695325</wp:posOffset>
            </wp:positionH>
            <wp:positionV relativeFrom="paragraph">
              <wp:posOffset>-900430</wp:posOffset>
            </wp:positionV>
            <wp:extent cx="9509760" cy="5523633"/>
            <wp:effectExtent l="0" t="0" r="0" b="1270"/>
            <wp:wrapNone/>
            <wp:docPr id="81016842"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16842" name="Picture 6">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9509760" cy="5523633"/>
                    </a:xfrm>
                    <a:prstGeom prst="ellipse">
                      <a:avLst/>
                    </a:prstGeom>
                    <a:noFill/>
                    <a:ln>
                      <a:noFill/>
                    </a:ln>
                  </pic:spPr>
                </pic:pic>
              </a:graphicData>
            </a:graphic>
            <wp14:sizeRelH relativeFrom="margin">
              <wp14:pctWidth>0</wp14:pctWidth>
            </wp14:sizeRelH>
            <wp14:sizeRelV relativeFrom="margin">
              <wp14:pctHeight>0</wp14:pctHeight>
            </wp14:sizeRelV>
          </wp:anchor>
        </w:drawing>
      </w:r>
    </w:p>
    <w:p w14:paraId="63A77533" w14:textId="5C228000" w:rsidR="002C17BF" w:rsidRDefault="002C17BF" w:rsidP="00D5577C">
      <w:pPr>
        <w:tabs>
          <w:tab w:val="left" w:pos="6274"/>
        </w:tabs>
        <w:spacing w:after="240"/>
        <w:rPr>
          <w:rFonts w:eastAsiaTheme="majorEastAsia" w:cstheme="majorBidi"/>
          <w:bCs/>
          <w:color w:val="002A3F" w:themeColor="accent2"/>
          <w:sz w:val="36"/>
        </w:rPr>
      </w:pPr>
    </w:p>
    <w:p w14:paraId="27224A90" w14:textId="64444D5B" w:rsidR="002C17BF" w:rsidRDefault="00875521" w:rsidP="00095C48">
      <w:pPr>
        <w:tabs>
          <w:tab w:val="left" w:pos="3220"/>
        </w:tabs>
        <w:spacing w:after="240"/>
        <w:rPr>
          <w:rFonts w:eastAsiaTheme="majorEastAsia" w:cstheme="majorBidi"/>
          <w:bCs/>
          <w:color w:val="002A3F" w:themeColor="accent2"/>
          <w:sz w:val="36"/>
        </w:rPr>
      </w:pPr>
      <w:r>
        <w:rPr>
          <w:rFonts w:eastAsiaTheme="majorEastAsia" w:cstheme="majorBidi"/>
          <w:bCs/>
          <w:color w:val="002A3F" w:themeColor="accent2"/>
          <w:sz w:val="36"/>
        </w:rPr>
        <w:tab/>
      </w:r>
    </w:p>
    <w:p w14:paraId="522948D7" w14:textId="6EA1B806" w:rsidR="002C17BF" w:rsidRDefault="002C17BF" w:rsidP="00D5577C">
      <w:pPr>
        <w:tabs>
          <w:tab w:val="left" w:pos="6274"/>
        </w:tabs>
        <w:spacing w:after="240"/>
        <w:rPr>
          <w:rFonts w:eastAsiaTheme="majorEastAsia" w:cstheme="majorBidi"/>
          <w:bCs/>
          <w:color w:val="002A3F" w:themeColor="accent2"/>
          <w:sz w:val="36"/>
        </w:rPr>
      </w:pPr>
    </w:p>
    <w:p w14:paraId="623CECD7" w14:textId="11A379FA" w:rsidR="002C17BF" w:rsidRDefault="002C17BF" w:rsidP="00D5577C">
      <w:pPr>
        <w:tabs>
          <w:tab w:val="left" w:pos="6274"/>
        </w:tabs>
        <w:spacing w:after="240"/>
        <w:rPr>
          <w:rFonts w:eastAsiaTheme="majorEastAsia" w:cstheme="majorBidi"/>
          <w:bCs/>
          <w:color w:val="002A3F" w:themeColor="accent2"/>
          <w:sz w:val="36"/>
        </w:rPr>
      </w:pPr>
    </w:p>
    <w:p w14:paraId="5CC57BF6" w14:textId="10C3E22E" w:rsidR="002C17BF" w:rsidRDefault="002C17BF" w:rsidP="00D5577C">
      <w:pPr>
        <w:tabs>
          <w:tab w:val="left" w:pos="6274"/>
        </w:tabs>
        <w:spacing w:after="240"/>
        <w:rPr>
          <w:rFonts w:eastAsiaTheme="majorEastAsia" w:cstheme="majorBidi"/>
          <w:bCs/>
          <w:color w:val="002A3F" w:themeColor="accent2"/>
          <w:sz w:val="36"/>
        </w:rPr>
      </w:pPr>
    </w:p>
    <w:p w14:paraId="29F193ED" w14:textId="77777777" w:rsidR="002C17BF" w:rsidRDefault="002C17BF" w:rsidP="00D5577C">
      <w:pPr>
        <w:tabs>
          <w:tab w:val="left" w:pos="6274"/>
        </w:tabs>
        <w:spacing w:after="240"/>
        <w:rPr>
          <w:rFonts w:eastAsiaTheme="majorEastAsia" w:cstheme="majorBidi"/>
          <w:bCs/>
          <w:color w:val="002A3F" w:themeColor="accent2"/>
          <w:sz w:val="36"/>
        </w:rPr>
      </w:pPr>
    </w:p>
    <w:p w14:paraId="197CF9A5" w14:textId="77777777" w:rsidR="002C17BF" w:rsidRDefault="002C17BF" w:rsidP="00D5577C">
      <w:pPr>
        <w:tabs>
          <w:tab w:val="left" w:pos="6274"/>
        </w:tabs>
        <w:spacing w:after="240"/>
        <w:rPr>
          <w:rFonts w:eastAsiaTheme="majorEastAsia" w:cstheme="majorBidi"/>
          <w:bCs/>
          <w:color w:val="002A3F" w:themeColor="accent2"/>
          <w:sz w:val="36"/>
        </w:rPr>
      </w:pPr>
    </w:p>
    <w:p w14:paraId="41150060" w14:textId="77777777" w:rsidR="00875521" w:rsidRDefault="00875521" w:rsidP="00D5577C">
      <w:pPr>
        <w:tabs>
          <w:tab w:val="left" w:pos="6274"/>
        </w:tabs>
        <w:spacing w:after="240"/>
        <w:rPr>
          <w:rFonts w:eastAsiaTheme="majorEastAsia" w:cstheme="majorBidi"/>
          <w:bCs/>
          <w:color w:val="002A3F" w:themeColor="accent2"/>
          <w:sz w:val="36"/>
        </w:rPr>
      </w:pPr>
    </w:p>
    <w:p w14:paraId="7C78A463" w14:textId="7624E2A4" w:rsidR="0028002F" w:rsidRPr="00B615F8" w:rsidRDefault="0028002F" w:rsidP="00B615F8">
      <w:pPr>
        <w:pStyle w:val="Heading2"/>
        <w:spacing w:after="240"/>
        <w:rPr>
          <w:color w:val="640638"/>
        </w:rPr>
      </w:pPr>
    </w:p>
    <w:p w14:paraId="3908CD1B" w14:textId="77777777" w:rsidR="003510FA" w:rsidRDefault="003510FA" w:rsidP="00B615F8">
      <w:pPr>
        <w:pStyle w:val="Heading2"/>
        <w:spacing w:after="240"/>
        <w:rPr>
          <w:color w:val="640638"/>
        </w:rPr>
      </w:pPr>
    </w:p>
    <w:p w14:paraId="4029E765" w14:textId="2763C1A6" w:rsidR="005E0044" w:rsidRPr="00B615F8" w:rsidRDefault="005E0044" w:rsidP="00B615F8">
      <w:pPr>
        <w:pStyle w:val="Heading2"/>
        <w:spacing w:after="240"/>
        <w:rPr>
          <w:color w:val="640638"/>
        </w:rPr>
      </w:pPr>
      <w:bookmarkStart w:id="46" w:name="_Toc228974166"/>
      <w:r w:rsidRPr="00B615F8">
        <w:rPr>
          <w:color w:val="640638"/>
        </w:rPr>
        <w:t>Monitoring</w:t>
      </w:r>
      <w:bookmarkEnd w:id="42"/>
      <w:r w:rsidRPr="00B615F8">
        <w:rPr>
          <w:color w:val="640638"/>
        </w:rPr>
        <w:t xml:space="preserve"> approach</w:t>
      </w:r>
      <w:bookmarkEnd w:id="45"/>
      <w:bookmarkEnd w:id="46"/>
      <w:r w:rsidRPr="00B615F8">
        <w:rPr>
          <w:color w:val="640638"/>
        </w:rPr>
        <w:t xml:space="preserve"> </w:t>
      </w:r>
    </w:p>
    <w:p w14:paraId="229EDE2B" w14:textId="4E83D112" w:rsidR="005E0044" w:rsidRPr="004748F9" w:rsidRDefault="005E0044" w:rsidP="00DF2AFB">
      <w:r w:rsidRPr="004748F9">
        <w:t xml:space="preserve">Under this Framework, the monitoring approach outlines how </w:t>
      </w:r>
      <w:r w:rsidRPr="004748F9">
        <w:rPr>
          <w:i/>
          <w:iCs/>
        </w:rPr>
        <w:t>overall</w:t>
      </w:r>
      <w:r w:rsidRPr="004748F9">
        <w:t xml:space="preserve"> progress under the Strategy will be tracked by outlining key monitoring questions, and what data and information will need to be collated to answer these questions. This approach seeks to track progress under the Strategy as a whole; that is, the collective impact from actions across Government program and policy areas.</w:t>
      </w:r>
    </w:p>
    <w:p w14:paraId="43BDCE3E" w14:textId="61813208" w:rsidR="005E0044" w:rsidRPr="004748F9" w:rsidRDefault="005E0044" w:rsidP="00DF2AFB">
      <w:r w:rsidRPr="004748F9">
        <w:t xml:space="preserve">This approach may be refined as the Strategy progresses. To promote accountability and align with the principle of transparency, any monitoring outputs or reports will be published. </w:t>
      </w:r>
    </w:p>
    <w:p w14:paraId="392EECF9" w14:textId="709D0D11" w:rsidR="00253786" w:rsidRDefault="00253786">
      <w:pPr>
        <w:spacing w:after="240"/>
        <w:rPr>
          <w:rFonts w:eastAsiaTheme="majorEastAsia" w:cstheme="majorBidi"/>
          <w:bCs/>
          <w:iCs/>
          <w:color w:val="002A3F" w:themeColor="accent2"/>
          <w:sz w:val="32"/>
        </w:rPr>
      </w:pPr>
      <w:bookmarkStart w:id="47" w:name="_Toc215146315"/>
      <w:r>
        <w:br w:type="page"/>
      </w:r>
    </w:p>
    <w:p w14:paraId="639E0A52" w14:textId="12393EE7" w:rsidR="005E0044" w:rsidRDefault="005E0044" w:rsidP="00B615F8">
      <w:pPr>
        <w:pStyle w:val="Heading3"/>
        <w:spacing w:after="240"/>
      </w:pPr>
      <w:bookmarkStart w:id="48" w:name="_Toc228974167"/>
      <w:r>
        <w:lastRenderedPageBreak/>
        <w:t>Key monitoring questions</w:t>
      </w:r>
      <w:bookmarkEnd w:id="47"/>
      <w:bookmarkEnd w:id="48"/>
    </w:p>
    <w:p w14:paraId="40FED7E9" w14:textId="286369C9" w:rsidR="005E0044" w:rsidRPr="004748F9" w:rsidRDefault="005E0044" w:rsidP="00DF2AFB">
      <w:r w:rsidRPr="004748F9">
        <w:t>Under the Strategy, monitoring activities will focus on answering the following key questions:</w:t>
      </w:r>
    </w:p>
    <w:p w14:paraId="0BADE39C" w14:textId="77777777" w:rsidR="005E0044" w:rsidRPr="004748F9" w:rsidRDefault="005E0044" w:rsidP="00FE0E32">
      <w:pPr>
        <w:pStyle w:val="ListParagraph"/>
        <w:numPr>
          <w:ilvl w:val="0"/>
          <w:numId w:val="3"/>
        </w:numPr>
        <w:rPr>
          <w:rFonts w:cs="Calibri"/>
          <w:szCs w:val="22"/>
        </w:rPr>
      </w:pPr>
      <w:r w:rsidRPr="00095C48">
        <w:rPr>
          <w:rFonts w:cs="Calibri"/>
          <w:b/>
          <w:bCs/>
          <w:szCs w:val="22"/>
        </w:rPr>
        <w:t>Are actions in action plans appropriate</w:t>
      </w:r>
      <w:r w:rsidRPr="00491F0B">
        <w:rPr>
          <w:rFonts w:cs="Calibri"/>
          <w:szCs w:val="22"/>
        </w:rPr>
        <w:t>:</w:t>
      </w:r>
      <w:r w:rsidRPr="004748F9">
        <w:rPr>
          <w:rFonts w:cs="Calibri"/>
          <w:szCs w:val="22"/>
        </w:rPr>
        <w:t xml:space="preserve"> that is, how do the actions in the action plans map or contribute to the ‘what we will do’ statements for the priority focus areas, the intermediate outcomes and the long-term outcomes?  </w:t>
      </w:r>
    </w:p>
    <w:p w14:paraId="2901829C" w14:textId="77777777" w:rsidR="005E0044" w:rsidRPr="004748F9" w:rsidRDefault="005E0044" w:rsidP="00FE0E32">
      <w:pPr>
        <w:pStyle w:val="ListParagraph"/>
        <w:numPr>
          <w:ilvl w:val="0"/>
          <w:numId w:val="3"/>
        </w:numPr>
        <w:rPr>
          <w:rFonts w:cs="Calibri"/>
          <w:szCs w:val="22"/>
        </w:rPr>
      </w:pPr>
      <w:r w:rsidRPr="00095C48">
        <w:rPr>
          <w:rFonts w:cs="Calibri"/>
          <w:b/>
          <w:bCs/>
          <w:szCs w:val="22"/>
        </w:rPr>
        <w:t>Are actions in action plans being implemented as expected</w:t>
      </w:r>
      <w:r w:rsidRPr="00491F0B">
        <w:rPr>
          <w:rFonts w:cs="Calibri"/>
          <w:szCs w:val="22"/>
        </w:rPr>
        <w:t>:</w:t>
      </w:r>
      <w:r w:rsidRPr="004748F9">
        <w:rPr>
          <w:rFonts w:cs="Calibri"/>
          <w:szCs w:val="22"/>
        </w:rPr>
        <w:t xml:space="preserve"> that is, have all the actions in the action plans been implemented as intended according to the expected timelines?  </w:t>
      </w:r>
    </w:p>
    <w:p w14:paraId="39FC5138" w14:textId="77777777" w:rsidR="005E0044" w:rsidRPr="004748F9" w:rsidRDefault="005E0044" w:rsidP="00FE0E32">
      <w:pPr>
        <w:pStyle w:val="ListParagraph"/>
        <w:numPr>
          <w:ilvl w:val="0"/>
          <w:numId w:val="3"/>
        </w:numPr>
        <w:rPr>
          <w:rFonts w:cs="Calibri"/>
          <w:szCs w:val="22"/>
        </w:rPr>
      </w:pPr>
      <w:r w:rsidRPr="00095C48">
        <w:rPr>
          <w:rFonts w:cs="Calibri"/>
          <w:b/>
          <w:bCs/>
          <w:szCs w:val="22"/>
        </w:rPr>
        <w:t>Has there been progress toward the Strategy’s long-term outcomes</w:t>
      </w:r>
      <w:r w:rsidRPr="00491F0B">
        <w:rPr>
          <w:rFonts w:cs="Calibri"/>
          <w:szCs w:val="22"/>
        </w:rPr>
        <w:t>:</w:t>
      </w:r>
      <w:r w:rsidRPr="004748F9">
        <w:rPr>
          <w:rFonts w:cs="Calibri"/>
          <w:szCs w:val="22"/>
        </w:rPr>
        <w:t xml:space="preserve"> that is, what progress has been made toward achieving the long-term outcomes to improve the lives of children, families and communities?   </w:t>
      </w:r>
    </w:p>
    <w:p w14:paraId="1FC4B42D" w14:textId="77777777" w:rsidR="005E0044" w:rsidRPr="006763CC" w:rsidRDefault="005E0044" w:rsidP="00095C48">
      <w:pPr>
        <w:rPr>
          <w:rFonts w:cs="Calibri"/>
          <w:szCs w:val="22"/>
        </w:rPr>
      </w:pPr>
      <w:r w:rsidRPr="006763CC">
        <w:rPr>
          <w:rFonts w:cs="Calibri"/>
          <w:szCs w:val="22"/>
        </w:rPr>
        <w:t>Monitoring the appropriateness and implementation of actions in an action plan, along with progress toward the long-term outcomes, will inform Government decision making on future early years policies, programs and services, as well as formal evaluation of the Strategy.</w:t>
      </w:r>
    </w:p>
    <w:p w14:paraId="5840EC3A" w14:textId="299213F3" w:rsidR="005E0044" w:rsidRDefault="005E0044" w:rsidP="00B615F8">
      <w:pPr>
        <w:pStyle w:val="Heading3"/>
        <w:spacing w:after="240"/>
      </w:pPr>
      <w:bookmarkStart w:id="49" w:name="_Toc215146316"/>
      <w:bookmarkStart w:id="50" w:name="_Toc228974168"/>
      <w:r>
        <w:t>Data and information to be collated</w:t>
      </w:r>
      <w:bookmarkEnd w:id="49"/>
      <w:bookmarkEnd w:id="50"/>
    </w:p>
    <w:p w14:paraId="4DB34AA8" w14:textId="77777777" w:rsidR="005E0044" w:rsidRPr="004748F9" w:rsidRDefault="005E0044" w:rsidP="00DF2AFB">
      <w:r w:rsidRPr="004748F9">
        <w:t>To answer these monitoring questions, data and information will need to be collated on:</w:t>
      </w:r>
    </w:p>
    <w:p w14:paraId="7243E3D9" w14:textId="29AA93B9" w:rsidR="005E0044" w:rsidRPr="004748F9" w:rsidRDefault="00491F0B" w:rsidP="00FE0E32">
      <w:pPr>
        <w:pStyle w:val="ListParagraph"/>
        <w:numPr>
          <w:ilvl w:val="0"/>
          <w:numId w:val="3"/>
        </w:numPr>
        <w:rPr>
          <w:rFonts w:cs="Calibri"/>
          <w:szCs w:val="22"/>
        </w:rPr>
      </w:pPr>
      <w:r>
        <w:rPr>
          <w:rFonts w:cs="Calibri"/>
          <w:szCs w:val="22"/>
        </w:rPr>
        <w:t>A</w:t>
      </w:r>
      <w:r w:rsidR="005E0044" w:rsidRPr="004748F9">
        <w:rPr>
          <w:rFonts w:cs="Calibri"/>
          <w:szCs w:val="22"/>
        </w:rPr>
        <w:t>ctions in the action plans</w:t>
      </w:r>
      <w:r>
        <w:rPr>
          <w:rFonts w:cs="Calibri"/>
          <w:szCs w:val="22"/>
        </w:rPr>
        <w:t>.</w:t>
      </w:r>
    </w:p>
    <w:p w14:paraId="3188ED59" w14:textId="261F2C07" w:rsidR="005E0044" w:rsidRPr="004748F9" w:rsidRDefault="00491F0B" w:rsidP="00FE0E32">
      <w:pPr>
        <w:pStyle w:val="ListParagraph"/>
        <w:numPr>
          <w:ilvl w:val="0"/>
          <w:numId w:val="3"/>
        </w:numPr>
        <w:rPr>
          <w:rFonts w:cs="Calibri"/>
          <w:szCs w:val="22"/>
        </w:rPr>
      </w:pPr>
      <w:r>
        <w:rPr>
          <w:rFonts w:cs="Calibri"/>
          <w:szCs w:val="22"/>
        </w:rPr>
        <w:t>L</w:t>
      </w:r>
      <w:r w:rsidR="005E0044" w:rsidRPr="004748F9">
        <w:rPr>
          <w:rFonts w:cs="Calibri"/>
          <w:szCs w:val="22"/>
        </w:rPr>
        <w:t>ong-term outcomes, as defined in the Outcomes Framework.</w:t>
      </w:r>
    </w:p>
    <w:p w14:paraId="6D06505D" w14:textId="77777777" w:rsidR="005E0044" w:rsidRPr="00151364" w:rsidRDefault="005E0044" w:rsidP="00B615F8">
      <w:pPr>
        <w:pStyle w:val="Heading4"/>
      </w:pPr>
      <w:bookmarkStart w:id="51" w:name="_Toc215146317"/>
      <w:r w:rsidRPr="00151364">
        <w:t>Actions in the action plans</w:t>
      </w:r>
      <w:bookmarkEnd w:id="51"/>
    </w:p>
    <w:p w14:paraId="2645E23E" w14:textId="00C628A8" w:rsidR="005E0044" w:rsidRDefault="005E0044" w:rsidP="00DF2AFB">
      <w:r>
        <w:t>Data or information on</w:t>
      </w:r>
      <w:r w:rsidRPr="006D1F2B">
        <w:t xml:space="preserve"> actions in the </w:t>
      </w:r>
      <w:r>
        <w:t>a</w:t>
      </w:r>
      <w:r w:rsidRPr="006D1F2B">
        <w:t xml:space="preserve">ction </w:t>
      </w:r>
      <w:r>
        <w:t>p</w:t>
      </w:r>
      <w:r w:rsidRPr="006D1F2B">
        <w:t xml:space="preserve">lans will </w:t>
      </w:r>
      <w:r>
        <w:t>be</w:t>
      </w:r>
      <w:r w:rsidRPr="006D1F2B">
        <w:t xml:space="preserve"> collect</w:t>
      </w:r>
      <w:r>
        <w:t>ed</w:t>
      </w:r>
      <w:r w:rsidRPr="006D1F2B">
        <w:t xml:space="preserve"> from the policy or program areas responsible for actions (action holders)</w:t>
      </w:r>
      <w:r>
        <w:t xml:space="preserve">. </w:t>
      </w:r>
      <w:r w:rsidRPr="0059622A">
        <w:t xml:space="preserve">Relevant </w:t>
      </w:r>
      <w:r w:rsidR="009E3D85">
        <w:t>G</w:t>
      </w:r>
      <w:r w:rsidRPr="0059622A">
        <w:t>overnment agencies with responsibility for actions should</w:t>
      </w:r>
      <w:r>
        <w:t xml:space="preserve"> regularly review this data and information</w:t>
      </w:r>
      <w:r w:rsidRPr="00BC23CB">
        <w:t xml:space="preserve"> </w:t>
      </w:r>
      <w:r>
        <w:t>to assess the</w:t>
      </w:r>
      <w:r w:rsidRPr="006D1F2B">
        <w:t xml:space="preserve"> nature and extent of </w:t>
      </w:r>
      <w:r>
        <w:t xml:space="preserve">the </w:t>
      </w:r>
      <w:r w:rsidRPr="006D1F2B">
        <w:t>implementation</w:t>
      </w:r>
      <w:r>
        <w:t xml:space="preserve"> of actions,</w:t>
      </w:r>
      <w:r w:rsidRPr="00B841E3">
        <w:t xml:space="preserve"> </w:t>
      </w:r>
      <w:r>
        <w:t>the appropriateness of the actions and</w:t>
      </w:r>
      <w:r w:rsidRPr="00403891">
        <w:t xml:space="preserve"> </w:t>
      </w:r>
      <w:r>
        <w:t xml:space="preserve">the additional </w:t>
      </w:r>
      <w:r w:rsidRPr="00403891">
        <w:t>context</w:t>
      </w:r>
      <w:r>
        <w:t xml:space="preserve"> outlined below</w:t>
      </w:r>
      <w:r w:rsidRPr="006D1F2B">
        <w:t>.</w:t>
      </w:r>
      <w:r>
        <w:t xml:space="preserve"> </w:t>
      </w:r>
    </w:p>
    <w:p w14:paraId="62053213" w14:textId="77777777" w:rsidR="005E0044" w:rsidRPr="00307079" w:rsidRDefault="005E0044" w:rsidP="005E0044">
      <w:pPr>
        <w:rPr>
          <w:b/>
          <w:bCs/>
        </w:rPr>
      </w:pPr>
      <w:r w:rsidRPr="00307079">
        <w:rPr>
          <w:b/>
          <w:bCs/>
        </w:rPr>
        <w:t>Table 3: Data and information to be collated on actions</w:t>
      </w:r>
      <w:r>
        <w:rPr>
          <w:b/>
          <w:bCs/>
        </w:rPr>
        <w:t xml:space="preserve"> </w:t>
      </w:r>
    </w:p>
    <w:tbl>
      <w:tblPr>
        <w:tblStyle w:val="DSSTableStyleB"/>
        <w:tblW w:w="0" w:type="auto"/>
        <w:tblLook w:val="0420" w:firstRow="1" w:lastRow="0" w:firstColumn="0" w:lastColumn="0" w:noHBand="0" w:noVBand="1"/>
      </w:tblPr>
      <w:tblGrid>
        <w:gridCol w:w="1807"/>
        <w:gridCol w:w="6692"/>
      </w:tblGrid>
      <w:tr w:rsidR="00B96368" w:rsidRPr="004E5E2F" w14:paraId="7EC3BA3C" w14:textId="77777777" w:rsidTr="003C3D60">
        <w:trPr>
          <w:cnfStyle w:val="100000000000" w:firstRow="1" w:lastRow="0" w:firstColumn="0" w:lastColumn="0" w:oddVBand="0" w:evenVBand="0" w:oddHBand="0" w:evenHBand="0" w:firstRowFirstColumn="0" w:firstRowLastColumn="0" w:lastRowFirstColumn="0" w:lastRowLastColumn="0"/>
        </w:trPr>
        <w:tc>
          <w:tcPr>
            <w:tcW w:w="0" w:type="dxa"/>
            <w:shd w:val="clear" w:color="auto" w:fill="F7B6D8"/>
          </w:tcPr>
          <w:p w14:paraId="7C5EDCAA" w14:textId="77777777" w:rsidR="005E0044" w:rsidRPr="00095C48" w:rsidRDefault="005E0044" w:rsidP="004E5E2F">
            <w:pPr>
              <w:rPr>
                <w:rFonts w:cs="Calibri"/>
                <w:color w:val="auto"/>
                <w:szCs w:val="22"/>
              </w:rPr>
            </w:pPr>
            <w:r w:rsidRPr="004E5E2F">
              <w:rPr>
                <w:rFonts w:cs="Calibri"/>
                <w:szCs w:val="22"/>
              </w:rPr>
              <w:t>Category of data/information</w:t>
            </w:r>
          </w:p>
        </w:tc>
        <w:tc>
          <w:tcPr>
            <w:tcW w:w="0" w:type="dxa"/>
            <w:shd w:val="clear" w:color="auto" w:fill="F7B6D8"/>
          </w:tcPr>
          <w:p w14:paraId="5E4456D3" w14:textId="77777777" w:rsidR="005E0044" w:rsidRPr="00095C48" w:rsidRDefault="005E0044" w:rsidP="004E5E2F">
            <w:pPr>
              <w:rPr>
                <w:rFonts w:cs="Calibri"/>
                <w:color w:val="auto"/>
                <w:szCs w:val="22"/>
              </w:rPr>
            </w:pPr>
            <w:r w:rsidRPr="004E5E2F">
              <w:rPr>
                <w:rFonts w:cs="Calibri"/>
                <w:szCs w:val="22"/>
              </w:rPr>
              <w:t>Description</w:t>
            </w:r>
          </w:p>
        </w:tc>
      </w:tr>
      <w:tr w:rsidR="004E5E2F" w:rsidRPr="004E5E2F" w14:paraId="02FC8A57" w14:textId="77777777" w:rsidTr="003C3D60">
        <w:trPr>
          <w:cnfStyle w:val="000000100000" w:firstRow="0" w:lastRow="0" w:firstColumn="0" w:lastColumn="0" w:oddVBand="0" w:evenVBand="0" w:oddHBand="1" w:evenHBand="0" w:firstRowFirstColumn="0" w:firstRowLastColumn="0" w:lastRowFirstColumn="0" w:lastRowLastColumn="0"/>
        </w:trPr>
        <w:tc>
          <w:tcPr>
            <w:tcW w:w="0" w:type="dxa"/>
            <w:gridSpan w:val="2"/>
            <w:tcBorders>
              <w:bottom w:val="none" w:sz="0" w:space="0" w:color="auto"/>
            </w:tcBorders>
            <w:shd w:val="clear" w:color="auto" w:fill="FDE9EE"/>
          </w:tcPr>
          <w:p w14:paraId="35CC8AFB" w14:textId="77777777" w:rsidR="005E0044" w:rsidRPr="00B615F8" w:rsidRDefault="005E0044" w:rsidP="00095C48">
            <w:pPr>
              <w:pStyle w:val="BodyText"/>
              <w:spacing w:after="120" w:line="240" w:lineRule="auto"/>
              <w:rPr>
                <w:rFonts w:ascii="Calibri" w:hAnsi="Calibri" w:cs="Calibri"/>
                <w:b/>
                <w:bCs/>
                <w:sz w:val="22"/>
                <w:szCs w:val="22"/>
              </w:rPr>
            </w:pPr>
            <w:r w:rsidRPr="00B615F8">
              <w:rPr>
                <w:rFonts w:ascii="Calibri" w:hAnsi="Calibri" w:cs="Calibri"/>
                <w:b/>
                <w:bCs/>
                <w:color w:val="002A3F" w:themeColor="accent2"/>
                <w:sz w:val="22"/>
                <w:szCs w:val="22"/>
                <w:lang w:bidi="ar-SA"/>
              </w:rPr>
              <w:t>Nature and extent of implementation</w:t>
            </w:r>
          </w:p>
        </w:tc>
      </w:tr>
      <w:tr w:rsidR="004E5E2F" w:rsidRPr="004E5E2F" w14:paraId="1E2D97FB" w14:textId="77777777" w:rsidTr="003C3D60">
        <w:trPr>
          <w:cnfStyle w:val="000000010000" w:firstRow="0" w:lastRow="0" w:firstColumn="0" w:lastColumn="0" w:oddVBand="0" w:evenVBand="0" w:oddHBand="0" w:evenHBand="1" w:firstRowFirstColumn="0" w:firstRowLastColumn="0" w:lastRowFirstColumn="0" w:lastRowLastColumn="0"/>
        </w:trPr>
        <w:tc>
          <w:tcPr>
            <w:tcW w:w="0" w:type="dxa"/>
            <w:tcBorders>
              <w:top w:val="single" w:sz="4" w:space="0" w:color="F9BECF" w:themeColor="accent3" w:themeTint="66"/>
              <w:bottom w:val="none" w:sz="0" w:space="0" w:color="auto"/>
            </w:tcBorders>
          </w:tcPr>
          <w:p w14:paraId="2D53E633" w14:textId="77777777" w:rsidR="005E0044" w:rsidRPr="004E5E2F" w:rsidRDefault="005E0044" w:rsidP="004E5E2F">
            <w:pPr>
              <w:rPr>
                <w:rFonts w:cs="Calibri"/>
                <w:szCs w:val="22"/>
              </w:rPr>
            </w:pPr>
            <w:r w:rsidRPr="004E5E2F">
              <w:rPr>
                <w:rFonts w:cs="Calibri"/>
                <w:szCs w:val="22"/>
              </w:rPr>
              <w:t>Expected timeframes</w:t>
            </w:r>
          </w:p>
        </w:tc>
        <w:tc>
          <w:tcPr>
            <w:tcW w:w="0" w:type="dxa"/>
            <w:tcBorders>
              <w:top w:val="single" w:sz="4" w:space="0" w:color="F9BECF" w:themeColor="accent3" w:themeTint="66"/>
              <w:bottom w:val="none" w:sz="0" w:space="0" w:color="auto"/>
            </w:tcBorders>
          </w:tcPr>
          <w:p w14:paraId="06B30E05" w14:textId="7573F845" w:rsidR="005E0044" w:rsidRPr="004E5E2F" w:rsidRDefault="005E0044" w:rsidP="004E5E2F">
            <w:pPr>
              <w:rPr>
                <w:rFonts w:cs="Calibri"/>
                <w:szCs w:val="22"/>
              </w:rPr>
            </w:pPr>
            <w:r w:rsidRPr="004E5E2F">
              <w:rPr>
                <w:rFonts w:cs="Calibri"/>
                <w:szCs w:val="22"/>
              </w:rPr>
              <w:t>Proposed timeframes for implementing the action, anticipated key outputs and short-term outcomes</w:t>
            </w:r>
            <w:r w:rsidR="00E82BDA" w:rsidRPr="004E5E2F">
              <w:rPr>
                <w:rFonts w:cs="Calibri"/>
                <w:szCs w:val="22"/>
              </w:rPr>
              <w:t>.</w:t>
            </w:r>
          </w:p>
        </w:tc>
      </w:tr>
      <w:tr w:rsidR="005E0044" w:rsidRPr="004E5E2F" w14:paraId="3391E9CF" w14:textId="77777777" w:rsidTr="003C3D60">
        <w:trPr>
          <w:cnfStyle w:val="000000100000" w:firstRow="0" w:lastRow="0" w:firstColumn="0" w:lastColumn="0" w:oddVBand="0" w:evenVBand="0" w:oddHBand="1" w:evenHBand="0" w:firstRowFirstColumn="0" w:firstRowLastColumn="0" w:lastRowFirstColumn="0" w:lastRowLastColumn="0"/>
        </w:trPr>
        <w:tc>
          <w:tcPr>
            <w:tcW w:w="0" w:type="dxa"/>
            <w:tcBorders>
              <w:bottom w:val="single" w:sz="4" w:space="0" w:color="F05D88" w:themeColor="accent3"/>
            </w:tcBorders>
          </w:tcPr>
          <w:p w14:paraId="562C3A92" w14:textId="77777777" w:rsidR="005E0044" w:rsidRPr="004E5E2F" w:rsidRDefault="005E0044" w:rsidP="004E5E2F">
            <w:pPr>
              <w:rPr>
                <w:rFonts w:cs="Calibri"/>
                <w:szCs w:val="22"/>
              </w:rPr>
            </w:pPr>
            <w:r w:rsidRPr="004E5E2F">
              <w:rPr>
                <w:rFonts w:cs="Calibri"/>
                <w:szCs w:val="22"/>
              </w:rPr>
              <w:lastRenderedPageBreak/>
              <w:t>Current progress</w:t>
            </w:r>
          </w:p>
        </w:tc>
        <w:tc>
          <w:tcPr>
            <w:tcW w:w="0" w:type="dxa"/>
            <w:tcBorders>
              <w:bottom w:val="single" w:sz="4" w:space="0" w:color="F05D88" w:themeColor="accent3"/>
            </w:tcBorders>
          </w:tcPr>
          <w:p w14:paraId="79CFCA54" w14:textId="6AFDC86B" w:rsidR="005E0044" w:rsidRPr="004E5E2F" w:rsidRDefault="005E0044" w:rsidP="004E5E2F">
            <w:pPr>
              <w:rPr>
                <w:rFonts w:cs="Calibri"/>
                <w:szCs w:val="22"/>
              </w:rPr>
            </w:pPr>
            <w:r w:rsidRPr="004E5E2F">
              <w:rPr>
                <w:rFonts w:cs="Calibri"/>
                <w:szCs w:val="22"/>
              </w:rPr>
              <w:t>Progress on implementation, including details of outputs delivered and short-term outcomes achieved</w:t>
            </w:r>
            <w:r w:rsidR="00E82BDA" w:rsidRPr="004E5E2F">
              <w:rPr>
                <w:rFonts w:cs="Calibri"/>
                <w:szCs w:val="22"/>
              </w:rPr>
              <w:t>.</w:t>
            </w:r>
          </w:p>
        </w:tc>
      </w:tr>
      <w:tr w:rsidR="004E5E2F" w:rsidRPr="004E5E2F" w14:paraId="71AC7EFE" w14:textId="77777777" w:rsidTr="003C3D60">
        <w:trPr>
          <w:cnfStyle w:val="000000010000" w:firstRow="0" w:lastRow="0" w:firstColumn="0" w:lastColumn="0" w:oddVBand="0" w:evenVBand="0" w:oddHBand="0" w:evenHBand="1" w:firstRowFirstColumn="0" w:firstRowLastColumn="0" w:lastRowFirstColumn="0" w:lastRowLastColumn="0"/>
        </w:trPr>
        <w:tc>
          <w:tcPr>
            <w:tcW w:w="0" w:type="dxa"/>
            <w:tcBorders>
              <w:top w:val="single" w:sz="4" w:space="0" w:color="F05D88" w:themeColor="accent3"/>
              <w:bottom w:val="none" w:sz="0" w:space="0" w:color="auto"/>
            </w:tcBorders>
            <w:shd w:val="clear" w:color="auto" w:fill="FDE9EE"/>
          </w:tcPr>
          <w:p w14:paraId="7FC3763F" w14:textId="57CA1DFA" w:rsidR="005E0044" w:rsidRPr="004E5E2F" w:rsidRDefault="005E0044" w:rsidP="00095C48">
            <w:pPr>
              <w:pStyle w:val="BodyText"/>
              <w:spacing w:after="120" w:line="240" w:lineRule="auto"/>
              <w:rPr>
                <w:rFonts w:ascii="Calibri" w:hAnsi="Calibri" w:cs="Calibri"/>
                <w:b/>
                <w:bCs/>
                <w:color w:val="002A3F" w:themeColor="accent2"/>
                <w:sz w:val="22"/>
                <w:szCs w:val="22"/>
                <w:lang w:bidi="ar-SA"/>
              </w:rPr>
            </w:pPr>
            <w:r w:rsidRPr="00B615F8">
              <w:rPr>
                <w:rFonts w:ascii="Calibri" w:hAnsi="Calibri" w:cs="Calibri"/>
                <w:b/>
                <w:bCs/>
                <w:color w:val="002A3F" w:themeColor="accent2"/>
                <w:sz w:val="22"/>
                <w:szCs w:val="22"/>
                <w:lang w:bidi="ar-SA"/>
                <w14:numSpacing w14:val="default"/>
              </w:rPr>
              <w:t>Appropriateness</w:t>
            </w:r>
            <w:r w:rsidR="003C3D60">
              <w:rPr>
                <w:rFonts w:ascii="Calibri" w:hAnsi="Calibri" w:cs="Calibri"/>
                <w:b/>
                <w:bCs/>
                <w:color w:val="002A3F" w:themeColor="accent2"/>
                <w:sz w:val="22"/>
                <w:szCs w:val="22"/>
                <w:lang w:bidi="ar-SA"/>
                <w14:numSpacing w14:val="default"/>
              </w:rPr>
              <w:t xml:space="preserve"> </w:t>
            </w:r>
            <w:r w:rsidRPr="00B615F8">
              <w:rPr>
                <w:rFonts w:ascii="Calibri" w:hAnsi="Calibri" w:cs="Calibri"/>
                <w:b/>
                <w:bCs/>
                <w:color w:val="002A3F" w:themeColor="accent2"/>
                <w:sz w:val="22"/>
                <w:szCs w:val="22"/>
                <w:lang w:bidi="ar-SA"/>
                <w14:numSpacing w14:val="default"/>
              </w:rPr>
              <w:t>of actions</w:t>
            </w:r>
          </w:p>
        </w:tc>
        <w:tc>
          <w:tcPr>
            <w:tcW w:w="0" w:type="dxa"/>
            <w:tcBorders>
              <w:top w:val="single" w:sz="4" w:space="0" w:color="F05D88" w:themeColor="accent3"/>
              <w:bottom w:val="none" w:sz="0" w:space="0" w:color="auto"/>
            </w:tcBorders>
            <w:shd w:val="clear" w:color="auto" w:fill="FDE9EE"/>
          </w:tcPr>
          <w:p w14:paraId="089C5D1B" w14:textId="77777777" w:rsidR="005E0044" w:rsidRPr="004E5E2F" w:rsidRDefault="005E0044" w:rsidP="00095C48">
            <w:pPr>
              <w:pStyle w:val="BodyText"/>
              <w:spacing w:after="120" w:line="240" w:lineRule="auto"/>
              <w:rPr>
                <w:rFonts w:ascii="Calibri" w:hAnsi="Calibri" w:cs="Calibri"/>
                <w:b/>
                <w:bCs/>
                <w:color w:val="002A3F" w:themeColor="accent2"/>
                <w:sz w:val="22"/>
                <w:szCs w:val="22"/>
                <w:lang w:bidi="ar-SA"/>
              </w:rPr>
            </w:pPr>
          </w:p>
        </w:tc>
      </w:tr>
      <w:tr w:rsidR="005E0044" w:rsidRPr="004E5E2F" w14:paraId="003ED3A1" w14:textId="77777777" w:rsidTr="003C3D60">
        <w:trPr>
          <w:cnfStyle w:val="000000100000" w:firstRow="0" w:lastRow="0" w:firstColumn="0" w:lastColumn="0" w:oddVBand="0" w:evenVBand="0" w:oddHBand="1" w:evenHBand="0" w:firstRowFirstColumn="0" w:firstRowLastColumn="0" w:lastRowFirstColumn="0" w:lastRowLastColumn="0"/>
        </w:trPr>
        <w:tc>
          <w:tcPr>
            <w:tcW w:w="0" w:type="dxa"/>
            <w:tcBorders>
              <w:bottom w:val="single" w:sz="4" w:space="0" w:color="F05D88" w:themeColor="accent3"/>
            </w:tcBorders>
          </w:tcPr>
          <w:p w14:paraId="0190BA3B" w14:textId="77777777" w:rsidR="005E0044" w:rsidRPr="004E5E2F" w:rsidRDefault="005E0044" w:rsidP="004E5E2F">
            <w:pPr>
              <w:rPr>
                <w:rFonts w:cs="Calibri"/>
                <w:szCs w:val="22"/>
              </w:rPr>
            </w:pPr>
            <w:r w:rsidRPr="004E5E2F">
              <w:rPr>
                <w:rFonts w:cs="Calibri"/>
                <w:szCs w:val="22"/>
              </w:rPr>
              <w:t>Mapping to Strategy</w:t>
            </w:r>
          </w:p>
        </w:tc>
        <w:tc>
          <w:tcPr>
            <w:tcW w:w="0" w:type="dxa"/>
            <w:tcBorders>
              <w:bottom w:val="single" w:sz="4" w:space="0" w:color="F05D88" w:themeColor="accent3"/>
            </w:tcBorders>
          </w:tcPr>
          <w:p w14:paraId="284528E6" w14:textId="3CF5F9F2" w:rsidR="005E0044" w:rsidRPr="004E5E2F" w:rsidRDefault="005E0044" w:rsidP="004E5E2F">
            <w:pPr>
              <w:rPr>
                <w:rFonts w:cs="Calibri"/>
                <w:szCs w:val="22"/>
              </w:rPr>
            </w:pPr>
            <w:r w:rsidRPr="004E5E2F">
              <w:rPr>
                <w:rFonts w:cs="Calibri"/>
                <w:szCs w:val="22"/>
              </w:rPr>
              <w:t>How the action maps to ‘what we will do’ statements in the Strategy</w:t>
            </w:r>
            <w:r w:rsidR="00E82BDA" w:rsidRPr="004E5E2F">
              <w:rPr>
                <w:rFonts w:cs="Calibri"/>
                <w:szCs w:val="22"/>
              </w:rPr>
              <w:t>.</w:t>
            </w:r>
          </w:p>
        </w:tc>
      </w:tr>
      <w:tr w:rsidR="005E0044" w:rsidRPr="004E5E2F" w14:paraId="7CC1CF8C" w14:textId="77777777" w:rsidTr="003C3D60">
        <w:trPr>
          <w:cnfStyle w:val="000000010000" w:firstRow="0" w:lastRow="0" w:firstColumn="0" w:lastColumn="0" w:oddVBand="0" w:evenVBand="0" w:oddHBand="0" w:evenHBand="1" w:firstRowFirstColumn="0" w:firstRowLastColumn="0" w:lastRowFirstColumn="0" w:lastRowLastColumn="0"/>
        </w:trPr>
        <w:tc>
          <w:tcPr>
            <w:tcW w:w="0" w:type="dxa"/>
            <w:tcBorders>
              <w:top w:val="single" w:sz="4" w:space="0" w:color="F05D88" w:themeColor="accent3"/>
              <w:bottom w:val="single" w:sz="4" w:space="0" w:color="F05D88" w:themeColor="accent3"/>
            </w:tcBorders>
          </w:tcPr>
          <w:p w14:paraId="05497ED4" w14:textId="77777777" w:rsidR="005E0044" w:rsidRPr="004E5E2F" w:rsidRDefault="005E0044" w:rsidP="004E5E2F">
            <w:pPr>
              <w:rPr>
                <w:rFonts w:cs="Calibri"/>
                <w:szCs w:val="22"/>
              </w:rPr>
            </w:pPr>
            <w:r w:rsidRPr="004E5E2F">
              <w:rPr>
                <w:rFonts w:cs="Calibri"/>
                <w:szCs w:val="22"/>
              </w:rPr>
              <w:t>Contribution to intermediate outcomes</w:t>
            </w:r>
          </w:p>
        </w:tc>
        <w:tc>
          <w:tcPr>
            <w:tcW w:w="0" w:type="dxa"/>
            <w:tcBorders>
              <w:top w:val="single" w:sz="4" w:space="0" w:color="F05D88" w:themeColor="accent3"/>
              <w:bottom w:val="single" w:sz="4" w:space="0" w:color="F05D88" w:themeColor="accent3"/>
            </w:tcBorders>
          </w:tcPr>
          <w:p w14:paraId="6F9330BE" w14:textId="688D7006" w:rsidR="005E0044" w:rsidRPr="004E5E2F" w:rsidRDefault="005E0044" w:rsidP="004E5E2F">
            <w:pPr>
              <w:rPr>
                <w:rFonts w:cs="Calibri"/>
                <w:szCs w:val="22"/>
              </w:rPr>
            </w:pPr>
            <w:r w:rsidRPr="004E5E2F">
              <w:rPr>
                <w:rFonts w:cs="Calibri"/>
                <w:szCs w:val="22"/>
              </w:rPr>
              <w:t>How the action will contribute to</w:t>
            </w:r>
            <w:r w:rsidR="00E82BDA" w:rsidRPr="004E5E2F">
              <w:rPr>
                <w:rFonts w:cs="Calibri"/>
                <w:szCs w:val="22"/>
              </w:rPr>
              <w:t xml:space="preserve"> the Strategy’s</w:t>
            </w:r>
            <w:r w:rsidRPr="004E5E2F">
              <w:rPr>
                <w:rFonts w:cs="Calibri"/>
                <w:szCs w:val="22"/>
              </w:rPr>
              <w:t xml:space="preserve"> ‘intermediate outcomes’ for a priority focus area</w:t>
            </w:r>
            <w:r w:rsidR="00E82BDA" w:rsidRPr="004E5E2F">
              <w:rPr>
                <w:rFonts w:cs="Calibri"/>
                <w:szCs w:val="22"/>
              </w:rPr>
              <w:t>.</w:t>
            </w:r>
          </w:p>
        </w:tc>
      </w:tr>
      <w:tr w:rsidR="005E0044" w:rsidRPr="004E5E2F" w14:paraId="3C276064" w14:textId="77777777" w:rsidTr="003C3D60">
        <w:trPr>
          <w:cnfStyle w:val="000000100000" w:firstRow="0" w:lastRow="0" w:firstColumn="0" w:lastColumn="0" w:oddVBand="0" w:evenVBand="0" w:oddHBand="1" w:evenHBand="0" w:firstRowFirstColumn="0" w:firstRowLastColumn="0" w:lastRowFirstColumn="0" w:lastRowLastColumn="0"/>
        </w:trPr>
        <w:tc>
          <w:tcPr>
            <w:tcW w:w="0" w:type="dxa"/>
            <w:tcBorders>
              <w:top w:val="single" w:sz="4" w:space="0" w:color="F05D88" w:themeColor="accent3"/>
              <w:bottom w:val="none" w:sz="0" w:space="0" w:color="auto"/>
            </w:tcBorders>
          </w:tcPr>
          <w:p w14:paraId="32441A22" w14:textId="77777777" w:rsidR="005E0044" w:rsidRPr="004E5E2F" w:rsidRDefault="005E0044" w:rsidP="004E5E2F">
            <w:pPr>
              <w:rPr>
                <w:rFonts w:cs="Calibri"/>
                <w:szCs w:val="22"/>
              </w:rPr>
            </w:pPr>
            <w:r w:rsidRPr="004E5E2F">
              <w:rPr>
                <w:rFonts w:cs="Calibri"/>
                <w:szCs w:val="22"/>
              </w:rPr>
              <w:t>Contribution to long-term outcomes</w:t>
            </w:r>
          </w:p>
        </w:tc>
        <w:tc>
          <w:tcPr>
            <w:tcW w:w="0" w:type="dxa"/>
            <w:tcBorders>
              <w:top w:val="single" w:sz="4" w:space="0" w:color="F05D88" w:themeColor="accent3"/>
              <w:bottom w:val="none" w:sz="0" w:space="0" w:color="auto"/>
            </w:tcBorders>
          </w:tcPr>
          <w:p w14:paraId="79AB4FF5" w14:textId="7C25FD6F" w:rsidR="005E0044" w:rsidRPr="004E5E2F" w:rsidRDefault="005E0044" w:rsidP="004E5E2F">
            <w:pPr>
              <w:rPr>
                <w:rFonts w:cs="Calibri"/>
                <w:szCs w:val="22"/>
              </w:rPr>
            </w:pPr>
            <w:r w:rsidRPr="004E5E2F">
              <w:rPr>
                <w:rFonts w:cs="Calibri"/>
                <w:szCs w:val="22"/>
              </w:rPr>
              <w:t xml:space="preserve">How the action will contribute to </w:t>
            </w:r>
            <w:r w:rsidR="00E82BDA" w:rsidRPr="004E5E2F">
              <w:rPr>
                <w:rFonts w:cs="Calibri"/>
                <w:szCs w:val="22"/>
              </w:rPr>
              <w:t xml:space="preserve">the Strategy’s </w:t>
            </w:r>
            <w:r w:rsidRPr="004E5E2F">
              <w:rPr>
                <w:rFonts w:cs="Calibri"/>
                <w:szCs w:val="22"/>
              </w:rPr>
              <w:t>long-term outcomes</w:t>
            </w:r>
            <w:r w:rsidR="00E82BDA" w:rsidRPr="004E5E2F">
              <w:rPr>
                <w:rFonts w:cs="Calibri"/>
                <w:szCs w:val="22"/>
              </w:rPr>
              <w:t>.</w:t>
            </w:r>
          </w:p>
        </w:tc>
      </w:tr>
      <w:tr w:rsidR="004E5E2F" w:rsidRPr="004E5E2F" w14:paraId="02B2E1D0" w14:textId="77777777" w:rsidTr="003C3D60">
        <w:trPr>
          <w:cnfStyle w:val="000000010000" w:firstRow="0" w:lastRow="0" w:firstColumn="0" w:lastColumn="0" w:oddVBand="0" w:evenVBand="0" w:oddHBand="0" w:evenHBand="1" w:firstRowFirstColumn="0" w:firstRowLastColumn="0" w:lastRowFirstColumn="0" w:lastRowLastColumn="0"/>
        </w:trPr>
        <w:tc>
          <w:tcPr>
            <w:tcW w:w="8489" w:type="dxa"/>
            <w:gridSpan w:val="2"/>
            <w:tcBorders>
              <w:bottom w:val="none" w:sz="0" w:space="0" w:color="auto"/>
            </w:tcBorders>
            <w:shd w:val="clear" w:color="auto" w:fill="FDE9EE"/>
          </w:tcPr>
          <w:p w14:paraId="4DA9B5DE" w14:textId="77777777" w:rsidR="005E0044" w:rsidRPr="004E5E2F" w:rsidRDefault="005E0044" w:rsidP="00B615F8">
            <w:pPr>
              <w:pStyle w:val="BodyText"/>
              <w:spacing w:after="120" w:line="240" w:lineRule="auto"/>
              <w:rPr>
                <w:rFonts w:cs="Calibri"/>
                <w:szCs w:val="22"/>
              </w:rPr>
            </w:pPr>
            <w:r w:rsidRPr="00B615F8">
              <w:rPr>
                <w:rFonts w:ascii="Calibri" w:hAnsi="Calibri" w:cs="Calibri"/>
                <w:b/>
                <w:bCs/>
                <w:color w:val="002A3F" w:themeColor="accent2"/>
                <w:sz w:val="22"/>
                <w:szCs w:val="22"/>
                <w:lang w:bidi="ar-SA"/>
                <w14:numSpacing w14:val="default"/>
              </w:rPr>
              <w:t>Additional information</w:t>
            </w:r>
            <w:r w:rsidRPr="00B615F8">
              <w:rPr>
                <w:rFonts w:cs="Calibri"/>
                <w:b/>
                <w:bCs/>
                <w:color w:val="auto"/>
                <w:szCs w:val="22"/>
              </w:rPr>
              <w:t xml:space="preserve"> </w:t>
            </w:r>
          </w:p>
        </w:tc>
      </w:tr>
      <w:tr w:rsidR="005E0044" w:rsidRPr="004E5E2F" w14:paraId="188A0E55" w14:textId="77777777" w:rsidTr="003C3D60">
        <w:trPr>
          <w:cnfStyle w:val="000000100000" w:firstRow="0" w:lastRow="0" w:firstColumn="0" w:lastColumn="0" w:oddVBand="0" w:evenVBand="0" w:oddHBand="1" w:evenHBand="0" w:firstRowFirstColumn="0" w:firstRowLastColumn="0" w:lastRowFirstColumn="0" w:lastRowLastColumn="0"/>
        </w:trPr>
        <w:tc>
          <w:tcPr>
            <w:tcW w:w="0" w:type="dxa"/>
            <w:tcBorders>
              <w:bottom w:val="single" w:sz="4" w:space="0" w:color="F05D88" w:themeColor="accent3"/>
            </w:tcBorders>
          </w:tcPr>
          <w:p w14:paraId="238DAC13" w14:textId="77777777" w:rsidR="005E0044" w:rsidRPr="004E5E2F" w:rsidRDefault="005E0044" w:rsidP="004E5E2F">
            <w:pPr>
              <w:rPr>
                <w:rFonts w:cs="Calibri"/>
                <w:szCs w:val="22"/>
              </w:rPr>
            </w:pPr>
            <w:r w:rsidRPr="004E5E2F">
              <w:rPr>
                <w:rFonts w:cs="Calibri"/>
                <w:szCs w:val="22"/>
              </w:rPr>
              <w:t>Evaluation activity</w:t>
            </w:r>
          </w:p>
        </w:tc>
        <w:tc>
          <w:tcPr>
            <w:tcW w:w="0" w:type="dxa"/>
            <w:tcBorders>
              <w:bottom w:val="single" w:sz="4" w:space="0" w:color="F05D88" w:themeColor="accent3"/>
            </w:tcBorders>
          </w:tcPr>
          <w:p w14:paraId="0D0F21A2" w14:textId="50676352" w:rsidR="005E0044" w:rsidRPr="004E5E2F" w:rsidRDefault="005E0044" w:rsidP="004E5E2F">
            <w:pPr>
              <w:rPr>
                <w:rFonts w:cs="Calibri"/>
                <w:szCs w:val="22"/>
              </w:rPr>
            </w:pPr>
            <w:r w:rsidRPr="004E5E2F">
              <w:rPr>
                <w:rFonts w:cs="Calibri"/>
                <w:szCs w:val="22"/>
              </w:rPr>
              <w:t>Plans and reports on evaluation activity for an action (where available), and other data or information collected</w:t>
            </w:r>
            <w:r w:rsidR="00E82BDA" w:rsidRPr="004E5E2F">
              <w:rPr>
                <w:rFonts w:cs="Calibri"/>
                <w:szCs w:val="22"/>
              </w:rPr>
              <w:t>.</w:t>
            </w:r>
          </w:p>
        </w:tc>
      </w:tr>
      <w:tr w:rsidR="005E0044" w:rsidRPr="004E5E2F" w14:paraId="58D8DE7E" w14:textId="77777777" w:rsidTr="003C3D60">
        <w:trPr>
          <w:cnfStyle w:val="000000010000" w:firstRow="0" w:lastRow="0" w:firstColumn="0" w:lastColumn="0" w:oddVBand="0" w:evenVBand="0" w:oddHBand="0" w:evenHBand="1" w:firstRowFirstColumn="0" w:firstRowLastColumn="0" w:lastRowFirstColumn="0" w:lastRowLastColumn="0"/>
        </w:trPr>
        <w:tc>
          <w:tcPr>
            <w:tcW w:w="0" w:type="dxa"/>
            <w:tcBorders>
              <w:top w:val="single" w:sz="4" w:space="0" w:color="F05D88" w:themeColor="accent3"/>
              <w:bottom w:val="single" w:sz="4" w:space="0" w:color="F05D88" w:themeColor="accent3"/>
            </w:tcBorders>
          </w:tcPr>
          <w:p w14:paraId="03549B7D" w14:textId="77777777" w:rsidR="005E0044" w:rsidRPr="004E5E2F" w:rsidRDefault="005E0044" w:rsidP="004E5E2F">
            <w:pPr>
              <w:rPr>
                <w:rFonts w:cs="Calibri"/>
                <w:szCs w:val="22"/>
              </w:rPr>
            </w:pPr>
            <w:r w:rsidRPr="004E5E2F">
              <w:rPr>
                <w:rFonts w:cs="Calibri"/>
                <w:szCs w:val="22"/>
              </w:rPr>
              <w:t>New initiative status</w:t>
            </w:r>
          </w:p>
        </w:tc>
        <w:tc>
          <w:tcPr>
            <w:tcW w:w="0" w:type="dxa"/>
            <w:tcBorders>
              <w:top w:val="single" w:sz="4" w:space="0" w:color="F05D88" w:themeColor="accent3"/>
              <w:bottom w:val="single" w:sz="4" w:space="0" w:color="F05D88" w:themeColor="accent3"/>
            </w:tcBorders>
          </w:tcPr>
          <w:p w14:paraId="5FDDBE42" w14:textId="48F1ECC5" w:rsidR="005E0044" w:rsidRPr="004E5E2F" w:rsidRDefault="005E0044" w:rsidP="004E5E2F">
            <w:pPr>
              <w:rPr>
                <w:rFonts w:cs="Calibri"/>
                <w:szCs w:val="22"/>
              </w:rPr>
            </w:pPr>
            <w:r w:rsidRPr="004E5E2F">
              <w:rPr>
                <w:rFonts w:cs="Calibri"/>
                <w:szCs w:val="22"/>
              </w:rPr>
              <w:t>Whether the action is a new initiative under the Strategy</w:t>
            </w:r>
            <w:r w:rsidR="00E82BDA" w:rsidRPr="004E5E2F">
              <w:rPr>
                <w:rFonts w:cs="Calibri"/>
                <w:szCs w:val="22"/>
              </w:rPr>
              <w:t>.</w:t>
            </w:r>
          </w:p>
        </w:tc>
      </w:tr>
      <w:tr w:rsidR="005E0044" w:rsidRPr="004E5E2F" w14:paraId="7137DB4C" w14:textId="77777777" w:rsidTr="003C3D60">
        <w:trPr>
          <w:cnfStyle w:val="000000100000" w:firstRow="0" w:lastRow="0" w:firstColumn="0" w:lastColumn="0" w:oddVBand="0" w:evenVBand="0" w:oddHBand="1" w:evenHBand="0" w:firstRowFirstColumn="0" w:firstRowLastColumn="0" w:lastRowFirstColumn="0" w:lastRowLastColumn="0"/>
        </w:trPr>
        <w:tc>
          <w:tcPr>
            <w:tcW w:w="0" w:type="dxa"/>
            <w:tcBorders>
              <w:top w:val="single" w:sz="4" w:space="0" w:color="F05D88" w:themeColor="accent3"/>
              <w:bottom w:val="single" w:sz="4" w:space="0" w:color="F05D88" w:themeColor="accent3"/>
            </w:tcBorders>
          </w:tcPr>
          <w:p w14:paraId="12DC6390" w14:textId="77777777" w:rsidR="005E0044" w:rsidRPr="004E5E2F" w:rsidRDefault="005E0044" w:rsidP="004E5E2F">
            <w:pPr>
              <w:rPr>
                <w:rFonts w:cs="Calibri"/>
                <w:szCs w:val="22"/>
              </w:rPr>
            </w:pPr>
            <w:r w:rsidRPr="004E5E2F">
              <w:rPr>
                <w:rFonts w:cs="Calibri"/>
                <w:szCs w:val="22"/>
              </w:rPr>
              <w:t>Cooperation required</w:t>
            </w:r>
          </w:p>
        </w:tc>
        <w:tc>
          <w:tcPr>
            <w:tcW w:w="0" w:type="dxa"/>
            <w:tcBorders>
              <w:top w:val="single" w:sz="4" w:space="0" w:color="F05D88" w:themeColor="accent3"/>
              <w:bottom w:val="single" w:sz="4" w:space="0" w:color="F05D88" w:themeColor="accent3"/>
            </w:tcBorders>
          </w:tcPr>
          <w:p w14:paraId="2BE45259" w14:textId="12005A37" w:rsidR="005E0044" w:rsidRPr="004E5E2F" w:rsidRDefault="005E0044" w:rsidP="004E5E2F">
            <w:pPr>
              <w:rPr>
                <w:rFonts w:cs="Calibri"/>
                <w:szCs w:val="22"/>
              </w:rPr>
            </w:pPr>
            <w:r w:rsidRPr="004E5E2F">
              <w:rPr>
                <w:rFonts w:cs="Calibri"/>
                <w:szCs w:val="22"/>
              </w:rPr>
              <w:t>If substantial cooperation from state and territory governments or other stakeholders is needed</w:t>
            </w:r>
            <w:r w:rsidR="00E82BDA" w:rsidRPr="004E5E2F">
              <w:rPr>
                <w:rFonts w:cs="Calibri"/>
                <w:szCs w:val="22"/>
              </w:rPr>
              <w:t>.</w:t>
            </w:r>
          </w:p>
        </w:tc>
      </w:tr>
    </w:tbl>
    <w:p w14:paraId="06E4F0F1" w14:textId="714B765E" w:rsidR="005E0044" w:rsidRPr="00632B9F" w:rsidRDefault="005E0044" w:rsidP="00B615F8">
      <w:pPr>
        <w:pStyle w:val="Heading4"/>
      </w:pPr>
      <w:bookmarkStart w:id="52" w:name="_Toc215146318"/>
      <w:r>
        <w:t>L</w:t>
      </w:r>
      <w:r w:rsidRPr="00632B9F">
        <w:t>ong-term outcomes</w:t>
      </w:r>
      <w:bookmarkEnd w:id="52"/>
    </w:p>
    <w:p w14:paraId="17FC0A9F" w14:textId="77777777" w:rsidR="005E0044" w:rsidRPr="004748F9" w:rsidRDefault="005E0044" w:rsidP="00DF2AFB">
      <w:r w:rsidRPr="004748F9">
        <w:t xml:space="preserve">The Strategy includes 8 long-term outcomes (described in the Strategy simply as ‘outcomes’). These outcomes are designed to measure how children are faring, growing and developing, as well as assessing the wellbeing of families and the communities that support them. The long-term outcomes are the goals the Strategy seeks to achieve, and each contribute to the Strategy’s overarching vision that all children thrive in their early years. </w:t>
      </w:r>
    </w:p>
    <w:p w14:paraId="3B302AA9" w14:textId="2D70CD8B" w:rsidR="005E0044" w:rsidRPr="004748F9" w:rsidRDefault="005E0044" w:rsidP="00DF2AFB">
      <w:r w:rsidRPr="004748F9">
        <w:t xml:space="preserve">The </w:t>
      </w:r>
      <w:bookmarkStart w:id="53" w:name="_Hlk211357100"/>
      <w:r w:rsidRPr="004748F9">
        <w:t>Outcomes Framework sets out how the Government will monitor these 8 long-term outcomes, including through relevant indicators, measures and data sources</w:t>
      </w:r>
      <w:bookmarkEnd w:id="53"/>
      <w:r w:rsidRPr="004748F9">
        <w:t xml:space="preserve">. The Outcomes Framework and indicators have been developed with an understanding of the limitations of existing data and measurement in the early </w:t>
      </w:r>
      <w:proofErr w:type="gramStart"/>
      <w:r w:rsidRPr="004748F9">
        <w:t>years, and</w:t>
      </w:r>
      <w:proofErr w:type="gramEnd"/>
      <w:r w:rsidRPr="004748F9">
        <w:t xml:space="preserve"> allow</w:t>
      </w:r>
      <w:r w:rsidR="008E45EF">
        <w:t>s</w:t>
      </w:r>
      <w:r w:rsidRPr="004748F9">
        <w:t xml:space="preserve"> for the inclusion of better data over time as these data limitations are addressed and improved measures become </w:t>
      </w:r>
      <w:r w:rsidRPr="004748F9">
        <w:lastRenderedPageBreak/>
        <w:t>available. Having best available, contemporary data is important to understanding if the lives of children, families and communities are improving under the Strategy.</w:t>
      </w:r>
    </w:p>
    <w:p w14:paraId="41E17860" w14:textId="77777777" w:rsidR="005E0044" w:rsidRPr="004748F9" w:rsidRDefault="005E0044" w:rsidP="00DF2AFB">
      <w:r w:rsidRPr="004748F9">
        <w:t xml:space="preserve">The indicators, measures and data sources identified in the Outcomes Framework (and any improved data that becomes available over time) will be used to track progress toward these long-term outcomes. In addition to this, supplementary information to help with understanding progress may also be collated and reported, depending on the needs of the Strategy over time. </w:t>
      </w:r>
    </w:p>
    <w:p w14:paraId="01D3D2B2" w14:textId="18328090" w:rsidR="005E0044" w:rsidRPr="004748F9" w:rsidRDefault="005E0044" w:rsidP="00DF2AFB">
      <w:r w:rsidRPr="004748F9">
        <w:t>Monitoring the long-term outcomes will involve the collation of the following information from existing data collections/sources where available (or from other relevant or improved data sources when identified).</w:t>
      </w:r>
    </w:p>
    <w:p w14:paraId="3646A5A5" w14:textId="0781B1A4" w:rsidR="005E0044" w:rsidRPr="00307079" w:rsidRDefault="005E0044" w:rsidP="00C079CB">
      <w:pPr>
        <w:spacing w:after="240"/>
        <w:rPr>
          <w:b/>
          <w:bCs/>
        </w:rPr>
      </w:pPr>
      <w:r w:rsidRPr="00AB7F2D">
        <w:rPr>
          <w:b/>
          <w:bCs/>
        </w:rPr>
        <w:t xml:space="preserve">Table </w:t>
      </w:r>
      <w:r>
        <w:rPr>
          <w:b/>
          <w:bCs/>
        </w:rPr>
        <w:t>4</w:t>
      </w:r>
      <w:r w:rsidRPr="00AB7F2D">
        <w:rPr>
          <w:b/>
          <w:bCs/>
        </w:rPr>
        <w:t xml:space="preserve">: Data and information to be collated </w:t>
      </w:r>
      <w:r>
        <w:rPr>
          <w:b/>
          <w:bCs/>
        </w:rPr>
        <w:t xml:space="preserve">for outcomes monitoring </w:t>
      </w:r>
    </w:p>
    <w:tbl>
      <w:tblPr>
        <w:tblStyle w:val="DSSTableStyleB"/>
        <w:tblW w:w="5000" w:type="pct"/>
        <w:tblBorders>
          <w:bottom w:val="single" w:sz="4" w:space="0" w:color="E0E9AD" w:themeColor="accent5" w:themeTint="66"/>
          <w:insideH w:val="single" w:sz="4" w:space="0" w:color="E0E9AD" w:themeColor="accent5" w:themeTint="66"/>
        </w:tblBorders>
        <w:tblLook w:val="0420" w:firstRow="1" w:lastRow="0" w:firstColumn="0" w:lastColumn="0" w:noHBand="0" w:noVBand="1"/>
      </w:tblPr>
      <w:tblGrid>
        <w:gridCol w:w="3828"/>
        <w:gridCol w:w="4671"/>
      </w:tblGrid>
      <w:tr w:rsidR="00B6147F" w:rsidRPr="004E5E2F" w14:paraId="43B65A6F" w14:textId="77777777" w:rsidTr="00095C48">
        <w:trPr>
          <w:cnfStyle w:val="100000000000" w:firstRow="1" w:lastRow="0" w:firstColumn="0" w:lastColumn="0" w:oddVBand="0" w:evenVBand="0" w:oddHBand="0" w:evenHBand="0" w:firstRowFirstColumn="0" w:firstRowLastColumn="0" w:lastRowFirstColumn="0" w:lastRowLastColumn="0"/>
        </w:trPr>
        <w:tc>
          <w:tcPr>
            <w:tcW w:w="0" w:type="pct"/>
            <w:tcBorders>
              <w:bottom w:val="single" w:sz="4" w:space="0" w:color="68CEF6" w:themeColor="accent4"/>
            </w:tcBorders>
            <w:shd w:val="clear" w:color="auto" w:fill="8ED9FF" w:themeFill="accent2" w:themeFillTint="40"/>
          </w:tcPr>
          <w:p w14:paraId="4F4D8083" w14:textId="77777777" w:rsidR="005E0044" w:rsidRPr="004E5E2F" w:rsidRDefault="005E0044" w:rsidP="004E5E2F">
            <w:pPr>
              <w:rPr>
                <w:rFonts w:cs="Calibri"/>
                <w:szCs w:val="22"/>
              </w:rPr>
            </w:pPr>
            <w:r w:rsidRPr="004E5E2F">
              <w:rPr>
                <w:rFonts w:cs="Calibri"/>
                <w:szCs w:val="22"/>
              </w:rPr>
              <w:t>Category of data/information</w:t>
            </w:r>
          </w:p>
        </w:tc>
        <w:tc>
          <w:tcPr>
            <w:tcW w:w="0" w:type="pct"/>
            <w:tcBorders>
              <w:top w:val="nil"/>
              <w:bottom w:val="nil"/>
            </w:tcBorders>
            <w:shd w:val="clear" w:color="auto" w:fill="8ED9FF" w:themeFill="accent2" w:themeFillTint="40"/>
          </w:tcPr>
          <w:p w14:paraId="6B47FCB3" w14:textId="77777777" w:rsidR="005E0044" w:rsidRPr="004E5E2F" w:rsidRDefault="005E0044" w:rsidP="004E5E2F">
            <w:pPr>
              <w:rPr>
                <w:rFonts w:cs="Calibri"/>
                <w:szCs w:val="22"/>
              </w:rPr>
            </w:pPr>
            <w:r w:rsidRPr="004E5E2F">
              <w:rPr>
                <w:rFonts w:cs="Calibri"/>
                <w:szCs w:val="22"/>
              </w:rPr>
              <w:t>Description</w:t>
            </w:r>
          </w:p>
        </w:tc>
      </w:tr>
      <w:tr w:rsidR="005E0044" w:rsidRPr="004E5E2F" w14:paraId="46C14811" w14:textId="77777777" w:rsidTr="00095C48">
        <w:trPr>
          <w:cnfStyle w:val="000000100000" w:firstRow="0" w:lastRow="0" w:firstColumn="0" w:lastColumn="0" w:oddVBand="0" w:evenVBand="0" w:oddHBand="1" w:evenHBand="0" w:firstRowFirstColumn="0" w:firstRowLastColumn="0" w:lastRowFirstColumn="0" w:lastRowLastColumn="0"/>
        </w:trPr>
        <w:tc>
          <w:tcPr>
            <w:tcW w:w="5000" w:type="pct"/>
            <w:gridSpan w:val="2"/>
            <w:tcBorders>
              <w:top w:val="single" w:sz="4" w:space="0" w:color="68CEF6" w:themeColor="accent4"/>
            </w:tcBorders>
            <w:shd w:val="clear" w:color="auto" w:fill="E0F5FD" w:themeFill="accent4" w:themeFillTint="33"/>
          </w:tcPr>
          <w:p w14:paraId="45B83475" w14:textId="01F4B579" w:rsidR="005E0044" w:rsidRPr="004E5E2F" w:rsidRDefault="005E0044" w:rsidP="00095C48">
            <w:pPr>
              <w:pStyle w:val="BodyText"/>
              <w:spacing w:after="120" w:line="240" w:lineRule="auto"/>
              <w:rPr>
                <w:rFonts w:ascii="Calibri" w:hAnsi="Calibri" w:cs="Calibri"/>
                <w:color w:val="4C94D8" w:themeColor="text2" w:themeTint="80"/>
                <w:sz w:val="22"/>
                <w:szCs w:val="22"/>
              </w:rPr>
            </w:pPr>
            <w:r w:rsidRPr="004E5E2F">
              <w:rPr>
                <w:rFonts w:ascii="Calibri" w:hAnsi="Calibri" w:cs="Calibri"/>
                <w:b/>
                <w:bCs/>
                <w:color w:val="002A3F" w:themeColor="accent2"/>
                <w:sz w:val="22"/>
                <w:szCs w:val="22"/>
                <w:lang w:bidi="ar-SA"/>
              </w:rPr>
              <w:t>Outcomes</w:t>
            </w:r>
            <w:r w:rsidRPr="00B615F8">
              <w:rPr>
                <w:rFonts w:ascii="Calibri" w:hAnsi="Calibri" w:cs="Calibri"/>
                <w:b/>
                <w:bCs/>
                <w:color w:val="002A3F" w:themeColor="accent2"/>
                <w:sz w:val="22"/>
                <w:szCs w:val="22"/>
                <w:lang w:bidi="ar-SA"/>
              </w:rPr>
              <w:t xml:space="preserve"> </w:t>
            </w:r>
            <w:r w:rsidRPr="004E5E2F">
              <w:rPr>
                <w:rFonts w:ascii="Calibri" w:hAnsi="Calibri" w:cs="Calibri"/>
                <w:b/>
                <w:bCs/>
                <w:color w:val="002A3F" w:themeColor="accent2"/>
                <w:sz w:val="22"/>
                <w:szCs w:val="22"/>
                <w:lang w:bidi="ar-SA"/>
              </w:rPr>
              <w:t>Framework m</w:t>
            </w:r>
            <w:r w:rsidR="00B6147F">
              <w:rPr>
                <w:rFonts w:ascii="Calibri" w:hAnsi="Calibri" w:cs="Calibri"/>
                <w:b/>
                <w:bCs/>
                <w:color w:val="002A3F" w:themeColor="accent2"/>
                <w:sz w:val="22"/>
                <w:szCs w:val="22"/>
                <w:lang w:bidi="ar-SA"/>
              </w:rPr>
              <w:t>easurement</w:t>
            </w:r>
          </w:p>
        </w:tc>
      </w:tr>
      <w:tr w:rsidR="005E0044" w:rsidRPr="004E5E2F" w14:paraId="1D4B8FFC" w14:textId="77777777" w:rsidTr="00095C48">
        <w:trPr>
          <w:cnfStyle w:val="000000010000" w:firstRow="0" w:lastRow="0" w:firstColumn="0" w:lastColumn="0" w:oddVBand="0" w:evenVBand="0" w:oddHBand="0" w:evenHBand="1" w:firstRowFirstColumn="0" w:firstRowLastColumn="0" w:lastRowFirstColumn="0" w:lastRowLastColumn="0"/>
        </w:trPr>
        <w:tc>
          <w:tcPr>
            <w:tcW w:w="2252" w:type="pct"/>
            <w:tcBorders>
              <w:top w:val="single" w:sz="4" w:space="0" w:color="68CEF6" w:themeColor="accent4"/>
            </w:tcBorders>
          </w:tcPr>
          <w:p w14:paraId="7FF68CAA" w14:textId="77777777" w:rsidR="005E0044" w:rsidRPr="004E5E2F" w:rsidRDefault="005E0044" w:rsidP="004E5E2F">
            <w:pPr>
              <w:rPr>
                <w:rFonts w:cs="Calibri"/>
                <w:szCs w:val="22"/>
              </w:rPr>
            </w:pPr>
            <w:r w:rsidRPr="004E5E2F">
              <w:rPr>
                <w:rFonts w:cs="Calibri"/>
                <w:szCs w:val="22"/>
              </w:rPr>
              <w:t>Long-term outcome indicator/measures</w:t>
            </w:r>
          </w:p>
        </w:tc>
        <w:tc>
          <w:tcPr>
            <w:tcW w:w="2748" w:type="pct"/>
            <w:tcBorders>
              <w:top w:val="single" w:sz="4" w:space="0" w:color="68CEF6" w:themeColor="accent4"/>
            </w:tcBorders>
          </w:tcPr>
          <w:p w14:paraId="307F4374" w14:textId="77777777" w:rsidR="005E0044" w:rsidRPr="004E5E2F" w:rsidRDefault="005E0044" w:rsidP="004E5E2F">
            <w:pPr>
              <w:rPr>
                <w:rFonts w:cs="Calibri"/>
                <w:szCs w:val="22"/>
              </w:rPr>
            </w:pPr>
            <w:r w:rsidRPr="004E5E2F">
              <w:rPr>
                <w:rFonts w:cs="Calibri"/>
                <w:szCs w:val="22"/>
              </w:rPr>
              <w:t>Data will be collated on the indicator measures identified in the Outcomes Framework where available and disaggregated for priority groups where possible, including for Aboriginal and/or Torres Strait Islander people.</w:t>
            </w:r>
          </w:p>
        </w:tc>
      </w:tr>
      <w:tr w:rsidR="005E0044" w:rsidRPr="004E5E2F" w14:paraId="586FAA77" w14:textId="77777777" w:rsidTr="00095C48">
        <w:trPr>
          <w:cnfStyle w:val="000000100000" w:firstRow="0" w:lastRow="0" w:firstColumn="0" w:lastColumn="0" w:oddVBand="0" w:evenVBand="0" w:oddHBand="1" w:evenHBand="0" w:firstRowFirstColumn="0" w:firstRowLastColumn="0" w:lastRowFirstColumn="0" w:lastRowLastColumn="0"/>
        </w:trPr>
        <w:tc>
          <w:tcPr>
            <w:tcW w:w="2252" w:type="pct"/>
            <w:tcBorders>
              <w:top w:val="single" w:sz="4" w:space="0" w:color="68CEF6" w:themeColor="accent4"/>
            </w:tcBorders>
          </w:tcPr>
          <w:p w14:paraId="76DF7E07" w14:textId="77777777" w:rsidR="005E0044" w:rsidRPr="004E5E2F" w:rsidRDefault="005E0044" w:rsidP="004E5E2F">
            <w:pPr>
              <w:rPr>
                <w:rFonts w:cs="Calibri"/>
                <w:szCs w:val="22"/>
              </w:rPr>
            </w:pPr>
            <w:r w:rsidRPr="004E5E2F">
              <w:rPr>
                <w:rFonts w:cs="Calibri"/>
                <w:szCs w:val="22"/>
              </w:rPr>
              <w:t>Assessment of progress</w:t>
            </w:r>
          </w:p>
        </w:tc>
        <w:tc>
          <w:tcPr>
            <w:tcW w:w="2748" w:type="pct"/>
            <w:tcBorders>
              <w:top w:val="single" w:sz="4" w:space="0" w:color="68CEF6" w:themeColor="accent4"/>
            </w:tcBorders>
          </w:tcPr>
          <w:p w14:paraId="76F2B752" w14:textId="77777777" w:rsidR="005E0044" w:rsidRPr="004E5E2F" w:rsidRDefault="005E0044" w:rsidP="004E5E2F">
            <w:pPr>
              <w:rPr>
                <w:rFonts w:cs="Calibri"/>
                <w:szCs w:val="22"/>
              </w:rPr>
            </w:pPr>
            <w:r w:rsidRPr="004E5E2F">
              <w:rPr>
                <w:rFonts w:cs="Calibri"/>
                <w:szCs w:val="22"/>
              </w:rPr>
              <w:t>Progress will be assessed against the intended direction of change for each indicator measure (and separately for each priority group).</w:t>
            </w:r>
          </w:p>
        </w:tc>
      </w:tr>
      <w:tr w:rsidR="00B6147F" w:rsidRPr="004E5E2F" w14:paraId="065C06AD" w14:textId="77777777" w:rsidTr="003510FA">
        <w:trPr>
          <w:cnfStyle w:val="000000010000" w:firstRow="0" w:lastRow="0" w:firstColumn="0" w:lastColumn="0" w:oddVBand="0" w:evenVBand="0" w:oddHBand="0" w:evenHBand="1" w:firstRowFirstColumn="0" w:firstRowLastColumn="0" w:lastRowFirstColumn="0" w:lastRowLastColumn="0"/>
        </w:trPr>
        <w:tc>
          <w:tcPr>
            <w:tcW w:w="2252" w:type="pct"/>
            <w:tcBorders>
              <w:top w:val="single" w:sz="4" w:space="0" w:color="68CEF6" w:themeColor="accent4"/>
            </w:tcBorders>
          </w:tcPr>
          <w:p w14:paraId="4EEB83CD" w14:textId="77777777" w:rsidR="005E0044" w:rsidRPr="004E5E2F" w:rsidRDefault="005E0044" w:rsidP="004E5E2F">
            <w:pPr>
              <w:rPr>
                <w:rFonts w:cs="Calibri"/>
                <w:szCs w:val="22"/>
              </w:rPr>
            </w:pPr>
            <w:r w:rsidRPr="004E5E2F">
              <w:rPr>
                <w:rFonts w:cs="Calibri"/>
                <w:szCs w:val="22"/>
              </w:rPr>
              <w:t>Supporting measures</w:t>
            </w:r>
          </w:p>
        </w:tc>
        <w:tc>
          <w:tcPr>
            <w:tcW w:w="2748" w:type="pct"/>
            <w:tcBorders>
              <w:top w:val="single" w:sz="4" w:space="0" w:color="68CEF6" w:themeColor="accent4"/>
            </w:tcBorders>
          </w:tcPr>
          <w:p w14:paraId="3C2C30E1" w14:textId="77777777" w:rsidR="005E0044" w:rsidRPr="004E5E2F" w:rsidRDefault="005E0044" w:rsidP="004E5E2F">
            <w:pPr>
              <w:rPr>
                <w:rFonts w:cs="Calibri"/>
                <w:szCs w:val="22"/>
              </w:rPr>
            </w:pPr>
            <w:r w:rsidRPr="004E5E2F">
              <w:rPr>
                <w:rFonts w:cs="Calibri"/>
                <w:szCs w:val="22"/>
              </w:rPr>
              <w:t>Data for supporting measures will be collected as it becomes available.</w:t>
            </w:r>
          </w:p>
        </w:tc>
      </w:tr>
      <w:tr w:rsidR="00B6147F" w:rsidRPr="004E5E2F" w14:paraId="74763147" w14:textId="77777777" w:rsidTr="003510FA">
        <w:trPr>
          <w:cnfStyle w:val="000000100000" w:firstRow="0" w:lastRow="0" w:firstColumn="0" w:lastColumn="0" w:oddVBand="0" w:evenVBand="0" w:oddHBand="1" w:evenHBand="0" w:firstRowFirstColumn="0" w:firstRowLastColumn="0" w:lastRowFirstColumn="0" w:lastRowLastColumn="0"/>
        </w:trPr>
        <w:tc>
          <w:tcPr>
            <w:tcW w:w="0" w:type="pct"/>
            <w:tcBorders>
              <w:top w:val="single" w:sz="4" w:space="0" w:color="68CEF6" w:themeColor="accent4"/>
              <w:bottom w:val="nil"/>
            </w:tcBorders>
          </w:tcPr>
          <w:p w14:paraId="1378D3A5" w14:textId="77777777" w:rsidR="005E0044" w:rsidRPr="004E5E2F" w:rsidRDefault="005E0044" w:rsidP="004E5E2F">
            <w:pPr>
              <w:rPr>
                <w:rFonts w:cs="Calibri"/>
                <w:szCs w:val="22"/>
              </w:rPr>
            </w:pPr>
            <w:r w:rsidRPr="004E5E2F">
              <w:rPr>
                <w:rFonts w:cs="Calibri"/>
                <w:szCs w:val="22"/>
              </w:rPr>
              <w:t>Status updates on data development</w:t>
            </w:r>
          </w:p>
        </w:tc>
        <w:tc>
          <w:tcPr>
            <w:tcW w:w="0" w:type="pct"/>
            <w:tcBorders>
              <w:top w:val="single" w:sz="4" w:space="0" w:color="68CEF6" w:themeColor="accent4"/>
              <w:bottom w:val="nil"/>
            </w:tcBorders>
          </w:tcPr>
          <w:p w14:paraId="41A38A2D" w14:textId="77777777" w:rsidR="00B6147F" w:rsidRDefault="005E0044" w:rsidP="004E5E2F">
            <w:pPr>
              <w:rPr>
                <w:rFonts w:cs="Calibri"/>
                <w:szCs w:val="22"/>
              </w:rPr>
            </w:pPr>
            <w:r w:rsidRPr="004E5E2F">
              <w:rPr>
                <w:rFonts w:cs="Calibri"/>
                <w:szCs w:val="22"/>
              </w:rPr>
              <w:t xml:space="preserve">Status updates will assess progress towards developing data sources for indicator measures currently identified as data gaps in the Outcomes Framework. </w:t>
            </w:r>
            <w:r w:rsidR="00AC0938" w:rsidRPr="004E5E2F">
              <w:rPr>
                <w:rFonts w:cs="Calibri"/>
                <w:szCs w:val="22"/>
              </w:rPr>
              <w:t xml:space="preserve">The </w:t>
            </w:r>
            <w:r w:rsidRPr="004E5E2F">
              <w:rPr>
                <w:rFonts w:cs="Calibri"/>
                <w:szCs w:val="22"/>
              </w:rPr>
              <w:t>Government will monitor new data assets for application to address these gaps.</w:t>
            </w:r>
          </w:p>
          <w:p w14:paraId="171CA8D4" w14:textId="77777777" w:rsidR="003510FA" w:rsidRDefault="003510FA" w:rsidP="004E5E2F">
            <w:pPr>
              <w:rPr>
                <w:rFonts w:cs="Calibri"/>
                <w:szCs w:val="22"/>
              </w:rPr>
            </w:pPr>
          </w:p>
          <w:p w14:paraId="386021CD" w14:textId="77777777" w:rsidR="003510FA" w:rsidRDefault="003510FA" w:rsidP="004E5E2F">
            <w:pPr>
              <w:rPr>
                <w:rFonts w:cs="Calibri"/>
                <w:szCs w:val="22"/>
              </w:rPr>
            </w:pPr>
          </w:p>
          <w:p w14:paraId="4BEE678E" w14:textId="77777777" w:rsidR="003510FA" w:rsidRDefault="003510FA" w:rsidP="004E5E2F">
            <w:pPr>
              <w:rPr>
                <w:rFonts w:cs="Calibri"/>
                <w:szCs w:val="22"/>
              </w:rPr>
            </w:pPr>
          </w:p>
          <w:p w14:paraId="1D5C2EA5" w14:textId="21B14972" w:rsidR="003510FA" w:rsidRPr="004E5E2F" w:rsidRDefault="003510FA" w:rsidP="004E5E2F">
            <w:pPr>
              <w:rPr>
                <w:rFonts w:cs="Calibri"/>
                <w:szCs w:val="22"/>
              </w:rPr>
            </w:pPr>
          </w:p>
        </w:tc>
      </w:tr>
      <w:tr w:rsidR="005E0044" w:rsidRPr="004E5E2F" w14:paraId="3373E0BC" w14:textId="77777777" w:rsidTr="003510FA">
        <w:trPr>
          <w:cnfStyle w:val="000000010000" w:firstRow="0" w:lastRow="0" w:firstColumn="0" w:lastColumn="0" w:oddVBand="0" w:evenVBand="0" w:oddHBand="0" w:evenHBand="1" w:firstRowFirstColumn="0" w:firstRowLastColumn="0" w:lastRowFirstColumn="0" w:lastRowLastColumn="0"/>
        </w:trPr>
        <w:tc>
          <w:tcPr>
            <w:tcW w:w="5000" w:type="pct"/>
            <w:gridSpan w:val="2"/>
            <w:tcBorders>
              <w:top w:val="nil"/>
            </w:tcBorders>
            <w:shd w:val="clear" w:color="auto" w:fill="E0F5FD" w:themeFill="accent4" w:themeFillTint="33"/>
          </w:tcPr>
          <w:p w14:paraId="754D599D" w14:textId="6E2FAD3F" w:rsidR="005E0044" w:rsidRPr="004E5E2F" w:rsidRDefault="005E0044" w:rsidP="00095C48">
            <w:pPr>
              <w:pStyle w:val="BodyText"/>
              <w:spacing w:after="120" w:line="240" w:lineRule="auto"/>
              <w:rPr>
                <w:rFonts w:ascii="Calibri" w:hAnsi="Calibri" w:cs="Calibri"/>
                <w:b/>
                <w:bCs/>
                <w:color w:val="002A3F" w:themeColor="accent2"/>
                <w:sz w:val="22"/>
                <w:szCs w:val="22"/>
                <w:lang w:bidi="ar-SA"/>
              </w:rPr>
            </w:pPr>
            <w:r w:rsidRPr="004E5E2F">
              <w:rPr>
                <w:rFonts w:ascii="Calibri" w:hAnsi="Calibri" w:cs="Calibri"/>
                <w:b/>
                <w:bCs/>
                <w:color w:val="002A3F" w:themeColor="accent2"/>
                <w:sz w:val="22"/>
                <w:szCs w:val="22"/>
                <w:lang w:bidi="ar-SA"/>
              </w:rPr>
              <w:lastRenderedPageBreak/>
              <w:t>Supplementary</w:t>
            </w:r>
            <w:r w:rsidR="00B6147F">
              <w:rPr>
                <w:rFonts w:ascii="Calibri" w:hAnsi="Calibri" w:cs="Calibri"/>
                <w:b/>
                <w:bCs/>
                <w:color w:val="002A3F" w:themeColor="accent2"/>
                <w:sz w:val="22"/>
                <w:szCs w:val="22"/>
                <w:lang w:bidi="ar-SA"/>
              </w:rPr>
              <w:t xml:space="preserve"> </w:t>
            </w:r>
            <w:r w:rsidR="00B6147F" w:rsidRPr="00B6147F">
              <w:rPr>
                <w:rFonts w:ascii="Calibri" w:hAnsi="Calibri" w:cs="Calibri"/>
                <w:b/>
                <w:bCs/>
                <w:color w:val="002A3F" w:themeColor="accent2"/>
                <w:sz w:val="22"/>
                <w:szCs w:val="22"/>
                <w:lang w:bidi="ar-SA"/>
              </w:rPr>
              <w:t>information, as relevant throughout the Strategy</w:t>
            </w:r>
          </w:p>
        </w:tc>
      </w:tr>
      <w:tr w:rsidR="005E0044" w:rsidRPr="004E5E2F" w14:paraId="71F066FF" w14:textId="77777777" w:rsidTr="00095C48">
        <w:trPr>
          <w:cnfStyle w:val="000000100000" w:firstRow="0" w:lastRow="0" w:firstColumn="0" w:lastColumn="0" w:oddVBand="0" w:evenVBand="0" w:oddHBand="1" w:evenHBand="0" w:firstRowFirstColumn="0" w:firstRowLastColumn="0" w:lastRowFirstColumn="0" w:lastRowLastColumn="0"/>
        </w:trPr>
        <w:tc>
          <w:tcPr>
            <w:tcW w:w="2252" w:type="pct"/>
            <w:tcBorders>
              <w:top w:val="single" w:sz="4" w:space="0" w:color="68CEF6" w:themeColor="accent4"/>
            </w:tcBorders>
          </w:tcPr>
          <w:p w14:paraId="7F815A25" w14:textId="77777777" w:rsidR="005E0044" w:rsidRPr="004E5E2F" w:rsidRDefault="005E0044" w:rsidP="004E5E2F">
            <w:pPr>
              <w:rPr>
                <w:rFonts w:cs="Calibri"/>
                <w:szCs w:val="22"/>
              </w:rPr>
            </w:pPr>
            <w:r w:rsidRPr="004E5E2F">
              <w:rPr>
                <w:rFonts w:cs="Calibri"/>
                <w:szCs w:val="22"/>
              </w:rPr>
              <w:t>Contextual information</w:t>
            </w:r>
          </w:p>
        </w:tc>
        <w:tc>
          <w:tcPr>
            <w:tcW w:w="2748" w:type="pct"/>
            <w:tcBorders>
              <w:top w:val="single" w:sz="4" w:space="0" w:color="68CEF6" w:themeColor="accent4"/>
            </w:tcBorders>
          </w:tcPr>
          <w:p w14:paraId="206C3315" w14:textId="77777777" w:rsidR="005E0044" w:rsidRPr="004E5E2F" w:rsidRDefault="005E0044" w:rsidP="004E5E2F">
            <w:pPr>
              <w:rPr>
                <w:rFonts w:cs="Calibri"/>
                <w:szCs w:val="22"/>
              </w:rPr>
            </w:pPr>
            <w:r w:rsidRPr="004E5E2F">
              <w:rPr>
                <w:rFonts w:cs="Calibri"/>
                <w:szCs w:val="22"/>
              </w:rPr>
              <w:t>Key contextual data, such as economic, social or demographic data on factors known to affect the lives of families with young children or information relevant to specific focus areas for a report.</w:t>
            </w:r>
          </w:p>
        </w:tc>
      </w:tr>
      <w:tr w:rsidR="005E0044" w:rsidRPr="004E5E2F" w14:paraId="04A7C687" w14:textId="77777777" w:rsidTr="00095C48">
        <w:trPr>
          <w:cnfStyle w:val="000000010000" w:firstRow="0" w:lastRow="0" w:firstColumn="0" w:lastColumn="0" w:oddVBand="0" w:evenVBand="0" w:oddHBand="0" w:evenHBand="1" w:firstRowFirstColumn="0" w:firstRowLastColumn="0" w:lastRowFirstColumn="0" w:lastRowLastColumn="0"/>
        </w:trPr>
        <w:tc>
          <w:tcPr>
            <w:tcW w:w="2252" w:type="pct"/>
            <w:tcBorders>
              <w:top w:val="single" w:sz="4" w:space="0" w:color="68CEF6" w:themeColor="accent4"/>
            </w:tcBorders>
          </w:tcPr>
          <w:p w14:paraId="2EAC3195" w14:textId="6B6A9367" w:rsidR="005E0044" w:rsidRPr="004E5E2F" w:rsidRDefault="005E0044" w:rsidP="004E5E2F">
            <w:pPr>
              <w:rPr>
                <w:rFonts w:cs="Calibri"/>
                <w:szCs w:val="22"/>
              </w:rPr>
            </w:pPr>
            <w:r w:rsidRPr="004E5E2F">
              <w:rPr>
                <w:rFonts w:cs="Calibri"/>
                <w:szCs w:val="22"/>
              </w:rPr>
              <w:t>Lived/living experience</w:t>
            </w:r>
          </w:p>
        </w:tc>
        <w:tc>
          <w:tcPr>
            <w:tcW w:w="2748" w:type="pct"/>
            <w:tcBorders>
              <w:top w:val="single" w:sz="4" w:space="0" w:color="68CEF6" w:themeColor="accent4"/>
            </w:tcBorders>
          </w:tcPr>
          <w:p w14:paraId="1EF6FF2B" w14:textId="77777777" w:rsidR="005E0044" w:rsidRPr="004E5E2F" w:rsidRDefault="005E0044" w:rsidP="004E5E2F">
            <w:pPr>
              <w:rPr>
                <w:rFonts w:cs="Calibri"/>
                <w:szCs w:val="22"/>
              </w:rPr>
            </w:pPr>
            <w:r w:rsidRPr="004E5E2F">
              <w:rPr>
                <w:rFonts w:cs="Calibri"/>
                <w:szCs w:val="22"/>
              </w:rPr>
              <w:t>Data that reflects the views and lived experiences of children, parents, caregivers, kin and communities in relation to different outcome areas.</w:t>
            </w:r>
          </w:p>
        </w:tc>
      </w:tr>
    </w:tbl>
    <w:p w14:paraId="587C58E3" w14:textId="284C148C" w:rsidR="002E0FD8" w:rsidRDefault="002E0FD8" w:rsidP="005E0044"/>
    <w:p w14:paraId="11D6FBDC" w14:textId="7103C3A1" w:rsidR="0072401E" w:rsidRDefault="005E0044" w:rsidP="00095C48">
      <w:r>
        <w:t xml:space="preserve">Where the </w:t>
      </w:r>
      <w:r w:rsidRPr="005E1232">
        <w:t xml:space="preserve">measures and data sources </w:t>
      </w:r>
      <w:r>
        <w:t xml:space="preserve">have been identified, the Government should </w:t>
      </w:r>
      <w:r w:rsidRPr="005537A0">
        <w:t xml:space="preserve">review available data at regular intervals </w:t>
      </w:r>
      <w:r>
        <w:t xml:space="preserve">to understand the progress being made under the </w:t>
      </w:r>
      <w:r w:rsidR="00B77FDC">
        <w:t>S</w:t>
      </w:r>
      <w:r>
        <w:t>trategy. The Government will also regularly consider if the indicator measures are using the most robust and timely data</w:t>
      </w:r>
      <w:r w:rsidRPr="005E1232">
        <w:rPr>
          <w:lang w:bidi="en-US"/>
        </w:rPr>
        <w:t>.</w:t>
      </w:r>
      <w:bookmarkStart w:id="54" w:name="_Toc207286652"/>
      <w:bookmarkStart w:id="55" w:name="_Toc215146319"/>
    </w:p>
    <w:p w14:paraId="0E65E87E" w14:textId="6D428DFE" w:rsidR="00B77FDC" w:rsidRDefault="00A830C5" w:rsidP="0072401E">
      <w:pPr>
        <w:spacing w:after="240"/>
      </w:pPr>
      <w:r>
        <w:rPr>
          <w:noProof/>
        </w:rPr>
        <w:drawing>
          <wp:anchor distT="0" distB="0" distL="114300" distR="114300" simplePos="0" relativeHeight="251704320" behindDoc="0" locked="0" layoutInCell="1" allowOverlap="1" wp14:anchorId="556E5242" wp14:editId="0F04C28D">
            <wp:simplePos x="0" y="0"/>
            <wp:positionH relativeFrom="margin">
              <wp:posOffset>-2362200</wp:posOffset>
            </wp:positionH>
            <wp:positionV relativeFrom="paragraph">
              <wp:posOffset>544689</wp:posOffset>
            </wp:positionV>
            <wp:extent cx="9887585" cy="6245860"/>
            <wp:effectExtent l="0" t="0" r="0" b="2540"/>
            <wp:wrapNone/>
            <wp:docPr id="1728225158"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01877" name="Picture 7">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a:ext>
                      </a:extLst>
                    </a:blip>
                    <a:stretch>
                      <a:fillRect/>
                    </a:stretch>
                  </pic:blipFill>
                  <pic:spPr>
                    <a:xfrm>
                      <a:off x="0" y="0"/>
                      <a:ext cx="9887585" cy="6245860"/>
                    </a:xfrm>
                    <a:prstGeom prst="rect">
                      <a:avLst/>
                    </a:prstGeom>
                  </pic:spPr>
                </pic:pic>
              </a:graphicData>
            </a:graphic>
            <wp14:sizeRelH relativeFrom="page">
              <wp14:pctWidth>0</wp14:pctWidth>
            </wp14:sizeRelH>
            <wp14:sizeRelV relativeFrom="page">
              <wp14:pctHeight>0</wp14:pctHeight>
            </wp14:sizeRelV>
          </wp:anchor>
        </w:drawing>
      </w:r>
      <w:r w:rsidR="003C3D60" w:rsidRPr="00875521">
        <w:rPr>
          <w:noProof/>
        </w:rPr>
        <w:drawing>
          <wp:anchor distT="0" distB="0" distL="114300" distR="114300" simplePos="0" relativeHeight="251738112" behindDoc="1" locked="0" layoutInCell="1" allowOverlap="1" wp14:anchorId="6B9039B9" wp14:editId="6D4B01FE">
            <wp:simplePos x="0" y="0"/>
            <wp:positionH relativeFrom="margin">
              <wp:posOffset>-2141291</wp:posOffset>
            </wp:positionH>
            <wp:positionV relativeFrom="paragraph">
              <wp:posOffset>544054</wp:posOffset>
            </wp:positionV>
            <wp:extent cx="9470283" cy="5981638"/>
            <wp:effectExtent l="0" t="0" r="4445" b="635"/>
            <wp:wrapNone/>
            <wp:docPr id="1668117140"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117140" name="Picture 4">
                      <a:extLst>
                        <a:ext uri="{C183D7F6-B498-43B3-948B-1728B52AA6E4}">
                          <adec:decorative xmlns:adec="http://schemas.microsoft.com/office/drawing/2017/decorative" val="1"/>
                        </a:ext>
                      </a:extLst>
                    </pic:cNvPr>
                    <pic:cNvPicPr>
                      <a:picLocks noChangeAspect="1" noChangeArrowheads="1"/>
                    </pic:cNvPicPr>
                  </pic:nvPicPr>
                  <pic:blipFill>
                    <a:blip r:embed="rId40"/>
                    <a:srcRect t="2611" b="2611"/>
                    <a:stretch>
                      <a:fillRect/>
                    </a:stretch>
                  </pic:blipFill>
                  <pic:spPr bwMode="auto">
                    <a:xfrm>
                      <a:off x="0" y="0"/>
                      <a:ext cx="9470283" cy="5981638"/>
                    </a:xfrm>
                    <a:prstGeom prst="ellipse">
                      <a:avLst/>
                    </a:prstGeom>
                    <a:noFill/>
                    <a:ln>
                      <a:noFill/>
                    </a:ln>
                  </pic:spPr>
                </pic:pic>
              </a:graphicData>
            </a:graphic>
            <wp14:sizeRelH relativeFrom="margin">
              <wp14:pctWidth>0</wp14:pctWidth>
            </wp14:sizeRelH>
            <wp14:sizeRelV relativeFrom="margin">
              <wp14:pctHeight>0</wp14:pctHeight>
            </wp14:sizeRelV>
          </wp:anchor>
        </w:drawing>
      </w:r>
    </w:p>
    <w:p w14:paraId="4B262D53" w14:textId="6309DCA8" w:rsidR="00B77FDC" w:rsidRDefault="00B77FDC" w:rsidP="0072401E">
      <w:pPr>
        <w:spacing w:after="240"/>
      </w:pPr>
    </w:p>
    <w:p w14:paraId="2BFF250D" w14:textId="1F7F2F34" w:rsidR="00875521" w:rsidRPr="00875521" w:rsidRDefault="00875521" w:rsidP="00875521">
      <w:pPr>
        <w:spacing w:after="240"/>
        <w:rPr>
          <w:noProof/>
        </w:rPr>
      </w:pPr>
    </w:p>
    <w:p w14:paraId="1F97EBC3" w14:textId="3DBBB58C" w:rsidR="00B77FDC" w:rsidRDefault="00B77FDC" w:rsidP="0072401E">
      <w:pPr>
        <w:spacing w:after="240"/>
      </w:pPr>
    </w:p>
    <w:p w14:paraId="7FF6BF04" w14:textId="5BD8A544" w:rsidR="00B77FDC" w:rsidRDefault="00B77FDC" w:rsidP="0072401E">
      <w:pPr>
        <w:spacing w:after="240"/>
      </w:pPr>
    </w:p>
    <w:p w14:paraId="158C0D3C" w14:textId="57EF2CDD" w:rsidR="00B77FDC" w:rsidRDefault="00B77FDC" w:rsidP="0072401E">
      <w:pPr>
        <w:spacing w:after="240"/>
      </w:pPr>
    </w:p>
    <w:p w14:paraId="31A7C4BE" w14:textId="37B54F3D" w:rsidR="00B77FDC" w:rsidRDefault="00B77FDC" w:rsidP="0072401E">
      <w:pPr>
        <w:spacing w:after="240"/>
      </w:pPr>
    </w:p>
    <w:p w14:paraId="309B7484" w14:textId="5930142A" w:rsidR="00B77FDC" w:rsidRDefault="00B77FDC" w:rsidP="0072401E">
      <w:pPr>
        <w:spacing w:after="240"/>
      </w:pPr>
    </w:p>
    <w:p w14:paraId="497564B8" w14:textId="6570379E" w:rsidR="00B77FDC" w:rsidRDefault="00B77FDC" w:rsidP="0072401E">
      <w:pPr>
        <w:spacing w:after="240"/>
      </w:pPr>
    </w:p>
    <w:p w14:paraId="6C792FC5" w14:textId="41BEB77E" w:rsidR="00B77FDC" w:rsidRDefault="00B77FDC" w:rsidP="0072401E">
      <w:pPr>
        <w:spacing w:after="240"/>
      </w:pPr>
    </w:p>
    <w:p w14:paraId="7BC0C011" w14:textId="77777777" w:rsidR="00B77FDC" w:rsidRDefault="00B77FDC" w:rsidP="0072401E">
      <w:pPr>
        <w:spacing w:after="240"/>
      </w:pPr>
    </w:p>
    <w:p w14:paraId="77D39775" w14:textId="77777777" w:rsidR="00B77FDC" w:rsidRDefault="00B77FDC" w:rsidP="0072401E">
      <w:pPr>
        <w:spacing w:after="240"/>
      </w:pPr>
    </w:p>
    <w:p w14:paraId="6E6B7232" w14:textId="77777777" w:rsidR="00B77FDC" w:rsidRDefault="00B77FDC" w:rsidP="0072401E">
      <w:pPr>
        <w:spacing w:after="240"/>
      </w:pPr>
    </w:p>
    <w:p w14:paraId="74363515" w14:textId="6103D3E1" w:rsidR="00D5577C" w:rsidRPr="00151364" w:rsidRDefault="00D5577C" w:rsidP="00151364">
      <w:pPr>
        <w:pStyle w:val="Heading2"/>
        <w:spacing w:after="240"/>
        <w:rPr>
          <w:color w:val="640638"/>
        </w:rPr>
      </w:pPr>
      <w:bookmarkStart w:id="56" w:name="_Toc228974169"/>
      <w:r w:rsidRPr="00151364">
        <w:rPr>
          <w:color w:val="640638"/>
        </w:rPr>
        <w:lastRenderedPageBreak/>
        <w:t>Evaluation approach</w:t>
      </w:r>
      <w:bookmarkEnd w:id="56"/>
    </w:p>
    <w:p w14:paraId="5E9F5226" w14:textId="5A48C77D" w:rsidR="00D5577C" w:rsidRPr="004748F9" w:rsidRDefault="00D5577C" w:rsidP="00D5577C">
      <w:r w:rsidRPr="004748F9">
        <w:t xml:space="preserve">A formal evaluation of the Strategy will be undertaken in the final </w:t>
      </w:r>
      <w:r w:rsidR="00AC0938">
        <w:t>3</w:t>
      </w:r>
      <w:r w:rsidRPr="004748F9">
        <w:t xml:space="preserve"> years of the Strategy. The Framework’s evaluation approach focuses on evaluating progress under the Strategy as a whole; that is, the collective impact from actions across Government program and policy areas. However, the Government also recognises the value and importance of ongoing evaluation and may consider additional evaluations during the life of the Strategy</w:t>
      </w:r>
      <w:r w:rsidR="00AC0938">
        <w:t xml:space="preserve">, </w:t>
      </w:r>
      <w:r w:rsidRPr="004748F9">
        <w:t xml:space="preserve">as appropriate. </w:t>
      </w:r>
    </w:p>
    <w:p w14:paraId="779C18F2" w14:textId="733BFF08" w:rsidR="00F07A34" w:rsidRDefault="00D5577C" w:rsidP="00B77FDC">
      <w:pPr>
        <w:rPr>
          <w:rFonts w:eastAsiaTheme="majorEastAsia" w:cstheme="majorBidi"/>
          <w:bCs/>
          <w:color w:val="002A3F" w:themeColor="accent2"/>
          <w:sz w:val="36"/>
        </w:rPr>
      </w:pPr>
      <w:r w:rsidRPr="004748F9">
        <w:t>Under this Framework, the evaluation approach focusses on formal evaluation and outlines key focus areas, questions, and considerations for designing and conducting a formal evaluation.</w:t>
      </w:r>
      <w:r w:rsidR="00B77FDC">
        <w:t xml:space="preserve"> </w:t>
      </w:r>
    </w:p>
    <w:p w14:paraId="4D3D131D" w14:textId="77777777" w:rsidR="005E0044" w:rsidRDefault="005E0044" w:rsidP="00151364">
      <w:pPr>
        <w:pStyle w:val="Heading3"/>
        <w:spacing w:after="240"/>
      </w:pPr>
      <w:bookmarkStart w:id="57" w:name="_Toc215146320"/>
      <w:bookmarkStart w:id="58" w:name="_Toc228974170"/>
      <w:bookmarkEnd w:id="54"/>
      <w:bookmarkEnd w:id="55"/>
      <w:r>
        <w:t>Evaluation focus areas</w:t>
      </w:r>
      <w:bookmarkEnd w:id="57"/>
      <w:bookmarkEnd w:id="58"/>
    </w:p>
    <w:p w14:paraId="3B131F72" w14:textId="5FD99269" w:rsidR="005E0044" w:rsidRPr="004748F9" w:rsidRDefault="005E0044" w:rsidP="00DF2AFB">
      <w:r w:rsidRPr="004748F9">
        <w:t>The formal evaluation should cover the following key focus areas:</w:t>
      </w:r>
    </w:p>
    <w:p w14:paraId="67AA1F12" w14:textId="7CD8A0B6" w:rsidR="005E0044" w:rsidRPr="004748F9" w:rsidRDefault="005E0044" w:rsidP="00FE0E32">
      <w:pPr>
        <w:pStyle w:val="ListParagraph"/>
        <w:numPr>
          <w:ilvl w:val="0"/>
          <w:numId w:val="3"/>
        </w:numPr>
        <w:rPr>
          <w:rFonts w:cs="Calibri"/>
          <w:szCs w:val="22"/>
        </w:rPr>
      </w:pPr>
      <w:r w:rsidRPr="004748F9">
        <w:rPr>
          <w:rFonts w:cs="Calibri"/>
          <w:b/>
          <w:bCs/>
          <w:szCs w:val="22"/>
        </w:rPr>
        <w:t>Appropriateness</w:t>
      </w:r>
      <w:r w:rsidRPr="004748F9">
        <w:rPr>
          <w:rFonts w:cs="Calibri"/>
          <w:szCs w:val="22"/>
        </w:rPr>
        <w:t>: have the key elements of the Strategy – e.g. action plans, governance, principles, Outcomes Framework – supported achievement of the Strategy’s vision and outcomes?</w:t>
      </w:r>
    </w:p>
    <w:p w14:paraId="0476DA66" w14:textId="7A8889E9" w:rsidR="005E0044" w:rsidRPr="004748F9" w:rsidRDefault="005E0044" w:rsidP="00FE0E32">
      <w:pPr>
        <w:pStyle w:val="ListParagraph"/>
        <w:numPr>
          <w:ilvl w:val="0"/>
          <w:numId w:val="3"/>
        </w:numPr>
        <w:rPr>
          <w:rFonts w:cs="Calibri"/>
          <w:szCs w:val="22"/>
        </w:rPr>
      </w:pPr>
      <w:r w:rsidRPr="004748F9">
        <w:rPr>
          <w:rFonts w:cs="Calibri"/>
          <w:b/>
          <w:bCs/>
          <w:szCs w:val="22"/>
        </w:rPr>
        <w:t>Implementation</w:t>
      </w:r>
      <w:r w:rsidRPr="004748F9">
        <w:rPr>
          <w:rFonts w:cs="Calibri"/>
          <w:szCs w:val="22"/>
        </w:rPr>
        <w:t>: have all aspects of the Strategy been implemented as intended? That is, in line with the actions in the</w:t>
      </w:r>
      <w:r w:rsidR="008E733F">
        <w:rPr>
          <w:rFonts w:cs="Calibri"/>
          <w:szCs w:val="22"/>
        </w:rPr>
        <w:t xml:space="preserve"> </w:t>
      </w:r>
      <w:r w:rsidR="00AC0938">
        <w:rPr>
          <w:rFonts w:cs="Calibri"/>
          <w:szCs w:val="22"/>
        </w:rPr>
        <w:t>a</w:t>
      </w:r>
      <w:r w:rsidRPr="004748F9">
        <w:rPr>
          <w:rFonts w:cs="Calibri"/>
          <w:szCs w:val="22"/>
        </w:rPr>
        <w:t xml:space="preserve">ction </w:t>
      </w:r>
      <w:r w:rsidR="00AC0938">
        <w:rPr>
          <w:rFonts w:cs="Calibri"/>
          <w:szCs w:val="22"/>
        </w:rPr>
        <w:t>p</w:t>
      </w:r>
      <w:r w:rsidRPr="004748F9">
        <w:rPr>
          <w:rFonts w:cs="Calibri"/>
          <w:szCs w:val="22"/>
        </w:rPr>
        <w:t>lans, priority focus areas and principles?</w:t>
      </w:r>
    </w:p>
    <w:p w14:paraId="5EA51AE6" w14:textId="77777777" w:rsidR="005E0044" w:rsidRPr="004748F9" w:rsidRDefault="005E0044" w:rsidP="00FE0E32">
      <w:pPr>
        <w:pStyle w:val="ListParagraph"/>
        <w:numPr>
          <w:ilvl w:val="0"/>
          <w:numId w:val="3"/>
        </w:numPr>
        <w:rPr>
          <w:rFonts w:cs="Calibri"/>
          <w:szCs w:val="22"/>
        </w:rPr>
      </w:pPr>
      <w:r w:rsidRPr="004748F9">
        <w:rPr>
          <w:rFonts w:cs="Calibri"/>
          <w:b/>
          <w:bCs/>
          <w:szCs w:val="22"/>
        </w:rPr>
        <w:t>Effectiveness</w:t>
      </w:r>
      <w:r w:rsidRPr="004748F9">
        <w:rPr>
          <w:rFonts w:cs="Calibri"/>
          <w:szCs w:val="22"/>
        </w:rPr>
        <w:t>: to what extent have the Strategy’s outcomes been achieved and/or to what degree have actions in the action plans led or contributed to the positive changes expected?</w:t>
      </w:r>
    </w:p>
    <w:p w14:paraId="7F05CAF5" w14:textId="77777777" w:rsidR="005E0044" w:rsidRPr="004748F9" w:rsidRDefault="005E0044" w:rsidP="00FE0E32">
      <w:pPr>
        <w:pStyle w:val="ListParagraph"/>
        <w:numPr>
          <w:ilvl w:val="0"/>
          <w:numId w:val="3"/>
        </w:numPr>
        <w:rPr>
          <w:rFonts w:cs="Calibri"/>
          <w:szCs w:val="22"/>
        </w:rPr>
      </w:pPr>
      <w:r w:rsidRPr="004748F9">
        <w:rPr>
          <w:rFonts w:cs="Calibri"/>
          <w:b/>
          <w:bCs/>
          <w:szCs w:val="22"/>
        </w:rPr>
        <w:t>Strategic Impact</w:t>
      </w:r>
      <w:r w:rsidRPr="004748F9">
        <w:rPr>
          <w:rFonts w:cs="Calibri"/>
          <w:szCs w:val="22"/>
        </w:rPr>
        <w:t>: what has been the overall impact of the Strategy, that is, the nature and extent of any broader, lasting changes resulting from the Strategy?</w:t>
      </w:r>
    </w:p>
    <w:p w14:paraId="1C481E4E" w14:textId="77777777" w:rsidR="005E0044" w:rsidRPr="004748F9" w:rsidRDefault="005E0044" w:rsidP="00DF2AFB">
      <w:r w:rsidRPr="004748F9">
        <w:t xml:space="preserve">While the formal evaluation should cover these focus areas, its main purpose will be to understand the effectiveness and overall impact of the Strategy during its 10-year life. This will include understanding the drivers or barriers to success, and what works for families and children in the early years. The purpose will be to generate key learnings to inform the Government’s future priorities and investments in the early years beyond the life of the Strategy. </w:t>
      </w:r>
    </w:p>
    <w:p w14:paraId="15BF4F36" w14:textId="77777777" w:rsidR="005E0044" w:rsidRDefault="005E0044" w:rsidP="00151364">
      <w:pPr>
        <w:pStyle w:val="Heading3"/>
        <w:spacing w:after="240"/>
      </w:pPr>
      <w:bookmarkStart w:id="59" w:name="_Toc215146321"/>
      <w:bookmarkStart w:id="60" w:name="_Toc228974171"/>
      <w:r>
        <w:t>Key</w:t>
      </w:r>
      <w:r w:rsidRPr="0055292C">
        <w:t xml:space="preserve"> evaluation questions</w:t>
      </w:r>
      <w:bookmarkEnd w:id="59"/>
      <w:bookmarkEnd w:id="60"/>
    </w:p>
    <w:p w14:paraId="3618E5DB" w14:textId="62951609" w:rsidR="0072401E" w:rsidRPr="00DF2AFB" w:rsidRDefault="005E0044" w:rsidP="00DF2AFB">
      <w:r w:rsidRPr="004748F9">
        <w:t xml:space="preserve">Some broad evaluation questions are provided below that cover these focus areas. These questions are provided for guidance only and may need to be further refined ahead of the formal evaluation taking place, with additional sub-questions developed. This approach will enable engagement with key stakeholders on the final evaluation questions, including </w:t>
      </w:r>
      <w:r w:rsidRPr="004748F9">
        <w:lastRenderedPageBreak/>
        <w:t>children and parents, and allow flexibility for additional questions to be included to respond to and address future issues as they arise.</w:t>
      </w:r>
    </w:p>
    <w:p w14:paraId="4881D950" w14:textId="204299F4" w:rsidR="005E0044" w:rsidRPr="00405F88" w:rsidRDefault="005E0044" w:rsidP="00405F88">
      <w:pPr>
        <w:rPr>
          <w:b/>
          <w:bCs/>
        </w:rPr>
      </w:pPr>
      <w:r w:rsidRPr="00405F88">
        <w:rPr>
          <w:b/>
          <w:bCs/>
        </w:rPr>
        <w:t>Table 5: Key evaluation questions</w:t>
      </w:r>
    </w:p>
    <w:tbl>
      <w:tblPr>
        <w:tblStyle w:val="DSSTableStyleB"/>
        <w:tblW w:w="0" w:type="auto"/>
        <w:tblLook w:val="0420" w:firstRow="1" w:lastRow="0" w:firstColumn="0" w:lastColumn="0" w:noHBand="0" w:noVBand="1"/>
      </w:tblPr>
      <w:tblGrid>
        <w:gridCol w:w="2424"/>
        <w:gridCol w:w="6075"/>
      </w:tblGrid>
      <w:tr w:rsidR="005E0044" w:rsidRPr="004E5E2F" w14:paraId="51CADBD5" w14:textId="77777777" w:rsidTr="002A2FE1">
        <w:trPr>
          <w:cnfStyle w:val="100000000000" w:firstRow="1" w:lastRow="0" w:firstColumn="0" w:lastColumn="0" w:oddVBand="0" w:evenVBand="0" w:oddHBand="0" w:evenHBand="0" w:firstRowFirstColumn="0" w:firstRowLastColumn="0" w:lastRowFirstColumn="0" w:lastRowLastColumn="0"/>
        </w:trPr>
        <w:tc>
          <w:tcPr>
            <w:tcW w:w="2424" w:type="dxa"/>
            <w:shd w:val="clear" w:color="auto" w:fill="E0E9AD" w:themeFill="accent5" w:themeFillTint="66"/>
          </w:tcPr>
          <w:p w14:paraId="387ABB43" w14:textId="77777777" w:rsidR="005E0044" w:rsidRPr="004E5E2F" w:rsidRDefault="005E0044" w:rsidP="004E5E2F">
            <w:pPr>
              <w:rPr>
                <w:rFonts w:cs="Calibri"/>
                <w:szCs w:val="22"/>
              </w:rPr>
            </w:pPr>
            <w:bookmarkStart w:id="61" w:name="_Hlk215842880"/>
            <w:r w:rsidRPr="004E5E2F">
              <w:rPr>
                <w:rFonts w:cs="Calibri"/>
                <w:szCs w:val="22"/>
              </w:rPr>
              <w:t>Focus area</w:t>
            </w:r>
          </w:p>
        </w:tc>
        <w:tc>
          <w:tcPr>
            <w:tcW w:w="6075" w:type="dxa"/>
            <w:tcBorders>
              <w:bottom w:val="single" w:sz="4" w:space="0" w:color="B3C934" w:themeColor="accent5"/>
            </w:tcBorders>
            <w:shd w:val="clear" w:color="auto" w:fill="E0E9AD" w:themeFill="accent5" w:themeFillTint="66"/>
          </w:tcPr>
          <w:p w14:paraId="576ED414" w14:textId="77777777" w:rsidR="005E0044" w:rsidRPr="004E5E2F" w:rsidRDefault="005E0044" w:rsidP="004E5E2F">
            <w:pPr>
              <w:rPr>
                <w:rFonts w:cs="Calibri"/>
                <w:szCs w:val="22"/>
              </w:rPr>
            </w:pPr>
            <w:r w:rsidRPr="004E5E2F">
              <w:rPr>
                <w:rFonts w:cs="Calibri"/>
                <w:szCs w:val="22"/>
              </w:rPr>
              <w:t xml:space="preserve">Key Questions </w:t>
            </w:r>
          </w:p>
        </w:tc>
      </w:tr>
      <w:tr w:rsidR="005E0044" w:rsidRPr="004E5E2F" w14:paraId="21353726" w14:textId="77777777" w:rsidTr="002A2FE1">
        <w:trPr>
          <w:cnfStyle w:val="000000100000" w:firstRow="0" w:lastRow="0" w:firstColumn="0" w:lastColumn="0" w:oddVBand="0" w:evenVBand="0" w:oddHBand="1" w:evenHBand="0" w:firstRowFirstColumn="0" w:firstRowLastColumn="0" w:lastRowFirstColumn="0" w:lastRowLastColumn="0"/>
        </w:trPr>
        <w:tc>
          <w:tcPr>
            <w:tcW w:w="2424" w:type="dxa"/>
            <w:tcBorders>
              <w:top w:val="single" w:sz="4" w:space="0" w:color="B3C934" w:themeColor="accent5"/>
            </w:tcBorders>
          </w:tcPr>
          <w:p w14:paraId="351051AE" w14:textId="1C100803" w:rsidR="005E0044" w:rsidRPr="004E5E2F" w:rsidRDefault="004E5E2F" w:rsidP="00095C48">
            <w:pPr>
              <w:pStyle w:val="TableBullets1"/>
              <w:spacing w:line="240" w:lineRule="auto"/>
              <w:jc w:val="both"/>
              <w:rPr>
                <w:rFonts w:ascii="Calibri" w:hAnsi="Calibri" w:cs="Calibri"/>
                <w:szCs w:val="22"/>
              </w:rPr>
            </w:pPr>
            <w:r w:rsidRPr="00095C48">
              <w:rPr>
                <w:rFonts w:ascii="Calibri" w:hAnsi="Calibri" w:cs="Calibri"/>
                <w:color w:val="auto"/>
                <w:szCs w:val="22"/>
              </w:rPr>
              <w:t>A</w:t>
            </w:r>
            <w:r w:rsidRPr="00095C48">
              <w:rPr>
                <w:rFonts w:ascii="Calibri" w:eastAsia="Times New Roman" w:hAnsi="Calibri" w:cs="Calibri"/>
                <w:color w:val="auto"/>
                <w:szCs w:val="22"/>
              </w:rPr>
              <w:t>ppropriateness</w:t>
            </w:r>
          </w:p>
        </w:tc>
        <w:tc>
          <w:tcPr>
            <w:tcW w:w="6075" w:type="dxa"/>
            <w:tcBorders>
              <w:top w:val="single" w:sz="4" w:space="0" w:color="B3C934" w:themeColor="accent5"/>
              <w:bottom w:val="single" w:sz="4" w:space="0" w:color="B3C934" w:themeColor="accent5"/>
            </w:tcBorders>
          </w:tcPr>
          <w:p w14:paraId="4E1A618B" w14:textId="77777777" w:rsidR="005E0044" w:rsidRPr="004E5E2F" w:rsidRDefault="005E0044" w:rsidP="00095C48">
            <w:pPr>
              <w:pStyle w:val="TableBullets1"/>
              <w:numPr>
                <w:ilvl w:val="6"/>
                <w:numId w:val="33"/>
              </w:numPr>
              <w:spacing w:after="0" w:line="240" w:lineRule="auto"/>
              <w:ind w:left="473"/>
              <w:rPr>
                <w:rFonts w:ascii="Calibri" w:hAnsi="Calibri" w:cs="Calibri"/>
                <w:szCs w:val="22"/>
              </w:rPr>
            </w:pPr>
            <w:r w:rsidRPr="004E5E2F">
              <w:rPr>
                <w:rFonts w:ascii="Calibri" w:hAnsi="Calibri" w:cs="Calibri"/>
                <w:szCs w:val="22"/>
              </w:rPr>
              <w:t>How appropriate were the various elements of the Strategy infrastructure in supporting achievement of the Strategy’s vision and outcomes (that is, the priority focus areas, actions and action plans, Outcomes Framework, Monitoring and Evaluation Framework, principles and governance arrangements)?</w:t>
            </w:r>
          </w:p>
          <w:p w14:paraId="651CE976" w14:textId="77777777" w:rsidR="005E0044" w:rsidRPr="004E5E2F" w:rsidRDefault="005E0044" w:rsidP="00095C48">
            <w:pPr>
              <w:pStyle w:val="TableBullets1"/>
              <w:numPr>
                <w:ilvl w:val="6"/>
                <w:numId w:val="33"/>
              </w:numPr>
              <w:spacing w:after="0" w:line="240" w:lineRule="auto"/>
              <w:ind w:left="473"/>
              <w:rPr>
                <w:rFonts w:ascii="Calibri" w:hAnsi="Calibri" w:cs="Calibri"/>
                <w:szCs w:val="22"/>
              </w:rPr>
            </w:pPr>
            <w:r w:rsidRPr="004E5E2F">
              <w:rPr>
                <w:rFonts w:ascii="Calibri" w:hAnsi="Calibri" w:cs="Calibri"/>
                <w:szCs w:val="22"/>
              </w:rPr>
              <w:t>How well did these elements drive collaboration across the early years system (including with states and territories and other non-government partners)?</w:t>
            </w:r>
          </w:p>
        </w:tc>
      </w:tr>
      <w:tr w:rsidR="005E0044" w:rsidRPr="004E5E2F" w14:paraId="459EE491" w14:textId="77777777" w:rsidTr="002A2FE1">
        <w:trPr>
          <w:cnfStyle w:val="000000010000" w:firstRow="0" w:lastRow="0" w:firstColumn="0" w:lastColumn="0" w:oddVBand="0" w:evenVBand="0" w:oddHBand="0" w:evenHBand="1" w:firstRowFirstColumn="0" w:firstRowLastColumn="0" w:lastRowFirstColumn="0" w:lastRowLastColumn="0"/>
        </w:trPr>
        <w:tc>
          <w:tcPr>
            <w:tcW w:w="2424" w:type="dxa"/>
            <w:tcBorders>
              <w:top w:val="single" w:sz="4" w:space="0" w:color="B3C934" w:themeColor="accent5"/>
            </w:tcBorders>
          </w:tcPr>
          <w:p w14:paraId="4FAB01AF" w14:textId="23F9CBA5" w:rsidR="005E0044" w:rsidRPr="004E5E2F" w:rsidRDefault="004E5E2F" w:rsidP="00095C48">
            <w:pPr>
              <w:pStyle w:val="TableBullets1"/>
              <w:spacing w:line="240" w:lineRule="auto"/>
              <w:ind w:left="340" w:hanging="227"/>
              <w:rPr>
                <w:rFonts w:ascii="Calibri" w:hAnsi="Calibri" w:cs="Calibri"/>
                <w:szCs w:val="22"/>
              </w:rPr>
            </w:pPr>
            <w:r w:rsidRPr="00095C48">
              <w:rPr>
                <w:rFonts w:ascii="Calibri" w:hAnsi="Calibri" w:cs="Calibri"/>
                <w:color w:val="auto"/>
                <w:szCs w:val="22"/>
              </w:rPr>
              <w:t>Implementation</w:t>
            </w:r>
          </w:p>
        </w:tc>
        <w:tc>
          <w:tcPr>
            <w:tcW w:w="6075" w:type="dxa"/>
            <w:tcBorders>
              <w:top w:val="single" w:sz="4" w:space="0" w:color="B3C934" w:themeColor="accent5"/>
              <w:bottom w:val="single" w:sz="4" w:space="0" w:color="B3C934" w:themeColor="accent5"/>
            </w:tcBorders>
          </w:tcPr>
          <w:p w14:paraId="6E6C72F5" w14:textId="77777777" w:rsidR="005E0044" w:rsidRPr="004E5E2F" w:rsidRDefault="005E0044" w:rsidP="00095C48">
            <w:pPr>
              <w:pStyle w:val="TableBullets1"/>
              <w:numPr>
                <w:ilvl w:val="6"/>
                <w:numId w:val="10"/>
              </w:numPr>
              <w:spacing w:after="0" w:line="240" w:lineRule="auto"/>
              <w:ind w:left="473"/>
              <w:rPr>
                <w:rFonts w:ascii="Calibri" w:hAnsi="Calibri" w:cs="Calibri"/>
                <w:szCs w:val="22"/>
              </w:rPr>
            </w:pPr>
            <w:r w:rsidRPr="004E5E2F">
              <w:rPr>
                <w:rFonts w:ascii="Calibri" w:hAnsi="Calibri" w:cs="Calibri"/>
                <w:szCs w:val="22"/>
              </w:rPr>
              <w:t xml:space="preserve">To what extent were actions in the action plans implemented, and who were the target cohorts? </w:t>
            </w:r>
          </w:p>
          <w:p w14:paraId="51831FC8" w14:textId="77777777" w:rsidR="005E0044" w:rsidRPr="004E5E2F" w:rsidRDefault="005E0044" w:rsidP="00095C48">
            <w:pPr>
              <w:pStyle w:val="TableBullets2"/>
              <w:spacing w:line="240" w:lineRule="auto"/>
              <w:rPr>
                <w:rFonts w:ascii="Calibri" w:hAnsi="Calibri" w:cs="Calibri"/>
                <w:szCs w:val="22"/>
              </w:rPr>
            </w:pPr>
            <w:r w:rsidRPr="004E5E2F">
              <w:rPr>
                <w:rFonts w:ascii="Calibri" w:hAnsi="Calibri" w:cs="Calibri"/>
                <w:szCs w:val="22"/>
              </w:rPr>
              <w:t xml:space="preserve">What supported successful implementation, and what created challenges or barriers? </w:t>
            </w:r>
          </w:p>
          <w:p w14:paraId="2E672262" w14:textId="07240053" w:rsidR="005E0044" w:rsidRPr="004E5E2F" w:rsidRDefault="005E0044" w:rsidP="00095C48">
            <w:pPr>
              <w:pStyle w:val="TableBullets1"/>
              <w:numPr>
                <w:ilvl w:val="0"/>
                <w:numId w:val="34"/>
              </w:numPr>
              <w:spacing w:after="0" w:line="240" w:lineRule="auto"/>
              <w:ind w:left="473"/>
              <w:rPr>
                <w:rFonts w:ascii="Calibri" w:hAnsi="Calibri" w:cs="Calibri"/>
                <w:szCs w:val="22"/>
              </w:rPr>
            </w:pPr>
            <w:r w:rsidRPr="004E5E2F">
              <w:rPr>
                <w:rFonts w:ascii="Calibri" w:hAnsi="Calibri" w:cs="Calibri"/>
                <w:szCs w:val="22"/>
              </w:rPr>
              <w:t>To what degree were actions implemented in alignment with the Strategy</w:t>
            </w:r>
            <w:r w:rsidR="00C03305" w:rsidRPr="004E5E2F">
              <w:rPr>
                <w:rFonts w:ascii="Calibri" w:hAnsi="Calibri" w:cs="Calibri"/>
                <w:szCs w:val="22"/>
              </w:rPr>
              <w:t>’s</w:t>
            </w:r>
            <w:r w:rsidRPr="004E5E2F">
              <w:rPr>
                <w:rFonts w:ascii="Calibri" w:hAnsi="Calibri" w:cs="Calibri"/>
                <w:szCs w:val="22"/>
              </w:rPr>
              <w:t xml:space="preserve"> principles and priority focus areas? For example, to what extent were the voices of children and families included?</w:t>
            </w:r>
          </w:p>
        </w:tc>
      </w:tr>
      <w:tr w:rsidR="005E0044" w:rsidRPr="004E5E2F" w14:paraId="7D0F5098" w14:textId="77777777" w:rsidTr="002A2FE1">
        <w:trPr>
          <w:cnfStyle w:val="000000100000" w:firstRow="0" w:lastRow="0" w:firstColumn="0" w:lastColumn="0" w:oddVBand="0" w:evenVBand="0" w:oddHBand="1" w:evenHBand="0" w:firstRowFirstColumn="0" w:firstRowLastColumn="0" w:lastRowFirstColumn="0" w:lastRowLastColumn="0"/>
        </w:trPr>
        <w:tc>
          <w:tcPr>
            <w:tcW w:w="2424" w:type="dxa"/>
            <w:tcBorders>
              <w:top w:val="single" w:sz="4" w:space="0" w:color="B3C934" w:themeColor="accent5"/>
              <w:bottom w:val="single" w:sz="4" w:space="0" w:color="B3C934" w:themeColor="accent5"/>
            </w:tcBorders>
          </w:tcPr>
          <w:p w14:paraId="4793A7D9" w14:textId="1EB77643" w:rsidR="005E0044" w:rsidRPr="004E5E2F" w:rsidRDefault="004E5E2F" w:rsidP="00095C48">
            <w:pPr>
              <w:pStyle w:val="TableBullets1"/>
              <w:spacing w:line="240" w:lineRule="auto"/>
              <w:ind w:left="340" w:hanging="227"/>
              <w:rPr>
                <w:rFonts w:ascii="Calibri" w:hAnsi="Calibri" w:cs="Calibri"/>
                <w:szCs w:val="22"/>
              </w:rPr>
            </w:pPr>
            <w:r w:rsidRPr="00095C48">
              <w:rPr>
                <w:rFonts w:ascii="Calibri" w:hAnsi="Calibri" w:cs="Calibri"/>
                <w:color w:val="auto"/>
                <w:szCs w:val="22"/>
              </w:rPr>
              <w:t>Effectiveness</w:t>
            </w:r>
          </w:p>
        </w:tc>
        <w:tc>
          <w:tcPr>
            <w:tcW w:w="6075" w:type="dxa"/>
            <w:tcBorders>
              <w:top w:val="single" w:sz="4" w:space="0" w:color="B3C934" w:themeColor="accent5"/>
              <w:bottom w:val="single" w:sz="4" w:space="0" w:color="B3C934" w:themeColor="accent5"/>
            </w:tcBorders>
          </w:tcPr>
          <w:p w14:paraId="069B137E" w14:textId="77777777" w:rsidR="005E0044" w:rsidRPr="004E5E2F" w:rsidRDefault="005E0044" w:rsidP="00095C48">
            <w:pPr>
              <w:pStyle w:val="TableBullets1"/>
              <w:numPr>
                <w:ilvl w:val="0"/>
                <w:numId w:val="34"/>
              </w:numPr>
              <w:spacing w:after="0" w:line="240" w:lineRule="auto"/>
              <w:ind w:left="473"/>
              <w:rPr>
                <w:rFonts w:ascii="Calibri" w:hAnsi="Calibri" w:cs="Calibri"/>
                <w:szCs w:val="22"/>
              </w:rPr>
            </w:pPr>
            <w:r w:rsidRPr="004E5E2F">
              <w:rPr>
                <w:rFonts w:ascii="Calibri" w:hAnsi="Calibri" w:cs="Calibri"/>
                <w:szCs w:val="22"/>
              </w:rPr>
              <w:t xml:space="preserve">How much progress was made toward achieving the intermediate outcomes for the priority focus areas? </w:t>
            </w:r>
          </w:p>
          <w:p w14:paraId="62510034" w14:textId="77777777" w:rsidR="005E0044" w:rsidRPr="004E5E2F" w:rsidRDefault="005E0044" w:rsidP="004E5E2F">
            <w:pPr>
              <w:pStyle w:val="TableBullets2"/>
              <w:spacing w:line="240" w:lineRule="auto"/>
              <w:rPr>
                <w:rFonts w:ascii="Calibri" w:hAnsi="Calibri" w:cs="Calibri"/>
                <w:szCs w:val="22"/>
              </w:rPr>
            </w:pPr>
            <w:r w:rsidRPr="004E5E2F">
              <w:rPr>
                <w:rFonts w:ascii="Calibri" w:hAnsi="Calibri" w:cs="Calibri"/>
                <w:szCs w:val="22"/>
              </w:rPr>
              <w:t>How well did actions in the action plans support progress for these intermediate outcomes?</w:t>
            </w:r>
          </w:p>
          <w:p w14:paraId="329CB804" w14:textId="77777777" w:rsidR="004E5E2F" w:rsidRPr="004E5E2F" w:rsidRDefault="004E5E2F" w:rsidP="00095C48">
            <w:pPr>
              <w:pStyle w:val="TableBullets1"/>
              <w:numPr>
                <w:ilvl w:val="0"/>
                <w:numId w:val="34"/>
              </w:numPr>
              <w:spacing w:after="0" w:line="240" w:lineRule="auto"/>
              <w:ind w:left="473"/>
              <w:rPr>
                <w:rFonts w:ascii="Calibri" w:hAnsi="Calibri" w:cs="Calibri"/>
                <w:szCs w:val="22"/>
              </w:rPr>
            </w:pPr>
            <w:r w:rsidRPr="004E5E2F">
              <w:rPr>
                <w:rFonts w:ascii="Calibri" w:hAnsi="Calibri" w:cs="Calibri"/>
                <w:szCs w:val="22"/>
              </w:rPr>
              <w:t xml:space="preserve">How much progress was made toward achieving the long-term outcomes to improve the lives of children, families and communities? </w:t>
            </w:r>
          </w:p>
          <w:p w14:paraId="414C4D64" w14:textId="77777777" w:rsidR="004E5E2F" w:rsidRPr="004E5E2F" w:rsidRDefault="004E5E2F" w:rsidP="004E5E2F">
            <w:pPr>
              <w:pStyle w:val="TableBullets2"/>
              <w:spacing w:line="240" w:lineRule="auto"/>
              <w:rPr>
                <w:rFonts w:ascii="Calibri" w:hAnsi="Calibri" w:cs="Calibri"/>
                <w:szCs w:val="22"/>
              </w:rPr>
            </w:pPr>
            <w:r w:rsidRPr="004E5E2F">
              <w:rPr>
                <w:rFonts w:ascii="Calibri" w:hAnsi="Calibri" w:cs="Calibri"/>
                <w:szCs w:val="22"/>
              </w:rPr>
              <w:t xml:space="preserve">Did progress vary across diverse groups, and if so, how? </w:t>
            </w:r>
          </w:p>
          <w:p w14:paraId="2741CA4C" w14:textId="77777777" w:rsidR="004E5E2F" w:rsidRPr="004E5E2F" w:rsidRDefault="004E5E2F" w:rsidP="004E5E2F">
            <w:pPr>
              <w:pStyle w:val="TableBullets2"/>
              <w:spacing w:line="240" w:lineRule="auto"/>
              <w:rPr>
                <w:rFonts w:ascii="Calibri" w:hAnsi="Calibri" w:cs="Calibri"/>
                <w:szCs w:val="22"/>
              </w:rPr>
            </w:pPr>
            <w:r w:rsidRPr="004E5E2F">
              <w:rPr>
                <w:rFonts w:ascii="Calibri" w:hAnsi="Calibri" w:cs="Calibri"/>
                <w:szCs w:val="22"/>
              </w:rPr>
              <w:t>How well did the priority focus areas and actions in the action plans support progress for these long-term outcomes, including for diverse groups?</w:t>
            </w:r>
          </w:p>
          <w:p w14:paraId="06476C38" w14:textId="21FA9EB4" w:rsidR="004E5E2F" w:rsidRPr="004E5E2F" w:rsidRDefault="004E5E2F" w:rsidP="00095C48">
            <w:pPr>
              <w:pStyle w:val="TableBullets2"/>
              <w:spacing w:line="240" w:lineRule="auto"/>
              <w:rPr>
                <w:rFonts w:ascii="Calibri" w:hAnsi="Calibri" w:cs="Calibri"/>
                <w:szCs w:val="22"/>
              </w:rPr>
            </w:pPr>
            <w:r w:rsidRPr="004E5E2F">
              <w:rPr>
                <w:rFonts w:ascii="Calibri" w:hAnsi="Calibri" w:cs="Calibri"/>
                <w:szCs w:val="22"/>
              </w:rPr>
              <w:t>Were there conditions or contextual factors that seemed to support or hinder progress toward the intermediate and long-term outcomes?</w:t>
            </w:r>
          </w:p>
        </w:tc>
      </w:tr>
      <w:tr w:rsidR="004E5E2F" w:rsidRPr="004E5E2F" w14:paraId="5F8AFEE5" w14:textId="77777777" w:rsidTr="007244AC">
        <w:trPr>
          <w:cnfStyle w:val="000000010000" w:firstRow="0" w:lastRow="0" w:firstColumn="0" w:lastColumn="0" w:oddVBand="0" w:evenVBand="0" w:oddHBand="0" w:evenHBand="1" w:firstRowFirstColumn="0" w:firstRowLastColumn="0" w:lastRowFirstColumn="0" w:lastRowLastColumn="0"/>
        </w:trPr>
        <w:tc>
          <w:tcPr>
            <w:tcW w:w="2424" w:type="dxa"/>
            <w:tcBorders>
              <w:top w:val="single" w:sz="4" w:space="0" w:color="B3C934" w:themeColor="accent5"/>
              <w:bottom w:val="single" w:sz="4" w:space="0" w:color="B3C934" w:themeColor="accent5"/>
            </w:tcBorders>
          </w:tcPr>
          <w:p w14:paraId="43708B7C" w14:textId="2275D908" w:rsidR="004E5E2F" w:rsidRPr="004E5E2F" w:rsidRDefault="004E5E2F" w:rsidP="004E5E2F">
            <w:pPr>
              <w:pStyle w:val="TableBullets1"/>
              <w:spacing w:line="240" w:lineRule="auto"/>
              <w:ind w:left="340" w:hanging="227"/>
              <w:rPr>
                <w:rFonts w:ascii="Calibri" w:hAnsi="Calibri" w:cs="Calibri"/>
                <w:color w:val="auto"/>
                <w:szCs w:val="22"/>
              </w:rPr>
            </w:pPr>
            <w:r w:rsidRPr="00095C48">
              <w:rPr>
                <w:rFonts w:ascii="Calibri" w:hAnsi="Calibri" w:cs="Calibri"/>
                <w:bCs/>
                <w:color w:val="auto"/>
                <w:szCs w:val="22"/>
              </w:rPr>
              <w:t>Strategic impact</w:t>
            </w:r>
          </w:p>
        </w:tc>
        <w:tc>
          <w:tcPr>
            <w:tcW w:w="6075" w:type="dxa"/>
            <w:tcBorders>
              <w:top w:val="single" w:sz="4" w:space="0" w:color="B3C934" w:themeColor="accent5"/>
              <w:bottom w:val="single" w:sz="4" w:space="0" w:color="B3C934" w:themeColor="accent5"/>
            </w:tcBorders>
          </w:tcPr>
          <w:p w14:paraId="086A6F44" w14:textId="77777777" w:rsidR="004E5E2F" w:rsidRPr="004748F9" w:rsidRDefault="004E5E2F" w:rsidP="00095C48">
            <w:pPr>
              <w:pStyle w:val="TableBullets1"/>
              <w:numPr>
                <w:ilvl w:val="0"/>
                <w:numId w:val="34"/>
              </w:numPr>
              <w:spacing w:after="0"/>
              <w:ind w:left="473"/>
              <w:rPr>
                <w:rFonts w:ascii="Calibri" w:hAnsi="Calibri" w:cs="Calibri"/>
                <w:szCs w:val="22"/>
              </w:rPr>
            </w:pPr>
            <w:r w:rsidRPr="004748F9">
              <w:rPr>
                <w:rFonts w:ascii="Calibri" w:hAnsi="Calibri" w:cs="Calibri"/>
                <w:szCs w:val="22"/>
              </w:rPr>
              <w:t xml:space="preserve">To what extent was the vision for the early years system, and for the lives of children, families and communities met? </w:t>
            </w:r>
          </w:p>
          <w:p w14:paraId="763B3441" w14:textId="77777777" w:rsidR="004E5E2F" w:rsidRPr="004748F9" w:rsidRDefault="004E5E2F" w:rsidP="004E5E2F">
            <w:pPr>
              <w:pStyle w:val="TableBullets2"/>
              <w:rPr>
                <w:rFonts w:ascii="Calibri" w:hAnsi="Calibri" w:cs="Calibri"/>
                <w:szCs w:val="22"/>
              </w:rPr>
            </w:pPr>
            <w:r w:rsidRPr="004748F9">
              <w:rPr>
                <w:rFonts w:ascii="Calibri" w:hAnsi="Calibri" w:cs="Calibri"/>
                <w:szCs w:val="22"/>
              </w:rPr>
              <w:t xml:space="preserve">What lessons have been learned about ‘what </w:t>
            </w:r>
            <w:proofErr w:type="gramStart"/>
            <w:r w:rsidRPr="004748F9">
              <w:rPr>
                <w:rFonts w:ascii="Calibri" w:hAnsi="Calibri" w:cs="Calibri"/>
                <w:szCs w:val="22"/>
              </w:rPr>
              <w:t>works’</w:t>
            </w:r>
            <w:proofErr w:type="gramEnd"/>
            <w:r w:rsidRPr="004748F9">
              <w:rPr>
                <w:rFonts w:ascii="Calibri" w:hAnsi="Calibri" w:cs="Calibri"/>
                <w:szCs w:val="22"/>
              </w:rPr>
              <w:t xml:space="preserve"> to support young children and their families? </w:t>
            </w:r>
          </w:p>
          <w:p w14:paraId="5850966D" w14:textId="77777777" w:rsidR="004E5E2F" w:rsidRDefault="004E5E2F" w:rsidP="00095C48">
            <w:pPr>
              <w:pStyle w:val="TableBullets1"/>
              <w:numPr>
                <w:ilvl w:val="0"/>
                <w:numId w:val="35"/>
              </w:numPr>
              <w:spacing w:after="0"/>
              <w:ind w:left="473"/>
              <w:rPr>
                <w:rFonts w:ascii="Calibri" w:hAnsi="Calibri" w:cs="Calibri"/>
                <w:szCs w:val="22"/>
              </w:rPr>
            </w:pPr>
            <w:r w:rsidRPr="004748F9">
              <w:rPr>
                <w:rFonts w:ascii="Calibri" w:hAnsi="Calibri" w:cs="Calibri"/>
                <w:szCs w:val="22"/>
              </w:rPr>
              <w:lastRenderedPageBreak/>
              <w:t>Were there any unanticipated outcomes (either positive or negative) arising from the Strategy or the actions undertaken under the Strategy?</w:t>
            </w:r>
          </w:p>
          <w:p w14:paraId="4FA3F215" w14:textId="26A7B455" w:rsidR="004E5E2F" w:rsidRPr="004E5E2F" w:rsidRDefault="004E5E2F" w:rsidP="00095C48">
            <w:pPr>
              <w:pStyle w:val="TableBullets1"/>
              <w:numPr>
                <w:ilvl w:val="0"/>
                <w:numId w:val="35"/>
              </w:numPr>
              <w:spacing w:after="0" w:line="240" w:lineRule="auto"/>
              <w:ind w:left="473"/>
              <w:rPr>
                <w:rFonts w:ascii="Calibri" w:hAnsi="Calibri" w:cs="Calibri"/>
                <w:szCs w:val="22"/>
              </w:rPr>
            </w:pPr>
            <w:r w:rsidRPr="004748F9">
              <w:rPr>
                <w:rFonts w:ascii="Calibri" w:hAnsi="Calibri" w:cs="Calibri"/>
                <w:szCs w:val="22"/>
              </w:rPr>
              <w:t>Based on learnings across the 10-year life of the Strategy, what should be the next steps for early years policy?</w:t>
            </w:r>
          </w:p>
        </w:tc>
      </w:tr>
    </w:tbl>
    <w:p w14:paraId="1E6B9C3D" w14:textId="36A658B8" w:rsidR="00D5577C" w:rsidRDefault="00A830C5">
      <w:pPr>
        <w:spacing w:after="240"/>
        <w:rPr>
          <w:rFonts w:eastAsiaTheme="majorEastAsia" w:cstheme="majorBidi"/>
          <w:bCs/>
          <w:iCs/>
          <w:color w:val="002A3F" w:themeColor="accent2"/>
          <w:sz w:val="32"/>
        </w:rPr>
      </w:pPr>
      <w:bookmarkStart w:id="62" w:name="_Toc215146322"/>
      <w:bookmarkEnd w:id="61"/>
      <w:r>
        <w:rPr>
          <w:noProof/>
        </w:rPr>
        <w:lastRenderedPageBreak/>
        <w:drawing>
          <wp:anchor distT="0" distB="0" distL="114300" distR="114300" simplePos="0" relativeHeight="251743232" behindDoc="0" locked="0" layoutInCell="1" allowOverlap="1" wp14:anchorId="6F5918F7" wp14:editId="37621A66">
            <wp:simplePos x="0" y="0"/>
            <wp:positionH relativeFrom="margin">
              <wp:posOffset>-1911350</wp:posOffset>
            </wp:positionH>
            <wp:positionV relativeFrom="paragraph">
              <wp:posOffset>1908175</wp:posOffset>
            </wp:positionV>
            <wp:extent cx="9387840" cy="6965936"/>
            <wp:effectExtent l="0" t="0" r="3810" b="6985"/>
            <wp:wrapNone/>
            <wp:docPr id="106402247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01877" name="Picture 7">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a:ext>
                      </a:extLst>
                    </a:blip>
                    <a:stretch>
                      <a:fillRect/>
                    </a:stretch>
                  </pic:blipFill>
                  <pic:spPr>
                    <a:xfrm>
                      <a:off x="0" y="0"/>
                      <a:ext cx="9387840" cy="6965936"/>
                    </a:xfrm>
                    <a:prstGeom prst="rect">
                      <a:avLst/>
                    </a:prstGeom>
                  </pic:spPr>
                </pic:pic>
              </a:graphicData>
            </a:graphic>
            <wp14:sizeRelH relativeFrom="margin">
              <wp14:pctWidth>0</wp14:pctWidth>
            </wp14:sizeRelH>
            <wp14:sizeRelV relativeFrom="margin">
              <wp14:pctHeight>0</wp14:pctHeight>
            </wp14:sizeRelV>
          </wp:anchor>
        </w:drawing>
      </w:r>
      <w:r w:rsidRPr="009F2EB9">
        <w:rPr>
          <w:noProof/>
        </w:rPr>
        <w:drawing>
          <wp:anchor distT="0" distB="0" distL="114300" distR="114300" simplePos="0" relativeHeight="251706368" behindDoc="1" locked="0" layoutInCell="1" allowOverlap="1" wp14:anchorId="10578F42" wp14:editId="4E2AB269">
            <wp:simplePos x="0" y="0"/>
            <wp:positionH relativeFrom="page">
              <wp:posOffset>-1342954</wp:posOffset>
            </wp:positionH>
            <wp:positionV relativeFrom="paragraph">
              <wp:posOffset>2215586</wp:posOffset>
            </wp:positionV>
            <wp:extent cx="10073005" cy="6722745"/>
            <wp:effectExtent l="0" t="0" r="0" b="0"/>
            <wp:wrapNone/>
            <wp:docPr id="260383155"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383155" name="Picture 7">
                      <a:extLst>
                        <a:ext uri="{C183D7F6-B498-43B3-948B-1728B52AA6E4}">
                          <adec:decorative xmlns:adec="http://schemas.microsoft.com/office/drawing/2017/decorative" val="1"/>
                        </a:ext>
                      </a:extLst>
                    </pic:cNvPr>
                    <pic:cNvPicPr>
                      <a:picLocks noChangeAspect="1" noChangeArrowheads="1"/>
                    </pic:cNvPicPr>
                  </pic:nvPicPr>
                  <pic:blipFill>
                    <a:blip r:embed="rId42"/>
                    <a:srcRect l="7859" r="7859"/>
                    <a:stretch>
                      <a:fillRect/>
                    </a:stretch>
                  </pic:blipFill>
                  <pic:spPr bwMode="auto">
                    <a:xfrm>
                      <a:off x="0" y="0"/>
                      <a:ext cx="10073005" cy="6722745"/>
                    </a:xfrm>
                    <a:prstGeom prst="ellipse">
                      <a:avLst/>
                    </a:prstGeom>
                    <a:noFill/>
                    <a:ln>
                      <a:noFill/>
                    </a:ln>
                  </pic:spPr>
                </pic:pic>
              </a:graphicData>
            </a:graphic>
            <wp14:sizeRelH relativeFrom="margin">
              <wp14:pctWidth>0</wp14:pctWidth>
            </wp14:sizeRelH>
            <wp14:sizeRelV relativeFrom="margin">
              <wp14:pctHeight>0</wp14:pctHeight>
            </wp14:sizeRelV>
          </wp:anchor>
        </w:drawing>
      </w:r>
      <w:r w:rsidR="00D5577C">
        <w:br w:type="page"/>
      </w:r>
    </w:p>
    <w:p w14:paraId="0442E2DA" w14:textId="783B8509" w:rsidR="005E0044" w:rsidRDefault="005E0044" w:rsidP="00151364">
      <w:pPr>
        <w:pStyle w:val="Heading3"/>
        <w:spacing w:after="240"/>
      </w:pPr>
      <w:bookmarkStart w:id="63" w:name="_Toc228974172"/>
      <w:r w:rsidRPr="001A767E">
        <w:lastRenderedPageBreak/>
        <w:t>Design</w:t>
      </w:r>
      <w:r>
        <w:t>ing and conducting the formal evaluation</w:t>
      </w:r>
      <w:bookmarkEnd w:id="62"/>
      <w:bookmarkEnd w:id="63"/>
      <w:r>
        <w:t xml:space="preserve"> </w:t>
      </w:r>
    </w:p>
    <w:p w14:paraId="15056A36" w14:textId="77777777" w:rsidR="005E0044" w:rsidRPr="004748F9" w:rsidRDefault="005E0044" w:rsidP="00DF2AFB">
      <w:r w:rsidRPr="004748F9">
        <w:t xml:space="preserve">In the planning phase, along with reviewing and refining key evaluation questions, the following considerations should inform the design and conduct of the formal evaluation of the Strategy. </w:t>
      </w:r>
    </w:p>
    <w:p w14:paraId="0BC8691F" w14:textId="77777777" w:rsidR="005E0044" w:rsidRPr="004748F9" w:rsidRDefault="005E0044" w:rsidP="00DF2AFB">
      <w:r w:rsidRPr="004748F9">
        <w:t>First, the evaluation design will need to facilitate a strategic approach that supports transparent and robust cross-agency accountability arrangements. As the Strategy brings together actions from across Government, the evaluation will need to capture the collective effort and impact of the Strategy on the early years – even if the actions and information sources are from many different program and policy areas across portfolios. For example, the evaluation design will need to include a synthesis of evidence on the individual actions that sit under the Strategy, to understand their contribution to the collective impact of the Strategy as a whole (see below in relation to the minimum data and information required).</w:t>
      </w:r>
    </w:p>
    <w:p w14:paraId="22757306" w14:textId="77777777" w:rsidR="005E0044" w:rsidRPr="004748F9" w:rsidRDefault="005E0044" w:rsidP="00DF2AFB">
      <w:r w:rsidRPr="004748F9">
        <w:t>Second, the evaluation design needs to ensure the views of children and their parents/families are incorporated across the key evaluation phases, including:</w:t>
      </w:r>
    </w:p>
    <w:p w14:paraId="0ECA7FD4" w14:textId="7667B44D" w:rsidR="005E0044" w:rsidRPr="004748F9" w:rsidRDefault="009A46CF" w:rsidP="00FE0E32">
      <w:pPr>
        <w:pStyle w:val="ListParagraph"/>
        <w:numPr>
          <w:ilvl w:val="0"/>
          <w:numId w:val="3"/>
        </w:numPr>
        <w:rPr>
          <w:rFonts w:cs="Calibri"/>
          <w:szCs w:val="22"/>
        </w:rPr>
      </w:pPr>
      <w:r>
        <w:rPr>
          <w:rFonts w:cs="Calibri"/>
          <w:szCs w:val="22"/>
        </w:rPr>
        <w:t>T</w:t>
      </w:r>
      <w:r w:rsidR="005E0044" w:rsidRPr="004748F9">
        <w:rPr>
          <w:rFonts w:cs="Calibri"/>
          <w:szCs w:val="22"/>
        </w:rPr>
        <w:t>he design itself</w:t>
      </w:r>
      <w:r>
        <w:rPr>
          <w:rFonts w:cs="Calibri"/>
          <w:szCs w:val="22"/>
        </w:rPr>
        <w:t>.</w:t>
      </w:r>
    </w:p>
    <w:p w14:paraId="0996A8E8" w14:textId="67612C85" w:rsidR="005E0044" w:rsidRPr="004748F9" w:rsidRDefault="009A46CF" w:rsidP="00FE0E32">
      <w:pPr>
        <w:pStyle w:val="ListParagraph"/>
        <w:numPr>
          <w:ilvl w:val="0"/>
          <w:numId w:val="3"/>
        </w:numPr>
        <w:rPr>
          <w:rFonts w:cs="Calibri"/>
          <w:szCs w:val="22"/>
        </w:rPr>
      </w:pPr>
      <w:r>
        <w:rPr>
          <w:rFonts w:cs="Calibri"/>
          <w:szCs w:val="22"/>
        </w:rPr>
        <w:t>D</w:t>
      </w:r>
      <w:r w:rsidR="005E0044" w:rsidRPr="004748F9">
        <w:rPr>
          <w:rFonts w:cs="Calibri"/>
          <w:szCs w:val="22"/>
        </w:rPr>
        <w:t>evelopment and testing of findings and recommendations</w:t>
      </w:r>
      <w:r>
        <w:rPr>
          <w:rFonts w:cs="Calibri"/>
          <w:szCs w:val="22"/>
        </w:rPr>
        <w:t>.</w:t>
      </w:r>
      <w:r w:rsidR="005E0044" w:rsidRPr="004748F9">
        <w:rPr>
          <w:rFonts w:cs="Calibri"/>
          <w:szCs w:val="22"/>
        </w:rPr>
        <w:t xml:space="preserve"> </w:t>
      </w:r>
    </w:p>
    <w:p w14:paraId="73DA8B4B" w14:textId="670BB60F" w:rsidR="005E0044" w:rsidRPr="004748F9" w:rsidRDefault="009A46CF" w:rsidP="00FE0E32">
      <w:pPr>
        <w:pStyle w:val="ListParagraph"/>
        <w:numPr>
          <w:ilvl w:val="0"/>
          <w:numId w:val="3"/>
        </w:numPr>
        <w:rPr>
          <w:rFonts w:cs="Calibri"/>
          <w:szCs w:val="22"/>
        </w:rPr>
      </w:pPr>
      <w:r>
        <w:rPr>
          <w:rFonts w:cs="Calibri"/>
          <w:szCs w:val="22"/>
        </w:rPr>
        <w:t>R</w:t>
      </w:r>
      <w:r w:rsidR="005E0044" w:rsidRPr="004748F9">
        <w:rPr>
          <w:rFonts w:cs="Calibri"/>
          <w:szCs w:val="22"/>
        </w:rPr>
        <w:t>eporting of the final recommendations.</w:t>
      </w:r>
    </w:p>
    <w:p w14:paraId="221EB33C" w14:textId="77777777" w:rsidR="005E0044" w:rsidRPr="004748F9" w:rsidRDefault="005E0044" w:rsidP="00DF2AFB">
      <w:r w:rsidRPr="004748F9">
        <w:rPr>
          <w:rFonts w:eastAsiaTheme="minorEastAsia"/>
        </w:rPr>
        <w:t xml:space="preserve">Third, the evaluation design needs to ensure the right </w:t>
      </w:r>
      <w:r w:rsidRPr="004748F9">
        <w:t>data sources and perspectives are included. At a minimum, the evaluation would need to include data and information from:</w:t>
      </w:r>
    </w:p>
    <w:p w14:paraId="4001FD17" w14:textId="733C2CFF" w:rsidR="009448E4" w:rsidRPr="004748F9" w:rsidRDefault="009A46CF" w:rsidP="00FE0E32">
      <w:pPr>
        <w:pStyle w:val="ListParagraph"/>
        <w:numPr>
          <w:ilvl w:val="0"/>
          <w:numId w:val="3"/>
        </w:numPr>
        <w:rPr>
          <w:rFonts w:cs="Calibri"/>
          <w:szCs w:val="22"/>
        </w:rPr>
      </w:pPr>
      <w:r>
        <w:rPr>
          <w:rFonts w:cs="Calibri"/>
          <w:szCs w:val="22"/>
        </w:rPr>
        <w:t>T</w:t>
      </w:r>
      <w:r w:rsidR="005E0044" w:rsidRPr="004748F9">
        <w:rPr>
          <w:rFonts w:cs="Calibri"/>
          <w:szCs w:val="22"/>
        </w:rPr>
        <w:t>he monitoring of:</w:t>
      </w:r>
    </w:p>
    <w:p w14:paraId="2E0F899E" w14:textId="4D605056" w:rsidR="005E0044" w:rsidRPr="004748F9" w:rsidRDefault="009A46CF" w:rsidP="00FE0E32">
      <w:pPr>
        <w:pStyle w:val="ListParagraph"/>
        <w:numPr>
          <w:ilvl w:val="1"/>
          <w:numId w:val="20"/>
        </w:numPr>
        <w:rPr>
          <w:rFonts w:cs="Calibri"/>
          <w:szCs w:val="22"/>
        </w:rPr>
      </w:pPr>
      <w:r>
        <w:rPr>
          <w:rFonts w:cs="Calibri"/>
          <w:szCs w:val="22"/>
        </w:rPr>
        <w:t>A</w:t>
      </w:r>
      <w:r w:rsidR="005E0044" w:rsidRPr="004748F9">
        <w:rPr>
          <w:rFonts w:cs="Calibri"/>
          <w:szCs w:val="22"/>
        </w:rPr>
        <w:t>ctions in the action plans, including a synthesis of any action-level evaluation results to understand the contribution to collective impact (as noted above)</w:t>
      </w:r>
      <w:r>
        <w:rPr>
          <w:rFonts w:cs="Calibri"/>
          <w:szCs w:val="22"/>
        </w:rPr>
        <w:t>.</w:t>
      </w:r>
    </w:p>
    <w:p w14:paraId="251F38E8" w14:textId="4550DC52" w:rsidR="005E0044" w:rsidRPr="004748F9" w:rsidRDefault="009A46CF" w:rsidP="00FE0E32">
      <w:pPr>
        <w:pStyle w:val="ListParagraph"/>
        <w:numPr>
          <w:ilvl w:val="1"/>
          <w:numId w:val="20"/>
        </w:numPr>
        <w:rPr>
          <w:rFonts w:cs="Calibri"/>
          <w:szCs w:val="22"/>
        </w:rPr>
      </w:pPr>
      <w:r>
        <w:rPr>
          <w:rFonts w:cs="Calibri"/>
          <w:szCs w:val="22"/>
        </w:rPr>
        <w:t>L</w:t>
      </w:r>
      <w:r w:rsidR="005E0044" w:rsidRPr="004748F9">
        <w:rPr>
          <w:rFonts w:cs="Calibri"/>
          <w:szCs w:val="22"/>
        </w:rPr>
        <w:t>ong-term outcomes, as defined in the Outcomes Framework</w:t>
      </w:r>
      <w:r>
        <w:rPr>
          <w:rFonts w:cs="Calibri"/>
          <w:szCs w:val="22"/>
        </w:rPr>
        <w:t>.</w:t>
      </w:r>
      <w:r w:rsidR="005E0044" w:rsidRPr="004748F9">
        <w:rPr>
          <w:rFonts w:cs="Calibri"/>
          <w:szCs w:val="22"/>
        </w:rPr>
        <w:t xml:space="preserve"> </w:t>
      </w:r>
    </w:p>
    <w:p w14:paraId="39D6F333" w14:textId="304E1CE2" w:rsidR="005E0044" w:rsidRPr="004748F9" w:rsidRDefault="009A46CF" w:rsidP="00FE0E32">
      <w:pPr>
        <w:pStyle w:val="ListParagraph"/>
        <w:numPr>
          <w:ilvl w:val="0"/>
          <w:numId w:val="3"/>
        </w:numPr>
        <w:rPr>
          <w:rFonts w:cs="Calibri"/>
          <w:szCs w:val="22"/>
        </w:rPr>
      </w:pPr>
      <w:r>
        <w:rPr>
          <w:rFonts w:cs="Calibri"/>
          <w:szCs w:val="22"/>
        </w:rPr>
        <w:t>E</w:t>
      </w:r>
      <w:r w:rsidR="005E0044" w:rsidRPr="004748F9">
        <w:rPr>
          <w:rFonts w:cs="Calibri"/>
          <w:szCs w:val="22"/>
        </w:rPr>
        <w:t>ngagement with other key stakeholders; for example, early childhood experts, service providers and peak bodies, and state and territory governments.</w:t>
      </w:r>
    </w:p>
    <w:p w14:paraId="063CB9FB" w14:textId="77777777" w:rsidR="005E0044" w:rsidRPr="004748F9" w:rsidRDefault="005E0044" w:rsidP="00DF2AFB">
      <w:r w:rsidRPr="004748F9">
        <w:t xml:space="preserve">Other sources of data and information could include: </w:t>
      </w:r>
    </w:p>
    <w:p w14:paraId="62B78C7A" w14:textId="2FF62383" w:rsidR="005E0044" w:rsidRDefault="009A46CF">
      <w:pPr>
        <w:pStyle w:val="ListParagraph"/>
        <w:numPr>
          <w:ilvl w:val="0"/>
          <w:numId w:val="25"/>
        </w:numPr>
        <w:rPr>
          <w:rFonts w:cs="Calibri"/>
          <w:szCs w:val="22"/>
        </w:rPr>
      </w:pPr>
      <w:r>
        <w:rPr>
          <w:rFonts w:cs="Calibri"/>
          <w:szCs w:val="22"/>
        </w:rPr>
        <w:t>A</w:t>
      </w:r>
      <w:r w:rsidR="005E0044" w:rsidRPr="004748F9">
        <w:rPr>
          <w:rFonts w:cs="Calibri"/>
          <w:szCs w:val="22"/>
        </w:rPr>
        <w:t>dministrative and survey data, including from sources identified in the Outcomes Framework</w:t>
      </w:r>
      <w:r>
        <w:rPr>
          <w:rFonts w:cs="Calibri"/>
          <w:szCs w:val="22"/>
        </w:rPr>
        <w:t>.</w:t>
      </w:r>
      <w:r w:rsidR="005E0044" w:rsidRPr="004748F9">
        <w:rPr>
          <w:rFonts w:cs="Calibri"/>
          <w:szCs w:val="22"/>
        </w:rPr>
        <w:t xml:space="preserve"> </w:t>
      </w:r>
    </w:p>
    <w:p w14:paraId="4443143B" w14:textId="77777777" w:rsidR="0033626B" w:rsidRDefault="0033626B" w:rsidP="0033626B">
      <w:pPr>
        <w:pStyle w:val="ListParagraph"/>
        <w:numPr>
          <w:ilvl w:val="0"/>
          <w:numId w:val="25"/>
        </w:numPr>
        <w:rPr>
          <w:rFonts w:cs="Calibri"/>
          <w:szCs w:val="22"/>
        </w:rPr>
      </w:pPr>
      <w:r w:rsidRPr="0033626B">
        <w:rPr>
          <w:rFonts w:cs="Calibri"/>
          <w:szCs w:val="22"/>
        </w:rPr>
        <w:t xml:space="preserve">Engagement with families and children; for example, through surveys, focus groups or qualitative interviews. </w:t>
      </w:r>
    </w:p>
    <w:p w14:paraId="2231F186" w14:textId="331D0675" w:rsidR="0033626B" w:rsidRDefault="0033626B" w:rsidP="0033626B">
      <w:pPr>
        <w:pStyle w:val="ListParagraph"/>
        <w:numPr>
          <w:ilvl w:val="0"/>
          <w:numId w:val="25"/>
        </w:numPr>
        <w:rPr>
          <w:rFonts w:cs="Calibri"/>
          <w:szCs w:val="22"/>
        </w:rPr>
      </w:pPr>
      <w:r w:rsidRPr="0033626B">
        <w:rPr>
          <w:rFonts w:cs="Calibri"/>
          <w:szCs w:val="22"/>
        </w:rPr>
        <w:t>Additional information requests to action holders.</w:t>
      </w:r>
    </w:p>
    <w:p w14:paraId="65316D19" w14:textId="513D7567" w:rsidR="0033626B" w:rsidRPr="0033626B" w:rsidRDefault="0033626B" w:rsidP="0033626B">
      <w:pPr>
        <w:pStyle w:val="ListParagraph"/>
        <w:numPr>
          <w:ilvl w:val="0"/>
          <w:numId w:val="25"/>
        </w:numPr>
        <w:rPr>
          <w:rFonts w:cs="Calibri"/>
          <w:szCs w:val="22"/>
        </w:rPr>
      </w:pPr>
      <w:r w:rsidRPr="0033626B">
        <w:rPr>
          <w:rFonts w:cs="Calibri"/>
          <w:szCs w:val="22"/>
        </w:rPr>
        <w:t>Monitoring and evaluation o</w:t>
      </w:r>
      <w:r w:rsidR="008E45EF">
        <w:rPr>
          <w:rFonts w:cs="Calibri"/>
          <w:szCs w:val="22"/>
        </w:rPr>
        <w:t>f</w:t>
      </w:r>
      <w:r w:rsidRPr="0033626B">
        <w:rPr>
          <w:rFonts w:cs="Calibri"/>
          <w:szCs w:val="22"/>
        </w:rPr>
        <w:t xml:space="preserve"> other overlapping or complementary plans, strategies or agreements.</w:t>
      </w:r>
    </w:p>
    <w:p w14:paraId="4BBBFB40" w14:textId="41103E24" w:rsidR="005E0044" w:rsidRPr="00151364" w:rsidRDefault="005E0044" w:rsidP="00151364">
      <w:pPr>
        <w:pStyle w:val="Heading2"/>
        <w:spacing w:after="240"/>
        <w:rPr>
          <w:color w:val="640638"/>
        </w:rPr>
      </w:pPr>
      <w:bookmarkStart w:id="64" w:name="_Toc215146323"/>
      <w:bookmarkStart w:id="65" w:name="_Toc228974173"/>
      <w:r w:rsidRPr="00151364">
        <w:rPr>
          <w:color w:val="640638"/>
        </w:rPr>
        <w:lastRenderedPageBreak/>
        <w:t>Challenges for monitoring and evaluation</w:t>
      </w:r>
      <w:bookmarkEnd w:id="64"/>
      <w:bookmarkEnd w:id="65"/>
      <w:r w:rsidRPr="00151364">
        <w:rPr>
          <w:color w:val="640638"/>
        </w:rPr>
        <w:t xml:space="preserve"> </w:t>
      </w:r>
    </w:p>
    <w:p w14:paraId="05A296F4" w14:textId="5E3BF4D8" w:rsidR="005E0044" w:rsidRPr="004748F9" w:rsidRDefault="005E0044" w:rsidP="00DF2AFB">
      <w:r w:rsidRPr="004748F9">
        <w:t>Due to the broad nature of the Strategy, there are some key challenges that may need to be addressed in future monitoring and evaluation activities. These may include</w:t>
      </w:r>
      <w:r w:rsidR="002B2EB7">
        <w:t>,</w:t>
      </w:r>
      <w:r w:rsidR="003C3D60">
        <w:t xml:space="preserve"> </w:t>
      </w:r>
      <w:r w:rsidRPr="004748F9">
        <w:t xml:space="preserve">but are not limited to: </w:t>
      </w:r>
    </w:p>
    <w:p w14:paraId="50606569" w14:textId="77777777" w:rsidR="002B2EB7" w:rsidRDefault="005E0044" w:rsidP="00267772">
      <w:pPr>
        <w:pStyle w:val="ListParagraph"/>
        <w:numPr>
          <w:ilvl w:val="0"/>
          <w:numId w:val="23"/>
        </w:numPr>
      </w:pPr>
      <w:r w:rsidRPr="00267772">
        <w:t xml:space="preserve">Difficulties differentiating the effects of external factors, such as economic conditions, from those attributable to the Strategy itself, when tracking and assessing changes to the long-term outcomes. </w:t>
      </w:r>
    </w:p>
    <w:p w14:paraId="15E06998" w14:textId="7505A029" w:rsidR="002B2EB7" w:rsidRPr="00267772" w:rsidRDefault="005E0044" w:rsidP="003C3D60">
      <w:pPr>
        <w:pStyle w:val="ListParagraph"/>
        <w:numPr>
          <w:ilvl w:val="1"/>
          <w:numId w:val="23"/>
        </w:numPr>
      </w:pPr>
      <w:r w:rsidRPr="00267772">
        <w:t xml:space="preserve">This may be partly addressed by undertaking contribution analysis and collecting and assessing key economic, social and demographic data known to affect the wellbeing of children and families, alongside the data and information on the Strategy’s long-term outcomes. </w:t>
      </w:r>
    </w:p>
    <w:p w14:paraId="6CA54C0A" w14:textId="33555A27" w:rsidR="002B2EB7" w:rsidRDefault="005E0044" w:rsidP="00095C48">
      <w:pPr>
        <w:pStyle w:val="ListParagraph"/>
        <w:numPr>
          <w:ilvl w:val="0"/>
          <w:numId w:val="23"/>
        </w:numPr>
      </w:pPr>
      <w:r w:rsidRPr="00267772">
        <w:t xml:space="preserve">Lack of available data for measuring key outcomes in the early years. The Outcomes Framework identifies key data gaps and limitations for a subset of long-term outcomes in the Strategy. While data and information from action holders will help to assess how actions are contributing to the intermediate outcomes, data availability will also present challenges for measuring progress against these intermediate outcomes. </w:t>
      </w:r>
    </w:p>
    <w:p w14:paraId="294FC346" w14:textId="1735E4B5" w:rsidR="005E0044" w:rsidRPr="00267772" w:rsidRDefault="005E0044" w:rsidP="00095C48">
      <w:pPr>
        <w:pStyle w:val="ListParagraph"/>
        <w:numPr>
          <w:ilvl w:val="1"/>
          <w:numId w:val="23"/>
        </w:numPr>
      </w:pPr>
      <w:r w:rsidRPr="00267772">
        <w:t>Both this Framework and the Outcomes Framework have been designed to allow for the inclusion of new data and improved measures as they become available over the life of the Strategy, to better understand the impact of the Strategy on children, families and communities.</w:t>
      </w:r>
    </w:p>
    <w:p w14:paraId="028CD4B0" w14:textId="6D460E3E" w:rsidR="0072401E" w:rsidRDefault="00A830C5" w:rsidP="0072401E">
      <w:r>
        <w:rPr>
          <w:noProof/>
        </w:rPr>
        <w:drawing>
          <wp:anchor distT="0" distB="0" distL="114300" distR="114300" simplePos="0" relativeHeight="251712512" behindDoc="0" locked="0" layoutInCell="1" allowOverlap="1" wp14:anchorId="6BB1816D" wp14:editId="06D55B5C">
            <wp:simplePos x="0" y="0"/>
            <wp:positionH relativeFrom="margin">
              <wp:posOffset>-1835997</wp:posOffset>
            </wp:positionH>
            <wp:positionV relativeFrom="paragraph">
              <wp:posOffset>345863</wp:posOffset>
            </wp:positionV>
            <wp:extent cx="9388126" cy="6007216"/>
            <wp:effectExtent l="0" t="0" r="3810" b="0"/>
            <wp:wrapNone/>
            <wp:docPr id="57015379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01877" name="Picture 7">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a:ext>
                      </a:extLst>
                    </a:blip>
                    <a:stretch>
                      <a:fillRect/>
                    </a:stretch>
                  </pic:blipFill>
                  <pic:spPr>
                    <a:xfrm>
                      <a:off x="0" y="0"/>
                      <a:ext cx="9388126" cy="6007216"/>
                    </a:xfrm>
                    <a:prstGeom prst="rect">
                      <a:avLst/>
                    </a:prstGeom>
                  </pic:spPr>
                </pic:pic>
              </a:graphicData>
            </a:graphic>
            <wp14:sizeRelH relativeFrom="margin">
              <wp14:pctWidth>0</wp14:pctWidth>
            </wp14:sizeRelH>
            <wp14:sizeRelV relativeFrom="margin">
              <wp14:pctHeight>0</wp14:pctHeight>
            </wp14:sizeRelV>
          </wp:anchor>
        </w:drawing>
      </w:r>
      <w:r w:rsidR="00D33E12" w:rsidRPr="00BF178D">
        <w:rPr>
          <w:noProof/>
        </w:rPr>
        <w:drawing>
          <wp:anchor distT="0" distB="0" distL="114300" distR="114300" simplePos="0" relativeHeight="251741184" behindDoc="1" locked="0" layoutInCell="1" allowOverlap="1" wp14:anchorId="6A5D48B3" wp14:editId="50D893A4">
            <wp:simplePos x="0" y="0"/>
            <wp:positionH relativeFrom="margin">
              <wp:posOffset>-1542979</wp:posOffset>
            </wp:positionH>
            <wp:positionV relativeFrom="paragraph">
              <wp:posOffset>392571</wp:posOffset>
            </wp:positionV>
            <wp:extent cx="9131244" cy="5981758"/>
            <wp:effectExtent l="0" t="0" r="635" b="0"/>
            <wp:wrapNone/>
            <wp:docPr id="403253617"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253617" name="Picture 8">
                      <a:extLst>
                        <a:ext uri="{C183D7F6-B498-43B3-948B-1728B52AA6E4}">
                          <adec:decorative xmlns:adec="http://schemas.microsoft.com/office/drawing/2017/decorative" val="1"/>
                        </a:ext>
                      </a:extLst>
                    </pic:cNvPr>
                    <pic:cNvPicPr>
                      <a:picLocks noChangeAspect="1" noChangeArrowheads="1"/>
                    </pic:cNvPicPr>
                  </pic:nvPicPr>
                  <pic:blipFill>
                    <a:blip r:embed="rId43"/>
                    <a:srcRect t="883" b="883"/>
                    <a:stretch>
                      <a:fillRect/>
                    </a:stretch>
                  </pic:blipFill>
                  <pic:spPr bwMode="auto">
                    <a:xfrm>
                      <a:off x="0" y="0"/>
                      <a:ext cx="9131244" cy="5981758"/>
                    </a:xfrm>
                    <a:prstGeom prst="ellipse">
                      <a:avLst/>
                    </a:prstGeom>
                    <a:noFill/>
                    <a:ln>
                      <a:noFill/>
                    </a:ln>
                  </pic:spPr>
                </pic:pic>
              </a:graphicData>
            </a:graphic>
            <wp14:sizeRelH relativeFrom="margin">
              <wp14:pctWidth>0</wp14:pctWidth>
            </wp14:sizeRelH>
            <wp14:sizeRelV relativeFrom="margin">
              <wp14:pctHeight>0</wp14:pctHeight>
            </wp14:sizeRelV>
          </wp:anchor>
        </w:drawing>
      </w:r>
    </w:p>
    <w:p w14:paraId="49039073" w14:textId="3C4444D6" w:rsidR="00BF178D" w:rsidRPr="00BF178D" w:rsidRDefault="00BF178D" w:rsidP="00BF178D">
      <w:pPr>
        <w:spacing w:after="240"/>
      </w:pPr>
    </w:p>
    <w:p w14:paraId="0A1F9F96" w14:textId="7EBEE6C3" w:rsidR="009F2EB9" w:rsidRPr="009F2EB9" w:rsidRDefault="00BF178D" w:rsidP="00095C48">
      <w:pPr>
        <w:tabs>
          <w:tab w:val="left" w:pos="6912"/>
        </w:tabs>
        <w:spacing w:after="240"/>
      </w:pPr>
      <w:r>
        <w:tab/>
      </w:r>
    </w:p>
    <w:p w14:paraId="0B7D6F1C" w14:textId="4F75979C" w:rsidR="0072401E" w:rsidRDefault="0072401E" w:rsidP="0072401E">
      <w:pPr>
        <w:spacing w:after="240"/>
      </w:pPr>
    </w:p>
    <w:p w14:paraId="60C7AF0C" w14:textId="000C07A7" w:rsidR="00B77FDC" w:rsidRDefault="00B77FDC" w:rsidP="00095C48">
      <w:pPr>
        <w:spacing w:after="240"/>
        <w:jc w:val="center"/>
      </w:pPr>
      <w:bookmarkStart w:id="66" w:name="_Toc207286657"/>
      <w:bookmarkStart w:id="67" w:name="_Toc215146324"/>
    </w:p>
    <w:p w14:paraId="1A108DB8" w14:textId="77777777" w:rsidR="00B77FDC" w:rsidRDefault="00B77FDC" w:rsidP="00B77FDC">
      <w:pPr>
        <w:spacing w:after="240"/>
      </w:pPr>
    </w:p>
    <w:p w14:paraId="585DFA1F" w14:textId="77777777" w:rsidR="00B77FDC" w:rsidRDefault="00B77FDC" w:rsidP="00B77FDC">
      <w:pPr>
        <w:spacing w:after="240"/>
      </w:pPr>
    </w:p>
    <w:p w14:paraId="5A73A14E" w14:textId="53F52B9E" w:rsidR="00B77FDC" w:rsidRDefault="00B77FDC" w:rsidP="00B77FDC">
      <w:pPr>
        <w:spacing w:after="240"/>
      </w:pPr>
    </w:p>
    <w:p w14:paraId="79BC47DD" w14:textId="77777777" w:rsidR="00B77FDC" w:rsidRPr="00B77FDC" w:rsidRDefault="00B77FDC" w:rsidP="00B77FDC">
      <w:pPr>
        <w:spacing w:after="240"/>
        <w:rPr>
          <w:rFonts w:eastAsiaTheme="majorEastAsia" w:cstheme="majorBidi"/>
          <w:b/>
          <w:bCs/>
          <w:color w:val="002A3F" w:themeColor="accent2"/>
          <w:sz w:val="40"/>
          <w:szCs w:val="26"/>
        </w:rPr>
      </w:pPr>
    </w:p>
    <w:p w14:paraId="7763F576" w14:textId="77777777" w:rsidR="00672EA6" w:rsidRDefault="00672EA6">
      <w:pPr>
        <w:spacing w:after="240"/>
        <w:rPr>
          <w:rFonts w:eastAsiaTheme="majorEastAsia" w:cstheme="majorBidi"/>
          <w:b/>
          <w:bCs/>
          <w:color w:val="002A3F" w:themeColor="accent2"/>
          <w:sz w:val="44"/>
          <w:szCs w:val="28"/>
        </w:rPr>
      </w:pPr>
      <w:r>
        <w:rPr>
          <w:sz w:val="44"/>
          <w:szCs w:val="28"/>
        </w:rPr>
        <w:br w:type="page"/>
      </w:r>
    </w:p>
    <w:p w14:paraId="74031B4F" w14:textId="6283DA8B" w:rsidR="005E0044" w:rsidRPr="00151364" w:rsidRDefault="005E0044" w:rsidP="00151364">
      <w:pPr>
        <w:pStyle w:val="Heading1"/>
        <w:rPr>
          <w:rFonts w:ascii="Calibri" w:hAnsi="Calibri" w:cs="Calibri"/>
        </w:rPr>
      </w:pPr>
      <w:bookmarkStart w:id="68" w:name="_Governance_of_the"/>
      <w:bookmarkStart w:id="69" w:name="_Toc228974174"/>
      <w:bookmarkEnd w:id="68"/>
      <w:r w:rsidRPr="00151364">
        <w:rPr>
          <w:rFonts w:ascii="Calibri" w:hAnsi="Calibri" w:cs="Calibri"/>
        </w:rPr>
        <w:lastRenderedPageBreak/>
        <w:t>Governance of the Framework</w:t>
      </w:r>
      <w:bookmarkEnd w:id="66"/>
      <w:bookmarkEnd w:id="67"/>
      <w:bookmarkEnd w:id="69"/>
      <w:r w:rsidRPr="00151364">
        <w:rPr>
          <w:rFonts w:ascii="Calibri" w:hAnsi="Calibri" w:cs="Calibri"/>
        </w:rPr>
        <w:t xml:space="preserve"> </w:t>
      </w:r>
    </w:p>
    <w:p w14:paraId="363B9F75" w14:textId="2E05019C" w:rsidR="005E0044" w:rsidRDefault="005E0044" w:rsidP="00DF2AFB">
      <w:r>
        <w:t>Monitoring and evaluation are key components of good governance. They</w:t>
      </w:r>
      <w:r w:rsidRPr="008C6334">
        <w:t xml:space="preserve"> generate evidence </w:t>
      </w:r>
      <w:r>
        <w:t>to</w:t>
      </w:r>
      <w:r w:rsidRPr="008C6334">
        <w:t xml:space="preserve"> drive accountability and transparency, foster continuous improvement, and </w:t>
      </w:r>
      <w:r>
        <w:t>inform</w:t>
      </w:r>
      <w:r w:rsidRPr="008C6334">
        <w:t xml:space="preserve"> decision-making</w:t>
      </w:r>
      <w:r>
        <w:t xml:space="preserve">. Evaluation also provides a mechanism to assess the appropriateness of the Strategy’s governance and accountability system, as highlighted in the key evaluation questions. </w:t>
      </w:r>
    </w:p>
    <w:p w14:paraId="28612BCA" w14:textId="77777777" w:rsidR="005E0044" w:rsidRDefault="005E0044" w:rsidP="00DF2AFB">
      <w:r>
        <w:t>However, to ensure monitoring and evaluation activities</w:t>
      </w:r>
      <w:r w:rsidRPr="00922F89">
        <w:t xml:space="preserve"> </w:t>
      </w:r>
      <w:r>
        <w:t xml:space="preserve">are effective, these activities also need appropriate governance arrangements (including with the </w:t>
      </w:r>
      <w:r w:rsidRPr="000F5AEA">
        <w:t>right</w:t>
      </w:r>
      <w:r>
        <w:t xml:space="preserve"> governance groups involved that have clear roles and responsibilities).</w:t>
      </w:r>
    </w:p>
    <w:p w14:paraId="32D9A785" w14:textId="181553DB" w:rsidR="005E0044" w:rsidRDefault="005E0044" w:rsidP="00DF2AFB">
      <w:r>
        <w:t>To ensure governance arrangements for monitoring and evaluation are consistent with other aspects of Strategy implementation,</w:t>
      </w:r>
      <w:r w:rsidRPr="003B10A6">
        <w:t xml:space="preserve"> </w:t>
      </w:r>
      <w:r>
        <w:t xml:space="preserve">the cross-Government senior-level steering committee overseeing </w:t>
      </w:r>
      <w:r w:rsidRPr="003B10A6">
        <w:t xml:space="preserve">the implementation of the </w:t>
      </w:r>
      <w:r>
        <w:t>Strategy</w:t>
      </w:r>
      <w:r w:rsidRPr="003B10A6">
        <w:t xml:space="preserve"> </w:t>
      </w:r>
      <w:r>
        <w:t>will also oversee the</w:t>
      </w:r>
      <w:r w:rsidRPr="00D7178F">
        <w:t xml:space="preserve"> </w:t>
      </w:r>
      <w:r>
        <w:t>implementation of this Framework</w:t>
      </w:r>
      <w:r w:rsidRPr="003B10A6">
        <w:t>.</w:t>
      </w:r>
      <w:r>
        <w:t xml:space="preserve"> This committee will be supported by:</w:t>
      </w:r>
    </w:p>
    <w:p w14:paraId="62FC6990" w14:textId="11319DB2" w:rsidR="005E0044" w:rsidRDefault="005E0044" w:rsidP="00FE0E32">
      <w:pPr>
        <w:pStyle w:val="ListParagraph"/>
        <w:numPr>
          <w:ilvl w:val="0"/>
          <w:numId w:val="3"/>
        </w:numPr>
      </w:pPr>
      <w:r>
        <w:t xml:space="preserve">A mechanism to consult with parents and carers on implementation of the Strategy, including monitoring and evaluation activities. </w:t>
      </w:r>
    </w:p>
    <w:p w14:paraId="086AA7C3" w14:textId="4A83A261" w:rsidR="005E0044" w:rsidRDefault="00273B76" w:rsidP="00FE0E32">
      <w:pPr>
        <w:pStyle w:val="ListParagraph"/>
        <w:numPr>
          <w:ilvl w:val="0"/>
          <w:numId w:val="3"/>
        </w:numPr>
      </w:pPr>
      <w:r>
        <w:t>A</w:t>
      </w:r>
      <w:r w:rsidR="005E0044">
        <w:t xml:space="preserve"> lead Government agency who will coordinate </w:t>
      </w:r>
      <w:r w:rsidR="005E0044" w:rsidRPr="001F3AA4">
        <w:t>monitoring and evaluation</w:t>
      </w:r>
      <w:r w:rsidR="005E0044">
        <w:t xml:space="preserve"> activities</w:t>
      </w:r>
      <w:r w:rsidR="005E0044" w:rsidRPr="001F3AA4">
        <w:t xml:space="preserve"> </w:t>
      </w:r>
      <w:r w:rsidR="005E0044">
        <w:t xml:space="preserve">across Commonwealth agencies and ensure </w:t>
      </w:r>
      <w:r w:rsidR="005E0044" w:rsidRPr="001D6884">
        <w:t>robust cross-agency accountability</w:t>
      </w:r>
      <w:r w:rsidR="005E0044">
        <w:t xml:space="preserve"> for the Strategy.</w:t>
      </w:r>
    </w:p>
    <w:p w14:paraId="7EB28D46" w14:textId="10A60CD9" w:rsidR="005E0044" w:rsidRPr="00151364" w:rsidRDefault="005E0044" w:rsidP="00151364">
      <w:pPr>
        <w:pStyle w:val="Heading2"/>
        <w:spacing w:after="240"/>
        <w:rPr>
          <w:color w:val="640638"/>
        </w:rPr>
      </w:pPr>
      <w:bookmarkStart w:id="70" w:name="_Toc215146325"/>
      <w:bookmarkStart w:id="71" w:name="_Toc228974175"/>
      <w:r w:rsidRPr="00151364">
        <w:rPr>
          <w:color w:val="640638"/>
        </w:rPr>
        <w:t>Roles and responsibilities</w:t>
      </w:r>
      <w:bookmarkEnd w:id="70"/>
      <w:bookmarkEnd w:id="71"/>
    </w:p>
    <w:p w14:paraId="22E2A16E" w14:textId="470C4A21" w:rsidR="005E0044" w:rsidRDefault="005E0044" w:rsidP="00151364">
      <w:pPr>
        <w:pStyle w:val="Heading3"/>
        <w:spacing w:after="240"/>
      </w:pPr>
      <w:bookmarkStart w:id="72" w:name="_Toc215146326"/>
      <w:bookmarkStart w:id="73" w:name="_Toc228974176"/>
      <w:r>
        <w:t>S</w:t>
      </w:r>
      <w:r w:rsidRPr="00376613">
        <w:t xml:space="preserve">enior-level </w:t>
      </w:r>
      <w:r>
        <w:t>s</w:t>
      </w:r>
      <w:r w:rsidRPr="00376613">
        <w:t xml:space="preserve">teering </w:t>
      </w:r>
      <w:r>
        <w:t>c</w:t>
      </w:r>
      <w:r w:rsidRPr="00376613">
        <w:t>ommittee</w:t>
      </w:r>
      <w:bookmarkEnd w:id="72"/>
      <w:bookmarkEnd w:id="73"/>
    </w:p>
    <w:p w14:paraId="6B57BB1F" w14:textId="77777777" w:rsidR="005E0044" w:rsidRPr="004748F9" w:rsidRDefault="005E0044" w:rsidP="00DF2AFB">
      <w:r w:rsidRPr="004748F9">
        <w:t>This group will oversee implementation of this Framework and all monitoring and evaluation activities under the Strategy, including:</w:t>
      </w:r>
    </w:p>
    <w:p w14:paraId="1FB27D04" w14:textId="5EED87D4" w:rsidR="005E0044" w:rsidRPr="00267772" w:rsidRDefault="005E0044" w:rsidP="00267772">
      <w:pPr>
        <w:pStyle w:val="ListParagraph"/>
        <w:numPr>
          <w:ilvl w:val="0"/>
          <w:numId w:val="22"/>
        </w:numPr>
      </w:pPr>
      <w:r w:rsidRPr="00267772">
        <w:t xml:space="preserve">Approving monitoring and evaluation plans and processes, such as the final design and approach to evaluation of the Strategy. </w:t>
      </w:r>
    </w:p>
    <w:p w14:paraId="1D72B389" w14:textId="2E454A18" w:rsidR="005E0044" w:rsidRPr="00267772" w:rsidRDefault="005E0044" w:rsidP="00267772">
      <w:pPr>
        <w:pStyle w:val="ListParagraph"/>
        <w:numPr>
          <w:ilvl w:val="0"/>
          <w:numId w:val="22"/>
        </w:numPr>
      </w:pPr>
      <w:r w:rsidRPr="00267772">
        <w:t>Monitoring progress of the action plans and long-term outcomes as outlined in the Outcomes Framework.</w:t>
      </w:r>
    </w:p>
    <w:p w14:paraId="545E4145" w14:textId="020942BF" w:rsidR="005E0044" w:rsidRPr="00267772" w:rsidRDefault="005E0044" w:rsidP="00267772">
      <w:pPr>
        <w:pStyle w:val="ListParagraph"/>
        <w:numPr>
          <w:ilvl w:val="0"/>
          <w:numId w:val="22"/>
        </w:numPr>
      </w:pPr>
      <w:r w:rsidRPr="00267772">
        <w:t>Considering and responding to evaluation findings and recommendations.</w:t>
      </w:r>
    </w:p>
    <w:p w14:paraId="3EFADE3D" w14:textId="5CCEB0F4" w:rsidR="005E0044" w:rsidRPr="00267772" w:rsidRDefault="005E0044" w:rsidP="00267772">
      <w:pPr>
        <w:pStyle w:val="ListParagraph"/>
        <w:numPr>
          <w:ilvl w:val="0"/>
          <w:numId w:val="22"/>
        </w:numPr>
      </w:pPr>
      <w:r w:rsidRPr="00267772">
        <w:t>Overseeing improvements to the Strategy and its actions over time.</w:t>
      </w:r>
    </w:p>
    <w:p w14:paraId="392CB2C3" w14:textId="3ED05AF3" w:rsidR="005E0044" w:rsidRDefault="005E0044" w:rsidP="00151364">
      <w:pPr>
        <w:pStyle w:val="Heading3"/>
        <w:spacing w:after="240"/>
      </w:pPr>
      <w:bookmarkStart w:id="74" w:name="_Toc215146327"/>
      <w:bookmarkStart w:id="75" w:name="_Toc228974177"/>
      <w:r>
        <w:t>Lead Government agency</w:t>
      </w:r>
      <w:bookmarkEnd w:id="74"/>
      <w:bookmarkEnd w:id="75"/>
    </w:p>
    <w:p w14:paraId="68824B27" w14:textId="2CEB741E" w:rsidR="00E5720E" w:rsidRPr="00DF2AFB" w:rsidRDefault="005E0044" w:rsidP="00DF2AFB">
      <w:pPr>
        <w:rPr>
          <w:rStyle w:val="Heading3Char"/>
          <w:rFonts w:eastAsiaTheme="minorHAnsi" w:cstheme="minorBidi"/>
          <w:bCs w:val="0"/>
          <w:color w:val="auto"/>
          <w:sz w:val="22"/>
        </w:rPr>
      </w:pPr>
      <w:r w:rsidRPr="004748F9">
        <w:t xml:space="preserve">A lead Government agency will support the senior-level steering committee in overseeing implementation of the Strategy, including monitoring and evaluation. It will work across the Government, including with the other governance groups, to coordinate monitoring and </w:t>
      </w:r>
      <w:r w:rsidRPr="004748F9">
        <w:lastRenderedPageBreak/>
        <w:t>evaluation activities and ensure transparent and robust cross-agency accountability arrangements, data sharing and strong evaluation processes for the Strategy.</w:t>
      </w:r>
      <w:bookmarkStart w:id="76" w:name="_Toc215146328"/>
    </w:p>
    <w:p w14:paraId="6724CD55" w14:textId="3846340E" w:rsidR="005E0044" w:rsidRPr="00FA71D9" w:rsidRDefault="005E0044" w:rsidP="00151364">
      <w:pPr>
        <w:pStyle w:val="Heading3"/>
        <w:spacing w:after="240"/>
      </w:pPr>
      <w:bookmarkStart w:id="77" w:name="_Toc228974178"/>
      <w:r w:rsidRPr="00151364">
        <w:rPr>
          <w:bCs w:val="0"/>
        </w:rPr>
        <w:t>Consultation mechanism with parents and carers</w:t>
      </w:r>
      <w:bookmarkEnd w:id="76"/>
      <w:bookmarkEnd w:id="77"/>
      <w:r w:rsidRPr="00FA71D9">
        <w:t xml:space="preserve"> </w:t>
      </w:r>
    </w:p>
    <w:p w14:paraId="09E6278D" w14:textId="40DD2616" w:rsidR="005E0044" w:rsidRPr="001874EA" w:rsidRDefault="005E0044" w:rsidP="00DF2AFB">
      <w:r w:rsidRPr="001874EA">
        <w:t>In line with Priority Focus Area 1 of the Strategy, a consultation mechanism will be used to ensure the perspectives of parents and families are embedded in monitoring and evaluation activities under the Strategy, including:</w:t>
      </w:r>
    </w:p>
    <w:p w14:paraId="5D880564" w14:textId="1FB973A7" w:rsidR="005E0044" w:rsidRPr="00267772" w:rsidRDefault="005E0044" w:rsidP="00267772">
      <w:pPr>
        <w:pStyle w:val="ListParagraph"/>
        <w:numPr>
          <w:ilvl w:val="0"/>
          <w:numId w:val="21"/>
        </w:numPr>
      </w:pPr>
      <w:r w:rsidRPr="00267772">
        <w:t>Providing input into the design of evaluations, including the development of questions and approaches.</w:t>
      </w:r>
    </w:p>
    <w:p w14:paraId="4643BDDF" w14:textId="4E0D7676" w:rsidR="005E0044" w:rsidRPr="00267772" w:rsidRDefault="005E0044" w:rsidP="00267772">
      <w:pPr>
        <w:pStyle w:val="ListParagraph"/>
        <w:numPr>
          <w:ilvl w:val="0"/>
          <w:numId w:val="21"/>
        </w:numPr>
      </w:pPr>
      <w:r w:rsidRPr="00267772">
        <w:t>Offering advice on evaluation outcomes, recommendations, and monitoring outputs before they are finalised.</w:t>
      </w:r>
    </w:p>
    <w:p w14:paraId="2FD7E71C" w14:textId="5638A852" w:rsidR="005E0044" w:rsidRPr="00267772" w:rsidRDefault="005E0044" w:rsidP="00267772">
      <w:pPr>
        <w:pStyle w:val="ListParagraph"/>
        <w:numPr>
          <w:ilvl w:val="0"/>
          <w:numId w:val="21"/>
        </w:numPr>
      </w:pPr>
      <w:r w:rsidRPr="00267772">
        <w:t>Sharing reflections on evaluation findings and recommendations once finalised, which may be included as key messages in reports or communications directly to the Minister.</w:t>
      </w:r>
    </w:p>
    <w:p w14:paraId="08C9E183" w14:textId="7CE77A07" w:rsidR="005E0044" w:rsidRPr="001874EA" w:rsidRDefault="005E0044" w:rsidP="000D39E2">
      <w:pPr>
        <w:rPr>
          <w:rFonts w:cs="Calibri"/>
          <w:szCs w:val="22"/>
        </w:rPr>
      </w:pPr>
    </w:p>
    <w:p w14:paraId="6D3A7529" w14:textId="52A54CF8" w:rsidR="000D39E2" w:rsidRPr="009F2EB9" w:rsidRDefault="000D39E2" w:rsidP="009F2EB9">
      <w:pPr>
        <w:spacing w:line="240" w:lineRule="auto"/>
        <w:rPr>
          <w:rFonts w:eastAsia="Times New Roman"/>
          <w:lang w:bidi="en-US"/>
        </w:rPr>
      </w:pPr>
      <w:bookmarkStart w:id="78" w:name="_Toc144375374"/>
      <w:bookmarkStart w:id="79" w:name="_Toc161056832"/>
      <w:bookmarkStart w:id="80" w:name="_Toc215145903"/>
      <w:bookmarkStart w:id="81" w:name="_Toc215146329"/>
    </w:p>
    <w:p w14:paraId="32F6973B" w14:textId="77777777" w:rsidR="00672EA6" w:rsidRDefault="00672EA6">
      <w:pPr>
        <w:spacing w:after="240"/>
        <w:rPr>
          <w:rFonts w:eastAsiaTheme="majorEastAsia" w:cstheme="majorBidi"/>
          <w:b/>
          <w:bCs/>
          <w:color w:val="002A3F" w:themeColor="accent2"/>
          <w:sz w:val="44"/>
          <w:szCs w:val="28"/>
        </w:rPr>
      </w:pPr>
      <w:r>
        <w:rPr>
          <w:sz w:val="44"/>
          <w:szCs w:val="28"/>
        </w:rPr>
        <w:br w:type="page"/>
      </w:r>
    </w:p>
    <w:p w14:paraId="37DC04DB" w14:textId="1CCE5744" w:rsidR="000E55FE" w:rsidRPr="00151364" w:rsidRDefault="000E55FE" w:rsidP="00151364">
      <w:pPr>
        <w:pStyle w:val="Heading1"/>
        <w:rPr>
          <w:rFonts w:ascii="Calibri" w:hAnsi="Calibri" w:cs="Calibri"/>
        </w:rPr>
      </w:pPr>
      <w:bookmarkStart w:id="82" w:name="_Toc228974179"/>
      <w:r w:rsidRPr="00151364">
        <w:rPr>
          <w:rFonts w:ascii="Calibri" w:hAnsi="Calibri" w:cs="Calibri"/>
        </w:rPr>
        <w:lastRenderedPageBreak/>
        <w:t>Appendi</w:t>
      </w:r>
      <w:r w:rsidR="00E97AB2" w:rsidRPr="00151364">
        <w:rPr>
          <w:rFonts w:ascii="Calibri" w:hAnsi="Calibri" w:cs="Calibri"/>
        </w:rPr>
        <w:t>c</w:t>
      </w:r>
      <w:r w:rsidRPr="00151364">
        <w:rPr>
          <w:rFonts w:ascii="Calibri" w:hAnsi="Calibri" w:cs="Calibri"/>
        </w:rPr>
        <w:t>es</w:t>
      </w:r>
      <w:bookmarkEnd w:id="78"/>
      <w:bookmarkEnd w:id="79"/>
      <w:bookmarkEnd w:id="80"/>
      <w:bookmarkEnd w:id="81"/>
      <w:bookmarkEnd w:id="82"/>
    </w:p>
    <w:p w14:paraId="26DE775A" w14:textId="77777777" w:rsidR="005E0044" w:rsidRPr="00151364" w:rsidRDefault="005E0044" w:rsidP="00151364">
      <w:pPr>
        <w:pStyle w:val="Heading2"/>
        <w:spacing w:after="240"/>
        <w:rPr>
          <w:color w:val="640638"/>
        </w:rPr>
      </w:pPr>
      <w:bookmarkStart w:id="83" w:name="_Toc215146330"/>
      <w:bookmarkStart w:id="84" w:name="_Toc228974180"/>
      <w:bookmarkStart w:id="85" w:name="_Toc144375375"/>
      <w:bookmarkStart w:id="86" w:name="_Toc161056833"/>
      <w:bookmarkStart w:id="87" w:name="_Toc215145904"/>
      <w:r w:rsidRPr="00151364">
        <w:rPr>
          <w:color w:val="640638"/>
        </w:rPr>
        <w:t>Appendix A: Additional detail on key elements of the Strategy</w:t>
      </w:r>
      <w:bookmarkEnd w:id="83"/>
      <w:bookmarkEnd w:id="84"/>
      <w:r w:rsidRPr="00151364">
        <w:rPr>
          <w:color w:val="640638"/>
        </w:rPr>
        <w:t xml:space="preserve"> </w:t>
      </w:r>
    </w:p>
    <w:p w14:paraId="3F958625" w14:textId="77777777" w:rsidR="005E0044" w:rsidRPr="00911B77" w:rsidRDefault="005E0044" w:rsidP="005E0044">
      <w:r w:rsidRPr="18E1640E">
        <w:t xml:space="preserve">The Strategy’s </w:t>
      </w:r>
      <w:r w:rsidRPr="00307079">
        <w:rPr>
          <w:b/>
          <w:bCs/>
        </w:rPr>
        <w:t>vision</w:t>
      </w:r>
      <w:r w:rsidRPr="18E1640E">
        <w:t xml:space="preserve"> is for all children in Australia to thrive during their early years</w:t>
      </w:r>
      <w:r>
        <w:t xml:space="preserve">, and </w:t>
      </w:r>
      <w:proofErr w:type="gramStart"/>
      <w:r>
        <w:t>have the opportunity to</w:t>
      </w:r>
      <w:proofErr w:type="gramEnd"/>
      <w:r>
        <w:t xml:space="preserve"> reach their full potential</w:t>
      </w:r>
      <w:r w:rsidRPr="18E1640E">
        <w:t>,</w:t>
      </w:r>
      <w:r>
        <w:t xml:space="preserve"> nurtured</w:t>
      </w:r>
      <w:r w:rsidRPr="18E1640E">
        <w:t xml:space="preserve"> by empowered and connected families</w:t>
      </w:r>
      <w:r>
        <w:t xml:space="preserve"> who are supported by</w:t>
      </w:r>
      <w:r w:rsidRPr="18E1640E">
        <w:t xml:space="preserve"> strong communities.</w:t>
      </w:r>
    </w:p>
    <w:p w14:paraId="66481A19" w14:textId="77777777" w:rsidR="005E0044" w:rsidRDefault="005E0044" w:rsidP="005E0044">
      <w:r>
        <w:t xml:space="preserve">Along with this vision, the Strategy also identifies </w:t>
      </w:r>
      <w:r w:rsidRPr="00307079">
        <w:rPr>
          <w:b/>
          <w:bCs/>
        </w:rPr>
        <w:t xml:space="preserve">8 long-term outcomes </w:t>
      </w:r>
      <w:r>
        <w:t xml:space="preserve">(described in the Strategy simply as ‘outcomes’). These outcomes are designed to measure progress, focusing on how children are faring, growing and developing, as well as assessing the wellbeing of families and the communities that support them. </w:t>
      </w:r>
    </w:p>
    <w:p w14:paraId="771E170E" w14:textId="77777777" w:rsidR="005E0044" w:rsidRDefault="005E0044" w:rsidP="005E0044">
      <w:r>
        <w:t xml:space="preserve">The Strategy has </w:t>
      </w:r>
      <w:r w:rsidRPr="00307079">
        <w:rPr>
          <w:b/>
          <w:bCs/>
        </w:rPr>
        <w:t>4 priority focus areas</w:t>
      </w:r>
      <w:r>
        <w:t xml:space="preserve"> for action, which contribute to </w:t>
      </w:r>
      <w:r w:rsidRPr="00307079">
        <w:rPr>
          <w:b/>
          <w:bCs/>
        </w:rPr>
        <w:t>10 intermediate outcomes</w:t>
      </w:r>
      <w:r>
        <w:t xml:space="preserve">. These intermediate outcomes are the interim changes expected when the actions are implemented and provide the building blocks to achieve the Strategy’s vision and long-term outcomes. </w:t>
      </w:r>
    </w:p>
    <w:p w14:paraId="58677C74" w14:textId="61445C67" w:rsidR="005E0044" w:rsidRDefault="005E0044" w:rsidP="005E0044">
      <w:pPr>
        <w:rPr>
          <w:rFonts w:cs="Arial"/>
        </w:rPr>
      </w:pPr>
      <w:r w:rsidRPr="0093229D">
        <w:rPr>
          <w:rFonts w:cs="Arial"/>
        </w:rPr>
        <w:t xml:space="preserve">The Strategy </w:t>
      </w:r>
      <w:r>
        <w:rPr>
          <w:rFonts w:cs="Arial"/>
        </w:rPr>
        <w:t xml:space="preserve">also </w:t>
      </w:r>
      <w:r w:rsidRPr="0093229D">
        <w:rPr>
          <w:rFonts w:cs="Arial"/>
        </w:rPr>
        <w:t xml:space="preserve">sets out </w:t>
      </w:r>
      <w:r w:rsidRPr="00307079">
        <w:rPr>
          <w:rFonts w:cs="Arial"/>
          <w:b/>
          <w:bCs/>
        </w:rPr>
        <w:t xml:space="preserve">5 principles </w:t>
      </w:r>
      <w:r w:rsidRPr="0093229D">
        <w:rPr>
          <w:rFonts w:cs="Arial"/>
        </w:rPr>
        <w:t xml:space="preserve">to guide the Government in supporting children and families in the early years, especially through its </w:t>
      </w:r>
      <w:r>
        <w:rPr>
          <w:rFonts w:cs="Arial"/>
        </w:rPr>
        <w:t>a</w:t>
      </w:r>
      <w:r w:rsidRPr="0093229D">
        <w:rPr>
          <w:rFonts w:cs="Arial"/>
        </w:rPr>
        <w:t xml:space="preserve">ction </w:t>
      </w:r>
      <w:r>
        <w:rPr>
          <w:rFonts w:cs="Arial"/>
        </w:rPr>
        <w:t>p</w:t>
      </w:r>
      <w:r w:rsidRPr="0093229D">
        <w:rPr>
          <w:rFonts w:cs="Arial"/>
        </w:rPr>
        <w:t>lans</w:t>
      </w:r>
      <w:r>
        <w:rPr>
          <w:rFonts w:cs="Arial"/>
        </w:rPr>
        <w:t xml:space="preserve"> and Outcomes Framework</w:t>
      </w:r>
      <w:r w:rsidRPr="0093229D">
        <w:rPr>
          <w:rFonts w:cs="Arial"/>
        </w:rPr>
        <w:t>.</w:t>
      </w:r>
    </w:p>
    <w:p w14:paraId="43728CB7" w14:textId="718975BE" w:rsidR="00B3441B" w:rsidRDefault="00B3441B" w:rsidP="009F2EB9">
      <w:pPr>
        <w:rPr>
          <w:rFonts w:cs="Arial"/>
        </w:rPr>
      </w:pPr>
      <w:r>
        <w:rPr>
          <w:noProof/>
        </w:rPr>
        <mc:AlternateContent>
          <mc:Choice Requires="wps">
            <w:drawing>
              <wp:anchor distT="0" distB="0" distL="114300" distR="114300" simplePos="0" relativeHeight="251745280" behindDoc="0" locked="0" layoutInCell="1" allowOverlap="1" wp14:anchorId="3543C465" wp14:editId="16A4F44C">
                <wp:simplePos x="0" y="0"/>
                <wp:positionH relativeFrom="margin">
                  <wp:posOffset>-587</wp:posOffset>
                </wp:positionH>
                <wp:positionV relativeFrom="paragraph">
                  <wp:posOffset>1996440</wp:posOffset>
                </wp:positionV>
                <wp:extent cx="4892040" cy="450850"/>
                <wp:effectExtent l="0" t="0" r="3810" b="6350"/>
                <wp:wrapTopAndBottom/>
                <wp:docPr id="665832083" name="Text Box 1"/>
                <wp:cNvGraphicFramePr/>
                <a:graphic xmlns:a="http://schemas.openxmlformats.org/drawingml/2006/main">
                  <a:graphicData uri="http://schemas.microsoft.com/office/word/2010/wordprocessingShape">
                    <wps:wsp>
                      <wps:cNvSpPr txBox="1"/>
                      <wps:spPr>
                        <a:xfrm>
                          <a:off x="0" y="0"/>
                          <a:ext cx="4892040" cy="450850"/>
                        </a:xfrm>
                        <a:prstGeom prst="rect">
                          <a:avLst/>
                        </a:prstGeom>
                        <a:noFill/>
                        <a:ln>
                          <a:noFill/>
                        </a:ln>
                      </wps:spPr>
                      <wps:txbx>
                        <w:txbxContent>
                          <w:p w14:paraId="05D8C13F" w14:textId="5E615053" w:rsidR="00B3441B" w:rsidRPr="001200DE" w:rsidRDefault="00B3441B" w:rsidP="00B3441B">
                            <w:pPr>
                              <w:pStyle w:val="Caption"/>
                              <w:rPr>
                                <w:noProof/>
                              </w:rPr>
                            </w:pPr>
                            <w:r>
                              <w:t>Figure 2: Key elements of the Strategy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43C465" id="_x0000_s1027" type="#_x0000_t202" style="position:absolute;margin-left:-.05pt;margin-top:157.2pt;width:385.2pt;height:35.5pt;z-index:25174528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" filled="f" stroked="f">
                <v:textbox inset="0,0,0,0">
                  <w:txbxContent>
                    <w:p w14:paraId="05D8C13F" w14:textId="5E615053" w:rsidR="00B3441B" w:rsidRPr="001200DE" w:rsidRDefault="00B3441B" w:rsidP="00B3441B">
                      <w:pPr>
                        <w:pStyle w:val="Caption"/>
                        <w:rPr>
                          <w:noProof/>
                        </w:rPr>
                      </w:pPr>
                      <w:r>
                        <w:t>Figure 2: Key elements of the Strategy</w:t>
                      </w:r>
                    </w:p>
                  </w:txbxContent>
                </v:textbox>
                <w10:wrap type="topAndBottom" anchorx="margin"/>
              </v:shape>
            </w:pict>
          </mc:Fallback>
        </mc:AlternateContent>
      </w:r>
      <w:r w:rsidR="00DD62A2" w:rsidRPr="00DD62A2">
        <w:rPr>
          <w:rFonts w:cs="Arial"/>
          <w:noProof/>
        </w:rPr>
        <w:drawing>
          <wp:inline distT="0" distB="0" distL="0" distR="0" wp14:anchorId="41A40463" wp14:editId="0D340589">
            <wp:extent cx="5144092" cy="1638300"/>
            <wp:effectExtent l="0" t="0" r="0" b="0"/>
            <wp:docPr id="64785537" name="Picture 1" descr="Diagram detailing key elements of the Strategy.&#10;&#10;Priority focus areas &gt; Intermediate outcomes &gt; Outcomes &gt; Vi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5537" name="Picture 1" descr="Diagram detailing key elements of the Strategy.&#10;&#10;Priority focus areas &gt; Intermediate outcomes &gt; Outcomes &gt; Vision"/>
                    <pic:cNvPicPr/>
                  </pic:nvPicPr>
                  <pic:blipFill>
                    <a:blip r:embed="rId44"/>
                    <a:stretch>
                      <a:fillRect/>
                    </a:stretch>
                  </pic:blipFill>
                  <pic:spPr>
                    <a:xfrm>
                      <a:off x="0" y="0"/>
                      <a:ext cx="5149974" cy="1640173"/>
                    </a:xfrm>
                    <a:prstGeom prst="rect">
                      <a:avLst/>
                    </a:prstGeom>
                  </pic:spPr>
                </pic:pic>
              </a:graphicData>
            </a:graphic>
          </wp:inline>
        </w:drawing>
      </w:r>
    </w:p>
    <w:p w14:paraId="680C64B5" w14:textId="77777777" w:rsidR="00B3441B" w:rsidRDefault="00B3441B" w:rsidP="009F2EB9">
      <w:pPr>
        <w:rPr>
          <w:rFonts w:cs="Arial"/>
        </w:rPr>
      </w:pPr>
    </w:p>
    <w:p w14:paraId="6D4EB25E" w14:textId="77777777" w:rsidR="00DD62A2" w:rsidRDefault="00DD62A2" w:rsidP="009F2EB9">
      <w:pPr>
        <w:rPr>
          <w:rFonts w:cs="Arial"/>
        </w:rPr>
      </w:pPr>
    </w:p>
    <w:p w14:paraId="42548658" w14:textId="56C20BE2" w:rsidR="009F2EB9" w:rsidRDefault="0063688E" w:rsidP="009F2EB9">
      <w:pPr>
        <w:rPr>
          <w:rFonts w:cs="Arial"/>
        </w:rPr>
        <w:sectPr w:rsidR="009F2EB9" w:rsidSect="007A5217">
          <w:type w:val="continuous"/>
          <w:pgSz w:w="11901" w:h="16840"/>
          <w:pgMar w:top="1418" w:right="1701" w:bottom="1418" w:left="1701" w:header="680" w:footer="680" w:gutter="0"/>
          <w:pgNumType w:start="1"/>
          <w:cols w:space="708"/>
          <w:noEndnote/>
        </w:sectPr>
      </w:pPr>
      <w:r>
        <w:rPr>
          <w:noProof/>
        </w:rPr>
        <w:drawing>
          <wp:anchor distT="0" distB="0" distL="114300" distR="114300" simplePos="0" relativeHeight="251719680" behindDoc="0" locked="0" layoutInCell="1" allowOverlap="1" wp14:anchorId="276E384A" wp14:editId="656C5A43">
            <wp:simplePos x="0" y="0"/>
            <wp:positionH relativeFrom="margin">
              <wp:posOffset>882868</wp:posOffset>
            </wp:positionH>
            <wp:positionV relativeFrom="paragraph">
              <wp:posOffset>1638979</wp:posOffset>
            </wp:positionV>
            <wp:extent cx="9648497" cy="7701280"/>
            <wp:effectExtent l="0" t="0" r="0" b="0"/>
            <wp:wrapNone/>
            <wp:docPr id="378363439"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701877" name="Picture 7">
                      <a:extLst>
                        <a:ext uri="{C183D7F6-B498-43B3-948B-1728B52AA6E4}">
                          <adec:decorative xmlns:adec="http://schemas.microsoft.com/office/drawing/2017/decorative" val="1"/>
                        </a:ext>
                      </a:extLst>
                    </pic:cNvPr>
                    <pic:cNvPicPr/>
                  </pic:nvPicPr>
                  <pic:blipFill>
                    <a:blip r:embed="rId41" cstate="print">
                      <a:extLst>
                        <a:ext uri="{28A0092B-C50C-407E-A947-70E740481C1C}">
                          <a14:useLocalDpi xmlns:a14="http://schemas.microsoft.com/office/drawing/2010/main"/>
                        </a:ext>
                      </a:extLst>
                    </a:blip>
                    <a:stretch>
                      <a:fillRect/>
                    </a:stretch>
                  </pic:blipFill>
                  <pic:spPr>
                    <a:xfrm>
                      <a:off x="0" y="0"/>
                      <a:ext cx="9648497" cy="7701280"/>
                    </a:xfrm>
                    <a:prstGeom prst="rect">
                      <a:avLst/>
                    </a:prstGeom>
                  </pic:spPr>
                </pic:pic>
              </a:graphicData>
            </a:graphic>
            <wp14:sizeRelH relativeFrom="margin">
              <wp14:pctWidth>0</wp14:pctWidth>
            </wp14:sizeRelH>
            <wp14:sizeRelV relativeFrom="margin">
              <wp14:pctHeight>0</wp14:pctHeight>
            </wp14:sizeRelV>
          </wp:anchor>
        </w:drawing>
      </w:r>
      <w:r w:rsidR="005E0044" w:rsidRPr="3B0222AF">
        <w:rPr>
          <w:rFonts w:cs="Arial"/>
        </w:rPr>
        <w:t xml:space="preserve">The Strategy logic that </w:t>
      </w:r>
      <w:r w:rsidR="005E0044">
        <w:rPr>
          <w:rFonts w:cs="Arial"/>
        </w:rPr>
        <w:t>outlines</w:t>
      </w:r>
      <w:r w:rsidR="005E0044" w:rsidRPr="3B0222AF">
        <w:rPr>
          <w:rFonts w:cs="Arial"/>
        </w:rPr>
        <w:t xml:space="preserve"> these </w:t>
      </w:r>
      <w:r w:rsidR="005E0044">
        <w:rPr>
          <w:rFonts w:cs="Arial"/>
        </w:rPr>
        <w:t xml:space="preserve">key </w:t>
      </w:r>
      <w:r w:rsidR="005E0044" w:rsidRPr="3B0222AF">
        <w:rPr>
          <w:rFonts w:cs="Arial"/>
        </w:rPr>
        <w:t xml:space="preserve">elements is </w:t>
      </w:r>
      <w:r w:rsidR="005E0044">
        <w:rPr>
          <w:rFonts w:cs="Arial"/>
        </w:rPr>
        <w:t>provided on the next pa</w:t>
      </w:r>
      <w:r w:rsidR="009F2EB9">
        <w:rPr>
          <w:rFonts w:cs="Arial"/>
        </w:rPr>
        <w:t>g</w:t>
      </w:r>
      <w:r w:rsidR="0017514F">
        <w:rPr>
          <w:rFonts w:cs="Arial"/>
        </w:rPr>
        <w:t>e.</w:t>
      </w:r>
    </w:p>
    <w:p w14:paraId="79FA0325" w14:textId="3A544842" w:rsidR="0017514F" w:rsidRPr="00151364" w:rsidRDefault="00151364" w:rsidP="00151364">
      <w:pPr>
        <w:pStyle w:val="Heading2"/>
        <w:spacing w:after="240"/>
        <w:rPr>
          <w:color w:val="640638"/>
        </w:rPr>
      </w:pPr>
      <w:bookmarkStart w:id="88" w:name="_Toc228974181"/>
      <w:r w:rsidRPr="00784F29">
        <w:rPr>
          <w:noProof/>
        </w:rPr>
        <w:lastRenderedPageBreak/>
        <w:drawing>
          <wp:anchor distT="0" distB="0" distL="114300" distR="114300" simplePos="0" relativeHeight="251708416" behindDoc="0" locked="0" layoutInCell="1" allowOverlap="1" wp14:anchorId="49775522" wp14:editId="049AF329">
            <wp:simplePos x="0" y="0"/>
            <wp:positionH relativeFrom="margin">
              <wp:align>center</wp:align>
            </wp:positionH>
            <wp:positionV relativeFrom="paragraph">
              <wp:posOffset>707722</wp:posOffset>
            </wp:positionV>
            <wp:extent cx="7096760" cy="4680585"/>
            <wp:effectExtent l="0" t="0" r="8890" b="5715"/>
            <wp:wrapTopAndBottom/>
            <wp:docPr id="976163477" name="Picture 1" descr="Chart visualising the Early Years Strategy 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163477" name="Picture 1" descr="Chart visualising the Early Years Strategy Logic."/>
                    <pic:cNvPicPr/>
                  </pic:nvPicPr>
                  <pic:blipFill>
                    <a:blip r:embed="rId45"/>
                    <a:stretch>
                      <a:fillRect/>
                    </a:stretch>
                  </pic:blipFill>
                  <pic:spPr>
                    <a:xfrm>
                      <a:off x="0" y="0"/>
                      <a:ext cx="7096760" cy="4680585"/>
                    </a:xfrm>
                    <a:prstGeom prst="rect">
                      <a:avLst/>
                    </a:prstGeom>
                  </pic:spPr>
                </pic:pic>
              </a:graphicData>
            </a:graphic>
            <wp14:sizeRelH relativeFrom="margin">
              <wp14:pctWidth>0</wp14:pctWidth>
            </wp14:sizeRelH>
            <wp14:sizeRelV relativeFrom="margin">
              <wp14:pctHeight>0</wp14:pctHeight>
            </wp14:sizeRelV>
          </wp:anchor>
        </w:drawing>
      </w:r>
      <w:r w:rsidR="0017514F" w:rsidRPr="00151364">
        <w:rPr>
          <w:color w:val="640638"/>
        </w:rPr>
        <w:t>Appendix B: Early Years Strategy Logic</w:t>
      </w:r>
      <w:bookmarkEnd w:id="88"/>
    </w:p>
    <w:p w14:paraId="0757AC3D" w14:textId="75BBA275" w:rsidR="0017514F" w:rsidRDefault="0017514F" w:rsidP="0017514F">
      <w:pPr>
        <w:rPr>
          <w:rFonts w:cs="Arial"/>
        </w:rPr>
        <w:sectPr w:rsidR="0017514F" w:rsidSect="0017514F">
          <w:pgSz w:w="16840" w:h="11901" w:orient="landscape"/>
          <w:pgMar w:top="1701" w:right="1418" w:bottom="1701" w:left="1418" w:header="680" w:footer="680" w:gutter="0"/>
          <w:cols w:space="708"/>
          <w:noEndnote/>
          <w:docGrid w:linePitch="299"/>
        </w:sectPr>
      </w:pPr>
    </w:p>
    <w:p w14:paraId="05645BCA" w14:textId="47AE66F8" w:rsidR="000E55FE" w:rsidRPr="00151364" w:rsidRDefault="00ED06AA" w:rsidP="00151364">
      <w:pPr>
        <w:pStyle w:val="Heading2"/>
        <w:spacing w:after="240"/>
        <w:rPr>
          <w:color w:val="640638"/>
        </w:rPr>
      </w:pPr>
      <w:bookmarkStart w:id="89" w:name="_Toc215146331"/>
      <w:bookmarkStart w:id="90" w:name="_Toc228974182"/>
      <w:r w:rsidRPr="00151364">
        <w:rPr>
          <w:color w:val="640638"/>
        </w:rPr>
        <w:lastRenderedPageBreak/>
        <w:t xml:space="preserve">Appendix C: </w:t>
      </w:r>
      <w:r w:rsidR="000E55FE" w:rsidRPr="00151364">
        <w:rPr>
          <w:color w:val="640638"/>
        </w:rPr>
        <w:t>Glossary</w:t>
      </w:r>
      <w:bookmarkEnd w:id="85"/>
      <w:bookmarkEnd w:id="86"/>
      <w:bookmarkEnd w:id="87"/>
      <w:bookmarkEnd w:id="89"/>
      <w:r w:rsidRPr="00151364">
        <w:rPr>
          <w:color w:val="640638"/>
        </w:rPr>
        <w:t xml:space="preserve"> of Key Terms</w:t>
      </w:r>
      <w:bookmarkEnd w:id="90"/>
    </w:p>
    <w:p w14:paraId="407944BC" w14:textId="77777777" w:rsidR="005E0044" w:rsidRPr="001874EA" w:rsidRDefault="005E0044" w:rsidP="005E0044">
      <w:pPr>
        <w:pStyle w:val="BodyText"/>
        <w:rPr>
          <w:rFonts w:ascii="Calibri" w:hAnsi="Calibri" w:cs="Calibri"/>
          <w:b/>
          <w:bCs/>
          <w:sz w:val="22"/>
          <w:szCs w:val="28"/>
          <w:lang w:bidi="ar-SA"/>
        </w:rPr>
      </w:pPr>
      <w:bookmarkStart w:id="91" w:name="_Toc144375376"/>
      <w:bookmarkStart w:id="92" w:name="_Toc161056834"/>
      <w:bookmarkStart w:id="93" w:name="_Toc215145905"/>
      <w:r w:rsidRPr="001874EA">
        <w:rPr>
          <w:rFonts w:ascii="Calibri" w:hAnsi="Calibri" w:cs="Calibri"/>
          <w:b/>
          <w:bCs/>
          <w:sz w:val="22"/>
          <w:szCs w:val="28"/>
          <w:lang w:bidi="ar-SA"/>
        </w:rPr>
        <w:t>Actions</w:t>
      </w:r>
    </w:p>
    <w:p w14:paraId="074EA922"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 xml:space="preserve">The actions are the practical steps and activities the Government is taking to achieve the Strategy’s outcomes and vision. The actions align with the Strategy’s 4 priority focus areas and are included in the Strategy’s action plans. </w:t>
      </w:r>
    </w:p>
    <w:p w14:paraId="6FBB1FBE"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Administrative data</w:t>
      </w:r>
    </w:p>
    <w:p w14:paraId="78BDA42C"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Information collected primarily for administrative (not research) purposes, such as service usage, payments, or registration records.</w:t>
      </w:r>
    </w:p>
    <w:p w14:paraId="1E501868"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 xml:space="preserve">Data source </w:t>
      </w:r>
    </w:p>
    <w:p w14:paraId="01C52155"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The data collection(s) from which data are sourced to report against a measure.</w:t>
      </w:r>
    </w:p>
    <w:p w14:paraId="029C5B4D"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Early years</w:t>
      </w:r>
    </w:p>
    <w:p w14:paraId="43674CE7"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Within the Strategy, the ‘early years’ refers to the period from pre-birth until 5 years of age.</w:t>
      </w:r>
    </w:p>
    <w:p w14:paraId="6CFDFFAB"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Evaluation</w:t>
      </w:r>
    </w:p>
    <w:p w14:paraId="67463FCD"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val="en-GB" w:bidi="ar-SA"/>
        </w:rPr>
        <w:t xml:space="preserve">The systematic, in-depth and objective assessment of the design, implementation or results of a strategy or program </w:t>
      </w:r>
      <w:r w:rsidRPr="001874EA">
        <w:rPr>
          <w:rFonts w:ascii="Calibri" w:hAnsi="Calibri" w:cs="Calibri"/>
          <w:sz w:val="22"/>
          <w:szCs w:val="28"/>
          <w:lang w:bidi="ar-SA"/>
        </w:rPr>
        <w:t>to determine its effectiveness and impact. It is</w:t>
      </w:r>
      <w:r w:rsidRPr="001874EA">
        <w:rPr>
          <w:rFonts w:ascii="Calibri" w:hAnsi="Calibri" w:cs="Calibri"/>
          <w:sz w:val="22"/>
          <w:szCs w:val="28"/>
          <w:lang w:val="en-GB" w:bidi="ar-SA"/>
        </w:rPr>
        <w:t xml:space="preserve"> conducted for purposes of continuous improvement, accountability and decision making. </w:t>
      </w:r>
    </w:p>
    <w:p w14:paraId="0D0A7EE8"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Indicators</w:t>
      </w:r>
    </w:p>
    <w:p w14:paraId="66B33F2E"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 xml:space="preserve">The concept(s) to be measured in the Strategy to identify change. The Strategy’s </w:t>
      </w:r>
      <w:r w:rsidRPr="001874EA">
        <w:rPr>
          <w:rFonts w:ascii="Calibri" w:hAnsi="Calibri" w:cs="Calibri"/>
          <w:sz w:val="22"/>
          <w:szCs w:val="28"/>
        </w:rPr>
        <w:t>Outcomes Framework</w:t>
      </w:r>
      <w:r w:rsidRPr="001874EA">
        <w:rPr>
          <w:rFonts w:ascii="Calibri" w:hAnsi="Calibri" w:cs="Calibri"/>
          <w:sz w:val="22"/>
          <w:szCs w:val="28"/>
          <w:lang w:bidi="ar-SA"/>
        </w:rPr>
        <w:t xml:space="preserve"> sets out the indicators that will be used to measure progress against the Strategy’s eight long-term outcomes. </w:t>
      </w:r>
    </w:p>
    <w:p w14:paraId="058BAAB2"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Intermediate outcomes</w:t>
      </w:r>
    </w:p>
    <w:p w14:paraId="5A20201E" w14:textId="77777777" w:rsidR="005E0044" w:rsidRPr="001874EA" w:rsidRDefault="005E0044" w:rsidP="005E0044">
      <w:pPr>
        <w:pStyle w:val="BodyText"/>
        <w:rPr>
          <w:rFonts w:ascii="Calibri" w:hAnsi="Calibri" w:cs="Calibri"/>
          <w:sz w:val="22"/>
          <w:szCs w:val="28"/>
          <w:lang w:val="en-GB" w:bidi="ar-SA"/>
        </w:rPr>
      </w:pPr>
      <w:r w:rsidRPr="001874EA">
        <w:rPr>
          <w:rFonts w:ascii="Calibri" w:hAnsi="Calibri" w:cs="Calibri"/>
          <w:sz w:val="22"/>
          <w:szCs w:val="28"/>
          <w:lang w:val="en-GB" w:bidi="ar-SA"/>
        </w:rPr>
        <w:t xml:space="preserve">The interim changes that are expected to occur </w:t>
      </w:r>
      <w:proofErr w:type="gramStart"/>
      <w:r w:rsidRPr="001874EA">
        <w:rPr>
          <w:rFonts w:ascii="Calibri" w:hAnsi="Calibri" w:cs="Calibri"/>
          <w:sz w:val="22"/>
          <w:szCs w:val="28"/>
          <w:lang w:val="en-GB" w:bidi="ar-SA"/>
        </w:rPr>
        <w:t>as a result of</w:t>
      </w:r>
      <w:proofErr w:type="gramEnd"/>
      <w:r w:rsidRPr="001874EA">
        <w:rPr>
          <w:rFonts w:ascii="Calibri" w:hAnsi="Calibri" w:cs="Calibri"/>
          <w:sz w:val="22"/>
          <w:szCs w:val="28"/>
          <w:lang w:val="en-GB" w:bidi="ar-SA"/>
        </w:rPr>
        <w:t xml:space="preserve"> the Strategy’s actions being implemented. They provide the desired building blocks to achieve the Strategy’s long-term outcomes and overall vision. </w:t>
      </w:r>
    </w:p>
    <w:p w14:paraId="1D7CF43F"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Long-term outcomes</w:t>
      </w:r>
    </w:p>
    <w:p w14:paraId="5DB2C417"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 xml:space="preserve">Within the Strategy, the long-term outcomes are the desired changes for the wellbeing of children, families or communities, and the goals needed to achieve the Strategy’s vision. The Strategy’s </w:t>
      </w:r>
      <w:r w:rsidRPr="001874EA">
        <w:rPr>
          <w:rFonts w:ascii="Calibri" w:hAnsi="Calibri" w:cs="Calibri"/>
          <w:sz w:val="22"/>
          <w:szCs w:val="28"/>
        </w:rPr>
        <w:t>Outcomes Framework</w:t>
      </w:r>
      <w:r w:rsidRPr="001874EA">
        <w:rPr>
          <w:rFonts w:ascii="Calibri" w:hAnsi="Calibri" w:cs="Calibri"/>
          <w:sz w:val="22"/>
          <w:szCs w:val="28"/>
          <w:lang w:bidi="ar-SA"/>
        </w:rPr>
        <w:t xml:space="preserve"> sets out how these outcomes are defined and conceptualised and how they will be measured. </w:t>
      </w:r>
    </w:p>
    <w:p w14:paraId="2E1990D4"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Measures</w:t>
      </w:r>
    </w:p>
    <w:p w14:paraId="25D5F321"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 xml:space="preserve">The measures set out how the indicators in the </w:t>
      </w:r>
      <w:r w:rsidRPr="001874EA">
        <w:rPr>
          <w:rFonts w:ascii="Calibri" w:hAnsi="Calibri" w:cs="Calibri"/>
          <w:sz w:val="22"/>
          <w:szCs w:val="28"/>
        </w:rPr>
        <w:t>Outcomes Framework</w:t>
      </w:r>
      <w:r w:rsidRPr="001874EA">
        <w:rPr>
          <w:rFonts w:ascii="Calibri" w:hAnsi="Calibri" w:cs="Calibri"/>
          <w:sz w:val="22"/>
          <w:szCs w:val="28"/>
          <w:lang w:bidi="ar-SA"/>
        </w:rPr>
        <w:t xml:space="preserve"> are to be calculated (also referred to as the computation rules) and where the data will come from to report against the measure (referred to as the data source). </w:t>
      </w:r>
    </w:p>
    <w:p w14:paraId="1BDCF1DD"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Monitoring</w:t>
      </w:r>
    </w:p>
    <w:p w14:paraId="06375998"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The routine collection and analysis of data and information to track progress against the Strategy’s actions, outputs/short-term outcomes, intermediate outcomes, and long-term outcomes.</w:t>
      </w:r>
    </w:p>
    <w:p w14:paraId="1474D970"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 xml:space="preserve">Outputs </w:t>
      </w:r>
    </w:p>
    <w:p w14:paraId="61C66086"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lastRenderedPageBreak/>
        <w:t>Outputs are the tangible products or services that result from implementing an action/activity. Outputs are the immediate or direct results of actions, and they can be measured quantitatively or qualitatively.</w:t>
      </w:r>
    </w:p>
    <w:p w14:paraId="1271CF6C"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 xml:space="preserve">Short-term outcomes </w:t>
      </w:r>
    </w:p>
    <w:p w14:paraId="332F1470" w14:textId="77777777" w:rsidR="005E0044" w:rsidRPr="001874EA" w:rsidRDefault="005E0044" w:rsidP="005E0044">
      <w:pPr>
        <w:pStyle w:val="BodyText"/>
        <w:rPr>
          <w:rFonts w:ascii="Calibri" w:hAnsi="Calibri" w:cs="Calibri"/>
          <w:sz w:val="22"/>
          <w:szCs w:val="28"/>
          <w:lang w:bidi="ar-SA"/>
        </w:rPr>
      </w:pPr>
      <w:r w:rsidRPr="001874EA">
        <w:rPr>
          <w:rFonts w:ascii="Calibri" w:hAnsi="Calibri" w:cs="Calibri"/>
          <w:sz w:val="22"/>
          <w:szCs w:val="28"/>
          <w:lang w:bidi="ar-SA"/>
        </w:rPr>
        <w:t xml:space="preserve">The most direct or immediate changes that are a result of the implementation of a Strategy’s action. These are not an end in themselves but a necessary step toward the desired end (intermediate or long-term outcomes).  </w:t>
      </w:r>
    </w:p>
    <w:p w14:paraId="302FDAFD" w14:textId="77777777" w:rsidR="005E0044" w:rsidRPr="001874EA" w:rsidRDefault="005E0044" w:rsidP="005E0044">
      <w:pPr>
        <w:pStyle w:val="BodyText"/>
        <w:rPr>
          <w:rFonts w:ascii="Calibri" w:hAnsi="Calibri" w:cs="Calibri"/>
          <w:b/>
          <w:bCs/>
          <w:sz w:val="22"/>
          <w:szCs w:val="28"/>
          <w:lang w:bidi="ar-SA"/>
        </w:rPr>
      </w:pPr>
      <w:r w:rsidRPr="001874EA">
        <w:rPr>
          <w:rFonts w:ascii="Calibri" w:hAnsi="Calibri" w:cs="Calibri"/>
          <w:b/>
          <w:bCs/>
          <w:sz w:val="22"/>
          <w:szCs w:val="28"/>
          <w:lang w:bidi="ar-SA"/>
        </w:rPr>
        <w:t xml:space="preserve">Wellbeing </w:t>
      </w:r>
    </w:p>
    <w:p w14:paraId="36F0EEA2" w14:textId="756696D3" w:rsidR="009F2EB9" w:rsidRPr="001874EA" w:rsidRDefault="005E0044" w:rsidP="005E0044">
      <w:pPr>
        <w:pStyle w:val="BodyText"/>
        <w:rPr>
          <w:rFonts w:ascii="Calibri" w:hAnsi="Calibri" w:cs="Calibri"/>
          <w:b/>
          <w:bCs/>
          <w:sz w:val="22"/>
          <w:szCs w:val="28"/>
          <w:lang w:bidi="ar-SA"/>
        </w:rPr>
      </w:pPr>
      <w:r w:rsidRPr="001874EA">
        <w:rPr>
          <w:rFonts w:ascii="Calibri" w:hAnsi="Calibri" w:cs="Calibri"/>
          <w:sz w:val="22"/>
          <w:szCs w:val="28"/>
          <w:lang w:bidi="ar-SA"/>
        </w:rPr>
        <w:t xml:space="preserve">Wellbeing can be thought of as a child or young person having </w:t>
      </w:r>
      <w:proofErr w:type="gramStart"/>
      <w:r w:rsidRPr="001874EA">
        <w:rPr>
          <w:rFonts w:ascii="Calibri" w:hAnsi="Calibri" w:cs="Calibri"/>
          <w:sz w:val="22"/>
          <w:szCs w:val="28"/>
          <w:lang w:bidi="ar-SA"/>
        </w:rPr>
        <w:t>everything</w:t>
      </w:r>
      <w:proofErr w:type="gramEnd"/>
      <w:r w:rsidRPr="001874EA">
        <w:rPr>
          <w:rFonts w:ascii="Calibri" w:hAnsi="Calibri" w:cs="Calibri"/>
          <w:sz w:val="22"/>
          <w:szCs w:val="28"/>
          <w:lang w:bidi="ar-SA"/>
        </w:rPr>
        <w:t xml:space="preserve"> they need to thrive and reach their full potential. It encompasses all areas of life, which are linked and interdependent</w:t>
      </w:r>
      <w:r w:rsidRPr="001874EA">
        <w:rPr>
          <w:rFonts w:ascii="Calibri" w:hAnsi="Calibri" w:cs="Calibri"/>
          <w:b/>
          <w:bCs/>
          <w:sz w:val="22"/>
          <w:szCs w:val="28"/>
          <w:lang w:bidi="ar-SA"/>
        </w:rPr>
        <w:t xml:space="preserve">. </w:t>
      </w:r>
    </w:p>
    <w:p w14:paraId="7BB51DAD" w14:textId="77777777" w:rsidR="009F2EB9" w:rsidRPr="001874EA" w:rsidRDefault="009F2EB9">
      <w:pPr>
        <w:spacing w:after="240"/>
        <w:rPr>
          <w:rFonts w:eastAsia="Times New Roman" w:cs="Calibri"/>
          <w:b/>
          <w:bCs/>
          <w:color w:val="2C2624"/>
          <w:spacing w:val="0"/>
          <w:szCs w:val="28"/>
        </w:rPr>
      </w:pPr>
      <w:r w:rsidRPr="001874EA">
        <w:rPr>
          <w:rFonts w:cs="Calibri"/>
          <w:b/>
          <w:bCs/>
          <w:sz w:val="24"/>
          <w:szCs w:val="28"/>
        </w:rPr>
        <w:br w:type="page"/>
      </w:r>
    </w:p>
    <w:p w14:paraId="17E60989" w14:textId="4AF38498" w:rsidR="009F2EB9" w:rsidRPr="009F2EB9" w:rsidRDefault="009F2EB9" w:rsidP="009F2EB9">
      <w:pPr>
        <w:pStyle w:val="BodyText"/>
        <w:rPr>
          <w:rFonts w:cs="Arial"/>
          <w:b/>
          <w:bCs/>
        </w:rPr>
      </w:pPr>
      <w:r w:rsidRPr="009F2EB9">
        <w:rPr>
          <w:rFonts w:cs="Arial"/>
          <w:b/>
          <w:bCs/>
          <w:noProof/>
        </w:rPr>
        <w:lastRenderedPageBreak/>
        <w:drawing>
          <wp:anchor distT="0" distB="0" distL="114300" distR="114300" simplePos="0" relativeHeight="251707392" behindDoc="1" locked="0" layoutInCell="1" allowOverlap="1" wp14:anchorId="1213AD24" wp14:editId="75A1098F">
            <wp:simplePos x="0" y="0"/>
            <wp:positionH relativeFrom="page">
              <wp:posOffset>0</wp:posOffset>
            </wp:positionH>
            <wp:positionV relativeFrom="paragraph">
              <wp:posOffset>-805742</wp:posOffset>
            </wp:positionV>
            <wp:extent cx="7676017" cy="11528436"/>
            <wp:effectExtent l="0" t="0" r="0" b="3175"/>
            <wp:wrapNone/>
            <wp:docPr id="720875001"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875001" name="Picture 9">
                      <a:extLst>
                        <a:ext uri="{C183D7F6-B498-43B3-948B-1728B52AA6E4}">
                          <adec:decorative xmlns:adec="http://schemas.microsoft.com/office/drawing/2017/decorative" val="1"/>
                        </a:ext>
                      </a:extLst>
                    </pic:cNvPr>
                    <pic:cNvPicPr>
                      <a:picLocks noChangeAspect="1" noChangeArrowheads="1"/>
                    </pic:cNvPicPr>
                  </pic:nvPicPr>
                  <pic:blipFill>
                    <a:blip r:embed="rId46"/>
                    <a:stretch>
                      <a:fillRect/>
                    </a:stretch>
                  </pic:blipFill>
                  <pic:spPr bwMode="auto">
                    <a:xfrm>
                      <a:off x="0" y="0"/>
                      <a:ext cx="7676017" cy="115284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0E3727" w14:textId="77777777" w:rsidR="005E0044" w:rsidRPr="00207E4E" w:rsidRDefault="005E0044" w:rsidP="005E0044">
      <w:pPr>
        <w:pStyle w:val="BodyText"/>
        <w:rPr>
          <w:rFonts w:cs="Arial"/>
          <w:b/>
          <w:bCs/>
          <w:lang w:bidi="ar-SA"/>
        </w:rPr>
      </w:pPr>
    </w:p>
    <w:p w14:paraId="53FF84B5" w14:textId="77777777" w:rsidR="005E0044" w:rsidRDefault="005E0044" w:rsidP="005E0044">
      <w:pPr>
        <w:spacing w:line="240" w:lineRule="auto"/>
        <w:rPr>
          <w:rFonts w:eastAsia="Times New Roman"/>
          <w:lang w:bidi="en-US"/>
        </w:rPr>
      </w:pPr>
      <w:r>
        <w:br w:type="page"/>
      </w:r>
    </w:p>
    <w:p w14:paraId="0C92F504" w14:textId="77777777" w:rsidR="005E0044" w:rsidRDefault="005E0044" w:rsidP="005E0044">
      <w:pPr>
        <w:spacing w:line="240" w:lineRule="auto"/>
        <w:sectPr w:rsidR="005E0044" w:rsidSect="009F2EB9">
          <w:pgSz w:w="11901" w:h="16840"/>
          <w:pgMar w:top="1418" w:right="1701" w:bottom="1418" w:left="1701" w:header="680" w:footer="680" w:gutter="0"/>
          <w:cols w:space="708"/>
          <w:noEndnote/>
          <w:docGrid w:linePitch="299"/>
        </w:sectPr>
      </w:pPr>
    </w:p>
    <w:bookmarkEnd w:id="91"/>
    <w:bookmarkEnd w:id="92"/>
    <w:bookmarkEnd w:id="93"/>
    <w:p w14:paraId="564A788E" w14:textId="5994A692" w:rsidR="00AB61D3" w:rsidRDefault="00DE14D1" w:rsidP="001F23BC">
      <w:pPr>
        <w:jc w:val="center"/>
      </w:pPr>
      <w:r>
        <w:rPr>
          <w:noProof/>
        </w:rPr>
        <w:lastRenderedPageBreak/>
        <mc:AlternateContent>
          <mc:Choice Requires="wps">
            <w:drawing>
              <wp:anchor distT="45720" distB="45720" distL="114300" distR="114300" simplePos="0" relativeHeight="251750400" behindDoc="0" locked="0" layoutInCell="1" allowOverlap="1" wp14:anchorId="36C708E1" wp14:editId="0EB86AC3">
                <wp:simplePos x="0" y="0"/>
                <wp:positionH relativeFrom="rightMargin">
                  <wp:align>left</wp:align>
                </wp:positionH>
                <wp:positionV relativeFrom="paragraph">
                  <wp:posOffset>7518400</wp:posOffset>
                </wp:positionV>
                <wp:extent cx="1501140" cy="387350"/>
                <wp:effectExtent l="4445" t="0" r="8255" b="825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501140" cy="387350"/>
                        </a:xfrm>
                        <a:prstGeom prst="rect">
                          <a:avLst/>
                        </a:prstGeom>
                        <a:solidFill>
                          <a:srgbClr val="FFFFFF"/>
                        </a:solidFill>
                        <a:ln w="9525">
                          <a:noFill/>
                          <a:miter lim="800000"/>
                          <a:headEnd/>
                          <a:tailEnd/>
                        </a:ln>
                      </wps:spPr>
                      <wps:txbx>
                        <w:txbxContent>
                          <w:p w14:paraId="7AC102C8" w14:textId="3A4CE765" w:rsidR="00DE14D1" w:rsidRDefault="00507F1A">
                            <w:r w:rsidRPr="00507F1A">
                              <w:t>DSS 3618.05.26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C708E1" id="Text Box 2" o:spid="_x0000_s1028" type="#_x0000_t202" style="position:absolute;left:0;text-align:left;margin-left:0;margin-top:592pt;width:118.2pt;height:30.5pt;rotation:-90;z-index:251750400;visibility:visible;mso-wrap-style:square;mso-width-percent:0;mso-height-percent:0;mso-wrap-distance-left:9pt;mso-wrap-distance-top:3.6pt;mso-wrap-distance-right:9pt;mso-wrap-distance-bottom:3.6pt;mso-position-horizontal:left;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" stroked="f">
                <v:textbox>
                  <w:txbxContent>
                    <w:p w14:paraId="7AC102C8" w14:textId="3A4CE765" w:rsidR="00DE14D1" w:rsidRDefault="00507F1A">
                      <w:r w:rsidRPr="00507F1A">
                        <w:t>DSS 3618.05.26</w:t>
                      </w:r>
                    </w:p>
                  </w:txbxContent>
                </v:textbox>
                <w10:wrap type="square" anchorx="margin"/>
              </v:shape>
            </w:pict>
          </mc:Fallback>
        </mc:AlternateContent>
      </w:r>
      <w:r w:rsidR="001F23BC" w:rsidRPr="001F23BC">
        <w:rPr>
          <w:noProof/>
        </w:rPr>
        <w:drawing>
          <wp:anchor distT="0" distB="0" distL="114300" distR="114300" simplePos="0" relativeHeight="251675648" behindDoc="1" locked="0" layoutInCell="1" allowOverlap="1" wp14:anchorId="11421493" wp14:editId="4EBE9E0E">
            <wp:simplePos x="0" y="0"/>
            <wp:positionH relativeFrom="margin">
              <wp:posOffset>100330</wp:posOffset>
            </wp:positionH>
            <wp:positionV relativeFrom="margin">
              <wp:posOffset>-365760</wp:posOffset>
            </wp:positionV>
            <wp:extent cx="6278880" cy="9243695"/>
            <wp:effectExtent l="0" t="0" r="0" b="1905"/>
            <wp:wrapSquare wrapText="bothSides"/>
            <wp:docPr id="148591059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10599" name="Picture 1">
                      <a:extLst>
                        <a:ext uri="{C183D7F6-B498-43B3-948B-1728B52AA6E4}">
                          <adec:decorative xmlns:adec="http://schemas.microsoft.com/office/drawing/2017/decorative" val="1"/>
                        </a:ext>
                      </a:extLst>
                    </pic:cNvPr>
                    <pic:cNvPicPr/>
                  </pic:nvPicPr>
                  <pic:blipFill>
                    <a:blip r:embed="rId47"/>
                    <a:stretch>
                      <a:fillRect/>
                    </a:stretch>
                  </pic:blipFill>
                  <pic:spPr>
                    <a:xfrm>
                      <a:off x="0" y="0"/>
                      <a:ext cx="6278880" cy="9243695"/>
                    </a:xfrm>
                    <a:prstGeom prst="rect">
                      <a:avLst/>
                    </a:prstGeom>
                  </pic:spPr>
                </pic:pic>
              </a:graphicData>
            </a:graphic>
            <wp14:sizeRelH relativeFrom="page">
              <wp14:pctWidth>0</wp14:pctWidth>
            </wp14:sizeRelH>
            <wp14:sizeRelV relativeFrom="page">
              <wp14:pctHeight>0</wp14:pctHeight>
            </wp14:sizeRelV>
          </wp:anchor>
        </w:drawing>
      </w:r>
    </w:p>
    <w:sectPr w:rsidR="00AB61D3" w:rsidSect="001F23BC">
      <w:footerReference w:type="default" r:id="rId48"/>
      <w:headerReference w:type="first" r:id="rId49"/>
      <w:footerReference w:type="first" r:id="rId50"/>
      <w:pgSz w:w="11906" w:h="16838"/>
      <w:pgMar w:top="1859" w:right="851" w:bottom="1134" w:left="851" w:header="0" w:footer="533"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E0698C" w14:textId="77777777" w:rsidR="00CE72D4" w:rsidRDefault="00CE72D4" w:rsidP="008F3023">
      <w:pPr>
        <w:spacing w:after="0" w:line="240" w:lineRule="auto"/>
      </w:pPr>
      <w:r>
        <w:separator/>
      </w:r>
    </w:p>
  </w:endnote>
  <w:endnote w:type="continuationSeparator" w:id="0">
    <w:p w14:paraId="603F0713" w14:textId="77777777" w:rsidR="00CE72D4" w:rsidRDefault="00CE72D4" w:rsidP="008F3023">
      <w:pPr>
        <w:spacing w:after="0" w:line="240" w:lineRule="auto"/>
      </w:pPr>
      <w:r>
        <w:continuationSeparator/>
      </w:r>
    </w:p>
  </w:endnote>
  <w:endnote w:type="continuationNotice" w:id="1">
    <w:p w14:paraId="19ED114C" w14:textId="77777777" w:rsidR="00CE72D4" w:rsidRDefault="00CE72D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HelveticaNeueLT Std Lt">
    <w:altName w:val="Malgun Gothic"/>
    <w:panose1 w:val="00000000000000000000"/>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ora">
    <w:charset w:val="00"/>
    <w:family w:val="auto"/>
    <w:pitch w:val="variable"/>
    <w:sig w:usb0="A00002FF" w:usb1="5000204B" w:usb2="00000000" w:usb3="00000000" w:csb0="00000097" w:csb1="00000000"/>
  </w:font>
  <w:font w:name="MS Gothic">
    <w:altName w:val="ＭＳ ゴシック"/>
    <w:panose1 w:val="020B0609070205080204"/>
    <w:charset w:val="80"/>
    <w:family w:val="modern"/>
    <w:pitch w:val="fixed"/>
    <w:sig w:usb0="E00002FF" w:usb1="6AC7FDFB" w:usb2="08000012" w:usb3="00000000" w:csb0="0002009F" w:csb1="00000000"/>
  </w:font>
  <w:font w:name="Georgia">
    <w:panose1 w:val="02040502050405020303"/>
    <w:charset w:val="00"/>
    <w:family w:val="roman"/>
    <w:pitch w:val="variable"/>
    <w:sig w:usb0="00000287" w:usb1="00000000" w:usb2="00000000" w:usb3="00000000" w:csb0="0000009F" w:csb1="00000000"/>
  </w:font>
  <w:font w:name="MS Mincho">
    <w:panose1 w:val="02020609040205080304"/>
    <w:charset w:val="80"/>
    <w:family w:val="modern"/>
    <w:pitch w:val="fixed"/>
    <w:sig w:usb0="E00002FF" w:usb1="6AC7FDFB" w:usb2="08000012" w:usb3="00000000" w:csb0="0002009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899737867"/>
      <w:docPartObj>
        <w:docPartGallery w:val="Page Numbers (Bottom of Page)"/>
        <w:docPartUnique/>
      </w:docPartObj>
    </w:sdtPr>
    <w:sdtEndPr>
      <w:rPr>
        <w:rStyle w:val="PageNumber"/>
      </w:rPr>
    </w:sdtEndPr>
    <w:sdtContent>
      <w:p w14:paraId="618BC813" w14:textId="467D1383" w:rsidR="001F23BC" w:rsidRDefault="001F23BC" w:rsidP="004112E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BA1F515" w14:textId="77777777" w:rsidR="001F23BC" w:rsidRDefault="001F23BC" w:rsidP="001F23B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641E8C" w14:textId="5210B712" w:rsidR="00D46B4B" w:rsidRPr="00E07CF5" w:rsidRDefault="006860D2" w:rsidP="00284BD0">
    <w:pPr>
      <w:pStyle w:val="Footer"/>
      <w:ind w:right="-857"/>
      <w:jc w:val="right"/>
      <w:rPr>
        <w:rFonts w:ascii="Open Sans" w:hAnsi="Open Sans" w:cs="Open Sans"/>
        <w:sz w:val="18"/>
        <w:szCs w:val="18"/>
      </w:rPr>
    </w:pPr>
    <w:r>
      <w:rPr>
        <w:rFonts w:ascii="Open Sans" w:hAnsi="Open Sans" w:cs="Open Sans"/>
        <w:noProof/>
        <w:sz w:val="16"/>
        <w:szCs w:val="16"/>
      </w:rPr>
      <mc:AlternateContent>
        <mc:Choice Requires="wps">
          <w:drawing>
            <wp:anchor distT="0" distB="0" distL="114300" distR="114300" simplePos="0" relativeHeight="251664384" behindDoc="1" locked="0" layoutInCell="1" allowOverlap="1" wp14:anchorId="12A7846B" wp14:editId="79714E29">
              <wp:simplePos x="0" y="0"/>
              <wp:positionH relativeFrom="column">
                <wp:posOffset>5761355</wp:posOffset>
              </wp:positionH>
              <wp:positionV relativeFrom="paragraph">
                <wp:posOffset>1270</wp:posOffset>
              </wp:positionV>
              <wp:extent cx="158435" cy="0"/>
              <wp:effectExtent l="0" t="0" r="0" b="0"/>
              <wp:wrapNone/>
              <wp:docPr id="968911025" name="Straight Connector 2"/>
              <wp:cNvGraphicFramePr/>
              <a:graphic xmlns:a="http://schemas.openxmlformats.org/drawingml/2006/main">
                <a:graphicData uri="http://schemas.microsoft.com/office/word/2010/wordprocessingShape">
                  <wps:wsp>
                    <wps:cNvCnPr/>
                    <wps:spPr>
                      <a:xfrm>
                        <a:off x="0" y="0"/>
                        <a:ext cx="158435" cy="0"/>
                      </a:xfrm>
                      <a:prstGeom prst="line">
                        <a:avLst/>
                      </a:prstGeom>
                      <a:ln>
                        <a:solidFill>
                          <a:schemeClr val="accent4"/>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026EBA" id="Straight Connector 2" o:spid="_x0000_s1026" style="position:absolute;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3.65pt,.1pt" to="466.1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" strokecolor="#68cef6 [3207]"/>
          </w:pict>
        </mc:Fallback>
      </mc:AlternateContent>
    </w:r>
    <w:r w:rsidR="0022310B">
      <w:rPr>
        <w:rFonts w:ascii="Open Sans" w:hAnsi="Open Sans" w:cs="Open Sans"/>
        <w:sz w:val="16"/>
        <w:szCs w:val="16"/>
      </w:rPr>
      <w:t xml:space="preserve">                 </w:t>
    </w:r>
    <w:r>
      <w:rPr>
        <w:rFonts w:ascii="Open Sans" w:hAnsi="Open Sans" w:cs="Open Sans"/>
        <w:sz w:val="16"/>
        <w:szCs w:val="16"/>
      </w:rPr>
      <w:t xml:space="preserve">     </w:t>
    </w:r>
    <w:r w:rsidR="0022310B">
      <w:rPr>
        <w:rFonts w:ascii="Open Sans" w:hAnsi="Open Sans" w:cs="Open Sans"/>
        <w:sz w:val="16"/>
        <w:szCs w:val="16"/>
      </w:rPr>
      <w:t xml:space="preserve"> </w:t>
    </w:r>
    <w:r w:rsidR="0022310B" w:rsidRPr="00095C48">
      <w:rPr>
        <w:rFonts w:ascii="Open Sans" w:hAnsi="Open Sans" w:cs="Open Sans"/>
        <w:sz w:val="16"/>
        <w:szCs w:val="16"/>
      </w:rPr>
      <w:t xml:space="preserve">Australian Government| </w:t>
    </w:r>
    <w:r w:rsidR="0022310B" w:rsidRPr="00095C48">
      <w:rPr>
        <w:rFonts w:ascii="Open Sans" w:hAnsi="Open Sans" w:cs="Open Sans"/>
        <w:b/>
        <w:bCs/>
        <w:sz w:val="16"/>
        <w:szCs w:val="16"/>
      </w:rPr>
      <w:t>Early Years Strategy 2024-2034</w:t>
    </w:r>
    <w:r w:rsidR="0022310B" w:rsidRPr="00095C48">
      <w:rPr>
        <w:rFonts w:ascii="Open Sans" w:hAnsi="Open Sans" w:cs="Open Sans"/>
        <w:sz w:val="16"/>
        <w:szCs w:val="16"/>
      </w:rPr>
      <w:t xml:space="preserve"> | </w:t>
    </w:r>
    <w:r w:rsidR="0022310B" w:rsidRPr="00095C48">
      <w:rPr>
        <w:rFonts w:ascii="Open Sans" w:hAnsi="Open Sans" w:cs="Open Sans"/>
        <w:b/>
        <w:bCs/>
        <w:sz w:val="16"/>
        <w:szCs w:val="16"/>
      </w:rPr>
      <w:t>Monitoring and Evaluation Framework</w:t>
    </w:r>
    <w:r w:rsidR="0022310B" w:rsidRPr="00095C48">
      <w:rPr>
        <w:rFonts w:ascii="Open Sans" w:hAnsi="Open Sans" w:cs="Open Sans"/>
        <w:sz w:val="16"/>
        <w:szCs w:val="16"/>
      </w:rPr>
      <w:t xml:space="preserve">      </w:t>
    </w:r>
    <w:r w:rsidR="000E63C7" w:rsidRPr="000E63C7">
      <w:rPr>
        <w:rFonts w:ascii="Open Sans" w:hAnsi="Open Sans" w:cs="Open Sans"/>
        <w:sz w:val="16"/>
        <w:szCs w:val="16"/>
      </w:rPr>
      <w:fldChar w:fldCharType="begin"/>
    </w:r>
    <w:r w:rsidR="000E63C7" w:rsidRPr="000E63C7">
      <w:rPr>
        <w:rFonts w:ascii="Open Sans" w:hAnsi="Open Sans" w:cs="Open Sans"/>
        <w:sz w:val="16"/>
        <w:szCs w:val="16"/>
      </w:rPr>
      <w:instrText xml:space="preserve"> PAGE   \* MERGEFORMAT </w:instrText>
    </w:r>
    <w:r w:rsidR="000E63C7" w:rsidRPr="000E63C7">
      <w:rPr>
        <w:rFonts w:ascii="Open Sans" w:hAnsi="Open Sans" w:cs="Open Sans"/>
        <w:sz w:val="16"/>
        <w:szCs w:val="16"/>
      </w:rPr>
      <w:fldChar w:fldCharType="separate"/>
    </w:r>
    <w:r w:rsidR="000E63C7" w:rsidRPr="000E63C7">
      <w:rPr>
        <w:rFonts w:ascii="Open Sans" w:hAnsi="Open Sans" w:cs="Open Sans"/>
        <w:noProof/>
        <w:sz w:val="16"/>
        <w:szCs w:val="16"/>
      </w:rPr>
      <w:t>1</w:t>
    </w:r>
    <w:r w:rsidR="000E63C7" w:rsidRPr="000E63C7">
      <w:rPr>
        <w:rFonts w:ascii="Open Sans" w:hAnsi="Open Sans" w:cs="Open Sans"/>
        <w:noProof/>
        <w:sz w:val="16"/>
        <w:szCs w:val="16"/>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5ADAF5" w14:textId="77777777" w:rsidR="001F23BC" w:rsidRDefault="001F23BC" w:rsidP="001F23BC">
    <w:pPr>
      <w:pStyle w:val="Footer"/>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61984999"/>
      <w:docPartObj>
        <w:docPartGallery w:val="Page Numbers (Bottom of Page)"/>
        <w:docPartUnique/>
      </w:docPartObj>
    </w:sdtPr>
    <w:sdtEndPr>
      <w:rPr>
        <w:rStyle w:val="PageNumber"/>
      </w:rPr>
    </w:sdtEndPr>
    <w:sdtContent>
      <w:p w14:paraId="4BB39103" w14:textId="24B62935" w:rsidR="001F23BC" w:rsidRDefault="001F23BC" w:rsidP="004112E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93F5405" w14:textId="2B7F58F5" w:rsidR="001F23BC" w:rsidRPr="001F23BC" w:rsidRDefault="001F23BC" w:rsidP="001F23BC">
    <w:pPr>
      <w:pStyle w:val="Footer"/>
      <w:ind w:right="360"/>
      <w:jc w:val="right"/>
      <w:rPr>
        <w:b/>
        <w:bCs/>
        <w:sz w:val="20"/>
        <w:szCs w:val="21"/>
      </w:rPr>
    </w:pPr>
    <w:r w:rsidRPr="001F23BC">
      <w:rPr>
        <w:noProof/>
        <w:sz w:val="20"/>
        <w:szCs w:val="21"/>
      </w:rPr>
      <mc:AlternateContent>
        <mc:Choice Requires="wps">
          <w:drawing>
            <wp:anchor distT="0" distB="0" distL="114300" distR="114300" simplePos="0" relativeHeight="251659264" behindDoc="0" locked="0" layoutInCell="1" allowOverlap="1" wp14:anchorId="06D7B191" wp14:editId="1F5DBA8A">
              <wp:simplePos x="0" y="0"/>
              <wp:positionH relativeFrom="column">
                <wp:posOffset>6325110</wp:posOffset>
              </wp:positionH>
              <wp:positionV relativeFrom="paragraph">
                <wp:posOffset>-19050</wp:posOffset>
              </wp:positionV>
              <wp:extent cx="178904" cy="0"/>
              <wp:effectExtent l="0" t="0" r="12065" b="12700"/>
              <wp:wrapNone/>
              <wp:docPr id="1525830958" name="Straight Connector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178904" cy="0"/>
                      </a:xfrm>
                      <a:prstGeom prst="line">
                        <a:avLst/>
                      </a:prstGeom>
                      <a:ln w="12700"/>
                    </wps:spPr>
                    <wps:style>
                      <a:lnRef idx="1">
                        <a:schemeClr val="accent4"/>
                      </a:lnRef>
                      <a:fillRef idx="0">
                        <a:schemeClr val="accent4"/>
                      </a:fillRef>
                      <a:effectRef idx="0">
                        <a:schemeClr val="accent4"/>
                      </a:effectRef>
                      <a:fontRef idx="minor">
                        <a:schemeClr val="tx1"/>
                      </a:fontRef>
                    </wps:style>
                    <wps:bodyPr/>
                  </wps:wsp>
                </a:graphicData>
              </a:graphic>
            </wp:anchor>
          </w:drawing>
        </mc:Choice>
        <mc:Fallback>
          <w:pict>
            <v:line w14:anchorId="06730D6B" id="Straight Connector 9" o:spid="_x0000_s1026" alt="&quot;&quot;"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498.05pt,-1.5pt" to="512.1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" strokecolor="#68cef6 [3207]" strokeweight="1pt"/>
          </w:pict>
        </mc:Fallback>
      </mc:AlternateContent>
    </w:r>
    <w:r w:rsidRPr="001F23BC">
      <w:rPr>
        <w:sz w:val="20"/>
        <w:szCs w:val="21"/>
      </w:rPr>
      <w:t xml:space="preserve">Australian Government | </w:t>
    </w:r>
    <w:r w:rsidR="00475F23">
      <w:rPr>
        <w:b/>
        <w:bCs/>
        <w:sz w:val="20"/>
        <w:szCs w:val="21"/>
      </w:rPr>
      <w:t>Monitoring and Evaluation Framework</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E0910" w14:textId="0BAB2AAA" w:rsidR="002E1E99" w:rsidRDefault="002E1E99" w:rsidP="00D86E50">
    <w:pPr>
      <w:tabs>
        <w:tab w:val="left" w:pos="3040"/>
      </w:tabs>
      <w:jc w:val="center"/>
    </w:pPr>
  </w:p>
  <w:p w14:paraId="2ACEA133" w14:textId="77777777" w:rsidR="002E1E99" w:rsidRDefault="002E1E99" w:rsidP="00B10EB1">
    <w:pPr>
      <w:ind w:left="-141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BD6A31" w14:textId="77777777" w:rsidR="00CE72D4" w:rsidRDefault="00CE72D4" w:rsidP="008F3023">
      <w:pPr>
        <w:spacing w:after="0" w:line="240" w:lineRule="auto"/>
      </w:pPr>
      <w:r>
        <w:separator/>
      </w:r>
    </w:p>
  </w:footnote>
  <w:footnote w:type="continuationSeparator" w:id="0">
    <w:p w14:paraId="48016E35" w14:textId="77777777" w:rsidR="00CE72D4" w:rsidRDefault="00CE72D4" w:rsidP="008F3023">
      <w:pPr>
        <w:spacing w:after="0" w:line="240" w:lineRule="auto"/>
      </w:pPr>
      <w:r>
        <w:continuationSeparator/>
      </w:r>
    </w:p>
  </w:footnote>
  <w:footnote w:type="continuationNotice" w:id="1">
    <w:p w14:paraId="2FC81665" w14:textId="77777777" w:rsidR="00CE72D4" w:rsidRDefault="00CE72D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B96A75" w14:textId="77777777" w:rsidR="005E0044" w:rsidRDefault="005E0044">
    <w:pPr>
      <w:pStyle w:val="Header"/>
    </w:pPr>
    <w:r>
      <w:rPr>
        <w:noProof/>
      </w:rPr>
      <mc:AlternateContent>
        <mc:Choice Requires="wps">
          <w:drawing>
            <wp:anchor distT="0" distB="0" distL="0" distR="0" simplePos="0" relativeHeight="251663360" behindDoc="0" locked="0" layoutInCell="1" allowOverlap="1" wp14:anchorId="3A2B74EF" wp14:editId="3031BCAF">
              <wp:simplePos x="1078173" y="429904"/>
              <wp:positionH relativeFrom="page">
                <wp:align>center</wp:align>
              </wp:positionH>
              <wp:positionV relativeFrom="page">
                <wp:align>top</wp:align>
              </wp:positionV>
              <wp:extent cx="551815" cy="452755"/>
              <wp:effectExtent l="0" t="0" r="635" b="4445"/>
              <wp:wrapNone/>
              <wp:docPr id="1435095836"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103D4465" w14:textId="77777777" w:rsidR="005E0044" w:rsidRPr="00973CBC" w:rsidRDefault="005E0044" w:rsidP="00973CBC">
                          <w:pPr>
                            <w:rPr>
                              <w:rFonts w:eastAsia="Calibri" w:cs="Calibri"/>
                              <w:noProof/>
                              <w:color w:val="FF0000"/>
                              <w:sz w:val="24"/>
                            </w:rPr>
                          </w:pPr>
                          <w:r w:rsidRPr="00973CBC">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2B74EF" id="_x0000_t202" coordsize="21600,21600" o:spt="202" path="m,l,21600r21600,l21600,xe">
              <v:stroke joinstyle="miter"/>
              <v:path gradientshapeok="t" o:connecttype="rect"/>
            </v:shapetype>
            <v:shape id="Text Box 8" o:spid="_x0000_s1029" type="#_x0000_t202" alt="OFFICIAL" style="position:absolute;margin-left:0;margin-top:0;width:43.45pt;height:35.65pt;z-index:25166336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" filled="f" stroked="f">
              <v:textbox style="mso-fit-shape-to-text:t" inset="0,15pt,0,0">
                <w:txbxContent>
                  <w:p w14:paraId="103D4465" w14:textId="77777777" w:rsidR="005E0044" w:rsidRPr="00973CBC" w:rsidRDefault="005E0044" w:rsidP="00973CBC">
                    <w:pPr>
                      <w:rPr>
                        <w:rFonts w:eastAsia="Calibri" w:cs="Calibri"/>
                        <w:noProof/>
                        <w:color w:val="FF0000"/>
                        <w:sz w:val="24"/>
                      </w:rPr>
                    </w:pPr>
                    <w:r w:rsidRPr="00973CBC">
                      <w:rPr>
                        <w:rFonts w:eastAsia="Calibri" w:cs="Calibri"/>
                        <w:noProof/>
                        <w:color w:val="FF0000"/>
                        <w:sz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08ABA4" w14:textId="77777777" w:rsidR="00686680" w:rsidRPr="00686680" w:rsidRDefault="00686680">
    <w:pPr>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798AD5" w14:textId="66E341B3" w:rsidR="005E0044" w:rsidRPr="00B74440" w:rsidRDefault="005E0044" w:rsidP="00B74440">
    <w:pPr>
      <w:pStyle w:val="Header"/>
      <w:rPr>
        <w:b/>
        <w:bCs/>
      </w:rPr>
    </w:pPr>
    <w:r>
      <w:rPr>
        <w:noProof/>
      </w:rPr>
      <mc:AlternateContent>
        <mc:Choice Requires="wps">
          <w:drawing>
            <wp:anchor distT="0" distB="0" distL="0" distR="0" simplePos="0" relativeHeight="251662336" behindDoc="0" locked="0" layoutInCell="1" allowOverlap="1" wp14:anchorId="672DE454" wp14:editId="669D64CC">
              <wp:simplePos x="635" y="635"/>
              <wp:positionH relativeFrom="page">
                <wp:align>center</wp:align>
              </wp:positionH>
              <wp:positionV relativeFrom="page">
                <wp:align>top</wp:align>
              </wp:positionV>
              <wp:extent cx="551815" cy="452755"/>
              <wp:effectExtent l="0" t="0" r="635" b="4445"/>
              <wp:wrapNone/>
              <wp:docPr id="293076082"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52755"/>
                      </a:xfrm>
                      <a:prstGeom prst="rect">
                        <a:avLst/>
                      </a:prstGeom>
                      <a:noFill/>
                      <a:ln>
                        <a:noFill/>
                      </a:ln>
                    </wps:spPr>
                    <wps:txbx>
                      <w:txbxContent>
                        <w:p w14:paraId="5113B952" w14:textId="77777777" w:rsidR="005E0044" w:rsidRPr="00973CBC" w:rsidRDefault="005E0044" w:rsidP="00973CBC">
                          <w:pPr>
                            <w:rPr>
                              <w:rFonts w:eastAsia="Calibri" w:cs="Calibri"/>
                              <w:noProof/>
                              <w:color w:val="FF0000"/>
                              <w:sz w:val="24"/>
                            </w:rPr>
                          </w:pPr>
                          <w:r w:rsidRPr="00973CBC">
                            <w:rPr>
                              <w:rFonts w:eastAsia="Calibri" w:cs="Calibri"/>
                              <w:noProof/>
                              <w:color w:val="FF0000"/>
                              <w:sz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72DE454" id="_x0000_t202" coordsize="21600,21600" o:spt="202" path="m,l,21600r21600,l21600,xe">
              <v:stroke joinstyle="miter"/>
              <v:path gradientshapeok="t" o:connecttype="rect"/>
            </v:shapetype>
            <v:shape id="Text Box 7" o:spid="_x0000_s1030" type="#_x0000_t202" alt="OFFICIAL" style="position:absolute;margin-left:0;margin-top:0;width:43.45pt;height:35.65pt;z-index:25166233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" filled="f" stroked="f">
              <v:textbox style="mso-fit-shape-to-text:t" inset="0,15pt,0,0">
                <w:txbxContent>
                  <w:p w14:paraId="5113B952" w14:textId="77777777" w:rsidR="005E0044" w:rsidRPr="00973CBC" w:rsidRDefault="005E0044" w:rsidP="00973CBC">
                    <w:pPr>
                      <w:rPr>
                        <w:rFonts w:eastAsia="Calibri" w:cs="Calibri"/>
                        <w:noProof/>
                        <w:color w:val="FF0000"/>
                        <w:sz w:val="24"/>
                      </w:rPr>
                    </w:pPr>
                    <w:r w:rsidRPr="00973CBC">
                      <w:rPr>
                        <w:rFonts w:eastAsia="Calibri" w:cs="Calibri"/>
                        <w:noProof/>
                        <w:color w:val="FF0000"/>
                        <w:sz w:val="24"/>
                      </w:rPr>
                      <w:t>OFFICIAL</w:t>
                    </w:r>
                  </w:p>
                </w:txbxContent>
              </v:textbox>
              <w10:wrap anchorx="page" anchory="page"/>
            </v:shape>
          </w:pict>
        </mc:Fallback>
      </mc:AlternateContent>
    </w:r>
    <w:r w:rsidR="00994711">
      <w:rPr>
        <w:noProof/>
      </w:rPr>
      <mc:AlternateContent>
        <mc:Choice Requires="wps">
          <w:drawing>
            <wp:anchor distT="0" distB="0" distL="114300" distR="114300" simplePos="0" relativeHeight="251658240" behindDoc="0" locked="0" layoutInCell="1" allowOverlap="1" wp14:anchorId="7CCE4515" wp14:editId="19337A30">
              <wp:simplePos x="0" y="0"/>
              <wp:positionH relativeFrom="column">
                <wp:posOffset>0</wp:posOffset>
              </wp:positionH>
              <wp:positionV relativeFrom="paragraph">
                <wp:posOffset>0</wp:posOffset>
              </wp:positionV>
              <wp:extent cx="5073015" cy="2536190"/>
              <wp:effectExtent l="0" t="0" r="3810" b="0"/>
              <wp:wrapNone/>
              <wp:docPr id="15026815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5073015" cy="2536190"/>
                      </a:xfrm>
                      <a:prstGeom prst="rect">
                        <a:avLst/>
                      </a:prstGeom>
                    </wps:spPr>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w14:anchorId="5726D1B7" id="Text Box 2" o:spid="_x0000_s1026" type="#_x0000_t202" style="position:absolute;margin-left:0;margin-top:0;width:399.45pt;height:199.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" filled="f" stroked="f">
              <o:lock v:ext="edit" text="t" shapetype="t"/>
            </v:shape>
          </w:pict>
        </mc:Fallback>
      </mc:AlternateContent>
    </w:r>
    <w:fldSimple w:instr="STYLEREF  &quot;Report Title&quot;  \* MERGEFORMAT">
      <w:r>
        <w:t>Monitoring and Evaluation Framework</w:t>
      </w:r>
    </w:fldSimple>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4C4358" w14:textId="6785E45B" w:rsidR="00254100" w:rsidRDefault="00254100" w:rsidP="00706FB7">
    <w:pPr>
      <w:tabs>
        <w:tab w:val="right" w:pos="1020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3"/>
    <w:multiLevelType w:val="singleLevel"/>
    <w:tmpl w:val="93826EC4"/>
    <w:lvl w:ilvl="0">
      <w:start w:val="1"/>
      <w:numFmt w:val="bullet"/>
      <w:pStyle w:val="ListBullet2"/>
      <w:lvlText w:val=""/>
      <w:lvlJc w:val="left"/>
      <w:pPr>
        <w:tabs>
          <w:tab w:val="num" w:pos="643"/>
        </w:tabs>
        <w:ind w:left="643" w:hanging="360"/>
      </w:pPr>
      <w:rPr>
        <w:rFonts w:ascii="Symbol" w:hAnsi="Symbol" w:hint="default"/>
      </w:rPr>
    </w:lvl>
  </w:abstractNum>
  <w:abstractNum w:abstractNumId="1" w15:restartNumberingAfterBreak="0">
    <w:nsid w:val="03172EDD"/>
    <w:multiLevelType w:val="hybridMultilevel"/>
    <w:tmpl w:val="2FAEA720"/>
    <w:lvl w:ilvl="0" w:tplc="F89290FE">
      <w:start w:val="1"/>
      <w:numFmt w:val="lowerLetter"/>
      <w:pStyle w:val="ListNumber2"/>
      <w:lvlText w:val="%1."/>
      <w:lvlJc w:val="left"/>
      <w:pPr>
        <w:tabs>
          <w:tab w:val="num" w:pos="851"/>
        </w:tabs>
        <w:ind w:left="851" w:hanging="426"/>
      </w:pPr>
      <w:rPr>
        <w:rFonts w:hint="default"/>
        <w:color w:val="62136D"/>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D43A49"/>
    <w:multiLevelType w:val="hybridMultilevel"/>
    <w:tmpl w:val="58345870"/>
    <w:lvl w:ilvl="0" w:tplc="53E00DDC">
      <w:start w:val="1"/>
      <w:numFmt w:val="upperLetter"/>
      <w:pStyle w:val="Heading1Part"/>
      <w:lvlText w:val="Part %1. "/>
      <w:lvlJc w:val="left"/>
      <w:pPr>
        <w:ind w:left="1134" w:hanging="113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EE3C6B"/>
    <w:multiLevelType w:val="hybridMultilevel"/>
    <w:tmpl w:val="973AF0F8"/>
    <w:lvl w:ilvl="0" w:tplc="FFFFFFFF">
      <w:start w:val="1"/>
      <w:numFmt w:val="bullet"/>
      <w:lvlText w:val=""/>
      <w:lvlJc w:val="left"/>
      <w:pPr>
        <w:ind w:left="720" w:hanging="360"/>
      </w:pPr>
      <w:rPr>
        <w:rFonts w:ascii="Symbol" w:hAnsi="Symbol" w:hint="default"/>
      </w:rPr>
    </w:lvl>
    <w:lvl w:ilvl="1" w:tplc="6218B5AC">
      <w:start w:val="1"/>
      <w:numFmt w:val="bullet"/>
      <w:lvlText w:val="-"/>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D301F3E"/>
    <w:multiLevelType w:val="hybridMultilevel"/>
    <w:tmpl w:val="216C70EE"/>
    <w:lvl w:ilvl="0" w:tplc="E26A87F0">
      <w:start w:val="1"/>
      <w:numFmt w:val="lowerLetter"/>
      <w:pStyle w:val="TableNumber2"/>
      <w:lvlText w:val="%1."/>
      <w:lvlJc w:val="left"/>
      <w:pPr>
        <w:ind w:left="947" w:hanging="360"/>
      </w:pPr>
    </w:lvl>
    <w:lvl w:ilvl="1" w:tplc="0C090019" w:tentative="1">
      <w:start w:val="1"/>
      <w:numFmt w:val="lowerLetter"/>
      <w:lvlText w:val="%2."/>
      <w:lvlJc w:val="left"/>
      <w:pPr>
        <w:ind w:left="1667" w:hanging="360"/>
      </w:pPr>
    </w:lvl>
    <w:lvl w:ilvl="2" w:tplc="0C09001B" w:tentative="1">
      <w:start w:val="1"/>
      <w:numFmt w:val="lowerRoman"/>
      <w:lvlText w:val="%3."/>
      <w:lvlJc w:val="right"/>
      <w:pPr>
        <w:ind w:left="2387" w:hanging="180"/>
      </w:pPr>
    </w:lvl>
    <w:lvl w:ilvl="3" w:tplc="0C09000F" w:tentative="1">
      <w:start w:val="1"/>
      <w:numFmt w:val="decimal"/>
      <w:lvlText w:val="%4."/>
      <w:lvlJc w:val="left"/>
      <w:pPr>
        <w:ind w:left="3107" w:hanging="360"/>
      </w:pPr>
    </w:lvl>
    <w:lvl w:ilvl="4" w:tplc="0C090019" w:tentative="1">
      <w:start w:val="1"/>
      <w:numFmt w:val="lowerLetter"/>
      <w:lvlText w:val="%5."/>
      <w:lvlJc w:val="left"/>
      <w:pPr>
        <w:ind w:left="3827" w:hanging="360"/>
      </w:pPr>
    </w:lvl>
    <w:lvl w:ilvl="5" w:tplc="0C09001B" w:tentative="1">
      <w:start w:val="1"/>
      <w:numFmt w:val="lowerRoman"/>
      <w:lvlText w:val="%6."/>
      <w:lvlJc w:val="right"/>
      <w:pPr>
        <w:ind w:left="4547" w:hanging="180"/>
      </w:pPr>
    </w:lvl>
    <w:lvl w:ilvl="6" w:tplc="0C09000F" w:tentative="1">
      <w:start w:val="1"/>
      <w:numFmt w:val="decimal"/>
      <w:lvlText w:val="%7."/>
      <w:lvlJc w:val="left"/>
      <w:pPr>
        <w:ind w:left="5267" w:hanging="360"/>
      </w:pPr>
    </w:lvl>
    <w:lvl w:ilvl="7" w:tplc="0C090019" w:tentative="1">
      <w:start w:val="1"/>
      <w:numFmt w:val="lowerLetter"/>
      <w:lvlText w:val="%8."/>
      <w:lvlJc w:val="left"/>
      <w:pPr>
        <w:ind w:left="5987" w:hanging="360"/>
      </w:pPr>
    </w:lvl>
    <w:lvl w:ilvl="8" w:tplc="0C09001B" w:tentative="1">
      <w:start w:val="1"/>
      <w:numFmt w:val="lowerRoman"/>
      <w:lvlText w:val="%9."/>
      <w:lvlJc w:val="right"/>
      <w:pPr>
        <w:ind w:left="6707" w:hanging="180"/>
      </w:pPr>
    </w:lvl>
  </w:abstractNum>
  <w:abstractNum w:abstractNumId="5" w15:restartNumberingAfterBreak="0">
    <w:nsid w:val="0E725530"/>
    <w:multiLevelType w:val="hybridMultilevel"/>
    <w:tmpl w:val="C63219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1FF1F5F"/>
    <w:multiLevelType w:val="hybridMultilevel"/>
    <w:tmpl w:val="56521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96F7D4E"/>
    <w:multiLevelType w:val="hybridMultilevel"/>
    <w:tmpl w:val="9774EBB6"/>
    <w:lvl w:ilvl="0" w:tplc="381AB0F6">
      <w:start w:val="1"/>
      <w:numFmt w:val="decimal"/>
      <w:pStyle w:val="TableNumber1"/>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 w15:restartNumberingAfterBreak="0">
    <w:nsid w:val="1F065F90"/>
    <w:multiLevelType w:val="multilevel"/>
    <w:tmpl w:val="0C09001D"/>
    <w:styleLink w:val="AusGovStyleManualList"/>
    <w:lvl w:ilvl="0">
      <w:start w:val="1"/>
      <w:numFmt w:val="bullet"/>
      <w:lvlText w:val="•"/>
      <w:lvlJc w:val="left"/>
      <w:pPr>
        <w:ind w:left="360" w:hanging="360"/>
      </w:pPr>
      <w:rPr>
        <w:rFonts w:asciiTheme="minorHAnsi" w:hAnsiTheme="minorHAnsi" w:hint="default"/>
        <w:color w:val="auto"/>
      </w:rPr>
    </w:lvl>
    <w:lvl w:ilvl="1">
      <w:start w:val="1"/>
      <w:numFmt w:val="bullet"/>
      <w:lvlText w:val="‐"/>
      <w:lvlJc w:val="left"/>
      <w:pPr>
        <w:ind w:left="720" w:hanging="360"/>
      </w:pPr>
      <w:rPr>
        <w:rFonts w:asciiTheme="minorHAnsi" w:hAnsiTheme="minorHAnsi" w:hint="default"/>
        <w:color w:val="auto"/>
      </w:rPr>
    </w:lvl>
    <w:lvl w:ilvl="2">
      <w:start w:val="1"/>
      <w:numFmt w:val="bullet"/>
      <w:lvlText w:val="◦"/>
      <w:lvlJc w:val="left"/>
      <w:pPr>
        <w:ind w:left="1080" w:hanging="360"/>
      </w:pPr>
      <w:rPr>
        <w:rFonts w:asciiTheme="minorHAnsi" w:hAnsiTheme="minorHAnsi" w:hint="default"/>
        <w:color w:val="auto"/>
      </w:rPr>
    </w:lvl>
    <w:lvl w:ilvl="3">
      <w:start w:val="1"/>
      <w:numFmt w:val="bullet"/>
      <w:lvlText w:val="▪"/>
      <w:lvlJc w:val="left"/>
      <w:pPr>
        <w:ind w:left="1440" w:hanging="360"/>
      </w:pPr>
      <w:rPr>
        <w:rFonts w:asciiTheme="minorHAnsi" w:hAnsiTheme="minorHAnsi" w:hint="default"/>
        <w:color w:val="auto"/>
      </w:rPr>
    </w:lvl>
    <w:lvl w:ilvl="4">
      <w:start w:val="1"/>
      <w:numFmt w:val="bullet"/>
      <w:lvlText w:val="▫"/>
      <w:lvlJc w:val="left"/>
      <w:pPr>
        <w:ind w:left="1800" w:hanging="360"/>
      </w:pPr>
      <w:rPr>
        <w:rFonts w:asciiTheme="minorHAnsi" w:hAnsiTheme="minorHAnsi" w:hint="default"/>
        <w:color w:val="auto"/>
      </w:r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9" w15:restartNumberingAfterBreak="0">
    <w:nsid w:val="216B3336"/>
    <w:multiLevelType w:val="hybridMultilevel"/>
    <w:tmpl w:val="B38ED00A"/>
    <w:lvl w:ilvl="0" w:tplc="AB8A56A0">
      <w:numFmt w:val="bullet"/>
      <w:lvlText w:val="•"/>
      <w:lvlJc w:val="left"/>
      <w:pPr>
        <w:ind w:left="720" w:hanging="360"/>
      </w:pPr>
      <w:rPr>
        <w:rFonts w:ascii="Calibri" w:eastAsiaTheme="minorHAnsi" w:hAnsi="Calibri" w:cs="Calibri"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2AD555AF"/>
    <w:multiLevelType w:val="multilevel"/>
    <w:tmpl w:val="9314F182"/>
    <w:lvl w:ilvl="0">
      <w:start w:val="1"/>
      <w:numFmt w:val="bullet"/>
      <w:lvlText w:val=""/>
      <w:lvlJc w:val="left"/>
      <w:pPr>
        <w:ind w:left="680" w:hanging="226"/>
      </w:pPr>
      <w:rPr>
        <w:rFonts w:ascii="Symbol" w:hAnsi="Symbol" w:hint="default"/>
        <w:color w:val="000000" w:themeColor="text1"/>
      </w:rPr>
    </w:lvl>
    <w:lvl w:ilvl="1">
      <w:start w:val="1"/>
      <w:numFmt w:val="bullet"/>
      <w:lvlText w:val="–"/>
      <w:lvlJc w:val="left"/>
      <w:pPr>
        <w:ind w:left="907" w:hanging="227"/>
      </w:pPr>
      <w:rPr>
        <w:rFonts w:ascii="HelveticaNeueLT Std Lt" w:hAnsi="HelveticaNeueLT Std Lt" w:hint="default"/>
        <w:color w:val="000000" w:themeColor="text1"/>
      </w:rPr>
    </w:lvl>
    <w:lvl w:ilvl="2">
      <w:start w:val="1"/>
      <w:numFmt w:val="bullet"/>
      <w:lvlText w:val=""/>
      <w:lvlJc w:val="left"/>
      <w:pPr>
        <w:ind w:left="1134" w:hanging="227"/>
      </w:pPr>
      <w:rPr>
        <w:rFonts w:ascii="Symbol" w:hAnsi="Symbol" w:hint="default"/>
        <w:color w:val="000000" w:themeColor="text1"/>
      </w:rPr>
    </w:lvl>
    <w:lvl w:ilvl="3">
      <w:start w:val="1"/>
      <w:numFmt w:val="bullet"/>
      <w:lvlText w:val="–"/>
      <w:lvlJc w:val="left"/>
      <w:pPr>
        <w:ind w:left="1927" w:hanging="340"/>
      </w:pPr>
      <w:rPr>
        <w:rFonts w:ascii="HelveticaNeueLT Std Lt" w:hAnsi="HelveticaNeueLT Std Lt" w:hint="default"/>
        <w:color w:val="000000" w:themeColor="text1"/>
      </w:rPr>
    </w:lvl>
    <w:lvl w:ilvl="4">
      <w:start w:val="1"/>
      <w:numFmt w:val="bullet"/>
      <w:lvlText w:val=""/>
      <w:lvlJc w:val="left"/>
      <w:pPr>
        <w:ind w:left="2267" w:hanging="340"/>
      </w:pPr>
      <w:rPr>
        <w:rFonts w:ascii="Symbol" w:hAnsi="Symbol" w:hint="default"/>
        <w:color w:val="000000" w:themeColor="text1"/>
      </w:rPr>
    </w:lvl>
    <w:lvl w:ilvl="5">
      <w:start w:val="1"/>
      <w:numFmt w:val="bullet"/>
      <w:lvlText w:val="–"/>
      <w:lvlJc w:val="left"/>
      <w:pPr>
        <w:ind w:left="2607" w:hanging="340"/>
      </w:pPr>
      <w:rPr>
        <w:rFonts w:ascii="HelveticaNeueLT Std Lt" w:hAnsi="HelveticaNeueLT Std Lt" w:hint="default"/>
        <w:color w:val="000000" w:themeColor="text1"/>
      </w:rPr>
    </w:lvl>
    <w:lvl w:ilvl="6">
      <w:start w:val="1"/>
      <w:numFmt w:val="bullet"/>
      <w:lvlText w:val=""/>
      <w:lvlJc w:val="left"/>
      <w:pPr>
        <w:ind w:left="720" w:hanging="360"/>
      </w:pPr>
      <w:rPr>
        <w:rFonts w:ascii="Symbol" w:hAnsi="Symbol" w:hint="default"/>
      </w:rPr>
    </w:lvl>
    <w:lvl w:ilvl="7">
      <w:start w:val="1"/>
      <w:numFmt w:val="bullet"/>
      <w:lvlText w:val="–"/>
      <w:lvlJc w:val="left"/>
      <w:pPr>
        <w:ind w:left="567" w:hanging="227"/>
      </w:pPr>
      <w:rPr>
        <w:rFonts w:ascii="HelveticaNeueLT Std Lt" w:hAnsi="HelveticaNeueLT Std Lt" w:hint="default"/>
        <w:color w:val="000000" w:themeColor="text1"/>
      </w:rPr>
    </w:lvl>
    <w:lvl w:ilvl="8">
      <w:start w:val="1"/>
      <w:numFmt w:val="bullet"/>
      <w:lvlText w:val=""/>
      <w:lvlJc w:val="left"/>
      <w:pPr>
        <w:ind w:left="794" w:hanging="227"/>
      </w:pPr>
      <w:rPr>
        <w:rFonts w:ascii="Symbol" w:hAnsi="Symbol" w:hint="default"/>
        <w:color w:val="000000" w:themeColor="text1"/>
      </w:rPr>
    </w:lvl>
  </w:abstractNum>
  <w:abstractNum w:abstractNumId="11" w15:restartNumberingAfterBreak="0">
    <w:nsid w:val="2DC46DF9"/>
    <w:multiLevelType w:val="multilevel"/>
    <w:tmpl w:val="FE8A7C1A"/>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927"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2" w15:restartNumberingAfterBreak="0">
    <w:nsid w:val="2FBC06A7"/>
    <w:multiLevelType w:val="hybridMultilevel"/>
    <w:tmpl w:val="1E4CBBA0"/>
    <w:lvl w:ilvl="0" w:tplc="0C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377D6D5D"/>
    <w:multiLevelType w:val="hybridMultilevel"/>
    <w:tmpl w:val="2446F7E4"/>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4" w15:restartNumberingAfterBreak="0">
    <w:nsid w:val="3C733604"/>
    <w:multiLevelType w:val="multilevel"/>
    <w:tmpl w:val="E14EFD4C"/>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927"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5" w15:restartNumberingAfterBreak="0">
    <w:nsid w:val="3CDF7F7B"/>
    <w:multiLevelType w:val="hybridMultilevel"/>
    <w:tmpl w:val="DACC67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EDC48CD"/>
    <w:multiLevelType w:val="hybridMultilevel"/>
    <w:tmpl w:val="FC4231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40554461"/>
    <w:multiLevelType w:val="hybridMultilevel"/>
    <w:tmpl w:val="F5A2F38E"/>
    <w:lvl w:ilvl="0" w:tplc="0C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40EF5202"/>
    <w:multiLevelType w:val="hybridMultilevel"/>
    <w:tmpl w:val="6E9A78DA"/>
    <w:lvl w:ilvl="0" w:tplc="E9A637F2">
      <w:start w:val="1"/>
      <w:numFmt w:val="bullet"/>
      <w:pStyle w:val="TableBullet2"/>
      <w:lvlText w:val="–"/>
      <w:lvlJc w:val="left"/>
      <w:pPr>
        <w:ind w:left="947" w:hanging="360"/>
      </w:pPr>
      <w:rPr>
        <w:rFonts w:ascii="Arial" w:hAnsi="Arial" w:hint="default"/>
      </w:rPr>
    </w:lvl>
    <w:lvl w:ilvl="1" w:tplc="0C090003" w:tentative="1">
      <w:start w:val="1"/>
      <w:numFmt w:val="bullet"/>
      <w:lvlText w:val="o"/>
      <w:lvlJc w:val="left"/>
      <w:pPr>
        <w:ind w:left="1667" w:hanging="360"/>
      </w:pPr>
      <w:rPr>
        <w:rFonts w:ascii="Courier New" w:hAnsi="Courier New" w:cs="Courier New" w:hint="default"/>
      </w:rPr>
    </w:lvl>
    <w:lvl w:ilvl="2" w:tplc="0C090005" w:tentative="1">
      <w:start w:val="1"/>
      <w:numFmt w:val="bullet"/>
      <w:lvlText w:val=""/>
      <w:lvlJc w:val="left"/>
      <w:pPr>
        <w:ind w:left="2387" w:hanging="360"/>
      </w:pPr>
      <w:rPr>
        <w:rFonts w:ascii="Wingdings" w:hAnsi="Wingdings" w:hint="default"/>
      </w:rPr>
    </w:lvl>
    <w:lvl w:ilvl="3" w:tplc="0C090001" w:tentative="1">
      <w:start w:val="1"/>
      <w:numFmt w:val="bullet"/>
      <w:lvlText w:val=""/>
      <w:lvlJc w:val="left"/>
      <w:pPr>
        <w:ind w:left="3107" w:hanging="360"/>
      </w:pPr>
      <w:rPr>
        <w:rFonts w:ascii="Symbol" w:hAnsi="Symbol" w:hint="default"/>
      </w:rPr>
    </w:lvl>
    <w:lvl w:ilvl="4" w:tplc="0C090003" w:tentative="1">
      <w:start w:val="1"/>
      <w:numFmt w:val="bullet"/>
      <w:lvlText w:val="o"/>
      <w:lvlJc w:val="left"/>
      <w:pPr>
        <w:ind w:left="3827" w:hanging="360"/>
      </w:pPr>
      <w:rPr>
        <w:rFonts w:ascii="Courier New" w:hAnsi="Courier New" w:cs="Courier New" w:hint="default"/>
      </w:rPr>
    </w:lvl>
    <w:lvl w:ilvl="5" w:tplc="0C090005" w:tentative="1">
      <w:start w:val="1"/>
      <w:numFmt w:val="bullet"/>
      <w:lvlText w:val=""/>
      <w:lvlJc w:val="left"/>
      <w:pPr>
        <w:ind w:left="4547" w:hanging="360"/>
      </w:pPr>
      <w:rPr>
        <w:rFonts w:ascii="Wingdings" w:hAnsi="Wingdings" w:hint="default"/>
      </w:rPr>
    </w:lvl>
    <w:lvl w:ilvl="6" w:tplc="0C090001" w:tentative="1">
      <w:start w:val="1"/>
      <w:numFmt w:val="bullet"/>
      <w:lvlText w:val=""/>
      <w:lvlJc w:val="left"/>
      <w:pPr>
        <w:ind w:left="5267" w:hanging="360"/>
      </w:pPr>
      <w:rPr>
        <w:rFonts w:ascii="Symbol" w:hAnsi="Symbol" w:hint="default"/>
      </w:rPr>
    </w:lvl>
    <w:lvl w:ilvl="7" w:tplc="0C090003" w:tentative="1">
      <w:start w:val="1"/>
      <w:numFmt w:val="bullet"/>
      <w:lvlText w:val="o"/>
      <w:lvlJc w:val="left"/>
      <w:pPr>
        <w:ind w:left="5987" w:hanging="360"/>
      </w:pPr>
      <w:rPr>
        <w:rFonts w:ascii="Courier New" w:hAnsi="Courier New" w:cs="Courier New" w:hint="default"/>
      </w:rPr>
    </w:lvl>
    <w:lvl w:ilvl="8" w:tplc="0C090005" w:tentative="1">
      <w:start w:val="1"/>
      <w:numFmt w:val="bullet"/>
      <w:lvlText w:val=""/>
      <w:lvlJc w:val="left"/>
      <w:pPr>
        <w:ind w:left="6707" w:hanging="360"/>
      </w:pPr>
      <w:rPr>
        <w:rFonts w:ascii="Wingdings" w:hAnsi="Wingdings" w:hint="default"/>
      </w:rPr>
    </w:lvl>
  </w:abstractNum>
  <w:abstractNum w:abstractNumId="19" w15:restartNumberingAfterBreak="0">
    <w:nsid w:val="47554C89"/>
    <w:multiLevelType w:val="hybridMultilevel"/>
    <w:tmpl w:val="C6AC2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90764C1"/>
    <w:multiLevelType w:val="hybridMultilevel"/>
    <w:tmpl w:val="32461276"/>
    <w:lvl w:ilvl="0" w:tplc="0C090001">
      <w:start w:val="1"/>
      <w:numFmt w:val="bullet"/>
      <w:lvlText w:val=""/>
      <w:lvlJc w:val="left"/>
      <w:pPr>
        <w:ind w:left="748" w:hanging="360"/>
      </w:pPr>
      <w:rPr>
        <w:rFonts w:ascii="Symbol" w:hAnsi="Symbol" w:hint="default"/>
      </w:rPr>
    </w:lvl>
    <w:lvl w:ilvl="1" w:tplc="0C090003" w:tentative="1">
      <w:start w:val="1"/>
      <w:numFmt w:val="bullet"/>
      <w:lvlText w:val="o"/>
      <w:lvlJc w:val="left"/>
      <w:pPr>
        <w:ind w:left="1468" w:hanging="360"/>
      </w:pPr>
      <w:rPr>
        <w:rFonts w:ascii="Courier New" w:hAnsi="Courier New" w:cs="Courier New" w:hint="default"/>
      </w:rPr>
    </w:lvl>
    <w:lvl w:ilvl="2" w:tplc="0C090005" w:tentative="1">
      <w:start w:val="1"/>
      <w:numFmt w:val="bullet"/>
      <w:lvlText w:val=""/>
      <w:lvlJc w:val="left"/>
      <w:pPr>
        <w:ind w:left="2188" w:hanging="360"/>
      </w:pPr>
      <w:rPr>
        <w:rFonts w:ascii="Wingdings" w:hAnsi="Wingdings" w:hint="default"/>
      </w:rPr>
    </w:lvl>
    <w:lvl w:ilvl="3" w:tplc="0C090001" w:tentative="1">
      <w:start w:val="1"/>
      <w:numFmt w:val="bullet"/>
      <w:lvlText w:val=""/>
      <w:lvlJc w:val="left"/>
      <w:pPr>
        <w:ind w:left="2908" w:hanging="360"/>
      </w:pPr>
      <w:rPr>
        <w:rFonts w:ascii="Symbol" w:hAnsi="Symbol" w:hint="default"/>
      </w:rPr>
    </w:lvl>
    <w:lvl w:ilvl="4" w:tplc="0C090003" w:tentative="1">
      <w:start w:val="1"/>
      <w:numFmt w:val="bullet"/>
      <w:lvlText w:val="o"/>
      <w:lvlJc w:val="left"/>
      <w:pPr>
        <w:ind w:left="3628" w:hanging="360"/>
      </w:pPr>
      <w:rPr>
        <w:rFonts w:ascii="Courier New" w:hAnsi="Courier New" w:cs="Courier New" w:hint="default"/>
      </w:rPr>
    </w:lvl>
    <w:lvl w:ilvl="5" w:tplc="0C090005" w:tentative="1">
      <w:start w:val="1"/>
      <w:numFmt w:val="bullet"/>
      <w:lvlText w:val=""/>
      <w:lvlJc w:val="left"/>
      <w:pPr>
        <w:ind w:left="4348" w:hanging="360"/>
      </w:pPr>
      <w:rPr>
        <w:rFonts w:ascii="Wingdings" w:hAnsi="Wingdings" w:hint="default"/>
      </w:rPr>
    </w:lvl>
    <w:lvl w:ilvl="6" w:tplc="0C090001" w:tentative="1">
      <w:start w:val="1"/>
      <w:numFmt w:val="bullet"/>
      <w:lvlText w:val=""/>
      <w:lvlJc w:val="left"/>
      <w:pPr>
        <w:ind w:left="5068" w:hanging="360"/>
      </w:pPr>
      <w:rPr>
        <w:rFonts w:ascii="Symbol" w:hAnsi="Symbol" w:hint="default"/>
      </w:rPr>
    </w:lvl>
    <w:lvl w:ilvl="7" w:tplc="0C090003" w:tentative="1">
      <w:start w:val="1"/>
      <w:numFmt w:val="bullet"/>
      <w:lvlText w:val="o"/>
      <w:lvlJc w:val="left"/>
      <w:pPr>
        <w:ind w:left="5788" w:hanging="360"/>
      </w:pPr>
      <w:rPr>
        <w:rFonts w:ascii="Courier New" w:hAnsi="Courier New" w:cs="Courier New" w:hint="default"/>
      </w:rPr>
    </w:lvl>
    <w:lvl w:ilvl="8" w:tplc="0C090005" w:tentative="1">
      <w:start w:val="1"/>
      <w:numFmt w:val="bullet"/>
      <w:lvlText w:val=""/>
      <w:lvlJc w:val="left"/>
      <w:pPr>
        <w:ind w:left="6508" w:hanging="360"/>
      </w:pPr>
      <w:rPr>
        <w:rFonts w:ascii="Wingdings" w:hAnsi="Wingdings" w:hint="default"/>
      </w:rPr>
    </w:lvl>
  </w:abstractNum>
  <w:abstractNum w:abstractNumId="21" w15:restartNumberingAfterBreak="0">
    <w:nsid w:val="49410B24"/>
    <w:multiLevelType w:val="multilevel"/>
    <w:tmpl w:val="03F416BE"/>
    <w:lvl w:ilvl="0">
      <w:start w:val="1"/>
      <w:numFmt w:val="decimal"/>
      <w:pStyle w:val="Heading1Outline"/>
      <w:lvlText w:val="%1."/>
      <w:lvlJc w:val="left"/>
      <w:pPr>
        <w:tabs>
          <w:tab w:val="num" w:pos="992"/>
        </w:tabs>
        <w:ind w:left="992" w:hanging="992"/>
      </w:pPr>
      <w:rPr>
        <w:rFonts w:hint="default"/>
      </w:rPr>
    </w:lvl>
    <w:lvl w:ilvl="1">
      <w:start w:val="1"/>
      <w:numFmt w:val="decimal"/>
      <w:pStyle w:val="Heading2Outline"/>
      <w:lvlText w:val="%1.%2."/>
      <w:lvlJc w:val="left"/>
      <w:pPr>
        <w:tabs>
          <w:tab w:val="num" w:pos="851"/>
        </w:tabs>
        <w:ind w:left="851" w:hanging="851"/>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 w15:restartNumberingAfterBreak="0">
    <w:nsid w:val="4DAA3248"/>
    <w:multiLevelType w:val="hybridMultilevel"/>
    <w:tmpl w:val="119CD3C0"/>
    <w:lvl w:ilvl="0" w:tplc="E424FDC2">
      <w:start w:val="1"/>
      <w:numFmt w:val="bullet"/>
      <w:pStyle w:val="BoxBulletLis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DAF7279"/>
    <w:multiLevelType w:val="hybridMultilevel"/>
    <w:tmpl w:val="8378FFC0"/>
    <w:lvl w:ilvl="0" w:tplc="17F09F4C">
      <w:start w:val="1"/>
      <w:numFmt w:val="bullet"/>
      <w:pStyle w:val="CommentTextBullet"/>
      <w:lvlText w:val=""/>
      <w:lvlJc w:val="left"/>
      <w:pPr>
        <w:tabs>
          <w:tab w:val="num" w:pos="227"/>
        </w:tabs>
        <w:ind w:left="227" w:hanging="227"/>
      </w:pPr>
      <w:rPr>
        <w:rFonts w:ascii="Wingdings" w:hAnsi="Wingdings" w:hint="default"/>
        <w:color w:val="62136D"/>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1544687"/>
    <w:multiLevelType w:val="multilevel"/>
    <w:tmpl w:val="61069250"/>
    <w:lvl w:ilvl="0">
      <w:start w:val="1"/>
      <w:numFmt w:val="decimal"/>
      <w:pStyle w:val="ListNumber"/>
      <w:lvlText w:val="%1."/>
      <w:lvlJc w:val="left"/>
      <w:pPr>
        <w:ind w:left="720" w:hanging="360"/>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25" w15:restartNumberingAfterBreak="0">
    <w:nsid w:val="528D3E56"/>
    <w:multiLevelType w:val="multilevel"/>
    <w:tmpl w:val="F2D09B46"/>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927"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55991C23"/>
    <w:multiLevelType w:val="multilevel"/>
    <w:tmpl w:val="FA4E31A4"/>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927"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7" w15:restartNumberingAfterBreak="0">
    <w:nsid w:val="569B46A8"/>
    <w:multiLevelType w:val="hybridMultilevel"/>
    <w:tmpl w:val="F1F280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D5940D5"/>
    <w:multiLevelType w:val="multilevel"/>
    <w:tmpl w:val="C55CFD54"/>
    <w:styleLink w:val="Bullets"/>
    <w:lvl w:ilvl="0">
      <w:start w:val="1"/>
      <w:numFmt w:val="bullet"/>
      <w:pStyle w:val="Bullets1"/>
      <w:lvlText w:val=""/>
      <w:lvlJc w:val="left"/>
      <w:pPr>
        <w:ind w:left="680" w:hanging="226"/>
      </w:pPr>
      <w:rPr>
        <w:rFonts w:ascii="Symbol" w:hAnsi="Symbol" w:hint="default"/>
        <w:color w:val="000000" w:themeColor="text1"/>
      </w:rPr>
    </w:lvl>
    <w:lvl w:ilvl="1">
      <w:start w:val="1"/>
      <w:numFmt w:val="bullet"/>
      <w:pStyle w:val="Bullets2"/>
      <w:lvlText w:val="–"/>
      <w:lvlJc w:val="left"/>
      <w:pPr>
        <w:ind w:left="907" w:hanging="227"/>
      </w:pPr>
      <w:rPr>
        <w:rFonts w:ascii="HelveticaNeueLT Std Lt" w:hAnsi="HelveticaNeueLT Std Lt" w:hint="default"/>
        <w:color w:val="000000" w:themeColor="text1"/>
      </w:rPr>
    </w:lvl>
    <w:lvl w:ilvl="2">
      <w:start w:val="1"/>
      <w:numFmt w:val="bullet"/>
      <w:lvlText w:val=""/>
      <w:lvlJc w:val="left"/>
      <w:pPr>
        <w:ind w:left="1134" w:hanging="227"/>
      </w:pPr>
      <w:rPr>
        <w:rFonts w:ascii="Symbol" w:hAnsi="Symbol" w:hint="default"/>
        <w:color w:val="000000" w:themeColor="text1"/>
      </w:rPr>
    </w:lvl>
    <w:lvl w:ilvl="3">
      <w:start w:val="1"/>
      <w:numFmt w:val="bullet"/>
      <w:lvlText w:val="–"/>
      <w:lvlJc w:val="left"/>
      <w:pPr>
        <w:ind w:left="1927" w:hanging="340"/>
      </w:pPr>
      <w:rPr>
        <w:rFonts w:ascii="HelveticaNeueLT Std Lt" w:hAnsi="HelveticaNeueLT Std Lt" w:hint="default"/>
        <w:color w:val="000000" w:themeColor="text1"/>
      </w:rPr>
    </w:lvl>
    <w:lvl w:ilvl="4">
      <w:start w:val="1"/>
      <w:numFmt w:val="bullet"/>
      <w:lvlText w:val=""/>
      <w:lvlJc w:val="left"/>
      <w:pPr>
        <w:ind w:left="2267" w:hanging="340"/>
      </w:pPr>
      <w:rPr>
        <w:rFonts w:ascii="Symbol" w:hAnsi="Symbol" w:hint="default"/>
        <w:color w:val="000000" w:themeColor="text1"/>
      </w:rPr>
    </w:lvl>
    <w:lvl w:ilvl="5">
      <w:start w:val="1"/>
      <w:numFmt w:val="bullet"/>
      <w:lvlText w:val="–"/>
      <w:lvlJc w:val="left"/>
      <w:pPr>
        <w:ind w:left="2607" w:hanging="340"/>
      </w:pPr>
      <w:rPr>
        <w:rFonts w:ascii="HelveticaNeueLT Std Lt" w:hAnsi="HelveticaNeueLT Std Lt" w:hint="default"/>
        <w:color w:val="000000" w:themeColor="text1"/>
      </w:rPr>
    </w:lvl>
    <w:lvl w:ilvl="6">
      <w:start w:val="1"/>
      <w:numFmt w:val="bullet"/>
      <w:lvlText w:val=""/>
      <w:lvlJc w:val="left"/>
      <w:pPr>
        <w:ind w:left="720" w:hanging="360"/>
      </w:pPr>
      <w:rPr>
        <w:rFonts w:ascii="Symbol" w:hAnsi="Symbol" w:hint="default"/>
      </w:rPr>
    </w:lvl>
    <w:lvl w:ilvl="7">
      <w:start w:val="1"/>
      <w:numFmt w:val="bullet"/>
      <w:pStyle w:val="TableBullets2"/>
      <w:lvlText w:val="–"/>
      <w:lvlJc w:val="left"/>
      <w:pPr>
        <w:ind w:left="567" w:hanging="227"/>
      </w:pPr>
      <w:rPr>
        <w:rFonts w:ascii="HelveticaNeueLT Std Lt" w:hAnsi="HelveticaNeueLT Std Lt" w:hint="default"/>
        <w:color w:val="000000" w:themeColor="text1"/>
      </w:rPr>
    </w:lvl>
    <w:lvl w:ilvl="8">
      <w:start w:val="1"/>
      <w:numFmt w:val="bullet"/>
      <w:lvlText w:val=""/>
      <w:lvlJc w:val="left"/>
      <w:pPr>
        <w:ind w:left="794" w:hanging="227"/>
      </w:pPr>
      <w:rPr>
        <w:rFonts w:ascii="Symbol" w:hAnsi="Symbol" w:hint="default"/>
        <w:color w:val="000000" w:themeColor="text1"/>
      </w:rPr>
    </w:lvl>
  </w:abstractNum>
  <w:abstractNum w:abstractNumId="29" w15:restartNumberingAfterBreak="0">
    <w:nsid w:val="71174EB1"/>
    <w:multiLevelType w:val="hybridMultilevel"/>
    <w:tmpl w:val="E8FC9F34"/>
    <w:lvl w:ilvl="0" w:tplc="3F224BDC">
      <w:start w:val="1"/>
      <w:numFmt w:val="decimal"/>
      <w:pStyle w:val="Box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3107305"/>
    <w:multiLevelType w:val="multilevel"/>
    <w:tmpl w:val="5D9A3B7C"/>
    <w:styleLink w:val="BulletsList"/>
    <w:lvl w:ilvl="0">
      <w:start w:val="1"/>
      <w:numFmt w:val="bullet"/>
      <w:lvlText w:val=""/>
      <w:lvlJc w:val="left"/>
      <w:pPr>
        <w:tabs>
          <w:tab w:val="num" w:pos="284"/>
        </w:tabs>
        <w:ind w:left="284" w:firstLine="0"/>
      </w:pPr>
      <w:rPr>
        <w:rFonts w:ascii="Symbol" w:hAnsi="Symbol" w:hint="default"/>
      </w:rPr>
    </w:lvl>
    <w:lvl w:ilvl="1">
      <w:start w:val="1"/>
      <w:numFmt w:val="bullet"/>
      <w:lvlText w:val="–"/>
      <w:lvlJc w:val="left"/>
      <w:pPr>
        <w:tabs>
          <w:tab w:val="num" w:pos="568"/>
        </w:tabs>
        <w:ind w:left="568" w:firstLine="0"/>
      </w:pPr>
      <w:rPr>
        <w:rFonts w:ascii="Arial" w:hAnsi="Arial" w:hint="default"/>
      </w:rPr>
    </w:lvl>
    <w:lvl w:ilvl="2">
      <w:start w:val="1"/>
      <w:numFmt w:val="bullet"/>
      <w:lvlText w:val="»"/>
      <w:lvlJc w:val="left"/>
      <w:pPr>
        <w:tabs>
          <w:tab w:val="num" w:pos="852"/>
        </w:tabs>
        <w:ind w:left="852" w:firstLine="0"/>
      </w:pPr>
      <w:rPr>
        <w:rFonts w:ascii="Arial" w:hAnsi="Arial" w:hint="default"/>
      </w:rPr>
    </w:lvl>
    <w:lvl w:ilvl="3">
      <w:start w:val="1"/>
      <w:numFmt w:val="decimal"/>
      <w:lvlText w:val="(%4)"/>
      <w:lvlJc w:val="left"/>
      <w:pPr>
        <w:tabs>
          <w:tab w:val="num" w:pos="1136"/>
        </w:tabs>
        <w:ind w:left="1136" w:firstLine="0"/>
      </w:pPr>
      <w:rPr>
        <w:rFonts w:hint="default"/>
      </w:rPr>
    </w:lvl>
    <w:lvl w:ilvl="4">
      <w:start w:val="1"/>
      <w:numFmt w:val="lowerLetter"/>
      <w:lvlText w:val="(%5)"/>
      <w:lvlJc w:val="left"/>
      <w:pPr>
        <w:tabs>
          <w:tab w:val="num" w:pos="1420"/>
        </w:tabs>
        <w:ind w:left="1420" w:firstLine="0"/>
      </w:pPr>
      <w:rPr>
        <w:rFonts w:hint="default"/>
      </w:rPr>
    </w:lvl>
    <w:lvl w:ilvl="5">
      <w:start w:val="1"/>
      <w:numFmt w:val="lowerRoman"/>
      <w:lvlText w:val="(%6)"/>
      <w:lvlJc w:val="left"/>
      <w:pPr>
        <w:tabs>
          <w:tab w:val="num" w:pos="1704"/>
        </w:tabs>
        <w:ind w:left="1704" w:firstLine="0"/>
      </w:pPr>
      <w:rPr>
        <w:rFonts w:hint="default"/>
      </w:rPr>
    </w:lvl>
    <w:lvl w:ilvl="6">
      <w:start w:val="1"/>
      <w:numFmt w:val="decimal"/>
      <w:lvlText w:val="%7."/>
      <w:lvlJc w:val="left"/>
      <w:pPr>
        <w:tabs>
          <w:tab w:val="num" w:pos="1988"/>
        </w:tabs>
        <w:ind w:left="1988" w:firstLine="0"/>
      </w:pPr>
      <w:rPr>
        <w:rFonts w:hint="default"/>
      </w:rPr>
    </w:lvl>
    <w:lvl w:ilvl="7">
      <w:start w:val="1"/>
      <w:numFmt w:val="lowerLetter"/>
      <w:lvlText w:val="%8."/>
      <w:lvlJc w:val="left"/>
      <w:pPr>
        <w:tabs>
          <w:tab w:val="num" w:pos="2272"/>
        </w:tabs>
        <w:ind w:left="2272" w:firstLine="0"/>
      </w:pPr>
      <w:rPr>
        <w:rFonts w:hint="default"/>
      </w:rPr>
    </w:lvl>
    <w:lvl w:ilvl="8">
      <w:start w:val="1"/>
      <w:numFmt w:val="lowerRoman"/>
      <w:lvlText w:val="%9."/>
      <w:lvlJc w:val="left"/>
      <w:pPr>
        <w:tabs>
          <w:tab w:val="num" w:pos="2556"/>
        </w:tabs>
        <w:ind w:left="2556" w:firstLine="0"/>
      </w:pPr>
      <w:rPr>
        <w:rFonts w:hint="default"/>
      </w:rPr>
    </w:lvl>
  </w:abstractNum>
  <w:abstractNum w:abstractNumId="31" w15:restartNumberingAfterBreak="0">
    <w:nsid w:val="75D94B9F"/>
    <w:multiLevelType w:val="hybridMultilevel"/>
    <w:tmpl w:val="7D3E330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A387989"/>
    <w:multiLevelType w:val="multilevel"/>
    <w:tmpl w:val="C5EC7CA2"/>
    <w:lvl w:ilvl="0">
      <w:start w:val="1"/>
      <w:numFmt w:val="bullet"/>
      <w:lvlText w:val=""/>
      <w:lvlJc w:val="left"/>
      <w:pPr>
        <w:ind w:left="720" w:hanging="360"/>
      </w:pPr>
      <w:rPr>
        <w:rFonts w:ascii="Symbol" w:hAnsi="Symbol" w:hint="default"/>
      </w:rPr>
    </w:lvl>
    <w:lvl w:ilvl="1">
      <w:start w:val="1"/>
      <w:numFmt w:val="bullet"/>
      <w:lvlText w:val="–"/>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927" w:hanging="360"/>
      </w:pPr>
      <w:rPr>
        <w:rFonts w:ascii="Symbol" w:hAnsi="Symbol" w:hint="default"/>
        <w:color w:val="auto"/>
      </w:rPr>
    </w:lvl>
    <w:lvl w:ilvl="4">
      <w:start w:val="1"/>
      <w:numFmt w:val="bullet"/>
      <w:lvlText w:val="–"/>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33" w15:restartNumberingAfterBreak="0">
    <w:nsid w:val="7DCD67F6"/>
    <w:multiLevelType w:val="hybridMultilevel"/>
    <w:tmpl w:val="B826037A"/>
    <w:lvl w:ilvl="0" w:tplc="CE0E81A6">
      <w:start w:val="1"/>
      <w:numFmt w:val="bullet"/>
      <w:lvlText w:val=""/>
      <w:lvlJc w:val="left"/>
      <w:pPr>
        <w:ind w:left="720" w:hanging="360"/>
      </w:pPr>
      <w:rPr>
        <w:rFonts w:ascii="Symbol" w:hAnsi="Symbol"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975256365">
    <w:abstractNumId w:val="30"/>
  </w:num>
  <w:num w:numId="2" w16cid:durableId="1347561096">
    <w:abstractNumId w:val="33"/>
  </w:num>
  <w:num w:numId="3" w16cid:durableId="523792583">
    <w:abstractNumId w:val="31"/>
  </w:num>
  <w:num w:numId="4" w16cid:durableId="897058088">
    <w:abstractNumId w:val="8"/>
  </w:num>
  <w:num w:numId="5" w16cid:durableId="7644218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2136293903">
    <w:abstractNumId w:val="16"/>
  </w:num>
  <w:num w:numId="7" w16cid:durableId="556867058">
    <w:abstractNumId w:val="6"/>
  </w:num>
  <w:num w:numId="8" w16cid:durableId="1914005173">
    <w:abstractNumId w:val="14"/>
  </w:num>
  <w:num w:numId="9" w16cid:durableId="1029182263">
    <w:abstractNumId w:val="0"/>
  </w:num>
  <w:num w:numId="10" w16cid:durableId="1998603774">
    <w:abstractNumId w:val="28"/>
  </w:num>
  <w:num w:numId="11" w16cid:durableId="833036711">
    <w:abstractNumId w:val="1"/>
  </w:num>
  <w:num w:numId="12" w16cid:durableId="1540242156">
    <w:abstractNumId w:val="21"/>
  </w:num>
  <w:num w:numId="13" w16cid:durableId="355423101">
    <w:abstractNumId w:val="23"/>
  </w:num>
  <w:num w:numId="14" w16cid:durableId="483133014">
    <w:abstractNumId w:val="2"/>
  </w:num>
  <w:num w:numId="15" w16cid:durableId="781342220">
    <w:abstractNumId w:val="22"/>
  </w:num>
  <w:num w:numId="16" w16cid:durableId="787546795">
    <w:abstractNumId w:val="29"/>
  </w:num>
  <w:num w:numId="17" w16cid:durableId="2042199520">
    <w:abstractNumId w:val="7"/>
  </w:num>
  <w:num w:numId="18" w16cid:durableId="1400322482">
    <w:abstractNumId w:val="18"/>
  </w:num>
  <w:num w:numId="19" w16cid:durableId="1243442548">
    <w:abstractNumId w:val="4"/>
  </w:num>
  <w:num w:numId="20" w16cid:durableId="487287066">
    <w:abstractNumId w:val="3"/>
  </w:num>
  <w:num w:numId="21" w16cid:durableId="477189558">
    <w:abstractNumId w:val="26"/>
  </w:num>
  <w:num w:numId="22" w16cid:durableId="942031705">
    <w:abstractNumId w:val="25"/>
  </w:num>
  <w:num w:numId="23" w16cid:durableId="1547838178">
    <w:abstractNumId w:val="32"/>
  </w:num>
  <w:num w:numId="24" w16cid:durableId="426075196">
    <w:abstractNumId w:val="14"/>
  </w:num>
  <w:num w:numId="25" w16cid:durableId="1666205787">
    <w:abstractNumId w:val="12"/>
  </w:num>
  <w:num w:numId="26" w16cid:durableId="1626890370">
    <w:abstractNumId w:val="14"/>
  </w:num>
  <w:num w:numId="27" w16cid:durableId="794714374">
    <w:abstractNumId w:val="11"/>
  </w:num>
  <w:num w:numId="28" w16cid:durableId="1808929731">
    <w:abstractNumId w:val="9"/>
  </w:num>
  <w:num w:numId="29" w16cid:durableId="286786933">
    <w:abstractNumId w:val="17"/>
  </w:num>
  <w:num w:numId="30" w16cid:durableId="1746221293">
    <w:abstractNumId w:val="13"/>
  </w:num>
  <w:num w:numId="31" w16cid:durableId="581570080">
    <w:abstractNumId w:val="5"/>
  </w:num>
  <w:num w:numId="32" w16cid:durableId="459955794">
    <w:abstractNumId w:val="20"/>
  </w:num>
  <w:num w:numId="33" w16cid:durableId="1480534633">
    <w:abstractNumId w:val="10"/>
  </w:num>
  <w:num w:numId="34" w16cid:durableId="377627408">
    <w:abstractNumId w:val="27"/>
  </w:num>
  <w:num w:numId="35" w16cid:durableId="443771665">
    <w:abstractNumId w:val="19"/>
  </w:num>
  <w:num w:numId="36" w16cid:durableId="1936134246">
    <w:abstractNumId w:val="15"/>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1421" w:allStyles="1" w:customStyles="0" w:latentStyles="0" w:stylesInUse="0" w:headingStyles="1" w:numberingStyles="0" w:tableStyles="0" w:directFormattingOnRuns="0" w:directFormattingOnParagraphs="0" w:directFormattingOnNumbering="1"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6562"/>
    <w:rsid w:val="00001601"/>
    <w:rsid w:val="00003641"/>
    <w:rsid w:val="00004E89"/>
    <w:rsid w:val="0001116F"/>
    <w:rsid w:val="000140B8"/>
    <w:rsid w:val="000201BA"/>
    <w:rsid w:val="00020A9A"/>
    <w:rsid w:val="000230E3"/>
    <w:rsid w:val="00030120"/>
    <w:rsid w:val="00035573"/>
    <w:rsid w:val="00041D69"/>
    <w:rsid w:val="00050990"/>
    <w:rsid w:val="000572C7"/>
    <w:rsid w:val="00064140"/>
    <w:rsid w:val="00065361"/>
    <w:rsid w:val="000677A7"/>
    <w:rsid w:val="000769AC"/>
    <w:rsid w:val="00081610"/>
    <w:rsid w:val="00082342"/>
    <w:rsid w:val="000857CA"/>
    <w:rsid w:val="00085DC4"/>
    <w:rsid w:val="00085FDD"/>
    <w:rsid w:val="00091F3D"/>
    <w:rsid w:val="00095C48"/>
    <w:rsid w:val="000974C1"/>
    <w:rsid w:val="000A1591"/>
    <w:rsid w:val="000A332D"/>
    <w:rsid w:val="000A573A"/>
    <w:rsid w:val="000C48E2"/>
    <w:rsid w:val="000C4A0F"/>
    <w:rsid w:val="000D000D"/>
    <w:rsid w:val="000D369C"/>
    <w:rsid w:val="000D39E2"/>
    <w:rsid w:val="000D3EF3"/>
    <w:rsid w:val="000D5965"/>
    <w:rsid w:val="000E55FE"/>
    <w:rsid w:val="000E63C7"/>
    <w:rsid w:val="000F16C6"/>
    <w:rsid w:val="000F4D4C"/>
    <w:rsid w:val="000F5EC6"/>
    <w:rsid w:val="000F7266"/>
    <w:rsid w:val="000F75FC"/>
    <w:rsid w:val="00101919"/>
    <w:rsid w:val="00105C27"/>
    <w:rsid w:val="001067A8"/>
    <w:rsid w:val="00111769"/>
    <w:rsid w:val="00112FEE"/>
    <w:rsid w:val="00116470"/>
    <w:rsid w:val="00122DEA"/>
    <w:rsid w:val="00125722"/>
    <w:rsid w:val="001313B1"/>
    <w:rsid w:val="001361AD"/>
    <w:rsid w:val="00143BFE"/>
    <w:rsid w:val="00146672"/>
    <w:rsid w:val="001478C7"/>
    <w:rsid w:val="00147EA7"/>
    <w:rsid w:val="001510D7"/>
    <w:rsid w:val="00151364"/>
    <w:rsid w:val="001534EF"/>
    <w:rsid w:val="0015424A"/>
    <w:rsid w:val="001561F4"/>
    <w:rsid w:val="00156921"/>
    <w:rsid w:val="00160863"/>
    <w:rsid w:val="001608B4"/>
    <w:rsid w:val="00161696"/>
    <w:rsid w:val="0016322C"/>
    <w:rsid w:val="00171267"/>
    <w:rsid w:val="001718B2"/>
    <w:rsid w:val="0017514F"/>
    <w:rsid w:val="00175A67"/>
    <w:rsid w:val="00183214"/>
    <w:rsid w:val="00187423"/>
    <w:rsid w:val="001874EA"/>
    <w:rsid w:val="0019204A"/>
    <w:rsid w:val="001A1349"/>
    <w:rsid w:val="001A48F5"/>
    <w:rsid w:val="001A7461"/>
    <w:rsid w:val="001C1272"/>
    <w:rsid w:val="001D03CA"/>
    <w:rsid w:val="001D0F6D"/>
    <w:rsid w:val="001D2CFF"/>
    <w:rsid w:val="001D393F"/>
    <w:rsid w:val="001E2B04"/>
    <w:rsid w:val="001E42DA"/>
    <w:rsid w:val="001E630D"/>
    <w:rsid w:val="001F23BC"/>
    <w:rsid w:val="001F4126"/>
    <w:rsid w:val="002145D6"/>
    <w:rsid w:val="00222176"/>
    <w:rsid w:val="0022310B"/>
    <w:rsid w:val="00225FBD"/>
    <w:rsid w:val="00231536"/>
    <w:rsid w:val="00232C86"/>
    <w:rsid w:val="002346B5"/>
    <w:rsid w:val="00240A6E"/>
    <w:rsid w:val="00243374"/>
    <w:rsid w:val="00250D8B"/>
    <w:rsid w:val="00253356"/>
    <w:rsid w:val="00253786"/>
    <w:rsid w:val="00254100"/>
    <w:rsid w:val="0026184F"/>
    <w:rsid w:val="002618F8"/>
    <w:rsid w:val="002624E8"/>
    <w:rsid w:val="00265FB0"/>
    <w:rsid w:val="00267772"/>
    <w:rsid w:val="00273B76"/>
    <w:rsid w:val="00274081"/>
    <w:rsid w:val="00275EA9"/>
    <w:rsid w:val="0028002F"/>
    <w:rsid w:val="00281DFB"/>
    <w:rsid w:val="00282835"/>
    <w:rsid w:val="00284BAA"/>
    <w:rsid w:val="00284BD0"/>
    <w:rsid w:val="00291956"/>
    <w:rsid w:val="002A2FE1"/>
    <w:rsid w:val="002A456D"/>
    <w:rsid w:val="002A46F8"/>
    <w:rsid w:val="002A5BC7"/>
    <w:rsid w:val="002A7072"/>
    <w:rsid w:val="002B1359"/>
    <w:rsid w:val="002B2929"/>
    <w:rsid w:val="002B2EB7"/>
    <w:rsid w:val="002B3CC6"/>
    <w:rsid w:val="002B7002"/>
    <w:rsid w:val="002C0A8F"/>
    <w:rsid w:val="002C17BF"/>
    <w:rsid w:val="002C1CC6"/>
    <w:rsid w:val="002C535D"/>
    <w:rsid w:val="002D20C1"/>
    <w:rsid w:val="002E0FD8"/>
    <w:rsid w:val="002E1E99"/>
    <w:rsid w:val="002E47A9"/>
    <w:rsid w:val="002E6C5C"/>
    <w:rsid w:val="002F05FD"/>
    <w:rsid w:val="002F3848"/>
    <w:rsid w:val="002F3FAD"/>
    <w:rsid w:val="002F6869"/>
    <w:rsid w:val="0030075C"/>
    <w:rsid w:val="003038B5"/>
    <w:rsid w:val="00305619"/>
    <w:rsid w:val="003059C0"/>
    <w:rsid w:val="0030619D"/>
    <w:rsid w:val="00307CB6"/>
    <w:rsid w:val="00311FC7"/>
    <w:rsid w:val="003160AE"/>
    <w:rsid w:val="00335A14"/>
    <w:rsid w:val="0033626B"/>
    <w:rsid w:val="00337926"/>
    <w:rsid w:val="0034107B"/>
    <w:rsid w:val="0034233C"/>
    <w:rsid w:val="00347FE0"/>
    <w:rsid w:val="003510FA"/>
    <w:rsid w:val="00353919"/>
    <w:rsid w:val="00354AAE"/>
    <w:rsid w:val="003603CB"/>
    <w:rsid w:val="00363E14"/>
    <w:rsid w:val="00364E96"/>
    <w:rsid w:val="003774CB"/>
    <w:rsid w:val="0038044C"/>
    <w:rsid w:val="00386372"/>
    <w:rsid w:val="003933AF"/>
    <w:rsid w:val="00394E96"/>
    <w:rsid w:val="003A0048"/>
    <w:rsid w:val="003A70C3"/>
    <w:rsid w:val="003B0D19"/>
    <w:rsid w:val="003B2BB8"/>
    <w:rsid w:val="003B7424"/>
    <w:rsid w:val="003C1131"/>
    <w:rsid w:val="003C248C"/>
    <w:rsid w:val="003C3D60"/>
    <w:rsid w:val="003C5D1D"/>
    <w:rsid w:val="003C5F4F"/>
    <w:rsid w:val="003C7EE8"/>
    <w:rsid w:val="003D34FF"/>
    <w:rsid w:val="003D626D"/>
    <w:rsid w:val="003E0A57"/>
    <w:rsid w:val="003E2B62"/>
    <w:rsid w:val="003E7D07"/>
    <w:rsid w:val="00403055"/>
    <w:rsid w:val="0040413E"/>
    <w:rsid w:val="00405F88"/>
    <w:rsid w:val="004111FA"/>
    <w:rsid w:val="0041327E"/>
    <w:rsid w:val="00415B6C"/>
    <w:rsid w:val="00420C2E"/>
    <w:rsid w:val="00423C08"/>
    <w:rsid w:val="004243F2"/>
    <w:rsid w:val="0042666E"/>
    <w:rsid w:val="0042676C"/>
    <w:rsid w:val="00431002"/>
    <w:rsid w:val="004354E6"/>
    <w:rsid w:val="00440CB8"/>
    <w:rsid w:val="0044332A"/>
    <w:rsid w:val="00444CFB"/>
    <w:rsid w:val="00450DE1"/>
    <w:rsid w:val="00450E57"/>
    <w:rsid w:val="004548BD"/>
    <w:rsid w:val="004613B5"/>
    <w:rsid w:val="00462A01"/>
    <w:rsid w:val="00466CB3"/>
    <w:rsid w:val="00471456"/>
    <w:rsid w:val="0047261D"/>
    <w:rsid w:val="004748F9"/>
    <w:rsid w:val="00475F23"/>
    <w:rsid w:val="00480EE7"/>
    <w:rsid w:val="00483104"/>
    <w:rsid w:val="0048735C"/>
    <w:rsid w:val="00491F0B"/>
    <w:rsid w:val="0049659D"/>
    <w:rsid w:val="004A2151"/>
    <w:rsid w:val="004A4F14"/>
    <w:rsid w:val="004A77EB"/>
    <w:rsid w:val="004B54CA"/>
    <w:rsid w:val="004C2B8C"/>
    <w:rsid w:val="004D1A30"/>
    <w:rsid w:val="004D5E02"/>
    <w:rsid w:val="004E103D"/>
    <w:rsid w:val="004E1EDF"/>
    <w:rsid w:val="004E37A4"/>
    <w:rsid w:val="004E4885"/>
    <w:rsid w:val="004E5CBF"/>
    <w:rsid w:val="004E5E2F"/>
    <w:rsid w:val="004E650B"/>
    <w:rsid w:val="004E7DC4"/>
    <w:rsid w:val="004F4E74"/>
    <w:rsid w:val="004F77F4"/>
    <w:rsid w:val="005028D8"/>
    <w:rsid w:val="00502BD8"/>
    <w:rsid w:val="00506C49"/>
    <w:rsid w:val="005072B0"/>
    <w:rsid w:val="00507F1A"/>
    <w:rsid w:val="00512E52"/>
    <w:rsid w:val="00513D2D"/>
    <w:rsid w:val="00514BDE"/>
    <w:rsid w:val="00515ED5"/>
    <w:rsid w:val="0051679C"/>
    <w:rsid w:val="00517AE4"/>
    <w:rsid w:val="005206B3"/>
    <w:rsid w:val="005258C9"/>
    <w:rsid w:val="005261E6"/>
    <w:rsid w:val="0053017B"/>
    <w:rsid w:val="005312DA"/>
    <w:rsid w:val="0053598B"/>
    <w:rsid w:val="005367D9"/>
    <w:rsid w:val="005373DB"/>
    <w:rsid w:val="00540585"/>
    <w:rsid w:val="00541009"/>
    <w:rsid w:val="005470D6"/>
    <w:rsid w:val="0054713E"/>
    <w:rsid w:val="00551D2B"/>
    <w:rsid w:val="005540B9"/>
    <w:rsid w:val="005543A8"/>
    <w:rsid w:val="00555968"/>
    <w:rsid w:val="00567053"/>
    <w:rsid w:val="00570FCD"/>
    <w:rsid w:val="00572F49"/>
    <w:rsid w:val="00575D6D"/>
    <w:rsid w:val="00584FC1"/>
    <w:rsid w:val="00586246"/>
    <w:rsid w:val="005877DC"/>
    <w:rsid w:val="005930E2"/>
    <w:rsid w:val="00593223"/>
    <w:rsid w:val="00594042"/>
    <w:rsid w:val="00595E1A"/>
    <w:rsid w:val="0059743C"/>
    <w:rsid w:val="00597852"/>
    <w:rsid w:val="005A01F1"/>
    <w:rsid w:val="005A3484"/>
    <w:rsid w:val="005A63C4"/>
    <w:rsid w:val="005B06DE"/>
    <w:rsid w:val="005B16A8"/>
    <w:rsid w:val="005B3C7E"/>
    <w:rsid w:val="005C30ED"/>
    <w:rsid w:val="005C3AA9"/>
    <w:rsid w:val="005C5093"/>
    <w:rsid w:val="005C63E8"/>
    <w:rsid w:val="005D53F8"/>
    <w:rsid w:val="005D6069"/>
    <w:rsid w:val="005E0044"/>
    <w:rsid w:val="005E0775"/>
    <w:rsid w:val="005E57D0"/>
    <w:rsid w:val="005E7B10"/>
    <w:rsid w:val="005F2041"/>
    <w:rsid w:val="005F57EA"/>
    <w:rsid w:val="005F6FCB"/>
    <w:rsid w:val="00600105"/>
    <w:rsid w:val="00600FA2"/>
    <w:rsid w:val="0060485B"/>
    <w:rsid w:val="006060CE"/>
    <w:rsid w:val="006061E1"/>
    <w:rsid w:val="00607A85"/>
    <w:rsid w:val="00611556"/>
    <w:rsid w:val="00616690"/>
    <w:rsid w:val="00623ACE"/>
    <w:rsid w:val="00624731"/>
    <w:rsid w:val="00627642"/>
    <w:rsid w:val="00630012"/>
    <w:rsid w:val="00631A2C"/>
    <w:rsid w:val="00632677"/>
    <w:rsid w:val="0063328C"/>
    <w:rsid w:val="0063688E"/>
    <w:rsid w:val="00637B33"/>
    <w:rsid w:val="00640CA0"/>
    <w:rsid w:val="0064184F"/>
    <w:rsid w:val="006432EB"/>
    <w:rsid w:val="0064482A"/>
    <w:rsid w:val="0065188A"/>
    <w:rsid w:val="00651F39"/>
    <w:rsid w:val="0065375E"/>
    <w:rsid w:val="00653775"/>
    <w:rsid w:val="00660F67"/>
    <w:rsid w:val="00666AAD"/>
    <w:rsid w:val="00666C46"/>
    <w:rsid w:val="00672C34"/>
    <w:rsid w:val="00672EA6"/>
    <w:rsid w:val="006755C8"/>
    <w:rsid w:val="006763CC"/>
    <w:rsid w:val="0068229C"/>
    <w:rsid w:val="006860D2"/>
    <w:rsid w:val="00686680"/>
    <w:rsid w:val="00686716"/>
    <w:rsid w:val="0069517B"/>
    <w:rsid w:val="00695B5E"/>
    <w:rsid w:val="006A2FD7"/>
    <w:rsid w:val="006A4CE7"/>
    <w:rsid w:val="006A6B77"/>
    <w:rsid w:val="006A6BC2"/>
    <w:rsid w:val="006A7DD3"/>
    <w:rsid w:val="006B141F"/>
    <w:rsid w:val="006B2D84"/>
    <w:rsid w:val="006B3FFE"/>
    <w:rsid w:val="006C0E97"/>
    <w:rsid w:val="006C1F56"/>
    <w:rsid w:val="006C20EF"/>
    <w:rsid w:val="006C473F"/>
    <w:rsid w:val="006D0B4F"/>
    <w:rsid w:val="006D2DA3"/>
    <w:rsid w:val="006D5C23"/>
    <w:rsid w:val="006D622A"/>
    <w:rsid w:val="006D7064"/>
    <w:rsid w:val="006E2ACE"/>
    <w:rsid w:val="006E5D31"/>
    <w:rsid w:val="006F1ACD"/>
    <w:rsid w:val="006F3D9C"/>
    <w:rsid w:val="00702F7F"/>
    <w:rsid w:val="00703539"/>
    <w:rsid w:val="00704AC8"/>
    <w:rsid w:val="007065F3"/>
    <w:rsid w:val="00706FB7"/>
    <w:rsid w:val="00713B8E"/>
    <w:rsid w:val="00715E89"/>
    <w:rsid w:val="0072031B"/>
    <w:rsid w:val="0072401E"/>
    <w:rsid w:val="007244AC"/>
    <w:rsid w:val="00725576"/>
    <w:rsid w:val="007319FD"/>
    <w:rsid w:val="0073320E"/>
    <w:rsid w:val="007410C9"/>
    <w:rsid w:val="007431AC"/>
    <w:rsid w:val="0074741A"/>
    <w:rsid w:val="00747F2B"/>
    <w:rsid w:val="007526E0"/>
    <w:rsid w:val="00763C67"/>
    <w:rsid w:val="0077096F"/>
    <w:rsid w:val="00771F15"/>
    <w:rsid w:val="00776FEC"/>
    <w:rsid w:val="007772C5"/>
    <w:rsid w:val="00777ED3"/>
    <w:rsid w:val="007845D2"/>
    <w:rsid w:val="00785261"/>
    <w:rsid w:val="007872FC"/>
    <w:rsid w:val="0079276F"/>
    <w:rsid w:val="00795CEA"/>
    <w:rsid w:val="007A35E1"/>
    <w:rsid w:val="007A38A0"/>
    <w:rsid w:val="007A49D8"/>
    <w:rsid w:val="007A5217"/>
    <w:rsid w:val="007B0256"/>
    <w:rsid w:val="007B0367"/>
    <w:rsid w:val="007B22C2"/>
    <w:rsid w:val="007C0052"/>
    <w:rsid w:val="007C47D2"/>
    <w:rsid w:val="007D1C2F"/>
    <w:rsid w:val="007D30A2"/>
    <w:rsid w:val="007D62D8"/>
    <w:rsid w:val="007E19B9"/>
    <w:rsid w:val="007E3959"/>
    <w:rsid w:val="007E3B8B"/>
    <w:rsid w:val="007E6F28"/>
    <w:rsid w:val="007F1E34"/>
    <w:rsid w:val="007F4D41"/>
    <w:rsid w:val="007F5B34"/>
    <w:rsid w:val="007F7BBC"/>
    <w:rsid w:val="0080171F"/>
    <w:rsid w:val="0080225F"/>
    <w:rsid w:val="0080363D"/>
    <w:rsid w:val="00807AA2"/>
    <w:rsid w:val="00811923"/>
    <w:rsid w:val="00815A31"/>
    <w:rsid w:val="00816CA5"/>
    <w:rsid w:val="0082036A"/>
    <w:rsid w:val="00826881"/>
    <w:rsid w:val="0083470A"/>
    <w:rsid w:val="0083663D"/>
    <w:rsid w:val="00837F4E"/>
    <w:rsid w:val="008412A9"/>
    <w:rsid w:val="0084227C"/>
    <w:rsid w:val="0084242C"/>
    <w:rsid w:val="00843259"/>
    <w:rsid w:val="00843AAA"/>
    <w:rsid w:val="008474DB"/>
    <w:rsid w:val="00850CD7"/>
    <w:rsid w:val="00853462"/>
    <w:rsid w:val="0085393C"/>
    <w:rsid w:val="00855A8E"/>
    <w:rsid w:val="008565DF"/>
    <w:rsid w:val="0085710F"/>
    <w:rsid w:val="00860675"/>
    <w:rsid w:val="00861764"/>
    <w:rsid w:val="00872519"/>
    <w:rsid w:val="00874643"/>
    <w:rsid w:val="00875521"/>
    <w:rsid w:val="0087661E"/>
    <w:rsid w:val="00876CA6"/>
    <w:rsid w:val="00877018"/>
    <w:rsid w:val="008770AD"/>
    <w:rsid w:val="00877C1D"/>
    <w:rsid w:val="00885A22"/>
    <w:rsid w:val="008916D6"/>
    <w:rsid w:val="00895819"/>
    <w:rsid w:val="008A04BA"/>
    <w:rsid w:val="008A2270"/>
    <w:rsid w:val="008A2C03"/>
    <w:rsid w:val="008A5BEE"/>
    <w:rsid w:val="008B3863"/>
    <w:rsid w:val="008C3726"/>
    <w:rsid w:val="008E0C72"/>
    <w:rsid w:val="008E203C"/>
    <w:rsid w:val="008E2F02"/>
    <w:rsid w:val="008E45EF"/>
    <w:rsid w:val="008E601C"/>
    <w:rsid w:val="008E733F"/>
    <w:rsid w:val="008F0B14"/>
    <w:rsid w:val="008F1D22"/>
    <w:rsid w:val="008F2A9A"/>
    <w:rsid w:val="008F3023"/>
    <w:rsid w:val="008F3733"/>
    <w:rsid w:val="008F721E"/>
    <w:rsid w:val="008F7666"/>
    <w:rsid w:val="009012DB"/>
    <w:rsid w:val="00911B7D"/>
    <w:rsid w:val="00915F82"/>
    <w:rsid w:val="00921FFF"/>
    <w:rsid w:val="009225F0"/>
    <w:rsid w:val="009243C3"/>
    <w:rsid w:val="00924FDF"/>
    <w:rsid w:val="009277DF"/>
    <w:rsid w:val="00931932"/>
    <w:rsid w:val="009328DD"/>
    <w:rsid w:val="00933296"/>
    <w:rsid w:val="009347E1"/>
    <w:rsid w:val="00936B04"/>
    <w:rsid w:val="00936C5B"/>
    <w:rsid w:val="00940CAB"/>
    <w:rsid w:val="00941F4A"/>
    <w:rsid w:val="009448E4"/>
    <w:rsid w:val="0094563F"/>
    <w:rsid w:val="00946384"/>
    <w:rsid w:val="00951317"/>
    <w:rsid w:val="00954635"/>
    <w:rsid w:val="00955887"/>
    <w:rsid w:val="00956BEF"/>
    <w:rsid w:val="009670C6"/>
    <w:rsid w:val="009711EA"/>
    <w:rsid w:val="00975687"/>
    <w:rsid w:val="00982BD4"/>
    <w:rsid w:val="009831CE"/>
    <w:rsid w:val="009850FF"/>
    <w:rsid w:val="00985A7C"/>
    <w:rsid w:val="00987714"/>
    <w:rsid w:val="00992A7E"/>
    <w:rsid w:val="00993339"/>
    <w:rsid w:val="00994711"/>
    <w:rsid w:val="00996D0D"/>
    <w:rsid w:val="009A4232"/>
    <w:rsid w:val="009A46CF"/>
    <w:rsid w:val="009B0682"/>
    <w:rsid w:val="009B1BAC"/>
    <w:rsid w:val="009B5AB3"/>
    <w:rsid w:val="009D2DF8"/>
    <w:rsid w:val="009D3CCB"/>
    <w:rsid w:val="009D583A"/>
    <w:rsid w:val="009E213A"/>
    <w:rsid w:val="009E31FD"/>
    <w:rsid w:val="009E3D85"/>
    <w:rsid w:val="009F0B38"/>
    <w:rsid w:val="009F2EB9"/>
    <w:rsid w:val="009F46E8"/>
    <w:rsid w:val="00A017B6"/>
    <w:rsid w:val="00A05C43"/>
    <w:rsid w:val="00A13549"/>
    <w:rsid w:val="00A17FC5"/>
    <w:rsid w:val="00A23E7E"/>
    <w:rsid w:val="00A32D62"/>
    <w:rsid w:val="00A37B6E"/>
    <w:rsid w:val="00A438DE"/>
    <w:rsid w:val="00A43E66"/>
    <w:rsid w:val="00A4462B"/>
    <w:rsid w:val="00A451DF"/>
    <w:rsid w:val="00A46367"/>
    <w:rsid w:val="00A4678A"/>
    <w:rsid w:val="00A50A61"/>
    <w:rsid w:val="00A62117"/>
    <w:rsid w:val="00A63413"/>
    <w:rsid w:val="00A72CB4"/>
    <w:rsid w:val="00A736B0"/>
    <w:rsid w:val="00A74769"/>
    <w:rsid w:val="00A77A94"/>
    <w:rsid w:val="00A80DE0"/>
    <w:rsid w:val="00A813B2"/>
    <w:rsid w:val="00A829F2"/>
    <w:rsid w:val="00A830C5"/>
    <w:rsid w:val="00A85674"/>
    <w:rsid w:val="00A865FE"/>
    <w:rsid w:val="00A970B0"/>
    <w:rsid w:val="00A977BC"/>
    <w:rsid w:val="00AA236C"/>
    <w:rsid w:val="00AA64AC"/>
    <w:rsid w:val="00AA7226"/>
    <w:rsid w:val="00AA734B"/>
    <w:rsid w:val="00AB1056"/>
    <w:rsid w:val="00AB1B09"/>
    <w:rsid w:val="00AB505E"/>
    <w:rsid w:val="00AB61D3"/>
    <w:rsid w:val="00AC0938"/>
    <w:rsid w:val="00AC101D"/>
    <w:rsid w:val="00AC11BF"/>
    <w:rsid w:val="00AC388B"/>
    <w:rsid w:val="00AC74A8"/>
    <w:rsid w:val="00AD223D"/>
    <w:rsid w:val="00AD25F5"/>
    <w:rsid w:val="00AD2B28"/>
    <w:rsid w:val="00AE153F"/>
    <w:rsid w:val="00AE6E0F"/>
    <w:rsid w:val="00AF3342"/>
    <w:rsid w:val="00B02169"/>
    <w:rsid w:val="00B02A49"/>
    <w:rsid w:val="00B10EB1"/>
    <w:rsid w:val="00B12858"/>
    <w:rsid w:val="00B1700A"/>
    <w:rsid w:val="00B17C50"/>
    <w:rsid w:val="00B20D86"/>
    <w:rsid w:val="00B2224A"/>
    <w:rsid w:val="00B2348C"/>
    <w:rsid w:val="00B246E8"/>
    <w:rsid w:val="00B24C21"/>
    <w:rsid w:val="00B25125"/>
    <w:rsid w:val="00B25AA8"/>
    <w:rsid w:val="00B31D33"/>
    <w:rsid w:val="00B31E13"/>
    <w:rsid w:val="00B3441B"/>
    <w:rsid w:val="00B37603"/>
    <w:rsid w:val="00B37790"/>
    <w:rsid w:val="00B413E1"/>
    <w:rsid w:val="00B44F9B"/>
    <w:rsid w:val="00B502BD"/>
    <w:rsid w:val="00B5226D"/>
    <w:rsid w:val="00B54889"/>
    <w:rsid w:val="00B612B9"/>
    <w:rsid w:val="00B6147F"/>
    <w:rsid w:val="00B615F8"/>
    <w:rsid w:val="00B670BC"/>
    <w:rsid w:val="00B71EDF"/>
    <w:rsid w:val="00B74D51"/>
    <w:rsid w:val="00B772ED"/>
    <w:rsid w:val="00B77FDC"/>
    <w:rsid w:val="00B820CD"/>
    <w:rsid w:val="00B85379"/>
    <w:rsid w:val="00B85607"/>
    <w:rsid w:val="00B9187D"/>
    <w:rsid w:val="00B95E82"/>
    <w:rsid w:val="00B96368"/>
    <w:rsid w:val="00B97033"/>
    <w:rsid w:val="00BA2DB9"/>
    <w:rsid w:val="00BA3142"/>
    <w:rsid w:val="00BA68A1"/>
    <w:rsid w:val="00BA6A09"/>
    <w:rsid w:val="00BB03A8"/>
    <w:rsid w:val="00BB3118"/>
    <w:rsid w:val="00BC04D2"/>
    <w:rsid w:val="00BC0A30"/>
    <w:rsid w:val="00BC6ADE"/>
    <w:rsid w:val="00BC6C1C"/>
    <w:rsid w:val="00BC7320"/>
    <w:rsid w:val="00BC79CD"/>
    <w:rsid w:val="00BD2884"/>
    <w:rsid w:val="00BE0198"/>
    <w:rsid w:val="00BE3CB9"/>
    <w:rsid w:val="00BE5DC7"/>
    <w:rsid w:val="00BE7148"/>
    <w:rsid w:val="00BF178D"/>
    <w:rsid w:val="00BF3435"/>
    <w:rsid w:val="00C023C1"/>
    <w:rsid w:val="00C027B8"/>
    <w:rsid w:val="00C02E75"/>
    <w:rsid w:val="00C03305"/>
    <w:rsid w:val="00C03D84"/>
    <w:rsid w:val="00C079CB"/>
    <w:rsid w:val="00C102DF"/>
    <w:rsid w:val="00C175D2"/>
    <w:rsid w:val="00C22B37"/>
    <w:rsid w:val="00C263A2"/>
    <w:rsid w:val="00C3117B"/>
    <w:rsid w:val="00C329CD"/>
    <w:rsid w:val="00C360AD"/>
    <w:rsid w:val="00C36523"/>
    <w:rsid w:val="00C36663"/>
    <w:rsid w:val="00C4058D"/>
    <w:rsid w:val="00C433F5"/>
    <w:rsid w:val="00C438A6"/>
    <w:rsid w:val="00C4506F"/>
    <w:rsid w:val="00C474F5"/>
    <w:rsid w:val="00C55DE7"/>
    <w:rsid w:val="00C57001"/>
    <w:rsid w:val="00C6041A"/>
    <w:rsid w:val="00C66C13"/>
    <w:rsid w:val="00C70942"/>
    <w:rsid w:val="00C714FE"/>
    <w:rsid w:val="00C73EA8"/>
    <w:rsid w:val="00C73F02"/>
    <w:rsid w:val="00C74C89"/>
    <w:rsid w:val="00C757AD"/>
    <w:rsid w:val="00C76B3D"/>
    <w:rsid w:val="00C829E9"/>
    <w:rsid w:val="00C82B6C"/>
    <w:rsid w:val="00C84851"/>
    <w:rsid w:val="00C86B6A"/>
    <w:rsid w:val="00C9191B"/>
    <w:rsid w:val="00C91AD8"/>
    <w:rsid w:val="00C946E1"/>
    <w:rsid w:val="00C959C3"/>
    <w:rsid w:val="00C97A15"/>
    <w:rsid w:val="00CA5D88"/>
    <w:rsid w:val="00CB0ED6"/>
    <w:rsid w:val="00CB1058"/>
    <w:rsid w:val="00CB3627"/>
    <w:rsid w:val="00CB49F9"/>
    <w:rsid w:val="00CB718C"/>
    <w:rsid w:val="00CB74B3"/>
    <w:rsid w:val="00CC511C"/>
    <w:rsid w:val="00CD5FF6"/>
    <w:rsid w:val="00CE0755"/>
    <w:rsid w:val="00CE1CB4"/>
    <w:rsid w:val="00CE72D4"/>
    <w:rsid w:val="00CF3780"/>
    <w:rsid w:val="00CF46FA"/>
    <w:rsid w:val="00CF72DE"/>
    <w:rsid w:val="00D021A0"/>
    <w:rsid w:val="00D05475"/>
    <w:rsid w:val="00D07417"/>
    <w:rsid w:val="00D07FDB"/>
    <w:rsid w:val="00D1017E"/>
    <w:rsid w:val="00D10640"/>
    <w:rsid w:val="00D108D9"/>
    <w:rsid w:val="00D14FDD"/>
    <w:rsid w:val="00D15931"/>
    <w:rsid w:val="00D16D69"/>
    <w:rsid w:val="00D17BA4"/>
    <w:rsid w:val="00D22A8A"/>
    <w:rsid w:val="00D238AA"/>
    <w:rsid w:val="00D25831"/>
    <w:rsid w:val="00D33E12"/>
    <w:rsid w:val="00D379EA"/>
    <w:rsid w:val="00D40593"/>
    <w:rsid w:val="00D408DC"/>
    <w:rsid w:val="00D46B4B"/>
    <w:rsid w:val="00D5577C"/>
    <w:rsid w:val="00D565AC"/>
    <w:rsid w:val="00D707E8"/>
    <w:rsid w:val="00D71C54"/>
    <w:rsid w:val="00D7696D"/>
    <w:rsid w:val="00D811D8"/>
    <w:rsid w:val="00D82443"/>
    <w:rsid w:val="00D86E50"/>
    <w:rsid w:val="00D90D3C"/>
    <w:rsid w:val="00D95AB7"/>
    <w:rsid w:val="00D9652A"/>
    <w:rsid w:val="00D97215"/>
    <w:rsid w:val="00DA1124"/>
    <w:rsid w:val="00DA33DB"/>
    <w:rsid w:val="00DA7B4A"/>
    <w:rsid w:val="00DB1519"/>
    <w:rsid w:val="00DB33E4"/>
    <w:rsid w:val="00DB503B"/>
    <w:rsid w:val="00DC2C48"/>
    <w:rsid w:val="00DC3BCE"/>
    <w:rsid w:val="00DC61A0"/>
    <w:rsid w:val="00DD0F36"/>
    <w:rsid w:val="00DD5554"/>
    <w:rsid w:val="00DD62A2"/>
    <w:rsid w:val="00DD7ACE"/>
    <w:rsid w:val="00DE14D1"/>
    <w:rsid w:val="00DE225D"/>
    <w:rsid w:val="00DE6661"/>
    <w:rsid w:val="00DF0214"/>
    <w:rsid w:val="00DF082B"/>
    <w:rsid w:val="00DF1D31"/>
    <w:rsid w:val="00DF2AFB"/>
    <w:rsid w:val="00DF2F2F"/>
    <w:rsid w:val="00E02555"/>
    <w:rsid w:val="00E052D7"/>
    <w:rsid w:val="00E07CF5"/>
    <w:rsid w:val="00E10AD5"/>
    <w:rsid w:val="00E13FF1"/>
    <w:rsid w:val="00E15CF4"/>
    <w:rsid w:val="00E17E31"/>
    <w:rsid w:val="00E21D92"/>
    <w:rsid w:val="00E2261C"/>
    <w:rsid w:val="00E2652A"/>
    <w:rsid w:val="00E30C3C"/>
    <w:rsid w:val="00E33FF2"/>
    <w:rsid w:val="00E34587"/>
    <w:rsid w:val="00E36225"/>
    <w:rsid w:val="00E41170"/>
    <w:rsid w:val="00E41ED7"/>
    <w:rsid w:val="00E51EF1"/>
    <w:rsid w:val="00E55254"/>
    <w:rsid w:val="00E55B88"/>
    <w:rsid w:val="00E5720E"/>
    <w:rsid w:val="00E622BF"/>
    <w:rsid w:val="00E643E0"/>
    <w:rsid w:val="00E708BB"/>
    <w:rsid w:val="00E724F8"/>
    <w:rsid w:val="00E761A2"/>
    <w:rsid w:val="00E820E7"/>
    <w:rsid w:val="00E8236B"/>
    <w:rsid w:val="00E82B90"/>
    <w:rsid w:val="00E82BDA"/>
    <w:rsid w:val="00E84FC3"/>
    <w:rsid w:val="00E858A7"/>
    <w:rsid w:val="00E85DE3"/>
    <w:rsid w:val="00E91560"/>
    <w:rsid w:val="00E9285A"/>
    <w:rsid w:val="00E956B6"/>
    <w:rsid w:val="00E96562"/>
    <w:rsid w:val="00E97AB2"/>
    <w:rsid w:val="00EA0B3D"/>
    <w:rsid w:val="00EA3696"/>
    <w:rsid w:val="00EA36C0"/>
    <w:rsid w:val="00EA550A"/>
    <w:rsid w:val="00EA66F0"/>
    <w:rsid w:val="00EA6DCF"/>
    <w:rsid w:val="00EB01E4"/>
    <w:rsid w:val="00EB2921"/>
    <w:rsid w:val="00EB6DDE"/>
    <w:rsid w:val="00EC4D83"/>
    <w:rsid w:val="00EC5C3C"/>
    <w:rsid w:val="00EC5CCB"/>
    <w:rsid w:val="00EC7691"/>
    <w:rsid w:val="00ED06AA"/>
    <w:rsid w:val="00ED492B"/>
    <w:rsid w:val="00EE29BD"/>
    <w:rsid w:val="00EE343A"/>
    <w:rsid w:val="00EE35C2"/>
    <w:rsid w:val="00EE3834"/>
    <w:rsid w:val="00EE4ED7"/>
    <w:rsid w:val="00EE67D9"/>
    <w:rsid w:val="00EF0862"/>
    <w:rsid w:val="00EF41C8"/>
    <w:rsid w:val="00EF7BAD"/>
    <w:rsid w:val="00F00433"/>
    <w:rsid w:val="00F01DAB"/>
    <w:rsid w:val="00F022D0"/>
    <w:rsid w:val="00F07018"/>
    <w:rsid w:val="00F07529"/>
    <w:rsid w:val="00F07A34"/>
    <w:rsid w:val="00F07B9E"/>
    <w:rsid w:val="00F07D2D"/>
    <w:rsid w:val="00F07ED1"/>
    <w:rsid w:val="00F124B0"/>
    <w:rsid w:val="00F148C2"/>
    <w:rsid w:val="00F14F00"/>
    <w:rsid w:val="00F150E3"/>
    <w:rsid w:val="00F212CF"/>
    <w:rsid w:val="00F23BE0"/>
    <w:rsid w:val="00F30908"/>
    <w:rsid w:val="00F342AC"/>
    <w:rsid w:val="00F40FF2"/>
    <w:rsid w:val="00F42254"/>
    <w:rsid w:val="00F45AFB"/>
    <w:rsid w:val="00F527A1"/>
    <w:rsid w:val="00F52D2A"/>
    <w:rsid w:val="00F55ACE"/>
    <w:rsid w:val="00F609FE"/>
    <w:rsid w:val="00F61CC1"/>
    <w:rsid w:val="00F643C4"/>
    <w:rsid w:val="00F76D21"/>
    <w:rsid w:val="00F779E0"/>
    <w:rsid w:val="00F77E67"/>
    <w:rsid w:val="00F85669"/>
    <w:rsid w:val="00F86311"/>
    <w:rsid w:val="00F91A54"/>
    <w:rsid w:val="00FA1012"/>
    <w:rsid w:val="00FA1EE9"/>
    <w:rsid w:val="00FA6848"/>
    <w:rsid w:val="00FA6AA0"/>
    <w:rsid w:val="00FA6FC0"/>
    <w:rsid w:val="00FA71D9"/>
    <w:rsid w:val="00FB12F1"/>
    <w:rsid w:val="00FB4648"/>
    <w:rsid w:val="00FB632F"/>
    <w:rsid w:val="00FC0D53"/>
    <w:rsid w:val="00FC143A"/>
    <w:rsid w:val="00FE0DF3"/>
    <w:rsid w:val="00FE0E32"/>
    <w:rsid w:val="00FE1F16"/>
    <w:rsid w:val="00FE4ED3"/>
    <w:rsid w:val="00FE6C20"/>
    <w:rsid w:val="00FE7022"/>
    <w:rsid w:val="00FF6971"/>
    <w:rsid w:val="00FF7D7F"/>
    <w:rsid w:val="039F0223"/>
    <w:rsid w:val="05943610"/>
    <w:rsid w:val="0619D8F1"/>
    <w:rsid w:val="087E2D5E"/>
    <w:rsid w:val="12F3B709"/>
    <w:rsid w:val="1B012E0C"/>
    <w:rsid w:val="1D971A7C"/>
    <w:rsid w:val="320EF9B3"/>
    <w:rsid w:val="3BEA8F58"/>
    <w:rsid w:val="4D81EBEC"/>
    <w:rsid w:val="51BD44B4"/>
    <w:rsid w:val="544C0DBF"/>
    <w:rsid w:val="54F4E576"/>
    <w:rsid w:val="5E887FFC"/>
    <w:rsid w:val="691D4498"/>
    <w:rsid w:val="6C54E55A"/>
    <w:rsid w:val="76ABC294"/>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FDFB894"/>
  <w14:defaultImageDpi w14:val="32767"/>
  <w15:docId w15:val="{5E7BED41-BB74-46C1-889F-E1548086D2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AU" w:eastAsia="en-US" w:bidi="ar-SA"/>
      </w:rPr>
    </w:rPrDefault>
    <w:pPrDefault>
      <w:pPr>
        <w:spacing w:after="240" w:line="300"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2" w:unhideWhenUsed="1" w:qFormat="1"/>
    <w:lsdException w:name="heading 4" w:semiHidden="1" w:uiPriority="0" w:unhideWhenUsed="1" w:qFormat="1"/>
    <w:lsdException w:name="heading 5" w:semiHidden="1" w:uiPriority="2" w:unhideWhenUsed="1" w:qFormat="1"/>
    <w:lsdException w:name="heading 6" w:semiHidden="1" w:uiPriority="2" w:unhideWhenUsed="1"/>
    <w:lsdException w:name="heading 7" w:semiHidden="1" w:uiPriority="10" w:unhideWhenUsed="1"/>
    <w:lsdException w:name="heading 8" w:semiHidden="1" w:uiPriority="10" w:unhideWhenUsed="1"/>
    <w:lsdException w:name="heading 9" w:semiHidden="1" w:uiPriority="1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qFormat="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9"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lsdException w:name="Intense Emphasis" w:uiPriority="21" w:qFormat="1"/>
    <w:lsdException w:name="Subtle Reference" w:semiHidden="1" w:uiPriority="31" w:unhideWhenUsed="1" w:qFormat="1"/>
    <w:lsdException w:name="Intense Reference" w:semiHidden="1" w:uiPriority="32" w:unhideWhenUsed="1" w:qFormat="1"/>
    <w:lsdException w:name="Book Title" w:semiHidden="1" w:uiPriority="33" w:unhideWhenUsed="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9517B"/>
    <w:pPr>
      <w:spacing w:after="200"/>
    </w:pPr>
    <w:rPr>
      <w:rFonts w:ascii="Calibri" w:hAnsi="Calibri"/>
      <w:spacing w:val="3"/>
      <w:sz w:val="22"/>
    </w:rPr>
  </w:style>
  <w:style w:type="paragraph" w:styleId="Heading1">
    <w:name w:val="heading 1"/>
    <w:basedOn w:val="Normal"/>
    <w:next w:val="Normal"/>
    <w:link w:val="Heading1Char"/>
    <w:qFormat/>
    <w:rsid w:val="006E5D31"/>
    <w:pPr>
      <w:spacing w:before="360" w:after="240" w:line="240" w:lineRule="auto"/>
      <w:contextualSpacing/>
      <w:outlineLvl w:val="0"/>
    </w:pPr>
    <w:rPr>
      <w:rFonts w:ascii="Lora" w:eastAsiaTheme="majorEastAsia" w:hAnsi="Lora" w:cstheme="majorBidi"/>
      <w:bCs/>
      <w:sz w:val="64"/>
      <w:szCs w:val="28"/>
    </w:rPr>
  </w:style>
  <w:style w:type="paragraph" w:styleId="Heading2">
    <w:name w:val="heading 2"/>
    <w:basedOn w:val="Normal"/>
    <w:next w:val="Normal"/>
    <w:link w:val="Heading2Char"/>
    <w:qFormat/>
    <w:rsid w:val="008F0B14"/>
    <w:pPr>
      <w:spacing w:before="240" w:after="120" w:line="240" w:lineRule="auto"/>
      <w:outlineLvl w:val="1"/>
    </w:pPr>
    <w:rPr>
      <w:rFonts w:eastAsiaTheme="majorEastAsia" w:cstheme="majorBidi"/>
      <w:b/>
      <w:bCs/>
      <w:color w:val="002A3F" w:themeColor="accent2"/>
      <w:sz w:val="40"/>
      <w:szCs w:val="26"/>
    </w:rPr>
  </w:style>
  <w:style w:type="paragraph" w:styleId="Heading3">
    <w:name w:val="heading 3"/>
    <w:basedOn w:val="Normal"/>
    <w:next w:val="Normal"/>
    <w:link w:val="Heading3Char"/>
    <w:uiPriority w:val="2"/>
    <w:qFormat/>
    <w:rsid w:val="008F0B14"/>
    <w:pPr>
      <w:spacing w:before="200" w:after="0" w:line="271" w:lineRule="auto"/>
      <w:outlineLvl w:val="2"/>
    </w:pPr>
    <w:rPr>
      <w:rFonts w:eastAsiaTheme="majorEastAsia" w:cstheme="majorBidi"/>
      <w:bCs/>
      <w:color w:val="002A3F" w:themeColor="accent2"/>
      <w:sz w:val="36"/>
    </w:rPr>
  </w:style>
  <w:style w:type="paragraph" w:styleId="Heading4">
    <w:name w:val="heading 4"/>
    <w:basedOn w:val="Normal"/>
    <w:next w:val="Normal"/>
    <w:link w:val="Heading4Char"/>
    <w:qFormat/>
    <w:rsid w:val="008F0B14"/>
    <w:pPr>
      <w:spacing w:before="200" w:after="0"/>
      <w:outlineLvl w:val="3"/>
    </w:pPr>
    <w:rPr>
      <w:rFonts w:eastAsiaTheme="majorEastAsia" w:cstheme="majorBidi"/>
      <w:bCs/>
      <w:iCs/>
      <w:color w:val="002A3F" w:themeColor="accent2"/>
      <w:sz w:val="32"/>
    </w:rPr>
  </w:style>
  <w:style w:type="paragraph" w:styleId="Heading5">
    <w:name w:val="heading 5"/>
    <w:basedOn w:val="Normal"/>
    <w:next w:val="Normal"/>
    <w:link w:val="Heading5Char"/>
    <w:uiPriority w:val="2"/>
    <w:unhideWhenUsed/>
    <w:qFormat/>
    <w:rsid w:val="008F0B14"/>
    <w:pPr>
      <w:spacing w:before="200" w:after="0"/>
      <w:outlineLvl w:val="4"/>
    </w:pPr>
    <w:rPr>
      <w:rFonts w:eastAsiaTheme="majorEastAsia" w:cstheme="majorBidi"/>
      <w:b/>
      <w:bCs/>
      <w:color w:val="000000" w:themeColor="text1"/>
      <w:sz w:val="28"/>
    </w:rPr>
  </w:style>
  <w:style w:type="paragraph" w:styleId="Heading6">
    <w:name w:val="heading 6"/>
    <w:basedOn w:val="Normal"/>
    <w:next w:val="Normal"/>
    <w:link w:val="Heading6Char"/>
    <w:uiPriority w:val="2"/>
    <w:unhideWhenUsed/>
    <w:rsid w:val="004E7DC4"/>
    <w:pPr>
      <w:spacing w:after="0" w:line="271" w:lineRule="auto"/>
      <w:outlineLvl w:val="5"/>
    </w:pPr>
    <w:rPr>
      <w:rFonts w:eastAsiaTheme="majorEastAsia" w:cstheme="majorBidi"/>
      <w:b/>
      <w:bCs/>
      <w:iCs/>
      <w:color w:val="000000" w:themeColor="text1"/>
      <w:sz w:val="20"/>
    </w:rPr>
  </w:style>
  <w:style w:type="paragraph" w:styleId="Heading7">
    <w:name w:val="heading 7"/>
    <w:basedOn w:val="Normal"/>
    <w:next w:val="Normal"/>
    <w:link w:val="Heading7Char"/>
    <w:uiPriority w:val="10"/>
    <w:unhideWhenUsed/>
    <w:rsid w:val="00450DE1"/>
    <w:pPr>
      <w:spacing w:after="0"/>
      <w:outlineLvl w:val="6"/>
    </w:pPr>
    <w:rPr>
      <w:rFonts w:eastAsiaTheme="majorEastAsia" w:cstheme="majorBidi"/>
      <w:iCs/>
    </w:rPr>
  </w:style>
  <w:style w:type="paragraph" w:styleId="Heading8">
    <w:name w:val="heading 8"/>
    <w:basedOn w:val="Normal"/>
    <w:next w:val="Normal"/>
    <w:link w:val="Heading8Char"/>
    <w:uiPriority w:val="10"/>
    <w:unhideWhenUsed/>
    <w:rsid w:val="00450DE1"/>
    <w:pPr>
      <w:spacing w:after="0"/>
      <w:outlineLvl w:val="7"/>
    </w:pPr>
    <w:rPr>
      <w:rFonts w:eastAsiaTheme="majorEastAsia" w:cstheme="majorBidi"/>
      <w:szCs w:val="20"/>
    </w:rPr>
  </w:style>
  <w:style w:type="paragraph" w:styleId="Heading9">
    <w:name w:val="heading 9"/>
    <w:basedOn w:val="Normal"/>
    <w:next w:val="Normal"/>
    <w:link w:val="Heading9Char"/>
    <w:uiPriority w:val="10"/>
    <w:unhideWhenUsed/>
    <w:rsid w:val="00450DE1"/>
    <w:pPr>
      <w:spacing w:after="0"/>
      <w:outlineLvl w:val="8"/>
    </w:pPr>
    <w:rPr>
      <w:rFonts w:eastAsiaTheme="majorEastAsia" w:cstheme="majorBidi"/>
      <w:iCs/>
      <w:spacing w:val="5"/>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E5D31"/>
    <w:rPr>
      <w:rFonts w:ascii="Lora" w:eastAsiaTheme="majorEastAsia" w:hAnsi="Lora" w:cstheme="majorBidi"/>
      <w:bCs/>
      <w:spacing w:val="3"/>
      <w:sz w:val="64"/>
      <w:szCs w:val="28"/>
    </w:rPr>
  </w:style>
  <w:style w:type="character" w:customStyle="1" w:styleId="Heading2Char">
    <w:name w:val="Heading 2 Char"/>
    <w:basedOn w:val="DefaultParagraphFont"/>
    <w:link w:val="Heading2"/>
    <w:uiPriority w:val="2"/>
    <w:rsid w:val="008F0B14"/>
    <w:rPr>
      <w:rFonts w:ascii="Calibri" w:eastAsiaTheme="majorEastAsia" w:hAnsi="Calibri" w:cstheme="majorBidi"/>
      <w:b/>
      <w:bCs/>
      <w:color w:val="002A3F" w:themeColor="accent2"/>
      <w:spacing w:val="3"/>
      <w:sz w:val="40"/>
      <w:szCs w:val="26"/>
    </w:rPr>
  </w:style>
  <w:style w:type="paragraph" w:styleId="BalloonText">
    <w:name w:val="Balloon Text"/>
    <w:basedOn w:val="Normal"/>
    <w:link w:val="BalloonTextChar"/>
    <w:semiHidden/>
    <w:unhideWhenUsed/>
    <w:rsid w:val="00450DE1"/>
    <w:pPr>
      <w:spacing w:after="0" w:line="240" w:lineRule="auto"/>
    </w:pPr>
    <w:rPr>
      <w:rFonts w:ascii="Tahoma" w:hAnsi="Tahoma" w:cs="Tahoma"/>
      <w:sz w:val="16"/>
      <w:szCs w:val="16"/>
    </w:rPr>
  </w:style>
  <w:style w:type="character" w:customStyle="1" w:styleId="Heading3Char">
    <w:name w:val="Heading 3 Char"/>
    <w:basedOn w:val="DefaultParagraphFont"/>
    <w:link w:val="Heading3"/>
    <w:uiPriority w:val="2"/>
    <w:rsid w:val="008F0B14"/>
    <w:rPr>
      <w:rFonts w:ascii="Calibri" w:eastAsiaTheme="majorEastAsia" w:hAnsi="Calibri" w:cstheme="majorBidi"/>
      <w:bCs/>
      <w:color w:val="002A3F" w:themeColor="accent2"/>
      <w:spacing w:val="3"/>
      <w:sz w:val="36"/>
    </w:rPr>
  </w:style>
  <w:style w:type="character" w:customStyle="1" w:styleId="Heading4Char">
    <w:name w:val="Heading 4 Char"/>
    <w:basedOn w:val="DefaultParagraphFont"/>
    <w:link w:val="Heading4"/>
    <w:rsid w:val="008F0B14"/>
    <w:rPr>
      <w:rFonts w:ascii="Calibri" w:eastAsiaTheme="majorEastAsia" w:hAnsi="Calibri" w:cstheme="majorBidi"/>
      <w:bCs/>
      <w:iCs/>
      <w:color w:val="002A3F" w:themeColor="accent2"/>
      <w:spacing w:val="3"/>
      <w:sz w:val="32"/>
    </w:rPr>
  </w:style>
  <w:style w:type="character" w:customStyle="1" w:styleId="Heading5Char">
    <w:name w:val="Heading 5 Char"/>
    <w:basedOn w:val="DefaultParagraphFont"/>
    <w:link w:val="Heading5"/>
    <w:uiPriority w:val="2"/>
    <w:rsid w:val="008F0B14"/>
    <w:rPr>
      <w:rFonts w:ascii="Calibri" w:eastAsiaTheme="majorEastAsia" w:hAnsi="Calibri" w:cstheme="majorBidi"/>
      <w:b/>
      <w:bCs/>
      <w:color w:val="000000" w:themeColor="text1"/>
      <w:spacing w:val="3"/>
      <w:sz w:val="28"/>
    </w:rPr>
  </w:style>
  <w:style w:type="character" w:customStyle="1" w:styleId="Heading6Char">
    <w:name w:val="Heading 6 Char"/>
    <w:basedOn w:val="DefaultParagraphFont"/>
    <w:link w:val="Heading6"/>
    <w:uiPriority w:val="2"/>
    <w:rsid w:val="004E7DC4"/>
    <w:rPr>
      <w:rFonts w:ascii="Calibri" w:eastAsiaTheme="majorEastAsia" w:hAnsi="Calibri" w:cstheme="majorBidi"/>
      <w:b/>
      <w:bCs/>
      <w:iCs/>
      <w:color w:val="000000" w:themeColor="text1"/>
      <w:spacing w:val="3"/>
      <w:sz w:val="20"/>
    </w:rPr>
  </w:style>
  <w:style w:type="character" w:customStyle="1" w:styleId="Heading7Char">
    <w:name w:val="Heading 7 Char"/>
    <w:basedOn w:val="DefaultParagraphFont"/>
    <w:link w:val="Heading7"/>
    <w:uiPriority w:val="10"/>
    <w:rsid w:val="00450DE1"/>
    <w:rPr>
      <w:rFonts w:eastAsiaTheme="majorEastAsia" w:cstheme="majorBidi"/>
      <w:iCs/>
      <w:spacing w:val="3"/>
      <w:sz w:val="22"/>
    </w:rPr>
  </w:style>
  <w:style w:type="character" w:customStyle="1" w:styleId="Heading8Char">
    <w:name w:val="Heading 8 Char"/>
    <w:basedOn w:val="DefaultParagraphFont"/>
    <w:link w:val="Heading8"/>
    <w:uiPriority w:val="10"/>
    <w:rsid w:val="00450DE1"/>
    <w:rPr>
      <w:rFonts w:eastAsiaTheme="majorEastAsia" w:cstheme="majorBidi"/>
      <w:spacing w:val="3"/>
      <w:sz w:val="22"/>
      <w:szCs w:val="20"/>
    </w:rPr>
  </w:style>
  <w:style w:type="character" w:customStyle="1" w:styleId="Heading9Char">
    <w:name w:val="Heading 9 Char"/>
    <w:basedOn w:val="DefaultParagraphFont"/>
    <w:link w:val="Heading9"/>
    <w:uiPriority w:val="10"/>
    <w:rsid w:val="00450DE1"/>
    <w:rPr>
      <w:rFonts w:eastAsiaTheme="majorEastAsia" w:cstheme="majorBidi"/>
      <w:iCs/>
      <w:spacing w:val="5"/>
      <w:sz w:val="22"/>
      <w:szCs w:val="20"/>
    </w:rPr>
  </w:style>
  <w:style w:type="character" w:customStyle="1" w:styleId="BalloonTextChar">
    <w:name w:val="Balloon Text Char"/>
    <w:basedOn w:val="DefaultParagraphFont"/>
    <w:link w:val="BalloonText"/>
    <w:uiPriority w:val="99"/>
    <w:semiHidden/>
    <w:rsid w:val="00450DE1"/>
    <w:rPr>
      <w:rFonts w:ascii="Tahoma" w:hAnsi="Tahoma" w:cs="Tahoma"/>
      <w:spacing w:val="3"/>
      <w:sz w:val="16"/>
      <w:szCs w:val="16"/>
    </w:rPr>
  </w:style>
  <w:style w:type="numbering" w:customStyle="1" w:styleId="BulletsList">
    <w:name w:val="Bullets List"/>
    <w:uiPriority w:val="99"/>
    <w:rsid w:val="00450DE1"/>
    <w:pPr>
      <w:numPr>
        <w:numId w:val="1"/>
      </w:numPr>
    </w:pPr>
  </w:style>
  <w:style w:type="paragraph" w:styleId="Caption">
    <w:name w:val="caption"/>
    <w:aliases w:val="Caption Table title"/>
    <w:basedOn w:val="Normal"/>
    <w:next w:val="Normal"/>
    <w:uiPriority w:val="35"/>
    <w:unhideWhenUsed/>
    <w:qFormat/>
    <w:rsid w:val="00450DE1"/>
    <w:pPr>
      <w:spacing w:before="360" w:after="120" w:line="240" w:lineRule="atLeast"/>
    </w:pPr>
    <w:rPr>
      <w:b/>
      <w:bCs/>
      <w:szCs w:val="18"/>
    </w:rPr>
  </w:style>
  <w:style w:type="paragraph" w:customStyle="1" w:styleId="Horizontalrule">
    <w:name w:val="Horizontal rule"/>
    <w:basedOn w:val="Normal"/>
    <w:uiPriority w:val="4"/>
    <w:semiHidden/>
    <w:qFormat/>
    <w:rsid w:val="00450DE1"/>
    <w:pPr>
      <w:pBdr>
        <w:bottom w:val="single" w:sz="24" w:space="1" w:color="55246C" w:themeColor="accent1"/>
      </w:pBdr>
      <w:spacing w:after="0" w:line="240" w:lineRule="auto"/>
    </w:pPr>
    <w:rPr>
      <w:noProof/>
    </w:rPr>
  </w:style>
  <w:style w:type="paragraph" w:customStyle="1" w:styleId="Crestwithrule">
    <w:name w:val="Crest with rule"/>
    <w:basedOn w:val="Horizontalrule"/>
    <w:uiPriority w:val="99"/>
    <w:rsid w:val="00450DE1"/>
    <w:pPr>
      <w:pBdr>
        <w:bottom w:val="single" w:sz="24" w:space="1" w:color="002A3F" w:themeColor="accent2"/>
      </w:pBdr>
      <w:ind w:right="-425" w:hanging="284"/>
    </w:pPr>
  </w:style>
  <w:style w:type="table" w:customStyle="1" w:styleId="DSSDatatablestyle">
    <w:name w:val="DSS Data table style"/>
    <w:basedOn w:val="TableNormal"/>
    <w:uiPriority w:val="99"/>
    <w:rsid w:val="008E203C"/>
    <w:pPr>
      <w:spacing w:after="0" w:line="240" w:lineRule="auto"/>
    </w:pPr>
    <w:rPr>
      <w:color w:val="000000" w:themeColor="text1"/>
      <w:sz w:val="22"/>
    </w:rPr>
    <w:tblPr>
      <w:tblStyleRowBandSize w:val="1"/>
      <w:tblStyleColBandSize w:val="1"/>
      <w:tblCellMar>
        <w:top w:w="80" w:type="dxa"/>
        <w:left w:w="80" w:type="dxa"/>
        <w:bottom w:w="80" w:type="dxa"/>
        <w:right w:w="80" w:type="dxa"/>
      </w:tblCellMar>
    </w:tblPr>
    <w:tcPr>
      <w:shd w:val="clear" w:color="auto" w:fill="auto"/>
    </w:tcPr>
    <w:tblStylePr w:type="firstRow">
      <w:pPr>
        <w:wordWrap/>
        <w:spacing w:beforeLines="0" w:before="0" w:beforeAutospacing="0" w:afterLines="0" w:after="0" w:afterAutospacing="0" w:line="240" w:lineRule="auto"/>
        <w:jc w:val="left"/>
      </w:pPr>
      <w:rPr>
        <w:rFonts w:asciiTheme="minorHAnsi" w:hAnsiTheme="minorHAnsi"/>
        <w:b/>
        <w:i w:val="0"/>
        <w:color w:val="FFFFFF" w:themeColor="background1"/>
        <w:sz w:val="22"/>
        <w:u w:val="none"/>
      </w:rPr>
      <w:tblPr/>
      <w:tcPr>
        <w:shd w:val="clear" w:color="auto" w:fill="55246C" w:themeFill="accent1"/>
      </w:tcPr>
    </w:tblStylePr>
    <w:tblStylePr w:type="lastRow">
      <w:pPr>
        <w:jc w:val="left"/>
      </w:pPr>
      <w:rPr>
        <w:rFonts w:asciiTheme="minorHAnsi" w:hAnsiTheme="minorHAnsi"/>
        <w:b/>
        <w:sz w:val="22"/>
        <w:u w:val="none"/>
      </w:rPr>
      <w:tblPr/>
      <w:tcPr>
        <w:tcBorders>
          <w:top w:val="single" w:sz="4" w:space="0" w:color="0E2841" w:themeColor="text2"/>
        </w:tcBorders>
        <w:shd w:val="clear" w:color="auto" w:fill="FFFFFF" w:themeFill="background1"/>
      </w:tcPr>
    </w:tblStylePr>
    <w:tblStylePr w:type="firstCol">
      <w:rPr>
        <w:b/>
      </w:rPr>
    </w:tblStylePr>
    <w:tblStylePr w:type="lastCol">
      <w:rPr>
        <w:b/>
      </w:rPr>
      <w:tblPr/>
      <w:tcPr>
        <w:tcBorders>
          <w:left w:val="single" w:sz="4" w:space="0" w:color="auto"/>
        </w:tcBorders>
        <w:shd w:val="clear" w:color="auto" w:fill="auto"/>
      </w:tcPr>
    </w:tblStylePr>
    <w:tblStylePr w:type="band2Vert">
      <w:tblPr/>
      <w:tcPr>
        <w:shd w:val="clear" w:color="auto" w:fill="E8E8E8" w:themeFill="background2"/>
      </w:tcPr>
    </w:tblStylePr>
    <w:tblStylePr w:type="band1Horz">
      <w:pPr>
        <w:jc w:val="left"/>
      </w:pPr>
    </w:tblStylePr>
    <w:tblStylePr w:type="band2Horz">
      <w:pPr>
        <w:jc w:val="left"/>
      </w:pPr>
      <w:rPr>
        <w:rFonts w:asciiTheme="minorHAnsi" w:hAnsiTheme="minorHAnsi"/>
        <w:sz w:val="22"/>
      </w:rPr>
      <w:tblPr/>
      <w:tcPr>
        <w:shd w:val="clear" w:color="auto" w:fill="F2F2F2" w:themeFill="background1" w:themeFillShade="F2"/>
      </w:tcPr>
    </w:tblStylePr>
  </w:style>
  <w:style w:type="table" w:customStyle="1" w:styleId="DSSTableStyleB">
    <w:name w:val="DSS Table Style B"/>
    <w:basedOn w:val="TableNormal"/>
    <w:uiPriority w:val="99"/>
    <w:rsid w:val="008E203C"/>
    <w:pPr>
      <w:spacing w:after="0" w:line="240" w:lineRule="auto"/>
    </w:pPr>
    <w:rPr>
      <w:sz w:val="22"/>
    </w:rPr>
    <w:tblPr>
      <w:tblStyleRowBandSize w:val="1"/>
      <w:tblStyleColBandSize w:val="1"/>
      <w:tblCellMar>
        <w:top w:w="80" w:type="dxa"/>
        <w:left w:w="80" w:type="dxa"/>
        <w:bottom w:w="80" w:type="dxa"/>
        <w:right w:w="80" w:type="dxa"/>
      </w:tblCellMar>
    </w:tblPr>
    <w:tblStylePr w:type="firstRow">
      <w:pPr>
        <w:jc w:val="left"/>
      </w:pPr>
      <w:rPr>
        <w:rFonts w:asciiTheme="minorHAnsi" w:hAnsiTheme="minorHAnsi"/>
        <w:b/>
        <w:color w:val="000000" w:themeColor="text1"/>
        <w:sz w:val="22"/>
      </w:rPr>
      <w:tblPr/>
      <w:trPr>
        <w:tblHeader/>
      </w:trPr>
      <w:tcPr>
        <w:shd w:val="clear" w:color="auto" w:fill="B1E4E3"/>
      </w:tcPr>
    </w:tblStylePr>
    <w:tblStylePr w:type="lastRow">
      <w:pPr>
        <w:jc w:val="left"/>
      </w:pPr>
      <w:rPr>
        <w:rFonts w:asciiTheme="minorHAnsi" w:hAnsiTheme="minorHAnsi"/>
        <w:b/>
        <w:color w:val="000000" w:themeColor="text1"/>
        <w:sz w:val="22"/>
      </w:rPr>
      <w:tblPr/>
      <w:tcPr>
        <w:shd w:val="clear" w:color="auto" w:fill="FFFFFF" w:themeFill="background1"/>
      </w:tcPr>
    </w:tblStylePr>
    <w:tblStylePr w:type="band1Horz">
      <w:tblPr/>
      <w:tcPr>
        <w:tcBorders>
          <w:bottom w:val="single" w:sz="4" w:space="0" w:color="68CEF6" w:themeColor="accent4"/>
        </w:tcBorders>
      </w:tcPr>
    </w:tblStylePr>
    <w:tblStylePr w:type="band2Horz">
      <w:rPr>
        <w14:numSpacing w14:val="tabular"/>
      </w:rPr>
      <w:tblPr/>
      <w:tcPr>
        <w:tcBorders>
          <w:bottom w:val="single" w:sz="4" w:space="0" w:color="68CEF6" w:themeColor="accent4"/>
        </w:tcBorders>
        <w:shd w:val="clear" w:color="auto" w:fill="FFFFFF" w:themeFill="background1"/>
      </w:tcPr>
    </w:tblStylePr>
  </w:style>
  <w:style w:type="character" w:styleId="Emphasis">
    <w:name w:val="Emphasis"/>
    <w:uiPriority w:val="20"/>
    <w:unhideWhenUsed/>
    <w:qFormat/>
    <w:rsid w:val="00450DE1"/>
    <w:rPr>
      <w:b/>
      <w:bCs/>
      <w:i/>
      <w:iCs/>
      <w:spacing w:val="10"/>
      <w:bdr w:val="none" w:sz="0" w:space="0" w:color="auto"/>
      <w:shd w:val="clear" w:color="auto" w:fill="auto"/>
    </w:rPr>
  </w:style>
  <w:style w:type="paragraph" w:customStyle="1" w:styleId="Focus-blue">
    <w:name w:val="Focus - blue"/>
    <w:basedOn w:val="Normal"/>
    <w:next w:val="Normal"/>
    <w:link w:val="Focus-blueChar"/>
    <w:uiPriority w:val="7"/>
    <w:qFormat/>
    <w:rsid w:val="008F0B14"/>
    <w:pPr>
      <w:pBdr>
        <w:top w:val="single" w:sz="4" w:space="4" w:color="55246C" w:themeColor="accent1"/>
        <w:left w:val="single" w:sz="4" w:space="4" w:color="55246C" w:themeColor="accent1"/>
        <w:bottom w:val="single" w:sz="4" w:space="4" w:color="55246C" w:themeColor="accent1"/>
        <w:right w:val="single" w:sz="4" w:space="6" w:color="55246C" w:themeColor="accent1"/>
      </w:pBdr>
      <w:shd w:val="clear" w:color="auto" w:fill="E0F5FD" w:themeFill="accent4" w:themeFillTint="33"/>
    </w:pPr>
  </w:style>
  <w:style w:type="paragraph" w:customStyle="1" w:styleId="Focus-pink">
    <w:name w:val="Focus - pink"/>
    <w:basedOn w:val="Focus-blue"/>
    <w:next w:val="Normal"/>
    <w:link w:val="Focus-pinkChar"/>
    <w:uiPriority w:val="7"/>
    <w:rsid w:val="008F0B14"/>
    <w:pPr>
      <w:shd w:val="clear" w:color="auto" w:fill="FCDEE6" w:themeFill="accent3" w:themeFillTint="33"/>
    </w:pPr>
  </w:style>
  <w:style w:type="paragraph" w:customStyle="1" w:styleId="Focus-green">
    <w:name w:val="Focus - green"/>
    <w:basedOn w:val="Focus-blue"/>
    <w:next w:val="Normal"/>
    <w:link w:val="Focus-greenChar"/>
    <w:uiPriority w:val="7"/>
    <w:qFormat/>
    <w:rsid w:val="008F0B14"/>
    <w:pPr>
      <w:shd w:val="clear" w:color="auto" w:fill="EFF4D5" w:themeFill="accent5" w:themeFillTint="33"/>
    </w:pPr>
  </w:style>
  <w:style w:type="paragraph" w:customStyle="1" w:styleId="Focus-yellow">
    <w:name w:val="Focus - yellow"/>
    <w:basedOn w:val="Focus-blue"/>
    <w:next w:val="Normal"/>
    <w:uiPriority w:val="7"/>
    <w:rsid w:val="00450DE1"/>
    <w:pPr>
      <w:shd w:val="clear" w:color="auto" w:fill="FDF7DB"/>
    </w:pPr>
  </w:style>
  <w:style w:type="character" w:styleId="FollowedHyperlink">
    <w:name w:val="FollowedHyperlink"/>
    <w:basedOn w:val="DefaultParagraphFont"/>
    <w:uiPriority w:val="99"/>
    <w:semiHidden/>
    <w:unhideWhenUsed/>
    <w:rsid w:val="00450DE1"/>
    <w:rPr>
      <w:color w:val="96607D" w:themeColor="followedHyperlink"/>
      <w:u w:val="single"/>
    </w:rPr>
  </w:style>
  <w:style w:type="paragraph" w:styleId="Footer">
    <w:name w:val="footer"/>
    <w:basedOn w:val="Normal"/>
    <w:link w:val="FooterChar"/>
    <w:uiPriority w:val="99"/>
    <w:unhideWhenUsed/>
    <w:rsid w:val="00450DE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50DE1"/>
    <w:rPr>
      <w:spacing w:val="3"/>
      <w:sz w:val="22"/>
    </w:rPr>
  </w:style>
  <w:style w:type="table" w:styleId="GridTable4">
    <w:name w:val="Grid Table 4"/>
    <w:basedOn w:val="TableNormal"/>
    <w:uiPriority w:val="49"/>
    <w:rsid w:val="00450DE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Header">
    <w:name w:val="header"/>
    <w:basedOn w:val="Normal"/>
    <w:link w:val="HeaderChar"/>
    <w:uiPriority w:val="99"/>
    <w:unhideWhenUsed/>
    <w:rsid w:val="00450DE1"/>
    <w:pPr>
      <w:pBdr>
        <w:bottom w:val="single" w:sz="18" w:space="1" w:color="24596E"/>
      </w:pBdr>
      <w:tabs>
        <w:tab w:val="center" w:pos="4513"/>
        <w:tab w:val="right" w:pos="9026"/>
      </w:tabs>
      <w:spacing w:before="600" w:after="720" w:line="240" w:lineRule="auto"/>
    </w:pPr>
    <w:rPr>
      <w:rFonts w:ascii="Georgia" w:hAnsi="Georgia"/>
      <w:color w:val="24596E"/>
    </w:rPr>
  </w:style>
  <w:style w:type="character" w:customStyle="1" w:styleId="HeaderChar">
    <w:name w:val="Header Char"/>
    <w:basedOn w:val="DefaultParagraphFont"/>
    <w:link w:val="Header"/>
    <w:uiPriority w:val="99"/>
    <w:rsid w:val="00450DE1"/>
    <w:rPr>
      <w:rFonts w:ascii="Georgia" w:hAnsi="Georgia"/>
      <w:color w:val="24596E"/>
      <w:spacing w:val="3"/>
      <w:sz w:val="22"/>
    </w:rPr>
  </w:style>
  <w:style w:type="paragraph" w:customStyle="1" w:styleId="Heading1withsubtitle">
    <w:name w:val="Heading 1 (with subtitle)"/>
    <w:basedOn w:val="Heading1"/>
    <w:next w:val="Subtitle"/>
    <w:uiPriority w:val="9"/>
    <w:qFormat/>
    <w:rsid w:val="008F0B14"/>
    <w:pPr>
      <w:keepNext/>
      <w:keepLines/>
      <w:spacing w:before="6000" w:after="80"/>
      <w:contextualSpacing w:val="0"/>
      <w:jc w:val="center"/>
    </w:pPr>
    <w:rPr>
      <w:rFonts w:ascii="Calibri" w:hAnsi="Calibri" w:cs="Tahoma"/>
      <w:color w:val="000000" w:themeColor="text1"/>
      <w:spacing w:val="0"/>
      <w:kern w:val="2"/>
      <w:sz w:val="72"/>
      <w:szCs w:val="72"/>
      <w14:ligatures w14:val="standardContextual"/>
    </w:rPr>
  </w:style>
  <w:style w:type="paragraph" w:styleId="Subtitle">
    <w:name w:val="Subtitle"/>
    <w:basedOn w:val="Normal"/>
    <w:next w:val="Normal"/>
    <w:link w:val="SubtitleChar"/>
    <w:uiPriority w:val="9"/>
    <w:qFormat/>
    <w:rsid w:val="008F0B14"/>
    <w:pPr>
      <w:spacing w:after="480" w:line="240" w:lineRule="auto"/>
      <w:jc w:val="center"/>
    </w:pPr>
    <w:rPr>
      <w:rFonts w:eastAsiaTheme="majorEastAsia" w:cs="Tahoma"/>
      <w:b/>
      <w:iCs/>
      <w:color w:val="000000" w:themeColor="text1"/>
      <w:spacing w:val="0"/>
      <w:kern w:val="2"/>
      <w:sz w:val="48"/>
      <w:szCs w:val="48"/>
      <w14:ligatures w14:val="standardContextual"/>
    </w:rPr>
  </w:style>
  <w:style w:type="character" w:customStyle="1" w:styleId="SubtitleChar">
    <w:name w:val="Subtitle Char"/>
    <w:basedOn w:val="DefaultParagraphFont"/>
    <w:link w:val="Subtitle"/>
    <w:uiPriority w:val="9"/>
    <w:rsid w:val="008F0B14"/>
    <w:rPr>
      <w:rFonts w:ascii="Calibri" w:eastAsiaTheme="majorEastAsia" w:hAnsi="Calibri" w:cs="Tahoma"/>
      <w:b/>
      <w:iCs/>
      <w:color w:val="000000" w:themeColor="text1"/>
      <w:kern w:val="2"/>
      <w:sz w:val="48"/>
      <w:szCs w:val="48"/>
      <w14:ligatures w14:val="standardContextual"/>
    </w:rPr>
  </w:style>
  <w:style w:type="character" w:styleId="Hyperlink">
    <w:name w:val="Hyperlink"/>
    <w:uiPriority w:val="99"/>
    <w:rsid w:val="00450DE1"/>
    <w:rPr>
      <w:rFonts w:asciiTheme="minorHAnsi" w:hAnsiTheme="minorHAnsi"/>
      <w:b w:val="0"/>
      <w:color w:val="0070C0"/>
      <w:u w:val="single"/>
    </w:rPr>
  </w:style>
  <w:style w:type="character" w:styleId="IntenseEmphasis">
    <w:name w:val="Intense Emphasis"/>
    <w:uiPriority w:val="21"/>
    <w:unhideWhenUsed/>
    <w:qFormat/>
    <w:rsid w:val="00450DE1"/>
    <w:rPr>
      <w:b/>
      <w:bCs/>
    </w:rPr>
  </w:style>
  <w:style w:type="paragraph" w:customStyle="1" w:styleId="IntroductionQuote">
    <w:name w:val="Introduction / Quote"/>
    <w:basedOn w:val="Normal"/>
    <w:uiPriority w:val="1"/>
    <w:qFormat/>
    <w:rsid w:val="00450DE1"/>
    <w:pPr>
      <w:spacing w:line="288" w:lineRule="auto"/>
    </w:pPr>
    <w:rPr>
      <w:color w:val="000000" w:themeColor="text1"/>
      <w:sz w:val="28"/>
    </w:rPr>
  </w:style>
  <w:style w:type="paragraph" w:styleId="ListBullet">
    <w:name w:val="List Bullet"/>
    <w:basedOn w:val="Normal"/>
    <w:unhideWhenUsed/>
    <w:qFormat/>
    <w:rsid w:val="00450DE1"/>
    <w:pPr>
      <w:tabs>
        <w:tab w:val="left" w:pos="170"/>
      </w:tabs>
      <w:spacing w:before="120" w:after="180" w:line="280" w:lineRule="atLeast"/>
      <w:ind w:left="533" w:hanging="360"/>
    </w:pPr>
    <w:rPr>
      <w:rFonts w:ascii="Arial" w:eastAsia="Times New Roman" w:hAnsi="Arial" w:cs="Times New Roman"/>
      <w:spacing w:val="4"/>
      <w:lang w:eastAsia="en-AU"/>
    </w:rPr>
  </w:style>
  <w:style w:type="paragraph" w:styleId="ListParagraph">
    <w:name w:val="List Paragraph"/>
    <w:basedOn w:val="Normal"/>
    <w:uiPriority w:val="34"/>
    <w:qFormat/>
    <w:rsid w:val="009277DF"/>
    <w:pPr>
      <w:contextualSpacing/>
    </w:pPr>
  </w:style>
  <w:style w:type="table" w:styleId="ListTable3-Accent6">
    <w:name w:val="List Table 3 Accent 6"/>
    <w:basedOn w:val="TableNormal"/>
    <w:uiPriority w:val="48"/>
    <w:rsid w:val="00450DE1"/>
    <w:pPr>
      <w:spacing w:after="0" w:line="240" w:lineRule="auto"/>
    </w:pPr>
    <w:tblPr>
      <w:tblStyleRowBandSize w:val="1"/>
      <w:tblStyleColBandSize w:val="1"/>
      <w:tblBorders>
        <w:top w:val="single" w:sz="4" w:space="0" w:color="FCB017" w:themeColor="accent6"/>
        <w:left w:val="single" w:sz="4" w:space="0" w:color="FCB017" w:themeColor="accent6"/>
        <w:bottom w:val="single" w:sz="4" w:space="0" w:color="FCB017" w:themeColor="accent6"/>
        <w:right w:val="single" w:sz="4" w:space="0" w:color="FCB017" w:themeColor="accent6"/>
      </w:tblBorders>
    </w:tblPr>
    <w:tblStylePr w:type="firstRow">
      <w:rPr>
        <w:b/>
        <w:bCs/>
        <w:color w:val="FFFFFF" w:themeColor="background1"/>
      </w:rPr>
      <w:tblPr/>
      <w:tcPr>
        <w:shd w:val="clear" w:color="auto" w:fill="FCB017" w:themeFill="accent6"/>
      </w:tcPr>
    </w:tblStylePr>
    <w:tblStylePr w:type="lastRow">
      <w:rPr>
        <w:b/>
        <w:bCs/>
      </w:rPr>
      <w:tblPr/>
      <w:tcPr>
        <w:tcBorders>
          <w:top w:val="double" w:sz="4" w:space="0" w:color="FCB01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CB017" w:themeColor="accent6"/>
          <w:right w:val="single" w:sz="4" w:space="0" w:color="FCB017" w:themeColor="accent6"/>
        </w:tcBorders>
      </w:tcPr>
    </w:tblStylePr>
    <w:tblStylePr w:type="band1Horz">
      <w:tblPr/>
      <w:tcPr>
        <w:tcBorders>
          <w:top w:val="single" w:sz="4" w:space="0" w:color="FCB017" w:themeColor="accent6"/>
          <w:bottom w:val="single" w:sz="4" w:space="0" w:color="FCB01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CB017" w:themeColor="accent6"/>
          <w:left w:val="nil"/>
        </w:tcBorders>
      </w:tcPr>
    </w:tblStylePr>
    <w:tblStylePr w:type="swCell">
      <w:tblPr/>
      <w:tcPr>
        <w:tcBorders>
          <w:top w:val="double" w:sz="4" w:space="0" w:color="FCB017" w:themeColor="accent6"/>
          <w:right w:val="nil"/>
        </w:tcBorders>
      </w:tcPr>
    </w:tblStylePr>
  </w:style>
  <w:style w:type="table" w:styleId="ListTable4-Accent5">
    <w:name w:val="List Table 4 Accent 5"/>
    <w:aliases w:val="DSS - Default striped table"/>
    <w:basedOn w:val="TableNormal"/>
    <w:uiPriority w:val="49"/>
    <w:rsid w:val="00450DE1"/>
    <w:pPr>
      <w:spacing w:after="0" w:line="240" w:lineRule="auto"/>
    </w:pPr>
    <w:rPr>
      <w:color w:val="0E2841" w:themeColor="text2"/>
      <w:sz w:val="22"/>
      <w14:numSpacing w14:val="tabular"/>
    </w:rPr>
    <w:tblPr>
      <w:tblStyleRowBandSize w:val="1"/>
      <w:tblStyleColBandSize w:val="1"/>
      <w:tblBorders>
        <w:bottom w:val="single" w:sz="6" w:space="0" w:color="68CEF6" w:themeColor="accent4"/>
      </w:tblBorders>
      <w:tblCellMar>
        <w:top w:w="60" w:type="dxa"/>
        <w:left w:w="60" w:type="dxa"/>
        <w:bottom w:w="60" w:type="dxa"/>
        <w:right w:w="60" w:type="dxa"/>
      </w:tblCellMar>
    </w:tblPr>
    <w:tblStylePr w:type="firstRow">
      <w:pPr>
        <w:wordWrap/>
      </w:pPr>
      <w:rPr>
        <w:b/>
        <w:bCs/>
        <w:color w:val="FFFFFF" w:themeColor="background1"/>
      </w:rPr>
      <w:tblPr/>
      <w:tcPr>
        <w:shd w:val="clear" w:color="auto" w:fill="55246C" w:themeFill="accent1"/>
      </w:tcPr>
    </w:tblStylePr>
    <w:tblStylePr w:type="lastRow">
      <w:rPr>
        <w:b/>
        <w:bCs/>
      </w:rPr>
      <w:tblPr/>
      <w:tcPr>
        <w:tcBorders>
          <w:top w:val="single" w:sz="6" w:space="0" w:color="000000" w:themeColor="text1"/>
        </w:tcBorders>
      </w:tcPr>
    </w:tblStylePr>
    <w:tblStylePr w:type="firstCol">
      <w:rPr>
        <w:b/>
        <w:bCs/>
      </w:rPr>
    </w:tblStylePr>
    <w:tblStylePr w:type="lastCol">
      <w:rPr>
        <w:b/>
        <w:bCs/>
      </w:rPr>
    </w:tblStylePr>
    <w:tblStylePr w:type="band2Vert">
      <w:pPr>
        <w:jc w:val="left"/>
      </w:pPr>
    </w:tblStylePr>
    <w:tblStylePr w:type="band1Horz">
      <w:rPr>
        <w:color w:val="0E2841" w:themeColor="text2"/>
      </w:rPr>
      <w:tblPr/>
      <w:tcPr>
        <w:tcBorders>
          <w:top w:val="nil"/>
          <w:left w:val="nil"/>
          <w:bottom w:val="single" w:sz="6" w:space="0" w:color="68CEF6" w:themeColor="accent4"/>
          <w:right w:val="nil"/>
          <w:insideH w:val="nil"/>
          <w:insideV w:val="nil"/>
        </w:tcBorders>
        <w:shd w:val="clear" w:color="auto" w:fill="E8E8E8" w:themeFill="background2"/>
      </w:tcPr>
    </w:tblStylePr>
    <w:tblStylePr w:type="band2Horz">
      <w:tblPr/>
      <w:tcPr>
        <w:tcBorders>
          <w:bottom w:val="single" w:sz="6" w:space="0" w:color="68CEF6" w:themeColor="accent4"/>
        </w:tcBorders>
      </w:tcPr>
    </w:tblStylePr>
  </w:style>
  <w:style w:type="table" w:customStyle="1" w:styleId="MACtable">
    <w:name w:val="MAC table"/>
    <w:basedOn w:val="TableNormal"/>
    <w:uiPriority w:val="99"/>
    <w:rsid w:val="00450DE1"/>
    <w:pPr>
      <w:spacing w:after="0" w:line="240" w:lineRule="auto"/>
    </w:pPr>
    <w:rPr>
      <w:rFonts w:ascii="Arial" w:hAnsi="Arial"/>
    </w:rPr>
    <w:tblPr>
      <w:tblBorders>
        <w:top w:val="single" w:sz="4" w:space="0" w:color="00B0B9"/>
        <w:left w:val="single" w:sz="4" w:space="0" w:color="00B0B9"/>
        <w:bottom w:val="single" w:sz="4" w:space="0" w:color="00B0B9"/>
        <w:right w:val="single" w:sz="4" w:space="0" w:color="00B0B9"/>
        <w:insideH w:val="single" w:sz="4" w:space="0" w:color="00B0B9"/>
        <w:insideV w:val="single" w:sz="4" w:space="0" w:color="00B0B9"/>
      </w:tblBorders>
    </w:tblPr>
    <w:tcPr>
      <w:shd w:val="clear" w:color="auto" w:fill="auto"/>
    </w:tcPr>
    <w:tblStylePr w:type="firstRow">
      <w:rPr>
        <w:rFonts w:ascii="Arial" w:hAnsi="Arial"/>
        <w:b/>
        <w:color w:val="FFFFFF" w:themeColor="background1"/>
        <w:sz w:val="28"/>
      </w:rPr>
      <w:tblPr/>
      <w:tcPr>
        <w:shd w:val="clear" w:color="auto" w:fill="00B0B9"/>
      </w:tcPr>
    </w:tblStylePr>
    <w:tblStylePr w:type="lastRow">
      <w:rPr>
        <w:b/>
      </w:rPr>
      <w:tblPr/>
      <w:tcPr>
        <w:shd w:val="clear" w:color="auto" w:fill="F2F2F2" w:themeFill="background1" w:themeFillShade="F2"/>
      </w:tcPr>
    </w:tblStylePr>
  </w:style>
  <w:style w:type="paragraph" w:styleId="NoSpacing">
    <w:name w:val="No Spacing"/>
    <w:basedOn w:val="Normal"/>
    <w:link w:val="NoSpacingChar"/>
    <w:uiPriority w:val="1"/>
    <w:qFormat/>
    <w:rsid w:val="00450DE1"/>
    <w:pPr>
      <w:spacing w:after="0" w:line="240" w:lineRule="auto"/>
    </w:pPr>
  </w:style>
  <w:style w:type="character" w:customStyle="1" w:styleId="NoSpacingChar">
    <w:name w:val="No Spacing Char"/>
    <w:basedOn w:val="DefaultParagraphFont"/>
    <w:link w:val="NoSpacing"/>
    <w:uiPriority w:val="5"/>
    <w:rsid w:val="00450DE1"/>
    <w:rPr>
      <w:spacing w:val="3"/>
      <w:sz w:val="22"/>
    </w:rPr>
  </w:style>
  <w:style w:type="paragraph" w:styleId="NormalWeb">
    <w:name w:val="Normal (Web)"/>
    <w:basedOn w:val="Normal"/>
    <w:uiPriority w:val="99"/>
    <w:semiHidden/>
    <w:unhideWhenUsed/>
    <w:rsid w:val="00450DE1"/>
    <w:pPr>
      <w:spacing w:before="100" w:beforeAutospacing="1" w:after="100" w:afterAutospacing="1" w:line="240" w:lineRule="auto"/>
    </w:pPr>
    <w:rPr>
      <w:rFonts w:ascii="Times New Roman" w:hAnsi="Times New Roman"/>
    </w:rPr>
  </w:style>
  <w:style w:type="paragraph" w:customStyle="1" w:styleId="PageNumber1">
    <w:name w:val="Page Number1"/>
    <w:basedOn w:val="Normal"/>
    <w:uiPriority w:val="97"/>
    <w:qFormat/>
    <w:rsid w:val="00E96562"/>
    <w:pPr>
      <w:spacing w:after="120"/>
    </w:pPr>
    <w:rPr>
      <w:noProof/>
      <w:color w:val="000000" w:themeColor="text1"/>
      <w:sz w:val="18"/>
      <w:lang w:eastAsia="en-AU"/>
    </w:rPr>
  </w:style>
  <w:style w:type="paragraph" w:customStyle="1" w:styleId="PageNumber10">
    <w:name w:val="Page Number10"/>
    <w:basedOn w:val="Normal"/>
    <w:uiPriority w:val="1"/>
    <w:semiHidden/>
    <w:unhideWhenUsed/>
    <w:qFormat/>
    <w:rsid w:val="00450DE1"/>
    <w:rPr>
      <w:color w:val="55246C" w:themeColor="accent1"/>
      <w:sz w:val="18"/>
    </w:rPr>
  </w:style>
  <w:style w:type="table" w:styleId="PlainTable1">
    <w:name w:val="Plain Table 1"/>
    <w:basedOn w:val="TableNormal"/>
    <w:uiPriority w:val="41"/>
    <w:rsid w:val="00450DE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BlockquotePullouttext">
    <w:name w:val="Blockquote / Pullout text"/>
    <w:basedOn w:val="Normal"/>
    <w:next w:val="Normal"/>
    <w:link w:val="BlockquotePullouttextChar"/>
    <w:uiPriority w:val="5"/>
    <w:qFormat/>
    <w:rsid w:val="007A38A0"/>
    <w:pPr>
      <w:keepLines/>
      <w:pBdr>
        <w:left w:val="single" w:sz="18" w:space="16" w:color="68CEF6" w:themeColor="accent4"/>
      </w:pBdr>
      <w:shd w:val="clear" w:color="auto" w:fill="FFFFFF" w:themeFill="background1"/>
      <w:spacing w:before="280" w:after="280"/>
      <w:ind w:left="601"/>
      <w:contextualSpacing/>
    </w:pPr>
    <w:rPr>
      <w:rFonts w:eastAsia="Times New Roman" w:cs="Arial"/>
      <w:bCs/>
      <w:iCs/>
      <w:szCs w:val="28"/>
      <w:lang w:eastAsia="en-AU"/>
    </w:rPr>
  </w:style>
  <w:style w:type="character" w:customStyle="1" w:styleId="BlockquotePullouttextChar">
    <w:name w:val="Blockquote / Pullout text Char"/>
    <w:basedOn w:val="Heading2Char"/>
    <w:link w:val="BlockquotePullouttext"/>
    <w:uiPriority w:val="5"/>
    <w:rsid w:val="007A38A0"/>
    <w:rPr>
      <w:rFonts w:ascii="Calibri" w:eastAsia="Times New Roman" w:hAnsi="Calibri" w:cs="Arial"/>
      <w:b w:val="0"/>
      <w:bCs/>
      <w:iCs/>
      <w:color w:val="002A3F" w:themeColor="accent2"/>
      <w:spacing w:val="3"/>
      <w:sz w:val="22"/>
      <w:szCs w:val="28"/>
      <w:shd w:val="clear" w:color="auto" w:fill="FFFFFF" w:themeFill="background1"/>
      <w:lang w:eastAsia="en-AU"/>
    </w:rPr>
  </w:style>
  <w:style w:type="paragraph" w:customStyle="1" w:styleId="Smalltext">
    <w:name w:val="Small text"/>
    <w:basedOn w:val="Normal"/>
    <w:unhideWhenUsed/>
    <w:rsid w:val="00450DE1"/>
    <w:pPr>
      <w:spacing w:after="120" w:line="240" w:lineRule="auto"/>
    </w:pPr>
    <w:rPr>
      <w:sz w:val="12"/>
      <w:szCs w:val="16"/>
      <w:lang w:val="en-US"/>
    </w:rPr>
  </w:style>
  <w:style w:type="character" w:styleId="Strong">
    <w:name w:val="Strong"/>
    <w:aliases w:val="Bold"/>
    <w:uiPriority w:val="22"/>
    <w:qFormat/>
    <w:rsid w:val="00D7696D"/>
    <w:rPr>
      <w:b/>
      <w:bCs/>
      <w:color w:val="002A3F" w:themeColor="accent2"/>
    </w:rPr>
  </w:style>
  <w:style w:type="numbering" w:customStyle="1" w:styleId="AusGovStyleManualList">
    <w:name w:val="AusGov Style Manual List"/>
    <w:uiPriority w:val="99"/>
    <w:rsid w:val="00E41ED7"/>
    <w:pPr>
      <w:numPr>
        <w:numId w:val="4"/>
      </w:numPr>
    </w:pPr>
  </w:style>
  <w:style w:type="table" w:styleId="TableGrid">
    <w:name w:val="Table Grid"/>
    <w:basedOn w:val="TableNormal"/>
    <w:rsid w:val="00450D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Light">
    <w:name w:val="Grid Table Light"/>
    <w:basedOn w:val="TableNormal"/>
    <w:uiPriority w:val="40"/>
    <w:rsid w:val="00450DE1"/>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color w:val="FFFFFF" w:themeColor="background1"/>
      </w:rPr>
      <w:tblPr/>
      <w:tcPr>
        <w:shd w:val="clear" w:color="auto" w:fill="55246C" w:themeFill="accent1"/>
      </w:tcPr>
    </w:tblStylePr>
  </w:style>
  <w:style w:type="paragraph" w:customStyle="1" w:styleId="Tabletext-detailed">
    <w:name w:val="Table text - detailed"/>
    <w:basedOn w:val="NoSpacing"/>
    <w:uiPriority w:val="4"/>
    <w:qFormat/>
    <w:rsid w:val="00450DE1"/>
    <w:pPr>
      <w:spacing w:line="312" w:lineRule="auto"/>
    </w:pPr>
    <w:rPr>
      <w:sz w:val="20"/>
    </w:rPr>
  </w:style>
  <w:style w:type="paragraph" w:customStyle="1" w:styleId="TableChartheading">
    <w:name w:val="Table/Chart heading"/>
    <w:basedOn w:val="Caption"/>
    <w:next w:val="Normal"/>
    <w:uiPriority w:val="4"/>
    <w:qFormat/>
    <w:rsid w:val="00450DE1"/>
    <w:pPr>
      <w:spacing w:line="288" w:lineRule="auto"/>
    </w:pPr>
    <w:rPr>
      <w:rFonts w:asciiTheme="majorHAnsi" w:hAnsiTheme="majorHAnsi"/>
    </w:rPr>
  </w:style>
  <w:style w:type="paragraph" w:styleId="Title">
    <w:name w:val="Title"/>
    <w:basedOn w:val="Normal"/>
    <w:next w:val="Normal"/>
    <w:link w:val="TitleChar"/>
    <w:uiPriority w:val="10"/>
    <w:unhideWhenUsed/>
    <w:rsid w:val="00450DE1"/>
    <w:pPr>
      <w:spacing w:before="1440" w:line="240" w:lineRule="auto"/>
      <w:contextualSpacing/>
    </w:pPr>
    <w:rPr>
      <w:rFonts w:asciiTheme="majorHAnsi" w:eastAsiaTheme="majorEastAsia" w:hAnsiTheme="majorHAnsi" w:cstheme="majorBidi"/>
      <w:color w:val="55246C" w:themeColor="accent1"/>
      <w:sz w:val="66"/>
      <w:szCs w:val="52"/>
    </w:rPr>
  </w:style>
  <w:style w:type="character" w:customStyle="1" w:styleId="TitleChar">
    <w:name w:val="Title Char"/>
    <w:basedOn w:val="DefaultParagraphFont"/>
    <w:link w:val="Title"/>
    <w:uiPriority w:val="10"/>
    <w:rsid w:val="00450DE1"/>
    <w:rPr>
      <w:rFonts w:asciiTheme="majorHAnsi" w:eastAsiaTheme="majorEastAsia" w:hAnsiTheme="majorHAnsi" w:cstheme="majorBidi"/>
      <w:color w:val="55246C" w:themeColor="accent1"/>
      <w:spacing w:val="3"/>
      <w:sz w:val="66"/>
      <w:szCs w:val="52"/>
    </w:rPr>
  </w:style>
  <w:style w:type="paragraph" w:customStyle="1" w:styleId="Titlepage">
    <w:name w:val="Title page"/>
    <w:basedOn w:val="Title"/>
    <w:semiHidden/>
    <w:rsid w:val="00450DE1"/>
    <w:pPr>
      <w:spacing w:before="4000"/>
      <w:jc w:val="center"/>
    </w:pPr>
    <w:rPr>
      <w:sz w:val="72"/>
    </w:rPr>
  </w:style>
  <w:style w:type="paragraph" w:styleId="TOC1">
    <w:name w:val="toc 1"/>
    <w:basedOn w:val="Normal"/>
    <w:next w:val="Normal"/>
    <w:autoRedefine/>
    <w:uiPriority w:val="39"/>
    <w:unhideWhenUsed/>
    <w:rsid w:val="001F23BC"/>
    <w:pPr>
      <w:tabs>
        <w:tab w:val="right" w:leader="dot" w:pos="10194"/>
      </w:tabs>
      <w:spacing w:after="100"/>
    </w:pPr>
    <w:rPr>
      <w:b/>
      <w:color w:val="002A3F" w:themeColor="accent2"/>
    </w:rPr>
  </w:style>
  <w:style w:type="paragraph" w:styleId="TOC2">
    <w:name w:val="toc 2"/>
    <w:basedOn w:val="Normal"/>
    <w:next w:val="Normal"/>
    <w:autoRedefine/>
    <w:uiPriority w:val="39"/>
    <w:unhideWhenUsed/>
    <w:rsid w:val="00ED06AA"/>
    <w:pPr>
      <w:tabs>
        <w:tab w:val="right" w:leader="dot" w:pos="8489"/>
      </w:tabs>
      <w:spacing w:after="100"/>
      <w:ind w:left="200"/>
    </w:pPr>
    <w:rPr>
      <w:bCs/>
      <w:noProof/>
    </w:rPr>
  </w:style>
  <w:style w:type="paragraph" w:styleId="TOC3">
    <w:name w:val="toc 3"/>
    <w:basedOn w:val="Normal"/>
    <w:next w:val="Normal"/>
    <w:autoRedefine/>
    <w:uiPriority w:val="39"/>
    <w:unhideWhenUsed/>
    <w:rsid w:val="003510FA"/>
    <w:pPr>
      <w:tabs>
        <w:tab w:val="right" w:leader="dot" w:pos="8489"/>
      </w:tabs>
      <w:spacing w:after="100"/>
      <w:ind w:left="400"/>
    </w:pPr>
    <w:rPr>
      <w:noProof/>
    </w:rPr>
  </w:style>
  <w:style w:type="paragraph" w:styleId="TOCHeading">
    <w:name w:val="TOC Heading"/>
    <w:basedOn w:val="Heading2"/>
    <w:next w:val="Normal"/>
    <w:link w:val="TOCHeadingChar"/>
    <w:uiPriority w:val="39"/>
    <w:unhideWhenUsed/>
    <w:qFormat/>
    <w:rsid w:val="00450DE1"/>
  </w:style>
  <w:style w:type="character" w:styleId="CommentReference">
    <w:name w:val="annotation reference"/>
    <w:basedOn w:val="DefaultParagraphFont"/>
    <w:uiPriority w:val="99"/>
    <w:semiHidden/>
    <w:unhideWhenUsed/>
    <w:rsid w:val="005261E6"/>
    <w:rPr>
      <w:sz w:val="16"/>
      <w:szCs w:val="16"/>
    </w:rPr>
  </w:style>
  <w:style w:type="paragraph" w:styleId="CommentText">
    <w:name w:val="annotation text"/>
    <w:basedOn w:val="Normal"/>
    <w:link w:val="CommentTextChar"/>
    <w:uiPriority w:val="99"/>
    <w:unhideWhenUsed/>
    <w:rsid w:val="005261E6"/>
    <w:pPr>
      <w:spacing w:line="240" w:lineRule="auto"/>
    </w:pPr>
    <w:rPr>
      <w:sz w:val="20"/>
      <w:szCs w:val="20"/>
    </w:rPr>
  </w:style>
  <w:style w:type="character" w:customStyle="1" w:styleId="CommentTextChar">
    <w:name w:val="Comment Text Char"/>
    <w:basedOn w:val="DefaultParagraphFont"/>
    <w:link w:val="CommentText"/>
    <w:uiPriority w:val="99"/>
    <w:rsid w:val="005261E6"/>
    <w:rPr>
      <w:spacing w:val="3"/>
      <w:sz w:val="20"/>
      <w:szCs w:val="20"/>
    </w:rPr>
  </w:style>
  <w:style w:type="paragraph" w:styleId="CommentSubject">
    <w:name w:val="annotation subject"/>
    <w:basedOn w:val="CommentText"/>
    <w:next w:val="CommentText"/>
    <w:link w:val="CommentSubjectChar"/>
    <w:uiPriority w:val="99"/>
    <w:semiHidden/>
    <w:unhideWhenUsed/>
    <w:rsid w:val="005261E6"/>
    <w:rPr>
      <w:b/>
      <w:bCs/>
    </w:rPr>
  </w:style>
  <w:style w:type="character" w:customStyle="1" w:styleId="CommentSubjectChar">
    <w:name w:val="Comment Subject Char"/>
    <w:basedOn w:val="CommentTextChar"/>
    <w:link w:val="CommentSubject"/>
    <w:uiPriority w:val="99"/>
    <w:semiHidden/>
    <w:rsid w:val="005261E6"/>
    <w:rPr>
      <w:b/>
      <w:bCs/>
      <w:spacing w:val="3"/>
      <w:sz w:val="20"/>
      <w:szCs w:val="20"/>
    </w:rPr>
  </w:style>
  <w:style w:type="paragraph" w:styleId="Revision">
    <w:name w:val="Revision"/>
    <w:hidden/>
    <w:uiPriority w:val="99"/>
    <w:semiHidden/>
    <w:rsid w:val="00807AA2"/>
    <w:pPr>
      <w:spacing w:after="0" w:line="240" w:lineRule="auto"/>
    </w:pPr>
    <w:rPr>
      <w:spacing w:val="3"/>
      <w:sz w:val="22"/>
    </w:rPr>
  </w:style>
  <w:style w:type="paragraph" w:styleId="TableofFigures">
    <w:name w:val="table of figures"/>
    <w:basedOn w:val="Normal"/>
    <w:next w:val="Normal"/>
    <w:uiPriority w:val="99"/>
    <w:unhideWhenUsed/>
    <w:rsid w:val="00F07ED1"/>
    <w:pPr>
      <w:spacing w:after="0"/>
      <w:ind w:left="440" w:hanging="440"/>
    </w:pPr>
    <w:rPr>
      <w:rFonts w:cstheme="minorHAnsi"/>
      <w:b/>
      <w:bCs/>
      <w:sz w:val="20"/>
      <w:szCs w:val="20"/>
    </w:rPr>
  </w:style>
  <w:style w:type="character" w:styleId="Mention">
    <w:name w:val="Mention"/>
    <w:basedOn w:val="DefaultParagraphFont"/>
    <w:uiPriority w:val="99"/>
    <w:unhideWhenUsed/>
    <w:rsid w:val="006E2ACE"/>
    <w:rPr>
      <w:color w:val="2B579A"/>
      <w:shd w:val="clear" w:color="auto" w:fill="E1DFDD"/>
    </w:rPr>
  </w:style>
  <w:style w:type="paragraph" w:customStyle="1" w:styleId="Tableimagenote">
    <w:name w:val="Table/image note"/>
    <w:basedOn w:val="Normal"/>
    <w:next w:val="Normal"/>
    <w:uiPriority w:val="4"/>
    <w:qFormat/>
    <w:rsid w:val="00CB3627"/>
    <w:pPr>
      <w:spacing w:before="120"/>
      <w:contextualSpacing/>
    </w:pPr>
    <w:rPr>
      <w:color w:val="595959" w:themeColor="text1" w:themeTint="A6"/>
      <w:sz w:val="20"/>
    </w:rPr>
  </w:style>
  <w:style w:type="paragraph" w:styleId="ListNumber">
    <w:name w:val="List Number"/>
    <w:basedOn w:val="Normal"/>
    <w:unhideWhenUsed/>
    <w:qFormat/>
    <w:rsid w:val="00041D69"/>
    <w:pPr>
      <w:numPr>
        <w:numId w:val="5"/>
      </w:numPr>
      <w:contextualSpacing/>
    </w:pPr>
  </w:style>
  <w:style w:type="character" w:styleId="UnresolvedMention">
    <w:name w:val="Unresolved Mention"/>
    <w:basedOn w:val="DefaultParagraphFont"/>
    <w:uiPriority w:val="99"/>
    <w:unhideWhenUsed/>
    <w:rsid w:val="00A438DE"/>
    <w:rPr>
      <w:color w:val="605E5C"/>
      <w:shd w:val="clear" w:color="auto" w:fill="E1DFDD"/>
    </w:rPr>
  </w:style>
  <w:style w:type="character" w:styleId="PageNumber">
    <w:name w:val="page number"/>
    <w:basedOn w:val="DefaultParagraphFont"/>
    <w:uiPriority w:val="99"/>
    <w:semiHidden/>
    <w:unhideWhenUsed/>
    <w:rsid w:val="001F23BC"/>
  </w:style>
  <w:style w:type="paragraph" w:styleId="BodyText">
    <w:name w:val="Body Text"/>
    <w:basedOn w:val="Normal"/>
    <w:link w:val="BodyTextChar"/>
    <w:qFormat/>
    <w:rsid w:val="004E37A4"/>
    <w:pPr>
      <w:suppressAutoHyphens/>
      <w:spacing w:before="120" w:after="0" w:line="280" w:lineRule="atLeast"/>
    </w:pPr>
    <w:rPr>
      <w:rFonts w:ascii="Arial" w:eastAsia="Times New Roman" w:hAnsi="Arial" w:cs="Times New Roman"/>
      <w:color w:val="2C2624"/>
      <w:spacing w:val="0"/>
      <w:sz w:val="20"/>
      <w:lang w:bidi="en-US"/>
    </w:rPr>
  </w:style>
  <w:style w:type="character" w:customStyle="1" w:styleId="BodyTextChar">
    <w:name w:val="Body Text Char"/>
    <w:basedOn w:val="DefaultParagraphFont"/>
    <w:link w:val="BodyText"/>
    <w:rsid w:val="004E37A4"/>
    <w:rPr>
      <w:rFonts w:ascii="Arial" w:eastAsia="Times New Roman" w:hAnsi="Arial" w:cs="Times New Roman"/>
      <w:color w:val="2C2624"/>
      <w:sz w:val="20"/>
      <w:lang w:bidi="en-US"/>
    </w:rPr>
  </w:style>
  <w:style w:type="paragraph" w:customStyle="1" w:styleId="TableCaption">
    <w:name w:val="Table Caption"/>
    <w:basedOn w:val="BodyText"/>
    <w:rsid w:val="004E37A4"/>
    <w:pPr>
      <w:keepNext/>
      <w:spacing w:before="240" w:after="120"/>
    </w:pPr>
    <w:rPr>
      <w:b/>
      <w:color w:val="0E2841" w:themeColor="text2"/>
    </w:rPr>
  </w:style>
  <w:style w:type="paragraph" w:customStyle="1" w:styleId="TableNotes">
    <w:name w:val="Table Notes"/>
    <w:basedOn w:val="Normal"/>
    <w:autoRedefine/>
    <w:qFormat/>
    <w:rsid w:val="009E3D85"/>
    <w:pPr>
      <w:keepNext/>
      <w:suppressAutoHyphens/>
      <w:spacing w:before="240" w:after="0" w:line="240" w:lineRule="auto"/>
      <w:contextualSpacing/>
    </w:pPr>
    <w:rPr>
      <w:rFonts w:eastAsia="Times New Roman" w:cs="Calibri"/>
      <w:color w:val="2C2624"/>
      <w:spacing w:val="0"/>
      <w:szCs w:val="22"/>
      <w:lang w:val="en-US" w:eastAsia="ja-JP" w:bidi="en-US"/>
    </w:rPr>
  </w:style>
  <w:style w:type="paragraph" w:customStyle="1" w:styleId="TableColHeadLeft">
    <w:name w:val="Table Col Head Left"/>
    <w:basedOn w:val="Normal"/>
    <w:rsid w:val="004E37A4"/>
    <w:pPr>
      <w:keepNext/>
      <w:suppressAutoHyphens/>
      <w:spacing w:before="60" w:after="60" w:line="240" w:lineRule="auto"/>
    </w:pPr>
    <w:rPr>
      <w:rFonts w:ascii="Arial" w:eastAsia="Times New Roman" w:hAnsi="Arial" w:cs="Times New Roman"/>
      <w:color w:val="FFFFFF" w:themeColor="background1"/>
      <w:spacing w:val="0"/>
      <w:sz w:val="16"/>
      <w:szCs w:val="18"/>
      <w:lang w:val="en-US" w:eastAsia="en-AU" w:bidi="en-US"/>
    </w:rPr>
  </w:style>
  <w:style w:type="paragraph" w:customStyle="1" w:styleId="TableColHeadCentre">
    <w:name w:val="Table Col Head Centre"/>
    <w:basedOn w:val="Normal"/>
    <w:rsid w:val="004E37A4"/>
    <w:pPr>
      <w:keepNext/>
      <w:suppressAutoHyphens/>
      <w:spacing w:before="60" w:after="60" w:line="240" w:lineRule="auto"/>
      <w:jc w:val="center"/>
    </w:pPr>
    <w:rPr>
      <w:rFonts w:ascii="Arial" w:eastAsia="Times New Roman" w:hAnsi="Arial" w:cs="Times New Roman"/>
      <w:color w:val="FFFFFF" w:themeColor="background1"/>
      <w:spacing w:val="0"/>
      <w:sz w:val="16"/>
      <w:szCs w:val="18"/>
      <w:lang w:val="en-US" w:eastAsia="en-AU" w:bidi="en-US"/>
    </w:rPr>
  </w:style>
  <w:style w:type="paragraph" w:customStyle="1" w:styleId="TableText">
    <w:name w:val="Table Text"/>
    <w:basedOn w:val="Normal"/>
    <w:rsid w:val="004E37A4"/>
    <w:pPr>
      <w:keepNext/>
      <w:suppressAutoHyphens/>
      <w:spacing w:before="60" w:after="60" w:line="240" w:lineRule="auto"/>
    </w:pPr>
    <w:rPr>
      <w:rFonts w:ascii="Arial" w:eastAsia="Times New Roman" w:hAnsi="Arial" w:cs="Times New Roman"/>
      <w:color w:val="2C2624"/>
      <w:spacing w:val="0"/>
      <w:sz w:val="16"/>
      <w:szCs w:val="20"/>
      <w:lang w:eastAsia="en-AU" w:bidi="en-US"/>
    </w:rPr>
  </w:style>
  <w:style w:type="paragraph" w:customStyle="1" w:styleId="TableBullet1">
    <w:name w:val="Table Bullet 1"/>
    <w:basedOn w:val="Normal"/>
    <w:rsid w:val="004E37A4"/>
    <w:pPr>
      <w:keepNext/>
      <w:suppressAutoHyphens/>
      <w:spacing w:before="60" w:after="60" w:line="240" w:lineRule="auto"/>
    </w:pPr>
    <w:rPr>
      <w:rFonts w:ascii="Arial" w:eastAsia="Times New Roman" w:hAnsi="Arial" w:cs="Times New Roman"/>
      <w:color w:val="2C2624"/>
      <w:spacing w:val="0"/>
      <w:sz w:val="16"/>
      <w:szCs w:val="18"/>
      <w:lang w:val="en-US" w:eastAsia="en-AU" w:bidi="en-US"/>
    </w:rPr>
  </w:style>
  <w:style w:type="paragraph" w:styleId="ListBullet2">
    <w:name w:val="List Bullet 2"/>
    <w:basedOn w:val="Normal"/>
    <w:unhideWhenUsed/>
    <w:qFormat/>
    <w:rsid w:val="00FE4ED3"/>
    <w:pPr>
      <w:numPr>
        <w:numId w:val="9"/>
      </w:numPr>
      <w:contextualSpacing/>
    </w:pPr>
  </w:style>
  <w:style w:type="numbering" w:customStyle="1" w:styleId="Bullets">
    <w:name w:val="Bullets"/>
    <w:basedOn w:val="NoList"/>
    <w:uiPriority w:val="99"/>
    <w:rsid w:val="00FE4ED3"/>
    <w:pPr>
      <w:numPr>
        <w:numId w:val="10"/>
      </w:numPr>
    </w:pPr>
  </w:style>
  <w:style w:type="paragraph" w:customStyle="1" w:styleId="Bullets1">
    <w:name w:val="Bullets 1"/>
    <w:basedOn w:val="BodyText"/>
    <w:qFormat/>
    <w:rsid w:val="00FE4ED3"/>
    <w:pPr>
      <w:numPr>
        <w:numId w:val="10"/>
      </w:numPr>
      <w:suppressAutoHyphens w:val="0"/>
      <w:spacing w:after="140"/>
    </w:pPr>
    <w:rPr>
      <w:rFonts w:asciiTheme="minorHAnsi" w:eastAsiaTheme="minorHAnsi" w:hAnsiTheme="minorHAnsi"/>
      <w:color w:val="000000" w:themeColor="text1"/>
      <w:sz w:val="22"/>
      <w:szCs w:val="20"/>
      <w:lang w:bidi="ar-SA"/>
    </w:rPr>
  </w:style>
  <w:style w:type="paragraph" w:customStyle="1" w:styleId="Bullets2">
    <w:name w:val="Bullets 2"/>
    <w:basedOn w:val="BodyText"/>
    <w:qFormat/>
    <w:rsid w:val="00FE4ED3"/>
    <w:pPr>
      <w:numPr>
        <w:ilvl w:val="1"/>
        <w:numId w:val="10"/>
      </w:numPr>
      <w:suppressAutoHyphens w:val="0"/>
      <w:spacing w:after="140"/>
    </w:pPr>
    <w:rPr>
      <w:rFonts w:asciiTheme="minorHAnsi" w:eastAsiaTheme="minorHAnsi" w:hAnsiTheme="minorHAnsi"/>
      <w:color w:val="000000" w:themeColor="text1"/>
      <w:sz w:val="22"/>
      <w:szCs w:val="20"/>
      <w:lang w:bidi="ar-SA"/>
    </w:rPr>
  </w:style>
  <w:style w:type="paragraph" w:customStyle="1" w:styleId="TableBullets2">
    <w:name w:val="Table Bullets 2"/>
    <w:basedOn w:val="TableText"/>
    <w:uiPriority w:val="20"/>
    <w:qFormat/>
    <w:rsid w:val="00FE4ED3"/>
    <w:pPr>
      <w:keepNext w:val="0"/>
      <w:numPr>
        <w:ilvl w:val="7"/>
        <w:numId w:val="10"/>
      </w:numPr>
      <w:suppressAutoHyphens w:val="0"/>
      <w:spacing w:before="40" w:after="100" w:line="280" w:lineRule="atLeast"/>
      <w:ind w:right="113"/>
    </w:pPr>
    <w:rPr>
      <w:rFonts w:asciiTheme="minorHAnsi" w:eastAsiaTheme="minorHAnsi" w:hAnsiTheme="minorHAnsi"/>
      <w:color w:val="000000" w:themeColor="text1"/>
      <w:sz w:val="22"/>
      <w:lang w:eastAsia="en-US" w:bidi="ar-SA"/>
    </w:rPr>
  </w:style>
  <w:style w:type="paragraph" w:customStyle="1" w:styleId="TableBullets1">
    <w:name w:val="Table Bullets 1"/>
    <w:basedOn w:val="TableText"/>
    <w:uiPriority w:val="20"/>
    <w:qFormat/>
    <w:rsid w:val="00FE4ED3"/>
    <w:pPr>
      <w:keepNext w:val="0"/>
      <w:suppressAutoHyphens w:val="0"/>
      <w:spacing w:before="40" w:after="100" w:line="280" w:lineRule="atLeast"/>
      <w:ind w:right="113"/>
    </w:pPr>
    <w:rPr>
      <w:rFonts w:asciiTheme="minorHAnsi" w:eastAsiaTheme="minorHAnsi" w:hAnsiTheme="minorHAnsi"/>
      <w:color w:val="000000" w:themeColor="text1"/>
      <w:sz w:val="22"/>
      <w:lang w:eastAsia="en-US" w:bidi="ar-SA"/>
    </w:rPr>
  </w:style>
  <w:style w:type="table" w:styleId="GridTable4-Accent6">
    <w:name w:val="Grid Table 4 Accent 6"/>
    <w:basedOn w:val="TableNormal"/>
    <w:uiPriority w:val="49"/>
    <w:rsid w:val="00B1700A"/>
    <w:pPr>
      <w:spacing w:after="0" w:line="240" w:lineRule="auto"/>
    </w:pPr>
    <w:tblPr>
      <w:tblStyleRowBandSize w:val="1"/>
      <w:tblStyleColBandSize w:val="1"/>
      <w:tblBorders>
        <w:top w:val="single" w:sz="4" w:space="0" w:color="FDCF73" w:themeColor="accent6" w:themeTint="99"/>
        <w:left w:val="single" w:sz="4" w:space="0" w:color="FDCF73" w:themeColor="accent6" w:themeTint="99"/>
        <w:bottom w:val="single" w:sz="4" w:space="0" w:color="FDCF73" w:themeColor="accent6" w:themeTint="99"/>
        <w:right w:val="single" w:sz="4" w:space="0" w:color="FDCF73" w:themeColor="accent6" w:themeTint="99"/>
        <w:insideH w:val="single" w:sz="4" w:space="0" w:color="FDCF73" w:themeColor="accent6" w:themeTint="99"/>
        <w:insideV w:val="single" w:sz="4" w:space="0" w:color="FDCF73" w:themeColor="accent6" w:themeTint="99"/>
      </w:tblBorders>
    </w:tblPr>
    <w:tblStylePr w:type="firstRow">
      <w:rPr>
        <w:b/>
        <w:bCs/>
        <w:color w:val="FFFFFF" w:themeColor="background1"/>
      </w:rPr>
      <w:tblPr/>
      <w:tcPr>
        <w:tcBorders>
          <w:top w:val="single" w:sz="4" w:space="0" w:color="FCB017" w:themeColor="accent6"/>
          <w:left w:val="single" w:sz="4" w:space="0" w:color="FCB017" w:themeColor="accent6"/>
          <w:bottom w:val="single" w:sz="4" w:space="0" w:color="FCB017" w:themeColor="accent6"/>
          <w:right w:val="single" w:sz="4" w:space="0" w:color="FCB017" w:themeColor="accent6"/>
          <w:insideH w:val="nil"/>
          <w:insideV w:val="nil"/>
        </w:tcBorders>
        <w:shd w:val="clear" w:color="auto" w:fill="FCB017" w:themeFill="accent6"/>
      </w:tcPr>
    </w:tblStylePr>
    <w:tblStylePr w:type="lastRow">
      <w:rPr>
        <w:b/>
        <w:bCs/>
      </w:rPr>
      <w:tblPr/>
      <w:tcPr>
        <w:tcBorders>
          <w:top w:val="double" w:sz="4" w:space="0" w:color="FCB017" w:themeColor="accent6"/>
        </w:tcBorders>
      </w:tcPr>
    </w:tblStylePr>
    <w:tblStylePr w:type="firstCol">
      <w:rPr>
        <w:b/>
        <w:bCs/>
      </w:rPr>
    </w:tblStylePr>
    <w:tblStylePr w:type="lastCol">
      <w:rPr>
        <w:b/>
        <w:bCs/>
      </w:rPr>
    </w:tblStylePr>
    <w:tblStylePr w:type="band1Vert">
      <w:tblPr/>
      <w:tcPr>
        <w:shd w:val="clear" w:color="auto" w:fill="FEEFD0" w:themeFill="accent6" w:themeFillTint="33"/>
      </w:tcPr>
    </w:tblStylePr>
    <w:tblStylePr w:type="band1Horz">
      <w:tblPr/>
      <w:tcPr>
        <w:shd w:val="clear" w:color="auto" w:fill="FEEFD0" w:themeFill="accent6" w:themeFillTint="33"/>
      </w:tcPr>
    </w:tblStylePr>
  </w:style>
  <w:style w:type="paragraph" w:styleId="TOC4">
    <w:name w:val="toc 4"/>
    <w:basedOn w:val="Normal"/>
    <w:next w:val="Normal"/>
    <w:autoRedefine/>
    <w:uiPriority w:val="39"/>
    <w:unhideWhenUsed/>
    <w:rsid w:val="00996D0D"/>
    <w:pPr>
      <w:spacing w:after="100"/>
      <w:ind w:left="660"/>
    </w:pPr>
  </w:style>
  <w:style w:type="paragraph" w:customStyle="1" w:styleId="ContentsHeading">
    <w:name w:val="Contents Heading"/>
    <w:basedOn w:val="Normal"/>
    <w:next w:val="TOC1"/>
    <w:rsid w:val="00996D0D"/>
    <w:pPr>
      <w:keepNext/>
      <w:keepLines/>
      <w:pageBreakBefore/>
      <w:suppressAutoHyphens/>
      <w:spacing w:before="360" w:after="120" w:line="240" w:lineRule="auto"/>
    </w:pPr>
    <w:rPr>
      <w:rFonts w:ascii="Arial" w:eastAsiaTheme="minorEastAsia" w:hAnsi="Arial" w:cs="Arial"/>
      <w:color w:val="B1004D"/>
      <w:spacing w:val="0"/>
      <w:kern w:val="32"/>
      <w:sz w:val="44"/>
    </w:rPr>
  </w:style>
  <w:style w:type="paragraph" w:styleId="TOC5">
    <w:name w:val="toc 5"/>
    <w:basedOn w:val="Normal"/>
    <w:next w:val="Normal"/>
    <w:autoRedefine/>
    <w:uiPriority w:val="39"/>
    <w:unhideWhenUsed/>
    <w:rsid w:val="00996D0D"/>
    <w:pPr>
      <w:spacing w:after="100"/>
      <w:ind w:left="880"/>
    </w:pPr>
  </w:style>
  <w:style w:type="paragraph" w:styleId="ListNumber2">
    <w:name w:val="List Number 2"/>
    <w:basedOn w:val="ListNumber"/>
    <w:rsid w:val="005E0044"/>
    <w:pPr>
      <w:numPr>
        <w:numId w:val="11"/>
      </w:numPr>
      <w:tabs>
        <w:tab w:val="clear" w:pos="851"/>
      </w:tabs>
      <w:suppressAutoHyphens/>
      <w:spacing w:before="60" w:after="0" w:line="280" w:lineRule="atLeast"/>
      <w:ind w:left="0" w:firstLine="0"/>
      <w:contextualSpacing w:val="0"/>
    </w:pPr>
    <w:rPr>
      <w:rFonts w:ascii="Arial" w:eastAsia="Times New Roman" w:hAnsi="Arial" w:cs="Times New Roman"/>
      <w:color w:val="2C2624"/>
      <w:spacing w:val="0"/>
      <w:sz w:val="20"/>
      <w:lang w:bidi="en-US"/>
    </w:rPr>
  </w:style>
  <w:style w:type="paragraph" w:customStyle="1" w:styleId="FigureCaption">
    <w:name w:val="Figure Caption"/>
    <w:basedOn w:val="BodyText"/>
    <w:next w:val="BodyText"/>
    <w:qFormat/>
    <w:rsid w:val="005E0044"/>
    <w:pPr>
      <w:keepNext/>
      <w:keepLines/>
      <w:spacing w:before="320"/>
    </w:pPr>
    <w:rPr>
      <w:rFonts w:cs="Arial"/>
      <w:b/>
      <w:color w:val="2C2341"/>
      <w:lang w:val="en-US" w:eastAsia="ja-JP"/>
    </w:rPr>
  </w:style>
  <w:style w:type="paragraph" w:customStyle="1" w:styleId="HeaderCover">
    <w:name w:val="Header Cover"/>
    <w:basedOn w:val="Header"/>
    <w:rsid w:val="005E0044"/>
    <w:pPr>
      <w:pBdr>
        <w:bottom w:val="none" w:sz="0" w:space="0" w:color="auto"/>
      </w:pBdr>
      <w:tabs>
        <w:tab w:val="clear" w:pos="4513"/>
        <w:tab w:val="clear" w:pos="9026"/>
      </w:tabs>
      <w:suppressAutoHyphens/>
      <w:spacing w:before="0" w:after="360"/>
      <w:ind w:left="-1701" w:right="-1701"/>
      <w:jc w:val="center"/>
    </w:pPr>
    <w:rPr>
      <w:rFonts w:ascii="Arial" w:eastAsiaTheme="minorEastAsia" w:hAnsi="Arial" w:cs="Times New Roman"/>
      <w:noProof/>
      <w:color w:val="241C44"/>
      <w:spacing w:val="0"/>
      <w:sz w:val="16"/>
      <w:szCs w:val="16"/>
      <w:lang w:val="en-US"/>
    </w:rPr>
  </w:style>
  <w:style w:type="paragraph" w:customStyle="1" w:styleId="ReportTitle">
    <w:name w:val="Report Title"/>
    <w:rsid w:val="005E0044"/>
    <w:pPr>
      <w:keepLines/>
      <w:suppressAutoHyphens/>
      <w:spacing w:before="1680" w:line="240" w:lineRule="auto"/>
    </w:pPr>
    <w:rPr>
      <w:rFonts w:ascii="Arial" w:eastAsia="Times New Roman" w:hAnsi="Arial" w:cs="Times New Roman"/>
      <w:color w:val="0E2841" w:themeColor="text2"/>
      <w:sz w:val="56"/>
      <w:szCs w:val="56"/>
      <w:lang w:bidi="en-US"/>
    </w:rPr>
  </w:style>
  <w:style w:type="paragraph" w:customStyle="1" w:styleId="ReportSubtitle">
    <w:name w:val="Report Subtitle"/>
    <w:rsid w:val="005E0044"/>
    <w:pPr>
      <w:spacing w:before="240" w:after="0" w:line="240" w:lineRule="auto"/>
      <w:jc w:val="center"/>
    </w:pPr>
    <w:rPr>
      <w:rFonts w:ascii="Arial" w:eastAsia="Times New Roman" w:hAnsi="Arial" w:cs="Times New Roman"/>
      <w:color w:val="241C44"/>
      <w:sz w:val="36"/>
      <w:szCs w:val="28"/>
      <w:lang w:bidi="en-US"/>
    </w:rPr>
  </w:style>
  <w:style w:type="paragraph" w:customStyle="1" w:styleId="PlaceholderImage">
    <w:name w:val="Placeholder Image"/>
    <w:basedOn w:val="BodyText"/>
    <w:rsid w:val="005E0044"/>
    <w:pPr>
      <w:spacing w:before="360" w:after="360"/>
      <w:jc w:val="center"/>
    </w:pPr>
  </w:style>
  <w:style w:type="paragraph" w:customStyle="1" w:styleId="CoverDetails">
    <w:name w:val="Cover Details"/>
    <w:basedOn w:val="BodyText"/>
    <w:rsid w:val="005E0044"/>
    <w:pPr>
      <w:spacing w:before="240"/>
      <w:jc w:val="center"/>
    </w:pPr>
    <w:rPr>
      <w:color w:val="241C44"/>
      <w:sz w:val="22"/>
      <w:szCs w:val="22"/>
    </w:rPr>
  </w:style>
  <w:style w:type="paragraph" w:customStyle="1" w:styleId="Heading1Outline">
    <w:name w:val="Heading 1 Outline"/>
    <w:basedOn w:val="Heading1"/>
    <w:next w:val="BodyText"/>
    <w:rsid w:val="005E0044"/>
    <w:pPr>
      <w:keepNext/>
      <w:keepLines/>
      <w:numPr>
        <w:numId w:val="12"/>
      </w:numPr>
      <w:tabs>
        <w:tab w:val="clear" w:pos="992"/>
      </w:tabs>
      <w:suppressAutoHyphens/>
      <w:spacing w:after="120"/>
      <w:ind w:left="0" w:firstLine="0"/>
      <w:contextualSpacing w:val="0"/>
    </w:pPr>
    <w:rPr>
      <w:rFonts w:ascii="Arial" w:eastAsiaTheme="minorEastAsia" w:hAnsi="Arial" w:cs="Arial"/>
      <w:bCs w:val="0"/>
      <w:color w:val="B1004D"/>
      <w:spacing w:val="0"/>
      <w:kern w:val="32"/>
      <w:sz w:val="44"/>
      <w:szCs w:val="24"/>
    </w:rPr>
  </w:style>
  <w:style w:type="paragraph" w:customStyle="1" w:styleId="Heading2Outline">
    <w:name w:val="Heading 2 Outline"/>
    <w:basedOn w:val="Heading1Outline"/>
    <w:next w:val="BodyText"/>
    <w:rsid w:val="005E0044"/>
    <w:pPr>
      <w:numPr>
        <w:ilvl w:val="1"/>
      </w:numPr>
      <w:tabs>
        <w:tab w:val="clear" w:pos="851"/>
      </w:tabs>
      <w:spacing w:before="240"/>
      <w:ind w:left="0" w:firstLine="0"/>
      <w:outlineLvl w:val="1"/>
    </w:pPr>
    <w:rPr>
      <w:color w:val="62136D"/>
      <w:sz w:val="38"/>
      <w:szCs w:val="38"/>
    </w:rPr>
  </w:style>
  <w:style w:type="paragraph" w:customStyle="1" w:styleId="FigureNotes">
    <w:name w:val="Figure Notes"/>
    <w:basedOn w:val="BodyText"/>
    <w:qFormat/>
    <w:rsid w:val="005E0044"/>
    <w:pPr>
      <w:keepNext/>
      <w:spacing w:before="240" w:line="240" w:lineRule="auto"/>
      <w:contextualSpacing/>
    </w:pPr>
    <w:rPr>
      <w:rFonts w:cs="Arial"/>
      <w:sz w:val="16"/>
      <w:szCs w:val="16"/>
      <w:lang w:val="en-US" w:eastAsia="ja-JP"/>
    </w:rPr>
  </w:style>
  <w:style w:type="paragraph" w:customStyle="1" w:styleId="FigurePlaceholder">
    <w:name w:val="Figure Placeholder"/>
    <w:basedOn w:val="BodyText"/>
    <w:qFormat/>
    <w:rsid w:val="005E0044"/>
    <w:pPr>
      <w:keepNext/>
      <w:spacing w:before="240" w:after="240" w:line="240" w:lineRule="auto"/>
      <w:jc w:val="center"/>
    </w:pPr>
    <w:rPr>
      <w:lang w:val="en-US" w:eastAsia="ja-JP"/>
    </w:rPr>
  </w:style>
  <w:style w:type="paragraph" w:customStyle="1" w:styleId="CommentTextBullet">
    <w:name w:val="Comment Text Bullet"/>
    <w:basedOn w:val="CommentText"/>
    <w:rsid w:val="005E0044"/>
    <w:pPr>
      <w:numPr>
        <w:numId w:val="13"/>
      </w:numPr>
      <w:tabs>
        <w:tab w:val="clear" w:pos="227"/>
      </w:tabs>
      <w:spacing w:after="0"/>
      <w:ind w:left="0" w:firstLine="0"/>
    </w:pPr>
    <w:rPr>
      <w:rFonts w:ascii="Arial Narrow" w:eastAsiaTheme="minorEastAsia" w:hAnsi="Arial Narrow" w:cs="Times New Roman"/>
      <w:color w:val="FF0000"/>
      <w:spacing w:val="0"/>
      <w:sz w:val="16"/>
      <w:szCs w:val="24"/>
    </w:rPr>
  </w:style>
  <w:style w:type="paragraph" w:customStyle="1" w:styleId="ListParagraph2">
    <w:name w:val="List Paragraph 2"/>
    <w:basedOn w:val="ListParagraph"/>
    <w:rsid w:val="005E0044"/>
    <w:pPr>
      <w:suppressAutoHyphens/>
      <w:spacing w:before="60" w:after="0" w:line="280" w:lineRule="atLeast"/>
      <w:ind w:left="851"/>
    </w:pPr>
    <w:rPr>
      <w:rFonts w:ascii="Arial" w:eastAsia="Times New Roman" w:hAnsi="Arial" w:cs="Times New Roman"/>
      <w:color w:val="2C2624"/>
      <w:spacing w:val="0"/>
      <w:sz w:val="20"/>
      <w:lang w:bidi="en-US"/>
    </w:rPr>
  </w:style>
  <w:style w:type="table" w:customStyle="1" w:styleId="TableBox">
    <w:name w:val="Table Box"/>
    <w:basedOn w:val="TableNormal"/>
    <w:uiPriority w:val="99"/>
    <w:rsid w:val="005E0044"/>
    <w:pPr>
      <w:spacing w:after="0" w:line="240" w:lineRule="auto"/>
    </w:pPr>
    <w:rPr>
      <w:rFonts w:ascii="Arial" w:eastAsiaTheme="minorEastAsia" w:hAnsi="Arial" w:cs="Times New Roman"/>
      <w:sz w:val="20"/>
      <w:lang w:val="en-US" w:eastAsia="ja-JP"/>
    </w:rPr>
    <w:tblPr/>
  </w:style>
  <w:style w:type="paragraph" w:customStyle="1" w:styleId="PrelimHeading1">
    <w:name w:val="Prelim Heading 1"/>
    <w:basedOn w:val="Heading1"/>
    <w:next w:val="BodyText"/>
    <w:rsid w:val="005E0044"/>
    <w:pPr>
      <w:keepNext/>
      <w:keepLines/>
      <w:pageBreakBefore/>
      <w:suppressAutoHyphens/>
      <w:spacing w:after="120"/>
      <w:contextualSpacing w:val="0"/>
    </w:pPr>
    <w:rPr>
      <w:rFonts w:ascii="Arial" w:eastAsiaTheme="minorEastAsia" w:hAnsi="Arial" w:cs="Arial"/>
      <w:bCs w:val="0"/>
      <w:color w:val="B1004D"/>
      <w:spacing w:val="0"/>
      <w:kern w:val="32"/>
      <w:sz w:val="44"/>
      <w:szCs w:val="24"/>
    </w:rPr>
  </w:style>
  <w:style w:type="paragraph" w:styleId="TOC6">
    <w:name w:val="toc 6"/>
    <w:basedOn w:val="Normal"/>
    <w:next w:val="Normal"/>
    <w:autoRedefine/>
    <w:uiPriority w:val="39"/>
    <w:unhideWhenUsed/>
    <w:rsid w:val="005E0044"/>
    <w:pPr>
      <w:suppressAutoHyphens/>
      <w:spacing w:before="120" w:after="0" w:line="280" w:lineRule="atLeast"/>
      <w:ind w:left="1000"/>
      <w:jc w:val="both"/>
    </w:pPr>
    <w:rPr>
      <w:rFonts w:ascii="Arial" w:eastAsiaTheme="minorEastAsia" w:hAnsi="Arial" w:cs="Times New Roman"/>
      <w:color w:val="2C2624"/>
      <w:spacing w:val="0"/>
      <w:sz w:val="20"/>
    </w:rPr>
  </w:style>
  <w:style w:type="paragraph" w:styleId="TOC7">
    <w:name w:val="toc 7"/>
    <w:basedOn w:val="Normal"/>
    <w:next w:val="Normal"/>
    <w:autoRedefine/>
    <w:uiPriority w:val="39"/>
    <w:unhideWhenUsed/>
    <w:rsid w:val="005E0044"/>
    <w:pPr>
      <w:suppressAutoHyphens/>
      <w:spacing w:before="120" w:after="0" w:line="280" w:lineRule="atLeast"/>
      <w:ind w:left="1200"/>
      <w:jc w:val="both"/>
    </w:pPr>
    <w:rPr>
      <w:rFonts w:ascii="Arial" w:eastAsiaTheme="minorEastAsia" w:hAnsi="Arial" w:cs="Times New Roman"/>
      <w:color w:val="2C2624"/>
      <w:spacing w:val="0"/>
      <w:sz w:val="20"/>
    </w:rPr>
  </w:style>
  <w:style w:type="paragraph" w:styleId="TOC8">
    <w:name w:val="toc 8"/>
    <w:basedOn w:val="Normal"/>
    <w:next w:val="Normal"/>
    <w:autoRedefine/>
    <w:uiPriority w:val="39"/>
    <w:unhideWhenUsed/>
    <w:rsid w:val="005E0044"/>
    <w:pPr>
      <w:suppressAutoHyphens/>
      <w:spacing w:before="120" w:after="0" w:line="280" w:lineRule="atLeast"/>
      <w:ind w:left="1400"/>
      <w:jc w:val="both"/>
    </w:pPr>
    <w:rPr>
      <w:rFonts w:ascii="Arial" w:eastAsiaTheme="minorEastAsia" w:hAnsi="Arial" w:cs="Times New Roman"/>
      <w:color w:val="2C2624"/>
      <w:spacing w:val="0"/>
      <w:sz w:val="20"/>
    </w:rPr>
  </w:style>
  <w:style w:type="paragraph" w:styleId="TOC9">
    <w:name w:val="toc 9"/>
    <w:basedOn w:val="Normal"/>
    <w:next w:val="Normal"/>
    <w:autoRedefine/>
    <w:uiPriority w:val="39"/>
    <w:unhideWhenUsed/>
    <w:rsid w:val="005E0044"/>
    <w:pPr>
      <w:suppressAutoHyphens/>
      <w:spacing w:before="120" w:after="0" w:line="280" w:lineRule="atLeast"/>
      <w:ind w:left="1600"/>
      <w:jc w:val="both"/>
    </w:pPr>
    <w:rPr>
      <w:rFonts w:ascii="Arial" w:eastAsiaTheme="minorEastAsia" w:hAnsi="Arial" w:cs="Times New Roman"/>
      <w:color w:val="2C2624"/>
      <w:spacing w:val="0"/>
      <w:sz w:val="20"/>
    </w:rPr>
  </w:style>
  <w:style w:type="paragraph" w:styleId="FootnoteText">
    <w:name w:val="footnote text"/>
    <w:basedOn w:val="Normal"/>
    <w:link w:val="FootnoteTextChar"/>
    <w:uiPriority w:val="99"/>
    <w:unhideWhenUsed/>
    <w:rsid w:val="005E0044"/>
    <w:pPr>
      <w:suppressAutoHyphens/>
      <w:spacing w:after="0" w:line="240" w:lineRule="auto"/>
      <w:ind w:left="284" w:hanging="284"/>
    </w:pPr>
    <w:rPr>
      <w:rFonts w:ascii="Arial" w:eastAsiaTheme="minorEastAsia" w:hAnsi="Arial" w:cs="Times New Roman"/>
      <w:color w:val="2C2624"/>
      <w:spacing w:val="0"/>
      <w:sz w:val="16"/>
      <w:szCs w:val="16"/>
    </w:rPr>
  </w:style>
  <w:style w:type="character" w:customStyle="1" w:styleId="FootnoteTextChar">
    <w:name w:val="Footnote Text Char"/>
    <w:basedOn w:val="DefaultParagraphFont"/>
    <w:link w:val="FootnoteText"/>
    <w:uiPriority w:val="99"/>
    <w:rsid w:val="005E0044"/>
    <w:rPr>
      <w:rFonts w:ascii="Arial" w:eastAsiaTheme="minorEastAsia" w:hAnsi="Arial" w:cs="Times New Roman"/>
      <w:color w:val="2C2624"/>
      <w:sz w:val="16"/>
      <w:szCs w:val="16"/>
    </w:rPr>
  </w:style>
  <w:style w:type="character" w:styleId="FootnoteReference">
    <w:name w:val="footnote reference"/>
    <w:basedOn w:val="DefaultParagraphFont"/>
    <w:uiPriority w:val="99"/>
    <w:unhideWhenUsed/>
    <w:rsid w:val="005E0044"/>
    <w:rPr>
      <w:vertAlign w:val="superscript"/>
    </w:rPr>
  </w:style>
  <w:style w:type="paragraph" w:customStyle="1" w:styleId="AppendixHeading1">
    <w:name w:val="Appendix Heading 1"/>
    <w:basedOn w:val="Heading1"/>
    <w:next w:val="BodyText"/>
    <w:qFormat/>
    <w:rsid w:val="005E0044"/>
    <w:pPr>
      <w:keepNext/>
      <w:keepLines/>
      <w:pageBreakBefore/>
      <w:suppressAutoHyphens/>
      <w:spacing w:before="0" w:after="120"/>
      <w:contextualSpacing w:val="0"/>
    </w:pPr>
    <w:rPr>
      <w:rFonts w:ascii="Arial" w:eastAsiaTheme="minorEastAsia" w:hAnsi="Arial" w:cs="Arial"/>
      <w:bCs w:val="0"/>
      <w:color w:val="B1004D"/>
      <w:spacing w:val="0"/>
      <w:kern w:val="32"/>
      <w:sz w:val="44"/>
      <w:szCs w:val="24"/>
    </w:rPr>
  </w:style>
  <w:style w:type="paragraph" w:customStyle="1" w:styleId="AppendixHeading2">
    <w:name w:val="Appendix Heading 2"/>
    <w:basedOn w:val="Heading2"/>
    <w:next w:val="BodyText"/>
    <w:qFormat/>
    <w:rsid w:val="005E0044"/>
    <w:pPr>
      <w:keepNext/>
      <w:keepLines/>
      <w:suppressAutoHyphens/>
    </w:pPr>
    <w:rPr>
      <w:rFonts w:ascii="Arial" w:eastAsiaTheme="minorEastAsia" w:hAnsi="Arial" w:cs="Arial"/>
      <w:b w:val="0"/>
      <w:bCs w:val="0"/>
      <w:color w:val="671565"/>
      <w:spacing w:val="0"/>
      <w:kern w:val="32"/>
      <w:sz w:val="38"/>
      <w:szCs w:val="38"/>
    </w:rPr>
  </w:style>
  <w:style w:type="paragraph" w:customStyle="1" w:styleId="AppendixHeading3">
    <w:name w:val="Appendix Heading 3"/>
    <w:basedOn w:val="Heading3"/>
    <w:next w:val="BodyText"/>
    <w:rsid w:val="005E0044"/>
    <w:pPr>
      <w:keepNext/>
      <w:keepLines/>
      <w:suppressAutoHyphens/>
      <w:spacing w:before="240" w:after="120" w:line="240" w:lineRule="auto"/>
    </w:pPr>
    <w:rPr>
      <w:rFonts w:ascii="Arial" w:eastAsiaTheme="minorEastAsia" w:hAnsi="Arial" w:cs="Arial"/>
      <w:bCs w:val="0"/>
      <w:color w:val="DF8200"/>
      <w:spacing w:val="0"/>
      <w:kern w:val="32"/>
      <w:sz w:val="32"/>
      <w:szCs w:val="32"/>
    </w:rPr>
  </w:style>
  <w:style w:type="paragraph" w:customStyle="1" w:styleId="Reportauthors">
    <w:name w:val="Report authors"/>
    <w:basedOn w:val="AppendixHeading2"/>
    <w:next w:val="Normal"/>
    <w:rsid w:val="005E0044"/>
    <w:pPr>
      <w:outlineLvl w:val="9"/>
    </w:pPr>
    <w:rPr>
      <w:color w:val="68CEF6" w:themeColor="accent4"/>
      <w:sz w:val="28"/>
    </w:rPr>
  </w:style>
  <w:style w:type="paragraph" w:customStyle="1" w:styleId="StaffInfoHeading">
    <w:name w:val="Staff Info Heading"/>
    <w:basedOn w:val="Normal"/>
    <w:next w:val="BodyText"/>
    <w:rsid w:val="005E0044"/>
    <w:pPr>
      <w:keepNext/>
      <w:keepLines/>
      <w:suppressAutoHyphens/>
      <w:spacing w:before="240" w:after="120" w:line="280" w:lineRule="atLeast"/>
      <w:jc w:val="center"/>
    </w:pPr>
    <w:rPr>
      <w:rFonts w:ascii="Arial" w:eastAsia="Times New Roman" w:hAnsi="Arial" w:cs="Times New Roman"/>
      <w:color w:val="241C44"/>
      <w:spacing w:val="0"/>
      <w:sz w:val="32"/>
      <w:szCs w:val="26"/>
      <w:lang w:bidi="en-US"/>
    </w:rPr>
  </w:style>
  <w:style w:type="paragraph" w:customStyle="1" w:styleId="References">
    <w:name w:val="References"/>
    <w:basedOn w:val="BodyText"/>
    <w:qFormat/>
    <w:rsid w:val="005E0044"/>
    <w:pPr>
      <w:spacing w:before="60" w:line="240" w:lineRule="auto"/>
      <w:ind w:left="284" w:hanging="284"/>
    </w:pPr>
    <w:rPr>
      <w:sz w:val="18"/>
      <w:szCs w:val="18"/>
    </w:rPr>
  </w:style>
  <w:style w:type="paragraph" w:customStyle="1" w:styleId="Heading1Part">
    <w:name w:val="Heading 1 Part"/>
    <w:basedOn w:val="Heading1"/>
    <w:rsid w:val="005E0044"/>
    <w:pPr>
      <w:keepNext/>
      <w:keepLines/>
      <w:numPr>
        <w:numId w:val="14"/>
      </w:numPr>
      <w:suppressAutoHyphens/>
      <w:spacing w:after="120"/>
      <w:ind w:left="0" w:firstLine="0"/>
      <w:contextualSpacing w:val="0"/>
    </w:pPr>
    <w:rPr>
      <w:rFonts w:ascii="Arial" w:eastAsiaTheme="minorEastAsia" w:hAnsi="Arial" w:cs="Arial"/>
      <w:bCs w:val="0"/>
      <w:color w:val="B1004D"/>
      <w:spacing w:val="0"/>
      <w:kern w:val="32"/>
      <w:sz w:val="44"/>
      <w:szCs w:val="24"/>
    </w:rPr>
  </w:style>
  <w:style w:type="character" w:styleId="SubtleEmphasis">
    <w:name w:val="Subtle Emphasis"/>
    <w:basedOn w:val="DefaultParagraphFont"/>
    <w:uiPriority w:val="19"/>
    <w:rsid w:val="005E0044"/>
    <w:rPr>
      <w:i/>
      <w:iCs/>
      <w:color w:val="808080" w:themeColor="text1" w:themeTint="7F"/>
    </w:rPr>
  </w:style>
  <w:style w:type="paragraph" w:styleId="Quote">
    <w:name w:val="Quote"/>
    <w:basedOn w:val="Normal"/>
    <w:next w:val="Normal"/>
    <w:link w:val="QuoteChar"/>
    <w:uiPriority w:val="29"/>
    <w:qFormat/>
    <w:rsid w:val="005E0044"/>
    <w:pPr>
      <w:suppressAutoHyphens/>
      <w:spacing w:before="240" w:after="240" w:line="280" w:lineRule="atLeast"/>
      <w:ind w:left="567" w:right="567"/>
    </w:pPr>
    <w:rPr>
      <w:rFonts w:ascii="Arial" w:eastAsiaTheme="minorEastAsia" w:hAnsi="Arial" w:cs="Times New Roman"/>
      <w:iCs/>
      <w:color w:val="B00051"/>
      <w:spacing w:val="0"/>
      <w:sz w:val="20"/>
    </w:rPr>
  </w:style>
  <w:style w:type="character" w:customStyle="1" w:styleId="QuoteChar">
    <w:name w:val="Quote Char"/>
    <w:basedOn w:val="DefaultParagraphFont"/>
    <w:link w:val="Quote"/>
    <w:uiPriority w:val="29"/>
    <w:rsid w:val="005E0044"/>
    <w:rPr>
      <w:rFonts w:ascii="Arial" w:eastAsiaTheme="minorEastAsia" w:hAnsi="Arial" w:cs="Times New Roman"/>
      <w:iCs/>
      <w:color w:val="B00051"/>
      <w:sz w:val="20"/>
    </w:rPr>
  </w:style>
  <w:style w:type="paragraph" w:styleId="IntenseQuote">
    <w:name w:val="Intense Quote"/>
    <w:basedOn w:val="Normal"/>
    <w:next w:val="Normal"/>
    <w:link w:val="IntenseQuoteChar"/>
    <w:uiPriority w:val="30"/>
    <w:rsid w:val="005E0044"/>
    <w:pPr>
      <w:pBdr>
        <w:bottom w:val="single" w:sz="4" w:space="4" w:color="55246C" w:themeColor="accent1"/>
      </w:pBdr>
      <w:suppressAutoHyphens/>
      <w:spacing w:before="200" w:after="280" w:line="280" w:lineRule="atLeast"/>
      <w:ind w:left="936" w:right="936"/>
      <w:jc w:val="both"/>
    </w:pPr>
    <w:rPr>
      <w:rFonts w:ascii="Arial" w:eastAsiaTheme="minorEastAsia" w:hAnsi="Arial" w:cs="Times New Roman"/>
      <w:b/>
      <w:bCs/>
      <w:i/>
      <w:iCs/>
      <w:color w:val="55246C" w:themeColor="accent1"/>
      <w:spacing w:val="0"/>
      <w:sz w:val="20"/>
    </w:rPr>
  </w:style>
  <w:style w:type="character" w:customStyle="1" w:styleId="IntenseQuoteChar">
    <w:name w:val="Intense Quote Char"/>
    <w:basedOn w:val="DefaultParagraphFont"/>
    <w:link w:val="IntenseQuote"/>
    <w:uiPriority w:val="30"/>
    <w:rsid w:val="005E0044"/>
    <w:rPr>
      <w:rFonts w:ascii="Arial" w:eastAsiaTheme="minorEastAsia" w:hAnsi="Arial" w:cs="Times New Roman"/>
      <w:b/>
      <w:bCs/>
      <w:i/>
      <w:iCs/>
      <w:color w:val="55246C" w:themeColor="accent1"/>
      <w:sz w:val="20"/>
    </w:rPr>
  </w:style>
  <w:style w:type="character" w:styleId="SubtleReference">
    <w:name w:val="Subtle Reference"/>
    <w:basedOn w:val="DefaultParagraphFont"/>
    <w:uiPriority w:val="31"/>
    <w:rsid w:val="005E0044"/>
    <w:rPr>
      <w:smallCaps/>
      <w:color w:val="002A3F" w:themeColor="accent2"/>
      <w:u w:val="single"/>
    </w:rPr>
  </w:style>
  <w:style w:type="character" w:styleId="IntenseReference">
    <w:name w:val="Intense Reference"/>
    <w:basedOn w:val="DefaultParagraphFont"/>
    <w:uiPriority w:val="32"/>
    <w:rsid w:val="005E0044"/>
    <w:rPr>
      <w:b/>
      <w:bCs/>
      <w:smallCaps/>
      <w:color w:val="002A3F" w:themeColor="accent2"/>
      <w:spacing w:val="5"/>
      <w:u w:val="single"/>
    </w:rPr>
  </w:style>
  <w:style w:type="character" w:styleId="BookTitle">
    <w:name w:val="Book Title"/>
    <w:basedOn w:val="DefaultParagraphFont"/>
    <w:uiPriority w:val="33"/>
    <w:rsid w:val="005E0044"/>
    <w:rPr>
      <w:b/>
      <w:bCs/>
      <w:smallCaps/>
      <w:spacing w:val="5"/>
    </w:rPr>
  </w:style>
  <w:style w:type="paragraph" w:customStyle="1" w:styleId="Comment">
    <w:name w:val="Comment"/>
    <w:basedOn w:val="CommentTextBullet"/>
    <w:rsid w:val="005E0044"/>
  </w:style>
  <w:style w:type="table" w:styleId="TableClassic1">
    <w:name w:val="Table Classic 1"/>
    <w:basedOn w:val="TableNormal"/>
    <w:uiPriority w:val="99"/>
    <w:semiHidden/>
    <w:unhideWhenUsed/>
    <w:rsid w:val="005E0044"/>
    <w:pPr>
      <w:suppressAutoHyphens/>
      <w:spacing w:before="120" w:after="0" w:line="280" w:lineRule="atLeast"/>
      <w:jc w:val="both"/>
    </w:pPr>
    <w:rPr>
      <w:rFonts w:ascii="Times New Roman" w:eastAsiaTheme="minorEastAsia" w:hAnsi="Times New Roman" w:cs="Times New Roman"/>
      <w:lang w:val="en-US" w:eastAsia="ja-JP"/>
    </w:rPr>
    <w:tblPr/>
    <w:tblStylePr w:type="firstRow">
      <w:rPr>
        <w:i/>
        <w:iCs/>
      </w:rPr>
    </w:tblStylePr>
    <w:tblStylePr w:type="lastRow">
      <w:rPr>
        <w:color w:val="auto"/>
      </w:rPr>
    </w:tblStylePr>
    <w:tblStylePr w:type="neCell">
      <w:rPr>
        <w:b/>
        <w:bCs/>
        <w:i w:val="0"/>
        <w:iCs w:val="0"/>
      </w:rPr>
    </w:tblStylePr>
    <w:tblStylePr w:type="swCell">
      <w:rPr>
        <w:b/>
        <w:bCs/>
      </w:rPr>
    </w:tblStylePr>
  </w:style>
  <w:style w:type="table" w:styleId="LightShading">
    <w:name w:val="Light Shading"/>
    <w:basedOn w:val="TableNormal"/>
    <w:uiPriority w:val="60"/>
    <w:rsid w:val="005E0044"/>
    <w:pPr>
      <w:spacing w:after="0" w:line="240" w:lineRule="auto"/>
    </w:pPr>
    <w:rPr>
      <w:rFonts w:ascii="Times New Roman" w:eastAsiaTheme="minorEastAsia" w:hAnsi="Times New Roman" w:cs="Times New Roman"/>
      <w:color w:val="000000" w:themeColor="text1" w:themeShade="BF"/>
      <w:lang w:val="en-US" w:eastAsia="ja-JP"/>
    </w:rPr>
    <w:tblPr>
      <w:tblStyleRowBandSize w:val="1"/>
      <w:tblStyleColBandSize w:val="1"/>
    </w:tblPr>
    <w:tcPr>
      <w:tcBorders>
        <w:top w:val="single" w:sz="8" w:space="0" w:color="000000" w:themeColor="text1"/>
        <w:left w:val="nil"/>
        <w:bottom w:val="single" w:sz="8" w:space="0" w:color="000000" w:themeColor="text1"/>
        <w:right w:val="nil"/>
      </w:tcBorders>
      <w:shd w:val="clear" w:color="auto" w:fill="C0C0C0" w:themeFill="text1" w:themeFillTint="3F"/>
    </w:tcPr>
    <w:tblStylePr w:type="firstRow">
      <w:pPr>
        <w:spacing w:before="0" w:after="0" w:line="240" w:lineRule="auto"/>
      </w:pPr>
      <w:rPr>
        <w:b/>
        <w:bCs/>
      </w:rPr>
    </w:tblStylePr>
    <w:tblStylePr w:type="lastRow">
      <w:pPr>
        <w:spacing w:before="0" w:after="0" w:line="240" w:lineRule="auto"/>
      </w:pPr>
      <w:rPr>
        <w:b/>
        <w:bCs/>
      </w:rPr>
    </w:tblStylePr>
    <w:tblStylePr w:type="firstCol">
      <w:rPr>
        <w:b/>
        <w:bCs/>
      </w:rPr>
    </w:tblStylePr>
    <w:tblStylePr w:type="lastCol">
      <w:rPr>
        <w:b/>
        <w:bCs/>
      </w:rPr>
    </w:tblStylePr>
  </w:style>
  <w:style w:type="paragraph" w:customStyle="1" w:styleId="OverviewText">
    <w:name w:val="Overview Text"/>
    <w:basedOn w:val="BodyText"/>
    <w:rsid w:val="005E0044"/>
    <w:rPr>
      <w:color w:val="671565"/>
    </w:rPr>
  </w:style>
  <w:style w:type="paragraph" w:customStyle="1" w:styleId="KeyMessagesHeading">
    <w:name w:val="Key Messages Heading"/>
    <w:basedOn w:val="Heading1"/>
    <w:rsid w:val="005E0044"/>
    <w:pPr>
      <w:keepNext/>
      <w:keepLines/>
      <w:suppressAutoHyphens/>
      <w:spacing w:after="120"/>
      <w:contextualSpacing w:val="0"/>
    </w:pPr>
    <w:rPr>
      <w:rFonts w:ascii="Arial" w:eastAsiaTheme="minorEastAsia" w:hAnsi="Arial" w:cs="Arial"/>
      <w:bCs w:val="0"/>
      <w:color w:val="B1004D"/>
      <w:spacing w:val="0"/>
      <w:kern w:val="32"/>
      <w:sz w:val="38"/>
      <w:szCs w:val="24"/>
    </w:rPr>
  </w:style>
  <w:style w:type="paragraph" w:customStyle="1" w:styleId="KeyMessageslistbullet">
    <w:name w:val="Key Messages list bullet"/>
    <w:basedOn w:val="ListBullet"/>
    <w:rsid w:val="005E0044"/>
    <w:pPr>
      <w:tabs>
        <w:tab w:val="clear" w:pos="170"/>
      </w:tabs>
      <w:suppressAutoHyphens/>
      <w:spacing w:before="60" w:after="0"/>
      <w:ind w:left="0" w:firstLine="0"/>
    </w:pPr>
    <w:rPr>
      <w:color w:val="671565"/>
      <w:spacing w:val="0"/>
      <w:sz w:val="20"/>
      <w:lang w:eastAsia="en-US" w:bidi="en-US"/>
    </w:rPr>
  </w:style>
  <w:style w:type="paragraph" w:customStyle="1" w:styleId="Overview">
    <w:name w:val="Overview"/>
    <w:basedOn w:val="KeyMessagesHeading"/>
    <w:qFormat/>
    <w:rsid w:val="005E0044"/>
  </w:style>
  <w:style w:type="paragraph" w:customStyle="1" w:styleId="ListParagraph1">
    <w:name w:val="List Paragraph 1"/>
    <w:basedOn w:val="ListBullet"/>
    <w:next w:val="ListBullet"/>
    <w:rsid w:val="005E0044"/>
    <w:pPr>
      <w:tabs>
        <w:tab w:val="clear" w:pos="170"/>
        <w:tab w:val="left" w:pos="425"/>
      </w:tabs>
      <w:suppressAutoHyphens/>
      <w:spacing w:before="60" w:after="0"/>
      <w:ind w:left="0" w:firstLine="0"/>
    </w:pPr>
    <w:rPr>
      <w:color w:val="2C2624"/>
      <w:spacing w:val="0"/>
      <w:sz w:val="20"/>
      <w:lang w:eastAsia="en-US" w:bidi="en-US"/>
    </w:rPr>
  </w:style>
  <w:style w:type="paragraph" w:customStyle="1" w:styleId="TableHeading">
    <w:name w:val="Table Heading"/>
    <w:basedOn w:val="Normal"/>
    <w:rsid w:val="005E0044"/>
    <w:pPr>
      <w:keepNext/>
      <w:suppressAutoHyphens/>
      <w:spacing w:before="60" w:after="60" w:line="240" w:lineRule="auto"/>
    </w:pPr>
    <w:rPr>
      <w:rFonts w:ascii="Arial" w:eastAsia="Times New Roman" w:hAnsi="Arial" w:cs="Times New Roman"/>
      <w:color w:val="62136D"/>
      <w:spacing w:val="0"/>
      <w:sz w:val="16"/>
      <w:szCs w:val="18"/>
      <w:lang w:val="en-US" w:eastAsia="en-AU" w:bidi="en-US"/>
    </w:rPr>
  </w:style>
  <w:style w:type="paragraph" w:customStyle="1" w:styleId="TableTextIndent">
    <w:name w:val="Table Text Indent"/>
    <w:basedOn w:val="Normal"/>
    <w:rsid w:val="005E0044"/>
    <w:pPr>
      <w:keepNext/>
      <w:suppressAutoHyphens/>
      <w:spacing w:before="60" w:after="60" w:line="240" w:lineRule="auto"/>
      <w:ind w:left="227"/>
    </w:pPr>
    <w:rPr>
      <w:rFonts w:ascii="Arial" w:eastAsia="Times New Roman" w:hAnsi="Arial" w:cs="Times New Roman"/>
      <w:color w:val="2C2624"/>
      <w:spacing w:val="0"/>
      <w:sz w:val="16"/>
      <w:szCs w:val="18"/>
      <w:lang w:val="en-US" w:eastAsia="en-AU" w:bidi="en-US"/>
    </w:rPr>
  </w:style>
  <w:style w:type="paragraph" w:customStyle="1" w:styleId="TableNumber1">
    <w:name w:val="Table Number 1"/>
    <w:basedOn w:val="Normal"/>
    <w:rsid w:val="005E0044"/>
    <w:pPr>
      <w:keepNext/>
      <w:numPr>
        <w:numId w:val="17"/>
      </w:numPr>
      <w:suppressAutoHyphens/>
      <w:spacing w:before="60" w:after="60" w:line="240" w:lineRule="auto"/>
      <w:ind w:left="0" w:firstLine="0"/>
    </w:pPr>
    <w:rPr>
      <w:rFonts w:ascii="Arial" w:eastAsia="Times New Roman" w:hAnsi="Arial" w:cs="Times New Roman"/>
      <w:color w:val="2C2624"/>
      <w:spacing w:val="0"/>
      <w:sz w:val="16"/>
      <w:szCs w:val="20"/>
      <w:lang w:val="en-US" w:eastAsia="en-AU" w:bidi="en-US"/>
    </w:rPr>
  </w:style>
  <w:style w:type="paragraph" w:customStyle="1" w:styleId="TableNumber2">
    <w:name w:val="Table Number 2"/>
    <w:basedOn w:val="Normal"/>
    <w:rsid w:val="005E0044"/>
    <w:pPr>
      <w:keepNext/>
      <w:numPr>
        <w:numId w:val="19"/>
      </w:numPr>
      <w:suppressAutoHyphens/>
      <w:spacing w:before="60" w:after="60" w:line="240" w:lineRule="auto"/>
      <w:ind w:left="0" w:firstLine="0"/>
    </w:pPr>
    <w:rPr>
      <w:rFonts w:ascii="Arial" w:eastAsia="Times New Roman" w:hAnsi="Arial" w:cs="Times New Roman"/>
      <w:color w:val="2C2624"/>
      <w:spacing w:val="0"/>
      <w:sz w:val="16"/>
      <w:szCs w:val="20"/>
      <w:lang w:val="en-US" w:eastAsia="en-AU" w:bidi="en-US"/>
    </w:rPr>
  </w:style>
  <w:style w:type="paragraph" w:customStyle="1" w:styleId="TableTextCentre">
    <w:name w:val="Table Text Centre"/>
    <w:basedOn w:val="Normal"/>
    <w:rsid w:val="005E0044"/>
    <w:pPr>
      <w:keepNext/>
      <w:suppressAutoHyphens/>
      <w:spacing w:before="60" w:after="60" w:line="240" w:lineRule="auto"/>
      <w:jc w:val="center"/>
    </w:pPr>
    <w:rPr>
      <w:rFonts w:ascii="Arial" w:eastAsia="Times New Roman" w:hAnsi="Arial" w:cs="Times New Roman"/>
      <w:color w:val="2C2624"/>
      <w:spacing w:val="0"/>
      <w:sz w:val="16"/>
      <w:szCs w:val="20"/>
      <w:lang w:val="en-US" w:eastAsia="en-AU" w:bidi="en-US"/>
    </w:rPr>
  </w:style>
  <w:style w:type="paragraph" w:customStyle="1" w:styleId="TableTextAligned">
    <w:name w:val="Table Text Aligned"/>
    <w:basedOn w:val="Normal"/>
    <w:rsid w:val="005E0044"/>
    <w:pPr>
      <w:keepNext/>
      <w:tabs>
        <w:tab w:val="decimal" w:pos="1038"/>
      </w:tabs>
      <w:suppressAutoHyphens/>
      <w:spacing w:before="60" w:after="60" w:line="240" w:lineRule="auto"/>
    </w:pPr>
    <w:rPr>
      <w:rFonts w:ascii="Arial" w:eastAsia="Times New Roman" w:hAnsi="Arial" w:cs="Times New Roman"/>
      <w:color w:val="2C2624"/>
      <w:spacing w:val="0"/>
      <w:sz w:val="16"/>
      <w:szCs w:val="20"/>
      <w:lang w:val="en-US" w:eastAsia="en-AU" w:bidi="en-US"/>
    </w:rPr>
  </w:style>
  <w:style w:type="paragraph" w:customStyle="1" w:styleId="TableBullet2">
    <w:name w:val="Table Bullet 2"/>
    <w:basedOn w:val="Normal"/>
    <w:rsid w:val="005E0044"/>
    <w:pPr>
      <w:keepNext/>
      <w:numPr>
        <w:numId w:val="18"/>
      </w:numPr>
      <w:suppressAutoHyphens/>
      <w:spacing w:before="60" w:after="60" w:line="240" w:lineRule="auto"/>
      <w:ind w:left="0" w:firstLine="0"/>
    </w:pPr>
    <w:rPr>
      <w:rFonts w:ascii="Arial" w:eastAsia="Times New Roman" w:hAnsi="Arial" w:cs="Times New Roman"/>
      <w:color w:val="2C2624"/>
      <w:spacing w:val="0"/>
      <w:sz w:val="16"/>
      <w:szCs w:val="18"/>
      <w:lang w:val="en-US" w:eastAsia="en-AU" w:bidi="en-US"/>
    </w:rPr>
  </w:style>
  <w:style w:type="paragraph" w:customStyle="1" w:styleId="BoxHeading1">
    <w:name w:val="Box Heading 1"/>
    <w:basedOn w:val="Normal"/>
    <w:rsid w:val="005E0044"/>
    <w:pPr>
      <w:keepNext/>
      <w:keepLines/>
      <w:shd w:val="pct5" w:color="auto" w:fill="auto"/>
      <w:suppressAutoHyphens/>
      <w:spacing w:before="360" w:after="360" w:line="240" w:lineRule="auto"/>
      <w:textboxTightWrap w:val="allLines"/>
    </w:pPr>
    <w:rPr>
      <w:rFonts w:ascii="Arial" w:eastAsiaTheme="minorEastAsia" w:hAnsi="Arial" w:cs="Arial"/>
      <w:color w:val="0E2841" w:themeColor="text2"/>
      <w:spacing w:val="0"/>
      <w:kern w:val="32"/>
      <w:sz w:val="32"/>
      <w:szCs w:val="32"/>
    </w:rPr>
  </w:style>
  <w:style w:type="paragraph" w:customStyle="1" w:styleId="BoxText">
    <w:name w:val="Box Text"/>
    <w:basedOn w:val="Normal"/>
    <w:rsid w:val="005E0044"/>
    <w:pPr>
      <w:shd w:val="pct5" w:color="auto" w:fill="auto"/>
      <w:suppressAutoHyphens/>
      <w:spacing w:before="120" w:after="0" w:line="280" w:lineRule="atLeast"/>
    </w:pPr>
    <w:rPr>
      <w:rFonts w:ascii="Arial" w:eastAsia="Times New Roman" w:hAnsi="Arial" w:cs="Times New Roman"/>
      <w:color w:val="2C2624"/>
      <w:spacing w:val="0"/>
      <w:sz w:val="20"/>
      <w:lang w:bidi="en-US"/>
    </w:rPr>
  </w:style>
  <w:style w:type="paragraph" w:customStyle="1" w:styleId="BoxBulletList">
    <w:name w:val="Box Bullet List"/>
    <w:basedOn w:val="Normal"/>
    <w:rsid w:val="005E0044"/>
    <w:pPr>
      <w:numPr>
        <w:numId w:val="15"/>
      </w:numPr>
      <w:shd w:val="pct5" w:color="auto" w:fill="auto"/>
      <w:suppressAutoHyphens/>
      <w:spacing w:before="120" w:after="0" w:line="280" w:lineRule="atLeast"/>
      <w:ind w:left="0" w:firstLine="0"/>
    </w:pPr>
    <w:rPr>
      <w:rFonts w:ascii="Arial" w:eastAsia="Times New Roman" w:hAnsi="Arial" w:cs="Times New Roman"/>
      <w:color w:val="2C2624"/>
      <w:spacing w:val="0"/>
      <w:sz w:val="20"/>
      <w:lang w:bidi="en-US"/>
    </w:rPr>
  </w:style>
  <w:style w:type="paragraph" w:customStyle="1" w:styleId="BoxHeading2">
    <w:name w:val="Box Heading 2"/>
    <w:basedOn w:val="Normal"/>
    <w:rsid w:val="005E0044"/>
    <w:pPr>
      <w:keepNext/>
      <w:keepLines/>
      <w:shd w:val="pct5" w:color="auto" w:fill="auto"/>
      <w:suppressAutoHyphens/>
      <w:spacing w:before="240" w:after="120" w:line="240" w:lineRule="auto"/>
    </w:pPr>
    <w:rPr>
      <w:rFonts w:ascii="Arial" w:eastAsiaTheme="minorEastAsia" w:hAnsi="Arial" w:cs="Arial"/>
      <w:color w:val="671565"/>
      <w:spacing w:val="0"/>
      <w:kern w:val="32"/>
      <w:sz w:val="26"/>
      <w:szCs w:val="26"/>
    </w:rPr>
  </w:style>
  <w:style w:type="paragraph" w:customStyle="1" w:styleId="BoxNumberedList">
    <w:name w:val="Box Numbered List"/>
    <w:basedOn w:val="Normal"/>
    <w:rsid w:val="005E0044"/>
    <w:pPr>
      <w:numPr>
        <w:numId w:val="16"/>
      </w:numPr>
      <w:shd w:val="pct5" w:color="auto" w:fill="auto"/>
      <w:suppressAutoHyphens/>
      <w:spacing w:before="120" w:after="0" w:line="280" w:lineRule="atLeast"/>
      <w:ind w:left="0" w:firstLine="0"/>
    </w:pPr>
    <w:rPr>
      <w:rFonts w:ascii="Arial" w:eastAsia="Times New Roman" w:hAnsi="Arial" w:cs="Times New Roman"/>
      <w:color w:val="2C2624"/>
      <w:spacing w:val="0"/>
      <w:sz w:val="20"/>
      <w:lang w:bidi="en-US"/>
    </w:rPr>
  </w:style>
  <w:style w:type="paragraph" w:customStyle="1" w:styleId="BoxNotesandSource">
    <w:name w:val="Box Notes and Source"/>
    <w:basedOn w:val="Normal"/>
    <w:rsid w:val="005E0044"/>
    <w:pPr>
      <w:shd w:val="pct5" w:color="auto" w:fill="auto"/>
      <w:suppressAutoHyphens/>
      <w:spacing w:before="120" w:after="0" w:line="280" w:lineRule="atLeast"/>
      <w:ind w:left="709" w:hanging="709"/>
    </w:pPr>
    <w:rPr>
      <w:rFonts w:ascii="Arial" w:eastAsia="Times New Roman" w:hAnsi="Arial" w:cs="Times New Roman"/>
      <w:color w:val="2C2624"/>
      <w:spacing w:val="0"/>
      <w:sz w:val="16"/>
      <w:szCs w:val="16"/>
      <w:lang w:bidi="en-US"/>
    </w:rPr>
  </w:style>
  <w:style w:type="character" w:customStyle="1" w:styleId="charItalic">
    <w:name w:val="char Italic"/>
    <w:basedOn w:val="DefaultParagraphFont"/>
    <w:uiPriority w:val="1"/>
    <w:rsid w:val="005E0044"/>
    <w:rPr>
      <w:i/>
    </w:rPr>
  </w:style>
  <w:style w:type="character" w:customStyle="1" w:styleId="charBold">
    <w:name w:val="char Bold"/>
    <w:basedOn w:val="DefaultParagraphFont"/>
    <w:uiPriority w:val="1"/>
    <w:rsid w:val="005E0044"/>
    <w:rPr>
      <w:b/>
    </w:rPr>
  </w:style>
  <w:style w:type="paragraph" w:customStyle="1" w:styleId="FigureSub-Caption">
    <w:name w:val="Figure Sub-Caption"/>
    <w:basedOn w:val="BodyText"/>
    <w:rsid w:val="005E0044"/>
    <w:pPr>
      <w:spacing w:before="0" w:after="80"/>
    </w:pPr>
    <w:rPr>
      <w:b/>
      <w:color w:val="636667"/>
      <w:sz w:val="18"/>
      <w:szCs w:val="18"/>
      <w:lang w:val="en-US" w:eastAsia="ja-JP"/>
    </w:rPr>
  </w:style>
  <w:style w:type="paragraph" w:customStyle="1" w:styleId="Authoraffiliations">
    <w:name w:val="Author affiliations"/>
    <w:basedOn w:val="Reportauthors"/>
    <w:rsid w:val="005E0044"/>
    <w:rPr>
      <w:i/>
      <w:iCs/>
      <w:color w:val="auto"/>
    </w:rPr>
  </w:style>
  <w:style w:type="paragraph" w:customStyle="1" w:styleId="pf0">
    <w:name w:val="pf0"/>
    <w:basedOn w:val="Normal"/>
    <w:rsid w:val="005E0044"/>
    <w:pPr>
      <w:spacing w:before="100" w:beforeAutospacing="1" w:after="100" w:afterAutospacing="1" w:line="240" w:lineRule="auto"/>
    </w:pPr>
    <w:rPr>
      <w:rFonts w:ascii="Times New Roman" w:eastAsia="Times New Roman" w:hAnsi="Times New Roman" w:cs="Times New Roman"/>
      <w:spacing w:val="0"/>
      <w:sz w:val="24"/>
      <w:lang w:eastAsia="en-AU"/>
    </w:rPr>
  </w:style>
  <w:style w:type="character" w:customStyle="1" w:styleId="cf01">
    <w:name w:val="cf01"/>
    <w:basedOn w:val="DefaultParagraphFont"/>
    <w:rsid w:val="005E0044"/>
    <w:rPr>
      <w:rFonts w:ascii="Segoe UI" w:hAnsi="Segoe UI" w:cs="Segoe UI" w:hint="default"/>
      <w:color w:val="2C2624"/>
      <w:sz w:val="18"/>
      <w:szCs w:val="18"/>
    </w:rPr>
  </w:style>
  <w:style w:type="paragraph" w:customStyle="1" w:styleId="EndNoteBibliography">
    <w:name w:val="EndNote Bibliography"/>
    <w:basedOn w:val="Normal"/>
    <w:link w:val="EndNoteBibliographyChar"/>
    <w:rsid w:val="005E0044"/>
    <w:pPr>
      <w:spacing w:after="160" w:line="240" w:lineRule="auto"/>
    </w:pPr>
    <w:rPr>
      <w:rFonts w:ascii="Aptos" w:hAnsi="Aptos"/>
      <w:noProof/>
      <w:spacing w:val="0"/>
      <w:kern w:val="2"/>
      <w:sz w:val="24"/>
      <w:lang w:val="en-US"/>
      <w14:ligatures w14:val="standardContextual"/>
    </w:rPr>
  </w:style>
  <w:style w:type="character" w:customStyle="1" w:styleId="EndNoteBibliographyChar">
    <w:name w:val="EndNote Bibliography Char"/>
    <w:basedOn w:val="DefaultParagraphFont"/>
    <w:link w:val="EndNoteBibliography"/>
    <w:rsid w:val="005E0044"/>
    <w:rPr>
      <w:rFonts w:ascii="Aptos" w:hAnsi="Aptos"/>
      <w:noProof/>
      <w:kern w:val="2"/>
      <w:lang w:val="en-US"/>
      <w14:ligatures w14:val="standardContextual"/>
    </w:rPr>
  </w:style>
  <w:style w:type="paragraph" w:customStyle="1" w:styleId="Style1">
    <w:name w:val="Style1"/>
    <w:basedOn w:val="TOCHeading"/>
    <w:link w:val="Style1Char"/>
    <w:qFormat/>
    <w:rsid w:val="00F609FE"/>
    <w:rPr>
      <w:color w:val="F9BECF"/>
    </w:rPr>
  </w:style>
  <w:style w:type="character" w:customStyle="1" w:styleId="TOCHeadingChar">
    <w:name w:val="TOC Heading Char"/>
    <w:basedOn w:val="Heading2Char"/>
    <w:link w:val="TOCHeading"/>
    <w:uiPriority w:val="39"/>
    <w:rsid w:val="00F609FE"/>
    <w:rPr>
      <w:rFonts w:ascii="Calibri" w:eastAsiaTheme="majorEastAsia" w:hAnsi="Calibri" w:cstheme="majorBidi"/>
      <w:b/>
      <w:bCs/>
      <w:color w:val="002A3F" w:themeColor="accent2"/>
      <w:spacing w:val="3"/>
      <w:sz w:val="40"/>
      <w:szCs w:val="26"/>
    </w:rPr>
  </w:style>
  <w:style w:type="character" w:customStyle="1" w:styleId="Style1Char">
    <w:name w:val="Style1 Char"/>
    <w:basedOn w:val="TOCHeadingChar"/>
    <w:link w:val="Style1"/>
    <w:rsid w:val="00F609FE"/>
    <w:rPr>
      <w:rFonts w:ascii="Calibri" w:eastAsiaTheme="majorEastAsia" w:hAnsi="Calibri" w:cstheme="majorBidi"/>
      <w:b/>
      <w:bCs/>
      <w:color w:val="F9BECF"/>
      <w:spacing w:val="3"/>
      <w:sz w:val="40"/>
      <w:szCs w:val="26"/>
    </w:rPr>
  </w:style>
  <w:style w:type="paragraph" w:customStyle="1" w:styleId="Style2">
    <w:name w:val="Style2"/>
    <w:basedOn w:val="Focus-pink"/>
    <w:link w:val="Style2Char"/>
    <w:qFormat/>
    <w:rsid w:val="006D0B4F"/>
    <w:rPr>
      <w:b/>
      <w:color w:val="002A3F" w:themeColor="accent2"/>
      <w:sz w:val="40"/>
    </w:rPr>
  </w:style>
  <w:style w:type="character" w:customStyle="1" w:styleId="Focus-blueChar">
    <w:name w:val="Focus - blue Char"/>
    <w:basedOn w:val="DefaultParagraphFont"/>
    <w:link w:val="Focus-blue"/>
    <w:uiPriority w:val="7"/>
    <w:rsid w:val="00F609FE"/>
    <w:rPr>
      <w:rFonts w:ascii="Calibri" w:hAnsi="Calibri"/>
      <w:spacing w:val="3"/>
      <w:sz w:val="22"/>
      <w:shd w:val="clear" w:color="auto" w:fill="E0F5FD" w:themeFill="accent4" w:themeFillTint="33"/>
    </w:rPr>
  </w:style>
  <w:style w:type="character" w:customStyle="1" w:styleId="Focus-pinkChar">
    <w:name w:val="Focus - pink Char"/>
    <w:basedOn w:val="Focus-blueChar"/>
    <w:link w:val="Focus-pink"/>
    <w:uiPriority w:val="7"/>
    <w:rsid w:val="00F609FE"/>
    <w:rPr>
      <w:rFonts w:ascii="Calibri" w:hAnsi="Calibri"/>
      <w:spacing w:val="3"/>
      <w:sz w:val="22"/>
      <w:shd w:val="clear" w:color="auto" w:fill="FCDEE6" w:themeFill="accent3" w:themeFillTint="33"/>
    </w:rPr>
  </w:style>
  <w:style w:type="character" w:customStyle="1" w:styleId="Style2Char">
    <w:name w:val="Style2 Char"/>
    <w:basedOn w:val="Focus-pinkChar"/>
    <w:link w:val="Style2"/>
    <w:rsid w:val="006D0B4F"/>
    <w:rPr>
      <w:rFonts w:ascii="Calibri" w:hAnsi="Calibri"/>
      <w:b/>
      <w:color w:val="002A3F" w:themeColor="accent2"/>
      <w:spacing w:val="3"/>
      <w:sz w:val="40"/>
      <w:shd w:val="clear" w:color="auto" w:fill="FCDEE6" w:themeFill="accent3" w:themeFillTint="33"/>
    </w:rPr>
  </w:style>
  <w:style w:type="paragraph" w:customStyle="1" w:styleId="Style3">
    <w:name w:val="Style3"/>
    <w:basedOn w:val="Focus-green"/>
    <w:link w:val="Style3Char"/>
    <w:qFormat/>
    <w:rsid w:val="00EE29BD"/>
    <w:rPr>
      <w:color w:val="002A3F" w:themeColor="accent2"/>
      <w:sz w:val="32"/>
    </w:rPr>
  </w:style>
  <w:style w:type="character" w:customStyle="1" w:styleId="Focus-greenChar">
    <w:name w:val="Focus - green Char"/>
    <w:basedOn w:val="Focus-blueChar"/>
    <w:link w:val="Focus-green"/>
    <w:uiPriority w:val="7"/>
    <w:rsid w:val="00EE29BD"/>
    <w:rPr>
      <w:rFonts w:ascii="Calibri" w:hAnsi="Calibri"/>
      <w:spacing w:val="3"/>
      <w:sz w:val="22"/>
      <w:shd w:val="clear" w:color="auto" w:fill="EFF4D5" w:themeFill="accent5" w:themeFillTint="33"/>
    </w:rPr>
  </w:style>
  <w:style w:type="character" w:customStyle="1" w:styleId="Style3Char">
    <w:name w:val="Style3 Char"/>
    <w:basedOn w:val="Focus-greenChar"/>
    <w:link w:val="Style3"/>
    <w:rsid w:val="00EE29BD"/>
    <w:rPr>
      <w:rFonts w:ascii="Calibri" w:hAnsi="Calibri"/>
      <w:color w:val="002A3F" w:themeColor="accent2"/>
      <w:spacing w:val="3"/>
      <w:sz w:val="32"/>
      <w:shd w:val="clear" w:color="auto" w:fill="EFF4D5" w:themeFill="accent5" w:themeFillTint="33"/>
    </w:rPr>
  </w:style>
  <w:style w:type="table" w:styleId="GridTable5Dark-Accent3">
    <w:name w:val="Grid Table 5 Dark Accent 3"/>
    <w:basedOn w:val="TableNormal"/>
    <w:uiPriority w:val="50"/>
    <w:rsid w:val="00450E57"/>
    <w:pPr>
      <w:spacing w:after="0" w:line="240" w:lineRule="auto"/>
    </w:pPr>
    <w:rPr>
      <w:rFonts w:eastAsiaTheme="minorEastAsia"/>
      <w:sz w:val="21"/>
      <w:szCs w:val="21"/>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DEE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5D8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5D8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5D8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5D88" w:themeFill="accent3"/>
      </w:tcPr>
    </w:tblStylePr>
    <w:tblStylePr w:type="band1Vert">
      <w:tblPr/>
      <w:tcPr>
        <w:shd w:val="clear" w:color="auto" w:fill="F9BECF" w:themeFill="accent3" w:themeFillTint="66"/>
      </w:tcPr>
    </w:tblStylePr>
    <w:tblStylePr w:type="band1Horz">
      <w:tblPr/>
      <w:tcPr>
        <w:shd w:val="clear" w:color="auto" w:fill="F9BECF"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9567503">
      <w:bodyDiv w:val="1"/>
      <w:marLeft w:val="0"/>
      <w:marRight w:val="0"/>
      <w:marTop w:val="0"/>
      <w:marBottom w:val="0"/>
      <w:divBdr>
        <w:top w:val="none" w:sz="0" w:space="0" w:color="auto"/>
        <w:left w:val="none" w:sz="0" w:space="0" w:color="auto"/>
        <w:bottom w:val="none" w:sz="0" w:space="0" w:color="auto"/>
        <w:right w:val="none" w:sz="0" w:space="0" w:color="auto"/>
      </w:divBdr>
      <w:divsChild>
        <w:div w:id="685712420">
          <w:marLeft w:val="0"/>
          <w:marRight w:val="0"/>
          <w:marTop w:val="0"/>
          <w:marBottom w:val="0"/>
          <w:divBdr>
            <w:top w:val="none" w:sz="0" w:space="0" w:color="auto"/>
            <w:left w:val="none" w:sz="0" w:space="0" w:color="auto"/>
            <w:bottom w:val="none" w:sz="0" w:space="0" w:color="auto"/>
            <w:right w:val="none" w:sz="0" w:space="0" w:color="auto"/>
          </w:divBdr>
          <w:divsChild>
            <w:div w:id="537396966">
              <w:marLeft w:val="0"/>
              <w:marRight w:val="0"/>
              <w:marTop w:val="90"/>
              <w:marBottom w:val="0"/>
              <w:divBdr>
                <w:top w:val="single" w:sz="6" w:space="5" w:color="666666"/>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pmc.gov.au/honours-and-symbols/commonwealth-coat-arms" TargetMode="External"/><Relationship Id="rId26" Type="http://schemas.openxmlformats.org/officeDocument/2006/relationships/hyperlink" Target="https://www.dss.gov.au/families-and-children-programs-services-early-years-strategy/evidence-summary-why-children-and-their-early-years-matter" TargetMode="External"/><Relationship Id="rId39" Type="http://schemas.openxmlformats.org/officeDocument/2006/relationships/image" Target="media/image10.png"/><Relationship Id="rId21" Type="http://schemas.openxmlformats.org/officeDocument/2006/relationships/image" Target="media/image6.png"/><Relationship Id="rId34" Type="http://schemas.openxmlformats.org/officeDocument/2006/relationships/hyperlink" Target="https://www.disabilitygateway.gov.au/sites/default/files/documents/2025-01/5831-dss3513-ads-strategy-2021.pdf" TargetMode="External"/><Relationship Id="rId42" Type="http://schemas.openxmlformats.org/officeDocument/2006/relationships/image" Target="media/image13.jpg"/><Relationship Id="rId47" Type="http://schemas.openxmlformats.org/officeDocument/2006/relationships/image" Target="media/image18.emf"/><Relationship Id="rId50" Type="http://schemas.openxmlformats.org/officeDocument/2006/relationships/footer" Target="footer5.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hyperlink" Target="https://www.dss.gov.au/system/files/documents/2024-12/eys-outcomes-framework.pdf" TargetMode="External"/><Relationship Id="rId11" Type="http://schemas.openxmlformats.org/officeDocument/2006/relationships/image" Target="media/image1.png"/><Relationship Id="rId24" Type="http://schemas.openxmlformats.org/officeDocument/2006/relationships/header" Target="header3.xml"/><Relationship Id="rId32" Type="http://schemas.openxmlformats.org/officeDocument/2006/relationships/hyperlink" Target="https://www.dss.gov.au/system/files/resources/national-plan-end-violence-against-women-and-children-2022-2032.pdf" TargetMode="External"/><Relationship Id="rId37" Type="http://schemas.openxmlformats.org/officeDocument/2006/relationships/hyperlink" Target="https://evaluation.treasury.gov.au/toolkit/commonwealth-evaluation-toolkit" TargetMode="External"/><Relationship Id="rId40" Type="http://schemas.openxmlformats.org/officeDocument/2006/relationships/image" Target="media/image11.jpg"/><Relationship Id="rId45" Type="http://schemas.openxmlformats.org/officeDocument/2006/relationships/image" Target="media/image16.png"/><Relationship Id="rId5" Type="http://schemas.openxmlformats.org/officeDocument/2006/relationships/numbering" Target="numbering.xml"/><Relationship Id="rId15" Type="http://schemas.openxmlformats.org/officeDocument/2006/relationships/footer" Target="footer3.xml"/><Relationship Id="rId23" Type="http://schemas.openxmlformats.org/officeDocument/2006/relationships/header" Target="header2.xml"/><Relationship Id="rId28" Type="http://schemas.openxmlformats.org/officeDocument/2006/relationships/hyperlink" Target="https://www.dss.gov.au/early-years-strategy/resource/first-action-plan-2024-2027" TargetMode="External"/><Relationship Id="rId36" Type="http://schemas.openxmlformats.org/officeDocument/2006/relationships/hyperlink" Target="https://evaluation.treasury.gov.au/about/commonwealth-evaluation-policy" TargetMode="External"/><Relationship Id="rId49" Type="http://schemas.openxmlformats.org/officeDocument/2006/relationships/header" Target="header4.xml"/><Relationship Id="rId10" Type="http://schemas.openxmlformats.org/officeDocument/2006/relationships/endnotes" Target="endnotes.xml"/><Relationship Id="rId19" Type="http://schemas.openxmlformats.org/officeDocument/2006/relationships/image" Target="media/image4.jpg"/><Relationship Id="rId31" Type="http://schemas.openxmlformats.org/officeDocument/2006/relationships/hyperlink" Target="https://www.dss.gov.au/system/files/documents/2024-10/dess5016-national-framework-protecting-childrenaccessible.pdf" TargetMode="External"/><Relationship Id="rId44" Type="http://schemas.openxmlformats.org/officeDocument/2006/relationships/image" Target="media/image15.png"/><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eader" Target="header1.xml"/><Relationship Id="rId27" Type="http://schemas.openxmlformats.org/officeDocument/2006/relationships/hyperlink" Target="https://www.dss.gov.au/families-and-children-programs-services-early-years-strategy/the-early-years-strategy-consultation-report-2023" TargetMode="External"/><Relationship Id="rId30" Type="http://schemas.openxmlformats.org/officeDocument/2006/relationships/image" Target="media/image7.png"/><Relationship Id="rId35" Type="http://schemas.openxmlformats.org/officeDocument/2006/relationships/image" Target="media/image8.jpg"/><Relationship Id="rId43" Type="http://schemas.openxmlformats.org/officeDocument/2006/relationships/image" Target="media/image14.jpg"/><Relationship Id="rId48" Type="http://schemas.openxmlformats.org/officeDocument/2006/relationships/footer" Target="footer4.xml"/><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dss.gov.au" TargetMode="External"/><Relationship Id="rId25" Type="http://schemas.openxmlformats.org/officeDocument/2006/relationships/hyperlink" Target="https://www.dss.gov.au/early-years-strategy" TargetMode="External"/><Relationship Id="rId33" Type="http://schemas.openxmlformats.org/officeDocument/2006/relationships/hyperlink" Target="https://www.closingthegap.gov.au/national-agreement/national-agreement-closing-the-gap" TargetMode="External"/><Relationship Id="rId38" Type="http://schemas.openxmlformats.org/officeDocument/2006/relationships/image" Target="media/image9.jpg"/><Relationship Id="rId46" Type="http://schemas.openxmlformats.org/officeDocument/2006/relationships/image" Target="media/image17.jpg"/><Relationship Id="rId20" Type="http://schemas.openxmlformats.org/officeDocument/2006/relationships/image" Target="media/image5.png"/><Relationship Id="rId41"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styles" Target="styles.xml"/></Relationships>
</file>

<file path=word/theme/theme1.xml><?xml version="1.0" encoding="utf-8"?>
<a:theme xmlns:a="http://schemas.openxmlformats.org/drawingml/2006/main" name="National-Plan-EGBV">
  <a:themeElements>
    <a:clrScheme name="Custom 2">
      <a:dk1>
        <a:srgbClr val="000000"/>
      </a:dk1>
      <a:lt1>
        <a:srgbClr val="FFFFFF"/>
      </a:lt1>
      <a:dk2>
        <a:srgbClr val="0E2841"/>
      </a:dk2>
      <a:lt2>
        <a:srgbClr val="E8E8E8"/>
      </a:lt2>
      <a:accent1>
        <a:srgbClr val="55246C"/>
      </a:accent1>
      <a:accent2>
        <a:srgbClr val="002A3F"/>
      </a:accent2>
      <a:accent3>
        <a:srgbClr val="F05D88"/>
      </a:accent3>
      <a:accent4>
        <a:srgbClr val="68CEF6"/>
      </a:accent4>
      <a:accent5>
        <a:srgbClr val="B3C934"/>
      </a:accent5>
      <a:accent6>
        <a:srgbClr val="FCB017"/>
      </a:accent6>
      <a:hlink>
        <a:srgbClr val="00A59D"/>
      </a:hlink>
      <a:folHlink>
        <a:srgbClr val="96607D"/>
      </a:folHlink>
    </a:clrScheme>
    <a:fontScheme name="DSS 2023 - Tahoma">
      <a:majorFont>
        <a:latin typeface="Tahoma"/>
        <a:ea typeface=""/>
        <a:cs typeface=""/>
      </a:majorFont>
      <a:minorFont>
        <a:latin typeface="Tahoma"/>
        <a:ea typeface=""/>
        <a:cs typeface=""/>
      </a:minorFont>
    </a:fontScheme>
    <a:fmtScheme name="Clarity">
      <a:fillStyleLst>
        <a:solidFill>
          <a:schemeClr val="phClr"/>
        </a:solidFill>
        <a:gradFill rotWithShape="1">
          <a:gsLst>
            <a:gs pos="0">
              <a:schemeClr val="phClr">
                <a:tint val="50000"/>
                <a:shade val="86000"/>
                <a:satMod val="140000"/>
              </a:schemeClr>
            </a:gs>
            <a:gs pos="45000">
              <a:schemeClr val="phClr">
                <a:tint val="48000"/>
                <a:satMod val="150000"/>
              </a:schemeClr>
            </a:gs>
            <a:gs pos="100000">
              <a:schemeClr val="phClr">
                <a:tint val="28000"/>
                <a:satMod val="160000"/>
              </a:schemeClr>
            </a:gs>
          </a:gsLst>
          <a:path path="circle">
            <a:fillToRect l="100000" t="100000" r="100000" b="100000"/>
          </a:path>
        </a:gradFill>
        <a:gradFill rotWithShape="1">
          <a:gsLst>
            <a:gs pos="0">
              <a:schemeClr val="phClr">
                <a:shade val="70000"/>
                <a:satMod val="150000"/>
              </a:schemeClr>
            </a:gs>
            <a:gs pos="34000">
              <a:schemeClr val="phClr">
                <a:shade val="70000"/>
                <a:satMod val="140000"/>
              </a:schemeClr>
            </a:gs>
            <a:gs pos="70000">
              <a:schemeClr val="phClr">
                <a:tint val="100000"/>
                <a:shade val="90000"/>
                <a:satMod val="140000"/>
              </a:schemeClr>
            </a:gs>
            <a:gs pos="100000">
              <a:schemeClr val="phClr">
                <a:tint val="100000"/>
                <a:shade val="100000"/>
                <a:satMod val="100000"/>
              </a:schemeClr>
            </a:gs>
          </a:gsLst>
          <a:path path="circle">
            <a:fillToRect l="100000" t="100000" r="100000" b="100000"/>
          </a:path>
        </a:gradFill>
      </a:fillStyleLst>
      <a:lnStyleLst>
        <a:ln w="9525" cap="flat" cmpd="sng" algn="ctr">
          <a:solidFill>
            <a:schemeClr val="phClr"/>
          </a:solidFill>
          <a:prstDash val="solid"/>
        </a:ln>
        <a:ln w="26425" cap="flat" cmpd="sng" algn="ctr">
          <a:solidFill>
            <a:schemeClr val="phClr"/>
          </a:solidFill>
          <a:prstDash val="solid"/>
        </a:ln>
        <a:ln w="44450" cap="flat" cmpd="sng" algn="ctr">
          <a:solidFill>
            <a:schemeClr val="phClr"/>
          </a:solidFill>
          <a:prstDash val="solid"/>
        </a:ln>
      </a:lnStyleLst>
      <a:effectStyleLst>
        <a:effectStyle>
          <a:effectLst/>
        </a:effectStyle>
        <a:effectStyle>
          <a:effectLst>
            <a:outerShdw blurRad="38100" dist="25400" dir="2700000" algn="br" rotWithShape="0">
              <a:srgbClr val="000000">
                <a:alpha val="60000"/>
              </a:srgbClr>
            </a:outerShdw>
          </a:effectLst>
        </a:effectStyle>
        <a:effectStyle>
          <a:effectLst>
            <a:outerShdw blurRad="38100" dist="25400" dir="2700000" algn="br" rotWithShape="0">
              <a:srgbClr val="000000">
                <a:alpha val="60000"/>
              </a:srgbClr>
            </a:outerShdw>
          </a:effectLst>
          <a:scene3d>
            <a:camera prst="orthographicFront">
              <a:rot lat="0" lon="0" rev="0"/>
            </a:camera>
            <a:lightRig rig="balanced" dir="t">
              <a:rot lat="0" lon="0" rev="5100000"/>
            </a:lightRig>
          </a:scene3d>
          <a:sp3d contourW="6350">
            <a:bevelT w="29210" h="12700"/>
            <a:contourClr>
              <a:schemeClr val="phClr">
                <a:shade val="30000"/>
                <a:satMod val="13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407170d-51d3-4300-86b5-46709795e4a7" xsi:nil="true"/>
    <lcf76f155ced4ddcb4097134ff3c332f xmlns="a7de5a0c-838e-4fa2-b328-8d94eb1863ff">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9E46FF65C11D434B849394B55C1749B3" ma:contentTypeVersion="11" ma:contentTypeDescription="Create a new document." ma:contentTypeScope="" ma:versionID="2e93c427660f62ed1857611039e92307">
  <xsd:schema xmlns:xsd="http://www.w3.org/2001/XMLSchema" xmlns:xs="http://www.w3.org/2001/XMLSchema" xmlns:p="http://schemas.microsoft.com/office/2006/metadata/properties" xmlns:ns2="a7de5a0c-838e-4fa2-b328-8d94eb1863ff" xmlns:ns3="7407170d-51d3-4300-86b5-46709795e4a7" targetNamespace="http://schemas.microsoft.com/office/2006/metadata/properties" ma:root="true" ma:fieldsID="4e7785600457204d9fff10aa0470e169" ns2:_="" ns3:_="">
    <xsd:import namespace="a7de5a0c-838e-4fa2-b328-8d94eb1863ff"/>
    <xsd:import namespace="7407170d-51d3-4300-86b5-46709795e4a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7de5a0c-838e-4fa2-b328-8d94eb1863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b645b856-4cdd-4a87-aa29-9b4c24b6dbfa"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SearchProperties" ma:index="18"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407170d-51d3-4300-86b5-46709795e4a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d12c5bf2-c0cd-4857-9401-0bc91054f31d}" ma:internalName="TaxCatchAll" ma:showField="CatchAllData" ma:web="7407170d-51d3-4300-86b5-46709795e4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3ADF3293-3212-4711-AD78-69980025FAC2}">
  <ds:schemaRefs>
    <ds:schemaRef ds:uri="http://schemas.microsoft.com/office/2006/metadata/properties"/>
    <ds:schemaRef ds:uri="http://schemas.microsoft.com/office/infopath/2007/PartnerControls"/>
    <ds:schemaRef ds:uri="7407170d-51d3-4300-86b5-46709795e4a7"/>
    <ds:schemaRef ds:uri="a7de5a0c-838e-4fa2-b328-8d94eb1863ff"/>
  </ds:schemaRefs>
</ds:datastoreItem>
</file>

<file path=customXml/itemProps2.xml><?xml version="1.0" encoding="utf-8"?>
<ds:datastoreItem xmlns:ds="http://schemas.openxmlformats.org/officeDocument/2006/customXml" ds:itemID="{F8772835-2493-4C3D-BA08-F8715073C07F}">
  <ds:schemaRefs>
    <ds:schemaRef ds:uri="http://schemas.openxmlformats.org/officeDocument/2006/bibliography"/>
  </ds:schemaRefs>
</ds:datastoreItem>
</file>

<file path=customXml/itemProps3.xml><?xml version="1.0" encoding="utf-8"?>
<ds:datastoreItem xmlns:ds="http://schemas.openxmlformats.org/officeDocument/2006/customXml" ds:itemID="{D5053444-966A-467A-B01C-180A1F1F3EFF}">
  <ds:schemaRefs>
    <ds:schemaRef ds:uri="http://schemas.microsoft.com/sharepoint/v3/contenttype/forms"/>
  </ds:schemaRefs>
</ds:datastoreItem>
</file>

<file path=customXml/itemProps4.xml><?xml version="1.0" encoding="utf-8"?>
<ds:datastoreItem xmlns:ds="http://schemas.openxmlformats.org/officeDocument/2006/customXml" ds:itemID="{35DC4DC1-345D-4CC6-834B-4B97A4394EC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7de5a0c-838e-4fa2-b328-8d94eb1863ff"/>
    <ds:schemaRef ds:uri="7407170d-51d3-4300-86b5-46709795e4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33</Pages>
  <Words>6068</Words>
  <Characters>36168</Characters>
  <Application>Microsoft Office Word</Application>
  <DocSecurity>4</DocSecurity>
  <Lines>900</Lines>
  <Paragraphs>330</Paragraphs>
  <ScaleCrop>false</ScaleCrop>
  <HeadingPairs>
    <vt:vector size="2" baseType="variant">
      <vt:variant>
        <vt:lpstr>Title</vt:lpstr>
      </vt:variant>
      <vt:variant>
        <vt:i4>1</vt:i4>
      </vt:variant>
    </vt:vector>
  </HeadingPairs>
  <TitlesOfParts>
    <vt:vector size="1" baseType="lpstr">
      <vt:lpstr>Australian Government | Early Years Strategy 2024-2034 | Monitoring and Evaluation Framework</vt:lpstr>
    </vt:vector>
  </TitlesOfParts>
  <Company>Department of Social Services</Company>
  <LinksUpToDate>false</LinksUpToDate>
  <CharactersWithSpaces>42120</CharactersWithSpaces>
  <SharedDoc>false</SharedDoc>
  <HLinks>
    <vt:vector size="228" baseType="variant">
      <vt:variant>
        <vt:i4>7405570</vt:i4>
      </vt:variant>
      <vt:variant>
        <vt:i4>189</vt:i4>
      </vt:variant>
      <vt:variant>
        <vt:i4>0</vt:i4>
      </vt:variant>
      <vt:variant>
        <vt:i4>5</vt:i4>
      </vt:variant>
      <vt:variant>
        <vt:lpwstr>mailto:communication@dss.gov.au</vt:lpwstr>
      </vt:variant>
      <vt:variant>
        <vt:lpwstr/>
      </vt:variant>
      <vt:variant>
        <vt:i4>3276911</vt:i4>
      </vt:variant>
      <vt:variant>
        <vt:i4>186</vt:i4>
      </vt:variant>
      <vt:variant>
        <vt:i4>0</vt:i4>
      </vt:variant>
      <vt:variant>
        <vt:i4>5</vt:i4>
      </vt:variant>
      <vt:variant>
        <vt:lpwstr/>
      </vt:variant>
      <vt:variant>
        <vt:lpwstr>_Heading_5</vt:lpwstr>
      </vt:variant>
      <vt:variant>
        <vt:i4>1179699</vt:i4>
      </vt:variant>
      <vt:variant>
        <vt:i4>179</vt:i4>
      </vt:variant>
      <vt:variant>
        <vt:i4>0</vt:i4>
      </vt:variant>
      <vt:variant>
        <vt:i4>5</vt:i4>
      </vt:variant>
      <vt:variant>
        <vt:lpwstr/>
      </vt:variant>
      <vt:variant>
        <vt:lpwstr>_Toc160616334</vt:lpwstr>
      </vt:variant>
      <vt:variant>
        <vt:i4>1179699</vt:i4>
      </vt:variant>
      <vt:variant>
        <vt:i4>173</vt:i4>
      </vt:variant>
      <vt:variant>
        <vt:i4>0</vt:i4>
      </vt:variant>
      <vt:variant>
        <vt:i4>5</vt:i4>
      </vt:variant>
      <vt:variant>
        <vt:lpwstr/>
      </vt:variant>
      <vt:variant>
        <vt:lpwstr>_Toc160616333</vt:lpwstr>
      </vt:variant>
      <vt:variant>
        <vt:i4>1245235</vt:i4>
      </vt:variant>
      <vt:variant>
        <vt:i4>164</vt:i4>
      </vt:variant>
      <vt:variant>
        <vt:i4>0</vt:i4>
      </vt:variant>
      <vt:variant>
        <vt:i4>5</vt:i4>
      </vt:variant>
      <vt:variant>
        <vt:lpwstr/>
      </vt:variant>
      <vt:variant>
        <vt:lpwstr>_Toc160616324</vt:lpwstr>
      </vt:variant>
      <vt:variant>
        <vt:i4>1507382</vt:i4>
      </vt:variant>
      <vt:variant>
        <vt:i4>155</vt:i4>
      </vt:variant>
      <vt:variant>
        <vt:i4>0</vt:i4>
      </vt:variant>
      <vt:variant>
        <vt:i4>5</vt:i4>
      </vt:variant>
      <vt:variant>
        <vt:lpwstr/>
      </vt:variant>
      <vt:variant>
        <vt:lpwstr>_Toc160720513</vt:lpwstr>
      </vt:variant>
      <vt:variant>
        <vt:i4>1507382</vt:i4>
      </vt:variant>
      <vt:variant>
        <vt:i4>149</vt:i4>
      </vt:variant>
      <vt:variant>
        <vt:i4>0</vt:i4>
      </vt:variant>
      <vt:variant>
        <vt:i4>5</vt:i4>
      </vt:variant>
      <vt:variant>
        <vt:lpwstr/>
      </vt:variant>
      <vt:variant>
        <vt:lpwstr>_Toc160720512</vt:lpwstr>
      </vt:variant>
      <vt:variant>
        <vt:i4>1507382</vt:i4>
      </vt:variant>
      <vt:variant>
        <vt:i4>143</vt:i4>
      </vt:variant>
      <vt:variant>
        <vt:i4>0</vt:i4>
      </vt:variant>
      <vt:variant>
        <vt:i4>5</vt:i4>
      </vt:variant>
      <vt:variant>
        <vt:lpwstr/>
      </vt:variant>
      <vt:variant>
        <vt:lpwstr>_Toc160720511</vt:lpwstr>
      </vt:variant>
      <vt:variant>
        <vt:i4>1507382</vt:i4>
      </vt:variant>
      <vt:variant>
        <vt:i4>137</vt:i4>
      </vt:variant>
      <vt:variant>
        <vt:i4>0</vt:i4>
      </vt:variant>
      <vt:variant>
        <vt:i4>5</vt:i4>
      </vt:variant>
      <vt:variant>
        <vt:lpwstr/>
      </vt:variant>
      <vt:variant>
        <vt:lpwstr>_Toc160720510</vt:lpwstr>
      </vt:variant>
      <vt:variant>
        <vt:i4>1441846</vt:i4>
      </vt:variant>
      <vt:variant>
        <vt:i4>131</vt:i4>
      </vt:variant>
      <vt:variant>
        <vt:i4>0</vt:i4>
      </vt:variant>
      <vt:variant>
        <vt:i4>5</vt:i4>
      </vt:variant>
      <vt:variant>
        <vt:lpwstr/>
      </vt:variant>
      <vt:variant>
        <vt:lpwstr>_Toc160720509</vt:lpwstr>
      </vt:variant>
      <vt:variant>
        <vt:i4>1441846</vt:i4>
      </vt:variant>
      <vt:variant>
        <vt:i4>125</vt:i4>
      </vt:variant>
      <vt:variant>
        <vt:i4>0</vt:i4>
      </vt:variant>
      <vt:variant>
        <vt:i4>5</vt:i4>
      </vt:variant>
      <vt:variant>
        <vt:lpwstr/>
      </vt:variant>
      <vt:variant>
        <vt:lpwstr>_Toc160720508</vt:lpwstr>
      </vt:variant>
      <vt:variant>
        <vt:i4>1441846</vt:i4>
      </vt:variant>
      <vt:variant>
        <vt:i4>119</vt:i4>
      </vt:variant>
      <vt:variant>
        <vt:i4>0</vt:i4>
      </vt:variant>
      <vt:variant>
        <vt:i4>5</vt:i4>
      </vt:variant>
      <vt:variant>
        <vt:lpwstr/>
      </vt:variant>
      <vt:variant>
        <vt:lpwstr>_Toc160720507</vt:lpwstr>
      </vt:variant>
      <vt:variant>
        <vt:i4>1441846</vt:i4>
      </vt:variant>
      <vt:variant>
        <vt:i4>113</vt:i4>
      </vt:variant>
      <vt:variant>
        <vt:i4>0</vt:i4>
      </vt:variant>
      <vt:variant>
        <vt:i4>5</vt:i4>
      </vt:variant>
      <vt:variant>
        <vt:lpwstr/>
      </vt:variant>
      <vt:variant>
        <vt:lpwstr>_Toc160720506</vt:lpwstr>
      </vt:variant>
      <vt:variant>
        <vt:i4>1441846</vt:i4>
      </vt:variant>
      <vt:variant>
        <vt:i4>107</vt:i4>
      </vt:variant>
      <vt:variant>
        <vt:i4>0</vt:i4>
      </vt:variant>
      <vt:variant>
        <vt:i4>5</vt:i4>
      </vt:variant>
      <vt:variant>
        <vt:lpwstr/>
      </vt:variant>
      <vt:variant>
        <vt:lpwstr>_Toc160720505</vt:lpwstr>
      </vt:variant>
      <vt:variant>
        <vt:i4>1441846</vt:i4>
      </vt:variant>
      <vt:variant>
        <vt:i4>101</vt:i4>
      </vt:variant>
      <vt:variant>
        <vt:i4>0</vt:i4>
      </vt:variant>
      <vt:variant>
        <vt:i4>5</vt:i4>
      </vt:variant>
      <vt:variant>
        <vt:lpwstr/>
      </vt:variant>
      <vt:variant>
        <vt:lpwstr>_Toc160720504</vt:lpwstr>
      </vt:variant>
      <vt:variant>
        <vt:i4>1441846</vt:i4>
      </vt:variant>
      <vt:variant>
        <vt:i4>95</vt:i4>
      </vt:variant>
      <vt:variant>
        <vt:i4>0</vt:i4>
      </vt:variant>
      <vt:variant>
        <vt:i4>5</vt:i4>
      </vt:variant>
      <vt:variant>
        <vt:lpwstr/>
      </vt:variant>
      <vt:variant>
        <vt:lpwstr>_Toc160720503</vt:lpwstr>
      </vt:variant>
      <vt:variant>
        <vt:i4>1441846</vt:i4>
      </vt:variant>
      <vt:variant>
        <vt:i4>89</vt:i4>
      </vt:variant>
      <vt:variant>
        <vt:i4>0</vt:i4>
      </vt:variant>
      <vt:variant>
        <vt:i4>5</vt:i4>
      </vt:variant>
      <vt:variant>
        <vt:lpwstr/>
      </vt:variant>
      <vt:variant>
        <vt:lpwstr>_Toc160720502</vt:lpwstr>
      </vt:variant>
      <vt:variant>
        <vt:i4>1441846</vt:i4>
      </vt:variant>
      <vt:variant>
        <vt:i4>83</vt:i4>
      </vt:variant>
      <vt:variant>
        <vt:i4>0</vt:i4>
      </vt:variant>
      <vt:variant>
        <vt:i4>5</vt:i4>
      </vt:variant>
      <vt:variant>
        <vt:lpwstr/>
      </vt:variant>
      <vt:variant>
        <vt:lpwstr>_Toc160720501</vt:lpwstr>
      </vt:variant>
      <vt:variant>
        <vt:i4>1441846</vt:i4>
      </vt:variant>
      <vt:variant>
        <vt:i4>77</vt:i4>
      </vt:variant>
      <vt:variant>
        <vt:i4>0</vt:i4>
      </vt:variant>
      <vt:variant>
        <vt:i4>5</vt:i4>
      </vt:variant>
      <vt:variant>
        <vt:lpwstr/>
      </vt:variant>
      <vt:variant>
        <vt:lpwstr>_Toc160720500</vt:lpwstr>
      </vt:variant>
      <vt:variant>
        <vt:i4>2031671</vt:i4>
      </vt:variant>
      <vt:variant>
        <vt:i4>71</vt:i4>
      </vt:variant>
      <vt:variant>
        <vt:i4>0</vt:i4>
      </vt:variant>
      <vt:variant>
        <vt:i4>5</vt:i4>
      </vt:variant>
      <vt:variant>
        <vt:lpwstr/>
      </vt:variant>
      <vt:variant>
        <vt:lpwstr>_Toc160720499</vt:lpwstr>
      </vt:variant>
      <vt:variant>
        <vt:i4>2031671</vt:i4>
      </vt:variant>
      <vt:variant>
        <vt:i4>65</vt:i4>
      </vt:variant>
      <vt:variant>
        <vt:i4>0</vt:i4>
      </vt:variant>
      <vt:variant>
        <vt:i4>5</vt:i4>
      </vt:variant>
      <vt:variant>
        <vt:lpwstr/>
      </vt:variant>
      <vt:variant>
        <vt:lpwstr>_Toc160720498</vt:lpwstr>
      </vt:variant>
      <vt:variant>
        <vt:i4>2031671</vt:i4>
      </vt:variant>
      <vt:variant>
        <vt:i4>59</vt:i4>
      </vt:variant>
      <vt:variant>
        <vt:i4>0</vt:i4>
      </vt:variant>
      <vt:variant>
        <vt:i4>5</vt:i4>
      </vt:variant>
      <vt:variant>
        <vt:lpwstr/>
      </vt:variant>
      <vt:variant>
        <vt:lpwstr>_Toc160720497</vt:lpwstr>
      </vt:variant>
      <vt:variant>
        <vt:i4>2031671</vt:i4>
      </vt:variant>
      <vt:variant>
        <vt:i4>53</vt:i4>
      </vt:variant>
      <vt:variant>
        <vt:i4>0</vt:i4>
      </vt:variant>
      <vt:variant>
        <vt:i4>5</vt:i4>
      </vt:variant>
      <vt:variant>
        <vt:lpwstr/>
      </vt:variant>
      <vt:variant>
        <vt:lpwstr>_Toc160720496</vt:lpwstr>
      </vt:variant>
      <vt:variant>
        <vt:i4>1966104</vt:i4>
      </vt:variant>
      <vt:variant>
        <vt:i4>45</vt:i4>
      </vt:variant>
      <vt:variant>
        <vt:i4>0</vt:i4>
      </vt:variant>
      <vt:variant>
        <vt:i4>5</vt:i4>
      </vt:variant>
      <vt:variant>
        <vt:lpwstr>https://support.microsoft.com/en-gb/office/improve-accessibility-with-the-accessibility-checker-a16f6de0-2f39-4a2b-8bd8-5ad801426c7f</vt:lpwstr>
      </vt:variant>
      <vt:variant>
        <vt:lpwstr/>
      </vt:variant>
      <vt:variant>
        <vt:i4>327710</vt:i4>
      </vt:variant>
      <vt:variant>
        <vt:i4>33</vt:i4>
      </vt:variant>
      <vt:variant>
        <vt:i4>0</vt:i4>
      </vt:variant>
      <vt:variant>
        <vt:i4>5</vt:i4>
      </vt:variant>
      <vt:variant>
        <vt:lpwstr>https://socialservicesau.sharepoint.com/sites/Intranet/pages/communication-media/comms-account-managers.aspx</vt:lpwstr>
      </vt:variant>
      <vt:variant>
        <vt:lpwstr/>
      </vt:variant>
      <vt:variant>
        <vt:i4>6488121</vt:i4>
      </vt:variant>
      <vt:variant>
        <vt:i4>30</vt:i4>
      </vt:variant>
      <vt:variant>
        <vt:i4>0</vt:i4>
      </vt:variant>
      <vt:variant>
        <vt:i4>5</vt:i4>
      </vt:variant>
      <vt:variant>
        <vt:lpwstr>http://www.dss.gov.au/</vt:lpwstr>
      </vt:variant>
      <vt:variant>
        <vt:lpwstr/>
      </vt:variant>
      <vt:variant>
        <vt:i4>8126582</vt:i4>
      </vt:variant>
      <vt:variant>
        <vt:i4>27</vt:i4>
      </vt:variant>
      <vt:variant>
        <vt:i4>0</vt:i4>
      </vt:variant>
      <vt:variant>
        <vt:i4>5</vt:i4>
      </vt:variant>
      <vt:variant>
        <vt:lpwstr>https://socialservicesau.sharepoint.com/sites/Intranet/pages/communication-media/writing-and-accessibility-guidance-lp.aspx</vt:lpwstr>
      </vt:variant>
      <vt:variant>
        <vt:lpwstr/>
      </vt:variant>
      <vt:variant>
        <vt:i4>1966104</vt:i4>
      </vt:variant>
      <vt:variant>
        <vt:i4>24</vt:i4>
      </vt:variant>
      <vt:variant>
        <vt:i4>0</vt:i4>
      </vt:variant>
      <vt:variant>
        <vt:i4>5</vt:i4>
      </vt:variant>
      <vt:variant>
        <vt:lpwstr>https://support.microsoft.com/en-gb/office/improve-accessibility-with-the-accessibility-checker-a16f6de0-2f39-4a2b-8bd8-5ad801426c7f</vt:lpwstr>
      </vt:variant>
      <vt:variant>
        <vt:lpwstr/>
      </vt:variant>
      <vt:variant>
        <vt:i4>8126582</vt:i4>
      </vt:variant>
      <vt:variant>
        <vt:i4>21</vt:i4>
      </vt:variant>
      <vt:variant>
        <vt:i4>0</vt:i4>
      </vt:variant>
      <vt:variant>
        <vt:i4>5</vt:i4>
      </vt:variant>
      <vt:variant>
        <vt:lpwstr>https://socialservicesau.sharepoint.com/sites/Intranet/pages/communication-media/writing-and-accessibility-guidance-lp.aspx</vt:lpwstr>
      </vt:variant>
      <vt:variant>
        <vt:lpwstr/>
      </vt:variant>
      <vt:variant>
        <vt:i4>2621479</vt:i4>
      </vt:variant>
      <vt:variant>
        <vt:i4>18</vt:i4>
      </vt:variant>
      <vt:variant>
        <vt:i4>0</vt:i4>
      </vt:variant>
      <vt:variant>
        <vt:i4>5</vt:i4>
      </vt:variant>
      <vt:variant>
        <vt:lpwstr>https://www.stylemanual.gov.au/</vt:lpwstr>
      </vt:variant>
      <vt:variant>
        <vt:lpwstr/>
      </vt:variant>
      <vt:variant>
        <vt:i4>65560</vt:i4>
      </vt:variant>
      <vt:variant>
        <vt:i4>15</vt:i4>
      </vt:variant>
      <vt:variant>
        <vt:i4>0</vt:i4>
      </vt:variant>
      <vt:variant>
        <vt:i4>5</vt:i4>
      </vt:variant>
      <vt:variant>
        <vt:lpwstr>https://www.pmc.gov.au/honours-and-symbols/commonwealth-coat-arms</vt:lpwstr>
      </vt:variant>
      <vt:variant>
        <vt:lpwstr/>
      </vt:variant>
      <vt:variant>
        <vt:i4>7405570</vt:i4>
      </vt:variant>
      <vt:variant>
        <vt:i4>12</vt:i4>
      </vt:variant>
      <vt:variant>
        <vt:i4>0</vt:i4>
      </vt:variant>
      <vt:variant>
        <vt:i4>5</vt:i4>
      </vt:variant>
      <vt:variant>
        <vt:lpwstr>mailto:communication@dss.gov.au</vt:lpwstr>
      </vt:variant>
      <vt:variant>
        <vt:lpwstr/>
      </vt:variant>
      <vt:variant>
        <vt:i4>6488121</vt:i4>
      </vt:variant>
      <vt:variant>
        <vt:i4>9</vt:i4>
      </vt:variant>
      <vt:variant>
        <vt:i4>0</vt:i4>
      </vt:variant>
      <vt:variant>
        <vt:i4>5</vt:i4>
      </vt:variant>
      <vt:variant>
        <vt:lpwstr>http://www.dss.gov.au/</vt:lpwstr>
      </vt:variant>
      <vt:variant>
        <vt:lpwstr/>
      </vt:variant>
      <vt:variant>
        <vt:i4>5373952</vt:i4>
      </vt:variant>
      <vt:variant>
        <vt:i4>6</vt:i4>
      </vt:variant>
      <vt:variant>
        <vt:i4>0</vt:i4>
      </vt:variant>
      <vt:variant>
        <vt:i4>5</vt:i4>
      </vt:variant>
      <vt:variant>
        <vt:lpwstr>https://creativecommons.org/licenses/by/4.0/legalcode</vt:lpwstr>
      </vt:variant>
      <vt:variant>
        <vt:lpwstr/>
      </vt:variant>
      <vt:variant>
        <vt:i4>5373952</vt:i4>
      </vt:variant>
      <vt:variant>
        <vt:i4>3</vt:i4>
      </vt:variant>
      <vt:variant>
        <vt:i4>0</vt:i4>
      </vt:variant>
      <vt:variant>
        <vt:i4>5</vt:i4>
      </vt:variant>
      <vt:variant>
        <vt:lpwstr>https://creativecommons.org/licenses/by/4.0/legalcode</vt:lpwstr>
      </vt:variant>
      <vt:variant>
        <vt:lpwstr/>
      </vt:variant>
      <vt:variant>
        <vt:i4>327710</vt:i4>
      </vt:variant>
      <vt:variant>
        <vt:i4>0</vt:i4>
      </vt:variant>
      <vt:variant>
        <vt:i4>0</vt:i4>
      </vt:variant>
      <vt:variant>
        <vt:i4>5</vt:i4>
      </vt:variant>
      <vt:variant>
        <vt:lpwstr>https://socialservicesau.sharepoint.com/sites/Intranet/pages/communication-media/comms-account-managers.aspx</vt:lpwstr>
      </vt:variant>
      <vt:variant>
        <vt:lpwstr/>
      </vt:variant>
      <vt:variant>
        <vt:i4>4128770</vt:i4>
      </vt:variant>
      <vt:variant>
        <vt:i4>3</vt:i4>
      </vt:variant>
      <vt:variant>
        <vt:i4>0</vt:i4>
      </vt:variant>
      <vt:variant>
        <vt:i4>5</vt:i4>
      </vt:variant>
      <vt:variant>
        <vt:lpwstr>mailto:Adrian.REDMAN@dss.gov.au</vt:lpwstr>
      </vt:variant>
      <vt:variant>
        <vt:lpwstr/>
      </vt:variant>
      <vt:variant>
        <vt:i4>65560</vt:i4>
      </vt:variant>
      <vt:variant>
        <vt:i4>0</vt:i4>
      </vt:variant>
      <vt:variant>
        <vt:i4>0</vt:i4>
      </vt:variant>
      <vt:variant>
        <vt:i4>5</vt:i4>
      </vt:variant>
      <vt:variant>
        <vt:lpwstr>https://www.pmc.gov.au/honours-and-symbols/commonwealth-coat-arms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Australian Government | Early Years Strategy 2024-2034 | Monitoring and Evaluation Framework</dc:title>
  <dc:subject/>
  <dc:creator>ROSE, Kira</dc:creator>
  <cp:keywords>[SEC=OFFICIAL]</cp:keywords>
  <cp:lastModifiedBy>MITCHELL, Madeline</cp:lastModifiedBy>
  <cp:revision>2</cp:revision>
  <cp:lastPrinted>2014-10-25T08:51:00Z</cp:lastPrinted>
  <dcterms:created xsi:type="dcterms:W3CDTF">2026-05-06T08:06:00Z</dcterms:created>
  <dcterms:modified xsi:type="dcterms:W3CDTF">2026-05-06T08:06:00Z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OFFICIAL</vt:lpwstr>
  </property>
  <property fmtid="{D5CDD505-2E9C-101B-9397-08002B2CF9AE}" pid="5" name="PM_Qualifier">
    <vt:lpwstr/>
  </property>
  <property fmtid="{D5CDD505-2E9C-101B-9397-08002B2CF9AE}" pid="6" name="PM_SecurityClassification">
    <vt:lpwstr>OFFICIAL</vt:lpwstr>
  </property>
  <property fmtid="{D5CDD505-2E9C-101B-9397-08002B2CF9AE}" pid="7" name="PM_InsertionValue">
    <vt:lpwstr>OFFICIAL</vt:lpwstr>
  </property>
  <property fmtid="{D5CDD505-2E9C-101B-9397-08002B2CF9AE}" pid="8" name="PM_Originating_FileId">
    <vt:lpwstr>B51A5B0BF72647C5B505FD48B6A220E6</vt:lpwstr>
  </property>
  <property fmtid="{D5CDD505-2E9C-101B-9397-08002B2CF9AE}" pid="9" name="PM_ProtectiveMarkingValue_Footer">
    <vt:lpwstr>OFFICIAL</vt:lpwstr>
  </property>
  <property fmtid="{D5CDD505-2E9C-101B-9397-08002B2CF9AE}" pid="10" name="PM_Originator_Hash_SHA1">
    <vt:lpwstr>F4A3D7CC22848EFDDB563077CF31F5731BB13420</vt:lpwstr>
  </property>
  <property fmtid="{D5CDD505-2E9C-101B-9397-08002B2CF9AE}" pid="11" name="PM_OriginationTimeStamp">
    <vt:lpwstr>2024-03-06T04:11:27Z</vt:lpwstr>
  </property>
  <property fmtid="{D5CDD505-2E9C-101B-9397-08002B2CF9AE}" pid="12" name="PM_ProtectiveMarkingValue_Header">
    <vt:lpwstr>OFFICIAL</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OFFICIAL</vt:lpwstr>
  </property>
  <property fmtid="{D5CDD505-2E9C-101B-9397-08002B2CF9AE}" pid="19" name="PM_Hash_Version">
    <vt:lpwstr>2024.1</vt:lpwstr>
  </property>
  <property fmtid="{D5CDD505-2E9C-101B-9397-08002B2CF9AE}" pid="20" name="PM_Hash_Salt_Prev">
    <vt:lpwstr>980E144E02A95B8BCB4F651020960D20</vt:lpwstr>
  </property>
  <property fmtid="{D5CDD505-2E9C-101B-9397-08002B2CF9AE}" pid="21" name="PM_Hash_Salt">
    <vt:lpwstr>ED4851DECC5B7F984C81845512E42796</vt:lpwstr>
  </property>
  <property fmtid="{D5CDD505-2E9C-101B-9397-08002B2CF9AE}" pid="22" name="PM_Hash_SHA1">
    <vt:lpwstr>0072FB9D6E3546A5F7CC2CDFCBF265AC83E0D527</vt:lpwstr>
  </property>
  <property fmtid="{D5CDD505-2E9C-101B-9397-08002B2CF9AE}" pid="23" name="PM_OriginatorUserAccountName_SHA256">
    <vt:lpwstr>7131791DB67FBFEF6A9C74EFB8AE7B1F173AAFF154D8EE1DECCF2B8C65085C10</vt:lpwstr>
  </property>
  <property fmtid="{D5CDD505-2E9C-101B-9397-08002B2CF9AE}" pid="24" name="PM_OriginatorDomainName_SHA256">
    <vt:lpwstr>E83A2A66C4061446A7E3732E8D44762184B6B377D962B96C83DC624302585857</vt:lpwstr>
  </property>
  <property fmtid="{D5CDD505-2E9C-101B-9397-08002B2CF9AE}" pid="25" name="PM_SecurityClassification_Prev">
    <vt:lpwstr>OFFICIAL</vt:lpwstr>
  </property>
  <property fmtid="{D5CDD505-2E9C-101B-9397-08002B2CF9AE}" pid="26" name="PM_Qualifier_Prev">
    <vt:lpwstr/>
  </property>
  <property fmtid="{D5CDD505-2E9C-101B-9397-08002B2CF9AE}" pid="27" name="ContentTypeId">
    <vt:lpwstr>0x0101009E46FF65C11D434B849394B55C1749B3</vt:lpwstr>
  </property>
  <property fmtid="{D5CDD505-2E9C-101B-9397-08002B2CF9AE}" pid="28" name="MediaServiceImageTags">
    <vt:lpwstr/>
  </property>
  <property fmtid="{D5CDD505-2E9C-101B-9397-08002B2CF9AE}" pid="29" name="MSIP_Label_eb34d90b-fc41-464d-af60-f74d721d0790_Enabled">
    <vt:lpwstr>true</vt:lpwstr>
  </property>
  <property fmtid="{D5CDD505-2E9C-101B-9397-08002B2CF9AE}" pid="30" name="MSIP_Label_eb34d90b-fc41-464d-af60-f74d721d0790_SetDate">
    <vt:lpwstr>2024-03-06T04:11:27Z</vt:lpwstr>
  </property>
  <property fmtid="{D5CDD505-2E9C-101B-9397-08002B2CF9AE}" pid="31" name="MSIP_Label_eb34d90b-fc41-464d-af60-f74d721d0790_Method">
    <vt:lpwstr>Privileged</vt:lpwstr>
  </property>
  <property fmtid="{D5CDD505-2E9C-101B-9397-08002B2CF9AE}" pid="32" name="MSIP_Label_eb34d90b-fc41-464d-af60-f74d721d0790_Name">
    <vt:lpwstr>OFFICIAL</vt:lpwstr>
  </property>
  <property fmtid="{D5CDD505-2E9C-101B-9397-08002B2CF9AE}" pid="33" name="MSIP_Label_eb34d90b-fc41-464d-af60-f74d721d0790_SiteId">
    <vt:lpwstr>61e36dd1-ca6e-4d61-aa0a-2b4eb88317a3</vt:lpwstr>
  </property>
  <property fmtid="{D5CDD505-2E9C-101B-9397-08002B2CF9AE}" pid="34" name="MSIP_Label_eb34d90b-fc41-464d-af60-f74d721d0790_ActionId">
    <vt:lpwstr>1fd87777a3ef40a2be90509ebf8525b3</vt:lpwstr>
  </property>
  <property fmtid="{D5CDD505-2E9C-101B-9397-08002B2CF9AE}" pid="35" name="MSIP_Label_eb34d90b-fc41-464d-af60-f74d721d0790_ContentBits">
    <vt:lpwstr>3</vt:lpwstr>
  </property>
  <property fmtid="{D5CDD505-2E9C-101B-9397-08002B2CF9AE}" pid="36" name="PMHMAC">
    <vt:lpwstr>v=2024.1;a=SHA256;h=A1438FC9EC50AE0FE05EB85071F7C1AD69A3B4E07A2DD54D1236933B20E660D5</vt:lpwstr>
  </property>
  <property fmtid="{D5CDD505-2E9C-101B-9397-08002B2CF9AE}" pid="37" name="PMUuid">
    <vt:lpwstr>v=2022.2;d=gov.au;g=46DD6D7C-8107-577B-BC6E-F348953B2E44</vt:lpwstr>
  </property>
  <property fmtid="{D5CDD505-2E9C-101B-9397-08002B2CF9AE}" pid="38" name="PM_Expires">
    <vt:lpwstr/>
  </property>
  <property fmtid="{D5CDD505-2E9C-101B-9397-08002B2CF9AE}" pid="39" name="PM_DownTo">
    <vt:lpwstr/>
  </property>
  <property fmtid="{D5CDD505-2E9C-101B-9397-08002B2CF9AE}" pid="40" name="PM_DowngradeTo">
    <vt:lpwstr/>
  </property>
</Properties>
</file>