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D48A3" w14:textId="630C65B0" w:rsidR="008075BB" w:rsidRDefault="00FC0CF9" w:rsidP="00B36187">
      <w:pPr>
        <w:spacing w:before="0" w:after="160" w:line="279" w:lineRule="auto"/>
        <w:rPr>
          <w:rFonts w:ascii="Arial" w:eastAsia="MS Mincho" w:hAnsi="Arial" w:cs="Arial"/>
          <w:b/>
          <w:bCs/>
          <w:color w:val="CDE8DA"/>
          <w:sz w:val="32"/>
          <w:szCs w:val="36"/>
          <w:lang w:val="en-US" w:eastAsia="ja-JP"/>
        </w:rPr>
      </w:pPr>
      <w:r>
        <w:rPr>
          <w:noProof/>
        </w:rPr>
        <w:drawing>
          <wp:anchor distT="0" distB="0" distL="114300" distR="114300" simplePos="0" relativeHeight="251660289" behindDoc="1" locked="0" layoutInCell="1" allowOverlap="1" wp14:anchorId="442B27F1" wp14:editId="66312CAF">
            <wp:simplePos x="0" y="0"/>
            <wp:positionH relativeFrom="page">
              <wp:align>left</wp:align>
            </wp:positionH>
            <wp:positionV relativeFrom="paragraph">
              <wp:posOffset>-911225</wp:posOffset>
            </wp:positionV>
            <wp:extent cx="7571995" cy="10702601"/>
            <wp:effectExtent l="0" t="0" r="0" b="3810"/>
            <wp:wrapNone/>
            <wp:docPr id="201234752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71995" cy="10702601"/>
                    </a:xfrm>
                    <a:prstGeom prst="rect">
                      <a:avLst/>
                    </a:prstGeom>
                  </pic:spPr>
                </pic:pic>
              </a:graphicData>
            </a:graphic>
            <wp14:sizeRelH relativeFrom="page">
              <wp14:pctWidth>0</wp14:pctWidth>
            </wp14:sizeRelH>
            <wp14:sizeRelV relativeFrom="page">
              <wp14:pctHeight>0</wp14:pctHeight>
            </wp14:sizeRelV>
          </wp:anchor>
        </w:drawing>
      </w:r>
    </w:p>
    <w:p w14:paraId="5C21C4E3" w14:textId="5E97C646" w:rsidR="008075BB" w:rsidRDefault="008075BB" w:rsidP="00B36187">
      <w:pPr>
        <w:spacing w:before="0" w:after="160" w:line="279" w:lineRule="auto"/>
        <w:rPr>
          <w:rFonts w:ascii="Arial" w:eastAsia="MS Mincho" w:hAnsi="Arial" w:cs="Arial"/>
          <w:b/>
          <w:bCs/>
          <w:color w:val="CDE8DA"/>
          <w:sz w:val="32"/>
          <w:szCs w:val="36"/>
          <w:lang w:val="en-US" w:eastAsia="ja-JP"/>
        </w:rPr>
      </w:pPr>
    </w:p>
    <w:p w14:paraId="05A06DC5" w14:textId="44BB2FB3" w:rsidR="00B36187" w:rsidRPr="00B36187" w:rsidRDefault="00B36187" w:rsidP="00B36187">
      <w:pPr>
        <w:spacing w:before="0" w:after="160" w:line="279" w:lineRule="auto"/>
        <w:rPr>
          <w:rFonts w:ascii="Arial" w:eastAsia="MS Mincho" w:hAnsi="Arial" w:cs="Arial"/>
          <w:b/>
          <w:bCs/>
          <w:color w:val="CDE8DA"/>
          <w:sz w:val="32"/>
          <w:szCs w:val="36"/>
          <w:lang w:val="en-US" w:eastAsia="ja-JP"/>
        </w:rPr>
      </w:pPr>
      <w:r w:rsidRPr="00B36187">
        <w:rPr>
          <w:rFonts w:ascii="Arial" w:eastAsia="MS Mincho" w:hAnsi="Arial" w:cs="Arial"/>
          <w:b/>
          <w:bCs/>
          <w:color w:val="CDE8DA"/>
          <w:sz w:val="32"/>
          <w:szCs w:val="36"/>
          <w:lang w:val="en-US" w:eastAsia="ja-JP"/>
        </w:rPr>
        <w:t xml:space="preserve">Appendix </w:t>
      </w:r>
      <w:r>
        <w:rPr>
          <w:rFonts w:ascii="Arial" w:eastAsia="MS Mincho" w:hAnsi="Arial" w:cs="Arial"/>
          <w:b/>
          <w:bCs/>
          <w:color w:val="CDE8DA"/>
          <w:sz w:val="32"/>
          <w:szCs w:val="36"/>
          <w:lang w:val="en-US" w:eastAsia="ja-JP"/>
        </w:rPr>
        <w:t>5</w:t>
      </w:r>
      <w:r w:rsidRPr="00B36187">
        <w:rPr>
          <w:rFonts w:ascii="Arial" w:eastAsia="MS Mincho" w:hAnsi="Arial" w:cs="Arial"/>
          <w:b/>
          <w:bCs/>
          <w:color w:val="CDE8DA"/>
          <w:sz w:val="32"/>
          <w:szCs w:val="36"/>
          <w:lang w:val="en-US" w:eastAsia="ja-JP"/>
        </w:rPr>
        <w:t>:</w:t>
      </w:r>
    </w:p>
    <w:p w14:paraId="0723D48E" w14:textId="7BAEE412" w:rsidR="00B36187" w:rsidRPr="00B36187" w:rsidRDefault="00B36187" w:rsidP="00B36187">
      <w:pPr>
        <w:pStyle w:val="NoSpacing"/>
        <w:rPr>
          <w:rFonts w:ascii="Arial" w:eastAsia="MS Mincho" w:hAnsi="Arial" w:cs="Arial"/>
          <w:b/>
          <w:bCs/>
          <w:color w:val="F9F1E7"/>
          <w:sz w:val="56"/>
          <w:szCs w:val="56"/>
          <w:lang w:val="en-GB" w:eastAsia="ja-JP"/>
        </w:rPr>
      </w:pPr>
    </w:p>
    <w:p w14:paraId="29871F07" w14:textId="2E2881E8" w:rsidR="00B36187" w:rsidRDefault="00B36187" w:rsidP="00B36187">
      <w:pPr>
        <w:pStyle w:val="NoSpacing"/>
        <w:sectPr w:rsidR="00B36187" w:rsidSect="00B36187">
          <w:headerReference w:type="first" r:id="rId10"/>
          <w:footerReference w:type="first" r:id="rId11"/>
          <w:pgSz w:w="11906" w:h="16838" w:code="9"/>
          <w:pgMar w:top="1440" w:right="1440" w:bottom="1440" w:left="1440" w:header="709" w:footer="454" w:gutter="0"/>
          <w:cols w:space="708"/>
          <w:docGrid w:linePitch="360"/>
        </w:sectPr>
      </w:pPr>
      <w:r w:rsidRPr="00B36187">
        <w:rPr>
          <w:rFonts w:ascii="Arial" w:eastAsia="MS Mincho" w:hAnsi="Arial" w:cs="Arial"/>
          <w:b/>
          <w:bCs/>
          <w:color w:val="F9F1E7"/>
          <w:sz w:val="56"/>
          <w:szCs w:val="56"/>
          <w:lang w:val="en-GB" w:eastAsia="ja-JP"/>
        </w:rPr>
        <w:t>Employment services reform: Funding model blueprint by Taylor Fry</w:t>
      </w:r>
    </w:p>
    <w:p w14:paraId="00259EA8" w14:textId="0D73113E" w:rsidR="00BB6EDB" w:rsidRPr="00BB6EDB" w:rsidRDefault="00BB6EDB" w:rsidP="005D5705">
      <w:pPr>
        <w:pStyle w:val="Heading1"/>
        <w:spacing w:before="9000"/>
      </w:pPr>
      <w:r w:rsidRPr="00BB6EDB">
        <w:lastRenderedPageBreak/>
        <w:t>Employment services reform</w:t>
      </w:r>
    </w:p>
    <w:p w14:paraId="05B1BFB9" w14:textId="77777777" w:rsidR="00BB6EDB" w:rsidRDefault="00BB6EDB" w:rsidP="005D5705">
      <w:pPr>
        <w:pStyle w:val="Heading1"/>
      </w:pPr>
      <w:r w:rsidRPr="005D5705">
        <w:t>Funding</w:t>
      </w:r>
      <w:r w:rsidRPr="00BB6EDB">
        <w:t xml:space="preserve"> model blueprint</w:t>
      </w:r>
    </w:p>
    <w:p w14:paraId="6E67A648" w14:textId="77777777" w:rsidR="00BB6EDB" w:rsidRDefault="00BB6EDB" w:rsidP="00BB6EDB">
      <w:pPr>
        <w:pStyle w:val="NoSpacing"/>
        <w:rPr>
          <w:rFonts w:ascii="Arial" w:hAnsi="Arial" w:cs="Arial"/>
          <w:sz w:val="42"/>
          <w:szCs w:val="42"/>
        </w:rPr>
      </w:pPr>
      <w:r w:rsidRPr="00BB6EDB">
        <w:rPr>
          <w:rFonts w:ascii="Arial" w:hAnsi="Arial" w:cs="Arial"/>
          <w:sz w:val="42"/>
          <w:szCs w:val="42"/>
        </w:rPr>
        <w:t>Final Report</w:t>
      </w:r>
    </w:p>
    <w:p w14:paraId="1D86B51E" w14:textId="1A65F9CA" w:rsidR="00743B0C" w:rsidRPr="00BB6EDB" w:rsidRDefault="00743B0C" w:rsidP="00BB6EDB">
      <w:pPr>
        <w:pStyle w:val="NoSpacing"/>
        <w:spacing w:before="1560"/>
        <w:rPr>
          <w:rFonts w:ascii="Arial" w:hAnsi="Arial" w:cs="Arial"/>
          <w:sz w:val="30"/>
          <w:szCs w:val="30"/>
        </w:rPr>
      </w:pPr>
      <w:r w:rsidRPr="00BB6EDB">
        <w:rPr>
          <w:rFonts w:ascii="Arial" w:hAnsi="Arial" w:cs="Arial"/>
          <w:noProof/>
          <w:sz w:val="30"/>
          <w:szCs w:val="30"/>
        </w:rPr>
        <w:drawing>
          <wp:anchor distT="0" distB="0" distL="114300" distR="114300" simplePos="0" relativeHeight="251658241" behindDoc="0" locked="1" layoutInCell="1" allowOverlap="1" wp14:anchorId="23FF4D2D" wp14:editId="1F690292">
            <wp:simplePos x="0" y="0"/>
            <wp:positionH relativeFrom="page">
              <wp:posOffset>5542915</wp:posOffset>
            </wp:positionH>
            <wp:positionV relativeFrom="page">
              <wp:posOffset>8890</wp:posOffset>
            </wp:positionV>
            <wp:extent cx="2015490" cy="10675620"/>
            <wp:effectExtent l="0" t="0" r="3810" b="0"/>
            <wp:wrapSquare wrapText="bothSides"/>
            <wp:docPr id="441220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220250" name="Picture 1">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201549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EDB" w:rsidRPr="00BB6EDB">
        <w:rPr>
          <w:rFonts w:ascii="Arial" w:hAnsi="Arial" w:cs="Arial"/>
          <w:sz w:val="30"/>
          <w:szCs w:val="30"/>
        </w:rPr>
        <w:t>20 February 2026</w:t>
      </w:r>
    </w:p>
    <w:p w14:paraId="53DF0043" w14:textId="77777777" w:rsidR="00743B0C" w:rsidRDefault="00743B0C" w:rsidP="004A3EE0">
      <w:pPr>
        <w:pStyle w:val="spacer"/>
      </w:pPr>
    </w:p>
    <w:p w14:paraId="2D19E54E" w14:textId="77777777" w:rsidR="00743B0C" w:rsidRPr="00AB34D2" w:rsidRDefault="00743B0C" w:rsidP="004A3EE0">
      <w:pPr>
        <w:sectPr w:rsidR="00743B0C" w:rsidRPr="00AB34D2" w:rsidSect="00BB6EDB">
          <w:headerReference w:type="default" r:id="rId13"/>
          <w:pgSz w:w="11906" w:h="16838" w:code="9"/>
          <w:pgMar w:top="1418" w:right="3826" w:bottom="1418" w:left="1247" w:header="709" w:footer="454" w:gutter="0"/>
          <w:cols w:space="708"/>
          <w:docGrid w:linePitch="360"/>
        </w:sectPr>
      </w:pPr>
    </w:p>
    <w:sdt>
      <w:sdtPr>
        <w:rPr>
          <w:rStyle w:val="Black"/>
        </w:rPr>
        <w:id w:val="-1073804232"/>
        <w:placeholder>
          <w:docPart w:val="B126ACD13116456496848D37A1EC20DB"/>
        </w:placeholder>
        <w:dropDownList>
          <w:listItem w:value="Choose an item."/>
          <w:listItem w:displayText="Document classification: Confidential" w:value="Document classification: Confidential"/>
          <w:listItem w:displayText="Document classification: Restricted" w:value="Document classification: Restricted"/>
          <w:listItem w:displayText="Document classification: Client use" w:value="Document classification: Client use"/>
          <w:listItem w:displayText="Document classification: Internal use" w:value="Document classification: Internal use"/>
          <w:listItem w:displayText="Document classification: Public" w:value="Document classification: Public"/>
        </w:dropDownList>
      </w:sdtPr>
      <w:sdtEndPr>
        <w:rPr>
          <w:rStyle w:val="Whitetext"/>
          <w:color w:val="FFFFFF"/>
        </w:rPr>
      </w:sdtEndPr>
      <w:sdtContent>
        <w:p w14:paraId="557EA871" w14:textId="4C703349" w:rsidR="00743B0C" w:rsidRPr="001A5DC8" w:rsidRDefault="00CA1822" w:rsidP="004A3EE0">
          <w:pPr>
            <w:rPr>
              <w:rStyle w:val="Whitetext"/>
              <w:lang w:val="fr-FR"/>
            </w:rPr>
          </w:pPr>
          <w:r>
            <w:rPr>
              <w:rStyle w:val="Black"/>
            </w:rPr>
            <w:t>Document classification: Client use</w:t>
          </w:r>
        </w:p>
      </w:sdtContent>
    </w:sdt>
    <w:p w14:paraId="7710DF59" w14:textId="77777777" w:rsidR="00743B0C" w:rsidRPr="00F94742" w:rsidRDefault="00743B0C" w:rsidP="004A3EE0">
      <w:pPr>
        <w:pStyle w:val="ACNABN"/>
        <w:framePr w:wrap="around" w:hAnchor="margin" w:xAlign="left" w:y="13445"/>
        <w:rPr>
          <w:rStyle w:val="Black"/>
        </w:rPr>
      </w:pPr>
      <w:r w:rsidRPr="00F94742">
        <w:rPr>
          <w:rStyle w:val="Black"/>
        </w:rPr>
        <w:t>ACN</w:t>
      </w:r>
      <w:r w:rsidRPr="00F94742">
        <w:rPr>
          <w:rStyle w:val="Black"/>
        </w:rPr>
        <w:tab/>
        <w:t>087 047 809</w:t>
      </w:r>
    </w:p>
    <w:p w14:paraId="5D55538A" w14:textId="77777777" w:rsidR="00743B0C" w:rsidRPr="00F94742" w:rsidRDefault="00743B0C" w:rsidP="004A3EE0">
      <w:pPr>
        <w:pStyle w:val="ACNABN"/>
        <w:framePr w:wrap="around" w:hAnchor="margin" w:xAlign="left" w:y="13445"/>
        <w:rPr>
          <w:rStyle w:val="Black"/>
        </w:rPr>
      </w:pPr>
      <w:r w:rsidRPr="00F94742">
        <w:rPr>
          <w:rStyle w:val="Black"/>
        </w:rPr>
        <w:t>ABN</w:t>
      </w:r>
      <w:r w:rsidRPr="00F94742">
        <w:rPr>
          <w:rStyle w:val="Black"/>
        </w:rPr>
        <w:tab/>
        <w:t>29 087 047 809</w:t>
      </w:r>
    </w:p>
    <w:p w14:paraId="2D72B8DD" w14:textId="530FAEA7" w:rsidR="00743B0C" w:rsidRPr="00F94742" w:rsidRDefault="00743B0C" w:rsidP="004A3EE0">
      <w:pPr>
        <w:pStyle w:val="Backcoverwebaddress"/>
        <w:framePr w:hSpace="181" w:vSpace="1276" w:wrap="around" w:vAnchor="page" w:hAnchor="margin" w:y="13445"/>
        <w:spacing w:before="120"/>
        <w:rPr>
          <w:rStyle w:val="Black"/>
        </w:rPr>
      </w:pPr>
      <w:hyperlink r:id="rId14" w:history="1">
        <w:r w:rsidRPr="00F94742">
          <w:rPr>
            <w:rStyle w:val="Black"/>
          </w:rPr>
          <w:t>www.taylorfry.com.au</w:t>
        </w:r>
      </w:hyperlink>
    </w:p>
    <w:p w14:paraId="1638059F" w14:textId="427AD050" w:rsidR="00A46103" w:rsidRPr="000463C8" w:rsidRDefault="00A46103" w:rsidP="005D5705">
      <w:pPr>
        <w:spacing w:before="5400"/>
      </w:pPr>
      <w:r w:rsidRPr="000463C8">
        <w:t xml:space="preserve">This report and the associated analysis </w:t>
      </w:r>
      <w:proofErr w:type="gramStart"/>
      <w:r w:rsidRPr="000463C8">
        <w:t>was</w:t>
      </w:r>
      <w:proofErr w:type="gramEnd"/>
      <w:r w:rsidRPr="000463C8">
        <w:t xml:space="preserve"> prepared by Taylor Fry Pty Ltd (Taylor Fry). It was commissioned by the Commonwealth Department of Social Service</w:t>
      </w:r>
      <w:r w:rsidR="00507020" w:rsidRPr="000463C8">
        <w:t>s</w:t>
      </w:r>
      <w:r w:rsidRPr="000463C8">
        <w:t xml:space="preserve"> acting as Secretariat for the Economic Inclusion Advisory Committee (EIAC) for the purpose of informing the EIAC's Report for the 2026–27 Budget. This report relies on information publicly available as at the date of publication and non-public data provided by the Department of Employment and Workplace Relations on 18 December 2025. Any opinions, forecasts or recommendations reflect our judgement and assumptions at the date of publication and may change without notice. </w:t>
      </w:r>
    </w:p>
    <w:p w14:paraId="6ABEBD17" w14:textId="77777777" w:rsidR="00A46103" w:rsidRPr="000463C8" w:rsidRDefault="00A46103" w:rsidP="00A46103">
      <w:r w:rsidRPr="000463C8">
        <w:t xml:space="preserve">While we understand the EIAC may publish this report publicly as an appendix to their report, third-party access to this report does not create a client relationship between Taylor Fry and the public reader. Public readers should not rely on or act on any aspect of this report without first seeking professional advice. We are not aware of any third-party that intends to rely on this report nor the </w:t>
      </w:r>
      <w:proofErr w:type="gramStart"/>
      <w:r w:rsidRPr="000463C8">
        <w:t>manner in which</w:t>
      </w:r>
      <w:proofErr w:type="gramEnd"/>
      <w:r w:rsidRPr="000463C8">
        <w:t xml:space="preserve"> they would use it. In preparing this report it is not possible to take into consideration the </w:t>
      </w:r>
      <w:proofErr w:type="gramStart"/>
      <w:r w:rsidRPr="000463C8">
        <w:t>particular needs</w:t>
      </w:r>
      <w:proofErr w:type="gramEnd"/>
      <w:r w:rsidRPr="000463C8">
        <w:t xml:space="preserve"> of any third-party.</w:t>
      </w:r>
    </w:p>
    <w:p w14:paraId="0364A4DE" w14:textId="77777777" w:rsidR="00A46103" w:rsidRPr="000463C8" w:rsidRDefault="00A46103" w:rsidP="00A46103">
      <w:r w:rsidRPr="000463C8">
        <w:t>While the content of this report has been prepared with all reasonable care from sources we believe are reliable, no responsibility or liability is accepted by Taylor Fry for the impact on any third-party of any errors or omissions or misstatements however caused.</w:t>
      </w:r>
    </w:p>
    <w:p w14:paraId="68B1893A" w14:textId="36524F18" w:rsidR="00743B0C" w:rsidRPr="000463C8" w:rsidRDefault="00A46103" w:rsidP="004A3EE0">
      <w:r w:rsidRPr="000463C8">
        <w:t>Note: All dollar figures are Australian dollars unless indicated otherwise.</w:t>
      </w:r>
    </w:p>
    <w:p w14:paraId="7DEA63B0" w14:textId="77777777" w:rsidR="00743B0C" w:rsidRPr="001A5DC8" w:rsidRDefault="00743B0C" w:rsidP="004A3EE0">
      <w:pPr>
        <w:rPr>
          <w:lang w:val="fr-FR"/>
        </w:rPr>
        <w:sectPr w:rsidR="00743B0C" w:rsidRPr="001A5DC8" w:rsidSect="00743B0C">
          <w:headerReference w:type="default" r:id="rId15"/>
          <w:pgSz w:w="11906" w:h="16838" w:code="9"/>
          <w:pgMar w:top="1418" w:right="1247" w:bottom="1418" w:left="1247" w:header="709" w:footer="454" w:gutter="0"/>
          <w:pgNumType w:fmt="lowerRoman"/>
          <w:cols w:space="708"/>
          <w:docGrid w:linePitch="360"/>
        </w:sectPr>
      </w:pPr>
    </w:p>
    <w:p w14:paraId="0C1BB173" w14:textId="77777777" w:rsidR="006135AB" w:rsidRPr="0075277E" w:rsidRDefault="006135AB" w:rsidP="0075277E">
      <w:pPr>
        <w:pStyle w:val="Heading2"/>
        <w:keepNext w:val="0"/>
        <w:keepLines w:val="0"/>
        <w:pageBreakBefore w:val="0"/>
        <w:numPr>
          <w:ilvl w:val="0"/>
          <w:numId w:val="0"/>
        </w:numPr>
        <w:spacing w:after="120"/>
        <w:rPr>
          <w:sz w:val="36"/>
          <w:szCs w:val="36"/>
        </w:rPr>
      </w:pPr>
      <w:r w:rsidRPr="0075277E">
        <w:rPr>
          <w:sz w:val="36"/>
          <w:szCs w:val="36"/>
        </w:rPr>
        <w:lastRenderedPageBreak/>
        <w:t>Table of contents</w:t>
      </w:r>
    </w:p>
    <w:sdt>
      <w:sdtPr>
        <w:rPr>
          <w:rFonts w:ascii="Blanco" w:eastAsia="Blanco" w:hAnsi="Blanco" w:cs="Times New Roman"/>
          <w:b w:val="0"/>
          <w:noProof/>
          <w:lang w:val="en-GB" w:eastAsia="en-AU"/>
        </w:rPr>
        <w:id w:val="2138911127"/>
        <w:docPartObj>
          <w:docPartGallery w:val="Table of Contents"/>
          <w:docPartUnique/>
        </w:docPartObj>
      </w:sdtPr>
      <w:sdtEndPr/>
      <w:sdtContent>
        <w:p w14:paraId="13BA14E9" w14:textId="49BA1695" w:rsidR="001703C6" w:rsidRDefault="002F35E8">
          <w:pPr>
            <w:pStyle w:val="TOC1"/>
            <w:rPr>
              <w:rFonts w:eastAsiaTheme="minorEastAsia"/>
              <w:b w:val="0"/>
              <w:noProof/>
              <w:kern w:val="2"/>
              <w:sz w:val="24"/>
              <w:szCs w:val="24"/>
              <w:lang w:eastAsia="en-AU"/>
              <w14:ligatures w14:val="standardContextual"/>
            </w:rPr>
          </w:pPr>
          <w:r>
            <w:rPr>
              <w:noProof/>
            </w:rPr>
            <w:fldChar w:fldCharType="begin"/>
          </w:r>
          <w:r>
            <w:rPr>
              <w:noProof/>
            </w:rPr>
            <w:instrText xml:space="preserve"> TOC \o "1-2" \h \z \t "Heading 5,1,Heading 6,2,Section number,4,Section subtitle,3" \n 4-4 </w:instrText>
          </w:r>
          <w:r>
            <w:rPr>
              <w:noProof/>
            </w:rPr>
            <w:fldChar w:fldCharType="separate"/>
          </w:r>
          <w:hyperlink w:anchor="_Toc226038386" w:history="1">
            <w:r w:rsidR="001703C6" w:rsidRPr="00F51C30">
              <w:rPr>
                <w:rStyle w:val="Hyperlink"/>
                <w:noProof/>
              </w:rPr>
              <w:t>1</w:t>
            </w:r>
            <w:r w:rsidR="001703C6">
              <w:rPr>
                <w:rFonts w:eastAsiaTheme="minorEastAsia"/>
                <w:b w:val="0"/>
                <w:noProof/>
                <w:kern w:val="2"/>
                <w:sz w:val="24"/>
                <w:szCs w:val="24"/>
                <w:lang w:eastAsia="en-AU"/>
                <w14:ligatures w14:val="standardContextual"/>
              </w:rPr>
              <w:tab/>
            </w:r>
            <w:r w:rsidR="001703C6" w:rsidRPr="00F51C30">
              <w:rPr>
                <w:rStyle w:val="Hyperlink"/>
                <w:noProof/>
              </w:rPr>
              <w:t>Executive Summary</w:t>
            </w:r>
            <w:r w:rsidR="001703C6">
              <w:rPr>
                <w:noProof/>
                <w:webHidden/>
              </w:rPr>
              <w:tab/>
            </w:r>
            <w:r w:rsidR="001703C6">
              <w:rPr>
                <w:noProof/>
                <w:webHidden/>
              </w:rPr>
              <w:fldChar w:fldCharType="begin"/>
            </w:r>
            <w:r w:rsidR="001703C6">
              <w:rPr>
                <w:noProof/>
                <w:webHidden/>
              </w:rPr>
              <w:instrText xml:space="preserve"> PAGEREF _Toc226038386 \h </w:instrText>
            </w:r>
            <w:r w:rsidR="001703C6">
              <w:rPr>
                <w:noProof/>
                <w:webHidden/>
              </w:rPr>
            </w:r>
            <w:r w:rsidR="001703C6">
              <w:rPr>
                <w:noProof/>
                <w:webHidden/>
              </w:rPr>
              <w:fldChar w:fldCharType="separate"/>
            </w:r>
            <w:r w:rsidR="001703C6">
              <w:rPr>
                <w:noProof/>
                <w:webHidden/>
              </w:rPr>
              <w:t>4</w:t>
            </w:r>
            <w:r w:rsidR="001703C6">
              <w:rPr>
                <w:noProof/>
                <w:webHidden/>
              </w:rPr>
              <w:fldChar w:fldCharType="end"/>
            </w:r>
          </w:hyperlink>
        </w:p>
        <w:p w14:paraId="64C0DC46" w14:textId="60CDF5F8" w:rsidR="001703C6" w:rsidRDefault="001703C6">
          <w:pPr>
            <w:pStyle w:val="TOC1"/>
            <w:rPr>
              <w:rFonts w:eastAsiaTheme="minorEastAsia"/>
              <w:b w:val="0"/>
              <w:noProof/>
              <w:kern w:val="2"/>
              <w:sz w:val="24"/>
              <w:szCs w:val="24"/>
              <w:lang w:eastAsia="en-AU"/>
              <w14:ligatures w14:val="standardContextual"/>
            </w:rPr>
          </w:pPr>
          <w:hyperlink w:anchor="_Toc226038387" w:history="1">
            <w:r w:rsidRPr="00F51C30">
              <w:rPr>
                <w:rStyle w:val="Hyperlink"/>
                <w:noProof/>
              </w:rPr>
              <w:t>2</w:t>
            </w:r>
            <w:r>
              <w:rPr>
                <w:rFonts w:eastAsiaTheme="minorEastAsia"/>
                <w:b w:val="0"/>
                <w:noProof/>
                <w:kern w:val="2"/>
                <w:sz w:val="24"/>
                <w:szCs w:val="24"/>
                <w:lang w:eastAsia="en-AU"/>
                <w14:ligatures w14:val="standardContextual"/>
              </w:rPr>
              <w:tab/>
            </w:r>
            <w:r w:rsidRPr="00F51C30">
              <w:rPr>
                <w:rStyle w:val="Hyperlink"/>
                <w:noProof/>
              </w:rPr>
              <w:t>Introduction</w:t>
            </w:r>
            <w:r>
              <w:rPr>
                <w:noProof/>
                <w:webHidden/>
              </w:rPr>
              <w:tab/>
            </w:r>
            <w:r>
              <w:rPr>
                <w:noProof/>
                <w:webHidden/>
              </w:rPr>
              <w:fldChar w:fldCharType="begin"/>
            </w:r>
            <w:r>
              <w:rPr>
                <w:noProof/>
                <w:webHidden/>
              </w:rPr>
              <w:instrText xml:space="preserve"> PAGEREF _Toc226038387 \h </w:instrText>
            </w:r>
            <w:r>
              <w:rPr>
                <w:noProof/>
                <w:webHidden/>
              </w:rPr>
            </w:r>
            <w:r>
              <w:rPr>
                <w:noProof/>
                <w:webHidden/>
              </w:rPr>
              <w:fldChar w:fldCharType="separate"/>
            </w:r>
            <w:r>
              <w:rPr>
                <w:noProof/>
                <w:webHidden/>
              </w:rPr>
              <w:t>6</w:t>
            </w:r>
            <w:r>
              <w:rPr>
                <w:noProof/>
                <w:webHidden/>
              </w:rPr>
              <w:fldChar w:fldCharType="end"/>
            </w:r>
          </w:hyperlink>
        </w:p>
        <w:p w14:paraId="55CF5B05" w14:textId="472A020C" w:rsidR="001703C6" w:rsidRDefault="001703C6">
          <w:pPr>
            <w:pStyle w:val="TOC2"/>
            <w:rPr>
              <w:rFonts w:eastAsiaTheme="minorEastAsia"/>
              <w:noProof/>
              <w:kern w:val="2"/>
              <w:sz w:val="24"/>
              <w:szCs w:val="24"/>
              <w:lang w:eastAsia="en-AU"/>
              <w14:ligatures w14:val="standardContextual"/>
            </w:rPr>
          </w:pPr>
          <w:hyperlink w:anchor="_Toc226038388" w:history="1">
            <w:r w:rsidRPr="00F51C30">
              <w:rPr>
                <w:rStyle w:val="Hyperlink"/>
                <w:noProof/>
              </w:rPr>
              <w:t>2.1</w:t>
            </w:r>
            <w:r>
              <w:rPr>
                <w:rFonts w:eastAsiaTheme="minorEastAsia"/>
                <w:noProof/>
                <w:kern w:val="2"/>
                <w:sz w:val="24"/>
                <w:szCs w:val="24"/>
                <w:lang w:eastAsia="en-AU"/>
                <w14:ligatures w14:val="standardContextual"/>
              </w:rPr>
              <w:tab/>
            </w:r>
            <w:r w:rsidRPr="00F51C30">
              <w:rPr>
                <w:rStyle w:val="Hyperlink"/>
                <w:noProof/>
              </w:rPr>
              <w:t>Background and purpose</w:t>
            </w:r>
            <w:r>
              <w:rPr>
                <w:noProof/>
                <w:webHidden/>
              </w:rPr>
              <w:tab/>
            </w:r>
            <w:r>
              <w:rPr>
                <w:noProof/>
                <w:webHidden/>
              </w:rPr>
              <w:fldChar w:fldCharType="begin"/>
            </w:r>
            <w:r>
              <w:rPr>
                <w:noProof/>
                <w:webHidden/>
              </w:rPr>
              <w:instrText xml:space="preserve"> PAGEREF _Toc226038388 \h </w:instrText>
            </w:r>
            <w:r>
              <w:rPr>
                <w:noProof/>
                <w:webHidden/>
              </w:rPr>
            </w:r>
            <w:r>
              <w:rPr>
                <w:noProof/>
                <w:webHidden/>
              </w:rPr>
              <w:fldChar w:fldCharType="separate"/>
            </w:r>
            <w:r>
              <w:rPr>
                <w:noProof/>
                <w:webHidden/>
              </w:rPr>
              <w:t>6</w:t>
            </w:r>
            <w:r>
              <w:rPr>
                <w:noProof/>
                <w:webHidden/>
              </w:rPr>
              <w:fldChar w:fldCharType="end"/>
            </w:r>
          </w:hyperlink>
        </w:p>
        <w:p w14:paraId="0EE3B6BF" w14:textId="7B894CD4" w:rsidR="001703C6" w:rsidRDefault="001703C6">
          <w:pPr>
            <w:pStyle w:val="TOC2"/>
            <w:rPr>
              <w:rFonts w:eastAsiaTheme="minorEastAsia"/>
              <w:noProof/>
              <w:kern w:val="2"/>
              <w:sz w:val="24"/>
              <w:szCs w:val="24"/>
              <w:lang w:eastAsia="en-AU"/>
              <w14:ligatures w14:val="standardContextual"/>
            </w:rPr>
          </w:pPr>
          <w:hyperlink w:anchor="_Toc226038389" w:history="1">
            <w:r w:rsidRPr="00F51C30">
              <w:rPr>
                <w:rStyle w:val="Hyperlink"/>
                <w:noProof/>
              </w:rPr>
              <w:t>2.2</w:t>
            </w:r>
            <w:r>
              <w:rPr>
                <w:rFonts w:eastAsiaTheme="minorEastAsia"/>
                <w:noProof/>
                <w:kern w:val="2"/>
                <w:sz w:val="24"/>
                <w:szCs w:val="24"/>
                <w:lang w:eastAsia="en-AU"/>
                <w14:ligatures w14:val="standardContextual"/>
              </w:rPr>
              <w:tab/>
            </w:r>
            <w:r w:rsidRPr="00F51C30">
              <w:rPr>
                <w:rStyle w:val="Hyperlink"/>
                <w:noProof/>
              </w:rPr>
              <w:t>The current employment services system</w:t>
            </w:r>
            <w:r>
              <w:rPr>
                <w:noProof/>
                <w:webHidden/>
              </w:rPr>
              <w:tab/>
            </w:r>
            <w:r>
              <w:rPr>
                <w:noProof/>
                <w:webHidden/>
              </w:rPr>
              <w:fldChar w:fldCharType="begin"/>
            </w:r>
            <w:r>
              <w:rPr>
                <w:noProof/>
                <w:webHidden/>
              </w:rPr>
              <w:instrText xml:space="preserve"> PAGEREF _Toc226038389 \h </w:instrText>
            </w:r>
            <w:r>
              <w:rPr>
                <w:noProof/>
                <w:webHidden/>
              </w:rPr>
            </w:r>
            <w:r>
              <w:rPr>
                <w:noProof/>
                <w:webHidden/>
              </w:rPr>
              <w:fldChar w:fldCharType="separate"/>
            </w:r>
            <w:r>
              <w:rPr>
                <w:noProof/>
                <w:webHidden/>
              </w:rPr>
              <w:t>7</w:t>
            </w:r>
            <w:r>
              <w:rPr>
                <w:noProof/>
                <w:webHidden/>
              </w:rPr>
              <w:fldChar w:fldCharType="end"/>
            </w:r>
          </w:hyperlink>
        </w:p>
        <w:p w14:paraId="50E66E64" w14:textId="2E462143" w:rsidR="001703C6" w:rsidRDefault="001703C6">
          <w:pPr>
            <w:pStyle w:val="TOC2"/>
            <w:rPr>
              <w:rFonts w:eastAsiaTheme="minorEastAsia"/>
              <w:noProof/>
              <w:kern w:val="2"/>
              <w:sz w:val="24"/>
              <w:szCs w:val="24"/>
              <w:lang w:eastAsia="en-AU"/>
              <w14:ligatures w14:val="standardContextual"/>
            </w:rPr>
          </w:pPr>
          <w:hyperlink w:anchor="_Toc226038390" w:history="1">
            <w:r w:rsidRPr="00F51C30">
              <w:rPr>
                <w:rStyle w:val="Hyperlink"/>
                <w:noProof/>
              </w:rPr>
              <w:t>2.3</w:t>
            </w:r>
            <w:r>
              <w:rPr>
                <w:rFonts w:eastAsiaTheme="minorEastAsia"/>
                <w:noProof/>
                <w:kern w:val="2"/>
                <w:sz w:val="24"/>
                <w:szCs w:val="24"/>
                <w:lang w:eastAsia="en-AU"/>
                <w14:ligatures w14:val="standardContextual"/>
              </w:rPr>
              <w:tab/>
            </w:r>
            <w:r w:rsidRPr="00F51C30">
              <w:rPr>
                <w:rStyle w:val="Hyperlink"/>
                <w:noProof/>
              </w:rPr>
              <w:t>Key components of the Hill Review and scope</w:t>
            </w:r>
            <w:r>
              <w:rPr>
                <w:noProof/>
                <w:webHidden/>
              </w:rPr>
              <w:tab/>
            </w:r>
            <w:r>
              <w:rPr>
                <w:noProof/>
                <w:webHidden/>
              </w:rPr>
              <w:fldChar w:fldCharType="begin"/>
            </w:r>
            <w:r>
              <w:rPr>
                <w:noProof/>
                <w:webHidden/>
              </w:rPr>
              <w:instrText xml:space="preserve"> PAGEREF _Toc226038390 \h </w:instrText>
            </w:r>
            <w:r>
              <w:rPr>
                <w:noProof/>
                <w:webHidden/>
              </w:rPr>
            </w:r>
            <w:r>
              <w:rPr>
                <w:noProof/>
                <w:webHidden/>
              </w:rPr>
              <w:fldChar w:fldCharType="separate"/>
            </w:r>
            <w:r>
              <w:rPr>
                <w:noProof/>
                <w:webHidden/>
              </w:rPr>
              <w:t>8</w:t>
            </w:r>
            <w:r>
              <w:rPr>
                <w:noProof/>
                <w:webHidden/>
              </w:rPr>
              <w:fldChar w:fldCharType="end"/>
            </w:r>
          </w:hyperlink>
        </w:p>
        <w:p w14:paraId="3325C43A" w14:textId="13028F60" w:rsidR="001703C6" w:rsidRDefault="001703C6">
          <w:pPr>
            <w:pStyle w:val="TOC1"/>
            <w:rPr>
              <w:rFonts w:eastAsiaTheme="minorEastAsia"/>
              <w:b w:val="0"/>
              <w:noProof/>
              <w:kern w:val="2"/>
              <w:sz w:val="24"/>
              <w:szCs w:val="24"/>
              <w:lang w:eastAsia="en-AU"/>
              <w14:ligatures w14:val="standardContextual"/>
            </w:rPr>
          </w:pPr>
          <w:hyperlink w:anchor="_Toc226038391" w:history="1">
            <w:r w:rsidRPr="00F51C30">
              <w:rPr>
                <w:rStyle w:val="Hyperlink"/>
                <w:noProof/>
              </w:rPr>
              <w:t>3</w:t>
            </w:r>
            <w:r>
              <w:rPr>
                <w:rFonts w:eastAsiaTheme="minorEastAsia"/>
                <w:b w:val="0"/>
                <w:noProof/>
                <w:kern w:val="2"/>
                <w:sz w:val="24"/>
                <w:szCs w:val="24"/>
                <w:lang w:eastAsia="en-AU"/>
                <w14:ligatures w14:val="standardContextual"/>
              </w:rPr>
              <w:tab/>
            </w:r>
            <w:r w:rsidRPr="00F51C30">
              <w:rPr>
                <w:rStyle w:val="Hyperlink"/>
                <w:noProof/>
              </w:rPr>
              <w:t>Main findings</w:t>
            </w:r>
            <w:r>
              <w:rPr>
                <w:noProof/>
                <w:webHidden/>
              </w:rPr>
              <w:tab/>
            </w:r>
            <w:r>
              <w:rPr>
                <w:noProof/>
                <w:webHidden/>
              </w:rPr>
              <w:fldChar w:fldCharType="begin"/>
            </w:r>
            <w:r>
              <w:rPr>
                <w:noProof/>
                <w:webHidden/>
              </w:rPr>
              <w:instrText xml:space="preserve"> PAGEREF _Toc226038391 \h </w:instrText>
            </w:r>
            <w:r>
              <w:rPr>
                <w:noProof/>
                <w:webHidden/>
              </w:rPr>
            </w:r>
            <w:r>
              <w:rPr>
                <w:noProof/>
                <w:webHidden/>
              </w:rPr>
              <w:fldChar w:fldCharType="separate"/>
            </w:r>
            <w:r>
              <w:rPr>
                <w:noProof/>
                <w:webHidden/>
              </w:rPr>
              <w:t>11</w:t>
            </w:r>
            <w:r>
              <w:rPr>
                <w:noProof/>
                <w:webHidden/>
              </w:rPr>
              <w:fldChar w:fldCharType="end"/>
            </w:r>
          </w:hyperlink>
        </w:p>
        <w:p w14:paraId="4AE5AD00" w14:textId="7E9347C8" w:rsidR="001703C6" w:rsidRDefault="001703C6">
          <w:pPr>
            <w:pStyle w:val="TOC2"/>
            <w:rPr>
              <w:rFonts w:eastAsiaTheme="minorEastAsia"/>
              <w:noProof/>
              <w:kern w:val="2"/>
              <w:sz w:val="24"/>
              <w:szCs w:val="24"/>
              <w:lang w:eastAsia="en-AU"/>
              <w14:ligatures w14:val="standardContextual"/>
            </w:rPr>
          </w:pPr>
          <w:hyperlink w:anchor="_Toc226038392" w:history="1">
            <w:r w:rsidRPr="00F51C30">
              <w:rPr>
                <w:rStyle w:val="Hyperlink"/>
                <w:noProof/>
              </w:rPr>
              <w:t>3.1</w:t>
            </w:r>
            <w:r>
              <w:rPr>
                <w:rFonts w:eastAsiaTheme="minorEastAsia"/>
                <w:noProof/>
                <w:kern w:val="2"/>
                <w:sz w:val="24"/>
                <w:szCs w:val="24"/>
                <w:lang w:eastAsia="en-AU"/>
                <w14:ligatures w14:val="standardContextual"/>
              </w:rPr>
              <w:tab/>
            </w:r>
            <w:r w:rsidRPr="00F51C30">
              <w:rPr>
                <w:rStyle w:val="Hyperlink"/>
                <w:noProof/>
              </w:rPr>
              <w:t>Funding model: the total estimated cost of a reformed system</w:t>
            </w:r>
            <w:r>
              <w:rPr>
                <w:noProof/>
                <w:webHidden/>
              </w:rPr>
              <w:tab/>
            </w:r>
            <w:r>
              <w:rPr>
                <w:noProof/>
                <w:webHidden/>
              </w:rPr>
              <w:fldChar w:fldCharType="begin"/>
            </w:r>
            <w:r>
              <w:rPr>
                <w:noProof/>
                <w:webHidden/>
              </w:rPr>
              <w:instrText xml:space="preserve"> PAGEREF _Toc226038392 \h </w:instrText>
            </w:r>
            <w:r>
              <w:rPr>
                <w:noProof/>
                <w:webHidden/>
              </w:rPr>
            </w:r>
            <w:r>
              <w:rPr>
                <w:noProof/>
                <w:webHidden/>
              </w:rPr>
              <w:fldChar w:fldCharType="separate"/>
            </w:r>
            <w:r>
              <w:rPr>
                <w:noProof/>
                <w:webHidden/>
              </w:rPr>
              <w:t>11</w:t>
            </w:r>
            <w:r>
              <w:rPr>
                <w:noProof/>
                <w:webHidden/>
              </w:rPr>
              <w:fldChar w:fldCharType="end"/>
            </w:r>
          </w:hyperlink>
        </w:p>
        <w:p w14:paraId="682AC139" w14:textId="6F6E4ED6" w:rsidR="001703C6" w:rsidRDefault="001703C6">
          <w:pPr>
            <w:pStyle w:val="TOC2"/>
            <w:rPr>
              <w:rFonts w:eastAsiaTheme="minorEastAsia"/>
              <w:noProof/>
              <w:kern w:val="2"/>
              <w:sz w:val="24"/>
              <w:szCs w:val="24"/>
              <w:lang w:eastAsia="en-AU"/>
              <w14:ligatures w14:val="standardContextual"/>
            </w:rPr>
          </w:pPr>
          <w:hyperlink w:anchor="_Toc226038393" w:history="1">
            <w:r w:rsidRPr="00F51C30">
              <w:rPr>
                <w:rStyle w:val="Hyperlink"/>
                <w:noProof/>
              </w:rPr>
              <w:t>3.2</w:t>
            </w:r>
            <w:r>
              <w:rPr>
                <w:rFonts w:eastAsiaTheme="minorEastAsia"/>
                <w:noProof/>
                <w:kern w:val="2"/>
                <w:sz w:val="24"/>
                <w:szCs w:val="24"/>
                <w:lang w:eastAsia="en-AU"/>
                <w14:ligatures w14:val="standardContextual"/>
              </w:rPr>
              <w:tab/>
            </w:r>
            <w:r w:rsidRPr="00F51C30">
              <w:rPr>
                <w:rStyle w:val="Hyperlink"/>
                <w:noProof/>
              </w:rPr>
              <w:t>Potential offsets to repurpose the existing funding envelope</w:t>
            </w:r>
            <w:r>
              <w:rPr>
                <w:noProof/>
                <w:webHidden/>
              </w:rPr>
              <w:tab/>
            </w:r>
            <w:r>
              <w:rPr>
                <w:noProof/>
                <w:webHidden/>
              </w:rPr>
              <w:fldChar w:fldCharType="begin"/>
            </w:r>
            <w:r>
              <w:rPr>
                <w:noProof/>
                <w:webHidden/>
              </w:rPr>
              <w:instrText xml:space="preserve"> PAGEREF _Toc226038393 \h </w:instrText>
            </w:r>
            <w:r>
              <w:rPr>
                <w:noProof/>
                <w:webHidden/>
              </w:rPr>
            </w:r>
            <w:r>
              <w:rPr>
                <w:noProof/>
                <w:webHidden/>
              </w:rPr>
              <w:fldChar w:fldCharType="separate"/>
            </w:r>
            <w:r>
              <w:rPr>
                <w:noProof/>
                <w:webHidden/>
              </w:rPr>
              <w:t>16</w:t>
            </w:r>
            <w:r>
              <w:rPr>
                <w:noProof/>
                <w:webHidden/>
              </w:rPr>
              <w:fldChar w:fldCharType="end"/>
            </w:r>
          </w:hyperlink>
        </w:p>
        <w:p w14:paraId="4B439AF2" w14:textId="4AA37C86" w:rsidR="001703C6" w:rsidRDefault="001703C6">
          <w:pPr>
            <w:pStyle w:val="TOC2"/>
            <w:rPr>
              <w:rFonts w:eastAsiaTheme="minorEastAsia"/>
              <w:noProof/>
              <w:kern w:val="2"/>
              <w:sz w:val="24"/>
              <w:szCs w:val="24"/>
              <w:lang w:eastAsia="en-AU"/>
              <w14:ligatures w14:val="standardContextual"/>
            </w:rPr>
          </w:pPr>
          <w:hyperlink w:anchor="_Toc226038394" w:history="1">
            <w:r w:rsidRPr="00F51C30">
              <w:rPr>
                <w:rStyle w:val="Hyperlink"/>
                <w:noProof/>
              </w:rPr>
              <w:t>3.3</w:t>
            </w:r>
            <w:r>
              <w:rPr>
                <w:rFonts w:eastAsiaTheme="minorEastAsia"/>
                <w:noProof/>
                <w:kern w:val="2"/>
                <w:sz w:val="24"/>
                <w:szCs w:val="24"/>
                <w:lang w:eastAsia="en-AU"/>
                <w14:ligatures w14:val="standardContextual"/>
              </w:rPr>
              <w:tab/>
            </w:r>
            <w:r w:rsidRPr="00F51C30">
              <w:rPr>
                <w:rStyle w:val="Hyperlink"/>
                <w:noProof/>
              </w:rPr>
              <w:t>Costing uncertainties</w:t>
            </w:r>
            <w:r>
              <w:rPr>
                <w:noProof/>
                <w:webHidden/>
              </w:rPr>
              <w:tab/>
            </w:r>
            <w:r>
              <w:rPr>
                <w:noProof/>
                <w:webHidden/>
              </w:rPr>
              <w:fldChar w:fldCharType="begin"/>
            </w:r>
            <w:r>
              <w:rPr>
                <w:noProof/>
                <w:webHidden/>
              </w:rPr>
              <w:instrText xml:space="preserve"> PAGEREF _Toc226038394 \h </w:instrText>
            </w:r>
            <w:r>
              <w:rPr>
                <w:noProof/>
                <w:webHidden/>
              </w:rPr>
            </w:r>
            <w:r>
              <w:rPr>
                <w:noProof/>
                <w:webHidden/>
              </w:rPr>
              <w:fldChar w:fldCharType="separate"/>
            </w:r>
            <w:r>
              <w:rPr>
                <w:noProof/>
                <w:webHidden/>
              </w:rPr>
              <w:t>18</w:t>
            </w:r>
            <w:r>
              <w:rPr>
                <w:noProof/>
                <w:webHidden/>
              </w:rPr>
              <w:fldChar w:fldCharType="end"/>
            </w:r>
          </w:hyperlink>
        </w:p>
        <w:p w14:paraId="7B9C1DB0" w14:textId="28CCA394" w:rsidR="001703C6" w:rsidRDefault="001703C6">
          <w:pPr>
            <w:pStyle w:val="TOC2"/>
            <w:rPr>
              <w:rFonts w:eastAsiaTheme="minorEastAsia"/>
              <w:noProof/>
              <w:kern w:val="2"/>
              <w:sz w:val="24"/>
              <w:szCs w:val="24"/>
              <w:lang w:eastAsia="en-AU"/>
              <w14:ligatures w14:val="standardContextual"/>
            </w:rPr>
          </w:pPr>
          <w:hyperlink w:anchor="_Toc226038395" w:history="1">
            <w:r w:rsidRPr="00F51C30">
              <w:rPr>
                <w:rStyle w:val="Hyperlink"/>
                <w:noProof/>
              </w:rPr>
              <w:t>3.4</w:t>
            </w:r>
            <w:r>
              <w:rPr>
                <w:rFonts w:eastAsiaTheme="minorEastAsia"/>
                <w:noProof/>
                <w:kern w:val="2"/>
                <w:sz w:val="24"/>
                <w:szCs w:val="24"/>
                <w:lang w:eastAsia="en-AU"/>
                <w14:ligatures w14:val="standardContextual"/>
              </w:rPr>
              <w:tab/>
            </w:r>
            <w:r w:rsidRPr="00F51C30">
              <w:rPr>
                <w:rStyle w:val="Hyperlink"/>
                <w:noProof/>
              </w:rPr>
              <w:t>Costing scenarios</w:t>
            </w:r>
            <w:r>
              <w:rPr>
                <w:noProof/>
                <w:webHidden/>
              </w:rPr>
              <w:tab/>
            </w:r>
            <w:r>
              <w:rPr>
                <w:noProof/>
                <w:webHidden/>
              </w:rPr>
              <w:fldChar w:fldCharType="begin"/>
            </w:r>
            <w:r>
              <w:rPr>
                <w:noProof/>
                <w:webHidden/>
              </w:rPr>
              <w:instrText xml:space="preserve"> PAGEREF _Toc226038395 \h </w:instrText>
            </w:r>
            <w:r>
              <w:rPr>
                <w:noProof/>
                <w:webHidden/>
              </w:rPr>
            </w:r>
            <w:r>
              <w:rPr>
                <w:noProof/>
                <w:webHidden/>
              </w:rPr>
              <w:fldChar w:fldCharType="separate"/>
            </w:r>
            <w:r>
              <w:rPr>
                <w:noProof/>
                <w:webHidden/>
              </w:rPr>
              <w:t>19</w:t>
            </w:r>
            <w:r>
              <w:rPr>
                <w:noProof/>
                <w:webHidden/>
              </w:rPr>
              <w:fldChar w:fldCharType="end"/>
            </w:r>
          </w:hyperlink>
        </w:p>
        <w:p w14:paraId="2F2BD8BB" w14:textId="61A02C5C" w:rsidR="001703C6" w:rsidRDefault="001703C6">
          <w:pPr>
            <w:pStyle w:val="TOC2"/>
            <w:rPr>
              <w:rFonts w:eastAsiaTheme="minorEastAsia"/>
              <w:noProof/>
              <w:kern w:val="2"/>
              <w:sz w:val="24"/>
              <w:szCs w:val="24"/>
              <w:lang w:eastAsia="en-AU"/>
              <w14:ligatures w14:val="standardContextual"/>
            </w:rPr>
          </w:pPr>
          <w:hyperlink w:anchor="_Toc226038396" w:history="1">
            <w:r w:rsidRPr="00F51C30">
              <w:rPr>
                <w:rStyle w:val="Hyperlink"/>
                <w:noProof/>
              </w:rPr>
              <w:t>3.5</w:t>
            </w:r>
            <w:r>
              <w:rPr>
                <w:rFonts w:eastAsiaTheme="minorEastAsia"/>
                <w:noProof/>
                <w:kern w:val="2"/>
                <w:sz w:val="24"/>
                <w:szCs w:val="24"/>
                <w:lang w:eastAsia="en-AU"/>
                <w14:ligatures w14:val="standardContextual"/>
              </w:rPr>
              <w:tab/>
            </w:r>
            <w:r w:rsidRPr="00F51C30">
              <w:rPr>
                <w:rStyle w:val="Hyperlink"/>
                <w:noProof/>
              </w:rPr>
              <w:t>Rollout and timing considerations</w:t>
            </w:r>
            <w:r>
              <w:rPr>
                <w:noProof/>
                <w:webHidden/>
              </w:rPr>
              <w:tab/>
            </w:r>
            <w:r>
              <w:rPr>
                <w:noProof/>
                <w:webHidden/>
              </w:rPr>
              <w:fldChar w:fldCharType="begin"/>
            </w:r>
            <w:r>
              <w:rPr>
                <w:noProof/>
                <w:webHidden/>
              </w:rPr>
              <w:instrText xml:space="preserve"> PAGEREF _Toc226038396 \h </w:instrText>
            </w:r>
            <w:r>
              <w:rPr>
                <w:noProof/>
                <w:webHidden/>
              </w:rPr>
            </w:r>
            <w:r>
              <w:rPr>
                <w:noProof/>
                <w:webHidden/>
              </w:rPr>
              <w:fldChar w:fldCharType="separate"/>
            </w:r>
            <w:r>
              <w:rPr>
                <w:noProof/>
                <w:webHidden/>
              </w:rPr>
              <w:t>21</w:t>
            </w:r>
            <w:r>
              <w:rPr>
                <w:noProof/>
                <w:webHidden/>
              </w:rPr>
              <w:fldChar w:fldCharType="end"/>
            </w:r>
          </w:hyperlink>
        </w:p>
        <w:p w14:paraId="40265813" w14:textId="2864A344" w:rsidR="001703C6" w:rsidRDefault="001703C6">
          <w:pPr>
            <w:pStyle w:val="TOC1"/>
            <w:rPr>
              <w:rFonts w:eastAsiaTheme="minorEastAsia"/>
              <w:b w:val="0"/>
              <w:noProof/>
              <w:kern w:val="2"/>
              <w:sz w:val="24"/>
              <w:szCs w:val="24"/>
              <w:lang w:eastAsia="en-AU"/>
              <w14:ligatures w14:val="standardContextual"/>
            </w:rPr>
          </w:pPr>
          <w:hyperlink w:anchor="_Toc226038397" w:history="1">
            <w:r w:rsidRPr="00F51C30">
              <w:rPr>
                <w:rStyle w:val="Hyperlink"/>
                <w:noProof/>
              </w:rPr>
              <w:t>4</w:t>
            </w:r>
            <w:r>
              <w:rPr>
                <w:rFonts w:eastAsiaTheme="minorEastAsia"/>
                <w:b w:val="0"/>
                <w:noProof/>
                <w:kern w:val="2"/>
                <w:sz w:val="24"/>
                <w:szCs w:val="24"/>
                <w:lang w:eastAsia="en-AU"/>
                <w14:ligatures w14:val="standardContextual"/>
              </w:rPr>
              <w:tab/>
            </w:r>
            <w:r w:rsidRPr="00F51C30">
              <w:rPr>
                <w:rStyle w:val="Hyperlink"/>
                <w:noProof/>
              </w:rPr>
              <w:t>Key components: Service delivery</w:t>
            </w:r>
            <w:r>
              <w:rPr>
                <w:noProof/>
                <w:webHidden/>
              </w:rPr>
              <w:tab/>
            </w:r>
            <w:r>
              <w:rPr>
                <w:noProof/>
                <w:webHidden/>
              </w:rPr>
              <w:fldChar w:fldCharType="begin"/>
            </w:r>
            <w:r>
              <w:rPr>
                <w:noProof/>
                <w:webHidden/>
              </w:rPr>
              <w:instrText xml:space="preserve"> PAGEREF _Toc226038397 \h </w:instrText>
            </w:r>
            <w:r>
              <w:rPr>
                <w:noProof/>
                <w:webHidden/>
              </w:rPr>
            </w:r>
            <w:r>
              <w:rPr>
                <w:noProof/>
                <w:webHidden/>
              </w:rPr>
              <w:fldChar w:fldCharType="separate"/>
            </w:r>
            <w:r>
              <w:rPr>
                <w:noProof/>
                <w:webHidden/>
              </w:rPr>
              <w:t>22</w:t>
            </w:r>
            <w:r>
              <w:rPr>
                <w:noProof/>
                <w:webHidden/>
              </w:rPr>
              <w:fldChar w:fldCharType="end"/>
            </w:r>
          </w:hyperlink>
        </w:p>
        <w:p w14:paraId="1A0D9816" w14:textId="7AA86D95" w:rsidR="001703C6" w:rsidRDefault="001703C6">
          <w:pPr>
            <w:pStyle w:val="TOC2"/>
            <w:rPr>
              <w:rFonts w:eastAsiaTheme="minorEastAsia"/>
              <w:noProof/>
              <w:kern w:val="2"/>
              <w:sz w:val="24"/>
              <w:szCs w:val="24"/>
              <w:lang w:eastAsia="en-AU"/>
              <w14:ligatures w14:val="standardContextual"/>
            </w:rPr>
          </w:pPr>
          <w:hyperlink w:anchor="_Toc226038398" w:history="1">
            <w:r w:rsidRPr="00F51C30">
              <w:rPr>
                <w:rStyle w:val="Hyperlink"/>
                <w:noProof/>
              </w:rPr>
              <w:t>4.1</w:t>
            </w:r>
            <w:r>
              <w:rPr>
                <w:rFonts w:eastAsiaTheme="minorEastAsia"/>
                <w:noProof/>
                <w:kern w:val="2"/>
                <w:sz w:val="24"/>
                <w:szCs w:val="24"/>
                <w:lang w:eastAsia="en-AU"/>
                <w14:ligatures w14:val="standardContextual"/>
              </w:rPr>
              <w:tab/>
            </w:r>
            <w:r w:rsidRPr="00F51C30">
              <w:rPr>
                <w:rStyle w:val="Hyperlink"/>
                <w:noProof/>
              </w:rPr>
              <w:t>Enhanced service delivery</w:t>
            </w:r>
            <w:r>
              <w:rPr>
                <w:noProof/>
                <w:webHidden/>
              </w:rPr>
              <w:tab/>
            </w:r>
            <w:r>
              <w:rPr>
                <w:noProof/>
                <w:webHidden/>
              </w:rPr>
              <w:fldChar w:fldCharType="begin"/>
            </w:r>
            <w:r>
              <w:rPr>
                <w:noProof/>
                <w:webHidden/>
              </w:rPr>
              <w:instrText xml:space="preserve"> PAGEREF _Toc226038398 \h </w:instrText>
            </w:r>
            <w:r>
              <w:rPr>
                <w:noProof/>
                <w:webHidden/>
              </w:rPr>
            </w:r>
            <w:r>
              <w:rPr>
                <w:noProof/>
                <w:webHidden/>
              </w:rPr>
              <w:fldChar w:fldCharType="separate"/>
            </w:r>
            <w:r>
              <w:rPr>
                <w:noProof/>
                <w:webHidden/>
              </w:rPr>
              <w:t>22</w:t>
            </w:r>
            <w:r>
              <w:rPr>
                <w:noProof/>
                <w:webHidden/>
              </w:rPr>
              <w:fldChar w:fldCharType="end"/>
            </w:r>
          </w:hyperlink>
        </w:p>
        <w:p w14:paraId="16904CE6" w14:textId="306558E2" w:rsidR="001703C6" w:rsidRDefault="001703C6">
          <w:pPr>
            <w:pStyle w:val="TOC2"/>
            <w:rPr>
              <w:rFonts w:eastAsiaTheme="minorEastAsia"/>
              <w:noProof/>
              <w:kern w:val="2"/>
              <w:sz w:val="24"/>
              <w:szCs w:val="24"/>
              <w:lang w:eastAsia="en-AU"/>
              <w14:ligatures w14:val="standardContextual"/>
            </w:rPr>
          </w:pPr>
          <w:hyperlink w:anchor="_Toc226038399" w:history="1">
            <w:r w:rsidRPr="00F51C30">
              <w:rPr>
                <w:rStyle w:val="Hyperlink"/>
                <w:noProof/>
              </w:rPr>
              <w:t>4.2</w:t>
            </w:r>
            <w:r>
              <w:rPr>
                <w:rFonts w:eastAsiaTheme="minorEastAsia"/>
                <w:noProof/>
                <w:kern w:val="2"/>
                <w:sz w:val="24"/>
                <w:szCs w:val="24"/>
                <w:lang w:eastAsia="en-AU"/>
                <w14:ligatures w14:val="standardContextual"/>
              </w:rPr>
              <w:tab/>
            </w:r>
            <w:r w:rsidRPr="00F51C30">
              <w:rPr>
                <w:rStyle w:val="Hyperlink"/>
                <w:noProof/>
              </w:rPr>
              <w:t>Delivered by public sector</w:t>
            </w:r>
            <w:r>
              <w:rPr>
                <w:noProof/>
                <w:webHidden/>
              </w:rPr>
              <w:tab/>
            </w:r>
            <w:r>
              <w:rPr>
                <w:noProof/>
                <w:webHidden/>
              </w:rPr>
              <w:fldChar w:fldCharType="begin"/>
            </w:r>
            <w:r>
              <w:rPr>
                <w:noProof/>
                <w:webHidden/>
              </w:rPr>
              <w:instrText xml:space="preserve"> PAGEREF _Toc226038399 \h </w:instrText>
            </w:r>
            <w:r>
              <w:rPr>
                <w:noProof/>
                <w:webHidden/>
              </w:rPr>
            </w:r>
            <w:r>
              <w:rPr>
                <w:noProof/>
                <w:webHidden/>
              </w:rPr>
              <w:fldChar w:fldCharType="separate"/>
            </w:r>
            <w:r>
              <w:rPr>
                <w:noProof/>
                <w:webHidden/>
              </w:rPr>
              <w:t>30</w:t>
            </w:r>
            <w:r>
              <w:rPr>
                <w:noProof/>
                <w:webHidden/>
              </w:rPr>
              <w:fldChar w:fldCharType="end"/>
            </w:r>
          </w:hyperlink>
        </w:p>
        <w:p w14:paraId="38E2E347" w14:textId="636D6744" w:rsidR="001703C6" w:rsidRDefault="001703C6">
          <w:pPr>
            <w:pStyle w:val="TOC2"/>
            <w:rPr>
              <w:rFonts w:eastAsiaTheme="minorEastAsia"/>
              <w:noProof/>
              <w:kern w:val="2"/>
              <w:sz w:val="24"/>
              <w:szCs w:val="24"/>
              <w:lang w:eastAsia="en-AU"/>
              <w14:ligatures w14:val="standardContextual"/>
            </w:rPr>
          </w:pPr>
          <w:hyperlink w:anchor="_Toc226038400" w:history="1">
            <w:r w:rsidRPr="00F51C30">
              <w:rPr>
                <w:rStyle w:val="Hyperlink"/>
                <w:noProof/>
              </w:rPr>
              <w:t>4.3</w:t>
            </w:r>
            <w:r>
              <w:rPr>
                <w:rFonts w:eastAsiaTheme="minorEastAsia"/>
                <w:noProof/>
                <w:kern w:val="2"/>
                <w:sz w:val="24"/>
                <w:szCs w:val="24"/>
                <w:lang w:eastAsia="en-AU"/>
                <w14:ligatures w14:val="standardContextual"/>
              </w:rPr>
              <w:tab/>
            </w:r>
            <w:r w:rsidRPr="00F51C30">
              <w:rPr>
                <w:rStyle w:val="Hyperlink"/>
                <w:noProof/>
              </w:rPr>
              <w:t>Digital platform</w:t>
            </w:r>
            <w:r>
              <w:rPr>
                <w:noProof/>
                <w:webHidden/>
              </w:rPr>
              <w:tab/>
            </w:r>
            <w:r>
              <w:rPr>
                <w:noProof/>
                <w:webHidden/>
              </w:rPr>
              <w:fldChar w:fldCharType="begin"/>
            </w:r>
            <w:r>
              <w:rPr>
                <w:noProof/>
                <w:webHidden/>
              </w:rPr>
              <w:instrText xml:space="preserve"> PAGEREF _Toc226038400 \h </w:instrText>
            </w:r>
            <w:r>
              <w:rPr>
                <w:noProof/>
                <w:webHidden/>
              </w:rPr>
            </w:r>
            <w:r>
              <w:rPr>
                <w:noProof/>
                <w:webHidden/>
              </w:rPr>
              <w:fldChar w:fldCharType="separate"/>
            </w:r>
            <w:r>
              <w:rPr>
                <w:noProof/>
                <w:webHidden/>
              </w:rPr>
              <w:t>35</w:t>
            </w:r>
            <w:r>
              <w:rPr>
                <w:noProof/>
                <w:webHidden/>
              </w:rPr>
              <w:fldChar w:fldCharType="end"/>
            </w:r>
          </w:hyperlink>
        </w:p>
        <w:p w14:paraId="7335FED2" w14:textId="0DF2BB67" w:rsidR="001703C6" w:rsidRDefault="001703C6">
          <w:pPr>
            <w:pStyle w:val="TOC2"/>
            <w:rPr>
              <w:rFonts w:eastAsiaTheme="minorEastAsia"/>
              <w:noProof/>
              <w:kern w:val="2"/>
              <w:sz w:val="24"/>
              <w:szCs w:val="24"/>
              <w:lang w:eastAsia="en-AU"/>
              <w14:ligatures w14:val="standardContextual"/>
            </w:rPr>
          </w:pPr>
          <w:hyperlink w:anchor="_Toc226038401" w:history="1">
            <w:r w:rsidRPr="00F51C30">
              <w:rPr>
                <w:rStyle w:val="Hyperlink"/>
                <w:noProof/>
              </w:rPr>
              <w:t>4.4</w:t>
            </w:r>
            <w:r>
              <w:rPr>
                <w:rFonts w:eastAsiaTheme="minorEastAsia"/>
                <w:noProof/>
                <w:kern w:val="2"/>
                <w:sz w:val="24"/>
                <w:szCs w:val="24"/>
                <w:lang w:eastAsia="en-AU"/>
                <w14:ligatures w14:val="standardContextual"/>
              </w:rPr>
              <w:tab/>
            </w:r>
            <w:r w:rsidRPr="00F51C30">
              <w:rPr>
                <w:rStyle w:val="Hyperlink"/>
                <w:noProof/>
              </w:rPr>
              <w:t>Regional hubs</w:t>
            </w:r>
            <w:r>
              <w:rPr>
                <w:noProof/>
                <w:webHidden/>
              </w:rPr>
              <w:tab/>
            </w:r>
            <w:r>
              <w:rPr>
                <w:noProof/>
                <w:webHidden/>
              </w:rPr>
              <w:fldChar w:fldCharType="begin"/>
            </w:r>
            <w:r>
              <w:rPr>
                <w:noProof/>
                <w:webHidden/>
              </w:rPr>
              <w:instrText xml:space="preserve"> PAGEREF _Toc226038401 \h </w:instrText>
            </w:r>
            <w:r>
              <w:rPr>
                <w:noProof/>
                <w:webHidden/>
              </w:rPr>
            </w:r>
            <w:r>
              <w:rPr>
                <w:noProof/>
                <w:webHidden/>
              </w:rPr>
              <w:fldChar w:fldCharType="separate"/>
            </w:r>
            <w:r>
              <w:rPr>
                <w:noProof/>
                <w:webHidden/>
              </w:rPr>
              <w:t>38</w:t>
            </w:r>
            <w:r>
              <w:rPr>
                <w:noProof/>
                <w:webHidden/>
              </w:rPr>
              <w:fldChar w:fldCharType="end"/>
            </w:r>
          </w:hyperlink>
        </w:p>
        <w:p w14:paraId="797DAAEF" w14:textId="4F5381A3" w:rsidR="001703C6" w:rsidRDefault="001703C6">
          <w:pPr>
            <w:pStyle w:val="TOC2"/>
            <w:rPr>
              <w:rFonts w:eastAsiaTheme="minorEastAsia"/>
              <w:noProof/>
              <w:kern w:val="2"/>
              <w:sz w:val="24"/>
              <w:szCs w:val="24"/>
              <w:lang w:eastAsia="en-AU"/>
              <w14:ligatures w14:val="standardContextual"/>
            </w:rPr>
          </w:pPr>
          <w:hyperlink w:anchor="_Toc226038402" w:history="1">
            <w:r w:rsidRPr="00F51C30">
              <w:rPr>
                <w:rStyle w:val="Hyperlink"/>
                <w:noProof/>
              </w:rPr>
              <w:t>4.5</w:t>
            </w:r>
            <w:r>
              <w:rPr>
                <w:rFonts w:eastAsiaTheme="minorEastAsia"/>
                <w:noProof/>
                <w:kern w:val="2"/>
                <w:sz w:val="24"/>
                <w:szCs w:val="24"/>
                <w:lang w:eastAsia="en-AU"/>
                <w14:ligatures w14:val="standardContextual"/>
              </w:rPr>
              <w:tab/>
            </w:r>
            <w:r w:rsidRPr="00F51C30">
              <w:rPr>
                <w:rStyle w:val="Hyperlink"/>
                <w:noProof/>
              </w:rPr>
              <w:t>Wage subsidies</w:t>
            </w:r>
            <w:r>
              <w:rPr>
                <w:noProof/>
                <w:webHidden/>
              </w:rPr>
              <w:tab/>
            </w:r>
            <w:r>
              <w:rPr>
                <w:noProof/>
                <w:webHidden/>
              </w:rPr>
              <w:fldChar w:fldCharType="begin"/>
            </w:r>
            <w:r>
              <w:rPr>
                <w:noProof/>
                <w:webHidden/>
              </w:rPr>
              <w:instrText xml:space="preserve"> PAGEREF _Toc226038402 \h </w:instrText>
            </w:r>
            <w:r>
              <w:rPr>
                <w:noProof/>
                <w:webHidden/>
              </w:rPr>
            </w:r>
            <w:r>
              <w:rPr>
                <w:noProof/>
                <w:webHidden/>
              </w:rPr>
              <w:fldChar w:fldCharType="separate"/>
            </w:r>
            <w:r>
              <w:rPr>
                <w:noProof/>
                <w:webHidden/>
              </w:rPr>
              <w:t>45</w:t>
            </w:r>
            <w:r>
              <w:rPr>
                <w:noProof/>
                <w:webHidden/>
              </w:rPr>
              <w:fldChar w:fldCharType="end"/>
            </w:r>
          </w:hyperlink>
        </w:p>
        <w:p w14:paraId="65137B59" w14:textId="2EEDF361" w:rsidR="001703C6" w:rsidRDefault="001703C6">
          <w:pPr>
            <w:pStyle w:val="TOC1"/>
            <w:rPr>
              <w:rFonts w:eastAsiaTheme="minorEastAsia"/>
              <w:b w:val="0"/>
              <w:noProof/>
              <w:kern w:val="2"/>
              <w:sz w:val="24"/>
              <w:szCs w:val="24"/>
              <w:lang w:eastAsia="en-AU"/>
              <w14:ligatures w14:val="standardContextual"/>
            </w:rPr>
          </w:pPr>
          <w:hyperlink w:anchor="_Toc226038403" w:history="1">
            <w:r w:rsidRPr="00F51C30">
              <w:rPr>
                <w:rStyle w:val="Hyperlink"/>
                <w:noProof/>
              </w:rPr>
              <w:t>5</w:t>
            </w:r>
            <w:r>
              <w:rPr>
                <w:rFonts w:eastAsiaTheme="minorEastAsia"/>
                <w:b w:val="0"/>
                <w:noProof/>
                <w:kern w:val="2"/>
                <w:sz w:val="24"/>
                <w:szCs w:val="24"/>
                <w:lang w:eastAsia="en-AU"/>
                <w14:ligatures w14:val="standardContextual"/>
              </w:rPr>
              <w:tab/>
            </w:r>
            <w:r w:rsidRPr="00F51C30">
              <w:rPr>
                <w:rStyle w:val="Hyperlink"/>
                <w:noProof/>
              </w:rPr>
              <w:t>Key components: Governance</w:t>
            </w:r>
            <w:r>
              <w:rPr>
                <w:noProof/>
                <w:webHidden/>
              </w:rPr>
              <w:tab/>
            </w:r>
            <w:r>
              <w:rPr>
                <w:noProof/>
                <w:webHidden/>
              </w:rPr>
              <w:fldChar w:fldCharType="begin"/>
            </w:r>
            <w:r>
              <w:rPr>
                <w:noProof/>
                <w:webHidden/>
              </w:rPr>
              <w:instrText xml:space="preserve"> PAGEREF _Toc226038403 \h </w:instrText>
            </w:r>
            <w:r>
              <w:rPr>
                <w:noProof/>
                <w:webHidden/>
              </w:rPr>
            </w:r>
            <w:r>
              <w:rPr>
                <w:noProof/>
                <w:webHidden/>
              </w:rPr>
              <w:fldChar w:fldCharType="separate"/>
            </w:r>
            <w:r>
              <w:rPr>
                <w:noProof/>
                <w:webHidden/>
              </w:rPr>
              <w:t>46</w:t>
            </w:r>
            <w:r>
              <w:rPr>
                <w:noProof/>
                <w:webHidden/>
              </w:rPr>
              <w:fldChar w:fldCharType="end"/>
            </w:r>
          </w:hyperlink>
        </w:p>
        <w:p w14:paraId="376FEE28" w14:textId="544371B7" w:rsidR="001703C6" w:rsidRDefault="001703C6">
          <w:pPr>
            <w:pStyle w:val="TOC2"/>
            <w:rPr>
              <w:rFonts w:eastAsiaTheme="minorEastAsia"/>
              <w:noProof/>
              <w:kern w:val="2"/>
              <w:sz w:val="24"/>
              <w:szCs w:val="24"/>
              <w:lang w:eastAsia="en-AU"/>
              <w14:ligatures w14:val="standardContextual"/>
            </w:rPr>
          </w:pPr>
          <w:hyperlink w:anchor="_Toc226038404" w:history="1">
            <w:r w:rsidRPr="00F51C30">
              <w:rPr>
                <w:rStyle w:val="Hyperlink"/>
                <w:noProof/>
              </w:rPr>
              <w:t>5.1</w:t>
            </w:r>
            <w:r>
              <w:rPr>
                <w:rFonts w:eastAsiaTheme="minorEastAsia"/>
                <w:noProof/>
                <w:kern w:val="2"/>
                <w:sz w:val="24"/>
                <w:szCs w:val="24"/>
                <w:lang w:eastAsia="en-AU"/>
                <w14:ligatures w14:val="standardContextual"/>
              </w:rPr>
              <w:tab/>
            </w:r>
            <w:r w:rsidRPr="00F51C30">
              <w:rPr>
                <w:rStyle w:val="Hyperlink"/>
                <w:noProof/>
              </w:rPr>
              <w:t>Employment Services Australia (ESA)</w:t>
            </w:r>
            <w:r>
              <w:rPr>
                <w:noProof/>
                <w:webHidden/>
              </w:rPr>
              <w:tab/>
            </w:r>
            <w:r>
              <w:rPr>
                <w:noProof/>
                <w:webHidden/>
              </w:rPr>
              <w:fldChar w:fldCharType="begin"/>
            </w:r>
            <w:r>
              <w:rPr>
                <w:noProof/>
                <w:webHidden/>
              </w:rPr>
              <w:instrText xml:space="preserve"> PAGEREF _Toc226038404 \h </w:instrText>
            </w:r>
            <w:r>
              <w:rPr>
                <w:noProof/>
                <w:webHidden/>
              </w:rPr>
            </w:r>
            <w:r>
              <w:rPr>
                <w:noProof/>
                <w:webHidden/>
              </w:rPr>
              <w:fldChar w:fldCharType="separate"/>
            </w:r>
            <w:r>
              <w:rPr>
                <w:noProof/>
                <w:webHidden/>
              </w:rPr>
              <w:t>46</w:t>
            </w:r>
            <w:r>
              <w:rPr>
                <w:noProof/>
                <w:webHidden/>
              </w:rPr>
              <w:fldChar w:fldCharType="end"/>
            </w:r>
          </w:hyperlink>
        </w:p>
        <w:p w14:paraId="5C1052CA" w14:textId="38AF9DBC" w:rsidR="001703C6" w:rsidRDefault="001703C6">
          <w:pPr>
            <w:pStyle w:val="TOC2"/>
            <w:rPr>
              <w:rFonts w:eastAsiaTheme="minorEastAsia"/>
              <w:noProof/>
              <w:kern w:val="2"/>
              <w:sz w:val="24"/>
              <w:szCs w:val="24"/>
              <w:lang w:eastAsia="en-AU"/>
              <w14:ligatures w14:val="standardContextual"/>
            </w:rPr>
          </w:pPr>
          <w:hyperlink w:anchor="_Toc226038405" w:history="1">
            <w:r w:rsidRPr="00F51C30">
              <w:rPr>
                <w:rStyle w:val="Hyperlink"/>
                <w:noProof/>
              </w:rPr>
              <w:t>5.2</w:t>
            </w:r>
            <w:r>
              <w:rPr>
                <w:rFonts w:eastAsiaTheme="minorEastAsia"/>
                <w:noProof/>
                <w:kern w:val="2"/>
                <w:sz w:val="24"/>
                <w:szCs w:val="24"/>
                <w:lang w:eastAsia="en-AU"/>
                <w14:ligatures w14:val="standardContextual"/>
              </w:rPr>
              <w:tab/>
            </w:r>
            <w:r w:rsidRPr="00F51C30">
              <w:rPr>
                <w:rStyle w:val="Hyperlink"/>
                <w:noProof/>
              </w:rPr>
              <w:t>Commissioning framework</w:t>
            </w:r>
            <w:r>
              <w:rPr>
                <w:noProof/>
                <w:webHidden/>
              </w:rPr>
              <w:tab/>
            </w:r>
            <w:r>
              <w:rPr>
                <w:noProof/>
                <w:webHidden/>
              </w:rPr>
              <w:fldChar w:fldCharType="begin"/>
            </w:r>
            <w:r>
              <w:rPr>
                <w:noProof/>
                <w:webHidden/>
              </w:rPr>
              <w:instrText xml:space="preserve"> PAGEREF _Toc226038405 \h </w:instrText>
            </w:r>
            <w:r>
              <w:rPr>
                <w:noProof/>
                <w:webHidden/>
              </w:rPr>
            </w:r>
            <w:r>
              <w:rPr>
                <w:noProof/>
                <w:webHidden/>
              </w:rPr>
              <w:fldChar w:fldCharType="separate"/>
            </w:r>
            <w:r>
              <w:rPr>
                <w:noProof/>
                <w:webHidden/>
              </w:rPr>
              <w:t>49</w:t>
            </w:r>
            <w:r>
              <w:rPr>
                <w:noProof/>
                <w:webHidden/>
              </w:rPr>
              <w:fldChar w:fldCharType="end"/>
            </w:r>
          </w:hyperlink>
        </w:p>
        <w:p w14:paraId="7944FC8D" w14:textId="58ABE5C9" w:rsidR="001703C6" w:rsidRDefault="001703C6">
          <w:pPr>
            <w:pStyle w:val="TOC2"/>
            <w:rPr>
              <w:rFonts w:eastAsiaTheme="minorEastAsia"/>
              <w:noProof/>
              <w:kern w:val="2"/>
              <w:sz w:val="24"/>
              <w:szCs w:val="24"/>
              <w:lang w:eastAsia="en-AU"/>
              <w14:ligatures w14:val="standardContextual"/>
            </w:rPr>
          </w:pPr>
          <w:hyperlink w:anchor="_Toc226038406" w:history="1">
            <w:r w:rsidRPr="00F51C30">
              <w:rPr>
                <w:rStyle w:val="Hyperlink"/>
                <w:noProof/>
              </w:rPr>
              <w:t>5.3</w:t>
            </w:r>
            <w:r>
              <w:rPr>
                <w:rFonts w:eastAsiaTheme="minorEastAsia"/>
                <w:noProof/>
                <w:kern w:val="2"/>
                <w:sz w:val="24"/>
                <w:szCs w:val="24"/>
                <w:lang w:eastAsia="en-AU"/>
                <w14:ligatures w14:val="standardContextual"/>
              </w:rPr>
              <w:tab/>
            </w:r>
            <w:r w:rsidRPr="00F51C30">
              <w:rPr>
                <w:rStyle w:val="Hyperlink"/>
                <w:noProof/>
              </w:rPr>
              <w:t>Compliance framework</w:t>
            </w:r>
            <w:r>
              <w:rPr>
                <w:noProof/>
                <w:webHidden/>
              </w:rPr>
              <w:tab/>
            </w:r>
            <w:r>
              <w:rPr>
                <w:noProof/>
                <w:webHidden/>
              </w:rPr>
              <w:fldChar w:fldCharType="begin"/>
            </w:r>
            <w:r>
              <w:rPr>
                <w:noProof/>
                <w:webHidden/>
              </w:rPr>
              <w:instrText xml:space="preserve"> PAGEREF _Toc226038406 \h </w:instrText>
            </w:r>
            <w:r>
              <w:rPr>
                <w:noProof/>
                <w:webHidden/>
              </w:rPr>
            </w:r>
            <w:r>
              <w:rPr>
                <w:noProof/>
                <w:webHidden/>
              </w:rPr>
              <w:fldChar w:fldCharType="separate"/>
            </w:r>
            <w:r>
              <w:rPr>
                <w:noProof/>
                <w:webHidden/>
              </w:rPr>
              <w:t>50</w:t>
            </w:r>
            <w:r>
              <w:rPr>
                <w:noProof/>
                <w:webHidden/>
              </w:rPr>
              <w:fldChar w:fldCharType="end"/>
            </w:r>
          </w:hyperlink>
        </w:p>
        <w:p w14:paraId="6699A003" w14:textId="3FDD8959" w:rsidR="001703C6" w:rsidRDefault="001703C6">
          <w:pPr>
            <w:pStyle w:val="TOC1"/>
            <w:rPr>
              <w:rFonts w:eastAsiaTheme="minorEastAsia"/>
              <w:b w:val="0"/>
              <w:noProof/>
              <w:kern w:val="2"/>
              <w:sz w:val="24"/>
              <w:szCs w:val="24"/>
              <w:lang w:eastAsia="en-AU"/>
              <w14:ligatures w14:val="standardContextual"/>
            </w:rPr>
          </w:pPr>
          <w:hyperlink w:anchor="_Toc226038407" w:history="1">
            <w:r w:rsidRPr="00F51C30">
              <w:rPr>
                <w:rStyle w:val="Hyperlink"/>
                <w:noProof/>
              </w:rPr>
              <w:t>6</w:t>
            </w:r>
            <w:r>
              <w:rPr>
                <w:rFonts w:eastAsiaTheme="minorEastAsia"/>
                <w:b w:val="0"/>
                <w:noProof/>
                <w:kern w:val="2"/>
                <w:sz w:val="24"/>
                <w:szCs w:val="24"/>
                <w:lang w:eastAsia="en-AU"/>
                <w14:ligatures w14:val="standardContextual"/>
              </w:rPr>
              <w:tab/>
            </w:r>
            <w:r w:rsidRPr="00F51C30">
              <w:rPr>
                <w:rStyle w:val="Hyperlink"/>
                <w:noProof/>
              </w:rPr>
              <w:t>Key components: Regulation</w:t>
            </w:r>
            <w:r>
              <w:rPr>
                <w:noProof/>
                <w:webHidden/>
              </w:rPr>
              <w:tab/>
            </w:r>
            <w:r>
              <w:rPr>
                <w:noProof/>
                <w:webHidden/>
              </w:rPr>
              <w:fldChar w:fldCharType="begin"/>
            </w:r>
            <w:r>
              <w:rPr>
                <w:noProof/>
                <w:webHidden/>
              </w:rPr>
              <w:instrText xml:space="preserve"> PAGEREF _Toc226038407 \h </w:instrText>
            </w:r>
            <w:r>
              <w:rPr>
                <w:noProof/>
                <w:webHidden/>
              </w:rPr>
            </w:r>
            <w:r>
              <w:rPr>
                <w:noProof/>
                <w:webHidden/>
              </w:rPr>
              <w:fldChar w:fldCharType="separate"/>
            </w:r>
            <w:r>
              <w:rPr>
                <w:noProof/>
                <w:webHidden/>
              </w:rPr>
              <w:t>53</w:t>
            </w:r>
            <w:r>
              <w:rPr>
                <w:noProof/>
                <w:webHidden/>
              </w:rPr>
              <w:fldChar w:fldCharType="end"/>
            </w:r>
          </w:hyperlink>
        </w:p>
        <w:p w14:paraId="2E9C776C" w14:textId="4117274B" w:rsidR="001703C6" w:rsidRDefault="001703C6">
          <w:pPr>
            <w:pStyle w:val="TOC2"/>
            <w:rPr>
              <w:rFonts w:eastAsiaTheme="minorEastAsia"/>
              <w:noProof/>
              <w:kern w:val="2"/>
              <w:sz w:val="24"/>
              <w:szCs w:val="24"/>
              <w:lang w:eastAsia="en-AU"/>
              <w14:ligatures w14:val="standardContextual"/>
            </w:rPr>
          </w:pPr>
          <w:hyperlink w:anchor="_Toc226038408" w:history="1">
            <w:r w:rsidRPr="00F51C30">
              <w:rPr>
                <w:rStyle w:val="Hyperlink"/>
                <w:noProof/>
              </w:rPr>
              <w:t>6.1</w:t>
            </w:r>
            <w:r>
              <w:rPr>
                <w:rFonts w:eastAsiaTheme="minorEastAsia"/>
                <w:noProof/>
                <w:kern w:val="2"/>
                <w:sz w:val="24"/>
                <w:szCs w:val="24"/>
                <w:lang w:eastAsia="en-AU"/>
                <w14:ligatures w14:val="standardContextual"/>
              </w:rPr>
              <w:tab/>
            </w:r>
            <w:r w:rsidRPr="00F51C30">
              <w:rPr>
                <w:rStyle w:val="Hyperlink"/>
                <w:noProof/>
              </w:rPr>
              <w:t>Employment Services Quality Commission (ESQC)</w:t>
            </w:r>
            <w:r>
              <w:rPr>
                <w:noProof/>
                <w:webHidden/>
              </w:rPr>
              <w:tab/>
            </w:r>
            <w:r>
              <w:rPr>
                <w:noProof/>
                <w:webHidden/>
              </w:rPr>
              <w:fldChar w:fldCharType="begin"/>
            </w:r>
            <w:r>
              <w:rPr>
                <w:noProof/>
                <w:webHidden/>
              </w:rPr>
              <w:instrText xml:space="preserve"> PAGEREF _Toc226038408 \h </w:instrText>
            </w:r>
            <w:r>
              <w:rPr>
                <w:noProof/>
                <w:webHidden/>
              </w:rPr>
            </w:r>
            <w:r>
              <w:rPr>
                <w:noProof/>
                <w:webHidden/>
              </w:rPr>
              <w:fldChar w:fldCharType="separate"/>
            </w:r>
            <w:r>
              <w:rPr>
                <w:noProof/>
                <w:webHidden/>
              </w:rPr>
              <w:t>53</w:t>
            </w:r>
            <w:r>
              <w:rPr>
                <w:noProof/>
                <w:webHidden/>
              </w:rPr>
              <w:fldChar w:fldCharType="end"/>
            </w:r>
          </w:hyperlink>
        </w:p>
        <w:p w14:paraId="439E2607" w14:textId="53528ABB" w:rsidR="001703C6" w:rsidRDefault="001703C6">
          <w:pPr>
            <w:pStyle w:val="TOC1"/>
            <w:rPr>
              <w:rFonts w:eastAsiaTheme="minorEastAsia"/>
              <w:b w:val="0"/>
              <w:noProof/>
              <w:kern w:val="2"/>
              <w:sz w:val="24"/>
              <w:szCs w:val="24"/>
              <w:lang w:eastAsia="en-AU"/>
              <w14:ligatures w14:val="standardContextual"/>
            </w:rPr>
          </w:pPr>
          <w:hyperlink w:anchor="_Toc226038409" w:history="1">
            <w:r w:rsidRPr="00F51C30">
              <w:rPr>
                <w:rStyle w:val="Hyperlink"/>
                <w:noProof/>
              </w:rPr>
              <w:t>Appendix A</w:t>
            </w:r>
            <w:r>
              <w:rPr>
                <w:noProof/>
                <w:webHidden/>
              </w:rPr>
              <w:tab/>
            </w:r>
            <w:r>
              <w:rPr>
                <w:noProof/>
                <w:webHidden/>
              </w:rPr>
              <w:fldChar w:fldCharType="begin"/>
            </w:r>
            <w:r>
              <w:rPr>
                <w:noProof/>
                <w:webHidden/>
              </w:rPr>
              <w:instrText xml:space="preserve"> PAGEREF _Toc226038409 \h </w:instrText>
            </w:r>
            <w:r>
              <w:rPr>
                <w:noProof/>
                <w:webHidden/>
              </w:rPr>
            </w:r>
            <w:r>
              <w:rPr>
                <w:noProof/>
                <w:webHidden/>
              </w:rPr>
              <w:fldChar w:fldCharType="separate"/>
            </w:r>
            <w:r>
              <w:rPr>
                <w:noProof/>
                <w:webHidden/>
              </w:rPr>
              <w:t>55</w:t>
            </w:r>
            <w:r>
              <w:rPr>
                <w:noProof/>
                <w:webHidden/>
              </w:rPr>
              <w:fldChar w:fldCharType="end"/>
            </w:r>
          </w:hyperlink>
        </w:p>
        <w:p w14:paraId="0EAED15F" w14:textId="2525B270" w:rsidR="002F35E8" w:rsidRDefault="002F35E8" w:rsidP="002F35E8">
          <w:pPr>
            <w:pStyle w:val="TFNormal"/>
          </w:pPr>
          <w:r>
            <w:rPr>
              <w:noProof/>
              <w:color w:val="006EC8" w:themeColor="accent1"/>
            </w:rPr>
            <w:fldChar w:fldCharType="end"/>
          </w:r>
        </w:p>
      </w:sdtContent>
    </w:sdt>
    <w:p w14:paraId="71E90FC3" w14:textId="4ABB4E11" w:rsidR="00FA0A10" w:rsidRDefault="001D3228" w:rsidP="00BA6C31">
      <w:pPr>
        <w:pStyle w:val="Heading2"/>
      </w:pPr>
      <w:bookmarkStart w:id="0" w:name="_Toc226038386"/>
      <w:r>
        <w:lastRenderedPageBreak/>
        <w:t>Executive Summary</w:t>
      </w:r>
      <w:bookmarkEnd w:id="0"/>
    </w:p>
    <w:p w14:paraId="150E9BA3" w14:textId="77777777" w:rsidR="00FA0A10" w:rsidRDefault="00FA0A10" w:rsidP="00294A44">
      <w:pPr>
        <w:pStyle w:val="Headingstroke"/>
      </w:pPr>
      <w:r>
        <w:rPr>
          <w:noProof/>
        </w:rPr>
        <mc:AlternateContent>
          <mc:Choice Requires="wps">
            <w:drawing>
              <wp:inline distT="0" distB="0" distL="0" distR="0" wp14:anchorId="12674AED" wp14:editId="36EC1A90">
                <wp:extent cx="936000" cy="0"/>
                <wp:effectExtent l="0" t="38100" r="54610" b="57150"/>
                <wp:docPr id="173899919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954A62"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24D90FAD" w14:textId="759D012C" w:rsidR="00C673FC" w:rsidRDefault="00F052F1" w:rsidP="79BFB32A">
      <w:pPr>
        <w:rPr>
          <w:rFonts w:ascii="Blanco" w:eastAsia="Blanco" w:hAnsi="Blanco"/>
          <w:szCs w:val="21"/>
        </w:rPr>
      </w:pPr>
      <w:r w:rsidRPr="008548FF">
        <w:rPr>
          <w:rFonts w:ascii="Blanco" w:eastAsia="Blanco" w:hAnsi="Blanco"/>
          <w:szCs w:val="21"/>
        </w:rPr>
        <w:t xml:space="preserve">Employment services </w:t>
      </w:r>
      <w:r w:rsidR="008548FF" w:rsidRPr="008548FF">
        <w:rPr>
          <w:rFonts w:ascii="Blanco" w:eastAsia="Blanco" w:hAnsi="Blanco"/>
          <w:szCs w:val="21"/>
        </w:rPr>
        <w:t>exist</w:t>
      </w:r>
      <w:r w:rsidRPr="008548FF">
        <w:rPr>
          <w:rFonts w:ascii="Blanco" w:eastAsia="Blanco" w:hAnsi="Blanco"/>
          <w:szCs w:val="21"/>
        </w:rPr>
        <w:t xml:space="preserve"> to </w:t>
      </w:r>
      <w:r w:rsidR="008548FF" w:rsidRPr="002C35C3">
        <w:rPr>
          <w:rFonts w:ascii="Blanco" w:eastAsia="Blanco" w:hAnsi="Blanco"/>
          <w:szCs w:val="21"/>
        </w:rPr>
        <w:t xml:space="preserve">help income support recipients into </w:t>
      </w:r>
      <w:r w:rsidR="00E51FDC">
        <w:rPr>
          <w:rFonts w:ascii="Blanco" w:eastAsia="Blanco" w:hAnsi="Blanco"/>
          <w:szCs w:val="21"/>
        </w:rPr>
        <w:t>sustainable employment</w:t>
      </w:r>
      <w:r w:rsidRPr="008548FF">
        <w:rPr>
          <w:rFonts w:ascii="Blanco" w:eastAsia="Blanco" w:hAnsi="Blanco"/>
          <w:szCs w:val="21"/>
        </w:rPr>
        <w:t xml:space="preserve">. </w:t>
      </w:r>
      <w:r w:rsidR="008548FF">
        <w:rPr>
          <w:rFonts w:ascii="Blanco" w:eastAsia="Blanco" w:hAnsi="Blanco"/>
          <w:szCs w:val="21"/>
        </w:rPr>
        <w:t>An effective e</w:t>
      </w:r>
      <w:r w:rsidR="008548FF" w:rsidRPr="002C35C3">
        <w:rPr>
          <w:rFonts w:ascii="Blanco" w:eastAsia="Blanco" w:hAnsi="Blanco"/>
          <w:szCs w:val="21"/>
        </w:rPr>
        <w:t>mployment services</w:t>
      </w:r>
      <w:r w:rsidR="008548FF">
        <w:rPr>
          <w:rFonts w:ascii="Blanco" w:eastAsia="Blanco" w:hAnsi="Blanco"/>
          <w:szCs w:val="21"/>
        </w:rPr>
        <w:t xml:space="preserve"> system</w:t>
      </w:r>
      <w:r w:rsidR="008548FF" w:rsidRPr="002C35C3">
        <w:rPr>
          <w:rFonts w:ascii="Blanco" w:eastAsia="Blanco" w:hAnsi="Blanco"/>
          <w:szCs w:val="21"/>
        </w:rPr>
        <w:t xml:space="preserve"> </w:t>
      </w:r>
      <w:r w:rsidR="00E51FDC">
        <w:rPr>
          <w:rFonts w:ascii="Blanco" w:eastAsia="Blanco" w:hAnsi="Blanco"/>
          <w:szCs w:val="21"/>
        </w:rPr>
        <w:t xml:space="preserve">addresses long-term unemployment and intergenerational disadvantage, improves social inclusion, health and wellbeing, and </w:t>
      </w:r>
      <w:r w:rsidR="008548FF" w:rsidRPr="002C35C3">
        <w:rPr>
          <w:rFonts w:ascii="Blanco" w:eastAsia="Blanco" w:hAnsi="Blanco"/>
          <w:szCs w:val="21"/>
        </w:rPr>
        <w:t>reduc</w:t>
      </w:r>
      <w:r w:rsidR="00E51FDC">
        <w:rPr>
          <w:rFonts w:ascii="Blanco" w:eastAsia="Blanco" w:hAnsi="Blanco"/>
          <w:szCs w:val="21"/>
        </w:rPr>
        <w:t>es</w:t>
      </w:r>
      <w:r w:rsidR="008548FF" w:rsidRPr="002C35C3">
        <w:rPr>
          <w:rFonts w:ascii="Blanco" w:eastAsia="Blanco" w:hAnsi="Blanco"/>
          <w:szCs w:val="21"/>
        </w:rPr>
        <w:t xml:space="preserve"> </w:t>
      </w:r>
      <w:r w:rsidR="00E51FDC">
        <w:rPr>
          <w:rFonts w:ascii="Blanco" w:eastAsia="Blanco" w:hAnsi="Blanco"/>
          <w:szCs w:val="21"/>
        </w:rPr>
        <w:t xml:space="preserve">government outlays on </w:t>
      </w:r>
      <w:r w:rsidR="008548FF" w:rsidRPr="002C35C3">
        <w:rPr>
          <w:rFonts w:ascii="Blanco" w:eastAsia="Blanco" w:hAnsi="Blanco"/>
          <w:szCs w:val="21"/>
        </w:rPr>
        <w:t>welfare benefit</w:t>
      </w:r>
      <w:r w:rsidR="00E51FDC">
        <w:rPr>
          <w:rFonts w:ascii="Blanco" w:eastAsia="Blanco" w:hAnsi="Blanco"/>
          <w:szCs w:val="21"/>
        </w:rPr>
        <w:t>s</w:t>
      </w:r>
      <w:r w:rsidRPr="008548FF">
        <w:rPr>
          <w:rFonts w:ascii="Blanco" w:eastAsia="Blanco" w:hAnsi="Blanco"/>
          <w:szCs w:val="21"/>
        </w:rPr>
        <w:t>.</w:t>
      </w:r>
      <w:r w:rsidR="00C673FC">
        <w:rPr>
          <w:rFonts w:ascii="Blanco" w:eastAsia="Blanco" w:hAnsi="Blanco"/>
          <w:szCs w:val="21"/>
        </w:rPr>
        <w:t xml:space="preserve"> </w:t>
      </w:r>
    </w:p>
    <w:p w14:paraId="0FAEF887" w14:textId="5A52AD7B" w:rsidR="00F052F1" w:rsidRDefault="00C673FC" w:rsidP="79BFB32A">
      <w:pPr>
        <w:rPr>
          <w:rFonts w:ascii="Blanco" w:eastAsia="Blanco" w:hAnsi="Blanco"/>
          <w:szCs w:val="21"/>
        </w:rPr>
      </w:pPr>
      <w:r>
        <w:t xml:space="preserve">In August 2022, the House Select Committee on Workforce Australia Employment Services was established to inquire into matters related to Workforce Australia Employment Services (the Hill Review). </w:t>
      </w:r>
      <w:r w:rsidRPr="00227642">
        <w:t xml:space="preserve">The Review </w:t>
      </w:r>
      <w:r>
        <w:t>assessed</w:t>
      </w:r>
      <w:r w:rsidRPr="00227642">
        <w:t xml:space="preserve"> that </w:t>
      </w:r>
      <w:r w:rsidR="00E51FDC">
        <w:t>“</w:t>
      </w:r>
      <w:r w:rsidRPr="00227642">
        <w:t>Australia</w:t>
      </w:r>
      <w:r>
        <w:t xml:space="preserve"> </w:t>
      </w:r>
      <w:r w:rsidR="00E51FDC">
        <w:t xml:space="preserve">no longer has </w:t>
      </w:r>
      <w:r>
        <w:t>an effective coherent national employment services system</w:t>
      </w:r>
      <w:r w:rsidR="007F3BA4">
        <w:t>” and</w:t>
      </w:r>
      <w:r w:rsidRPr="0097504D">
        <w:t xml:space="preserve"> ma</w:t>
      </w:r>
      <w:r>
        <w:t>d</w:t>
      </w:r>
      <w:r w:rsidRPr="0097504D">
        <w:t xml:space="preserve">e 75 recommendations to rebuild the </w:t>
      </w:r>
      <w:r>
        <w:t>system.</w:t>
      </w:r>
    </w:p>
    <w:p w14:paraId="0C20D619" w14:textId="35D95FA1" w:rsidR="000E3EA4" w:rsidRDefault="21CB154A" w:rsidP="00C673FC">
      <w:r w:rsidRPr="3FEDFD4E">
        <w:rPr>
          <w:rFonts w:ascii="Blanco" w:eastAsia="Blanco" w:hAnsi="Blanco"/>
          <w:szCs w:val="21"/>
        </w:rPr>
        <w:t>Ahead of its 2026 Report to Government</w:t>
      </w:r>
      <w:r w:rsidR="00C84B23">
        <w:rPr>
          <w:rFonts w:ascii="Blanco" w:eastAsia="Blanco" w:hAnsi="Blanco"/>
          <w:szCs w:val="21"/>
        </w:rPr>
        <w:t>,</w:t>
      </w:r>
      <w:r w:rsidRPr="3FEDFD4E">
        <w:rPr>
          <w:rFonts w:ascii="Blanco" w:eastAsia="Blanco" w:hAnsi="Blanco"/>
          <w:szCs w:val="21"/>
        </w:rPr>
        <w:t xml:space="preserve"> the Economic Inclusion Advisory Committee (EIAC</w:t>
      </w:r>
      <w:r w:rsidRPr="78F9A16A">
        <w:rPr>
          <w:rFonts w:ascii="Blanco" w:eastAsia="Blanco" w:hAnsi="Blanco"/>
          <w:szCs w:val="21"/>
        </w:rPr>
        <w:t>)</w:t>
      </w:r>
      <w:r w:rsidRPr="267A4A32">
        <w:rPr>
          <w:rFonts w:ascii="Blanco" w:eastAsia="Blanco" w:hAnsi="Blanco"/>
          <w:szCs w:val="21"/>
        </w:rPr>
        <w:t xml:space="preserve"> has commissioned Taylor Fry </w:t>
      </w:r>
      <w:r w:rsidRPr="6F76544C">
        <w:rPr>
          <w:rFonts w:ascii="Blanco" w:eastAsia="Blanco" w:hAnsi="Blanco"/>
          <w:szCs w:val="21"/>
        </w:rPr>
        <w:t xml:space="preserve">to model the </w:t>
      </w:r>
      <w:r w:rsidR="00F42D21" w:rsidRPr="0097504D">
        <w:t>cost of</w:t>
      </w:r>
      <w:r w:rsidR="00FA25E5" w:rsidRPr="0097504D">
        <w:t xml:space="preserve"> a reformed </w:t>
      </w:r>
      <w:r w:rsidR="00C673FC">
        <w:t xml:space="preserve">employment services </w:t>
      </w:r>
      <w:r w:rsidR="00FA25E5" w:rsidRPr="0097504D">
        <w:t>system operating at maturity</w:t>
      </w:r>
      <w:r w:rsidR="00BE7FBE" w:rsidRPr="0097504D">
        <w:t>, accounting for th</w:t>
      </w:r>
      <w:r w:rsidR="00E328F3" w:rsidRPr="0097504D">
        <w:t>e key elements</w:t>
      </w:r>
      <w:r w:rsidR="00421042" w:rsidRPr="0097504D">
        <w:t xml:space="preserve"> of the direction of the Hill Review recommendations</w:t>
      </w:r>
      <w:r w:rsidR="006171F1" w:rsidRPr="0097504D">
        <w:t>.</w:t>
      </w:r>
      <w:r w:rsidR="00121B8F" w:rsidRPr="0097504D">
        <w:t xml:space="preserve"> </w:t>
      </w:r>
      <w:r w:rsidR="000E3EA4">
        <w:t xml:space="preserve">This work commenced on 26 November </w:t>
      </w:r>
      <w:r w:rsidR="007F3BA4">
        <w:t>2025,</w:t>
      </w:r>
      <w:r w:rsidR="000E3EA4">
        <w:t xml:space="preserve"> and the Interim Report was delivered on 19 January 2026. This Final Report was submitted on 20 February 2026.</w:t>
      </w:r>
    </w:p>
    <w:p w14:paraId="689B9ED4" w14:textId="5A561D6F" w:rsidR="00C673FC" w:rsidRDefault="002A0C4D" w:rsidP="00C673FC">
      <w:r>
        <w:t xml:space="preserve">This report is </w:t>
      </w:r>
      <w:r w:rsidR="00E51FDC">
        <w:t xml:space="preserve">not a cost-benefit analysis of the Hill Review recommendations. To assess the financial feasibility of the reform, further work is required to </w:t>
      </w:r>
      <w:r>
        <w:t xml:space="preserve">analyse </w:t>
      </w:r>
      <w:r w:rsidR="00E51FDC">
        <w:t xml:space="preserve">the benefits a higher-quality employment services system may bring to the income support and tax systems. For example, </w:t>
      </w:r>
      <w:r>
        <w:t xml:space="preserve">the size of the impact the reforms deliver on increased </w:t>
      </w:r>
      <w:r w:rsidRPr="00CE72F8">
        <w:t>speed</w:t>
      </w:r>
      <w:r>
        <w:t>,</w:t>
      </w:r>
      <w:r w:rsidRPr="00CE72F8">
        <w:t xml:space="preserve"> volume </w:t>
      </w:r>
      <w:r>
        <w:t xml:space="preserve">and quality </w:t>
      </w:r>
      <w:r w:rsidRPr="00CE72F8">
        <w:t xml:space="preserve">of employment outcomes </w:t>
      </w:r>
      <w:r>
        <w:t xml:space="preserve">will determine the size of the savings from reduced welfare </w:t>
      </w:r>
      <w:r w:rsidR="000E3EA4">
        <w:t>expenditure,</w:t>
      </w:r>
      <w:r>
        <w:t xml:space="preserve"> offsetting the cost of a reformed system. </w:t>
      </w:r>
      <w:r w:rsidR="000E3EA4">
        <w:t>As this work focuses on the cost at maturity to allow for a like-for-like comparison with the current system, f</w:t>
      </w:r>
      <w:r>
        <w:t xml:space="preserve">urther work is also required to better understand the cost of transition and implementation beyond our brief commentary. </w:t>
      </w:r>
    </w:p>
    <w:p w14:paraId="45230F5A" w14:textId="5996FA8A" w:rsidR="00DA099F" w:rsidRDefault="002A0C4D" w:rsidP="000E3EA4">
      <w:r>
        <w:t xml:space="preserve">In performing our </w:t>
      </w:r>
      <w:r w:rsidR="00F654D1">
        <w:t xml:space="preserve">cost </w:t>
      </w:r>
      <w:r>
        <w:t xml:space="preserve">modelling, there is a need to </w:t>
      </w:r>
      <w:r w:rsidR="00634C8A">
        <w:t>select service delivery assumptions based on</w:t>
      </w:r>
      <w:r>
        <w:t xml:space="preserve"> the Hill Review and literature. While the intent of </w:t>
      </w:r>
      <w:r w:rsidR="004453F9">
        <w:t>each</w:t>
      </w:r>
      <w:r>
        <w:t xml:space="preserve"> </w:t>
      </w:r>
      <w:r w:rsidR="00F654D1">
        <w:t xml:space="preserve">Hill Review </w:t>
      </w:r>
      <w:r>
        <w:t xml:space="preserve">recommendation </w:t>
      </w:r>
      <w:r w:rsidR="004453F9">
        <w:t>is</w:t>
      </w:r>
      <w:r>
        <w:t xml:space="preserve"> clear, there is room for interpretation regarding </w:t>
      </w:r>
      <w:r w:rsidR="00F654D1">
        <w:t xml:space="preserve">specific </w:t>
      </w:r>
      <w:r w:rsidR="000E3EA4">
        <w:t xml:space="preserve">values to adopt for </w:t>
      </w:r>
      <w:r w:rsidR="00634C8A">
        <w:t>different assumptions</w:t>
      </w:r>
      <w:r w:rsidR="00F654D1">
        <w:t>,</w:t>
      </w:r>
      <w:r>
        <w:t xml:space="preserve"> which introduces modelling uncertainty. </w:t>
      </w:r>
      <w:r w:rsidR="000E3EA4">
        <w:rPr>
          <w:color w:val="231F20" w:themeColor="text1"/>
        </w:rPr>
        <w:t>For example, while the Hill Review discusses the need for lower case ratios, it does not specify a target ratio</w:t>
      </w:r>
      <w:r w:rsidR="00634C8A">
        <w:rPr>
          <w:color w:val="231F20" w:themeColor="text1"/>
        </w:rPr>
        <w:t>.</w:t>
      </w:r>
      <w:r w:rsidR="004453F9">
        <w:rPr>
          <w:color w:val="231F20" w:themeColor="text1"/>
        </w:rPr>
        <w:t xml:space="preserve"> </w:t>
      </w:r>
      <w:r w:rsidR="00634C8A">
        <w:rPr>
          <w:color w:val="231F20" w:themeColor="text1"/>
        </w:rPr>
        <w:t>T</w:t>
      </w:r>
      <w:r w:rsidR="000E3EA4">
        <w:rPr>
          <w:color w:val="231F20" w:themeColor="text1"/>
        </w:rPr>
        <w:t xml:space="preserve">his </w:t>
      </w:r>
      <w:r w:rsidR="00634C8A">
        <w:rPr>
          <w:color w:val="231F20" w:themeColor="text1"/>
        </w:rPr>
        <w:t xml:space="preserve">uncertainty </w:t>
      </w:r>
      <w:r w:rsidR="000E3EA4">
        <w:rPr>
          <w:color w:val="231F20" w:themeColor="text1"/>
        </w:rPr>
        <w:t xml:space="preserve">is discussed further in Section </w:t>
      </w:r>
      <w:r w:rsidR="000E3EA4">
        <w:rPr>
          <w:color w:val="231F20" w:themeColor="text1"/>
        </w:rPr>
        <w:fldChar w:fldCharType="begin"/>
      </w:r>
      <w:r w:rsidR="000E3EA4">
        <w:rPr>
          <w:color w:val="231F20" w:themeColor="text1"/>
        </w:rPr>
        <w:instrText xml:space="preserve"> REF _Ref221695979 \r \h </w:instrText>
      </w:r>
      <w:r w:rsidR="000E3EA4">
        <w:rPr>
          <w:color w:val="231F20" w:themeColor="text1"/>
        </w:rPr>
      </w:r>
      <w:r w:rsidR="000E3EA4">
        <w:rPr>
          <w:color w:val="231F20" w:themeColor="text1"/>
        </w:rPr>
        <w:fldChar w:fldCharType="separate"/>
      </w:r>
      <w:r w:rsidR="001703C6">
        <w:rPr>
          <w:color w:val="231F20" w:themeColor="text1"/>
        </w:rPr>
        <w:t>3.3</w:t>
      </w:r>
      <w:r w:rsidR="000E3EA4">
        <w:rPr>
          <w:color w:val="231F20" w:themeColor="text1"/>
        </w:rPr>
        <w:fldChar w:fldCharType="end"/>
      </w:r>
      <w:r w:rsidR="000E3EA4">
        <w:rPr>
          <w:color w:val="231F20" w:themeColor="text1"/>
        </w:rPr>
        <w:t xml:space="preserve">. </w:t>
      </w:r>
      <w:r w:rsidR="000E3EA4">
        <w:t xml:space="preserve">To account for </w:t>
      </w:r>
      <w:r w:rsidR="004453F9">
        <w:t>a</w:t>
      </w:r>
      <w:r w:rsidR="000E3EA4">
        <w:t xml:space="preserve"> range of plausible </w:t>
      </w:r>
      <w:r w:rsidR="00DA099F">
        <w:rPr>
          <w:color w:val="231F20" w:themeColor="text1"/>
        </w:rPr>
        <w:t>combination</w:t>
      </w:r>
      <w:r w:rsidR="000E3EA4">
        <w:rPr>
          <w:color w:val="231F20" w:themeColor="text1"/>
        </w:rPr>
        <w:t>s</w:t>
      </w:r>
      <w:r w:rsidR="00DA099F">
        <w:rPr>
          <w:color w:val="231F20" w:themeColor="text1"/>
        </w:rPr>
        <w:t xml:space="preserve"> of service delivery assumptions</w:t>
      </w:r>
      <w:r w:rsidR="000E3EA4">
        <w:rPr>
          <w:color w:val="231F20" w:themeColor="text1"/>
        </w:rPr>
        <w:t xml:space="preserve">, we have modelled a </w:t>
      </w:r>
      <w:r w:rsidR="004453F9">
        <w:rPr>
          <w:color w:val="231F20" w:themeColor="text1"/>
        </w:rPr>
        <w:t>set</w:t>
      </w:r>
      <w:r w:rsidR="000E3EA4">
        <w:rPr>
          <w:color w:val="231F20" w:themeColor="text1"/>
        </w:rPr>
        <w:t xml:space="preserve"> of scenarios and presented sensitivities</w:t>
      </w:r>
      <w:r w:rsidR="006C4002">
        <w:rPr>
          <w:color w:val="231F20" w:themeColor="text1"/>
        </w:rPr>
        <w:t xml:space="preserve">. </w:t>
      </w:r>
    </w:p>
    <w:p w14:paraId="32F45AA2" w14:textId="7429206F" w:rsidR="00DA099F" w:rsidRDefault="00DA099F" w:rsidP="0055235C">
      <w:r>
        <w:t>Our</w:t>
      </w:r>
      <w:r w:rsidRPr="0097504D">
        <w:t xml:space="preserve"> </w:t>
      </w:r>
      <w:r w:rsidR="00121B8F" w:rsidRPr="0097504D">
        <w:t>analysis found that</w:t>
      </w:r>
      <w:r w:rsidR="000E3EA4">
        <w:t xml:space="preserve"> a reformed system operating at maturity with caseloads equivalent to those serviced in the 2024-25 financial year</w:t>
      </w:r>
      <w:r>
        <w:t xml:space="preserve">, </w:t>
      </w:r>
      <w:r w:rsidR="000E3EA4">
        <w:t xml:space="preserve">could cost in the </w:t>
      </w:r>
      <w:r w:rsidR="003C17D0">
        <w:t xml:space="preserve">range </w:t>
      </w:r>
      <w:r w:rsidR="000E3EA4" w:rsidRPr="00060D5A">
        <w:t xml:space="preserve">of </w:t>
      </w:r>
      <w:r w:rsidR="003C17D0" w:rsidRPr="00060D5A">
        <w:rPr>
          <w:color w:val="231F20" w:themeColor="text1"/>
        </w:rPr>
        <w:t>$3.</w:t>
      </w:r>
      <w:r w:rsidR="00060D5A" w:rsidRPr="002C35C3">
        <w:rPr>
          <w:color w:val="231F20" w:themeColor="text1"/>
        </w:rPr>
        <w:t>16</w:t>
      </w:r>
      <w:r w:rsidR="003C17D0" w:rsidRPr="00060D5A">
        <w:rPr>
          <w:color w:val="231F20" w:themeColor="text1"/>
        </w:rPr>
        <w:t>B and $4.</w:t>
      </w:r>
      <w:r w:rsidR="005952E2" w:rsidRPr="00060D5A">
        <w:rPr>
          <w:color w:val="231F20" w:themeColor="text1"/>
        </w:rPr>
        <w:t>54B</w:t>
      </w:r>
      <w:r w:rsidR="003C17D0" w:rsidRPr="00060D5A">
        <w:rPr>
          <w:color w:val="231F20" w:themeColor="text1"/>
        </w:rPr>
        <w:t>. This</w:t>
      </w:r>
      <w:r w:rsidR="003C17D0">
        <w:rPr>
          <w:color w:val="231F20" w:themeColor="text1"/>
        </w:rPr>
        <w:t xml:space="preserve"> compares to </w:t>
      </w:r>
      <w:r w:rsidR="003C17D0" w:rsidRPr="00E419E4">
        <w:t xml:space="preserve">the </w:t>
      </w:r>
      <w:r w:rsidR="00F86FC2">
        <w:t xml:space="preserve">current </w:t>
      </w:r>
      <w:r w:rsidR="003C17D0" w:rsidRPr="00E419E4">
        <w:t>cost of $2.29B</w:t>
      </w:r>
      <w:r w:rsidR="004453F9">
        <w:rPr>
          <w:rStyle w:val="FootnoteReference"/>
        </w:rPr>
        <w:footnoteReference w:id="1"/>
      </w:r>
      <w:r w:rsidR="003C17D0" w:rsidRPr="00E419E4">
        <w:t>.</w:t>
      </w:r>
      <w:r w:rsidR="00660076">
        <w:t xml:space="preserve"> The </w:t>
      </w:r>
      <w:r w:rsidR="00B571A9">
        <w:t xml:space="preserve">scenarios </w:t>
      </w:r>
      <w:r w:rsidR="000E3EA4">
        <w:t xml:space="preserve">that derive this range </w:t>
      </w:r>
      <w:r w:rsidR="00B571A9">
        <w:t xml:space="preserve">are not exhaustive and </w:t>
      </w:r>
      <w:r w:rsidR="000E3EA4">
        <w:t xml:space="preserve">focus on combinations of the most significant </w:t>
      </w:r>
      <w:r w:rsidR="00B571A9">
        <w:t>drivers of cost – caseload ratios</w:t>
      </w:r>
      <w:r w:rsidR="000E3EA4">
        <w:t xml:space="preserve">, </w:t>
      </w:r>
      <w:r w:rsidR="00B571A9">
        <w:t>staff salaries</w:t>
      </w:r>
      <w:r w:rsidR="000E3EA4">
        <w:t>, and the extent of public sector case management</w:t>
      </w:r>
      <w:r w:rsidR="00B571A9">
        <w:t>.</w:t>
      </w:r>
      <w:r w:rsidR="00E75875">
        <w:t xml:space="preserve"> </w:t>
      </w:r>
      <w:r w:rsidR="000E3EA4">
        <w:t>For context</w:t>
      </w:r>
      <w:r w:rsidR="00E75875">
        <w:t xml:space="preserve">, $15.3B in </w:t>
      </w:r>
      <w:proofErr w:type="spellStart"/>
      <w:r w:rsidR="00E75875">
        <w:t>JobSeeker</w:t>
      </w:r>
      <w:proofErr w:type="spellEnd"/>
      <w:r w:rsidR="00E75875">
        <w:t xml:space="preserve"> </w:t>
      </w:r>
      <w:r w:rsidR="00B9014E">
        <w:t>p</w:t>
      </w:r>
      <w:r w:rsidR="00E75875">
        <w:t xml:space="preserve">ayments were paid </w:t>
      </w:r>
      <w:r w:rsidR="00B571A9">
        <w:t xml:space="preserve">to welfare recipients </w:t>
      </w:r>
      <w:r w:rsidR="00E75875">
        <w:t>in 2024-25.</w:t>
      </w:r>
    </w:p>
    <w:p w14:paraId="505BA44E" w14:textId="1C254B82" w:rsidR="000A26A1" w:rsidRPr="000A26A1" w:rsidRDefault="000A26A1" w:rsidP="000A26A1">
      <w:r w:rsidRPr="000A26A1">
        <w:t>Based on advice from the Committee on potential employment outcomes from improvements to employment services, the Department of Social Services has conducted preliminary modelling on the impact on social security from a decrease in the time that people receiving Jobseeker payments spend in the system. The analysis shows that achieving a 3 per cent reduction in time people spend in the system (not including people with partial capacity to work) would save $665m per year. A reduction of time spent in the system of 5 per cent for the same group would save $1.1b through reduced Jobseeker payments alone</w:t>
      </w:r>
      <w:r>
        <w:t>.</w:t>
      </w:r>
    </w:p>
    <w:p w14:paraId="4D94F5AF" w14:textId="15296372" w:rsidR="006A3D1C" w:rsidRDefault="00306BE0" w:rsidP="006A3D1C">
      <w:pPr>
        <w:pStyle w:val="Numberbullet1"/>
        <w:numPr>
          <w:ilvl w:val="0"/>
          <w:numId w:val="0"/>
        </w:numPr>
      </w:pPr>
      <w:r>
        <w:rPr>
          <w:color w:val="231F20" w:themeColor="text1"/>
        </w:rPr>
        <w:t>To explore the possible cost</w:t>
      </w:r>
      <w:r w:rsidR="006A3D1C">
        <w:rPr>
          <w:color w:val="231F20" w:themeColor="text1"/>
        </w:rPr>
        <w:t xml:space="preserve"> components</w:t>
      </w:r>
      <w:r>
        <w:rPr>
          <w:color w:val="231F20" w:themeColor="text1"/>
        </w:rPr>
        <w:t xml:space="preserve"> of a reformed system, </w:t>
      </w:r>
      <w:r w:rsidR="00660076">
        <w:rPr>
          <w:color w:val="231F20" w:themeColor="text1"/>
        </w:rPr>
        <w:t xml:space="preserve">this </w:t>
      </w:r>
      <w:r>
        <w:rPr>
          <w:color w:val="231F20" w:themeColor="text1"/>
        </w:rPr>
        <w:t>r</w:t>
      </w:r>
      <w:r w:rsidR="00660076">
        <w:rPr>
          <w:color w:val="231F20" w:themeColor="text1"/>
        </w:rPr>
        <w:t xml:space="preserve">eport </w:t>
      </w:r>
      <w:r w:rsidR="005F3C0B">
        <w:rPr>
          <w:color w:val="231F20" w:themeColor="text1"/>
        </w:rPr>
        <w:t>has</w:t>
      </w:r>
      <w:r w:rsidR="00660076">
        <w:rPr>
          <w:color w:val="231F20" w:themeColor="text1"/>
        </w:rPr>
        <w:t xml:space="preserve"> adopted a</w:t>
      </w:r>
      <w:r w:rsidR="006A3D1C">
        <w:rPr>
          <w:color w:val="231F20" w:themeColor="text1"/>
        </w:rPr>
        <w:t>n illustrative</w:t>
      </w:r>
      <w:r w:rsidR="00660076">
        <w:rPr>
          <w:color w:val="231F20" w:themeColor="text1"/>
        </w:rPr>
        <w:t xml:space="preserve"> scenario which estimate</w:t>
      </w:r>
      <w:r w:rsidR="005F3C0B">
        <w:rPr>
          <w:color w:val="231F20" w:themeColor="text1"/>
        </w:rPr>
        <w:t>s</w:t>
      </w:r>
      <w:r w:rsidR="00660076">
        <w:rPr>
          <w:color w:val="231F20" w:themeColor="text1"/>
        </w:rPr>
        <w:t xml:space="preserve"> the reformed system to cost </w:t>
      </w:r>
      <w:r w:rsidR="00660076" w:rsidRPr="00E419E4">
        <w:t>$3.</w:t>
      </w:r>
      <w:r w:rsidR="006A3D1C">
        <w:t>83</w:t>
      </w:r>
      <w:r w:rsidR="006A3D1C" w:rsidRPr="00E419E4">
        <w:t>B</w:t>
      </w:r>
      <w:r w:rsidR="00660076">
        <w:t xml:space="preserve">, an increase of </w:t>
      </w:r>
      <w:r w:rsidR="00660076" w:rsidRPr="00E419E4">
        <w:rPr>
          <w:color w:val="231F20" w:themeColor="text1"/>
        </w:rPr>
        <w:t>$1.</w:t>
      </w:r>
      <w:r w:rsidR="006A3D1C">
        <w:rPr>
          <w:color w:val="231F20" w:themeColor="text1"/>
        </w:rPr>
        <w:t>53</w:t>
      </w:r>
      <w:r w:rsidR="00660076" w:rsidRPr="00E419E4">
        <w:rPr>
          <w:color w:val="231F20" w:themeColor="text1"/>
        </w:rPr>
        <w:t xml:space="preserve">B or </w:t>
      </w:r>
      <w:r w:rsidR="006A3D1C">
        <w:rPr>
          <w:color w:val="231F20" w:themeColor="text1"/>
        </w:rPr>
        <w:t>67</w:t>
      </w:r>
      <w:r w:rsidR="00660076" w:rsidRPr="00E419E4">
        <w:rPr>
          <w:color w:val="231F20" w:themeColor="text1"/>
        </w:rPr>
        <w:t>%</w:t>
      </w:r>
      <w:r w:rsidR="000E3EA4">
        <w:rPr>
          <w:color w:val="231F20" w:themeColor="text1"/>
        </w:rPr>
        <w:t xml:space="preserve"> from the current system</w:t>
      </w:r>
      <w:r w:rsidR="00660076">
        <w:t>.</w:t>
      </w:r>
      <w:r w:rsidR="00660076" w:rsidRPr="00E419E4">
        <w:t xml:space="preserve"> </w:t>
      </w:r>
      <w:r w:rsidR="00B9014E">
        <w:t>Under t</w:t>
      </w:r>
      <w:r w:rsidR="006A3D1C">
        <w:t>his scenario</w:t>
      </w:r>
      <w:r w:rsidR="00B9014E">
        <w:t xml:space="preserve">, </w:t>
      </w:r>
      <w:r w:rsidR="006A3D1C">
        <w:t>the</w:t>
      </w:r>
      <w:r w:rsidR="00B9014E">
        <w:t>re is an estimated doubling of the</w:t>
      </w:r>
      <w:r w:rsidR="006A3D1C">
        <w:t xml:space="preserve"> amount of time frontline </w:t>
      </w:r>
      <w:r w:rsidR="006A3D1C">
        <w:lastRenderedPageBreak/>
        <w:t>workers would be able to spend working with participants</w:t>
      </w:r>
      <w:r w:rsidR="004453F9">
        <w:t>, which would likely lead to significant improvements in the quality of services and therefore flow on benefits to sustainable employment and reduced welfare expenditure</w:t>
      </w:r>
      <w:r w:rsidR="006A3D1C">
        <w:t xml:space="preserve">. </w:t>
      </w:r>
    </w:p>
    <w:p w14:paraId="6EE2076E" w14:textId="254D8D37" w:rsidR="0097504D" w:rsidRPr="002C35C3" w:rsidRDefault="004A03F2" w:rsidP="002C35C3">
      <w:pPr>
        <w:pStyle w:val="Numberbullet1"/>
        <w:numPr>
          <w:ilvl w:val="0"/>
          <w:numId w:val="0"/>
        </w:numPr>
      </w:pPr>
      <w:r>
        <w:rPr>
          <w:color w:val="231F20" w:themeColor="text1"/>
        </w:rPr>
        <w:t xml:space="preserve">The </w:t>
      </w:r>
      <w:r w:rsidR="007E467D">
        <w:rPr>
          <w:color w:val="231F20" w:themeColor="text1"/>
        </w:rPr>
        <w:t xml:space="preserve">most material </w:t>
      </w:r>
      <w:r w:rsidR="002268F3">
        <w:rPr>
          <w:color w:val="231F20" w:themeColor="text1"/>
        </w:rPr>
        <w:t>cost</w:t>
      </w:r>
      <w:r w:rsidR="00D952B9">
        <w:rPr>
          <w:color w:val="231F20" w:themeColor="text1"/>
        </w:rPr>
        <w:t xml:space="preserve"> drivers</w:t>
      </w:r>
      <w:r w:rsidR="002268F3">
        <w:rPr>
          <w:color w:val="231F20" w:themeColor="text1"/>
        </w:rPr>
        <w:t xml:space="preserve"> of the reformed system</w:t>
      </w:r>
      <w:r w:rsidR="00776920">
        <w:rPr>
          <w:color w:val="231F20" w:themeColor="text1"/>
        </w:rPr>
        <w:t xml:space="preserve"> </w:t>
      </w:r>
      <w:r w:rsidR="006819A0">
        <w:rPr>
          <w:color w:val="231F20" w:themeColor="text1"/>
        </w:rPr>
        <w:t>under th</w:t>
      </w:r>
      <w:r w:rsidR="006A3D1C">
        <w:rPr>
          <w:color w:val="231F20" w:themeColor="text1"/>
        </w:rPr>
        <w:t>e illustrative scenario</w:t>
      </w:r>
      <w:r w:rsidR="006819A0">
        <w:rPr>
          <w:color w:val="231F20" w:themeColor="text1"/>
        </w:rPr>
        <w:t xml:space="preserve"> </w:t>
      </w:r>
      <w:r w:rsidR="00776920">
        <w:rPr>
          <w:color w:val="231F20" w:themeColor="text1"/>
        </w:rPr>
        <w:t>include</w:t>
      </w:r>
      <w:r w:rsidR="006A3D1C">
        <w:rPr>
          <w:color w:val="231F20" w:themeColor="text1"/>
        </w:rPr>
        <w:t>s</w:t>
      </w:r>
      <w:r w:rsidR="00776920">
        <w:rPr>
          <w:color w:val="231F20" w:themeColor="text1"/>
        </w:rPr>
        <w:t>:</w:t>
      </w:r>
    </w:p>
    <w:p w14:paraId="5AE270EC" w14:textId="2B2F4129" w:rsidR="006A3D1C" w:rsidRDefault="006A3D1C" w:rsidP="006A3D1C">
      <w:pPr>
        <w:pStyle w:val="Numberbullet1"/>
      </w:pPr>
      <w:r>
        <w:t xml:space="preserve">Funding to increase provider payments to enable a </w:t>
      </w:r>
      <w:r w:rsidR="004453F9">
        <w:t>~</w:t>
      </w:r>
      <w:r>
        <w:t>50% increase in the salaries of frontline staff, intended to help stabilise the workforce and improve the quality of services delivered ($452.3M)</w:t>
      </w:r>
    </w:p>
    <w:p w14:paraId="6B436A98" w14:textId="4EE394FD" w:rsidR="00776920" w:rsidRDefault="00D952B9" w:rsidP="00B656B8">
      <w:pPr>
        <w:pStyle w:val="Numberbullet1"/>
      </w:pPr>
      <w:r>
        <w:t>F</w:t>
      </w:r>
      <w:r w:rsidR="008357F8">
        <w:t>und</w:t>
      </w:r>
      <w:r>
        <w:t>ing</w:t>
      </w:r>
      <w:r w:rsidR="008357F8">
        <w:t xml:space="preserve"> the </w:t>
      </w:r>
      <w:r w:rsidR="007C0D92">
        <w:t xml:space="preserve">reduction in case ratios of frontline staff, allowing more time </w:t>
      </w:r>
      <w:r w:rsidR="008866BD">
        <w:t xml:space="preserve">for caseworkers to spend with </w:t>
      </w:r>
      <w:r w:rsidR="0051106D">
        <w:t>participants</w:t>
      </w:r>
      <w:r>
        <w:t xml:space="preserve"> ($321.8M)</w:t>
      </w:r>
    </w:p>
    <w:p w14:paraId="41C33704" w14:textId="2D875F82" w:rsidR="008D696D" w:rsidRDefault="00D952B9" w:rsidP="00B57EC7">
      <w:pPr>
        <w:pStyle w:val="Numberbullet1"/>
        <w:numPr>
          <w:ilvl w:val="1"/>
          <w:numId w:val="17"/>
        </w:numPr>
      </w:pPr>
      <w:r>
        <w:t>D</w:t>
      </w:r>
      <w:r w:rsidR="008D696D">
        <w:t>e-link</w:t>
      </w:r>
      <w:r>
        <w:t>ing</w:t>
      </w:r>
      <w:r w:rsidR="008D696D">
        <w:t xml:space="preserve"> wage subsidies from the </w:t>
      </w:r>
      <w:r w:rsidR="004A2309">
        <w:t xml:space="preserve">Employment </w:t>
      </w:r>
      <w:r w:rsidR="007F3BA4">
        <w:t>Fund and</w:t>
      </w:r>
      <w:r w:rsidR="008F5B4D">
        <w:t xml:space="preserve"> return the</w:t>
      </w:r>
      <w:r w:rsidR="006A3D1C">
        <w:t>ir</w:t>
      </w:r>
      <w:r w:rsidR="008F5B4D">
        <w:t xml:space="preserve"> </w:t>
      </w:r>
      <w:r w:rsidR="007463E9">
        <w:t xml:space="preserve">use </w:t>
      </w:r>
      <w:r w:rsidR="001326DB">
        <w:t xml:space="preserve">to the level observed prior to </w:t>
      </w:r>
      <w:r w:rsidR="00F56F54">
        <w:t>inclusion in</w:t>
      </w:r>
      <w:r w:rsidR="006A3D1C">
        <w:t>to</w:t>
      </w:r>
      <w:r w:rsidR="00F56F54">
        <w:t xml:space="preserve"> the Employment Fund</w:t>
      </w:r>
      <w:r>
        <w:t xml:space="preserve"> ($224.2M)</w:t>
      </w:r>
    </w:p>
    <w:p w14:paraId="479E0D06" w14:textId="0555D702" w:rsidR="00D718A2" w:rsidRDefault="00D952B9" w:rsidP="00B57EC7">
      <w:pPr>
        <w:pStyle w:val="Numberbullet1"/>
        <w:numPr>
          <w:ilvl w:val="1"/>
          <w:numId w:val="17"/>
        </w:numPr>
      </w:pPr>
      <w:r>
        <w:t>F</w:t>
      </w:r>
      <w:r w:rsidR="00A03E8C">
        <w:t>und</w:t>
      </w:r>
      <w:r>
        <w:t>ing</w:t>
      </w:r>
      <w:r w:rsidR="00A03E8C">
        <w:t xml:space="preserve"> </w:t>
      </w:r>
      <w:r w:rsidR="009B0A08">
        <w:t xml:space="preserve">increased </w:t>
      </w:r>
      <w:r w:rsidR="00A03E8C">
        <w:t xml:space="preserve">provider payments </w:t>
      </w:r>
      <w:r w:rsidR="009B0A08">
        <w:t xml:space="preserve">for target cohorts to </w:t>
      </w:r>
      <w:r w:rsidR="00E6237C">
        <w:t xml:space="preserve">allow </w:t>
      </w:r>
      <w:r w:rsidR="006A3D1C">
        <w:t xml:space="preserve">more </w:t>
      </w:r>
      <w:r w:rsidR="00E6237C">
        <w:t xml:space="preserve">resources to be available </w:t>
      </w:r>
      <w:r w:rsidR="009B0A08">
        <w:t xml:space="preserve">for additional supports </w:t>
      </w:r>
      <w:r>
        <w:t>($199.3M)</w:t>
      </w:r>
    </w:p>
    <w:p w14:paraId="625CC80B" w14:textId="1C96A5AB" w:rsidR="0051220B" w:rsidRDefault="00D952B9" w:rsidP="00B57EC7">
      <w:pPr>
        <w:pStyle w:val="Numberbullet1"/>
        <w:numPr>
          <w:ilvl w:val="1"/>
          <w:numId w:val="17"/>
        </w:numPr>
      </w:pPr>
      <w:r>
        <w:t>Funding for p</w:t>
      </w:r>
      <w:r w:rsidR="0002070F">
        <w:t xml:space="preserve">ublic sector </w:t>
      </w:r>
      <w:r w:rsidR="0051220B">
        <w:t>to operate</w:t>
      </w:r>
      <w:r w:rsidR="0002070F">
        <w:t xml:space="preserve"> a network of 109</w:t>
      </w:r>
      <w:r w:rsidR="007F5497">
        <w:t xml:space="preserve"> regional hubs</w:t>
      </w:r>
      <w:r>
        <w:t xml:space="preserve"> ($159.8M)</w:t>
      </w:r>
    </w:p>
    <w:p w14:paraId="2D7AAD5C" w14:textId="24B280AC" w:rsidR="00B744B2" w:rsidRDefault="00D952B9" w:rsidP="00B57EC7">
      <w:pPr>
        <w:pStyle w:val="Numberbullet1"/>
        <w:numPr>
          <w:ilvl w:val="1"/>
          <w:numId w:val="17"/>
        </w:numPr>
      </w:pPr>
      <w:r>
        <w:t>Net f</w:t>
      </w:r>
      <w:r w:rsidR="00D82FAC">
        <w:t xml:space="preserve">unding </w:t>
      </w:r>
      <w:r w:rsidR="00B9014E">
        <w:t xml:space="preserve">increase </w:t>
      </w:r>
      <w:r w:rsidR="007E7A30">
        <w:t xml:space="preserve">to </w:t>
      </w:r>
      <w:r w:rsidR="00B744B2">
        <w:t xml:space="preserve">transfer 30% of high-intensity </w:t>
      </w:r>
      <w:r w:rsidR="008A62F4">
        <w:t>participant</w:t>
      </w:r>
      <w:r w:rsidR="00181391">
        <w:t xml:space="preserve">s </w:t>
      </w:r>
      <w:r w:rsidR="005B3AC6">
        <w:t>into case management by the public sector</w:t>
      </w:r>
      <w:r>
        <w:t xml:space="preserve"> ($124.3M)</w:t>
      </w:r>
      <w:r w:rsidR="00015DAF">
        <w:t>.</w:t>
      </w:r>
      <w:r w:rsidR="009D2480">
        <w:t xml:space="preserve"> </w:t>
      </w:r>
    </w:p>
    <w:p w14:paraId="169B4A83" w14:textId="6C1BB6CE" w:rsidR="00D15E11" w:rsidRDefault="00D15E11" w:rsidP="00D15E11">
      <w:pPr>
        <w:pStyle w:val="ListParagraph"/>
        <w:numPr>
          <w:ilvl w:val="0"/>
          <w:numId w:val="17"/>
        </w:numPr>
      </w:pPr>
      <w:r>
        <w:t xml:space="preserve">The Hill Review makes several references to the need to re-focus case management services on the participants who are furthest from the labour market. In considering ways the reformed system could be delivered at a cost closer to the existing funding envelope, we have considered the possible savings associated with </w:t>
      </w:r>
      <w:r w:rsidRPr="00F02AFF">
        <w:t xml:space="preserve">shifting medium intensity participants </w:t>
      </w:r>
      <w:r>
        <w:t xml:space="preserve">to </w:t>
      </w:r>
      <w:r w:rsidRPr="00F02AFF">
        <w:t xml:space="preserve">online </w:t>
      </w:r>
      <w:r>
        <w:t xml:space="preserve">support </w:t>
      </w:r>
      <w:r w:rsidRPr="00F02AFF">
        <w:t>by default</w:t>
      </w:r>
      <w:r>
        <w:t>. This costing is intended to be indicative only to facilitate discussion</w:t>
      </w:r>
      <w:r w:rsidR="00472A62">
        <w:t>,</w:t>
      </w:r>
      <w:r>
        <w:t xml:space="preserve"> and further research is required into the effectiveness of self-service for this cohort. </w:t>
      </w:r>
      <w:r w:rsidR="00472A62">
        <w:t>A</w:t>
      </w:r>
      <w:r>
        <w:t xml:space="preserve"> simple calculation shows a </w:t>
      </w:r>
      <w:r w:rsidR="009B0A08">
        <w:t xml:space="preserve">possible </w:t>
      </w:r>
      <w:r>
        <w:t xml:space="preserve">$534.7M saving from redirecting </w:t>
      </w:r>
      <w:r w:rsidR="00B9014E">
        <w:t xml:space="preserve">all </w:t>
      </w:r>
      <w:r>
        <w:t xml:space="preserve">medium intensity participants to the online platform in the first instance. However, this assumes that medium intensity participants would be as successful as current users at finding work using the online platform. It also does not allow for any increase in cost </w:t>
      </w:r>
      <w:r w:rsidR="00472A62">
        <w:t>for the online platform and Digital Services Contact Centre to handle the increased number of users or additional functionality that may be required to support them. Any shift of participants from provider services to online services should consider the potential for this to lead to service gaps.</w:t>
      </w:r>
    </w:p>
    <w:p w14:paraId="59CD5F09" w14:textId="5FE00E86" w:rsidR="005F3C0B" w:rsidRPr="00CE72F8" w:rsidRDefault="005F3C0B" w:rsidP="005F3C0B">
      <w:pPr>
        <w:pStyle w:val="Numberbullet1"/>
        <w:numPr>
          <w:ilvl w:val="0"/>
          <w:numId w:val="0"/>
        </w:numPr>
      </w:pPr>
      <w:r w:rsidRPr="00CE72F8">
        <w:t xml:space="preserve">This report details the basis of </w:t>
      </w:r>
      <w:r w:rsidR="004B05C5">
        <w:t>our</w:t>
      </w:r>
      <w:r w:rsidRPr="00CE72F8">
        <w:t xml:space="preserve"> cost estimates, including discussion about the assumptions used and the sensitivity of the results to these assumptions.</w:t>
      </w:r>
    </w:p>
    <w:p w14:paraId="35A8DF7B" w14:textId="5AC7457F" w:rsidR="00BF705E" w:rsidRDefault="001D3228" w:rsidP="00BA6C31">
      <w:pPr>
        <w:pStyle w:val="Heading2"/>
      </w:pPr>
      <w:bookmarkStart w:id="1" w:name="_Toc221694903"/>
      <w:bookmarkStart w:id="2" w:name="_Toc226038387"/>
      <w:bookmarkEnd w:id="1"/>
      <w:r>
        <w:lastRenderedPageBreak/>
        <w:t>Introduction</w:t>
      </w:r>
      <w:bookmarkEnd w:id="2"/>
    </w:p>
    <w:p w14:paraId="2A9254E4" w14:textId="0B008285" w:rsidR="00BD396E" w:rsidRDefault="00BD396E" w:rsidP="00294A44">
      <w:pPr>
        <w:pStyle w:val="Headingstroke"/>
      </w:pPr>
      <w:r>
        <w:rPr>
          <w:noProof/>
        </w:rPr>
        <mc:AlternateContent>
          <mc:Choice Requires="wps">
            <w:drawing>
              <wp:inline distT="0" distB="0" distL="0" distR="0" wp14:anchorId="15F81DFF" wp14:editId="72C1FEE8">
                <wp:extent cx="936000" cy="0"/>
                <wp:effectExtent l="0" t="38100" r="54610" b="57150"/>
                <wp:docPr id="159673413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0E0F56"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2C94D375" w14:textId="0AF0B764" w:rsidR="00471DCD" w:rsidRDefault="00471DCD" w:rsidP="00BA6C31">
      <w:pPr>
        <w:pStyle w:val="Heading3"/>
      </w:pPr>
      <w:bookmarkStart w:id="3" w:name="_Toc226038388"/>
      <w:r>
        <w:t>Background</w:t>
      </w:r>
      <w:r w:rsidR="00A46073">
        <w:t xml:space="preserve"> and purpose</w:t>
      </w:r>
      <w:bookmarkEnd w:id="3"/>
    </w:p>
    <w:p w14:paraId="0C46F3CB" w14:textId="77777777" w:rsidR="004453F9" w:rsidRDefault="004453F9" w:rsidP="004453F9">
      <w:pPr>
        <w:rPr>
          <w:rFonts w:ascii="Blanco" w:eastAsia="Blanco" w:hAnsi="Blanco"/>
          <w:szCs w:val="21"/>
        </w:rPr>
      </w:pPr>
      <w:r w:rsidRPr="008548FF">
        <w:rPr>
          <w:rFonts w:ascii="Blanco" w:eastAsia="Blanco" w:hAnsi="Blanco"/>
          <w:szCs w:val="21"/>
        </w:rPr>
        <w:t xml:space="preserve">Employment services exist to </w:t>
      </w:r>
      <w:r w:rsidRPr="00D17103">
        <w:rPr>
          <w:rFonts w:ascii="Blanco" w:eastAsia="Blanco" w:hAnsi="Blanco"/>
          <w:szCs w:val="21"/>
        </w:rPr>
        <w:t xml:space="preserve">help income support recipients into </w:t>
      </w:r>
      <w:r>
        <w:rPr>
          <w:rFonts w:ascii="Blanco" w:eastAsia="Blanco" w:hAnsi="Blanco"/>
          <w:szCs w:val="21"/>
        </w:rPr>
        <w:t>sustainable employment</w:t>
      </w:r>
      <w:r w:rsidRPr="008548FF">
        <w:rPr>
          <w:rFonts w:ascii="Blanco" w:eastAsia="Blanco" w:hAnsi="Blanco"/>
          <w:szCs w:val="21"/>
        </w:rPr>
        <w:t xml:space="preserve">. </w:t>
      </w:r>
      <w:r>
        <w:rPr>
          <w:rFonts w:ascii="Blanco" w:eastAsia="Blanco" w:hAnsi="Blanco"/>
          <w:szCs w:val="21"/>
        </w:rPr>
        <w:t>An effective e</w:t>
      </w:r>
      <w:r w:rsidRPr="00D17103">
        <w:rPr>
          <w:rFonts w:ascii="Blanco" w:eastAsia="Blanco" w:hAnsi="Blanco"/>
          <w:szCs w:val="21"/>
        </w:rPr>
        <w:t>mployment services</w:t>
      </w:r>
      <w:r>
        <w:rPr>
          <w:rFonts w:ascii="Blanco" w:eastAsia="Blanco" w:hAnsi="Blanco"/>
          <w:szCs w:val="21"/>
        </w:rPr>
        <w:t xml:space="preserve"> system</w:t>
      </w:r>
      <w:r w:rsidRPr="00D17103">
        <w:rPr>
          <w:rFonts w:ascii="Blanco" w:eastAsia="Blanco" w:hAnsi="Blanco"/>
          <w:szCs w:val="21"/>
        </w:rPr>
        <w:t xml:space="preserve"> </w:t>
      </w:r>
      <w:r>
        <w:rPr>
          <w:rFonts w:ascii="Blanco" w:eastAsia="Blanco" w:hAnsi="Blanco"/>
          <w:szCs w:val="21"/>
        </w:rPr>
        <w:t xml:space="preserve">addresses long-term unemployment and intergenerational disadvantage, improves social inclusion, health and wellbeing, and </w:t>
      </w:r>
      <w:r w:rsidRPr="00D17103">
        <w:rPr>
          <w:rFonts w:ascii="Blanco" w:eastAsia="Blanco" w:hAnsi="Blanco"/>
          <w:szCs w:val="21"/>
        </w:rPr>
        <w:t>reduc</w:t>
      </w:r>
      <w:r>
        <w:rPr>
          <w:rFonts w:ascii="Blanco" w:eastAsia="Blanco" w:hAnsi="Blanco"/>
          <w:szCs w:val="21"/>
        </w:rPr>
        <w:t>es</w:t>
      </w:r>
      <w:r w:rsidRPr="00D17103">
        <w:rPr>
          <w:rFonts w:ascii="Blanco" w:eastAsia="Blanco" w:hAnsi="Blanco"/>
          <w:szCs w:val="21"/>
        </w:rPr>
        <w:t xml:space="preserve"> </w:t>
      </w:r>
      <w:r>
        <w:rPr>
          <w:rFonts w:ascii="Blanco" w:eastAsia="Blanco" w:hAnsi="Blanco"/>
          <w:szCs w:val="21"/>
        </w:rPr>
        <w:t xml:space="preserve">government outlays on </w:t>
      </w:r>
      <w:r w:rsidRPr="00D17103">
        <w:rPr>
          <w:rFonts w:ascii="Blanco" w:eastAsia="Blanco" w:hAnsi="Blanco"/>
          <w:szCs w:val="21"/>
        </w:rPr>
        <w:t>welfare benefit</w:t>
      </w:r>
      <w:r>
        <w:rPr>
          <w:rFonts w:ascii="Blanco" w:eastAsia="Blanco" w:hAnsi="Blanco"/>
          <w:szCs w:val="21"/>
        </w:rPr>
        <w:t>s</w:t>
      </w:r>
      <w:r w:rsidRPr="008548FF">
        <w:rPr>
          <w:rFonts w:ascii="Blanco" w:eastAsia="Blanco" w:hAnsi="Blanco"/>
          <w:szCs w:val="21"/>
        </w:rPr>
        <w:t>.</w:t>
      </w:r>
      <w:r>
        <w:rPr>
          <w:rFonts w:ascii="Blanco" w:eastAsia="Blanco" w:hAnsi="Blanco"/>
          <w:szCs w:val="21"/>
        </w:rPr>
        <w:t xml:space="preserve"> </w:t>
      </w:r>
    </w:p>
    <w:p w14:paraId="47B2C9CE" w14:textId="7AE4E233" w:rsidR="00757EA5" w:rsidRDefault="00637D62" w:rsidP="00C93FBF">
      <w:r>
        <w:t>In</w:t>
      </w:r>
      <w:r w:rsidR="00B852B4">
        <w:t xml:space="preserve"> August 2022, the House Select Committee on Workforce Australia Employment Services was established to inquire into </w:t>
      </w:r>
      <w:r w:rsidR="00E23479">
        <w:t>matters related to Workforce Australia Employment Services (</w:t>
      </w:r>
      <w:r w:rsidR="00044B32">
        <w:t>the Hill Review</w:t>
      </w:r>
      <w:r w:rsidR="00E23479">
        <w:t>).</w:t>
      </w:r>
      <w:r w:rsidR="00044B32">
        <w:t xml:space="preserve"> </w:t>
      </w:r>
      <w:r w:rsidR="00CD5318">
        <w:t xml:space="preserve">The final report </w:t>
      </w:r>
      <w:r>
        <w:t xml:space="preserve">with the findings of the </w:t>
      </w:r>
      <w:r w:rsidR="00B635E3">
        <w:t>Hill R</w:t>
      </w:r>
      <w:r>
        <w:t>eview was published in November 2023.</w:t>
      </w:r>
    </w:p>
    <w:p w14:paraId="46DD1E3F" w14:textId="0465149F" w:rsidR="008B646B" w:rsidRDefault="008B646B" w:rsidP="008B646B">
      <w:r>
        <w:t xml:space="preserve">The Australian Government agreed that </w:t>
      </w:r>
      <w:r w:rsidR="00494C32">
        <w:t xml:space="preserve">reform </w:t>
      </w:r>
      <w:r w:rsidR="00A9669B">
        <w:t xml:space="preserve">of employment services </w:t>
      </w:r>
      <w:r w:rsidR="00494C32">
        <w:t xml:space="preserve">is </w:t>
      </w:r>
      <w:r w:rsidR="0053560C">
        <w:t>necessary</w:t>
      </w:r>
      <w:r>
        <w:t xml:space="preserve"> in its</w:t>
      </w:r>
      <w:r w:rsidR="008A580C">
        <w:t xml:space="preserve"> response to the findings of the review</w:t>
      </w:r>
      <w:r>
        <w:t xml:space="preserve">. </w:t>
      </w:r>
      <w:r w:rsidR="008A580C">
        <w:t>It summarised the</w:t>
      </w:r>
      <w:r>
        <w:t xml:space="preserve"> recommendations </w:t>
      </w:r>
      <w:r w:rsidR="008A580C">
        <w:t xml:space="preserve">of the review </w:t>
      </w:r>
      <w:r>
        <w:t>into eight key issues:</w:t>
      </w:r>
    </w:p>
    <w:p w14:paraId="2BDE293C" w14:textId="2161869D" w:rsidR="008B646B" w:rsidRDefault="008B646B" w:rsidP="00E93B7C">
      <w:pPr>
        <w:pStyle w:val="Numberbullet1"/>
        <w:numPr>
          <w:ilvl w:val="1"/>
          <w:numId w:val="47"/>
        </w:numPr>
      </w:pPr>
      <w:r>
        <w:t>Poor service experience for many people using the system</w:t>
      </w:r>
    </w:p>
    <w:p w14:paraId="04E0AE2E" w14:textId="7059111C" w:rsidR="008B646B" w:rsidRDefault="008B646B" w:rsidP="00494C32">
      <w:pPr>
        <w:pStyle w:val="Numberbullet1"/>
      </w:pPr>
      <w:r>
        <w:t>Overemphasis on mutual obligations and compliance</w:t>
      </w:r>
    </w:p>
    <w:p w14:paraId="3A86C3D9" w14:textId="00D0D915" w:rsidR="008B646B" w:rsidRDefault="008B646B" w:rsidP="00494C32">
      <w:pPr>
        <w:pStyle w:val="Numberbullet1"/>
      </w:pPr>
      <w:r>
        <w:t>A lack of alignment with employer and industry needs</w:t>
      </w:r>
    </w:p>
    <w:p w14:paraId="5F142AF4" w14:textId="5F360759" w:rsidR="008B646B" w:rsidRDefault="008B646B" w:rsidP="00494C32">
      <w:pPr>
        <w:pStyle w:val="Numberbullet1"/>
      </w:pPr>
      <w:r>
        <w:t>Missed opportunities for place-based servicing</w:t>
      </w:r>
    </w:p>
    <w:p w14:paraId="23C0CBA7" w14:textId="028F6725" w:rsidR="008B646B" w:rsidRDefault="008B646B" w:rsidP="00494C32">
      <w:pPr>
        <w:pStyle w:val="Numberbullet1"/>
      </w:pPr>
      <w:r>
        <w:t>Substandard market design and delivery modes</w:t>
      </w:r>
    </w:p>
    <w:p w14:paraId="3651868F" w14:textId="6AD57AEF" w:rsidR="008B646B" w:rsidRDefault="008B646B" w:rsidP="00494C32">
      <w:pPr>
        <w:pStyle w:val="Numberbullet1"/>
      </w:pPr>
      <w:r>
        <w:t>A lack of responsiveness, innovation and evidence-based improvements</w:t>
      </w:r>
    </w:p>
    <w:p w14:paraId="70A3DAF6" w14:textId="136A7706" w:rsidR="008B646B" w:rsidRDefault="008B646B" w:rsidP="00494C32">
      <w:pPr>
        <w:pStyle w:val="Numberbullet1"/>
      </w:pPr>
      <w:r>
        <w:t>Opportunities to improve transparency and accountability in the system</w:t>
      </w:r>
    </w:p>
    <w:p w14:paraId="39D8139B" w14:textId="6DCE8A62" w:rsidR="00757EA5" w:rsidRDefault="008B646B" w:rsidP="00494C32">
      <w:pPr>
        <w:pStyle w:val="Numberbullet1"/>
      </w:pPr>
      <w:r>
        <w:t>Supporting functions need to be improved.</w:t>
      </w:r>
    </w:p>
    <w:p w14:paraId="35DF6496" w14:textId="267CA633" w:rsidR="00494C32" w:rsidRDefault="0083493A" w:rsidP="00C93FBF">
      <w:r>
        <w:t xml:space="preserve">The Economic Inclusion Advisory Committee (the Committee) </w:t>
      </w:r>
      <w:r w:rsidR="008D2469">
        <w:t xml:space="preserve">provides independent advice to government </w:t>
      </w:r>
      <w:r w:rsidR="00234A4F">
        <w:t xml:space="preserve">before every federal budget on economic inclusion and tackling disadvantage. </w:t>
      </w:r>
      <w:r w:rsidR="009969A0">
        <w:t xml:space="preserve">In </w:t>
      </w:r>
      <w:r w:rsidR="000D0141">
        <w:t xml:space="preserve">its </w:t>
      </w:r>
      <w:r w:rsidR="0065709E">
        <w:t>202</w:t>
      </w:r>
      <w:r w:rsidR="00646D5A">
        <w:t xml:space="preserve">3, </w:t>
      </w:r>
      <w:r w:rsidR="000D0141">
        <w:t xml:space="preserve">2024 and 2025 reports, the Committee recommended comprehensive reform </w:t>
      </w:r>
      <w:r w:rsidR="001C37B7">
        <w:t xml:space="preserve">of employment services consistent with the Hill Review. </w:t>
      </w:r>
      <w:r w:rsidR="00D25553">
        <w:t xml:space="preserve">A summary of </w:t>
      </w:r>
      <w:r w:rsidR="00500153">
        <w:t>the</w:t>
      </w:r>
      <w:r w:rsidR="0009469A">
        <w:t xml:space="preserve">se </w:t>
      </w:r>
      <w:r w:rsidR="00500153">
        <w:t>recommendations in each report is included in</w:t>
      </w:r>
      <w:r w:rsidR="0009469A">
        <w:t xml:space="preserve"> </w:t>
      </w:r>
      <w:r w:rsidR="000105DE">
        <w:fldChar w:fldCharType="begin"/>
      </w:r>
      <w:r w:rsidR="000105DE">
        <w:instrText xml:space="preserve"> REF _Ref220654121 \r \h </w:instrText>
      </w:r>
      <w:r w:rsidR="000105DE">
        <w:fldChar w:fldCharType="separate"/>
      </w:r>
      <w:r w:rsidR="001703C6">
        <w:t>Appendix A</w:t>
      </w:r>
      <w:r w:rsidR="000105DE">
        <w:fldChar w:fldCharType="end"/>
      </w:r>
      <w:r w:rsidR="00500153" w:rsidRPr="005026A9">
        <w:t>.</w:t>
      </w:r>
    </w:p>
    <w:p w14:paraId="16F97C88" w14:textId="7DE3573E" w:rsidR="001C37B7" w:rsidRDefault="00D86C5E" w:rsidP="00C93FBF">
      <w:r>
        <w:t xml:space="preserve">To inform the Committee’s 2026 report, the Committee has engaged Taylor Fry </w:t>
      </w:r>
      <w:r w:rsidR="00506B59">
        <w:t>to:</w:t>
      </w:r>
    </w:p>
    <w:p w14:paraId="589906A9" w14:textId="024A7BD1" w:rsidR="00506B59" w:rsidRDefault="00623672" w:rsidP="004D62A8">
      <w:pPr>
        <w:pStyle w:val="Bullet1"/>
      </w:pPr>
      <w:r>
        <w:t xml:space="preserve">Model the cost of delivering a high-quality service consistent with the </w:t>
      </w:r>
      <w:r w:rsidR="00600E79">
        <w:t xml:space="preserve">key </w:t>
      </w:r>
      <w:r w:rsidR="00BC0683">
        <w:t>components</w:t>
      </w:r>
      <w:r w:rsidR="00600E79">
        <w:t xml:space="preserve"> of the </w:t>
      </w:r>
      <w:r>
        <w:t>Hill Review recommendations</w:t>
      </w:r>
    </w:p>
    <w:p w14:paraId="4F20012B" w14:textId="40A729A0" w:rsidR="007F0735" w:rsidRDefault="007F0735" w:rsidP="004D62A8">
      <w:pPr>
        <w:pStyle w:val="Bullet1"/>
      </w:pPr>
      <w:r>
        <w:t xml:space="preserve">Examine how a new system could operate within the existing </w:t>
      </w:r>
      <w:r w:rsidR="00611431">
        <w:t xml:space="preserve">funding envelope of about $1.5B </w:t>
      </w:r>
      <w:r w:rsidR="00D54DE7">
        <w:t>per year.</w:t>
      </w:r>
    </w:p>
    <w:p w14:paraId="4E23995D" w14:textId="62FF7CBF" w:rsidR="00D35E62" w:rsidRDefault="004453F9" w:rsidP="00B2335F">
      <w:pPr>
        <w:pStyle w:val="Numberbullet1"/>
        <w:numPr>
          <w:ilvl w:val="0"/>
          <w:numId w:val="12"/>
        </w:numPr>
      </w:pPr>
      <w:r>
        <w:t xml:space="preserve">This report is not a cost-benefit analysis of the Hill Review recommendations. To assess the financial feasibility of the reform, further work is required to analyse the benefits a higher-quality employment services system may bring to the income support and tax systems. For example, the size of the impact the reforms deliver on increased </w:t>
      </w:r>
      <w:r w:rsidRPr="00CE72F8">
        <w:t>speed</w:t>
      </w:r>
      <w:r>
        <w:t>,</w:t>
      </w:r>
      <w:r w:rsidRPr="00CE72F8">
        <w:t xml:space="preserve"> volume </w:t>
      </w:r>
      <w:r>
        <w:t xml:space="preserve">and quality </w:t>
      </w:r>
      <w:r w:rsidRPr="00CE72F8">
        <w:t xml:space="preserve">of employment outcomes </w:t>
      </w:r>
      <w:r>
        <w:t xml:space="preserve">will determine the size of the savings from reduced welfare expenditure, offsetting the cost of a reformed system. </w:t>
      </w:r>
    </w:p>
    <w:p w14:paraId="34C4523F" w14:textId="7E970FDC" w:rsidR="00D54DE7" w:rsidRDefault="007C534C" w:rsidP="00B2335F">
      <w:pPr>
        <w:pStyle w:val="Numberbullet1"/>
        <w:numPr>
          <w:ilvl w:val="0"/>
          <w:numId w:val="12"/>
        </w:numPr>
      </w:pPr>
      <w:r w:rsidRPr="003134A3">
        <w:t xml:space="preserve">Work commenced </w:t>
      </w:r>
      <w:r w:rsidR="00265EEF" w:rsidRPr="003134A3">
        <w:t>on 26</w:t>
      </w:r>
      <w:r w:rsidRPr="003134A3">
        <w:t xml:space="preserve"> November 2025 </w:t>
      </w:r>
      <w:r w:rsidR="00572507" w:rsidRPr="003134A3">
        <w:t>with th</w:t>
      </w:r>
      <w:r w:rsidR="00306BE0">
        <w:t>e</w:t>
      </w:r>
      <w:r w:rsidR="00572507" w:rsidRPr="003134A3">
        <w:t xml:space="preserve"> Interim Report submitted on 19 January 2026</w:t>
      </w:r>
      <w:r w:rsidR="000851AA" w:rsidRPr="003134A3">
        <w:t xml:space="preserve">. </w:t>
      </w:r>
      <w:r w:rsidR="00F63264" w:rsidRPr="003134A3">
        <w:t xml:space="preserve">After review by the EIAC, </w:t>
      </w:r>
      <w:r w:rsidRPr="003134A3">
        <w:t>t</w:t>
      </w:r>
      <w:r w:rsidR="00BA52D1">
        <w:t>h</w:t>
      </w:r>
      <w:r w:rsidR="00306BE0">
        <w:t>e</w:t>
      </w:r>
      <w:r w:rsidR="00BA52D1">
        <w:t xml:space="preserve"> report </w:t>
      </w:r>
      <w:r w:rsidR="00306BE0">
        <w:t xml:space="preserve">was refined </w:t>
      </w:r>
      <w:r w:rsidR="004B11E3" w:rsidRPr="003134A3">
        <w:t xml:space="preserve">and submitted </w:t>
      </w:r>
      <w:r w:rsidR="003B7F66" w:rsidRPr="003134A3">
        <w:t xml:space="preserve">as the </w:t>
      </w:r>
      <w:r w:rsidR="000851AA" w:rsidRPr="003134A3">
        <w:t xml:space="preserve">Final Report on </w:t>
      </w:r>
      <w:r w:rsidR="00D35E62">
        <w:t>20</w:t>
      </w:r>
      <w:r w:rsidR="007113D8" w:rsidRPr="003134A3">
        <w:t xml:space="preserve"> February 2026</w:t>
      </w:r>
      <w:r w:rsidR="009275AD">
        <w:t xml:space="preserve"> for publication</w:t>
      </w:r>
      <w:r w:rsidR="00CE272D" w:rsidRPr="003134A3">
        <w:t xml:space="preserve">. </w:t>
      </w:r>
      <w:r w:rsidR="003134A3" w:rsidRPr="003134A3">
        <w:t xml:space="preserve">This report </w:t>
      </w:r>
      <w:r w:rsidR="00BA52D1">
        <w:t xml:space="preserve">presents the </w:t>
      </w:r>
      <w:r w:rsidR="00B5602D">
        <w:t xml:space="preserve">cost estimates from </w:t>
      </w:r>
      <w:r w:rsidR="003134A3">
        <w:t>the Taylor Fry</w:t>
      </w:r>
      <w:r w:rsidR="00661DA1">
        <w:t xml:space="preserve"> modelling, including </w:t>
      </w:r>
      <w:r w:rsidR="00756ADA">
        <w:t xml:space="preserve">discussion about </w:t>
      </w:r>
      <w:r w:rsidR="00661DA1">
        <w:t xml:space="preserve">assumptions used and </w:t>
      </w:r>
      <w:r w:rsidR="00994FB4">
        <w:t>the sensitivity of the results to these assumptions.</w:t>
      </w:r>
    </w:p>
    <w:p w14:paraId="421F4528" w14:textId="3F9C7004" w:rsidR="007E4F73" w:rsidRDefault="007E4F73" w:rsidP="00B2335F">
      <w:pPr>
        <w:pStyle w:val="Numberbullet1"/>
        <w:numPr>
          <w:ilvl w:val="0"/>
          <w:numId w:val="12"/>
        </w:numPr>
      </w:pPr>
      <w:r>
        <w:t>Th</w:t>
      </w:r>
      <w:r w:rsidR="00306BE0">
        <w:t>is</w:t>
      </w:r>
      <w:r>
        <w:t xml:space="preserve"> Final Report </w:t>
      </w:r>
      <w:r w:rsidR="00306BE0">
        <w:t xml:space="preserve">is </w:t>
      </w:r>
      <w:r>
        <w:t>accessible according to the Australian Government Style Manual and Web Content Accessibility Guidelines (WCAG) 2.2AA standards.</w:t>
      </w:r>
    </w:p>
    <w:p w14:paraId="54D3A033" w14:textId="08B7DCAF" w:rsidR="00495AE6" w:rsidRDefault="00495AE6" w:rsidP="00BA6C31">
      <w:pPr>
        <w:pStyle w:val="Heading3"/>
      </w:pPr>
      <w:bookmarkStart w:id="4" w:name="_Toc226038389"/>
      <w:r>
        <w:lastRenderedPageBreak/>
        <w:t>The current employment services system</w:t>
      </w:r>
      <w:bookmarkEnd w:id="4"/>
    </w:p>
    <w:p w14:paraId="33A290FF" w14:textId="2F696D7B" w:rsidR="00D42CD5" w:rsidRDefault="00D42CD5" w:rsidP="0062521A">
      <w:r>
        <w:t xml:space="preserve">Under the current system, when someone applies for income </w:t>
      </w:r>
      <w:proofErr w:type="gramStart"/>
      <w:r>
        <w:t>support</w:t>
      </w:r>
      <w:proofErr w:type="gramEnd"/>
      <w:r w:rsidR="00526303">
        <w:t xml:space="preserve"> </w:t>
      </w:r>
      <w:r w:rsidR="009151B1">
        <w:t>they are required by</w:t>
      </w:r>
      <w:r>
        <w:t xml:space="preserve"> Services Australia </w:t>
      </w:r>
      <w:r w:rsidR="009151B1">
        <w:t>to complete a</w:t>
      </w:r>
      <w:r>
        <w:t xml:space="preserve"> </w:t>
      </w:r>
      <w:r w:rsidR="00994EA8">
        <w:t>Jobseeker</w:t>
      </w:r>
      <w:r>
        <w:t xml:space="preserve"> Snapshot</w:t>
      </w:r>
      <w:r w:rsidR="00E3517E">
        <w:t>.</w:t>
      </w:r>
      <w:r w:rsidR="00EA30A2">
        <w:t xml:space="preserve"> This is a questionnaire </w:t>
      </w:r>
      <w:r w:rsidR="00633941">
        <w:t xml:space="preserve">that collects information to help understand </w:t>
      </w:r>
      <w:r w:rsidR="0062521A">
        <w:t>the</w:t>
      </w:r>
      <w:r w:rsidR="00260630">
        <w:t xml:space="preserve"> individual’s circumstances</w:t>
      </w:r>
      <w:r w:rsidR="00451466">
        <w:t xml:space="preserve">, their </w:t>
      </w:r>
      <w:r w:rsidR="00247284">
        <w:t xml:space="preserve">strengths, </w:t>
      </w:r>
      <w:r w:rsidR="00FD1A53">
        <w:t xml:space="preserve">their </w:t>
      </w:r>
      <w:r w:rsidR="00451466">
        <w:t>job search confidence</w:t>
      </w:r>
      <w:r w:rsidR="00FD1A53">
        <w:t xml:space="preserve"> and </w:t>
      </w:r>
      <w:r w:rsidR="00F33649">
        <w:t xml:space="preserve">ability to navigate online services. </w:t>
      </w:r>
      <w:r w:rsidR="004761E8">
        <w:t xml:space="preserve">It includes questions </w:t>
      </w:r>
      <w:r w:rsidR="008916B9">
        <w:t xml:space="preserve">to assess </w:t>
      </w:r>
      <w:r w:rsidR="00137207">
        <w:t xml:space="preserve">the </w:t>
      </w:r>
      <w:r w:rsidR="00BD6468">
        <w:t xml:space="preserve">individual’s </w:t>
      </w:r>
      <w:r w:rsidR="00994EA8">
        <w:t>Jobseeker</w:t>
      </w:r>
      <w:r w:rsidR="00BD6468">
        <w:t xml:space="preserve"> Classification Instrument (JSCI) score, a measure of </w:t>
      </w:r>
      <w:r w:rsidR="004C0FAC">
        <w:t xml:space="preserve">long-term unemployment </w:t>
      </w:r>
      <w:r w:rsidR="00843223">
        <w:t>risk.</w:t>
      </w:r>
      <w:r w:rsidR="0021409A">
        <w:t xml:space="preserve"> </w:t>
      </w:r>
      <w:r w:rsidR="00742913">
        <w:t xml:space="preserve">The </w:t>
      </w:r>
      <w:r w:rsidR="00994EA8">
        <w:t>Jobseeker</w:t>
      </w:r>
      <w:r w:rsidR="00742913">
        <w:t xml:space="preserve"> Snapshot may identify the need </w:t>
      </w:r>
      <w:r w:rsidR="00457971">
        <w:t>for further assessment through an Employment Services Assessment (ESAt</w:t>
      </w:r>
      <w:r w:rsidR="003543A5">
        <w:t xml:space="preserve">) which is completed </w:t>
      </w:r>
      <w:r w:rsidR="00745412">
        <w:t xml:space="preserve">by a health professional to determine </w:t>
      </w:r>
      <w:r w:rsidR="00E45E09">
        <w:t>the individual’s work capacity.</w:t>
      </w:r>
    </w:p>
    <w:p w14:paraId="7EA148F2" w14:textId="37A05A94" w:rsidR="00D42CD5" w:rsidRDefault="00D42CD5" w:rsidP="00D42CD5">
      <w:r>
        <w:t xml:space="preserve">Once assessed, individuals are referred to Workforce Australia </w:t>
      </w:r>
      <w:r w:rsidR="009257E7">
        <w:t>(</w:t>
      </w:r>
      <w:proofErr w:type="spellStart"/>
      <w:r w:rsidR="009257E7">
        <w:t>WfA</w:t>
      </w:r>
      <w:proofErr w:type="spellEnd"/>
      <w:r w:rsidR="009257E7">
        <w:t xml:space="preserve">) </w:t>
      </w:r>
      <w:r>
        <w:t xml:space="preserve">or </w:t>
      </w:r>
      <w:r w:rsidR="009257E7">
        <w:t>Inclusive Employment Australia (IEA, formerly</w:t>
      </w:r>
      <w:r>
        <w:t xml:space="preserve"> Disability Employment Service</w:t>
      </w:r>
      <w:r w:rsidR="009257E7">
        <w:t>s (DES))</w:t>
      </w:r>
      <w:r>
        <w:t>. Workforce Australia provides employment services</w:t>
      </w:r>
      <w:r w:rsidR="00206DF1">
        <w:t>,</w:t>
      </w:r>
      <w:r w:rsidR="00EE3F8D">
        <w:t xml:space="preserve"> to about </w:t>
      </w:r>
      <w:r w:rsidR="005C06B7">
        <w:t>700,000 participants</w:t>
      </w:r>
      <w:r>
        <w:t xml:space="preserve"> </w:t>
      </w:r>
      <w:r w:rsidR="00FD7DA2">
        <w:t>at</w:t>
      </w:r>
      <w:r w:rsidR="00C56BDF">
        <w:t xml:space="preserve"> any</w:t>
      </w:r>
      <w:r w:rsidR="00FD7DA2">
        <w:t xml:space="preserve"> </w:t>
      </w:r>
      <w:r w:rsidR="00C56BDF">
        <w:t>point in time</w:t>
      </w:r>
      <w:r w:rsidR="00206DF1">
        <w:t xml:space="preserve">, </w:t>
      </w:r>
      <w:r>
        <w:t>through two main channels:</w:t>
      </w:r>
    </w:p>
    <w:p w14:paraId="0C78629B" w14:textId="35560D10" w:rsidR="00D42CD5" w:rsidRDefault="004834AC" w:rsidP="006664B9">
      <w:pPr>
        <w:pStyle w:val="Numberbullet1"/>
      </w:pPr>
      <w:r w:rsidRPr="00CC4240">
        <w:rPr>
          <w:b/>
          <w:bCs/>
        </w:rPr>
        <w:t>Self-managed online services</w:t>
      </w:r>
      <w:r w:rsidR="00C6150A">
        <w:t xml:space="preserve"> –</w:t>
      </w:r>
      <w:r w:rsidR="00D42CD5">
        <w:t xml:space="preserve"> for </w:t>
      </w:r>
      <w:r w:rsidR="00994EA8">
        <w:t>jobseeker</w:t>
      </w:r>
      <w:r w:rsidR="00D42CD5">
        <w:t>s who are digitally literate and assessed as job-ready. Workforce Australia Online offers tools for job searching, resume building, tracking applications, and meeting mutual obligation requirements</w:t>
      </w:r>
      <w:r w:rsidR="000E5AD5">
        <w:t>.</w:t>
      </w:r>
      <w:r w:rsidR="00F14B77">
        <w:t xml:space="preserve"> As </w:t>
      </w:r>
      <w:proofErr w:type="gramStart"/>
      <w:r w:rsidR="00F14B77">
        <w:t>at</w:t>
      </w:r>
      <w:proofErr w:type="gramEnd"/>
      <w:r w:rsidR="00F14B77">
        <w:t xml:space="preserve"> 31 October 2025, </w:t>
      </w:r>
      <w:r w:rsidR="000F2B5D">
        <w:t xml:space="preserve">there were 193,090 </w:t>
      </w:r>
      <w:r w:rsidR="00994EA8">
        <w:t>jobseeker</w:t>
      </w:r>
      <w:r w:rsidR="003A2806">
        <w:t>s supported by Workforce Australia Online</w:t>
      </w:r>
      <w:r w:rsidR="001619E1">
        <w:t xml:space="preserve"> (</w:t>
      </w:r>
      <w:r w:rsidR="00EF6C9E">
        <w:t>~</w:t>
      </w:r>
      <w:r w:rsidR="004969CA">
        <w:t>30% of all Workforce Australia participants</w:t>
      </w:r>
      <w:r w:rsidR="001619E1">
        <w:t>)</w:t>
      </w:r>
      <w:r w:rsidR="004969CA">
        <w:t>.</w:t>
      </w:r>
      <w:r w:rsidR="000F2B5D">
        <w:t xml:space="preserve"> </w:t>
      </w:r>
    </w:p>
    <w:p w14:paraId="72C78E75" w14:textId="4C8C635A" w:rsidR="001619E1" w:rsidRDefault="00D42CD5" w:rsidP="00E90C6C">
      <w:pPr>
        <w:pStyle w:val="Numberbullet1"/>
      </w:pPr>
      <w:r w:rsidRPr="00CC4240">
        <w:rPr>
          <w:b/>
          <w:bCs/>
        </w:rPr>
        <w:t xml:space="preserve">Provider </w:t>
      </w:r>
      <w:r w:rsidR="00CC4240" w:rsidRPr="00CC4240">
        <w:rPr>
          <w:b/>
          <w:bCs/>
        </w:rPr>
        <w:t>services</w:t>
      </w:r>
      <w:r>
        <w:t xml:space="preserve"> </w:t>
      </w:r>
      <w:r w:rsidR="00CC4240">
        <w:t>–</w:t>
      </w:r>
      <w:r>
        <w:t xml:space="preserve"> for those identified as needing more support either through the JSCI, ESAt or from not finding employment after 12 months of using </w:t>
      </w:r>
      <w:r w:rsidR="00F253BC">
        <w:t>online services.</w:t>
      </w:r>
      <w:r w:rsidR="00682735">
        <w:t xml:space="preserve"> </w:t>
      </w:r>
      <w:r w:rsidR="001253EF">
        <w:t xml:space="preserve">Workforce Australia </w:t>
      </w:r>
      <w:r w:rsidR="00DE4615">
        <w:t>Services</w:t>
      </w:r>
      <w:r w:rsidR="00207984">
        <w:t xml:space="preserve"> </w:t>
      </w:r>
      <w:r w:rsidR="003D1AD2">
        <w:t xml:space="preserve">contracts a network of </w:t>
      </w:r>
      <w:r w:rsidR="005D475D">
        <w:t>providers to</w:t>
      </w:r>
      <w:r w:rsidR="001253EF">
        <w:t xml:space="preserve"> offer tailored case management, participation and Jobs Plans</w:t>
      </w:r>
      <w:r w:rsidR="004C70CF">
        <w:t xml:space="preserve"> support</w:t>
      </w:r>
      <w:r w:rsidR="001253EF">
        <w:t>, referrals to training, work experience or support services, and help with overcoming barriers to employment.</w:t>
      </w:r>
      <w:r w:rsidR="00E90C6C">
        <w:t xml:space="preserve"> As </w:t>
      </w:r>
      <w:proofErr w:type="gramStart"/>
      <w:r w:rsidR="00E90C6C">
        <w:t>at</w:t>
      </w:r>
      <w:proofErr w:type="gramEnd"/>
      <w:r w:rsidR="00E90C6C">
        <w:t xml:space="preserve"> 31 October 2025, there were </w:t>
      </w:r>
      <w:r w:rsidR="007E4934">
        <w:t>476,770</w:t>
      </w:r>
      <w:r w:rsidR="00E90C6C">
        <w:t xml:space="preserve"> </w:t>
      </w:r>
      <w:r w:rsidR="00994EA8">
        <w:t>jobseeker</w:t>
      </w:r>
      <w:r w:rsidR="00E90C6C">
        <w:t xml:space="preserve">s supported by Workforce Australia </w:t>
      </w:r>
      <w:r w:rsidR="004C70CF">
        <w:t>Services</w:t>
      </w:r>
      <w:r w:rsidR="00E90C6C">
        <w:t xml:space="preserve"> </w:t>
      </w:r>
      <w:r w:rsidR="001619E1">
        <w:t>(</w:t>
      </w:r>
      <w:r w:rsidR="00E90C6C">
        <w:t xml:space="preserve">about </w:t>
      </w:r>
      <w:r w:rsidR="00F10B75">
        <w:t>7</w:t>
      </w:r>
      <w:r w:rsidR="00E90C6C">
        <w:t>0% of all Workforce Australia participants</w:t>
      </w:r>
      <w:r w:rsidR="001619E1">
        <w:t>)</w:t>
      </w:r>
      <w:r w:rsidR="00E90C6C">
        <w:t>.</w:t>
      </w:r>
    </w:p>
    <w:p w14:paraId="7E16388D" w14:textId="77CA6CFB" w:rsidR="00CF7B7A" w:rsidRDefault="00994EA8" w:rsidP="001619E1">
      <w:pPr>
        <w:pStyle w:val="Numberbullet1"/>
        <w:numPr>
          <w:ilvl w:val="0"/>
          <w:numId w:val="10"/>
        </w:numPr>
      </w:pPr>
      <w:r>
        <w:t>Jobseeker</w:t>
      </w:r>
      <w:r w:rsidR="00FE6C00">
        <w:t xml:space="preserve">s </w:t>
      </w:r>
      <w:r w:rsidR="00706BD8">
        <w:t xml:space="preserve">can access case management services in one of </w:t>
      </w:r>
      <w:r w:rsidR="00581161" w:rsidRPr="00F412D6">
        <w:t>4</w:t>
      </w:r>
      <w:r w:rsidR="005B4346" w:rsidRPr="00F412D6">
        <w:t>1</w:t>
      </w:r>
      <w:r w:rsidR="00581161" w:rsidRPr="00F412D6">
        <w:t xml:space="preserve"> </w:t>
      </w:r>
      <w:r w:rsidR="00E47F63" w:rsidRPr="00F412D6">
        <w:t>provider organisations (</w:t>
      </w:r>
      <w:r w:rsidR="005B4346" w:rsidRPr="00F412D6">
        <w:t xml:space="preserve">169 </w:t>
      </w:r>
      <w:r w:rsidR="00035C0B" w:rsidRPr="00F412D6">
        <w:t>licenses</w:t>
      </w:r>
      <w:r w:rsidR="00E47F63" w:rsidRPr="00F412D6">
        <w:t>)</w:t>
      </w:r>
      <w:r w:rsidR="00706BD8" w:rsidRPr="00F412D6">
        <w:t xml:space="preserve"> Workforce Australia providers</w:t>
      </w:r>
      <w:r w:rsidR="00706BD8">
        <w:t xml:space="preserve"> </w:t>
      </w:r>
      <w:r w:rsidR="00F412D6" w:rsidRPr="00F412D6">
        <w:t>operating</w:t>
      </w:r>
      <w:r w:rsidR="00706BD8">
        <w:t xml:space="preserve"> across 53 service regions.</w:t>
      </w:r>
      <w:r w:rsidR="00E90C6C">
        <w:t xml:space="preserve"> </w:t>
      </w:r>
      <w:r w:rsidR="006E7263">
        <w:t xml:space="preserve">Providers </w:t>
      </w:r>
      <w:r w:rsidR="00605AC6">
        <w:t xml:space="preserve">are paid by </w:t>
      </w:r>
      <w:r w:rsidR="00D01F1B">
        <w:t xml:space="preserve">the </w:t>
      </w:r>
      <w:r w:rsidR="006D1B4B">
        <w:t xml:space="preserve">Department of </w:t>
      </w:r>
      <w:r w:rsidR="00154A98">
        <w:t>Employment and Workplace Relations (DEWR)</w:t>
      </w:r>
      <w:r w:rsidR="00F447C0">
        <w:t xml:space="preserve"> for the cases they manage </w:t>
      </w:r>
      <w:r w:rsidR="007762C6">
        <w:t xml:space="preserve">under a </w:t>
      </w:r>
      <w:r w:rsidR="00756EF8">
        <w:t>funding</w:t>
      </w:r>
      <w:r w:rsidR="007762C6">
        <w:t xml:space="preserve"> model that </w:t>
      </w:r>
      <w:r w:rsidR="00CF7B7A">
        <w:t xml:space="preserve">rewards helping </w:t>
      </w:r>
      <w:r>
        <w:t>jobseeker</w:t>
      </w:r>
      <w:r w:rsidR="00756EF8">
        <w:t>s</w:t>
      </w:r>
      <w:r w:rsidR="00CF7B7A">
        <w:t xml:space="preserve"> achieve employment outcomes</w:t>
      </w:r>
      <w:r w:rsidR="00EF7A57">
        <w:rPr>
          <w:rStyle w:val="FootnoteReference"/>
        </w:rPr>
        <w:footnoteReference w:id="2"/>
      </w:r>
      <w:r w:rsidR="00CF7B7A">
        <w:t>:</w:t>
      </w:r>
    </w:p>
    <w:p w14:paraId="215811CB" w14:textId="0F122E4C" w:rsidR="006915AD" w:rsidRDefault="00FE417B" w:rsidP="00CF7B7A">
      <w:pPr>
        <w:pStyle w:val="Bullet1"/>
      </w:pPr>
      <w:r>
        <w:t>At commencement</w:t>
      </w:r>
      <w:r w:rsidR="00B45B23">
        <w:t>,</w:t>
      </w:r>
      <w:r>
        <w:t xml:space="preserve"> the provider is paid either $</w:t>
      </w:r>
      <w:r w:rsidR="00A57218">
        <w:t>1,28</w:t>
      </w:r>
      <w:r w:rsidR="003A46BD">
        <w:t>2</w:t>
      </w:r>
      <w:r w:rsidR="00F56482">
        <w:t xml:space="preserve"> </w:t>
      </w:r>
      <w:r w:rsidR="00B00E67">
        <w:t xml:space="preserve">or half </w:t>
      </w:r>
      <w:r w:rsidR="0035498A">
        <w:t>this amount ($64</w:t>
      </w:r>
      <w:r w:rsidR="00B8784F">
        <w:t>1</w:t>
      </w:r>
      <w:r w:rsidR="0035498A">
        <w:t>)</w:t>
      </w:r>
      <w:r w:rsidR="00EC523C">
        <w:t xml:space="preserve"> if the </w:t>
      </w:r>
      <w:r w:rsidR="005E40BF">
        <w:t>jobseeker is a transfer from a different provider</w:t>
      </w:r>
    </w:p>
    <w:p w14:paraId="7850ACD4" w14:textId="1324A4E4" w:rsidR="00E90C6C" w:rsidRDefault="00C63A8E" w:rsidP="00CF7B7A">
      <w:pPr>
        <w:pStyle w:val="Bullet1"/>
      </w:pPr>
      <w:r>
        <w:t xml:space="preserve">In each </w:t>
      </w:r>
      <w:proofErr w:type="gramStart"/>
      <w:r w:rsidR="00670AC9">
        <w:t>24 month</w:t>
      </w:r>
      <w:proofErr w:type="gramEnd"/>
      <w:r w:rsidR="00670AC9">
        <w:t xml:space="preserve"> service period</w:t>
      </w:r>
      <w:r w:rsidR="005C3235">
        <w:t>,</w:t>
      </w:r>
      <w:r w:rsidR="00670AC9">
        <w:t xml:space="preserve"> the provider is paid an additional </w:t>
      </w:r>
      <w:r w:rsidR="00CE7AB0">
        <w:t>$801</w:t>
      </w:r>
      <w:r w:rsidR="008639B4">
        <w:t xml:space="preserve"> </w:t>
      </w:r>
      <w:r w:rsidR="003A46BD">
        <w:t>as a progress payment</w:t>
      </w:r>
      <w:r w:rsidR="003723F4">
        <w:t xml:space="preserve"> when the participant’s circumstances have been changed during participation in Workforce Australia Services such that they are more prepared to gain and maintain Employment</w:t>
      </w:r>
    </w:p>
    <w:p w14:paraId="4460F0AC" w14:textId="5F1EAB0F" w:rsidR="00CF1171" w:rsidRDefault="00500AB0" w:rsidP="003A46BD">
      <w:pPr>
        <w:pStyle w:val="Bullet1"/>
      </w:pPr>
      <w:r>
        <w:t>O</w:t>
      </w:r>
      <w:r w:rsidR="002E49E8">
        <w:t xml:space="preserve">utcome payments </w:t>
      </w:r>
      <w:r w:rsidR="00D9493D">
        <w:t xml:space="preserve">between </w:t>
      </w:r>
      <w:r w:rsidR="00B47183">
        <w:t>$256 to $</w:t>
      </w:r>
      <w:r w:rsidR="00534CAF">
        <w:t xml:space="preserve">5,340 </w:t>
      </w:r>
      <w:r w:rsidR="005D4895">
        <w:t>are</w:t>
      </w:r>
      <w:r w:rsidR="00534CAF">
        <w:t xml:space="preserve"> paid</w:t>
      </w:r>
      <w:r w:rsidR="0048180B">
        <w:t xml:space="preserve"> when employment outcomes are achieved </w:t>
      </w:r>
      <w:r w:rsidR="00163597">
        <w:t xml:space="preserve">depending on </w:t>
      </w:r>
      <w:r w:rsidR="008E6B15">
        <w:t xml:space="preserve">the </w:t>
      </w:r>
      <w:r w:rsidR="00AA56EF">
        <w:t>nature (full/part time)</w:t>
      </w:r>
      <w:r w:rsidR="00CF1171">
        <w:t xml:space="preserve"> and duration </w:t>
      </w:r>
      <w:r w:rsidR="001367D2">
        <w:t>the</w:t>
      </w:r>
      <w:r w:rsidR="00CF1171">
        <w:t xml:space="preserve"> employment</w:t>
      </w:r>
      <w:r w:rsidR="001367D2">
        <w:t xml:space="preserve"> is sustained</w:t>
      </w:r>
      <w:r w:rsidR="00CF1171">
        <w:t xml:space="preserve">, and the </w:t>
      </w:r>
      <w:r w:rsidR="00994EA8">
        <w:t>jobseeker</w:t>
      </w:r>
      <w:r w:rsidR="00CF1171">
        <w:t>s JSCI</w:t>
      </w:r>
    </w:p>
    <w:p w14:paraId="584092C7" w14:textId="6E72E2CF" w:rsidR="003A46BD" w:rsidRDefault="00B632A3" w:rsidP="003A46BD">
      <w:pPr>
        <w:pStyle w:val="Bullet1"/>
      </w:pPr>
      <w:r>
        <w:t xml:space="preserve">Additional </w:t>
      </w:r>
      <w:r w:rsidR="00B775D7">
        <w:t>bonus</w:t>
      </w:r>
      <w:r>
        <w:t xml:space="preserve"> outcome payments up to $4,272</w:t>
      </w:r>
      <w:r w:rsidR="00F342D6">
        <w:t xml:space="preserve"> </w:t>
      </w:r>
      <w:r w:rsidR="00B775D7">
        <w:t>are</w:t>
      </w:r>
      <w:r w:rsidR="00F342D6">
        <w:t xml:space="preserve"> paid for </w:t>
      </w:r>
      <w:r w:rsidR="00CF49BE">
        <w:t xml:space="preserve">helping </w:t>
      </w:r>
      <w:r w:rsidR="00C74FFB">
        <w:t>place those who have been unemployed for more than 24 months into work.</w:t>
      </w:r>
    </w:p>
    <w:p w14:paraId="4C6E65DD" w14:textId="3A30E82B" w:rsidR="00C174F5" w:rsidRPr="00C174F5" w:rsidRDefault="00C174F5" w:rsidP="00FE604F">
      <w:r>
        <w:t>In 2024-25 t</w:t>
      </w:r>
      <w:r w:rsidRPr="00C174F5">
        <w:t xml:space="preserve">his </w:t>
      </w:r>
      <w:r>
        <w:t xml:space="preserve">system </w:t>
      </w:r>
      <w:r w:rsidRPr="00C174F5">
        <w:t xml:space="preserve">cost </w:t>
      </w:r>
      <w:r>
        <w:t xml:space="preserve">approximately </w:t>
      </w:r>
      <w:r w:rsidRPr="00C174F5">
        <w:t>$2.29B (incorporating the Administered expenditure of both Workforce Australia and Transition to Work, and the Departmental expense to oversee the system)</w:t>
      </w:r>
      <w:r>
        <w:t xml:space="preserve">. In comparison, $15.3B in </w:t>
      </w:r>
      <w:proofErr w:type="spellStart"/>
      <w:r>
        <w:t>JobSeeker</w:t>
      </w:r>
      <w:proofErr w:type="spellEnd"/>
      <w:r>
        <w:t xml:space="preserve"> Payments were recorded as being paid to welfare recipients in 2024-25</w:t>
      </w:r>
      <w:r>
        <w:rPr>
          <w:rStyle w:val="FootnoteReference"/>
        </w:rPr>
        <w:footnoteReference w:id="3"/>
      </w:r>
      <w:r>
        <w:t xml:space="preserve"> (i.e. Administered expenditure only). </w:t>
      </w:r>
      <w:r w:rsidR="00404A8F">
        <w:t>The administered expenditure of employment services by the Department of Social Services for the Disability and Carers Program was $1.3B in 2024-25</w:t>
      </w:r>
      <w:r w:rsidR="00404A8F">
        <w:rPr>
          <w:rStyle w:val="FootnoteReference"/>
        </w:rPr>
        <w:footnoteReference w:id="4"/>
      </w:r>
      <w:r w:rsidR="00404A8F">
        <w:t xml:space="preserve"> (relating to Disability Employment Services)</w:t>
      </w:r>
      <w:r>
        <w:t>.</w:t>
      </w:r>
    </w:p>
    <w:p w14:paraId="28690C16" w14:textId="4E9F3C07" w:rsidR="00471DCD" w:rsidRDefault="00471DCD" w:rsidP="00BA6C31">
      <w:pPr>
        <w:pStyle w:val="Heading3"/>
      </w:pPr>
      <w:bookmarkStart w:id="5" w:name="_Ref219723568"/>
      <w:bookmarkStart w:id="6" w:name="_Toc226038390"/>
      <w:r>
        <w:lastRenderedPageBreak/>
        <w:t xml:space="preserve">Key components of </w:t>
      </w:r>
      <w:r w:rsidR="006135AB">
        <w:t xml:space="preserve">the </w:t>
      </w:r>
      <w:r>
        <w:t>Hill Review</w:t>
      </w:r>
      <w:r w:rsidR="000F4E8D">
        <w:t xml:space="preserve"> and scope</w:t>
      </w:r>
      <w:bookmarkEnd w:id="5"/>
      <w:bookmarkEnd w:id="6"/>
    </w:p>
    <w:p w14:paraId="1759AC68" w14:textId="5ABC4C04" w:rsidR="003B04F7" w:rsidRPr="00440DC1" w:rsidRDefault="00A826C3" w:rsidP="00CC5B80">
      <w:pPr>
        <w:pStyle w:val="Bullet1"/>
        <w:numPr>
          <w:ilvl w:val="0"/>
          <w:numId w:val="0"/>
        </w:numPr>
      </w:pPr>
      <w:r>
        <w:t xml:space="preserve">The Hill Review made 75 recommendations to </w:t>
      </w:r>
      <w:r w:rsidR="00844A94" w:rsidRPr="00440DC1">
        <w:t>create</w:t>
      </w:r>
      <w:r>
        <w:t xml:space="preserve"> </w:t>
      </w:r>
      <w:r w:rsidR="00534583">
        <w:t xml:space="preserve">its vision of </w:t>
      </w:r>
      <w:r w:rsidR="00B819C8">
        <w:t>a</w:t>
      </w:r>
      <w:r w:rsidR="00534583">
        <w:t xml:space="preserve"> reformed employment services system</w:t>
      </w:r>
      <w:r>
        <w:t xml:space="preserve">. </w:t>
      </w:r>
      <w:r w:rsidR="00A87A69" w:rsidRPr="00440DC1">
        <w:fldChar w:fldCharType="begin"/>
      </w:r>
      <w:r w:rsidR="00A87A69" w:rsidRPr="00440DC1">
        <w:instrText xml:space="preserve"> REF _Ref219206024 \h </w:instrText>
      </w:r>
      <w:r w:rsidR="00440DC1">
        <w:instrText xml:space="preserve"> \* MERGEFORMAT </w:instrText>
      </w:r>
      <w:r w:rsidR="00A87A69" w:rsidRPr="00440DC1">
        <w:fldChar w:fldCharType="separate"/>
      </w:r>
      <w:r w:rsidR="001703C6">
        <w:t xml:space="preserve">Table </w:t>
      </w:r>
      <w:r w:rsidR="001703C6">
        <w:rPr>
          <w:noProof/>
        </w:rPr>
        <w:t>1</w:t>
      </w:r>
      <w:r w:rsidR="00A87A69" w:rsidRPr="00440DC1">
        <w:fldChar w:fldCharType="end"/>
      </w:r>
      <w:r w:rsidR="00A87A69">
        <w:t xml:space="preserve"> details </w:t>
      </w:r>
      <w:r w:rsidR="00AA017A">
        <w:t xml:space="preserve">the key components of the Hill Review </w:t>
      </w:r>
      <w:r w:rsidR="00457C3F">
        <w:t xml:space="preserve">we have identified </w:t>
      </w:r>
      <w:r w:rsidR="00192D8C">
        <w:t>for cost modelling.</w:t>
      </w:r>
      <w:r w:rsidR="004B52E8">
        <w:t xml:space="preserve"> </w:t>
      </w:r>
      <w:r w:rsidR="003B04F7" w:rsidRPr="00440DC1">
        <w:t>Key to this reform is rebuilding a public sector core to lead and supervise the provision of higher-quality employment services. The sector will be re-professionalised and service delivery will be less fragmented and more efficient, with service providers working alongside government and employers in our local communities.</w:t>
      </w:r>
    </w:p>
    <w:p w14:paraId="7F63D537" w14:textId="4F8A5415" w:rsidR="00AE0A9B" w:rsidRDefault="00440DC1" w:rsidP="00CC5B80">
      <w:pPr>
        <w:pStyle w:val="Bullet1"/>
        <w:numPr>
          <w:ilvl w:val="0"/>
          <w:numId w:val="0"/>
        </w:numPr>
      </w:pPr>
      <w:r w:rsidRPr="00440DC1">
        <w:t>For</w:t>
      </w:r>
      <w:r w:rsidR="003B04F7" w:rsidRPr="00440DC1">
        <w:t xml:space="preserve"> this modelling</w:t>
      </w:r>
      <w:r w:rsidR="00CC5B80">
        <w:t xml:space="preserve">, </w:t>
      </w:r>
      <w:r w:rsidR="00BA4BB7">
        <w:t>29</w:t>
      </w:r>
      <w:r w:rsidR="00CC5B80" w:rsidRPr="00CC5B80">
        <w:t xml:space="preserve"> recommendations were </w:t>
      </w:r>
      <w:r w:rsidR="00033545">
        <w:t xml:space="preserve">agreed with the committee </w:t>
      </w:r>
      <w:r w:rsidR="00CC5B80" w:rsidRPr="00CC5B80">
        <w:t xml:space="preserve">as being most relevant to the core structure and cost of a reformed employment services system, with many being </w:t>
      </w:r>
      <w:r w:rsidR="00C75767">
        <w:t xml:space="preserve">recommendations </w:t>
      </w:r>
      <w:r w:rsidR="00CC5B80" w:rsidRPr="00CC5B80">
        <w:t>relevant to multiple components</w:t>
      </w:r>
      <w:r w:rsidR="0084243A">
        <w:t xml:space="preserve">; these are considered in </w:t>
      </w:r>
      <w:r w:rsidR="0084243A">
        <w:fldChar w:fldCharType="begin"/>
      </w:r>
      <w:r w:rsidR="0084243A">
        <w:instrText xml:space="preserve"> REF _Ref219206024 \h </w:instrText>
      </w:r>
      <w:r w:rsidR="0084243A">
        <w:fldChar w:fldCharType="separate"/>
      </w:r>
      <w:r w:rsidR="001703C6">
        <w:t xml:space="preserve">Table </w:t>
      </w:r>
      <w:r w:rsidR="001703C6">
        <w:rPr>
          <w:noProof/>
        </w:rPr>
        <w:t>1</w:t>
      </w:r>
      <w:r w:rsidR="0084243A">
        <w:fldChar w:fldCharType="end"/>
      </w:r>
      <w:r w:rsidR="00CC5B80" w:rsidRPr="00CC5B80">
        <w:t>.</w:t>
      </w:r>
    </w:p>
    <w:p w14:paraId="09B18FDD" w14:textId="41DFAA31" w:rsidR="005A0E71" w:rsidRDefault="005A0E71" w:rsidP="005A0E71">
      <w:pPr>
        <w:pStyle w:val="Caption"/>
      </w:pPr>
      <w:bookmarkStart w:id="7" w:name="_Ref219206024"/>
      <w:bookmarkStart w:id="8" w:name="_Ref219534332"/>
      <w:r>
        <w:t xml:space="preserve">Table </w:t>
      </w:r>
      <w:r w:rsidR="001703C6">
        <w:fldChar w:fldCharType="begin"/>
      </w:r>
      <w:r w:rsidR="001703C6">
        <w:instrText xml:space="preserve"> SEQ Table \* ARABIC </w:instrText>
      </w:r>
      <w:r w:rsidR="001703C6">
        <w:fldChar w:fldCharType="separate"/>
      </w:r>
      <w:r w:rsidR="001703C6">
        <w:rPr>
          <w:noProof/>
        </w:rPr>
        <w:t>1</w:t>
      </w:r>
      <w:r w:rsidR="001703C6">
        <w:rPr>
          <w:noProof/>
        </w:rPr>
        <w:fldChar w:fldCharType="end"/>
      </w:r>
      <w:bookmarkEnd w:id="7"/>
      <w:r>
        <w:t xml:space="preserve">: Key </w:t>
      </w:r>
      <w:r w:rsidR="00A87A69">
        <w:t>components of the Hill Review identified for cost</w:t>
      </w:r>
      <w:r w:rsidR="00F42543">
        <w:t xml:space="preserve"> modelling</w:t>
      </w:r>
      <w:bookmarkEnd w:id="8"/>
    </w:p>
    <w:tbl>
      <w:tblPr>
        <w:tblStyle w:val="GridTable5Dark-Accent2"/>
        <w:tblW w:w="0" w:type="auto"/>
        <w:tblLook w:val="04A0" w:firstRow="1" w:lastRow="0" w:firstColumn="1" w:lastColumn="0" w:noHBand="0" w:noVBand="1"/>
      </w:tblPr>
      <w:tblGrid>
        <w:gridCol w:w="1838"/>
        <w:gridCol w:w="5471"/>
        <w:gridCol w:w="2093"/>
      </w:tblGrid>
      <w:tr w:rsidR="00A71349" w:rsidRPr="00325267" w14:paraId="2D10FBE3" w14:textId="77777777" w:rsidTr="00A71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7FE8C" w14:textId="7A512E8C" w:rsidR="00A71349" w:rsidRPr="00A71349" w:rsidRDefault="00A71349" w:rsidP="004B0D37">
            <w:pPr>
              <w:rPr>
                <w:b w:val="0"/>
                <w:color w:val="auto"/>
              </w:rPr>
            </w:pPr>
            <w:r w:rsidRPr="00A71349">
              <w:rPr>
                <w:color w:val="auto"/>
              </w:rPr>
              <w:t>Key component</w:t>
            </w:r>
            <w:r w:rsidRPr="00A71349">
              <w:rPr>
                <w:bCs w:val="0"/>
                <w:color w:val="auto"/>
              </w:rPr>
              <w:t xml:space="preserve"> - Governance</w:t>
            </w:r>
          </w:p>
        </w:tc>
        <w:tc>
          <w:tcPr>
            <w:tcW w:w="5471" w:type="dxa"/>
          </w:tcPr>
          <w:p w14:paraId="3BFD16F4" w14:textId="77777777" w:rsidR="00A71349" w:rsidRPr="00A71349" w:rsidRDefault="00A71349" w:rsidP="004B0D37">
            <w:pPr>
              <w:cnfStyle w:val="100000000000" w:firstRow="1" w:lastRow="0" w:firstColumn="0" w:lastColumn="0" w:oddVBand="0" w:evenVBand="0" w:oddHBand="0" w:evenHBand="0" w:firstRowFirstColumn="0" w:firstRowLastColumn="0" w:lastRowFirstColumn="0" w:lastRowLastColumn="0"/>
              <w:rPr>
                <w:b w:val="0"/>
                <w:color w:val="auto"/>
              </w:rPr>
            </w:pPr>
            <w:r w:rsidRPr="00A71349">
              <w:rPr>
                <w:color w:val="auto"/>
              </w:rPr>
              <w:t>Description</w:t>
            </w:r>
          </w:p>
        </w:tc>
        <w:tc>
          <w:tcPr>
            <w:tcW w:w="0" w:type="auto"/>
          </w:tcPr>
          <w:p w14:paraId="77665D2A" w14:textId="77777777" w:rsidR="00A71349" w:rsidRPr="00A71349" w:rsidRDefault="00A71349" w:rsidP="004B0D37">
            <w:pPr>
              <w:cnfStyle w:val="100000000000" w:firstRow="1" w:lastRow="0" w:firstColumn="0" w:lastColumn="0" w:oddVBand="0" w:evenVBand="0" w:oddHBand="0" w:evenHBand="0" w:firstRowFirstColumn="0" w:firstRowLastColumn="0" w:lastRowFirstColumn="0" w:lastRowLastColumn="0"/>
              <w:rPr>
                <w:b w:val="0"/>
                <w:color w:val="auto"/>
              </w:rPr>
            </w:pPr>
            <w:r w:rsidRPr="00A71349">
              <w:rPr>
                <w:color w:val="auto"/>
              </w:rPr>
              <w:t>Hill Review recommendations</w:t>
            </w:r>
          </w:p>
        </w:tc>
      </w:tr>
      <w:tr w:rsidR="00A71349" w:rsidRPr="00325267" w14:paraId="1F8E8016" w14:textId="77777777" w:rsidTr="00A7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2DEF42" w14:textId="77777777" w:rsidR="00A71349" w:rsidRPr="00A71349" w:rsidRDefault="00A71349" w:rsidP="004B0D37">
            <w:pPr>
              <w:rPr>
                <w:color w:val="auto"/>
              </w:rPr>
            </w:pPr>
            <w:r w:rsidRPr="00A71349">
              <w:rPr>
                <w:color w:val="auto"/>
              </w:rPr>
              <w:t>Employment Services Australia (ESA)</w:t>
            </w:r>
          </w:p>
        </w:tc>
        <w:tc>
          <w:tcPr>
            <w:tcW w:w="5471" w:type="dxa"/>
          </w:tcPr>
          <w:p w14:paraId="29407971"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rsidRPr="00325267">
              <w:t>Public sector core serving as a steward of the entire employment services system including commissioning services</w:t>
            </w:r>
            <w:r>
              <w:t xml:space="preserve"> (shift to relational contracting)</w:t>
            </w:r>
            <w:r w:rsidRPr="00325267">
              <w:t xml:space="preserve">, setting standards, operating regional hubs, and delivering </w:t>
            </w:r>
            <w:r>
              <w:t xml:space="preserve">case management </w:t>
            </w:r>
            <w:r w:rsidRPr="00325267">
              <w:t xml:space="preserve">services </w:t>
            </w:r>
            <w:r>
              <w:t xml:space="preserve">in </w:t>
            </w:r>
            <w:r w:rsidRPr="008F2EFE">
              <w:t>some places and for people who are furthest from the labour market or persistently non-compliant with their obligations</w:t>
            </w:r>
            <w:r>
              <w:t>.</w:t>
            </w:r>
          </w:p>
        </w:tc>
        <w:tc>
          <w:tcPr>
            <w:tcW w:w="0" w:type="auto"/>
          </w:tcPr>
          <w:p w14:paraId="297F9BF3" w14:textId="77777777" w:rsidR="00A71349" w:rsidRPr="001144DD" w:rsidRDefault="00A71349" w:rsidP="004B0D37">
            <w:pPr>
              <w:cnfStyle w:val="000000100000" w:firstRow="0" w:lastRow="0" w:firstColumn="0" w:lastColumn="0" w:oddVBand="0" w:evenVBand="0" w:oddHBand="1" w:evenHBand="0" w:firstRowFirstColumn="0" w:firstRowLastColumn="0" w:lastRowFirstColumn="0" w:lastRowLastColumn="0"/>
              <w:rPr>
                <w:highlight w:val="yellow"/>
              </w:rPr>
            </w:pPr>
            <w:r w:rsidRPr="0003352D">
              <w:t>R1, R4, R8, R29, R30, R37</w:t>
            </w:r>
          </w:p>
        </w:tc>
      </w:tr>
      <w:tr w:rsidR="00A71349" w:rsidRPr="00325267" w14:paraId="0F51CD8C" w14:textId="77777777" w:rsidTr="00A71349">
        <w:tc>
          <w:tcPr>
            <w:cnfStyle w:val="001000000000" w:firstRow="0" w:lastRow="0" w:firstColumn="1" w:lastColumn="0" w:oddVBand="0" w:evenVBand="0" w:oddHBand="0" w:evenHBand="0" w:firstRowFirstColumn="0" w:firstRowLastColumn="0" w:lastRowFirstColumn="0" w:lastRowLastColumn="0"/>
            <w:tcW w:w="1838" w:type="dxa"/>
          </w:tcPr>
          <w:p w14:paraId="4EE82533" w14:textId="77777777" w:rsidR="00A71349" w:rsidRPr="00A71349" w:rsidRDefault="00A71349" w:rsidP="004B0D37">
            <w:pPr>
              <w:rPr>
                <w:color w:val="auto"/>
              </w:rPr>
            </w:pPr>
            <w:r w:rsidRPr="00A71349">
              <w:rPr>
                <w:color w:val="auto"/>
              </w:rPr>
              <w:t>Commissioning framework</w:t>
            </w:r>
          </w:p>
        </w:tc>
        <w:tc>
          <w:tcPr>
            <w:tcW w:w="5471" w:type="dxa"/>
          </w:tcPr>
          <w:p w14:paraId="3AE7F7AF" w14:textId="77777777" w:rsidR="00A71349" w:rsidRPr="00325267" w:rsidRDefault="00A71349" w:rsidP="004B0D37">
            <w:pPr>
              <w:cnfStyle w:val="000000000000" w:firstRow="0" w:lastRow="0" w:firstColumn="0" w:lastColumn="0" w:oddVBand="0" w:evenVBand="0" w:oddHBand="0" w:evenHBand="0" w:firstRowFirstColumn="0" w:firstRowLastColumn="0" w:lastRowFirstColumn="0" w:lastRowLastColumn="0"/>
            </w:pPr>
            <w:r>
              <w:t>A simplified commissioning process and shift to relational contracting.</w:t>
            </w:r>
          </w:p>
        </w:tc>
        <w:tc>
          <w:tcPr>
            <w:tcW w:w="0" w:type="auto"/>
          </w:tcPr>
          <w:p w14:paraId="7015CC76" w14:textId="77777777" w:rsidR="00A71349" w:rsidRPr="001144DD" w:rsidRDefault="00A71349" w:rsidP="004B0D37">
            <w:pPr>
              <w:cnfStyle w:val="000000000000" w:firstRow="0" w:lastRow="0" w:firstColumn="0" w:lastColumn="0" w:oddVBand="0" w:evenVBand="0" w:oddHBand="0" w:evenHBand="0" w:firstRowFirstColumn="0" w:firstRowLastColumn="0" w:lastRowFirstColumn="0" w:lastRowLastColumn="0"/>
              <w:rPr>
                <w:highlight w:val="yellow"/>
              </w:rPr>
            </w:pPr>
            <w:r w:rsidRPr="00363E5E">
              <w:t>R65, R66</w:t>
            </w:r>
          </w:p>
        </w:tc>
      </w:tr>
      <w:tr w:rsidR="00A71349" w:rsidRPr="00325267" w14:paraId="0AA0CC96" w14:textId="77777777" w:rsidTr="00A7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7AEE66" w14:textId="77777777" w:rsidR="00A71349" w:rsidRPr="00A71349" w:rsidRDefault="00A71349" w:rsidP="004B0D37">
            <w:pPr>
              <w:rPr>
                <w:color w:val="auto"/>
              </w:rPr>
            </w:pPr>
            <w:r w:rsidRPr="00A71349">
              <w:rPr>
                <w:color w:val="auto"/>
              </w:rPr>
              <w:t>Compliance framework</w:t>
            </w:r>
          </w:p>
        </w:tc>
        <w:tc>
          <w:tcPr>
            <w:tcW w:w="5471" w:type="dxa"/>
          </w:tcPr>
          <w:p w14:paraId="2E1899A5"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t>Implementation of the Shared Accountability Framework and reallocation of compliance responsibilities between Services Australia and providers, leading to lower suspensions and reduced administrative burden.</w:t>
            </w:r>
          </w:p>
        </w:tc>
        <w:tc>
          <w:tcPr>
            <w:tcW w:w="0" w:type="auto"/>
          </w:tcPr>
          <w:p w14:paraId="00CB1993" w14:textId="77777777" w:rsidR="00A71349" w:rsidRPr="001144DD" w:rsidRDefault="00A71349" w:rsidP="004B0D37">
            <w:pPr>
              <w:cnfStyle w:val="000000100000" w:firstRow="0" w:lastRow="0" w:firstColumn="0" w:lastColumn="0" w:oddVBand="0" w:evenVBand="0" w:oddHBand="1" w:evenHBand="0" w:firstRowFirstColumn="0" w:firstRowLastColumn="0" w:lastRowFirstColumn="0" w:lastRowLastColumn="0"/>
              <w:rPr>
                <w:highlight w:val="yellow"/>
              </w:rPr>
            </w:pPr>
            <w:r w:rsidRPr="00BA4BB7">
              <w:t>R56, R57, R62</w:t>
            </w:r>
          </w:p>
        </w:tc>
      </w:tr>
    </w:tbl>
    <w:tbl>
      <w:tblPr>
        <w:tblStyle w:val="GridTable4-Accent1"/>
        <w:tblW w:w="0" w:type="auto"/>
        <w:tblLook w:val="04A0" w:firstRow="1" w:lastRow="0" w:firstColumn="1" w:lastColumn="0" w:noHBand="0" w:noVBand="1"/>
      </w:tblPr>
      <w:tblGrid>
        <w:gridCol w:w="1843"/>
        <w:gridCol w:w="5467"/>
        <w:gridCol w:w="2092"/>
      </w:tblGrid>
      <w:tr w:rsidR="00A71349" w:rsidRPr="00325267" w14:paraId="41541F4E" w14:textId="77777777" w:rsidTr="00A71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73BBB7" w14:textId="5E699CCA" w:rsidR="00A71349" w:rsidRPr="00325267" w:rsidRDefault="00A71349" w:rsidP="004B0D37">
            <w:pPr>
              <w:rPr>
                <w:b w:val="0"/>
              </w:rPr>
            </w:pPr>
            <w:r w:rsidRPr="00325267">
              <w:t>Key component</w:t>
            </w:r>
            <w:r>
              <w:rPr>
                <w:bCs w:val="0"/>
              </w:rPr>
              <w:t xml:space="preserve"> – Service delivery</w:t>
            </w:r>
          </w:p>
        </w:tc>
        <w:tc>
          <w:tcPr>
            <w:tcW w:w="5467" w:type="dxa"/>
          </w:tcPr>
          <w:p w14:paraId="27F53758" w14:textId="77777777" w:rsidR="00A71349" w:rsidRPr="00325267" w:rsidRDefault="00A71349" w:rsidP="004B0D37">
            <w:pPr>
              <w:cnfStyle w:val="100000000000" w:firstRow="1" w:lastRow="0" w:firstColumn="0" w:lastColumn="0" w:oddVBand="0" w:evenVBand="0" w:oddHBand="0" w:evenHBand="0" w:firstRowFirstColumn="0" w:firstRowLastColumn="0" w:lastRowFirstColumn="0" w:lastRowLastColumn="0"/>
              <w:rPr>
                <w:b w:val="0"/>
              </w:rPr>
            </w:pPr>
            <w:r>
              <w:t>Description</w:t>
            </w:r>
          </w:p>
        </w:tc>
        <w:tc>
          <w:tcPr>
            <w:tcW w:w="0" w:type="auto"/>
          </w:tcPr>
          <w:p w14:paraId="0558F8F9" w14:textId="77777777" w:rsidR="00A71349" w:rsidRPr="00325267" w:rsidRDefault="00A71349" w:rsidP="004B0D37">
            <w:pPr>
              <w:cnfStyle w:val="100000000000" w:firstRow="1" w:lastRow="0" w:firstColumn="0" w:lastColumn="0" w:oddVBand="0" w:evenVBand="0" w:oddHBand="0" w:evenHBand="0" w:firstRowFirstColumn="0" w:firstRowLastColumn="0" w:lastRowFirstColumn="0" w:lastRowLastColumn="0"/>
              <w:rPr>
                <w:b w:val="0"/>
              </w:rPr>
            </w:pPr>
            <w:r>
              <w:t>Hill Review recommendations</w:t>
            </w:r>
          </w:p>
        </w:tc>
      </w:tr>
      <w:tr w:rsidR="00A71349" w:rsidRPr="00325267" w14:paraId="66CD5B7B" w14:textId="77777777" w:rsidTr="00A7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E4EA8A" w14:textId="77777777" w:rsidR="00A71349" w:rsidRPr="00325267" w:rsidRDefault="00A71349" w:rsidP="004B0D37">
            <w:r w:rsidRPr="00325267">
              <w:t>Regional hubs</w:t>
            </w:r>
          </w:p>
        </w:tc>
        <w:tc>
          <w:tcPr>
            <w:tcW w:w="5467" w:type="dxa"/>
          </w:tcPr>
          <w:p w14:paraId="69066435"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rsidRPr="00A87A0E">
              <w:t>Local centres</w:t>
            </w:r>
            <w:r>
              <w:t xml:space="preserve"> in an expanded number of service regions</w:t>
            </w:r>
            <w:r w:rsidRPr="00A87A0E">
              <w:t xml:space="preserve"> operated by the ESA serving as gateways for clients seeking employment services, managing a new system for assessment</w:t>
            </w:r>
            <w:r>
              <w:t xml:space="preserve"> </w:t>
            </w:r>
            <w:r w:rsidRPr="00A87A0E">
              <w:t>and referral of jobseekers. Also responsible for coordinating local initiatives, and employer engagement.</w:t>
            </w:r>
          </w:p>
        </w:tc>
        <w:tc>
          <w:tcPr>
            <w:tcW w:w="0" w:type="auto"/>
          </w:tcPr>
          <w:p w14:paraId="353F2850" w14:textId="77777777" w:rsidR="00A71349" w:rsidRPr="00930CC7" w:rsidRDefault="00A71349" w:rsidP="004B0D37">
            <w:pPr>
              <w:cnfStyle w:val="000000100000" w:firstRow="0" w:lastRow="0" w:firstColumn="0" w:lastColumn="0" w:oddVBand="0" w:evenVBand="0" w:oddHBand="1" w:evenHBand="0" w:firstRowFirstColumn="0" w:firstRowLastColumn="0" w:lastRowFirstColumn="0" w:lastRowLastColumn="0"/>
            </w:pPr>
            <w:r w:rsidRPr="005B06B9">
              <w:t>R1, R29, R45, R46, R66, R74</w:t>
            </w:r>
          </w:p>
          <w:p w14:paraId="52FA48F2" w14:textId="77777777" w:rsidR="00A71349" w:rsidRPr="001144DD" w:rsidRDefault="00A71349" w:rsidP="004B0D37">
            <w:pPr>
              <w:cnfStyle w:val="000000100000" w:firstRow="0" w:lastRow="0" w:firstColumn="0" w:lastColumn="0" w:oddVBand="0" w:evenVBand="0" w:oddHBand="1" w:evenHBand="0" w:firstRowFirstColumn="0" w:firstRowLastColumn="0" w:lastRowFirstColumn="0" w:lastRowLastColumn="0"/>
              <w:rPr>
                <w:highlight w:val="yellow"/>
              </w:rPr>
            </w:pPr>
          </w:p>
        </w:tc>
      </w:tr>
      <w:tr w:rsidR="00A71349" w:rsidRPr="00325267" w14:paraId="57D1C124" w14:textId="77777777" w:rsidTr="00A71349">
        <w:tc>
          <w:tcPr>
            <w:cnfStyle w:val="001000000000" w:firstRow="0" w:lastRow="0" w:firstColumn="1" w:lastColumn="0" w:oddVBand="0" w:evenVBand="0" w:oddHBand="0" w:evenHBand="0" w:firstRowFirstColumn="0" w:firstRowLastColumn="0" w:lastRowFirstColumn="0" w:lastRowLastColumn="0"/>
            <w:tcW w:w="1843" w:type="dxa"/>
          </w:tcPr>
          <w:p w14:paraId="6F3B6947" w14:textId="77777777" w:rsidR="00A71349" w:rsidRPr="00325267" w:rsidRDefault="00A71349" w:rsidP="004B0D37">
            <w:r w:rsidRPr="00325267">
              <w:t>Digital platform</w:t>
            </w:r>
          </w:p>
        </w:tc>
        <w:tc>
          <w:tcPr>
            <w:tcW w:w="5467" w:type="dxa"/>
          </w:tcPr>
          <w:p w14:paraId="5542C2B3" w14:textId="77777777" w:rsidR="00A71349" w:rsidRPr="00325267" w:rsidRDefault="00A71349" w:rsidP="004B0D37">
            <w:pPr>
              <w:cnfStyle w:val="000000000000" w:firstRow="0" w:lastRow="0" w:firstColumn="0" w:lastColumn="0" w:oddVBand="0" w:evenVBand="0" w:oddHBand="0" w:evenHBand="0" w:firstRowFirstColumn="0" w:firstRowLastColumn="0" w:lastRowFirstColumn="0" w:lastRowLastColumn="0"/>
            </w:pPr>
            <w:r>
              <w:t>An upgraded IT platform that enables better job matching using analytics for jobseekers and better connects providers to government and reduces their administrative burden.</w:t>
            </w:r>
          </w:p>
        </w:tc>
        <w:tc>
          <w:tcPr>
            <w:tcW w:w="0" w:type="auto"/>
          </w:tcPr>
          <w:p w14:paraId="7D343B3E" w14:textId="77777777" w:rsidR="00A71349" w:rsidRPr="0023587F" w:rsidRDefault="00A71349" w:rsidP="004B0D37">
            <w:pPr>
              <w:cnfStyle w:val="000000000000" w:firstRow="0" w:lastRow="0" w:firstColumn="0" w:lastColumn="0" w:oddVBand="0" w:evenVBand="0" w:oddHBand="0" w:evenHBand="0" w:firstRowFirstColumn="0" w:firstRowLastColumn="0" w:lastRowFirstColumn="0" w:lastRowLastColumn="0"/>
            </w:pPr>
            <w:r w:rsidRPr="0023587F">
              <w:t>R17, R18, R26, R36, R39</w:t>
            </w:r>
          </w:p>
        </w:tc>
      </w:tr>
      <w:tr w:rsidR="00A71349" w:rsidRPr="00325267" w14:paraId="3225EC8C" w14:textId="77777777" w:rsidTr="00A7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4EB7997" w14:textId="77777777" w:rsidR="00A71349" w:rsidRPr="00325267" w:rsidRDefault="00A71349" w:rsidP="004B0D37">
            <w:r w:rsidRPr="00325267">
              <w:t>Delivered by public sector</w:t>
            </w:r>
          </w:p>
        </w:tc>
        <w:tc>
          <w:tcPr>
            <w:tcW w:w="5467" w:type="dxa"/>
          </w:tcPr>
          <w:p w14:paraId="78A464D4"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rsidRPr="00325267">
              <w:t xml:space="preserve">The ESA </w:t>
            </w:r>
            <w:r>
              <w:t xml:space="preserve">leads and </w:t>
            </w:r>
            <w:r w:rsidRPr="00325267">
              <w:t>directly provides support for clients furthest from the labour market and priority cohorts such as First Nations Australians, Culturally and Linguistically Diverse (CALD) individuals and ex-offenders. This role may involve complex case management, including referral to other services such as mental health and homelessness services.</w:t>
            </w:r>
          </w:p>
        </w:tc>
        <w:tc>
          <w:tcPr>
            <w:tcW w:w="0" w:type="auto"/>
          </w:tcPr>
          <w:p w14:paraId="55BD0416" w14:textId="77777777" w:rsidR="00A71349" w:rsidRPr="00930CC7" w:rsidRDefault="00A71349" w:rsidP="004B0D37">
            <w:pPr>
              <w:cnfStyle w:val="000000100000" w:firstRow="0" w:lastRow="0" w:firstColumn="0" w:lastColumn="0" w:oddVBand="0" w:evenVBand="0" w:oddHBand="1" w:evenHBand="0" w:firstRowFirstColumn="0" w:firstRowLastColumn="0" w:lastRowFirstColumn="0" w:lastRowLastColumn="0"/>
            </w:pPr>
            <w:r w:rsidRPr="00C74B59">
              <w:t>R8, R10, R62</w:t>
            </w:r>
          </w:p>
          <w:p w14:paraId="4F52AF8F" w14:textId="77777777" w:rsidR="00A71349" w:rsidRPr="001144DD" w:rsidRDefault="00A71349" w:rsidP="004B0D37">
            <w:pPr>
              <w:cnfStyle w:val="000000100000" w:firstRow="0" w:lastRow="0" w:firstColumn="0" w:lastColumn="0" w:oddVBand="0" w:evenVBand="0" w:oddHBand="1" w:evenHBand="0" w:firstRowFirstColumn="0" w:firstRowLastColumn="0" w:lastRowFirstColumn="0" w:lastRowLastColumn="0"/>
              <w:rPr>
                <w:highlight w:val="yellow"/>
              </w:rPr>
            </w:pPr>
          </w:p>
        </w:tc>
      </w:tr>
      <w:tr w:rsidR="00A71349" w:rsidRPr="00325267" w14:paraId="72A08BC4" w14:textId="77777777" w:rsidTr="00A71349">
        <w:tc>
          <w:tcPr>
            <w:cnfStyle w:val="001000000000" w:firstRow="0" w:lastRow="0" w:firstColumn="1" w:lastColumn="0" w:oddVBand="0" w:evenVBand="0" w:oddHBand="0" w:evenHBand="0" w:firstRowFirstColumn="0" w:firstRowLastColumn="0" w:lastRowFirstColumn="0" w:lastRowLastColumn="0"/>
            <w:tcW w:w="1843" w:type="dxa"/>
          </w:tcPr>
          <w:p w14:paraId="73F08A67" w14:textId="77777777" w:rsidR="00A71349" w:rsidRPr="00325267" w:rsidRDefault="00A71349" w:rsidP="004B0D37">
            <w:r w:rsidRPr="00325267">
              <w:lastRenderedPageBreak/>
              <w:t>Delivered by partners</w:t>
            </w:r>
          </w:p>
        </w:tc>
        <w:tc>
          <w:tcPr>
            <w:tcW w:w="5467" w:type="dxa"/>
          </w:tcPr>
          <w:p w14:paraId="6DFA7F8F" w14:textId="77777777" w:rsidR="00A71349" w:rsidRDefault="00A71349" w:rsidP="004B0D37">
            <w:pPr>
              <w:cnfStyle w:val="000000000000" w:firstRow="0" w:lastRow="0" w:firstColumn="0" w:lastColumn="0" w:oddVBand="0" w:evenVBand="0" w:oddHBand="0" w:evenHBand="0" w:firstRowFirstColumn="0" w:firstRowLastColumn="0" w:lastRowFirstColumn="0" w:lastRowLastColumn="0"/>
            </w:pPr>
            <w:r>
              <w:t>To replace the current competitive commissioning model, o</w:t>
            </w:r>
            <w:r w:rsidRPr="00325267">
              <w:t xml:space="preserve">ne generalist and one </w:t>
            </w:r>
            <w:r>
              <w:t>youth</w:t>
            </w:r>
            <w:r w:rsidRPr="00325267">
              <w:t xml:space="preserve"> provider per </w:t>
            </w:r>
            <w:r>
              <w:t xml:space="preserve">region, plus specialist providers. </w:t>
            </w:r>
          </w:p>
          <w:p w14:paraId="3DFC91C0" w14:textId="77777777" w:rsidR="00A71349" w:rsidRDefault="00A71349" w:rsidP="004B0D37">
            <w:pPr>
              <w:cnfStyle w:val="000000000000" w:firstRow="0" w:lastRow="0" w:firstColumn="0" w:lastColumn="0" w:oddVBand="0" w:evenVBand="0" w:oddHBand="0" w:evenHBand="0" w:firstRowFirstColumn="0" w:firstRowLastColumn="0" w:lastRowFirstColumn="0" w:lastRowLastColumn="0"/>
            </w:pPr>
            <w:r>
              <w:t>Payment structure to providers is revised so that upfront payments form a larger proportion of total payments to providers (less focus on outcome payments). Additional payments are also required support delivering higher-quality services by:</w:t>
            </w:r>
          </w:p>
          <w:p w14:paraId="1D7055E2" w14:textId="77777777" w:rsidR="00A71349" w:rsidRDefault="00A71349" w:rsidP="004B0D37">
            <w:pPr>
              <w:pStyle w:val="Bullet1"/>
              <w:cnfStyle w:val="000000000000" w:firstRow="0" w:lastRow="0" w:firstColumn="0" w:lastColumn="0" w:oddVBand="0" w:evenVBand="0" w:oddHBand="0" w:evenHBand="0" w:firstRowFirstColumn="0" w:firstRowLastColumn="0" w:lastRowFirstColumn="0" w:lastRowLastColumn="0"/>
            </w:pPr>
            <w:r>
              <w:t>Hiring more case workers to reduce case ratios</w:t>
            </w:r>
          </w:p>
          <w:p w14:paraId="799B7E7D" w14:textId="77777777" w:rsidR="00A71349" w:rsidRPr="00022C5A" w:rsidRDefault="00A71349" w:rsidP="004B0D37">
            <w:pPr>
              <w:pStyle w:val="Bullet1"/>
              <w:cnfStyle w:val="000000000000" w:firstRow="0" w:lastRow="0" w:firstColumn="0" w:lastColumn="0" w:oddVBand="0" w:evenVBand="0" w:oddHBand="0" w:evenHBand="0" w:firstRowFirstColumn="0" w:firstRowLastColumn="0" w:lastRowFirstColumn="0" w:lastRowLastColumn="0"/>
            </w:pPr>
            <w:r>
              <w:t>Offering more competitive salaries to reduce staff turnover and re-professionalise the workforce.</w:t>
            </w:r>
          </w:p>
        </w:tc>
        <w:tc>
          <w:tcPr>
            <w:tcW w:w="0" w:type="auto"/>
          </w:tcPr>
          <w:p w14:paraId="5D5074E0" w14:textId="77777777" w:rsidR="00A71349" w:rsidRPr="00720AFF" w:rsidRDefault="00A71349" w:rsidP="004B0D37">
            <w:pPr>
              <w:cnfStyle w:val="000000000000" w:firstRow="0" w:lastRow="0" w:firstColumn="0" w:lastColumn="0" w:oddVBand="0" w:evenVBand="0" w:oddHBand="0" w:evenHBand="0" w:firstRowFirstColumn="0" w:firstRowLastColumn="0" w:lastRowFirstColumn="0" w:lastRowLastColumn="0"/>
            </w:pPr>
            <w:r w:rsidRPr="00720AFF">
              <w:t>R11, R14, R70</w:t>
            </w:r>
          </w:p>
        </w:tc>
      </w:tr>
      <w:tr w:rsidR="00A71349" w:rsidRPr="00325267" w14:paraId="4881A8C7" w14:textId="77777777" w:rsidTr="00A7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1EC89B" w14:textId="77777777" w:rsidR="00A71349" w:rsidRPr="00325267" w:rsidDel="005E707E" w:rsidRDefault="00A71349" w:rsidP="004B0D37">
            <w:r w:rsidRPr="00325267">
              <w:t>Active Labour Market Programs</w:t>
            </w:r>
            <w:r>
              <w:t xml:space="preserve"> </w:t>
            </w:r>
          </w:p>
        </w:tc>
        <w:tc>
          <w:tcPr>
            <w:tcW w:w="5467" w:type="dxa"/>
          </w:tcPr>
          <w:p w14:paraId="7C029315"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rsidRPr="00595BDD">
              <w:t>Complementary programs consolidated, with effective programs enhanced. Tailored service model includes pre-employment supports,</w:t>
            </w:r>
            <w:r>
              <w:t xml:space="preserve"> </w:t>
            </w:r>
            <w:r w:rsidRPr="00595BDD">
              <w:t>vocational training, career progression assistance, and employer-focused services. Some current programs may cease or be adapted (e.g.,</w:t>
            </w:r>
            <w:r>
              <w:t xml:space="preserve"> </w:t>
            </w:r>
            <w:r w:rsidRPr="00595BDD">
              <w:t>Local Jobs, Employability Skills Training).</w:t>
            </w:r>
          </w:p>
        </w:tc>
        <w:tc>
          <w:tcPr>
            <w:tcW w:w="0" w:type="auto"/>
          </w:tcPr>
          <w:p w14:paraId="09D1965A" w14:textId="77777777" w:rsidR="00A71349" w:rsidRPr="00F22E31" w:rsidDel="0074435C" w:rsidRDefault="00A71349" w:rsidP="004B0D37">
            <w:pPr>
              <w:cnfStyle w:val="000000100000" w:firstRow="0" w:lastRow="0" w:firstColumn="0" w:lastColumn="0" w:oddVBand="0" w:evenVBand="0" w:oddHBand="1" w:evenHBand="0" w:firstRowFirstColumn="0" w:firstRowLastColumn="0" w:lastRowFirstColumn="0" w:lastRowLastColumn="0"/>
            </w:pPr>
            <w:r w:rsidRPr="00F22E31">
              <w:t>R47, R48, R52</w:t>
            </w:r>
          </w:p>
        </w:tc>
      </w:tr>
    </w:tbl>
    <w:tbl>
      <w:tblPr>
        <w:tblStyle w:val="GridTable4-Accent4"/>
        <w:tblW w:w="0" w:type="auto"/>
        <w:tblLook w:val="04A0" w:firstRow="1" w:lastRow="0" w:firstColumn="1" w:lastColumn="0" w:noHBand="0" w:noVBand="1"/>
      </w:tblPr>
      <w:tblGrid>
        <w:gridCol w:w="1838"/>
        <w:gridCol w:w="5528"/>
        <w:gridCol w:w="2036"/>
      </w:tblGrid>
      <w:tr w:rsidR="00A71349" w:rsidRPr="00325267" w14:paraId="09D67698" w14:textId="77777777" w:rsidTr="00A71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EA688D" w14:textId="788230F3" w:rsidR="00A71349" w:rsidRPr="00325267" w:rsidRDefault="00A71349" w:rsidP="004B0D37">
            <w:pPr>
              <w:rPr>
                <w:b w:val="0"/>
              </w:rPr>
            </w:pPr>
            <w:r w:rsidRPr="00325267">
              <w:t>Key component</w:t>
            </w:r>
            <w:r>
              <w:rPr>
                <w:bCs w:val="0"/>
              </w:rPr>
              <w:t xml:space="preserve"> – Regulation</w:t>
            </w:r>
          </w:p>
        </w:tc>
        <w:tc>
          <w:tcPr>
            <w:tcW w:w="5528" w:type="dxa"/>
          </w:tcPr>
          <w:p w14:paraId="79B9CCA6" w14:textId="77777777" w:rsidR="00A71349" w:rsidRPr="00325267" w:rsidRDefault="00A71349" w:rsidP="004B0D37">
            <w:pPr>
              <w:cnfStyle w:val="100000000000" w:firstRow="1" w:lastRow="0" w:firstColumn="0" w:lastColumn="0" w:oddVBand="0" w:evenVBand="0" w:oddHBand="0" w:evenHBand="0" w:firstRowFirstColumn="0" w:firstRowLastColumn="0" w:lastRowFirstColumn="0" w:lastRowLastColumn="0"/>
              <w:rPr>
                <w:b w:val="0"/>
              </w:rPr>
            </w:pPr>
            <w:r>
              <w:t>Description</w:t>
            </w:r>
          </w:p>
        </w:tc>
        <w:tc>
          <w:tcPr>
            <w:tcW w:w="2036" w:type="dxa"/>
          </w:tcPr>
          <w:p w14:paraId="67ECFDEE" w14:textId="77777777" w:rsidR="00A71349" w:rsidRPr="00325267" w:rsidRDefault="00A71349" w:rsidP="004B0D37">
            <w:pPr>
              <w:cnfStyle w:val="100000000000" w:firstRow="1" w:lastRow="0" w:firstColumn="0" w:lastColumn="0" w:oddVBand="0" w:evenVBand="0" w:oddHBand="0" w:evenHBand="0" w:firstRowFirstColumn="0" w:firstRowLastColumn="0" w:lastRowFirstColumn="0" w:lastRowLastColumn="0"/>
              <w:rPr>
                <w:b w:val="0"/>
              </w:rPr>
            </w:pPr>
            <w:r>
              <w:t>Hill Review recommendations</w:t>
            </w:r>
          </w:p>
        </w:tc>
      </w:tr>
      <w:tr w:rsidR="00A71349" w:rsidRPr="00325267" w14:paraId="29C961EF" w14:textId="77777777" w:rsidTr="00A7134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38" w:type="dxa"/>
          </w:tcPr>
          <w:p w14:paraId="4AD57AC5" w14:textId="77777777" w:rsidR="00A71349" w:rsidRPr="00325267" w:rsidRDefault="00A71349" w:rsidP="004B0D37">
            <w:r w:rsidRPr="00325267">
              <w:t>Employment services Quality Commission (ESQC)</w:t>
            </w:r>
          </w:p>
        </w:tc>
        <w:tc>
          <w:tcPr>
            <w:tcW w:w="5528" w:type="dxa"/>
          </w:tcPr>
          <w:p w14:paraId="7AD3B12D" w14:textId="77777777" w:rsidR="00A71349" w:rsidRPr="00325267" w:rsidRDefault="00A71349" w:rsidP="004B0D37">
            <w:pPr>
              <w:cnfStyle w:val="000000100000" w:firstRow="0" w:lastRow="0" w:firstColumn="0" w:lastColumn="0" w:oddVBand="0" w:evenVBand="0" w:oddHBand="1" w:evenHBand="0" w:firstRowFirstColumn="0" w:firstRowLastColumn="0" w:lastRowFirstColumn="0" w:lastRowLastColumn="0"/>
            </w:pPr>
            <w:r w:rsidRPr="00325267">
              <w:t>Independent regulator who will monitor and evaluate the performance of the new system.</w:t>
            </w:r>
          </w:p>
        </w:tc>
        <w:tc>
          <w:tcPr>
            <w:tcW w:w="2036" w:type="dxa"/>
          </w:tcPr>
          <w:p w14:paraId="264114D8" w14:textId="77777777" w:rsidR="00A71349" w:rsidRPr="001144DD" w:rsidRDefault="00A71349" w:rsidP="004B0D37">
            <w:pPr>
              <w:cnfStyle w:val="000000100000" w:firstRow="0" w:lastRow="0" w:firstColumn="0" w:lastColumn="0" w:oddVBand="0" w:evenVBand="0" w:oddHBand="1" w:evenHBand="0" w:firstRowFirstColumn="0" w:firstRowLastColumn="0" w:lastRowFirstColumn="0" w:lastRowLastColumn="0"/>
              <w:rPr>
                <w:highlight w:val="yellow"/>
              </w:rPr>
            </w:pPr>
            <w:r w:rsidRPr="00700D22">
              <w:t>R15, R22, R25, R70</w:t>
            </w:r>
          </w:p>
        </w:tc>
      </w:tr>
    </w:tbl>
    <w:p w14:paraId="2685A9C3" w14:textId="6F2B3BF6" w:rsidR="004945B0" w:rsidRDefault="005E504D" w:rsidP="004945B0">
      <w:r w:rsidRPr="00CC5B80">
        <w:t xml:space="preserve">The remaining </w:t>
      </w:r>
      <w:r w:rsidRPr="00661614">
        <w:t>4</w:t>
      </w:r>
      <w:r w:rsidR="00661614" w:rsidRPr="00661614">
        <w:t>6</w:t>
      </w:r>
      <w:r w:rsidRPr="00CC5B80">
        <w:t xml:space="preserve"> Hill Review recommendations were </w:t>
      </w:r>
      <w:r w:rsidR="0037143A">
        <w:t>agreed to be considered out of scope for this modelling</w:t>
      </w:r>
      <w:r w:rsidR="00740FA3">
        <w:t>.</w:t>
      </w:r>
      <w:r w:rsidR="00CE42A5">
        <w:t xml:space="preserve"> Some of the more significant of these </w:t>
      </w:r>
      <w:r w:rsidR="00740FA3">
        <w:t>include</w:t>
      </w:r>
      <w:r w:rsidR="004945B0">
        <w:t>:</w:t>
      </w:r>
    </w:p>
    <w:p w14:paraId="53D28487" w14:textId="54DA950B" w:rsidR="00204FF5" w:rsidRDefault="00204FF5" w:rsidP="00CE42A5">
      <w:pPr>
        <w:pStyle w:val="Bullet1"/>
      </w:pPr>
      <w:r>
        <w:t>The modelling considers the cost if financial year 2024-25 caseloads and participants were serviced under the reformed system as if it were in place. How caseloads may change under a reformed system has not been modelled</w:t>
      </w:r>
      <w:r w:rsidR="00771319">
        <w:t>.</w:t>
      </w:r>
    </w:p>
    <w:p w14:paraId="7E0FB209" w14:textId="285E9CFC" w:rsidR="0044260D" w:rsidRDefault="00CE42A5" w:rsidP="00CE42A5">
      <w:pPr>
        <w:pStyle w:val="Bullet2"/>
      </w:pPr>
      <w:r>
        <w:t>Recommendation 2 of the Hill Review proposes to expand the eligibility criteria to extend support to all permanent residents in need of employment services beyond the subset receiving income support. This would place upwards pressure on caseloads</w:t>
      </w:r>
      <w:r w:rsidR="004453F9">
        <w:t xml:space="preserve"> and costs</w:t>
      </w:r>
      <w:r>
        <w:t xml:space="preserve"> which ha</w:t>
      </w:r>
      <w:r w:rsidR="00F81E02">
        <w:t>s</w:t>
      </w:r>
      <w:r>
        <w:t xml:space="preserve"> not been considered.</w:t>
      </w:r>
    </w:p>
    <w:p w14:paraId="70CE5DAD" w14:textId="67E98BE4" w:rsidR="004945B0" w:rsidRDefault="00BB6AE0" w:rsidP="0044260D">
      <w:pPr>
        <w:pStyle w:val="Bullet2"/>
      </w:pPr>
      <w:r>
        <w:t xml:space="preserve">No allowance has been made for the </w:t>
      </w:r>
      <w:r w:rsidR="004453F9">
        <w:t xml:space="preserve">positive </w:t>
      </w:r>
      <w:r>
        <w:t xml:space="preserve">impact of a more effective </w:t>
      </w:r>
      <w:r w:rsidR="004945B0">
        <w:t>system</w:t>
      </w:r>
      <w:r w:rsidR="00864052">
        <w:t xml:space="preserve"> on </w:t>
      </w:r>
      <w:r w:rsidR="004945B0">
        <w:t>caseloads</w:t>
      </w:r>
      <w:r w:rsidR="0059257B">
        <w:t xml:space="preserve">, including the extent to which </w:t>
      </w:r>
      <w:r w:rsidR="004453F9">
        <w:t xml:space="preserve">less </w:t>
      </w:r>
      <w:r w:rsidR="0059257B">
        <w:t xml:space="preserve">participants </w:t>
      </w:r>
      <w:r w:rsidR="004453F9">
        <w:t xml:space="preserve">have unsuccessful </w:t>
      </w:r>
      <w:r w:rsidR="00015B56">
        <w:t xml:space="preserve">employment </w:t>
      </w:r>
      <w:r w:rsidR="004453F9">
        <w:t>outcomes and re-enter the system</w:t>
      </w:r>
      <w:r w:rsidR="004945B0">
        <w:t>.</w:t>
      </w:r>
      <w:r w:rsidR="008447BA">
        <w:t xml:space="preserve"> This would place </w:t>
      </w:r>
      <w:r w:rsidR="00F81E02">
        <w:t>downwards</w:t>
      </w:r>
      <w:r w:rsidR="008447BA">
        <w:t xml:space="preserve"> pressure on caseloads</w:t>
      </w:r>
      <w:r w:rsidR="004453F9">
        <w:t xml:space="preserve"> and costs</w:t>
      </w:r>
      <w:r w:rsidR="008447BA">
        <w:t xml:space="preserve"> which ha</w:t>
      </w:r>
      <w:r w:rsidR="00F81E02">
        <w:t>s</w:t>
      </w:r>
      <w:r w:rsidR="008447BA">
        <w:t xml:space="preserve"> not been considered.</w:t>
      </w:r>
    </w:p>
    <w:p w14:paraId="380983FD" w14:textId="0E710324" w:rsidR="007418B2" w:rsidRPr="007418B2" w:rsidRDefault="00EE28BD" w:rsidP="00255A25">
      <w:pPr>
        <w:pStyle w:val="Bullet1"/>
      </w:pPr>
      <w:proofErr w:type="gramStart"/>
      <w:r>
        <w:t>How</w:t>
      </w:r>
      <w:proofErr w:type="gramEnd"/>
      <w:r w:rsidR="00C3324F">
        <w:t xml:space="preserve"> </w:t>
      </w:r>
      <w:r w:rsidR="006B78F1">
        <w:t xml:space="preserve">broader </w:t>
      </w:r>
      <w:r w:rsidR="00CA75DD">
        <w:t xml:space="preserve">service delivery by other Departments and agencies would </w:t>
      </w:r>
      <w:r w:rsidR="00B35877">
        <w:t xml:space="preserve">need to </w:t>
      </w:r>
      <w:r w:rsidR="00CA75DD">
        <w:t xml:space="preserve">change in response </w:t>
      </w:r>
      <w:r w:rsidR="00CD2543">
        <w:t xml:space="preserve">to </w:t>
      </w:r>
      <w:r w:rsidR="00CA75DD">
        <w:t>and to compl</w:t>
      </w:r>
      <w:r w:rsidR="00B82E4E">
        <w:t>e</w:t>
      </w:r>
      <w:r w:rsidR="00CA75DD">
        <w:t xml:space="preserve">ment the new employment services system </w:t>
      </w:r>
      <w:r w:rsidR="00B1611F">
        <w:t>is not includ</w:t>
      </w:r>
      <w:r w:rsidR="00F1300D">
        <w:t>ed</w:t>
      </w:r>
      <w:r w:rsidR="00B1611F">
        <w:t xml:space="preserve"> in our modelling. For example,</w:t>
      </w:r>
      <w:r w:rsidR="00F1300D">
        <w:t xml:space="preserve"> </w:t>
      </w:r>
      <w:r w:rsidR="00450A56">
        <w:t xml:space="preserve">we have not allowed for </w:t>
      </w:r>
      <w:r w:rsidR="00086E28">
        <w:t xml:space="preserve">the government implementing </w:t>
      </w:r>
      <w:r w:rsidR="00A67715">
        <w:t xml:space="preserve">measures to embed pre-employment and vocational supports </w:t>
      </w:r>
      <w:r w:rsidR="008B629A">
        <w:t>within human services like mental health</w:t>
      </w:r>
      <w:r w:rsidR="001E6C0A">
        <w:t xml:space="preserve">, homelessness and family violence services </w:t>
      </w:r>
      <w:r w:rsidR="00EA2D3B">
        <w:t>(</w:t>
      </w:r>
      <w:r w:rsidR="001B4316">
        <w:t>R</w:t>
      </w:r>
      <w:r w:rsidR="00EA2D3B">
        <w:t>ecommendation 9).</w:t>
      </w:r>
      <w:r w:rsidR="00B1611F">
        <w:t xml:space="preserve"> </w:t>
      </w:r>
    </w:p>
    <w:p w14:paraId="22BADFEE" w14:textId="4B8419BE" w:rsidR="00D800CC" w:rsidRDefault="004945B0" w:rsidP="006C3E65">
      <w:pPr>
        <w:pStyle w:val="Bullet1"/>
        <w:spacing w:before="240"/>
      </w:pPr>
      <w:r>
        <w:t xml:space="preserve">The modelling focuses on the financial cost of </w:t>
      </w:r>
      <w:r w:rsidRPr="0034598D">
        <w:t xml:space="preserve">a new approach to employment services. </w:t>
      </w:r>
      <w:r w:rsidR="004453F9" w:rsidRPr="0034598D">
        <w:t xml:space="preserve">While </w:t>
      </w:r>
      <w:r w:rsidR="004453F9">
        <w:t>the recommendations of the Hill Review</w:t>
      </w:r>
      <w:r w:rsidR="00D800CC">
        <w:t xml:space="preserve"> to </w:t>
      </w:r>
      <w:r w:rsidR="00D800CC" w:rsidRPr="0034598D">
        <w:t xml:space="preserve">shift away from the focus </w:t>
      </w:r>
      <w:r w:rsidR="00D800CC">
        <w:t>on</w:t>
      </w:r>
      <w:r w:rsidR="00D800CC" w:rsidRPr="0034598D">
        <w:t xml:space="preserve"> rapid job placement and plac</w:t>
      </w:r>
      <w:r w:rsidR="00D800CC">
        <w:t>ing</w:t>
      </w:r>
      <w:r w:rsidR="00D800CC" w:rsidRPr="0034598D">
        <w:t xml:space="preserve"> greater emphasis on secure employment</w:t>
      </w:r>
      <w:r w:rsidR="00D800CC">
        <w:t xml:space="preserve"> are generally expansionary (</w:t>
      </w:r>
      <w:proofErr w:type="gramStart"/>
      <w:r w:rsidR="00D800CC">
        <w:t>with regard to</w:t>
      </w:r>
      <w:proofErr w:type="gramEnd"/>
      <w:r w:rsidR="00D800CC">
        <w:t xml:space="preserve"> the servicing effort and associated cost)</w:t>
      </w:r>
      <w:r w:rsidRPr="0034598D">
        <w:t xml:space="preserve">, the expected economic and social benefits that </w:t>
      </w:r>
      <w:r w:rsidR="00D800CC">
        <w:t>result</w:t>
      </w:r>
      <w:r w:rsidRPr="0034598D">
        <w:t xml:space="preserve"> </w:t>
      </w:r>
      <w:r w:rsidR="00D800CC">
        <w:t xml:space="preserve">could be significant. </w:t>
      </w:r>
      <w:r w:rsidR="00D800CC">
        <w:lastRenderedPageBreak/>
        <w:t>M</w:t>
      </w:r>
      <w:r w:rsidR="00807496">
        <w:t>ost materially,</w:t>
      </w:r>
      <w:r w:rsidR="00D800CC">
        <w:t xml:space="preserve"> this includes</w:t>
      </w:r>
      <w:r w:rsidR="00807496">
        <w:t xml:space="preserve"> </w:t>
      </w:r>
      <w:r w:rsidR="004453F9">
        <w:t>the</w:t>
      </w:r>
      <w:r w:rsidR="004453F9" w:rsidRPr="0034598D">
        <w:t xml:space="preserve"> </w:t>
      </w:r>
      <w:r w:rsidRPr="0034598D">
        <w:t>reduction</w:t>
      </w:r>
      <w:r w:rsidR="004453F9">
        <w:t>s</w:t>
      </w:r>
      <w:r w:rsidRPr="0034598D">
        <w:t xml:space="preserve"> in welfare expenditure, increase</w:t>
      </w:r>
      <w:r w:rsidR="004453F9">
        <w:t xml:space="preserve">s in </w:t>
      </w:r>
      <w:r w:rsidRPr="0034598D">
        <w:t xml:space="preserve">tax revenues, </w:t>
      </w:r>
      <w:r w:rsidR="004453F9">
        <w:t>and</w:t>
      </w:r>
      <w:r w:rsidR="00BA2172">
        <w:t xml:space="preserve"> social benefits from</w:t>
      </w:r>
      <w:r w:rsidRPr="0034598D">
        <w:t xml:space="preserve"> gainful employment.</w:t>
      </w:r>
      <w:r w:rsidR="00D800CC">
        <w:t xml:space="preserve"> The quantification of these benefits was not part of the scope of this </w:t>
      </w:r>
      <w:proofErr w:type="gramStart"/>
      <w:r w:rsidR="00D800CC">
        <w:t>report,</w:t>
      </w:r>
      <w:proofErr w:type="gramEnd"/>
      <w:r w:rsidR="00D800CC">
        <w:t xml:space="preserve"> however further work should be done to calculate these benefits to assess the cost-benefit of a reformed system.</w:t>
      </w:r>
    </w:p>
    <w:p w14:paraId="1638078B" w14:textId="36E94EEC" w:rsidR="003106EC" w:rsidRDefault="007F3BA4" w:rsidP="002C35C3">
      <w:pPr>
        <w:pStyle w:val="Bullet1"/>
        <w:spacing w:before="240"/>
      </w:pPr>
      <w:r>
        <w:t xml:space="preserve">The scope of this </w:t>
      </w:r>
      <w:r w:rsidR="00542280">
        <w:t xml:space="preserve">cost modelling </w:t>
      </w:r>
      <w:r>
        <w:t xml:space="preserve">is </w:t>
      </w:r>
      <w:r w:rsidR="00D40C6E">
        <w:t>focuse</w:t>
      </w:r>
      <w:r>
        <w:t>d</w:t>
      </w:r>
      <w:r w:rsidR="00D40C6E">
        <w:t xml:space="preserve"> on a new system operating at maturity (</w:t>
      </w:r>
      <w:r w:rsidR="00782D0B">
        <w:t>given 2024-25 caseloads)</w:t>
      </w:r>
      <w:r>
        <w:t xml:space="preserve">, with limited </w:t>
      </w:r>
      <w:r w:rsidR="00782D0B">
        <w:t xml:space="preserve">commentary </w:t>
      </w:r>
      <w:r w:rsidR="00E71361">
        <w:t xml:space="preserve">on </w:t>
      </w:r>
      <w:r w:rsidR="004F77AF">
        <w:t>transitional costs.</w:t>
      </w:r>
    </w:p>
    <w:p w14:paraId="1B24AEDE" w14:textId="7A4AE879" w:rsidR="00BD396E" w:rsidRDefault="002F35E8" w:rsidP="00BA6C31">
      <w:pPr>
        <w:pStyle w:val="Heading2"/>
      </w:pPr>
      <w:bookmarkStart w:id="9" w:name="_Toc226038391"/>
      <w:r>
        <w:lastRenderedPageBreak/>
        <w:t xml:space="preserve">Main </w:t>
      </w:r>
      <w:r w:rsidR="001D3228">
        <w:t>findings</w:t>
      </w:r>
      <w:bookmarkEnd w:id="9"/>
    </w:p>
    <w:p w14:paraId="513BF236" w14:textId="78E34F1D" w:rsidR="00471DCD" w:rsidRDefault="00BD396E" w:rsidP="00294A44">
      <w:pPr>
        <w:pStyle w:val="Headingstroke"/>
        <w:rPr>
          <w:noProof/>
        </w:rPr>
      </w:pPr>
      <w:r>
        <w:rPr>
          <w:noProof/>
        </w:rPr>
        <mc:AlternateContent>
          <mc:Choice Requires="wps">
            <w:drawing>
              <wp:inline distT="0" distB="0" distL="0" distR="0" wp14:anchorId="1D2D5E12" wp14:editId="145FDF9A">
                <wp:extent cx="936000" cy="0"/>
                <wp:effectExtent l="0" t="38100" r="54610" b="57150"/>
                <wp:docPr id="124343157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D55C54"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416F6FD8" w14:textId="4C0A55C7" w:rsidR="00471DCD" w:rsidRDefault="00471DCD" w:rsidP="00BA6C31">
      <w:pPr>
        <w:pStyle w:val="Heading3"/>
      </w:pPr>
      <w:bookmarkStart w:id="10" w:name="_Toc226038392"/>
      <w:r>
        <w:t>Funding model</w:t>
      </w:r>
      <w:r w:rsidR="00E970C2">
        <w:t xml:space="preserve">: the total </w:t>
      </w:r>
      <w:r w:rsidR="00074FCB">
        <w:t>estimated cost of a reformed system</w:t>
      </w:r>
      <w:bookmarkEnd w:id="10"/>
    </w:p>
    <w:p w14:paraId="24A00E9A" w14:textId="186AF879" w:rsidR="009A42EF" w:rsidRDefault="00D800CC" w:rsidP="00FE46F2">
      <w:pPr>
        <w:rPr>
          <w:color w:val="231F20" w:themeColor="text1"/>
        </w:rPr>
      </w:pPr>
      <w:r>
        <w:t>Our</w:t>
      </w:r>
      <w:r w:rsidRPr="0097504D">
        <w:t xml:space="preserve"> analysis found that</w:t>
      </w:r>
      <w:r>
        <w:t xml:space="preserve"> a reformed system operating at maturity with caseloads equivalent to those serviced in the 2024-25 financial year, could cost in the </w:t>
      </w:r>
      <w:r w:rsidRPr="005329BA">
        <w:t xml:space="preserve">range of </w:t>
      </w:r>
      <w:r w:rsidRPr="002C35C3">
        <w:rPr>
          <w:color w:val="231F20" w:themeColor="text1"/>
        </w:rPr>
        <w:t>$3.</w:t>
      </w:r>
      <w:r w:rsidR="005329BA" w:rsidRPr="002C35C3">
        <w:rPr>
          <w:color w:val="231F20" w:themeColor="text1"/>
        </w:rPr>
        <w:t>16</w:t>
      </w:r>
      <w:r w:rsidRPr="002C35C3">
        <w:rPr>
          <w:color w:val="231F20" w:themeColor="text1"/>
        </w:rPr>
        <w:t>B and $4.54B</w:t>
      </w:r>
      <w:r w:rsidR="009A42EF" w:rsidRPr="005329BA">
        <w:rPr>
          <w:color w:val="231F20" w:themeColor="text1"/>
        </w:rPr>
        <w:t>. This</w:t>
      </w:r>
      <w:r w:rsidR="009A42EF">
        <w:rPr>
          <w:color w:val="231F20" w:themeColor="text1"/>
        </w:rPr>
        <w:t xml:space="preserve"> compares to </w:t>
      </w:r>
      <w:r w:rsidR="009A42EF" w:rsidRPr="00E419E4">
        <w:t>the actual cost of $2.29B (incorporating the Administered expenditure of both Workforce Australia and Transition to Work, and the Departmental expense to oversee the system).</w:t>
      </w:r>
      <w:r w:rsidR="0084311D">
        <w:t xml:space="preserve"> </w:t>
      </w:r>
    </w:p>
    <w:p w14:paraId="06B84CB5" w14:textId="700FF9F2" w:rsidR="00FE46F2" w:rsidRPr="009A42EF" w:rsidRDefault="00FE46F2" w:rsidP="009A42EF">
      <w:pPr>
        <w:pStyle w:val="Bullet1"/>
        <w:rPr>
          <w:color w:val="231F20" w:themeColor="text1"/>
        </w:rPr>
      </w:pPr>
      <w:r>
        <w:t>Th</w:t>
      </w:r>
      <w:r w:rsidR="004842C6">
        <w:t>ese</w:t>
      </w:r>
      <w:r>
        <w:t xml:space="preserve"> estimate</w:t>
      </w:r>
      <w:r w:rsidR="004842C6">
        <w:t>s</w:t>
      </w:r>
      <w:r>
        <w:t xml:space="preserve"> </w:t>
      </w:r>
      <w:r w:rsidR="004842C6">
        <w:t>are</w:t>
      </w:r>
      <w:r>
        <w:t xml:space="preserve"> based on modifying key service delivery assumptions to be consistent with our interpretation of </w:t>
      </w:r>
      <w:r w:rsidR="009A42EF">
        <w:t xml:space="preserve">the </w:t>
      </w:r>
      <w:r>
        <w:t xml:space="preserve">key recommendations of the Hill Review. </w:t>
      </w:r>
      <w:r w:rsidR="009A42EF">
        <w:rPr>
          <w:color w:val="231F20" w:themeColor="text1"/>
        </w:rPr>
        <w:t xml:space="preserve">There is uncertainty around what </w:t>
      </w:r>
      <w:r w:rsidR="00873564">
        <w:rPr>
          <w:color w:val="231F20" w:themeColor="text1"/>
        </w:rPr>
        <w:t xml:space="preserve">exact </w:t>
      </w:r>
      <w:r w:rsidR="009A42EF">
        <w:rPr>
          <w:color w:val="231F20" w:themeColor="text1"/>
        </w:rPr>
        <w:t>combination of service delivery assumptions is most reasonable</w:t>
      </w:r>
      <w:r w:rsidR="004E7DB7">
        <w:rPr>
          <w:color w:val="231F20" w:themeColor="text1"/>
        </w:rPr>
        <w:t xml:space="preserve">, as discussed in Section </w:t>
      </w:r>
      <w:r w:rsidR="004E7DB7">
        <w:rPr>
          <w:color w:val="231F20" w:themeColor="text1"/>
        </w:rPr>
        <w:fldChar w:fldCharType="begin"/>
      </w:r>
      <w:r w:rsidR="004E7DB7">
        <w:rPr>
          <w:color w:val="231F20" w:themeColor="text1"/>
        </w:rPr>
        <w:instrText xml:space="preserve"> REF _Ref221695979 \r \h </w:instrText>
      </w:r>
      <w:r w:rsidR="004E7DB7">
        <w:rPr>
          <w:color w:val="231F20" w:themeColor="text1"/>
        </w:rPr>
      </w:r>
      <w:r w:rsidR="004E7DB7">
        <w:rPr>
          <w:color w:val="231F20" w:themeColor="text1"/>
        </w:rPr>
        <w:fldChar w:fldCharType="separate"/>
      </w:r>
      <w:r w:rsidR="001703C6">
        <w:rPr>
          <w:color w:val="231F20" w:themeColor="text1"/>
        </w:rPr>
        <w:t>3.3</w:t>
      </w:r>
      <w:r w:rsidR="004E7DB7">
        <w:rPr>
          <w:color w:val="231F20" w:themeColor="text1"/>
        </w:rPr>
        <w:fldChar w:fldCharType="end"/>
      </w:r>
      <w:r w:rsidR="009A42EF">
        <w:rPr>
          <w:color w:val="231F20" w:themeColor="text1"/>
        </w:rPr>
        <w:t xml:space="preserve">. </w:t>
      </w:r>
      <w:r w:rsidR="00A94EFD">
        <w:rPr>
          <w:color w:val="231F20" w:themeColor="text1"/>
        </w:rPr>
        <w:t xml:space="preserve">For example, while the Hill Review discusses the need for lower case ratios, it does not specify a target ratio. </w:t>
      </w:r>
      <w:r w:rsidR="009A42EF">
        <w:rPr>
          <w:color w:val="231F20" w:themeColor="text1"/>
        </w:rPr>
        <w:t xml:space="preserve">The range of scenarios considered is presented in </w:t>
      </w:r>
      <w:r w:rsidR="009A42EF" w:rsidRPr="00500B40">
        <w:rPr>
          <w:color w:val="231F20" w:themeColor="text1"/>
        </w:rPr>
        <w:t>Section</w:t>
      </w:r>
      <w:r w:rsidR="00BE112C">
        <w:rPr>
          <w:color w:val="231F20" w:themeColor="text1"/>
        </w:rPr>
        <w:t xml:space="preserve"> </w:t>
      </w:r>
      <w:r w:rsidR="00BE112C">
        <w:rPr>
          <w:color w:val="231F20" w:themeColor="text1"/>
        </w:rPr>
        <w:fldChar w:fldCharType="begin"/>
      </w:r>
      <w:r w:rsidR="00BE112C">
        <w:rPr>
          <w:color w:val="231F20" w:themeColor="text1"/>
        </w:rPr>
        <w:instrText xml:space="preserve"> REF _Ref222414706 \n \h </w:instrText>
      </w:r>
      <w:r w:rsidR="00BE112C">
        <w:rPr>
          <w:color w:val="231F20" w:themeColor="text1"/>
        </w:rPr>
      </w:r>
      <w:r w:rsidR="00BE112C">
        <w:rPr>
          <w:color w:val="231F20" w:themeColor="text1"/>
        </w:rPr>
        <w:fldChar w:fldCharType="separate"/>
      </w:r>
      <w:r w:rsidR="001703C6">
        <w:rPr>
          <w:color w:val="231F20" w:themeColor="text1"/>
        </w:rPr>
        <w:t>3.4</w:t>
      </w:r>
      <w:r w:rsidR="00BE112C">
        <w:rPr>
          <w:color w:val="231F20" w:themeColor="text1"/>
        </w:rPr>
        <w:fldChar w:fldCharType="end"/>
      </w:r>
      <w:r w:rsidR="009A42EF">
        <w:rPr>
          <w:color w:val="231F20" w:themeColor="text1"/>
        </w:rPr>
        <w:t>.</w:t>
      </w:r>
    </w:p>
    <w:p w14:paraId="1C0EA865" w14:textId="57B6E4F1" w:rsidR="00FE46F2" w:rsidRDefault="00DF081A" w:rsidP="008B6400">
      <w:pPr>
        <w:pStyle w:val="Bullet1"/>
      </w:pPr>
      <w:r w:rsidRPr="008548FF">
        <w:rPr>
          <w:rFonts w:ascii="Blanco" w:eastAsia="Blanco" w:hAnsi="Blanco"/>
          <w:szCs w:val="21"/>
        </w:rPr>
        <w:t xml:space="preserve">Employment services exist to </w:t>
      </w:r>
      <w:r w:rsidRPr="00431BB7">
        <w:rPr>
          <w:rFonts w:ascii="Blanco" w:eastAsia="Blanco" w:hAnsi="Blanco"/>
          <w:szCs w:val="21"/>
        </w:rPr>
        <w:t>help income support recipients into long-term, paid work</w:t>
      </w:r>
      <w:r w:rsidRPr="008548FF">
        <w:rPr>
          <w:rFonts w:ascii="Blanco" w:eastAsia="Blanco" w:hAnsi="Blanco"/>
          <w:szCs w:val="21"/>
        </w:rPr>
        <w:t xml:space="preserve">. </w:t>
      </w:r>
      <w:r>
        <w:rPr>
          <w:rFonts w:ascii="Blanco" w:eastAsia="Blanco" w:hAnsi="Blanco"/>
          <w:szCs w:val="21"/>
        </w:rPr>
        <w:t xml:space="preserve">However, </w:t>
      </w:r>
      <w:r>
        <w:t>q</w:t>
      </w:r>
      <w:r w:rsidR="00FE46F2">
        <w:t>uantifying the</w:t>
      </w:r>
      <w:r w:rsidR="00FE46F2" w:rsidRPr="0034598D">
        <w:t xml:space="preserve"> </w:t>
      </w:r>
      <w:r w:rsidR="00FE46F2">
        <w:t xml:space="preserve">financial, </w:t>
      </w:r>
      <w:r w:rsidR="00FE46F2" w:rsidRPr="0034598D">
        <w:t xml:space="preserve">economic and social benefits that </w:t>
      </w:r>
      <w:r>
        <w:t>a more effective employment services</w:t>
      </w:r>
      <w:r w:rsidR="00FE46F2">
        <w:t xml:space="preserve"> system </w:t>
      </w:r>
      <w:r>
        <w:t xml:space="preserve">would </w:t>
      </w:r>
      <w:r w:rsidR="00FE46F2">
        <w:t xml:space="preserve">provide </w:t>
      </w:r>
      <w:r w:rsidR="00FE46F2" w:rsidRPr="0034598D">
        <w:t xml:space="preserve">is out of </w:t>
      </w:r>
      <w:r>
        <w:t xml:space="preserve">the </w:t>
      </w:r>
      <w:r w:rsidR="00FE46F2" w:rsidRPr="0034598D">
        <w:t>scope</w:t>
      </w:r>
      <w:r>
        <w:t xml:space="preserve"> of this work</w:t>
      </w:r>
      <w:r w:rsidR="00FE46F2">
        <w:t xml:space="preserve">. Section </w:t>
      </w:r>
      <w:r w:rsidR="00FE46F2">
        <w:fldChar w:fldCharType="begin"/>
      </w:r>
      <w:r w:rsidR="00FE46F2">
        <w:instrText xml:space="preserve"> REF _Ref219905614 \n \h </w:instrText>
      </w:r>
      <w:r w:rsidR="00FE46F2">
        <w:fldChar w:fldCharType="separate"/>
      </w:r>
      <w:r w:rsidR="001703C6">
        <w:t>3.2.3</w:t>
      </w:r>
      <w:r w:rsidR="00FE46F2">
        <w:fldChar w:fldCharType="end"/>
      </w:r>
      <w:r w:rsidR="00FE46F2">
        <w:t xml:space="preserve"> </w:t>
      </w:r>
      <w:r w:rsidR="009A42EF">
        <w:t>discusses</w:t>
      </w:r>
      <w:r w:rsidR="00FE46F2">
        <w:t xml:space="preserve"> the importance of considering the</w:t>
      </w:r>
      <w:r>
        <w:t xml:space="preserve"> size of these</w:t>
      </w:r>
      <w:r w:rsidR="00FE46F2">
        <w:t xml:space="preserve"> benefits when assessing the new system’s feasibility.</w:t>
      </w:r>
    </w:p>
    <w:p w14:paraId="27BDF0DA" w14:textId="21358656" w:rsidR="009A42EF" w:rsidRDefault="009A42EF" w:rsidP="00400FF4">
      <w:r>
        <w:rPr>
          <w:color w:val="231F20" w:themeColor="text1"/>
        </w:rPr>
        <w:t xml:space="preserve">For facilitating further discussion and </w:t>
      </w:r>
      <w:r w:rsidR="00873564">
        <w:rPr>
          <w:color w:val="231F20" w:themeColor="text1"/>
        </w:rPr>
        <w:t xml:space="preserve">to </w:t>
      </w:r>
      <w:r w:rsidR="004842C6">
        <w:rPr>
          <w:color w:val="231F20" w:themeColor="text1"/>
        </w:rPr>
        <w:t>highlight cost drivers</w:t>
      </w:r>
      <w:r>
        <w:rPr>
          <w:color w:val="231F20" w:themeColor="text1"/>
        </w:rPr>
        <w:t xml:space="preserve">, we </w:t>
      </w:r>
      <w:r w:rsidR="00D800CC">
        <w:rPr>
          <w:color w:val="231F20" w:themeColor="text1"/>
        </w:rPr>
        <w:t xml:space="preserve">adopt </w:t>
      </w:r>
      <w:r w:rsidR="00873564">
        <w:rPr>
          <w:color w:val="231F20" w:themeColor="text1"/>
        </w:rPr>
        <w:t>an illustrative</w:t>
      </w:r>
      <w:r>
        <w:rPr>
          <w:color w:val="231F20" w:themeColor="text1"/>
        </w:rPr>
        <w:t xml:space="preserve"> scenario which estimates the reformed system to c</w:t>
      </w:r>
      <w:r w:rsidRPr="005329BA">
        <w:rPr>
          <w:color w:val="231F20" w:themeColor="text1"/>
        </w:rPr>
        <w:t xml:space="preserve">ost </w:t>
      </w:r>
      <w:r w:rsidRPr="005329BA">
        <w:t>$3.</w:t>
      </w:r>
      <w:r w:rsidR="00873564" w:rsidRPr="005329BA">
        <w:t>83B</w:t>
      </w:r>
      <w:r w:rsidRPr="005329BA">
        <w:t xml:space="preserve">, an increase of </w:t>
      </w:r>
      <w:r w:rsidRPr="005329BA">
        <w:rPr>
          <w:color w:val="231F20" w:themeColor="text1"/>
        </w:rPr>
        <w:t>$1.</w:t>
      </w:r>
      <w:r w:rsidR="00873564" w:rsidRPr="005329BA">
        <w:rPr>
          <w:color w:val="231F20" w:themeColor="text1"/>
        </w:rPr>
        <w:t xml:space="preserve">53B </w:t>
      </w:r>
      <w:r w:rsidRPr="005329BA">
        <w:rPr>
          <w:color w:val="231F20" w:themeColor="text1"/>
        </w:rPr>
        <w:t xml:space="preserve">or a </w:t>
      </w:r>
      <w:r w:rsidR="00873564" w:rsidRPr="005329BA">
        <w:rPr>
          <w:color w:val="231F20" w:themeColor="text1"/>
        </w:rPr>
        <w:t>67</w:t>
      </w:r>
      <w:r w:rsidRPr="005329BA">
        <w:rPr>
          <w:color w:val="231F20" w:themeColor="text1"/>
        </w:rPr>
        <w:t>%</w:t>
      </w:r>
      <w:r w:rsidR="00D800CC" w:rsidRPr="005329BA">
        <w:rPr>
          <w:color w:val="231F20" w:themeColor="text1"/>
        </w:rPr>
        <w:t xml:space="preserve"> from</w:t>
      </w:r>
      <w:r w:rsidR="00D800CC">
        <w:rPr>
          <w:color w:val="231F20" w:themeColor="text1"/>
        </w:rPr>
        <w:t xml:space="preserve"> the current system</w:t>
      </w:r>
      <w:r>
        <w:t>.</w:t>
      </w:r>
      <w:r w:rsidR="00544A9D">
        <w:t xml:space="preserve"> </w:t>
      </w:r>
      <w:r w:rsidR="00D800CC">
        <w:t>This scenario results in a doubling of the amount of time frontline workers would be able to spend working with participants, which would likely lead to significant improvements in the quality of services and therefore the flow on benefits to sustainable employment and reduced welfare expenditure</w:t>
      </w:r>
      <w:r w:rsidR="00544A9D">
        <w:t>.</w:t>
      </w:r>
    </w:p>
    <w:p w14:paraId="350E5C60" w14:textId="25498F9E" w:rsidR="00576E50" w:rsidRDefault="00922C08" w:rsidP="00576E50">
      <w:pPr>
        <w:pStyle w:val="TFNormal"/>
        <w:rPr>
          <w:color w:val="231F20" w:themeColor="text1"/>
        </w:rPr>
      </w:pPr>
      <w:r w:rsidRPr="00500B40">
        <w:rPr>
          <w:color w:val="231F20" w:themeColor="text1"/>
        </w:rPr>
        <w:fldChar w:fldCharType="begin"/>
      </w:r>
      <w:r w:rsidRPr="00500B40">
        <w:rPr>
          <w:color w:val="231F20" w:themeColor="text1"/>
        </w:rPr>
        <w:instrText xml:space="preserve"> REF _Ref219534320 \h </w:instrText>
      </w:r>
      <w:r w:rsidR="00500B40">
        <w:rPr>
          <w:color w:val="231F20" w:themeColor="text1"/>
        </w:rPr>
        <w:instrText xml:space="preserve"> \* MERGEFORMAT </w:instrText>
      </w:r>
      <w:r w:rsidRPr="00500B40">
        <w:rPr>
          <w:color w:val="231F20" w:themeColor="text1"/>
        </w:rPr>
      </w:r>
      <w:r w:rsidRPr="00500B40">
        <w:rPr>
          <w:color w:val="231F20" w:themeColor="text1"/>
        </w:rPr>
        <w:fldChar w:fldCharType="separate"/>
      </w:r>
      <w:r w:rsidR="001703C6" w:rsidRPr="005329BA">
        <w:t xml:space="preserve">Figure </w:t>
      </w:r>
      <w:r w:rsidR="001703C6">
        <w:rPr>
          <w:noProof/>
        </w:rPr>
        <w:t>1</w:t>
      </w:r>
      <w:r w:rsidRPr="00500B40">
        <w:rPr>
          <w:color w:val="231F20" w:themeColor="text1"/>
        </w:rPr>
        <w:fldChar w:fldCharType="end"/>
      </w:r>
      <w:r w:rsidRPr="00500B40">
        <w:rPr>
          <w:color w:val="231F20" w:themeColor="text1"/>
        </w:rPr>
        <w:t xml:space="preserve"> and </w:t>
      </w:r>
      <w:r w:rsidR="00263A9E">
        <w:rPr>
          <w:color w:val="231F20" w:themeColor="text1"/>
        </w:rPr>
        <w:fldChar w:fldCharType="begin"/>
      </w:r>
      <w:r w:rsidR="00263A9E">
        <w:rPr>
          <w:color w:val="231F20" w:themeColor="text1"/>
        </w:rPr>
        <w:instrText xml:space="preserve"> REF _Ref219739522 \h </w:instrText>
      </w:r>
      <w:r w:rsidR="00263A9E">
        <w:rPr>
          <w:color w:val="231F20" w:themeColor="text1"/>
        </w:rPr>
      </w:r>
      <w:r w:rsidR="00263A9E">
        <w:rPr>
          <w:color w:val="231F20" w:themeColor="text1"/>
        </w:rPr>
        <w:fldChar w:fldCharType="separate"/>
      </w:r>
      <w:r w:rsidR="001703C6">
        <w:t xml:space="preserve">Table </w:t>
      </w:r>
      <w:r w:rsidR="001703C6">
        <w:rPr>
          <w:noProof/>
        </w:rPr>
        <w:t>2</w:t>
      </w:r>
      <w:r w:rsidR="00263A9E">
        <w:rPr>
          <w:color w:val="231F20" w:themeColor="text1"/>
        </w:rPr>
        <w:fldChar w:fldCharType="end"/>
      </w:r>
      <w:r w:rsidR="00263A9E">
        <w:rPr>
          <w:color w:val="231F20" w:themeColor="text1"/>
        </w:rPr>
        <w:t xml:space="preserve"> </w:t>
      </w:r>
      <w:r w:rsidRPr="00500B40">
        <w:rPr>
          <w:color w:val="231F20" w:themeColor="text1"/>
        </w:rPr>
        <w:t xml:space="preserve">summarise the </w:t>
      </w:r>
      <w:r w:rsidR="00A30187" w:rsidRPr="00500B40">
        <w:rPr>
          <w:color w:val="231F20" w:themeColor="text1"/>
        </w:rPr>
        <w:t xml:space="preserve">incremental </w:t>
      </w:r>
      <w:r w:rsidRPr="00500B40">
        <w:rPr>
          <w:color w:val="231F20" w:themeColor="text1"/>
        </w:rPr>
        <w:t xml:space="preserve">costs </w:t>
      </w:r>
      <w:r w:rsidR="00F563FC" w:rsidRPr="00500B40">
        <w:rPr>
          <w:color w:val="231F20" w:themeColor="text1"/>
        </w:rPr>
        <w:t xml:space="preserve">of </w:t>
      </w:r>
      <w:r w:rsidR="00A30187" w:rsidRPr="00500B40">
        <w:rPr>
          <w:color w:val="231F20" w:themeColor="text1"/>
        </w:rPr>
        <w:t xml:space="preserve">each of the </w:t>
      </w:r>
      <w:r w:rsidR="001F4B81" w:rsidRPr="00500B40">
        <w:rPr>
          <w:color w:val="231F20" w:themeColor="text1"/>
        </w:rPr>
        <w:t xml:space="preserve">key </w:t>
      </w:r>
      <w:r w:rsidR="009D11A6" w:rsidRPr="00500B40">
        <w:rPr>
          <w:color w:val="231F20" w:themeColor="text1"/>
        </w:rPr>
        <w:t>Hill Review components</w:t>
      </w:r>
      <w:r w:rsidR="001F4B81" w:rsidRPr="00500B40">
        <w:rPr>
          <w:color w:val="231F20" w:themeColor="text1"/>
        </w:rPr>
        <w:t xml:space="preserve"> and the </w:t>
      </w:r>
      <w:r w:rsidR="00484E80" w:rsidRPr="00500B40">
        <w:rPr>
          <w:color w:val="231F20" w:themeColor="text1"/>
        </w:rPr>
        <w:t xml:space="preserve">associated </w:t>
      </w:r>
      <w:r w:rsidR="001F4B81" w:rsidRPr="00500B40">
        <w:rPr>
          <w:color w:val="231F20" w:themeColor="text1"/>
        </w:rPr>
        <w:t>impact</w:t>
      </w:r>
      <w:r w:rsidR="00484E80" w:rsidRPr="00500B40">
        <w:rPr>
          <w:color w:val="231F20" w:themeColor="text1"/>
        </w:rPr>
        <w:t>s on service delivery and system capability</w:t>
      </w:r>
      <w:r w:rsidR="008C08D5">
        <w:rPr>
          <w:color w:val="231F20" w:themeColor="text1"/>
        </w:rPr>
        <w:t xml:space="preserve"> under the </w:t>
      </w:r>
      <w:r w:rsidR="00873564">
        <w:rPr>
          <w:color w:val="231F20" w:themeColor="text1"/>
        </w:rPr>
        <w:t>illustrative</w:t>
      </w:r>
      <w:r w:rsidR="00576E50">
        <w:rPr>
          <w:color w:val="231F20" w:themeColor="text1"/>
        </w:rPr>
        <w:t xml:space="preserve"> costing</w:t>
      </w:r>
      <w:r w:rsidR="00873564">
        <w:rPr>
          <w:color w:val="231F20" w:themeColor="text1"/>
        </w:rPr>
        <w:t xml:space="preserve"> </w:t>
      </w:r>
      <w:r w:rsidR="008C08D5">
        <w:rPr>
          <w:color w:val="231F20" w:themeColor="text1"/>
        </w:rPr>
        <w:t>scenario</w:t>
      </w:r>
      <w:r w:rsidR="001F4B81" w:rsidRPr="00500B40">
        <w:rPr>
          <w:color w:val="231F20" w:themeColor="text1"/>
        </w:rPr>
        <w:t>.</w:t>
      </w:r>
      <w:r w:rsidR="0024635D" w:rsidRPr="00500B40">
        <w:rPr>
          <w:color w:val="231F20" w:themeColor="text1"/>
        </w:rPr>
        <w:t xml:space="preserve"> </w:t>
      </w:r>
    </w:p>
    <w:p w14:paraId="3C64D61A" w14:textId="2574F8FA" w:rsidR="00576E50" w:rsidRDefault="00576E50" w:rsidP="002C35C3">
      <w:pPr>
        <w:pStyle w:val="TFNormal"/>
        <w:rPr>
          <w:color w:val="231F20" w:themeColor="text1"/>
        </w:rPr>
      </w:pPr>
      <w:r>
        <w:t xml:space="preserve">Our modelling involves a bottom-up reconstruction of the costs of the system based on component parts and relying on the 2024-25 caseloads, following a modelling discipline that enables us to re-produce the cost of the current system and derive cost estimates for the implementation of each recommendation </w:t>
      </w:r>
      <w:proofErr w:type="gramStart"/>
      <w:r>
        <w:t>step-wise</w:t>
      </w:r>
      <w:proofErr w:type="gramEnd"/>
      <w:r>
        <w:t xml:space="preserve">. </w:t>
      </w:r>
      <w:r w:rsidR="00634C8A">
        <w:t>T</w:t>
      </w:r>
      <w:r>
        <w:t xml:space="preserve">he cost composition of the reformed system is substantially different to the current </w:t>
      </w:r>
      <w:r w:rsidR="007F3BA4">
        <w:t>system,</w:t>
      </w:r>
      <w:r w:rsidR="00634C8A">
        <w:t xml:space="preserve"> and t</w:t>
      </w:r>
      <w:r>
        <w:t xml:space="preserve">his change is detailed in </w:t>
      </w:r>
      <w:r>
        <w:rPr>
          <w:color w:val="231F20" w:themeColor="text1"/>
        </w:rPr>
        <w:t xml:space="preserve">Section </w:t>
      </w:r>
      <w:r>
        <w:rPr>
          <w:color w:val="231F20" w:themeColor="text1"/>
        </w:rPr>
        <w:fldChar w:fldCharType="begin"/>
      </w:r>
      <w:r>
        <w:rPr>
          <w:color w:val="231F20" w:themeColor="text1"/>
        </w:rPr>
        <w:instrText xml:space="preserve"> REF _Ref222307581 \r \h </w:instrText>
      </w:r>
      <w:r>
        <w:rPr>
          <w:color w:val="231F20" w:themeColor="text1"/>
        </w:rPr>
      </w:r>
      <w:r>
        <w:rPr>
          <w:color w:val="231F20" w:themeColor="text1"/>
        </w:rPr>
        <w:fldChar w:fldCharType="separate"/>
      </w:r>
      <w:r w:rsidR="001703C6">
        <w:rPr>
          <w:color w:val="231F20" w:themeColor="text1"/>
        </w:rPr>
        <w:t>3.1.1</w:t>
      </w:r>
      <w:r>
        <w:rPr>
          <w:color w:val="231F20" w:themeColor="text1"/>
        </w:rPr>
        <w:fldChar w:fldCharType="end"/>
      </w:r>
      <w:r>
        <w:rPr>
          <w:color w:val="231F20" w:themeColor="text1"/>
        </w:rPr>
        <w:t>.</w:t>
      </w:r>
    </w:p>
    <w:p w14:paraId="5D106B1F" w14:textId="3E96DB38" w:rsidR="000A1601" w:rsidRPr="00500B40" w:rsidRDefault="00664056" w:rsidP="00400FF4">
      <w:pPr>
        <w:rPr>
          <w:color w:val="231F20" w:themeColor="text1"/>
        </w:rPr>
      </w:pPr>
      <w:r w:rsidRPr="00500B40">
        <w:rPr>
          <w:color w:val="231F20" w:themeColor="text1"/>
        </w:rPr>
        <w:t xml:space="preserve">While the costs have been identified </w:t>
      </w:r>
      <w:r w:rsidR="00084185" w:rsidRPr="00500B40">
        <w:rPr>
          <w:color w:val="231F20" w:themeColor="text1"/>
        </w:rPr>
        <w:t>separately to provide an indication of impact on the recommendations, it is important to recognise the</w:t>
      </w:r>
      <w:r w:rsidR="00791639" w:rsidRPr="00500B40">
        <w:rPr>
          <w:color w:val="231F20" w:themeColor="text1"/>
        </w:rPr>
        <w:t>se</w:t>
      </w:r>
      <w:r w:rsidR="00084185" w:rsidRPr="00500B40">
        <w:rPr>
          <w:color w:val="231F20" w:themeColor="text1"/>
        </w:rPr>
        <w:t xml:space="preserve"> </w:t>
      </w:r>
      <w:r w:rsidR="0024635D" w:rsidRPr="00500B40">
        <w:rPr>
          <w:color w:val="231F20" w:themeColor="text1"/>
        </w:rPr>
        <w:t>cost</w:t>
      </w:r>
      <w:r w:rsidR="00791639" w:rsidRPr="00500B40">
        <w:rPr>
          <w:color w:val="231F20" w:themeColor="text1"/>
        </w:rPr>
        <w:t xml:space="preserve"> estimates</w:t>
      </w:r>
      <w:r w:rsidR="0024635D" w:rsidRPr="00500B40">
        <w:rPr>
          <w:color w:val="231F20" w:themeColor="text1"/>
        </w:rPr>
        <w:t xml:space="preserve"> are dependent </w:t>
      </w:r>
      <w:r w:rsidR="00791639" w:rsidRPr="00500B40">
        <w:rPr>
          <w:color w:val="231F20" w:themeColor="text1"/>
        </w:rPr>
        <w:t>on each other</w:t>
      </w:r>
      <w:r w:rsidR="00AF3AFD" w:rsidRPr="00500B40">
        <w:rPr>
          <w:color w:val="231F20" w:themeColor="text1"/>
        </w:rPr>
        <w:t>.</w:t>
      </w:r>
      <w:r w:rsidR="0030350E" w:rsidRPr="00500B40">
        <w:rPr>
          <w:color w:val="231F20" w:themeColor="text1"/>
        </w:rPr>
        <w:t xml:space="preserve"> </w:t>
      </w:r>
      <w:r w:rsidR="00AF3AFD" w:rsidRPr="00500B40">
        <w:rPr>
          <w:color w:val="231F20" w:themeColor="text1"/>
        </w:rPr>
        <w:t>F</w:t>
      </w:r>
      <w:r w:rsidR="00791639" w:rsidRPr="00500B40">
        <w:rPr>
          <w:color w:val="231F20" w:themeColor="text1"/>
        </w:rPr>
        <w:t xml:space="preserve">or example, the estimated cost of increasing </w:t>
      </w:r>
      <w:r w:rsidR="00512E45" w:rsidRPr="00500B40">
        <w:rPr>
          <w:color w:val="231F20" w:themeColor="text1"/>
        </w:rPr>
        <w:t xml:space="preserve">frontline salaries is derived using the higher staffing levels </w:t>
      </w:r>
      <w:r w:rsidR="006302AA" w:rsidRPr="00500B40">
        <w:rPr>
          <w:color w:val="231F20" w:themeColor="text1"/>
        </w:rPr>
        <w:t>from</w:t>
      </w:r>
      <w:r w:rsidR="00512E45" w:rsidRPr="00500B40">
        <w:rPr>
          <w:color w:val="231F20" w:themeColor="text1"/>
        </w:rPr>
        <w:t xml:space="preserve"> </w:t>
      </w:r>
      <w:r w:rsidR="006302AA" w:rsidRPr="00500B40">
        <w:rPr>
          <w:color w:val="231F20" w:themeColor="text1"/>
        </w:rPr>
        <w:t>reducing</w:t>
      </w:r>
      <w:r w:rsidR="00512E45" w:rsidRPr="00500B40">
        <w:rPr>
          <w:color w:val="231F20" w:themeColor="text1"/>
        </w:rPr>
        <w:t xml:space="preserve"> the </w:t>
      </w:r>
      <w:r w:rsidR="0030350E" w:rsidRPr="00500B40">
        <w:rPr>
          <w:color w:val="231F20" w:themeColor="text1"/>
        </w:rPr>
        <w:t>case ratio.</w:t>
      </w:r>
      <w:r w:rsidR="0064047C" w:rsidRPr="00500B40">
        <w:rPr>
          <w:color w:val="231F20" w:themeColor="text1"/>
        </w:rPr>
        <w:t xml:space="preserve"> </w:t>
      </w:r>
    </w:p>
    <w:p w14:paraId="194B4F0D" w14:textId="19B68CFB" w:rsidR="002800EA" w:rsidRDefault="004842C6" w:rsidP="002800EA">
      <w:r>
        <w:t>W</w:t>
      </w:r>
      <w:r w:rsidR="002800EA" w:rsidRPr="00500B40">
        <w:t xml:space="preserve">e have </w:t>
      </w:r>
      <w:r w:rsidR="006537DF" w:rsidRPr="00500B40">
        <w:t xml:space="preserve">included </w:t>
      </w:r>
      <w:r w:rsidR="008E7639" w:rsidRPr="00500B40">
        <w:t>results from</w:t>
      </w:r>
      <w:r w:rsidR="002800EA" w:rsidRPr="00500B40">
        <w:t xml:space="preserve"> sensitivity </w:t>
      </w:r>
      <w:r w:rsidR="008E7639" w:rsidRPr="00500B40">
        <w:t>testing</w:t>
      </w:r>
      <w:r w:rsidR="002800EA" w:rsidRPr="00500B40">
        <w:t xml:space="preserve"> throughout the report.</w:t>
      </w:r>
      <w:r w:rsidR="002800EA">
        <w:t xml:space="preserve"> </w:t>
      </w:r>
    </w:p>
    <w:p w14:paraId="01CF3D6E" w14:textId="0136F5CB" w:rsidR="00445B8C" w:rsidRDefault="00400FF4" w:rsidP="00445B8C">
      <w:pPr>
        <w:pStyle w:val="Caption"/>
      </w:pPr>
      <w:bookmarkStart w:id="11" w:name="_Ref219534320"/>
      <w:bookmarkStart w:id="12" w:name="_Ref219534316"/>
      <w:r w:rsidRPr="005329BA">
        <w:lastRenderedPageBreak/>
        <w:t xml:space="preserve">Figure </w:t>
      </w:r>
      <w:r w:rsidR="001703C6">
        <w:fldChar w:fldCharType="begin"/>
      </w:r>
      <w:r w:rsidR="001703C6">
        <w:instrText xml:space="preserve"> SEQ Figure \* ARABIC </w:instrText>
      </w:r>
      <w:r w:rsidR="001703C6">
        <w:fldChar w:fldCharType="separate"/>
      </w:r>
      <w:r w:rsidR="001703C6">
        <w:rPr>
          <w:noProof/>
        </w:rPr>
        <w:t>1</w:t>
      </w:r>
      <w:r w:rsidR="001703C6">
        <w:rPr>
          <w:noProof/>
        </w:rPr>
        <w:fldChar w:fldCharType="end"/>
      </w:r>
      <w:bookmarkEnd w:id="11"/>
      <w:r w:rsidR="000A1601" w:rsidRPr="005329BA">
        <w:t>:</w:t>
      </w:r>
      <w:r w:rsidR="00445B8C" w:rsidRPr="005329BA">
        <w:t xml:space="preserve"> Incremental change</w:t>
      </w:r>
      <w:r w:rsidR="00560911">
        <w:rPr>
          <w:rStyle w:val="FootnoteReference"/>
        </w:rPr>
        <w:footnoteReference w:id="5"/>
      </w:r>
      <w:r w:rsidR="00445B8C" w:rsidRPr="005329BA">
        <w:t xml:space="preserve"> in costs of key recommendations</w:t>
      </w:r>
      <w:bookmarkEnd w:id="12"/>
      <w:r w:rsidR="00BE5E95" w:rsidRPr="005329BA">
        <w:t xml:space="preserve"> – </w:t>
      </w:r>
      <w:r w:rsidR="00873564" w:rsidRPr="005329BA">
        <w:t xml:space="preserve">illustrative </w:t>
      </w:r>
      <w:r w:rsidR="00BE5E95" w:rsidRPr="005329BA">
        <w:t>scenario</w:t>
      </w:r>
    </w:p>
    <w:p w14:paraId="30481272" w14:textId="515985CF" w:rsidR="00CE2331" w:rsidRDefault="0035387F">
      <w:pPr>
        <w:keepNext/>
      </w:pPr>
      <w:r w:rsidRPr="0035387F">
        <w:rPr>
          <w:noProof/>
        </w:rPr>
        <w:drawing>
          <wp:inline distT="0" distB="0" distL="0" distR="0" wp14:anchorId="38E87DB1" wp14:editId="0CDC0DF4">
            <wp:extent cx="5976620" cy="2863215"/>
            <wp:effectExtent l="0" t="0" r="5080" b="0"/>
            <wp:docPr id="736866572" name="Picture 10" descr="Waterfall chart that summarises the incremental costs of each of the key Hill Review components under the illustrative costing scenario. The results are presented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6572" name="Picture 10" descr="Waterfall chart that summarises the incremental costs of each of the key Hill Review components under the illustrative costing scenario. The results are presented in Tabl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6620" cy="2863215"/>
                    </a:xfrm>
                    <a:prstGeom prst="rect">
                      <a:avLst/>
                    </a:prstGeom>
                    <a:noFill/>
                    <a:ln>
                      <a:noFill/>
                    </a:ln>
                  </pic:spPr>
                </pic:pic>
              </a:graphicData>
            </a:graphic>
          </wp:inline>
        </w:drawing>
      </w:r>
    </w:p>
    <w:p w14:paraId="62D7B7F7" w14:textId="0CD158B5" w:rsidR="0035387F" w:rsidRDefault="0035387F" w:rsidP="002C35C3">
      <w:pPr>
        <w:keepNext/>
      </w:pPr>
      <w:r>
        <w:t xml:space="preserve">* Note: The modelling recalculates the total system cost at each modelling increment, with the bars in </w:t>
      </w:r>
      <w:r>
        <w:fldChar w:fldCharType="begin"/>
      </w:r>
      <w:r>
        <w:instrText xml:space="preserve"> REF _Ref219534320 \h </w:instrText>
      </w:r>
      <w:r>
        <w:fldChar w:fldCharType="separate"/>
      </w:r>
      <w:r w:rsidR="001703C6" w:rsidRPr="005329BA">
        <w:t xml:space="preserve">Figure </w:t>
      </w:r>
      <w:r w:rsidR="001703C6">
        <w:rPr>
          <w:noProof/>
        </w:rPr>
        <w:t>1</w:t>
      </w:r>
      <w:r>
        <w:fldChar w:fldCharType="end"/>
      </w:r>
      <w:r>
        <w:t xml:space="preserve"> illustrating the change in cost derived by the bottom-up calculation at each modelling increment. This differs from an approach which starts with current system cost and adds cost for changes.</w:t>
      </w:r>
    </w:p>
    <w:p w14:paraId="032511ED" w14:textId="50C5479C" w:rsidR="00263A9E" w:rsidRPr="00263A9E" w:rsidRDefault="00263A9E" w:rsidP="00263A9E">
      <w:pPr>
        <w:pStyle w:val="Caption"/>
      </w:pPr>
      <w:bookmarkStart w:id="13" w:name="_Ref219739522"/>
      <w:r>
        <w:t xml:space="preserve">Table </w:t>
      </w:r>
      <w:r w:rsidR="001703C6">
        <w:fldChar w:fldCharType="begin"/>
      </w:r>
      <w:r w:rsidR="001703C6">
        <w:instrText xml:space="preserve"> SEQ Table \* ARABIC </w:instrText>
      </w:r>
      <w:r w:rsidR="001703C6">
        <w:fldChar w:fldCharType="separate"/>
      </w:r>
      <w:r w:rsidR="001703C6">
        <w:rPr>
          <w:noProof/>
        </w:rPr>
        <w:t>2</w:t>
      </w:r>
      <w:r w:rsidR="001703C6">
        <w:rPr>
          <w:noProof/>
        </w:rPr>
        <w:fldChar w:fldCharType="end"/>
      </w:r>
      <w:bookmarkEnd w:id="13"/>
      <w:r>
        <w:t xml:space="preserve">: </w:t>
      </w:r>
      <w:r w:rsidRPr="00500B40">
        <w:t>Incremental change</w:t>
      </w:r>
      <w:r w:rsidR="00560911">
        <w:rPr>
          <w:rStyle w:val="FootnoteReference"/>
        </w:rPr>
        <w:footnoteReference w:id="6"/>
      </w:r>
      <w:r w:rsidRPr="00500B40">
        <w:t xml:space="preserve"> in costs of key recommendations</w:t>
      </w:r>
      <w:r w:rsidR="00913824">
        <w:t xml:space="preserve"> – </w:t>
      </w:r>
      <w:r w:rsidR="00873564">
        <w:t xml:space="preserve">illustrative </w:t>
      </w:r>
      <w:r w:rsidR="00913824">
        <w:t>scenario</w:t>
      </w:r>
    </w:p>
    <w:tbl>
      <w:tblPr>
        <w:tblStyle w:val="ListTable3-Accent1"/>
        <w:tblW w:w="9727" w:type="dxa"/>
        <w:tblLook w:val="04A0" w:firstRow="1" w:lastRow="0" w:firstColumn="1" w:lastColumn="0" w:noHBand="0" w:noVBand="1"/>
      </w:tblPr>
      <w:tblGrid>
        <w:gridCol w:w="2972"/>
        <w:gridCol w:w="1701"/>
        <w:gridCol w:w="5054"/>
      </w:tblGrid>
      <w:tr w:rsidR="0050251F" w14:paraId="1BE062ED" w14:textId="77777777" w:rsidTr="00B60285">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972" w:type="dxa"/>
          </w:tcPr>
          <w:p w14:paraId="17781144" w14:textId="4D906E7E" w:rsidR="0050251F" w:rsidRDefault="00BE6B08" w:rsidP="0050251F">
            <w:r>
              <w:t>Recommendation</w:t>
            </w:r>
          </w:p>
        </w:tc>
        <w:tc>
          <w:tcPr>
            <w:tcW w:w="1701" w:type="dxa"/>
          </w:tcPr>
          <w:p w14:paraId="679AC655" w14:textId="787E2895" w:rsidR="001C2B32" w:rsidRDefault="001C2B32" w:rsidP="0050251F">
            <w:pPr>
              <w:cnfStyle w:val="100000000000" w:firstRow="1" w:lastRow="0" w:firstColumn="0" w:lastColumn="0" w:oddVBand="0" w:evenVBand="0" w:oddHBand="0" w:evenHBand="0" w:firstRowFirstColumn="0" w:firstRowLastColumn="0" w:lastRowFirstColumn="0" w:lastRowLastColumn="0"/>
            </w:pPr>
            <w:r>
              <w:t>Reformed c</w:t>
            </w:r>
            <w:r w:rsidR="00A849DD">
              <w:t>ost</w:t>
            </w:r>
          </w:p>
        </w:tc>
        <w:tc>
          <w:tcPr>
            <w:tcW w:w="5054" w:type="dxa"/>
          </w:tcPr>
          <w:p w14:paraId="743B23FC" w14:textId="77AA9ECB" w:rsidR="0050251F" w:rsidRDefault="0050251F" w:rsidP="0050251F">
            <w:pPr>
              <w:cnfStyle w:val="100000000000" w:firstRow="1" w:lastRow="0" w:firstColumn="0" w:lastColumn="0" w:oddVBand="0" w:evenVBand="0" w:oddHBand="0" w:evenHBand="0" w:firstRowFirstColumn="0" w:firstRowLastColumn="0" w:lastRowFirstColumn="0" w:lastRowLastColumn="0"/>
            </w:pPr>
            <w:r>
              <w:t>Impact</w:t>
            </w:r>
          </w:p>
        </w:tc>
      </w:tr>
      <w:tr w:rsidR="0050251F" w14:paraId="337C8E50"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D800443" w14:textId="1F12EEF7" w:rsidR="0050251F" w:rsidRPr="00B60285" w:rsidRDefault="001D1AF4" w:rsidP="0050251F">
            <w:pPr>
              <w:rPr>
                <w:b w:val="0"/>
              </w:rPr>
            </w:pPr>
            <w:r w:rsidRPr="00AE1811">
              <w:rPr>
                <w:b w:val="0"/>
                <w:bCs w:val="0"/>
              </w:rPr>
              <w:t>Provide</w:t>
            </w:r>
            <w:r w:rsidR="00782BB9">
              <w:rPr>
                <w:b w:val="0"/>
                <w:bCs w:val="0"/>
              </w:rPr>
              <w:t>r</w:t>
            </w:r>
            <w:r w:rsidRPr="00AE1811">
              <w:rPr>
                <w:b w:val="0"/>
                <w:bCs w:val="0"/>
              </w:rPr>
              <w:t xml:space="preserve"> case management the default for jobseekers </w:t>
            </w:r>
            <w:proofErr w:type="gramStart"/>
            <w:r w:rsidRPr="00AE1811">
              <w:rPr>
                <w:b w:val="0"/>
                <w:bCs w:val="0"/>
              </w:rPr>
              <w:t>under age</w:t>
            </w:r>
            <w:proofErr w:type="gramEnd"/>
            <w:r w:rsidRPr="00AE1811">
              <w:rPr>
                <w:b w:val="0"/>
                <w:bCs w:val="0"/>
              </w:rPr>
              <w:t xml:space="preserve"> 25</w:t>
            </w:r>
          </w:p>
        </w:tc>
        <w:tc>
          <w:tcPr>
            <w:tcW w:w="1701" w:type="dxa"/>
            <w:vAlign w:val="center"/>
          </w:tcPr>
          <w:p w14:paraId="7CB014E3" w14:textId="376B1C61" w:rsidR="00B60285" w:rsidRPr="00B60285" w:rsidRDefault="00B60285"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0285">
              <w:rPr>
                <w:rFonts w:asciiTheme="majorHAnsi" w:hAnsiTheme="majorHAnsi"/>
              </w:rPr>
              <w:t>+$71</w:t>
            </w:r>
            <w:r w:rsidR="00691279">
              <w:rPr>
                <w:rFonts w:asciiTheme="majorHAnsi" w:hAnsiTheme="majorHAnsi"/>
              </w:rPr>
              <w:t>.2</w:t>
            </w:r>
            <w:r w:rsidR="00DE7607">
              <w:rPr>
                <w:rFonts w:asciiTheme="majorHAnsi" w:hAnsiTheme="majorHAnsi"/>
              </w:rPr>
              <w:t>M</w:t>
            </w:r>
          </w:p>
        </w:tc>
        <w:tc>
          <w:tcPr>
            <w:tcW w:w="5054" w:type="dxa"/>
            <w:vAlign w:val="center"/>
          </w:tcPr>
          <w:p w14:paraId="43306AC3" w14:textId="26785D2C" w:rsidR="0050251F" w:rsidRDefault="000F3BEC" w:rsidP="0050251F">
            <w:pPr>
              <w:cnfStyle w:val="000000100000" w:firstRow="0" w:lastRow="0" w:firstColumn="0" w:lastColumn="0" w:oddVBand="0" w:evenVBand="0" w:oddHBand="1" w:evenHBand="0" w:firstRowFirstColumn="0" w:firstRowLastColumn="0" w:lastRowFirstColumn="0" w:lastRowLastColumn="0"/>
            </w:pPr>
            <w:r w:rsidRPr="00856B02">
              <w:rPr>
                <w:rFonts w:asciiTheme="majorHAnsi" w:hAnsiTheme="majorHAnsi"/>
                <w:color w:val="006EC8" w:themeColor="accent1"/>
              </w:rPr>
              <w:t xml:space="preserve">35,895 </w:t>
            </w:r>
            <w:r w:rsidR="00A02B3C">
              <w:t xml:space="preserve">young jobseekers </w:t>
            </w:r>
            <w:r>
              <w:t xml:space="preserve">who </w:t>
            </w:r>
            <w:r w:rsidR="00856B02" w:rsidRPr="00856B02">
              <w:t xml:space="preserve">previously </w:t>
            </w:r>
            <w:r>
              <w:t>self-</w:t>
            </w:r>
            <w:r w:rsidR="00856B02" w:rsidRPr="00856B02">
              <w:t xml:space="preserve">managed online </w:t>
            </w:r>
            <w:r w:rsidR="0036792F">
              <w:t xml:space="preserve">receive </w:t>
            </w:r>
            <w:r w:rsidR="00856B02" w:rsidRPr="00856B02">
              <w:t xml:space="preserve">specialist youth </w:t>
            </w:r>
            <w:r w:rsidR="0036792F">
              <w:t>employment services</w:t>
            </w:r>
            <w:r w:rsidR="00651B7E">
              <w:t xml:space="preserve"> from providers</w:t>
            </w:r>
            <w:r w:rsidR="00856B02" w:rsidRPr="00856B02">
              <w:t>.</w:t>
            </w:r>
          </w:p>
        </w:tc>
      </w:tr>
      <w:tr w:rsidR="0050251F" w14:paraId="52343076" w14:textId="77777777" w:rsidTr="00336177">
        <w:trPr>
          <w:cantSplit/>
          <w:trHeight w:val="574"/>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2DA96C8" w14:textId="7532F924" w:rsidR="0050251F" w:rsidRPr="00087FBC" w:rsidRDefault="00087FBC" w:rsidP="0050251F">
            <w:pPr>
              <w:rPr>
                <w:b w:val="0"/>
              </w:rPr>
            </w:pPr>
            <w:r w:rsidRPr="00087FBC">
              <w:rPr>
                <w:b w:val="0"/>
                <w:bCs w:val="0"/>
              </w:rPr>
              <w:t xml:space="preserve">Reprofile provider payments </w:t>
            </w:r>
          </w:p>
        </w:tc>
        <w:tc>
          <w:tcPr>
            <w:tcW w:w="1701" w:type="dxa"/>
            <w:vAlign w:val="center"/>
          </w:tcPr>
          <w:p w14:paraId="50101D7A" w14:textId="7C382970" w:rsidR="00087FBC" w:rsidRPr="004E64BE" w:rsidRDefault="00087FBC"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64BE">
              <w:rPr>
                <w:rFonts w:asciiTheme="majorHAnsi" w:hAnsiTheme="majorHAnsi"/>
              </w:rPr>
              <w:t>$0</w:t>
            </w:r>
            <w:r w:rsidR="00DE7607">
              <w:rPr>
                <w:rFonts w:asciiTheme="majorHAnsi" w:hAnsiTheme="majorHAnsi"/>
              </w:rPr>
              <w:t>M</w:t>
            </w:r>
          </w:p>
        </w:tc>
        <w:tc>
          <w:tcPr>
            <w:tcW w:w="5054" w:type="dxa"/>
            <w:vAlign w:val="center"/>
          </w:tcPr>
          <w:p w14:paraId="46D771C3" w14:textId="23470C06" w:rsidR="0050251F" w:rsidRDefault="00860369" w:rsidP="0050251F">
            <w:pPr>
              <w:cnfStyle w:val="000000000000" w:firstRow="0" w:lastRow="0" w:firstColumn="0" w:lastColumn="0" w:oddVBand="0" w:evenVBand="0" w:oddHBand="0" w:evenHBand="0" w:firstRowFirstColumn="0" w:firstRowLastColumn="0" w:lastRowFirstColumn="0" w:lastRowLastColumn="0"/>
            </w:pPr>
            <w:r w:rsidRPr="00860369">
              <w:t xml:space="preserve">Reduces reliance on outcome payments, with outcome-based funding set at </w:t>
            </w:r>
            <w:r w:rsidRPr="00860369">
              <w:rPr>
                <w:rFonts w:asciiTheme="majorHAnsi" w:hAnsiTheme="majorHAnsi"/>
                <w:color w:val="006EC8" w:themeColor="accent1"/>
              </w:rPr>
              <w:t>44%</w:t>
            </w:r>
            <w:r w:rsidRPr="00860369">
              <w:rPr>
                <w:color w:val="006EC8" w:themeColor="accent1"/>
              </w:rPr>
              <w:t xml:space="preserve"> </w:t>
            </w:r>
            <w:r w:rsidRPr="00860369">
              <w:t>across cohorts, improving alignment with service delivery costs</w:t>
            </w:r>
            <w:r w:rsidR="00651B7E">
              <w:t xml:space="preserve"> – modelled to be cost neutral</w:t>
            </w:r>
            <w:r w:rsidRPr="00860369">
              <w:t>.</w:t>
            </w:r>
          </w:p>
        </w:tc>
      </w:tr>
      <w:tr w:rsidR="0050251F" w14:paraId="1F1DA069"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9389FF" w14:textId="169A5DF3" w:rsidR="0050251F" w:rsidRPr="004B7082" w:rsidRDefault="00AD0D7A" w:rsidP="0050251F">
            <w:pPr>
              <w:rPr>
                <w:b w:val="0"/>
              </w:rPr>
            </w:pPr>
            <w:r w:rsidRPr="004B7082">
              <w:rPr>
                <w:b w:val="0"/>
                <w:bCs w:val="0"/>
              </w:rPr>
              <w:t xml:space="preserve">Reduce frontline administrative </w:t>
            </w:r>
            <w:r w:rsidR="004B7082" w:rsidRPr="004B7082">
              <w:rPr>
                <w:b w:val="0"/>
                <w:bCs w:val="0"/>
              </w:rPr>
              <w:t>duties</w:t>
            </w:r>
          </w:p>
        </w:tc>
        <w:tc>
          <w:tcPr>
            <w:tcW w:w="1701" w:type="dxa"/>
            <w:vAlign w:val="center"/>
          </w:tcPr>
          <w:p w14:paraId="4EFFD50B" w14:textId="76DCCC43" w:rsidR="004B7082" w:rsidRPr="00070D16" w:rsidRDefault="004B7082"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70D16">
              <w:rPr>
                <w:rFonts w:asciiTheme="majorHAnsi" w:hAnsiTheme="majorHAnsi"/>
              </w:rPr>
              <w:t>$0</w:t>
            </w:r>
            <w:r w:rsidR="00DE7607">
              <w:rPr>
                <w:rFonts w:asciiTheme="majorHAnsi" w:hAnsiTheme="majorHAnsi"/>
              </w:rPr>
              <w:t>M</w:t>
            </w:r>
          </w:p>
        </w:tc>
        <w:tc>
          <w:tcPr>
            <w:tcW w:w="5054" w:type="dxa"/>
            <w:vAlign w:val="center"/>
          </w:tcPr>
          <w:p w14:paraId="5121F76B" w14:textId="168EC768" w:rsidR="0050251F" w:rsidRDefault="00367957" w:rsidP="0050251F">
            <w:pPr>
              <w:cnfStyle w:val="000000100000" w:firstRow="0" w:lastRow="0" w:firstColumn="0" w:lastColumn="0" w:oddVBand="0" w:evenVBand="0" w:oddHBand="1" w:evenHBand="0" w:firstRowFirstColumn="0" w:firstRowLastColumn="0" w:lastRowFirstColumn="0" w:lastRowLastColumn="0"/>
            </w:pPr>
            <w:r>
              <w:t>Investments in improving the digital platform, changing compliance duties of frontline caseworkers, and changing provider commissioning reduces administrative duties and i</w:t>
            </w:r>
            <w:r w:rsidRPr="00956914">
              <w:t xml:space="preserve">ncreases average direct caseworker </w:t>
            </w:r>
            <w:r>
              <w:t>contact</w:t>
            </w:r>
            <w:r w:rsidRPr="00956914">
              <w:t xml:space="preserve"> time per </w:t>
            </w:r>
            <w:r>
              <w:t>case</w:t>
            </w:r>
            <w:r w:rsidRPr="00956914">
              <w:t xml:space="preserve"> by </w:t>
            </w:r>
            <w:r w:rsidRPr="00956914">
              <w:rPr>
                <w:rFonts w:asciiTheme="majorHAnsi" w:hAnsiTheme="majorHAnsi"/>
                <w:b/>
                <w:bCs/>
                <w:color w:val="006EC8" w:themeColor="accent1"/>
              </w:rPr>
              <w:t>40%</w:t>
            </w:r>
            <w:r w:rsidRPr="00956914">
              <w:t>.</w:t>
            </w:r>
          </w:p>
        </w:tc>
      </w:tr>
      <w:tr w:rsidR="0050251F" w14:paraId="02549392"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C35A2D6" w14:textId="75B63CAC" w:rsidR="0050251F" w:rsidRPr="00B16AFD" w:rsidRDefault="001C2B32" w:rsidP="0050251F">
            <w:pPr>
              <w:rPr>
                <w:b w:val="0"/>
              </w:rPr>
            </w:pPr>
            <w:r w:rsidRPr="00B16AFD">
              <w:rPr>
                <w:b w:val="0"/>
              </w:rPr>
              <w:t>Reduce case ratio</w:t>
            </w:r>
          </w:p>
        </w:tc>
        <w:tc>
          <w:tcPr>
            <w:tcW w:w="1701" w:type="dxa"/>
            <w:vAlign w:val="center"/>
          </w:tcPr>
          <w:p w14:paraId="5D98930B" w14:textId="64B5B9B1" w:rsidR="002E6109" w:rsidRDefault="002E6109"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r w:rsidR="001C2B32" w:rsidRPr="00070D16">
              <w:rPr>
                <w:rFonts w:asciiTheme="majorHAnsi" w:hAnsiTheme="majorHAnsi"/>
              </w:rPr>
              <w:t>$</w:t>
            </w:r>
            <w:r w:rsidR="006117A7" w:rsidRPr="00070D16">
              <w:rPr>
                <w:rFonts w:asciiTheme="majorHAnsi" w:hAnsiTheme="majorHAnsi"/>
              </w:rPr>
              <w:t>321.8</w:t>
            </w:r>
            <w:r w:rsidR="00DE7607">
              <w:rPr>
                <w:rFonts w:asciiTheme="majorHAnsi" w:hAnsiTheme="majorHAnsi"/>
              </w:rPr>
              <w:t>M</w:t>
            </w:r>
          </w:p>
        </w:tc>
        <w:tc>
          <w:tcPr>
            <w:tcW w:w="5054" w:type="dxa"/>
            <w:vAlign w:val="center"/>
          </w:tcPr>
          <w:p w14:paraId="10B4C775" w14:textId="6D5BEE93" w:rsidR="0050251F" w:rsidRDefault="00042ECB" w:rsidP="0050251F">
            <w:pPr>
              <w:cnfStyle w:val="000000000000" w:firstRow="0" w:lastRow="0" w:firstColumn="0" w:lastColumn="0" w:oddVBand="0" w:evenVBand="0" w:oddHBand="0" w:evenHBand="0" w:firstRowFirstColumn="0" w:firstRowLastColumn="0" w:lastRowFirstColumn="0" w:lastRowLastColumn="0"/>
            </w:pPr>
            <w:r>
              <w:t>Funding to increase the number of frontline case</w:t>
            </w:r>
            <w:r w:rsidR="005B440F">
              <w:t>workers, f</w:t>
            </w:r>
            <w:r w:rsidR="00956914" w:rsidRPr="00956914">
              <w:t>urther increas</w:t>
            </w:r>
            <w:r w:rsidR="005B440F">
              <w:t>ing</w:t>
            </w:r>
            <w:r w:rsidR="009E70BC">
              <w:t xml:space="preserve"> average caseworker </w:t>
            </w:r>
            <w:r w:rsidR="006F2CE2">
              <w:t xml:space="preserve">contact </w:t>
            </w:r>
            <w:r w:rsidR="009E70BC">
              <w:t xml:space="preserve">time </w:t>
            </w:r>
            <w:r w:rsidR="00956914" w:rsidRPr="00956914">
              <w:t xml:space="preserve">per </w:t>
            </w:r>
            <w:r w:rsidR="00956914">
              <w:t>case</w:t>
            </w:r>
            <w:r w:rsidR="007030B8">
              <w:t xml:space="preserve"> by </w:t>
            </w:r>
            <w:r w:rsidR="00956914" w:rsidRPr="00956914">
              <w:t xml:space="preserve">around </w:t>
            </w:r>
            <w:r w:rsidR="00D34540" w:rsidRPr="00292B62">
              <w:rPr>
                <w:rFonts w:asciiTheme="majorHAnsi" w:hAnsiTheme="majorHAnsi"/>
                <w:b/>
                <w:bCs/>
                <w:color w:val="006EC8" w:themeColor="accent1"/>
              </w:rPr>
              <w:t>80</w:t>
            </w:r>
            <w:r w:rsidR="00956914" w:rsidRPr="00292B62">
              <w:rPr>
                <w:rFonts w:asciiTheme="majorHAnsi" w:hAnsiTheme="majorHAnsi"/>
                <w:b/>
                <w:bCs/>
                <w:color w:val="006EC8" w:themeColor="accent1"/>
              </w:rPr>
              <w:t>%.</w:t>
            </w:r>
          </w:p>
        </w:tc>
      </w:tr>
      <w:tr w:rsidR="0050251F" w14:paraId="4B851EEB"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C545496" w14:textId="48E33E1A" w:rsidR="0050251F" w:rsidRPr="00ED006F" w:rsidRDefault="00B16AFD" w:rsidP="0050251F">
            <w:pPr>
              <w:rPr>
                <w:b w:val="0"/>
              </w:rPr>
            </w:pPr>
            <w:r w:rsidRPr="00ED006F">
              <w:rPr>
                <w:b w:val="0"/>
              </w:rPr>
              <w:lastRenderedPageBreak/>
              <w:t xml:space="preserve">Increase frontline </w:t>
            </w:r>
            <w:r w:rsidR="009D71D4" w:rsidRPr="00ED006F">
              <w:rPr>
                <w:b w:val="0"/>
              </w:rPr>
              <w:t>salaries</w:t>
            </w:r>
          </w:p>
        </w:tc>
        <w:tc>
          <w:tcPr>
            <w:tcW w:w="1701" w:type="dxa"/>
            <w:vAlign w:val="center"/>
          </w:tcPr>
          <w:p w14:paraId="2F01D4A8" w14:textId="7459EB32" w:rsidR="002E6109" w:rsidRDefault="002E6109"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r w:rsidR="009D71D4" w:rsidRPr="00070D16">
              <w:rPr>
                <w:rFonts w:asciiTheme="majorHAnsi" w:hAnsiTheme="majorHAnsi"/>
              </w:rPr>
              <w:t>$452.3</w:t>
            </w:r>
            <w:r w:rsidR="00D30470">
              <w:rPr>
                <w:rFonts w:asciiTheme="majorHAnsi" w:hAnsiTheme="majorHAnsi"/>
              </w:rPr>
              <w:t>M</w:t>
            </w:r>
          </w:p>
        </w:tc>
        <w:tc>
          <w:tcPr>
            <w:tcW w:w="5054" w:type="dxa"/>
            <w:vAlign w:val="center"/>
          </w:tcPr>
          <w:p w14:paraId="1A3DAF91" w14:textId="51D583A9" w:rsidR="0050251F" w:rsidRDefault="005B440F" w:rsidP="0050251F">
            <w:pPr>
              <w:cnfStyle w:val="000000100000" w:firstRow="0" w:lastRow="0" w:firstColumn="0" w:lastColumn="0" w:oddVBand="0" w:evenVBand="0" w:oddHBand="1" w:evenHBand="0" w:firstRowFirstColumn="0" w:firstRowLastColumn="0" w:lastRowFirstColumn="0" w:lastRowLastColumn="0"/>
            </w:pPr>
            <w:r>
              <w:t>Funding to r</w:t>
            </w:r>
            <w:r w:rsidR="002E6109">
              <w:t>aise</w:t>
            </w:r>
            <w:r w:rsidR="009D71D4">
              <w:t xml:space="preserve"> average </w:t>
            </w:r>
            <w:r w:rsidR="001C3804">
              <w:t xml:space="preserve">frontline </w:t>
            </w:r>
            <w:r w:rsidR="00786E59">
              <w:t xml:space="preserve">annual </w:t>
            </w:r>
            <w:r w:rsidR="009D71D4">
              <w:t xml:space="preserve">salary </w:t>
            </w:r>
            <w:r w:rsidR="00341002">
              <w:t>by 40%</w:t>
            </w:r>
            <w:r w:rsidR="00EF3616">
              <w:t>,</w:t>
            </w:r>
            <w:r w:rsidR="00341002">
              <w:t xml:space="preserve"> </w:t>
            </w:r>
            <w:r w:rsidR="00D74706">
              <w:t>from $6</w:t>
            </w:r>
            <w:r w:rsidR="008C679C">
              <w:t xml:space="preserve">1,600 to </w:t>
            </w:r>
            <w:r w:rsidR="00786E59" w:rsidRPr="001A3FF1">
              <w:rPr>
                <w:rFonts w:asciiTheme="majorHAnsi" w:hAnsiTheme="majorHAnsi"/>
                <w:color w:val="006EC8" w:themeColor="accent1"/>
              </w:rPr>
              <w:t>$92,125</w:t>
            </w:r>
            <w:r w:rsidR="005F1F05">
              <w:t xml:space="preserve">, </w:t>
            </w:r>
            <w:r w:rsidR="00070D16">
              <w:t>(incl. superannuation)</w:t>
            </w:r>
            <w:r w:rsidR="00CF20B3">
              <w:t>, supporting workfor</w:t>
            </w:r>
            <w:r w:rsidR="00ED006F">
              <w:t>ce retention and professionalisation.</w:t>
            </w:r>
          </w:p>
        </w:tc>
      </w:tr>
      <w:tr w:rsidR="00070D16" w14:paraId="18DB6763"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59D333B" w14:textId="758A1062" w:rsidR="00070D16" w:rsidRPr="001A3FF1" w:rsidRDefault="001A3FF1" w:rsidP="00B60285">
            <w:pPr>
              <w:rPr>
                <w:b w:val="0"/>
              </w:rPr>
            </w:pPr>
            <w:r w:rsidRPr="001A3FF1">
              <w:rPr>
                <w:b w:val="0"/>
                <w:bCs w:val="0"/>
              </w:rPr>
              <w:t>Increase resourcing for target cohorts</w:t>
            </w:r>
          </w:p>
        </w:tc>
        <w:tc>
          <w:tcPr>
            <w:tcW w:w="1701" w:type="dxa"/>
            <w:vAlign w:val="center"/>
          </w:tcPr>
          <w:p w14:paraId="5AC35D96" w14:textId="5EC394B8" w:rsidR="00070D16" w:rsidRDefault="001A3FF1" w:rsidP="00F43BF1">
            <w:pPr>
              <w:jc w:val="right"/>
              <w:cnfStyle w:val="000000000000" w:firstRow="0" w:lastRow="0" w:firstColumn="0" w:lastColumn="0" w:oddVBand="0" w:evenVBand="0" w:oddHBand="0" w:evenHBand="0" w:firstRowFirstColumn="0" w:firstRowLastColumn="0" w:lastRowFirstColumn="0" w:lastRowLastColumn="0"/>
            </w:pPr>
            <w:r>
              <w:rPr>
                <w:rFonts w:asciiTheme="majorHAnsi" w:hAnsiTheme="majorHAnsi"/>
              </w:rPr>
              <w:t>+</w:t>
            </w:r>
            <w:r w:rsidRPr="00070D16">
              <w:rPr>
                <w:rFonts w:asciiTheme="majorHAnsi" w:hAnsiTheme="majorHAnsi"/>
              </w:rPr>
              <w:t>$</w:t>
            </w:r>
            <w:r>
              <w:rPr>
                <w:rFonts w:asciiTheme="majorHAnsi" w:hAnsiTheme="majorHAnsi"/>
              </w:rPr>
              <w:t>199</w:t>
            </w:r>
            <w:r w:rsidRPr="00070D16">
              <w:rPr>
                <w:rFonts w:asciiTheme="majorHAnsi" w:hAnsiTheme="majorHAnsi"/>
              </w:rPr>
              <w:t>.3</w:t>
            </w:r>
            <w:r w:rsidR="000C7CC1">
              <w:rPr>
                <w:rFonts w:asciiTheme="majorHAnsi" w:hAnsiTheme="majorHAnsi"/>
              </w:rPr>
              <w:t>M</w:t>
            </w:r>
          </w:p>
        </w:tc>
        <w:tc>
          <w:tcPr>
            <w:tcW w:w="5054" w:type="dxa"/>
            <w:vAlign w:val="center"/>
          </w:tcPr>
          <w:p w14:paraId="13EA26B3" w14:textId="05AC817C" w:rsidR="00070D16" w:rsidRDefault="00092349" w:rsidP="00954F1E">
            <w:pPr>
              <w:cnfStyle w:val="000000000000" w:firstRow="0" w:lastRow="0" w:firstColumn="0" w:lastColumn="0" w:oddVBand="0" w:evenVBand="0" w:oddHBand="0" w:evenHBand="0" w:firstRowFirstColumn="0" w:firstRowLastColumn="0" w:lastRowFirstColumn="0" w:lastRowLastColumn="0"/>
            </w:pPr>
            <w:r>
              <w:t>Funding to i</w:t>
            </w:r>
            <w:r w:rsidR="005B01F0">
              <w:t>ncrease</w:t>
            </w:r>
            <w:r w:rsidR="00954F1E">
              <w:t xml:space="preserve"> staff costs of</w:t>
            </w:r>
            <w:r w:rsidR="00BE09FF">
              <w:t xml:space="preserve"> </w:t>
            </w:r>
            <w:r w:rsidR="00740C00">
              <w:t>specialist providers delivering service</w:t>
            </w:r>
            <w:r w:rsidR="003142E4">
              <w:t>s</w:t>
            </w:r>
            <w:r w:rsidR="00740C00">
              <w:t xml:space="preserve"> to youth and </w:t>
            </w:r>
            <w:r w:rsidR="00691D17">
              <w:t xml:space="preserve">jobseekers in target cohorts by </w:t>
            </w:r>
            <w:r w:rsidR="00954F1E">
              <w:rPr>
                <w:rFonts w:asciiTheme="majorHAnsi" w:hAnsiTheme="majorHAnsi"/>
                <w:color w:val="006EC8" w:themeColor="accent1"/>
              </w:rPr>
              <w:t>20</w:t>
            </w:r>
            <w:r w:rsidR="00691D17" w:rsidRPr="00691D17">
              <w:rPr>
                <w:rFonts w:asciiTheme="majorHAnsi" w:hAnsiTheme="majorHAnsi"/>
                <w:color w:val="006EC8" w:themeColor="accent1"/>
              </w:rPr>
              <w:t>%</w:t>
            </w:r>
            <w:r w:rsidR="000573C7" w:rsidRPr="00F95C82">
              <w:t>.</w:t>
            </w:r>
            <w:r w:rsidR="00814C75" w:rsidRPr="00F95C82">
              <w:t xml:space="preserve"> </w:t>
            </w:r>
            <w:r w:rsidR="00954F1E">
              <w:t>P</w:t>
            </w:r>
            <w:r w:rsidR="00954F1E" w:rsidRPr="001A6C0E">
              <w:t>roviders can use the additional loading to contract specialist services, such as interpreters, or to recruit additional frontline staff to further reduce case ratios.</w:t>
            </w:r>
            <w:r w:rsidR="00954F1E">
              <w:t xml:space="preserve"> </w:t>
            </w:r>
            <w:r w:rsidR="00942894">
              <w:t>It can also enable</w:t>
            </w:r>
            <w:r w:rsidR="00954F1E">
              <w:t xml:space="preserve"> more intense, wrap-around services.</w:t>
            </w:r>
          </w:p>
        </w:tc>
      </w:tr>
      <w:tr w:rsidR="001A3FF1" w14:paraId="50CDD341"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7D746D9" w14:textId="0841E019" w:rsidR="001A3FF1" w:rsidRPr="001A3FF1" w:rsidRDefault="00DA5F2C" w:rsidP="00B60285">
            <w:pPr>
              <w:rPr>
                <w:b w:val="0"/>
                <w:bCs w:val="0"/>
              </w:rPr>
            </w:pPr>
            <w:r>
              <w:rPr>
                <w:b w:val="0"/>
                <w:bCs w:val="0"/>
              </w:rPr>
              <w:t xml:space="preserve">Shift </w:t>
            </w:r>
            <w:r w:rsidR="00BD03A7">
              <w:rPr>
                <w:b w:val="0"/>
                <w:bCs w:val="0"/>
              </w:rPr>
              <w:t xml:space="preserve">some </w:t>
            </w:r>
            <w:r w:rsidR="00974A69">
              <w:rPr>
                <w:b w:val="0"/>
                <w:bCs w:val="0"/>
              </w:rPr>
              <w:t xml:space="preserve">provider cases to APS </w:t>
            </w:r>
          </w:p>
        </w:tc>
        <w:tc>
          <w:tcPr>
            <w:tcW w:w="1701" w:type="dxa"/>
            <w:vAlign w:val="center"/>
          </w:tcPr>
          <w:p w14:paraId="38C5B9F1" w14:textId="7ECB0E1F" w:rsidR="001A3FF1" w:rsidRDefault="00974A69"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r w:rsidR="009321E9">
              <w:rPr>
                <w:rFonts w:asciiTheme="majorHAnsi" w:hAnsiTheme="majorHAnsi"/>
              </w:rPr>
              <w:t>219.5</w:t>
            </w:r>
            <w:r w:rsidR="004B347E">
              <w:rPr>
                <w:rFonts w:asciiTheme="majorHAnsi" w:hAnsiTheme="majorHAnsi"/>
              </w:rPr>
              <w:t>M</w:t>
            </w:r>
          </w:p>
        </w:tc>
        <w:tc>
          <w:tcPr>
            <w:tcW w:w="5054" w:type="dxa"/>
            <w:vAlign w:val="center"/>
          </w:tcPr>
          <w:p w14:paraId="147B147E" w14:textId="5EE08981" w:rsidR="001A3FF1" w:rsidRDefault="00B6264A" w:rsidP="00B60285">
            <w:pPr>
              <w:cnfStyle w:val="000000100000" w:firstRow="0" w:lastRow="0" w:firstColumn="0" w:lastColumn="0" w:oddVBand="0" w:evenVBand="0" w:oddHBand="1" w:evenHBand="0" w:firstRowFirstColumn="0" w:firstRowLastColumn="0" w:lastRowFirstColumn="0" w:lastRowLastColumn="0"/>
            </w:pPr>
            <w:r>
              <w:t xml:space="preserve">Transfers </w:t>
            </w:r>
            <w:r w:rsidR="001F29E2" w:rsidRPr="009A565D">
              <w:rPr>
                <w:rFonts w:asciiTheme="majorHAnsi" w:hAnsiTheme="majorHAnsi"/>
                <w:color w:val="006EC8" w:themeColor="accent1"/>
              </w:rPr>
              <w:t>95,861</w:t>
            </w:r>
            <w:r w:rsidR="00553EBA">
              <w:t xml:space="preserve"> </w:t>
            </w:r>
            <w:r>
              <w:t>high-intensity c</w:t>
            </w:r>
            <w:r w:rsidR="001F29E2">
              <w:t>ases</w:t>
            </w:r>
            <w:r>
              <w:t xml:space="preserve"> from partner providers to the APS.</w:t>
            </w:r>
          </w:p>
        </w:tc>
      </w:tr>
      <w:tr w:rsidR="00971F52" w14:paraId="448D5F8B"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A235310" w14:textId="54A666D6" w:rsidR="00971F52" w:rsidRDefault="00971F52" w:rsidP="00B60285">
            <w:pPr>
              <w:rPr>
                <w:b w:val="0"/>
                <w:bCs w:val="0"/>
              </w:rPr>
            </w:pPr>
            <w:r>
              <w:rPr>
                <w:b w:val="0"/>
                <w:bCs w:val="0"/>
              </w:rPr>
              <w:t>Re</w:t>
            </w:r>
            <w:r w:rsidR="00BD03A7">
              <w:rPr>
                <w:b w:val="0"/>
                <w:bCs w:val="0"/>
              </w:rPr>
              <w:t>s</w:t>
            </w:r>
            <w:r>
              <w:rPr>
                <w:b w:val="0"/>
                <w:bCs w:val="0"/>
              </w:rPr>
              <w:t>our</w:t>
            </w:r>
            <w:r w:rsidR="00BD03A7">
              <w:rPr>
                <w:b w:val="0"/>
                <w:bCs w:val="0"/>
              </w:rPr>
              <w:t>c</w:t>
            </w:r>
            <w:r>
              <w:rPr>
                <w:b w:val="0"/>
                <w:bCs w:val="0"/>
              </w:rPr>
              <w:t xml:space="preserve">e APS to </w:t>
            </w:r>
            <w:r w:rsidR="005840C5">
              <w:rPr>
                <w:b w:val="0"/>
                <w:bCs w:val="0"/>
              </w:rPr>
              <w:t>directly manage some cases</w:t>
            </w:r>
          </w:p>
        </w:tc>
        <w:tc>
          <w:tcPr>
            <w:tcW w:w="1701" w:type="dxa"/>
            <w:vAlign w:val="center"/>
          </w:tcPr>
          <w:p w14:paraId="28366647" w14:textId="56706C53" w:rsidR="00971F52" w:rsidRDefault="00DB0FB4"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+$343.8</w:t>
            </w:r>
            <w:r w:rsidR="00AB69F3">
              <w:rPr>
                <w:rFonts w:asciiTheme="majorHAnsi" w:hAnsiTheme="majorHAnsi"/>
              </w:rPr>
              <w:t>M</w:t>
            </w:r>
          </w:p>
        </w:tc>
        <w:tc>
          <w:tcPr>
            <w:tcW w:w="5054" w:type="dxa"/>
            <w:vAlign w:val="center"/>
          </w:tcPr>
          <w:p w14:paraId="49FE86FC" w14:textId="01424DBC" w:rsidR="00971F52" w:rsidRDefault="00B6264A" w:rsidP="00B60285">
            <w:pPr>
              <w:cnfStyle w:val="000000000000" w:firstRow="0" w:lastRow="0" w:firstColumn="0" w:lastColumn="0" w:oddVBand="0" w:evenVBand="0" w:oddHBand="0" w:evenHBand="0" w:firstRowFirstColumn="0" w:firstRowLastColumn="0" w:lastRowFirstColumn="0" w:lastRowLastColumn="0"/>
            </w:pPr>
            <w:r>
              <w:t>Funds</w:t>
            </w:r>
            <w:r w:rsidR="00786634">
              <w:t xml:space="preserve"> </w:t>
            </w:r>
            <w:r w:rsidR="00BA0DF9" w:rsidRPr="009A565D">
              <w:rPr>
                <w:rFonts w:asciiTheme="majorHAnsi" w:hAnsiTheme="majorHAnsi"/>
                <w:color w:val="006EC8" w:themeColor="accent1"/>
              </w:rPr>
              <w:t>1,917</w:t>
            </w:r>
            <w:r w:rsidR="00BA0DF9" w:rsidRPr="009A565D">
              <w:rPr>
                <w:color w:val="006EC8" w:themeColor="accent1"/>
              </w:rPr>
              <w:t xml:space="preserve"> </w:t>
            </w:r>
            <w:r w:rsidR="00BA0DF9">
              <w:t>APS frontline staff to provide</w:t>
            </w:r>
            <w:r w:rsidR="009A565D">
              <w:t xml:space="preserve"> high-intensity support to transferred</w:t>
            </w:r>
            <w:r w:rsidR="007E52CE">
              <w:t xml:space="preserve"> cases</w:t>
            </w:r>
            <w:r w:rsidR="00DB4971">
              <w:t xml:space="preserve">, </w:t>
            </w:r>
            <w:r w:rsidR="009952B9">
              <w:t>including</w:t>
            </w:r>
            <w:r w:rsidR="00DB4971">
              <w:t xml:space="preserve"> managerial</w:t>
            </w:r>
            <w:r w:rsidR="00F50F33">
              <w:t xml:space="preserve"> and corporate overheads</w:t>
            </w:r>
            <w:r w:rsidR="00BA0DF9">
              <w:t xml:space="preserve">. </w:t>
            </w:r>
          </w:p>
        </w:tc>
      </w:tr>
      <w:tr w:rsidR="00582763" w14:paraId="51C98C13"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7129074" w14:textId="57D161A1" w:rsidR="00582763" w:rsidRPr="00E520F1" w:rsidRDefault="001A05A7" w:rsidP="00B60285">
            <w:pPr>
              <w:rPr>
                <w:b w:val="0"/>
                <w:bCs w:val="0"/>
              </w:rPr>
            </w:pPr>
            <w:r>
              <w:rPr>
                <w:b w:val="0"/>
                <w:bCs w:val="0"/>
              </w:rPr>
              <w:t>Operate an enhanced</w:t>
            </w:r>
            <w:r w:rsidR="00582763" w:rsidRPr="00E520F1">
              <w:rPr>
                <w:b w:val="0"/>
                <w:bCs w:val="0"/>
              </w:rPr>
              <w:t xml:space="preserve"> digital plat</w:t>
            </w:r>
            <w:r w:rsidR="00E520F1" w:rsidRPr="00E520F1">
              <w:rPr>
                <w:b w:val="0"/>
                <w:bCs w:val="0"/>
              </w:rPr>
              <w:t>form</w:t>
            </w:r>
          </w:p>
        </w:tc>
        <w:tc>
          <w:tcPr>
            <w:tcW w:w="1701" w:type="dxa"/>
            <w:vAlign w:val="center"/>
          </w:tcPr>
          <w:p w14:paraId="4E3C9160" w14:textId="7686F538" w:rsidR="00582763" w:rsidRDefault="00E520F1"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r w:rsidR="001A05A7">
              <w:rPr>
                <w:rFonts w:asciiTheme="majorHAnsi" w:hAnsiTheme="majorHAnsi"/>
              </w:rPr>
              <w:t>38</w:t>
            </w:r>
            <w:r>
              <w:rPr>
                <w:rFonts w:asciiTheme="majorHAnsi" w:hAnsiTheme="majorHAnsi"/>
              </w:rPr>
              <w:t>.</w:t>
            </w:r>
            <w:r w:rsidR="001A05A7">
              <w:rPr>
                <w:rFonts w:asciiTheme="majorHAnsi" w:hAnsiTheme="majorHAnsi"/>
              </w:rPr>
              <w:t>8</w:t>
            </w:r>
            <w:r w:rsidR="00AB69F3">
              <w:rPr>
                <w:rFonts w:asciiTheme="majorHAnsi" w:hAnsiTheme="majorHAnsi"/>
              </w:rPr>
              <w:t>M</w:t>
            </w:r>
          </w:p>
        </w:tc>
        <w:tc>
          <w:tcPr>
            <w:tcW w:w="5054" w:type="dxa"/>
            <w:vAlign w:val="center"/>
          </w:tcPr>
          <w:p w14:paraId="04A1E48C" w14:textId="2ADDFA63" w:rsidR="00582763" w:rsidRDefault="00E520F1" w:rsidP="00F069D0">
            <w:pPr>
              <w:cnfStyle w:val="000000100000" w:firstRow="0" w:lastRow="0" w:firstColumn="0" w:lastColumn="0" w:oddVBand="0" w:evenVBand="0" w:oddHBand="1" w:evenHBand="0" w:firstRowFirstColumn="0" w:firstRowLastColumn="0" w:lastRowFirstColumn="0" w:lastRowLastColumn="0"/>
            </w:pPr>
            <w:r>
              <w:t>Maintain</w:t>
            </w:r>
            <w:r w:rsidR="00786634">
              <w:t>s</w:t>
            </w:r>
            <w:r>
              <w:t xml:space="preserve"> an </w:t>
            </w:r>
            <w:r w:rsidR="00CF0D71">
              <w:t>upgraded</w:t>
            </w:r>
            <w:r>
              <w:t xml:space="preserve"> digital platform that</w:t>
            </w:r>
            <w:r w:rsidR="00CF0D71">
              <w:t xml:space="preserve"> </w:t>
            </w:r>
            <w:r w:rsidR="00F069D0">
              <w:t>alleviates the</w:t>
            </w:r>
            <w:r w:rsidR="00CF0D71">
              <w:t xml:space="preserve"> administrative burden</w:t>
            </w:r>
            <w:r w:rsidR="00F069D0">
              <w:t>, freeing up frontline staff time for direct j</w:t>
            </w:r>
            <w:r w:rsidR="00D75649">
              <w:t>obseeker</w:t>
            </w:r>
            <w:r w:rsidR="00F069D0">
              <w:t xml:space="preserve"> support; estimated efficiency benefit </w:t>
            </w:r>
            <w:r w:rsidR="002A23BE">
              <w:t>is</w:t>
            </w:r>
            <w:r w:rsidR="00F069D0">
              <w:t xml:space="preserve"> equivalent to </w:t>
            </w:r>
            <w:r w:rsidR="00D75649" w:rsidRPr="00D75649">
              <w:rPr>
                <w:rFonts w:asciiTheme="majorHAnsi" w:hAnsiTheme="majorHAnsi"/>
                <w:color w:val="006EC8" w:themeColor="accent1"/>
              </w:rPr>
              <w:t>2</w:t>
            </w:r>
            <w:r w:rsidR="00D75649">
              <w:rPr>
                <w:rFonts w:asciiTheme="majorHAnsi" w:hAnsiTheme="majorHAnsi"/>
                <w:color w:val="006EC8" w:themeColor="accent1"/>
              </w:rPr>
              <w:t>x</w:t>
            </w:r>
            <w:r w:rsidR="00D75649" w:rsidRPr="00D75649">
              <w:rPr>
                <w:color w:val="006EC8" w:themeColor="accent1"/>
              </w:rPr>
              <w:t xml:space="preserve"> </w:t>
            </w:r>
            <w:r w:rsidR="00D75649">
              <w:t xml:space="preserve">the </w:t>
            </w:r>
            <w:r w:rsidR="00F069D0">
              <w:t>operating cost.</w:t>
            </w:r>
          </w:p>
        </w:tc>
      </w:tr>
      <w:tr w:rsidR="00BA0DF9" w14:paraId="3376913A"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3B54892" w14:textId="1BE32B9F" w:rsidR="00BA0DF9" w:rsidRDefault="008D4DD9" w:rsidP="00B60285">
            <w:pPr>
              <w:rPr>
                <w:b w:val="0"/>
                <w:bCs w:val="0"/>
              </w:rPr>
            </w:pPr>
            <w:r>
              <w:rPr>
                <w:b w:val="0"/>
                <w:bCs w:val="0"/>
              </w:rPr>
              <w:t>Operate Regional hubs</w:t>
            </w:r>
          </w:p>
        </w:tc>
        <w:tc>
          <w:tcPr>
            <w:tcW w:w="1701" w:type="dxa"/>
            <w:vAlign w:val="center"/>
          </w:tcPr>
          <w:p w14:paraId="6CADEECA" w14:textId="17596A7E" w:rsidR="00BA0DF9" w:rsidRDefault="00E227D8"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+$159.8</w:t>
            </w:r>
            <w:r w:rsidR="00034D34">
              <w:rPr>
                <w:rFonts w:asciiTheme="majorHAnsi" w:hAnsiTheme="majorHAnsi"/>
              </w:rPr>
              <w:t>M</w:t>
            </w:r>
          </w:p>
        </w:tc>
        <w:tc>
          <w:tcPr>
            <w:tcW w:w="5054" w:type="dxa"/>
            <w:vAlign w:val="center"/>
          </w:tcPr>
          <w:p w14:paraId="67AEAED8" w14:textId="60548601" w:rsidR="00BA0DF9" w:rsidRDefault="009B4B65" w:rsidP="00B60285">
            <w:pPr>
              <w:cnfStyle w:val="000000000000" w:firstRow="0" w:lastRow="0" w:firstColumn="0" w:lastColumn="0" w:oddVBand="0" w:evenVBand="0" w:oddHBand="0" w:evenHBand="0" w:firstRowFirstColumn="0" w:firstRowLastColumn="0" w:lastRowFirstColumn="0" w:lastRowLastColumn="0"/>
            </w:pPr>
            <w:r>
              <w:t>Operates</w:t>
            </w:r>
            <w:r w:rsidR="007E52CE">
              <w:t xml:space="preserve"> a network of </w:t>
            </w:r>
            <w:r w:rsidR="00E227D8" w:rsidRPr="006B701E">
              <w:rPr>
                <w:rFonts w:asciiTheme="majorHAnsi" w:hAnsiTheme="majorHAnsi"/>
                <w:color w:val="006EC8" w:themeColor="accent1"/>
              </w:rPr>
              <w:t>109</w:t>
            </w:r>
            <w:r w:rsidR="00E227D8" w:rsidRPr="006B701E">
              <w:rPr>
                <w:color w:val="006EC8" w:themeColor="accent1"/>
              </w:rPr>
              <w:t xml:space="preserve"> </w:t>
            </w:r>
            <w:r w:rsidR="00E227D8">
              <w:t xml:space="preserve">regional hubs </w:t>
            </w:r>
            <w:r w:rsidR="007E52CE">
              <w:t>to deliver assessment</w:t>
            </w:r>
            <w:r w:rsidR="00F9102D">
              <w:t>, service coordination and referral functions.</w:t>
            </w:r>
          </w:p>
        </w:tc>
      </w:tr>
      <w:tr w:rsidR="00513558" w14:paraId="62A0337D"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1FFCDB7" w14:textId="6A9CD999" w:rsidR="00513558" w:rsidRDefault="00513558" w:rsidP="00E227D8">
            <w:pPr>
              <w:rPr>
                <w:b w:val="0"/>
                <w:bCs w:val="0"/>
              </w:rPr>
            </w:pPr>
            <w:r>
              <w:rPr>
                <w:b w:val="0"/>
                <w:bCs w:val="0"/>
              </w:rPr>
              <w:t>De-link wage subsid</w:t>
            </w:r>
            <w:r w:rsidR="008635E4">
              <w:rPr>
                <w:b w:val="0"/>
                <w:bCs w:val="0"/>
              </w:rPr>
              <w:t>y from Employment Fund</w:t>
            </w:r>
          </w:p>
        </w:tc>
        <w:tc>
          <w:tcPr>
            <w:tcW w:w="1701" w:type="dxa"/>
            <w:vAlign w:val="center"/>
          </w:tcPr>
          <w:p w14:paraId="5D83BFD8" w14:textId="24B3B2A6" w:rsidR="00513558" w:rsidRDefault="004A1742"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+$224.2</w:t>
            </w:r>
            <w:r w:rsidR="000D13AE">
              <w:rPr>
                <w:rFonts w:asciiTheme="majorHAnsi" w:hAnsiTheme="majorHAnsi"/>
              </w:rPr>
              <w:t>M</w:t>
            </w:r>
          </w:p>
        </w:tc>
        <w:tc>
          <w:tcPr>
            <w:tcW w:w="5054" w:type="dxa"/>
            <w:vAlign w:val="center"/>
          </w:tcPr>
          <w:p w14:paraId="22639D8F" w14:textId="23F8D022" w:rsidR="00513558" w:rsidRDefault="00F9102D" w:rsidP="00E227D8">
            <w:pPr>
              <w:cnfStyle w:val="000000100000" w:firstRow="0" w:lastRow="0" w:firstColumn="0" w:lastColumn="0" w:oddVBand="0" w:evenVBand="0" w:oddHBand="1" w:evenHBand="0" w:firstRowFirstColumn="0" w:firstRowLastColumn="0" w:lastRowFirstColumn="0" w:lastRowLastColumn="0"/>
            </w:pPr>
            <w:r>
              <w:t>Increases</w:t>
            </w:r>
            <w:r w:rsidR="00FF233B">
              <w:t xml:space="preserve"> utilisation of </w:t>
            </w:r>
            <w:r w:rsidR="00A442B0">
              <w:t xml:space="preserve">wage </w:t>
            </w:r>
            <w:r w:rsidR="00C3204B">
              <w:t>subsidies</w:t>
            </w:r>
            <w:r w:rsidR="00A442B0">
              <w:t xml:space="preserve"> </w:t>
            </w:r>
            <w:r w:rsidR="005E04C2" w:rsidRPr="006B701E">
              <w:rPr>
                <w:rFonts w:asciiTheme="majorHAnsi" w:hAnsiTheme="majorHAnsi"/>
                <w:color w:val="006EC8" w:themeColor="accent1"/>
              </w:rPr>
              <w:t>by 200%,</w:t>
            </w:r>
            <w:r w:rsidR="005E04C2" w:rsidRPr="006B701E">
              <w:rPr>
                <w:color w:val="006EC8" w:themeColor="accent1"/>
              </w:rPr>
              <w:t xml:space="preserve"> </w:t>
            </w:r>
            <w:r w:rsidR="005E04C2">
              <w:t xml:space="preserve">returning to </w:t>
            </w:r>
            <w:r w:rsidR="009B4B65">
              <w:t>pre-</w:t>
            </w:r>
            <w:r w:rsidR="005E04C2">
              <w:t xml:space="preserve">2019 level </w:t>
            </w:r>
            <w:r w:rsidR="009B4B65">
              <w:t>prior to integration into</w:t>
            </w:r>
            <w:r w:rsidR="006B701E">
              <w:t xml:space="preserve"> the Employment Fund.</w:t>
            </w:r>
          </w:p>
        </w:tc>
      </w:tr>
      <w:tr w:rsidR="004A1742" w14:paraId="5424D43A"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3B49955" w14:textId="6F101C09" w:rsidR="004A1742" w:rsidRDefault="00C531FE" w:rsidP="00E227D8">
            <w:pPr>
              <w:rPr>
                <w:b w:val="0"/>
                <w:bCs w:val="0"/>
              </w:rPr>
            </w:pPr>
            <w:r>
              <w:rPr>
                <w:b w:val="0"/>
                <w:bCs w:val="0"/>
              </w:rPr>
              <w:t>Employment Services Quality Commission</w:t>
            </w:r>
            <w:r w:rsidR="00AF66CE">
              <w:rPr>
                <w:b w:val="0"/>
                <w:bCs w:val="0"/>
              </w:rPr>
              <w:t xml:space="preserve"> (ESQC)</w:t>
            </w:r>
          </w:p>
        </w:tc>
        <w:tc>
          <w:tcPr>
            <w:tcW w:w="1701" w:type="dxa"/>
            <w:vAlign w:val="center"/>
          </w:tcPr>
          <w:p w14:paraId="026B3982" w14:textId="272809DE" w:rsidR="004A1742" w:rsidRDefault="007E0FCC"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+$54.5</w:t>
            </w:r>
            <w:r w:rsidR="00C531FE">
              <w:rPr>
                <w:rFonts w:asciiTheme="majorHAnsi" w:hAnsiTheme="majorHAnsi"/>
              </w:rPr>
              <w:t>M</w:t>
            </w:r>
          </w:p>
        </w:tc>
        <w:tc>
          <w:tcPr>
            <w:tcW w:w="5054" w:type="dxa"/>
            <w:vAlign w:val="center"/>
          </w:tcPr>
          <w:p w14:paraId="6689EBB8" w14:textId="1E854360" w:rsidR="004A1742" w:rsidRDefault="009B4B65" w:rsidP="00E227D8">
            <w:pPr>
              <w:cnfStyle w:val="000000000000" w:firstRow="0" w:lastRow="0" w:firstColumn="0" w:lastColumn="0" w:oddVBand="0" w:evenVBand="0" w:oddHBand="0" w:evenHBand="0" w:firstRowFirstColumn="0" w:firstRowLastColumn="0" w:lastRowFirstColumn="0" w:lastRowLastColumn="0"/>
            </w:pPr>
            <w:r>
              <w:t xml:space="preserve">Operates an </w:t>
            </w:r>
            <w:r w:rsidR="00C3204B">
              <w:t>independent quality regulator to oversee licensing, performance and system integrity.</w:t>
            </w:r>
          </w:p>
        </w:tc>
      </w:tr>
      <w:tr w:rsidR="00873564" w14:paraId="4B6B4737"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A07BC9C" w14:textId="43E5CFE0" w:rsidR="00873564" w:rsidRPr="00BE112C" w:rsidRDefault="00AF66CE" w:rsidP="00E227D8">
            <w:pPr>
              <w:rPr>
                <w:b w:val="0"/>
                <w:bCs w:val="0"/>
              </w:rPr>
            </w:pPr>
            <w:r w:rsidRPr="00BE112C">
              <w:rPr>
                <w:b w:val="0"/>
                <w:bCs w:val="0"/>
              </w:rPr>
              <w:t>Employability Skills Training (EST)</w:t>
            </w:r>
          </w:p>
        </w:tc>
        <w:tc>
          <w:tcPr>
            <w:tcW w:w="1701" w:type="dxa"/>
            <w:vAlign w:val="center"/>
          </w:tcPr>
          <w:p w14:paraId="05DB6C24" w14:textId="29830FDA" w:rsidR="00873564" w:rsidRPr="002C35C3" w:rsidRDefault="00AF66CE" w:rsidP="00AF66C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w:t>
            </w:r>
            <w:r w:rsidR="003F54A0">
              <w:rPr>
                <w:rFonts w:asciiTheme="majorHAnsi" w:hAnsiTheme="majorHAnsi"/>
              </w:rPr>
              <w:t>7</w:t>
            </w:r>
            <w:r>
              <w:rPr>
                <w:rFonts w:asciiTheme="majorHAnsi" w:hAnsiTheme="majorHAnsi"/>
              </w:rPr>
              <w:t>.</w:t>
            </w:r>
            <w:r w:rsidR="003F54A0">
              <w:rPr>
                <w:rFonts w:asciiTheme="majorHAnsi" w:hAnsiTheme="majorHAnsi"/>
              </w:rPr>
              <w:t>1</w:t>
            </w:r>
            <w:r>
              <w:rPr>
                <w:rFonts w:asciiTheme="majorHAnsi" w:hAnsiTheme="majorHAnsi"/>
              </w:rPr>
              <w:t>M</w:t>
            </w:r>
          </w:p>
        </w:tc>
        <w:tc>
          <w:tcPr>
            <w:tcW w:w="5054" w:type="dxa"/>
            <w:vAlign w:val="center"/>
          </w:tcPr>
          <w:p w14:paraId="4DD04EC9" w14:textId="6324276F" w:rsidR="00873564" w:rsidRDefault="00AF66CE" w:rsidP="00E227D8">
            <w:pPr>
              <w:cnfStyle w:val="000000100000" w:firstRow="0" w:lastRow="0" w:firstColumn="0" w:lastColumn="0" w:oddVBand="0" w:evenVBand="0" w:oddHBand="1" w:evenHBand="0" w:firstRowFirstColumn="0" w:firstRowLastColumn="0" w:lastRowFirstColumn="0" w:lastRowLastColumn="0"/>
            </w:pPr>
            <w:r w:rsidRPr="00AF66CE">
              <w:t>The Hill Review recommended ending EST, due to the increased support provided through a combination of more intense case management and regional hubs.</w:t>
            </w:r>
          </w:p>
        </w:tc>
      </w:tr>
      <w:tr w:rsidR="00873564" w14:paraId="59453D27" w14:textId="77777777" w:rsidTr="00336177">
        <w:trPr>
          <w:cantSplit/>
          <w:trHeight w:val="5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1895BDA" w14:textId="5A526FB0" w:rsidR="00873564" w:rsidRPr="00BE112C" w:rsidRDefault="00AF66CE" w:rsidP="00E227D8">
            <w:pPr>
              <w:rPr>
                <w:b w:val="0"/>
                <w:bCs w:val="0"/>
              </w:rPr>
            </w:pPr>
            <w:r w:rsidRPr="00BE112C">
              <w:rPr>
                <w:b w:val="0"/>
                <w:bCs w:val="0"/>
              </w:rPr>
              <w:t>Departmental expense offsets</w:t>
            </w:r>
          </w:p>
        </w:tc>
        <w:tc>
          <w:tcPr>
            <w:tcW w:w="1701" w:type="dxa"/>
            <w:vAlign w:val="center"/>
          </w:tcPr>
          <w:p w14:paraId="3D95AB30" w14:textId="14D0D3FF" w:rsidR="00873564" w:rsidRDefault="00AF66CE" w:rsidP="00F43BF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-$27.3M</w:t>
            </w:r>
          </w:p>
        </w:tc>
        <w:tc>
          <w:tcPr>
            <w:tcW w:w="5054" w:type="dxa"/>
            <w:vAlign w:val="center"/>
          </w:tcPr>
          <w:p w14:paraId="31D526FB" w14:textId="346659D0" w:rsidR="00873564" w:rsidRDefault="00AF66CE" w:rsidP="00E227D8">
            <w:pPr>
              <w:cnfStyle w:val="000000000000" w:firstRow="0" w:lastRow="0" w:firstColumn="0" w:lastColumn="0" w:oddVBand="0" w:evenVBand="0" w:oddHBand="0" w:evenHBand="0" w:firstRowFirstColumn="0" w:firstRowLastColumn="0" w:lastRowFirstColumn="0" w:lastRowLastColumn="0"/>
            </w:pPr>
            <w:r>
              <w:t xml:space="preserve">Some of the Department’s responsibilities and corresponding costs transferred to the ESQC. </w:t>
            </w:r>
          </w:p>
        </w:tc>
      </w:tr>
      <w:tr w:rsidR="00C3204B" w14:paraId="0B8C1609" w14:textId="77777777" w:rsidTr="00336177">
        <w:trPr>
          <w:cnfStyle w:val="000000100000" w:firstRow="0" w:lastRow="0" w:firstColumn="0" w:lastColumn="0" w:oddVBand="0" w:evenVBand="0" w:oddHBand="1" w:evenHBand="0"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2972" w:type="dxa"/>
            <w:shd w:val="clear" w:color="auto" w:fill="006EC8" w:themeFill="accent1"/>
            <w:vAlign w:val="center"/>
          </w:tcPr>
          <w:p w14:paraId="6E29C6E7" w14:textId="44D13EA5" w:rsidR="00C3204B" w:rsidRPr="00171E57" w:rsidRDefault="00C3204B" w:rsidP="00E227D8">
            <w:pPr>
              <w:rPr>
                <w:rFonts w:asciiTheme="majorHAnsi" w:hAnsiTheme="majorHAnsi"/>
                <w:color w:val="FFFFFF" w:themeColor="background1"/>
              </w:rPr>
            </w:pPr>
            <w:r w:rsidRPr="00171E57">
              <w:rPr>
                <w:rFonts w:asciiTheme="majorHAnsi" w:hAnsiTheme="majorHAnsi"/>
                <w:color w:val="FFFFFF" w:themeColor="background1"/>
              </w:rPr>
              <w:t xml:space="preserve">Total </w:t>
            </w:r>
          </w:p>
        </w:tc>
        <w:tc>
          <w:tcPr>
            <w:tcW w:w="1701" w:type="dxa"/>
            <w:shd w:val="clear" w:color="auto" w:fill="006EC8" w:themeFill="accent1"/>
            <w:vAlign w:val="center"/>
          </w:tcPr>
          <w:p w14:paraId="53C07651" w14:textId="667C42A2" w:rsidR="00C3204B" w:rsidRPr="00171E57" w:rsidRDefault="00171E57" w:rsidP="00F43BF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5329BA">
              <w:rPr>
                <w:rFonts w:asciiTheme="majorHAnsi" w:hAnsiTheme="majorHAnsi"/>
                <w:color w:val="FFFFFF" w:themeColor="background1"/>
              </w:rPr>
              <w:t>+$1.</w:t>
            </w:r>
            <w:r w:rsidR="00060D5A">
              <w:rPr>
                <w:rFonts w:asciiTheme="majorHAnsi" w:hAnsiTheme="majorHAnsi"/>
                <w:color w:val="FFFFFF" w:themeColor="background1"/>
              </w:rPr>
              <w:t>53</w:t>
            </w:r>
            <w:r w:rsidR="00873564" w:rsidRPr="005329BA">
              <w:rPr>
                <w:rFonts w:asciiTheme="majorHAnsi" w:hAnsiTheme="majorHAnsi"/>
                <w:color w:val="FFFFFF" w:themeColor="background1"/>
              </w:rPr>
              <w:t>B</w:t>
            </w:r>
          </w:p>
        </w:tc>
        <w:tc>
          <w:tcPr>
            <w:tcW w:w="5054" w:type="dxa"/>
            <w:shd w:val="clear" w:color="auto" w:fill="006EC8" w:themeFill="accent1"/>
            <w:vAlign w:val="center"/>
          </w:tcPr>
          <w:p w14:paraId="1987D892" w14:textId="77777777" w:rsidR="00C3204B" w:rsidRPr="00171E57" w:rsidRDefault="00C3204B" w:rsidP="00E227D8">
            <w:pPr>
              <w:cnfStyle w:val="000000100000" w:firstRow="0" w:lastRow="0" w:firstColumn="0" w:lastColumn="0" w:oddVBand="0" w:evenVBand="0" w:oddHBand="1" w:evenHBand="0" w:firstRowFirstColumn="0" w:firstRowLastColumn="0" w:lastRowFirstColumn="0" w:lastRowLastColumn="0"/>
              <w:rPr>
                <w:color w:val="FFFFFF" w:themeColor="background1"/>
              </w:rPr>
            </w:pPr>
          </w:p>
        </w:tc>
      </w:tr>
    </w:tbl>
    <w:p w14:paraId="47F1AC48" w14:textId="10DB780F" w:rsidR="00306BE0" w:rsidRPr="00C40DAF" w:rsidRDefault="00306BE0" w:rsidP="00BA6C31">
      <w:pPr>
        <w:pStyle w:val="Heading4"/>
      </w:pPr>
      <w:bookmarkStart w:id="14" w:name="_Ref222307581"/>
      <w:bookmarkStart w:id="15" w:name="_Ref219464124"/>
      <w:bookmarkStart w:id="16" w:name="_Ref219470941"/>
      <w:r>
        <w:t>The changed composition of a reformed system</w:t>
      </w:r>
      <w:bookmarkEnd w:id="14"/>
    </w:p>
    <w:p w14:paraId="1551EB64" w14:textId="2E24A5D1" w:rsidR="00306BE0" w:rsidRDefault="00306BE0" w:rsidP="00306BE0">
      <w:r>
        <w:t>The Hill Review envisages a wide range of changes to the employment services system, and the result of this is observable through the changed composition of the expected cost of a reformed system. The key elements of these costs are:</w:t>
      </w:r>
    </w:p>
    <w:p w14:paraId="0D9AAF30" w14:textId="0F33F292" w:rsidR="00306BE0" w:rsidRPr="002C35C3" w:rsidRDefault="00306BE0" w:rsidP="00306BE0">
      <w:pPr>
        <w:pStyle w:val="Numberbullet1"/>
        <w:rPr>
          <w:b/>
          <w:bCs/>
        </w:rPr>
      </w:pPr>
      <w:r w:rsidRPr="002C35C3">
        <w:rPr>
          <w:b/>
          <w:bCs/>
        </w:rPr>
        <w:t>Administered Expenditure</w:t>
      </w:r>
    </w:p>
    <w:p w14:paraId="3D15188B" w14:textId="21FBAB2D" w:rsidR="00306BE0" w:rsidRPr="00DE16DB" w:rsidRDefault="00306BE0" w:rsidP="00DE16DB">
      <w:pPr>
        <w:pStyle w:val="Numberbullet2"/>
      </w:pPr>
      <w:r w:rsidRPr="00DE16DB">
        <w:lastRenderedPageBreak/>
        <w:t xml:space="preserve">Up-front payments, </w:t>
      </w:r>
      <w:r w:rsidR="00DE16DB" w:rsidRPr="00DE16DB">
        <w:t>including engagement payments and transition/transfer payments</w:t>
      </w:r>
      <w:r w:rsidRPr="00DE16DB">
        <w:t>. These represent provider payments which are tied to the workload of a provider</w:t>
      </w:r>
      <w:r w:rsidR="00F86FC2" w:rsidRPr="00DE16DB">
        <w:t xml:space="preserve"> and activities conducted</w:t>
      </w:r>
      <w:r w:rsidRPr="00DE16DB">
        <w:t>. Under a reformed system, the implementation of these up-front payments may take the form of block funding, or activity funding, or some other construct (the design of which is not within the scope of this costing).</w:t>
      </w:r>
    </w:p>
    <w:p w14:paraId="74AA81A0" w14:textId="77777777" w:rsidR="00DE16DB" w:rsidRPr="00DE16DB" w:rsidRDefault="00DE16DB" w:rsidP="00DE16DB">
      <w:pPr>
        <w:pStyle w:val="Numberbullet2"/>
      </w:pPr>
      <w:r w:rsidRPr="00DE16DB">
        <w:t>Progress payments. These payments are claimable once every 24-month and recognise the investments providers made to support participants becoming job-ready.</w:t>
      </w:r>
    </w:p>
    <w:p w14:paraId="53285439" w14:textId="77777777" w:rsidR="00DE16DB" w:rsidRPr="00DE16DB" w:rsidRDefault="00DE16DB" w:rsidP="00DE16DB">
      <w:pPr>
        <w:pStyle w:val="Numberbullet2"/>
      </w:pPr>
      <w:r w:rsidRPr="00DE16DB">
        <w:t xml:space="preserve">Outcome payments, including payments to providers when participants achieve </w:t>
      </w:r>
      <w:proofErr w:type="gramStart"/>
      <w:r w:rsidRPr="00DE16DB">
        <w:t>4, 12, and 26 week</w:t>
      </w:r>
      <w:proofErr w:type="gramEnd"/>
      <w:r w:rsidRPr="00DE16DB">
        <w:t xml:space="preserve"> employment outcomes, and a Verly Long Term Unemployment (VLTU) Bonus. These represent provider payments which are tied to the employment outcomes achieved by participants with the support of providers.</w:t>
      </w:r>
    </w:p>
    <w:p w14:paraId="5057B105" w14:textId="661DBC60" w:rsidR="00DE16DB" w:rsidRPr="00DE16DB" w:rsidRDefault="00DE16DB" w:rsidP="00DE16DB">
      <w:pPr>
        <w:pStyle w:val="Numberbullet2"/>
      </w:pPr>
      <w:r w:rsidRPr="00DE16DB">
        <w:t>Employment Fund and Wage Subsidies. Workforce Australia Services participants attract an Employment Fund credit on commencement which is pooled providers can use the credits in a tailored and flexible way to provide support to eligible participants on their caseload. Providers are also able to offer wage subsidies through the Employment Fund to employers who recruit participants. An additional Youth Bonus is available for Youth participants.</w:t>
      </w:r>
    </w:p>
    <w:p w14:paraId="7D8C51B0" w14:textId="629FBF4D" w:rsidR="00306BE0" w:rsidRPr="00DE16DB" w:rsidRDefault="00306BE0" w:rsidP="00FE604F">
      <w:pPr>
        <w:pStyle w:val="Numberbullet2"/>
      </w:pPr>
      <w:r w:rsidRPr="00DE16DB">
        <w:t>Other payments</w:t>
      </w:r>
      <w:r w:rsidR="00F86FC2" w:rsidRPr="00FE604F">
        <w:t xml:space="preserve">. This includes the Work for the Dole Program, </w:t>
      </w:r>
      <w:r w:rsidR="00F86FC2" w:rsidRPr="00DE16DB">
        <w:t>Self Employment Assistance, Small Programs and Expenditures, and Activities (Employability Skills Training and Career Transition Assistance)</w:t>
      </w:r>
    </w:p>
    <w:p w14:paraId="364A8CE4" w14:textId="48151B4A" w:rsidR="00306BE0" w:rsidRDefault="00306BE0" w:rsidP="00306BE0">
      <w:pPr>
        <w:pStyle w:val="Numberbullet1"/>
      </w:pPr>
      <w:r w:rsidRPr="002C35C3">
        <w:rPr>
          <w:b/>
          <w:bCs/>
        </w:rPr>
        <w:t>Departmental Expenses</w:t>
      </w:r>
      <w:r w:rsidR="00AF66CE">
        <w:t>:</w:t>
      </w:r>
      <w:r w:rsidR="00DF6D40">
        <w:t xml:space="preserve"> This captures the cost of the </w:t>
      </w:r>
      <w:r w:rsidR="00DF6D40" w:rsidRPr="00DF6D40">
        <w:t xml:space="preserve">day-to-day operations and program support activities of </w:t>
      </w:r>
      <w:r w:rsidR="00DF6D40">
        <w:t>DEWR, including the salaries of public servants and technology systems relied upon by the program</w:t>
      </w:r>
    </w:p>
    <w:p w14:paraId="37BCE910" w14:textId="48E6AE71" w:rsidR="00831021" w:rsidRDefault="00831021" w:rsidP="00FE604F">
      <w:pPr>
        <w:pStyle w:val="TFNormal"/>
      </w:pPr>
      <w:r>
        <w:fldChar w:fldCharType="begin"/>
      </w:r>
      <w:r>
        <w:instrText xml:space="preserve"> REF _Ref221697247 \h </w:instrText>
      </w:r>
      <w:r>
        <w:fldChar w:fldCharType="separate"/>
      </w:r>
      <w:r w:rsidR="001703C6" w:rsidRPr="00CD501F">
        <w:t xml:space="preserve">Figure </w:t>
      </w:r>
      <w:r w:rsidR="001703C6">
        <w:rPr>
          <w:noProof/>
        </w:rPr>
        <w:t>2</w:t>
      </w:r>
      <w:r>
        <w:fldChar w:fldCharType="end"/>
      </w:r>
      <w:r>
        <w:t xml:space="preserve"> illustrates the changes in the composition of the cost structure of the reformed system as it has been modelled</w:t>
      </w:r>
      <w:r w:rsidR="006F69BF">
        <w:t xml:space="preserve"> under the </w:t>
      </w:r>
      <w:r w:rsidR="00CD1624">
        <w:t>illustrative</w:t>
      </w:r>
      <w:r w:rsidR="006F69BF">
        <w:t xml:space="preserve"> scenario</w:t>
      </w:r>
      <w:r>
        <w:t xml:space="preserve">. </w:t>
      </w:r>
      <w:r w:rsidR="006F69BF">
        <w:t>Payments to providers</w:t>
      </w:r>
      <w:r>
        <w:t xml:space="preserve"> </w:t>
      </w:r>
      <w:r w:rsidR="006F69BF">
        <w:t xml:space="preserve">increases from $1.4B to $2.3B to allow for reduced case ratios, higher frontline salaries and loadings for specialist cohorts. Besides provider payments, there </w:t>
      </w:r>
      <w:r w:rsidR="00BF64E4">
        <w:t xml:space="preserve">is about </w:t>
      </w:r>
      <w:r w:rsidR="00BF64E4" w:rsidRPr="00CD501F">
        <w:t>$</w:t>
      </w:r>
      <w:r w:rsidR="00CD501F" w:rsidRPr="002C35C3">
        <w:t>515</w:t>
      </w:r>
      <w:r w:rsidR="00BF64E4" w:rsidRPr="00CD501F">
        <w:t>M</w:t>
      </w:r>
      <w:r w:rsidR="006F69BF">
        <w:t xml:space="preserve"> </w:t>
      </w:r>
      <w:r w:rsidR="00BF64E4">
        <w:t xml:space="preserve">of </w:t>
      </w:r>
      <w:r w:rsidR="006F69BF">
        <w:t>additional</w:t>
      </w:r>
      <w:r>
        <w:t xml:space="preserve"> Departmental Expenses to fund the new functions of the ESA (existing DEWR functions, case management services, regional hubs, and funding to improve the digital platform).</w:t>
      </w:r>
    </w:p>
    <w:p w14:paraId="2D3072AC" w14:textId="051DD65A" w:rsidR="00831021" w:rsidRPr="00CD501F" w:rsidRDefault="00831021" w:rsidP="00831021">
      <w:pPr>
        <w:pStyle w:val="Caption"/>
        <w:numPr>
          <w:ilvl w:val="0"/>
          <w:numId w:val="10"/>
        </w:numPr>
      </w:pPr>
      <w:bookmarkStart w:id="17" w:name="_Ref221697247"/>
      <w:r w:rsidRPr="00CD501F">
        <w:t xml:space="preserve">Figure </w:t>
      </w:r>
      <w:r w:rsidR="001703C6">
        <w:fldChar w:fldCharType="begin"/>
      </w:r>
      <w:r w:rsidR="001703C6">
        <w:instrText xml:space="preserve"> SEQ Figure \* ARABIC </w:instrText>
      </w:r>
      <w:r w:rsidR="001703C6">
        <w:fldChar w:fldCharType="separate"/>
      </w:r>
      <w:r w:rsidR="001703C6">
        <w:rPr>
          <w:noProof/>
        </w:rPr>
        <w:t>2</w:t>
      </w:r>
      <w:r w:rsidR="001703C6">
        <w:rPr>
          <w:noProof/>
        </w:rPr>
        <w:fldChar w:fldCharType="end"/>
      </w:r>
      <w:bookmarkEnd w:id="17"/>
      <w:r w:rsidRPr="00CD501F">
        <w:t xml:space="preserve">: Changed composition of costs </w:t>
      </w:r>
      <w:proofErr w:type="gramStart"/>
      <w:r w:rsidRPr="00CD501F">
        <w:t>as a result of</w:t>
      </w:r>
      <w:proofErr w:type="gramEnd"/>
      <w:r w:rsidRPr="00CD501F">
        <w:t xml:space="preserve"> reform</w:t>
      </w:r>
      <w:r w:rsidR="00E0495D" w:rsidRPr="00CD501F">
        <w:t xml:space="preserve"> – </w:t>
      </w:r>
      <w:r w:rsidR="006C4002" w:rsidRPr="002C35C3">
        <w:t>illustrative</w:t>
      </w:r>
      <w:r w:rsidR="006C4002" w:rsidRPr="00CD501F">
        <w:t xml:space="preserve"> </w:t>
      </w:r>
      <w:r w:rsidR="00E0495D" w:rsidRPr="00CD501F">
        <w:t>scenario</w:t>
      </w:r>
    </w:p>
    <w:p w14:paraId="4FB0A342" w14:textId="0699752E" w:rsidR="00DF6D40" w:rsidRDefault="00B65336" w:rsidP="00DF6D40">
      <w:pPr>
        <w:pStyle w:val="TFNormal"/>
      </w:pPr>
      <w:r>
        <w:rPr>
          <w:noProof/>
        </w:rPr>
        <w:drawing>
          <wp:inline distT="0" distB="0" distL="0" distR="0" wp14:anchorId="07FEA652" wp14:editId="0B76218B">
            <wp:extent cx="5996881" cy="3197757"/>
            <wp:effectExtent l="0" t="0" r="4445" b="3175"/>
            <wp:docPr id="1323229922" name="Picture 9" descr="As discussed, Bar chart showing the cost breakdown of the reformed system compared to the current system under the bas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29922" name="Picture 9" descr="As discussed, Bar chart showing the cost breakdown of the reformed system compared to the current system under the base scenar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435" cy="3203385"/>
                    </a:xfrm>
                    <a:prstGeom prst="rect">
                      <a:avLst/>
                    </a:prstGeom>
                    <a:noFill/>
                  </pic:spPr>
                </pic:pic>
              </a:graphicData>
            </a:graphic>
          </wp:inline>
        </w:drawing>
      </w:r>
    </w:p>
    <w:p w14:paraId="6F32D5F6" w14:textId="448C5A6A" w:rsidR="00AF6337" w:rsidRDefault="00AF6337" w:rsidP="002C35C3">
      <w:pPr>
        <w:pStyle w:val="Tablenotesorsource"/>
      </w:pPr>
      <w:r>
        <w:lastRenderedPageBreak/>
        <w:t>*</w:t>
      </w:r>
      <w:r w:rsidRPr="00AF6337">
        <w:t xml:space="preserve">The modelling estimates the total </w:t>
      </w:r>
      <w:r w:rsidR="005329BA">
        <w:t>amount</w:t>
      </w:r>
      <w:r w:rsidRPr="00AF6337">
        <w:t xml:space="preserve"> of provider payments required under the reformed system. The allocation between upfront and outcome-based payments </w:t>
      </w:r>
      <w:r w:rsidRPr="00CD501F">
        <w:t xml:space="preserve">remains subject to further </w:t>
      </w:r>
      <w:r w:rsidR="007F3BA4" w:rsidRPr="00CD501F">
        <w:t>discussion</w:t>
      </w:r>
      <w:r w:rsidR="007F3BA4">
        <w:t xml:space="preserve"> and</w:t>
      </w:r>
      <w:r w:rsidR="00224D0B">
        <w:t xml:space="preserve"> is a decision for implementation</w:t>
      </w:r>
      <w:r w:rsidRPr="00AF6337">
        <w:t xml:space="preserve">. For </w:t>
      </w:r>
      <w:r w:rsidR="00CD501F">
        <w:t>illustrative</w:t>
      </w:r>
      <w:r w:rsidRPr="00AF6337">
        <w:t xml:space="preserve"> purposes, an assumed proportion of </w:t>
      </w:r>
      <w:r w:rsidR="005329BA">
        <w:t xml:space="preserve">44% </w:t>
      </w:r>
      <w:r w:rsidRPr="00AF6337">
        <w:t>has been allocated to outcome payments</w:t>
      </w:r>
      <w:r w:rsidR="005329BA">
        <w:t xml:space="preserve"> for services provided to adult participants</w:t>
      </w:r>
      <w:r w:rsidRPr="00AF6337">
        <w:t>, consistent with the Hill Review’s recommendation that outcome payments comprise a lower share of total provider funding.</w:t>
      </w:r>
    </w:p>
    <w:p w14:paraId="2E0195E1" w14:textId="7B8416EF" w:rsidR="00DF6D40" w:rsidRPr="00F86FC2" w:rsidRDefault="00831021" w:rsidP="00FE604F">
      <w:pPr>
        <w:pStyle w:val="TFNormal"/>
      </w:pPr>
      <w:r>
        <w:fldChar w:fldCharType="begin"/>
      </w:r>
      <w:r>
        <w:instrText xml:space="preserve"> REF _Ref221697482 \h </w:instrText>
      </w:r>
      <w:r>
        <w:fldChar w:fldCharType="separate"/>
      </w:r>
      <w:r w:rsidR="001703C6">
        <w:t xml:space="preserve">Table </w:t>
      </w:r>
      <w:r w:rsidR="001703C6">
        <w:rPr>
          <w:noProof/>
        </w:rPr>
        <w:t>3</w:t>
      </w:r>
      <w:r>
        <w:fldChar w:fldCharType="end"/>
      </w:r>
      <w:r>
        <w:t xml:space="preserve"> provides further detail on key aspects of the structure of the reformed system and how this differs to the current system.</w:t>
      </w:r>
    </w:p>
    <w:p w14:paraId="41F75EBB" w14:textId="347351FB" w:rsidR="006A61CA" w:rsidRDefault="006A61CA" w:rsidP="00FE604F">
      <w:pPr>
        <w:pStyle w:val="Caption"/>
      </w:pPr>
      <w:bookmarkStart w:id="18" w:name="_Ref221697482"/>
      <w:r>
        <w:t xml:space="preserve">Table </w:t>
      </w:r>
      <w:r w:rsidR="001703C6">
        <w:fldChar w:fldCharType="begin"/>
      </w:r>
      <w:r w:rsidR="001703C6">
        <w:instrText xml:space="preserve"> SEQ Table \* ARABIC </w:instrText>
      </w:r>
      <w:r w:rsidR="001703C6">
        <w:fldChar w:fldCharType="separate"/>
      </w:r>
      <w:r w:rsidR="001703C6">
        <w:rPr>
          <w:noProof/>
        </w:rPr>
        <w:t>3</w:t>
      </w:r>
      <w:r w:rsidR="001703C6">
        <w:rPr>
          <w:noProof/>
        </w:rPr>
        <w:fldChar w:fldCharType="end"/>
      </w:r>
      <w:bookmarkEnd w:id="18"/>
      <w:r w:rsidR="00831021">
        <w:t>:</w:t>
      </w:r>
      <w:r>
        <w:t xml:space="preserve"> Comparison of service provided in the existing system and the reformed system</w:t>
      </w:r>
    </w:p>
    <w:tbl>
      <w:tblPr>
        <w:tblStyle w:val="ListTable3-Accent1"/>
        <w:tblW w:w="0" w:type="auto"/>
        <w:tblLook w:val="04A0" w:firstRow="1" w:lastRow="0" w:firstColumn="1" w:lastColumn="0" w:noHBand="0" w:noVBand="1"/>
      </w:tblPr>
      <w:tblGrid>
        <w:gridCol w:w="2405"/>
        <w:gridCol w:w="2073"/>
        <w:gridCol w:w="1641"/>
        <w:gridCol w:w="1641"/>
        <w:gridCol w:w="1642"/>
      </w:tblGrid>
      <w:tr w:rsidR="003C620D" w14:paraId="7985B9F1" w14:textId="0A210599" w:rsidTr="003679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vAlign w:val="center"/>
          </w:tcPr>
          <w:p w14:paraId="41DAC8DC" w14:textId="463CC3DF" w:rsidR="003C620D" w:rsidRDefault="003C620D" w:rsidP="00405FC6">
            <w:pPr>
              <w:keepNext/>
              <w:keepLines/>
              <w:widowControl w:val="0"/>
              <w:rPr>
                <w:highlight w:val="yellow"/>
              </w:rPr>
            </w:pPr>
            <w:r w:rsidRPr="00FE604F">
              <w:t>Metrics</w:t>
            </w:r>
          </w:p>
        </w:tc>
        <w:tc>
          <w:tcPr>
            <w:tcW w:w="2073" w:type="dxa"/>
            <w:vAlign w:val="center"/>
          </w:tcPr>
          <w:p w14:paraId="25DD90FF" w14:textId="70040D3A" w:rsidR="003C620D" w:rsidRPr="003C620D" w:rsidRDefault="006A61CA" w:rsidP="00405FC6">
            <w:pPr>
              <w:keepNext/>
              <w:keepLines/>
              <w:widowControl w:val="0"/>
              <w:cnfStyle w:val="100000000000" w:firstRow="1" w:lastRow="0" w:firstColumn="0" w:lastColumn="0" w:oddVBand="0" w:evenVBand="0" w:oddHBand="0" w:evenHBand="0" w:firstRowFirstColumn="0" w:firstRowLastColumn="0" w:lastRowFirstColumn="0" w:lastRowLastColumn="0"/>
            </w:pPr>
            <w:r>
              <w:t>Cohort</w:t>
            </w:r>
          </w:p>
        </w:tc>
        <w:tc>
          <w:tcPr>
            <w:tcW w:w="1641" w:type="dxa"/>
            <w:vAlign w:val="center"/>
          </w:tcPr>
          <w:p w14:paraId="01586ED3" w14:textId="44DE793A" w:rsidR="003C620D" w:rsidRPr="00FE604F" w:rsidRDefault="003C620D" w:rsidP="00405FC6">
            <w:pPr>
              <w:keepNext/>
              <w:keepLines/>
              <w:widowControl w:val="0"/>
              <w:jc w:val="center"/>
              <w:cnfStyle w:val="100000000000" w:firstRow="1" w:lastRow="0" w:firstColumn="0" w:lastColumn="0" w:oddVBand="0" w:evenVBand="0" w:oddHBand="0" w:evenHBand="0" w:firstRowFirstColumn="0" w:firstRowLastColumn="0" w:lastRowFirstColumn="0" w:lastRowLastColumn="0"/>
            </w:pPr>
            <w:r w:rsidRPr="00FE604F">
              <w:t xml:space="preserve">Existing </w:t>
            </w:r>
            <w:r>
              <w:t>system</w:t>
            </w:r>
          </w:p>
        </w:tc>
        <w:tc>
          <w:tcPr>
            <w:tcW w:w="1641" w:type="dxa"/>
            <w:vAlign w:val="center"/>
          </w:tcPr>
          <w:p w14:paraId="6668BDFC" w14:textId="77777777" w:rsidR="003C620D" w:rsidRDefault="003C620D" w:rsidP="00405FC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rPr>
            </w:pPr>
            <w:r w:rsidRPr="00FE604F">
              <w:t>Reformed system</w:t>
            </w:r>
          </w:p>
          <w:p w14:paraId="38A05265" w14:textId="2A83BC54" w:rsidR="003C620D" w:rsidRDefault="003C620D" w:rsidP="00405FC6">
            <w:pPr>
              <w:keepNext/>
              <w:keepLines/>
              <w:widowControl w:val="0"/>
              <w:jc w:val="center"/>
              <w:cnfStyle w:val="100000000000" w:firstRow="1" w:lastRow="0" w:firstColumn="0" w:lastColumn="0" w:oddVBand="0" w:evenVBand="0" w:oddHBand="0" w:evenHBand="0" w:firstRowFirstColumn="0" w:firstRowLastColumn="0" w:lastRowFirstColumn="0" w:lastRowLastColumn="0"/>
              <w:rPr>
                <w:highlight w:val="yellow"/>
              </w:rPr>
            </w:pPr>
            <w:r>
              <w:t>(service provided by partners)</w:t>
            </w:r>
          </w:p>
        </w:tc>
        <w:tc>
          <w:tcPr>
            <w:tcW w:w="1642" w:type="dxa"/>
            <w:vAlign w:val="center"/>
          </w:tcPr>
          <w:p w14:paraId="7BF159E6" w14:textId="77777777" w:rsidR="003C620D" w:rsidRDefault="003C620D" w:rsidP="00405FC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rPr>
            </w:pPr>
            <w:r w:rsidRPr="00870840">
              <w:t>Reformed system</w:t>
            </w:r>
          </w:p>
          <w:p w14:paraId="2FE07727" w14:textId="1ADCB2EB" w:rsidR="003C620D" w:rsidRPr="003C620D" w:rsidRDefault="003C620D" w:rsidP="00405FC6">
            <w:pPr>
              <w:keepNext/>
              <w:keepLines/>
              <w:widowControl w:val="0"/>
              <w:jc w:val="center"/>
              <w:cnfStyle w:val="100000000000" w:firstRow="1" w:lastRow="0" w:firstColumn="0" w:lastColumn="0" w:oddVBand="0" w:evenVBand="0" w:oddHBand="0" w:evenHBand="0" w:firstRowFirstColumn="0" w:firstRowLastColumn="0" w:lastRowFirstColumn="0" w:lastRowLastColumn="0"/>
            </w:pPr>
            <w:r>
              <w:t>(service provided by the public sector)</w:t>
            </w:r>
          </w:p>
        </w:tc>
      </w:tr>
      <w:tr w:rsidR="003C620D" w14:paraId="0BC11ECE" w14:textId="5147F253" w:rsidTr="00F545B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405" w:type="dxa"/>
            <w:tcBorders>
              <w:bottom w:val="single" w:sz="12" w:space="0" w:color="FFFFFF" w:themeColor="background1"/>
            </w:tcBorders>
          </w:tcPr>
          <w:p w14:paraId="1A3B4246" w14:textId="7AC84F35" w:rsidR="003C620D" w:rsidRPr="006A61CA" w:rsidRDefault="003C620D" w:rsidP="006A61CA">
            <w:pPr>
              <w:rPr>
                <w:highlight w:val="yellow"/>
              </w:rPr>
            </w:pPr>
            <w:r w:rsidRPr="00FE604F">
              <w:t xml:space="preserve">Outcome </w:t>
            </w:r>
            <w:r w:rsidRPr="006A61CA">
              <w:t xml:space="preserve">payments as percentage of total payments (excl. </w:t>
            </w:r>
            <w:proofErr w:type="gramStart"/>
            <w:r w:rsidR="00F545BE">
              <w:t>EF</w:t>
            </w:r>
            <w:r w:rsidRPr="006A61CA">
              <w:t>)</w:t>
            </w:r>
            <w:r w:rsidR="005329BA">
              <w:t>*</w:t>
            </w:r>
            <w:proofErr w:type="gramEnd"/>
          </w:p>
        </w:tc>
        <w:tc>
          <w:tcPr>
            <w:tcW w:w="2073" w:type="dxa"/>
          </w:tcPr>
          <w:p w14:paraId="4ABA4EE3" w14:textId="683FEB81" w:rsidR="003C620D" w:rsidRDefault="003C620D" w:rsidP="006A61CA">
            <w:pPr>
              <w:cnfStyle w:val="000000100000" w:firstRow="0" w:lastRow="0" w:firstColumn="0" w:lastColumn="0" w:oddVBand="0" w:evenVBand="0" w:oddHBand="1" w:evenHBand="0" w:firstRowFirstColumn="0" w:firstRowLastColumn="0" w:lastRowFirstColumn="0" w:lastRowLastColumn="0"/>
            </w:pPr>
            <w:r>
              <w:t>Adults not in target cohorts</w:t>
            </w:r>
          </w:p>
        </w:tc>
        <w:tc>
          <w:tcPr>
            <w:tcW w:w="1641" w:type="dxa"/>
          </w:tcPr>
          <w:p w14:paraId="6E6A244F" w14:textId="1FC89107" w:rsidR="003C620D" w:rsidRPr="00FE604F" w:rsidRDefault="003C620D" w:rsidP="00FE604F">
            <w:pPr>
              <w:jc w:val="center"/>
              <w:cnfStyle w:val="000000100000" w:firstRow="0" w:lastRow="0" w:firstColumn="0" w:lastColumn="0" w:oddVBand="0" w:evenVBand="0" w:oddHBand="1" w:evenHBand="0" w:firstRowFirstColumn="0" w:firstRowLastColumn="0" w:lastRowFirstColumn="0" w:lastRowLastColumn="0"/>
            </w:pPr>
            <w:r>
              <w:t>50%</w:t>
            </w:r>
          </w:p>
        </w:tc>
        <w:tc>
          <w:tcPr>
            <w:tcW w:w="1641" w:type="dxa"/>
          </w:tcPr>
          <w:p w14:paraId="78FFE355" w14:textId="6C708119" w:rsidR="003C620D" w:rsidRDefault="003C620D" w:rsidP="00FE604F">
            <w:pPr>
              <w:jc w:val="center"/>
              <w:cnfStyle w:val="000000100000" w:firstRow="0" w:lastRow="0" w:firstColumn="0" w:lastColumn="0" w:oddVBand="0" w:evenVBand="0" w:oddHBand="1" w:evenHBand="0" w:firstRowFirstColumn="0" w:firstRowLastColumn="0" w:lastRowFirstColumn="0" w:lastRowLastColumn="0"/>
              <w:rPr>
                <w:highlight w:val="yellow"/>
              </w:rPr>
            </w:pPr>
            <w:r w:rsidRPr="00FE604F">
              <w:t>44%</w:t>
            </w:r>
          </w:p>
        </w:tc>
        <w:tc>
          <w:tcPr>
            <w:tcW w:w="1642" w:type="dxa"/>
          </w:tcPr>
          <w:p w14:paraId="50284E37" w14:textId="77777777" w:rsidR="003C620D" w:rsidRPr="003C620D" w:rsidRDefault="003C620D" w:rsidP="00FE604F">
            <w:pPr>
              <w:jc w:val="center"/>
              <w:cnfStyle w:val="000000100000" w:firstRow="0" w:lastRow="0" w:firstColumn="0" w:lastColumn="0" w:oddVBand="0" w:evenVBand="0" w:oddHBand="1" w:evenHBand="0" w:firstRowFirstColumn="0" w:firstRowLastColumn="0" w:lastRowFirstColumn="0" w:lastRowLastColumn="0"/>
            </w:pPr>
          </w:p>
        </w:tc>
      </w:tr>
      <w:tr w:rsidR="003C620D" w14:paraId="00B0CB07" w14:textId="354D7BAF" w:rsidTr="00F545BE">
        <w:trPr>
          <w:trHeight w:val="709"/>
        </w:trPr>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bottom w:val="single" w:sz="12" w:space="0" w:color="FFFFFF" w:themeColor="background1"/>
            </w:tcBorders>
          </w:tcPr>
          <w:p w14:paraId="0CAC38DB" w14:textId="35DA99E1" w:rsidR="003C620D" w:rsidRPr="00367957" w:rsidRDefault="00F545BE" w:rsidP="006A61CA">
            <w:r w:rsidRPr="00367957">
              <w:t xml:space="preserve">Outcome payments as percentage of total payments (excl. </w:t>
            </w:r>
            <w:proofErr w:type="gramStart"/>
            <w:r w:rsidRPr="00367957">
              <w:t>EF)*</w:t>
            </w:r>
            <w:proofErr w:type="gramEnd"/>
          </w:p>
        </w:tc>
        <w:tc>
          <w:tcPr>
            <w:tcW w:w="2073" w:type="dxa"/>
          </w:tcPr>
          <w:p w14:paraId="460DD385" w14:textId="72763F9A" w:rsidR="003C620D" w:rsidRDefault="003C620D" w:rsidP="006A61CA">
            <w:pPr>
              <w:cnfStyle w:val="000000000000" w:firstRow="0" w:lastRow="0" w:firstColumn="0" w:lastColumn="0" w:oddVBand="0" w:evenVBand="0" w:oddHBand="0" w:evenHBand="0" w:firstRowFirstColumn="0" w:firstRowLastColumn="0" w:lastRowFirstColumn="0" w:lastRowLastColumn="0"/>
            </w:pPr>
            <w:r>
              <w:t>Adults in target cohorts</w:t>
            </w:r>
          </w:p>
        </w:tc>
        <w:tc>
          <w:tcPr>
            <w:tcW w:w="1641" w:type="dxa"/>
          </w:tcPr>
          <w:p w14:paraId="1B78645E" w14:textId="11C5D7BC"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60%</w:t>
            </w:r>
          </w:p>
        </w:tc>
        <w:tc>
          <w:tcPr>
            <w:tcW w:w="1641" w:type="dxa"/>
          </w:tcPr>
          <w:p w14:paraId="74AF35D3" w14:textId="37F9204E" w:rsidR="003C620D" w:rsidRP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44%</w:t>
            </w:r>
          </w:p>
        </w:tc>
        <w:tc>
          <w:tcPr>
            <w:tcW w:w="1642" w:type="dxa"/>
          </w:tcPr>
          <w:p w14:paraId="788EAB08" w14:textId="77777777"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p>
        </w:tc>
      </w:tr>
      <w:tr w:rsidR="003C620D" w14:paraId="588D3E5B" w14:textId="14445688" w:rsidTr="00F545B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bottom w:val="single" w:sz="12" w:space="0" w:color="FFFFFF" w:themeColor="background1"/>
            </w:tcBorders>
          </w:tcPr>
          <w:p w14:paraId="4AA11601" w14:textId="33FA722B" w:rsidR="003C620D" w:rsidRPr="00367957" w:rsidRDefault="00F545BE" w:rsidP="006A61CA">
            <w:r w:rsidRPr="00367957">
              <w:t xml:space="preserve">Outcome payments as percentage of total payments (excl. </w:t>
            </w:r>
            <w:proofErr w:type="gramStart"/>
            <w:r w:rsidRPr="00367957">
              <w:t>EF)*</w:t>
            </w:r>
            <w:proofErr w:type="gramEnd"/>
          </w:p>
        </w:tc>
        <w:tc>
          <w:tcPr>
            <w:tcW w:w="2073" w:type="dxa"/>
          </w:tcPr>
          <w:p w14:paraId="20D5FCA2" w14:textId="1F47D40B" w:rsidR="003C620D" w:rsidRDefault="003C620D" w:rsidP="006A61CA">
            <w:pPr>
              <w:cnfStyle w:val="000000100000" w:firstRow="0" w:lastRow="0" w:firstColumn="0" w:lastColumn="0" w:oddVBand="0" w:evenVBand="0" w:oddHBand="1" w:evenHBand="0" w:firstRowFirstColumn="0" w:firstRowLastColumn="0" w:lastRowFirstColumn="0" w:lastRowLastColumn="0"/>
            </w:pPr>
            <w:r>
              <w:t>Youth participants</w:t>
            </w:r>
          </w:p>
        </w:tc>
        <w:tc>
          <w:tcPr>
            <w:tcW w:w="1641" w:type="dxa"/>
          </w:tcPr>
          <w:p w14:paraId="4C498547" w14:textId="618080BB"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34%</w:t>
            </w:r>
          </w:p>
        </w:tc>
        <w:tc>
          <w:tcPr>
            <w:tcW w:w="1641" w:type="dxa"/>
          </w:tcPr>
          <w:p w14:paraId="3B8AD800" w14:textId="62A3FC79" w:rsidR="003C620D" w:rsidRP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34%</w:t>
            </w:r>
          </w:p>
        </w:tc>
        <w:tc>
          <w:tcPr>
            <w:tcW w:w="1642" w:type="dxa"/>
          </w:tcPr>
          <w:p w14:paraId="1CB8665E" w14:textId="77777777"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p>
        </w:tc>
      </w:tr>
      <w:tr w:rsidR="003C620D" w14:paraId="5229E26C" w14:textId="693BD826" w:rsidTr="00F545BE">
        <w:trPr>
          <w:trHeight w:val="139"/>
        </w:trPr>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tcBorders>
          </w:tcPr>
          <w:p w14:paraId="2E0639D9" w14:textId="0F2AA2E9" w:rsidR="003C620D" w:rsidRPr="00367957" w:rsidRDefault="00F545BE" w:rsidP="006A61CA">
            <w:r w:rsidRPr="00367957">
              <w:t xml:space="preserve">Outcome payments as percentage of total payments (excl. </w:t>
            </w:r>
            <w:proofErr w:type="gramStart"/>
            <w:r w:rsidRPr="00367957">
              <w:t>EF)*</w:t>
            </w:r>
            <w:proofErr w:type="gramEnd"/>
          </w:p>
        </w:tc>
        <w:tc>
          <w:tcPr>
            <w:tcW w:w="2073" w:type="dxa"/>
          </w:tcPr>
          <w:p w14:paraId="3FE5FDA4" w14:textId="36670077" w:rsidR="003C620D" w:rsidRPr="00FE604F" w:rsidRDefault="003C620D" w:rsidP="006A61CA">
            <w:pPr>
              <w:cnfStyle w:val="000000000000" w:firstRow="0" w:lastRow="0" w:firstColumn="0" w:lastColumn="0" w:oddVBand="0" w:evenVBand="0" w:oddHBand="0" w:evenHBand="0" w:firstRowFirstColumn="0" w:firstRowLastColumn="0" w:lastRowFirstColumn="0" w:lastRowLastColumn="0"/>
              <w:rPr>
                <w:b/>
                <w:bCs/>
              </w:rPr>
            </w:pPr>
            <w:r w:rsidRPr="00FE604F">
              <w:rPr>
                <w:b/>
                <w:bCs/>
              </w:rPr>
              <w:t>Overall</w:t>
            </w:r>
          </w:p>
        </w:tc>
        <w:tc>
          <w:tcPr>
            <w:tcW w:w="1641" w:type="dxa"/>
          </w:tcPr>
          <w:p w14:paraId="7540652D" w14:textId="74F5E78B"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47%</w:t>
            </w:r>
          </w:p>
        </w:tc>
        <w:tc>
          <w:tcPr>
            <w:tcW w:w="1641" w:type="dxa"/>
          </w:tcPr>
          <w:p w14:paraId="42765F11" w14:textId="135D8EB8"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39%</w:t>
            </w:r>
          </w:p>
        </w:tc>
        <w:tc>
          <w:tcPr>
            <w:tcW w:w="1642" w:type="dxa"/>
          </w:tcPr>
          <w:p w14:paraId="37E005E4" w14:textId="77777777"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p>
        </w:tc>
      </w:tr>
      <w:tr w:rsidR="003C620D" w14:paraId="2301AA41" w14:textId="284EDEBC" w:rsidTr="00F5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12" w:space="0" w:color="FFFFFF" w:themeColor="background1"/>
            </w:tcBorders>
          </w:tcPr>
          <w:p w14:paraId="0AC7801C" w14:textId="79F44AF6" w:rsidR="003C620D" w:rsidRPr="006A61CA" w:rsidRDefault="003C620D" w:rsidP="006A61CA">
            <w:pPr>
              <w:rPr>
                <w:highlight w:val="yellow"/>
              </w:rPr>
            </w:pPr>
            <w:r w:rsidRPr="00FE604F">
              <w:t>Caseload</w:t>
            </w:r>
            <w:r w:rsidRPr="006A61CA">
              <w:t>-to-staff</w:t>
            </w:r>
            <w:r w:rsidRPr="00FE604F">
              <w:t xml:space="preserve"> ratio</w:t>
            </w:r>
          </w:p>
        </w:tc>
        <w:tc>
          <w:tcPr>
            <w:tcW w:w="2073" w:type="dxa"/>
          </w:tcPr>
          <w:p w14:paraId="59804B0D" w14:textId="642ED92F" w:rsidR="003C620D" w:rsidRDefault="003C620D" w:rsidP="006A61CA">
            <w:pPr>
              <w:cnfStyle w:val="000000100000" w:firstRow="0" w:lastRow="0" w:firstColumn="0" w:lastColumn="0" w:oddVBand="0" w:evenVBand="0" w:oddHBand="1" w:evenHBand="0" w:firstRowFirstColumn="0" w:firstRowLastColumn="0" w:lastRowFirstColumn="0" w:lastRowLastColumn="0"/>
            </w:pPr>
            <w:r>
              <w:t>Adults not in target cohorts</w:t>
            </w:r>
          </w:p>
        </w:tc>
        <w:tc>
          <w:tcPr>
            <w:tcW w:w="1641" w:type="dxa"/>
          </w:tcPr>
          <w:p w14:paraId="228A5949" w14:textId="0389DF72" w:rsidR="003C620D" w:rsidRDefault="003C620D" w:rsidP="00FE604F">
            <w:pPr>
              <w:jc w:val="center"/>
              <w:cnfStyle w:val="000000100000" w:firstRow="0" w:lastRow="0" w:firstColumn="0" w:lastColumn="0" w:oddVBand="0" w:evenVBand="0" w:oddHBand="1" w:evenHBand="0" w:firstRowFirstColumn="0" w:firstRowLastColumn="0" w:lastRowFirstColumn="0" w:lastRowLastColumn="0"/>
              <w:rPr>
                <w:highlight w:val="yellow"/>
              </w:rPr>
            </w:pPr>
            <w:r>
              <w:t>105</w:t>
            </w:r>
          </w:p>
        </w:tc>
        <w:tc>
          <w:tcPr>
            <w:tcW w:w="1641" w:type="dxa"/>
          </w:tcPr>
          <w:p w14:paraId="30901851" w14:textId="331587D4" w:rsidR="003C620D" w:rsidRDefault="003C620D" w:rsidP="00FE604F">
            <w:pPr>
              <w:jc w:val="center"/>
              <w:cnfStyle w:val="000000100000" w:firstRow="0" w:lastRow="0" w:firstColumn="0" w:lastColumn="0" w:oddVBand="0" w:evenVBand="0" w:oddHBand="1" w:evenHBand="0" w:firstRowFirstColumn="0" w:firstRowLastColumn="0" w:lastRowFirstColumn="0" w:lastRowLastColumn="0"/>
              <w:rPr>
                <w:highlight w:val="yellow"/>
              </w:rPr>
            </w:pPr>
            <w:r>
              <w:t>67</w:t>
            </w:r>
          </w:p>
        </w:tc>
        <w:tc>
          <w:tcPr>
            <w:tcW w:w="1642" w:type="dxa"/>
          </w:tcPr>
          <w:p w14:paraId="74C3A324" w14:textId="317D1920"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50</w:t>
            </w:r>
          </w:p>
        </w:tc>
      </w:tr>
      <w:tr w:rsidR="003C620D" w14:paraId="2F5D3282" w14:textId="10569BE9" w:rsidTr="00F545BE">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bottom w:val="single" w:sz="12" w:space="0" w:color="FFFFFF" w:themeColor="background1"/>
            </w:tcBorders>
          </w:tcPr>
          <w:p w14:paraId="60B35BAB" w14:textId="10ABE0FC" w:rsidR="003C620D" w:rsidRPr="00367957" w:rsidRDefault="00F545BE" w:rsidP="006A61CA">
            <w:r w:rsidRPr="00367957">
              <w:t>Caseload-to-staff ratio</w:t>
            </w:r>
          </w:p>
        </w:tc>
        <w:tc>
          <w:tcPr>
            <w:tcW w:w="2073" w:type="dxa"/>
          </w:tcPr>
          <w:p w14:paraId="5BD0AA3A" w14:textId="744EBAF6" w:rsidR="003C620D" w:rsidRDefault="003C620D" w:rsidP="006A61CA">
            <w:pPr>
              <w:cnfStyle w:val="000000000000" w:firstRow="0" w:lastRow="0" w:firstColumn="0" w:lastColumn="0" w:oddVBand="0" w:evenVBand="0" w:oddHBand="0" w:evenHBand="0" w:firstRowFirstColumn="0" w:firstRowLastColumn="0" w:lastRowFirstColumn="0" w:lastRowLastColumn="0"/>
            </w:pPr>
            <w:r>
              <w:t>Adults in target cohorts</w:t>
            </w:r>
          </w:p>
        </w:tc>
        <w:tc>
          <w:tcPr>
            <w:tcW w:w="1641" w:type="dxa"/>
          </w:tcPr>
          <w:p w14:paraId="6F1F5D9E" w14:textId="79D89DA0"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107</w:t>
            </w:r>
          </w:p>
        </w:tc>
        <w:tc>
          <w:tcPr>
            <w:tcW w:w="1641" w:type="dxa"/>
          </w:tcPr>
          <w:p w14:paraId="21575B7B" w14:textId="107D45E8"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61</w:t>
            </w:r>
          </w:p>
        </w:tc>
        <w:tc>
          <w:tcPr>
            <w:tcW w:w="1642" w:type="dxa"/>
          </w:tcPr>
          <w:p w14:paraId="65A7E89F" w14:textId="795BAEFA"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50</w:t>
            </w:r>
          </w:p>
        </w:tc>
      </w:tr>
      <w:tr w:rsidR="003C620D" w14:paraId="3CABB7F8" w14:textId="759417B1" w:rsidTr="00F5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bottom w:val="single" w:sz="12" w:space="0" w:color="FFFFFF" w:themeColor="background1"/>
            </w:tcBorders>
          </w:tcPr>
          <w:p w14:paraId="28A34B66" w14:textId="2CE2ED21" w:rsidR="003C620D" w:rsidRPr="00367957" w:rsidRDefault="00F545BE" w:rsidP="006A61CA">
            <w:r w:rsidRPr="00367957">
              <w:t>Caseload-to-staff ratio</w:t>
            </w:r>
          </w:p>
        </w:tc>
        <w:tc>
          <w:tcPr>
            <w:tcW w:w="2073" w:type="dxa"/>
          </w:tcPr>
          <w:p w14:paraId="1B90542F" w14:textId="0B6755DF" w:rsidR="003C620D" w:rsidRDefault="003C620D" w:rsidP="006A61CA">
            <w:pPr>
              <w:cnfStyle w:val="000000100000" w:firstRow="0" w:lastRow="0" w:firstColumn="0" w:lastColumn="0" w:oddVBand="0" w:evenVBand="0" w:oddHBand="1" w:evenHBand="0" w:firstRowFirstColumn="0" w:firstRowLastColumn="0" w:lastRowFirstColumn="0" w:lastRowLastColumn="0"/>
            </w:pPr>
            <w:r>
              <w:t>Youth participants</w:t>
            </w:r>
          </w:p>
        </w:tc>
        <w:tc>
          <w:tcPr>
            <w:tcW w:w="1641" w:type="dxa"/>
          </w:tcPr>
          <w:p w14:paraId="0AFA5789" w14:textId="2275D67D"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63</w:t>
            </w:r>
          </w:p>
        </w:tc>
        <w:tc>
          <w:tcPr>
            <w:tcW w:w="1641" w:type="dxa"/>
          </w:tcPr>
          <w:p w14:paraId="40FCC8AF" w14:textId="676E0CD0"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50</w:t>
            </w:r>
          </w:p>
        </w:tc>
        <w:tc>
          <w:tcPr>
            <w:tcW w:w="1642" w:type="dxa"/>
          </w:tcPr>
          <w:p w14:paraId="4D5DCBC6" w14:textId="3512ECD8"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50</w:t>
            </w:r>
          </w:p>
        </w:tc>
      </w:tr>
      <w:tr w:rsidR="003C620D" w:rsidRPr="003C620D" w14:paraId="7CF6FCEC" w14:textId="225F491E" w:rsidTr="00F545BE">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tcBorders>
          </w:tcPr>
          <w:p w14:paraId="170D3049" w14:textId="18AFCCB4" w:rsidR="003C620D" w:rsidRPr="00367957" w:rsidRDefault="00F545BE" w:rsidP="006A61CA">
            <w:r w:rsidRPr="00367957">
              <w:t>Caseload-to-staff ratio</w:t>
            </w:r>
          </w:p>
        </w:tc>
        <w:tc>
          <w:tcPr>
            <w:tcW w:w="2073" w:type="dxa"/>
          </w:tcPr>
          <w:p w14:paraId="70022D9E" w14:textId="16561213" w:rsidR="003C620D" w:rsidRPr="00FE604F" w:rsidRDefault="003C620D" w:rsidP="006A61CA">
            <w:pPr>
              <w:cnfStyle w:val="000000000000" w:firstRow="0" w:lastRow="0" w:firstColumn="0" w:lastColumn="0" w:oddVBand="0" w:evenVBand="0" w:oddHBand="0" w:evenHBand="0" w:firstRowFirstColumn="0" w:firstRowLastColumn="0" w:lastRowFirstColumn="0" w:lastRowLastColumn="0"/>
              <w:rPr>
                <w:b/>
                <w:bCs/>
              </w:rPr>
            </w:pPr>
            <w:r w:rsidRPr="00FE604F">
              <w:rPr>
                <w:b/>
                <w:bCs/>
              </w:rPr>
              <w:t>Overall</w:t>
            </w:r>
          </w:p>
        </w:tc>
        <w:tc>
          <w:tcPr>
            <w:tcW w:w="1641" w:type="dxa"/>
          </w:tcPr>
          <w:p w14:paraId="1E9D0315" w14:textId="50A8DD6A"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90</w:t>
            </w:r>
          </w:p>
        </w:tc>
        <w:tc>
          <w:tcPr>
            <w:tcW w:w="1641" w:type="dxa"/>
          </w:tcPr>
          <w:p w14:paraId="088BF9B3" w14:textId="735D5DBD"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59</w:t>
            </w:r>
          </w:p>
        </w:tc>
        <w:tc>
          <w:tcPr>
            <w:tcW w:w="1642" w:type="dxa"/>
          </w:tcPr>
          <w:p w14:paraId="3C84C3BD" w14:textId="1B6B8825"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50</w:t>
            </w:r>
          </w:p>
        </w:tc>
      </w:tr>
      <w:tr w:rsidR="003C620D" w:rsidRPr="003C620D" w14:paraId="40CBFBF9" w14:textId="4C55FA35" w:rsidTr="00F5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12" w:space="0" w:color="FFFFFF" w:themeColor="background1"/>
            </w:tcBorders>
          </w:tcPr>
          <w:p w14:paraId="11ED3664" w14:textId="4D9904B1" w:rsidR="003C620D" w:rsidRPr="00FE604F" w:rsidRDefault="003C620D" w:rsidP="006A61CA">
            <w:r w:rsidRPr="00FE604F">
              <w:t>Time per case</w:t>
            </w:r>
            <w:r w:rsidRPr="006A61CA">
              <w:t xml:space="preserve"> per year</w:t>
            </w:r>
          </w:p>
        </w:tc>
        <w:tc>
          <w:tcPr>
            <w:tcW w:w="2073" w:type="dxa"/>
          </w:tcPr>
          <w:p w14:paraId="14E9F938" w14:textId="3ABF9A9A" w:rsidR="003C620D" w:rsidRPr="003C620D" w:rsidRDefault="003C620D" w:rsidP="006A61CA">
            <w:pPr>
              <w:cnfStyle w:val="000000100000" w:firstRow="0" w:lastRow="0" w:firstColumn="0" w:lastColumn="0" w:oddVBand="0" w:evenVBand="0" w:oddHBand="1" w:evenHBand="0" w:firstRowFirstColumn="0" w:firstRowLastColumn="0" w:lastRowFirstColumn="0" w:lastRowLastColumn="0"/>
            </w:pPr>
            <w:r w:rsidRPr="003C620D">
              <w:t>Adults not in target cohorts</w:t>
            </w:r>
          </w:p>
        </w:tc>
        <w:tc>
          <w:tcPr>
            <w:tcW w:w="1641" w:type="dxa"/>
          </w:tcPr>
          <w:p w14:paraId="544C4556" w14:textId="46DC449F" w:rsidR="003C620D" w:rsidRPr="00FE604F" w:rsidRDefault="003C620D" w:rsidP="00FE604F">
            <w:pPr>
              <w:jc w:val="center"/>
              <w:cnfStyle w:val="000000100000" w:firstRow="0" w:lastRow="0" w:firstColumn="0" w:lastColumn="0" w:oddVBand="0" w:evenVBand="0" w:oddHBand="1" w:evenHBand="0" w:firstRowFirstColumn="0" w:firstRowLastColumn="0" w:lastRowFirstColumn="0" w:lastRowLastColumn="0"/>
            </w:pPr>
            <w:r>
              <w:t>9</w:t>
            </w:r>
          </w:p>
        </w:tc>
        <w:tc>
          <w:tcPr>
            <w:tcW w:w="1641" w:type="dxa"/>
          </w:tcPr>
          <w:p w14:paraId="0D0CD820" w14:textId="7DB0D07F" w:rsidR="003C620D" w:rsidRPr="00FE604F" w:rsidRDefault="003C620D" w:rsidP="00FE604F">
            <w:pPr>
              <w:jc w:val="center"/>
              <w:cnfStyle w:val="000000100000" w:firstRow="0" w:lastRow="0" w:firstColumn="0" w:lastColumn="0" w:oddVBand="0" w:evenVBand="0" w:oddHBand="1" w:evenHBand="0" w:firstRowFirstColumn="0" w:firstRowLastColumn="0" w:lastRowFirstColumn="0" w:lastRowLastColumn="0"/>
            </w:pPr>
            <w:r>
              <w:t>19</w:t>
            </w:r>
          </w:p>
        </w:tc>
        <w:tc>
          <w:tcPr>
            <w:tcW w:w="1642" w:type="dxa"/>
          </w:tcPr>
          <w:p w14:paraId="196CA736" w14:textId="46DD8A68"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25</w:t>
            </w:r>
          </w:p>
        </w:tc>
      </w:tr>
      <w:tr w:rsidR="003C620D" w:rsidRPr="003C620D" w14:paraId="42C1DB6C" w14:textId="785781EE" w:rsidTr="00F545BE">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bottom w:val="single" w:sz="12" w:space="0" w:color="FFFFFF" w:themeColor="background1"/>
            </w:tcBorders>
          </w:tcPr>
          <w:p w14:paraId="7505EED4" w14:textId="21217274" w:rsidR="003C620D" w:rsidRPr="00367957" w:rsidRDefault="00F545BE" w:rsidP="006A61CA">
            <w:pPr>
              <w:rPr>
                <w:b w:val="0"/>
              </w:rPr>
            </w:pPr>
            <w:r w:rsidRPr="00367957">
              <w:t>Time per case per year</w:t>
            </w:r>
          </w:p>
        </w:tc>
        <w:tc>
          <w:tcPr>
            <w:tcW w:w="2073" w:type="dxa"/>
          </w:tcPr>
          <w:p w14:paraId="7FA82AF4" w14:textId="639AE27B" w:rsidR="003C620D" w:rsidRPr="003C620D" w:rsidRDefault="003C620D" w:rsidP="006A61CA">
            <w:pPr>
              <w:cnfStyle w:val="000000000000" w:firstRow="0" w:lastRow="0" w:firstColumn="0" w:lastColumn="0" w:oddVBand="0" w:evenVBand="0" w:oddHBand="0" w:evenHBand="0" w:firstRowFirstColumn="0" w:firstRowLastColumn="0" w:lastRowFirstColumn="0" w:lastRowLastColumn="0"/>
            </w:pPr>
            <w:r w:rsidRPr="003C620D">
              <w:t>Adults in target cohorts</w:t>
            </w:r>
          </w:p>
        </w:tc>
        <w:tc>
          <w:tcPr>
            <w:tcW w:w="1641" w:type="dxa"/>
          </w:tcPr>
          <w:p w14:paraId="7184E13A" w14:textId="34590E91" w:rsidR="003C620D" w:rsidRP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8</w:t>
            </w:r>
          </w:p>
        </w:tc>
        <w:tc>
          <w:tcPr>
            <w:tcW w:w="1641" w:type="dxa"/>
          </w:tcPr>
          <w:p w14:paraId="11C16163" w14:textId="4DAFE1E4"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pPr>
            <w:r>
              <w:t>21</w:t>
            </w:r>
          </w:p>
        </w:tc>
        <w:tc>
          <w:tcPr>
            <w:tcW w:w="1642" w:type="dxa"/>
          </w:tcPr>
          <w:p w14:paraId="502073F5" w14:textId="68A87BDB" w:rsidR="003C620D" w:rsidRDefault="003C620D" w:rsidP="00FE604F">
            <w:pPr>
              <w:jc w:val="center"/>
              <w:cnfStyle w:val="000000000000" w:firstRow="0" w:lastRow="0" w:firstColumn="0" w:lastColumn="0" w:oddVBand="0" w:evenVBand="0" w:oddHBand="0" w:evenHBand="0" w:firstRowFirstColumn="0" w:firstRowLastColumn="0" w:lastRowFirstColumn="0" w:lastRowLastColumn="0"/>
            </w:pPr>
            <w:r>
              <w:t>25</w:t>
            </w:r>
          </w:p>
        </w:tc>
      </w:tr>
      <w:tr w:rsidR="003C620D" w:rsidRPr="003C620D" w14:paraId="55A1DDD2" w14:textId="080D5872" w:rsidTr="00F5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tcBorders>
          </w:tcPr>
          <w:p w14:paraId="2F1C439C" w14:textId="1B3086F6" w:rsidR="003C620D" w:rsidRPr="00367957" w:rsidRDefault="00F545BE" w:rsidP="006A61CA">
            <w:pPr>
              <w:rPr>
                <w:b w:val="0"/>
              </w:rPr>
            </w:pPr>
            <w:r w:rsidRPr="00367957">
              <w:t>Time per case per year</w:t>
            </w:r>
          </w:p>
        </w:tc>
        <w:tc>
          <w:tcPr>
            <w:tcW w:w="2073" w:type="dxa"/>
          </w:tcPr>
          <w:p w14:paraId="6A5A8213" w14:textId="47EF6F09" w:rsidR="003C620D" w:rsidRPr="003C620D" w:rsidRDefault="003C620D" w:rsidP="006A61CA">
            <w:pPr>
              <w:cnfStyle w:val="000000100000" w:firstRow="0" w:lastRow="0" w:firstColumn="0" w:lastColumn="0" w:oddVBand="0" w:evenVBand="0" w:oddHBand="1" w:evenHBand="0" w:firstRowFirstColumn="0" w:firstRowLastColumn="0" w:lastRowFirstColumn="0" w:lastRowLastColumn="0"/>
            </w:pPr>
            <w:r w:rsidRPr="003C620D">
              <w:t>Youth participants</w:t>
            </w:r>
          </w:p>
        </w:tc>
        <w:tc>
          <w:tcPr>
            <w:tcW w:w="1641" w:type="dxa"/>
          </w:tcPr>
          <w:p w14:paraId="2D3D11E8" w14:textId="2D059F42" w:rsidR="003C620D" w:rsidRP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14</w:t>
            </w:r>
          </w:p>
        </w:tc>
        <w:tc>
          <w:tcPr>
            <w:tcW w:w="1641" w:type="dxa"/>
          </w:tcPr>
          <w:p w14:paraId="1AE4C68D" w14:textId="4C07E3BA" w:rsidR="003C620D" w:rsidRPr="00FE604F" w:rsidRDefault="003C620D" w:rsidP="00FE604F">
            <w:pPr>
              <w:jc w:val="center"/>
              <w:cnfStyle w:val="000000100000" w:firstRow="0" w:lastRow="0" w:firstColumn="0" w:lastColumn="0" w:oddVBand="0" w:evenVBand="0" w:oddHBand="1" w:evenHBand="0" w:firstRowFirstColumn="0" w:firstRowLastColumn="0" w:lastRowFirstColumn="0" w:lastRowLastColumn="0"/>
            </w:pPr>
            <w:r>
              <w:t>25</w:t>
            </w:r>
          </w:p>
        </w:tc>
        <w:tc>
          <w:tcPr>
            <w:tcW w:w="1642" w:type="dxa"/>
          </w:tcPr>
          <w:p w14:paraId="0306CA1C" w14:textId="32963ED8"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25</w:t>
            </w:r>
          </w:p>
        </w:tc>
      </w:tr>
      <w:tr w:rsidR="003C620D" w:rsidRPr="003C620D" w14:paraId="2660EFA7" w14:textId="36844C98" w:rsidTr="00F545BE">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FFFFFF" w:themeColor="background1"/>
            </w:tcBorders>
          </w:tcPr>
          <w:p w14:paraId="6C8E49B5" w14:textId="2FB65566" w:rsidR="003C620D" w:rsidRPr="00367957" w:rsidRDefault="00F545BE" w:rsidP="006A61CA">
            <w:r w:rsidRPr="00367957">
              <w:t>Time per case per year</w:t>
            </w:r>
          </w:p>
        </w:tc>
        <w:tc>
          <w:tcPr>
            <w:tcW w:w="2073" w:type="dxa"/>
          </w:tcPr>
          <w:p w14:paraId="040277DE" w14:textId="47838AC1" w:rsidR="003C620D" w:rsidRPr="00FE604F" w:rsidRDefault="003C620D" w:rsidP="006A61CA">
            <w:pPr>
              <w:cnfStyle w:val="000000000000" w:firstRow="0" w:lastRow="0" w:firstColumn="0" w:lastColumn="0" w:oddVBand="0" w:evenVBand="0" w:oddHBand="0" w:evenHBand="0" w:firstRowFirstColumn="0" w:firstRowLastColumn="0" w:lastRowFirstColumn="0" w:lastRowLastColumn="0"/>
              <w:rPr>
                <w:b/>
                <w:bCs/>
              </w:rPr>
            </w:pPr>
            <w:r w:rsidRPr="00FE604F">
              <w:rPr>
                <w:b/>
                <w:bCs/>
              </w:rPr>
              <w:t>Overall</w:t>
            </w:r>
          </w:p>
        </w:tc>
        <w:tc>
          <w:tcPr>
            <w:tcW w:w="1641" w:type="dxa"/>
          </w:tcPr>
          <w:p w14:paraId="29AEA52F" w14:textId="3D289D89"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10</w:t>
            </w:r>
          </w:p>
        </w:tc>
        <w:tc>
          <w:tcPr>
            <w:tcW w:w="1641" w:type="dxa"/>
          </w:tcPr>
          <w:p w14:paraId="2C03BC70" w14:textId="4F9EC6C6"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22</w:t>
            </w:r>
          </w:p>
        </w:tc>
        <w:tc>
          <w:tcPr>
            <w:tcW w:w="1642" w:type="dxa"/>
          </w:tcPr>
          <w:p w14:paraId="0C7B3472" w14:textId="093FE49E" w:rsidR="003C620D" w:rsidRPr="00FE604F" w:rsidRDefault="003C620D" w:rsidP="00FE604F">
            <w:pPr>
              <w:jc w:val="center"/>
              <w:cnfStyle w:val="000000000000" w:firstRow="0" w:lastRow="0" w:firstColumn="0" w:lastColumn="0" w:oddVBand="0" w:evenVBand="0" w:oddHBand="0" w:evenHBand="0" w:firstRowFirstColumn="0" w:firstRowLastColumn="0" w:lastRowFirstColumn="0" w:lastRowLastColumn="0"/>
              <w:rPr>
                <w:b/>
                <w:bCs/>
              </w:rPr>
            </w:pPr>
            <w:r w:rsidRPr="00FE604F">
              <w:rPr>
                <w:b/>
                <w:bCs/>
              </w:rPr>
              <w:t>25</w:t>
            </w:r>
          </w:p>
        </w:tc>
      </w:tr>
      <w:tr w:rsidR="003C620D" w:rsidRPr="003C620D" w14:paraId="70814DE5" w14:textId="6D97BFFE" w:rsidTr="00F5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E3C35E" w14:textId="3F954279" w:rsidR="003C620D" w:rsidRPr="006A61CA" w:rsidRDefault="003C620D" w:rsidP="006A61CA">
            <w:r w:rsidRPr="006A61CA">
              <w:lastRenderedPageBreak/>
              <w:t>Staff salary (incl. superannuation)</w:t>
            </w:r>
          </w:p>
        </w:tc>
        <w:tc>
          <w:tcPr>
            <w:tcW w:w="2073" w:type="dxa"/>
          </w:tcPr>
          <w:p w14:paraId="28CADB72" w14:textId="77777777" w:rsidR="003C620D" w:rsidRPr="003C620D" w:rsidRDefault="003C620D" w:rsidP="006A61CA">
            <w:pPr>
              <w:cnfStyle w:val="000000100000" w:firstRow="0" w:lastRow="0" w:firstColumn="0" w:lastColumn="0" w:oddVBand="0" w:evenVBand="0" w:oddHBand="1" w:evenHBand="0" w:firstRowFirstColumn="0" w:firstRowLastColumn="0" w:lastRowFirstColumn="0" w:lastRowLastColumn="0"/>
            </w:pPr>
          </w:p>
        </w:tc>
        <w:tc>
          <w:tcPr>
            <w:tcW w:w="1641" w:type="dxa"/>
          </w:tcPr>
          <w:p w14:paraId="09516648" w14:textId="4B1672E6"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$61,600</w:t>
            </w:r>
          </w:p>
        </w:tc>
        <w:tc>
          <w:tcPr>
            <w:tcW w:w="1641" w:type="dxa"/>
          </w:tcPr>
          <w:p w14:paraId="12CD7EAC" w14:textId="09607DA8" w:rsidR="003C620D" w:rsidRDefault="003C620D" w:rsidP="00FE604F">
            <w:pPr>
              <w:jc w:val="center"/>
              <w:cnfStyle w:val="000000100000" w:firstRow="0" w:lastRow="0" w:firstColumn="0" w:lastColumn="0" w:oddVBand="0" w:evenVBand="0" w:oddHBand="1" w:evenHBand="0" w:firstRowFirstColumn="0" w:firstRowLastColumn="0" w:lastRowFirstColumn="0" w:lastRowLastColumn="0"/>
            </w:pPr>
            <w:r>
              <w:t>$92,125</w:t>
            </w:r>
          </w:p>
        </w:tc>
        <w:tc>
          <w:tcPr>
            <w:tcW w:w="1642" w:type="dxa"/>
          </w:tcPr>
          <w:p w14:paraId="71AD7785" w14:textId="72B675BD" w:rsidR="003C620D" w:rsidRDefault="006A61CA" w:rsidP="00FE604F">
            <w:pPr>
              <w:jc w:val="center"/>
              <w:cnfStyle w:val="000000100000" w:firstRow="0" w:lastRow="0" w:firstColumn="0" w:lastColumn="0" w:oddVBand="0" w:evenVBand="0" w:oddHBand="1" w:evenHBand="0" w:firstRowFirstColumn="0" w:firstRowLastColumn="0" w:lastRowFirstColumn="0" w:lastRowLastColumn="0"/>
            </w:pPr>
            <w:r>
              <w:t>$92,125</w:t>
            </w:r>
          </w:p>
        </w:tc>
      </w:tr>
    </w:tbl>
    <w:p w14:paraId="03A35587" w14:textId="01AF3857" w:rsidR="00306BE0" w:rsidRPr="003C620D" w:rsidRDefault="005329BA" w:rsidP="00306BE0">
      <w:r>
        <w:t>*</w:t>
      </w:r>
      <w:r w:rsidR="00CD501F" w:rsidRPr="00CD501F">
        <w:t xml:space="preserve"> </w:t>
      </w:r>
      <w:r w:rsidR="00CD501F" w:rsidRPr="00AF6337">
        <w:t xml:space="preserve">The modelling estimates the total </w:t>
      </w:r>
      <w:r w:rsidR="00CD501F">
        <w:t>amount</w:t>
      </w:r>
      <w:r w:rsidR="00CD501F" w:rsidRPr="00AF6337">
        <w:t xml:space="preserve"> of provider payments required under the reformed system. The allocation between upfront and outcome-based payments </w:t>
      </w:r>
      <w:r w:rsidR="00CD501F" w:rsidRPr="00CD501F">
        <w:t xml:space="preserve">remains </w:t>
      </w:r>
      <w:r w:rsidR="00CD501F" w:rsidRPr="002C35C3">
        <w:t xml:space="preserve">subject to further </w:t>
      </w:r>
      <w:r w:rsidR="007F3BA4" w:rsidRPr="00CD501F">
        <w:t>discussion</w:t>
      </w:r>
      <w:r w:rsidR="007F3BA4" w:rsidRPr="00B61F01">
        <w:t xml:space="preserve"> and</w:t>
      </w:r>
      <w:r w:rsidR="00B61F01" w:rsidRPr="00B61F01">
        <w:t xml:space="preserve"> is a decision for implementation</w:t>
      </w:r>
      <w:r w:rsidR="00B61F01">
        <w:t>.</w:t>
      </w:r>
      <w:r w:rsidR="00CD501F" w:rsidRPr="00AF6337">
        <w:t xml:space="preserve"> For </w:t>
      </w:r>
      <w:r w:rsidR="00CD501F">
        <w:t>illustrative</w:t>
      </w:r>
      <w:r w:rsidR="00CD501F" w:rsidRPr="00AF6337">
        <w:t xml:space="preserve"> purposes, an assumed proportion of </w:t>
      </w:r>
      <w:r w:rsidR="00CD501F">
        <w:t xml:space="preserve">44% </w:t>
      </w:r>
      <w:r w:rsidR="00CD501F" w:rsidRPr="00AF6337">
        <w:t>has been allocated to outcome payments</w:t>
      </w:r>
      <w:r w:rsidR="00CD501F">
        <w:t xml:space="preserve"> for services provided to adult participants</w:t>
      </w:r>
      <w:r w:rsidR="00CD501F" w:rsidRPr="00AF6337">
        <w:t>, consistent with the Hill Review’s recommendation that outcome payments comprise a lower share of total provider funding.</w:t>
      </w:r>
    </w:p>
    <w:p w14:paraId="7E6F79AC" w14:textId="23083475" w:rsidR="002F35E8" w:rsidRDefault="002311EF" w:rsidP="00622324">
      <w:pPr>
        <w:pStyle w:val="Heading3"/>
      </w:pPr>
      <w:bookmarkStart w:id="19" w:name="_Toc226038393"/>
      <w:r>
        <w:t xml:space="preserve">Potential </w:t>
      </w:r>
      <w:r w:rsidR="00F657A2">
        <w:t>o</w:t>
      </w:r>
      <w:r>
        <w:t xml:space="preserve">ffsets </w:t>
      </w:r>
      <w:r w:rsidR="00332A76">
        <w:t>to repurpose</w:t>
      </w:r>
      <w:r w:rsidR="002F35E8">
        <w:t xml:space="preserve"> the existing funding envelope</w:t>
      </w:r>
      <w:bookmarkEnd w:id="15"/>
      <w:bookmarkEnd w:id="16"/>
      <w:bookmarkEnd w:id="19"/>
    </w:p>
    <w:p w14:paraId="7E39923F" w14:textId="42D6480C" w:rsidR="00791C48" w:rsidRPr="00177F3B" w:rsidRDefault="0088398F" w:rsidP="0019408C">
      <w:r>
        <w:t xml:space="preserve">The recommendations of the Hill Review </w:t>
      </w:r>
      <w:r w:rsidR="00673384">
        <w:t xml:space="preserve">to improve service delivery will </w:t>
      </w:r>
      <w:r w:rsidR="00FD4657">
        <w:t xml:space="preserve">predominately </w:t>
      </w:r>
      <w:r w:rsidR="00673384">
        <w:t xml:space="preserve">increase </w:t>
      </w:r>
      <w:r w:rsidR="007D6B77">
        <w:t xml:space="preserve">cost </w:t>
      </w:r>
      <w:r w:rsidR="00CD1624">
        <w:t>(</w:t>
      </w:r>
      <w:r w:rsidR="00B61F01">
        <w:t>e</w:t>
      </w:r>
      <w:r w:rsidR="00CD1624">
        <w:t>.</w:t>
      </w:r>
      <w:r w:rsidR="00B61F01">
        <w:t>g</w:t>
      </w:r>
      <w:r w:rsidR="00CD1624">
        <w:t xml:space="preserve">. higher salaries and </w:t>
      </w:r>
      <w:proofErr w:type="gramStart"/>
      <w:r w:rsidR="00CD1624">
        <w:t>lower case</w:t>
      </w:r>
      <w:proofErr w:type="gramEnd"/>
      <w:r w:rsidR="00CD1624">
        <w:t xml:space="preserve"> ratios)</w:t>
      </w:r>
      <w:r w:rsidR="00CD69DC">
        <w:t xml:space="preserve">. </w:t>
      </w:r>
      <w:r w:rsidR="00CD1624" w:rsidRPr="00177F3B">
        <w:t xml:space="preserve">This section outlines the estimated value of </w:t>
      </w:r>
      <w:r w:rsidR="00CD1624">
        <w:t xml:space="preserve">two </w:t>
      </w:r>
      <w:r w:rsidR="00CD1624" w:rsidRPr="00177F3B">
        <w:t>offsets</w:t>
      </w:r>
      <w:r w:rsidR="006D715D">
        <w:t xml:space="preserve"> identified by the Hill Review </w:t>
      </w:r>
      <w:r w:rsidR="00673384">
        <w:t xml:space="preserve">that have been incorporated into our cost scenarios. In addition, we discuss an option of shifting </w:t>
      </w:r>
      <w:r w:rsidR="00F63019">
        <w:t xml:space="preserve">medium intensity participants to online support to explore the intent of prioritising funding to those most in need. </w:t>
      </w:r>
      <w:r w:rsidR="00CD69DC">
        <w:t xml:space="preserve">To </w:t>
      </w:r>
      <w:r w:rsidR="007D6B77">
        <w:t>reform the Employment Services system while maintaining the existing funding envelope</w:t>
      </w:r>
      <w:r w:rsidR="00EE5A5F">
        <w:t>,</w:t>
      </w:r>
      <w:r w:rsidR="00C81E3A">
        <w:t xml:space="preserve"> </w:t>
      </w:r>
      <w:r w:rsidR="006D715D">
        <w:t xml:space="preserve">decisions would need to be made by government regarding which components of reform to prioritise, and to what extent, as well as recognising the offsetting benefit of reduced welfare expenditure and high taxation </w:t>
      </w:r>
      <w:r w:rsidR="00F63019">
        <w:t xml:space="preserve">in a more effective system </w:t>
      </w:r>
      <w:r w:rsidR="006D715D">
        <w:t>(the quantification of which was not within the scope of this work)</w:t>
      </w:r>
      <w:r w:rsidR="00880233">
        <w:t>.</w:t>
      </w:r>
    </w:p>
    <w:p w14:paraId="49A7DC33" w14:textId="0E73BDD9" w:rsidR="00534EE8" w:rsidRPr="00C40DAF" w:rsidRDefault="00534EE8" w:rsidP="00622324">
      <w:pPr>
        <w:pStyle w:val="Heading4"/>
      </w:pPr>
      <w:bookmarkStart w:id="20" w:name="_Ref219734685"/>
      <w:r>
        <w:t xml:space="preserve">Hill Review </w:t>
      </w:r>
      <w:r w:rsidR="00722DF9">
        <w:t>savings recommendations</w:t>
      </w:r>
      <w:bookmarkEnd w:id="20"/>
    </w:p>
    <w:p w14:paraId="76CD1B72" w14:textId="7B9E785E" w:rsidR="00880233" w:rsidRDefault="00880233" w:rsidP="0088398F">
      <w:r>
        <w:t>The</w:t>
      </w:r>
      <w:r w:rsidR="00666FCE">
        <w:t xml:space="preserve"> Hill</w:t>
      </w:r>
      <w:r>
        <w:t xml:space="preserve"> Review refer</w:t>
      </w:r>
      <w:r w:rsidR="00A138B7">
        <w:t>s</w:t>
      </w:r>
      <w:r>
        <w:t xml:space="preserve"> to the </w:t>
      </w:r>
      <w:r w:rsidR="00DD42CF">
        <w:t>following possible savings:</w:t>
      </w:r>
    </w:p>
    <w:tbl>
      <w:tblPr>
        <w:tblStyle w:val="TableGrid"/>
        <w:tblW w:w="0" w:type="auto"/>
        <w:tblLook w:val="04A0" w:firstRow="1" w:lastRow="0" w:firstColumn="1" w:lastColumn="0" w:noHBand="0" w:noVBand="1"/>
      </w:tblPr>
      <w:tblGrid>
        <w:gridCol w:w="9382"/>
      </w:tblGrid>
      <w:tr w:rsidR="00E75844" w14:paraId="1E004635" w14:textId="77777777" w:rsidTr="00493BE6">
        <w:tc>
          <w:tcPr>
            <w:tcW w:w="9382" w:type="dxa"/>
            <w:tcBorders>
              <w:top w:val="nil"/>
              <w:left w:val="nil"/>
              <w:bottom w:val="nil"/>
              <w:right w:val="single" w:sz="24" w:space="0" w:color="006EC8" w:themeColor="accent1"/>
            </w:tcBorders>
            <w:shd w:val="clear" w:color="auto" w:fill="C1E3FF" w:themeFill="accent1" w:themeFillTint="33"/>
          </w:tcPr>
          <w:p w14:paraId="29A8297D" w14:textId="77777777" w:rsidR="00E75844" w:rsidRPr="00681DA1" w:rsidRDefault="00E75844" w:rsidP="00493BE6">
            <w:pPr>
              <w:rPr>
                <w:b/>
                <w:bCs/>
              </w:rPr>
            </w:pPr>
            <w:r>
              <w:rPr>
                <w:b/>
                <w:bCs/>
              </w:rPr>
              <w:t>Recommendation 47</w:t>
            </w:r>
          </w:p>
          <w:p w14:paraId="334C5FA7" w14:textId="6BFE9093" w:rsidR="00E75844" w:rsidRDefault="00E75844" w:rsidP="00493BE6">
            <w:pPr>
              <w:rPr>
                <w:noProof/>
              </w:rPr>
            </w:pPr>
            <w:r>
              <w:rPr>
                <w:noProof/>
              </w:rPr>
              <w:t>The Committee recommends that the Australian Government consolidate and reduce the number of complementary programs and implement measures to enhance the programs which are retained. Over time, this should include the following changes:</w:t>
            </w:r>
          </w:p>
          <w:p w14:paraId="13FE48D6" w14:textId="77777777" w:rsidR="00E75844" w:rsidRDefault="00E75844" w:rsidP="00493BE6">
            <w:pPr>
              <w:pStyle w:val="Bullet1"/>
              <w:rPr>
                <w:noProof/>
              </w:rPr>
            </w:pPr>
            <w:r>
              <w:rPr>
                <w:noProof/>
              </w:rPr>
              <w:t>Ceasing Employability Skills Training, with the support provided via Block 1 courses incorporated into quality case management services and the support provided via Block 2 courses incorporated into the services delivered by Employment Services Australia’s regional hubs.</w:t>
            </w:r>
          </w:p>
          <w:p w14:paraId="1D3CF1F1" w14:textId="77777777" w:rsidR="00E75844" w:rsidRDefault="00E75844" w:rsidP="00493BE6">
            <w:pPr>
              <w:pStyle w:val="Bullet1"/>
              <w:rPr>
                <w:noProof/>
              </w:rPr>
            </w:pPr>
            <w:r>
              <w:rPr>
                <w:noProof/>
              </w:rPr>
              <w:t>Retaining Career Transition Assistance and trialling remote participation in the program to improve accessibility especially in thin markets.</w:t>
            </w:r>
          </w:p>
          <w:p w14:paraId="461A66DE" w14:textId="77777777" w:rsidR="00E75844" w:rsidRDefault="00E75844" w:rsidP="00493BE6">
            <w:pPr>
              <w:pStyle w:val="Bullet1"/>
              <w:rPr>
                <w:noProof/>
              </w:rPr>
            </w:pPr>
            <w:r>
              <w:rPr>
                <w:noProof/>
              </w:rPr>
              <w:t>Retaining Self-Employment Assistance while reviewing the program with consideration to the enhancements recommended in evidence to this inquiry. This should include broadening eligibility criteria for the program.</w:t>
            </w:r>
          </w:p>
          <w:p w14:paraId="7DE934F3" w14:textId="77777777" w:rsidR="00E75844" w:rsidRDefault="00E75844" w:rsidP="00493BE6">
            <w:pPr>
              <w:pStyle w:val="Bullet1"/>
              <w:rPr>
                <w:noProof/>
              </w:rPr>
            </w:pPr>
            <w:r>
              <w:rPr>
                <w:noProof/>
              </w:rPr>
              <w:t>Ceasing facilitation programs for employers and rolling these services into a consolidated employer-focused service delivered via Employment Services Australia’s Regional Hubs. This consolidation would include the Local Jobs Program, Workforce Specialists, and Employer Liaison Officers.</w:t>
            </w:r>
          </w:p>
          <w:p w14:paraId="76A15A77" w14:textId="77777777" w:rsidR="00E75844" w:rsidRDefault="00E75844" w:rsidP="00493BE6">
            <w:pPr>
              <w:pStyle w:val="Bullet1"/>
              <w:rPr>
                <w:noProof/>
              </w:rPr>
            </w:pPr>
            <w:r>
              <w:rPr>
                <w:noProof/>
              </w:rPr>
              <w:t>Continuing foundation skills programs with an enhanced focus on digital literacy and digital skills.</w:t>
            </w:r>
          </w:p>
          <w:p w14:paraId="271881BD" w14:textId="77777777" w:rsidR="00E75844" w:rsidRPr="007906CA" w:rsidRDefault="00E75844" w:rsidP="006A7C5B">
            <w:pPr>
              <w:keepNext/>
              <w:rPr>
                <w:b/>
                <w:bCs/>
              </w:rPr>
            </w:pPr>
            <w:r w:rsidRPr="007906CA">
              <w:rPr>
                <w:b/>
                <w:bCs/>
              </w:rPr>
              <w:t>Recommendation 48</w:t>
            </w:r>
          </w:p>
          <w:p w14:paraId="723608E6" w14:textId="2D603B64" w:rsidR="00E75844" w:rsidRDefault="00E75844" w:rsidP="00493BE6">
            <w:r>
              <w:t>The Committee recommends that Work for the Dole (</w:t>
            </w:r>
            <w:proofErr w:type="spellStart"/>
            <w:r>
              <w:t>WfD</w:t>
            </w:r>
            <w:proofErr w:type="spellEnd"/>
            <w:r>
              <w:t xml:space="preserve">) be retained primarily as a last resort activity for people who fail to meaningfully engage or comply with their Participation and Jobs Plan over the long term. People who choose to participate in or are referred to </w:t>
            </w:r>
            <w:proofErr w:type="spellStart"/>
            <w:r>
              <w:t>WfD</w:t>
            </w:r>
            <w:proofErr w:type="spellEnd"/>
            <w:r>
              <w:t xml:space="preserve"> should receive a supplement that at least realistically covers their costs of transport and participation.</w:t>
            </w:r>
          </w:p>
        </w:tc>
      </w:tr>
    </w:tbl>
    <w:p w14:paraId="0B923367" w14:textId="26942968" w:rsidR="00E75844" w:rsidRDefault="00E75844" w:rsidP="00E75844">
      <w:pPr>
        <w:rPr>
          <w:color w:val="231F20" w:themeColor="text1"/>
        </w:rPr>
      </w:pPr>
      <w:r w:rsidRPr="00205527">
        <w:rPr>
          <w:i/>
          <w:iCs/>
          <w:color w:val="006EC8" w:themeColor="accent1"/>
        </w:rPr>
        <w:lastRenderedPageBreak/>
        <w:t>Cost implications:</w:t>
      </w:r>
      <w:r w:rsidRPr="00205527">
        <w:rPr>
          <w:color w:val="006EC8" w:themeColor="accent1"/>
        </w:rPr>
        <w:t xml:space="preserve"> </w:t>
      </w:r>
      <w:r w:rsidRPr="00205527">
        <w:rPr>
          <w:color w:val="231F20" w:themeColor="text1"/>
        </w:rPr>
        <w:t xml:space="preserve">The </w:t>
      </w:r>
      <w:r w:rsidR="00A14B53" w:rsidRPr="00205527">
        <w:rPr>
          <w:color w:val="231F20" w:themeColor="text1"/>
        </w:rPr>
        <w:t xml:space="preserve">consolidation of programs is expected to reduce the complexity of the range of </w:t>
      </w:r>
      <w:r w:rsidR="001964FB" w:rsidRPr="00205527">
        <w:rPr>
          <w:color w:val="231F20" w:themeColor="text1"/>
        </w:rPr>
        <w:t xml:space="preserve">similar </w:t>
      </w:r>
      <w:r w:rsidR="00A14B53" w:rsidRPr="00205527">
        <w:rPr>
          <w:color w:val="231F20" w:themeColor="text1"/>
        </w:rPr>
        <w:t>services off</w:t>
      </w:r>
      <w:r w:rsidR="001964FB" w:rsidRPr="00205527">
        <w:rPr>
          <w:color w:val="231F20" w:themeColor="text1"/>
        </w:rPr>
        <w:t>ered</w:t>
      </w:r>
      <w:r w:rsidR="005078BA">
        <w:rPr>
          <w:color w:val="231F20" w:themeColor="text1"/>
        </w:rPr>
        <w:t>. H</w:t>
      </w:r>
      <w:r w:rsidR="001964FB" w:rsidRPr="00205527">
        <w:rPr>
          <w:color w:val="231F20" w:themeColor="text1"/>
        </w:rPr>
        <w:t>owever</w:t>
      </w:r>
      <w:r w:rsidR="005078BA">
        <w:rPr>
          <w:color w:val="231F20" w:themeColor="text1"/>
        </w:rPr>
        <w:t>,</w:t>
      </w:r>
      <w:r w:rsidR="001964FB" w:rsidRPr="00205527">
        <w:rPr>
          <w:color w:val="231F20" w:themeColor="text1"/>
        </w:rPr>
        <w:t xml:space="preserve"> the Hill Review does not indicate that the level </w:t>
      </w:r>
      <w:r w:rsidR="00624265">
        <w:rPr>
          <w:color w:val="231F20" w:themeColor="text1"/>
        </w:rPr>
        <w:t xml:space="preserve">or intensity </w:t>
      </w:r>
      <w:r w:rsidR="001964FB" w:rsidRPr="00205527">
        <w:rPr>
          <w:color w:val="231F20" w:themeColor="text1"/>
        </w:rPr>
        <w:t xml:space="preserve">of servicing </w:t>
      </w:r>
      <w:r w:rsidR="00F63019">
        <w:rPr>
          <w:color w:val="231F20" w:themeColor="text1"/>
        </w:rPr>
        <w:t>should</w:t>
      </w:r>
      <w:r w:rsidR="00F63019" w:rsidRPr="00205527">
        <w:rPr>
          <w:color w:val="231F20" w:themeColor="text1"/>
        </w:rPr>
        <w:t xml:space="preserve"> </w:t>
      </w:r>
      <w:r w:rsidR="001964FB" w:rsidRPr="00205527">
        <w:rPr>
          <w:color w:val="231F20" w:themeColor="text1"/>
        </w:rPr>
        <w:t xml:space="preserve">be reduced. As such it is expected that </w:t>
      </w:r>
      <w:r w:rsidR="001537AE" w:rsidRPr="00205527">
        <w:rPr>
          <w:color w:val="231F20" w:themeColor="text1"/>
        </w:rPr>
        <w:t xml:space="preserve">the consolidation would be cost neutral. In our costings we have </w:t>
      </w:r>
      <w:r w:rsidR="00624265">
        <w:rPr>
          <w:color w:val="231F20" w:themeColor="text1"/>
        </w:rPr>
        <w:t xml:space="preserve">generally </w:t>
      </w:r>
      <w:r w:rsidR="001537AE" w:rsidRPr="00205527">
        <w:rPr>
          <w:color w:val="231F20" w:themeColor="text1"/>
        </w:rPr>
        <w:t xml:space="preserve">accounted for the </w:t>
      </w:r>
      <w:r w:rsidR="004E3003" w:rsidRPr="00205527">
        <w:rPr>
          <w:color w:val="231F20" w:themeColor="text1"/>
        </w:rPr>
        <w:t>marginal cost of the expanded service offer</w:t>
      </w:r>
      <w:r w:rsidR="00F63019">
        <w:rPr>
          <w:color w:val="231F20" w:themeColor="text1"/>
        </w:rPr>
        <w:t>ing</w:t>
      </w:r>
      <w:r w:rsidR="004E3003" w:rsidRPr="00205527">
        <w:rPr>
          <w:color w:val="231F20" w:themeColor="text1"/>
        </w:rPr>
        <w:t xml:space="preserve"> only</w:t>
      </w:r>
      <w:r w:rsidR="00014246" w:rsidRPr="00205527">
        <w:rPr>
          <w:color w:val="231F20" w:themeColor="text1"/>
        </w:rPr>
        <w:t xml:space="preserve">. </w:t>
      </w:r>
      <w:r w:rsidR="00964CC6">
        <w:rPr>
          <w:color w:val="231F20" w:themeColor="text1"/>
        </w:rPr>
        <w:t>The exceptions to this are:</w:t>
      </w:r>
    </w:p>
    <w:p w14:paraId="35A6BDEA" w14:textId="36CBF578" w:rsidR="00964CC6" w:rsidRDefault="0061448B" w:rsidP="00964CC6">
      <w:pPr>
        <w:pStyle w:val="Bullet1"/>
      </w:pPr>
      <w:r>
        <w:t>The Hill Review</w:t>
      </w:r>
      <w:r w:rsidR="0060527C">
        <w:t xml:space="preserve"> recommended ending </w:t>
      </w:r>
      <w:r w:rsidR="00621E04">
        <w:t>Employability Skills Training</w:t>
      </w:r>
      <w:r w:rsidR="00AD214A">
        <w:t xml:space="preserve"> (E</w:t>
      </w:r>
      <w:r w:rsidR="00FF1AE8">
        <w:t>ST)</w:t>
      </w:r>
      <w:r w:rsidR="00621E04">
        <w:t xml:space="preserve">, </w:t>
      </w:r>
      <w:r w:rsidR="00555DB7">
        <w:t>due to the increased</w:t>
      </w:r>
      <w:r w:rsidR="00621E04">
        <w:t xml:space="preserve"> support </w:t>
      </w:r>
      <w:r w:rsidR="00CD5DD0">
        <w:t>provided through</w:t>
      </w:r>
      <w:r w:rsidR="0023531A">
        <w:t xml:space="preserve"> a combination of more intense case management (</w:t>
      </w:r>
      <w:r w:rsidR="00ED0BB2">
        <w:t xml:space="preserve">Section </w:t>
      </w:r>
      <w:r w:rsidR="0023531A">
        <w:fldChar w:fldCharType="begin"/>
      </w:r>
      <w:r w:rsidR="0023531A">
        <w:instrText xml:space="preserve"> REF _Ref219406461 \n \h </w:instrText>
      </w:r>
      <w:r w:rsidR="0023531A">
        <w:fldChar w:fldCharType="separate"/>
      </w:r>
      <w:r w:rsidR="001703C6">
        <w:t>4.1</w:t>
      </w:r>
      <w:r w:rsidR="0023531A">
        <w:fldChar w:fldCharType="end"/>
      </w:r>
      <w:r w:rsidR="0023531A">
        <w:t>) and regional hubs (</w:t>
      </w:r>
      <w:r w:rsidR="00ED0BB2">
        <w:t xml:space="preserve">Section </w:t>
      </w:r>
      <w:r w:rsidR="0023531A">
        <w:fldChar w:fldCharType="begin"/>
      </w:r>
      <w:r w:rsidR="0023531A">
        <w:instrText xml:space="preserve"> REF _Ref219408846 \n \h </w:instrText>
      </w:r>
      <w:r w:rsidR="0023531A">
        <w:fldChar w:fldCharType="separate"/>
      </w:r>
      <w:r w:rsidR="001703C6">
        <w:t>4.4</w:t>
      </w:r>
      <w:r w:rsidR="0023531A">
        <w:fldChar w:fldCharType="end"/>
      </w:r>
      <w:r w:rsidR="0023531A">
        <w:t>).</w:t>
      </w:r>
      <w:r w:rsidR="00ED0BB2">
        <w:t xml:space="preserve"> </w:t>
      </w:r>
      <w:r w:rsidR="0041442E">
        <w:t xml:space="preserve">This would </w:t>
      </w:r>
      <w:r w:rsidR="00F86B90">
        <w:t>provide an offset of</w:t>
      </w:r>
      <w:r w:rsidR="0041442E">
        <w:t xml:space="preserve"> $8</w:t>
      </w:r>
      <w:r w:rsidR="00E07ACD">
        <w:t>7.1</w:t>
      </w:r>
      <w:r w:rsidR="0041442E">
        <w:t>M</w:t>
      </w:r>
      <w:r w:rsidR="00E07ACD">
        <w:rPr>
          <w:rStyle w:val="FootnoteReference"/>
        </w:rPr>
        <w:footnoteReference w:id="7"/>
      </w:r>
      <w:r w:rsidR="0041442E">
        <w:t xml:space="preserve"> per year.</w:t>
      </w:r>
    </w:p>
    <w:p w14:paraId="08F08B7A" w14:textId="43E96573" w:rsidR="0041442E" w:rsidRPr="0041442E" w:rsidRDefault="00437637" w:rsidP="0041442E">
      <w:pPr>
        <w:pStyle w:val="Bullet1"/>
      </w:pPr>
      <w:r>
        <w:t xml:space="preserve">We have costed the </w:t>
      </w:r>
      <w:r w:rsidR="00AD214A">
        <w:t>Employment Services Quality Commission (ESQC) as a new function</w:t>
      </w:r>
      <w:r w:rsidR="00FF1AE8">
        <w:t xml:space="preserve"> but </w:t>
      </w:r>
      <w:r w:rsidR="00B02723">
        <w:t>some of its responsibilities already exist with the Department</w:t>
      </w:r>
      <w:r w:rsidR="00A04DEB">
        <w:t xml:space="preserve">. It is </w:t>
      </w:r>
      <w:r w:rsidR="00852CAC">
        <w:t>likely that some of these</w:t>
      </w:r>
      <w:r w:rsidR="00B02723">
        <w:t xml:space="preserve"> </w:t>
      </w:r>
      <w:r w:rsidR="00236CCF">
        <w:t>teams would</w:t>
      </w:r>
      <w:r w:rsidR="00B02723">
        <w:t xml:space="preserve"> be transferred </w:t>
      </w:r>
      <w:r w:rsidR="00236CCF">
        <w:t>to the commission</w:t>
      </w:r>
      <w:r w:rsidR="008323E5">
        <w:t xml:space="preserve">, </w:t>
      </w:r>
      <w:r w:rsidR="00F63019">
        <w:t>but</w:t>
      </w:r>
      <w:r w:rsidR="008323E5">
        <w:t xml:space="preserve"> also likely that the Department would need to maintain parallel capa</w:t>
      </w:r>
      <w:r w:rsidR="004343F0">
        <w:t xml:space="preserve">bility in-house leading to </w:t>
      </w:r>
      <w:r w:rsidR="00F63019">
        <w:t>some</w:t>
      </w:r>
      <w:r w:rsidR="004343F0">
        <w:t xml:space="preserve"> duplication of resourcing within the public sector. </w:t>
      </w:r>
      <w:r w:rsidR="00EA25C2">
        <w:t xml:space="preserve">In the absence of a detailed review of the Department’s functions and teams, </w:t>
      </w:r>
      <w:r w:rsidR="001553FA">
        <w:t xml:space="preserve">we have </w:t>
      </w:r>
      <w:r w:rsidR="004A1E02">
        <w:t>assumed that</w:t>
      </w:r>
      <w:r w:rsidR="001553FA">
        <w:t xml:space="preserve"> 50% of the </w:t>
      </w:r>
      <w:r w:rsidR="00745D6A">
        <w:t>cost</w:t>
      </w:r>
      <w:r w:rsidR="005B2C61">
        <w:t xml:space="preserve"> of the </w:t>
      </w:r>
      <w:r w:rsidR="0020006D">
        <w:t xml:space="preserve">ESQC </w:t>
      </w:r>
      <w:r w:rsidR="00745D6A">
        <w:t xml:space="preserve">may be offset </w:t>
      </w:r>
      <w:r w:rsidR="0020006D">
        <w:t xml:space="preserve">from </w:t>
      </w:r>
      <w:r w:rsidR="00285D01">
        <w:t>DEWR departmental expenses</w:t>
      </w:r>
      <w:r w:rsidR="005E4C83">
        <w:t xml:space="preserve">, </w:t>
      </w:r>
      <w:r w:rsidR="00F86B90">
        <w:t>provid</w:t>
      </w:r>
      <w:r w:rsidR="005E4C83">
        <w:t>ing</w:t>
      </w:r>
      <w:r w:rsidR="00D85359">
        <w:t xml:space="preserve"> an offset of </w:t>
      </w:r>
      <w:r w:rsidR="006F7FA3">
        <w:t>$27</w:t>
      </w:r>
      <w:r w:rsidR="00BA1CFD">
        <w:t>.3</w:t>
      </w:r>
      <w:r w:rsidR="006F7FA3">
        <w:t>M per year.</w:t>
      </w:r>
    </w:p>
    <w:p w14:paraId="6A91BD99" w14:textId="0AE38C91" w:rsidR="00EC27DE" w:rsidRDefault="00177853" w:rsidP="00E75844">
      <w:pPr>
        <w:rPr>
          <w:color w:val="231F20" w:themeColor="text1"/>
        </w:rPr>
      </w:pPr>
      <w:r>
        <w:rPr>
          <w:color w:val="231F20" w:themeColor="text1"/>
        </w:rPr>
        <w:t xml:space="preserve">Other </w:t>
      </w:r>
      <w:r w:rsidR="00EC27DE">
        <w:rPr>
          <w:color w:val="231F20" w:themeColor="text1"/>
        </w:rPr>
        <w:t>Hill Review recommendations relating to savings are largely not about doing less, rather they aim to reduce frictions that currently affect the quality of services:</w:t>
      </w:r>
    </w:p>
    <w:p w14:paraId="017D90E1" w14:textId="6E9FAA3C" w:rsidR="002C137A" w:rsidRDefault="002C137A" w:rsidP="002C137A">
      <w:pPr>
        <w:pStyle w:val="Bullet1"/>
      </w:pPr>
      <w:r>
        <w:t>C</w:t>
      </w:r>
      <w:r w:rsidR="00DA3BE3">
        <w:t xml:space="preserve">ut red tape that adds administrative load to frontline staff </w:t>
      </w:r>
      <w:r>
        <w:t xml:space="preserve">– </w:t>
      </w:r>
      <w:r w:rsidR="00DA3BE3">
        <w:t xml:space="preserve">considered in Section </w:t>
      </w:r>
      <w:r w:rsidR="00664F8A">
        <w:fldChar w:fldCharType="begin"/>
      </w:r>
      <w:r w:rsidR="00664F8A">
        <w:rPr>
          <w:color w:val="231F20" w:themeColor="text1"/>
        </w:rPr>
        <w:instrText xml:space="preserve"> REF _Ref219406461 \r \h </w:instrText>
      </w:r>
      <w:r w:rsidR="00664F8A">
        <w:fldChar w:fldCharType="separate"/>
      </w:r>
      <w:r w:rsidR="001703C6">
        <w:rPr>
          <w:color w:val="231F20" w:themeColor="text1"/>
        </w:rPr>
        <w:t>4.1</w:t>
      </w:r>
      <w:r w:rsidR="00664F8A">
        <w:fldChar w:fldCharType="end"/>
      </w:r>
    </w:p>
    <w:p w14:paraId="537A5DC1" w14:textId="77777777" w:rsidR="00A17051" w:rsidRDefault="002C137A" w:rsidP="002C137A">
      <w:pPr>
        <w:pStyle w:val="Bullet1"/>
      </w:pPr>
      <w:r>
        <w:t>C</w:t>
      </w:r>
      <w:r w:rsidR="00664F8A">
        <w:t>onsolidate programs</w:t>
      </w:r>
      <w:r w:rsidR="003548FA">
        <w:t xml:space="preserve"> </w:t>
      </w:r>
      <w:r>
        <w:t xml:space="preserve">– </w:t>
      </w:r>
      <w:r w:rsidR="003548FA">
        <w:t>addressed above</w:t>
      </w:r>
      <w:r w:rsidR="00F259E5">
        <w:t xml:space="preserve"> </w:t>
      </w:r>
    </w:p>
    <w:p w14:paraId="7D7C8662" w14:textId="6A279247" w:rsidR="00177853" w:rsidRPr="00205527" w:rsidRDefault="00A17051" w:rsidP="002C137A">
      <w:pPr>
        <w:pStyle w:val="Bullet1"/>
      </w:pPr>
      <w:r>
        <w:t>F</w:t>
      </w:r>
      <w:r w:rsidR="00F259E5">
        <w:t xml:space="preserve">ix the commissioning model which </w:t>
      </w:r>
      <w:r w:rsidR="003548FA">
        <w:t xml:space="preserve">leads to unnecessary competition between providers </w:t>
      </w:r>
      <w:r w:rsidR="00010CA9">
        <w:t xml:space="preserve">– </w:t>
      </w:r>
      <w:r w:rsidR="003548FA">
        <w:t xml:space="preserve">efficiencies would be </w:t>
      </w:r>
      <w:r w:rsidR="00657555">
        <w:t>a benefit to</w:t>
      </w:r>
      <w:r w:rsidR="00453D6B">
        <w:t xml:space="preserve"> providers unless provider payments were changed to facilitate the Commonwealth </w:t>
      </w:r>
      <w:r w:rsidR="00C335D0">
        <w:t>recouping some of the anticipated benefits</w:t>
      </w:r>
      <w:r w:rsidR="007936DE">
        <w:t>.</w:t>
      </w:r>
      <w:r w:rsidR="003548FA">
        <w:t xml:space="preserve"> </w:t>
      </w:r>
    </w:p>
    <w:p w14:paraId="482050BB" w14:textId="1E0ECC4A" w:rsidR="00EE3C53" w:rsidRPr="00EE3C53" w:rsidRDefault="00EE3C53" w:rsidP="00EE3C53">
      <w:r>
        <w:t>As such, we have not made any further cost offset allowance for these.</w:t>
      </w:r>
    </w:p>
    <w:p w14:paraId="658201CF" w14:textId="77777777" w:rsidR="00673384" w:rsidRPr="00673384" w:rsidRDefault="00673384" w:rsidP="00622324">
      <w:pPr>
        <w:pStyle w:val="Heading4"/>
      </w:pPr>
      <w:r w:rsidRPr="00673384">
        <w:t>Shifting medium intensity participants online by default</w:t>
      </w:r>
    </w:p>
    <w:p w14:paraId="478C573D" w14:textId="11FEE051" w:rsidR="00673384" w:rsidRDefault="00673384" w:rsidP="00673384">
      <w:r>
        <w:t xml:space="preserve">In considering ways the reformed system could be delivered at a cost closer to the existing funding envelope, we have considered the possible savings associated with </w:t>
      </w:r>
      <w:r w:rsidRPr="00F02AFF">
        <w:t xml:space="preserve">shifting medium intensity participants </w:t>
      </w:r>
      <w:r w:rsidR="00EF532D">
        <w:t xml:space="preserve">to </w:t>
      </w:r>
      <w:r w:rsidRPr="00F02AFF">
        <w:t xml:space="preserve">online </w:t>
      </w:r>
      <w:r w:rsidR="00EF532D">
        <w:t xml:space="preserve">support </w:t>
      </w:r>
      <w:r w:rsidRPr="00F02AFF">
        <w:t>by default</w:t>
      </w:r>
      <w:r>
        <w:t>. This costing is intended to be indicative only</w:t>
      </w:r>
      <w:r w:rsidR="00BE4196">
        <w:t xml:space="preserve"> to facilitate discussion</w:t>
      </w:r>
      <w:r>
        <w:t>, further research is required into the effectiveness of self-service for this cohort.</w:t>
      </w:r>
    </w:p>
    <w:p w14:paraId="6DFB8E5B" w14:textId="5405FC08" w:rsidR="00673384" w:rsidRDefault="00673384" w:rsidP="00673384">
      <w:r>
        <w:t xml:space="preserve">The Hill Review make several references to the need to re-focus case management services on the participants who are furthest from the labour market. In keeping with this principle, an option for cost saving is to redirect medium-intensity participants to the online platform in the first instance. Jobseekers who are unsuccessful at finding work through this self-service platform would then move into case management at the 12-month mark (or earlier if they elect to). From this point, the usual provider payments would apply and therefore this would represent a delay in payments (and importantly employment outcomes) rather than a cost saving. This means the real savings is dependent on the proportion of participants who </w:t>
      </w:r>
      <w:r w:rsidR="00EF532D">
        <w:t>would be</w:t>
      </w:r>
      <w:r>
        <w:t xml:space="preserve"> successful at finding work using the online platform.</w:t>
      </w:r>
    </w:p>
    <w:p w14:paraId="66913909" w14:textId="68F5ED96" w:rsidR="00673384" w:rsidRDefault="00673384" w:rsidP="00BE4196">
      <w:r>
        <w:t xml:space="preserve">The Legislated Review of Workforce Australia in June 2024 found that 72% of all jobseekers in </w:t>
      </w:r>
      <w:proofErr w:type="spellStart"/>
      <w:r>
        <w:t>WfA</w:t>
      </w:r>
      <w:proofErr w:type="spellEnd"/>
      <w:r>
        <w:t xml:space="preserve"> Online had found employment after 11 months</w:t>
      </w:r>
      <w:r>
        <w:rPr>
          <w:rStyle w:val="FootnoteReference"/>
        </w:rPr>
        <w:footnoteReference w:id="8"/>
      </w:r>
      <w:r>
        <w:t xml:space="preserve">. Importantly, these jobseekers have been assessed as the most job-ready and able to self-serve. </w:t>
      </w:r>
      <w:r w:rsidR="00224D0B">
        <w:t>I</w:t>
      </w:r>
      <w:r>
        <w:t xml:space="preserve">f the same proportion of medium-intensity jobseekers were able to find work through self-serve, then of the 336,715 medium intensity cases who had been in employment services for 12 months or less in 2024-25 </w:t>
      </w:r>
      <w:r w:rsidR="00BE4196">
        <w:t xml:space="preserve">who are </w:t>
      </w:r>
      <w:r>
        <w:t xml:space="preserve">redirected to the online channel, 242,435 would self-manage finding work. The avoided 2024-25 provider payments associated with this group is $534.7M. If this group is less proficient at finding work than the 72% observed in </w:t>
      </w:r>
      <w:proofErr w:type="spellStart"/>
      <w:r>
        <w:t>WfA</w:t>
      </w:r>
      <w:proofErr w:type="spellEnd"/>
      <w:r>
        <w:t xml:space="preserve"> Online participants, this estimate would </w:t>
      </w:r>
      <w:r>
        <w:lastRenderedPageBreak/>
        <w:t>proportionately reduce.</w:t>
      </w:r>
      <w:r w:rsidR="00BE4196">
        <w:t xml:space="preserve"> This estimate also does not consider any increase in cost for the online platform and Digital Services Contact Centre to handle the increased number of users or additional functionality that may be required to support them.</w:t>
      </w:r>
    </w:p>
    <w:p w14:paraId="524ABBCE" w14:textId="5CE844F3" w:rsidR="00673384" w:rsidRDefault="00673384" w:rsidP="00673384">
      <w:r>
        <w:t xml:space="preserve">The second order effect of the 28% of participants who </w:t>
      </w:r>
      <w:proofErr w:type="gramStart"/>
      <w:r>
        <w:t>are not able to</w:t>
      </w:r>
      <w:proofErr w:type="gramEnd"/>
      <w:r>
        <w:t xml:space="preserve"> self-serve has not been considered, however it should be noted that there is significant risk to their employment outcomes arising from the delay of up to 12 months in transitioning to a provider and receiving case management services. This may be mitigated by the existing ability for participants to self-select to transition from online to provider services.</w:t>
      </w:r>
      <w:r w:rsidR="00BE4196">
        <w:t xml:space="preserve"> </w:t>
      </w:r>
      <w:r>
        <w:t>Any shift of participants from provider services to online services should consider the potential for this to lead to service gaps.</w:t>
      </w:r>
      <w:r w:rsidR="00224D0B">
        <w:t xml:space="preserve"> Investment in the improved identification of participants who are best able to self-serve using the online platform will mean better targeting of the digital service offer, alleviating resourcing demands on the provider network.</w:t>
      </w:r>
    </w:p>
    <w:p w14:paraId="681B2A86" w14:textId="25678AF9" w:rsidR="00C40DAF" w:rsidRPr="00C40DAF" w:rsidRDefault="00C40DAF" w:rsidP="00622324">
      <w:pPr>
        <w:pStyle w:val="Heading4"/>
      </w:pPr>
      <w:bookmarkStart w:id="21" w:name="_Ref219905614"/>
      <w:r>
        <w:t>Income support payment reductions arising from higher quality employment services</w:t>
      </w:r>
      <w:bookmarkEnd w:id="21"/>
    </w:p>
    <w:p w14:paraId="475B9324" w14:textId="44FBF002" w:rsidR="00C63B69" w:rsidRDefault="0003536F" w:rsidP="004842C6">
      <w:r w:rsidRPr="00DE6E2B">
        <w:t xml:space="preserve">As discussed to Section </w:t>
      </w:r>
      <w:r w:rsidRPr="00DE6E2B">
        <w:fldChar w:fldCharType="begin"/>
      </w:r>
      <w:r w:rsidRPr="00DE6E2B">
        <w:instrText xml:space="preserve"> REF _Ref219723568 \n \h  \* MERGEFORMAT </w:instrText>
      </w:r>
      <w:r w:rsidRPr="00DE6E2B">
        <w:fldChar w:fldCharType="separate"/>
      </w:r>
      <w:r w:rsidR="001703C6">
        <w:t>2.3</w:t>
      </w:r>
      <w:r w:rsidRPr="00DE6E2B">
        <w:fldChar w:fldCharType="end"/>
      </w:r>
      <w:r w:rsidRPr="00DE6E2B">
        <w:t xml:space="preserve">, </w:t>
      </w:r>
      <w:r w:rsidR="00CC6D54">
        <w:t>t</w:t>
      </w:r>
      <w:r w:rsidR="00464D0F">
        <w:t>he</w:t>
      </w:r>
      <w:r w:rsidR="0039046A">
        <w:t xml:space="preserve"> scope of this</w:t>
      </w:r>
      <w:r w:rsidR="00464D0F">
        <w:t xml:space="preserve"> modelling focuses on the cost of </w:t>
      </w:r>
      <w:r w:rsidR="00464D0F" w:rsidRPr="0034598D">
        <w:t xml:space="preserve">a new approach to employment services. While the reform aims to shift away from the focus of rapid job placement and place greater emphasis on secure employment, the </w:t>
      </w:r>
      <w:r w:rsidR="00F43DE0">
        <w:t xml:space="preserve">quantification of the </w:t>
      </w:r>
      <w:r w:rsidR="00464D0F" w:rsidRPr="0034598D">
        <w:t xml:space="preserve">expected economic and social benefits that come with this is </w:t>
      </w:r>
      <w:r w:rsidR="0039046A">
        <w:t xml:space="preserve">are </w:t>
      </w:r>
      <w:r w:rsidR="00464D0F" w:rsidRPr="0034598D">
        <w:t>out of scope</w:t>
      </w:r>
      <w:r w:rsidR="00C63B69">
        <w:t xml:space="preserve">. </w:t>
      </w:r>
      <w:r w:rsidR="004842C6">
        <w:t>Consider</w:t>
      </w:r>
      <w:r w:rsidR="0039046A">
        <w:t>ation</w:t>
      </w:r>
      <w:r w:rsidR="004842C6">
        <w:t xml:space="preserve"> </w:t>
      </w:r>
      <w:r w:rsidR="0039046A">
        <w:t xml:space="preserve">of </w:t>
      </w:r>
      <w:r w:rsidR="00CD51BD">
        <w:t xml:space="preserve">the benefits </w:t>
      </w:r>
      <w:r w:rsidR="0039046A">
        <w:t xml:space="preserve">of </w:t>
      </w:r>
      <w:r w:rsidR="00CD51BD">
        <w:t xml:space="preserve">the reformed system </w:t>
      </w:r>
      <w:r w:rsidR="0039046A">
        <w:t xml:space="preserve">would </w:t>
      </w:r>
      <w:r w:rsidR="004842C6">
        <w:t>provide a more complete assessment of</w:t>
      </w:r>
      <w:r w:rsidR="00CD51BD">
        <w:t xml:space="preserve"> </w:t>
      </w:r>
      <w:r w:rsidR="0039046A">
        <w:t>the cost-benefit of reform</w:t>
      </w:r>
      <w:r w:rsidR="00CD51BD">
        <w:t>.</w:t>
      </w:r>
    </w:p>
    <w:p w14:paraId="4BE3CA10" w14:textId="77777777" w:rsidR="000A26A1" w:rsidRDefault="000A7EC7" w:rsidP="00693E1F">
      <w:r w:rsidRPr="00313FDD">
        <w:t xml:space="preserve">The Hill Review recommendations </w:t>
      </w:r>
      <w:r w:rsidR="00747BDF" w:rsidRPr="00313FDD">
        <w:t xml:space="preserve">are expected to improve the </w:t>
      </w:r>
      <w:r w:rsidR="00162C88">
        <w:t>quality of employment services</w:t>
      </w:r>
      <w:r w:rsidR="007213D8">
        <w:t xml:space="preserve"> delivered to participants</w:t>
      </w:r>
      <w:r w:rsidR="00136D6B">
        <w:t xml:space="preserve">, which should lead to </w:t>
      </w:r>
      <w:r w:rsidR="002C373E">
        <w:t xml:space="preserve">more participants finding </w:t>
      </w:r>
      <w:r w:rsidR="00955F50">
        <w:t xml:space="preserve">sustainable </w:t>
      </w:r>
      <w:r w:rsidR="002C373E">
        <w:t>employment.</w:t>
      </w:r>
      <w:r w:rsidR="00E02B58">
        <w:t xml:space="preserve"> The result of this </w:t>
      </w:r>
      <w:r w:rsidR="008F575F">
        <w:t xml:space="preserve">is </w:t>
      </w:r>
      <w:r w:rsidR="00136D6B">
        <w:t>shorter periods of time unemployed</w:t>
      </w:r>
      <w:r w:rsidR="00F43DE0">
        <w:t xml:space="preserve"> and fewer re-entries into the system. This would lead to lower amounts of </w:t>
      </w:r>
      <w:r w:rsidR="008F575F">
        <w:t xml:space="preserve">unemployment </w:t>
      </w:r>
      <w:r w:rsidR="00F10485">
        <w:t xml:space="preserve">benefits </w:t>
      </w:r>
      <w:r w:rsidR="00F43DE0">
        <w:t xml:space="preserve">paid by </w:t>
      </w:r>
      <w:r w:rsidR="00F10485">
        <w:t>the welfare system</w:t>
      </w:r>
      <w:r w:rsidR="007D7A9A">
        <w:t>.</w:t>
      </w:r>
      <w:r w:rsidR="0039046A">
        <w:t xml:space="preserve"> </w:t>
      </w:r>
    </w:p>
    <w:p w14:paraId="2DE2545D" w14:textId="50332771" w:rsidR="000A26A1" w:rsidRDefault="000A26A1" w:rsidP="00693E1F">
      <w:r w:rsidRPr="000A26A1">
        <w:t>Based on advice from the Committee on potential employment outcomes from improvements to employment services, the Department of Social Services has conducted preliminary modelling on the impact on social security from a decrease in the time that people receiving Jobseeker payments spend in the system. The analysis shows that achieving a 3 per cent reduction in time people spend in the system (not including people with partial capacity to work) would save $665m per year. A reduction of time spent in the system of 5 per cent for the same group would save $1.1b through reduced Jobseeker payments alone</w:t>
      </w:r>
      <w:r>
        <w:t>.</w:t>
      </w:r>
    </w:p>
    <w:p w14:paraId="103BEA57" w14:textId="7CCBB4C1" w:rsidR="001156BE" w:rsidRDefault="0039046A" w:rsidP="00693E1F">
      <w:r>
        <w:t xml:space="preserve">We encourage the committee to conduct further work to quantify the potential impact on the </w:t>
      </w:r>
      <w:r w:rsidR="00544A9D">
        <w:t>income support system</w:t>
      </w:r>
      <w:r>
        <w:t xml:space="preserve"> a higher quality </w:t>
      </w:r>
      <w:r w:rsidR="00544A9D">
        <w:t xml:space="preserve">employment services </w:t>
      </w:r>
      <w:r>
        <w:t>system could deliver.</w:t>
      </w:r>
    </w:p>
    <w:p w14:paraId="40E8F865" w14:textId="77777777" w:rsidR="004E7DB7" w:rsidRDefault="004E7DB7" w:rsidP="001A795E">
      <w:pPr>
        <w:pStyle w:val="Heading3"/>
      </w:pPr>
      <w:bookmarkStart w:id="22" w:name="_Ref221695979"/>
      <w:bookmarkStart w:id="23" w:name="_Toc226038394"/>
      <w:r>
        <w:t>Costing uncertainties</w:t>
      </w:r>
      <w:bookmarkEnd w:id="22"/>
      <w:bookmarkEnd w:id="23"/>
    </w:p>
    <w:p w14:paraId="448E1C2C" w14:textId="0BED6A37" w:rsidR="004E7DB7" w:rsidRDefault="004E7DB7" w:rsidP="004E7DB7">
      <w:pPr>
        <w:rPr>
          <w:color w:val="231F20" w:themeColor="text1"/>
        </w:rPr>
      </w:pPr>
      <w:r>
        <w:rPr>
          <w:color w:val="231F20" w:themeColor="text1"/>
        </w:rPr>
        <w:t xml:space="preserve">In developing the costing model for a reformed </w:t>
      </w:r>
      <w:r w:rsidR="007F3BA4">
        <w:rPr>
          <w:color w:val="231F20" w:themeColor="text1"/>
        </w:rPr>
        <w:t>system,</w:t>
      </w:r>
      <w:r>
        <w:rPr>
          <w:color w:val="231F20" w:themeColor="text1"/>
        </w:rPr>
        <w:t xml:space="preserve"> we have referenced research and referred to findings of the Hill Review in deriving assumptions. We have also tested these assumptions with the committee </w:t>
      </w:r>
      <w:r w:rsidR="00F43DE0">
        <w:rPr>
          <w:color w:val="231F20" w:themeColor="text1"/>
        </w:rPr>
        <w:t xml:space="preserve">for their </w:t>
      </w:r>
      <w:r>
        <w:rPr>
          <w:color w:val="231F20" w:themeColor="text1"/>
        </w:rPr>
        <w:t xml:space="preserve">insights on reasonableness. We believe these sources constitute a </w:t>
      </w:r>
      <w:r w:rsidRPr="00033545">
        <w:rPr>
          <w:color w:val="231F20" w:themeColor="text1"/>
        </w:rPr>
        <w:t>defensible bas</w:t>
      </w:r>
      <w:r>
        <w:rPr>
          <w:color w:val="231F20" w:themeColor="text1"/>
        </w:rPr>
        <w:t>i</w:t>
      </w:r>
      <w:r w:rsidRPr="00033545">
        <w:rPr>
          <w:color w:val="231F20" w:themeColor="text1"/>
        </w:rPr>
        <w:t xml:space="preserve">s for </w:t>
      </w:r>
      <w:r w:rsidR="00F43DE0" w:rsidRPr="00033545">
        <w:rPr>
          <w:color w:val="231F20" w:themeColor="text1"/>
        </w:rPr>
        <w:t>assumptions but</w:t>
      </w:r>
      <w:r w:rsidRPr="00033545">
        <w:rPr>
          <w:color w:val="231F20" w:themeColor="text1"/>
        </w:rPr>
        <w:t xml:space="preserve"> recognise there is </w:t>
      </w:r>
      <w:r>
        <w:rPr>
          <w:color w:val="231F20" w:themeColor="text1"/>
        </w:rPr>
        <w:t>inherent uncertainty in all assumptions.</w:t>
      </w:r>
      <w:r w:rsidR="00233678">
        <w:rPr>
          <w:color w:val="231F20" w:themeColor="text1"/>
        </w:rPr>
        <w:t xml:space="preserve"> For example, while the Hill Review discusses the need for lower case ratios, it does not specify a target ratio. </w:t>
      </w:r>
      <w:r>
        <w:rPr>
          <w:color w:val="231F20" w:themeColor="text1"/>
        </w:rPr>
        <w:t xml:space="preserve">As such, there is a </w:t>
      </w:r>
      <w:r w:rsidRPr="00033545">
        <w:rPr>
          <w:color w:val="231F20" w:themeColor="text1"/>
        </w:rPr>
        <w:t xml:space="preserve">range </w:t>
      </w:r>
      <w:r>
        <w:rPr>
          <w:color w:val="231F20" w:themeColor="text1"/>
        </w:rPr>
        <w:t>of acceptable values to consider as inputs to the cost modelling</w:t>
      </w:r>
      <w:r w:rsidR="00233678">
        <w:rPr>
          <w:color w:val="231F20" w:themeColor="text1"/>
        </w:rPr>
        <w:t>.</w:t>
      </w:r>
    </w:p>
    <w:p w14:paraId="1ADBA9E4" w14:textId="1E52F5EB" w:rsidR="004E7DB7" w:rsidRDefault="004E7DB7" w:rsidP="004E7DB7">
      <w:pPr>
        <w:rPr>
          <w:color w:val="231F20" w:themeColor="text1"/>
        </w:rPr>
      </w:pPr>
      <w:r>
        <w:rPr>
          <w:color w:val="231F20" w:themeColor="text1"/>
        </w:rPr>
        <w:t xml:space="preserve">Some elements of the cost model are tightly interconnected, for example the assumed case ratios drives an estimation of the size of the workforce </w:t>
      </w:r>
      <w:r w:rsidR="00F43DE0">
        <w:rPr>
          <w:color w:val="231F20" w:themeColor="text1"/>
        </w:rPr>
        <w:t xml:space="preserve">the cost of </w:t>
      </w:r>
      <w:r w:rsidR="00544A9D">
        <w:rPr>
          <w:color w:val="231F20" w:themeColor="text1"/>
        </w:rPr>
        <w:t>which is</w:t>
      </w:r>
      <w:r>
        <w:rPr>
          <w:color w:val="231F20" w:themeColor="text1"/>
        </w:rPr>
        <w:t xml:space="preserve"> affected by the assumed salaries of these workers, and the assumed salary for private sector staff creates a differential to public sector salaries which affects the </w:t>
      </w:r>
      <w:r w:rsidR="00233678">
        <w:rPr>
          <w:color w:val="231F20" w:themeColor="text1"/>
        </w:rPr>
        <w:t xml:space="preserve">incremental </w:t>
      </w:r>
      <w:r>
        <w:rPr>
          <w:color w:val="231F20" w:themeColor="text1"/>
        </w:rPr>
        <w:t>cost of publicly provided case management. To demonstrate the range of costs under differing sets of assumptions (for these most material assumptions) we have presented a series of scenarios in Section</w:t>
      </w:r>
      <w:r w:rsidR="00722228">
        <w:rPr>
          <w:color w:val="231F20" w:themeColor="text1"/>
        </w:rPr>
        <w:t xml:space="preserve"> </w:t>
      </w:r>
      <w:r w:rsidR="00722228">
        <w:rPr>
          <w:color w:val="231F20" w:themeColor="text1"/>
        </w:rPr>
        <w:fldChar w:fldCharType="begin"/>
      </w:r>
      <w:r w:rsidR="00722228">
        <w:rPr>
          <w:color w:val="231F20" w:themeColor="text1"/>
        </w:rPr>
        <w:instrText xml:space="preserve"> REF _Ref222414706 \n \h </w:instrText>
      </w:r>
      <w:r w:rsidR="00722228">
        <w:rPr>
          <w:color w:val="231F20" w:themeColor="text1"/>
        </w:rPr>
      </w:r>
      <w:r w:rsidR="00722228">
        <w:rPr>
          <w:color w:val="231F20" w:themeColor="text1"/>
        </w:rPr>
        <w:fldChar w:fldCharType="separate"/>
      </w:r>
      <w:r w:rsidR="001703C6">
        <w:rPr>
          <w:color w:val="231F20" w:themeColor="text1"/>
        </w:rPr>
        <w:t>3.4</w:t>
      </w:r>
      <w:r w:rsidR="00722228">
        <w:rPr>
          <w:color w:val="231F20" w:themeColor="text1"/>
        </w:rPr>
        <w:fldChar w:fldCharType="end"/>
      </w:r>
      <w:r w:rsidR="00722228">
        <w:rPr>
          <w:color w:val="231F20" w:themeColor="text1"/>
        </w:rPr>
        <w:t>.</w:t>
      </w:r>
    </w:p>
    <w:p w14:paraId="497DD6F0" w14:textId="716BB477" w:rsidR="004E7DB7" w:rsidRDefault="004E7DB7" w:rsidP="004E7DB7">
      <w:pPr>
        <w:rPr>
          <w:color w:val="231F20" w:themeColor="text1"/>
        </w:rPr>
      </w:pPr>
      <w:r>
        <w:rPr>
          <w:color w:val="231F20" w:themeColor="text1"/>
        </w:rPr>
        <w:t xml:space="preserve">There are many other elements of the cost model, such that presenting scenarios of </w:t>
      </w:r>
      <w:r w:rsidR="00233678">
        <w:rPr>
          <w:color w:val="231F20" w:themeColor="text1"/>
        </w:rPr>
        <w:t xml:space="preserve">every </w:t>
      </w:r>
      <w:r>
        <w:rPr>
          <w:color w:val="231F20" w:themeColor="text1"/>
        </w:rPr>
        <w:t xml:space="preserve">combination of different assumptions would be impractical. Instead, we have demonstrated the sensitivity of the modelled </w:t>
      </w:r>
      <w:r>
        <w:rPr>
          <w:color w:val="231F20" w:themeColor="text1"/>
        </w:rPr>
        <w:lastRenderedPageBreak/>
        <w:t>cost of a reformed system to each selected assumption</w:t>
      </w:r>
      <w:r w:rsidR="00233678">
        <w:rPr>
          <w:color w:val="231F20" w:themeColor="text1"/>
        </w:rPr>
        <w:t xml:space="preserve"> </w:t>
      </w:r>
      <w:r w:rsidR="00B13535">
        <w:rPr>
          <w:color w:val="231F20" w:themeColor="text1"/>
        </w:rPr>
        <w:t>(</w:t>
      </w:r>
      <w:r w:rsidR="00233678">
        <w:rPr>
          <w:color w:val="231F20" w:themeColor="text1"/>
        </w:rPr>
        <w:t xml:space="preserve">given all else </w:t>
      </w:r>
      <w:r w:rsidR="00F43DE0">
        <w:rPr>
          <w:color w:val="231F20" w:themeColor="text1"/>
        </w:rPr>
        <w:t xml:space="preserve">being </w:t>
      </w:r>
      <w:r w:rsidR="00233678">
        <w:rPr>
          <w:color w:val="231F20" w:themeColor="text1"/>
        </w:rPr>
        <w:t>equal</w:t>
      </w:r>
      <w:r w:rsidR="00B13535">
        <w:rPr>
          <w:color w:val="231F20" w:themeColor="text1"/>
        </w:rPr>
        <w:t>)</w:t>
      </w:r>
      <w:r>
        <w:rPr>
          <w:color w:val="231F20" w:themeColor="text1"/>
        </w:rPr>
        <w:t xml:space="preserve">. This </w:t>
      </w:r>
      <w:r w:rsidR="00B13535">
        <w:rPr>
          <w:color w:val="231F20" w:themeColor="text1"/>
        </w:rPr>
        <w:t xml:space="preserve">sensitivity testing </w:t>
      </w:r>
      <w:r>
        <w:rPr>
          <w:color w:val="231F20" w:themeColor="text1"/>
        </w:rPr>
        <w:t xml:space="preserve">is presented within Section </w:t>
      </w:r>
      <w:r>
        <w:rPr>
          <w:color w:val="231F20" w:themeColor="text1"/>
        </w:rPr>
        <w:fldChar w:fldCharType="begin"/>
      </w:r>
      <w:r>
        <w:rPr>
          <w:color w:val="231F20" w:themeColor="text1"/>
        </w:rPr>
        <w:instrText xml:space="preserve"> REF _Ref221695941 \r \h </w:instrText>
      </w:r>
      <w:r>
        <w:rPr>
          <w:color w:val="231F20" w:themeColor="text1"/>
        </w:rPr>
      </w:r>
      <w:r>
        <w:rPr>
          <w:color w:val="231F20" w:themeColor="text1"/>
        </w:rPr>
        <w:fldChar w:fldCharType="separate"/>
      </w:r>
      <w:r w:rsidR="001703C6">
        <w:rPr>
          <w:color w:val="231F20" w:themeColor="text1"/>
        </w:rPr>
        <w:t>4</w:t>
      </w:r>
      <w:r>
        <w:rPr>
          <w:color w:val="231F20" w:themeColor="text1"/>
        </w:rPr>
        <w:fldChar w:fldCharType="end"/>
      </w:r>
      <w:r>
        <w:rPr>
          <w:color w:val="231F20" w:themeColor="text1"/>
        </w:rPr>
        <w:t xml:space="preserve">. </w:t>
      </w:r>
    </w:p>
    <w:p w14:paraId="0961F16E" w14:textId="77777777" w:rsidR="00485426" w:rsidRPr="001D3228" w:rsidRDefault="00485426" w:rsidP="001A795E">
      <w:pPr>
        <w:pStyle w:val="Heading3"/>
      </w:pPr>
      <w:bookmarkStart w:id="24" w:name="_Ref222414706"/>
      <w:bookmarkStart w:id="25" w:name="_Toc226038395"/>
      <w:r>
        <w:t xml:space="preserve">Costing </w:t>
      </w:r>
      <w:r w:rsidRPr="001A795E">
        <w:t>scenarios</w:t>
      </w:r>
      <w:bookmarkEnd w:id="24"/>
      <w:bookmarkEnd w:id="25"/>
    </w:p>
    <w:p w14:paraId="0D77B88B" w14:textId="30F5A755" w:rsidR="00485426" w:rsidRDefault="00485426" w:rsidP="00485426">
      <w:pPr>
        <w:rPr>
          <w:color w:val="231F20" w:themeColor="text1"/>
        </w:rPr>
      </w:pPr>
      <w:r>
        <w:t xml:space="preserve">In performing our cost modelling, there is a need to </w:t>
      </w:r>
      <w:r w:rsidR="00B13535">
        <w:t>select service delivery assumptions based on</w:t>
      </w:r>
      <w:r>
        <w:t xml:space="preserve"> the Hill Review and literature. While the intent of each Hill Review recommendation is clear, there is room for interpretation regarding specific values to adopt for parameters, which introduces modelling uncertainty. To account for a range of plausible </w:t>
      </w:r>
      <w:r>
        <w:rPr>
          <w:color w:val="231F20" w:themeColor="text1"/>
        </w:rPr>
        <w:t xml:space="preserve">combinations of service delivery assumptions, we have modelled a set of scenarios (see </w:t>
      </w:r>
      <w:r>
        <w:fldChar w:fldCharType="begin"/>
      </w:r>
      <w:r>
        <w:instrText xml:space="preserve"> REF _Ref219473447 \h </w:instrText>
      </w:r>
      <w:r>
        <w:fldChar w:fldCharType="separate"/>
      </w:r>
      <w:r w:rsidR="001703C6">
        <w:t xml:space="preserve">Table </w:t>
      </w:r>
      <w:r w:rsidR="001703C6">
        <w:rPr>
          <w:noProof/>
        </w:rPr>
        <w:t>4</w:t>
      </w:r>
      <w:r>
        <w:fldChar w:fldCharType="end"/>
      </w:r>
      <w:r>
        <w:t xml:space="preserve">) </w:t>
      </w:r>
      <w:r>
        <w:rPr>
          <w:color w:val="231F20" w:themeColor="text1"/>
        </w:rPr>
        <w:t>and present</w:t>
      </w:r>
      <w:r w:rsidR="00B13535">
        <w:rPr>
          <w:color w:val="231F20" w:themeColor="text1"/>
        </w:rPr>
        <w:t xml:space="preserve"> results of sensitivity testing (see Section </w:t>
      </w:r>
      <w:r w:rsidR="00B13535">
        <w:rPr>
          <w:color w:val="231F20" w:themeColor="text1"/>
        </w:rPr>
        <w:fldChar w:fldCharType="begin"/>
      </w:r>
      <w:r w:rsidR="00B13535">
        <w:rPr>
          <w:color w:val="231F20" w:themeColor="text1"/>
        </w:rPr>
        <w:instrText xml:space="preserve"> REF _Ref221695941 \r \h </w:instrText>
      </w:r>
      <w:r w:rsidR="00B13535">
        <w:rPr>
          <w:color w:val="231F20" w:themeColor="text1"/>
        </w:rPr>
      </w:r>
      <w:r w:rsidR="00B13535">
        <w:rPr>
          <w:color w:val="231F20" w:themeColor="text1"/>
        </w:rPr>
        <w:fldChar w:fldCharType="separate"/>
      </w:r>
      <w:r w:rsidR="001703C6">
        <w:rPr>
          <w:color w:val="231F20" w:themeColor="text1"/>
        </w:rPr>
        <w:t>4</w:t>
      </w:r>
      <w:r w:rsidR="00B13535">
        <w:rPr>
          <w:color w:val="231F20" w:themeColor="text1"/>
        </w:rPr>
        <w:fldChar w:fldCharType="end"/>
      </w:r>
      <w:r w:rsidR="00B13535">
        <w:rPr>
          <w:color w:val="231F20" w:themeColor="text1"/>
        </w:rPr>
        <w:t>)</w:t>
      </w:r>
      <w:r>
        <w:rPr>
          <w:color w:val="231F20" w:themeColor="text1"/>
        </w:rPr>
        <w:t xml:space="preserve">. </w:t>
      </w:r>
    </w:p>
    <w:p w14:paraId="44EF6D16" w14:textId="77777777" w:rsidR="00485426" w:rsidRDefault="00485426" w:rsidP="00485426">
      <w:r>
        <w:rPr>
          <w:color w:val="231F20" w:themeColor="text1"/>
        </w:rPr>
        <w:t xml:space="preserve">The </w:t>
      </w:r>
      <w:r w:rsidRPr="008B01D6">
        <w:t xml:space="preserve">scenarios demonstrate the cost impact of adopting different </w:t>
      </w:r>
      <w:r>
        <w:t xml:space="preserve">key </w:t>
      </w:r>
      <w:r w:rsidRPr="008B01D6">
        <w:t>assumption sets</w:t>
      </w:r>
      <w:r>
        <w:t xml:space="preserve"> on the 2024-25 caseloads</w:t>
      </w:r>
      <w:r w:rsidRPr="008B01D6">
        <w:t>, which could reflect different decisions regarding the ext</w:t>
      </w:r>
      <w:r>
        <w:t>ent of change in a reformed system. These scenarios are not intended to be comprehensive but rather to inform further discussion with stakeholders about the design and implementation of the new system.</w:t>
      </w:r>
    </w:p>
    <w:p w14:paraId="3531593A" w14:textId="77777777" w:rsidR="00485426" w:rsidRDefault="00485426" w:rsidP="004E7DB7">
      <w:pPr>
        <w:rPr>
          <w:color w:val="231F20" w:themeColor="text1"/>
        </w:rPr>
      </w:pPr>
    </w:p>
    <w:p w14:paraId="743DD09A" w14:textId="575693DE" w:rsidR="004E7DB7" w:rsidRDefault="004E7DB7" w:rsidP="00693E1F">
      <w:pPr>
        <w:sectPr w:rsidR="004E7DB7" w:rsidSect="004A3EE0">
          <w:headerReference w:type="default" r:id="rId18"/>
          <w:footerReference w:type="default" r:id="rId19"/>
          <w:headerReference w:type="first" r:id="rId20"/>
          <w:pgSz w:w="11906" w:h="16838" w:code="9"/>
          <w:pgMar w:top="1418" w:right="1247" w:bottom="1418" w:left="1247" w:header="709" w:footer="454" w:gutter="0"/>
          <w:cols w:space="708"/>
          <w:docGrid w:linePitch="360"/>
        </w:sectPr>
      </w:pPr>
    </w:p>
    <w:p w14:paraId="623B84F0" w14:textId="4FE8CA72" w:rsidR="0000375E" w:rsidRDefault="0000375E" w:rsidP="00B2335F">
      <w:pPr>
        <w:pStyle w:val="Caption"/>
        <w:numPr>
          <w:ilvl w:val="0"/>
          <w:numId w:val="12"/>
        </w:numPr>
      </w:pPr>
      <w:bookmarkStart w:id="26" w:name="_Ref219473425"/>
      <w:bookmarkStart w:id="27" w:name="_Ref219473447"/>
      <w:r>
        <w:lastRenderedPageBreak/>
        <w:t xml:space="preserve">Table </w:t>
      </w:r>
      <w:r w:rsidR="001703C6">
        <w:fldChar w:fldCharType="begin"/>
      </w:r>
      <w:r w:rsidR="001703C6">
        <w:instrText xml:space="preserve"> SEQ Table \* ARABIC </w:instrText>
      </w:r>
      <w:r w:rsidR="001703C6">
        <w:fldChar w:fldCharType="separate"/>
      </w:r>
      <w:r w:rsidR="001703C6">
        <w:rPr>
          <w:noProof/>
        </w:rPr>
        <w:t>4</w:t>
      </w:r>
      <w:r w:rsidR="001703C6">
        <w:rPr>
          <w:noProof/>
        </w:rPr>
        <w:fldChar w:fldCharType="end"/>
      </w:r>
      <w:bookmarkEnd w:id="26"/>
      <w:bookmarkEnd w:id="27"/>
      <w:r>
        <w:t xml:space="preserve">: </w:t>
      </w:r>
      <w:r w:rsidR="00A94EFD">
        <w:t>C</w:t>
      </w:r>
      <w:r w:rsidR="00EC0032" w:rsidRPr="00EC0032">
        <w:t xml:space="preserve">osting scenarios </w:t>
      </w:r>
    </w:p>
    <w:tbl>
      <w:tblPr>
        <w:tblStyle w:val="TFBlue"/>
        <w:tblW w:w="5000" w:type="pct"/>
        <w:tblLook w:val="04E0" w:firstRow="1" w:lastRow="1" w:firstColumn="1" w:lastColumn="0" w:noHBand="0" w:noVBand="1"/>
      </w:tblPr>
      <w:tblGrid>
        <w:gridCol w:w="3121"/>
        <w:gridCol w:w="1812"/>
        <w:gridCol w:w="1815"/>
        <w:gridCol w:w="1812"/>
        <w:gridCol w:w="1815"/>
        <w:gridCol w:w="1812"/>
        <w:gridCol w:w="1815"/>
      </w:tblGrid>
      <w:tr w:rsidR="0084311D" w:rsidRPr="00223A3E" w14:paraId="37C87987" w14:textId="4D0A9DF2" w:rsidTr="0084311D">
        <w:trPr>
          <w:cnfStyle w:val="100000000000" w:firstRow="1" w:lastRow="0" w:firstColumn="0" w:lastColumn="0" w:oddVBand="0" w:evenVBand="0" w:oddHBand="0" w:evenHBand="0" w:firstRowFirstColumn="0" w:firstRowLastColumn="0" w:lastRowFirstColumn="0" w:lastRowLastColumn="0"/>
          <w:trHeight w:val="301"/>
        </w:trPr>
        <w:tc>
          <w:tcPr>
            <w:tcW w:w="1114" w:type="pct"/>
          </w:tcPr>
          <w:p w14:paraId="2067DAFC" w14:textId="77777777" w:rsidR="003F109C" w:rsidRPr="001A5B1D" w:rsidRDefault="003F109C" w:rsidP="003F109C">
            <w:pPr>
              <w:rPr>
                <w:b w:val="0"/>
                <w:bCs/>
              </w:rPr>
            </w:pPr>
            <w:r w:rsidRPr="00223A3E">
              <w:t>Key Assumption</w:t>
            </w:r>
          </w:p>
        </w:tc>
        <w:tc>
          <w:tcPr>
            <w:tcW w:w="647" w:type="pct"/>
          </w:tcPr>
          <w:p w14:paraId="4C1F6C72" w14:textId="641E9561" w:rsidR="003F109C" w:rsidRDefault="003F109C" w:rsidP="003F109C">
            <w:r w:rsidRPr="00D2002E">
              <w:t>Scenario 1</w:t>
            </w:r>
          </w:p>
        </w:tc>
        <w:tc>
          <w:tcPr>
            <w:tcW w:w="648" w:type="pct"/>
          </w:tcPr>
          <w:p w14:paraId="2199053B" w14:textId="0F1E18B5" w:rsidR="003F109C" w:rsidRDefault="003F109C" w:rsidP="003F109C">
            <w:r w:rsidRPr="00D2002E">
              <w:t xml:space="preserve">Scenario </w:t>
            </w:r>
            <w:r>
              <w:t>2</w:t>
            </w:r>
          </w:p>
        </w:tc>
        <w:tc>
          <w:tcPr>
            <w:tcW w:w="647" w:type="pct"/>
          </w:tcPr>
          <w:p w14:paraId="25410C23" w14:textId="06CB16F6" w:rsidR="003F109C" w:rsidRPr="00D2002E" w:rsidRDefault="008B227B" w:rsidP="003F109C">
            <w:r>
              <w:t>Scenario 3</w:t>
            </w:r>
          </w:p>
        </w:tc>
        <w:tc>
          <w:tcPr>
            <w:tcW w:w="648" w:type="pct"/>
          </w:tcPr>
          <w:p w14:paraId="6F70EF10" w14:textId="2AF2D7A8" w:rsidR="003F109C" w:rsidRPr="00D2002E" w:rsidRDefault="003F109C" w:rsidP="003F109C">
            <w:r w:rsidRPr="00D2002E">
              <w:t xml:space="preserve">Scenario </w:t>
            </w:r>
            <w:r w:rsidR="0029013C">
              <w:t>4</w:t>
            </w:r>
          </w:p>
        </w:tc>
        <w:tc>
          <w:tcPr>
            <w:tcW w:w="647" w:type="pct"/>
            <w:shd w:val="clear" w:color="auto" w:fill="EFD1EF" w:themeFill="accent4" w:themeFillTint="33"/>
          </w:tcPr>
          <w:p w14:paraId="4C96F3B7" w14:textId="25587A75" w:rsidR="003F109C" w:rsidRDefault="0084311D" w:rsidP="003F109C">
            <w:r>
              <w:t xml:space="preserve">Illustrative </w:t>
            </w:r>
            <w:r w:rsidR="003F109C" w:rsidRPr="00D2002E">
              <w:t>Costing</w:t>
            </w:r>
          </w:p>
        </w:tc>
        <w:tc>
          <w:tcPr>
            <w:tcW w:w="648" w:type="pct"/>
          </w:tcPr>
          <w:p w14:paraId="6FF23C7E" w14:textId="069771A4" w:rsidR="003F109C" w:rsidRDefault="003F109C" w:rsidP="003F109C">
            <w:r w:rsidRPr="00D2002E">
              <w:t xml:space="preserve">Scenario </w:t>
            </w:r>
            <w:r w:rsidR="0029013C">
              <w:t>5</w:t>
            </w:r>
          </w:p>
        </w:tc>
      </w:tr>
      <w:tr w:rsidR="0084311D" w:rsidRPr="00223A3E" w14:paraId="73E69842" w14:textId="3BB9E6A4" w:rsidTr="0084311D">
        <w:trPr>
          <w:cnfStyle w:val="000000100000" w:firstRow="0" w:lastRow="0" w:firstColumn="0" w:lastColumn="0" w:oddVBand="0" w:evenVBand="0" w:oddHBand="1" w:evenHBand="0" w:firstRowFirstColumn="0" w:firstRowLastColumn="0" w:lastRowFirstColumn="0" w:lastRowLastColumn="0"/>
          <w:trHeight w:val="608"/>
        </w:trPr>
        <w:tc>
          <w:tcPr>
            <w:tcW w:w="1114" w:type="pct"/>
          </w:tcPr>
          <w:p w14:paraId="20EB1413" w14:textId="4E5E9792" w:rsidR="003F109C" w:rsidRPr="00223A3E" w:rsidRDefault="003F109C" w:rsidP="003F109C">
            <w:r>
              <w:t>Target Case</w:t>
            </w:r>
            <w:r w:rsidR="00233678">
              <w:t xml:space="preserve"> ratio</w:t>
            </w:r>
            <w:r>
              <w:t xml:space="preserve"> for high-intensity participants</w:t>
            </w:r>
            <w:r w:rsidR="00CC1C94">
              <w:rPr>
                <w:rStyle w:val="FootnoteReference"/>
              </w:rPr>
              <w:footnoteReference w:id="9"/>
            </w:r>
          </w:p>
        </w:tc>
        <w:tc>
          <w:tcPr>
            <w:tcW w:w="647" w:type="pct"/>
          </w:tcPr>
          <w:p w14:paraId="002F9F73" w14:textId="4BB1BBCB" w:rsidR="003F109C" w:rsidRPr="00275B32" w:rsidRDefault="003F109C" w:rsidP="003F109C">
            <w:r w:rsidRPr="00275B32">
              <w:t xml:space="preserve">1:70 </w:t>
            </w:r>
          </w:p>
        </w:tc>
        <w:tc>
          <w:tcPr>
            <w:tcW w:w="648" w:type="pct"/>
          </w:tcPr>
          <w:p w14:paraId="7923CB18" w14:textId="09BE26C6" w:rsidR="003F109C" w:rsidRPr="00275B32" w:rsidRDefault="003F109C" w:rsidP="003F109C">
            <w:r w:rsidRPr="00275B32">
              <w:t>1:</w:t>
            </w:r>
            <w:r>
              <w:t>7</w:t>
            </w:r>
            <w:r w:rsidRPr="00275B32">
              <w:t xml:space="preserve">0 </w:t>
            </w:r>
          </w:p>
        </w:tc>
        <w:tc>
          <w:tcPr>
            <w:tcW w:w="647" w:type="pct"/>
          </w:tcPr>
          <w:p w14:paraId="12256BE3" w14:textId="238C557E" w:rsidR="003F109C" w:rsidRPr="00CE236A" w:rsidRDefault="003F109C" w:rsidP="003F109C">
            <w:r w:rsidRPr="00CE236A">
              <w:t xml:space="preserve">1:60 </w:t>
            </w:r>
          </w:p>
        </w:tc>
        <w:tc>
          <w:tcPr>
            <w:tcW w:w="648" w:type="pct"/>
          </w:tcPr>
          <w:p w14:paraId="3DF83356" w14:textId="43C92BE6" w:rsidR="003F109C" w:rsidRPr="00CE236A" w:rsidRDefault="003F109C" w:rsidP="003F109C">
            <w:r w:rsidRPr="00CE236A">
              <w:t xml:space="preserve">1:60 </w:t>
            </w:r>
          </w:p>
        </w:tc>
        <w:tc>
          <w:tcPr>
            <w:tcW w:w="647" w:type="pct"/>
            <w:shd w:val="clear" w:color="auto" w:fill="EFD1EF" w:themeFill="accent4" w:themeFillTint="33"/>
          </w:tcPr>
          <w:p w14:paraId="0BD5D99E" w14:textId="26CA67AE" w:rsidR="003F109C" w:rsidRPr="00D2002E" w:rsidRDefault="003F109C" w:rsidP="003F109C">
            <w:r>
              <w:t xml:space="preserve">1:50 </w:t>
            </w:r>
          </w:p>
        </w:tc>
        <w:tc>
          <w:tcPr>
            <w:tcW w:w="648" w:type="pct"/>
          </w:tcPr>
          <w:p w14:paraId="5FBF291F" w14:textId="44BE9496" w:rsidR="003F109C" w:rsidRPr="006C57B3" w:rsidRDefault="003F109C" w:rsidP="003F109C">
            <w:r w:rsidRPr="006C57B3">
              <w:t xml:space="preserve">1:40 </w:t>
            </w:r>
          </w:p>
        </w:tc>
      </w:tr>
      <w:tr w:rsidR="0084311D" w:rsidRPr="00223A3E" w14:paraId="7A2665C0" w14:textId="43AC0E8D" w:rsidTr="0084311D">
        <w:trPr>
          <w:trHeight w:val="403"/>
        </w:trPr>
        <w:tc>
          <w:tcPr>
            <w:tcW w:w="1114" w:type="pct"/>
          </w:tcPr>
          <w:p w14:paraId="706C0865" w14:textId="687599A0" w:rsidR="003F109C" w:rsidRPr="00223A3E" w:rsidRDefault="003F109C" w:rsidP="003F109C">
            <w:r>
              <w:t>Salaries of frontline case workers</w:t>
            </w:r>
          </w:p>
        </w:tc>
        <w:tc>
          <w:tcPr>
            <w:tcW w:w="647" w:type="pct"/>
          </w:tcPr>
          <w:p w14:paraId="370F95E0" w14:textId="0005A93D" w:rsidR="003F109C" w:rsidRPr="00E23B3D" w:rsidRDefault="003F109C" w:rsidP="003F109C">
            <w:r w:rsidRPr="00E23B3D">
              <w:t>$</w:t>
            </w:r>
            <w:r w:rsidR="00B32FC7">
              <w:t>68</w:t>
            </w:r>
            <w:r w:rsidRPr="00E23B3D">
              <w:t xml:space="preserve">k </w:t>
            </w:r>
            <w:r w:rsidRPr="00E23B3D">
              <w:rPr>
                <w:sz w:val="16"/>
                <w:szCs w:val="16"/>
              </w:rPr>
              <w:t xml:space="preserve">(current frontline salaries </w:t>
            </w:r>
            <w:r w:rsidR="00B32FC7">
              <w:rPr>
                <w:sz w:val="16"/>
                <w:szCs w:val="16"/>
              </w:rPr>
              <w:t>+ 10%</w:t>
            </w:r>
            <w:r w:rsidRPr="00E23B3D">
              <w:rPr>
                <w:sz w:val="16"/>
                <w:szCs w:val="16"/>
              </w:rPr>
              <w:t>)</w:t>
            </w:r>
          </w:p>
        </w:tc>
        <w:tc>
          <w:tcPr>
            <w:tcW w:w="648" w:type="pct"/>
          </w:tcPr>
          <w:p w14:paraId="099665D2" w14:textId="332011D0" w:rsidR="003F109C" w:rsidRPr="00E23B3D" w:rsidRDefault="00E60932" w:rsidP="003F109C">
            <w:r w:rsidRPr="00E23B3D">
              <w:t xml:space="preserve">$77k </w:t>
            </w:r>
            <w:r w:rsidRPr="00E23B3D">
              <w:rPr>
                <w:sz w:val="16"/>
                <w:szCs w:val="16"/>
              </w:rPr>
              <w:t>(midpoint of current frontline salaries and APS)</w:t>
            </w:r>
          </w:p>
        </w:tc>
        <w:tc>
          <w:tcPr>
            <w:tcW w:w="647" w:type="pct"/>
          </w:tcPr>
          <w:p w14:paraId="4712F184" w14:textId="347435A4" w:rsidR="003F109C" w:rsidRPr="00F74BFE" w:rsidRDefault="003F109C" w:rsidP="003F109C">
            <w:pPr>
              <w:rPr>
                <w:highlight w:val="yellow"/>
              </w:rPr>
            </w:pPr>
            <w:r w:rsidRPr="00E23B3D">
              <w:t xml:space="preserve">$77k </w:t>
            </w:r>
            <w:r w:rsidRPr="00E23B3D">
              <w:rPr>
                <w:sz w:val="16"/>
                <w:szCs w:val="16"/>
              </w:rPr>
              <w:t>(midpoint of current frontline salaries and APS)</w:t>
            </w:r>
          </w:p>
        </w:tc>
        <w:tc>
          <w:tcPr>
            <w:tcW w:w="648" w:type="pct"/>
          </w:tcPr>
          <w:p w14:paraId="33C81160" w14:textId="6FA159A1" w:rsidR="003F109C" w:rsidRDefault="003F109C" w:rsidP="003F109C">
            <w:r w:rsidRPr="00E23B3D">
              <w:t>$92k</w:t>
            </w:r>
          </w:p>
        </w:tc>
        <w:tc>
          <w:tcPr>
            <w:tcW w:w="647" w:type="pct"/>
            <w:shd w:val="clear" w:color="auto" w:fill="EFD1EF" w:themeFill="accent4" w:themeFillTint="33"/>
          </w:tcPr>
          <w:p w14:paraId="38D8FDC1" w14:textId="6F769892" w:rsidR="003F109C" w:rsidRPr="00D2002E" w:rsidRDefault="003F109C" w:rsidP="003F109C">
            <w:r>
              <w:t>$92k</w:t>
            </w:r>
          </w:p>
        </w:tc>
        <w:tc>
          <w:tcPr>
            <w:tcW w:w="648" w:type="pct"/>
          </w:tcPr>
          <w:p w14:paraId="2ED38DFD" w14:textId="33963B65" w:rsidR="003F109C" w:rsidRPr="005E65C2" w:rsidRDefault="003F109C" w:rsidP="003F109C">
            <w:r w:rsidRPr="005E65C2">
              <w:t>$92k</w:t>
            </w:r>
          </w:p>
        </w:tc>
      </w:tr>
      <w:tr w:rsidR="0084311D" w:rsidRPr="00223A3E" w14:paraId="62C48F57" w14:textId="5079A057" w:rsidTr="0084311D">
        <w:trPr>
          <w:cnfStyle w:val="000000100000" w:firstRow="0" w:lastRow="0" w:firstColumn="0" w:lastColumn="0" w:oddVBand="0" w:evenVBand="0" w:oddHBand="1" w:evenHBand="0" w:firstRowFirstColumn="0" w:firstRowLastColumn="0" w:lastRowFirstColumn="0" w:lastRowLastColumn="0"/>
          <w:trHeight w:val="818"/>
        </w:trPr>
        <w:tc>
          <w:tcPr>
            <w:tcW w:w="1114" w:type="pct"/>
          </w:tcPr>
          <w:p w14:paraId="2E1A6A84" w14:textId="280E5144" w:rsidR="003F109C" w:rsidRPr="00223A3E" w:rsidRDefault="003F109C" w:rsidP="003F109C">
            <w:r>
              <w:t>Proportion of high-intensity participants serviced by the public sector</w:t>
            </w:r>
          </w:p>
        </w:tc>
        <w:tc>
          <w:tcPr>
            <w:tcW w:w="647" w:type="pct"/>
          </w:tcPr>
          <w:p w14:paraId="4226F693" w14:textId="139C3CC6" w:rsidR="003F109C" w:rsidRPr="00E23B3D" w:rsidRDefault="003F109C" w:rsidP="003F109C">
            <w:r w:rsidRPr="00E23B3D">
              <w:t>10%</w:t>
            </w:r>
          </w:p>
        </w:tc>
        <w:tc>
          <w:tcPr>
            <w:tcW w:w="648" w:type="pct"/>
          </w:tcPr>
          <w:p w14:paraId="6C1B7FD1" w14:textId="2A3DDFC2" w:rsidR="003F109C" w:rsidRPr="00E23B3D" w:rsidRDefault="003F109C" w:rsidP="003F109C">
            <w:r w:rsidRPr="00E23B3D">
              <w:t>20%</w:t>
            </w:r>
          </w:p>
        </w:tc>
        <w:tc>
          <w:tcPr>
            <w:tcW w:w="647" w:type="pct"/>
          </w:tcPr>
          <w:p w14:paraId="5DBA2BB8" w14:textId="739BA220" w:rsidR="003F109C" w:rsidRPr="00F74BFE" w:rsidRDefault="003F109C" w:rsidP="003F109C">
            <w:pPr>
              <w:rPr>
                <w:highlight w:val="yellow"/>
              </w:rPr>
            </w:pPr>
            <w:r>
              <w:t>2</w:t>
            </w:r>
            <w:r w:rsidRPr="00E23B3D">
              <w:t>0%</w:t>
            </w:r>
          </w:p>
        </w:tc>
        <w:tc>
          <w:tcPr>
            <w:tcW w:w="648" w:type="pct"/>
          </w:tcPr>
          <w:p w14:paraId="4E3926FA" w14:textId="581621CE" w:rsidR="003F109C" w:rsidRDefault="00DF662E" w:rsidP="003F109C">
            <w:r>
              <w:t>2</w:t>
            </w:r>
            <w:r w:rsidR="003F109C" w:rsidRPr="00E23B3D">
              <w:t>0%</w:t>
            </w:r>
          </w:p>
        </w:tc>
        <w:tc>
          <w:tcPr>
            <w:tcW w:w="647" w:type="pct"/>
            <w:shd w:val="clear" w:color="auto" w:fill="EFD1EF" w:themeFill="accent4" w:themeFillTint="33"/>
          </w:tcPr>
          <w:p w14:paraId="676716C5" w14:textId="6528184D" w:rsidR="003F109C" w:rsidRPr="00D2002E" w:rsidRDefault="003F109C" w:rsidP="003F109C">
            <w:r>
              <w:t>30%</w:t>
            </w:r>
          </w:p>
        </w:tc>
        <w:tc>
          <w:tcPr>
            <w:tcW w:w="648" w:type="pct"/>
          </w:tcPr>
          <w:p w14:paraId="33C328F0" w14:textId="16995151" w:rsidR="003F109C" w:rsidRPr="005E65C2" w:rsidRDefault="003F109C" w:rsidP="003F109C">
            <w:r w:rsidRPr="005E65C2">
              <w:t>100%</w:t>
            </w:r>
          </w:p>
        </w:tc>
      </w:tr>
      <w:tr w:rsidR="00AF6337" w:rsidRPr="00223A3E" w14:paraId="66EF80FB" w14:textId="77777777" w:rsidTr="0084311D">
        <w:trPr>
          <w:trHeight w:val="818"/>
        </w:trPr>
        <w:tc>
          <w:tcPr>
            <w:tcW w:w="1114" w:type="pct"/>
          </w:tcPr>
          <w:p w14:paraId="5375FD41" w14:textId="255E47F4" w:rsidR="00AF6337" w:rsidRDefault="00AF6337" w:rsidP="00AF6337">
            <w:r>
              <w:t xml:space="preserve">Proportion of </w:t>
            </w:r>
            <w:proofErr w:type="spellStart"/>
            <w:r w:rsidR="000E6384">
              <w:t>WfA</w:t>
            </w:r>
            <w:proofErr w:type="spellEnd"/>
            <w:r w:rsidR="000E6384">
              <w:t xml:space="preserve"> Online </w:t>
            </w:r>
            <w:r>
              <w:t>participants under 25 years old to instead elect to take up offer of provider servicing</w:t>
            </w:r>
          </w:p>
        </w:tc>
        <w:tc>
          <w:tcPr>
            <w:tcW w:w="647" w:type="pct"/>
          </w:tcPr>
          <w:p w14:paraId="7081967B" w14:textId="518C79C6" w:rsidR="00AF6337" w:rsidRPr="00E23B3D" w:rsidRDefault="00AF6337" w:rsidP="00AF6337">
            <w:r>
              <w:t>3</w:t>
            </w:r>
            <w:r w:rsidRPr="00E23B3D">
              <w:t>0%</w:t>
            </w:r>
          </w:p>
        </w:tc>
        <w:tc>
          <w:tcPr>
            <w:tcW w:w="648" w:type="pct"/>
          </w:tcPr>
          <w:p w14:paraId="3676CDCB" w14:textId="4FA62385" w:rsidR="00AF6337" w:rsidRPr="00E23B3D" w:rsidRDefault="00AF6337" w:rsidP="00AF6337">
            <w:r>
              <w:t>3</w:t>
            </w:r>
            <w:r w:rsidRPr="00E23B3D">
              <w:t>0%</w:t>
            </w:r>
          </w:p>
        </w:tc>
        <w:tc>
          <w:tcPr>
            <w:tcW w:w="647" w:type="pct"/>
          </w:tcPr>
          <w:p w14:paraId="06C1A7D0" w14:textId="6FF93B48" w:rsidR="00AF6337" w:rsidRDefault="00AF6337" w:rsidP="00AF6337">
            <w:r>
              <w:t>3</w:t>
            </w:r>
            <w:r w:rsidRPr="00E23B3D">
              <w:t>0%</w:t>
            </w:r>
          </w:p>
        </w:tc>
        <w:tc>
          <w:tcPr>
            <w:tcW w:w="648" w:type="pct"/>
          </w:tcPr>
          <w:p w14:paraId="4E4F797B" w14:textId="002F617E" w:rsidR="00AF6337" w:rsidRDefault="00AF6337" w:rsidP="00AF6337">
            <w:r>
              <w:t>3</w:t>
            </w:r>
            <w:r w:rsidRPr="00E23B3D">
              <w:t>0%</w:t>
            </w:r>
          </w:p>
        </w:tc>
        <w:tc>
          <w:tcPr>
            <w:tcW w:w="647" w:type="pct"/>
            <w:shd w:val="clear" w:color="auto" w:fill="EFD1EF" w:themeFill="accent4" w:themeFillTint="33"/>
          </w:tcPr>
          <w:p w14:paraId="59F42FE2" w14:textId="30390476" w:rsidR="00AF6337" w:rsidRDefault="00AF6337" w:rsidP="00AF6337">
            <w:r>
              <w:t>50%</w:t>
            </w:r>
          </w:p>
        </w:tc>
        <w:tc>
          <w:tcPr>
            <w:tcW w:w="648" w:type="pct"/>
          </w:tcPr>
          <w:p w14:paraId="07DDE6E5" w14:textId="37A38D5C" w:rsidR="00AF6337" w:rsidRPr="005E65C2" w:rsidRDefault="00AF6337" w:rsidP="00AF6337">
            <w:r>
              <w:t>5</w:t>
            </w:r>
            <w:r w:rsidRPr="005E65C2">
              <w:t>0%</w:t>
            </w:r>
          </w:p>
        </w:tc>
      </w:tr>
      <w:tr w:rsidR="00AF6337" w:rsidRPr="00223A3E" w14:paraId="628296EA" w14:textId="77777777" w:rsidTr="0084311D">
        <w:trPr>
          <w:cnfStyle w:val="000000100000" w:firstRow="0" w:lastRow="0" w:firstColumn="0" w:lastColumn="0" w:oddVBand="0" w:evenVBand="0" w:oddHBand="1" w:evenHBand="0" w:firstRowFirstColumn="0" w:firstRowLastColumn="0" w:lastRowFirstColumn="0" w:lastRowLastColumn="0"/>
          <w:trHeight w:val="392"/>
        </w:trPr>
        <w:tc>
          <w:tcPr>
            <w:tcW w:w="1114" w:type="pct"/>
            <w:tcBorders>
              <w:bottom w:val="single" w:sz="4" w:space="0" w:color="006EC8" w:themeColor="accent1"/>
            </w:tcBorders>
          </w:tcPr>
          <w:p w14:paraId="13BC5265" w14:textId="2CFB3375" w:rsidR="00AF6337" w:rsidRPr="00777DB4" w:rsidRDefault="00AF6337" w:rsidP="00AF6337">
            <w:pPr>
              <w:rPr>
                <w:i/>
                <w:iCs/>
              </w:rPr>
            </w:pPr>
            <w:r w:rsidRPr="00777DB4">
              <w:rPr>
                <w:i/>
                <w:iCs/>
              </w:rPr>
              <w:t xml:space="preserve">All other assumptions are aligned to the </w:t>
            </w:r>
            <w:r>
              <w:rPr>
                <w:i/>
                <w:iCs/>
              </w:rPr>
              <w:t xml:space="preserve">Illustrative </w:t>
            </w:r>
            <w:r w:rsidRPr="00777DB4">
              <w:rPr>
                <w:i/>
                <w:iCs/>
              </w:rPr>
              <w:t>Costing</w:t>
            </w:r>
          </w:p>
        </w:tc>
        <w:tc>
          <w:tcPr>
            <w:tcW w:w="647" w:type="pct"/>
            <w:tcBorders>
              <w:bottom w:val="single" w:sz="4" w:space="0" w:color="006EC8" w:themeColor="accent1"/>
            </w:tcBorders>
          </w:tcPr>
          <w:p w14:paraId="3AB19813" w14:textId="3BF1E4D9" w:rsidR="00AF6337" w:rsidRPr="00F74BFE" w:rsidRDefault="00AF6337" w:rsidP="00AF6337">
            <w:pPr>
              <w:rPr>
                <w:highlight w:val="yellow"/>
              </w:rPr>
            </w:pPr>
          </w:p>
        </w:tc>
        <w:tc>
          <w:tcPr>
            <w:tcW w:w="648" w:type="pct"/>
            <w:tcBorders>
              <w:bottom w:val="single" w:sz="4" w:space="0" w:color="006EC8" w:themeColor="accent1"/>
            </w:tcBorders>
          </w:tcPr>
          <w:p w14:paraId="4A23F143" w14:textId="49E52E66" w:rsidR="00AF6337" w:rsidRPr="00F74BFE" w:rsidRDefault="00AF6337" w:rsidP="00AF6337">
            <w:pPr>
              <w:rPr>
                <w:highlight w:val="yellow"/>
              </w:rPr>
            </w:pPr>
          </w:p>
        </w:tc>
        <w:tc>
          <w:tcPr>
            <w:tcW w:w="647" w:type="pct"/>
            <w:tcBorders>
              <w:bottom w:val="single" w:sz="4" w:space="0" w:color="006EC8" w:themeColor="accent1"/>
            </w:tcBorders>
          </w:tcPr>
          <w:p w14:paraId="37E937D3" w14:textId="7831E986" w:rsidR="00AF6337" w:rsidRDefault="00AF6337" w:rsidP="00AF6337"/>
        </w:tc>
        <w:tc>
          <w:tcPr>
            <w:tcW w:w="648" w:type="pct"/>
            <w:tcBorders>
              <w:bottom w:val="single" w:sz="4" w:space="0" w:color="006EC8" w:themeColor="accent1"/>
            </w:tcBorders>
          </w:tcPr>
          <w:p w14:paraId="62A8A1CE" w14:textId="2DD8BE28" w:rsidR="00AF6337" w:rsidRDefault="00AF6337" w:rsidP="00AF6337"/>
        </w:tc>
        <w:tc>
          <w:tcPr>
            <w:tcW w:w="647" w:type="pct"/>
            <w:tcBorders>
              <w:bottom w:val="single" w:sz="4" w:space="0" w:color="006EC8" w:themeColor="accent1"/>
            </w:tcBorders>
            <w:shd w:val="clear" w:color="auto" w:fill="EFD1EF" w:themeFill="accent4" w:themeFillTint="33"/>
          </w:tcPr>
          <w:p w14:paraId="5FEB6171" w14:textId="6F03BD66" w:rsidR="00AF6337" w:rsidRDefault="00AF6337" w:rsidP="00AF6337"/>
        </w:tc>
        <w:tc>
          <w:tcPr>
            <w:tcW w:w="648" w:type="pct"/>
            <w:tcBorders>
              <w:bottom w:val="single" w:sz="4" w:space="0" w:color="006EC8" w:themeColor="accent1"/>
            </w:tcBorders>
          </w:tcPr>
          <w:p w14:paraId="59CE82F3" w14:textId="7D85ED15" w:rsidR="00AF6337" w:rsidRPr="00F74BFE" w:rsidRDefault="00AF6337" w:rsidP="00AF6337">
            <w:pPr>
              <w:rPr>
                <w:highlight w:val="yellow"/>
              </w:rPr>
            </w:pPr>
          </w:p>
        </w:tc>
      </w:tr>
      <w:tr w:rsidR="00AF6337" w:rsidRPr="00686BC0" w14:paraId="725CE44A" w14:textId="77777777" w:rsidTr="0084311D">
        <w:trPr>
          <w:trHeight w:val="403"/>
        </w:trPr>
        <w:tc>
          <w:tcPr>
            <w:tcW w:w="1114" w:type="pct"/>
            <w:tcBorders>
              <w:top w:val="single" w:sz="4" w:space="0" w:color="006EC8" w:themeColor="accent1"/>
            </w:tcBorders>
            <w:vAlign w:val="center"/>
          </w:tcPr>
          <w:p w14:paraId="682FF744" w14:textId="0C6B77BA" w:rsidR="00AF6337" w:rsidRPr="00B86B05" w:rsidRDefault="00AF6337" w:rsidP="00AF6337">
            <w:pPr>
              <w:rPr>
                <w:b/>
              </w:rPr>
            </w:pPr>
            <w:r w:rsidRPr="00B86B05">
              <w:rPr>
                <w:b/>
              </w:rPr>
              <w:t xml:space="preserve">Reformed system cost (including </w:t>
            </w:r>
            <w:r w:rsidR="000E6384">
              <w:rPr>
                <w:b/>
              </w:rPr>
              <w:t xml:space="preserve">EST and DEWR </w:t>
            </w:r>
            <w:r w:rsidRPr="00B86B05">
              <w:rPr>
                <w:b/>
              </w:rPr>
              <w:t xml:space="preserve">offsets in Section </w:t>
            </w:r>
            <w:r w:rsidRPr="00B86B05">
              <w:rPr>
                <w:b/>
                <w:bCs/>
              </w:rPr>
              <w:fldChar w:fldCharType="begin"/>
            </w:r>
            <w:r w:rsidRPr="00B86B05">
              <w:rPr>
                <w:b/>
                <w:bCs/>
              </w:rPr>
              <w:instrText xml:space="preserve"> REF _Ref219734685 \w \h  \* MERGEFORMAT </w:instrText>
            </w:r>
            <w:r w:rsidRPr="00B86B05">
              <w:rPr>
                <w:b/>
                <w:bCs/>
              </w:rPr>
            </w:r>
            <w:r w:rsidRPr="00B86B05">
              <w:rPr>
                <w:b/>
                <w:bCs/>
              </w:rPr>
              <w:fldChar w:fldCharType="separate"/>
            </w:r>
            <w:r w:rsidR="001703C6">
              <w:rPr>
                <w:b/>
                <w:bCs/>
              </w:rPr>
              <w:t>3.2.1</w:t>
            </w:r>
            <w:r w:rsidRPr="00B86B05">
              <w:rPr>
                <w:b/>
                <w:bCs/>
              </w:rPr>
              <w:fldChar w:fldCharType="end"/>
            </w:r>
            <w:r w:rsidRPr="00B86B05">
              <w:rPr>
                <w:b/>
              </w:rPr>
              <w:t>)</w:t>
            </w:r>
          </w:p>
        </w:tc>
        <w:tc>
          <w:tcPr>
            <w:tcW w:w="647" w:type="pct"/>
            <w:tcBorders>
              <w:top w:val="single" w:sz="4" w:space="0" w:color="006EC8" w:themeColor="accent1"/>
            </w:tcBorders>
            <w:vAlign w:val="center"/>
          </w:tcPr>
          <w:p w14:paraId="7C9316BD" w14:textId="1823B20F" w:rsidR="00AF6337" w:rsidRPr="002C35C3" w:rsidRDefault="00AF6337" w:rsidP="00AF6337">
            <w:pPr>
              <w:rPr>
                <w:b/>
                <w:i/>
                <w:highlight w:val="yellow"/>
              </w:rPr>
            </w:pPr>
            <w:r w:rsidRPr="00B65336">
              <w:rPr>
                <w:b/>
                <w:i/>
              </w:rPr>
              <w:t>$3.</w:t>
            </w:r>
            <w:r w:rsidRPr="002C35C3">
              <w:rPr>
                <w:b/>
                <w:i/>
              </w:rPr>
              <w:t>16</w:t>
            </w:r>
            <w:r w:rsidRPr="00B65336">
              <w:rPr>
                <w:b/>
                <w:i/>
              </w:rPr>
              <w:t>B</w:t>
            </w:r>
          </w:p>
        </w:tc>
        <w:tc>
          <w:tcPr>
            <w:tcW w:w="648" w:type="pct"/>
            <w:tcBorders>
              <w:top w:val="single" w:sz="4" w:space="0" w:color="006EC8" w:themeColor="accent1"/>
            </w:tcBorders>
            <w:vAlign w:val="center"/>
          </w:tcPr>
          <w:p w14:paraId="0EDB96BE" w14:textId="43ECA26B" w:rsidR="00AF6337" w:rsidRPr="002C35C3" w:rsidRDefault="00AF6337" w:rsidP="00AF6337">
            <w:pPr>
              <w:rPr>
                <w:b/>
                <w:i/>
                <w:highlight w:val="yellow"/>
              </w:rPr>
            </w:pPr>
            <w:r w:rsidRPr="00AF6337">
              <w:rPr>
                <w:b/>
                <w:i/>
              </w:rPr>
              <w:t>$3.</w:t>
            </w:r>
            <w:r w:rsidRPr="002C35C3">
              <w:rPr>
                <w:b/>
                <w:i/>
              </w:rPr>
              <w:t>33</w:t>
            </w:r>
            <w:r w:rsidRPr="00AF6337">
              <w:rPr>
                <w:b/>
                <w:i/>
              </w:rPr>
              <w:t>B</w:t>
            </w:r>
          </w:p>
        </w:tc>
        <w:tc>
          <w:tcPr>
            <w:tcW w:w="647" w:type="pct"/>
            <w:tcBorders>
              <w:top w:val="single" w:sz="4" w:space="0" w:color="006EC8" w:themeColor="accent1"/>
            </w:tcBorders>
            <w:vAlign w:val="center"/>
          </w:tcPr>
          <w:p w14:paraId="1FF203C6" w14:textId="21DCE338" w:rsidR="00AF6337" w:rsidRPr="002C35C3" w:rsidRDefault="00AF6337" w:rsidP="00AF6337">
            <w:pPr>
              <w:rPr>
                <w:b/>
                <w:i/>
                <w:highlight w:val="yellow"/>
              </w:rPr>
            </w:pPr>
            <w:r w:rsidRPr="00AF6337">
              <w:rPr>
                <w:b/>
                <w:i/>
              </w:rPr>
              <w:t>$3.</w:t>
            </w:r>
            <w:r w:rsidRPr="002C35C3">
              <w:rPr>
                <w:b/>
                <w:i/>
              </w:rPr>
              <w:t>40</w:t>
            </w:r>
            <w:r w:rsidRPr="00AF6337">
              <w:rPr>
                <w:b/>
                <w:i/>
              </w:rPr>
              <w:t>B</w:t>
            </w:r>
          </w:p>
        </w:tc>
        <w:tc>
          <w:tcPr>
            <w:tcW w:w="648" w:type="pct"/>
            <w:tcBorders>
              <w:top w:val="single" w:sz="4" w:space="0" w:color="006EC8" w:themeColor="accent1"/>
            </w:tcBorders>
            <w:vAlign w:val="center"/>
          </w:tcPr>
          <w:p w14:paraId="14C98B85" w14:textId="1ACBF9E3" w:rsidR="00AF6337" w:rsidRPr="002C35C3" w:rsidRDefault="00AF6337" w:rsidP="00AF6337">
            <w:pPr>
              <w:rPr>
                <w:b/>
                <w:i/>
                <w:highlight w:val="yellow"/>
              </w:rPr>
            </w:pPr>
            <w:r w:rsidRPr="00AF6337">
              <w:rPr>
                <w:b/>
                <w:i/>
              </w:rPr>
              <w:t>$3.</w:t>
            </w:r>
            <w:r w:rsidRPr="002C35C3">
              <w:rPr>
                <w:b/>
                <w:i/>
              </w:rPr>
              <w:t>62</w:t>
            </w:r>
            <w:r w:rsidRPr="00AF6337">
              <w:rPr>
                <w:b/>
                <w:i/>
              </w:rPr>
              <w:t>B</w:t>
            </w:r>
          </w:p>
        </w:tc>
        <w:tc>
          <w:tcPr>
            <w:tcW w:w="647" w:type="pct"/>
            <w:tcBorders>
              <w:top w:val="single" w:sz="4" w:space="0" w:color="006EC8" w:themeColor="accent1"/>
            </w:tcBorders>
            <w:shd w:val="clear" w:color="auto" w:fill="EFD1EF" w:themeFill="accent4" w:themeFillTint="33"/>
            <w:vAlign w:val="center"/>
          </w:tcPr>
          <w:p w14:paraId="53A46936" w14:textId="1E3E2A9F" w:rsidR="00AF6337" w:rsidRPr="00AF6337" w:rsidRDefault="00AF6337" w:rsidP="00AF6337">
            <w:pPr>
              <w:rPr>
                <w:b/>
                <w:i/>
              </w:rPr>
            </w:pPr>
            <w:r w:rsidRPr="00AF6337">
              <w:rPr>
                <w:b/>
                <w:i/>
              </w:rPr>
              <w:t>$3.</w:t>
            </w:r>
            <w:r w:rsidRPr="002C35C3">
              <w:rPr>
                <w:b/>
                <w:i/>
              </w:rPr>
              <w:t>83</w:t>
            </w:r>
            <w:r w:rsidRPr="00AF6337">
              <w:rPr>
                <w:b/>
                <w:i/>
              </w:rPr>
              <w:t>B</w:t>
            </w:r>
          </w:p>
        </w:tc>
        <w:tc>
          <w:tcPr>
            <w:tcW w:w="648" w:type="pct"/>
            <w:tcBorders>
              <w:top w:val="single" w:sz="4" w:space="0" w:color="006EC8" w:themeColor="accent1"/>
            </w:tcBorders>
            <w:vAlign w:val="center"/>
          </w:tcPr>
          <w:p w14:paraId="7BA06B00" w14:textId="51F5CF3B" w:rsidR="00AF6337" w:rsidRPr="00AF6337" w:rsidRDefault="00AF6337" w:rsidP="00AF6337">
            <w:pPr>
              <w:rPr>
                <w:b/>
                <w:i/>
              </w:rPr>
            </w:pPr>
            <w:r w:rsidRPr="00AF6337">
              <w:rPr>
                <w:b/>
                <w:i/>
              </w:rPr>
              <w:t>$4.</w:t>
            </w:r>
            <w:r w:rsidRPr="002C35C3">
              <w:rPr>
                <w:b/>
                <w:i/>
              </w:rPr>
              <w:t>54</w:t>
            </w:r>
            <w:r w:rsidRPr="00AF6337">
              <w:rPr>
                <w:b/>
                <w:i/>
              </w:rPr>
              <w:t>B</w:t>
            </w:r>
          </w:p>
        </w:tc>
      </w:tr>
      <w:tr w:rsidR="00AF6337" w:rsidRPr="00223A3E" w14:paraId="7C1534BA" w14:textId="77777777" w:rsidTr="0084311D">
        <w:trPr>
          <w:cnfStyle w:val="010000000000" w:firstRow="0" w:lastRow="1" w:firstColumn="0" w:lastColumn="0" w:oddVBand="0" w:evenVBand="0" w:oddHBand="0" w:evenHBand="0" w:firstRowFirstColumn="0" w:firstRowLastColumn="0" w:lastRowFirstColumn="0" w:lastRowLastColumn="0"/>
          <w:trHeight w:val="403"/>
        </w:trPr>
        <w:tc>
          <w:tcPr>
            <w:tcW w:w="1114" w:type="pct"/>
            <w:vAlign w:val="center"/>
          </w:tcPr>
          <w:p w14:paraId="2EB92B0F" w14:textId="5E1BF07C" w:rsidR="00AF6337" w:rsidRDefault="00AF6337" w:rsidP="00AF6337">
            <w:r>
              <w:t>Difference to the Illustrative costing scenario</w:t>
            </w:r>
          </w:p>
        </w:tc>
        <w:tc>
          <w:tcPr>
            <w:tcW w:w="647" w:type="pct"/>
            <w:vAlign w:val="center"/>
          </w:tcPr>
          <w:p w14:paraId="10B59FA4" w14:textId="70E5AE05" w:rsidR="00AF6337" w:rsidRDefault="00AF6337" w:rsidP="00AF6337">
            <w:pPr>
              <w:rPr>
                <w:i/>
                <w:iCs/>
              </w:rPr>
            </w:pPr>
            <w:r>
              <w:rPr>
                <w:i/>
                <w:iCs/>
              </w:rPr>
              <w:t>-$0.67B</w:t>
            </w:r>
          </w:p>
        </w:tc>
        <w:tc>
          <w:tcPr>
            <w:tcW w:w="648" w:type="pct"/>
            <w:vAlign w:val="center"/>
          </w:tcPr>
          <w:p w14:paraId="22BA0B1B" w14:textId="3651E204" w:rsidR="00AF6337" w:rsidRDefault="00AF6337" w:rsidP="00AF6337">
            <w:pPr>
              <w:rPr>
                <w:i/>
                <w:iCs/>
              </w:rPr>
            </w:pPr>
            <w:r>
              <w:rPr>
                <w:i/>
                <w:iCs/>
              </w:rPr>
              <w:t>-$0.50B</w:t>
            </w:r>
          </w:p>
        </w:tc>
        <w:tc>
          <w:tcPr>
            <w:tcW w:w="647" w:type="pct"/>
            <w:vAlign w:val="center"/>
          </w:tcPr>
          <w:p w14:paraId="5648CAF2" w14:textId="7E587204" w:rsidR="00AF6337" w:rsidRDefault="00AF6337" w:rsidP="00AF6337">
            <w:pPr>
              <w:rPr>
                <w:i/>
                <w:iCs/>
              </w:rPr>
            </w:pPr>
            <w:r>
              <w:rPr>
                <w:i/>
                <w:iCs/>
              </w:rPr>
              <w:t>-$0.43B</w:t>
            </w:r>
          </w:p>
        </w:tc>
        <w:tc>
          <w:tcPr>
            <w:tcW w:w="648" w:type="pct"/>
            <w:vAlign w:val="center"/>
          </w:tcPr>
          <w:p w14:paraId="419E9256" w14:textId="221AF6FF" w:rsidR="00AF6337" w:rsidRDefault="00AF6337" w:rsidP="00AF6337">
            <w:pPr>
              <w:rPr>
                <w:i/>
                <w:iCs/>
              </w:rPr>
            </w:pPr>
            <w:r>
              <w:rPr>
                <w:i/>
                <w:iCs/>
              </w:rPr>
              <w:t>-$0.21B</w:t>
            </w:r>
          </w:p>
        </w:tc>
        <w:tc>
          <w:tcPr>
            <w:tcW w:w="647" w:type="pct"/>
            <w:shd w:val="clear" w:color="auto" w:fill="EFD1EF" w:themeFill="accent4" w:themeFillTint="33"/>
            <w:vAlign w:val="center"/>
          </w:tcPr>
          <w:p w14:paraId="7B60C0B6" w14:textId="77777777" w:rsidR="00AF6337" w:rsidRDefault="00AF6337" w:rsidP="00AF6337">
            <w:pPr>
              <w:rPr>
                <w:i/>
                <w:iCs/>
              </w:rPr>
            </w:pPr>
          </w:p>
        </w:tc>
        <w:tc>
          <w:tcPr>
            <w:tcW w:w="648" w:type="pct"/>
            <w:vAlign w:val="center"/>
          </w:tcPr>
          <w:p w14:paraId="49CDED4B" w14:textId="5BA54497" w:rsidR="00AF6337" w:rsidRDefault="00AF6337" w:rsidP="00AF6337">
            <w:pPr>
              <w:rPr>
                <w:i/>
                <w:iCs/>
              </w:rPr>
            </w:pPr>
            <w:r>
              <w:rPr>
                <w:i/>
                <w:iCs/>
              </w:rPr>
              <w:t>+$0.71B</w:t>
            </w:r>
          </w:p>
        </w:tc>
      </w:tr>
    </w:tbl>
    <w:p w14:paraId="2BB82BA6" w14:textId="77777777" w:rsidR="00AD0923" w:rsidRDefault="00AD0923" w:rsidP="00BF564A">
      <w:pPr>
        <w:sectPr w:rsidR="00AD0923" w:rsidSect="001156BE">
          <w:pgSz w:w="16838" w:h="11906" w:orient="landscape" w:code="9"/>
          <w:pgMar w:top="1247" w:right="1418" w:bottom="1247" w:left="1418" w:header="709" w:footer="454" w:gutter="0"/>
          <w:cols w:space="708"/>
          <w:docGrid w:linePitch="360"/>
        </w:sectPr>
      </w:pPr>
    </w:p>
    <w:p w14:paraId="590CBF33" w14:textId="57946EB8" w:rsidR="00BF564A" w:rsidRDefault="007F3C71" w:rsidP="00BF564A">
      <w:r>
        <w:lastRenderedPageBreak/>
        <w:t>Scenario</w:t>
      </w:r>
      <w:r w:rsidR="00821080">
        <w:t>s</w:t>
      </w:r>
      <w:r>
        <w:t xml:space="preserve"> 1-4 </w:t>
      </w:r>
      <w:r w:rsidR="00821080">
        <w:t>show</w:t>
      </w:r>
      <w:r>
        <w:t xml:space="preserve"> that m</w:t>
      </w:r>
      <w:r w:rsidR="008E6388" w:rsidRPr="008E6388">
        <w:t xml:space="preserve">ore moderate </w:t>
      </w:r>
      <w:r w:rsidR="00485426">
        <w:t>selections of the extent of reform</w:t>
      </w:r>
      <w:r w:rsidR="00290857">
        <w:t xml:space="preserve"> </w:t>
      </w:r>
      <w:r w:rsidR="00485426">
        <w:t>(</w:t>
      </w:r>
      <w:r w:rsidR="008E6388" w:rsidRPr="008E6388">
        <w:t xml:space="preserve">such as higher case ratios, partial salary increases, and limited transfer of high-intensity </w:t>
      </w:r>
      <w:r w:rsidR="00821080">
        <w:t>cases</w:t>
      </w:r>
      <w:r w:rsidR="008E6388" w:rsidRPr="008E6388">
        <w:t xml:space="preserve"> to the public sector</w:t>
      </w:r>
      <w:r w:rsidR="00485426">
        <w:t>)</w:t>
      </w:r>
      <w:r>
        <w:t xml:space="preserve"> </w:t>
      </w:r>
      <w:r w:rsidR="008E6388" w:rsidRPr="008E6388">
        <w:t xml:space="preserve">can </w:t>
      </w:r>
      <w:r w:rsidR="00485426">
        <w:t>lead to a lower cost of a reformed system</w:t>
      </w:r>
      <w:r w:rsidR="008E6388" w:rsidRPr="008E6388">
        <w:t xml:space="preserve">. This </w:t>
      </w:r>
      <w:r w:rsidR="00B12728">
        <w:t>demonstrates</w:t>
      </w:r>
      <w:r w:rsidR="008E6388" w:rsidRPr="008E6388">
        <w:t xml:space="preserve"> that the proposed reform package is scalable, </w:t>
      </w:r>
      <w:r w:rsidR="00B12728">
        <w:t>allowing the</w:t>
      </w:r>
      <w:r w:rsidR="008E6388" w:rsidRPr="008E6388">
        <w:t xml:space="preserve"> government </w:t>
      </w:r>
      <w:r w:rsidR="00B12728">
        <w:t>to</w:t>
      </w:r>
      <w:r w:rsidR="008E6388" w:rsidRPr="008E6388">
        <w:t xml:space="preserve"> calibrate the depth and pace of change to </w:t>
      </w:r>
      <w:r w:rsidR="00B12728">
        <w:t>fit</w:t>
      </w:r>
      <w:r w:rsidR="008E6388" w:rsidRPr="008E6388">
        <w:t xml:space="preserve"> within a constrained funding envelope.</w:t>
      </w:r>
    </w:p>
    <w:p w14:paraId="72713C75" w14:textId="77777777" w:rsidR="004037C7" w:rsidRDefault="004037C7" w:rsidP="00622324">
      <w:pPr>
        <w:pStyle w:val="Heading3"/>
      </w:pPr>
      <w:bookmarkStart w:id="28" w:name="_Toc226038396"/>
      <w:r>
        <w:t>Rollout and timing considerations</w:t>
      </w:r>
      <w:bookmarkEnd w:id="28"/>
    </w:p>
    <w:p w14:paraId="0AE089CC" w14:textId="11E5EB59" w:rsidR="00997A7F" w:rsidRDefault="004037C7" w:rsidP="004037C7">
      <w:r>
        <w:t xml:space="preserve">This analysis has been completed as if the Hill Review recommendations were in force for the 2024-25 financial year. This is to ensure there is a like-for-like comparison against the cost of the current system. </w:t>
      </w:r>
      <w:r w:rsidR="00AD68B1">
        <w:t>In practice,</w:t>
      </w:r>
      <w:r>
        <w:t xml:space="preserve"> the implementation of these recommendations would not be instantaneous. There</w:t>
      </w:r>
      <w:r w:rsidR="00997A7F">
        <w:t xml:space="preserve"> </w:t>
      </w:r>
      <w:proofErr w:type="gramStart"/>
      <w:r w:rsidR="00997A7F">
        <w:t>is</w:t>
      </w:r>
      <w:proofErr w:type="gramEnd"/>
      <w:r w:rsidR="00997A7F">
        <w:t xml:space="preserve"> significant planning and preparation required to implement reform</w:t>
      </w:r>
      <w:r w:rsidR="00E11107">
        <w:t xml:space="preserve"> and make decisions which will affect the timing, cost, and staged delivery of a reformed employment services system</w:t>
      </w:r>
      <w:r w:rsidR="00997A7F">
        <w:t xml:space="preserve">. For comparison, in the 2024-25 Budget </w:t>
      </w:r>
      <w:r w:rsidR="00E11107">
        <w:t xml:space="preserve">$57M in Departmental expenses was announced for </w:t>
      </w:r>
      <w:r w:rsidR="00997A7F">
        <w:t xml:space="preserve">the Department of Social Services </w:t>
      </w:r>
      <w:r w:rsidR="00E11107">
        <w:t xml:space="preserve">to </w:t>
      </w:r>
      <w:r w:rsidR="00485426">
        <w:t>r</w:t>
      </w:r>
      <w:r w:rsidR="00E11107">
        <w:t>eform Disability Employment Services</w:t>
      </w:r>
      <w:r w:rsidR="00E11107">
        <w:rPr>
          <w:rStyle w:val="FootnoteReference"/>
        </w:rPr>
        <w:footnoteReference w:id="10"/>
      </w:r>
      <w:r w:rsidR="00E11107">
        <w:t>, with $34M of this funding provisioned for the year leading up to the implementation of the n</w:t>
      </w:r>
      <w:r w:rsidR="00E11107" w:rsidRPr="00E11107">
        <w:t xml:space="preserve">ew specialist disability employment program </w:t>
      </w:r>
      <w:r w:rsidR="00485426">
        <w:t>(</w:t>
      </w:r>
      <w:r w:rsidR="00E11107" w:rsidRPr="00E11107">
        <w:t>from 1 July 2025</w:t>
      </w:r>
      <w:r w:rsidR="00485426">
        <w:t>)</w:t>
      </w:r>
      <w:r w:rsidR="00E11107">
        <w:t>.</w:t>
      </w:r>
    </w:p>
    <w:p w14:paraId="4CE4D2AA" w14:textId="046A5A5D" w:rsidR="5ACA0247" w:rsidRDefault="5ACA0247" w:rsidP="09516C5B">
      <w:r>
        <w:t>The existing National Panel for Workforce Australia Services expires on 30 June 2028</w:t>
      </w:r>
      <w:r w:rsidRPr="4AD285AB">
        <w:rPr>
          <w:rStyle w:val="FootnoteReference"/>
        </w:rPr>
        <w:footnoteReference w:id="11"/>
      </w:r>
      <w:r>
        <w:t xml:space="preserve">. This </w:t>
      </w:r>
      <w:r w:rsidR="3A6A4BDC">
        <w:t>provides the opportunity to resh</w:t>
      </w:r>
      <w:r w:rsidR="3C23DCE3">
        <w:t xml:space="preserve">ape many of the payment levers modelled in this report through contract terms. </w:t>
      </w:r>
      <w:r w:rsidR="2B9B4975">
        <w:t xml:space="preserve">We note the Hill Review’s </w:t>
      </w:r>
      <w:r w:rsidR="2B1AC637">
        <w:t xml:space="preserve">ambition to </w:t>
      </w:r>
      <w:r w:rsidR="1F5FACE6">
        <w:t>avoid re-tendering in the short to medium term</w:t>
      </w:r>
      <w:r w:rsidR="26F09644">
        <w:t>. W</w:t>
      </w:r>
      <w:r w:rsidR="1EFBE3CB">
        <w:t>e also note the intention to consolidate the number of generalist providers in each region. We anticipate there will be initial frictions in the transfer of caseload from the current provider</w:t>
      </w:r>
      <w:r w:rsidR="646C7BE4">
        <w:t xml:space="preserve"> </w:t>
      </w:r>
      <w:r w:rsidR="14905F26">
        <w:t xml:space="preserve">network as </w:t>
      </w:r>
      <w:proofErr w:type="gramStart"/>
      <w:r w:rsidR="14905F26">
        <w:t>caseworkers</w:t>
      </w:r>
      <w:proofErr w:type="gramEnd"/>
      <w:r w:rsidR="14905F26">
        <w:t xml:space="preserve"> hand over management. </w:t>
      </w:r>
      <w:r w:rsidR="00E11107">
        <w:t>We also note that DEWR will be required to simultaneously operate the existing system while the planning and building of reformed system occurs (including any new IT system), necessitating additional resourcing.</w:t>
      </w:r>
    </w:p>
    <w:p w14:paraId="29CE9417" w14:textId="5B65D9C7" w:rsidR="004037C7" w:rsidRPr="00F94A09" w:rsidRDefault="004037C7" w:rsidP="004037C7">
      <w:r>
        <w:t>The sequencing of implementation decisions matters</w:t>
      </w:r>
      <w:r w:rsidR="00BF7B59">
        <w:t xml:space="preserve"> to their incremental cost</w:t>
      </w:r>
      <w:r>
        <w:t xml:space="preserve">. </w:t>
      </w:r>
      <w:r w:rsidR="00B11374">
        <w:t>For example, i</w:t>
      </w:r>
      <w:r>
        <w:t xml:space="preserve">n our </w:t>
      </w:r>
      <w:proofErr w:type="gramStart"/>
      <w:r w:rsidR="00B11374">
        <w:t>step-wise</w:t>
      </w:r>
      <w:proofErr w:type="gramEnd"/>
      <w:r w:rsidR="00B11374">
        <w:t xml:space="preserve"> </w:t>
      </w:r>
      <w:r>
        <w:t xml:space="preserve">analysis we have costed the required increase to provider payments to fund the increase in salaries paid to front-line staff employed by </w:t>
      </w:r>
      <w:proofErr w:type="gramStart"/>
      <w:r>
        <w:t>providers, and</w:t>
      </w:r>
      <w:proofErr w:type="gramEnd"/>
      <w:r>
        <w:t xml:space="preserve"> then costed the marginal impact of in-sourcing (by the APS) the case management of some of the high-intensity participants. If the in-sourcing were to occur prior to salary adjustment, the apparent increase in cost arising from shifting workload to the APS will be greater than costed as this move also incorporates the movement of work from lower paid provider case managers to higher paid government case managers.</w:t>
      </w:r>
    </w:p>
    <w:p w14:paraId="617DD8E4" w14:textId="3DABD003" w:rsidR="00BF7B59" w:rsidRDefault="00BF7B59" w:rsidP="00BF7B59">
      <w:r>
        <w:t>It is important to note that with the passage of time the cost pressures of the current system will continue to mount and so too will the cost of reform. As an example, the cost to fund the one-off realignment of frontline staff salaries to the public service will be 8% higher in 2026-27 than this 2024-25 analysis because of the future salaries set in DEWR’s enterprise agreement</w:t>
      </w:r>
      <w:r w:rsidRPr="4AD285AB">
        <w:rPr>
          <w:rStyle w:val="FootnoteReference"/>
        </w:rPr>
        <w:footnoteReference w:id="12"/>
      </w:r>
      <w:r>
        <w:t>.</w:t>
      </w:r>
      <w:r w:rsidR="00B11374">
        <w:t xml:space="preserve"> Delays to the progress of reform are likely to make the cost of reform appear more expensive.</w:t>
      </w:r>
    </w:p>
    <w:p w14:paraId="4716677E" w14:textId="77777777" w:rsidR="00505CBD" w:rsidRPr="00505CBD" w:rsidRDefault="00505CBD" w:rsidP="00505CBD"/>
    <w:p w14:paraId="181CEB12" w14:textId="7E7B1714" w:rsidR="00EF19A2" w:rsidRDefault="001D7A54" w:rsidP="00622324">
      <w:pPr>
        <w:pStyle w:val="Heading2"/>
      </w:pPr>
      <w:bookmarkStart w:id="29" w:name="_Ref221695941"/>
      <w:bookmarkStart w:id="30" w:name="_Toc226038397"/>
      <w:r>
        <w:lastRenderedPageBreak/>
        <w:t>Key components: Service delivery</w:t>
      </w:r>
      <w:bookmarkEnd w:id="29"/>
      <w:bookmarkEnd w:id="30"/>
    </w:p>
    <w:p w14:paraId="57185521" w14:textId="77777777" w:rsidR="001D7A54" w:rsidRDefault="00BD396E" w:rsidP="001D7A54">
      <w:pPr>
        <w:pStyle w:val="Headingstroke"/>
      </w:pPr>
      <w:r>
        <w:rPr>
          <w:noProof/>
        </w:rPr>
        <mc:AlternateContent>
          <mc:Choice Requires="wps">
            <w:drawing>
              <wp:inline distT="0" distB="0" distL="0" distR="0" wp14:anchorId="7AC72033" wp14:editId="7E0D0361">
                <wp:extent cx="936000" cy="0"/>
                <wp:effectExtent l="0" t="38100" r="54610" b="57150"/>
                <wp:docPr id="133453227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D42DC1"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57288894" w14:textId="0606B4D9" w:rsidR="00657934" w:rsidRDefault="00657934" w:rsidP="00E727C1">
      <w:r>
        <w:t>This section sets out the</w:t>
      </w:r>
      <w:r w:rsidR="00E727C1">
        <w:t xml:space="preserve"> costing components related to </w:t>
      </w:r>
      <w:r w:rsidR="00B11374">
        <w:t xml:space="preserve">the category of </w:t>
      </w:r>
      <w:r w:rsidR="00E727C1">
        <w:t>service</w:t>
      </w:r>
      <w:r>
        <w:t xml:space="preserve"> delivery</w:t>
      </w:r>
      <w:r w:rsidR="00E727C1">
        <w:t>.</w:t>
      </w:r>
      <w:r>
        <w:t xml:space="preserve"> It first examines the cost implications of the Hill Review recommendation</w:t>
      </w:r>
      <w:r w:rsidR="00BE7492">
        <w:t xml:space="preserve"> for an enhanced service delivery by partners, then considers the costs associated with transitioning </w:t>
      </w:r>
      <w:r w:rsidR="00B11374">
        <w:t xml:space="preserve">the case management of </w:t>
      </w:r>
      <w:r w:rsidR="00BE7492">
        <w:t xml:space="preserve">jobseekers furthest from employment into the public </w:t>
      </w:r>
      <w:r w:rsidR="000D42EF">
        <w:t xml:space="preserve">service. </w:t>
      </w:r>
      <w:r w:rsidR="004458C3">
        <w:t xml:space="preserve">This section also covers the cost implications of the digital platform, regional hubs and </w:t>
      </w:r>
      <w:r w:rsidR="002F3128">
        <w:t xml:space="preserve">Active Labour Market programs. </w:t>
      </w:r>
    </w:p>
    <w:p w14:paraId="06E1905D" w14:textId="41D792F7" w:rsidR="002F3128" w:rsidRDefault="002F3128" w:rsidP="00E727C1">
      <w:r>
        <w:t xml:space="preserve">For each component, we identify the relevant recommendations in the </w:t>
      </w:r>
      <w:r w:rsidR="009005A9">
        <w:t xml:space="preserve">Hill </w:t>
      </w:r>
      <w:r>
        <w:t xml:space="preserve">Review, outline the costing approach, and present the modelled costs. We also discuss key sensitivities in the assumptions and </w:t>
      </w:r>
      <w:proofErr w:type="gramStart"/>
      <w:r>
        <w:t>parameters, and</w:t>
      </w:r>
      <w:proofErr w:type="gramEnd"/>
      <w:r>
        <w:t xml:space="preserve"> include validation checks against comparable costs where available.</w:t>
      </w:r>
    </w:p>
    <w:p w14:paraId="177962A1" w14:textId="5A2615F8" w:rsidR="001D7A54" w:rsidRDefault="00250E7C" w:rsidP="00622324">
      <w:pPr>
        <w:pStyle w:val="Heading3"/>
      </w:pPr>
      <w:bookmarkStart w:id="31" w:name="_Ref219237390"/>
      <w:bookmarkStart w:id="32" w:name="_Ref219373719"/>
      <w:bookmarkStart w:id="33" w:name="_Ref219406461"/>
      <w:bookmarkStart w:id="34" w:name="_Toc226038398"/>
      <w:r>
        <w:t>Enhanced service delivery</w:t>
      </w:r>
      <w:bookmarkEnd w:id="31"/>
      <w:bookmarkEnd w:id="32"/>
      <w:bookmarkEnd w:id="33"/>
      <w:bookmarkEnd w:id="34"/>
      <w:r w:rsidR="0097235D">
        <w:t xml:space="preserve"> </w:t>
      </w:r>
    </w:p>
    <w:p w14:paraId="00AF495D" w14:textId="77777777" w:rsidR="00621095" w:rsidRDefault="00697D3A" w:rsidP="001E3A18">
      <w:r w:rsidRPr="00697D3A">
        <w:t>Under the reformed system</w:t>
      </w:r>
      <w:r w:rsidR="00621095">
        <w:t xml:space="preserve">: </w:t>
      </w:r>
    </w:p>
    <w:p w14:paraId="5046B015" w14:textId="44D060AF" w:rsidR="00621095" w:rsidRDefault="00697D3A" w:rsidP="21423912">
      <w:pPr>
        <w:pStyle w:val="Numberbullet1"/>
      </w:pPr>
      <w:r>
        <w:t xml:space="preserve">Provider funding is restructured so that upfront </w:t>
      </w:r>
      <w:r w:rsidR="00DE3CB7">
        <w:t xml:space="preserve">payments make up a larger share of total funding, with less </w:t>
      </w:r>
      <w:r w:rsidR="00863DA2">
        <w:t>focus on outcome payments</w:t>
      </w:r>
    </w:p>
    <w:p w14:paraId="002BF959" w14:textId="67448170" w:rsidR="00697D3A" w:rsidRDefault="00863DA2" w:rsidP="00373F00">
      <w:pPr>
        <w:pStyle w:val="Numberbullet1"/>
      </w:pPr>
      <w:r>
        <w:t xml:space="preserve">Additional funding </w:t>
      </w:r>
      <w:r w:rsidR="00B9590E">
        <w:t xml:space="preserve">is </w:t>
      </w:r>
      <w:r w:rsidR="009E4691">
        <w:t>required to support higher-quality service delivery by partners, including employing more case workers to reduce case ratios and offering more competitive salaries to reduce turnover and re-</w:t>
      </w:r>
      <w:r w:rsidR="00340BA5">
        <w:t>professionalise the workforce.</w:t>
      </w:r>
      <w:r w:rsidR="00697D3A" w:rsidRPr="00697D3A">
        <w:t xml:space="preserve"> </w:t>
      </w:r>
    </w:p>
    <w:p w14:paraId="26C974C9" w14:textId="1E465A12" w:rsidR="001D7A54" w:rsidRDefault="001D7A54"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E727C1" w14:paraId="41085C86"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3FB842E4" w14:textId="77777777" w:rsidR="00E727C1" w:rsidRPr="00681DA1" w:rsidRDefault="00E727C1" w:rsidP="0025259B">
            <w:pPr>
              <w:rPr>
                <w:b/>
                <w:bCs/>
              </w:rPr>
            </w:pPr>
            <w:r>
              <w:rPr>
                <w:b/>
                <w:bCs/>
              </w:rPr>
              <w:t>Recommendation 11</w:t>
            </w:r>
          </w:p>
          <w:p w14:paraId="005427F7" w14:textId="77777777" w:rsidR="00E727C1" w:rsidRDefault="00E727C1" w:rsidP="0025259B">
            <w:pPr>
              <w:rPr>
                <w:noProof/>
              </w:rPr>
            </w:pPr>
            <w:r w:rsidRPr="00E25AAC">
              <w:rPr>
                <w:noProof/>
              </w:rPr>
              <w:t>The Committee recommends that the Commonwealth Employment Services System include a youth-specific service, open to all people under the age of 25 years. The Youth Employment Service should retain the existing Transition to Work program as a more intensive option while also providing less intensive support options that vary according to individual circumstances and Participation and Jobs Plans. Commissioning and procurement should</w:t>
            </w:r>
            <w:r>
              <w:rPr>
                <w:noProof/>
              </w:rPr>
              <w:t xml:space="preserve"> </w:t>
            </w:r>
            <w:r w:rsidRPr="006574AB">
              <w:rPr>
                <w:noProof/>
              </w:rPr>
              <w:t>preference youth specialist providers with proven track records in delivering services to young people, as well as providers which are co-located with other youth services in youth hubs where possible.</w:t>
            </w:r>
          </w:p>
          <w:p w14:paraId="60C97557" w14:textId="77777777" w:rsidR="008513A8" w:rsidRPr="00095E4D" w:rsidRDefault="008513A8" w:rsidP="008513A8">
            <w:pPr>
              <w:rPr>
                <w:b/>
                <w:bCs/>
              </w:rPr>
            </w:pPr>
            <w:r w:rsidRPr="00095E4D">
              <w:rPr>
                <w:b/>
                <w:bCs/>
              </w:rPr>
              <w:t>Other related references:</w:t>
            </w:r>
          </w:p>
          <w:p w14:paraId="4BAADFF1" w14:textId="37E65B99" w:rsidR="008513A8" w:rsidRDefault="008513A8" w:rsidP="008513A8">
            <w:r>
              <w:t xml:space="preserve">5.196 The Committee also considers that a youth-specific service stream should be created within the new Commonwealth Employment Services System for all people aged under 25 years. This service should incorporate and build on the existing </w:t>
            </w:r>
            <w:proofErr w:type="spellStart"/>
            <w:r>
              <w:t>TtW</w:t>
            </w:r>
            <w:proofErr w:type="spellEnd"/>
            <w:r>
              <w:t xml:space="preserve"> program and draw on lessons of the successful Youth Connections program.</w:t>
            </w:r>
          </w:p>
          <w:p w14:paraId="1AEAE964" w14:textId="63DD2A00" w:rsidR="00E727C1" w:rsidRDefault="008513A8" w:rsidP="0025259B">
            <w:r>
              <w:t>5.197 As part of the reformed assessment process, the youth specialist service should be presented as the ‘default’ service for jobseekers under 25 years, unless they are clearly job ready and would be better served by self-managing online or by referral to a cohort-specific service (for example, young First Nations peoples). Consistent with a service which offers greater choice and control to jobseekers, younger jobseekers would not be forced into the youth-specific service but would be presented with options and information to enable an informed decision.</w:t>
            </w:r>
          </w:p>
        </w:tc>
      </w:tr>
    </w:tbl>
    <w:p w14:paraId="78D2472F" w14:textId="4A42A82A" w:rsidR="00E727C1" w:rsidRDefault="00E727C1" w:rsidP="00E727C1">
      <w:r w:rsidRPr="00DF65EA">
        <w:rPr>
          <w:i/>
          <w:iCs/>
          <w:color w:val="006EC8" w:themeColor="accent1"/>
        </w:rPr>
        <w:t>Cost implications:</w:t>
      </w:r>
      <w:r>
        <w:rPr>
          <w:color w:val="006EC8" w:themeColor="accent1"/>
        </w:rPr>
        <w:t xml:space="preserve"> </w:t>
      </w:r>
      <w:r w:rsidRPr="00605EF5">
        <w:rPr>
          <w:color w:val="231F20" w:themeColor="text1"/>
        </w:rPr>
        <w:t xml:space="preserve">The proposed Youth Employment Service would integrate </w:t>
      </w:r>
      <w:r w:rsidR="007A14AE">
        <w:rPr>
          <w:color w:val="231F20" w:themeColor="text1"/>
        </w:rPr>
        <w:t>Transition to Work</w:t>
      </w:r>
      <w:r w:rsidRPr="00605EF5">
        <w:rPr>
          <w:color w:val="231F20" w:themeColor="text1"/>
        </w:rPr>
        <w:t xml:space="preserve"> as its intensive option while simultaneously offering </w:t>
      </w:r>
      <w:r>
        <w:rPr>
          <w:color w:val="231F20" w:themeColor="text1"/>
        </w:rPr>
        <w:t>lower-</w:t>
      </w:r>
      <w:r w:rsidRPr="00605EF5">
        <w:rPr>
          <w:color w:val="231F20" w:themeColor="text1"/>
        </w:rPr>
        <w:t>intens</w:t>
      </w:r>
      <w:r>
        <w:rPr>
          <w:color w:val="231F20" w:themeColor="text1"/>
        </w:rPr>
        <w:t>ity</w:t>
      </w:r>
      <w:r w:rsidRPr="00605EF5">
        <w:rPr>
          <w:color w:val="231F20" w:themeColor="text1"/>
        </w:rPr>
        <w:t xml:space="preserve"> support options that vary based on the individual's Participation and Jobs Plan. </w:t>
      </w:r>
      <w:r>
        <w:t xml:space="preserve">This integrated youth specialist service should be presented as the default service for jobseekers under 25 years, </w:t>
      </w:r>
      <w:r w:rsidRPr="00BF1E93">
        <w:t>unless they are clearly job-ready and explicitly choose to self-manage via the digital-hybrid platform</w:t>
      </w:r>
      <w:r>
        <w:t xml:space="preserve">. Under the reform, young people </w:t>
      </w:r>
      <w:r w:rsidR="0075405B">
        <w:t xml:space="preserve">who are </w:t>
      </w:r>
      <w:r>
        <w:t>currently</w:t>
      </w:r>
      <w:r w:rsidR="00E13135">
        <w:t xml:space="preserve"> directed to </w:t>
      </w:r>
      <w:r w:rsidR="00DE1FD3">
        <w:lastRenderedPageBreak/>
        <w:t xml:space="preserve">firstly </w:t>
      </w:r>
      <w:r w:rsidR="00E13135">
        <w:t xml:space="preserve">use </w:t>
      </w:r>
      <w:r>
        <w:t xml:space="preserve">the online platform would </w:t>
      </w:r>
      <w:r w:rsidR="0075405B">
        <w:t xml:space="preserve">instead </w:t>
      </w:r>
      <w:r w:rsidR="00A042F6">
        <w:t xml:space="preserve">be directed to </w:t>
      </w:r>
      <w:r w:rsidR="0075405B">
        <w:t xml:space="preserve">case management </w:t>
      </w:r>
      <w:r w:rsidR="00D40C9D">
        <w:t>services</w:t>
      </w:r>
      <w:r>
        <w:t xml:space="preserve">. As at 30-Jun-2024, there </w:t>
      </w:r>
      <w:r w:rsidR="00C8FD23">
        <w:t>we</w:t>
      </w:r>
      <w:r w:rsidR="21AA068E">
        <w:t>re</w:t>
      </w:r>
      <w:r>
        <w:t xml:space="preserve"> 40,120 jobseekers under 25 years old on Workforce Australia Online</w:t>
      </w:r>
      <w:r w:rsidR="0E13C2DB">
        <w:t>,</w:t>
      </w:r>
      <w:r>
        <w:t xml:space="preserve"> </w:t>
      </w:r>
    </w:p>
    <w:p w14:paraId="3601D35B" w14:textId="3543C3A6" w:rsidR="00E727C1" w:rsidRDefault="00E727C1" w:rsidP="00E727C1">
      <w:r>
        <w:t xml:space="preserve">As a result, the reform expands </w:t>
      </w:r>
      <w:r w:rsidR="00B530C2">
        <w:t xml:space="preserve">provider </w:t>
      </w:r>
      <w:r>
        <w:t>service coverage to a larger youth cohort, with associated increase in cost.</w:t>
      </w:r>
    </w:p>
    <w:tbl>
      <w:tblPr>
        <w:tblStyle w:val="TableGrid"/>
        <w:tblW w:w="0" w:type="auto"/>
        <w:tblLook w:val="04A0" w:firstRow="1" w:lastRow="0" w:firstColumn="1" w:lastColumn="0" w:noHBand="0" w:noVBand="1"/>
      </w:tblPr>
      <w:tblGrid>
        <w:gridCol w:w="9382"/>
      </w:tblGrid>
      <w:tr w:rsidR="00E727C1" w14:paraId="4382AB3B"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7F161881" w14:textId="77777777" w:rsidR="00E727C1" w:rsidRPr="00681DA1" w:rsidRDefault="00E727C1" w:rsidP="0025259B">
            <w:pPr>
              <w:rPr>
                <w:b/>
                <w:bCs/>
              </w:rPr>
            </w:pPr>
            <w:r>
              <w:rPr>
                <w:b/>
                <w:bCs/>
              </w:rPr>
              <w:t>Recommendation 14</w:t>
            </w:r>
          </w:p>
          <w:p w14:paraId="0DB713E3" w14:textId="77777777" w:rsidR="00E727C1" w:rsidRDefault="00E727C1" w:rsidP="0025259B">
            <w:r w:rsidRPr="003D7CF8">
              <w:rPr>
                <w:noProof/>
              </w:rPr>
              <w:t>The Committee recommends that the Australian Government take account of the findings of this report in relation to pay and conditions, support appropriate short-term actions to help stabilise the workforce, and link medium-and longer-term arrangements for pay and conditions in a rebuilt system focused on quality to a coherent plan to re-professionalise the sector’s workforce. Such a plan should also include measures to ensure that the ratio of clients to staff is sufficiently low that staff are able to deliver effective, person-centred services to clients.</w:t>
            </w:r>
          </w:p>
        </w:tc>
      </w:tr>
    </w:tbl>
    <w:p w14:paraId="06EFC004" w14:textId="586124C2" w:rsidR="00E727C1" w:rsidRDefault="00E727C1" w:rsidP="00E727C1">
      <w:r w:rsidRPr="00860990">
        <w:rPr>
          <w:i/>
          <w:iCs/>
          <w:color w:val="006EC8" w:themeColor="accent1"/>
        </w:rPr>
        <w:t>Cost implications:</w:t>
      </w:r>
      <w:r>
        <w:rPr>
          <w:i/>
          <w:iCs/>
          <w:color w:val="006EC8" w:themeColor="accent1"/>
        </w:rPr>
        <w:t xml:space="preserve"> </w:t>
      </w:r>
      <w:r w:rsidRPr="001F413E">
        <w:t xml:space="preserve">Recommendation 14 would result in higher ongoing costs, primarily driven by increased salaries and improved remuneration for frontline staff. The </w:t>
      </w:r>
      <w:r w:rsidR="00645F47">
        <w:t>Hill Review</w:t>
      </w:r>
      <w:r w:rsidRPr="001F413E">
        <w:t xml:space="preserve"> </w:t>
      </w:r>
      <w:r w:rsidR="00645F47">
        <w:t>found</w:t>
      </w:r>
      <w:r w:rsidRPr="001F413E">
        <w:t xml:space="preserve"> that current pay and conditions are not commensurate with the complexity, risk, and intensity of frontline roles, contributing to turnover rates of around 40</w:t>
      </w:r>
      <w:r>
        <w:t>%</w:t>
      </w:r>
      <w:r w:rsidRPr="001F413E">
        <w:t xml:space="preserve"> and undermining service quality. Re-professionalising the workforce would therefore require sustained investment in higher wages, improved conditions, and retention measures. </w:t>
      </w:r>
    </w:p>
    <w:p w14:paraId="36A61B2B" w14:textId="0F8F4CEF" w:rsidR="00E727C1" w:rsidRPr="001F413E" w:rsidRDefault="00E727C1" w:rsidP="00E727C1">
      <w:pPr>
        <w:rPr>
          <w:color w:val="006EC8" w:themeColor="accent1"/>
        </w:rPr>
      </w:pPr>
      <w:r w:rsidRPr="001F413E">
        <w:t xml:space="preserve">A further cost driver arises from the need to reduce excessive caseloads—particularly for </w:t>
      </w:r>
      <w:r w:rsidR="00123165">
        <w:t xml:space="preserve">staff managing </w:t>
      </w:r>
      <w:r w:rsidRPr="001F413E">
        <w:t xml:space="preserve">jobseekers with high and complex needs—which would necessitate additional frontline staff and associated workforce investment. While reductions in administrative burden may improve efficiency, the </w:t>
      </w:r>
      <w:r w:rsidR="003F009E">
        <w:t>Hill Review</w:t>
      </w:r>
      <w:r w:rsidRPr="001F413E">
        <w:t xml:space="preserve"> is clear that these measures will not offset the additional costs required to deliver a higher-quality service.</w:t>
      </w:r>
    </w:p>
    <w:tbl>
      <w:tblPr>
        <w:tblStyle w:val="TableGrid"/>
        <w:tblW w:w="0" w:type="auto"/>
        <w:tblLook w:val="04A0" w:firstRow="1" w:lastRow="0" w:firstColumn="1" w:lastColumn="0" w:noHBand="0" w:noVBand="1"/>
      </w:tblPr>
      <w:tblGrid>
        <w:gridCol w:w="9382"/>
      </w:tblGrid>
      <w:tr w:rsidR="00E727C1" w14:paraId="5C223959"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1D6CFF90" w14:textId="77777777" w:rsidR="00E727C1" w:rsidRPr="00681DA1" w:rsidRDefault="00E727C1" w:rsidP="0025259B">
            <w:pPr>
              <w:rPr>
                <w:b/>
                <w:bCs/>
              </w:rPr>
            </w:pPr>
            <w:r>
              <w:rPr>
                <w:b/>
                <w:bCs/>
              </w:rPr>
              <w:t>Recommendation 70</w:t>
            </w:r>
          </w:p>
          <w:p w14:paraId="799500F7" w14:textId="77777777" w:rsidR="00E727C1" w:rsidRDefault="00E727C1" w:rsidP="0025259B">
            <w:pPr>
              <w:rPr>
                <w:noProof/>
              </w:rPr>
            </w:pPr>
            <w:r w:rsidRPr="00C612F2">
              <w:rPr>
                <w:noProof/>
              </w:rPr>
              <w:t xml:space="preserve">The Committee recommends that funding arrangements for a rebuilt Commonwealth Employment Services System be the subject of co-design based on a more relational contracting model and include the following key elements: </w:t>
            </w:r>
          </w:p>
          <w:p w14:paraId="6452F2C6" w14:textId="4E417538" w:rsidR="00E727C1" w:rsidRDefault="00E727C1" w:rsidP="0025259B">
            <w:pPr>
              <w:pStyle w:val="Bullet1"/>
            </w:pPr>
            <w:r w:rsidRPr="00C612F2">
              <w:rPr>
                <w:noProof/>
              </w:rPr>
              <w:t>Additional upfront funding based on a block- or activity-based funding model</w:t>
            </w:r>
          </w:p>
          <w:p w14:paraId="5D387743" w14:textId="28F8FD6C" w:rsidR="00E727C1" w:rsidRDefault="00E727C1" w:rsidP="0025259B">
            <w:pPr>
              <w:pStyle w:val="Bullet1"/>
            </w:pPr>
            <w:r w:rsidRPr="00C612F2">
              <w:rPr>
                <w:noProof/>
              </w:rPr>
              <w:t>Payments for employment outcomes, with the proportion of payments claimable against outcomes substantially reduced relative to the current system</w:t>
            </w:r>
          </w:p>
          <w:p w14:paraId="5A441D4E" w14:textId="7FCA532A" w:rsidR="00E727C1" w:rsidRDefault="00E727C1" w:rsidP="0025259B">
            <w:pPr>
              <w:pStyle w:val="Bullet1"/>
            </w:pPr>
            <w:r w:rsidRPr="00C612F2">
              <w:rPr>
                <w:noProof/>
              </w:rPr>
              <w:t>Payments for other appropriate outcomes that help a person progress towards employment</w:t>
            </w:r>
          </w:p>
          <w:p w14:paraId="02251C9F" w14:textId="704DEBA5" w:rsidR="00E727C1" w:rsidRDefault="00E727C1" w:rsidP="0025259B">
            <w:pPr>
              <w:pStyle w:val="Bullet1"/>
            </w:pPr>
            <w:r w:rsidRPr="00C612F2">
              <w:rPr>
                <w:noProof/>
              </w:rPr>
              <w:t>Bespoke grant and other flexible funding arrangements for specialised services such as work experience and engagement with social enterprises</w:t>
            </w:r>
          </w:p>
          <w:p w14:paraId="64C7A6B9" w14:textId="1A3A9053" w:rsidR="00E727C1" w:rsidRDefault="00E727C1" w:rsidP="0025259B">
            <w:pPr>
              <w:pStyle w:val="Bullet1"/>
            </w:pPr>
            <w:r w:rsidRPr="00C612F2">
              <w:rPr>
                <w:noProof/>
              </w:rPr>
              <w:t>Additional loading to enable higher intensity supports for jobseekers in target cohorts, including migrant and refugee jobseekers and jobseekers with disability</w:t>
            </w:r>
          </w:p>
          <w:p w14:paraId="5A53F26E" w14:textId="77777777" w:rsidR="00E727C1" w:rsidRDefault="00E727C1" w:rsidP="0025259B">
            <w:pPr>
              <w:pStyle w:val="Bullet1"/>
            </w:pPr>
            <w:r w:rsidRPr="00C612F2">
              <w:rPr>
                <w:noProof/>
              </w:rPr>
              <w:t xml:space="preserve">The Employment Services Quality Commission be responsible for: </w:t>
            </w:r>
          </w:p>
          <w:p w14:paraId="61885407" w14:textId="7C36ADDD" w:rsidR="00E727C1" w:rsidRDefault="00EC2DBA" w:rsidP="0025259B">
            <w:pPr>
              <w:pStyle w:val="Bullet2"/>
            </w:pPr>
            <w:r>
              <w:rPr>
                <w:noProof/>
              </w:rPr>
              <w:t>A</w:t>
            </w:r>
            <w:r w:rsidR="00E727C1" w:rsidRPr="00C612F2">
              <w:rPr>
                <w:noProof/>
              </w:rPr>
              <w:t>dvising government on funding models and recommended pricing for quality services</w:t>
            </w:r>
          </w:p>
          <w:p w14:paraId="460C8A3A" w14:textId="5D03F764" w:rsidR="00E727C1" w:rsidRDefault="00EC2DBA" w:rsidP="0025259B">
            <w:pPr>
              <w:pStyle w:val="Bullet2"/>
            </w:pPr>
            <w:r>
              <w:rPr>
                <w:noProof/>
              </w:rPr>
              <w:t>P</w:t>
            </w:r>
            <w:r w:rsidR="00E727C1" w:rsidRPr="00C612F2">
              <w:rPr>
                <w:noProof/>
              </w:rPr>
              <w:t>referred approaches to funding service partners; and o monitoring and reporting periodically on the system’s overall operating costs (including transactional and other costs relating to a quasi market) so there is greater transparency for government and the public</w:t>
            </w:r>
          </w:p>
          <w:p w14:paraId="6A1FAC4F" w14:textId="645ABC14" w:rsidR="00E727C1" w:rsidRDefault="00E727C1" w:rsidP="0025259B">
            <w:pPr>
              <w:pStyle w:val="Bullet1"/>
            </w:pPr>
            <w:r w:rsidRPr="00C612F2">
              <w:rPr>
                <w:noProof/>
              </w:rPr>
              <w:t>The system should allow for experimentation with different potential funding models to evaluate and learn what works most effectively and efficiently</w:t>
            </w:r>
            <w:r w:rsidR="00A361A3">
              <w:rPr>
                <w:noProof/>
              </w:rPr>
              <w:t>.</w:t>
            </w:r>
          </w:p>
        </w:tc>
      </w:tr>
    </w:tbl>
    <w:p w14:paraId="27FF05B1" w14:textId="18FFED62" w:rsidR="00E727C1" w:rsidRDefault="00E727C1" w:rsidP="00E727C1">
      <w:r w:rsidRPr="00860990">
        <w:rPr>
          <w:i/>
          <w:iCs/>
          <w:color w:val="006EC8" w:themeColor="accent1"/>
        </w:rPr>
        <w:t>Cost implications:</w:t>
      </w:r>
      <w:r>
        <w:rPr>
          <w:i/>
          <w:iCs/>
          <w:color w:val="006EC8" w:themeColor="accent1"/>
        </w:rPr>
        <w:t xml:space="preserve"> </w:t>
      </w:r>
      <w:r w:rsidRPr="00494A32">
        <w:t xml:space="preserve">Recommendation 70 has significant cost implications, as it proposes a fundamental redesign of employment services funding away from heavy reliance on outcome payments toward a more blended, relational model. </w:t>
      </w:r>
      <w:r>
        <w:t xml:space="preserve">This would require a reweighting </w:t>
      </w:r>
      <w:r w:rsidR="00B67E1B">
        <w:t xml:space="preserve">of </w:t>
      </w:r>
      <w:r>
        <w:t xml:space="preserve">upfront </w:t>
      </w:r>
      <w:r w:rsidR="00787212">
        <w:t>(</w:t>
      </w:r>
      <w:r w:rsidR="00212986">
        <w:t>quasi-activity funding</w:t>
      </w:r>
      <w:r w:rsidR="00787212">
        <w:t xml:space="preserve">) </w:t>
      </w:r>
      <w:r>
        <w:t xml:space="preserve">and </w:t>
      </w:r>
      <w:r>
        <w:lastRenderedPageBreak/>
        <w:t xml:space="preserve">outcome payments to achieve a target proportion, better reflecting the cost of </w:t>
      </w:r>
      <w:r w:rsidRPr="00494A32">
        <w:t>delivering quality, capacity-building services</w:t>
      </w:r>
      <w:r>
        <w:t xml:space="preserve"> upfront</w:t>
      </w:r>
      <w:r w:rsidRPr="00494A32">
        <w:t>.</w:t>
      </w:r>
      <w:r>
        <w:t xml:space="preserve"> Depending on the specific approach chosen to recalibrate the weights, the overall quantum of funding may be held constant or increased. </w:t>
      </w:r>
    </w:p>
    <w:p w14:paraId="7D8A2286" w14:textId="77777777" w:rsidR="00E727C1" w:rsidRDefault="00E727C1" w:rsidP="00E727C1">
      <w:r>
        <w:t>The recommendation also introduces additional loadings to support higher intensity assistance for target cohorts, including migrant and refugee jobseekers and jobseekers with disability, which would act as a direct cost driver.</w:t>
      </w:r>
    </w:p>
    <w:p w14:paraId="59A14C81" w14:textId="6C8B1DAF" w:rsidR="000A7170" w:rsidRDefault="002166C4" w:rsidP="00E727C1">
      <w:r w:rsidRPr="002166C4">
        <w:rPr>
          <w:noProof/>
        </w:rPr>
        <w:drawing>
          <wp:inline distT="0" distB="0" distL="0" distR="0" wp14:anchorId="01F3CBF2" wp14:editId="2A3ECDD7">
            <wp:extent cx="5976620" cy="901065"/>
            <wp:effectExtent l="0" t="0" r="5080" b="0"/>
            <wp:docPr id="150387285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2854" name="Picture 1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901065"/>
                    </a:xfrm>
                    <a:prstGeom prst="rect">
                      <a:avLst/>
                    </a:prstGeom>
                    <a:noFill/>
                    <a:ln>
                      <a:noFill/>
                    </a:ln>
                  </pic:spPr>
                </pic:pic>
              </a:graphicData>
            </a:graphic>
          </wp:inline>
        </w:drawing>
      </w:r>
    </w:p>
    <w:p w14:paraId="117BE2DC" w14:textId="6D6098CF" w:rsidR="001D7A54" w:rsidRDefault="001D7A54" w:rsidP="00622324">
      <w:pPr>
        <w:pStyle w:val="Heading4"/>
      </w:pPr>
      <w:bookmarkStart w:id="35" w:name="_Ref219321655"/>
      <w:r>
        <w:t>Costing</w:t>
      </w:r>
      <w:bookmarkEnd w:id="35"/>
    </w:p>
    <w:p w14:paraId="1D756392" w14:textId="6DAEFB9A" w:rsidR="7A5D9B33" w:rsidRDefault="008C7BC4">
      <w:r>
        <w:t xml:space="preserve">To estimate a cost for </w:t>
      </w:r>
      <w:r w:rsidR="002A4342">
        <w:t xml:space="preserve">enhanced </w:t>
      </w:r>
      <w:r w:rsidR="00F14F14">
        <w:t>service delivery by partners</w:t>
      </w:r>
      <w:r w:rsidR="00115368">
        <w:t>,</w:t>
      </w:r>
      <w:r w:rsidR="004F4891">
        <w:t xml:space="preserve"> w</w:t>
      </w:r>
      <w:r w:rsidR="00506821">
        <w:t xml:space="preserve">e </w:t>
      </w:r>
      <w:r w:rsidR="00C05181">
        <w:t>developed</w:t>
      </w:r>
      <w:r w:rsidR="00C06563">
        <w:t xml:space="preserve"> an </w:t>
      </w:r>
      <w:r w:rsidR="007101DF">
        <w:t>incremental</w:t>
      </w:r>
      <w:r w:rsidR="00C05181">
        <w:t xml:space="preserve"> modelling</w:t>
      </w:r>
      <w:r w:rsidR="00506821">
        <w:t xml:space="preserve"> approach </w:t>
      </w:r>
      <w:r w:rsidR="00C05181">
        <w:t>to assess</w:t>
      </w:r>
      <w:r w:rsidR="009D3901">
        <w:t xml:space="preserve"> the impact of </w:t>
      </w:r>
      <w:r w:rsidR="002F32CC">
        <w:t xml:space="preserve">adopting </w:t>
      </w:r>
      <w:r w:rsidR="009D3901">
        <w:t>each recommendation</w:t>
      </w:r>
      <w:r w:rsidR="00B77020">
        <w:t xml:space="preserve"> </w:t>
      </w:r>
      <w:r w:rsidR="002F32CC">
        <w:t xml:space="preserve">sub-component </w:t>
      </w:r>
      <w:r w:rsidR="00A4719F">
        <w:t>with reference to</w:t>
      </w:r>
      <w:r w:rsidR="00BF4799">
        <w:t xml:space="preserve"> </w:t>
      </w:r>
      <w:r w:rsidR="00A5741E">
        <w:t xml:space="preserve">the </w:t>
      </w:r>
      <w:r w:rsidR="00B77020">
        <w:t>current sy</w:t>
      </w:r>
      <w:r w:rsidR="00CF4590">
        <w:t>s</w:t>
      </w:r>
      <w:r w:rsidR="00B77020">
        <w:t>tem</w:t>
      </w:r>
      <w:r w:rsidR="00A5741E">
        <w:t xml:space="preserve"> and </w:t>
      </w:r>
      <w:r w:rsidR="00E77646">
        <w:t>prior modelling steps</w:t>
      </w:r>
      <w:r w:rsidR="009D3901">
        <w:t>.</w:t>
      </w:r>
    </w:p>
    <w:p w14:paraId="3ECAFA46" w14:textId="1099C259" w:rsidR="0030089A" w:rsidRDefault="007250D9" w:rsidP="005D5705">
      <w:pPr>
        <w:pStyle w:val="Heading5"/>
      </w:pPr>
      <w:r>
        <w:t>Baseline</w:t>
      </w:r>
    </w:p>
    <w:p w14:paraId="03AB510E" w14:textId="1221B6CF" w:rsidR="009421B7" w:rsidRDefault="001F58FC" w:rsidP="00F1242C">
      <w:r>
        <w:t>Across</w:t>
      </w:r>
      <w:r w:rsidR="00F1242C">
        <w:t xml:space="preserve"> </w:t>
      </w:r>
      <w:r w:rsidR="00D72411">
        <w:t>financial year</w:t>
      </w:r>
      <w:r w:rsidR="00F1242C">
        <w:t xml:space="preserve"> 2024-25, there were </w:t>
      </w:r>
      <w:r w:rsidR="00727600">
        <w:t>814,</w:t>
      </w:r>
      <w:r w:rsidR="007F1DA0">
        <w:t>755 cases</w:t>
      </w:r>
      <w:r w:rsidR="003B2006">
        <w:rPr>
          <w:rStyle w:val="FootnoteReference"/>
        </w:rPr>
        <w:footnoteReference w:id="13"/>
      </w:r>
      <w:r w:rsidR="007F1DA0">
        <w:t xml:space="preserve"> </w:t>
      </w:r>
      <w:r w:rsidR="00CF4590">
        <w:t>in</w:t>
      </w:r>
      <w:r w:rsidR="003B2006">
        <w:t xml:space="preserve"> Workforce Australia Services</w:t>
      </w:r>
      <w:r w:rsidR="00254494">
        <w:t xml:space="preserve"> and </w:t>
      </w:r>
      <w:r w:rsidR="00833BA2">
        <w:t xml:space="preserve">the </w:t>
      </w:r>
      <w:r w:rsidR="00254494">
        <w:t>Transition to Work</w:t>
      </w:r>
      <w:r w:rsidR="00833BA2">
        <w:t xml:space="preserve"> program</w:t>
      </w:r>
      <w:r w:rsidR="00CF4590">
        <w:t xml:space="preserve">. </w:t>
      </w:r>
      <w:r w:rsidR="002636F7">
        <w:t xml:space="preserve">We have </w:t>
      </w:r>
      <w:r w:rsidR="009421B7">
        <w:t>divided</w:t>
      </w:r>
      <w:r w:rsidR="00B83E2C">
        <w:t xml:space="preserve"> </w:t>
      </w:r>
      <w:r w:rsidR="00CF4590">
        <w:t>these</w:t>
      </w:r>
      <w:r w:rsidR="002636F7">
        <w:t xml:space="preserve"> cases into three </w:t>
      </w:r>
      <w:r w:rsidR="009421B7">
        <w:t>segments:</w:t>
      </w:r>
    </w:p>
    <w:p w14:paraId="13F3597D" w14:textId="3A99BBC5" w:rsidR="009421B7" w:rsidRDefault="00275BC5" w:rsidP="00B2335F">
      <w:pPr>
        <w:pStyle w:val="Numberbullet1"/>
        <w:numPr>
          <w:ilvl w:val="1"/>
          <w:numId w:val="16"/>
        </w:numPr>
      </w:pPr>
      <w:r>
        <w:t xml:space="preserve">Youth: </w:t>
      </w:r>
      <w:r w:rsidR="00B83E2C">
        <w:t xml:space="preserve">26% </w:t>
      </w:r>
      <w:r>
        <w:t xml:space="preserve">of cases, </w:t>
      </w:r>
      <w:r w:rsidR="00833BA2">
        <w:t xml:space="preserve">defined as </w:t>
      </w:r>
      <w:r>
        <w:t>participants</w:t>
      </w:r>
      <w:r w:rsidR="009B58BD">
        <w:t xml:space="preserve"> aged </w:t>
      </w:r>
      <w:r w:rsidR="0019414D">
        <w:t>under</w:t>
      </w:r>
      <w:r w:rsidR="009B58BD">
        <w:t xml:space="preserve"> 25 </w:t>
      </w:r>
      <w:r w:rsidR="00361848">
        <w:t>years</w:t>
      </w:r>
      <w:r w:rsidR="007F3BA4">
        <w:t>’</w:t>
      </w:r>
      <w:r w:rsidR="00361848">
        <w:t xml:space="preserve"> old</w:t>
      </w:r>
      <w:r w:rsidR="000216F2">
        <w:t xml:space="preserve"> </w:t>
      </w:r>
    </w:p>
    <w:p w14:paraId="5AE17F8E" w14:textId="499F1719" w:rsidR="009421B7" w:rsidRDefault="003F1D6C" w:rsidP="009421B7">
      <w:pPr>
        <w:pStyle w:val="Numberbullet1"/>
      </w:pPr>
      <w:r>
        <w:t>Adult</w:t>
      </w:r>
      <w:r w:rsidR="00132789">
        <w:t xml:space="preserve"> Any Cohort: </w:t>
      </w:r>
      <w:r w:rsidR="000216F2">
        <w:t xml:space="preserve">43% </w:t>
      </w:r>
      <w:r w:rsidR="00A86765">
        <w:t xml:space="preserve">of cases, </w:t>
      </w:r>
      <w:r w:rsidR="00225691">
        <w:t xml:space="preserve">defined as </w:t>
      </w:r>
      <w:r w:rsidR="00A86765">
        <w:t xml:space="preserve">participants aged </w:t>
      </w:r>
      <w:r w:rsidR="0084657C">
        <w:t>25</w:t>
      </w:r>
      <w:r w:rsidR="00203664">
        <w:t xml:space="preserve"> years</w:t>
      </w:r>
      <w:r w:rsidR="007F3BA4">
        <w:t>’</w:t>
      </w:r>
      <w:r w:rsidR="00203664">
        <w:t xml:space="preserve"> old </w:t>
      </w:r>
      <w:r w:rsidR="00D703C5">
        <w:t xml:space="preserve">and over, and </w:t>
      </w:r>
      <w:r w:rsidR="008A632A">
        <w:t xml:space="preserve">being reported as </w:t>
      </w:r>
      <w:r w:rsidR="00EC1868">
        <w:t xml:space="preserve">one of the </w:t>
      </w:r>
      <w:r w:rsidR="00286C00">
        <w:t xml:space="preserve">target cohorts identified in the </w:t>
      </w:r>
      <w:r w:rsidR="0063754F">
        <w:t>Hill</w:t>
      </w:r>
      <w:r w:rsidR="00A86765">
        <w:t xml:space="preserve"> Review</w:t>
      </w:r>
      <w:r w:rsidR="0063754F">
        <w:rPr>
          <w:rStyle w:val="FootnoteReference"/>
        </w:rPr>
        <w:footnoteReference w:id="14"/>
      </w:r>
      <w:r w:rsidR="000216F2">
        <w:t xml:space="preserve"> </w:t>
      </w:r>
    </w:p>
    <w:p w14:paraId="0FD46290" w14:textId="6AB5821B" w:rsidR="00F1242C" w:rsidRPr="00F1242C" w:rsidRDefault="00A86765" w:rsidP="009421B7">
      <w:pPr>
        <w:pStyle w:val="Numberbullet1"/>
      </w:pPr>
      <w:r>
        <w:t xml:space="preserve">Adult No Cohort: </w:t>
      </w:r>
      <w:r w:rsidR="000216F2">
        <w:t xml:space="preserve">31% </w:t>
      </w:r>
      <w:r w:rsidR="00725E59">
        <w:t>of cases, defined as partic</w:t>
      </w:r>
      <w:r w:rsidR="00E12248">
        <w:t>ipants</w:t>
      </w:r>
      <w:r w:rsidR="005472B4">
        <w:t xml:space="preserve"> not in </w:t>
      </w:r>
      <w:r w:rsidR="00E12248">
        <w:t>the above two segments</w:t>
      </w:r>
      <w:r w:rsidR="005472B4">
        <w:t>.</w:t>
      </w:r>
      <w:r w:rsidR="004E4BAE">
        <w:t xml:space="preserve"> </w:t>
      </w:r>
    </w:p>
    <w:p w14:paraId="66FB6B90" w14:textId="77C6CBBF" w:rsidR="00720DF2" w:rsidRDefault="00E70FE1" w:rsidP="006C598E">
      <w:r>
        <w:t xml:space="preserve">Based on </w:t>
      </w:r>
      <w:r w:rsidR="00A37CBE">
        <w:t>evidence gather</w:t>
      </w:r>
      <w:r w:rsidR="00A804DE">
        <w:t>ed</w:t>
      </w:r>
      <w:r w:rsidR="00A37CBE">
        <w:t xml:space="preserve"> by the Hill Review</w:t>
      </w:r>
      <w:r w:rsidR="0084385D">
        <w:t xml:space="preserve"> indicating </w:t>
      </w:r>
      <w:r w:rsidR="00CF0884">
        <w:t xml:space="preserve">an average </w:t>
      </w:r>
      <w:r w:rsidR="00545B0C">
        <w:t>annual caseload (equivalent to our definition of cases)</w:t>
      </w:r>
      <w:r w:rsidR="00720DF2">
        <w:t xml:space="preserve"> ratio of 90</w:t>
      </w:r>
      <w:r w:rsidR="00720DF2">
        <w:rPr>
          <w:rStyle w:val="FootnoteReference"/>
        </w:rPr>
        <w:footnoteReference w:id="15"/>
      </w:r>
      <w:r w:rsidR="00720DF2">
        <w:t xml:space="preserve">, we estimate </w:t>
      </w:r>
      <w:r w:rsidR="00133191">
        <w:t>a frontline workforce of</w:t>
      </w:r>
      <w:r w:rsidR="00720DF2">
        <w:t xml:space="preserve"> 9,053 full-time equivalent (FTE) case workers</w:t>
      </w:r>
      <w:r w:rsidR="00133191">
        <w:t xml:space="preserve"> across both </w:t>
      </w:r>
      <w:r w:rsidR="00F87ABE">
        <w:t>Workforce Australia Services and Transition to Work</w:t>
      </w:r>
      <w:r w:rsidR="00720DF2">
        <w:t xml:space="preserve">. </w:t>
      </w:r>
      <w:r w:rsidR="00421F4B">
        <w:t>Based on further evidence from</w:t>
      </w:r>
      <w:r w:rsidR="00720DF2">
        <w:t xml:space="preserve"> the </w:t>
      </w:r>
      <w:r w:rsidR="00421F4B">
        <w:t>Hill Review</w:t>
      </w:r>
      <w:r w:rsidR="00720DF2">
        <w:t xml:space="preserve"> that </w:t>
      </w:r>
      <w:r w:rsidR="00720DF2" w:rsidRPr="00704715">
        <w:t>50% of staff time</w:t>
      </w:r>
      <w:r w:rsidR="00720DF2">
        <w:t xml:space="preserve"> is spent on administrative tasks</w:t>
      </w:r>
      <w:r w:rsidR="00421F4B">
        <w:rPr>
          <w:rStyle w:val="FootnoteReference"/>
        </w:rPr>
        <w:footnoteReference w:id="16"/>
      </w:r>
      <w:r w:rsidR="00720DF2">
        <w:t>, this implies an average of 10 hours of direct service time per case per year.</w:t>
      </w:r>
      <w:r w:rsidR="009A66F1">
        <w:t xml:space="preserve"> The </w:t>
      </w:r>
      <w:r w:rsidR="001A0CDA">
        <w:t>frontline</w:t>
      </w:r>
      <w:r w:rsidR="009A66F1">
        <w:t xml:space="preserve"> time </w:t>
      </w:r>
      <w:r w:rsidR="001A0CDA">
        <w:t xml:space="preserve">spent </w:t>
      </w:r>
      <w:r w:rsidR="00091E86">
        <w:t xml:space="preserve">for each case will vary markedly depending upon the </w:t>
      </w:r>
      <w:r w:rsidR="001A0CDA">
        <w:t xml:space="preserve">proportion of the year </w:t>
      </w:r>
      <w:r w:rsidR="003424CB">
        <w:t xml:space="preserve">the participant is </w:t>
      </w:r>
      <w:r w:rsidR="00197BF7">
        <w:t xml:space="preserve">receiving services from the </w:t>
      </w:r>
      <w:r w:rsidR="00882DE4">
        <w:t>provider</w:t>
      </w:r>
      <w:r w:rsidR="00341835">
        <w:t>.</w:t>
      </w:r>
    </w:p>
    <w:p w14:paraId="60B337C4" w14:textId="5DB55705" w:rsidR="00A25503" w:rsidRDefault="00F53089" w:rsidP="4C42947D">
      <w:r>
        <w:lastRenderedPageBreak/>
        <w:t>In Administered</w:t>
      </w:r>
      <w:r w:rsidR="009D6E53">
        <w:t xml:space="preserve"> expenditure a</w:t>
      </w:r>
      <w:r w:rsidR="00A25503">
        <w:t xml:space="preserve">cross financial year 2024-25, </w:t>
      </w:r>
      <w:r w:rsidR="006E07F7">
        <w:t>$1</w:t>
      </w:r>
      <w:r w:rsidR="007C7737">
        <w:t>,</w:t>
      </w:r>
      <w:r w:rsidR="00226C6A">
        <w:t>09</w:t>
      </w:r>
      <w:r w:rsidR="00D63DA1">
        <w:t>2.0</w:t>
      </w:r>
      <w:r w:rsidR="00FD5FE2">
        <w:t>M</w:t>
      </w:r>
      <w:r w:rsidR="0063036B">
        <w:t xml:space="preserve"> was paid to providers</w:t>
      </w:r>
      <w:r w:rsidR="00E714AB">
        <w:t xml:space="preserve"> </w:t>
      </w:r>
      <w:r w:rsidR="001912A1">
        <w:t xml:space="preserve">for both Workforce Australia and Transition to Work and </w:t>
      </w:r>
      <w:r w:rsidR="00E714AB">
        <w:t>$349.4</w:t>
      </w:r>
      <w:r w:rsidR="00FD5FE2">
        <w:t>M</w:t>
      </w:r>
      <w:r w:rsidR="00E714AB">
        <w:t xml:space="preserve"> was committed into the Employment Fund</w:t>
      </w:r>
      <w:r w:rsidR="00BB5776">
        <w:t xml:space="preserve"> and paid as Youth Bonus Wage Subsidies</w:t>
      </w:r>
      <w:r w:rsidR="006C598E">
        <w:t>.</w:t>
      </w:r>
      <w:r w:rsidR="00A25503">
        <w:t xml:space="preserve"> </w:t>
      </w:r>
      <w:r w:rsidR="00786D26">
        <w:t>Approximately</w:t>
      </w:r>
      <w:r w:rsidR="00986502">
        <w:t xml:space="preserve"> $33</w:t>
      </w:r>
      <w:r w:rsidR="00D577A8">
        <w:t>2.9</w:t>
      </w:r>
      <w:r w:rsidR="00FD5FE2">
        <w:t>M</w:t>
      </w:r>
      <w:r w:rsidR="001B4AB6">
        <w:rPr>
          <w:rStyle w:val="FootnoteReference"/>
        </w:rPr>
        <w:footnoteReference w:id="17"/>
      </w:r>
      <w:r w:rsidR="00D577A8">
        <w:t xml:space="preserve"> </w:t>
      </w:r>
      <w:r w:rsidR="005F21F0">
        <w:t>would have also been</w:t>
      </w:r>
      <w:r w:rsidR="009A3227">
        <w:t xml:space="preserve"> paid for a range of other DEWR administered programs </w:t>
      </w:r>
      <w:r w:rsidR="00FE2D7A">
        <w:t>which have not been considered</w:t>
      </w:r>
      <w:r w:rsidR="00E32278">
        <w:t xml:space="preserve"> in the below analysis. </w:t>
      </w:r>
      <w:r w:rsidR="009D6E53">
        <w:t xml:space="preserve">This totals </w:t>
      </w:r>
      <w:r w:rsidR="0010600C">
        <w:t>$1,</w:t>
      </w:r>
      <w:r w:rsidR="00C04003">
        <w:t>774.4</w:t>
      </w:r>
      <w:r w:rsidR="00FD5FE2">
        <w:t>M</w:t>
      </w:r>
      <w:r w:rsidR="0010600C">
        <w:t xml:space="preserve"> in administered </w:t>
      </w:r>
      <w:r w:rsidR="00E147EE">
        <w:t>expenditure for the 2024-25 financial year.</w:t>
      </w:r>
    </w:p>
    <w:p w14:paraId="5309B88B" w14:textId="53DE6661" w:rsidR="00D80FEB" w:rsidRDefault="00D80FEB" w:rsidP="006C598E">
      <w:r>
        <w:t>In Departmental expenses across financial year 2024-25,</w:t>
      </w:r>
      <w:r w:rsidR="00802BF1">
        <w:t xml:space="preserve"> DEWR expended </w:t>
      </w:r>
      <w:r w:rsidR="001623F8">
        <w:t>$</w:t>
      </w:r>
      <w:r w:rsidR="00F737AD">
        <w:t>419</w:t>
      </w:r>
      <w:r w:rsidR="00223564">
        <w:t>.0</w:t>
      </w:r>
      <w:r w:rsidR="00FD5FE2">
        <w:t>M</w:t>
      </w:r>
      <w:r w:rsidR="00223564">
        <w:rPr>
          <w:rStyle w:val="FootnoteReference"/>
        </w:rPr>
        <w:footnoteReference w:id="18"/>
      </w:r>
      <w:r w:rsidR="00F737AD">
        <w:t xml:space="preserve"> against </w:t>
      </w:r>
      <w:r w:rsidR="00834247" w:rsidRPr="00834247">
        <w:t>Outcome 1 - Employment Services</w:t>
      </w:r>
      <w:r w:rsidR="005B261C">
        <w:t xml:space="preserve">. </w:t>
      </w:r>
      <w:r w:rsidR="00784CDB">
        <w:t xml:space="preserve">This cost </w:t>
      </w:r>
      <w:r w:rsidR="009870AB">
        <w:t>relates to</w:t>
      </w:r>
      <w:r w:rsidR="00784CDB">
        <w:t xml:space="preserve"> </w:t>
      </w:r>
      <w:r w:rsidR="0041480C">
        <w:t xml:space="preserve">the administration of </w:t>
      </w:r>
      <w:r w:rsidR="006777BD">
        <w:t xml:space="preserve">a range of programs </w:t>
      </w:r>
      <w:r w:rsidR="004C5247">
        <w:t>including but not restricted to Workforce Australia</w:t>
      </w:r>
      <w:r w:rsidR="00BC6FF9">
        <w:rPr>
          <w:rStyle w:val="FootnoteReference"/>
        </w:rPr>
        <w:footnoteReference w:id="19"/>
      </w:r>
      <w:r w:rsidR="00BC6FF9">
        <w:t xml:space="preserve"> which were not able to be separately identified.</w:t>
      </w:r>
      <w:r w:rsidR="005B261C">
        <w:t xml:space="preserve"> </w:t>
      </w:r>
      <w:r w:rsidR="009904E4">
        <w:t>As these costs</w:t>
      </w:r>
      <w:r w:rsidR="005775DB">
        <w:t xml:space="preserve"> are not adjusted in our analysis, their inclusion </w:t>
      </w:r>
      <w:r w:rsidR="00BE1EE1">
        <w:t xml:space="preserve">does not </w:t>
      </w:r>
      <w:r w:rsidR="00511DAC">
        <w:t>affect the result</w:t>
      </w:r>
      <w:r w:rsidR="002939C6">
        <w:t xml:space="preserve"> but does </w:t>
      </w:r>
      <w:r w:rsidR="00886756">
        <w:t xml:space="preserve">inflate the base cost </w:t>
      </w:r>
      <w:r w:rsidR="001867F0">
        <w:t xml:space="preserve">beyond a pure assessment of the </w:t>
      </w:r>
      <w:r w:rsidR="001469F0">
        <w:t>Workforce Australia</w:t>
      </w:r>
      <w:r w:rsidR="002E3464">
        <w:t xml:space="preserve"> and Transition to Work </w:t>
      </w:r>
      <w:r w:rsidR="00C46693">
        <w:t xml:space="preserve">programs. </w:t>
      </w:r>
      <w:r w:rsidR="003E3D5E">
        <w:t xml:space="preserve">In addition, </w:t>
      </w:r>
      <w:r w:rsidR="008425EC">
        <w:t>k</w:t>
      </w:r>
      <w:r w:rsidR="008425EC" w:rsidRPr="008425EC">
        <w:t xml:space="preserve">ey corporate functions related to operation of the </w:t>
      </w:r>
      <w:r w:rsidR="00DC2E7B">
        <w:t xml:space="preserve">entity that supports the administration of the </w:t>
      </w:r>
      <w:r w:rsidR="00097F1B">
        <w:t>system</w:t>
      </w:r>
      <w:r w:rsidR="00CC5956">
        <w:t xml:space="preserve"> </w:t>
      </w:r>
      <w:r w:rsidR="008425EC" w:rsidRPr="008425EC">
        <w:t>(e.g. property, ICT, human resources, parliamentary support and processes, legal services, audit and risk management, finance, security, corporate reporting, communications, etc.) are not included in these figures.</w:t>
      </w:r>
      <w:r w:rsidR="00337EC3">
        <w:t xml:space="preserve"> To account for this, we have </w:t>
      </w:r>
      <w:r w:rsidR="00796094">
        <w:t xml:space="preserve">grossed up the DEWR Departmental expenses by </w:t>
      </w:r>
      <w:r w:rsidR="0084468C">
        <w:t>an additional $101.1</w:t>
      </w:r>
      <w:r w:rsidR="00FD5FE2">
        <w:t>M</w:t>
      </w:r>
      <w:r w:rsidR="00C01D5C">
        <w:t xml:space="preserve"> (24%</w:t>
      </w:r>
      <w:r w:rsidR="00772C16">
        <w:rPr>
          <w:rStyle w:val="FootnoteReference"/>
        </w:rPr>
        <w:footnoteReference w:id="20"/>
      </w:r>
      <w:r w:rsidR="00C01D5C">
        <w:t>)</w:t>
      </w:r>
      <w:r w:rsidR="00772C16">
        <w:t>.</w:t>
      </w:r>
      <w:r w:rsidR="007A167A">
        <w:t xml:space="preserve"> </w:t>
      </w:r>
    </w:p>
    <w:p w14:paraId="110E261C" w14:textId="160A82D7" w:rsidR="001321C8" w:rsidRDefault="00C7012B" w:rsidP="4C42947D">
      <w:r>
        <w:t xml:space="preserve">In total, we have assessed the cost of the </w:t>
      </w:r>
      <w:r w:rsidR="001E35EF">
        <w:t xml:space="preserve">Employment Services system </w:t>
      </w:r>
      <w:r w:rsidR="00DC53E1">
        <w:t xml:space="preserve">in financial year 2024-25 as </w:t>
      </w:r>
      <w:r w:rsidR="002F77D1">
        <w:t>$2,294</w:t>
      </w:r>
      <w:r w:rsidR="00232C00">
        <w:t>.5</w:t>
      </w:r>
      <w:r w:rsidR="00FD5FE2">
        <w:t>M</w:t>
      </w:r>
      <w:r w:rsidR="00FB3450">
        <w:t xml:space="preserve">. This excludes any costs </w:t>
      </w:r>
      <w:r w:rsidR="0001718F">
        <w:t>borne by Services Australia</w:t>
      </w:r>
      <w:r w:rsidR="00D94065">
        <w:t xml:space="preserve"> for services provided (such as referrals or compliance) or costs from any other agency. </w:t>
      </w:r>
    </w:p>
    <w:p w14:paraId="1CB001A5" w14:textId="63FAE9DF" w:rsidR="0030089A" w:rsidRDefault="007250D9" w:rsidP="005D5705">
      <w:pPr>
        <w:pStyle w:val="Heading5"/>
      </w:pPr>
      <w:r>
        <w:t>Integrate youth from online into services</w:t>
      </w:r>
    </w:p>
    <w:p w14:paraId="5F8735D5" w14:textId="30F2A7EB" w:rsidR="001A53AC" w:rsidRDefault="000F7D41" w:rsidP="00392EFE">
      <w:r>
        <w:t xml:space="preserve">To </w:t>
      </w:r>
      <w:r w:rsidR="00DB4E93">
        <w:t>cost</w:t>
      </w:r>
      <w:r>
        <w:t xml:space="preserve"> </w:t>
      </w:r>
      <w:r w:rsidR="00E93D85">
        <w:t>the impact of Recommendation 11</w:t>
      </w:r>
      <w:r w:rsidR="00E26DA3">
        <w:t xml:space="preserve">, </w:t>
      </w:r>
      <w:r w:rsidR="001A53AC">
        <w:t xml:space="preserve">we have estimated the additional up-front and outcome payments payable to service providers </w:t>
      </w:r>
      <w:r w:rsidR="00EE2605">
        <w:t xml:space="preserve">as if </w:t>
      </w:r>
      <w:r w:rsidR="00AD3542">
        <w:t xml:space="preserve">50% of </w:t>
      </w:r>
      <w:r w:rsidR="00EE2605">
        <w:t xml:space="preserve">the </w:t>
      </w:r>
      <w:r w:rsidR="001D61F9">
        <w:t xml:space="preserve">participants </w:t>
      </w:r>
      <w:r w:rsidR="00D5086A">
        <w:t xml:space="preserve">under 25 years old who </w:t>
      </w:r>
      <w:r w:rsidR="005669E5">
        <w:t>currently</w:t>
      </w:r>
      <w:r w:rsidR="00D5086A">
        <w:t xml:space="preserve"> </w:t>
      </w:r>
      <w:r w:rsidR="00643828">
        <w:t>are direct</w:t>
      </w:r>
      <w:r w:rsidR="005669E5">
        <w:t>ed</w:t>
      </w:r>
      <w:r w:rsidR="00643828">
        <w:t xml:space="preserve"> to use </w:t>
      </w:r>
      <w:proofErr w:type="spellStart"/>
      <w:r w:rsidR="00D5086A">
        <w:t>WfA</w:t>
      </w:r>
      <w:proofErr w:type="spellEnd"/>
      <w:r w:rsidR="00D5086A">
        <w:t xml:space="preserve"> Online</w:t>
      </w:r>
      <w:r w:rsidR="005669E5">
        <w:t xml:space="preserve"> initially instead </w:t>
      </w:r>
      <w:r w:rsidR="00800178">
        <w:t>elect</w:t>
      </w:r>
      <w:r w:rsidR="005669E5">
        <w:t xml:space="preserve"> to </w:t>
      </w:r>
      <w:r w:rsidR="00BE7B4B">
        <w:t xml:space="preserve">uptake the </w:t>
      </w:r>
      <w:r w:rsidR="00B86691">
        <w:t xml:space="preserve">recommended </w:t>
      </w:r>
      <w:r w:rsidR="00BE7B4B">
        <w:t xml:space="preserve">default offer of </w:t>
      </w:r>
      <w:r w:rsidR="005669E5">
        <w:t>provider</w:t>
      </w:r>
      <w:r w:rsidR="00AA143C">
        <w:t xml:space="preserve"> servicing</w:t>
      </w:r>
      <w:r w:rsidR="005669E5">
        <w:t xml:space="preserve">. </w:t>
      </w:r>
    </w:p>
    <w:p w14:paraId="70B9D470" w14:textId="303A4A7C" w:rsidR="00CB7959" w:rsidRDefault="006A0124" w:rsidP="00392EFE">
      <w:r>
        <w:t xml:space="preserve">As </w:t>
      </w:r>
      <w:proofErr w:type="gramStart"/>
      <w:r>
        <w:t>at</w:t>
      </w:r>
      <w:proofErr w:type="gramEnd"/>
      <w:r>
        <w:t xml:space="preserve"> </w:t>
      </w:r>
      <w:r w:rsidR="00660110">
        <w:t xml:space="preserve">30 June 2024, </w:t>
      </w:r>
      <w:r w:rsidR="00930FEF">
        <w:t xml:space="preserve">there were </w:t>
      </w:r>
      <w:r w:rsidR="003E5B22">
        <w:t>40,120</w:t>
      </w:r>
      <w:r w:rsidR="00022E5C">
        <w:t xml:space="preserve"> </w:t>
      </w:r>
      <w:r w:rsidR="00930FEF">
        <w:t xml:space="preserve">youth </w:t>
      </w:r>
      <w:r w:rsidR="00022E5C">
        <w:t>participants</w:t>
      </w:r>
      <w:r w:rsidR="00930FEF">
        <w:t xml:space="preserve"> using </w:t>
      </w:r>
      <w:proofErr w:type="spellStart"/>
      <w:r w:rsidR="00930FEF">
        <w:t>WfA</w:t>
      </w:r>
      <w:proofErr w:type="spellEnd"/>
      <w:r w:rsidR="00930FEF">
        <w:t xml:space="preserve"> Online</w:t>
      </w:r>
      <w:r w:rsidR="00CB7959">
        <w:t>. We estimate a further 59,588 over the subsequent 12 months</w:t>
      </w:r>
      <w:r w:rsidR="002545CC">
        <w:t xml:space="preserve"> would have </w:t>
      </w:r>
      <w:r w:rsidR="000A4F35">
        <w:t xml:space="preserve">been referred to use </w:t>
      </w:r>
      <w:proofErr w:type="spellStart"/>
      <w:r w:rsidR="000A4F35">
        <w:t>WfA</w:t>
      </w:r>
      <w:proofErr w:type="spellEnd"/>
      <w:r w:rsidR="000A4F35">
        <w:t xml:space="preserve"> Online</w:t>
      </w:r>
      <w:r w:rsidR="00FF2693">
        <w:rPr>
          <w:rStyle w:val="FootnoteReference"/>
        </w:rPr>
        <w:footnoteReference w:id="21"/>
      </w:r>
      <w:r w:rsidR="00CB7959">
        <w:t>.</w:t>
      </w:r>
    </w:p>
    <w:p w14:paraId="63CAF631" w14:textId="2ECBBC2C" w:rsidR="00BB69E6" w:rsidRDefault="00AC176F" w:rsidP="00584EAA">
      <w:r>
        <w:t>In considering th</w:t>
      </w:r>
      <w:r w:rsidR="006D43C9">
        <w:t>e</w:t>
      </w:r>
      <w:r>
        <w:t xml:space="preserve"> cost</w:t>
      </w:r>
      <w:r w:rsidR="006D43C9">
        <w:t xml:space="preserve"> associated with </w:t>
      </w:r>
      <w:r w:rsidR="00EE13AD">
        <w:t>these participants</w:t>
      </w:r>
      <w:r w:rsidR="00E918B1">
        <w:t xml:space="preserve"> </w:t>
      </w:r>
      <w:r w:rsidR="006D43C9">
        <w:t>receiving services</w:t>
      </w:r>
      <w:r>
        <w:t xml:space="preserve">, </w:t>
      </w:r>
      <w:r w:rsidR="00DE22A5">
        <w:t>it is only the portion of this group who would have</w:t>
      </w:r>
      <w:r w:rsidR="00B41E06">
        <w:t xml:space="preserve"> successfully</w:t>
      </w:r>
      <w:r w:rsidR="00DE22A5">
        <w:t xml:space="preserve"> </w:t>
      </w:r>
      <w:r w:rsidR="00351A24">
        <w:t xml:space="preserve">self-served </w:t>
      </w:r>
      <w:r w:rsidR="006772B4">
        <w:t xml:space="preserve">in the online system </w:t>
      </w:r>
      <w:r w:rsidR="00351A24">
        <w:t xml:space="preserve">to find employment of their own accord who represent a </w:t>
      </w:r>
      <w:r w:rsidR="000C7F2F">
        <w:t xml:space="preserve">genuine increase in cost. </w:t>
      </w:r>
      <w:r w:rsidR="00555C45">
        <w:t xml:space="preserve">The cost associated with the </w:t>
      </w:r>
      <w:r w:rsidR="000C7F2F">
        <w:t xml:space="preserve">portion </w:t>
      </w:r>
      <w:r w:rsidR="00555C45">
        <w:t xml:space="preserve">of </w:t>
      </w:r>
      <w:r w:rsidR="00EB4250">
        <w:t xml:space="preserve">youth </w:t>
      </w:r>
      <w:r w:rsidR="00555C45">
        <w:t xml:space="preserve">participants </w:t>
      </w:r>
      <w:r w:rsidR="000C7F2F">
        <w:t>who</w:t>
      </w:r>
      <w:r w:rsidR="006772B4">
        <w:t xml:space="preserve"> would have </w:t>
      </w:r>
      <w:r w:rsidR="003C3075">
        <w:t xml:space="preserve">transitioned </w:t>
      </w:r>
      <w:r w:rsidR="004C03CC">
        <w:t xml:space="preserve">from online </w:t>
      </w:r>
      <w:r w:rsidR="003C3075">
        <w:t xml:space="preserve">into the </w:t>
      </w:r>
      <w:r w:rsidR="003D40DA">
        <w:t>services system</w:t>
      </w:r>
      <w:r w:rsidR="00C518C4">
        <w:t xml:space="preserve"> </w:t>
      </w:r>
      <w:r w:rsidR="005442FD">
        <w:t>(</w:t>
      </w:r>
      <w:r w:rsidR="00C518C4">
        <w:t>after being unable to secure employment in their first 12 months</w:t>
      </w:r>
      <w:r w:rsidR="005442FD">
        <w:t xml:space="preserve">) </w:t>
      </w:r>
      <w:r w:rsidR="003806B5">
        <w:t xml:space="preserve">represents a speeding up of payments that would have been made </w:t>
      </w:r>
      <w:r w:rsidR="00591BC0">
        <w:t>anyway</w:t>
      </w:r>
      <w:r w:rsidR="00BC10E3">
        <w:t xml:space="preserve">. </w:t>
      </w:r>
      <w:r w:rsidR="009C4CB9">
        <w:t>T</w:t>
      </w:r>
      <w:r w:rsidR="00CA577C">
        <w:t>he Legislated Review of Workforce Australia</w:t>
      </w:r>
      <w:r w:rsidR="00051648">
        <w:t xml:space="preserve"> in June 2024</w:t>
      </w:r>
      <w:r w:rsidR="00352117">
        <w:t xml:space="preserve"> found that </w:t>
      </w:r>
      <w:r w:rsidR="003C45B8">
        <w:t xml:space="preserve">72% of </w:t>
      </w:r>
      <w:r w:rsidR="00A00E9E">
        <w:t xml:space="preserve">the youth cohort </w:t>
      </w:r>
      <w:r w:rsidR="006D0989">
        <w:t xml:space="preserve">in </w:t>
      </w:r>
      <w:proofErr w:type="spellStart"/>
      <w:r w:rsidR="006D0989">
        <w:t>WfA</w:t>
      </w:r>
      <w:proofErr w:type="spellEnd"/>
      <w:r w:rsidR="006D0989">
        <w:t xml:space="preserve"> Online </w:t>
      </w:r>
      <w:r w:rsidR="00A00E9E">
        <w:t xml:space="preserve">had </w:t>
      </w:r>
      <w:r w:rsidR="00456FBA">
        <w:t>found employment after 11 months</w:t>
      </w:r>
      <w:r w:rsidR="00606169">
        <w:rPr>
          <w:rStyle w:val="FootnoteReference"/>
        </w:rPr>
        <w:footnoteReference w:id="22"/>
      </w:r>
      <w:r w:rsidR="008F19AB">
        <w:t xml:space="preserve">. </w:t>
      </w:r>
      <w:r w:rsidR="00B07EBA">
        <w:t xml:space="preserve">Therefore 28% of the payments </w:t>
      </w:r>
      <w:r w:rsidR="003A532E">
        <w:t>identified above represent a speeding up</w:t>
      </w:r>
      <w:r w:rsidR="00F02649">
        <w:t xml:space="preserve">, while 72% </w:t>
      </w:r>
      <w:r w:rsidR="0042349D">
        <w:t>would be incurred as new cost</w:t>
      </w:r>
      <w:r w:rsidR="00F55530">
        <w:t xml:space="preserve"> </w:t>
      </w:r>
      <w:r w:rsidR="000044C2">
        <w:t xml:space="preserve">arising from these </w:t>
      </w:r>
      <w:r w:rsidR="00E56D58">
        <w:t xml:space="preserve">‘job-ready’ participants </w:t>
      </w:r>
      <w:r w:rsidR="000044C2">
        <w:t xml:space="preserve">who </w:t>
      </w:r>
      <w:r w:rsidR="00E56D58">
        <w:t xml:space="preserve">would have successfully self-served online. </w:t>
      </w:r>
    </w:p>
    <w:p w14:paraId="22E3A330" w14:textId="2C4A1F4A" w:rsidR="006D43C9" w:rsidRDefault="008C606E" w:rsidP="006D43C9">
      <w:r w:rsidRPr="004C111F">
        <w:lastRenderedPageBreak/>
        <w:t>Under</w:t>
      </w:r>
      <w:r w:rsidR="006D43C9" w:rsidRPr="004C111F">
        <w:t xml:space="preserve"> the</w:t>
      </w:r>
      <w:r w:rsidR="00E458DC" w:rsidRPr="004C111F">
        <w:t xml:space="preserve"> </w:t>
      </w:r>
      <w:r w:rsidRPr="004C111F">
        <w:t xml:space="preserve">assumption that 50% of </w:t>
      </w:r>
      <w:r w:rsidR="00D1579A" w:rsidRPr="004C111F">
        <w:t xml:space="preserve">the </w:t>
      </w:r>
      <w:r w:rsidR="00F73E52" w:rsidRPr="004C111F">
        <w:t>‘job-ready’</w:t>
      </w:r>
      <w:r w:rsidR="00D1579A" w:rsidRPr="004C111F">
        <w:t xml:space="preserve"> </w:t>
      </w:r>
      <w:r w:rsidR="00D508F0" w:rsidRPr="004C111F">
        <w:t xml:space="preserve">Youth </w:t>
      </w:r>
      <w:r w:rsidR="006D43C9" w:rsidRPr="004C111F">
        <w:t xml:space="preserve">participants </w:t>
      </w:r>
      <w:r w:rsidR="00D1579A" w:rsidRPr="004C111F">
        <w:t xml:space="preserve">(in 2024-25) </w:t>
      </w:r>
      <w:r w:rsidR="00BD1D07" w:rsidRPr="004C111F">
        <w:t>elect</w:t>
      </w:r>
      <w:r w:rsidR="00D1579A" w:rsidRPr="004C111F">
        <w:t>ed</w:t>
      </w:r>
      <w:r w:rsidR="00BD1D07" w:rsidRPr="004C111F">
        <w:t xml:space="preserve"> to take up the recommended default </w:t>
      </w:r>
      <w:r w:rsidR="00C667C0" w:rsidRPr="004C111F">
        <w:t>offer of provider servicing</w:t>
      </w:r>
      <w:r w:rsidR="00C73412" w:rsidRPr="004C111F">
        <w:t>,</w:t>
      </w:r>
      <w:r w:rsidR="00FD7B04" w:rsidRPr="004C111F">
        <w:t xml:space="preserve"> this would </w:t>
      </w:r>
      <w:r w:rsidR="00D137F0" w:rsidRPr="004C111F">
        <w:t xml:space="preserve">result in </w:t>
      </w:r>
      <w:r w:rsidR="003E325A" w:rsidRPr="004C111F">
        <w:t>an additional 35,</w:t>
      </w:r>
      <w:r w:rsidR="003E325A">
        <w:t>895 cases</w:t>
      </w:r>
      <w:r w:rsidR="00000F13">
        <w:t xml:space="preserve"> receiving provider servicing</w:t>
      </w:r>
      <w:r w:rsidR="00941EC9">
        <w:t xml:space="preserve"> at some point than in the current system</w:t>
      </w:r>
      <w:r w:rsidR="00031369">
        <w:t xml:space="preserve"> (as these</w:t>
      </w:r>
      <w:r w:rsidR="00407763">
        <w:t xml:space="preserve"> participants</w:t>
      </w:r>
      <w:r w:rsidR="00E458DC">
        <w:t xml:space="preserve"> would have otherwise found work in the online system</w:t>
      </w:r>
      <w:r w:rsidR="00407763">
        <w:t xml:space="preserve">). This represents </w:t>
      </w:r>
      <w:r w:rsidR="001F6883">
        <w:t xml:space="preserve">an increase </w:t>
      </w:r>
      <w:r w:rsidR="00DD1E32">
        <w:t xml:space="preserve">of </w:t>
      </w:r>
      <w:r w:rsidR="00407763">
        <w:t>17</w:t>
      </w:r>
      <w:r w:rsidR="00DD1E32">
        <w:t xml:space="preserve">% </w:t>
      </w:r>
      <w:r w:rsidR="001F6883">
        <w:t>in the number of cases serviced by</w:t>
      </w:r>
      <w:r w:rsidR="006D43C9">
        <w:t xml:space="preserve"> </w:t>
      </w:r>
      <w:r w:rsidR="00DD1E32">
        <w:t>providers</w:t>
      </w:r>
      <w:r w:rsidR="006D43C9">
        <w:t xml:space="preserve"> and provider payments related to the youth cohort by </w:t>
      </w:r>
      <w:r w:rsidR="002C4CB9">
        <w:t>$</w:t>
      </w:r>
      <w:r w:rsidR="002B25A6">
        <w:t>71.2</w:t>
      </w:r>
      <w:r w:rsidR="00FD5FE2">
        <w:t>M</w:t>
      </w:r>
      <w:r w:rsidR="002C4CB9">
        <w:t xml:space="preserve"> (</w:t>
      </w:r>
      <w:r w:rsidR="00292D74">
        <w:t>1</w:t>
      </w:r>
      <w:r w:rsidR="001F76D0">
        <w:t>3</w:t>
      </w:r>
      <w:r w:rsidR="006D43C9">
        <w:t>%</w:t>
      </w:r>
      <w:r w:rsidR="002C4CB9">
        <w:t xml:space="preserve"> increase)</w:t>
      </w:r>
      <w:r w:rsidR="006D43C9">
        <w:t xml:space="preserve">. </w:t>
      </w:r>
      <w:r w:rsidR="00F963CB">
        <w:t>This would fund a</w:t>
      </w:r>
      <w:r w:rsidR="006D43C9">
        <w:t xml:space="preserve">n extra </w:t>
      </w:r>
      <w:r w:rsidR="007070B5">
        <w:t>447</w:t>
      </w:r>
      <w:r w:rsidR="006D43C9">
        <w:t xml:space="preserve"> front-line caseworkers to service the expanded caseload. </w:t>
      </w:r>
    </w:p>
    <w:p w14:paraId="3A64D173" w14:textId="3149EF51" w:rsidR="00747E00" w:rsidRDefault="00B530C2" w:rsidP="00584EAA">
      <w:r>
        <w:t xml:space="preserve">In the absence of being able to accurately target the 28% who would not have achieved a self-service outcome, the 50% assumption allows for a wider target group. </w:t>
      </w:r>
      <w:r w:rsidR="00510FA4">
        <w:t xml:space="preserve">If </w:t>
      </w:r>
      <w:r w:rsidR="00F449A6">
        <w:t xml:space="preserve">it were possible to </w:t>
      </w:r>
      <w:r w:rsidR="007D1EA7">
        <w:t xml:space="preserve">identify the sub-group of the youth online cohort who were unlikely to </w:t>
      </w:r>
      <w:r w:rsidR="001B4F7B">
        <w:t>gain employment through the online system,</w:t>
      </w:r>
      <w:r w:rsidR="00510FA4">
        <w:t xml:space="preserve"> </w:t>
      </w:r>
      <w:r w:rsidR="00046446">
        <w:t xml:space="preserve">the </w:t>
      </w:r>
      <w:r w:rsidR="00AF0F76">
        <w:t xml:space="preserve">cost of directing them to </w:t>
      </w:r>
      <w:r w:rsidR="00B11819">
        <w:t xml:space="preserve">service providers </w:t>
      </w:r>
      <w:r w:rsidR="00823741">
        <w:t>would be neutral</w:t>
      </w:r>
      <w:r w:rsidR="00C3512E">
        <w:t xml:space="preserve"> as they would end up </w:t>
      </w:r>
      <w:r w:rsidR="009717C8">
        <w:t xml:space="preserve">utilising provider services regardless of whether they used the online system first </w:t>
      </w:r>
      <w:r w:rsidR="00AA22E0">
        <w:t>or not</w:t>
      </w:r>
      <w:r w:rsidR="001E671A">
        <w:t xml:space="preserve">. </w:t>
      </w:r>
    </w:p>
    <w:p w14:paraId="31D252DA" w14:textId="6215D922" w:rsidR="00E22E8C" w:rsidRDefault="00276DDA" w:rsidP="00584EAA">
      <w:r>
        <w:t xml:space="preserve">We have not considered the second order impact of the benefits to the 28% of participants who </w:t>
      </w:r>
      <w:r w:rsidR="00EB6075">
        <w:t>would now</w:t>
      </w:r>
      <w:r w:rsidR="00510FA4">
        <w:t xml:space="preserve"> be </w:t>
      </w:r>
      <w:r w:rsidR="00EB6075">
        <w:t xml:space="preserve">serviced </w:t>
      </w:r>
      <w:r w:rsidR="00FE1497">
        <w:t>by providers up to 12 months faster</w:t>
      </w:r>
      <w:r w:rsidR="00571BFE">
        <w:t>, leading to</w:t>
      </w:r>
      <w:r w:rsidR="00510FA4">
        <w:t xml:space="preserve"> the </w:t>
      </w:r>
      <w:r w:rsidR="00571BFE">
        <w:t>possibility of an earlier employment outcome</w:t>
      </w:r>
      <w:r w:rsidR="00510FA4">
        <w:t xml:space="preserve"> and </w:t>
      </w:r>
      <w:r w:rsidR="00047D36">
        <w:t>therefore less time receiving income support payment</w:t>
      </w:r>
      <w:r w:rsidR="00EA2833">
        <w:t>.</w:t>
      </w:r>
    </w:p>
    <w:p w14:paraId="6B2A1C6F" w14:textId="1E0461B5" w:rsidR="001012A2" w:rsidRDefault="007250D9" w:rsidP="005D5705">
      <w:pPr>
        <w:pStyle w:val="Heading5"/>
      </w:pPr>
      <w:r>
        <w:t>Change funding structure</w:t>
      </w:r>
    </w:p>
    <w:p w14:paraId="0D955C83" w14:textId="01C10E7B" w:rsidR="00C90AFB" w:rsidRPr="004C111F" w:rsidRDefault="00312577" w:rsidP="00C90AFB">
      <w:r>
        <w:t xml:space="preserve">To cost the impact of Recommendation 70 relating to </w:t>
      </w:r>
      <w:r w:rsidR="005C6552">
        <w:t xml:space="preserve">reducing the </w:t>
      </w:r>
      <w:r w:rsidRPr="00312577">
        <w:t>proportion of payments claimable against outcomes</w:t>
      </w:r>
      <w:r w:rsidR="00C8784C">
        <w:t xml:space="preserve">, </w:t>
      </w:r>
      <w:r w:rsidR="00C90AFB">
        <w:t xml:space="preserve">we </w:t>
      </w:r>
      <w:r w:rsidR="00B45E60">
        <w:t xml:space="preserve">have </w:t>
      </w:r>
      <w:r w:rsidR="007D773C">
        <w:t>retained the</w:t>
      </w:r>
      <w:r w:rsidR="00C90AFB">
        <w:t xml:space="preserve"> total </w:t>
      </w:r>
      <w:r w:rsidR="007D773C">
        <w:t xml:space="preserve">value of </w:t>
      </w:r>
      <w:r w:rsidR="00C90AFB">
        <w:t xml:space="preserve">provider payments and </w:t>
      </w:r>
      <w:r w:rsidR="00386195">
        <w:t xml:space="preserve">adjusted </w:t>
      </w:r>
      <w:r w:rsidR="00C90AFB">
        <w:t xml:space="preserve">only the composition of payments. </w:t>
      </w:r>
      <w:r w:rsidR="002911CF">
        <w:t>Therefore</w:t>
      </w:r>
      <w:r w:rsidR="00555C4B">
        <w:t>,</w:t>
      </w:r>
      <w:r w:rsidR="002911CF">
        <w:t xml:space="preserve"> this adjustment does not </w:t>
      </w:r>
      <w:r w:rsidR="00AE1B73">
        <w:t>influence the</w:t>
      </w:r>
      <w:r w:rsidR="003D212E">
        <w:t xml:space="preserve"> dollar value of </w:t>
      </w:r>
      <w:r w:rsidR="00FB722B" w:rsidRPr="00555C4B">
        <w:t xml:space="preserve">funding for providers, </w:t>
      </w:r>
      <w:r w:rsidR="0038504B" w:rsidRPr="00555C4B">
        <w:t>just the</w:t>
      </w:r>
      <w:r w:rsidR="00C90AFB" w:rsidRPr="00555C4B">
        <w:t xml:space="preserve"> </w:t>
      </w:r>
      <w:r w:rsidR="003D212E">
        <w:t xml:space="preserve">timing and conditions which affects their </w:t>
      </w:r>
      <w:r w:rsidR="00C90AFB" w:rsidRPr="004C111F">
        <w:t>incentives.</w:t>
      </w:r>
      <w:r w:rsidR="00132306" w:rsidRPr="004C111F">
        <w:t xml:space="preserve"> </w:t>
      </w:r>
    </w:p>
    <w:p w14:paraId="1CFCB3E2" w14:textId="50A3024E" w:rsidR="003A7548" w:rsidRDefault="001B6348" w:rsidP="006A0496">
      <w:r w:rsidRPr="004C111F">
        <w:t>The</w:t>
      </w:r>
      <w:r w:rsidR="003A7548" w:rsidRPr="004C111F">
        <w:t xml:space="preserve"> modelling</w:t>
      </w:r>
      <w:r w:rsidRPr="004C111F">
        <w:t xml:space="preserve"> </w:t>
      </w:r>
      <w:r w:rsidR="003A7548" w:rsidRPr="004C111F">
        <w:t>reweight</w:t>
      </w:r>
      <w:r w:rsidRPr="004C111F">
        <w:t>s</w:t>
      </w:r>
      <w:r w:rsidR="003A7548" w:rsidRPr="004C111F">
        <w:t xml:space="preserve"> upfront and outcome payments by cohort and JSCI score to achieve a target outcome payment share of 44%. </w:t>
      </w:r>
      <w:r w:rsidR="006A0496" w:rsidRPr="006A0496">
        <w:t xml:space="preserve">The allocation between upfront and outcome-based payments remains subject to further </w:t>
      </w:r>
      <w:r w:rsidR="007F3BA4" w:rsidRPr="006A0496">
        <w:t>discussion and</w:t>
      </w:r>
      <w:r w:rsidR="006A0496" w:rsidRPr="006A0496">
        <w:t xml:space="preserve"> is a decision for implementation. For illustrative purposes, an assumed proportion of 44% has been allocated to outcome payments for services provided to adult participants, consistent with the Hill Review’s recommendation that outcome payments comprise a lower share of total provider funding.</w:t>
      </w:r>
      <w:r w:rsidR="006A0496">
        <w:t xml:space="preserve"> </w:t>
      </w:r>
    </w:p>
    <w:p w14:paraId="6959E34B" w14:textId="38719787" w:rsidR="00172B31" w:rsidRDefault="00172B31" w:rsidP="00884403">
      <w:r w:rsidRPr="00555C4B">
        <w:t>We have not considered the second order impact of this shift in the potential for higher investment leading to quicker outcomes, or the risk that a reduced incentive to deliver employment outcomes leads to longer periods of unemployment</w:t>
      </w:r>
      <w:r>
        <w:t>.</w:t>
      </w:r>
    </w:p>
    <w:p w14:paraId="592003DF" w14:textId="31B55685" w:rsidR="00E22E8C" w:rsidRDefault="007250D9" w:rsidP="005D5705">
      <w:pPr>
        <w:pStyle w:val="Heading5"/>
      </w:pPr>
      <w:r>
        <w:t>Reduce administrative burden</w:t>
      </w:r>
    </w:p>
    <w:p w14:paraId="0A269881" w14:textId="47B3FC99" w:rsidR="00BE4843" w:rsidRPr="00B50D56" w:rsidRDefault="00F47772" w:rsidP="00392EFE">
      <w:r w:rsidRPr="00B50D56">
        <w:t xml:space="preserve">As detailed in Section </w:t>
      </w:r>
      <w:r w:rsidRPr="00B50D56">
        <w:fldChar w:fldCharType="begin"/>
      </w:r>
      <w:r w:rsidRPr="00B50D56">
        <w:instrText xml:space="preserve"> REF _Ref219191881 \w \h </w:instrText>
      </w:r>
      <w:r w:rsidR="00FE40C1" w:rsidRPr="00B50D56">
        <w:instrText xml:space="preserve"> \* MERGEFORMAT </w:instrText>
      </w:r>
      <w:r w:rsidRPr="00B50D56">
        <w:fldChar w:fldCharType="separate"/>
      </w:r>
      <w:r w:rsidR="001703C6">
        <w:t>4.3</w:t>
      </w:r>
      <w:r w:rsidRPr="00B50D56">
        <w:fldChar w:fldCharType="end"/>
      </w:r>
      <w:r w:rsidRPr="00B50D56">
        <w:t xml:space="preserve"> and Section </w:t>
      </w:r>
      <w:r w:rsidRPr="00B50D56">
        <w:fldChar w:fldCharType="begin"/>
      </w:r>
      <w:r w:rsidRPr="00B50D56">
        <w:instrText xml:space="preserve"> REF _Ref219191907 \w \h </w:instrText>
      </w:r>
      <w:r w:rsidR="00FE40C1" w:rsidRPr="00B50D56">
        <w:instrText xml:space="preserve"> \* MERGEFORMAT </w:instrText>
      </w:r>
      <w:r w:rsidRPr="00B50D56">
        <w:fldChar w:fldCharType="separate"/>
      </w:r>
      <w:r w:rsidR="001703C6">
        <w:t>5.3</w:t>
      </w:r>
      <w:r w:rsidRPr="00B50D56">
        <w:fldChar w:fldCharType="end"/>
      </w:r>
      <w:r w:rsidR="005F266A" w:rsidRPr="00B50D56">
        <w:t>, the Hill Review recommends an improved digital platform and compliance framework which will contribute to alleviating th</w:t>
      </w:r>
      <w:r w:rsidR="00BE4843" w:rsidRPr="00B50D56">
        <w:t xml:space="preserve">e significant proportion of front-line </w:t>
      </w:r>
      <w:r w:rsidR="007A3E17" w:rsidRPr="00B50D56">
        <w:t xml:space="preserve">case worker time being spent completing administrative and compliance duties under </w:t>
      </w:r>
      <w:proofErr w:type="spellStart"/>
      <w:r w:rsidR="007A3E17" w:rsidRPr="00B50D56">
        <w:t>WfA</w:t>
      </w:r>
      <w:proofErr w:type="spellEnd"/>
      <w:r w:rsidR="007B0998" w:rsidRPr="00B50D56">
        <w:t>.</w:t>
      </w:r>
    </w:p>
    <w:p w14:paraId="067D674B" w14:textId="65BF58A3" w:rsidR="00AF17A6" w:rsidRDefault="00DD6F1F" w:rsidP="00AF17A6">
      <w:r>
        <w:t xml:space="preserve">The Hill Review </w:t>
      </w:r>
      <w:r w:rsidR="008D7C6F" w:rsidRPr="00B50D56">
        <w:t>identifies</w:t>
      </w:r>
      <w:r>
        <w:t xml:space="preserve"> </w:t>
      </w:r>
      <w:r w:rsidR="00BF4AAE">
        <w:t>“staff now spend 50 per cent or more of their time on administration rather than working with clients and employers” and also notes that s</w:t>
      </w:r>
      <w:r w:rsidR="00AF17A6">
        <w:t xml:space="preserve">takeholders reported that up to </w:t>
      </w:r>
      <w:r w:rsidR="00893E3F">
        <w:t>“</w:t>
      </w:r>
      <w:r w:rsidR="00AF17A6">
        <w:t xml:space="preserve">60% of staff time is </w:t>
      </w:r>
      <w:r w:rsidR="00091648">
        <w:t>spent on administration</w:t>
      </w:r>
      <w:r w:rsidR="002E7F27">
        <w:t>,</w:t>
      </w:r>
      <w:r w:rsidR="00091648">
        <w:t xml:space="preserve"> </w:t>
      </w:r>
      <w:r w:rsidR="007A5418">
        <w:t>and that</w:t>
      </w:r>
      <w:r w:rsidR="00AF17A6">
        <w:t xml:space="preserve"> many providers </w:t>
      </w:r>
      <w:r w:rsidR="00F67EFF">
        <w:t xml:space="preserve">are </w:t>
      </w:r>
      <w:r w:rsidR="00AF17A6">
        <w:t xml:space="preserve">recruiting additional staff to focus largely </w:t>
      </w:r>
      <w:r w:rsidR="00F67EFF">
        <w:t xml:space="preserve">if not entirely </w:t>
      </w:r>
      <w:r w:rsidR="00AF17A6">
        <w:t xml:space="preserve">on administrative and compliance matters rather than </w:t>
      </w:r>
      <w:r w:rsidR="00F67EFF">
        <w:t>using resources to improve the quality of services they deliver</w:t>
      </w:r>
      <w:r w:rsidR="00AF17A6">
        <w:t xml:space="preserve"> to clients</w:t>
      </w:r>
      <w:r w:rsidR="00F67EFF">
        <w:t>”</w:t>
      </w:r>
      <w:r w:rsidR="00AF17A6">
        <w:rPr>
          <w:rStyle w:val="FootnoteReference"/>
        </w:rPr>
        <w:footnoteReference w:id="23"/>
      </w:r>
      <w:r w:rsidR="00AF17A6">
        <w:t xml:space="preserve"> </w:t>
      </w:r>
    </w:p>
    <w:p w14:paraId="7BE97544" w14:textId="1AB7F251" w:rsidR="00A0648E" w:rsidRDefault="00E65B5A" w:rsidP="00392EFE">
      <w:r w:rsidRPr="00B50D56">
        <w:t xml:space="preserve">The Hill Review does not indicate the </w:t>
      </w:r>
      <w:r w:rsidR="003A5558" w:rsidRPr="00B50D56">
        <w:t xml:space="preserve">extent of reduction targeted by these proposed changes, however notes that </w:t>
      </w:r>
      <w:r w:rsidR="00EF1E22">
        <w:t>stakeholder</w:t>
      </w:r>
      <w:r w:rsidR="002533A4">
        <w:t>s</w:t>
      </w:r>
      <w:r w:rsidR="00EF1E22">
        <w:t xml:space="preserve"> </w:t>
      </w:r>
      <w:r w:rsidR="00117C61">
        <w:t xml:space="preserve">have indicated that </w:t>
      </w:r>
      <w:r w:rsidR="00730003">
        <w:t xml:space="preserve">the time spent on administration under </w:t>
      </w:r>
      <w:proofErr w:type="spellStart"/>
      <w:r w:rsidR="00730003">
        <w:t>WfA</w:t>
      </w:r>
      <w:proofErr w:type="spellEnd"/>
      <w:r w:rsidR="00730003">
        <w:t xml:space="preserve"> is “materially worse than the situation that existed in previous systems”. </w:t>
      </w:r>
      <w:r w:rsidR="00A0648E">
        <w:t xml:space="preserve">In lieu of a target reduction, we have </w:t>
      </w:r>
      <w:r w:rsidR="009F5CBE">
        <w:t xml:space="preserve">modelled the impact of a 20% reduction </w:t>
      </w:r>
      <w:r w:rsidR="00935754">
        <w:t>in time spent conducting administration</w:t>
      </w:r>
      <w:r w:rsidR="00354055">
        <w:t xml:space="preserve"> tasks arising from a smoother digital experience (following the investments </w:t>
      </w:r>
      <w:r w:rsidR="00C368E0">
        <w:t>covered</w:t>
      </w:r>
      <w:r w:rsidR="00354055">
        <w:t xml:space="preserve"> in Section</w:t>
      </w:r>
      <w:r w:rsidR="00354055" w:rsidRPr="00B50D56">
        <w:t xml:space="preserve"> </w:t>
      </w:r>
      <w:r w:rsidR="00354055" w:rsidRPr="00B50D56">
        <w:fldChar w:fldCharType="begin"/>
      </w:r>
      <w:r w:rsidR="00354055" w:rsidRPr="00B50D56">
        <w:instrText xml:space="preserve"> REF _Ref219191881 \w \h  \* MERGEFORMAT </w:instrText>
      </w:r>
      <w:r w:rsidR="00354055" w:rsidRPr="00B50D56">
        <w:fldChar w:fldCharType="separate"/>
      </w:r>
      <w:r w:rsidR="001703C6">
        <w:t>4.3</w:t>
      </w:r>
      <w:r w:rsidR="00354055" w:rsidRPr="00B50D56">
        <w:fldChar w:fldCharType="end"/>
      </w:r>
      <w:r w:rsidR="00354055">
        <w:t>)</w:t>
      </w:r>
      <w:r w:rsidR="00590FBF">
        <w:t xml:space="preserve"> and changes to the compliance requirements </w:t>
      </w:r>
      <w:r w:rsidR="0032284A">
        <w:t xml:space="preserve">(following the changes covered in </w:t>
      </w:r>
      <w:r w:rsidR="0032284A" w:rsidRPr="00B50D56">
        <w:t xml:space="preserve">Section </w:t>
      </w:r>
      <w:r w:rsidR="0032284A" w:rsidRPr="00B50D56">
        <w:fldChar w:fldCharType="begin"/>
      </w:r>
      <w:r w:rsidR="0032284A" w:rsidRPr="00B50D56">
        <w:instrText xml:space="preserve"> REF _Ref219191907 \w \h  \* MERGEFORMAT </w:instrText>
      </w:r>
      <w:r w:rsidR="0032284A" w:rsidRPr="00B50D56">
        <w:fldChar w:fldCharType="separate"/>
      </w:r>
      <w:r w:rsidR="001703C6">
        <w:t>5.3</w:t>
      </w:r>
      <w:r w:rsidR="0032284A" w:rsidRPr="00B50D56">
        <w:fldChar w:fldCharType="end"/>
      </w:r>
      <w:r w:rsidR="0032284A" w:rsidRPr="00B50D56">
        <w:t>)</w:t>
      </w:r>
      <w:r w:rsidR="00A22065" w:rsidRPr="00B50D56">
        <w:t>.</w:t>
      </w:r>
      <w:r w:rsidR="00A22065">
        <w:t xml:space="preserve"> This reduction </w:t>
      </w:r>
      <w:r w:rsidR="00007F9D">
        <w:t xml:space="preserve">aligns the time spent on </w:t>
      </w:r>
      <w:r w:rsidR="00007F9D">
        <w:lastRenderedPageBreak/>
        <w:t xml:space="preserve">administrative tasks with the example provided by the Hill Review of </w:t>
      </w:r>
      <w:r w:rsidR="005C7F0C">
        <w:t>Sweden’s system (where administration tasks account for 20% to 30% of staff time).</w:t>
      </w:r>
    </w:p>
    <w:p w14:paraId="24B7677F" w14:textId="57DA24DA" w:rsidR="00D00DED" w:rsidRDefault="00D00DED" w:rsidP="00392EFE">
      <w:r>
        <w:t xml:space="preserve">In modelling this 20% reduction in </w:t>
      </w:r>
      <w:r w:rsidR="00274019">
        <w:t xml:space="preserve">time spent doing </w:t>
      </w:r>
      <w:r>
        <w:t xml:space="preserve">administrative </w:t>
      </w:r>
      <w:r w:rsidR="00274019">
        <w:t xml:space="preserve">work, </w:t>
      </w:r>
      <w:r w:rsidR="009E501F">
        <w:t xml:space="preserve">we have </w:t>
      </w:r>
      <w:r w:rsidR="007D2F28">
        <w:t xml:space="preserve">allowed </w:t>
      </w:r>
      <w:r w:rsidR="002241DB">
        <w:t xml:space="preserve">the </w:t>
      </w:r>
      <w:r w:rsidR="00B0336A">
        <w:t xml:space="preserve">resulting savings to flow into </w:t>
      </w:r>
      <w:r w:rsidR="00736E3F">
        <w:t xml:space="preserve">an increase in time spent </w:t>
      </w:r>
      <w:r w:rsidR="001F6205">
        <w:t>per case by frontline staff</w:t>
      </w:r>
      <w:r w:rsidR="00C733FC">
        <w:t xml:space="preserve"> from </w:t>
      </w:r>
      <w:r w:rsidR="00803322">
        <w:t xml:space="preserve">10 to 15 hours per case per year. </w:t>
      </w:r>
      <w:r w:rsidR="00D05DDF">
        <w:t>We have not accounted for any</w:t>
      </w:r>
      <w:r w:rsidR="001E42AA">
        <w:t xml:space="preserve"> second order impacts on the achievement of employment outcomes </w:t>
      </w:r>
      <w:r w:rsidR="00EE3CDE">
        <w:t xml:space="preserve">arising from this greater time </w:t>
      </w:r>
      <w:r w:rsidR="00590B7F">
        <w:t xml:space="preserve">with </w:t>
      </w:r>
      <w:proofErr w:type="gramStart"/>
      <w:r w:rsidR="00590B7F">
        <w:t>participants, but</w:t>
      </w:r>
      <w:proofErr w:type="gramEnd"/>
      <w:r w:rsidR="00590B7F">
        <w:t xml:space="preserve"> note that the</w:t>
      </w:r>
      <w:r w:rsidR="007E017F">
        <w:t>re would be</w:t>
      </w:r>
      <w:r w:rsidR="00590B7F">
        <w:t xml:space="preserve"> savings </w:t>
      </w:r>
      <w:r w:rsidR="001E6FAA">
        <w:t xml:space="preserve">on income support payments </w:t>
      </w:r>
      <w:r w:rsidR="00100D5D">
        <w:t>arising from this higher quality service.</w:t>
      </w:r>
    </w:p>
    <w:p w14:paraId="22B9DBA3" w14:textId="4F10374B" w:rsidR="00D417FF" w:rsidRDefault="00BF79D8" w:rsidP="00392EFE">
      <w:r>
        <w:t xml:space="preserve">We </w:t>
      </w:r>
      <w:r w:rsidR="00EC506C">
        <w:t xml:space="preserve">have not allowed for any change in the </w:t>
      </w:r>
      <w:r w:rsidR="007B7641">
        <w:t>volume</w:t>
      </w:r>
      <w:r w:rsidR="003028EF">
        <w:t xml:space="preserve"> </w:t>
      </w:r>
      <w:r w:rsidR="00020057">
        <w:t xml:space="preserve">of </w:t>
      </w:r>
      <w:r w:rsidR="007B7641">
        <w:t xml:space="preserve">staffing </w:t>
      </w:r>
      <w:r w:rsidR="00725228">
        <w:t xml:space="preserve">or change in </w:t>
      </w:r>
      <w:r>
        <w:t>caseload</w:t>
      </w:r>
      <w:r w:rsidR="00CC2BF1">
        <w:t>, and a</w:t>
      </w:r>
      <w:r w:rsidR="00EA51AE">
        <w:t>s a result the</w:t>
      </w:r>
      <w:r w:rsidR="00CC2BF1">
        <w:t>re is</w:t>
      </w:r>
      <w:r w:rsidR="00EA51AE">
        <w:t xml:space="preserve"> no direct cost impact on </w:t>
      </w:r>
      <w:r w:rsidR="000F7365">
        <w:t>the system</w:t>
      </w:r>
      <w:r w:rsidR="00EA51AE">
        <w:t>.</w:t>
      </w:r>
    </w:p>
    <w:p w14:paraId="3631B2EE" w14:textId="20374292" w:rsidR="000533B9" w:rsidRDefault="007250D9" w:rsidP="005D5705">
      <w:pPr>
        <w:pStyle w:val="Heading5"/>
      </w:pPr>
      <w:r>
        <w:t>Target case ratio</w:t>
      </w:r>
    </w:p>
    <w:p w14:paraId="49730EDF" w14:textId="62CD82BF" w:rsidR="00391B99" w:rsidRDefault="00070454" w:rsidP="00392EFE">
      <w:r>
        <w:t>To cost the impact of Recommendation 14 relating to</w:t>
      </w:r>
      <w:r w:rsidR="003D1130" w:rsidRPr="003D1130">
        <w:t xml:space="preserve"> ensur</w:t>
      </w:r>
      <w:r w:rsidR="003D1130">
        <w:t>ing</w:t>
      </w:r>
      <w:r w:rsidR="003D1130" w:rsidRPr="003D1130">
        <w:t xml:space="preserve"> the ratio of clients to staff is sufficiently low that staff </w:t>
      </w:r>
      <w:r w:rsidR="001A10BC" w:rsidRPr="003D1130">
        <w:t>can</w:t>
      </w:r>
      <w:r w:rsidR="003D1130" w:rsidRPr="003D1130">
        <w:t xml:space="preserve"> deliver effective, person-centred services to clients</w:t>
      </w:r>
      <w:r>
        <w:t xml:space="preserve">, we have </w:t>
      </w:r>
      <w:r w:rsidR="0030784E">
        <w:t xml:space="preserve">modelled the impact of </w:t>
      </w:r>
      <w:r w:rsidR="00921DB3">
        <w:t xml:space="preserve">reducing case ratios </w:t>
      </w:r>
      <w:r w:rsidR="00283D28">
        <w:t>to:</w:t>
      </w:r>
    </w:p>
    <w:p w14:paraId="3137D165" w14:textId="104D2459" w:rsidR="00507509" w:rsidRPr="00507509" w:rsidRDefault="008A4145" w:rsidP="00507509">
      <w:pPr>
        <w:pStyle w:val="Bullet1"/>
      </w:pPr>
      <w:r>
        <w:rPr>
          <w:lang w:val="en-US"/>
        </w:rPr>
        <w:t>5</w:t>
      </w:r>
      <w:r w:rsidR="00507509" w:rsidRPr="00507509">
        <w:rPr>
          <w:lang w:val="en-US"/>
        </w:rPr>
        <w:t xml:space="preserve">0:1 for </w:t>
      </w:r>
      <w:r w:rsidR="00500FDC">
        <w:rPr>
          <w:lang w:val="en-US"/>
        </w:rPr>
        <w:t xml:space="preserve">all </w:t>
      </w:r>
      <w:r w:rsidR="00507509" w:rsidRPr="00507509">
        <w:rPr>
          <w:lang w:val="en-US"/>
        </w:rPr>
        <w:t>youth clients</w:t>
      </w:r>
      <w:r w:rsidR="00500FDC">
        <w:rPr>
          <w:lang w:val="en-US"/>
        </w:rPr>
        <w:t>,</w:t>
      </w:r>
      <w:r w:rsidR="00507509" w:rsidRPr="00507509">
        <w:rPr>
          <w:lang w:val="en-US"/>
        </w:rPr>
        <w:t xml:space="preserve"> across all JSCI and durations</w:t>
      </w:r>
      <w:r w:rsidR="005F3A20">
        <w:rPr>
          <w:lang w:val="en-US"/>
        </w:rPr>
        <w:t xml:space="preserve"> – aligned with the </w:t>
      </w:r>
      <w:r w:rsidR="00CC6245">
        <w:rPr>
          <w:lang w:val="en-US"/>
        </w:rPr>
        <w:t>Hill Review</w:t>
      </w:r>
      <w:r w:rsidR="003353E0">
        <w:rPr>
          <w:lang w:val="en-US"/>
        </w:rPr>
        <w:t>’</w:t>
      </w:r>
      <w:r w:rsidR="00CC6245">
        <w:rPr>
          <w:lang w:val="en-US"/>
        </w:rPr>
        <w:t xml:space="preserve">s reference to </w:t>
      </w:r>
      <w:r w:rsidR="003353E0">
        <w:rPr>
          <w:lang w:val="en-US"/>
        </w:rPr>
        <w:t xml:space="preserve">stakeholder feedback that </w:t>
      </w:r>
      <w:r w:rsidR="009619AE">
        <w:rPr>
          <w:lang w:val="en-US"/>
        </w:rPr>
        <w:t>specialist and intensive servi</w:t>
      </w:r>
      <w:r w:rsidR="0078270B">
        <w:rPr>
          <w:lang w:val="en-US"/>
        </w:rPr>
        <w:t xml:space="preserve">cing should be </w:t>
      </w:r>
      <w:r w:rsidR="00FA107C">
        <w:rPr>
          <w:lang w:val="en-US"/>
        </w:rPr>
        <w:t xml:space="preserve">done at a </w:t>
      </w:r>
      <w:r w:rsidR="00F11F8D">
        <w:rPr>
          <w:lang w:val="en-US"/>
        </w:rPr>
        <w:t xml:space="preserve">lower </w:t>
      </w:r>
      <w:r w:rsidR="00FA107C">
        <w:rPr>
          <w:lang w:val="en-US"/>
        </w:rPr>
        <w:t xml:space="preserve">ratio </w:t>
      </w:r>
      <w:r w:rsidR="00F11F8D">
        <w:rPr>
          <w:lang w:val="en-US"/>
        </w:rPr>
        <w:t>and</w:t>
      </w:r>
      <w:r w:rsidR="00FA107C">
        <w:rPr>
          <w:lang w:val="en-US"/>
        </w:rPr>
        <w:t xml:space="preserve"> </w:t>
      </w:r>
      <w:r w:rsidR="00B83D5A">
        <w:rPr>
          <w:lang w:val="en-US"/>
        </w:rPr>
        <w:t>Parent Pathways targeting</w:t>
      </w:r>
      <w:r w:rsidR="00FA107C">
        <w:rPr>
          <w:lang w:val="en-US"/>
        </w:rPr>
        <w:t xml:space="preserve"> </w:t>
      </w:r>
      <w:r w:rsidR="00772DEA">
        <w:rPr>
          <w:lang w:val="en-US"/>
        </w:rPr>
        <w:t xml:space="preserve">a ratio of </w:t>
      </w:r>
      <w:r w:rsidR="00E75FDB">
        <w:rPr>
          <w:lang w:val="en-US"/>
        </w:rPr>
        <w:t>5</w:t>
      </w:r>
      <w:r w:rsidR="00FA107C">
        <w:rPr>
          <w:lang w:val="en-US"/>
        </w:rPr>
        <w:t>0:1</w:t>
      </w:r>
    </w:p>
    <w:p w14:paraId="4568E3D6" w14:textId="4FDADE7F" w:rsidR="00507509" w:rsidRPr="00507509" w:rsidRDefault="00400494" w:rsidP="00507509">
      <w:pPr>
        <w:pStyle w:val="Bullet1"/>
      </w:pPr>
      <w:r>
        <w:rPr>
          <w:lang w:val="en-US"/>
        </w:rPr>
        <w:t>5</w:t>
      </w:r>
      <w:r w:rsidR="00507509" w:rsidRPr="00507509">
        <w:rPr>
          <w:lang w:val="en-US"/>
        </w:rPr>
        <w:t>0:1 for adults</w:t>
      </w:r>
      <w:r w:rsidR="00500FDC">
        <w:rPr>
          <w:lang w:val="en-US"/>
        </w:rPr>
        <w:t xml:space="preserve"> needing </w:t>
      </w:r>
      <w:r w:rsidR="00507509" w:rsidRPr="00507509">
        <w:rPr>
          <w:lang w:val="en-US"/>
        </w:rPr>
        <w:t xml:space="preserve">high-intensity </w:t>
      </w:r>
      <w:r w:rsidR="00500FDC">
        <w:rPr>
          <w:lang w:val="en-US"/>
        </w:rPr>
        <w:t xml:space="preserve">support </w:t>
      </w:r>
      <w:r w:rsidR="00507509" w:rsidRPr="00507509">
        <w:rPr>
          <w:lang w:val="en-US"/>
        </w:rPr>
        <w:t>based on JSCI and duration</w:t>
      </w:r>
      <w:r w:rsidR="00FA107C">
        <w:rPr>
          <w:lang w:val="en-US"/>
        </w:rPr>
        <w:t xml:space="preserve"> – as above</w:t>
      </w:r>
    </w:p>
    <w:p w14:paraId="63F961E8" w14:textId="511EB7AF" w:rsidR="00507509" w:rsidRDefault="00507509" w:rsidP="00507509">
      <w:pPr>
        <w:pStyle w:val="Bullet1"/>
        <w:rPr>
          <w:lang w:val="en-US"/>
        </w:rPr>
      </w:pPr>
      <w:r w:rsidRPr="00507509">
        <w:rPr>
          <w:lang w:val="en-US"/>
        </w:rPr>
        <w:t>80:1 for adult</w:t>
      </w:r>
      <w:r w:rsidR="00500FDC">
        <w:rPr>
          <w:lang w:val="en-US"/>
        </w:rPr>
        <w:t xml:space="preserve"> clients needing </w:t>
      </w:r>
      <w:r w:rsidRPr="00507509">
        <w:rPr>
          <w:lang w:val="en-US"/>
        </w:rPr>
        <w:t xml:space="preserve">medium-intensity </w:t>
      </w:r>
      <w:r w:rsidR="00500FDC">
        <w:rPr>
          <w:lang w:val="en-US"/>
        </w:rPr>
        <w:t>support</w:t>
      </w:r>
      <w:r w:rsidR="00BB688A">
        <w:rPr>
          <w:lang w:val="en-US"/>
        </w:rPr>
        <w:t xml:space="preserve"> – aligned with the Hill Review’s reference to </w:t>
      </w:r>
      <w:r w:rsidR="001F0991">
        <w:rPr>
          <w:lang w:val="en-US"/>
        </w:rPr>
        <w:t>DEWR’s</w:t>
      </w:r>
      <w:r w:rsidR="000A4A69">
        <w:rPr>
          <w:lang w:val="en-US"/>
        </w:rPr>
        <w:t xml:space="preserve"> submission to the review </w:t>
      </w:r>
      <w:r w:rsidR="007168F9">
        <w:rPr>
          <w:lang w:val="en-US"/>
        </w:rPr>
        <w:t xml:space="preserve">indicating that </w:t>
      </w:r>
      <w:r w:rsidR="00602DE4">
        <w:rPr>
          <w:lang w:val="en-US"/>
        </w:rPr>
        <w:t>“</w:t>
      </w:r>
      <w:r w:rsidR="007168F9">
        <w:rPr>
          <w:lang w:val="en-US"/>
        </w:rPr>
        <w:t xml:space="preserve">the majority of </w:t>
      </w:r>
      <w:r w:rsidR="00602DE4">
        <w:rPr>
          <w:lang w:val="en-US"/>
        </w:rPr>
        <w:t>providers committed to ratios of 80:1 or below in their tender responses”</w:t>
      </w:r>
      <w:r w:rsidR="00602DE4">
        <w:rPr>
          <w:rStyle w:val="FootnoteReference"/>
          <w:lang w:val="en-US"/>
        </w:rPr>
        <w:footnoteReference w:id="24"/>
      </w:r>
      <w:r w:rsidR="00602DE4">
        <w:rPr>
          <w:lang w:val="en-US"/>
        </w:rPr>
        <w:t>.</w:t>
      </w:r>
    </w:p>
    <w:p w14:paraId="14062F4A" w14:textId="3424B48C" w:rsidR="00BC03D2" w:rsidRDefault="0041599A" w:rsidP="00392EFE">
      <w:r>
        <w:rPr>
          <w:lang w:val="en-US"/>
        </w:rPr>
        <w:t xml:space="preserve">To deliver this level </w:t>
      </w:r>
      <w:r w:rsidR="001A10BC">
        <w:rPr>
          <w:lang w:val="en-US"/>
        </w:rPr>
        <w:t>of service</w:t>
      </w:r>
      <w:r w:rsidR="00CF05B2">
        <w:rPr>
          <w:lang w:val="en-US"/>
        </w:rPr>
        <w:t xml:space="preserve">, an </w:t>
      </w:r>
      <w:r w:rsidR="00E032F8">
        <w:rPr>
          <w:lang w:val="en-US"/>
        </w:rPr>
        <w:t xml:space="preserve">additional </w:t>
      </w:r>
      <w:r w:rsidR="00426AED">
        <w:t>5,318</w:t>
      </w:r>
      <w:r w:rsidR="00E032F8">
        <w:t xml:space="preserve"> </w:t>
      </w:r>
      <w:r w:rsidR="002E1E85">
        <w:t xml:space="preserve">FTE frontline staff would be </w:t>
      </w:r>
      <w:proofErr w:type="gramStart"/>
      <w:r w:rsidR="002E1E85">
        <w:t>required</w:t>
      </w:r>
      <w:proofErr w:type="gramEnd"/>
      <w:r w:rsidR="007E3E39">
        <w:t xml:space="preserve"> leading to total frontline</w:t>
      </w:r>
      <w:r w:rsidR="005418FF">
        <w:t xml:space="preserve"> employee costs </w:t>
      </w:r>
      <w:r w:rsidR="00AC581D">
        <w:t>increasing</w:t>
      </w:r>
      <w:r w:rsidR="005418FF">
        <w:t xml:space="preserve"> to $</w:t>
      </w:r>
      <w:r w:rsidR="003945A9">
        <w:t>0.</w:t>
      </w:r>
      <w:r w:rsidR="00E81ECD">
        <w:t>91B</w:t>
      </w:r>
      <w:r w:rsidR="002E1E85">
        <w:t xml:space="preserve">. </w:t>
      </w:r>
      <w:r w:rsidR="00F37F02">
        <w:t>If provider payments were left unchanged, this additional resourcing would</w:t>
      </w:r>
      <w:r w:rsidR="00E567DA">
        <w:t xml:space="preserve"> lead</w:t>
      </w:r>
      <w:r w:rsidR="005418FF">
        <w:t xml:space="preserve"> to </w:t>
      </w:r>
      <w:r w:rsidR="00E567DA">
        <w:t xml:space="preserve">employee costs accounting for </w:t>
      </w:r>
      <w:r w:rsidR="00E81ECD">
        <w:t>81</w:t>
      </w:r>
      <w:r w:rsidR="005418FF">
        <w:t xml:space="preserve">% </w:t>
      </w:r>
      <w:r w:rsidR="001E1C8B">
        <w:t xml:space="preserve">of current provider payments. </w:t>
      </w:r>
      <w:r w:rsidR="00DD3BD9">
        <w:t>As it is likely that government would need to fund such an increase in servicing, w</w:t>
      </w:r>
      <w:r w:rsidR="001E1C8B">
        <w:t xml:space="preserve">e </w:t>
      </w:r>
      <w:r w:rsidR="00DD3BD9">
        <w:t xml:space="preserve">have </w:t>
      </w:r>
      <w:r w:rsidR="001E1C8B">
        <w:t>assume</w:t>
      </w:r>
      <w:r w:rsidR="001A5237">
        <w:t>d</w:t>
      </w:r>
      <w:r w:rsidR="006E24D6">
        <w:t xml:space="preserve"> that payments to providers will increase</w:t>
      </w:r>
      <w:r w:rsidR="00BC03D2">
        <w:t xml:space="preserve"> to fund the </w:t>
      </w:r>
      <w:proofErr w:type="gramStart"/>
      <w:r w:rsidR="00BC03D2">
        <w:t>lower case</w:t>
      </w:r>
      <w:proofErr w:type="gramEnd"/>
      <w:r w:rsidR="00BC03D2">
        <w:t xml:space="preserve"> ratios. </w:t>
      </w:r>
    </w:p>
    <w:p w14:paraId="222F2573" w14:textId="189C3F62" w:rsidR="002E1E85" w:rsidRDefault="00245AC2" w:rsidP="00392EFE">
      <w:r>
        <w:t xml:space="preserve">Currently, we estimate that frontline employee costs account for approximately </w:t>
      </w:r>
      <w:r w:rsidR="00406463">
        <w:t xml:space="preserve">51% of the payments </w:t>
      </w:r>
      <w:r w:rsidR="00F8048B">
        <w:t xml:space="preserve">received by </w:t>
      </w:r>
      <w:r w:rsidR="001E1C8B">
        <w:t>providers</w:t>
      </w:r>
      <w:r w:rsidR="008B1080">
        <w:rPr>
          <w:rStyle w:val="FootnoteReference"/>
        </w:rPr>
        <w:footnoteReference w:id="25"/>
      </w:r>
      <w:r w:rsidR="008B1080">
        <w:t>.</w:t>
      </w:r>
      <w:r w:rsidR="00E1226E">
        <w:t xml:space="preserve"> We have modelled an increase to provide</w:t>
      </w:r>
      <w:r w:rsidR="005D599F">
        <w:t>r</w:t>
      </w:r>
      <w:r w:rsidR="00E1226E">
        <w:t xml:space="preserve"> payments</w:t>
      </w:r>
      <w:r w:rsidR="00B23A74">
        <w:t xml:space="preserve"> of $</w:t>
      </w:r>
      <w:r w:rsidR="006C1BD9">
        <w:t>321.8M</w:t>
      </w:r>
      <w:r w:rsidR="00104CCC">
        <w:t xml:space="preserve"> which is </w:t>
      </w:r>
      <w:r w:rsidR="00E1226E">
        <w:t xml:space="preserve">sufficient to fund the </w:t>
      </w:r>
      <w:r w:rsidR="005269CB">
        <w:t xml:space="preserve">increase in </w:t>
      </w:r>
      <w:r w:rsidR="00DD3BD9">
        <w:t xml:space="preserve">frontline </w:t>
      </w:r>
      <w:r w:rsidR="005269CB">
        <w:t xml:space="preserve">staff costs only (i.e. no additional contribution to other overheads or profit). This results in the </w:t>
      </w:r>
      <w:r w:rsidR="00945E7F">
        <w:t xml:space="preserve">ratio of </w:t>
      </w:r>
      <w:r w:rsidR="00DA27B6">
        <w:t>frontline employee costs to the payments received by providers increasing to 6</w:t>
      </w:r>
      <w:r w:rsidR="00EA3597">
        <w:t>3</w:t>
      </w:r>
      <w:r w:rsidR="00DA27B6">
        <w:t>%</w:t>
      </w:r>
      <w:r w:rsidR="00063F65">
        <w:t xml:space="preserve"> - maintaining</w:t>
      </w:r>
      <w:r w:rsidR="001E1C8B">
        <w:t xml:space="preserve"> a constant </w:t>
      </w:r>
      <w:r w:rsidR="00631996">
        <w:t xml:space="preserve">dollar value </w:t>
      </w:r>
      <w:r w:rsidR="008D27F5">
        <w:t xml:space="preserve">of </w:t>
      </w:r>
      <w:r w:rsidR="001E1C8B">
        <w:t>operating margin</w:t>
      </w:r>
      <w:r w:rsidR="008D27F5">
        <w:t xml:space="preserve"> for providers (</w:t>
      </w:r>
      <w:r w:rsidR="001E1C8B">
        <w:t xml:space="preserve">defined as total payments les </w:t>
      </w:r>
      <w:r w:rsidR="008D27F5">
        <w:t xml:space="preserve">frontline </w:t>
      </w:r>
      <w:r w:rsidR="001E1C8B">
        <w:t>staff costs</w:t>
      </w:r>
      <w:r w:rsidR="00F728E4">
        <w:t>)</w:t>
      </w:r>
      <w:r w:rsidR="001E1C8B">
        <w:t>.</w:t>
      </w:r>
    </w:p>
    <w:p w14:paraId="26545449" w14:textId="4B85FEA8" w:rsidR="00850D04" w:rsidRDefault="007250D9" w:rsidP="005D5705">
      <w:pPr>
        <w:pStyle w:val="Heading5"/>
      </w:pPr>
      <w:r>
        <w:t>Increase staff pay</w:t>
      </w:r>
    </w:p>
    <w:p w14:paraId="1F27C530" w14:textId="305949EE" w:rsidR="006C3AFC" w:rsidRDefault="003409EA" w:rsidP="00CB4941">
      <w:r>
        <w:t>To cost the impact of Recommendation 14 relating to</w:t>
      </w:r>
      <w:r w:rsidRPr="003D1130">
        <w:t xml:space="preserve"> </w:t>
      </w:r>
      <w:r w:rsidR="00310F11">
        <w:t>the pay and conditions of frontline staff</w:t>
      </w:r>
      <w:r w:rsidR="00F00052">
        <w:t xml:space="preserve">, </w:t>
      </w:r>
      <w:r>
        <w:t xml:space="preserve">we have modelled the impact of </w:t>
      </w:r>
      <w:r w:rsidR="00CA1F64">
        <w:t>increasing the salary o</w:t>
      </w:r>
      <w:r w:rsidR="006C3AFC">
        <w:t xml:space="preserve">f frontline </w:t>
      </w:r>
      <w:r w:rsidR="00924AB0">
        <w:t>staff</w:t>
      </w:r>
      <w:r w:rsidR="00234F05">
        <w:t xml:space="preserve"> </w:t>
      </w:r>
      <w:r w:rsidR="005F6306">
        <w:t xml:space="preserve">from </w:t>
      </w:r>
      <w:r w:rsidR="00DF5D69">
        <w:t>the current average of $61,600 to an average salary of $</w:t>
      </w:r>
      <w:r w:rsidR="00DF5D69" w:rsidRPr="006127F2">
        <w:t>92,125</w:t>
      </w:r>
      <w:r w:rsidR="00275B63">
        <w:t xml:space="preserve">. </w:t>
      </w:r>
    </w:p>
    <w:p w14:paraId="2F40D4EF" w14:textId="26160D05" w:rsidR="005E1121" w:rsidRDefault="005E1121" w:rsidP="00CB4941">
      <w:r>
        <w:lastRenderedPageBreak/>
        <w:t>Th</w:t>
      </w:r>
      <w:r w:rsidR="002F50BD">
        <w:t>is assumed salary</w:t>
      </w:r>
      <w:r w:rsidR="00E71CD3" w:rsidRPr="00E71CD3">
        <w:t xml:space="preserve"> </w:t>
      </w:r>
      <w:r w:rsidR="00E71CD3" w:rsidRPr="006127F2">
        <w:t xml:space="preserve">is based on the weighted average salary of </w:t>
      </w:r>
      <w:r w:rsidR="00E71CD3">
        <w:t xml:space="preserve">service delivery staff </w:t>
      </w:r>
      <w:r w:rsidR="00E71CD3" w:rsidRPr="006127F2">
        <w:t>in Services Australia</w:t>
      </w:r>
      <w:r w:rsidR="00582D79">
        <w:t xml:space="preserve"> in 2024-25</w:t>
      </w:r>
      <w:r w:rsidR="00E71CD3" w:rsidRPr="006127F2">
        <w:rPr>
          <w:rStyle w:val="FootnoteReference"/>
        </w:rPr>
        <w:footnoteReference w:id="26"/>
      </w:r>
      <w:r w:rsidR="00E71CD3" w:rsidRPr="006127F2">
        <w:t xml:space="preserve"> and is comparable to the midpoint of APS Level 4</w:t>
      </w:r>
      <w:r w:rsidR="00583108">
        <w:t xml:space="preserve"> pay in Services Australia in 2024-25</w:t>
      </w:r>
      <w:r w:rsidR="00E71CD3" w:rsidRPr="006127F2">
        <w:t>. The change</w:t>
      </w:r>
      <w:r w:rsidR="00E71CD3">
        <w:t xml:space="preserve"> represents an increase in salary </w:t>
      </w:r>
      <w:r w:rsidR="000B191E">
        <w:t xml:space="preserve">for frontline </w:t>
      </w:r>
      <w:r w:rsidR="00051347">
        <w:t xml:space="preserve">staff </w:t>
      </w:r>
      <w:r w:rsidR="00E71CD3">
        <w:t>of approximately 50%.</w:t>
      </w:r>
    </w:p>
    <w:p w14:paraId="473A6B69" w14:textId="35FFD6BC" w:rsidR="004D2C38" w:rsidRDefault="004D2C38" w:rsidP="004D2C38">
      <w:r>
        <w:t>As with the reduction in case ratio</w:t>
      </w:r>
      <w:r w:rsidR="001D65C0">
        <w:t>s</w:t>
      </w:r>
      <w:r>
        <w:t xml:space="preserve">, we </w:t>
      </w:r>
      <w:r w:rsidR="001D65C0">
        <w:t>have modelled an increase in provider payments</w:t>
      </w:r>
      <w:r w:rsidR="00B56761">
        <w:t xml:space="preserve"> of $</w:t>
      </w:r>
      <w:r w:rsidR="000A069A">
        <w:t xml:space="preserve">452.3M </w:t>
      </w:r>
      <w:r w:rsidR="001D65C0">
        <w:t xml:space="preserve">to </w:t>
      </w:r>
      <w:r>
        <w:t xml:space="preserve">fund the increase in salary costs </w:t>
      </w:r>
      <w:r w:rsidR="00F64BE4">
        <w:t xml:space="preserve">only. </w:t>
      </w:r>
      <w:r w:rsidR="00D158FD">
        <w:t xml:space="preserve">The preservation of the dollar value of operating margin </w:t>
      </w:r>
      <w:r w:rsidR="00A800F7">
        <w:t xml:space="preserve">maintains </w:t>
      </w:r>
      <w:r>
        <w:t xml:space="preserve">provider </w:t>
      </w:r>
      <w:r w:rsidR="00F240FD">
        <w:t xml:space="preserve">financial </w:t>
      </w:r>
      <w:r w:rsidR="00707BA9">
        <w:t>viability and</w:t>
      </w:r>
      <w:r w:rsidR="00EF03B0">
        <w:t xml:space="preserve"> leads to frontline e</w:t>
      </w:r>
      <w:r>
        <w:t xml:space="preserve">mployee costs </w:t>
      </w:r>
      <w:r w:rsidR="006F2190">
        <w:t xml:space="preserve">as a proportion of </w:t>
      </w:r>
      <w:r>
        <w:t>total payments to providers</w:t>
      </w:r>
      <w:r w:rsidR="006F2190">
        <w:t xml:space="preserve"> rising to 7</w:t>
      </w:r>
      <w:r w:rsidR="008F30BA">
        <w:t>2</w:t>
      </w:r>
      <w:r w:rsidR="006F2190">
        <w:t>%</w:t>
      </w:r>
      <w:r>
        <w:t>.</w:t>
      </w:r>
    </w:p>
    <w:p w14:paraId="0649E838" w14:textId="656B51F5" w:rsidR="00C74BEC" w:rsidRDefault="00E16ABD" w:rsidP="00CB4941">
      <w:r>
        <w:t>The Hill Review identifies that l</w:t>
      </w:r>
      <w:r w:rsidR="00737F04">
        <w:t>ow pay contributes to high turnover and difficulties in attracting and retaining qualified staff.</w:t>
      </w:r>
      <w:r>
        <w:t xml:space="preserve"> We have not attempted to model the second order impact o</w:t>
      </w:r>
      <w:r w:rsidR="00117A0A">
        <w:t>f</w:t>
      </w:r>
      <w:r>
        <w:t xml:space="preserve"> improved productivity </w:t>
      </w:r>
      <w:r w:rsidR="00117A0A">
        <w:t>arising from lower</w:t>
      </w:r>
      <w:r w:rsidR="00723645">
        <w:t xml:space="preserve"> turno</w:t>
      </w:r>
      <w:r w:rsidR="004E7732">
        <w:t>ver</w:t>
      </w:r>
      <w:r w:rsidR="00F62F3D">
        <w:t>, increased job satisfaction, and increased professionalis</w:t>
      </w:r>
      <w:r w:rsidR="00AA38AB">
        <w:t>m. H</w:t>
      </w:r>
      <w:r w:rsidR="006E6B12">
        <w:t>owever</w:t>
      </w:r>
      <w:r w:rsidR="00AA38AB">
        <w:t>, we</w:t>
      </w:r>
      <w:r w:rsidR="006E6B12">
        <w:t xml:space="preserve"> note that the impact of this is likely an increase in the </w:t>
      </w:r>
      <w:r w:rsidR="00FF40D6">
        <w:t xml:space="preserve">amount of time that staff could spend with participants. </w:t>
      </w:r>
      <w:r w:rsidR="00A138A6">
        <w:t xml:space="preserve">If this additional time led to </w:t>
      </w:r>
      <w:r w:rsidR="00C44530">
        <w:t xml:space="preserve">higher quality servicing and </w:t>
      </w:r>
      <w:r w:rsidR="00485ABE">
        <w:t xml:space="preserve">employment outcomes, there would be a reduction in </w:t>
      </w:r>
      <w:r w:rsidR="00292819">
        <w:t xml:space="preserve">time </w:t>
      </w:r>
      <w:r w:rsidR="007A48FF">
        <w:t>participants spent out of work</w:t>
      </w:r>
      <w:r w:rsidR="00A42D91">
        <w:t>, and therefore receiving income support payments.</w:t>
      </w:r>
    </w:p>
    <w:p w14:paraId="10E1FB57" w14:textId="421DAB93" w:rsidR="00A62802" w:rsidRDefault="00A62802" w:rsidP="00E16ABD">
      <w:r>
        <w:t>While this recommendation identifies the need to fund increases in conditions for frontline workers</w:t>
      </w:r>
      <w:r w:rsidR="00CC081B">
        <w:t xml:space="preserve">, it is important to note that ongoing mechanisms are required to avoid this issue reemerging with the passage of time. </w:t>
      </w:r>
      <w:r w:rsidR="006200AC">
        <w:t xml:space="preserve">As an example, </w:t>
      </w:r>
      <w:r w:rsidR="00AA71B8">
        <w:t>DEWR’s enterprise agreement has set salaries to be approximately 8% higher in 2026-27 compared to the value used in this analysis.</w:t>
      </w:r>
    </w:p>
    <w:p w14:paraId="33FC2D08" w14:textId="7C65E92D" w:rsidR="00997A7F" w:rsidRDefault="00997A7F" w:rsidP="00E16ABD">
      <w:r>
        <w:t xml:space="preserve">Further, it should be noted that the Hill Review envisages the increased pay for these workers will reflect paying for a higher level of professionalism and skill, not just paying more for the existing capability. There is a risk that implementation of increased pay will attract staff away from other employment services (such as disability), leading to resourcing issues and cost pressures in these systems. </w:t>
      </w:r>
      <w:r w:rsidR="00DD3BD9">
        <w:t>Finally, there is a risk that if pay conditions for frontline staff working with providers are not lifted and the public service commences case management</w:t>
      </w:r>
      <w:r w:rsidR="00856023">
        <w:t xml:space="preserve"> (see Section </w:t>
      </w:r>
      <w:r w:rsidR="00856023">
        <w:fldChar w:fldCharType="begin"/>
      </w:r>
      <w:r w:rsidR="00856023">
        <w:instrText xml:space="preserve"> REF _Ref219408798 \r \h </w:instrText>
      </w:r>
      <w:r w:rsidR="00856023">
        <w:fldChar w:fldCharType="separate"/>
      </w:r>
      <w:r w:rsidR="001703C6">
        <w:t>4.2</w:t>
      </w:r>
      <w:r w:rsidR="00856023">
        <w:fldChar w:fldCharType="end"/>
      </w:r>
      <w:r w:rsidR="00856023">
        <w:t>)</w:t>
      </w:r>
      <w:r w:rsidR="00DD3BD9">
        <w:t xml:space="preserve">, then the </w:t>
      </w:r>
      <w:r w:rsidR="00856023">
        <w:t xml:space="preserve">most </w:t>
      </w:r>
      <w:r w:rsidR="00DD3BD9">
        <w:t xml:space="preserve">talented individuals working with providers </w:t>
      </w:r>
      <w:r w:rsidR="00856023">
        <w:t xml:space="preserve">may </w:t>
      </w:r>
      <w:r w:rsidR="00DD3BD9">
        <w:t xml:space="preserve">look to move to the APS in search of higher pay. </w:t>
      </w:r>
    </w:p>
    <w:p w14:paraId="08A2990A" w14:textId="7F2F3CBE" w:rsidR="0003196D" w:rsidRDefault="00856023" w:rsidP="005D5705">
      <w:pPr>
        <w:pStyle w:val="Heading5"/>
      </w:pPr>
      <w:r>
        <w:t xml:space="preserve">Payment for staff cost </w:t>
      </w:r>
      <w:r w:rsidR="007250D9">
        <w:t>loading for target cohorts</w:t>
      </w:r>
    </w:p>
    <w:p w14:paraId="46B37A36" w14:textId="37E2020F" w:rsidR="00D92D8F" w:rsidRDefault="006451CC" w:rsidP="006451CC">
      <w:r>
        <w:t xml:space="preserve">To cost the impact of Recommendation 70 relating to </w:t>
      </w:r>
      <w:r w:rsidR="009175E0">
        <w:t>an a</w:t>
      </w:r>
      <w:r w:rsidR="00D83273" w:rsidRPr="00D83273">
        <w:t xml:space="preserve">dditional </w:t>
      </w:r>
      <w:r w:rsidR="009175E0">
        <w:t xml:space="preserve">payment </w:t>
      </w:r>
      <w:r w:rsidR="00D83273" w:rsidRPr="00D83273">
        <w:t>loading to enable higher intensity supports for jobseekers in target cohorts</w:t>
      </w:r>
      <w:r>
        <w:t xml:space="preserve">, we have </w:t>
      </w:r>
      <w:r w:rsidR="00D92D8F">
        <w:t xml:space="preserve">applied a </w:t>
      </w:r>
      <w:r w:rsidR="00D92D8F" w:rsidRPr="00761648">
        <w:t>20% loading</w:t>
      </w:r>
      <w:r w:rsidR="00D92D8F">
        <w:t xml:space="preserve"> to </w:t>
      </w:r>
      <w:r w:rsidR="00286BFF">
        <w:t>staff costs</w:t>
      </w:r>
      <w:r w:rsidR="00E330F7">
        <w:t xml:space="preserve"> who provide services to</w:t>
      </w:r>
      <w:r w:rsidR="008348A9">
        <w:t xml:space="preserve"> </w:t>
      </w:r>
      <w:r w:rsidR="00BE44F4">
        <w:t xml:space="preserve">youth segments and adult </w:t>
      </w:r>
      <w:r w:rsidR="00942894">
        <w:t xml:space="preserve">target </w:t>
      </w:r>
      <w:r w:rsidR="00BE44F4">
        <w:t>cohorts</w:t>
      </w:r>
      <w:r w:rsidR="00D92D8F">
        <w:t xml:space="preserve">. </w:t>
      </w:r>
      <w:r w:rsidR="001A6C0E">
        <w:t>W</w:t>
      </w:r>
      <w:r w:rsidR="001A6C0E" w:rsidRPr="001A6C0E">
        <w:t>e assume providers can use the additional loading to contract specialist services, such as interpreters, or to recruit additional frontline staff to further reduce case ratios.</w:t>
      </w:r>
      <w:r w:rsidR="001A6C0E">
        <w:t xml:space="preserve"> </w:t>
      </w:r>
      <w:r w:rsidR="00942894">
        <w:t>It can also enable</w:t>
      </w:r>
      <w:r w:rsidR="00BE44F4">
        <w:t xml:space="preserve"> more intense, wrap-around services. </w:t>
      </w:r>
      <w:r w:rsidR="009E308F">
        <w:t xml:space="preserve">This loading </w:t>
      </w:r>
      <w:r w:rsidR="00D92D8F">
        <w:t>results in an estimated additional cost of $</w:t>
      </w:r>
      <w:r w:rsidR="00772BB5">
        <w:t>199.3M</w:t>
      </w:r>
      <w:r w:rsidR="00B27657">
        <w:t xml:space="preserve"> </w:t>
      </w:r>
      <w:r w:rsidR="00954F1E">
        <w:t>in provider payments</w:t>
      </w:r>
      <w:r w:rsidR="00411BA7">
        <w:t>.</w:t>
      </w:r>
    </w:p>
    <w:p w14:paraId="4F8BE654" w14:textId="2006847C" w:rsidR="006451CC" w:rsidRDefault="006537C9" w:rsidP="4C42947D">
      <w:r>
        <w:t xml:space="preserve">The Hill Review does not </w:t>
      </w:r>
      <w:r w:rsidR="00954F1E">
        <w:t>specify the</w:t>
      </w:r>
      <w:r w:rsidR="004038BB">
        <w:t xml:space="preserve"> level of loading for these cohorts</w:t>
      </w:r>
      <w:r w:rsidR="0029460A">
        <w:t xml:space="preserve"> and therefore th</w:t>
      </w:r>
      <w:r w:rsidR="00AC4115">
        <w:t>e adopted loading is provided as an illustrative example of cost. The impact of different loading</w:t>
      </w:r>
      <w:r w:rsidR="00D460A6">
        <w:t xml:space="preserve">s is explored in the sensitivities captured in Section </w:t>
      </w:r>
      <w:r w:rsidR="00D460A6">
        <w:fldChar w:fldCharType="begin"/>
      </w:r>
      <w:r w:rsidR="00D460A6">
        <w:instrText xml:space="preserve"> REF _Ref219383706 \r \h </w:instrText>
      </w:r>
      <w:r w:rsidR="00D460A6">
        <w:fldChar w:fldCharType="separate"/>
      </w:r>
      <w:r w:rsidR="001703C6">
        <w:t>4.1.3</w:t>
      </w:r>
      <w:r w:rsidR="00D460A6">
        <w:fldChar w:fldCharType="end"/>
      </w:r>
      <w:r w:rsidR="00D460A6">
        <w:t>.</w:t>
      </w:r>
    </w:p>
    <w:p w14:paraId="00E67860" w14:textId="2C43BEDA" w:rsidR="00824083" w:rsidRDefault="007250D9" w:rsidP="005D5705">
      <w:pPr>
        <w:pStyle w:val="Heading5"/>
      </w:pPr>
      <w:r>
        <w:t>Total cost</w:t>
      </w:r>
    </w:p>
    <w:p w14:paraId="5D935AED" w14:textId="4BCAB8E2" w:rsidR="00824083" w:rsidRDefault="00746A6D" w:rsidP="00BD0741">
      <w:r>
        <w:fldChar w:fldCharType="begin"/>
      </w:r>
      <w:r>
        <w:instrText xml:space="preserve"> REF _Ref219217098 \h </w:instrText>
      </w:r>
      <w:r>
        <w:fldChar w:fldCharType="separate"/>
      </w:r>
      <w:r w:rsidR="001703C6">
        <w:t xml:space="preserve">Figure </w:t>
      </w:r>
      <w:r w:rsidR="001703C6">
        <w:rPr>
          <w:noProof/>
        </w:rPr>
        <w:t>3</w:t>
      </w:r>
      <w:r>
        <w:fldChar w:fldCharType="end"/>
      </w:r>
      <w:r>
        <w:t xml:space="preserve"> summarises the </w:t>
      </w:r>
      <w:r w:rsidR="008F68A2">
        <w:t xml:space="preserve">estimated </w:t>
      </w:r>
      <w:r>
        <w:t xml:space="preserve">cost of implementing the recommended changes to enhance service </w:t>
      </w:r>
      <w:r w:rsidR="00AD6253">
        <w:t>deliver</w:t>
      </w:r>
      <w:r w:rsidR="001D1A3E">
        <w:t>y</w:t>
      </w:r>
      <w:r w:rsidR="00AD6253">
        <w:t xml:space="preserve"> by partners. </w:t>
      </w:r>
      <w:r w:rsidR="00533914">
        <w:t>The</w:t>
      </w:r>
      <w:r w:rsidR="00107E8E">
        <w:t xml:space="preserve"> proposed</w:t>
      </w:r>
      <w:r w:rsidR="00533914">
        <w:t xml:space="preserve"> reforms are expected to increase ongoing costs by approximately $1.</w:t>
      </w:r>
      <w:r w:rsidR="00BE3F88">
        <w:t>04</w:t>
      </w:r>
      <w:r w:rsidR="00CF0684">
        <w:t>B</w:t>
      </w:r>
      <w:r w:rsidR="00533914">
        <w:t xml:space="preserve">, driven </w:t>
      </w:r>
      <w:r w:rsidR="007E7A8E">
        <w:t xml:space="preserve">primarily by </w:t>
      </w:r>
      <w:r w:rsidR="00A24665">
        <w:t>improved</w:t>
      </w:r>
      <w:r w:rsidR="00F9443C">
        <w:t xml:space="preserve"> </w:t>
      </w:r>
      <w:r w:rsidR="002B3F1B">
        <w:t xml:space="preserve">frontline </w:t>
      </w:r>
      <w:r w:rsidR="00F9443C">
        <w:t>staff remuneration</w:t>
      </w:r>
      <w:r w:rsidR="008B6837">
        <w:t xml:space="preserve"> ($452.3M)</w:t>
      </w:r>
      <w:r w:rsidR="002B3F1B">
        <w:t xml:space="preserve"> and </w:t>
      </w:r>
      <w:r w:rsidR="00AF21AB">
        <w:t xml:space="preserve">increased staffing to </w:t>
      </w:r>
      <w:r w:rsidR="00DA5A8F">
        <w:t>lower the case ratio</w:t>
      </w:r>
      <w:r w:rsidR="008B6837">
        <w:t xml:space="preserve"> ($321.8M)</w:t>
      </w:r>
      <w:r w:rsidR="00F9443C">
        <w:t xml:space="preserve">. </w:t>
      </w:r>
    </w:p>
    <w:p w14:paraId="127BCDC8" w14:textId="6B324DD0" w:rsidR="000B4066" w:rsidRDefault="00F9443C" w:rsidP="4C42947D">
      <w:r>
        <w:lastRenderedPageBreak/>
        <w:t xml:space="preserve">At this stage, </w:t>
      </w:r>
      <w:r w:rsidR="000B4066">
        <w:t xml:space="preserve">the estimate does not incorporate the recommendation to transition part of the caseload to the APS and therefore reflects the </w:t>
      </w:r>
      <w:r w:rsidR="00236EAD">
        <w:t xml:space="preserve">required </w:t>
      </w:r>
      <w:r w:rsidR="000B4066">
        <w:t>funding increase prior to any such changes.</w:t>
      </w:r>
    </w:p>
    <w:p w14:paraId="1F22E2DF" w14:textId="7967E674" w:rsidR="00824083" w:rsidRDefault="00824083" w:rsidP="00824083">
      <w:pPr>
        <w:pStyle w:val="Caption"/>
      </w:pPr>
      <w:bookmarkStart w:id="36" w:name="_Ref219217098"/>
      <w:r>
        <w:t xml:space="preserve">Figure </w:t>
      </w:r>
      <w:r w:rsidR="001703C6">
        <w:fldChar w:fldCharType="begin"/>
      </w:r>
      <w:r w:rsidR="001703C6">
        <w:instrText xml:space="preserve"> SEQ Figure \* ARABIC </w:instrText>
      </w:r>
      <w:r w:rsidR="001703C6">
        <w:fldChar w:fldCharType="separate"/>
      </w:r>
      <w:r w:rsidR="001703C6">
        <w:rPr>
          <w:noProof/>
        </w:rPr>
        <w:t>3</w:t>
      </w:r>
      <w:r w:rsidR="001703C6">
        <w:rPr>
          <w:noProof/>
        </w:rPr>
        <w:fldChar w:fldCharType="end"/>
      </w:r>
      <w:bookmarkEnd w:id="36"/>
      <w:r w:rsidR="00D73838">
        <w:t>:</w:t>
      </w:r>
      <w:r>
        <w:t xml:space="preserve"> </w:t>
      </w:r>
      <w:r w:rsidR="00166D95">
        <w:t>Incremental c</w:t>
      </w:r>
      <w:r w:rsidRPr="00023DE4">
        <w:t>ost</w:t>
      </w:r>
      <w:r w:rsidR="00166D95">
        <w:t>s</w:t>
      </w:r>
      <w:r w:rsidRPr="00023DE4">
        <w:t xml:space="preserve"> of </w:t>
      </w:r>
      <w:r w:rsidR="00166D95">
        <w:t>recommendations</w:t>
      </w:r>
      <w:r w:rsidRPr="00023DE4">
        <w:t xml:space="preserve"> to enhance services</w:t>
      </w:r>
      <w:r>
        <w:t xml:space="preserve"> delivered by partners</w:t>
      </w:r>
    </w:p>
    <w:p w14:paraId="6A96DB4D" w14:textId="75042D15" w:rsidR="00824083" w:rsidRDefault="003C2667" w:rsidP="0049751B">
      <w:r>
        <w:rPr>
          <w:noProof/>
        </w:rPr>
        <w:drawing>
          <wp:inline distT="0" distB="0" distL="0" distR="0" wp14:anchorId="1ED86819" wp14:editId="5F33EC4E">
            <wp:extent cx="5945505" cy="3372394"/>
            <wp:effectExtent l="0" t="0" r="0" b="0"/>
            <wp:docPr id="202121944" name="Picture 12" descr="As discussed, this is a waterfall chart showing the estimated costs of implementing the recommended changes to enhance service delivery by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944" name="Picture 12" descr="As discussed, this is a waterfall chart showing the estimated costs of implementing the recommended changes to enhance service delivery by partn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326" cy="3379099"/>
                    </a:xfrm>
                    <a:prstGeom prst="rect">
                      <a:avLst/>
                    </a:prstGeom>
                    <a:noFill/>
                  </pic:spPr>
                </pic:pic>
              </a:graphicData>
            </a:graphic>
          </wp:inline>
        </w:drawing>
      </w:r>
    </w:p>
    <w:p w14:paraId="7C8508F6" w14:textId="77777777" w:rsidR="00DC4656" w:rsidRDefault="00DC4656" w:rsidP="0049751B"/>
    <w:p w14:paraId="6E7643EC" w14:textId="26269C45" w:rsidR="00DC4656" w:rsidRDefault="003E0CCA" w:rsidP="00E35BDD">
      <w:pPr>
        <w:keepNext/>
      </w:pPr>
      <w:r>
        <w:fldChar w:fldCharType="begin"/>
      </w:r>
      <w:r>
        <w:instrText xml:space="preserve"> REF _Ref219217938 \h </w:instrText>
      </w:r>
      <w:r>
        <w:fldChar w:fldCharType="separate"/>
      </w:r>
      <w:r w:rsidR="001703C6">
        <w:t xml:space="preserve">Figure </w:t>
      </w:r>
      <w:r w:rsidR="001703C6">
        <w:rPr>
          <w:noProof/>
        </w:rPr>
        <w:t>4</w:t>
      </w:r>
      <w:r>
        <w:fldChar w:fldCharType="end"/>
      </w:r>
      <w:r>
        <w:t xml:space="preserve"> summarises the impact</w:t>
      </w:r>
      <w:r w:rsidR="00B74FF7">
        <w:t xml:space="preserve"> of the </w:t>
      </w:r>
      <w:r w:rsidR="002064CE">
        <w:t xml:space="preserve">proposed </w:t>
      </w:r>
      <w:r w:rsidR="00B74FF7">
        <w:t xml:space="preserve">reforms </w:t>
      </w:r>
      <w:r>
        <w:t xml:space="preserve">on </w:t>
      </w:r>
      <w:r w:rsidR="00647E6E">
        <w:t xml:space="preserve">average through-year </w:t>
      </w:r>
      <w:r>
        <w:t xml:space="preserve">time spent per </w:t>
      </w:r>
      <w:r w:rsidR="00B74FF7">
        <w:t>case</w:t>
      </w:r>
      <w:r w:rsidR="009F1E9C">
        <w:t xml:space="preserve">. </w:t>
      </w:r>
      <w:r w:rsidR="008C6B0D">
        <w:t xml:space="preserve">The </w:t>
      </w:r>
      <w:r w:rsidR="0076692C">
        <w:t>estimated r</w:t>
      </w:r>
      <w:r w:rsidR="00B74FF7">
        <w:t>eduction in</w:t>
      </w:r>
      <w:r w:rsidR="009F1E9C">
        <w:t xml:space="preserve"> administrat</w:t>
      </w:r>
      <w:r w:rsidR="0076692C">
        <w:t>ion is estimated</w:t>
      </w:r>
      <w:r w:rsidR="00B74FF7">
        <w:t xml:space="preserve"> </w:t>
      </w:r>
      <w:r w:rsidR="00EE571C">
        <w:t xml:space="preserve">to increase direct service time by </w:t>
      </w:r>
      <w:r w:rsidR="00E35BDD">
        <w:t>4.</w:t>
      </w:r>
      <w:r w:rsidR="008B6837">
        <w:t>0</w:t>
      </w:r>
      <w:r w:rsidR="00E35BDD">
        <w:t xml:space="preserve"> hours per case</w:t>
      </w:r>
      <w:r w:rsidR="00A53A9A">
        <w:t xml:space="preserve"> on average</w:t>
      </w:r>
      <w:r w:rsidR="00E35BDD">
        <w:t xml:space="preserve">, without any direct increase in provider payments. Lower case ratios are expected to add a further </w:t>
      </w:r>
      <w:r w:rsidR="008B6837">
        <w:t>7.9</w:t>
      </w:r>
      <w:r w:rsidR="00E35BDD">
        <w:t xml:space="preserve"> hours per case</w:t>
      </w:r>
      <w:r w:rsidR="00A53A9A">
        <w:t xml:space="preserve"> on average</w:t>
      </w:r>
      <w:r w:rsidR="00E35BDD">
        <w:t>. Together, these measures increase total direct service time to 2</w:t>
      </w:r>
      <w:r w:rsidR="008B6837">
        <w:t>1.9</w:t>
      </w:r>
      <w:r w:rsidR="00E35BDD">
        <w:t xml:space="preserve"> hours per case per year post reform.</w:t>
      </w:r>
    </w:p>
    <w:p w14:paraId="4A18A3B4" w14:textId="3C7AE6BF" w:rsidR="00DC4656" w:rsidRDefault="00DC4656" w:rsidP="00DC4656">
      <w:pPr>
        <w:pStyle w:val="Caption"/>
      </w:pPr>
      <w:bookmarkStart w:id="37" w:name="_Ref219217938"/>
      <w:r>
        <w:t xml:space="preserve">Figure </w:t>
      </w:r>
      <w:r w:rsidR="001703C6">
        <w:fldChar w:fldCharType="begin"/>
      </w:r>
      <w:r w:rsidR="001703C6">
        <w:instrText xml:space="preserve"> SEQ Figure \* ARABIC </w:instrText>
      </w:r>
      <w:r w:rsidR="001703C6">
        <w:fldChar w:fldCharType="separate"/>
      </w:r>
      <w:r w:rsidR="001703C6">
        <w:rPr>
          <w:noProof/>
        </w:rPr>
        <w:t>4</w:t>
      </w:r>
      <w:r w:rsidR="001703C6">
        <w:rPr>
          <w:noProof/>
        </w:rPr>
        <w:fldChar w:fldCharType="end"/>
      </w:r>
      <w:bookmarkEnd w:id="37"/>
      <w:r w:rsidR="000D3438">
        <w:t>:</w:t>
      </w:r>
      <w:r>
        <w:t xml:space="preserve"> Impact on time spent per case (hours per annum)</w:t>
      </w:r>
    </w:p>
    <w:p w14:paraId="64016C6C" w14:textId="5CAB2F1B" w:rsidR="001F2115" w:rsidRDefault="001465C6" w:rsidP="4C42947D">
      <w:r>
        <w:rPr>
          <w:noProof/>
        </w:rPr>
        <w:drawing>
          <wp:inline distT="0" distB="0" distL="0" distR="0" wp14:anchorId="68FA9AF2" wp14:editId="532DDB5F">
            <wp:extent cx="4387812" cy="2596913"/>
            <wp:effectExtent l="0" t="0" r="0" b="0"/>
            <wp:docPr id="1281322718" name="Picture 9" descr="As discussed, this is a waterfall chart showing the average time per case increasing to 21.9 hours under the reformed system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22718" name="Picture 9" descr="As discussed, this is a waterfall chart showing the average time per case increasing to 21.9 hours under the reformed system scena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3665" cy="2606295"/>
                    </a:xfrm>
                    <a:prstGeom prst="rect">
                      <a:avLst/>
                    </a:prstGeom>
                    <a:noFill/>
                  </pic:spPr>
                </pic:pic>
              </a:graphicData>
            </a:graphic>
          </wp:inline>
        </w:drawing>
      </w:r>
    </w:p>
    <w:p w14:paraId="47B02D68" w14:textId="5B64E604" w:rsidR="00631D31" w:rsidRDefault="002404F4" w:rsidP="4C42947D">
      <w:r>
        <w:lastRenderedPageBreak/>
        <w:t xml:space="preserve">The proposed increase to </w:t>
      </w:r>
      <w:r w:rsidR="00631D31" w:rsidRPr="00631D31">
        <w:t xml:space="preserve">staff remuneration </w:t>
      </w:r>
      <w:r w:rsidR="00137992">
        <w:t xml:space="preserve">would likely </w:t>
      </w:r>
      <w:r w:rsidR="00631D31" w:rsidRPr="00631D31">
        <w:t xml:space="preserve">reduce turnover from the currently reported rate of </w:t>
      </w:r>
      <w:r w:rsidR="00126644">
        <w:t>over</w:t>
      </w:r>
      <w:r w:rsidR="00631D31" w:rsidRPr="00631D31">
        <w:t xml:space="preserve"> </w:t>
      </w:r>
      <w:r w:rsidR="00631D31" w:rsidRPr="00126644">
        <w:t>40%</w:t>
      </w:r>
      <w:r w:rsidR="00B76A55" w:rsidRPr="00126644">
        <w:t xml:space="preserve"> per year</w:t>
      </w:r>
      <w:r w:rsidR="00A5383B" w:rsidRPr="00126644">
        <w:rPr>
          <w:rStyle w:val="FootnoteReference"/>
        </w:rPr>
        <w:footnoteReference w:id="27"/>
      </w:r>
      <w:r w:rsidR="00631D31" w:rsidRPr="00126644">
        <w:t>,</w:t>
      </w:r>
      <w:r w:rsidR="00631D31" w:rsidRPr="00631D31">
        <w:t xml:space="preserve"> allowing more staff time to be used effectively for case management. Improved professionalisation and staff qualifications are likely to further enhance service quality. These benefits are not captured in the 2.</w:t>
      </w:r>
      <w:r w:rsidR="003C2667">
        <w:t>2</w:t>
      </w:r>
      <w:r w:rsidR="008D5F9D">
        <w:t>x</w:t>
      </w:r>
      <w:r w:rsidR="00631D31" w:rsidRPr="00631D31">
        <w:t xml:space="preserve"> increase in direct service time, suggesting that the overall improvement in service quality is likely to be greater than implied by time increases alone.</w:t>
      </w:r>
    </w:p>
    <w:p w14:paraId="139204EF" w14:textId="77777777" w:rsidR="001D7A54" w:rsidRDefault="001D7A54" w:rsidP="00622324">
      <w:pPr>
        <w:pStyle w:val="Heading4"/>
      </w:pPr>
      <w:bookmarkStart w:id="38" w:name="_Ref219383706"/>
      <w:r>
        <w:t>Sensitivities</w:t>
      </w:r>
      <w:bookmarkEnd w:id="38"/>
    </w:p>
    <w:p w14:paraId="19E1A09B" w14:textId="26B7EEB5" w:rsidR="00F36062" w:rsidRDefault="002E5C5A" w:rsidP="00F36062">
      <w:r>
        <w:fldChar w:fldCharType="begin"/>
      </w:r>
      <w:r>
        <w:instrText xml:space="preserve"> REF _Ref219732969 \h </w:instrText>
      </w:r>
      <w:r>
        <w:fldChar w:fldCharType="separate"/>
      </w:r>
      <w:r w:rsidR="001703C6">
        <w:t xml:space="preserve">Table </w:t>
      </w:r>
      <w:r w:rsidR="001703C6">
        <w:rPr>
          <w:noProof/>
        </w:rPr>
        <w:t>5</w:t>
      </w:r>
      <w:r>
        <w:fldChar w:fldCharType="end"/>
      </w:r>
      <w:r w:rsidR="00F36062">
        <w:t xml:space="preserve"> outlines the impact on the total cost of</w:t>
      </w:r>
      <w:r w:rsidR="0082781A">
        <w:t xml:space="preserve"> measures to enhance service delivery by partners </w:t>
      </w:r>
      <w:r w:rsidR="00F36062">
        <w:t>if each of the key assumptions were changed in isolation. All other assumptions are held constant during this analysis.</w:t>
      </w:r>
    </w:p>
    <w:p w14:paraId="499BDE95" w14:textId="0B5C99C7" w:rsidR="002E5C5A" w:rsidRDefault="00F36062" w:rsidP="00E15439">
      <w:pPr>
        <w:pStyle w:val="Caption"/>
      </w:pPr>
      <w:bookmarkStart w:id="39" w:name="_Ref219387536"/>
      <w:bookmarkStart w:id="40" w:name="_Ref219732969"/>
      <w:r>
        <w:t xml:space="preserve">Table </w:t>
      </w:r>
      <w:r w:rsidR="001703C6">
        <w:fldChar w:fldCharType="begin"/>
      </w:r>
      <w:r w:rsidR="001703C6">
        <w:instrText xml:space="preserve"> SEQ Table \* ARABIC </w:instrText>
      </w:r>
      <w:r w:rsidR="001703C6">
        <w:fldChar w:fldCharType="separate"/>
      </w:r>
      <w:r w:rsidR="001703C6">
        <w:rPr>
          <w:noProof/>
        </w:rPr>
        <w:t>5</w:t>
      </w:r>
      <w:r w:rsidR="001703C6">
        <w:rPr>
          <w:noProof/>
        </w:rPr>
        <w:fldChar w:fldCharType="end"/>
      </w:r>
      <w:bookmarkEnd w:id="39"/>
      <w:bookmarkEnd w:id="40"/>
      <w:r w:rsidR="00831021">
        <w:rPr>
          <w:noProof/>
        </w:rPr>
        <w:t>:</w:t>
      </w:r>
      <w:r w:rsidR="002E5C5A">
        <w:t xml:space="preserve"> Sensitivity analysis of the cost of enhanced service delivery by partners</w:t>
      </w:r>
    </w:p>
    <w:tbl>
      <w:tblPr>
        <w:tblStyle w:val="TFBlue"/>
        <w:tblW w:w="0" w:type="auto"/>
        <w:tblLook w:val="04A0" w:firstRow="1" w:lastRow="0" w:firstColumn="1" w:lastColumn="0" w:noHBand="0" w:noVBand="1"/>
      </w:tblPr>
      <w:tblGrid>
        <w:gridCol w:w="2350"/>
        <w:gridCol w:w="2350"/>
        <w:gridCol w:w="2351"/>
      </w:tblGrid>
      <w:tr w:rsidR="00260A70" w14:paraId="3492437E" w14:textId="77777777" w:rsidTr="00260A70">
        <w:trPr>
          <w:cnfStyle w:val="100000000000" w:firstRow="1" w:lastRow="0" w:firstColumn="0" w:lastColumn="0" w:oddVBand="0" w:evenVBand="0" w:oddHBand="0" w:evenHBand="0" w:firstRowFirstColumn="0" w:firstRowLastColumn="0" w:lastRowFirstColumn="0" w:lastRowLastColumn="0"/>
        </w:trPr>
        <w:tc>
          <w:tcPr>
            <w:tcW w:w="2350" w:type="dxa"/>
          </w:tcPr>
          <w:p w14:paraId="4C1A6ED7" w14:textId="31B89C1C" w:rsidR="00260A70" w:rsidRDefault="00260A70" w:rsidP="00260A70">
            <w:r w:rsidRPr="00223A3E">
              <w:t>Key Assumption</w:t>
            </w:r>
          </w:p>
        </w:tc>
        <w:tc>
          <w:tcPr>
            <w:tcW w:w="2350" w:type="dxa"/>
          </w:tcPr>
          <w:p w14:paraId="2D1AFC2F" w14:textId="1249BC23" w:rsidR="00260A70" w:rsidRDefault="00260A70" w:rsidP="00260A70">
            <w:r w:rsidRPr="00223A3E">
              <w:t>Low scenario</w:t>
            </w:r>
          </w:p>
        </w:tc>
        <w:tc>
          <w:tcPr>
            <w:tcW w:w="2351" w:type="dxa"/>
          </w:tcPr>
          <w:p w14:paraId="7F4954E3" w14:textId="31C335A6" w:rsidR="00260A70" w:rsidRDefault="00260A70" w:rsidP="00260A70">
            <w:r w:rsidRPr="00223A3E">
              <w:t xml:space="preserve">High scenario </w:t>
            </w:r>
          </w:p>
        </w:tc>
      </w:tr>
      <w:tr w:rsidR="00260A70" w14:paraId="3AE8055C" w14:textId="77777777" w:rsidTr="00260A70">
        <w:trPr>
          <w:cnfStyle w:val="000000100000" w:firstRow="0" w:lastRow="0" w:firstColumn="0" w:lastColumn="0" w:oddVBand="0" w:evenVBand="0" w:oddHBand="1" w:evenHBand="0" w:firstRowFirstColumn="0" w:firstRowLastColumn="0" w:lastRowFirstColumn="0" w:lastRowLastColumn="0"/>
        </w:trPr>
        <w:tc>
          <w:tcPr>
            <w:tcW w:w="2350" w:type="dxa"/>
          </w:tcPr>
          <w:p w14:paraId="6A341455" w14:textId="587AB559" w:rsidR="00260A70" w:rsidRDefault="00267D1C" w:rsidP="00260A70">
            <w:r>
              <w:t xml:space="preserve">50% of </w:t>
            </w:r>
            <w:r w:rsidR="00465466">
              <w:t>‘</w:t>
            </w:r>
            <w:r>
              <w:t>job-ready</w:t>
            </w:r>
            <w:r w:rsidR="00465466">
              <w:t>’</w:t>
            </w:r>
            <w:r w:rsidR="00260A70" w:rsidRPr="00223A3E">
              <w:t xml:space="preserve"> </w:t>
            </w:r>
            <w:r w:rsidR="00465466">
              <w:t>Youth</w:t>
            </w:r>
            <w:r>
              <w:t xml:space="preserve"> </w:t>
            </w:r>
            <w:r w:rsidR="00260A70" w:rsidRPr="00223A3E">
              <w:t>participants in Online transition to Services</w:t>
            </w:r>
          </w:p>
        </w:tc>
        <w:tc>
          <w:tcPr>
            <w:tcW w:w="2350" w:type="dxa"/>
          </w:tcPr>
          <w:p w14:paraId="1B9CFE0F" w14:textId="77777777" w:rsidR="00260A70" w:rsidRPr="004C7389" w:rsidRDefault="00267D1C" w:rsidP="00260A70">
            <w:pPr>
              <w:rPr>
                <w:i/>
                <w:iCs/>
              </w:rPr>
            </w:pPr>
            <w:r w:rsidRPr="004C7389">
              <w:rPr>
                <w:i/>
                <w:iCs/>
              </w:rPr>
              <w:t xml:space="preserve">30% of job-ready </w:t>
            </w:r>
            <w:r w:rsidR="001A2B8B" w:rsidRPr="004C7389">
              <w:rPr>
                <w:i/>
                <w:iCs/>
              </w:rPr>
              <w:t>Youth transition to Services</w:t>
            </w:r>
          </w:p>
          <w:p w14:paraId="6AFCFFBB" w14:textId="33B009BA" w:rsidR="00177116" w:rsidRPr="00623E69" w:rsidRDefault="00177116" w:rsidP="00260A70">
            <w:pPr>
              <w:rPr>
                <w:i/>
                <w:iCs/>
              </w:rPr>
            </w:pPr>
            <w:r w:rsidRPr="00623E69">
              <w:rPr>
                <w:i/>
                <w:iCs/>
              </w:rPr>
              <w:t>-$46.9M</w:t>
            </w:r>
          </w:p>
        </w:tc>
        <w:tc>
          <w:tcPr>
            <w:tcW w:w="2351" w:type="dxa"/>
          </w:tcPr>
          <w:p w14:paraId="457967FE" w14:textId="77777777" w:rsidR="00260A70" w:rsidRPr="004C7389" w:rsidRDefault="001A2B8B" w:rsidP="00260A70">
            <w:pPr>
              <w:rPr>
                <w:i/>
                <w:iCs/>
              </w:rPr>
            </w:pPr>
            <w:r w:rsidRPr="004C7389">
              <w:rPr>
                <w:i/>
                <w:iCs/>
              </w:rPr>
              <w:t>100% of job-ready Youth transition to Services</w:t>
            </w:r>
          </w:p>
          <w:p w14:paraId="06EB96A2" w14:textId="5911C7F5" w:rsidR="00177116" w:rsidRPr="00F24C7F" w:rsidRDefault="00623E69" w:rsidP="00260A70">
            <w:pPr>
              <w:rPr>
                <w:i/>
              </w:rPr>
            </w:pPr>
            <w:r w:rsidRPr="00623E69">
              <w:rPr>
                <w:i/>
                <w:iCs/>
              </w:rPr>
              <w:t>+$117.2M</w:t>
            </w:r>
          </w:p>
        </w:tc>
      </w:tr>
      <w:tr w:rsidR="00260A70" w14:paraId="64D70245" w14:textId="77777777" w:rsidTr="00260A70">
        <w:tc>
          <w:tcPr>
            <w:tcW w:w="2350" w:type="dxa"/>
          </w:tcPr>
          <w:p w14:paraId="72227F33" w14:textId="1F970B29" w:rsidR="00260A70" w:rsidRDefault="004C7389" w:rsidP="00260A70">
            <w:r w:rsidRPr="00223A3E">
              <w:t xml:space="preserve">Target </w:t>
            </w:r>
            <w:r w:rsidR="003078EF" w:rsidRPr="003078EF">
              <w:t xml:space="preserve">case </w:t>
            </w:r>
            <w:r w:rsidRPr="00223A3E">
              <w:t xml:space="preserve">ratio of </w:t>
            </w:r>
            <w:r w:rsidR="003E096C">
              <w:t>50:1 for high-</w:t>
            </w:r>
            <w:r w:rsidR="007B0E0F">
              <w:t xml:space="preserve">intensity </w:t>
            </w:r>
            <w:r>
              <w:t>segment</w:t>
            </w:r>
            <w:r w:rsidR="003E096C">
              <w:t>s</w:t>
            </w:r>
            <w:r w:rsidR="00684D0A">
              <w:t xml:space="preserve"> and Youth</w:t>
            </w:r>
          </w:p>
        </w:tc>
        <w:tc>
          <w:tcPr>
            <w:tcW w:w="2350" w:type="dxa"/>
          </w:tcPr>
          <w:p w14:paraId="13D9DF5C" w14:textId="5252BB66" w:rsidR="004C7389" w:rsidRPr="00CE5D0E" w:rsidRDefault="004C7389" w:rsidP="004C7389">
            <w:pPr>
              <w:rPr>
                <w:i/>
                <w:iCs/>
              </w:rPr>
            </w:pPr>
            <w:r w:rsidRPr="00CE5D0E">
              <w:rPr>
                <w:i/>
                <w:iCs/>
              </w:rPr>
              <w:t xml:space="preserve">Target case ratio </w:t>
            </w:r>
            <w:r w:rsidR="003E096C" w:rsidRPr="00CE5D0E">
              <w:rPr>
                <w:i/>
                <w:iCs/>
              </w:rPr>
              <w:t>60</w:t>
            </w:r>
          </w:p>
          <w:p w14:paraId="3076AD22" w14:textId="695BA361" w:rsidR="00260A70" w:rsidRPr="00CE5D0E" w:rsidRDefault="003027B5" w:rsidP="00260A70">
            <w:r w:rsidRPr="00CE5D0E">
              <w:rPr>
                <w:i/>
                <w:iCs/>
              </w:rPr>
              <w:t>-$</w:t>
            </w:r>
            <w:r w:rsidR="00CE5D0E" w:rsidRPr="00CE5D0E">
              <w:rPr>
                <w:i/>
                <w:iCs/>
              </w:rPr>
              <w:t>1</w:t>
            </w:r>
            <w:r w:rsidR="000367C8">
              <w:rPr>
                <w:i/>
                <w:iCs/>
              </w:rPr>
              <w:t>99.1</w:t>
            </w:r>
            <w:r w:rsidRPr="00CE5D0E">
              <w:rPr>
                <w:i/>
                <w:iCs/>
              </w:rPr>
              <w:t>M</w:t>
            </w:r>
          </w:p>
        </w:tc>
        <w:tc>
          <w:tcPr>
            <w:tcW w:w="2351" w:type="dxa"/>
          </w:tcPr>
          <w:p w14:paraId="41543619" w14:textId="27DE81F8" w:rsidR="004C7389" w:rsidRPr="00223A3E" w:rsidRDefault="004C7389" w:rsidP="004C7389">
            <w:pPr>
              <w:rPr>
                <w:i/>
                <w:iCs/>
              </w:rPr>
            </w:pPr>
            <w:r w:rsidRPr="00223A3E">
              <w:rPr>
                <w:i/>
                <w:iCs/>
              </w:rPr>
              <w:t xml:space="preserve">Target case ratio </w:t>
            </w:r>
            <w:r w:rsidR="003E096C">
              <w:rPr>
                <w:i/>
                <w:iCs/>
              </w:rPr>
              <w:t>40</w:t>
            </w:r>
          </w:p>
          <w:p w14:paraId="53DCB084" w14:textId="4215E4E1" w:rsidR="00260A70" w:rsidRDefault="000E0DA2" w:rsidP="00260A70">
            <w:r>
              <w:t>+$</w:t>
            </w:r>
            <w:r w:rsidR="00684D0A">
              <w:t>298.6M</w:t>
            </w:r>
          </w:p>
        </w:tc>
      </w:tr>
      <w:tr w:rsidR="00260A70" w14:paraId="6D747ECC" w14:textId="77777777" w:rsidTr="00260A70">
        <w:trPr>
          <w:cnfStyle w:val="000000100000" w:firstRow="0" w:lastRow="0" w:firstColumn="0" w:lastColumn="0" w:oddVBand="0" w:evenVBand="0" w:oddHBand="1" w:evenHBand="0" w:firstRowFirstColumn="0" w:firstRowLastColumn="0" w:lastRowFirstColumn="0" w:lastRowLastColumn="0"/>
        </w:trPr>
        <w:tc>
          <w:tcPr>
            <w:tcW w:w="2350" w:type="dxa"/>
          </w:tcPr>
          <w:p w14:paraId="277EF360" w14:textId="34D73306" w:rsidR="00260A70" w:rsidRDefault="000E0DA2" w:rsidP="007B0E0F">
            <w:r w:rsidRPr="00223A3E">
              <w:t>Target case ratio o</w:t>
            </w:r>
            <w:r>
              <w:t>f</w:t>
            </w:r>
            <w:r w:rsidRPr="00223A3E">
              <w:t xml:space="preserve"> </w:t>
            </w:r>
            <w:r>
              <w:t>5</w:t>
            </w:r>
            <w:r w:rsidRPr="00223A3E">
              <w:t xml:space="preserve">0 for </w:t>
            </w:r>
            <w:r>
              <w:t xml:space="preserve">Adult Any Cohort </w:t>
            </w:r>
            <w:r w:rsidR="007B0E0F">
              <w:t>medium-</w:t>
            </w:r>
            <w:r w:rsidR="00D52674">
              <w:t>intensity segment</w:t>
            </w:r>
          </w:p>
        </w:tc>
        <w:tc>
          <w:tcPr>
            <w:tcW w:w="2350" w:type="dxa"/>
          </w:tcPr>
          <w:p w14:paraId="1C24AD60" w14:textId="0F3E3279" w:rsidR="00C07E39" w:rsidRPr="00223A3E" w:rsidRDefault="00C07E39" w:rsidP="00C07E39">
            <w:pPr>
              <w:rPr>
                <w:i/>
                <w:iCs/>
              </w:rPr>
            </w:pPr>
            <w:r w:rsidRPr="00223A3E">
              <w:rPr>
                <w:i/>
                <w:iCs/>
              </w:rPr>
              <w:t xml:space="preserve">Target case ratio </w:t>
            </w:r>
            <w:r>
              <w:rPr>
                <w:i/>
                <w:iCs/>
              </w:rPr>
              <w:t>60</w:t>
            </w:r>
          </w:p>
          <w:p w14:paraId="4C4B6957" w14:textId="61490F92" w:rsidR="00260A70" w:rsidRDefault="005106FA" w:rsidP="00260A70">
            <w:r>
              <w:t>-$128.7M</w:t>
            </w:r>
          </w:p>
        </w:tc>
        <w:tc>
          <w:tcPr>
            <w:tcW w:w="2351" w:type="dxa"/>
          </w:tcPr>
          <w:p w14:paraId="39583A41" w14:textId="3A3DD088" w:rsidR="00C07E39" w:rsidRPr="00223A3E" w:rsidRDefault="00C07E39" w:rsidP="00C07E39">
            <w:pPr>
              <w:rPr>
                <w:i/>
                <w:iCs/>
              </w:rPr>
            </w:pPr>
            <w:r w:rsidRPr="00223A3E">
              <w:rPr>
                <w:i/>
                <w:iCs/>
              </w:rPr>
              <w:t xml:space="preserve">Target case ratio </w:t>
            </w:r>
            <w:r>
              <w:rPr>
                <w:i/>
                <w:iCs/>
              </w:rPr>
              <w:t>40</w:t>
            </w:r>
          </w:p>
          <w:p w14:paraId="041502AE" w14:textId="246C7389" w:rsidR="00260A70" w:rsidRDefault="00E36A23" w:rsidP="00260A70">
            <w:r>
              <w:t>+$193.0M</w:t>
            </w:r>
          </w:p>
        </w:tc>
      </w:tr>
      <w:tr w:rsidR="00260A70" w14:paraId="17DA59F5" w14:textId="77777777" w:rsidTr="00260A70">
        <w:tc>
          <w:tcPr>
            <w:tcW w:w="2350" w:type="dxa"/>
          </w:tcPr>
          <w:p w14:paraId="29315637" w14:textId="4F4AE348" w:rsidR="00260A70" w:rsidRDefault="00E36A23" w:rsidP="00260A70">
            <w:r w:rsidRPr="00223A3E">
              <w:t xml:space="preserve">Target case ratio of </w:t>
            </w:r>
            <w:r>
              <w:t>5</w:t>
            </w:r>
            <w:r w:rsidRPr="00223A3E">
              <w:t xml:space="preserve">0 for </w:t>
            </w:r>
            <w:r>
              <w:t>Youth segment</w:t>
            </w:r>
          </w:p>
        </w:tc>
        <w:tc>
          <w:tcPr>
            <w:tcW w:w="2350" w:type="dxa"/>
          </w:tcPr>
          <w:p w14:paraId="7F8601B6" w14:textId="77777777" w:rsidR="00E36A23" w:rsidRPr="00223A3E" w:rsidRDefault="00E36A23" w:rsidP="00E36A23">
            <w:pPr>
              <w:rPr>
                <w:i/>
                <w:iCs/>
              </w:rPr>
            </w:pPr>
            <w:r w:rsidRPr="00223A3E">
              <w:rPr>
                <w:i/>
                <w:iCs/>
              </w:rPr>
              <w:t xml:space="preserve">Target case ratio </w:t>
            </w:r>
            <w:r>
              <w:rPr>
                <w:i/>
                <w:iCs/>
              </w:rPr>
              <w:t>60</w:t>
            </w:r>
          </w:p>
          <w:p w14:paraId="64C54A6E" w14:textId="57763DC9" w:rsidR="00485617" w:rsidRDefault="00485617" w:rsidP="00260A70">
            <w:r>
              <w:t>-$94.3M</w:t>
            </w:r>
          </w:p>
        </w:tc>
        <w:tc>
          <w:tcPr>
            <w:tcW w:w="2351" w:type="dxa"/>
          </w:tcPr>
          <w:p w14:paraId="3FC7C155" w14:textId="615C4CFF" w:rsidR="00E36A23" w:rsidRPr="00223A3E" w:rsidRDefault="00E36A23" w:rsidP="00E36A23">
            <w:pPr>
              <w:rPr>
                <w:i/>
                <w:iCs/>
              </w:rPr>
            </w:pPr>
            <w:r w:rsidRPr="00223A3E">
              <w:rPr>
                <w:i/>
                <w:iCs/>
              </w:rPr>
              <w:t xml:space="preserve">Target case ratio </w:t>
            </w:r>
            <w:r w:rsidR="00735B40">
              <w:rPr>
                <w:i/>
                <w:iCs/>
              </w:rPr>
              <w:t>4</w:t>
            </w:r>
            <w:r>
              <w:rPr>
                <w:i/>
                <w:iCs/>
              </w:rPr>
              <w:t>0</w:t>
            </w:r>
          </w:p>
          <w:p w14:paraId="7FC53E9D" w14:textId="7055ECB2" w:rsidR="00260A70" w:rsidRDefault="005649AA" w:rsidP="00260A70">
            <w:r>
              <w:t>+$141.5</w:t>
            </w:r>
            <w:r w:rsidR="00E00D43">
              <w:t>M</w:t>
            </w:r>
          </w:p>
        </w:tc>
      </w:tr>
      <w:tr w:rsidR="00646E0F" w14:paraId="14FD6891" w14:textId="77777777" w:rsidTr="00260A70">
        <w:trPr>
          <w:cnfStyle w:val="000000100000" w:firstRow="0" w:lastRow="0" w:firstColumn="0" w:lastColumn="0" w:oddVBand="0" w:evenVBand="0" w:oddHBand="1" w:evenHBand="0" w:firstRowFirstColumn="0" w:firstRowLastColumn="0" w:lastRowFirstColumn="0" w:lastRowLastColumn="0"/>
        </w:trPr>
        <w:tc>
          <w:tcPr>
            <w:tcW w:w="2350" w:type="dxa"/>
          </w:tcPr>
          <w:p w14:paraId="035466A2" w14:textId="53608795" w:rsidR="00646E0F" w:rsidRPr="00223A3E" w:rsidRDefault="00646E0F" w:rsidP="00260A70">
            <w:r>
              <w:t xml:space="preserve">Increase staff </w:t>
            </w:r>
            <w:r w:rsidR="0086098B">
              <w:t xml:space="preserve">annual </w:t>
            </w:r>
            <w:r>
              <w:t>salary to $</w:t>
            </w:r>
            <w:r w:rsidR="003E081F">
              <w:t>92,12</w:t>
            </w:r>
            <w:r w:rsidR="0086098B">
              <w:t>5 (incl. superannuation)</w:t>
            </w:r>
          </w:p>
        </w:tc>
        <w:tc>
          <w:tcPr>
            <w:tcW w:w="2350" w:type="dxa"/>
          </w:tcPr>
          <w:p w14:paraId="60032E62" w14:textId="77777777" w:rsidR="004063DF" w:rsidRDefault="0086098B" w:rsidP="00E36A23">
            <w:pPr>
              <w:rPr>
                <w:i/>
                <w:iCs/>
              </w:rPr>
            </w:pPr>
            <w:r>
              <w:rPr>
                <w:i/>
                <w:iCs/>
              </w:rPr>
              <w:t>Increase by 10</w:t>
            </w:r>
            <w:r w:rsidR="004063DF">
              <w:rPr>
                <w:i/>
                <w:iCs/>
              </w:rPr>
              <w:t>% from current</w:t>
            </w:r>
          </w:p>
          <w:p w14:paraId="57F1F4B2" w14:textId="780944B6" w:rsidR="00646E0F" w:rsidRPr="00223A3E" w:rsidRDefault="004F7366" w:rsidP="00E36A23">
            <w:pPr>
              <w:rPr>
                <w:i/>
                <w:iCs/>
              </w:rPr>
            </w:pPr>
            <w:r>
              <w:rPr>
                <w:i/>
                <w:iCs/>
              </w:rPr>
              <w:t>-$</w:t>
            </w:r>
            <w:r w:rsidR="002B4298">
              <w:rPr>
                <w:i/>
                <w:iCs/>
              </w:rPr>
              <w:t>4</w:t>
            </w:r>
            <w:r w:rsidR="00EB25B9">
              <w:rPr>
                <w:i/>
                <w:iCs/>
              </w:rPr>
              <w:t>13</w:t>
            </w:r>
            <w:r w:rsidR="002B4298">
              <w:rPr>
                <w:i/>
                <w:iCs/>
              </w:rPr>
              <w:t>.</w:t>
            </w:r>
            <w:r w:rsidR="004F2EAC">
              <w:rPr>
                <w:i/>
                <w:iCs/>
              </w:rPr>
              <w:t>8</w:t>
            </w:r>
            <w:r w:rsidR="002B4298">
              <w:rPr>
                <w:i/>
                <w:iCs/>
              </w:rPr>
              <w:t>M</w:t>
            </w:r>
            <w:r w:rsidR="0086098B">
              <w:rPr>
                <w:i/>
                <w:iCs/>
              </w:rPr>
              <w:t xml:space="preserve"> </w:t>
            </w:r>
          </w:p>
        </w:tc>
        <w:tc>
          <w:tcPr>
            <w:tcW w:w="2351" w:type="dxa"/>
          </w:tcPr>
          <w:p w14:paraId="4585AF15" w14:textId="5B93792E" w:rsidR="004F7366" w:rsidRDefault="004F7366" w:rsidP="004F7366">
            <w:pPr>
              <w:rPr>
                <w:i/>
                <w:iCs/>
              </w:rPr>
            </w:pPr>
            <w:r>
              <w:rPr>
                <w:i/>
                <w:iCs/>
              </w:rPr>
              <w:t>Increase 10% from $92,125</w:t>
            </w:r>
          </w:p>
          <w:p w14:paraId="78453212" w14:textId="2D956068" w:rsidR="00646E0F" w:rsidRPr="00223A3E" w:rsidRDefault="009560FC" w:rsidP="00E36A23">
            <w:pPr>
              <w:rPr>
                <w:i/>
                <w:iCs/>
              </w:rPr>
            </w:pPr>
            <w:r>
              <w:rPr>
                <w:i/>
                <w:iCs/>
              </w:rPr>
              <w:t>+</w:t>
            </w:r>
            <w:r w:rsidR="00562F7C">
              <w:rPr>
                <w:i/>
                <w:iCs/>
              </w:rPr>
              <w:t>$</w:t>
            </w:r>
            <w:r w:rsidR="001F6617">
              <w:rPr>
                <w:i/>
                <w:iCs/>
              </w:rPr>
              <w:t>156.4</w:t>
            </w:r>
            <w:r>
              <w:rPr>
                <w:i/>
                <w:iCs/>
              </w:rPr>
              <w:t>M</w:t>
            </w:r>
          </w:p>
        </w:tc>
      </w:tr>
      <w:tr w:rsidR="009560FC" w14:paraId="5455221D" w14:textId="77777777" w:rsidTr="00260A70">
        <w:tc>
          <w:tcPr>
            <w:tcW w:w="2350" w:type="dxa"/>
          </w:tcPr>
          <w:p w14:paraId="283E251A" w14:textId="4ED9BD43" w:rsidR="009560FC" w:rsidRDefault="00856023" w:rsidP="00260A70">
            <w:r>
              <w:t>Payment for Staff Cost</w:t>
            </w:r>
            <w:r w:rsidRPr="00223A3E">
              <w:t xml:space="preserve"> </w:t>
            </w:r>
            <w:r w:rsidR="00350CF6" w:rsidRPr="00223A3E">
              <w:t>loading of 20% to specialist providers</w:t>
            </w:r>
          </w:p>
        </w:tc>
        <w:tc>
          <w:tcPr>
            <w:tcW w:w="2350" w:type="dxa"/>
          </w:tcPr>
          <w:p w14:paraId="25BFB179" w14:textId="77777777" w:rsidR="009560FC" w:rsidRDefault="00350CF6" w:rsidP="00E36A23">
            <w:pPr>
              <w:rPr>
                <w:i/>
                <w:iCs/>
              </w:rPr>
            </w:pPr>
            <w:r>
              <w:rPr>
                <w:i/>
                <w:iCs/>
              </w:rPr>
              <w:t>Payment loading of 10%</w:t>
            </w:r>
          </w:p>
          <w:p w14:paraId="73222963" w14:textId="0D8CDD02" w:rsidR="008009CA" w:rsidRDefault="009E160D" w:rsidP="00E36A23">
            <w:pPr>
              <w:rPr>
                <w:i/>
                <w:iCs/>
              </w:rPr>
            </w:pPr>
            <w:r>
              <w:rPr>
                <w:i/>
                <w:iCs/>
              </w:rPr>
              <w:t>-$</w:t>
            </w:r>
            <w:r w:rsidR="008009CA">
              <w:rPr>
                <w:i/>
                <w:iCs/>
              </w:rPr>
              <w:t>99.6M</w:t>
            </w:r>
          </w:p>
        </w:tc>
        <w:tc>
          <w:tcPr>
            <w:tcW w:w="2351" w:type="dxa"/>
          </w:tcPr>
          <w:p w14:paraId="447F5447" w14:textId="73B7A3AA" w:rsidR="009E160D" w:rsidRDefault="009E160D" w:rsidP="009E160D">
            <w:pPr>
              <w:rPr>
                <w:i/>
                <w:iCs/>
              </w:rPr>
            </w:pPr>
            <w:r>
              <w:rPr>
                <w:i/>
                <w:iCs/>
              </w:rPr>
              <w:t>Payment loading of 30%</w:t>
            </w:r>
          </w:p>
          <w:p w14:paraId="009ABE18" w14:textId="456D96D4" w:rsidR="009560FC" w:rsidRDefault="009446E0" w:rsidP="009E160D">
            <w:pPr>
              <w:rPr>
                <w:i/>
                <w:iCs/>
              </w:rPr>
            </w:pPr>
            <w:r>
              <w:rPr>
                <w:i/>
                <w:iCs/>
              </w:rPr>
              <w:t>+</w:t>
            </w:r>
            <w:r w:rsidR="009E160D">
              <w:rPr>
                <w:i/>
                <w:iCs/>
              </w:rPr>
              <w:t>$</w:t>
            </w:r>
            <w:r w:rsidR="00504C35">
              <w:rPr>
                <w:i/>
                <w:iCs/>
              </w:rPr>
              <w:t>99.6M</w:t>
            </w:r>
          </w:p>
        </w:tc>
      </w:tr>
    </w:tbl>
    <w:p w14:paraId="6A9F855D" w14:textId="6788A230" w:rsidR="001D7A54" w:rsidRDefault="001D7A54" w:rsidP="00622324">
      <w:pPr>
        <w:pStyle w:val="Heading3"/>
      </w:pPr>
      <w:bookmarkStart w:id="41" w:name="_Ref219408798"/>
      <w:bookmarkStart w:id="42" w:name="_Toc226038399"/>
      <w:r>
        <w:t>Delivered by public sector</w:t>
      </w:r>
      <w:bookmarkEnd w:id="41"/>
      <w:bookmarkEnd w:id="42"/>
    </w:p>
    <w:p w14:paraId="59CA4F1C" w14:textId="25557244" w:rsidR="00F8548B" w:rsidRDefault="00F8548B" w:rsidP="008470ED">
      <w:r>
        <w:t xml:space="preserve">Under the current </w:t>
      </w:r>
      <w:r w:rsidR="003C2055">
        <w:t>Employment Services</w:t>
      </w:r>
      <w:r>
        <w:t xml:space="preserve"> system, the APS operates primarily as an “arm’s length” purchaser and contract manager rather than an active </w:t>
      </w:r>
      <w:r w:rsidR="00D1135E">
        <w:t>provider</w:t>
      </w:r>
      <w:r>
        <w:t xml:space="preserve"> </w:t>
      </w:r>
      <w:r w:rsidR="0023533F">
        <w:t xml:space="preserve">of </w:t>
      </w:r>
      <w:r>
        <w:t>service</w:t>
      </w:r>
      <w:r w:rsidR="0023533F">
        <w:t>s</w:t>
      </w:r>
      <w:r w:rsidR="00694442">
        <w:t>.</w:t>
      </w:r>
      <w:r w:rsidR="00C17EEC">
        <w:t xml:space="preserve"> DEWR is responsible for policy design, procurement and the administrative oversight of </w:t>
      </w:r>
      <w:r w:rsidR="00633C6A">
        <w:t xml:space="preserve">approximately 40 contracted providers. </w:t>
      </w:r>
      <w:r w:rsidR="005038FA">
        <w:t>Other ag</w:t>
      </w:r>
      <w:r w:rsidR="00B73929">
        <w:t xml:space="preserve">encies, such as the DSS and the National Indigenous </w:t>
      </w:r>
      <w:r w:rsidR="000A3822">
        <w:t xml:space="preserve">Australians Agency (NIAA), manage separate programs </w:t>
      </w:r>
      <w:r w:rsidR="001641B0">
        <w:t>such as Inclusive Employment Australia (IEA</w:t>
      </w:r>
      <w:r w:rsidR="001641B0" w:rsidRPr="004C066F">
        <w:t xml:space="preserve">, formerly </w:t>
      </w:r>
      <w:r w:rsidR="000A3822" w:rsidRPr="004C066F">
        <w:t>Disability Employment Services (DES)</w:t>
      </w:r>
      <w:r w:rsidR="001641B0" w:rsidRPr="004C066F">
        <w:t>)</w:t>
      </w:r>
      <w:r w:rsidR="000A3822" w:rsidRPr="004C066F">
        <w:t xml:space="preserve"> and the Community Development Program (CDP).</w:t>
      </w:r>
      <w:r w:rsidR="0009392B" w:rsidRPr="004C066F">
        <w:t xml:space="preserve"> </w:t>
      </w:r>
      <w:r w:rsidR="004C066F" w:rsidRPr="004C066F">
        <w:t xml:space="preserve">The Hill Review identified the Digital Services Contact </w:t>
      </w:r>
      <w:r w:rsidR="004C066F" w:rsidRPr="004C066F">
        <w:lastRenderedPageBreak/>
        <w:t xml:space="preserve">Centre (DSCC) as the only employment service currently delivered by the APS. However, it noted that the DSCC does not operate as a proactive provider and is funded </w:t>
      </w:r>
      <w:r w:rsidR="004C066F">
        <w:t xml:space="preserve">largely </w:t>
      </w:r>
      <w:r w:rsidR="004C066F" w:rsidRPr="004C066F">
        <w:t xml:space="preserve">on </w:t>
      </w:r>
      <w:r w:rsidR="004C066F">
        <w:t xml:space="preserve">a </w:t>
      </w:r>
      <w:r w:rsidR="004C066F" w:rsidRPr="004C066F">
        <w:t>block basis rather than being resourced in line with demand. As a result, its capacity has not scaled with growth in the digital caseload, limiting its ability to provide more active support.</w:t>
      </w:r>
    </w:p>
    <w:p w14:paraId="0B4AAD5E" w14:textId="1611B443" w:rsidR="00361378" w:rsidRPr="00361378" w:rsidRDefault="00645AEC" w:rsidP="008470ED">
      <w:r>
        <w:t>Under the reform</w:t>
      </w:r>
      <w:r w:rsidR="00582235">
        <w:t>s proposed by the Hill Review</w:t>
      </w:r>
      <w:r w:rsidR="00EE6D1F">
        <w:t>, the employment services</w:t>
      </w:r>
      <w:r>
        <w:t xml:space="preserve"> system</w:t>
      </w:r>
      <w:r w:rsidR="00EE6D1F">
        <w:t xml:space="preserve"> w</w:t>
      </w:r>
      <w:r w:rsidR="00582235">
        <w:t>ould</w:t>
      </w:r>
      <w:r w:rsidR="00EE6D1F">
        <w:t xml:space="preserve"> have a stronger public sector core. </w:t>
      </w:r>
      <w:r w:rsidR="00EE6D1F" w:rsidRPr="00EC1EB2">
        <w:t>T</w:t>
      </w:r>
      <w:r w:rsidR="00FC23E8" w:rsidRPr="00EC1EB2">
        <w:t xml:space="preserve">hrough </w:t>
      </w:r>
      <w:r w:rsidRPr="00EC1EB2">
        <w:t>ESA</w:t>
      </w:r>
      <w:r w:rsidR="00FC23E8" w:rsidRPr="00EC1EB2">
        <w:t>,</w:t>
      </w:r>
      <w:r w:rsidRPr="00EC1EB2">
        <w:t xml:space="preserve"> </w:t>
      </w:r>
      <w:r w:rsidR="00EE6D1F" w:rsidRPr="00EC1EB2">
        <w:t xml:space="preserve">the </w:t>
      </w:r>
      <w:r w:rsidR="00EC1EB2">
        <w:t>APS</w:t>
      </w:r>
      <w:r w:rsidR="008122B0" w:rsidRPr="00EC1EB2">
        <w:t xml:space="preserve"> </w:t>
      </w:r>
      <w:r w:rsidRPr="00EC1EB2">
        <w:t>w</w:t>
      </w:r>
      <w:r w:rsidR="00CC178E" w:rsidRPr="00EC1EB2">
        <w:t>ould</w:t>
      </w:r>
      <w:r>
        <w:t xml:space="preserve"> transi</w:t>
      </w:r>
      <w:r w:rsidR="007531D4">
        <w:t xml:space="preserve">tion </w:t>
      </w:r>
      <w:r w:rsidR="00FC23E8">
        <w:t>to an active steward and di</w:t>
      </w:r>
      <w:r w:rsidR="00BE5131">
        <w:t xml:space="preserve">rect provider of services. </w:t>
      </w:r>
      <w:r w:rsidR="002A18BA">
        <w:t>ESA w</w:t>
      </w:r>
      <w:r w:rsidR="00CC178E">
        <w:t>ould</w:t>
      </w:r>
      <w:r w:rsidR="002A18BA">
        <w:t xml:space="preserve"> direct</w:t>
      </w:r>
      <w:r w:rsidR="00361B4B">
        <w:t>ly</w:t>
      </w:r>
      <w:r w:rsidR="002A18BA">
        <w:t xml:space="preserve"> manage specific</w:t>
      </w:r>
      <w:r w:rsidR="003E4F72">
        <w:t xml:space="preserve"> groups of cases including</w:t>
      </w:r>
      <w:r w:rsidR="00B447EC">
        <w:t xml:space="preserve"> </w:t>
      </w:r>
      <w:r w:rsidR="002F6AC0">
        <w:t xml:space="preserve">those needing </w:t>
      </w:r>
      <w:r w:rsidR="00B447EC">
        <w:t>high-in</w:t>
      </w:r>
      <w:r w:rsidR="002F6AC0">
        <w:t>tensity support, in thin market</w:t>
      </w:r>
      <w:r w:rsidR="00B23104">
        <w:t>,</w:t>
      </w:r>
      <w:r w:rsidR="002F6AC0">
        <w:t xml:space="preserve"> and </w:t>
      </w:r>
      <w:r w:rsidR="008633CE">
        <w:t>persistently non-compliant with obligations</w:t>
      </w:r>
      <w:r w:rsidR="008470ED">
        <w:t>.</w:t>
      </w:r>
      <w:r w:rsidR="00361378" w:rsidRPr="00325267">
        <w:t xml:space="preserve"> This role may involve complex case management, including referral to other services such as mental health and homelessness services.</w:t>
      </w:r>
    </w:p>
    <w:p w14:paraId="04CC39CC" w14:textId="15F951CC" w:rsidR="001D7A54" w:rsidRDefault="001D7A54"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3A2A9C" w:rsidRPr="003A2A9C" w14:paraId="6B3399F5"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32814B17" w14:textId="1044F0F5" w:rsidR="003A2A9C" w:rsidRPr="005A39CD" w:rsidRDefault="003A2A9C" w:rsidP="0025259B">
            <w:pPr>
              <w:rPr>
                <w:b/>
              </w:rPr>
            </w:pPr>
            <w:r w:rsidRPr="005A39CD">
              <w:rPr>
                <w:b/>
              </w:rPr>
              <w:t xml:space="preserve">Recommendation </w:t>
            </w:r>
            <w:r w:rsidR="000625FB" w:rsidRPr="005A39CD">
              <w:rPr>
                <w:b/>
                <w:bCs/>
              </w:rPr>
              <w:t>8</w:t>
            </w:r>
          </w:p>
          <w:p w14:paraId="5A07BE46" w14:textId="77777777" w:rsidR="000625FB" w:rsidRPr="005A39CD" w:rsidRDefault="003A2A9C">
            <w:pPr>
              <w:rPr>
                <w:noProof/>
              </w:rPr>
            </w:pPr>
            <w:r w:rsidRPr="005A39CD">
              <w:t xml:space="preserve">The Committee recommends that the </w:t>
            </w:r>
            <w:r w:rsidR="000625FB" w:rsidRPr="005A39CD">
              <w:rPr>
                <w:noProof/>
              </w:rPr>
              <w:t xml:space="preserve">core service model for the new </w:t>
            </w:r>
            <w:r w:rsidRPr="005A39CD">
              <w:t xml:space="preserve">Commonwealth Employment Services System </w:t>
            </w:r>
            <w:r w:rsidR="000625FB" w:rsidRPr="005A39CD">
              <w:rPr>
                <w:noProof/>
              </w:rPr>
              <w:t xml:space="preserve">provide far </w:t>
            </w:r>
            <w:r w:rsidRPr="005A39CD">
              <w:t xml:space="preserve">more </w:t>
            </w:r>
            <w:r w:rsidR="000625FB" w:rsidRPr="005A39CD">
              <w:rPr>
                <w:noProof/>
              </w:rPr>
              <w:t>tailored and flexible</w:t>
            </w:r>
            <w:r w:rsidRPr="005A39CD">
              <w:t xml:space="preserve"> support</w:t>
            </w:r>
            <w:r w:rsidR="000625FB" w:rsidRPr="005A39CD">
              <w:rPr>
                <w:noProof/>
              </w:rPr>
              <w:t xml:space="preserve">, with tailored </w:t>
            </w:r>
            <w:r w:rsidRPr="005A39CD">
              <w:t>Participation and Jobs Plans</w:t>
            </w:r>
            <w:r w:rsidR="000625FB" w:rsidRPr="005A39CD">
              <w:rPr>
                <w:noProof/>
              </w:rPr>
              <w:t xml:space="preserve"> that recognise more diverse pathways to employment. The model should include the following key elements: </w:t>
            </w:r>
          </w:p>
          <w:p w14:paraId="493A97F5" w14:textId="3A741E1D" w:rsidR="000625FB" w:rsidRPr="005A39CD" w:rsidRDefault="000625FB" w:rsidP="000625FB">
            <w:pPr>
              <w:pStyle w:val="Bullet1"/>
            </w:pPr>
            <w:r w:rsidRPr="005A39CD">
              <w:rPr>
                <w:noProof/>
              </w:rPr>
              <w:t xml:space="preserve">A </w:t>
            </w:r>
            <w:r w:rsidRPr="005A39CD">
              <w:t>digital</w:t>
            </w:r>
            <w:r w:rsidRPr="005A39CD">
              <w:rPr>
                <w:noProof/>
              </w:rPr>
              <w:t>-hybrid employment service delivered by Employment Service Australia for those jobseekers identified as being able to effectively self manage online</w:t>
            </w:r>
          </w:p>
          <w:p w14:paraId="03CDEEDB" w14:textId="77777777" w:rsidR="000625FB" w:rsidRPr="005A39CD" w:rsidRDefault="000625FB" w:rsidP="000625FB">
            <w:pPr>
              <w:pStyle w:val="Bullet1"/>
            </w:pPr>
            <w:r w:rsidRPr="005A39CD">
              <w:rPr>
                <w:noProof/>
              </w:rPr>
              <w:t xml:space="preserve">Case management services informed by more tailored assessment and Participation and Jobs Plans, differentiated by an individual’s needs and proximity to the labour market, with: </w:t>
            </w:r>
          </w:p>
          <w:p w14:paraId="1A30DE3E" w14:textId="1CAEE22B" w:rsidR="005A39CD" w:rsidRPr="005A39CD" w:rsidRDefault="000625FB" w:rsidP="000625FB">
            <w:pPr>
              <w:pStyle w:val="Bullet2"/>
            </w:pPr>
            <w:r w:rsidRPr="005A39CD">
              <w:rPr>
                <w:noProof/>
              </w:rPr>
              <w:t>A ‘low intensity’ advisory and support service focused on preparing for and finding work and addressing minor vocational barriers to employment, generally provided by contracted service partners</w:t>
            </w:r>
          </w:p>
          <w:p w14:paraId="50A6B08F" w14:textId="36C29935" w:rsidR="005A39CD" w:rsidRPr="005A39CD" w:rsidRDefault="000625FB" w:rsidP="000625FB">
            <w:pPr>
              <w:pStyle w:val="Bullet2"/>
            </w:pPr>
            <w:r w:rsidRPr="005A39CD">
              <w:rPr>
                <w:noProof/>
              </w:rPr>
              <w:t>A ‘medium intensity’ case management service focused on setting goals and overcoming vocational and non-vocational barriers, generally provided by contracted service partners</w:t>
            </w:r>
          </w:p>
          <w:p w14:paraId="1864A02C" w14:textId="627C46C4" w:rsidR="005A39CD" w:rsidRPr="005A39CD" w:rsidRDefault="000625FB" w:rsidP="000625FB">
            <w:pPr>
              <w:pStyle w:val="Bullet2"/>
            </w:pPr>
            <w:r w:rsidRPr="005A39CD">
              <w:rPr>
                <w:noProof/>
              </w:rPr>
              <w:t>A ‘high intensity’ service for people who are furthest from the labour market, including in-depth and wrap-around support, likely case managed through a public sector-led program</w:t>
            </w:r>
          </w:p>
          <w:p w14:paraId="2DDFC32B" w14:textId="4356EEC4" w:rsidR="005A39CD" w:rsidRPr="005A39CD" w:rsidRDefault="000625FB" w:rsidP="005A39CD">
            <w:pPr>
              <w:pStyle w:val="Bullet1"/>
            </w:pPr>
            <w:r w:rsidRPr="005A39CD">
              <w:rPr>
                <w:noProof/>
              </w:rPr>
              <w:t>Referral and access to other human services that address substantial non vocational barriers to employment as required</w:t>
            </w:r>
          </w:p>
          <w:p w14:paraId="40FDD4EB" w14:textId="5A680679" w:rsidR="005A39CD" w:rsidRPr="005A39CD" w:rsidRDefault="000625FB" w:rsidP="005A39CD">
            <w:pPr>
              <w:pStyle w:val="Bullet1"/>
            </w:pPr>
            <w:r w:rsidRPr="005A39CD">
              <w:rPr>
                <w:noProof/>
              </w:rPr>
              <w:t>Cohort-specific specialist support delivered by organisations with relevant expertise and competency, with priority cohorts including First Nations peoples, people from culturally and linguistically diverse backgrounds and people with significant disabilities</w:t>
            </w:r>
          </w:p>
          <w:p w14:paraId="29A68C2A" w14:textId="77777777" w:rsidR="003A2A9C" w:rsidRDefault="000625FB" w:rsidP="005A39CD">
            <w:pPr>
              <w:pStyle w:val="Bullet1"/>
              <w:rPr>
                <w:noProof/>
              </w:rPr>
            </w:pPr>
            <w:r w:rsidRPr="005A39CD">
              <w:rPr>
                <w:noProof/>
              </w:rPr>
              <w:t>Social and community participation goals for people who are unlikely to benefit from other assistance for whom employment is simply not a realistic outcome at least in the short term</w:t>
            </w:r>
            <w:r w:rsidR="005A39CD" w:rsidRPr="005A39CD">
              <w:rPr>
                <w:noProof/>
              </w:rPr>
              <w:t>.</w:t>
            </w:r>
          </w:p>
          <w:p w14:paraId="0D7F2347" w14:textId="77777777" w:rsidR="00780B17" w:rsidRPr="005A39CD" w:rsidRDefault="00780B17" w:rsidP="00780B17">
            <w:pPr>
              <w:rPr>
                <w:b/>
                <w:bCs/>
              </w:rPr>
            </w:pPr>
            <w:r w:rsidRPr="005A39CD">
              <w:rPr>
                <w:b/>
                <w:bCs/>
              </w:rPr>
              <w:t xml:space="preserve">Recommendation </w:t>
            </w:r>
            <w:r>
              <w:rPr>
                <w:b/>
                <w:bCs/>
              </w:rPr>
              <w:t>10</w:t>
            </w:r>
          </w:p>
          <w:p w14:paraId="3F3B25AD" w14:textId="77777777" w:rsidR="00780B17" w:rsidRDefault="00780B17" w:rsidP="00780B17">
            <w:pPr>
              <w:rPr>
                <w:noProof/>
              </w:rPr>
            </w:pPr>
            <w:r w:rsidRPr="00780B17">
              <w:rPr>
                <w:noProof/>
              </w:rPr>
              <w:t>The Committee recommends that in designing a high intensity case management service for people furthest from the labour market, most likely delivered by the public sector or community based not-for-profit service partners, the Australian Government consider the lessons of the former Personal Support Programme and the French ‘remobilisation’ package for long-term and very-long-term unemployed people.</w:t>
            </w:r>
          </w:p>
          <w:p w14:paraId="5B21355D" w14:textId="653FA8D7" w:rsidR="008977DD" w:rsidRDefault="008977DD" w:rsidP="008977DD">
            <w:pPr>
              <w:rPr>
                <w:b/>
                <w:bCs/>
              </w:rPr>
            </w:pPr>
            <w:r w:rsidRPr="005A39CD">
              <w:rPr>
                <w:b/>
                <w:bCs/>
              </w:rPr>
              <w:t xml:space="preserve">Recommendation </w:t>
            </w:r>
            <w:r>
              <w:rPr>
                <w:b/>
                <w:bCs/>
              </w:rPr>
              <w:t>62</w:t>
            </w:r>
          </w:p>
          <w:p w14:paraId="11D73821" w14:textId="77777777" w:rsidR="00C73387" w:rsidRPr="00C643D1" w:rsidRDefault="00C73387" w:rsidP="008977DD">
            <w:r w:rsidRPr="00C73387">
              <w:t xml:space="preserve">The Committee recommends that the Australian Government implement a new Shared Accountability Framework. This should replace the current Targeted Compliance Framework and should include the </w:t>
            </w:r>
            <w:r w:rsidRPr="00C643D1">
              <w:t xml:space="preserve">following key elements: </w:t>
            </w:r>
          </w:p>
          <w:p w14:paraId="349E91B2" w14:textId="5BDBBB72" w:rsidR="00C73387" w:rsidRPr="00C643D1" w:rsidRDefault="00C73387" w:rsidP="00C73387">
            <w:pPr>
              <w:pStyle w:val="Bullet1"/>
            </w:pPr>
            <w:r w:rsidRPr="00C643D1">
              <w:t>…</w:t>
            </w:r>
          </w:p>
          <w:p w14:paraId="5F5386B2" w14:textId="1D7E5031" w:rsidR="00C73387" w:rsidRPr="00C643D1" w:rsidRDefault="00C73387" w:rsidP="00C73387">
            <w:pPr>
              <w:pStyle w:val="Bullet1"/>
            </w:pPr>
            <w:r w:rsidRPr="00C643D1">
              <w:lastRenderedPageBreak/>
              <w:t>People who accrue the maximum number of warnings by persistently failing to meet mutual obligation requirements are be referred to Employment Services Australia for a capability assessment.</w:t>
            </w:r>
          </w:p>
          <w:p w14:paraId="252A84C1" w14:textId="5E3F4245" w:rsidR="003A2A9C" w:rsidRPr="00780B17" w:rsidRDefault="00C73387" w:rsidP="00780B17">
            <w:pPr>
              <w:pStyle w:val="Bullet1"/>
            </w:pPr>
            <w:r w:rsidRPr="00C643D1">
              <w:t>…</w:t>
            </w:r>
          </w:p>
        </w:tc>
      </w:tr>
    </w:tbl>
    <w:p w14:paraId="0E062E89" w14:textId="2EED7ABD" w:rsidR="00B44CEA" w:rsidRDefault="003A2A9C" w:rsidP="00636971">
      <w:pPr>
        <w:rPr>
          <w:color w:val="231F20" w:themeColor="text1"/>
        </w:rPr>
      </w:pPr>
      <w:r w:rsidRPr="00636971">
        <w:rPr>
          <w:i/>
          <w:iCs/>
          <w:color w:val="006EC8" w:themeColor="accent1"/>
        </w:rPr>
        <w:lastRenderedPageBreak/>
        <w:t>Cost implications:</w:t>
      </w:r>
      <w:r w:rsidRPr="00636971">
        <w:rPr>
          <w:color w:val="006EC8" w:themeColor="accent1"/>
        </w:rPr>
        <w:t xml:space="preserve"> </w:t>
      </w:r>
      <w:r w:rsidR="009A2929" w:rsidRPr="009A2929">
        <w:rPr>
          <w:color w:val="231F20" w:themeColor="text1"/>
        </w:rPr>
        <w:t>Under</w:t>
      </w:r>
      <w:r w:rsidR="009A2929">
        <w:rPr>
          <w:color w:val="231F20" w:themeColor="text1"/>
        </w:rPr>
        <w:t xml:space="preserve"> the </w:t>
      </w:r>
      <w:r w:rsidR="00325620">
        <w:rPr>
          <w:color w:val="231F20" w:themeColor="text1"/>
        </w:rPr>
        <w:t>proposed</w:t>
      </w:r>
      <w:r w:rsidR="009A2929">
        <w:rPr>
          <w:color w:val="231F20" w:themeColor="text1"/>
        </w:rPr>
        <w:t xml:space="preserve"> system</w:t>
      </w:r>
      <w:r w:rsidR="00325620">
        <w:rPr>
          <w:color w:val="231F20" w:themeColor="text1"/>
        </w:rPr>
        <w:t xml:space="preserve"> reforms</w:t>
      </w:r>
      <w:r w:rsidR="00B23DC5">
        <w:rPr>
          <w:color w:val="231F20" w:themeColor="text1"/>
        </w:rPr>
        <w:t xml:space="preserve">, the public sector </w:t>
      </w:r>
      <w:r w:rsidR="00361B4B">
        <w:rPr>
          <w:color w:val="231F20" w:themeColor="text1"/>
        </w:rPr>
        <w:t>w</w:t>
      </w:r>
      <w:r w:rsidR="00325620">
        <w:rPr>
          <w:color w:val="231F20" w:themeColor="text1"/>
        </w:rPr>
        <w:t>ould</w:t>
      </w:r>
      <w:r w:rsidR="00B23DC5">
        <w:rPr>
          <w:color w:val="231F20" w:themeColor="text1"/>
        </w:rPr>
        <w:t xml:space="preserve"> </w:t>
      </w:r>
      <w:r w:rsidR="00B44CEA">
        <w:rPr>
          <w:color w:val="231F20" w:themeColor="text1"/>
        </w:rPr>
        <w:t xml:space="preserve">be involved in the </w:t>
      </w:r>
      <w:r w:rsidR="00B23DC5">
        <w:rPr>
          <w:color w:val="231F20" w:themeColor="text1"/>
        </w:rPr>
        <w:t xml:space="preserve">direct </w:t>
      </w:r>
      <w:r w:rsidR="00D359F9">
        <w:rPr>
          <w:color w:val="231F20" w:themeColor="text1"/>
        </w:rPr>
        <w:t>mana</w:t>
      </w:r>
      <w:r w:rsidR="00361B4B">
        <w:rPr>
          <w:color w:val="231F20" w:themeColor="text1"/>
        </w:rPr>
        <w:t>ge</w:t>
      </w:r>
      <w:r w:rsidR="00B44CEA">
        <w:rPr>
          <w:color w:val="231F20" w:themeColor="text1"/>
        </w:rPr>
        <w:t>ment of:</w:t>
      </w:r>
    </w:p>
    <w:p w14:paraId="756ACF57" w14:textId="09BD8779" w:rsidR="00B44CEA" w:rsidRDefault="00223965" w:rsidP="00B14FD6">
      <w:pPr>
        <w:pStyle w:val="Bullet1"/>
      </w:pPr>
      <w:r>
        <w:t>J</w:t>
      </w:r>
      <w:r w:rsidR="006C572B">
        <w:t>obseekers</w:t>
      </w:r>
      <w:r w:rsidR="00361B4B">
        <w:t xml:space="preserve"> </w:t>
      </w:r>
      <w:r w:rsidR="007073F9">
        <w:t>requir</w:t>
      </w:r>
      <w:r w:rsidR="0064065F">
        <w:t xml:space="preserve">ing </w:t>
      </w:r>
      <w:r w:rsidR="007073F9">
        <w:t>high-intensity servic</w:t>
      </w:r>
      <w:r w:rsidR="00325620">
        <w:t>ing</w:t>
      </w:r>
      <w:r w:rsidR="007073F9">
        <w:t xml:space="preserve">, </w:t>
      </w:r>
      <w:r w:rsidR="00381D28">
        <w:t xml:space="preserve">including those </w:t>
      </w:r>
      <w:r w:rsidR="00B061FD">
        <w:t xml:space="preserve">furthest from the labour </w:t>
      </w:r>
      <w:r w:rsidR="00F13063">
        <w:t>market</w:t>
      </w:r>
      <w:r w:rsidR="00F66871">
        <w:t xml:space="preserve"> </w:t>
      </w:r>
      <w:r w:rsidR="005D4CEF" w:rsidRPr="005D4CEF">
        <w:t>who are not ready for or have not succeeded in provider services</w:t>
      </w:r>
      <w:r w:rsidR="003F6764">
        <w:t>.</w:t>
      </w:r>
    </w:p>
    <w:p w14:paraId="0114CB86" w14:textId="7C274636" w:rsidR="00B44CEA" w:rsidRDefault="0057069C" w:rsidP="00B14FD6">
      <w:pPr>
        <w:pStyle w:val="Bullet1"/>
      </w:pPr>
      <w:r>
        <w:t>T</w:t>
      </w:r>
      <w:r w:rsidR="005D4CEF">
        <w:t xml:space="preserve">hose </w:t>
      </w:r>
      <w:r w:rsidR="00B86634">
        <w:t>in thin</w:t>
      </w:r>
      <w:r w:rsidR="003F0430">
        <w:t xml:space="preserve"> </w:t>
      </w:r>
      <w:r w:rsidR="00382CC9">
        <w:t xml:space="preserve">markets </w:t>
      </w:r>
      <w:r w:rsidR="004640EC" w:rsidRPr="004640EC">
        <w:t>where the ESA would act as a provider of last resort</w:t>
      </w:r>
      <w:r w:rsidR="003F6764">
        <w:t>.</w:t>
      </w:r>
      <w:r w:rsidR="0012397D">
        <w:t xml:space="preserve"> </w:t>
      </w:r>
    </w:p>
    <w:p w14:paraId="7D310BF1" w14:textId="42507132" w:rsidR="00B44CEA" w:rsidRDefault="0057069C" w:rsidP="00B14FD6">
      <w:pPr>
        <w:pStyle w:val="Bullet1"/>
      </w:pPr>
      <w:r>
        <w:t>J</w:t>
      </w:r>
      <w:r w:rsidR="00E91B6D">
        <w:t xml:space="preserve">obseekers </w:t>
      </w:r>
      <w:r w:rsidR="004640EC">
        <w:t>with</w:t>
      </w:r>
      <w:r w:rsidR="0084074A">
        <w:t xml:space="preserve"> pers</w:t>
      </w:r>
      <w:r w:rsidR="00B7620A">
        <w:t xml:space="preserve">istent non-compliance with </w:t>
      </w:r>
      <w:r w:rsidR="008977DD">
        <w:t>mutual</w:t>
      </w:r>
      <w:r w:rsidR="00B7620A">
        <w:t xml:space="preserve"> obligations</w:t>
      </w:r>
      <w:r w:rsidR="008977DD">
        <w:t xml:space="preserve"> (Recommendation 62)</w:t>
      </w:r>
      <w:r w:rsidR="00F13063">
        <w:t xml:space="preserve">. </w:t>
      </w:r>
    </w:p>
    <w:p w14:paraId="4B715D10" w14:textId="2E992F95" w:rsidR="00692B9B" w:rsidRDefault="00150EF9" w:rsidP="00382CC9">
      <w:pPr>
        <w:pStyle w:val="Bullet1"/>
      </w:pPr>
      <w:r>
        <w:t>The public sector taking on this role</w:t>
      </w:r>
      <w:r w:rsidR="00F13063">
        <w:t xml:space="preserve"> </w:t>
      </w:r>
      <w:r w:rsidR="00692B9B">
        <w:t xml:space="preserve">would </w:t>
      </w:r>
      <w:r>
        <w:t xml:space="preserve">result in a </w:t>
      </w:r>
      <w:r w:rsidR="00692B9B">
        <w:t xml:space="preserve">transfer </w:t>
      </w:r>
      <w:r>
        <w:t>of</w:t>
      </w:r>
      <w:r w:rsidR="00692B9B">
        <w:t xml:space="preserve"> the associated caseload from contracted providers to the public sector. </w:t>
      </w:r>
      <w:r w:rsidR="004F5A28">
        <w:t xml:space="preserve">The shift of this caseload would lead to a reduction in </w:t>
      </w:r>
      <w:r w:rsidR="00CA4360">
        <w:t xml:space="preserve">upfront and outcome payments </w:t>
      </w:r>
      <w:r w:rsidR="00360E6F">
        <w:t>paid to providers</w:t>
      </w:r>
      <w:r w:rsidR="00F9034A">
        <w:t>.</w:t>
      </w:r>
      <w:r w:rsidR="00744960">
        <w:t xml:space="preserve"> The public sector would then be responsible for </w:t>
      </w:r>
      <w:r w:rsidR="00F10859">
        <w:t>resourcing case managers</w:t>
      </w:r>
      <w:r w:rsidR="00BF5DCA">
        <w:t xml:space="preserve"> to </w:t>
      </w:r>
      <w:r w:rsidR="00B25BEA">
        <w:t xml:space="preserve">manage this caseload, with the appropriate managerial oversight and corporate support. </w:t>
      </w:r>
      <w:r w:rsidR="00692B9B">
        <w:t xml:space="preserve">The </w:t>
      </w:r>
      <w:r w:rsidR="00394B51">
        <w:t>net</w:t>
      </w:r>
      <w:r w:rsidR="00692B9B">
        <w:t xml:space="preserve"> </w:t>
      </w:r>
      <w:r w:rsidR="00B25BEA">
        <w:t xml:space="preserve">cost </w:t>
      </w:r>
      <w:r w:rsidR="00896CF2">
        <w:t>implications</w:t>
      </w:r>
      <w:r w:rsidR="00692B9B">
        <w:t xml:space="preserve"> would </w:t>
      </w:r>
      <w:r w:rsidR="005F6067">
        <w:t xml:space="preserve">be </w:t>
      </w:r>
      <w:r w:rsidR="00692B9B">
        <w:t>depend</w:t>
      </w:r>
      <w:r w:rsidR="005F6067">
        <w:t>ent</w:t>
      </w:r>
      <w:r w:rsidR="00692B9B">
        <w:t xml:space="preserve"> on </w:t>
      </w:r>
      <w:r w:rsidR="00DB4BD5">
        <w:t>the</w:t>
      </w:r>
      <w:r w:rsidR="00692B9B">
        <w:t xml:space="preserve"> cost </w:t>
      </w:r>
      <w:r w:rsidR="00C277F8">
        <w:t xml:space="preserve">differentials </w:t>
      </w:r>
      <w:r w:rsidR="0052139E">
        <w:t xml:space="preserve">of </w:t>
      </w:r>
      <w:r w:rsidR="00692B9B">
        <w:t xml:space="preserve">delivering these services through </w:t>
      </w:r>
      <w:r w:rsidR="0052139E">
        <w:t xml:space="preserve">the public sector compared to </w:t>
      </w:r>
      <w:r w:rsidR="00470882">
        <w:t>through</w:t>
      </w:r>
      <w:r w:rsidR="0052139E">
        <w:t xml:space="preserve"> providers.</w:t>
      </w:r>
    </w:p>
    <w:p w14:paraId="7989A703" w14:textId="77777777" w:rsidR="001D7A54" w:rsidRDefault="001D7A54" w:rsidP="00622324">
      <w:pPr>
        <w:pStyle w:val="Heading4"/>
      </w:pPr>
      <w:r>
        <w:t>Costing approach</w:t>
      </w:r>
    </w:p>
    <w:p w14:paraId="09AC7D2E" w14:textId="6688F796" w:rsidR="00EA69F0" w:rsidRDefault="00FA237E" w:rsidP="7A5D9B33">
      <w:r>
        <w:t xml:space="preserve">The cost of </w:t>
      </w:r>
      <w:r w:rsidR="004E626A">
        <w:t>mov</w:t>
      </w:r>
      <w:r w:rsidR="00E0086F">
        <w:t>ing</w:t>
      </w:r>
      <w:r w:rsidR="004E626A">
        <w:t xml:space="preserve"> some cases</w:t>
      </w:r>
      <w:r w:rsidR="006533EF">
        <w:t xml:space="preserve"> from contracted providers</w:t>
      </w:r>
      <w:r w:rsidR="004E626A">
        <w:t xml:space="preserve"> to </w:t>
      </w:r>
      <w:r w:rsidR="00662F90">
        <w:t xml:space="preserve">the </w:t>
      </w:r>
      <w:r w:rsidR="004E626A">
        <w:t xml:space="preserve">ESA </w:t>
      </w:r>
      <w:r w:rsidR="00662F90">
        <w:t>is</w:t>
      </w:r>
      <w:r w:rsidR="006533EF">
        <w:t xml:space="preserve"> buil</w:t>
      </w:r>
      <w:r w:rsidR="00E0086F">
        <w:t>t</w:t>
      </w:r>
      <w:r w:rsidR="004E626A">
        <w:t xml:space="preserve"> upon the enhanced </w:t>
      </w:r>
      <w:r w:rsidR="00E022F1">
        <w:t>partner ser</w:t>
      </w:r>
      <w:r w:rsidR="00E72C49">
        <w:t xml:space="preserve">vice </w:t>
      </w:r>
      <w:r w:rsidR="0052246A">
        <w:t xml:space="preserve">delivery </w:t>
      </w:r>
      <w:r w:rsidR="009E30B9">
        <w:t xml:space="preserve">model </w:t>
      </w:r>
      <w:r w:rsidR="00EE617F">
        <w:t xml:space="preserve">described in Section </w:t>
      </w:r>
      <w:r w:rsidR="0052246A">
        <w:fldChar w:fldCharType="begin"/>
      </w:r>
      <w:r w:rsidR="0052246A">
        <w:instrText xml:space="preserve"> REF _Ref219237390 \w \h </w:instrText>
      </w:r>
      <w:r w:rsidR="0052246A">
        <w:fldChar w:fldCharType="separate"/>
      </w:r>
      <w:r w:rsidR="001703C6">
        <w:t>4.1</w:t>
      </w:r>
      <w:r w:rsidR="0052246A">
        <w:fldChar w:fldCharType="end"/>
      </w:r>
      <w:r w:rsidR="00EE617F">
        <w:t xml:space="preserve">. </w:t>
      </w:r>
      <w:r w:rsidR="00F34077">
        <w:t>Under Recommendation 10, a subset of jobseekers</w:t>
      </w:r>
      <w:r w:rsidR="005D1057">
        <w:t xml:space="preserve"> who are</w:t>
      </w:r>
      <w:r w:rsidR="005A375F">
        <w:t xml:space="preserve"> </w:t>
      </w:r>
      <w:r w:rsidR="00CE779B">
        <w:t>furthest</w:t>
      </w:r>
      <w:r w:rsidR="00276517">
        <w:t xml:space="preserve"> from the labour market, </w:t>
      </w:r>
      <w:r w:rsidR="00F20424">
        <w:t>would be</w:t>
      </w:r>
      <w:r w:rsidR="00276517">
        <w:t xml:space="preserve"> case manage</w:t>
      </w:r>
      <w:r w:rsidR="00F20424">
        <w:t>d</w:t>
      </w:r>
      <w:r w:rsidR="00276517">
        <w:t xml:space="preserve"> by the public service or community-based not-for-profit provider</w:t>
      </w:r>
      <w:r w:rsidR="00F20424">
        <w:t>s</w:t>
      </w:r>
      <w:r w:rsidR="00276517">
        <w:t xml:space="preserve">. </w:t>
      </w:r>
      <w:r w:rsidR="00EA69F0">
        <w:t xml:space="preserve">The caseload and </w:t>
      </w:r>
      <w:r w:rsidR="000A4AAC">
        <w:t>associated payments would therefore</w:t>
      </w:r>
      <w:r w:rsidR="00EA69F0">
        <w:t xml:space="preserve"> be removed from </w:t>
      </w:r>
      <w:r w:rsidR="000A4AAC">
        <w:t>providers</w:t>
      </w:r>
      <w:r w:rsidR="00725050">
        <w:t xml:space="preserve"> and shifted to management by </w:t>
      </w:r>
      <w:r w:rsidR="00184F5D">
        <w:t>the public sector</w:t>
      </w:r>
      <w:r w:rsidR="00B95824">
        <w:t xml:space="preserve"> with costs paid as Departmental Expenses</w:t>
      </w:r>
      <w:r w:rsidR="00184F5D">
        <w:t>.</w:t>
      </w:r>
    </w:p>
    <w:p w14:paraId="56EA6CB0" w14:textId="7B697238" w:rsidR="00D0320C" w:rsidRDefault="00184F5D" w:rsidP="7A5D9B33">
      <w:r>
        <w:t xml:space="preserve">The key </w:t>
      </w:r>
      <w:r w:rsidR="00BB25D1">
        <w:t xml:space="preserve">cost </w:t>
      </w:r>
      <w:r>
        <w:t xml:space="preserve">driver for public service delivery </w:t>
      </w:r>
      <w:r w:rsidR="00D0320C">
        <w:t xml:space="preserve">is </w:t>
      </w:r>
      <w:r w:rsidR="00BB25D1">
        <w:t>s</w:t>
      </w:r>
      <w:r w:rsidR="00347BB7">
        <w:t>alary</w:t>
      </w:r>
      <w:r w:rsidR="00BB25D1">
        <w:t xml:space="preserve">, which is determined by </w:t>
      </w:r>
      <w:r w:rsidR="00B451D0">
        <w:t>several factors:</w:t>
      </w:r>
    </w:p>
    <w:p w14:paraId="471A4803" w14:textId="4FF7AE5E" w:rsidR="00B451D0" w:rsidRDefault="00B00B17" w:rsidP="00B451D0">
      <w:pPr>
        <w:pStyle w:val="Bullet1"/>
      </w:pPr>
      <w:r>
        <w:t>Amount</w:t>
      </w:r>
      <w:r w:rsidR="00B451D0">
        <w:t xml:space="preserve"> of caseload transferred from partners to the public sector</w:t>
      </w:r>
    </w:p>
    <w:p w14:paraId="4877F0F5" w14:textId="03ED9C91" w:rsidR="00B451D0" w:rsidRDefault="00B451D0" w:rsidP="00B451D0">
      <w:pPr>
        <w:pStyle w:val="Bullet1"/>
      </w:pPr>
      <w:r>
        <w:t>Target case ratio</w:t>
      </w:r>
    </w:p>
    <w:p w14:paraId="4535CF51" w14:textId="57983DCE" w:rsidR="00B451D0" w:rsidRDefault="00347BB7" w:rsidP="00B451D0">
      <w:pPr>
        <w:pStyle w:val="Bullet1"/>
      </w:pPr>
      <w:r>
        <w:t xml:space="preserve">Staff </w:t>
      </w:r>
      <w:r w:rsidR="00010F1E">
        <w:t>salary.</w:t>
      </w:r>
    </w:p>
    <w:p w14:paraId="28987C9D" w14:textId="32E267E9" w:rsidR="00010F1E" w:rsidRPr="00010F1E" w:rsidRDefault="00010F1E" w:rsidP="00010F1E">
      <w:r>
        <w:t>Once frontline staffing cost is established, associated managerial and corporate overhead</w:t>
      </w:r>
      <w:r w:rsidR="00CE779B">
        <w:t>,</w:t>
      </w:r>
      <w:r>
        <w:t xml:space="preserve"> and leasing costs are </w:t>
      </w:r>
      <w:r w:rsidR="00CE779B">
        <w:t xml:space="preserve">applied. </w:t>
      </w:r>
    </w:p>
    <w:p w14:paraId="30D91514" w14:textId="77777777" w:rsidR="001D7A54" w:rsidRDefault="001D7A54" w:rsidP="00622324">
      <w:pPr>
        <w:pStyle w:val="Heading4"/>
      </w:pPr>
      <w:r>
        <w:t>Costing</w:t>
      </w:r>
    </w:p>
    <w:p w14:paraId="358D30F7" w14:textId="123E92CD" w:rsidR="00861F04" w:rsidRDefault="00383317" w:rsidP="00693683">
      <w:r>
        <w:t>The position of</w:t>
      </w:r>
      <w:r w:rsidR="00774B19">
        <w:t xml:space="preserve"> the </w:t>
      </w:r>
      <w:r w:rsidR="00645C44">
        <w:t>Employment Services Sub-</w:t>
      </w:r>
      <w:r w:rsidR="00774B19">
        <w:t>Committee</w:t>
      </w:r>
      <w:r w:rsidR="00645C44">
        <w:t xml:space="preserve"> of the EIAC</w:t>
      </w:r>
      <w:r>
        <w:t xml:space="preserve"> is that</w:t>
      </w:r>
      <w:r w:rsidR="00937D8E">
        <w:t xml:space="preserve"> the </w:t>
      </w:r>
      <w:r w:rsidR="0084311D">
        <w:t>illustrative scenario</w:t>
      </w:r>
      <w:r w:rsidR="00937D8E">
        <w:t xml:space="preserve"> for modelling should </w:t>
      </w:r>
      <w:r w:rsidR="00555C87">
        <w:t>adopt</w:t>
      </w:r>
      <w:r w:rsidR="003E3C51">
        <w:t xml:space="preserve"> an</w:t>
      </w:r>
      <w:r w:rsidR="00774B19">
        <w:t xml:space="preserve"> </w:t>
      </w:r>
      <w:r w:rsidR="006530DF">
        <w:t>assumption</w:t>
      </w:r>
      <w:r w:rsidR="002B40F8">
        <w:t xml:space="preserve"> that 30% of the current high-intensity caseload </w:t>
      </w:r>
      <w:r w:rsidR="006530DF">
        <w:t xml:space="preserve">would </w:t>
      </w:r>
      <w:r w:rsidR="00AA036A">
        <w:t>be case managed by</w:t>
      </w:r>
      <w:r w:rsidR="002B40F8">
        <w:t xml:space="preserve"> the public sector. </w:t>
      </w:r>
    </w:p>
    <w:p w14:paraId="65C70C66" w14:textId="049C3153" w:rsidR="00774B19" w:rsidRPr="00EF77FA" w:rsidRDefault="002B40F8" w:rsidP="00693683">
      <w:r w:rsidRPr="00EF77FA">
        <w:t>This includes 30% of:</w:t>
      </w:r>
    </w:p>
    <w:p w14:paraId="19DDA1CB" w14:textId="1FEEF9F7" w:rsidR="00BA4305" w:rsidRPr="00693683" w:rsidRDefault="00641AE5" w:rsidP="00BA4305">
      <w:pPr>
        <w:pStyle w:val="Bullet1"/>
      </w:pPr>
      <w:r w:rsidRPr="00EF77FA">
        <w:t>Cases where participants</w:t>
      </w:r>
      <w:r>
        <w:t xml:space="preserve"> have been in the system for more than two years</w:t>
      </w:r>
    </w:p>
    <w:p w14:paraId="36436BBE" w14:textId="4F90C8F3" w:rsidR="00641AE5" w:rsidRDefault="00641AE5" w:rsidP="00641AE5">
      <w:pPr>
        <w:pStyle w:val="Bullet1"/>
      </w:pPr>
      <w:r>
        <w:t xml:space="preserve">High-JSCI adult not in </w:t>
      </w:r>
      <w:r w:rsidR="002B40F8">
        <w:t>a</w:t>
      </w:r>
      <w:r>
        <w:t xml:space="preserve"> target cohort </w:t>
      </w:r>
      <w:r w:rsidR="002B40F8">
        <w:t>who</w:t>
      </w:r>
      <w:r>
        <w:t xml:space="preserve"> have been in the system </w:t>
      </w:r>
      <w:r w:rsidR="00C64BFF">
        <w:t>for less than two years.</w:t>
      </w:r>
    </w:p>
    <w:p w14:paraId="364A0E1A" w14:textId="2C6EDEA1" w:rsidR="002B40F8" w:rsidRDefault="002B40F8" w:rsidP="002B40F8">
      <w:r>
        <w:t>In</w:t>
      </w:r>
      <w:r w:rsidR="00580155">
        <w:t xml:space="preserve"> total</w:t>
      </w:r>
      <w:r>
        <w:t>,</w:t>
      </w:r>
      <w:r w:rsidR="00580155">
        <w:t xml:space="preserve"> 95,861 cases </w:t>
      </w:r>
      <w:r w:rsidR="001D0FAC">
        <w:t>are</w:t>
      </w:r>
      <w:r w:rsidR="00580155">
        <w:t xml:space="preserve"> modelled to </w:t>
      </w:r>
      <w:r>
        <w:t>transition</w:t>
      </w:r>
      <w:r w:rsidR="00580155">
        <w:t xml:space="preserve"> to </w:t>
      </w:r>
      <w:r>
        <w:t>case management</w:t>
      </w:r>
      <w:r w:rsidR="00687CD7">
        <w:t xml:space="preserve"> by </w:t>
      </w:r>
      <w:r>
        <w:t xml:space="preserve">the </w:t>
      </w:r>
      <w:r w:rsidR="00687CD7">
        <w:t>public sector and community</w:t>
      </w:r>
      <w:r>
        <w:t>-based</w:t>
      </w:r>
      <w:r w:rsidR="00687CD7">
        <w:t xml:space="preserve"> organisations. </w:t>
      </w:r>
      <w:r>
        <w:t>This represents around</w:t>
      </w:r>
      <w:r w:rsidR="00687CD7">
        <w:t xml:space="preserve"> 10% of the total caseload</w:t>
      </w:r>
      <w:r w:rsidR="00357C3F">
        <w:t xml:space="preserve"> in Services</w:t>
      </w:r>
      <w:r w:rsidR="00687CD7">
        <w:t>.</w:t>
      </w:r>
    </w:p>
    <w:p w14:paraId="1ED7B45C" w14:textId="18880795" w:rsidR="000648DE" w:rsidRDefault="00C571BC" w:rsidP="002B40F8">
      <w:r>
        <w:t xml:space="preserve">We assume </w:t>
      </w:r>
      <w:r w:rsidR="008A0D2B">
        <w:t>a</w:t>
      </w:r>
      <w:r>
        <w:t xml:space="preserve"> target case ratio </w:t>
      </w:r>
      <w:r w:rsidR="008A0D2B">
        <w:t xml:space="preserve">of </w:t>
      </w:r>
      <w:r w:rsidR="005C3AF6">
        <w:t>5</w:t>
      </w:r>
      <w:r>
        <w:t>0:1</w:t>
      </w:r>
      <w:r w:rsidR="0009543A">
        <w:t>,</w:t>
      </w:r>
      <w:r>
        <w:t xml:space="preserve"> consistent with the ratio </w:t>
      </w:r>
      <w:r w:rsidR="007416C9">
        <w:t>applied to</w:t>
      </w:r>
      <w:r>
        <w:t xml:space="preserve"> the same case segments </w:t>
      </w:r>
      <w:r w:rsidR="000B6D23">
        <w:t>under</w:t>
      </w:r>
      <w:r w:rsidR="00B01EEB">
        <w:t xml:space="preserve"> the </w:t>
      </w:r>
      <w:r w:rsidR="00986E6A">
        <w:t>enhanced partner-delivered model</w:t>
      </w:r>
      <w:r w:rsidR="00DD272A">
        <w:t xml:space="preserve">. </w:t>
      </w:r>
      <w:r w:rsidR="00D200D4">
        <w:t xml:space="preserve">As a result, </w:t>
      </w:r>
      <w:r w:rsidR="009B23A7">
        <w:t>for these segments</w:t>
      </w:r>
      <w:r w:rsidR="00D200D4">
        <w:t xml:space="preserve">, </w:t>
      </w:r>
      <w:r w:rsidR="00927A1B">
        <w:t>the cas</w:t>
      </w:r>
      <w:r w:rsidR="00D35472">
        <w:t>e</w:t>
      </w:r>
      <w:r w:rsidR="00927A1B">
        <w:t xml:space="preserve"> ratio is assumed to be the same regardless of whether cases are managed by providers or the public </w:t>
      </w:r>
      <w:r w:rsidR="009B23A7">
        <w:t>sector.</w:t>
      </w:r>
    </w:p>
    <w:p w14:paraId="0C793C58" w14:textId="6E37738F" w:rsidR="0001432D" w:rsidRDefault="009B23A7" w:rsidP="00C64BFF">
      <w:r>
        <w:lastRenderedPageBreak/>
        <w:t xml:space="preserve">Under these assumptions, </w:t>
      </w:r>
      <w:r w:rsidR="00D35472">
        <w:t>1,917</w:t>
      </w:r>
      <w:r>
        <w:t xml:space="preserve"> FTE </w:t>
      </w:r>
      <w:r w:rsidR="00955234">
        <w:t xml:space="preserve">of APS </w:t>
      </w:r>
      <w:r>
        <w:t>frontline staff are required. We apply a base annual salary of $92,125 (including superannuation), consistent with the target remuneration for partner staff in the reformed system</w:t>
      </w:r>
      <w:r w:rsidR="003337B6">
        <w:t xml:space="preserve"> and Services Australia service delivery</w:t>
      </w:r>
      <w:r w:rsidR="00960504">
        <w:t xml:space="preserve"> staff cost</w:t>
      </w:r>
      <w:r>
        <w:t>. Additional cost assumptions include a 2% on-cost</w:t>
      </w:r>
      <w:r w:rsidR="00960504">
        <w:t xml:space="preserve"> (covering </w:t>
      </w:r>
      <w:r w:rsidR="00136F60">
        <w:t>long service leave and Comcare premiums)</w:t>
      </w:r>
      <w:r>
        <w:t xml:space="preserve">, managerial overheads of 21% and corporate overheads of 24%, based on the </w:t>
      </w:r>
      <w:r w:rsidR="0097124B">
        <w:t>expenses of Services Australia in 2024-25</w:t>
      </w:r>
      <w:r w:rsidR="0097124B">
        <w:rPr>
          <w:rStyle w:val="FootnoteReference"/>
        </w:rPr>
        <w:footnoteReference w:id="28"/>
      </w:r>
      <w:r w:rsidR="0097124B">
        <w:t xml:space="preserve">. </w:t>
      </w:r>
    </w:p>
    <w:p w14:paraId="59E886B0" w14:textId="72915A30" w:rsidR="005015BE" w:rsidRDefault="00FC2AA2" w:rsidP="00C64BFF">
      <w:r>
        <w:t xml:space="preserve">Consistent with the </w:t>
      </w:r>
      <w:r w:rsidR="005015BE">
        <w:t xml:space="preserve">approach taken for specialist providers, we apply an additional loading of 20% to the </w:t>
      </w:r>
      <w:r w:rsidR="00E6628B">
        <w:t>salaries of specialist caseworkers supporting target cohorts and young people, reflecting the higher cost of delivering specialised services. On this basis, total APS staffing costs are estimated at $38</w:t>
      </w:r>
      <w:r w:rsidR="00C33ECC">
        <w:t>3.</w:t>
      </w:r>
      <w:r w:rsidR="000464CA">
        <w:t>8M</w:t>
      </w:r>
      <w:r w:rsidR="00E6628B">
        <w:t>.</w:t>
      </w:r>
    </w:p>
    <w:p w14:paraId="1102B85C" w14:textId="271A8A7C" w:rsidR="001E580C" w:rsidRDefault="001F032F" w:rsidP="00C64BFF">
      <w:r>
        <w:t xml:space="preserve">Property and leasing costs are estimated using </w:t>
      </w:r>
      <w:r w:rsidR="004B2B34">
        <w:t>Services Australia</w:t>
      </w:r>
      <w:r>
        <w:t xml:space="preserve"> benchmarks</w:t>
      </w:r>
      <w:r w:rsidR="00A369F1">
        <w:rPr>
          <w:rStyle w:val="FootnoteReference"/>
        </w:rPr>
        <w:footnoteReference w:id="29"/>
      </w:r>
      <w:r>
        <w:t xml:space="preserve">, with leasing assumed </w:t>
      </w:r>
      <w:r w:rsidR="00E9715A">
        <w:t>as</w:t>
      </w:r>
      <w:r w:rsidR="00954E0C">
        <w:t xml:space="preserve"> </w:t>
      </w:r>
      <w:r w:rsidR="0010236E">
        <w:t>1</w:t>
      </w:r>
      <w:r w:rsidR="00E9715A">
        <w:t>1.8</w:t>
      </w:r>
      <w:r w:rsidR="00A60410">
        <w:t xml:space="preserve">% relative to total employee salary costs. </w:t>
      </w:r>
      <w:r w:rsidR="00CA1541" w:rsidRPr="00CA1541">
        <w:t>This reflects the need for a geographically dispersed network of smaller offices to support service delivery in remote and thin markets, comparable to the footprint of Services Australia offices. This results in an additional cost of $</w:t>
      </w:r>
      <w:r w:rsidR="000943CA">
        <w:t>36.3M</w:t>
      </w:r>
      <w:r w:rsidR="00CA1541" w:rsidRPr="00CA1541">
        <w:t>.</w:t>
      </w:r>
    </w:p>
    <w:p w14:paraId="7CCDFE24" w14:textId="787F6FCF" w:rsidR="00243F46" w:rsidRDefault="00C643D1" w:rsidP="00C64BFF">
      <w:r>
        <w:fldChar w:fldCharType="begin"/>
      </w:r>
      <w:r>
        <w:instrText xml:space="preserve"> REF _Ref219387374 \h </w:instrText>
      </w:r>
      <w:r>
        <w:fldChar w:fldCharType="separate"/>
      </w:r>
      <w:r w:rsidR="001703C6">
        <w:t xml:space="preserve">Figure </w:t>
      </w:r>
      <w:r w:rsidR="001703C6">
        <w:rPr>
          <w:noProof/>
        </w:rPr>
        <w:t>5</w:t>
      </w:r>
      <w:r>
        <w:fldChar w:fldCharType="end"/>
      </w:r>
      <w:r w:rsidR="000202DD">
        <w:t xml:space="preserve"> </w:t>
      </w:r>
      <w:r w:rsidR="00243F46">
        <w:t xml:space="preserve">summarises the cost associated with case management services directly delivered by the public sector. </w:t>
      </w:r>
    </w:p>
    <w:p w14:paraId="71DFB2B4" w14:textId="3FF8C967" w:rsidR="00243F46" w:rsidRDefault="00243F46" w:rsidP="00243F46">
      <w:pPr>
        <w:pStyle w:val="Caption"/>
      </w:pPr>
      <w:bookmarkStart w:id="43" w:name="_Ref219387374"/>
      <w:r>
        <w:t xml:space="preserve">Figure </w:t>
      </w:r>
      <w:r w:rsidR="001703C6">
        <w:fldChar w:fldCharType="begin"/>
      </w:r>
      <w:r w:rsidR="001703C6">
        <w:instrText xml:space="preserve"> SEQ Figure \* ARABIC </w:instrText>
      </w:r>
      <w:r w:rsidR="001703C6">
        <w:fldChar w:fldCharType="separate"/>
      </w:r>
      <w:r w:rsidR="001703C6">
        <w:rPr>
          <w:noProof/>
        </w:rPr>
        <w:t>5</w:t>
      </w:r>
      <w:r w:rsidR="001703C6">
        <w:rPr>
          <w:noProof/>
        </w:rPr>
        <w:fldChar w:fldCharType="end"/>
      </w:r>
      <w:bookmarkEnd w:id="43"/>
      <w:r w:rsidR="00736CB4">
        <w:rPr>
          <w:noProof/>
        </w:rPr>
        <w:t>:</w:t>
      </w:r>
      <w:r>
        <w:t xml:space="preserve"> Cost of service delivered by the public sector</w:t>
      </w:r>
    </w:p>
    <w:p w14:paraId="44544CAD" w14:textId="2ED31BF7" w:rsidR="000261A0" w:rsidRDefault="002A0762" w:rsidP="00C64BFF">
      <w:r w:rsidRPr="002A0762">
        <w:rPr>
          <w:noProof/>
        </w:rPr>
        <w:drawing>
          <wp:inline distT="0" distB="0" distL="0" distR="0" wp14:anchorId="77135018" wp14:editId="3D749B28">
            <wp:extent cx="2880000" cy="2141152"/>
            <wp:effectExtent l="0" t="0" r="0" b="0"/>
            <wp:docPr id="1653954834" name="Picture 1" descr="Donut chart showing cost distribution for frontline staff salary, managerial and corporate overhead, and leasing cost. Frontline staff salary accounts for the largest portion at $204.1M, followed by managerial and corporate overhead at $103.3M, and leasing cost at $36.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54834" name="Picture 1" descr="Donut chart showing cost distribution for frontline staff salary, managerial and corporate overhead, and leasing cost. Frontline staff salary accounts for the largest portion at $204.1M, followed by managerial and corporate overhead at $103.3M, and leasing cost at $36.3M."/>
                    <pic:cNvPicPr/>
                  </pic:nvPicPr>
                  <pic:blipFill>
                    <a:blip r:embed="rId24"/>
                    <a:stretch>
                      <a:fillRect/>
                    </a:stretch>
                  </pic:blipFill>
                  <pic:spPr>
                    <a:xfrm>
                      <a:off x="0" y="0"/>
                      <a:ext cx="2880000" cy="2141152"/>
                    </a:xfrm>
                    <a:prstGeom prst="rect">
                      <a:avLst/>
                    </a:prstGeom>
                  </pic:spPr>
                </pic:pic>
              </a:graphicData>
            </a:graphic>
          </wp:inline>
        </w:drawing>
      </w:r>
    </w:p>
    <w:p w14:paraId="1EFE6973" w14:textId="663955DC" w:rsidR="00D362D5" w:rsidRDefault="003D15B4" w:rsidP="00C64BFF">
      <w:r>
        <w:t xml:space="preserve">At the same time, </w:t>
      </w:r>
      <w:r w:rsidR="00D362D5">
        <w:t>removing this caseload from contracted providers reduces provider payments by an estimated $2</w:t>
      </w:r>
      <w:r w:rsidR="00A015E0">
        <w:t>1</w:t>
      </w:r>
      <w:r w:rsidR="0040033D">
        <w:t>9.5</w:t>
      </w:r>
      <w:r w:rsidR="00683863">
        <w:t>M (including Employment Fund)</w:t>
      </w:r>
      <w:r w:rsidR="00D362D5">
        <w:t>. The difference between this reduction and the cost of public delivery reflects differences in operating margins between private providers and the public sector.</w:t>
      </w:r>
      <w:r w:rsidR="00B12ED2">
        <w:t xml:space="preserve"> </w:t>
      </w:r>
      <w:r w:rsidR="00B12ED2">
        <w:fldChar w:fldCharType="begin"/>
      </w:r>
      <w:r w:rsidR="00B12ED2">
        <w:instrText xml:space="preserve"> REF _Ref219322034 \h </w:instrText>
      </w:r>
      <w:r w:rsidR="00B12ED2">
        <w:fldChar w:fldCharType="separate"/>
      </w:r>
      <w:r w:rsidR="001703C6">
        <w:t xml:space="preserve">Figure </w:t>
      </w:r>
      <w:r w:rsidR="001703C6">
        <w:rPr>
          <w:noProof/>
        </w:rPr>
        <w:t>6</w:t>
      </w:r>
      <w:r w:rsidR="00B12ED2">
        <w:fldChar w:fldCharType="end"/>
      </w:r>
      <w:r w:rsidR="008B6837">
        <w:t xml:space="preserve"> </w:t>
      </w:r>
      <w:r w:rsidR="00163C6C">
        <w:t xml:space="preserve">shows the </w:t>
      </w:r>
      <w:r w:rsidR="00BA5122">
        <w:t>net c</w:t>
      </w:r>
      <w:r w:rsidR="00163C6C">
        <w:t xml:space="preserve">ost impact </w:t>
      </w:r>
      <w:r w:rsidR="000367C8">
        <w:t xml:space="preserve">of </w:t>
      </w:r>
      <w:r w:rsidR="000367C8" w:rsidRPr="00A015E0">
        <w:t>$</w:t>
      </w:r>
      <w:r w:rsidR="00460A03" w:rsidRPr="00A015E0">
        <w:t>124.</w:t>
      </w:r>
      <w:r w:rsidR="00723199" w:rsidRPr="00A015E0">
        <w:t>3M</w:t>
      </w:r>
      <w:r w:rsidR="00723199">
        <w:t xml:space="preserve"> </w:t>
      </w:r>
      <w:r w:rsidR="006350B2">
        <w:t xml:space="preserve">after transitioning caseloads </w:t>
      </w:r>
      <w:r w:rsidR="00302273">
        <w:t xml:space="preserve">from partners </w:t>
      </w:r>
      <w:r w:rsidR="006350B2">
        <w:t xml:space="preserve">to the </w:t>
      </w:r>
      <w:r w:rsidR="00302273">
        <w:t>public sector.</w:t>
      </w:r>
    </w:p>
    <w:p w14:paraId="07E62895" w14:textId="59D2834B" w:rsidR="003B6C03" w:rsidRDefault="003B6C03" w:rsidP="003B6C03">
      <w:pPr>
        <w:pStyle w:val="Caption"/>
      </w:pPr>
      <w:bookmarkStart w:id="44" w:name="_Ref219322034"/>
      <w:r>
        <w:lastRenderedPageBreak/>
        <w:t xml:space="preserve">Figure </w:t>
      </w:r>
      <w:r w:rsidR="001703C6">
        <w:fldChar w:fldCharType="begin"/>
      </w:r>
      <w:r w:rsidR="001703C6">
        <w:instrText xml:space="preserve"> SEQ Figure \* ARABIC </w:instrText>
      </w:r>
      <w:r w:rsidR="001703C6">
        <w:fldChar w:fldCharType="separate"/>
      </w:r>
      <w:r w:rsidR="001703C6">
        <w:rPr>
          <w:noProof/>
        </w:rPr>
        <w:t>6</w:t>
      </w:r>
      <w:r w:rsidR="001703C6">
        <w:rPr>
          <w:noProof/>
        </w:rPr>
        <w:fldChar w:fldCharType="end"/>
      </w:r>
      <w:bookmarkEnd w:id="44"/>
      <w:r w:rsidR="00970DCC">
        <w:rPr>
          <w:noProof/>
        </w:rPr>
        <w:t>:</w:t>
      </w:r>
      <w:r>
        <w:t xml:space="preserve"> </w:t>
      </w:r>
      <w:r w:rsidRPr="00F14BDE">
        <w:t>Total cost after transitioning caseload to the public sector</w:t>
      </w:r>
    </w:p>
    <w:p w14:paraId="5E2BC4D5" w14:textId="39AA3C11" w:rsidR="00353525" w:rsidRDefault="007315E8" w:rsidP="00F77DA0">
      <w:r>
        <w:rPr>
          <w:noProof/>
        </w:rPr>
        <w:drawing>
          <wp:inline distT="0" distB="0" distL="0" distR="0" wp14:anchorId="1091CE86" wp14:editId="631ECFCF">
            <wp:extent cx="5729605" cy="2645055"/>
            <wp:effectExtent l="0" t="0" r="4445" b="3175"/>
            <wp:docPr id="1990503705" name="Picture 13" descr="As discussed, waterfall chart shows the net cost impact of $124.3M after transitioning caseloads from partners to the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3705" name="Picture 13" descr="As discussed, waterfall chart shows the net cost impact of $124.3M after transitioning caseloads from partners to the public sec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864" cy="2676566"/>
                    </a:xfrm>
                    <a:prstGeom prst="rect">
                      <a:avLst/>
                    </a:prstGeom>
                    <a:noFill/>
                  </pic:spPr>
                </pic:pic>
              </a:graphicData>
            </a:graphic>
          </wp:inline>
        </w:drawing>
      </w:r>
    </w:p>
    <w:p w14:paraId="32401484" w14:textId="499A5D91" w:rsidR="005812DB" w:rsidRPr="00C64BFF" w:rsidRDefault="005117AD" w:rsidP="00C64BFF">
      <w:r>
        <w:t xml:space="preserve">We have not considered the </w:t>
      </w:r>
      <w:r w:rsidR="004417AA">
        <w:t xml:space="preserve">potential second order impact arising from the risk that </w:t>
      </w:r>
      <w:r w:rsidRPr="005117AD">
        <w:t>re-nationalis</w:t>
      </w:r>
      <w:r w:rsidR="004417AA">
        <w:t>ing</w:t>
      </w:r>
      <w:r w:rsidRPr="005117AD">
        <w:t xml:space="preserve"> some of the employment services delivered for Workforce Australia will likely crowd out talent from current providers, with the APS being able to offer higher pay and better conditions</w:t>
      </w:r>
      <w:r w:rsidR="00EE4E17">
        <w:t xml:space="preserve"> (even if the funding is provided to realign private sector salaries)</w:t>
      </w:r>
      <w:r w:rsidRPr="005117AD">
        <w:t xml:space="preserve">. This will </w:t>
      </w:r>
      <w:r w:rsidR="00EE4E17">
        <w:t xml:space="preserve">not only affect </w:t>
      </w:r>
      <w:proofErr w:type="spellStart"/>
      <w:r w:rsidR="00EE4E17">
        <w:t>WfA</w:t>
      </w:r>
      <w:proofErr w:type="spellEnd"/>
      <w:r w:rsidR="00EE4E17">
        <w:t xml:space="preserve"> but also </w:t>
      </w:r>
      <w:r w:rsidRPr="005117AD">
        <w:t>adjacent employment services such as IEA.</w:t>
      </w:r>
    </w:p>
    <w:p w14:paraId="130A64D4" w14:textId="77777777" w:rsidR="001D7A54" w:rsidRDefault="001D7A54" w:rsidP="00622324">
      <w:pPr>
        <w:pStyle w:val="Heading4"/>
      </w:pPr>
      <w:r>
        <w:t>Sensitivities</w:t>
      </w:r>
    </w:p>
    <w:bookmarkStart w:id="45" w:name="_Ref219387502"/>
    <w:p w14:paraId="0957D65A" w14:textId="4B1AAC4C" w:rsidR="00D362D5" w:rsidRDefault="00792899" w:rsidP="00D362D5">
      <w:r>
        <w:rPr>
          <w:highlight w:val="yellow"/>
        </w:rPr>
        <w:fldChar w:fldCharType="begin"/>
      </w:r>
      <w:r>
        <w:instrText xml:space="preserve"> REF _Ref219387545 \h </w:instrText>
      </w:r>
      <w:r>
        <w:rPr>
          <w:highlight w:val="yellow"/>
        </w:rPr>
      </w:r>
      <w:r>
        <w:rPr>
          <w:highlight w:val="yellow"/>
        </w:rPr>
        <w:fldChar w:fldCharType="separate"/>
      </w:r>
      <w:r w:rsidR="001703C6">
        <w:t xml:space="preserve">Table </w:t>
      </w:r>
      <w:r w:rsidR="001703C6">
        <w:rPr>
          <w:noProof/>
        </w:rPr>
        <w:t>6</w:t>
      </w:r>
      <w:r>
        <w:rPr>
          <w:highlight w:val="yellow"/>
        </w:rPr>
        <w:fldChar w:fldCharType="end"/>
      </w:r>
      <w:r>
        <w:t xml:space="preserve"> </w:t>
      </w:r>
      <w:r w:rsidR="00D362D5">
        <w:t xml:space="preserve">outlines the impact on the </w:t>
      </w:r>
      <w:r w:rsidR="00BA5122">
        <w:t>net</w:t>
      </w:r>
      <w:r w:rsidR="00D362D5">
        <w:t xml:space="preserve"> cost</w:t>
      </w:r>
      <w:r w:rsidR="00D21477">
        <w:t xml:space="preserve"> </w:t>
      </w:r>
      <w:r w:rsidR="00D362D5">
        <w:t xml:space="preserve">of </w:t>
      </w:r>
      <w:r w:rsidR="008D6F0A">
        <w:t>transition</w:t>
      </w:r>
      <w:r w:rsidR="00742709">
        <w:t>ing</w:t>
      </w:r>
      <w:r w:rsidR="008D6F0A">
        <w:t xml:space="preserve"> caseloads to the public sector </w:t>
      </w:r>
      <w:r w:rsidR="00742709">
        <w:t>when</w:t>
      </w:r>
      <w:r w:rsidR="00D362D5">
        <w:t xml:space="preserve"> each of the key assumptions were </w:t>
      </w:r>
      <w:r w:rsidR="00742709">
        <w:t>varied</w:t>
      </w:r>
      <w:r w:rsidR="00D362D5">
        <w:t xml:space="preserve"> in isolation. </w:t>
      </w:r>
      <w:r w:rsidR="00742709">
        <w:t xml:space="preserve">Net cost reflects </w:t>
      </w:r>
      <w:r w:rsidR="00023020">
        <w:t xml:space="preserve">both the reduction in payments to providers </w:t>
      </w:r>
      <w:r w:rsidR="00742709">
        <w:t xml:space="preserve">and </w:t>
      </w:r>
      <w:r w:rsidR="00023020">
        <w:t>the resource</w:t>
      </w:r>
      <w:r w:rsidR="00742709">
        <w:t>s required for service delivery by the public sector.</w:t>
      </w:r>
      <w:r w:rsidR="00B5742D">
        <w:t xml:space="preserve"> </w:t>
      </w:r>
      <w:r w:rsidR="00D362D5">
        <w:t>All other assumptions are held constant during this analysis.</w:t>
      </w:r>
      <w:r w:rsidR="00574E2E">
        <w:t xml:space="preserve"> </w:t>
      </w:r>
    </w:p>
    <w:p w14:paraId="09C6FD9C" w14:textId="7AC5C780" w:rsidR="00D362D5" w:rsidRDefault="00D362D5" w:rsidP="00D362D5">
      <w:pPr>
        <w:pStyle w:val="Caption"/>
      </w:pPr>
      <w:bookmarkStart w:id="46" w:name="_Ref219387545"/>
      <w:r>
        <w:t xml:space="preserve">Table </w:t>
      </w:r>
      <w:r w:rsidR="001703C6">
        <w:fldChar w:fldCharType="begin"/>
      </w:r>
      <w:r w:rsidR="001703C6">
        <w:instrText xml:space="preserve"> SEQ Table \* ARABIC </w:instrText>
      </w:r>
      <w:r w:rsidR="001703C6">
        <w:fldChar w:fldCharType="separate"/>
      </w:r>
      <w:r w:rsidR="001703C6">
        <w:rPr>
          <w:noProof/>
        </w:rPr>
        <w:t>6</w:t>
      </w:r>
      <w:r w:rsidR="001703C6">
        <w:rPr>
          <w:noProof/>
        </w:rPr>
        <w:fldChar w:fldCharType="end"/>
      </w:r>
      <w:bookmarkEnd w:id="45"/>
      <w:bookmarkEnd w:id="46"/>
      <w:r>
        <w:t xml:space="preserve">: Sensitivity analysis of the </w:t>
      </w:r>
      <w:r w:rsidR="00574E2E">
        <w:t xml:space="preserve">net </w:t>
      </w:r>
      <w:r>
        <w:t xml:space="preserve">cost of service </w:t>
      </w:r>
      <w:r w:rsidR="0071101B">
        <w:t>delivered</w:t>
      </w:r>
      <w:r>
        <w:t xml:space="preserve"> by </w:t>
      </w:r>
      <w:r w:rsidR="0071101B">
        <w:t>the public sector</w:t>
      </w:r>
    </w:p>
    <w:tbl>
      <w:tblPr>
        <w:tblStyle w:val="TFBlue"/>
        <w:tblW w:w="9474" w:type="dxa"/>
        <w:tblLook w:val="04A0" w:firstRow="1" w:lastRow="0" w:firstColumn="1" w:lastColumn="0" w:noHBand="0" w:noVBand="1"/>
      </w:tblPr>
      <w:tblGrid>
        <w:gridCol w:w="3751"/>
        <w:gridCol w:w="2861"/>
        <w:gridCol w:w="2862"/>
      </w:tblGrid>
      <w:tr w:rsidR="00DF0711" w14:paraId="51A09A8A" w14:textId="77777777" w:rsidTr="007315E8">
        <w:trPr>
          <w:cnfStyle w:val="100000000000" w:firstRow="1" w:lastRow="0" w:firstColumn="0" w:lastColumn="0" w:oddVBand="0" w:evenVBand="0" w:oddHBand="0" w:evenHBand="0" w:firstRowFirstColumn="0" w:firstRowLastColumn="0" w:lastRowFirstColumn="0" w:lastRowLastColumn="0"/>
          <w:trHeight w:val="734"/>
        </w:trPr>
        <w:tc>
          <w:tcPr>
            <w:tcW w:w="3751" w:type="dxa"/>
          </w:tcPr>
          <w:p w14:paraId="31FC0504" w14:textId="77777777" w:rsidR="00DF0711" w:rsidRDefault="00DF0711" w:rsidP="00DF0711">
            <w:r>
              <w:t>Key Assumption</w:t>
            </w:r>
          </w:p>
        </w:tc>
        <w:tc>
          <w:tcPr>
            <w:tcW w:w="2861" w:type="dxa"/>
          </w:tcPr>
          <w:p w14:paraId="658048DD" w14:textId="243AC6A3" w:rsidR="00DF0711" w:rsidRDefault="00DF0711" w:rsidP="00DF0711">
            <w:r>
              <w:t>Low scenario</w:t>
            </w:r>
          </w:p>
        </w:tc>
        <w:tc>
          <w:tcPr>
            <w:tcW w:w="2862" w:type="dxa"/>
          </w:tcPr>
          <w:p w14:paraId="2C593EE6" w14:textId="77777777" w:rsidR="00DF0711" w:rsidRDefault="00DF0711" w:rsidP="00DF0711">
            <w:r>
              <w:t xml:space="preserve">High scenario </w:t>
            </w:r>
          </w:p>
        </w:tc>
      </w:tr>
      <w:tr w:rsidR="00DF0711" w14:paraId="004D1BDA" w14:textId="77777777" w:rsidTr="007315E8">
        <w:trPr>
          <w:cnfStyle w:val="000000100000" w:firstRow="0" w:lastRow="0" w:firstColumn="0" w:lastColumn="0" w:oddVBand="0" w:evenVBand="0" w:oddHBand="1" w:evenHBand="0" w:firstRowFirstColumn="0" w:firstRowLastColumn="0" w:lastRowFirstColumn="0" w:lastRowLastColumn="0"/>
          <w:trHeight w:val="614"/>
        </w:trPr>
        <w:tc>
          <w:tcPr>
            <w:tcW w:w="3751" w:type="dxa"/>
          </w:tcPr>
          <w:p w14:paraId="601CF246" w14:textId="0D6AF0D6" w:rsidR="00DF0711" w:rsidRPr="0031249C" w:rsidRDefault="00DF0711" w:rsidP="00DF0711">
            <w:r w:rsidRPr="0031249C">
              <w:t>30% of caseload in the high-intensity segments are transferred to be managed by the public sector</w:t>
            </w:r>
          </w:p>
        </w:tc>
        <w:tc>
          <w:tcPr>
            <w:tcW w:w="2861" w:type="dxa"/>
          </w:tcPr>
          <w:p w14:paraId="7DE3326E" w14:textId="77777777" w:rsidR="00DF0711" w:rsidRPr="003F37A4" w:rsidRDefault="00DF0711" w:rsidP="00DF0711">
            <w:pPr>
              <w:rPr>
                <w:i/>
              </w:rPr>
            </w:pPr>
            <w:r w:rsidRPr="003F37A4">
              <w:rPr>
                <w:i/>
              </w:rPr>
              <w:t>10% caseload</w:t>
            </w:r>
          </w:p>
          <w:p w14:paraId="212C6951" w14:textId="7D502672" w:rsidR="003F37A4" w:rsidRPr="00FB5838" w:rsidRDefault="00086C2A" w:rsidP="00DF0711">
            <w:r w:rsidRPr="003F37A4">
              <w:t>-$</w:t>
            </w:r>
            <w:r w:rsidR="003F37A4">
              <w:t>82.9</w:t>
            </w:r>
            <w:r w:rsidR="00A46ABF">
              <w:t>M</w:t>
            </w:r>
          </w:p>
        </w:tc>
        <w:tc>
          <w:tcPr>
            <w:tcW w:w="2862" w:type="dxa"/>
          </w:tcPr>
          <w:p w14:paraId="785BE188" w14:textId="7A189096" w:rsidR="00DF0711" w:rsidRPr="003F37A4" w:rsidRDefault="00DF0711" w:rsidP="00DF0711">
            <w:pPr>
              <w:rPr>
                <w:i/>
              </w:rPr>
            </w:pPr>
            <w:r w:rsidRPr="003F37A4">
              <w:rPr>
                <w:i/>
              </w:rPr>
              <w:t>50% caseload</w:t>
            </w:r>
          </w:p>
          <w:p w14:paraId="5187617D" w14:textId="156B1B65" w:rsidR="00DF0711" w:rsidRPr="003F37A4" w:rsidRDefault="00086C2A" w:rsidP="00DF0711">
            <w:r w:rsidRPr="003F37A4">
              <w:t>+$</w:t>
            </w:r>
            <w:r w:rsidR="00504CCF">
              <w:t>82.9M</w:t>
            </w:r>
          </w:p>
        </w:tc>
      </w:tr>
      <w:tr w:rsidR="00DF0711" w14:paraId="48B00884" w14:textId="77777777" w:rsidTr="007315E8">
        <w:trPr>
          <w:trHeight w:val="550"/>
        </w:trPr>
        <w:tc>
          <w:tcPr>
            <w:tcW w:w="3751" w:type="dxa"/>
          </w:tcPr>
          <w:p w14:paraId="29322F65" w14:textId="1341D0A3" w:rsidR="00DF0711" w:rsidRPr="0031249C" w:rsidRDefault="00906CC5" w:rsidP="00DF0711">
            <w:r w:rsidRPr="00223A3E">
              <w:t xml:space="preserve">Target </w:t>
            </w:r>
            <w:r w:rsidR="00373284" w:rsidRPr="003078EF">
              <w:t>cas</w:t>
            </w:r>
            <w:r w:rsidR="00375120">
              <w:t>e</w:t>
            </w:r>
            <w:r w:rsidRPr="003078EF">
              <w:t xml:space="preserve"> </w:t>
            </w:r>
            <w:r w:rsidRPr="00223A3E">
              <w:t xml:space="preserve">ratio of </w:t>
            </w:r>
            <w:r>
              <w:t>50:1 for high-intensity segments and Youth</w:t>
            </w:r>
          </w:p>
        </w:tc>
        <w:tc>
          <w:tcPr>
            <w:tcW w:w="2861" w:type="dxa"/>
          </w:tcPr>
          <w:p w14:paraId="6ACEDC9A" w14:textId="78DB4666" w:rsidR="00DF0711" w:rsidRPr="003F37A4" w:rsidRDefault="00DF0711" w:rsidP="00DF0711">
            <w:pPr>
              <w:rPr>
                <w:i/>
              </w:rPr>
            </w:pPr>
            <w:r w:rsidRPr="003F37A4">
              <w:rPr>
                <w:i/>
              </w:rPr>
              <w:t xml:space="preserve">Target case ratio </w:t>
            </w:r>
            <w:r w:rsidR="00906CC5">
              <w:rPr>
                <w:i/>
              </w:rPr>
              <w:t>60</w:t>
            </w:r>
          </w:p>
          <w:p w14:paraId="2CED7C55" w14:textId="3933B859" w:rsidR="00DF0711" w:rsidRPr="003F37A4" w:rsidRDefault="00086C2A" w:rsidP="00DF0711">
            <w:pPr>
              <w:rPr>
                <w:i/>
              </w:rPr>
            </w:pPr>
            <w:r w:rsidRPr="003F37A4">
              <w:t>-$2</w:t>
            </w:r>
            <w:r w:rsidR="00863F89">
              <w:t>3.9</w:t>
            </w:r>
            <w:r w:rsidR="00273B53">
              <w:t>M</w:t>
            </w:r>
          </w:p>
        </w:tc>
        <w:tc>
          <w:tcPr>
            <w:tcW w:w="2862" w:type="dxa"/>
          </w:tcPr>
          <w:p w14:paraId="4F4FB15B" w14:textId="522D38E5" w:rsidR="00906CC5" w:rsidRPr="003F37A4" w:rsidRDefault="00DF0711" w:rsidP="00DF0711">
            <w:pPr>
              <w:rPr>
                <w:i/>
              </w:rPr>
            </w:pPr>
            <w:r w:rsidRPr="003F37A4">
              <w:rPr>
                <w:i/>
              </w:rPr>
              <w:t xml:space="preserve">Target case ratio </w:t>
            </w:r>
            <w:r w:rsidR="00906CC5">
              <w:rPr>
                <w:i/>
              </w:rPr>
              <w:t>40</w:t>
            </w:r>
          </w:p>
          <w:p w14:paraId="1199F6CC" w14:textId="32BCEA16" w:rsidR="00DF0711" w:rsidRPr="003F37A4" w:rsidRDefault="00086C2A" w:rsidP="00DF0711">
            <w:pPr>
              <w:rPr>
                <w:i/>
              </w:rPr>
            </w:pPr>
            <w:r w:rsidRPr="003F37A4">
              <w:t>+$</w:t>
            </w:r>
            <w:r w:rsidR="00273B53">
              <w:t>35.9M</w:t>
            </w:r>
          </w:p>
        </w:tc>
      </w:tr>
      <w:tr w:rsidR="00DF0711" w14:paraId="62D649A4" w14:textId="77777777" w:rsidTr="007315E8">
        <w:trPr>
          <w:cnfStyle w:val="000000100000" w:firstRow="0" w:lastRow="0" w:firstColumn="0" w:lastColumn="0" w:oddVBand="0" w:evenVBand="0" w:oddHBand="1" w:evenHBand="0" w:firstRowFirstColumn="0" w:firstRowLastColumn="0" w:lastRowFirstColumn="0" w:lastRowLastColumn="0"/>
          <w:trHeight w:val="1102"/>
        </w:trPr>
        <w:tc>
          <w:tcPr>
            <w:tcW w:w="3751" w:type="dxa"/>
          </w:tcPr>
          <w:p w14:paraId="244397A8" w14:textId="584FB3CB" w:rsidR="00DF0711" w:rsidRPr="0031249C" w:rsidRDefault="00DF0711" w:rsidP="00DF0711">
            <w:r w:rsidRPr="0031249C">
              <w:t xml:space="preserve">Average base salary of $92,125 (incl. superannuation) </w:t>
            </w:r>
          </w:p>
        </w:tc>
        <w:tc>
          <w:tcPr>
            <w:tcW w:w="2861" w:type="dxa"/>
          </w:tcPr>
          <w:p w14:paraId="333610C5" w14:textId="77777777" w:rsidR="00DF0711" w:rsidRPr="003F37A4" w:rsidRDefault="00DF0711" w:rsidP="00DF0711">
            <w:pPr>
              <w:rPr>
                <w:i/>
              </w:rPr>
            </w:pPr>
            <w:r w:rsidRPr="003F37A4">
              <w:rPr>
                <w:i/>
              </w:rPr>
              <w:t>Base salary - 10%</w:t>
            </w:r>
          </w:p>
          <w:p w14:paraId="68F8C234" w14:textId="3E8EADAD" w:rsidR="00DF0711" w:rsidRPr="003F37A4" w:rsidRDefault="00086C2A" w:rsidP="00DF0711">
            <w:pPr>
              <w:rPr>
                <w:i/>
              </w:rPr>
            </w:pPr>
            <w:r w:rsidRPr="003F37A4">
              <w:t>-$</w:t>
            </w:r>
            <w:r w:rsidR="000C45E4">
              <w:t>34.4M</w:t>
            </w:r>
          </w:p>
        </w:tc>
        <w:tc>
          <w:tcPr>
            <w:tcW w:w="2862" w:type="dxa"/>
          </w:tcPr>
          <w:p w14:paraId="501DCA7E" w14:textId="7CAFC674" w:rsidR="00DF0711" w:rsidRPr="003F37A4" w:rsidRDefault="00DF0711" w:rsidP="00DF0711">
            <w:pPr>
              <w:rPr>
                <w:i/>
              </w:rPr>
            </w:pPr>
            <w:r w:rsidRPr="003F37A4">
              <w:rPr>
                <w:i/>
              </w:rPr>
              <w:t>Base salary +10%</w:t>
            </w:r>
          </w:p>
          <w:p w14:paraId="21EE2209" w14:textId="02DF1A38" w:rsidR="00DF0711" w:rsidRPr="003F37A4" w:rsidRDefault="00086C2A" w:rsidP="00DF0711">
            <w:r w:rsidRPr="003F37A4">
              <w:t>+$</w:t>
            </w:r>
            <w:r w:rsidR="00303815">
              <w:t>34.4M</w:t>
            </w:r>
          </w:p>
        </w:tc>
      </w:tr>
      <w:tr w:rsidR="00DF0711" w14:paraId="334A8432" w14:textId="77777777" w:rsidTr="007315E8">
        <w:trPr>
          <w:trHeight w:val="821"/>
        </w:trPr>
        <w:tc>
          <w:tcPr>
            <w:tcW w:w="3751" w:type="dxa"/>
          </w:tcPr>
          <w:p w14:paraId="2365F4E4" w14:textId="5566D1F5" w:rsidR="00DF0711" w:rsidRPr="0031249C" w:rsidRDefault="00DF0711" w:rsidP="00DF0711">
            <w:r w:rsidRPr="0031249C">
              <w:t>Managerial and corporate overhead of 51%</w:t>
            </w:r>
          </w:p>
        </w:tc>
        <w:tc>
          <w:tcPr>
            <w:tcW w:w="2861" w:type="dxa"/>
          </w:tcPr>
          <w:p w14:paraId="3A6FBA1D" w14:textId="7C40DFE4" w:rsidR="00DF0711" w:rsidRPr="003F37A4" w:rsidRDefault="00DF0711" w:rsidP="00DF0711">
            <w:pPr>
              <w:rPr>
                <w:i/>
              </w:rPr>
            </w:pPr>
            <w:r w:rsidRPr="003F37A4">
              <w:rPr>
                <w:i/>
              </w:rPr>
              <w:t xml:space="preserve">Overhead of </w:t>
            </w:r>
            <w:r w:rsidR="00E50ED5">
              <w:rPr>
                <w:i/>
              </w:rPr>
              <w:t>17</w:t>
            </w:r>
            <w:r w:rsidR="00086C2A" w:rsidRPr="003F37A4">
              <w:rPr>
                <w:i/>
              </w:rPr>
              <w:t>%</w:t>
            </w:r>
            <w:r w:rsidR="00E50ED5">
              <w:rPr>
                <w:i/>
              </w:rPr>
              <w:t xml:space="preserve"> </w:t>
            </w:r>
            <w:r w:rsidR="0093273A">
              <w:rPr>
                <w:i/>
              </w:rPr>
              <w:t>aligning with partner-delivered service</w:t>
            </w:r>
          </w:p>
          <w:p w14:paraId="4142867D" w14:textId="27033B0C" w:rsidR="00DF0711" w:rsidRPr="003F37A4" w:rsidRDefault="00086C2A" w:rsidP="00DF0711">
            <w:pPr>
              <w:rPr>
                <w:i/>
              </w:rPr>
            </w:pPr>
            <w:r w:rsidRPr="003F37A4">
              <w:t>-$</w:t>
            </w:r>
            <w:r w:rsidR="00E50ED5">
              <w:t>76.7</w:t>
            </w:r>
            <w:r w:rsidR="00873D24">
              <w:t>M</w:t>
            </w:r>
          </w:p>
        </w:tc>
        <w:tc>
          <w:tcPr>
            <w:tcW w:w="2862" w:type="dxa"/>
          </w:tcPr>
          <w:p w14:paraId="7699942F" w14:textId="52F5FA59" w:rsidR="00DF0711" w:rsidRPr="003F37A4" w:rsidRDefault="00DF0711" w:rsidP="00DF0711">
            <w:pPr>
              <w:rPr>
                <w:i/>
              </w:rPr>
            </w:pPr>
            <w:r w:rsidRPr="003F37A4">
              <w:rPr>
                <w:i/>
              </w:rPr>
              <w:t xml:space="preserve">Overhead of </w:t>
            </w:r>
            <w:r w:rsidR="00086C2A" w:rsidRPr="003F37A4">
              <w:rPr>
                <w:i/>
              </w:rPr>
              <w:t>60%</w:t>
            </w:r>
          </w:p>
          <w:p w14:paraId="1970A4B3" w14:textId="62DA277A" w:rsidR="00DF0711" w:rsidRPr="003F37A4" w:rsidRDefault="00086C2A" w:rsidP="00DF0711">
            <w:pPr>
              <w:rPr>
                <w:i/>
              </w:rPr>
            </w:pPr>
            <w:r w:rsidRPr="003F37A4">
              <w:t>+$21</w:t>
            </w:r>
            <w:r w:rsidR="00FA05C8">
              <w:t>.4M</w:t>
            </w:r>
          </w:p>
        </w:tc>
      </w:tr>
      <w:tr w:rsidR="00DF0711" w14:paraId="3D786FC3" w14:textId="77777777" w:rsidTr="007315E8">
        <w:trPr>
          <w:cnfStyle w:val="000000100000" w:firstRow="0" w:lastRow="0" w:firstColumn="0" w:lastColumn="0" w:oddVBand="0" w:evenVBand="0" w:oddHBand="1" w:evenHBand="0" w:firstRowFirstColumn="0" w:firstRowLastColumn="0" w:lastRowFirstColumn="0" w:lastRowLastColumn="0"/>
          <w:trHeight w:val="1359"/>
        </w:trPr>
        <w:tc>
          <w:tcPr>
            <w:tcW w:w="3751" w:type="dxa"/>
          </w:tcPr>
          <w:p w14:paraId="51D416D5" w14:textId="03FBAF1D" w:rsidR="00DF0711" w:rsidRPr="0031249C" w:rsidRDefault="00330B54" w:rsidP="00DF0711">
            <w:r>
              <w:lastRenderedPageBreak/>
              <w:t>Sub-leasing gross-up of 11.9% of staff cost</w:t>
            </w:r>
          </w:p>
        </w:tc>
        <w:tc>
          <w:tcPr>
            <w:tcW w:w="2861" w:type="dxa"/>
          </w:tcPr>
          <w:p w14:paraId="5034391A" w14:textId="77777777" w:rsidR="00DF0711" w:rsidRPr="003F37A4" w:rsidRDefault="00DF0711" w:rsidP="00DF0711">
            <w:pPr>
              <w:rPr>
                <w:i/>
              </w:rPr>
            </w:pPr>
            <w:r w:rsidRPr="003F37A4">
              <w:rPr>
                <w:i/>
              </w:rPr>
              <w:t>Leasing cost of 6.2% at DEWR benchmark</w:t>
            </w:r>
            <w:r w:rsidRPr="003F37A4">
              <w:rPr>
                <w:rStyle w:val="FootnoteReference"/>
                <w:i/>
              </w:rPr>
              <w:footnoteReference w:id="30"/>
            </w:r>
          </w:p>
          <w:p w14:paraId="48E0FAD6" w14:textId="4CCCA3BD" w:rsidR="00DF0711" w:rsidRPr="003F37A4" w:rsidRDefault="00DF0711" w:rsidP="00DF0711">
            <w:pPr>
              <w:rPr>
                <w:i/>
              </w:rPr>
            </w:pPr>
            <w:r w:rsidRPr="003F37A4">
              <w:t>-$</w:t>
            </w:r>
            <w:r w:rsidR="000E24F2">
              <w:t>17.3M</w:t>
            </w:r>
          </w:p>
        </w:tc>
        <w:tc>
          <w:tcPr>
            <w:tcW w:w="2862" w:type="dxa"/>
          </w:tcPr>
          <w:p w14:paraId="48A0AA49" w14:textId="1A6C6E84" w:rsidR="00E013A0" w:rsidRPr="003F37A4" w:rsidRDefault="00E013A0" w:rsidP="00E013A0">
            <w:pPr>
              <w:rPr>
                <w:i/>
              </w:rPr>
            </w:pPr>
            <w:r w:rsidRPr="003F37A4">
              <w:rPr>
                <w:i/>
              </w:rPr>
              <w:t>Leasing cost of 20.0%</w:t>
            </w:r>
            <w:r w:rsidR="00086C2A" w:rsidRPr="003F37A4">
              <w:rPr>
                <w:i/>
              </w:rPr>
              <w:t xml:space="preserve"> reflecting high number of sites required</w:t>
            </w:r>
          </w:p>
          <w:p w14:paraId="5DB8E8BF" w14:textId="51A4B13D" w:rsidR="00DF0711" w:rsidRPr="003F37A4" w:rsidRDefault="00086C2A" w:rsidP="00DF0711">
            <w:r w:rsidRPr="003F37A4">
              <w:t>+</w:t>
            </w:r>
            <w:r w:rsidR="00E013A0" w:rsidRPr="003F37A4">
              <w:t>$2</w:t>
            </w:r>
            <w:r w:rsidR="005E4A2F">
              <w:t>5.2M</w:t>
            </w:r>
          </w:p>
        </w:tc>
      </w:tr>
    </w:tbl>
    <w:p w14:paraId="1DF412CA" w14:textId="77777777" w:rsidR="00250E7C" w:rsidRDefault="00250E7C" w:rsidP="00622324">
      <w:pPr>
        <w:pStyle w:val="Heading3"/>
      </w:pPr>
      <w:bookmarkStart w:id="47" w:name="_Ref219191881"/>
      <w:bookmarkStart w:id="48" w:name="_Toc226038400"/>
      <w:r>
        <w:t>Digital platform</w:t>
      </w:r>
      <w:bookmarkEnd w:id="47"/>
      <w:bookmarkEnd w:id="48"/>
    </w:p>
    <w:p w14:paraId="28E17C68" w14:textId="641F5B3B" w:rsidR="00717AD9" w:rsidRDefault="006F70B2" w:rsidP="003C4459">
      <w:r>
        <w:t xml:space="preserve">The </w:t>
      </w:r>
      <w:r w:rsidR="009445D6">
        <w:t xml:space="preserve">existing </w:t>
      </w:r>
      <w:r w:rsidR="001A4670">
        <w:t>digital</w:t>
      </w:r>
      <w:r w:rsidR="00C2400A">
        <w:t xml:space="preserve"> platform that </w:t>
      </w:r>
      <w:r w:rsidR="003567CA">
        <w:t xml:space="preserve">supports </w:t>
      </w:r>
      <w:r w:rsidR="009445D6">
        <w:t xml:space="preserve">both </w:t>
      </w:r>
      <w:r w:rsidR="003567CA">
        <w:t xml:space="preserve">providers </w:t>
      </w:r>
      <w:r w:rsidR="00C2400A">
        <w:t xml:space="preserve">and </w:t>
      </w:r>
      <w:r w:rsidR="003567CA">
        <w:t xml:space="preserve">jobseekers </w:t>
      </w:r>
      <w:r w:rsidR="006C4865">
        <w:t>was identified by the Hill Review to be inad</w:t>
      </w:r>
      <w:r w:rsidR="00DD0627">
        <w:t xml:space="preserve">equate and inefficient. </w:t>
      </w:r>
      <w:r w:rsidR="00DD066A">
        <w:t xml:space="preserve">Providers using the platform </w:t>
      </w:r>
      <w:r w:rsidR="00542C21">
        <w:t>are</w:t>
      </w:r>
      <w:r w:rsidR="00535483">
        <w:t xml:space="preserve"> spendin</w:t>
      </w:r>
      <w:r w:rsidR="00CB3E16">
        <w:t xml:space="preserve">g excessive amounts of time </w:t>
      </w:r>
      <w:r w:rsidR="00466328">
        <w:t xml:space="preserve">on administration </w:t>
      </w:r>
      <w:r w:rsidR="00FE6A67">
        <w:t xml:space="preserve">and </w:t>
      </w:r>
      <w:r w:rsidR="006743B0">
        <w:t xml:space="preserve">having difficulty in </w:t>
      </w:r>
      <w:r w:rsidR="00FE6A67">
        <w:t xml:space="preserve">extracting </w:t>
      </w:r>
      <w:r w:rsidR="00542C21">
        <w:t xml:space="preserve">reliable </w:t>
      </w:r>
      <w:r w:rsidR="00FE6A67">
        <w:t>information from the platform</w:t>
      </w:r>
      <w:r w:rsidR="00542C21">
        <w:t xml:space="preserve">. </w:t>
      </w:r>
      <w:r w:rsidR="00917E06">
        <w:t xml:space="preserve">For jobseekers, </w:t>
      </w:r>
      <w:r w:rsidR="009C4378">
        <w:t xml:space="preserve">the online </w:t>
      </w:r>
      <w:r w:rsidR="00813A95">
        <w:t xml:space="preserve">tools lack support in multiple languages limiting </w:t>
      </w:r>
      <w:r w:rsidR="001C49D4">
        <w:t xml:space="preserve">their </w:t>
      </w:r>
      <w:r w:rsidR="00813A95">
        <w:t>accessibility</w:t>
      </w:r>
      <w:r w:rsidR="0073677E">
        <w:t xml:space="preserve">. </w:t>
      </w:r>
      <w:r w:rsidR="00C2400A">
        <w:t xml:space="preserve">An upgraded </w:t>
      </w:r>
      <w:r w:rsidR="006717EE">
        <w:t>digital</w:t>
      </w:r>
      <w:r w:rsidR="00C2400A">
        <w:t xml:space="preserve"> platform </w:t>
      </w:r>
      <w:r w:rsidR="005A6B93">
        <w:t>was recommended to</w:t>
      </w:r>
      <w:r w:rsidR="00717AD9">
        <w:t>:</w:t>
      </w:r>
    </w:p>
    <w:p w14:paraId="1BD8374D" w14:textId="39A1E668" w:rsidR="00717AD9" w:rsidRDefault="00717AD9" w:rsidP="00717AD9">
      <w:pPr>
        <w:pStyle w:val="Bullet1"/>
      </w:pPr>
      <w:r>
        <w:t>Better connect</w:t>
      </w:r>
      <w:r w:rsidR="00C2400A">
        <w:t xml:space="preserve"> providers to government and </w:t>
      </w:r>
      <w:r>
        <w:t>reduce</w:t>
      </w:r>
      <w:r w:rsidR="00C2400A">
        <w:t xml:space="preserve"> their administrative burden</w:t>
      </w:r>
    </w:p>
    <w:p w14:paraId="1FC9954E" w14:textId="19D1B304" w:rsidR="00C2400A" w:rsidRDefault="00717AD9" w:rsidP="00717AD9">
      <w:pPr>
        <w:pStyle w:val="Bullet1"/>
      </w:pPr>
      <w:r>
        <w:t>E</w:t>
      </w:r>
      <w:r w:rsidR="00C2400A">
        <w:t xml:space="preserve">nable better job matching using </w:t>
      </w:r>
      <w:r w:rsidR="005A6B93">
        <w:t xml:space="preserve">data </w:t>
      </w:r>
      <w:r w:rsidR="00C2400A">
        <w:t>analytics for jobseekers</w:t>
      </w:r>
      <w:r w:rsidR="00001F33">
        <w:t xml:space="preserve"> and provide support in multiple languages</w:t>
      </w:r>
      <w:r w:rsidR="00C2400A">
        <w:t>.</w:t>
      </w:r>
    </w:p>
    <w:p w14:paraId="37818A6D" w14:textId="488AA7DD" w:rsidR="00250E7C" w:rsidRDefault="00250E7C"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F57797" w:rsidRPr="00F57797" w14:paraId="41CF106B"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28662CB0" w14:textId="4C7AD438" w:rsidR="00F57797" w:rsidRPr="0033141A" w:rsidRDefault="00F57797" w:rsidP="00EE4E17">
            <w:pPr>
              <w:keepNext/>
              <w:rPr>
                <w:b/>
                <w:bCs/>
              </w:rPr>
            </w:pPr>
            <w:r w:rsidRPr="0033141A">
              <w:rPr>
                <w:b/>
                <w:bCs/>
              </w:rPr>
              <w:t>Recommendation 1</w:t>
            </w:r>
            <w:r w:rsidR="0033141A" w:rsidRPr="0033141A">
              <w:rPr>
                <w:b/>
                <w:bCs/>
              </w:rPr>
              <w:t>7</w:t>
            </w:r>
          </w:p>
          <w:p w14:paraId="7BEFDA50" w14:textId="77777777" w:rsidR="00703D9E" w:rsidRPr="0077402C" w:rsidRDefault="00703D9E" w:rsidP="00703D9E">
            <w:r w:rsidRPr="0077402C">
              <w:t>The Committee recommends that the Australian Government address issues impacting the functionality of employment services IT systems as a matter of urgency. A continuous improvement fund and program should be implemented for IT systems, with priorities determined collaboratively with providers having regard to evidence provided to this inquiry. The fund and program should include implementing measures to:</w:t>
            </w:r>
          </w:p>
          <w:p w14:paraId="3B971CD5" w14:textId="0588BF97" w:rsidR="00703D9E" w:rsidRPr="0077402C" w:rsidRDefault="00D64FD3" w:rsidP="00A84C74">
            <w:pPr>
              <w:pStyle w:val="Bullet1"/>
            </w:pPr>
            <w:r>
              <w:t>S</w:t>
            </w:r>
            <w:r w:rsidR="00703D9E" w:rsidRPr="0077402C">
              <w:t>treamline reporting and other information requirements, with a view to significantly reducing the number of times a provider is required to report the same information</w:t>
            </w:r>
          </w:p>
          <w:p w14:paraId="2F39F544" w14:textId="6A2AB83A" w:rsidR="00703D9E" w:rsidRPr="0077402C" w:rsidRDefault="00D64FD3" w:rsidP="00A84C74">
            <w:pPr>
              <w:pStyle w:val="Bullet1"/>
            </w:pPr>
            <w:r>
              <w:t>I</w:t>
            </w:r>
            <w:r w:rsidR="00703D9E" w:rsidRPr="0077402C">
              <w:t>mprove accuracy, reliability, and consistency in the information available to providers, and to other key stakeholders as appropriate</w:t>
            </w:r>
          </w:p>
          <w:p w14:paraId="5D82FC08" w14:textId="03EA8801" w:rsidR="00703D9E" w:rsidRPr="0077402C" w:rsidRDefault="00D64FD3" w:rsidP="00A84C74">
            <w:pPr>
              <w:pStyle w:val="Bullet1"/>
            </w:pPr>
            <w:r>
              <w:t>E</w:t>
            </w:r>
            <w:r w:rsidR="00703D9E" w:rsidRPr="0077402C">
              <w:t>nsure that providers have access to up-to-date information on participants on their caseloads, including information on resumes and job searches</w:t>
            </w:r>
          </w:p>
          <w:p w14:paraId="050B9FF1" w14:textId="5D88E6E2" w:rsidR="00703D9E" w:rsidRPr="0077402C" w:rsidRDefault="00D64FD3" w:rsidP="00A84C74">
            <w:pPr>
              <w:pStyle w:val="Bullet1"/>
            </w:pPr>
            <w:r>
              <w:t>A</w:t>
            </w:r>
            <w:r w:rsidR="00703D9E" w:rsidRPr="0077402C">
              <w:t>llow providers to make changes to the information in the system regarding participants on their caseloads</w:t>
            </w:r>
          </w:p>
          <w:p w14:paraId="2A039CA5" w14:textId="094A2172" w:rsidR="00703D9E" w:rsidRPr="0077402C" w:rsidRDefault="00D64FD3" w:rsidP="00A84C74">
            <w:pPr>
              <w:pStyle w:val="Bullet1"/>
            </w:pPr>
            <w:r>
              <w:t>E</w:t>
            </w:r>
            <w:r w:rsidR="00703D9E" w:rsidRPr="0077402C">
              <w:t>nsure significant changes to IT systems are rigorously tested with providers and other key stakeholders before they are rolled out</w:t>
            </w:r>
          </w:p>
          <w:p w14:paraId="72CD1C99" w14:textId="07AE7192" w:rsidR="00F57797" w:rsidRPr="0033141A" w:rsidRDefault="00D64FD3" w:rsidP="0025259B">
            <w:pPr>
              <w:pStyle w:val="Bullet1"/>
            </w:pPr>
            <w:r>
              <w:t>P</w:t>
            </w:r>
            <w:r w:rsidR="00703D9E" w:rsidRPr="0077402C">
              <w:t>rovide ongoing funding to DEWR to enable it to undertake minor and periodic changes to IT systems to avoid the current situation arising again.</w:t>
            </w:r>
          </w:p>
        </w:tc>
      </w:tr>
    </w:tbl>
    <w:p w14:paraId="39143C19" w14:textId="100230C0" w:rsidR="00F57797" w:rsidRDefault="00F57797" w:rsidP="00F57797">
      <w:r w:rsidRPr="00B36B7F">
        <w:rPr>
          <w:i/>
          <w:iCs/>
          <w:color w:val="006EC8" w:themeColor="accent1"/>
        </w:rPr>
        <w:t>Cost implications:</w:t>
      </w:r>
      <w:r w:rsidRPr="00B36B7F">
        <w:rPr>
          <w:color w:val="006EC8" w:themeColor="accent1"/>
        </w:rPr>
        <w:t xml:space="preserve"> </w:t>
      </w:r>
      <w:r w:rsidR="002B7CFB" w:rsidRPr="00B36B7F">
        <w:t xml:space="preserve">Providers </w:t>
      </w:r>
      <w:r w:rsidR="00B36B7F" w:rsidRPr="00B36B7F">
        <w:t>and other stakeholders should be consulted to</w:t>
      </w:r>
      <w:r w:rsidR="0089078D">
        <w:t xml:space="preserve"> help</w:t>
      </w:r>
      <w:r w:rsidR="00B36B7F" w:rsidRPr="00B36B7F">
        <w:t xml:space="preserve"> identify the opportunities and priorities for upgrading the digital platform.</w:t>
      </w:r>
    </w:p>
    <w:tbl>
      <w:tblPr>
        <w:tblStyle w:val="TableGrid"/>
        <w:tblW w:w="0" w:type="auto"/>
        <w:tblLook w:val="04A0" w:firstRow="1" w:lastRow="0" w:firstColumn="1" w:lastColumn="0" w:noHBand="0" w:noVBand="1"/>
      </w:tblPr>
      <w:tblGrid>
        <w:gridCol w:w="9382"/>
      </w:tblGrid>
      <w:tr w:rsidR="001F0651" w:rsidRPr="00F57797" w14:paraId="79907EEE" w14:textId="77777777">
        <w:tc>
          <w:tcPr>
            <w:tcW w:w="9382" w:type="dxa"/>
            <w:tcBorders>
              <w:top w:val="nil"/>
              <w:left w:val="nil"/>
              <w:bottom w:val="nil"/>
              <w:right w:val="single" w:sz="24" w:space="0" w:color="006EC8" w:themeColor="accent1"/>
            </w:tcBorders>
            <w:shd w:val="clear" w:color="auto" w:fill="C1E3FF" w:themeFill="accent1" w:themeFillTint="33"/>
          </w:tcPr>
          <w:p w14:paraId="13871041" w14:textId="19665085" w:rsidR="001F0651" w:rsidRPr="0033141A" w:rsidRDefault="001F0651">
            <w:pPr>
              <w:rPr>
                <w:b/>
                <w:bCs/>
              </w:rPr>
            </w:pPr>
            <w:r w:rsidRPr="0033141A">
              <w:rPr>
                <w:b/>
                <w:bCs/>
              </w:rPr>
              <w:t>Recommendation 1</w:t>
            </w:r>
            <w:r w:rsidR="003823BC">
              <w:rPr>
                <w:b/>
                <w:bCs/>
              </w:rPr>
              <w:t>8</w:t>
            </w:r>
          </w:p>
          <w:p w14:paraId="161688F3" w14:textId="3F14FDFB" w:rsidR="001F0651" w:rsidRPr="0033141A" w:rsidRDefault="009301EF" w:rsidP="009301EF">
            <w:r w:rsidRPr="009301EF">
              <w:lastRenderedPageBreak/>
              <w:t>The Committee recommends that the Australian Government adopt a clear ‘tell</w:t>
            </w:r>
            <w:r w:rsidR="0089078D">
              <w:t xml:space="preserve"> </w:t>
            </w:r>
            <w:r w:rsidRPr="009301EF">
              <w:t>government once’ principle for employment service clients, whereby critical information relevant to a client’s employment potential and service history is available to relevant public sector agencies and service partners contracted to support an individual.</w:t>
            </w:r>
          </w:p>
        </w:tc>
      </w:tr>
    </w:tbl>
    <w:p w14:paraId="5DE64DDF" w14:textId="7B9AA3CF" w:rsidR="00FA32F2" w:rsidRPr="002B7CFB" w:rsidRDefault="00FA32F2" w:rsidP="00FA32F2">
      <w:r w:rsidRPr="00B36B7F">
        <w:rPr>
          <w:i/>
          <w:iCs/>
          <w:color w:val="006EC8" w:themeColor="accent1"/>
        </w:rPr>
        <w:lastRenderedPageBreak/>
        <w:t>Cost implications:</w:t>
      </w:r>
      <w:r w:rsidRPr="00B36B7F">
        <w:rPr>
          <w:color w:val="006EC8" w:themeColor="accent1"/>
        </w:rPr>
        <w:t xml:space="preserve"> </w:t>
      </w:r>
      <w:r w:rsidR="0089078D">
        <w:t xml:space="preserve">The upgraded platform should facilitate the sharing of information </w:t>
      </w:r>
      <w:r w:rsidR="00D33BE1">
        <w:t>between agencies and providers</w:t>
      </w:r>
      <w:r w:rsidRPr="00B36B7F">
        <w:t>.</w:t>
      </w:r>
    </w:p>
    <w:tbl>
      <w:tblPr>
        <w:tblStyle w:val="TableGrid"/>
        <w:tblW w:w="0" w:type="auto"/>
        <w:tblLook w:val="04A0" w:firstRow="1" w:lastRow="0" w:firstColumn="1" w:lastColumn="0" w:noHBand="0" w:noVBand="1"/>
      </w:tblPr>
      <w:tblGrid>
        <w:gridCol w:w="9382"/>
      </w:tblGrid>
      <w:tr w:rsidR="009301EF" w:rsidRPr="00F57797" w14:paraId="507E1F55" w14:textId="77777777">
        <w:tc>
          <w:tcPr>
            <w:tcW w:w="9382" w:type="dxa"/>
            <w:tcBorders>
              <w:top w:val="nil"/>
              <w:left w:val="nil"/>
              <w:bottom w:val="nil"/>
              <w:right w:val="single" w:sz="24" w:space="0" w:color="006EC8" w:themeColor="accent1"/>
            </w:tcBorders>
            <w:shd w:val="clear" w:color="auto" w:fill="C1E3FF" w:themeFill="accent1" w:themeFillTint="33"/>
          </w:tcPr>
          <w:p w14:paraId="739B312F" w14:textId="6091B0CD" w:rsidR="009301EF" w:rsidRPr="0033141A" w:rsidRDefault="009301EF">
            <w:pPr>
              <w:rPr>
                <w:b/>
                <w:bCs/>
              </w:rPr>
            </w:pPr>
            <w:r w:rsidRPr="0033141A">
              <w:rPr>
                <w:b/>
                <w:bCs/>
              </w:rPr>
              <w:t xml:space="preserve">Recommendation </w:t>
            </w:r>
            <w:r w:rsidR="001D7E13">
              <w:rPr>
                <w:b/>
                <w:bCs/>
              </w:rPr>
              <w:t>26</w:t>
            </w:r>
          </w:p>
          <w:p w14:paraId="23BACE03" w14:textId="2CA95D0B" w:rsidR="009301EF" w:rsidRPr="0033141A" w:rsidRDefault="001D7E13">
            <w:r w:rsidRPr="001D7E13">
              <w:t xml:space="preserve">The Committee recommends that the Australian Government ensure all service partners can access information they </w:t>
            </w:r>
            <w:proofErr w:type="gramStart"/>
            <w:r w:rsidRPr="001D7E13">
              <w:t>enter into</w:t>
            </w:r>
            <w:proofErr w:type="gramEnd"/>
            <w:r w:rsidRPr="001D7E13">
              <w:t xml:space="preserve"> the department’s IT systems unless there are clear, defendable reasons for not making that data available.</w:t>
            </w:r>
          </w:p>
        </w:tc>
      </w:tr>
    </w:tbl>
    <w:p w14:paraId="20D365B2" w14:textId="7D95A318" w:rsidR="00867B5C" w:rsidRPr="002B7CFB" w:rsidRDefault="00867B5C" w:rsidP="00867B5C">
      <w:r w:rsidRPr="00B36B7F">
        <w:rPr>
          <w:i/>
          <w:iCs/>
          <w:color w:val="006EC8" w:themeColor="accent1"/>
        </w:rPr>
        <w:t>Cost implications:</w:t>
      </w:r>
      <w:r w:rsidRPr="00B36B7F">
        <w:rPr>
          <w:color w:val="006EC8" w:themeColor="accent1"/>
        </w:rPr>
        <w:t xml:space="preserve"> </w:t>
      </w:r>
      <w:r>
        <w:t xml:space="preserve">Providers should be able to easily access </w:t>
      </w:r>
      <w:r w:rsidR="00FD5F19">
        <w:t>their own data to be used to support their work</w:t>
      </w:r>
      <w:r w:rsidR="004416A5">
        <w:t xml:space="preserve"> in helping jobseekers</w:t>
      </w:r>
      <w:r w:rsidRPr="00B36B7F">
        <w:t>.</w:t>
      </w:r>
    </w:p>
    <w:tbl>
      <w:tblPr>
        <w:tblStyle w:val="TableGrid"/>
        <w:tblW w:w="0" w:type="auto"/>
        <w:tblLook w:val="04A0" w:firstRow="1" w:lastRow="0" w:firstColumn="1" w:lastColumn="0" w:noHBand="0" w:noVBand="1"/>
      </w:tblPr>
      <w:tblGrid>
        <w:gridCol w:w="9382"/>
      </w:tblGrid>
      <w:tr w:rsidR="006A7B5E" w:rsidRPr="00F57797" w14:paraId="4C70F569" w14:textId="77777777">
        <w:tc>
          <w:tcPr>
            <w:tcW w:w="9382" w:type="dxa"/>
            <w:tcBorders>
              <w:top w:val="nil"/>
              <w:left w:val="nil"/>
              <w:bottom w:val="nil"/>
              <w:right w:val="single" w:sz="24" w:space="0" w:color="006EC8" w:themeColor="accent1"/>
            </w:tcBorders>
            <w:shd w:val="clear" w:color="auto" w:fill="C1E3FF" w:themeFill="accent1" w:themeFillTint="33"/>
          </w:tcPr>
          <w:p w14:paraId="523B4B84" w14:textId="77777777" w:rsidR="00AF0724" w:rsidRDefault="006A7B5E" w:rsidP="0041478C">
            <w:pPr>
              <w:rPr>
                <w:b/>
                <w:bCs/>
              </w:rPr>
            </w:pPr>
            <w:r w:rsidRPr="0033141A">
              <w:rPr>
                <w:b/>
                <w:bCs/>
              </w:rPr>
              <w:t xml:space="preserve">Recommendation </w:t>
            </w:r>
            <w:r w:rsidR="0041478C">
              <w:rPr>
                <w:b/>
                <w:bCs/>
              </w:rPr>
              <w:t>36</w:t>
            </w:r>
          </w:p>
          <w:p w14:paraId="2C6DC148" w14:textId="38CE024E" w:rsidR="0041478C" w:rsidRPr="0041478C" w:rsidRDefault="0041478C" w:rsidP="0041478C">
            <w:pPr>
              <w:rPr>
                <w:b/>
                <w:bCs/>
              </w:rPr>
            </w:pPr>
            <w:r w:rsidRPr="0041478C">
              <w:t>The Committee recommends that the Australian Government:</w:t>
            </w:r>
          </w:p>
          <w:p w14:paraId="099CB1CA" w14:textId="7114A624" w:rsidR="0041478C" w:rsidRPr="0041478C" w:rsidRDefault="00D64FD3" w:rsidP="0041478C">
            <w:pPr>
              <w:pStyle w:val="Bullet1"/>
            </w:pPr>
            <w:r>
              <w:t>E</w:t>
            </w:r>
            <w:r w:rsidR="0041478C" w:rsidRPr="0041478C">
              <w:t xml:space="preserve">nsure that the digital tools for employment services and the primary government websites for employment services are available in, at a minimum, the languages in which reporting is available via the Centrelink Express Plus app, as well as in those languages </w:t>
            </w:r>
            <w:proofErr w:type="gramStart"/>
            <w:r w:rsidR="0041478C" w:rsidRPr="0041478C">
              <w:t>most commonly used</w:t>
            </w:r>
            <w:proofErr w:type="gramEnd"/>
            <w:r w:rsidR="0041478C" w:rsidRPr="0041478C">
              <w:t xml:space="preserve"> by jobseekers on the employment services caseload</w:t>
            </w:r>
          </w:p>
          <w:p w14:paraId="5B5D428F" w14:textId="4036B8AD" w:rsidR="0041478C" w:rsidRPr="0041478C" w:rsidRDefault="00D64FD3" w:rsidP="0041478C">
            <w:pPr>
              <w:pStyle w:val="Bullet1"/>
            </w:pPr>
            <w:r>
              <w:t>D</w:t>
            </w:r>
            <w:r w:rsidR="0041478C" w:rsidRPr="0041478C">
              <w:t>evelop and implement a strategy for increasing the number of languages in which online information and reporting tools are available, including in response to changes to the makeup of the employment services caseload</w:t>
            </w:r>
          </w:p>
          <w:p w14:paraId="23CF6049" w14:textId="01FC774C" w:rsidR="0041478C" w:rsidRPr="0041478C" w:rsidRDefault="00D64FD3" w:rsidP="0041478C">
            <w:pPr>
              <w:pStyle w:val="Bullet1"/>
            </w:pPr>
            <w:r>
              <w:t>E</w:t>
            </w:r>
            <w:r w:rsidR="0041478C" w:rsidRPr="0041478C">
              <w:t>nsure major updates to digital tools and user interfaces for employment services are fully tested with target cohorts before being implemented. This should include testing with older people, people from culturally and linguistically diverse backgrounds, First Nations peoples, and people with disability</w:t>
            </w:r>
          </w:p>
          <w:p w14:paraId="599BE36F" w14:textId="480B359D" w:rsidR="006A7B5E" w:rsidRPr="0033141A" w:rsidRDefault="00D64FD3" w:rsidP="0041478C">
            <w:pPr>
              <w:pStyle w:val="Bullet1"/>
            </w:pPr>
            <w:r>
              <w:t>D</w:t>
            </w:r>
            <w:r w:rsidR="0041478C" w:rsidRPr="0041478C">
              <w:t>evelop a Digital Protections Framework to provide robust safeguards for clients and other stakeholders against the adverse impacts of increasing digitalisation and automation of services.</w:t>
            </w:r>
          </w:p>
        </w:tc>
      </w:tr>
    </w:tbl>
    <w:p w14:paraId="689FE391" w14:textId="114FDF19" w:rsidR="006A7B5E" w:rsidRDefault="006A7B5E" w:rsidP="006A7B5E">
      <w:r w:rsidRPr="004B4DF0">
        <w:rPr>
          <w:i/>
          <w:iCs/>
          <w:color w:val="006EC8" w:themeColor="accent1"/>
        </w:rPr>
        <w:t>Cost implications:</w:t>
      </w:r>
      <w:r w:rsidRPr="004B4DF0">
        <w:rPr>
          <w:color w:val="006EC8" w:themeColor="accent1"/>
        </w:rPr>
        <w:t xml:space="preserve"> </w:t>
      </w:r>
      <w:r w:rsidR="0073640D" w:rsidRPr="004B4DF0">
        <w:rPr>
          <w:color w:val="231F20" w:themeColor="text1"/>
        </w:rPr>
        <w:t xml:space="preserve">The tools offered to jobseekers should be accessible and appropriate for </w:t>
      </w:r>
      <w:r w:rsidR="004B4DF0" w:rsidRPr="004B4DF0">
        <w:rPr>
          <w:color w:val="231F20" w:themeColor="text1"/>
        </w:rPr>
        <w:t>people with different backgrounds, cultures, and speaking different languages.</w:t>
      </w:r>
    </w:p>
    <w:tbl>
      <w:tblPr>
        <w:tblStyle w:val="TableGrid"/>
        <w:tblW w:w="0" w:type="auto"/>
        <w:tblLook w:val="04A0" w:firstRow="1" w:lastRow="0" w:firstColumn="1" w:lastColumn="0" w:noHBand="0" w:noVBand="1"/>
      </w:tblPr>
      <w:tblGrid>
        <w:gridCol w:w="9382"/>
      </w:tblGrid>
      <w:tr w:rsidR="00DB7862" w:rsidRPr="00F57797" w14:paraId="3A429D43" w14:textId="77777777">
        <w:tc>
          <w:tcPr>
            <w:tcW w:w="9382" w:type="dxa"/>
            <w:tcBorders>
              <w:top w:val="nil"/>
              <w:left w:val="nil"/>
              <w:bottom w:val="nil"/>
              <w:right w:val="single" w:sz="24" w:space="0" w:color="006EC8" w:themeColor="accent1"/>
            </w:tcBorders>
            <w:shd w:val="clear" w:color="auto" w:fill="C1E3FF" w:themeFill="accent1" w:themeFillTint="33"/>
          </w:tcPr>
          <w:p w14:paraId="49B8B6D8" w14:textId="77777777" w:rsidR="00AF0724" w:rsidRDefault="00DB7862" w:rsidP="00321773">
            <w:pPr>
              <w:rPr>
                <w:b/>
                <w:bCs/>
              </w:rPr>
            </w:pPr>
            <w:r w:rsidRPr="0033141A">
              <w:rPr>
                <w:b/>
                <w:bCs/>
              </w:rPr>
              <w:t xml:space="preserve">Recommendation </w:t>
            </w:r>
            <w:r>
              <w:rPr>
                <w:b/>
                <w:bCs/>
              </w:rPr>
              <w:t>3</w:t>
            </w:r>
            <w:r w:rsidR="00321773">
              <w:rPr>
                <w:b/>
                <w:bCs/>
              </w:rPr>
              <w:t>9</w:t>
            </w:r>
          </w:p>
          <w:p w14:paraId="6952CFA8" w14:textId="669DAB12" w:rsidR="00321773" w:rsidRPr="00321773" w:rsidRDefault="00321773" w:rsidP="00321773">
            <w:r w:rsidRPr="00321773">
              <w:t>The Committee recommends that the Australian Government seriously consider the implementation of a policy framework to integrate commercial digital jobs marketplaces into the employment services system taking account of the conclusions of this report, including the following key elements:</w:t>
            </w:r>
          </w:p>
          <w:p w14:paraId="28F55E96" w14:textId="4D79584E" w:rsidR="00321773" w:rsidRPr="00321773" w:rsidRDefault="00321773" w:rsidP="00321773">
            <w:pPr>
              <w:pStyle w:val="Bullet1"/>
            </w:pPr>
            <w:r w:rsidRPr="00321773">
              <w:t>Competitive neutrality and open access to all providers subject to meeting robust cybersecurity, privacy, and service standards</w:t>
            </w:r>
          </w:p>
          <w:p w14:paraId="683A7250" w14:textId="433D7CEF" w:rsidR="00321773" w:rsidRPr="00321773" w:rsidRDefault="00321773" w:rsidP="00321773">
            <w:pPr>
              <w:pStyle w:val="Bullet1"/>
            </w:pPr>
            <w:r w:rsidRPr="00321773">
              <w:t>Safeguards and transparency relating to the use of artificial intelligence, including to prevent algorithmic discrimination against disadvantaged jobseekers</w:t>
            </w:r>
          </w:p>
          <w:p w14:paraId="25404E64" w14:textId="28EEAA14" w:rsidR="00321773" w:rsidRPr="00321773" w:rsidRDefault="00321773" w:rsidP="00321773">
            <w:pPr>
              <w:pStyle w:val="Bullet1"/>
            </w:pPr>
            <w:r w:rsidRPr="00321773">
              <w:t>Jobseekers being able to automatically report activities through commercial marketplace partners to the employment services system</w:t>
            </w:r>
          </w:p>
          <w:p w14:paraId="2F0C1850" w14:textId="66FF7F28" w:rsidR="00321773" w:rsidRPr="00321773" w:rsidRDefault="00321773" w:rsidP="00321773">
            <w:pPr>
              <w:pStyle w:val="Bullet1"/>
            </w:pPr>
            <w:r w:rsidRPr="00321773">
              <w:t>Regular sharing of data on jobseeker activity with the employment services system, to enable program-level accountability and inform future policy direction</w:t>
            </w:r>
          </w:p>
          <w:p w14:paraId="7E0D8190" w14:textId="72BDFCB7" w:rsidR="00321773" w:rsidRPr="00321773" w:rsidRDefault="00321773" w:rsidP="00321773">
            <w:pPr>
              <w:pStyle w:val="Bullet1"/>
            </w:pPr>
            <w:r w:rsidRPr="00321773">
              <w:lastRenderedPageBreak/>
              <w:t>Relevant content is promoted on behalf of businesses and industries using in-flow and adjacent marketing channels</w:t>
            </w:r>
          </w:p>
          <w:p w14:paraId="67305C9C" w14:textId="7D94FADA" w:rsidR="00321773" w:rsidRPr="00321773" w:rsidRDefault="00321773" w:rsidP="00321773">
            <w:pPr>
              <w:pStyle w:val="Bullet1"/>
            </w:pPr>
            <w:r w:rsidRPr="00321773">
              <w:t>Clients have regular access to a wide range of job opportunities and recommendations based on their candidate profile and/or job preferences</w:t>
            </w:r>
          </w:p>
          <w:p w14:paraId="3C8AF76B" w14:textId="0572AF82" w:rsidR="00DB7862" w:rsidRPr="0033141A" w:rsidRDefault="00321773" w:rsidP="00321773">
            <w:pPr>
              <w:pStyle w:val="Bullet1"/>
            </w:pPr>
            <w:r w:rsidRPr="00321773">
              <w:t xml:space="preserve">Eventual retirement of the online jobs board in Workforce Australia once commercial partnerships </w:t>
            </w:r>
            <w:proofErr w:type="gramStart"/>
            <w:r w:rsidRPr="00321773">
              <w:t>are</w:t>
            </w:r>
            <w:proofErr w:type="gramEnd"/>
            <w:r w:rsidRPr="00321773">
              <w:t xml:space="preserve"> established and working well.</w:t>
            </w:r>
          </w:p>
        </w:tc>
      </w:tr>
    </w:tbl>
    <w:p w14:paraId="65B5436D" w14:textId="29963CA0" w:rsidR="00DB7862" w:rsidRDefault="00DB7862" w:rsidP="00DB7862">
      <w:r w:rsidRPr="005B28AF">
        <w:rPr>
          <w:i/>
          <w:iCs/>
          <w:color w:val="006EC8" w:themeColor="accent1"/>
        </w:rPr>
        <w:lastRenderedPageBreak/>
        <w:t>Cost implications:</w:t>
      </w:r>
      <w:r w:rsidRPr="005B28AF">
        <w:rPr>
          <w:color w:val="006EC8" w:themeColor="accent1"/>
        </w:rPr>
        <w:t xml:space="preserve"> </w:t>
      </w:r>
      <w:r w:rsidR="00772B90" w:rsidRPr="005B28AF">
        <w:rPr>
          <w:color w:val="231F20" w:themeColor="text1"/>
        </w:rPr>
        <w:t>Integration of commercial digital jobs marketplaces to provide a more comp</w:t>
      </w:r>
      <w:r w:rsidR="005B28AF" w:rsidRPr="005B28AF">
        <w:rPr>
          <w:color w:val="231F20" w:themeColor="text1"/>
        </w:rPr>
        <w:t>rehensive view of job listings for jobseekers.</w:t>
      </w:r>
    </w:p>
    <w:p w14:paraId="780C7E90" w14:textId="77777777" w:rsidR="00250E7C" w:rsidRDefault="00250E7C" w:rsidP="00622324">
      <w:pPr>
        <w:pStyle w:val="Heading4"/>
      </w:pPr>
      <w:r>
        <w:t>Costing approach</w:t>
      </w:r>
    </w:p>
    <w:p w14:paraId="11C5B12C" w14:textId="126F2EDC" w:rsidR="00C75EEF" w:rsidRDefault="000374E4" w:rsidP="00C75EEF">
      <w:r>
        <w:t xml:space="preserve">A bottom-up costing approach </w:t>
      </w:r>
      <w:r w:rsidR="002C37CE">
        <w:t xml:space="preserve">for </w:t>
      </w:r>
      <w:r w:rsidR="00ED75D1">
        <w:t>an enhanced digital platform would require:</w:t>
      </w:r>
    </w:p>
    <w:p w14:paraId="60718872" w14:textId="57687F7F" w:rsidR="00AF359B" w:rsidRDefault="009C0662" w:rsidP="00B2335F">
      <w:pPr>
        <w:pStyle w:val="Numberbullet1"/>
        <w:numPr>
          <w:ilvl w:val="1"/>
          <w:numId w:val="13"/>
        </w:numPr>
      </w:pPr>
      <w:r>
        <w:t xml:space="preserve">Engaging stakeholders, including providers and jobseekers, </w:t>
      </w:r>
      <w:r w:rsidR="00BC5D8D">
        <w:t xml:space="preserve">to help identify the </w:t>
      </w:r>
      <w:r w:rsidR="00665B73">
        <w:t xml:space="preserve">additional </w:t>
      </w:r>
      <w:r w:rsidR="00E01C5F">
        <w:t>features</w:t>
      </w:r>
      <w:r w:rsidR="007B4EF6">
        <w:t xml:space="preserve"> and </w:t>
      </w:r>
      <w:r w:rsidR="00273040">
        <w:t xml:space="preserve">tools </w:t>
      </w:r>
      <w:r w:rsidR="00766829">
        <w:t xml:space="preserve">of the </w:t>
      </w:r>
      <w:r w:rsidR="00665B73">
        <w:t xml:space="preserve">new </w:t>
      </w:r>
      <w:r w:rsidR="00766829">
        <w:t>platform</w:t>
      </w:r>
    </w:p>
    <w:p w14:paraId="1CCEC01E" w14:textId="5467981F" w:rsidR="002854AF" w:rsidRDefault="00DB6FF2" w:rsidP="009C0662">
      <w:pPr>
        <w:pStyle w:val="Numberbullet1"/>
      </w:pPr>
      <w:r>
        <w:t xml:space="preserve">Engaging IT professionals to </w:t>
      </w:r>
      <w:r w:rsidR="00C20D91">
        <w:t xml:space="preserve">help estimate development, implementation, </w:t>
      </w:r>
      <w:r w:rsidR="003576E1">
        <w:t xml:space="preserve">infrastructure </w:t>
      </w:r>
      <w:r w:rsidR="00C20D91">
        <w:t>and maintenance costs based on expected user loads.</w:t>
      </w:r>
    </w:p>
    <w:p w14:paraId="23AF1063" w14:textId="6931D101" w:rsidR="00AD6E27" w:rsidRDefault="00CE41E1" w:rsidP="00190439">
      <w:pPr>
        <w:pStyle w:val="Numberbullet1"/>
        <w:numPr>
          <w:ilvl w:val="0"/>
          <w:numId w:val="10"/>
        </w:numPr>
      </w:pPr>
      <w:r>
        <w:t xml:space="preserve">This </w:t>
      </w:r>
      <w:r w:rsidR="00190439">
        <w:t xml:space="preserve">detailed costing exercise </w:t>
      </w:r>
      <w:r w:rsidR="00083653">
        <w:t>was</w:t>
      </w:r>
      <w:r w:rsidR="00190439">
        <w:t xml:space="preserve"> not feasible in the timeframes </w:t>
      </w:r>
      <w:r w:rsidR="00EF436D">
        <w:t>available for this</w:t>
      </w:r>
      <w:r w:rsidR="00190439">
        <w:t xml:space="preserve"> costing.</w:t>
      </w:r>
    </w:p>
    <w:p w14:paraId="256154AE" w14:textId="799AEEF3" w:rsidR="00ED75D1" w:rsidRPr="00C75EEF" w:rsidRDefault="00AD6E27" w:rsidP="00474461">
      <w:r>
        <w:t>Alterna</w:t>
      </w:r>
      <w:r w:rsidR="000274E9">
        <w:t xml:space="preserve">tively, </w:t>
      </w:r>
      <w:r w:rsidR="00EB2C85">
        <w:t>we consider</w:t>
      </w:r>
      <w:r w:rsidR="007F7D77">
        <w:t>ed</w:t>
      </w:r>
      <w:r w:rsidR="00EB2C85">
        <w:t xml:space="preserve"> the potential </w:t>
      </w:r>
      <w:r w:rsidR="005525CE">
        <w:t xml:space="preserve">cost </w:t>
      </w:r>
      <w:r w:rsidR="00EB2C85">
        <w:t xml:space="preserve">savings an enhanced digital platform may deliver. </w:t>
      </w:r>
      <w:r w:rsidR="001759BE">
        <w:t>This represents a</w:t>
      </w:r>
      <w:r w:rsidR="00CC61C4">
        <w:t xml:space="preserve"> reasonable</w:t>
      </w:r>
      <w:r w:rsidR="001759BE">
        <w:t xml:space="preserve"> upper bound </w:t>
      </w:r>
      <w:r w:rsidR="00CC61C4">
        <w:t xml:space="preserve">for the amount Government </w:t>
      </w:r>
      <w:r w:rsidR="677F746C">
        <w:t xml:space="preserve">may </w:t>
      </w:r>
      <w:r w:rsidR="00CC61C4">
        <w:t xml:space="preserve">be willing to invest </w:t>
      </w:r>
      <w:r w:rsidR="000A1A54">
        <w:t xml:space="preserve">into </w:t>
      </w:r>
      <w:r w:rsidR="007A0307">
        <w:t>a</w:t>
      </w:r>
      <w:r w:rsidR="000A1A54">
        <w:t xml:space="preserve"> new platform </w:t>
      </w:r>
      <w:r w:rsidR="00B126E7">
        <w:t>(s</w:t>
      </w:r>
      <w:r w:rsidR="00984A92">
        <w:t xml:space="preserve">pending </w:t>
      </w:r>
      <w:r w:rsidR="00B40A14">
        <w:t>less than</w:t>
      </w:r>
      <w:r w:rsidR="008F0B2E">
        <w:t xml:space="preserve"> the estimate</w:t>
      </w:r>
      <w:r w:rsidR="00B126E7">
        <w:t>d</w:t>
      </w:r>
      <w:r w:rsidR="008F0B2E">
        <w:t xml:space="preserve"> </w:t>
      </w:r>
      <w:r w:rsidR="53CA9162">
        <w:t xml:space="preserve">annual </w:t>
      </w:r>
      <w:r w:rsidR="008F0B2E">
        <w:t xml:space="preserve">cost savings </w:t>
      </w:r>
      <w:r w:rsidR="00B40A14">
        <w:t xml:space="preserve">the platform </w:t>
      </w:r>
      <w:r w:rsidR="24348DCF">
        <w:t>would</w:t>
      </w:r>
      <w:r w:rsidR="00B40A14">
        <w:t xml:space="preserve"> </w:t>
      </w:r>
      <w:r w:rsidR="24348DCF">
        <w:t xml:space="preserve">result in </w:t>
      </w:r>
      <w:r w:rsidR="00B126E7">
        <w:t>a</w:t>
      </w:r>
      <w:r w:rsidR="00B40A14">
        <w:t xml:space="preserve"> net</w:t>
      </w:r>
      <w:r w:rsidR="00B126E7">
        <w:t xml:space="preserve"> </w:t>
      </w:r>
      <w:r w:rsidR="2E4849D0">
        <w:t>return on the investment</w:t>
      </w:r>
      <w:r w:rsidR="00B126E7">
        <w:t>).</w:t>
      </w:r>
    </w:p>
    <w:p w14:paraId="12604E88" w14:textId="77777777" w:rsidR="00250E7C" w:rsidRDefault="00250E7C" w:rsidP="00622324">
      <w:pPr>
        <w:pStyle w:val="Heading4"/>
      </w:pPr>
      <w:r>
        <w:t>Costing</w:t>
      </w:r>
    </w:p>
    <w:p w14:paraId="53558579" w14:textId="7DA131E7" w:rsidR="00E81586" w:rsidRDefault="00F87425" w:rsidP="00995CC9">
      <w:r>
        <w:t>In</w:t>
      </w:r>
      <w:r w:rsidR="00A52EA8">
        <w:t xml:space="preserve"> Section</w:t>
      </w:r>
      <w:r>
        <w:t xml:space="preserve"> </w:t>
      </w:r>
      <w:r w:rsidR="00A52EA8">
        <w:fldChar w:fldCharType="begin"/>
      </w:r>
      <w:r w:rsidR="00A52EA8">
        <w:instrText xml:space="preserve"> REF _Ref219321655 \n \h </w:instrText>
      </w:r>
      <w:r w:rsidR="00A52EA8">
        <w:fldChar w:fldCharType="separate"/>
      </w:r>
      <w:r w:rsidR="001703C6">
        <w:t>4.1.2</w:t>
      </w:r>
      <w:r w:rsidR="00A52EA8">
        <w:fldChar w:fldCharType="end"/>
      </w:r>
      <w:r w:rsidR="00E02E2C">
        <w:t xml:space="preserve"> we discussed our assumption that an upgraded digital platform </w:t>
      </w:r>
      <w:r w:rsidR="00E331E4">
        <w:t>means that case workers spend 10% less of their time on administra</w:t>
      </w:r>
      <w:r w:rsidR="00572A23">
        <w:t>tive tasks</w:t>
      </w:r>
      <w:r w:rsidR="00E331E4">
        <w:t xml:space="preserve">. </w:t>
      </w:r>
      <w:r w:rsidR="22B1E8F5">
        <w:t xml:space="preserve">Our modelling assumes this saved time results in more time with participants. The </w:t>
      </w:r>
      <w:r w:rsidR="7EFA4C1F">
        <w:t>value of this time is equivalent to</w:t>
      </w:r>
      <w:r w:rsidR="007A5FB7">
        <w:t xml:space="preserve"> </w:t>
      </w:r>
      <w:r w:rsidR="00CF07DD">
        <w:t>1,</w:t>
      </w:r>
      <w:r w:rsidR="00162E4E">
        <w:t>482</w:t>
      </w:r>
      <w:r w:rsidR="00CF07DD">
        <w:t xml:space="preserve"> caseworkers</w:t>
      </w:r>
      <w:r w:rsidR="61D1F6E2">
        <w:t>, and a</w:t>
      </w:r>
      <w:r w:rsidR="00D55572">
        <w:t xml:space="preserve">t an average assumed salary of </w:t>
      </w:r>
      <w:r w:rsidR="006C48AE">
        <w:t>$92,</w:t>
      </w:r>
      <w:r w:rsidR="003C7DC2">
        <w:t>125</w:t>
      </w:r>
      <w:r w:rsidR="007001E1">
        <w:t xml:space="preserve"> (inclusive of superannuation), this translates to a </w:t>
      </w:r>
      <w:r w:rsidR="114EA3E9">
        <w:t>value</w:t>
      </w:r>
      <w:r w:rsidR="007001E1">
        <w:t xml:space="preserve"> of </w:t>
      </w:r>
      <w:r w:rsidR="0073780C">
        <w:t>$1</w:t>
      </w:r>
      <w:r w:rsidR="00771E28">
        <w:t>3</w:t>
      </w:r>
      <w:r w:rsidR="003C7DC2">
        <w:t>6.5</w:t>
      </w:r>
      <w:r w:rsidR="0500670B">
        <w:t>M</w:t>
      </w:r>
      <w:r w:rsidR="0097128A">
        <w:t xml:space="preserve"> </w:t>
      </w:r>
      <w:r w:rsidR="00EA447A">
        <w:t xml:space="preserve">per year. </w:t>
      </w:r>
    </w:p>
    <w:p w14:paraId="412C4CFA" w14:textId="6925C8F0" w:rsidR="00E81586" w:rsidRDefault="4764CEA3" w:rsidP="00995CC9">
      <w:r>
        <w:t xml:space="preserve">If </w:t>
      </w:r>
      <w:r w:rsidR="00A66923">
        <w:t>G</w:t>
      </w:r>
      <w:r>
        <w:t xml:space="preserve">overnment </w:t>
      </w:r>
      <w:r w:rsidR="00A66923">
        <w:t>was</w:t>
      </w:r>
      <w:r>
        <w:t xml:space="preserve"> to spend half this amount </w:t>
      </w:r>
      <w:r w:rsidR="5B84B17E">
        <w:t>each year</w:t>
      </w:r>
      <w:r>
        <w:t xml:space="preserve"> </w:t>
      </w:r>
      <w:r w:rsidR="5B84B17E">
        <w:t>($</w:t>
      </w:r>
      <w:r w:rsidR="00A66923">
        <w:t>68</w:t>
      </w:r>
      <w:r w:rsidR="003C7DC2">
        <w:t>.3</w:t>
      </w:r>
      <w:r w:rsidR="5B84B17E">
        <w:t>M)</w:t>
      </w:r>
      <w:r>
        <w:t xml:space="preserve"> </w:t>
      </w:r>
      <w:r w:rsidR="0C56E05C">
        <w:t>to</w:t>
      </w:r>
      <w:r>
        <w:t xml:space="preserve"> ach</w:t>
      </w:r>
      <w:r w:rsidR="29DD715B">
        <w:t xml:space="preserve">ieve the 10% reduction </w:t>
      </w:r>
      <w:r w:rsidR="3774DFBB">
        <w:t>in administrative time</w:t>
      </w:r>
      <w:r>
        <w:t xml:space="preserve">, </w:t>
      </w:r>
      <w:r w:rsidR="308256D7">
        <w:t>there would be</w:t>
      </w:r>
      <w:r>
        <w:t xml:space="preserve"> a </w:t>
      </w:r>
      <w:r w:rsidR="308256D7">
        <w:t>100% return on investment</w:t>
      </w:r>
      <w:r>
        <w:t>.</w:t>
      </w:r>
    </w:p>
    <w:p w14:paraId="13B16065" w14:textId="79E86207" w:rsidR="00250E7C" w:rsidRDefault="00BD473E" w:rsidP="003F3123">
      <w:r>
        <w:t>Current spend</w:t>
      </w:r>
      <w:r w:rsidR="00617FF6">
        <w:t xml:space="preserve"> on the existing platform is </w:t>
      </w:r>
      <w:r w:rsidR="00D90734">
        <w:t>$</w:t>
      </w:r>
      <w:r w:rsidR="0A828F84">
        <w:t>29.5M</w:t>
      </w:r>
      <w:r w:rsidR="00D90734">
        <w:t xml:space="preserve"> per year</w:t>
      </w:r>
      <w:r w:rsidR="00D24635">
        <w:t>,</w:t>
      </w:r>
      <w:r w:rsidR="00CB6A2E">
        <w:t xml:space="preserve"> so increasing this to $</w:t>
      </w:r>
      <w:r w:rsidR="00A66923">
        <w:t>6</w:t>
      </w:r>
      <w:r w:rsidR="00CB6A2E">
        <w:t>8</w:t>
      </w:r>
      <w:r w:rsidR="00EF79E9">
        <w:t xml:space="preserve">.3M </w:t>
      </w:r>
      <w:r w:rsidR="00A95AFB">
        <w:t>per year</w:t>
      </w:r>
      <w:r w:rsidR="00CB6A2E">
        <w:t xml:space="preserve"> represents </w:t>
      </w:r>
      <w:r w:rsidR="00391586">
        <w:t>more than a doubling of</w:t>
      </w:r>
      <w:r w:rsidR="00CB6A2E">
        <w:t xml:space="preserve"> spend</w:t>
      </w:r>
      <w:r w:rsidR="00391586">
        <w:t xml:space="preserve"> (</w:t>
      </w:r>
      <w:r w:rsidR="00635996">
        <w:t>an extra $</w:t>
      </w:r>
      <w:r w:rsidR="00DC7953">
        <w:t>38.8</w:t>
      </w:r>
      <w:r w:rsidR="00635996">
        <w:t>M</w:t>
      </w:r>
      <w:r w:rsidR="00391586">
        <w:t>)</w:t>
      </w:r>
      <w:r w:rsidR="00CB6A2E">
        <w:t xml:space="preserve">. </w:t>
      </w:r>
      <w:r w:rsidR="000C5DF4">
        <w:t xml:space="preserve">While </w:t>
      </w:r>
      <w:r w:rsidR="00291F43">
        <w:t xml:space="preserve">the actual reduction in administrative burden that will be achieved is uncertain, </w:t>
      </w:r>
      <w:r w:rsidR="00EE29D5">
        <w:t xml:space="preserve">these results highlight how even a significant increase </w:t>
      </w:r>
      <w:r w:rsidR="00560CB7">
        <w:t xml:space="preserve">in spend on the digital platform can </w:t>
      </w:r>
      <w:r w:rsidR="00FE5F54">
        <w:t>be reas</w:t>
      </w:r>
      <w:r w:rsidR="00356EB1">
        <w:t>onable and a</w:t>
      </w:r>
      <w:r w:rsidR="005D026F">
        <w:t xml:space="preserve"> </w:t>
      </w:r>
      <w:r w:rsidR="00E8337B">
        <w:t xml:space="preserve">feasible investment </w:t>
      </w:r>
      <w:r w:rsidR="138056C5">
        <w:t>if directed towards reducing provider administration</w:t>
      </w:r>
      <w:r w:rsidR="00933E2F">
        <w:t>.</w:t>
      </w:r>
    </w:p>
    <w:p w14:paraId="16CBC3E2" w14:textId="77777777" w:rsidR="00250E7C" w:rsidRPr="001D7A54" w:rsidRDefault="00250E7C" w:rsidP="00622324">
      <w:pPr>
        <w:pStyle w:val="Heading4"/>
      </w:pPr>
      <w:r>
        <w:t>Validation checks</w:t>
      </w:r>
    </w:p>
    <w:p w14:paraId="1AC90970" w14:textId="66390BC6" w:rsidR="006C718E" w:rsidRPr="006C718E" w:rsidRDefault="00E422F5" w:rsidP="006C718E">
      <w:r>
        <w:fldChar w:fldCharType="begin"/>
      </w:r>
      <w:r>
        <w:instrText xml:space="preserve"> REF _Ref219733042 \h </w:instrText>
      </w:r>
      <w:r>
        <w:fldChar w:fldCharType="separate"/>
      </w:r>
      <w:r w:rsidR="001703C6">
        <w:t xml:space="preserve">Table </w:t>
      </w:r>
      <w:r w:rsidR="001703C6">
        <w:rPr>
          <w:noProof/>
        </w:rPr>
        <w:t>7</w:t>
      </w:r>
      <w:r>
        <w:fldChar w:fldCharType="end"/>
      </w:r>
      <w:r w:rsidR="00E80022">
        <w:t xml:space="preserve"> shows the cost </w:t>
      </w:r>
      <w:r w:rsidR="00DD0DD4">
        <w:t xml:space="preserve">of several government platforms we were able to </w:t>
      </w:r>
      <w:r w:rsidR="00280B2E">
        <w:t xml:space="preserve">find using public sources (e.g. </w:t>
      </w:r>
      <w:r w:rsidR="000302BE">
        <w:t>government audit report</w:t>
      </w:r>
      <w:r w:rsidR="00497DAB">
        <w:t>s</w:t>
      </w:r>
      <w:r w:rsidR="00280B2E">
        <w:t>)</w:t>
      </w:r>
      <w:r w:rsidR="00650F6B">
        <w:t xml:space="preserve">. </w:t>
      </w:r>
      <w:r w:rsidR="004D20CD">
        <w:t xml:space="preserve">Comparison </w:t>
      </w:r>
      <w:r w:rsidR="00FC53DF">
        <w:t>is difficult since:</w:t>
      </w:r>
    </w:p>
    <w:p w14:paraId="576CCFFF" w14:textId="31E4BC3E" w:rsidR="00FC53DF" w:rsidRPr="006C718E" w:rsidRDefault="00497DAB" w:rsidP="00FC53DF">
      <w:pPr>
        <w:pStyle w:val="Bullet1"/>
      </w:pPr>
      <w:r>
        <w:t xml:space="preserve">There is no breakdown of total cost by development, </w:t>
      </w:r>
      <w:r w:rsidR="00FE4357">
        <w:t xml:space="preserve">implementation, </w:t>
      </w:r>
      <w:r>
        <w:t>infrastructure and maintenance</w:t>
      </w:r>
    </w:p>
    <w:p w14:paraId="2DAF8584" w14:textId="0D644F5A" w:rsidR="00497DAB" w:rsidRDefault="00497DAB" w:rsidP="00497DAB">
      <w:pPr>
        <w:pStyle w:val="Bullet1"/>
      </w:pPr>
      <w:r>
        <w:t>The platforms vary in functionality and number of users.</w:t>
      </w:r>
    </w:p>
    <w:p w14:paraId="5C1EE5E2" w14:textId="65F4DA50" w:rsidR="00497DAB" w:rsidRPr="00497DAB" w:rsidRDefault="00B57B7E" w:rsidP="00497DAB">
      <w:r>
        <w:t>The cost of these government platforms varies from close to the cost of the existing employment services platform to approaching $300M per year.</w:t>
      </w:r>
    </w:p>
    <w:p w14:paraId="539BB647" w14:textId="4D99FD2B" w:rsidR="00E422F5" w:rsidRPr="00497DAB" w:rsidRDefault="00D700C1" w:rsidP="00E422F5">
      <w:pPr>
        <w:pStyle w:val="Caption"/>
      </w:pPr>
      <w:bookmarkStart w:id="49" w:name="_Ref219733042"/>
      <w:r>
        <w:lastRenderedPageBreak/>
        <w:t xml:space="preserve">Table </w:t>
      </w:r>
      <w:r w:rsidR="001703C6">
        <w:fldChar w:fldCharType="begin"/>
      </w:r>
      <w:r w:rsidR="001703C6">
        <w:instrText xml:space="preserve"> SEQ Table \* ARABIC </w:instrText>
      </w:r>
      <w:r w:rsidR="001703C6">
        <w:fldChar w:fldCharType="separate"/>
      </w:r>
      <w:r w:rsidR="001703C6">
        <w:rPr>
          <w:noProof/>
        </w:rPr>
        <w:t>7</w:t>
      </w:r>
      <w:r w:rsidR="001703C6">
        <w:rPr>
          <w:noProof/>
        </w:rPr>
        <w:fldChar w:fldCharType="end"/>
      </w:r>
      <w:bookmarkEnd w:id="49"/>
      <w:r w:rsidR="00831021">
        <w:rPr>
          <w:noProof/>
        </w:rPr>
        <w:t>:</w:t>
      </w:r>
      <w:r w:rsidR="00E422F5">
        <w:t xml:space="preserve"> Cost of other government digital platforms</w:t>
      </w:r>
    </w:p>
    <w:tbl>
      <w:tblPr>
        <w:tblStyle w:val="TFBlue"/>
        <w:tblW w:w="0" w:type="auto"/>
        <w:tblLook w:val="04A0" w:firstRow="1" w:lastRow="0" w:firstColumn="1" w:lastColumn="0" w:noHBand="0" w:noVBand="1"/>
      </w:tblPr>
      <w:tblGrid>
        <w:gridCol w:w="2545"/>
        <w:gridCol w:w="3551"/>
        <w:gridCol w:w="3118"/>
      </w:tblGrid>
      <w:tr w:rsidR="00706407" w14:paraId="1860584A" w14:textId="77777777" w:rsidTr="00DF0773">
        <w:trPr>
          <w:cnfStyle w:val="100000000000" w:firstRow="1" w:lastRow="0" w:firstColumn="0" w:lastColumn="0" w:oddVBand="0" w:evenVBand="0" w:oddHBand="0" w:evenHBand="0" w:firstRowFirstColumn="0" w:firstRowLastColumn="0" w:lastRowFirstColumn="0" w:lastRowLastColumn="0"/>
        </w:trPr>
        <w:tc>
          <w:tcPr>
            <w:tcW w:w="2545" w:type="dxa"/>
          </w:tcPr>
          <w:p w14:paraId="5C798A28" w14:textId="7FC2A0FA" w:rsidR="00706407" w:rsidRDefault="00706407">
            <w:r>
              <w:t>Platform</w:t>
            </w:r>
          </w:p>
        </w:tc>
        <w:tc>
          <w:tcPr>
            <w:tcW w:w="3551" w:type="dxa"/>
          </w:tcPr>
          <w:p w14:paraId="3DB60097" w14:textId="18AD6F5B" w:rsidR="00706407" w:rsidRDefault="00706407">
            <w:r>
              <w:t>Function</w:t>
            </w:r>
          </w:p>
        </w:tc>
        <w:tc>
          <w:tcPr>
            <w:tcW w:w="3118" w:type="dxa"/>
          </w:tcPr>
          <w:p w14:paraId="0A417574" w14:textId="768A8A64" w:rsidR="00706407" w:rsidRDefault="00706407">
            <w:r>
              <w:t>Cost</w:t>
            </w:r>
          </w:p>
        </w:tc>
      </w:tr>
      <w:tr w:rsidR="00706407" w14:paraId="3AE2E364" w14:textId="77777777" w:rsidTr="00DF0773">
        <w:trPr>
          <w:cnfStyle w:val="000000100000" w:firstRow="0" w:lastRow="0" w:firstColumn="0" w:lastColumn="0" w:oddVBand="0" w:evenVBand="0" w:oddHBand="1" w:evenHBand="0" w:firstRowFirstColumn="0" w:firstRowLastColumn="0" w:lastRowFirstColumn="0" w:lastRowLastColumn="0"/>
        </w:trPr>
        <w:tc>
          <w:tcPr>
            <w:tcW w:w="2545" w:type="dxa"/>
          </w:tcPr>
          <w:p w14:paraId="4327C2E2" w14:textId="7F9FF692" w:rsidR="00706407" w:rsidRDefault="00580D94">
            <w:r>
              <w:t>MyGov Digital Services</w:t>
            </w:r>
          </w:p>
        </w:tc>
        <w:tc>
          <w:tcPr>
            <w:tcW w:w="3551" w:type="dxa"/>
          </w:tcPr>
          <w:p w14:paraId="676C3430" w14:textId="4785DC81" w:rsidR="00706407" w:rsidRDefault="00AC2341">
            <w:r>
              <w:t>Online portal for accessing Australian Government services</w:t>
            </w:r>
          </w:p>
        </w:tc>
        <w:tc>
          <w:tcPr>
            <w:tcW w:w="3118" w:type="dxa"/>
          </w:tcPr>
          <w:p w14:paraId="3D1AF858" w14:textId="00235789" w:rsidR="00706407" w:rsidRDefault="00F62738">
            <w:r>
              <w:t>$22M per year for 4 years</w:t>
            </w:r>
          </w:p>
        </w:tc>
      </w:tr>
      <w:tr w:rsidR="00706407" w14:paraId="29E572ED" w14:textId="77777777" w:rsidTr="00DF0773">
        <w:tc>
          <w:tcPr>
            <w:tcW w:w="2545" w:type="dxa"/>
          </w:tcPr>
          <w:p w14:paraId="2D3A4886" w14:textId="5FA55D51" w:rsidR="00706407" w:rsidRDefault="001D47EB">
            <w:r>
              <w:t>My Health Record</w:t>
            </w:r>
          </w:p>
        </w:tc>
        <w:tc>
          <w:tcPr>
            <w:tcW w:w="3551" w:type="dxa"/>
          </w:tcPr>
          <w:p w14:paraId="2FFD0450" w14:textId="482D4D55" w:rsidR="00706407" w:rsidRDefault="00B40456">
            <w:r>
              <w:t>Secure environment for storing and accessing individual health information</w:t>
            </w:r>
          </w:p>
        </w:tc>
        <w:tc>
          <w:tcPr>
            <w:tcW w:w="3118" w:type="dxa"/>
          </w:tcPr>
          <w:p w14:paraId="189B3D6B" w14:textId="361F2846" w:rsidR="00706407" w:rsidRDefault="00C26FE9">
            <w:r>
              <w:t>$288M per year for 4 years</w:t>
            </w:r>
          </w:p>
        </w:tc>
      </w:tr>
      <w:tr w:rsidR="00706407" w14:paraId="764510A8" w14:textId="77777777" w:rsidTr="00DF0773">
        <w:trPr>
          <w:cnfStyle w:val="000000100000" w:firstRow="0" w:lastRow="0" w:firstColumn="0" w:lastColumn="0" w:oddVBand="0" w:evenVBand="0" w:oddHBand="1" w:evenHBand="0" w:firstRowFirstColumn="0" w:firstRowLastColumn="0" w:lastRowFirstColumn="0" w:lastRowLastColumn="0"/>
        </w:trPr>
        <w:tc>
          <w:tcPr>
            <w:tcW w:w="2545" w:type="dxa"/>
          </w:tcPr>
          <w:p w14:paraId="6276C59D" w14:textId="677E4BD5" w:rsidR="00706407" w:rsidRDefault="001D47EB">
            <w:r>
              <w:t>ATO IT managed services</w:t>
            </w:r>
          </w:p>
        </w:tc>
        <w:tc>
          <w:tcPr>
            <w:tcW w:w="3551" w:type="dxa"/>
          </w:tcPr>
          <w:p w14:paraId="0187F7DF" w14:textId="7BE12AA7" w:rsidR="00706407" w:rsidRDefault="00977ECE">
            <w:r>
              <w:t xml:space="preserve">IT infrastructure supporting ATO staff and </w:t>
            </w:r>
            <w:r w:rsidR="00A2343B">
              <w:t>clients</w:t>
            </w:r>
          </w:p>
        </w:tc>
        <w:tc>
          <w:tcPr>
            <w:tcW w:w="3118" w:type="dxa"/>
          </w:tcPr>
          <w:p w14:paraId="583CE5B3" w14:textId="4E8FE895" w:rsidR="00706407" w:rsidRDefault="00E06900">
            <w:r>
              <w:t>$250M per year for 10 years</w:t>
            </w:r>
          </w:p>
        </w:tc>
      </w:tr>
      <w:tr w:rsidR="00706407" w14:paraId="31AA6E8E" w14:textId="77777777" w:rsidTr="00DF0773">
        <w:tc>
          <w:tcPr>
            <w:tcW w:w="2545" w:type="dxa"/>
          </w:tcPr>
          <w:p w14:paraId="529D004E" w14:textId="3D8B6B56" w:rsidR="00706407" w:rsidRDefault="008805BE">
            <w:r>
              <w:t xml:space="preserve">Welfare Payments Infrastructure </w:t>
            </w:r>
            <w:r w:rsidR="00DF0773">
              <w:t>Transformation</w:t>
            </w:r>
          </w:p>
        </w:tc>
        <w:tc>
          <w:tcPr>
            <w:tcW w:w="3551" w:type="dxa"/>
          </w:tcPr>
          <w:p w14:paraId="6C21932A" w14:textId="5B0D8110" w:rsidR="00706407" w:rsidRDefault="00C21CC8">
            <w:r>
              <w:t>Replaced legacy Centrelink IT systems</w:t>
            </w:r>
            <w:r w:rsidR="00E55C96">
              <w:t xml:space="preserve"> including a new payment system to improve staff efficiency and customer experience</w:t>
            </w:r>
          </w:p>
        </w:tc>
        <w:tc>
          <w:tcPr>
            <w:tcW w:w="3118" w:type="dxa"/>
          </w:tcPr>
          <w:p w14:paraId="5F17A280" w14:textId="1AD7BDC2" w:rsidR="00706407" w:rsidRDefault="00E06900">
            <w:r>
              <w:t>$</w:t>
            </w:r>
            <w:r w:rsidR="00852A15">
              <w:t>214M per year for 7 years</w:t>
            </w:r>
          </w:p>
        </w:tc>
      </w:tr>
      <w:tr w:rsidR="00706407" w14:paraId="1A12DAC7" w14:textId="77777777" w:rsidTr="00DF0773">
        <w:trPr>
          <w:cnfStyle w:val="000000100000" w:firstRow="0" w:lastRow="0" w:firstColumn="0" w:lastColumn="0" w:oddVBand="0" w:evenVBand="0" w:oddHBand="1" w:evenHBand="0" w:firstRowFirstColumn="0" w:firstRowLastColumn="0" w:lastRowFirstColumn="0" w:lastRowLastColumn="0"/>
        </w:trPr>
        <w:tc>
          <w:tcPr>
            <w:tcW w:w="2545" w:type="dxa"/>
          </w:tcPr>
          <w:p w14:paraId="7260007F" w14:textId="630FD74B" w:rsidR="00706407" w:rsidRDefault="00DF0773">
            <w:r>
              <w:t>NDIA IT uplift for fraud</w:t>
            </w:r>
          </w:p>
        </w:tc>
        <w:tc>
          <w:tcPr>
            <w:tcW w:w="3551" w:type="dxa"/>
          </w:tcPr>
          <w:p w14:paraId="67FFE9D7" w14:textId="3F77CEB9" w:rsidR="00706407" w:rsidRDefault="006955C6">
            <w:r>
              <w:t>Fraud detection capabilities</w:t>
            </w:r>
          </w:p>
        </w:tc>
        <w:tc>
          <w:tcPr>
            <w:tcW w:w="3118" w:type="dxa"/>
          </w:tcPr>
          <w:p w14:paraId="5FBAD7E9" w14:textId="193B5F9A" w:rsidR="00706407" w:rsidRDefault="006B3CB2">
            <w:r>
              <w:t>$62M per year for 8 years</w:t>
            </w:r>
          </w:p>
        </w:tc>
      </w:tr>
      <w:tr w:rsidR="00706407" w14:paraId="10A7136D" w14:textId="77777777" w:rsidTr="00DF0773">
        <w:tc>
          <w:tcPr>
            <w:tcW w:w="2545" w:type="dxa"/>
          </w:tcPr>
          <w:p w14:paraId="605FB78B" w14:textId="319FB125" w:rsidR="00706407" w:rsidRDefault="00DF0773">
            <w:r>
              <w:t>Service Victoria</w:t>
            </w:r>
          </w:p>
        </w:tc>
        <w:tc>
          <w:tcPr>
            <w:tcW w:w="3551" w:type="dxa"/>
          </w:tcPr>
          <w:p w14:paraId="531132A0" w14:textId="51A0FB45" w:rsidR="00706407" w:rsidRDefault="006C718E">
            <w:r>
              <w:t>Online portal for accessing Victorian Government services</w:t>
            </w:r>
          </w:p>
        </w:tc>
        <w:tc>
          <w:tcPr>
            <w:tcW w:w="3118" w:type="dxa"/>
          </w:tcPr>
          <w:p w14:paraId="55D009E0" w14:textId="0926DD09" w:rsidR="00706407" w:rsidRDefault="006B3CB2">
            <w:r>
              <w:t>$</w:t>
            </w:r>
            <w:r w:rsidR="00A7545D">
              <w:t>30M per year for 4 years</w:t>
            </w:r>
          </w:p>
        </w:tc>
      </w:tr>
    </w:tbl>
    <w:p w14:paraId="1A8A5159" w14:textId="77777777" w:rsidR="00250E7C" w:rsidRDefault="00250E7C" w:rsidP="00622324">
      <w:pPr>
        <w:pStyle w:val="Heading3"/>
      </w:pPr>
      <w:bookmarkStart w:id="50" w:name="_Ref219408846"/>
      <w:bookmarkStart w:id="51" w:name="_Toc226038401"/>
      <w:r>
        <w:t>Regional hubs</w:t>
      </w:r>
      <w:bookmarkEnd w:id="50"/>
      <w:bookmarkEnd w:id="51"/>
    </w:p>
    <w:p w14:paraId="475F72EA" w14:textId="3B9133B5" w:rsidR="00250E7C" w:rsidRDefault="00250E7C"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3A2A9C" w:rsidRPr="00095E4D" w14:paraId="6A51DFE3"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41818218" w14:textId="42CF44CF" w:rsidR="003A2A9C" w:rsidRPr="00095E4D" w:rsidRDefault="003A2A9C" w:rsidP="0025259B">
            <w:pPr>
              <w:rPr>
                <w:b/>
                <w:bCs/>
              </w:rPr>
            </w:pPr>
            <w:r w:rsidRPr="00095E4D">
              <w:rPr>
                <w:b/>
                <w:bCs/>
              </w:rPr>
              <w:t>Recommendation</w:t>
            </w:r>
            <w:r w:rsidR="009063A0" w:rsidRPr="00095E4D">
              <w:rPr>
                <w:b/>
                <w:bCs/>
              </w:rPr>
              <w:t xml:space="preserve"> </w:t>
            </w:r>
            <w:r w:rsidRPr="00095E4D">
              <w:rPr>
                <w:b/>
                <w:bCs/>
              </w:rPr>
              <w:t>4</w:t>
            </w:r>
          </w:p>
          <w:p w14:paraId="7B601BE3" w14:textId="77777777" w:rsidR="004A17D8" w:rsidRPr="00095E4D" w:rsidRDefault="004A17D8" w:rsidP="004A17D8">
            <w:r w:rsidRPr="004A17D8">
              <w:t>4.169 The Committee recommends that the Australian Government implement the</w:t>
            </w:r>
            <w:r w:rsidRPr="00095E4D">
              <w:t xml:space="preserve"> </w:t>
            </w:r>
            <w:r w:rsidRPr="004A17D8">
              <w:t>following measures to enhance its role in stewarding the employment service</w:t>
            </w:r>
            <w:r w:rsidRPr="00095E4D">
              <w:t xml:space="preserve"> </w:t>
            </w:r>
            <w:r w:rsidRPr="004A17D8">
              <w:t>system and increase the direct delivery of services by government:</w:t>
            </w:r>
            <w:r w:rsidRPr="00095E4D">
              <w:t xml:space="preserve"> </w:t>
            </w:r>
          </w:p>
          <w:p w14:paraId="748B298C" w14:textId="69760285" w:rsidR="004A17D8" w:rsidRPr="00095E4D" w:rsidRDefault="004A17D8" w:rsidP="00D64FD3">
            <w:pPr>
              <w:pStyle w:val="Bullet1"/>
            </w:pPr>
            <w:r w:rsidRPr="00095E4D">
              <w:t>Establish Employment Services Australia (ESA)</w:t>
            </w:r>
            <w:r w:rsidR="00353191" w:rsidRPr="00095E4D">
              <w:t>…</w:t>
            </w:r>
          </w:p>
          <w:p w14:paraId="168745B6" w14:textId="518C3596" w:rsidR="004A17D8" w:rsidRPr="00095E4D" w:rsidRDefault="004A17D8" w:rsidP="00D64FD3">
            <w:pPr>
              <w:pStyle w:val="Bullet1"/>
            </w:pPr>
            <w:r w:rsidRPr="00095E4D">
              <w:t>Establish a network of regional hubs and service gateways delivered by ESA. The regional hubs should be co-located where possible with existing services and include the following core-enabling functions:</w:t>
            </w:r>
          </w:p>
          <w:p w14:paraId="5E8A1814" w14:textId="6658ACF0" w:rsidR="00545674" w:rsidRPr="00095E4D" w:rsidRDefault="00D64FD3" w:rsidP="00D64FD3">
            <w:pPr>
              <w:pStyle w:val="Bullet2"/>
            </w:pPr>
            <w:r>
              <w:t>L</w:t>
            </w:r>
            <w:r w:rsidR="00545674" w:rsidRPr="00095E4D">
              <w:t>ocal service system coordination and mapping</w:t>
            </w:r>
          </w:p>
          <w:p w14:paraId="72CAA39C" w14:textId="3A6F1FCA" w:rsidR="00545674" w:rsidRPr="00095E4D" w:rsidRDefault="00D64FD3" w:rsidP="00D64FD3">
            <w:pPr>
              <w:pStyle w:val="Bullet2"/>
            </w:pPr>
            <w:r>
              <w:t>J</w:t>
            </w:r>
            <w:r w:rsidR="00545674" w:rsidRPr="00095E4D">
              <w:t>obseeker assessment and referrals to services</w:t>
            </w:r>
          </w:p>
          <w:p w14:paraId="62F38A89" w14:textId="632B4D7A" w:rsidR="00545674" w:rsidRPr="00095E4D" w:rsidRDefault="00D64FD3" w:rsidP="00D64FD3">
            <w:pPr>
              <w:pStyle w:val="Bullet2"/>
            </w:pPr>
            <w:r>
              <w:t>I</w:t>
            </w:r>
            <w:r w:rsidR="00545674" w:rsidRPr="00095E4D">
              <w:t>ndustry and employer engagement and support</w:t>
            </w:r>
          </w:p>
          <w:p w14:paraId="61646B14" w14:textId="13783326" w:rsidR="00545674" w:rsidRPr="00095E4D" w:rsidRDefault="00D64FD3" w:rsidP="00D64FD3">
            <w:pPr>
              <w:pStyle w:val="Bullet2"/>
            </w:pPr>
            <w:r>
              <w:t>A</w:t>
            </w:r>
            <w:r w:rsidR="00545674" w:rsidRPr="00095E4D">
              <w:t>dministration of government support for social enterprise and local projects</w:t>
            </w:r>
          </w:p>
          <w:p w14:paraId="4D9C41D6" w14:textId="437D0D48" w:rsidR="00611322" w:rsidRPr="00095E4D" w:rsidRDefault="00D64FD3" w:rsidP="00D64FD3">
            <w:pPr>
              <w:pStyle w:val="Bullet2"/>
            </w:pPr>
            <w:r>
              <w:t>D</w:t>
            </w:r>
            <w:r w:rsidR="00545674" w:rsidRPr="00095E4D">
              <w:t>elivery of industry transition and place-based projects for Commonwealth and State Governments.</w:t>
            </w:r>
          </w:p>
          <w:p w14:paraId="55CB8762" w14:textId="41F1434A" w:rsidR="00BD3747" w:rsidRPr="00095E4D" w:rsidRDefault="00BD3747" w:rsidP="00BD3747">
            <w:pPr>
              <w:rPr>
                <w:b/>
                <w:bCs/>
              </w:rPr>
            </w:pPr>
            <w:r w:rsidRPr="00095E4D">
              <w:rPr>
                <w:b/>
                <w:bCs/>
              </w:rPr>
              <w:t>Other related references:</w:t>
            </w:r>
          </w:p>
          <w:p w14:paraId="7C158F7E" w14:textId="77777777" w:rsidR="00BD3747" w:rsidRPr="00095E4D" w:rsidRDefault="00BD3747" w:rsidP="00D64FD3">
            <w:pPr>
              <w:pStyle w:val="Bullet1"/>
            </w:pPr>
            <w:r w:rsidRPr="00095E4D">
              <w:t xml:space="preserve">Establishing a new entity—Employment Services Australia (ESA)—within DEWR as a large digital-hybrid provider for jobseekers with fewer barriers to work, to actively managing the caseload; </w:t>
            </w:r>
            <w:r w:rsidRPr="00095E4D">
              <w:rPr>
                <w:b/>
                <w:bCs/>
              </w:rPr>
              <w:t>to provide core enabling functions in every region</w:t>
            </w:r>
            <w:r w:rsidRPr="00095E4D">
              <w:t xml:space="preserve">; and to provide case management services in some </w:t>
            </w:r>
            <w:r w:rsidRPr="00095E4D">
              <w:lastRenderedPageBreak/>
              <w:t>places and for people who are furthest from the labour market or persistently non-compliant with their obligations.</w:t>
            </w:r>
          </w:p>
          <w:p w14:paraId="2068AA16" w14:textId="2D8930F2" w:rsidR="00BD3747" w:rsidRPr="00095E4D" w:rsidRDefault="00BD3747" w:rsidP="00D64FD3">
            <w:pPr>
              <w:pStyle w:val="Bullet2"/>
            </w:pPr>
            <w:r w:rsidRPr="00095E4D">
              <w:t>Enabling services provided by ESA’s network of regional hubs would include local system coordination and mapping (available to clients and service partners); client assessment and referrals; industry and employer engagement; administration of support for social enterprises and local projects; and delivery of industry transition and place-based projects for Commonwealth and State and Territory Governments. Direct case management would occur in thin markets and a few other places to rebuild public sector capability and understanding of the efficient cost of a quality service.</w:t>
            </w:r>
          </w:p>
        </w:tc>
      </w:tr>
    </w:tbl>
    <w:p w14:paraId="6206F5C2" w14:textId="10CB453B" w:rsidR="003A2A9C" w:rsidRPr="00095E4D" w:rsidRDefault="003A2A9C" w:rsidP="003A2A9C">
      <w:r w:rsidRPr="00095E4D">
        <w:rPr>
          <w:i/>
          <w:iCs/>
          <w:color w:val="006EC8" w:themeColor="accent1"/>
        </w:rPr>
        <w:lastRenderedPageBreak/>
        <w:t>Cost implications:</w:t>
      </w:r>
      <w:r w:rsidRPr="00095E4D">
        <w:rPr>
          <w:color w:val="006EC8" w:themeColor="accent1"/>
        </w:rPr>
        <w:t xml:space="preserve"> </w:t>
      </w:r>
      <w:r w:rsidRPr="00095E4D">
        <w:rPr>
          <w:color w:val="231F20" w:themeColor="text1"/>
        </w:rPr>
        <w:t xml:space="preserve">The </w:t>
      </w:r>
      <w:r w:rsidR="00DA6D9F" w:rsidRPr="00095E4D">
        <w:rPr>
          <w:color w:val="231F20" w:themeColor="text1"/>
        </w:rPr>
        <w:t>establishment of Regional Hubs</w:t>
      </w:r>
      <w:r w:rsidR="006601DA" w:rsidRPr="00095E4D">
        <w:rPr>
          <w:color w:val="231F20" w:themeColor="text1"/>
        </w:rPr>
        <w:t>, co-located in existing sites around Australia</w:t>
      </w:r>
      <w:r w:rsidR="00420770" w:rsidRPr="00095E4D">
        <w:rPr>
          <w:color w:val="231F20" w:themeColor="text1"/>
        </w:rPr>
        <w:t>, and operating a range of services</w:t>
      </w:r>
      <w:r w:rsidR="009432CF" w:rsidRPr="00095E4D">
        <w:rPr>
          <w:color w:val="231F20" w:themeColor="text1"/>
        </w:rPr>
        <w:t xml:space="preserve">. </w:t>
      </w:r>
    </w:p>
    <w:tbl>
      <w:tblPr>
        <w:tblStyle w:val="TableGrid"/>
        <w:tblW w:w="0" w:type="auto"/>
        <w:tblLook w:val="04A0" w:firstRow="1" w:lastRow="0" w:firstColumn="1" w:lastColumn="0" w:noHBand="0" w:noVBand="1"/>
      </w:tblPr>
      <w:tblGrid>
        <w:gridCol w:w="9382"/>
      </w:tblGrid>
      <w:tr w:rsidR="008071FA" w:rsidRPr="00095E4D" w14:paraId="78DAA5E8"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25C7425B" w14:textId="77777777" w:rsidR="008071FA" w:rsidRPr="00095E4D" w:rsidRDefault="008071FA" w:rsidP="0025259B">
            <w:pPr>
              <w:rPr>
                <w:b/>
                <w:bCs/>
              </w:rPr>
            </w:pPr>
            <w:r w:rsidRPr="00095E4D">
              <w:rPr>
                <w:b/>
                <w:bCs/>
              </w:rPr>
              <w:t>Recommendation 29</w:t>
            </w:r>
          </w:p>
          <w:p w14:paraId="684969B5" w14:textId="77777777" w:rsidR="008071FA" w:rsidRPr="00095E4D" w:rsidRDefault="008071FA" w:rsidP="0025259B">
            <w:r w:rsidRPr="00095E4D">
              <w:t>9.114 The Committee recommends that the Australian Government co-design a new jobseeker assessment service, including the following key elements:</w:t>
            </w:r>
          </w:p>
          <w:p w14:paraId="63693DFC" w14:textId="742715BA" w:rsidR="008071FA" w:rsidRPr="00095E4D" w:rsidRDefault="008071FA" w:rsidP="00D64FD3">
            <w:pPr>
              <w:pStyle w:val="Bullet1"/>
            </w:pPr>
            <w:r w:rsidRPr="00095E4D">
              <w:t xml:space="preserve">The </w:t>
            </w:r>
            <w:r w:rsidR="00994EA8">
              <w:t>Jobseeker</w:t>
            </w:r>
            <w:r w:rsidRPr="00095E4D">
              <w:t xml:space="preserve"> Snapshot (JSS) is retained, subject to amendments to ensure it accurately identifies jobseekers who are best suited to online-hybrid services. The amendments should be trialled ahead of national rollout and should be subject to robust monitoring and evaluation.</w:t>
            </w:r>
          </w:p>
          <w:p w14:paraId="577BE8B4" w14:textId="77777777" w:rsidR="008071FA" w:rsidRPr="00095E4D" w:rsidRDefault="008071FA" w:rsidP="00D64FD3">
            <w:pPr>
              <w:pStyle w:val="Bullet1"/>
            </w:pPr>
            <w:r w:rsidRPr="00095E4D">
              <w:t>All jobseekers, except those determined via the JSS to be suited to online services, are rapidly referred to Employment Services Australia for comprehensive assessment of the jobseekers’ aspirations and barriers.</w:t>
            </w:r>
          </w:p>
          <w:p w14:paraId="479B1A68" w14:textId="77777777" w:rsidR="008071FA" w:rsidRPr="00095E4D" w:rsidRDefault="008071FA" w:rsidP="00D64FD3">
            <w:pPr>
              <w:pStyle w:val="Bullet1"/>
            </w:pPr>
            <w:r w:rsidRPr="00095E4D">
              <w:t>Following assessment, Employment Services Australia (via Regional Hubs):</w:t>
            </w:r>
          </w:p>
          <w:p w14:paraId="2450D988" w14:textId="134D2775" w:rsidR="008071FA" w:rsidRPr="00095E4D" w:rsidRDefault="00D64FD3" w:rsidP="00D64FD3">
            <w:pPr>
              <w:pStyle w:val="Bullet2"/>
            </w:pPr>
            <w:r>
              <w:t>P</w:t>
            </w:r>
            <w:r w:rsidR="008071FA" w:rsidRPr="00095E4D">
              <w:t>rovides details of the services and providers in the area</w:t>
            </w:r>
          </w:p>
          <w:p w14:paraId="4CB5F066" w14:textId="11EF7E23" w:rsidR="008071FA" w:rsidRPr="00095E4D" w:rsidRDefault="00D64FD3" w:rsidP="00D64FD3">
            <w:pPr>
              <w:pStyle w:val="Bullet2"/>
            </w:pPr>
            <w:r>
              <w:t>R</w:t>
            </w:r>
            <w:r w:rsidR="008071FA" w:rsidRPr="00095E4D">
              <w:t>ecommends service(s) that would be most beneficial for the jobseeker</w:t>
            </w:r>
          </w:p>
          <w:p w14:paraId="7AD46985" w14:textId="21033677" w:rsidR="008071FA" w:rsidRPr="00095E4D" w:rsidRDefault="00D64FD3" w:rsidP="00D64FD3">
            <w:pPr>
              <w:pStyle w:val="Bullet2"/>
            </w:pPr>
            <w:r>
              <w:t>I</w:t>
            </w:r>
            <w:r w:rsidR="008071FA" w:rsidRPr="00095E4D">
              <w:t>dentifies people who have little to no short-term prospects of securing employment, who have other barriers that should be addressed before referral to a provider or who would be better supported by a non-provider service, and prepares a Participation and Jobs Plan for those clients that underpins their mutual obligations</w:t>
            </w:r>
          </w:p>
          <w:p w14:paraId="41E105CF" w14:textId="4702D831" w:rsidR="008071FA" w:rsidRPr="00095E4D" w:rsidRDefault="00D64FD3" w:rsidP="00D64FD3">
            <w:pPr>
              <w:pStyle w:val="Bullet2"/>
            </w:pPr>
            <w:r>
              <w:t>I</w:t>
            </w:r>
            <w:r w:rsidR="008071FA" w:rsidRPr="00095E4D">
              <w:t>dentifies people who should be referred to a provider for case management and support with job search, providing the jobseeker up to a week to select their provider and supports a handover</w:t>
            </w:r>
            <w:r w:rsidR="003F6764">
              <w:t>.</w:t>
            </w:r>
          </w:p>
          <w:p w14:paraId="70A89EA7" w14:textId="532CA239" w:rsidR="008071FA" w:rsidRPr="00095E4D" w:rsidRDefault="008071FA" w:rsidP="00D64FD3">
            <w:pPr>
              <w:pStyle w:val="Bullet1"/>
            </w:pPr>
            <w:r w:rsidRPr="00095E4D">
              <w:t>A client who shows commitment and meaningfully engages with Employment Services Australia during the assessment process fully meets their mutual accountability requirements for that period</w:t>
            </w:r>
            <w:r w:rsidR="003F6764">
              <w:t>.</w:t>
            </w:r>
          </w:p>
          <w:p w14:paraId="7B11E712" w14:textId="434289F1" w:rsidR="008071FA" w:rsidRPr="00095E4D" w:rsidRDefault="008071FA" w:rsidP="00D64FD3">
            <w:pPr>
              <w:pStyle w:val="Bullet1"/>
            </w:pPr>
            <w:r w:rsidRPr="00095E4D">
              <w:t>Performance measures for Employment Services Australia focus on the appropriateness of services to which jobseekers are allocated.</w:t>
            </w:r>
          </w:p>
        </w:tc>
      </w:tr>
    </w:tbl>
    <w:p w14:paraId="7C14C1A6" w14:textId="3B7C12DA" w:rsidR="00F57797" w:rsidRPr="00095E4D" w:rsidRDefault="008071FA" w:rsidP="00250E7C">
      <w:r w:rsidRPr="00095E4D">
        <w:rPr>
          <w:i/>
          <w:iCs/>
          <w:color w:val="006EC8" w:themeColor="accent1"/>
        </w:rPr>
        <w:t>Cost implications:</w:t>
      </w:r>
      <w:r w:rsidRPr="00095E4D">
        <w:rPr>
          <w:color w:val="006EC8" w:themeColor="accent1"/>
        </w:rPr>
        <w:t xml:space="preserve"> </w:t>
      </w:r>
      <w:r w:rsidR="00A3394B" w:rsidRPr="00095E4D">
        <w:rPr>
          <w:color w:val="231F20" w:themeColor="text1"/>
        </w:rPr>
        <w:t xml:space="preserve">A key service of the Regional Hubs </w:t>
      </w:r>
      <w:r w:rsidR="003B113E" w:rsidRPr="00095E4D">
        <w:rPr>
          <w:color w:val="231F20" w:themeColor="text1"/>
        </w:rPr>
        <w:t>is</w:t>
      </w:r>
      <w:r w:rsidR="00A3394B" w:rsidRPr="00095E4D">
        <w:rPr>
          <w:color w:val="231F20" w:themeColor="text1"/>
        </w:rPr>
        <w:t xml:space="preserve"> an assessment </w:t>
      </w:r>
      <w:r w:rsidR="00D71424" w:rsidRPr="00095E4D">
        <w:rPr>
          <w:color w:val="231F20" w:themeColor="text1"/>
        </w:rPr>
        <w:t>by ESA</w:t>
      </w:r>
      <w:r w:rsidR="00F0417A" w:rsidRPr="00095E4D">
        <w:rPr>
          <w:color w:val="231F20" w:themeColor="text1"/>
        </w:rPr>
        <w:t xml:space="preserve"> (after the JSS and ESAt)</w:t>
      </w:r>
      <w:r w:rsidR="007846F5" w:rsidRPr="00095E4D">
        <w:rPr>
          <w:color w:val="231F20" w:themeColor="text1"/>
        </w:rPr>
        <w:t>.</w:t>
      </w:r>
    </w:p>
    <w:tbl>
      <w:tblPr>
        <w:tblStyle w:val="TableGrid"/>
        <w:tblW w:w="0" w:type="auto"/>
        <w:tblLook w:val="04A0" w:firstRow="1" w:lastRow="0" w:firstColumn="1" w:lastColumn="0" w:noHBand="0" w:noVBand="1"/>
      </w:tblPr>
      <w:tblGrid>
        <w:gridCol w:w="9382"/>
      </w:tblGrid>
      <w:tr w:rsidR="008071FA" w:rsidRPr="00095E4D" w14:paraId="620D2E44"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0DA0B63C" w14:textId="77777777" w:rsidR="008071FA" w:rsidRPr="00095E4D" w:rsidRDefault="008071FA" w:rsidP="0025259B">
            <w:pPr>
              <w:rPr>
                <w:b/>
                <w:bCs/>
              </w:rPr>
            </w:pPr>
            <w:r w:rsidRPr="00095E4D">
              <w:rPr>
                <w:b/>
                <w:bCs/>
              </w:rPr>
              <w:t>Recommendation 45</w:t>
            </w:r>
          </w:p>
          <w:p w14:paraId="697BC741" w14:textId="77777777" w:rsidR="008071FA" w:rsidRPr="00095E4D" w:rsidRDefault="008071FA" w:rsidP="0025259B">
            <w:r w:rsidRPr="00095E4D">
              <w:t>12.100 The Committee recommends that the rebuilt Commonwealth Employment Services System include a dedicated employer-focused service, as a one-stop-shop to ‘hide the wiring’ for businesses. This service should be delivered by Employment Services Australia’s Regional Hubs, and should have the following key functions:</w:t>
            </w:r>
          </w:p>
          <w:p w14:paraId="4C97EFF0" w14:textId="55BCA574" w:rsidR="008071FA" w:rsidRPr="00095E4D" w:rsidRDefault="008071FA" w:rsidP="00D64FD3">
            <w:pPr>
              <w:pStyle w:val="Bullet1"/>
            </w:pPr>
            <w:r w:rsidRPr="00095E4D">
              <w:t>A greater focus on matching jobseekers to vacancies, including brokering placements for jobseekers with specific needs</w:t>
            </w:r>
          </w:p>
          <w:p w14:paraId="7BDCB688" w14:textId="41242FC1" w:rsidR="008071FA" w:rsidRPr="00095E4D" w:rsidRDefault="008071FA" w:rsidP="00D64FD3">
            <w:pPr>
              <w:pStyle w:val="Bullet1"/>
            </w:pPr>
            <w:r w:rsidRPr="00095E4D">
              <w:lastRenderedPageBreak/>
              <w:t>Working with employers to deliver recruitment and workforce development support, including job design and job carving, new human resources practices and adapting work environments to welcome new and diverse employees and support them to stay</w:t>
            </w:r>
          </w:p>
          <w:p w14:paraId="5D537245" w14:textId="2448C613" w:rsidR="008071FA" w:rsidRPr="00095E4D" w:rsidRDefault="008071FA" w:rsidP="00D64FD3">
            <w:pPr>
              <w:pStyle w:val="Bullet1"/>
            </w:pPr>
            <w:r w:rsidRPr="00095E4D">
              <w:t>Working with employers to encourage and support them to deliver training, and to encourage employers to see themselves as not just a destination but as a key contributor to skills development</w:t>
            </w:r>
          </w:p>
          <w:p w14:paraId="6553AC70" w14:textId="16E37AE8" w:rsidR="008071FA" w:rsidRPr="00095E4D" w:rsidRDefault="008071FA" w:rsidP="00D64FD3">
            <w:pPr>
              <w:pStyle w:val="Bullet1"/>
            </w:pPr>
            <w:r w:rsidRPr="00095E4D">
              <w:t>Delivering or providing referrals to industry-specific training</w:t>
            </w:r>
          </w:p>
          <w:p w14:paraId="560B29B1" w14:textId="2FEECC02" w:rsidR="008071FA" w:rsidRPr="00095E4D" w:rsidRDefault="008071FA" w:rsidP="00D64FD3">
            <w:pPr>
              <w:pStyle w:val="Bullet1"/>
            </w:pPr>
            <w:r w:rsidRPr="00095E4D">
              <w:t>Partnering with providers, employers, and other key stakeholders to deliver targeted demand-driven employment projects focused on meeting the workforce needs of an individual employer or local community or region</w:t>
            </w:r>
          </w:p>
          <w:p w14:paraId="054B3F73" w14:textId="77152544" w:rsidR="008071FA" w:rsidRPr="00095E4D" w:rsidRDefault="008071FA" w:rsidP="00D64FD3">
            <w:pPr>
              <w:pStyle w:val="Bullet1"/>
            </w:pPr>
            <w:r w:rsidRPr="00095E4D">
              <w:t>Providing in-employment support, including career development</w:t>
            </w:r>
          </w:p>
          <w:p w14:paraId="73A6D383" w14:textId="4C89BD9B" w:rsidR="008071FA" w:rsidRPr="00095E4D" w:rsidRDefault="008071FA" w:rsidP="00D64FD3">
            <w:pPr>
              <w:pStyle w:val="Bullet1"/>
            </w:pPr>
            <w:r w:rsidRPr="00095E4D">
              <w:t>Collecting and sharing local labour market data to inform insights about vacancies and local skills needs.</w:t>
            </w:r>
          </w:p>
        </w:tc>
      </w:tr>
    </w:tbl>
    <w:p w14:paraId="4F11042B" w14:textId="235E186D" w:rsidR="0007647F" w:rsidRPr="00095E4D" w:rsidRDefault="008071FA" w:rsidP="007846F5">
      <w:pPr>
        <w:rPr>
          <w:color w:val="231F20" w:themeColor="text1"/>
        </w:rPr>
      </w:pPr>
      <w:r w:rsidRPr="00095E4D">
        <w:rPr>
          <w:i/>
          <w:iCs/>
          <w:color w:val="006EC8" w:themeColor="accent1"/>
        </w:rPr>
        <w:lastRenderedPageBreak/>
        <w:t>Cost implications:</w:t>
      </w:r>
      <w:r w:rsidRPr="00095E4D">
        <w:rPr>
          <w:color w:val="006EC8" w:themeColor="accent1"/>
        </w:rPr>
        <w:t xml:space="preserve"> </w:t>
      </w:r>
      <w:r w:rsidR="007846F5" w:rsidRPr="00095E4D">
        <w:rPr>
          <w:color w:val="231F20" w:themeColor="text1"/>
        </w:rPr>
        <w:t xml:space="preserve">Another key service of the Regional Hubs </w:t>
      </w:r>
      <w:r w:rsidR="003B113E" w:rsidRPr="00095E4D">
        <w:rPr>
          <w:color w:val="231F20" w:themeColor="text1"/>
        </w:rPr>
        <w:t>is regional management of the relationship with employers</w:t>
      </w:r>
      <w:r w:rsidR="0005234F" w:rsidRPr="00095E4D">
        <w:rPr>
          <w:color w:val="231F20" w:themeColor="text1"/>
        </w:rPr>
        <w:t>.</w:t>
      </w:r>
    </w:p>
    <w:tbl>
      <w:tblPr>
        <w:tblStyle w:val="TableGrid"/>
        <w:tblW w:w="0" w:type="auto"/>
        <w:tblLook w:val="04A0" w:firstRow="1" w:lastRow="0" w:firstColumn="1" w:lastColumn="0" w:noHBand="0" w:noVBand="1"/>
      </w:tblPr>
      <w:tblGrid>
        <w:gridCol w:w="9382"/>
      </w:tblGrid>
      <w:tr w:rsidR="008071FA" w:rsidRPr="00095E4D" w14:paraId="6EC205DA"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6C70113E" w14:textId="77777777" w:rsidR="00F516AF" w:rsidRPr="00095E4D" w:rsidRDefault="00F516AF" w:rsidP="00F516AF">
            <w:pPr>
              <w:rPr>
                <w:b/>
                <w:bCs/>
              </w:rPr>
            </w:pPr>
            <w:r w:rsidRPr="00095E4D">
              <w:rPr>
                <w:b/>
                <w:bCs/>
              </w:rPr>
              <w:t>Recommendation 46</w:t>
            </w:r>
          </w:p>
          <w:p w14:paraId="225263A6" w14:textId="77777777" w:rsidR="00F516AF" w:rsidRPr="00095E4D" w:rsidRDefault="00F516AF" w:rsidP="00F516AF">
            <w:r w:rsidRPr="00095E4D">
              <w:t>12.101 The Committee recommends that the rebuilt Commonwealth Employment Services System make greater and more targeted use of intermediaries and bridging services such as not-for-profit labour hire firms, social enterprises, and sector and industry bodies, particularly as a means of reducing actual and perceived risks for employers associated with engaging disadvantaged jobseekers and in supporting social procurement initiatives. This should include:</w:t>
            </w:r>
          </w:p>
          <w:p w14:paraId="4DC58EFA" w14:textId="6135A765" w:rsidR="00F516AF" w:rsidRPr="00095E4D" w:rsidRDefault="00D64FD3" w:rsidP="00D64FD3">
            <w:pPr>
              <w:pStyle w:val="Bullet1"/>
            </w:pPr>
            <w:r>
              <w:t>M</w:t>
            </w:r>
            <w:r w:rsidR="00F516AF" w:rsidRPr="00095E4D">
              <w:t>aking facilitating and coordinating engagement between contracted partners, intermediaries, and employers a key function of Employment Services Australia’s regional hubs</w:t>
            </w:r>
          </w:p>
          <w:p w14:paraId="591DFEBA" w14:textId="26E7BE02" w:rsidR="00F516AF" w:rsidRPr="00095E4D" w:rsidRDefault="00D64FD3" w:rsidP="00D64FD3">
            <w:pPr>
              <w:pStyle w:val="Bullet1"/>
            </w:pPr>
            <w:r>
              <w:t>E</w:t>
            </w:r>
            <w:r w:rsidR="00F516AF" w:rsidRPr="00095E4D">
              <w:t>nsuring that intermediaries and bridging services are captured by the Commonwealth Social Procurement Framework contemplated by Recommendation 5.</w:t>
            </w:r>
          </w:p>
        </w:tc>
      </w:tr>
    </w:tbl>
    <w:p w14:paraId="262283DF" w14:textId="34AF835F" w:rsidR="008071FA" w:rsidRDefault="008071FA" w:rsidP="00250E7C">
      <w:pPr>
        <w:rPr>
          <w:color w:val="231F20" w:themeColor="text1"/>
        </w:rPr>
      </w:pPr>
      <w:r w:rsidRPr="00095E4D">
        <w:rPr>
          <w:i/>
          <w:iCs/>
          <w:color w:val="006EC8" w:themeColor="accent1"/>
        </w:rPr>
        <w:t>Cost implications:</w:t>
      </w:r>
      <w:r w:rsidRPr="00095E4D">
        <w:rPr>
          <w:color w:val="006EC8" w:themeColor="accent1"/>
        </w:rPr>
        <w:t xml:space="preserve"> </w:t>
      </w:r>
      <w:r w:rsidR="007422C5" w:rsidRPr="00095E4D">
        <w:rPr>
          <w:color w:val="231F20" w:themeColor="text1"/>
        </w:rPr>
        <w:t xml:space="preserve">Related to Recommendation 45, </w:t>
      </w:r>
      <w:r w:rsidR="0092301C" w:rsidRPr="00095E4D">
        <w:rPr>
          <w:color w:val="231F20" w:themeColor="text1"/>
        </w:rPr>
        <w:t xml:space="preserve">a component of </w:t>
      </w:r>
      <w:r w:rsidR="00AE5BAA" w:rsidRPr="00095E4D">
        <w:rPr>
          <w:color w:val="231F20" w:themeColor="text1"/>
        </w:rPr>
        <w:t xml:space="preserve">employer engagement </w:t>
      </w:r>
      <w:r w:rsidR="00297B6C" w:rsidRPr="00095E4D">
        <w:rPr>
          <w:color w:val="231F20" w:themeColor="text1"/>
        </w:rPr>
        <w:t xml:space="preserve">by Regional Hubs </w:t>
      </w:r>
      <w:r w:rsidR="0092301C" w:rsidRPr="00095E4D">
        <w:rPr>
          <w:color w:val="231F20" w:themeColor="text1"/>
        </w:rPr>
        <w:t xml:space="preserve">is the </w:t>
      </w:r>
      <w:r w:rsidR="00CC2637" w:rsidRPr="00095E4D">
        <w:rPr>
          <w:color w:val="231F20" w:themeColor="text1"/>
        </w:rPr>
        <w:t>coordination of contracted partners, intermediaries, and employers.</w:t>
      </w:r>
    </w:p>
    <w:tbl>
      <w:tblPr>
        <w:tblStyle w:val="TableGrid"/>
        <w:tblW w:w="0" w:type="auto"/>
        <w:tblLook w:val="04A0" w:firstRow="1" w:lastRow="0" w:firstColumn="1" w:lastColumn="0" w:noHBand="0" w:noVBand="1"/>
      </w:tblPr>
      <w:tblGrid>
        <w:gridCol w:w="9382"/>
      </w:tblGrid>
      <w:tr w:rsidR="009F719F" w:rsidRPr="00095E4D" w14:paraId="106B7625"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7896CB34" w14:textId="77777777" w:rsidR="00F516AF" w:rsidRPr="00095E4D" w:rsidRDefault="00F516AF" w:rsidP="00F516AF">
            <w:pPr>
              <w:rPr>
                <w:b/>
                <w:bCs/>
              </w:rPr>
            </w:pPr>
            <w:r w:rsidRPr="00095E4D">
              <w:rPr>
                <w:b/>
                <w:bCs/>
              </w:rPr>
              <w:t xml:space="preserve">Recommendation </w:t>
            </w:r>
            <w:r>
              <w:rPr>
                <w:b/>
                <w:bCs/>
              </w:rPr>
              <w:t>6</w:t>
            </w:r>
            <w:r w:rsidRPr="00095E4D">
              <w:rPr>
                <w:b/>
                <w:bCs/>
              </w:rPr>
              <w:t>6</w:t>
            </w:r>
          </w:p>
          <w:p w14:paraId="4BFE7FE8" w14:textId="77777777" w:rsidR="00F516AF" w:rsidRDefault="00F516AF" w:rsidP="00F516AF">
            <w:r>
              <w:t xml:space="preserve">15.127 The Committee recommends that the commissioning model for a rebuilt Commonwealth Employment Services System includes the following elements: </w:t>
            </w:r>
          </w:p>
          <w:p w14:paraId="7D7DB4FA" w14:textId="77777777" w:rsidR="00F516AF" w:rsidRDefault="00F516AF" w:rsidP="00D64FD3">
            <w:pPr>
              <w:pStyle w:val="Bullet1"/>
            </w:pPr>
            <w:r>
              <w:t>A review of employment regional boundaries leading to a substantial increase the number of regions to better reflect natural labour markets and communities of interest, aligned as much as possible with Disability Employment Services and the Community Development Program. This should include mechanisms for periodic review.</w:t>
            </w:r>
          </w:p>
          <w:p w14:paraId="5A94E8E2" w14:textId="2093D2AA" w:rsidR="00F516AF" w:rsidRDefault="00F516AF" w:rsidP="00D64FD3">
            <w:pPr>
              <w:pStyle w:val="Bullet1"/>
            </w:pPr>
            <w:r>
              <w:t>…</w:t>
            </w:r>
          </w:p>
          <w:p w14:paraId="1DB70EEE" w14:textId="77777777" w:rsidR="00F516AF" w:rsidRPr="00095E4D" w:rsidRDefault="00F516AF" w:rsidP="00F516AF">
            <w:pPr>
              <w:rPr>
                <w:b/>
                <w:bCs/>
              </w:rPr>
            </w:pPr>
            <w:r w:rsidRPr="00095E4D">
              <w:rPr>
                <w:b/>
                <w:bCs/>
              </w:rPr>
              <w:t>Other related references:</w:t>
            </w:r>
          </w:p>
          <w:p w14:paraId="5D47B18C" w14:textId="77777777" w:rsidR="00F516AF" w:rsidRDefault="00767473" w:rsidP="00194358">
            <w:pPr>
              <w:pStyle w:val="Bullet1"/>
            </w:pPr>
            <w:r w:rsidRPr="00095E4D">
              <w:t>4.163 As outlined in Chapter 15, it is proposed that employment regions be reduced in size to reflect labour markets and communities of interest (likely doubling the number of regions) while maintaining viable mainstream caseloads for efficient provider servicing by dialling back unnecessary competition and fragmentation in each area. Enabling functions and mainstream case management would be complemented by a richer ecosystem of organisations with specialist expertise or functions and local community services.</w:t>
            </w:r>
          </w:p>
          <w:p w14:paraId="22733B2D" w14:textId="77777777" w:rsidR="00767473" w:rsidRPr="00095E4D" w:rsidRDefault="00767473" w:rsidP="00194358">
            <w:pPr>
              <w:pStyle w:val="Bullet1"/>
            </w:pPr>
            <w:r w:rsidRPr="00095E4D">
              <w:t>Complementing a more relational contracting model, other changes should include:</w:t>
            </w:r>
          </w:p>
          <w:p w14:paraId="3C367677" w14:textId="23CF6E72" w:rsidR="00767473" w:rsidRPr="00095E4D" w:rsidRDefault="00767473" w:rsidP="00194358">
            <w:pPr>
              <w:pStyle w:val="Bullet2"/>
            </w:pPr>
            <w:r w:rsidRPr="00095E4D">
              <w:lastRenderedPageBreak/>
              <w:t>A substantial increase to the number of employment regions to reflect natural labour markets and communities of interest, rather than ease of Commonwealth procurement.</w:t>
            </w:r>
          </w:p>
        </w:tc>
      </w:tr>
    </w:tbl>
    <w:p w14:paraId="05A024CA" w14:textId="708F82B3" w:rsidR="009F719F" w:rsidRPr="00095E4D" w:rsidRDefault="009F719F" w:rsidP="009F719F">
      <w:pPr>
        <w:rPr>
          <w:color w:val="231F20" w:themeColor="text1"/>
        </w:rPr>
      </w:pPr>
      <w:r w:rsidRPr="00562515">
        <w:rPr>
          <w:i/>
          <w:iCs/>
          <w:color w:val="006EC8" w:themeColor="accent1"/>
        </w:rPr>
        <w:lastRenderedPageBreak/>
        <w:t>Cost implications:</w:t>
      </w:r>
      <w:r w:rsidRPr="00562515">
        <w:rPr>
          <w:color w:val="006EC8" w:themeColor="accent1"/>
        </w:rPr>
        <w:t xml:space="preserve"> </w:t>
      </w:r>
      <w:r w:rsidR="00767473" w:rsidRPr="00562515">
        <w:rPr>
          <w:color w:val="231F20" w:themeColor="text1"/>
        </w:rPr>
        <w:t>The number of employment regions in which these Hubs have a presence in will be approximately double the current number of regions (~51) and align with Inclusive Employment Australia (formerly Disability</w:t>
      </w:r>
      <w:r w:rsidR="00562515" w:rsidRPr="00562515">
        <w:rPr>
          <w:color w:val="231F20" w:themeColor="text1"/>
        </w:rPr>
        <w:t xml:space="preserve"> Employment Services)</w:t>
      </w:r>
      <w:r w:rsidRPr="00562515">
        <w:rPr>
          <w:color w:val="231F20" w:themeColor="text1"/>
        </w:rPr>
        <w:t>.</w:t>
      </w:r>
    </w:p>
    <w:tbl>
      <w:tblPr>
        <w:tblStyle w:val="TableGrid"/>
        <w:tblW w:w="0" w:type="auto"/>
        <w:tblLook w:val="04A0" w:firstRow="1" w:lastRow="0" w:firstColumn="1" w:lastColumn="0" w:noHBand="0" w:noVBand="1"/>
      </w:tblPr>
      <w:tblGrid>
        <w:gridCol w:w="9382"/>
      </w:tblGrid>
      <w:tr w:rsidR="008071FA" w:rsidRPr="00095E4D" w14:paraId="427A523F" w14:textId="77777777" w:rsidTr="0025259B">
        <w:tc>
          <w:tcPr>
            <w:tcW w:w="9382" w:type="dxa"/>
            <w:tcBorders>
              <w:top w:val="nil"/>
              <w:left w:val="nil"/>
              <w:bottom w:val="nil"/>
              <w:right w:val="single" w:sz="24" w:space="0" w:color="006EC8" w:themeColor="accent1"/>
            </w:tcBorders>
            <w:shd w:val="clear" w:color="auto" w:fill="C1E3FF" w:themeFill="accent1" w:themeFillTint="33"/>
          </w:tcPr>
          <w:p w14:paraId="65EF292B" w14:textId="6D8BFF91" w:rsidR="00435EDB" w:rsidRPr="00095E4D" w:rsidRDefault="00435EDB" w:rsidP="00435EDB">
            <w:pPr>
              <w:rPr>
                <w:b/>
                <w:bCs/>
              </w:rPr>
            </w:pPr>
            <w:r w:rsidRPr="00095E4D">
              <w:rPr>
                <w:b/>
                <w:bCs/>
              </w:rPr>
              <w:t>Other references:</w:t>
            </w:r>
          </w:p>
          <w:p w14:paraId="7F726A11" w14:textId="77777777" w:rsidR="008071FA" w:rsidRPr="00095E4D" w:rsidRDefault="008071FA" w:rsidP="00194358">
            <w:pPr>
              <w:pStyle w:val="Bullet1"/>
            </w:pPr>
            <w:r w:rsidRPr="00095E4D">
              <w:t>4.162 ESA Regional Hubs should be able to support registered jobseekers and should also have capacity to support people on a ‘walk in’ basis. The hubs should be an enduring physical presence in the community, with their footprint determined according to local and community need. Where appropriate hubs should offer digital and outreach services to thin markets and rural and regional areas.</w:t>
            </w:r>
          </w:p>
          <w:p w14:paraId="635C1186" w14:textId="77777777" w:rsidR="008071FA" w:rsidRPr="00095E4D" w:rsidRDefault="008071FA" w:rsidP="00194358">
            <w:pPr>
              <w:pStyle w:val="Bullet1"/>
            </w:pPr>
            <w:r w:rsidRPr="00095E4D">
              <w:t xml:space="preserve">4.162 The Committee is attracted to co-locating ESA Regional Hubs with Services Australia offices or sites where human services or other government services are delivered. </w:t>
            </w:r>
          </w:p>
          <w:p w14:paraId="7694B896" w14:textId="77777777" w:rsidR="008071FA" w:rsidRPr="00095E4D" w:rsidRDefault="008071FA" w:rsidP="00194358">
            <w:pPr>
              <w:pStyle w:val="Bullet1"/>
            </w:pPr>
            <w:r w:rsidRPr="00095E4D">
              <w:t>4.165 Some functions currently performed for DEWR by Services Australia, some functions undertaken via the Local Jobs Program, and some of the functions of DEWR’s State and Territory offices could also be rolled into the ESA Regional Hubs. ESA’s gateway services may also undertake Employment Services Assessments (</w:t>
            </w:r>
            <w:proofErr w:type="spellStart"/>
            <w:r w:rsidRPr="00095E4D">
              <w:t>ESAts</w:t>
            </w:r>
            <w:proofErr w:type="spellEnd"/>
            <w:r w:rsidRPr="00095E4D">
              <w:t>) for DSS. The Committee is not proposing to design in detail the split of responsibilities and staffing between ESA, Services Australia, and DSS, and acknowledges this needs further refinement.</w:t>
            </w:r>
          </w:p>
        </w:tc>
      </w:tr>
    </w:tbl>
    <w:p w14:paraId="323EEEAB" w14:textId="604BB8AA" w:rsidR="00250E7C" w:rsidRPr="00205ECA" w:rsidRDefault="008071FA" w:rsidP="00250E7C">
      <w:r w:rsidRPr="00095E4D">
        <w:rPr>
          <w:i/>
          <w:iCs/>
          <w:color w:val="006EC8" w:themeColor="accent1"/>
        </w:rPr>
        <w:t>Cost implications:</w:t>
      </w:r>
      <w:r w:rsidRPr="00095E4D">
        <w:rPr>
          <w:color w:val="006EC8" w:themeColor="accent1"/>
        </w:rPr>
        <w:t xml:space="preserve"> </w:t>
      </w:r>
      <w:r w:rsidRPr="00095E4D">
        <w:rPr>
          <w:color w:val="231F20" w:themeColor="text1"/>
        </w:rPr>
        <w:t xml:space="preserve">The </w:t>
      </w:r>
      <w:r w:rsidR="00D73A15" w:rsidRPr="00095E4D">
        <w:rPr>
          <w:color w:val="231F20" w:themeColor="text1"/>
        </w:rPr>
        <w:t>Regional Hubs require a physical presence</w:t>
      </w:r>
      <w:r w:rsidR="00FA5507" w:rsidRPr="00095E4D">
        <w:rPr>
          <w:color w:val="231F20" w:themeColor="text1"/>
        </w:rPr>
        <w:t xml:space="preserve"> and outreach </w:t>
      </w:r>
      <w:r w:rsidR="00A71FA1" w:rsidRPr="00095E4D">
        <w:rPr>
          <w:color w:val="231F20" w:themeColor="text1"/>
        </w:rPr>
        <w:t>to</w:t>
      </w:r>
      <w:r w:rsidR="008E58BB" w:rsidRPr="00095E4D">
        <w:rPr>
          <w:color w:val="231F20" w:themeColor="text1"/>
        </w:rPr>
        <w:t xml:space="preserve"> thin markets</w:t>
      </w:r>
      <w:r w:rsidR="00E11451" w:rsidRPr="00095E4D">
        <w:rPr>
          <w:color w:val="231F20" w:themeColor="text1"/>
        </w:rPr>
        <w:t>.</w:t>
      </w:r>
      <w:r w:rsidR="000A6639" w:rsidRPr="00095E4D">
        <w:rPr>
          <w:color w:val="231F20" w:themeColor="text1"/>
        </w:rPr>
        <w:t xml:space="preserve"> The</w:t>
      </w:r>
      <w:r w:rsidR="00DF6A6A" w:rsidRPr="00095E4D">
        <w:rPr>
          <w:color w:val="231F20" w:themeColor="text1"/>
        </w:rPr>
        <w:t xml:space="preserve"> locations should be largely</w:t>
      </w:r>
      <w:r w:rsidR="00294D87" w:rsidRPr="00095E4D">
        <w:rPr>
          <w:color w:val="231F20" w:themeColor="text1"/>
        </w:rPr>
        <w:t xml:space="preserve"> co-located with Services Australia, which will attract a sub-leasing cost</w:t>
      </w:r>
      <w:r w:rsidR="00275F66" w:rsidRPr="00095E4D">
        <w:rPr>
          <w:color w:val="231F20" w:themeColor="text1"/>
        </w:rPr>
        <w:t xml:space="preserve">. </w:t>
      </w:r>
      <w:r w:rsidR="00FA193E">
        <w:rPr>
          <w:color w:val="231F20" w:themeColor="text1"/>
        </w:rPr>
        <w:t>S</w:t>
      </w:r>
      <w:r w:rsidR="003F48C2">
        <w:rPr>
          <w:color w:val="231F20" w:themeColor="text1"/>
        </w:rPr>
        <w:t>ome function</w:t>
      </w:r>
      <w:r w:rsidR="00FA193E">
        <w:rPr>
          <w:color w:val="231F20" w:themeColor="text1"/>
        </w:rPr>
        <w:t>s from related programs may be rolled in</w:t>
      </w:r>
      <w:r w:rsidR="00B0104B">
        <w:rPr>
          <w:color w:val="231F20" w:themeColor="text1"/>
        </w:rPr>
        <w:t>to Regional Hubs</w:t>
      </w:r>
      <w:r w:rsidR="00806B7E">
        <w:rPr>
          <w:color w:val="231F20" w:themeColor="text1"/>
        </w:rPr>
        <w:t>.</w:t>
      </w:r>
      <w:r w:rsidR="226882B1" w:rsidRPr="757D06C5">
        <w:rPr>
          <w:color w:val="231F20" w:themeColor="text1"/>
        </w:rPr>
        <w:t xml:space="preserve"> </w:t>
      </w:r>
      <w:r w:rsidR="226882B1" w:rsidRPr="6C17161B">
        <w:rPr>
          <w:color w:val="231F20" w:themeColor="text1"/>
        </w:rPr>
        <w:t xml:space="preserve">The modelling </w:t>
      </w:r>
      <w:r w:rsidR="226882B1" w:rsidRPr="4EA0D0E9">
        <w:rPr>
          <w:color w:val="231F20" w:themeColor="text1"/>
        </w:rPr>
        <w:t xml:space="preserve">will consider </w:t>
      </w:r>
      <w:r w:rsidR="226882B1" w:rsidRPr="6E78D549">
        <w:rPr>
          <w:color w:val="231F20" w:themeColor="text1"/>
        </w:rPr>
        <w:t xml:space="preserve">new functions only </w:t>
      </w:r>
      <w:proofErr w:type="gramStart"/>
      <w:r w:rsidR="226882B1" w:rsidRPr="6E78D549">
        <w:rPr>
          <w:color w:val="231F20" w:themeColor="text1"/>
        </w:rPr>
        <w:t xml:space="preserve">so as </w:t>
      </w:r>
      <w:r w:rsidR="226882B1" w:rsidRPr="3E1C314F">
        <w:rPr>
          <w:color w:val="231F20" w:themeColor="text1"/>
        </w:rPr>
        <w:t>to</w:t>
      </w:r>
      <w:proofErr w:type="gramEnd"/>
      <w:r w:rsidR="226882B1" w:rsidRPr="3E1C314F">
        <w:rPr>
          <w:color w:val="231F20" w:themeColor="text1"/>
        </w:rPr>
        <w:t xml:space="preserve"> not duplicate the costing of </w:t>
      </w:r>
      <w:r w:rsidR="008E04D7">
        <w:t>functions already conducted by DEWR, such as mapping</w:t>
      </w:r>
      <w:r w:rsidR="00455B92">
        <w:t xml:space="preserve"> the local service system</w:t>
      </w:r>
      <w:r w:rsidR="008E04D7" w:rsidRPr="6A454EB6">
        <w:rPr>
          <w:rStyle w:val="FootnoteReference"/>
        </w:rPr>
        <w:footnoteReference w:id="31"/>
      </w:r>
      <w:r w:rsidR="00194358">
        <w:t>.</w:t>
      </w:r>
    </w:p>
    <w:p w14:paraId="3356F5BB" w14:textId="77777777" w:rsidR="00250E7C" w:rsidRDefault="00250E7C" w:rsidP="00622324">
      <w:pPr>
        <w:pStyle w:val="Heading4"/>
      </w:pPr>
      <w:r>
        <w:t>Differences from the current system</w:t>
      </w:r>
    </w:p>
    <w:p w14:paraId="67C41110" w14:textId="03DF48EC" w:rsidR="00C556BB" w:rsidRDefault="00F56121" w:rsidP="00250E7C">
      <w:r>
        <w:t xml:space="preserve">The establishment of </w:t>
      </w:r>
      <w:r w:rsidR="001F1F49">
        <w:t xml:space="preserve">Commonwealth </w:t>
      </w:r>
      <w:r>
        <w:t xml:space="preserve">Regional Hubs </w:t>
      </w:r>
      <w:r w:rsidR="00C556BB">
        <w:t xml:space="preserve">would be a new feature of the Employment Services system. </w:t>
      </w:r>
      <w:r w:rsidR="001F1F49">
        <w:t xml:space="preserve">Several State and Territory based employment hubs have been established </w:t>
      </w:r>
      <w:r w:rsidR="00EB3A55">
        <w:t xml:space="preserve">such as the </w:t>
      </w:r>
      <w:r w:rsidR="00CA1DE5">
        <w:t>Jobs Tasmania Regional Jobs Hub Network</w:t>
      </w:r>
      <w:r w:rsidR="00AC532B">
        <w:t xml:space="preserve">, or the </w:t>
      </w:r>
      <w:r w:rsidR="0058441C">
        <w:t xml:space="preserve">Western Australian </w:t>
      </w:r>
      <w:r w:rsidR="00537188">
        <w:t xml:space="preserve">Jobs and Skills </w:t>
      </w:r>
      <w:r w:rsidR="00A2754C">
        <w:t>Centre</w:t>
      </w:r>
      <w:r w:rsidR="00D70687">
        <w:t>s</w:t>
      </w:r>
      <w:r w:rsidR="0058441C">
        <w:t>.</w:t>
      </w:r>
    </w:p>
    <w:p w14:paraId="2A1DD815" w14:textId="2FE2C15D" w:rsidR="00250E7C" w:rsidRDefault="00DD74FE" w:rsidP="00250E7C">
      <w:r>
        <w:t xml:space="preserve">The proposed services of the Regional Hubs </w:t>
      </w:r>
      <w:r w:rsidR="00301FCD">
        <w:t>are</w:t>
      </w:r>
      <w:r w:rsidR="00250E7C">
        <w:t xml:space="preserve"> </w:t>
      </w:r>
      <w:r w:rsidR="00504076">
        <w:t xml:space="preserve">activities </w:t>
      </w:r>
      <w:r w:rsidR="001B3F54">
        <w:t xml:space="preserve">completed by </w:t>
      </w:r>
      <w:r w:rsidR="00250E7C">
        <w:t>service provider</w:t>
      </w:r>
      <w:r w:rsidR="001B3F54">
        <w:t>s</w:t>
      </w:r>
      <w:r w:rsidR="001F6A43">
        <w:t xml:space="preserve"> </w:t>
      </w:r>
      <w:r w:rsidR="00504076">
        <w:t>u</w:t>
      </w:r>
      <w:r w:rsidR="001F6A43">
        <w:t>nder Workforce Australia</w:t>
      </w:r>
      <w:r w:rsidR="00504076">
        <w:t>.</w:t>
      </w:r>
      <w:r w:rsidR="00250E7C">
        <w:t xml:space="preserve"> </w:t>
      </w:r>
      <w:r w:rsidR="001B3F54">
        <w:t xml:space="preserve">Providers may </w:t>
      </w:r>
      <w:r w:rsidR="00250E7C">
        <w:t xml:space="preserve">conduct </w:t>
      </w:r>
      <w:r w:rsidR="001B3F54">
        <w:t>a</w:t>
      </w:r>
      <w:r w:rsidR="000338DE">
        <w:t xml:space="preserve">dditional </w:t>
      </w:r>
      <w:r w:rsidR="00250E7C">
        <w:t>assessments after the initial JSS and ESAt to determine the most appropriate approach to case management</w:t>
      </w:r>
      <w:r w:rsidR="000F0328">
        <w:t>, and e</w:t>
      </w:r>
      <w:r w:rsidR="00250E7C">
        <w:t>ach service provider is also responsible for connecting with local employers.</w:t>
      </w:r>
      <w:r w:rsidR="00FB5BE4">
        <w:t xml:space="preserve"> </w:t>
      </w:r>
      <w:r w:rsidR="002F358B">
        <w:t xml:space="preserve">The establishment of Regional Hubs may reduce pressure on providers in delivering these services. </w:t>
      </w:r>
    </w:p>
    <w:p w14:paraId="631B266E" w14:textId="77777777" w:rsidR="00ED3872" w:rsidRPr="00ED3872" w:rsidRDefault="00ED3872" w:rsidP="00ED3872">
      <w:r>
        <w:t>The two primary functions of the regional hubs which are in addition to the role government already plays are to:</w:t>
      </w:r>
    </w:p>
    <w:p w14:paraId="239E2573" w14:textId="29BDB497" w:rsidR="00ED3872" w:rsidRPr="00ED3872" w:rsidRDefault="00194358" w:rsidP="00E44EAB">
      <w:pPr>
        <w:pStyle w:val="Numberbullet1"/>
        <w:numPr>
          <w:ilvl w:val="1"/>
          <w:numId w:val="48"/>
        </w:numPr>
      </w:pPr>
      <w:r>
        <w:t>Co</w:t>
      </w:r>
      <w:r w:rsidR="00ED3872">
        <w:t>nduct a “revamped comprehensive assessment and referral...following the initial digital assessment. This aims to put the human back in human service, to fully understand clients’ aspirations, goals, and personal circumstances, and to maximise choice and control over referrals to appropriate services and supports”</w:t>
      </w:r>
    </w:p>
    <w:p w14:paraId="050F7E4E" w14:textId="2B42813A" w:rsidR="00ED3872" w:rsidRPr="00ED3872" w:rsidRDefault="00194358" w:rsidP="00194358">
      <w:pPr>
        <w:pStyle w:val="Numberbullet1"/>
      </w:pPr>
      <w:r>
        <w:t>P</w:t>
      </w:r>
      <w:r w:rsidR="00ED3872">
        <w:t>rovide industry and employer engagement and support.</w:t>
      </w:r>
    </w:p>
    <w:p w14:paraId="55F76C9A" w14:textId="77777777" w:rsidR="00250E7C" w:rsidRDefault="00250E7C" w:rsidP="00622324">
      <w:pPr>
        <w:pStyle w:val="Heading4"/>
      </w:pPr>
      <w:r>
        <w:lastRenderedPageBreak/>
        <w:t>Costing approach</w:t>
      </w:r>
    </w:p>
    <w:p w14:paraId="100E3B05" w14:textId="6ACECF6E" w:rsidR="00250E7C" w:rsidRDefault="00250E7C" w:rsidP="00250E7C">
      <w:r>
        <w:t xml:space="preserve">To estimate a cost for operating Regional Hubs as envisaged by the Hill Review, we have decomposed the calculation into </w:t>
      </w:r>
      <w:r w:rsidR="00171B2F">
        <w:t>5</w:t>
      </w:r>
      <w:r>
        <w:t xml:space="preserve"> steps, being:</w:t>
      </w:r>
    </w:p>
    <w:p w14:paraId="0CFAF7F3" w14:textId="77777777" w:rsidR="00250E7C" w:rsidRDefault="00250E7C" w:rsidP="00B2335F">
      <w:pPr>
        <w:pStyle w:val="Numberbullet1"/>
        <w:numPr>
          <w:ilvl w:val="1"/>
          <w:numId w:val="14"/>
        </w:numPr>
      </w:pPr>
      <w:r>
        <w:t>Determine the number of regional hubs</w:t>
      </w:r>
    </w:p>
    <w:p w14:paraId="1306E38C" w14:textId="3AEBA155" w:rsidR="00250E7C" w:rsidRDefault="00250E7C" w:rsidP="00DD5FD0">
      <w:pPr>
        <w:pStyle w:val="Numberbullet1"/>
      </w:pPr>
      <w:r>
        <w:t>Determine the fixed staffing to administer each hub, and the variable staffing to conduct the assessment service</w:t>
      </w:r>
      <w:r w:rsidR="002F358B">
        <w:t>,</w:t>
      </w:r>
      <w:r>
        <w:t xml:space="preserve"> and </w:t>
      </w:r>
      <w:r w:rsidR="002F358B">
        <w:t xml:space="preserve">the variable staffing to </w:t>
      </w:r>
      <w:r w:rsidR="004728B1">
        <w:t xml:space="preserve">conduct the </w:t>
      </w:r>
      <w:r>
        <w:t>local engagement service</w:t>
      </w:r>
    </w:p>
    <w:p w14:paraId="0A54232A" w14:textId="48ED05B6" w:rsidR="00250E7C" w:rsidRDefault="00250E7C" w:rsidP="00DD5FD0">
      <w:pPr>
        <w:pStyle w:val="Numberbullet1"/>
      </w:pPr>
      <w:r>
        <w:t>Quantify the employee cost of service staff</w:t>
      </w:r>
      <w:r w:rsidR="003C6087">
        <w:t xml:space="preserve"> </w:t>
      </w:r>
      <w:r w:rsidR="00E06A96">
        <w:t xml:space="preserve">relying on </w:t>
      </w:r>
      <w:r w:rsidR="00B35B1F">
        <w:t>staff costs of service delivery staff in Services Australia</w:t>
      </w:r>
    </w:p>
    <w:p w14:paraId="58D5C9AA" w14:textId="77777777" w:rsidR="00250E7C" w:rsidRDefault="00250E7C" w:rsidP="00DD5FD0">
      <w:pPr>
        <w:pStyle w:val="Numberbullet1"/>
      </w:pPr>
      <w:r>
        <w:t>Gross up the service staff cost to allow for managerial oversight, and corporate overheads</w:t>
      </w:r>
    </w:p>
    <w:p w14:paraId="1CA65C92" w14:textId="3E0232BA" w:rsidR="00250E7C" w:rsidRDefault="00250E7C" w:rsidP="00DD5FD0">
      <w:pPr>
        <w:pStyle w:val="Numberbullet1"/>
      </w:pPr>
      <w:r>
        <w:t>Gross up the total employee costs to allow for the cost of sub-leasing sites from Services Australia</w:t>
      </w:r>
      <w:r w:rsidR="001E09EA">
        <w:t>.</w:t>
      </w:r>
      <w:r>
        <w:t xml:space="preserve"> </w:t>
      </w:r>
    </w:p>
    <w:p w14:paraId="2CD627EF" w14:textId="77777777" w:rsidR="00250E7C" w:rsidRDefault="00250E7C" w:rsidP="00622324">
      <w:pPr>
        <w:pStyle w:val="Heading4"/>
      </w:pPr>
      <w:bookmarkStart w:id="52" w:name="_Ref221696816"/>
      <w:r>
        <w:t>Costing</w:t>
      </w:r>
      <w:bookmarkEnd w:id="52"/>
    </w:p>
    <w:p w14:paraId="2EC6C495" w14:textId="77777777" w:rsidR="00250E7C" w:rsidRDefault="00250E7C" w:rsidP="00F166D0">
      <w:pPr>
        <w:keepNext/>
        <w:rPr>
          <w:b/>
          <w:bCs/>
        </w:rPr>
      </w:pPr>
      <w:r w:rsidRPr="7A5D9B33">
        <w:rPr>
          <w:b/>
          <w:bCs/>
        </w:rPr>
        <w:t>Determine the number of regional hubs</w:t>
      </w:r>
    </w:p>
    <w:p w14:paraId="60D08247" w14:textId="2BE94A2C" w:rsidR="00250E7C" w:rsidRDefault="00250E7C" w:rsidP="00250E7C">
      <w:r>
        <w:t xml:space="preserve">The Hill Review </w:t>
      </w:r>
      <w:r w:rsidR="00EB23C0">
        <w:t>has indicat</w:t>
      </w:r>
      <w:r w:rsidR="00947DB5">
        <w:t>ed an expectation that the</w:t>
      </w:r>
      <w:r w:rsidR="007C1E49">
        <w:t xml:space="preserve">re </w:t>
      </w:r>
      <w:r w:rsidR="00895DD1">
        <w:t>sh</w:t>
      </w:r>
      <w:r w:rsidR="007C1E49">
        <w:t xml:space="preserve">ould be a </w:t>
      </w:r>
      <w:r w:rsidR="00895DD1">
        <w:t xml:space="preserve">doubling </w:t>
      </w:r>
      <w:r w:rsidR="000153D8">
        <w:t xml:space="preserve">of the </w:t>
      </w:r>
      <w:r>
        <w:t>5</w:t>
      </w:r>
      <w:r w:rsidR="00422195">
        <w:t>3</w:t>
      </w:r>
      <w:r>
        <w:t xml:space="preserve"> current employment regions </w:t>
      </w:r>
      <w:r w:rsidR="000153D8">
        <w:t xml:space="preserve">which were </w:t>
      </w:r>
      <w:r>
        <w:t>defined in 2014</w:t>
      </w:r>
      <w:r w:rsidR="000153D8">
        <w:t>, to align more closely with the 110 Employment Service</w:t>
      </w:r>
      <w:r w:rsidR="00A56056">
        <w:t xml:space="preserve">s Areas under the Inclusive Employment Australia Program. </w:t>
      </w:r>
    </w:p>
    <w:p w14:paraId="3E63F796" w14:textId="2334401E" w:rsidR="00193A4C" w:rsidRDefault="00D12FB8" w:rsidP="00250E7C">
      <w:r>
        <w:t xml:space="preserve">We have interpreted the </w:t>
      </w:r>
      <w:r w:rsidR="00A1736A">
        <w:t xml:space="preserve">concept of </w:t>
      </w:r>
      <w:r w:rsidR="00250E7C">
        <w:t xml:space="preserve">Regional </w:t>
      </w:r>
      <w:r w:rsidR="00A1736A">
        <w:t>H</w:t>
      </w:r>
      <w:r w:rsidR="00250E7C">
        <w:t xml:space="preserve">ubs </w:t>
      </w:r>
      <w:r w:rsidR="00A1736A">
        <w:t>as a ‘</w:t>
      </w:r>
      <w:r w:rsidR="00250E7C">
        <w:t>hub for a region</w:t>
      </w:r>
      <w:r w:rsidR="00A1736A">
        <w:t>’</w:t>
      </w:r>
      <w:r w:rsidR="00250E7C">
        <w:t xml:space="preserve">, rather than a </w:t>
      </w:r>
      <w:r w:rsidR="0031540E">
        <w:t>‘</w:t>
      </w:r>
      <w:r w:rsidR="00250E7C">
        <w:t xml:space="preserve">hub of </w:t>
      </w:r>
      <w:proofErr w:type="gramStart"/>
      <w:r w:rsidR="00250E7C">
        <w:t>regions</w:t>
      </w:r>
      <w:r w:rsidR="0031540E">
        <w:t>’</w:t>
      </w:r>
      <w:proofErr w:type="gramEnd"/>
      <w:r w:rsidR="00193A4C">
        <w:t>.</w:t>
      </w:r>
      <w:r w:rsidR="00521F3D">
        <w:t xml:space="preserve"> For </w:t>
      </w:r>
      <w:r w:rsidR="00731A61">
        <w:t xml:space="preserve">an existing Workforce Australia region </w:t>
      </w:r>
      <w:r w:rsidR="00521F3D">
        <w:t>to be assumed to have a physical hub</w:t>
      </w:r>
      <w:r w:rsidR="003A7E46">
        <w:t>,</w:t>
      </w:r>
      <w:r w:rsidR="001C2641">
        <w:t xml:space="preserve"> we have </w:t>
      </w:r>
      <w:r w:rsidR="00AC6EE1">
        <w:t xml:space="preserve">adopted a </w:t>
      </w:r>
      <w:r w:rsidR="003A7E46">
        <w:t>minimum caseload</w:t>
      </w:r>
      <w:r w:rsidR="001C634A">
        <w:rPr>
          <w:rStyle w:val="FootnoteReference"/>
        </w:rPr>
        <w:footnoteReference w:id="32"/>
      </w:r>
      <w:r w:rsidR="003A7E46">
        <w:t xml:space="preserve"> </w:t>
      </w:r>
      <w:r w:rsidR="00EB4BB9">
        <w:t xml:space="preserve">of </w:t>
      </w:r>
      <w:r w:rsidR="003A7E46">
        <w:t>500</w:t>
      </w:r>
      <w:r w:rsidR="00E6366B">
        <w:t xml:space="preserve">. This </w:t>
      </w:r>
      <w:r w:rsidR="00BD2354">
        <w:t>results in four</w:t>
      </w:r>
      <w:r w:rsidR="003A7E46">
        <w:t xml:space="preserve"> current regions</w:t>
      </w:r>
      <w:r w:rsidR="00850B31">
        <w:t xml:space="preserve"> </w:t>
      </w:r>
      <w:r w:rsidR="007A61D0">
        <w:t xml:space="preserve">being assumed to </w:t>
      </w:r>
      <w:r w:rsidR="00850B31">
        <w:t xml:space="preserve">not </w:t>
      </w:r>
      <w:r w:rsidR="007A61D0">
        <w:t>have a physical presence and instead be serviced by outreach from neighbouring regions</w:t>
      </w:r>
      <w:r w:rsidR="003A7E46">
        <w:t>.</w:t>
      </w:r>
    </w:p>
    <w:p w14:paraId="0A42335E" w14:textId="703A1E61" w:rsidR="006D103B" w:rsidRDefault="00930531" w:rsidP="006D103B">
      <w:r>
        <w:t>O</w:t>
      </w:r>
      <w:r w:rsidR="00A670D8">
        <w:t>ur modelling has taken the approach to subdivide existing Workforce Australia regions with larger caseload</w:t>
      </w:r>
      <w:r>
        <w:t>s</w:t>
      </w:r>
      <w:r w:rsidR="00D9043D">
        <w:t xml:space="preserve"> (i</w:t>
      </w:r>
      <w:r w:rsidR="00250E7C">
        <w:t>n lieu of any guidance from the Hill Review on the size of regions or how to define the perimeter of regions</w:t>
      </w:r>
      <w:r w:rsidR="00D9043D">
        <w:t>)</w:t>
      </w:r>
      <w:r w:rsidR="006D103B">
        <w:t>.</w:t>
      </w:r>
      <w:r w:rsidR="00C453F1">
        <w:t xml:space="preserve"> </w:t>
      </w:r>
      <w:r w:rsidR="00D4115E">
        <w:t xml:space="preserve">This </w:t>
      </w:r>
      <w:r w:rsidR="00D87A0D">
        <w:t xml:space="preserve">ensured that no </w:t>
      </w:r>
      <w:r w:rsidR="001602BE">
        <w:t>region</w:t>
      </w:r>
      <w:r w:rsidR="00D87A0D">
        <w:t xml:space="preserve"> would manage a caseload more than 6,</w:t>
      </w:r>
      <w:r w:rsidR="00A853E5">
        <w:t>5</w:t>
      </w:r>
      <w:r w:rsidR="00DC421E">
        <w:t>00</w:t>
      </w:r>
      <w:r w:rsidR="00E01D4C">
        <w:t>,</w:t>
      </w:r>
      <w:r w:rsidR="00D1520C">
        <w:t xml:space="preserve"> </w:t>
      </w:r>
      <w:r w:rsidR="00753214">
        <w:t>result</w:t>
      </w:r>
      <w:r w:rsidR="0093539E">
        <w:t>ing</w:t>
      </w:r>
      <w:r w:rsidR="00753214">
        <w:t xml:space="preserve"> in 109 regions, comparable to that of IEA</w:t>
      </w:r>
      <w:r w:rsidR="00562515">
        <w:t xml:space="preserve"> (and aligned with Recommendation 66)</w:t>
      </w:r>
      <w:r w:rsidR="00753214">
        <w:t>.</w:t>
      </w:r>
      <w:r w:rsidR="000B512A">
        <w:t xml:space="preserve"> The 109 regions </w:t>
      </w:r>
      <w:r w:rsidR="00BD736D">
        <w:t>have an average caseload per region of 4,813</w:t>
      </w:r>
      <w:r w:rsidR="007D264E">
        <w:t xml:space="preserve"> compared to an average of </w:t>
      </w:r>
      <w:r w:rsidR="00F54CE5">
        <w:t>9</w:t>
      </w:r>
      <w:r w:rsidR="00051CD4">
        <w:t>,</w:t>
      </w:r>
      <w:r w:rsidR="00F54CE5">
        <w:t>8</w:t>
      </w:r>
      <w:r w:rsidR="00051CD4">
        <w:t xml:space="preserve">98 under Workforce Australia. </w:t>
      </w:r>
    </w:p>
    <w:p w14:paraId="25AEE2A2" w14:textId="77777777" w:rsidR="00250E7C" w:rsidRDefault="00250E7C" w:rsidP="00F166D0">
      <w:pPr>
        <w:keepNext/>
        <w:rPr>
          <w:b/>
          <w:bCs/>
        </w:rPr>
      </w:pPr>
      <w:r w:rsidRPr="7A5D9B33">
        <w:rPr>
          <w:b/>
          <w:bCs/>
        </w:rPr>
        <w:t>Determine the fixed staffing to administer each hub, and the variable staffing to conduct the assessment service and local engagement service</w:t>
      </w:r>
    </w:p>
    <w:p w14:paraId="413927E2" w14:textId="3C43AED5" w:rsidR="00250E7C" w:rsidRDefault="00250E7C" w:rsidP="00250E7C">
      <w:r>
        <w:t xml:space="preserve">It is assumed that each region </w:t>
      </w:r>
      <w:r w:rsidR="00480E3B">
        <w:t>with</w:t>
      </w:r>
      <w:r>
        <w:t xml:space="preserve"> a hub (i.e. with caseload over 500) will </w:t>
      </w:r>
      <w:r w:rsidR="008B6D43">
        <w:t>be resourced with</w:t>
      </w:r>
      <w:r>
        <w:t xml:space="preserve"> </w:t>
      </w:r>
      <w:r w:rsidR="008B6D43">
        <w:t>two</w:t>
      </w:r>
      <w:r>
        <w:t xml:space="preserve"> fixed staff plus one staff member for every </w:t>
      </w:r>
      <w:r w:rsidR="00DC0537">
        <w:t>504</w:t>
      </w:r>
      <w:r>
        <w:t xml:space="preserve"> referrals to conduct assessments and one staff member for every 5000 </w:t>
      </w:r>
      <w:proofErr w:type="gramStart"/>
      <w:r>
        <w:t>caseload</w:t>
      </w:r>
      <w:proofErr w:type="gramEnd"/>
      <w:r>
        <w:t xml:space="preserve"> to conduct region management (including local industry engagement). The referral case ratio </w:t>
      </w:r>
      <w:r w:rsidR="002D2F3A">
        <w:t>assumes</w:t>
      </w:r>
      <w:r>
        <w:t xml:space="preserve"> that one staff member would be able to spend 70% of their working week conducting assessments which take 1.5 hours each, and they would spend 48 weeks of the year doing these assessments. </w:t>
      </w:r>
      <w:r w:rsidR="007F40F5">
        <w:t>The sub-committee noted that a substantial number of appointments are missed</w:t>
      </w:r>
      <w:r w:rsidR="00F166D0">
        <w:t xml:space="preserve"> which would affect the efficiency of this service, as such we have reduced the productivity by 40%</w:t>
      </w:r>
      <w:r>
        <w:t>. The region management case ratio has been selected to resource approximately 1 additional staff member per region.</w:t>
      </w:r>
    </w:p>
    <w:p w14:paraId="48BBEA6F" w14:textId="63EBA9ED" w:rsidR="00250E7C" w:rsidRDefault="00250E7C" w:rsidP="00250E7C">
      <w:r>
        <w:t xml:space="preserve">For those Workforce Australia regions which do not have a hub, the fixed staff </w:t>
      </w:r>
      <w:r w:rsidR="00D6662C">
        <w:t>assumption</w:t>
      </w:r>
      <w:r>
        <w:t xml:space="preserve"> is not applied while the variable staff assumption is applied under the expectation that the variable workload in that region would be serviced by a neighbouring regional hub. </w:t>
      </w:r>
    </w:p>
    <w:p w14:paraId="6C1D7C4A" w14:textId="77777777" w:rsidR="00250E7C" w:rsidRDefault="00250E7C" w:rsidP="00F166D0">
      <w:pPr>
        <w:keepNext/>
        <w:rPr>
          <w:b/>
          <w:bCs/>
        </w:rPr>
      </w:pPr>
      <w:r w:rsidRPr="7A5D9B33">
        <w:rPr>
          <w:b/>
          <w:bCs/>
        </w:rPr>
        <w:t>Quantify the employee cost of service staff</w:t>
      </w:r>
    </w:p>
    <w:p w14:paraId="4236062A" w14:textId="490F475C" w:rsidR="00250E7C" w:rsidRDefault="00250E7C" w:rsidP="00250E7C">
      <w:r>
        <w:t>The annual cost of regional hub service staff has been estimated as $</w:t>
      </w:r>
      <w:r w:rsidR="00ED646A">
        <w:t>93</w:t>
      </w:r>
      <w:r>
        <w:t>,</w:t>
      </w:r>
      <w:r w:rsidR="00ED646A">
        <w:t>968</w:t>
      </w:r>
      <w:r>
        <w:t xml:space="preserve"> (including on-costs) based on the observed cost of service delivery for Services Australia and an additional loading of </w:t>
      </w:r>
      <w:r w:rsidRPr="005A67FC">
        <w:t>2%</w:t>
      </w:r>
      <w:r>
        <w:t xml:space="preserve"> to account for other on-costs associated with staff such as workers compensation insurance (Comcare premium rate for </w:t>
      </w:r>
      <w:r>
        <w:lastRenderedPageBreak/>
        <w:t>Services Australia 0.66%, compared to DEWR 0.27%</w:t>
      </w:r>
      <w:r w:rsidRPr="7A5D9B33">
        <w:rPr>
          <w:rStyle w:val="FootnoteReference"/>
        </w:rPr>
        <w:footnoteReference w:id="33"/>
      </w:r>
      <w:r>
        <w:t xml:space="preserve">) , and long service leave accrual (ACT 1.67%). For comparison, the private sector </w:t>
      </w:r>
      <w:proofErr w:type="gramStart"/>
      <w:r>
        <w:t>on-cost</w:t>
      </w:r>
      <w:proofErr w:type="gramEnd"/>
      <w:r>
        <w:t xml:space="preserve"> is approximately 12.78% (arising from </w:t>
      </w:r>
      <w:r w:rsidR="005A67FC">
        <w:t>payroll tax of 6.85% in the ACT (not payable by the Commonwealth Government),</w:t>
      </w:r>
      <w:r>
        <w:t xml:space="preserve"> and workers compensation insurance premiums for ‘Other Social Assistance Services’ in the ACT being 4.26%</w:t>
      </w:r>
      <w:r w:rsidRPr="7A5D9B33">
        <w:rPr>
          <w:rStyle w:val="FootnoteReference"/>
        </w:rPr>
        <w:footnoteReference w:id="34"/>
      </w:r>
      <w:r>
        <w:t>).</w:t>
      </w:r>
    </w:p>
    <w:p w14:paraId="2D9746A9" w14:textId="611F61CA" w:rsidR="00250E7C" w:rsidRDefault="00250E7C" w:rsidP="00250E7C">
      <w:r>
        <w:t>The observed Services Australia Service Delivery cost accounts for the profile of seniority of ‘Service Delivery’ job family staff (as reported in the ‘APS Employment Release Tables - 30 June 2025’ released by the Australian Public Service Commission), the midpoint of reported salary by grade in the Services Australia annual report 2024-25</w:t>
      </w:r>
      <w:r w:rsidRPr="7A5D9B33">
        <w:rPr>
          <w:rStyle w:val="FootnoteReference"/>
        </w:rPr>
        <w:footnoteReference w:id="35"/>
      </w:r>
      <w:r>
        <w:t>, and the publicly available superannuation rate for Australian Public Servants of 15.4%</w:t>
      </w:r>
      <w:r w:rsidR="00E95CD5">
        <w:t xml:space="preserve">. DEWR’s </w:t>
      </w:r>
      <w:r w:rsidR="00764F35">
        <w:t>enterprise agreement salaries by grade are comparable to these values in 2024-25</w:t>
      </w:r>
      <w:r>
        <w:t xml:space="preserve">. As a reconciliation check, this approach was used to calculate the full Services Australia reported Employee Benefits for 2024-25 with a deviance of 1.7% against the value reported in the annual report. </w:t>
      </w:r>
    </w:p>
    <w:p w14:paraId="36A28DDB" w14:textId="550D49D7" w:rsidR="00250E7C" w:rsidRDefault="00501323" w:rsidP="00250E7C">
      <w:r>
        <w:t xml:space="preserve">For consistency with the other components of this work, this employee cost is based on 2024-25 </w:t>
      </w:r>
      <w:r w:rsidR="00E95CD5">
        <w:t xml:space="preserve">salaries. It is important to note that DEWR’s enterprise agreement </w:t>
      </w:r>
      <w:r w:rsidR="00764F35">
        <w:t>has set salaries to be approximately 8% higher than this value in 2026-27.</w:t>
      </w:r>
    </w:p>
    <w:p w14:paraId="1528DCC2" w14:textId="77777777" w:rsidR="00250E7C" w:rsidRDefault="00250E7C" w:rsidP="00F166D0">
      <w:pPr>
        <w:keepNext/>
        <w:rPr>
          <w:b/>
          <w:bCs/>
        </w:rPr>
      </w:pPr>
      <w:r w:rsidRPr="7A5D9B33">
        <w:rPr>
          <w:b/>
          <w:bCs/>
        </w:rPr>
        <w:t>Gross up the service staff cost to allow for managerial oversight, and corporate overheads</w:t>
      </w:r>
    </w:p>
    <w:p w14:paraId="5BA9BBEB" w14:textId="77777777" w:rsidR="00250E7C" w:rsidRDefault="00250E7C" w:rsidP="00250E7C">
      <w:r>
        <w:t xml:space="preserve">To estimate the cost of managerial oversight of service delivery staff, the relativity of staffing cost of Services Australia’s management was compared to the staffing cost of grades used to deliver services. </w:t>
      </w:r>
    </w:p>
    <w:p w14:paraId="199AFE1D" w14:textId="1167FF4F" w:rsidR="00250E7C" w:rsidRDefault="00250E7C" w:rsidP="00250E7C">
      <w:r>
        <w:t>The total cost of Services Australia’s Executive Level 1 and above staff equates to 21% of the total cost of APS6 and below staff. As such we have grossed up the cost of regional hubs service delivery staff by 21% to account for the required managerial oversight for this function. We expect that this management team will reside in the offices of the Department of Employment and Workplace Relations as part of Employment Services Australia.</w:t>
      </w:r>
    </w:p>
    <w:p w14:paraId="6A136CE8" w14:textId="0A2C0A94" w:rsidR="00250E7C" w:rsidRDefault="00250E7C" w:rsidP="00250E7C">
      <w:pPr>
        <w:spacing w:before="0" w:after="0"/>
      </w:pPr>
      <w:r>
        <w:t>We have further allowed for the cost of corporate overheads associated with the service delivery and managerial staff. The cost of the Services Australia Strategy and Corporate Enabling Program represents 24%</w:t>
      </w:r>
      <w:r w:rsidR="008B7BA3">
        <w:rPr>
          <w:rStyle w:val="FootnoteReference"/>
        </w:rPr>
        <w:footnoteReference w:id="36"/>
      </w:r>
      <w:r>
        <w:t xml:space="preserve"> of the Customer Service Delivery Program</w:t>
      </w:r>
    </w:p>
    <w:p w14:paraId="06460056" w14:textId="672D3CBF" w:rsidR="00250E7C" w:rsidRDefault="00250E7C" w:rsidP="00F166D0">
      <w:pPr>
        <w:keepNext/>
        <w:rPr>
          <w:b/>
          <w:bCs/>
        </w:rPr>
      </w:pPr>
      <w:r w:rsidRPr="7A5D9B33">
        <w:rPr>
          <w:b/>
          <w:bCs/>
        </w:rPr>
        <w:t xml:space="preserve">Gross up the total employee costs to allow for the cost of sub-leasing sites from Services Australia </w:t>
      </w:r>
    </w:p>
    <w:p w14:paraId="4687A6FA" w14:textId="77777777" w:rsidR="00250E7C" w:rsidRDefault="00250E7C" w:rsidP="00250E7C">
      <w:r>
        <w:t>We have allowed for the cost of sub-leasing physical space from Services Australia based on an expectation of cost pass through. Of Services Australia’s total funding, 11.9% is used on Property and Leases and Property and Equipment Capital; while 75.2% is used on staff, software, communications and IT (i.e. costs already accounted for above). As such, we have grossed up the regional hub staffing and corporate costs by 15.8% to allow for the cost of sub-leasing.</w:t>
      </w:r>
    </w:p>
    <w:p w14:paraId="5D1DA673" w14:textId="77777777" w:rsidR="00250E7C" w:rsidRDefault="00250E7C" w:rsidP="00250E7C">
      <w:r>
        <w:t xml:space="preserve">For completeness, the remaining 12.9% of Services Australia total funding costs not considered in the above relate to the use of Consultants and Contractors and Other. </w:t>
      </w:r>
    </w:p>
    <w:p w14:paraId="4B83BCA2" w14:textId="23852031" w:rsidR="0022214E" w:rsidRDefault="0022214E" w:rsidP="00F166D0">
      <w:pPr>
        <w:keepNext/>
        <w:rPr>
          <w:b/>
          <w:bCs/>
        </w:rPr>
      </w:pPr>
      <w:r>
        <w:rPr>
          <w:b/>
          <w:bCs/>
        </w:rPr>
        <w:t>Total costing</w:t>
      </w:r>
      <w:r w:rsidRPr="7A5D9B33">
        <w:rPr>
          <w:b/>
          <w:bCs/>
        </w:rPr>
        <w:t xml:space="preserve"> </w:t>
      </w:r>
    </w:p>
    <w:p w14:paraId="681367D8" w14:textId="007881FD" w:rsidR="0022214E" w:rsidRDefault="0022214E" w:rsidP="0022214E">
      <w:r>
        <w:t xml:space="preserve">The resulting cost for the Regional Hubs is </w:t>
      </w:r>
      <w:r w:rsidR="002B0CE9">
        <w:t>estimated at $1</w:t>
      </w:r>
      <w:r w:rsidR="001439FD">
        <w:t>59.8M</w:t>
      </w:r>
      <w:r w:rsidR="002B0CE9">
        <w:t xml:space="preserve"> (approximately $1.</w:t>
      </w:r>
      <w:r w:rsidR="00882C64">
        <w:t>5</w:t>
      </w:r>
      <w:r w:rsidR="00836B24">
        <w:t>M</w:t>
      </w:r>
      <w:r w:rsidR="002B0CE9">
        <w:t xml:space="preserve"> per hub). </w:t>
      </w:r>
    </w:p>
    <w:p w14:paraId="42B3339E" w14:textId="77777777" w:rsidR="004941EB" w:rsidRDefault="004941EB" w:rsidP="00622324">
      <w:pPr>
        <w:pStyle w:val="Heading4"/>
      </w:pPr>
      <w:r>
        <w:t>Sensitivities</w:t>
      </w:r>
    </w:p>
    <w:p w14:paraId="30338C93" w14:textId="1EF0739A" w:rsidR="004941EB" w:rsidRDefault="00DB5869" w:rsidP="0022214E">
      <w:r>
        <w:fldChar w:fldCharType="begin"/>
      </w:r>
      <w:r>
        <w:instrText xml:space="preserve"> REF _Ref219733114 \h </w:instrText>
      </w:r>
      <w:r>
        <w:fldChar w:fldCharType="separate"/>
      </w:r>
      <w:r w:rsidR="001703C6">
        <w:t xml:space="preserve">Table </w:t>
      </w:r>
      <w:r w:rsidR="001703C6">
        <w:rPr>
          <w:noProof/>
        </w:rPr>
        <w:t>8</w:t>
      </w:r>
      <w:r>
        <w:fldChar w:fldCharType="end"/>
      </w:r>
      <w:r w:rsidR="00E54808">
        <w:t xml:space="preserve"> outlines the </w:t>
      </w:r>
      <w:r w:rsidR="00AF223C">
        <w:t xml:space="preserve">impact on the total cost of the Regional Hubs if each of the key assumptions </w:t>
      </w:r>
      <w:r w:rsidR="00610614">
        <w:t>were changed</w:t>
      </w:r>
      <w:r w:rsidR="00A52014">
        <w:t xml:space="preserve"> in isolation. All other assumptions are held constant during this analysis.</w:t>
      </w:r>
    </w:p>
    <w:p w14:paraId="2B4479F4" w14:textId="0E5DE010" w:rsidR="00DB5869" w:rsidRDefault="00E54808" w:rsidP="00E15439">
      <w:pPr>
        <w:pStyle w:val="Caption"/>
      </w:pPr>
      <w:bookmarkStart w:id="53" w:name="_Ref219733114"/>
      <w:r>
        <w:lastRenderedPageBreak/>
        <w:t xml:space="preserve">Table </w:t>
      </w:r>
      <w:r w:rsidR="001703C6">
        <w:fldChar w:fldCharType="begin"/>
      </w:r>
      <w:r w:rsidR="001703C6">
        <w:instrText xml:space="preserve"> SEQ Table \* ARABIC </w:instrText>
      </w:r>
      <w:r w:rsidR="001703C6">
        <w:fldChar w:fldCharType="separate"/>
      </w:r>
      <w:r w:rsidR="001703C6">
        <w:rPr>
          <w:noProof/>
        </w:rPr>
        <w:t>8</w:t>
      </w:r>
      <w:r w:rsidR="001703C6">
        <w:rPr>
          <w:noProof/>
        </w:rPr>
        <w:fldChar w:fldCharType="end"/>
      </w:r>
      <w:bookmarkEnd w:id="53"/>
      <w:r w:rsidR="00831021">
        <w:rPr>
          <w:noProof/>
        </w:rPr>
        <w:t>:</w:t>
      </w:r>
      <w:r w:rsidR="00DB5869">
        <w:t xml:space="preserve"> Sensitivity analysis of the cost of Regional Hubs</w:t>
      </w:r>
    </w:p>
    <w:tbl>
      <w:tblPr>
        <w:tblStyle w:val="TFBlue"/>
        <w:tblW w:w="0" w:type="auto"/>
        <w:tblLook w:val="04A0" w:firstRow="1" w:lastRow="0" w:firstColumn="1" w:lastColumn="0" w:noHBand="0" w:noVBand="1"/>
      </w:tblPr>
      <w:tblGrid>
        <w:gridCol w:w="3240"/>
        <w:gridCol w:w="2977"/>
        <w:gridCol w:w="3014"/>
      </w:tblGrid>
      <w:tr w:rsidR="002B26AB" w14:paraId="65EC7ADF" w14:textId="27229D3F" w:rsidTr="00C13400">
        <w:trPr>
          <w:cnfStyle w:val="100000000000" w:firstRow="1" w:lastRow="0" w:firstColumn="0" w:lastColumn="0" w:oddVBand="0" w:evenVBand="0" w:oddHBand="0" w:evenHBand="0" w:firstRowFirstColumn="0" w:firstRowLastColumn="0" w:lastRowFirstColumn="0" w:lastRowLastColumn="0"/>
          <w:trHeight w:val="470"/>
        </w:trPr>
        <w:tc>
          <w:tcPr>
            <w:tcW w:w="3240" w:type="dxa"/>
          </w:tcPr>
          <w:p w14:paraId="3A2B8A34" w14:textId="4029EDD6" w:rsidR="002B26AB" w:rsidRDefault="002B26AB" w:rsidP="000011FD">
            <w:r>
              <w:t>Key Assumption</w:t>
            </w:r>
          </w:p>
        </w:tc>
        <w:tc>
          <w:tcPr>
            <w:tcW w:w="2977" w:type="dxa"/>
          </w:tcPr>
          <w:p w14:paraId="3361B20D" w14:textId="2EB0637E" w:rsidR="002B26AB" w:rsidRDefault="00710A2D" w:rsidP="000011FD">
            <w:r>
              <w:t>L</w:t>
            </w:r>
            <w:r w:rsidR="002B26AB">
              <w:t>ow</w:t>
            </w:r>
            <w:r w:rsidR="009F2AA9">
              <w:t xml:space="preserve"> </w:t>
            </w:r>
            <w:r w:rsidR="0085599E">
              <w:t>scenario</w:t>
            </w:r>
          </w:p>
        </w:tc>
        <w:tc>
          <w:tcPr>
            <w:tcW w:w="3014" w:type="dxa"/>
          </w:tcPr>
          <w:p w14:paraId="45F8694D" w14:textId="01AF3C5F" w:rsidR="002B26AB" w:rsidRDefault="009F2AA9" w:rsidP="000011FD">
            <w:r>
              <w:t>High scenario</w:t>
            </w:r>
          </w:p>
        </w:tc>
      </w:tr>
      <w:tr w:rsidR="00623844" w14:paraId="03ED467D" w14:textId="77777777" w:rsidTr="00C13400">
        <w:trPr>
          <w:cnfStyle w:val="000000100000" w:firstRow="0" w:lastRow="0" w:firstColumn="0" w:lastColumn="0" w:oddVBand="0" w:evenVBand="0" w:oddHBand="1" w:evenHBand="0" w:firstRowFirstColumn="0" w:firstRowLastColumn="0" w:lastRowFirstColumn="0" w:lastRowLastColumn="0"/>
          <w:trHeight w:val="1065"/>
        </w:trPr>
        <w:tc>
          <w:tcPr>
            <w:tcW w:w="3240" w:type="dxa"/>
          </w:tcPr>
          <w:p w14:paraId="126D4EE0" w14:textId="1F3036D9" w:rsidR="00623844" w:rsidRDefault="00623844" w:rsidP="000011FD">
            <w:r>
              <w:t xml:space="preserve">Number of hubs: </w:t>
            </w:r>
            <w:r w:rsidR="00983A2F">
              <w:t xml:space="preserve">all employment regions </w:t>
            </w:r>
            <w:r w:rsidR="00710A2D">
              <w:t>serviced by Hubs</w:t>
            </w:r>
          </w:p>
        </w:tc>
        <w:tc>
          <w:tcPr>
            <w:tcW w:w="2977" w:type="dxa"/>
          </w:tcPr>
          <w:p w14:paraId="78285989" w14:textId="77777777" w:rsidR="00623844" w:rsidRPr="00430705" w:rsidRDefault="00710A2D" w:rsidP="000011FD">
            <w:pPr>
              <w:rPr>
                <w:i/>
                <w:iCs/>
              </w:rPr>
            </w:pPr>
            <w:r w:rsidRPr="00430705">
              <w:rPr>
                <w:i/>
                <w:iCs/>
              </w:rPr>
              <w:t>50% of regions serviced by Hubs</w:t>
            </w:r>
          </w:p>
          <w:p w14:paraId="067790BD" w14:textId="576D3FD9" w:rsidR="00710A2D" w:rsidRPr="00430705" w:rsidRDefault="00710A2D" w:rsidP="000011FD">
            <w:r w:rsidRPr="00430705">
              <w:t>- $</w:t>
            </w:r>
            <w:r w:rsidR="00430705" w:rsidRPr="00430705">
              <w:t>80M</w:t>
            </w:r>
          </w:p>
        </w:tc>
        <w:tc>
          <w:tcPr>
            <w:tcW w:w="3014" w:type="dxa"/>
          </w:tcPr>
          <w:p w14:paraId="33F86054" w14:textId="49BFEE67" w:rsidR="00623844" w:rsidRDefault="00710A2D" w:rsidP="000011FD">
            <w:r>
              <w:t>n/a</w:t>
            </w:r>
          </w:p>
        </w:tc>
      </w:tr>
      <w:tr w:rsidR="002B26AB" w14:paraId="329F35E1" w14:textId="5DF82B77" w:rsidTr="00C13400">
        <w:trPr>
          <w:trHeight w:val="1310"/>
        </w:trPr>
        <w:tc>
          <w:tcPr>
            <w:tcW w:w="3240" w:type="dxa"/>
          </w:tcPr>
          <w:p w14:paraId="3C32BD4A" w14:textId="49BBFD04" w:rsidR="002B26AB" w:rsidRDefault="002B26AB" w:rsidP="000011FD">
            <w:r>
              <w:t xml:space="preserve">Number of hubs: </w:t>
            </w:r>
            <w:r w:rsidR="00FD3E0A">
              <w:t xml:space="preserve">splitting regions with &gt;6,500 caseload </w:t>
            </w:r>
          </w:p>
        </w:tc>
        <w:tc>
          <w:tcPr>
            <w:tcW w:w="2977" w:type="dxa"/>
          </w:tcPr>
          <w:p w14:paraId="43DE8A5F" w14:textId="7F263DB7" w:rsidR="002B26AB" w:rsidRPr="00503EA4" w:rsidRDefault="009F2AA9" w:rsidP="000011FD">
            <w:pPr>
              <w:rPr>
                <w:i/>
                <w:iCs/>
              </w:rPr>
            </w:pPr>
            <w:r w:rsidRPr="00503EA4">
              <w:rPr>
                <w:i/>
                <w:iCs/>
              </w:rPr>
              <w:t>Split regions with &gt;</w:t>
            </w:r>
            <w:r w:rsidR="001547D5" w:rsidRPr="00503EA4">
              <w:rPr>
                <w:i/>
                <w:iCs/>
              </w:rPr>
              <w:t>8</w:t>
            </w:r>
            <w:r w:rsidRPr="00503EA4">
              <w:rPr>
                <w:i/>
                <w:iCs/>
              </w:rPr>
              <w:t>,000 caseload</w:t>
            </w:r>
            <w:r w:rsidR="00ED7E69" w:rsidRPr="00503EA4">
              <w:rPr>
                <w:i/>
                <w:iCs/>
              </w:rPr>
              <w:t xml:space="preserve"> (</w:t>
            </w:r>
            <w:r w:rsidR="00E25EC1" w:rsidRPr="00503EA4">
              <w:rPr>
                <w:i/>
                <w:iCs/>
              </w:rPr>
              <w:t>96 regions)</w:t>
            </w:r>
          </w:p>
          <w:p w14:paraId="01949887" w14:textId="206DF396" w:rsidR="005119EB" w:rsidRDefault="00FA21BF" w:rsidP="000011FD">
            <w:r>
              <w:t>-$</w:t>
            </w:r>
            <w:r w:rsidR="00C979D9">
              <w:t>4</w:t>
            </w:r>
            <w:r w:rsidR="00BF13ED">
              <w:t>.1M</w:t>
            </w:r>
          </w:p>
        </w:tc>
        <w:tc>
          <w:tcPr>
            <w:tcW w:w="3014" w:type="dxa"/>
          </w:tcPr>
          <w:p w14:paraId="49AB8AB1" w14:textId="5312EE8C" w:rsidR="00E25EC1" w:rsidRPr="00503EA4" w:rsidRDefault="009F2AA9" w:rsidP="00E25EC1">
            <w:pPr>
              <w:rPr>
                <w:i/>
                <w:iCs/>
              </w:rPr>
            </w:pPr>
            <w:r w:rsidRPr="00503EA4">
              <w:rPr>
                <w:i/>
                <w:iCs/>
              </w:rPr>
              <w:t>Split regions with &gt;5,000 caseload</w:t>
            </w:r>
            <w:r w:rsidR="00E25EC1" w:rsidRPr="00503EA4">
              <w:rPr>
                <w:i/>
                <w:iCs/>
              </w:rPr>
              <w:t xml:space="preserve"> (</w:t>
            </w:r>
            <w:r w:rsidR="00503EA4" w:rsidRPr="00503EA4">
              <w:rPr>
                <w:i/>
                <w:iCs/>
              </w:rPr>
              <w:t>138</w:t>
            </w:r>
            <w:r w:rsidR="00E25EC1" w:rsidRPr="00503EA4">
              <w:rPr>
                <w:i/>
                <w:iCs/>
              </w:rPr>
              <w:t xml:space="preserve"> regions)</w:t>
            </w:r>
          </w:p>
          <w:p w14:paraId="3CAC21F3" w14:textId="186BEE73" w:rsidR="001547D5" w:rsidRDefault="001547D5" w:rsidP="000011FD">
            <w:r>
              <w:t>+$</w:t>
            </w:r>
            <w:r w:rsidR="001942AC">
              <w:t>9.2M</w:t>
            </w:r>
          </w:p>
        </w:tc>
      </w:tr>
      <w:tr w:rsidR="002B26AB" w14:paraId="20A947DE" w14:textId="65C768B2" w:rsidTr="00C13400">
        <w:trPr>
          <w:cnfStyle w:val="000000100000" w:firstRow="0" w:lastRow="0" w:firstColumn="0" w:lastColumn="0" w:oddVBand="0" w:evenVBand="0" w:oddHBand="1" w:evenHBand="0" w:firstRowFirstColumn="0" w:firstRowLastColumn="0" w:lastRowFirstColumn="0" w:lastRowLastColumn="0"/>
          <w:trHeight w:val="820"/>
        </w:trPr>
        <w:tc>
          <w:tcPr>
            <w:tcW w:w="3240" w:type="dxa"/>
          </w:tcPr>
          <w:p w14:paraId="20E2CC6F" w14:textId="1D11EA8E" w:rsidR="002B26AB" w:rsidRDefault="004B5B32" w:rsidP="000011FD">
            <w:r>
              <w:t>Fixed staffing: 2 staff per hub</w:t>
            </w:r>
          </w:p>
        </w:tc>
        <w:tc>
          <w:tcPr>
            <w:tcW w:w="2977" w:type="dxa"/>
          </w:tcPr>
          <w:p w14:paraId="37C9940B" w14:textId="47488ACD" w:rsidR="002B26AB" w:rsidRDefault="00EE2944" w:rsidP="000011FD">
            <w:r>
              <w:t>n/a</w:t>
            </w:r>
          </w:p>
        </w:tc>
        <w:tc>
          <w:tcPr>
            <w:tcW w:w="3014" w:type="dxa"/>
          </w:tcPr>
          <w:p w14:paraId="38C621F7" w14:textId="77777777" w:rsidR="002B26AB" w:rsidRDefault="00EE2944" w:rsidP="000011FD">
            <w:r>
              <w:t>3 staff per hub</w:t>
            </w:r>
          </w:p>
          <w:p w14:paraId="4B413C0B" w14:textId="5C66ABB8" w:rsidR="00C60F62" w:rsidRDefault="00C918E1" w:rsidP="000011FD">
            <w:r>
              <w:t>+</w:t>
            </w:r>
            <w:r w:rsidR="00C60F62">
              <w:t>$</w:t>
            </w:r>
            <w:r>
              <w:t>17M</w:t>
            </w:r>
          </w:p>
        </w:tc>
      </w:tr>
      <w:tr w:rsidR="004B5B32" w14:paraId="4F4593E7" w14:textId="77777777" w:rsidTr="00C13400">
        <w:trPr>
          <w:trHeight w:val="1065"/>
        </w:trPr>
        <w:tc>
          <w:tcPr>
            <w:tcW w:w="3240" w:type="dxa"/>
          </w:tcPr>
          <w:p w14:paraId="32EC79FC" w14:textId="68597224" w:rsidR="004B5B32" w:rsidRDefault="004B5B32" w:rsidP="000011FD">
            <w:r>
              <w:t xml:space="preserve">Variable staffing: </w:t>
            </w:r>
            <w:r w:rsidR="00BF28A2">
              <w:t xml:space="preserve">each assessment takes </w:t>
            </w:r>
            <w:r w:rsidR="0085599E">
              <w:t>1.5 hours of staff time</w:t>
            </w:r>
          </w:p>
        </w:tc>
        <w:tc>
          <w:tcPr>
            <w:tcW w:w="2977" w:type="dxa"/>
          </w:tcPr>
          <w:p w14:paraId="182DECCF" w14:textId="77777777" w:rsidR="004B5B32" w:rsidRDefault="0085599E" w:rsidP="000011FD">
            <w:pPr>
              <w:rPr>
                <w:i/>
                <w:iCs/>
              </w:rPr>
            </w:pPr>
            <w:r w:rsidRPr="0085599E">
              <w:rPr>
                <w:i/>
                <w:iCs/>
              </w:rPr>
              <w:t>Each assessment takes 0.5 hours of staff time</w:t>
            </w:r>
          </w:p>
          <w:p w14:paraId="35107670" w14:textId="21CCF70C" w:rsidR="00ED241F" w:rsidRPr="00ED241F" w:rsidRDefault="00ED241F" w:rsidP="000011FD">
            <w:r>
              <w:t>-$71.6M</w:t>
            </w:r>
          </w:p>
        </w:tc>
        <w:tc>
          <w:tcPr>
            <w:tcW w:w="3014" w:type="dxa"/>
          </w:tcPr>
          <w:p w14:paraId="31F1FA06" w14:textId="77777777" w:rsidR="004B5B32" w:rsidRDefault="0085599E" w:rsidP="000011FD">
            <w:pPr>
              <w:rPr>
                <w:i/>
                <w:iCs/>
              </w:rPr>
            </w:pPr>
            <w:r w:rsidRPr="0085599E">
              <w:rPr>
                <w:i/>
                <w:iCs/>
              </w:rPr>
              <w:t>Each assessment takes 2.5 hours of staff time</w:t>
            </w:r>
          </w:p>
          <w:p w14:paraId="539C81E0" w14:textId="6B22B735" w:rsidR="00F0213E" w:rsidRPr="00F0213E" w:rsidRDefault="00F0213E" w:rsidP="000011FD">
            <w:r>
              <w:t>+$71.6M</w:t>
            </w:r>
          </w:p>
        </w:tc>
      </w:tr>
      <w:tr w:rsidR="00CB4968" w14:paraId="61FA5EE1" w14:textId="77777777" w:rsidTr="00C13400">
        <w:trPr>
          <w:cnfStyle w:val="000000100000" w:firstRow="0" w:lastRow="0" w:firstColumn="0" w:lastColumn="0" w:oddVBand="0" w:evenVBand="0" w:oddHBand="1" w:evenHBand="0" w:firstRowFirstColumn="0" w:firstRowLastColumn="0" w:lastRowFirstColumn="0" w:lastRowLastColumn="0"/>
          <w:trHeight w:val="1198"/>
        </w:trPr>
        <w:tc>
          <w:tcPr>
            <w:tcW w:w="3240" w:type="dxa"/>
          </w:tcPr>
          <w:p w14:paraId="01111A23" w14:textId="31C9CB5A" w:rsidR="00CB4968" w:rsidRDefault="00CB4968" w:rsidP="000011FD">
            <w:r>
              <w:t xml:space="preserve">Variable staffing: </w:t>
            </w:r>
            <w:r w:rsidRPr="00CB4968">
              <w:t>one staff member for every 5</w:t>
            </w:r>
            <w:r>
              <w:t>,</w:t>
            </w:r>
            <w:r w:rsidRPr="00CB4968">
              <w:t xml:space="preserve">000 </w:t>
            </w:r>
            <w:proofErr w:type="gramStart"/>
            <w:r w:rsidRPr="00CB4968">
              <w:t>caseload</w:t>
            </w:r>
            <w:proofErr w:type="gramEnd"/>
            <w:r w:rsidRPr="00CB4968">
              <w:t xml:space="preserve"> to conduct region management</w:t>
            </w:r>
          </w:p>
        </w:tc>
        <w:tc>
          <w:tcPr>
            <w:tcW w:w="2977" w:type="dxa"/>
          </w:tcPr>
          <w:p w14:paraId="5D75F7E6" w14:textId="47346A6B" w:rsidR="00CB4968" w:rsidRPr="00B44BD6" w:rsidRDefault="00774D6C" w:rsidP="000011FD">
            <w:pPr>
              <w:rPr>
                <w:i/>
                <w:iCs/>
              </w:rPr>
            </w:pPr>
            <w:r w:rsidRPr="00B44BD6">
              <w:rPr>
                <w:i/>
                <w:iCs/>
              </w:rPr>
              <w:t xml:space="preserve">one staff member for every </w:t>
            </w:r>
            <w:r w:rsidR="00660B64">
              <w:rPr>
                <w:i/>
                <w:iCs/>
              </w:rPr>
              <w:t>7</w:t>
            </w:r>
            <w:r w:rsidRPr="00B44BD6">
              <w:rPr>
                <w:i/>
                <w:iCs/>
              </w:rPr>
              <w:t xml:space="preserve">,000 </w:t>
            </w:r>
            <w:proofErr w:type="gramStart"/>
            <w:r w:rsidRPr="00B44BD6">
              <w:rPr>
                <w:i/>
                <w:iCs/>
              </w:rPr>
              <w:t>caseload</w:t>
            </w:r>
            <w:proofErr w:type="gramEnd"/>
          </w:p>
          <w:p w14:paraId="08245043" w14:textId="12E10604" w:rsidR="00B44BD6" w:rsidRDefault="00517F01" w:rsidP="000011FD">
            <w:r>
              <w:t>-</w:t>
            </w:r>
            <w:r w:rsidR="00B44BD6">
              <w:t>$</w:t>
            </w:r>
            <w:r>
              <w:t>5</w:t>
            </w:r>
            <w:r w:rsidR="0093059E">
              <w:t>.1</w:t>
            </w:r>
            <w:r w:rsidR="00B44BD6">
              <w:t>M</w:t>
            </w:r>
          </w:p>
        </w:tc>
        <w:tc>
          <w:tcPr>
            <w:tcW w:w="3014" w:type="dxa"/>
          </w:tcPr>
          <w:p w14:paraId="10F3C6CE" w14:textId="77777777" w:rsidR="00B44BD6" w:rsidRPr="00B44BD6" w:rsidRDefault="00B44BD6" w:rsidP="00B44BD6">
            <w:pPr>
              <w:rPr>
                <w:i/>
                <w:iCs/>
              </w:rPr>
            </w:pPr>
            <w:r w:rsidRPr="00B44BD6">
              <w:rPr>
                <w:i/>
                <w:iCs/>
              </w:rPr>
              <w:t xml:space="preserve">one staff member for every 3,000 </w:t>
            </w:r>
            <w:proofErr w:type="gramStart"/>
            <w:r w:rsidRPr="00B44BD6">
              <w:rPr>
                <w:i/>
                <w:iCs/>
              </w:rPr>
              <w:t>caseload</w:t>
            </w:r>
            <w:proofErr w:type="gramEnd"/>
          </w:p>
          <w:p w14:paraId="7427DFDF" w14:textId="36AAEA02" w:rsidR="00CB4968" w:rsidRDefault="00B44BD6" w:rsidP="00B44BD6">
            <w:r>
              <w:t>+$12</w:t>
            </w:r>
            <w:r w:rsidR="003619B2">
              <w:t>.0</w:t>
            </w:r>
            <w:r>
              <w:t>M</w:t>
            </w:r>
          </w:p>
        </w:tc>
      </w:tr>
      <w:tr w:rsidR="00E718C5" w14:paraId="43573190" w14:textId="77777777" w:rsidTr="00C13400">
        <w:trPr>
          <w:trHeight w:val="1075"/>
        </w:trPr>
        <w:tc>
          <w:tcPr>
            <w:tcW w:w="3240" w:type="dxa"/>
          </w:tcPr>
          <w:p w14:paraId="006DFEAF" w14:textId="6A9DD1DA" w:rsidR="00E718C5" w:rsidRDefault="00E718C5" w:rsidP="00E718C5">
            <w:r>
              <w:t>R</w:t>
            </w:r>
            <w:r w:rsidRPr="009C56F6">
              <w:t xml:space="preserve">egional hub service staff </w:t>
            </w:r>
            <w:r>
              <w:t xml:space="preserve">annual cost: </w:t>
            </w:r>
            <w:r w:rsidRPr="009C56F6">
              <w:t>$93,968</w:t>
            </w:r>
          </w:p>
        </w:tc>
        <w:tc>
          <w:tcPr>
            <w:tcW w:w="2977" w:type="dxa"/>
          </w:tcPr>
          <w:p w14:paraId="1FDE2105" w14:textId="6DA0B9EE" w:rsidR="00E718C5" w:rsidRDefault="00E718C5" w:rsidP="00E718C5">
            <w:pPr>
              <w:rPr>
                <w:i/>
                <w:iCs/>
              </w:rPr>
            </w:pPr>
            <w:r w:rsidRPr="00E718C5">
              <w:rPr>
                <w:i/>
                <w:iCs/>
              </w:rPr>
              <w:t xml:space="preserve">Annual salary 10% </w:t>
            </w:r>
            <w:r w:rsidR="00660B64">
              <w:rPr>
                <w:i/>
                <w:iCs/>
              </w:rPr>
              <w:t>lower</w:t>
            </w:r>
          </w:p>
          <w:p w14:paraId="16D02830" w14:textId="6A42DB63" w:rsidR="00E718C5" w:rsidRPr="00E718C5" w:rsidRDefault="00D827D3" w:rsidP="00E718C5">
            <w:r>
              <w:t>-</w:t>
            </w:r>
            <w:r w:rsidR="00E718C5">
              <w:t>$</w:t>
            </w:r>
            <w:r>
              <w:t>16.0M</w:t>
            </w:r>
          </w:p>
        </w:tc>
        <w:tc>
          <w:tcPr>
            <w:tcW w:w="3014" w:type="dxa"/>
          </w:tcPr>
          <w:p w14:paraId="4EA26829" w14:textId="77777777" w:rsidR="00E718C5" w:rsidRDefault="00E718C5" w:rsidP="00E718C5">
            <w:pPr>
              <w:rPr>
                <w:i/>
                <w:iCs/>
              </w:rPr>
            </w:pPr>
            <w:r w:rsidRPr="00E718C5">
              <w:rPr>
                <w:i/>
                <w:iCs/>
              </w:rPr>
              <w:t xml:space="preserve">Annual salary 10% </w:t>
            </w:r>
            <w:r w:rsidR="00660B64">
              <w:rPr>
                <w:i/>
                <w:iCs/>
              </w:rPr>
              <w:t>higher</w:t>
            </w:r>
          </w:p>
          <w:p w14:paraId="4AA27E26" w14:textId="13E0C7E6" w:rsidR="00660B64" w:rsidRDefault="00660B64" w:rsidP="00E718C5">
            <w:r>
              <w:t>+$16.0M</w:t>
            </w:r>
          </w:p>
        </w:tc>
      </w:tr>
      <w:tr w:rsidR="00D3150B" w14:paraId="1B73B60B" w14:textId="77777777" w:rsidTr="00C13400">
        <w:trPr>
          <w:cnfStyle w:val="000000100000" w:firstRow="0" w:lastRow="0" w:firstColumn="0" w:lastColumn="0" w:oddVBand="0" w:evenVBand="0" w:oddHBand="1" w:evenHBand="0" w:firstRowFirstColumn="0" w:firstRowLastColumn="0" w:lastRowFirstColumn="0" w:lastRowLastColumn="0"/>
          <w:trHeight w:val="1302"/>
        </w:trPr>
        <w:tc>
          <w:tcPr>
            <w:tcW w:w="3240" w:type="dxa"/>
          </w:tcPr>
          <w:p w14:paraId="5B6FEF5B" w14:textId="6D06141F" w:rsidR="00D3150B" w:rsidRDefault="00D3150B" w:rsidP="00D3150B">
            <w:r>
              <w:t>Managerial and corporate gross-up: 51%</w:t>
            </w:r>
          </w:p>
        </w:tc>
        <w:tc>
          <w:tcPr>
            <w:tcW w:w="2977" w:type="dxa"/>
          </w:tcPr>
          <w:p w14:paraId="6905B6C0" w14:textId="77777777" w:rsidR="00D3150B" w:rsidRPr="003F37A4" w:rsidRDefault="00D3150B" w:rsidP="00D3150B">
            <w:pPr>
              <w:rPr>
                <w:i/>
              </w:rPr>
            </w:pPr>
            <w:r w:rsidRPr="003F37A4">
              <w:rPr>
                <w:i/>
              </w:rPr>
              <w:t xml:space="preserve">Overhead of </w:t>
            </w:r>
            <w:r>
              <w:rPr>
                <w:i/>
              </w:rPr>
              <w:t>17</w:t>
            </w:r>
            <w:r w:rsidRPr="003F37A4">
              <w:rPr>
                <w:i/>
              </w:rPr>
              <w:t>%</w:t>
            </w:r>
            <w:r>
              <w:rPr>
                <w:i/>
              </w:rPr>
              <w:t xml:space="preserve"> aligning with partner-delivered service</w:t>
            </w:r>
          </w:p>
          <w:p w14:paraId="703E65C6" w14:textId="2F6A5185" w:rsidR="00D3150B" w:rsidRDefault="00D3150B" w:rsidP="00D3150B">
            <w:r w:rsidRPr="003F37A4">
              <w:t>-$</w:t>
            </w:r>
            <w:r w:rsidR="00B942D7">
              <w:t>35.7M</w:t>
            </w:r>
          </w:p>
        </w:tc>
        <w:tc>
          <w:tcPr>
            <w:tcW w:w="3014" w:type="dxa"/>
          </w:tcPr>
          <w:p w14:paraId="2295A367" w14:textId="77777777" w:rsidR="00D3150B" w:rsidRPr="003F37A4" w:rsidRDefault="00D3150B" w:rsidP="00D3150B">
            <w:pPr>
              <w:rPr>
                <w:i/>
              </w:rPr>
            </w:pPr>
            <w:r w:rsidRPr="003F37A4">
              <w:rPr>
                <w:i/>
              </w:rPr>
              <w:t>Overhead of 60%</w:t>
            </w:r>
          </w:p>
          <w:p w14:paraId="24D35677" w14:textId="4AE3F63F" w:rsidR="00D3150B" w:rsidRDefault="00D3150B" w:rsidP="00D3150B">
            <w:r w:rsidRPr="003F37A4">
              <w:t>+$</w:t>
            </w:r>
            <w:r w:rsidR="00330B54">
              <w:t>10.0M</w:t>
            </w:r>
          </w:p>
        </w:tc>
      </w:tr>
      <w:tr w:rsidR="00330B54" w14:paraId="164FA3BE" w14:textId="77777777" w:rsidTr="00C13400">
        <w:trPr>
          <w:trHeight w:val="1310"/>
        </w:trPr>
        <w:tc>
          <w:tcPr>
            <w:tcW w:w="3240" w:type="dxa"/>
          </w:tcPr>
          <w:p w14:paraId="500D8BC1" w14:textId="6F7084C0" w:rsidR="00330B54" w:rsidRDefault="00330B54" w:rsidP="00330B54">
            <w:r>
              <w:t>Sub-leasing gross-up of 11.9% of staff cost</w:t>
            </w:r>
          </w:p>
        </w:tc>
        <w:tc>
          <w:tcPr>
            <w:tcW w:w="2977" w:type="dxa"/>
          </w:tcPr>
          <w:p w14:paraId="40742B38" w14:textId="77777777" w:rsidR="00330B54" w:rsidRPr="003F37A4" w:rsidRDefault="00330B54" w:rsidP="00330B54">
            <w:pPr>
              <w:rPr>
                <w:i/>
              </w:rPr>
            </w:pPr>
            <w:r w:rsidRPr="003F37A4">
              <w:rPr>
                <w:i/>
              </w:rPr>
              <w:t>Leasing cost of 6.2% at DEWR benchmark</w:t>
            </w:r>
            <w:r w:rsidRPr="003F37A4">
              <w:rPr>
                <w:rStyle w:val="FootnoteReference"/>
                <w:i/>
              </w:rPr>
              <w:footnoteReference w:id="37"/>
            </w:r>
          </w:p>
          <w:p w14:paraId="32B74D1F" w14:textId="7D9C6014" w:rsidR="00330B54" w:rsidRDefault="00330B54" w:rsidP="00330B54">
            <w:r w:rsidRPr="003F37A4">
              <w:t>-$</w:t>
            </w:r>
            <w:r w:rsidR="0058064C">
              <w:t>8.1</w:t>
            </w:r>
            <w:r>
              <w:t>M</w:t>
            </w:r>
          </w:p>
        </w:tc>
        <w:tc>
          <w:tcPr>
            <w:tcW w:w="3014" w:type="dxa"/>
          </w:tcPr>
          <w:p w14:paraId="46153A05" w14:textId="77777777" w:rsidR="00330B54" w:rsidRPr="003F37A4" w:rsidRDefault="00330B54" w:rsidP="00330B54">
            <w:pPr>
              <w:rPr>
                <w:i/>
              </w:rPr>
            </w:pPr>
            <w:r w:rsidRPr="003F37A4">
              <w:rPr>
                <w:i/>
              </w:rPr>
              <w:t>Leasing cost of 20.0% reflecting high number of sites required</w:t>
            </w:r>
          </w:p>
          <w:p w14:paraId="3D1673AE" w14:textId="08948A4D" w:rsidR="00330B54" w:rsidRDefault="00330B54" w:rsidP="00330B54">
            <w:r w:rsidRPr="003F37A4">
              <w:t>+$</w:t>
            </w:r>
            <w:r w:rsidR="00E971D8">
              <w:t>11.7M</w:t>
            </w:r>
          </w:p>
        </w:tc>
      </w:tr>
    </w:tbl>
    <w:p w14:paraId="49EAE932" w14:textId="77777777" w:rsidR="00250E7C" w:rsidRDefault="00250E7C" w:rsidP="00622324">
      <w:pPr>
        <w:pStyle w:val="Heading4"/>
      </w:pPr>
      <w:r>
        <w:t>Validation checks</w:t>
      </w:r>
    </w:p>
    <w:p w14:paraId="6C48290B" w14:textId="2742780A" w:rsidR="00340A0C" w:rsidRPr="00340A0C" w:rsidRDefault="00B00308" w:rsidP="00340A0C">
      <w:r>
        <w:t xml:space="preserve">We understand the cost of each Jobs Tasmania </w:t>
      </w:r>
      <w:r w:rsidRPr="00C5365E">
        <w:t>Regional Jobs Hub Network</w:t>
      </w:r>
      <w:r>
        <w:t xml:space="preserve"> site to cost ~$1</w:t>
      </w:r>
      <w:r w:rsidR="00C13400">
        <w:t>M</w:t>
      </w:r>
      <w:r>
        <w:t xml:space="preserve"> per year. While the functions of these hubs will likely differ to the </w:t>
      </w:r>
      <w:r w:rsidR="009F04F4">
        <w:t xml:space="preserve">Regional Hubs </w:t>
      </w:r>
      <w:r>
        <w:t xml:space="preserve">services </w:t>
      </w:r>
      <w:r w:rsidR="009F04F4">
        <w:t xml:space="preserve">proposed by the Hill Review, the similarity of costs between these delivery models provides </w:t>
      </w:r>
      <w:r w:rsidR="000011FD">
        <w:t>validation as to the reasonableness of the result.</w:t>
      </w:r>
    </w:p>
    <w:p w14:paraId="4F015EE6" w14:textId="6326A3DF" w:rsidR="001D7A54" w:rsidRDefault="008705E0" w:rsidP="00622324">
      <w:pPr>
        <w:pStyle w:val="Heading3"/>
      </w:pPr>
      <w:bookmarkStart w:id="54" w:name="_Toc226038402"/>
      <w:r>
        <w:lastRenderedPageBreak/>
        <w:t>Wage subsidies</w:t>
      </w:r>
      <w:bookmarkEnd w:id="54"/>
    </w:p>
    <w:p w14:paraId="31C64F7E" w14:textId="1EB130B1" w:rsidR="009D7A40" w:rsidRPr="009D7A40" w:rsidRDefault="006359E2" w:rsidP="009D7A40">
      <w:r>
        <w:t xml:space="preserve">The Hill Review recognised that </w:t>
      </w:r>
      <w:r w:rsidR="004B1CBC">
        <w:t xml:space="preserve">while the use of wage subsidies </w:t>
      </w:r>
      <w:r w:rsidR="00440E41">
        <w:t>is</w:t>
      </w:r>
      <w:r w:rsidR="00BC2356">
        <w:t xml:space="preserve"> contested by economists and their impact varies depending on the </w:t>
      </w:r>
      <w:r w:rsidR="00440E41">
        <w:t xml:space="preserve">state of the </w:t>
      </w:r>
      <w:r w:rsidR="00BC2356">
        <w:t xml:space="preserve">labour market, </w:t>
      </w:r>
      <w:r w:rsidR="00440E41">
        <w:t>they provide a strong incentive for an employer to take a chance on hiring someone on employment services.</w:t>
      </w:r>
    </w:p>
    <w:p w14:paraId="02A27513" w14:textId="6BCE5E52" w:rsidR="001D7A54" w:rsidRDefault="001D7A54"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8705E0" w:rsidRPr="00F57797" w14:paraId="5C3C1E65" w14:textId="77777777">
        <w:tc>
          <w:tcPr>
            <w:tcW w:w="9382" w:type="dxa"/>
            <w:tcBorders>
              <w:top w:val="nil"/>
              <w:left w:val="nil"/>
              <w:bottom w:val="nil"/>
              <w:right w:val="single" w:sz="24" w:space="0" w:color="006EC8" w:themeColor="accent1"/>
            </w:tcBorders>
            <w:shd w:val="clear" w:color="auto" w:fill="C1E3FF" w:themeFill="accent1" w:themeFillTint="33"/>
          </w:tcPr>
          <w:p w14:paraId="64DD29D5" w14:textId="77777777" w:rsidR="00C34D08" w:rsidRDefault="008705E0" w:rsidP="003C70E0">
            <w:pPr>
              <w:rPr>
                <w:b/>
                <w:bCs/>
              </w:rPr>
            </w:pPr>
            <w:r w:rsidRPr="0033141A">
              <w:rPr>
                <w:b/>
                <w:bCs/>
              </w:rPr>
              <w:t xml:space="preserve">Recommendation </w:t>
            </w:r>
            <w:r w:rsidR="003C70E0">
              <w:rPr>
                <w:b/>
                <w:bCs/>
              </w:rPr>
              <w:t>52</w:t>
            </w:r>
          </w:p>
          <w:p w14:paraId="7DC07B03" w14:textId="286FD222" w:rsidR="008705E0" w:rsidRPr="00B046BB" w:rsidRDefault="00F951B5" w:rsidP="003C70E0">
            <w:r w:rsidRPr="00F951B5">
              <w:t>The Committee recommends that as a fundamental system design principle, wage subsidy programs (and other Active Labour Market Programs including paid work experience) should be centrally and transparently administered by the Department of Employment and Workplace Relations with funding</w:t>
            </w:r>
            <w:r w:rsidR="003C70E0">
              <w:t xml:space="preserve"> </w:t>
            </w:r>
            <w:r w:rsidR="00437627" w:rsidRPr="00437627">
              <w:t>de-linked from the Employment Fund</w:t>
            </w:r>
            <w:r>
              <w:t>.</w:t>
            </w:r>
          </w:p>
        </w:tc>
      </w:tr>
    </w:tbl>
    <w:p w14:paraId="4616B432" w14:textId="40BFEB3B" w:rsidR="008705E0" w:rsidRPr="008705E0" w:rsidRDefault="008705E0" w:rsidP="008705E0">
      <w:r w:rsidRPr="00191A32">
        <w:rPr>
          <w:i/>
          <w:color w:val="006EC8" w:themeColor="accent1"/>
        </w:rPr>
        <w:t>Cost implications:</w:t>
      </w:r>
      <w:r w:rsidRPr="00191A32">
        <w:rPr>
          <w:color w:val="006EC8" w:themeColor="accent1"/>
        </w:rPr>
        <w:t xml:space="preserve"> </w:t>
      </w:r>
      <w:r w:rsidR="00E42DDD">
        <w:t xml:space="preserve">Being part of the </w:t>
      </w:r>
      <w:r w:rsidR="003C13FE">
        <w:t xml:space="preserve">Employment Fund means providers </w:t>
      </w:r>
      <w:r w:rsidR="001E7BFA" w:rsidRPr="00191A32">
        <w:t>must</w:t>
      </w:r>
      <w:r w:rsidR="00387F1F">
        <w:t xml:space="preserve"> consider whether wage subsidies are </w:t>
      </w:r>
      <w:r w:rsidR="00340E2E">
        <w:t>a higher priority</w:t>
      </w:r>
      <w:r w:rsidR="00387F1F">
        <w:t xml:space="preserve"> than </w:t>
      </w:r>
      <w:r w:rsidR="00AE6FA0">
        <w:t>funding other work</w:t>
      </w:r>
      <w:r w:rsidR="00340E2E">
        <w:t>-</w:t>
      </w:r>
      <w:r w:rsidR="00AE6FA0">
        <w:t>related needs, creating a disincentive for their use</w:t>
      </w:r>
      <w:r w:rsidR="00BC6594" w:rsidRPr="00595BDD">
        <w:t>.</w:t>
      </w:r>
      <w:r w:rsidR="00AE6FA0">
        <w:t xml:space="preserve"> </w:t>
      </w:r>
      <w:r w:rsidR="00001438" w:rsidRPr="00191A32">
        <w:t>We would expect greater use</w:t>
      </w:r>
      <w:r w:rsidR="00191A32" w:rsidRPr="00191A32">
        <w:t xml:space="preserve"> of wage subsidies if it </w:t>
      </w:r>
      <w:r w:rsidR="007F3BA4" w:rsidRPr="00191A32">
        <w:t>were</w:t>
      </w:r>
      <w:r w:rsidR="00191A32" w:rsidRPr="00191A32">
        <w:t xml:space="preserve"> de-linked from the </w:t>
      </w:r>
      <w:r w:rsidR="007441C6">
        <w:t>E</w:t>
      </w:r>
      <w:r w:rsidR="00191A32" w:rsidRPr="00191A32">
        <w:t xml:space="preserve">mployment </w:t>
      </w:r>
      <w:r w:rsidR="007441C6">
        <w:t>F</w:t>
      </w:r>
      <w:r w:rsidR="00191A32" w:rsidRPr="00191A32">
        <w:t>und.</w:t>
      </w:r>
    </w:p>
    <w:p w14:paraId="0C5E0992" w14:textId="77777777" w:rsidR="001D7A54" w:rsidRDefault="001D7A54" w:rsidP="00622324">
      <w:pPr>
        <w:pStyle w:val="Heading4"/>
      </w:pPr>
      <w:r>
        <w:t>Costing approach</w:t>
      </w:r>
    </w:p>
    <w:p w14:paraId="62ECAC31" w14:textId="6930F34B" w:rsidR="007441C6" w:rsidRPr="007441C6" w:rsidRDefault="00FF7B47" w:rsidP="007441C6">
      <w:r>
        <w:t xml:space="preserve">Wage subsidies </w:t>
      </w:r>
      <w:r w:rsidR="000170D7">
        <w:t>bec</w:t>
      </w:r>
      <w:r w:rsidR="0061226B">
        <w:t>a</w:t>
      </w:r>
      <w:r w:rsidR="000170D7">
        <w:t>me part of the Employment Fund in January 2019.</w:t>
      </w:r>
      <w:r w:rsidR="00754B20">
        <w:t xml:space="preserve"> In the years leading up to this, the number of wage subsidy placements was</w:t>
      </w:r>
      <w:r w:rsidR="0061226B">
        <w:t xml:space="preserve"> on an</w:t>
      </w:r>
      <w:r w:rsidR="00754B20">
        <w:t xml:space="preserve"> increasing</w:t>
      </w:r>
      <w:r w:rsidR="0061226B">
        <w:t xml:space="preserve"> trend</w:t>
      </w:r>
      <w:r w:rsidR="00754B20">
        <w:t xml:space="preserve">. </w:t>
      </w:r>
      <w:r w:rsidR="00F360B1">
        <w:t xml:space="preserve">If </w:t>
      </w:r>
      <w:r w:rsidR="00FA3419">
        <w:t xml:space="preserve">funding becomes de-linked from the Employment Fund, we could expect </w:t>
      </w:r>
      <w:r w:rsidR="0022253F">
        <w:t xml:space="preserve">placement numbers to </w:t>
      </w:r>
      <w:r w:rsidR="2A60A529">
        <w:t xml:space="preserve">return to </w:t>
      </w:r>
      <w:r w:rsidR="006A7B82">
        <w:t xml:space="preserve">previous </w:t>
      </w:r>
      <w:r w:rsidR="2A60A529">
        <w:t>levels</w:t>
      </w:r>
      <w:r w:rsidR="006A7B82">
        <w:t xml:space="preserve">. </w:t>
      </w:r>
      <w:r w:rsidR="00357749">
        <w:t>Multiplying by the average subsidy amount would give an estimate of increase in cost</w:t>
      </w:r>
      <w:r w:rsidR="0061226B">
        <w:t>.</w:t>
      </w:r>
    </w:p>
    <w:p w14:paraId="0EA1D94B" w14:textId="77777777" w:rsidR="001D7A54" w:rsidRDefault="001D7A54" w:rsidP="00622324">
      <w:pPr>
        <w:pStyle w:val="Heading4"/>
      </w:pPr>
      <w:r>
        <w:t>Costing</w:t>
      </w:r>
    </w:p>
    <w:p w14:paraId="3DF2B11B" w14:textId="60BB5270" w:rsidR="009D4D91" w:rsidRDefault="009D4D91" w:rsidP="0061226B">
      <w:r>
        <w:t xml:space="preserve">We estimate </w:t>
      </w:r>
      <w:r w:rsidR="00E7181D">
        <w:t xml:space="preserve">payments to increase by </w:t>
      </w:r>
      <w:r w:rsidR="00A307A4">
        <w:t>$22</w:t>
      </w:r>
      <w:r w:rsidR="0037206C">
        <w:t>4</w:t>
      </w:r>
      <w:r w:rsidR="00016A06">
        <w:t>.2</w:t>
      </w:r>
      <w:r w:rsidR="000118F5">
        <w:t xml:space="preserve">M </w:t>
      </w:r>
      <w:r w:rsidR="00004C66">
        <w:t>if wage subsidy place</w:t>
      </w:r>
      <w:r w:rsidR="00EB3BC1">
        <w:t xml:space="preserve">ments </w:t>
      </w:r>
      <w:r w:rsidR="0006731E">
        <w:t>return to their levels observed prior to becoming part of the Employment Fund:</w:t>
      </w:r>
    </w:p>
    <w:p w14:paraId="2664FEE3" w14:textId="75147F16" w:rsidR="0006731E" w:rsidRDefault="00DD5ADA" w:rsidP="0006731E">
      <w:pPr>
        <w:pStyle w:val="Bullet1"/>
      </w:pPr>
      <w:r>
        <w:t xml:space="preserve">The number of wage subsidy placements </w:t>
      </w:r>
      <w:r w:rsidR="00AB7A3E">
        <w:t xml:space="preserve">in </w:t>
      </w:r>
      <w:r w:rsidR="00F950A2">
        <w:t>2017-18</w:t>
      </w:r>
      <w:r w:rsidR="008934AD">
        <w:t xml:space="preserve"> was</w:t>
      </w:r>
      <w:r w:rsidR="009D3C3D">
        <w:t xml:space="preserve"> about 58,000</w:t>
      </w:r>
      <w:r w:rsidR="00EB61D7">
        <w:rPr>
          <w:rStyle w:val="FootnoteReference"/>
        </w:rPr>
        <w:footnoteReference w:id="38"/>
      </w:r>
      <w:r w:rsidR="009D3C3D">
        <w:t xml:space="preserve">, </w:t>
      </w:r>
      <w:r w:rsidR="0009680A">
        <w:t xml:space="preserve">compared to </w:t>
      </w:r>
      <w:r w:rsidR="005A15A6">
        <w:t xml:space="preserve">19,775 </w:t>
      </w:r>
      <w:r w:rsidR="002F6827">
        <w:t xml:space="preserve">in </w:t>
      </w:r>
      <w:r w:rsidR="00F950A2">
        <w:t>2024-25</w:t>
      </w:r>
      <w:r w:rsidR="00A566EE">
        <w:t>.</w:t>
      </w:r>
      <w:r w:rsidR="00F950A2">
        <w:t xml:space="preserve"> This means the number of placements ha</w:t>
      </w:r>
      <w:r w:rsidR="00823F12">
        <w:t>s</w:t>
      </w:r>
      <w:r w:rsidR="00F950A2">
        <w:t xml:space="preserve"> fallen by </w:t>
      </w:r>
      <w:r w:rsidR="002C6747">
        <w:t>two thirds</w:t>
      </w:r>
      <w:r w:rsidR="00204B52">
        <w:t xml:space="preserve">, or </w:t>
      </w:r>
      <w:r w:rsidR="001F0B19">
        <w:t xml:space="preserve">about </w:t>
      </w:r>
      <w:r w:rsidR="00204B52" w:rsidRPr="00204B52">
        <w:t>38</w:t>
      </w:r>
      <w:r w:rsidR="00E82D7E">
        <w:t>,</w:t>
      </w:r>
      <w:r w:rsidR="001F0B19">
        <w:t>000</w:t>
      </w:r>
      <w:r w:rsidR="00E82D7E">
        <w:t xml:space="preserve"> placements,</w:t>
      </w:r>
      <w:r w:rsidR="002C6747">
        <w:t xml:space="preserve"> since </w:t>
      </w:r>
      <w:r w:rsidR="00730F4B">
        <w:t xml:space="preserve">the subsidies became part of the </w:t>
      </w:r>
      <w:r w:rsidR="00823F12">
        <w:t>E</w:t>
      </w:r>
      <w:r w:rsidR="00730F4B">
        <w:t xml:space="preserve">mployment </w:t>
      </w:r>
      <w:r w:rsidR="00823F12">
        <w:t>F</w:t>
      </w:r>
      <w:r w:rsidR="00730F4B">
        <w:t>und.</w:t>
      </w:r>
      <w:r w:rsidR="00FC62B6">
        <w:t xml:space="preserve"> </w:t>
      </w:r>
    </w:p>
    <w:p w14:paraId="489DA09D" w14:textId="4F2D4749" w:rsidR="0061226B" w:rsidRPr="0061226B" w:rsidRDefault="007261A3" w:rsidP="0006731E">
      <w:pPr>
        <w:pStyle w:val="Bullet1"/>
      </w:pPr>
      <w:r>
        <w:t xml:space="preserve">The average subsidy </w:t>
      </w:r>
      <w:r w:rsidR="102709A5">
        <w:t>paid in 2024-25 was</w:t>
      </w:r>
      <w:r w:rsidR="005C37C3">
        <w:t xml:space="preserve"> $</w:t>
      </w:r>
      <w:r w:rsidR="00726A64">
        <w:t>5,900.</w:t>
      </w:r>
    </w:p>
    <w:p w14:paraId="7219CF03" w14:textId="77777777" w:rsidR="001D7A54" w:rsidRDefault="001D7A54" w:rsidP="00622324">
      <w:pPr>
        <w:pStyle w:val="Heading4"/>
      </w:pPr>
      <w:r>
        <w:t>Sensitivities</w:t>
      </w:r>
    </w:p>
    <w:p w14:paraId="5FBD5707" w14:textId="4C578935" w:rsidR="003C561E" w:rsidRDefault="003C561E" w:rsidP="004E1AD7">
      <w:r>
        <w:t>The</w:t>
      </w:r>
      <w:r w:rsidR="00E246A3">
        <w:t xml:space="preserve"> increase in placements after de-linking from the Employment Fund is uncertain:</w:t>
      </w:r>
    </w:p>
    <w:p w14:paraId="405459E3" w14:textId="21967FEB" w:rsidR="004E1AD7" w:rsidRDefault="00743FCC" w:rsidP="00E246A3">
      <w:pPr>
        <w:pStyle w:val="Bullet1"/>
      </w:pPr>
      <w:r>
        <w:t>If the number of wage subsidy p</w:t>
      </w:r>
      <w:r w:rsidR="00621083">
        <w:t xml:space="preserve">lacements only increase by half the assumed amount, to reach a level halfway between </w:t>
      </w:r>
      <w:r w:rsidR="005D7E72">
        <w:t xml:space="preserve">current and the highs observed prior to becoming part of the Employment Fund, </w:t>
      </w:r>
      <w:r w:rsidR="00684C30">
        <w:t>the increase in cost is halved to $112M.</w:t>
      </w:r>
    </w:p>
    <w:p w14:paraId="53FED259" w14:textId="16234B7B" w:rsidR="00E246A3" w:rsidRPr="00E246A3" w:rsidRDefault="00E246A3" w:rsidP="00E246A3">
      <w:pPr>
        <w:pStyle w:val="Bullet1"/>
      </w:pPr>
      <w:r>
        <w:t xml:space="preserve">If the number of wage subsidy placements </w:t>
      </w:r>
      <w:r w:rsidR="001C0916">
        <w:t>increases by 50% more than</w:t>
      </w:r>
      <w:r>
        <w:t xml:space="preserve"> the assumed amount, to reach a level </w:t>
      </w:r>
      <w:r w:rsidR="001C0916">
        <w:t>greater than</w:t>
      </w:r>
      <w:r>
        <w:t xml:space="preserve"> the highs observed prior to becoming part of the Employment Fund, the increase in cost is </w:t>
      </w:r>
      <w:r w:rsidR="00654EE5">
        <w:t>$336M</w:t>
      </w:r>
      <w:r>
        <w:t>.</w:t>
      </w:r>
    </w:p>
    <w:p w14:paraId="35C8BA6F" w14:textId="18575F00" w:rsidR="00250E7C" w:rsidRDefault="00250E7C" w:rsidP="00622324">
      <w:pPr>
        <w:pStyle w:val="Heading2"/>
      </w:pPr>
      <w:bookmarkStart w:id="55" w:name="_Toc226038403"/>
      <w:r>
        <w:lastRenderedPageBreak/>
        <w:t>Key components: Governance</w:t>
      </w:r>
      <w:bookmarkEnd w:id="55"/>
    </w:p>
    <w:p w14:paraId="70A4FC54" w14:textId="77777777" w:rsidR="00250E7C" w:rsidRDefault="00250E7C" w:rsidP="00250E7C">
      <w:pPr>
        <w:pStyle w:val="Headingstroke"/>
      </w:pPr>
      <w:r>
        <w:rPr>
          <w:noProof/>
        </w:rPr>
        <mc:AlternateContent>
          <mc:Choice Requires="wps">
            <w:drawing>
              <wp:inline distT="0" distB="0" distL="0" distR="0" wp14:anchorId="5DA8A945" wp14:editId="65B58FD3">
                <wp:extent cx="936000" cy="0"/>
                <wp:effectExtent l="0" t="38100" r="54610" b="57150"/>
                <wp:docPr id="135840764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3C7632"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047111B7" w14:textId="12CB99E1" w:rsidR="00250E7C" w:rsidRDefault="00250E7C" w:rsidP="00622324">
      <w:pPr>
        <w:pStyle w:val="Heading3"/>
      </w:pPr>
      <w:bookmarkStart w:id="56" w:name="_Toc226038404"/>
      <w:r>
        <w:t>Employment Services Australia (ESA)</w:t>
      </w:r>
      <w:bookmarkEnd w:id="56"/>
    </w:p>
    <w:p w14:paraId="1022C22A" w14:textId="7B7FEFAA" w:rsidR="00250E7C" w:rsidRDefault="00250E7C" w:rsidP="00250E7C">
      <w:r>
        <w:t xml:space="preserve">A </w:t>
      </w:r>
      <w:r w:rsidR="005A13A4">
        <w:t>central</w:t>
      </w:r>
      <w:r>
        <w:t xml:space="preserve"> theme </w:t>
      </w:r>
      <w:r w:rsidR="005A13A4">
        <w:t>of</w:t>
      </w:r>
      <w:r>
        <w:t xml:space="preserve"> the Hill Review is to rebuild a </w:t>
      </w:r>
      <w:r w:rsidR="005A13A4">
        <w:t xml:space="preserve">strong </w:t>
      </w:r>
      <w:r>
        <w:t xml:space="preserve">public sector core </w:t>
      </w:r>
      <w:r w:rsidR="00F05303">
        <w:t>within</w:t>
      </w:r>
      <w:r>
        <w:t xml:space="preserve"> the Employment Services System. A key </w:t>
      </w:r>
      <w:r w:rsidR="00F05303">
        <w:t xml:space="preserve">element of </w:t>
      </w:r>
      <w:r>
        <w:t xml:space="preserve">this </w:t>
      </w:r>
      <w:r w:rsidR="00F05303">
        <w:t>reform</w:t>
      </w:r>
      <w:r>
        <w:t xml:space="preserve"> is the </w:t>
      </w:r>
      <w:r w:rsidR="00AE52FE">
        <w:t>establishment</w:t>
      </w:r>
      <w:r>
        <w:t xml:space="preserve"> of Employment Services Australia (ESA) within the Department of Employment and Workplace Relations (DEWR).</w:t>
      </w:r>
    </w:p>
    <w:p w14:paraId="207F8B2B" w14:textId="5035ABED" w:rsidR="00250E7C" w:rsidRDefault="00250E7C" w:rsidP="00250E7C">
      <w:r>
        <w:t xml:space="preserve">ESA is envisaged to undertake </w:t>
      </w:r>
      <w:r w:rsidR="00A91101">
        <w:t>a defined set of system stewardship and service delivery functions. These include</w:t>
      </w:r>
      <w:r>
        <w:t xml:space="preserve"> core enabling </w:t>
      </w:r>
      <w:r w:rsidR="002704A8">
        <w:t>activities at the regional level, delivery of</w:t>
      </w:r>
      <w:r>
        <w:t xml:space="preserve"> a large</w:t>
      </w:r>
      <w:r w:rsidR="002704A8">
        <w:t xml:space="preserve">-scale </w:t>
      </w:r>
      <w:r w:rsidR="009F0A94">
        <w:t>digital-</w:t>
      </w:r>
      <w:r>
        <w:t xml:space="preserve">hybrid </w:t>
      </w:r>
      <w:r w:rsidR="009F0A94">
        <w:t>service</w:t>
      </w:r>
      <w:r>
        <w:t xml:space="preserve"> for </w:t>
      </w:r>
      <w:r w:rsidR="00673A10">
        <w:t>jobseekers closer</w:t>
      </w:r>
      <w:r>
        <w:t xml:space="preserve"> to the labour market, </w:t>
      </w:r>
      <w:r w:rsidR="00CA15FA">
        <w:t>targeted</w:t>
      </w:r>
      <w:r>
        <w:t xml:space="preserve"> case management </w:t>
      </w:r>
      <w:r w:rsidR="00CA15FA">
        <w:t>functions</w:t>
      </w:r>
      <w:r>
        <w:t xml:space="preserve"> (Section </w:t>
      </w:r>
      <w:r w:rsidR="00664C72">
        <w:fldChar w:fldCharType="begin"/>
      </w:r>
      <w:r w:rsidR="00664C72">
        <w:instrText xml:space="preserve"> REF _Ref219408798 \w \h </w:instrText>
      </w:r>
      <w:r w:rsidR="00664C72">
        <w:fldChar w:fldCharType="separate"/>
      </w:r>
      <w:r w:rsidR="001703C6">
        <w:t>4.2</w:t>
      </w:r>
      <w:r w:rsidR="00664C72">
        <w:fldChar w:fldCharType="end"/>
      </w:r>
      <w:r>
        <w:t xml:space="preserve">), and </w:t>
      </w:r>
      <w:r w:rsidR="00CA15FA">
        <w:t>operat</w:t>
      </w:r>
      <w:r w:rsidR="00272D75">
        <w:t>ion of</w:t>
      </w:r>
      <w:r w:rsidR="0084311D">
        <w:t xml:space="preserve"> </w:t>
      </w:r>
      <w:r>
        <w:t xml:space="preserve">a network of regional hubs and service gateways (Section </w:t>
      </w:r>
      <w:r w:rsidR="00664C72">
        <w:fldChar w:fldCharType="begin"/>
      </w:r>
      <w:r w:rsidR="00664C72">
        <w:instrText xml:space="preserve"> REF _Ref219408846 \w \h </w:instrText>
      </w:r>
      <w:r w:rsidR="00664C72">
        <w:fldChar w:fldCharType="separate"/>
      </w:r>
      <w:r w:rsidR="001703C6">
        <w:t>4.4</w:t>
      </w:r>
      <w:r w:rsidR="00664C72">
        <w:fldChar w:fldCharType="end"/>
      </w:r>
      <w:r>
        <w:t>)</w:t>
      </w:r>
      <w:r w:rsidR="006A7CCB">
        <w:t xml:space="preserve"> </w:t>
      </w:r>
    </w:p>
    <w:tbl>
      <w:tblPr>
        <w:tblStyle w:val="TableGrid"/>
        <w:tblW w:w="0" w:type="auto"/>
        <w:tblLook w:val="04A0" w:firstRow="1" w:lastRow="0" w:firstColumn="1" w:lastColumn="0" w:noHBand="0" w:noVBand="1"/>
      </w:tblPr>
      <w:tblGrid>
        <w:gridCol w:w="9382"/>
      </w:tblGrid>
      <w:tr w:rsidR="00514DDB" w:rsidRPr="00F57797" w14:paraId="510EEA42" w14:textId="77777777" w:rsidTr="00493BE6">
        <w:tc>
          <w:tcPr>
            <w:tcW w:w="9382" w:type="dxa"/>
            <w:tcBorders>
              <w:top w:val="nil"/>
              <w:left w:val="nil"/>
              <w:bottom w:val="nil"/>
              <w:right w:val="single" w:sz="24" w:space="0" w:color="006EC8" w:themeColor="accent1"/>
            </w:tcBorders>
            <w:shd w:val="clear" w:color="auto" w:fill="C1E3FF" w:themeFill="accent1" w:themeFillTint="33"/>
          </w:tcPr>
          <w:p w14:paraId="3E58C300" w14:textId="3C00D681" w:rsidR="00514DDB" w:rsidRDefault="00514DDB" w:rsidP="00493BE6">
            <w:pPr>
              <w:rPr>
                <w:b/>
                <w:bCs/>
              </w:rPr>
            </w:pPr>
            <w:r w:rsidRPr="0033141A">
              <w:rPr>
                <w:b/>
                <w:bCs/>
              </w:rPr>
              <w:t xml:space="preserve">Recommendation </w:t>
            </w:r>
            <w:r w:rsidR="00C75931">
              <w:rPr>
                <w:b/>
                <w:bCs/>
              </w:rPr>
              <w:t>4</w:t>
            </w:r>
          </w:p>
          <w:p w14:paraId="225EBCC2" w14:textId="77777777" w:rsidR="00C75931" w:rsidRDefault="00C75931" w:rsidP="00493BE6">
            <w:r w:rsidRPr="00C75931">
              <w:t xml:space="preserve">The Committee recommends that the Australian Government implement the following measures to enhance its role in stewarding the employment service system and increase the direct delivery of services by government: </w:t>
            </w:r>
          </w:p>
          <w:p w14:paraId="0E9B4572" w14:textId="77777777" w:rsidR="00C75931" w:rsidRDefault="00C75931" w:rsidP="00C75931">
            <w:pPr>
              <w:pStyle w:val="Bullet1"/>
            </w:pPr>
            <w:r w:rsidRPr="00C75931">
              <w:t xml:space="preserve">Establish Employment Services Australia (ESA) as a new entity within the Department of Employment and Workplace Relations to undertake specified activities including core enabling functions in regions, be a large hybrid provider for those closest to the labour market, and some case management activities as outlined in this report. </w:t>
            </w:r>
          </w:p>
          <w:p w14:paraId="6E3DB9D4" w14:textId="32335D9E" w:rsidR="00B04F0D" w:rsidRPr="00B04F0D" w:rsidRDefault="00C75931" w:rsidP="008F01A8">
            <w:pPr>
              <w:pStyle w:val="Bullet1"/>
            </w:pPr>
            <w:r w:rsidRPr="00C75931">
              <w:t>Establish a network of regional hubs and service gateways delivered by ESA</w:t>
            </w:r>
            <w:r w:rsidR="00B358ED">
              <w:t>.</w:t>
            </w:r>
            <w:r w:rsidR="00B358ED" w:rsidRPr="00B358ED">
              <w:t xml:space="preserve"> The regional hubs should be co-located where possible with existing services and include the following core-enabling functions:</w:t>
            </w:r>
            <w:r w:rsidR="00B358ED">
              <w:t xml:space="preserve"> </w:t>
            </w:r>
            <w:r>
              <w:t>…</w:t>
            </w:r>
          </w:p>
        </w:tc>
      </w:tr>
    </w:tbl>
    <w:p w14:paraId="43690229" w14:textId="579F789C" w:rsidR="00262666" w:rsidRDefault="008F01A8" w:rsidP="00C8533E">
      <w:r w:rsidRPr="008F01A8">
        <w:rPr>
          <w:i/>
          <w:iCs/>
          <w:color w:val="006EC8" w:themeColor="accent1"/>
        </w:rPr>
        <w:t>Roles of ESA:</w:t>
      </w:r>
      <w:r>
        <w:rPr>
          <w:i/>
          <w:iCs/>
          <w:color w:val="006EC8" w:themeColor="accent1"/>
        </w:rPr>
        <w:t xml:space="preserve"> </w:t>
      </w:r>
      <w:r w:rsidR="004668D2" w:rsidRPr="004668D2">
        <w:t>ESA</w:t>
      </w:r>
      <w:r w:rsidR="004668D2">
        <w:t xml:space="preserve"> will </w:t>
      </w:r>
      <w:r w:rsidR="008E50D9">
        <w:t>establish</w:t>
      </w:r>
      <w:r w:rsidR="004668D2">
        <w:t xml:space="preserve"> and oversee a network of regional hubs </w:t>
      </w:r>
      <w:r w:rsidR="00771DFA">
        <w:t xml:space="preserve">responsible for </w:t>
      </w:r>
      <w:r w:rsidR="00262666" w:rsidRPr="00262666">
        <w:t xml:space="preserve">local system coordination and mapping </w:t>
      </w:r>
      <w:r w:rsidR="00AB5FFA">
        <w:t>for jobseekers</w:t>
      </w:r>
      <w:r w:rsidR="00262666" w:rsidRPr="00262666">
        <w:t xml:space="preserve"> and service partners; </w:t>
      </w:r>
      <w:r w:rsidR="00AB5FFA">
        <w:t>jobseeker</w:t>
      </w:r>
      <w:r w:rsidR="00262666" w:rsidRPr="00262666">
        <w:t xml:space="preserve"> assessment and referrals; industry and employer engagement; administration of support for social enterprises and local projects; and delivery of industry transition and place-based projects for Commonwealth and State and Territory Governments.</w:t>
      </w:r>
      <w:r w:rsidR="00CD49F6">
        <w:t xml:space="preserve"> The associated costs are </w:t>
      </w:r>
      <w:r w:rsidR="00D63021">
        <w:t xml:space="preserve">modelled in Section </w:t>
      </w:r>
      <w:r w:rsidR="00D63021">
        <w:fldChar w:fldCharType="begin"/>
      </w:r>
      <w:r w:rsidR="00D63021">
        <w:instrText xml:space="preserve"> REF _Ref219408846 \w \h </w:instrText>
      </w:r>
      <w:r w:rsidR="00C8533E">
        <w:instrText xml:space="preserve"> \* MERGEFORMAT </w:instrText>
      </w:r>
      <w:r w:rsidR="00D63021">
        <w:fldChar w:fldCharType="separate"/>
      </w:r>
      <w:r w:rsidR="001703C6">
        <w:t>4.4</w:t>
      </w:r>
      <w:r w:rsidR="00D63021">
        <w:fldChar w:fldCharType="end"/>
      </w:r>
      <w:r w:rsidR="00D63021">
        <w:t>.</w:t>
      </w:r>
    </w:p>
    <w:tbl>
      <w:tblPr>
        <w:tblStyle w:val="TableGrid"/>
        <w:tblW w:w="0" w:type="auto"/>
        <w:tblLook w:val="04A0" w:firstRow="1" w:lastRow="0" w:firstColumn="1" w:lastColumn="0" w:noHBand="0" w:noVBand="1"/>
      </w:tblPr>
      <w:tblGrid>
        <w:gridCol w:w="9382"/>
      </w:tblGrid>
      <w:tr w:rsidR="00262666" w:rsidRPr="00F57797" w14:paraId="52F1CB22" w14:textId="77777777" w:rsidTr="00493BE6">
        <w:tc>
          <w:tcPr>
            <w:tcW w:w="9382" w:type="dxa"/>
            <w:tcBorders>
              <w:top w:val="nil"/>
              <w:left w:val="nil"/>
              <w:bottom w:val="nil"/>
              <w:right w:val="single" w:sz="24" w:space="0" w:color="006EC8" w:themeColor="accent1"/>
            </w:tcBorders>
            <w:shd w:val="clear" w:color="auto" w:fill="C1E3FF" w:themeFill="accent1" w:themeFillTint="33"/>
          </w:tcPr>
          <w:p w14:paraId="6FE1BFB4" w14:textId="327539EC" w:rsidR="00262666" w:rsidRDefault="00262666" w:rsidP="00493BE6">
            <w:pPr>
              <w:rPr>
                <w:b/>
                <w:bCs/>
              </w:rPr>
            </w:pPr>
            <w:r w:rsidRPr="0033141A">
              <w:rPr>
                <w:b/>
                <w:bCs/>
              </w:rPr>
              <w:t xml:space="preserve">Recommendation </w:t>
            </w:r>
            <w:r w:rsidR="00CD49F6">
              <w:rPr>
                <w:b/>
                <w:bCs/>
              </w:rPr>
              <w:t>8</w:t>
            </w:r>
          </w:p>
          <w:p w14:paraId="1791F12C" w14:textId="77777777" w:rsidR="00CD49F6" w:rsidRDefault="00CD49F6" w:rsidP="00CD49F6">
            <w:r w:rsidRPr="00CD49F6">
              <w:t xml:space="preserve">The Committee recommends that the core service model for the new Commonwealth Employment Services System provide far more tailored and flexible support, with tailored Participation and Jobs Plans that recognise more diverse pathways to employment. The model should include the following key elements: </w:t>
            </w:r>
          </w:p>
          <w:p w14:paraId="4D229183" w14:textId="77777777" w:rsidR="00262666" w:rsidRDefault="00CD49F6" w:rsidP="00CD49F6">
            <w:pPr>
              <w:pStyle w:val="Bullet1"/>
            </w:pPr>
            <w:r w:rsidRPr="00CD49F6">
              <w:t xml:space="preserve">A digital-hybrid employment service delivered by Employment Service Australia for those jobseekers identified as being able to effectively </w:t>
            </w:r>
            <w:proofErr w:type="spellStart"/>
            <w:r w:rsidRPr="00CD49F6">
              <w:t>self manage</w:t>
            </w:r>
            <w:proofErr w:type="spellEnd"/>
            <w:r w:rsidRPr="00CD49F6">
              <w:t xml:space="preserve"> online.</w:t>
            </w:r>
          </w:p>
          <w:p w14:paraId="04E1511F" w14:textId="4A9203EC" w:rsidR="00CD49F6" w:rsidRPr="00CD49F6" w:rsidRDefault="00CD49F6" w:rsidP="00CD49F6">
            <w:r>
              <w:t>…</w:t>
            </w:r>
          </w:p>
        </w:tc>
      </w:tr>
    </w:tbl>
    <w:p w14:paraId="5FB0FC9F" w14:textId="684B1668" w:rsidR="00262666" w:rsidRDefault="00CD49F6" w:rsidP="00C8533E">
      <w:r w:rsidRPr="008F01A8">
        <w:rPr>
          <w:i/>
          <w:iCs/>
          <w:color w:val="006EC8" w:themeColor="accent1"/>
        </w:rPr>
        <w:t>Roles of ESA:</w:t>
      </w:r>
      <w:r w:rsidR="006A7CCB">
        <w:rPr>
          <w:i/>
          <w:iCs/>
          <w:color w:val="006EC8" w:themeColor="accent1"/>
        </w:rPr>
        <w:t xml:space="preserve"> </w:t>
      </w:r>
      <w:r w:rsidR="002E4AF6">
        <w:t xml:space="preserve">ESA is </w:t>
      </w:r>
      <w:r w:rsidR="00A5232F">
        <w:t>proposed</w:t>
      </w:r>
      <w:r w:rsidR="002E4AF6">
        <w:t xml:space="preserve"> to </w:t>
      </w:r>
      <w:r w:rsidR="00EC1887">
        <w:t xml:space="preserve">deliver </w:t>
      </w:r>
      <w:r w:rsidR="006A7CCB">
        <w:t xml:space="preserve">a digital-hybrid service </w:t>
      </w:r>
      <w:r w:rsidR="00A5232F">
        <w:t>co</w:t>
      </w:r>
      <w:r w:rsidR="0035481E">
        <w:t>mbining</w:t>
      </w:r>
      <w:r w:rsidR="006A7CCB">
        <w:t xml:space="preserve"> </w:t>
      </w:r>
      <w:r w:rsidR="00DD6CF1">
        <w:t xml:space="preserve">online </w:t>
      </w:r>
      <w:r w:rsidR="002E4AF6">
        <w:t xml:space="preserve">self-management with </w:t>
      </w:r>
      <w:r w:rsidR="00DD6CF1">
        <w:t>additional</w:t>
      </w:r>
      <w:r w:rsidR="00A10A55">
        <w:t xml:space="preserve"> supports, through an enhanced digital platform, for Australians who need less help to get a job. </w:t>
      </w:r>
      <w:r w:rsidR="00EC1887">
        <w:t xml:space="preserve">This hybrid service expected to absorb the Digital Services Contract Centre’s </w:t>
      </w:r>
      <w:r w:rsidR="001B2007">
        <w:t xml:space="preserve">function. </w:t>
      </w:r>
      <w:r w:rsidR="00BA63BD">
        <w:t xml:space="preserve">The costs associated with an enhanced digital platform is modelled in Section </w:t>
      </w:r>
      <w:r w:rsidR="00BA63BD">
        <w:fldChar w:fldCharType="begin"/>
      </w:r>
      <w:r w:rsidR="00BA63BD">
        <w:instrText xml:space="preserve"> REF _Ref219191881 \w \h </w:instrText>
      </w:r>
      <w:r w:rsidR="00C8533E">
        <w:instrText xml:space="preserve"> \* MERGEFORMAT </w:instrText>
      </w:r>
      <w:r w:rsidR="00BA63BD">
        <w:fldChar w:fldCharType="separate"/>
      </w:r>
      <w:r w:rsidR="001703C6">
        <w:t>4.3</w:t>
      </w:r>
      <w:r w:rsidR="00BA63BD">
        <w:fldChar w:fldCharType="end"/>
      </w:r>
      <w:r w:rsidR="00BA63BD">
        <w:t>.</w:t>
      </w:r>
    </w:p>
    <w:tbl>
      <w:tblPr>
        <w:tblStyle w:val="TableGrid"/>
        <w:tblW w:w="0" w:type="auto"/>
        <w:tblLook w:val="04A0" w:firstRow="1" w:lastRow="0" w:firstColumn="1" w:lastColumn="0" w:noHBand="0" w:noVBand="1"/>
      </w:tblPr>
      <w:tblGrid>
        <w:gridCol w:w="9382"/>
      </w:tblGrid>
      <w:tr w:rsidR="007D5047" w:rsidRPr="00F57797" w14:paraId="20AB649D" w14:textId="77777777">
        <w:tc>
          <w:tcPr>
            <w:tcW w:w="9382" w:type="dxa"/>
            <w:tcBorders>
              <w:top w:val="nil"/>
              <w:left w:val="nil"/>
              <w:bottom w:val="nil"/>
              <w:right w:val="single" w:sz="24" w:space="0" w:color="006EC8" w:themeColor="accent1"/>
            </w:tcBorders>
            <w:shd w:val="clear" w:color="auto" w:fill="C1E3FF" w:themeFill="accent1" w:themeFillTint="33"/>
          </w:tcPr>
          <w:p w14:paraId="659F005E" w14:textId="1559B871" w:rsidR="007D5047" w:rsidRDefault="007D5047">
            <w:pPr>
              <w:rPr>
                <w:b/>
                <w:bCs/>
              </w:rPr>
            </w:pPr>
            <w:r w:rsidRPr="0033141A">
              <w:rPr>
                <w:b/>
                <w:bCs/>
              </w:rPr>
              <w:t xml:space="preserve">Recommendation </w:t>
            </w:r>
            <w:r w:rsidR="00BB414B">
              <w:rPr>
                <w:b/>
                <w:bCs/>
              </w:rPr>
              <w:t>29</w:t>
            </w:r>
          </w:p>
          <w:p w14:paraId="7A9E7A92" w14:textId="77777777" w:rsidR="007D5047" w:rsidRDefault="00BB414B">
            <w:r w:rsidRPr="00BB414B">
              <w:t>The Committee recommends that the Australian Government co-design a new jobseeker assessment service, including the following key elements:</w:t>
            </w:r>
          </w:p>
          <w:p w14:paraId="34B3629C" w14:textId="77777777" w:rsidR="00BC4A45" w:rsidRDefault="00C75BAE" w:rsidP="00BC4A45">
            <w:pPr>
              <w:pStyle w:val="Bullet1"/>
            </w:pPr>
            <w:r w:rsidRPr="00C75BAE">
              <w:lastRenderedPageBreak/>
              <w:t xml:space="preserve">The Job Seeker Snapshot (JSS) is retained, subject to amendments to ensure it accurately identifies jobseekers who are best suited to online hybrid services. The amendments should be trialled ahead of national rollout and should be subject to robust monitoring and evaluation. </w:t>
            </w:r>
          </w:p>
          <w:p w14:paraId="3D53C710" w14:textId="77777777" w:rsidR="00BC4A45" w:rsidRDefault="00C75BAE" w:rsidP="00BC4A45">
            <w:pPr>
              <w:pStyle w:val="Bullet1"/>
            </w:pPr>
            <w:r w:rsidRPr="00C75BAE">
              <w:t xml:space="preserve">All jobseekers, except those determined via the JSS to be suited to online services, are rapidly referred to Employment Services Australia for comprehensive assessment of the jobseekers’ aspirations and barriers. </w:t>
            </w:r>
          </w:p>
          <w:p w14:paraId="117E121E" w14:textId="77777777" w:rsidR="00BC4A45" w:rsidRDefault="00C75BAE" w:rsidP="00BC4A45">
            <w:pPr>
              <w:pStyle w:val="Bullet1"/>
            </w:pPr>
            <w:r w:rsidRPr="00C75BAE">
              <w:t xml:space="preserve">Following assessment, Employment Services Australia (via Regional Hubs): </w:t>
            </w:r>
          </w:p>
          <w:p w14:paraId="530F907F" w14:textId="66041C73" w:rsidR="00BC4A45" w:rsidRDefault="00DB5869" w:rsidP="00BC4A45">
            <w:pPr>
              <w:pStyle w:val="Bullet2"/>
            </w:pPr>
            <w:r>
              <w:t>P</w:t>
            </w:r>
            <w:r w:rsidR="00C75BAE" w:rsidRPr="00C75BAE">
              <w:t>rovides details of the services and providers in the area</w:t>
            </w:r>
          </w:p>
          <w:p w14:paraId="6BA19688" w14:textId="731BB04D" w:rsidR="00BC4A45" w:rsidRDefault="00DB5869" w:rsidP="00BC4A45">
            <w:pPr>
              <w:pStyle w:val="Bullet2"/>
            </w:pPr>
            <w:r>
              <w:t>R</w:t>
            </w:r>
            <w:r w:rsidR="00C75BAE" w:rsidRPr="00C75BAE">
              <w:t>ecommends service(s) that would be most beneficial for the jobseeker</w:t>
            </w:r>
          </w:p>
          <w:p w14:paraId="071B5B2A" w14:textId="49C41EBB" w:rsidR="00BC4A45" w:rsidRDefault="00DB5869" w:rsidP="00BC4A45">
            <w:pPr>
              <w:pStyle w:val="Bullet2"/>
            </w:pPr>
            <w:r>
              <w:t>I</w:t>
            </w:r>
            <w:r w:rsidR="00C75BAE" w:rsidRPr="00C75BAE">
              <w:t xml:space="preserve">dentifies people who have little to no short-term prospects of securing employment, who have other barriers that should be addressed before referral to a provider or who would be better supported by a </w:t>
            </w:r>
            <w:proofErr w:type="spellStart"/>
            <w:r w:rsidR="00C75BAE" w:rsidRPr="00C75BAE">
              <w:t>non provider</w:t>
            </w:r>
            <w:proofErr w:type="spellEnd"/>
            <w:r w:rsidR="00C75BAE" w:rsidRPr="00C75BAE">
              <w:t xml:space="preserve"> service, and prepares a Participation and Jobs Plan for those clients that underpins their mutual obligations</w:t>
            </w:r>
          </w:p>
          <w:p w14:paraId="40CC01A8" w14:textId="486E5019" w:rsidR="00BC4A45" w:rsidRDefault="00DB5869" w:rsidP="00BC4A45">
            <w:pPr>
              <w:pStyle w:val="Bullet2"/>
            </w:pPr>
            <w:r>
              <w:t>I</w:t>
            </w:r>
            <w:r w:rsidR="00C75BAE" w:rsidRPr="00C75BAE">
              <w:t xml:space="preserve">dentifies people who should be referred to a provider for case management and support with job search, providing the jobseeker up to a week to select their provider and supports a handover. </w:t>
            </w:r>
          </w:p>
          <w:p w14:paraId="0537975D" w14:textId="77777777" w:rsidR="00BC4A45" w:rsidRDefault="00C75BAE" w:rsidP="00BC4A45">
            <w:pPr>
              <w:pStyle w:val="Bullet1"/>
            </w:pPr>
            <w:r w:rsidRPr="00C75BAE">
              <w:t xml:space="preserve">A client who shows commitment and meaningfully engages with Employment Services Australia during the assessment process fully meets their mutual accountability requirements for that period. </w:t>
            </w:r>
          </w:p>
          <w:p w14:paraId="7296DD0E" w14:textId="6FB4F30D" w:rsidR="00BB414B" w:rsidRPr="00CD49F6" w:rsidRDefault="00C75BAE" w:rsidP="00BC4A45">
            <w:pPr>
              <w:pStyle w:val="Bullet1"/>
            </w:pPr>
            <w:r w:rsidRPr="00C75BAE">
              <w:t>Performance measures for Employment Services Australia focus on the appropriateness of services to which jobseekers are allocated.</w:t>
            </w:r>
          </w:p>
        </w:tc>
      </w:tr>
    </w:tbl>
    <w:p w14:paraId="78950F0E" w14:textId="6D5B7BCA" w:rsidR="007D5047" w:rsidRPr="002445DE" w:rsidRDefault="00157418" w:rsidP="00262666">
      <w:pPr>
        <w:rPr>
          <w:color w:val="231F20" w:themeColor="text1"/>
          <w:sz w:val="22"/>
        </w:rPr>
      </w:pPr>
      <w:r w:rsidRPr="008F01A8">
        <w:rPr>
          <w:i/>
          <w:iCs/>
          <w:color w:val="006EC8" w:themeColor="accent1"/>
          <w:sz w:val="22"/>
        </w:rPr>
        <w:lastRenderedPageBreak/>
        <w:t>Roles of ESA:</w:t>
      </w:r>
      <w:r w:rsidR="002445DE">
        <w:rPr>
          <w:i/>
          <w:iCs/>
          <w:color w:val="006EC8" w:themeColor="accent1"/>
          <w:sz w:val="22"/>
        </w:rPr>
        <w:t xml:space="preserve"> </w:t>
      </w:r>
      <w:r w:rsidR="00A67029">
        <w:rPr>
          <w:sz w:val="22"/>
        </w:rPr>
        <w:t xml:space="preserve">Under the reformed system, ESA </w:t>
      </w:r>
      <w:r w:rsidR="005B7206">
        <w:rPr>
          <w:sz w:val="22"/>
        </w:rPr>
        <w:t>will be</w:t>
      </w:r>
      <w:r w:rsidR="00A67029">
        <w:rPr>
          <w:sz w:val="22"/>
        </w:rPr>
        <w:t xml:space="preserve"> the </w:t>
      </w:r>
      <w:r w:rsidR="004352C3">
        <w:rPr>
          <w:rFonts w:ascii="Blanco" w:eastAsia="Blanco" w:hAnsi="Blanco" w:cs="Blanco"/>
          <w:color w:val="231F20" w:themeColor="text1"/>
          <w:sz w:val="22"/>
        </w:rPr>
        <w:t xml:space="preserve">primary authority </w:t>
      </w:r>
      <w:r w:rsidR="005B7206">
        <w:rPr>
          <w:rFonts w:ascii="Blanco" w:eastAsia="Blanco" w:hAnsi="Blanco" w:cs="Blanco"/>
          <w:color w:val="231F20" w:themeColor="text1"/>
          <w:sz w:val="22"/>
        </w:rPr>
        <w:t>responsible</w:t>
      </w:r>
      <w:r w:rsidR="004352C3">
        <w:rPr>
          <w:rFonts w:ascii="Blanco" w:eastAsia="Blanco" w:hAnsi="Blanco" w:cs="Blanco"/>
          <w:color w:val="231F20" w:themeColor="text1"/>
          <w:sz w:val="22"/>
        </w:rPr>
        <w:t xml:space="preserve"> for comprehensive assessment </w:t>
      </w:r>
      <w:r w:rsidR="00157564">
        <w:rPr>
          <w:rFonts w:ascii="Blanco" w:eastAsia="Blanco" w:hAnsi="Blanco" w:cs="Blanco"/>
          <w:color w:val="231F20" w:themeColor="text1"/>
          <w:sz w:val="22"/>
        </w:rPr>
        <w:t>of job</w:t>
      </w:r>
      <w:r w:rsidR="00C30F39">
        <w:rPr>
          <w:rFonts w:ascii="Blanco" w:eastAsia="Blanco" w:hAnsi="Blanco" w:cs="Blanco"/>
          <w:color w:val="231F20" w:themeColor="text1"/>
          <w:sz w:val="22"/>
        </w:rPr>
        <w:t>seekers</w:t>
      </w:r>
      <w:r w:rsidR="00CD7A56">
        <w:rPr>
          <w:rFonts w:ascii="Blanco" w:eastAsia="Blanco" w:hAnsi="Blanco" w:cs="Blanco"/>
          <w:color w:val="231F20" w:themeColor="text1"/>
          <w:sz w:val="22"/>
        </w:rPr>
        <w:t>’ aspiration and barriers.</w:t>
      </w:r>
      <w:r w:rsidR="0084311D">
        <w:rPr>
          <w:rFonts w:ascii="Blanco" w:eastAsia="Blanco" w:hAnsi="Blanco" w:cs="Blanco"/>
          <w:color w:val="231F20" w:themeColor="text1"/>
          <w:sz w:val="22"/>
        </w:rPr>
        <w:t xml:space="preserve"> </w:t>
      </w:r>
      <w:r w:rsidR="00E47FB2">
        <w:rPr>
          <w:rFonts w:ascii="Blanco" w:eastAsia="Blanco" w:hAnsi="Blanco" w:cs="Blanco"/>
          <w:color w:val="231F20" w:themeColor="text1"/>
          <w:sz w:val="22"/>
        </w:rPr>
        <w:t>Following this,</w:t>
      </w:r>
      <w:r w:rsidR="00A67029">
        <w:rPr>
          <w:rFonts w:ascii="Blanco" w:eastAsia="Blanco" w:hAnsi="Blanco" w:cs="Blanco"/>
          <w:color w:val="231F20" w:themeColor="text1"/>
          <w:sz w:val="22"/>
        </w:rPr>
        <w:t xml:space="preserve"> </w:t>
      </w:r>
      <w:r w:rsidR="002C14F6">
        <w:rPr>
          <w:rFonts w:ascii="Blanco" w:eastAsia="Blanco" w:hAnsi="Blanco" w:cs="Blanco"/>
          <w:color w:val="231F20" w:themeColor="text1"/>
          <w:sz w:val="22"/>
        </w:rPr>
        <w:t xml:space="preserve">ESA </w:t>
      </w:r>
      <w:r w:rsidR="003D3B6A">
        <w:rPr>
          <w:rFonts w:ascii="Blanco" w:eastAsia="Blanco" w:hAnsi="Blanco" w:cs="Blanco"/>
          <w:color w:val="231F20" w:themeColor="text1"/>
          <w:sz w:val="22"/>
        </w:rPr>
        <w:t xml:space="preserve">will </w:t>
      </w:r>
      <w:r w:rsidR="002C14F6">
        <w:rPr>
          <w:rFonts w:ascii="Blanco" w:eastAsia="Blanco" w:hAnsi="Blanco" w:cs="Blanco"/>
          <w:color w:val="231F20" w:themeColor="text1"/>
          <w:sz w:val="22"/>
        </w:rPr>
        <w:t xml:space="preserve">recommend </w:t>
      </w:r>
      <w:r w:rsidR="00BB2D1B">
        <w:rPr>
          <w:rFonts w:ascii="Blanco" w:eastAsia="Blanco" w:hAnsi="Blanco" w:cs="Blanco"/>
          <w:color w:val="231F20" w:themeColor="text1"/>
          <w:sz w:val="22"/>
        </w:rPr>
        <w:t>appropriate</w:t>
      </w:r>
      <w:r w:rsidR="002C14F6">
        <w:rPr>
          <w:rFonts w:ascii="Blanco" w:eastAsia="Blanco" w:hAnsi="Blanco" w:cs="Blanco"/>
          <w:color w:val="231F20" w:themeColor="text1"/>
          <w:sz w:val="22"/>
        </w:rPr>
        <w:t xml:space="preserve"> services</w:t>
      </w:r>
      <w:r w:rsidR="00BB2D1B">
        <w:rPr>
          <w:rFonts w:ascii="Blanco" w:eastAsia="Blanco" w:hAnsi="Blanco" w:cs="Blanco"/>
          <w:color w:val="231F20" w:themeColor="text1"/>
          <w:sz w:val="22"/>
        </w:rPr>
        <w:t xml:space="preserve"> and </w:t>
      </w:r>
      <w:r w:rsidR="002C14F6">
        <w:rPr>
          <w:rFonts w:ascii="Blanco" w:eastAsia="Blanco" w:hAnsi="Blanco" w:cs="Blanco"/>
          <w:color w:val="231F20" w:themeColor="text1"/>
          <w:sz w:val="22"/>
        </w:rPr>
        <w:t>prepar</w:t>
      </w:r>
      <w:r w:rsidR="00BB2D1B">
        <w:rPr>
          <w:rFonts w:ascii="Blanco" w:eastAsia="Blanco" w:hAnsi="Blanco" w:cs="Blanco"/>
          <w:color w:val="231F20" w:themeColor="text1"/>
          <w:sz w:val="22"/>
        </w:rPr>
        <w:t>e</w:t>
      </w:r>
      <w:r w:rsidR="002C14F6">
        <w:rPr>
          <w:rFonts w:ascii="Blanco" w:eastAsia="Blanco" w:hAnsi="Blanco" w:cs="Blanco"/>
          <w:color w:val="231F20" w:themeColor="text1"/>
          <w:sz w:val="22"/>
        </w:rPr>
        <w:t xml:space="preserve"> Participation and Job Plans for those </w:t>
      </w:r>
      <w:r w:rsidR="003F5A87">
        <w:rPr>
          <w:rFonts w:ascii="Blanco" w:eastAsia="Blanco" w:hAnsi="Blanco" w:cs="Blanco"/>
          <w:color w:val="231F20" w:themeColor="text1"/>
          <w:sz w:val="22"/>
        </w:rPr>
        <w:t xml:space="preserve">not </w:t>
      </w:r>
      <w:r w:rsidR="00B67E92">
        <w:rPr>
          <w:rFonts w:ascii="Blanco" w:eastAsia="Blanco" w:hAnsi="Blanco" w:cs="Blanco"/>
          <w:color w:val="231F20" w:themeColor="text1"/>
          <w:sz w:val="22"/>
        </w:rPr>
        <w:t>suited</w:t>
      </w:r>
      <w:r w:rsidR="003F5A87">
        <w:rPr>
          <w:rFonts w:ascii="Blanco" w:eastAsia="Blanco" w:hAnsi="Blanco" w:cs="Blanco"/>
          <w:color w:val="231F20" w:themeColor="text1"/>
          <w:sz w:val="22"/>
        </w:rPr>
        <w:t xml:space="preserve"> for immediate provider referra</w:t>
      </w:r>
      <w:r w:rsidR="00B67E92">
        <w:rPr>
          <w:rFonts w:ascii="Blanco" w:eastAsia="Blanco" w:hAnsi="Blanco" w:cs="Blanco"/>
          <w:color w:val="231F20" w:themeColor="text1"/>
          <w:sz w:val="22"/>
        </w:rPr>
        <w:t>l</w:t>
      </w:r>
      <w:r w:rsidR="00BB2D1B">
        <w:rPr>
          <w:rFonts w:ascii="Blanco" w:eastAsia="Blanco" w:hAnsi="Blanco" w:cs="Blanco"/>
          <w:color w:val="231F20" w:themeColor="text1"/>
          <w:sz w:val="22"/>
        </w:rPr>
        <w:t>s</w:t>
      </w:r>
      <w:r w:rsidR="00B67E92">
        <w:rPr>
          <w:rFonts w:ascii="Blanco" w:eastAsia="Blanco" w:hAnsi="Blanco" w:cs="Blanco"/>
          <w:color w:val="231F20" w:themeColor="text1"/>
          <w:sz w:val="22"/>
        </w:rPr>
        <w:t>.</w:t>
      </w:r>
    </w:p>
    <w:tbl>
      <w:tblPr>
        <w:tblStyle w:val="TableGrid"/>
        <w:tblW w:w="0" w:type="auto"/>
        <w:tblLook w:val="04A0" w:firstRow="1" w:lastRow="0" w:firstColumn="1" w:lastColumn="0" w:noHBand="0" w:noVBand="1"/>
      </w:tblPr>
      <w:tblGrid>
        <w:gridCol w:w="9382"/>
      </w:tblGrid>
      <w:tr w:rsidR="00B67E92" w:rsidRPr="00F57797" w14:paraId="4A43E47A" w14:textId="77777777">
        <w:tc>
          <w:tcPr>
            <w:tcW w:w="9382" w:type="dxa"/>
            <w:tcBorders>
              <w:top w:val="nil"/>
              <w:left w:val="nil"/>
              <w:bottom w:val="nil"/>
              <w:right w:val="single" w:sz="24" w:space="0" w:color="006EC8" w:themeColor="accent1"/>
            </w:tcBorders>
            <w:shd w:val="clear" w:color="auto" w:fill="C1E3FF" w:themeFill="accent1" w:themeFillTint="33"/>
          </w:tcPr>
          <w:p w14:paraId="3570BAE1" w14:textId="23526DD4" w:rsidR="00B67E92" w:rsidRDefault="00B67E92">
            <w:pPr>
              <w:rPr>
                <w:b/>
                <w:bCs/>
              </w:rPr>
            </w:pPr>
            <w:bookmarkStart w:id="57" w:name="_Hlk219464220"/>
            <w:r w:rsidRPr="0033141A">
              <w:rPr>
                <w:b/>
                <w:bCs/>
              </w:rPr>
              <w:t xml:space="preserve">Recommendation </w:t>
            </w:r>
            <w:r w:rsidR="00C80E75">
              <w:rPr>
                <w:b/>
                <w:bCs/>
              </w:rPr>
              <w:t>30</w:t>
            </w:r>
          </w:p>
          <w:p w14:paraId="652C7928" w14:textId="77777777" w:rsidR="00C80E75" w:rsidRDefault="006A7EC0" w:rsidP="00C80E75">
            <w:r w:rsidRPr="006A7EC0">
              <w:t xml:space="preserve">The Committee recommends that the Australian Government develop and implement measures to: </w:t>
            </w:r>
          </w:p>
          <w:p w14:paraId="32A9033B" w14:textId="2B9634E0" w:rsidR="00C80E75" w:rsidRDefault="00AB7ACE" w:rsidP="00C80E75">
            <w:pPr>
              <w:pStyle w:val="Bullet1"/>
            </w:pPr>
            <w:r>
              <w:t>E</w:t>
            </w:r>
            <w:r w:rsidR="006A7EC0" w:rsidRPr="006A7EC0">
              <w:t xml:space="preserve">nable providers to refer jobseekers back to Employment Services Australia for re-assessment </w:t>
            </w:r>
          </w:p>
          <w:p w14:paraId="4548F2CA" w14:textId="46CAF24D" w:rsidR="00B67E92" w:rsidRDefault="00AB7ACE" w:rsidP="00C80E75">
            <w:pPr>
              <w:pStyle w:val="Bullet1"/>
            </w:pPr>
            <w:r>
              <w:t>E</w:t>
            </w:r>
            <w:r w:rsidR="006A7EC0" w:rsidRPr="006A7EC0">
              <w:t>nable jobseekers to self-initiate transfers between providers and services with minimal administrative burden, subject to the provider or service having been identified as appropriate during their assessment</w:t>
            </w:r>
          </w:p>
          <w:p w14:paraId="2CC47E12" w14:textId="40E10BD1" w:rsidR="00C80E75" w:rsidRDefault="00AB7ACE" w:rsidP="00C80E75">
            <w:pPr>
              <w:pStyle w:val="Bullet1"/>
            </w:pPr>
            <w:r>
              <w:t>A</w:t>
            </w:r>
            <w:r w:rsidR="00C80E75" w:rsidRPr="00C80E75">
              <w:t xml:space="preserve">llow jobseekers to seek re-assessment by Employment Services Australia </w:t>
            </w:r>
          </w:p>
          <w:p w14:paraId="73DB972F" w14:textId="5CA131B3" w:rsidR="00C80E75" w:rsidRPr="00C80E75" w:rsidRDefault="00AB7ACE" w:rsidP="00C80E75">
            <w:pPr>
              <w:pStyle w:val="Bullet1"/>
            </w:pPr>
            <w:r>
              <w:t>R</w:t>
            </w:r>
            <w:r w:rsidR="00C80E75" w:rsidRPr="00C80E75">
              <w:t>equire re-assessment by Employment Services Australia of jobseekers being supported by a provider who have not secured work within a defined period.</w:t>
            </w:r>
          </w:p>
        </w:tc>
      </w:tr>
    </w:tbl>
    <w:bookmarkEnd w:id="57"/>
    <w:p w14:paraId="34567F8B" w14:textId="6215F863" w:rsidR="000038C6" w:rsidRDefault="00C80E75" w:rsidP="00262666">
      <w:r w:rsidRPr="008F01A8">
        <w:rPr>
          <w:i/>
          <w:iCs/>
          <w:color w:val="006EC8" w:themeColor="accent1"/>
          <w:sz w:val="22"/>
        </w:rPr>
        <w:t>Roles of ESA:</w:t>
      </w:r>
      <w:r>
        <w:rPr>
          <w:i/>
          <w:iCs/>
          <w:color w:val="006EC8" w:themeColor="accent1"/>
          <w:sz w:val="22"/>
        </w:rPr>
        <w:t xml:space="preserve"> </w:t>
      </w:r>
      <w:r w:rsidRPr="00A17BA5">
        <w:t>E</w:t>
      </w:r>
      <w:r w:rsidR="00D07090">
        <w:t>SA will e</w:t>
      </w:r>
      <w:r w:rsidRPr="00A17BA5">
        <w:t>nable partners</w:t>
      </w:r>
      <w:r w:rsidR="00B2695A">
        <w:t xml:space="preserve"> and </w:t>
      </w:r>
      <w:r w:rsidRPr="00A17BA5">
        <w:t xml:space="preserve">jobseekers to </w:t>
      </w:r>
      <w:r w:rsidR="000038C6">
        <w:t xml:space="preserve">initiate reassessment, support self-initiated transfers, and </w:t>
      </w:r>
      <w:r w:rsidR="007465A0">
        <w:t xml:space="preserve">request </w:t>
      </w:r>
      <w:r w:rsidR="00DE4346">
        <w:t>mandatory reassessments after a defined period with a provider.</w:t>
      </w:r>
    </w:p>
    <w:tbl>
      <w:tblPr>
        <w:tblStyle w:val="TableGrid"/>
        <w:tblW w:w="0" w:type="auto"/>
        <w:tblLook w:val="04A0" w:firstRow="1" w:lastRow="0" w:firstColumn="1" w:lastColumn="0" w:noHBand="0" w:noVBand="1"/>
      </w:tblPr>
      <w:tblGrid>
        <w:gridCol w:w="9382"/>
      </w:tblGrid>
      <w:tr w:rsidR="00995EC6" w:rsidRPr="00F57797" w14:paraId="18E9BF6D" w14:textId="77777777">
        <w:tc>
          <w:tcPr>
            <w:tcW w:w="9382" w:type="dxa"/>
            <w:tcBorders>
              <w:top w:val="nil"/>
              <w:left w:val="nil"/>
              <w:bottom w:val="nil"/>
              <w:right w:val="single" w:sz="24" w:space="0" w:color="006EC8" w:themeColor="accent1"/>
            </w:tcBorders>
            <w:shd w:val="clear" w:color="auto" w:fill="C1E3FF" w:themeFill="accent1" w:themeFillTint="33"/>
          </w:tcPr>
          <w:p w14:paraId="080AC62F" w14:textId="60B5D0B1" w:rsidR="00995EC6" w:rsidRDefault="00995EC6">
            <w:pPr>
              <w:rPr>
                <w:b/>
                <w:bCs/>
              </w:rPr>
            </w:pPr>
            <w:r w:rsidRPr="0033141A">
              <w:rPr>
                <w:b/>
                <w:bCs/>
              </w:rPr>
              <w:t xml:space="preserve">Recommendation </w:t>
            </w:r>
            <w:r>
              <w:rPr>
                <w:b/>
                <w:bCs/>
              </w:rPr>
              <w:t>3</w:t>
            </w:r>
            <w:r w:rsidR="00752B36">
              <w:rPr>
                <w:b/>
                <w:bCs/>
              </w:rPr>
              <w:t>7</w:t>
            </w:r>
          </w:p>
          <w:p w14:paraId="2FDA959C" w14:textId="77777777" w:rsidR="00C5497E" w:rsidRDefault="00565B7A" w:rsidP="00437D34">
            <w:r w:rsidRPr="00565B7A">
              <w:t xml:space="preserve">The Committee recommends that the Australian Government should properly resource the Department of Employment and Workplace Relations (DEWR) to support its transformation into a hybrid provider with a spectrum of online services and more intensive supports, with a robust evidence base established via use of data analytics and randomised control trials including proactive outreach, for example: </w:t>
            </w:r>
          </w:p>
          <w:p w14:paraId="2712E9F5" w14:textId="30A09BDF" w:rsidR="00C5497E" w:rsidRPr="00437D34" w:rsidRDefault="00AB7ACE" w:rsidP="00437D34">
            <w:pPr>
              <w:pStyle w:val="Bullet1"/>
            </w:pPr>
            <w:r w:rsidRPr="00437D34">
              <w:t>G</w:t>
            </w:r>
            <w:r w:rsidR="00565B7A" w:rsidRPr="00437D34">
              <w:t>eneral periodic welfare checks</w:t>
            </w:r>
          </w:p>
          <w:p w14:paraId="48A5840C" w14:textId="3A0818A2" w:rsidR="00C5497E" w:rsidRPr="00437D34" w:rsidRDefault="00AB7ACE" w:rsidP="00437D34">
            <w:pPr>
              <w:pStyle w:val="Bullet1"/>
            </w:pPr>
            <w:r w:rsidRPr="00437D34">
              <w:lastRenderedPageBreak/>
              <w:t>C</w:t>
            </w:r>
            <w:r w:rsidR="00565B7A" w:rsidRPr="00437D34">
              <w:t>oaching discussion of the client’s progress in terms of building capacity and moving towards employment</w:t>
            </w:r>
          </w:p>
          <w:p w14:paraId="29A778F0" w14:textId="63A5D1A5" w:rsidR="00C5497E" w:rsidRPr="00437D34" w:rsidRDefault="00AB7ACE" w:rsidP="00437D34">
            <w:pPr>
              <w:pStyle w:val="Bullet1"/>
            </w:pPr>
            <w:r w:rsidRPr="00437D34">
              <w:t>P</w:t>
            </w:r>
            <w:r w:rsidR="00565B7A" w:rsidRPr="00437D34">
              <w:t>roactive provision of information about skills development and training opportunities and other support services in a client’s local community and region (supported by Employment Services Australia’s mapping of the human services eco-system in each region)</w:t>
            </w:r>
          </w:p>
          <w:p w14:paraId="17DF75E3" w14:textId="18B7C338" w:rsidR="00C5497E" w:rsidRPr="00437D34" w:rsidRDefault="00AB7ACE" w:rsidP="00437D34">
            <w:pPr>
              <w:pStyle w:val="Bullet1"/>
            </w:pPr>
            <w:r w:rsidRPr="00437D34">
              <w:t>T</w:t>
            </w:r>
            <w:r w:rsidR="00012476" w:rsidRPr="00437D34">
              <w:t>rialling an occasional video or face-to-face engagement, given the success this has had in overseas hybrid public providers</w:t>
            </w:r>
          </w:p>
          <w:p w14:paraId="1043ED0D" w14:textId="29A4F77E" w:rsidR="00995EC6" w:rsidRPr="00012476" w:rsidRDefault="00AB7ACE" w:rsidP="00437D34">
            <w:pPr>
              <w:pStyle w:val="Bullet1"/>
            </w:pPr>
            <w:r w:rsidRPr="00437D34">
              <w:t>I</w:t>
            </w:r>
            <w:r w:rsidR="00012476" w:rsidRPr="00437D34">
              <w:t>nformation about transferring to provider-led services to people identified through engagement or data analytics as not faring well in online services or identified as being at higher risk of long-term unemployment</w:t>
            </w:r>
            <w:r w:rsidR="00D85517" w:rsidRPr="00437D34">
              <w:t>.</w:t>
            </w:r>
          </w:p>
        </w:tc>
      </w:tr>
    </w:tbl>
    <w:p w14:paraId="455B4C82" w14:textId="31EE49F7" w:rsidR="00995EC6" w:rsidRDefault="00A25F41" w:rsidP="00262666">
      <w:pPr>
        <w:rPr>
          <w:color w:val="231F20" w:themeColor="text1"/>
          <w:sz w:val="22"/>
        </w:rPr>
      </w:pPr>
      <w:r w:rsidRPr="008F01A8">
        <w:rPr>
          <w:i/>
          <w:iCs/>
          <w:color w:val="006EC8" w:themeColor="accent1"/>
          <w:sz w:val="22"/>
        </w:rPr>
        <w:lastRenderedPageBreak/>
        <w:t>Roles of ESA:</w:t>
      </w:r>
      <w:r>
        <w:rPr>
          <w:i/>
          <w:iCs/>
          <w:color w:val="006EC8" w:themeColor="accent1"/>
          <w:sz w:val="22"/>
        </w:rPr>
        <w:t xml:space="preserve"> </w:t>
      </w:r>
      <w:r w:rsidRPr="00A25F41">
        <w:rPr>
          <w:sz w:val="22"/>
        </w:rPr>
        <w:t xml:space="preserve">ESA </w:t>
      </w:r>
      <w:r w:rsidR="00F30507">
        <w:rPr>
          <w:sz w:val="22"/>
        </w:rPr>
        <w:t>will</w:t>
      </w:r>
      <w:r>
        <w:rPr>
          <w:sz w:val="22"/>
        </w:rPr>
        <w:t xml:space="preserve"> </w:t>
      </w:r>
      <w:r w:rsidRPr="00A25F41">
        <w:rPr>
          <w:sz w:val="22"/>
        </w:rPr>
        <w:t xml:space="preserve">be properly resourced to deliver </w:t>
      </w:r>
      <w:r w:rsidR="00F30507">
        <w:rPr>
          <w:sz w:val="22"/>
        </w:rPr>
        <w:t xml:space="preserve">a </w:t>
      </w:r>
      <w:r w:rsidRPr="00A25F41">
        <w:rPr>
          <w:sz w:val="22"/>
        </w:rPr>
        <w:t>hybrid service</w:t>
      </w:r>
      <w:r w:rsidR="00F30507">
        <w:rPr>
          <w:sz w:val="22"/>
        </w:rPr>
        <w:t xml:space="preserve"> model</w:t>
      </w:r>
      <w:r w:rsidRPr="00A25F41">
        <w:rPr>
          <w:sz w:val="22"/>
        </w:rPr>
        <w:t>, which includes proactive outreach, periodic welfare checks, coaching discussions, and occasional face-to-face or video engagements</w:t>
      </w:r>
      <w:r w:rsidR="00BD4EFE">
        <w:rPr>
          <w:sz w:val="22"/>
        </w:rPr>
        <w:t>.</w:t>
      </w:r>
    </w:p>
    <w:p w14:paraId="2828C83B" w14:textId="5F166D80" w:rsidR="00A17BA5" w:rsidRPr="00C8533E" w:rsidRDefault="00A17BA5" w:rsidP="00C8533E">
      <w:pPr>
        <w:rPr>
          <w:b/>
          <w:bCs/>
        </w:rPr>
      </w:pPr>
      <w:r w:rsidRPr="00C8533E">
        <w:rPr>
          <w:b/>
          <w:bCs/>
        </w:rPr>
        <w:t>Removal and shifting of duties</w:t>
      </w:r>
    </w:p>
    <w:p w14:paraId="4126B699" w14:textId="086657CD" w:rsidR="00BE085C" w:rsidRDefault="00BE085C" w:rsidP="00C8533E">
      <w:r>
        <w:t xml:space="preserve">Under the reformed system, several functions are removed from the public sector core (ESA and broadly DEWR) and reassign to other entities </w:t>
      </w:r>
      <w:r w:rsidR="00305F12">
        <w:t>to address conflicts of interest and reduce administrative burden. These considerations are important for costing purposes, as associated activities and costs should not be double counted across agencies.</w:t>
      </w:r>
    </w:p>
    <w:p w14:paraId="16F70F7E" w14:textId="01AFECFB" w:rsidR="00305F12" w:rsidRDefault="00ED6ECA" w:rsidP="00D85517">
      <w:pPr>
        <w:pStyle w:val="Numberbullet1"/>
        <w:numPr>
          <w:ilvl w:val="1"/>
          <w:numId w:val="49"/>
        </w:numPr>
      </w:pPr>
      <w:r>
        <w:t xml:space="preserve">To the Employment Services Quality Commission (ESQC): </w:t>
      </w:r>
      <w:r w:rsidR="00305F12" w:rsidRPr="00305F12">
        <w:t>An independent ESQC will be established, transferring regulatory functions</w:t>
      </w:r>
      <w:r w:rsidR="00305F12">
        <w:t xml:space="preserve">, </w:t>
      </w:r>
      <w:r w:rsidR="00305F12" w:rsidRPr="00305F12">
        <w:t xml:space="preserve">such as licensing, accreditation, </w:t>
      </w:r>
      <w:r w:rsidR="00305F12" w:rsidRPr="00F659B2">
        <w:t xml:space="preserve">and </w:t>
      </w:r>
      <w:r w:rsidR="004F6F75">
        <w:t>quality assurance</w:t>
      </w:r>
      <w:r w:rsidR="00305F12">
        <w:t xml:space="preserve"> </w:t>
      </w:r>
      <w:r w:rsidR="00305F12" w:rsidRPr="00305F12">
        <w:t xml:space="preserve">from DEWR. The costs associated with establishing and operating the ESQC are considered separately in the </w:t>
      </w:r>
      <w:r w:rsidR="00305F12">
        <w:t>next</w:t>
      </w:r>
      <w:r w:rsidR="00305F12" w:rsidRPr="00305F12">
        <w:t xml:space="preserve"> section.</w:t>
      </w:r>
    </w:p>
    <w:p w14:paraId="26F6B44D" w14:textId="556E9C13" w:rsidR="00E027C8" w:rsidRPr="00305F12" w:rsidRDefault="005D26F2" w:rsidP="003F055D">
      <w:pPr>
        <w:pStyle w:val="Numberbullet1"/>
        <w:rPr>
          <w:color w:val="FF1452" w:themeColor="accent3"/>
          <w:sz w:val="22"/>
        </w:rPr>
      </w:pPr>
      <w:r>
        <w:t xml:space="preserve">To Services Australia: Responsibility for compliance and enforcement decisions </w:t>
      </w:r>
      <w:r w:rsidR="00305F12">
        <w:t xml:space="preserve">that affect income support payments will be separated from service delivery. </w:t>
      </w:r>
      <w:r w:rsidR="00305F12" w:rsidRPr="00305F12">
        <w:t xml:space="preserve">Decisions such as payment suspensions and cancellations will be made by </w:t>
      </w:r>
      <w:r w:rsidR="00D5757C" w:rsidRPr="00D5757C">
        <w:t>human decision-makers</w:t>
      </w:r>
      <w:r w:rsidR="00D5757C">
        <w:t xml:space="preserve"> </w:t>
      </w:r>
      <w:r w:rsidR="00305F12" w:rsidRPr="00305F12">
        <w:t>within Services Australia, rather than being automatically triggered through DEWR’s IT systems.</w:t>
      </w:r>
    </w:p>
    <w:p w14:paraId="272D38BF" w14:textId="77777777" w:rsidR="00250E7C" w:rsidRDefault="00250E7C" w:rsidP="00622324">
      <w:pPr>
        <w:pStyle w:val="Heading4"/>
      </w:pPr>
      <w:r>
        <w:t>Differences from the current system</w:t>
      </w:r>
    </w:p>
    <w:p w14:paraId="0CE6CC95" w14:textId="6AD74AE7" w:rsidR="00250E7C" w:rsidRPr="00FB036B" w:rsidRDefault="00250E7C" w:rsidP="00250E7C">
      <w:pPr>
        <w:rPr>
          <w:rFonts w:eastAsiaTheme="minorEastAsia"/>
        </w:rPr>
      </w:pPr>
      <w:r w:rsidRPr="19959F44">
        <w:rPr>
          <w:rFonts w:ascii="Blanco" w:eastAsia="Blanco" w:hAnsi="Blanco" w:cs="Blanco"/>
        </w:rPr>
        <w:t xml:space="preserve">As </w:t>
      </w:r>
      <w:proofErr w:type="gramStart"/>
      <w:r w:rsidRPr="19959F44">
        <w:rPr>
          <w:rFonts w:ascii="Blanco" w:eastAsia="Blanco" w:hAnsi="Blanco" w:cs="Blanco"/>
        </w:rPr>
        <w:t>at</w:t>
      </w:r>
      <w:proofErr w:type="gramEnd"/>
      <w:r w:rsidRPr="19959F44">
        <w:rPr>
          <w:rFonts w:ascii="Blanco" w:eastAsia="Blanco" w:hAnsi="Blanco" w:cs="Blanco"/>
        </w:rPr>
        <w:t xml:space="preserve"> December 2025, DEWR operates three Divisions relating to Workforce Australia</w:t>
      </w:r>
      <w:r w:rsidRPr="19959F44">
        <w:rPr>
          <w:rStyle w:val="FootnoteReference"/>
          <w:rFonts w:ascii="Blanco" w:eastAsia="Blanco" w:hAnsi="Blanco" w:cs="Blanco"/>
        </w:rPr>
        <w:footnoteReference w:id="39"/>
      </w:r>
      <w:r w:rsidRPr="19959F44">
        <w:rPr>
          <w:rFonts w:ascii="Blanco" w:eastAsia="Blanco" w:hAnsi="Blanco" w:cs="Blanco"/>
        </w:rPr>
        <w:t>; Workforce Australia for Individuals, Workforce Australia Provider Support, and Workforce Australia for Business. In 2024-25, $419</w:t>
      </w:r>
      <w:r w:rsidR="00FD5FE2">
        <w:rPr>
          <w:rFonts w:ascii="Blanco" w:eastAsia="Blanco" w:hAnsi="Blanco" w:cs="Blanco"/>
        </w:rPr>
        <w:t>M</w:t>
      </w:r>
      <w:r w:rsidRPr="19959F44">
        <w:rPr>
          <w:rFonts w:ascii="Blanco" w:eastAsia="Blanco" w:hAnsi="Blanco" w:cs="Blanco"/>
        </w:rPr>
        <w:t xml:space="preserve"> in Departmental expenses </w:t>
      </w:r>
      <w:r w:rsidRPr="00FB036B">
        <w:rPr>
          <w:rFonts w:ascii="Blanco" w:eastAsia="Blanco" w:hAnsi="Blanco" w:cs="Blanco"/>
        </w:rPr>
        <w:t>w</w:t>
      </w:r>
      <w:r w:rsidR="7E56618C" w:rsidRPr="00FB036B">
        <w:rPr>
          <w:rFonts w:ascii="Blanco" w:eastAsia="Blanco" w:hAnsi="Blanco" w:cs="Blanco"/>
        </w:rPr>
        <w:t>as</w:t>
      </w:r>
      <w:r w:rsidRPr="19959F44">
        <w:rPr>
          <w:rFonts w:ascii="Blanco" w:eastAsia="Blanco" w:hAnsi="Blanco" w:cs="Blanco"/>
        </w:rPr>
        <w:t xml:space="preserve"> associated with DEWR’s Outcome 1 relating to Employment Services</w:t>
      </w:r>
      <w:r w:rsidRPr="19959F44">
        <w:rPr>
          <w:rStyle w:val="FootnoteReference"/>
          <w:rFonts w:ascii="Blanco" w:eastAsia="Blanco" w:hAnsi="Blanco" w:cs="Blanco"/>
        </w:rPr>
        <w:footnoteReference w:id="40"/>
      </w:r>
      <w:r w:rsidRPr="19959F44">
        <w:rPr>
          <w:rFonts w:ascii="Blanco" w:eastAsia="Blanco" w:hAnsi="Blanco" w:cs="Blanco"/>
        </w:rPr>
        <w:t>. This Outcome contains Workforce Australia, and some other smaller Programs (such as the Pacific Australia Labour Mobility Scheme, Parent Pathways pre-employment program, Reconnection, Employment and Learning Program, structural adjustment activities for people facing retrenchment by closure of large employers or regions affected by significant shifts in local industry operations). These Departmental expenses cover the cost of an average staffing level of 2,053 Australian Public Sector employees, and some corporate functions (e.g., IT, legal, communications, and overheads).</w:t>
      </w:r>
      <w:r w:rsidRPr="4E2EDF30">
        <w:rPr>
          <w:rFonts w:eastAsiaTheme="minorEastAsia"/>
        </w:rPr>
        <w:t xml:space="preserve"> Some related corporate functions that support Workforce Australia are not captured within this funding envelope, such as approximately $29.5</w:t>
      </w:r>
      <w:r w:rsidR="00FD5FE2">
        <w:rPr>
          <w:rFonts w:eastAsiaTheme="minorEastAsia"/>
        </w:rPr>
        <w:t>M</w:t>
      </w:r>
      <w:r w:rsidRPr="4E2EDF30">
        <w:rPr>
          <w:rFonts w:eastAsiaTheme="minorEastAsia"/>
        </w:rPr>
        <w:t xml:space="preserve"> per annum associated with ongoing maintenance of the Workforce Australia Online system. </w:t>
      </w:r>
      <w:r w:rsidR="00DF6D40">
        <w:rPr>
          <w:rFonts w:eastAsiaTheme="minorEastAsia"/>
        </w:rPr>
        <w:t>To account for this, we have grossed up the Departmental Expenses incurred by DEWR by 24%</w:t>
      </w:r>
      <w:r w:rsidR="00DF6D40">
        <w:rPr>
          <w:rStyle w:val="FootnoteReference"/>
          <w:rFonts w:eastAsiaTheme="minorEastAsia"/>
        </w:rPr>
        <w:footnoteReference w:id="41"/>
      </w:r>
      <w:r w:rsidR="00DF6D40">
        <w:rPr>
          <w:rFonts w:eastAsiaTheme="minorEastAsia"/>
        </w:rPr>
        <w:t xml:space="preserve"> ($101.1</w:t>
      </w:r>
      <w:r w:rsidR="00FD5FE2">
        <w:rPr>
          <w:rFonts w:eastAsiaTheme="minorEastAsia"/>
        </w:rPr>
        <w:t>M</w:t>
      </w:r>
      <w:r w:rsidR="00DF6D40">
        <w:rPr>
          <w:rFonts w:eastAsiaTheme="minorEastAsia"/>
        </w:rPr>
        <w:t>) to allow for k</w:t>
      </w:r>
      <w:r w:rsidR="00DF6D40" w:rsidRPr="00DF6D40">
        <w:rPr>
          <w:rFonts w:eastAsiaTheme="minorEastAsia"/>
        </w:rPr>
        <w:t xml:space="preserve">ey corporate functions related to operation of the function (e.g. property, ICT, human resources, parliamentary support and processes, legal services, audit </w:t>
      </w:r>
      <w:r w:rsidR="00DF6D40" w:rsidRPr="00DF6D40">
        <w:rPr>
          <w:rFonts w:eastAsiaTheme="minorEastAsia"/>
        </w:rPr>
        <w:lastRenderedPageBreak/>
        <w:t>and risk management, finance, security, corporate reporting, communications, etc.).</w:t>
      </w:r>
      <w:r w:rsidR="00DF6D40">
        <w:rPr>
          <w:rFonts w:eastAsiaTheme="minorEastAsia"/>
        </w:rPr>
        <w:t xml:space="preserve"> This is detailed in Section </w:t>
      </w:r>
      <w:r w:rsidR="00DF6D40">
        <w:rPr>
          <w:rFonts w:eastAsiaTheme="minorEastAsia"/>
        </w:rPr>
        <w:fldChar w:fldCharType="begin"/>
      </w:r>
      <w:r w:rsidR="00DF6D40">
        <w:rPr>
          <w:rFonts w:eastAsiaTheme="minorEastAsia"/>
        </w:rPr>
        <w:instrText xml:space="preserve"> REF _Ref219321655 \r \h </w:instrText>
      </w:r>
      <w:r w:rsidR="00DF6D40">
        <w:rPr>
          <w:rFonts w:eastAsiaTheme="minorEastAsia"/>
        </w:rPr>
      </w:r>
      <w:r w:rsidR="00DF6D40">
        <w:rPr>
          <w:rFonts w:eastAsiaTheme="minorEastAsia"/>
        </w:rPr>
        <w:fldChar w:fldCharType="separate"/>
      </w:r>
      <w:r w:rsidR="001703C6">
        <w:rPr>
          <w:rFonts w:eastAsiaTheme="minorEastAsia"/>
        </w:rPr>
        <w:t>4.1.2</w:t>
      </w:r>
      <w:r w:rsidR="00DF6D40">
        <w:rPr>
          <w:rFonts w:eastAsiaTheme="minorEastAsia"/>
        </w:rPr>
        <w:fldChar w:fldCharType="end"/>
      </w:r>
      <w:r w:rsidR="00DF6D40">
        <w:rPr>
          <w:rFonts w:eastAsiaTheme="minorEastAsia"/>
        </w:rPr>
        <w:t>.</w:t>
      </w:r>
    </w:p>
    <w:p w14:paraId="0D4337C4" w14:textId="77777777" w:rsidR="00250E7C" w:rsidRDefault="00250E7C" w:rsidP="00250E7C">
      <w:pPr>
        <w:rPr>
          <w:rFonts w:ascii="Blanco" w:eastAsia="Blanco" w:hAnsi="Blanco" w:cs="Blanco"/>
        </w:rPr>
      </w:pPr>
      <w:r w:rsidRPr="19959F44">
        <w:rPr>
          <w:rFonts w:ascii="Blanco" w:eastAsia="Blanco" w:hAnsi="Blanco" w:cs="Blanco"/>
        </w:rPr>
        <w:t>Included is the Digital Services Contact Centre (DSCC) which provides dedicated contact centre support for Workforce Australia Online participants for</w:t>
      </w:r>
      <w:r w:rsidRPr="19959F44">
        <w:rPr>
          <w:rStyle w:val="FootnoteReference"/>
          <w:rFonts w:ascii="Blanco" w:eastAsia="Blanco" w:hAnsi="Blanco" w:cs="Blanco"/>
        </w:rPr>
        <w:footnoteReference w:id="42"/>
      </w:r>
      <w:r w:rsidRPr="19959F44">
        <w:rPr>
          <w:rFonts w:ascii="Blanco" w:eastAsia="Blanco" w:hAnsi="Blanco" w:cs="Blanco"/>
        </w:rPr>
        <w:t xml:space="preserve">: </w:t>
      </w:r>
    </w:p>
    <w:p w14:paraId="1A8CFF7A" w14:textId="77777777" w:rsidR="00250E7C" w:rsidRDefault="000315EF" w:rsidP="00B2335F">
      <w:pPr>
        <w:pStyle w:val="Numberbullet1"/>
        <w:numPr>
          <w:ilvl w:val="1"/>
          <w:numId w:val="15"/>
        </w:numPr>
      </w:pPr>
      <w:r>
        <w:t>I</w:t>
      </w:r>
      <w:r w:rsidR="00250E7C" w:rsidRPr="19959F44">
        <w:t>nformation and technical support in using the online system, such as assisting jobseekers to opt out of online services and to select a provider</w:t>
      </w:r>
    </w:p>
    <w:p w14:paraId="27F120A3" w14:textId="77777777" w:rsidR="00250E7C" w:rsidRDefault="000315EF" w:rsidP="00B2335F">
      <w:pPr>
        <w:pStyle w:val="Numberbullet1"/>
        <w:numPr>
          <w:ilvl w:val="1"/>
          <w:numId w:val="15"/>
        </w:numPr>
      </w:pPr>
      <w:r>
        <w:t>A</w:t>
      </w:r>
      <w:r w:rsidR="00250E7C" w:rsidRPr="19959F44">
        <w:t>ssistance for online participants with mutual obligation requirements</w:t>
      </w:r>
    </w:p>
    <w:p w14:paraId="4EF2EB71" w14:textId="77777777" w:rsidR="00250E7C" w:rsidRDefault="000315EF" w:rsidP="00B2335F">
      <w:pPr>
        <w:pStyle w:val="Numberbullet1"/>
        <w:numPr>
          <w:ilvl w:val="1"/>
          <w:numId w:val="15"/>
        </w:numPr>
      </w:pPr>
      <w:r>
        <w:t>A</w:t>
      </w:r>
      <w:r w:rsidR="00250E7C" w:rsidRPr="19959F44">
        <w:t>ssistance to connect to complementary programs, activities and other support</w:t>
      </w:r>
    </w:p>
    <w:p w14:paraId="7222E13D" w14:textId="77777777" w:rsidR="00250E7C" w:rsidRPr="00A459E8" w:rsidRDefault="000315EF" w:rsidP="00B2335F">
      <w:pPr>
        <w:pStyle w:val="Numberbullet1"/>
        <w:numPr>
          <w:ilvl w:val="1"/>
          <w:numId w:val="15"/>
        </w:numPr>
        <w:rPr>
          <w:szCs w:val="21"/>
        </w:rPr>
      </w:pPr>
      <w:r>
        <w:t>P</w:t>
      </w:r>
      <w:r w:rsidR="00250E7C" w:rsidRPr="19959F44">
        <w:t>rocessing Employment Fund (EF) requests for online participants</w:t>
      </w:r>
    </w:p>
    <w:p w14:paraId="14780D56" w14:textId="7728C538" w:rsidR="00250E7C" w:rsidRPr="003F055D" w:rsidRDefault="000315EF" w:rsidP="6FF2DE03">
      <w:pPr>
        <w:pStyle w:val="Numberbullet1"/>
      </w:pPr>
      <w:r>
        <w:t>E</w:t>
      </w:r>
      <w:r w:rsidR="00250E7C" w:rsidRPr="19959F44">
        <w:t>ngagement with participants to confirm continued suitability of online services</w:t>
      </w:r>
      <w:r w:rsidR="00250E7C">
        <w:t xml:space="preserve">. </w:t>
      </w:r>
    </w:p>
    <w:p w14:paraId="238C6DC0" w14:textId="71DA7319" w:rsidR="00250E7C" w:rsidRDefault="00250E7C" w:rsidP="00622324">
      <w:pPr>
        <w:pStyle w:val="Heading3"/>
      </w:pPr>
      <w:bookmarkStart w:id="58" w:name="_Toc226038405"/>
      <w:r>
        <w:t>Commissioning framework</w:t>
      </w:r>
      <w:bookmarkEnd w:id="58"/>
    </w:p>
    <w:p w14:paraId="67E2794A" w14:textId="5F057CEA" w:rsidR="0071341C" w:rsidRDefault="0071341C" w:rsidP="0071341C">
      <w:r>
        <w:t xml:space="preserve">The current commissioning model for </w:t>
      </w:r>
      <w:proofErr w:type="spellStart"/>
      <w:r>
        <w:t>WfA</w:t>
      </w:r>
      <w:proofErr w:type="spellEnd"/>
      <w:r>
        <w:t xml:space="preserve"> utilises an open tender process where organisations bit for 3-year licenses based on performance. </w:t>
      </w:r>
      <w:r w:rsidR="009A3C78">
        <w:t xml:space="preserve">This </w:t>
      </w:r>
      <w:r w:rsidR="00BE6419">
        <w:t>‘Hunger Games’ style</w:t>
      </w:r>
      <w:r w:rsidR="00956C13">
        <w:t xml:space="preserve"> </w:t>
      </w:r>
      <w:r w:rsidR="00C93463">
        <w:t>contracting</w:t>
      </w:r>
      <w:r w:rsidR="009C3CE8">
        <w:t xml:space="preserve"> model and regulatory culture drives very high turnover in providers during contract and licensing rounds</w:t>
      </w:r>
      <w:r w:rsidR="00AD6553">
        <w:t>, leading to service disruption and devastating impacts on relationship of trust which have been built up between jobseeker and providers, and with employers.</w:t>
      </w:r>
    </w:p>
    <w:p w14:paraId="5CF7E170" w14:textId="4CFC2981" w:rsidR="00407658" w:rsidRDefault="00C93463" w:rsidP="0071341C">
      <w:r>
        <w:t>Furthermore,</w:t>
      </w:r>
      <w:r w:rsidR="00407658">
        <w:t xml:space="preserve"> current commissioning arrangements presents significant barriers to entry for smaller, community-based, and not-for-profit organisations due to high capital requirements and excessive administration complexity.</w:t>
      </w:r>
    </w:p>
    <w:p w14:paraId="6EAD763D" w14:textId="313A44BC" w:rsidR="00B07CB4" w:rsidRPr="0071341C" w:rsidRDefault="00B07CB4" w:rsidP="0071341C">
      <w:r>
        <w:t>The system is also marked by</w:t>
      </w:r>
      <w:r w:rsidR="00D677C4">
        <w:t xml:space="preserve"> high levels of service</w:t>
      </w:r>
      <w:r>
        <w:t xml:space="preserve"> </w:t>
      </w:r>
      <w:r w:rsidR="004879EA">
        <w:t xml:space="preserve">saturation, fragmentation and duplication, where numerous providers often operate in the same location offering identical services without adequate specialisation. </w:t>
      </w:r>
      <w:r w:rsidR="000A7F06">
        <w:t xml:space="preserve">There are several recommendations made to </w:t>
      </w:r>
      <w:r w:rsidR="00F94C60">
        <w:t>address these issues.</w:t>
      </w:r>
    </w:p>
    <w:tbl>
      <w:tblPr>
        <w:tblStyle w:val="TableGrid"/>
        <w:tblW w:w="0" w:type="auto"/>
        <w:tblLook w:val="04A0" w:firstRow="1" w:lastRow="0" w:firstColumn="1" w:lastColumn="0" w:noHBand="0" w:noVBand="1"/>
      </w:tblPr>
      <w:tblGrid>
        <w:gridCol w:w="9382"/>
      </w:tblGrid>
      <w:tr w:rsidR="003B5D19" w:rsidRPr="00095E4D" w14:paraId="5EB731C6" w14:textId="77777777">
        <w:tc>
          <w:tcPr>
            <w:tcW w:w="9382" w:type="dxa"/>
            <w:tcBorders>
              <w:top w:val="nil"/>
              <w:left w:val="nil"/>
              <w:bottom w:val="nil"/>
              <w:right w:val="single" w:sz="24" w:space="0" w:color="006EC8" w:themeColor="accent1"/>
            </w:tcBorders>
            <w:shd w:val="clear" w:color="auto" w:fill="C1E3FF" w:themeFill="accent1" w:themeFillTint="33"/>
          </w:tcPr>
          <w:p w14:paraId="738C31BA" w14:textId="64169E42" w:rsidR="009112F2" w:rsidRDefault="009112F2">
            <w:pPr>
              <w:rPr>
                <w:b/>
                <w:bCs/>
              </w:rPr>
            </w:pPr>
            <w:r>
              <w:rPr>
                <w:b/>
                <w:bCs/>
              </w:rPr>
              <w:t>Recommendation 65</w:t>
            </w:r>
          </w:p>
          <w:p w14:paraId="7E3DCB13" w14:textId="6CE3E82F" w:rsidR="009112F2" w:rsidRDefault="009112F2" w:rsidP="009112F2">
            <w:r w:rsidRPr="009112F2">
              <w:t>The Committee recommends that the Australian Government develop over the next nine to 12 months a new model for regulatory culture and relational contracting for a rebuilt Commonwealth Employment Services System and articulate this before new approaches to commissioning are trialled or determined. This should occur as a collaboration between departments, central agencies and expert academics supported by insights from the Australian National Audit Office and practices in other jurisdictions and the private sector.</w:t>
            </w:r>
          </w:p>
          <w:p w14:paraId="5A64881F" w14:textId="69B22D99" w:rsidR="003B5D19" w:rsidRPr="00095E4D" w:rsidRDefault="003B5D19">
            <w:pPr>
              <w:rPr>
                <w:b/>
                <w:bCs/>
              </w:rPr>
            </w:pPr>
            <w:r w:rsidRPr="00095E4D">
              <w:rPr>
                <w:b/>
                <w:bCs/>
              </w:rPr>
              <w:t xml:space="preserve">Recommendation </w:t>
            </w:r>
            <w:r>
              <w:rPr>
                <w:b/>
                <w:bCs/>
              </w:rPr>
              <w:t>6</w:t>
            </w:r>
            <w:r w:rsidRPr="00095E4D">
              <w:rPr>
                <w:b/>
                <w:bCs/>
              </w:rPr>
              <w:t>6</w:t>
            </w:r>
          </w:p>
          <w:p w14:paraId="5DC6F868" w14:textId="77777777" w:rsidR="003B5D19" w:rsidRDefault="003B5D19">
            <w:r>
              <w:t xml:space="preserve">15.127 The Committee recommends that the commissioning model for a rebuilt Commonwealth Employment Services System includes the following elements: </w:t>
            </w:r>
          </w:p>
          <w:p w14:paraId="3F8DBF08" w14:textId="643FB6FF" w:rsidR="003B5D19" w:rsidRDefault="003B5D19" w:rsidP="003B5D19">
            <w:pPr>
              <w:pStyle w:val="Bullet1"/>
            </w:pPr>
            <w:r>
              <w:t>…</w:t>
            </w:r>
          </w:p>
          <w:p w14:paraId="534568AD" w14:textId="77777777" w:rsidR="007E1C67" w:rsidRDefault="007E1C67" w:rsidP="003B5D19">
            <w:pPr>
              <w:pStyle w:val="Bullet1"/>
            </w:pPr>
            <w:r w:rsidRPr="007E1C67">
              <w:t xml:space="preserve">Service partners engaged as follows: </w:t>
            </w:r>
          </w:p>
          <w:p w14:paraId="2B0F5E63" w14:textId="0D58A5A8" w:rsidR="007E1C67" w:rsidRDefault="000315EF" w:rsidP="007E1C67">
            <w:pPr>
              <w:pStyle w:val="Bullet2"/>
            </w:pPr>
            <w:r>
              <w:t>F</w:t>
            </w:r>
            <w:r w:rsidR="007E1C67" w:rsidRPr="007E1C67">
              <w:t>or the generalist case management service, one partner per location, acknowledging that this may mean more than one partner per region</w:t>
            </w:r>
          </w:p>
          <w:p w14:paraId="1C5F4868" w14:textId="6D6C2B4E" w:rsidR="007E1C67" w:rsidRDefault="000315EF" w:rsidP="007E1C67">
            <w:pPr>
              <w:pStyle w:val="Bullet2"/>
            </w:pPr>
            <w:r>
              <w:t>F</w:t>
            </w:r>
            <w:r w:rsidR="007E1C67" w:rsidRPr="007E1C67">
              <w:t>or the youth specialist service, one partner per location, acknowledging that this may mean more than one partner per region</w:t>
            </w:r>
          </w:p>
          <w:p w14:paraId="76314721" w14:textId="752829DD" w:rsidR="007E1C67" w:rsidRDefault="000315EF" w:rsidP="007E1C67">
            <w:pPr>
              <w:pStyle w:val="Bullet2"/>
            </w:pPr>
            <w:r>
              <w:t>S</w:t>
            </w:r>
            <w:r w:rsidR="007E1C67" w:rsidRPr="007E1C67">
              <w:t xml:space="preserve">pecialists commissioned to support target cohorts with priority on people from culturally and linguistically diverse backgrounds, people with disability, ex-offenders, and First Nations </w:t>
            </w:r>
            <w:r w:rsidR="007E1C67" w:rsidRPr="007E1C67">
              <w:lastRenderedPageBreak/>
              <w:t xml:space="preserve">peoples, some of which may operate across more than one region utilising flexible servicing models. </w:t>
            </w:r>
          </w:p>
          <w:p w14:paraId="7AB41B05" w14:textId="77777777" w:rsidR="007E1C67" w:rsidRDefault="007E1C67" w:rsidP="003B5D19">
            <w:pPr>
              <w:pStyle w:val="Bullet1"/>
            </w:pPr>
            <w:r w:rsidRPr="007E1C67">
              <w:t>Procurement for generalist and youth case management services and specialist service partners continue to be undertaken centrally but adjusted to include:</w:t>
            </w:r>
          </w:p>
          <w:p w14:paraId="077EC31F" w14:textId="5A24D407" w:rsidR="007E1C67" w:rsidRDefault="000315EF" w:rsidP="000315EF">
            <w:pPr>
              <w:pStyle w:val="Bullet2"/>
            </w:pPr>
            <w:r>
              <w:t>A</w:t>
            </w:r>
            <w:r w:rsidR="007E1C67" w:rsidRPr="007E1C67">
              <w:t xml:space="preserve"> simplified tender process, to reduce barriers to entry for smaller and community-based organisations</w:t>
            </w:r>
          </w:p>
          <w:p w14:paraId="7AF62516" w14:textId="15E7C2FE" w:rsidR="007E1C67" w:rsidRDefault="000315EF" w:rsidP="000315EF">
            <w:pPr>
              <w:pStyle w:val="Bullet2"/>
            </w:pPr>
            <w:r>
              <w:t>A</w:t>
            </w:r>
            <w:r w:rsidR="007E1C67" w:rsidRPr="007E1C67">
              <w:t xml:space="preserve"> requirement for providers to demonstrate capacity to deliver targeted services to participants in their employment region</w:t>
            </w:r>
          </w:p>
          <w:p w14:paraId="43500CE1" w14:textId="12CEA8A1" w:rsidR="007E1C67" w:rsidRDefault="000315EF" w:rsidP="000315EF">
            <w:pPr>
              <w:pStyle w:val="Bullet2"/>
            </w:pPr>
            <w:r>
              <w:t>P</w:t>
            </w:r>
            <w:r w:rsidR="007E1C67" w:rsidRPr="007E1C67">
              <w:t xml:space="preserve">riority for service partners which </w:t>
            </w:r>
            <w:proofErr w:type="gramStart"/>
            <w:r w:rsidR="007E1C67" w:rsidRPr="007E1C67">
              <w:t>are able to</w:t>
            </w:r>
            <w:proofErr w:type="gramEnd"/>
            <w:r w:rsidR="007E1C67" w:rsidRPr="007E1C67">
              <w:t xml:space="preserve"> demonstrate strong local and community connections and a proven track record in place. </w:t>
            </w:r>
          </w:p>
          <w:p w14:paraId="48401D77" w14:textId="1D27E4A8" w:rsidR="003B5D19" w:rsidRPr="00095E4D" w:rsidRDefault="007E1C67" w:rsidP="007E1C67">
            <w:pPr>
              <w:pStyle w:val="Bullet1"/>
            </w:pPr>
            <w:r w:rsidRPr="007E1C67">
              <w:t>Consider longer license terms for all providers, using Belgium’s approach which involves nine-year contracts with three-year renewals, with staggered re-tendering so that only one third of the provider market is subject to review at any one time</w:t>
            </w:r>
            <w:r w:rsidR="000315EF">
              <w:t>.</w:t>
            </w:r>
          </w:p>
        </w:tc>
      </w:tr>
    </w:tbl>
    <w:p w14:paraId="672ED173" w14:textId="747D5291" w:rsidR="003A02A5" w:rsidRDefault="00D127EF" w:rsidP="003B5D19">
      <w:r w:rsidRPr="00D127EF">
        <w:rPr>
          <w:i/>
          <w:iCs/>
          <w:color w:val="006EC8" w:themeColor="accent1"/>
        </w:rPr>
        <w:lastRenderedPageBreak/>
        <w:t>Cost implications</w:t>
      </w:r>
      <w:r>
        <w:rPr>
          <w:i/>
          <w:iCs/>
          <w:color w:val="006EC8" w:themeColor="accent1"/>
        </w:rPr>
        <w:t xml:space="preserve">: </w:t>
      </w:r>
      <w:r w:rsidR="008651FE" w:rsidRPr="008651FE">
        <w:t>R</w:t>
      </w:r>
      <w:r w:rsidR="00E17996">
        <w:t>ecommendations 65 and 66 propose a shift from a highly competitive commissioning model to a more relational approach</w:t>
      </w:r>
      <w:r w:rsidR="00F64111">
        <w:t>, with fewer providers per region and longer, more stable contracts. While the</w:t>
      </w:r>
      <w:r w:rsidR="00A33BB5">
        <w:t>se</w:t>
      </w:r>
      <w:r w:rsidR="00F64111">
        <w:t xml:space="preserve"> changes </w:t>
      </w:r>
      <w:r w:rsidR="00A33BB5">
        <w:t xml:space="preserve">do </w:t>
      </w:r>
      <w:r w:rsidR="00F64111">
        <w:t xml:space="preserve">not directly change the level of government funding, </w:t>
      </w:r>
      <w:r w:rsidR="00A33BB5">
        <w:t>they are</w:t>
      </w:r>
      <w:r w:rsidR="00F64111">
        <w:t xml:space="preserve"> expected to reduce administrative burden for providers. Simpler tender process, lower </w:t>
      </w:r>
      <w:r w:rsidR="006A5F03">
        <w:t>barriers</w:t>
      </w:r>
      <w:r w:rsidR="00F64111">
        <w:t xml:space="preserve"> to entry and longer licence terms reduce the time and resources spent on repeated procurement and re-tendering. </w:t>
      </w:r>
    </w:p>
    <w:p w14:paraId="7186BED0" w14:textId="5826951C" w:rsidR="003A02A5" w:rsidRDefault="00C06C14" w:rsidP="000710CC">
      <w:r>
        <w:t>A</w:t>
      </w:r>
      <w:r w:rsidRPr="00C06C14">
        <w:t xml:space="preserve">lthough frontline caseworkers are not typically involved in tender preparation, frequent re-tendering absorbs management and corporate </w:t>
      </w:r>
      <w:r w:rsidR="000710CC">
        <w:t>capacity from operational support, slowing issue resolution and increasing internal overhead.</w:t>
      </w:r>
      <w:r w:rsidRPr="00C06C14">
        <w:t xml:space="preserve"> More stable, longer-term commissioning is therefore expected improve the support environment for frontline staff, allowing more of their time to direct</w:t>
      </w:r>
      <w:r w:rsidR="000710CC">
        <w:t>ed to</w:t>
      </w:r>
      <w:r w:rsidRPr="00C06C14">
        <w:t xml:space="preserve"> case management.</w:t>
      </w:r>
    </w:p>
    <w:p w14:paraId="470980DA" w14:textId="1626E654" w:rsidR="0046269F" w:rsidRPr="00A64C8F" w:rsidRDefault="0015236C" w:rsidP="003B5D19">
      <w:r>
        <w:t xml:space="preserve">The impact of reduced administrative burden is modelled in Section </w:t>
      </w:r>
      <w:r>
        <w:fldChar w:fldCharType="begin"/>
      </w:r>
      <w:r>
        <w:instrText xml:space="preserve"> REF _Ref219373719 \w \h </w:instrText>
      </w:r>
      <w:r>
        <w:fldChar w:fldCharType="separate"/>
      </w:r>
      <w:r w:rsidR="001703C6">
        <w:t>4.1</w:t>
      </w:r>
      <w:r>
        <w:fldChar w:fldCharType="end"/>
      </w:r>
      <w:r w:rsidR="00FC33C3">
        <w:t xml:space="preserve"> as part of the enhanced partner-delivered service reforms.</w:t>
      </w:r>
    </w:p>
    <w:p w14:paraId="703CFCA0" w14:textId="7732F34C" w:rsidR="00250E7C" w:rsidRDefault="00250E7C" w:rsidP="00622324">
      <w:pPr>
        <w:pStyle w:val="Heading3"/>
      </w:pPr>
      <w:bookmarkStart w:id="59" w:name="_Ref219191907"/>
      <w:bookmarkStart w:id="60" w:name="_Toc226038406"/>
      <w:r>
        <w:t>Compliance framework</w:t>
      </w:r>
      <w:bookmarkEnd w:id="59"/>
      <w:bookmarkEnd w:id="60"/>
    </w:p>
    <w:p w14:paraId="55BFD84C" w14:textId="46F1F366" w:rsidR="00605F20" w:rsidRDefault="00605F20" w:rsidP="00BD1F54">
      <w:r>
        <w:t xml:space="preserve">The current compliance framework is defined by the Targeted Compliance Framework (TCF) and the Points </w:t>
      </w:r>
      <w:r w:rsidR="009A41CF">
        <w:t>Based Activation System (PBAS), which prioritise automated enforcement and standardised obligations over personalised support.</w:t>
      </w:r>
      <w:r w:rsidR="00FD6BFA">
        <w:t xml:space="preserve"> </w:t>
      </w:r>
      <w:r w:rsidR="00CC6377">
        <w:t>The TCF has several issues:</w:t>
      </w:r>
    </w:p>
    <w:p w14:paraId="44FD0EE7" w14:textId="53C4DCED" w:rsidR="00CC6377" w:rsidRDefault="00CC6377" w:rsidP="00CC6377">
      <w:pPr>
        <w:pStyle w:val="Bullet1"/>
      </w:pPr>
      <w:r>
        <w:t>Excessive and automated suspensions</w:t>
      </w:r>
      <w:r w:rsidR="008B6356">
        <w:t xml:space="preserve"> and cancellations</w:t>
      </w:r>
      <w:r w:rsidR="00B1199B">
        <w:t xml:space="preserve"> triggered by IT systems (“</w:t>
      </w:r>
      <w:proofErr w:type="spellStart"/>
      <w:r w:rsidR="00B1199B">
        <w:t>RoboPenalty</w:t>
      </w:r>
      <w:proofErr w:type="spellEnd"/>
      <w:r w:rsidR="00B1199B">
        <w:t>”)</w:t>
      </w:r>
    </w:p>
    <w:p w14:paraId="6A7EC2FE" w14:textId="4F032D31" w:rsidR="00B1199B" w:rsidRPr="00B1199B" w:rsidRDefault="0040108F" w:rsidP="00B1199B">
      <w:pPr>
        <w:pStyle w:val="Bullet1"/>
      </w:pPr>
      <w:r>
        <w:t>Conflicting roles of frontline staff of supporting participants and enforcing compliance</w:t>
      </w:r>
    </w:p>
    <w:p w14:paraId="65ADE632" w14:textId="3BD1BCF5" w:rsidR="00C34413" w:rsidRPr="00C34413" w:rsidRDefault="00C34413" w:rsidP="00C34413">
      <w:pPr>
        <w:pStyle w:val="Bullet1"/>
      </w:pPr>
      <w:r>
        <w:t xml:space="preserve">Disproportionately </w:t>
      </w:r>
      <w:r w:rsidR="005E5538">
        <w:t>affect</w:t>
      </w:r>
      <w:r w:rsidR="00445CA5">
        <w:t>ing</w:t>
      </w:r>
      <w:r>
        <w:t xml:space="preserve"> vulnerable </w:t>
      </w:r>
      <w:r w:rsidR="00592521">
        <w:t>jobseekers, for example, First Nations peoples</w:t>
      </w:r>
    </w:p>
    <w:p w14:paraId="69636F05" w14:textId="0221CDD9" w:rsidR="006D4AB8" w:rsidRPr="006D4AB8" w:rsidRDefault="006D4AB8" w:rsidP="006D4AB8">
      <w:pPr>
        <w:pStyle w:val="Bullet1"/>
      </w:pPr>
      <w:r>
        <w:t xml:space="preserve">Administrative </w:t>
      </w:r>
      <w:r w:rsidR="00E41DD9">
        <w:t>and compliance take up to 60% of staff time.</w:t>
      </w:r>
    </w:p>
    <w:p w14:paraId="4C5A4DFD" w14:textId="09BDFB4D" w:rsidR="000A0CC8" w:rsidRDefault="00554EBE" w:rsidP="00554EBE">
      <w:r>
        <w:t xml:space="preserve">The </w:t>
      </w:r>
      <w:r w:rsidR="00366114">
        <w:t>Hill</w:t>
      </w:r>
      <w:r>
        <w:t xml:space="preserve"> Review proposed </w:t>
      </w:r>
      <w:r w:rsidR="000A0CC8">
        <w:t>recommendations around replacing the punitive TCF with a Shared Accountability Framework (SAF).</w:t>
      </w:r>
    </w:p>
    <w:tbl>
      <w:tblPr>
        <w:tblStyle w:val="TableGrid"/>
        <w:tblW w:w="0" w:type="auto"/>
        <w:tblLook w:val="04A0" w:firstRow="1" w:lastRow="0" w:firstColumn="1" w:lastColumn="0" w:noHBand="0" w:noVBand="1"/>
      </w:tblPr>
      <w:tblGrid>
        <w:gridCol w:w="9382"/>
      </w:tblGrid>
      <w:tr w:rsidR="000A0CC8" w:rsidRPr="00095E4D" w14:paraId="0ABB5099" w14:textId="77777777">
        <w:tc>
          <w:tcPr>
            <w:tcW w:w="9382" w:type="dxa"/>
            <w:tcBorders>
              <w:top w:val="nil"/>
              <w:left w:val="nil"/>
              <w:bottom w:val="nil"/>
              <w:right w:val="single" w:sz="24" w:space="0" w:color="006EC8" w:themeColor="accent1"/>
            </w:tcBorders>
            <w:shd w:val="clear" w:color="auto" w:fill="C1E3FF" w:themeFill="accent1" w:themeFillTint="33"/>
          </w:tcPr>
          <w:p w14:paraId="79A4C782" w14:textId="29D1698F" w:rsidR="000A0CC8" w:rsidRDefault="000A0CC8">
            <w:pPr>
              <w:rPr>
                <w:b/>
                <w:bCs/>
              </w:rPr>
            </w:pPr>
            <w:r>
              <w:rPr>
                <w:b/>
                <w:bCs/>
              </w:rPr>
              <w:t>Recommendation 56</w:t>
            </w:r>
          </w:p>
          <w:p w14:paraId="7DD7D844" w14:textId="77777777" w:rsidR="000274B6" w:rsidRDefault="002601AC" w:rsidP="000274B6">
            <w:r w:rsidRPr="002601AC">
              <w:t xml:space="preserve">The Committee recommends that in a rebuilt Commonwealth Employment Services System, the range of mutual obligation requirements be broadened and be much better tailored to individuals. Reforms should focus on cutting red tape, addressing employers’ concerns, and ensuring that mutual obligations are effective in supporting people into work, and should be founded on the following key principles: </w:t>
            </w:r>
          </w:p>
          <w:p w14:paraId="03075375" w14:textId="77777777" w:rsidR="000274B6" w:rsidRDefault="002601AC" w:rsidP="000274B6">
            <w:pPr>
              <w:pStyle w:val="Bullet1"/>
            </w:pPr>
            <w:r w:rsidRPr="002601AC">
              <w:t xml:space="preserve">For clients who are assessed as close to the labour market and largely </w:t>
            </w:r>
            <w:proofErr w:type="spellStart"/>
            <w:r w:rsidRPr="002601AC">
              <w:t>self managing</w:t>
            </w:r>
            <w:proofErr w:type="spellEnd"/>
            <w:r w:rsidRPr="002601AC">
              <w:t xml:space="preserve"> in online-hybrid services: the Points Based Activity System (PBAS) be retained to underpin reporting against a person’s Participation and Jobs Plan. Changes to the PBAS should be made to provide more </w:t>
            </w:r>
            <w:r w:rsidRPr="002601AC">
              <w:lastRenderedPageBreak/>
              <w:t xml:space="preserve">flexibility in activities; better tailor the points to the individual; and monitor progress and intervene earlier where a person is experiencing challenges in navigating the system. </w:t>
            </w:r>
          </w:p>
          <w:p w14:paraId="34B0585B" w14:textId="77777777" w:rsidR="000274B6" w:rsidRDefault="002601AC" w:rsidP="000274B6">
            <w:pPr>
              <w:pStyle w:val="Bullet1"/>
            </w:pPr>
            <w:r w:rsidRPr="002601AC">
              <w:t>For clients who are managed directly by Employment Services Australia or referred to service partners for case management, the core requirement be</w:t>
            </w:r>
            <w:r w:rsidR="000274B6">
              <w:t xml:space="preserve"> </w:t>
            </w:r>
            <w:r w:rsidR="000274B6" w:rsidRPr="000274B6">
              <w:t xml:space="preserve">to meaningfully participate by attending appointments and undertaking activities as agreed via the Participation and Jobs Plan. </w:t>
            </w:r>
          </w:p>
          <w:p w14:paraId="19027479" w14:textId="77777777" w:rsidR="000274B6" w:rsidRDefault="000274B6" w:rsidP="000274B6">
            <w:pPr>
              <w:pStyle w:val="Bullet1"/>
            </w:pPr>
            <w:r w:rsidRPr="000274B6">
              <w:t xml:space="preserve">For clients who persistently fail to meaningfully engage or to comply with their Participation and Jobs Plan, the PBAS be used as the default reporting and compliance tool. </w:t>
            </w:r>
          </w:p>
          <w:p w14:paraId="5063B79B" w14:textId="1DB152FE" w:rsidR="002601AC" w:rsidRDefault="000274B6" w:rsidP="007625E1">
            <w:pPr>
              <w:pStyle w:val="Bullet1"/>
              <w:numPr>
                <w:ilvl w:val="0"/>
                <w:numId w:val="0"/>
              </w:numPr>
            </w:pPr>
            <w:r w:rsidRPr="000274B6">
              <w:t>Over time, the Australian Government should also broadly harmonise mutual obligation requirements across the ‘mainstream’ employment service program and the Community Development Program</w:t>
            </w:r>
            <w:r w:rsidR="007625E1">
              <w:t>.</w:t>
            </w:r>
          </w:p>
          <w:p w14:paraId="19F85A8B" w14:textId="4828C9E1" w:rsidR="002601AC" w:rsidRDefault="00796821">
            <w:pPr>
              <w:rPr>
                <w:b/>
                <w:bCs/>
              </w:rPr>
            </w:pPr>
            <w:r>
              <w:rPr>
                <w:b/>
                <w:bCs/>
              </w:rPr>
              <w:t>Recommendation 57</w:t>
            </w:r>
          </w:p>
          <w:p w14:paraId="1E916DDD" w14:textId="77777777" w:rsidR="00796821" w:rsidRDefault="00796821">
            <w:r w:rsidRPr="00796821">
              <w:t>The Committee recommends that the Australian Government urgently implement changes to the compliance framework for employment services, proposed to include:</w:t>
            </w:r>
          </w:p>
          <w:p w14:paraId="3C0C3FA2" w14:textId="4D647142" w:rsidR="00796821" w:rsidRDefault="00796821" w:rsidP="00796821">
            <w:pPr>
              <w:pStyle w:val="Bullet1"/>
            </w:pPr>
            <w:r w:rsidRPr="00796821">
              <w:t>Providing case managers with frontline discretion to counsel clients regarding their obligations for the first two or three times that a person misses an appointment or commits another minor compliance breach within one year—rather than being forced to trigger demerit points and compliance action</w:t>
            </w:r>
          </w:p>
          <w:p w14:paraId="5A960885" w14:textId="06127C2B" w:rsidR="00796821" w:rsidRDefault="00796821" w:rsidP="00796821">
            <w:pPr>
              <w:pStyle w:val="Bullet1"/>
            </w:pPr>
            <w:r w:rsidRPr="00796821">
              <w:t>Adjusting the period within which a person must reconnect with the system after committing a breach from 48 hours to no more than four or five business days</w:t>
            </w:r>
          </w:p>
          <w:p w14:paraId="537E4E77" w14:textId="77777777" w:rsidR="00796821" w:rsidRDefault="00796821" w:rsidP="00796821">
            <w:pPr>
              <w:pStyle w:val="Bullet1"/>
            </w:pPr>
            <w:r w:rsidRPr="00796821">
              <w:t xml:space="preserve">Amending the Points-Based Activation System (PBAS) such that: </w:t>
            </w:r>
          </w:p>
          <w:p w14:paraId="2FD340DB" w14:textId="7D542AB1" w:rsidR="00295798" w:rsidRDefault="00796821" w:rsidP="00796821">
            <w:pPr>
              <w:pStyle w:val="Bullet2"/>
            </w:pPr>
            <w:r w:rsidRPr="00796821">
              <w:t xml:space="preserve">100 points is seen as the maximum and not the default points target across all services; o the Digital Services Contact Centre (DSCC) review and consider adjustments to the points targets for clients in Workforce Australia Online who have experienced repeated suspensions or other penalties </w:t>
            </w:r>
          </w:p>
          <w:p w14:paraId="595E6323" w14:textId="3D303453" w:rsidR="002601AC" w:rsidRPr="00796821" w:rsidRDefault="00C1282E" w:rsidP="00796821">
            <w:pPr>
              <w:pStyle w:val="Bullet2"/>
            </w:pPr>
            <w:r>
              <w:t>F</w:t>
            </w:r>
            <w:r w:rsidR="00796821" w:rsidRPr="00796821">
              <w:t>or clients in Workforce Australia Services, the default points target be set at 50 points, with discretion afforded case managers to vary the points target up or down based on their professional judgement exercised in consultation with clients and that all points targets be reviewed as soon as possible after this report is tabled</w:t>
            </w:r>
          </w:p>
          <w:p w14:paraId="4B0C44CF" w14:textId="17042CAF" w:rsidR="000F6F2B" w:rsidRPr="000F6F2B" w:rsidRDefault="000F6F2B" w:rsidP="000F6F2B">
            <w:pPr>
              <w:pStyle w:val="Bullet1"/>
            </w:pPr>
            <w:r w:rsidRPr="000F6F2B">
              <w:t>Case managers and the DSSC are given additional discretionary points (e.g., up to 40 points) that can be allocated each month to people who fail to meet their points target but who are showing commitment and are deemed to be meaningfully participating</w:t>
            </w:r>
            <w:r>
              <w:t>.</w:t>
            </w:r>
          </w:p>
          <w:p w14:paraId="6A23DF88" w14:textId="727187FC" w:rsidR="000A0CC8" w:rsidRPr="00095E4D" w:rsidRDefault="000A0CC8">
            <w:pPr>
              <w:rPr>
                <w:b/>
                <w:bCs/>
              </w:rPr>
            </w:pPr>
            <w:r w:rsidRPr="00095E4D">
              <w:rPr>
                <w:b/>
                <w:bCs/>
              </w:rPr>
              <w:t xml:space="preserve">Recommendation </w:t>
            </w:r>
            <w:r>
              <w:rPr>
                <w:b/>
                <w:bCs/>
              </w:rPr>
              <w:t>6</w:t>
            </w:r>
            <w:r w:rsidR="00A33FF2">
              <w:rPr>
                <w:b/>
                <w:bCs/>
              </w:rPr>
              <w:t>2</w:t>
            </w:r>
          </w:p>
          <w:p w14:paraId="1C602181" w14:textId="77777777" w:rsidR="00A33FF2" w:rsidRDefault="00A33FF2" w:rsidP="00A33FF2">
            <w:r w:rsidRPr="00A33FF2">
              <w:t xml:space="preserve">The Committee recommends that the Australian Government implement a new Shared Accountability Framework. This should replace the current Targeted Compliance Framework and should include the following key elements: </w:t>
            </w:r>
          </w:p>
          <w:p w14:paraId="1E9C5383" w14:textId="21767746" w:rsidR="00A33FF2" w:rsidRDefault="00A33FF2" w:rsidP="00A33FF2">
            <w:pPr>
              <w:pStyle w:val="Bullet1"/>
            </w:pPr>
            <w:r w:rsidRPr="00A33FF2">
              <w:t>Frontline discretion is restored so that case managers can educate and counsel people regarding their obligations for a limited number of minor or initial compliance breaches each year</w:t>
            </w:r>
            <w:r w:rsidR="002527EA">
              <w:t>.</w:t>
            </w:r>
          </w:p>
          <w:p w14:paraId="20B2578D" w14:textId="5182C96F" w:rsidR="00A33FF2" w:rsidRDefault="00A33FF2" w:rsidP="00A33FF2">
            <w:pPr>
              <w:pStyle w:val="Bullet1"/>
            </w:pPr>
            <w:r w:rsidRPr="00A33FF2">
              <w:t xml:space="preserve">After counselling options are exhausted, </w:t>
            </w:r>
            <w:proofErr w:type="gramStart"/>
            <w:r w:rsidRPr="00A33FF2">
              <w:t>a number of</w:t>
            </w:r>
            <w:proofErr w:type="gramEnd"/>
            <w:r w:rsidRPr="00A33FF2">
              <w:t xml:space="preserve"> warnings be recorded which could result in a partial payment withholding (holdback) until the non-compliance is remedied</w:t>
            </w:r>
            <w:r w:rsidR="002527EA">
              <w:t>.</w:t>
            </w:r>
          </w:p>
          <w:p w14:paraId="7F868225" w14:textId="039D8A7D" w:rsidR="00A33FF2" w:rsidRDefault="00A33FF2" w:rsidP="00A33FF2">
            <w:pPr>
              <w:pStyle w:val="Bullet1"/>
            </w:pPr>
            <w:r w:rsidRPr="00A33FF2">
              <w:t>People who accrue the maximum number of warnings by persistently failing to meet mutual obligation requirements are be referred to Employment Services Australia for a capability assessment</w:t>
            </w:r>
            <w:r w:rsidR="002527EA">
              <w:t>.</w:t>
            </w:r>
            <w:r w:rsidRPr="00A33FF2">
              <w:t xml:space="preserve"> </w:t>
            </w:r>
          </w:p>
          <w:p w14:paraId="3CB20EC2" w14:textId="77777777" w:rsidR="00A33FF2" w:rsidRDefault="00A33FF2" w:rsidP="00A33FF2">
            <w:pPr>
              <w:pStyle w:val="Bullet1"/>
            </w:pPr>
            <w:r w:rsidRPr="00A33FF2">
              <w:t xml:space="preserve">Should there be barriers to participation or engagement, the client is </w:t>
            </w:r>
            <w:proofErr w:type="gramStart"/>
            <w:r w:rsidRPr="00A33FF2">
              <w:t>referred back</w:t>
            </w:r>
            <w:proofErr w:type="gramEnd"/>
            <w:r w:rsidRPr="00A33FF2">
              <w:t xml:space="preserve"> to their provider or offered the option to transfer to a different provider or service. </w:t>
            </w:r>
          </w:p>
          <w:p w14:paraId="04DCF606" w14:textId="77777777" w:rsidR="00A33FF2" w:rsidRDefault="00A33FF2" w:rsidP="00A33FF2">
            <w:pPr>
              <w:pStyle w:val="Bullet1"/>
            </w:pPr>
            <w:r w:rsidRPr="00A33FF2">
              <w:t xml:space="preserve">If there are no barriers to participation, the client may elect to be </w:t>
            </w:r>
            <w:proofErr w:type="gramStart"/>
            <w:r w:rsidRPr="00A33FF2">
              <w:t>referred back</w:t>
            </w:r>
            <w:proofErr w:type="gramEnd"/>
            <w:r w:rsidRPr="00A33FF2">
              <w:t xml:space="preserve"> to their provider and made aware of the risk of more serious compliance measures including payment suspensions, </w:t>
            </w:r>
            <w:r w:rsidRPr="00A33FF2">
              <w:lastRenderedPageBreak/>
              <w:t xml:space="preserve">penalties, or cancellations. Alternatively, the client would be transferred to intensive case management by Employment Services Australia. </w:t>
            </w:r>
          </w:p>
          <w:p w14:paraId="41057DE3" w14:textId="58CA8B00" w:rsidR="000A0CC8" w:rsidRPr="00095E4D" w:rsidRDefault="00A33FF2" w:rsidP="00A33FF2">
            <w:pPr>
              <w:pStyle w:val="Bullet1"/>
            </w:pPr>
            <w:r w:rsidRPr="00A33FF2">
              <w:t>All decisions that affect income support payments must be made by a public servant in Services Australia, and not automatically by the IT system. Guidelines and training for staff should be developed in consultation with stakeholders and subject to periodic review by the new Client Councils and the Employment Services Coordinating Council</w:t>
            </w:r>
            <w:r w:rsidR="002527EA">
              <w:t>.</w:t>
            </w:r>
          </w:p>
        </w:tc>
      </w:tr>
    </w:tbl>
    <w:p w14:paraId="1189541C" w14:textId="01784DDB" w:rsidR="00554EBE" w:rsidRPr="00554EBE" w:rsidRDefault="00B55199" w:rsidP="00554EBE">
      <w:r w:rsidRPr="00D127EF">
        <w:rPr>
          <w:i/>
          <w:iCs/>
          <w:color w:val="006EC8" w:themeColor="accent1"/>
        </w:rPr>
        <w:lastRenderedPageBreak/>
        <w:t>Cost implications</w:t>
      </w:r>
      <w:r>
        <w:rPr>
          <w:i/>
          <w:iCs/>
          <w:color w:val="006EC8" w:themeColor="accent1"/>
        </w:rPr>
        <w:t xml:space="preserve">: </w:t>
      </w:r>
      <w:r w:rsidR="00415AE5">
        <w:t xml:space="preserve">These recommendations simplify the compliance framework by </w:t>
      </w:r>
      <w:r w:rsidR="000A29D0">
        <w:t xml:space="preserve">moving away from the TCF, </w:t>
      </w:r>
      <w:r w:rsidR="00E2653E">
        <w:t>enabling frontline caseworker discretion and reducing automated compliance</w:t>
      </w:r>
      <w:r w:rsidR="00415AE5">
        <w:t xml:space="preserve"> </w:t>
      </w:r>
      <w:r w:rsidR="00885A19">
        <w:t xml:space="preserve">actions. While these proposed </w:t>
      </w:r>
      <w:r w:rsidR="007B47DF">
        <w:t>reforms do not directly affect provider funding, they are expected to significantly</w:t>
      </w:r>
      <w:r w:rsidR="000A29D0">
        <w:t xml:space="preserve"> reduce administrative workload associated with </w:t>
      </w:r>
      <w:r w:rsidR="00630F5A">
        <w:t xml:space="preserve">monitoring points, processing minor breaches and reviewing </w:t>
      </w:r>
      <w:r w:rsidR="00AA778F">
        <w:t xml:space="preserve">automated sanctions. By shifting compliance </w:t>
      </w:r>
      <w:r w:rsidR="003B2E09">
        <w:t>response</w:t>
      </w:r>
      <w:r w:rsidR="00E1241B">
        <w:t xml:space="preserve"> </w:t>
      </w:r>
      <w:r w:rsidR="003B2E09">
        <w:t>towards</w:t>
      </w:r>
      <w:r w:rsidR="00E1241B">
        <w:t xml:space="preserve"> </w:t>
      </w:r>
      <w:r w:rsidR="003B2E09">
        <w:t xml:space="preserve">counselling and clearer pathways, staff time can be redirected from compliance </w:t>
      </w:r>
      <w:r w:rsidR="00565DD0">
        <w:t>administering to direct case management.</w:t>
      </w:r>
    </w:p>
    <w:p w14:paraId="26E5397B" w14:textId="6940AC13" w:rsidR="00565DD0" w:rsidRPr="00415AE5" w:rsidRDefault="00565DD0" w:rsidP="00554EBE">
      <w:r>
        <w:t xml:space="preserve">This reduction in administrative burden contributes to the improved service quality and </w:t>
      </w:r>
      <w:r w:rsidR="00B96CB2">
        <w:t xml:space="preserve">is reflected in the increased direct service time modelled in Section </w:t>
      </w:r>
      <w:r w:rsidR="00B96CB2">
        <w:fldChar w:fldCharType="begin"/>
      </w:r>
      <w:r w:rsidR="00B96CB2">
        <w:instrText xml:space="preserve"> REF _Ref219373719 \w \h </w:instrText>
      </w:r>
      <w:r w:rsidR="00B96CB2">
        <w:fldChar w:fldCharType="separate"/>
      </w:r>
      <w:r w:rsidR="001703C6">
        <w:t>4.1</w:t>
      </w:r>
      <w:r w:rsidR="00B96CB2">
        <w:fldChar w:fldCharType="end"/>
      </w:r>
      <w:r w:rsidR="00B96CB2">
        <w:t>.</w:t>
      </w:r>
    </w:p>
    <w:p w14:paraId="620FF971" w14:textId="77777777" w:rsidR="009D0BE5" w:rsidRPr="009D0BE5" w:rsidRDefault="009D0BE5" w:rsidP="009D0BE5"/>
    <w:p w14:paraId="683263BA" w14:textId="36B50225" w:rsidR="001D7A54" w:rsidRDefault="001D7A54" w:rsidP="00622324">
      <w:pPr>
        <w:pStyle w:val="Heading2"/>
      </w:pPr>
      <w:bookmarkStart w:id="61" w:name="_Toc226038407"/>
      <w:r>
        <w:lastRenderedPageBreak/>
        <w:t>Key components: Regulation</w:t>
      </w:r>
      <w:bookmarkEnd w:id="61"/>
    </w:p>
    <w:p w14:paraId="506E59E0" w14:textId="14D663EF" w:rsidR="00213888" w:rsidRPr="00213888" w:rsidRDefault="00213888" w:rsidP="002C35C3">
      <w:r>
        <w:rPr>
          <w:noProof/>
        </w:rPr>
        <mc:AlternateContent>
          <mc:Choice Requires="wps">
            <w:drawing>
              <wp:inline distT="0" distB="0" distL="0" distR="0" wp14:anchorId="7FC4911A" wp14:editId="32FF8503">
                <wp:extent cx="936000" cy="0"/>
                <wp:effectExtent l="0" t="38100" r="54610" b="57150"/>
                <wp:docPr id="18393321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6000"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180CFA"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" strokecolor="#006ec8 [3204]" strokeweight="7pt">
                <v:stroke joinstyle="miter"/>
                <w10:anchorlock/>
              </v:line>
            </w:pict>
          </mc:Fallback>
        </mc:AlternateContent>
      </w:r>
    </w:p>
    <w:p w14:paraId="49A22524" w14:textId="3422EDC2" w:rsidR="001D7A54" w:rsidRDefault="001D7A54" w:rsidP="00622324">
      <w:pPr>
        <w:pStyle w:val="Heading3"/>
      </w:pPr>
      <w:bookmarkStart w:id="62" w:name="_Toc226038408"/>
      <w:r>
        <w:t xml:space="preserve">Employment </w:t>
      </w:r>
      <w:r w:rsidR="00DD684F">
        <w:t>Se</w:t>
      </w:r>
      <w:r>
        <w:t xml:space="preserve">rvices </w:t>
      </w:r>
      <w:r w:rsidRPr="00622324">
        <w:t>Quality</w:t>
      </w:r>
      <w:r>
        <w:t xml:space="preserve"> Commission (ESQC)</w:t>
      </w:r>
      <w:bookmarkEnd w:id="62"/>
    </w:p>
    <w:p w14:paraId="7A1AA5E1" w14:textId="5F58770C" w:rsidR="00693CE3" w:rsidRPr="00693CE3" w:rsidRDefault="00022A35" w:rsidP="00693CE3">
      <w:r>
        <w:t xml:space="preserve">The Hill Review </w:t>
      </w:r>
      <w:r w:rsidR="004A4BFB">
        <w:t>proposed establishing an independent regulator, the Employment Services Quality Commission</w:t>
      </w:r>
      <w:r w:rsidR="002B2E57">
        <w:t xml:space="preserve"> (ESQC)</w:t>
      </w:r>
      <w:r w:rsidR="004A4BFB">
        <w:t xml:space="preserve">, to introduce and enforce professional standards, </w:t>
      </w:r>
      <w:r w:rsidR="00F62D75">
        <w:t xml:space="preserve">advise on commissioning and funding models, </w:t>
      </w:r>
      <w:r w:rsidR="001748EA">
        <w:t>handle complaints, and conduct research.</w:t>
      </w:r>
    </w:p>
    <w:p w14:paraId="6C77A1E7" w14:textId="04EC4D2E" w:rsidR="001D7A54" w:rsidRDefault="001D7A54" w:rsidP="00622324">
      <w:pPr>
        <w:pStyle w:val="Heading4"/>
      </w:pPr>
      <w:r>
        <w:t xml:space="preserve">Hill </w:t>
      </w:r>
      <w:r w:rsidR="00D51A65">
        <w:t>Review</w:t>
      </w:r>
      <w:r>
        <w:t xml:space="preserve"> recommendations</w:t>
      </w:r>
    </w:p>
    <w:tbl>
      <w:tblPr>
        <w:tblStyle w:val="TableGrid"/>
        <w:tblW w:w="0" w:type="auto"/>
        <w:tblLook w:val="04A0" w:firstRow="1" w:lastRow="0" w:firstColumn="1" w:lastColumn="0" w:noHBand="0" w:noVBand="1"/>
      </w:tblPr>
      <w:tblGrid>
        <w:gridCol w:w="9382"/>
      </w:tblGrid>
      <w:tr w:rsidR="00633B00" w:rsidRPr="00095E4D" w14:paraId="76B5D2A8" w14:textId="77777777" w:rsidTr="006E2207">
        <w:tc>
          <w:tcPr>
            <w:tcW w:w="9382" w:type="dxa"/>
            <w:tcBorders>
              <w:top w:val="nil"/>
              <w:left w:val="nil"/>
              <w:bottom w:val="nil"/>
              <w:right w:val="single" w:sz="24" w:space="0" w:color="006EC8" w:themeColor="accent1"/>
            </w:tcBorders>
            <w:shd w:val="clear" w:color="auto" w:fill="C1E3FF" w:themeFill="accent1" w:themeFillTint="33"/>
          </w:tcPr>
          <w:p w14:paraId="1D25E1A2" w14:textId="4182C57D" w:rsidR="00633B00" w:rsidRDefault="00633B00" w:rsidP="006E2207">
            <w:pPr>
              <w:rPr>
                <w:b/>
                <w:bCs/>
              </w:rPr>
            </w:pPr>
            <w:r>
              <w:rPr>
                <w:b/>
                <w:bCs/>
              </w:rPr>
              <w:t xml:space="preserve">Recommendation </w:t>
            </w:r>
            <w:r w:rsidR="00B00787">
              <w:rPr>
                <w:b/>
                <w:bCs/>
              </w:rPr>
              <w:t>15</w:t>
            </w:r>
          </w:p>
          <w:p w14:paraId="11B98930" w14:textId="77777777" w:rsidR="00B00787" w:rsidRDefault="00B00787" w:rsidP="006E2207">
            <w:r w:rsidRPr="00B00787">
              <w:t>The Committee recommends that the Australian Government work with the sector and key stakeholders to co</w:t>
            </w:r>
            <w:r w:rsidRPr="00B00787">
              <w:noBreakHyphen/>
              <w:t>design a professional framework of skills, capabilities, and qualifications for frontline staff consistent with this report. Development of the framework should be led by the new Employment Services Quality Commission.</w:t>
            </w:r>
            <w:r w:rsidRPr="00B00787">
              <w:rPr>
                <w:rFonts w:ascii="Cambria" w:hAnsi="Cambria" w:cs="Cambria"/>
              </w:rPr>
              <w:t> </w:t>
            </w:r>
          </w:p>
          <w:p w14:paraId="06737AF5" w14:textId="56664154" w:rsidR="00633B00" w:rsidRDefault="00633B00" w:rsidP="006E2207">
            <w:pPr>
              <w:rPr>
                <w:b/>
                <w:bCs/>
              </w:rPr>
            </w:pPr>
            <w:r>
              <w:rPr>
                <w:b/>
                <w:bCs/>
              </w:rPr>
              <w:t xml:space="preserve">Recommendation </w:t>
            </w:r>
            <w:r w:rsidR="00895A61">
              <w:rPr>
                <w:b/>
                <w:bCs/>
              </w:rPr>
              <w:t>22</w:t>
            </w:r>
          </w:p>
          <w:p w14:paraId="0D59B49D" w14:textId="77777777" w:rsidR="00895A61" w:rsidRPr="00895A61" w:rsidRDefault="00895A61" w:rsidP="00895A61">
            <w:r w:rsidRPr="00895A61">
              <w:t>The Committee recommends that the Australian Government establish an Employment Services Quality Commission as an independent regulator for the sector. The Employment Services Quality Commission should have functions in accordance with the findings of this report including:</w:t>
            </w:r>
          </w:p>
          <w:p w14:paraId="4572954B" w14:textId="6BF35CBD" w:rsidR="00895A61" w:rsidRPr="00895A61" w:rsidRDefault="00530A3D" w:rsidP="00895A61">
            <w:pPr>
              <w:pStyle w:val="Bullet1"/>
            </w:pPr>
            <w:r>
              <w:t>E</w:t>
            </w:r>
            <w:r w:rsidR="00895A61" w:rsidRPr="00895A61">
              <w:t>stablishing a quality framework and licensing standards</w:t>
            </w:r>
          </w:p>
          <w:p w14:paraId="57D6492B" w14:textId="7239AA08" w:rsidR="00895A61" w:rsidRPr="00895A61" w:rsidRDefault="00530A3D" w:rsidP="00895A61">
            <w:pPr>
              <w:pStyle w:val="Bullet1"/>
            </w:pPr>
            <w:r>
              <w:t>W</w:t>
            </w:r>
            <w:r w:rsidR="00895A61" w:rsidRPr="00895A61">
              <w:t>orkforce standards and sector professional development</w:t>
            </w:r>
          </w:p>
          <w:p w14:paraId="52C1D82D" w14:textId="293CD9FC" w:rsidR="00895A61" w:rsidRPr="00895A61" w:rsidRDefault="00530A3D" w:rsidP="00895A61">
            <w:pPr>
              <w:pStyle w:val="Bullet1"/>
            </w:pPr>
            <w:r>
              <w:t>P</w:t>
            </w:r>
            <w:r w:rsidR="00895A61" w:rsidRPr="00895A61">
              <w:t>rovider licensing and accreditation</w:t>
            </w:r>
          </w:p>
          <w:p w14:paraId="718F2337" w14:textId="1E8373BD" w:rsidR="00895A61" w:rsidRPr="00895A61" w:rsidRDefault="00530A3D" w:rsidP="00895A61">
            <w:pPr>
              <w:pStyle w:val="Bullet1"/>
            </w:pPr>
            <w:r>
              <w:t>A</w:t>
            </w:r>
            <w:r w:rsidR="00895A61" w:rsidRPr="00895A61">
              <w:t>dvising on pricing for high quality services, commissioning and payment models</w:t>
            </w:r>
          </w:p>
          <w:p w14:paraId="1B46F243" w14:textId="33FBCF4F" w:rsidR="00895A61" w:rsidRPr="00895A61" w:rsidRDefault="00530A3D" w:rsidP="00895A61">
            <w:pPr>
              <w:pStyle w:val="Bullet1"/>
            </w:pPr>
            <w:r>
              <w:t>C</w:t>
            </w:r>
            <w:r w:rsidR="00895A61" w:rsidRPr="00895A61">
              <w:t>omplaints management, including the development of a complaints procedure that is user-friendly and readily accessible to participants</w:t>
            </w:r>
          </w:p>
          <w:p w14:paraId="0BC8C2CB" w14:textId="6C7E26B1" w:rsidR="00895A61" w:rsidRPr="00895A61" w:rsidRDefault="00530A3D" w:rsidP="00895A61">
            <w:pPr>
              <w:pStyle w:val="Bullet1"/>
            </w:pPr>
            <w:r>
              <w:t>D</w:t>
            </w:r>
            <w:r w:rsidR="00895A61" w:rsidRPr="00895A61">
              <w:t>ata collection, analysis, release, and championing transparency</w:t>
            </w:r>
          </w:p>
          <w:p w14:paraId="2FE5A00B" w14:textId="26F3A450" w:rsidR="00895A61" w:rsidRPr="00895A61" w:rsidRDefault="00530A3D" w:rsidP="00895A61">
            <w:pPr>
              <w:pStyle w:val="Bullet1"/>
            </w:pPr>
            <w:r>
              <w:t>R</w:t>
            </w:r>
            <w:r w:rsidR="00895A61" w:rsidRPr="00895A61">
              <w:t>esearch, evaluation, continuous learning, and quality improvement.</w:t>
            </w:r>
          </w:p>
          <w:p w14:paraId="23AD80BC" w14:textId="3F334C63" w:rsidR="00633B00" w:rsidRPr="00095E4D" w:rsidRDefault="00633B00" w:rsidP="006E2207">
            <w:pPr>
              <w:rPr>
                <w:b/>
                <w:bCs/>
              </w:rPr>
            </w:pPr>
            <w:r w:rsidRPr="00095E4D">
              <w:rPr>
                <w:b/>
                <w:bCs/>
              </w:rPr>
              <w:t xml:space="preserve">Recommendation </w:t>
            </w:r>
            <w:r w:rsidR="00B2338F">
              <w:rPr>
                <w:b/>
                <w:bCs/>
              </w:rPr>
              <w:t>25</w:t>
            </w:r>
          </w:p>
          <w:p w14:paraId="433AC823" w14:textId="77777777" w:rsidR="00633B00" w:rsidRDefault="00F04BEC" w:rsidP="00F04BEC">
            <w:pPr>
              <w:rPr>
                <w:rFonts w:ascii="Cambria" w:hAnsi="Cambria" w:cs="Cambria"/>
              </w:rPr>
            </w:pPr>
            <w:r w:rsidRPr="00F04BEC">
              <w:t>The Committee recommends that the Australian Government establish a unit within the new Employment Services Quality Commission responsible for continuous research and learning regarding service delivery and quality improvement and sharing of good practice.</w:t>
            </w:r>
            <w:r w:rsidRPr="00F04BEC">
              <w:rPr>
                <w:rFonts w:ascii="Cambria" w:hAnsi="Cambria" w:cs="Cambria"/>
              </w:rPr>
              <w:t> </w:t>
            </w:r>
          </w:p>
          <w:p w14:paraId="3F966D2C" w14:textId="50EFF983" w:rsidR="00475C75" w:rsidRPr="00475C75" w:rsidRDefault="00475C75" w:rsidP="00F04BEC">
            <w:pPr>
              <w:rPr>
                <w:b/>
                <w:bCs/>
              </w:rPr>
            </w:pPr>
            <w:r w:rsidRPr="00095E4D">
              <w:rPr>
                <w:b/>
                <w:bCs/>
              </w:rPr>
              <w:t xml:space="preserve">Recommendation </w:t>
            </w:r>
            <w:r>
              <w:rPr>
                <w:b/>
                <w:bCs/>
              </w:rPr>
              <w:t>70</w:t>
            </w:r>
          </w:p>
          <w:p w14:paraId="02A2DF05" w14:textId="77777777" w:rsidR="00475C75" w:rsidRPr="00475C75" w:rsidRDefault="00475C75" w:rsidP="002B2E57">
            <w:r w:rsidRPr="00475C75">
              <w:t>The Employment Services Quality Commission be responsible for:</w:t>
            </w:r>
          </w:p>
          <w:p w14:paraId="3D526968" w14:textId="5630511E" w:rsidR="00475C75" w:rsidRPr="00475C75" w:rsidRDefault="00530A3D" w:rsidP="002B2E57">
            <w:pPr>
              <w:pStyle w:val="Bullet1"/>
            </w:pPr>
            <w:r>
              <w:t>A</w:t>
            </w:r>
            <w:r w:rsidR="00475C75" w:rsidRPr="00475C75">
              <w:t>dvising government on funding models and recommended pricing for quality services</w:t>
            </w:r>
          </w:p>
          <w:p w14:paraId="1DA2832B" w14:textId="05A21607" w:rsidR="00475C75" w:rsidRPr="00475C75" w:rsidRDefault="00530A3D" w:rsidP="002B2E57">
            <w:pPr>
              <w:pStyle w:val="Bullet1"/>
            </w:pPr>
            <w:r>
              <w:t>P</w:t>
            </w:r>
            <w:r w:rsidR="00475C75" w:rsidRPr="00475C75">
              <w:t>referred approaches to funding service partners</w:t>
            </w:r>
          </w:p>
          <w:p w14:paraId="0C460EE3" w14:textId="38A2BCC3" w:rsidR="00B2338F" w:rsidRPr="00095E4D" w:rsidRDefault="00530A3D" w:rsidP="002B2E57">
            <w:pPr>
              <w:pStyle w:val="Bullet1"/>
            </w:pPr>
            <w:r>
              <w:t>M</w:t>
            </w:r>
            <w:r w:rsidR="00475C75" w:rsidRPr="00475C75">
              <w:t>onitoring and reporting periodically on the system’s overall operating costs (including transactional and other costs relating to a quasi-market) so there is greater transparency for government and the public.</w:t>
            </w:r>
          </w:p>
        </w:tc>
      </w:tr>
    </w:tbl>
    <w:p w14:paraId="0FE88D26" w14:textId="38546086" w:rsidR="001D7A54" w:rsidRDefault="001D7A54" w:rsidP="00622324">
      <w:pPr>
        <w:pStyle w:val="Heading4"/>
      </w:pPr>
      <w:r>
        <w:lastRenderedPageBreak/>
        <w:t>Costing</w:t>
      </w:r>
      <w:r w:rsidR="003B73FA">
        <w:t xml:space="preserve"> </w:t>
      </w:r>
      <w:r w:rsidR="003B73FA" w:rsidRPr="00622324">
        <w:t>and</w:t>
      </w:r>
      <w:r w:rsidR="003B73FA">
        <w:t xml:space="preserve"> validation</w:t>
      </w:r>
    </w:p>
    <w:p w14:paraId="44E170A4" w14:textId="694F3C99" w:rsidR="005C1CEE" w:rsidRDefault="007F19F0" w:rsidP="001D7A54">
      <w:r>
        <w:t xml:space="preserve">An initial estimate of </w:t>
      </w:r>
      <w:r w:rsidR="002B2E57">
        <w:t xml:space="preserve">the cost of the ESQC is </w:t>
      </w:r>
      <w:r w:rsidR="003B73FA">
        <w:t>$54.5M per year</w:t>
      </w:r>
      <w:r w:rsidR="00514F35">
        <w:t xml:space="preserve">, </w:t>
      </w:r>
      <w:r w:rsidR="00D303A4">
        <w:t xml:space="preserve">based on the cost of the Australian Skills Quality Authority in 2024-25. </w:t>
      </w:r>
      <w:r w:rsidR="00514F35">
        <w:t>The ASQA</w:t>
      </w:r>
      <w:r w:rsidR="00AC66B0">
        <w:t xml:space="preserve"> is the national regulator</w:t>
      </w:r>
      <w:r w:rsidR="00514F35">
        <w:t xml:space="preserve"> </w:t>
      </w:r>
      <w:r w:rsidR="00945B33">
        <w:t xml:space="preserve">for vocational education and </w:t>
      </w:r>
      <w:proofErr w:type="gramStart"/>
      <w:r w:rsidR="00945B33">
        <w:t>training, and</w:t>
      </w:r>
      <w:proofErr w:type="gramEnd"/>
      <w:r w:rsidR="00945B33">
        <w:t xml:space="preserve"> </w:t>
      </w:r>
      <w:r w:rsidR="00A44442">
        <w:t>shares a lo</w:t>
      </w:r>
      <w:r w:rsidR="00AF31FA">
        <w:t xml:space="preserve">t of the </w:t>
      </w:r>
      <w:r w:rsidR="00AD48A5">
        <w:t>equivalent</w:t>
      </w:r>
      <w:r w:rsidR="00AF31FA">
        <w:t xml:space="preserve"> responsibilities to the proposed ESQC</w:t>
      </w:r>
      <w:r w:rsidR="00945B33">
        <w:t xml:space="preserve"> including </w:t>
      </w:r>
      <w:r w:rsidR="002B380F">
        <w:t xml:space="preserve">ensuring </w:t>
      </w:r>
      <w:r w:rsidR="00631153">
        <w:t xml:space="preserve">education providers are delivering high-quality qualifications and handling complaints. </w:t>
      </w:r>
      <w:r w:rsidR="005C1CEE">
        <w:t>We also considered the cost</w:t>
      </w:r>
      <w:r w:rsidR="00AD48A5">
        <w:t xml:space="preserve"> (in 2024-25) </w:t>
      </w:r>
      <w:r w:rsidR="005C1CEE">
        <w:t>of other national regulators:</w:t>
      </w:r>
    </w:p>
    <w:p w14:paraId="2181E0B7" w14:textId="39CFA27B" w:rsidR="00C552D4" w:rsidRDefault="00486090" w:rsidP="005C1CEE">
      <w:pPr>
        <w:pStyle w:val="Bullet1"/>
      </w:pPr>
      <w:r>
        <w:t xml:space="preserve">National Disability Insurance Scheme Quality and Safeguards Commission </w:t>
      </w:r>
      <w:r w:rsidR="00C552D4">
        <w:t>(NDISQSC) –</w:t>
      </w:r>
      <w:r w:rsidR="00CE0B9F">
        <w:t xml:space="preserve"> $207.9M</w:t>
      </w:r>
    </w:p>
    <w:p w14:paraId="3D4A798F" w14:textId="79EDB077" w:rsidR="00036232" w:rsidRDefault="00C552D4" w:rsidP="005C1CEE">
      <w:pPr>
        <w:pStyle w:val="Bullet1"/>
      </w:pPr>
      <w:r>
        <w:t>Age</w:t>
      </w:r>
      <w:r w:rsidR="00036232">
        <w:t xml:space="preserve"> Care Quality and Safety Commission (ACQ</w:t>
      </w:r>
      <w:r w:rsidR="00CE0B9F">
        <w:t xml:space="preserve">SC) – </w:t>
      </w:r>
      <w:r w:rsidR="00640CB2">
        <w:t>$338.4M</w:t>
      </w:r>
    </w:p>
    <w:p w14:paraId="7A1E52EE" w14:textId="77777777" w:rsidR="000951CF" w:rsidRDefault="00036232" w:rsidP="005C1CEE">
      <w:pPr>
        <w:pStyle w:val="Bullet1"/>
      </w:pPr>
      <w:r>
        <w:t>Australian Commission for Safety and Quality in Health Care (ACSQHC)</w:t>
      </w:r>
      <w:r w:rsidR="00C552D4">
        <w:t xml:space="preserve"> </w:t>
      </w:r>
      <w:r w:rsidR="00CE0B9F">
        <w:t xml:space="preserve">– </w:t>
      </w:r>
      <w:r w:rsidR="00640CB2">
        <w:t>$</w:t>
      </w:r>
      <w:r w:rsidR="000951CF">
        <w:t>35.2M</w:t>
      </w:r>
    </w:p>
    <w:p w14:paraId="199DEA16" w14:textId="125CCB7F" w:rsidR="00693F26" w:rsidRDefault="008762A2" w:rsidP="009B50A6">
      <w:pPr>
        <w:pStyle w:val="Bullet1"/>
        <w:numPr>
          <w:ilvl w:val="0"/>
          <w:numId w:val="0"/>
        </w:numPr>
      </w:pPr>
      <w:r>
        <w:t xml:space="preserve">Both the NDISQSC and ACQSC are relatively expensive to operate but </w:t>
      </w:r>
      <w:r w:rsidR="007A5C5A">
        <w:t>also deal with much large</w:t>
      </w:r>
      <w:r w:rsidR="0094404E">
        <w:t xml:space="preserve">r workforces and </w:t>
      </w:r>
      <w:r w:rsidR="003509CF">
        <w:t>administered expenditure</w:t>
      </w:r>
      <w:r w:rsidR="0094404E">
        <w:t xml:space="preserve">. </w:t>
      </w:r>
      <w:r w:rsidR="00B12288">
        <w:t xml:space="preserve">On the other hand, </w:t>
      </w:r>
      <w:r w:rsidR="000C0421">
        <w:t xml:space="preserve">the ACSQHC has a relatively small operating </w:t>
      </w:r>
      <w:proofErr w:type="gramStart"/>
      <w:r w:rsidR="000C0421">
        <w:t>cost</w:t>
      </w:r>
      <w:proofErr w:type="gramEnd"/>
      <w:r w:rsidR="000C0421">
        <w:t xml:space="preserve"> but </w:t>
      </w:r>
      <w:r w:rsidR="00482795">
        <w:t>it is not responsible for handling complaints</w:t>
      </w:r>
      <w:r w:rsidR="00700BC4">
        <w:t xml:space="preserve"> which is expected to be a large component of cost for the ESQC</w:t>
      </w:r>
      <w:r w:rsidR="00482795">
        <w:t xml:space="preserve">. Overall, </w:t>
      </w:r>
      <w:r w:rsidR="00700BC4">
        <w:t xml:space="preserve">the </w:t>
      </w:r>
      <w:r w:rsidR="009B50A6">
        <w:t>ASQA was deemed to be the most comparable to the proposed ESQC.</w:t>
      </w:r>
      <w:bookmarkStart w:id="63" w:name="_Ref219198112"/>
    </w:p>
    <w:p w14:paraId="14F0A1E7" w14:textId="164FE0D3" w:rsidR="009B50A6" w:rsidRPr="00D64981" w:rsidRDefault="00D64981" w:rsidP="00622324">
      <w:pPr>
        <w:pStyle w:val="Heading2"/>
        <w:numPr>
          <w:ilvl w:val="0"/>
          <w:numId w:val="0"/>
        </w:numPr>
        <w:spacing w:before="360" w:after="360"/>
        <w:ind w:left="992" w:hanging="992"/>
      </w:pPr>
      <w:bookmarkStart w:id="64" w:name="_Toc226038409"/>
      <w:bookmarkStart w:id="65" w:name="_Ref220654121"/>
      <w:bookmarkEnd w:id="63"/>
      <w:bookmarkEnd w:id="64"/>
      <w:r w:rsidRPr="00D64981">
        <w:lastRenderedPageBreak/>
        <w:t>Appendix A</w:t>
      </w:r>
    </w:p>
    <w:bookmarkEnd w:id="65"/>
    <w:p w14:paraId="5D82C622" w14:textId="7DFC2F60" w:rsidR="009C424B" w:rsidRPr="009C424B" w:rsidRDefault="00CA4C47" w:rsidP="00660446">
      <w:pPr>
        <w:pStyle w:val="Caption"/>
      </w:pPr>
      <w:r>
        <w:t xml:space="preserve">Table </w:t>
      </w:r>
      <w:r w:rsidR="001703C6">
        <w:fldChar w:fldCharType="begin"/>
      </w:r>
      <w:r w:rsidR="001703C6">
        <w:instrText xml:space="preserve"> SEQ Table \* ARABIC </w:instrText>
      </w:r>
      <w:r w:rsidR="001703C6">
        <w:fldChar w:fldCharType="separate"/>
      </w:r>
      <w:r w:rsidR="001703C6">
        <w:rPr>
          <w:noProof/>
        </w:rPr>
        <w:t>9</w:t>
      </w:r>
      <w:r w:rsidR="001703C6">
        <w:rPr>
          <w:noProof/>
        </w:rPr>
        <w:fldChar w:fldCharType="end"/>
      </w:r>
      <w:r>
        <w:t xml:space="preserve">: </w:t>
      </w:r>
      <w:r w:rsidR="00660446">
        <w:t>Summary of recommendations from 2023, 2024 and 2025 EIAC report</w:t>
      </w:r>
      <w:r w:rsidR="005026A9">
        <w:t>s</w:t>
      </w:r>
    </w:p>
    <w:tbl>
      <w:tblPr>
        <w:tblStyle w:val="TableGrid"/>
        <w:tblW w:w="0" w:type="auto"/>
        <w:tblLook w:val="04A0" w:firstRow="1" w:lastRow="0" w:firstColumn="1" w:lastColumn="0" w:noHBand="0" w:noVBand="1"/>
      </w:tblPr>
      <w:tblGrid>
        <w:gridCol w:w="1456"/>
        <w:gridCol w:w="7956"/>
      </w:tblGrid>
      <w:tr w:rsidR="008108A0" w:rsidRPr="008108A0" w14:paraId="587F43C7" w14:textId="77777777">
        <w:trPr>
          <w:trHeight w:val="300"/>
        </w:trPr>
        <w:tc>
          <w:tcPr>
            <w:tcW w:w="1560" w:type="dxa"/>
            <w:tcBorders>
              <w:top w:val="single" w:sz="8" w:space="0" w:color="4F81BD"/>
              <w:left w:val="nil"/>
              <w:bottom w:val="single" w:sz="8" w:space="0" w:color="4F81BD"/>
              <w:right w:val="nil"/>
            </w:tcBorders>
            <w:tcMar>
              <w:left w:w="108" w:type="dxa"/>
              <w:right w:w="108" w:type="dxa"/>
            </w:tcMar>
            <w:vAlign w:val="bottom"/>
          </w:tcPr>
          <w:p w14:paraId="3C515899" w14:textId="77777777" w:rsidR="008108A0" w:rsidRPr="008108A0" w:rsidRDefault="008108A0" w:rsidP="008108A0">
            <w:r w:rsidRPr="008108A0">
              <w:rPr>
                <w:b/>
                <w:bCs/>
              </w:rPr>
              <w:t>EIAC Report</w:t>
            </w:r>
          </w:p>
        </w:tc>
        <w:tc>
          <w:tcPr>
            <w:tcW w:w="8910" w:type="dxa"/>
            <w:tcBorders>
              <w:top w:val="single" w:sz="8" w:space="0" w:color="4F81BD"/>
              <w:left w:val="nil"/>
              <w:bottom w:val="single" w:sz="8" w:space="0" w:color="4F81BD"/>
              <w:right w:val="nil"/>
            </w:tcBorders>
            <w:tcMar>
              <w:left w:w="108" w:type="dxa"/>
              <w:right w:w="108" w:type="dxa"/>
            </w:tcMar>
            <w:vAlign w:val="bottom"/>
          </w:tcPr>
          <w:p w14:paraId="17C0BF80" w14:textId="77777777" w:rsidR="008108A0" w:rsidRPr="008108A0" w:rsidRDefault="008108A0" w:rsidP="008108A0">
            <w:r w:rsidRPr="008108A0">
              <w:rPr>
                <w:b/>
                <w:bCs/>
              </w:rPr>
              <w:t>Key issues and recommendations</w:t>
            </w:r>
          </w:p>
        </w:tc>
      </w:tr>
      <w:tr w:rsidR="008108A0" w:rsidRPr="008108A0" w14:paraId="3363B8E3" w14:textId="77777777">
        <w:trPr>
          <w:trHeight w:val="300"/>
        </w:trPr>
        <w:tc>
          <w:tcPr>
            <w:tcW w:w="1560" w:type="dxa"/>
            <w:tcBorders>
              <w:top w:val="single" w:sz="8" w:space="0" w:color="4F81BD"/>
              <w:left w:val="nil"/>
              <w:bottom w:val="nil"/>
              <w:right w:val="nil"/>
            </w:tcBorders>
            <w:shd w:val="clear" w:color="auto" w:fill="EFF8FF"/>
            <w:tcMar>
              <w:left w:w="108" w:type="dxa"/>
              <w:right w:w="108" w:type="dxa"/>
            </w:tcMar>
          </w:tcPr>
          <w:p w14:paraId="2557FE90" w14:textId="77777777" w:rsidR="008108A0" w:rsidRPr="008108A0" w:rsidRDefault="008108A0" w:rsidP="008108A0">
            <w:r w:rsidRPr="008108A0">
              <w:t>2025</w:t>
            </w:r>
          </w:p>
        </w:tc>
        <w:tc>
          <w:tcPr>
            <w:tcW w:w="8910" w:type="dxa"/>
            <w:tcBorders>
              <w:top w:val="single" w:sz="8" w:space="0" w:color="4F81BD"/>
              <w:left w:val="nil"/>
              <w:bottom w:val="nil"/>
              <w:right w:val="nil"/>
            </w:tcBorders>
            <w:shd w:val="clear" w:color="auto" w:fill="EFF8FF"/>
            <w:tcMar>
              <w:left w:w="108" w:type="dxa"/>
              <w:right w:w="108" w:type="dxa"/>
            </w:tcMar>
          </w:tcPr>
          <w:p w14:paraId="3BCDA8EA" w14:textId="77777777" w:rsidR="008108A0" w:rsidRPr="008108A0" w:rsidRDefault="008108A0" w:rsidP="002527EA">
            <w:pPr>
              <w:pStyle w:val="Bullet1"/>
            </w:pPr>
            <w:r w:rsidRPr="008108A0">
              <w:t xml:space="preserve">The Committee’s consultations have uncovered much evidence that the current system </w:t>
            </w:r>
            <w:proofErr w:type="gramStart"/>
            <w:r w:rsidRPr="008108A0">
              <w:t>actually hinders</w:t>
            </w:r>
            <w:proofErr w:type="gramEnd"/>
            <w:r w:rsidRPr="008108A0">
              <w:t xml:space="preserve"> people from moving into employment</w:t>
            </w:r>
          </w:p>
          <w:p w14:paraId="5BD5E13D" w14:textId="77777777" w:rsidR="008108A0" w:rsidRPr="008108A0" w:rsidRDefault="008108A0" w:rsidP="002527EA">
            <w:pPr>
              <w:pStyle w:val="Bullet1"/>
            </w:pPr>
            <w:r w:rsidRPr="008108A0">
              <w:t>More than 385,000 people have been in the employment services (Workforce Australia) system for over 12 months, and 125,000 people have been in the system for more than 5 years</w:t>
            </w:r>
          </w:p>
          <w:p w14:paraId="372EBEE5" w14:textId="77777777" w:rsidR="008108A0" w:rsidRPr="008108A0" w:rsidRDefault="008108A0" w:rsidP="002527EA">
            <w:pPr>
              <w:pStyle w:val="Bullet1"/>
            </w:pPr>
            <w:r w:rsidRPr="008108A0">
              <w:t>The Government’s Working Future White Paper found there are around 3 million people who either want work or want to work more hours</w:t>
            </w:r>
          </w:p>
          <w:p w14:paraId="175E39F3" w14:textId="70FC497D" w:rsidR="008108A0" w:rsidRPr="008108A0" w:rsidRDefault="008108A0" w:rsidP="002527EA">
            <w:pPr>
              <w:pStyle w:val="Bullet1"/>
            </w:pPr>
            <w:r w:rsidRPr="008108A0">
              <w:t>There is currently no legislative framework specifically focused on employment services. Rather, the Social Security Act 1991 authorises expenditure relating to employment services</w:t>
            </w:r>
          </w:p>
          <w:p w14:paraId="14E1E231" w14:textId="77777777" w:rsidR="008108A0" w:rsidRPr="008108A0" w:rsidRDefault="008108A0" w:rsidP="002527EA">
            <w:pPr>
              <w:pStyle w:val="Bullet1"/>
            </w:pPr>
            <w:r w:rsidRPr="008108A0">
              <w:t>The absence of a unifying legislative framework for employment services means that the core purpose of the system remains confused; is it about helping people into sustainable employment, or policing social security payments?</w:t>
            </w:r>
          </w:p>
          <w:p w14:paraId="38AF2D25" w14:textId="66206920" w:rsidR="008108A0" w:rsidRPr="008108A0" w:rsidRDefault="008108A0" w:rsidP="002527EA">
            <w:pPr>
              <w:pStyle w:val="Bullet1"/>
            </w:pPr>
            <w:r w:rsidRPr="008108A0">
              <w:t>This transactional contracting approach relies on a compliance-driven regulatory model which is “unhelpfully costly and defensive”</w:t>
            </w:r>
            <w:r w:rsidR="00C8533E">
              <w:t>.</w:t>
            </w:r>
          </w:p>
        </w:tc>
      </w:tr>
      <w:tr w:rsidR="008108A0" w:rsidRPr="008108A0" w14:paraId="6D3C6E21" w14:textId="77777777">
        <w:trPr>
          <w:trHeight w:val="300"/>
        </w:trPr>
        <w:tc>
          <w:tcPr>
            <w:tcW w:w="1560" w:type="dxa"/>
            <w:tcBorders>
              <w:top w:val="nil"/>
              <w:left w:val="nil"/>
              <w:bottom w:val="nil"/>
              <w:right w:val="nil"/>
            </w:tcBorders>
            <w:tcMar>
              <w:left w:w="108" w:type="dxa"/>
              <w:right w:w="108" w:type="dxa"/>
            </w:tcMar>
          </w:tcPr>
          <w:p w14:paraId="13B8AB25" w14:textId="77777777" w:rsidR="008108A0" w:rsidRPr="008108A0" w:rsidRDefault="008108A0" w:rsidP="008108A0">
            <w:r w:rsidRPr="008108A0">
              <w:t>2024</w:t>
            </w:r>
          </w:p>
        </w:tc>
        <w:tc>
          <w:tcPr>
            <w:tcW w:w="8910" w:type="dxa"/>
            <w:tcBorders>
              <w:top w:val="nil"/>
              <w:left w:val="nil"/>
              <w:bottom w:val="nil"/>
              <w:right w:val="nil"/>
            </w:tcBorders>
            <w:tcMar>
              <w:left w:w="108" w:type="dxa"/>
              <w:right w:w="108" w:type="dxa"/>
            </w:tcMar>
          </w:tcPr>
          <w:p w14:paraId="2E8A5347" w14:textId="4464FAD5" w:rsidR="008108A0" w:rsidRPr="008108A0" w:rsidRDefault="002527EA" w:rsidP="002527EA">
            <w:pPr>
              <w:pStyle w:val="Bullet1"/>
            </w:pPr>
            <w:r>
              <w:t>T</w:t>
            </w:r>
            <w:r w:rsidR="008108A0" w:rsidRPr="008108A0">
              <w:t>he privatisation of employment services that began around a quarter of a century ago has failed to improve the prospects of Australians looking for work</w:t>
            </w:r>
            <w:r w:rsidR="00C8533E">
              <w:t>.</w:t>
            </w:r>
          </w:p>
          <w:p w14:paraId="0BA9A469" w14:textId="58EAD7C8" w:rsidR="008108A0" w:rsidRPr="008108A0" w:rsidRDefault="002527EA" w:rsidP="002527EA">
            <w:pPr>
              <w:pStyle w:val="Bullet1"/>
            </w:pPr>
            <w:r>
              <w:t>R</w:t>
            </w:r>
            <w:r w:rsidR="008108A0" w:rsidRPr="008108A0">
              <w:t>eforms must be built around a new and positive culture and set of objectives that suit our contemporary economic needs. This will require a fundamental shift away from the “deficit and punishment paradigm” that animates so much of the current system and is responsible for so many of its failures</w:t>
            </w:r>
            <w:r w:rsidR="00C8533E">
              <w:t>.</w:t>
            </w:r>
          </w:p>
          <w:p w14:paraId="06150CEA" w14:textId="28788933" w:rsidR="008108A0" w:rsidRPr="008108A0" w:rsidRDefault="008108A0" w:rsidP="002527EA">
            <w:pPr>
              <w:pStyle w:val="Bullet1"/>
            </w:pPr>
            <w:r w:rsidRPr="008108A0">
              <w:t xml:space="preserve">Different categories of </w:t>
            </w:r>
            <w:r w:rsidR="00994EA8">
              <w:t>jobseeker</w:t>
            </w:r>
            <w:r w:rsidRPr="008108A0">
              <w:t xml:space="preserve">s respond to different forms of assistance: job search programs work best for those who are relatively </w:t>
            </w:r>
            <w:r w:rsidR="00B423B0" w:rsidRPr="008108A0">
              <w:t>job ready</w:t>
            </w:r>
            <w:r w:rsidRPr="008108A0">
              <w:t xml:space="preserve">; wage subsidy programs help </w:t>
            </w:r>
            <w:r w:rsidR="00994EA8">
              <w:t>jobseeker</w:t>
            </w:r>
            <w:r w:rsidRPr="008108A0">
              <w:t xml:space="preserve">s who benefit from demonstrating their capabilities to employers; and public sector job creation programs only benefit </w:t>
            </w:r>
            <w:r w:rsidR="00994EA8">
              <w:t>jobseeker</w:t>
            </w:r>
            <w:r w:rsidRPr="008108A0">
              <w:t>s if they allow them to acquire job-relevant skills and provide a pathway to longer-term employment</w:t>
            </w:r>
            <w:r w:rsidR="00C8533E">
              <w:t>.</w:t>
            </w:r>
          </w:p>
          <w:p w14:paraId="709D2C65" w14:textId="1742BCFF" w:rsidR="008108A0" w:rsidRPr="008108A0" w:rsidRDefault="008108A0" w:rsidP="002527EA">
            <w:pPr>
              <w:pStyle w:val="Bullet1"/>
            </w:pPr>
            <w:r w:rsidRPr="008108A0">
              <w:t>People who experience the most disadvantage and long-term unemployment often do not need help writing resumes or sending in job applications</w:t>
            </w:r>
            <w:r w:rsidR="00C8533E">
              <w:t>.</w:t>
            </w:r>
          </w:p>
          <w:p w14:paraId="58BD1228" w14:textId="77777777" w:rsidR="008108A0" w:rsidRPr="008108A0" w:rsidRDefault="008108A0" w:rsidP="002527EA">
            <w:pPr>
              <w:pStyle w:val="Bullet1"/>
            </w:pPr>
            <w:r w:rsidRPr="008108A0">
              <w:t>For people who face significant barriers to employment, the employment services system must become the front door to a broader human services system that is better equipped to provide a range of necessary supports. This is a shift from the ‘work first’ models that have formed the basis of employment services over the past 25 years, towards a system based on genuinely meeting the needs of a person where they are.</w:t>
            </w:r>
          </w:p>
          <w:p w14:paraId="686E5EEC" w14:textId="77777777" w:rsidR="008108A0" w:rsidRPr="008108A0" w:rsidRDefault="008108A0" w:rsidP="002527EA">
            <w:pPr>
              <w:pStyle w:val="Bullet1"/>
            </w:pPr>
            <w:r w:rsidRPr="008108A0">
              <w:t>With the right approach, a new employment services system can have a major modernising effect on our economy, now undergoing major transitions in industries like energy and health and human services.</w:t>
            </w:r>
          </w:p>
        </w:tc>
      </w:tr>
      <w:tr w:rsidR="008108A0" w:rsidRPr="008108A0" w14:paraId="6BAC34FA" w14:textId="77777777">
        <w:trPr>
          <w:trHeight w:val="300"/>
        </w:trPr>
        <w:tc>
          <w:tcPr>
            <w:tcW w:w="1560" w:type="dxa"/>
            <w:tcBorders>
              <w:top w:val="nil"/>
              <w:left w:val="nil"/>
              <w:bottom w:val="single" w:sz="8" w:space="0" w:color="4F81BD"/>
              <w:right w:val="nil"/>
            </w:tcBorders>
            <w:shd w:val="clear" w:color="auto" w:fill="EFF8FF"/>
            <w:tcMar>
              <w:left w:w="108" w:type="dxa"/>
              <w:right w:w="108" w:type="dxa"/>
            </w:tcMar>
          </w:tcPr>
          <w:p w14:paraId="4259E57E" w14:textId="77777777" w:rsidR="008108A0" w:rsidRPr="008108A0" w:rsidRDefault="008108A0" w:rsidP="008108A0">
            <w:r w:rsidRPr="008108A0">
              <w:t>2023</w:t>
            </w:r>
          </w:p>
        </w:tc>
        <w:tc>
          <w:tcPr>
            <w:tcW w:w="8910" w:type="dxa"/>
            <w:tcBorders>
              <w:top w:val="nil"/>
              <w:left w:val="nil"/>
              <w:bottom w:val="single" w:sz="8" w:space="0" w:color="4F81BD"/>
              <w:right w:val="nil"/>
            </w:tcBorders>
            <w:shd w:val="clear" w:color="auto" w:fill="EFF8FF"/>
            <w:tcMar>
              <w:left w:w="108" w:type="dxa"/>
              <w:right w:w="108" w:type="dxa"/>
            </w:tcMar>
          </w:tcPr>
          <w:p w14:paraId="0DC5F635" w14:textId="0E5F5E28" w:rsidR="008108A0" w:rsidRPr="008108A0" w:rsidRDefault="008108A0" w:rsidP="002527EA">
            <w:pPr>
              <w:pStyle w:val="Bullet1"/>
            </w:pPr>
            <w:r w:rsidRPr="008108A0">
              <w:t xml:space="preserve">Recommendation 4: The Government consider any increase in income support be accompanied by, but not contingent upon, major reform of employment services to </w:t>
            </w:r>
            <w:r w:rsidRPr="008108A0">
              <w:lastRenderedPageBreak/>
              <w:t xml:space="preserve">support people who have been on payments for an extended period, including exploring demand-led and </w:t>
            </w:r>
            <w:proofErr w:type="gramStart"/>
            <w:r w:rsidRPr="008108A0">
              <w:t>place based</w:t>
            </w:r>
            <w:proofErr w:type="gramEnd"/>
            <w:r w:rsidRPr="008108A0">
              <w:t xml:space="preserve"> approaches</w:t>
            </w:r>
          </w:p>
          <w:p w14:paraId="7E830426" w14:textId="77777777" w:rsidR="008108A0" w:rsidRPr="008108A0" w:rsidRDefault="008108A0" w:rsidP="002527EA">
            <w:pPr>
              <w:pStyle w:val="Bullet1"/>
            </w:pPr>
            <w:r w:rsidRPr="008108A0">
              <w:t>We recommend that there be a shared commitment to reduce long-term unemployment through investment in programs that make a difference, including demand-led approaches in which people are trained based on the needs of a business and the demand it has for labour, as well as supporting people who are long-term unemployed and want to get paid work</w:t>
            </w:r>
          </w:p>
          <w:p w14:paraId="03432F27" w14:textId="77777777" w:rsidR="008108A0" w:rsidRPr="008108A0" w:rsidRDefault="008108A0" w:rsidP="002527EA">
            <w:pPr>
              <w:pStyle w:val="Bullet1"/>
            </w:pPr>
            <w:r w:rsidRPr="008108A0">
              <w:t>There also needs to be reform of employment services to provide wrap around support and continuity of programs for people experiencing disadvantage</w:t>
            </w:r>
          </w:p>
          <w:p w14:paraId="43749CB2" w14:textId="70F79BC9" w:rsidR="008108A0" w:rsidRPr="008108A0" w:rsidRDefault="008108A0" w:rsidP="002527EA">
            <w:pPr>
              <w:pStyle w:val="Bullet1"/>
            </w:pPr>
            <w:r w:rsidRPr="008108A0">
              <w:t>It must also be recognised that over a quarter of the Australian population are digitally excluded. There are significant benefits from digital service delivery, but we must ensure this does not exclude or disadvantage people with limited digital access or capabilities</w:t>
            </w:r>
            <w:r w:rsidR="00C8533E">
              <w:t>.</w:t>
            </w:r>
          </w:p>
        </w:tc>
      </w:tr>
    </w:tbl>
    <w:p w14:paraId="690CCED6" w14:textId="77777777" w:rsidR="00900853" w:rsidRPr="008108A0" w:rsidRDefault="00900853" w:rsidP="00C8533E"/>
    <w:sectPr w:rsidR="00900853" w:rsidRPr="008108A0" w:rsidSect="004A3EE0">
      <w:pgSz w:w="11906" w:h="16838" w:code="9"/>
      <w:pgMar w:top="1418" w:right="1247" w:bottom="1418" w:left="124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EBFE4" w14:textId="77777777" w:rsidR="0070428F" w:rsidRDefault="0070428F" w:rsidP="00874497">
      <w:pPr>
        <w:spacing w:after="0"/>
      </w:pPr>
      <w:r>
        <w:separator/>
      </w:r>
    </w:p>
    <w:p w14:paraId="35F44F2B" w14:textId="77777777" w:rsidR="0070428F" w:rsidRDefault="0070428F"/>
  </w:endnote>
  <w:endnote w:type="continuationSeparator" w:id="0">
    <w:p w14:paraId="76E6EEE3" w14:textId="77777777" w:rsidR="0070428F" w:rsidRDefault="0070428F" w:rsidP="00874497">
      <w:pPr>
        <w:spacing w:after="0"/>
      </w:pPr>
      <w:r>
        <w:continuationSeparator/>
      </w:r>
    </w:p>
    <w:p w14:paraId="146767A3" w14:textId="77777777" w:rsidR="0070428F" w:rsidRDefault="00704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43D947-C0A0-47EE-BB52-79A85FC9233E}"/>
  </w:font>
  <w:font w:name="Wingdings">
    <w:panose1 w:val="05000000000000000000"/>
    <w:charset w:val="02"/>
    <w:family w:val="auto"/>
    <w:pitch w:val="variable"/>
    <w:sig w:usb0="00000000" w:usb1="10000000" w:usb2="00000000" w:usb3="00000000" w:csb0="80000000" w:csb1="00000000"/>
  </w:font>
  <w:font w:name="Blanco">
    <w:altName w:val="Cambria"/>
    <w:charset w:val="00"/>
    <w:family w:val="roman"/>
    <w:pitch w:val="variable"/>
    <w:sig w:usb0="20000007" w:usb1="00000000" w:usb2="00000000" w:usb3="00000000" w:csb0="00000193" w:csb1="00000000"/>
    <w:embedRegular r:id="rId2" w:fontKey="{086D649C-DEF6-4D09-8B44-B397609F890C}"/>
    <w:embedBold r:id="rId3" w:fontKey="{D11E9890-5C93-4F54-81E4-09CC4D9AF8C6}"/>
    <w:embedItalic r:id="rId4" w:fontKey="{CF65D7B8-E182-405B-942E-98AF33F1FA92}"/>
    <w:embedBoldItalic r:id="rId5" w:fontKey="{816D5A1A-3987-423C-9EB6-DA07FAEF119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D74E5D82-25E0-43A9-BF93-902ECECA94F2}"/>
    <w:embedBold r:id="rId7" w:fontKey="{74375D26-D094-4CF7-A0D9-A8B5F42EAAC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C7EDD518-C44E-4244-87FE-6DE29791A47F}"/>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9" w:fontKey="{E979C170-0B0C-44C0-8829-2DD3E68C4577}"/>
  </w:font>
  <w:font w:name="Cambria">
    <w:panose1 w:val="02040503050406030204"/>
    <w:charset w:val="00"/>
    <w:family w:val="roman"/>
    <w:pitch w:val="variable"/>
    <w:sig w:usb0="E00006FF" w:usb1="420024FF" w:usb2="02000000" w:usb3="00000000" w:csb0="0000019F" w:csb1="00000000"/>
    <w:embedRegular r:id="rId10" w:fontKey="{542EE93D-6F92-4D25-9391-7BAEA8F70F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5407" w14:textId="77777777" w:rsidR="00743B0C" w:rsidRDefault="00743B0C">
    <w:pPr>
      <w:pStyle w:val="Footer"/>
    </w:pPr>
    <w:r w:rsidRPr="00A54D82">
      <w:ptab w:relativeTo="margin" w:alignment="right" w:leader="none"/>
    </w:r>
    <w:r w:rsidRPr="00A54D82">
      <w:rPr>
        <w:noProof/>
      </w:rPr>
      <w:drawing>
        <wp:inline distT="0" distB="0" distL="0" distR="0" wp14:anchorId="58B83A1B" wp14:editId="4BFDBA75">
          <wp:extent cx="976056" cy="82800"/>
          <wp:effectExtent l="0" t="0" r="0" b="0"/>
          <wp:docPr id="20626831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2350"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56" cy="82800"/>
                  </a:xfrm>
                  <a:prstGeom prst="rect">
                    <a:avLst/>
                  </a:prstGeom>
                </pic:spPr>
              </pic:pic>
            </a:graphicData>
          </a:graphic>
        </wp:inline>
      </w:drawing>
    </w:r>
    <w:r w:rsidRPr="00A54D82">
      <w:fldChar w:fldCharType="begin"/>
    </w:r>
    <w:r w:rsidRPr="00A54D82">
      <w:instrText xml:space="preserve"> PAGE   \* MERGEFORMAT </w:instrText>
    </w:r>
    <w:r w:rsidRPr="00A54D82">
      <w:fldChar w:fldCharType="separate"/>
    </w:r>
    <w:r>
      <w:t>ii</w:t>
    </w:r>
    <w:r w:rsidRPr="00A54D8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C67C" w14:textId="256A0787" w:rsidR="007E1DAE" w:rsidRPr="00A54D82" w:rsidRDefault="0005420D" w:rsidP="00A54D82">
    <w:pPr>
      <w:pStyle w:val="Footer"/>
    </w:pPr>
    <w:r>
      <w:t xml:space="preserve">Employment services reform </w:t>
    </w:r>
  </w:p>
  <w:p w14:paraId="52A64305" w14:textId="6E3F6CAA" w:rsidR="00581965" w:rsidRDefault="00A46103">
    <w:pPr>
      <w:pStyle w:val="Footer"/>
    </w:pPr>
    <w:r>
      <w:t>Final Report</w:t>
    </w:r>
    <w:r w:rsidR="007E1DAE" w:rsidRPr="00A54D82">
      <w:ptab w:relativeTo="margin" w:alignment="right" w:leader="none"/>
    </w:r>
    <w:r w:rsidR="007E1DAE" w:rsidRPr="00A54D82">
      <w:rPr>
        <w:noProof/>
      </w:rPr>
      <w:drawing>
        <wp:inline distT="0" distB="0" distL="0" distR="0" wp14:anchorId="407D3F08" wp14:editId="3B1E9B4C">
          <wp:extent cx="976056" cy="82800"/>
          <wp:effectExtent l="0" t="0" r="0" b="0"/>
          <wp:docPr id="1406944489"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6024" name="Picture 70">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56" cy="82800"/>
                  </a:xfrm>
                  <a:prstGeom prst="rect">
                    <a:avLst/>
                  </a:prstGeom>
                </pic:spPr>
              </pic:pic>
            </a:graphicData>
          </a:graphic>
        </wp:inline>
      </w:drawing>
    </w:r>
    <w:r w:rsidR="007E1DAE" w:rsidRPr="00A54D82">
      <w:fldChar w:fldCharType="begin"/>
    </w:r>
    <w:r w:rsidR="007E1DAE" w:rsidRPr="00A54D82">
      <w:instrText xml:space="preserve"> PAGE   \* MERGEFORMAT </w:instrText>
    </w:r>
    <w:r w:rsidR="007E1DAE" w:rsidRPr="00A54D82">
      <w:fldChar w:fldCharType="separate"/>
    </w:r>
    <w:r w:rsidR="007E1DAE">
      <w:t>3</w:t>
    </w:r>
    <w:r w:rsidR="007E1DAE" w:rsidRPr="00A54D8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697D3" w14:textId="77777777" w:rsidR="0070428F" w:rsidRDefault="0070428F" w:rsidP="00145607">
      <w:pPr>
        <w:spacing w:after="0"/>
      </w:pPr>
      <w:r>
        <w:separator/>
      </w:r>
    </w:p>
  </w:footnote>
  <w:footnote w:type="continuationSeparator" w:id="0">
    <w:p w14:paraId="696DBC54" w14:textId="77777777" w:rsidR="0070428F" w:rsidRDefault="0070428F" w:rsidP="00874497">
      <w:pPr>
        <w:spacing w:after="0"/>
      </w:pPr>
      <w:r>
        <w:continuationSeparator/>
      </w:r>
    </w:p>
    <w:p w14:paraId="31DEC173" w14:textId="77777777" w:rsidR="0070428F" w:rsidRDefault="0070428F"/>
  </w:footnote>
  <w:footnote w:id="1">
    <w:p w14:paraId="53CF9253" w14:textId="4CAB0FB7" w:rsidR="004453F9" w:rsidRDefault="004453F9">
      <w:pPr>
        <w:pStyle w:val="FootnoteText"/>
      </w:pPr>
      <w:r>
        <w:rPr>
          <w:rStyle w:val="FootnoteReference"/>
        </w:rPr>
        <w:footnoteRef/>
      </w:r>
      <w:r>
        <w:t xml:space="preserve"> I</w:t>
      </w:r>
      <w:r w:rsidRPr="004453F9">
        <w:t>ncorporating the Administered expenditure of both Workforce Australia and Transition to Work, and the Departmental expense to oversee the system</w:t>
      </w:r>
      <w:r>
        <w:t>.</w:t>
      </w:r>
    </w:p>
  </w:footnote>
  <w:footnote w:id="2">
    <w:p w14:paraId="6BA4E23B" w14:textId="5EC7D60D" w:rsidR="00EF7A57" w:rsidRPr="00EF7A57" w:rsidRDefault="00EF7A57">
      <w:pPr>
        <w:pStyle w:val="FootnoteText"/>
        <w:rPr>
          <w:lang w:val="en-US"/>
        </w:rPr>
      </w:pPr>
      <w:r>
        <w:rPr>
          <w:rStyle w:val="FootnoteReference"/>
        </w:rPr>
        <w:footnoteRef/>
      </w:r>
      <w:r>
        <w:t xml:space="preserve"> </w:t>
      </w:r>
      <w:hyperlink r:id="rId1" w:history="1">
        <w:r w:rsidRPr="00EF7A57">
          <w:rPr>
            <w:rStyle w:val="Hyperlink"/>
          </w:rPr>
          <w:t>Australian Government Workforce Australia</w:t>
        </w:r>
      </w:hyperlink>
    </w:p>
  </w:footnote>
  <w:footnote w:id="3">
    <w:p w14:paraId="754504BE" w14:textId="25BE4B58" w:rsidR="00C174F5" w:rsidRDefault="00C174F5">
      <w:pPr>
        <w:pStyle w:val="FootnoteText"/>
      </w:pPr>
      <w:r>
        <w:rPr>
          <w:rStyle w:val="FootnoteReference"/>
        </w:rPr>
        <w:footnoteRef/>
      </w:r>
      <w:r>
        <w:t xml:space="preserve"> Department of Social Services </w:t>
      </w:r>
      <w:hyperlink r:id="rId2" w:history="1">
        <w:r w:rsidRPr="00C174F5">
          <w:rPr>
            <w:rStyle w:val="Hyperlink"/>
          </w:rPr>
          <w:t>PORTFOLIO BUDGET STATEMENTS 2025-26</w:t>
        </w:r>
      </w:hyperlink>
      <w:r>
        <w:t>, Table 2.1.2, Item 1.6.1</w:t>
      </w:r>
    </w:p>
  </w:footnote>
  <w:footnote w:id="4">
    <w:p w14:paraId="7D0FCDB2" w14:textId="4F502653" w:rsidR="00404A8F" w:rsidRDefault="00404A8F">
      <w:pPr>
        <w:pStyle w:val="FootnoteText"/>
      </w:pPr>
      <w:r>
        <w:rPr>
          <w:rStyle w:val="FootnoteReference"/>
        </w:rPr>
        <w:footnoteRef/>
      </w:r>
      <w:r>
        <w:t xml:space="preserve"> Department of Social Services </w:t>
      </w:r>
      <w:hyperlink r:id="rId3" w:history="1">
        <w:r w:rsidRPr="00C174F5">
          <w:rPr>
            <w:rStyle w:val="Hyperlink"/>
          </w:rPr>
          <w:t>PORTFOLIO BUDGET STATEMENTS 2025-26</w:t>
        </w:r>
      </w:hyperlink>
      <w:r>
        <w:t>, Table 2.3.2, Item 3.1.1</w:t>
      </w:r>
    </w:p>
  </w:footnote>
  <w:footnote w:id="5">
    <w:p w14:paraId="4A669F3F" w14:textId="55381B3B" w:rsidR="00560911" w:rsidRDefault="00560911">
      <w:pPr>
        <w:pStyle w:val="FootnoteText"/>
      </w:pPr>
      <w:r>
        <w:rPr>
          <w:rStyle w:val="FootnoteReference"/>
        </w:rPr>
        <w:footnoteRef/>
      </w:r>
      <w:r>
        <w:t xml:space="preserve"> </w:t>
      </w:r>
      <w:r w:rsidRPr="00560911">
        <w:t>While the costs have been identified separately to provide an indication of impact on the recommendations, it is important to recognise these cost estimates are dependent on each other</w:t>
      </w:r>
      <w:r>
        <w:t>, and on the order they are presented</w:t>
      </w:r>
      <w:r w:rsidRPr="00560911">
        <w:t>.</w:t>
      </w:r>
    </w:p>
  </w:footnote>
  <w:footnote w:id="6">
    <w:p w14:paraId="468EB194" w14:textId="1EAA72DA" w:rsidR="00560911" w:rsidRDefault="00560911">
      <w:pPr>
        <w:pStyle w:val="FootnoteText"/>
      </w:pPr>
      <w:r>
        <w:rPr>
          <w:rStyle w:val="FootnoteReference"/>
        </w:rPr>
        <w:footnoteRef/>
      </w:r>
      <w:r>
        <w:t xml:space="preserve"> As above</w:t>
      </w:r>
    </w:p>
  </w:footnote>
  <w:footnote w:id="7">
    <w:p w14:paraId="3BF63354" w14:textId="3DDC3C26" w:rsidR="00E07ACD" w:rsidRDefault="00E07ACD">
      <w:pPr>
        <w:pStyle w:val="FootnoteText"/>
      </w:pPr>
      <w:r>
        <w:rPr>
          <w:rStyle w:val="FootnoteReference"/>
        </w:rPr>
        <w:footnoteRef/>
      </w:r>
      <w:r>
        <w:t xml:space="preserve"> Submission 254 (DEWR) to the Hill Review, page 152, 2024-25 value for EST</w:t>
      </w:r>
    </w:p>
  </w:footnote>
  <w:footnote w:id="8">
    <w:p w14:paraId="1813C174" w14:textId="77777777" w:rsidR="00673384" w:rsidRDefault="00673384" w:rsidP="00673384">
      <w:pPr>
        <w:pStyle w:val="FootnoteText"/>
      </w:pPr>
      <w:r>
        <w:rPr>
          <w:rStyle w:val="FootnoteReference"/>
        </w:rPr>
        <w:footnoteRef/>
      </w:r>
      <w:r>
        <w:t xml:space="preserve"> Legislated Review of Workforce Australia, Department of Employment and Workplace</w:t>
      </w:r>
      <w:r w:rsidRPr="00023582">
        <w:t xml:space="preserve"> </w:t>
      </w:r>
      <w:r>
        <w:t>Relations, 21 June 2024, Figure 16, p.33</w:t>
      </w:r>
    </w:p>
  </w:footnote>
  <w:footnote w:id="9">
    <w:p w14:paraId="123DFE73" w14:textId="657665F8" w:rsidR="00CC1C94" w:rsidRDefault="00CC1C94">
      <w:pPr>
        <w:pStyle w:val="FootnoteText"/>
      </w:pPr>
      <w:r>
        <w:rPr>
          <w:rStyle w:val="FootnoteReference"/>
        </w:rPr>
        <w:footnoteRef/>
      </w:r>
      <w:r>
        <w:t xml:space="preserve"> Scenario 1-4 </w:t>
      </w:r>
      <w:r w:rsidR="00037E63">
        <w:t>vary</w:t>
      </w:r>
      <w:r>
        <w:t xml:space="preserve"> the target case ratio for high-intensity </w:t>
      </w:r>
      <w:r w:rsidR="009964D5">
        <w:t xml:space="preserve">adult participants only. Scenario 5 </w:t>
      </w:r>
      <w:r w:rsidR="00037E63">
        <w:t>also applies</w:t>
      </w:r>
      <w:r w:rsidR="009964D5">
        <w:t xml:space="preserve"> the target case ratio </w:t>
      </w:r>
      <w:r w:rsidR="00037E63">
        <w:t>to</w:t>
      </w:r>
      <w:r w:rsidR="00CC6030">
        <w:t xml:space="preserve"> youth </w:t>
      </w:r>
      <w:r w:rsidR="005603B1">
        <w:t>participants</w:t>
      </w:r>
      <w:r w:rsidR="00000392">
        <w:t>.</w:t>
      </w:r>
    </w:p>
  </w:footnote>
  <w:footnote w:id="10">
    <w:p w14:paraId="1C5FC069" w14:textId="3A3A9A78" w:rsidR="00E11107" w:rsidRDefault="00E11107">
      <w:pPr>
        <w:pStyle w:val="FootnoteText"/>
      </w:pPr>
      <w:r>
        <w:rPr>
          <w:rStyle w:val="FootnoteReference"/>
        </w:rPr>
        <w:footnoteRef/>
      </w:r>
      <w:r>
        <w:t xml:space="preserve"> </w:t>
      </w:r>
      <w:hyperlink r:id="rId4" w:history="1">
        <w:r w:rsidRPr="00E11107">
          <w:rPr>
            <w:rStyle w:val="Hyperlink"/>
          </w:rPr>
          <w:t>Portfolio Budget Statements 2024-25</w:t>
        </w:r>
      </w:hyperlink>
      <w:r>
        <w:t xml:space="preserve">, Table 1.2, page 26 </w:t>
      </w:r>
    </w:p>
  </w:footnote>
  <w:footnote w:id="11">
    <w:p w14:paraId="0F63CC1F" w14:textId="5DF6E787" w:rsidR="4E2EDF30" w:rsidRDefault="4E2EDF30" w:rsidP="4E2EDF30">
      <w:pPr>
        <w:pStyle w:val="FootnoteText"/>
        <w:rPr>
          <w:rFonts w:ascii="Blanco" w:eastAsia="Blanco" w:hAnsi="Blanco" w:cs="Blanco"/>
          <w:sz w:val="21"/>
          <w:szCs w:val="21"/>
        </w:rPr>
      </w:pPr>
      <w:r w:rsidRPr="4E2EDF30">
        <w:rPr>
          <w:rStyle w:val="FootnoteReference"/>
        </w:rPr>
        <w:footnoteRef/>
      </w:r>
      <w:r>
        <w:t xml:space="preserve"> </w:t>
      </w:r>
      <w:hyperlink r:id="rId5">
        <w:r w:rsidRPr="00651191">
          <w:rPr>
            <w:rStyle w:val="Hyperlink"/>
            <w:rFonts w:ascii="Blanco" w:eastAsia="Blanco" w:hAnsi="Blanco" w:cs="Blanco"/>
          </w:rPr>
          <w:t>Standing Offer Notice View - SON3869436: AusTender</w:t>
        </w:r>
      </w:hyperlink>
    </w:p>
  </w:footnote>
  <w:footnote w:id="12">
    <w:p w14:paraId="33F681D7" w14:textId="77777777" w:rsidR="00BF7B59" w:rsidRDefault="00BF7B59" w:rsidP="00BF7B59">
      <w:pPr>
        <w:pStyle w:val="FootnoteText"/>
      </w:pPr>
      <w:r>
        <w:rPr>
          <w:rStyle w:val="FootnoteReference"/>
        </w:rPr>
        <w:footnoteRef/>
      </w:r>
      <w:r>
        <w:t xml:space="preserve"> </w:t>
      </w:r>
      <w:r w:rsidRPr="00AA68AA">
        <w:t xml:space="preserve">Page 72: </w:t>
      </w:r>
      <w:hyperlink r:id="rId6" w:history="1">
        <w:r w:rsidRPr="002B35A1">
          <w:rPr>
            <w:rStyle w:val="Hyperlink"/>
          </w:rPr>
          <w:t>pdf</w:t>
        </w:r>
      </w:hyperlink>
    </w:p>
  </w:footnote>
  <w:footnote w:id="13">
    <w:p w14:paraId="623814DA" w14:textId="75C71C74" w:rsidR="003B2006" w:rsidRDefault="003B2006">
      <w:pPr>
        <w:pStyle w:val="FootnoteText"/>
      </w:pPr>
      <w:r>
        <w:rPr>
          <w:rStyle w:val="FootnoteReference"/>
        </w:rPr>
        <w:footnoteRef/>
      </w:r>
      <w:r>
        <w:t xml:space="preserve"> We define </w:t>
      </w:r>
      <w:r w:rsidR="00D044AB">
        <w:t>the concept</w:t>
      </w:r>
      <w:r>
        <w:t xml:space="preserve"> of cases </w:t>
      </w:r>
      <w:r w:rsidR="00422ED1">
        <w:t xml:space="preserve">as </w:t>
      </w:r>
      <w:r w:rsidR="00D101C6">
        <w:t xml:space="preserve">the sum of the </w:t>
      </w:r>
      <w:r w:rsidR="003E430B">
        <w:t xml:space="preserve">caseload at the </w:t>
      </w:r>
      <w:r w:rsidR="00C54DFA">
        <w:t xml:space="preserve">start of the year </w:t>
      </w:r>
      <w:r w:rsidR="00425B45">
        <w:t xml:space="preserve">and the number of referrals made during </w:t>
      </w:r>
      <w:r w:rsidR="0013773D">
        <w:t>the year</w:t>
      </w:r>
      <w:r w:rsidR="00425B45">
        <w:t xml:space="preserve">. </w:t>
      </w:r>
      <w:r w:rsidR="00DD7C1A">
        <w:t xml:space="preserve">This definition </w:t>
      </w:r>
      <w:r w:rsidR="00305E8D">
        <w:t>reflects the volume of case</w:t>
      </w:r>
      <w:r w:rsidR="00EA7458">
        <w:t xml:space="preserve">s </w:t>
      </w:r>
      <w:r w:rsidR="0013773D">
        <w:t>managed</w:t>
      </w:r>
      <w:r w:rsidR="00EA7458">
        <w:t xml:space="preserve"> by</w:t>
      </w:r>
      <w:r w:rsidR="00305E8D">
        <w:t xml:space="preserve"> </w:t>
      </w:r>
      <w:r w:rsidR="00B232C0">
        <w:t xml:space="preserve">service </w:t>
      </w:r>
      <w:r w:rsidR="009B5DA1">
        <w:t>providers</w:t>
      </w:r>
      <w:r w:rsidR="0013773D">
        <w:t xml:space="preserve"> across </w:t>
      </w:r>
      <w:r w:rsidR="00B260FE">
        <w:t>a</w:t>
      </w:r>
      <w:r w:rsidR="0013773D">
        <w:t xml:space="preserve"> year</w:t>
      </w:r>
      <w:r w:rsidR="00B260FE">
        <w:t xml:space="preserve">, noting that </w:t>
      </w:r>
      <w:r w:rsidR="00CE24C5">
        <w:t>a portion</w:t>
      </w:r>
      <w:r w:rsidR="00B260FE">
        <w:t xml:space="preserve"> of these cases</w:t>
      </w:r>
      <w:r w:rsidR="00F00F3D">
        <w:t xml:space="preserve"> </w:t>
      </w:r>
      <w:r w:rsidR="00CE24C5">
        <w:t xml:space="preserve">will only be managed for a short period </w:t>
      </w:r>
      <w:r w:rsidR="001D4459">
        <w:t>within the year prior to exiting</w:t>
      </w:r>
      <w:r w:rsidR="00F00F3D">
        <w:t xml:space="preserve"> and </w:t>
      </w:r>
      <w:r w:rsidR="00D11752">
        <w:t>another portion will be managed for</w:t>
      </w:r>
      <w:r w:rsidR="00F00F3D">
        <w:t xml:space="preserve"> the </w:t>
      </w:r>
      <w:r w:rsidR="00D11752">
        <w:t>full year.</w:t>
      </w:r>
      <w:r w:rsidR="0082142A">
        <w:t xml:space="preserve"> </w:t>
      </w:r>
      <w:r w:rsidR="009C0F96">
        <w:br/>
      </w:r>
      <w:r w:rsidR="00EC05A6">
        <w:t xml:space="preserve">Detailed data on caseload, referrals, and exits over time and </w:t>
      </w:r>
      <w:r w:rsidR="00343066">
        <w:t xml:space="preserve">split based on </w:t>
      </w:r>
      <w:r w:rsidR="001A707A">
        <w:t>employment region and target cohorts</w:t>
      </w:r>
      <w:r w:rsidR="009C0F96">
        <w:t xml:space="preserve"> was</w:t>
      </w:r>
      <w:r w:rsidR="00EC05A6">
        <w:t xml:space="preserve"> provided </w:t>
      </w:r>
      <w:r w:rsidR="0082142A">
        <w:t>by DEWR</w:t>
      </w:r>
      <w:r w:rsidR="001A707A">
        <w:t xml:space="preserve"> for the purpose of the segmentation require for this analysis</w:t>
      </w:r>
      <w:r w:rsidR="0082142A">
        <w:t>.</w:t>
      </w:r>
    </w:p>
  </w:footnote>
  <w:footnote w:id="14">
    <w:p w14:paraId="7AC5A794" w14:textId="11A92203" w:rsidR="0063754F" w:rsidRDefault="0063754F">
      <w:pPr>
        <w:pStyle w:val="FootnoteText"/>
      </w:pPr>
      <w:r>
        <w:rPr>
          <w:rStyle w:val="FootnoteReference"/>
        </w:rPr>
        <w:footnoteRef/>
      </w:r>
      <w:r>
        <w:t xml:space="preserve"> Recommendation 70 identifies </w:t>
      </w:r>
      <w:r w:rsidR="00A17B1B">
        <w:t xml:space="preserve">migrant and refugee jobseekers, and jobseekers with </w:t>
      </w:r>
      <w:r w:rsidR="00CD553D">
        <w:t xml:space="preserve">disability; </w:t>
      </w:r>
      <w:r w:rsidR="00DF57C4">
        <w:t xml:space="preserve">other references throughout the Hill Review </w:t>
      </w:r>
      <w:r w:rsidR="00DF57C4" w:rsidRPr="008267BD">
        <w:t xml:space="preserve">identify </w:t>
      </w:r>
      <w:r w:rsidRPr="008267BD">
        <w:t>First Nation</w:t>
      </w:r>
      <w:r w:rsidR="00DF57C4" w:rsidRPr="008267BD">
        <w:t xml:space="preserve">s people, </w:t>
      </w:r>
      <w:r w:rsidR="00BB144C" w:rsidRPr="008267BD">
        <w:t xml:space="preserve">Culturally and Linguistically Diverse (CALD) people, people </w:t>
      </w:r>
      <w:r w:rsidRPr="008267BD">
        <w:t>with a Disability</w:t>
      </w:r>
      <w:r w:rsidR="00BB144C" w:rsidRPr="008267BD">
        <w:t xml:space="preserve">, and ex-offenders as target cohorts </w:t>
      </w:r>
      <w:r w:rsidR="000C4711" w:rsidRPr="008267BD">
        <w:t xml:space="preserve">and cohorts of interest. </w:t>
      </w:r>
      <w:r w:rsidR="007539CA" w:rsidRPr="008267BD">
        <w:t>For the purpose of this modelling, we have therefore</w:t>
      </w:r>
      <w:r w:rsidR="007539CA">
        <w:t xml:space="preserve"> defined </w:t>
      </w:r>
      <w:r w:rsidR="00FF6E49">
        <w:t xml:space="preserve">target cohorts as </w:t>
      </w:r>
      <w:r w:rsidR="000D32A6">
        <w:t xml:space="preserve">a person who </w:t>
      </w:r>
      <w:r w:rsidR="008B328E">
        <w:t xml:space="preserve">is 25 years </w:t>
      </w:r>
      <w:r w:rsidR="005424EA">
        <w:t>old and over</w:t>
      </w:r>
      <w:r w:rsidR="006E2B97">
        <w:t xml:space="preserve"> and who is identifiable </w:t>
      </w:r>
      <w:r w:rsidR="00FA26F6">
        <w:t xml:space="preserve">in the data collected by DEWR </w:t>
      </w:r>
      <w:r w:rsidR="00F677F9">
        <w:t xml:space="preserve">as one of </w:t>
      </w:r>
      <w:r w:rsidR="00FA26F6">
        <w:t xml:space="preserve">these cohorts with the exception of ex-offenders. </w:t>
      </w:r>
      <w:r w:rsidR="00DA6F5A">
        <w:t xml:space="preserve">As DEWR does not currently </w:t>
      </w:r>
      <w:r w:rsidR="00795893">
        <w:t>releas</w:t>
      </w:r>
      <w:r w:rsidR="00DA6F5A">
        <w:t>e</w:t>
      </w:r>
      <w:r w:rsidR="00795893">
        <w:t xml:space="preserve"> data identifying </w:t>
      </w:r>
      <w:r w:rsidR="00DA6F5A">
        <w:t xml:space="preserve">the </w:t>
      </w:r>
      <w:r w:rsidR="00583B04">
        <w:t xml:space="preserve">number of </w:t>
      </w:r>
      <w:r w:rsidR="008748C8">
        <w:t>ex-offender</w:t>
      </w:r>
      <w:r w:rsidR="00583B04">
        <w:t>s in the system</w:t>
      </w:r>
      <w:r w:rsidR="008748C8">
        <w:t xml:space="preserve">. </w:t>
      </w:r>
    </w:p>
  </w:footnote>
  <w:footnote w:id="15">
    <w:p w14:paraId="4FF0507C" w14:textId="667D683F" w:rsidR="00720DF2" w:rsidRDefault="00720DF2" w:rsidP="00720DF2">
      <w:pPr>
        <w:pStyle w:val="FootnoteText"/>
      </w:pPr>
      <w:r>
        <w:rPr>
          <w:rStyle w:val="FootnoteReference"/>
        </w:rPr>
        <w:footnoteRef/>
      </w:r>
      <w:r>
        <w:t xml:space="preserve"> Rebuilding Employment Services, p.200.</w:t>
      </w:r>
      <w:r w:rsidR="0042736A">
        <w:t xml:space="preserve"> We have interpreted this ratio as the number of cases throughout the year</w:t>
      </w:r>
      <w:r w:rsidR="00805247">
        <w:t xml:space="preserve"> rather than at a point in time</w:t>
      </w:r>
      <w:r w:rsidR="00B66C77">
        <w:t>.</w:t>
      </w:r>
      <w:r w:rsidR="0042736A">
        <w:t xml:space="preserve"> </w:t>
      </w:r>
    </w:p>
  </w:footnote>
  <w:footnote w:id="16">
    <w:p w14:paraId="127E494C" w14:textId="16268596" w:rsidR="00421F4B" w:rsidRDefault="00421F4B">
      <w:pPr>
        <w:pStyle w:val="FootnoteText"/>
      </w:pPr>
      <w:r>
        <w:rPr>
          <w:rStyle w:val="FootnoteReference"/>
        </w:rPr>
        <w:footnoteRef/>
      </w:r>
      <w:r>
        <w:t xml:space="preserve"> </w:t>
      </w:r>
      <w:r w:rsidR="001D4A92">
        <w:t>Rebuilding Employment Services, p.</w:t>
      </w:r>
      <w:r w:rsidR="00704715">
        <w:t>xii</w:t>
      </w:r>
      <w:r w:rsidR="001D4A92">
        <w:t>.</w:t>
      </w:r>
    </w:p>
  </w:footnote>
  <w:footnote w:id="17">
    <w:p w14:paraId="01E6C81C" w14:textId="73BD4A04" w:rsidR="001B4AB6" w:rsidRDefault="001B4AB6">
      <w:pPr>
        <w:pStyle w:val="FootnoteText"/>
      </w:pPr>
      <w:r>
        <w:rPr>
          <w:rStyle w:val="FootnoteReference"/>
        </w:rPr>
        <w:footnoteRef/>
      </w:r>
      <w:r>
        <w:t xml:space="preserve"> </w:t>
      </w:r>
      <w:r w:rsidR="00346ECF">
        <w:t xml:space="preserve">Based on </w:t>
      </w:r>
      <w:r w:rsidR="008B1083">
        <w:t>DEWR’s</w:t>
      </w:r>
      <w:r w:rsidR="006C2A9A">
        <w:t xml:space="preserve"> 2025-26 Budget </w:t>
      </w:r>
      <w:r w:rsidR="008B1083">
        <w:t xml:space="preserve">allowance </w:t>
      </w:r>
      <w:r w:rsidR="006C2A9A">
        <w:t xml:space="preserve">for </w:t>
      </w:r>
      <w:r w:rsidR="00346ECF">
        <w:t xml:space="preserve">line items </w:t>
      </w:r>
      <w:r w:rsidR="00D00239">
        <w:t xml:space="preserve">not </w:t>
      </w:r>
      <w:r w:rsidR="00346ECF">
        <w:t xml:space="preserve">provided </w:t>
      </w:r>
      <w:r w:rsidR="005E050C">
        <w:t>at a detailed level</w:t>
      </w:r>
      <w:r w:rsidR="00E01761">
        <w:t>. This includes the cost of</w:t>
      </w:r>
      <w:r w:rsidR="00FB7F2C">
        <w:t xml:space="preserve"> </w:t>
      </w:r>
      <w:r w:rsidR="00800E12">
        <w:t>Work for the Dole (~$15.4</w:t>
      </w:r>
      <w:r w:rsidR="008042E2">
        <w:t>M</w:t>
      </w:r>
      <w:r w:rsidR="00800E12">
        <w:t>)</w:t>
      </w:r>
      <w:r w:rsidR="005E0199">
        <w:t>, Self Employment Assistance (~</w:t>
      </w:r>
      <w:r w:rsidR="00976351">
        <w:t>$193.8</w:t>
      </w:r>
      <w:r w:rsidR="008042E2">
        <w:t>M</w:t>
      </w:r>
      <w:r w:rsidR="00976351">
        <w:t>)</w:t>
      </w:r>
      <w:r w:rsidR="0028216F">
        <w:t>, Small Programs and Expenditure (</w:t>
      </w:r>
      <w:r w:rsidR="007337FD">
        <w:t>~</w:t>
      </w:r>
      <w:r w:rsidR="0028216F">
        <w:t>$</w:t>
      </w:r>
      <w:r w:rsidR="007337FD">
        <w:t>44.8</w:t>
      </w:r>
      <w:r w:rsidR="008042E2">
        <w:t>M</w:t>
      </w:r>
      <w:r w:rsidR="007337FD">
        <w:t>)</w:t>
      </w:r>
      <w:r w:rsidR="0069245C">
        <w:t xml:space="preserve">, and </w:t>
      </w:r>
      <w:r w:rsidR="003749C7">
        <w:t xml:space="preserve">Employability Skills Training and Career Transition Assistance </w:t>
      </w:r>
      <w:r w:rsidR="00396573">
        <w:t>(</w:t>
      </w:r>
      <w:r w:rsidR="003749C7">
        <w:t>‘Activities’</w:t>
      </w:r>
      <w:r w:rsidR="000F47EB">
        <w:t xml:space="preserve">, </w:t>
      </w:r>
      <w:r w:rsidR="00396573">
        <w:t>~$79.7</w:t>
      </w:r>
      <w:r w:rsidR="008042E2">
        <w:t>M</w:t>
      </w:r>
      <w:r w:rsidR="00396573">
        <w:t>)</w:t>
      </w:r>
      <w:r w:rsidR="00690AA5">
        <w:t xml:space="preserve">. </w:t>
      </w:r>
    </w:p>
  </w:footnote>
  <w:footnote w:id="18">
    <w:p w14:paraId="508986CB" w14:textId="31C3CCFC" w:rsidR="00223564" w:rsidRDefault="00223564">
      <w:pPr>
        <w:pStyle w:val="FootnoteText"/>
      </w:pPr>
      <w:r>
        <w:rPr>
          <w:rStyle w:val="FootnoteReference"/>
        </w:rPr>
        <w:footnoteRef/>
      </w:r>
      <w:r>
        <w:t xml:space="preserve"> </w:t>
      </w:r>
      <w:r w:rsidRPr="00223564">
        <w:t>DEWR’s 2024–25 Annual Report (P.168, Table A.2)</w:t>
      </w:r>
    </w:p>
  </w:footnote>
  <w:footnote w:id="19">
    <w:p w14:paraId="0B3DA6BF" w14:textId="5172CB29" w:rsidR="00BC6FF9" w:rsidRDefault="00BC6FF9">
      <w:pPr>
        <w:pStyle w:val="FootnoteText"/>
      </w:pPr>
      <w:r>
        <w:rPr>
          <w:rStyle w:val="FootnoteReference"/>
        </w:rPr>
        <w:footnoteRef/>
      </w:r>
      <w:r>
        <w:t xml:space="preserve"> </w:t>
      </w:r>
      <w:r w:rsidR="00E70F56">
        <w:t xml:space="preserve">Such as the </w:t>
      </w:r>
      <w:r w:rsidR="00E70F56" w:rsidRPr="00E70F56">
        <w:t>administration of the Pacific Australia Labour Mobility Scheme</w:t>
      </w:r>
      <w:r w:rsidR="00DB1A3B">
        <w:t>,</w:t>
      </w:r>
      <w:r w:rsidR="00E70F56" w:rsidRPr="00E70F56">
        <w:t xml:space="preserve"> Parent Pathways program</w:t>
      </w:r>
      <w:r w:rsidR="00DB1A3B">
        <w:t>,</w:t>
      </w:r>
      <w:r w:rsidR="00E70F56" w:rsidRPr="00E70F56">
        <w:t xml:space="preserve"> Reconnection, Employment and Learning Program</w:t>
      </w:r>
      <w:r w:rsidR="00DB1A3B">
        <w:t>, and</w:t>
      </w:r>
      <w:r w:rsidR="00E70F56" w:rsidRPr="00E70F56">
        <w:t xml:space="preserve"> structural adjustment</w:t>
      </w:r>
      <w:r w:rsidR="00E70F56" w:rsidRPr="00E70F56">
        <w:rPr>
          <w:rFonts w:ascii="Cambria" w:hAnsi="Cambria" w:cs="Cambria"/>
        </w:rPr>
        <w:t> </w:t>
      </w:r>
      <w:r w:rsidR="00E70F56" w:rsidRPr="00E70F56">
        <w:t>activities</w:t>
      </w:r>
      <w:r w:rsidR="00DB1A3B">
        <w:t>.</w:t>
      </w:r>
    </w:p>
  </w:footnote>
  <w:footnote w:id="20">
    <w:p w14:paraId="7AFC5417" w14:textId="32BA4D75" w:rsidR="00772C16" w:rsidRDefault="00772C16">
      <w:pPr>
        <w:pStyle w:val="FootnoteText"/>
      </w:pPr>
      <w:r>
        <w:rPr>
          <w:rStyle w:val="FootnoteReference"/>
        </w:rPr>
        <w:footnoteRef/>
      </w:r>
      <w:r>
        <w:t xml:space="preserve"> </w:t>
      </w:r>
      <w:r w:rsidR="00974329">
        <w:t xml:space="preserve">The 24% gross up for corporate function costs is based on the observed cost of </w:t>
      </w:r>
      <w:r w:rsidR="00BF5378">
        <w:t xml:space="preserve">Services Australia’s </w:t>
      </w:r>
      <w:r w:rsidR="00BF5378" w:rsidRPr="00BF5378">
        <w:t>Program 1.1: Strategy and Corporate Enabling</w:t>
      </w:r>
      <w:r w:rsidR="00883056">
        <w:t xml:space="preserve"> outcome</w:t>
      </w:r>
      <w:r w:rsidR="00352CC1">
        <w:t xml:space="preserve"> relative to </w:t>
      </w:r>
      <w:r w:rsidR="00947ACC" w:rsidRPr="00947ACC">
        <w:t>Program 1.2: Customer Service Delivery</w:t>
      </w:r>
      <w:r w:rsidR="00C41D4E">
        <w:t xml:space="preserve">, contained in the </w:t>
      </w:r>
      <w:r w:rsidR="000C1010">
        <w:t>Services Australia 2024-25 Annual Report (p</w:t>
      </w:r>
      <w:r w:rsidR="00C41872">
        <w:t>. 208, Table 50)</w:t>
      </w:r>
      <w:r w:rsidR="00E2187D">
        <w:t>.</w:t>
      </w:r>
    </w:p>
  </w:footnote>
  <w:footnote w:id="21">
    <w:p w14:paraId="170B5A97" w14:textId="4EABDFEC" w:rsidR="00FF2693" w:rsidRDefault="00FF2693">
      <w:pPr>
        <w:pStyle w:val="FootnoteText"/>
      </w:pPr>
      <w:r>
        <w:rPr>
          <w:rStyle w:val="FootnoteReference"/>
        </w:rPr>
        <w:footnoteRef/>
      </w:r>
      <w:r>
        <w:t xml:space="preserve"> Referrals to </w:t>
      </w:r>
      <w:proofErr w:type="spellStart"/>
      <w:r>
        <w:t>WfA</w:t>
      </w:r>
      <w:proofErr w:type="spellEnd"/>
      <w:r>
        <w:t xml:space="preserve"> Online were not available at the time </w:t>
      </w:r>
      <w:r w:rsidR="00B15002">
        <w:t>of this analysis.</w:t>
      </w:r>
      <w:r w:rsidR="00E2187D">
        <w:t xml:space="preserve"> Our estimate is based on the observed </w:t>
      </w:r>
      <w:r w:rsidR="00E2187D" w:rsidRPr="00E2187D">
        <w:t>referral-to-caseload ratio observed for young people in WfA Services</w:t>
      </w:r>
      <w:r w:rsidR="00E2187D">
        <w:t xml:space="preserve"> in financial year 2024-25.</w:t>
      </w:r>
    </w:p>
  </w:footnote>
  <w:footnote w:id="22">
    <w:p w14:paraId="665BFF0A" w14:textId="4A0EC9AC" w:rsidR="00606169" w:rsidRDefault="00606169" w:rsidP="00217AB2">
      <w:pPr>
        <w:pStyle w:val="FootnoteText"/>
      </w:pPr>
      <w:r>
        <w:rPr>
          <w:rStyle w:val="FootnoteReference"/>
        </w:rPr>
        <w:footnoteRef/>
      </w:r>
      <w:r>
        <w:t xml:space="preserve"> </w:t>
      </w:r>
      <w:r w:rsidR="00217AB2">
        <w:t>Legislated Review of Workforce Australia, Department of Employment and Workplace</w:t>
      </w:r>
      <w:r w:rsidR="00023582" w:rsidRPr="00023582">
        <w:t xml:space="preserve"> </w:t>
      </w:r>
      <w:r w:rsidR="00023582">
        <w:t>Relations</w:t>
      </w:r>
      <w:r w:rsidR="00217AB2">
        <w:t>, 21 June 2024</w:t>
      </w:r>
      <w:r>
        <w:t>, Figure 16, p.33</w:t>
      </w:r>
    </w:p>
  </w:footnote>
  <w:footnote w:id="23">
    <w:p w14:paraId="13F05ECC" w14:textId="77777777" w:rsidR="00AF17A6" w:rsidRDefault="00AF17A6" w:rsidP="00AF17A6">
      <w:pPr>
        <w:pStyle w:val="FootnoteText"/>
      </w:pPr>
      <w:r>
        <w:rPr>
          <w:rStyle w:val="FootnoteReference"/>
        </w:rPr>
        <w:footnoteRef/>
      </w:r>
      <w:r>
        <w:t xml:space="preserve"> Rebuilding Employment Services, p.208</w:t>
      </w:r>
    </w:p>
  </w:footnote>
  <w:footnote w:id="24">
    <w:p w14:paraId="22799370" w14:textId="567C0040" w:rsidR="00602DE4" w:rsidRDefault="00602DE4">
      <w:pPr>
        <w:pStyle w:val="FootnoteText"/>
      </w:pPr>
      <w:r>
        <w:rPr>
          <w:rStyle w:val="FootnoteReference"/>
        </w:rPr>
        <w:footnoteRef/>
      </w:r>
      <w:r>
        <w:t xml:space="preserve"> Rebuilding Employment Services, p.</w:t>
      </w:r>
      <w:r w:rsidR="00586795">
        <w:t>199</w:t>
      </w:r>
      <w:r>
        <w:t>, s6.2</w:t>
      </w:r>
      <w:r w:rsidR="00586795">
        <w:t>8</w:t>
      </w:r>
    </w:p>
  </w:footnote>
  <w:footnote w:id="25">
    <w:p w14:paraId="540D3A74" w14:textId="5EBA112F" w:rsidR="008B1080" w:rsidRDefault="008B1080">
      <w:pPr>
        <w:pStyle w:val="FootnoteText"/>
      </w:pPr>
      <w:r>
        <w:rPr>
          <w:rStyle w:val="FootnoteReference"/>
        </w:rPr>
        <w:footnoteRef/>
      </w:r>
      <w:r>
        <w:t xml:space="preserve"> Based on the estimated number of employees</w:t>
      </w:r>
      <w:r w:rsidR="004549B6">
        <w:t xml:space="preserve"> in </w:t>
      </w:r>
      <w:r w:rsidR="00644BF2">
        <w:t>the Baseline</w:t>
      </w:r>
      <w:r w:rsidR="00AB013E">
        <w:t xml:space="preserve">, and </w:t>
      </w:r>
      <w:r w:rsidR="00D07DBF">
        <w:t xml:space="preserve">an estimated average annual </w:t>
      </w:r>
      <w:r w:rsidR="0094412C">
        <w:t xml:space="preserve">employee </w:t>
      </w:r>
      <w:r w:rsidR="00A80096">
        <w:t xml:space="preserve">salary </w:t>
      </w:r>
      <w:r w:rsidR="0094412C">
        <w:t xml:space="preserve">cost of </w:t>
      </w:r>
      <w:r w:rsidR="00407849">
        <w:t>$61</w:t>
      </w:r>
      <w:r w:rsidR="00E14726">
        <w:t>,600. T</w:t>
      </w:r>
      <w:r w:rsidR="00AB013E">
        <w:t xml:space="preserve">he </w:t>
      </w:r>
      <w:r w:rsidR="00CA3F7B">
        <w:t>Hill Review reference</w:t>
      </w:r>
      <w:r w:rsidR="00E14726">
        <w:t>d</w:t>
      </w:r>
      <w:r w:rsidR="00CA3F7B">
        <w:t xml:space="preserve"> annual salaries</w:t>
      </w:r>
      <w:r w:rsidR="00AE74DB">
        <w:t xml:space="preserve"> of frontline staff</w:t>
      </w:r>
      <w:r w:rsidR="00CA3F7B">
        <w:t xml:space="preserve"> being </w:t>
      </w:r>
      <w:r w:rsidR="00C470BF">
        <w:t>in the “range of $51,000-$65,000” (p.201, s6.32)</w:t>
      </w:r>
      <w:r w:rsidR="00051822">
        <w:t xml:space="preserve">. We have accounted for </w:t>
      </w:r>
      <w:r w:rsidR="002A3180">
        <w:t xml:space="preserve">superannuation of 12% payable on </w:t>
      </w:r>
      <w:r w:rsidR="00B51A53">
        <w:t>base pay of $55,000.</w:t>
      </w:r>
      <w:r w:rsidR="001711C0">
        <w:t xml:space="preserve"> </w:t>
      </w:r>
      <w:r w:rsidR="00BF40C5" w:rsidRPr="00BF40C5">
        <w:t>We note that this figure appears lower than salaries advertised in comparable roles in current online job listings.</w:t>
      </w:r>
    </w:p>
  </w:footnote>
  <w:footnote w:id="26">
    <w:p w14:paraId="60AE1415" w14:textId="0CCC3571" w:rsidR="00E71CD3" w:rsidRDefault="00E71CD3" w:rsidP="00E71CD3">
      <w:pPr>
        <w:pStyle w:val="FootnoteText"/>
      </w:pPr>
      <w:r>
        <w:rPr>
          <w:rStyle w:val="FootnoteReference"/>
        </w:rPr>
        <w:footnoteRef/>
      </w:r>
      <w:r>
        <w:t xml:space="preserve"> </w:t>
      </w:r>
      <w:r w:rsidR="00B24971">
        <w:t xml:space="preserve">Derived from the </w:t>
      </w:r>
      <w:r w:rsidR="00572EDA">
        <w:t>midpoint of salaries paid by</w:t>
      </w:r>
      <w:r w:rsidR="00290C7B">
        <w:t xml:space="preserve"> </w:t>
      </w:r>
      <w:r w:rsidR="00290C7B" w:rsidRPr="00290C7B">
        <w:t>classification level</w:t>
      </w:r>
      <w:r w:rsidR="00552518">
        <w:t xml:space="preserve"> with a superannuation loading of 15.4%</w:t>
      </w:r>
      <w:r w:rsidR="0041717E">
        <w:t xml:space="preserve"> for Services Australia staff</w:t>
      </w:r>
      <w:r w:rsidR="009435D8">
        <w:t xml:space="preserve"> as reported in the Services Australia Annual Report</w:t>
      </w:r>
      <w:r w:rsidR="00C67534">
        <w:t xml:space="preserve"> (p.237, Table 78)</w:t>
      </w:r>
      <w:r w:rsidR="007F0D72">
        <w:t xml:space="preserve">, weighted based on the </w:t>
      </w:r>
      <w:r w:rsidR="00060DD8">
        <w:t xml:space="preserve">number of </w:t>
      </w:r>
      <w:r w:rsidR="00003AB9">
        <w:t xml:space="preserve">Services Australia </w:t>
      </w:r>
      <w:r w:rsidR="00060DD8">
        <w:t>service delivery staff</w:t>
      </w:r>
      <w:r w:rsidR="00833D4E">
        <w:t xml:space="preserve"> by classification </w:t>
      </w:r>
      <w:r w:rsidR="00BD46D3">
        <w:t xml:space="preserve">as derived from the APS Employment Release Tables </w:t>
      </w:r>
      <w:r w:rsidR="00647FE1">
        <w:t>(30 June 2025)</w:t>
      </w:r>
      <w:r w:rsidR="00856568">
        <w:t xml:space="preserve"> released by the Australian Public Service Commission</w:t>
      </w:r>
      <w:r w:rsidR="002A0076">
        <w:t>.</w:t>
      </w:r>
    </w:p>
  </w:footnote>
  <w:footnote w:id="27">
    <w:p w14:paraId="44AF7DD0" w14:textId="3B3EBED2" w:rsidR="00A5383B" w:rsidRDefault="00A5383B">
      <w:pPr>
        <w:pStyle w:val="FootnoteText"/>
      </w:pPr>
      <w:r w:rsidRPr="00126644">
        <w:rPr>
          <w:rStyle w:val="FootnoteReference"/>
        </w:rPr>
        <w:footnoteRef/>
      </w:r>
      <w:r w:rsidRPr="00126644">
        <w:t xml:space="preserve"> </w:t>
      </w:r>
      <w:r w:rsidR="00126644" w:rsidRPr="00126644">
        <w:t xml:space="preserve">Rebuilding Employment Services, </w:t>
      </w:r>
      <w:proofErr w:type="spellStart"/>
      <w:r w:rsidR="00126644" w:rsidRPr="00126644">
        <w:t>p.xii</w:t>
      </w:r>
      <w:proofErr w:type="spellEnd"/>
    </w:p>
  </w:footnote>
  <w:footnote w:id="28">
    <w:p w14:paraId="4AC415DC" w14:textId="77777777" w:rsidR="0097124B" w:rsidRDefault="0097124B" w:rsidP="0097124B">
      <w:pPr>
        <w:pStyle w:val="FootnoteText"/>
      </w:pPr>
      <w:r>
        <w:rPr>
          <w:rStyle w:val="FootnoteReference"/>
        </w:rPr>
        <w:footnoteRef/>
      </w:r>
      <w:hyperlink r:id="rId7" w:history="1">
        <w:r w:rsidRPr="004911A1">
          <w:rPr>
            <w:rStyle w:val="Hyperlink"/>
          </w:rPr>
          <w:t xml:space="preserve"> Services Australia Annual Report 2024-25</w:t>
        </w:r>
      </w:hyperlink>
      <w:r>
        <w:t>, p. 208, p.237.</w:t>
      </w:r>
    </w:p>
  </w:footnote>
  <w:footnote w:id="29">
    <w:p w14:paraId="6456D4A4" w14:textId="7FE113F3" w:rsidR="00A369F1" w:rsidRDefault="00A369F1">
      <w:pPr>
        <w:pStyle w:val="FootnoteText"/>
      </w:pPr>
      <w:r w:rsidRPr="007315E8">
        <w:rPr>
          <w:rStyle w:val="FootnoteReference"/>
        </w:rPr>
        <w:footnoteRef/>
      </w:r>
      <w:r w:rsidRPr="007315E8">
        <w:t xml:space="preserve"> </w:t>
      </w:r>
      <w:hyperlink r:id="rId8" w:history="1">
        <w:r w:rsidRPr="007315E8">
          <w:rPr>
            <w:rStyle w:val="Hyperlink"/>
          </w:rPr>
          <w:t>Department of Employment and Workplace Relations Annual Report 2024-25</w:t>
        </w:r>
      </w:hyperlink>
    </w:p>
  </w:footnote>
  <w:footnote w:id="30">
    <w:p w14:paraId="7D2F2893" w14:textId="77777777" w:rsidR="00DF0711" w:rsidRDefault="00DF0711" w:rsidP="00DF0711">
      <w:pPr>
        <w:pStyle w:val="FootnoteText"/>
      </w:pPr>
      <w:r w:rsidRPr="00A46ABF">
        <w:rPr>
          <w:rStyle w:val="FootnoteReference"/>
        </w:rPr>
        <w:footnoteRef/>
      </w:r>
      <w:r w:rsidRPr="00A46ABF">
        <w:t xml:space="preserve"> </w:t>
      </w:r>
      <w:hyperlink r:id="rId9" w:history="1">
        <w:r w:rsidRPr="00A46ABF">
          <w:rPr>
            <w:rStyle w:val="Hyperlink"/>
          </w:rPr>
          <w:t>Department of Employment and Workplace Relations Annual Report 2024-25</w:t>
        </w:r>
      </w:hyperlink>
    </w:p>
  </w:footnote>
  <w:footnote w:id="31">
    <w:p w14:paraId="7BC71EB8" w14:textId="19247422" w:rsidR="6A454EB6" w:rsidRDefault="6A454EB6" w:rsidP="6A454EB6">
      <w:pPr>
        <w:pStyle w:val="FootnoteText"/>
      </w:pPr>
      <w:r w:rsidRPr="6A454EB6">
        <w:rPr>
          <w:rStyle w:val="FootnoteReference"/>
        </w:rPr>
        <w:footnoteRef/>
      </w:r>
      <w:r w:rsidR="1AB5D7E4">
        <w:t xml:space="preserve"> Such as the generation of publications of this nature: </w:t>
      </w:r>
      <w:hyperlink r:id="rId10">
        <w:r w:rsidR="1AB5D7E4" w:rsidRPr="1AB5D7E4">
          <w:rPr>
            <w:rStyle w:val="Hyperlink"/>
          </w:rPr>
          <w:t>Industry Profile New South Wales.pdf</w:t>
        </w:r>
      </w:hyperlink>
    </w:p>
  </w:footnote>
  <w:footnote w:id="32">
    <w:p w14:paraId="268C7C44" w14:textId="24DC072E" w:rsidR="001C634A" w:rsidRDefault="001C634A">
      <w:pPr>
        <w:pStyle w:val="FootnoteText"/>
      </w:pPr>
      <w:r>
        <w:rPr>
          <w:rStyle w:val="FootnoteReference"/>
        </w:rPr>
        <w:footnoteRef/>
      </w:r>
      <w:r>
        <w:t xml:space="preserve"> </w:t>
      </w:r>
      <w:r w:rsidRPr="001C634A">
        <w:t xml:space="preserve">Caseload for this purpose was defined as the </w:t>
      </w:r>
      <w:r w:rsidR="00117318">
        <w:t>31 October 2025</w:t>
      </w:r>
      <w:r w:rsidRPr="001C634A">
        <w:t xml:space="preserve"> Workforce Australia Services caseload, plus the current Online Youth caseload, and the current Transition to Work caseload</w:t>
      </w:r>
    </w:p>
  </w:footnote>
  <w:footnote w:id="33">
    <w:p w14:paraId="7BB521BA" w14:textId="77777777" w:rsidR="00250E7C" w:rsidRDefault="00250E7C" w:rsidP="00250E7C">
      <w:pPr>
        <w:pStyle w:val="FootnoteText"/>
      </w:pPr>
      <w:r w:rsidRPr="7A5D9B33">
        <w:rPr>
          <w:rStyle w:val="FootnoteReference"/>
        </w:rPr>
        <w:footnoteRef/>
      </w:r>
      <w:r>
        <w:t xml:space="preserve"> </w:t>
      </w:r>
      <w:hyperlink r:id="rId11" w:anchor=":~:text=Premiums%20are%20also%20influenced%20by,100%20full%20time%20equivalent%20employees.">
        <w:r w:rsidRPr="7A5D9B33">
          <w:rPr>
            <w:rStyle w:val="Hyperlink"/>
          </w:rPr>
          <w:t>Premium performance of employers in the scheme | Comcare</w:t>
        </w:r>
      </w:hyperlink>
    </w:p>
  </w:footnote>
  <w:footnote w:id="34">
    <w:p w14:paraId="6EDBE6CF" w14:textId="77777777" w:rsidR="00250E7C" w:rsidRDefault="00250E7C" w:rsidP="00250E7C">
      <w:pPr>
        <w:pStyle w:val="FootnoteText"/>
      </w:pPr>
      <w:r w:rsidRPr="7A5D9B33">
        <w:rPr>
          <w:rStyle w:val="FootnoteReference"/>
        </w:rPr>
        <w:footnoteRef/>
      </w:r>
      <w:r>
        <w:t xml:space="preserve"> </w:t>
      </w:r>
      <w:hyperlink r:id="rId12">
        <w:r w:rsidRPr="7A5D9B33">
          <w:rPr>
            <w:rStyle w:val="Hyperlink"/>
          </w:rPr>
          <w:t>ACT-Workers-Compensation-Suggested-Reasonable-Premium-Rates-2025-26.pdf</w:t>
        </w:r>
      </w:hyperlink>
    </w:p>
  </w:footnote>
  <w:footnote w:id="35">
    <w:p w14:paraId="0532985A" w14:textId="3A5EB9AB" w:rsidR="00250E7C" w:rsidRDefault="00250E7C" w:rsidP="00250E7C">
      <w:pPr>
        <w:pStyle w:val="FootnoteText"/>
      </w:pPr>
      <w:r w:rsidRPr="7A5D9B33">
        <w:rPr>
          <w:rStyle w:val="FootnoteReference"/>
        </w:rPr>
        <w:footnoteRef/>
      </w:r>
      <w:r>
        <w:t xml:space="preserve"> </w:t>
      </w:r>
      <w:hyperlink r:id="rId13" w:history="1">
        <w:r w:rsidR="008B7BA3" w:rsidRPr="00494C36">
          <w:rPr>
            <w:rStyle w:val="Hyperlink"/>
          </w:rPr>
          <w:t>https://www.servicesaustralia.gov.au/sites/default/files/2025-10/annual-report-2024-25.pdf</w:t>
        </w:r>
      </w:hyperlink>
      <w:r w:rsidR="008B7BA3">
        <w:t>, pg237</w:t>
      </w:r>
    </w:p>
  </w:footnote>
  <w:footnote w:id="36">
    <w:p w14:paraId="49954D9A" w14:textId="0036F620" w:rsidR="008B7BA3" w:rsidRDefault="008B7BA3">
      <w:pPr>
        <w:pStyle w:val="FootnoteText"/>
      </w:pPr>
      <w:r>
        <w:rPr>
          <w:rStyle w:val="FootnoteReference"/>
        </w:rPr>
        <w:footnoteRef/>
      </w:r>
      <w:r>
        <w:t xml:space="preserve"> </w:t>
      </w:r>
      <w:hyperlink r:id="rId14">
        <w:r w:rsidRPr="00530A3D">
          <w:rPr>
            <w:rStyle w:val="Hyperlink"/>
            <w:rFonts w:ascii="Blanco" w:eastAsia="Blanco" w:hAnsi="Blanco" w:cs="Blanco"/>
            <w:szCs w:val="21"/>
          </w:rPr>
          <w:t>Services Australia annual report 2024-25, pg208</w:t>
        </w:r>
      </w:hyperlink>
    </w:p>
  </w:footnote>
  <w:footnote w:id="37">
    <w:p w14:paraId="0F302C03" w14:textId="77777777" w:rsidR="00330B54" w:rsidRDefault="00330B54" w:rsidP="00DF0711">
      <w:pPr>
        <w:pStyle w:val="FootnoteText"/>
      </w:pPr>
      <w:r w:rsidRPr="00C13400">
        <w:rPr>
          <w:rStyle w:val="FootnoteReference"/>
        </w:rPr>
        <w:footnoteRef/>
      </w:r>
      <w:r w:rsidRPr="00C13400">
        <w:t xml:space="preserve"> </w:t>
      </w:r>
      <w:hyperlink r:id="rId15" w:history="1">
        <w:r w:rsidRPr="00C13400">
          <w:rPr>
            <w:rStyle w:val="Hyperlink"/>
          </w:rPr>
          <w:t>Department of Employment and Workplace Relations Annual Report 2024-25</w:t>
        </w:r>
      </w:hyperlink>
    </w:p>
  </w:footnote>
  <w:footnote w:id="38">
    <w:p w14:paraId="2E5C714B" w14:textId="5A8A0E11" w:rsidR="00EB61D7" w:rsidRPr="00EB61D7" w:rsidRDefault="00EB61D7">
      <w:pPr>
        <w:pStyle w:val="FootnoteText"/>
        <w:rPr>
          <w:lang w:val="en-US"/>
        </w:rPr>
      </w:pPr>
      <w:r>
        <w:rPr>
          <w:rStyle w:val="FootnoteReference"/>
        </w:rPr>
        <w:footnoteRef/>
      </w:r>
      <w:r>
        <w:t xml:space="preserve"> </w:t>
      </w:r>
      <w:hyperlink r:id="rId16" w:history="1">
        <w:r w:rsidR="004E1AD7" w:rsidRPr="004E1AD7">
          <w:rPr>
            <w:rStyle w:val="Hyperlink"/>
          </w:rPr>
          <w:t>Use and Administration of Wage Subsidies</w:t>
        </w:r>
      </w:hyperlink>
    </w:p>
  </w:footnote>
  <w:footnote w:id="39">
    <w:p w14:paraId="0D8B21CE" w14:textId="77777777" w:rsidR="00250E7C" w:rsidRDefault="00250E7C" w:rsidP="00250E7C">
      <w:pPr>
        <w:pStyle w:val="FootnoteText"/>
      </w:pPr>
      <w:r w:rsidRPr="19959F44">
        <w:rPr>
          <w:rStyle w:val="FootnoteReference"/>
        </w:rPr>
        <w:footnoteRef/>
      </w:r>
      <w:r>
        <w:t xml:space="preserve"> https://www.dewr.gov.au/about-department/resources/organisation-chart-dewr</w:t>
      </w:r>
    </w:p>
  </w:footnote>
  <w:footnote w:id="40">
    <w:p w14:paraId="2D9C8918" w14:textId="77777777" w:rsidR="00250E7C" w:rsidRDefault="00250E7C" w:rsidP="00250E7C">
      <w:pPr>
        <w:pStyle w:val="FootnoteText"/>
      </w:pPr>
      <w:r w:rsidRPr="19959F44">
        <w:rPr>
          <w:rStyle w:val="FootnoteReference"/>
        </w:rPr>
        <w:footnoteRef/>
      </w:r>
      <w:r>
        <w:t xml:space="preserve"> https://www.dewr.gov.au/download/17273/department-employment-and-workplace-relations-annual-report-2024-25/41762/department-employment-and-workplace-relations-annual-report-2024-25/pdf</w:t>
      </w:r>
    </w:p>
  </w:footnote>
  <w:footnote w:id="41">
    <w:p w14:paraId="308FE199" w14:textId="2CE1EC30" w:rsidR="00DF6D40" w:rsidRPr="00FE604F" w:rsidRDefault="00DF6D40">
      <w:pPr>
        <w:pStyle w:val="FootnoteText"/>
        <w:rPr>
          <w:lang w:val="en-GB"/>
        </w:rPr>
      </w:pPr>
      <w:r>
        <w:rPr>
          <w:rStyle w:val="FootnoteReference"/>
        </w:rPr>
        <w:footnoteRef/>
      </w:r>
      <w:r>
        <w:t xml:space="preserve"> Based on the observed cost of enabling functions in Services Australia. See Section </w:t>
      </w:r>
      <w:r>
        <w:fldChar w:fldCharType="begin"/>
      </w:r>
      <w:r>
        <w:instrText xml:space="preserve"> REF _Ref221696816 \r \h </w:instrText>
      </w:r>
      <w:r>
        <w:fldChar w:fldCharType="separate"/>
      </w:r>
      <w:r w:rsidR="001703C6">
        <w:t>4.4.4</w:t>
      </w:r>
      <w:r>
        <w:fldChar w:fldCharType="end"/>
      </w:r>
      <w:r>
        <w:t>.</w:t>
      </w:r>
    </w:p>
  </w:footnote>
  <w:footnote w:id="42">
    <w:p w14:paraId="69442C77" w14:textId="77777777" w:rsidR="00250E7C" w:rsidRDefault="00250E7C" w:rsidP="00250E7C">
      <w:pPr>
        <w:pStyle w:val="FootnoteText"/>
        <w:rPr>
          <w:rFonts w:ascii="Blanco" w:eastAsia="Blanco" w:hAnsi="Blanco" w:cs="Blanco"/>
        </w:rPr>
      </w:pPr>
      <w:r w:rsidRPr="19959F44">
        <w:rPr>
          <w:rStyle w:val="FootnoteReference"/>
        </w:rPr>
        <w:footnoteRef/>
      </w:r>
      <w:r>
        <w:t xml:space="preserve"> </w:t>
      </w:r>
      <w:hyperlink r:id="rId17">
        <w:r w:rsidRPr="19959F44">
          <w:rPr>
            <w:rStyle w:val="Hyperlink"/>
            <w:rFonts w:ascii="Blanco" w:eastAsia="Blanco" w:hAnsi="Blanco" w:cs="Blanco"/>
          </w:rPr>
          <w:t>Chapter 10 - Service provision and program design: Digital or hybrid services – Parliament of Australia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FBlank"/>
      <w:tblpPr w:leftFromText="181" w:rightFromText="181" w:tblpX="8223" w:tblpYSpec="top"/>
      <w:tblOverlap w:val="never"/>
      <w:tblW w:w="2127" w:type="dxa"/>
      <w:tblLook w:val="04A0" w:firstRow="1" w:lastRow="0" w:firstColumn="1" w:lastColumn="0" w:noHBand="0" w:noVBand="1"/>
    </w:tblPr>
    <w:tblGrid>
      <w:gridCol w:w="2127"/>
    </w:tblGrid>
    <w:tr w:rsidR="00743B0C" w14:paraId="66CB18E5" w14:textId="77777777" w:rsidTr="00AD742F">
      <w:trPr>
        <w:trHeight w:val="1361"/>
      </w:trPr>
      <w:tc>
        <w:tcPr>
          <w:tcW w:w="2127" w:type="dxa"/>
        </w:tcPr>
        <w:p w14:paraId="3B487C08" w14:textId="6E836E26" w:rsidR="00743B0C" w:rsidRDefault="00743B0C" w:rsidP="00AD742F">
          <w:pPr>
            <w:pStyle w:val="Header"/>
          </w:pPr>
        </w:p>
      </w:tc>
    </w:tr>
    <w:tr w:rsidR="00743B0C" w14:paraId="76951FC4" w14:textId="77777777" w:rsidTr="00AD742F">
      <w:trPr>
        <w:trHeight w:val="13039"/>
      </w:trPr>
      <w:tc>
        <w:tcPr>
          <w:tcW w:w="2127" w:type="dxa"/>
        </w:tcPr>
        <w:p w14:paraId="1886E8CD" w14:textId="77777777" w:rsidR="00743B0C" w:rsidRDefault="00743B0C" w:rsidP="00AD742F">
          <w:pPr>
            <w:pStyle w:val="Headerheading"/>
            <w:framePr w:hSpace="0" w:wrap="auto" w:vAnchor="margin" w:xAlign="left" w:yAlign="inline"/>
            <w:suppressOverlap w:val="0"/>
          </w:pPr>
          <w:r>
            <w:t>Sydney</w:t>
          </w:r>
        </w:p>
        <w:p w14:paraId="0A9DD1A0" w14:textId="77777777" w:rsidR="00743B0C" w:rsidRDefault="00743B0C" w:rsidP="00AD742F">
          <w:pPr>
            <w:pStyle w:val="Header"/>
          </w:pPr>
          <w:r>
            <w:t>Level 22/45 Clarence St</w:t>
          </w:r>
        </w:p>
        <w:p w14:paraId="637F8FBC" w14:textId="77777777" w:rsidR="00743B0C" w:rsidRDefault="00743B0C" w:rsidP="00AD742F">
          <w:pPr>
            <w:pStyle w:val="Header"/>
          </w:pPr>
          <w:r>
            <w:t>Sydney NSW 2000</w:t>
          </w:r>
        </w:p>
        <w:p w14:paraId="2FBA0A5F" w14:textId="77777777" w:rsidR="00743B0C" w:rsidRDefault="00743B0C" w:rsidP="00AD742F">
          <w:pPr>
            <w:pStyle w:val="Header"/>
          </w:pPr>
          <w:r>
            <w:t>Australia</w:t>
          </w:r>
        </w:p>
        <w:p w14:paraId="0F2CA7A5" w14:textId="77777777" w:rsidR="00743B0C" w:rsidRDefault="00743B0C" w:rsidP="00AD742F">
          <w:pPr>
            <w:pStyle w:val="Header"/>
          </w:pPr>
          <w:r>
            <w:t>+61 2 9249 2900</w:t>
          </w:r>
        </w:p>
        <w:p w14:paraId="3F282335" w14:textId="77777777" w:rsidR="00743B0C" w:rsidRDefault="00743B0C" w:rsidP="00AD742F">
          <w:pPr>
            <w:pStyle w:val="Headerheading"/>
            <w:framePr w:hSpace="0" w:wrap="auto" w:vAnchor="margin" w:xAlign="left" w:yAlign="inline"/>
            <w:suppressOverlap w:val="0"/>
          </w:pPr>
          <w:r w:rsidRPr="00AD742F">
            <w:t>Melbourne</w:t>
          </w:r>
        </w:p>
        <w:p w14:paraId="01DB7FED" w14:textId="77777777" w:rsidR="00743B0C" w:rsidRDefault="00743B0C" w:rsidP="00AD742F">
          <w:pPr>
            <w:pStyle w:val="Header"/>
          </w:pPr>
          <w:r>
            <w:t>Level 27/459 Collins St</w:t>
          </w:r>
        </w:p>
        <w:p w14:paraId="5CC74824" w14:textId="77777777" w:rsidR="00743B0C" w:rsidRDefault="00743B0C" w:rsidP="00AD742F">
          <w:pPr>
            <w:pStyle w:val="Header"/>
          </w:pPr>
          <w:r>
            <w:t>Melbourne VIC 3000</w:t>
          </w:r>
        </w:p>
        <w:p w14:paraId="64276AE4" w14:textId="77777777" w:rsidR="00743B0C" w:rsidRDefault="00743B0C" w:rsidP="00AD742F">
          <w:pPr>
            <w:pStyle w:val="Header"/>
          </w:pPr>
          <w:r>
            <w:t>Australia</w:t>
          </w:r>
        </w:p>
        <w:p w14:paraId="573C8731" w14:textId="77777777" w:rsidR="00743B0C" w:rsidRDefault="00743B0C" w:rsidP="00AD742F">
          <w:pPr>
            <w:pStyle w:val="Header"/>
          </w:pPr>
          <w:r>
            <w:t>+61 3 9658 2300</w:t>
          </w:r>
        </w:p>
        <w:p w14:paraId="481B3EE3" w14:textId="77777777" w:rsidR="00743B0C" w:rsidRDefault="00743B0C" w:rsidP="00AD742F">
          <w:pPr>
            <w:pStyle w:val="Headerheading"/>
            <w:framePr w:hSpace="0" w:wrap="auto" w:vAnchor="margin" w:xAlign="left" w:yAlign="inline"/>
            <w:suppressOverlap w:val="0"/>
          </w:pPr>
          <w:r>
            <w:t>Wellington</w:t>
          </w:r>
        </w:p>
        <w:p w14:paraId="58486D5E" w14:textId="77777777" w:rsidR="00743B0C" w:rsidRDefault="00743B0C" w:rsidP="00AD742F">
          <w:pPr>
            <w:pStyle w:val="Header"/>
          </w:pPr>
          <w:r>
            <w:t>Level 6/22 The Terrace</w:t>
          </w:r>
        </w:p>
        <w:p w14:paraId="6D98A65B" w14:textId="77777777" w:rsidR="00743B0C" w:rsidRDefault="00743B0C" w:rsidP="00AD742F">
          <w:pPr>
            <w:pStyle w:val="Header"/>
          </w:pPr>
          <w:r>
            <w:t>Wellington 6011</w:t>
          </w:r>
        </w:p>
        <w:p w14:paraId="1432F0E4" w14:textId="77777777" w:rsidR="00743B0C" w:rsidRDefault="00743B0C" w:rsidP="00AD742F">
          <w:pPr>
            <w:pStyle w:val="Header"/>
          </w:pPr>
          <w:r>
            <w:t>New Zealand</w:t>
          </w:r>
        </w:p>
        <w:p w14:paraId="015009D0" w14:textId="77777777" w:rsidR="00743B0C" w:rsidRDefault="00743B0C" w:rsidP="00AD742F">
          <w:pPr>
            <w:pStyle w:val="Header"/>
          </w:pPr>
          <w:r>
            <w:t>+64 4 974 5565</w:t>
          </w:r>
        </w:p>
      </w:tc>
    </w:tr>
  </w:tbl>
  <w:p w14:paraId="51F08CAD" w14:textId="77777777" w:rsidR="00743B0C" w:rsidRDefault="00743B0C" w:rsidP="00B63F13">
    <w:pPr>
      <w:pStyle w:val="Header"/>
    </w:pPr>
    <w:r>
      <w:rPr>
        <w:noProof/>
      </w:rPr>
      <w:drawing>
        <wp:anchor distT="0" distB="0" distL="114300" distR="114300" simplePos="0" relativeHeight="251656704" behindDoc="1" locked="1" layoutInCell="1" allowOverlap="1" wp14:anchorId="1D3C7032" wp14:editId="63443DA4">
          <wp:simplePos x="0" y="0"/>
          <wp:positionH relativeFrom="page">
            <wp:align>left</wp:align>
          </wp:positionH>
          <wp:positionV relativeFrom="page">
            <wp:align>top</wp:align>
          </wp:positionV>
          <wp:extent cx="7559040" cy="10688320"/>
          <wp:effectExtent l="0" t="0" r="3810" b="0"/>
          <wp:wrapNone/>
          <wp:docPr id="15874506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09537"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269" cy="106883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D9F3" w14:textId="77777777" w:rsidR="00B36187" w:rsidRDefault="00B36187">
    <w:pPr>
      <w:pStyle w:val="Header"/>
    </w:pPr>
    <w:r>
      <w:rPr>
        <w:noProof/>
      </w:rPr>
      <w:drawing>
        <wp:anchor distT="0" distB="0" distL="114300" distR="114300" simplePos="0" relativeHeight="251660800" behindDoc="1" locked="1" layoutInCell="1" allowOverlap="1" wp14:anchorId="021E0EEE" wp14:editId="562F7728">
          <wp:simplePos x="0" y="0"/>
          <wp:positionH relativeFrom="page">
            <wp:align>left</wp:align>
          </wp:positionH>
          <wp:positionV relativeFrom="page">
            <wp:align>top</wp:align>
          </wp:positionV>
          <wp:extent cx="7558405" cy="10691495"/>
          <wp:effectExtent l="0" t="0" r="4445" b="0"/>
          <wp:wrapNone/>
          <wp:docPr id="5043383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0227"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098A" w14:textId="77777777" w:rsidR="00743B0C" w:rsidRDefault="00743B0C" w:rsidP="00E82BC9">
    <w:pPr>
      <w:pStyle w:val="Header"/>
      <w:tabs>
        <w:tab w:val="clear" w:pos="4513"/>
        <w:tab w:val="clear" w:pos="9026"/>
        <w:tab w:val="left" w:pos="2429"/>
      </w:tabs>
    </w:pPr>
    <w:r>
      <w:rPr>
        <w:noProof/>
      </w:rPr>
      <w:drawing>
        <wp:anchor distT="0" distB="0" distL="114300" distR="114300" simplePos="0" relativeHeight="251657728" behindDoc="1" locked="1" layoutInCell="1" allowOverlap="1" wp14:anchorId="76289966" wp14:editId="5FE6FA56">
          <wp:simplePos x="0" y="0"/>
          <wp:positionH relativeFrom="page">
            <wp:align>left</wp:align>
          </wp:positionH>
          <wp:positionV relativeFrom="page">
            <wp:align>top</wp:align>
          </wp:positionV>
          <wp:extent cx="7555865" cy="10688320"/>
          <wp:effectExtent l="0" t="0" r="6985" b="0"/>
          <wp:wrapNone/>
          <wp:docPr id="2719768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2551"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223"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9EA8" w14:textId="161EA9E5" w:rsidR="005C0C35" w:rsidRDefault="005C0C35" w:rsidP="00B63F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FBlank"/>
      <w:tblpPr w:leftFromText="181" w:rightFromText="181" w:tblpX="8223" w:tblpYSpec="top"/>
      <w:tblOverlap w:val="never"/>
      <w:tblW w:w="2127" w:type="dxa"/>
      <w:tblLook w:val="04A0" w:firstRow="1" w:lastRow="0" w:firstColumn="1" w:lastColumn="0" w:noHBand="0" w:noVBand="1"/>
    </w:tblPr>
    <w:tblGrid>
      <w:gridCol w:w="2127"/>
    </w:tblGrid>
    <w:tr w:rsidR="00B375B7" w14:paraId="64B29849" w14:textId="77777777" w:rsidTr="00AD742F">
      <w:trPr>
        <w:trHeight w:val="1361"/>
      </w:trPr>
      <w:tc>
        <w:tcPr>
          <w:tcW w:w="2127" w:type="dxa"/>
        </w:tcPr>
        <w:p w14:paraId="03CCD922" w14:textId="3B2F08AB" w:rsidR="00B375B7" w:rsidRDefault="00B375B7" w:rsidP="00AD742F">
          <w:pPr>
            <w:pStyle w:val="Header"/>
          </w:pPr>
        </w:p>
      </w:tc>
    </w:tr>
    <w:tr w:rsidR="00B375B7" w14:paraId="51B0D7A7" w14:textId="77777777" w:rsidTr="00AD742F">
      <w:trPr>
        <w:trHeight w:val="13039"/>
      </w:trPr>
      <w:tc>
        <w:tcPr>
          <w:tcW w:w="2127" w:type="dxa"/>
        </w:tcPr>
        <w:p w14:paraId="3289056F" w14:textId="77777777" w:rsidR="00B375B7" w:rsidRDefault="00B375B7" w:rsidP="00AD742F">
          <w:pPr>
            <w:pStyle w:val="Headerheading"/>
            <w:framePr w:hSpace="0" w:wrap="auto" w:vAnchor="margin" w:xAlign="left" w:yAlign="inline"/>
            <w:suppressOverlap w:val="0"/>
          </w:pPr>
          <w:r>
            <w:t>Sydney</w:t>
          </w:r>
        </w:p>
        <w:p w14:paraId="4DA22FCA" w14:textId="77777777" w:rsidR="00B375B7" w:rsidRDefault="00B375B7" w:rsidP="00AD742F">
          <w:pPr>
            <w:pStyle w:val="Header"/>
          </w:pPr>
          <w:r>
            <w:t>Level 22/45 Clarence St</w:t>
          </w:r>
        </w:p>
        <w:p w14:paraId="621048A0" w14:textId="77777777" w:rsidR="00B375B7" w:rsidRDefault="00B375B7" w:rsidP="00AD742F">
          <w:pPr>
            <w:pStyle w:val="Header"/>
          </w:pPr>
          <w:r>
            <w:t>Sydney NSW 2000</w:t>
          </w:r>
        </w:p>
        <w:p w14:paraId="25BEFFB6" w14:textId="77777777" w:rsidR="00B375B7" w:rsidRDefault="00B375B7" w:rsidP="00AD742F">
          <w:pPr>
            <w:pStyle w:val="Header"/>
          </w:pPr>
          <w:r>
            <w:t>Australia</w:t>
          </w:r>
        </w:p>
        <w:p w14:paraId="2B64BDF0" w14:textId="77777777" w:rsidR="00B375B7" w:rsidRDefault="00B375B7" w:rsidP="00AD742F">
          <w:pPr>
            <w:pStyle w:val="Header"/>
          </w:pPr>
          <w:r>
            <w:t>+61 2 9249 2900</w:t>
          </w:r>
        </w:p>
        <w:p w14:paraId="52D76B57" w14:textId="77777777" w:rsidR="00B375B7" w:rsidRDefault="00B375B7" w:rsidP="00AD742F">
          <w:pPr>
            <w:pStyle w:val="Headerheading"/>
            <w:framePr w:hSpace="0" w:wrap="auto" w:vAnchor="margin" w:xAlign="left" w:yAlign="inline"/>
            <w:suppressOverlap w:val="0"/>
          </w:pPr>
          <w:r w:rsidRPr="00AD742F">
            <w:t>Melbourne</w:t>
          </w:r>
        </w:p>
        <w:p w14:paraId="2D3DC990" w14:textId="77777777" w:rsidR="00B375B7" w:rsidRDefault="00B375B7" w:rsidP="00AD742F">
          <w:pPr>
            <w:pStyle w:val="Header"/>
          </w:pPr>
          <w:r>
            <w:t>Level 27/459 Collins St</w:t>
          </w:r>
        </w:p>
        <w:p w14:paraId="366A74CD" w14:textId="77777777" w:rsidR="00B375B7" w:rsidRDefault="00B375B7" w:rsidP="00AD742F">
          <w:pPr>
            <w:pStyle w:val="Header"/>
          </w:pPr>
          <w:r>
            <w:t>Melbourne VIC 3000</w:t>
          </w:r>
        </w:p>
        <w:p w14:paraId="2D0FADFF" w14:textId="77777777" w:rsidR="00B375B7" w:rsidRDefault="00B375B7" w:rsidP="00AD742F">
          <w:pPr>
            <w:pStyle w:val="Header"/>
          </w:pPr>
          <w:r>
            <w:t>Australia</w:t>
          </w:r>
        </w:p>
        <w:p w14:paraId="4D92DB17" w14:textId="77777777" w:rsidR="00B375B7" w:rsidRDefault="00B375B7" w:rsidP="00AD742F">
          <w:pPr>
            <w:pStyle w:val="Header"/>
          </w:pPr>
          <w:r>
            <w:t>+61 3 9658 2300</w:t>
          </w:r>
        </w:p>
        <w:p w14:paraId="15EBD7D3" w14:textId="77777777" w:rsidR="00B375B7" w:rsidRDefault="00B375B7" w:rsidP="00540FC0">
          <w:pPr>
            <w:pStyle w:val="Headerheading"/>
            <w:framePr w:hSpace="0" w:wrap="auto" w:vAnchor="margin" w:xAlign="left" w:yAlign="inline"/>
            <w:suppressOverlap w:val="0"/>
          </w:pPr>
          <w:r>
            <w:t>Wellington</w:t>
          </w:r>
        </w:p>
        <w:p w14:paraId="13C384A9" w14:textId="77777777" w:rsidR="00B375B7" w:rsidRDefault="00B375B7" w:rsidP="00540FC0">
          <w:pPr>
            <w:pStyle w:val="Header"/>
          </w:pPr>
          <w:r>
            <w:t>Level 6/22 The Terrace</w:t>
          </w:r>
        </w:p>
        <w:p w14:paraId="4EC4F40D" w14:textId="77777777" w:rsidR="00B375B7" w:rsidRDefault="00B375B7" w:rsidP="00540FC0">
          <w:pPr>
            <w:pStyle w:val="Header"/>
          </w:pPr>
          <w:r>
            <w:t>Wellington 6011</w:t>
          </w:r>
        </w:p>
        <w:p w14:paraId="74D37A73" w14:textId="77777777" w:rsidR="00B375B7" w:rsidRDefault="00B375B7" w:rsidP="00540FC0">
          <w:pPr>
            <w:pStyle w:val="Header"/>
          </w:pPr>
          <w:r>
            <w:t>New Zealand</w:t>
          </w:r>
        </w:p>
        <w:p w14:paraId="700D84E9" w14:textId="77777777" w:rsidR="00B375B7" w:rsidRDefault="00B375B7" w:rsidP="00540FC0">
          <w:pPr>
            <w:pStyle w:val="Header"/>
          </w:pPr>
          <w:r>
            <w:t>+64 4 974 5565</w:t>
          </w:r>
        </w:p>
      </w:tc>
    </w:tr>
  </w:tbl>
  <w:p w14:paraId="084E08FF" w14:textId="77777777" w:rsidR="00B375B7" w:rsidRDefault="00B375B7" w:rsidP="00B63F13">
    <w:pPr>
      <w:pStyle w:val="Header"/>
    </w:pPr>
    <w:r>
      <w:rPr>
        <w:noProof/>
      </w:rPr>
      <w:drawing>
        <wp:anchor distT="0" distB="0" distL="114300" distR="114300" simplePos="0" relativeHeight="251658752" behindDoc="1" locked="1" layoutInCell="1" allowOverlap="1" wp14:anchorId="03274A25" wp14:editId="20387539">
          <wp:simplePos x="0" y="0"/>
          <wp:positionH relativeFrom="page">
            <wp:align>left</wp:align>
          </wp:positionH>
          <wp:positionV relativeFrom="page">
            <wp:align>top</wp:align>
          </wp:positionV>
          <wp:extent cx="7559040" cy="10688320"/>
          <wp:effectExtent l="0" t="0" r="3810" b="0"/>
          <wp:wrapNone/>
          <wp:docPr id="78276136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33354" name="Picture 38">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269" cy="10688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B24E6C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EFA08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3" w15:restartNumberingAfterBreak="0">
    <w:nsid w:val="FFFFFF83"/>
    <w:multiLevelType w:val="singleLevel"/>
    <w:tmpl w:val="37A2CCDE"/>
    <w:lvl w:ilvl="0">
      <w:start w:val="1"/>
      <w:numFmt w:val="bullet"/>
      <w:pStyle w:val="ListBullet2"/>
      <w:lvlText w:val="–"/>
      <w:lvlJc w:val="left"/>
      <w:pPr>
        <w:ind w:left="357" w:firstLine="0"/>
      </w:pPr>
      <w:rPr>
        <w:rFonts w:ascii="Calibri" w:hAnsi="Calibri" w:hint="default"/>
      </w:rPr>
    </w:lvl>
  </w:abstractNum>
  <w:abstractNum w:abstractNumId="4" w15:restartNumberingAfterBreak="0">
    <w:nsid w:val="FFFFFF89"/>
    <w:multiLevelType w:val="singleLevel"/>
    <w:tmpl w:val="FEC676CE"/>
    <w:lvl w:ilvl="0">
      <w:start w:val="1"/>
      <w:numFmt w:val="bullet"/>
      <w:pStyle w:val="ListBullet"/>
      <w:lvlText w:val=""/>
      <w:lvlJc w:val="left"/>
      <w:pPr>
        <w:ind w:left="360" w:hanging="360"/>
      </w:pPr>
      <w:rPr>
        <w:rFonts w:ascii="Wingdings" w:hAnsi="Wingdings" w:hint="default"/>
      </w:rPr>
    </w:lvl>
  </w:abstractNum>
  <w:abstractNum w:abstractNumId="5" w15:restartNumberingAfterBreak="0">
    <w:nsid w:val="031B4F4F"/>
    <w:multiLevelType w:val="hybridMultilevel"/>
    <w:tmpl w:val="82322CE4"/>
    <w:lvl w:ilvl="0" w:tplc="C0087110">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05AE7"/>
    <w:multiLevelType w:val="hybridMultilevel"/>
    <w:tmpl w:val="53BEF86A"/>
    <w:lvl w:ilvl="0" w:tplc="C0087110">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811D9"/>
    <w:multiLevelType w:val="hybridMultilevel"/>
    <w:tmpl w:val="0CB49FAE"/>
    <w:lvl w:ilvl="0" w:tplc="C0087110">
      <w:numFmt w:val="bullet"/>
      <w:lvlText w:val="•"/>
      <w:lvlJc w:val="left"/>
      <w:pPr>
        <w:ind w:left="720" w:hanging="360"/>
      </w:pPr>
      <w:rPr>
        <w:rFonts w:ascii="Blanco" w:eastAsiaTheme="minorHAnsi" w:hAnsi="Blanc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4738F"/>
    <w:multiLevelType w:val="hybridMultilevel"/>
    <w:tmpl w:val="B9CC6F8A"/>
    <w:lvl w:ilvl="0" w:tplc="6D1654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BB02DE"/>
    <w:multiLevelType w:val="hybridMultilevel"/>
    <w:tmpl w:val="0BDA2408"/>
    <w:lvl w:ilvl="0" w:tplc="B93E15C8">
      <w:start w:val="1"/>
      <w:numFmt w:val="bullet"/>
      <w:pStyle w:val="TFBullet2"/>
      <w:lvlText w:val="–"/>
      <w:lvlJc w:val="left"/>
      <w:pPr>
        <w:ind w:left="717" w:hanging="360"/>
      </w:pPr>
      <w:rPr>
        <w:color w:val="006EC8"/>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1C0F2741"/>
    <w:multiLevelType w:val="hybridMultilevel"/>
    <w:tmpl w:val="C5281D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6B563A"/>
    <w:multiLevelType w:val="hybridMultilevel"/>
    <w:tmpl w:val="CA0E12CA"/>
    <w:lvl w:ilvl="0" w:tplc="0C090015">
      <w:start w:val="1"/>
      <w:numFmt w:val="upperLetter"/>
      <w:lvlText w:val="%1."/>
      <w:lvlJc w:val="left"/>
      <w:pPr>
        <w:ind w:left="720" w:hanging="360"/>
      </w:pPr>
    </w:lvl>
    <w:lvl w:ilvl="1" w:tplc="10C48BA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C7C076"/>
    <w:multiLevelType w:val="hybridMultilevel"/>
    <w:tmpl w:val="02FCF2F4"/>
    <w:lvl w:ilvl="0" w:tplc="2D601DA2">
      <w:start w:val="1"/>
      <w:numFmt w:val="decimal"/>
      <w:lvlText w:val="%1)"/>
      <w:lvlJc w:val="left"/>
      <w:pPr>
        <w:ind w:left="720" w:hanging="360"/>
      </w:pPr>
    </w:lvl>
    <w:lvl w:ilvl="1" w:tplc="527A9766">
      <w:start w:val="1"/>
      <w:numFmt w:val="lowerLetter"/>
      <w:lvlText w:val="%2."/>
      <w:lvlJc w:val="left"/>
      <w:pPr>
        <w:ind w:left="1440" w:hanging="360"/>
      </w:pPr>
    </w:lvl>
    <w:lvl w:ilvl="2" w:tplc="C0BA1FFE">
      <w:start w:val="1"/>
      <w:numFmt w:val="lowerRoman"/>
      <w:lvlText w:val="%3."/>
      <w:lvlJc w:val="right"/>
      <w:pPr>
        <w:ind w:left="2160" w:hanging="180"/>
      </w:pPr>
    </w:lvl>
    <w:lvl w:ilvl="3" w:tplc="C0DEAB98">
      <w:start w:val="1"/>
      <w:numFmt w:val="decimal"/>
      <w:lvlText w:val="%4."/>
      <w:lvlJc w:val="left"/>
      <w:pPr>
        <w:ind w:left="2880" w:hanging="360"/>
      </w:pPr>
    </w:lvl>
    <w:lvl w:ilvl="4" w:tplc="8BE8CBF2">
      <w:start w:val="1"/>
      <w:numFmt w:val="lowerLetter"/>
      <w:lvlText w:val="%5."/>
      <w:lvlJc w:val="left"/>
      <w:pPr>
        <w:ind w:left="3600" w:hanging="360"/>
      </w:pPr>
    </w:lvl>
    <w:lvl w:ilvl="5" w:tplc="98185F76">
      <w:start w:val="1"/>
      <w:numFmt w:val="lowerRoman"/>
      <w:lvlText w:val="%6."/>
      <w:lvlJc w:val="right"/>
      <w:pPr>
        <w:ind w:left="4320" w:hanging="180"/>
      </w:pPr>
    </w:lvl>
    <w:lvl w:ilvl="6" w:tplc="AB8A38EE">
      <w:start w:val="1"/>
      <w:numFmt w:val="decimal"/>
      <w:lvlText w:val="%7."/>
      <w:lvlJc w:val="left"/>
      <w:pPr>
        <w:ind w:left="5040" w:hanging="360"/>
      </w:pPr>
    </w:lvl>
    <w:lvl w:ilvl="7" w:tplc="6A26C860">
      <w:start w:val="1"/>
      <w:numFmt w:val="lowerLetter"/>
      <w:lvlText w:val="%8."/>
      <w:lvlJc w:val="left"/>
      <w:pPr>
        <w:ind w:left="5760" w:hanging="360"/>
      </w:pPr>
    </w:lvl>
    <w:lvl w:ilvl="8" w:tplc="C4F4539E">
      <w:start w:val="1"/>
      <w:numFmt w:val="lowerRoman"/>
      <w:lvlText w:val="%9."/>
      <w:lvlJc w:val="right"/>
      <w:pPr>
        <w:ind w:left="6480" w:hanging="180"/>
      </w:pPr>
    </w:lvl>
  </w:abstractNum>
  <w:abstractNum w:abstractNumId="13" w15:restartNumberingAfterBreak="0">
    <w:nsid w:val="29C81729"/>
    <w:multiLevelType w:val="hybridMultilevel"/>
    <w:tmpl w:val="676E746E"/>
    <w:lvl w:ilvl="0" w:tplc="C0087110">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C8A05"/>
    <w:multiLevelType w:val="hybridMultilevel"/>
    <w:tmpl w:val="FFFFFFFF"/>
    <w:lvl w:ilvl="0" w:tplc="5426B1EC">
      <w:start w:val="1"/>
      <w:numFmt w:val="decimal"/>
      <w:lvlText w:val="2)"/>
      <w:lvlJc w:val="left"/>
      <w:pPr>
        <w:ind w:left="720" w:hanging="360"/>
      </w:pPr>
    </w:lvl>
    <w:lvl w:ilvl="1" w:tplc="557AB540">
      <w:start w:val="1"/>
      <w:numFmt w:val="lowerLetter"/>
      <w:lvlText w:val="%2."/>
      <w:lvlJc w:val="left"/>
      <w:pPr>
        <w:ind w:left="1440" w:hanging="360"/>
      </w:pPr>
    </w:lvl>
    <w:lvl w:ilvl="2" w:tplc="108ABFB6">
      <w:start w:val="1"/>
      <w:numFmt w:val="lowerRoman"/>
      <w:lvlText w:val="%3."/>
      <w:lvlJc w:val="right"/>
      <w:pPr>
        <w:ind w:left="2160" w:hanging="180"/>
      </w:pPr>
    </w:lvl>
    <w:lvl w:ilvl="3" w:tplc="3EA0015E">
      <w:start w:val="1"/>
      <w:numFmt w:val="decimal"/>
      <w:lvlText w:val="%4."/>
      <w:lvlJc w:val="left"/>
      <w:pPr>
        <w:ind w:left="2880" w:hanging="360"/>
      </w:pPr>
    </w:lvl>
    <w:lvl w:ilvl="4" w:tplc="DE620232">
      <w:start w:val="1"/>
      <w:numFmt w:val="lowerLetter"/>
      <w:lvlText w:val="%5."/>
      <w:lvlJc w:val="left"/>
      <w:pPr>
        <w:ind w:left="3600" w:hanging="360"/>
      </w:pPr>
    </w:lvl>
    <w:lvl w:ilvl="5" w:tplc="ADCACC04">
      <w:start w:val="1"/>
      <w:numFmt w:val="lowerRoman"/>
      <w:lvlText w:val="%6."/>
      <w:lvlJc w:val="right"/>
      <w:pPr>
        <w:ind w:left="4320" w:hanging="180"/>
      </w:pPr>
    </w:lvl>
    <w:lvl w:ilvl="6" w:tplc="66C27F72">
      <w:start w:val="1"/>
      <w:numFmt w:val="decimal"/>
      <w:lvlText w:val="%7."/>
      <w:lvlJc w:val="left"/>
      <w:pPr>
        <w:ind w:left="5040" w:hanging="360"/>
      </w:pPr>
    </w:lvl>
    <w:lvl w:ilvl="7" w:tplc="C49C3D6E">
      <w:start w:val="1"/>
      <w:numFmt w:val="lowerLetter"/>
      <w:lvlText w:val="%8."/>
      <w:lvlJc w:val="left"/>
      <w:pPr>
        <w:ind w:left="5760" w:hanging="360"/>
      </w:pPr>
    </w:lvl>
    <w:lvl w:ilvl="8" w:tplc="10029CD2">
      <w:start w:val="1"/>
      <w:numFmt w:val="lowerRoman"/>
      <w:lvlText w:val="%9."/>
      <w:lvlJc w:val="right"/>
      <w:pPr>
        <w:ind w:left="6480" w:hanging="180"/>
      </w:pPr>
    </w:lvl>
  </w:abstractNum>
  <w:abstractNum w:abstractNumId="15" w15:restartNumberingAfterBreak="0">
    <w:nsid w:val="36FA433E"/>
    <w:multiLevelType w:val="hybridMultilevel"/>
    <w:tmpl w:val="A8601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357B7A"/>
    <w:multiLevelType w:val="hybridMultilevel"/>
    <w:tmpl w:val="C5281D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C631E0"/>
    <w:multiLevelType w:val="multilevel"/>
    <w:tmpl w:val="C24EE32A"/>
    <w:lvl w:ilvl="0">
      <w:start w:val="1"/>
      <w:numFmt w:val="none"/>
      <w:suff w:val="nothing"/>
      <w:lvlText w:val=""/>
      <w:lvlJc w:val="left"/>
      <w:pPr>
        <w:ind w:left="0" w:firstLine="0"/>
      </w:pPr>
      <w:rPr>
        <w:rFonts w:hint="default"/>
      </w:rPr>
    </w:lvl>
    <w:lvl w:ilvl="1">
      <w:start w:val="1"/>
      <w:numFmt w:val="decimal"/>
      <w:lvlText w:val="%1%2."/>
      <w:lvlJc w:val="left"/>
      <w:pPr>
        <w:ind w:left="357" w:hanging="357"/>
      </w:pPr>
      <w:rPr>
        <w:rFonts w:hint="default"/>
        <w:color w:val="006EC8" w:themeColor="accent1"/>
      </w:rPr>
    </w:lvl>
    <w:lvl w:ilvl="2">
      <w:start w:val="1"/>
      <w:numFmt w:val="lowerLetter"/>
      <w:lvlText w:val="%1%3."/>
      <w:lvlJc w:val="left"/>
      <w:pPr>
        <w:tabs>
          <w:tab w:val="num" w:pos="357"/>
        </w:tabs>
        <w:ind w:left="357" w:firstLine="0"/>
      </w:pPr>
      <w:rPr>
        <w:rFonts w:hint="default"/>
        <w:color w:val="006EC8" w:themeColor="accent1"/>
      </w:rPr>
    </w:lvl>
    <w:lvl w:ilvl="3">
      <w:start w:val="1"/>
      <w:numFmt w:val="lowerRoman"/>
      <w:lvlText w:val="%1%4."/>
      <w:lvlJc w:val="left"/>
      <w:pPr>
        <w:tabs>
          <w:tab w:val="num" w:pos="714"/>
        </w:tabs>
        <w:ind w:left="357" w:firstLine="357"/>
      </w:pPr>
      <w:rPr>
        <w:rFonts w:hint="default"/>
        <w:color w:val="006EC8" w:themeColor="accent1"/>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18" w15:restartNumberingAfterBreak="0">
    <w:nsid w:val="4052397D"/>
    <w:multiLevelType w:val="multilevel"/>
    <w:tmpl w:val="1706C04A"/>
    <w:lvl w:ilvl="0">
      <w:start w:val="1"/>
      <w:numFmt w:val="upperLetter"/>
      <w:suff w:val="space"/>
      <w:lvlText w:val="Appendix %1"/>
      <w:lvlJc w:val="left"/>
      <w:pPr>
        <w:ind w:left="0" w:firstLine="0"/>
      </w:pPr>
      <w:rPr>
        <w:rFonts w:hint="default"/>
      </w:rPr>
    </w:lvl>
    <w:lvl w:ilvl="1">
      <w:start w:val="1"/>
      <w:numFmt w:val="decimal"/>
      <w:pStyle w:val="Heading6"/>
      <w:lvlText w:val="%1.%2"/>
      <w:lvlJc w:val="left"/>
      <w:pPr>
        <w:tabs>
          <w:tab w:val="num" w:pos="851"/>
        </w:tabs>
        <w:ind w:left="851" w:hanging="851"/>
      </w:pPr>
      <w:rPr>
        <w:rFonts w:hint="default"/>
      </w:rPr>
    </w:lvl>
    <w:lvl w:ilvl="2">
      <w:start w:val="1"/>
      <w:numFmt w:val="decimal"/>
      <w:pStyle w:val="Heading7"/>
      <w:lvlText w:val="%1.%2.%3"/>
      <w:lvlJc w:val="left"/>
      <w:pPr>
        <w:tabs>
          <w:tab w:val="num" w:pos="851"/>
        </w:tabs>
        <w:ind w:left="851" w:hanging="851"/>
      </w:pPr>
      <w:rPr>
        <w:rFonts w:hint="default"/>
      </w:rPr>
    </w:lvl>
    <w:lvl w:ilvl="3">
      <w:start w:val="1"/>
      <w:numFmt w:val="decimal"/>
      <w:pStyle w:val="Heading8"/>
      <w:lvlText w:val="%1.%2.%3.%4"/>
      <w:lvlJc w:val="left"/>
      <w:pPr>
        <w:ind w:left="851" w:hanging="851"/>
      </w:pPr>
      <w:rPr>
        <w:rFonts w:hint="default"/>
      </w:rPr>
    </w:lvl>
    <w:lvl w:ilvl="4">
      <w:start w:val="1"/>
      <w:numFmt w:val="decimal"/>
      <w:lvlRestart w:val="2"/>
      <w:lvlText w:val="Figure %1.%2.%5"/>
      <w:lvlJc w:val="left"/>
      <w:pPr>
        <w:ind w:left="1418" w:hanging="1418"/>
      </w:pPr>
      <w:rPr>
        <w:rFonts w:hint="default"/>
        <w:b/>
        <w:i w:val="0"/>
      </w:rPr>
    </w:lvl>
    <w:lvl w:ilvl="5">
      <w:start w:val="1"/>
      <w:numFmt w:val="decimal"/>
      <w:lvlRestart w:val="2"/>
      <w:lvlText w:val="Table %1.%2.%6"/>
      <w:lvlJc w:val="left"/>
      <w:pPr>
        <w:ind w:left="1418" w:hanging="1418"/>
      </w:pPr>
      <w:rPr>
        <w:rFonts w:hint="default"/>
        <w:b/>
        <w:i w:val="0"/>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407758C4"/>
    <w:multiLevelType w:val="multilevel"/>
    <w:tmpl w:val="6AA22E28"/>
    <w:lvl w:ilvl="0">
      <w:start w:val="1"/>
      <w:numFmt w:val="none"/>
      <w:suff w:val="nothing"/>
      <w:lvlText w:val=""/>
      <w:lvlJc w:val="left"/>
      <w:pPr>
        <w:ind w:left="0" w:firstLine="0"/>
      </w:pPr>
      <w:rPr>
        <w:rFonts w:hint="default"/>
      </w:rPr>
    </w:lvl>
    <w:lvl w:ilvl="1">
      <w:start w:val="1"/>
      <w:numFmt w:val="decimal"/>
      <w:lvlText w:val="%1%2."/>
      <w:lvlJc w:val="left"/>
      <w:pPr>
        <w:ind w:left="357" w:hanging="357"/>
      </w:pPr>
      <w:rPr>
        <w:rFonts w:hint="default"/>
        <w:color w:val="006EC8" w:themeColor="accent1"/>
      </w:rPr>
    </w:lvl>
    <w:lvl w:ilvl="2">
      <w:start w:val="1"/>
      <w:numFmt w:val="lowerLetter"/>
      <w:lvlText w:val="%1%3."/>
      <w:lvlJc w:val="left"/>
      <w:pPr>
        <w:tabs>
          <w:tab w:val="num" w:pos="357"/>
        </w:tabs>
        <w:ind w:left="357" w:firstLine="0"/>
      </w:pPr>
      <w:rPr>
        <w:rFonts w:hint="default"/>
        <w:color w:val="006EC8" w:themeColor="accent1"/>
      </w:rPr>
    </w:lvl>
    <w:lvl w:ilvl="3">
      <w:start w:val="1"/>
      <w:numFmt w:val="lowerRoman"/>
      <w:lvlText w:val="%1%4."/>
      <w:lvlJc w:val="left"/>
      <w:pPr>
        <w:tabs>
          <w:tab w:val="num" w:pos="714"/>
        </w:tabs>
        <w:ind w:left="357" w:firstLine="357"/>
      </w:pPr>
      <w:rPr>
        <w:rFonts w:hint="default"/>
        <w:color w:val="006EC8" w:themeColor="accent1"/>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0" w15:restartNumberingAfterBreak="0">
    <w:nsid w:val="425B7771"/>
    <w:multiLevelType w:val="hybridMultilevel"/>
    <w:tmpl w:val="8F727B36"/>
    <w:lvl w:ilvl="0" w:tplc="493629C0">
      <w:start w:val="1"/>
      <w:numFmt w:val="decimal"/>
      <w:lvlText w:val="%1)"/>
      <w:lvlJc w:val="left"/>
      <w:pPr>
        <w:ind w:left="720" w:hanging="360"/>
      </w:pPr>
    </w:lvl>
    <w:lvl w:ilvl="1" w:tplc="0BCE2BA0">
      <w:start w:val="1"/>
      <w:numFmt w:val="lowerLetter"/>
      <w:lvlText w:val="%2."/>
      <w:lvlJc w:val="left"/>
      <w:pPr>
        <w:ind w:left="1440" w:hanging="360"/>
      </w:pPr>
    </w:lvl>
    <w:lvl w:ilvl="2" w:tplc="F06AC710">
      <w:start w:val="1"/>
      <w:numFmt w:val="lowerRoman"/>
      <w:lvlText w:val="%3."/>
      <w:lvlJc w:val="right"/>
      <w:pPr>
        <w:ind w:left="2160" w:hanging="180"/>
      </w:pPr>
    </w:lvl>
    <w:lvl w:ilvl="3" w:tplc="4FA2804A">
      <w:start w:val="1"/>
      <w:numFmt w:val="decimal"/>
      <w:lvlText w:val="%4."/>
      <w:lvlJc w:val="left"/>
      <w:pPr>
        <w:ind w:left="2880" w:hanging="360"/>
      </w:pPr>
    </w:lvl>
    <w:lvl w:ilvl="4" w:tplc="0B761790">
      <w:start w:val="1"/>
      <w:numFmt w:val="lowerLetter"/>
      <w:lvlText w:val="%5."/>
      <w:lvlJc w:val="left"/>
      <w:pPr>
        <w:ind w:left="3600" w:hanging="360"/>
      </w:pPr>
    </w:lvl>
    <w:lvl w:ilvl="5" w:tplc="58A2A3F2">
      <w:start w:val="1"/>
      <w:numFmt w:val="lowerRoman"/>
      <w:lvlText w:val="%6."/>
      <w:lvlJc w:val="right"/>
      <w:pPr>
        <w:ind w:left="4320" w:hanging="180"/>
      </w:pPr>
    </w:lvl>
    <w:lvl w:ilvl="6" w:tplc="E536C7BC">
      <w:start w:val="1"/>
      <w:numFmt w:val="decimal"/>
      <w:lvlText w:val="%7."/>
      <w:lvlJc w:val="left"/>
      <w:pPr>
        <w:ind w:left="5040" w:hanging="360"/>
      </w:pPr>
    </w:lvl>
    <w:lvl w:ilvl="7" w:tplc="0172DDDE">
      <w:start w:val="1"/>
      <w:numFmt w:val="lowerLetter"/>
      <w:lvlText w:val="%8."/>
      <w:lvlJc w:val="left"/>
      <w:pPr>
        <w:ind w:left="5760" w:hanging="360"/>
      </w:pPr>
    </w:lvl>
    <w:lvl w:ilvl="8" w:tplc="1C5C4BF0">
      <w:start w:val="1"/>
      <w:numFmt w:val="lowerRoman"/>
      <w:lvlText w:val="%9."/>
      <w:lvlJc w:val="right"/>
      <w:pPr>
        <w:ind w:left="6480" w:hanging="180"/>
      </w:pPr>
    </w:lvl>
  </w:abstractNum>
  <w:abstractNum w:abstractNumId="21" w15:restartNumberingAfterBreak="0">
    <w:nsid w:val="46EB5AA5"/>
    <w:multiLevelType w:val="hybridMultilevel"/>
    <w:tmpl w:val="AED49FBE"/>
    <w:lvl w:ilvl="0" w:tplc="0C09000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736DDB"/>
    <w:multiLevelType w:val="multilevel"/>
    <w:tmpl w:val="D5CA3B7E"/>
    <w:lvl w:ilvl="0">
      <w:start w:val="1"/>
      <w:numFmt w:val="decimal"/>
      <w:pStyle w:val="Heading2"/>
      <w:lvlText w:val="%1"/>
      <w:lvlJc w:val="left"/>
      <w:pPr>
        <w:ind w:left="992" w:hanging="992"/>
      </w:pPr>
      <w:rPr>
        <w:rFonts w:hint="default"/>
      </w:rPr>
    </w:lvl>
    <w:lvl w:ilvl="1">
      <w:start w:val="1"/>
      <w:numFmt w:val="decimal"/>
      <w:pStyle w:val="Heading3"/>
      <w:lvlText w:val="%1.%2"/>
      <w:lvlJc w:val="left"/>
      <w:pPr>
        <w:ind w:left="992" w:hanging="992"/>
      </w:pPr>
      <w:rPr>
        <w:rFonts w:hint="default"/>
      </w:rPr>
    </w:lvl>
    <w:lvl w:ilvl="2">
      <w:start w:val="1"/>
      <w:numFmt w:val="decimal"/>
      <w:pStyle w:val="Heading4"/>
      <w:lvlText w:val="%1.%2.%3"/>
      <w:lvlJc w:val="left"/>
      <w:pPr>
        <w:ind w:left="3403" w:hanging="992"/>
      </w:pPr>
      <w:rPr>
        <w:rFonts w:hint="default"/>
      </w:rPr>
    </w:lvl>
    <w:lvl w:ilvl="3">
      <w:start w:val="1"/>
      <w:numFmt w:val="decimal"/>
      <w:pStyle w:val="Heading5"/>
      <w:lvlText w:val="%1.%2.%3.%4"/>
      <w:lvlJc w:val="left"/>
      <w:pPr>
        <w:ind w:left="992" w:hanging="992"/>
      </w:pPr>
      <w:rPr>
        <w:rFonts w:hint="default"/>
        <w:b w:val="0"/>
        <w:i w:val="0"/>
      </w:rPr>
    </w:lvl>
    <w:lvl w:ilvl="4">
      <w:start w:val="1"/>
      <w:numFmt w:val="upperLetter"/>
      <w:lvlText w:val="%5"/>
      <w:lvlJc w:val="left"/>
      <w:pPr>
        <w:ind w:left="992" w:hanging="992"/>
      </w:pPr>
      <w:rPr>
        <w:rFonts w:hint="default"/>
        <w:b w:val="0"/>
        <w:i w:val="0"/>
      </w:rPr>
    </w:lvl>
    <w:lvl w:ilvl="5">
      <w:start w:val="1"/>
      <w:numFmt w:val="decimal"/>
      <w:lvlRestart w:val="1"/>
      <w:lvlText w:val="%5.%6"/>
      <w:lvlJc w:val="left"/>
      <w:pPr>
        <w:ind w:left="992" w:hanging="992"/>
      </w:pPr>
      <w:rPr>
        <w:rFonts w:hint="default"/>
        <w:b w:val="0"/>
        <w:i w:val="0"/>
      </w:rPr>
    </w:lvl>
    <w:lvl w:ilvl="6">
      <w:start w:val="1"/>
      <w:numFmt w:val="decimal"/>
      <w:lvlText w:val="%5.%6.%7"/>
      <w:lvlJc w:val="left"/>
      <w:pPr>
        <w:ind w:left="992" w:hanging="992"/>
      </w:pPr>
      <w:rPr>
        <w:rFonts w:hint="default"/>
        <w:color w:val="auto"/>
      </w:rPr>
    </w:lvl>
    <w:lvl w:ilvl="7">
      <w:start w:val="1"/>
      <w:numFmt w:val="decimal"/>
      <w:lvlText w:val="%5.%6.%7.%8"/>
      <w:lvlJc w:val="left"/>
      <w:pPr>
        <w:ind w:left="992" w:hanging="992"/>
      </w:pPr>
      <w:rPr>
        <w:rFonts w:hint="default"/>
        <w:color w:val="auto"/>
      </w:rPr>
    </w:lvl>
    <w:lvl w:ilvl="8">
      <w:start w:val="1"/>
      <w:numFmt w:val="none"/>
      <w:lvlText w:val="%9"/>
      <w:lvlJc w:val="left"/>
      <w:pPr>
        <w:ind w:left="992" w:hanging="992"/>
      </w:pPr>
      <w:rPr>
        <w:rFonts w:hint="default"/>
        <w:color w:val="006EC8" w:themeColor="accent1"/>
      </w:rPr>
    </w:lvl>
  </w:abstractNum>
  <w:abstractNum w:abstractNumId="23" w15:restartNumberingAfterBreak="0">
    <w:nsid w:val="4E502148"/>
    <w:multiLevelType w:val="multilevel"/>
    <w:tmpl w:val="7662025C"/>
    <w:lvl w:ilvl="0">
      <w:start w:val="1"/>
      <w:numFmt w:val="none"/>
      <w:pStyle w:val="Tablenotesorsource"/>
      <w:lvlText w:val="%1"/>
      <w:lvlJc w:val="left"/>
      <w:pPr>
        <w:ind w:left="0" w:firstLine="0"/>
      </w:pPr>
      <w:rPr>
        <w:rFonts w:hint="default"/>
      </w:rPr>
    </w:lvl>
    <w:lvl w:ilvl="1">
      <w:start w:val="1"/>
      <w:numFmt w:val="lowerLetter"/>
      <w:pStyle w:val="Tablenotesnumbers"/>
      <w:lvlText w:val="%1(%2)"/>
      <w:lvlJc w:val="left"/>
      <w:pPr>
        <w:ind w:left="0" w:firstLine="0"/>
      </w:pPr>
      <w:rPr>
        <w:rFonts w:hint="default"/>
      </w:rPr>
    </w:lvl>
    <w:lvl w:ilvl="2">
      <w:start w:val="1"/>
      <w:numFmt w:val="none"/>
      <w:lvlText w:val="%1"/>
      <w:lvlJc w:val="left"/>
      <w:pPr>
        <w:ind w:left="0" w:firstLine="0"/>
      </w:pPr>
      <w:rPr>
        <w:rFonts w:hint="default"/>
      </w:rPr>
    </w:lvl>
    <w:lvl w:ilvl="3">
      <w:start w:val="1"/>
      <w:numFmt w:val="none"/>
      <w:lvlText w:val="%1"/>
      <w:lvlJc w:val="left"/>
      <w:pPr>
        <w:ind w:left="0" w:firstLine="0"/>
      </w:pPr>
      <w:rPr>
        <w:rFonts w:hint="default"/>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4" w15:restartNumberingAfterBreak="0">
    <w:nsid w:val="4F0419DE"/>
    <w:multiLevelType w:val="hybridMultilevel"/>
    <w:tmpl w:val="F10049B6"/>
    <w:lvl w:ilvl="0" w:tplc="1E146C3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A55AB0"/>
    <w:multiLevelType w:val="hybridMultilevel"/>
    <w:tmpl w:val="34BC5940"/>
    <w:lvl w:ilvl="0" w:tplc="D772AA50">
      <w:start w:val="1"/>
      <w:numFmt w:val="bullet"/>
      <w:lvlText w:val="-"/>
      <w:lvlJc w:val="left"/>
      <w:pPr>
        <w:ind w:left="720" w:hanging="360"/>
      </w:pPr>
      <w:rPr>
        <w:rFonts w:ascii="Arial Black" w:eastAsiaTheme="minorHAnsi" w:hAnsi="Arial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2EB6B3"/>
    <w:multiLevelType w:val="multilevel"/>
    <w:tmpl w:val="FFFFFFFF"/>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407885"/>
    <w:multiLevelType w:val="hybridMultilevel"/>
    <w:tmpl w:val="9A482AF0"/>
    <w:lvl w:ilvl="0" w:tplc="C0087110">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023B54"/>
    <w:multiLevelType w:val="hybridMultilevel"/>
    <w:tmpl w:val="FFFFFFFF"/>
    <w:lvl w:ilvl="0" w:tplc="0540E852">
      <w:start w:val="1"/>
      <w:numFmt w:val="bullet"/>
      <w:lvlText w:val="·"/>
      <w:lvlJc w:val="left"/>
      <w:pPr>
        <w:ind w:left="720" w:hanging="360"/>
      </w:pPr>
      <w:rPr>
        <w:rFonts w:ascii="Symbol" w:hAnsi="Symbol" w:hint="default"/>
      </w:rPr>
    </w:lvl>
    <w:lvl w:ilvl="1" w:tplc="58F2BED0">
      <w:start w:val="1"/>
      <w:numFmt w:val="bullet"/>
      <w:lvlText w:val="o"/>
      <w:lvlJc w:val="left"/>
      <w:pPr>
        <w:ind w:left="1440" w:hanging="360"/>
      </w:pPr>
      <w:rPr>
        <w:rFonts w:ascii="Courier New" w:hAnsi="Courier New" w:hint="default"/>
      </w:rPr>
    </w:lvl>
    <w:lvl w:ilvl="2" w:tplc="AE3E15D8">
      <w:start w:val="1"/>
      <w:numFmt w:val="bullet"/>
      <w:lvlText w:val=""/>
      <w:lvlJc w:val="left"/>
      <w:pPr>
        <w:ind w:left="2160" w:hanging="360"/>
      </w:pPr>
      <w:rPr>
        <w:rFonts w:ascii="Wingdings" w:hAnsi="Wingdings" w:hint="default"/>
      </w:rPr>
    </w:lvl>
    <w:lvl w:ilvl="3" w:tplc="453C5E2E">
      <w:start w:val="1"/>
      <w:numFmt w:val="bullet"/>
      <w:lvlText w:val=""/>
      <w:lvlJc w:val="left"/>
      <w:pPr>
        <w:ind w:left="2880" w:hanging="360"/>
      </w:pPr>
      <w:rPr>
        <w:rFonts w:ascii="Symbol" w:hAnsi="Symbol" w:hint="default"/>
      </w:rPr>
    </w:lvl>
    <w:lvl w:ilvl="4" w:tplc="6AE4109C">
      <w:start w:val="1"/>
      <w:numFmt w:val="bullet"/>
      <w:lvlText w:val="o"/>
      <w:lvlJc w:val="left"/>
      <w:pPr>
        <w:ind w:left="3600" w:hanging="360"/>
      </w:pPr>
      <w:rPr>
        <w:rFonts w:ascii="Courier New" w:hAnsi="Courier New" w:hint="default"/>
      </w:rPr>
    </w:lvl>
    <w:lvl w:ilvl="5" w:tplc="79E8522C">
      <w:start w:val="1"/>
      <w:numFmt w:val="bullet"/>
      <w:lvlText w:val=""/>
      <w:lvlJc w:val="left"/>
      <w:pPr>
        <w:ind w:left="4320" w:hanging="360"/>
      </w:pPr>
      <w:rPr>
        <w:rFonts w:ascii="Wingdings" w:hAnsi="Wingdings" w:hint="default"/>
      </w:rPr>
    </w:lvl>
    <w:lvl w:ilvl="6" w:tplc="E8DCDC6E">
      <w:start w:val="1"/>
      <w:numFmt w:val="bullet"/>
      <w:lvlText w:val=""/>
      <w:lvlJc w:val="left"/>
      <w:pPr>
        <w:ind w:left="5040" w:hanging="360"/>
      </w:pPr>
      <w:rPr>
        <w:rFonts w:ascii="Symbol" w:hAnsi="Symbol" w:hint="default"/>
      </w:rPr>
    </w:lvl>
    <w:lvl w:ilvl="7" w:tplc="1A3AA3D8">
      <w:start w:val="1"/>
      <w:numFmt w:val="bullet"/>
      <w:lvlText w:val="o"/>
      <w:lvlJc w:val="left"/>
      <w:pPr>
        <w:ind w:left="5760" w:hanging="360"/>
      </w:pPr>
      <w:rPr>
        <w:rFonts w:ascii="Courier New" w:hAnsi="Courier New" w:hint="default"/>
      </w:rPr>
    </w:lvl>
    <w:lvl w:ilvl="8" w:tplc="007C0D12">
      <w:start w:val="1"/>
      <w:numFmt w:val="bullet"/>
      <w:lvlText w:val=""/>
      <w:lvlJc w:val="left"/>
      <w:pPr>
        <w:ind w:left="6480" w:hanging="360"/>
      </w:pPr>
      <w:rPr>
        <w:rFonts w:ascii="Wingdings" w:hAnsi="Wingdings" w:hint="default"/>
      </w:rPr>
    </w:lvl>
  </w:abstractNum>
  <w:abstractNum w:abstractNumId="29" w15:restartNumberingAfterBreak="0">
    <w:nsid w:val="5AE66502"/>
    <w:multiLevelType w:val="hybridMultilevel"/>
    <w:tmpl w:val="A9C6B980"/>
    <w:lvl w:ilvl="0" w:tplc="D6BA433E">
      <w:start w:val="1"/>
      <w:numFmt w:val="bullet"/>
      <w:lvlText w:val="•"/>
      <w:lvlJc w:val="left"/>
      <w:pPr>
        <w:tabs>
          <w:tab w:val="num" w:pos="720"/>
        </w:tabs>
        <w:ind w:left="720" w:hanging="360"/>
      </w:pPr>
      <w:rPr>
        <w:rFonts w:ascii="Arial" w:hAnsi="Arial" w:hint="default"/>
      </w:rPr>
    </w:lvl>
    <w:lvl w:ilvl="1" w:tplc="277419CC">
      <w:start w:val="1"/>
      <w:numFmt w:val="bullet"/>
      <w:lvlText w:val="•"/>
      <w:lvlJc w:val="left"/>
      <w:pPr>
        <w:tabs>
          <w:tab w:val="num" w:pos="1440"/>
        </w:tabs>
        <w:ind w:left="1440" w:hanging="360"/>
      </w:pPr>
      <w:rPr>
        <w:rFonts w:ascii="Arial" w:hAnsi="Arial" w:hint="default"/>
      </w:rPr>
    </w:lvl>
    <w:lvl w:ilvl="2" w:tplc="EC367126" w:tentative="1">
      <w:start w:val="1"/>
      <w:numFmt w:val="bullet"/>
      <w:lvlText w:val="•"/>
      <w:lvlJc w:val="left"/>
      <w:pPr>
        <w:tabs>
          <w:tab w:val="num" w:pos="2160"/>
        </w:tabs>
        <w:ind w:left="2160" w:hanging="360"/>
      </w:pPr>
      <w:rPr>
        <w:rFonts w:ascii="Arial" w:hAnsi="Arial" w:hint="default"/>
      </w:rPr>
    </w:lvl>
    <w:lvl w:ilvl="3" w:tplc="380A4948" w:tentative="1">
      <w:start w:val="1"/>
      <w:numFmt w:val="bullet"/>
      <w:lvlText w:val="•"/>
      <w:lvlJc w:val="left"/>
      <w:pPr>
        <w:tabs>
          <w:tab w:val="num" w:pos="2880"/>
        </w:tabs>
        <w:ind w:left="2880" w:hanging="360"/>
      </w:pPr>
      <w:rPr>
        <w:rFonts w:ascii="Arial" w:hAnsi="Arial" w:hint="default"/>
      </w:rPr>
    </w:lvl>
    <w:lvl w:ilvl="4" w:tplc="C248E030" w:tentative="1">
      <w:start w:val="1"/>
      <w:numFmt w:val="bullet"/>
      <w:lvlText w:val="•"/>
      <w:lvlJc w:val="left"/>
      <w:pPr>
        <w:tabs>
          <w:tab w:val="num" w:pos="3600"/>
        </w:tabs>
        <w:ind w:left="3600" w:hanging="360"/>
      </w:pPr>
      <w:rPr>
        <w:rFonts w:ascii="Arial" w:hAnsi="Arial" w:hint="default"/>
      </w:rPr>
    </w:lvl>
    <w:lvl w:ilvl="5" w:tplc="2CD67592" w:tentative="1">
      <w:start w:val="1"/>
      <w:numFmt w:val="bullet"/>
      <w:lvlText w:val="•"/>
      <w:lvlJc w:val="left"/>
      <w:pPr>
        <w:tabs>
          <w:tab w:val="num" w:pos="4320"/>
        </w:tabs>
        <w:ind w:left="4320" w:hanging="360"/>
      </w:pPr>
      <w:rPr>
        <w:rFonts w:ascii="Arial" w:hAnsi="Arial" w:hint="default"/>
      </w:rPr>
    </w:lvl>
    <w:lvl w:ilvl="6" w:tplc="D0D88E36" w:tentative="1">
      <w:start w:val="1"/>
      <w:numFmt w:val="bullet"/>
      <w:lvlText w:val="•"/>
      <w:lvlJc w:val="left"/>
      <w:pPr>
        <w:tabs>
          <w:tab w:val="num" w:pos="5040"/>
        </w:tabs>
        <w:ind w:left="5040" w:hanging="360"/>
      </w:pPr>
      <w:rPr>
        <w:rFonts w:ascii="Arial" w:hAnsi="Arial" w:hint="default"/>
      </w:rPr>
    </w:lvl>
    <w:lvl w:ilvl="7" w:tplc="10C8208C" w:tentative="1">
      <w:start w:val="1"/>
      <w:numFmt w:val="bullet"/>
      <w:lvlText w:val="•"/>
      <w:lvlJc w:val="left"/>
      <w:pPr>
        <w:tabs>
          <w:tab w:val="num" w:pos="5760"/>
        </w:tabs>
        <w:ind w:left="5760" w:hanging="360"/>
      </w:pPr>
      <w:rPr>
        <w:rFonts w:ascii="Arial" w:hAnsi="Arial" w:hint="default"/>
      </w:rPr>
    </w:lvl>
    <w:lvl w:ilvl="8" w:tplc="05A4E7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006EC8" w:themeColor="accent1"/>
      </w:rPr>
    </w:lvl>
    <w:lvl w:ilvl="1">
      <w:start w:val="1"/>
      <w:numFmt w:val="bullet"/>
      <w:pStyle w:val="Bullet2"/>
      <w:lvlText w:val="–"/>
      <w:lvlJc w:val="left"/>
      <w:pPr>
        <w:ind w:left="714" w:hanging="354"/>
      </w:pPr>
      <w:rPr>
        <w:rFonts w:ascii="Calibri" w:hAnsi="Calibri" w:hint="default"/>
        <w:color w:val="006EC8"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6830394"/>
    <w:multiLevelType w:val="hybridMultilevel"/>
    <w:tmpl w:val="FE468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873CBC"/>
    <w:multiLevelType w:val="hybridMultilevel"/>
    <w:tmpl w:val="FFFFFFFF"/>
    <w:lvl w:ilvl="0" w:tplc="771A8B8C">
      <w:start w:val="1"/>
      <w:numFmt w:val="decimal"/>
      <w:lvlText w:val="%1."/>
      <w:lvlJc w:val="left"/>
      <w:pPr>
        <w:ind w:left="720" w:hanging="360"/>
      </w:pPr>
    </w:lvl>
    <w:lvl w:ilvl="1" w:tplc="007CFCF2">
      <w:start w:val="1"/>
      <w:numFmt w:val="lowerLetter"/>
      <w:lvlText w:val="%2."/>
      <w:lvlJc w:val="left"/>
      <w:pPr>
        <w:ind w:left="1440" w:hanging="360"/>
      </w:pPr>
    </w:lvl>
    <w:lvl w:ilvl="2" w:tplc="6882AB6C">
      <w:start w:val="1"/>
      <w:numFmt w:val="lowerRoman"/>
      <w:lvlText w:val="%3."/>
      <w:lvlJc w:val="right"/>
      <w:pPr>
        <w:ind w:left="2160" w:hanging="180"/>
      </w:pPr>
    </w:lvl>
    <w:lvl w:ilvl="3" w:tplc="E79C0BAE">
      <w:start w:val="1"/>
      <w:numFmt w:val="decimal"/>
      <w:lvlText w:val="%4."/>
      <w:lvlJc w:val="left"/>
      <w:pPr>
        <w:ind w:left="2880" w:hanging="360"/>
      </w:pPr>
    </w:lvl>
    <w:lvl w:ilvl="4" w:tplc="680041AE">
      <w:start w:val="1"/>
      <w:numFmt w:val="lowerLetter"/>
      <w:lvlText w:val="%5."/>
      <w:lvlJc w:val="left"/>
      <w:pPr>
        <w:ind w:left="3600" w:hanging="360"/>
      </w:pPr>
    </w:lvl>
    <w:lvl w:ilvl="5" w:tplc="42CC1298">
      <w:start w:val="1"/>
      <w:numFmt w:val="lowerRoman"/>
      <w:lvlText w:val="%6."/>
      <w:lvlJc w:val="right"/>
      <w:pPr>
        <w:ind w:left="4320" w:hanging="180"/>
      </w:pPr>
    </w:lvl>
    <w:lvl w:ilvl="6" w:tplc="D1E26486">
      <w:start w:val="1"/>
      <w:numFmt w:val="decimal"/>
      <w:lvlText w:val="%7."/>
      <w:lvlJc w:val="left"/>
      <w:pPr>
        <w:ind w:left="5040" w:hanging="360"/>
      </w:pPr>
    </w:lvl>
    <w:lvl w:ilvl="7" w:tplc="D6B8059A">
      <w:start w:val="1"/>
      <w:numFmt w:val="lowerLetter"/>
      <w:lvlText w:val="%8."/>
      <w:lvlJc w:val="left"/>
      <w:pPr>
        <w:ind w:left="5760" w:hanging="360"/>
      </w:pPr>
    </w:lvl>
    <w:lvl w:ilvl="8" w:tplc="4BEE36C8">
      <w:start w:val="1"/>
      <w:numFmt w:val="lowerRoman"/>
      <w:lvlText w:val="%9."/>
      <w:lvlJc w:val="right"/>
      <w:pPr>
        <w:ind w:left="6480" w:hanging="180"/>
      </w:pPr>
    </w:lvl>
  </w:abstractNum>
  <w:abstractNum w:abstractNumId="33" w15:restartNumberingAfterBreak="0">
    <w:nsid w:val="6C8A3942"/>
    <w:multiLevelType w:val="multilevel"/>
    <w:tmpl w:val="64B85912"/>
    <w:lvl w:ilvl="0">
      <w:start w:val="1"/>
      <w:numFmt w:val="none"/>
      <w:suff w:val="nothing"/>
      <w:lvlText w:val=""/>
      <w:lvlJc w:val="left"/>
      <w:pPr>
        <w:ind w:left="0" w:firstLine="0"/>
      </w:pPr>
      <w:rPr>
        <w:rFonts w:hint="default"/>
      </w:rPr>
    </w:lvl>
    <w:lvl w:ilvl="1">
      <w:start w:val="1"/>
      <w:numFmt w:val="decimal"/>
      <w:pStyle w:val="Numberbullet1"/>
      <w:lvlText w:val="%1%2."/>
      <w:lvlJc w:val="left"/>
      <w:pPr>
        <w:ind w:left="357" w:hanging="357"/>
      </w:pPr>
      <w:rPr>
        <w:rFonts w:hint="default"/>
        <w:color w:val="006EC8" w:themeColor="accent1"/>
      </w:rPr>
    </w:lvl>
    <w:lvl w:ilvl="2">
      <w:start w:val="1"/>
      <w:numFmt w:val="lowerLetter"/>
      <w:pStyle w:val="Numberbullet2"/>
      <w:lvlText w:val="%1%3."/>
      <w:lvlJc w:val="left"/>
      <w:pPr>
        <w:tabs>
          <w:tab w:val="num" w:pos="357"/>
        </w:tabs>
        <w:ind w:left="357" w:firstLine="0"/>
      </w:pPr>
      <w:rPr>
        <w:rFonts w:hint="default"/>
        <w:color w:val="006EC8" w:themeColor="accent1"/>
      </w:rPr>
    </w:lvl>
    <w:lvl w:ilvl="3">
      <w:start w:val="1"/>
      <w:numFmt w:val="lowerRoman"/>
      <w:pStyle w:val="Numberbullet3"/>
      <w:lvlText w:val="%1%4."/>
      <w:lvlJc w:val="left"/>
      <w:pPr>
        <w:tabs>
          <w:tab w:val="num" w:pos="714"/>
        </w:tabs>
        <w:ind w:left="357" w:firstLine="357"/>
      </w:pPr>
      <w:rPr>
        <w:rFonts w:hint="default"/>
        <w:color w:val="006EC8" w:themeColor="accent1"/>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34" w15:restartNumberingAfterBreak="0">
    <w:nsid w:val="6D57085A"/>
    <w:multiLevelType w:val="hybridMultilevel"/>
    <w:tmpl w:val="FFFFFFFF"/>
    <w:lvl w:ilvl="0" w:tplc="46DCE7EA">
      <w:start w:val="1"/>
      <w:numFmt w:val="decimal"/>
      <w:lvlText w:val="2)"/>
      <w:lvlJc w:val="left"/>
      <w:pPr>
        <w:ind w:left="720" w:hanging="360"/>
      </w:pPr>
    </w:lvl>
    <w:lvl w:ilvl="1" w:tplc="7C74FA4E">
      <w:start w:val="1"/>
      <w:numFmt w:val="lowerLetter"/>
      <w:lvlText w:val="%2."/>
      <w:lvlJc w:val="left"/>
      <w:pPr>
        <w:ind w:left="1440" w:hanging="360"/>
      </w:pPr>
    </w:lvl>
    <w:lvl w:ilvl="2" w:tplc="16DEBFA4">
      <w:start w:val="1"/>
      <w:numFmt w:val="lowerRoman"/>
      <w:lvlText w:val="%3."/>
      <w:lvlJc w:val="right"/>
      <w:pPr>
        <w:ind w:left="2160" w:hanging="180"/>
      </w:pPr>
    </w:lvl>
    <w:lvl w:ilvl="3" w:tplc="A2B0AB9E">
      <w:start w:val="1"/>
      <w:numFmt w:val="decimal"/>
      <w:lvlText w:val="%4."/>
      <w:lvlJc w:val="left"/>
      <w:pPr>
        <w:ind w:left="2880" w:hanging="360"/>
      </w:pPr>
    </w:lvl>
    <w:lvl w:ilvl="4" w:tplc="617EB780">
      <w:start w:val="1"/>
      <w:numFmt w:val="lowerLetter"/>
      <w:lvlText w:val="%5."/>
      <w:lvlJc w:val="left"/>
      <w:pPr>
        <w:ind w:left="3600" w:hanging="360"/>
      </w:pPr>
    </w:lvl>
    <w:lvl w:ilvl="5" w:tplc="240A1EC4">
      <w:start w:val="1"/>
      <w:numFmt w:val="lowerRoman"/>
      <w:lvlText w:val="%6."/>
      <w:lvlJc w:val="right"/>
      <w:pPr>
        <w:ind w:left="4320" w:hanging="180"/>
      </w:pPr>
    </w:lvl>
    <w:lvl w:ilvl="6" w:tplc="A9CA5A02">
      <w:start w:val="1"/>
      <w:numFmt w:val="decimal"/>
      <w:lvlText w:val="%7."/>
      <w:lvlJc w:val="left"/>
      <w:pPr>
        <w:ind w:left="5040" w:hanging="360"/>
      </w:pPr>
    </w:lvl>
    <w:lvl w:ilvl="7" w:tplc="6178CEB2">
      <w:start w:val="1"/>
      <w:numFmt w:val="lowerLetter"/>
      <w:lvlText w:val="%8."/>
      <w:lvlJc w:val="left"/>
      <w:pPr>
        <w:ind w:left="5760" w:hanging="360"/>
      </w:pPr>
    </w:lvl>
    <w:lvl w:ilvl="8" w:tplc="17F8F02E">
      <w:start w:val="1"/>
      <w:numFmt w:val="lowerRoman"/>
      <w:lvlText w:val="%9."/>
      <w:lvlJc w:val="right"/>
      <w:pPr>
        <w:ind w:left="6480" w:hanging="180"/>
      </w:pPr>
    </w:lvl>
  </w:abstractNum>
  <w:abstractNum w:abstractNumId="35" w15:restartNumberingAfterBreak="0">
    <w:nsid w:val="736B23A9"/>
    <w:multiLevelType w:val="hybridMultilevel"/>
    <w:tmpl w:val="AA28611E"/>
    <w:lvl w:ilvl="0" w:tplc="C0087110">
      <w:numFmt w:val="bullet"/>
      <w:lvlText w:val="•"/>
      <w:lvlJc w:val="left"/>
      <w:pPr>
        <w:ind w:left="720" w:hanging="360"/>
      </w:pPr>
      <w:rPr>
        <w:rFonts w:ascii="Blanco" w:eastAsiaTheme="minorHAnsi" w:hAnsi="Blanc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C9A169"/>
    <w:multiLevelType w:val="hybridMultilevel"/>
    <w:tmpl w:val="FFFFFFFF"/>
    <w:lvl w:ilvl="0" w:tplc="29667C7A">
      <w:start w:val="1"/>
      <w:numFmt w:val="decimal"/>
      <w:lvlText w:val="8)"/>
      <w:lvlJc w:val="left"/>
      <w:pPr>
        <w:ind w:left="720" w:hanging="360"/>
      </w:pPr>
    </w:lvl>
    <w:lvl w:ilvl="1" w:tplc="DBDC13E6">
      <w:start w:val="1"/>
      <w:numFmt w:val="lowerLetter"/>
      <w:lvlText w:val="%2."/>
      <w:lvlJc w:val="left"/>
      <w:pPr>
        <w:ind w:left="1440" w:hanging="360"/>
      </w:pPr>
    </w:lvl>
    <w:lvl w:ilvl="2" w:tplc="B2109350">
      <w:start w:val="1"/>
      <w:numFmt w:val="lowerRoman"/>
      <w:lvlText w:val="%3."/>
      <w:lvlJc w:val="right"/>
      <w:pPr>
        <w:ind w:left="2160" w:hanging="180"/>
      </w:pPr>
    </w:lvl>
    <w:lvl w:ilvl="3" w:tplc="F828CE1C">
      <w:start w:val="1"/>
      <w:numFmt w:val="decimal"/>
      <w:lvlText w:val="%4."/>
      <w:lvlJc w:val="left"/>
      <w:pPr>
        <w:ind w:left="2880" w:hanging="360"/>
      </w:pPr>
    </w:lvl>
    <w:lvl w:ilvl="4" w:tplc="8B060226">
      <w:start w:val="1"/>
      <w:numFmt w:val="lowerLetter"/>
      <w:lvlText w:val="%5."/>
      <w:lvlJc w:val="left"/>
      <w:pPr>
        <w:ind w:left="3600" w:hanging="360"/>
      </w:pPr>
    </w:lvl>
    <w:lvl w:ilvl="5" w:tplc="D186A9CC">
      <w:start w:val="1"/>
      <w:numFmt w:val="lowerRoman"/>
      <w:lvlText w:val="%6."/>
      <w:lvlJc w:val="right"/>
      <w:pPr>
        <w:ind w:left="4320" w:hanging="180"/>
      </w:pPr>
    </w:lvl>
    <w:lvl w:ilvl="6" w:tplc="9546227A">
      <w:start w:val="1"/>
      <w:numFmt w:val="decimal"/>
      <w:lvlText w:val="%7."/>
      <w:lvlJc w:val="left"/>
      <w:pPr>
        <w:ind w:left="5040" w:hanging="360"/>
      </w:pPr>
    </w:lvl>
    <w:lvl w:ilvl="7" w:tplc="FCFE481E">
      <w:start w:val="1"/>
      <w:numFmt w:val="lowerLetter"/>
      <w:lvlText w:val="%8."/>
      <w:lvlJc w:val="left"/>
      <w:pPr>
        <w:ind w:left="5760" w:hanging="360"/>
      </w:pPr>
    </w:lvl>
    <w:lvl w:ilvl="8" w:tplc="39723E82">
      <w:start w:val="1"/>
      <w:numFmt w:val="lowerRoman"/>
      <w:lvlText w:val="%9."/>
      <w:lvlJc w:val="right"/>
      <w:pPr>
        <w:ind w:left="6480" w:hanging="180"/>
      </w:pPr>
    </w:lvl>
  </w:abstractNum>
  <w:abstractNum w:abstractNumId="37" w15:restartNumberingAfterBreak="0">
    <w:nsid w:val="7D115B64"/>
    <w:multiLevelType w:val="hybridMultilevel"/>
    <w:tmpl w:val="A648AEB6"/>
    <w:lvl w:ilvl="0" w:tplc="117037DE">
      <w:start w:val="4"/>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5190787">
    <w:abstractNumId w:val="4"/>
  </w:num>
  <w:num w:numId="2" w16cid:durableId="2110999473">
    <w:abstractNumId w:val="3"/>
  </w:num>
  <w:num w:numId="3" w16cid:durableId="1126200873">
    <w:abstractNumId w:val="2"/>
  </w:num>
  <w:num w:numId="4" w16cid:durableId="1867668326">
    <w:abstractNumId w:val="18"/>
  </w:num>
  <w:num w:numId="5" w16cid:durableId="1374380614">
    <w:abstractNumId w:val="22"/>
  </w:num>
  <w:num w:numId="6" w16cid:durableId="1015304527">
    <w:abstractNumId w:val="30"/>
  </w:num>
  <w:num w:numId="7" w16cid:durableId="192496331">
    <w:abstractNumId w:val="23"/>
  </w:num>
  <w:num w:numId="8" w16cid:durableId="1289358720">
    <w:abstractNumId w:val="1"/>
  </w:num>
  <w:num w:numId="9" w16cid:durableId="459616296">
    <w:abstractNumId w:val="0"/>
  </w:num>
  <w:num w:numId="10" w16cid:durableId="341398660">
    <w:abstractNumId w:val="33"/>
  </w:num>
  <w:num w:numId="11" w16cid:durableId="1725837273">
    <w:abstractNumId w:val="9"/>
  </w:num>
  <w:num w:numId="12" w16cid:durableId="1983994803">
    <w:abstractNumId w:val="33"/>
  </w:num>
  <w:num w:numId="13" w16cid:durableId="3796745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1776345">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94137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392856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9142168">
    <w:abstractNumId w:val="33"/>
  </w:num>
  <w:num w:numId="18" w16cid:durableId="1958640391">
    <w:abstractNumId w:val="26"/>
  </w:num>
  <w:num w:numId="19" w16cid:durableId="345793324">
    <w:abstractNumId w:val="31"/>
  </w:num>
  <w:num w:numId="20" w16cid:durableId="1352532881">
    <w:abstractNumId w:val="20"/>
  </w:num>
  <w:num w:numId="21" w16cid:durableId="316571026">
    <w:abstractNumId w:val="12"/>
  </w:num>
  <w:num w:numId="22" w16cid:durableId="1127313298">
    <w:abstractNumId w:val="32"/>
  </w:num>
  <w:num w:numId="23" w16cid:durableId="830146066">
    <w:abstractNumId w:val="34"/>
  </w:num>
  <w:num w:numId="24" w16cid:durableId="942884206">
    <w:abstractNumId w:val="14"/>
  </w:num>
  <w:num w:numId="25" w16cid:durableId="457996365">
    <w:abstractNumId w:val="36"/>
  </w:num>
  <w:num w:numId="26" w16cid:durableId="553855457">
    <w:abstractNumId w:val="28"/>
  </w:num>
  <w:num w:numId="27" w16cid:durableId="873924168">
    <w:abstractNumId w:val="16"/>
  </w:num>
  <w:num w:numId="28" w16cid:durableId="1740640193">
    <w:abstractNumId w:val="11"/>
  </w:num>
  <w:num w:numId="29" w16cid:durableId="1761218296">
    <w:abstractNumId w:val="7"/>
  </w:num>
  <w:num w:numId="30" w16cid:durableId="1176265516">
    <w:abstractNumId w:val="21"/>
  </w:num>
  <w:num w:numId="31" w16cid:durableId="153111416">
    <w:abstractNumId w:val="6"/>
  </w:num>
  <w:num w:numId="32" w16cid:durableId="1521625395">
    <w:abstractNumId w:val="27"/>
  </w:num>
  <w:num w:numId="33" w16cid:durableId="566503166">
    <w:abstractNumId w:val="13"/>
  </w:num>
  <w:num w:numId="34" w16cid:durableId="580600298">
    <w:abstractNumId w:val="35"/>
  </w:num>
  <w:num w:numId="35" w16cid:durableId="487675162">
    <w:abstractNumId w:val="5"/>
  </w:num>
  <w:num w:numId="36" w16cid:durableId="1307662552">
    <w:abstractNumId w:val="29"/>
  </w:num>
  <w:num w:numId="37" w16cid:durableId="53430329">
    <w:abstractNumId w:val="37"/>
  </w:num>
  <w:num w:numId="38" w16cid:durableId="894779969">
    <w:abstractNumId w:val="10"/>
  </w:num>
  <w:num w:numId="39" w16cid:durableId="1712921664">
    <w:abstractNumId w:val="3"/>
    <w:lvlOverride w:ilvl="0">
      <w:startOverride w:val="1"/>
    </w:lvlOverride>
  </w:num>
  <w:num w:numId="40" w16cid:durableId="1627157186">
    <w:abstractNumId w:val="19"/>
  </w:num>
  <w:num w:numId="41" w16cid:durableId="660040482">
    <w:abstractNumId w:val="17"/>
  </w:num>
  <w:num w:numId="42" w16cid:durableId="929659393">
    <w:abstractNumId w:val="24"/>
  </w:num>
  <w:num w:numId="43" w16cid:durableId="17886165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9059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7614304">
    <w:abstractNumId w:val="8"/>
  </w:num>
  <w:num w:numId="46" w16cid:durableId="1000547007">
    <w:abstractNumId w:val="15"/>
  </w:num>
  <w:num w:numId="47" w16cid:durableId="15853840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42984887">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36161400">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70764993">
    <w:abstractNumId w:val="25"/>
  </w:num>
  <w:num w:numId="51" w16cid:durableId="11358288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28"/>
    <w:rsid w:val="0000035D"/>
    <w:rsid w:val="00000377"/>
    <w:rsid w:val="00000392"/>
    <w:rsid w:val="00000588"/>
    <w:rsid w:val="000006A9"/>
    <w:rsid w:val="000008FA"/>
    <w:rsid w:val="00000B25"/>
    <w:rsid w:val="00000DE7"/>
    <w:rsid w:val="00000E0A"/>
    <w:rsid w:val="00000F13"/>
    <w:rsid w:val="00001028"/>
    <w:rsid w:val="000011A4"/>
    <w:rsid w:val="000011FD"/>
    <w:rsid w:val="00001438"/>
    <w:rsid w:val="00001EC3"/>
    <w:rsid w:val="00001F33"/>
    <w:rsid w:val="000022A9"/>
    <w:rsid w:val="000022E8"/>
    <w:rsid w:val="0000259B"/>
    <w:rsid w:val="000028FA"/>
    <w:rsid w:val="00002A3A"/>
    <w:rsid w:val="00002CB4"/>
    <w:rsid w:val="00003017"/>
    <w:rsid w:val="0000312F"/>
    <w:rsid w:val="0000375E"/>
    <w:rsid w:val="00003816"/>
    <w:rsid w:val="000038C6"/>
    <w:rsid w:val="00003998"/>
    <w:rsid w:val="00003AB9"/>
    <w:rsid w:val="00003AF0"/>
    <w:rsid w:val="00003C41"/>
    <w:rsid w:val="0000403A"/>
    <w:rsid w:val="000040FC"/>
    <w:rsid w:val="00004463"/>
    <w:rsid w:val="000044C2"/>
    <w:rsid w:val="00004589"/>
    <w:rsid w:val="00004604"/>
    <w:rsid w:val="00004B04"/>
    <w:rsid w:val="00004C0C"/>
    <w:rsid w:val="00004C66"/>
    <w:rsid w:val="00004FB6"/>
    <w:rsid w:val="00004FCB"/>
    <w:rsid w:val="000053DB"/>
    <w:rsid w:val="00005616"/>
    <w:rsid w:val="00005680"/>
    <w:rsid w:val="00005F36"/>
    <w:rsid w:val="000061CE"/>
    <w:rsid w:val="00006248"/>
    <w:rsid w:val="00006274"/>
    <w:rsid w:val="0000637B"/>
    <w:rsid w:val="00006867"/>
    <w:rsid w:val="0000696A"/>
    <w:rsid w:val="00006ACE"/>
    <w:rsid w:val="00006B6C"/>
    <w:rsid w:val="00006D78"/>
    <w:rsid w:val="000072CA"/>
    <w:rsid w:val="0000799C"/>
    <w:rsid w:val="00007F6C"/>
    <w:rsid w:val="00007F9D"/>
    <w:rsid w:val="000103F6"/>
    <w:rsid w:val="000104BF"/>
    <w:rsid w:val="000105DE"/>
    <w:rsid w:val="00010B48"/>
    <w:rsid w:val="00010C75"/>
    <w:rsid w:val="00010CA9"/>
    <w:rsid w:val="00010F1E"/>
    <w:rsid w:val="000114B0"/>
    <w:rsid w:val="00011592"/>
    <w:rsid w:val="000115B3"/>
    <w:rsid w:val="000116EC"/>
    <w:rsid w:val="000118F5"/>
    <w:rsid w:val="00011E9D"/>
    <w:rsid w:val="00011F86"/>
    <w:rsid w:val="000121FC"/>
    <w:rsid w:val="00012406"/>
    <w:rsid w:val="00012476"/>
    <w:rsid w:val="0001294B"/>
    <w:rsid w:val="00012AB6"/>
    <w:rsid w:val="00012BCB"/>
    <w:rsid w:val="00012D54"/>
    <w:rsid w:val="00012DED"/>
    <w:rsid w:val="00012EEC"/>
    <w:rsid w:val="00013628"/>
    <w:rsid w:val="00013963"/>
    <w:rsid w:val="00013EDC"/>
    <w:rsid w:val="00013FA4"/>
    <w:rsid w:val="00014104"/>
    <w:rsid w:val="00014246"/>
    <w:rsid w:val="0001432D"/>
    <w:rsid w:val="000146AC"/>
    <w:rsid w:val="00014768"/>
    <w:rsid w:val="00014D07"/>
    <w:rsid w:val="00014D27"/>
    <w:rsid w:val="00014E4E"/>
    <w:rsid w:val="00014F38"/>
    <w:rsid w:val="000153D8"/>
    <w:rsid w:val="000156F5"/>
    <w:rsid w:val="0001570F"/>
    <w:rsid w:val="00015B56"/>
    <w:rsid w:val="00015C1F"/>
    <w:rsid w:val="00015CFE"/>
    <w:rsid w:val="00015DAF"/>
    <w:rsid w:val="00015E25"/>
    <w:rsid w:val="00016038"/>
    <w:rsid w:val="0001623C"/>
    <w:rsid w:val="00016490"/>
    <w:rsid w:val="00016686"/>
    <w:rsid w:val="00016813"/>
    <w:rsid w:val="00016A06"/>
    <w:rsid w:val="00016D89"/>
    <w:rsid w:val="000170D7"/>
    <w:rsid w:val="0001718F"/>
    <w:rsid w:val="000171F0"/>
    <w:rsid w:val="000172E3"/>
    <w:rsid w:val="00017B9F"/>
    <w:rsid w:val="00017F00"/>
    <w:rsid w:val="00017F27"/>
    <w:rsid w:val="00020057"/>
    <w:rsid w:val="000202DD"/>
    <w:rsid w:val="0002070F"/>
    <w:rsid w:val="00020ADB"/>
    <w:rsid w:val="00020B27"/>
    <w:rsid w:val="00020D55"/>
    <w:rsid w:val="00020DF5"/>
    <w:rsid w:val="000211C1"/>
    <w:rsid w:val="000216F2"/>
    <w:rsid w:val="00021738"/>
    <w:rsid w:val="000219B2"/>
    <w:rsid w:val="00021A1A"/>
    <w:rsid w:val="00021FA9"/>
    <w:rsid w:val="00022268"/>
    <w:rsid w:val="00022A35"/>
    <w:rsid w:val="00022C5A"/>
    <w:rsid w:val="00022D88"/>
    <w:rsid w:val="00022D96"/>
    <w:rsid w:val="00022E5C"/>
    <w:rsid w:val="00023020"/>
    <w:rsid w:val="00023582"/>
    <w:rsid w:val="00023716"/>
    <w:rsid w:val="00023BEA"/>
    <w:rsid w:val="00024132"/>
    <w:rsid w:val="000241A0"/>
    <w:rsid w:val="000241F7"/>
    <w:rsid w:val="0002449B"/>
    <w:rsid w:val="000246B7"/>
    <w:rsid w:val="00024714"/>
    <w:rsid w:val="00024AAA"/>
    <w:rsid w:val="00024C18"/>
    <w:rsid w:val="00024C6F"/>
    <w:rsid w:val="000252F6"/>
    <w:rsid w:val="00025323"/>
    <w:rsid w:val="00025C9B"/>
    <w:rsid w:val="00025DA6"/>
    <w:rsid w:val="00025ED8"/>
    <w:rsid w:val="00025FD0"/>
    <w:rsid w:val="00026070"/>
    <w:rsid w:val="000261A0"/>
    <w:rsid w:val="000265C8"/>
    <w:rsid w:val="000266C6"/>
    <w:rsid w:val="000267E2"/>
    <w:rsid w:val="0002688A"/>
    <w:rsid w:val="0002692C"/>
    <w:rsid w:val="00026AE6"/>
    <w:rsid w:val="000270C6"/>
    <w:rsid w:val="000274B6"/>
    <w:rsid w:val="000274E9"/>
    <w:rsid w:val="000276FB"/>
    <w:rsid w:val="0002790C"/>
    <w:rsid w:val="00027999"/>
    <w:rsid w:val="00027F20"/>
    <w:rsid w:val="000302BE"/>
    <w:rsid w:val="0003066A"/>
    <w:rsid w:val="0003095D"/>
    <w:rsid w:val="0003098A"/>
    <w:rsid w:val="00030B5E"/>
    <w:rsid w:val="00030E08"/>
    <w:rsid w:val="00031038"/>
    <w:rsid w:val="0003127D"/>
    <w:rsid w:val="00031369"/>
    <w:rsid w:val="0003147B"/>
    <w:rsid w:val="00031592"/>
    <w:rsid w:val="000315EF"/>
    <w:rsid w:val="000316D6"/>
    <w:rsid w:val="0003196D"/>
    <w:rsid w:val="00031989"/>
    <w:rsid w:val="00031CB9"/>
    <w:rsid w:val="000321CC"/>
    <w:rsid w:val="00032887"/>
    <w:rsid w:val="00032A6B"/>
    <w:rsid w:val="00032D25"/>
    <w:rsid w:val="00033094"/>
    <w:rsid w:val="0003352D"/>
    <w:rsid w:val="00033545"/>
    <w:rsid w:val="000338DE"/>
    <w:rsid w:val="00033AA0"/>
    <w:rsid w:val="00033AEE"/>
    <w:rsid w:val="00033AFA"/>
    <w:rsid w:val="00033BB0"/>
    <w:rsid w:val="00033E0F"/>
    <w:rsid w:val="00034033"/>
    <w:rsid w:val="00034096"/>
    <w:rsid w:val="000342A4"/>
    <w:rsid w:val="00034363"/>
    <w:rsid w:val="0003439B"/>
    <w:rsid w:val="00034B58"/>
    <w:rsid w:val="00034B84"/>
    <w:rsid w:val="00034D34"/>
    <w:rsid w:val="00034F2E"/>
    <w:rsid w:val="0003516F"/>
    <w:rsid w:val="0003536F"/>
    <w:rsid w:val="00035A3E"/>
    <w:rsid w:val="00035C0B"/>
    <w:rsid w:val="0003603E"/>
    <w:rsid w:val="000361F5"/>
    <w:rsid w:val="00036232"/>
    <w:rsid w:val="00036381"/>
    <w:rsid w:val="0003645F"/>
    <w:rsid w:val="000367C8"/>
    <w:rsid w:val="0003697D"/>
    <w:rsid w:val="00036A14"/>
    <w:rsid w:val="00036A4D"/>
    <w:rsid w:val="00036B17"/>
    <w:rsid w:val="00036C51"/>
    <w:rsid w:val="00036D77"/>
    <w:rsid w:val="00037040"/>
    <w:rsid w:val="000370EE"/>
    <w:rsid w:val="000374E4"/>
    <w:rsid w:val="00037694"/>
    <w:rsid w:val="000377BA"/>
    <w:rsid w:val="000379CE"/>
    <w:rsid w:val="00037E63"/>
    <w:rsid w:val="00037E8F"/>
    <w:rsid w:val="00037EF0"/>
    <w:rsid w:val="00040174"/>
    <w:rsid w:val="000401F9"/>
    <w:rsid w:val="00040661"/>
    <w:rsid w:val="000407B6"/>
    <w:rsid w:val="00040A63"/>
    <w:rsid w:val="00040A6A"/>
    <w:rsid w:val="00040AFF"/>
    <w:rsid w:val="000410EE"/>
    <w:rsid w:val="0004118C"/>
    <w:rsid w:val="0004170D"/>
    <w:rsid w:val="00041C91"/>
    <w:rsid w:val="00041D8B"/>
    <w:rsid w:val="00041EF7"/>
    <w:rsid w:val="00042329"/>
    <w:rsid w:val="00042729"/>
    <w:rsid w:val="0004291A"/>
    <w:rsid w:val="00042AD8"/>
    <w:rsid w:val="00042ECB"/>
    <w:rsid w:val="0004308D"/>
    <w:rsid w:val="000432BE"/>
    <w:rsid w:val="000438FC"/>
    <w:rsid w:val="00043C86"/>
    <w:rsid w:val="000440FC"/>
    <w:rsid w:val="000446BD"/>
    <w:rsid w:val="000446F8"/>
    <w:rsid w:val="00044956"/>
    <w:rsid w:val="00044AE6"/>
    <w:rsid w:val="00044B32"/>
    <w:rsid w:val="00044C25"/>
    <w:rsid w:val="00044F51"/>
    <w:rsid w:val="000450A5"/>
    <w:rsid w:val="0004527B"/>
    <w:rsid w:val="000455BC"/>
    <w:rsid w:val="0004585F"/>
    <w:rsid w:val="00045C71"/>
    <w:rsid w:val="000463C8"/>
    <w:rsid w:val="00046446"/>
    <w:rsid w:val="000464CA"/>
    <w:rsid w:val="000469AC"/>
    <w:rsid w:val="00046B60"/>
    <w:rsid w:val="00046EE9"/>
    <w:rsid w:val="00046FF7"/>
    <w:rsid w:val="00047115"/>
    <w:rsid w:val="000475C2"/>
    <w:rsid w:val="00047772"/>
    <w:rsid w:val="00047774"/>
    <w:rsid w:val="000479DB"/>
    <w:rsid w:val="00047D36"/>
    <w:rsid w:val="0005052B"/>
    <w:rsid w:val="0005071F"/>
    <w:rsid w:val="000509D0"/>
    <w:rsid w:val="000509D5"/>
    <w:rsid w:val="00050B02"/>
    <w:rsid w:val="00050F86"/>
    <w:rsid w:val="00051135"/>
    <w:rsid w:val="00051347"/>
    <w:rsid w:val="0005156E"/>
    <w:rsid w:val="00051648"/>
    <w:rsid w:val="00051705"/>
    <w:rsid w:val="00051822"/>
    <w:rsid w:val="00051850"/>
    <w:rsid w:val="000518DA"/>
    <w:rsid w:val="0005196C"/>
    <w:rsid w:val="00051A78"/>
    <w:rsid w:val="00051CD4"/>
    <w:rsid w:val="00051E41"/>
    <w:rsid w:val="00051EE4"/>
    <w:rsid w:val="0005224A"/>
    <w:rsid w:val="0005234F"/>
    <w:rsid w:val="0005248C"/>
    <w:rsid w:val="00052D78"/>
    <w:rsid w:val="000533B9"/>
    <w:rsid w:val="00053419"/>
    <w:rsid w:val="00053651"/>
    <w:rsid w:val="0005378A"/>
    <w:rsid w:val="00053C4C"/>
    <w:rsid w:val="00053DDD"/>
    <w:rsid w:val="00053EF8"/>
    <w:rsid w:val="0005420D"/>
    <w:rsid w:val="000549CE"/>
    <w:rsid w:val="00054CD5"/>
    <w:rsid w:val="00055049"/>
    <w:rsid w:val="000552ED"/>
    <w:rsid w:val="000555E0"/>
    <w:rsid w:val="000558D3"/>
    <w:rsid w:val="00055EB6"/>
    <w:rsid w:val="00055F66"/>
    <w:rsid w:val="00056182"/>
    <w:rsid w:val="00056228"/>
    <w:rsid w:val="000562B9"/>
    <w:rsid w:val="00056BB2"/>
    <w:rsid w:val="00056D27"/>
    <w:rsid w:val="000573C7"/>
    <w:rsid w:val="00057427"/>
    <w:rsid w:val="0005758D"/>
    <w:rsid w:val="00057AE0"/>
    <w:rsid w:val="00057F11"/>
    <w:rsid w:val="000602A9"/>
    <w:rsid w:val="00060490"/>
    <w:rsid w:val="00060D5A"/>
    <w:rsid w:val="00060DD8"/>
    <w:rsid w:val="00060FDE"/>
    <w:rsid w:val="000614C5"/>
    <w:rsid w:val="000619AC"/>
    <w:rsid w:val="00061A2C"/>
    <w:rsid w:val="00061A86"/>
    <w:rsid w:val="00061AA1"/>
    <w:rsid w:val="00062179"/>
    <w:rsid w:val="000621C3"/>
    <w:rsid w:val="0006225A"/>
    <w:rsid w:val="00062300"/>
    <w:rsid w:val="00062334"/>
    <w:rsid w:val="00062405"/>
    <w:rsid w:val="000624CD"/>
    <w:rsid w:val="000625FB"/>
    <w:rsid w:val="00062731"/>
    <w:rsid w:val="00062B22"/>
    <w:rsid w:val="00062CA3"/>
    <w:rsid w:val="00062E55"/>
    <w:rsid w:val="000634CE"/>
    <w:rsid w:val="0006391F"/>
    <w:rsid w:val="000639E2"/>
    <w:rsid w:val="00063A0E"/>
    <w:rsid w:val="00063B44"/>
    <w:rsid w:val="00063C48"/>
    <w:rsid w:val="00063CF5"/>
    <w:rsid w:val="00063E3B"/>
    <w:rsid w:val="00063F65"/>
    <w:rsid w:val="00063FAF"/>
    <w:rsid w:val="0006421F"/>
    <w:rsid w:val="0006437A"/>
    <w:rsid w:val="0006455A"/>
    <w:rsid w:val="0006464F"/>
    <w:rsid w:val="000647E0"/>
    <w:rsid w:val="0006484E"/>
    <w:rsid w:val="00064864"/>
    <w:rsid w:val="000648D5"/>
    <w:rsid w:val="000648DE"/>
    <w:rsid w:val="00064955"/>
    <w:rsid w:val="000649C8"/>
    <w:rsid w:val="00064D2E"/>
    <w:rsid w:val="00065285"/>
    <w:rsid w:val="0006570C"/>
    <w:rsid w:val="00065B35"/>
    <w:rsid w:val="00065B55"/>
    <w:rsid w:val="00065D53"/>
    <w:rsid w:val="00066D21"/>
    <w:rsid w:val="0006700F"/>
    <w:rsid w:val="0006731E"/>
    <w:rsid w:val="00067B23"/>
    <w:rsid w:val="00067D7D"/>
    <w:rsid w:val="00070393"/>
    <w:rsid w:val="00070454"/>
    <w:rsid w:val="000708BA"/>
    <w:rsid w:val="00070915"/>
    <w:rsid w:val="00070D16"/>
    <w:rsid w:val="000710CC"/>
    <w:rsid w:val="00071162"/>
    <w:rsid w:val="0007135D"/>
    <w:rsid w:val="000714A1"/>
    <w:rsid w:val="000714D8"/>
    <w:rsid w:val="0007185C"/>
    <w:rsid w:val="00071AF1"/>
    <w:rsid w:val="00071B16"/>
    <w:rsid w:val="00071CE4"/>
    <w:rsid w:val="00071F82"/>
    <w:rsid w:val="00071F8D"/>
    <w:rsid w:val="00072161"/>
    <w:rsid w:val="00072248"/>
    <w:rsid w:val="0007249F"/>
    <w:rsid w:val="000724E8"/>
    <w:rsid w:val="0007250D"/>
    <w:rsid w:val="000732D5"/>
    <w:rsid w:val="0007344E"/>
    <w:rsid w:val="000736DF"/>
    <w:rsid w:val="00073ABA"/>
    <w:rsid w:val="00073DF8"/>
    <w:rsid w:val="00073E56"/>
    <w:rsid w:val="000741FD"/>
    <w:rsid w:val="000744A2"/>
    <w:rsid w:val="000746E7"/>
    <w:rsid w:val="0007483D"/>
    <w:rsid w:val="00074FCB"/>
    <w:rsid w:val="00075439"/>
    <w:rsid w:val="0007543D"/>
    <w:rsid w:val="00075478"/>
    <w:rsid w:val="00076219"/>
    <w:rsid w:val="00076276"/>
    <w:rsid w:val="0007647F"/>
    <w:rsid w:val="00076611"/>
    <w:rsid w:val="00076E2A"/>
    <w:rsid w:val="000777D6"/>
    <w:rsid w:val="00077ECA"/>
    <w:rsid w:val="00080040"/>
    <w:rsid w:val="00080A6A"/>
    <w:rsid w:val="000814B8"/>
    <w:rsid w:val="000815E1"/>
    <w:rsid w:val="00081650"/>
    <w:rsid w:val="00081ABA"/>
    <w:rsid w:val="00081CA0"/>
    <w:rsid w:val="00081D39"/>
    <w:rsid w:val="000829C6"/>
    <w:rsid w:val="00082ABB"/>
    <w:rsid w:val="00082E76"/>
    <w:rsid w:val="00083023"/>
    <w:rsid w:val="00083653"/>
    <w:rsid w:val="000836A5"/>
    <w:rsid w:val="000836D6"/>
    <w:rsid w:val="00083758"/>
    <w:rsid w:val="00083CD3"/>
    <w:rsid w:val="00083FC8"/>
    <w:rsid w:val="00083FE0"/>
    <w:rsid w:val="00084185"/>
    <w:rsid w:val="000842C3"/>
    <w:rsid w:val="0008460D"/>
    <w:rsid w:val="00084933"/>
    <w:rsid w:val="00084962"/>
    <w:rsid w:val="00084E85"/>
    <w:rsid w:val="000851AA"/>
    <w:rsid w:val="00085310"/>
    <w:rsid w:val="00085371"/>
    <w:rsid w:val="000854C9"/>
    <w:rsid w:val="00085AFA"/>
    <w:rsid w:val="00085C72"/>
    <w:rsid w:val="00085D7E"/>
    <w:rsid w:val="00085D86"/>
    <w:rsid w:val="00085EF4"/>
    <w:rsid w:val="000860E4"/>
    <w:rsid w:val="0008612A"/>
    <w:rsid w:val="00086375"/>
    <w:rsid w:val="00086602"/>
    <w:rsid w:val="000867EE"/>
    <w:rsid w:val="00086C2A"/>
    <w:rsid w:val="00086E28"/>
    <w:rsid w:val="00086E38"/>
    <w:rsid w:val="00087618"/>
    <w:rsid w:val="0008762F"/>
    <w:rsid w:val="00087729"/>
    <w:rsid w:val="000877D3"/>
    <w:rsid w:val="00087965"/>
    <w:rsid w:val="000879E2"/>
    <w:rsid w:val="00087A5A"/>
    <w:rsid w:val="00087D33"/>
    <w:rsid w:val="00087D73"/>
    <w:rsid w:val="00087FBC"/>
    <w:rsid w:val="00090064"/>
    <w:rsid w:val="00090337"/>
    <w:rsid w:val="0009034C"/>
    <w:rsid w:val="0009056C"/>
    <w:rsid w:val="00090B83"/>
    <w:rsid w:val="00090ED3"/>
    <w:rsid w:val="000910C1"/>
    <w:rsid w:val="000911B1"/>
    <w:rsid w:val="00091648"/>
    <w:rsid w:val="00091A11"/>
    <w:rsid w:val="00091D09"/>
    <w:rsid w:val="00091E71"/>
    <w:rsid w:val="00091E86"/>
    <w:rsid w:val="00092149"/>
    <w:rsid w:val="000922D7"/>
    <w:rsid w:val="00092349"/>
    <w:rsid w:val="000927CF"/>
    <w:rsid w:val="00092992"/>
    <w:rsid w:val="00092F4A"/>
    <w:rsid w:val="000930D7"/>
    <w:rsid w:val="000936A7"/>
    <w:rsid w:val="00093776"/>
    <w:rsid w:val="0009392B"/>
    <w:rsid w:val="00093CD3"/>
    <w:rsid w:val="00093F23"/>
    <w:rsid w:val="0009402B"/>
    <w:rsid w:val="0009433B"/>
    <w:rsid w:val="000943CA"/>
    <w:rsid w:val="000944C6"/>
    <w:rsid w:val="0009469A"/>
    <w:rsid w:val="00094A03"/>
    <w:rsid w:val="00094BEC"/>
    <w:rsid w:val="00094C9E"/>
    <w:rsid w:val="00094DCB"/>
    <w:rsid w:val="000951CF"/>
    <w:rsid w:val="0009543A"/>
    <w:rsid w:val="00095565"/>
    <w:rsid w:val="00095649"/>
    <w:rsid w:val="0009566B"/>
    <w:rsid w:val="000956D7"/>
    <w:rsid w:val="000957D1"/>
    <w:rsid w:val="00095B6D"/>
    <w:rsid w:val="00095E4D"/>
    <w:rsid w:val="00095E7D"/>
    <w:rsid w:val="00096478"/>
    <w:rsid w:val="0009680A"/>
    <w:rsid w:val="000968F7"/>
    <w:rsid w:val="000968FB"/>
    <w:rsid w:val="00096B50"/>
    <w:rsid w:val="00096C70"/>
    <w:rsid w:val="00096CB6"/>
    <w:rsid w:val="00096E10"/>
    <w:rsid w:val="00097160"/>
    <w:rsid w:val="00097358"/>
    <w:rsid w:val="0009742C"/>
    <w:rsid w:val="000975B0"/>
    <w:rsid w:val="00097894"/>
    <w:rsid w:val="00097898"/>
    <w:rsid w:val="00097AE2"/>
    <w:rsid w:val="00097D22"/>
    <w:rsid w:val="00097D42"/>
    <w:rsid w:val="00097DC2"/>
    <w:rsid w:val="00097F1B"/>
    <w:rsid w:val="000A069A"/>
    <w:rsid w:val="000A0CC8"/>
    <w:rsid w:val="000A1164"/>
    <w:rsid w:val="000A11BD"/>
    <w:rsid w:val="000A1460"/>
    <w:rsid w:val="000A149A"/>
    <w:rsid w:val="000A1601"/>
    <w:rsid w:val="000A1701"/>
    <w:rsid w:val="000A1A54"/>
    <w:rsid w:val="000A1E04"/>
    <w:rsid w:val="000A2438"/>
    <w:rsid w:val="000A2473"/>
    <w:rsid w:val="000A252C"/>
    <w:rsid w:val="000A2608"/>
    <w:rsid w:val="000A26A1"/>
    <w:rsid w:val="000A27E3"/>
    <w:rsid w:val="000A29D0"/>
    <w:rsid w:val="000A2C68"/>
    <w:rsid w:val="000A2D17"/>
    <w:rsid w:val="000A2EFF"/>
    <w:rsid w:val="000A2F57"/>
    <w:rsid w:val="000A31FA"/>
    <w:rsid w:val="000A333F"/>
    <w:rsid w:val="000A36A2"/>
    <w:rsid w:val="000A3822"/>
    <w:rsid w:val="000A42A1"/>
    <w:rsid w:val="000A463E"/>
    <w:rsid w:val="000A46E5"/>
    <w:rsid w:val="000A4A69"/>
    <w:rsid w:val="000A4AAC"/>
    <w:rsid w:val="000A4D9A"/>
    <w:rsid w:val="000A4F35"/>
    <w:rsid w:val="000A5305"/>
    <w:rsid w:val="000A5A0E"/>
    <w:rsid w:val="000A5CB1"/>
    <w:rsid w:val="000A60ED"/>
    <w:rsid w:val="000A6517"/>
    <w:rsid w:val="000A654A"/>
    <w:rsid w:val="000A6586"/>
    <w:rsid w:val="000A6639"/>
    <w:rsid w:val="000A6C66"/>
    <w:rsid w:val="000A6E60"/>
    <w:rsid w:val="000A7146"/>
    <w:rsid w:val="000A7170"/>
    <w:rsid w:val="000A74EF"/>
    <w:rsid w:val="000A7549"/>
    <w:rsid w:val="000A771D"/>
    <w:rsid w:val="000A7EC7"/>
    <w:rsid w:val="000A7F06"/>
    <w:rsid w:val="000A7F0E"/>
    <w:rsid w:val="000B0895"/>
    <w:rsid w:val="000B0A52"/>
    <w:rsid w:val="000B0ADC"/>
    <w:rsid w:val="000B0BE0"/>
    <w:rsid w:val="000B105D"/>
    <w:rsid w:val="000B105E"/>
    <w:rsid w:val="000B10E2"/>
    <w:rsid w:val="000B1113"/>
    <w:rsid w:val="000B191E"/>
    <w:rsid w:val="000B193B"/>
    <w:rsid w:val="000B1A20"/>
    <w:rsid w:val="000B1D3F"/>
    <w:rsid w:val="000B1EA2"/>
    <w:rsid w:val="000B1F70"/>
    <w:rsid w:val="000B20A0"/>
    <w:rsid w:val="000B20DE"/>
    <w:rsid w:val="000B2350"/>
    <w:rsid w:val="000B2CD7"/>
    <w:rsid w:val="000B2EE1"/>
    <w:rsid w:val="000B31AB"/>
    <w:rsid w:val="000B322B"/>
    <w:rsid w:val="000B35EC"/>
    <w:rsid w:val="000B376D"/>
    <w:rsid w:val="000B3BC0"/>
    <w:rsid w:val="000B3DA7"/>
    <w:rsid w:val="000B4066"/>
    <w:rsid w:val="000B4302"/>
    <w:rsid w:val="000B4586"/>
    <w:rsid w:val="000B512A"/>
    <w:rsid w:val="000B5517"/>
    <w:rsid w:val="000B5596"/>
    <w:rsid w:val="000B562D"/>
    <w:rsid w:val="000B5988"/>
    <w:rsid w:val="000B5C22"/>
    <w:rsid w:val="000B6050"/>
    <w:rsid w:val="000B657E"/>
    <w:rsid w:val="000B669F"/>
    <w:rsid w:val="000B66A0"/>
    <w:rsid w:val="000B6844"/>
    <w:rsid w:val="000B6D23"/>
    <w:rsid w:val="000B6EF6"/>
    <w:rsid w:val="000B6EF8"/>
    <w:rsid w:val="000B71B3"/>
    <w:rsid w:val="000B72C7"/>
    <w:rsid w:val="000B762A"/>
    <w:rsid w:val="000B76D4"/>
    <w:rsid w:val="000B7C0A"/>
    <w:rsid w:val="000B7D93"/>
    <w:rsid w:val="000B7E7F"/>
    <w:rsid w:val="000C0132"/>
    <w:rsid w:val="000C01EC"/>
    <w:rsid w:val="000C0421"/>
    <w:rsid w:val="000C062A"/>
    <w:rsid w:val="000C0845"/>
    <w:rsid w:val="000C090D"/>
    <w:rsid w:val="000C0A70"/>
    <w:rsid w:val="000C0C52"/>
    <w:rsid w:val="000C0DF2"/>
    <w:rsid w:val="000C1010"/>
    <w:rsid w:val="000C11B8"/>
    <w:rsid w:val="000C14BF"/>
    <w:rsid w:val="000C1ABA"/>
    <w:rsid w:val="000C1C15"/>
    <w:rsid w:val="000C2073"/>
    <w:rsid w:val="000C207B"/>
    <w:rsid w:val="000C2145"/>
    <w:rsid w:val="000C25D0"/>
    <w:rsid w:val="000C278B"/>
    <w:rsid w:val="000C2B6F"/>
    <w:rsid w:val="000C2EAB"/>
    <w:rsid w:val="000C3002"/>
    <w:rsid w:val="000C309A"/>
    <w:rsid w:val="000C33C8"/>
    <w:rsid w:val="000C341D"/>
    <w:rsid w:val="000C3446"/>
    <w:rsid w:val="000C34A2"/>
    <w:rsid w:val="000C3510"/>
    <w:rsid w:val="000C37E6"/>
    <w:rsid w:val="000C3C9E"/>
    <w:rsid w:val="000C406C"/>
    <w:rsid w:val="000C42B5"/>
    <w:rsid w:val="000C436F"/>
    <w:rsid w:val="000C45E4"/>
    <w:rsid w:val="000C4705"/>
    <w:rsid w:val="000C4711"/>
    <w:rsid w:val="000C4994"/>
    <w:rsid w:val="000C4A3C"/>
    <w:rsid w:val="000C4C70"/>
    <w:rsid w:val="000C50E4"/>
    <w:rsid w:val="000C5685"/>
    <w:rsid w:val="000C57ED"/>
    <w:rsid w:val="000C5C23"/>
    <w:rsid w:val="000C5CD9"/>
    <w:rsid w:val="000C5DF4"/>
    <w:rsid w:val="000C5DFE"/>
    <w:rsid w:val="000C5EDB"/>
    <w:rsid w:val="000C62D2"/>
    <w:rsid w:val="000C652B"/>
    <w:rsid w:val="000C6C48"/>
    <w:rsid w:val="000C6D2B"/>
    <w:rsid w:val="000C6EC3"/>
    <w:rsid w:val="000C6EE2"/>
    <w:rsid w:val="000C739F"/>
    <w:rsid w:val="000C74BD"/>
    <w:rsid w:val="000C75CC"/>
    <w:rsid w:val="000C7773"/>
    <w:rsid w:val="000C7B0C"/>
    <w:rsid w:val="000C7CC1"/>
    <w:rsid w:val="000C7D6F"/>
    <w:rsid w:val="000C7F2F"/>
    <w:rsid w:val="000D0141"/>
    <w:rsid w:val="000D01E7"/>
    <w:rsid w:val="000D0F89"/>
    <w:rsid w:val="000D11FD"/>
    <w:rsid w:val="000D12A1"/>
    <w:rsid w:val="000D13AE"/>
    <w:rsid w:val="000D14F7"/>
    <w:rsid w:val="000D17A3"/>
    <w:rsid w:val="000D1C33"/>
    <w:rsid w:val="000D1CCA"/>
    <w:rsid w:val="000D1D2F"/>
    <w:rsid w:val="000D213F"/>
    <w:rsid w:val="000D22C4"/>
    <w:rsid w:val="000D2721"/>
    <w:rsid w:val="000D2C9E"/>
    <w:rsid w:val="000D2D0C"/>
    <w:rsid w:val="000D2EF0"/>
    <w:rsid w:val="000D31AD"/>
    <w:rsid w:val="000D32A6"/>
    <w:rsid w:val="000D3395"/>
    <w:rsid w:val="000D3438"/>
    <w:rsid w:val="000D3847"/>
    <w:rsid w:val="000D3CD6"/>
    <w:rsid w:val="000D4217"/>
    <w:rsid w:val="000D42EF"/>
    <w:rsid w:val="000D4669"/>
    <w:rsid w:val="000D4880"/>
    <w:rsid w:val="000D4893"/>
    <w:rsid w:val="000D4A43"/>
    <w:rsid w:val="000D4D78"/>
    <w:rsid w:val="000D4EDF"/>
    <w:rsid w:val="000D5F02"/>
    <w:rsid w:val="000D61CD"/>
    <w:rsid w:val="000D61DD"/>
    <w:rsid w:val="000D685C"/>
    <w:rsid w:val="000D79D0"/>
    <w:rsid w:val="000D7E81"/>
    <w:rsid w:val="000E0370"/>
    <w:rsid w:val="000E0805"/>
    <w:rsid w:val="000E0A01"/>
    <w:rsid w:val="000E0DA2"/>
    <w:rsid w:val="000E0E01"/>
    <w:rsid w:val="000E108C"/>
    <w:rsid w:val="000E10CD"/>
    <w:rsid w:val="000E127C"/>
    <w:rsid w:val="000E12A3"/>
    <w:rsid w:val="000E140E"/>
    <w:rsid w:val="000E1658"/>
    <w:rsid w:val="000E1689"/>
    <w:rsid w:val="000E197B"/>
    <w:rsid w:val="000E1B5F"/>
    <w:rsid w:val="000E216E"/>
    <w:rsid w:val="000E21BD"/>
    <w:rsid w:val="000E221B"/>
    <w:rsid w:val="000E24F2"/>
    <w:rsid w:val="000E25E8"/>
    <w:rsid w:val="000E2760"/>
    <w:rsid w:val="000E2F46"/>
    <w:rsid w:val="000E2F8F"/>
    <w:rsid w:val="000E33FD"/>
    <w:rsid w:val="000E3B72"/>
    <w:rsid w:val="000E3C9D"/>
    <w:rsid w:val="000E3D82"/>
    <w:rsid w:val="000E3EA4"/>
    <w:rsid w:val="000E4103"/>
    <w:rsid w:val="000E4131"/>
    <w:rsid w:val="000E453A"/>
    <w:rsid w:val="000E46B6"/>
    <w:rsid w:val="000E483C"/>
    <w:rsid w:val="000E4A03"/>
    <w:rsid w:val="000E4A82"/>
    <w:rsid w:val="000E4A8D"/>
    <w:rsid w:val="000E4ABB"/>
    <w:rsid w:val="000E4E1F"/>
    <w:rsid w:val="000E4EB1"/>
    <w:rsid w:val="000E575E"/>
    <w:rsid w:val="000E5993"/>
    <w:rsid w:val="000E5AD5"/>
    <w:rsid w:val="000E5DE5"/>
    <w:rsid w:val="000E5E9B"/>
    <w:rsid w:val="000E6384"/>
    <w:rsid w:val="000E70E7"/>
    <w:rsid w:val="000E730E"/>
    <w:rsid w:val="000E77E4"/>
    <w:rsid w:val="000E7AB8"/>
    <w:rsid w:val="000E7B48"/>
    <w:rsid w:val="000E7CAA"/>
    <w:rsid w:val="000E7D02"/>
    <w:rsid w:val="000E7F59"/>
    <w:rsid w:val="000F0272"/>
    <w:rsid w:val="000F02AE"/>
    <w:rsid w:val="000F0328"/>
    <w:rsid w:val="000F0382"/>
    <w:rsid w:val="000F06CD"/>
    <w:rsid w:val="000F07A2"/>
    <w:rsid w:val="000F0DC7"/>
    <w:rsid w:val="000F14F1"/>
    <w:rsid w:val="000F1BBC"/>
    <w:rsid w:val="000F20E7"/>
    <w:rsid w:val="000F2553"/>
    <w:rsid w:val="000F28D4"/>
    <w:rsid w:val="000F2B5D"/>
    <w:rsid w:val="000F2D83"/>
    <w:rsid w:val="000F2DDE"/>
    <w:rsid w:val="000F2E43"/>
    <w:rsid w:val="000F333A"/>
    <w:rsid w:val="000F344E"/>
    <w:rsid w:val="000F3577"/>
    <w:rsid w:val="000F3721"/>
    <w:rsid w:val="000F3986"/>
    <w:rsid w:val="000F39B2"/>
    <w:rsid w:val="000F3BEC"/>
    <w:rsid w:val="000F3F4A"/>
    <w:rsid w:val="000F42EB"/>
    <w:rsid w:val="000F46E7"/>
    <w:rsid w:val="000F4745"/>
    <w:rsid w:val="000F47EB"/>
    <w:rsid w:val="000F4C0D"/>
    <w:rsid w:val="000F4E8D"/>
    <w:rsid w:val="000F4FBD"/>
    <w:rsid w:val="000F5022"/>
    <w:rsid w:val="000F50BC"/>
    <w:rsid w:val="000F5628"/>
    <w:rsid w:val="000F590A"/>
    <w:rsid w:val="000F5BF2"/>
    <w:rsid w:val="000F5D1E"/>
    <w:rsid w:val="000F5ECB"/>
    <w:rsid w:val="000F6042"/>
    <w:rsid w:val="000F6151"/>
    <w:rsid w:val="000F69A4"/>
    <w:rsid w:val="000F6A69"/>
    <w:rsid w:val="000F6EF7"/>
    <w:rsid w:val="000F6F2B"/>
    <w:rsid w:val="000F6F9A"/>
    <w:rsid w:val="000F72AC"/>
    <w:rsid w:val="000F733B"/>
    <w:rsid w:val="000F7365"/>
    <w:rsid w:val="000F74A1"/>
    <w:rsid w:val="000F76F1"/>
    <w:rsid w:val="000F7CD3"/>
    <w:rsid w:val="000F7D41"/>
    <w:rsid w:val="00100196"/>
    <w:rsid w:val="00100433"/>
    <w:rsid w:val="001009F6"/>
    <w:rsid w:val="00100B1C"/>
    <w:rsid w:val="00100D5D"/>
    <w:rsid w:val="00100DB8"/>
    <w:rsid w:val="00101218"/>
    <w:rsid w:val="001012A2"/>
    <w:rsid w:val="00101601"/>
    <w:rsid w:val="00101CF0"/>
    <w:rsid w:val="00101D43"/>
    <w:rsid w:val="00101EC9"/>
    <w:rsid w:val="00101F96"/>
    <w:rsid w:val="00102070"/>
    <w:rsid w:val="0010227F"/>
    <w:rsid w:val="00102366"/>
    <w:rsid w:val="0010236E"/>
    <w:rsid w:val="001024E2"/>
    <w:rsid w:val="001024F5"/>
    <w:rsid w:val="001033CF"/>
    <w:rsid w:val="0010359B"/>
    <w:rsid w:val="00103F4B"/>
    <w:rsid w:val="001044BB"/>
    <w:rsid w:val="0010480E"/>
    <w:rsid w:val="0010497F"/>
    <w:rsid w:val="00104BDD"/>
    <w:rsid w:val="00104CCC"/>
    <w:rsid w:val="00105027"/>
    <w:rsid w:val="00105034"/>
    <w:rsid w:val="00105197"/>
    <w:rsid w:val="00105477"/>
    <w:rsid w:val="0010563E"/>
    <w:rsid w:val="00105C89"/>
    <w:rsid w:val="00105D54"/>
    <w:rsid w:val="0010600C"/>
    <w:rsid w:val="001067DD"/>
    <w:rsid w:val="00106B70"/>
    <w:rsid w:val="001073DE"/>
    <w:rsid w:val="0010765C"/>
    <w:rsid w:val="00107724"/>
    <w:rsid w:val="00107931"/>
    <w:rsid w:val="0010797D"/>
    <w:rsid w:val="00107B02"/>
    <w:rsid w:val="00107BC1"/>
    <w:rsid w:val="00107DFF"/>
    <w:rsid w:val="00107E8E"/>
    <w:rsid w:val="00110277"/>
    <w:rsid w:val="001107EF"/>
    <w:rsid w:val="00110C82"/>
    <w:rsid w:val="0011129F"/>
    <w:rsid w:val="00111310"/>
    <w:rsid w:val="00111788"/>
    <w:rsid w:val="00111CA0"/>
    <w:rsid w:val="00111E79"/>
    <w:rsid w:val="001122EA"/>
    <w:rsid w:val="0011232C"/>
    <w:rsid w:val="00112709"/>
    <w:rsid w:val="0011272B"/>
    <w:rsid w:val="00112998"/>
    <w:rsid w:val="00112CB9"/>
    <w:rsid w:val="0011319F"/>
    <w:rsid w:val="001133E5"/>
    <w:rsid w:val="00113DBD"/>
    <w:rsid w:val="001140C0"/>
    <w:rsid w:val="001140EE"/>
    <w:rsid w:val="001144DD"/>
    <w:rsid w:val="00114512"/>
    <w:rsid w:val="001148FA"/>
    <w:rsid w:val="00114C7E"/>
    <w:rsid w:val="0011503C"/>
    <w:rsid w:val="00115368"/>
    <w:rsid w:val="00115395"/>
    <w:rsid w:val="00115465"/>
    <w:rsid w:val="001154A8"/>
    <w:rsid w:val="00115611"/>
    <w:rsid w:val="001156BE"/>
    <w:rsid w:val="001159CA"/>
    <w:rsid w:val="001159D6"/>
    <w:rsid w:val="00115DFE"/>
    <w:rsid w:val="00116099"/>
    <w:rsid w:val="001160FE"/>
    <w:rsid w:val="001165A6"/>
    <w:rsid w:val="001166F3"/>
    <w:rsid w:val="0011670E"/>
    <w:rsid w:val="0011681B"/>
    <w:rsid w:val="00116C85"/>
    <w:rsid w:val="0011715A"/>
    <w:rsid w:val="00117318"/>
    <w:rsid w:val="0011743B"/>
    <w:rsid w:val="00117A05"/>
    <w:rsid w:val="00117A0A"/>
    <w:rsid w:val="00117C61"/>
    <w:rsid w:val="00120E30"/>
    <w:rsid w:val="00120E6E"/>
    <w:rsid w:val="0012104F"/>
    <w:rsid w:val="00121562"/>
    <w:rsid w:val="00121967"/>
    <w:rsid w:val="00121B8F"/>
    <w:rsid w:val="00121E42"/>
    <w:rsid w:val="00121E56"/>
    <w:rsid w:val="00121EF3"/>
    <w:rsid w:val="0012220F"/>
    <w:rsid w:val="001225F9"/>
    <w:rsid w:val="001227E8"/>
    <w:rsid w:val="0012289A"/>
    <w:rsid w:val="001228A4"/>
    <w:rsid w:val="00122939"/>
    <w:rsid w:val="00122BA0"/>
    <w:rsid w:val="00122CAA"/>
    <w:rsid w:val="00123165"/>
    <w:rsid w:val="00123270"/>
    <w:rsid w:val="00123665"/>
    <w:rsid w:val="0012383F"/>
    <w:rsid w:val="00123933"/>
    <w:rsid w:val="0012397D"/>
    <w:rsid w:val="0012438E"/>
    <w:rsid w:val="00124450"/>
    <w:rsid w:val="00124553"/>
    <w:rsid w:val="0012461A"/>
    <w:rsid w:val="00124C0D"/>
    <w:rsid w:val="00124D30"/>
    <w:rsid w:val="00124D4D"/>
    <w:rsid w:val="00124DEB"/>
    <w:rsid w:val="00125107"/>
    <w:rsid w:val="001253EF"/>
    <w:rsid w:val="001255F8"/>
    <w:rsid w:val="001257BB"/>
    <w:rsid w:val="00125915"/>
    <w:rsid w:val="00125DF1"/>
    <w:rsid w:val="00126102"/>
    <w:rsid w:val="001264DF"/>
    <w:rsid w:val="00126644"/>
    <w:rsid w:val="001268D2"/>
    <w:rsid w:val="00126B39"/>
    <w:rsid w:val="00126E34"/>
    <w:rsid w:val="00127116"/>
    <w:rsid w:val="0012744D"/>
    <w:rsid w:val="001279BA"/>
    <w:rsid w:val="00127E3D"/>
    <w:rsid w:val="001300A1"/>
    <w:rsid w:val="00130563"/>
    <w:rsid w:val="001308F1"/>
    <w:rsid w:val="001309B7"/>
    <w:rsid w:val="00130A43"/>
    <w:rsid w:val="00130AB5"/>
    <w:rsid w:val="00130F4E"/>
    <w:rsid w:val="001316F8"/>
    <w:rsid w:val="00131B8E"/>
    <w:rsid w:val="00131BE6"/>
    <w:rsid w:val="00131FB5"/>
    <w:rsid w:val="001321C8"/>
    <w:rsid w:val="00132306"/>
    <w:rsid w:val="001326DB"/>
    <w:rsid w:val="0013270B"/>
    <w:rsid w:val="00132763"/>
    <w:rsid w:val="00132789"/>
    <w:rsid w:val="00132876"/>
    <w:rsid w:val="001328EE"/>
    <w:rsid w:val="00132B7E"/>
    <w:rsid w:val="00132BE7"/>
    <w:rsid w:val="00132E46"/>
    <w:rsid w:val="00132FD5"/>
    <w:rsid w:val="001330E5"/>
    <w:rsid w:val="00133191"/>
    <w:rsid w:val="00133366"/>
    <w:rsid w:val="001335CE"/>
    <w:rsid w:val="00133801"/>
    <w:rsid w:val="00134134"/>
    <w:rsid w:val="0013459C"/>
    <w:rsid w:val="00134944"/>
    <w:rsid w:val="00134B8A"/>
    <w:rsid w:val="00134E2B"/>
    <w:rsid w:val="0013543F"/>
    <w:rsid w:val="0013570E"/>
    <w:rsid w:val="001357F7"/>
    <w:rsid w:val="00135D62"/>
    <w:rsid w:val="00135E0A"/>
    <w:rsid w:val="00135ED8"/>
    <w:rsid w:val="001367D2"/>
    <w:rsid w:val="00136A35"/>
    <w:rsid w:val="00136D24"/>
    <w:rsid w:val="00136D4E"/>
    <w:rsid w:val="00136D6B"/>
    <w:rsid w:val="00136F60"/>
    <w:rsid w:val="00136FDB"/>
    <w:rsid w:val="001370D4"/>
    <w:rsid w:val="001371CD"/>
    <w:rsid w:val="00137207"/>
    <w:rsid w:val="00137440"/>
    <w:rsid w:val="00137680"/>
    <w:rsid w:val="0013773D"/>
    <w:rsid w:val="0013774A"/>
    <w:rsid w:val="00137821"/>
    <w:rsid w:val="00137992"/>
    <w:rsid w:val="00137C3C"/>
    <w:rsid w:val="001403B4"/>
    <w:rsid w:val="00140750"/>
    <w:rsid w:val="00140A77"/>
    <w:rsid w:val="00140CCF"/>
    <w:rsid w:val="00140F1D"/>
    <w:rsid w:val="0014157D"/>
    <w:rsid w:val="00141627"/>
    <w:rsid w:val="001417CD"/>
    <w:rsid w:val="00142090"/>
    <w:rsid w:val="001422AC"/>
    <w:rsid w:val="0014231E"/>
    <w:rsid w:val="00142607"/>
    <w:rsid w:val="0014305F"/>
    <w:rsid w:val="00143712"/>
    <w:rsid w:val="00143879"/>
    <w:rsid w:val="001438FD"/>
    <w:rsid w:val="00143968"/>
    <w:rsid w:val="001439FD"/>
    <w:rsid w:val="00143AB3"/>
    <w:rsid w:val="00143C00"/>
    <w:rsid w:val="00143CFD"/>
    <w:rsid w:val="001441A3"/>
    <w:rsid w:val="00144280"/>
    <w:rsid w:val="00144739"/>
    <w:rsid w:val="001449AB"/>
    <w:rsid w:val="001449AE"/>
    <w:rsid w:val="001450C1"/>
    <w:rsid w:val="0014541B"/>
    <w:rsid w:val="00145607"/>
    <w:rsid w:val="00145926"/>
    <w:rsid w:val="00145ADA"/>
    <w:rsid w:val="001465C6"/>
    <w:rsid w:val="00146904"/>
    <w:rsid w:val="001469F0"/>
    <w:rsid w:val="001469F5"/>
    <w:rsid w:val="00146BCA"/>
    <w:rsid w:val="00146EB4"/>
    <w:rsid w:val="00146F1A"/>
    <w:rsid w:val="001471B0"/>
    <w:rsid w:val="001471CD"/>
    <w:rsid w:val="0014750C"/>
    <w:rsid w:val="00147C59"/>
    <w:rsid w:val="0015003A"/>
    <w:rsid w:val="00150269"/>
    <w:rsid w:val="001504B1"/>
    <w:rsid w:val="00150B1E"/>
    <w:rsid w:val="00150D66"/>
    <w:rsid w:val="00150DEF"/>
    <w:rsid w:val="00150EF9"/>
    <w:rsid w:val="00151423"/>
    <w:rsid w:val="0015159D"/>
    <w:rsid w:val="001518B8"/>
    <w:rsid w:val="00151FE9"/>
    <w:rsid w:val="00151FFC"/>
    <w:rsid w:val="0015236C"/>
    <w:rsid w:val="001523DD"/>
    <w:rsid w:val="0015249E"/>
    <w:rsid w:val="001529A6"/>
    <w:rsid w:val="001529BF"/>
    <w:rsid w:val="00152A9B"/>
    <w:rsid w:val="00152D8C"/>
    <w:rsid w:val="001531AA"/>
    <w:rsid w:val="001533D1"/>
    <w:rsid w:val="001533E5"/>
    <w:rsid w:val="001537AE"/>
    <w:rsid w:val="001538BB"/>
    <w:rsid w:val="00153BEE"/>
    <w:rsid w:val="00153F2C"/>
    <w:rsid w:val="00154134"/>
    <w:rsid w:val="00154140"/>
    <w:rsid w:val="00154158"/>
    <w:rsid w:val="00154371"/>
    <w:rsid w:val="00154406"/>
    <w:rsid w:val="00154517"/>
    <w:rsid w:val="001547D5"/>
    <w:rsid w:val="0015484B"/>
    <w:rsid w:val="001548A9"/>
    <w:rsid w:val="001548CA"/>
    <w:rsid w:val="00154A98"/>
    <w:rsid w:val="00154F09"/>
    <w:rsid w:val="00155196"/>
    <w:rsid w:val="00155240"/>
    <w:rsid w:val="0015527F"/>
    <w:rsid w:val="00155290"/>
    <w:rsid w:val="001553FA"/>
    <w:rsid w:val="00155525"/>
    <w:rsid w:val="00155782"/>
    <w:rsid w:val="001557B9"/>
    <w:rsid w:val="00155AEF"/>
    <w:rsid w:val="00155E8E"/>
    <w:rsid w:val="0015602C"/>
    <w:rsid w:val="0015618C"/>
    <w:rsid w:val="0015632A"/>
    <w:rsid w:val="0015692F"/>
    <w:rsid w:val="001569AF"/>
    <w:rsid w:val="00156B10"/>
    <w:rsid w:val="00156BED"/>
    <w:rsid w:val="00156C78"/>
    <w:rsid w:val="00156C86"/>
    <w:rsid w:val="00156DA1"/>
    <w:rsid w:val="00156DC0"/>
    <w:rsid w:val="00156F02"/>
    <w:rsid w:val="00157418"/>
    <w:rsid w:val="00157564"/>
    <w:rsid w:val="001576C0"/>
    <w:rsid w:val="00157990"/>
    <w:rsid w:val="001579F3"/>
    <w:rsid w:val="00157A56"/>
    <w:rsid w:val="00157EF8"/>
    <w:rsid w:val="001600C0"/>
    <w:rsid w:val="001602BE"/>
    <w:rsid w:val="00160340"/>
    <w:rsid w:val="00160481"/>
    <w:rsid w:val="001605CF"/>
    <w:rsid w:val="001606C6"/>
    <w:rsid w:val="00160A32"/>
    <w:rsid w:val="00160BED"/>
    <w:rsid w:val="0016108B"/>
    <w:rsid w:val="001611F7"/>
    <w:rsid w:val="0016191C"/>
    <w:rsid w:val="001619E1"/>
    <w:rsid w:val="00161E86"/>
    <w:rsid w:val="00161ED7"/>
    <w:rsid w:val="00161F6F"/>
    <w:rsid w:val="00162043"/>
    <w:rsid w:val="001623F8"/>
    <w:rsid w:val="00162623"/>
    <w:rsid w:val="0016269E"/>
    <w:rsid w:val="00162787"/>
    <w:rsid w:val="00162909"/>
    <w:rsid w:val="00162C88"/>
    <w:rsid w:val="00162E4E"/>
    <w:rsid w:val="00162F7F"/>
    <w:rsid w:val="0016338B"/>
    <w:rsid w:val="001633BF"/>
    <w:rsid w:val="00163492"/>
    <w:rsid w:val="00163597"/>
    <w:rsid w:val="001635E8"/>
    <w:rsid w:val="00163815"/>
    <w:rsid w:val="00163B1F"/>
    <w:rsid w:val="00163C6C"/>
    <w:rsid w:val="00163D03"/>
    <w:rsid w:val="00163D7E"/>
    <w:rsid w:val="001640DF"/>
    <w:rsid w:val="001641B0"/>
    <w:rsid w:val="0016441D"/>
    <w:rsid w:val="00164641"/>
    <w:rsid w:val="0016491F"/>
    <w:rsid w:val="00164B61"/>
    <w:rsid w:val="00164C65"/>
    <w:rsid w:val="00165293"/>
    <w:rsid w:val="0016592E"/>
    <w:rsid w:val="00165AF3"/>
    <w:rsid w:val="0016643B"/>
    <w:rsid w:val="00166B2A"/>
    <w:rsid w:val="00166D95"/>
    <w:rsid w:val="00166DF0"/>
    <w:rsid w:val="00166E2D"/>
    <w:rsid w:val="001670C2"/>
    <w:rsid w:val="00167197"/>
    <w:rsid w:val="001671CB"/>
    <w:rsid w:val="0016721A"/>
    <w:rsid w:val="001674F4"/>
    <w:rsid w:val="0016780E"/>
    <w:rsid w:val="00167A4B"/>
    <w:rsid w:val="00167B96"/>
    <w:rsid w:val="00167DDB"/>
    <w:rsid w:val="00167E1F"/>
    <w:rsid w:val="00167FA2"/>
    <w:rsid w:val="00167FFD"/>
    <w:rsid w:val="001700AA"/>
    <w:rsid w:val="001702D2"/>
    <w:rsid w:val="00170361"/>
    <w:rsid w:val="001703C6"/>
    <w:rsid w:val="001705DD"/>
    <w:rsid w:val="0017066E"/>
    <w:rsid w:val="001707D6"/>
    <w:rsid w:val="0017099C"/>
    <w:rsid w:val="001711C0"/>
    <w:rsid w:val="0017128F"/>
    <w:rsid w:val="00171329"/>
    <w:rsid w:val="00171511"/>
    <w:rsid w:val="0017189F"/>
    <w:rsid w:val="00171A1C"/>
    <w:rsid w:val="00171B2F"/>
    <w:rsid w:val="00171D0D"/>
    <w:rsid w:val="00171E57"/>
    <w:rsid w:val="00172142"/>
    <w:rsid w:val="001727FE"/>
    <w:rsid w:val="00172922"/>
    <w:rsid w:val="00172A1A"/>
    <w:rsid w:val="00172B31"/>
    <w:rsid w:val="00172B50"/>
    <w:rsid w:val="00172E46"/>
    <w:rsid w:val="00173464"/>
    <w:rsid w:val="0017364B"/>
    <w:rsid w:val="00173650"/>
    <w:rsid w:val="00173807"/>
    <w:rsid w:val="00173866"/>
    <w:rsid w:val="00173F7D"/>
    <w:rsid w:val="00174358"/>
    <w:rsid w:val="00174379"/>
    <w:rsid w:val="00174507"/>
    <w:rsid w:val="00174509"/>
    <w:rsid w:val="0017462D"/>
    <w:rsid w:val="001748EA"/>
    <w:rsid w:val="0017496F"/>
    <w:rsid w:val="00174E6A"/>
    <w:rsid w:val="00174FD7"/>
    <w:rsid w:val="00175240"/>
    <w:rsid w:val="001753A4"/>
    <w:rsid w:val="00175592"/>
    <w:rsid w:val="001755F3"/>
    <w:rsid w:val="00175617"/>
    <w:rsid w:val="001756D7"/>
    <w:rsid w:val="001759BE"/>
    <w:rsid w:val="00175B06"/>
    <w:rsid w:val="00175B46"/>
    <w:rsid w:val="00175FB6"/>
    <w:rsid w:val="0017622C"/>
    <w:rsid w:val="00176798"/>
    <w:rsid w:val="00176A38"/>
    <w:rsid w:val="00176A5F"/>
    <w:rsid w:val="00176E25"/>
    <w:rsid w:val="00176F67"/>
    <w:rsid w:val="00177116"/>
    <w:rsid w:val="0017740D"/>
    <w:rsid w:val="00177555"/>
    <w:rsid w:val="00177853"/>
    <w:rsid w:val="00177B46"/>
    <w:rsid w:val="00177DF9"/>
    <w:rsid w:val="00177F3B"/>
    <w:rsid w:val="00180026"/>
    <w:rsid w:val="0018046F"/>
    <w:rsid w:val="001804F5"/>
    <w:rsid w:val="001805DF"/>
    <w:rsid w:val="00180C62"/>
    <w:rsid w:val="00180E20"/>
    <w:rsid w:val="00181391"/>
    <w:rsid w:val="00181B18"/>
    <w:rsid w:val="00181B63"/>
    <w:rsid w:val="00181FD4"/>
    <w:rsid w:val="001823D3"/>
    <w:rsid w:val="00182588"/>
    <w:rsid w:val="00182699"/>
    <w:rsid w:val="0018270C"/>
    <w:rsid w:val="00182988"/>
    <w:rsid w:val="00183538"/>
    <w:rsid w:val="00184091"/>
    <w:rsid w:val="00184679"/>
    <w:rsid w:val="00184DF3"/>
    <w:rsid w:val="00184F5D"/>
    <w:rsid w:val="00184FBB"/>
    <w:rsid w:val="001851BD"/>
    <w:rsid w:val="00185447"/>
    <w:rsid w:val="0018570B"/>
    <w:rsid w:val="00185A3A"/>
    <w:rsid w:val="001862D9"/>
    <w:rsid w:val="00186341"/>
    <w:rsid w:val="001867F0"/>
    <w:rsid w:val="00186960"/>
    <w:rsid w:val="00186A4C"/>
    <w:rsid w:val="00186C8C"/>
    <w:rsid w:val="001870DC"/>
    <w:rsid w:val="00187416"/>
    <w:rsid w:val="001874E3"/>
    <w:rsid w:val="00187918"/>
    <w:rsid w:val="0018794C"/>
    <w:rsid w:val="00190169"/>
    <w:rsid w:val="001901C6"/>
    <w:rsid w:val="001902F3"/>
    <w:rsid w:val="00190439"/>
    <w:rsid w:val="00190A20"/>
    <w:rsid w:val="00190A22"/>
    <w:rsid w:val="00190B67"/>
    <w:rsid w:val="00190DD2"/>
    <w:rsid w:val="00190DDB"/>
    <w:rsid w:val="00191022"/>
    <w:rsid w:val="00191200"/>
    <w:rsid w:val="001912A1"/>
    <w:rsid w:val="001912C4"/>
    <w:rsid w:val="001912D0"/>
    <w:rsid w:val="00191650"/>
    <w:rsid w:val="00191790"/>
    <w:rsid w:val="0019187F"/>
    <w:rsid w:val="00191A32"/>
    <w:rsid w:val="00191EC7"/>
    <w:rsid w:val="00191F77"/>
    <w:rsid w:val="001921AE"/>
    <w:rsid w:val="001923FF"/>
    <w:rsid w:val="00192D8C"/>
    <w:rsid w:val="00193405"/>
    <w:rsid w:val="00193419"/>
    <w:rsid w:val="0019369E"/>
    <w:rsid w:val="001939E2"/>
    <w:rsid w:val="00193A42"/>
    <w:rsid w:val="00193A4C"/>
    <w:rsid w:val="00193CF9"/>
    <w:rsid w:val="00193F00"/>
    <w:rsid w:val="0019408C"/>
    <w:rsid w:val="001940B8"/>
    <w:rsid w:val="0019414D"/>
    <w:rsid w:val="001941C1"/>
    <w:rsid w:val="001942A7"/>
    <w:rsid w:val="001942AC"/>
    <w:rsid w:val="00194358"/>
    <w:rsid w:val="0019480D"/>
    <w:rsid w:val="00194918"/>
    <w:rsid w:val="00194AE4"/>
    <w:rsid w:val="00194BFD"/>
    <w:rsid w:val="00194C38"/>
    <w:rsid w:val="00194C87"/>
    <w:rsid w:val="00194E2C"/>
    <w:rsid w:val="00195F12"/>
    <w:rsid w:val="001963CE"/>
    <w:rsid w:val="001964FB"/>
    <w:rsid w:val="00196875"/>
    <w:rsid w:val="00196A7A"/>
    <w:rsid w:val="00196E4F"/>
    <w:rsid w:val="0019729F"/>
    <w:rsid w:val="001974C2"/>
    <w:rsid w:val="00197581"/>
    <w:rsid w:val="00197863"/>
    <w:rsid w:val="0019787D"/>
    <w:rsid w:val="00197885"/>
    <w:rsid w:val="00197BF7"/>
    <w:rsid w:val="00197E49"/>
    <w:rsid w:val="001A007C"/>
    <w:rsid w:val="001A057C"/>
    <w:rsid w:val="001A05A1"/>
    <w:rsid w:val="001A05A7"/>
    <w:rsid w:val="001A06B7"/>
    <w:rsid w:val="001A06ED"/>
    <w:rsid w:val="001A0753"/>
    <w:rsid w:val="001A0CDA"/>
    <w:rsid w:val="001A0DCE"/>
    <w:rsid w:val="001A10BC"/>
    <w:rsid w:val="001A12A0"/>
    <w:rsid w:val="001A1747"/>
    <w:rsid w:val="001A18FB"/>
    <w:rsid w:val="001A1D20"/>
    <w:rsid w:val="001A1E38"/>
    <w:rsid w:val="001A1EC7"/>
    <w:rsid w:val="001A2B8B"/>
    <w:rsid w:val="001A30AE"/>
    <w:rsid w:val="001A30F4"/>
    <w:rsid w:val="001A39A6"/>
    <w:rsid w:val="001A3BAC"/>
    <w:rsid w:val="001A3CEF"/>
    <w:rsid w:val="001A3E4B"/>
    <w:rsid w:val="001A3F89"/>
    <w:rsid w:val="001A3FF1"/>
    <w:rsid w:val="001A4003"/>
    <w:rsid w:val="001A426F"/>
    <w:rsid w:val="001A4501"/>
    <w:rsid w:val="001A4670"/>
    <w:rsid w:val="001A4716"/>
    <w:rsid w:val="001A4807"/>
    <w:rsid w:val="001A4848"/>
    <w:rsid w:val="001A4A13"/>
    <w:rsid w:val="001A5237"/>
    <w:rsid w:val="001A53AC"/>
    <w:rsid w:val="001A53CD"/>
    <w:rsid w:val="001A54DC"/>
    <w:rsid w:val="001A5708"/>
    <w:rsid w:val="001A5940"/>
    <w:rsid w:val="001A5A17"/>
    <w:rsid w:val="001A5A60"/>
    <w:rsid w:val="001A5B1D"/>
    <w:rsid w:val="001A5B40"/>
    <w:rsid w:val="001A5B8A"/>
    <w:rsid w:val="001A638D"/>
    <w:rsid w:val="001A6B2E"/>
    <w:rsid w:val="001A6C0E"/>
    <w:rsid w:val="001A6CA9"/>
    <w:rsid w:val="001A707A"/>
    <w:rsid w:val="001A7464"/>
    <w:rsid w:val="001A7733"/>
    <w:rsid w:val="001A795E"/>
    <w:rsid w:val="001A7C60"/>
    <w:rsid w:val="001A7EC3"/>
    <w:rsid w:val="001B02EA"/>
    <w:rsid w:val="001B02F9"/>
    <w:rsid w:val="001B03FF"/>
    <w:rsid w:val="001B07AD"/>
    <w:rsid w:val="001B0806"/>
    <w:rsid w:val="001B0976"/>
    <w:rsid w:val="001B09B6"/>
    <w:rsid w:val="001B0ABE"/>
    <w:rsid w:val="001B0B20"/>
    <w:rsid w:val="001B0BE4"/>
    <w:rsid w:val="001B12DE"/>
    <w:rsid w:val="001B16EF"/>
    <w:rsid w:val="001B1964"/>
    <w:rsid w:val="001B2007"/>
    <w:rsid w:val="001B277B"/>
    <w:rsid w:val="001B296D"/>
    <w:rsid w:val="001B3642"/>
    <w:rsid w:val="001B36AF"/>
    <w:rsid w:val="001B3E0B"/>
    <w:rsid w:val="001B3F54"/>
    <w:rsid w:val="001B3F96"/>
    <w:rsid w:val="001B4316"/>
    <w:rsid w:val="001B4752"/>
    <w:rsid w:val="001B4AB6"/>
    <w:rsid w:val="001B4CAF"/>
    <w:rsid w:val="001B4DC8"/>
    <w:rsid w:val="001B4F7B"/>
    <w:rsid w:val="001B5243"/>
    <w:rsid w:val="001B52B2"/>
    <w:rsid w:val="001B5574"/>
    <w:rsid w:val="001B58DD"/>
    <w:rsid w:val="001B6348"/>
    <w:rsid w:val="001B635A"/>
    <w:rsid w:val="001B64E0"/>
    <w:rsid w:val="001B6510"/>
    <w:rsid w:val="001B6BFD"/>
    <w:rsid w:val="001B6F89"/>
    <w:rsid w:val="001B74A2"/>
    <w:rsid w:val="001B75DD"/>
    <w:rsid w:val="001C034C"/>
    <w:rsid w:val="001C07FD"/>
    <w:rsid w:val="001C089C"/>
    <w:rsid w:val="001C0916"/>
    <w:rsid w:val="001C0CF2"/>
    <w:rsid w:val="001C0D62"/>
    <w:rsid w:val="001C0D95"/>
    <w:rsid w:val="001C101D"/>
    <w:rsid w:val="001C10E4"/>
    <w:rsid w:val="001C1A8A"/>
    <w:rsid w:val="001C1FC5"/>
    <w:rsid w:val="001C2641"/>
    <w:rsid w:val="001C2868"/>
    <w:rsid w:val="001C2B32"/>
    <w:rsid w:val="001C2FCB"/>
    <w:rsid w:val="001C37B7"/>
    <w:rsid w:val="001C3804"/>
    <w:rsid w:val="001C3BBF"/>
    <w:rsid w:val="001C4142"/>
    <w:rsid w:val="001C42F9"/>
    <w:rsid w:val="001C43BA"/>
    <w:rsid w:val="001C463B"/>
    <w:rsid w:val="001C4789"/>
    <w:rsid w:val="001C4976"/>
    <w:rsid w:val="001C49D4"/>
    <w:rsid w:val="001C4A75"/>
    <w:rsid w:val="001C4F21"/>
    <w:rsid w:val="001C4F78"/>
    <w:rsid w:val="001C5563"/>
    <w:rsid w:val="001C5574"/>
    <w:rsid w:val="001C5838"/>
    <w:rsid w:val="001C5AFF"/>
    <w:rsid w:val="001C60CB"/>
    <w:rsid w:val="001C634A"/>
    <w:rsid w:val="001C6A5E"/>
    <w:rsid w:val="001C6C78"/>
    <w:rsid w:val="001C6E4C"/>
    <w:rsid w:val="001C737A"/>
    <w:rsid w:val="001C76CC"/>
    <w:rsid w:val="001C7A26"/>
    <w:rsid w:val="001C7EE7"/>
    <w:rsid w:val="001D0483"/>
    <w:rsid w:val="001D06B9"/>
    <w:rsid w:val="001D0B58"/>
    <w:rsid w:val="001D0CE0"/>
    <w:rsid w:val="001D0FAC"/>
    <w:rsid w:val="001D109F"/>
    <w:rsid w:val="001D1376"/>
    <w:rsid w:val="001D1A3E"/>
    <w:rsid w:val="001D1AF4"/>
    <w:rsid w:val="001D1DD4"/>
    <w:rsid w:val="001D1E48"/>
    <w:rsid w:val="001D24DB"/>
    <w:rsid w:val="001D27FC"/>
    <w:rsid w:val="001D29DB"/>
    <w:rsid w:val="001D3228"/>
    <w:rsid w:val="001D3456"/>
    <w:rsid w:val="001D3C45"/>
    <w:rsid w:val="001D3CB2"/>
    <w:rsid w:val="001D3D48"/>
    <w:rsid w:val="001D42F2"/>
    <w:rsid w:val="001D4424"/>
    <w:rsid w:val="001D4459"/>
    <w:rsid w:val="001D47EB"/>
    <w:rsid w:val="001D48B0"/>
    <w:rsid w:val="001D48D5"/>
    <w:rsid w:val="001D4A92"/>
    <w:rsid w:val="001D4B26"/>
    <w:rsid w:val="001D4C4F"/>
    <w:rsid w:val="001D4F6F"/>
    <w:rsid w:val="001D5133"/>
    <w:rsid w:val="001D51F1"/>
    <w:rsid w:val="001D5703"/>
    <w:rsid w:val="001D61F9"/>
    <w:rsid w:val="001D645A"/>
    <w:rsid w:val="001D6544"/>
    <w:rsid w:val="001D65C0"/>
    <w:rsid w:val="001D68CB"/>
    <w:rsid w:val="001D6964"/>
    <w:rsid w:val="001D6D72"/>
    <w:rsid w:val="001D6FE6"/>
    <w:rsid w:val="001D73DB"/>
    <w:rsid w:val="001D749B"/>
    <w:rsid w:val="001D7584"/>
    <w:rsid w:val="001D7679"/>
    <w:rsid w:val="001D7A54"/>
    <w:rsid w:val="001D7B79"/>
    <w:rsid w:val="001D7D75"/>
    <w:rsid w:val="001D7D7F"/>
    <w:rsid w:val="001D7E13"/>
    <w:rsid w:val="001E0850"/>
    <w:rsid w:val="001E09EA"/>
    <w:rsid w:val="001E0AB0"/>
    <w:rsid w:val="001E0CE2"/>
    <w:rsid w:val="001E1323"/>
    <w:rsid w:val="001E1781"/>
    <w:rsid w:val="001E191B"/>
    <w:rsid w:val="001E1A9E"/>
    <w:rsid w:val="001E1C8B"/>
    <w:rsid w:val="001E1E2F"/>
    <w:rsid w:val="001E265E"/>
    <w:rsid w:val="001E2915"/>
    <w:rsid w:val="001E2A4F"/>
    <w:rsid w:val="001E2BCD"/>
    <w:rsid w:val="001E333A"/>
    <w:rsid w:val="001E3344"/>
    <w:rsid w:val="001E3392"/>
    <w:rsid w:val="001E35EF"/>
    <w:rsid w:val="001E382D"/>
    <w:rsid w:val="001E3A18"/>
    <w:rsid w:val="001E3BD8"/>
    <w:rsid w:val="001E3C25"/>
    <w:rsid w:val="001E427D"/>
    <w:rsid w:val="001E42AA"/>
    <w:rsid w:val="001E4480"/>
    <w:rsid w:val="001E45F9"/>
    <w:rsid w:val="001E4902"/>
    <w:rsid w:val="001E580C"/>
    <w:rsid w:val="001E5E95"/>
    <w:rsid w:val="001E65BE"/>
    <w:rsid w:val="001E671A"/>
    <w:rsid w:val="001E6825"/>
    <w:rsid w:val="001E6C0A"/>
    <w:rsid w:val="001E6F11"/>
    <w:rsid w:val="001E6FAA"/>
    <w:rsid w:val="001E70B3"/>
    <w:rsid w:val="001E7879"/>
    <w:rsid w:val="001E7B90"/>
    <w:rsid w:val="001E7BFA"/>
    <w:rsid w:val="001F005F"/>
    <w:rsid w:val="001F032F"/>
    <w:rsid w:val="001F05D7"/>
    <w:rsid w:val="001F0651"/>
    <w:rsid w:val="001F0991"/>
    <w:rsid w:val="001F0AA1"/>
    <w:rsid w:val="001F0B19"/>
    <w:rsid w:val="001F0C94"/>
    <w:rsid w:val="001F13A7"/>
    <w:rsid w:val="001F14AE"/>
    <w:rsid w:val="001F14FC"/>
    <w:rsid w:val="001F1CAF"/>
    <w:rsid w:val="001F1F49"/>
    <w:rsid w:val="001F20E2"/>
    <w:rsid w:val="001F20F2"/>
    <w:rsid w:val="001F2115"/>
    <w:rsid w:val="001F239F"/>
    <w:rsid w:val="001F25AC"/>
    <w:rsid w:val="001F2676"/>
    <w:rsid w:val="001F2905"/>
    <w:rsid w:val="001F29D0"/>
    <w:rsid w:val="001F29E2"/>
    <w:rsid w:val="001F2E42"/>
    <w:rsid w:val="001F3168"/>
    <w:rsid w:val="001F347D"/>
    <w:rsid w:val="001F3781"/>
    <w:rsid w:val="001F39BF"/>
    <w:rsid w:val="001F3F28"/>
    <w:rsid w:val="001F3F68"/>
    <w:rsid w:val="001F44D1"/>
    <w:rsid w:val="001F4B81"/>
    <w:rsid w:val="001F51F1"/>
    <w:rsid w:val="001F51F3"/>
    <w:rsid w:val="001F5401"/>
    <w:rsid w:val="001F547C"/>
    <w:rsid w:val="001F58FC"/>
    <w:rsid w:val="001F59C8"/>
    <w:rsid w:val="001F5C74"/>
    <w:rsid w:val="001F5E5B"/>
    <w:rsid w:val="001F609F"/>
    <w:rsid w:val="001F6205"/>
    <w:rsid w:val="001F6499"/>
    <w:rsid w:val="001F6617"/>
    <w:rsid w:val="001F6883"/>
    <w:rsid w:val="001F692D"/>
    <w:rsid w:val="001F6A43"/>
    <w:rsid w:val="001F7020"/>
    <w:rsid w:val="001F7253"/>
    <w:rsid w:val="001F72D9"/>
    <w:rsid w:val="001F73BF"/>
    <w:rsid w:val="001F73F9"/>
    <w:rsid w:val="001F76D0"/>
    <w:rsid w:val="001F7A47"/>
    <w:rsid w:val="001F7D00"/>
    <w:rsid w:val="001F7FF2"/>
    <w:rsid w:val="0020006D"/>
    <w:rsid w:val="00200215"/>
    <w:rsid w:val="00200308"/>
    <w:rsid w:val="0020047E"/>
    <w:rsid w:val="0020067B"/>
    <w:rsid w:val="002007D8"/>
    <w:rsid w:val="002009B2"/>
    <w:rsid w:val="00201038"/>
    <w:rsid w:val="00201696"/>
    <w:rsid w:val="002017ED"/>
    <w:rsid w:val="00201A2A"/>
    <w:rsid w:val="0020241C"/>
    <w:rsid w:val="00202654"/>
    <w:rsid w:val="00202B01"/>
    <w:rsid w:val="00202EB0"/>
    <w:rsid w:val="0020313D"/>
    <w:rsid w:val="00203195"/>
    <w:rsid w:val="00203664"/>
    <w:rsid w:val="0020476A"/>
    <w:rsid w:val="00204A72"/>
    <w:rsid w:val="00204B52"/>
    <w:rsid w:val="00204FF5"/>
    <w:rsid w:val="002050D3"/>
    <w:rsid w:val="002054F3"/>
    <w:rsid w:val="00205527"/>
    <w:rsid w:val="00205943"/>
    <w:rsid w:val="00205BA2"/>
    <w:rsid w:val="00205BFA"/>
    <w:rsid w:val="00205C08"/>
    <w:rsid w:val="00205EA0"/>
    <w:rsid w:val="00205ECA"/>
    <w:rsid w:val="00206041"/>
    <w:rsid w:val="002062CF"/>
    <w:rsid w:val="002062DA"/>
    <w:rsid w:val="00206340"/>
    <w:rsid w:val="002064CE"/>
    <w:rsid w:val="00206C2A"/>
    <w:rsid w:val="00206D29"/>
    <w:rsid w:val="00206DF1"/>
    <w:rsid w:val="00206FB1"/>
    <w:rsid w:val="00207080"/>
    <w:rsid w:val="002072EB"/>
    <w:rsid w:val="0020737B"/>
    <w:rsid w:val="00207469"/>
    <w:rsid w:val="002074B1"/>
    <w:rsid w:val="00207984"/>
    <w:rsid w:val="002079DB"/>
    <w:rsid w:val="00207A02"/>
    <w:rsid w:val="00207D29"/>
    <w:rsid w:val="00207D7B"/>
    <w:rsid w:val="00210397"/>
    <w:rsid w:val="00210421"/>
    <w:rsid w:val="00210532"/>
    <w:rsid w:val="00210E88"/>
    <w:rsid w:val="002117D8"/>
    <w:rsid w:val="00211BD1"/>
    <w:rsid w:val="00211DB9"/>
    <w:rsid w:val="00211F0C"/>
    <w:rsid w:val="00212409"/>
    <w:rsid w:val="00212986"/>
    <w:rsid w:val="00212AB2"/>
    <w:rsid w:val="00212E4A"/>
    <w:rsid w:val="002132F0"/>
    <w:rsid w:val="002135AC"/>
    <w:rsid w:val="00213638"/>
    <w:rsid w:val="00213725"/>
    <w:rsid w:val="00213850"/>
    <w:rsid w:val="00213888"/>
    <w:rsid w:val="00213D57"/>
    <w:rsid w:val="00213DA6"/>
    <w:rsid w:val="00213DBA"/>
    <w:rsid w:val="0021409A"/>
    <w:rsid w:val="002143F4"/>
    <w:rsid w:val="0021477D"/>
    <w:rsid w:val="00214DBF"/>
    <w:rsid w:val="00215838"/>
    <w:rsid w:val="002159DA"/>
    <w:rsid w:val="00215A03"/>
    <w:rsid w:val="00215C1B"/>
    <w:rsid w:val="00216457"/>
    <w:rsid w:val="002165F4"/>
    <w:rsid w:val="002166C4"/>
    <w:rsid w:val="00216936"/>
    <w:rsid w:val="00216938"/>
    <w:rsid w:val="00216C18"/>
    <w:rsid w:val="00217156"/>
    <w:rsid w:val="00217331"/>
    <w:rsid w:val="00217497"/>
    <w:rsid w:val="002177DC"/>
    <w:rsid w:val="00217866"/>
    <w:rsid w:val="00217AB2"/>
    <w:rsid w:val="00217CC8"/>
    <w:rsid w:val="00217EDD"/>
    <w:rsid w:val="00220029"/>
    <w:rsid w:val="00220219"/>
    <w:rsid w:val="0022022D"/>
    <w:rsid w:val="00220292"/>
    <w:rsid w:val="002207D1"/>
    <w:rsid w:val="00220FA6"/>
    <w:rsid w:val="00221368"/>
    <w:rsid w:val="00221388"/>
    <w:rsid w:val="002215D7"/>
    <w:rsid w:val="002215F2"/>
    <w:rsid w:val="00221895"/>
    <w:rsid w:val="00221BFE"/>
    <w:rsid w:val="00221CB4"/>
    <w:rsid w:val="00221CCE"/>
    <w:rsid w:val="002220D0"/>
    <w:rsid w:val="0022214E"/>
    <w:rsid w:val="0022253F"/>
    <w:rsid w:val="00222AFB"/>
    <w:rsid w:val="00222D4B"/>
    <w:rsid w:val="00222E43"/>
    <w:rsid w:val="00222FE4"/>
    <w:rsid w:val="002233D1"/>
    <w:rsid w:val="00223564"/>
    <w:rsid w:val="002236D0"/>
    <w:rsid w:val="00223946"/>
    <w:rsid w:val="00223965"/>
    <w:rsid w:val="00223A3E"/>
    <w:rsid w:val="00224197"/>
    <w:rsid w:val="002241DB"/>
    <w:rsid w:val="00224240"/>
    <w:rsid w:val="00224313"/>
    <w:rsid w:val="002243BA"/>
    <w:rsid w:val="00224498"/>
    <w:rsid w:val="00224767"/>
    <w:rsid w:val="0022482A"/>
    <w:rsid w:val="00224C3F"/>
    <w:rsid w:val="00224D0B"/>
    <w:rsid w:val="00224FA1"/>
    <w:rsid w:val="00225271"/>
    <w:rsid w:val="0022533E"/>
    <w:rsid w:val="00225691"/>
    <w:rsid w:val="002257B5"/>
    <w:rsid w:val="00225D68"/>
    <w:rsid w:val="00226102"/>
    <w:rsid w:val="002263D8"/>
    <w:rsid w:val="00226700"/>
    <w:rsid w:val="002268F3"/>
    <w:rsid w:val="00226A12"/>
    <w:rsid w:val="00226A9D"/>
    <w:rsid w:val="00226AAB"/>
    <w:rsid w:val="00226C3F"/>
    <w:rsid w:val="00226C6A"/>
    <w:rsid w:val="00226F44"/>
    <w:rsid w:val="002275DB"/>
    <w:rsid w:val="00227642"/>
    <w:rsid w:val="00227861"/>
    <w:rsid w:val="00227BC0"/>
    <w:rsid w:val="00227D75"/>
    <w:rsid w:val="0023075E"/>
    <w:rsid w:val="00230936"/>
    <w:rsid w:val="002309FE"/>
    <w:rsid w:val="00230DB9"/>
    <w:rsid w:val="00230E95"/>
    <w:rsid w:val="00231000"/>
    <w:rsid w:val="002311EF"/>
    <w:rsid w:val="0023176E"/>
    <w:rsid w:val="0023199F"/>
    <w:rsid w:val="002320E5"/>
    <w:rsid w:val="00232242"/>
    <w:rsid w:val="002325C2"/>
    <w:rsid w:val="00232614"/>
    <w:rsid w:val="002327C9"/>
    <w:rsid w:val="00232B18"/>
    <w:rsid w:val="00232C00"/>
    <w:rsid w:val="00232F71"/>
    <w:rsid w:val="00232FB9"/>
    <w:rsid w:val="00233162"/>
    <w:rsid w:val="002331C7"/>
    <w:rsid w:val="00233581"/>
    <w:rsid w:val="002335F6"/>
    <w:rsid w:val="00233678"/>
    <w:rsid w:val="002339B5"/>
    <w:rsid w:val="00233EA7"/>
    <w:rsid w:val="00233FBB"/>
    <w:rsid w:val="00234421"/>
    <w:rsid w:val="00234912"/>
    <w:rsid w:val="00234A4F"/>
    <w:rsid w:val="00234AE6"/>
    <w:rsid w:val="00234DAA"/>
    <w:rsid w:val="00234EB1"/>
    <w:rsid w:val="00234F05"/>
    <w:rsid w:val="00235249"/>
    <w:rsid w:val="0023531A"/>
    <w:rsid w:val="0023533F"/>
    <w:rsid w:val="002356C7"/>
    <w:rsid w:val="002357B3"/>
    <w:rsid w:val="0023587F"/>
    <w:rsid w:val="00235992"/>
    <w:rsid w:val="00236007"/>
    <w:rsid w:val="00236043"/>
    <w:rsid w:val="002360D3"/>
    <w:rsid w:val="002360DA"/>
    <w:rsid w:val="0023661A"/>
    <w:rsid w:val="002369D3"/>
    <w:rsid w:val="00236C96"/>
    <w:rsid w:val="00236CCF"/>
    <w:rsid w:val="00236EAD"/>
    <w:rsid w:val="0023739E"/>
    <w:rsid w:val="00237445"/>
    <w:rsid w:val="0023763B"/>
    <w:rsid w:val="002379B0"/>
    <w:rsid w:val="00237BBE"/>
    <w:rsid w:val="00237C90"/>
    <w:rsid w:val="00240061"/>
    <w:rsid w:val="00240429"/>
    <w:rsid w:val="002404B1"/>
    <w:rsid w:val="002404F4"/>
    <w:rsid w:val="00240518"/>
    <w:rsid w:val="00240733"/>
    <w:rsid w:val="00240C26"/>
    <w:rsid w:val="00240DC6"/>
    <w:rsid w:val="0024117F"/>
    <w:rsid w:val="002411A2"/>
    <w:rsid w:val="0024120A"/>
    <w:rsid w:val="00241502"/>
    <w:rsid w:val="002417C0"/>
    <w:rsid w:val="002418B4"/>
    <w:rsid w:val="00242044"/>
    <w:rsid w:val="0024213B"/>
    <w:rsid w:val="002426D9"/>
    <w:rsid w:val="0024280C"/>
    <w:rsid w:val="00242867"/>
    <w:rsid w:val="00242C89"/>
    <w:rsid w:val="00243165"/>
    <w:rsid w:val="00243216"/>
    <w:rsid w:val="002432F7"/>
    <w:rsid w:val="00243417"/>
    <w:rsid w:val="0024353A"/>
    <w:rsid w:val="00243DAD"/>
    <w:rsid w:val="00243F46"/>
    <w:rsid w:val="002441B6"/>
    <w:rsid w:val="002442C5"/>
    <w:rsid w:val="002445DE"/>
    <w:rsid w:val="00244713"/>
    <w:rsid w:val="002449B8"/>
    <w:rsid w:val="00244BA2"/>
    <w:rsid w:val="00244C7F"/>
    <w:rsid w:val="00244F48"/>
    <w:rsid w:val="0024504C"/>
    <w:rsid w:val="0024547B"/>
    <w:rsid w:val="00245587"/>
    <w:rsid w:val="00245637"/>
    <w:rsid w:val="00245AC2"/>
    <w:rsid w:val="00245B03"/>
    <w:rsid w:val="0024612E"/>
    <w:rsid w:val="00246225"/>
    <w:rsid w:val="00246283"/>
    <w:rsid w:val="00246345"/>
    <w:rsid w:val="0024635D"/>
    <w:rsid w:val="0024639A"/>
    <w:rsid w:val="0024651B"/>
    <w:rsid w:val="00246DD9"/>
    <w:rsid w:val="00247284"/>
    <w:rsid w:val="00247953"/>
    <w:rsid w:val="002502ED"/>
    <w:rsid w:val="00250920"/>
    <w:rsid w:val="00250A20"/>
    <w:rsid w:val="00250C17"/>
    <w:rsid w:val="00250DC6"/>
    <w:rsid w:val="00250E7C"/>
    <w:rsid w:val="00250F61"/>
    <w:rsid w:val="0025177D"/>
    <w:rsid w:val="00251828"/>
    <w:rsid w:val="00251918"/>
    <w:rsid w:val="00251982"/>
    <w:rsid w:val="00251BB8"/>
    <w:rsid w:val="00251E36"/>
    <w:rsid w:val="0025205C"/>
    <w:rsid w:val="00252078"/>
    <w:rsid w:val="0025230C"/>
    <w:rsid w:val="0025237B"/>
    <w:rsid w:val="0025259B"/>
    <w:rsid w:val="002527EA"/>
    <w:rsid w:val="002528A9"/>
    <w:rsid w:val="00252AC3"/>
    <w:rsid w:val="00252B7B"/>
    <w:rsid w:val="002531A6"/>
    <w:rsid w:val="00253293"/>
    <w:rsid w:val="00253344"/>
    <w:rsid w:val="002533A4"/>
    <w:rsid w:val="0025358E"/>
    <w:rsid w:val="00253B42"/>
    <w:rsid w:val="00253F65"/>
    <w:rsid w:val="002543F2"/>
    <w:rsid w:val="00254494"/>
    <w:rsid w:val="002545BA"/>
    <w:rsid w:val="002545CC"/>
    <w:rsid w:val="002545FA"/>
    <w:rsid w:val="00254ABD"/>
    <w:rsid w:val="00254FE2"/>
    <w:rsid w:val="002553F5"/>
    <w:rsid w:val="00255414"/>
    <w:rsid w:val="002554BD"/>
    <w:rsid w:val="00255585"/>
    <w:rsid w:val="00255837"/>
    <w:rsid w:val="00255A25"/>
    <w:rsid w:val="00255B8D"/>
    <w:rsid w:val="00255E9D"/>
    <w:rsid w:val="00255F0C"/>
    <w:rsid w:val="002568C1"/>
    <w:rsid w:val="00256A9E"/>
    <w:rsid w:val="00256E30"/>
    <w:rsid w:val="002572C9"/>
    <w:rsid w:val="00257318"/>
    <w:rsid w:val="002573EF"/>
    <w:rsid w:val="00257419"/>
    <w:rsid w:val="00257D2A"/>
    <w:rsid w:val="00257D3A"/>
    <w:rsid w:val="00257EE1"/>
    <w:rsid w:val="002601AC"/>
    <w:rsid w:val="00260597"/>
    <w:rsid w:val="00260630"/>
    <w:rsid w:val="00260748"/>
    <w:rsid w:val="00260862"/>
    <w:rsid w:val="00260A70"/>
    <w:rsid w:val="00261197"/>
    <w:rsid w:val="00261198"/>
    <w:rsid w:val="00261370"/>
    <w:rsid w:val="00261658"/>
    <w:rsid w:val="002616E4"/>
    <w:rsid w:val="00261B5D"/>
    <w:rsid w:val="00261C20"/>
    <w:rsid w:val="00261D35"/>
    <w:rsid w:val="00261F69"/>
    <w:rsid w:val="00262666"/>
    <w:rsid w:val="002628CA"/>
    <w:rsid w:val="00262BCC"/>
    <w:rsid w:val="00262D17"/>
    <w:rsid w:val="00262F5D"/>
    <w:rsid w:val="0026312D"/>
    <w:rsid w:val="002631BC"/>
    <w:rsid w:val="0026359F"/>
    <w:rsid w:val="002636F7"/>
    <w:rsid w:val="00263A9E"/>
    <w:rsid w:val="00263AAC"/>
    <w:rsid w:val="00263AAE"/>
    <w:rsid w:val="00263AFF"/>
    <w:rsid w:val="00263B0C"/>
    <w:rsid w:val="00263BB6"/>
    <w:rsid w:val="00263EB3"/>
    <w:rsid w:val="00263FE7"/>
    <w:rsid w:val="00264081"/>
    <w:rsid w:val="00264421"/>
    <w:rsid w:val="0026449A"/>
    <w:rsid w:val="00264621"/>
    <w:rsid w:val="002647E0"/>
    <w:rsid w:val="0026486E"/>
    <w:rsid w:val="00264A1F"/>
    <w:rsid w:val="00264C19"/>
    <w:rsid w:val="00264F6B"/>
    <w:rsid w:val="002650E6"/>
    <w:rsid w:val="00265736"/>
    <w:rsid w:val="0026578F"/>
    <w:rsid w:val="00265EEF"/>
    <w:rsid w:val="0026668D"/>
    <w:rsid w:val="00266BED"/>
    <w:rsid w:val="00266C20"/>
    <w:rsid w:val="00266D0C"/>
    <w:rsid w:val="00266F18"/>
    <w:rsid w:val="00266FD0"/>
    <w:rsid w:val="002670EE"/>
    <w:rsid w:val="0026745A"/>
    <w:rsid w:val="00267650"/>
    <w:rsid w:val="00267668"/>
    <w:rsid w:val="00267892"/>
    <w:rsid w:val="00267A2B"/>
    <w:rsid w:val="00267D1C"/>
    <w:rsid w:val="00267EBE"/>
    <w:rsid w:val="00267F71"/>
    <w:rsid w:val="002704A8"/>
    <w:rsid w:val="00270991"/>
    <w:rsid w:val="00270C4D"/>
    <w:rsid w:val="00270E52"/>
    <w:rsid w:val="00270F25"/>
    <w:rsid w:val="002717E3"/>
    <w:rsid w:val="0027181D"/>
    <w:rsid w:val="00272109"/>
    <w:rsid w:val="0027249B"/>
    <w:rsid w:val="00272A59"/>
    <w:rsid w:val="00272A81"/>
    <w:rsid w:val="00272D75"/>
    <w:rsid w:val="00272E47"/>
    <w:rsid w:val="00273040"/>
    <w:rsid w:val="00273047"/>
    <w:rsid w:val="002731B9"/>
    <w:rsid w:val="00273881"/>
    <w:rsid w:val="00273B53"/>
    <w:rsid w:val="00273D51"/>
    <w:rsid w:val="00273DF8"/>
    <w:rsid w:val="00274019"/>
    <w:rsid w:val="00274515"/>
    <w:rsid w:val="002752EC"/>
    <w:rsid w:val="00275588"/>
    <w:rsid w:val="002755EB"/>
    <w:rsid w:val="002757B4"/>
    <w:rsid w:val="002757F2"/>
    <w:rsid w:val="00275B21"/>
    <w:rsid w:val="00275B32"/>
    <w:rsid w:val="00275B63"/>
    <w:rsid w:val="00275BC5"/>
    <w:rsid w:val="00275C24"/>
    <w:rsid w:val="00275CAE"/>
    <w:rsid w:val="00275F66"/>
    <w:rsid w:val="00275F9D"/>
    <w:rsid w:val="00276046"/>
    <w:rsid w:val="0027613E"/>
    <w:rsid w:val="0027624D"/>
    <w:rsid w:val="00276422"/>
    <w:rsid w:val="00276517"/>
    <w:rsid w:val="00276800"/>
    <w:rsid w:val="002768DA"/>
    <w:rsid w:val="00276BF9"/>
    <w:rsid w:val="00276C14"/>
    <w:rsid w:val="00276C9B"/>
    <w:rsid w:val="00276DDA"/>
    <w:rsid w:val="002771D7"/>
    <w:rsid w:val="00277375"/>
    <w:rsid w:val="00277B7F"/>
    <w:rsid w:val="00277BA7"/>
    <w:rsid w:val="002800EA"/>
    <w:rsid w:val="0028020F"/>
    <w:rsid w:val="002802BD"/>
    <w:rsid w:val="00280478"/>
    <w:rsid w:val="002809E3"/>
    <w:rsid w:val="00280B2E"/>
    <w:rsid w:val="00280B6A"/>
    <w:rsid w:val="00280DC9"/>
    <w:rsid w:val="00280E8F"/>
    <w:rsid w:val="00281031"/>
    <w:rsid w:val="00281099"/>
    <w:rsid w:val="002810F0"/>
    <w:rsid w:val="00281186"/>
    <w:rsid w:val="002811CE"/>
    <w:rsid w:val="00281397"/>
    <w:rsid w:val="002817AC"/>
    <w:rsid w:val="00281B1C"/>
    <w:rsid w:val="00281C22"/>
    <w:rsid w:val="00281C2D"/>
    <w:rsid w:val="00281E02"/>
    <w:rsid w:val="00281E63"/>
    <w:rsid w:val="0028216F"/>
    <w:rsid w:val="002823D4"/>
    <w:rsid w:val="00282640"/>
    <w:rsid w:val="00282A3F"/>
    <w:rsid w:val="00282E3E"/>
    <w:rsid w:val="00282E42"/>
    <w:rsid w:val="00282E8D"/>
    <w:rsid w:val="002835C0"/>
    <w:rsid w:val="002839AC"/>
    <w:rsid w:val="00283D28"/>
    <w:rsid w:val="002843D8"/>
    <w:rsid w:val="00284791"/>
    <w:rsid w:val="00284ABD"/>
    <w:rsid w:val="00284B2C"/>
    <w:rsid w:val="00284E94"/>
    <w:rsid w:val="00284FD1"/>
    <w:rsid w:val="002850F4"/>
    <w:rsid w:val="002854AF"/>
    <w:rsid w:val="00285515"/>
    <w:rsid w:val="00285D01"/>
    <w:rsid w:val="00285DB6"/>
    <w:rsid w:val="00285F9D"/>
    <w:rsid w:val="00286001"/>
    <w:rsid w:val="002861AD"/>
    <w:rsid w:val="002866C2"/>
    <w:rsid w:val="0028689D"/>
    <w:rsid w:val="00286BFF"/>
    <w:rsid w:val="00286C00"/>
    <w:rsid w:val="00286D9F"/>
    <w:rsid w:val="00286E2F"/>
    <w:rsid w:val="0028701A"/>
    <w:rsid w:val="00287307"/>
    <w:rsid w:val="0028760D"/>
    <w:rsid w:val="0028794F"/>
    <w:rsid w:val="00287AAB"/>
    <w:rsid w:val="00287BF4"/>
    <w:rsid w:val="0029013C"/>
    <w:rsid w:val="00290211"/>
    <w:rsid w:val="00290290"/>
    <w:rsid w:val="002902E6"/>
    <w:rsid w:val="00290857"/>
    <w:rsid w:val="002908A5"/>
    <w:rsid w:val="00290C7B"/>
    <w:rsid w:val="00290D1D"/>
    <w:rsid w:val="002911CF"/>
    <w:rsid w:val="002918C5"/>
    <w:rsid w:val="002918C6"/>
    <w:rsid w:val="00291C86"/>
    <w:rsid w:val="00291D5A"/>
    <w:rsid w:val="00291F43"/>
    <w:rsid w:val="00292198"/>
    <w:rsid w:val="0029264C"/>
    <w:rsid w:val="0029280A"/>
    <w:rsid w:val="00292819"/>
    <w:rsid w:val="00292B62"/>
    <w:rsid w:val="00292C4D"/>
    <w:rsid w:val="00292D74"/>
    <w:rsid w:val="0029316F"/>
    <w:rsid w:val="0029326A"/>
    <w:rsid w:val="0029388B"/>
    <w:rsid w:val="00293893"/>
    <w:rsid w:val="002939C6"/>
    <w:rsid w:val="002939FC"/>
    <w:rsid w:val="00293B2F"/>
    <w:rsid w:val="00293BF7"/>
    <w:rsid w:val="00294335"/>
    <w:rsid w:val="00294502"/>
    <w:rsid w:val="0029460A"/>
    <w:rsid w:val="00294727"/>
    <w:rsid w:val="00294891"/>
    <w:rsid w:val="00294A3C"/>
    <w:rsid w:val="00294A44"/>
    <w:rsid w:val="00294A45"/>
    <w:rsid w:val="00294B1D"/>
    <w:rsid w:val="00294C44"/>
    <w:rsid w:val="00294D87"/>
    <w:rsid w:val="00295395"/>
    <w:rsid w:val="00295468"/>
    <w:rsid w:val="00295704"/>
    <w:rsid w:val="00295798"/>
    <w:rsid w:val="002957FE"/>
    <w:rsid w:val="0029599C"/>
    <w:rsid w:val="00295BDD"/>
    <w:rsid w:val="00295D42"/>
    <w:rsid w:val="00295FB3"/>
    <w:rsid w:val="002960FF"/>
    <w:rsid w:val="0029642E"/>
    <w:rsid w:val="002964BD"/>
    <w:rsid w:val="002964C5"/>
    <w:rsid w:val="002968FB"/>
    <w:rsid w:val="00296B7F"/>
    <w:rsid w:val="00296DD9"/>
    <w:rsid w:val="00296DFE"/>
    <w:rsid w:val="00296EA6"/>
    <w:rsid w:val="002971C6"/>
    <w:rsid w:val="002971FB"/>
    <w:rsid w:val="00297345"/>
    <w:rsid w:val="0029777A"/>
    <w:rsid w:val="0029787D"/>
    <w:rsid w:val="00297B6C"/>
    <w:rsid w:val="00297BEE"/>
    <w:rsid w:val="00297DEC"/>
    <w:rsid w:val="00297E9F"/>
    <w:rsid w:val="002A0076"/>
    <w:rsid w:val="002A00E8"/>
    <w:rsid w:val="002A0103"/>
    <w:rsid w:val="002A019E"/>
    <w:rsid w:val="002A0762"/>
    <w:rsid w:val="002A0C4D"/>
    <w:rsid w:val="002A14BC"/>
    <w:rsid w:val="002A15DD"/>
    <w:rsid w:val="002A18BA"/>
    <w:rsid w:val="002A1A77"/>
    <w:rsid w:val="002A1E22"/>
    <w:rsid w:val="002A23BE"/>
    <w:rsid w:val="002A260E"/>
    <w:rsid w:val="002A274B"/>
    <w:rsid w:val="002A2834"/>
    <w:rsid w:val="002A2894"/>
    <w:rsid w:val="002A2B99"/>
    <w:rsid w:val="002A2EBE"/>
    <w:rsid w:val="002A2FCC"/>
    <w:rsid w:val="002A3180"/>
    <w:rsid w:val="002A3261"/>
    <w:rsid w:val="002A35A2"/>
    <w:rsid w:val="002A3632"/>
    <w:rsid w:val="002A398C"/>
    <w:rsid w:val="002A3FE0"/>
    <w:rsid w:val="002A4082"/>
    <w:rsid w:val="002A4301"/>
    <w:rsid w:val="002A4342"/>
    <w:rsid w:val="002A4536"/>
    <w:rsid w:val="002A4DCD"/>
    <w:rsid w:val="002A4E1B"/>
    <w:rsid w:val="002A500A"/>
    <w:rsid w:val="002A52C0"/>
    <w:rsid w:val="002A546E"/>
    <w:rsid w:val="002A6006"/>
    <w:rsid w:val="002A64F1"/>
    <w:rsid w:val="002A66E4"/>
    <w:rsid w:val="002A6BDC"/>
    <w:rsid w:val="002A6E8E"/>
    <w:rsid w:val="002A721D"/>
    <w:rsid w:val="002A79E5"/>
    <w:rsid w:val="002A7B18"/>
    <w:rsid w:val="002A7E0B"/>
    <w:rsid w:val="002A7EEB"/>
    <w:rsid w:val="002A7F79"/>
    <w:rsid w:val="002B0833"/>
    <w:rsid w:val="002B0C7B"/>
    <w:rsid w:val="002B0CC0"/>
    <w:rsid w:val="002B0CE9"/>
    <w:rsid w:val="002B0D1F"/>
    <w:rsid w:val="002B1195"/>
    <w:rsid w:val="002B16A8"/>
    <w:rsid w:val="002B17BA"/>
    <w:rsid w:val="002B1A4D"/>
    <w:rsid w:val="002B1D8A"/>
    <w:rsid w:val="002B25A6"/>
    <w:rsid w:val="002B268E"/>
    <w:rsid w:val="002B26AB"/>
    <w:rsid w:val="002B2D7C"/>
    <w:rsid w:val="002B2D84"/>
    <w:rsid w:val="002B2DEF"/>
    <w:rsid w:val="002B2E57"/>
    <w:rsid w:val="002B35A1"/>
    <w:rsid w:val="002B36AF"/>
    <w:rsid w:val="002B375C"/>
    <w:rsid w:val="002B380F"/>
    <w:rsid w:val="002B3898"/>
    <w:rsid w:val="002B399E"/>
    <w:rsid w:val="002B3B97"/>
    <w:rsid w:val="002B3BBF"/>
    <w:rsid w:val="002B3C8A"/>
    <w:rsid w:val="002B3D8C"/>
    <w:rsid w:val="002B3F1B"/>
    <w:rsid w:val="002B40F8"/>
    <w:rsid w:val="002B4173"/>
    <w:rsid w:val="002B4298"/>
    <w:rsid w:val="002B47DB"/>
    <w:rsid w:val="002B4CD5"/>
    <w:rsid w:val="002B4E00"/>
    <w:rsid w:val="002B51F5"/>
    <w:rsid w:val="002B5E46"/>
    <w:rsid w:val="002B6B88"/>
    <w:rsid w:val="002B6EF2"/>
    <w:rsid w:val="002B7092"/>
    <w:rsid w:val="002B71C6"/>
    <w:rsid w:val="002B730B"/>
    <w:rsid w:val="002B7528"/>
    <w:rsid w:val="002B7A18"/>
    <w:rsid w:val="002B7CFB"/>
    <w:rsid w:val="002C0103"/>
    <w:rsid w:val="002C0151"/>
    <w:rsid w:val="002C067A"/>
    <w:rsid w:val="002C0861"/>
    <w:rsid w:val="002C0BC5"/>
    <w:rsid w:val="002C102A"/>
    <w:rsid w:val="002C1063"/>
    <w:rsid w:val="002C1359"/>
    <w:rsid w:val="002C137A"/>
    <w:rsid w:val="002C13ED"/>
    <w:rsid w:val="002C14F6"/>
    <w:rsid w:val="002C17FA"/>
    <w:rsid w:val="002C1C6B"/>
    <w:rsid w:val="002C1CF8"/>
    <w:rsid w:val="002C1D3B"/>
    <w:rsid w:val="002C2066"/>
    <w:rsid w:val="002C20CD"/>
    <w:rsid w:val="002C2377"/>
    <w:rsid w:val="002C2530"/>
    <w:rsid w:val="002C27A5"/>
    <w:rsid w:val="002C2C43"/>
    <w:rsid w:val="002C305E"/>
    <w:rsid w:val="002C34AB"/>
    <w:rsid w:val="002C35C3"/>
    <w:rsid w:val="002C373E"/>
    <w:rsid w:val="002C37CE"/>
    <w:rsid w:val="002C387D"/>
    <w:rsid w:val="002C3E09"/>
    <w:rsid w:val="002C3F28"/>
    <w:rsid w:val="002C44BC"/>
    <w:rsid w:val="002C48B2"/>
    <w:rsid w:val="002C4BA6"/>
    <w:rsid w:val="002C4BD0"/>
    <w:rsid w:val="002C4CB9"/>
    <w:rsid w:val="002C5123"/>
    <w:rsid w:val="002C58F3"/>
    <w:rsid w:val="002C5D78"/>
    <w:rsid w:val="002C5F04"/>
    <w:rsid w:val="002C631F"/>
    <w:rsid w:val="002C64C5"/>
    <w:rsid w:val="002C6553"/>
    <w:rsid w:val="002C6747"/>
    <w:rsid w:val="002C6E61"/>
    <w:rsid w:val="002C6EFC"/>
    <w:rsid w:val="002C6F67"/>
    <w:rsid w:val="002C70B3"/>
    <w:rsid w:val="002C7C82"/>
    <w:rsid w:val="002C7D0F"/>
    <w:rsid w:val="002C7EFF"/>
    <w:rsid w:val="002D07F7"/>
    <w:rsid w:val="002D083F"/>
    <w:rsid w:val="002D09E0"/>
    <w:rsid w:val="002D0E24"/>
    <w:rsid w:val="002D12BA"/>
    <w:rsid w:val="002D187E"/>
    <w:rsid w:val="002D18EF"/>
    <w:rsid w:val="002D1A0E"/>
    <w:rsid w:val="002D1C31"/>
    <w:rsid w:val="002D1CD1"/>
    <w:rsid w:val="002D1D31"/>
    <w:rsid w:val="002D1EB6"/>
    <w:rsid w:val="002D255C"/>
    <w:rsid w:val="002D2C43"/>
    <w:rsid w:val="002D2C44"/>
    <w:rsid w:val="002D2F3A"/>
    <w:rsid w:val="002D2FC3"/>
    <w:rsid w:val="002D3EF5"/>
    <w:rsid w:val="002D3EFF"/>
    <w:rsid w:val="002D42A6"/>
    <w:rsid w:val="002D47A3"/>
    <w:rsid w:val="002D48E4"/>
    <w:rsid w:val="002D4F37"/>
    <w:rsid w:val="002D508F"/>
    <w:rsid w:val="002D50D8"/>
    <w:rsid w:val="002D517F"/>
    <w:rsid w:val="002D52F4"/>
    <w:rsid w:val="002D537E"/>
    <w:rsid w:val="002D5544"/>
    <w:rsid w:val="002D57A3"/>
    <w:rsid w:val="002D5896"/>
    <w:rsid w:val="002D5C96"/>
    <w:rsid w:val="002D6495"/>
    <w:rsid w:val="002D6698"/>
    <w:rsid w:val="002D6903"/>
    <w:rsid w:val="002D691A"/>
    <w:rsid w:val="002D6B3A"/>
    <w:rsid w:val="002D72EA"/>
    <w:rsid w:val="002D74EA"/>
    <w:rsid w:val="002D7582"/>
    <w:rsid w:val="002D77FE"/>
    <w:rsid w:val="002D7D83"/>
    <w:rsid w:val="002D7DD5"/>
    <w:rsid w:val="002D7F04"/>
    <w:rsid w:val="002E039D"/>
    <w:rsid w:val="002E05D3"/>
    <w:rsid w:val="002E0945"/>
    <w:rsid w:val="002E0DF4"/>
    <w:rsid w:val="002E0E1E"/>
    <w:rsid w:val="002E1339"/>
    <w:rsid w:val="002E1354"/>
    <w:rsid w:val="002E14E0"/>
    <w:rsid w:val="002E1BE6"/>
    <w:rsid w:val="002E1DE5"/>
    <w:rsid w:val="002E1E85"/>
    <w:rsid w:val="002E2469"/>
    <w:rsid w:val="002E24C4"/>
    <w:rsid w:val="002E286B"/>
    <w:rsid w:val="002E2A07"/>
    <w:rsid w:val="002E2F9F"/>
    <w:rsid w:val="002E318B"/>
    <w:rsid w:val="002E33B3"/>
    <w:rsid w:val="002E3464"/>
    <w:rsid w:val="002E359C"/>
    <w:rsid w:val="002E35C0"/>
    <w:rsid w:val="002E3E39"/>
    <w:rsid w:val="002E426A"/>
    <w:rsid w:val="002E4684"/>
    <w:rsid w:val="002E4841"/>
    <w:rsid w:val="002E4936"/>
    <w:rsid w:val="002E4984"/>
    <w:rsid w:val="002E49E8"/>
    <w:rsid w:val="002E4AF6"/>
    <w:rsid w:val="002E4DD5"/>
    <w:rsid w:val="002E4FD5"/>
    <w:rsid w:val="002E52C3"/>
    <w:rsid w:val="002E53F0"/>
    <w:rsid w:val="002E5410"/>
    <w:rsid w:val="002E593A"/>
    <w:rsid w:val="002E5B29"/>
    <w:rsid w:val="002E5C5A"/>
    <w:rsid w:val="002E5E47"/>
    <w:rsid w:val="002E5EC0"/>
    <w:rsid w:val="002E5FD6"/>
    <w:rsid w:val="002E60C5"/>
    <w:rsid w:val="002E6109"/>
    <w:rsid w:val="002E64B9"/>
    <w:rsid w:val="002E65D0"/>
    <w:rsid w:val="002E67C3"/>
    <w:rsid w:val="002E68D7"/>
    <w:rsid w:val="002E68E2"/>
    <w:rsid w:val="002E69EA"/>
    <w:rsid w:val="002E6E34"/>
    <w:rsid w:val="002E6EC2"/>
    <w:rsid w:val="002E6F36"/>
    <w:rsid w:val="002E7266"/>
    <w:rsid w:val="002E75CE"/>
    <w:rsid w:val="002E7774"/>
    <w:rsid w:val="002E7F27"/>
    <w:rsid w:val="002F029F"/>
    <w:rsid w:val="002F0529"/>
    <w:rsid w:val="002F0B11"/>
    <w:rsid w:val="002F102D"/>
    <w:rsid w:val="002F114D"/>
    <w:rsid w:val="002F1662"/>
    <w:rsid w:val="002F196A"/>
    <w:rsid w:val="002F1AE9"/>
    <w:rsid w:val="002F1C88"/>
    <w:rsid w:val="002F25D6"/>
    <w:rsid w:val="002F26FF"/>
    <w:rsid w:val="002F2EE6"/>
    <w:rsid w:val="002F30E7"/>
    <w:rsid w:val="002F3128"/>
    <w:rsid w:val="002F31C6"/>
    <w:rsid w:val="002F32CC"/>
    <w:rsid w:val="002F358B"/>
    <w:rsid w:val="002F35E8"/>
    <w:rsid w:val="002F3617"/>
    <w:rsid w:val="002F3636"/>
    <w:rsid w:val="002F36ED"/>
    <w:rsid w:val="002F37F8"/>
    <w:rsid w:val="002F3969"/>
    <w:rsid w:val="002F3D6F"/>
    <w:rsid w:val="002F3ECD"/>
    <w:rsid w:val="002F47B2"/>
    <w:rsid w:val="002F4964"/>
    <w:rsid w:val="002F4C23"/>
    <w:rsid w:val="002F4D0B"/>
    <w:rsid w:val="002F4E08"/>
    <w:rsid w:val="002F4FCE"/>
    <w:rsid w:val="002F50BD"/>
    <w:rsid w:val="002F53D4"/>
    <w:rsid w:val="002F540A"/>
    <w:rsid w:val="002F5767"/>
    <w:rsid w:val="002F57D0"/>
    <w:rsid w:val="002F5C64"/>
    <w:rsid w:val="002F65C0"/>
    <w:rsid w:val="002F6733"/>
    <w:rsid w:val="002F6822"/>
    <w:rsid w:val="002F6827"/>
    <w:rsid w:val="002F69D2"/>
    <w:rsid w:val="002F6AC0"/>
    <w:rsid w:val="002F6B99"/>
    <w:rsid w:val="002F6C4A"/>
    <w:rsid w:val="002F6CFF"/>
    <w:rsid w:val="002F6DE1"/>
    <w:rsid w:val="002F72B7"/>
    <w:rsid w:val="002F735A"/>
    <w:rsid w:val="002F73E1"/>
    <w:rsid w:val="002F75DA"/>
    <w:rsid w:val="002F7745"/>
    <w:rsid w:val="002F77D1"/>
    <w:rsid w:val="002F7895"/>
    <w:rsid w:val="002F7A64"/>
    <w:rsid w:val="002F7C25"/>
    <w:rsid w:val="0030089A"/>
    <w:rsid w:val="00300925"/>
    <w:rsid w:val="00300E5F"/>
    <w:rsid w:val="00300F8F"/>
    <w:rsid w:val="003013C8"/>
    <w:rsid w:val="00301632"/>
    <w:rsid w:val="00301706"/>
    <w:rsid w:val="00301B7D"/>
    <w:rsid w:val="00301CF7"/>
    <w:rsid w:val="00301E56"/>
    <w:rsid w:val="00301FCD"/>
    <w:rsid w:val="00302068"/>
    <w:rsid w:val="003020D7"/>
    <w:rsid w:val="00302257"/>
    <w:rsid w:val="00302273"/>
    <w:rsid w:val="003022B8"/>
    <w:rsid w:val="003023B3"/>
    <w:rsid w:val="003027B5"/>
    <w:rsid w:val="003028EF"/>
    <w:rsid w:val="0030350E"/>
    <w:rsid w:val="00303815"/>
    <w:rsid w:val="00303B6E"/>
    <w:rsid w:val="00303EDD"/>
    <w:rsid w:val="00303F0D"/>
    <w:rsid w:val="00303FFC"/>
    <w:rsid w:val="00304120"/>
    <w:rsid w:val="0030445E"/>
    <w:rsid w:val="003044B4"/>
    <w:rsid w:val="00304746"/>
    <w:rsid w:val="00304789"/>
    <w:rsid w:val="00304847"/>
    <w:rsid w:val="00304D9A"/>
    <w:rsid w:val="00304F29"/>
    <w:rsid w:val="00305002"/>
    <w:rsid w:val="003051A2"/>
    <w:rsid w:val="003051D8"/>
    <w:rsid w:val="00305350"/>
    <w:rsid w:val="00305724"/>
    <w:rsid w:val="00305857"/>
    <w:rsid w:val="003058F8"/>
    <w:rsid w:val="00305B4A"/>
    <w:rsid w:val="00305B59"/>
    <w:rsid w:val="00305BE7"/>
    <w:rsid w:val="00305C1F"/>
    <w:rsid w:val="00305DAF"/>
    <w:rsid w:val="00305E8D"/>
    <w:rsid w:val="00305F12"/>
    <w:rsid w:val="00306424"/>
    <w:rsid w:val="003066D6"/>
    <w:rsid w:val="00306BE0"/>
    <w:rsid w:val="00306C29"/>
    <w:rsid w:val="00306D67"/>
    <w:rsid w:val="00306DD2"/>
    <w:rsid w:val="0030714D"/>
    <w:rsid w:val="003072DC"/>
    <w:rsid w:val="00307502"/>
    <w:rsid w:val="0030766D"/>
    <w:rsid w:val="00307725"/>
    <w:rsid w:val="0030784E"/>
    <w:rsid w:val="003078EF"/>
    <w:rsid w:val="00310127"/>
    <w:rsid w:val="00310448"/>
    <w:rsid w:val="00310593"/>
    <w:rsid w:val="003106EC"/>
    <w:rsid w:val="00310A72"/>
    <w:rsid w:val="00310D20"/>
    <w:rsid w:val="00310F11"/>
    <w:rsid w:val="00310FFE"/>
    <w:rsid w:val="00311064"/>
    <w:rsid w:val="003115FE"/>
    <w:rsid w:val="003119A9"/>
    <w:rsid w:val="003119F4"/>
    <w:rsid w:val="00311A16"/>
    <w:rsid w:val="00311A79"/>
    <w:rsid w:val="00312017"/>
    <w:rsid w:val="0031249C"/>
    <w:rsid w:val="00312577"/>
    <w:rsid w:val="00312717"/>
    <w:rsid w:val="00312CB2"/>
    <w:rsid w:val="00312D7C"/>
    <w:rsid w:val="00312FA4"/>
    <w:rsid w:val="003134A3"/>
    <w:rsid w:val="0031367F"/>
    <w:rsid w:val="00313FDD"/>
    <w:rsid w:val="00313FF5"/>
    <w:rsid w:val="003142E4"/>
    <w:rsid w:val="003143C6"/>
    <w:rsid w:val="00314420"/>
    <w:rsid w:val="003147A2"/>
    <w:rsid w:val="00314DBC"/>
    <w:rsid w:val="0031540E"/>
    <w:rsid w:val="003156BD"/>
    <w:rsid w:val="0031585B"/>
    <w:rsid w:val="00315BA4"/>
    <w:rsid w:val="00315C0E"/>
    <w:rsid w:val="00315E72"/>
    <w:rsid w:val="003165DD"/>
    <w:rsid w:val="0031746F"/>
    <w:rsid w:val="00317678"/>
    <w:rsid w:val="003177B0"/>
    <w:rsid w:val="00317899"/>
    <w:rsid w:val="00317ABB"/>
    <w:rsid w:val="00317BFF"/>
    <w:rsid w:val="00317CB3"/>
    <w:rsid w:val="00317F1A"/>
    <w:rsid w:val="003200E1"/>
    <w:rsid w:val="003200EB"/>
    <w:rsid w:val="003207D9"/>
    <w:rsid w:val="0032094F"/>
    <w:rsid w:val="00321614"/>
    <w:rsid w:val="003216B9"/>
    <w:rsid w:val="00321744"/>
    <w:rsid w:val="00321773"/>
    <w:rsid w:val="00321B5E"/>
    <w:rsid w:val="00321D3C"/>
    <w:rsid w:val="00321DA9"/>
    <w:rsid w:val="0032234D"/>
    <w:rsid w:val="00322369"/>
    <w:rsid w:val="0032250D"/>
    <w:rsid w:val="0032284A"/>
    <w:rsid w:val="00322A19"/>
    <w:rsid w:val="00322B5B"/>
    <w:rsid w:val="003230AB"/>
    <w:rsid w:val="00323132"/>
    <w:rsid w:val="0032363E"/>
    <w:rsid w:val="0032374D"/>
    <w:rsid w:val="00323C5D"/>
    <w:rsid w:val="00323E79"/>
    <w:rsid w:val="003240A5"/>
    <w:rsid w:val="003240B5"/>
    <w:rsid w:val="00324307"/>
    <w:rsid w:val="0032443B"/>
    <w:rsid w:val="00324A0B"/>
    <w:rsid w:val="00324AD7"/>
    <w:rsid w:val="00324B9C"/>
    <w:rsid w:val="00324C48"/>
    <w:rsid w:val="00324CD0"/>
    <w:rsid w:val="00325267"/>
    <w:rsid w:val="003255E8"/>
    <w:rsid w:val="00325620"/>
    <w:rsid w:val="00325740"/>
    <w:rsid w:val="0032577F"/>
    <w:rsid w:val="00325C07"/>
    <w:rsid w:val="00325CF2"/>
    <w:rsid w:val="00325FEA"/>
    <w:rsid w:val="0032633F"/>
    <w:rsid w:val="003265C2"/>
    <w:rsid w:val="00326987"/>
    <w:rsid w:val="00326A61"/>
    <w:rsid w:val="00326E7F"/>
    <w:rsid w:val="00326FF5"/>
    <w:rsid w:val="003270F9"/>
    <w:rsid w:val="00327D1A"/>
    <w:rsid w:val="00327D29"/>
    <w:rsid w:val="00327F98"/>
    <w:rsid w:val="003301B3"/>
    <w:rsid w:val="00330B54"/>
    <w:rsid w:val="00330D50"/>
    <w:rsid w:val="00330EBA"/>
    <w:rsid w:val="00330F4E"/>
    <w:rsid w:val="00331057"/>
    <w:rsid w:val="0033108C"/>
    <w:rsid w:val="00331097"/>
    <w:rsid w:val="0033141A"/>
    <w:rsid w:val="00331CD6"/>
    <w:rsid w:val="00332405"/>
    <w:rsid w:val="0033241F"/>
    <w:rsid w:val="003325BA"/>
    <w:rsid w:val="003327C5"/>
    <w:rsid w:val="003328B3"/>
    <w:rsid w:val="00332A76"/>
    <w:rsid w:val="00332ABC"/>
    <w:rsid w:val="003331DD"/>
    <w:rsid w:val="0033345B"/>
    <w:rsid w:val="003337B6"/>
    <w:rsid w:val="00333B5E"/>
    <w:rsid w:val="00333E2C"/>
    <w:rsid w:val="00334655"/>
    <w:rsid w:val="00334764"/>
    <w:rsid w:val="00334ED6"/>
    <w:rsid w:val="00334EF4"/>
    <w:rsid w:val="00335252"/>
    <w:rsid w:val="003353E0"/>
    <w:rsid w:val="0033563F"/>
    <w:rsid w:val="003356C8"/>
    <w:rsid w:val="00335805"/>
    <w:rsid w:val="00336177"/>
    <w:rsid w:val="003364B9"/>
    <w:rsid w:val="00336CC4"/>
    <w:rsid w:val="00336FB9"/>
    <w:rsid w:val="0033712F"/>
    <w:rsid w:val="003371E3"/>
    <w:rsid w:val="003372B7"/>
    <w:rsid w:val="00337E94"/>
    <w:rsid w:val="00337EC3"/>
    <w:rsid w:val="00337EF3"/>
    <w:rsid w:val="00340248"/>
    <w:rsid w:val="003402F9"/>
    <w:rsid w:val="0034080E"/>
    <w:rsid w:val="003408DD"/>
    <w:rsid w:val="0034099E"/>
    <w:rsid w:val="003409EA"/>
    <w:rsid w:val="00340A0C"/>
    <w:rsid w:val="00340BA5"/>
    <w:rsid w:val="00340E2E"/>
    <w:rsid w:val="00340F36"/>
    <w:rsid w:val="00341002"/>
    <w:rsid w:val="0034127A"/>
    <w:rsid w:val="00341381"/>
    <w:rsid w:val="00341835"/>
    <w:rsid w:val="00341C12"/>
    <w:rsid w:val="00342009"/>
    <w:rsid w:val="003421CC"/>
    <w:rsid w:val="00342277"/>
    <w:rsid w:val="003424CB"/>
    <w:rsid w:val="00342645"/>
    <w:rsid w:val="00342AAE"/>
    <w:rsid w:val="00343066"/>
    <w:rsid w:val="0034331C"/>
    <w:rsid w:val="00343510"/>
    <w:rsid w:val="00343CB2"/>
    <w:rsid w:val="00344474"/>
    <w:rsid w:val="003447AB"/>
    <w:rsid w:val="00344A78"/>
    <w:rsid w:val="00344AA4"/>
    <w:rsid w:val="00344CD3"/>
    <w:rsid w:val="00344DD0"/>
    <w:rsid w:val="00345186"/>
    <w:rsid w:val="00345201"/>
    <w:rsid w:val="00345651"/>
    <w:rsid w:val="00345712"/>
    <w:rsid w:val="0034598D"/>
    <w:rsid w:val="00345A38"/>
    <w:rsid w:val="00345D2E"/>
    <w:rsid w:val="0034616E"/>
    <w:rsid w:val="00346277"/>
    <w:rsid w:val="00346651"/>
    <w:rsid w:val="003468E6"/>
    <w:rsid w:val="003469A4"/>
    <w:rsid w:val="00346BA5"/>
    <w:rsid w:val="00346D2E"/>
    <w:rsid w:val="00346ECF"/>
    <w:rsid w:val="00346F8D"/>
    <w:rsid w:val="003470F0"/>
    <w:rsid w:val="00347BB7"/>
    <w:rsid w:val="00347C5A"/>
    <w:rsid w:val="00347F72"/>
    <w:rsid w:val="003505BF"/>
    <w:rsid w:val="003508AF"/>
    <w:rsid w:val="003509CF"/>
    <w:rsid w:val="00350CCB"/>
    <w:rsid w:val="00350CF6"/>
    <w:rsid w:val="003514E3"/>
    <w:rsid w:val="0035172C"/>
    <w:rsid w:val="00351A24"/>
    <w:rsid w:val="00351ABD"/>
    <w:rsid w:val="00352117"/>
    <w:rsid w:val="00352603"/>
    <w:rsid w:val="003527EA"/>
    <w:rsid w:val="00352847"/>
    <w:rsid w:val="003529CF"/>
    <w:rsid w:val="00352CC1"/>
    <w:rsid w:val="00352CF2"/>
    <w:rsid w:val="00352FEE"/>
    <w:rsid w:val="00353191"/>
    <w:rsid w:val="003533FC"/>
    <w:rsid w:val="00353525"/>
    <w:rsid w:val="00353588"/>
    <w:rsid w:val="0035358F"/>
    <w:rsid w:val="00353655"/>
    <w:rsid w:val="0035387F"/>
    <w:rsid w:val="003538C0"/>
    <w:rsid w:val="00353A45"/>
    <w:rsid w:val="00353EC4"/>
    <w:rsid w:val="00354055"/>
    <w:rsid w:val="003543A5"/>
    <w:rsid w:val="0035481E"/>
    <w:rsid w:val="0035485D"/>
    <w:rsid w:val="003548FA"/>
    <w:rsid w:val="0035492A"/>
    <w:rsid w:val="0035498A"/>
    <w:rsid w:val="00354ADD"/>
    <w:rsid w:val="00354B3D"/>
    <w:rsid w:val="00354C0F"/>
    <w:rsid w:val="00355072"/>
    <w:rsid w:val="003551AA"/>
    <w:rsid w:val="003554C2"/>
    <w:rsid w:val="003555F7"/>
    <w:rsid w:val="003559D3"/>
    <w:rsid w:val="00355A67"/>
    <w:rsid w:val="0035605D"/>
    <w:rsid w:val="003560E5"/>
    <w:rsid w:val="003566CD"/>
    <w:rsid w:val="0035672B"/>
    <w:rsid w:val="003567CA"/>
    <w:rsid w:val="00356EB1"/>
    <w:rsid w:val="00357085"/>
    <w:rsid w:val="003572F7"/>
    <w:rsid w:val="003576E1"/>
    <w:rsid w:val="00357749"/>
    <w:rsid w:val="00357880"/>
    <w:rsid w:val="00357ADD"/>
    <w:rsid w:val="00357B4D"/>
    <w:rsid w:val="00357C3F"/>
    <w:rsid w:val="003601C8"/>
    <w:rsid w:val="0036091C"/>
    <w:rsid w:val="00360E6F"/>
    <w:rsid w:val="00360F35"/>
    <w:rsid w:val="00361378"/>
    <w:rsid w:val="00361848"/>
    <w:rsid w:val="003619B2"/>
    <w:rsid w:val="00361B4B"/>
    <w:rsid w:val="00361CA2"/>
    <w:rsid w:val="00362145"/>
    <w:rsid w:val="003623BC"/>
    <w:rsid w:val="003624D1"/>
    <w:rsid w:val="00362693"/>
    <w:rsid w:val="003629AE"/>
    <w:rsid w:val="00362CA5"/>
    <w:rsid w:val="00362CAB"/>
    <w:rsid w:val="00362E00"/>
    <w:rsid w:val="00363045"/>
    <w:rsid w:val="00363181"/>
    <w:rsid w:val="003631FB"/>
    <w:rsid w:val="00363B40"/>
    <w:rsid w:val="00363DD8"/>
    <w:rsid w:val="00363E5E"/>
    <w:rsid w:val="00363EEF"/>
    <w:rsid w:val="00363F84"/>
    <w:rsid w:val="003640AB"/>
    <w:rsid w:val="0036482A"/>
    <w:rsid w:val="00364975"/>
    <w:rsid w:val="00364AAE"/>
    <w:rsid w:val="00364F82"/>
    <w:rsid w:val="003650F5"/>
    <w:rsid w:val="0036527D"/>
    <w:rsid w:val="003654EF"/>
    <w:rsid w:val="00365743"/>
    <w:rsid w:val="00365E43"/>
    <w:rsid w:val="00366114"/>
    <w:rsid w:val="00366E1C"/>
    <w:rsid w:val="003674E9"/>
    <w:rsid w:val="003674FE"/>
    <w:rsid w:val="003677A4"/>
    <w:rsid w:val="0036792F"/>
    <w:rsid w:val="00367957"/>
    <w:rsid w:val="003679C6"/>
    <w:rsid w:val="00367A53"/>
    <w:rsid w:val="00367D39"/>
    <w:rsid w:val="00367DDC"/>
    <w:rsid w:val="00367FCE"/>
    <w:rsid w:val="0037035C"/>
    <w:rsid w:val="003703C6"/>
    <w:rsid w:val="00370942"/>
    <w:rsid w:val="003709FE"/>
    <w:rsid w:val="00370C22"/>
    <w:rsid w:val="00371135"/>
    <w:rsid w:val="0037143A"/>
    <w:rsid w:val="00371517"/>
    <w:rsid w:val="003715D8"/>
    <w:rsid w:val="00371A1A"/>
    <w:rsid w:val="00371C95"/>
    <w:rsid w:val="0037206C"/>
    <w:rsid w:val="003722D0"/>
    <w:rsid w:val="003723F4"/>
    <w:rsid w:val="003728FA"/>
    <w:rsid w:val="00372FE0"/>
    <w:rsid w:val="003731BC"/>
    <w:rsid w:val="00373284"/>
    <w:rsid w:val="00373363"/>
    <w:rsid w:val="003737B8"/>
    <w:rsid w:val="003737E9"/>
    <w:rsid w:val="0037385B"/>
    <w:rsid w:val="00373E73"/>
    <w:rsid w:val="00373F00"/>
    <w:rsid w:val="003740E0"/>
    <w:rsid w:val="00374213"/>
    <w:rsid w:val="0037421F"/>
    <w:rsid w:val="003743BF"/>
    <w:rsid w:val="00374641"/>
    <w:rsid w:val="003746D8"/>
    <w:rsid w:val="003746E4"/>
    <w:rsid w:val="003747ED"/>
    <w:rsid w:val="003749C7"/>
    <w:rsid w:val="00374F1E"/>
    <w:rsid w:val="003750DA"/>
    <w:rsid w:val="00375120"/>
    <w:rsid w:val="003751FD"/>
    <w:rsid w:val="003753BF"/>
    <w:rsid w:val="0037552C"/>
    <w:rsid w:val="003755FA"/>
    <w:rsid w:val="0037599A"/>
    <w:rsid w:val="00375B1F"/>
    <w:rsid w:val="00375E54"/>
    <w:rsid w:val="00375F2B"/>
    <w:rsid w:val="00376041"/>
    <w:rsid w:val="003760AD"/>
    <w:rsid w:val="00376142"/>
    <w:rsid w:val="003761AF"/>
    <w:rsid w:val="003763D7"/>
    <w:rsid w:val="00376495"/>
    <w:rsid w:val="003765D9"/>
    <w:rsid w:val="003767F6"/>
    <w:rsid w:val="00376984"/>
    <w:rsid w:val="00376CAC"/>
    <w:rsid w:val="00376D39"/>
    <w:rsid w:val="0037734E"/>
    <w:rsid w:val="003774A4"/>
    <w:rsid w:val="00377761"/>
    <w:rsid w:val="00377D93"/>
    <w:rsid w:val="00380391"/>
    <w:rsid w:val="003805DB"/>
    <w:rsid w:val="003806B5"/>
    <w:rsid w:val="003806EE"/>
    <w:rsid w:val="00380829"/>
    <w:rsid w:val="00380D3A"/>
    <w:rsid w:val="0038122B"/>
    <w:rsid w:val="0038146F"/>
    <w:rsid w:val="0038157F"/>
    <w:rsid w:val="003815A4"/>
    <w:rsid w:val="003816E0"/>
    <w:rsid w:val="0038194B"/>
    <w:rsid w:val="00381C36"/>
    <w:rsid w:val="00381D28"/>
    <w:rsid w:val="00381E8D"/>
    <w:rsid w:val="00382382"/>
    <w:rsid w:val="003823BC"/>
    <w:rsid w:val="00382527"/>
    <w:rsid w:val="003828EF"/>
    <w:rsid w:val="00382CC9"/>
    <w:rsid w:val="00382DD6"/>
    <w:rsid w:val="00382E40"/>
    <w:rsid w:val="00382E72"/>
    <w:rsid w:val="00383317"/>
    <w:rsid w:val="0038332D"/>
    <w:rsid w:val="003834D3"/>
    <w:rsid w:val="00383993"/>
    <w:rsid w:val="00383AF7"/>
    <w:rsid w:val="00383B8D"/>
    <w:rsid w:val="00383FC5"/>
    <w:rsid w:val="003840D8"/>
    <w:rsid w:val="0038420E"/>
    <w:rsid w:val="0038422E"/>
    <w:rsid w:val="00384344"/>
    <w:rsid w:val="00384507"/>
    <w:rsid w:val="00384718"/>
    <w:rsid w:val="00384CF4"/>
    <w:rsid w:val="0038504B"/>
    <w:rsid w:val="0038524B"/>
    <w:rsid w:val="0038533E"/>
    <w:rsid w:val="003857C4"/>
    <w:rsid w:val="0038592B"/>
    <w:rsid w:val="00385ABA"/>
    <w:rsid w:val="00386195"/>
    <w:rsid w:val="00386223"/>
    <w:rsid w:val="00386517"/>
    <w:rsid w:val="0038658E"/>
    <w:rsid w:val="00386859"/>
    <w:rsid w:val="00386CBF"/>
    <w:rsid w:val="00386DDA"/>
    <w:rsid w:val="00387160"/>
    <w:rsid w:val="0038798A"/>
    <w:rsid w:val="00387AC6"/>
    <w:rsid w:val="00387DD9"/>
    <w:rsid w:val="00387F1F"/>
    <w:rsid w:val="00390064"/>
    <w:rsid w:val="00390092"/>
    <w:rsid w:val="0039013E"/>
    <w:rsid w:val="0039046A"/>
    <w:rsid w:val="0039075D"/>
    <w:rsid w:val="003908A3"/>
    <w:rsid w:val="00390B34"/>
    <w:rsid w:val="00390EA8"/>
    <w:rsid w:val="00390F0B"/>
    <w:rsid w:val="00391074"/>
    <w:rsid w:val="00391122"/>
    <w:rsid w:val="00391586"/>
    <w:rsid w:val="00391766"/>
    <w:rsid w:val="00391B6A"/>
    <w:rsid w:val="00391B99"/>
    <w:rsid w:val="00391E7B"/>
    <w:rsid w:val="00391F12"/>
    <w:rsid w:val="0039283A"/>
    <w:rsid w:val="00392E03"/>
    <w:rsid w:val="00392EFE"/>
    <w:rsid w:val="00393086"/>
    <w:rsid w:val="00393134"/>
    <w:rsid w:val="003931A0"/>
    <w:rsid w:val="003934B8"/>
    <w:rsid w:val="00393990"/>
    <w:rsid w:val="003939DA"/>
    <w:rsid w:val="00393B50"/>
    <w:rsid w:val="00393C3F"/>
    <w:rsid w:val="00393C7C"/>
    <w:rsid w:val="00393F72"/>
    <w:rsid w:val="00393FCA"/>
    <w:rsid w:val="0039438D"/>
    <w:rsid w:val="003944D7"/>
    <w:rsid w:val="003945A9"/>
    <w:rsid w:val="003946DA"/>
    <w:rsid w:val="0039482A"/>
    <w:rsid w:val="00394B51"/>
    <w:rsid w:val="0039555D"/>
    <w:rsid w:val="00395572"/>
    <w:rsid w:val="00395C75"/>
    <w:rsid w:val="00396564"/>
    <w:rsid w:val="00396573"/>
    <w:rsid w:val="00396621"/>
    <w:rsid w:val="0039688F"/>
    <w:rsid w:val="00396A6E"/>
    <w:rsid w:val="00396B42"/>
    <w:rsid w:val="00396D83"/>
    <w:rsid w:val="00396EA3"/>
    <w:rsid w:val="00396F89"/>
    <w:rsid w:val="00397C40"/>
    <w:rsid w:val="003A02A5"/>
    <w:rsid w:val="003A14D8"/>
    <w:rsid w:val="003A18B0"/>
    <w:rsid w:val="003A1935"/>
    <w:rsid w:val="003A2073"/>
    <w:rsid w:val="003A20C6"/>
    <w:rsid w:val="003A25F5"/>
    <w:rsid w:val="003A2806"/>
    <w:rsid w:val="003A283A"/>
    <w:rsid w:val="003A295D"/>
    <w:rsid w:val="003A2A9C"/>
    <w:rsid w:val="003A2B1B"/>
    <w:rsid w:val="003A2B21"/>
    <w:rsid w:val="003A2C0F"/>
    <w:rsid w:val="003A3B3A"/>
    <w:rsid w:val="003A3BE7"/>
    <w:rsid w:val="003A42B3"/>
    <w:rsid w:val="003A46BD"/>
    <w:rsid w:val="003A4B1B"/>
    <w:rsid w:val="003A4D22"/>
    <w:rsid w:val="003A51C1"/>
    <w:rsid w:val="003A51CF"/>
    <w:rsid w:val="003A532E"/>
    <w:rsid w:val="003A5558"/>
    <w:rsid w:val="003A5800"/>
    <w:rsid w:val="003A5854"/>
    <w:rsid w:val="003A5A71"/>
    <w:rsid w:val="003A5FE5"/>
    <w:rsid w:val="003A6318"/>
    <w:rsid w:val="003A6389"/>
    <w:rsid w:val="003A68F4"/>
    <w:rsid w:val="003A6C27"/>
    <w:rsid w:val="003A7223"/>
    <w:rsid w:val="003A7465"/>
    <w:rsid w:val="003A7547"/>
    <w:rsid w:val="003A7548"/>
    <w:rsid w:val="003A7675"/>
    <w:rsid w:val="003A777A"/>
    <w:rsid w:val="003A7E46"/>
    <w:rsid w:val="003B04F7"/>
    <w:rsid w:val="003B09E2"/>
    <w:rsid w:val="003B0FC5"/>
    <w:rsid w:val="003B113E"/>
    <w:rsid w:val="003B140D"/>
    <w:rsid w:val="003B1429"/>
    <w:rsid w:val="003B1665"/>
    <w:rsid w:val="003B16D8"/>
    <w:rsid w:val="003B1D08"/>
    <w:rsid w:val="003B1E47"/>
    <w:rsid w:val="003B1F00"/>
    <w:rsid w:val="003B1FC0"/>
    <w:rsid w:val="003B2006"/>
    <w:rsid w:val="003B21BA"/>
    <w:rsid w:val="003B21DE"/>
    <w:rsid w:val="003B2461"/>
    <w:rsid w:val="003B27A3"/>
    <w:rsid w:val="003B2818"/>
    <w:rsid w:val="003B29E7"/>
    <w:rsid w:val="003B2A2A"/>
    <w:rsid w:val="003B2C60"/>
    <w:rsid w:val="003B2E09"/>
    <w:rsid w:val="003B3028"/>
    <w:rsid w:val="003B3045"/>
    <w:rsid w:val="003B3BC2"/>
    <w:rsid w:val="003B3C13"/>
    <w:rsid w:val="003B3C1B"/>
    <w:rsid w:val="003B3E22"/>
    <w:rsid w:val="003B460A"/>
    <w:rsid w:val="003B47D7"/>
    <w:rsid w:val="003B4974"/>
    <w:rsid w:val="003B4D71"/>
    <w:rsid w:val="003B5057"/>
    <w:rsid w:val="003B50F8"/>
    <w:rsid w:val="003B51E7"/>
    <w:rsid w:val="003B55B3"/>
    <w:rsid w:val="003B57BB"/>
    <w:rsid w:val="003B5812"/>
    <w:rsid w:val="003B5842"/>
    <w:rsid w:val="003B5931"/>
    <w:rsid w:val="003B5942"/>
    <w:rsid w:val="003B594D"/>
    <w:rsid w:val="003B5C4E"/>
    <w:rsid w:val="003B5D19"/>
    <w:rsid w:val="003B606E"/>
    <w:rsid w:val="003B6691"/>
    <w:rsid w:val="003B68A6"/>
    <w:rsid w:val="003B6A3D"/>
    <w:rsid w:val="003B6A79"/>
    <w:rsid w:val="003B6AA8"/>
    <w:rsid w:val="003B6C03"/>
    <w:rsid w:val="003B6C65"/>
    <w:rsid w:val="003B6CE9"/>
    <w:rsid w:val="003B7054"/>
    <w:rsid w:val="003B73FA"/>
    <w:rsid w:val="003B78A6"/>
    <w:rsid w:val="003B7D5A"/>
    <w:rsid w:val="003B7D74"/>
    <w:rsid w:val="003B7F66"/>
    <w:rsid w:val="003C01AE"/>
    <w:rsid w:val="003C0286"/>
    <w:rsid w:val="003C02A0"/>
    <w:rsid w:val="003C05F4"/>
    <w:rsid w:val="003C0663"/>
    <w:rsid w:val="003C0A2E"/>
    <w:rsid w:val="003C1305"/>
    <w:rsid w:val="003C13FE"/>
    <w:rsid w:val="003C165A"/>
    <w:rsid w:val="003C16F8"/>
    <w:rsid w:val="003C17D0"/>
    <w:rsid w:val="003C1B80"/>
    <w:rsid w:val="003C1E26"/>
    <w:rsid w:val="003C2055"/>
    <w:rsid w:val="003C21FB"/>
    <w:rsid w:val="003C2667"/>
    <w:rsid w:val="003C2C46"/>
    <w:rsid w:val="003C3075"/>
    <w:rsid w:val="003C32BA"/>
    <w:rsid w:val="003C3718"/>
    <w:rsid w:val="003C3BBA"/>
    <w:rsid w:val="003C4459"/>
    <w:rsid w:val="003C44EA"/>
    <w:rsid w:val="003C45B8"/>
    <w:rsid w:val="003C46F6"/>
    <w:rsid w:val="003C4A5D"/>
    <w:rsid w:val="003C50AA"/>
    <w:rsid w:val="003C50B6"/>
    <w:rsid w:val="003C537D"/>
    <w:rsid w:val="003C5616"/>
    <w:rsid w:val="003C561E"/>
    <w:rsid w:val="003C59F7"/>
    <w:rsid w:val="003C5D7F"/>
    <w:rsid w:val="003C601A"/>
    <w:rsid w:val="003C6033"/>
    <w:rsid w:val="003C6087"/>
    <w:rsid w:val="003C620D"/>
    <w:rsid w:val="003C6436"/>
    <w:rsid w:val="003C6439"/>
    <w:rsid w:val="003C6A5E"/>
    <w:rsid w:val="003C6B9C"/>
    <w:rsid w:val="003C6BDB"/>
    <w:rsid w:val="003C6D25"/>
    <w:rsid w:val="003C6DC8"/>
    <w:rsid w:val="003C70E0"/>
    <w:rsid w:val="003C732C"/>
    <w:rsid w:val="003C739B"/>
    <w:rsid w:val="003C7586"/>
    <w:rsid w:val="003C777A"/>
    <w:rsid w:val="003C7925"/>
    <w:rsid w:val="003C7C43"/>
    <w:rsid w:val="003C7DC2"/>
    <w:rsid w:val="003C7EAA"/>
    <w:rsid w:val="003C7F82"/>
    <w:rsid w:val="003D0035"/>
    <w:rsid w:val="003D00B8"/>
    <w:rsid w:val="003D01CC"/>
    <w:rsid w:val="003D02EE"/>
    <w:rsid w:val="003D06C7"/>
    <w:rsid w:val="003D0836"/>
    <w:rsid w:val="003D096C"/>
    <w:rsid w:val="003D0A44"/>
    <w:rsid w:val="003D0C25"/>
    <w:rsid w:val="003D10EF"/>
    <w:rsid w:val="003D1130"/>
    <w:rsid w:val="003D153F"/>
    <w:rsid w:val="003D15B4"/>
    <w:rsid w:val="003D1608"/>
    <w:rsid w:val="003D1AD2"/>
    <w:rsid w:val="003D1D39"/>
    <w:rsid w:val="003D20FC"/>
    <w:rsid w:val="003D212E"/>
    <w:rsid w:val="003D2507"/>
    <w:rsid w:val="003D2713"/>
    <w:rsid w:val="003D28F1"/>
    <w:rsid w:val="003D2CA7"/>
    <w:rsid w:val="003D2D0A"/>
    <w:rsid w:val="003D2E97"/>
    <w:rsid w:val="003D327C"/>
    <w:rsid w:val="003D392F"/>
    <w:rsid w:val="003D3B5A"/>
    <w:rsid w:val="003D3B6A"/>
    <w:rsid w:val="003D4057"/>
    <w:rsid w:val="003D40DA"/>
    <w:rsid w:val="003D4645"/>
    <w:rsid w:val="003D48DD"/>
    <w:rsid w:val="003D4D56"/>
    <w:rsid w:val="003D4DBC"/>
    <w:rsid w:val="003D4E71"/>
    <w:rsid w:val="003D5164"/>
    <w:rsid w:val="003D52C6"/>
    <w:rsid w:val="003D53C4"/>
    <w:rsid w:val="003D5604"/>
    <w:rsid w:val="003D56AB"/>
    <w:rsid w:val="003D57AB"/>
    <w:rsid w:val="003D5CCB"/>
    <w:rsid w:val="003D5DDB"/>
    <w:rsid w:val="003D64B6"/>
    <w:rsid w:val="003D67CD"/>
    <w:rsid w:val="003D69AC"/>
    <w:rsid w:val="003D6DA0"/>
    <w:rsid w:val="003D70B4"/>
    <w:rsid w:val="003D7186"/>
    <w:rsid w:val="003D7847"/>
    <w:rsid w:val="003D78B6"/>
    <w:rsid w:val="003D7E8C"/>
    <w:rsid w:val="003D7EAD"/>
    <w:rsid w:val="003D7FAE"/>
    <w:rsid w:val="003E0363"/>
    <w:rsid w:val="003E0385"/>
    <w:rsid w:val="003E0533"/>
    <w:rsid w:val="003E081F"/>
    <w:rsid w:val="003E08F9"/>
    <w:rsid w:val="003E096C"/>
    <w:rsid w:val="003E0B28"/>
    <w:rsid w:val="003E0BC0"/>
    <w:rsid w:val="003E0CCA"/>
    <w:rsid w:val="003E0DC2"/>
    <w:rsid w:val="003E17D2"/>
    <w:rsid w:val="003E1DA8"/>
    <w:rsid w:val="003E1E84"/>
    <w:rsid w:val="003E20D2"/>
    <w:rsid w:val="003E214B"/>
    <w:rsid w:val="003E2414"/>
    <w:rsid w:val="003E2B2E"/>
    <w:rsid w:val="003E325A"/>
    <w:rsid w:val="003E33E9"/>
    <w:rsid w:val="003E3856"/>
    <w:rsid w:val="003E3C51"/>
    <w:rsid w:val="003E3D49"/>
    <w:rsid w:val="003E3D5E"/>
    <w:rsid w:val="003E3EA2"/>
    <w:rsid w:val="003E404A"/>
    <w:rsid w:val="003E41A8"/>
    <w:rsid w:val="003E4286"/>
    <w:rsid w:val="003E430B"/>
    <w:rsid w:val="003E431B"/>
    <w:rsid w:val="003E4942"/>
    <w:rsid w:val="003E4AD5"/>
    <w:rsid w:val="003E4F0F"/>
    <w:rsid w:val="003E4F72"/>
    <w:rsid w:val="003E50AC"/>
    <w:rsid w:val="003E529A"/>
    <w:rsid w:val="003E5856"/>
    <w:rsid w:val="003E5AA5"/>
    <w:rsid w:val="003E5B22"/>
    <w:rsid w:val="003E5BF7"/>
    <w:rsid w:val="003E5CC0"/>
    <w:rsid w:val="003E5D5C"/>
    <w:rsid w:val="003E5E1F"/>
    <w:rsid w:val="003E6003"/>
    <w:rsid w:val="003E6133"/>
    <w:rsid w:val="003E6374"/>
    <w:rsid w:val="003E6700"/>
    <w:rsid w:val="003E6764"/>
    <w:rsid w:val="003E6E95"/>
    <w:rsid w:val="003E7B15"/>
    <w:rsid w:val="003E7B21"/>
    <w:rsid w:val="003E7F4E"/>
    <w:rsid w:val="003E7FC4"/>
    <w:rsid w:val="003F0016"/>
    <w:rsid w:val="003F009E"/>
    <w:rsid w:val="003F01A0"/>
    <w:rsid w:val="003F0430"/>
    <w:rsid w:val="003F055D"/>
    <w:rsid w:val="003F07E7"/>
    <w:rsid w:val="003F0879"/>
    <w:rsid w:val="003F0EC3"/>
    <w:rsid w:val="003F109C"/>
    <w:rsid w:val="003F14BE"/>
    <w:rsid w:val="003F17E5"/>
    <w:rsid w:val="003F1A51"/>
    <w:rsid w:val="003F1D6C"/>
    <w:rsid w:val="003F1F0F"/>
    <w:rsid w:val="003F210A"/>
    <w:rsid w:val="003F2476"/>
    <w:rsid w:val="003F2A57"/>
    <w:rsid w:val="003F2B84"/>
    <w:rsid w:val="003F2DB5"/>
    <w:rsid w:val="003F3007"/>
    <w:rsid w:val="003F3123"/>
    <w:rsid w:val="003F326B"/>
    <w:rsid w:val="003F37A4"/>
    <w:rsid w:val="003F3F4B"/>
    <w:rsid w:val="003F437B"/>
    <w:rsid w:val="003F449F"/>
    <w:rsid w:val="003F48C2"/>
    <w:rsid w:val="003F49BA"/>
    <w:rsid w:val="003F4F0E"/>
    <w:rsid w:val="003F54A0"/>
    <w:rsid w:val="003F57AF"/>
    <w:rsid w:val="003F5927"/>
    <w:rsid w:val="003F5963"/>
    <w:rsid w:val="003F5A87"/>
    <w:rsid w:val="003F5B3E"/>
    <w:rsid w:val="003F5C62"/>
    <w:rsid w:val="003F6764"/>
    <w:rsid w:val="003F68E4"/>
    <w:rsid w:val="003F6994"/>
    <w:rsid w:val="003F6AA4"/>
    <w:rsid w:val="003F6C71"/>
    <w:rsid w:val="003F6D64"/>
    <w:rsid w:val="003F7365"/>
    <w:rsid w:val="003F7776"/>
    <w:rsid w:val="003F7AFF"/>
    <w:rsid w:val="00400109"/>
    <w:rsid w:val="0040033D"/>
    <w:rsid w:val="0040044A"/>
    <w:rsid w:val="00400494"/>
    <w:rsid w:val="004007B3"/>
    <w:rsid w:val="00400BC8"/>
    <w:rsid w:val="00400E94"/>
    <w:rsid w:val="00400EB0"/>
    <w:rsid w:val="00400FF4"/>
    <w:rsid w:val="0040108F"/>
    <w:rsid w:val="00401315"/>
    <w:rsid w:val="00401836"/>
    <w:rsid w:val="004019F2"/>
    <w:rsid w:val="00401B2D"/>
    <w:rsid w:val="00402053"/>
    <w:rsid w:val="0040213B"/>
    <w:rsid w:val="004023D5"/>
    <w:rsid w:val="00402B0F"/>
    <w:rsid w:val="00402C99"/>
    <w:rsid w:val="00403501"/>
    <w:rsid w:val="004037C7"/>
    <w:rsid w:val="004038BB"/>
    <w:rsid w:val="004038F6"/>
    <w:rsid w:val="0040397A"/>
    <w:rsid w:val="004041BC"/>
    <w:rsid w:val="00404471"/>
    <w:rsid w:val="00404A8F"/>
    <w:rsid w:val="00404F70"/>
    <w:rsid w:val="004053C3"/>
    <w:rsid w:val="0040581E"/>
    <w:rsid w:val="004059AD"/>
    <w:rsid w:val="004059C7"/>
    <w:rsid w:val="00405E0F"/>
    <w:rsid w:val="00405FC6"/>
    <w:rsid w:val="0040616F"/>
    <w:rsid w:val="004062B6"/>
    <w:rsid w:val="0040633F"/>
    <w:rsid w:val="004063DF"/>
    <w:rsid w:val="00406463"/>
    <w:rsid w:val="0040673E"/>
    <w:rsid w:val="0040677F"/>
    <w:rsid w:val="0040679C"/>
    <w:rsid w:val="00406AED"/>
    <w:rsid w:val="00406C68"/>
    <w:rsid w:val="00406E09"/>
    <w:rsid w:val="00407222"/>
    <w:rsid w:val="00407658"/>
    <w:rsid w:val="00407706"/>
    <w:rsid w:val="00407763"/>
    <w:rsid w:val="00407849"/>
    <w:rsid w:val="00407A9E"/>
    <w:rsid w:val="00407C92"/>
    <w:rsid w:val="00407D9C"/>
    <w:rsid w:val="00407DE9"/>
    <w:rsid w:val="00407EDD"/>
    <w:rsid w:val="00407F98"/>
    <w:rsid w:val="0041038E"/>
    <w:rsid w:val="00410C44"/>
    <w:rsid w:val="00410DFF"/>
    <w:rsid w:val="0041115B"/>
    <w:rsid w:val="00411623"/>
    <w:rsid w:val="0041172A"/>
    <w:rsid w:val="00411820"/>
    <w:rsid w:val="00411BA7"/>
    <w:rsid w:val="00411BB5"/>
    <w:rsid w:val="0041205F"/>
    <w:rsid w:val="004122FF"/>
    <w:rsid w:val="004123DC"/>
    <w:rsid w:val="00412822"/>
    <w:rsid w:val="0041289A"/>
    <w:rsid w:val="00412CE1"/>
    <w:rsid w:val="004135F3"/>
    <w:rsid w:val="004136A1"/>
    <w:rsid w:val="004136D9"/>
    <w:rsid w:val="00413886"/>
    <w:rsid w:val="00413B9B"/>
    <w:rsid w:val="00413C40"/>
    <w:rsid w:val="00414221"/>
    <w:rsid w:val="0041436D"/>
    <w:rsid w:val="0041442E"/>
    <w:rsid w:val="00414534"/>
    <w:rsid w:val="0041478C"/>
    <w:rsid w:val="0041480C"/>
    <w:rsid w:val="00414E72"/>
    <w:rsid w:val="00415410"/>
    <w:rsid w:val="00415493"/>
    <w:rsid w:val="00415722"/>
    <w:rsid w:val="00415830"/>
    <w:rsid w:val="0041599A"/>
    <w:rsid w:val="00415A7F"/>
    <w:rsid w:val="00415AE5"/>
    <w:rsid w:val="00415BAF"/>
    <w:rsid w:val="004161F0"/>
    <w:rsid w:val="00416376"/>
    <w:rsid w:val="004163CE"/>
    <w:rsid w:val="0041643B"/>
    <w:rsid w:val="004164FA"/>
    <w:rsid w:val="00416657"/>
    <w:rsid w:val="00416739"/>
    <w:rsid w:val="00416D86"/>
    <w:rsid w:val="00416EC0"/>
    <w:rsid w:val="0041717E"/>
    <w:rsid w:val="00417230"/>
    <w:rsid w:val="00417245"/>
    <w:rsid w:val="00417B46"/>
    <w:rsid w:val="004204D7"/>
    <w:rsid w:val="00420770"/>
    <w:rsid w:val="00420943"/>
    <w:rsid w:val="004209B4"/>
    <w:rsid w:val="00420F78"/>
    <w:rsid w:val="00421042"/>
    <w:rsid w:val="00421294"/>
    <w:rsid w:val="004216C3"/>
    <w:rsid w:val="00421788"/>
    <w:rsid w:val="00421DF2"/>
    <w:rsid w:val="00421F34"/>
    <w:rsid w:val="00421F4B"/>
    <w:rsid w:val="00422195"/>
    <w:rsid w:val="0042257B"/>
    <w:rsid w:val="00422984"/>
    <w:rsid w:val="00422B9B"/>
    <w:rsid w:val="00422ED1"/>
    <w:rsid w:val="0042349D"/>
    <w:rsid w:val="004238D0"/>
    <w:rsid w:val="004241C3"/>
    <w:rsid w:val="004241D6"/>
    <w:rsid w:val="00424235"/>
    <w:rsid w:val="004242DD"/>
    <w:rsid w:val="0042438C"/>
    <w:rsid w:val="00424454"/>
    <w:rsid w:val="00424DC2"/>
    <w:rsid w:val="0042527B"/>
    <w:rsid w:val="0042530D"/>
    <w:rsid w:val="0042554E"/>
    <w:rsid w:val="00425B45"/>
    <w:rsid w:val="00426005"/>
    <w:rsid w:val="004263C0"/>
    <w:rsid w:val="0042682B"/>
    <w:rsid w:val="00426AC8"/>
    <w:rsid w:val="00426AED"/>
    <w:rsid w:val="00426B22"/>
    <w:rsid w:val="0042736A"/>
    <w:rsid w:val="00427436"/>
    <w:rsid w:val="00427535"/>
    <w:rsid w:val="0042760B"/>
    <w:rsid w:val="0042763D"/>
    <w:rsid w:val="00427CE0"/>
    <w:rsid w:val="00427D38"/>
    <w:rsid w:val="00430280"/>
    <w:rsid w:val="004303D9"/>
    <w:rsid w:val="0043051F"/>
    <w:rsid w:val="00430705"/>
    <w:rsid w:val="00430DA0"/>
    <w:rsid w:val="00430DC9"/>
    <w:rsid w:val="004316A0"/>
    <w:rsid w:val="00431CEF"/>
    <w:rsid w:val="00431E5D"/>
    <w:rsid w:val="004324EF"/>
    <w:rsid w:val="00432840"/>
    <w:rsid w:val="00432A63"/>
    <w:rsid w:val="00432AAB"/>
    <w:rsid w:val="00432AD8"/>
    <w:rsid w:val="00432F8B"/>
    <w:rsid w:val="004333DA"/>
    <w:rsid w:val="00433423"/>
    <w:rsid w:val="004335A7"/>
    <w:rsid w:val="00433825"/>
    <w:rsid w:val="00433F07"/>
    <w:rsid w:val="004343F0"/>
    <w:rsid w:val="004352C3"/>
    <w:rsid w:val="004353CB"/>
    <w:rsid w:val="004359A6"/>
    <w:rsid w:val="00435EDB"/>
    <w:rsid w:val="0043618A"/>
    <w:rsid w:val="004363FC"/>
    <w:rsid w:val="00436B04"/>
    <w:rsid w:val="00436FB2"/>
    <w:rsid w:val="004372BA"/>
    <w:rsid w:val="0043749E"/>
    <w:rsid w:val="00437627"/>
    <w:rsid w:val="00437637"/>
    <w:rsid w:val="0043766A"/>
    <w:rsid w:val="00437A3E"/>
    <w:rsid w:val="00437D34"/>
    <w:rsid w:val="00440139"/>
    <w:rsid w:val="004408E4"/>
    <w:rsid w:val="004409FD"/>
    <w:rsid w:val="00440DC1"/>
    <w:rsid w:val="00440E41"/>
    <w:rsid w:val="0044132C"/>
    <w:rsid w:val="00441400"/>
    <w:rsid w:val="00441451"/>
    <w:rsid w:val="00441465"/>
    <w:rsid w:val="004416A5"/>
    <w:rsid w:val="004417AA"/>
    <w:rsid w:val="00441986"/>
    <w:rsid w:val="00441A12"/>
    <w:rsid w:val="00441C51"/>
    <w:rsid w:val="004421C3"/>
    <w:rsid w:val="0044222B"/>
    <w:rsid w:val="004425B5"/>
    <w:rsid w:val="0044260D"/>
    <w:rsid w:val="00442723"/>
    <w:rsid w:val="0044279E"/>
    <w:rsid w:val="004427EC"/>
    <w:rsid w:val="00442B43"/>
    <w:rsid w:val="00442BE3"/>
    <w:rsid w:val="00442BF2"/>
    <w:rsid w:val="00442D47"/>
    <w:rsid w:val="00442F08"/>
    <w:rsid w:val="00442FEE"/>
    <w:rsid w:val="004430B1"/>
    <w:rsid w:val="004430DE"/>
    <w:rsid w:val="0044347D"/>
    <w:rsid w:val="00443C76"/>
    <w:rsid w:val="00443EDA"/>
    <w:rsid w:val="00443F34"/>
    <w:rsid w:val="0044429E"/>
    <w:rsid w:val="004442C0"/>
    <w:rsid w:val="00444885"/>
    <w:rsid w:val="004449BE"/>
    <w:rsid w:val="00444A0E"/>
    <w:rsid w:val="00444A54"/>
    <w:rsid w:val="00444E9A"/>
    <w:rsid w:val="00444EE6"/>
    <w:rsid w:val="0044508F"/>
    <w:rsid w:val="004453F9"/>
    <w:rsid w:val="00445517"/>
    <w:rsid w:val="004458C3"/>
    <w:rsid w:val="00445B8C"/>
    <w:rsid w:val="00445BD7"/>
    <w:rsid w:val="00445CA5"/>
    <w:rsid w:val="004463EC"/>
    <w:rsid w:val="00446535"/>
    <w:rsid w:val="00446620"/>
    <w:rsid w:val="004467DD"/>
    <w:rsid w:val="00446A2F"/>
    <w:rsid w:val="00446E20"/>
    <w:rsid w:val="004474EF"/>
    <w:rsid w:val="004476B1"/>
    <w:rsid w:val="00447D2D"/>
    <w:rsid w:val="00447F7F"/>
    <w:rsid w:val="00447FD6"/>
    <w:rsid w:val="004502A9"/>
    <w:rsid w:val="004506FF"/>
    <w:rsid w:val="004507B2"/>
    <w:rsid w:val="004508CF"/>
    <w:rsid w:val="00450A56"/>
    <w:rsid w:val="00450BDA"/>
    <w:rsid w:val="00450BEF"/>
    <w:rsid w:val="00450F5C"/>
    <w:rsid w:val="004510C4"/>
    <w:rsid w:val="004510F3"/>
    <w:rsid w:val="0045124E"/>
    <w:rsid w:val="00451466"/>
    <w:rsid w:val="004515C2"/>
    <w:rsid w:val="00451992"/>
    <w:rsid w:val="004519DA"/>
    <w:rsid w:val="00451C3B"/>
    <w:rsid w:val="00451E20"/>
    <w:rsid w:val="004523F3"/>
    <w:rsid w:val="00452760"/>
    <w:rsid w:val="004529B8"/>
    <w:rsid w:val="00452B40"/>
    <w:rsid w:val="00452BB6"/>
    <w:rsid w:val="00453016"/>
    <w:rsid w:val="004530BD"/>
    <w:rsid w:val="00453256"/>
    <w:rsid w:val="0045361B"/>
    <w:rsid w:val="00453661"/>
    <w:rsid w:val="004538D9"/>
    <w:rsid w:val="0045392C"/>
    <w:rsid w:val="004539A3"/>
    <w:rsid w:val="00453B96"/>
    <w:rsid w:val="00453D5E"/>
    <w:rsid w:val="00453D6B"/>
    <w:rsid w:val="00453E94"/>
    <w:rsid w:val="00453EF6"/>
    <w:rsid w:val="00454039"/>
    <w:rsid w:val="004542E6"/>
    <w:rsid w:val="00454445"/>
    <w:rsid w:val="00454470"/>
    <w:rsid w:val="004549B6"/>
    <w:rsid w:val="00454C04"/>
    <w:rsid w:val="00455255"/>
    <w:rsid w:val="00455B92"/>
    <w:rsid w:val="0045604C"/>
    <w:rsid w:val="004560AF"/>
    <w:rsid w:val="00456322"/>
    <w:rsid w:val="0045654B"/>
    <w:rsid w:val="00456786"/>
    <w:rsid w:val="00456926"/>
    <w:rsid w:val="004569FD"/>
    <w:rsid w:val="00456C9B"/>
    <w:rsid w:val="00456E4A"/>
    <w:rsid w:val="00456EC3"/>
    <w:rsid w:val="00456FBA"/>
    <w:rsid w:val="00457180"/>
    <w:rsid w:val="0045724A"/>
    <w:rsid w:val="00457405"/>
    <w:rsid w:val="00457442"/>
    <w:rsid w:val="00457971"/>
    <w:rsid w:val="00457A0F"/>
    <w:rsid w:val="00457B68"/>
    <w:rsid w:val="00457C17"/>
    <w:rsid w:val="00457C3F"/>
    <w:rsid w:val="004601FB"/>
    <w:rsid w:val="00460265"/>
    <w:rsid w:val="0046056C"/>
    <w:rsid w:val="00460A03"/>
    <w:rsid w:val="00460DC1"/>
    <w:rsid w:val="004610FE"/>
    <w:rsid w:val="004614C9"/>
    <w:rsid w:val="00461D62"/>
    <w:rsid w:val="00462251"/>
    <w:rsid w:val="00462392"/>
    <w:rsid w:val="004623C6"/>
    <w:rsid w:val="0046269F"/>
    <w:rsid w:val="0046298A"/>
    <w:rsid w:val="00462B9E"/>
    <w:rsid w:val="00463022"/>
    <w:rsid w:val="00463502"/>
    <w:rsid w:val="00463B61"/>
    <w:rsid w:val="00463C23"/>
    <w:rsid w:val="004640AD"/>
    <w:rsid w:val="004640EC"/>
    <w:rsid w:val="00464371"/>
    <w:rsid w:val="00464481"/>
    <w:rsid w:val="0046462B"/>
    <w:rsid w:val="00464D0F"/>
    <w:rsid w:val="00465019"/>
    <w:rsid w:val="004651A8"/>
    <w:rsid w:val="0046533A"/>
    <w:rsid w:val="00465466"/>
    <w:rsid w:val="004657AB"/>
    <w:rsid w:val="0046588D"/>
    <w:rsid w:val="00465BDD"/>
    <w:rsid w:val="00465BEC"/>
    <w:rsid w:val="00465CFF"/>
    <w:rsid w:val="00465E68"/>
    <w:rsid w:val="004662DF"/>
    <w:rsid w:val="00466328"/>
    <w:rsid w:val="004668D2"/>
    <w:rsid w:val="00466DAE"/>
    <w:rsid w:val="00466F89"/>
    <w:rsid w:val="0046734C"/>
    <w:rsid w:val="0046741D"/>
    <w:rsid w:val="004675A1"/>
    <w:rsid w:val="00467641"/>
    <w:rsid w:val="004702B8"/>
    <w:rsid w:val="004702BD"/>
    <w:rsid w:val="0047035D"/>
    <w:rsid w:val="00470882"/>
    <w:rsid w:val="00470AE6"/>
    <w:rsid w:val="00470D29"/>
    <w:rsid w:val="00470E1C"/>
    <w:rsid w:val="00471085"/>
    <w:rsid w:val="004712FE"/>
    <w:rsid w:val="00471525"/>
    <w:rsid w:val="004717DA"/>
    <w:rsid w:val="00471883"/>
    <w:rsid w:val="00471A3E"/>
    <w:rsid w:val="00471D6B"/>
    <w:rsid w:val="00471DCD"/>
    <w:rsid w:val="00472361"/>
    <w:rsid w:val="00472530"/>
    <w:rsid w:val="00472731"/>
    <w:rsid w:val="00472762"/>
    <w:rsid w:val="004728B1"/>
    <w:rsid w:val="00472982"/>
    <w:rsid w:val="00472A62"/>
    <w:rsid w:val="00473469"/>
    <w:rsid w:val="0047354B"/>
    <w:rsid w:val="004737CF"/>
    <w:rsid w:val="00473D47"/>
    <w:rsid w:val="004741BF"/>
    <w:rsid w:val="004741D7"/>
    <w:rsid w:val="00474308"/>
    <w:rsid w:val="004743DC"/>
    <w:rsid w:val="00474461"/>
    <w:rsid w:val="00474590"/>
    <w:rsid w:val="004745F6"/>
    <w:rsid w:val="004749FE"/>
    <w:rsid w:val="00474A1E"/>
    <w:rsid w:val="00474D75"/>
    <w:rsid w:val="00474E1A"/>
    <w:rsid w:val="00474E61"/>
    <w:rsid w:val="00475790"/>
    <w:rsid w:val="004757DC"/>
    <w:rsid w:val="00475A1C"/>
    <w:rsid w:val="00475ACB"/>
    <w:rsid w:val="00475C75"/>
    <w:rsid w:val="00475CD1"/>
    <w:rsid w:val="00476074"/>
    <w:rsid w:val="0047610E"/>
    <w:rsid w:val="004761E8"/>
    <w:rsid w:val="00476285"/>
    <w:rsid w:val="00476571"/>
    <w:rsid w:val="0047675F"/>
    <w:rsid w:val="00476AAC"/>
    <w:rsid w:val="00476FF7"/>
    <w:rsid w:val="004774AE"/>
    <w:rsid w:val="00477A92"/>
    <w:rsid w:val="00477B1A"/>
    <w:rsid w:val="00477B32"/>
    <w:rsid w:val="00477CD3"/>
    <w:rsid w:val="00477D09"/>
    <w:rsid w:val="004800EA"/>
    <w:rsid w:val="00480439"/>
    <w:rsid w:val="004807FD"/>
    <w:rsid w:val="00480A73"/>
    <w:rsid w:val="00480AA1"/>
    <w:rsid w:val="00480B35"/>
    <w:rsid w:val="00480E3B"/>
    <w:rsid w:val="00480E94"/>
    <w:rsid w:val="004813A6"/>
    <w:rsid w:val="004814BA"/>
    <w:rsid w:val="00481505"/>
    <w:rsid w:val="0048180B"/>
    <w:rsid w:val="00481CCD"/>
    <w:rsid w:val="00482330"/>
    <w:rsid w:val="004824F6"/>
    <w:rsid w:val="00482779"/>
    <w:rsid w:val="00482795"/>
    <w:rsid w:val="0048292F"/>
    <w:rsid w:val="004829C4"/>
    <w:rsid w:val="00482B7E"/>
    <w:rsid w:val="00482B93"/>
    <w:rsid w:val="00482CD6"/>
    <w:rsid w:val="00483137"/>
    <w:rsid w:val="0048323F"/>
    <w:rsid w:val="004832A1"/>
    <w:rsid w:val="004833A7"/>
    <w:rsid w:val="004834AC"/>
    <w:rsid w:val="004842C6"/>
    <w:rsid w:val="00484458"/>
    <w:rsid w:val="004847AD"/>
    <w:rsid w:val="00484A28"/>
    <w:rsid w:val="00484A2C"/>
    <w:rsid w:val="00484B9C"/>
    <w:rsid w:val="00484DD6"/>
    <w:rsid w:val="00484DEF"/>
    <w:rsid w:val="00484E80"/>
    <w:rsid w:val="004850C0"/>
    <w:rsid w:val="00485426"/>
    <w:rsid w:val="004854C2"/>
    <w:rsid w:val="00485617"/>
    <w:rsid w:val="00485ABE"/>
    <w:rsid w:val="00486090"/>
    <w:rsid w:val="00486157"/>
    <w:rsid w:val="004861F5"/>
    <w:rsid w:val="0048637A"/>
    <w:rsid w:val="0048641A"/>
    <w:rsid w:val="0048656F"/>
    <w:rsid w:val="00486663"/>
    <w:rsid w:val="0048673C"/>
    <w:rsid w:val="00487638"/>
    <w:rsid w:val="00487790"/>
    <w:rsid w:val="004877CE"/>
    <w:rsid w:val="004879EA"/>
    <w:rsid w:val="00487D3C"/>
    <w:rsid w:val="0049006D"/>
    <w:rsid w:val="004901A6"/>
    <w:rsid w:val="004907AF"/>
    <w:rsid w:val="004909C6"/>
    <w:rsid w:val="00490D04"/>
    <w:rsid w:val="004910CC"/>
    <w:rsid w:val="00491157"/>
    <w:rsid w:val="004911A1"/>
    <w:rsid w:val="0049127C"/>
    <w:rsid w:val="004916B0"/>
    <w:rsid w:val="00491E2D"/>
    <w:rsid w:val="004921DC"/>
    <w:rsid w:val="004924BB"/>
    <w:rsid w:val="004924EF"/>
    <w:rsid w:val="004927DE"/>
    <w:rsid w:val="00492C26"/>
    <w:rsid w:val="00492E37"/>
    <w:rsid w:val="00493340"/>
    <w:rsid w:val="00493591"/>
    <w:rsid w:val="00493A15"/>
    <w:rsid w:val="00493BE6"/>
    <w:rsid w:val="00494071"/>
    <w:rsid w:val="00494078"/>
    <w:rsid w:val="004941EB"/>
    <w:rsid w:val="004945B0"/>
    <w:rsid w:val="004946EC"/>
    <w:rsid w:val="00494834"/>
    <w:rsid w:val="00494C32"/>
    <w:rsid w:val="00494D6B"/>
    <w:rsid w:val="00494E55"/>
    <w:rsid w:val="00495023"/>
    <w:rsid w:val="0049520A"/>
    <w:rsid w:val="00495217"/>
    <w:rsid w:val="004952F1"/>
    <w:rsid w:val="0049546E"/>
    <w:rsid w:val="00495689"/>
    <w:rsid w:val="00495AE6"/>
    <w:rsid w:val="00495D51"/>
    <w:rsid w:val="00496317"/>
    <w:rsid w:val="004969CA"/>
    <w:rsid w:val="00496C5A"/>
    <w:rsid w:val="00496D04"/>
    <w:rsid w:val="0049718D"/>
    <w:rsid w:val="0049719D"/>
    <w:rsid w:val="0049751B"/>
    <w:rsid w:val="004978BE"/>
    <w:rsid w:val="00497B60"/>
    <w:rsid w:val="00497BD0"/>
    <w:rsid w:val="00497DAB"/>
    <w:rsid w:val="00497E26"/>
    <w:rsid w:val="00497FBA"/>
    <w:rsid w:val="004A03F2"/>
    <w:rsid w:val="004A08DD"/>
    <w:rsid w:val="004A0A07"/>
    <w:rsid w:val="004A0A09"/>
    <w:rsid w:val="004A111F"/>
    <w:rsid w:val="004A1742"/>
    <w:rsid w:val="004A1781"/>
    <w:rsid w:val="004A17D8"/>
    <w:rsid w:val="004A1A40"/>
    <w:rsid w:val="004A1B4F"/>
    <w:rsid w:val="004A1D49"/>
    <w:rsid w:val="004A1E02"/>
    <w:rsid w:val="004A2309"/>
    <w:rsid w:val="004A275D"/>
    <w:rsid w:val="004A359D"/>
    <w:rsid w:val="004A3755"/>
    <w:rsid w:val="004A3CCA"/>
    <w:rsid w:val="004A3DAB"/>
    <w:rsid w:val="004A3EE0"/>
    <w:rsid w:val="004A47C0"/>
    <w:rsid w:val="004A4BD7"/>
    <w:rsid w:val="004A4BFB"/>
    <w:rsid w:val="004A4D5D"/>
    <w:rsid w:val="004A51FD"/>
    <w:rsid w:val="004A5290"/>
    <w:rsid w:val="004A5382"/>
    <w:rsid w:val="004A5636"/>
    <w:rsid w:val="004A5B1A"/>
    <w:rsid w:val="004A5CB3"/>
    <w:rsid w:val="004A62A5"/>
    <w:rsid w:val="004A67B6"/>
    <w:rsid w:val="004A6A0E"/>
    <w:rsid w:val="004A738A"/>
    <w:rsid w:val="004A742A"/>
    <w:rsid w:val="004A74C5"/>
    <w:rsid w:val="004A74D0"/>
    <w:rsid w:val="004A765B"/>
    <w:rsid w:val="004A7AFE"/>
    <w:rsid w:val="004A7C36"/>
    <w:rsid w:val="004A7D40"/>
    <w:rsid w:val="004A7DC4"/>
    <w:rsid w:val="004A7EB6"/>
    <w:rsid w:val="004B043D"/>
    <w:rsid w:val="004B0455"/>
    <w:rsid w:val="004B048E"/>
    <w:rsid w:val="004B05C5"/>
    <w:rsid w:val="004B0948"/>
    <w:rsid w:val="004B0BCC"/>
    <w:rsid w:val="004B0C85"/>
    <w:rsid w:val="004B1035"/>
    <w:rsid w:val="004B11AF"/>
    <w:rsid w:val="004B11E3"/>
    <w:rsid w:val="004B1293"/>
    <w:rsid w:val="004B1324"/>
    <w:rsid w:val="004B1798"/>
    <w:rsid w:val="004B1CBC"/>
    <w:rsid w:val="004B1ED7"/>
    <w:rsid w:val="004B292F"/>
    <w:rsid w:val="004B2B19"/>
    <w:rsid w:val="004B2B34"/>
    <w:rsid w:val="004B2C07"/>
    <w:rsid w:val="004B2EFF"/>
    <w:rsid w:val="004B32BF"/>
    <w:rsid w:val="004B347E"/>
    <w:rsid w:val="004B36A8"/>
    <w:rsid w:val="004B38AA"/>
    <w:rsid w:val="004B3A70"/>
    <w:rsid w:val="004B3BAC"/>
    <w:rsid w:val="004B3F82"/>
    <w:rsid w:val="004B41AE"/>
    <w:rsid w:val="004B42DD"/>
    <w:rsid w:val="004B43F8"/>
    <w:rsid w:val="004B469E"/>
    <w:rsid w:val="004B4708"/>
    <w:rsid w:val="004B48E5"/>
    <w:rsid w:val="004B49E1"/>
    <w:rsid w:val="004B4DF0"/>
    <w:rsid w:val="004B4EE3"/>
    <w:rsid w:val="004B52B7"/>
    <w:rsid w:val="004B52E8"/>
    <w:rsid w:val="004B5680"/>
    <w:rsid w:val="004B5A2F"/>
    <w:rsid w:val="004B5B32"/>
    <w:rsid w:val="004B5CF7"/>
    <w:rsid w:val="004B5F05"/>
    <w:rsid w:val="004B6504"/>
    <w:rsid w:val="004B65D8"/>
    <w:rsid w:val="004B6940"/>
    <w:rsid w:val="004B6ACD"/>
    <w:rsid w:val="004B7050"/>
    <w:rsid w:val="004B7082"/>
    <w:rsid w:val="004B7200"/>
    <w:rsid w:val="004B7A69"/>
    <w:rsid w:val="004B7C18"/>
    <w:rsid w:val="004B7CEE"/>
    <w:rsid w:val="004C0000"/>
    <w:rsid w:val="004C0022"/>
    <w:rsid w:val="004C01F3"/>
    <w:rsid w:val="004C03CC"/>
    <w:rsid w:val="004C066F"/>
    <w:rsid w:val="004C068E"/>
    <w:rsid w:val="004C06D9"/>
    <w:rsid w:val="004C0844"/>
    <w:rsid w:val="004C0FAC"/>
    <w:rsid w:val="004C111F"/>
    <w:rsid w:val="004C1221"/>
    <w:rsid w:val="004C12BC"/>
    <w:rsid w:val="004C13E5"/>
    <w:rsid w:val="004C14F5"/>
    <w:rsid w:val="004C1521"/>
    <w:rsid w:val="004C22A7"/>
    <w:rsid w:val="004C23DD"/>
    <w:rsid w:val="004C26D1"/>
    <w:rsid w:val="004C27A8"/>
    <w:rsid w:val="004C2A67"/>
    <w:rsid w:val="004C2B63"/>
    <w:rsid w:val="004C2EEB"/>
    <w:rsid w:val="004C2FEA"/>
    <w:rsid w:val="004C3489"/>
    <w:rsid w:val="004C40E8"/>
    <w:rsid w:val="004C4523"/>
    <w:rsid w:val="004C4935"/>
    <w:rsid w:val="004C4E17"/>
    <w:rsid w:val="004C50CC"/>
    <w:rsid w:val="004C5247"/>
    <w:rsid w:val="004C52AB"/>
    <w:rsid w:val="004C5418"/>
    <w:rsid w:val="004C5627"/>
    <w:rsid w:val="004C5B2D"/>
    <w:rsid w:val="004C5C70"/>
    <w:rsid w:val="004C6034"/>
    <w:rsid w:val="004C674A"/>
    <w:rsid w:val="004C678D"/>
    <w:rsid w:val="004C6C96"/>
    <w:rsid w:val="004C6C99"/>
    <w:rsid w:val="004C70CF"/>
    <w:rsid w:val="004C7170"/>
    <w:rsid w:val="004C7389"/>
    <w:rsid w:val="004C7707"/>
    <w:rsid w:val="004C7736"/>
    <w:rsid w:val="004C79D4"/>
    <w:rsid w:val="004C7B1B"/>
    <w:rsid w:val="004C7F18"/>
    <w:rsid w:val="004D0039"/>
    <w:rsid w:val="004D050D"/>
    <w:rsid w:val="004D0AFA"/>
    <w:rsid w:val="004D0D62"/>
    <w:rsid w:val="004D0EAA"/>
    <w:rsid w:val="004D101B"/>
    <w:rsid w:val="004D18C9"/>
    <w:rsid w:val="004D1BA2"/>
    <w:rsid w:val="004D1C4C"/>
    <w:rsid w:val="004D1D76"/>
    <w:rsid w:val="004D1E89"/>
    <w:rsid w:val="004D20CD"/>
    <w:rsid w:val="004D266E"/>
    <w:rsid w:val="004D2695"/>
    <w:rsid w:val="004D2AD8"/>
    <w:rsid w:val="004D2C38"/>
    <w:rsid w:val="004D2D61"/>
    <w:rsid w:val="004D2FC8"/>
    <w:rsid w:val="004D3065"/>
    <w:rsid w:val="004D3239"/>
    <w:rsid w:val="004D3341"/>
    <w:rsid w:val="004D336A"/>
    <w:rsid w:val="004D3373"/>
    <w:rsid w:val="004D3393"/>
    <w:rsid w:val="004D38F7"/>
    <w:rsid w:val="004D39DD"/>
    <w:rsid w:val="004D3A2D"/>
    <w:rsid w:val="004D3BE3"/>
    <w:rsid w:val="004D3D61"/>
    <w:rsid w:val="004D3F47"/>
    <w:rsid w:val="004D3F98"/>
    <w:rsid w:val="004D41D3"/>
    <w:rsid w:val="004D4244"/>
    <w:rsid w:val="004D4674"/>
    <w:rsid w:val="004D4CA4"/>
    <w:rsid w:val="004D4F46"/>
    <w:rsid w:val="004D54CF"/>
    <w:rsid w:val="004D5568"/>
    <w:rsid w:val="004D591C"/>
    <w:rsid w:val="004D62A8"/>
    <w:rsid w:val="004D69E4"/>
    <w:rsid w:val="004D6FD6"/>
    <w:rsid w:val="004D77AB"/>
    <w:rsid w:val="004D7A86"/>
    <w:rsid w:val="004D7BAC"/>
    <w:rsid w:val="004D7FE0"/>
    <w:rsid w:val="004E05C1"/>
    <w:rsid w:val="004E07DC"/>
    <w:rsid w:val="004E08AD"/>
    <w:rsid w:val="004E0918"/>
    <w:rsid w:val="004E158D"/>
    <w:rsid w:val="004E1A94"/>
    <w:rsid w:val="004E1AD7"/>
    <w:rsid w:val="004E1C82"/>
    <w:rsid w:val="004E201A"/>
    <w:rsid w:val="004E2565"/>
    <w:rsid w:val="004E28F7"/>
    <w:rsid w:val="004E2B48"/>
    <w:rsid w:val="004E3003"/>
    <w:rsid w:val="004E3140"/>
    <w:rsid w:val="004E3528"/>
    <w:rsid w:val="004E35B2"/>
    <w:rsid w:val="004E35B3"/>
    <w:rsid w:val="004E3861"/>
    <w:rsid w:val="004E39A5"/>
    <w:rsid w:val="004E3AFC"/>
    <w:rsid w:val="004E3B00"/>
    <w:rsid w:val="004E42CC"/>
    <w:rsid w:val="004E4BAE"/>
    <w:rsid w:val="004E4CD8"/>
    <w:rsid w:val="004E50AB"/>
    <w:rsid w:val="004E5110"/>
    <w:rsid w:val="004E52A3"/>
    <w:rsid w:val="004E5315"/>
    <w:rsid w:val="004E5613"/>
    <w:rsid w:val="004E5D8B"/>
    <w:rsid w:val="004E6169"/>
    <w:rsid w:val="004E626A"/>
    <w:rsid w:val="004E64BE"/>
    <w:rsid w:val="004E672B"/>
    <w:rsid w:val="004E6889"/>
    <w:rsid w:val="004E6968"/>
    <w:rsid w:val="004E6C7F"/>
    <w:rsid w:val="004E6DD9"/>
    <w:rsid w:val="004E7732"/>
    <w:rsid w:val="004E7DB7"/>
    <w:rsid w:val="004E7E12"/>
    <w:rsid w:val="004E7E89"/>
    <w:rsid w:val="004E7FA6"/>
    <w:rsid w:val="004F032A"/>
    <w:rsid w:val="004F0462"/>
    <w:rsid w:val="004F0686"/>
    <w:rsid w:val="004F06C5"/>
    <w:rsid w:val="004F091F"/>
    <w:rsid w:val="004F0B02"/>
    <w:rsid w:val="004F0DC0"/>
    <w:rsid w:val="004F12BA"/>
    <w:rsid w:val="004F12C6"/>
    <w:rsid w:val="004F13B4"/>
    <w:rsid w:val="004F147B"/>
    <w:rsid w:val="004F1C9F"/>
    <w:rsid w:val="004F2B3C"/>
    <w:rsid w:val="004F2CB5"/>
    <w:rsid w:val="004F2EAC"/>
    <w:rsid w:val="004F37AA"/>
    <w:rsid w:val="004F38F1"/>
    <w:rsid w:val="004F39D1"/>
    <w:rsid w:val="004F444D"/>
    <w:rsid w:val="004F46FB"/>
    <w:rsid w:val="004F4891"/>
    <w:rsid w:val="004F533E"/>
    <w:rsid w:val="004F5345"/>
    <w:rsid w:val="004F5839"/>
    <w:rsid w:val="004F5A28"/>
    <w:rsid w:val="004F5B9B"/>
    <w:rsid w:val="004F5C36"/>
    <w:rsid w:val="004F62C4"/>
    <w:rsid w:val="004F674A"/>
    <w:rsid w:val="004F6D29"/>
    <w:rsid w:val="004F6D3F"/>
    <w:rsid w:val="004F6DFF"/>
    <w:rsid w:val="004F6E45"/>
    <w:rsid w:val="004F6F75"/>
    <w:rsid w:val="004F7160"/>
    <w:rsid w:val="004F7366"/>
    <w:rsid w:val="004F74A2"/>
    <w:rsid w:val="004F74C3"/>
    <w:rsid w:val="004F77AF"/>
    <w:rsid w:val="004F781B"/>
    <w:rsid w:val="004F7CB8"/>
    <w:rsid w:val="004F7FB9"/>
    <w:rsid w:val="004F7FFD"/>
    <w:rsid w:val="005000A8"/>
    <w:rsid w:val="00500153"/>
    <w:rsid w:val="0050032D"/>
    <w:rsid w:val="0050047F"/>
    <w:rsid w:val="00500594"/>
    <w:rsid w:val="00500896"/>
    <w:rsid w:val="00500AB0"/>
    <w:rsid w:val="00500B40"/>
    <w:rsid w:val="00500FBD"/>
    <w:rsid w:val="00500FDC"/>
    <w:rsid w:val="00501019"/>
    <w:rsid w:val="005010A1"/>
    <w:rsid w:val="00501323"/>
    <w:rsid w:val="005015BE"/>
    <w:rsid w:val="00501702"/>
    <w:rsid w:val="00501ABD"/>
    <w:rsid w:val="00502511"/>
    <w:rsid w:val="0050251F"/>
    <w:rsid w:val="005026A9"/>
    <w:rsid w:val="005026E4"/>
    <w:rsid w:val="00502CCB"/>
    <w:rsid w:val="00503712"/>
    <w:rsid w:val="005037D7"/>
    <w:rsid w:val="00503864"/>
    <w:rsid w:val="005038FA"/>
    <w:rsid w:val="0050398F"/>
    <w:rsid w:val="00503A64"/>
    <w:rsid w:val="00503EA4"/>
    <w:rsid w:val="00503F1A"/>
    <w:rsid w:val="00504076"/>
    <w:rsid w:val="00504C35"/>
    <w:rsid w:val="00504CCF"/>
    <w:rsid w:val="00504FF6"/>
    <w:rsid w:val="00505072"/>
    <w:rsid w:val="00505875"/>
    <w:rsid w:val="00505A38"/>
    <w:rsid w:val="00505CBD"/>
    <w:rsid w:val="00505EB4"/>
    <w:rsid w:val="00505F5D"/>
    <w:rsid w:val="00506251"/>
    <w:rsid w:val="0050643E"/>
    <w:rsid w:val="005064FF"/>
    <w:rsid w:val="00506821"/>
    <w:rsid w:val="00506A76"/>
    <w:rsid w:val="00506B59"/>
    <w:rsid w:val="00506B88"/>
    <w:rsid w:val="00506BAB"/>
    <w:rsid w:val="00506CED"/>
    <w:rsid w:val="00506E75"/>
    <w:rsid w:val="00507020"/>
    <w:rsid w:val="005070B6"/>
    <w:rsid w:val="00507192"/>
    <w:rsid w:val="00507229"/>
    <w:rsid w:val="00507509"/>
    <w:rsid w:val="005078BA"/>
    <w:rsid w:val="00507C57"/>
    <w:rsid w:val="00507D56"/>
    <w:rsid w:val="005100B6"/>
    <w:rsid w:val="0051022F"/>
    <w:rsid w:val="0051058B"/>
    <w:rsid w:val="00510605"/>
    <w:rsid w:val="0051061F"/>
    <w:rsid w:val="005106FA"/>
    <w:rsid w:val="00510949"/>
    <w:rsid w:val="005109F6"/>
    <w:rsid w:val="00510E70"/>
    <w:rsid w:val="00510FA4"/>
    <w:rsid w:val="0051106D"/>
    <w:rsid w:val="0051146C"/>
    <w:rsid w:val="00511748"/>
    <w:rsid w:val="005117AD"/>
    <w:rsid w:val="0051189A"/>
    <w:rsid w:val="00511981"/>
    <w:rsid w:val="005119E1"/>
    <w:rsid w:val="005119EB"/>
    <w:rsid w:val="00511C11"/>
    <w:rsid w:val="00511D0D"/>
    <w:rsid w:val="00511DAC"/>
    <w:rsid w:val="0051220B"/>
    <w:rsid w:val="0051234D"/>
    <w:rsid w:val="005128B4"/>
    <w:rsid w:val="0051295D"/>
    <w:rsid w:val="00512A48"/>
    <w:rsid w:val="00512E45"/>
    <w:rsid w:val="00512F12"/>
    <w:rsid w:val="0051301F"/>
    <w:rsid w:val="00513195"/>
    <w:rsid w:val="00513558"/>
    <w:rsid w:val="005139B8"/>
    <w:rsid w:val="005139EE"/>
    <w:rsid w:val="00513C6F"/>
    <w:rsid w:val="00513DD4"/>
    <w:rsid w:val="00513DEB"/>
    <w:rsid w:val="005142B3"/>
    <w:rsid w:val="00514757"/>
    <w:rsid w:val="00514859"/>
    <w:rsid w:val="005149E8"/>
    <w:rsid w:val="00514DDB"/>
    <w:rsid w:val="00514F35"/>
    <w:rsid w:val="00515270"/>
    <w:rsid w:val="00515354"/>
    <w:rsid w:val="0051546C"/>
    <w:rsid w:val="00516360"/>
    <w:rsid w:val="005165B2"/>
    <w:rsid w:val="005166D9"/>
    <w:rsid w:val="00516934"/>
    <w:rsid w:val="00516EEF"/>
    <w:rsid w:val="005172F7"/>
    <w:rsid w:val="005177B5"/>
    <w:rsid w:val="00517A35"/>
    <w:rsid w:val="00517C52"/>
    <w:rsid w:val="00517E3F"/>
    <w:rsid w:val="00517F01"/>
    <w:rsid w:val="005201B8"/>
    <w:rsid w:val="0052027A"/>
    <w:rsid w:val="00520357"/>
    <w:rsid w:val="005203DB"/>
    <w:rsid w:val="005206A0"/>
    <w:rsid w:val="0052078B"/>
    <w:rsid w:val="00520877"/>
    <w:rsid w:val="00520B98"/>
    <w:rsid w:val="00520CA7"/>
    <w:rsid w:val="00520D24"/>
    <w:rsid w:val="00520FBE"/>
    <w:rsid w:val="0052139E"/>
    <w:rsid w:val="0052180B"/>
    <w:rsid w:val="00521922"/>
    <w:rsid w:val="00521A50"/>
    <w:rsid w:val="00521F3D"/>
    <w:rsid w:val="0052246A"/>
    <w:rsid w:val="00522913"/>
    <w:rsid w:val="00522ADA"/>
    <w:rsid w:val="00522B2E"/>
    <w:rsid w:val="00522EE7"/>
    <w:rsid w:val="005231BD"/>
    <w:rsid w:val="00523EA4"/>
    <w:rsid w:val="005240B6"/>
    <w:rsid w:val="005240CE"/>
    <w:rsid w:val="0052444C"/>
    <w:rsid w:val="005244B3"/>
    <w:rsid w:val="00524C84"/>
    <w:rsid w:val="00524E2C"/>
    <w:rsid w:val="00524FC3"/>
    <w:rsid w:val="005251DE"/>
    <w:rsid w:val="005251E6"/>
    <w:rsid w:val="005252A7"/>
    <w:rsid w:val="005253C9"/>
    <w:rsid w:val="005254F1"/>
    <w:rsid w:val="00525671"/>
    <w:rsid w:val="00525C4F"/>
    <w:rsid w:val="00525D10"/>
    <w:rsid w:val="00525D66"/>
    <w:rsid w:val="0052616E"/>
    <w:rsid w:val="00526303"/>
    <w:rsid w:val="005269CB"/>
    <w:rsid w:val="00526A7D"/>
    <w:rsid w:val="00526AC4"/>
    <w:rsid w:val="00526F49"/>
    <w:rsid w:val="00527078"/>
    <w:rsid w:val="005278B7"/>
    <w:rsid w:val="005278D0"/>
    <w:rsid w:val="00527CE9"/>
    <w:rsid w:val="00527E05"/>
    <w:rsid w:val="00530219"/>
    <w:rsid w:val="00530554"/>
    <w:rsid w:val="005306C7"/>
    <w:rsid w:val="00530A13"/>
    <w:rsid w:val="00530A3D"/>
    <w:rsid w:val="00530C17"/>
    <w:rsid w:val="00530D60"/>
    <w:rsid w:val="00530DBE"/>
    <w:rsid w:val="00530DFD"/>
    <w:rsid w:val="00530EBD"/>
    <w:rsid w:val="005310F7"/>
    <w:rsid w:val="00531131"/>
    <w:rsid w:val="0053141A"/>
    <w:rsid w:val="00531511"/>
    <w:rsid w:val="00531727"/>
    <w:rsid w:val="00531775"/>
    <w:rsid w:val="00531FD2"/>
    <w:rsid w:val="005326DB"/>
    <w:rsid w:val="005329BA"/>
    <w:rsid w:val="00532D3A"/>
    <w:rsid w:val="00532EC8"/>
    <w:rsid w:val="005331BE"/>
    <w:rsid w:val="005331FF"/>
    <w:rsid w:val="00533736"/>
    <w:rsid w:val="00533738"/>
    <w:rsid w:val="0053374D"/>
    <w:rsid w:val="00533914"/>
    <w:rsid w:val="00533CB1"/>
    <w:rsid w:val="00533E83"/>
    <w:rsid w:val="00534019"/>
    <w:rsid w:val="00534124"/>
    <w:rsid w:val="005341CC"/>
    <w:rsid w:val="00534583"/>
    <w:rsid w:val="00534621"/>
    <w:rsid w:val="0053489E"/>
    <w:rsid w:val="00534CAF"/>
    <w:rsid w:val="00534D53"/>
    <w:rsid w:val="00534EE8"/>
    <w:rsid w:val="0053522C"/>
    <w:rsid w:val="00535483"/>
    <w:rsid w:val="0053560C"/>
    <w:rsid w:val="005359AC"/>
    <w:rsid w:val="00535B2A"/>
    <w:rsid w:val="00535D4C"/>
    <w:rsid w:val="005363A2"/>
    <w:rsid w:val="005366A7"/>
    <w:rsid w:val="00536E73"/>
    <w:rsid w:val="00537188"/>
    <w:rsid w:val="0053749C"/>
    <w:rsid w:val="00537A28"/>
    <w:rsid w:val="00537A7A"/>
    <w:rsid w:val="00537CE4"/>
    <w:rsid w:val="00537D50"/>
    <w:rsid w:val="00537F65"/>
    <w:rsid w:val="00540042"/>
    <w:rsid w:val="0054060A"/>
    <w:rsid w:val="00540F98"/>
    <w:rsid w:val="00540FC0"/>
    <w:rsid w:val="00541725"/>
    <w:rsid w:val="005418A8"/>
    <w:rsid w:val="005418FF"/>
    <w:rsid w:val="00541ECC"/>
    <w:rsid w:val="00542044"/>
    <w:rsid w:val="00542280"/>
    <w:rsid w:val="005424EA"/>
    <w:rsid w:val="0054252F"/>
    <w:rsid w:val="005425AF"/>
    <w:rsid w:val="005427EF"/>
    <w:rsid w:val="00542A62"/>
    <w:rsid w:val="00542A77"/>
    <w:rsid w:val="00542C21"/>
    <w:rsid w:val="00542C2A"/>
    <w:rsid w:val="00542D6F"/>
    <w:rsid w:val="00543226"/>
    <w:rsid w:val="00543371"/>
    <w:rsid w:val="00543A00"/>
    <w:rsid w:val="00543ED4"/>
    <w:rsid w:val="005440DA"/>
    <w:rsid w:val="00544281"/>
    <w:rsid w:val="005442FD"/>
    <w:rsid w:val="00544705"/>
    <w:rsid w:val="005448F0"/>
    <w:rsid w:val="005449B2"/>
    <w:rsid w:val="00544A9D"/>
    <w:rsid w:val="00544AED"/>
    <w:rsid w:val="00544C6C"/>
    <w:rsid w:val="00544F1E"/>
    <w:rsid w:val="00545127"/>
    <w:rsid w:val="0054523B"/>
    <w:rsid w:val="00545511"/>
    <w:rsid w:val="00545674"/>
    <w:rsid w:val="0054581D"/>
    <w:rsid w:val="00545B0C"/>
    <w:rsid w:val="0054603E"/>
    <w:rsid w:val="00546288"/>
    <w:rsid w:val="005469BD"/>
    <w:rsid w:val="00546D4F"/>
    <w:rsid w:val="005470FF"/>
    <w:rsid w:val="005472B4"/>
    <w:rsid w:val="00547704"/>
    <w:rsid w:val="00550011"/>
    <w:rsid w:val="0055067C"/>
    <w:rsid w:val="00550AD8"/>
    <w:rsid w:val="00550AF8"/>
    <w:rsid w:val="00550F24"/>
    <w:rsid w:val="0055100F"/>
    <w:rsid w:val="00551643"/>
    <w:rsid w:val="00551CD1"/>
    <w:rsid w:val="00551ED2"/>
    <w:rsid w:val="00552016"/>
    <w:rsid w:val="005520B9"/>
    <w:rsid w:val="0055235C"/>
    <w:rsid w:val="00552518"/>
    <w:rsid w:val="005525CE"/>
    <w:rsid w:val="0055262B"/>
    <w:rsid w:val="00552856"/>
    <w:rsid w:val="00552B76"/>
    <w:rsid w:val="00552D49"/>
    <w:rsid w:val="00552D9A"/>
    <w:rsid w:val="00552E9B"/>
    <w:rsid w:val="0055358B"/>
    <w:rsid w:val="00553A06"/>
    <w:rsid w:val="00553B25"/>
    <w:rsid w:val="00553C7C"/>
    <w:rsid w:val="00553EBA"/>
    <w:rsid w:val="00553F34"/>
    <w:rsid w:val="00554164"/>
    <w:rsid w:val="005541D0"/>
    <w:rsid w:val="005543C3"/>
    <w:rsid w:val="005543F5"/>
    <w:rsid w:val="00554802"/>
    <w:rsid w:val="00554DCB"/>
    <w:rsid w:val="00554EBE"/>
    <w:rsid w:val="00555243"/>
    <w:rsid w:val="0055531D"/>
    <w:rsid w:val="005556B4"/>
    <w:rsid w:val="00555994"/>
    <w:rsid w:val="00555B06"/>
    <w:rsid w:val="00555C45"/>
    <w:rsid w:val="00555C4B"/>
    <w:rsid w:val="00555C87"/>
    <w:rsid w:val="00555DB7"/>
    <w:rsid w:val="005560DB"/>
    <w:rsid w:val="00556214"/>
    <w:rsid w:val="0055696D"/>
    <w:rsid w:val="00556C9C"/>
    <w:rsid w:val="00556EE2"/>
    <w:rsid w:val="0055719E"/>
    <w:rsid w:val="005578CB"/>
    <w:rsid w:val="00557D76"/>
    <w:rsid w:val="00557DB9"/>
    <w:rsid w:val="00557DFB"/>
    <w:rsid w:val="00560132"/>
    <w:rsid w:val="005601C8"/>
    <w:rsid w:val="005601D9"/>
    <w:rsid w:val="005603B1"/>
    <w:rsid w:val="00560405"/>
    <w:rsid w:val="0056065A"/>
    <w:rsid w:val="005607D4"/>
    <w:rsid w:val="005608D9"/>
    <w:rsid w:val="00560911"/>
    <w:rsid w:val="00560CA2"/>
    <w:rsid w:val="00560CB7"/>
    <w:rsid w:val="00560F6A"/>
    <w:rsid w:val="0056140F"/>
    <w:rsid w:val="00561620"/>
    <w:rsid w:val="005616A2"/>
    <w:rsid w:val="00561963"/>
    <w:rsid w:val="00561E8E"/>
    <w:rsid w:val="00561EA4"/>
    <w:rsid w:val="00562515"/>
    <w:rsid w:val="00562520"/>
    <w:rsid w:val="00562DE2"/>
    <w:rsid w:val="00562F7C"/>
    <w:rsid w:val="00563048"/>
    <w:rsid w:val="005639A7"/>
    <w:rsid w:val="005639F7"/>
    <w:rsid w:val="00563D47"/>
    <w:rsid w:val="00563D6D"/>
    <w:rsid w:val="005641F2"/>
    <w:rsid w:val="00564779"/>
    <w:rsid w:val="005649AA"/>
    <w:rsid w:val="00564CCD"/>
    <w:rsid w:val="00564D27"/>
    <w:rsid w:val="00564E21"/>
    <w:rsid w:val="00565103"/>
    <w:rsid w:val="005652AF"/>
    <w:rsid w:val="0056534D"/>
    <w:rsid w:val="00565B7A"/>
    <w:rsid w:val="00565CBB"/>
    <w:rsid w:val="00565DD0"/>
    <w:rsid w:val="005661E1"/>
    <w:rsid w:val="005667D7"/>
    <w:rsid w:val="005669E5"/>
    <w:rsid w:val="00566A18"/>
    <w:rsid w:val="00566B61"/>
    <w:rsid w:val="00566C6D"/>
    <w:rsid w:val="00567120"/>
    <w:rsid w:val="005675E2"/>
    <w:rsid w:val="00567914"/>
    <w:rsid w:val="00567A1C"/>
    <w:rsid w:val="00567E7A"/>
    <w:rsid w:val="00570370"/>
    <w:rsid w:val="005703B6"/>
    <w:rsid w:val="0057058D"/>
    <w:rsid w:val="0057069C"/>
    <w:rsid w:val="00570C33"/>
    <w:rsid w:val="00570F7F"/>
    <w:rsid w:val="00570F99"/>
    <w:rsid w:val="00570FDE"/>
    <w:rsid w:val="005710D4"/>
    <w:rsid w:val="0057122E"/>
    <w:rsid w:val="0057122F"/>
    <w:rsid w:val="00571468"/>
    <w:rsid w:val="00571508"/>
    <w:rsid w:val="005718A5"/>
    <w:rsid w:val="00571912"/>
    <w:rsid w:val="005719E4"/>
    <w:rsid w:val="00571BFE"/>
    <w:rsid w:val="005721FC"/>
    <w:rsid w:val="00572259"/>
    <w:rsid w:val="0057229F"/>
    <w:rsid w:val="00572507"/>
    <w:rsid w:val="00572A23"/>
    <w:rsid w:val="00572B9E"/>
    <w:rsid w:val="00572D28"/>
    <w:rsid w:val="00572EDA"/>
    <w:rsid w:val="00572EF5"/>
    <w:rsid w:val="00572F08"/>
    <w:rsid w:val="005730EE"/>
    <w:rsid w:val="005731AB"/>
    <w:rsid w:val="0057322A"/>
    <w:rsid w:val="00574166"/>
    <w:rsid w:val="005743F8"/>
    <w:rsid w:val="00574B18"/>
    <w:rsid w:val="00574BA2"/>
    <w:rsid w:val="00574C71"/>
    <w:rsid w:val="00574E2E"/>
    <w:rsid w:val="0057500D"/>
    <w:rsid w:val="0057554C"/>
    <w:rsid w:val="00575EE6"/>
    <w:rsid w:val="00575FF9"/>
    <w:rsid w:val="0057603E"/>
    <w:rsid w:val="00576693"/>
    <w:rsid w:val="0057674A"/>
    <w:rsid w:val="00576C70"/>
    <w:rsid w:val="00576E50"/>
    <w:rsid w:val="005775DB"/>
    <w:rsid w:val="00577957"/>
    <w:rsid w:val="00577BBD"/>
    <w:rsid w:val="00577ECA"/>
    <w:rsid w:val="00580155"/>
    <w:rsid w:val="00580232"/>
    <w:rsid w:val="00580549"/>
    <w:rsid w:val="0058064C"/>
    <w:rsid w:val="0058085D"/>
    <w:rsid w:val="0058096D"/>
    <w:rsid w:val="00580D94"/>
    <w:rsid w:val="00580FBC"/>
    <w:rsid w:val="00581161"/>
    <w:rsid w:val="005812DB"/>
    <w:rsid w:val="005816DB"/>
    <w:rsid w:val="00581965"/>
    <w:rsid w:val="00581D61"/>
    <w:rsid w:val="005820ED"/>
    <w:rsid w:val="00582235"/>
    <w:rsid w:val="00582763"/>
    <w:rsid w:val="005829B8"/>
    <w:rsid w:val="005829BA"/>
    <w:rsid w:val="00582A08"/>
    <w:rsid w:val="00582D79"/>
    <w:rsid w:val="00582D8D"/>
    <w:rsid w:val="00582E53"/>
    <w:rsid w:val="00583108"/>
    <w:rsid w:val="005833BF"/>
    <w:rsid w:val="005833CF"/>
    <w:rsid w:val="005834AE"/>
    <w:rsid w:val="00583B04"/>
    <w:rsid w:val="00583D2F"/>
    <w:rsid w:val="005840C5"/>
    <w:rsid w:val="005841C2"/>
    <w:rsid w:val="0058441C"/>
    <w:rsid w:val="0058449F"/>
    <w:rsid w:val="0058482B"/>
    <w:rsid w:val="00584B58"/>
    <w:rsid w:val="00584C3A"/>
    <w:rsid w:val="00584EAA"/>
    <w:rsid w:val="005850E7"/>
    <w:rsid w:val="0058511B"/>
    <w:rsid w:val="0058549C"/>
    <w:rsid w:val="00585533"/>
    <w:rsid w:val="005859E7"/>
    <w:rsid w:val="00585B37"/>
    <w:rsid w:val="00585F76"/>
    <w:rsid w:val="005862D2"/>
    <w:rsid w:val="00586506"/>
    <w:rsid w:val="00586795"/>
    <w:rsid w:val="0058696A"/>
    <w:rsid w:val="00586FD1"/>
    <w:rsid w:val="00587446"/>
    <w:rsid w:val="00587669"/>
    <w:rsid w:val="00587C64"/>
    <w:rsid w:val="0059019F"/>
    <w:rsid w:val="005908E9"/>
    <w:rsid w:val="00590949"/>
    <w:rsid w:val="00590B47"/>
    <w:rsid w:val="00590B7F"/>
    <w:rsid w:val="00590DE8"/>
    <w:rsid w:val="00590FB4"/>
    <w:rsid w:val="00590FBF"/>
    <w:rsid w:val="00591369"/>
    <w:rsid w:val="005917E3"/>
    <w:rsid w:val="00591957"/>
    <w:rsid w:val="00591B7A"/>
    <w:rsid w:val="00591BC0"/>
    <w:rsid w:val="00591FC1"/>
    <w:rsid w:val="00592285"/>
    <w:rsid w:val="00592521"/>
    <w:rsid w:val="0059257B"/>
    <w:rsid w:val="005928B4"/>
    <w:rsid w:val="00592F28"/>
    <w:rsid w:val="00593131"/>
    <w:rsid w:val="005933A5"/>
    <w:rsid w:val="00593434"/>
    <w:rsid w:val="00593475"/>
    <w:rsid w:val="0059353A"/>
    <w:rsid w:val="0059353C"/>
    <w:rsid w:val="00593540"/>
    <w:rsid w:val="00593907"/>
    <w:rsid w:val="00593DCD"/>
    <w:rsid w:val="00593DEF"/>
    <w:rsid w:val="00593F56"/>
    <w:rsid w:val="0059409A"/>
    <w:rsid w:val="00594183"/>
    <w:rsid w:val="005944D7"/>
    <w:rsid w:val="005945F5"/>
    <w:rsid w:val="005947E2"/>
    <w:rsid w:val="00594A5A"/>
    <w:rsid w:val="00594B6F"/>
    <w:rsid w:val="00594DE2"/>
    <w:rsid w:val="005952E2"/>
    <w:rsid w:val="00595429"/>
    <w:rsid w:val="00595560"/>
    <w:rsid w:val="00595727"/>
    <w:rsid w:val="00595A13"/>
    <w:rsid w:val="00595B0E"/>
    <w:rsid w:val="00595B50"/>
    <w:rsid w:val="00595BDD"/>
    <w:rsid w:val="00595C83"/>
    <w:rsid w:val="005961AF"/>
    <w:rsid w:val="0059624D"/>
    <w:rsid w:val="00596264"/>
    <w:rsid w:val="0059629C"/>
    <w:rsid w:val="005966E2"/>
    <w:rsid w:val="005967E6"/>
    <w:rsid w:val="00596936"/>
    <w:rsid w:val="00596F1D"/>
    <w:rsid w:val="005971EA"/>
    <w:rsid w:val="00597453"/>
    <w:rsid w:val="005974B6"/>
    <w:rsid w:val="00597642"/>
    <w:rsid w:val="00597DA4"/>
    <w:rsid w:val="00597F80"/>
    <w:rsid w:val="005A09E7"/>
    <w:rsid w:val="005A0B8F"/>
    <w:rsid w:val="005A0C39"/>
    <w:rsid w:val="005A0E71"/>
    <w:rsid w:val="005A0EE7"/>
    <w:rsid w:val="005A0F5E"/>
    <w:rsid w:val="005A1356"/>
    <w:rsid w:val="005A13A4"/>
    <w:rsid w:val="005A1449"/>
    <w:rsid w:val="005A149B"/>
    <w:rsid w:val="005A152B"/>
    <w:rsid w:val="005A15A6"/>
    <w:rsid w:val="005A16D4"/>
    <w:rsid w:val="005A182B"/>
    <w:rsid w:val="005A1A0A"/>
    <w:rsid w:val="005A1D70"/>
    <w:rsid w:val="005A1DC4"/>
    <w:rsid w:val="005A2031"/>
    <w:rsid w:val="005A2117"/>
    <w:rsid w:val="005A22D8"/>
    <w:rsid w:val="005A234B"/>
    <w:rsid w:val="005A2764"/>
    <w:rsid w:val="005A2950"/>
    <w:rsid w:val="005A2D5B"/>
    <w:rsid w:val="005A2D9E"/>
    <w:rsid w:val="005A2F17"/>
    <w:rsid w:val="005A30FB"/>
    <w:rsid w:val="005A33BC"/>
    <w:rsid w:val="005A36E3"/>
    <w:rsid w:val="005A36F8"/>
    <w:rsid w:val="005A375F"/>
    <w:rsid w:val="005A38CB"/>
    <w:rsid w:val="005A39CD"/>
    <w:rsid w:val="005A3AE8"/>
    <w:rsid w:val="005A3D28"/>
    <w:rsid w:val="005A41B2"/>
    <w:rsid w:val="005A42F8"/>
    <w:rsid w:val="005A449A"/>
    <w:rsid w:val="005A4505"/>
    <w:rsid w:val="005A4DF4"/>
    <w:rsid w:val="005A4E97"/>
    <w:rsid w:val="005A4EA9"/>
    <w:rsid w:val="005A4F7F"/>
    <w:rsid w:val="005A5379"/>
    <w:rsid w:val="005A54B1"/>
    <w:rsid w:val="005A5629"/>
    <w:rsid w:val="005A569D"/>
    <w:rsid w:val="005A5751"/>
    <w:rsid w:val="005A5765"/>
    <w:rsid w:val="005A5C0D"/>
    <w:rsid w:val="005A5CB0"/>
    <w:rsid w:val="005A5E36"/>
    <w:rsid w:val="005A6731"/>
    <w:rsid w:val="005A675A"/>
    <w:rsid w:val="005A6782"/>
    <w:rsid w:val="005A678F"/>
    <w:rsid w:val="005A67FC"/>
    <w:rsid w:val="005A6B93"/>
    <w:rsid w:val="005A7353"/>
    <w:rsid w:val="005A7547"/>
    <w:rsid w:val="005A797D"/>
    <w:rsid w:val="005A7ABE"/>
    <w:rsid w:val="005B01F0"/>
    <w:rsid w:val="005B0675"/>
    <w:rsid w:val="005B0699"/>
    <w:rsid w:val="005B06B9"/>
    <w:rsid w:val="005B0D16"/>
    <w:rsid w:val="005B0E85"/>
    <w:rsid w:val="005B1004"/>
    <w:rsid w:val="005B101C"/>
    <w:rsid w:val="005B110E"/>
    <w:rsid w:val="005B1239"/>
    <w:rsid w:val="005B12FA"/>
    <w:rsid w:val="005B1E80"/>
    <w:rsid w:val="005B2115"/>
    <w:rsid w:val="005B261C"/>
    <w:rsid w:val="005B265C"/>
    <w:rsid w:val="005B2663"/>
    <w:rsid w:val="005B28AF"/>
    <w:rsid w:val="005B28FF"/>
    <w:rsid w:val="005B2BF9"/>
    <w:rsid w:val="005B2C17"/>
    <w:rsid w:val="005B2C61"/>
    <w:rsid w:val="005B305C"/>
    <w:rsid w:val="005B378D"/>
    <w:rsid w:val="005B3AC6"/>
    <w:rsid w:val="005B3AF2"/>
    <w:rsid w:val="005B3B29"/>
    <w:rsid w:val="005B40F9"/>
    <w:rsid w:val="005B420C"/>
    <w:rsid w:val="005B4346"/>
    <w:rsid w:val="005B43A3"/>
    <w:rsid w:val="005B440F"/>
    <w:rsid w:val="005B44D2"/>
    <w:rsid w:val="005B52CD"/>
    <w:rsid w:val="005B530F"/>
    <w:rsid w:val="005B563D"/>
    <w:rsid w:val="005B5694"/>
    <w:rsid w:val="005B583F"/>
    <w:rsid w:val="005B5979"/>
    <w:rsid w:val="005B5AAE"/>
    <w:rsid w:val="005B5DA8"/>
    <w:rsid w:val="005B5E11"/>
    <w:rsid w:val="005B673B"/>
    <w:rsid w:val="005B6BD6"/>
    <w:rsid w:val="005B7206"/>
    <w:rsid w:val="005B734C"/>
    <w:rsid w:val="005B74D3"/>
    <w:rsid w:val="005B770E"/>
    <w:rsid w:val="005C00D7"/>
    <w:rsid w:val="005C0224"/>
    <w:rsid w:val="005C06B7"/>
    <w:rsid w:val="005C086D"/>
    <w:rsid w:val="005C0AFA"/>
    <w:rsid w:val="005C0C35"/>
    <w:rsid w:val="005C0DD8"/>
    <w:rsid w:val="005C132E"/>
    <w:rsid w:val="005C1B36"/>
    <w:rsid w:val="005C1CEE"/>
    <w:rsid w:val="005C2452"/>
    <w:rsid w:val="005C25C8"/>
    <w:rsid w:val="005C272A"/>
    <w:rsid w:val="005C277D"/>
    <w:rsid w:val="005C2BAA"/>
    <w:rsid w:val="005C2F48"/>
    <w:rsid w:val="005C3112"/>
    <w:rsid w:val="005C31B6"/>
    <w:rsid w:val="005C3235"/>
    <w:rsid w:val="005C323A"/>
    <w:rsid w:val="005C32BC"/>
    <w:rsid w:val="005C35A3"/>
    <w:rsid w:val="005C35EA"/>
    <w:rsid w:val="005C37C3"/>
    <w:rsid w:val="005C38F8"/>
    <w:rsid w:val="005C3AF6"/>
    <w:rsid w:val="005C426E"/>
    <w:rsid w:val="005C4279"/>
    <w:rsid w:val="005C42F2"/>
    <w:rsid w:val="005C4345"/>
    <w:rsid w:val="005C437B"/>
    <w:rsid w:val="005C498C"/>
    <w:rsid w:val="005C4A2C"/>
    <w:rsid w:val="005C4BE6"/>
    <w:rsid w:val="005C4C69"/>
    <w:rsid w:val="005C512B"/>
    <w:rsid w:val="005C5188"/>
    <w:rsid w:val="005C5689"/>
    <w:rsid w:val="005C587A"/>
    <w:rsid w:val="005C58B5"/>
    <w:rsid w:val="005C591D"/>
    <w:rsid w:val="005C59C1"/>
    <w:rsid w:val="005C60AF"/>
    <w:rsid w:val="005C6551"/>
    <w:rsid w:val="005C6552"/>
    <w:rsid w:val="005C6638"/>
    <w:rsid w:val="005C67A8"/>
    <w:rsid w:val="005C6FE4"/>
    <w:rsid w:val="005C7009"/>
    <w:rsid w:val="005C70B1"/>
    <w:rsid w:val="005C74B1"/>
    <w:rsid w:val="005C74C7"/>
    <w:rsid w:val="005C7629"/>
    <w:rsid w:val="005C76A4"/>
    <w:rsid w:val="005C76DE"/>
    <w:rsid w:val="005C78C9"/>
    <w:rsid w:val="005C7A93"/>
    <w:rsid w:val="005C7BCE"/>
    <w:rsid w:val="005C7DDB"/>
    <w:rsid w:val="005C7E8C"/>
    <w:rsid w:val="005C7F0C"/>
    <w:rsid w:val="005C7F5B"/>
    <w:rsid w:val="005D00A6"/>
    <w:rsid w:val="005D026F"/>
    <w:rsid w:val="005D0E5B"/>
    <w:rsid w:val="005D0ED1"/>
    <w:rsid w:val="005D1057"/>
    <w:rsid w:val="005D124D"/>
    <w:rsid w:val="005D1399"/>
    <w:rsid w:val="005D16C6"/>
    <w:rsid w:val="005D1914"/>
    <w:rsid w:val="005D1A9E"/>
    <w:rsid w:val="005D1CD6"/>
    <w:rsid w:val="005D2301"/>
    <w:rsid w:val="005D23FD"/>
    <w:rsid w:val="005D241F"/>
    <w:rsid w:val="005D2643"/>
    <w:rsid w:val="005D26F2"/>
    <w:rsid w:val="005D28ED"/>
    <w:rsid w:val="005D2C20"/>
    <w:rsid w:val="005D2ED4"/>
    <w:rsid w:val="005D2F19"/>
    <w:rsid w:val="005D30FD"/>
    <w:rsid w:val="005D32C0"/>
    <w:rsid w:val="005D370A"/>
    <w:rsid w:val="005D38FD"/>
    <w:rsid w:val="005D3BB3"/>
    <w:rsid w:val="005D3C18"/>
    <w:rsid w:val="005D3F80"/>
    <w:rsid w:val="005D475D"/>
    <w:rsid w:val="005D4895"/>
    <w:rsid w:val="005D4CEF"/>
    <w:rsid w:val="005D503A"/>
    <w:rsid w:val="005D50EC"/>
    <w:rsid w:val="005D5559"/>
    <w:rsid w:val="005D5705"/>
    <w:rsid w:val="005D57E9"/>
    <w:rsid w:val="005D58B6"/>
    <w:rsid w:val="005D599F"/>
    <w:rsid w:val="005D5B01"/>
    <w:rsid w:val="005D5CF6"/>
    <w:rsid w:val="005D5DEC"/>
    <w:rsid w:val="005D6021"/>
    <w:rsid w:val="005D60DA"/>
    <w:rsid w:val="005D6787"/>
    <w:rsid w:val="005D695C"/>
    <w:rsid w:val="005D6A3E"/>
    <w:rsid w:val="005D6C3A"/>
    <w:rsid w:val="005D6DB0"/>
    <w:rsid w:val="005D6DC2"/>
    <w:rsid w:val="005D7656"/>
    <w:rsid w:val="005D7714"/>
    <w:rsid w:val="005D7CFE"/>
    <w:rsid w:val="005D7E72"/>
    <w:rsid w:val="005E0199"/>
    <w:rsid w:val="005E045B"/>
    <w:rsid w:val="005E04C2"/>
    <w:rsid w:val="005E050C"/>
    <w:rsid w:val="005E0759"/>
    <w:rsid w:val="005E0906"/>
    <w:rsid w:val="005E0D98"/>
    <w:rsid w:val="005E1121"/>
    <w:rsid w:val="005E152F"/>
    <w:rsid w:val="005E1695"/>
    <w:rsid w:val="005E169D"/>
    <w:rsid w:val="005E1BE0"/>
    <w:rsid w:val="005E1D6E"/>
    <w:rsid w:val="005E1F1C"/>
    <w:rsid w:val="005E2177"/>
    <w:rsid w:val="005E2287"/>
    <w:rsid w:val="005E228E"/>
    <w:rsid w:val="005E26CE"/>
    <w:rsid w:val="005E2746"/>
    <w:rsid w:val="005E2829"/>
    <w:rsid w:val="005E2BD5"/>
    <w:rsid w:val="005E2C31"/>
    <w:rsid w:val="005E2E02"/>
    <w:rsid w:val="005E2EAE"/>
    <w:rsid w:val="005E2EFC"/>
    <w:rsid w:val="005E38FE"/>
    <w:rsid w:val="005E3A88"/>
    <w:rsid w:val="005E3AD2"/>
    <w:rsid w:val="005E3AED"/>
    <w:rsid w:val="005E3C4B"/>
    <w:rsid w:val="005E3E50"/>
    <w:rsid w:val="005E40BF"/>
    <w:rsid w:val="005E40F0"/>
    <w:rsid w:val="005E4159"/>
    <w:rsid w:val="005E4A2F"/>
    <w:rsid w:val="005E4C83"/>
    <w:rsid w:val="005E4CA1"/>
    <w:rsid w:val="005E4FBB"/>
    <w:rsid w:val="005E504D"/>
    <w:rsid w:val="005E5538"/>
    <w:rsid w:val="005E5600"/>
    <w:rsid w:val="005E5AFD"/>
    <w:rsid w:val="005E5D8F"/>
    <w:rsid w:val="005E5EA4"/>
    <w:rsid w:val="005E5F55"/>
    <w:rsid w:val="005E65C2"/>
    <w:rsid w:val="005E6CEB"/>
    <w:rsid w:val="005E71BE"/>
    <w:rsid w:val="005E72BA"/>
    <w:rsid w:val="005E7BAD"/>
    <w:rsid w:val="005E7CB5"/>
    <w:rsid w:val="005F006D"/>
    <w:rsid w:val="005F00FE"/>
    <w:rsid w:val="005F07A7"/>
    <w:rsid w:val="005F07D1"/>
    <w:rsid w:val="005F0AC7"/>
    <w:rsid w:val="005F120D"/>
    <w:rsid w:val="005F13F7"/>
    <w:rsid w:val="005F1487"/>
    <w:rsid w:val="005F16FE"/>
    <w:rsid w:val="005F1F02"/>
    <w:rsid w:val="005F1F05"/>
    <w:rsid w:val="005F21F0"/>
    <w:rsid w:val="005F2222"/>
    <w:rsid w:val="005F2418"/>
    <w:rsid w:val="005F2642"/>
    <w:rsid w:val="005F265B"/>
    <w:rsid w:val="005F266A"/>
    <w:rsid w:val="005F2D14"/>
    <w:rsid w:val="005F3274"/>
    <w:rsid w:val="005F35ED"/>
    <w:rsid w:val="005F3630"/>
    <w:rsid w:val="005F38E9"/>
    <w:rsid w:val="005F38F0"/>
    <w:rsid w:val="005F39A6"/>
    <w:rsid w:val="005F3A20"/>
    <w:rsid w:val="005F3AE5"/>
    <w:rsid w:val="005F3C0B"/>
    <w:rsid w:val="005F3D22"/>
    <w:rsid w:val="005F4154"/>
    <w:rsid w:val="005F4264"/>
    <w:rsid w:val="005F4418"/>
    <w:rsid w:val="005F44F6"/>
    <w:rsid w:val="005F4554"/>
    <w:rsid w:val="005F48D8"/>
    <w:rsid w:val="005F4B0E"/>
    <w:rsid w:val="005F4BF9"/>
    <w:rsid w:val="005F4FD0"/>
    <w:rsid w:val="005F5077"/>
    <w:rsid w:val="005F50B6"/>
    <w:rsid w:val="005F53DC"/>
    <w:rsid w:val="005F5490"/>
    <w:rsid w:val="005F54F1"/>
    <w:rsid w:val="005F5512"/>
    <w:rsid w:val="005F5704"/>
    <w:rsid w:val="005F573E"/>
    <w:rsid w:val="005F58F0"/>
    <w:rsid w:val="005F5CFD"/>
    <w:rsid w:val="005F5F88"/>
    <w:rsid w:val="005F6067"/>
    <w:rsid w:val="005F60D9"/>
    <w:rsid w:val="005F61A9"/>
    <w:rsid w:val="005F6306"/>
    <w:rsid w:val="005F659E"/>
    <w:rsid w:val="005F68AB"/>
    <w:rsid w:val="005F68D7"/>
    <w:rsid w:val="005F7441"/>
    <w:rsid w:val="005F7483"/>
    <w:rsid w:val="005F765F"/>
    <w:rsid w:val="005F7C63"/>
    <w:rsid w:val="005F7E4D"/>
    <w:rsid w:val="00600105"/>
    <w:rsid w:val="0060013F"/>
    <w:rsid w:val="00600293"/>
    <w:rsid w:val="00600345"/>
    <w:rsid w:val="0060034C"/>
    <w:rsid w:val="00600592"/>
    <w:rsid w:val="00600A2C"/>
    <w:rsid w:val="00600D48"/>
    <w:rsid w:val="00600E79"/>
    <w:rsid w:val="00600E97"/>
    <w:rsid w:val="006024A1"/>
    <w:rsid w:val="006025D2"/>
    <w:rsid w:val="00602668"/>
    <w:rsid w:val="006027F6"/>
    <w:rsid w:val="006028AC"/>
    <w:rsid w:val="00602B7D"/>
    <w:rsid w:val="00602DC7"/>
    <w:rsid w:val="00602DE4"/>
    <w:rsid w:val="00602E7B"/>
    <w:rsid w:val="00602F9F"/>
    <w:rsid w:val="00602FA2"/>
    <w:rsid w:val="00603006"/>
    <w:rsid w:val="006033B6"/>
    <w:rsid w:val="006035DB"/>
    <w:rsid w:val="006041C8"/>
    <w:rsid w:val="006042FB"/>
    <w:rsid w:val="00604782"/>
    <w:rsid w:val="00604C7A"/>
    <w:rsid w:val="00604D4B"/>
    <w:rsid w:val="0060527C"/>
    <w:rsid w:val="00605323"/>
    <w:rsid w:val="00605363"/>
    <w:rsid w:val="00605AC6"/>
    <w:rsid w:val="00605BE4"/>
    <w:rsid w:val="00605D02"/>
    <w:rsid w:val="00605F20"/>
    <w:rsid w:val="00606150"/>
    <w:rsid w:val="00606169"/>
    <w:rsid w:val="00606B4A"/>
    <w:rsid w:val="00606D56"/>
    <w:rsid w:val="00606FF0"/>
    <w:rsid w:val="006078A2"/>
    <w:rsid w:val="006078C0"/>
    <w:rsid w:val="006079EA"/>
    <w:rsid w:val="00607BA6"/>
    <w:rsid w:val="00610028"/>
    <w:rsid w:val="00610191"/>
    <w:rsid w:val="00610197"/>
    <w:rsid w:val="00610614"/>
    <w:rsid w:val="00610CEE"/>
    <w:rsid w:val="006112A2"/>
    <w:rsid w:val="00611322"/>
    <w:rsid w:val="00611431"/>
    <w:rsid w:val="00611495"/>
    <w:rsid w:val="006117A7"/>
    <w:rsid w:val="00611B03"/>
    <w:rsid w:val="00612198"/>
    <w:rsid w:val="0061226B"/>
    <w:rsid w:val="00612418"/>
    <w:rsid w:val="00612663"/>
    <w:rsid w:val="006127F2"/>
    <w:rsid w:val="00612B23"/>
    <w:rsid w:val="00612BE9"/>
    <w:rsid w:val="00612E59"/>
    <w:rsid w:val="00612FE2"/>
    <w:rsid w:val="0061351D"/>
    <w:rsid w:val="00613568"/>
    <w:rsid w:val="006135AB"/>
    <w:rsid w:val="006138E9"/>
    <w:rsid w:val="00613A24"/>
    <w:rsid w:val="00613DC2"/>
    <w:rsid w:val="00613F8A"/>
    <w:rsid w:val="006143A9"/>
    <w:rsid w:val="0061448B"/>
    <w:rsid w:val="00614513"/>
    <w:rsid w:val="0061475E"/>
    <w:rsid w:val="00614E00"/>
    <w:rsid w:val="00614F84"/>
    <w:rsid w:val="00615822"/>
    <w:rsid w:val="00616070"/>
    <w:rsid w:val="00616AC9"/>
    <w:rsid w:val="00617154"/>
    <w:rsid w:val="006171A0"/>
    <w:rsid w:val="006171F1"/>
    <w:rsid w:val="0061750D"/>
    <w:rsid w:val="00617696"/>
    <w:rsid w:val="00617FF6"/>
    <w:rsid w:val="006200AC"/>
    <w:rsid w:val="00620996"/>
    <w:rsid w:val="00620D68"/>
    <w:rsid w:val="00621083"/>
    <w:rsid w:val="00621095"/>
    <w:rsid w:val="00621A1D"/>
    <w:rsid w:val="00621D45"/>
    <w:rsid w:val="00621DFD"/>
    <w:rsid w:val="00621E04"/>
    <w:rsid w:val="00621F74"/>
    <w:rsid w:val="00622106"/>
    <w:rsid w:val="006221BE"/>
    <w:rsid w:val="00622324"/>
    <w:rsid w:val="0062285F"/>
    <w:rsid w:val="00622D63"/>
    <w:rsid w:val="00622DBD"/>
    <w:rsid w:val="006232E7"/>
    <w:rsid w:val="006235AD"/>
    <w:rsid w:val="00623672"/>
    <w:rsid w:val="00623844"/>
    <w:rsid w:val="00623E69"/>
    <w:rsid w:val="00624052"/>
    <w:rsid w:val="00624265"/>
    <w:rsid w:val="0062446C"/>
    <w:rsid w:val="00624523"/>
    <w:rsid w:val="00624769"/>
    <w:rsid w:val="00624CA7"/>
    <w:rsid w:val="006250B9"/>
    <w:rsid w:val="006250FF"/>
    <w:rsid w:val="00625149"/>
    <w:rsid w:val="0062521A"/>
    <w:rsid w:val="00625978"/>
    <w:rsid w:val="0062599A"/>
    <w:rsid w:val="00625F0A"/>
    <w:rsid w:val="006260B3"/>
    <w:rsid w:val="0062610D"/>
    <w:rsid w:val="00626251"/>
    <w:rsid w:val="006263D0"/>
    <w:rsid w:val="006265AB"/>
    <w:rsid w:val="0062691F"/>
    <w:rsid w:val="00626934"/>
    <w:rsid w:val="006269CE"/>
    <w:rsid w:val="00626BF4"/>
    <w:rsid w:val="00627121"/>
    <w:rsid w:val="0062760C"/>
    <w:rsid w:val="006276AF"/>
    <w:rsid w:val="006276EE"/>
    <w:rsid w:val="00627DA3"/>
    <w:rsid w:val="00627E56"/>
    <w:rsid w:val="006302AA"/>
    <w:rsid w:val="0063036B"/>
    <w:rsid w:val="0063052D"/>
    <w:rsid w:val="0063056C"/>
    <w:rsid w:val="00630673"/>
    <w:rsid w:val="00630737"/>
    <w:rsid w:val="00630D27"/>
    <w:rsid w:val="00630E57"/>
    <w:rsid w:val="00630E9A"/>
    <w:rsid w:val="00630F5A"/>
    <w:rsid w:val="00631153"/>
    <w:rsid w:val="00631162"/>
    <w:rsid w:val="006312A7"/>
    <w:rsid w:val="006314D4"/>
    <w:rsid w:val="006315C7"/>
    <w:rsid w:val="00631996"/>
    <w:rsid w:val="00631D31"/>
    <w:rsid w:val="00631EEF"/>
    <w:rsid w:val="00631EF2"/>
    <w:rsid w:val="00631FB3"/>
    <w:rsid w:val="006324E0"/>
    <w:rsid w:val="00632553"/>
    <w:rsid w:val="00633254"/>
    <w:rsid w:val="006332A1"/>
    <w:rsid w:val="00633334"/>
    <w:rsid w:val="00633346"/>
    <w:rsid w:val="00633537"/>
    <w:rsid w:val="006338A4"/>
    <w:rsid w:val="00633941"/>
    <w:rsid w:val="00633B00"/>
    <w:rsid w:val="00633C6A"/>
    <w:rsid w:val="00633D3F"/>
    <w:rsid w:val="00634805"/>
    <w:rsid w:val="00634C8A"/>
    <w:rsid w:val="00634CE3"/>
    <w:rsid w:val="00634DA1"/>
    <w:rsid w:val="00634F2E"/>
    <w:rsid w:val="006350B2"/>
    <w:rsid w:val="006354FF"/>
    <w:rsid w:val="00635996"/>
    <w:rsid w:val="006359E2"/>
    <w:rsid w:val="00635DDD"/>
    <w:rsid w:val="00635F3F"/>
    <w:rsid w:val="00636178"/>
    <w:rsid w:val="0063628E"/>
    <w:rsid w:val="006364AB"/>
    <w:rsid w:val="006364BA"/>
    <w:rsid w:val="006364C4"/>
    <w:rsid w:val="0063664D"/>
    <w:rsid w:val="00636971"/>
    <w:rsid w:val="00636979"/>
    <w:rsid w:val="00636E8B"/>
    <w:rsid w:val="006372B8"/>
    <w:rsid w:val="0063754F"/>
    <w:rsid w:val="00637D62"/>
    <w:rsid w:val="00637E4A"/>
    <w:rsid w:val="00637E53"/>
    <w:rsid w:val="00640265"/>
    <w:rsid w:val="0064047C"/>
    <w:rsid w:val="00640565"/>
    <w:rsid w:val="00640609"/>
    <w:rsid w:val="0064065F"/>
    <w:rsid w:val="00640A41"/>
    <w:rsid w:val="00640CB2"/>
    <w:rsid w:val="00640F54"/>
    <w:rsid w:val="006414C9"/>
    <w:rsid w:val="006414F4"/>
    <w:rsid w:val="00641796"/>
    <w:rsid w:val="006419CC"/>
    <w:rsid w:val="00641AE5"/>
    <w:rsid w:val="00641D92"/>
    <w:rsid w:val="00641E87"/>
    <w:rsid w:val="006422E3"/>
    <w:rsid w:val="006427BC"/>
    <w:rsid w:val="00642A09"/>
    <w:rsid w:val="00643135"/>
    <w:rsid w:val="00643157"/>
    <w:rsid w:val="00643488"/>
    <w:rsid w:val="00643689"/>
    <w:rsid w:val="00643828"/>
    <w:rsid w:val="00643899"/>
    <w:rsid w:val="006438BA"/>
    <w:rsid w:val="00643E41"/>
    <w:rsid w:val="006444BA"/>
    <w:rsid w:val="00644808"/>
    <w:rsid w:val="00644BF2"/>
    <w:rsid w:val="00644C38"/>
    <w:rsid w:val="0064503A"/>
    <w:rsid w:val="006450A7"/>
    <w:rsid w:val="006451CC"/>
    <w:rsid w:val="00645274"/>
    <w:rsid w:val="00645703"/>
    <w:rsid w:val="00645AEC"/>
    <w:rsid w:val="00645B49"/>
    <w:rsid w:val="00645C44"/>
    <w:rsid w:val="00645D74"/>
    <w:rsid w:val="00645F47"/>
    <w:rsid w:val="00646232"/>
    <w:rsid w:val="006468AF"/>
    <w:rsid w:val="006468D5"/>
    <w:rsid w:val="0064699B"/>
    <w:rsid w:val="00646AE3"/>
    <w:rsid w:val="00646C4F"/>
    <w:rsid w:val="00646D47"/>
    <w:rsid w:val="00646D5A"/>
    <w:rsid w:val="00646E0F"/>
    <w:rsid w:val="006471F8"/>
    <w:rsid w:val="006478DA"/>
    <w:rsid w:val="00647C42"/>
    <w:rsid w:val="00647DE7"/>
    <w:rsid w:val="00647E6E"/>
    <w:rsid w:val="00647FE1"/>
    <w:rsid w:val="0065045D"/>
    <w:rsid w:val="006504B3"/>
    <w:rsid w:val="00650811"/>
    <w:rsid w:val="006509ED"/>
    <w:rsid w:val="00650EAA"/>
    <w:rsid w:val="00650F6B"/>
    <w:rsid w:val="00650FA1"/>
    <w:rsid w:val="00651191"/>
    <w:rsid w:val="00651442"/>
    <w:rsid w:val="00651B7E"/>
    <w:rsid w:val="00651F68"/>
    <w:rsid w:val="00652542"/>
    <w:rsid w:val="0065282B"/>
    <w:rsid w:val="00652AA1"/>
    <w:rsid w:val="00652D69"/>
    <w:rsid w:val="00652ECB"/>
    <w:rsid w:val="00652F12"/>
    <w:rsid w:val="00652F38"/>
    <w:rsid w:val="006530DF"/>
    <w:rsid w:val="00653126"/>
    <w:rsid w:val="006533EF"/>
    <w:rsid w:val="00653755"/>
    <w:rsid w:val="006537C9"/>
    <w:rsid w:val="006537DF"/>
    <w:rsid w:val="00653E57"/>
    <w:rsid w:val="00653EE3"/>
    <w:rsid w:val="006540EC"/>
    <w:rsid w:val="0065446F"/>
    <w:rsid w:val="00654817"/>
    <w:rsid w:val="0065488F"/>
    <w:rsid w:val="00654EE5"/>
    <w:rsid w:val="00655220"/>
    <w:rsid w:val="0065526E"/>
    <w:rsid w:val="00655462"/>
    <w:rsid w:val="006555BB"/>
    <w:rsid w:val="00655C67"/>
    <w:rsid w:val="0065608C"/>
    <w:rsid w:val="0065651F"/>
    <w:rsid w:val="00656743"/>
    <w:rsid w:val="006568A1"/>
    <w:rsid w:val="00656BD4"/>
    <w:rsid w:val="0065709E"/>
    <w:rsid w:val="0065734C"/>
    <w:rsid w:val="00657555"/>
    <w:rsid w:val="006578B5"/>
    <w:rsid w:val="00657934"/>
    <w:rsid w:val="00660035"/>
    <w:rsid w:val="00660076"/>
    <w:rsid w:val="00660110"/>
    <w:rsid w:val="00660138"/>
    <w:rsid w:val="006601DA"/>
    <w:rsid w:val="00660332"/>
    <w:rsid w:val="00660446"/>
    <w:rsid w:val="0066046C"/>
    <w:rsid w:val="006607E8"/>
    <w:rsid w:val="00660982"/>
    <w:rsid w:val="00660B64"/>
    <w:rsid w:val="006612BE"/>
    <w:rsid w:val="0066141B"/>
    <w:rsid w:val="00661614"/>
    <w:rsid w:val="00661BFC"/>
    <w:rsid w:val="00661DA1"/>
    <w:rsid w:val="00661E40"/>
    <w:rsid w:val="0066202D"/>
    <w:rsid w:val="006621E0"/>
    <w:rsid w:val="00662938"/>
    <w:rsid w:val="00662A65"/>
    <w:rsid w:val="00662C1B"/>
    <w:rsid w:val="00662D23"/>
    <w:rsid w:val="00662F90"/>
    <w:rsid w:val="006630F0"/>
    <w:rsid w:val="006630FC"/>
    <w:rsid w:val="0066345B"/>
    <w:rsid w:val="006634D0"/>
    <w:rsid w:val="006635F4"/>
    <w:rsid w:val="0066361D"/>
    <w:rsid w:val="00663CF0"/>
    <w:rsid w:val="00663EDF"/>
    <w:rsid w:val="00664056"/>
    <w:rsid w:val="00664266"/>
    <w:rsid w:val="00664307"/>
    <w:rsid w:val="0066496B"/>
    <w:rsid w:val="00664C72"/>
    <w:rsid w:val="00664DBA"/>
    <w:rsid w:val="00664F8A"/>
    <w:rsid w:val="0066544F"/>
    <w:rsid w:val="00665521"/>
    <w:rsid w:val="00665B73"/>
    <w:rsid w:val="00665DED"/>
    <w:rsid w:val="006664B9"/>
    <w:rsid w:val="0066663E"/>
    <w:rsid w:val="00666762"/>
    <w:rsid w:val="00666D79"/>
    <w:rsid w:val="00666DED"/>
    <w:rsid w:val="00666F50"/>
    <w:rsid w:val="00666FCE"/>
    <w:rsid w:val="0066705E"/>
    <w:rsid w:val="006672F9"/>
    <w:rsid w:val="00667620"/>
    <w:rsid w:val="00667D2D"/>
    <w:rsid w:val="00670100"/>
    <w:rsid w:val="00670887"/>
    <w:rsid w:val="006708A2"/>
    <w:rsid w:val="00670986"/>
    <w:rsid w:val="00670A08"/>
    <w:rsid w:val="00670AC9"/>
    <w:rsid w:val="00670CDE"/>
    <w:rsid w:val="00670E38"/>
    <w:rsid w:val="00670FA8"/>
    <w:rsid w:val="006714F5"/>
    <w:rsid w:val="006716B4"/>
    <w:rsid w:val="006717EE"/>
    <w:rsid w:val="0067181D"/>
    <w:rsid w:val="00671B83"/>
    <w:rsid w:val="006720BE"/>
    <w:rsid w:val="006720E0"/>
    <w:rsid w:val="0067228F"/>
    <w:rsid w:val="00672781"/>
    <w:rsid w:val="00672987"/>
    <w:rsid w:val="00672BE0"/>
    <w:rsid w:val="00673029"/>
    <w:rsid w:val="00673145"/>
    <w:rsid w:val="00673169"/>
    <w:rsid w:val="00673384"/>
    <w:rsid w:val="00673A10"/>
    <w:rsid w:val="00673D74"/>
    <w:rsid w:val="00674198"/>
    <w:rsid w:val="0067439F"/>
    <w:rsid w:val="006743B0"/>
    <w:rsid w:val="0067442D"/>
    <w:rsid w:val="00674664"/>
    <w:rsid w:val="00674767"/>
    <w:rsid w:val="0067486A"/>
    <w:rsid w:val="00674A0F"/>
    <w:rsid w:val="00674A11"/>
    <w:rsid w:val="00674F6F"/>
    <w:rsid w:val="00674FB4"/>
    <w:rsid w:val="00674FDC"/>
    <w:rsid w:val="006753E0"/>
    <w:rsid w:val="00675631"/>
    <w:rsid w:val="006757CA"/>
    <w:rsid w:val="00675808"/>
    <w:rsid w:val="00675E0D"/>
    <w:rsid w:val="00675E2E"/>
    <w:rsid w:val="00675E34"/>
    <w:rsid w:val="006760F2"/>
    <w:rsid w:val="006761CC"/>
    <w:rsid w:val="006761FE"/>
    <w:rsid w:val="0067626A"/>
    <w:rsid w:val="006763A6"/>
    <w:rsid w:val="006766DC"/>
    <w:rsid w:val="00676A00"/>
    <w:rsid w:val="00676C60"/>
    <w:rsid w:val="006771D1"/>
    <w:rsid w:val="00677280"/>
    <w:rsid w:val="006772B4"/>
    <w:rsid w:val="006774CC"/>
    <w:rsid w:val="00677687"/>
    <w:rsid w:val="006777BD"/>
    <w:rsid w:val="00677AF7"/>
    <w:rsid w:val="00677F4B"/>
    <w:rsid w:val="00677F84"/>
    <w:rsid w:val="0068013D"/>
    <w:rsid w:val="006801A5"/>
    <w:rsid w:val="006804EF"/>
    <w:rsid w:val="00680529"/>
    <w:rsid w:val="00680C3D"/>
    <w:rsid w:val="0068180F"/>
    <w:rsid w:val="00681816"/>
    <w:rsid w:val="006819A0"/>
    <w:rsid w:val="00681DA1"/>
    <w:rsid w:val="00681FEB"/>
    <w:rsid w:val="0068248C"/>
    <w:rsid w:val="006825FA"/>
    <w:rsid w:val="00682735"/>
    <w:rsid w:val="00682B8B"/>
    <w:rsid w:val="00682DD9"/>
    <w:rsid w:val="006833E5"/>
    <w:rsid w:val="006834A7"/>
    <w:rsid w:val="006834B6"/>
    <w:rsid w:val="006835B7"/>
    <w:rsid w:val="0068366E"/>
    <w:rsid w:val="00683863"/>
    <w:rsid w:val="00683C10"/>
    <w:rsid w:val="006840CF"/>
    <w:rsid w:val="006846E6"/>
    <w:rsid w:val="0068486D"/>
    <w:rsid w:val="00684C30"/>
    <w:rsid w:val="00684D0A"/>
    <w:rsid w:val="00684DA1"/>
    <w:rsid w:val="006850F1"/>
    <w:rsid w:val="006850FE"/>
    <w:rsid w:val="0068576D"/>
    <w:rsid w:val="00685801"/>
    <w:rsid w:val="006859F1"/>
    <w:rsid w:val="00685AE2"/>
    <w:rsid w:val="00685B31"/>
    <w:rsid w:val="00685C91"/>
    <w:rsid w:val="00685F93"/>
    <w:rsid w:val="006860B8"/>
    <w:rsid w:val="00686382"/>
    <w:rsid w:val="00686753"/>
    <w:rsid w:val="00686920"/>
    <w:rsid w:val="00686B48"/>
    <w:rsid w:val="00686BC0"/>
    <w:rsid w:val="0068724D"/>
    <w:rsid w:val="006877AD"/>
    <w:rsid w:val="0068794D"/>
    <w:rsid w:val="0068796A"/>
    <w:rsid w:val="006879B3"/>
    <w:rsid w:val="00687AB8"/>
    <w:rsid w:val="00687CD7"/>
    <w:rsid w:val="006906B5"/>
    <w:rsid w:val="00690800"/>
    <w:rsid w:val="00690865"/>
    <w:rsid w:val="00690933"/>
    <w:rsid w:val="00690AA5"/>
    <w:rsid w:val="00690BF5"/>
    <w:rsid w:val="00690C5E"/>
    <w:rsid w:val="00690DAF"/>
    <w:rsid w:val="00690E8D"/>
    <w:rsid w:val="00691279"/>
    <w:rsid w:val="0069148D"/>
    <w:rsid w:val="006915AD"/>
    <w:rsid w:val="006915B7"/>
    <w:rsid w:val="00691D17"/>
    <w:rsid w:val="00691E8C"/>
    <w:rsid w:val="0069245C"/>
    <w:rsid w:val="0069278C"/>
    <w:rsid w:val="006928FD"/>
    <w:rsid w:val="00692B9B"/>
    <w:rsid w:val="00692FA4"/>
    <w:rsid w:val="0069325D"/>
    <w:rsid w:val="006935BD"/>
    <w:rsid w:val="006935DB"/>
    <w:rsid w:val="00693683"/>
    <w:rsid w:val="00693812"/>
    <w:rsid w:val="00693CB2"/>
    <w:rsid w:val="00693CE3"/>
    <w:rsid w:val="00693E1F"/>
    <w:rsid w:val="00693E51"/>
    <w:rsid w:val="00693F26"/>
    <w:rsid w:val="00694142"/>
    <w:rsid w:val="00694390"/>
    <w:rsid w:val="00694442"/>
    <w:rsid w:val="00694489"/>
    <w:rsid w:val="00694895"/>
    <w:rsid w:val="006949E4"/>
    <w:rsid w:val="00694B1B"/>
    <w:rsid w:val="00695091"/>
    <w:rsid w:val="00695494"/>
    <w:rsid w:val="006955C6"/>
    <w:rsid w:val="006955C7"/>
    <w:rsid w:val="006955F4"/>
    <w:rsid w:val="006957BB"/>
    <w:rsid w:val="00695870"/>
    <w:rsid w:val="006958F0"/>
    <w:rsid w:val="00695938"/>
    <w:rsid w:val="00695984"/>
    <w:rsid w:val="00695C9D"/>
    <w:rsid w:val="00695CD7"/>
    <w:rsid w:val="00695FAC"/>
    <w:rsid w:val="0069641B"/>
    <w:rsid w:val="006964C2"/>
    <w:rsid w:val="00696A7E"/>
    <w:rsid w:val="00696BA1"/>
    <w:rsid w:val="0069701B"/>
    <w:rsid w:val="00697423"/>
    <w:rsid w:val="0069745A"/>
    <w:rsid w:val="00697A79"/>
    <w:rsid w:val="00697A80"/>
    <w:rsid w:val="00697CD1"/>
    <w:rsid w:val="00697D3A"/>
    <w:rsid w:val="00697D7A"/>
    <w:rsid w:val="00697F55"/>
    <w:rsid w:val="006A0124"/>
    <w:rsid w:val="006A0182"/>
    <w:rsid w:val="006A01C6"/>
    <w:rsid w:val="006A02FB"/>
    <w:rsid w:val="006A040E"/>
    <w:rsid w:val="006A0496"/>
    <w:rsid w:val="006A04E3"/>
    <w:rsid w:val="006A0821"/>
    <w:rsid w:val="006A0C48"/>
    <w:rsid w:val="006A1A94"/>
    <w:rsid w:val="006A1F18"/>
    <w:rsid w:val="006A22B0"/>
    <w:rsid w:val="006A2A19"/>
    <w:rsid w:val="006A3627"/>
    <w:rsid w:val="006A3653"/>
    <w:rsid w:val="006A37D6"/>
    <w:rsid w:val="006A3B2B"/>
    <w:rsid w:val="006A3D1C"/>
    <w:rsid w:val="006A432E"/>
    <w:rsid w:val="006A4D1C"/>
    <w:rsid w:val="006A5583"/>
    <w:rsid w:val="006A55A5"/>
    <w:rsid w:val="006A5B48"/>
    <w:rsid w:val="006A5CBA"/>
    <w:rsid w:val="006A5F03"/>
    <w:rsid w:val="006A61CA"/>
    <w:rsid w:val="006A63C4"/>
    <w:rsid w:val="006A6A4B"/>
    <w:rsid w:val="006A6C9A"/>
    <w:rsid w:val="006A71C0"/>
    <w:rsid w:val="006A71DA"/>
    <w:rsid w:val="006A73D1"/>
    <w:rsid w:val="006A777D"/>
    <w:rsid w:val="006A7B5E"/>
    <w:rsid w:val="006A7B82"/>
    <w:rsid w:val="006A7C5B"/>
    <w:rsid w:val="006A7CCB"/>
    <w:rsid w:val="006A7CFB"/>
    <w:rsid w:val="006A7EC0"/>
    <w:rsid w:val="006A7F18"/>
    <w:rsid w:val="006A7FD5"/>
    <w:rsid w:val="006B05F9"/>
    <w:rsid w:val="006B0B45"/>
    <w:rsid w:val="006B0D28"/>
    <w:rsid w:val="006B0EAB"/>
    <w:rsid w:val="006B106F"/>
    <w:rsid w:val="006B10A6"/>
    <w:rsid w:val="006B14C3"/>
    <w:rsid w:val="006B1862"/>
    <w:rsid w:val="006B1B9E"/>
    <w:rsid w:val="006B1D8B"/>
    <w:rsid w:val="006B1E0D"/>
    <w:rsid w:val="006B1FF6"/>
    <w:rsid w:val="006B2134"/>
    <w:rsid w:val="006B21A1"/>
    <w:rsid w:val="006B21C0"/>
    <w:rsid w:val="006B23F0"/>
    <w:rsid w:val="006B2536"/>
    <w:rsid w:val="006B2FFB"/>
    <w:rsid w:val="006B30A0"/>
    <w:rsid w:val="006B31F2"/>
    <w:rsid w:val="006B338C"/>
    <w:rsid w:val="006B3501"/>
    <w:rsid w:val="006B36EC"/>
    <w:rsid w:val="006B3CB2"/>
    <w:rsid w:val="006B4325"/>
    <w:rsid w:val="006B4FB5"/>
    <w:rsid w:val="006B5084"/>
    <w:rsid w:val="006B5165"/>
    <w:rsid w:val="006B51CD"/>
    <w:rsid w:val="006B5712"/>
    <w:rsid w:val="006B5770"/>
    <w:rsid w:val="006B5A06"/>
    <w:rsid w:val="006B5D5D"/>
    <w:rsid w:val="006B5E1A"/>
    <w:rsid w:val="006B5F22"/>
    <w:rsid w:val="006B5F60"/>
    <w:rsid w:val="006B617D"/>
    <w:rsid w:val="006B64F0"/>
    <w:rsid w:val="006B6881"/>
    <w:rsid w:val="006B6AEC"/>
    <w:rsid w:val="006B6D27"/>
    <w:rsid w:val="006B6EB6"/>
    <w:rsid w:val="006B701E"/>
    <w:rsid w:val="006B71F9"/>
    <w:rsid w:val="006B749A"/>
    <w:rsid w:val="006B78F1"/>
    <w:rsid w:val="006B7952"/>
    <w:rsid w:val="006B7ACE"/>
    <w:rsid w:val="006B7C66"/>
    <w:rsid w:val="006C09F6"/>
    <w:rsid w:val="006C1109"/>
    <w:rsid w:val="006C174F"/>
    <w:rsid w:val="006C1ABE"/>
    <w:rsid w:val="006C1BD9"/>
    <w:rsid w:val="006C1E56"/>
    <w:rsid w:val="006C217C"/>
    <w:rsid w:val="006C2218"/>
    <w:rsid w:val="006C22A3"/>
    <w:rsid w:val="006C22CA"/>
    <w:rsid w:val="006C22CE"/>
    <w:rsid w:val="006C2911"/>
    <w:rsid w:val="006C2A9A"/>
    <w:rsid w:val="006C2C1D"/>
    <w:rsid w:val="006C3057"/>
    <w:rsid w:val="006C33CB"/>
    <w:rsid w:val="006C35F2"/>
    <w:rsid w:val="006C3AFC"/>
    <w:rsid w:val="006C3E65"/>
    <w:rsid w:val="006C3F9D"/>
    <w:rsid w:val="006C4002"/>
    <w:rsid w:val="006C44DC"/>
    <w:rsid w:val="006C47B4"/>
    <w:rsid w:val="006C47E3"/>
    <w:rsid w:val="006C4865"/>
    <w:rsid w:val="006C48AE"/>
    <w:rsid w:val="006C4AC3"/>
    <w:rsid w:val="006C4CA6"/>
    <w:rsid w:val="006C4EE8"/>
    <w:rsid w:val="006C4FEF"/>
    <w:rsid w:val="006C5160"/>
    <w:rsid w:val="006C516E"/>
    <w:rsid w:val="006C52A2"/>
    <w:rsid w:val="006C54B8"/>
    <w:rsid w:val="006C5547"/>
    <w:rsid w:val="006C572B"/>
    <w:rsid w:val="006C57B3"/>
    <w:rsid w:val="006C57C0"/>
    <w:rsid w:val="006C598E"/>
    <w:rsid w:val="006C5D26"/>
    <w:rsid w:val="006C5FF4"/>
    <w:rsid w:val="006C60E2"/>
    <w:rsid w:val="006C61D8"/>
    <w:rsid w:val="006C6333"/>
    <w:rsid w:val="006C6543"/>
    <w:rsid w:val="006C6574"/>
    <w:rsid w:val="006C6615"/>
    <w:rsid w:val="006C6CA1"/>
    <w:rsid w:val="006C6F29"/>
    <w:rsid w:val="006C718E"/>
    <w:rsid w:val="006C75D3"/>
    <w:rsid w:val="006C780C"/>
    <w:rsid w:val="006C788A"/>
    <w:rsid w:val="006C7FC0"/>
    <w:rsid w:val="006D06BC"/>
    <w:rsid w:val="006D07DF"/>
    <w:rsid w:val="006D0989"/>
    <w:rsid w:val="006D0A2E"/>
    <w:rsid w:val="006D103B"/>
    <w:rsid w:val="006D11E1"/>
    <w:rsid w:val="006D12F9"/>
    <w:rsid w:val="006D1525"/>
    <w:rsid w:val="006D1994"/>
    <w:rsid w:val="006D1B4B"/>
    <w:rsid w:val="006D1B62"/>
    <w:rsid w:val="006D2180"/>
    <w:rsid w:val="006D21F1"/>
    <w:rsid w:val="006D2286"/>
    <w:rsid w:val="006D2694"/>
    <w:rsid w:val="006D28D4"/>
    <w:rsid w:val="006D2CC2"/>
    <w:rsid w:val="006D328F"/>
    <w:rsid w:val="006D332F"/>
    <w:rsid w:val="006D34AB"/>
    <w:rsid w:val="006D3968"/>
    <w:rsid w:val="006D3B13"/>
    <w:rsid w:val="006D3BFE"/>
    <w:rsid w:val="006D40D9"/>
    <w:rsid w:val="006D4231"/>
    <w:rsid w:val="006D43C9"/>
    <w:rsid w:val="006D4837"/>
    <w:rsid w:val="006D4A6A"/>
    <w:rsid w:val="006D4AB8"/>
    <w:rsid w:val="006D4F83"/>
    <w:rsid w:val="006D5043"/>
    <w:rsid w:val="006D51DC"/>
    <w:rsid w:val="006D5243"/>
    <w:rsid w:val="006D52BD"/>
    <w:rsid w:val="006D57FB"/>
    <w:rsid w:val="006D5C59"/>
    <w:rsid w:val="006D5D8D"/>
    <w:rsid w:val="006D5DF0"/>
    <w:rsid w:val="006D5F4B"/>
    <w:rsid w:val="006D5FBF"/>
    <w:rsid w:val="006D61B1"/>
    <w:rsid w:val="006D6243"/>
    <w:rsid w:val="006D6392"/>
    <w:rsid w:val="006D65E2"/>
    <w:rsid w:val="006D65F8"/>
    <w:rsid w:val="006D68C6"/>
    <w:rsid w:val="006D6AA2"/>
    <w:rsid w:val="006D6E3A"/>
    <w:rsid w:val="006D6ECE"/>
    <w:rsid w:val="006D715D"/>
    <w:rsid w:val="006D7244"/>
    <w:rsid w:val="006D74CE"/>
    <w:rsid w:val="006D7A1F"/>
    <w:rsid w:val="006D7B57"/>
    <w:rsid w:val="006D7E67"/>
    <w:rsid w:val="006E0267"/>
    <w:rsid w:val="006E045D"/>
    <w:rsid w:val="006E051A"/>
    <w:rsid w:val="006E07F7"/>
    <w:rsid w:val="006E0837"/>
    <w:rsid w:val="006E0B09"/>
    <w:rsid w:val="006E0BDB"/>
    <w:rsid w:val="006E0BFE"/>
    <w:rsid w:val="006E0C41"/>
    <w:rsid w:val="006E0D8D"/>
    <w:rsid w:val="006E13D7"/>
    <w:rsid w:val="006E18DC"/>
    <w:rsid w:val="006E1909"/>
    <w:rsid w:val="006E1A99"/>
    <w:rsid w:val="006E2224"/>
    <w:rsid w:val="006E24D6"/>
    <w:rsid w:val="006E253A"/>
    <w:rsid w:val="006E25F2"/>
    <w:rsid w:val="006E2833"/>
    <w:rsid w:val="006E2B97"/>
    <w:rsid w:val="006E2E00"/>
    <w:rsid w:val="006E3608"/>
    <w:rsid w:val="006E3C50"/>
    <w:rsid w:val="006E3EC2"/>
    <w:rsid w:val="006E4085"/>
    <w:rsid w:val="006E4243"/>
    <w:rsid w:val="006E45C2"/>
    <w:rsid w:val="006E45F0"/>
    <w:rsid w:val="006E4652"/>
    <w:rsid w:val="006E4725"/>
    <w:rsid w:val="006E486E"/>
    <w:rsid w:val="006E49AE"/>
    <w:rsid w:val="006E4BD4"/>
    <w:rsid w:val="006E53D9"/>
    <w:rsid w:val="006E5658"/>
    <w:rsid w:val="006E5F82"/>
    <w:rsid w:val="006E602C"/>
    <w:rsid w:val="006E62EC"/>
    <w:rsid w:val="006E6341"/>
    <w:rsid w:val="006E651B"/>
    <w:rsid w:val="006E68E8"/>
    <w:rsid w:val="006E6B12"/>
    <w:rsid w:val="006E6BB1"/>
    <w:rsid w:val="006E6E3F"/>
    <w:rsid w:val="006E6F8D"/>
    <w:rsid w:val="006E6FB1"/>
    <w:rsid w:val="006E705A"/>
    <w:rsid w:val="006E7263"/>
    <w:rsid w:val="006E75C9"/>
    <w:rsid w:val="006E75DE"/>
    <w:rsid w:val="006E75EE"/>
    <w:rsid w:val="006E79F7"/>
    <w:rsid w:val="006E7C30"/>
    <w:rsid w:val="006F0050"/>
    <w:rsid w:val="006F04AD"/>
    <w:rsid w:val="006F0D1F"/>
    <w:rsid w:val="006F1053"/>
    <w:rsid w:val="006F1D98"/>
    <w:rsid w:val="006F1FB3"/>
    <w:rsid w:val="006F211F"/>
    <w:rsid w:val="006F2190"/>
    <w:rsid w:val="006F2466"/>
    <w:rsid w:val="006F2AA7"/>
    <w:rsid w:val="006F2AF5"/>
    <w:rsid w:val="006F2B11"/>
    <w:rsid w:val="006F2C96"/>
    <w:rsid w:val="006F2CE2"/>
    <w:rsid w:val="006F3637"/>
    <w:rsid w:val="006F42A1"/>
    <w:rsid w:val="006F4403"/>
    <w:rsid w:val="006F4493"/>
    <w:rsid w:val="006F46E0"/>
    <w:rsid w:val="006F46F8"/>
    <w:rsid w:val="006F499A"/>
    <w:rsid w:val="006F4AF9"/>
    <w:rsid w:val="006F4E0F"/>
    <w:rsid w:val="006F4E73"/>
    <w:rsid w:val="006F5566"/>
    <w:rsid w:val="006F582C"/>
    <w:rsid w:val="006F58CB"/>
    <w:rsid w:val="006F58D9"/>
    <w:rsid w:val="006F5BA6"/>
    <w:rsid w:val="006F6294"/>
    <w:rsid w:val="006F6879"/>
    <w:rsid w:val="006F69BF"/>
    <w:rsid w:val="006F6B28"/>
    <w:rsid w:val="006F6D59"/>
    <w:rsid w:val="006F6DA5"/>
    <w:rsid w:val="006F6E9A"/>
    <w:rsid w:val="006F70B2"/>
    <w:rsid w:val="006F7891"/>
    <w:rsid w:val="006F7AC0"/>
    <w:rsid w:val="006F7CD2"/>
    <w:rsid w:val="006F7F82"/>
    <w:rsid w:val="006F7FA3"/>
    <w:rsid w:val="007001E1"/>
    <w:rsid w:val="007001EF"/>
    <w:rsid w:val="00700351"/>
    <w:rsid w:val="00700958"/>
    <w:rsid w:val="00700B4E"/>
    <w:rsid w:val="00700BC4"/>
    <w:rsid w:val="00700D22"/>
    <w:rsid w:val="00700D74"/>
    <w:rsid w:val="00700EF6"/>
    <w:rsid w:val="00700F69"/>
    <w:rsid w:val="0070114B"/>
    <w:rsid w:val="0070177F"/>
    <w:rsid w:val="007019C1"/>
    <w:rsid w:val="00701B47"/>
    <w:rsid w:val="00701B71"/>
    <w:rsid w:val="00701BF1"/>
    <w:rsid w:val="007028E4"/>
    <w:rsid w:val="0070307E"/>
    <w:rsid w:val="007030B8"/>
    <w:rsid w:val="007032BD"/>
    <w:rsid w:val="00703326"/>
    <w:rsid w:val="00703CBC"/>
    <w:rsid w:val="00703D87"/>
    <w:rsid w:val="00703D9E"/>
    <w:rsid w:val="007040EA"/>
    <w:rsid w:val="0070421D"/>
    <w:rsid w:val="0070428F"/>
    <w:rsid w:val="007042BA"/>
    <w:rsid w:val="00704426"/>
    <w:rsid w:val="007046EA"/>
    <w:rsid w:val="00704715"/>
    <w:rsid w:val="0070494A"/>
    <w:rsid w:val="00704A36"/>
    <w:rsid w:val="00704B3C"/>
    <w:rsid w:val="00704F61"/>
    <w:rsid w:val="00704FCF"/>
    <w:rsid w:val="00705180"/>
    <w:rsid w:val="00705B57"/>
    <w:rsid w:val="00706407"/>
    <w:rsid w:val="00706BD8"/>
    <w:rsid w:val="00706C2A"/>
    <w:rsid w:val="007070B5"/>
    <w:rsid w:val="007072DC"/>
    <w:rsid w:val="0070738D"/>
    <w:rsid w:val="007073F9"/>
    <w:rsid w:val="00707498"/>
    <w:rsid w:val="00707826"/>
    <w:rsid w:val="00707AF6"/>
    <w:rsid w:val="00707B88"/>
    <w:rsid w:val="00707BA9"/>
    <w:rsid w:val="00707BB3"/>
    <w:rsid w:val="00707C81"/>
    <w:rsid w:val="00707D98"/>
    <w:rsid w:val="00707FC0"/>
    <w:rsid w:val="007101DF"/>
    <w:rsid w:val="00710301"/>
    <w:rsid w:val="00710487"/>
    <w:rsid w:val="007105FE"/>
    <w:rsid w:val="00710729"/>
    <w:rsid w:val="007107EB"/>
    <w:rsid w:val="00710A2D"/>
    <w:rsid w:val="00710C39"/>
    <w:rsid w:val="00710D1B"/>
    <w:rsid w:val="00710E0E"/>
    <w:rsid w:val="00710EF4"/>
    <w:rsid w:val="00710F26"/>
    <w:rsid w:val="0071101B"/>
    <w:rsid w:val="0071112B"/>
    <w:rsid w:val="0071116A"/>
    <w:rsid w:val="007112A7"/>
    <w:rsid w:val="00711327"/>
    <w:rsid w:val="007113AD"/>
    <w:rsid w:val="007113D8"/>
    <w:rsid w:val="007114AD"/>
    <w:rsid w:val="0071150C"/>
    <w:rsid w:val="00711756"/>
    <w:rsid w:val="007119FF"/>
    <w:rsid w:val="00711BD5"/>
    <w:rsid w:val="00711C2E"/>
    <w:rsid w:val="0071226C"/>
    <w:rsid w:val="00712354"/>
    <w:rsid w:val="007125E3"/>
    <w:rsid w:val="007129A5"/>
    <w:rsid w:val="00712D10"/>
    <w:rsid w:val="00713312"/>
    <w:rsid w:val="00713356"/>
    <w:rsid w:val="0071341C"/>
    <w:rsid w:val="0071353F"/>
    <w:rsid w:val="00713D9A"/>
    <w:rsid w:val="00713FA9"/>
    <w:rsid w:val="00714185"/>
    <w:rsid w:val="00715823"/>
    <w:rsid w:val="0071592F"/>
    <w:rsid w:val="0071615B"/>
    <w:rsid w:val="00716186"/>
    <w:rsid w:val="007166D2"/>
    <w:rsid w:val="007168F9"/>
    <w:rsid w:val="00716976"/>
    <w:rsid w:val="00716EE0"/>
    <w:rsid w:val="007170B2"/>
    <w:rsid w:val="00717AD9"/>
    <w:rsid w:val="00717B28"/>
    <w:rsid w:val="00720121"/>
    <w:rsid w:val="00720128"/>
    <w:rsid w:val="00720374"/>
    <w:rsid w:val="00720501"/>
    <w:rsid w:val="00720A7A"/>
    <w:rsid w:val="00720AED"/>
    <w:rsid w:val="00720AFF"/>
    <w:rsid w:val="00720DF2"/>
    <w:rsid w:val="00720FDC"/>
    <w:rsid w:val="007213D8"/>
    <w:rsid w:val="007219BB"/>
    <w:rsid w:val="00721DC3"/>
    <w:rsid w:val="0072200C"/>
    <w:rsid w:val="0072212B"/>
    <w:rsid w:val="00722183"/>
    <w:rsid w:val="00722228"/>
    <w:rsid w:val="0072265F"/>
    <w:rsid w:val="00722DF9"/>
    <w:rsid w:val="00722F86"/>
    <w:rsid w:val="00723199"/>
    <w:rsid w:val="00723361"/>
    <w:rsid w:val="00723645"/>
    <w:rsid w:val="0072404D"/>
    <w:rsid w:val="0072421B"/>
    <w:rsid w:val="00724527"/>
    <w:rsid w:val="007248A2"/>
    <w:rsid w:val="00724B33"/>
    <w:rsid w:val="00725050"/>
    <w:rsid w:val="007250D9"/>
    <w:rsid w:val="00725228"/>
    <w:rsid w:val="007253FC"/>
    <w:rsid w:val="007254F4"/>
    <w:rsid w:val="00725620"/>
    <w:rsid w:val="007256C1"/>
    <w:rsid w:val="0072576F"/>
    <w:rsid w:val="00725AF9"/>
    <w:rsid w:val="00725CD7"/>
    <w:rsid w:val="00725E59"/>
    <w:rsid w:val="00726137"/>
    <w:rsid w:val="007261A3"/>
    <w:rsid w:val="007267EC"/>
    <w:rsid w:val="00726A64"/>
    <w:rsid w:val="00726EC4"/>
    <w:rsid w:val="007270DD"/>
    <w:rsid w:val="00727600"/>
    <w:rsid w:val="00727B71"/>
    <w:rsid w:val="00730003"/>
    <w:rsid w:val="0073008C"/>
    <w:rsid w:val="00730324"/>
    <w:rsid w:val="0073036B"/>
    <w:rsid w:val="00730841"/>
    <w:rsid w:val="00730BF7"/>
    <w:rsid w:val="00730F4B"/>
    <w:rsid w:val="0073102B"/>
    <w:rsid w:val="00731047"/>
    <w:rsid w:val="00731192"/>
    <w:rsid w:val="007315E8"/>
    <w:rsid w:val="00731A61"/>
    <w:rsid w:val="00731BFB"/>
    <w:rsid w:val="00731DFA"/>
    <w:rsid w:val="0073208D"/>
    <w:rsid w:val="007323F0"/>
    <w:rsid w:val="007328C3"/>
    <w:rsid w:val="00732C3F"/>
    <w:rsid w:val="00732D8D"/>
    <w:rsid w:val="007330ED"/>
    <w:rsid w:val="0073311A"/>
    <w:rsid w:val="00733141"/>
    <w:rsid w:val="007334C2"/>
    <w:rsid w:val="007334CE"/>
    <w:rsid w:val="007337FD"/>
    <w:rsid w:val="00733FA1"/>
    <w:rsid w:val="00733FE2"/>
    <w:rsid w:val="00734190"/>
    <w:rsid w:val="00734233"/>
    <w:rsid w:val="0073435D"/>
    <w:rsid w:val="0073464B"/>
    <w:rsid w:val="0073499D"/>
    <w:rsid w:val="00735093"/>
    <w:rsid w:val="00735166"/>
    <w:rsid w:val="0073538A"/>
    <w:rsid w:val="00735664"/>
    <w:rsid w:val="00735B40"/>
    <w:rsid w:val="0073640D"/>
    <w:rsid w:val="0073663E"/>
    <w:rsid w:val="0073677E"/>
    <w:rsid w:val="007368A9"/>
    <w:rsid w:val="0073698F"/>
    <w:rsid w:val="00736A81"/>
    <w:rsid w:val="00736CB4"/>
    <w:rsid w:val="00736E20"/>
    <w:rsid w:val="00736E3F"/>
    <w:rsid w:val="007371A7"/>
    <w:rsid w:val="0073780C"/>
    <w:rsid w:val="00737F04"/>
    <w:rsid w:val="0074024F"/>
    <w:rsid w:val="007402F8"/>
    <w:rsid w:val="007403B5"/>
    <w:rsid w:val="00740A56"/>
    <w:rsid w:val="00740AF8"/>
    <w:rsid w:val="00740C00"/>
    <w:rsid w:val="00740D09"/>
    <w:rsid w:val="00740D12"/>
    <w:rsid w:val="00740FA3"/>
    <w:rsid w:val="0074127D"/>
    <w:rsid w:val="00741635"/>
    <w:rsid w:val="0074164D"/>
    <w:rsid w:val="007416C9"/>
    <w:rsid w:val="007417FD"/>
    <w:rsid w:val="007418B2"/>
    <w:rsid w:val="00741CC0"/>
    <w:rsid w:val="00741D12"/>
    <w:rsid w:val="0074203B"/>
    <w:rsid w:val="007422C5"/>
    <w:rsid w:val="007423CC"/>
    <w:rsid w:val="0074250E"/>
    <w:rsid w:val="00742709"/>
    <w:rsid w:val="007428D9"/>
    <w:rsid w:val="00742913"/>
    <w:rsid w:val="00742D9D"/>
    <w:rsid w:val="00742F0C"/>
    <w:rsid w:val="00743568"/>
    <w:rsid w:val="00743B0C"/>
    <w:rsid w:val="00743B5C"/>
    <w:rsid w:val="00743BF6"/>
    <w:rsid w:val="00743DA4"/>
    <w:rsid w:val="00743EE1"/>
    <w:rsid w:val="00743FCC"/>
    <w:rsid w:val="007441C6"/>
    <w:rsid w:val="0074433A"/>
    <w:rsid w:val="00744615"/>
    <w:rsid w:val="007447EE"/>
    <w:rsid w:val="00744960"/>
    <w:rsid w:val="00744B32"/>
    <w:rsid w:val="00744DE8"/>
    <w:rsid w:val="00744E79"/>
    <w:rsid w:val="007450ED"/>
    <w:rsid w:val="007452E7"/>
    <w:rsid w:val="00745412"/>
    <w:rsid w:val="0074587F"/>
    <w:rsid w:val="00745BF1"/>
    <w:rsid w:val="00745D6A"/>
    <w:rsid w:val="00746017"/>
    <w:rsid w:val="007462E0"/>
    <w:rsid w:val="007463E9"/>
    <w:rsid w:val="007465A0"/>
    <w:rsid w:val="00746A5B"/>
    <w:rsid w:val="00746A6D"/>
    <w:rsid w:val="00746D8B"/>
    <w:rsid w:val="00746E84"/>
    <w:rsid w:val="00746EBA"/>
    <w:rsid w:val="0074700F"/>
    <w:rsid w:val="007471D8"/>
    <w:rsid w:val="00747496"/>
    <w:rsid w:val="00747A5A"/>
    <w:rsid w:val="00747ABE"/>
    <w:rsid w:val="00747BDF"/>
    <w:rsid w:val="00747D36"/>
    <w:rsid w:val="00747E00"/>
    <w:rsid w:val="007506FB"/>
    <w:rsid w:val="00750BC4"/>
    <w:rsid w:val="0075113D"/>
    <w:rsid w:val="007511CD"/>
    <w:rsid w:val="007511D8"/>
    <w:rsid w:val="0075139C"/>
    <w:rsid w:val="007516AB"/>
    <w:rsid w:val="00751F22"/>
    <w:rsid w:val="00751F5B"/>
    <w:rsid w:val="007521D9"/>
    <w:rsid w:val="0075277E"/>
    <w:rsid w:val="00752B36"/>
    <w:rsid w:val="00752D61"/>
    <w:rsid w:val="00752D81"/>
    <w:rsid w:val="007531D4"/>
    <w:rsid w:val="00753214"/>
    <w:rsid w:val="007539CA"/>
    <w:rsid w:val="00753CED"/>
    <w:rsid w:val="00753CFB"/>
    <w:rsid w:val="0075405B"/>
    <w:rsid w:val="00754337"/>
    <w:rsid w:val="00754AA2"/>
    <w:rsid w:val="00754B20"/>
    <w:rsid w:val="0075529A"/>
    <w:rsid w:val="007553B2"/>
    <w:rsid w:val="00755A9F"/>
    <w:rsid w:val="00755D83"/>
    <w:rsid w:val="00755EC3"/>
    <w:rsid w:val="007560F7"/>
    <w:rsid w:val="00756865"/>
    <w:rsid w:val="00756A44"/>
    <w:rsid w:val="00756ADA"/>
    <w:rsid w:val="00756B94"/>
    <w:rsid w:val="00756EF8"/>
    <w:rsid w:val="00757530"/>
    <w:rsid w:val="0075773C"/>
    <w:rsid w:val="00757CF3"/>
    <w:rsid w:val="00757EA5"/>
    <w:rsid w:val="0076035E"/>
    <w:rsid w:val="00760759"/>
    <w:rsid w:val="00760B5D"/>
    <w:rsid w:val="007612E8"/>
    <w:rsid w:val="00761648"/>
    <w:rsid w:val="00761804"/>
    <w:rsid w:val="00761BB7"/>
    <w:rsid w:val="00761E24"/>
    <w:rsid w:val="007625E1"/>
    <w:rsid w:val="00762C95"/>
    <w:rsid w:val="00763144"/>
    <w:rsid w:val="00763198"/>
    <w:rsid w:val="00763357"/>
    <w:rsid w:val="00763588"/>
    <w:rsid w:val="00763A2B"/>
    <w:rsid w:val="007641DC"/>
    <w:rsid w:val="007645D6"/>
    <w:rsid w:val="00764EF6"/>
    <w:rsid w:val="00764F35"/>
    <w:rsid w:val="0076531D"/>
    <w:rsid w:val="00766683"/>
    <w:rsid w:val="00766829"/>
    <w:rsid w:val="0076692C"/>
    <w:rsid w:val="00766934"/>
    <w:rsid w:val="007669B9"/>
    <w:rsid w:val="00766CA5"/>
    <w:rsid w:val="00766CE9"/>
    <w:rsid w:val="00766DEF"/>
    <w:rsid w:val="00766FB2"/>
    <w:rsid w:val="00767267"/>
    <w:rsid w:val="00767473"/>
    <w:rsid w:val="007674DF"/>
    <w:rsid w:val="00767E35"/>
    <w:rsid w:val="00767EF1"/>
    <w:rsid w:val="00770231"/>
    <w:rsid w:val="0077056A"/>
    <w:rsid w:val="00770604"/>
    <w:rsid w:val="00770BB3"/>
    <w:rsid w:val="00770C6D"/>
    <w:rsid w:val="00771087"/>
    <w:rsid w:val="00771319"/>
    <w:rsid w:val="007714E7"/>
    <w:rsid w:val="00771538"/>
    <w:rsid w:val="0077196D"/>
    <w:rsid w:val="00771B5A"/>
    <w:rsid w:val="00771DFA"/>
    <w:rsid w:val="00771E28"/>
    <w:rsid w:val="00771EDD"/>
    <w:rsid w:val="007723B7"/>
    <w:rsid w:val="00772421"/>
    <w:rsid w:val="0077248B"/>
    <w:rsid w:val="0077249B"/>
    <w:rsid w:val="00772517"/>
    <w:rsid w:val="0077254A"/>
    <w:rsid w:val="00772563"/>
    <w:rsid w:val="00772638"/>
    <w:rsid w:val="007729D2"/>
    <w:rsid w:val="00772B90"/>
    <w:rsid w:val="00772BB5"/>
    <w:rsid w:val="00772C16"/>
    <w:rsid w:val="00772DEA"/>
    <w:rsid w:val="007730AD"/>
    <w:rsid w:val="0077326B"/>
    <w:rsid w:val="0077362D"/>
    <w:rsid w:val="0077427F"/>
    <w:rsid w:val="007747C3"/>
    <w:rsid w:val="00774851"/>
    <w:rsid w:val="00774B19"/>
    <w:rsid w:val="00774D6C"/>
    <w:rsid w:val="0077532C"/>
    <w:rsid w:val="007753AB"/>
    <w:rsid w:val="007758E1"/>
    <w:rsid w:val="0077595C"/>
    <w:rsid w:val="007762C6"/>
    <w:rsid w:val="00776436"/>
    <w:rsid w:val="0077661E"/>
    <w:rsid w:val="007768BB"/>
    <w:rsid w:val="00776920"/>
    <w:rsid w:val="00776A22"/>
    <w:rsid w:val="00776DFC"/>
    <w:rsid w:val="00776E9C"/>
    <w:rsid w:val="00776F72"/>
    <w:rsid w:val="007770C2"/>
    <w:rsid w:val="0077747C"/>
    <w:rsid w:val="00777CE7"/>
    <w:rsid w:val="00777D1F"/>
    <w:rsid w:val="00777D53"/>
    <w:rsid w:val="00777DB4"/>
    <w:rsid w:val="00777E0E"/>
    <w:rsid w:val="00780234"/>
    <w:rsid w:val="00780B17"/>
    <w:rsid w:val="007811C5"/>
    <w:rsid w:val="007812FF"/>
    <w:rsid w:val="007814C9"/>
    <w:rsid w:val="00781EED"/>
    <w:rsid w:val="00782207"/>
    <w:rsid w:val="0078270B"/>
    <w:rsid w:val="00782ABC"/>
    <w:rsid w:val="00782BB9"/>
    <w:rsid w:val="00782D0B"/>
    <w:rsid w:val="007831DA"/>
    <w:rsid w:val="007833A0"/>
    <w:rsid w:val="007834B8"/>
    <w:rsid w:val="007834CD"/>
    <w:rsid w:val="00783C65"/>
    <w:rsid w:val="00783CE6"/>
    <w:rsid w:val="00784648"/>
    <w:rsid w:val="007846F5"/>
    <w:rsid w:val="007848BC"/>
    <w:rsid w:val="00784948"/>
    <w:rsid w:val="00784CDB"/>
    <w:rsid w:val="00784EC4"/>
    <w:rsid w:val="007850D2"/>
    <w:rsid w:val="00785216"/>
    <w:rsid w:val="00785959"/>
    <w:rsid w:val="00785BF6"/>
    <w:rsid w:val="007860C0"/>
    <w:rsid w:val="00786367"/>
    <w:rsid w:val="00786634"/>
    <w:rsid w:val="0078669C"/>
    <w:rsid w:val="007867FF"/>
    <w:rsid w:val="00786A71"/>
    <w:rsid w:val="00786C9C"/>
    <w:rsid w:val="00786D26"/>
    <w:rsid w:val="00786D50"/>
    <w:rsid w:val="00786E59"/>
    <w:rsid w:val="00786E88"/>
    <w:rsid w:val="007870A2"/>
    <w:rsid w:val="00787212"/>
    <w:rsid w:val="00787741"/>
    <w:rsid w:val="007905C0"/>
    <w:rsid w:val="007906CA"/>
    <w:rsid w:val="0079077D"/>
    <w:rsid w:val="007909F2"/>
    <w:rsid w:val="00790C3B"/>
    <w:rsid w:val="0079117F"/>
    <w:rsid w:val="007912D9"/>
    <w:rsid w:val="00791458"/>
    <w:rsid w:val="00791475"/>
    <w:rsid w:val="00791606"/>
    <w:rsid w:val="00791639"/>
    <w:rsid w:val="00791690"/>
    <w:rsid w:val="00791769"/>
    <w:rsid w:val="00791C48"/>
    <w:rsid w:val="00791CDA"/>
    <w:rsid w:val="00792107"/>
    <w:rsid w:val="00792256"/>
    <w:rsid w:val="007925F6"/>
    <w:rsid w:val="00792899"/>
    <w:rsid w:val="007929C3"/>
    <w:rsid w:val="00792EA0"/>
    <w:rsid w:val="00793474"/>
    <w:rsid w:val="00793575"/>
    <w:rsid w:val="007935E7"/>
    <w:rsid w:val="007936DE"/>
    <w:rsid w:val="00793886"/>
    <w:rsid w:val="00793BA5"/>
    <w:rsid w:val="00793EC5"/>
    <w:rsid w:val="00793FF8"/>
    <w:rsid w:val="00794078"/>
    <w:rsid w:val="007942B1"/>
    <w:rsid w:val="007942EA"/>
    <w:rsid w:val="00794346"/>
    <w:rsid w:val="0079467D"/>
    <w:rsid w:val="007946B2"/>
    <w:rsid w:val="00794725"/>
    <w:rsid w:val="007947EC"/>
    <w:rsid w:val="00794938"/>
    <w:rsid w:val="00794A71"/>
    <w:rsid w:val="00794C3A"/>
    <w:rsid w:val="0079531D"/>
    <w:rsid w:val="00795893"/>
    <w:rsid w:val="00795AD3"/>
    <w:rsid w:val="00795B58"/>
    <w:rsid w:val="00795F9B"/>
    <w:rsid w:val="00795FD2"/>
    <w:rsid w:val="0079604F"/>
    <w:rsid w:val="00796094"/>
    <w:rsid w:val="0079625F"/>
    <w:rsid w:val="007963D1"/>
    <w:rsid w:val="0079659F"/>
    <w:rsid w:val="007967BE"/>
    <w:rsid w:val="00796821"/>
    <w:rsid w:val="0079688A"/>
    <w:rsid w:val="007969B8"/>
    <w:rsid w:val="00796E2E"/>
    <w:rsid w:val="00796FAC"/>
    <w:rsid w:val="007970AC"/>
    <w:rsid w:val="007971A2"/>
    <w:rsid w:val="0079727B"/>
    <w:rsid w:val="007979FB"/>
    <w:rsid w:val="00797C73"/>
    <w:rsid w:val="00797CB6"/>
    <w:rsid w:val="00797DF4"/>
    <w:rsid w:val="007A0307"/>
    <w:rsid w:val="007A07F5"/>
    <w:rsid w:val="007A0914"/>
    <w:rsid w:val="007A0A98"/>
    <w:rsid w:val="007A0F91"/>
    <w:rsid w:val="007A1046"/>
    <w:rsid w:val="007A14AE"/>
    <w:rsid w:val="007A1532"/>
    <w:rsid w:val="007A1604"/>
    <w:rsid w:val="007A167A"/>
    <w:rsid w:val="007A1E8B"/>
    <w:rsid w:val="007A1F6E"/>
    <w:rsid w:val="007A2152"/>
    <w:rsid w:val="007A2160"/>
    <w:rsid w:val="007A23D3"/>
    <w:rsid w:val="007A2461"/>
    <w:rsid w:val="007A25C3"/>
    <w:rsid w:val="007A27BA"/>
    <w:rsid w:val="007A2988"/>
    <w:rsid w:val="007A2B1B"/>
    <w:rsid w:val="007A2CF4"/>
    <w:rsid w:val="007A3132"/>
    <w:rsid w:val="007A324B"/>
    <w:rsid w:val="007A38A6"/>
    <w:rsid w:val="007A39FA"/>
    <w:rsid w:val="007A3AA6"/>
    <w:rsid w:val="007A3E17"/>
    <w:rsid w:val="007A401E"/>
    <w:rsid w:val="007A43B0"/>
    <w:rsid w:val="007A463D"/>
    <w:rsid w:val="007A46C0"/>
    <w:rsid w:val="007A4886"/>
    <w:rsid w:val="007A48FF"/>
    <w:rsid w:val="007A4E15"/>
    <w:rsid w:val="007A50D6"/>
    <w:rsid w:val="007A5418"/>
    <w:rsid w:val="007A54CC"/>
    <w:rsid w:val="007A5690"/>
    <w:rsid w:val="007A56BD"/>
    <w:rsid w:val="007A58FA"/>
    <w:rsid w:val="007A5A27"/>
    <w:rsid w:val="007A5C5A"/>
    <w:rsid w:val="007A5CBF"/>
    <w:rsid w:val="007A5FB7"/>
    <w:rsid w:val="007A5FDC"/>
    <w:rsid w:val="007A60BA"/>
    <w:rsid w:val="007A60E6"/>
    <w:rsid w:val="007A61D0"/>
    <w:rsid w:val="007A6423"/>
    <w:rsid w:val="007A6582"/>
    <w:rsid w:val="007A66C0"/>
    <w:rsid w:val="007A671C"/>
    <w:rsid w:val="007B003A"/>
    <w:rsid w:val="007B01DA"/>
    <w:rsid w:val="007B026E"/>
    <w:rsid w:val="007B0306"/>
    <w:rsid w:val="007B0589"/>
    <w:rsid w:val="007B093E"/>
    <w:rsid w:val="007B0998"/>
    <w:rsid w:val="007B0E0F"/>
    <w:rsid w:val="007B0E6B"/>
    <w:rsid w:val="007B0EF1"/>
    <w:rsid w:val="007B0FCE"/>
    <w:rsid w:val="007B12D9"/>
    <w:rsid w:val="007B12FB"/>
    <w:rsid w:val="007B14A4"/>
    <w:rsid w:val="007B16FE"/>
    <w:rsid w:val="007B1830"/>
    <w:rsid w:val="007B18ED"/>
    <w:rsid w:val="007B196F"/>
    <w:rsid w:val="007B2564"/>
    <w:rsid w:val="007B2C4E"/>
    <w:rsid w:val="007B2D22"/>
    <w:rsid w:val="007B37D8"/>
    <w:rsid w:val="007B3A0A"/>
    <w:rsid w:val="007B3A31"/>
    <w:rsid w:val="007B3A94"/>
    <w:rsid w:val="007B3C61"/>
    <w:rsid w:val="007B4203"/>
    <w:rsid w:val="007B446F"/>
    <w:rsid w:val="007B47DF"/>
    <w:rsid w:val="007B4B13"/>
    <w:rsid w:val="007B4EF6"/>
    <w:rsid w:val="007B54CC"/>
    <w:rsid w:val="007B5C42"/>
    <w:rsid w:val="007B5D47"/>
    <w:rsid w:val="007B5E74"/>
    <w:rsid w:val="007B5F5C"/>
    <w:rsid w:val="007B5FB7"/>
    <w:rsid w:val="007B6275"/>
    <w:rsid w:val="007B62D3"/>
    <w:rsid w:val="007B65CF"/>
    <w:rsid w:val="007B669D"/>
    <w:rsid w:val="007B6BDE"/>
    <w:rsid w:val="007B6EAE"/>
    <w:rsid w:val="007B6F35"/>
    <w:rsid w:val="007B739B"/>
    <w:rsid w:val="007B7436"/>
    <w:rsid w:val="007B74D8"/>
    <w:rsid w:val="007B74EF"/>
    <w:rsid w:val="007B75FF"/>
    <w:rsid w:val="007B7641"/>
    <w:rsid w:val="007B7E42"/>
    <w:rsid w:val="007C00B6"/>
    <w:rsid w:val="007C01D9"/>
    <w:rsid w:val="007C0430"/>
    <w:rsid w:val="007C0568"/>
    <w:rsid w:val="007C062D"/>
    <w:rsid w:val="007C0782"/>
    <w:rsid w:val="007C0852"/>
    <w:rsid w:val="007C0AB7"/>
    <w:rsid w:val="007C0D92"/>
    <w:rsid w:val="007C1020"/>
    <w:rsid w:val="007C1143"/>
    <w:rsid w:val="007C121D"/>
    <w:rsid w:val="007C12E3"/>
    <w:rsid w:val="007C13C5"/>
    <w:rsid w:val="007C151C"/>
    <w:rsid w:val="007C166C"/>
    <w:rsid w:val="007C16A8"/>
    <w:rsid w:val="007C1D33"/>
    <w:rsid w:val="007C1E13"/>
    <w:rsid w:val="007C1E49"/>
    <w:rsid w:val="007C1FB4"/>
    <w:rsid w:val="007C21A8"/>
    <w:rsid w:val="007C278A"/>
    <w:rsid w:val="007C2943"/>
    <w:rsid w:val="007C2B3D"/>
    <w:rsid w:val="007C2B47"/>
    <w:rsid w:val="007C2BDF"/>
    <w:rsid w:val="007C2E7F"/>
    <w:rsid w:val="007C334C"/>
    <w:rsid w:val="007C39E3"/>
    <w:rsid w:val="007C3B38"/>
    <w:rsid w:val="007C3D4D"/>
    <w:rsid w:val="007C4440"/>
    <w:rsid w:val="007C4DE9"/>
    <w:rsid w:val="007C5281"/>
    <w:rsid w:val="007C534C"/>
    <w:rsid w:val="007C534F"/>
    <w:rsid w:val="007C575B"/>
    <w:rsid w:val="007C5A8D"/>
    <w:rsid w:val="007C5AF1"/>
    <w:rsid w:val="007C5EC3"/>
    <w:rsid w:val="007C62AF"/>
    <w:rsid w:val="007C6361"/>
    <w:rsid w:val="007C66A5"/>
    <w:rsid w:val="007C6BBF"/>
    <w:rsid w:val="007C6BD6"/>
    <w:rsid w:val="007C710B"/>
    <w:rsid w:val="007C73BE"/>
    <w:rsid w:val="007C73CD"/>
    <w:rsid w:val="007C7484"/>
    <w:rsid w:val="007C7632"/>
    <w:rsid w:val="007C7737"/>
    <w:rsid w:val="007C778A"/>
    <w:rsid w:val="007C7796"/>
    <w:rsid w:val="007C7B96"/>
    <w:rsid w:val="007C7F9C"/>
    <w:rsid w:val="007D0730"/>
    <w:rsid w:val="007D079F"/>
    <w:rsid w:val="007D0AA9"/>
    <w:rsid w:val="007D0CC5"/>
    <w:rsid w:val="007D14EE"/>
    <w:rsid w:val="007D1508"/>
    <w:rsid w:val="007D1617"/>
    <w:rsid w:val="007D18AC"/>
    <w:rsid w:val="007D1BC7"/>
    <w:rsid w:val="007D1E9B"/>
    <w:rsid w:val="007D1EA7"/>
    <w:rsid w:val="007D1FA1"/>
    <w:rsid w:val="007D2125"/>
    <w:rsid w:val="007D264E"/>
    <w:rsid w:val="007D28EF"/>
    <w:rsid w:val="007D2B4F"/>
    <w:rsid w:val="007D2C48"/>
    <w:rsid w:val="007D2E5E"/>
    <w:rsid w:val="007D2F28"/>
    <w:rsid w:val="007D3055"/>
    <w:rsid w:val="007D31F2"/>
    <w:rsid w:val="007D3267"/>
    <w:rsid w:val="007D3AC8"/>
    <w:rsid w:val="007D3AEF"/>
    <w:rsid w:val="007D3C43"/>
    <w:rsid w:val="007D3CF0"/>
    <w:rsid w:val="007D4583"/>
    <w:rsid w:val="007D4B00"/>
    <w:rsid w:val="007D4BCA"/>
    <w:rsid w:val="007D5047"/>
    <w:rsid w:val="007D5687"/>
    <w:rsid w:val="007D577E"/>
    <w:rsid w:val="007D59A3"/>
    <w:rsid w:val="007D5ACF"/>
    <w:rsid w:val="007D5BA6"/>
    <w:rsid w:val="007D5C10"/>
    <w:rsid w:val="007D5FC3"/>
    <w:rsid w:val="007D6175"/>
    <w:rsid w:val="007D6327"/>
    <w:rsid w:val="007D6688"/>
    <w:rsid w:val="007D6854"/>
    <w:rsid w:val="007D6B77"/>
    <w:rsid w:val="007D71EA"/>
    <w:rsid w:val="007D773C"/>
    <w:rsid w:val="007D78A1"/>
    <w:rsid w:val="007D79E8"/>
    <w:rsid w:val="007D7A9A"/>
    <w:rsid w:val="007D7EFF"/>
    <w:rsid w:val="007E016C"/>
    <w:rsid w:val="007E017F"/>
    <w:rsid w:val="007E02BF"/>
    <w:rsid w:val="007E02F0"/>
    <w:rsid w:val="007E0318"/>
    <w:rsid w:val="007E051D"/>
    <w:rsid w:val="007E0585"/>
    <w:rsid w:val="007E09ED"/>
    <w:rsid w:val="007E0AAC"/>
    <w:rsid w:val="007E0C6D"/>
    <w:rsid w:val="007E0CA0"/>
    <w:rsid w:val="007E0FCC"/>
    <w:rsid w:val="007E1A21"/>
    <w:rsid w:val="007E1A65"/>
    <w:rsid w:val="007E1C67"/>
    <w:rsid w:val="007E1DAE"/>
    <w:rsid w:val="007E1FD0"/>
    <w:rsid w:val="007E2171"/>
    <w:rsid w:val="007E2244"/>
    <w:rsid w:val="007E2E45"/>
    <w:rsid w:val="007E3568"/>
    <w:rsid w:val="007E3AF7"/>
    <w:rsid w:val="007E3E39"/>
    <w:rsid w:val="007E3EC4"/>
    <w:rsid w:val="007E4286"/>
    <w:rsid w:val="007E4441"/>
    <w:rsid w:val="007E44EA"/>
    <w:rsid w:val="007E460A"/>
    <w:rsid w:val="007E467D"/>
    <w:rsid w:val="007E46EF"/>
    <w:rsid w:val="007E4934"/>
    <w:rsid w:val="007E4A85"/>
    <w:rsid w:val="007E4C47"/>
    <w:rsid w:val="007E4C7B"/>
    <w:rsid w:val="007E4F73"/>
    <w:rsid w:val="007E513A"/>
    <w:rsid w:val="007E52CE"/>
    <w:rsid w:val="007E545A"/>
    <w:rsid w:val="007E5467"/>
    <w:rsid w:val="007E57BB"/>
    <w:rsid w:val="007E5C13"/>
    <w:rsid w:val="007E5F68"/>
    <w:rsid w:val="007E6116"/>
    <w:rsid w:val="007E6BBA"/>
    <w:rsid w:val="007E6E18"/>
    <w:rsid w:val="007E6F5B"/>
    <w:rsid w:val="007E6F60"/>
    <w:rsid w:val="007E6FB2"/>
    <w:rsid w:val="007E7277"/>
    <w:rsid w:val="007E75AC"/>
    <w:rsid w:val="007E75C0"/>
    <w:rsid w:val="007E76BE"/>
    <w:rsid w:val="007E7A30"/>
    <w:rsid w:val="007E7A8E"/>
    <w:rsid w:val="007E7B36"/>
    <w:rsid w:val="007E7CCA"/>
    <w:rsid w:val="007F050A"/>
    <w:rsid w:val="007F0735"/>
    <w:rsid w:val="007F07DC"/>
    <w:rsid w:val="007F0850"/>
    <w:rsid w:val="007F0A9F"/>
    <w:rsid w:val="007F0D72"/>
    <w:rsid w:val="007F1966"/>
    <w:rsid w:val="007F19F0"/>
    <w:rsid w:val="007F1DA0"/>
    <w:rsid w:val="007F1F01"/>
    <w:rsid w:val="007F21D0"/>
    <w:rsid w:val="007F2612"/>
    <w:rsid w:val="007F28C3"/>
    <w:rsid w:val="007F28DA"/>
    <w:rsid w:val="007F2BFD"/>
    <w:rsid w:val="007F3055"/>
    <w:rsid w:val="007F319B"/>
    <w:rsid w:val="007F3BA4"/>
    <w:rsid w:val="007F3C71"/>
    <w:rsid w:val="007F4011"/>
    <w:rsid w:val="007F40F5"/>
    <w:rsid w:val="007F42C2"/>
    <w:rsid w:val="007F4397"/>
    <w:rsid w:val="007F43A1"/>
    <w:rsid w:val="007F43E7"/>
    <w:rsid w:val="007F4413"/>
    <w:rsid w:val="007F4769"/>
    <w:rsid w:val="007F48E8"/>
    <w:rsid w:val="007F5497"/>
    <w:rsid w:val="007F54B2"/>
    <w:rsid w:val="007F5783"/>
    <w:rsid w:val="007F5A26"/>
    <w:rsid w:val="007F5A45"/>
    <w:rsid w:val="007F5C5F"/>
    <w:rsid w:val="007F5C90"/>
    <w:rsid w:val="007F5FC0"/>
    <w:rsid w:val="007F61E2"/>
    <w:rsid w:val="007F63A0"/>
    <w:rsid w:val="007F643E"/>
    <w:rsid w:val="007F66DA"/>
    <w:rsid w:val="007F67CA"/>
    <w:rsid w:val="007F6DC6"/>
    <w:rsid w:val="007F7302"/>
    <w:rsid w:val="007F73E6"/>
    <w:rsid w:val="007F770A"/>
    <w:rsid w:val="007F772E"/>
    <w:rsid w:val="007F77B1"/>
    <w:rsid w:val="007F7D77"/>
    <w:rsid w:val="00800178"/>
    <w:rsid w:val="00800332"/>
    <w:rsid w:val="00800743"/>
    <w:rsid w:val="00800839"/>
    <w:rsid w:val="0080094B"/>
    <w:rsid w:val="008009CA"/>
    <w:rsid w:val="00800C5A"/>
    <w:rsid w:val="00800DAC"/>
    <w:rsid w:val="00800E12"/>
    <w:rsid w:val="0080119D"/>
    <w:rsid w:val="00801252"/>
    <w:rsid w:val="00801E5E"/>
    <w:rsid w:val="0080207E"/>
    <w:rsid w:val="00802103"/>
    <w:rsid w:val="00802375"/>
    <w:rsid w:val="00802519"/>
    <w:rsid w:val="008028E1"/>
    <w:rsid w:val="00802BF1"/>
    <w:rsid w:val="00802C72"/>
    <w:rsid w:val="00802E6E"/>
    <w:rsid w:val="0080313E"/>
    <w:rsid w:val="00803322"/>
    <w:rsid w:val="00803570"/>
    <w:rsid w:val="00803F2C"/>
    <w:rsid w:val="00804158"/>
    <w:rsid w:val="00804206"/>
    <w:rsid w:val="008042D3"/>
    <w:rsid w:val="008042E2"/>
    <w:rsid w:val="008043FD"/>
    <w:rsid w:val="008044CB"/>
    <w:rsid w:val="008044F6"/>
    <w:rsid w:val="0080477E"/>
    <w:rsid w:val="008047E3"/>
    <w:rsid w:val="00804C1A"/>
    <w:rsid w:val="00804CF6"/>
    <w:rsid w:val="00804EB7"/>
    <w:rsid w:val="00805017"/>
    <w:rsid w:val="0080507C"/>
    <w:rsid w:val="00805247"/>
    <w:rsid w:val="00805742"/>
    <w:rsid w:val="00805F2E"/>
    <w:rsid w:val="0080600B"/>
    <w:rsid w:val="0080620B"/>
    <w:rsid w:val="00806321"/>
    <w:rsid w:val="00806800"/>
    <w:rsid w:val="00806B7E"/>
    <w:rsid w:val="00806C88"/>
    <w:rsid w:val="0080709C"/>
    <w:rsid w:val="008071FA"/>
    <w:rsid w:val="00807496"/>
    <w:rsid w:val="008075BB"/>
    <w:rsid w:val="00807AD6"/>
    <w:rsid w:val="00807BD2"/>
    <w:rsid w:val="008100D6"/>
    <w:rsid w:val="008101DE"/>
    <w:rsid w:val="008108A0"/>
    <w:rsid w:val="00810B9A"/>
    <w:rsid w:val="00810BB9"/>
    <w:rsid w:val="00810D2C"/>
    <w:rsid w:val="00810E89"/>
    <w:rsid w:val="00810EB9"/>
    <w:rsid w:val="008110E6"/>
    <w:rsid w:val="00811570"/>
    <w:rsid w:val="00811966"/>
    <w:rsid w:val="00811AF4"/>
    <w:rsid w:val="00811D55"/>
    <w:rsid w:val="00811E65"/>
    <w:rsid w:val="00811F70"/>
    <w:rsid w:val="008122B0"/>
    <w:rsid w:val="008128C2"/>
    <w:rsid w:val="00812CB2"/>
    <w:rsid w:val="00812DC9"/>
    <w:rsid w:val="00812F65"/>
    <w:rsid w:val="0081359E"/>
    <w:rsid w:val="00813A95"/>
    <w:rsid w:val="00813F57"/>
    <w:rsid w:val="0081410C"/>
    <w:rsid w:val="008144AB"/>
    <w:rsid w:val="00814C64"/>
    <w:rsid w:val="00814C75"/>
    <w:rsid w:val="008152E4"/>
    <w:rsid w:val="008156FB"/>
    <w:rsid w:val="00815959"/>
    <w:rsid w:val="00815984"/>
    <w:rsid w:val="0081613F"/>
    <w:rsid w:val="008162B8"/>
    <w:rsid w:val="00816A3D"/>
    <w:rsid w:val="00816D43"/>
    <w:rsid w:val="00816E52"/>
    <w:rsid w:val="0081705B"/>
    <w:rsid w:val="00817195"/>
    <w:rsid w:val="00817523"/>
    <w:rsid w:val="0081796F"/>
    <w:rsid w:val="00817B09"/>
    <w:rsid w:val="0082003C"/>
    <w:rsid w:val="0082016A"/>
    <w:rsid w:val="008205E7"/>
    <w:rsid w:val="00820A31"/>
    <w:rsid w:val="00820B6A"/>
    <w:rsid w:val="00820BC4"/>
    <w:rsid w:val="00820C85"/>
    <w:rsid w:val="00821016"/>
    <w:rsid w:val="00821080"/>
    <w:rsid w:val="0082127B"/>
    <w:rsid w:val="00821400"/>
    <w:rsid w:val="0082142A"/>
    <w:rsid w:val="00822295"/>
    <w:rsid w:val="00822489"/>
    <w:rsid w:val="008225CA"/>
    <w:rsid w:val="00822C3C"/>
    <w:rsid w:val="008231F8"/>
    <w:rsid w:val="00823741"/>
    <w:rsid w:val="00823EF4"/>
    <w:rsid w:val="00823F12"/>
    <w:rsid w:val="00824083"/>
    <w:rsid w:val="0082467A"/>
    <w:rsid w:val="008248ED"/>
    <w:rsid w:val="00824CB1"/>
    <w:rsid w:val="00825142"/>
    <w:rsid w:val="008254E0"/>
    <w:rsid w:val="008254F3"/>
    <w:rsid w:val="0082560C"/>
    <w:rsid w:val="00825958"/>
    <w:rsid w:val="00825ED5"/>
    <w:rsid w:val="00826150"/>
    <w:rsid w:val="0082655E"/>
    <w:rsid w:val="008265B5"/>
    <w:rsid w:val="0082666A"/>
    <w:rsid w:val="008267BD"/>
    <w:rsid w:val="0082682D"/>
    <w:rsid w:val="0082684D"/>
    <w:rsid w:val="008269BE"/>
    <w:rsid w:val="00826D02"/>
    <w:rsid w:val="00826DA5"/>
    <w:rsid w:val="00826E8F"/>
    <w:rsid w:val="008274E2"/>
    <w:rsid w:val="008277E7"/>
    <w:rsid w:val="0082781A"/>
    <w:rsid w:val="00827BEC"/>
    <w:rsid w:val="00827D46"/>
    <w:rsid w:val="00830245"/>
    <w:rsid w:val="00830347"/>
    <w:rsid w:val="00830444"/>
    <w:rsid w:val="00830698"/>
    <w:rsid w:val="00830BC0"/>
    <w:rsid w:val="00830C6D"/>
    <w:rsid w:val="00831021"/>
    <w:rsid w:val="00832167"/>
    <w:rsid w:val="00832301"/>
    <w:rsid w:val="008323E5"/>
    <w:rsid w:val="0083247C"/>
    <w:rsid w:val="00832C26"/>
    <w:rsid w:val="00832EF6"/>
    <w:rsid w:val="00832F6C"/>
    <w:rsid w:val="0083311C"/>
    <w:rsid w:val="00833236"/>
    <w:rsid w:val="0083338C"/>
    <w:rsid w:val="00833445"/>
    <w:rsid w:val="00833554"/>
    <w:rsid w:val="00833629"/>
    <w:rsid w:val="00833786"/>
    <w:rsid w:val="00833A5A"/>
    <w:rsid w:val="00833BA2"/>
    <w:rsid w:val="00833D4E"/>
    <w:rsid w:val="00834186"/>
    <w:rsid w:val="008341A3"/>
    <w:rsid w:val="00834247"/>
    <w:rsid w:val="008344FF"/>
    <w:rsid w:val="0083463A"/>
    <w:rsid w:val="008348A9"/>
    <w:rsid w:val="0083493A"/>
    <w:rsid w:val="00835414"/>
    <w:rsid w:val="008357F8"/>
    <w:rsid w:val="00835CA0"/>
    <w:rsid w:val="0083686A"/>
    <w:rsid w:val="00836887"/>
    <w:rsid w:val="00836A5D"/>
    <w:rsid w:val="00836B24"/>
    <w:rsid w:val="00836B62"/>
    <w:rsid w:val="00837093"/>
    <w:rsid w:val="00837125"/>
    <w:rsid w:val="00837893"/>
    <w:rsid w:val="00837903"/>
    <w:rsid w:val="00837A88"/>
    <w:rsid w:val="008401B1"/>
    <w:rsid w:val="0084047A"/>
    <w:rsid w:val="0084074A"/>
    <w:rsid w:val="008408B5"/>
    <w:rsid w:val="00840944"/>
    <w:rsid w:val="00840C55"/>
    <w:rsid w:val="00840F17"/>
    <w:rsid w:val="00841552"/>
    <w:rsid w:val="00841ADC"/>
    <w:rsid w:val="00841BEE"/>
    <w:rsid w:val="00841D01"/>
    <w:rsid w:val="00841FE9"/>
    <w:rsid w:val="008421ED"/>
    <w:rsid w:val="0084241E"/>
    <w:rsid w:val="0084243A"/>
    <w:rsid w:val="00842496"/>
    <w:rsid w:val="008425EC"/>
    <w:rsid w:val="00842DEB"/>
    <w:rsid w:val="00842F37"/>
    <w:rsid w:val="008430DF"/>
    <w:rsid w:val="0084311D"/>
    <w:rsid w:val="00843223"/>
    <w:rsid w:val="0084340D"/>
    <w:rsid w:val="0084357F"/>
    <w:rsid w:val="0084385D"/>
    <w:rsid w:val="008438BF"/>
    <w:rsid w:val="0084390D"/>
    <w:rsid w:val="00843C81"/>
    <w:rsid w:val="00843D48"/>
    <w:rsid w:val="00843E43"/>
    <w:rsid w:val="008441BC"/>
    <w:rsid w:val="0084468C"/>
    <w:rsid w:val="008446D2"/>
    <w:rsid w:val="008447BA"/>
    <w:rsid w:val="008447E6"/>
    <w:rsid w:val="00844A94"/>
    <w:rsid w:val="00844B1F"/>
    <w:rsid w:val="00845120"/>
    <w:rsid w:val="0084516B"/>
    <w:rsid w:val="008452E7"/>
    <w:rsid w:val="008454CB"/>
    <w:rsid w:val="0084594B"/>
    <w:rsid w:val="0084595F"/>
    <w:rsid w:val="00845A46"/>
    <w:rsid w:val="00845E92"/>
    <w:rsid w:val="00846233"/>
    <w:rsid w:val="0084657C"/>
    <w:rsid w:val="00846BF6"/>
    <w:rsid w:val="00846C63"/>
    <w:rsid w:val="008470ED"/>
    <w:rsid w:val="008473EF"/>
    <w:rsid w:val="0084773A"/>
    <w:rsid w:val="008477CB"/>
    <w:rsid w:val="00847896"/>
    <w:rsid w:val="00847CF7"/>
    <w:rsid w:val="00847F86"/>
    <w:rsid w:val="008500CC"/>
    <w:rsid w:val="00850B31"/>
    <w:rsid w:val="00850B76"/>
    <w:rsid w:val="00850BAB"/>
    <w:rsid w:val="00850BFF"/>
    <w:rsid w:val="00850C45"/>
    <w:rsid w:val="00850C49"/>
    <w:rsid w:val="00850CDF"/>
    <w:rsid w:val="00850D04"/>
    <w:rsid w:val="00851166"/>
    <w:rsid w:val="008513A8"/>
    <w:rsid w:val="0085146F"/>
    <w:rsid w:val="008519D5"/>
    <w:rsid w:val="00851AA0"/>
    <w:rsid w:val="00852A15"/>
    <w:rsid w:val="00852BD9"/>
    <w:rsid w:val="00852CAC"/>
    <w:rsid w:val="0085392C"/>
    <w:rsid w:val="00853A6A"/>
    <w:rsid w:val="00853AE3"/>
    <w:rsid w:val="00853D2E"/>
    <w:rsid w:val="00853EBD"/>
    <w:rsid w:val="0085448C"/>
    <w:rsid w:val="0085459F"/>
    <w:rsid w:val="0085460C"/>
    <w:rsid w:val="008547BF"/>
    <w:rsid w:val="008548FF"/>
    <w:rsid w:val="00854AC5"/>
    <w:rsid w:val="00854E30"/>
    <w:rsid w:val="00854F3F"/>
    <w:rsid w:val="0085599E"/>
    <w:rsid w:val="00855C28"/>
    <w:rsid w:val="00855D07"/>
    <w:rsid w:val="00856023"/>
    <w:rsid w:val="00856568"/>
    <w:rsid w:val="00856B02"/>
    <w:rsid w:val="00856C85"/>
    <w:rsid w:val="00856C87"/>
    <w:rsid w:val="00856CCE"/>
    <w:rsid w:val="00856D3D"/>
    <w:rsid w:val="00856EB5"/>
    <w:rsid w:val="00856FD0"/>
    <w:rsid w:val="008570B1"/>
    <w:rsid w:val="00857232"/>
    <w:rsid w:val="008575E6"/>
    <w:rsid w:val="00857DC9"/>
    <w:rsid w:val="00857E4B"/>
    <w:rsid w:val="00857F66"/>
    <w:rsid w:val="00857FCE"/>
    <w:rsid w:val="00860369"/>
    <w:rsid w:val="0086098B"/>
    <w:rsid w:val="00860CD3"/>
    <w:rsid w:val="00860E18"/>
    <w:rsid w:val="0086101C"/>
    <w:rsid w:val="00861061"/>
    <w:rsid w:val="00861A95"/>
    <w:rsid w:val="00861C4F"/>
    <w:rsid w:val="00861F04"/>
    <w:rsid w:val="008621EB"/>
    <w:rsid w:val="008627FF"/>
    <w:rsid w:val="00862B23"/>
    <w:rsid w:val="00862CAC"/>
    <w:rsid w:val="008633CE"/>
    <w:rsid w:val="008633E7"/>
    <w:rsid w:val="008635E4"/>
    <w:rsid w:val="0086361A"/>
    <w:rsid w:val="00863634"/>
    <w:rsid w:val="008637FC"/>
    <w:rsid w:val="008639B4"/>
    <w:rsid w:val="00863BAA"/>
    <w:rsid w:val="00863BE9"/>
    <w:rsid w:val="00863C70"/>
    <w:rsid w:val="00863DA2"/>
    <w:rsid w:val="00863F89"/>
    <w:rsid w:val="00864052"/>
    <w:rsid w:val="00864502"/>
    <w:rsid w:val="00864579"/>
    <w:rsid w:val="0086491B"/>
    <w:rsid w:val="00865030"/>
    <w:rsid w:val="0086508C"/>
    <w:rsid w:val="008650C9"/>
    <w:rsid w:val="008651FE"/>
    <w:rsid w:val="008655DF"/>
    <w:rsid w:val="0086594E"/>
    <w:rsid w:val="008664C8"/>
    <w:rsid w:val="008665F5"/>
    <w:rsid w:val="00866CE4"/>
    <w:rsid w:val="00866D1C"/>
    <w:rsid w:val="00866EBF"/>
    <w:rsid w:val="0086738E"/>
    <w:rsid w:val="00867421"/>
    <w:rsid w:val="00867518"/>
    <w:rsid w:val="00867B5C"/>
    <w:rsid w:val="00867EB2"/>
    <w:rsid w:val="0087019B"/>
    <w:rsid w:val="008704BB"/>
    <w:rsid w:val="008705E0"/>
    <w:rsid w:val="0087071D"/>
    <w:rsid w:val="008708F7"/>
    <w:rsid w:val="00870B7C"/>
    <w:rsid w:val="00871083"/>
    <w:rsid w:val="008710A8"/>
    <w:rsid w:val="0087185D"/>
    <w:rsid w:val="00871B04"/>
    <w:rsid w:val="00871C4D"/>
    <w:rsid w:val="00871D04"/>
    <w:rsid w:val="00871F39"/>
    <w:rsid w:val="00871F8B"/>
    <w:rsid w:val="008724A5"/>
    <w:rsid w:val="00872635"/>
    <w:rsid w:val="008729D5"/>
    <w:rsid w:val="00872BF5"/>
    <w:rsid w:val="00873564"/>
    <w:rsid w:val="008738D4"/>
    <w:rsid w:val="00873B42"/>
    <w:rsid w:val="00873B59"/>
    <w:rsid w:val="00873D24"/>
    <w:rsid w:val="0087408B"/>
    <w:rsid w:val="00874497"/>
    <w:rsid w:val="008748C8"/>
    <w:rsid w:val="0087497A"/>
    <w:rsid w:val="00874985"/>
    <w:rsid w:val="00874A3E"/>
    <w:rsid w:val="00874F14"/>
    <w:rsid w:val="0087502E"/>
    <w:rsid w:val="00875303"/>
    <w:rsid w:val="0087540B"/>
    <w:rsid w:val="0087591F"/>
    <w:rsid w:val="00875A14"/>
    <w:rsid w:val="00876095"/>
    <w:rsid w:val="008762A2"/>
    <w:rsid w:val="00876935"/>
    <w:rsid w:val="00876A33"/>
    <w:rsid w:val="00876B15"/>
    <w:rsid w:val="00877526"/>
    <w:rsid w:val="0087780B"/>
    <w:rsid w:val="00877886"/>
    <w:rsid w:val="008779E4"/>
    <w:rsid w:val="00877CF3"/>
    <w:rsid w:val="00880233"/>
    <w:rsid w:val="008805BE"/>
    <w:rsid w:val="00881865"/>
    <w:rsid w:val="008819B2"/>
    <w:rsid w:val="00881C54"/>
    <w:rsid w:val="00881F3A"/>
    <w:rsid w:val="00882526"/>
    <w:rsid w:val="00882606"/>
    <w:rsid w:val="008828A6"/>
    <w:rsid w:val="008829B4"/>
    <w:rsid w:val="00882BC5"/>
    <w:rsid w:val="00882C64"/>
    <w:rsid w:val="00882DE4"/>
    <w:rsid w:val="00882F8D"/>
    <w:rsid w:val="00883056"/>
    <w:rsid w:val="008833CA"/>
    <w:rsid w:val="008833EA"/>
    <w:rsid w:val="008833F3"/>
    <w:rsid w:val="0088398F"/>
    <w:rsid w:val="00883B5B"/>
    <w:rsid w:val="00884403"/>
    <w:rsid w:val="0088464D"/>
    <w:rsid w:val="008848AE"/>
    <w:rsid w:val="00884925"/>
    <w:rsid w:val="008849DD"/>
    <w:rsid w:val="00884B7A"/>
    <w:rsid w:val="00884C25"/>
    <w:rsid w:val="00884F7F"/>
    <w:rsid w:val="00885392"/>
    <w:rsid w:val="008855A8"/>
    <w:rsid w:val="0088575E"/>
    <w:rsid w:val="00885842"/>
    <w:rsid w:val="00885A19"/>
    <w:rsid w:val="00885B5C"/>
    <w:rsid w:val="0088602F"/>
    <w:rsid w:val="008866BD"/>
    <w:rsid w:val="00886756"/>
    <w:rsid w:val="008874A5"/>
    <w:rsid w:val="008876ED"/>
    <w:rsid w:val="0088788D"/>
    <w:rsid w:val="00887A50"/>
    <w:rsid w:val="008901C4"/>
    <w:rsid w:val="008903AE"/>
    <w:rsid w:val="0089078D"/>
    <w:rsid w:val="00890FB6"/>
    <w:rsid w:val="008915D5"/>
    <w:rsid w:val="008916B9"/>
    <w:rsid w:val="008916E5"/>
    <w:rsid w:val="00891880"/>
    <w:rsid w:val="00891E79"/>
    <w:rsid w:val="00891E94"/>
    <w:rsid w:val="00891EC8"/>
    <w:rsid w:val="0089221D"/>
    <w:rsid w:val="00892539"/>
    <w:rsid w:val="008929FA"/>
    <w:rsid w:val="00892F48"/>
    <w:rsid w:val="0089307B"/>
    <w:rsid w:val="00893189"/>
    <w:rsid w:val="008934AD"/>
    <w:rsid w:val="008935AD"/>
    <w:rsid w:val="00893822"/>
    <w:rsid w:val="00893B73"/>
    <w:rsid w:val="00893E3F"/>
    <w:rsid w:val="00894610"/>
    <w:rsid w:val="00894831"/>
    <w:rsid w:val="00894906"/>
    <w:rsid w:val="00894C15"/>
    <w:rsid w:val="00894FFB"/>
    <w:rsid w:val="0089512F"/>
    <w:rsid w:val="00895216"/>
    <w:rsid w:val="00895323"/>
    <w:rsid w:val="00895342"/>
    <w:rsid w:val="00895362"/>
    <w:rsid w:val="0089538C"/>
    <w:rsid w:val="00895A61"/>
    <w:rsid w:val="00895DD1"/>
    <w:rsid w:val="00896098"/>
    <w:rsid w:val="0089625F"/>
    <w:rsid w:val="00896CF2"/>
    <w:rsid w:val="00896DD1"/>
    <w:rsid w:val="00896E70"/>
    <w:rsid w:val="00896F02"/>
    <w:rsid w:val="00897053"/>
    <w:rsid w:val="0089726C"/>
    <w:rsid w:val="00897293"/>
    <w:rsid w:val="00897607"/>
    <w:rsid w:val="00897609"/>
    <w:rsid w:val="0089768C"/>
    <w:rsid w:val="008977DD"/>
    <w:rsid w:val="00897853"/>
    <w:rsid w:val="00897923"/>
    <w:rsid w:val="0089793D"/>
    <w:rsid w:val="00897AEF"/>
    <w:rsid w:val="00897AF7"/>
    <w:rsid w:val="00897CAA"/>
    <w:rsid w:val="00897CFF"/>
    <w:rsid w:val="00897F1F"/>
    <w:rsid w:val="008A00E6"/>
    <w:rsid w:val="008A02BA"/>
    <w:rsid w:val="008A08B9"/>
    <w:rsid w:val="008A0D2B"/>
    <w:rsid w:val="008A0F9D"/>
    <w:rsid w:val="008A1015"/>
    <w:rsid w:val="008A1D22"/>
    <w:rsid w:val="008A1D5D"/>
    <w:rsid w:val="008A1E8E"/>
    <w:rsid w:val="008A2D59"/>
    <w:rsid w:val="008A36FD"/>
    <w:rsid w:val="008A3744"/>
    <w:rsid w:val="008A3ECE"/>
    <w:rsid w:val="008A4026"/>
    <w:rsid w:val="008A40CC"/>
    <w:rsid w:val="008A4145"/>
    <w:rsid w:val="008A4504"/>
    <w:rsid w:val="008A4597"/>
    <w:rsid w:val="008A4EF0"/>
    <w:rsid w:val="008A5006"/>
    <w:rsid w:val="008A532A"/>
    <w:rsid w:val="008A580C"/>
    <w:rsid w:val="008A58FC"/>
    <w:rsid w:val="008A593E"/>
    <w:rsid w:val="008A5C27"/>
    <w:rsid w:val="008A5E04"/>
    <w:rsid w:val="008A5EEA"/>
    <w:rsid w:val="008A6295"/>
    <w:rsid w:val="008A62F4"/>
    <w:rsid w:val="008A632A"/>
    <w:rsid w:val="008A6674"/>
    <w:rsid w:val="008A6951"/>
    <w:rsid w:val="008A6AA3"/>
    <w:rsid w:val="008A7238"/>
    <w:rsid w:val="008A7982"/>
    <w:rsid w:val="008B01D6"/>
    <w:rsid w:val="008B04E9"/>
    <w:rsid w:val="008B0742"/>
    <w:rsid w:val="008B0AFB"/>
    <w:rsid w:val="008B0BB2"/>
    <w:rsid w:val="008B0C83"/>
    <w:rsid w:val="008B1080"/>
    <w:rsid w:val="008B1083"/>
    <w:rsid w:val="008B1B60"/>
    <w:rsid w:val="008B1B62"/>
    <w:rsid w:val="008B1CC5"/>
    <w:rsid w:val="008B20F3"/>
    <w:rsid w:val="008B227B"/>
    <w:rsid w:val="008B2536"/>
    <w:rsid w:val="008B2628"/>
    <w:rsid w:val="008B28BD"/>
    <w:rsid w:val="008B2A27"/>
    <w:rsid w:val="008B2E09"/>
    <w:rsid w:val="008B2E38"/>
    <w:rsid w:val="008B3177"/>
    <w:rsid w:val="008B31CE"/>
    <w:rsid w:val="008B328E"/>
    <w:rsid w:val="008B32E3"/>
    <w:rsid w:val="008B34B8"/>
    <w:rsid w:val="008B433A"/>
    <w:rsid w:val="008B4632"/>
    <w:rsid w:val="008B4998"/>
    <w:rsid w:val="008B4EC7"/>
    <w:rsid w:val="008B5844"/>
    <w:rsid w:val="008B5B75"/>
    <w:rsid w:val="008B5E54"/>
    <w:rsid w:val="008B5F74"/>
    <w:rsid w:val="008B6049"/>
    <w:rsid w:val="008B629A"/>
    <w:rsid w:val="008B6356"/>
    <w:rsid w:val="008B6400"/>
    <w:rsid w:val="008B646B"/>
    <w:rsid w:val="008B6837"/>
    <w:rsid w:val="008B6CA5"/>
    <w:rsid w:val="008B6D43"/>
    <w:rsid w:val="008B6DD4"/>
    <w:rsid w:val="008B6F9B"/>
    <w:rsid w:val="008B7AFC"/>
    <w:rsid w:val="008B7BA3"/>
    <w:rsid w:val="008B7F8F"/>
    <w:rsid w:val="008B7FD6"/>
    <w:rsid w:val="008C01A4"/>
    <w:rsid w:val="008C08D5"/>
    <w:rsid w:val="008C0C0E"/>
    <w:rsid w:val="008C13C6"/>
    <w:rsid w:val="008C17FA"/>
    <w:rsid w:val="008C1A4A"/>
    <w:rsid w:val="008C27B9"/>
    <w:rsid w:val="008C298B"/>
    <w:rsid w:val="008C2A46"/>
    <w:rsid w:val="008C2B31"/>
    <w:rsid w:val="008C2D34"/>
    <w:rsid w:val="008C2E4B"/>
    <w:rsid w:val="008C30D6"/>
    <w:rsid w:val="008C3352"/>
    <w:rsid w:val="008C379E"/>
    <w:rsid w:val="008C3DD3"/>
    <w:rsid w:val="008C3EDF"/>
    <w:rsid w:val="008C458C"/>
    <w:rsid w:val="008C492E"/>
    <w:rsid w:val="008C497D"/>
    <w:rsid w:val="008C4E7C"/>
    <w:rsid w:val="008C50CF"/>
    <w:rsid w:val="008C5167"/>
    <w:rsid w:val="008C56D3"/>
    <w:rsid w:val="008C56E9"/>
    <w:rsid w:val="008C5904"/>
    <w:rsid w:val="008C5B9D"/>
    <w:rsid w:val="008C606E"/>
    <w:rsid w:val="008C6239"/>
    <w:rsid w:val="008C6245"/>
    <w:rsid w:val="008C6257"/>
    <w:rsid w:val="008C654F"/>
    <w:rsid w:val="008C66D8"/>
    <w:rsid w:val="008C679C"/>
    <w:rsid w:val="008C690E"/>
    <w:rsid w:val="008C6B0D"/>
    <w:rsid w:val="008C6C0E"/>
    <w:rsid w:val="008C6E01"/>
    <w:rsid w:val="008C71E4"/>
    <w:rsid w:val="008C73B1"/>
    <w:rsid w:val="008C73C2"/>
    <w:rsid w:val="008C7401"/>
    <w:rsid w:val="008C74C8"/>
    <w:rsid w:val="008C7522"/>
    <w:rsid w:val="008C7638"/>
    <w:rsid w:val="008C7AFF"/>
    <w:rsid w:val="008C7B2A"/>
    <w:rsid w:val="008C7BC4"/>
    <w:rsid w:val="008C7C7C"/>
    <w:rsid w:val="008C7EE5"/>
    <w:rsid w:val="008D0467"/>
    <w:rsid w:val="008D05DA"/>
    <w:rsid w:val="008D09BA"/>
    <w:rsid w:val="008D0A33"/>
    <w:rsid w:val="008D114C"/>
    <w:rsid w:val="008D13CC"/>
    <w:rsid w:val="008D1622"/>
    <w:rsid w:val="008D1F02"/>
    <w:rsid w:val="008D21CC"/>
    <w:rsid w:val="008D2213"/>
    <w:rsid w:val="008D2469"/>
    <w:rsid w:val="008D27F5"/>
    <w:rsid w:val="008D2849"/>
    <w:rsid w:val="008D2958"/>
    <w:rsid w:val="008D2F06"/>
    <w:rsid w:val="008D2FA1"/>
    <w:rsid w:val="008D3583"/>
    <w:rsid w:val="008D3822"/>
    <w:rsid w:val="008D39D3"/>
    <w:rsid w:val="008D3F11"/>
    <w:rsid w:val="008D4150"/>
    <w:rsid w:val="008D41BA"/>
    <w:rsid w:val="008D435D"/>
    <w:rsid w:val="008D457B"/>
    <w:rsid w:val="008D4B3A"/>
    <w:rsid w:val="008D4DD9"/>
    <w:rsid w:val="008D4E66"/>
    <w:rsid w:val="008D5277"/>
    <w:rsid w:val="008D5427"/>
    <w:rsid w:val="008D5A51"/>
    <w:rsid w:val="008D5A64"/>
    <w:rsid w:val="008D5AC6"/>
    <w:rsid w:val="008D5B98"/>
    <w:rsid w:val="008D5BDE"/>
    <w:rsid w:val="008D5F9D"/>
    <w:rsid w:val="008D604F"/>
    <w:rsid w:val="008D60B1"/>
    <w:rsid w:val="008D677E"/>
    <w:rsid w:val="008D6847"/>
    <w:rsid w:val="008D696D"/>
    <w:rsid w:val="008D6AE1"/>
    <w:rsid w:val="008D6C35"/>
    <w:rsid w:val="008D6E87"/>
    <w:rsid w:val="008D6F0A"/>
    <w:rsid w:val="008D7054"/>
    <w:rsid w:val="008D75C0"/>
    <w:rsid w:val="008D77F4"/>
    <w:rsid w:val="008D7C6F"/>
    <w:rsid w:val="008D7F0C"/>
    <w:rsid w:val="008D7F32"/>
    <w:rsid w:val="008E0007"/>
    <w:rsid w:val="008E00C0"/>
    <w:rsid w:val="008E0350"/>
    <w:rsid w:val="008E04D7"/>
    <w:rsid w:val="008E0719"/>
    <w:rsid w:val="008E0E05"/>
    <w:rsid w:val="008E12DA"/>
    <w:rsid w:val="008E16AA"/>
    <w:rsid w:val="008E1AD5"/>
    <w:rsid w:val="008E1B8F"/>
    <w:rsid w:val="008E1CAB"/>
    <w:rsid w:val="008E217B"/>
    <w:rsid w:val="008E243E"/>
    <w:rsid w:val="008E283D"/>
    <w:rsid w:val="008E2C12"/>
    <w:rsid w:val="008E2C37"/>
    <w:rsid w:val="008E2CC0"/>
    <w:rsid w:val="008E2F2B"/>
    <w:rsid w:val="008E357D"/>
    <w:rsid w:val="008E384A"/>
    <w:rsid w:val="008E3879"/>
    <w:rsid w:val="008E3921"/>
    <w:rsid w:val="008E42C6"/>
    <w:rsid w:val="008E4825"/>
    <w:rsid w:val="008E4864"/>
    <w:rsid w:val="008E4C53"/>
    <w:rsid w:val="008E4D38"/>
    <w:rsid w:val="008E4D7B"/>
    <w:rsid w:val="008E4E82"/>
    <w:rsid w:val="008E5017"/>
    <w:rsid w:val="008E5046"/>
    <w:rsid w:val="008E50CC"/>
    <w:rsid w:val="008E50D9"/>
    <w:rsid w:val="008E514E"/>
    <w:rsid w:val="008E52FA"/>
    <w:rsid w:val="008E54AD"/>
    <w:rsid w:val="008E5508"/>
    <w:rsid w:val="008E58BB"/>
    <w:rsid w:val="008E608A"/>
    <w:rsid w:val="008E61C2"/>
    <w:rsid w:val="008E6388"/>
    <w:rsid w:val="008E63A0"/>
    <w:rsid w:val="008E6440"/>
    <w:rsid w:val="008E6530"/>
    <w:rsid w:val="008E67C1"/>
    <w:rsid w:val="008E6B15"/>
    <w:rsid w:val="008E7639"/>
    <w:rsid w:val="008E7951"/>
    <w:rsid w:val="008F00CD"/>
    <w:rsid w:val="008F01A8"/>
    <w:rsid w:val="008F0375"/>
    <w:rsid w:val="008F0847"/>
    <w:rsid w:val="008F08E4"/>
    <w:rsid w:val="008F0B2E"/>
    <w:rsid w:val="008F13B9"/>
    <w:rsid w:val="008F14D8"/>
    <w:rsid w:val="008F18AE"/>
    <w:rsid w:val="008F19AB"/>
    <w:rsid w:val="008F1C7F"/>
    <w:rsid w:val="008F26DB"/>
    <w:rsid w:val="008F2783"/>
    <w:rsid w:val="008F2AB0"/>
    <w:rsid w:val="008F2EFE"/>
    <w:rsid w:val="008F30BA"/>
    <w:rsid w:val="008F30E6"/>
    <w:rsid w:val="008F3118"/>
    <w:rsid w:val="008F3130"/>
    <w:rsid w:val="008F3552"/>
    <w:rsid w:val="008F39EA"/>
    <w:rsid w:val="008F3A54"/>
    <w:rsid w:val="008F3AF6"/>
    <w:rsid w:val="008F3BCA"/>
    <w:rsid w:val="008F43D2"/>
    <w:rsid w:val="008F4547"/>
    <w:rsid w:val="008F4561"/>
    <w:rsid w:val="008F4C21"/>
    <w:rsid w:val="008F4CDD"/>
    <w:rsid w:val="008F4D14"/>
    <w:rsid w:val="008F5162"/>
    <w:rsid w:val="008F5677"/>
    <w:rsid w:val="008F575F"/>
    <w:rsid w:val="008F59B3"/>
    <w:rsid w:val="008F5B4D"/>
    <w:rsid w:val="008F5D37"/>
    <w:rsid w:val="008F610B"/>
    <w:rsid w:val="008F68A2"/>
    <w:rsid w:val="008F6AAF"/>
    <w:rsid w:val="008F6C50"/>
    <w:rsid w:val="008F6F6C"/>
    <w:rsid w:val="008F6F6F"/>
    <w:rsid w:val="008F7034"/>
    <w:rsid w:val="008F7249"/>
    <w:rsid w:val="008F775C"/>
    <w:rsid w:val="008F78A0"/>
    <w:rsid w:val="008F78AF"/>
    <w:rsid w:val="008F7DD2"/>
    <w:rsid w:val="008F7DDE"/>
    <w:rsid w:val="008F7F02"/>
    <w:rsid w:val="00900170"/>
    <w:rsid w:val="0090020A"/>
    <w:rsid w:val="009005A9"/>
    <w:rsid w:val="00900688"/>
    <w:rsid w:val="00900853"/>
    <w:rsid w:val="0090092B"/>
    <w:rsid w:val="00900C00"/>
    <w:rsid w:val="0090121E"/>
    <w:rsid w:val="0090185F"/>
    <w:rsid w:val="00901AE6"/>
    <w:rsid w:val="00901E56"/>
    <w:rsid w:val="0090214B"/>
    <w:rsid w:val="00902479"/>
    <w:rsid w:val="009027AF"/>
    <w:rsid w:val="00902896"/>
    <w:rsid w:val="00902F5B"/>
    <w:rsid w:val="00903114"/>
    <w:rsid w:val="009033F2"/>
    <w:rsid w:val="0090345A"/>
    <w:rsid w:val="0090346E"/>
    <w:rsid w:val="00903522"/>
    <w:rsid w:val="009039A0"/>
    <w:rsid w:val="00903A3A"/>
    <w:rsid w:val="00903AF3"/>
    <w:rsid w:val="00903BBF"/>
    <w:rsid w:val="00903D56"/>
    <w:rsid w:val="0090417F"/>
    <w:rsid w:val="00904750"/>
    <w:rsid w:val="00904765"/>
    <w:rsid w:val="009047DB"/>
    <w:rsid w:val="00904A2F"/>
    <w:rsid w:val="00904B7B"/>
    <w:rsid w:val="00904BEE"/>
    <w:rsid w:val="00904E5E"/>
    <w:rsid w:val="00904F1B"/>
    <w:rsid w:val="00904F39"/>
    <w:rsid w:val="00905312"/>
    <w:rsid w:val="00905332"/>
    <w:rsid w:val="009054F6"/>
    <w:rsid w:val="0090576A"/>
    <w:rsid w:val="009058EB"/>
    <w:rsid w:val="00905A3F"/>
    <w:rsid w:val="00905A77"/>
    <w:rsid w:val="0090603B"/>
    <w:rsid w:val="009063A0"/>
    <w:rsid w:val="00906484"/>
    <w:rsid w:val="00906BE8"/>
    <w:rsid w:val="00906C21"/>
    <w:rsid w:val="00906CC5"/>
    <w:rsid w:val="00906F97"/>
    <w:rsid w:val="009073DF"/>
    <w:rsid w:val="00907D88"/>
    <w:rsid w:val="0091001E"/>
    <w:rsid w:val="0091043C"/>
    <w:rsid w:val="009111F3"/>
    <w:rsid w:val="009112F2"/>
    <w:rsid w:val="009113A7"/>
    <w:rsid w:val="0091186A"/>
    <w:rsid w:val="00911934"/>
    <w:rsid w:val="00911B4F"/>
    <w:rsid w:val="00911C39"/>
    <w:rsid w:val="00911C7D"/>
    <w:rsid w:val="00911E1C"/>
    <w:rsid w:val="009124B2"/>
    <w:rsid w:val="00912711"/>
    <w:rsid w:val="00912822"/>
    <w:rsid w:val="00912A73"/>
    <w:rsid w:val="00912C37"/>
    <w:rsid w:val="00912D77"/>
    <w:rsid w:val="0091355A"/>
    <w:rsid w:val="009136D5"/>
    <w:rsid w:val="00913824"/>
    <w:rsid w:val="0091396F"/>
    <w:rsid w:val="00913AF2"/>
    <w:rsid w:val="00913C12"/>
    <w:rsid w:val="00913ED8"/>
    <w:rsid w:val="00913FE2"/>
    <w:rsid w:val="00914188"/>
    <w:rsid w:val="00914739"/>
    <w:rsid w:val="00914753"/>
    <w:rsid w:val="00914C5E"/>
    <w:rsid w:val="00914CBD"/>
    <w:rsid w:val="00915030"/>
    <w:rsid w:val="00915147"/>
    <w:rsid w:val="009151B1"/>
    <w:rsid w:val="00915672"/>
    <w:rsid w:val="00915855"/>
    <w:rsid w:val="009159F0"/>
    <w:rsid w:val="00915C2D"/>
    <w:rsid w:val="00916526"/>
    <w:rsid w:val="00916543"/>
    <w:rsid w:val="009168D5"/>
    <w:rsid w:val="00916EF0"/>
    <w:rsid w:val="009171A9"/>
    <w:rsid w:val="009171C1"/>
    <w:rsid w:val="00917262"/>
    <w:rsid w:val="009173DB"/>
    <w:rsid w:val="0091741C"/>
    <w:rsid w:val="009175E0"/>
    <w:rsid w:val="0091772B"/>
    <w:rsid w:val="00917B25"/>
    <w:rsid w:val="00917BE2"/>
    <w:rsid w:val="00917C5A"/>
    <w:rsid w:val="00917E06"/>
    <w:rsid w:val="00917F57"/>
    <w:rsid w:val="00917FDD"/>
    <w:rsid w:val="00917FF2"/>
    <w:rsid w:val="009204A4"/>
    <w:rsid w:val="009204D9"/>
    <w:rsid w:val="00920742"/>
    <w:rsid w:val="0092096F"/>
    <w:rsid w:val="00920B0A"/>
    <w:rsid w:val="00920CD1"/>
    <w:rsid w:val="0092125E"/>
    <w:rsid w:val="00921ACD"/>
    <w:rsid w:val="00921BB4"/>
    <w:rsid w:val="00921D48"/>
    <w:rsid w:val="00921DB3"/>
    <w:rsid w:val="00921F69"/>
    <w:rsid w:val="00922149"/>
    <w:rsid w:val="00922217"/>
    <w:rsid w:val="0092274C"/>
    <w:rsid w:val="00922C08"/>
    <w:rsid w:val="00922D1E"/>
    <w:rsid w:val="00922EEF"/>
    <w:rsid w:val="0092301C"/>
    <w:rsid w:val="009231E5"/>
    <w:rsid w:val="00923E42"/>
    <w:rsid w:val="00923EC6"/>
    <w:rsid w:val="009247F2"/>
    <w:rsid w:val="00924AB0"/>
    <w:rsid w:val="009255CA"/>
    <w:rsid w:val="00925774"/>
    <w:rsid w:val="009257E7"/>
    <w:rsid w:val="00925900"/>
    <w:rsid w:val="00925B2B"/>
    <w:rsid w:val="00925BB6"/>
    <w:rsid w:val="00925E03"/>
    <w:rsid w:val="00926515"/>
    <w:rsid w:val="0092689E"/>
    <w:rsid w:val="009275AD"/>
    <w:rsid w:val="0092776A"/>
    <w:rsid w:val="00927873"/>
    <w:rsid w:val="00927A1B"/>
    <w:rsid w:val="00927AC4"/>
    <w:rsid w:val="00927D4D"/>
    <w:rsid w:val="00927DFC"/>
    <w:rsid w:val="00927E1F"/>
    <w:rsid w:val="0093009D"/>
    <w:rsid w:val="00930146"/>
    <w:rsid w:val="00930170"/>
    <w:rsid w:val="009301A6"/>
    <w:rsid w:val="009301EF"/>
    <w:rsid w:val="00930531"/>
    <w:rsid w:val="0093059E"/>
    <w:rsid w:val="00930CC7"/>
    <w:rsid w:val="00930D48"/>
    <w:rsid w:val="00930E65"/>
    <w:rsid w:val="00930F68"/>
    <w:rsid w:val="00930FEF"/>
    <w:rsid w:val="00931051"/>
    <w:rsid w:val="00931280"/>
    <w:rsid w:val="009314D4"/>
    <w:rsid w:val="00931684"/>
    <w:rsid w:val="009316D4"/>
    <w:rsid w:val="009317DA"/>
    <w:rsid w:val="00931FE4"/>
    <w:rsid w:val="0093208F"/>
    <w:rsid w:val="009321E9"/>
    <w:rsid w:val="00932414"/>
    <w:rsid w:val="0093273A"/>
    <w:rsid w:val="009328C3"/>
    <w:rsid w:val="00932997"/>
    <w:rsid w:val="00933362"/>
    <w:rsid w:val="00933383"/>
    <w:rsid w:val="00933551"/>
    <w:rsid w:val="0093359A"/>
    <w:rsid w:val="009337F2"/>
    <w:rsid w:val="00933E2F"/>
    <w:rsid w:val="00933E59"/>
    <w:rsid w:val="00933F1A"/>
    <w:rsid w:val="00934A4C"/>
    <w:rsid w:val="009352C2"/>
    <w:rsid w:val="00935382"/>
    <w:rsid w:val="0093539E"/>
    <w:rsid w:val="00935679"/>
    <w:rsid w:val="00935754"/>
    <w:rsid w:val="00935990"/>
    <w:rsid w:val="00935BD0"/>
    <w:rsid w:val="00935F12"/>
    <w:rsid w:val="00936238"/>
    <w:rsid w:val="009363E8"/>
    <w:rsid w:val="0093640B"/>
    <w:rsid w:val="0093673F"/>
    <w:rsid w:val="00936D1E"/>
    <w:rsid w:val="00937069"/>
    <w:rsid w:val="00937151"/>
    <w:rsid w:val="00937204"/>
    <w:rsid w:val="00937205"/>
    <w:rsid w:val="00937209"/>
    <w:rsid w:val="00937D8E"/>
    <w:rsid w:val="00937F05"/>
    <w:rsid w:val="00940241"/>
    <w:rsid w:val="009402E8"/>
    <w:rsid w:val="009404E0"/>
    <w:rsid w:val="00940590"/>
    <w:rsid w:val="009407D3"/>
    <w:rsid w:val="0094083F"/>
    <w:rsid w:val="009408DA"/>
    <w:rsid w:val="00940911"/>
    <w:rsid w:val="00941204"/>
    <w:rsid w:val="00941B0F"/>
    <w:rsid w:val="00941EC9"/>
    <w:rsid w:val="00942012"/>
    <w:rsid w:val="009421B7"/>
    <w:rsid w:val="00942305"/>
    <w:rsid w:val="00942357"/>
    <w:rsid w:val="0094237E"/>
    <w:rsid w:val="0094261F"/>
    <w:rsid w:val="00942894"/>
    <w:rsid w:val="00942C8C"/>
    <w:rsid w:val="00942DE5"/>
    <w:rsid w:val="009431FF"/>
    <w:rsid w:val="00943211"/>
    <w:rsid w:val="009432CF"/>
    <w:rsid w:val="009433BE"/>
    <w:rsid w:val="009435D8"/>
    <w:rsid w:val="00943834"/>
    <w:rsid w:val="0094404E"/>
    <w:rsid w:val="0094412C"/>
    <w:rsid w:val="009445D6"/>
    <w:rsid w:val="009446E0"/>
    <w:rsid w:val="009449C0"/>
    <w:rsid w:val="00944AC9"/>
    <w:rsid w:val="00944ECA"/>
    <w:rsid w:val="00944FD0"/>
    <w:rsid w:val="0094504C"/>
    <w:rsid w:val="009452C1"/>
    <w:rsid w:val="009452E4"/>
    <w:rsid w:val="00945B33"/>
    <w:rsid w:val="00945E7F"/>
    <w:rsid w:val="00946218"/>
    <w:rsid w:val="00946500"/>
    <w:rsid w:val="00946662"/>
    <w:rsid w:val="00946ADC"/>
    <w:rsid w:val="00946B45"/>
    <w:rsid w:val="00946B98"/>
    <w:rsid w:val="009470FF"/>
    <w:rsid w:val="00947332"/>
    <w:rsid w:val="009473E2"/>
    <w:rsid w:val="00947461"/>
    <w:rsid w:val="00947533"/>
    <w:rsid w:val="0094756C"/>
    <w:rsid w:val="00947590"/>
    <w:rsid w:val="0094799B"/>
    <w:rsid w:val="00947ACC"/>
    <w:rsid w:val="00947DB5"/>
    <w:rsid w:val="00947F31"/>
    <w:rsid w:val="009506A0"/>
    <w:rsid w:val="009509F5"/>
    <w:rsid w:val="00950B11"/>
    <w:rsid w:val="00950C7C"/>
    <w:rsid w:val="00950D68"/>
    <w:rsid w:val="00951055"/>
    <w:rsid w:val="00951120"/>
    <w:rsid w:val="009511E7"/>
    <w:rsid w:val="009513C5"/>
    <w:rsid w:val="009516FA"/>
    <w:rsid w:val="009520DB"/>
    <w:rsid w:val="0095226F"/>
    <w:rsid w:val="009523B3"/>
    <w:rsid w:val="00952863"/>
    <w:rsid w:val="009528F9"/>
    <w:rsid w:val="00952E8C"/>
    <w:rsid w:val="00952ECD"/>
    <w:rsid w:val="009536A0"/>
    <w:rsid w:val="009539BC"/>
    <w:rsid w:val="00953CC9"/>
    <w:rsid w:val="00953D3F"/>
    <w:rsid w:val="00954047"/>
    <w:rsid w:val="009540B9"/>
    <w:rsid w:val="009543A9"/>
    <w:rsid w:val="00954538"/>
    <w:rsid w:val="009547E4"/>
    <w:rsid w:val="009549ED"/>
    <w:rsid w:val="00954CB3"/>
    <w:rsid w:val="00954E0C"/>
    <w:rsid w:val="00954E1E"/>
    <w:rsid w:val="00954F1E"/>
    <w:rsid w:val="00955234"/>
    <w:rsid w:val="009555CC"/>
    <w:rsid w:val="00955F50"/>
    <w:rsid w:val="009560FC"/>
    <w:rsid w:val="00956154"/>
    <w:rsid w:val="00956748"/>
    <w:rsid w:val="00956914"/>
    <w:rsid w:val="00956A1B"/>
    <w:rsid w:val="00956C13"/>
    <w:rsid w:val="00956F9A"/>
    <w:rsid w:val="00956FBD"/>
    <w:rsid w:val="0095705B"/>
    <w:rsid w:val="00957552"/>
    <w:rsid w:val="009575F9"/>
    <w:rsid w:val="00957B75"/>
    <w:rsid w:val="00957BFA"/>
    <w:rsid w:val="00960504"/>
    <w:rsid w:val="0096051D"/>
    <w:rsid w:val="0096062F"/>
    <w:rsid w:val="00960890"/>
    <w:rsid w:val="00960B10"/>
    <w:rsid w:val="00960B56"/>
    <w:rsid w:val="00960CE1"/>
    <w:rsid w:val="00960DAA"/>
    <w:rsid w:val="00961278"/>
    <w:rsid w:val="009613BD"/>
    <w:rsid w:val="009613F7"/>
    <w:rsid w:val="009614EC"/>
    <w:rsid w:val="00961571"/>
    <w:rsid w:val="009619AE"/>
    <w:rsid w:val="00961B3F"/>
    <w:rsid w:val="00962639"/>
    <w:rsid w:val="00962874"/>
    <w:rsid w:val="00962DA9"/>
    <w:rsid w:val="009633F6"/>
    <w:rsid w:val="009637C7"/>
    <w:rsid w:val="00963C4C"/>
    <w:rsid w:val="00963DBF"/>
    <w:rsid w:val="0096422B"/>
    <w:rsid w:val="0096435F"/>
    <w:rsid w:val="00964581"/>
    <w:rsid w:val="00964CC6"/>
    <w:rsid w:val="00964F09"/>
    <w:rsid w:val="00965E80"/>
    <w:rsid w:val="00965FAB"/>
    <w:rsid w:val="00966104"/>
    <w:rsid w:val="00966271"/>
    <w:rsid w:val="009663D0"/>
    <w:rsid w:val="00966480"/>
    <w:rsid w:val="009669FC"/>
    <w:rsid w:val="00966F44"/>
    <w:rsid w:val="00967184"/>
    <w:rsid w:val="009671F4"/>
    <w:rsid w:val="00967452"/>
    <w:rsid w:val="00967471"/>
    <w:rsid w:val="009679B9"/>
    <w:rsid w:val="00967B07"/>
    <w:rsid w:val="00967B0C"/>
    <w:rsid w:val="00970122"/>
    <w:rsid w:val="00970208"/>
    <w:rsid w:val="009704F8"/>
    <w:rsid w:val="00970743"/>
    <w:rsid w:val="0097075B"/>
    <w:rsid w:val="00970DCC"/>
    <w:rsid w:val="0097124B"/>
    <w:rsid w:val="0097128A"/>
    <w:rsid w:val="00971448"/>
    <w:rsid w:val="0097151B"/>
    <w:rsid w:val="00971693"/>
    <w:rsid w:val="009716D1"/>
    <w:rsid w:val="009717C8"/>
    <w:rsid w:val="009718BB"/>
    <w:rsid w:val="00971BB4"/>
    <w:rsid w:val="00971C02"/>
    <w:rsid w:val="00971C30"/>
    <w:rsid w:val="00971F52"/>
    <w:rsid w:val="00972199"/>
    <w:rsid w:val="0097234D"/>
    <w:rsid w:val="0097235D"/>
    <w:rsid w:val="00972C8D"/>
    <w:rsid w:val="009731BC"/>
    <w:rsid w:val="00973241"/>
    <w:rsid w:val="009733BF"/>
    <w:rsid w:val="009735F7"/>
    <w:rsid w:val="00973686"/>
    <w:rsid w:val="009739CA"/>
    <w:rsid w:val="00973A89"/>
    <w:rsid w:val="00973EC5"/>
    <w:rsid w:val="00973F52"/>
    <w:rsid w:val="00974314"/>
    <w:rsid w:val="00974329"/>
    <w:rsid w:val="00974356"/>
    <w:rsid w:val="009744F6"/>
    <w:rsid w:val="009745FD"/>
    <w:rsid w:val="00974A66"/>
    <w:rsid w:val="00974A69"/>
    <w:rsid w:val="00974AB5"/>
    <w:rsid w:val="00974DB8"/>
    <w:rsid w:val="00974E4B"/>
    <w:rsid w:val="00974E59"/>
    <w:rsid w:val="00974ED3"/>
    <w:rsid w:val="0097504D"/>
    <w:rsid w:val="0097507D"/>
    <w:rsid w:val="0097542E"/>
    <w:rsid w:val="0097587E"/>
    <w:rsid w:val="00975A4C"/>
    <w:rsid w:val="00975DC8"/>
    <w:rsid w:val="00976351"/>
    <w:rsid w:val="0097646C"/>
    <w:rsid w:val="0097673D"/>
    <w:rsid w:val="00976BE8"/>
    <w:rsid w:val="00976F23"/>
    <w:rsid w:val="00976F5F"/>
    <w:rsid w:val="0097729C"/>
    <w:rsid w:val="00977769"/>
    <w:rsid w:val="009779EE"/>
    <w:rsid w:val="00977AB9"/>
    <w:rsid w:val="00977B91"/>
    <w:rsid w:val="00977ECE"/>
    <w:rsid w:val="00980001"/>
    <w:rsid w:val="00980C85"/>
    <w:rsid w:val="00980CA8"/>
    <w:rsid w:val="00980CF0"/>
    <w:rsid w:val="009811C2"/>
    <w:rsid w:val="009816EC"/>
    <w:rsid w:val="00981D8B"/>
    <w:rsid w:val="00983000"/>
    <w:rsid w:val="009831FF"/>
    <w:rsid w:val="009832F2"/>
    <w:rsid w:val="009837BE"/>
    <w:rsid w:val="00983A2F"/>
    <w:rsid w:val="00983AE0"/>
    <w:rsid w:val="00983CDA"/>
    <w:rsid w:val="00983F6B"/>
    <w:rsid w:val="00983FB2"/>
    <w:rsid w:val="00983FEC"/>
    <w:rsid w:val="009844AE"/>
    <w:rsid w:val="009847CF"/>
    <w:rsid w:val="00984A92"/>
    <w:rsid w:val="00984D69"/>
    <w:rsid w:val="00985538"/>
    <w:rsid w:val="0098565F"/>
    <w:rsid w:val="00985AD0"/>
    <w:rsid w:val="00985B53"/>
    <w:rsid w:val="00985EBA"/>
    <w:rsid w:val="00985EDF"/>
    <w:rsid w:val="0098621E"/>
    <w:rsid w:val="00986232"/>
    <w:rsid w:val="00986502"/>
    <w:rsid w:val="00986821"/>
    <w:rsid w:val="009868DD"/>
    <w:rsid w:val="00986AA5"/>
    <w:rsid w:val="00986E6A"/>
    <w:rsid w:val="00986EC3"/>
    <w:rsid w:val="00986EC7"/>
    <w:rsid w:val="009870AB"/>
    <w:rsid w:val="0098729D"/>
    <w:rsid w:val="00987363"/>
    <w:rsid w:val="00987699"/>
    <w:rsid w:val="0098770D"/>
    <w:rsid w:val="00987F50"/>
    <w:rsid w:val="009900B0"/>
    <w:rsid w:val="009904E4"/>
    <w:rsid w:val="00990AE0"/>
    <w:rsid w:val="00991647"/>
    <w:rsid w:val="00991BA8"/>
    <w:rsid w:val="0099204D"/>
    <w:rsid w:val="009923F6"/>
    <w:rsid w:val="00992AF6"/>
    <w:rsid w:val="00992B13"/>
    <w:rsid w:val="00992B8B"/>
    <w:rsid w:val="00992E7E"/>
    <w:rsid w:val="00993486"/>
    <w:rsid w:val="00994314"/>
    <w:rsid w:val="00994414"/>
    <w:rsid w:val="009946FB"/>
    <w:rsid w:val="009947BD"/>
    <w:rsid w:val="00994B46"/>
    <w:rsid w:val="00994B6F"/>
    <w:rsid w:val="00994E1F"/>
    <w:rsid w:val="00994EA8"/>
    <w:rsid w:val="00994F46"/>
    <w:rsid w:val="00994FB4"/>
    <w:rsid w:val="009952A1"/>
    <w:rsid w:val="009952B9"/>
    <w:rsid w:val="00995470"/>
    <w:rsid w:val="00995677"/>
    <w:rsid w:val="00995CC9"/>
    <w:rsid w:val="00995E88"/>
    <w:rsid w:val="00995EC6"/>
    <w:rsid w:val="00995FDE"/>
    <w:rsid w:val="009964D5"/>
    <w:rsid w:val="00996500"/>
    <w:rsid w:val="009968BF"/>
    <w:rsid w:val="009969A0"/>
    <w:rsid w:val="00996B7B"/>
    <w:rsid w:val="00996CD9"/>
    <w:rsid w:val="00996E6B"/>
    <w:rsid w:val="009971C8"/>
    <w:rsid w:val="0099728B"/>
    <w:rsid w:val="00997589"/>
    <w:rsid w:val="00997762"/>
    <w:rsid w:val="00997A7F"/>
    <w:rsid w:val="00997B75"/>
    <w:rsid w:val="00997D20"/>
    <w:rsid w:val="00997EB6"/>
    <w:rsid w:val="009A017B"/>
    <w:rsid w:val="009A0247"/>
    <w:rsid w:val="009A024D"/>
    <w:rsid w:val="009A0272"/>
    <w:rsid w:val="009A0588"/>
    <w:rsid w:val="009A15C9"/>
    <w:rsid w:val="009A16B7"/>
    <w:rsid w:val="009A1CD7"/>
    <w:rsid w:val="009A201E"/>
    <w:rsid w:val="009A2178"/>
    <w:rsid w:val="009A2487"/>
    <w:rsid w:val="009A2710"/>
    <w:rsid w:val="009A2929"/>
    <w:rsid w:val="009A2BCA"/>
    <w:rsid w:val="009A2D1F"/>
    <w:rsid w:val="009A3227"/>
    <w:rsid w:val="009A32DF"/>
    <w:rsid w:val="009A3467"/>
    <w:rsid w:val="009A356D"/>
    <w:rsid w:val="009A3898"/>
    <w:rsid w:val="009A3A82"/>
    <w:rsid w:val="009A3AE8"/>
    <w:rsid w:val="009A3BA3"/>
    <w:rsid w:val="009A3C78"/>
    <w:rsid w:val="009A3E6B"/>
    <w:rsid w:val="009A41CF"/>
    <w:rsid w:val="009A4292"/>
    <w:rsid w:val="009A42EF"/>
    <w:rsid w:val="009A432E"/>
    <w:rsid w:val="009A4344"/>
    <w:rsid w:val="009A4400"/>
    <w:rsid w:val="009A463B"/>
    <w:rsid w:val="009A47C7"/>
    <w:rsid w:val="009A4B51"/>
    <w:rsid w:val="009A5288"/>
    <w:rsid w:val="009A5494"/>
    <w:rsid w:val="009A5543"/>
    <w:rsid w:val="009A565D"/>
    <w:rsid w:val="009A5838"/>
    <w:rsid w:val="009A5E3F"/>
    <w:rsid w:val="009A620D"/>
    <w:rsid w:val="009A62AC"/>
    <w:rsid w:val="009A64AF"/>
    <w:rsid w:val="009A653D"/>
    <w:rsid w:val="009A66F1"/>
    <w:rsid w:val="009A67E1"/>
    <w:rsid w:val="009A68E8"/>
    <w:rsid w:val="009A6A57"/>
    <w:rsid w:val="009A6CA5"/>
    <w:rsid w:val="009A6CB0"/>
    <w:rsid w:val="009A6F59"/>
    <w:rsid w:val="009A7049"/>
    <w:rsid w:val="009A717E"/>
    <w:rsid w:val="009A7702"/>
    <w:rsid w:val="009A7735"/>
    <w:rsid w:val="009A7862"/>
    <w:rsid w:val="009A795C"/>
    <w:rsid w:val="009A7AD6"/>
    <w:rsid w:val="009A7C8A"/>
    <w:rsid w:val="009B002B"/>
    <w:rsid w:val="009B0180"/>
    <w:rsid w:val="009B0195"/>
    <w:rsid w:val="009B0436"/>
    <w:rsid w:val="009B057B"/>
    <w:rsid w:val="009B08C9"/>
    <w:rsid w:val="009B0A08"/>
    <w:rsid w:val="009B1213"/>
    <w:rsid w:val="009B134D"/>
    <w:rsid w:val="009B1408"/>
    <w:rsid w:val="009B1697"/>
    <w:rsid w:val="009B16EE"/>
    <w:rsid w:val="009B1A7F"/>
    <w:rsid w:val="009B1B07"/>
    <w:rsid w:val="009B20C2"/>
    <w:rsid w:val="009B2161"/>
    <w:rsid w:val="009B22BE"/>
    <w:rsid w:val="009B23A7"/>
    <w:rsid w:val="009B255B"/>
    <w:rsid w:val="009B2612"/>
    <w:rsid w:val="009B2716"/>
    <w:rsid w:val="009B2E07"/>
    <w:rsid w:val="009B30FD"/>
    <w:rsid w:val="009B3160"/>
    <w:rsid w:val="009B36EC"/>
    <w:rsid w:val="009B3D10"/>
    <w:rsid w:val="009B3FE1"/>
    <w:rsid w:val="009B43F4"/>
    <w:rsid w:val="009B45FF"/>
    <w:rsid w:val="009B464F"/>
    <w:rsid w:val="009B465B"/>
    <w:rsid w:val="009B4B65"/>
    <w:rsid w:val="009B4EB9"/>
    <w:rsid w:val="009B4EC3"/>
    <w:rsid w:val="009B4EFE"/>
    <w:rsid w:val="009B50A6"/>
    <w:rsid w:val="009B5793"/>
    <w:rsid w:val="009B5885"/>
    <w:rsid w:val="009B58BD"/>
    <w:rsid w:val="009B5CBD"/>
    <w:rsid w:val="009B5D5A"/>
    <w:rsid w:val="009B5DA1"/>
    <w:rsid w:val="009B5DF9"/>
    <w:rsid w:val="009B61A3"/>
    <w:rsid w:val="009B61E2"/>
    <w:rsid w:val="009B65E1"/>
    <w:rsid w:val="009B6661"/>
    <w:rsid w:val="009B68C3"/>
    <w:rsid w:val="009B6B4B"/>
    <w:rsid w:val="009B7694"/>
    <w:rsid w:val="009B7D0A"/>
    <w:rsid w:val="009B7D2B"/>
    <w:rsid w:val="009C0185"/>
    <w:rsid w:val="009C0662"/>
    <w:rsid w:val="009C0676"/>
    <w:rsid w:val="009C0AB9"/>
    <w:rsid w:val="009C0F96"/>
    <w:rsid w:val="009C2326"/>
    <w:rsid w:val="009C258B"/>
    <w:rsid w:val="009C28D3"/>
    <w:rsid w:val="009C2ACB"/>
    <w:rsid w:val="009C30EE"/>
    <w:rsid w:val="009C37C4"/>
    <w:rsid w:val="009C3CE8"/>
    <w:rsid w:val="009C4033"/>
    <w:rsid w:val="009C424B"/>
    <w:rsid w:val="009C4378"/>
    <w:rsid w:val="009C4416"/>
    <w:rsid w:val="009C49E6"/>
    <w:rsid w:val="009C4A26"/>
    <w:rsid w:val="009C4A87"/>
    <w:rsid w:val="009C4B65"/>
    <w:rsid w:val="009C4BD3"/>
    <w:rsid w:val="009C4CB9"/>
    <w:rsid w:val="009C4DCC"/>
    <w:rsid w:val="009C5486"/>
    <w:rsid w:val="009C56F6"/>
    <w:rsid w:val="009C5D72"/>
    <w:rsid w:val="009C6024"/>
    <w:rsid w:val="009C623B"/>
    <w:rsid w:val="009C636B"/>
    <w:rsid w:val="009C640E"/>
    <w:rsid w:val="009C6A97"/>
    <w:rsid w:val="009C71AF"/>
    <w:rsid w:val="009C7932"/>
    <w:rsid w:val="009C7F52"/>
    <w:rsid w:val="009D0595"/>
    <w:rsid w:val="009D0862"/>
    <w:rsid w:val="009D0BE5"/>
    <w:rsid w:val="009D0CFA"/>
    <w:rsid w:val="009D11A6"/>
    <w:rsid w:val="009D17B6"/>
    <w:rsid w:val="009D2368"/>
    <w:rsid w:val="009D2480"/>
    <w:rsid w:val="009D2495"/>
    <w:rsid w:val="009D2558"/>
    <w:rsid w:val="009D2E45"/>
    <w:rsid w:val="009D2E48"/>
    <w:rsid w:val="009D2FA8"/>
    <w:rsid w:val="009D3294"/>
    <w:rsid w:val="009D3644"/>
    <w:rsid w:val="009D3901"/>
    <w:rsid w:val="009D3C3D"/>
    <w:rsid w:val="009D40C5"/>
    <w:rsid w:val="009D4C06"/>
    <w:rsid w:val="009D4D91"/>
    <w:rsid w:val="009D51B3"/>
    <w:rsid w:val="009D5663"/>
    <w:rsid w:val="009D5696"/>
    <w:rsid w:val="009D5776"/>
    <w:rsid w:val="009D59DE"/>
    <w:rsid w:val="009D5E45"/>
    <w:rsid w:val="009D5E57"/>
    <w:rsid w:val="009D689C"/>
    <w:rsid w:val="009D6A74"/>
    <w:rsid w:val="009D6B65"/>
    <w:rsid w:val="009D6C0F"/>
    <w:rsid w:val="009D6C35"/>
    <w:rsid w:val="009D6D4C"/>
    <w:rsid w:val="009D6E53"/>
    <w:rsid w:val="009D6E73"/>
    <w:rsid w:val="009D70E3"/>
    <w:rsid w:val="009D71D4"/>
    <w:rsid w:val="009D7273"/>
    <w:rsid w:val="009D7833"/>
    <w:rsid w:val="009D7A40"/>
    <w:rsid w:val="009D7CB0"/>
    <w:rsid w:val="009E01DE"/>
    <w:rsid w:val="009E02BB"/>
    <w:rsid w:val="009E02FD"/>
    <w:rsid w:val="009E045A"/>
    <w:rsid w:val="009E0582"/>
    <w:rsid w:val="009E074C"/>
    <w:rsid w:val="009E07F5"/>
    <w:rsid w:val="009E08F1"/>
    <w:rsid w:val="009E0A11"/>
    <w:rsid w:val="009E0B65"/>
    <w:rsid w:val="009E0C3E"/>
    <w:rsid w:val="009E0CF4"/>
    <w:rsid w:val="009E10A8"/>
    <w:rsid w:val="009E118F"/>
    <w:rsid w:val="009E148D"/>
    <w:rsid w:val="009E160D"/>
    <w:rsid w:val="009E18E0"/>
    <w:rsid w:val="009E1CA1"/>
    <w:rsid w:val="009E1D93"/>
    <w:rsid w:val="009E1DE8"/>
    <w:rsid w:val="009E1EE2"/>
    <w:rsid w:val="009E1EE5"/>
    <w:rsid w:val="009E1F38"/>
    <w:rsid w:val="009E2001"/>
    <w:rsid w:val="009E23B9"/>
    <w:rsid w:val="009E252E"/>
    <w:rsid w:val="009E26C5"/>
    <w:rsid w:val="009E26D7"/>
    <w:rsid w:val="009E290C"/>
    <w:rsid w:val="009E2DAB"/>
    <w:rsid w:val="009E308F"/>
    <w:rsid w:val="009E30B9"/>
    <w:rsid w:val="009E3446"/>
    <w:rsid w:val="009E378E"/>
    <w:rsid w:val="009E3902"/>
    <w:rsid w:val="009E3924"/>
    <w:rsid w:val="009E3D97"/>
    <w:rsid w:val="009E4208"/>
    <w:rsid w:val="009E4269"/>
    <w:rsid w:val="009E4663"/>
    <w:rsid w:val="009E4691"/>
    <w:rsid w:val="009E4789"/>
    <w:rsid w:val="009E501F"/>
    <w:rsid w:val="009E5178"/>
    <w:rsid w:val="009E54EF"/>
    <w:rsid w:val="009E5F04"/>
    <w:rsid w:val="009E5F95"/>
    <w:rsid w:val="009E687C"/>
    <w:rsid w:val="009E6902"/>
    <w:rsid w:val="009E69CC"/>
    <w:rsid w:val="009E6A52"/>
    <w:rsid w:val="009E6A7B"/>
    <w:rsid w:val="009E6AA3"/>
    <w:rsid w:val="009E6AC2"/>
    <w:rsid w:val="009E6C43"/>
    <w:rsid w:val="009E6D1E"/>
    <w:rsid w:val="009E6D48"/>
    <w:rsid w:val="009E6E31"/>
    <w:rsid w:val="009E70BC"/>
    <w:rsid w:val="009E72A6"/>
    <w:rsid w:val="009E7364"/>
    <w:rsid w:val="009E767B"/>
    <w:rsid w:val="009E7859"/>
    <w:rsid w:val="009E7AED"/>
    <w:rsid w:val="009E7EDA"/>
    <w:rsid w:val="009E7F48"/>
    <w:rsid w:val="009F01D1"/>
    <w:rsid w:val="009F04F4"/>
    <w:rsid w:val="009F0577"/>
    <w:rsid w:val="009F057E"/>
    <w:rsid w:val="009F064B"/>
    <w:rsid w:val="009F0A52"/>
    <w:rsid w:val="009F0A94"/>
    <w:rsid w:val="009F0CC6"/>
    <w:rsid w:val="009F0E66"/>
    <w:rsid w:val="009F10D9"/>
    <w:rsid w:val="009F146B"/>
    <w:rsid w:val="009F15B9"/>
    <w:rsid w:val="009F1E9C"/>
    <w:rsid w:val="009F2442"/>
    <w:rsid w:val="009F25F5"/>
    <w:rsid w:val="009F29F5"/>
    <w:rsid w:val="009F2AA9"/>
    <w:rsid w:val="009F2B68"/>
    <w:rsid w:val="009F33B4"/>
    <w:rsid w:val="009F34C8"/>
    <w:rsid w:val="009F3875"/>
    <w:rsid w:val="009F3987"/>
    <w:rsid w:val="009F3BD7"/>
    <w:rsid w:val="009F3D50"/>
    <w:rsid w:val="009F47AC"/>
    <w:rsid w:val="009F487F"/>
    <w:rsid w:val="009F491C"/>
    <w:rsid w:val="009F4B0D"/>
    <w:rsid w:val="009F4CC4"/>
    <w:rsid w:val="009F4FFF"/>
    <w:rsid w:val="009F512F"/>
    <w:rsid w:val="009F51A5"/>
    <w:rsid w:val="009F52E4"/>
    <w:rsid w:val="009F53E5"/>
    <w:rsid w:val="009F5824"/>
    <w:rsid w:val="009F5A0A"/>
    <w:rsid w:val="009F5CBE"/>
    <w:rsid w:val="009F5DC5"/>
    <w:rsid w:val="009F6093"/>
    <w:rsid w:val="009F636B"/>
    <w:rsid w:val="009F64D9"/>
    <w:rsid w:val="009F6584"/>
    <w:rsid w:val="009F68B5"/>
    <w:rsid w:val="009F7176"/>
    <w:rsid w:val="009F719F"/>
    <w:rsid w:val="009F71E3"/>
    <w:rsid w:val="009F72F7"/>
    <w:rsid w:val="009F7334"/>
    <w:rsid w:val="009F736B"/>
    <w:rsid w:val="009F7441"/>
    <w:rsid w:val="009F7474"/>
    <w:rsid w:val="009F7493"/>
    <w:rsid w:val="009F79B2"/>
    <w:rsid w:val="009F7B11"/>
    <w:rsid w:val="009F7B1C"/>
    <w:rsid w:val="00A000FC"/>
    <w:rsid w:val="00A00204"/>
    <w:rsid w:val="00A00E9E"/>
    <w:rsid w:val="00A00F3D"/>
    <w:rsid w:val="00A01323"/>
    <w:rsid w:val="00A015D8"/>
    <w:rsid w:val="00A015E0"/>
    <w:rsid w:val="00A01804"/>
    <w:rsid w:val="00A01BB0"/>
    <w:rsid w:val="00A01EEE"/>
    <w:rsid w:val="00A02542"/>
    <w:rsid w:val="00A029AF"/>
    <w:rsid w:val="00A029B1"/>
    <w:rsid w:val="00A02B3C"/>
    <w:rsid w:val="00A03262"/>
    <w:rsid w:val="00A035E6"/>
    <w:rsid w:val="00A036FA"/>
    <w:rsid w:val="00A03724"/>
    <w:rsid w:val="00A038E0"/>
    <w:rsid w:val="00A03A07"/>
    <w:rsid w:val="00A03D8A"/>
    <w:rsid w:val="00A03DDC"/>
    <w:rsid w:val="00A03E8C"/>
    <w:rsid w:val="00A0407B"/>
    <w:rsid w:val="00A0412A"/>
    <w:rsid w:val="00A042F6"/>
    <w:rsid w:val="00A04316"/>
    <w:rsid w:val="00A044D1"/>
    <w:rsid w:val="00A044E1"/>
    <w:rsid w:val="00A045C1"/>
    <w:rsid w:val="00A0470E"/>
    <w:rsid w:val="00A04DEB"/>
    <w:rsid w:val="00A04F00"/>
    <w:rsid w:val="00A04FB8"/>
    <w:rsid w:val="00A0541D"/>
    <w:rsid w:val="00A056ED"/>
    <w:rsid w:val="00A05714"/>
    <w:rsid w:val="00A05778"/>
    <w:rsid w:val="00A05ACE"/>
    <w:rsid w:val="00A05BDF"/>
    <w:rsid w:val="00A05EA6"/>
    <w:rsid w:val="00A0609C"/>
    <w:rsid w:val="00A060A1"/>
    <w:rsid w:val="00A0648E"/>
    <w:rsid w:val="00A065DA"/>
    <w:rsid w:val="00A0679D"/>
    <w:rsid w:val="00A06AE6"/>
    <w:rsid w:val="00A06F4E"/>
    <w:rsid w:val="00A07904"/>
    <w:rsid w:val="00A079A6"/>
    <w:rsid w:val="00A079C8"/>
    <w:rsid w:val="00A07A7A"/>
    <w:rsid w:val="00A07C4B"/>
    <w:rsid w:val="00A07CE3"/>
    <w:rsid w:val="00A07D2A"/>
    <w:rsid w:val="00A07DD0"/>
    <w:rsid w:val="00A10187"/>
    <w:rsid w:val="00A103F0"/>
    <w:rsid w:val="00A10553"/>
    <w:rsid w:val="00A10622"/>
    <w:rsid w:val="00A10A55"/>
    <w:rsid w:val="00A1111A"/>
    <w:rsid w:val="00A11170"/>
    <w:rsid w:val="00A111DE"/>
    <w:rsid w:val="00A115D3"/>
    <w:rsid w:val="00A118A6"/>
    <w:rsid w:val="00A11916"/>
    <w:rsid w:val="00A11BE9"/>
    <w:rsid w:val="00A120BA"/>
    <w:rsid w:val="00A121B9"/>
    <w:rsid w:val="00A138A6"/>
    <w:rsid w:val="00A138B7"/>
    <w:rsid w:val="00A13C7B"/>
    <w:rsid w:val="00A13CD7"/>
    <w:rsid w:val="00A14165"/>
    <w:rsid w:val="00A144F4"/>
    <w:rsid w:val="00A14909"/>
    <w:rsid w:val="00A14A96"/>
    <w:rsid w:val="00A14B53"/>
    <w:rsid w:val="00A14DD7"/>
    <w:rsid w:val="00A14E29"/>
    <w:rsid w:val="00A14F21"/>
    <w:rsid w:val="00A1587D"/>
    <w:rsid w:val="00A158BF"/>
    <w:rsid w:val="00A1636F"/>
    <w:rsid w:val="00A16372"/>
    <w:rsid w:val="00A16608"/>
    <w:rsid w:val="00A16DB7"/>
    <w:rsid w:val="00A16E4D"/>
    <w:rsid w:val="00A16FE1"/>
    <w:rsid w:val="00A17051"/>
    <w:rsid w:val="00A1705D"/>
    <w:rsid w:val="00A172FC"/>
    <w:rsid w:val="00A1736A"/>
    <w:rsid w:val="00A17B1B"/>
    <w:rsid w:val="00A17BA5"/>
    <w:rsid w:val="00A17E51"/>
    <w:rsid w:val="00A17FFD"/>
    <w:rsid w:val="00A20194"/>
    <w:rsid w:val="00A20C27"/>
    <w:rsid w:val="00A20DF6"/>
    <w:rsid w:val="00A214C4"/>
    <w:rsid w:val="00A21889"/>
    <w:rsid w:val="00A21E6A"/>
    <w:rsid w:val="00A22065"/>
    <w:rsid w:val="00A224BE"/>
    <w:rsid w:val="00A2286B"/>
    <w:rsid w:val="00A2343B"/>
    <w:rsid w:val="00A23663"/>
    <w:rsid w:val="00A23DFE"/>
    <w:rsid w:val="00A24334"/>
    <w:rsid w:val="00A244EF"/>
    <w:rsid w:val="00A24665"/>
    <w:rsid w:val="00A24708"/>
    <w:rsid w:val="00A24E06"/>
    <w:rsid w:val="00A24EEC"/>
    <w:rsid w:val="00A2517C"/>
    <w:rsid w:val="00A25503"/>
    <w:rsid w:val="00A25539"/>
    <w:rsid w:val="00A25646"/>
    <w:rsid w:val="00A25A83"/>
    <w:rsid w:val="00A25AB3"/>
    <w:rsid w:val="00A25F41"/>
    <w:rsid w:val="00A25F7D"/>
    <w:rsid w:val="00A25F9D"/>
    <w:rsid w:val="00A262E2"/>
    <w:rsid w:val="00A26467"/>
    <w:rsid w:val="00A26634"/>
    <w:rsid w:val="00A26857"/>
    <w:rsid w:val="00A269EE"/>
    <w:rsid w:val="00A26EB3"/>
    <w:rsid w:val="00A2754C"/>
    <w:rsid w:val="00A27787"/>
    <w:rsid w:val="00A27943"/>
    <w:rsid w:val="00A27AED"/>
    <w:rsid w:val="00A3005F"/>
    <w:rsid w:val="00A30187"/>
    <w:rsid w:val="00A30503"/>
    <w:rsid w:val="00A307A4"/>
    <w:rsid w:val="00A30801"/>
    <w:rsid w:val="00A30A31"/>
    <w:rsid w:val="00A30DA5"/>
    <w:rsid w:val="00A310F6"/>
    <w:rsid w:val="00A31764"/>
    <w:rsid w:val="00A31D9C"/>
    <w:rsid w:val="00A31F5D"/>
    <w:rsid w:val="00A31FE7"/>
    <w:rsid w:val="00A3210A"/>
    <w:rsid w:val="00A3253E"/>
    <w:rsid w:val="00A3293E"/>
    <w:rsid w:val="00A32C3E"/>
    <w:rsid w:val="00A32F55"/>
    <w:rsid w:val="00A330C8"/>
    <w:rsid w:val="00A33192"/>
    <w:rsid w:val="00A332A2"/>
    <w:rsid w:val="00A3344E"/>
    <w:rsid w:val="00A336C6"/>
    <w:rsid w:val="00A3371D"/>
    <w:rsid w:val="00A337EC"/>
    <w:rsid w:val="00A3394B"/>
    <w:rsid w:val="00A33A49"/>
    <w:rsid w:val="00A33BB5"/>
    <w:rsid w:val="00A33E91"/>
    <w:rsid w:val="00A33FF2"/>
    <w:rsid w:val="00A34054"/>
    <w:rsid w:val="00A34502"/>
    <w:rsid w:val="00A34659"/>
    <w:rsid w:val="00A34870"/>
    <w:rsid w:val="00A34A21"/>
    <w:rsid w:val="00A3504A"/>
    <w:rsid w:val="00A3512C"/>
    <w:rsid w:val="00A351B2"/>
    <w:rsid w:val="00A351EB"/>
    <w:rsid w:val="00A35393"/>
    <w:rsid w:val="00A35549"/>
    <w:rsid w:val="00A355BF"/>
    <w:rsid w:val="00A358FB"/>
    <w:rsid w:val="00A35F7D"/>
    <w:rsid w:val="00A35FD4"/>
    <w:rsid w:val="00A3619A"/>
    <w:rsid w:val="00A361A3"/>
    <w:rsid w:val="00A3635B"/>
    <w:rsid w:val="00A36762"/>
    <w:rsid w:val="00A369F1"/>
    <w:rsid w:val="00A37471"/>
    <w:rsid w:val="00A37733"/>
    <w:rsid w:val="00A37887"/>
    <w:rsid w:val="00A379AD"/>
    <w:rsid w:val="00A37CBE"/>
    <w:rsid w:val="00A37EC9"/>
    <w:rsid w:val="00A37F2F"/>
    <w:rsid w:val="00A40001"/>
    <w:rsid w:val="00A4035A"/>
    <w:rsid w:val="00A40B6C"/>
    <w:rsid w:val="00A40C43"/>
    <w:rsid w:val="00A40E64"/>
    <w:rsid w:val="00A40E77"/>
    <w:rsid w:val="00A40F70"/>
    <w:rsid w:val="00A4117B"/>
    <w:rsid w:val="00A41253"/>
    <w:rsid w:val="00A4127E"/>
    <w:rsid w:val="00A4159B"/>
    <w:rsid w:val="00A41817"/>
    <w:rsid w:val="00A4190F"/>
    <w:rsid w:val="00A41D0D"/>
    <w:rsid w:val="00A41F76"/>
    <w:rsid w:val="00A420DA"/>
    <w:rsid w:val="00A42104"/>
    <w:rsid w:val="00A424EF"/>
    <w:rsid w:val="00A42737"/>
    <w:rsid w:val="00A42965"/>
    <w:rsid w:val="00A42D91"/>
    <w:rsid w:val="00A42FAF"/>
    <w:rsid w:val="00A4347B"/>
    <w:rsid w:val="00A43C52"/>
    <w:rsid w:val="00A43F4D"/>
    <w:rsid w:val="00A44263"/>
    <w:rsid w:val="00A442B0"/>
    <w:rsid w:val="00A44442"/>
    <w:rsid w:val="00A44454"/>
    <w:rsid w:val="00A4447C"/>
    <w:rsid w:val="00A44583"/>
    <w:rsid w:val="00A447E5"/>
    <w:rsid w:val="00A447EB"/>
    <w:rsid w:val="00A45268"/>
    <w:rsid w:val="00A45402"/>
    <w:rsid w:val="00A45710"/>
    <w:rsid w:val="00A45811"/>
    <w:rsid w:val="00A459E8"/>
    <w:rsid w:val="00A45A20"/>
    <w:rsid w:val="00A45B93"/>
    <w:rsid w:val="00A45DF0"/>
    <w:rsid w:val="00A46073"/>
    <w:rsid w:val="00A46103"/>
    <w:rsid w:val="00A46291"/>
    <w:rsid w:val="00A46473"/>
    <w:rsid w:val="00A468C4"/>
    <w:rsid w:val="00A46ABF"/>
    <w:rsid w:val="00A46FFA"/>
    <w:rsid w:val="00A4719F"/>
    <w:rsid w:val="00A47C5D"/>
    <w:rsid w:val="00A47D0E"/>
    <w:rsid w:val="00A47D88"/>
    <w:rsid w:val="00A501FF"/>
    <w:rsid w:val="00A5038A"/>
    <w:rsid w:val="00A50395"/>
    <w:rsid w:val="00A50506"/>
    <w:rsid w:val="00A50E36"/>
    <w:rsid w:val="00A51197"/>
    <w:rsid w:val="00A51B24"/>
    <w:rsid w:val="00A51CC4"/>
    <w:rsid w:val="00A52014"/>
    <w:rsid w:val="00A5232F"/>
    <w:rsid w:val="00A52EA8"/>
    <w:rsid w:val="00A53049"/>
    <w:rsid w:val="00A53085"/>
    <w:rsid w:val="00A530F4"/>
    <w:rsid w:val="00A5314D"/>
    <w:rsid w:val="00A531C0"/>
    <w:rsid w:val="00A5320C"/>
    <w:rsid w:val="00A5383B"/>
    <w:rsid w:val="00A538DB"/>
    <w:rsid w:val="00A53A0B"/>
    <w:rsid w:val="00A53A9A"/>
    <w:rsid w:val="00A53B44"/>
    <w:rsid w:val="00A53D98"/>
    <w:rsid w:val="00A54691"/>
    <w:rsid w:val="00A54AE2"/>
    <w:rsid w:val="00A54D82"/>
    <w:rsid w:val="00A54F09"/>
    <w:rsid w:val="00A5558B"/>
    <w:rsid w:val="00A55761"/>
    <w:rsid w:val="00A558BE"/>
    <w:rsid w:val="00A55D4F"/>
    <w:rsid w:val="00A55DBC"/>
    <w:rsid w:val="00A55DE7"/>
    <w:rsid w:val="00A56056"/>
    <w:rsid w:val="00A565E1"/>
    <w:rsid w:val="00A56671"/>
    <w:rsid w:val="00A566EE"/>
    <w:rsid w:val="00A569AF"/>
    <w:rsid w:val="00A569FB"/>
    <w:rsid w:val="00A56A01"/>
    <w:rsid w:val="00A56F74"/>
    <w:rsid w:val="00A57218"/>
    <w:rsid w:val="00A5741E"/>
    <w:rsid w:val="00A57794"/>
    <w:rsid w:val="00A57E46"/>
    <w:rsid w:val="00A60050"/>
    <w:rsid w:val="00A600C2"/>
    <w:rsid w:val="00A601EB"/>
    <w:rsid w:val="00A601F0"/>
    <w:rsid w:val="00A60410"/>
    <w:rsid w:val="00A6076B"/>
    <w:rsid w:val="00A6078F"/>
    <w:rsid w:val="00A610CA"/>
    <w:rsid w:val="00A614B4"/>
    <w:rsid w:val="00A61701"/>
    <w:rsid w:val="00A61750"/>
    <w:rsid w:val="00A618EF"/>
    <w:rsid w:val="00A61910"/>
    <w:rsid w:val="00A61ACF"/>
    <w:rsid w:val="00A61AE9"/>
    <w:rsid w:val="00A61B01"/>
    <w:rsid w:val="00A61CEB"/>
    <w:rsid w:val="00A61E5B"/>
    <w:rsid w:val="00A61FEB"/>
    <w:rsid w:val="00A62328"/>
    <w:rsid w:val="00A623B8"/>
    <w:rsid w:val="00A624E4"/>
    <w:rsid w:val="00A62738"/>
    <w:rsid w:val="00A62802"/>
    <w:rsid w:val="00A62F2B"/>
    <w:rsid w:val="00A63980"/>
    <w:rsid w:val="00A63A15"/>
    <w:rsid w:val="00A63A5D"/>
    <w:rsid w:val="00A63C98"/>
    <w:rsid w:val="00A63CB0"/>
    <w:rsid w:val="00A63E63"/>
    <w:rsid w:val="00A63F4C"/>
    <w:rsid w:val="00A63FBE"/>
    <w:rsid w:val="00A648A5"/>
    <w:rsid w:val="00A64C8F"/>
    <w:rsid w:val="00A6505B"/>
    <w:rsid w:val="00A65068"/>
    <w:rsid w:val="00A65275"/>
    <w:rsid w:val="00A6612B"/>
    <w:rsid w:val="00A663B2"/>
    <w:rsid w:val="00A664C7"/>
    <w:rsid w:val="00A665AD"/>
    <w:rsid w:val="00A668BD"/>
    <w:rsid w:val="00A66906"/>
    <w:rsid w:val="00A66923"/>
    <w:rsid w:val="00A67029"/>
    <w:rsid w:val="00A670D8"/>
    <w:rsid w:val="00A670E0"/>
    <w:rsid w:val="00A67715"/>
    <w:rsid w:val="00A67872"/>
    <w:rsid w:val="00A678B8"/>
    <w:rsid w:val="00A678C3"/>
    <w:rsid w:val="00A67B40"/>
    <w:rsid w:val="00A67C04"/>
    <w:rsid w:val="00A67E5B"/>
    <w:rsid w:val="00A7026E"/>
    <w:rsid w:val="00A70820"/>
    <w:rsid w:val="00A7088E"/>
    <w:rsid w:val="00A70B70"/>
    <w:rsid w:val="00A70DEB"/>
    <w:rsid w:val="00A71349"/>
    <w:rsid w:val="00A714B6"/>
    <w:rsid w:val="00A71549"/>
    <w:rsid w:val="00A715E4"/>
    <w:rsid w:val="00A717DE"/>
    <w:rsid w:val="00A71E12"/>
    <w:rsid w:val="00A71FA1"/>
    <w:rsid w:val="00A72547"/>
    <w:rsid w:val="00A72B8D"/>
    <w:rsid w:val="00A72DDC"/>
    <w:rsid w:val="00A72E8B"/>
    <w:rsid w:val="00A72F39"/>
    <w:rsid w:val="00A730DC"/>
    <w:rsid w:val="00A7316D"/>
    <w:rsid w:val="00A732E7"/>
    <w:rsid w:val="00A732EE"/>
    <w:rsid w:val="00A73455"/>
    <w:rsid w:val="00A737C0"/>
    <w:rsid w:val="00A73E9C"/>
    <w:rsid w:val="00A741FC"/>
    <w:rsid w:val="00A74298"/>
    <w:rsid w:val="00A74366"/>
    <w:rsid w:val="00A7438D"/>
    <w:rsid w:val="00A74888"/>
    <w:rsid w:val="00A74889"/>
    <w:rsid w:val="00A7545D"/>
    <w:rsid w:val="00A757BD"/>
    <w:rsid w:val="00A759B2"/>
    <w:rsid w:val="00A75ADE"/>
    <w:rsid w:val="00A75E2A"/>
    <w:rsid w:val="00A75EB7"/>
    <w:rsid w:val="00A76095"/>
    <w:rsid w:val="00A760D2"/>
    <w:rsid w:val="00A762E1"/>
    <w:rsid w:val="00A7645D"/>
    <w:rsid w:val="00A76693"/>
    <w:rsid w:val="00A76AEE"/>
    <w:rsid w:val="00A76CFF"/>
    <w:rsid w:val="00A77056"/>
    <w:rsid w:val="00A77BBB"/>
    <w:rsid w:val="00A77BFE"/>
    <w:rsid w:val="00A77CD2"/>
    <w:rsid w:val="00A80096"/>
    <w:rsid w:val="00A800F7"/>
    <w:rsid w:val="00A8011F"/>
    <w:rsid w:val="00A804DE"/>
    <w:rsid w:val="00A80740"/>
    <w:rsid w:val="00A8088E"/>
    <w:rsid w:val="00A814AB"/>
    <w:rsid w:val="00A81C2B"/>
    <w:rsid w:val="00A81DCD"/>
    <w:rsid w:val="00A81F59"/>
    <w:rsid w:val="00A82052"/>
    <w:rsid w:val="00A822AD"/>
    <w:rsid w:val="00A82377"/>
    <w:rsid w:val="00A824C9"/>
    <w:rsid w:val="00A826C3"/>
    <w:rsid w:val="00A829AB"/>
    <w:rsid w:val="00A829E1"/>
    <w:rsid w:val="00A82CDE"/>
    <w:rsid w:val="00A830B9"/>
    <w:rsid w:val="00A831C8"/>
    <w:rsid w:val="00A83257"/>
    <w:rsid w:val="00A835AE"/>
    <w:rsid w:val="00A83A15"/>
    <w:rsid w:val="00A83A1E"/>
    <w:rsid w:val="00A83CF9"/>
    <w:rsid w:val="00A83DAF"/>
    <w:rsid w:val="00A84139"/>
    <w:rsid w:val="00A8436E"/>
    <w:rsid w:val="00A8451F"/>
    <w:rsid w:val="00A84848"/>
    <w:rsid w:val="00A849DD"/>
    <w:rsid w:val="00A84C74"/>
    <w:rsid w:val="00A84D32"/>
    <w:rsid w:val="00A84D3B"/>
    <w:rsid w:val="00A84D68"/>
    <w:rsid w:val="00A84F7F"/>
    <w:rsid w:val="00A853E5"/>
    <w:rsid w:val="00A853EF"/>
    <w:rsid w:val="00A85480"/>
    <w:rsid w:val="00A856F9"/>
    <w:rsid w:val="00A85C2C"/>
    <w:rsid w:val="00A85FDB"/>
    <w:rsid w:val="00A865DB"/>
    <w:rsid w:val="00A86765"/>
    <w:rsid w:val="00A868D3"/>
    <w:rsid w:val="00A86F0A"/>
    <w:rsid w:val="00A86F2F"/>
    <w:rsid w:val="00A86F32"/>
    <w:rsid w:val="00A86FAA"/>
    <w:rsid w:val="00A875A0"/>
    <w:rsid w:val="00A8765A"/>
    <w:rsid w:val="00A8765F"/>
    <w:rsid w:val="00A8775D"/>
    <w:rsid w:val="00A87A0E"/>
    <w:rsid w:val="00A87A69"/>
    <w:rsid w:val="00A90129"/>
    <w:rsid w:val="00A9056C"/>
    <w:rsid w:val="00A90773"/>
    <w:rsid w:val="00A90A1B"/>
    <w:rsid w:val="00A91101"/>
    <w:rsid w:val="00A9143F"/>
    <w:rsid w:val="00A919C7"/>
    <w:rsid w:val="00A91C33"/>
    <w:rsid w:val="00A91E2D"/>
    <w:rsid w:val="00A9226E"/>
    <w:rsid w:val="00A926CF"/>
    <w:rsid w:val="00A92878"/>
    <w:rsid w:val="00A92C84"/>
    <w:rsid w:val="00A930D4"/>
    <w:rsid w:val="00A931EB"/>
    <w:rsid w:val="00A933BB"/>
    <w:rsid w:val="00A933D2"/>
    <w:rsid w:val="00A93417"/>
    <w:rsid w:val="00A9372F"/>
    <w:rsid w:val="00A938EE"/>
    <w:rsid w:val="00A9441C"/>
    <w:rsid w:val="00A94440"/>
    <w:rsid w:val="00A9476F"/>
    <w:rsid w:val="00A94AE3"/>
    <w:rsid w:val="00A94B94"/>
    <w:rsid w:val="00A94CAB"/>
    <w:rsid w:val="00A94E34"/>
    <w:rsid w:val="00A94EFD"/>
    <w:rsid w:val="00A951D6"/>
    <w:rsid w:val="00A95423"/>
    <w:rsid w:val="00A95AFB"/>
    <w:rsid w:val="00A95C8B"/>
    <w:rsid w:val="00A96031"/>
    <w:rsid w:val="00A965C9"/>
    <w:rsid w:val="00A9669B"/>
    <w:rsid w:val="00A96B92"/>
    <w:rsid w:val="00A96C02"/>
    <w:rsid w:val="00A96C8F"/>
    <w:rsid w:val="00A96F78"/>
    <w:rsid w:val="00A9732F"/>
    <w:rsid w:val="00A97B8C"/>
    <w:rsid w:val="00AA017A"/>
    <w:rsid w:val="00AA02F3"/>
    <w:rsid w:val="00AA036A"/>
    <w:rsid w:val="00AA06DD"/>
    <w:rsid w:val="00AA08E8"/>
    <w:rsid w:val="00AA101D"/>
    <w:rsid w:val="00AA115C"/>
    <w:rsid w:val="00AA123F"/>
    <w:rsid w:val="00AA143C"/>
    <w:rsid w:val="00AA1664"/>
    <w:rsid w:val="00AA177E"/>
    <w:rsid w:val="00AA1A35"/>
    <w:rsid w:val="00AA1C94"/>
    <w:rsid w:val="00AA1EF3"/>
    <w:rsid w:val="00AA1F92"/>
    <w:rsid w:val="00AA21CB"/>
    <w:rsid w:val="00AA22E0"/>
    <w:rsid w:val="00AA2618"/>
    <w:rsid w:val="00AA27EC"/>
    <w:rsid w:val="00AA288F"/>
    <w:rsid w:val="00AA2CE4"/>
    <w:rsid w:val="00AA2DA3"/>
    <w:rsid w:val="00AA3262"/>
    <w:rsid w:val="00AA35A5"/>
    <w:rsid w:val="00AA38AB"/>
    <w:rsid w:val="00AA43A2"/>
    <w:rsid w:val="00AA44C1"/>
    <w:rsid w:val="00AA4A05"/>
    <w:rsid w:val="00AA4AD1"/>
    <w:rsid w:val="00AA4DEC"/>
    <w:rsid w:val="00AA4F54"/>
    <w:rsid w:val="00AA56EF"/>
    <w:rsid w:val="00AA60AB"/>
    <w:rsid w:val="00AA68AA"/>
    <w:rsid w:val="00AA6A2E"/>
    <w:rsid w:val="00AA6D73"/>
    <w:rsid w:val="00AA6FDB"/>
    <w:rsid w:val="00AA71B8"/>
    <w:rsid w:val="00AA7528"/>
    <w:rsid w:val="00AA7701"/>
    <w:rsid w:val="00AA778B"/>
    <w:rsid w:val="00AA778F"/>
    <w:rsid w:val="00AA79B2"/>
    <w:rsid w:val="00AA7B6E"/>
    <w:rsid w:val="00AA7D60"/>
    <w:rsid w:val="00AA7D83"/>
    <w:rsid w:val="00AA7FF3"/>
    <w:rsid w:val="00AB013E"/>
    <w:rsid w:val="00AB04F8"/>
    <w:rsid w:val="00AB04FC"/>
    <w:rsid w:val="00AB0641"/>
    <w:rsid w:val="00AB081C"/>
    <w:rsid w:val="00AB0869"/>
    <w:rsid w:val="00AB0A61"/>
    <w:rsid w:val="00AB0E30"/>
    <w:rsid w:val="00AB0E71"/>
    <w:rsid w:val="00AB13EB"/>
    <w:rsid w:val="00AB1908"/>
    <w:rsid w:val="00AB1B50"/>
    <w:rsid w:val="00AB22E2"/>
    <w:rsid w:val="00AB2822"/>
    <w:rsid w:val="00AB2BB6"/>
    <w:rsid w:val="00AB2E25"/>
    <w:rsid w:val="00AB34D2"/>
    <w:rsid w:val="00AB352E"/>
    <w:rsid w:val="00AB4088"/>
    <w:rsid w:val="00AB4154"/>
    <w:rsid w:val="00AB4861"/>
    <w:rsid w:val="00AB4CBC"/>
    <w:rsid w:val="00AB5043"/>
    <w:rsid w:val="00AB512C"/>
    <w:rsid w:val="00AB546B"/>
    <w:rsid w:val="00AB57F6"/>
    <w:rsid w:val="00AB5843"/>
    <w:rsid w:val="00AB5C2F"/>
    <w:rsid w:val="00AB5C86"/>
    <w:rsid w:val="00AB5D1A"/>
    <w:rsid w:val="00AB5FFA"/>
    <w:rsid w:val="00AB619F"/>
    <w:rsid w:val="00AB667D"/>
    <w:rsid w:val="00AB66D0"/>
    <w:rsid w:val="00AB6886"/>
    <w:rsid w:val="00AB69F3"/>
    <w:rsid w:val="00AB6B38"/>
    <w:rsid w:val="00AB6D25"/>
    <w:rsid w:val="00AB6DE3"/>
    <w:rsid w:val="00AB6DFC"/>
    <w:rsid w:val="00AB7038"/>
    <w:rsid w:val="00AB7667"/>
    <w:rsid w:val="00AB7A3E"/>
    <w:rsid w:val="00AB7ACE"/>
    <w:rsid w:val="00AB7E53"/>
    <w:rsid w:val="00AB7F60"/>
    <w:rsid w:val="00AC01D1"/>
    <w:rsid w:val="00AC0822"/>
    <w:rsid w:val="00AC0A76"/>
    <w:rsid w:val="00AC0CFA"/>
    <w:rsid w:val="00AC0DC6"/>
    <w:rsid w:val="00AC0E52"/>
    <w:rsid w:val="00AC0E5C"/>
    <w:rsid w:val="00AC0F63"/>
    <w:rsid w:val="00AC11DB"/>
    <w:rsid w:val="00AC1207"/>
    <w:rsid w:val="00AC1653"/>
    <w:rsid w:val="00AC176F"/>
    <w:rsid w:val="00AC18F9"/>
    <w:rsid w:val="00AC1A7E"/>
    <w:rsid w:val="00AC2070"/>
    <w:rsid w:val="00AC2341"/>
    <w:rsid w:val="00AC2519"/>
    <w:rsid w:val="00AC3078"/>
    <w:rsid w:val="00AC307E"/>
    <w:rsid w:val="00AC320E"/>
    <w:rsid w:val="00AC3643"/>
    <w:rsid w:val="00AC38B7"/>
    <w:rsid w:val="00AC3984"/>
    <w:rsid w:val="00AC39AD"/>
    <w:rsid w:val="00AC40B0"/>
    <w:rsid w:val="00AC4115"/>
    <w:rsid w:val="00AC4121"/>
    <w:rsid w:val="00AC43A3"/>
    <w:rsid w:val="00AC4E28"/>
    <w:rsid w:val="00AC4E87"/>
    <w:rsid w:val="00AC532B"/>
    <w:rsid w:val="00AC53B2"/>
    <w:rsid w:val="00AC5432"/>
    <w:rsid w:val="00AC54EB"/>
    <w:rsid w:val="00AC553F"/>
    <w:rsid w:val="00AC5655"/>
    <w:rsid w:val="00AC581D"/>
    <w:rsid w:val="00AC5FB7"/>
    <w:rsid w:val="00AC6283"/>
    <w:rsid w:val="00AC639D"/>
    <w:rsid w:val="00AC646D"/>
    <w:rsid w:val="00AC66B0"/>
    <w:rsid w:val="00AC67C7"/>
    <w:rsid w:val="00AC6A41"/>
    <w:rsid w:val="00AC6EE1"/>
    <w:rsid w:val="00AC709A"/>
    <w:rsid w:val="00AC70E2"/>
    <w:rsid w:val="00AC7347"/>
    <w:rsid w:val="00AC73B8"/>
    <w:rsid w:val="00AC7540"/>
    <w:rsid w:val="00AC7631"/>
    <w:rsid w:val="00AC7B25"/>
    <w:rsid w:val="00AC7B4A"/>
    <w:rsid w:val="00AC7F32"/>
    <w:rsid w:val="00AD0385"/>
    <w:rsid w:val="00AD04C6"/>
    <w:rsid w:val="00AD0923"/>
    <w:rsid w:val="00AD0A06"/>
    <w:rsid w:val="00AD0B7B"/>
    <w:rsid w:val="00AD0B92"/>
    <w:rsid w:val="00AD0D7A"/>
    <w:rsid w:val="00AD0E05"/>
    <w:rsid w:val="00AD1ADE"/>
    <w:rsid w:val="00AD1CCE"/>
    <w:rsid w:val="00AD1CD2"/>
    <w:rsid w:val="00AD1FA0"/>
    <w:rsid w:val="00AD214A"/>
    <w:rsid w:val="00AD22FC"/>
    <w:rsid w:val="00AD26F2"/>
    <w:rsid w:val="00AD2721"/>
    <w:rsid w:val="00AD2AA1"/>
    <w:rsid w:val="00AD2EDD"/>
    <w:rsid w:val="00AD2EEB"/>
    <w:rsid w:val="00AD31D0"/>
    <w:rsid w:val="00AD3506"/>
    <w:rsid w:val="00AD3542"/>
    <w:rsid w:val="00AD374F"/>
    <w:rsid w:val="00AD375C"/>
    <w:rsid w:val="00AD394A"/>
    <w:rsid w:val="00AD3AE8"/>
    <w:rsid w:val="00AD3C34"/>
    <w:rsid w:val="00AD3D5E"/>
    <w:rsid w:val="00AD3E51"/>
    <w:rsid w:val="00AD41A9"/>
    <w:rsid w:val="00AD43E0"/>
    <w:rsid w:val="00AD48A5"/>
    <w:rsid w:val="00AD4A15"/>
    <w:rsid w:val="00AD4C97"/>
    <w:rsid w:val="00AD4F03"/>
    <w:rsid w:val="00AD56E8"/>
    <w:rsid w:val="00AD57D9"/>
    <w:rsid w:val="00AD5AE6"/>
    <w:rsid w:val="00AD5B98"/>
    <w:rsid w:val="00AD5C20"/>
    <w:rsid w:val="00AD6253"/>
    <w:rsid w:val="00AD62D5"/>
    <w:rsid w:val="00AD63A6"/>
    <w:rsid w:val="00AD6440"/>
    <w:rsid w:val="00AD6553"/>
    <w:rsid w:val="00AD65C8"/>
    <w:rsid w:val="00AD68B1"/>
    <w:rsid w:val="00AD6955"/>
    <w:rsid w:val="00AD6CDB"/>
    <w:rsid w:val="00AD6E27"/>
    <w:rsid w:val="00AD6ECE"/>
    <w:rsid w:val="00AD723B"/>
    <w:rsid w:val="00AD7398"/>
    <w:rsid w:val="00AD742F"/>
    <w:rsid w:val="00AD7476"/>
    <w:rsid w:val="00AD76FF"/>
    <w:rsid w:val="00AD7934"/>
    <w:rsid w:val="00AD7AED"/>
    <w:rsid w:val="00AD7B3B"/>
    <w:rsid w:val="00AD7C73"/>
    <w:rsid w:val="00AD7FCC"/>
    <w:rsid w:val="00AE0A9B"/>
    <w:rsid w:val="00AE0C57"/>
    <w:rsid w:val="00AE0D33"/>
    <w:rsid w:val="00AE0F1E"/>
    <w:rsid w:val="00AE1199"/>
    <w:rsid w:val="00AE175B"/>
    <w:rsid w:val="00AE1811"/>
    <w:rsid w:val="00AE19B1"/>
    <w:rsid w:val="00AE1B73"/>
    <w:rsid w:val="00AE1D6C"/>
    <w:rsid w:val="00AE1EE2"/>
    <w:rsid w:val="00AE24BD"/>
    <w:rsid w:val="00AE2D90"/>
    <w:rsid w:val="00AE2F87"/>
    <w:rsid w:val="00AE32CD"/>
    <w:rsid w:val="00AE3860"/>
    <w:rsid w:val="00AE396A"/>
    <w:rsid w:val="00AE3E82"/>
    <w:rsid w:val="00AE41DE"/>
    <w:rsid w:val="00AE4311"/>
    <w:rsid w:val="00AE44B9"/>
    <w:rsid w:val="00AE4761"/>
    <w:rsid w:val="00AE4C42"/>
    <w:rsid w:val="00AE4EC5"/>
    <w:rsid w:val="00AE4FC6"/>
    <w:rsid w:val="00AE52FE"/>
    <w:rsid w:val="00AE5336"/>
    <w:rsid w:val="00AE57E3"/>
    <w:rsid w:val="00AE586D"/>
    <w:rsid w:val="00AE5926"/>
    <w:rsid w:val="00AE59AC"/>
    <w:rsid w:val="00AE5BAA"/>
    <w:rsid w:val="00AE5D8D"/>
    <w:rsid w:val="00AE5DDE"/>
    <w:rsid w:val="00AE5F9D"/>
    <w:rsid w:val="00AE5FA5"/>
    <w:rsid w:val="00AE61D0"/>
    <w:rsid w:val="00AE648C"/>
    <w:rsid w:val="00AE6AFB"/>
    <w:rsid w:val="00AE6DD4"/>
    <w:rsid w:val="00AE6F11"/>
    <w:rsid w:val="00AE6FA0"/>
    <w:rsid w:val="00AE6FA8"/>
    <w:rsid w:val="00AE74DB"/>
    <w:rsid w:val="00AE785D"/>
    <w:rsid w:val="00AF0396"/>
    <w:rsid w:val="00AF0724"/>
    <w:rsid w:val="00AF076E"/>
    <w:rsid w:val="00AF084F"/>
    <w:rsid w:val="00AF0D64"/>
    <w:rsid w:val="00AF0F76"/>
    <w:rsid w:val="00AF1524"/>
    <w:rsid w:val="00AF16D9"/>
    <w:rsid w:val="00AF1764"/>
    <w:rsid w:val="00AF17A6"/>
    <w:rsid w:val="00AF1C54"/>
    <w:rsid w:val="00AF1C93"/>
    <w:rsid w:val="00AF1C98"/>
    <w:rsid w:val="00AF206C"/>
    <w:rsid w:val="00AF215E"/>
    <w:rsid w:val="00AF21AB"/>
    <w:rsid w:val="00AF223C"/>
    <w:rsid w:val="00AF233C"/>
    <w:rsid w:val="00AF2402"/>
    <w:rsid w:val="00AF24B9"/>
    <w:rsid w:val="00AF2A18"/>
    <w:rsid w:val="00AF2B4E"/>
    <w:rsid w:val="00AF30D4"/>
    <w:rsid w:val="00AF31E5"/>
    <w:rsid w:val="00AF31FA"/>
    <w:rsid w:val="00AF3583"/>
    <w:rsid w:val="00AF359B"/>
    <w:rsid w:val="00AF396B"/>
    <w:rsid w:val="00AF3AFD"/>
    <w:rsid w:val="00AF3E30"/>
    <w:rsid w:val="00AF3ECE"/>
    <w:rsid w:val="00AF4677"/>
    <w:rsid w:val="00AF48B5"/>
    <w:rsid w:val="00AF4BBA"/>
    <w:rsid w:val="00AF50F1"/>
    <w:rsid w:val="00AF5117"/>
    <w:rsid w:val="00AF51E9"/>
    <w:rsid w:val="00AF531C"/>
    <w:rsid w:val="00AF54FF"/>
    <w:rsid w:val="00AF582E"/>
    <w:rsid w:val="00AF5AA3"/>
    <w:rsid w:val="00AF5FBD"/>
    <w:rsid w:val="00AF5FD1"/>
    <w:rsid w:val="00AF6096"/>
    <w:rsid w:val="00AF6337"/>
    <w:rsid w:val="00AF63E1"/>
    <w:rsid w:val="00AF66CE"/>
    <w:rsid w:val="00AF6870"/>
    <w:rsid w:val="00AF6A46"/>
    <w:rsid w:val="00AF6DBA"/>
    <w:rsid w:val="00AF6FA1"/>
    <w:rsid w:val="00AF72C9"/>
    <w:rsid w:val="00AF74CE"/>
    <w:rsid w:val="00AF755F"/>
    <w:rsid w:val="00AF7B7E"/>
    <w:rsid w:val="00AF7B83"/>
    <w:rsid w:val="00B0016E"/>
    <w:rsid w:val="00B00308"/>
    <w:rsid w:val="00B00787"/>
    <w:rsid w:val="00B00A5A"/>
    <w:rsid w:val="00B00A91"/>
    <w:rsid w:val="00B00B17"/>
    <w:rsid w:val="00B00D0A"/>
    <w:rsid w:val="00B00E67"/>
    <w:rsid w:val="00B00FF2"/>
    <w:rsid w:val="00B0104B"/>
    <w:rsid w:val="00B011EE"/>
    <w:rsid w:val="00B017BA"/>
    <w:rsid w:val="00B01C8E"/>
    <w:rsid w:val="00B01EEB"/>
    <w:rsid w:val="00B01F66"/>
    <w:rsid w:val="00B020E9"/>
    <w:rsid w:val="00B02520"/>
    <w:rsid w:val="00B026BD"/>
    <w:rsid w:val="00B02723"/>
    <w:rsid w:val="00B02B30"/>
    <w:rsid w:val="00B0311E"/>
    <w:rsid w:val="00B0336A"/>
    <w:rsid w:val="00B034CD"/>
    <w:rsid w:val="00B03620"/>
    <w:rsid w:val="00B03BED"/>
    <w:rsid w:val="00B03C9F"/>
    <w:rsid w:val="00B03DC1"/>
    <w:rsid w:val="00B0405D"/>
    <w:rsid w:val="00B04106"/>
    <w:rsid w:val="00B041B2"/>
    <w:rsid w:val="00B046BB"/>
    <w:rsid w:val="00B04DDD"/>
    <w:rsid w:val="00B04F0D"/>
    <w:rsid w:val="00B0580A"/>
    <w:rsid w:val="00B05BDE"/>
    <w:rsid w:val="00B05D32"/>
    <w:rsid w:val="00B05DB0"/>
    <w:rsid w:val="00B05FDD"/>
    <w:rsid w:val="00B061FD"/>
    <w:rsid w:val="00B066F1"/>
    <w:rsid w:val="00B0681C"/>
    <w:rsid w:val="00B06A9F"/>
    <w:rsid w:val="00B06AF6"/>
    <w:rsid w:val="00B07394"/>
    <w:rsid w:val="00B07B36"/>
    <w:rsid w:val="00B07CB4"/>
    <w:rsid w:val="00B07EBA"/>
    <w:rsid w:val="00B07EEB"/>
    <w:rsid w:val="00B100C3"/>
    <w:rsid w:val="00B1011B"/>
    <w:rsid w:val="00B1018A"/>
    <w:rsid w:val="00B10933"/>
    <w:rsid w:val="00B10BE4"/>
    <w:rsid w:val="00B10C22"/>
    <w:rsid w:val="00B10D34"/>
    <w:rsid w:val="00B10D52"/>
    <w:rsid w:val="00B10F39"/>
    <w:rsid w:val="00B1116C"/>
    <w:rsid w:val="00B11374"/>
    <w:rsid w:val="00B1156D"/>
    <w:rsid w:val="00B11819"/>
    <w:rsid w:val="00B118FF"/>
    <w:rsid w:val="00B1196A"/>
    <w:rsid w:val="00B1199B"/>
    <w:rsid w:val="00B11EB5"/>
    <w:rsid w:val="00B11F17"/>
    <w:rsid w:val="00B11F81"/>
    <w:rsid w:val="00B11FCD"/>
    <w:rsid w:val="00B11FEF"/>
    <w:rsid w:val="00B11FFF"/>
    <w:rsid w:val="00B12288"/>
    <w:rsid w:val="00B12566"/>
    <w:rsid w:val="00B12676"/>
    <w:rsid w:val="00B126D3"/>
    <w:rsid w:val="00B126E7"/>
    <w:rsid w:val="00B12728"/>
    <w:rsid w:val="00B12D15"/>
    <w:rsid w:val="00B12ED2"/>
    <w:rsid w:val="00B12F9D"/>
    <w:rsid w:val="00B130A5"/>
    <w:rsid w:val="00B13535"/>
    <w:rsid w:val="00B13840"/>
    <w:rsid w:val="00B13C90"/>
    <w:rsid w:val="00B13EBE"/>
    <w:rsid w:val="00B14099"/>
    <w:rsid w:val="00B141F9"/>
    <w:rsid w:val="00B14D7F"/>
    <w:rsid w:val="00B14FD6"/>
    <w:rsid w:val="00B15002"/>
    <w:rsid w:val="00B15287"/>
    <w:rsid w:val="00B15335"/>
    <w:rsid w:val="00B155EB"/>
    <w:rsid w:val="00B1592F"/>
    <w:rsid w:val="00B15DAF"/>
    <w:rsid w:val="00B15DDA"/>
    <w:rsid w:val="00B15E8C"/>
    <w:rsid w:val="00B1611F"/>
    <w:rsid w:val="00B163A2"/>
    <w:rsid w:val="00B16499"/>
    <w:rsid w:val="00B164D3"/>
    <w:rsid w:val="00B165F6"/>
    <w:rsid w:val="00B16AFD"/>
    <w:rsid w:val="00B16B45"/>
    <w:rsid w:val="00B16C2F"/>
    <w:rsid w:val="00B173A3"/>
    <w:rsid w:val="00B1779E"/>
    <w:rsid w:val="00B179C6"/>
    <w:rsid w:val="00B17D0B"/>
    <w:rsid w:val="00B17DBA"/>
    <w:rsid w:val="00B17DE3"/>
    <w:rsid w:val="00B17EF2"/>
    <w:rsid w:val="00B200C6"/>
    <w:rsid w:val="00B2070D"/>
    <w:rsid w:val="00B2088C"/>
    <w:rsid w:val="00B20C53"/>
    <w:rsid w:val="00B20C6B"/>
    <w:rsid w:val="00B20C73"/>
    <w:rsid w:val="00B20E29"/>
    <w:rsid w:val="00B210A4"/>
    <w:rsid w:val="00B21175"/>
    <w:rsid w:val="00B2117E"/>
    <w:rsid w:val="00B212C1"/>
    <w:rsid w:val="00B21608"/>
    <w:rsid w:val="00B21794"/>
    <w:rsid w:val="00B217C9"/>
    <w:rsid w:val="00B21AE4"/>
    <w:rsid w:val="00B21C06"/>
    <w:rsid w:val="00B223AD"/>
    <w:rsid w:val="00B22C1D"/>
    <w:rsid w:val="00B22C26"/>
    <w:rsid w:val="00B22EF9"/>
    <w:rsid w:val="00B23104"/>
    <w:rsid w:val="00B232C0"/>
    <w:rsid w:val="00B2335F"/>
    <w:rsid w:val="00B2338F"/>
    <w:rsid w:val="00B23898"/>
    <w:rsid w:val="00B23921"/>
    <w:rsid w:val="00B239DE"/>
    <w:rsid w:val="00B23A74"/>
    <w:rsid w:val="00B23DBE"/>
    <w:rsid w:val="00B23DC5"/>
    <w:rsid w:val="00B24633"/>
    <w:rsid w:val="00B24971"/>
    <w:rsid w:val="00B24AC7"/>
    <w:rsid w:val="00B24C9F"/>
    <w:rsid w:val="00B24D07"/>
    <w:rsid w:val="00B254B2"/>
    <w:rsid w:val="00B25A21"/>
    <w:rsid w:val="00B25BEA"/>
    <w:rsid w:val="00B25D3C"/>
    <w:rsid w:val="00B25DC0"/>
    <w:rsid w:val="00B260FE"/>
    <w:rsid w:val="00B26290"/>
    <w:rsid w:val="00B262DF"/>
    <w:rsid w:val="00B266C7"/>
    <w:rsid w:val="00B2695A"/>
    <w:rsid w:val="00B26FEC"/>
    <w:rsid w:val="00B27600"/>
    <w:rsid w:val="00B27657"/>
    <w:rsid w:val="00B27A39"/>
    <w:rsid w:val="00B27CA0"/>
    <w:rsid w:val="00B30173"/>
    <w:rsid w:val="00B303A6"/>
    <w:rsid w:val="00B30583"/>
    <w:rsid w:val="00B308A5"/>
    <w:rsid w:val="00B30910"/>
    <w:rsid w:val="00B309EC"/>
    <w:rsid w:val="00B30E7D"/>
    <w:rsid w:val="00B319E1"/>
    <w:rsid w:val="00B31A70"/>
    <w:rsid w:val="00B31BC9"/>
    <w:rsid w:val="00B31CB2"/>
    <w:rsid w:val="00B31DA1"/>
    <w:rsid w:val="00B31DEB"/>
    <w:rsid w:val="00B31F7C"/>
    <w:rsid w:val="00B3244F"/>
    <w:rsid w:val="00B3253D"/>
    <w:rsid w:val="00B32930"/>
    <w:rsid w:val="00B32ECF"/>
    <w:rsid w:val="00B32FC7"/>
    <w:rsid w:val="00B33BD8"/>
    <w:rsid w:val="00B33D21"/>
    <w:rsid w:val="00B33E65"/>
    <w:rsid w:val="00B347AE"/>
    <w:rsid w:val="00B34D8C"/>
    <w:rsid w:val="00B35450"/>
    <w:rsid w:val="00B35490"/>
    <w:rsid w:val="00B35877"/>
    <w:rsid w:val="00B358E8"/>
    <w:rsid w:val="00B358ED"/>
    <w:rsid w:val="00B35B1F"/>
    <w:rsid w:val="00B35B48"/>
    <w:rsid w:val="00B35D10"/>
    <w:rsid w:val="00B36187"/>
    <w:rsid w:val="00B362CE"/>
    <w:rsid w:val="00B36410"/>
    <w:rsid w:val="00B36532"/>
    <w:rsid w:val="00B36847"/>
    <w:rsid w:val="00B36A92"/>
    <w:rsid w:val="00B36B7F"/>
    <w:rsid w:val="00B36BCC"/>
    <w:rsid w:val="00B37296"/>
    <w:rsid w:val="00B375B7"/>
    <w:rsid w:val="00B37679"/>
    <w:rsid w:val="00B37EA1"/>
    <w:rsid w:val="00B40456"/>
    <w:rsid w:val="00B40583"/>
    <w:rsid w:val="00B40A14"/>
    <w:rsid w:val="00B40DE1"/>
    <w:rsid w:val="00B413EE"/>
    <w:rsid w:val="00B41902"/>
    <w:rsid w:val="00B41A54"/>
    <w:rsid w:val="00B41B95"/>
    <w:rsid w:val="00B41C61"/>
    <w:rsid w:val="00B41D24"/>
    <w:rsid w:val="00B41E06"/>
    <w:rsid w:val="00B4238D"/>
    <w:rsid w:val="00B423B0"/>
    <w:rsid w:val="00B425F3"/>
    <w:rsid w:val="00B42826"/>
    <w:rsid w:val="00B42D60"/>
    <w:rsid w:val="00B43241"/>
    <w:rsid w:val="00B43373"/>
    <w:rsid w:val="00B43445"/>
    <w:rsid w:val="00B43492"/>
    <w:rsid w:val="00B434C5"/>
    <w:rsid w:val="00B437FD"/>
    <w:rsid w:val="00B4387F"/>
    <w:rsid w:val="00B43C26"/>
    <w:rsid w:val="00B43E52"/>
    <w:rsid w:val="00B43E5A"/>
    <w:rsid w:val="00B440A8"/>
    <w:rsid w:val="00B44400"/>
    <w:rsid w:val="00B445A5"/>
    <w:rsid w:val="00B445EF"/>
    <w:rsid w:val="00B446D5"/>
    <w:rsid w:val="00B447EC"/>
    <w:rsid w:val="00B44A9A"/>
    <w:rsid w:val="00B44BD6"/>
    <w:rsid w:val="00B44CEA"/>
    <w:rsid w:val="00B44D1F"/>
    <w:rsid w:val="00B44E12"/>
    <w:rsid w:val="00B44E1B"/>
    <w:rsid w:val="00B44EC9"/>
    <w:rsid w:val="00B44ED8"/>
    <w:rsid w:val="00B451D0"/>
    <w:rsid w:val="00B45900"/>
    <w:rsid w:val="00B45A74"/>
    <w:rsid w:val="00B45B23"/>
    <w:rsid w:val="00B45CF5"/>
    <w:rsid w:val="00B45E60"/>
    <w:rsid w:val="00B46773"/>
    <w:rsid w:val="00B46828"/>
    <w:rsid w:val="00B469A2"/>
    <w:rsid w:val="00B46CFB"/>
    <w:rsid w:val="00B46CFF"/>
    <w:rsid w:val="00B47183"/>
    <w:rsid w:val="00B473DE"/>
    <w:rsid w:val="00B476E0"/>
    <w:rsid w:val="00B47B1A"/>
    <w:rsid w:val="00B501C1"/>
    <w:rsid w:val="00B503ED"/>
    <w:rsid w:val="00B5076B"/>
    <w:rsid w:val="00B50857"/>
    <w:rsid w:val="00B50982"/>
    <w:rsid w:val="00B50BEA"/>
    <w:rsid w:val="00B50C1E"/>
    <w:rsid w:val="00B50D56"/>
    <w:rsid w:val="00B50E79"/>
    <w:rsid w:val="00B50FD0"/>
    <w:rsid w:val="00B5122C"/>
    <w:rsid w:val="00B5129D"/>
    <w:rsid w:val="00B5186E"/>
    <w:rsid w:val="00B51A53"/>
    <w:rsid w:val="00B51B76"/>
    <w:rsid w:val="00B52215"/>
    <w:rsid w:val="00B52D82"/>
    <w:rsid w:val="00B52E6B"/>
    <w:rsid w:val="00B530C2"/>
    <w:rsid w:val="00B5310C"/>
    <w:rsid w:val="00B53152"/>
    <w:rsid w:val="00B5333A"/>
    <w:rsid w:val="00B539A7"/>
    <w:rsid w:val="00B540EF"/>
    <w:rsid w:val="00B54430"/>
    <w:rsid w:val="00B5491F"/>
    <w:rsid w:val="00B54A16"/>
    <w:rsid w:val="00B54A1A"/>
    <w:rsid w:val="00B54B11"/>
    <w:rsid w:val="00B54FB0"/>
    <w:rsid w:val="00B5501A"/>
    <w:rsid w:val="00B55167"/>
    <w:rsid w:val="00B55199"/>
    <w:rsid w:val="00B55214"/>
    <w:rsid w:val="00B55269"/>
    <w:rsid w:val="00B55417"/>
    <w:rsid w:val="00B55452"/>
    <w:rsid w:val="00B55645"/>
    <w:rsid w:val="00B55897"/>
    <w:rsid w:val="00B559EB"/>
    <w:rsid w:val="00B55FB2"/>
    <w:rsid w:val="00B5602D"/>
    <w:rsid w:val="00B5609F"/>
    <w:rsid w:val="00B5620E"/>
    <w:rsid w:val="00B56316"/>
    <w:rsid w:val="00B56533"/>
    <w:rsid w:val="00B56670"/>
    <w:rsid w:val="00B56761"/>
    <w:rsid w:val="00B56CF0"/>
    <w:rsid w:val="00B56E28"/>
    <w:rsid w:val="00B571A9"/>
    <w:rsid w:val="00B572FF"/>
    <w:rsid w:val="00B5742D"/>
    <w:rsid w:val="00B57463"/>
    <w:rsid w:val="00B57563"/>
    <w:rsid w:val="00B57683"/>
    <w:rsid w:val="00B576BF"/>
    <w:rsid w:val="00B576DF"/>
    <w:rsid w:val="00B57A25"/>
    <w:rsid w:val="00B57B7E"/>
    <w:rsid w:val="00B57DF0"/>
    <w:rsid w:val="00B57EC7"/>
    <w:rsid w:val="00B57FF5"/>
    <w:rsid w:val="00B60116"/>
    <w:rsid w:val="00B60285"/>
    <w:rsid w:val="00B60505"/>
    <w:rsid w:val="00B6056F"/>
    <w:rsid w:val="00B612F6"/>
    <w:rsid w:val="00B613BD"/>
    <w:rsid w:val="00B6143E"/>
    <w:rsid w:val="00B6147A"/>
    <w:rsid w:val="00B618AB"/>
    <w:rsid w:val="00B6197F"/>
    <w:rsid w:val="00B61F01"/>
    <w:rsid w:val="00B62175"/>
    <w:rsid w:val="00B622A9"/>
    <w:rsid w:val="00B623A4"/>
    <w:rsid w:val="00B62610"/>
    <w:rsid w:val="00B6264A"/>
    <w:rsid w:val="00B62694"/>
    <w:rsid w:val="00B62803"/>
    <w:rsid w:val="00B62A27"/>
    <w:rsid w:val="00B62EBB"/>
    <w:rsid w:val="00B62FF9"/>
    <w:rsid w:val="00B63117"/>
    <w:rsid w:val="00B631ED"/>
    <w:rsid w:val="00B632A3"/>
    <w:rsid w:val="00B63417"/>
    <w:rsid w:val="00B63522"/>
    <w:rsid w:val="00B635E3"/>
    <w:rsid w:val="00B6390E"/>
    <w:rsid w:val="00B63920"/>
    <w:rsid w:val="00B63ADC"/>
    <w:rsid w:val="00B63F13"/>
    <w:rsid w:val="00B63F84"/>
    <w:rsid w:val="00B64001"/>
    <w:rsid w:val="00B641C1"/>
    <w:rsid w:val="00B6428B"/>
    <w:rsid w:val="00B64BD5"/>
    <w:rsid w:val="00B64EE8"/>
    <w:rsid w:val="00B6513A"/>
    <w:rsid w:val="00B65163"/>
    <w:rsid w:val="00B65336"/>
    <w:rsid w:val="00B654FD"/>
    <w:rsid w:val="00B65693"/>
    <w:rsid w:val="00B656B8"/>
    <w:rsid w:val="00B65902"/>
    <w:rsid w:val="00B65BD9"/>
    <w:rsid w:val="00B662EB"/>
    <w:rsid w:val="00B66719"/>
    <w:rsid w:val="00B66B4C"/>
    <w:rsid w:val="00B66BEA"/>
    <w:rsid w:val="00B66C77"/>
    <w:rsid w:val="00B67121"/>
    <w:rsid w:val="00B671E3"/>
    <w:rsid w:val="00B672E0"/>
    <w:rsid w:val="00B673E5"/>
    <w:rsid w:val="00B673FC"/>
    <w:rsid w:val="00B679F7"/>
    <w:rsid w:val="00B67B5D"/>
    <w:rsid w:val="00B67BB6"/>
    <w:rsid w:val="00B67C79"/>
    <w:rsid w:val="00B67C7A"/>
    <w:rsid w:val="00B67E1B"/>
    <w:rsid w:val="00B67E92"/>
    <w:rsid w:val="00B706F2"/>
    <w:rsid w:val="00B70724"/>
    <w:rsid w:val="00B70826"/>
    <w:rsid w:val="00B7083C"/>
    <w:rsid w:val="00B70AF9"/>
    <w:rsid w:val="00B7155C"/>
    <w:rsid w:val="00B719A8"/>
    <w:rsid w:val="00B71DDE"/>
    <w:rsid w:val="00B72602"/>
    <w:rsid w:val="00B726E9"/>
    <w:rsid w:val="00B726F1"/>
    <w:rsid w:val="00B727A9"/>
    <w:rsid w:val="00B72805"/>
    <w:rsid w:val="00B72D9A"/>
    <w:rsid w:val="00B72DE0"/>
    <w:rsid w:val="00B7307B"/>
    <w:rsid w:val="00B730A0"/>
    <w:rsid w:val="00B73103"/>
    <w:rsid w:val="00B73204"/>
    <w:rsid w:val="00B7365E"/>
    <w:rsid w:val="00B73662"/>
    <w:rsid w:val="00B73704"/>
    <w:rsid w:val="00B73709"/>
    <w:rsid w:val="00B737E4"/>
    <w:rsid w:val="00B73929"/>
    <w:rsid w:val="00B73993"/>
    <w:rsid w:val="00B739A6"/>
    <w:rsid w:val="00B73A4E"/>
    <w:rsid w:val="00B73F55"/>
    <w:rsid w:val="00B74192"/>
    <w:rsid w:val="00B74357"/>
    <w:rsid w:val="00B743FA"/>
    <w:rsid w:val="00B744B2"/>
    <w:rsid w:val="00B744D4"/>
    <w:rsid w:val="00B746BF"/>
    <w:rsid w:val="00B74FF7"/>
    <w:rsid w:val="00B754E4"/>
    <w:rsid w:val="00B75A68"/>
    <w:rsid w:val="00B75C74"/>
    <w:rsid w:val="00B75FDB"/>
    <w:rsid w:val="00B7612A"/>
    <w:rsid w:val="00B7620A"/>
    <w:rsid w:val="00B76337"/>
    <w:rsid w:val="00B763CC"/>
    <w:rsid w:val="00B7667A"/>
    <w:rsid w:val="00B766EE"/>
    <w:rsid w:val="00B769D9"/>
    <w:rsid w:val="00B76A55"/>
    <w:rsid w:val="00B76D11"/>
    <w:rsid w:val="00B76EF3"/>
    <w:rsid w:val="00B77020"/>
    <w:rsid w:val="00B77276"/>
    <w:rsid w:val="00B7735E"/>
    <w:rsid w:val="00B77444"/>
    <w:rsid w:val="00B775D7"/>
    <w:rsid w:val="00B77A00"/>
    <w:rsid w:val="00B77BB7"/>
    <w:rsid w:val="00B809BD"/>
    <w:rsid w:val="00B80AB5"/>
    <w:rsid w:val="00B80B53"/>
    <w:rsid w:val="00B80DF8"/>
    <w:rsid w:val="00B81082"/>
    <w:rsid w:val="00B8130D"/>
    <w:rsid w:val="00B818FD"/>
    <w:rsid w:val="00B819C8"/>
    <w:rsid w:val="00B81EE0"/>
    <w:rsid w:val="00B8205E"/>
    <w:rsid w:val="00B8251A"/>
    <w:rsid w:val="00B8251F"/>
    <w:rsid w:val="00B82E4E"/>
    <w:rsid w:val="00B8303A"/>
    <w:rsid w:val="00B831FF"/>
    <w:rsid w:val="00B8352B"/>
    <w:rsid w:val="00B839F1"/>
    <w:rsid w:val="00B83B3B"/>
    <w:rsid w:val="00B83B88"/>
    <w:rsid w:val="00B83D5A"/>
    <w:rsid w:val="00B83E2C"/>
    <w:rsid w:val="00B83ECD"/>
    <w:rsid w:val="00B84C6C"/>
    <w:rsid w:val="00B852B4"/>
    <w:rsid w:val="00B85864"/>
    <w:rsid w:val="00B85FD1"/>
    <w:rsid w:val="00B8641A"/>
    <w:rsid w:val="00B86634"/>
    <w:rsid w:val="00B86691"/>
    <w:rsid w:val="00B868EE"/>
    <w:rsid w:val="00B869A7"/>
    <w:rsid w:val="00B86B05"/>
    <w:rsid w:val="00B87006"/>
    <w:rsid w:val="00B871AE"/>
    <w:rsid w:val="00B8772E"/>
    <w:rsid w:val="00B87755"/>
    <w:rsid w:val="00B8784F"/>
    <w:rsid w:val="00B87A64"/>
    <w:rsid w:val="00B87DA7"/>
    <w:rsid w:val="00B87FCB"/>
    <w:rsid w:val="00B9014E"/>
    <w:rsid w:val="00B901E4"/>
    <w:rsid w:val="00B90577"/>
    <w:rsid w:val="00B90EE3"/>
    <w:rsid w:val="00B91396"/>
    <w:rsid w:val="00B916C9"/>
    <w:rsid w:val="00B91D3C"/>
    <w:rsid w:val="00B91F2F"/>
    <w:rsid w:val="00B92005"/>
    <w:rsid w:val="00B9208F"/>
    <w:rsid w:val="00B923CE"/>
    <w:rsid w:val="00B923DF"/>
    <w:rsid w:val="00B925FA"/>
    <w:rsid w:val="00B92E6B"/>
    <w:rsid w:val="00B92F50"/>
    <w:rsid w:val="00B9314E"/>
    <w:rsid w:val="00B9350E"/>
    <w:rsid w:val="00B938E7"/>
    <w:rsid w:val="00B93944"/>
    <w:rsid w:val="00B9395E"/>
    <w:rsid w:val="00B93C1C"/>
    <w:rsid w:val="00B93E52"/>
    <w:rsid w:val="00B942D7"/>
    <w:rsid w:val="00B9435F"/>
    <w:rsid w:val="00B9460D"/>
    <w:rsid w:val="00B946A3"/>
    <w:rsid w:val="00B94A3A"/>
    <w:rsid w:val="00B94CC5"/>
    <w:rsid w:val="00B94CDB"/>
    <w:rsid w:val="00B95075"/>
    <w:rsid w:val="00B9573F"/>
    <w:rsid w:val="00B95788"/>
    <w:rsid w:val="00B957B7"/>
    <w:rsid w:val="00B95824"/>
    <w:rsid w:val="00B95880"/>
    <w:rsid w:val="00B9590E"/>
    <w:rsid w:val="00B960AD"/>
    <w:rsid w:val="00B960B4"/>
    <w:rsid w:val="00B960C8"/>
    <w:rsid w:val="00B96337"/>
    <w:rsid w:val="00B9636A"/>
    <w:rsid w:val="00B96A86"/>
    <w:rsid w:val="00B96BB5"/>
    <w:rsid w:val="00B96CB2"/>
    <w:rsid w:val="00B96D08"/>
    <w:rsid w:val="00B96D4B"/>
    <w:rsid w:val="00B96EB7"/>
    <w:rsid w:val="00B97005"/>
    <w:rsid w:val="00B97032"/>
    <w:rsid w:val="00B973B6"/>
    <w:rsid w:val="00B974C0"/>
    <w:rsid w:val="00B974EA"/>
    <w:rsid w:val="00B97598"/>
    <w:rsid w:val="00B97A01"/>
    <w:rsid w:val="00B97E2A"/>
    <w:rsid w:val="00BA012A"/>
    <w:rsid w:val="00BA03D2"/>
    <w:rsid w:val="00BA04A7"/>
    <w:rsid w:val="00BA0906"/>
    <w:rsid w:val="00BA093E"/>
    <w:rsid w:val="00BA0AB7"/>
    <w:rsid w:val="00BA0CCE"/>
    <w:rsid w:val="00BA0DF9"/>
    <w:rsid w:val="00BA0FC3"/>
    <w:rsid w:val="00BA10A4"/>
    <w:rsid w:val="00BA1CFD"/>
    <w:rsid w:val="00BA2005"/>
    <w:rsid w:val="00BA2085"/>
    <w:rsid w:val="00BA2172"/>
    <w:rsid w:val="00BA2451"/>
    <w:rsid w:val="00BA2A72"/>
    <w:rsid w:val="00BA2A95"/>
    <w:rsid w:val="00BA2D7D"/>
    <w:rsid w:val="00BA30C5"/>
    <w:rsid w:val="00BA31B0"/>
    <w:rsid w:val="00BA3297"/>
    <w:rsid w:val="00BA3831"/>
    <w:rsid w:val="00BA3BFA"/>
    <w:rsid w:val="00BA3C4C"/>
    <w:rsid w:val="00BA4040"/>
    <w:rsid w:val="00BA4305"/>
    <w:rsid w:val="00BA43D9"/>
    <w:rsid w:val="00BA4639"/>
    <w:rsid w:val="00BA47E7"/>
    <w:rsid w:val="00BA4B3A"/>
    <w:rsid w:val="00BA4BB7"/>
    <w:rsid w:val="00BA4D1F"/>
    <w:rsid w:val="00BA5122"/>
    <w:rsid w:val="00BA52D1"/>
    <w:rsid w:val="00BA5B32"/>
    <w:rsid w:val="00BA5CA4"/>
    <w:rsid w:val="00BA63BD"/>
    <w:rsid w:val="00BA64E8"/>
    <w:rsid w:val="00BA69D9"/>
    <w:rsid w:val="00BA6B8C"/>
    <w:rsid w:val="00BA6C31"/>
    <w:rsid w:val="00BA6E14"/>
    <w:rsid w:val="00BA726E"/>
    <w:rsid w:val="00BA7369"/>
    <w:rsid w:val="00BA76A4"/>
    <w:rsid w:val="00BA7AD6"/>
    <w:rsid w:val="00BB0295"/>
    <w:rsid w:val="00BB02C1"/>
    <w:rsid w:val="00BB02E0"/>
    <w:rsid w:val="00BB050D"/>
    <w:rsid w:val="00BB0787"/>
    <w:rsid w:val="00BB09F7"/>
    <w:rsid w:val="00BB0B34"/>
    <w:rsid w:val="00BB0C1B"/>
    <w:rsid w:val="00BB0CF1"/>
    <w:rsid w:val="00BB144C"/>
    <w:rsid w:val="00BB176A"/>
    <w:rsid w:val="00BB1991"/>
    <w:rsid w:val="00BB2206"/>
    <w:rsid w:val="00BB22A6"/>
    <w:rsid w:val="00BB22CA"/>
    <w:rsid w:val="00BB2449"/>
    <w:rsid w:val="00BB25D1"/>
    <w:rsid w:val="00BB2627"/>
    <w:rsid w:val="00BB27C6"/>
    <w:rsid w:val="00BB2964"/>
    <w:rsid w:val="00BB29F9"/>
    <w:rsid w:val="00BB2A19"/>
    <w:rsid w:val="00BB2D1B"/>
    <w:rsid w:val="00BB2E17"/>
    <w:rsid w:val="00BB3007"/>
    <w:rsid w:val="00BB3755"/>
    <w:rsid w:val="00BB414B"/>
    <w:rsid w:val="00BB433E"/>
    <w:rsid w:val="00BB47BF"/>
    <w:rsid w:val="00BB47E5"/>
    <w:rsid w:val="00BB4D82"/>
    <w:rsid w:val="00BB5085"/>
    <w:rsid w:val="00BB50E8"/>
    <w:rsid w:val="00BB5776"/>
    <w:rsid w:val="00BB5AD5"/>
    <w:rsid w:val="00BB5B28"/>
    <w:rsid w:val="00BB5C74"/>
    <w:rsid w:val="00BB5DCE"/>
    <w:rsid w:val="00BB5E25"/>
    <w:rsid w:val="00BB6243"/>
    <w:rsid w:val="00BB64B0"/>
    <w:rsid w:val="00BB65FE"/>
    <w:rsid w:val="00BB6655"/>
    <w:rsid w:val="00BB66B8"/>
    <w:rsid w:val="00BB67A0"/>
    <w:rsid w:val="00BB688A"/>
    <w:rsid w:val="00BB69E6"/>
    <w:rsid w:val="00BB6AE0"/>
    <w:rsid w:val="00BB6E2B"/>
    <w:rsid w:val="00BB6EB4"/>
    <w:rsid w:val="00BB6EDB"/>
    <w:rsid w:val="00BB71E5"/>
    <w:rsid w:val="00BB77BB"/>
    <w:rsid w:val="00BB77CE"/>
    <w:rsid w:val="00BB7991"/>
    <w:rsid w:val="00BB7DD9"/>
    <w:rsid w:val="00BB7EC8"/>
    <w:rsid w:val="00BC0156"/>
    <w:rsid w:val="00BC023F"/>
    <w:rsid w:val="00BC0281"/>
    <w:rsid w:val="00BC03D2"/>
    <w:rsid w:val="00BC0475"/>
    <w:rsid w:val="00BC0683"/>
    <w:rsid w:val="00BC0685"/>
    <w:rsid w:val="00BC06DB"/>
    <w:rsid w:val="00BC0C23"/>
    <w:rsid w:val="00BC0CFB"/>
    <w:rsid w:val="00BC0DE4"/>
    <w:rsid w:val="00BC0ECB"/>
    <w:rsid w:val="00BC0F42"/>
    <w:rsid w:val="00BC10E3"/>
    <w:rsid w:val="00BC13F5"/>
    <w:rsid w:val="00BC15D7"/>
    <w:rsid w:val="00BC191B"/>
    <w:rsid w:val="00BC1928"/>
    <w:rsid w:val="00BC19AE"/>
    <w:rsid w:val="00BC19E8"/>
    <w:rsid w:val="00BC1D7E"/>
    <w:rsid w:val="00BC1F4D"/>
    <w:rsid w:val="00BC2356"/>
    <w:rsid w:val="00BC23CB"/>
    <w:rsid w:val="00BC23D3"/>
    <w:rsid w:val="00BC2543"/>
    <w:rsid w:val="00BC2618"/>
    <w:rsid w:val="00BC2988"/>
    <w:rsid w:val="00BC2FC9"/>
    <w:rsid w:val="00BC3094"/>
    <w:rsid w:val="00BC3413"/>
    <w:rsid w:val="00BC3529"/>
    <w:rsid w:val="00BC3606"/>
    <w:rsid w:val="00BC380F"/>
    <w:rsid w:val="00BC3BC3"/>
    <w:rsid w:val="00BC3FD8"/>
    <w:rsid w:val="00BC40CD"/>
    <w:rsid w:val="00BC40D4"/>
    <w:rsid w:val="00BC43D6"/>
    <w:rsid w:val="00BC45D5"/>
    <w:rsid w:val="00BC49DC"/>
    <w:rsid w:val="00BC4A45"/>
    <w:rsid w:val="00BC4BE0"/>
    <w:rsid w:val="00BC4E52"/>
    <w:rsid w:val="00BC4E64"/>
    <w:rsid w:val="00BC4FBE"/>
    <w:rsid w:val="00BC515D"/>
    <w:rsid w:val="00BC51C9"/>
    <w:rsid w:val="00BC5C1E"/>
    <w:rsid w:val="00BC5D8D"/>
    <w:rsid w:val="00BC5E81"/>
    <w:rsid w:val="00BC61F0"/>
    <w:rsid w:val="00BC624A"/>
    <w:rsid w:val="00BC6250"/>
    <w:rsid w:val="00BC637C"/>
    <w:rsid w:val="00BC6594"/>
    <w:rsid w:val="00BC6852"/>
    <w:rsid w:val="00BC6986"/>
    <w:rsid w:val="00BC6D05"/>
    <w:rsid w:val="00BC6D54"/>
    <w:rsid w:val="00BC6FF9"/>
    <w:rsid w:val="00BC70E8"/>
    <w:rsid w:val="00BC720A"/>
    <w:rsid w:val="00BC7A59"/>
    <w:rsid w:val="00BC7DFB"/>
    <w:rsid w:val="00BD0373"/>
    <w:rsid w:val="00BD03A7"/>
    <w:rsid w:val="00BD0600"/>
    <w:rsid w:val="00BD06EF"/>
    <w:rsid w:val="00BD0741"/>
    <w:rsid w:val="00BD0767"/>
    <w:rsid w:val="00BD0824"/>
    <w:rsid w:val="00BD0958"/>
    <w:rsid w:val="00BD0C0C"/>
    <w:rsid w:val="00BD0E7F"/>
    <w:rsid w:val="00BD1050"/>
    <w:rsid w:val="00BD1290"/>
    <w:rsid w:val="00BD1313"/>
    <w:rsid w:val="00BD166F"/>
    <w:rsid w:val="00BD1699"/>
    <w:rsid w:val="00BD1D07"/>
    <w:rsid w:val="00BD1F54"/>
    <w:rsid w:val="00BD21F3"/>
    <w:rsid w:val="00BD2354"/>
    <w:rsid w:val="00BD2FB4"/>
    <w:rsid w:val="00BD3747"/>
    <w:rsid w:val="00BD396E"/>
    <w:rsid w:val="00BD3AEE"/>
    <w:rsid w:val="00BD3BA0"/>
    <w:rsid w:val="00BD3D39"/>
    <w:rsid w:val="00BD3FA9"/>
    <w:rsid w:val="00BD3FD5"/>
    <w:rsid w:val="00BD3FDF"/>
    <w:rsid w:val="00BD41A7"/>
    <w:rsid w:val="00BD41C9"/>
    <w:rsid w:val="00BD4331"/>
    <w:rsid w:val="00BD45C6"/>
    <w:rsid w:val="00BD46D3"/>
    <w:rsid w:val="00BD473E"/>
    <w:rsid w:val="00BD4E48"/>
    <w:rsid w:val="00BD4EFE"/>
    <w:rsid w:val="00BD5375"/>
    <w:rsid w:val="00BD5543"/>
    <w:rsid w:val="00BD559F"/>
    <w:rsid w:val="00BD58F0"/>
    <w:rsid w:val="00BD5D31"/>
    <w:rsid w:val="00BD5E1B"/>
    <w:rsid w:val="00BD6042"/>
    <w:rsid w:val="00BD60B6"/>
    <w:rsid w:val="00BD6468"/>
    <w:rsid w:val="00BD6C4D"/>
    <w:rsid w:val="00BD6E6B"/>
    <w:rsid w:val="00BD7025"/>
    <w:rsid w:val="00BD70C9"/>
    <w:rsid w:val="00BD736D"/>
    <w:rsid w:val="00BD7826"/>
    <w:rsid w:val="00BD7B67"/>
    <w:rsid w:val="00BD7F5E"/>
    <w:rsid w:val="00BE00F8"/>
    <w:rsid w:val="00BE085C"/>
    <w:rsid w:val="00BE08DA"/>
    <w:rsid w:val="00BE09FF"/>
    <w:rsid w:val="00BE0A5A"/>
    <w:rsid w:val="00BE0CAE"/>
    <w:rsid w:val="00BE0DCB"/>
    <w:rsid w:val="00BE10B2"/>
    <w:rsid w:val="00BE112C"/>
    <w:rsid w:val="00BE121B"/>
    <w:rsid w:val="00BE194D"/>
    <w:rsid w:val="00BE1B17"/>
    <w:rsid w:val="00BE1B6A"/>
    <w:rsid w:val="00BE1C40"/>
    <w:rsid w:val="00BE1E3E"/>
    <w:rsid w:val="00BE1EE1"/>
    <w:rsid w:val="00BE2058"/>
    <w:rsid w:val="00BE2283"/>
    <w:rsid w:val="00BE230D"/>
    <w:rsid w:val="00BE237D"/>
    <w:rsid w:val="00BE23E8"/>
    <w:rsid w:val="00BE2D7E"/>
    <w:rsid w:val="00BE2F4C"/>
    <w:rsid w:val="00BE3834"/>
    <w:rsid w:val="00BE3E76"/>
    <w:rsid w:val="00BE3F88"/>
    <w:rsid w:val="00BE4196"/>
    <w:rsid w:val="00BE44F4"/>
    <w:rsid w:val="00BE4804"/>
    <w:rsid w:val="00BE4843"/>
    <w:rsid w:val="00BE4ABD"/>
    <w:rsid w:val="00BE4D74"/>
    <w:rsid w:val="00BE4FF6"/>
    <w:rsid w:val="00BE5131"/>
    <w:rsid w:val="00BE578D"/>
    <w:rsid w:val="00BE5848"/>
    <w:rsid w:val="00BE5A64"/>
    <w:rsid w:val="00BE5C65"/>
    <w:rsid w:val="00BE5DCE"/>
    <w:rsid w:val="00BE5E56"/>
    <w:rsid w:val="00BE5E95"/>
    <w:rsid w:val="00BE5F1C"/>
    <w:rsid w:val="00BE5FAE"/>
    <w:rsid w:val="00BE6026"/>
    <w:rsid w:val="00BE6054"/>
    <w:rsid w:val="00BE6419"/>
    <w:rsid w:val="00BE6587"/>
    <w:rsid w:val="00BE678B"/>
    <w:rsid w:val="00BE67BE"/>
    <w:rsid w:val="00BE6B08"/>
    <w:rsid w:val="00BE6C2F"/>
    <w:rsid w:val="00BE6D88"/>
    <w:rsid w:val="00BE6F06"/>
    <w:rsid w:val="00BE70CF"/>
    <w:rsid w:val="00BE7226"/>
    <w:rsid w:val="00BE73F0"/>
    <w:rsid w:val="00BE7492"/>
    <w:rsid w:val="00BE74C9"/>
    <w:rsid w:val="00BE7AA3"/>
    <w:rsid w:val="00BE7B4B"/>
    <w:rsid w:val="00BE7C50"/>
    <w:rsid w:val="00BE7C9B"/>
    <w:rsid w:val="00BE7EF8"/>
    <w:rsid w:val="00BE7FBE"/>
    <w:rsid w:val="00BF07B5"/>
    <w:rsid w:val="00BF0979"/>
    <w:rsid w:val="00BF0ABC"/>
    <w:rsid w:val="00BF0B86"/>
    <w:rsid w:val="00BF0DE5"/>
    <w:rsid w:val="00BF0FC3"/>
    <w:rsid w:val="00BF10AA"/>
    <w:rsid w:val="00BF1350"/>
    <w:rsid w:val="00BF13ED"/>
    <w:rsid w:val="00BF1435"/>
    <w:rsid w:val="00BF1583"/>
    <w:rsid w:val="00BF1631"/>
    <w:rsid w:val="00BF16A9"/>
    <w:rsid w:val="00BF1AA6"/>
    <w:rsid w:val="00BF1DC6"/>
    <w:rsid w:val="00BF206F"/>
    <w:rsid w:val="00BF2421"/>
    <w:rsid w:val="00BF26BB"/>
    <w:rsid w:val="00BF28A2"/>
    <w:rsid w:val="00BF2AAF"/>
    <w:rsid w:val="00BF30E5"/>
    <w:rsid w:val="00BF324E"/>
    <w:rsid w:val="00BF37EE"/>
    <w:rsid w:val="00BF39F4"/>
    <w:rsid w:val="00BF3BEF"/>
    <w:rsid w:val="00BF3C43"/>
    <w:rsid w:val="00BF40C5"/>
    <w:rsid w:val="00BF422C"/>
    <w:rsid w:val="00BF43D8"/>
    <w:rsid w:val="00BF4799"/>
    <w:rsid w:val="00BF48A3"/>
    <w:rsid w:val="00BF4931"/>
    <w:rsid w:val="00BF4AAE"/>
    <w:rsid w:val="00BF4AE9"/>
    <w:rsid w:val="00BF4ECE"/>
    <w:rsid w:val="00BF5052"/>
    <w:rsid w:val="00BF529E"/>
    <w:rsid w:val="00BF5351"/>
    <w:rsid w:val="00BF5378"/>
    <w:rsid w:val="00BF53BA"/>
    <w:rsid w:val="00BF564A"/>
    <w:rsid w:val="00BF56BD"/>
    <w:rsid w:val="00BF5CFD"/>
    <w:rsid w:val="00BF5DCA"/>
    <w:rsid w:val="00BF626B"/>
    <w:rsid w:val="00BF644E"/>
    <w:rsid w:val="00BF64E4"/>
    <w:rsid w:val="00BF653A"/>
    <w:rsid w:val="00BF6631"/>
    <w:rsid w:val="00BF6889"/>
    <w:rsid w:val="00BF6CA3"/>
    <w:rsid w:val="00BF6D80"/>
    <w:rsid w:val="00BF705E"/>
    <w:rsid w:val="00BF7340"/>
    <w:rsid w:val="00BF77E3"/>
    <w:rsid w:val="00BF79D8"/>
    <w:rsid w:val="00BF7A47"/>
    <w:rsid w:val="00BF7B59"/>
    <w:rsid w:val="00BF7C70"/>
    <w:rsid w:val="00C0043F"/>
    <w:rsid w:val="00C0054D"/>
    <w:rsid w:val="00C00D91"/>
    <w:rsid w:val="00C00DE1"/>
    <w:rsid w:val="00C00F08"/>
    <w:rsid w:val="00C01058"/>
    <w:rsid w:val="00C011C7"/>
    <w:rsid w:val="00C0146C"/>
    <w:rsid w:val="00C017AD"/>
    <w:rsid w:val="00C01D5C"/>
    <w:rsid w:val="00C027F4"/>
    <w:rsid w:val="00C02D7B"/>
    <w:rsid w:val="00C02E6B"/>
    <w:rsid w:val="00C0338B"/>
    <w:rsid w:val="00C03640"/>
    <w:rsid w:val="00C03AC4"/>
    <w:rsid w:val="00C03DC1"/>
    <w:rsid w:val="00C03EA0"/>
    <w:rsid w:val="00C03FD2"/>
    <w:rsid w:val="00C04003"/>
    <w:rsid w:val="00C0415D"/>
    <w:rsid w:val="00C045DA"/>
    <w:rsid w:val="00C04762"/>
    <w:rsid w:val="00C047C4"/>
    <w:rsid w:val="00C04AB5"/>
    <w:rsid w:val="00C04B0E"/>
    <w:rsid w:val="00C04D4B"/>
    <w:rsid w:val="00C04D86"/>
    <w:rsid w:val="00C04E01"/>
    <w:rsid w:val="00C04ED6"/>
    <w:rsid w:val="00C05181"/>
    <w:rsid w:val="00C05515"/>
    <w:rsid w:val="00C05541"/>
    <w:rsid w:val="00C05593"/>
    <w:rsid w:val="00C0574B"/>
    <w:rsid w:val="00C057C9"/>
    <w:rsid w:val="00C05825"/>
    <w:rsid w:val="00C05C3D"/>
    <w:rsid w:val="00C06065"/>
    <w:rsid w:val="00C06555"/>
    <w:rsid w:val="00C06563"/>
    <w:rsid w:val="00C06AB4"/>
    <w:rsid w:val="00C06C14"/>
    <w:rsid w:val="00C073C5"/>
    <w:rsid w:val="00C07B60"/>
    <w:rsid w:val="00C07CF4"/>
    <w:rsid w:val="00C07D24"/>
    <w:rsid w:val="00C07E39"/>
    <w:rsid w:val="00C10363"/>
    <w:rsid w:val="00C104C1"/>
    <w:rsid w:val="00C107FE"/>
    <w:rsid w:val="00C10934"/>
    <w:rsid w:val="00C11141"/>
    <w:rsid w:val="00C1116A"/>
    <w:rsid w:val="00C11641"/>
    <w:rsid w:val="00C11C67"/>
    <w:rsid w:val="00C11E12"/>
    <w:rsid w:val="00C11F30"/>
    <w:rsid w:val="00C1209D"/>
    <w:rsid w:val="00C12553"/>
    <w:rsid w:val="00C1282E"/>
    <w:rsid w:val="00C12888"/>
    <w:rsid w:val="00C12A6B"/>
    <w:rsid w:val="00C12B2F"/>
    <w:rsid w:val="00C12CFF"/>
    <w:rsid w:val="00C12D94"/>
    <w:rsid w:val="00C131F0"/>
    <w:rsid w:val="00C1326D"/>
    <w:rsid w:val="00C13400"/>
    <w:rsid w:val="00C137D2"/>
    <w:rsid w:val="00C13DD2"/>
    <w:rsid w:val="00C13F7A"/>
    <w:rsid w:val="00C14158"/>
    <w:rsid w:val="00C14564"/>
    <w:rsid w:val="00C145EB"/>
    <w:rsid w:val="00C14C16"/>
    <w:rsid w:val="00C1561D"/>
    <w:rsid w:val="00C1563B"/>
    <w:rsid w:val="00C16277"/>
    <w:rsid w:val="00C169B2"/>
    <w:rsid w:val="00C16CD7"/>
    <w:rsid w:val="00C16E98"/>
    <w:rsid w:val="00C17353"/>
    <w:rsid w:val="00C1735D"/>
    <w:rsid w:val="00C174F5"/>
    <w:rsid w:val="00C1765F"/>
    <w:rsid w:val="00C17694"/>
    <w:rsid w:val="00C1785E"/>
    <w:rsid w:val="00C17955"/>
    <w:rsid w:val="00C17EC2"/>
    <w:rsid w:val="00C17EEC"/>
    <w:rsid w:val="00C20512"/>
    <w:rsid w:val="00C20D6D"/>
    <w:rsid w:val="00C20D91"/>
    <w:rsid w:val="00C2120C"/>
    <w:rsid w:val="00C21610"/>
    <w:rsid w:val="00C21CC8"/>
    <w:rsid w:val="00C22660"/>
    <w:rsid w:val="00C226F6"/>
    <w:rsid w:val="00C22700"/>
    <w:rsid w:val="00C228B7"/>
    <w:rsid w:val="00C22920"/>
    <w:rsid w:val="00C236CB"/>
    <w:rsid w:val="00C2400A"/>
    <w:rsid w:val="00C24291"/>
    <w:rsid w:val="00C243FB"/>
    <w:rsid w:val="00C24453"/>
    <w:rsid w:val="00C24663"/>
    <w:rsid w:val="00C248BE"/>
    <w:rsid w:val="00C24CA0"/>
    <w:rsid w:val="00C24F14"/>
    <w:rsid w:val="00C25035"/>
    <w:rsid w:val="00C25060"/>
    <w:rsid w:val="00C25574"/>
    <w:rsid w:val="00C2567C"/>
    <w:rsid w:val="00C25A35"/>
    <w:rsid w:val="00C261A2"/>
    <w:rsid w:val="00C26356"/>
    <w:rsid w:val="00C2653C"/>
    <w:rsid w:val="00C26749"/>
    <w:rsid w:val="00C26AB9"/>
    <w:rsid w:val="00C26D4A"/>
    <w:rsid w:val="00C26F68"/>
    <w:rsid w:val="00C26FE9"/>
    <w:rsid w:val="00C277F8"/>
    <w:rsid w:val="00C2793F"/>
    <w:rsid w:val="00C27C75"/>
    <w:rsid w:val="00C30065"/>
    <w:rsid w:val="00C301C5"/>
    <w:rsid w:val="00C3024C"/>
    <w:rsid w:val="00C30ADB"/>
    <w:rsid w:val="00C30E98"/>
    <w:rsid w:val="00C30F39"/>
    <w:rsid w:val="00C30F93"/>
    <w:rsid w:val="00C31DCD"/>
    <w:rsid w:val="00C3204B"/>
    <w:rsid w:val="00C320E5"/>
    <w:rsid w:val="00C323F8"/>
    <w:rsid w:val="00C32634"/>
    <w:rsid w:val="00C32656"/>
    <w:rsid w:val="00C32831"/>
    <w:rsid w:val="00C32935"/>
    <w:rsid w:val="00C32D6A"/>
    <w:rsid w:val="00C32EF0"/>
    <w:rsid w:val="00C3324F"/>
    <w:rsid w:val="00C33593"/>
    <w:rsid w:val="00C335C4"/>
    <w:rsid w:val="00C335D0"/>
    <w:rsid w:val="00C3383F"/>
    <w:rsid w:val="00C338D8"/>
    <w:rsid w:val="00C338FE"/>
    <w:rsid w:val="00C33B23"/>
    <w:rsid w:val="00C33BE0"/>
    <w:rsid w:val="00C33D3E"/>
    <w:rsid w:val="00C33ECC"/>
    <w:rsid w:val="00C33F78"/>
    <w:rsid w:val="00C342B7"/>
    <w:rsid w:val="00C34333"/>
    <w:rsid w:val="00C34413"/>
    <w:rsid w:val="00C3448D"/>
    <w:rsid w:val="00C34694"/>
    <w:rsid w:val="00C34AD4"/>
    <w:rsid w:val="00C34C6E"/>
    <w:rsid w:val="00C34D08"/>
    <w:rsid w:val="00C34EBC"/>
    <w:rsid w:val="00C34FE0"/>
    <w:rsid w:val="00C35058"/>
    <w:rsid w:val="00C35099"/>
    <w:rsid w:val="00C3512E"/>
    <w:rsid w:val="00C3533B"/>
    <w:rsid w:val="00C355BD"/>
    <w:rsid w:val="00C3584F"/>
    <w:rsid w:val="00C3594F"/>
    <w:rsid w:val="00C359B3"/>
    <w:rsid w:val="00C359D3"/>
    <w:rsid w:val="00C35A6C"/>
    <w:rsid w:val="00C35DAB"/>
    <w:rsid w:val="00C3611C"/>
    <w:rsid w:val="00C36149"/>
    <w:rsid w:val="00C3630B"/>
    <w:rsid w:val="00C368E0"/>
    <w:rsid w:val="00C36D08"/>
    <w:rsid w:val="00C36DF9"/>
    <w:rsid w:val="00C37087"/>
    <w:rsid w:val="00C3752C"/>
    <w:rsid w:val="00C376E1"/>
    <w:rsid w:val="00C377A1"/>
    <w:rsid w:val="00C378C4"/>
    <w:rsid w:val="00C378CF"/>
    <w:rsid w:val="00C379C1"/>
    <w:rsid w:val="00C37B15"/>
    <w:rsid w:val="00C37B41"/>
    <w:rsid w:val="00C37E64"/>
    <w:rsid w:val="00C37E8B"/>
    <w:rsid w:val="00C40D46"/>
    <w:rsid w:val="00C40DAF"/>
    <w:rsid w:val="00C40E6A"/>
    <w:rsid w:val="00C41122"/>
    <w:rsid w:val="00C4116E"/>
    <w:rsid w:val="00C41356"/>
    <w:rsid w:val="00C41872"/>
    <w:rsid w:val="00C418D7"/>
    <w:rsid w:val="00C41A05"/>
    <w:rsid w:val="00C41C1D"/>
    <w:rsid w:val="00C41D4E"/>
    <w:rsid w:val="00C41ECF"/>
    <w:rsid w:val="00C41F86"/>
    <w:rsid w:val="00C42259"/>
    <w:rsid w:val="00C422CD"/>
    <w:rsid w:val="00C422CE"/>
    <w:rsid w:val="00C424C0"/>
    <w:rsid w:val="00C425EB"/>
    <w:rsid w:val="00C42615"/>
    <w:rsid w:val="00C4268E"/>
    <w:rsid w:val="00C4273C"/>
    <w:rsid w:val="00C4275E"/>
    <w:rsid w:val="00C42A97"/>
    <w:rsid w:val="00C42B78"/>
    <w:rsid w:val="00C42D26"/>
    <w:rsid w:val="00C43555"/>
    <w:rsid w:val="00C438DF"/>
    <w:rsid w:val="00C43C0C"/>
    <w:rsid w:val="00C444B9"/>
    <w:rsid w:val="00C44530"/>
    <w:rsid w:val="00C4459F"/>
    <w:rsid w:val="00C44CB5"/>
    <w:rsid w:val="00C44EAD"/>
    <w:rsid w:val="00C44F49"/>
    <w:rsid w:val="00C45151"/>
    <w:rsid w:val="00C453F0"/>
    <w:rsid w:val="00C453F1"/>
    <w:rsid w:val="00C45ED9"/>
    <w:rsid w:val="00C45F05"/>
    <w:rsid w:val="00C46594"/>
    <w:rsid w:val="00C465A9"/>
    <w:rsid w:val="00C46693"/>
    <w:rsid w:val="00C46855"/>
    <w:rsid w:val="00C469B2"/>
    <w:rsid w:val="00C46A7B"/>
    <w:rsid w:val="00C46ADF"/>
    <w:rsid w:val="00C46C70"/>
    <w:rsid w:val="00C46D97"/>
    <w:rsid w:val="00C46E5B"/>
    <w:rsid w:val="00C46FE8"/>
    <w:rsid w:val="00C470BF"/>
    <w:rsid w:val="00C4730E"/>
    <w:rsid w:val="00C476B1"/>
    <w:rsid w:val="00C47720"/>
    <w:rsid w:val="00C47D93"/>
    <w:rsid w:val="00C47E2A"/>
    <w:rsid w:val="00C50D78"/>
    <w:rsid w:val="00C51040"/>
    <w:rsid w:val="00C511AA"/>
    <w:rsid w:val="00C512EB"/>
    <w:rsid w:val="00C514A7"/>
    <w:rsid w:val="00C5170C"/>
    <w:rsid w:val="00C5179E"/>
    <w:rsid w:val="00C518C4"/>
    <w:rsid w:val="00C51FCE"/>
    <w:rsid w:val="00C520A8"/>
    <w:rsid w:val="00C52170"/>
    <w:rsid w:val="00C52574"/>
    <w:rsid w:val="00C527C6"/>
    <w:rsid w:val="00C52D8A"/>
    <w:rsid w:val="00C52F12"/>
    <w:rsid w:val="00C531FE"/>
    <w:rsid w:val="00C53285"/>
    <w:rsid w:val="00C5365E"/>
    <w:rsid w:val="00C546CC"/>
    <w:rsid w:val="00C548F6"/>
    <w:rsid w:val="00C5494B"/>
    <w:rsid w:val="00C5497E"/>
    <w:rsid w:val="00C54A23"/>
    <w:rsid w:val="00C54BB5"/>
    <w:rsid w:val="00C54DFA"/>
    <w:rsid w:val="00C54F19"/>
    <w:rsid w:val="00C552D4"/>
    <w:rsid w:val="00C55600"/>
    <w:rsid w:val="00C556BB"/>
    <w:rsid w:val="00C55844"/>
    <w:rsid w:val="00C55DC3"/>
    <w:rsid w:val="00C5676C"/>
    <w:rsid w:val="00C56A4F"/>
    <w:rsid w:val="00C56BDF"/>
    <w:rsid w:val="00C56C96"/>
    <w:rsid w:val="00C56CEA"/>
    <w:rsid w:val="00C56D6E"/>
    <w:rsid w:val="00C571BC"/>
    <w:rsid w:val="00C571D1"/>
    <w:rsid w:val="00C57C95"/>
    <w:rsid w:val="00C57D49"/>
    <w:rsid w:val="00C60416"/>
    <w:rsid w:val="00C6048C"/>
    <w:rsid w:val="00C60639"/>
    <w:rsid w:val="00C6070D"/>
    <w:rsid w:val="00C608C3"/>
    <w:rsid w:val="00C60D20"/>
    <w:rsid w:val="00C60F62"/>
    <w:rsid w:val="00C612FA"/>
    <w:rsid w:val="00C6150A"/>
    <w:rsid w:val="00C617BB"/>
    <w:rsid w:val="00C62381"/>
    <w:rsid w:val="00C627A6"/>
    <w:rsid w:val="00C628EA"/>
    <w:rsid w:val="00C62A8A"/>
    <w:rsid w:val="00C62CCE"/>
    <w:rsid w:val="00C6320E"/>
    <w:rsid w:val="00C633B7"/>
    <w:rsid w:val="00C634DB"/>
    <w:rsid w:val="00C63A8E"/>
    <w:rsid w:val="00C63B69"/>
    <w:rsid w:val="00C63FF9"/>
    <w:rsid w:val="00C64104"/>
    <w:rsid w:val="00C643D1"/>
    <w:rsid w:val="00C64550"/>
    <w:rsid w:val="00C646DF"/>
    <w:rsid w:val="00C64BFF"/>
    <w:rsid w:val="00C652E5"/>
    <w:rsid w:val="00C65393"/>
    <w:rsid w:val="00C65788"/>
    <w:rsid w:val="00C6599B"/>
    <w:rsid w:val="00C66411"/>
    <w:rsid w:val="00C66473"/>
    <w:rsid w:val="00C6650A"/>
    <w:rsid w:val="00C66758"/>
    <w:rsid w:val="00C667C0"/>
    <w:rsid w:val="00C66878"/>
    <w:rsid w:val="00C669B5"/>
    <w:rsid w:val="00C66B55"/>
    <w:rsid w:val="00C66CCA"/>
    <w:rsid w:val="00C66E5E"/>
    <w:rsid w:val="00C673FC"/>
    <w:rsid w:val="00C67423"/>
    <w:rsid w:val="00C6742A"/>
    <w:rsid w:val="00C67534"/>
    <w:rsid w:val="00C70041"/>
    <w:rsid w:val="00C7012B"/>
    <w:rsid w:val="00C701CB"/>
    <w:rsid w:val="00C702FC"/>
    <w:rsid w:val="00C705A9"/>
    <w:rsid w:val="00C7061F"/>
    <w:rsid w:val="00C70B3E"/>
    <w:rsid w:val="00C710F6"/>
    <w:rsid w:val="00C712B4"/>
    <w:rsid w:val="00C712C8"/>
    <w:rsid w:val="00C7136F"/>
    <w:rsid w:val="00C7154E"/>
    <w:rsid w:val="00C715F4"/>
    <w:rsid w:val="00C71D7C"/>
    <w:rsid w:val="00C71FCA"/>
    <w:rsid w:val="00C7212D"/>
    <w:rsid w:val="00C72135"/>
    <w:rsid w:val="00C721BC"/>
    <w:rsid w:val="00C72558"/>
    <w:rsid w:val="00C728BC"/>
    <w:rsid w:val="00C72BAE"/>
    <w:rsid w:val="00C72F6A"/>
    <w:rsid w:val="00C73387"/>
    <w:rsid w:val="00C733FC"/>
    <w:rsid w:val="00C73412"/>
    <w:rsid w:val="00C73464"/>
    <w:rsid w:val="00C7363F"/>
    <w:rsid w:val="00C73A00"/>
    <w:rsid w:val="00C73BF7"/>
    <w:rsid w:val="00C73DCE"/>
    <w:rsid w:val="00C746E8"/>
    <w:rsid w:val="00C748ED"/>
    <w:rsid w:val="00C74A67"/>
    <w:rsid w:val="00C74B59"/>
    <w:rsid w:val="00C74BEC"/>
    <w:rsid w:val="00C74E45"/>
    <w:rsid w:val="00C74F65"/>
    <w:rsid w:val="00C74FFB"/>
    <w:rsid w:val="00C75341"/>
    <w:rsid w:val="00C75590"/>
    <w:rsid w:val="00C756CA"/>
    <w:rsid w:val="00C756E4"/>
    <w:rsid w:val="00C75767"/>
    <w:rsid w:val="00C75931"/>
    <w:rsid w:val="00C75BAE"/>
    <w:rsid w:val="00C75EEF"/>
    <w:rsid w:val="00C75FE4"/>
    <w:rsid w:val="00C7623F"/>
    <w:rsid w:val="00C76407"/>
    <w:rsid w:val="00C76443"/>
    <w:rsid w:val="00C767D2"/>
    <w:rsid w:val="00C76985"/>
    <w:rsid w:val="00C76B93"/>
    <w:rsid w:val="00C76E58"/>
    <w:rsid w:val="00C77128"/>
    <w:rsid w:val="00C773ED"/>
    <w:rsid w:val="00C775A6"/>
    <w:rsid w:val="00C77853"/>
    <w:rsid w:val="00C778B9"/>
    <w:rsid w:val="00C77914"/>
    <w:rsid w:val="00C77DE7"/>
    <w:rsid w:val="00C77FF7"/>
    <w:rsid w:val="00C8005E"/>
    <w:rsid w:val="00C8015D"/>
    <w:rsid w:val="00C8026A"/>
    <w:rsid w:val="00C8042B"/>
    <w:rsid w:val="00C80625"/>
    <w:rsid w:val="00C80D62"/>
    <w:rsid w:val="00C80DC3"/>
    <w:rsid w:val="00C80E75"/>
    <w:rsid w:val="00C814CB"/>
    <w:rsid w:val="00C8151E"/>
    <w:rsid w:val="00C8181B"/>
    <w:rsid w:val="00C81910"/>
    <w:rsid w:val="00C81A33"/>
    <w:rsid w:val="00C81E3A"/>
    <w:rsid w:val="00C81FD6"/>
    <w:rsid w:val="00C820DB"/>
    <w:rsid w:val="00C82439"/>
    <w:rsid w:val="00C82AA6"/>
    <w:rsid w:val="00C8303C"/>
    <w:rsid w:val="00C830A5"/>
    <w:rsid w:val="00C8325B"/>
    <w:rsid w:val="00C83B94"/>
    <w:rsid w:val="00C840F9"/>
    <w:rsid w:val="00C84107"/>
    <w:rsid w:val="00C84308"/>
    <w:rsid w:val="00C84524"/>
    <w:rsid w:val="00C849A8"/>
    <w:rsid w:val="00C84B23"/>
    <w:rsid w:val="00C84D24"/>
    <w:rsid w:val="00C84EF2"/>
    <w:rsid w:val="00C84F4C"/>
    <w:rsid w:val="00C8533E"/>
    <w:rsid w:val="00C854A3"/>
    <w:rsid w:val="00C85513"/>
    <w:rsid w:val="00C856F4"/>
    <w:rsid w:val="00C85890"/>
    <w:rsid w:val="00C858C6"/>
    <w:rsid w:val="00C85A06"/>
    <w:rsid w:val="00C86154"/>
    <w:rsid w:val="00C86160"/>
    <w:rsid w:val="00C8622B"/>
    <w:rsid w:val="00C86490"/>
    <w:rsid w:val="00C86616"/>
    <w:rsid w:val="00C86ADE"/>
    <w:rsid w:val="00C86FA2"/>
    <w:rsid w:val="00C871F7"/>
    <w:rsid w:val="00C8750A"/>
    <w:rsid w:val="00C8784C"/>
    <w:rsid w:val="00C87BC3"/>
    <w:rsid w:val="00C87BDE"/>
    <w:rsid w:val="00C87CB3"/>
    <w:rsid w:val="00C87D93"/>
    <w:rsid w:val="00C8FD23"/>
    <w:rsid w:val="00C90271"/>
    <w:rsid w:val="00C902B4"/>
    <w:rsid w:val="00C90AA2"/>
    <w:rsid w:val="00C90AFB"/>
    <w:rsid w:val="00C90B00"/>
    <w:rsid w:val="00C90C0E"/>
    <w:rsid w:val="00C90D34"/>
    <w:rsid w:val="00C910DF"/>
    <w:rsid w:val="00C91486"/>
    <w:rsid w:val="00C91743"/>
    <w:rsid w:val="00C918E1"/>
    <w:rsid w:val="00C91AF6"/>
    <w:rsid w:val="00C91D1E"/>
    <w:rsid w:val="00C92281"/>
    <w:rsid w:val="00C9253B"/>
    <w:rsid w:val="00C92FDC"/>
    <w:rsid w:val="00C93049"/>
    <w:rsid w:val="00C93052"/>
    <w:rsid w:val="00C93463"/>
    <w:rsid w:val="00C937DE"/>
    <w:rsid w:val="00C939AF"/>
    <w:rsid w:val="00C93FA6"/>
    <w:rsid w:val="00C93FBF"/>
    <w:rsid w:val="00C940C4"/>
    <w:rsid w:val="00C94175"/>
    <w:rsid w:val="00C941C5"/>
    <w:rsid w:val="00C941FE"/>
    <w:rsid w:val="00C94397"/>
    <w:rsid w:val="00C943D7"/>
    <w:rsid w:val="00C945FB"/>
    <w:rsid w:val="00C9491D"/>
    <w:rsid w:val="00C9501D"/>
    <w:rsid w:val="00C953CF"/>
    <w:rsid w:val="00C956C6"/>
    <w:rsid w:val="00C95954"/>
    <w:rsid w:val="00C95C06"/>
    <w:rsid w:val="00C95F6A"/>
    <w:rsid w:val="00C962C6"/>
    <w:rsid w:val="00C9703D"/>
    <w:rsid w:val="00C97073"/>
    <w:rsid w:val="00C97119"/>
    <w:rsid w:val="00C97285"/>
    <w:rsid w:val="00C97495"/>
    <w:rsid w:val="00C976E2"/>
    <w:rsid w:val="00C9787E"/>
    <w:rsid w:val="00C97944"/>
    <w:rsid w:val="00C979D9"/>
    <w:rsid w:val="00C97ADD"/>
    <w:rsid w:val="00C97B4F"/>
    <w:rsid w:val="00C97D8B"/>
    <w:rsid w:val="00CA00C8"/>
    <w:rsid w:val="00CA03F7"/>
    <w:rsid w:val="00CA04A8"/>
    <w:rsid w:val="00CA07A0"/>
    <w:rsid w:val="00CA089A"/>
    <w:rsid w:val="00CA0E59"/>
    <w:rsid w:val="00CA1341"/>
    <w:rsid w:val="00CA151D"/>
    <w:rsid w:val="00CA1541"/>
    <w:rsid w:val="00CA15FA"/>
    <w:rsid w:val="00CA15FB"/>
    <w:rsid w:val="00CA176A"/>
    <w:rsid w:val="00CA1822"/>
    <w:rsid w:val="00CA1DE5"/>
    <w:rsid w:val="00CA1E48"/>
    <w:rsid w:val="00CA1E8C"/>
    <w:rsid w:val="00CA1F64"/>
    <w:rsid w:val="00CA225B"/>
    <w:rsid w:val="00CA2498"/>
    <w:rsid w:val="00CA27F1"/>
    <w:rsid w:val="00CA2D33"/>
    <w:rsid w:val="00CA2E21"/>
    <w:rsid w:val="00CA2E85"/>
    <w:rsid w:val="00CA2EA5"/>
    <w:rsid w:val="00CA3128"/>
    <w:rsid w:val="00CA331B"/>
    <w:rsid w:val="00CA3473"/>
    <w:rsid w:val="00CA3763"/>
    <w:rsid w:val="00CA39C7"/>
    <w:rsid w:val="00CA3EB9"/>
    <w:rsid w:val="00CA3F7B"/>
    <w:rsid w:val="00CA3FBF"/>
    <w:rsid w:val="00CA4309"/>
    <w:rsid w:val="00CA4360"/>
    <w:rsid w:val="00CA4452"/>
    <w:rsid w:val="00CA4C15"/>
    <w:rsid w:val="00CA4C47"/>
    <w:rsid w:val="00CA4D0E"/>
    <w:rsid w:val="00CA4D17"/>
    <w:rsid w:val="00CA5310"/>
    <w:rsid w:val="00CA577C"/>
    <w:rsid w:val="00CA59D1"/>
    <w:rsid w:val="00CA5B37"/>
    <w:rsid w:val="00CA5BE6"/>
    <w:rsid w:val="00CA5F3B"/>
    <w:rsid w:val="00CA5F9E"/>
    <w:rsid w:val="00CA5FE0"/>
    <w:rsid w:val="00CA6332"/>
    <w:rsid w:val="00CA6BDE"/>
    <w:rsid w:val="00CA6D0C"/>
    <w:rsid w:val="00CA7053"/>
    <w:rsid w:val="00CA7188"/>
    <w:rsid w:val="00CA735A"/>
    <w:rsid w:val="00CA75DD"/>
    <w:rsid w:val="00CA76B3"/>
    <w:rsid w:val="00CA77E0"/>
    <w:rsid w:val="00CA78F8"/>
    <w:rsid w:val="00CA7D23"/>
    <w:rsid w:val="00CA7DB0"/>
    <w:rsid w:val="00CA7E28"/>
    <w:rsid w:val="00CA7F8A"/>
    <w:rsid w:val="00CB0249"/>
    <w:rsid w:val="00CB04E7"/>
    <w:rsid w:val="00CB0519"/>
    <w:rsid w:val="00CB0763"/>
    <w:rsid w:val="00CB07EA"/>
    <w:rsid w:val="00CB086B"/>
    <w:rsid w:val="00CB0C08"/>
    <w:rsid w:val="00CB0C6F"/>
    <w:rsid w:val="00CB0C7A"/>
    <w:rsid w:val="00CB0EF0"/>
    <w:rsid w:val="00CB10B6"/>
    <w:rsid w:val="00CB14AB"/>
    <w:rsid w:val="00CB1643"/>
    <w:rsid w:val="00CB18F4"/>
    <w:rsid w:val="00CB1B4E"/>
    <w:rsid w:val="00CB1F94"/>
    <w:rsid w:val="00CB264B"/>
    <w:rsid w:val="00CB2BA4"/>
    <w:rsid w:val="00CB2DB2"/>
    <w:rsid w:val="00CB3735"/>
    <w:rsid w:val="00CB3904"/>
    <w:rsid w:val="00CB3D28"/>
    <w:rsid w:val="00CB3D61"/>
    <w:rsid w:val="00CB3E16"/>
    <w:rsid w:val="00CB3E2F"/>
    <w:rsid w:val="00CB3ED9"/>
    <w:rsid w:val="00CB3F61"/>
    <w:rsid w:val="00CB3F84"/>
    <w:rsid w:val="00CB421D"/>
    <w:rsid w:val="00CB445A"/>
    <w:rsid w:val="00CB44C4"/>
    <w:rsid w:val="00CB4610"/>
    <w:rsid w:val="00CB4804"/>
    <w:rsid w:val="00CB4941"/>
    <w:rsid w:val="00CB494D"/>
    <w:rsid w:val="00CB4968"/>
    <w:rsid w:val="00CB4EC2"/>
    <w:rsid w:val="00CB570B"/>
    <w:rsid w:val="00CB5949"/>
    <w:rsid w:val="00CB5DC9"/>
    <w:rsid w:val="00CB61D4"/>
    <w:rsid w:val="00CB6539"/>
    <w:rsid w:val="00CB6924"/>
    <w:rsid w:val="00CB6A2E"/>
    <w:rsid w:val="00CB6B24"/>
    <w:rsid w:val="00CB6C97"/>
    <w:rsid w:val="00CB6D4F"/>
    <w:rsid w:val="00CB70BC"/>
    <w:rsid w:val="00CB743E"/>
    <w:rsid w:val="00CB75D1"/>
    <w:rsid w:val="00CB7959"/>
    <w:rsid w:val="00CB7CFF"/>
    <w:rsid w:val="00CB7F81"/>
    <w:rsid w:val="00CB7FA8"/>
    <w:rsid w:val="00CC03B2"/>
    <w:rsid w:val="00CC04C7"/>
    <w:rsid w:val="00CC081B"/>
    <w:rsid w:val="00CC0B69"/>
    <w:rsid w:val="00CC0E98"/>
    <w:rsid w:val="00CC114C"/>
    <w:rsid w:val="00CC1644"/>
    <w:rsid w:val="00CC178E"/>
    <w:rsid w:val="00CC1AE7"/>
    <w:rsid w:val="00CC1BB0"/>
    <w:rsid w:val="00CC1C94"/>
    <w:rsid w:val="00CC1E00"/>
    <w:rsid w:val="00CC1EEB"/>
    <w:rsid w:val="00CC1F34"/>
    <w:rsid w:val="00CC1FD4"/>
    <w:rsid w:val="00CC2468"/>
    <w:rsid w:val="00CC2637"/>
    <w:rsid w:val="00CC2B53"/>
    <w:rsid w:val="00CC2BF1"/>
    <w:rsid w:val="00CC2C6C"/>
    <w:rsid w:val="00CC2FCC"/>
    <w:rsid w:val="00CC311C"/>
    <w:rsid w:val="00CC3344"/>
    <w:rsid w:val="00CC3881"/>
    <w:rsid w:val="00CC39C8"/>
    <w:rsid w:val="00CC3C6E"/>
    <w:rsid w:val="00CC3FC3"/>
    <w:rsid w:val="00CC405F"/>
    <w:rsid w:val="00CC406D"/>
    <w:rsid w:val="00CC418E"/>
    <w:rsid w:val="00CC4240"/>
    <w:rsid w:val="00CC45E2"/>
    <w:rsid w:val="00CC46A6"/>
    <w:rsid w:val="00CC4893"/>
    <w:rsid w:val="00CC4C7A"/>
    <w:rsid w:val="00CC4CD1"/>
    <w:rsid w:val="00CC4E4A"/>
    <w:rsid w:val="00CC4F84"/>
    <w:rsid w:val="00CC52E0"/>
    <w:rsid w:val="00CC5359"/>
    <w:rsid w:val="00CC5514"/>
    <w:rsid w:val="00CC5909"/>
    <w:rsid w:val="00CC5956"/>
    <w:rsid w:val="00CC59A1"/>
    <w:rsid w:val="00CC5B80"/>
    <w:rsid w:val="00CC5E39"/>
    <w:rsid w:val="00CC6030"/>
    <w:rsid w:val="00CC61C4"/>
    <w:rsid w:val="00CC6245"/>
    <w:rsid w:val="00CC6377"/>
    <w:rsid w:val="00CC6441"/>
    <w:rsid w:val="00CC6598"/>
    <w:rsid w:val="00CC6635"/>
    <w:rsid w:val="00CC6D54"/>
    <w:rsid w:val="00CC6FF9"/>
    <w:rsid w:val="00CC72B6"/>
    <w:rsid w:val="00CC73DB"/>
    <w:rsid w:val="00CC7A09"/>
    <w:rsid w:val="00CD08E4"/>
    <w:rsid w:val="00CD0A66"/>
    <w:rsid w:val="00CD0B36"/>
    <w:rsid w:val="00CD0C32"/>
    <w:rsid w:val="00CD0DC9"/>
    <w:rsid w:val="00CD0E13"/>
    <w:rsid w:val="00CD0F13"/>
    <w:rsid w:val="00CD1103"/>
    <w:rsid w:val="00CD115F"/>
    <w:rsid w:val="00CD1624"/>
    <w:rsid w:val="00CD16D5"/>
    <w:rsid w:val="00CD1AD3"/>
    <w:rsid w:val="00CD1EA3"/>
    <w:rsid w:val="00CD2203"/>
    <w:rsid w:val="00CD2321"/>
    <w:rsid w:val="00CD2543"/>
    <w:rsid w:val="00CD2640"/>
    <w:rsid w:val="00CD27D7"/>
    <w:rsid w:val="00CD2C93"/>
    <w:rsid w:val="00CD3085"/>
    <w:rsid w:val="00CD310A"/>
    <w:rsid w:val="00CD3474"/>
    <w:rsid w:val="00CD3890"/>
    <w:rsid w:val="00CD4009"/>
    <w:rsid w:val="00CD49F6"/>
    <w:rsid w:val="00CD4CF0"/>
    <w:rsid w:val="00CD4FF3"/>
    <w:rsid w:val="00CD501F"/>
    <w:rsid w:val="00CD51BD"/>
    <w:rsid w:val="00CD52D2"/>
    <w:rsid w:val="00CD5318"/>
    <w:rsid w:val="00CD5367"/>
    <w:rsid w:val="00CD553D"/>
    <w:rsid w:val="00CD5CC3"/>
    <w:rsid w:val="00CD5CEA"/>
    <w:rsid w:val="00CD5DD0"/>
    <w:rsid w:val="00CD5E89"/>
    <w:rsid w:val="00CD5F60"/>
    <w:rsid w:val="00CD5FBE"/>
    <w:rsid w:val="00CD607E"/>
    <w:rsid w:val="00CD67AB"/>
    <w:rsid w:val="00CD67B9"/>
    <w:rsid w:val="00CD69DC"/>
    <w:rsid w:val="00CD6B12"/>
    <w:rsid w:val="00CD6CD4"/>
    <w:rsid w:val="00CD6D58"/>
    <w:rsid w:val="00CD72B5"/>
    <w:rsid w:val="00CD738E"/>
    <w:rsid w:val="00CD7778"/>
    <w:rsid w:val="00CD779B"/>
    <w:rsid w:val="00CD78E9"/>
    <w:rsid w:val="00CD7A56"/>
    <w:rsid w:val="00CD7B84"/>
    <w:rsid w:val="00CE040D"/>
    <w:rsid w:val="00CE0471"/>
    <w:rsid w:val="00CE0589"/>
    <w:rsid w:val="00CE0A8A"/>
    <w:rsid w:val="00CE0B50"/>
    <w:rsid w:val="00CE0B9F"/>
    <w:rsid w:val="00CE0C78"/>
    <w:rsid w:val="00CE0E7C"/>
    <w:rsid w:val="00CE137F"/>
    <w:rsid w:val="00CE188B"/>
    <w:rsid w:val="00CE19B7"/>
    <w:rsid w:val="00CE1FB9"/>
    <w:rsid w:val="00CE2036"/>
    <w:rsid w:val="00CE2059"/>
    <w:rsid w:val="00CE22E8"/>
    <w:rsid w:val="00CE2331"/>
    <w:rsid w:val="00CE236A"/>
    <w:rsid w:val="00CE248C"/>
    <w:rsid w:val="00CE24C5"/>
    <w:rsid w:val="00CE262D"/>
    <w:rsid w:val="00CE272D"/>
    <w:rsid w:val="00CE2812"/>
    <w:rsid w:val="00CE2BB8"/>
    <w:rsid w:val="00CE2C20"/>
    <w:rsid w:val="00CE32E4"/>
    <w:rsid w:val="00CE3389"/>
    <w:rsid w:val="00CE364F"/>
    <w:rsid w:val="00CE3859"/>
    <w:rsid w:val="00CE3C87"/>
    <w:rsid w:val="00CE3E75"/>
    <w:rsid w:val="00CE41E1"/>
    <w:rsid w:val="00CE42A5"/>
    <w:rsid w:val="00CE449C"/>
    <w:rsid w:val="00CE462A"/>
    <w:rsid w:val="00CE470C"/>
    <w:rsid w:val="00CE48C4"/>
    <w:rsid w:val="00CE4E96"/>
    <w:rsid w:val="00CE576C"/>
    <w:rsid w:val="00CE5C7E"/>
    <w:rsid w:val="00CE5D0E"/>
    <w:rsid w:val="00CE64C9"/>
    <w:rsid w:val="00CE6B82"/>
    <w:rsid w:val="00CE6D40"/>
    <w:rsid w:val="00CE6FEC"/>
    <w:rsid w:val="00CE70A6"/>
    <w:rsid w:val="00CE717D"/>
    <w:rsid w:val="00CE72F8"/>
    <w:rsid w:val="00CE7435"/>
    <w:rsid w:val="00CE75B0"/>
    <w:rsid w:val="00CE779B"/>
    <w:rsid w:val="00CE7AB0"/>
    <w:rsid w:val="00CE7C73"/>
    <w:rsid w:val="00CE7D47"/>
    <w:rsid w:val="00CE7E9E"/>
    <w:rsid w:val="00CF011E"/>
    <w:rsid w:val="00CF05B2"/>
    <w:rsid w:val="00CF0684"/>
    <w:rsid w:val="00CF07DD"/>
    <w:rsid w:val="00CF0884"/>
    <w:rsid w:val="00CF0A3D"/>
    <w:rsid w:val="00CF0D71"/>
    <w:rsid w:val="00CF0F52"/>
    <w:rsid w:val="00CF1171"/>
    <w:rsid w:val="00CF11BC"/>
    <w:rsid w:val="00CF156E"/>
    <w:rsid w:val="00CF1DD4"/>
    <w:rsid w:val="00CF20B3"/>
    <w:rsid w:val="00CF23A1"/>
    <w:rsid w:val="00CF23AC"/>
    <w:rsid w:val="00CF2729"/>
    <w:rsid w:val="00CF275B"/>
    <w:rsid w:val="00CF2BF2"/>
    <w:rsid w:val="00CF31A1"/>
    <w:rsid w:val="00CF33DC"/>
    <w:rsid w:val="00CF3642"/>
    <w:rsid w:val="00CF3C02"/>
    <w:rsid w:val="00CF3C20"/>
    <w:rsid w:val="00CF3CFF"/>
    <w:rsid w:val="00CF3DAD"/>
    <w:rsid w:val="00CF3DB7"/>
    <w:rsid w:val="00CF3E61"/>
    <w:rsid w:val="00CF3EEC"/>
    <w:rsid w:val="00CF3F4C"/>
    <w:rsid w:val="00CF3F80"/>
    <w:rsid w:val="00CF40E4"/>
    <w:rsid w:val="00CF411B"/>
    <w:rsid w:val="00CF4210"/>
    <w:rsid w:val="00CF4590"/>
    <w:rsid w:val="00CF47C5"/>
    <w:rsid w:val="00CF4904"/>
    <w:rsid w:val="00CF49BE"/>
    <w:rsid w:val="00CF4D72"/>
    <w:rsid w:val="00CF4EE0"/>
    <w:rsid w:val="00CF5331"/>
    <w:rsid w:val="00CF58BE"/>
    <w:rsid w:val="00CF5B3F"/>
    <w:rsid w:val="00CF5CA2"/>
    <w:rsid w:val="00CF60AA"/>
    <w:rsid w:val="00CF62DF"/>
    <w:rsid w:val="00CF6605"/>
    <w:rsid w:val="00CF71AE"/>
    <w:rsid w:val="00CF78FD"/>
    <w:rsid w:val="00CF7B7A"/>
    <w:rsid w:val="00CF7C3C"/>
    <w:rsid w:val="00CF7C4B"/>
    <w:rsid w:val="00CF7CA1"/>
    <w:rsid w:val="00CF7E01"/>
    <w:rsid w:val="00CF7E35"/>
    <w:rsid w:val="00D00239"/>
    <w:rsid w:val="00D0062D"/>
    <w:rsid w:val="00D006ED"/>
    <w:rsid w:val="00D00A0C"/>
    <w:rsid w:val="00D00DED"/>
    <w:rsid w:val="00D01236"/>
    <w:rsid w:val="00D0133F"/>
    <w:rsid w:val="00D0191D"/>
    <w:rsid w:val="00D01B97"/>
    <w:rsid w:val="00D01F1B"/>
    <w:rsid w:val="00D028A2"/>
    <w:rsid w:val="00D03006"/>
    <w:rsid w:val="00D03039"/>
    <w:rsid w:val="00D030B4"/>
    <w:rsid w:val="00D03111"/>
    <w:rsid w:val="00D0320C"/>
    <w:rsid w:val="00D0390A"/>
    <w:rsid w:val="00D03911"/>
    <w:rsid w:val="00D03A90"/>
    <w:rsid w:val="00D03F68"/>
    <w:rsid w:val="00D041D6"/>
    <w:rsid w:val="00D044AB"/>
    <w:rsid w:val="00D046CD"/>
    <w:rsid w:val="00D04915"/>
    <w:rsid w:val="00D050B5"/>
    <w:rsid w:val="00D051E2"/>
    <w:rsid w:val="00D0577B"/>
    <w:rsid w:val="00D05DDF"/>
    <w:rsid w:val="00D061D5"/>
    <w:rsid w:val="00D062E2"/>
    <w:rsid w:val="00D062FD"/>
    <w:rsid w:val="00D064CA"/>
    <w:rsid w:val="00D07090"/>
    <w:rsid w:val="00D07361"/>
    <w:rsid w:val="00D07549"/>
    <w:rsid w:val="00D0798E"/>
    <w:rsid w:val="00D07DBF"/>
    <w:rsid w:val="00D07DDD"/>
    <w:rsid w:val="00D1014F"/>
    <w:rsid w:val="00D101BA"/>
    <w:rsid w:val="00D101C6"/>
    <w:rsid w:val="00D1135E"/>
    <w:rsid w:val="00D11752"/>
    <w:rsid w:val="00D118A6"/>
    <w:rsid w:val="00D12200"/>
    <w:rsid w:val="00D123CF"/>
    <w:rsid w:val="00D127EF"/>
    <w:rsid w:val="00D128E9"/>
    <w:rsid w:val="00D12FB8"/>
    <w:rsid w:val="00D1309F"/>
    <w:rsid w:val="00D136A6"/>
    <w:rsid w:val="00D137F0"/>
    <w:rsid w:val="00D13BCA"/>
    <w:rsid w:val="00D13ED7"/>
    <w:rsid w:val="00D142AE"/>
    <w:rsid w:val="00D14796"/>
    <w:rsid w:val="00D14918"/>
    <w:rsid w:val="00D14F45"/>
    <w:rsid w:val="00D1520C"/>
    <w:rsid w:val="00D156BF"/>
    <w:rsid w:val="00D1579A"/>
    <w:rsid w:val="00D158FD"/>
    <w:rsid w:val="00D15D5B"/>
    <w:rsid w:val="00D15E11"/>
    <w:rsid w:val="00D15F1B"/>
    <w:rsid w:val="00D15FFD"/>
    <w:rsid w:val="00D16264"/>
    <w:rsid w:val="00D16486"/>
    <w:rsid w:val="00D1658E"/>
    <w:rsid w:val="00D16BA8"/>
    <w:rsid w:val="00D17279"/>
    <w:rsid w:val="00D17445"/>
    <w:rsid w:val="00D1798D"/>
    <w:rsid w:val="00D17AAA"/>
    <w:rsid w:val="00D17BA9"/>
    <w:rsid w:val="00D17C91"/>
    <w:rsid w:val="00D17CE9"/>
    <w:rsid w:val="00D17D41"/>
    <w:rsid w:val="00D17E58"/>
    <w:rsid w:val="00D17FBC"/>
    <w:rsid w:val="00D2002E"/>
    <w:rsid w:val="00D200D4"/>
    <w:rsid w:val="00D20889"/>
    <w:rsid w:val="00D20A09"/>
    <w:rsid w:val="00D20DAC"/>
    <w:rsid w:val="00D20DB4"/>
    <w:rsid w:val="00D20FFB"/>
    <w:rsid w:val="00D210B5"/>
    <w:rsid w:val="00D21274"/>
    <w:rsid w:val="00D21477"/>
    <w:rsid w:val="00D214FA"/>
    <w:rsid w:val="00D21753"/>
    <w:rsid w:val="00D21920"/>
    <w:rsid w:val="00D2192F"/>
    <w:rsid w:val="00D219EA"/>
    <w:rsid w:val="00D21B01"/>
    <w:rsid w:val="00D21E93"/>
    <w:rsid w:val="00D21F56"/>
    <w:rsid w:val="00D21F97"/>
    <w:rsid w:val="00D221CB"/>
    <w:rsid w:val="00D221CC"/>
    <w:rsid w:val="00D224DF"/>
    <w:rsid w:val="00D225D4"/>
    <w:rsid w:val="00D2284A"/>
    <w:rsid w:val="00D22A57"/>
    <w:rsid w:val="00D22C83"/>
    <w:rsid w:val="00D22EA6"/>
    <w:rsid w:val="00D22F32"/>
    <w:rsid w:val="00D230D0"/>
    <w:rsid w:val="00D2335A"/>
    <w:rsid w:val="00D23503"/>
    <w:rsid w:val="00D23515"/>
    <w:rsid w:val="00D23E7B"/>
    <w:rsid w:val="00D23F24"/>
    <w:rsid w:val="00D2407B"/>
    <w:rsid w:val="00D240A5"/>
    <w:rsid w:val="00D24494"/>
    <w:rsid w:val="00D24635"/>
    <w:rsid w:val="00D24706"/>
    <w:rsid w:val="00D2470A"/>
    <w:rsid w:val="00D247B2"/>
    <w:rsid w:val="00D247CD"/>
    <w:rsid w:val="00D249EB"/>
    <w:rsid w:val="00D24EC2"/>
    <w:rsid w:val="00D24F08"/>
    <w:rsid w:val="00D24F4A"/>
    <w:rsid w:val="00D25553"/>
    <w:rsid w:val="00D25D46"/>
    <w:rsid w:val="00D25F90"/>
    <w:rsid w:val="00D26074"/>
    <w:rsid w:val="00D260C5"/>
    <w:rsid w:val="00D2740F"/>
    <w:rsid w:val="00D277C9"/>
    <w:rsid w:val="00D27940"/>
    <w:rsid w:val="00D30149"/>
    <w:rsid w:val="00D303A4"/>
    <w:rsid w:val="00D303ED"/>
    <w:rsid w:val="00D30470"/>
    <w:rsid w:val="00D3076A"/>
    <w:rsid w:val="00D30B96"/>
    <w:rsid w:val="00D31184"/>
    <w:rsid w:val="00D3150B"/>
    <w:rsid w:val="00D3165D"/>
    <w:rsid w:val="00D317A7"/>
    <w:rsid w:val="00D3191E"/>
    <w:rsid w:val="00D31F4A"/>
    <w:rsid w:val="00D32247"/>
    <w:rsid w:val="00D324DF"/>
    <w:rsid w:val="00D32620"/>
    <w:rsid w:val="00D3275A"/>
    <w:rsid w:val="00D32939"/>
    <w:rsid w:val="00D32C5C"/>
    <w:rsid w:val="00D32F3B"/>
    <w:rsid w:val="00D32FE8"/>
    <w:rsid w:val="00D331C3"/>
    <w:rsid w:val="00D3325E"/>
    <w:rsid w:val="00D333E7"/>
    <w:rsid w:val="00D338B8"/>
    <w:rsid w:val="00D33AB8"/>
    <w:rsid w:val="00D33BE1"/>
    <w:rsid w:val="00D33DB8"/>
    <w:rsid w:val="00D33E84"/>
    <w:rsid w:val="00D3432F"/>
    <w:rsid w:val="00D34540"/>
    <w:rsid w:val="00D34C11"/>
    <w:rsid w:val="00D3520B"/>
    <w:rsid w:val="00D35472"/>
    <w:rsid w:val="00D35645"/>
    <w:rsid w:val="00D35753"/>
    <w:rsid w:val="00D359F9"/>
    <w:rsid w:val="00D35A19"/>
    <w:rsid w:val="00D35DB1"/>
    <w:rsid w:val="00D35E62"/>
    <w:rsid w:val="00D362D5"/>
    <w:rsid w:val="00D36307"/>
    <w:rsid w:val="00D365C8"/>
    <w:rsid w:val="00D371CA"/>
    <w:rsid w:val="00D37B7B"/>
    <w:rsid w:val="00D37B9C"/>
    <w:rsid w:val="00D37BEF"/>
    <w:rsid w:val="00D37BF8"/>
    <w:rsid w:val="00D37E71"/>
    <w:rsid w:val="00D37EE2"/>
    <w:rsid w:val="00D37FC1"/>
    <w:rsid w:val="00D404B6"/>
    <w:rsid w:val="00D40676"/>
    <w:rsid w:val="00D40AD9"/>
    <w:rsid w:val="00D40C6E"/>
    <w:rsid w:val="00D40C9D"/>
    <w:rsid w:val="00D40CA8"/>
    <w:rsid w:val="00D40F79"/>
    <w:rsid w:val="00D4115E"/>
    <w:rsid w:val="00D417FF"/>
    <w:rsid w:val="00D41A8B"/>
    <w:rsid w:val="00D41C08"/>
    <w:rsid w:val="00D41C38"/>
    <w:rsid w:val="00D42563"/>
    <w:rsid w:val="00D427C4"/>
    <w:rsid w:val="00D428C0"/>
    <w:rsid w:val="00D42B09"/>
    <w:rsid w:val="00D42CD5"/>
    <w:rsid w:val="00D42D05"/>
    <w:rsid w:val="00D42DAE"/>
    <w:rsid w:val="00D43511"/>
    <w:rsid w:val="00D43958"/>
    <w:rsid w:val="00D43A5F"/>
    <w:rsid w:val="00D43E66"/>
    <w:rsid w:val="00D43EC7"/>
    <w:rsid w:val="00D441BD"/>
    <w:rsid w:val="00D444C8"/>
    <w:rsid w:val="00D44791"/>
    <w:rsid w:val="00D4481A"/>
    <w:rsid w:val="00D44D57"/>
    <w:rsid w:val="00D44EDD"/>
    <w:rsid w:val="00D44F16"/>
    <w:rsid w:val="00D44F94"/>
    <w:rsid w:val="00D451DC"/>
    <w:rsid w:val="00D451F7"/>
    <w:rsid w:val="00D453B2"/>
    <w:rsid w:val="00D45652"/>
    <w:rsid w:val="00D45659"/>
    <w:rsid w:val="00D45754"/>
    <w:rsid w:val="00D45B9E"/>
    <w:rsid w:val="00D45E18"/>
    <w:rsid w:val="00D45E30"/>
    <w:rsid w:val="00D45F3B"/>
    <w:rsid w:val="00D45FDA"/>
    <w:rsid w:val="00D46040"/>
    <w:rsid w:val="00D460A6"/>
    <w:rsid w:val="00D462BE"/>
    <w:rsid w:val="00D46401"/>
    <w:rsid w:val="00D4641C"/>
    <w:rsid w:val="00D4665D"/>
    <w:rsid w:val="00D46CEC"/>
    <w:rsid w:val="00D47133"/>
    <w:rsid w:val="00D471CB"/>
    <w:rsid w:val="00D474D8"/>
    <w:rsid w:val="00D476C3"/>
    <w:rsid w:val="00D47E8F"/>
    <w:rsid w:val="00D47F0B"/>
    <w:rsid w:val="00D5025B"/>
    <w:rsid w:val="00D5086A"/>
    <w:rsid w:val="00D508F0"/>
    <w:rsid w:val="00D50B6C"/>
    <w:rsid w:val="00D50C5D"/>
    <w:rsid w:val="00D50D81"/>
    <w:rsid w:val="00D50F92"/>
    <w:rsid w:val="00D512A5"/>
    <w:rsid w:val="00D51497"/>
    <w:rsid w:val="00D514A4"/>
    <w:rsid w:val="00D514B4"/>
    <w:rsid w:val="00D5165D"/>
    <w:rsid w:val="00D51A65"/>
    <w:rsid w:val="00D51CF0"/>
    <w:rsid w:val="00D52674"/>
    <w:rsid w:val="00D527C0"/>
    <w:rsid w:val="00D527DC"/>
    <w:rsid w:val="00D528BB"/>
    <w:rsid w:val="00D5342E"/>
    <w:rsid w:val="00D5344A"/>
    <w:rsid w:val="00D53727"/>
    <w:rsid w:val="00D5372D"/>
    <w:rsid w:val="00D5392C"/>
    <w:rsid w:val="00D53B83"/>
    <w:rsid w:val="00D53E12"/>
    <w:rsid w:val="00D53FC4"/>
    <w:rsid w:val="00D5403F"/>
    <w:rsid w:val="00D540A9"/>
    <w:rsid w:val="00D54DE7"/>
    <w:rsid w:val="00D5508C"/>
    <w:rsid w:val="00D55144"/>
    <w:rsid w:val="00D5547A"/>
    <w:rsid w:val="00D554F5"/>
    <w:rsid w:val="00D554F9"/>
    <w:rsid w:val="00D55572"/>
    <w:rsid w:val="00D55C61"/>
    <w:rsid w:val="00D55CDA"/>
    <w:rsid w:val="00D55DD1"/>
    <w:rsid w:val="00D560DB"/>
    <w:rsid w:val="00D561E3"/>
    <w:rsid w:val="00D56627"/>
    <w:rsid w:val="00D5690A"/>
    <w:rsid w:val="00D56D8C"/>
    <w:rsid w:val="00D57403"/>
    <w:rsid w:val="00D57436"/>
    <w:rsid w:val="00D5757C"/>
    <w:rsid w:val="00D576EC"/>
    <w:rsid w:val="00D577A8"/>
    <w:rsid w:val="00D57856"/>
    <w:rsid w:val="00D57C78"/>
    <w:rsid w:val="00D57D25"/>
    <w:rsid w:val="00D57FC2"/>
    <w:rsid w:val="00D6033B"/>
    <w:rsid w:val="00D60E54"/>
    <w:rsid w:val="00D60EDC"/>
    <w:rsid w:val="00D60F05"/>
    <w:rsid w:val="00D60F66"/>
    <w:rsid w:val="00D619AD"/>
    <w:rsid w:val="00D61DE7"/>
    <w:rsid w:val="00D620B5"/>
    <w:rsid w:val="00D623D0"/>
    <w:rsid w:val="00D62465"/>
    <w:rsid w:val="00D627D3"/>
    <w:rsid w:val="00D63021"/>
    <w:rsid w:val="00D63180"/>
    <w:rsid w:val="00D631E1"/>
    <w:rsid w:val="00D632E9"/>
    <w:rsid w:val="00D634ED"/>
    <w:rsid w:val="00D63865"/>
    <w:rsid w:val="00D63955"/>
    <w:rsid w:val="00D63BBC"/>
    <w:rsid w:val="00D63D7B"/>
    <w:rsid w:val="00D63DA1"/>
    <w:rsid w:val="00D64356"/>
    <w:rsid w:val="00D6438E"/>
    <w:rsid w:val="00D648A0"/>
    <w:rsid w:val="00D64981"/>
    <w:rsid w:val="00D64E81"/>
    <w:rsid w:val="00D64EB8"/>
    <w:rsid w:val="00D64FB0"/>
    <w:rsid w:val="00D64FD3"/>
    <w:rsid w:val="00D650ED"/>
    <w:rsid w:val="00D6521F"/>
    <w:rsid w:val="00D65262"/>
    <w:rsid w:val="00D65992"/>
    <w:rsid w:val="00D65CD7"/>
    <w:rsid w:val="00D65F58"/>
    <w:rsid w:val="00D66003"/>
    <w:rsid w:val="00D660B1"/>
    <w:rsid w:val="00D661C5"/>
    <w:rsid w:val="00D6662C"/>
    <w:rsid w:val="00D6671F"/>
    <w:rsid w:val="00D66B3A"/>
    <w:rsid w:val="00D66C2B"/>
    <w:rsid w:val="00D66E50"/>
    <w:rsid w:val="00D6771E"/>
    <w:rsid w:val="00D677C4"/>
    <w:rsid w:val="00D700A1"/>
    <w:rsid w:val="00D700C1"/>
    <w:rsid w:val="00D703C5"/>
    <w:rsid w:val="00D70687"/>
    <w:rsid w:val="00D7086E"/>
    <w:rsid w:val="00D70B32"/>
    <w:rsid w:val="00D71029"/>
    <w:rsid w:val="00D7106E"/>
    <w:rsid w:val="00D7126A"/>
    <w:rsid w:val="00D71424"/>
    <w:rsid w:val="00D71431"/>
    <w:rsid w:val="00D71802"/>
    <w:rsid w:val="00D71891"/>
    <w:rsid w:val="00D718A2"/>
    <w:rsid w:val="00D71EE7"/>
    <w:rsid w:val="00D72411"/>
    <w:rsid w:val="00D72589"/>
    <w:rsid w:val="00D727ED"/>
    <w:rsid w:val="00D729D4"/>
    <w:rsid w:val="00D72C84"/>
    <w:rsid w:val="00D73036"/>
    <w:rsid w:val="00D730B5"/>
    <w:rsid w:val="00D7326F"/>
    <w:rsid w:val="00D73491"/>
    <w:rsid w:val="00D7352B"/>
    <w:rsid w:val="00D737D6"/>
    <w:rsid w:val="00D73838"/>
    <w:rsid w:val="00D73A15"/>
    <w:rsid w:val="00D742A5"/>
    <w:rsid w:val="00D742D9"/>
    <w:rsid w:val="00D74448"/>
    <w:rsid w:val="00D74497"/>
    <w:rsid w:val="00D746B3"/>
    <w:rsid w:val="00D74706"/>
    <w:rsid w:val="00D74DBE"/>
    <w:rsid w:val="00D74E5B"/>
    <w:rsid w:val="00D75649"/>
    <w:rsid w:val="00D757FF"/>
    <w:rsid w:val="00D758C8"/>
    <w:rsid w:val="00D7598E"/>
    <w:rsid w:val="00D75A51"/>
    <w:rsid w:val="00D75D12"/>
    <w:rsid w:val="00D762D5"/>
    <w:rsid w:val="00D762DF"/>
    <w:rsid w:val="00D76364"/>
    <w:rsid w:val="00D766F0"/>
    <w:rsid w:val="00D76A56"/>
    <w:rsid w:val="00D76BFD"/>
    <w:rsid w:val="00D7710F"/>
    <w:rsid w:val="00D772F0"/>
    <w:rsid w:val="00D77383"/>
    <w:rsid w:val="00D77689"/>
    <w:rsid w:val="00D778E4"/>
    <w:rsid w:val="00D77926"/>
    <w:rsid w:val="00D77B8D"/>
    <w:rsid w:val="00D800CC"/>
    <w:rsid w:val="00D8033A"/>
    <w:rsid w:val="00D8044E"/>
    <w:rsid w:val="00D80B0D"/>
    <w:rsid w:val="00D80FEB"/>
    <w:rsid w:val="00D81189"/>
    <w:rsid w:val="00D8137D"/>
    <w:rsid w:val="00D81508"/>
    <w:rsid w:val="00D818AE"/>
    <w:rsid w:val="00D81AED"/>
    <w:rsid w:val="00D81FEA"/>
    <w:rsid w:val="00D82492"/>
    <w:rsid w:val="00D82567"/>
    <w:rsid w:val="00D827D3"/>
    <w:rsid w:val="00D828BF"/>
    <w:rsid w:val="00D829FC"/>
    <w:rsid w:val="00D82A7F"/>
    <w:rsid w:val="00D82FAC"/>
    <w:rsid w:val="00D83026"/>
    <w:rsid w:val="00D8307F"/>
    <w:rsid w:val="00D83273"/>
    <w:rsid w:val="00D83655"/>
    <w:rsid w:val="00D83B84"/>
    <w:rsid w:val="00D83D93"/>
    <w:rsid w:val="00D83F11"/>
    <w:rsid w:val="00D84082"/>
    <w:rsid w:val="00D8428C"/>
    <w:rsid w:val="00D845A7"/>
    <w:rsid w:val="00D84877"/>
    <w:rsid w:val="00D84A65"/>
    <w:rsid w:val="00D84B08"/>
    <w:rsid w:val="00D8510E"/>
    <w:rsid w:val="00D852DA"/>
    <w:rsid w:val="00D85359"/>
    <w:rsid w:val="00D85375"/>
    <w:rsid w:val="00D85416"/>
    <w:rsid w:val="00D85517"/>
    <w:rsid w:val="00D85600"/>
    <w:rsid w:val="00D8583C"/>
    <w:rsid w:val="00D85A13"/>
    <w:rsid w:val="00D85A6E"/>
    <w:rsid w:val="00D86028"/>
    <w:rsid w:val="00D8634E"/>
    <w:rsid w:val="00D863AE"/>
    <w:rsid w:val="00D86BFB"/>
    <w:rsid w:val="00D86C5E"/>
    <w:rsid w:val="00D86F63"/>
    <w:rsid w:val="00D870C6"/>
    <w:rsid w:val="00D87230"/>
    <w:rsid w:val="00D872FD"/>
    <w:rsid w:val="00D873C8"/>
    <w:rsid w:val="00D87998"/>
    <w:rsid w:val="00D87A0D"/>
    <w:rsid w:val="00D87ADC"/>
    <w:rsid w:val="00D87C0A"/>
    <w:rsid w:val="00D87E01"/>
    <w:rsid w:val="00D87FA4"/>
    <w:rsid w:val="00D9016C"/>
    <w:rsid w:val="00D9043D"/>
    <w:rsid w:val="00D9047B"/>
    <w:rsid w:val="00D90734"/>
    <w:rsid w:val="00D90AB6"/>
    <w:rsid w:val="00D90D7E"/>
    <w:rsid w:val="00D90EFD"/>
    <w:rsid w:val="00D91388"/>
    <w:rsid w:val="00D913BB"/>
    <w:rsid w:val="00D916F7"/>
    <w:rsid w:val="00D91D3E"/>
    <w:rsid w:val="00D91D88"/>
    <w:rsid w:val="00D91EF4"/>
    <w:rsid w:val="00D921DF"/>
    <w:rsid w:val="00D92206"/>
    <w:rsid w:val="00D92655"/>
    <w:rsid w:val="00D9291B"/>
    <w:rsid w:val="00D92D16"/>
    <w:rsid w:val="00D92D8F"/>
    <w:rsid w:val="00D92F36"/>
    <w:rsid w:val="00D9305C"/>
    <w:rsid w:val="00D932BE"/>
    <w:rsid w:val="00D93409"/>
    <w:rsid w:val="00D936C9"/>
    <w:rsid w:val="00D937DE"/>
    <w:rsid w:val="00D93DF8"/>
    <w:rsid w:val="00D93ED7"/>
    <w:rsid w:val="00D94065"/>
    <w:rsid w:val="00D9409B"/>
    <w:rsid w:val="00D945CF"/>
    <w:rsid w:val="00D946F6"/>
    <w:rsid w:val="00D9493D"/>
    <w:rsid w:val="00D94E86"/>
    <w:rsid w:val="00D952B9"/>
    <w:rsid w:val="00D9531C"/>
    <w:rsid w:val="00D9533B"/>
    <w:rsid w:val="00D9541D"/>
    <w:rsid w:val="00D95474"/>
    <w:rsid w:val="00D9566E"/>
    <w:rsid w:val="00D95915"/>
    <w:rsid w:val="00D95A41"/>
    <w:rsid w:val="00D96670"/>
    <w:rsid w:val="00D966A4"/>
    <w:rsid w:val="00D966C0"/>
    <w:rsid w:val="00D96BFC"/>
    <w:rsid w:val="00D97333"/>
    <w:rsid w:val="00D973DB"/>
    <w:rsid w:val="00D9740B"/>
    <w:rsid w:val="00D974AE"/>
    <w:rsid w:val="00D97530"/>
    <w:rsid w:val="00D975E8"/>
    <w:rsid w:val="00D97D79"/>
    <w:rsid w:val="00D97E47"/>
    <w:rsid w:val="00D97E86"/>
    <w:rsid w:val="00D97F7E"/>
    <w:rsid w:val="00DA01A0"/>
    <w:rsid w:val="00DA0394"/>
    <w:rsid w:val="00DA03AB"/>
    <w:rsid w:val="00DA0459"/>
    <w:rsid w:val="00DA0591"/>
    <w:rsid w:val="00DA05F5"/>
    <w:rsid w:val="00DA0688"/>
    <w:rsid w:val="00DA0984"/>
    <w:rsid w:val="00DA099F"/>
    <w:rsid w:val="00DA0DF8"/>
    <w:rsid w:val="00DA0F37"/>
    <w:rsid w:val="00DA11F3"/>
    <w:rsid w:val="00DA1580"/>
    <w:rsid w:val="00DA16BB"/>
    <w:rsid w:val="00DA1813"/>
    <w:rsid w:val="00DA1F88"/>
    <w:rsid w:val="00DA27B6"/>
    <w:rsid w:val="00DA2AE6"/>
    <w:rsid w:val="00DA2DDB"/>
    <w:rsid w:val="00DA3123"/>
    <w:rsid w:val="00DA366D"/>
    <w:rsid w:val="00DA3AEC"/>
    <w:rsid w:val="00DA3BE3"/>
    <w:rsid w:val="00DA3BF0"/>
    <w:rsid w:val="00DA3F18"/>
    <w:rsid w:val="00DA4093"/>
    <w:rsid w:val="00DA4361"/>
    <w:rsid w:val="00DA474B"/>
    <w:rsid w:val="00DA4837"/>
    <w:rsid w:val="00DA5006"/>
    <w:rsid w:val="00DA50EF"/>
    <w:rsid w:val="00DA535A"/>
    <w:rsid w:val="00DA56A0"/>
    <w:rsid w:val="00DA59AF"/>
    <w:rsid w:val="00DA5A8F"/>
    <w:rsid w:val="00DA5DCB"/>
    <w:rsid w:val="00DA5F2C"/>
    <w:rsid w:val="00DA600F"/>
    <w:rsid w:val="00DA6137"/>
    <w:rsid w:val="00DA6146"/>
    <w:rsid w:val="00DA681A"/>
    <w:rsid w:val="00DA6D9F"/>
    <w:rsid w:val="00DA6F5A"/>
    <w:rsid w:val="00DA7095"/>
    <w:rsid w:val="00DA7A94"/>
    <w:rsid w:val="00DA7FD8"/>
    <w:rsid w:val="00DB0024"/>
    <w:rsid w:val="00DB0282"/>
    <w:rsid w:val="00DB05AD"/>
    <w:rsid w:val="00DB0B23"/>
    <w:rsid w:val="00DB0E9C"/>
    <w:rsid w:val="00DB0F6C"/>
    <w:rsid w:val="00DB0FB4"/>
    <w:rsid w:val="00DB1135"/>
    <w:rsid w:val="00DB1A3B"/>
    <w:rsid w:val="00DB22CA"/>
    <w:rsid w:val="00DB26E5"/>
    <w:rsid w:val="00DB2935"/>
    <w:rsid w:val="00DB29C3"/>
    <w:rsid w:val="00DB2B06"/>
    <w:rsid w:val="00DB2F1E"/>
    <w:rsid w:val="00DB306C"/>
    <w:rsid w:val="00DB312D"/>
    <w:rsid w:val="00DB38A9"/>
    <w:rsid w:val="00DB3EAF"/>
    <w:rsid w:val="00DB4131"/>
    <w:rsid w:val="00DB4649"/>
    <w:rsid w:val="00DB4971"/>
    <w:rsid w:val="00DB4BD5"/>
    <w:rsid w:val="00DB4BEF"/>
    <w:rsid w:val="00DB4E93"/>
    <w:rsid w:val="00DB4ECE"/>
    <w:rsid w:val="00DB50E5"/>
    <w:rsid w:val="00DB51FA"/>
    <w:rsid w:val="00DB5869"/>
    <w:rsid w:val="00DB5FF9"/>
    <w:rsid w:val="00DB60CC"/>
    <w:rsid w:val="00DB642B"/>
    <w:rsid w:val="00DB65D5"/>
    <w:rsid w:val="00DB67DF"/>
    <w:rsid w:val="00DB6897"/>
    <w:rsid w:val="00DB6DC8"/>
    <w:rsid w:val="00DB6E68"/>
    <w:rsid w:val="00DB6F89"/>
    <w:rsid w:val="00DB6FF2"/>
    <w:rsid w:val="00DB71CD"/>
    <w:rsid w:val="00DB723C"/>
    <w:rsid w:val="00DB7862"/>
    <w:rsid w:val="00DC0537"/>
    <w:rsid w:val="00DC05A2"/>
    <w:rsid w:val="00DC06DA"/>
    <w:rsid w:val="00DC0855"/>
    <w:rsid w:val="00DC099B"/>
    <w:rsid w:val="00DC0A6D"/>
    <w:rsid w:val="00DC0B80"/>
    <w:rsid w:val="00DC14C3"/>
    <w:rsid w:val="00DC1F53"/>
    <w:rsid w:val="00DC1FE7"/>
    <w:rsid w:val="00DC2368"/>
    <w:rsid w:val="00DC2409"/>
    <w:rsid w:val="00DC296C"/>
    <w:rsid w:val="00DC2C79"/>
    <w:rsid w:val="00DC2CCA"/>
    <w:rsid w:val="00DC2CF1"/>
    <w:rsid w:val="00DC2E7B"/>
    <w:rsid w:val="00DC3139"/>
    <w:rsid w:val="00DC3257"/>
    <w:rsid w:val="00DC35EB"/>
    <w:rsid w:val="00DC37AC"/>
    <w:rsid w:val="00DC3B3E"/>
    <w:rsid w:val="00DC3D7A"/>
    <w:rsid w:val="00DC4068"/>
    <w:rsid w:val="00DC421E"/>
    <w:rsid w:val="00DC442A"/>
    <w:rsid w:val="00DC4656"/>
    <w:rsid w:val="00DC4851"/>
    <w:rsid w:val="00DC4BE8"/>
    <w:rsid w:val="00DC501C"/>
    <w:rsid w:val="00DC53E1"/>
    <w:rsid w:val="00DC5406"/>
    <w:rsid w:val="00DC54EC"/>
    <w:rsid w:val="00DC5B82"/>
    <w:rsid w:val="00DC60B2"/>
    <w:rsid w:val="00DC647F"/>
    <w:rsid w:val="00DC6737"/>
    <w:rsid w:val="00DC69AE"/>
    <w:rsid w:val="00DC6AAE"/>
    <w:rsid w:val="00DC6B1D"/>
    <w:rsid w:val="00DC6B5D"/>
    <w:rsid w:val="00DC6B6F"/>
    <w:rsid w:val="00DC6C6B"/>
    <w:rsid w:val="00DC71F4"/>
    <w:rsid w:val="00DC7416"/>
    <w:rsid w:val="00DC750D"/>
    <w:rsid w:val="00DC7715"/>
    <w:rsid w:val="00DC7953"/>
    <w:rsid w:val="00DD01BC"/>
    <w:rsid w:val="00DD0303"/>
    <w:rsid w:val="00DD03A5"/>
    <w:rsid w:val="00DD0627"/>
    <w:rsid w:val="00DD066A"/>
    <w:rsid w:val="00DD08C1"/>
    <w:rsid w:val="00DD0DAE"/>
    <w:rsid w:val="00DD0DB9"/>
    <w:rsid w:val="00DD0DD4"/>
    <w:rsid w:val="00DD114E"/>
    <w:rsid w:val="00DD1239"/>
    <w:rsid w:val="00DD140C"/>
    <w:rsid w:val="00DD191A"/>
    <w:rsid w:val="00DD1C78"/>
    <w:rsid w:val="00DD1DA6"/>
    <w:rsid w:val="00DD1E32"/>
    <w:rsid w:val="00DD1E4F"/>
    <w:rsid w:val="00DD1F62"/>
    <w:rsid w:val="00DD2092"/>
    <w:rsid w:val="00DD20A4"/>
    <w:rsid w:val="00DD2670"/>
    <w:rsid w:val="00DD26C7"/>
    <w:rsid w:val="00DD272A"/>
    <w:rsid w:val="00DD28FF"/>
    <w:rsid w:val="00DD2ACE"/>
    <w:rsid w:val="00DD2DC9"/>
    <w:rsid w:val="00DD2F95"/>
    <w:rsid w:val="00DD3445"/>
    <w:rsid w:val="00DD39A6"/>
    <w:rsid w:val="00DD3A28"/>
    <w:rsid w:val="00DD3AEE"/>
    <w:rsid w:val="00DD3BD9"/>
    <w:rsid w:val="00DD3C08"/>
    <w:rsid w:val="00DD3E92"/>
    <w:rsid w:val="00DD4097"/>
    <w:rsid w:val="00DD4284"/>
    <w:rsid w:val="00DD42CF"/>
    <w:rsid w:val="00DD4391"/>
    <w:rsid w:val="00DD480B"/>
    <w:rsid w:val="00DD4E2B"/>
    <w:rsid w:val="00DD5162"/>
    <w:rsid w:val="00DD5778"/>
    <w:rsid w:val="00DD5ADA"/>
    <w:rsid w:val="00DD5C80"/>
    <w:rsid w:val="00DD5FD0"/>
    <w:rsid w:val="00DD6045"/>
    <w:rsid w:val="00DD63FA"/>
    <w:rsid w:val="00DD6771"/>
    <w:rsid w:val="00DD684F"/>
    <w:rsid w:val="00DD690A"/>
    <w:rsid w:val="00DD6CF1"/>
    <w:rsid w:val="00DD6F1F"/>
    <w:rsid w:val="00DD74D4"/>
    <w:rsid w:val="00DD74FE"/>
    <w:rsid w:val="00DD75B3"/>
    <w:rsid w:val="00DD763F"/>
    <w:rsid w:val="00DD7707"/>
    <w:rsid w:val="00DD775C"/>
    <w:rsid w:val="00DD7B56"/>
    <w:rsid w:val="00DD7C1A"/>
    <w:rsid w:val="00DD7D63"/>
    <w:rsid w:val="00DE0023"/>
    <w:rsid w:val="00DE01D4"/>
    <w:rsid w:val="00DE079A"/>
    <w:rsid w:val="00DE08B4"/>
    <w:rsid w:val="00DE0C16"/>
    <w:rsid w:val="00DE1453"/>
    <w:rsid w:val="00DE15E9"/>
    <w:rsid w:val="00DE16DB"/>
    <w:rsid w:val="00DE1742"/>
    <w:rsid w:val="00DE1972"/>
    <w:rsid w:val="00DE1BF1"/>
    <w:rsid w:val="00DE1D18"/>
    <w:rsid w:val="00DE1D92"/>
    <w:rsid w:val="00DE1FD3"/>
    <w:rsid w:val="00DE22A5"/>
    <w:rsid w:val="00DE24B9"/>
    <w:rsid w:val="00DE28B7"/>
    <w:rsid w:val="00DE297E"/>
    <w:rsid w:val="00DE29B2"/>
    <w:rsid w:val="00DE30E1"/>
    <w:rsid w:val="00DE312E"/>
    <w:rsid w:val="00DE3215"/>
    <w:rsid w:val="00DE3367"/>
    <w:rsid w:val="00DE3582"/>
    <w:rsid w:val="00DE39F5"/>
    <w:rsid w:val="00DE3BC5"/>
    <w:rsid w:val="00DE3CB7"/>
    <w:rsid w:val="00DE4063"/>
    <w:rsid w:val="00DE4346"/>
    <w:rsid w:val="00DE4615"/>
    <w:rsid w:val="00DE4F5B"/>
    <w:rsid w:val="00DE5247"/>
    <w:rsid w:val="00DE5250"/>
    <w:rsid w:val="00DE5441"/>
    <w:rsid w:val="00DE5790"/>
    <w:rsid w:val="00DE5998"/>
    <w:rsid w:val="00DE5B83"/>
    <w:rsid w:val="00DE5BA2"/>
    <w:rsid w:val="00DE626B"/>
    <w:rsid w:val="00DE63A5"/>
    <w:rsid w:val="00DE6707"/>
    <w:rsid w:val="00DE670C"/>
    <w:rsid w:val="00DE671A"/>
    <w:rsid w:val="00DE6E2B"/>
    <w:rsid w:val="00DE6FB4"/>
    <w:rsid w:val="00DE744A"/>
    <w:rsid w:val="00DE7607"/>
    <w:rsid w:val="00DE79B7"/>
    <w:rsid w:val="00DE7DEC"/>
    <w:rsid w:val="00DF0711"/>
    <w:rsid w:val="00DF0773"/>
    <w:rsid w:val="00DF081A"/>
    <w:rsid w:val="00DF0DB8"/>
    <w:rsid w:val="00DF0FBA"/>
    <w:rsid w:val="00DF1D95"/>
    <w:rsid w:val="00DF1F57"/>
    <w:rsid w:val="00DF2602"/>
    <w:rsid w:val="00DF268A"/>
    <w:rsid w:val="00DF287B"/>
    <w:rsid w:val="00DF2B8C"/>
    <w:rsid w:val="00DF2BA8"/>
    <w:rsid w:val="00DF3117"/>
    <w:rsid w:val="00DF31B2"/>
    <w:rsid w:val="00DF3298"/>
    <w:rsid w:val="00DF36AF"/>
    <w:rsid w:val="00DF3995"/>
    <w:rsid w:val="00DF3C37"/>
    <w:rsid w:val="00DF4183"/>
    <w:rsid w:val="00DF4243"/>
    <w:rsid w:val="00DF4386"/>
    <w:rsid w:val="00DF4612"/>
    <w:rsid w:val="00DF46D8"/>
    <w:rsid w:val="00DF47ED"/>
    <w:rsid w:val="00DF4918"/>
    <w:rsid w:val="00DF50DB"/>
    <w:rsid w:val="00DF559E"/>
    <w:rsid w:val="00DF57C4"/>
    <w:rsid w:val="00DF5A7F"/>
    <w:rsid w:val="00DF5D69"/>
    <w:rsid w:val="00DF5D9B"/>
    <w:rsid w:val="00DF5DDB"/>
    <w:rsid w:val="00DF5EF3"/>
    <w:rsid w:val="00DF5F34"/>
    <w:rsid w:val="00DF61A7"/>
    <w:rsid w:val="00DF62BF"/>
    <w:rsid w:val="00DF662E"/>
    <w:rsid w:val="00DF69D0"/>
    <w:rsid w:val="00DF69F0"/>
    <w:rsid w:val="00DF6A6A"/>
    <w:rsid w:val="00DF6D40"/>
    <w:rsid w:val="00DF6EE7"/>
    <w:rsid w:val="00DF6FAA"/>
    <w:rsid w:val="00DF739D"/>
    <w:rsid w:val="00DF747E"/>
    <w:rsid w:val="00DF7ACB"/>
    <w:rsid w:val="00DF7AF4"/>
    <w:rsid w:val="00DF7CA6"/>
    <w:rsid w:val="00E000FA"/>
    <w:rsid w:val="00E00588"/>
    <w:rsid w:val="00E005F8"/>
    <w:rsid w:val="00E0068D"/>
    <w:rsid w:val="00E007BE"/>
    <w:rsid w:val="00E0086F"/>
    <w:rsid w:val="00E009FE"/>
    <w:rsid w:val="00E00D43"/>
    <w:rsid w:val="00E00FB5"/>
    <w:rsid w:val="00E01076"/>
    <w:rsid w:val="00E013A0"/>
    <w:rsid w:val="00E01740"/>
    <w:rsid w:val="00E01761"/>
    <w:rsid w:val="00E017F5"/>
    <w:rsid w:val="00E01872"/>
    <w:rsid w:val="00E01C0F"/>
    <w:rsid w:val="00E01C5F"/>
    <w:rsid w:val="00E01D4C"/>
    <w:rsid w:val="00E01DFB"/>
    <w:rsid w:val="00E022F1"/>
    <w:rsid w:val="00E027C8"/>
    <w:rsid w:val="00E02B4B"/>
    <w:rsid w:val="00E02B58"/>
    <w:rsid w:val="00E02B9F"/>
    <w:rsid w:val="00E02E2C"/>
    <w:rsid w:val="00E032F8"/>
    <w:rsid w:val="00E0344D"/>
    <w:rsid w:val="00E036FB"/>
    <w:rsid w:val="00E03739"/>
    <w:rsid w:val="00E0375A"/>
    <w:rsid w:val="00E0376F"/>
    <w:rsid w:val="00E03E74"/>
    <w:rsid w:val="00E040A3"/>
    <w:rsid w:val="00E04102"/>
    <w:rsid w:val="00E04650"/>
    <w:rsid w:val="00E0495D"/>
    <w:rsid w:val="00E04EDF"/>
    <w:rsid w:val="00E05536"/>
    <w:rsid w:val="00E05583"/>
    <w:rsid w:val="00E055F1"/>
    <w:rsid w:val="00E05914"/>
    <w:rsid w:val="00E06164"/>
    <w:rsid w:val="00E0620B"/>
    <w:rsid w:val="00E0646F"/>
    <w:rsid w:val="00E06900"/>
    <w:rsid w:val="00E06A96"/>
    <w:rsid w:val="00E06E26"/>
    <w:rsid w:val="00E06E3D"/>
    <w:rsid w:val="00E06F8A"/>
    <w:rsid w:val="00E070D0"/>
    <w:rsid w:val="00E070D2"/>
    <w:rsid w:val="00E0721F"/>
    <w:rsid w:val="00E07ACD"/>
    <w:rsid w:val="00E10260"/>
    <w:rsid w:val="00E1039D"/>
    <w:rsid w:val="00E103B2"/>
    <w:rsid w:val="00E106C7"/>
    <w:rsid w:val="00E10FB0"/>
    <w:rsid w:val="00E11107"/>
    <w:rsid w:val="00E11451"/>
    <w:rsid w:val="00E114AB"/>
    <w:rsid w:val="00E1164A"/>
    <w:rsid w:val="00E11654"/>
    <w:rsid w:val="00E11751"/>
    <w:rsid w:val="00E119ED"/>
    <w:rsid w:val="00E11A00"/>
    <w:rsid w:val="00E12248"/>
    <w:rsid w:val="00E1226E"/>
    <w:rsid w:val="00E1241B"/>
    <w:rsid w:val="00E12450"/>
    <w:rsid w:val="00E125BE"/>
    <w:rsid w:val="00E128BD"/>
    <w:rsid w:val="00E12DD5"/>
    <w:rsid w:val="00E130AA"/>
    <w:rsid w:val="00E13135"/>
    <w:rsid w:val="00E13980"/>
    <w:rsid w:val="00E13D7F"/>
    <w:rsid w:val="00E1445F"/>
    <w:rsid w:val="00E144B6"/>
    <w:rsid w:val="00E14726"/>
    <w:rsid w:val="00E147EE"/>
    <w:rsid w:val="00E14EBB"/>
    <w:rsid w:val="00E150A7"/>
    <w:rsid w:val="00E15200"/>
    <w:rsid w:val="00E15232"/>
    <w:rsid w:val="00E15298"/>
    <w:rsid w:val="00E1530F"/>
    <w:rsid w:val="00E15439"/>
    <w:rsid w:val="00E156B5"/>
    <w:rsid w:val="00E15A96"/>
    <w:rsid w:val="00E15AB2"/>
    <w:rsid w:val="00E15D67"/>
    <w:rsid w:val="00E16064"/>
    <w:rsid w:val="00E161E6"/>
    <w:rsid w:val="00E1630E"/>
    <w:rsid w:val="00E16372"/>
    <w:rsid w:val="00E163E1"/>
    <w:rsid w:val="00E16545"/>
    <w:rsid w:val="00E165C2"/>
    <w:rsid w:val="00E166A6"/>
    <w:rsid w:val="00E16A83"/>
    <w:rsid w:val="00E16A8E"/>
    <w:rsid w:val="00E16ABD"/>
    <w:rsid w:val="00E16E8D"/>
    <w:rsid w:val="00E17054"/>
    <w:rsid w:val="00E17603"/>
    <w:rsid w:val="00E17996"/>
    <w:rsid w:val="00E17EB2"/>
    <w:rsid w:val="00E20096"/>
    <w:rsid w:val="00E20941"/>
    <w:rsid w:val="00E20A33"/>
    <w:rsid w:val="00E20C87"/>
    <w:rsid w:val="00E2187D"/>
    <w:rsid w:val="00E21C54"/>
    <w:rsid w:val="00E21DAB"/>
    <w:rsid w:val="00E22038"/>
    <w:rsid w:val="00E2271E"/>
    <w:rsid w:val="00E227D8"/>
    <w:rsid w:val="00E22B08"/>
    <w:rsid w:val="00E22E8C"/>
    <w:rsid w:val="00E2303D"/>
    <w:rsid w:val="00E23479"/>
    <w:rsid w:val="00E236F5"/>
    <w:rsid w:val="00E23A56"/>
    <w:rsid w:val="00E23B3D"/>
    <w:rsid w:val="00E24079"/>
    <w:rsid w:val="00E24124"/>
    <w:rsid w:val="00E24150"/>
    <w:rsid w:val="00E246A3"/>
    <w:rsid w:val="00E246BE"/>
    <w:rsid w:val="00E2480A"/>
    <w:rsid w:val="00E24A55"/>
    <w:rsid w:val="00E24DC1"/>
    <w:rsid w:val="00E24EA4"/>
    <w:rsid w:val="00E25425"/>
    <w:rsid w:val="00E25672"/>
    <w:rsid w:val="00E25EC1"/>
    <w:rsid w:val="00E26204"/>
    <w:rsid w:val="00E2653E"/>
    <w:rsid w:val="00E267B7"/>
    <w:rsid w:val="00E26990"/>
    <w:rsid w:val="00E269D0"/>
    <w:rsid w:val="00E26DA3"/>
    <w:rsid w:val="00E26F39"/>
    <w:rsid w:val="00E2714E"/>
    <w:rsid w:val="00E27CB5"/>
    <w:rsid w:val="00E27CD7"/>
    <w:rsid w:val="00E301BA"/>
    <w:rsid w:val="00E30D88"/>
    <w:rsid w:val="00E30DA7"/>
    <w:rsid w:val="00E310C8"/>
    <w:rsid w:val="00E3123C"/>
    <w:rsid w:val="00E31403"/>
    <w:rsid w:val="00E31455"/>
    <w:rsid w:val="00E31D30"/>
    <w:rsid w:val="00E31D6F"/>
    <w:rsid w:val="00E31E40"/>
    <w:rsid w:val="00E32278"/>
    <w:rsid w:val="00E32389"/>
    <w:rsid w:val="00E32499"/>
    <w:rsid w:val="00E326C6"/>
    <w:rsid w:val="00E32810"/>
    <w:rsid w:val="00E32891"/>
    <w:rsid w:val="00E328F3"/>
    <w:rsid w:val="00E32A97"/>
    <w:rsid w:val="00E32E75"/>
    <w:rsid w:val="00E32F6F"/>
    <w:rsid w:val="00E330F7"/>
    <w:rsid w:val="00E331E4"/>
    <w:rsid w:val="00E3330B"/>
    <w:rsid w:val="00E33462"/>
    <w:rsid w:val="00E3371F"/>
    <w:rsid w:val="00E33AEF"/>
    <w:rsid w:val="00E341B8"/>
    <w:rsid w:val="00E34761"/>
    <w:rsid w:val="00E3479D"/>
    <w:rsid w:val="00E34807"/>
    <w:rsid w:val="00E348AE"/>
    <w:rsid w:val="00E34AB1"/>
    <w:rsid w:val="00E34CCB"/>
    <w:rsid w:val="00E34FCD"/>
    <w:rsid w:val="00E3517E"/>
    <w:rsid w:val="00E3558F"/>
    <w:rsid w:val="00E35681"/>
    <w:rsid w:val="00E35A31"/>
    <w:rsid w:val="00E35A37"/>
    <w:rsid w:val="00E35A4E"/>
    <w:rsid w:val="00E35BDD"/>
    <w:rsid w:val="00E35C5A"/>
    <w:rsid w:val="00E36731"/>
    <w:rsid w:val="00E367D1"/>
    <w:rsid w:val="00E369E5"/>
    <w:rsid w:val="00E36A23"/>
    <w:rsid w:val="00E36D7C"/>
    <w:rsid w:val="00E36FD3"/>
    <w:rsid w:val="00E373CA"/>
    <w:rsid w:val="00E375D0"/>
    <w:rsid w:val="00E378A5"/>
    <w:rsid w:val="00E37B03"/>
    <w:rsid w:val="00E37E22"/>
    <w:rsid w:val="00E37EA3"/>
    <w:rsid w:val="00E40126"/>
    <w:rsid w:val="00E403C3"/>
    <w:rsid w:val="00E40AAC"/>
    <w:rsid w:val="00E40BB9"/>
    <w:rsid w:val="00E40F26"/>
    <w:rsid w:val="00E410CF"/>
    <w:rsid w:val="00E4126B"/>
    <w:rsid w:val="00E412BD"/>
    <w:rsid w:val="00E4152D"/>
    <w:rsid w:val="00E41880"/>
    <w:rsid w:val="00E419E4"/>
    <w:rsid w:val="00E41DD9"/>
    <w:rsid w:val="00E41E96"/>
    <w:rsid w:val="00E41FC0"/>
    <w:rsid w:val="00E422ED"/>
    <w:rsid w:val="00E422F5"/>
    <w:rsid w:val="00E42DDD"/>
    <w:rsid w:val="00E43176"/>
    <w:rsid w:val="00E438CE"/>
    <w:rsid w:val="00E43BB3"/>
    <w:rsid w:val="00E43E20"/>
    <w:rsid w:val="00E43EFB"/>
    <w:rsid w:val="00E4440B"/>
    <w:rsid w:val="00E44860"/>
    <w:rsid w:val="00E44E09"/>
    <w:rsid w:val="00E44EAB"/>
    <w:rsid w:val="00E44EFA"/>
    <w:rsid w:val="00E4502B"/>
    <w:rsid w:val="00E450D8"/>
    <w:rsid w:val="00E451D3"/>
    <w:rsid w:val="00E45281"/>
    <w:rsid w:val="00E453BA"/>
    <w:rsid w:val="00E453C4"/>
    <w:rsid w:val="00E4553E"/>
    <w:rsid w:val="00E456D7"/>
    <w:rsid w:val="00E457D9"/>
    <w:rsid w:val="00E458DC"/>
    <w:rsid w:val="00E45E09"/>
    <w:rsid w:val="00E45E33"/>
    <w:rsid w:val="00E45E8D"/>
    <w:rsid w:val="00E46100"/>
    <w:rsid w:val="00E462EA"/>
    <w:rsid w:val="00E46315"/>
    <w:rsid w:val="00E46448"/>
    <w:rsid w:val="00E46FF0"/>
    <w:rsid w:val="00E471BA"/>
    <w:rsid w:val="00E474E9"/>
    <w:rsid w:val="00E47500"/>
    <w:rsid w:val="00E4754D"/>
    <w:rsid w:val="00E47B15"/>
    <w:rsid w:val="00E47BBB"/>
    <w:rsid w:val="00E47F63"/>
    <w:rsid w:val="00E47FB2"/>
    <w:rsid w:val="00E505FA"/>
    <w:rsid w:val="00E50CD9"/>
    <w:rsid w:val="00E50E27"/>
    <w:rsid w:val="00E50ED5"/>
    <w:rsid w:val="00E5138B"/>
    <w:rsid w:val="00E515B1"/>
    <w:rsid w:val="00E51727"/>
    <w:rsid w:val="00E51FDC"/>
    <w:rsid w:val="00E52028"/>
    <w:rsid w:val="00E520F1"/>
    <w:rsid w:val="00E52560"/>
    <w:rsid w:val="00E52BD4"/>
    <w:rsid w:val="00E53202"/>
    <w:rsid w:val="00E53696"/>
    <w:rsid w:val="00E53BC5"/>
    <w:rsid w:val="00E53FD4"/>
    <w:rsid w:val="00E54011"/>
    <w:rsid w:val="00E543DB"/>
    <w:rsid w:val="00E544CD"/>
    <w:rsid w:val="00E5471D"/>
    <w:rsid w:val="00E54808"/>
    <w:rsid w:val="00E54B8B"/>
    <w:rsid w:val="00E54C48"/>
    <w:rsid w:val="00E54EFB"/>
    <w:rsid w:val="00E550DE"/>
    <w:rsid w:val="00E55298"/>
    <w:rsid w:val="00E55600"/>
    <w:rsid w:val="00E55A46"/>
    <w:rsid w:val="00E55A76"/>
    <w:rsid w:val="00E55B3E"/>
    <w:rsid w:val="00E55C96"/>
    <w:rsid w:val="00E5631C"/>
    <w:rsid w:val="00E5649E"/>
    <w:rsid w:val="00E565D2"/>
    <w:rsid w:val="00E567DA"/>
    <w:rsid w:val="00E56992"/>
    <w:rsid w:val="00E56C4E"/>
    <w:rsid w:val="00E56D58"/>
    <w:rsid w:val="00E56DDD"/>
    <w:rsid w:val="00E56F7E"/>
    <w:rsid w:val="00E570DE"/>
    <w:rsid w:val="00E575C7"/>
    <w:rsid w:val="00E57CCF"/>
    <w:rsid w:val="00E57D4B"/>
    <w:rsid w:val="00E6053B"/>
    <w:rsid w:val="00E60932"/>
    <w:rsid w:val="00E6096F"/>
    <w:rsid w:val="00E609F8"/>
    <w:rsid w:val="00E60BC7"/>
    <w:rsid w:val="00E60EB3"/>
    <w:rsid w:val="00E6106E"/>
    <w:rsid w:val="00E614BF"/>
    <w:rsid w:val="00E61904"/>
    <w:rsid w:val="00E61E77"/>
    <w:rsid w:val="00E6237C"/>
    <w:rsid w:val="00E6279E"/>
    <w:rsid w:val="00E62842"/>
    <w:rsid w:val="00E631EB"/>
    <w:rsid w:val="00E6366B"/>
    <w:rsid w:val="00E63812"/>
    <w:rsid w:val="00E6389A"/>
    <w:rsid w:val="00E63ACF"/>
    <w:rsid w:val="00E64336"/>
    <w:rsid w:val="00E645F0"/>
    <w:rsid w:val="00E647B8"/>
    <w:rsid w:val="00E647D3"/>
    <w:rsid w:val="00E64E0E"/>
    <w:rsid w:val="00E65069"/>
    <w:rsid w:val="00E6521C"/>
    <w:rsid w:val="00E657C8"/>
    <w:rsid w:val="00E65A92"/>
    <w:rsid w:val="00E65B5A"/>
    <w:rsid w:val="00E65CBB"/>
    <w:rsid w:val="00E65E5C"/>
    <w:rsid w:val="00E6628B"/>
    <w:rsid w:val="00E66400"/>
    <w:rsid w:val="00E66409"/>
    <w:rsid w:val="00E66429"/>
    <w:rsid w:val="00E66647"/>
    <w:rsid w:val="00E66DC2"/>
    <w:rsid w:val="00E66E49"/>
    <w:rsid w:val="00E66F6A"/>
    <w:rsid w:val="00E66FBF"/>
    <w:rsid w:val="00E67912"/>
    <w:rsid w:val="00E67979"/>
    <w:rsid w:val="00E67A96"/>
    <w:rsid w:val="00E67CD6"/>
    <w:rsid w:val="00E67F43"/>
    <w:rsid w:val="00E7032F"/>
    <w:rsid w:val="00E704F4"/>
    <w:rsid w:val="00E70550"/>
    <w:rsid w:val="00E7056B"/>
    <w:rsid w:val="00E70C07"/>
    <w:rsid w:val="00E70F56"/>
    <w:rsid w:val="00E70FE1"/>
    <w:rsid w:val="00E70FED"/>
    <w:rsid w:val="00E7100E"/>
    <w:rsid w:val="00E71361"/>
    <w:rsid w:val="00E714AB"/>
    <w:rsid w:val="00E7181D"/>
    <w:rsid w:val="00E718C5"/>
    <w:rsid w:val="00E71CD3"/>
    <w:rsid w:val="00E72271"/>
    <w:rsid w:val="00E7254C"/>
    <w:rsid w:val="00E727C1"/>
    <w:rsid w:val="00E72AE9"/>
    <w:rsid w:val="00E72C49"/>
    <w:rsid w:val="00E73021"/>
    <w:rsid w:val="00E731C2"/>
    <w:rsid w:val="00E73240"/>
    <w:rsid w:val="00E73322"/>
    <w:rsid w:val="00E735A8"/>
    <w:rsid w:val="00E737ED"/>
    <w:rsid w:val="00E73926"/>
    <w:rsid w:val="00E73A96"/>
    <w:rsid w:val="00E73D67"/>
    <w:rsid w:val="00E73DC2"/>
    <w:rsid w:val="00E73FCC"/>
    <w:rsid w:val="00E74214"/>
    <w:rsid w:val="00E74D41"/>
    <w:rsid w:val="00E74F1D"/>
    <w:rsid w:val="00E74F70"/>
    <w:rsid w:val="00E7533C"/>
    <w:rsid w:val="00E75844"/>
    <w:rsid w:val="00E75875"/>
    <w:rsid w:val="00E758ED"/>
    <w:rsid w:val="00E75DB5"/>
    <w:rsid w:val="00E75FDB"/>
    <w:rsid w:val="00E7610F"/>
    <w:rsid w:val="00E762F7"/>
    <w:rsid w:val="00E765A9"/>
    <w:rsid w:val="00E76C38"/>
    <w:rsid w:val="00E7751C"/>
    <w:rsid w:val="00E77646"/>
    <w:rsid w:val="00E7778B"/>
    <w:rsid w:val="00E77D72"/>
    <w:rsid w:val="00E77F82"/>
    <w:rsid w:val="00E80022"/>
    <w:rsid w:val="00E801CA"/>
    <w:rsid w:val="00E8083B"/>
    <w:rsid w:val="00E809B0"/>
    <w:rsid w:val="00E80B25"/>
    <w:rsid w:val="00E8143D"/>
    <w:rsid w:val="00E81586"/>
    <w:rsid w:val="00E815BA"/>
    <w:rsid w:val="00E818C2"/>
    <w:rsid w:val="00E8192E"/>
    <w:rsid w:val="00E81ECD"/>
    <w:rsid w:val="00E82897"/>
    <w:rsid w:val="00E82BC9"/>
    <w:rsid w:val="00E82D7E"/>
    <w:rsid w:val="00E8337B"/>
    <w:rsid w:val="00E834A4"/>
    <w:rsid w:val="00E838CB"/>
    <w:rsid w:val="00E84BE0"/>
    <w:rsid w:val="00E84EE8"/>
    <w:rsid w:val="00E85562"/>
    <w:rsid w:val="00E856B8"/>
    <w:rsid w:val="00E8597F"/>
    <w:rsid w:val="00E85BD8"/>
    <w:rsid w:val="00E86347"/>
    <w:rsid w:val="00E8649C"/>
    <w:rsid w:val="00E8678F"/>
    <w:rsid w:val="00E8697A"/>
    <w:rsid w:val="00E86A17"/>
    <w:rsid w:val="00E86B08"/>
    <w:rsid w:val="00E86B57"/>
    <w:rsid w:val="00E87199"/>
    <w:rsid w:val="00E87498"/>
    <w:rsid w:val="00E875E0"/>
    <w:rsid w:val="00E8788D"/>
    <w:rsid w:val="00E87A53"/>
    <w:rsid w:val="00E87B07"/>
    <w:rsid w:val="00E87CB2"/>
    <w:rsid w:val="00E900A4"/>
    <w:rsid w:val="00E906D2"/>
    <w:rsid w:val="00E90A42"/>
    <w:rsid w:val="00E90AD3"/>
    <w:rsid w:val="00E90C6C"/>
    <w:rsid w:val="00E90F49"/>
    <w:rsid w:val="00E918B1"/>
    <w:rsid w:val="00E91AB6"/>
    <w:rsid w:val="00E91B6D"/>
    <w:rsid w:val="00E92021"/>
    <w:rsid w:val="00E922D8"/>
    <w:rsid w:val="00E923EA"/>
    <w:rsid w:val="00E931BB"/>
    <w:rsid w:val="00E93357"/>
    <w:rsid w:val="00E939C8"/>
    <w:rsid w:val="00E939EB"/>
    <w:rsid w:val="00E93B77"/>
    <w:rsid w:val="00E93B7C"/>
    <w:rsid w:val="00E93BDB"/>
    <w:rsid w:val="00E93D85"/>
    <w:rsid w:val="00E93EDA"/>
    <w:rsid w:val="00E94257"/>
    <w:rsid w:val="00E945C6"/>
    <w:rsid w:val="00E946E9"/>
    <w:rsid w:val="00E94E22"/>
    <w:rsid w:val="00E9530B"/>
    <w:rsid w:val="00E9549C"/>
    <w:rsid w:val="00E9561B"/>
    <w:rsid w:val="00E9583C"/>
    <w:rsid w:val="00E95B8F"/>
    <w:rsid w:val="00E95CD5"/>
    <w:rsid w:val="00E95D0C"/>
    <w:rsid w:val="00E95DB7"/>
    <w:rsid w:val="00E95E25"/>
    <w:rsid w:val="00E964FD"/>
    <w:rsid w:val="00E96533"/>
    <w:rsid w:val="00E970C2"/>
    <w:rsid w:val="00E9715A"/>
    <w:rsid w:val="00E971AC"/>
    <w:rsid w:val="00E971D8"/>
    <w:rsid w:val="00E97659"/>
    <w:rsid w:val="00E97682"/>
    <w:rsid w:val="00E976E4"/>
    <w:rsid w:val="00E97917"/>
    <w:rsid w:val="00E97A46"/>
    <w:rsid w:val="00E97B16"/>
    <w:rsid w:val="00E97E57"/>
    <w:rsid w:val="00E97F9D"/>
    <w:rsid w:val="00EA01EB"/>
    <w:rsid w:val="00EA022A"/>
    <w:rsid w:val="00EA05C7"/>
    <w:rsid w:val="00EA070A"/>
    <w:rsid w:val="00EA087C"/>
    <w:rsid w:val="00EA098F"/>
    <w:rsid w:val="00EA09A2"/>
    <w:rsid w:val="00EA0A50"/>
    <w:rsid w:val="00EA0A77"/>
    <w:rsid w:val="00EA0B96"/>
    <w:rsid w:val="00EA1AEB"/>
    <w:rsid w:val="00EA1BE4"/>
    <w:rsid w:val="00EA1E78"/>
    <w:rsid w:val="00EA2232"/>
    <w:rsid w:val="00EA2257"/>
    <w:rsid w:val="00EA236D"/>
    <w:rsid w:val="00EA25C2"/>
    <w:rsid w:val="00EA2833"/>
    <w:rsid w:val="00EA2838"/>
    <w:rsid w:val="00EA2C24"/>
    <w:rsid w:val="00EA2D3B"/>
    <w:rsid w:val="00EA30A2"/>
    <w:rsid w:val="00EA319B"/>
    <w:rsid w:val="00EA33C0"/>
    <w:rsid w:val="00EA3597"/>
    <w:rsid w:val="00EA36F0"/>
    <w:rsid w:val="00EA3B36"/>
    <w:rsid w:val="00EA447A"/>
    <w:rsid w:val="00EA449D"/>
    <w:rsid w:val="00EA4671"/>
    <w:rsid w:val="00EA48D1"/>
    <w:rsid w:val="00EA5056"/>
    <w:rsid w:val="00EA51AE"/>
    <w:rsid w:val="00EA5240"/>
    <w:rsid w:val="00EA5652"/>
    <w:rsid w:val="00EA586E"/>
    <w:rsid w:val="00EA5DFB"/>
    <w:rsid w:val="00EA5FD2"/>
    <w:rsid w:val="00EA613D"/>
    <w:rsid w:val="00EA61FF"/>
    <w:rsid w:val="00EA630A"/>
    <w:rsid w:val="00EA656E"/>
    <w:rsid w:val="00EA6765"/>
    <w:rsid w:val="00EA6867"/>
    <w:rsid w:val="00EA69F0"/>
    <w:rsid w:val="00EA6AD3"/>
    <w:rsid w:val="00EA6BEB"/>
    <w:rsid w:val="00EA6CB7"/>
    <w:rsid w:val="00EA6F38"/>
    <w:rsid w:val="00EA730C"/>
    <w:rsid w:val="00EA7458"/>
    <w:rsid w:val="00EA74BD"/>
    <w:rsid w:val="00EA77F3"/>
    <w:rsid w:val="00EA7FCF"/>
    <w:rsid w:val="00EB0952"/>
    <w:rsid w:val="00EB1532"/>
    <w:rsid w:val="00EB15C2"/>
    <w:rsid w:val="00EB16A0"/>
    <w:rsid w:val="00EB19A2"/>
    <w:rsid w:val="00EB1CDF"/>
    <w:rsid w:val="00EB2190"/>
    <w:rsid w:val="00EB22D0"/>
    <w:rsid w:val="00EB2321"/>
    <w:rsid w:val="00EB2399"/>
    <w:rsid w:val="00EB23C0"/>
    <w:rsid w:val="00EB2507"/>
    <w:rsid w:val="00EB25B9"/>
    <w:rsid w:val="00EB26B4"/>
    <w:rsid w:val="00EB2B44"/>
    <w:rsid w:val="00EB2C85"/>
    <w:rsid w:val="00EB2D2E"/>
    <w:rsid w:val="00EB3026"/>
    <w:rsid w:val="00EB3123"/>
    <w:rsid w:val="00EB3933"/>
    <w:rsid w:val="00EB3A55"/>
    <w:rsid w:val="00EB3AC3"/>
    <w:rsid w:val="00EB3B1F"/>
    <w:rsid w:val="00EB3BC1"/>
    <w:rsid w:val="00EB417C"/>
    <w:rsid w:val="00EB4250"/>
    <w:rsid w:val="00EB432C"/>
    <w:rsid w:val="00EB48AA"/>
    <w:rsid w:val="00EB48CA"/>
    <w:rsid w:val="00EB4BB9"/>
    <w:rsid w:val="00EB4D6B"/>
    <w:rsid w:val="00EB4FB1"/>
    <w:rsid w:val="00EB50B9"/>
    <w:rsid w:val="00EB5283"/>
    <w:rsid w:val="00EB54E5"/>
    <w:rsid w:val="00EB5634"/>
    <w:rsid w:val="00EB5B77"/>
    <w:rsid w:val="00EB6036"/>
    <w:rsid w:val="00EB6075"/>
    <w:rsid w:val="00EB608A"/>
    <w:rsid w:val="00EB61D7"/>
    <w:rsid w:val="00EB6853"/>
    <w:rsid w:val="00EB6921"/>
    <w:rsid w:val="00EB69F4"/>
    <w:rsid w:val="00EB6BAB"/>
    <w:rsid w:val="00EB6CCE"/>
    <w:rsid w:val="00EB6FF8"/>
    <w:rsid w:val="00EB7BFA"/>
    <w:rsid w:val="00EB7C73"/>
    <w:rsid w:val="00EB7D79"/>
    <w:rsid w:val="00EB7EE5"/>
    <w:rsid w:val="00EC0032"/>
    <w:rsid w:val="00EC05A6"/>
    <w:rsid w:val="00EC1415"/>
    <w:rsid w:val="00EC14BE"/>
    <w:rsid w:val="00EC1854"/>
    <w:rsid w:val="00EC1868"/>
    <w:rsid w:val="00EC1887"/>
    <w:rsid w:val="00EC1A56"/>
    <w:rsid w:val="00EC1D0C"/>
    <w:rsid w:val="00EC1D9D"/>
    <w:rsid w:val="00EC1EB2"/>
    <w:rsid w:val="00EC227A"/>
    <w:rsid w:val="00EC27DE"/>
    <w:rsid w:val="00EC2DBA"/>
    <w:rsid w:val="00EC36D3"/>
    <w:rsid w:val="00EC40CF"/>
    <w:rsid w:val="00EC433C"/>
    <w:rsid w:val="00EC44BA"/>
    <w:rsid w:val="00EC45C8"/>
    <w:rsid w:val="00EC4D39"/>
    <w:rsid w:val="00EC4D9A"/>
    <w:rsid w:val="00EC4F05"/>
    <w:rsid w:val="00EC4F73"/>
    <w:rsid w:val="00EC506C"/>
    <w:rsid w:val="00EC514A"/>
    <w:rsid w:val="00EC5177"/>
    <w:rsid w:val="00EC523C"/>
    <w:rsid w:val="00EC5A48"/>
    <w:rsid w:val="00EC5A6E"/>
    <w:rsid w:val="00EC5BBF"/>
    <w:rsid w:val="00EC5C68"/>
    <w:rsid w:val="00EC5CE7"/>
    <w:rsid w:val="00EC5D0B"/>
    <w:rsid w:val="00EC6171"/>
    <w:rsid w:val="00EC6396"/>
    <w:rsid w:val="00EC66B7"/>
    <w:rsid w:val="00EC71DF"/>
    <w:rsid w:val="00EC72AF"/>
    <w:rsid w:val="00EC7601"/>
    <w:rsid w:val="00EC79C6"/>
    <w:rsid w:val="00EC7AB6"/>
    <w:rsid w:val="00EC7B69"/>
    <w:rsid w:val="00EC7C05"/>
    <w:rsid w:val="00EC7D28"/>
    <w:rsid w:val="00EC7EEF"/>
    <w:rsid w:val="00ED006F"/>
    <w:rsid w:val="00ED040E"/>
    <w:rsid w:val="00ED050C"/>
    <w:rsid w:val="00ED05FF"/>
    <w:rsid w:val="00ED06FB"/>
    <w:rsid w:val="00ED0940"/>
    <w:rsid w:val="00ED0BB2"/>
    <w:rsid w:val="00ED14BE"/>
    <w:rsid w:val="00ED1919"/>
    <w:rsid w:val="00ED1B20"/>
    <w:rsid w:val="00ED1D3C"/>
    <w:rsid w:val="00ED20A0"/>
    <w:rsid w:val="00ED241F"/>
    <w:rsid w:val="00ED287B"/>
    <w:rsid w:val="00ED299F"/>
    <w:rsid w:val="00ED2AF9"/>
    <w:rsid w:val="00ED2BE3"/>
    <w:rsid w:val="00ED2D03"/>
    <w:rsid w:val="00ED2E1C"/>
    <w:rsid w:val="00ED3390"/>
    <w:rsid w:val="00ED3872"/>
    <w:rsid w:val="00ED387B"/>
    <w:rsid w:val="00ED42B6"/>
    <w:rsid w:val="00ED4493"/>
    <w:rsid w:val="00ED4C8E"/>
    <w:rsid w:val="00ED5062"/>
    <w:rsid w:val="00ED51AF"/>
    <w:rsid w:val="00ED5A0B"/>
    <w:rsid w:val="00ED6383"/>
    <w:rsid w:val="00ED646A"/>
    <w:rsid w:val="00ED6E5E"/>
    <w:rsid w:val="00ED6ECA"/>
    <w:rsid w:val="00ED746A"/>
    <w:rsid w:val="00ED74AD"/>
    <w:rsid w:val="00ED755D"/>
    <w:rsid w:val="00ED75D1"/>
    <w:rsid w:val="00ED7C38"/>
    <w:rsid w:val="00ED7CEB"/>
    <w:rsid w:val="00ED7D9F"/>
    <w:rsid w:val="00ED7E69"/>
    <w:rsid w:val="00ED7F4C"/>
    <w:rsid w:val="00EE0137"/>
    <w:rsid w:val="00EE02A3"/>
    <w:rsid w:val="00EE04C2"/>
    <w:rsid w:val="00EE1277"/>
    <w:rsid w:val="00EE13AD"/>
    <w:rsid w:val="00EE1763"/>
    <w:rsid w:val="00EE17DC"/>
    <w:rsid w:val="00EE1A8E"/>
    <w:rsid w:val="00EE1ACB"/>
    <w:rsid w:val="00EE1BB9"/>
    <w:rsid w:val="00EE1D73"/>
    <w:rsid w:val="00EE1FF8"/>
    <w:rsid w:val="00EE24E7"/>
    <w:rsid w:val="00EE25A4"/>
    <w:rsid w:val="00EE2605"/>
    <w:rsid w:val="00EE28BD"/>
    <w:rsid w:val="00EE2944"/>
    <w:rsid w:val="00EE29D5"/>
    <w:rsid w:val="00EE2B73"/>
    <w:rsid w:val="00EE2C0B"/>
    <w:rsid w:val="00EE37C9"/>
    <w:rsid w:val="00EE38FC"/>
    <w:rsid w:val="00EE3AE1"/>
    <w:rsid w:val="00EE3C53"/>
    <w:rsid w:val="00EE3CDE"/>
    <w:rsid w:val="00EE3F8D"/>
    <w:rsid w:val="00EE40C8"/>
    <w:rsid w:val="00EE42C2"/>
    <w:rsid w:val="00EE44FC"/>
    <w:rsid w:val="00EE46DD"/>
    <w:rsid w:val="00EE473A"/>
    <w:rsid w:val="00EE48E0"/>
    <w:rsid w:val="00EE4B20"/>
    <w:rsid w:val="00EE4CB3"/>
    <w:rsid w:val="00EE4D93"/>
    <w:rsid w:val="00EE4E17"/>
    <w:rsid w:val="00EE4EF5"/>
    <w:rsid w:val="00EE5082"/>
    <w:rsid w:val="00EE5374"/>
    <w:rsid w:val="00EE571C"/>
    <w:rsid w:val="00EE59D2"/>
    <w:rsid w:val="00EE5A5F"/>
    <w:rsid w:val="00EE5CD2"/>
    <w:rsid w:val="00EE5D14"/>
    <w:rsid w:val="00EE5DB8"/>
    <w:rsid w:val="00EE5E6E"/>
    <w:rsid w:val="00EE617F"/>
    <w:rsid w:val="00EE61DD"/>
    <w:rsid w:val="00EE650D"/>
    <w:rsid w:val="00EE66A7"/>
    <w:rsid w:val="00EE6B75"/>
    <w:rsid w:val="00EE6B89"/>
    <w:rsid w:val="00EE6CF9"/>
    <w:rsid w:val="00EE6D1F"/>
    <w:rsid w:val="00EE6D74"/>
    <w:rsid w:val="00EE70D6"/>
    <w:rsid w:val="00EE7341"/>
    <w:rsid w:val="00EE7759"/>
    <w:rsid w:val="00EE7918"/>
    <w:rsid w:val="00EE79E4"/>
    <w:rsid w:val="00EF025A"/>
    <w:rsid w:val="00EF03B0"/>
    <w:rsid w:val="00EF0433"/>
    <w:rsid w:val="00EF084F"/>
    <w:rsid w:val="00EF093F"/>
    <w:rsid w:val="00EF09F7"/>
    <w:rsid w:val="00EF0A6C"/>
    <w:rsid w:val="00EF0BF3"/>
    <w:rsid w:val="00EF0EF6"/>
    <w:rsid w:val="00EF1395"/>
    <w:rsid w:val="00EF13A7"/>
    <w:rsid w:val="00EF15C4"/>
    <w:rsid w:val="00EF1932"/>
    <w:rsid w:val="00EF19A2"/>
    <w:rsid w:val="00EF1BE2"/>
    <w:rsid w:val="00EF1E22"/>
    <w:rsid w:val="00EF23BF"/>
    <w:rsid w:val="00EF287E"/>
    <w:rsid w:val="00EF2A98"/>
    <w:rsid w:val="00EF2CAC"/>
    <w:rsid w:val="00EF2D50"/>
    <w:rsid w:val="00EF303B"/>
    <w:rsid w:val="00EF3616"/>
    <w:rsid w:val="00EF377E"/>
    <w:rsid w:val="00EF38A9"/>
    <w:rsid w:val="00EF38CB"/>
    <w:rsid w:val="00EF3A26"/>
    <w:rsid w:val="00EF3A32"/>
    <w:rsid w:val="00EF3B2E"/>
    <w:rsid w:val="00EF3E5E"/>
    <w:rsid w:val="00EF436D"/>
    <w:rsid w:val="00EF461C"/>
    <w:rsid w:val="00EF4662"/>
    <w:rsid w:val="00EF46C4"/>
    <w:rsid w:val="00EF4B3C"/>
    <w:rsid w:val="00EF4D53"/>
    <w:rsid w:val="00EF4E95"/>
    <w:rsid w:val="00EF5049"/>
    <w:rsid w:val="00EF507A"/>
    <w:rsid w:val="00EF5168"/>
    <w:rsid w:val="00EF532D"/>
    <w:rsid w:val="00EF5A57"/>
    <w:rsid w:val="00EF5C8A"/>
    <w:rsid w:val="00EF5DF3"/>
    <w:rsid w:val="00EF61FD"/>
    <w:rsid w:val="00EF68F6"/>
    <w:rsid w:val="00EF6BEF"/>
    <w:rsid w:val="00EF6C9E"/>
    <w:rsid w:val="00EF73C0"/>
    <w:rsid w:val="00EF7493"/>
    <w:rsid w:val="00EF753D"/>
    <w:rsid w:val="00EF77FA"/>
    <w:rsid w:val="00EF79E9"/>
    <w:rsid w:val="00EF7A57"/>
    <w:rsid w:val="00EF7AA6"/>
    <w:rsid w:val="00EF7ED2"/>
    <w:rsid w:val="00F00052"/>
    <w:rsid w:val="00F0044B"/>
    <w:rsid w:val="00F0089C"/>
    <w:rsid w:val="00F00E9C"/>
    <w:rsid w:val="00F00F3D"/>
    <w:rsid w:val="00F013AB"/>
    <w:rsid w:val="00F01498"/>
    <w:rsid w:val="00F014C2"/>
    <w:rsid w:val="00F0213E"/>
    <w:rsid w:val="00F0244C"/>
    <w:rsid w:val="00F02649"/>
    <w:rsid w:val="00F02AFF"/>
    <w:rsid w:val="00F02B87"/>
    <w:rsid w:val="00F02BAE"/>
    <w:rsid w:val="00F02D0D"/>
    <w:rsid w:val="00F02DEF"/>
    <w:rsid w:val="00F02FA1"/>
    <w:rsid w:val="00F03288"/>
    <w:rsid w:val="00F03698"/>
    <w:rsid w:val="00F03707"/>
    <w:rsid w:val="00F038EE"/>
    <w:rsid w:val="00F03C8E"/>
    <w:rsid w:val="00F03E5D"/>
    <w:rsid w:val="00F0417A"/>
    <w:rsid w:val="00F04310"/>
    <w:rsid w:val="00F04780"/>
    <w:rsid w:val="00F047AE"/>
    <w:rsid w:val="00F04AB1"/>
    <w:rsid w:val="00F04BEC"/>
    <w:rsid w:val="00F04CA3"/>
    <w:rsid w:val="00F04DB1"/>
    <w:rsid w:val="00F052F1"/>
    <w:rsid w:val="00F05303"/>
    <w:rsid w:val="00F05372"/>
    <w:rsid w:val="00F0573B"/>
    <w:rsid w:val="00F0588D"/>
    <w:rsid w:val="00F05BFD"/>
    <w:rsid w:val="00F0608C"/>
    <w:rsid w:val="00F069D0"/>
    <w:rsid w:val="00F06B17"/>
    <w:rsid w:val="00F07541"/>
    <w:rsid w:val="00F07808"/>
    <w:rsid w:val="00F079DE"/>
    <w:rsid w:val="00F07AE1"/>
    <w:rsid w:val="00F07E6D"/>
    <w:rsid w:val="00F07EFD"/>
    <w:rsid w:val="00F10213"/>
    <w:rsid w:val="00F102AF"/>
    <w:rsid w:val="00F103CF"/>
    <w:rsid w:val="00F10485"/>
    <w:rsid w:val="00F10859"/>
    <w:rsid w:val="00F10B75"/>
    <w:rsid w:val="00F10B85"/>
    <w:rsid w:val="00F10F16"/>
    <w:rsid w:val="00F11191"/>
    <w:rsid w:val="00F112C6"/>
    <w:rsid w:val="00F11524"/>
    <w:rsid w:val="00F11C0E"/>
    <w:rsid w:val="00F11F8D"/>
    <w:rsid w:val="00F1242C"/>
    <w:rsid w:val="00F12BF2"/>
    <w:rsid w:val="00F12EEA"/>
    <w:rsid w:val="00F1300D"/>
    <w:rsid w:val="00F1303A"/>
    <w:rsid w:val="00F13063"/>
    <w:rsid w:val="00F1308E"/>
    <w:rsid w:val="00F13340"/>
    <w:rsid w:val="00F13464"/>
    <w:rsid w:val="00F13839"/>
    <w:rsid w:val="00F13ED5"/>
    <w:rsid w:val="00F14283"/>
    <w:rsid w:val="00F14343"/>
    <w:rsid w:val="00F1447D"/>
    <w:rsid w:val="00F145DD"/>
    <w:rsid w:val="00F14B77"/>
    <w:rsid w:val="00F14F14"/>
    <w:rsid w:val="00F155C5"/>
    <w:rsid w:val="00F157B1"/>
    <w:rsid w:val="00F15B2B"/>
    <w:rsid w:val="00F15C55"/>
    <w:rsid w:val="00F15EAD"/>
    <w:rsid w:val="00F15F07"/>
    <w:rsid w:val="00F15FF8"/>
    <w:rsid w:val="00F166D0"/>
    <w:rsid w:val="00F1694D"/>
    <w:rsid w:val="00F16A45"/>
    <w:rsid w:val="00F16A66"/>
    <w:rsid w:val="00F16FC3"/>
    <w:rsid w:val="00F17123"/>
    <w:rsid w:val="00F17247"/>
    <w:rsid w:val="00F17250"/>
    <w:rsid w:val="00F172BA"/>
    <w:rsid w:val="00F175EE"/>
    <w:rsid w:val="00F1785E"/>
    <w:rsid w:val="00F178F7"/>
    <w:rsid w:val="00F17949"/>
    <w:rsid w:val="00F1797D"/>
    <w:rsid w:val="00F17B0C"/>
    <w:rsid w:val="00F17B79"/>
    <w:rsid w:val="00F20065"/>
    <w:rsid w:val="00F20180"/>
    <w:rsid w:val="00F20282"/>
    <w:rsid w:val="00F202C5"/>
    <w:rsid w:val="00F20386"/>
    <w:rsid w:val="00F203A5"/>
    <w:rsid w:val="00F20424"/>
    <w:rsid w:val="00F20C7F"/>
    <w:rsid w:val="00F20F15"/>
    <w:rsid w:val="00F210E3"/>
    <w:rsid w:val="00F21606"/>
    <w:rsid w:val="00F21E84"/>
    <w:rsid w:val="00F21ED6"/>
    <w:rsid w:val="00F2257B"/>
    <w:rsid w:val="00F2272A"/>
    <w:rsid w:val="00F227CE"/>
    <w:rsid w:val="00F22E31"/>
    <w:rsid w:val="00F234B1"/>
    <w:rsid w:val="00F237FB"/>
    <w:rsid w:val="00F23A3F"/>
    <w:rsid w:val="00F23E11"/>
    <w:rsid w:val="00F240FD"/>
    <w:rsid w:val="00F242AA"/>
    <w:rsid w:val="00F245EA"/>
    <w:rsid w:val="00F24715"/>
    <w:rsid w:val="00F24799"/>
    <w:rsid w:val="00F24C7F"/>
    <w:rsid w:val="00F24C82"/>
    <w:rsid w:val="00F24E83"/>
    <w:rsid w:val="00F24F64"/>
    <w:rsid w:val="00F251EC"/>
    <w:rsid w:val="00F253BC"/>
    <w:rsid w:val="00F25459"/>
    <w:rsid w:val="00F257D9"/>
    <w:rsid w:val="00F25866"/>
    <w:rsid w:val="00F259E5"/>
    <w:rsid w:val="00F26266"/>
    <w:rsid w:val="00F26339"/>
    <w:rsid w:val="00F266EA"/>
    <w:rsid w:val="00F26A69"/>
    <w:rsid w:val="00F26B9F"/>
    <w:rsid w:val="00F27686"/>
    <w:rsid w:val="00F276E7"/>
    <w:rsid w:val="00F2771E"/>
    <w:rsid w:val="00F27A0E"/>
    <w:rsid w:val="00F27C67"/>
    <w:rsid w:val="00F27FE4"/>
    <w:rsid w:val="00F30156"/>
    <w:rsid w:val="00F30217"/>
    <w:rsid w:val="00F3046F"/>
    <w:rsid w:val="00F30507"/>
    <w:rsid w:val="00F3097A"/>
    <w:rsid w:val="00F30A93"/>
    <w:rsid w:val="00F30B65"/>
    <w:rsid w:val="00F30C4D"/>
    <w:rsid w:val="00F30FE7"/>
    <w:rsid w:val="00F3101D"/>
    <w:rsid w:val="00F312F0"/>
    <w:rsid w:val="00F313A5"/>
    <w:rsid w:val="00F31590"/>
    <w:rsid w:val="00F3197B"/>
    <w:rsid w:val="00F3199D"/>
    <w:rsid w:val="00F319E0"/>
    <w:rsid w:val="00F31E9F"/>
    <w:rsid w:val="00F32227"/>
    <w:rsid w:val="00F32577"/>
    <w:rsid w:val="00F325CB"/>
    <w:rsid w:val="00F3288B"/>
    <w:rsid w:val="00F32CD2"/>
    <w:rsid w:val="00F32DF3"/>
    <w:rsid w:val="00F33649"/>
    <w:rsid w:val="00F337B2"/>
    <w:rsid w:val="00F33D0C"/>
    <w:rsid w:val="00F34077"/>
    <w:rsid w:val="00F34152"/>
    <w:rsid w:val="00F34240"/>
    <w:rsid w:val="00F342D6"/>
    <w:rsid w:val="00F34600"/>
    <w:rsid w:val="00F3463C"/>
    <w:rsid w:val="00F348D0"/>
    <w:rsid w:val="00F34A9C"/>
    <w:rsid w:val="00F34D3B"/>
    <w:rsid w:val="00F35586"/>
    <w:rsid w:val="00F35593"/>
    <w:rsid w:val="00F35D9B"/>
    <w:rsid w:val="00F36062"/>
    <w:rsid w:val="00F360B1"/>
    <w:rsid w:val="00F36443"/>
    <w:rsid w:val="00F365A0"/>
    <w:rsid w:val="00F37220"/>
    <w:rsid w:val="00F3729A"/>
    <w:rsid w:val="00F37799"/>
    <w:rsid w:val="00F37AAF"/>
    <w:rsid w:val="00F37BF5"/>
    <w:rsid w:val="00F37F02"/>
    <w:rsid w:val="00F37F12"/>
    <w:rsid w:val="00F40148"/>
    <w:rsid w:val="00F404FB"/>
    <w:rsid w:val="00F407AB"/>
    <w:rsid w:val="00F408A9"/>
    <w:rsid w:val="00F40ABD"/>
    <w:rsid w:val="00F40F9F"/>
    <w:rsid w:val="00F412D6"/>
    <w:rsid w:val="00F41BF9"/>
    <w:rsid w:val="00F41D8D"/>
    <w:rsid w:val="00F41FC1"/>
    <w:rsid w:val="00F42128"/>
    <w:rsid w:val="00F424D4"/>
    <w:rsid w:val="00F42543"/>
    <w:rsid w:val="00F426F0"/>
    <w:rsid w:val="00F429D4"/>
    <w:rsid w:val="00F42A70"/>
    <w:rsid w:val="00F42A74"/>
    <w:rsid w:val="00F42BCB"/>
    <w:rsid w:val="00F42C31"/>
    <w:rsid w:val="00F42D21"/>
    <w:rsid w:val="00F42E33"/>
    <w:rsid w:val="00F43310"/>
    <w:rsid w:val="00F433FF"/>
    <w:rsid w:val="00F434FB"/>
    <w:rsid w:val="00F435E1"/>
    <w:rsid w:val="00F43842"/>
    <w:rsid w:val="00F43992"/>
    <w:rsid w:val="00F43BF1"/>
    <w:rsid w:val="00F43DE0"/>
    <w:rsid w:val="00F43EA6"/>
    <w:rsid w:val="00F44028"/>
    <w:rsid w:val="00F44256"/>
    <w:rsid w:val="00F44268"/>
    <w:rsid w:val="00F446F9"/>
    <w:rsid w:val="00F447C0"/>
    <w:rsid w:val="00F449A6"/>
    <w:rsid w:val="00F44FDC"/>
    <w:rsid w:val="00F45023"/>
    <w:rsid w:val="00F4517B"/>
    <w:rsid w:val="00F451AA"/>
    <w:rsid w:val="00F455A9"/>
    <w:rsid w:val="00F459E4"/>
    <w:rsid w:val="00F45BF8"/>
    <w:rsid w:val="00F45D29"/>
    <w:rsid w:val="00F45F4A"/>
    <w:rsid w:val="00F461F4"/>
    <w:rsid w:val="00F46311"/>
    <w:rsid w:val="00F46430"/>
    <w:rsid w:val="00F4645D"/>
    <w:rsid w:val="00F464C5"/>
    <w:rsid w:val="00F469D8"/>
    <w:rsid w:val="00F46AFC"/>
    <w:rsid w:val="00F46C0D"/>
    <w:rsid w:val="00F46C88"/>
    <w:rsid w:val="00F46D38"/>
    <w:rsid w:val="00F46EFC"/>
    <w:rsid w:val="00F46F34"/>
    <w:rsid w:val="00F46F37"/>
    <w:rsid w:val="00F4706B"/>
    <w:rsid w:val="00F47295"/>
    <w:rsid w:val="00F47566"/>
    <w:rsid w:val="00F476D6"/>
    <w:rsid w:val="00F47772"/>
    <w:rsid w:val="00F47778"/>
    <w:rsid w:val="00F477FB"/>
    <w:rsid w:val="00F47A79"/>
    <w:rsid w:val="00F47AD7"/>
    <w:rsid w:val="00F47AF0"/>
    <w:rsid w:val="00F47B9E"/>
    <w:rsid w:val="00F47C29"/>
    <w:rsid w:val="00F50204"/>
    <w:rsid w:val="00F50723"/>
    <w:rsid w:val="00F50853"/>
    <w:rsid w:val="00F50EFD"/>
    <w:rsid w:val="00F50F33"/>
    <w:rsid w:val="00F5102E"/>
    <w:rsid w:val="00F5158C"/>
    <w:rsid w:val="00F516AF"/>
    <w:rsid w:val="00F51E24"/>
    <w:rsid w:val="00F51F02"/>
    <w:rsid w:val="00F5220C"/>
    <w:rsid w:val="00F52502"/>
    <w:rsid w:val="00F525C1"/>
    <w:rsid w:val="00F5261F"/>
    <w:rsid w:val="00F52A11"/>
    <w:rsid w:val="00F52D04"/>
    <w:rsid w:val="00F53089"/>
    <w:rsid w:val="00F5330C"/>
    <w:rsid w:val="00F5348C"/>
    <w:rsid w:val="00F53C93"/>
    <w:rsid w:val="00F53D4E"/>
    <w:rsid w:val="00F53ED0"/>
    <w:rsid w:val="00F545BE"/>
    <w:rsid w:val="00F54876"/>
    <w:rsid w:val="00F54B9C"/>
    <w:rsid w:val="00F54CE5"/>
    <w:rsid w:val="00F5504F"/>
    <w:rsid w:val="00F5522B"/>
    <w:rsid w:val="00F55259"/>
    <w:rsid w:val="00F55530"/>
    <w:rsid w:val="00F555CD"/>
    <w:rsid w:val="00F55988"/>
    <w:rsid w:val="00F55CEA"/>
    <w:rsid w:val="00F55D58"/>
    <w:rsid w:val="00F55F71"/>
    <w:rsid w:val="00F56121"/>
    <w:rsid w:val="00F563FC"/>
    <w:rsid w:val="00F56482"/>
    <w:rsid w:val="00F564DB"/>
    <w:rsid w:val="00F56D2A"/>
    <w:rsid w:val="00F56D63"/>
    <w:rsid w:val="00F56EAB"/>
    <w:rsid w:val="00F56F54"/>
    <w:rsid w:val="00F57143"/>
    <w:rsid w:val="00F576AB"/>
    <w:rsid w:val="00F57797"/>
    <w:rsid w:val="00F57A6A"/>
    <w:rsid w:val="00F57E87"/>
    <w:rsid w:val="00F602BE"/>
    <w:rsid w:val="00F6030D"/>
    <w:rsid w:val="00F6078B"/>
    <w:rsid w:val="00F608E8"/>
    <w:rsid w:val="00F60900"/>
    <w:rsid w:val="00F60952"/>
    <w:rsid w:val="00F61266"/>
    <w:rsid w:val="00F613A2"/>
    <w:rsid w:val="00F614CD"/>
    <w:rsid w:val="00F61FB4"/>
    <w:rsid w:val="00F6208A"/>
    <w:rsid w:val="00F62508"/>
    <w:rsid w:val="00F62533"/>
    <w:rsid w:val="00F62738"/>
    <w:rsid w:val="00F62AE3"/>
    <w:rsid w:val="00F62D75"/>
    <w:rsid w:val="00F62F3D"/>
    <w:rsid w:val="00F63019"/>
    <w:rsid w:val="00F63264"/>
    <w:rsid w:val="00F63873"/>
    <w:rsid w:val="00F63C99"/>
    <w:rsid w:val="00F63EC9"/>
    <w:rsid w:val="00F64111"/>
    <w:rsid w:val="00F642B9"/>
    <w:rsid w:val="00F643D5"/>
    <w:rsid w:val="00F64512"/>
    <w:rsid w:val="00F6458C"/>
    <w:rsid w:val="00F64615"/>
    <w:rsid w:val="00F64B6F"/>
    <w:rsid w:val="00F64BE4"/>
    <w:rsid w:val="00F64F54"/>
    <w:rsid w:val="00F65211"/>
    <w:rsid w:val="00F653FA"/>
    <w:rsid w:val="00F6545F"/>
    <w:rsid w:val="00F654D1"/>
    <w:rsid w:val="00F657A2"/>
    <w:rsid w:val="00F6592C"/>
    <w:rsid w:val="00F65953"/>
    <w:rsid w:val="00F659B2"/>
    <w:rsid w:val="00F659D7"/>
    <w:rsid w:val="00F65A85"/>
    <w:rsid w:val="00F65D31"/>
    <w:rsid w:val="00F65E4C"/>
    <w:rsid w:val="00F66871"/>
    <w:rsid w:val="00F66E8F"/>
    <w:rsid w:val="00F672E7"/>
    <w:rsid w:val="00F677F9"/>
    <w:rsid w:val="00F67EFF"/>
    <w:rsid w:val="00F70679"/>
    <w:rsid w:val="00F70908"/>
    <w:rsid w:val="00F70B9A"/>
    <w:rsid w:val="00F70BF4"/>
    <w:rsid w:val="00F70C76"/>
    <w:rsid w:val="00F70D0D"/>
    <w:rsid w:val="00F71213"/>
    <w:rsid w:val="00F7121C"/>
    <w:rsid w:val="00F712F0"/>
    <w:rsid w:val="00F71767"/>
    <w:rsid w:val="00F719BE"/>
    <w:rsid w:val="00F71C0C"/>
    <w:rsid w:val="00F71CCB"/>
    <w:rsid w:val="00F71F3D"/>
    <w:rsid w:val="00F726D8"/>
    <w:rsid w:val="00F728E4"/>
    <w:rsid w:val="00F72C41"/>
    <w:rsid w:val="00F72D7A"/>
    <w:rsid w:val="00F737AD"/>
    <w:rsid w:val="00F73B87"/>
    <w:rsid w:val="00F73E13"/>
    <w:rsid w:val="00F73E52"/>
    <w:rsid w:val="00F74492"/>
    <w:rsid w:val="00F745E4"/>
    <w:rsid w:val="00F7469E"/>
    <w:rsid w:val="00F74B57"/>
    <w:rsid w:val="00F74BFE"/>
    <w:rsid w:val="00F7521E"/>
    <w:rsid w:val="00F75572"/>
    <w:rsid w:val="00F75737"/>
    <w:rsid w:val="00F757AA"/>
    <w:rsid w:val="00F757E2"/>
    <w:rsid w:val="00F761DA"/>
    <w:rsid w:val="00F762B8"/>
    <w:rsid w:val="00F764BB"/>
    <w:rsid w:val="00F76794"/>
    <w:rsid w:val="00F767A1"/>
    <w:rsid w:val="00F7684B"/>
    <w:rsid w:val="00F76869"/>
    <w:rsid w:val="00F76C23"/>
    <w:rsid w:val="00F76CA3"/>
    <w:rsid w:val="00F77528"/>
    <w:rsid w:val="00F77970"/>
    <w:rsid w:val="00F77DA0"/>
    <w:rsid w:val="00F8048B"/>
    <w:rsid w:val="00F80499"/>
    <w:rsid w:val="00F81188"/>
    <w:rsid w:val="00F811FA"/>
    <w:rsid w:val="00F81372"/>
    <w:rsid w:val="00F814F3"/>
    <w:rsid w:val="00F81865"/>
    <w:rsid w:val="00F81CDD"/>
    <w:rsid w:val="00F81E02"/>
    <w:rsid w:val="00F821C3"/>
    <w:rsid w:val="00F822B8"/>
    <w:rsid w:val="00F822C2"/>
    <w:rsid w:val="00F8238D"/>
    <w:rsid w:val="00F8264D"/>
    <w:rsid w:val="00F82AB2"/>
    <w:rsid w:val="00F82B2D"/>
    <w:rsid w:val="00F8398A"/>
    <w:rsid w:val="00F83EA0"/>
    <w:rsid w:val="00F83F75"/>
    <w:rsid w:val="00F84526"/>
    <w:rsid w:val="00F847CE"/>
    <w:rsid w:val="00F84865"/>
    <w:rsid w:val="00F84DB2"/>
    <w:rsid w:val="00F85296"/>
    <w:rsid w:val="00F8548B"/>
    <w:rsid w:val="00F8572F"/>
    <w:rsid w:val="00F85CD4"/>
    <w:rsid w:val="00F85D3A"/>
    <w:rsid w:val="00F85E8F"/>
    <w:rsid w:val="00F8605F"/>
    <w:rsid w:val="00F8639C"/>
    <w:rsid w:val="00F86B90"/>
    <w:rsid w:val="00F86BB1"/>
    <w:rsid w:val="00F86BFC"/>
    <w:rsid w:val="00F86DD3"/>
    <w:rsid w:val="00F86FC2"/>
    <w:rsid w:val="00F871E9"/>
    <w:rsid w:val="00F872B0"/>
    <w:rsid w:val="00F8736F"/>
    <w:rsid w:val="00F87425"/>
    <w:rsid w:val="00F8749C"/>
    <w:rsid w:val="00F87773"/>
    <w:rsid w:val="00F8793A"/>
    <w:rsid w:val="00F87A62"/>
    <w:rsid w:val="00F87ABE"/>
    <w:rsid w:val="00F87C5B"/>
    <w:rsid w:val="00F87CD6"/>
    <w:rsid w:val="00F90123"/>
    <w:rsid w:val="00F9034A"/>
    <w:rsid w:val="00F90427"/>
    <w:rsid w:val="00F907B9"/>
    <w:rsid w:val="00F9102D"/>
    <w:rsid w:val="00F911A9"/>
    <w:rsid w:val="00F913C0"/>
    <w:rsid w:val="00F91574"/>
    <w:rsid w:val="00F91616"/>
    <w:rsid w:val="00F91A16"/>
    <w:rsid w:val="00F91AD3"/>
    <w:rsid w:val="00F92688"/>
    <w:rsid w:val="00F9280A"/>
    <w:rsid w:val="00F929B4"/>
    <w:rsid w:val="00F92D95"/>
    <w:rsid w:val="00F92F25"/>
    <w:rsid w:val="00F92F77"/>
    <w:rsid w:val="00F92FBA"/>
    <w:rsid w:val="00F93620"/>
    <w:rsid w:val="00F93749"/>
    <w:rsid w:val="00F93884"/>
    <w:rsid w:val="00F938E5"/>
    <w:rsid w:val="00F93979"/>
    <w:rsid w:val="00F93EC4"/>
    <w:rsid w:val="00F941C3"/>
    <w:rsid w:val="00F9443C"/>
    <w:rsid w:val="00F94479"/>
    <w:rsid w:val="00F94742"/>
    <w:rsid w:val="00F94A09"/>
    <w:rsid w:val="00F94C60"/>
    <w:rsid w:val="00F94E02"/>
    <w:rsid w:val="00F95030"/>
    <w:rsid w:val="00F950A2"/>
    <w:rsid w:val="00F951B5"/>
    <w:rsid w:val="00F953EC"/>
    <w:rsid w:val="00F95595"/>
    <w:rsid w:val="00F956A9"/>
    <w:rsid w:val="00F95B88"/>
    <w:rsid w:val="00F95C82"/>
    <w:rsid w:val="00F95D9C"/>
    <w:rsid w:val="00F95DD5"/>
    <w:rsid w:val="00F95E94"/>
    <w:rsid w:val="00F95FA2"/>
    <w:rsid w:val="00F96203"/>
    <w:rsid w:val="00F963CB"/>
    <w:rsid w:val="00F96548"/>
    <w:rsid w:val="00F96887"/>
    <w:rsid w:val="00F96E18"/>
    <w:rsid w:val="00F97013"/>
    <w:rsid w:val="00F9705A"/>
    <w:rsid w:val="00F97567"/>
    <w:rsid w:val="00F97CF1"/>
    <w:rsid w:val="00FA03B2"/>
    <w:rsid w:val="00FA042F"/>
    <w:rsid w:val="00FA05C8"/>
    <w:rsid w:val="00FA0881"/>
    <w:rsid w:val="00FA08A4"/>
    <w:rsid w:val="00FA0A10"/>
    <w:rsid w:val="00FA0DDD"/>
    <w:rsid w:val="00FA107C"/>
    <w:rsid w:val="00FA155A"/>
    <w:rsid w:val="00FA193E"/>
    <w:rsid w:val="00FA1BD1"/>
    <w:rsid w:val="00FA1E14"/>
    <w:rsid w:val="00FA21BF"/>
    <w:rsid w:val="00FA237E"/>
    <w:rsid w:val="00FA25E5"/>
    <w:rsid w:val="00FA26F6"/>
    <w:rsid w:val="00FA2BE2"/>
    <w:rsid w:val="00FA32F2"/>
    <w:rsid w:val="00FA3419"/>
    <w:rsid w:val="00FA3703"/>
    <w:rsid w:val="00FA3AC8"/>
    <w:rsid w:val="00FA3C2F"/>
    <w:rsid w:val="00FA3C6C"/>
    <w:rsid w:val="00FA3F86"/>
    <w:rsid w:val="00FA42DC"/>
    <w:rsid w:val="00FA45A9"/>
    <w:rsid w:val="00FA47AE"/>
    <w:rsid w:val="00FA504F"/>
    <w:rsid w:val="00FA50D8"/>
    <w:rsid w:val="00FA50E7"/>
    <w:rsid w:val="00FA51B2"/>
    <w:rsid w:val="00FA52D1"/>
    <w:rsid w:val="00FA5507"/>
    <w:rsid w:val="00FA5576"/>
    <w:rsid w:val="00FA55D6"/>
    <w:rsid w:val="00FA55DF"/>
    <w:rsid w:val="00FA5899"/>
    <w:rsid w:val="00FA5A19"/>
    <w:rsid w:val="00FA5AE7"/>
    <w:rsid w:val="00FA5B2C"/>
    <w:rsid w:val="00FA5CDA"/>
    <w:rsid w:val="00FA6149"/>
    <w:rsid w:val="00FA641F"/>
    <w:rsid w:val="00FA666F"/>
    <w:rsid w:val="00FA6D71"/>
    <w:rsid w:val="00FA6D72"/>
    <w:rsid w:val="00FA6EA5"/>
    <w:rsid w:val="00FA70AA"/>
    <w:rsid w:val="00FA70C0"/>
    <w:rsid w:val="00FA793B"/>
    <w:rsid w:val="00FA7CF7"/>
    <w:rsid w:val="00FB0135"/>
    <w:rsid w:val="00FB036B"/>
    <w:rsid w:val="00FB0617"/>
    <w:rsid w:val="00FB071F"/>
    <w:rsid w:val="00FB0864"/>
    <w:rsid w:val="00FB12C1"/>
    <w:rsid w:val="00FB138B"/>
    <w:rsid w:val="00FB13E6"/>
    <w:rsid w:val="00FB1822"/>
    <w:rsid w:val="00FB19BA"/>
    <w:rsid w:val="00FB19C3"/>
    <w:rsid w:val="00FB1BEB"/>
    <w:rsid w:val="00FB1DC5"/>
    <w:rsid w:val="00FB24E5"/>
    <w:rsid w:val="00FB2952"/>
    <w:rsid w:val="00FB2AFA"/>
    <w:rsid w:val="00FB3140"/>
    <w:rsid w:val="00FB3450"/>
    <w:rsid w:val="00FB3788"/>
    <w:rsid w:val="00FB37B9"/>
    <w:rsid w:val="00FB38B3"/>
    <w:rsid w:val="00FB3AA2"/>
    <w:rsid w:val="00FB3F30"/>
    <w:rsid w:val="00FB401C"/>
    <w:rsid w:val="00FB4172"/>
    <w:rsid w:val="00FB445B"/>
    <w:rsid w:val="00FB4543"/>
    <w:rsid w:val="00FB4880"/>
    <w:rsid w:val="00FB4891"/>
    <w:rsid w:val="00FB48CC"/>
    <w:rsid w:val="00FB4B5A"/>
    <w:rsid w:val="00FB4DA4"/>
    <w:rsid w:val="00FB4E74"/>
    <w:rsid w:val="00FB50CB"/>
    <w:rsid w:val="00FB57A3"/>
    <w:rsid w:val="00FB5838"/>
    <w:rsid w:val="00FB5BE4"/>
    <w:rsid w:val="00FB5CBA"/>
    <w:rsid w:val="00FB5CD7"/>
    <w:rsid w:val="00FB602D"/>
    <w:rsid w:val="00FB6224"/>
    <w:rsid w:val="00FB6464"/>
    <w:rsid w:val="00FB64B5"/>
    <w:rsid w:val="00FB664C"/>
    <w:rsid w:val="00FB696A"/>
    <w:rsid w:val="00FB69CC"/>
    <w:rsid w:val="00FB6A0D"/>
    <w:rsid w:val="00FB6A59"/>
    <w:rsid w:val="00FB722B"/>
    <w:rsid w:val="00FB74AA"/>
    <w:rsid w:val="00FB76C7"/>
    <w:rsid w:val="00FB7954"/>
    <w:rsid w:val="00FB7D4D"/>
    <w:rsid w:val="00FB7F2C"/>
    <w:rsid w:val="00FC03B5"/>
    <w:rsid w:val="00FC04BB"/>
    <w:rsid w:val="00FC08FE"/>
    <w:rsid w:val="00FC099B"/>
    <w:rsid w:val="00FC0A76"/>
    <w:rsid w:val="00FC0CF9"/>
    <w:rsid w:val="00FC157E"/>
    <w:rsid w:val="00FC1B68"/>
    <w:rsid w:val="00FC1C00"/>
    <w:rsid w:val="00FC1D51"/>
    <w:rsid w:val="00FC20A1"/>
    <w:rsid w:val="00FC23E8"/>
    <w:rsid w:val="00FC2903"/>
    <w:rsid w:val="00FC29AD"/>
    <w:rsid w:val="00FC2AA2"/>
    <w:rsid w:val="00FC33C3"/>
    <w:rsid w:val="00FC3435"/>
    <w:rsid w:val="00FC4525"/>
    <w:rsid w:val="00FC46D6"/>
    <w:rsid w:val="00FC49AC"/>
    <w:rsid w:val="00FC50AF"/>
    <w:rsid w:val="00FC53DF"/>
    <w:rsid w:val="00FC55EC"/>
    <w:rsid w:val="00FC6208"/>
    <w:rsid w:val="00FC62B6"/>
    <w:rsid w:val="00FC637A"/>
    <w:rsid w:val="00FC6492"/>
    <w:rsid w:val="00FC6A87"/>
    <w:rsid w:val="00FC6AED"/>
    <w:rsid w:val="00FC6BAD"/>
    <w:rsid w:val="00FC6D42"/>
    <w:rsid w:val="00FC6DCF"/>
    <w:rsid w:val="00FC723C"/>
    <w:rsid w:val="00FC7323"/>
    <w:rsid w:val="00FC75EE"/>
    <w:rsid w:val="00FC7716"/>
    <w:rsid w:val="00FC7753"/>
    <w:rsid w:val="00FC77D6"/>
    <w:rsid w:val="00FC7937"/>
    <w:rsid w:val="00FC7AE3"/>
    <w:rsid w:val="00FC7DF6"/>
    <w:rsid w:val="00FC7F00"/>
    <w:rsid w:val="00FD0473"/>
    <w:rsid w:val="00FD0554"/>
    <w:rsid w:val="00FD064B"/>
    <w:rsid w:val="00FD0666"/>
    <w:rsid w:val="00FD08A9"/>
    <w:rsid w:val="00FD0CE7"/>
    <w:rsid w:val="00FD0DAA"/>
    <w:rsid w:val="00FD169E"/>
    <w:rsid w:val="00FD1A53"/>
    <w:rsid w:val="00FD1C45"/>
    <w:rsid w:val="00FD1FB1"/>
    <w:rsid w:val="00FD205A"/>
    <w:rsid w:val="00FD2471"/>
    <w:rsid w:val="00FD26E8"/>
    <w:rsid w:val="00FD272E"/>
    <w:rsid w:val="00FD2990"/>
    <w:rsid w:val="00FD2D51"/>
    <w:rsid w:val="00FD333C"/>
    <w:rsid w:val="00FD3617"/>
    <w:rsid w:val="00FD37DF"/>
    <w:rsid w:val="00FD3B30"/>
    <w:rsid w:val="00FD3DF3"/>
    <w:rsid w:val="00FD3E0A"/>
    <w:rsid w:val="00FD4377"/>
    <w:rsid w:val="00FD4657"/>
    <w:rsid w:val="00FD49D0"/>
    <w:rsid w:val="00FD4A8A"/>
    <w:rsid w:val="00FD4B4A"/>
    <w:rsid w:val="00FD4F1C"/>
    <w:rsid w:val="00FD50F9"/>
    <w:rsid w:val="00FD521F"/>
    <w:rsid w:val="00FD55E8"/>
    <w:rsid w:val="00FD5832"/>
    <w:rsid w:val="00FD58E0"/>
    <w:rsid w:val="00FD599E"/>
    <w:rsid w:val="00FD5A3B"/>
    <w:rsid w:val="00FD5DA9"/>
    <w:rsid w:val="00FD5DE2"/>
    <w:rsid w:val="00FD5F19"/>
    <w:rsid w:val="00FD5FE2"/>
    <w:rsid w:val="00FD60CD"/>
    <w:rsid w:val="00FD6118"/>
    <w:rsid w:val="00FD63AB"/>
    <w:rsid w:val="00FD644F"/>
    <w:rsid w:val="00FD64CA"/>
    <w:rsid w:val="00FD687B"/>
    <w:rsid w:val="00FD6B5D"/>
    <w:rsid w:val="00FD6BFA"/>
    <w:rsid w:val="00FD767A"/>
    <w:rsid w:val="00FD7B04"/>
    <w:rsid w:val="00FD7DA2"/>
    <w:rsid w:val="00FD7DD6"/>
    <w:rsid w:val="00FD7DE9"/>
    <w:rsid w:val="00FD7E06"/>
    <w:rsid w:val="00FE05BD"/>
    <w:rsid w:val="00FE1201"/>
    <w:rsid w:val="00FE1267"/>
    <w:rsid w:val="00FE1497"/>
    <w:rsid w:val="00FE1908"/>
    <w:rsid w:val="00FE1D67"/>
    <w:rsid w:val="00FE1EC4"/>
    <w:rsid w:val="00FE23AE"/>
    <w:rsid w:val="00FE2430"/>
    <w:rsid w:val="00FE25B6"/>
    <w:rsid w:val="00FE2640"/>
    <w:rsid w:val="00FE2767"/>
    <w:rsid w:val="00FE282C"/>
    <w:rsid w:val="00FE2931"/>
    <w:rsid w:val="00FE2A28"/>
    <w:rsid w:val="00FE2A79"/>
    <w:rsid w:val="00FE2D7A"/>
    <w:rsid w:val="00FE3084"/>
    <w:rsid w:val="00FE32A8"/>
    <w:rsid w:val="00FE3556"/>
    <w:rsid w:val="00FE3654"/>
    <w:rsid w:val="00FE3C94"/>
    <w:rsid w:val="00FE3D9F"/>
    <w:rsid w:val="00FE40AF"/>
    <w:rsid w:val="00FE40C1"/>
    <w:rsid w:val="00FE417B"/>
    <w:rsid w:val="00FE4259"/>
    <w:rsid w:val="00FE4357"/>
    <w:rsid w:val="00FE4438"/>
    <w:rsid w:val="00FE45B7"/>
    <w:rsid w:val="00FE45BF"/>
    <w:rsid w:val="00FE46F2"/>
    <w:rsid w:val="00FE5182"/>
    <w:rsid w:val="00FE51B5"/>
    <w:rsid w:val="00FE5234"/>
    <w:rsid w:val="00FE52FC"/>
    <w:rsid w:val="00FE5381"/>
    <w:rsid w:val="00FE5545"/>
    <w:rsid w:val="00FE5C91"/>
    <w:rsid w:val="00FE5D0B"/>
    <w:rsid w:val="00FE5E19"/>
    <w:rsid w:val="00FE5E6C"/>
    <w:rsid w:val="00FE5F54"/>
    <w:rsid w:val="00FE5FF2"/>
    <w:rsid w:val="00FE604F"/>
    <w:rsid w:val="00FE641A"/>
    <w:rsid w:val="00FE69F4"/>
    <w:rsid w:val="00FE6A67"/>
    <w:rsid w:val="00FE6C00"/>
    <w:rsid w:val="00FE6E5E"/>
    <w:rsid w:val="00FE72E1"/>
    <w:rsid w:val="00FE7452"/>
    <w:rsid w:val="00FF0087"/>
    <w:rsid w:val="00FF0607"/>
    <w:rsid w:val="00FF0CA1"/>
    <w:rsid w:val="00FF0D9E"/>
    <w:rsid w:val="00FF11D7"/>
    <w:rsid w:val="00FF16B8"/>
    <w:rsid w:val="00FF1781"/>
    <w:rsid w:val="00FF192D"/>
    <w:rsid w:val="00FF19B3"/>
    <w:rsid w:val="00FF19F6"/>
    <w:rsid w:val="00FF1AE8"/>
    <w:rsid w:val="00FF1C5A"/>
    <w:rsid w:val="00FF1CD8"/>
    <w:rsid w:val="00FF1D87"/>
    <w:rsid w:val="00FF1F6E"/>
    <w:rsid w:val="00FF20D7"/>
    <w:rsid w:val="00FF233B"/>
    <w:rsid w:val="00FF2693"/>
    <w:rsid w:val="00FF27E7"/>
    <w:rsid w:val="00FF2FD4"/>
    <w:rsid w:val="00FF3397"/>
    <w:rsid w:val="00FF3449"/>
    <w:rsid w:val="00FF34A6"/>
    <w:rsid w:val="00FF3825"/>
    <w:rsid w:val="00FF3944"/>
    <w:rsid w:val="00FF40CE"/>
    <w:rsid w:val="00FF40D6"/>
    <w:rsid w:val="00FF4867"/>
    <w:rsid w:val="00FF4BB7"/>
    <w:rsid w:val="00FF4C9C"/>
    <w:rsid w:val="00FF56AC"/>
    <w:rsid w:val="00FF57BB"/>
    <w:rsid w:val="00FF5A54"/>
    <w:rsid w:val="00FF6454"/>
    <w:rsid w:val="00FF67A0"/>
    <w:rsid w:val="00FF6A74"/>
    <w:rsid w:val="00FF6E49"/>
    <w:rsid w:val="00FF6EF5"/>
    <w:rsid w:val="00FF6F0B"/>
    <w:rsid w:val="00FF74FE"/>
    <w:rsid w:val="00FF77F4"/>
    <w:rsid w:val="00FF7A31"/>
    <w:rsid w:val="00FF7B47"/>
    <w:rsid w:val="00FF7BBF"/>
    <w:rsid w:val="00FF7CD6"/>
    <w:rsid w:val="00FF7FDF"/>
    <w:rsid w:val="00FF7FE1"/>
    <w:rsid w:val="012D981F"/>
    <w:rsid w:val="01B864FF"/>
    <w:rsid w:val="01D7872E"/>
    <w:rsid w:val="02489502"/>
    <w:rsid w:val="0259FBC2"/>
    <w:rsid w:val="02DE47A1"/>
    <w:rsid w:val="03691576"/>
    <w:rsid w:val="03AD24CB"/>
    <w:rsid w:val="03C91AD1"/>
    <w:rsid w:val="03D57135"/>
    <w:rsid w:val="03FE500C"/>
    <w:rsid w:val="040B7F3E"/>
    <w:rsid w:val="04518A13"/>
    <w:rsid w:val="0470252A"/>
    <w:rsid w:val="0500670B"/>
    <w:rsid w:val="0548CDBF"/>
    <w:rsid w:val="05C444C7"/>
    <w:rsid w:val="05C80C25"/>
    <w:rsid w:val="060C5AF3"/>
    <w:rsid w:val="062F22EA"/>
    <w:rsid w:val="06361DED"/>
    <w:rsid w:val="06362E72"/>
    <w:rsid w:val="064EFE73"/>
    <w:rsid w:val="067FA96C"/>
    <w:rsid w:val="07000B73"/>
    <w:rsid w:val="0735516C"/>
    <w:rsid w:val="077D8810"/>
    <w:rsid w:val="080146B0"/>
    <w:rsid w:val="0884B2BF"/>
    <w:rsid w:val="0897DDFC"/>
    <w:rsid w:val="08987BEB"/>
    <w:rsid w:val="090321C2"/>
    <w:rsid w:val="092D67AF"/>
    <w:rsid w:val="09516C5B"/>
    <w:rsid w:val="09F6B54E"/>
    <w:rsid w:val="0A798965"/>
    <w:rsid w:val="0A828F84"/>
    <w:rsid w:val="0A9077FB"/>
    <w:rsid w:val="0AC08FCD"/>
    <w:rsid w:val="0ADCBB19"/>
    <w:rsid w:val="0B01BA99"/>
    <w:rsid w:val="0B37FCA8"/>
    <w:rsid w:val="0B4A352B"/>
    <w:rsid w:val="0B768014"/>
    <w:rsid w:val="0B797ADB"/>
    <w:rsid w:val="0BE175E6"/>
    <w:rsid w:val="0C0E58F5"/>
    <w:rsid w:val="0C265584"/>
    <w:rsid w:val="0C3B200C"/>
    <w:rsid w:val="0C4F5DC5"/>
    <w:rsid w:val="0C56E05C"/>
    <w:rsid w:val="0C75BCE2"/>
    <w:rsid w:val="0C80CD16"/>
    <w:rsid w:val="0CB07BB6"/>
    <w:rsid w:val="0D5D42B7"/>
    <w:rsid w:val="0E13C2DB"/>
    <w:rsid w:val="0E173215"/>
    <w:rsid w:val="0EC4BCB9"/>
    <w:rsid w:val="0EF6AF5E"/>
    <w:rsid w:val="0F00C2C7"/>
    <w:rsid w:val="0F47DA0C"/>
    <w:rsid w:val="0F569EC4"/>
    <w:rsid w:val="0FBD2779"/>
    <w:rsid w:val="0FE308E4"/>
    <w:rsid w:val="102709A5"/>
    <w:rsid w:val="103CE0B9"/>
    <w:rsid w:val="10ADAE6E"/>
    <w:rsid w:val="10F08B00"/>
    <w:rsid w:val="1137E2CE"/>
    <w:rsid w:val="114EA3E9"/>
    <w:rsid w:val="1194BA24"/>
    <w:rsid w:val="11CC8EE6"/>
    <w:rsid w:val="11E4530A"/>
    <w:rsid w:val="12A784DF"/>
    <w:rsid w:val="12CFA046"/>
    <w:rsid w:val="1324459F"/>
    <w:rsid w:val="135B0C20"/>
    <w:rsid w:val="136F0740"/>
    <w:rsid w:val="138056C5"/>
    <w:rsid w:val="13EEDE46"/>
    <w:rsid w:val="1405DE82"/>
    <w:rsid w:val="141A7681"/>
    <w:rsid w:val="146A499D"/>
    <w:rsid w:val="14905F26"/>
    <w:rsid w:val="149A5FD8"/>
    <w:rsid w:val="1534514C"/>
    <w:rsid w:val="153D5194"/>
    <w:rsid w:val="16230A15"/>
    <w:rsid w:val="179E2B3A"/>
    <w:rsid w:val="17CBA9D0"/>
    <w:rsid w:val="17D5264C"/>
    <w:rsid w:val="17F943C6"/>
    <w:rsid w:val="18055ECF"/>
    <w:rsid w:val="1884B6E3"/>
    <w:rsid w:val="18912B09"/>
    <w:rsid w:val="18B1EA90"/>
    <w:rsid w:val="18C68D7D"/>
    <w:rsid w:val="19180379"/>
    <w:rsid w:val="1938474F"/>
    <w:rsid w:val="19730729"/>
    <w:rsid w:val="1993A5A3"/>
    <w:rsid w:val="19959F44"/>
    <w:rsid w:val="19D0D95E"/>
    <w:rsid w:val="1A18414E"/>
    <w:rsid w:val="1AB5D7E4"/>
    <w:rsid w:val="1B069687"/>
    <w:rsid w:val="1B4B6FA0"/>
    <w:rsid w:val="1B4BE898"/>
    <w:rsid w:val="1BC18401"/>
    <w:rsid w:val="1C075991"/>
    <w:rsid w:val="1C19C081"/>
    <w:rsid w:val="1C464B13"/>
    <w:rsid w:val="1CED498A"/>
    <w:rsid w:val="1D3CE0D4"/>
    <w:rsid w:val="1D892061"/>
    <w:rsid w:val="1DFE8020"/>
    <w:rsid w:val="1E45268B"/>
    <w:rsid w:val="1E60AC74"/>
    <w:rsid w:val="1E8A1824"/>
    <w:rsid w:val="1E91BC26"/>
    <w:rsid w:val="1EB20DA7"/>
    <w:rsid w:val="1EFBE3CB"/>
    <w:rsid w:val="1F5FACE6"/>
    <w:rsid w:val="1FD6ED9B"/>
    <w:rsid w:val="204F7E22"/>
    <w:rsid w:val="208F5663"/>
    <w:rsid w:val="20975253"/>
    <w:rsid w:val="20DC947E"/>
    <w:rsid w:val="21423912"/>
    <w:rsid w:val="2158A119"/>
    <w:rsid w:val="21AA068E"/>
    <w:rsid w:val="21CB154A"/>
    <w:rsid w:val="2216CDD8"/>
    <w:rsid w:val="2257A7E8"/>
    <w:rsid w:val="226882B1"/>
    <w:rsid w:val="22B1E8F5"/>
    <w:rsid w:val="22C36DD7"/>
    <w:rsid w:val="22C4DF14"/>
    <w:rsid w:val="22E3A22D"/>
    <w:rsid w:val="22F65DFA"/>
    <w:rsid w:val="231AF438"/>
    <w:rsid w:val="232AC393"/>
    <w:rsid w:val="2333007B"/>
    <w:rsid w:val="240858F4"/>
    <w:rsid w:val="2415ED21"/>
    <w:rsid w:val="24348493"/>
    <w:rsid w:val="24348DCF"/>
    <w:rsid w:val="245F7553"/>
    <w:rsid w:val="246E6B1E"/>
    <w:rsid w:val="24748B62"/>
    <w:rsid w:val="24A69E8E"/>
    <w:rsid w:val="252B6DD1"/>
    <w:rsid w:val="25443D5C"/>
    <w:rsid w:val="258A27C1"/>
    <w:rsid w:val="259961B4"/>
    <w:rsid w:val="25AB9142"/>
    <w:rsid w:val="2616C91E"/>
    <w:rsid w:val="267A4A32"/>
    <w:rsid w:val="26C988CE"/>
    <w:rsid w:val="26F09644"/>
    <w:rsid w:val="271461B8"/>
    <w:rsid w:val="27175683"/>
    <w:rsid w:val="2740A349"/>
    <w:rsid w:val="274224DE"/>
    <w:rsid w:val="27DBA225"/>
    <w:rsid w:val="27DCC5F5"/>
    <w:rsid w:val="27F476E0"/>
    <w:rsid w:val="27FA5E70"/>
    <w:rsid w:val="28A6AEB4"/>
    <w:rsid w:val="28D1F760"/>
    <w:rsid w:val="29DD715B"/>
    <w:rsid w:val="2A2FABB6"/>
    <w:rsid w:val="2A588D84"/>
    <w:rsid w:val="2A60A529"/>
    <w:rsid w:val="2A8F306B"/>
    <w:rsid w:val="2B1AC637"/>
    <w:rsid w:val="2B88B76E"/>
    <w:rsid w:val="2B9B4975"/>
    <w:rsid w:val="2BBBE2F0"/>
    <w:rsid w:val="2C535C8C"/>
    <w:rsid w:val="2C6CB261"/>
    <w:rsid w:val="2CB6A993"/>
    <w:rsid w:val="2CDC58C3"/>
    <w:rsid w:val="2D046AA5"/>
    <w:rsid w:val="2D3470B2"/>
    <w:rsid w:val="2D980ABF"/>
    <w:rsid w:val="2DD2C00D"/>
    <w:rsid w:val="2DF977D4"/>
    <w:rsid w:val="2DFEF3DF"/>
    <w:rsid w:val="2E0020A0"/>
    <w:rsid w:val="2E4849D0"/>
    <w:rsid w:val="2E9BCFFF"/>
    <w:rsid w:val="2EA76446"/>
    <w:rsid w:val="2EE23D4B"/>
    <w:rsid w:val="2F0CB09F"/>
    <w:rsid w:val="2F99E91D"/>
    <w:rsid w:val="30616ADE"/>
    <w:rsid w:val="308256D7"/>
    <w:rsid w:val="30BAD82B"/>
    <w:rsid w:val="30C384EF"/>
    <w:rsid w:val="30C953B9"/>
    <w:rsid w:val="30EC00F2"/>
    <w:rsid w:val="31504BD7"/>
    <w:rsid w:val="3249D742"/>
    <w:rsid w:val="32790CE4"/>
    <w:rsid w:val="327DF013"/>
    <w:rsid w:val="329E3712"/>
    <w:rsid w:val="32E3E571"/>
    <w:rsid w:val="33667AB5"/>
    <w:rsid w:val="3385A8D7"/>
    <w:rsid w:val="338A437C"/>
    <w:rsid w:val="339F7050"/>
    <w:rsid w:val="33DF8B9C"/>
    <w:rsid w:val="33FE77EE"/>
    <w:rsid w:val="3409C9A8"/>
    <w:rsid w:val="3417579F"/>
    <w:rsid w:val="3465BA0E"/>
    <w:rsid w:val="34C1C470"/>
    <w:rsid w:val="35636093"/>
    <w:rsid w:val="360231E6"/>
    <w:rsid w:val="36D58E75"/>
    <w:rsid w:val="3734FD95"/>
    <w:rsid w:val="37637BD4"/>
    <w:rsid w:val="3774DFBB"/>
    <w:rsid w:val="377CAB8E"/>
    <w:rsid w:val="37BE4531"/>
    <w:rsid w:val="37C30FE1"/>
    <w:rsid w:val="37D0D161"/>
    <w:rsid w:val="389F71E4"/>
    <w:rsid w:val="38C1D540"/>
    <w:rsid w:val="39254C28"/>
    <w:rsid w:val="39522365"/>
    <w:rsid w:val="3973802D"/>
    <w:rsid w:val="39BF7C9A"/>
    <w:rsid w:val="39CC3554"/>
    <w:rsid w:val="39E3F20F"/>
    <w:rsid w:val="39F5914B"/>
    <w:rsid w:val="3A030E3D"/>
    <w:rsid w:val="3A14E1DB"/>
    <w:rsid w:val="3A3E8E86"/>
    <w:rsid w:val="3A4B18B1"/>
    <w:rsid w:val="3A6A4BDC"/>
    <w:rsid w:val="3A8E6D08"/>
    <w:rsid w:val="3ABDD52D"/>
    <w:rsid w:val="3AE95BCF"/>
    <w:rsid w:val="3B128B8C"/>
    <w:rsid w:val="3BADAFB9"/>
    <w:rsid w:val="3BD01106"/>
    <w:rsid w:val="3BEEDF0B"/>
    <w:rsid w:val="3C23DCE3"/>
    <w:rsid w:val="3C616100"/>
    <w:rsid w:val="3C65B11D"/>
    <w:rsid w:val="3CB3B025"/>
    <w:rsid w:val="3CCBBCD3"/>
    <w:rsid w:val="3D1DC03C"/>
    <w:rsid w:val="3DC1F04A"/>
    <w:rsid w:val="3DCB5CEA"/>
    <w:rsid w:val="3E1C314F"/>
    <w:rsid w:val="3E61FFCB"/>
    <w:rsid w:val="3E7C6F3C"/>
    <w:rsid w:val="3E8DD6BA"/>
    <w:rsid w:val="3EB70215"/>
    <w:rsid w:val="3EC2EDD5"/>
    <w:rsid w:val="3EE9C31E"/>
    <w:rsid w:val="3EF11A06"/>
    <w:rsid w:val="3F111393"/>
    <w:rsid w:val="3F4B6D6D"/>
    <w:rsid w:val="3F4E4094"/>
    <w:rsid w:val="3FC94F70"/>
    <w:rsid w:val="3FD1727C"/>
    <w:rsid w:val="3FD395EA"/>
    <w:rsid w:val="3FEDFD4E"/>
    <w:rsid w:val="4016E17D"/>
    <w:rsid w:val="4082EA78"/>
    <w:rsid w:val="40AF4964"/>
    <w:rsid w:val="40B46F00"/>
    <w:rsid w:val="40F779A2"/>
    <w:rsid w:val="40FA8E5D"/>
    <w:rsid w:val="418F65DF"/>
    <w:rsid w:val="419CA376"/>
    <w:rsid w:val="41CEEF11"/>
    <w:rsid w:val="42D42048"/>
    <w:rsid w:val="430C4A9F"/>
    <w:rsid w:val="4349C125"/>
    <w:rsid w:val="43577C44"/>
    <w:rsid w:val="43993B78"/>
    <w:rsid w:val="444328BB"/>
    <w:rsid w:val="446103B5"/>
    <w:rsid w:val="448A4F6A"/>
    <w:rsid w:val="4518F845"/>
    <w:rsid w:val="452C4BFD"/>
    <w:rsid w:val="455ECCB6"/>
    <w:rsid w:val="45BCD3D1"/>
    <w:rsid w:val="45BCEAFB"/>
    <w:rsid w:val="45E0D260"/>
    <w:rsid w:val="45FBBC63"/>
    <w:rsid w:val="462BF93B"/>
    <w:rsid w:val="467E5757"/>
    <w:rsid w:val="46AC583C"/>
    <w:rsid w:val="470D69A7"/>
    <w:rsid w:val="4764CEA3"/>
    <w:rsid w:val="47BB9149"/>
    <w:rsid w:val="480DAB7F"/>
    <w:rsid w:val="485C321B"/>
    <w:rsid w:val="488BFD45"/>
    <w:rsid w:val="4949ED65"/>
    <w:rsid w:val="495F6872"/>
    <w:rsid w:val="497D3646"/>
    <w:rsid w:val="49E5D2D2"/>
    <w:rsid w:val="4A1D254E"/>
    <w:rsid w:val="4A2817F1"/>
    <w:rsid w:val="4AC05C6A"/>
    <w:rsid w:val="4AD285AB"/>
    <w:rsid w:val="4B4924B1"/>
    <w:rsid w:val="4BA0619A"/>
    <w:rsid w:val="4BAF6ACA"/>
    <w:rsid w:val="4BB10B62"/>
    <w:rsid w:val="4BBC0AEB"/>
    <w:rsid w:val="4C0F99CC"/>
    <w:rsid w:val="4C21ED9B"/>
    <w:rsid w:val="4C249C4A"/>
    <w:rsid w:val="4C42947D"/>
    <w:rsid w:val="4D1B0C83"/>
    <w:rsid w:val="4D5796B4"/>
    <w:rsid w:val="4D6BFD2A"/>
    <w:rsid w:val="4D94FC0B"/>
    <w:rsid w:val="4DA042DB"/>
    <w:rsid w:val="4DACC927"/>
    <w:rsid w:val="4E2EDF30"/>
    <w:rsid w:val="4E60D4C8"/>
    <w:rsid w:val="4EA0D0E9"/>
    <w:rsid w:val="4EADB3DE"/>
    <w:rsid w:val="4EC965DF"/>
    <w:rsid w:val="4EDC917F"/>
    <w:rsid w:val="4EF837D3"/>
    <w:rsid w:val="4F13D1BF"/>
    <w:rsid w:val="4F685D73"/>
    <w:rsid w:val="4F79D696"/>
    <w:rsid w:val="4FE6226D"/>
    <w:rsid w:val="4FF79E5C"/>
    <w:rsid w:val="4FFBAA53"/>
    <w:rsid w:val="50758C4A"/>
    <w:rsid w:val="5144AE2A"/>
    <w:rsid w:val="5195333C"/>
    <w:rsid w:val="51BC49A3"/>
    <w:rsid w:val="5209C983"/>
    <w:rsid w:val="5263BD0F"/>
    <w:rsid w:val="5322BFA2"/>
    <w:rsid w:val="539FE9EB"/>
    <w:rsid w:val="53CA9162"/>
    <w:rsid w:val="540FDBEF"/>
    <w:rsid w:val="54580FE0"/>
    <w:rsid w:val="5459D574"/>
    <w:rsid w:val="548E20BB"/>
    <w:rsid w:val="54ABE722"/>
    <w:rsid w:val="54F83767"/>
    <w:rsid w:val="559111CD"/>
    <w:rsid w:val="55BBA198"/>
    <w:rsid w:val="55CAC1F9"/>
    <w:rsid w:val="56AF32B1"/>
    <w:rsid w:val="572CC335"/>
    <w:rsid w:val="57D4345E"/>
    <w:rsid w:val="57EB7024"/>
    <w:rsid w:val="584D54E7"/>
    <w:rsid w:val="585F69EC"/>
    <w:rsid w:val="587F3857"/>
    <w:rsid w:val="58BB18FE"/>
    <w:rsid w:val="58BFCCBC"/>
    <w:rsid w:val="59168DF4"/>
    <w:rsid w:val="591E944F"/>
    <w:rsid w:val="59C24310"/>
    <w:rsid w:val="5A1983AC"/>
    <w:rsid w:val="5A4B4B4A"/>
    <w:rsid w:val="5ACA0247"/>
    <w:rsid w:val="5AE248E1"/>
    <w:rsid w:val="5AFC0FCF"/>
    <w:rsid w:val="5B005194"/>
    <w:rsid w:val="5B816BEE"/>
    <w:rsid w:val="5B84B17E"/>
    <w:rsid w:val="5C0CCC81"/>
    <w:rsid w:val="5C8797C6"/>
    <w:rsid w:val="5CE37F34"/>
    <w:rsid w:val="5D42E023"/>
    <w:rsid w:val="5DC1EF32"/>
    <w:rsid w:val="5DC59623"/>
    <w:rsid w:val="5DCD5A99"/>
    <w:rsid w:val="5DD0B07E"/>
    <w:rsid w:val="5DD47C08"/>
    <w:rsid w:val="5DE51652"/>
    <w:rsid w:val="5E09D7AF"/>
    <w:rsid w:val="5E34523F"/>
    <w:rsid w:val="5E5416F9"/>
    <w:rsid w:val="5E5A57EC"/>
    <w:rsid w:val="5F13AA6A"/>
    <w:rsid w:val="5F184552"/>
    <w:rsid w:val="5F664946"/>
    <w:rsid w:val="5F6FB727"/>
    <w:rsid w:val="5F8E5A21"/>
    <w:rsid w:val="5FD3FB4D"/>
    <w:rsid w:val="600E5C75"/>
    <w:rsid w:val="6021BC54"/>
    <w:rsid w:val="607657C0"/>
    <w:rsid w:val="6136C820"/>
    <w:rsid w:val="61483327"/>
    <w:rsid w:val="61645063"/>
    <w:rsid w:val="617425D1"/>
    <w:rsid w:val="61CB67A3"/>
    <w:rsid w:val="61D1F6E2"/>
    <w:rsid w:val="620AA581"/>
    <w:rsid w:val="6222F9BE"/>
    <w:rsid w:val="62638E12"/>
    <w:rsid w:val="626CA925"/>
    <w:rsid w:val="62B1544E"/>
    <w:rsid w:val="6351CD43"/>
    <w:rsid w:val="635B67DF"/>
    <w:rsid w:val="63EEA888"/>
    <w:rsid w:val="6421DE69"/>
    <w:rsid w:val="64241267"/>
    <w:rsid w:val="646C7BE4"/>
    <w:rsid w:val="6489DF4E"/>
    <w:rsid w:val="6513F791"/>
    <w:rsid w:val="6564F953"/>
    <w:rsid w:val="65B1983C"/>
    <w:rsid w:val="65C37131"/>
    <w:rsid w:val="65C72B97"/>
    <w:rsid w:val="66079606"/>
    <w:rsid w:val="662848C0"/>
    <w:rsid w:val="6661B271"/>
    <w:rsid w:val="66725264"/>
    <w:rsid w:val="66C7CF5B"/>
    <w:rsid w:val="66D79695"/>
    <w:rsid w:val="66E02B89"/>
    <w:rsid w:val="672E6A13"/>
    <w:rsid w:val="67625126"/>
    <w:rsid w:val="677F746C"/>
    <w:rsid w:val="67D6FF7B"/>
    <w:rsid w:val="6804D223"/>
    <w:rsid w:val="680EC1A3"/>
    <w:rsid w:val="68248026"/>
    <w:rsid w:val="68747095"/>
    <w:rsid w:val="688975B3"/>
    <w:rsid w:val="68FA6743"/>
    <w:rsid w:val="69291A8A"/>
    <w:rsid w:val="696E191F"/>
    <w:rsid w:val="6A105FC9"/>
    <w:rsid w:val="6A2C92A3"/>
    <w:rsid w:val="6A454EB6"/>
    <w:rsid w:val="6A4678EE"/>
    <w:rsid w:val="6A4C01ED"/>
    <w:rsid w:val="6A6BDCBE"/>
    <w:rsid w:val="6B1C38C1"/>
    <w:rsid w:val="6B3E2D63"/>
    <w:rsid w:val="6B507DAD"/>
    <w:rsid w:val="6B5BB3F7"/>
    <w:rsid w:val="6B640914"/>
    <w:rsid w:val="6B9509AF"/>
    <w:rsid w:val="6BDB6A34"/>
    <w:rsid w:val="6C17161B"/>
    <w:rsid w:val="6C25667B"/>
    <w:rsid w:val="6C865EA9"/>
    <w:rsid w:val="6CE0B157"/>
    <w:rsid w:val="6DACD4D6"/>
    <w:rsid w:val="6DD518A0"/>
    <w:rsid w:val="6E78D549"/>
    <w:rsid w:val="6E9BE2B0"/>
    <w:rsid w:val="6ED545BA"/>
    <w:rsid w:val="6EEE0481"/>
    <w:rsid w:val="6EF17220"/>
    <w:rsid w:val="6F0B98CE"/>
    <w:rsid w:val="6F499BB3"/>
    <w:rsid w:val="6F76544C"/>
    <w:rsid w:val="6F8B1E9D"/>
    <w:rsid w:val="6FA95C2F"/>
    <w:rsid w:val="6FC7F4C2"/>
    <w:rsid w:val="6FF2DE03"/>
    <w:rsid w:val="700C939A"/>
    <w:rsid w:val="700D2F53"/>
    <w:rsid w:val="70524A96"/>
    <w:rsid w:val="706095F8"/>
    <w:rsid w:val="707FAE55"/>
    <w:rsid w:val="70A47364"/>
    <w:rsid w:val="70C0C09D"/>
    <w:rsid w:val="7155422A"/>
    <w:rsid w:val="717535B3"/>
    <w:rsid w:val="719B7841"/>
    <w:rsid w:val="7219BA3A"/>
    <w:rsid w:val="727BE869"/>
    <w:rsid w:val="72BEA9D5"/>
    <w:rsid w:val="72CB6601"/>
    <w:rsid w:val="733BE65C"/>
    <w:rsid w:val="733EE9C2"/>
    <w:rsid w:val="7351832A"/>
    <w:rsid w:val="738397F4"/>
    <w:rsid w:val="73B916AD"/>
    <w:rsid w:val="74442E7B"/>
    <w:rsid w:val="746E5626"/>
    <w:rsid w:val="7480C66E"/>
    <w:rsid w:val="748AF637"/>
    <w:rsid w:val="748D27CE"/>
    <w:rsid w:val="74914682"/>
    <w:rsid w:val="755073C5"/>
    <w:rsid w:val="756E07A4"/>
    <w:rsid w:val="757D06C5"/>
    <w:rsid w:val="758035FF"/>
    <w:rsid w:val="75A46637"/>
    <w:rsid w:val="75CDA6D5"/>
    <w:rsid w:val="75E76939"/>
    <w:rsid w:val="75F79B12"/>
    <w:rsid w:val="761977F2"/>
    <w:rsid w:val="767C7464"/>
    <w:rsid w:val="767F61A9"/>
    <w:rsid w:val="768B640E"/>
    <w:rsid w:val="774630DB"/>
    <w:rsid w:val="7763AED0"/>
    <w:rsid w:val="777026C6"/>
    <w:rsid w:val="77E8D408"/>
    <w:rsid w:val="7883D701"/>
    <w:rsid w:val="78AB3DC0"/>
    <w:rsid w:val="78F9A16A"/>
    <w:rsid w:val="79BFB32A"/>
    <w:rsid w:val="79E76576"/>
    <w:rsid w:val="79F1C8F0"/>
    <w:rsid w:val="7A01C9D1"/>
    <w:rsid w:val="7A4155BB"/>
    <w:rsid w:val="7A5D9B33"/>
    <w:rsid w:val="7AA0F1D0"/>
    <w:rsid w:val="7ABF6598"/>
    <w:rsid w:val="7ACB715F"/>
    <w:rsid w:val="7B23661C"/>
    <w:rsid w:val="7B46596C"/>
    <w:rsid w:val="7B5931A2"/>
    <w:rsid w:val="7B625227"/>
    <w:rsid w:val="7BAA5D9D"/>
    <w:rsid w:val="7BB0FB7F"/>
    <w:rsid w:val="7BBE8C97"/>
    <w:rsid w:val="7BC54EF7"/>
    <w:rsid w:val="7BDD331F"/>
    <w:rsid w:val="7BF92BCF"/>
    <w:rsid w:val="7C124301"/>
    <w:rsid w:val="7C44B48D"/>
    <w:rsid w:val="7C80F17F"/>
    <w:rsid w:val="7D114AE7"/>
    <w:rsid w:val="7D72A3CC"/>
    <w:rsid w:val="7D985962"/>
    <w:rsid w:val="7DE18BD7"/>
    <w:rsid w:val="7DF53137"/>
    <w:rsid w:val="7E1258E6"/>
    <w:rsid w:val="7E230CC4"/>
    <w:rsid w:val="7E56618C"/>
    <w:rsid w:val="7E5D53B5"/>
    <w:rsid w:val="7E9F4887"/>
    <w:rsid w:val="7E9FEAF9"/>
    <w:rsid w:val="7EA8F64E"/>
    <w:rsid w:val="7EBB7F48"/>
    <w:rsid w:val="7EFA4C1F"/>
    <w:rsid w:val="7F022F5C"/>
    <w:rsid w:val="7FC41D07"/>
  </w:rsids>
  <m:mathPr>
    <m:mathFont m:val="Cambria Math"/>
    <m:brkBin m:val="before"/>
    <m:brkBinSub m:val="--"/>
    <m:smallFrac m:val="0"/>
    <m:dispDef/>
    <m:lMargin m:val="0"/>
    <m:rMargin m:val="0"/>
    <m:defJc m:val="centerGroup"/>
    <m:wrapIndent m:val="1440"/>
    <m:intLim m:val="subSup"/>
    <m:naryLim m:val="undOvr"/>
  </m:mathPr>
  <w:themeFontLang w:val="en-AU" w:eastAsia="ja-JP"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3F93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3"/>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D64981"/>
    <w:pPr>
      <w:spacing w:before="120" w:after="120" w:line="240" w:lineRule="auto"/>
    </w:pPr>
    <w:rPr>
      <w:sz w:val="21"/>
    </w:rPr>
  </w:style>
  <w:style w:type="paragraph" w:styleId="Heading1">
    <w:name w:val="heading 1"/>
    <w:aliases w:val="Number heading 1"/>
    <w:basedOn w:val="NoSpacing"/>
    <w:next w:val="Normal"/>
    <w:link w:val="Heading1Char"/>
    <w:uiPriority w:val="9"/>
    <w:qFormat/>
    <w:rsid w:val="005D5705"/>
    <w:pPr>
      <w:spacing w:line="520" w:lineRule="exact"/>
      <w:ind w:left="142"/>
      <w:outlineLvl w:val="0"/>
    </w:pPr>
    <w:rPr>
      <w:rFonts w:asciiTheme="majorHAnsi" w:hAnsiTheme="majorHAnsi"/>
      <w:b/>
      <w:bCs/>
      <w:noProof/>
      <w:sz w:val="52"/>
      <w:szCs w:val="52"/>
    </w:rPr>
  </w:style>
  <w:style w:type="paragraph" w:styleId="Heading2">
    <w:name w:val="heading 2"/>
    <w:aliases w:val="Number heading 2"/>
    <w:basedOn w:val="Normal"/>
    <w:next w:val="Normal"/>
    <w:link w:val="Heading2Char"/>
    <w:uiPriority w:val="9"/>
    <w:qFormat/>
    <w:rsid w:val="00BA6C31"/>
    <w:pPr>
      <w:keepNext/>
      <w:keepLines/>
      <w:pageBreakBefore/>
      <w:numPr>
        <w:numId w:val="5"/>
      </w:numPr>
      <w:spacing w:after="240"/>
      <w:outlineLvl w:val="1"/>
    </w:pPr>
    <w:rPr>
      <w:rFonts w:asciiTheme="majorHAnsi" w:eastAsiaTheme="majorEastAsia" w:hAnsiTheme="majorHAnsi" w:cstheme="majorBidi"/>
      <w:color w:val="006EC8" w:themeColor="accent1"/>
      <w:sz w:val="33"/>
      <w:szCs w:val="28"/>
    </w:rPr>
  </w:style>
  <w:style w:type="paragraph" w:styleId="Heading3">
    <w:name w:val="heading 3"/>
    <w:aliases w:val="Number heading 3"/>
    <w:basedOn w:val="Normal"/>
    <w:next w:val="Normal"/>
    <w:link w:val="Heading3Char"/>
    <w:uiPriority w:val="9"/>
    <w:qFormat/>
    <w:rsid w:val="00BA6C31"/>
    <w:pPr>
      <w:keepNext/>
      <w:keepLines/>
      <w:numPr>
        <w:ilvl w:val="1"/>
        <w:numId w:val="5"/>
      </w:numPr>
      <w:spacing w:before="360" w:after="180"/>
      <w:outlineLvl w:val="2"/>
    </w:pPr>
    <w:rPr>
      <w:rFonts w:asciiTheme="majorHAnsi" w:eastAsiaTheme="majorEastAsia" w:hAnsiTheme="majorHAnsi" w:cstheme="majorBidi"/>
      <w:color w:val="006EC8" w:themeColor="accent1"/>
      <w:sz w:val="28"/>
      <w:szCs w:val="24"/>
    </w:rPr>
  </w:style>
  <w:style w:type="paragraph" w:styleId="Heading4">
    <w:name w:val="heading 4"/>
    <w:aliases w:val="Number heading 4"/>
    <w:basedOn w:val="Normal"/>
    <w:next w:val="Normal"/>
    <w:link w:val="Heading4Char"/>
    <w:uiPriority w:val="9"/>
    <w:qFormat/>
    <w:rsid w:val="00622324"/>
    <w:pPr>
      <w:keepNext/>
      <w:keepLines/>
      <w:numPr>
        <w:ilvl w:val="2"/>
        <w:numId w:val="5"/>
      </w:numPr>
      <w:spacing w:before="300"/>
      <w:ind w:left="992"/>
      <w:outlineLvl w:val="3"/>
    </w:pPr>
    <w:rPr>
      <w:rFonts w:asciiTheme="majorHAnsi" w:eastAsiaTheme="majorEastAsia" w:hAnsiTheme="majorHAnsi" w:cstheme="majorBidi"/>
      <w:color w:val="006EC8" w:themeColor="accent1"/>
      <w:sz w:val="26"/>
    </w:rPr>
  </w:style>
  <w:style w:type="paragraph" w:styleId="Heading5">
    <w:name w:val="heading 5"/>
    <w:aliases w:val="Appendix heading 1,Caption (figure)"/>
    <w:basedOn w:val="NNheading1"/>
    <w:next w:val="Normal"/>
    <w:link w:val="Heading5Char"/>
    <w:uiPriority w:val="2"/>
    <w:unhideWhenUsed/>
    <w:qFormat/>
    <w:rsid w:val="006A2A19"/>
    <w:pPr>
      <w:numPr>
        <w:ilvl w:val="3"/>
        <w:numId w:val="5"/>
      </w:numPr>
      <w:spacing w:before="300" w:after="120" w:line="240" w:lineRule="auto"/>
      <w:outlineLvl w:val="4"/>
    </w:pPr>
    <w:rPr>
      <w:b w:val="0"/>
      <w:color w:val="006EC8"/>
      <w:sz w:val="21"/>
    </w:rPr>
  </w:style>
  <w:style w:type="paragraph" w:styleId="Heading6">
    <w:name w:val="heading 6"/>
    <w:aliases w:val="Appendix heading 2,Caption (table)"/>
    <w:basedOn w:val="NNheading2"/>
    <w:next w:val="Normal"/>
    <w:link w:val="Heading6Char"/>
    <w:uiPriority w:val="2"/>
    <w:unhideWhenUsed/>
    <w:qFormat/>
    <w:rsid w:val="003E6133"/>
    <w:pPr>
      <w:numPr>
        <w:ilvl w:val="1"/>
        <w:numId w:val="4"/>
      </w:numPr>
      <w:outlineLvl w:val="5"/>
    </w:pPr>
  </w:style>
  <w:style w:type="paragraph" w:styleId="Heading7">
    <w:name w:val="heading 7"/>
    <w:aliases w:val="Appendix heading 3,Subparagraph 1"/>
    <w:basedOn w:val="Heading6"/>
    <w:next w:val="Normal"/>
    <w:link w:val="Heading7Char"/>
    <w:uiPriority w:val="2"/>
    <w:unhideWhenUsed/>
    <w:qFormat/>
    <w:rsid w:val="000B762A"/>
    <w:pPr>
      <w:numPr>
        <w:ilvl w:val="2"/>
      </w:numPr>
      <w:tabs>
        <w:tab w:val="clear" w:pos="851"/>
      </w:tabs>
      <w:spacing w:before="300" w:after="120"/>
      <w:outlineLvl w:val="6"/>
    </w:pPr>
    <w:rPr>
      <w:b/>
      <w:sz w:val="26"/>
      <w:szCs w:val="22"/>
    </w:rPr>
  </w:style>
  <w:style w:type="paragraph" w:styleId="Heading8">
    <w:name w:val="heading 8"/>
    <w:aliases w:val="Appendix heading 4,Subparagraph 2"/>
    <w:basedOn w:val="Heading6"/>
    <w:next w:val="Normal"/>
    <w:link w:val="Heading8Char"/>
    <w:uiPriority w:val="2"/>
    <w:unhideWhenUsed/>
    <w:qFormat/>
    <w:rsid w:val="000B762A"/>
    <w:pPr>
      <w:numPr>
        <w:ilvl w:val="3"/>
      </w:numPr>
      <w:spacing w:before="300" w:after="120"/>
      <w:outlineLvl w:val="7"/>
    </w:pPr>
    <w:rPr>
      <w:b/>
      <w:sz w:val="21"/>
      <w:szCs w:val="20"/>
    </w:rPr>
  </w:style>
  <w:style w:type="paragraph" w:styleId="Heading9">
    <w:name w:val="heading 9"/>
    <w:basedOn w:val="ListNumber3"/>
    <w:next w:val="Normal"/>
    <w:link w:val="Heading9Char"/>
    <w:semiHidden/>
    <w:qFormat/>
    <w:rsid w:val="005A678F"/>
    <w:pPr>
      <w:ind w:left="1224" w:hanging="50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 heading 1 Char"/>
    <w:basedOn w:val="DefaultParagraphFont"/>
    <w:link w:val="Heading1"/>
    <w:uiPriority w:val="9"/>
    <w:rsid w:val="005D5705"/>
    <w:rPr>
      <w:rFonts w:asciiTheme="majorHAnsi" w:hAnsiTheme="majorHAnsi"/>
      <w:b/>
      <w:bCs/>
      <w:noProof/>
      <w:sz w:val="52"/>
      <w:szCs w:val="52"/>
    </w:rPr>
  </w:style>
  <w:style w:type="character" w:customStyle="1" w:styleId="Heading2Char">
    <w:name w:val="Heading 2 Char"/>
    <w:aliases w:val="Number heading 2 Char"/>
    <w:basedOn w:val="DefaultParagraphFont"/>
    <w:link w:val="Heading2"/>
    <w:uiPriority w:val="9"/>
    <w:rsid w:val="00BA6C31"/>
    <w:rPr>
      <w:rFonts w:asciiTheme="majorHAnsi" w:eastAsiaTheme="majorEastAsia" w:hAnsiTheme="majorHAnsi" w:cstheme="majorBidi"/>
      <w:color w:val="006EC8" w:themeColor="accent1"/>
      <w:sz w:val="33"/>
      <w:szCs w:val="28"/>
    </w:rPr>
  </w:style>
  <w:style w:type="character" w:customStyle="1" w:styleId="Heading3Char">
    <w:name w:val="Heading 3 Char"/>
    <w:aliases w:val="Number heading 3 Char"/>
    <w:basedOn w:val="DefaultParagraphFont"/>
    <w:link w:val="Heading3"/>
    <w:uiPriority w:val="9"/>
    <w:rsid w:val="00BA6C31"/>
    <w:rPr>
      <w:rFonts w:asciiTheme="majorHAnsi" w:eastAsiaTheme="majorEastAsia" w:hAnsiTheme="majorHAnsi" w:cstheme="majorBidi"/>
      <w:color w:val="006EC8" w:themeColor="accent1"/>
      <w:sz w:val="28"/>
      <w:szCs w:val="24"/>
    </w:rPr>
  </w:style>
  <w:style w:type="character" w:customStyle="1" w:styleId="Heading4Char">
    <w:name w:val="Heading 4 Char"/>
    <w:aliases w:val="Number heading 4 Char"/>
    <w:basedOn w:val="DefaultParagraphFont"/>
    <w:link w:val="Heading4"/>
    <w:uiPriority w:val="9"/>
    <w:rsid w:val="00622324"/>
    <w:rPr>
      <w:rFonts w:asciiTheme="majorHAnsi" w:eastAsiaTheme="majorEastAsia" w:hAnsiTheme="majorHAnsi" w:cstheme="majorBidi"/>
      <w:color w:val="006EC8" w:themeColor="accent1"/>
      <w:sz w:val="26"/>
    </w:rPr>
  </w:style>
  <w:style w:type="character" w:customStyle="1" w:styleId="Heading5Char">
    <w:name w:val="Heading 5 Char"/>
    <w:aliases w:val="Appendix heading 1 Char,Caption (figure) Char"/>
    <w:basedOn w:val="DefaultParagraphFont"/>
    <w:link w:val="Heading5"/>
    <w:uiPriority w:val="2"/>
    <w:rsid w:val="006A2A19"/>
    <w:rPr>
      <w:rFonts w:asciiTheme="majorHAnsi" w:hAnsiTheme="majorHAnsi"/>
      <w:bCs/>
      <w:noProof/>
      <w:color w:val="006EC8"/>
      <w:sz w:val="21"/>
      <w:szCs w:val="52"/>
    </w:rPr>
  </w:style>
  <w:style w:type="character" w:customStyle="1" w:styleId="Heading6Char">
    <w:name w:val="Heading 6 Char"/>
    <w:aliases w:val="Appendix heading 2 Char,Caption (table) Char"/>
    <w:basedOn w:val="DefaultParagraphFont"/>
    <w:link w:val="Heading6"/>
    <w:uiPriority w:val="2"/>
    <w:rsid w:val="000B762A"/>
    <w:rPr>
      <w:rFonts w:asciiTheme="majorHAnsi" w:eastAsiaTheme="majorEastAsia" w:hAnsiTheme="majorHAnsi" w:cstheme="majorBidi"/>
      <w:b/>
      <w:color w:val="006EC8" w:themeColor="accent1"/>
      <w:sz w:val="28"/>
      <w:szCs w:val="28"/>
    </w:rPr>
  </w:style>
  <w:style w:type="character" w:customStyle="1" w:styleId="Heading7Char">
    <w:name w:val="Heading 7 Char"/>
    <w:aliases w:val="Appendix heading 3 Char,Subparagraph 1 Char"/>
    <w:basedOn w:val="DefaultParagraphFont"/>
    <w:link w:val="Heading7"/>
    <w:uiPriority w:val="2"/>
    <w:rsid w:val="000B762A"/>
    <w:rPr>
      <w:rFonts w:asciiTheme="majorHAnsi" w:eastAsiaTheme="majorEastAsia" w:hAnsiTheme="majorHAnsi" w:cstheme="majorBidi"/>
      <w:color w:val="006EC8" w:themeColor="accent1"/>
      <w:sz w:val="26"/>
    </w:rPr>
  </w:style>
  <w:style w:type="character" w:customStyle="1" w:styleId="Heading8Char">
    <w:name w:val="Heading 8 Char"/>
    <w:aliases w:val="Appendix heading 4 Char,Subparagraph 2 Char"/>
    <w:basedOn w:val="DefaultParagraphFont"/>
    <w:link w:val="Heading8"/>
    <w:uiPriority w:val="2"/>
    <w:rsid w:val="000B762A"/>
    <w:rPr>
      <w:rFonts w:asciiTheme="majorHAnsi" w:eastAsiaTheme="majorEastAsia" w:hAnsiTheme="majorHAnsi" w:cstheme="majorBidi"/>
      <w:color w:val="006EC8" w:themeColor="accent1"/>
      <w:sz w:val="21"/>
      <w:szCs w:val="20"/>
    </w:rPr>
  </w:style>
  <w:style w:type="character" w:customStyle="1" w:styleId="Heading9Char">
    <w:name w:val="Heading 9 Char"/>
    <w:basedOn w:val="DefaultParagraphFont"/>
    <w:link w:val="Heading9"/>
    <w:semiHidden/>
    <w:rsid w:val="00917FDD"/>
    <w:rPr>
      <w:sz w:val="21"/>
      <w:lang w:val="en-GB"/>
    </w:rPr>
  </w:style>
  <w:style w:type="paragraph" w:styleId="ListBullet">
    <w:name w:val="List Bullet"/>
    <w:basedOn w:val="Normal"/>
    <w:uiPriority w:val="99"/>
    <w:semiHidden/>
    <w:rsid w:val="00A67C04"/>
    <w:pPr>
      <w:numPr>
        <w:numId w:val="1"/>
      </w:numPr>
    </w:pPr>
  </w:style>
  <w:style w:type="paragraph" w:styleId="ListBullet2">
    <w:name w:val="List Bullet 2"/>
    <w:basedOn w:val="Normal"/>
    <w:uiPriority w:val="99"/>
    <w:semiHidden/>
    <w:rsid w:val="00A67C04"/>
    <w:pPr>
      <w:numPr>
        <w:numId w:val="2"/>
      </w:numPr>
      <w:ind w:left="0"/>
    </w:pPr>
  </w:style>
  <w:style w:type="paragraph" w:styleId="ListBullet3">
    <w:name w:val="List Bullet 3"/>
    <w:basedOn w:val="Normal"/>
    <w:uiPriority w:val="99"/>
    <w:semiHidden/>
    <w:rsid w:val="00A67C04"/>
    <w:pPr>
      <w:numPr>
        <w:numId w:val="3"/>
      </w:numPr>
      <w:tabs>
        <w:tab w:val="num" w:pos="360"/>
      </w:tabs>
      <w:ind w:left="1071" w:hanging="357"/>
    </w:pPr>
  </w:style>
  <w:style w:type="character" w:styleId="Emphasis">
    <w:name w:val="Emphasis"/>
    <w:aliases w:val="*Italic"/>
    <w:basedOn w:val="DefaultParagraphFont"/>
    <w:uiPriority w:val="6"/>
    <w:qFormat/>
    <w:rsid w:val="009D5663"/>
    <w:rPr>
      <w:i/>
      <w:iCs/>
    </w:rPr>
  </w:style>
  <w:style w:type="character" w:styleId="Strong">
    <w:name w:val="Strong"/>
    <w:aliases w:val="*Bold"/>
    <w:basedOn w:val="DefaultParagraphFont"/>
    <w:uiPriority w:val="6"/>
    <w:qFormat/>
    <w:rsid w:val="009D5663"/>
    <w:rPr>
      <w:b/>
      <w:bCs/>
    </w:rPr>
  </w:style>
  <w:style w:type="paragraph" w:customStyle="1" w:styleId="NNheading1">
    <w:name w:val="NN heading 1"/>
    <w:basedOn w:val="Heading1"/>
    <w:next w:val="Normal"/>
    <w:uiPriority w:val="1"/>
    <w:qFormat/>
    <w:rsid w:val="00AA06DD"/>
    <w:pPr>
      <w:spacing w:before="360"/>
      <w:ind w:left="0"/>
    </w:pPr>
  </w:style>
  <w:style w:type="paragraph" w:customStyle="1" w:styleId="NNheading2">
    <w:name w:val="NN heading 2"/>
    <w:basedOn w:val="Heading2"/>
    <w:next w:val="Normal"/>
    <w:uiPriority w:val="1"/>
    <w:qFormat/>
    <w:rsid w:val="00597642"/>
    <w:pPr>
      <w:numPr>
        <w:numId w:val="0"/>
      </w:numPr>
    </w:pPr>
  </w:style>
  <w:style w:type="paragraph" w:customStyle="1" w:styleId="NNheading3">
    <w:name w:val="NN heading 3"/>
    <w:basedOn w:val="Heading3"/>
    <w:next w:val="Normal"/>
    <w:uiPriority w:val="1"/>
    <w:qFormat/>
    <w:rsid w:val="009C4033"/>
    <w:pPr>
      <w:numPr>
        <w:ilvl w:val="0"/>
        <w:numId w:val="0"/>
      </w:numPr>
    </w:pPr>
  </w:style>
  <w:style w:type="paragraph" w:customStyle="1" w:styleId="NNheading4">
    <w:name w:val="NN heading 4"/>
    <w:basedOn w:val="Heading4"/>
    <w:next w:val="Normal"/>
    <w:uiPriority w:val="1"/>
    <w:qFormat/>
    <w:rsid w:val="00597642"/>
    <w:pPr>
      <w:numPr>
        <w:ilvl w:val="0"/>
        <w:numId w:val="0"/>
      </w:numPr>
    </w:pPr>
  </w:style>
  <w:style w:type="paragraph" w:customStyle="1" w:styleId="Headerheading">
    <w:name w:val="Header heading"/>
    <w:basedOn w:val="Header"/>
    <w:uiPriority w:val="99"/>
    <w:rsid w:val="00AD742F"/>
    <w:pPr>
      <w:framePr w:hSpace="180" w:wrap="around" w:vAnchor="text" w:hAnchor="text" w:x="7230" w:y="1"/>
      <w:spacing w:before="280"/>
      <w:suppressOverlap/>
    </w:pPr>
    <w:rPr>
      <w:b/>
      <w:color w:val="006EC8" w:themeColor="accent1"/>
    </w:rPr>
  </w:style>
  <w:style w:type="table" w:styleId="TableGrid">
    <w:name w:val="Table Grid"/>
    <w:basedOn w:val="TableNormal"/>
    <w:uiPriority w:val="39"/>
    <w:rsid w:val="000D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FRecommendationtable">
    <w:name w:val="TF_Recommendation table"/>
    <w:basedOn w:val="TableNormal"/>
    <w:uiPriority w:val="99"/>
    <w:rsid w:val="00DA1580"/>
    <w:pPr>
      <w:spacing w:after="0" w:line="240" w:lineRule="auto"/>
    </w:pPr>
    <w:tblPr>
      <w:tblBorders>
        <w:top w:val="single" w:sz="4" w:space="0" w:color="006EC8" w:themeColor="accent1"/>
        <w:bottom w:val="single" w:sz="4" w:space="0" w:color="006EC8" w:themeColor="accent1"/>
      </w:tblBorders>
      <w:tblCellMar>
        <w:top w:w="57" w:type="dxa"/>
        <w:left w:w="0" w:type="dxa"/>
        <w:bottom w:w="57" w:type="dxa"/>
        <w:right w:w="0" w:type="dxa"/>
      </w:tblCellMar>
    </w:tblPr>
  </w:style>
  <w:style w:type="paragraph" w:customStyle="1" w:styleId="Headerlogo">
    <w:name w:val="Header logo"/>
    <w:basedOn w:val="Header"/>
    <w:uiPriority w:val="99"/>
    <w:rsid w:val="00AD742F"/>
    <w:pPr>
      <w:jc w:val="right"/>
    </w:pPr>
  </w:style>
  <w:style w:type="paragraph" w:styleId="Title">
    <w:name w:val="Title"/>
    <w:aliases w:val="Cover title"/>
    <w:basedOn w:val="Normal"/>
    <w:next w:val="Normal"/>
    <w:link w:val="TitleChar"/>
    <w:uiPriority w:val="99"/>
    <w:qFormat/>
    <w:rsid w:val="00C017AD"/>
    <w:pPr>
      <w:spacing w:before="0" w:after="0" w:line="520" w:lineRule="exact"/>
    </w:pPr>
    <w:rPr>
      <w:rFonts w:ascii="Arial Black" w:hAnsi="Arial Black"/>
      <w:b/>
      <w:bCs/>
      <w:color w:val="FFFFFF"/>
      <w:spacing w:val="10"/>
      <w:sz w:val="52"/>
      <w:szCs w:val="56"/>
    </w:rPr>
  </w:style>
  <w:style w:type="character" w:customStyle="1" w:styleId="TitleChar">
    <w:name w:val="Title Char"/>
    <w:aliases w:val="Cover title Char"/>
    <w:basedOn w:val="DefaultParagraphFont"/>
    <w:link w:val="Title"/>
    <w:uiPriority w:val="99"/>
    <w:rsid w:val="00B74192"/>
    <w:rPr>
      <w:rFonts w:ascii="Arial Black" w:hAnsi="Arial Black"/>
      <w:b/>
      <w:bCs/>
      <w:color w:val="FFFFFF"/>
      <w:spacing w:val="10"/>
      <w:sz w:val="52"/>
      <w:szCs w:val="56"/>
    </w:rPr>
  </w:style>
  <w:style w:type="paragraph" w:styleId="Subtitle">
    <w:name w:val="Subtitle"/>
    <w:aliases w:val="Cover subtitle"/>
    <w:basedOn w:val="Title"/>
    <w:next w:val="Normal"/>
    <w:link w:val="SubtitleChar"/>
    <w:uiPriority w:val="99"/>
    <w:qFormat/>
    <w:rsid w:val="00CB5949"/>
    <w:rPr>
      <w:rFonts w:ascii="Arial" w:hAnsi="Arial"/>
      <w:b w:val="0"/>
      <w:spacing w:val="0"/>
      <w:w w:val="110"/>
      <w:sz w:val="42"/>
    </w:rPr>
  </w:style>
  <w:style w:type="character" w:customStyle="1" w:styleId="SubtitleChar">
    <w:name w:val="Subtitle Char"/>
    <w:aliases w:val="Cover subtitle Char"/>
    <w:basedOn w:val="DefaultParagraphFont"/>
    <w:link w:val="Subtitle"/>
    <w:uiPriority w:val="99"/>
    <w:rsid w:val="00B74192"/>
    <w:rPr>
      <w:rFonts w:ascii="Arial" w:hAnsi="Arial"/>
      <w:bCs/>
      <w:color w:val="FFFFFF"/>
      <w:w w:val="110"/>
      <w:sz w:val="42"/>
      <w:szCs w:val="56"/>
    </w:rPr>
  </w:style>
  <w:style w:type="paragraph" w:customStyle="1" w:styleId="Coverdate">
    <w:name w:val="Cover date"/>
    <w:basedOn w:val="Normal"/>
    <w:uiPriority w:val="99"/>
    <w:qFormat/>
    <w:rsid w:val="00CB5949"/>
    <w:pPr>
      <w:spacing w:before="0" w:after="0"/>
    </w:pPr>
    <w:rPr>
      <w:rFonts w:ascii="Arial" w:hAnsi="Arial"/>
      <w:w w:val="110"/>
      <w:sz w:val="30"/>
      <w:szCs w:val="24"/>
    </w:rPr>
  </w:style>
  <w:style w:type="paragraph" w:customStyle="1" w:styleId="Bullet1">
    <w:name w:val="Bullet 1"/>
    <w:basedOn w:val="Normal"/>
    <w:next w:val="Normal"/>
    <w:link w:val="Bullet1Char"/>
    <w:qFormat/>
    <w:rsid w:val="00CC405F"/>
    <w:pPr>
      <w:numPr>
        <w:numId w:val="6"/>
      </w:numPr>
      <w:ind w:left="357" w:hanging="357"/>
    </w:pPr>
  </w:style>
  <w:style w:type="paragraph" w:customStyle="1" w:styleId="Bullet2">
    <w:name w:val="Bullet 2"/>
    <w:basedOn w:val="Normal"/>
    <w:next w:val="Normal"/>
    <w:link w:val="Bullet2Char"/>
    <w:uiPriority w:val="4"/>
    <w:qFormat/>
    <w:rsid w:val="008B2E09"/>
    <w:pPr>
      <w:numPr>
        <w:ilvl w:val="1"/>
        <w:numId w:val="6"/>
      </w:numPr>
      <w:ind w:hanging="357"/>
    </w:pPr>
  </w:style>
  <w:style w:type="paragraph" w:customStyle="1" w:styleId="Bullet3">
    <w:name w:val="Bullet 3"/>
    <w:basedOn w:val="Bullet2"/>
    <w:next w:val="Normal"/>
    <w:uiPriority w:val="4"/>
    <w:qFormat/>
    <w:rsid w:val="008B2E09"/>
    <w:pPr>
      <w:numPr>
        <w:ilvl w:val="2"/>
      </w:numPr>
      <w:ind w:left="1071" w:hanging="357"/>
    </w:pPr>
  </w:style>
  <w:style w:type="character" w:customStyle="1" w:styleId="BoldItalic">
    <w:name w:val="*Bold + Italic"/>
    <w:basedOn w:val="DefaultParagraphFont"/>
    <w:uiPriority w:val="7"/>
    <w:qFormat/>
    <w:rsid w:val="005D60DA"/>
    <w:rPr>
      <w:b/>
      <w:i/>
    </w:rPr>
  </w:style>
  <w:style w:type="character" w:customStyle="1" w:styleId="ALLCAPS">
    <w:name w:val="*ALL CAPS"/>
    <w:basedOn w:val="DefaultParagraphFont"/>
    <w:uiPriority w:val="17"/>
    <w:qFormat/>
    <w:rsid w:val="00DC296C"/>
    <w:rPr>
      <w:caps/>
      <w:smallCaps w:val="0"/>
    </w:rPr>
  </w:style>
  <w:style w:type="character" w:customStyle="1" w:styleId="Superscript">
    <w:name w:val="*Superscript"/>
    <w:basedOn w:val="DefaultParagraphFont"/>
    <w:uiPriority w:val="17"/>
    <w:qFormat/>
    <w:rsid w:val="00DC296C"/>
    <w:rPr>
      <w:vertAlign w:val="superscript"/>
    </w:rPr>
  </w:style>
  <w:style w:type="character" w:customStyle="1" w:styleId="Subscript">
    <w:name w:val="*Subscript"/>
    <w:basedOn w:val="DefaultParagraphFont"/>
    <w:uiPriority w:val="17"/>
    <w:qFormat/>
    <w:rsid w:val="00DC296C"/>
    <w:rPr>
      <w:vertAlign w:val="subscript"/>
    </w:rPr>
  </w:style>
  <w:style w:type="character" w:customStyle="1" w:styleId="Accentcolour1">
    <w:name w:val="*Accent colour 1"/>
    <w:basedOn w:val="DefaultParagraphFont"/>
    <w:uiPriority w:val="16"/>
    <w:qFormat/>
    <w:rsid w:val="00E070D2"/>
    <w:rPr>
      <w:color w:val="006EC8" w:themeColor="accent1"/>
    </w:rPr>
  </w:style>
  <w:style w:type="character" w:customStyle="1" w:styleId="Accentcolour2">
    <w:name w:val="*Accent colour 2"/>
    <w:basedOn w:val="DefaultParagraphFont"/>
    <w:uiPriority w:val="16"/>
    <w:qFormat/>
    <w:rsid w:val="00E070D2"/>
    <w:rPr>
      <w:color w:val="00BEE6" w:themeColor="accent2"/>
    </w:rPr>
  </w:style>
  <w:style w:type="character" w:customStyle="1" w:styleId="Accentcolour3">
    <w:name w:val="*Accent colour 3"/>
    <w:basedOn w:val="DefaultParagraphFont"/>
    <w:uiPriority w:val="16"/>
    <w:qFormat/>
    <w:rsid w:val="00E070D2"/>
    <w:rPr>
      <w:color w:val="FF1452" w:themeColor="accent3"/>
    </w:rPr>
  </w:style>
  <w:style w:type="character" w:customStyle="1" w:styleId="Accentcolour4">
    <w:name w:val="*Accent colour 4"/>
    <w:basedOn w:val="DefaultParagraphFont"/>
    <w:uiPriority w:val="16"/>
    <w:qFormat/>
    <w:rsid w:val="00E070D2"/>
    <w:rPr>
      <w:color w:val="993399" w:themeColor="accent4"/>
    </w:rPr>
  </w:style>
  <w:style w:type="character" w:customStyle="1" w:styleId="Accentcolour5">
    <w:name w:val="*Accent colour 5"/>
    <w:basedOn w:val="DefaultParagraphFont"/>
    <w:uiPriority w:val="16"/>
    <w:qFormat/>
    <w:rsid w:val="00E070D2"/>
    <w:rPr>
      <w:color w:val="FF6950" w:themeColor="accent5"/>
    </w:rPr>
  </w:style>
  <w:style w:type="character" w:customStyle="1" w:styleId="Accentcolour6">
    <w:name w:val="*Accent colour 6"/>
    <w:basedOn w:val="DefaultParagraphFont"/>
    <w:uiPriority w:val="16"/>
    <w:qFormat/>
    <w:rsid w:val="00E070D2"/>
    <w:rPr>
      <w:color w:val="00E0BF" w:themeColor="accent6"/>
    </w:rPr>
  </w:style>
  <w:style w:type="character" w:customStyle="1" w:styleId="Accentcolour1bold">
    <w:name w:val="*Accent colour 1 bold"/>
    <w:basedOn w:val="Accentcolour1"/>
    <w:uiPriority w:val="16"/>
    <w:qFormat/>
    <w:rsid w:val="00CE040D"/>
    <w:rPr>
      <w:b/>
      <w:color w:val="006EC8" w:themeColor="accent1"/>
    </w:rPr>
  </w:style>
  <w:style w:type="character" w:customStyle="1" w:styleId="Accentcolour2bold">
    <w:name w:val="*Accent colour 2 bold"/>
    <w:basedOn w:val="Accentcolour2"/>
    <w:uiPriority w:val="16"/>
    <w:qFormat/>
    <w:rsid w:val="00F54876"/>
    <w:rPr>
      <w:b/>
      <w:color w:val="00BEE6" w:themeColor="accent2"/>
    </w:rPr>
  </w:style>
  <w:style w:type="character" w:customStyle="1" w:styleId="Accentcolour3bold">
    <w:name w:val="*Accent colour 3 bold"/>
    <w:basedOn w:val="Accentcolour3"/>
    <w:uiPriority w:val="16"/>
    <w:qFormat/>
    <w:rsid w:val="00F54876"/>
    <w:rPr>
      <w:b/>
      <w:color w:val="FF1452" w:themeColor="accent3"/>
    </w:rPr>
  </w:style>
  <w:style w:type="character" w:customStyle="1" w:styleId="Accentcolour4bold">
    <w:name w:val="*Accent colour 4 bold"/>
    <w:basedOn w:val="Accentcolour4"/>
    <w:uiPriority w:val="16"/>
    <w:qFormat/>
    <w:rsid w:val="00F54876"/>
    <w:rPr>
      <w:b/>
      <w:color w:val="993399" w:themeColor="accent4"/>
    </w:rPr>
  </w:style>
  <w:style w:type="character" w:customStyle="1" w:styleId="Accentcolour5bold">
    <w:name w:val="*Accent colour 5 bold"/>
    <w:basedOn w:val="Accentcolour5"/>
    <w:uiPriority w:val="16"/>
    <w:qFormat/>
    <w:rsid w:val="00F54876"/>
    <w:rPr>
      <w:b/>
      <w:color w:val="FF6950" w:themeColor="accent5"/>
    </w:rPr>
  </w:style>
  <w:style w:type="character" w:customStyle="1" w:styleId="Accentcolour6bold">
    <w:name w:val="*Accent colour 6 bold"/>
    <w:basedOn w:val="Accentcolour6"/>
    <w:uiPriority w:val="16"/>
    <w:qFormat/>
    <w:rsid w:val="00F54876"/>
    <w:rPr>
      <w:b/>
      <w:color w:val="00E0BF" w:themeColor="accent6"/>
    </w:rPr>
  </w:style>
  <w:style w:type="character" w:styleId="PlaceholderText">
    <w:name w:val="Placeholder Text"/>
    <w:basedOn w:val="DefaultParagraphFont"/>
    <w:uiPriority w:val="99"/>
    <w:semiHidden/>
    <w:rsid w:val="00C73BF7"/>
    <w:rPr>
      <w:color w:val="808080"/>
    </w:rPr>
  </w:style>
  <w:style w:type="paragraph" w:styleId="Header">
    <w:name w:val="header"/>
    <w:basedOn w:val="Normal"/>
    <w:link w:val="HeaderChar"/>
    <w:uiPriority w:val="99"/>
    <w:unhideWhenUsed/>
    <w:rsid w:val="009A64AF"/>
    <w:pPr>
      <w:tabs>
        <w:tab w:val="center" w:pos="4513"/>
        <w:tab w:val="right" w:pos="9026"/>
      </w:tabs>
      <w:spacing w:before="0" w:after="0"/>
      <w:contextualSpacing/>
    </w:pPr>
    <w:rPr>
      <w:sz w:val="16"/>
    </w:rPr>
  </w:style>
  <w:style w:type="character" w:customStyle="1" w:styleId="HeaderChar">
    <w:name w:val="Header Char"/>
    <w:basedOn w:val="DefaultParagraphFont"/>
    <w:link w:val="Header"/>
    <w:uiPriority w:val="99"/>
    <w:rsid w:val="009A64AF"/>
    <w:rPr>
      <w:sz w:val="16"/>
    </w:rPr>
  </w:style>
  <w:style w:type="paragraph" w:styleId="Footer">
    <w:name w:val="footer"/>
    <w:basedOn w:val="Normal"/>
    <w:link w:val="FooterChar"/>
    <w:uiPriority w:val="99"/>
    <w:unhideWhenUsed/>
    <w:rsid w:val="003A51CF"/>
    <w:pPr>
      <w:tabs>
        <w:tab w:val="center" w:pos="4513"/>
        <w:tab w:val="right" w:pos="9026"/>
      </w:tabs>
      <w:spacing w:after="0"/>
      <w:contextualSpacing/>
    </w:pPr>
    <w:rPr>
      <w:sz w:val="16"/>
    </w:rPr>
  </w:style>
  <w:style w:type="character" w:customStyle="1" w:styleId="FooterChar">
    <w:name w:val="Footer Char"/>
    <w:basedOn w:val="DefaultParagraphFont"/>
    <w:link w:val="Footer"/>
    <w:uiPriority w:val="99"/>
    <w:rsid w:val="003A51CF"/>
    <w:rPr>
      <w:sz w:val="16"/>
      <w:lang w:val="en-GB"/>
    </w:rPr>
  </w:style>
  <w:style w:type="character" w:customStyle="1" w:styleId="Whitetext">
    <w:name w:val="*White text"/>
    <w:basedOn w:val="DefaultParagraphFont"/>
    <w:uiPriority w:val="18"/>
    <w:qFormat/>
    <w:rsid w:val="00874497"/>
    <w:rPr>
      <w:color w:val="FFFFFF"/>
    </w:rPr>
  </w:style>
  <w:style w:type="paragraph" w:styleId="TOCHeading">
    <w:name w:val="TOC Heading"/>
    <w:basedOn w:val="Heading1"/>
    <w:next w:val="Normal"/>
    <w:uiPriority w:val="39"/>
    <w:qFormat/>
    <w:rsid w:val="00D7106E"/>
    <w:pPr>
      <w:ind w:left="0"/>
      <w:outlineLvl w:val="9"/>
    </w:pPr>
  </w:style>
  <w:style w:type="paragraph" w:customStyle="1" w:styleId="Sectionnumber">
    <w:name w:val="Section number"/>
    <w:basedOn w:val="Normal"/>
    <w:uiPriority w:val="14"/>
    <w:qFormat/>
    <w:rsid w:val="00B10C22"/>
    <w:pPr>
      <w:spacing w:before="2880" w:after="1560"/>
      <w:contextualSpacing/>
    </w:pPr>
    <w:rPr>
      <w:rFonts w:ascii="Arial Black" w:hAnsi="Arial Black"/>
      <w:b/>
      <w:caps/>
      <w:color w:val="FFFFFF"/>
      <w:position w:val="-68"/>
      <w:sz w:val="72"/>
      <w:szCs w:val="600"/>
    </w:rPr>
  </w:style>
  <w:style w:type="table" w:customStyle="1" w:styleId="TFBlank">
    <w:name w:val="TF_Blank"/>
    <w:basedOn w:val="TableNormal"/>
    <w:uiPriority w:val="99"/>
    <w:rsid w:val="00AE785D"/>
    <w:pPr>
      <w:spacing w:after="0" w:line="240" w:lineRule="auto"/>
    </w:pPr>
    <w:tblPr/>
  </w:style>
  <w:style w:type="table" w:customStyle="1" w:styleId="TFBlue">
    <w:name w:val="TF_Blue"/>
    <w:basedOn w:val="TableNormal"/>
    <w:uiPriority w:val="99"/>
    <w:rsid w:val="000E46B6"/>
    <w:pPr>
      <w:spacing w:before="60" w:after="60" w:line="240" w:lineRule="auto"/>
    </w:pPr>
    <w:tblPr>
      <w:tblStyleRowBandSize w:val="1"/>
      <w:tblBorders>
        <w:top w:val="single" w:sz="4" w:space="0" w:color="006EC8" w:themeColor="accent1"/>
        <w:bottom w:val="single" w:sz="4" w:space="0" w:color="006EC8" w:themeColor="accent1"/>
      </w:tblBorders>
    </w:tblPr>
    <w:tblStylePr w:type="firstRow">
      <w:pPr>
        <w:jc w:val="left"/>
      </w:pPr>
      <w:rPr>
        <w:b/>
      </w:rPr>
      <w:tblPr/>
      <w:trPr>
        <w:tblHeader/>
      </w:trPr>
      <w:tcPr>
        <w:tcBorders>
          <w:top w:val="single" w:sz="4" w:space="0" w:color="006EC8" w:themeColor="accent1"/>
          <w:left w:val="nil"/>
          <w:bottom w:val="single" w:sz="4" w:space="0" w:color="006EC8" w:themeColor="accent1"/>
          <w:right w:val="nil"/>
          <w:insideH w:val="nil"/>
          <w:insideV w:val="nil"/>
          <w:tl2br w:val="nil"/>
          <w:tr2bl w:val="nil"/>
        </w:tcBorders>
        <w:vAlign w:val="bottom"/>
      </w:tcPr>
    </w:tblStylePr>
    <w:tblStylePr w:type="lastRow">
      <w:rPr>
        <w:b/>
      </w:rPr>
      <w:tblPr/>
      <w:tcPr>
        <w:tcBorders>
          <w:top w:val="single" w:sz="4" w:space="0" w:color="006EC8" w:themeColor="accent1"/>
          <w:left w:val="nil"/>
          <w:bottom w:val="single" w:sz="4" w:space="0" w:color="006EC8" w:themeColor="accent1"/>
          <w:right w:val="nil"/>
          <w:insideH w:val="nil"/>
          <w:insideV w:val="nil"/>
          <w:tl2br w:val="nil"/>
          <w:tr2bl w:val="nil"/>
        </w:tcBorders>
      </w:tcPr>
    </w:tblStylePr>
    <w:tblStylePr w:type="band1Horz">
      <w:tblPr/>
      <w:tcPr>
        <w:shd w:val="clear" w:color="auto" w:fill="EFF8FF"/>
      </w:tcPr>
    </w:tblStylePr>
  </w:style>
  <w:style w:type="paragraph" w:customStyle="1" w:styleId="Tabletext">
    <w:name w:val="Table text"/>
    <w:basedOn w:val="Normal"/>
    <w:qFormat/>
    <w:rsid w:val="001E3BD8"/>
    <w:pPr>
      <w:spacing w:before="60" w:after="60"/>
    </w:pPr>
  </w:style>
  <w:style w:type="paragraph" w:customStyle="1" w:styleId="Tablenumbers">
    <w:name w:val="Table numbers"/>
    <w:basedOn w:val="Tabletext"/>
    <w:uiPriority w:val="11"/>
    <w:qFormat/>
    <w:rsid w:val="001E3BD8"/>
    <w:pPr>
      <w:jc w:val="right"/>
    </w:pPr>
    <w:rPr>
      <w14:numSpacing w14:val="tabular"/>
    </w:rPr>
  </w:style>
  <w:style w:type="paragraph" w:customStyle="1" w:styleId="Tablecentred">
    <w:name w:val="Table centred"/>
    <w:basedOn w:val="Tabletext"/>
    <w:uiPriority w:val="10"/>
    <w:qFormat/>
    <w:rsid w:val="001E3BD8"/>
    <w:pPr>
      <w:jc w:val="center"/>
    </w:pPr>
  </w:style>
  <w:style w:type="paragraph" w:customStyle="1" w:styleId="Tablenotesorsource">
    <w:name w:val="Table notes or source"/>
    <w:basedOn w:val="Normal"/>
    <w:next w:val="Normal"/>
    <w:uiPriority w:val="13"/>
    <w:qFormat/>
    <w:rsid w:val="00AA1664"/>
    <w:pPr>
      <w:numPr>
        <w:numId w:val="7"/>
      </w:numPr>
      <w:spacing w:after="40"/>
    </w:pPr>
    <w:rPr>
      <w:sz w:val="18"/>
    </w:rPr>
  </w:style>
  <w:style w:type="paragraph" w:customStyle="1" w:styleId="Tablenotesnumbers">
    <w:name w:val="Table notes numbers"/>
    <w:basedOn w:val="Normal"/>
    <w:next w:val="Normal"/>
    <w:uiPriority w:val="13"/>
    <w:qFormat/>
    <w:rsid w:val="00097D42"/>
    <w:pPr>
      <w:numPr>
        <w:ilvl w:val="1"/>
        <w:numId w:val="7"/>
      </w:numPr>
      <w:spacing w:before="40" w:after="40"/>
      <w:ind w:left="357" w:hanging="357"/>
    </w:pPr>
    <w:rPr>
      <w:sz w:val="18"/>
    </w:rPr>
  </w:style>
  <w:style w:type="table" w:customStyle="1" w:styleId="TFGrey">
    <w:name w:val="TF_Grey"/>
    <w:basedOn w:val="TableNormal"/>
    <w:uiPriority w:val="99"/>
    <w:rsid w:val="00C2567C"/>
    <w:pPr>
      <w:spacing w:after="0" w:line="240" w:lineRule="auto"/>
    </w:pPr>
    <w:tblPr>
      <w:tblStyleRowBandSize w:val="1"/>
      <w:tblBorders>
        <w:top w:val="single" w:sz="4" w:space="0" w:color="96888C" w:themeColor="text1" w:themeTint="80"/>
        <w:bottom w:val="single" w:sz="4" w:space="0" w:color="96888C" w:themeColor="text1" w:themeTint="80"/>
      </w:tblBorders>
    </w:tblPr>
    <w:tblStylePr w:type="firstRow">
      <w:pPr>
        <w:jc w:val="left"/>
      </w:pPr>
      <w:rPr>
        <w:b/>
      </w:rPr>
      <w:tblPr/>
      <w:trPr>
        <w:tblHeader/>
      </w:trPr>
      <w:tcPr>
        <w:tcBorders>
          <w:top w:val="single" w:sz="4" w:space="0" w:color="96888C" w:themeColor="text1" w:themeTint="80"/>
          <w:left w:val="nil"/>
          <w:bottom w:val="single" w:sz="4" w:space="0" w:color="96888C" w:themeColor="text1" w:themeTint="80"/>
          <w:right w:val="nil"/>
          <w:insideH w:val="nil"/>
          <w:insideV w:val="nil"/>
          <w:tl2br w:val="nil"/>
          <w:tr2bl w:val="nil"/>
        </w:tcBorders>
        <w:vAlign w:val="bottom"/>
      </w:tcPr>
    </w:tblStylePr>
    <w:tblStylePr w:type="lastRow">
      <w:rPr>
        <w:b/>
      </w:rPr>
      <w:tblPr/>
      <w:tcPr>
        <w:tcBorders>
          <w:top w:val="single" w:sz="4" w:space="0" w:color="96888C" w:themeColor="text1" w:themeTint="80"/>
          <w:left w:val="nil"/>
          <w:bottom w:val="single" w:sz="4" w:space="0" w:color="96888C" w:themeColor="text1" w:themeTint="80"/>
          <w:right w:val="nil"/>
          <w:insideH w:val="nil"/>
          <w:insideV w:val="nil"/>
          <w:tl2br w:val="nil"/>
          <w:tr2bl w:val="nil"/>
        </w:tcBorders>
      </w:tcPr>
    </w:tblStylePr>
    <w:tblStylePr w:type="band1Horz">
      <w:tblPr/>
      <w:tcPr>
        <w:shd w:val="clear" w:color="auto" w:fill="F8F6F7"/>
      </w:tcPr>
    </w:tblStylePr>
  </w:style>
  <w:style w:type="paragraph" w:styleId="TOC1">
    <w:name w:val="toc 1"/>
    <w:basedOn w:val="Normal"/>
    <w:next w:val="Normal"/>
    <w:autoRedefine/>
    <w:uiPriority w:val="39"/>
    <w:rsid w:val="00427CE0"/>
    <w:pPr>
      <w:tabs>
        <w:tab w:val="left" w:pos="440"/>
        <w:tab w:val="right" w:leader="dot" w:pos="9402"/>
      </w:tabs>
      <w:spacing w:after="0"/>
    </w:pPr>
    <w:rPr>
      <w:b/>
    </w:rPr>
  </w:style>
  <w:style w:type="paragraph" w:styleId="TOC2">
    <w:name w:val="toc 2"/>
    <w:basedOn w:val="Normal"/>
    <w:next w:val="Normal"/>
    <w:autoRedefine/>
    <w:uiPriority w:val="39"/>
    <w:rsid w:val="00427CE0"/>
    <w:pPr>
      <w:tabs>
        <w:tab w:val="right" w:leader="dot" w:pos="9402"/>
      </w:tabs>
      <w:spacing w:before="40" w:after="40"/>
      <w:ind w:left="1276" w:hanging="851"/>
    </w:pPr>
  </w:style>
  <w:style w:type="character" w:styleId="Hyperlink">
    <w:name w:val="Hyperlink"/>
    <w:basedOn w:val="DefaultParagraphFont"/>
    <w:uiPriority w:val="99"/>
    <w:unhideWhenUsed/>
    <w:rsid w:val="007870A2"/>
    <w:rPr>
      <w:color w:val="006EC8" w:themeColor="accent1"/>
      <w:u w:val="single"/>
    </w:rPr>
  </w:style>
  <w:style w:type="paragraph" w:styleId="NoSpacing">
    <w:name w:val="No Spacing"/>
    <w:aliases w:val="Normal no spacing"/>
    <w:uiPriority w:val="99"/>
    <w:qFormat/>
    <w:rsid w:val="009A64AF"/>
    <w:pPr>
      <w:spacing w:after="0" w:line="240" w:lineRule="auto"/>
    </w:pPr>
  </w:style>
  <w:style w:type="character" w:customStyle="1" w:styleId="Whitetextbold">
    <w:name w:val="*White text bold"/>
    <w:basedOn w:val="DefaultParagraphFont"/>
    <w:uiPriority w:val="18"/>
    <w:qFormat/>
    <w:rsid w:val="00E33AEF"/>
    <w:rPr>
      <w:b/>
      <w:color w:val="FFFFFF"/>
    </w:rPr>
  </w:style>
  <w:style w:type="character" w:styleId="UnresolvedMention">
    <w:name w:val="Unresolved Mention"/>
    <w:basedOn w:val="DefaultParagraphFont"/>
    <w:uiPriority w:val="99"/>
    <w:semiHidden/>
    <w:unhideWhenUsed/>
    <w:rsid w:val="00F76C23"/>
    <w:rPr>
      <w:color w:val="605E5C"/>
      <w:shd w:val="clear" w:color="auto" w:fill="E1DFDD"/>
    </w:rPr>
  </w:style>
  <w:style w:type="paragraph" w:customStyle="1" w:styleId="Backcoverwebaddress">
    <w:name w:val="Back cover web address"/>
    <w:basedOn w:val="Normal"/>
    <w:uiPriority w:val="99"/>
    <w:rsid w:val="00C06065"/>
    <w:pPr>
      <w:spacing w:before="13440"/>
    </w:pPr>
    <w:rPr>
      <w:rFonts w:ascii="Arial Black" w:hAnsi="Arial Black"/>
      <w:b/>
      <w:color w:val="FFFFFF"/>
      <w:sz w:val="22"/>
    </w:rPr>
  </w:style>
  <w:style w:type="character" w:styleId="CommentReference">
    <w:name w:val="annotation reference"/>
    <w:basedOn w:val="DefaultParagraphFont"/>
    <w:uiPriority w:val="99"/>
    <w:semiHidden/>
    <w:unhideWhenUsed/>
    <w:rsid w:val="006C47B4"/>
    <w:rPr>
      <w:sz w:val="16"/>
      <w:szCs w:val="16"/>
    </w:rPr>
  </w:style>
  <w:style w:type="paragraph" w:styleId="CommentText">
    <w:name w:val="annotation text"/>
    <w:basedOn w:val="Normal"/>
    <w:link w:val="CommentTextChar"/>
    <w:uiPriority w:val="99"/>
    <w:unhideWhenUsed/>
    <w:rsid w:val="006C47B4"/>
    <w:rPr>
      <w:sz w:val="20"/>
      <w:szCs w:val="20"/>
    </w:rPr>
  </w:style>
  <w:style w:type="character" w:customStyle="1" w:styleId="CommentTextChar">
    <w:name w:val="Comment Text Char"/>
    <w:basedOn w:val="DefaultParagraphFont"/>
    <w:link w:val="CommentText"/>
    <w:uiPriority w:val="99"/>
    <w:rsid w:val="006C47B4"/>
    <w:rPr>
      <w:sz w:val="20"/>
      <w:szCs w:val="20"/>
      <w:lang w:val="en-GB"/>
    </w:rPr>
  </w:style>
  <w:style w:type="paragraph" w:styleId="CommentSubject">
    <w:name w:val="annotation subject"/>
    <w:basedOn w:val="CommentText"/>
    <w:next w:val="CommentText"/>
    <w:link w:val="CommentSubjectChar"/>
    <w:uiPriority w:val="99"/>
    <w:semiHidden/>
    <w:unhideWhenUsed/>
    <w:rsid w:val="006C47B4"/>
    <w:rPr>
      <w:b/>
      <w:bCs/>
    </w:rPr>
  </w:style>
  <w:style w:type="character" w:customStyle="1" w:styleId="CommentSubjectChar">
    <w:name w:val="Comment Subject Char"/>
    <w:basedOn w:val="CommentTextChar"/>
    <w:link w:val="CommentSubject"/>
    <w:uiPriority w:val="99"/>
    <w:semiHidden/>
    <w:rsid w:val="006C47B4"/>
    <w:rPr>
      <w:b/>
      <w:bCs/>
      <w:sz w:val="20"/>
      <w:szCs w:val="20"/>
      <w:lang w:val="en-GB"/>
    </w:rPr>
  </w:style>
  <w:style w:type="paragraph" w:styleId="BalloonText">
    <w:name w:val="Balloon Text"/>
    <w:basedOn w:val="Normal"/>
    <w:link w:val="BalloonTextChar"/>
    <w:uiPriority w:val="99"/>
    <w:semiHidden/>
    <w:unhideWhenUsed/>
    <w:rsid w:val="006C47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B4"/>
    <w:rPr>
      <w:rFonts w:ascii="Segoe UI" w:hAnsi="Segoe UI" w:cs="Segoe UI"/>
      <w:sz w:val="18"/>
      <w:szCs w:val="18"/>
      <w:lang w:val="en-GB"/>
    </w:rPr>
  </w:style>
  <w:style w:type="paragraph" w:styleId="Quote">
    <w:name w:val="Quote"/>
    <w:basedOn w:val="Normal"/>
    <w:next w:val="Normal"/>
    <w:link w:val="QuoteChar"/>
    <w:uiPriority w:val="14"/>
    <w:qFormat/>
    <w:rsid w:val="00C8181B"/>
    <w:pPr>
      <w:spacing w:after="0"/>
    </w:pPr>
    <w:rPr>
      <w:rFonts w:ascii="Arial Black" w:hAnsi="Arial Black"/>
      <w:sz w:val="36"/>
      <w:szCs w:val="36"/>
    </w:rPr>
  </w:style>
  <w:style w:type="character" w:customStyle="1" w:styleId="QuoteChar">
    <w:name w:val="Quote Char"/>
    <w:basedOn w:val="DefaultParagraphFont"/>
    <w:link w:val="Quote"/>
    <w:uiPriority w:val="14"/>
    <w:rsid w:val="00700B4E"/>
    <w:rPr>
      <w:rFonts w:ascii="Arial Black" w:hAnsi="Arial Black"/>
      <w:sz w:val="36"/>
      <w:szCs w:val="36"/>
    </w:rPr>
  </w:style>
  <w:style w:type="paragraph" w:customStyle="1" w:styleId="Sidebarheading">
    <w:name w:val="Sidebar heading"/>
    <w:basedOn w:val="Normal"/>
    <w:uiPriority w:val="15"/>
    <w:qFormat/>
    <w:rsid w:val="006C3057"/>
    <w:pPr>
      <w:framePr w:w="3402" w:hSpace="181" w:wrap="around" w:vAnchor="text" w:hAnchor="margin" w:xAlign="right" w:y="1"/>
      <w:pBdr>
        <w:left w:val="single" w:sz="8" w:space="10" w:color="96888C" w:themeColor="text1" w:themeTint="80"/>
      </w:pBdr>
    </w:pPr>
    <w:rPr>
      <w:sz w:val="28"/>
      <w:szCs w:val="28"/>
    </w:rPr>
  </w:style>
  <w:style w:type="paragraph" w:customStyle="1" w:styleId="Sidebartext">
    <w:name w:val="Sidebar text"/>
    <w:basedOn w:val="Sidebarheading"/>
    <w:uiPriority w:val="15"/>
    <w:qFormat/>
    <w:rsid w:val="006C3057"/>
    <w:pPr>
      <w:framePr w:wrap="around"/>
    </w:pPr>
    <w:rPr>
      <w:sz w:val="22"/>
      <w:szCs w:val="22"/>
    </w:rPr>
  </w:style>
  <w:style w:type="paragraph" w:customStyle="1" w:styleId="LetterAddressandaddressee">
    <w:name w:val="Letter_Address and addressee"/>
    <w:basedOn w:val="Normal"/>
    <w:uiPriority w:val="13"/>
    <w:qFormat/>
    <w:rsid w:val="0077362D"/>
    <w:pPr>
      <w:spacing w:before="720"/>
      <w:contextualSpacing/>
    </w:pPr>
  </w:style>
  <w:style w:type="paragraph" w:customStyle="1" w:styleId="LetterDate">
    <w:name w:val="Letter_Date"/>
    <w:basedOn w:val="Normal"/>
    <w:uiPriority w:val="13"/>
    <w:qFormat/>
    <w:rsid w:val="0077362D"/>
    <w:pPr>
      <w:spacing w:before="1680"/>
    </w:pPr>
  </w:style>
  <w:style w:type="paragraph" w:styleId="Salutation">
    <w:name w:val="Salutation"/>
    <w:aliases w:val="Letter_Salutation"/>
    <w:basedOn w:val="Normal"/>
    <w:next w:val="Normal"/>
    <w:link w:val="SalutationChar"/>
    <w:uiPriority w:val="13"/>
    <w:rsid w:val="0077362D"/>
    <w:pPr>
      <w:spacing w:before="1200"/>
    </w:pPr>
  </w:style>
  <w:style w:type="character" w:customStyle="1" w:styleId="SalutationChar">
    <w:name w:val="Salutation Char"/>
    <w:aliases w:val="Letter_Salutation Char"/>
    <w:basedOn w:val="DefaultParagraphFont"/>
    <w:link w:val="Salutation"/>
    <w:uiPriority w:val="13"/>
    <w:rsid w:val="00C17955"/>
    <w:rPr>
      <w:sz w:val="21"/>
    </w:rPr>
  </w:style>
  <w:style w:type="paragraph" w:customStyle="1" w:styleId="LetterSubjectline">
    <w:name w:val="Letter_Subject line"/>
    <w:basedOn w:val="Normal"/>
    <w:next w:val="Normal"/>
    <w:uiPriority w:val="13"/>
    <w:qFormat/>
    <w:rsid w:val="00CB5949"/>
    <w:pPr>
      <w:spacing w:before="400" w:after="400"/>
    </w:pPr>
    <w:rPr>
      <w:rFonts w:ascii="Arial" w:hAnsi="Arial"/>
      <w:color w:val="006EC8" w:themeColor="accent1"/>
      <w:sz w:val="28"/>
      <w:szCs w:val="28"/>
    </w:rPr>
  </w:style>
  <w:style w:type="paragraph" w:customStyle="1" w:styleId="LetterSignoff">
    <w:name w:val="Letter_Signoff"/>
    <w:basedOn w:val="Normal"/>
    <w:uiPriority w:val="13"/>
    <w:qFormat/>
    <w:rsid w:val="0081796F"/>
    <w:pPr>
      <w:spacing w:before="960"/>
      <w:contextualSpacing/>
    </w:pPr>
  </w:style>
  <w:style w:type="paragraph" w:customStyle="1" w:styleId="Letterfooter">
    <w:name w:val="Letter_footer"/>
    <w:basedOn w:val="Footer"/>
    <w:uiPriority w:val="99"/>
    <w:qFormat/>
    <w:rsid w:val="005F5490"/>
    <w:pPr>
      <w:jc w:val="right"/>
    </w:pPr>
  </w:style>
  <w:style w:type="paragraph" w:styleId="Bibliography">
    <w:name w:val="Bibliography"/>
    <w:basedOn w:val="Normal"/>
    <w:next w:val="Normal"/>
    <w:uiPriority w:val="37"/>
    <w:semiHidden/>
    <w:unhideWhenUsed/>
    <w:rsid w:val="00193F00"/>
  </w:style>
  <w:style w:type="paragraph" w:styleId="BlockText">
    <w:name w:val="Block Text"/>
    <w:basedOn w:val="Normal"/>
    <w:uiPriority w:val="99"/>
    <w:semiHidden/>
    <w:unhideWhenUsed/>
    <w:rsid w:val="00193F00"/>
    <w:pPr>
      <w:pBdr>
        <w:top w:val="single" w:sz="2" w:space="10" w:color="006EC8" w:themeColor="accent1"/>
        <w:left w:val="single" w:sz="2" w:space="10" w:color="006EC8" w:themeColor="accent1"/>
        <w:bottom w:val="single" w:sz="2" w:space="10" w:color="006EC8" w:themeColor="accent1"/>
        <w:right w:val="single" w:sz="2" w:space="10" w:color="006EC8" w:themeColor="accent1"/>
      </w:pBdr>
      <w:ind w:left="1152" w:right="1152"/>
    </w:pPr>
    <w:rPr>
      <w:rFonts w:eastAsiaTheme="minorEastAsia"/>
      <w:i/>
      <w:iCs/>
      <w:color w:val="006EC8" w:themeColor="accent1"/>
    </w:rPr>
  </w:style>
  <w:style w:type="paragraph" w:styleId="Caption">
    <w:name w:val="caption"/>
    <w:basedOn w:val="Normal"/>
    <w:next w:val="Normal"/>
    <w:uiPriority w:val="12"/>
    <w:qFormat/>
    <w:rsid w:val="00261658"/>
    <w:pPr>
      <w:keepNext/>
      <w:keepLines/>
      <w:spacing w:before="200"/>
    </w:pPr>
    <w:rPr>
      <w:iCs/>
      <w:color w:val="006EC8" w:themeColor="accent1"/>
      <w:szCs w:val="18"/>
    </w:rPr>
  </w:style>
  <w:style w:type="paragraph" w:styleId="Closing">
    <w:name w:val="Closing"/>
    <w:basedOn w:val="Normal"/>
    <w:link w:val="ClosingChar"/>
    <w:uiPriority w:val="99"/>
    <w:semiHidden/>
    <w:unhideWhenUsed/>
    <w:rsid w:val="00193F00"/>
    <w:pPr>
      <w:spacing w:after="0"/>
      <w:ind w:left="4252"/>
    </w:pPr>
  </w:style>
  <w:style w:type="character" w:customStyle="1" w:styleId="ClosingChar">
    <w:name w:val="Closing Char"/>
    <w:basedOn w:val="DefaultParagraphFont"/>
    <w:link w:val="Closing"/>
    <w:uiPriority w:val="99"/>
    <w:semiHidden/>
    <w:rsid w:val="00193F00"/>
    <w:rPr>
      <w:lang w:val="en-GB"/>
    </w:rPr>
  </w:style>
  <w:style w:type="paragraph" w:styleId="Date">
    <w:name w:val="Date"/>
    <w:basedOn w:val="Normal"/>
    <w:next w:val="Normal"/>
    <w:link w:val="DateChar"/>
    <w:uiPriority w:val="99"/>
    <w:semiHidden/>
    <w:unhideWhenUsed/>
    <w:rsid w:val="00193F00"/>
  </w:style>
  <w:style w:type="character" w:customStyle="1" w:styleId="DateChar">
    <w:name w:val="Date Char"/>
    <w:basedOn w:val="DefaultParagraphFont"/>
    <w:link w:val="Date"/>
    <w:uiPriority w:val="99"/>
    <w:semiHidden/>
    <w:rsid w:val="00193F00"/>
    <w:rPr>
      <w:lang w:val="en-GB"/>
    </w:rPr>
  </w:style>
  <w:style w:type="paragraph" w:styleId="DocumentMap">
    <w:name w:val="Document Map"/>
    <w:basedOn w:val="Normal"/>
    <w:link w:val="DocumentMapChar"/>
    <w:uiPriority w:val="99"/>
    <w:semiHidden/>
    <w:unhideWhenUsed/>
    <w:rsid w:val="00193F0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3F00"/>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193F00"/>
    <w:pPr>
      <w:spacing w:after="0"/>
    </w:pPr>
  </w:style>
  <w:style w:type="character" w:customStyle="1" w:styleId="E-mailSignatureChar">
    <w:name w:val="E-mail Signature Char"/>
    <w:basedOn w:val="DefaultParagraphFont"/>
    <w:link w:val="E-mailSignature"/>
    <w:uiPriority w:val="99"/>
    <w:semiHidden/>
    <w:rsid w:val="00193F00"/>
    <w:rPr>
      <w:lang w:val="en-GB"/>
    </w:rPr>
  </w:style>
  <w:style w:type="paragraph" w:styleId="EndnoteText">
    <w:name w:val="endnote text"/>
    <w:basedOn w:val="Normal"/>
    <w:link w:val="EndnoteTextChar"/>
    <w:uiPriority w:val="99"/>
    <w:semiHidden/>
    <w:unhideWhenUsed/>
    <w:rsid w:val="00193F00"/>
    <w:pPr>
      <w:spacing w:after="0"/>
    </w:pPr>
    <w:rPr>
      <w:sz w:val="20"/>
      <w:szCs w:val="20"/>
    </w:rPr>
  </w:style>
  <w:style w:type="character" w:customStyle="1" w:styleId="EndnoteTextChar">
    <w:name w:val="Endnote Text Char"/>
    <w:basedOn w:val="DefaultParagraphFont"/>
    <w:link w:val="EndnoteText"/>
    <w:uiPriority w:val="99"/>
    <w:semiHidden/>
    <w:rsid w:val="00193F00"/>
    <w:rPr>
      <w:sz w:val="20"/>
      <w:szCs w:val="20"/>
      <w:lang w:val="en-GB"/>
    </w:rPr>
  </w:style>
  <w:style w:type="paragraph" w:styleId="EnvelopeAddress">
    <w:name w:val="envelope address"/>
    <w:basedOn w:val="Normal"/>
    <w:uiPriority w:val="99"/>
    <w:semiHidden/>
    <w:unhideWhenUsed/>
    <w:rsid w:val="00193F0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93F00"/>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93F00"/>
    <w:pPr>
      <w:spacing w:after="0"/>
    </w:pPr>
    <w:rPr>
      <w:sz w:val="20"/>
      <w:szCs w:val="20"/>
    </w:rPr>
  </w:style>
  <w:style w:type="character" w:customStyle="1" w:styleId="FootnoteTextChar">
    <w:name w:val="Footnote Text Char"/>
    <w:basedOn w:val="DefaultParagraphFont"/>
    <w:link w:val="FootnoteText"/>
    <w:uiPriority w:val="99"/>
    <w:semiHidden/>
    <w:rsid w:val="00193F00"/>
    <w:rPr>
      <w:sz w:val="20"/>
      <w:szCs w:val="20"/>
      <w:lang w:val="en-GB"/>
    </w:rPr>
  </w:style>
  <w:style w:type="paragraph" w:styleId="HTMLAddress">
    <w:name w:val="HTML Address"/>
    <w:basedOn w:val="Normal"/>
    <w:link w:val="HTMLAddressChar"/>
    <w:uiPriority w:val="99"/>
    <w:semiHidden/>
    <w:unhideWhenUsed/>
    <w:rsid w:val="00193F00"/>
    <w:pPr>
      <w:spacing w:after="0"/>
    </w:pPr>
    <w:rPr>
      <w:i/>
      <w:iCs/>
    </w:rPr>
  </w:style>
  <w:style w:type="character" w:customStyle="1" w:styleId="HTMLAddressChar">
    <w:name w:val="HTML Address Char"/>
    <w:basedOn w:val="DefaultParagraphFont"/>
    <w:link w:val="HTMLAddress"/>
    <w:uiPriority w:val="99"/>
    <w:semiHidden/>
    <w:rsid w:val="00193F00"/>
    <w:rPr>
      <w:i/>
      <w:iCs/>
      <w:lang w:val="en-GB"/>
    </w:rPr>
  </w:style>
  <w:style w:type="paragraph" w:styleId="HTMLPreformatted">
    <w:name w:val="HTML Preformatted"/>
    <w:basedOn w:val="Normal"/>
    <w:link w:val="HTMLPreformattedChar"/>
    <w:uiPriority w:val="99"/>
    <w:semiHidden/>
    <w:unhideWhenUsed/>
    <w:rsid w:val="00193F00"/>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3F00"/>
    <w:rPr>
      <w:rFonts w:ascii="Consolas" w:hAnsi="Consolas"/>
      <w:sz w:val="20"/>
      <w:szCs w:val="20"/>
      <w:lang w:val="en-GB"/>
    </w:rPr>
  </w:style>
  <w:style w:type="paragraph" w:styleId="Index1">
    <w:name w:val="index 1"/>
    <w:basedOn w:val="Normal"/>
    <w:next w:val="Normal"/>
    <w:autoRedefine/>
    <w:uiPriority w:val="99"/>
    <w:semiHidden/>
    <w:unhideWhenUsed/>
    <w:rsid w:val="00193F00"/>
    <w:pPr>
      <w:spacing w:after="0"/>
      <w:ind w:left="220" w:hanging="220"/>
    </w:pPr>
  </w:style>
  <w:style w:type="paragraph" w:styleId="Index2">
    <w:name w:val="index 2"/>
    <w:basedOn w:val="Normal"/>
    <w:next w:val="Normal"/>
    <w:autoRedefine/>
    <w:uiPriority w:val="99"/>
    <w:semiHidden/>
    <w:unhideWhenUsed/>
    <w:rsid w:val="00193F00"/>
    <w:pPr>
      <w:spacing w:after="0"/>
      <w:ind w:left="440" w:hanging="220"/>
    </w:pPr>
  </w:style>
  <w:style w:type="paragraph" w:styleId="Index3">
    <w:name w:val="index 3"/>
    <w:basedOn w:val="Normal"/>
    <w:next w:val="Normal"/>
    <w:autoRedefine/>
    <w:uiPriority w:val="99"/>
    <w:semiHidden/>
    <w:unhideWhenUsed/>
    <w:rsid w:val="00193F00"/>
    <w:pPr>
      <w:spacing w:after="0"/>
      <w:ind w:left="660" w:hanging="220"/>
    </w:pPr>
  </w:style>
  <w:style w:type="paragraph" w:styleId="Index4">
    <w:name w:val="index 4"/>
    <w:basedOn w:val="Normal"/>
    <w:next w:val="Normal"/>
    <w:autoRedefine/>
    <w:uiPriority w:val="99"/>
    <w:semiHidden/>
    <w:unhideWhenUsed/>
    <w:rsid w:val="00193F00"/>
    <w:pPr>
      <w:spacing w:after="0"/>
      <w:ind w:left="880" w:hanging="220"/>
    </w:pPr>
  </w:style>
  <w:style w:type="paragraph" w:styleId="Index5">
    <w:name w:val="index 5"/>
    <w:basedOn w:val="Normal"/>
    <w:next w:val="Normal"/>
    <w:autoRedefine/>
    <w:uiPriority w:val="99"/>
    <w:semiHidden/>
    <w:unhideWhenUsed/>
    <w:rsid w:val="00193F00"/>
    <w:pPr>
      <w:spacing w:after="0"/>
      <w:ind w:left="1100" w:hanging="220"/>
    </w:pPr>
  </w:style>
  <w:style w:type="paragraph" w:styleId="Index6">
    <w:name w:val="index 6"/>
    <w:basedOn w:val="Normal"/>
    <w:next w:val="Normal"/>
    <w:autoRedefine/>
    <w:uiPriority w:val="99"/>
    <w:semiHidden/>
    <w:unhideWhenUsed/>
    <w:rsid w:val="00193F00"/>
    <w:pPr>
      <w:spacing w:after="0"/>
      <w:ind w:left="1320" w:hanging="220"/>
    </w:pPr>
  </w:style>
  <w:style w:type="paragraph" w:styleId="Index7">
    <w:name w:val="index 7"/>
    <w:basedOn w:val="Normal"/>
    <w:next w:val="Normal"/>
    <w:autoRedefine/>
    <w:uiPriority w:val="99"/>
    <w:semiHidden/>
    <w:unhideWhenUsed/>
    <w:rsid w:val="00193F00"/>
    <w:pPr>
      <w:spacing w:after="0"/>
      <w:ind w:left="1540" w:hanging="220"/>
    </w:pPr>
  </w:style>
  <w:style w:type="paragraph" w:styleId="Index8">
    <w:name w:val="index 8"/>
    <w:basedOn w:val="Normal"/>
    <w:next w:val="Normal"/>
    <w:autoRedefine/>
    <w:uiPriority w:val="99"/>
    <w:semiHidden/>
    <w:unhideWhenUsed/>
    <w:rsid w:val="00193F00"/>
    <w:pPr>
      <w:spacing w:after="0"/>
      <w:ind w:left="1760" w:hanging="220"/>
    </w:pPr>
  </w:style>
  <w:style w:type="paragraph" w:styleId="Index9">
    <w:name w:val="index 9"/>
    <w:basedOn w:val="Normal"/>
    <w:next w:val="Normal"/>
    <w:autoRedefine/>
    <w:uiPriority w:val="99"/>
    <w:semiHidden/>
    <w:unhideWhenUsed/>
    <w:rsid w:val="00193F00"/>
    <w:pPr>
      <w:spacing w:after="0"/>
      <w:ind w:left="1980" w:hanging="220"/>
    </w:pPr>
  </w:style>
  <w:style w:type="paragraph" w:styleId="IndexHeading">
    <w:name w:val="index heading"/>
    <w:basedOn w:val="Normal"/>
    <w:next w:val="Index1"/>
    <w:uiPriority w:val="99"/>
    <w:semiHidden/>
    <w:unhideWhenUsed/>
    <w:rsid w:val="00193F00"/>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193F00"/>
    <w:pPr>
      <w:pBdr>
        <w:top w:val="single" w:sz="4" w:space="10" w:color="006EC8" w:themeColor="accent1"/>
        <w:bottom w:val="single" w:sz="4" w:space="10" w:color="006EC8" w:themeColor="accent1"/>
      </w:pBdr>
      <w:spacing w:before="360" w:after="360"/>
      <w:ind w:left="864" w:right="864"/>
      <w:jc w:val="center"/>
    </w:pPr>
    <w:rPr>
      <w:i/>
      <w:iCs/>
      <w:color w:val="006EC8" w:themeColor="accent1"/>
    </w:rPr>
  </w:style>
  <w:style w:type="character" w:customStyle="1" w:styleId="IntenseQuoteChar">
    <w:name w:val="Intense Quote Char"/>
    <w:basedOn w:val="DefaultParagraphFont"/>
    <w:link w:val="IntenseQuote"/>
    <w:uiPriority w:val="30"/>
    <w:semiHidden/>
    <w:rsid w:val="00193F00"/>
    <w:rPr>
      <w:i/>
      <w:iCs/>
      <w:color w:val="006EC8" w:themeColor="accent1"/>
      <w:lang w:val="en-GB"/>
    </w:rPr>
  </w:style>
  <w:style w:type="paragraph" w:styleId="List">
    <w:name w:val="List"/>
    <w:basedOn w:val="Normal"/>
    <w:uiPriority w:val="99"/>
    <w:semiHidden/>
    <w:unhideWhenUsed/>
    <w:rsid w:val="00193F00"/>
    <w:pPr>
      <w:ind w:left="283" w:hanging="283"/>
      <w:contextualSpacing/>
    </w:pPr>
  </w:style>
  <w:style w:type="paragraph" w:styleId="List2">
    <w:name w:val="List 2"/>
    <w:basedOn w:val="Normal"/>
    <w:uiPriority w:val="99"/>
    <w:semiHidden/>
    <w:unhideWhenUsed/>
    <w:rsid w:val="00193F00"/>
    <w:pPr>
      <w:ind w:left="566" w:hanging="283"/>
      <w:contextualSpacing/>
    </w:pPr>
  </w:style>
  <w:style w:type="paragraph" w:styleId="List3">
    <w:name w:val="List 3"/>
    <w:basedOn w:val="Normal"/>
    <w:uiPriority w:val="99"/>
    <w:semiHidden/>
    <w:unhideWhenUsed/>
    <w:rsid w:val="00193F00"/>
    <w:pPr>
      <w:ind w:left="849" w:hanging="283"/>
      <w:contextualSpacing/>
    </w:pPr>
  </w:style>
  <w:style w:type="paragraph" w:styleId="List4">
    <w:name w:val="List 4"/>
    <w:basedOn w:val="Normal"/>
    <w:uiPriority w:val="99"/>
    <w:semiHidden/>
    <w:unhideWhenUsed/>
    <w:rsid w:val="00193F00"/>
    <w:pPr>
      <w:ind w:left="1132" w:hanging="283"/>
      <w:contextualSpacing/>
    </w:pPr>
  </w:style>
  <w:style w:type="paragraph" w:styleId="List5">
    <w:name w:val="List 5"/>
    <w:basedOn w:val="Normal"/>
    <w:uiPriority w:val="99"/>
    <w:semiHidden/>
    <w:unhideWhenUsed/>
    <w:rsid w:val="00193F00"/>
    <w:pPr>
      <w:ind w:left="1415" w:hanging="283"/>
      <w:contextualSpacing/>
    </w:pPr>
  </w:style>
  <w:style w:type="paragraph" w:styleId="ListBullet4">
    <w:name w:val="List Bullet 4"/>
    <w:basedOn w:val="Normal"/>
    <w:uiPriority w:val="99"/>
    <w:semiHidden/>
    <w:unhideWhenUsed/>
    <w:rsid w:val="00193F00"/>
    <w:pPr>
      <w:numPr>
        <w:numId w:val="8"/>
      </w:numPr>
      <w:contextualSpacing/>
    </w:pPr>
  </w:style>
  <w:style w:type="paragraph" w:styleId="ListBullet5">
    <w:name w:val="List Bullet 5"/>
    <w:basedOn w:val="Normal"/>
    <w:uiPriority w:val="99"/>
    <w:semiHidden/>
    <w:unhideWhenUsed/>
    <w:rsid w:val="00193F00"/>
    <w:pPr>
      <w:numPr>
        <w:numId w:val="9"/>
      </w:numPr>
      <w:contextualSpacing/>
    </w:pPr>
  </w:style>
  <w:style w:type="paragraph" w:styleId="ListContinue">
    <w:name w:val="List Continue"/>
    <w:basedOn w:val="Normal"/>
    <w:uiPriority w:val="99"/>
    <w:semiHidden/>
    <w:rsid w:val="00193F00"/>
    <w:pPr>
      <w:contextualSpacing/>
    </w:pPr>
  </w:style>
  <w:style w:type="paragraph" w:styleId="ListContinue2">
    <w:name w:val="List Continue 2"/>
    <w:basedOn w:val="Normal"/>
    <w:uiPriority w:val="99"/>
    <w:semiHidden/>
    <w:rsid w:val="00193F00"/>
    <w:pPr>
      <w:contextualSpacing/>
    </w:pPr>
  </w:style>
  <w:style w:type="paragraph" w:styleId="ListContinue3">
    <w:name w:val="List Continue 3"/>
    <w:basedOn w:val="Normal"/>
    <w:uiPriority w:val="99"/>
    <w:semiHidden/>
    <w:rsid w:val="00193F00"/>
    <w:pPr>
      <w:ind w:left="849"/>
      <w:contextualSpacing/>
    </w:pPr>
  </w:style>
  <w:style w:type="paragraph" w:styleId="ListContinue4">
    <w:name w:val="List Continue 4"/>
    <w:basedOn w:val="Normal"/>
    <w:uiPriority w:val="99"/>
    <w:semiHidden/>
    <w:rsid w:val="00193F00"/>
    <w:pPr>
      <w:ind w:left="1132"/>
      <w:contextualSpacing/>
    </w:pPr>
  </w:style>
  <w:style w:type="paragraph" w:styleId="ListContinue5">
    <w:name w:val="List Continue 5"/>
    <w:basedOn w:val="Normal"/>
    <w:uiPriority w:val="99"/>
    <w:semiHidden/>
    <w:rsid w:val="00193F00"/>
    <w:pPr>
      <w:ind w:left="1415"/>
      <w:contextualSpacing/>
    </w:pPr>
  </w:style>
  <w:style w:type="paragraph" w:styleId="ListNumber">
    <w:name w:val="List Number"/>
    <w:basedOn w:val="Normal"/>
    <w:uiPriority w:val="99"/>
    <w:semiHidden/>
    <w:rsid w:val="00193F00"/>
    <w:pPr>
      <w:contextualSpacing/>
    </w:pPr>
  </w:style>
  <w:style w:type="paragraph" w:styleId="ListNumber2">
    <w:name w:val="List Number 2"/>
    <w:basedOn w:val="Normal"/>
    <w:uiPriority w:val="99"/>
    <w:semiHidden/>
    <w:rsid w:val="00D17445"/>
    <w:pPr>
      <w:contextualSpacing/>
    </w:pPr>
  </w:style>
  <w:style w:type="paragraph" w:styleId="ListNumber3">
    <w:name w:val="List Number 3"/>
    <w:basedOn w:val="Normal"/>
    <w:uiPriority w:val="99"/>
    <w:semiHidden/>
    <w:rsid w:val="00D17445"/>
    <w:pPr>
      <w:contextualSpacing/>
    </w:pPr>
  </w:style>
  <w:style w:type="paragraph" w:styleId="ListNumber4">
    <w:name w:val="List Number 4"/>
    <w:basedOn w:val="Normal"/>
    <w:uiPriority w:val="99"/>
    <w:semiHidden/>
    <w:rsid w:val="00193F00"/>
    <w:pPr>
      <w:contextualSpacing/>
    </w:pPr>
  </w:style>
  <w:style w:type="paragraph" w:styleId="ListNumber5">
    <w:name w:val="List Number 5"/>
    <w:basedOn w:val="Normal"/>
    <w:uiPriority w:val="99"/>
    <w:semiHidden/>
    <w:rsid w:val="00193F00"/>
    <w:pPr>
      <w:contextualSpacing/>
    </w:pPr>
  </w:style>
  <w:style w:type="paragraph" w:styleId="ListParagraph">
    <w:name w:val="List Paragraph"/>
    <w:basedOn w:val="Normal"/>
    <w:uiPriority w:val="34"/>
    <w:qFormat/>
    <w:rsid w:val="00193F00"/>
    <w:pPr>
      <w:ind w:left="720"/>
      <w:contextualSpacing/>
    </w:pPr>
  </w:style>
  <w:style w:type="paragraph" w:styleId="MacroText">
    <w:name w:val="macro"/>
    <w:link w:val="MacroTextChar"/>
    <w:uiPriority w:val="99"/>
    <w:semiHidden/>
    <w:unhideWhenUsed/>
    <w:rsid w:val="00193F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193F00"/>
    <w:rPr>
      <w:rFonts w:ascii="Consolas" w:hAnsi="Consolas"/>
      <w:sz w:val="20"/>
      <w:szCs w:val="20"/>
      <w:lang w:val="en-GB"/>
    </w:rPr>
  </w:style>
  <w:style w:type="paragraph" w:styleId="MessageHeader">
    <w:name w:val="Message Header"/>
    <w:basedOn w:val="Normal"/>
    <w:link w:val="MessageHeaderChar"/>
    <w:uiPriority w:val="99"/>
    <w:semiHidden/>
    <w:unhideWhenUsed/>
    <w:rsid w:val="00193F0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93F00"/>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193F00"/>
    <w:rPr>
      <w:rFonts w:ascii="Times New Roman" w:hAnsi="Times New Roman" w:cs="Times New Roman"/>
      <w:sz w:val="24"/>
      <w:szCs w:val="24"/>
    </w:rPr>
  </w:style>
  <w:style w:type="paragraph" w:styleId="NormalIndent">
    <w:name w:val="Normal Indent"/>
    <w:aliases w:val="Normal indent"/>
    <w:basedOn w:val="Normal"/>
    <w:uiPriority w:val="8"/>
    <w:rsid w:val="009E7F48"/>
    <w:pPr>
      <w:ind w:left="357"/>
    </w:pPr>
  </w:style>
  <w:style w:type="paragraph" w:styleId="NoteHeading">
    <w:name w:val="Note Heading"/>
    <w:basedOn w:val="Normal"/>
    <w:next w:val="Normal"/>
    <w:link w:val="NoteHeadingChar"/>
    <w:uiPriority w:val="99"/>
    <w:semiHidden/>
    <w:unhideWhenUsed/>
    <w:rsid w:val="00193F00"/>
    <w:pPr>
      <w:spacing w:after="0"/>
    </w:pPr>
  </w:style>
  <w:style w:type="character" w:customStyle="1" w:styleId="NoteHeadingChar">
    <w:name w:val="Note Heading Char"/>
    <w:basedOn w:val="DefaultParagraphFont"/>
    <w:link w:val="NoteHeading"/>
    <w:uiPriority w:val="99"/>
    <w:semiHidden/>
    <w:rsid w:val="00193F00"/>
    <w:rPr>
      <w:lang w:val="en-GB"/>
    </w:rPr>
  </w:style>
  <w:style w:type="paragraph" w:styleId="PlainText">
    <w:name w:val="Plain Text"/>
    <w:basedOn w:val="Normal"/>
    <w:link w:val="PlainTextChar"/>
    <w:uiPriority w:val="99"/>
    <w:semiHidden/>
    <w:unhideWhenUsed/>
    <w:rsid w:val="00193F00"/>
    <w:pPr>
      <w:spacing w:after="0"/>
    </w:pPr>
    <w:rPr>
      <w:rFonts w:ascii="Consolas" w:hAnsi="Consolas"/>
      <w:szCs w:val="21"/>
    </w:rPr>
  </w:style>
  <w:style w:type="character" w:customStyle="1" w:styleId="PlainTextChar">
    <w:name w:val="Plain Text Char"/>
    <w:basedOn w:val="DefaultParagraphFont"/>
    <w:link w:val="PlainText"/>
    <w:uiPriority w:val="99"/>
    <w:semiHidden/>
    <w:rsid w:val="00193F00"/>
    <w:rPr>
      <w:rFonts w:ascii="Consolas" w:hAnsi="Consolas"/>
      <w:sz w:val="21"/>
      <w:szCs w:val="21"/>
      <w:lang w:val="en-GB"/>
    </w:rPr>
  </w:style>
  <w:style w:type="paragraph" w:styleId="Signature">
    <w:name w:val="Signature"/>
    <w:basedOn w:val="Normal"/>
    <w:link w:val="SignatureChar"/>
    <w:uiPriority w:val="99"/>
    <w:semiHidden/>
    <w:unhideWhenUsed/>
    <w:rsid w:val="00193F00"/>
    <w:pPr>
      <w:spacing w:after="0"/>
      <w:ind w:left="4252"/>
    </w:pPr>
  </w:style>
  <w:style w:type="character" w:customStyle="1" w:styleId="SignatureChar">
    <w:name w:val="Signature Char"/>
    <w:basedOn w:val="DefaultParagraphFont"/>
    <w:link w:val="Signature"/>
    <w:uiPriority w:val="99"/>
    <w:semiHidden/>
    <w:rsid w:val="00193F00"/>
    <w:rPr>
      <w:lang w:val="en-GB"/>
    </w:rPr>
  </w:style>
  <w:style w:type="paragraph" w:styleId="TableofAuthorities">
    <w:name w:val="table of authorities"/>
    <w:basedOn w:val="Normal"/>
    <w:next w:val="Normal"/>
    <w:uiPriority w:val="99"/>
    <w:semiHidden/>
    <w:unhideWhenUsed/>
    <w:rsid w:val="00193F00"/>
    <w:pPr>
      <w:spacing w:after="0"/>
      <w:ind w:left="220" w:hanging="220"/>
    </w:pPr>
  </w:style>
  <w:style w:type="paragraph" w:styleId="TableofFigures">
    <w:name w:val="table of figures"/>
    <w:basedOn w:val="Normal"/>
    <w:next w:val="Normal"/>
    <w:uiPriority w:val="99"/>
    <w:semiHidden/>
    <w:unhideWhenUsed/>
    <w:rsid w:val="00193F00"/>
    <w:pPr>
      <w:spacing w:after="0"/>
    </w:pPr>
  </w:style>
  <w:style w:type="paragraph" w:styleId="TOAHeading">
    <w:name w:val="toa heading"/>
    <w:basedOn w:val="Normal"/>
    <w:next w:val="Normal"/>
    <w:uiPriority w:val="99"/>
    <w:semiHidden/>
    <w:unhideWhenUsed/>
    <w:rsid w:val="00193F00"/>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427CE0"/>
    <w:pPr>
      <w:tabs>
        <w:tab w:val="left" w:pos="2127"/>
        <w:tab w:val="right" w:leader="dot" w:pos="9402"/>
      </w:tabs>
      <w:spacing w:before="40" w:after="40"/>
      <w:ind w:left="2127" w:hanging="851"/>
    </w:pPr>
    <w:rPr>
      <w:color w:val="231F20" w:themeColor="text1"/>
    </w:rPr>
  </w:style>
  <w:style w:type="paragraph" w:styleId="TOC4">
    <w:name w:val="toc 4"/>
    <w:basedOn w:val="Normal"/>
    <w:next w:val="Normal"/>
    <w:autoRedefine/>
    <w:uiPriority w:val="39"/>
    <w:rsid w:val="00793BA5"/>
    <w:pPr>
      <w:spacing w:after="0"/>
    </w:pPr>
    <w:rPr>
      <w:color w:val="006EC8" w:themeColor="accent1"/>
      <w:sz w:val="36"/>
    </w:rPr>
  </w:style>
  <w:style w:type="paragraph" w:styleId="TOC5">
    <w:name w:val="toc 5"/>
    <w:basedOn w:val="Normal"/>
    <w:next w:val="Normal"/>
    <w:autoRedefine/>
    <w:uiPriority w:val="39"/>
    <w:semiHidden/>
    <w:unhideWhenUsed/>
    <w:rsid w:val="00193F00"/>
    <w:pPr>
      <w:spacing w:after="100"/>
      <w:ind w:left="880"/>
    </w:pPr>
  </w:style>
  <w:style w:type="paragraph" w:styleId="TOC6">
    <w:name w:val="toc 6"/>
    <w:basedOn w:val="Normal"/>
    <w:next w:val="Normal"/>
    <w:autoRedefine/>
    <w:uiPriority w:val="39"/>
    <w:semiHidden/>
    <w:unhideWhenUsed/>
    <w:rsid w:val="00193F00"/>
    <w:pPr>
      <w:spacing w:after="100"/>
      <w:ind w:left="1100"/>
    </w:pPr>
  </w:style>
  <w:style w:type="paragraph" w:styleId="TOC7">
    <w:name w:val="toc 7"/>
    <w:basedOn w:val="Normal"/>
    <w:next w:val="Normal"/>
    <w:autoRedefine/>
    <w:uiPriority w:val="39"/>
    <w:semiHidden/>
    <w:unhideWhenUsed/>
    <w:rsid w:val="00193F00"/>
    <w:pPr>
      <w:spacing w:after="100"/>
      <w:ind w:left="1320"/>
    </w:pPr>
  </w:style>
  <w:style w:type="paragraph" w:styleId="TOC8">
    <w:name w:val="toc 8"/>
    <w:basedOn w:val="Normal"/>
    <w:next w:val="Normal"/>
    <w:autoRedefine/>
    <w:uiPriority w:val="39"/>
    <w:semiHidden/>
    <w:unhideWhenUsed/>
    <w:rsid w:val="00193F00"/>
    <w:pPr>
      <w:spacing w:after="100"/>
      <w:ind w:left="1540"/>
    </w:pPr>
  </w:style>
  <w:style w:type="paragraph" w:styleId="TOC9">
    <w:name w:val="toc 9"/>
    <w:basedOn w:val="Normal"/>
    <w:next w:val="Normal"/>
    <w:autoRedefine/>
    <w:uiPriority w:val="39"/>
    <w:semiHidden/>
    <w:unhideWhenUsed/>
    <w:rsid w:val="00193F00"/>
    <w:pPr>
      <w:spacing w:after="100"/>
      <w:ind w:left="1760"/>
    </w:pPr>
  </w:style>
  <w:style w:type="paragraph" w:customStyle="1" w:styleId="CVName">
    <w:name w:val="CV_Name"/>
    <w:basedOn w:val="Normal"/>
    <w:uiPriority w:val="99"/>
    <w:qFormat/>
    <w:rsid w:val="00853EBD"/>
    <w:pPr>
      <w:spacing w:after="0"/>
    </w:pPr>
    <w:rPr>
      <w:rFonts w:ascii="Arial Black" w:hAnsi="Arial Black"/>
      <w:b/>
      <w:bCs/>
      <w:color w:val="006EC8" w:themeColor="accent1"/>
      <w:sz w:val="28"/>
      <w:szCs w:val="36"/>
    </w:rPr>
  </w:style>
  <w:style w:type="paragraph" w:customStyle="1" w:styleId="CVTitle">
    <w:name w:val="CV_Title"/>
    <w:basedOn w:val="Normal"/>
    <w:uiPriority w:val="99"/>
    <w:qFormat/>
    <w:rsid w:val="0093673F"/>
    <w:pPr>
      <w:spacing w:after="200"/>
    </w:pPr>
    <w:rPr>
      <w:rFonts w:ascii="Arial" w:hAnsi="Arial"/>
      <w:sz w:val="28"/>
      <w:szCs w:val="28"/>
    </w:rPr>
  </w:style>
  <w:style w:type="character" w:styleId="FootnoteReference">
    <w:name w:val="footnote reference"/>
    <w:basedOn w:val="DefaultParagraphFont"/>
    <w:uiPriority w:val="99"/>
    <w:semiHidden/>
    <w:unhideWhenUsed/>
    <w:rsid w:val="004E39A5"/>
    <w:rPr>
      <w:vertAlign w:val="superscript"/>
    </w:rPr>
  </w:style>
  <w:style w:type="paragraph" w:customStyle="1" w:styleId="Numberbullet1">
    <w:name w:val="Number bullet 1"/>
    <w:basedOn w:val="ListNumber"/>
    <w:uiPriority w:val="5"/>
    <w:qFormat/>
    <w:rsid w:val="00EC2DBA"/>
    <w:pPr>
      <w:numPr>
        <w:ilvl w:val="1"/>
        <w:numId w:val="10"/>
      </w:numPr>
      <w:contextualSpacing w:val="0"/>
    </w:pPr>
  </w:style>
  <w:style w:type="paragraph" w:customStyle="1" w:styleId="Numberbullet2">
    <w:name w:val="Number bullet 2"/>
    <w:basedOn w:val="ListNumber2"/>
    <w:uiPriority w:val="5"/>
    <w:qFormat/>
    <w:rsid w:val="00EC2DBA"/>
    <w:pPr>
      <w:numPr>
        <w:ilvl w:val="2"/>
        <w:numId w:val="10"/>
      </w:numPr>
      <w:contextualSpacing w:val="0"/>
    </w:pPr>
  </w:style>
  <w:style w:type="paragraph" w:customStyle="1" w:styleId="Numberbullet3">
    <w:name w:val="Number bullet 3"/>
    <w:basedOn w:val="Heading9"/>
    <w:uiPriority w:val="5"/>
    <w:qFormat/>
    <w:rsid w:val="00EC2DBA"/>
    <w:pPr>
      <w:numPr>
        <w:ilvl w:val="3"/>
        <w:numId w:val="10"/>
      </w:numPr>
      <w:contextualSpacing w:val="0"/>
    </w:pPr>
  </w:style>
  <w:style w:type="paragraph" w:customStyle="1" w:styleId="Normalindent2">
    <w:name w:val="Normal indent 2"/>
    <w:basedOn w:val="Normal"/>
    <w:uiPriority w:val="8"/>
    <w:qFormat/>
    <w:rsid w:val="009E7F48"/>
    <w:pPr>
      <w:ind w:left="714"/>
    </w:pPr>
  </w:style>
  <w:style w:type="paragraph" w:customStyle="1" w:styleId="Normalindent3">
    <w:name w:val="Normal indent 3"/>
    <w:basedOn w:val="Normal"/>
    <w:uiPriority w:val="8"/>
    <w:qFormat/>
    <w:rsid w:val="009E7F48"/>
    <w:pPr>
      <w:ind w:left="1072"/>
    </w:pPr>
  </w:style>
  <w:style w:type="paragraph" w:customStyle="1" w:styleId="spacer">
    <w:name w:val="spacer"/>
    <w:basedOn w:val="NoSpacing"/>
    <w:uiPriority w:val="99"/>
    <w:qFormat/>
    <w:rsid w:val="00881865"/>
    <w:rPr>
      <w:sz w:val="4"/>
      <w:szCs w:val="4"/>
    </w:rPr>
  </w:style>
  <w:style w:type="paragraph" w:customStyle="1" w:styleId="Sectionsubtitle">
    <w:name w:val="Section subtitle"/>
    <w:basedOn w:val="Normal"/>
    <w:uiPriority w:val="14"/>
    <w:qFormat/>
    <w:rsid w:val="00CB5949"/>
    <w:pPr>
      <w:spacing w:before="0" w:after="0" w:line="520" w:lineRule="exact"/>
    </w:pPr>
    <w:rPr>
      <w:rFonts w:ascii="Arial" w:hAnsi="Arial"/>
      <w:color w:val="FFFFFF" w:themeColor="background1"/>
      <w:w w:val="110"/>
      <w:sz w:val="52"/>
    </w:rPr>
  </w:style>
  <w:style w:type="character" w:customStyle="1" w:styleId="Black">
    <w:name w:val="*Black"/>
    <w:basedOn w:val="DefaultParagraphFont"/>
    <w:uiPriority w:val="16"/>
    <w:qFormat/>
    <w:rsid w:val="00B20C53"/>
    <w:rPr>
      <w:color w:val="auto"/>
    </w:rPr>
  </w:style>
  <w:style w:type="paragraph" w:customStyle="1" w:styleId="ACNABN">
    <w:name w:val="ACN ABN"/>
    <w:basedOn w:val="Backcoverwebaddress"/>
    <w:uiPriority w:val="99"/>
    <w:qFormat/>
    <w:rsid w:val="00C06065"/>
    <w:pPr>
      <w:framePr w:hSpace="181" w:vSpace="1276" w:wrap="around" w:vAnchor="page" w:hAnchor="page" w:x="1253" w:y="13442"/>
      <w:spacing w:before="0" w:after="0"/>
    </w:pPr>
    <w:rPr>
      <w:rFonts w:asciiTheme="minorHAnsi" w:hAnsiTheme="minorHAnsi"/>
      <w:b w:val="0"/>
      <w:bCs/>
      <w:color w:val="231F20" w:themeColor="text1"/>
      <w:sz w:val="21"/>
    </w:rPr>
  </w:style>
  <w:style w:type="paragraph" w:customStyle="1" w:styleId="Insidecoverwebaddress">
    <w:name w:val="Inside cover web address"/>
    <w:basedOn w:val="Backcoverwebaddress"/>
    <w:uiPriority w:val="99"/>
    <w:rsid w:val="00C73A00"/>
    <w:pPr>
      <w:framePr w:hSpace="181" w:vSpace="1276" w:wrap="around" w:vAnchor="page" w:hAnchor="margin" w:y="13910"/>
      <w:spacing w:before="120"/>
    </w:pPr>
    <w:rPr>
      <w:color w:val="231F20" w:themeColor="text1"/>
    </w:rPr>
  </w:style>
  <w:style w:type="character" w:customStyle="1" w:styleId="Insidecoverhyperlink">
    <w:name w:val="*Inside cover hyperlink"/>
    <w:basedOn w:val="Hyperlink"/>
    <w:uiPriority w:val="99"/>
    <w:qFormat/>
    <w:rsid w:val="00C73A00"/>
    <w:rPr>
      <w:color w:val="auto"/>
      <w:u w:val="none"/>
    </w:rPr>
  </w:style>
  <w:style w:type="paragraph" w:customStyle="1" w:styleId="Headingstroke">
    <w:name w:val="Heading stroke"/>
    <w:basedOn w:val="Normal"/>
    <w:uiPriority w:val="3"/>
    <w:qFormat/>
    <w:rsid w:val="00C1785E"/>
    <w:pPr>
      <w:spacing w:after="100" w:afterAutospacing="1"/>
    </w:pPr>
  </w:style>
  <w:style w:type="character" w:styleId="IntenseEmphasis">
    <w:name w:val="Intense Emphasis"/>
    <w:basedOn w:val="DefaultParagraphFont"/>
    <w:uiPriority w:val="21"/>
    <w:semiHidden/>
    <w:qFormat/>
    <w:rsid w:val="00EF19A2"/>
    <w:rPr>
      <w:i/>
      <w:iCs/>
      <w:color w:val="005295" w:themeColor="accent1" w:themeShade="BF"/>
    </w:rPr>
  </w:style>
  <w:style w:type="character" w:styleId="IntenseReference">
    <w:name w:val="Intense Reference"/>
    <w:basedOn w:val="DefaultParagraphFont"/>
    <w:uiPriority w:val="32"/>
    <w:semiHidden/>
    <w:qFormat/>
    <w:rsid w:val="00EF19A2"/>
    <w:rPr>
      <w:b/>
      <w:bCs/>
      <w:smallCaps/>
      <w:color w:val="005295" w:themeColor="accent1" w:themeShade="BF"/>
      <w:spacing w:val="5"/>
    </w:rPr>
  </w:style>
  <w:style w:type="paragraph" w:customStyle="1" w:styleId="TFBullet2">
    <w:name w:val="TF Bullet 2"/>
    <w:basedOn w:val="Bullet2"/>
    <w:uiPriority w:val="4"/>
    <w:qFormat/>
    <w:rsid w:val="00EF19A2"/>
    <w:pPr>
      <w:numPr>
        <w:ilvl w:val="0"/>
        <w:numId w:val="11"/>
      </w:numPr>
    </w:pPr>
    <w:rPr>
      <w:rFonts w:ascii="Blanco" w:hAnsi="Blanco"/>
      <w:lang w:val="en-GB" w:eastAsia="en-AU"/>
    </w:rPr>
  </w:style>
  <w:style w:type="character" w:customStyle="1" w:styleId="Bullet2Char">
    <w:name w:val="Bullet 2 Char"/>
    <w:basedOn w:val="DefaultParagraphFont"/>
    <w:link w:val="Bullet2"/>
    <w:uiPriority w:val="4"/>
    <w:rsid w:val="00EF19A2"/>
    <w:rPr>
      <w:sz w:val="21"/>
    </w:rPr>
  </w:style>
  <w:style w:type="character" w:customStyle="1" w:styleId="Bullet1Char">
    <w:name w:val="Bullet 1 Char"/>
    <w:aliases w:val="List 1 Char,Other List Char,List Paragraph numbered Char,Bullet List Paragraph Char,List Bullet indent Char,lp11 Char,Add On (orange) Char,lp1 Char,List Paragraph1 Char,List Paragraph11 Char,Bullet List Char,Questions Char"/>
    <w:basedOn w:val="DefaultParagraphFont"/>
    <w:link w:val="Bullet1"/>
    <w:qFormat/>
    <w:rsid w:val="00EF19A2"/>
    <w:rPr>
      <w:sz w:val="21"/>
    </w:rPr>
  </w:style>
  <w:style w:type="paragraph" w:customStyle="1" w:styleId="TFNormal">
    <w:name w:val="TF Normal"/>
    <w:basedOn w:val="Normal"/>
    <w:link w:val="TFNormalChar"/>
    <w:qFormat/>
    <w:rsid w:val="00EF19A2"/>
    <w:rPr>
      <w:rFonts w:ascii="Blanco" w:eastAsia="Blanco" w:hAnsi="Blanco" w:cs="Times New Roman"/>
      <w:lang w:val="en-GB" w:eastAsia="en-AU"/>
    </w:rPr>
  </w:style>
  <w:style w:type="character" w:customStyle="1" w:styleId="TFNormalChar">
    <w:name w:val="TF Normal Char"/>
    <w:basedOn w:val="DefaultParagraphFont"/>
    <w:link w:val="TFNormal"/>
    <w:rsid w:val="00EF19A2"/>
    <w:rPr>
      <w:rFonts w:ascii="Blanco" w:eastAsia="Blanco" w:hAnsi="Blanco" w:cs="Times New Roman"/>
      <w:sz w:val="21"/>
      <w:lang w:val="en-GB" w:eastAsia="en-AU"/>
    </w:rPr>
  </w:style>
  <w:style w:type="table" w:styleId="PlainTable1">
    <w:name w:val="Plain Table 1"/>
    <w:basedOn w:val="TableNormal"/>
    <w:uiPriority w:val="41"/>
    <w:rsid w:val="000E46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g-star-inserted">
    <w:name w:val="ng-star-inserted"/>
    <w:basedOn w:val="DefaultParagraphFont"/>
    <w:rsid w:val="00205ECA"/>
  </w:style>
  <w:style w:type="table" w:styleId="PlainTable2">
    <w:name w:val="Plain Table 2"/>
    <w:basedOn w:val="TableNormal"/>
    <w:uiPriority w:val="42"/>
    <w:rsid w:val="002A7E0B"/>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paragraph" w:customStyle="1" w:styleId="CCS-TableHeading">
    <w:name w:val="CCS-Table Heading"/>
    <w:basedOn w:val="Normal"/>
    <w:link w:val="CCS-TableHeadingChar"/>
    <w:qFormat/>
    <w:rsid w:val="00325267"/>
    <w:pPr>
      <w:tabs>
        <w:tab w:val="left" w:pos="1134"/>
      </w:tabs>
      <w:spacing w:before="60"/>
    </w:pPr>
    <w:rPr>
      <w:rFonts w:ascii="Arial" w:hAnsi="Arial" w:cs="Arial"/>
      <w:b/>
      <w:sz w:val="22"/>
    </w:rPr>
  </w:style>
  <w:style w:type="paragraph" w:customStyle="1" w:styleId="CCS-TableText">
    <w:name w:val="CCS-Table Text"/>
    <w:basedOn w:val="Normal"/>
    <w:link w:val="CCS-TableTextChar"/>
    <w:qFormat/>
    <w:rsid w:val="00325267"/>
    <w:pPr>
      <w:spacing w:before="60" w:after="60"/>
    </w:pPr>
    <w:rPr>
      <w:rFonts w:ascii="Arial" w:hAnsi="Arial" w:cs="Arial"/>
      <w:sz w:val="22"/>
    </w:rPr>
  </w:style>
  <w:style w:type="character" w:customStyle="1" w:styleId="CCS-TableHeadingChar">
    <w:name w:val="CCS-Table Heading Char"/>
    <w:basedOn w:val="DefaultParagraphFont"/>
    <w:link w:val="CCS-TableHeading"/>
    <w:rsid w:val="00325267"/>
    <w:rPr>
      <w:rFonts w:ascii="Arial" w:hAnsi="Arial" w:cs="Arial"/>
      <w:b/>
    </w:rPr>
  </w:style>
  <w:style w:type="character" w:customStyle="1" w:styleId="CCS-TableTextChar">
    <w:name w:val="CCS-Table Text Char"/>
    <w:basedOn w:val="DefaultParagraphFont"/>
    <w:link w:val="CCS-TableText"/>
    <w:locked/>
    <w:rsid w:val="00325267"/>
    <w:rPr>
      <w:rFonts w:ascii="Arial" w:hAnsi="Arial" w:cs="Arial"/>
    </w:rPr>
  </w:style>
  <w:style w:type="character" w:styleId="Mention">
    <w:name w:val="Mention"/>
    <w:basedOn w:val="DefaultParagraphFont"/>
    <w:uiPriority w:val="99"/>
    <w:unhideWhenUsed/>
    <w:rsid w:val="00615822"/>
    <w:rPr>
      <w:color w:val="2B579A"/>
      <w:shd w:val="clear" w:color="auto" w:fill="E1DFDD"/>
    </w:rPr>
  </w:style>
  <w:style w:type="table" w:styleId="ListTable3-Accent1">
    <w:name w:val="List Table 3 Accent 1"/>
    <w:basedOn w:val="TableNormal"/>
    <w:uiPriority w:val="48"/>
    <w:rsid w:val="008D0467"/>
    <w:pPr>
      <w:spacing w:after="0" w:line="240" w:lineRule="auto"/>
    </w:pPr>
    <w:tblPr>
      <w:tblStyleRowBandSize w:val="1"/>
      <w:tblStyleColBandSize w:val="1"/>
      <w:tblBorders>
        <w:top w:val="single" w:sz="4" w:space="0" w:color="006EC8" w:themeColor="accent1"/>
        <w:left w:val="single" w:sz="4" w:space="0" w:color="006EC8" w:themeColor="accent1"/>
        <w:bottom w:val="single" w:sz="4" w:space="0" w:color="006EC8" w:themeColor="accent1"/>
        <w:right w:val="single" w:sz="4" w:space="0" w:color="006EC8" w:themeColor="accent1"/>
      </w:tblBorders>
    </w:tblPr>
    <w:tblStylePr w:type="firstRow">
      <w:rPr>
        <w:b/>
        <w:bCs/>
        <w:color w:val="FFFFFF" w:themeColor="background1"/>
      </w:rPr>
      <w:tblPr/>
      <w:tcPr>
        <w:shd w:val="clear" w:color="auto" w:fill="006EC8" w:themeFill="accent1"/>
      </w:tcPr>
    </w:tblStylePr>
    <w:tblStylePr w:type="lastRow">
      <w:rPr>
        <w:b/>
        <w:bCs/>
      </w:rPr>
      <w:tblPr/>
      <w:tcPr>
        <w:tcBorders>
          <w:top w:val="double" w:sz="4" w:space="0" w:color="006E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C8" w:themeColor="accent1"/>
          <w:right w:val="single" w:sz="4" w:space="0" w:color="006EC8" w:themeColor="accent1"/>
        </w:tcBorders>
      </w:tcPr>
    </w:tblStylePr>
    <w:tblStylePr w:type="band1Horz">
      <w:tblPr/>
      <w:tcPr>
        <w:tcBorders>
          <w:top w:val="single" w:sz="4" w:space="0" w:color="006EC8" w:themeColor="accent1"/>
          <w:bottom w:val="single" w:sz="4" w:space="0" w:color="006E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C8" w:themeColor="accent1"/>
          <w:left w:val="nil"/>
        </w:tcBorders>
      </w:tcPr>
    </w:tblStylePr>
    <w:tblStylePr w:type="swCell">
      <w:tblPr/>
      <w:tcPr>
        <w:tcBorders>
          <w:top w:val="double" w:sz="4" w:space="0" w:color="006EC8" w:themeColor="accent1"/>
          <w:right w:val="nil"/>
        </w:tcBorders>
      </w:tcPr>
    </w:tblStylePr>
  </w:style>
  <w:style w:type="paragraph" w:styleId="Revision">
    <w:name w:val="Revision"/>
    <w:hidden/>
    <w:uiPriority w:val="99"/>
    <w:semiHidden/>
    <w:rsid w:val="00FE46F2"/>
    <w:pPr>
      <w:spacing w:after="0" w:line="240" w:lineRule="auto"/>
    </w:pPr>
    <w:rPr>
      <w:sz w:val="21"/>
    </w:rPr>
  </w:style>
  <w:style w:type="table" w:styleId="GridTable2-Accent1">
    <w:name w:val="Grid Table 2 Accent 1"/>
    <w:basedOn w:val="TableNormal"/>
    <w:uiPriority w:val="47"/>
    <w:rsid w:val="00A71349"/>
    <w:pPr>
      <w:spacing w:after="0" w:line="240" w:lineRule="auto"/>
    </w:pPr>
    <w:tblPr>
      <w:tblStyleRowBandSize w:val="1"/>
      <w:tblStyleColBandSize w:val="1"/>
      <w:tblBorders>
        <w:top w:val="single" w:sz="2" w:space="0" w:color="45ABFF" w:themeColor="accent1" w:themeTint="99"/>
        <w:bottom w:val="single" w:sz="2" w:space="0" w:color="45ABFF" w:themeColor="accent1" w:themeTint="99"/>
        <w:insideH w:val="single" w:sz="2" w:space="0" w:color="45ABFF" w:themeColor="accent1" w:themeTint="99"/>
        <w:insideV w:val="single" w:sz="2" w:space="0" w:color="45ABFF" w:themeColor="accent1" w:themeTint="99"/>
      </w:tblBorders>
    </w:tblPr>
    <w:tblStylePr w:type="firstRow">
      <w:rPr>
        <w:b/>
        <w:bCs/>
      </w:rPr>
      <w:tblPr/>
      <w:tcPr>
        <w:tcBorders>
          <w:top w:val="nil"/>
          <w:bottom w:val="single" w:sz="12" w:space="0" w:color="45ABFF" w:themeColor="accent1" w:themeTint="99"/>
          <w:insideH w:val="nil"/>
          <w:insideV w:val="nil"/>
        </w:tcBorders>
        <w:shd w:val="clear" w:color="auto" w:fill="FFFFFF" w:themeFill="background1"/>
      </w:tcPr>
    </w:tblStylePr>
    <w:tblStylePr w:type="lastRow">
      <w:rPr>
        <w:b/>
        <w:bCs/>
      </w:rPr>
      <w:tblPr/>
      <w:tcPr>
        <w:tcBorders>
          <w:top w:val="double" w:sz="2" w:space="0" w:color="45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3FF" w:themeFill="accent1" w:themeFillTint="33"/>
      </w:tcPr>
    </w:tblStylePr>
    <w:tblStylePr w:type="band1Horz">
      <w:tblPr/>
      <w:tcPr>
        <w:shd w:val="clear" w:color="auto" w:fill="C1E3FF" w:themeFill="accent1" w:themeFillTint="33"/>
      </w:tcPr>
    </w:tblStylePr>
  </w:style>
  <w:style w:type="table" w:styleId="GridTable2-Accent2">
    <w:name w:val="Grid Table 2 Accent 2"/>
    <w:basedOn w:val="TableNormal"/>
    <w:uiPriority w:val="47"/>
    <w:rsid w:val="00A71349"/>
    <w:pPr>
      <w:spacing w:after="0" w:line="240" w:lineRule="auto"/>
    </w:pPr>
    <w:tblPr>
      <w:tblStyleRowBandSize w:val="1"/>
      <w:tblStyleColBandSize w:val="1"/>
      <w:tblBorders>
        <w:top w:val="single" w:sz="2" w:space="0" w:color="57E1FF" w:themeColor="accent2" w:themeTint="99"/>
        <w:bottom w:val="single" w:sz="2" w:space="0" w:color="57E1FF" w:themeColor="accent2" w:themeTint="99"/>
        <w:insideH w:val="single" w:sz="2" w:space="0" w:color="57E1FF" w:themeColor="accent2" w:themeTint="99"/>
        <w:insideV w:val="single" w:sz="2" w:space="0" w:color="57E1FF" w:themeColor="accent2" w:themeTint="99"/>
      </w:tblBorders>
    </w:tblPr>
    <w:tblStylePr w:type="firstRow">
      <w:rPr>
        <w:b/>
        <w:bCs/>
      </w:rPr>
      <w:tblPr/>
      <w:tcPr>
        <w:tcBorders>
          <w:top w:val="nil"/>
          <w:bottom w:val="single" w:sz="12" w:space="0" w:color="57E1FF" w:themeColor="accent2" w:themeTint="99"/>
          <w:insideH w:val="nil"/>
          <w:insideV w:val="nil"/>
        </w:tcBorders>
        <w:shd w:val="clear" w:color="auto" w:fill="FFFFFF" w:themeFill="background1"/>
      </w:tcPr>
    </w:tblStylePr>
    <w:tblStylePr w:type="lastRow">
      <w:rPr>
        <w:b/>
        <w:bCs/>
      </w:rPr>
      <w:tblPr/>
      <w:tcPr>
        <w:tcBorders>
          <w:top w:val="double" w:sz="2" w:space="0" w:color="57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5FF" w:themeFill="accent2" w:themeFillTint="33"/>
      </w:tcPr>
    </w:tblStylePr>
    <w:tblStylePr w:type="band1Horz">
      <w:tblPr/>
      <w:tcPr>
        <w:shd w:val="clear" w:color="auto" w:fill="C7F5FF" w:themeFill="accent2" w:themeFillTint="33"/>
      </w:tcPr>
    </w:tblStylePr>
  </w:style>
  <w:style w:type="table" w:styleId="GridTable4-Accent1">
    <w:name w:val="Grid Table 4 Accent 1"/>
    <w:basedOn w:val="TableNormal"/>
    <w:uiPriority w:val="49"/>
    <w:rsid w:val="00A71349"/>
    <w:pPr>
      <w:spacing w:after="0" w:line="240" w:lineRule="auto"/>
    </w:pPr>
    <w:tblPr>
      <w:tblStyleRowBandSize w:val="1"/>
      <w:tblStyleColBandSize w:val="1"/>
      <w:tblBorders>
        <w:top w:val="single" w:sz="4" w:space="0" w:color="45ABFF" w:themeColor="accent1" w:themeTint="99"/>
        <w:left w:val="single" w:sz="4" w:space="0" w:color="45ABFF" w:themeColor="accent1" w:themeTint="99"/>
        <w:bottom w:val="single" w:sz="4" w:space="0" w:color="45ABFF" w:themeColor="accent1" w:themeTint="99"/>
        <w:right w:val="single" w:sz="4" w:space="0" w:color="45ABFF" w:themeColor="accent1" w:themeTint="99"/>
        <w:insideH w:val="single" w:sz="4" w:space="0" w:color="45ABFF" w:themeColor="accent1" w:themeTint="99"/>
        <w:insideV w:val="single" w:sz="4" w:space="0" w:color="45ABFF" w:themeColor="accent1" w:themeTint="99"/>
      </w:tblBorders>
    </w:tblPr>
    <w:tblStylePr w:type="firstRow">
      <w:rPr>
        <w:b/>
        <w:bCs/>
        <w:color w:val="FFFFFF" w:themeColor="background1"/>
      </w:rPr>
      <w:tblPr/>
      <w:tcPr>
        <w:tcBorders>
          <w:top w:val="single" w:sz="4" w:space="0" w:color="006EC8" w:themeColor="accent1"/>
          <w:left w:val="single" w:sz="4" w:space="0" w:color="006EC8" w:themeColor="accent1"/>
          <w:bottom w:val="single" w:sz="4" w:space="0" w:color="006EC8" w:themeColor="accent1"/>
          <w:right w:val="single" w:sz="4" w:space="0" w:color="006EC8" w:themeColor="accent1"/>
          <w:insideH w:val="nil"/>
          <w:insideV w:val="nil"/>
        </w:tcBorders>
        <w:shd w:val="clear" w:color="auto" w:fill="006EC8" w:themeFill="accent1"/>
      </w:tcPr>
    </w:tblStylePr>
    <w:tblStylePr w:type="lastRow">
      <w:rPr>
        <w:b/>
        <w:bCs/>
      </w:rPr>
      <w:tblPr/>
      <w:tcPr>
        <w:tcBorders>
          <w:top w:val="double" w:sz="4" w:space="0" w:color="006EC8" w:themeColor="accent1"/>
        </w:tcBorders>
      </w:tcPr>
    </w:tblStylePr>
    <w:tblStylePr w:type="firstCol">
      <w:rPr>
        <w:b/>
        <w:bCs/>
      </w:rPr>
    </w:tblStylePr>
    <w:tblStylePr w:type="lastCol">
      <w:rPr>
        <w:b/>
        <w:bCs/>
      </w:rPr>
    </w:tblStylePr>
    <w:tblStylePr w:type="band1Vert">
      <w:tblPr/>
      <w:tcPr>
        <w:shd w:val="clear" w:color="auto" w:fill="C1E3FF" w:themeFill="accent1" w:themeFillTint="33"/>
      </w:tcPr>
    </w:tblStylePr>
    <w:tblStylePr w:type="band1Horz">
      <w:tblPr/>
      <w:tcPr>
        <w:shd w:val="clear" w:color="auto" w:fill="C1E3FF" w:themeFill="accent1" w:themeFillTint="33"/>
      </w:tcPr>
    </w:tblStylePr>
  </w:style>
  <w:style w:type="table" w:styleId="GridTable5Dark-Accent2">
    <w:name w:val="Grid Table 5 Dark Accent 2"/>
    <w:basedOn w:val="TableNormal"/>
    <w:uiPriority w:val="50"/>
    <w:rsid w:val="00A713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EE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EE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EE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EE6" w:themeFill="accent2"/>
      </w:tcPr>
    </w:tblStylePr>
    <w:tblStylePr w:type="band1Vert">
      <w:tblPr/>
      <w:tcPr>
        <w:shd w:val="clear" w:color="auto" w:fill="8FEBFF" w:themeFill="accent2" w:themeFillTint="66"/>
      </w:tcPr>
    </w:tblStylePr>
    <w:tblStylePr w:type="band1Horz">
      <w:tblPr/>
      <w:tcPr>
        <w:shd w:val="clear" w:color="auto" w:fill="8FEBFF" w:themeFill="accent2" w:themeFillTint="66"/>
      </w:tcPr>
    </w:tblStylePr>
  </w:style>
  <w:style w:type="table" w:styleId="GridTable4-Accent4">
    <w:name w:val="Grid Table 4 Accent 4"/>
    <w:basedOn w:val="TableNormal"/>
    <w:uiPriority w:val="49"/>
    <w:rsid w:val="00A71349"/>
    <w:pPr>
      <w:spacing w:after="0" w:line="240" w:lineRule="auto"/>
    </w:pPr>
    <w:tblPr>
      <w:tblStyleRowBandSize w:val="1"/>
      <w:tblStyleColBandSize w:val="1"/>
      <w:tblBorders>
        <w:top w:val="single" w:sz="4" w:space="0" w:color="D175D1" w:themeColor="accent4" w:themeTint="99"/>
        <w:left w:val="single" w:sz="4" w:space="0" w:color="D175D1" w:themeColor="accent4" w:themeTint="99"/>
        <w:bottom w:val="single" w:sz="4" w:space="0" w:color="D175D1" w:themeColor="accent4" w:themeTint="99"/>
        <w:right w:val="single" w:sz="4" w:space="0" w:color="D175D1" w:themeColor="accent4" w:themeTint="99"/>
        <w:insideH w:val="single" w:sz="4" w:space="0" w:color="D175D1" w:themeColor="accent4" w:themeTint="99"/>
        <w:insideV w:val="single" w:sz="4" w:space="0" w:color="D175D1" w:themeColor="accent4" w:themeTint="99"/>
      </w:tblBorders>
    </w:tblPr>
    <w:tblStylePr w:type="firstRow">
      <w:rPr>
        <w:b/>
        <w:bCs/>
        <w:color w:val="FFFFFF" w:themeColor="background1"/>
      </w:rPr>
      <w:tblPr/>
      <w:tcPr>
        <w:tcBorders>
          <w:top w:val="single" w:sz="4" w:space="0" w:color="993399" w:themeColor="accent4"/>
          <w:left w:val="single" w:sz="4" w:space="0" w:color="993399" w:themeColor="accent4"/>
          <w:bottom w:val="single" w:sz="4" w:space="0" w:color="993399" w:themeColor="accent4"/>
          <w:right w:val="single" w:sz="4" w:space="0" w:color="993399" w:themeColor="accent4"/>
          <w:insideH w:val="nil"/>
          <w:insideV w:val="nil"/>
        </w:tcBorders>
        <w:shd w:val="clear" w:color="auto" w:fill="993399" w:themeFill="accent4"/>
      </w:tcPr>
    </w:tblStylePr>
    <w:tblStylePr w:type="lastRow">
      <w:rPr>
        <w:b/>
        <w:bCs/>
      </w:rPr>
      <w:tblPr/>
      <w:tcPr>
        <w:tcBorders>
          <w:top w:val="double" w:sz="4" w:space="0" w:color="993399" w:themeColor="accent4"/>
        </w:tcBorders>
      </w:tcPr>
    </w:tblStylePr>
    <w:tblStylePr w:type="firstCol">
      <w:rPr>
        <w:b/>
        <w:bCs/>
      </w:rPr>
    </w:tblStylePr>
    <w:tblStylePr w:type="lastCol">
      <w:rPr>
        <w:b/>
        <w:bCs/>
      </w:rPr>
    </w:tblStylePr>
    <w:tblStylePr w:type="band1Vert">
      <w:tblPr/>
      <w:tcPr>
        <w:shd w:val="clear" w:color="auto" w:fill="EFD1EF" w:themeFill="accent4" w:themeFillTint="33"/>
      </w:tcPr>
    </w:tblStylePr>
    <w:tblStylePr w:type="band1Horz">
      <w:tblPr/>
      <w:tcPr>
        <w:shd w:val="clear" w:color="auto" w:fill="EFD1E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taylorfry.com.au" TargetMode="External"/><Relationship Id="rId22" Type="http://schemas.openxmlformats.org/officeDocument/2006/relationships/image" Target="media/image10.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dewr.gov.au/download/17273/department-employment-and-workplace-relations-annual-report-2024-25/41762/department-employment-and-workplace-relations-annual-report-2024-25/pdf" TargetMode="External"/><Relationship Id="rId13" Type="http://schemas.openxmlformats.org/officeDocument/2006/relationships/hyperlink" Target="https://www.servicesaustralia.gov.au/sites/default/files/2025-10/annual-report-2024-25.pdf" TargetMode="External"/><Relationship Id="rId3" Type="http://schemas.openxmlformats.org/officeDocument/2006/relationships/hyperlink" Target="https://www.dss.gov.au/system/files/documents/2025-03/2025-26social-servicespbsaccessible.pdf" TargetMode="External"/><Relationship Id="rId7" Type="http://schemas.openxmlformats.org/officeDocument/2006/relationships/hyperlink" Target="https://www.servicesaustralia.gov.au/sites/default/files/2025-10/annual-report-2024-25.pdf" TargetMode="External"/><Relationship Id="rId12" Type="http://schemas.openxmlformats.org/officeDocument/2006/relationships/hyperlink" Target="https://www.act.gov.au/__data/assets/pdf_file/0009/2844468/ACT-Workers-Compensation-Suggested-Reasonable-Premium-Rates-2025-26.pdf" TargetMode="External"/><Relationship Id="rId17" Type="http://schemas.openxmlformats.org/officeDocument/2006/relationships/hyperlink" Target="https://www.aph.gov.au/Parliamentary_Business/Committees/House/Former_Committees/Workforce_Australia_Employment_Services/WorkforceAustralia/Report/Chapter_10_-_Service_provision_and_program_design_Digital_or_hybrid_services" TargetMode="External"/><Relationship Id="rId2" Type="http://schemas.openxmlformats.org/officeDocument/2006/relationships/hyperlink" Target="https://www.dss.gov.au/system/files/documents/2025-03/2025-26social-servicespbsaccessible.pdf" TargetMode="External"/><Relationship Id="rId16" Type="http://schemas.openxmlformats.org/officeDocument/2006/relationships/hyperlink" Target="https://www.anao.gov.au/sites/default/files/Auditor-General_Report_2021-22_8.pdf" TargetMode="External"/><Relationship Id="rId1" Type="http://schemas.openxmlformats.org/officeDocument/2006/relationships/hyperlink" Target="https://www.dewr.gov.au/download/11385/workforce-australia-employment-services-provider-payments/41810/workforce-australia-employment-services-provider-payments/pdf" TargetMode="External"/><Relationship Id="rId6" Type="http://schemas.openxmlformats.org/officeDocument/2006/relationships/hyperlink" Target="https://www.dewr.gov.au/download/16195/dewr-enterprise-agreement-2024-2027/40617/dewr-enterprise-agreement-2024-2027/pdf" TargetMode="External"/><Relationship Id="rId11" Type="http://schemas.openxmlformats.org/officeDocument/2006/relationships/hyperlink" Target="https://www.comcare.gov.au/scheme-legislation/premium-payers/premium-performance" TargetMode="External"/><Relationship Id="rId5" Type="http://schemas.openxmlformats.org/officeDocument/2006/relationships/hyperlink" Target="https://www.tenders.gov.au/Son/Show/?Id=d8a36955-b39e-4d7c-ae49-509f15c6c7df" TargetMode="External"/><Relationship Id="rId15" Type="http://schemas.openxmlformats.org/officeDocument/2006/relationships/hyperlink" Target="https://www.dewr.gov.au/download/17273/department-employment-and-workplace-relations-annual-report-2024-25/41762/department-employment-and-workplace-relations-annual-report-2024-25/pdf" TargetMode="External"/><Relationship Id="rId10" Type="http://schemas.openxmlformats.org/officeDocument/2006/relationships/hyperlink" Target="file:///C:/Users/jeremy.smith-roberts/Downloads/Industry%20Profile%20New%20South%20Wales.pdf" TargetMode="External"/><Relationship Id="rId4" Type="http://schemas.openxmlformats.org/officeDocument/2006/relationships/hyperlink" Target="https://www.dss.gov.au/system/files/resources/2024-25-pbs.pdf" TargetMode="External"/><Relationship Id="rId9" Type="http://schemas.openxmlformats.org/officeDocument/2006/relationships/hyperlink" Target="https://www.dewr.gov.au/download/17273/department-employment-and-workplace-relations-annual-report-2024-25/41762/department-employment-and-workplace-relations-annual-report-2024-25/pdf" TargetMode="External"/><Relationship Id="rId14" Type="http://schemas.openxmlformats.org/officeDocument/2006/relationships/hyperlink" Target="https://www.servicesaustralia.gov.au/sites/default/files/2025-10/annual-report-2024-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26ACD13116456496848D37A1EC20DB"/>
        <w:category>
          <w:name w:val="General"/>
          <w:gallery w:val="placeholder"/>
        </w:category>
        <w:types>
          <w:type w:val="bbPlcHdr"/>
        </w:types>
        <w:behaviors>
          <w:behavior w:val="content"/>
        </w:behaviors>
        <w:guid w:val="{1F90C57F-B1DE-43DD-A1D5-FF2330736E6F}"/>
      </w:docPartPr>
      <w:docPartBody>
        <w:p w:rsidR="004A7431" w:rsidRDefault="004A7431">
          <w:pPr>
            <w:pStyle w:val="B126ACD13116456496848D37A1EC20DB"/>
          </w:pPr>
          <w:r w:rsidRPr="001A5DC8">
            <w:rPr>
              <w:rStyle w:val="Whitetext"/>
              <w:lang w:val="fr-FR"/>
            </w:rPr>
            <w:t>Document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nco">
    <w:altName w:val="Cambria"/>
    <w:charset w:val="00"/>
    <w:family w:val="roman"/>
    <w:pitch w:val="variable"/>
    <w:sig w:usb0="20000007" w:usb1="00000000" w:usb2="00000000" w:usb3="00000000" w:csb0="00000193"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47"/>
    <w:rsid w:val="000072CA"/>
    <w:rsid w:val="000A089D"/>
    <w:rsid w:val="00103F4B"/>
    <w:rsid w:val="00155240"/>
    <w:rsid w:val="001A11AD"/>
    <w:rsid w:val="001B5480"/>
    <w:rsid w:val="001C1A5B"/>
    <w:rsid w:val="001D5703"/>
    <w:rsid w:val="001E67EA"/>
    <w:rsid w:val="00224C3F"/>
    <w:rsid w:val="002379B0"/>
    <w:rsid w:val="00295BDD"/>
    <w:rsid w:val="002C2CC3"/>
    <w:rsid w:val="0030154B"/>
    <w:rsid w:val="00307297"/>
    <w:rsid w:val="00323A42"/>
    <w:rsid w:val="00324C48"/>
    <w:rsid w:val="00371E67"/>
    <w:rsid w:val="00384718"/>
    <w:rsid w:val="003B2C60"/>
    <w:rsid w:val="004038F6"/>
    <w:rsid w:val="004164FA"/>
    <w:rsid w:val="00416AB9"/>
    <w:rsid w:val="0046701C"/>
    <w:rsid w:val="004A7431"/>
    <w:rsid w:val="004A74D0"/>
    <w:rsid w:val="004A7EB6"/>
    <w:rsid w:val="00504854"/>
    <w:rsid w:val="00507C57"/>
    <w:rsid w:val="00554DCB"/>
    <w:rsid w:val="00593475"/>
    <w:rsid w:val="005B0699"/>
    <w:rsid w:val="005C0633"/>
    <w:rsid w:val="005D1B25"/>
    <w:rsid w:val="005D3BB3"/>
    <w:rsid w:val="005F39A6"/>
    <w:rsid w:val="00606E2F"/>
    <w:rsid w:val="00650125"/>
    <w:rsid w:val="00671E71"/>
    <w:rsid w:val="006A16A4"/>
    <w:rsid w:val="006B2134"/>
    <w:rsid w:val="006C52A2"/>
    <w:rsid w:val="00707AAE"/>
    <w:rsid w:val="00871D40"/>
    <w:rsid w:val="008A593E"/>
    <w:rsid w:val="009433BE"/>
    <w:rsid w:val="00953FF5"/>
    <w:rsid w:val="0095599F"/>
    <w:rsid w:val="009754D9"/>
    <w:rsid w:val="009D158D"/>
    <w:rsid w:val="009D70E3"/>
    <w:rsid w:val="009E7EDA"/>
    <w:rsid w:val="009F29F5"/>
    <w:rsid w:val="00A22253"/>
    <w:rsid w:val="00A2663E"/>
    <w:rsid w:val="00A3293E"/>
    <w:rsid w:val="00A66247"/>
    <w:rsid w:val="00AC0822"/>
    <w:rsid w:val="00AF755F"/>
    <w:rsid w:val="00B23008"/>
    <w:rsid w:val="00B24AC7"/>
    <w:rsid w:val="00B44223"/>
    <w:rsid w:val="00B6196A"/>
    <w:rsid w:val="00B85FD1"/>
    <w:rsid w:val="00BC2FC9"/>
    <w:rsid w:val="00BE230D"/>
    <w:rsid w:val="00BF1350"/>
    <w:rsid w:val="00C84BA2"/>
    <w:rsid w:val="00C87CB3"/>
    <w:rsid w:val="00D00085"/>
    <w:rsid w:val="00D13DC6"/>
    <w:rsid w:val="00D22D4C"/>
    <w:rsid w:val="00D4658A"/>
    <w:rsid w:val="00D50F92"/>
    <w:rsid w:val="00D56627"/>
    <w:rsid w:val="00D64E81"/>
    <w:rsid w:val="00D66463"/>
    <w:rsid w:val="00D86BFB"/>
    <w:rsid w:val="00D86D1F"/>
    <w:rsid w:val="00DB512C"/>
    <w:rsid w:val="00E30560"/>
    <w:rsid w:val="00E471BA"/>
    <w:rsid w:val="00E474B3"/>
    <w:rsid w:val="00E53D1D"/>
    <w:rsid w:val="00E8010E"/>
    <w:rsid w:val="00E82897"/>
    <w:rsid w:val="00E9516A"/>
    <w:rsid w:val="00EA4011"/>
    <w:rsid w:val="00EE1D73"/>
    <w:rsid w:val="00F478A1"/>
    <w:rsid w:val="00F654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hitetext">
    <w:name w:val="*White text"/>
    <w:basedOn w:val="DefaultParagraphFont"/>
    <w:uiPriority w:val="18"/>
    <w:qFormat/>
    <w:rsid w:val="00D22D4C"/>
    <w:rPr>
      <w:color w:val="FFFFFF"/>
    </w:rPr>
  </w:style>
  <w:style w:type="character" w:styleId="PlaceholderText">
    <w:name w:val="Placeholder Text"/>
    <w:basedOn w:val="DefaultParagraphFont"/>
    <w:uiPriority w:val="99"/>
    <w:semiHidden/>
    <w:rsid w:val="001C1A5B"/>
    <w:rPr>
      <w:color w:val="808080"/>
    </w:rPr>
  </w:style>
  <w:style w:type="paragraph" w:customStyle="1" w:styleId="6F4A8446C4214FA68A537BD35FDD3D51">
    <w:name w:val="6F4A8446C4214FA68A537BD35FDD3D51"/>
  </w:style>
  <w:style w:type="paragraph" w:customStyle="1" w:styleId="7446088892B14B768C4384334AB54BDA">
    <w:name w:val="7446088892B14B768C4384334AB54BDA"/>
  </w:style>
  <w:style w:type="paragraph" w:customStyle="1" w:styleId="B126ACD13116456496848D37A1EC20DB">
    <w:name w:val="B126ACD13116456496848D37A1EC2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ylor Fry">
      <a:dk1>
        <a:srgbClr val="231F20"/>
      </a:dk1>
      <a:lt1>
        <a:srgbClr val="FFFFFF"/>
      </a:lt1>
      <a:dk2>
        <a:srgbClr val="E7E6E6"/>
      </a:dk2>
      <a:lt2>
        <a:srgbClr val="7F7F7F"/>
      </a:lt2>
      <a:accent1>
        <a:srgbClr val="006EC8"/>
      </a:accent1>
      <a:accent2>
        <a:srgbClr val="00BEE6"/>
      </a:accent2>
      <a:accent3>
        <a:srgbClr val="FF1452"/>
      </a:accent3>
      <a:accent4>
        <a:srgbClr val="993399"/>
      </a:accent4>
      <a:accent5>
        <a:srgbClr val="FF6950"/>
      </a:accent5>
      <a:accent6>
        <a:srgbClr val="00E0BF"/>
      </a:accent6>
      <a:hlink>
        <a:srgbClr val="006EC8"/>
      </a:hlink>
      <a:folHlink>
        <a:srgbClr val="000000"/>
      </a:folHlink>
    </a:clrScheme>
    <a:fontScheme name="Taylor Fry">
      <a:majorFont>
        <a:latin typeface="Arial Black"/>
        <a:ea typeface=""/>
        <a:cs typeface=""/>
      </a:majorFont>
      <a:minorFont>
        <a:latin typeface="Blanc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8F5995-8733-4B36-9CCD-BDD502B3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21167</Words>
  <Characters>120296</Characters>
  <Application>Microsoft Office Word</Application>
  <DocSecurity>0</DocSecurity>
  <Lines>2209</Lines>
  <Paragraphs>955</Paragraphs>
  <ScaleCrop>false</ScaleCrop>
  <HeadingPairs>
    <vt:vector size="2" baseType="variant">
      <vt:variant>
        <vt:lpstr>Title</vt:lpstr>
      </vt:variant>
      <vt:variant>
        <vt:i4>1</vt:i4>
      </vt:variant>
    </vt:vector>
  </HeadingPairs>
  <TitlesOfParts>
    <vt:vector size="1" baseType="lpstr">
      <vt:lpstr>Employment services reform</vt:lpstr>
    </vt:vector>
  </TitlesOfParts>
  <Company/>
  <LinksUpToDate>false</LinksUpToDate>
  <CharactersWithSpaces>140644</CharactersWithSpaces>
  <SharedDoc>false</SharedDoc>
  <HLinks>
    <vt:vector size="270" baseType="variant">
      <vt:variant>
        <vt:i4>7864437</vt:i4>
      </vt:variant>
      <vt:variant>
        <vt:i4>273</vt:i4>
      </vt:variant>
      <vt:variant>
        <vt:i4>0</vt:i4>
      </vt:variant>
      <vt:variant>
        <vt:i4>5</vt:i4>
      </vt:variant>
      <vt:variant>
        <vt:lpwstr>https://www.servicesaustralia.gov.au/sites/default/files/2025-10/annual-report-2024-25.pdf</vt:lpwstr>
      </vt:variant>
      <vt:variant>
        <vt:lpwstr/>
      </vt:variant>
      <vt:variant>
        <vt:i4>1769530</vt:i4>
      </vt:variant>
      <vt:variant>
        <vt:i4>137</vt:i4>
      </vt:variant>
      <vt:variant>
        <vt:i4>0</vt:i4>
      </vt:variant>
      <vt:variant>
        <vt:i4>5</vt:i4>
      </vt:variant>
      <vt:variant>
        <vt:lpwstr/>
      </vt:variant>
      <vt:variant>
        <vt:lpwstr>_Toc219638235</vt:lpwstr>
      </vt:variant>
      <vt:variant>
        <vt:i4>1769530</vt:i4>
      </vt:variant>
      <vt:variant>
        <vt:i4>131</vt:i4>
      </vt:variant>
      <vt:variant>
        <vt:i4>0</vt:i4>
      </vt:variant>
      <vt:variant>
        <vt:i4>5</vt:i4>
      </vt:variant>
      <vt:variant>
        <vt:lpwstr/>
      </vt:variant>
      <vt:variant>
        <vt:lpwstr>_Toc219638234</vt:lpwstr>
      </vt:variant>
      <vt:variant>
        <vt:i4>1769530</vt:i4>
      </vt:variant>
      <vt:variant>
        <vt:i4>125</vt:i4>
      </vt:variant>
      <vt:variant>
        <vt:i4>0</vt:i4>
      </vt:variant>
      <vt:variant>
        <vt:i4>5</vt:i4>
      </vt:variant>
      <vt:variant>
        <vt:lpwstr/>
      </vt:variant>
      <vt:variant>
        <vt:lpwstr>_Toc219638233</vt:lpwstr>
      </vt:variant>
      <vt:variant>
        <vt:i4>1769530</vt:i4>
      </vt:variant>
      <vt:variant>
        <vt:i4>119</vt:i4>
      </vt:variant>
      <vt:variant>
        <vt:i4>0</vt:i4>
      </vt:variant>
      <vt:variant>
        <vt:i4>5</vt:i4>
      </vt:variant>
      <vt:variant>
        <vt:lpwstr/>
      </vt:variant>
      <vt:variant>
        <vt:lpwstr>_Toc219638232</vt:lpwstr>
      </vt:variant>
      <vt:variant>
        <vt:i4>1769530</vt:i4>
      </vt:variant>
      <vt:variant>
        <vt:i4>113</vt:i4>
      </vt:variant>
      <vt:variant>
        <vt:i4>0</vt:i4>
      </vt:variant>
      <vt:variant>
        <vt:i4>5</vt:i4>
      </vt:variant>
      <vt:variant>
        <vt:lpwstr/>
      </vt:variant>
      <vt:variant>
        <vt:lpwstr>_Toc219638231</vt:lpwstr>
      </vt:variant>
      <vt:variant>
        <vt:i4>1769530</vt:i4>
      </vt:variant>
      <vt:variant>
        <vt:i4>107</vt:i4>
      </vt:variant>
      <vt:variant>
        <vt:i4>0</vt:i4>
      </vt:variant>
      <vt:variant>
        <vt:i4>5</vt:i4>
      </vt:variant>
      <vt:variant>
        <vt:lpwstr/>
      </vt:variant>
      <vt:variant>
        <vt:lpwstr>_Toc219638230</vt:lpwstr>
      </vt:variant>
      <vt:variant>
        <vt:i4>1703994</vt:i4>
      </vt:variant>
      <vt:variant>
        <vt:i4>101</vt:i4>
      </vt:variant>
      <vt:variant>
        <vt:i4>0</vt:i4>
      </vt:variant>
      <vt:variant>
        <vt:i4>5</vt:i4>
      </vt:variant>
      <vt:variant>
        <vt:lpwstr/>
      </vt:variant>
      <vt:variant>
        <vt:lpwstr>_Toc219638229</vt:lpwstr>
      </vt:variant>
      <vt:variant>
        <vt:i4>1703994</vt:i4>
      </vt:variant>
      <vt:variant>
        <vt:i4>95</vt:i4>
      </vt:variant>
      <vt:variant>
        <vt:i4>0</vt:i4>
      </vt:variant>
      <vt:variant>
        <vt:i4>5</vt:i4>
      </vt:variant>
      <vt:variant>
        <vt:lpwstr/>
      </vt:variant>
      <vt:variant>
        <vt:lpwstr>_Toc219638228</vt:lpwstr>
      </vt:variant>
      <vt:variant>
        <vt:i4>1703994</vt:i4>
      </vt:variant>
      <vt:variant>
        <vt:i4>89</vt:i4>
      </vt:variant>
      <vt:variant>
        <vt:i4>0</vt:i4>
      </vt:variant>
      <vt:variant>
        <vt:i4>5</vt:i4>
      </vt:variant>
      <vt:variant>
        <vt:lpwstr/>
      </vt:variant>
      <vt:variant>
        <vt:lpwstr>_Toc219638227</vt:lpwstr>
      </vt:variant>
      <vt:variant>
        <vt:i4>1703994</vt:i4>
      </vt:variant>
      <vt:variant>
        <vt:i4>83</vt:i4>
      </vt:variant>
      <vt:variant>
        <vt:i4>0</vt:i4>
      </vt:variant>
      <vt:variant>
        <vt:i4>5</vt:i4>
      </vt:variant>
      <vt:variant>
        <vt:lpwstr/>
      </vt:variant>
      <vt:variant>
        <vt:lpwstr>_Toc219638226</vt:lpwstr>
      </vt:variant>
      <vt:variant>
        <vt:i4>1703994</vt:i4>
      </vt:variant>
      <vt:variant>
        <vt:i4>77</vt:i4>
      </vt:variant>
      <vt:variant>
        <vt:i4>0</vt:i4>
      </vt:variant>
      <vt:variant>
        <vt:i4>5</vt:i4>
      </vt:variant>
      <vt:variant>
        <vt:lpwstr/>
      </vt:variant>
      <vt:variant>
        <vt:lpwstr>_Toc219638225</vt:lpwstr>
      </vt:variant>
      <vt:variant>
        <vt:i4>1703994</vt:i4>
      </vt:variant>
      <vt:variant>
        <vt:i4>71</vt:i4>
      </vt:variant>
      <vt:variant>
        <vt:i4>0</vt:i4>
      </vt:variant>
      <vt:variant>
        <vt:i4>5</vt:i4>
      </vt:variant>
      <vt:variant>
        <vt:lpwstr/>
      </vt:variant>
      <vt:variant>
        <vt:lpwstr>_Toc219638224</vt:lpwstr>
      </vt:variant>
      <vt:variant>
        <vt:i4>1703994</vt:i4>
      </vt:variant>
      <vt:variant>
        <vt:i4>65</vt:i4>
      </vt:variant>
      <vt:variant>
        <vt:i4>0</vt:i4>
      </vt:variant>
      <vt:variant>
        <vt:i4>5</vt:i4>
      </vt:variant>
      <vt:variant>
        <vt:lpwstr/>
      </vt:variant>
      <vt:variant>
        <vt:lpwstr>_Toc219638223</vt:lpwstr>
      </vt:variant>
      <vt:variant>
        <vt:i4>1703994</vt:i4>
      </vt:variant>
      <vt:variant>
        <vt:i4>59</vt:i4>
      </vt:variant>
      <vt:variant>
        <vt:i4>0</vt:i4>
      </vt:variant>
      <vt:variant>
        <vt:i4>5</vt:i4>
      </vt:variant>
      <vt:variant>
        <vt:lpwstr/>
      </vt:variant>
      <vt:variant>
        <vt:lpwstr>_Toc219638222</vt:lpwstr>
      </vt:variant>
      <vt:variant>
        <vt:i4>1703994</vt:i4>
      </vt:variant>
      <vt:variant>
        <vt:i4>53</vt:i4>
      </vt:variant>
      <vt:variant>
        <vt:i4>0</vt:i4>
      </vt:variant>
      <vt:variant>
        <vt:i4>5</vt:i4>
      </vt:variant>
      <vt:variant>
        <vt:lpwstr/>
      </vt:variant>
      <vt:variant>
        <vt:lpwstr>_Toc219638221</vt:lpwstr>
      </vt:variant>
      <vt:variant>
        <vt:i4>1703994</vt:i4>
      </vt:variant>
      <vt:variant>
        <vt:i4>47</vt:i4>
      </vt:variant>
      <vt:variant>
        <vt:i4>0</vt:i4>
      </vt:variant>
      <vt:variant>
        <vt:i4>5</vt:i4>
      </vt:variant>
      <vt:variant>
        <vt:lpwstr/>
      </vt:variant>
      <vt:variant>
        <vt:lpwstr>_Toc219638220</vt:lpwstr>
      </vt:variant>
      <vt:variant>
        <vt:i4>1638458</vt:i4>
      </vt:variant>
      <vt:variant>
        <vt:i4>41</vt:i4>
      </vt:variant>
      <vt:variant>
        <vt:i4>0</vt:i4>
      </vt:variant>
      <vt:variant>
        <vt:i4>5</vt:i4>
      </vt:variant>
      <vt:variant>
        <vt:lpwstr/>
      </vt:variant>
      <vt:variant>
        <vt:lpwstr>_Toc219638219</vt:lpwstr>
      </vt:variant>
      <vt:variant>
        <vt:i4>1638458</vt:i4>
      </vt:variant>
      <vt:variant>
        <vt:i4>35</vt:i4>
      </vt:variant>
      <vt:variant>
        <vt:i4>0</vt:i4>
      </vt:variant>
      <vt:variant>
        <vt:i4>5</vt:i4>
      </vt:variant>
      <vt:variant>
        <vt:lpwstr/>
      </vt:variant>
      <vt:variant>
        <vt:lpwstr>_Toc219638218</vt:lpwstr>
      </vt:variant>
      <vt:variant>
        <vt:i4>1638458</vt:i4>
      </vt:variant>
      <vt:variant>
        <vt:i4>29</vt:i4>
      </vt:variant>
      <vt:variant>
        <vt:i4>0</vt:i4>
      </vt:variant>
      <vt:variant>
        <vt:i4>5</vt:i4>
      </vt:variant>
      <vt:variant>
        <vt:lpwstr/>
      </vt:variant>
      <vt:variant>
        <vt:lpwstr>_Toc219638217</vt:lpwstr>
      </vt:variant>
      <vt:variant>
        <vt:i4>1638458</vt:i4>
      </vt:variant>
      <vt:variant>
        <vt:i4>23</vt:i4>
      </vt:variant>
      <vt:variant>
        <vt:i4>0</vt:i4>
      </vt:variant>
      <vt:variant>
        <vt:i4>5</vt:i4>
      </vt:variant>
      <vt:variant>
        <vt:lpwstr/>
      </vt:variant>
      <vt:variant>
        <vt:lpwstr>_Toc219638216</vt:lpwstr>
      </vt:variant>
      <vt:variant>
        <vt:i4>1638458</vt:i4>
      </vt:variant>
      <vt:variant>
        <vt:i4>17</vt:i4>
      </vt:variant>
      <vt:variant>
        <vt:i4>0</vt:i4>
      </vt:variant>
      <vt:variant>
        <vt:i4>5</vt:i4>
      </vt:variant>
      <vt:variant>
        <vt:lpwstr/>
      </vt:variant>
      <vt:variant>
        <vt:lpwstr>_Toc219638215</vt:lpwstr>
      </vt:variant>
      <vt:variant>
        <vt:i4>1638458</vt:i4>
      </vt:variant>
      <vt:variant>
        <vt:i4>11</vt:i4>
      </vt:variant>
      <vt:variant>
        <vt:i4>0</vt:i4>
      </vt:variant>
      <vt:variant>
        <vt:i4>5</vt:i4>
      </vt:variant>
      <vt:variant>
        <vt:lpwstr/>
      </vt:variant>
      <vt:variant>
        <vt:lpwstr>_Toc219638214</vt:lpwstr>
      </vt:variant>
      <vt:variant>
        <vt:i4>1638458</vt:i4>
      </vt:variant>
      <vt:variant>
        <vt:i4>5</vt:i4>
      </vt:variant>
      <vt:variant>
        <vt:i4>0</vt:i4>
      </vt:variant>
      <vt:variant>
        <vt:i4>5</vt:i4>
      </vt:variant>
      <vt:variant>
        <vt:lpwstr/>
      </vt:variant>
      <vt:variant>
        <vt:lpwstr>_Toc219638213</vt:lpwstr>
      </vt:variant>
      <vt:variant>
        <vt:i4>5111826</vt:i4>
      </vt:variant>
      <vt:variant>
        <vt:i4>0</vt:i4>
      </vt:variant>
      <vt:variant>
        <vt:i4>0</vt:i4>
      </vt:variant>
      <vt:variant>
        <vt:i4>5</vt:i4>
      </vt:variant>
      <vt:variant>
        <vt:lpwstr>www.taylorfry.com.au</vt:lpwstr>
      </vt:variant>
      <vt:variant>
        <vt:lpwstr/>
      </vt:variant>
      <vt:variant>
        <vt:i4>5963798</vt:i4>
      </vt:variant>
      <vt:variant>
        <vt:i4>33</vt:i4>
      </vt:variant>
      <vt:variant>
        <vt:i4>0</vt:i4>
      </vt:variant>
      <vt:variant>
        <vt:i4>5</vt:i4>
      </vt:variant>
      <vt:variant>
        <vt:lpwstr>https://www.aph.gov.au/Parliamentary_Business/Committees/House/Former_Committees/Workforce_Australia_Employment_Services/WorkforceAustralia/Report/Chapter_10_-_Service_provision_and_program_design_Digital_or_hybrid_services</vt:lpwstr>
      </vt:variant>
      <vt:variant>
        <vt:lpwstr/>
      </vt:variant>
      <vt:variant>
        <vt:i4>8257609</vt:i4>
      </vt:variant>
      <vt:variant>
        <vt:i4>30</vt:i4>
      </vt:variant>
      <vt:variant>
        <vt:i4>0</vt:i4>
      </vt:variant>
      <vt:variant>
        <vt:i4>5</vt:i4>
      </vt:variant>
      <vt:variant>
        <vt:lpwstr>https://www.anao.gov.au/sites/default/files/Auditor-General_Report_2021-22_8.pdf</vt:lpwstr>
      </vt:variant>
      <vt:variant>
        <vt:lpwstr/>
      </vt:variant>
      <vt:variant>
        <vt:i4>1900571</vt:i4>
      </vt:variant>
      <vt:variant>
        <vt:i4>27</vt:i4>
      </vt:variant>
      <vt:variant>
        <vt:i4>0</vt:i4>
      </vt:variant>
      <vt:variant>
        <vt:i4>5</vt:i4>
      </vt:variant>
      <vt:variant>
        <vt:lpwstr>https://www.dewr.gov.au/download/17273/department-employment-and-workplace-relations-annual-report-2024-25/41762/department-employment-and-workplace-relations-annual-report-2024-25/pdf</vt:lpwstr>
      </vt:variant>
      <vt:variant>
        <vt:lpwstr/>
      </vt:variant>
      <vt:variant>
        <vt:i4>1245245</vt:i4>
      </vt:variant>
      <vt:variant>
        <vt:i4>24</vt:i4>
      </vt:variant>
      <vt:variant>
        <vt:i4>0</vt:i4>
      </vt:variant>
      <vt:variant>
        <vt:i4>5</vt:i4>
      </vt:variant>
      <vt:variant>
        <vt:lpwstr>https://www.act.gov.au/__data/assets/pdf_file/0009/2844468/ACT-Workers-Compensation-Suggested-Reasonable-Premium-Rates-2025-26.pdf</vt:lpwstr>
      </vt:variant>
      <vt:variant>
        <vt:lpwstr/>
      </vt:variant>
      <vt:variant>
        <vt:i4>7602233</vt:i4>
      </vt:variant>
      <vt:variant>
        <vt:i4>21</vt:i4>
      </vt:variant>
      <vt:variant>
        <vt:i4>0</vt:i4>
      </vt:variant>
      <vt:variant>
        <vt:i4>5</vt:i4>
      </vt:variant>
      <vt:variant>
        <vt:lpwstr>https://www.comcare.gov.au/scheme-legislation/premium-payers/premium-performance</vt:lpwstr>
      </vt:variant>
      <vt:variant>
        <vt:lpwstr>:~:text=Premiums%20are%20also%20influenced%20by,100%20full%20time%20equivalent%20employees.</vt:lpwstr>
      </vt:variant>
      <vt:variant>
        <vt:i4>5111889</vt:i4>
      </vt:variant>
      <vt:variant>
        <vt:i4>18</vt:i4>
      </vt:variant>
      <vt:variant>
        <vt:i4>0</vt:i4>
      </vt:variant>
      <vt:variant>
        <vt:i4>5</vt:i4>
      </vt:variant>
      <vt:variant>
        <vt:lpwstr>C:\Users\jeremy.smith-roberts\Downloads\Industry Profile New South Wales.pdf</vt:lpwstr>
      </vt:variant>
      <vt:variant>
        <vt:lpwstr/>
      </vt:variant>
      <vt:variant>
        <vt:i4>1900571</vt:i4>
      </vt:variant>
      <vt:variant>
        <vt:i4>15</vt:i4>
      </vt:variant>
      <vt:variant>
        <vt:i4>0</vt:i4>
      </vt:variant>
      <vt:variant>
        <vt:i4>5</vt:i4>
      </vt:variant>
      <vt:variant>
        <vt:lpwstr>https://www.dewr.gov.au/download/17273/department-employment-and-workplace-relations-annual-report-2024-25/41762/department-employment-and-workplace-relations-annual-report-2024-25/pdf</vt:lpwstr>
      </vt:variant>
      <vt:variant>
        <vt:lpwstr/>
      </vt:variant>
      <vt:variant>
        <vt:i4>1900571</vt:i4>
      </vt:variant>
      <vt:variant>
        <vt:i4>12</vt:i4>
      </vt:variant>
      <vt:variant>
        <vt:i4>0</vt:i4>
      </vt:variant>
      <vt:variant>
        <vt:i4>5</vt:i4>
      </vt:variant>
      <vt:variant>
        <vt:lpwstr>https://www.dewr.gov.au/download/17273/department-employment-and-workplace-relations-annual-report-2024-25/41762/department-employment-and-workplace-relations-annual-report-2024-25/pdf</vt:lpwstr>
      </vt:variant>
      <vt:variant>
        <vt:lpwstr/>
      </vt:variant>
      <vt:variant>
        <vt:i4>7864437</vt:i4>
      </vt:variant>
      <vt:variant>
        <vt:i4>9</vt:i4>
      </vt:variant>
      <vt:variant>
        <vt:i4>0</vt:i4>
      </vt:variant>
      <vt:variant>
        <vt:i4>5</vt:i4>
      </vt:variant>
      <vt:variant>
        <vt:lpwstr>https://www.servicesaustralia.gov.au/sites/default/files/2025-10/annual-report-2024-25.pdf</vt:lpwstr>
      </vt:variant>
      <vt:variant>
        <vt:lpwstr/>
      </vt:variant>
      <vt:variant>
        <vt:i4>5308481</vt:i4>
      </vt:variant>
      <vt:variant>
        <vt:i4>6</vt:i4>
      </vt:variant>
      <vt:variant>
        <vt:i4>0</vt:i4>
      </vt:variant>
      <vt:variant>
        <vt:i4>5</vt:i4>
      </vt:variant>
      <vt:variant>
        <vt:lpwstr>https://www.tenders.gov.au/Son/Show/?Id=d8a36955-b39e-4d7c-ae49-509f15c6c7df</vt:lpwstr>
      </vt:variant>
      <vt:variant>
        <vt:lpwstr/>
      </vt:variant>
      <vt:variant>
        <vt:i4>1835026</vt:i4>
      </vt:variant>
      <vt:variant>
        <vt:i4>3</vt:i4>
      </vt:variant>
      <vt:variant>
        <vt:i4>0</vt:i4>
      </vt:variant>
      <vt:variant>
        <vt:i4>5</vt:i4>
      </vt:variant>
      <vt:variant>
        <vt:lpwstr>https://www.dewr.gov.au/download/16195/dewr-enterprise-agreement-2024-2027/40617/dewr-enterprise-agreement-2024-2027/pdf</vt:lpwstr>
      </vt:variant>
      <vt:variant>
        <vt:lpwstr/>
      </vt:variant>
      <vt:variant>
        <vt:i4>1507349</vt:i4>
      </vt:variant>
      <vt:variant>
        <vt:i4>0</vt:i4>
      </vt:variant>
      <vt:variant>
        <vt:i4>0</vt:i4>
      </vt:variant>
      <vt:variant>
        <vt:i4>5</vt:i4>
      </vt:variant>
      <vt:variant>
        <vt:lpwstr>https://www.dewr.gov.au/download/11385/workforce-australia-employment-services-provider-payments/41810/workforce-australia-employment-services-provider-payments/pdf</vt:lpwstr>
      </vt:variant>
      <vt:variant>
        <vt:lpwstr/>
      </vt:variant>
      <vt:variant>
        <vt:i4>5111811</vt:i4>
      </vt:variant>
      <vt:variant>
        <vt:i4>21</vt:i4>
      </vt:variant>
      <vt:variant>
        <vt:i4>0</vt:i4>
      </vt:variant>
      <vt:variant>
        <vt:i4>5</vt:i4>
      </vt:variant>
      <vt:variant>
        <vt:lpwstr>mailto:kevin_fong@taylorfry.com.au</vt:lpwstr>
      </vt:variant>
      <vt:variant>
        <vt:lpwstr/>
      </vt:variant>
      <vt:variant>
        <vt:i4>5111811</vt:i4>
      </vt:variant>
      <vt:variant>
        <vt:i4>18</vt:i4>
      </vt:variant>
      <vt:variant>
        <vt:i4>0</vt:i4>
      </vt:variant>
      <vt:variant>
        <vt:i4>5</vt:i4>
      </vt:variant>
      <vt:variant>
        <vt:lpwstr>mailto:kevin_fong@taylorfry.com.au</vt:lpwstr>
      </vt:variant>
      <vt:variant>
        <vt:lpwstr/>
      </vt:variant>
      <vt:variant>
        <vt:i4>655411</vt:i4>
      </vt:variant>
      <vt:variant>
        <vt:i4>15</vt:i4>
      </vt:variant>
      <vt:variant>
        <vt:i4>0</vt:i4>
      </vt:variant>
      <vt:variant>
        <vt:i4>5</vt:i4>
      </vt:variant>
      <vt:variant>
        <vt:lpwstr>mailto:Xi.Lin@taylorfry.com.au</vt:lpwstr>
      </vt:variant>
      <vt:variant>
        <vt:lpwstr/>
      </vt:variant>
      <vt:variant>
        <vt:i4>655411</vt:i4>
      </vt:variant>
      <vt:variant>
        <vt:i4>12</vt:i4>
      </vt:variant>
      <vt:variant>
        <vt:i4>0</vt:i4>
      </vt:variant>
      <vt:variant>
        <vt:i4>5</vt:i4>
      </vt:variant>
      <vt:variant>
        <vt:lpwstr>mailto:Xi.Lin@taylorfry.com.au</vt:lpwstr>
      </vt:variant>
      <vt:variant>
        <vt:lpwstr/>
      </vt:variant>
      <vt:variant>
        <vt:i4>5111811</vt:i4>
      </vt:variant>
      <vt:variant>
        <vt:i4>9</vt:i4>
      </vt:variant>
      <vt:variant>
        <vt:i4>0</vt:i4>
      </vt:variant>
      <vt:variant>
        <vt:i4>5</vt:i4>
      </vt:variant>
      <vt:variant>
        <vt:lpwstr>mailto:kevin_fong@taylorfry.com.au</vt:lpwstr>
      </vt:variant>
      <vt:variant>
        <vt:lpwstr/>
      </vt:variant>
      <vt:variant>
        <vt:i4>1179721</vt:i4>
      </vt:variant>
      <vt:variant>
        <vt:i4>6</vt:i4>
      </vt:variant>
      <vt:variant>
        <vt:i4>0</vt:i4>
      </vt:variant>
      <vt:variant>
        <vt:i4>5</vt:i4>
      </vt:variant>
      <vt:variant>
        <vt:lpwstr>mailto:Jessica_Dodds@taylorfry.com.au</vt:lpwstr>
      </vt:variant>
      <vt:variant>
        <vt:lpwstr/>
      </vt:variant>
      <vt:variant>
        <vt:i4>655411</vt:i4>
      </vt:variant>
      <vt:variant>
        <vt:i4>3</vt:i4>
      </vt:variant>
      <vt:variant>
        <vt:i4>0</vt:i4>
      </vt:variant>
      <vt:variant>
        <vt:i4>5</vt:i4>
      </vt:variant>
      <vt:variant>
        <vt:lpwstr>mailto:Xi.Lin@taylorfry.com.au</vt:lpwstr>
      </vt:variant>
      <vt:variant>
        <vt:lpwstr/>
      </vt:variant>
      <vt:variant>
        <vt:i4>5111811</vt:i4>
      </vt:variant>
      <vt:variant>
        <vt:i4>0</vt:i4>
      </vt:variant>
      <vt:variant>
        <vt:i4>0</vt:i4>
      </vt:variant>
      <vt:variant>
        <vt:i4>5</vt:i4>
      </vt:variant>
      <vt:variant>
        <vt:lpwstr>mailto:kevin_fong@taylorfry.com.au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services reform</dc:title>
  <dc:subject/>
  <dc:creator/>
  <cp:keywords>[SEC=OFFICIAL]</cp:keywords>
  <dc:description/>
  <cp:lastModifiedBy/>
  <cp:revision>1</cp:revision>
  <dcterms:created xsi:type="dcterms:W3CDTF">2026-04-22T04:38:00Z</dcterms:created>
  <dcterms:modified xsi:type="dcterms:W3CDTF">2026-04-22T04:41:00Z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v=2024.1;a=SHA256;h=D801F12E0AC6BBB8D360E8C58EA572EA55CBED57651013DD0516827F17D683C4</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2026-04-22T04:39:19Z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2026-04-22T04:39:19Z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8ef099d7b5ca4e9fa396d7448440ea9d</vt:lpwstr>
  </property>
  <property fmtid="{D5CDD505-2E9C-101B-9397-08002B2CF9AE}" pid="24" name="PM_Originator_Hash_SHA1">
    <vt:lpwstr>F3EEFC68690FF55C9AAB5A2A00DF8223F7DCA409</vt:lpwstr>
  </property>
  <property fmtid="{D5CDD505-2E9C-101B-9397-08002B2CF9AE}" pid="25" name="PM_Originating_FileId">
    <vt:lpwstr>CFBE995D49FC4A6CA1F29C430E196723</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682A0DF6530890E6BB5018AC4F14889D</vt:lpwstr>
  </property>
  <property fmtid="{D5CDD505-2E9C-101B-9397-08002B2CF9AE}" pid="33" name="PM_Hash_Salt">
    <vt:lpwstr>047BE62777AF4E2FAA5BDB696FF186A9</vt:lpwstr>
  </property>
  <property fmtid="{D5CDD505-2E9C-101B-9397-08002B2CF9AE}" pid="34" name="PM_Hash_SHA1">
    <vt:lpwstr>35508BD48ECD091897427732CFC1762A4FBE346C</vt:lpwstr>
  </property>
</Properties>
</file>