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8E15" w14:textId="03D32D3E" w:rsidR="00163BFC" w:rsidRDefault="00163BFC" w:rsidP="00D923C0">
      <w:pPr>
        <w:pStyle w:val="Title"/>
        <w:spacing w:before="120" w:after="120"/>
        <w:ind w:left="-91"/>
        <w:contextualSpacing w:val="0"/>
        <w:rPr>
          <w:rFonts w:ascii="Times New Roman" w:hAnsi="Times New Roman" w:cs="Times New Roman"/>
          <w:spacing w:val="0"/>
          <w:sz w:val="40"/>
          <w:szCs w:val="40"/>
        </w:rPr>
      </w:pPr>
    </w:p>
    <w:p w14:paraId="577B641C" w14:textId="77777777" w:rsidR="00163BFC" w:rsidRPr="00163BFC" w:rsidRDefault="00163BFC" w:rsidP="00D923C0">
      <w:pPr>
        <w:rPr>
          <w:lang w:eastAsia="en-AU"/>
        </w:rPr>
      </w:pPr>
    </w:p>
    <w:p w14:paraId="5025B760" w14:textId="1F209E69" w:rsidR="00F61F3A" w:rsidRPr="004F51D3" w:rsidRDefault="00F61F3A" w:rsidP="00DB2F84">
      <w:pPr>
        <w:pStyle w:val="Heading1"/>
        <w:jc w:val="center"/>
      </w:pPr>
      <w:r w:rsidRPr="004F51D3">
        <w:t xml:space="preserve">Audit </w:t>
      </w:r>
      <w:r w:rsidR="00D96160" w:rsidRPr="004F51D3">
        <w:t xml:space="preserve">and Risk </w:t>
      </w:r>
      <w:r w:rsidRPr="00D923C0">
        <w:t>Committee</w:t>
      </w:r>
      <w:r w:rsidRPr="004F51D3">
        <w:t xml:space="preserve"> Charter</w:t>
      </w:r>
    </w:p>
    <w:p w14:paraId="51F8BE62" w14:textId="77777777" w:rsidR="00F61F3A" w:rsidRPr="00D923C0" w:rsidRDefault="00F61F3A" w:rsidP="00D923C0">
      <w:pPr>
        <w:pStyle w:val="Heading2"/>
      </w:pPr>
      <w:r w:rsidRPr="004F51D3">
        <w:t>Introduction</w:t>
      </w:r>
    </w:p>
    <w:p w14:paraId="4EAC8DA4" w14:textId="1D0A6F01"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As required under </w:t>
      </w:r>
      <w:r w:rsidR="00FC69E7" w:rsidRPr="004F51D3">
        <w:rPr>
          <w:rFonts w:ascii="Times New Roman" w:hAnsi="Times New Roman" w:cs="Times New Roman"/>
          <w:sz w:val="24"/>
          <w:szCs w:val="24"/>
        </w:rPr>
        <w:t xml:space="preserve">subsection 45(1) of </w:t>
      </w:r>
      <w:r w:rsidRPr="004F51D3">
        <w:rPr>
          <w:rFonts w:ascii="Times New Roman" w:hAnsi="Times New Roman" w:cs="Times New Roman"/>
          <w:sz w:val="24"/>
          <w:szCs w:val="24"/>
        </w:rPr>
        <w:t xml:space="preserve">the </w:t>
      </w:r>
      <w:r w:rsidRPr="004F51D3">
        <w:rPr>
          <w:rFonts w:ascii="Times New Roman" w:hAnsi="Times New Roman" w:cs="Times New Roman"/>
          <w:i/>
          <w:sz w:val="24"/>
          <w:szCs w:val="24"/>
        </w:rPr>
        <w:t>Public Governance, Performance and Accountability Act 2013</w:t>
      </w:r>
      <w:r w:rsidRPr="004F51D3">
        <w:rPr>
          <w:rFonts w:ascii="Times New Roman" w:hAnsi="Times New Roman" w:cs="Times New Roman"/>
          <w:sz w:val="24"/>
          <w:szCs w:val="24"/>
        </w:rPr>
        <w:t xml:space="preserve">, as the Secretary of the Department of Social Services I </w:t>
      </w:r>
      <w:r w:rsidR="003B35CC" w:rsidRPr="004F51D3">
        <w:rPr>
          <w:rFonts w:ascii="Times New Roman" w:hAnsi="Times New Roman" w:cs="Times New Roman"/>
          <w:sz w:val="24"/>
          <w:szCs w:val="24"/>
        </w:rPr>
        <w:t>hereby</w:t>
      </w:r>
      <w:r w:rsidRPr="004F51D3">
        <w:rPr>
          <w:rFonts w:ascii="Times New Roman" w:hAnsi="Times New Roman" w:cs="Times New Roman"/>
          <w:sz w:val="24"/>
          <w:szCs w:val="24"/>
        </w:rPr>
        <w:t xml:space="preserve"> establish an audit committee and </w:t>
      </w:r>
      <w:r w:rsidR="00FC69E7" w:rsidRPr="004F51D3">
        <w:rPr>
          <w:rFonts w:ascii="Times New Roman" w:hAnsi="Times New Roman" w:cs="Times New Roman"/>
          <w:sz w:val="24"/>
          <w:szCs w:val="24"/>
        </w:rPr>
        <w:t>under subsection 17(1) of the Public Governance, Performance and Accountability Rule 2014</w:t>
      </w:r>
      <w:r w:rsidR="005D646A" w:rsidRPr="004F51D3">
        <w:rPr>
          <w:rFonts w:ascii="Times New Roman" w:hAnsi="Times New Roman" w:cs="Times New Roman"/>
          <w:sz w:val="24"/>
          <w:szCs w:val="24"/>
        </w:rPr>
        <w:t>,</w:t>
      </w:r>
      <w:r w:rsidR="00FC69E7" w:rsidRPr="004F51D3">
        <w:rPr>
          <w:rFonts w:ascii="Times New Roman" w:hAnsi="Times New Roman" w:cs="Times New Roman"/>
          <w:sz w:val="24"/>
          <w:szCs w:val="24"/>
        </w:rPr>
        <w:t xml:space="preserve"> I am </w:t>
      </w:r>
      <w:r w:rsidRPr="004F51D3">
        <w:rPr>
          <w:rFonts w:ascii="Times New Roman" w:hAnsi="Times New Roman" w:cs="Times New Roman"/>
          <w:sz w:val="24"/>
          <w:szCs w:val="24"/>
        </w:rPr>
        <w:t>to determine the functions of the audit committee by written charter</w:t>
      </w:r>
      <w:r w:rsidR="00FC69E7" w:rsidRPr="004F51D3">
        <w:rPr>
          <w:rFonts w:ascii="Times New Roman" w:hAnsi="Times New Roman" w:cs="Times New Roman"/>
          <w:sz w:val="24"/>
          <w:szCs w:val="24"/>
        </w:rPr>
        <w:t>.</w:t>
      </w:r>
      <w:r w:rsidRPr="004F51D3">
        <w:rPr>
          <w:rFonts w:ascii="Times New Roman" w:hAnsi="Times New Roman" w:cs="Times New Roman"/>
          <w:sz w:val="24"/>
          <w:szCs w:val="24"/>
        </w:rPr>
        <w:t xml:space="preserve"> </w:t>
      </w:r>
    </w:p>
    <w:p w14:paraId="1C2B67AD" w14:textId="4CF4280B" w:rsidR="003B35CC" w:rsidRPr="004F51D3" w:rsidRDefault="003B35CC" w:rsidP="00D923C0">
      <w:pPr>
        <w:pStyle w:val="Heading2"/>
      </w:pPr>
      <w:r w:rsidRPr="004F51D3">
        <w:t>Name</w:t>
      </w:r>
    </w:p>
    <w:p w14:paraId="293D8543" w14:textId="4A64041E" w:rsidR="003B35CC" w:rsidRPr="004F51D3" w:rsidRDefault="003B35CC"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The audit committee shall be titled as the </w:t>
      </w:r>
      <w:r w:rsidRPr="004F51D3">
        <w:rPr>
          <w:rFonts w:ascii="Times New Roman" w:hAnsi="Times New Roman" w:cs="Times New Roman"/>
          <w:i/>
          <w:iCs/>
          <w:sz w:val="24"/>
          <w:szCs w:val="24"/>
        </w:rPr>
        <w:t>Audit and Risk Committee</w:t>
      </w:r>
      <w:r w:rsidRPr="004F51D3">
        <w:rPr>
          <w:rFonts w:ascii="Times New Roman" w:hAnsi="Times New Roman" w:cs="Times New Roman"/>
          <w:sz w:val="24"/>
          <w:szCs w:val="24"/>
        </w:rPr>
        <w:t>.</w:t>
      </w:r>
    </w:p>
    <w:p w14:paraId="4CC2B6D3" w14:textId="77777777" w:rsidR="00F61F3A" w:rsidRPr="004F51D3" w:rsidRDefault="00F61F3A" w:rsidP="00D923C0">
      <w:pPr>
        <w:pStyle w:val="Heading2"/>
      </w:pPr>
      <w:r w:rsidRPr="004F51D3">
        <w:t>Role</w:t>
      </w:r>
    </w:p>
    <w:p w14:paraId="64ECAC38" w14:textId="2E4B441C"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The role of the Audit </w:t>
      </w:r>
      <w:r w:rsidR="00D96160" w:rsidRPr="004F51D3">
        <w:rPr>
          <w:rFonts w:ascii="Times New Roman" w:hAnsi="Times New Roman" w:cs="Times New Roman"/>
          <w:sz w:val="24"/>
          <w:szCs w:val="24"/>
        </w:rPr>
        <w:t xml:space="preserve">and Risk </w:t>
      </w:r>
      <w:r w:rsidRPr="004F51D3">
        <w:rPr>
          <w:rFonts w:ascii="Times New Roman" w:hAnsi="Times New Roman" w:cs="Times New Roman"/>
          <w:sz w:val="24"/>
          <w:szCs w:val="24"/>
        </w:rPr>
        <w:t xml:space="preserve">Committee </w:t>
      </w:r>
      <w:r w:rsidR="00163BFC" w:rsidRPr="004F51D3">
        <w:rPr>
          <w:rFonts w:ascii="Times New Roman" w:hAnsi="Times New Roman" w:cs="Times New Roman"/>
          <w:sz w:val="24"/>
          <w:szCs w:val="24"/>
        </w:rPr>
        <w:t xml:space="preserve">(the Committee) </w:t>
      </w:r>
      <w:r w:rsidRPr="004F51D3">
        <w:rPr>
          <w:rFonts w:ascii="Times New Roman" w:hAnsi="Times New Roman" w:cs="Times New Roman"/>
          <w:sz w:val="24"/>
          <w:szCs w:val="24"/>
        </w:rPr>
        <w:t>is to provide me with independent assurance on the appropriateness of the Department of Social Services’:</w:t>
      </w:r>
    </w:p>
    <w:p w14:paraId="6697CBF0" w14:textId="1565EFB9"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financial reporting </w:t>
      </w:r>
    </w:p>
    <w:p w14:paraId="6877B018" w14:textId="02AA3A84"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performance reporting </w:t>
      </w:r>
    </w:p>
    <w:p w14:paraId="52AB76DD" w14:textId="0D3FAF8F"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system of risk oversight and management</w:t>
      </w:r>
    </w:p>
    <w:p w14:paraId="16FBD694" w14:textId="77777777"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systems of internal control. </w:t>
      </w:r>
    </w:p>
    <w:p w14:paraId="56639A85" w14:textId="17B905D0" w:rsidR="00F61F3A" w:rsidRPr="004F51D3" w:rsidRDefault="00163BFC"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is not responsible for the executive manag</w:t>
      </w:r>
      <w:r w:rsidR="00460095" w:rsidRPr="004F51D3">
        <w:rPr>
          <w:rFonts w:ascii="Times New Roman" w:hAnsi="Times New Roman" w:cs="Times New Roman"/>
          <w:sz w:val="24"/>
          <w:szCs w:val="24"/>
        </w:rPr>
        <w:t xml:space="preserve">ement of these functions. </w:t>
      </w: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will engage with management in a constructive and professional manner in discharging its advisory responsibilities, when formulating its advice to me.</w:t>
      </w:r>
    </w:p>
    <w:p w14:paraId="462BC758" w14:textId="77777777" w:rsidR="00F61F3A" w:rsidRPr="004F51D3" w:rsidRDefault="00F61F3A" w:rsidP="00D923C0">
      <w:pPr>
        <w:pStyle w:val="Heading2"/>
      </w:pPr>
      <w:r w:rsidRPr="004F51D3">
        <w:t>Authority</w:t>
      </w:r>
    </w:p>
    <w:p w14:paraId="188B4B72" w14:textId="7D80994B"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I authorise the C</w:t>
      </w:r>
      <w:r w:rsidR="00F61F3A" w:rsidRPr="004F51D3">
        <w:rPr>
          <w:rFonts w:ascii="Times New Roman" w:hAnsi="Times New Roman" w:cs="Times New Roman"/>
          <w:sz w:val="24"/>
          <w:szCs w:val="24"/>
        </w:rPr>
        <w:t>ommittee, in accordance with its role and responsibilities, to:</w:t>
      </w:r>
    </w:p>
    <w:p w14:paraId="32DA0B0A" w14:textId="2B73D2AD"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obtain any information it requires from any official or external party (while maintaining any legal obligation to protect information)</w:t>
      </w:r>
    </w:p>
    <w:p w14:paraId="71E64211" w14:textId="5793972B"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discuss any matters with the Australian National Audit Office, or other external parties (while maintaining confidentiality where necessary or appropriate)</w:t>
      </w:r>
    </w:p>
    <w:p w14:paraId="2981724D" w14:textId="541B35D2"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request the</w:t>
      </w:r>
      <w:r w:rsidR="00BB2C30" w:rsidRPr="004F51D3">
        <w:rPr>
          <w:rFonts w:ascii="Times New Roman" w:eastAsia="Times New Roman" w:hAnsi="Times New Roman" w:cs="Times New Roman"/>
          <w:sz w:val="24"/>
          <w:szCs w:val="20"/>
        </w:rPr>
        <w:t xml:space="preserve"> attendance of any official at C</w:t>
      </w:r>
      <w:r w:rsidRPr="004F51D3">
        <w:rPr>
          <w:rFonts w:ascii="Times New Roman" w:eastAsia="Times New Roman" w:hAnsi="Times New Roman" w:cs="Times New Roman"/>
          <w:sz w:val="24"/>
          <w:szCs w:val="20"/>
        </w:rPr>
        <w:t>ommittee meetings</w:t>
      </w:r>
    </w:p>
    <w:p w14:paraId="660AABA4" w14:textId="75A100A4"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obtain legal or other professional advice, as considered necess</w:t>
      </w:r>
      <w:r w:rsidR="00E937B1" w:rsidRPr="004F51D3">
        <w:rPr>
          <w:rFonts w:ascii="Times New Roman" w:eastAsia="Times New Roman" w:hAnsi="Times New Roman" w:cs="Times New Roman"/>
          <w:sz w:val="24"/>
          <w:szCs w:val="20"/>
        </w:rPr>
        <w:t>ary to fulfil its role, at the D</w:t>
      </w:r>
      <w:r w:rsidRPr="004F51D3">
        <w:rPr>
          <w:rFonts w:ascii="Times New Roman" w:eastAsia="Times New Roman" w:hAnsi="Times New Roman" w:cs="Times New Roman"/>
          <w:sz w:val="24"/>
          <w:szCs w:val="20"/>
        </w:rPr>
        <w:t xml:space="preserve">epartment’s expense, subject to the approval of the Group Manager, </w:t>
      </w:r>
      <w:r w:rsidR="00FC69E7" w:rsidRPr="004F51D3">
        <w:rPr>
          <w:rFonts w:ascii="Times New Roman" w:eastAsia="Times New Roman" w:hAnsi="Times New Roman" w:cs="Times New Roman"/>
          <w:sz w:val="24"/>
          <w:szCs w:val="20"/>
        </w:rPr>
        <w:t>Portfolio Coordination</w:t>
      </w:r>
      <w:r w:rsidRPr="004F51D3">
        <w:rPr>
          <w:rFonts w:ascii="Times New Roman" w:eastAsia="Times New Roman" w:hAnsi="Times New Roman" w:cs="Times New Roman"/>
          <w:sz w:val="24"/>
          <w:szCs w:val="20"/>
        </w:rPr>
        <w:t xml:space="preserve">. </w:t>
      </w:r>
    </w:p>
    <w:p w14:paraId="4267B135" w14:textId="0AF8732D"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I expect members of the C</w:t>
      </w:r>
      <w:r w:rsidR="00F61F3A" w:rsidRPr="004F51D3">
        <w:rPr>
          <w:rFonts w:ascii="Times New Roman" w:hAnsi="Times New Roman" w:cs="Times New Roman"/>
          <w:sz w:val="24"/>
          <w:szCs w:val="24"/>
        </w:rPr>
        <w:t xml:space="preserve">ommittee to understand and observe the legal requirements of the </w:t>
      </w:r>
      <w:r w:rsidR="00F61F3A" w:rsidRPr="004F51D3">
        <w:rPr>
          <w:rFonts w:ascii="Times New Roman" w:hAnsi="Times New Roman" w:cs="Times New Roman"/>
          <w:i/>
          <w:sz w:val="24"/>
          <w:szCs w:val="24"/>
        </w:rPr>
        <w:t>Public Governance, Performance and Accountability Act 2013</w:t>
      </w:r>
      <w:r w:rsidR="00F61F3A" w:rsidRPr="004F51D3">
        <w:rPr>
          <w:rFonts w:ascii="Times New Roman" w:hAnsi="Times New Roman" w:cs="Times New Roman"/>
          <w:sz w:val="24"/>
          <w:szCs w:val="24"/>
        </w:rPr>
        <w:t xml:space="preserve"> and rules, whilst:</w:t>
      </w:r>
    </w:p>
    <w:p w14:paraId="1F06170C" w14:textId="1408D3EE"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actin</w:t>
      </w:r>
      <w:r w:rsidR="00E937B1" w:rsidRPr="004F51D3">
        <w:rPr>
          <w:rFonts w:ascii="Times New Roman" w:eastAsia="Times New Roman" w:hAnsi="Times New Roman" w:cs="Times New Roman"/>
          <w:sz w:val="24"/>
          <w:szCs w:val="20"/>
        </w:rPr>
        <w:t>g in the best interests of the D</w:t>
      </w:r>
      <w:r w:rsidRPr="004F51D3">
        <w:rPr>
          <w:rFonts w:ascii="Times New Roman" w:eastAsia="Times New Roman" w:hAnsi="Times New Roman" w:cs="Times New Roman"/>
          <w:sz w:val="24"/>
          <w:szCs w:val="20"/>
        </w:rPr>
        <w:t>epartment as a whole</w:t>
      </w:r>
    </w:p>
    <w:p w14:paraId="47AEE433" w14:textId="31B7125A"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applying good analytical skills, objectivity and judgment </w:t>
      </w:r>
    </w:p>
    <w:p w14:paraId="1B756540" w14:textId="5747C5B5"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expressing opinions constructively and openly </w:t>
      </w:r>
    </w:p>
    <w:p w14:paraId="01BA113C" w14:textId="09312919"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rai</w:t>
      </w:r>
      <w:r w:rsidR="00BB2C30" w:rsidRPr="004F51D3">
        <w:rPr>
          <w:rFonts w:ascii="Times New Roman" w:eastAsia="Times New Roman" w:hAnsi="Times New Roman" w:cs="Times New Roman"/>
          <w:sz w:val="24"/>
          <w:szCs w:val="20"/>
        </w:rPr>
        <w:t>sing issues that relate to the C</w:t>
      </w:r>
      <w:r w:rsidRPr="004F51D3">
        <w:rPr>
          <w:rFonts w:ascii="Times New Roman" w:eastAsia="Times New Roman" w:hAnsi="Times New Roman" w:cs="Times New Roman"/>
          <w:sz w:val="24"/>
          <w:szCs w:val="20"/>
        </w:rPr>
        <w:t>ommittee’s responsibilities and pursuing independent lines of enquiry</w:t>
      </w:r>
    </w:p>
    <w:p w14:paraId="5A33DB20" w14:textId="77777777"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contributing the time required to meet your responsibilities.</w:t>
      </w:r>
    </w:p>
    <w:p w14:paraId="6660E25D" w14:textId="77777777" w:rsidR="00D923C0" w:rsidRDefault="00D923C0">
      <w:pPr>
        <w:rPr>
          <w:rFonts w:ascii="Times New Roman" w:eastAsiaTheme="majorEastAsia" w:hAnsi="Times New Roman" w:cs="Times New Roman"/>
          <w:color w:val="24596E"/>
          <w:spacing w:val="4"/>
          <w:sz w:val="32"/>
          <w:szCs w:val="40"/>
          <w:lang w:eastAsia="en-AU"/>
        </w:rPr>
      </w:pPr>
      <w:r>
        <w:br w:type="page"/>
      </w:r>
    </w:p>
    <w:p w14:paraId="1054776F" w14:textId="7CDA8658" w:rsidR="00F61F3A" w:rsidRPr="004F51D3" w:rsidRDefault="00F61F3A" w:rsidP="00D923C0">
      <w:pPr>
        <w:pStyle w:val="Heading2"/>
      </w:pPr>
      <w:r w:rsidRPr="004F51D3">
        <w:lastRenderedPageBreak/>
        <w:t>Functions</w:t>
      </w:r>
    </w:p>
    <w:p w14:paraId="137692C0" w14:textId="5A61E567"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Cons</w:t>
      </w:r>
      <w:r w:rsidR="004635D8" w:rsidRPr="004F51D3">
        <w:rPr>
          <w:rFonts w:ascii="Times New Roman" w:hAnsi="Times New Roman" w:cs="Times New Roman"/>
          <w:sz w:val="24"/>
          <w:szCs w:val="24"/>
        </w:rPr>
        <w:t>istent with, but not limited to</w:t>
      </w:r>
      <w:r w:rsidRPr="004F51D3">
        <w:rPr>
          <w:rFonts w:ascii="Times New Roman" w:hAnsi="Times New Roman" w:cs="Times New Roman"/>
          <w:sz w:val="24"/>
          <w:szCs w:val="24"/>
        </w:rPr>
        <w:t xml:space="preserve"> </w:t>
      </w:r>
      <w:r w:rsidRPr="004F51D3">
        <w:rPr>
          <w:rFonts w:ascii="Times New Roman" w:hAnsi="Times New Roman" w:cs="Times New Roman"/>
          <w:i/>
          <w:sz w:val="24"/>
          <w:szCs w:val="24"/>
        </w:rPr>
        <w:t xml:space="preserve">Public Governance, Performance and Accountability Rule 2014 </w:t>
      </w:r>
      <w:r w:rsidRPr="004F51D3">
        <w:rPr>
          <w:rFonts w:ascii="Times New Roman" w:hAnsi="Times New Roman" w:cs="Times New Roman"/>
          <w:sz w:val="24"/>
          <w:szCs w:val="24"/>
        </w:rPr>
        <w:t>section 17</w:t>
      </w:r>
      <w:r w:rsidR="00BB2C30" w:rsidRPr="004F51D3">
        <w:rPr>
          <w:rFonts w:ascii="Times New Roman" w:hAnsi="Times New Roman" w:cs="Times New Roman"/>
          <w:sz w:val="24"/>
          <w:szCs w:val="24"/>
        </w:rPr>
        <w:t>, the C</w:t>
      </w:r>
      <w:r w:rsidRPr="004F51D3">
        <w:rPr>
          <w:rFonts w:ascii="Times New Roman" w:hAnsi="Times New Roman" w:cs="Times New Roman"/>
          <w:sz w:val="24"/>
          <w:szCs w:val="24"/>
        </w:rPr>
        <w:t>ommittee is to rev</w:t>
      </w:r>
      <w:r w:rsidR="00E937B1" w:rsidRPr="004F51D3">
        <w:rPr>
          <w:rFonts w:ascii="Times New Roman" w:hAnsi="Times New Roman" w:cs="Times New Roman"/>
          <w:sz w:val="24"/>
          <w:szCs w:val="24"/>
        </w:rPr>
        <w:t>iew the appropriateness of the D</w:t>
      </w:r>
      <w:r w:rsidRPr="004F51D3">
        <w:rPr>
          <w:rFonts w:ascii="Times New Roman" w:hAnsi="Times New Roman" w:cs="Times New Roman"/>
          <w:sz w:val="24"/>
          <w:szCs w:val="24"/>
        </w:rPr>
        <w:t>epartment's financial and performance reporting, systems of risk oversight and management and systems of internal control, in accordance with my direction below.</w:t>
      </w:r>
    </w:p>
    <w:p w14:paraId="006DD52B" w14:textId="77777777" w:rsidR="003B35CC" w:rsidRPr="004F51D3" w:rsidRDefault="00D96160" w:rsidP="00D923C0">
      <w:pPr>
        <w:snapToGrid w:val="0"/>
        <w:spacing w:before="120" w:after="0" w:line="240" w:lineRule="auto"/>
        <w:rPr>
          <w:rFonts w:ascii="Times New Roman" w:hAnsi="Times New Roman" w:cs="Times New Roman"/>
          <w:sz w:val="24"/>
          <w:szCs w:val="24"/>
        </w:rPr>
      </w:pPr>
      <w:r w:rsidRPr="004F51D3">
        <w:rPr>
          <w:rFonts w:ascii="Times New Roman" w:hAnsi="Times New Roman" w:cs="Times New Roman"/>
          <w:sz w:val="24"/>
          <w:szCs w:val="24"/>
        </w:rPr>
        <w:t>Under this Charter, the Department may support portfolio agencies with their Audit Committee requirements under the Public Governance, Performance and Accountability Rule 2014</w:t>
      </w:r>
      <w:r w:rsidR="003B35CC" w:rsidRPr="004F51D3">
        <w:rPr>
          <w:rFonts w:ascii="Times New Roman" w:hAnsi="Times New Roman" w:cs="Times New Roman"/>
          <w:sz w:val="24"/>
          <w:szCs w:val="24"/>
        </w:rPr>
        <w:t xml:space="preserve">. </w:t>
      </w:r>
    </w:p>
    <w:p w14:paraId="6E421FAE" w14:textId="0A583909" w:rsidR="00D96160" w:rsidRPr="004F51D3" w:rsidRDefault="003B35CC" w:rsidP="00D923C0">
      <w:pPr>
        <w:snapToGrid w:val="0"/>
        <w:spacing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As a consequence of such arrangements the Committee </w:t>
      </w:r>
      <w:r w:rsidR="006673F1" w:rsidRPr="004F51D3">
        <w:rPr>
          <w:rFonts w:ascii="Times New Roman" w:hAnsi="Times New Roman" w:cs="Times New Roman"/>
          <w:sz w:val="24"/>
          <w:szCs w:val="24"/>
        </w:rPr>
        <w:t>may be required to</w:t>
      </w:r>
      <w:r w:rsidRPr="004F51D3">
        <w:rPr>
          <w:rFonts w:ascii="Times New Roman" w:hAnsi="Times New Roman" w:cs="Times New Roman"/>
          <w:sz w:val="24"/>
          <w:szCs w:val="24"/>
        </w:rPr>
        <w:t xml:space="preserve"> </w:t>
      </w:r>
      <w:r w:rsidR="006673F1" w:rsidRPr="004F51D3">
        <w:rPr>
          <w:rFonts w:ascii="Times New Roman" w:hAnsi="Times New Roman" w:cs="Times New Roman"/>
          <w:sz w:val="24"/>
          <w:szCs w:val="24"/>
        </w:rPr>
        <w:t xml:space="preserve">perform the function of a </w:t>
      </w:r>
      <w:r w:rsidR="006673F1" w:rsidRPr="00D923C0">
        <w:rPr>
          <w:rFonts w:ascii="Times New Roman" w:hAnsi="Times New Roman" w:cs="Times New Roman"/>
          <w:b/>
          <w:bCs/>
          <w:sz w:val="24"/>
          <w:szCs w:val="24"/>
        </w:rPr>
        <w:t>Portfolio</w:t>
      </w:r>
      <w:r w:rsidR="006673F1" w:rsidRPr="004F51D3">
        <w:rPr>
          <w:rFonts w:ascii="Times New Roman" w:hAnsi="Times New Roman" w:cs="Times New Roman"/>
          <w:sz w:val="24"/>
          <w:szCs w:val="24"/>
        </w:rPr>
        <w:t xml:space="preserve"> Audit and Risk Committee.</w:t>
      </w:r>
      <w:r w:rsidR="006673F1" w:rsidRPr="004F51D3">
        <w:rPr>
          <w:rFonts w:cs="Times New Roman (Body CS)"/>
          <w:b/>
          <w:bCs/>
          <w:vertAlign w:val="superscript"/>
        </w:rPr>
        <w:footnoteReference w:id="1"/>
      </w:r>
      <w:r w:rsidR="006673F1" w:rsidRPr="004F51D3">
        <w:rPr>
          <w:rFonts w:ascii="Times New Roman" w:hAnsi="Times New Roman" w:cs="Times New Roman"/>
          <w:sz w:val="24"/>
          <w:szCs w:val="24"/>
        </w:rPr>
        <w:t xml:space="preserve"> As required, all such arrangements</w:t>
      </w:r>
      <w:r w:rsidR="00D96160" w:rsidRPr="004F51D3">
        <w:rPr>
          <w:rFonts w:ascii="Times New Roman" w:hAnsi="Times New Roman" w:cs="Times New Roman"/>
          <w:sz w:val="24"/>
          <w:szCs w:val="24"/>
        </w:rPr>
        <w:t xml:space="preserve"> </w:t>
      </w:r>
      <w:r w:rsidR="006673F1" w:rsidRPr="004F51D3">
        <w:rPr>
          <w:rFonts w:ascii="Times New Roman" w:hAnsi="Times New Roman" w:cs="Times New Roman"/>
          <w:sz w:val="24"/>
          <w:szCs w:val="24"/>
        </w:rPr>
        <w:t>will be</w:t>
      </w:r>
      <w:r w:rsidR="00D96160" w:rsidRPr="004F51D3">
        <w:rPr>
          <w:rFonts w:ascii="Times New Roman" w:hAnsi="Times New Roman" w:cs="Times New Roman"/>
          <w:sz w:val="24"/>
          <w:szCs w:val="24"/>
        </w:rPr>
        <w:t xml:space="preserve"> agreed by me as the accountable authority</w:t>
      </w:r>
      <w:r w:rsidR="006673F1" w:rsidRPr="004F51D3">
        <w:rPr>
          <w:rFonts w:ascii="Times New Roman" w:hAnsi="Times New Roman" w:cs="Times New Roman"/>
          <w:sz w:val="24"/>
          <w:szCs w:val="24"/>
        </w:rPr>
        <w:t xml:space="preserve"> and documented at Appendix A</w:t>
      </w:r>
      <w:r w:rsidR="00D96160" w:rsidRPr="004F51D3">
        <w:rPr>
          <w:rFonts w:ascii="Times New Roman" w:hAnsi="Times New Roman" w:cs="Times New Roman"/>
          <w:sz w:val="24"/>
          <w:szCs w:val="24"/>
        </w:rPr>
        <w:t>.</w:t>
      </w:r>
    </w:p>
    <w:p w14:paraId="46E896C8" w14:textId="77777777" w:rsidR="00F61F3A" w:rsidRPr="004F51D3" w:rsidRDefault="00F61F3A" w:rsidP="00D923C0">
      <w:pPr>
        <w:pStyle w:val="Heading2"/>
      </w:pPr>
      <w:r w:rsidRPr="004F51D3">
        <w:t>Financial reporting</w:t>
      </w:r>
    </w:p>
    <w:p w14:paraId="63ED57FC" w14:textId="4C6669E7"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is to review and provide advice to me</w:t>
      </w:r>
      <w:r w:rsidR="00E937B1" w:rsidRPr="004F51D3">
        <w:rPr>
          <w:rFonts w:ascii="Times New Roman" w:hAnsi="Times New Roman" w:cs="Times New Roman"/>
          <w:sz w:val="24"/>
          <w:szCs w:val="24"/>
        </w:rPr>
        <w:t xml:space="preserve"> on the appropriateness of the D</w:t>
      </w:r>
      <w:r w:rsidR="00F61F3A" w:rsidRPr="004F51D3">
        <w:rPr>
          <w:rFonts w:ascii="Times New Roman" w:hAnsi="Times New Roman" w:cs="Times New Roman"/>
          <w:sz w:val="24"/>
          <w:szCs w:val="24"/>
        </w:rPr>
        <w:t>epartment’s:</w:t>
      </w:r>
    </w:p>
    <w:p w14:paraId="23555CE1" w14:textId="77777777"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annual financial statements;</w:t>
      </w:r>
    </w:p>
    <w:p w14:paraId="1CD8E0A8" w14:textId="540F1038"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information (other than annual financial statements) requested by the Department of Finance in preparing the Australian Government’s consolidated financial statements, including the supplementary reporting package</w:t>
      </w:r>
    </w:p>
    <w:p w14:paraId="472F5A5B" w14:textId="60EE2482"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processes and systems for preparing financial reporting information</w:t>
      </w:r>
    </w:p>
    <w:p w14:paraId="7EAA4047" w14:textId="46257CB6"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financial record keeping</w:t>
      </w:r>
    </w:p>
    <w:p w14:paraId="6470E139" w14:textId="77777777"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processes in place to allow the entity to stay informed throughout the year of any changes or additional requirements in relation to the financial reporting.</w:t>
      </w:r>
    </w:p>
    <w:p w14:paraId="597D243E" w14:textId="367ABEF5"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is to provide a statement outlining:</w:t>
      </w:r>
    </w:p>
    <w:p w14:paraId="30E444E0" w14:textId="272E28BC"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whether the annual f</w:t>
      </w:r>
      <w:r w:rsidR="00BB2C30" w:rsidRPr="004F51D3">
        <w:rPr>
          <w:rFonts w:ascii="Times New Roman" w:eastAsia="Times New Roman" w:hAnsi="Times New Roman" w:cs="Times New Roman"/>
          <w:sz w:val="24"/>
          <w:szCs w:val="20"/>
        </w:rPr>
        <w:t>inancial statements, in the C</w:t>
      </w:r>
      <w:r w:rsidRPr="004F51D3">
        <w:rPr>
          <w:rFonts w:ascii="Times New Roman" w:eastAsia="Times New Roman" w:hAnsi="Times New Roman" w:cs="Times New Roman"/>
          <w:sz w:val="24"/>
          <w:szCs w:val="20"/>
        </w:rPr>
        <w:t>ommittee’s view, comply with the Public Governance, Performance and Accountability Act and Rules, the Accounting Standards and supporting guidance</w:t>
      </w:r>
    </w:p>
    <w:p w14:paraId="403323DC" w14:textId="77BB55D7"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any matters which have come to notice concerning the additional entity information (other than financial statements) required by the Department of Finance for the purpose of preparing the Australian Government consolidated financial statements (including the supplementary reporting package), and its compliance with the Public Governance, Performance and Accountability Act and Rules, the Accounting Standards and supporting guidance</w:t>
      </w:r>
    </w:p>
    <w:p w14:paraId="04F38AA3" w14:textId="77777777"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in respect of the appropriateness of the entity’s financial reporting as a whole, reference to any specific areas of concern or suggestions for improvement.</w:t>
      </w:r>
    </w:p>
    <w:p w14:paraId="0E1A4F48" w14:textId="77777777" w:rsidR="00F61F3A" w:rsidRPr="004F51D3" w:rsidRDefault="00F61F3A" w:rsidP="00D923C0">
      <w:pPr>
        <w:pStyle w:val="Heading2"/>
      </w:pPr>
      <w:r w:rsidRPr="004F51D3">
        <w:t xml:space="preserve">Performance reporting </w:t>
      </w:r>
    </w:p>
    <w:p w14:paraId="1F1ED063" w14:textId="7A27832A" w:rsidR="00DB76F7"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is to review and provide advice to me</w:t>
      </w:r>
      <w:r w:rsidR="00E937B1" w:rsidRPr="004F51D3">
        <w:rPr>
          <w:rFonts w:ascii="Times New Roman" w:hAnsi="Times New Roman" w:cs="Times New Roman"/>
          <w:sz w:val="24"/>
          <w:szCs w:val="24"/>
        </w:rPr>
        <w:t xml:space="preserve"> on the appropriateness of the D</w:t>
      </w:r>
      <w:r w:rsidR="00F61F3A" w:rsidRPr="004F51D3">
        <w:rPr>
          <w:rFonts w:ascii="Times New Roman" w:hAnsi="Times New Roman" w:cs="Times New Roman"/>
          <w:sz w:val="24"/>
          <w:szCs w:val="24"/>
        </w:rPr>
        <w:t>epartment’s systems and procedures for assessing, monitoring and r</w:t>
      </w:r>
      <w:r w:rsidR="00E937B1" w:rsidRPr="004F51D3">
        <w:rPr>
          <w:rFonts w:ascii="Times New Roman" w:hAnsi="Times New Roman" w:cs="Times New Roman"/>
          <w:sz w:val="24"/>
          <w:szCs w:val="24"/>
        </w:rPr>
        <w:t>eporting on achievement of the D</w:t>
      </w:r>
      <w:r w:rsidR="00460095" w:rsidRPr="004F51D3">
        <w:rPr>
          <w:rFonts w:ascii="Times New Roman" w:hAnsi="Times New Roman" w:cs="Times New Roman"/>
          <w:sz w:val="24"/>
          <w:szCs w:val="24"/>
        </w:rPr>
        <w:t xml:space="preserve">epartment’s performance. </w:t>
      </w:r>
      <w:r w:rsidR="00163BFC" w:rsidRPr="004F51D3">
        <w:rPr>
          <w:rFonts w:ascii="Times New Roman" w:hAnsi="Times New Roman" w:cs="Times New Roman"/>
          <w:sz w:val="24"/>
          <w:szCs w:val="24"/>
        </w:rPr>
        <w:t>The C</w:t>
      </w:r>
      <w:r w:rsidR="00FC69E7" w:rsidRPr="004F51D3">
        <w:rPr>
          <w:rFonts w:ascii="Times New Roman" w:hAnsi="Times New Roman" w:cs="Times New Roman"/>
          <w:sz w:val="24"/>
          <w:szCs w:val="24"/>
        </w:rPr>
        <w:t xml:space="preserve">ommittee reviews the annual performance statements and provides advice to me on their appropriateness. </w:t>
      </w:r>
    </w:p>
    <w:p w14:paraId="4279181C" w14:textId="77777777" w:rsidR="00DB2F84" w:rsidRDefault="00DB2F84">
      <w:pPr>
        <w:rPr>
          <w:rFonts w:ascii="Times New Roman" w:hAnsi="Times New Roman" w:cs="Times New Roman"/>
          <w:sz w:val="24"/>
          <w:szCs w:val="24"/>
        </w:rPr>
      </w:pPr>
      <w:r>
        <w:rPr>
          <w:rFonts w:ascii="Times New Roman" w:hAnsi="Times New Roman" w:cs="Times New Roman"/>
          <w:sz w:val="24"/>
          <w:szCs w:val="24"/>
        </w:rPr>
        <w:br w:type="page"/>
      </w:r>
    </w:p>
    <w:p w14:paraId="22603C3F" w14:textId="0573B1CF"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lastRenderedPageBreak/>
        <w:t>In particula</w:t>
      </w:r>
      <w:r w:rsidR="00BB2C30" w:rsidRPr="004F51D3">
        <w:rPr>
          <w:rFonts w:ascii="Times New Roman" w:hAnsi="Times New Roman" w:cs="Times New Roman"/>
          <w:sz w:val="24"/>
          <w:szCs w:val="24"/>
        </w:rPr>
        <w:t>r, the C</w:t>
      </w:r>
      <w:r w:rsidRPr="004F51D3">
        <w:rPr>
          <w:rFonts w:ascii="Times New Roman" w:hAnsi="Times New Roman" w:cs="Times New Roman"/>
          <w:sz w:val="24"/>
          <w:szCs w:val="24"/>
        </w:rPr>
        <w:t>ommittee should satisfy itself that:</w:t>
      </w:r>
    </w:p>
    <w:p w14:paraId="60F4147A" w14:textId="68D91C87"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the Portfolio Budget Statements and Corporate Plan contain appropriate information of how performance will be measured and assessed</w:t>
      </w:r>
    </w:p>
    <w:p w14:paraId="0EC27320" w14:textId="6C2857F5"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the approach to measuring performance throughout the financial year against the performance measures included in </w:t>
      </w:r>
      <w:r w:rsidR="004635D8" w:rsidRPr="004F51D3">
        <w:rPr>
          <w:rFonts w:ascii="Times New Roman" w:eastAsia="Times New Roman" w:hAnsi="Times New Roman" w:cs="Times New Roman"/>
          <w:sz w:val="24"/>
          <w:szCs w:val="20"/>
        </w:rPr>
        <w:t xml:space="preserve">the </w:t>
      </w:r>
      <w:r w:rsidRPr="004F51D3">
        <w:rPr>
          <w:rFonts w:ascii="Times New Roman" w:eastAsia="Times New Roman" w:hAnsi="Times New Roman" w:cs="Times New Roman"/>
          <w:sz w:val="24"/>
          <w:szCs w:val="20"/>
        </w:rPr>
        <w:t xml:space="preserve">Portfolio Budget Statements and Corporate Plan is appropriate and in accordance with the </w:t>
      </w:r>
      <w:hyperlink r:id="rId11" w:history="1">
        <w:r w:rsidRPr="004F51D3">
          <w:rPr>
            <w:rFonts w:ascii="Times New Roman" w:eastAsia="Times New Roman" w:hAnsi="Times New Roman" w:cs="Times New Roman"/>
            <w:sz w:val="24"/>
            <w:szCs w:val="20"/>
          </w:rPr>
          <w:t>Commonwealth performance framework</w:t>
        </w:r>
      </w:hyperlink>
      <w:r w:rsidRPr="004F51D3">
        <w:rPr>
          <w:rFonts w:ascii="Times New Roman" w:eastAsia="Times New Roman" w:hAnsi="Times New Roman" w:cs="Times New Roman"/>
          <w:sz w:val="24"/>
          <w:szCs w:val="20"/>
        </w:rPr>
        <w:t>; this may include reviewing, over time, particular elements of the performance measures</w:t>
      </w:r>
    </w:p>
    <w:p w14:paraId="54C74E31" w14:textId="6C62C3D9" w:rsidR="00F61F3A" w:rsidRPr="004F51D3" w:rsidRDefault="00E937B1"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the D</w:t>
      </w:r>
      <w:r w:rsidR="00F61F3A" w:rsidRPr="004F51D3">
        <w:rPr>
          <w:rFonts w:ascii="Times New Roman" w:eastAsia="Times New Roman" w:hAnsi="Times New Roman" w:cs="Times New Roman"/>
          <w:sz w:val="24"/>
          <w:szCs w:val="20"/>
        </w:rPr>
        <w:t>epartment has appropriate systems and processes for preparation of its annual performance statement and inclusion of the statement in its annual report.</w:t>
      </w:r>
    </w:p>
    <w:p w14:paraId="1075C016" w14:textId="15D9B9A4" w:rsidR="00F61F3A" w:rsidRPr="004F51D3" w:rsidRDefault="00F61F3A" w:rsidP="00D923C0">
      <w:pPr>
        <w:pStyle w:val="Heading2"/>
      </w:pPr>
      <w:r w:rsidRPr="004F51D3">
        <w:t xml:space="preserve">System of risk oversight and management </w:t>
      </w:r>
    </w:p>
    <w:p w14:paraId="1056BBA6" w14:textId="6F10B116"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reviews and provides advice to me</w:t>
      </w:r>
      <w:r w:rsidR="00E937B1" w:rsidRPr="004F51D3">
        <w:rPr>
          <w:rFonts w:ascii="Times New Roman" w:hAnsi="Times New Roman" w:cs="Times New Roman"/>
          <w:sz w:val="24"/>
          <w:szCs w:val="24"/>
        </w:rPr>
        <w:t xml:space="preserve"> on the appropriateness of the D</w:t>
      </w:r>
      <w:r w:rsidR="00F61F3A" w:rsidRPr="004F51D3">
        <w:rPr>
          <w:rFonts w:ascii="Times New Roman" w:hAnsi="Times New Roman" w:cs="Times New Roman"/>
          <w:sz w:val="24"/>
          <w:szCs w:val="24"/>
        </w:rPr>
        <w:t>epartment’s:</w:t>
      </w:r>
    </w:p>
    <w:p w14:paraId="6A6996DC" w14:textId="62C347F0"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enterprise risk management policy framework and the necessary internal controls for the effective identification and management of these risks, having regard to the</w:t>
      </w:r>
      <w:hyperlink r:id="rId12" w:history="1">
        <w:r w:rsidRPr="004F51D3">
          <w:rPr>
            <w:rFonts w:ascii="Times New Roman" w:eastAsia="Times New Roman" w:hAnsi="Times New Roman" w:cs="Times New Roman"/>
            <w:sz w:val="24"/>
            <w:szCs w:val="20"/>
          </w:rPr>
          <w:t xml:space="preserve"> Commonwealth Risk Management Policy </w:t>
        </w:r>
      </w:hyperlink>
    </w:p>
    <w:p w14:paraId="6FCD61AB" w14:textId="78ABBECA"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approach to managing the </w:t>
      </w:r>
      <w:r w:rsidR="00E937B1" w:rsidRPr="004F51D3">
        <w:rPr>
          <w:rFonts w:ascii="Times New Roman" w:eastAsia="Times New Roman" w:hAnsi="Times New Roman" w:cs="Times New Roman"/>
          <w:sz w:val="24"/>
          <w:szCs w:val="20"/>
        </w:rPr>
        <w:t>D</w:t>
      </w:r>
      <w:r w:rsidRPr="004F51D3">
        <w:rPr>
          <w:rFonts w:ascii="Times New Roman" w:eastAsia="Times New Roman" w:hAnsi="Times New Roman" w:cs="Times New Roman"/>
          <w:sz w:val="24"/>
          <w:szCs w:val="20"/>
        </w:rPr>
        <w:t>epartment’s key risks, including those associated with significant projects and program implementation and activ</w:t>
      </w:r>
      <w:r w:rsidR="00BB2C30" w:rsidRPr="004F51D3">
        <w:rPr>
          <w:rFonts w:ascii="Times New Roman" w:eastAsia="Times New Roman" w:hAnsi="Times New Roman" w:cs="Times New Roman"/>
          <w:sz w:val="24"/>
          <w:szCs w:val="20"/>
        </w:rPr>
        <w:t>ities subject to review by the C</w:t>
      </w:r>
      <w:r w:rsidRPr="004F51D3">
        <w:rPr>
          <w:rFonts w:ascii="Times New Roman" w:eastAsia="Times New Roman" w:hAnsi="Times New Roman" w:cs="Times New Roman"/>
          <w:sz w:val="24"/>
          <w:szCs w:val="20"/>
        </w:rPr>
        <w:t xml:space="preserve">ommittee </w:t>
      </w:r>
    </w:p>
    <w:p w14:paraId="3528BE9B" w14:textId="6FC34E34"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process for developing and implementing the fraud control arrangements consistent with the </w:t>
      </w:r>
      <w:hyperlink r:id="rId13" w:history="1">
        <w:r w:rsidRPr="004F51D3">
          <w:rPr>
            <w:rFonts w:ascii="Times New Roman" w:eastAsia="Times New Roman" w:hAnsi="Times New Roman" w:cs="Times New Roman"/>
            <w:sz w:val="24"/>
            <w:szCs w:val="20"/>
          </w:rPr>
          <w:t>fraud control framework</w:t>
        </w:r>
      </w:hyperlink>
    </w:p>
    <w:p w14:paraId="7724FFEB" w14:textId="77777777"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articulation of key roles and responsibilities relating to risk management and adherence to them by the senior executive.</w:t>
      </w:r>
    </w:p>
    <w:p w14:paraId="617AE2BD" w14:textId="77777777"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In consultation with the Chair, I may request that the Committee consider matters that have Portfolio implications. </w:t>
      </w:r>
    </w:p>
    <w:p w14:paraId="42595CFA" w14:textId="616613E0"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is to provide a statement to</w:t>
      </w:r>
      <w:r w:rsidR="00E937B1" w:rsidRPr="004F51D3">
        <w:rPr>
          <w:rFonts w:ascii="Times New Roman" w:hAnsi="Times New Roman" w:cs="Times New Roman"/>
          <w:sz w:val="24"/>
          <w:szCs w:val="24"/>
        </w:rPr>
        <w:t xml:space="preserve"> me whether in their view, the D</w:t>
      </w:r>
      <w:r w:rsidR="00F61F3A" w:rsidRPr="004F51D3">
        <w:rPr>
          <w:rFonts w:ascii="Times New Roman" w:hAnsi="Times New Roman" w:cs="Times New Roman"/>
          <w:sz w:val="24"/>
          <w:szCs w:val="24"/>
        </w:rPr>
        <w:t xml:space="preserve">epartment’s system of risk oversight and management as a whole is appropriate with reference to the Commonwealth Risk Management Policy and any specific areas of concern or suggestions </w:t>
      </w:r>
      <w:r w:rsidRPr="004F51D3">
        <w:rPr>
          <w:rFonts w:ascii="Times New Roman" w:hAnsi="Times New Roman" w:cs="Times New Roman"/>
          <w:sz w:val="24"/>
          <w:szCs w:val="24"/>
        </w:rPr>
        <w:t>for improvement as part of the C</w:t>
      </w:r>
      <w:r w:rsidR="00F61F3A" w:rsidRPr="004F51D3">
        <w:rPr>
          <w:rFonts w:ascii="Times New Roman" w:hAnsi="Times New Roman" w:cs="Times New Roman"/>
          <w:sz w:val="24"/>
          <w:szCs w:val="24"/>
        </w:rPr>
        <w:t>ommittee’s Annual Report.</w:t>
      </w:r>
    </w:p>
    <w:p w14:paraId="7950C75F" w14:textId="77777777" w:rsidR="00F61F3A" w:rsidRPr="004F51D3" w:rsidRDefault="00F61F3A" w:rsidP="00D923C0">
      <w:pPr>
        <w:pStyle w:val="Heading2"/>
      </w:pPr>
      <w:r w:rsidRPr="004F51D3">
        <w:t xml:space="preserve">Systems of internal control </w:t>
      </w:r>
    </w:p>
    <w:p w14:paraId="2AFD7E93" w14:textId="056ADF65"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The </w:t>
      </w:r>
      <w:r w:rsidR="00BB2C30" w:rsidRPr="004F51D3">
        <w:rPr>
          <w:rFonts w:ascii="Times New Roman" w:hAnsi="Times New Roman" w:cs="Times New Roman"/>
          <w:sz w:val="24"/>
          <w:szCs w:val="24"/>
        </w:rPr>
        <w:t>C</w:t>
      </w:r>
      <w:r w:rsidRPr="004F51D3">
        <w:rPr>
          <w:rFonts w:ascii="Times New Roman" w:hAnsi="Times New Roman" w:cs="Times New Roman"/>
          <w:sz w:val="24"/>
          <w:szCs w:val="24"/>
        </w:rPr>
        <w:t>ommittee is to:</w:t>
      </w:r>
    </w:p>
    <w:p w14:paraId="59ED9901" w14:textId="77777777" w:rsidR="00F61F3A" w:rsidRPr="004F51D3" w:rsidRDefault="00F61F3A" w:rsidP="00D923C0">
      <w:pPr>
        <w:pStyle w:val="Heading3"/>
      </w:pPr>
      <w:r w:rsidRPr="004F51D3">
        <w:t>Internal control framework</w:t>
      </w:r>
    </w:p>
    <w:p w14:paraId="0B139FC5" w14:textId="329C26CA"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review </w:t>
      </w:r>
      <w:r w:rsidR="00E937B1" w:rsidRPr="004F51D3">
        <w:rPr>
          <w:rFonts w:ascii="Times New Roman" w:eastAsia="Times New Roman" w:hAnsi="Times New Roman" w:cs="Times New Roman"/>
          <w:sz w:val="24"/>
          <w:szCs w:val="20"/>
        </w:rPr>
        <w:t>the D</w:t>
      </w:r>
      <w:r w:rsidRPr="004F51D3">
        <w:rPr>
          <w:rFonts w:ascii="Times New Roman" w:eastAsia="Times New Roman" w:hAnsi="Times New Roman" w:cs="Times New Roman"/>
          <w:sz w:val="24"/>
          <w:szCs w:val="20"/>
        </w:rPr>
        <w:t>epartment’s approach to maintaining an effective internal control framework and whether appropriate processes are in place for assessing whether key policies and procedures are complied with</w:t>
      </w:r>
    </w:p>
    <w:p w14:paraId="0AE50B55" w14:textId="2B88DDA3" w:rsidR="00F61F3A" w:rsidRPr="004F51D3" w:rsidRDefault="00E937B1"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review whether the D</w:t>
      </w:r>
      <w:r w:rsidR="00F61F3A" w:rsidRPr="004F51D3">
        <w:rPr>
          <w:rFonts w:ascii="Times New Roman" w:eastAsia="Times New Roman" w:hAnsi="Times New Roman" w:cs="Times New Roman"/>
          <w:sz w:val="24"/>
          <w:szCs w:val="20"/>
        </w:rPr>
        <w:t>epartment has in operation relevant policies and procedures, such as accountable authority instructions, delegations, a business continuity management plan, or bullying and harassment policies</w:t>
      </w:r>
    </w:p>
    <w:p w14:paraId="0FF0694A" w14:textId="77777777" w:rsidR="00F61F3A" w:rsidRPr="004F51D3" w:rsidRDefault="00F61F3A" w:rsidP="00D923C0">
      <w:pPr>
        <w:pStyle w:val="Heading3"/>
      </w:pPr>
      <w:r w:rsidRPr="004F51D3">
        <w:t>Legislative and policy compliance</w:t>
      </w:r>
    </w:p>
    <w:p w14:paraId="1503F235" w14:textId="3CAB9047"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review the effectiveness of systems for monitoring the entity’s compliance with laws, regulations and associated government policies with which the entity must comply </w:t>
      </w:r>
    </w:p>
    <w:p w14:paraId="5A7395A9" w14:textId="5111D47F" w:rsidR="00DB76F7" w:rsidRPr="00D923C0" w:rsidRDefault="00E937B1"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determine whether the D</w:t>
      </w:r>
      <w:r w:rsidR="00F61F3A" w:rsidRPr="004F51D3">
        <w:rPr>
          <w:rFonts w:ascii="Times New Roman" w:eastAsia="Times New Roman" w:hAnsi="Times New Roman" w:cs="Times New Roman"/>
          <w:sz w:val="24"/>
          <w:szCs w:val="20"/>
        </w:rPr>
        <w:t>epartment has adequately considered legal and compliance risks as part of the enterprise risk management framework, fraud control framework and planning</w:t>
      </w:r>
    </w:p>
    <w:p w14:paraId="74C77BCE" w14:textId="77777777" w:rsidR="00DB2F84" w:rsidRDefault="00DB2F84">
      <w:pPr>
        <w:rPr>
          <w:rFonts w:ascii="Times New Roman" w:hAnsi="Times New Roman" w:cs="Times New Roman"/>
          <w:color w:val="24596E"/>
          <w:spacing w:val="4"/>
          <w:sz w:val="28"/>
          <w:szCs w:val="24"/>
          <w:lang w:eastAsia="en-AU"/>
        </w:rPr>
      </w:pPr>
      <w:r>
        <w:br w:type="page"/>
      </w:r>
    </w:p>
    <w:p w14:paraId="7DBA1FF3" w14:textId="3A9EAFB5" w:rsidR="00F61F3A" w:rsidRPr="00D923C0" w:rsidRDefault="00F61F3A" w:rsidP="00D923C0">
      <w:pPr>
        <w:pStyle w:val="Heading3"/>
      </w:pPr>
      <w:r w:rsidRPr="004F51D3">
        <w:lastRenderedPageBreak/>
        <w:t>Security compliance</w:t>
      </w:r>
    </w:p>
    <w:p w14:paraId="6868B01A" w14:textId="2D283B8A" w:rsidR="00F61F3A" w:rsidRPr="004F51D3" w:rsidRDefault="00E937B1" w:rsidP="00D923C0">
      <w:pPr>
        <w:pStyle w:val="ListParagraph"/>
        <w:numPr>
          <w:ilvl w:val="0"/>
          <w:numId w:val="22"/>
        </w:numPr>
        <w:spacing w:before="120" w:after="120" w:line="240" w:lineRule="auto"/>
        <w:ind w:left="714" w:right="-427"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review the D</w:t>
      </w:r>
      <w:r w:rsidR="00F61F3A" w:rsidRPr="004F51D3">
        <w:rPr>
          <w:rFonts w:ascii="Times New Roman" w:eastAsia="Times New Roman" w:hAnsi="Times New Roman" w:cs="Times New Roman"/>
          <w:sz w:val="24"/>
          <w:szCs w:val="20"/>
        </w:rPr>
        <w:t xml:space="preserve">epartment’s approach to maintaining an effective internal security system, including complying with </w:t>
      </w:r>
      <w:hyperlink r:id="rId14" w:history="1">
        <w:r w:rsidR="00F61F3A" w:rsidRPr="004F51D3">
          <w:rPr>
            <w:rFonts w:ascii="Times New Roman" w:eastAsia="Times New Roman" w:hAnsi="Times New Roman" w:cs="Times New Roman"/>
            <w:sz w:val="24"/>
            <w:szCs w:val="20"/>
          </w:rPr>
          <w:t>the Protective Security Policy Framework</w:t>
        </w:r>
      </w:hyperlink>
      <w:r w:rsidR="00F61F3A" w:rsidRPr="004F51D3">
        <w:rPr>
          <w:rFonts w:ascii="Times New Roman" w:eastAsia="Times New Roman" w:hAnsi="Times New Roman" w:cs="Times New Roman"/>
          <w:sz w:val="24"/>
          <w:szCs w:val="20"/>
        </w:rPr>
        <w:t xml:space="preserve"> and ICT security policy</w:t>
      </w:r>
    </w:p>
    <w:p w14:paraId="1338B4FB" w14:textId="77777777" w:rsidR="00F61F3A" w:rsidRPr="004F51D3" w:rsidRDefault="00F61F3A" w:rsidP="00D923C0">
      <w:pPr>
        <w:pStyle w:val="Heading3"/>
      </w:pPr>
      <w:r w:rsidRPr="004F51D3">
        <w:t>Internal audit</w:t>
      </w:r>
    </w:p>
    <w:p w14:paraId="0183CB5E" w14:textId="7B80EC7B"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review the proposed internal audit coverage, ensuring that the coverage takes into account the </w:t>
      </w:r>
      <w:r w:rsidR="00E937B1" w:rsidRPr="004F51D3">
        <w:rPr>
          <w:rFonts w:ascii="Times New Roman" w:eastAsia="Times New Roman" w:hAnsi="Times New Roman" w:cs="Times New Roman"/>
          <w:sz w:val="24"/>
          <w:szCs w:val="20"/>
        </w:rPr>
        <w:t>D</w:t>
      </w:r>
      <w:r w:rsidRPr="004F51D3">
        <w:rPr>
          <w:rFonts w:ascii="Times New Roman" w:eastAsia="Times New Roman" w:hAnsi="Times New Roman" w:cs="Times New Roman"/>
          <w:sz w:val="24"/>
          <w:szCs w:val="20"/>
        </w:rPr>
        <w:t>epartment’s enterprise risks, and providing recommendations to me prior to my approval of the internal audit work plan</w:t>
      </w:r>
    </w:p>
    <w:p w14:paraId="381D81E2" w14:textId="1BFD123D"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review all internal audit reports, providing advice to me on major concerns identified in those reports, and recommending action on significant matters raised, including identification and dissemination of information on good practice</w:t>
      </w:r>
    </w:p>
    <w:p w14:paraId="5F0C7F70" w14:textId="7D5DEF8B"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advise me on the adequacy of internal audit resources, or budget, to carry out its responsibilities, including completion of the approved Internal Audit Work Plan</w:t>
      </w:r>
    </w:p>
    <w:p w14:paraId="7D81C3CD" w14:textId="77777777"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periodically</w:t>
      </w:r>
    </w:p>
    <w:p w14:paraId="764180B0" w14:textId="77777777" w:rsidR="00F61F3A" w:rsidRPr="004F51D3" w:rsidRDefault="00F61F3A" w:rsidP="00D923C0">
      <w:pPr>
        <w:pStyle w:val="ListParagraph"/>
        <w:numPr>
          <w:ilvl w:val="1"/>
          <w:numId w:val="22"/>
        </w:numPr>
        <w:spacing w:before="120" w:after="120" w:line="240" w:lineRule="auto"/>
        <w:ind w:left="143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meet privately with the Head of Internal Audit</w:t>
      </w:r>
    </w:p>
    <w:p w14:paraId="49F2CB76" w14:textId="4812A13B" w:rsidR="00F61F3A" w:rsidRPr="004F51D3" w:rsidRDefault="00F61F3A" w:rsidP="00D923C0">
      <w:pPr>
        <w:pStyle w:val="ListParagraph"/>
        <w:numPr>
          <w:ilvl w:val="1"/>
          <w:numId w:val="22"/>
        </w:numPr>
        <w:spacing w:before="120" w:after="120" w:line="240" w:lineRule="auto"/>
        <w:ind w:left="143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review the performance of internal audit, and report the results to me</w:t>
      </w:r>
    </w:p>
    <w:p w14:paraId="02743A86" w14:textId="77777777" w:rsidR="00F61F3A" w:rsidRPr="004F51D3" w:rsidRDefault="00F61F3A" w:rsidP="00D923C0">
      <w:pPr>
        <w:pStyle w:val="ListParagraph"/>
        <w:numPr>
          <w:ilvl w:val="1"/>
          <w:numId w:val="22"/>
        </w:numPr>
        <w:spacing w:before="120" w:after="120" w:line="240" w:lineRule="auto"/>
        <w:ind w:left="143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review the Internal Audit Charter to ensure appropriate authority, access and reporting arrangements are in place.</w:t>
      </w:r>
    </w:p>
    <w:p w14:paraId="3FF5D330" w14:textId="1849DAF0"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is to provide a sta</w:t>
      </w:r>
      <w:r w:rsidR="00E937B1" w:rsidRPr="004F51D3">
        <w:rPr>
          <w:rFonts w:ascii="Times New Roman" w:hAnsi="Times New Roman" w:cs="Times New Roman"/>
          <w:sz w:val="24"/>
          <w:szCs w:val="24"/>
        </w:rPr>
        <w:t>tement to me on whether the D</w:t>
      </w:r>
      <w:r w:rsidR="00F61F3A" w:rsidRPr="004F51D3">
        <w:rPr>
          <w:rFonts w:ascii="Times New Roman" w:hAnsi="Times New Roman" w:cs="Times New Roman"/>
          <w:sz w:val="24"/>
          <w:szCs w:val="24"/>
        </w:rPr>
        <w:t>epartment’s systems of internal control is appropriate, with reference to any specific areas of concern or suggestions f</w:t>
      </w:r>
      <w:r w:rsidRPr="004F51D3">
        <w:rPr>
          <w:rFonts w:ascii="Times New Roman" w:hAnsi="Times New Roman" w:cs="Times New Roman"/>
          <w:sz w:val="24"/>
          <w:szCs w:val="24"/>
        </w:rPr>
        <w:t>or improvement, as part of the C</w:t>
      </w:r>
      <w:r w:rsidR="00F61F3A" w:rsidRPr="004F51D3">
        <w:rPr>
          <w:rFonts w:ascii="Times New Roman" w:hAnsi="Times New Roman" w:cs="Times New Roman"/>
          <w:sz w:val="24"/>
          <w:szCs w:val="24"/>
        </w:rPr>
        <w:t>ommittee’s Annual Report.</w:t>
      </w:r>
    </w:p>
    <w:p w14:paraId="54B3AE3B" w14:textId="1DEBBA35" w:rsidR="00F61F3A" w:rsidRPr="004F51D3" w:rsidRDefault="00F61F3A" w:rsidP="00D923C0">
      <w:pPr>
        <w:pStyle w:val="Heading3"/>
      </w:pPr>
      <w:r w:rsidRPr="004F51D3">
        <w:t>A</w:t>
      </w:r>
      <w:r w:rsidR="00F46587" w:rsidRPr="004F51D3">
        <w:t>dditional functions of the C</w:t>
      </w:r>
      <w:r w:rsidRPr="004F51D3">
        <w:t>ommittee</w:t>
      </w:r>
    </w:p>
    <w:p w14:paraId="0C2FFD74" w14:textId="6CEA9F7A"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should monitor that responses have been developed in relation to recommendations of Parliamentary Committees.</w:t>
      </w:r>
    </w:p>
    <w:p w14:paraId="281B13D3" w14:textId="77777777" w:rsidR="00F61F3A" w:rsidRPr="004F51D3" w:rsidRDefault="00F61F3A" w:rsidP="00D923C0">
      <w:pPr>
        <w:pStyle w:val="Heading2"/>
      </w:pPr>
      <w:r w:rsidRPr="004F51D3">
        <w:t>Membership</w:t>
      </w:r>
    </w:p>
    <w:p w14:paraId="31D44079" w14:textId="0C73DC72"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 xml:space="preserve">ommittee comprises </w:t>
      </w:r>
      <w:r w:rsidR="000F26E3">
        <w:rPr>
          <w:rFonts w:ascii="Times New Roman" w:hAnsi="Times New Roman" w:cs="Times New Roman"/>
          <w:sz w:val="24"/>
          <w:szCs w:val="24"/>
        </w:rPr>
        <w:t>4</w:t>
      </w:r>
      <w:r w:rsidR="00F61F3A" w:rsidRPr="004F51D3">
        <w:rPr>
          <w:rFonts w:ascii="Times New Roman" w:hAnsi="Times New Roman" w:cs="Times New Roman"/>
          <w:sz w:val="24"/>
          <w:szCs w:val="24"/>
        </w:rPr>
        <w:t xml:space="preserve"> exte</w:t>
      </w:r>
      <w:r w:rsidR="00460095" w:rsidRPr="004F51D3">
        <w:rPr>
          <w:rFonts w:ascii="Times New Roman" w:hAnsi="Times New Roman" w:cs="Times New Roman"/>
          <w:sz w:val="24"/>
          <w:szCs w:val="24"/>
        </w:rPr>
        <w:t xml:space="preserve">rnal members appointed by me.  </w:t>
      </w:r>
      <w:r w:rsidR="00C63A59" w:rsidRPr="004F51D3">
        <w:rPr>
          <w:rFonts w:ascii="Times New Roman" w:hAnsi="Times New Roman" w:cs="Times New Roman"/>
          <w:sz w:val="24"/>
          <w:szCs w:val="24"/>
        </w:rPr>
        <w:t>I</w:t>
      </w:r>
      <w:r w:rsidR="00C85E6D" w:rsidRPr="004F51D3">
        <w:rPr>
          <w:rFonts w:ascii="Times New Roman" w:hAnsi="Times New Roman" w:cs="Times New Roman"/>
          <w:sz w:val="24"/>
          <w:szCs w:val="24"/>
        </w:rPr>
        <w:t xml:space="preserve"> and</w:t>
      </w:r>
      <w:r w:rsidR="00AB7262" w:rsidRPr="004F51D3">
        <w:rPr>
          <w:rFonts w:ascii="Times New Roman" w:hAnsi="Times New Roman" w:cs="Times New Roman"/>
          <w:sz w:val="24"/>
          <w:szCs w:val="24"/>
        </w:rPr>
        <w:t>/or the Chair can appoint the role of a</w:t>
      </w:r>
      <w:r w:rsidR="00C85E6D" w:rsidRPr="004F51D3">
        <w:rPr>
          <w:rFonts w:ascii="Times New Roman" w:hAnsi="Times New Roman" w:cs="Times New Roman"/>
          <w:sz w:val="24"/>
          <w:szCs w:val="24"/>
        </w:rPr>
        <w:t xml:space="preserve"> Dep</w:t>
      </w:r>
      <w:r w:rsidR="00AB7262" w:rsidRPr="004F51D3">
        <w:rPr>
          <w:rFonts w:ascii="Times New Roman" w:hAnsi="Times New Roman" w:cs="Times New Roman"/>
          <w:sz w:val="24"/>
          <w:szCs w:val="24"/>
        </w:rPr>
        <w:t>uty</w:t>
      </w:r>
      <w:r w:rsidR="00C85E6D" w:rsidRPr="004F51D3">
        <w:rPr>
          <w:rFonts w:ascii="Times New Roman" w:hAnsi="Times New Roman" w:cs="Times New Roman"/>
          <w:sz w:val="24"/>
          <w:szCs w:val="24"/>
        </w:rPr>
        <w:t xml:space="preserve"> Chair </w:t>
      </w:r>
      <w:r w:rsidR="00AB7262" w:rsidRPr="004F51D3">
        <w:rPr>
          <w:rFonts w:ascii="Times New Roman" w:hAnsi="Times New Roman" w:cs="Times New Roman"/>
          <w:sz w:val="24"/>
          <w:szCs w:val="24"/>
        </w:rPr>
        <w:t xml:space="preserve">at </w:t>
      </w:r>
      <w:r w:rsidR="00C63A59" w:rsidRPr="004F51D3">
        <w:rPr>
          <w:rFonts w:ascii="Times New Roman" w:hAnsi="Times New Roman" w:cs="Times New Roman"/>
          <w:sz w:val="24"/>
          <w:szCs w:val="24"/>
        </w:rPr>
        <w:t>our</w:t>
      </w:r>
      <w:r w:rsidR="00AB7262" w:rsidRPr="004F51D3">
        <w:rPr>
          <w:rFonts w:ascii="Times New Roman" w:hAnsi="Times New Roman" w:cs="Times New Roman"/>
          <w:sz w:val="24"/>
          <w:szCs w:val="24"/>
        </w:rPr>
        <w:t xml:space="preserve"> discretion when required</w:t>
      </w:r>
      <w:r w:rsidR="00F61F3A" w:rsidRPr="004F51D3">
        <w:rPr>
          <w:rFonts w:ascii="Times New Roman" w:hAnsi="Times New Roman" w:cs="Times New Roman"/>
          <w:sz w:val="24"/>
          <w:szCs w:val="24"/>
        </w:rPr>
        <w:t>.</w:t>
      </w:r>
      <w:r w:rsidR="00FC69E7" w:rsidRPr="004F51D3">
        <w:rPr>
          <w:rFonts w:ascii="Times New Roman" w:hAnsi="Times New Roman" w:cs="Times New Roman"/>
          <w:sz w:val="24"/>
          <w:szCs w:val="24"/>
        </w:rPr>
        <w:t xml:space="preserve"> To ensure the Committee has access to a collective leadersh</w:t>
      </w:r>
      <w:r w:rsidR="00E937B1" w:rsidRPr="004F51D3">
        <w:rPr>
          <w:rFonts w:ascii="Times New Roman" w:hAnsi="Times New Roman" w:cs="Times New Roman"/>
          <w:sz w:val="24"/>
          <w:szCs w:val="24"/>
        </w:rPr>
        <w:t>ip and knowledge base from the D</w:t>
      </w:r>
      <w:r w:rsidR="00FC69E7" w:rsidRPr="004F51D3">
        <w:rPr>
          <w:rFonts w:ascii="Times New Roman" w:hAnsi="Times New Roman" w:cs="Times New Roman"/>
          <w:sz w:val="24"/>
          <w:szCs w:val="24"/>
        </w:rPr>
        <w:t>epartment, I will also appoint up to</w:t>
      </w:r>
      <w:r w:rsidR="000F26E3">
        <w:rPr>
          <w:rFonts w:ascii="Times New Roman" w:hAnsi="Times New Roman" w:cs="Times New Roman"/>
          <w:sz w:val="24"/>
          <w:szCs w:val="24"/>
        </w:rPr>
        <w:t xml:space="preserve"> 3</w:t>
      </w:r>
      <w:r w:rsidR="00FC69E7" w:rsidRPr="004F51D3">
        <w:rPr>
          <w:rFonts w:ascii="Times New Roman" w:hAnsi="Times New Roman" w:cs="Times New Roman"/>
          <w:sz w:val="24"/>
          <w:szCs w:val="24"/>
        </w:rPr>
        <w:t xml:space="preserve"> Senior Executive Service staff to perform the role of Senior Advisors. </w:t>
      </w:r>
    </w:p>
    <w:p w14:paraId="36BA2BFD" w14:textId="7FF4ED2C"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Chief Finance Officer</w:t>
      </w:r>
      <w:r w:rsidR="00EB7E5C" w:rsidRPr="004F51D3">
        <w:rPr>
          <w:rFonts w:ascii="Times New Roman" w:hAnsi="Times New Roman" w:cs="Times New Roman"/>
          <w:sz w:val="24"/>
          <w:szCs w:val="24"/>
        </w:rPr>
        <w:t>,</w:t>
      </w:r>
      <w:r w:rsidRPr="004F51D3">
        <w:rPr>
          <w:rFonts w:ascii="Times New Roman" w:hAnsi="Times New Roman" w:cs="Times New Roman"/>
          <w:sz w:val="24"/>
          <w:szCs w:val="24"/>
        </w:rPr>
        <w:t xml:space="preserve"> Head of Internal Audit </w:t>
      </w:r>
      <w:r w:rsidR="00EB7E5C" w:rsidRPr="004F51D3">
        <w:rPr>
          <w:rFonts w:ascii="Times New Roman" w:hAnsi="Times New Roman" w:cs="Times New Roman"/>
          <w:sz w:val="24"/>
          <w:szCs w:val="24"/>
        </w:rPr>
        <w:t xml:space="preserve">and Chief Operating Officer </w:t>
      </w:r>
      <w:r w:rsidRPr="004F51D3">
        <w:rPr>
          <w:rFonts w:ascii="Times New Roman" w:hAnsi="Times New Roman" w:cs="Times New Roman"/>
          <w:sz w:val="24"/>
          <w:szCs w:val="24"/>
        </w:rPr>
        <w:t xml:space="preserve">may attend meetings as observers, </w:t>
      </w:r>
      <w:r w:rsidR="00BB2C30" w:rsidRPr="004F51D3">
        <w:rPr>
          <w:rFonts w:ascii="Times New Roman" w:hAnsi="Times New Roman" w:cs="Times New Roman"/>
          <w:sz w:val="24"/>
          <w:szCs w:val="24"/>
        </w:rPr>
        <w:t>but will not be members of the C</w:t>
      </w:r>
      <w:r w:rsidRPr="004F51D3">
        <w:rPr>
          <w:rFonts w:ascii="Times New Roman" w:hAnsi="Times New Roman" w:cs="Times New Roman"/>
          <w:sz w:val="24"/>
          <w:szCs w:val="24"/>
        </w:rPr>
        <w:t xml:space="preserve">ommittee. </w:t>
      </w:r>
    </w:p>
    <w:p w14:paraId="1F364E12" w14:textId="0052E68D"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Committee members</w:t>
      </w:r>
      <w:r w:rsidR="004507EC" w:rsidRPr="004F51D3">
        <w:rPr>
          <w:rFonts w:ascii="Times New Roman" w:hAnsi="Times New Roman" w:cs="Times New Roman"/>
          <w:sz w:val="24"/>
          <w:szCs w:val="24"/>
        </w:rPr>
        <w:t xml:space="preserve"> and Senior Advisors</w:t>
      </w:r>
      <w:r w:rsidRPr="004F51D3">
        <w:rPr>
          <w:rFonts w:ascii="Times New Roman" w:hAnsi="Times New Roman" w:cs="Times New Roman"/>
          <w:sz w:val="24"/>
          <w:szCs w:val="24"/>
        </w:rPr>
        <w:t>, taken collectively, will have a broad range of skills and experience rel</w:t>
      </w:r>
      <w:r w:rsidR="00E937B1" w:rsidRPr="004F51D3">
        <w:rPr>
          <w:rFonts w:ascii="Times New Roman" w:hAnsi="Times New Roman" w:cs="Times New Roman"/>
          <w:sz w:val="24"/>
          <w:szCs w:val="24"/>
        </w:rPr>
        <w:t>evant to the operations of the D</w:t>
      </w:r>
      <w:r w:rsidRPr="004F51D3">
        <w:rPr>
          <w:rFonts w:ascii="Times New Roman" w:hAnsi="Times New Roman" w:cs="Times New Roman"/>
          <w:sz w:val="24"/>
          <w:szCs w:val="24"/>
        </w:rPr>
        <w:t>epartmen</w:t>
      </w:r>
      <w:r w:rsidR="00460095" w:rsidRPr="004F51D3">
        <w:rPr>
          <w:rFonts w:ascii="Times New Roman" w:hAnsi="Times New Roman" w:cs="Times New Roman"/>
          <w:sz w:val="24"/>
          <w:szCs w:val="24"/>
        </w:rPr>
        <w:t xml:space="preserve">t. </w:t>
      </w:r>
      <w:r w:rsidR="00BB2C30" w:rsidRPr="004F51D3">
        <w:rPr>
          <w:rFonts w:ascii="Times New Roman" w:hAnsi="Times New Roman" w:cs="Times New Roman"/>
          <w:sz w:val="24"/>
          <w:szCs w:val="24"/>
        </w:rPr>
        <w:t>At least one member of the C</w:t>
      </w:r>
      <w:r w:rsidRPr="004F51D3">
        <w:rPr>
          <w:rFonts w:ascii="Times New Roman" w:hAnsi="Times New Roman" w:cs="Times New Roman"/>
          <w:sz w:val="24"/>
          <w:szCs w:val="24"/>
        </w:rPr>
        <w:t xml:space="preserve">ommittee will have accounting or related financial management experience, with an understanding of accounting and auditing standards in a public sector environment. </w:t>
      </w:r>
    </w:p>
    <w:p w14:paraId="015DD51F" w14:textId="39318365"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I will appoint C</w:t>
      </w:r>
      <w:r w:rsidR="00F61F3A" w:rsidRPr="004F51D3">
        <w:rPr>
          <w:rFonts w:ascii="Times New Roman" w:hAnsi="Times New Roman" w:cs="Times New Roman"/>
          <w:sz w:val="24"/>
          <w:szCs w:val="24"/>
        </w:rPr>
        <w:t>ommittee me</w:t>
      </w:r>
      <w:r w:rsidR="00460095" w:rsidRPr="004F51D3">
        <w:rPr>
          <w:rFonts w:ascii="Times New Roman" w:hAnsi="Times New Roman" w:cs="Times New Roman"/>
          <w:sz w:val="24"/>
          <w:szCs w:val="24"/>
        </w:rPr>
        <w:t xml:space="preserve">mbers for a determined period. </w:t>
      </w:r>
      <w:r w:rsidR="00F61F3A" w:rsidRPr="004F51D3">
        <w:rPr>
          <w:rFonts w:ascii="Times New Roman" w:hAnsi="Times New Roman" w:cs="Times New Roman"/>
          <w:sz w:val="24"/>
          <w:szCs w:val="24"/>
        </w:rPr>
        <w:t xml:space="preserve">I may reappoint members for further periods, after a review of their performance. </w:t>
      </w:r>
    </w:p>
    <w:p w14:paraId="07C5ABCE" w14:textId="77777777" w:rsidR="00F61F3A" w:rsidRPr="004F51D3" w:rsidRDefault="00F61F3A" w:rsidP="00D923C0">
      <w:pPr>
        <w:pStyle w:val="Heading2"/>
      </w:pPr>
      <w:r w:rsidRPr="004F51D3">
        <w:t>Australian National Audit Office</w:t>
      </w:r>
    </w:p>
    <w:p w14:paraId="455CB163" w14:textId="39714FA1"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can invite representatives of the Australian National Audit Office</w:t>
      </w:r>
      <w:r w:rsidR="000F26E3">
        <w:rPr>
          <w:rFonts w:ascii="Times New Roman" w:hAnsi="Times New Roman" w:cs="Times New Roman"/>
          <w:sz w:val="24"/>
          <w:szCs w:val="24"/>
        </w:rPr>
        <w:t xml:space="preserve"> (ANAO)</w:t>
      </w:r>
      <w:r w:rsidR="00F61F3A" w:rsidRPr="004F51D3">
        <w:rPr>
          <w:rFonts w:ascii="Times New Roman" w:hAnsi="Times New Roman" w:cs="Times New Roman"/>
          <w:sz w:val="24"/>
          <w:szCs w:val="24"/>
        </w:rPr>
        <w:t xml:space="preserve"> to atten</w:t>
      </w:r>
      <w:r w:rsidR="00460095" w:rsidRPr="004F51D3">
        <w:rPr>
          <w:rFonts w:ascii="Times New Roman" w:hAnsi="Times New Roman" w:cs="Times New Roman"/>
          <w:sz w:val="24"/>
          <w:szCs w:val="24"/>
        </w:rPr>
        <w:t xml:space="preserve">d meetings, as observers. </w:t>
      </w: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 xml:space="preserve">ommittee’s engagement with the </w:t>
      </w:r>
      <w:r w:rsidR="000F26E3">
        <w:rPr>
          <w:rFonts w:ascii="Times New Roman" w:hAnsi="Times New Roman" w:cs="Times New Roman"/>
          <w:sz w:val="24"/>
          <w:szCs w:val="24"/>
        </w:rPr>
        <w:t>ANAO</w:t>
      </w:r>
      <w:r w:rsidR="00F61F3A" w:rsidRPr="004F51D3">
        <w:rPr>
          <w:rFonts w:ascii="Times New Roman" w:hAnsi="Times New Roman" w:cs="Times New Roman"/>
          <w:sz w:val="24"/>
          <w:szCs w:val="24"/>
        </w:rPr>
        <w:t xml:space="preserve">, in relation to the </w:t>
      </w:r>
      <w:r w:rsidR="000F26E3">
        <w:rPr>
          <w:rFonts w:ascii="Times New Roman" w:hAnsi="Times New Roman" w:cs="Times New Roman"/>
          <w:sz w:val="24"/>
          <w:szCs w:val="24"/>
        </w:rPr>
        <w:t>ANAO</w:t>
      </w:r>
      <w:r w:rsidR="00F61F3A" w:rsidRPr="004F51D3">
        <w:rPr>
          <w:rFonts w:ascii="Times New Roman" w:hAnsi="Times New Roman" w:cs="Times New Roman"/>
          <w:sz w:val="24"/>
          <w:szCs w:val="24"/>
        </w:rPr>
        <w:t>’s financial statement and performance audit coverage, will:</w:t>
      </w:r>
    </w:p>
    <w:p w14:paraId="100E071C" w14:textId="51436DE3"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provide input on planned </w:t>
      </w:r>
      <w:r w:rsidR="000F26E3">
        <w:rPr>
          <w:rFonts w:ascii="Times New Roman" w:eastAsia="Times New Roman" w:hAnsi="Times New Roman" w:cs="Times New Roman"/>
          <w:sz w:val="24"/>
          <w:szCs w:val="20"/>
        </w:rPr>
        <w:t>ANAO</w:t>
      </w:r>
      <w:r w:rsidRPr="004F51D3">
        <w:rPr>
          <w:rFonts w:ascii="Times New Roman" w:eastAsia="Times New Roman" w:hAnsi="Times New Roman" w:cs="Times New Roman"/>
          <w:sz w:val="24"/>
          <w:szCs w:val="20"/>
        </w:rPr>
        <w:t xml:space="preserve"> financial statement and performance audit coverage, </w:t>
      </w:r>
    </w:p>
    <w:p w14:paraId="05337AC4" w14:textId="09A9890D"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monitor </w:t>
      </w:r>
      <w:r w:rsidR="0012032F" w:rsidRPr="004F51D3">
        <w:rPr>
          <w:rFonts w:ascii="Times New Roman" w:eastAsia="Times New Roman" w:hAnsi="Times New Roman" w:cs="Times New Roman"/>
          <w:sz w:val="24"/>
          <w:szCs w:val="20"/>
        </w:rPr>
        <w:t xml:space="preserve">the </w:t>
      </w:r>
      <w:r w:rsidR="00E937B1" w:rsidRPr="004F51D3">
        <w:rPr>
          <w:rFonts w:ascii="Times New Roman" w:eastAsia="Times New Roman" w:hAnsi="Times New Roman" w:cs="Times New Roman"/>
          <w:sz w:val="24"/>
          <w:szCs w:val="20"/>
        </w:rPr>
        <w:t>D</w:t>
      </w:r>
      <w:r w:rsidR="0012032F" w:rsidRPr="004F51D3">
        <w:rPr>
          <w:rFonts w:ascii="Times New Roman" w:eastAsia="Times New Roman" w:hAnsi="Times New Roman" w:cs="Times New Roman"/>
          <w:sz w:val="24"/>
          <w:szCs w:val="20"/>
        </w:rPr>
        <w:t>epartment’s r</w:t>
      </w:r>
      <w:r w:rsidRPr="004F51D3">
        <w:rPr>
          <w:rFonts w:ascii="Times New Roman" w:eastAsia="Times New Roman" w:hAnsi="Times New Roman" w:cs="Times New Roman"/>
          <w:sz w:val="24"/>
          <w:szCs w:val="20"/>
        </w:rPr>
        <w:t xml:space="preserve">esponses to all </w:t>
      </w:r>
      <w:r w:rsidR="000F26E3">
        <w:rPr>
          <w:rFonts w:ascii="Times New Roman" w:eastAsia="Times New Roman" w:hAnsi="Times New Roman" w:cs="Times New Roman"/>
          <w:sz w:val="24"/>
          <w:szCs w:val="20"/>
        </w:rPr>
        <w:t>ANAO</w:t>
      </w:r>
      <w:r w:rsidRPr="004F51D3">
        <w:rPr>
          <w:rFonts w:ascii="Times New Roman" w:eastAsia="Times New Roman" w:hAnsi="Times New Roman" w:cs="Times New Roman"/>
          <w:sz w:val="24"/>
          <w:szCs w:val="20"/>
        </w:rPr>
        <w:t xml:space="preserve"> financial statement management letters and performance audit reports, including the implementation of audit recommendations,</w:t>
      </w:r>
    </w:p>
    <w:p w14:paraId="22F97085" w14:textId="0EED8874"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lastRenderedPageBreak/>
        <w:t xml:space="preserve">provide advice to me on action to be taken on significant issues raised in relevant </w:t>
      </w:r>
      <w:r w:rsidR="000F26E3">
        <w:rPr>
          <w:rFonts w:ascii="Times New Roman" w:eastAsia="Times New Roman" w:hAnsi="Times New Roman" w:cs="Times New Roman"/>
          <w:sz w:val="24"/>
          <w:szCs w:val="20"/>
        </w:rPr>
        <w:t>ANAO</w:t>
      </w:r>
      <w:r w:rsidRPr="004F51D3">
        <w:rPr>
          <w:rFonts w:ascii="Times New Roman" w:eastAsia="Times New Roman" w:hAnsi="Times New Roman" w:cs="Times New Roman"/>
          <w:sz w:val="24"/>
          <w:szCs w:val="20"/>
        </w:rPr>
        <w:t xml:space="preserve"> reports or better practice guides, and</w:t>
      </w:r>
    </w:p>
    <w:p w14:paraId="565E6473" w14:textId="5B510A01" w:rsidR="00F61F3A" w:rsidRPr="004F51D3" w:rsidRDefault="00F61F3A" w:rsidP="00D923C0">
      <w:pPr>
        <w:pStyle w:val="ListParagraph"/>
        <w:numPr>
          <w:ilvl w:val="0"/>
          <w:numId w:val="22"/>
        </w:numPr>
        <w:spacing w:before="120" w:after="12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meet privately with the </w:t>
      </w:r>
      <w:r w:rsidR="000F26E3">
        <w:rPr>
          <w:rFonts w:ascii="Times New Roman" w:eastAsia="Times New Roman" w:hAnsi="Times New Roman" w:cs="Times New Roman"/>
          <w:sz w:val="24"/>
          <w:szCs w:val="20"/>
        </w:rPr>
        <w:t>ANAO</w:t>
      </w:r>
      <w:r w:rsidRPr="004F51D3">
        <w:rPr>
          <w:rFonts w:ascii="Times New Roman" w:eastAsia="Times New Roman" w:hAnsi="Times New Roman" w:cs="Times New Roman"/>
          <w:sz w:val="24"/>
          <w:szCs w:val="20"/>
        </w:rPr>
        <w:t xml:space="preserve"> at least once per year.</w:t>
      </w:r>
    </w:p>
    <w:p w14:paraId="7E406A36" w14:textId="77777777" w:rsidR="00F61F3A" w:rsidRPr="004F51D3" w:rsidRDefault="00F61F3A" w:rsidP="00D923C0">
      <w:pPr>
        <w:pStyle w:val="Heading2"/>
      </w:pPr>
      <w:r w:rsidRPr="004F51D3">
        <w:t xml:space="preserve">Sub-committee </w:t>
      </w:r>
    </w:p>
    <w:p w14:paraId="451F49F8" w14:textId="46A448A7" w:rsidR="008F3AF7" w:rsidRPr="004F51D3" w:rsidRDefault="008F3AF7"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In consultation with me - t</w:t>
      </w:r>
      <w:r w:rsidR="00BB2C30" w:rsidRPr="004F51D3">
        <w:rPr>
          <w:rFonts w:ascii="Times New Roman" w:hAnsi="Times New Roman" w:cs="Times New Roman"/>
          <w:sz w:val="24"/>
          <w:szCs w:val="24"/>
        </w:rPr>
        <w:t>he C</w:t>
      </w:r>
      <w:r w:rsidR="00F61F3A" w:rsidRPr="004F51D3">
        <w:rPr>
          <w:rFonts w:ascii="Times New Roman" w:hAnsi="Times New Roman" w:cs="Times New Roman"/>
          <w:sz w:val="24"/>
          <w:szCs w:val="24"/>
        </w:rPr>
        <w:t>ommittee may establish su</w:t>
      </w:r>
      <w:r w:rsidR="00BB2C30" w:rsidRPr="004F51D3">
        <w:rPr>
          <w:rFonts w:ascii="Times New Roman" w:hAnsi="Times New Roman" w:cs="Times New Roman"/>
          <w:sz w:val="24"/>
          <w:szCs w:val="24"/>
        </w:rPr>
        <w:t>b-committee</w:t>
      </w:r>
      <w:r w:rsidRPr="004F51D3">
        <w:rPr>
          <w:rFonts w:ascii="Times New Roman" w:hAnsi="Times New Roman" w:cs="Times New Roman"/>
          <w:sz w:val="24"/>
          <w:szCs w:val="24"/>
        </w:rPr>
        <w:t>s</w:t>
      </w:r>
      <w:r w:rsidR="00BB2C30" w:rsidRPr="004F51D3">
        <w:rPr>
          <w:rFonts w:ascii="Times New Roman" w:hAnsi="Times New Roman" w:cs="Times New Roman"/>
          <w:sz w:val="24"/>
          <w:szCs w:val="24"/>
        </w:rPr>
        <w:t xml:space="preserve"> to assist the full C</w:t>
      </w:r>
      <w:r w:rsidR="00F61F3A" w:rsidRPr="004F51D3">
        <w:rPr>
          <w:rFonts w:ascii="Times New Roman" w:hAnsi="Times New Roman" w:cs="Times New Roman"/>
          <w:sz w:val="24"/>
          <w:szCs w:val="24"/>
        </w:rPr>
        <w:t>ommittee</w:t>
      </w:r>
      <w:r w:rsidRPr="004F51D3">
        <w:rPr>
          <w:rFonts w:ascii="Times New Roman" w:hAnsi="Times New Roman" w:cs="Times New Roman"/>
          <w:sz w:val="24"/>
          <w:szCs w:val="24"/>
        </w:rPr>
        <w:t>:</w:t>
      </w:r>
    </w:p>
    <w:p w14:paraId="216CCCEF" w14:textId="77777777" w:rsidR="008F3AF7" w:rsidRPr="004F51D3" w:rsidRDefault="00F61F3A" w:rsidP="00D923C0">
      <w:pPr>
        <w:pStyle w:val="ListParagraph"/>
        <w:numPr>
          <w:ilvl w:val="0"/>
          <w:numId w:val="24"/>
        </w:num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in meeting its financial </w:t>
      </w:r>
      <w:r w:rsidR="008F3AF7" w:rsidRPr="004F51D3">
        <w:rPr>
          <w:rFonts w:ascii="Times New Roman" w:hAnsi="Times New Roman" w:cs="Times New Roman"/>
          <w:sz w:val="24"/>
          <w:szCs w:val="24"/>
        </w:rPr>
        <w:t xml:space="preserve">reporting </w:t>
      </w:r>
      <w:r w:rsidR="002A3C4D" w:rsidRPr="004F51D3">
        <w:rPr>
          <w:rFonts w:ascii="Times New Roman" w:hAnsi="Times New Roman" w:cs="Times New Roman"/>
          <w:sz w:val="24"/>
          <w:szCs w:val="24"/>
        </w:rPr>
        <w:t>and</w:t>
      </w:r>
      <w:r w:rsidR="008F3AF7" w:rsidRPr="004F51D3">
        <w:rPr>
          <w:rFonts w:ascii="Times New Roman" w:hAnsi="Times New Roman" w:cs="Times New Roman"/>
          <w:sz w:val="24"/>
          <w:szCs w:val="24"/>
        </w:rPr>
        <w:t xml:space="preserve">/or </w:t>
      </w:r>
      <w:r w:rsidR="002A3C4D" w:rsidRPr="004F51D3">
        <w:rPr>
          <w:rFonts w:ascii="Times New Roman" w:hAnsi="Times New Roman" w:cs="Times New Roman"/>
          <w:sz w:val="24"/>
          <w:szCs w:val="24"/>
        </w:rPr>
        <w:t xml:space="preserve">performance </w:t>
      </w:r>
      <w:r w:rsidRPr="004F51D3">
        <w:rPr>
          <w:rFonts w:ascii="Times New Roman" w:hAnsi="Times New Roman" w:cs="Times New Roman"/>
          <w:sz w:val="24"/>
          <w:szCs w:val="24"/>
        </w:rPr>
        <w:t>reporting responsibilities</w:t>
      </w:r>
      <w:r w:rsidR="008F3AF7" w:rsidRPr="004F51D3">
        <w:rPr>
          <w:rFonts w:ascii="Times New Roman" w:hAnsi="Times New Roman" w:cs="Times New Roman"/>
          <w:sz w:val="24"/>
          <w:szCs w:val="24"/>
        </w:rPr>
        <w:t>;</w:t>
      </w:r>
      <w:r w:rsidRPr="004F51D3">
        <w:rPr>
          <w:rFonts w:ascii="Times New Roman" w:hAnsi="Times New Roman" w:cs="Times New Roman"/>
          <w:sz w:val="24"/>
          <w:szCs w:val="24"/>
        </w:rPr>
        <w:t xml:space="preserve"> and </w:t>
      </w:r>
    </w:p>
    <w:p w14:paraId="0837A30A" w14:textId="235FAEAF" w:rsidR="00F61F3A" w:rsidRPr="004F51D3" w:rsidRDefault="008F3AF7" w:rsidP="00D923C0">
      <w:pPr>
        <w:pStyle w:val="ListParagraph"/>
        <w:numPr>
          <w:ilvl w:val="0"/>
          <w:numId w:val="24"/>
        </w:num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in facilitating </w:t>
      </w:r>
      <w:r w:rsidR="00F61F3A" w:rsidRPr="004F51D3">
        <w:rPr>
          <w:rFonts w:ascii="Times New Roman" w:hAnsi="Times New Roman" w:cs="Times New Roman"/>
          <w:sz w:val="24"/>
          <w:szCs w:val="24"/>
        </w:rPr>
        <w:t xml:space="preserve">engagement with the </w:t>
      </w:r>
      <w:r w:rsidRPr="004F51D3">
        <w:rPr>
          <w:rFonts w:ascii="Times New Roman" w:hAnsi="Times New Roman" w:cs="Times New Roman"/>
          <w:sz w:val="24"/>
          <w:szCs w:val="24"/>
        </w:rPr>
        <w:t xml:space="preserve">ANAO </w:t>
      </w:r>
      <w:r w:rsidR="00F61F3A" w:rsidRPr="004F51D3">
        <w:rPr>
          <w:rFonts w:ascii="Times New Roman" w:hAnsi="Times New Roman" w:cs="Times New Roman"/>
          <w:sz w:val="24"/>
          <w:szCs w:val="24"/>
        </w:rPr>
        <w:t xml:space="preserve">in relation to the </w:t>
      </w:r>
      <w:r w:rsidRPr="004F51D3">
        <w:rPr>
          <w:rFonts w:ascii="Times New Roman" w:hAnsi="Times New Roman" w:cs="Times New Roman"/>
          <w:sz w:val="24"/>
          <w:szCs w:val="24"/>
        </w:rPr>
        <w:t>ANAO</w:t>
      </w:r>
      <w:r w:rsidR="00F61F3A" w:rsidRPr="004F51D3">
        <w:rPr>
          <w:rFonts w:ascii="Times New Roman" w:hAnsi="Times New Roman" w:cs="Times New Roman"/>
          <w:sz w:val="24"/>
          <w:szCs w:val="24"/>
        </w:rPr>
        <w:t xml:space="preserve">’s financial statement </w:t>
      </w:r>
      <w:r w:rsidR="002A3C4D" w:rsidRPr="004F51D3">
        <w:rPr>
          <w:rFonts w:ascii="Times New Roman" w:hAnsi="Times New Roman" w:cs="Times New Roman"/>
          <w:sz w:val="24"/>
          <w:szCs w:val="24"/>
        </w:rPr>
        <w:t xml:space="preserve">and performance statement </w:t>
      </w:r>
      <w:r w:rsidR="00F61F3A" w:rsidRPr="004F51D3">
        <w:rPr>
          <w:rFonts w:ascii="Times New Roman" w:hAnsi="Times New Roman" w:cs="Times New Roman"/>
          <w:sz w:val="24"/>
          <w:szCs w:val="24"/>
        </w:rPr>
        <w:t xml:space="preserve">audit </w:t>
      </w:r>
      <w:r w:rsidRPr="004F51D3">
        <w:rPr>
          <w:rFonts w:ascii="Times New Roman" w:hAnsi="Times New Roman" w:cs="Times New Roman"/>
          <w:sz w:val="24"/>
          <w:szCs w:val="24"/>
        </w:rPr>
        <w:t>mandates.</w:t>
      </w:r>
    </w:p>
    <w:p w14:paraId="59766F34" w14:textId="206142BB"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The responsibilities, membership and reporting arrangements for </w:t>
      </w:r>
      <w:r w:rsidR="008F3AF7" w:rsidRPr="004F51D3">
        <w:rPr>
          <w:rFonts w:ascii="Times New Roman" w:hAnsi="Times New Roman" w:cs="Times New Roman"/>
          <w:sz w:val="24"/>
          <w:szCs w:val="24"/>
        </w:rPr>
        <w:t xml:space="preserve">any </w:t>
      </w:r>
      <w:r w:rsidRPr="004F51D3">
        <w:rPr>
          <w:rFonts w:ascii="Times New Roman" w:hAnsi="Times New Roman" w:cs="Times New Roman"/>
          <w:sz w:val="24"/>
          <w:szCs w:val="24"/>
        </w:rPr>
        <w:t>sub-committee shall be docum</w:t>
      </w:r>
      <w:r w:rsidR="00BB2C30" w:rsidRPr="004F51D3">
        <w:rPr>
          <w:rFonts w:ascii="Times New Roman" w:hAnsi="Times New Roman" w:cs="Times New Roman"/>
          <w:sz w:val="24"/>
          <w:szCs w:val="24"/>
        </w:rPr>
        <w:t>ented and approved by the full C</w:t>
      </w:r>
      <w:r w:rsidRPr="004F51D3">
        <w:rPr>
          <w:rFonts w:ascii="Times New Roman" w:hAnsi="Times New Roman" w:cs="Times New Roman"/>
          <w:sz w:val="24"/>
          <w:szCs w:val="24"/>
        </w:rPr>
        <w:t xml:space="preserve">ommittee. </w:t>
      </w:r>
    </w:p>
    <w:p w14:paraId="2F94FD0D" w14:textId="0E5AF13F" w:rsidR="00F61F3A" w:rsidRPr="004F51D3" w:rsidRDefault="008F3AF7"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Any</w:t>
      </w:r>
      <w:r w:rsidR="00F61F3A" w:rsidRPr="004F51D3">
        <w:rPr>
          <w:rFonts w:ascii="Times New Roman" w:hAnsi="Times New Roman" w:cs="Times New Roman"/>
          <w:sz w:val="24"/>
          <w:szCs w:val="24"/>
        </w:rPr>
        <w:t xml:space="preserve"> </w:t>
      </w:r>
      <w:r w:rsidR="00B138C9" w:rsidRPr="004F51D3">
        <w:rPr>
          <w:rFonts w:ascii="Times New Roman" w:hAnsi="Times New Roman" w:cs="Times New Roman"/>
          <w:sz w:val="24"/>
          <w:szCs w:val="24"/>
        </w:rPr>
        <w:t>sub-</w:t>
      </w:r>
      <w:r w:rsidR="00F61F3A" w:rsidRPr="004F51D3">
        <w:rPr>
          <w:rFonts w:ascii="Times New Roman" w:hAnsi="Times New Roman" w:cs="Times New Roman"/>
          <w:sz w:val="24"/>
          <w:szCs w:val="24"/>
        </w:rPr>
        <w:t>committee is to adhere to the requirements and obligations set out in this Charter and, as such, are not to assume any management functions nor should management exert inappropriate</w:t>
      </w:r>
      <w:r w:rsidR="00B138C9" w:rsidRPr="004F51D3">
        <w:rPr>
          <w:rFonts w:ascii="Times New Roman" w:hAnsi="Times New Roman" w:cs="Times New Roman"/>
          <w:sz w:val="24"/>
          <w:szCs w:val="24"/>
        </w:rPr>
        <w:t xml:space="preserve"> influence over the work of sub-</w:t>
      </w:r>
      <w:r w:rsidR="00460095" w:rsidRPr="004F51D3">
        <w:rPr>
          <w:rFonts w:ascii="Times New Roman" w:hAnsi="Times New Roman" w:cs="Times New Roman"/>
          <w:sz w:val="24"/>
          <w:szCs w:val="24"/>
        </w:rPr>
        <w:t xml:space="preserve">committees. </w:t>
      </w:r>
      <w:r w:rsidR="00F61F3A" w:rsidRPr="004F51D3">
        <w:rPr>
          <w:rFonts w:ascii="Times New Roman" w:hAnsi="Times New Roman" w:cs="Times New Roman"/>
          <w:sz w:val="24"/>
          <w:szCs w:val="24"/>
        </w:rPr>
        <w:t xml:space="preserve">Further to this, I will approve sub-committee membership following </w:t>
      </w:r>
      <w:r w:rsidR="00BB2C30" w:rsidRPr="004F51D3">
        <w:rPr>
          <w:rFonts w:ascii="Times New Roman" w:hAnsi="Times New Roman" w:cs="Times New Roman"/>
          <w:sz w:val="24"/>
          <w:szCs w:val="24"/>
        </w:rPr>
        <w:t>a recommendation from the full C</w:t>
      </w:r>
      <w:r w:rsidR="00F61F3A" w:rsidRPr="004F51D3">
        <w:rPr>
          <w:rFonts w:ascii="Times New Roman" w:hAnsi="Times New Roman" w:cs="Times New Roman"/>
          <w:sz w:val="24"/>
          <w:szCs w:val="24"/>
        </w:rPr>
        <w:t xml:space="preserve">ommittee. </w:t>
      </w:r>
    </w:p>
    <w:p w14:paraId="01BCA96D" w14:textId="4AF5AB43"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The Chief Finance Officer, Head of Internal Audit and </w:t>
      </w:r>
      <w:r w:rsidR="000F26E3">
        <w:rPr>
          <w:rFonts w:ascii="Times New Roman" w:hAnsi="Times New Roman" w:cs="Times New Roman"/>
          <w:sz w:val="24"/>
          <w:szCs w:val="24"/>
        </w:rPr>
        <w:t>ANAO</w:t>
      </w:r>
      <w:r w:rsidRPr="004F51D3">
        <w:rPr>
          <w:rFonts w:ascii="Times New Roman" w:hAnsi="Times New Roman" w:cs="Times New Roman"/>
          <w:sz w:val="24"/>
          <w:szCs w:val="24"/>
        </w:rPr>
        <w:t xml:space="preserve"> may attend meetings as observers, as determined by the Chair, but will not be members of </w:t>
      </w:r>
      <w:r w:rsidR="008F3AF7" w:rsidRPr="004F51D3">
        <w:rPr>
          <w:rFonts w:ascii="Times New Roman" w:hAnsi="Times New Roman" w:cs="Times New Roman"/>
          <w:sz w:val="24"/>
          <w:szCs w:val="24"/>
        </w:rPr>
        <w:t>any</w:t>
      </w:r>
      <w:r w:rsidRPr="004F51D3">
        <w:rPr>
          <w:rFonts w:ascii="Times New Roman" w:hAnsi="Times New Roman" w:cs="Times New Roman"/>
          <w:sz w:val="24"/>
          <w:szCs w:val="24"/>
        </w:rPr>
        <w:t xml:space="preserve"> sub-committee.</w:t>
      </w:r>
    </w:p>
    <w:p w14:paraId="3DBC7BF0" w14:textId="77777777" w:rsidR="00F61F3A" w:rsidRPr="004F51D3" w:rsidRDefault="00F61F3A" w:rsidP="00D923C0">
      <w:pPr>
        <w:pStyle w:val="Heading2"/>
      </w:pPr>
      <w:r w:rsidRPr="004F51D3">
        <w:t>Administration</w:t>
      </w:r>
    </w:p>
    <w:p w14:paraId="02EB68A8" w14:textId="77777777" w:rsidR="00F61F3A" w:rsidRPr="004F51D3" w:rsidRDefault="00F61F3A" w:rsidP="00DB2F84">
      <w:pPr>
        <w:pStyle w:val="Heading3"/>
      </w:pPr>
      <w:r w:rsidRPr="004F51D3">
        <w:t>Annual work plan</w:t>
      </w:r>
    </w:p>
    <w:p w14:paraId="1C1A9D92" w14:textId="3FF51E3E"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will develop a forward meeting schedule that includes the dates, location, and proposed agenda items for each meeting for the forthcoming year that covers all the functions outlined in this charter.</w:t>
      </w:r>
    </w:p>
    <w:p w14:paraId="441BA7C8" w14:textId="77777777" w:rsidR="00F61F3A" w:rsidRPr="004F51D3" w:rsidRDefault="00F61F3A" w:rsidP="00DB2F84">
      <w:pPr>
        <w:pStyle w:val="Heading3"/>
      </w:pPr>
      <w:r w:rsidRPr="004F51D3">
        <w:t xml:space="preserve">Program of induction </w:t>
      </w:r>
    </w:p>
    <w:p w14:paraId="740087E8" w14:textId="330E7EF1"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New members will receive relevant information and briefings on their appointmen</w:t>
      </w:r>
      <w:r w:rsidR="00BB2C30" w:rsidRPr="004F51D3">
        <w:rPr>
          <w:rFonts w:ascii="Times New Roman" w:hAnsi="Times New Roman" w:cs="Times New Roman"/>
          <w:sz w:val="24"/>
          <w:szCs w:val="24"/>
        </w:rPr>
        <w:t>t to assist them to meet their C</w:t>
      </w:r>
      <w:r w:rsidRPr="004F51D3">
        <w:rPr>
          <w:rFonts w:ascii="Times New Roman" w:hAnsi="Times New Roman" w:cs="Times New Roman"/>
          <w:sz w:val="24"/>
          <w:szCs w:val="24"/>
        </w:rPr>
        <w:t>ommittee responsibilities.</w:t>
      </w:r>
    </w:p>
    <w:p w14:paraId="536AD0D5" w14:textId="77777777" w:rsidR="00F61F3A" w:rsidRPr="004F51D3" w:rsidRDefault="00F61F3A" w:rsidP="00DB2F84">
      <w:pPr>
        <w:pStyle w:val="Heading3"/>
      </w:pPr>
      <w:r w:rsidRPr="004F51D3">
        <w:t>Reporting</w:t>
      </w:r>
    </w:p>
    <w:p w14:paraId="43DA5777" w14:textId="352EACAF"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is to, as often as necessary, and at least once a year, report to me on its operation and activities during the year, confirming that all functions outlined in this charter have been satisfactorily addressed.</w:t>
      </w:r>
    </w:p>
    <w:p w14:paraId="2A5A5323" w14:textId="4BC6471A"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may, at any time, report to me any other matter it deems of s</w:t>
      </w:r>
      <w:r w:rsidR="00460095" w:rsidRPr="004F51D3">
        <w:rPr>
          <w:rFonts w:ascii="Times New Roman" w:hAnsi="Times New Roman" w:cs="Times New Roman"/>
          <w:sz w:val="24"/>
          <w:szCs w:val="24"/>
        </w:rPr>
        <w:t xml:space="preserve">ufficient importance to do so. </w:t>
      </w:r>
      <w:r w:rsidR="00F61F3A" w:rsidRPr="004F51D3">
        <w:rPr>
          <w:rFonts w:ascii="Times New Roman" w:hAnsi="Times New Roman" w:cs="Times New Roman"/>
          <w:sz w:val="24"/>
          <w:szCs w:val="24"/>
        </w:rPr>
        <w:t>In addit</w:t>
      </w:r>
      <w:r w:rsidRPr="004F51D3">
        <w:rPr>
          <w:rFonts w:ascii="Times New Roman" w:hAnsi="Times New Roman" w:cs="Times New Roman"/>
          <w:sz w:val="24"/>
          <w:szCs w:val="24"/>
        </w:rPr>
        <w:t>ion, at any time an individual C</w:t>
      </w:r>
      <w:r w:rsidR="00F61F3A" w:rsidRPr="004F51D3">
        <w:rPr>
          <w:rFonts w:ascii="Times New Roman" w:hAnsi="Times New Roman" w:cs="Times New Roman"/>
          <w:sz w:val="24"/>
          <w:szCs w:val="24"/>
        </w:rPr>
        <w:t>ommittee member may request a meeting with me.</w:t>
      </w:r>
    </w:p>
    <w:p w14:paraId="6634368F" w14:textId="77777777" w:rsidR="00F61F3A" w:rsidRPr="004F51D3" w:rsidRDefault="00F61F3A" w:rsidP="00DB2F84">
      <w:pPr>
        <w:pStyle w:val="Heading3"/>
      </w:pPr>
      <w:r w:rsidRPr="004F51D3">
        <w:t>Meetings</w:t>
      </w:r>
    </w:p>
    <w:p w14:paraId="7C1E0BC6" w14:textId="45960E01"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w:t>
      </w:r>
      <w:r w:rsidR="00F61F3A" w:rsidRPr="004F51D3">
        <w:rPr>
          <w:rFonts w:ascii="Times New Roman" w:hAnsi="Times New Roman" w:cs="Times New Roman"/>
          <w:sz w:val="24"/>
          <w:szCs w:val="24"/>
        </w:rPr>
        <w:t>ommittee will mee</w:t>
      </w:r>
      <w:r w:rsidR="00AE4E7A" w:rsidRPr="004F51D3">
        <w:rPr>
          <w:rFonts w:ascii="Times New Roman" w:hAnsi="Times New Roman" w:cs="Times New Roman"/>
          <w:sz w:val="24"/>
          <w:szCs w:val="24"/>
        </w:rPr>
        <w:t xml:space="preserve">t at least </w:t>
      </w:r>
      <w:r w:rsidR="00F12DD9">
        <w:rPr>
          <w:rFonts w:ascii="Times New Roman" w:hAnsi="Times New Roman" w:cs="Times New Roman"/>
          <w:sz w:val="24"/>
          <w:szCs w:val="24"/>
        </w:rPr>
        <w:t>4</w:t>
      </w:r>
      <w:r w:rsidR="00AE4E7A" w:rsidRPr="004F51D3">
        <w:rPr>
          <w:rFonts w:ascii="Times New Roman" w:hAnsi="Times New Roman" w:cs="Times New Roman"/>
          <w:sz w:val="24"/>
          <w:szCs w:val="24"/>
        </w:rPr>
        <w:t xml:space="preserve"> times per year. </w:t>
      </w:r>
      <w:r w:rsidR="00F61F3A" w:rsidRPr="004F51D3">
        <w:rPr>
          <w:rFonts w:ascii="Times New Roman" w:hAnsi="Times New Roman" w:cs="Times New Roman"/>
          <w:sz w:val="24"/>
          <w:szCs w:val="24"/>
        </w:rPr>
        <w:t>One or more special meetings may occur to review the annual financial statements and performance statements or to meet other sp</w:t>
      </w:r>
      <w:r w:rsidRPr="004F51D3">
        <w:rPr>
          <w:rFonts w:ascii="Times New Roman" w:hAnsi="Times New Roman" w:cs="Times New Roman"/>
          <w:sz w:val="24"/>
          <w:szCs w:val="24"/>
        </w:rPr>
        <w:t>ecific responsibilities of the C</w:t>
      </w:r>
      <w:r w:rsidR="00F61F3A" w:rsidRPr="004F51D3">
        <w:rPr>
          <w:rFonts w:ascii="Times New Roman" w:hAnsi="Times New Roman" w:cs="Times New Roman"/>
          <w:sz w:val="24"/>
          <w:szCs w:val="24"/>
        </w:rPr>
        <w:t>ommittee.</w:t>
      </w:r>
    </w:p>
    <w:p w14:paraId="27B6A67D" w14:textId="2799478A"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The Chair is required to call a meeting if asked to do so by me and decide if a meeting is required if requested by another member, internal audit or the </w:t>
      </w:r>
      <w:r w:rsidR="000F26E3">
        <w:rPr>
          <w:rFonts w:ascii="Times New Roman" w:hAnsi="Times New Roman" w:cs="Times New Roman"/>
          <w:sz w:val="24"/>
          <w:szCs w:val="24"/>
        </w:rPr>
        <w:t>ANAO</w:t>
      </w:r>
      <w:r w:rsidRPr="004F51D3">
        <w:rPr>
          <w:rFonts w:ascii="Times New Roman" w:hAnsi="Times New Roman" w:cs="Times New Roman"/>
          <w:sz w:val="24"/>
          <w:szCs w:val="24"/>
        </w:rPr>
        <w:t>.</w:t>
      </w:r>
    </w:p>
    <w:p w14:paraId="251DD11E" w14:textId="3E315613"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A quorum</w:t>
      </w:r>
      <w:r w:rsidR="00BB2C30" w:rsidRPr="004F51D3">
        <w:rPr>
          <w:rFonts w:ascii="Times New Roman" w:hAnsi="Times New Roman" w:cs="Times New Roman"/>
          <w:sz w:val="24"/>
          <w:szCs w:val="24"/>
        </w:rPr>
        <w:t xml:space="preserve"> will consist of a</w:t>
      </w:r>
      <w:r w:rsidR="00EB7E5C" w:rsidRPr="004F51D3">
        <w:rPr>
          <w:rFonts w:ascii="Times New Roman" w:hAnsi="Times New Roman" w:cs="Times New Roman"/>
          <w:sz w:val="24"/>
          <w:szCs w:val="24"/>
        </w:rPr>
        <w:t xml:space="preserve">t least </w:t>
      </w:r>
      <w:r w:rsidR="000F26E3">
        <w:rPr>
          <w:rFonts w:ascii="Times New Roman" w:hAnsi="Times New Roman" w:cs="Times New Roman"/>
          <w:sz w:val="24"/>
          <w:szCs w:val="24"/>
        </w:rPr>
        <w:t>3</w:t>
      </w:r>
      <w:r w:rsidR="00BB2C30" w:rsidRPr="004F51D3">
        <w:rPr>
          <w:rFonts w:ascii="Times New Roman" w:hAnsi="Times New Roman" w:cs="Times New Roman"/>
          <w:sz w:val="24"/>
          <w:szCs w:val="24"/>
        </w:rPr>
        <w:t xml:space="preserve"> C</w:t>
      </w:r>
      <w:r w:rsidRPr="004F51D3">
        <w:rPr>
          <w:rFonts w:ascii="Times New Roman" w:hAnsi="Times New Roman" w:cs="Times New Roman"/>
          <w:sz w:val="24"/>
          <w:szCs w:val="24"/>
        </w:rPr>
        <w:t>ommittee members</w:t>
      </w:r>
      <w:r w:rsidR="004507EC" w:rsidRPr="004F51D3">
        <w:rPr>
          <w:rFonts w:ascii="Times New Roman" w:hAnsi="Times New Roman" w:cs="Times New Roman"/>
          <w:sz w:val="24"/>
          <w:szCs w:val="24"/>
        </w:rPr>
        <w:t>, and at least one Senior Adviser</w:t>
      </w:r>
      <w:r w:rsidRPr="004F51D3">
        <w:rPr>
          <w:rFonts w:ascii="Times New Roman" w:hAnsi="Times New Roman" w:cs="Times New Roman"/>
          <w:sz w:val="24"/>
          <w:szCs w:val="24"/>
        </w:rPr>
        <w:t>.  The quorum must be in place at all times during the meeting.</w:t>
      </w:r>
    </w:p>
    <w:p w14:paraId="03EC3F39" w14:textId="77777777" w:rsidR="00F61F3A" w:rsidRPr="004F51D3" w:rsidRDefault="00F61F3A" w:rsidP="00DB2F84">
      <w:pPr>
        <w:pStyle w:val="Heading3"/>
      </w:pPr>
      <w:r w:rsidRPr="004F51D3">
        <w:t>Secretariat</w:t>
      </w:r>
    </w:p>
    <w:p w14:paraId="19422096" w14:textId="04803D7F" w:rsidR="00F61F3A" w:rsidRPr="004F51D3" w:rsidRDefault="00E937B1"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D</w:t>
      </w:r>
      <w:r w:rsidR="00F61F3A" w:rsidRPr="004F51D3">
        <w:rPr>
          <w:rFonts w:ascii="Times New Roman" w:hAnsi="Times New Roman" w:cs="Times New Roman"/>
          <w:sz w:val="24"/>
          <w:szCs w:val="24"/>
        </w:rPr>
        <w:t xml:space="preserve">epartment’s </w:t>
      </w:r>
      <w:r w:rsidR="002A3C4D" w:rsidRPr="004F51D3">
        <w:rPr>
          <w:rFonts w:ascii="Times New Roman" w:hAnsi="Times New Roman" w:cs="Times New Roman"/>
          <w:sz w:val="24"/>
          <w:szCs w:val="24"/>
        </w:rPr>
        <w:t>Portfolio Governance</w:t>
      </w:r>
      <w:r w:rsidR="00F61F3A" w:rsidRPr="004F51D3">
        <w:rPr>
          <w:rFonts w:ascii="Times New Roman" w:hAnsi="Times New Roman" w:cs="Times New Roman"/>
          <w:sz w:val="24"/>
          <w:szCs w:val="24"/>
        </w:rPr>
        <w:t xml:space="preserve"> Branch will prov</w:t>
      </w:r>
      <w:r w:rsidR="00BB2C30" w:rsidRPr="004F51D3">
        <w:rPr>
          <w:rFonts w:ascii="Times New Roman" w:hAnsi="Times New Roman" w:cs="Times New Roman"/>
          <w:sz w:val="24"/>
          <w:szCs w:val="24"/>
        </w:rPr>
        <w:t>ide secretariat support to the C</w:t>
      </w:r>
      <w:r w:rsidR="00460095" w:rsidRPr="004F51D3">
        <w:rPr>
          <w:rFonts w:ascii="Times New Roman" w:hAnsi="Times New Roman" w:cs="Times New Roman"/>
          <w:sz w:val="24"/>
          <w:szCs w:val="24"/>
        </w:rPr>
        <w:t xml:space="preserve">ommittee. </w:t>
      </w:r>
      <w:r w:rsidR="00F61F3A" w:rsidRPr="004F51D3">
        <w:rPr>
          <w:rFonts w:ascii="Times New Roman" w:hAnsi="Times New Roman" w:cs="Times New Roman"/>
          <w:sz w:val="24"/>
          <w:szCs w:val="24"/>
        </w:rPr>
        <w:t xml:space="preserve">The secretariat will ensure: </w:t>
      </w:r>
    </w:p>
    <w:p w14:paraId="024D1575" w14:textId="77777777" w:rsidR="00DB2F84" w:rsidRDefault="00DB2F84">
      <w:pPr>
        <w:rPr>
          <w:rFonts w:ascii="Times New Roman" w:eastAsia="Times New Roman" w:hAnsi="Times New Roman" w:cs="Times New Roman"/>
          <w:sz w:val="24"/>
          <w:szCs w:val="20"/>
        </w:rPr>
      </w:pPr>
      <w:r>
        <w:rPr>
          <w:rFonts w:ascii="Times New Roman" w:eastAsia="Times New Roman" w:hAnsi="Times New Roman" w:cs="Times New Roman"/>
          <w:sz w:val="24"/>
          <w:szCs w:val="20"/>
        </w:rPr>
        <w:br w:type="page"/>
      </w:r>
    </w:p>
    <w:p w14:paraId="18E8DAC9" w14:textId="7ED6677D"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lastRenderedPageBreak/>
        <w:t xml:space="preserve">the agenda for each meeting is approved by the Chair </w:t>
      </w:r>
    </w:p>
    <w:p w14:paraId="381DFEA7" w14:textId="4C9FAA07"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the agenda and supporting papers are circulated, at least </w:t>
      </w:r>
      <w:r w:rsidR="000F26E3">
        <w:rPr>
          <w:rFonts w:ascii="Times New Roman" w:eastAsia="Times New Roman" w:hAnsi="Times New Roman" w:cs="Times New Roman"/>
          <w:sz w:val="24"/>
          <w:szCs w:val="20"/>
        </w:rPr>
        <w:t>5</w:t>
      </w:r>
      <w:r w:rsidRPr="004F51D3">
        <w:rPr>
          <w:rFonts w:ascii="Times New Roman" w:eastAsia="Times New Roman" w:hAnsi="Times New Roman" w:cs="Times New Roman"/>
          <w:sz w:val="24"/>
          <w:szCs w:val="20"/>
        </w:rPr>
        <w:t xml:space="preserve"> working days before the meeting </w:t>
      </w:r>
    </w:p>
    <w:p w14:paraId="71BF17E5" w14:textId="77777777" w:rsidR="00F61F3A" w:rsidRPr="004F51D3" w:rsidRDefault="00F61F3A" w:rsidP="00D923C0">
      <w:pPr>
        <w:pStyle w:val="ListParagraph"/>
        <w:numPr>
          <w:ilvl w:val="0"/>
          <w:numId w:val="22"/>
        </w:numPr>
        <w:snapToGrid w:val="0"/>
        <w:spacing w:before="60" w:after="60" w:line="240" w:lineRule="auto"/>
        <w:ind w:left="714" w:hanging="357"/>
        <w:contextualSpacing w:val="0"/>
        <w:rPr>
          <w:rFonts w:ascii="Times New Roman" w:eastAsia="Times New Roman" w:hAnsi="Times New Roman" w:cs="Times New Roman"/>
          <w:sz w:val="24"/>
          <w:szCs w:val="20"/>
        </w:rPr>
      </w:pPr>
      <w:r w:rsidRPr="004F51D3">
        <w:rPr>
          <w:rFonts w:ascii="Times New Roman" w:eastAsia="Times New Roman" w:hAnsi="Times New Roman" w:cs="Times New Roman"/>
          <w:sz w:val="24"/>
          <w:szCs w:val="20"/>
        </w:rPr>
        <w:t xml:space="preserve">the minutes of the meetings are prepared and maintained. </w:t>
      </w:r>
    </w:p>
    <w:p w14:paraId="2C772797" w14:textId="5515CDED" w:rsidR="00D923C0" w:rsidRPr="00DB2F84" w:rsidRDefault="00F61F3A" w:rsidP="00DB2F84">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Chair will review Minutes, which the secretariat will then circulate at t</w:t>
      </w:r>
      <w:r w:rsidR="00BB2C30" w:rsidRPr="004F51D3">
        <w:rPr>
          <w:rFonts w:ascii="Times New Roman" w:hAnsi="Times New Roman" w:cs="Times New Roman"/>
          <w:sz w:val="24"/>
          <w:szCs w:val="24"/>
        </w:rPr>
        <w:t>he following meeting for final C</w:t>
      </w:r>
      <w:r w:rsidRPr="004F51D3">
        <w:rPr>
          <w:rFonts w:ascii="Times New Roman" w:hAnsi="Times New Roman" w:cs="Times New Roman"/>
          <w:sz w:val="24"/>
          <w:szCs w:val="24"/>
        </w:rPr>
        <w:t>ommittee consideration and ratification.</w:t>
      </w:r>
    </w:p>
    <w:p w14:paraId="09B31A58" w14:textId="3411DDCF" w:rsidR="00F61F3A" w:rsidRPr="004F51D3" w:rsidRDefault="00F61F3A" w:rsidP="00DB2F84">
      <w:pPr>
        <w:pStyle w:val="Heading3"/>
      </w:pPr>
      <w:r w:rsidRPr="004F51D3">
        <w:t>Conflicts of interest</w:t>
      </w:r>
    </w:p>
    <w:p w14:paraId="37065479" w14:textId="5CB9913C" w:rsidR="00F61F3A" w:rsidRPr="004F51D3" w:rsidRDefault="00EB7E5C"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M</w:t>
      </w:r>
      <w:r w:rsidR="00BB2C30" w:rsidRPr="004F51D3">
        <w:rPr>
          <w:rFonts w:ascii="Times New Roman" w:hAnsi="Times New Roman" w:cs="Times New Roman"/>
          <w:sz w:val="24"/>
          <w:szCs w:val="24"/>
        </w:rPr>
        <w:t>embers of the C</w:t>
      </w:r>
      <w:r w:rsidR="00F61F3A" w:rsidRPr="004F51D3">
        <w:rPr>
          <w:rFonts w:ascii="Times New Roman" w:hAnsi="Times New Roman" w:cs="Times New Roman"/>
          <w:sz w:val="24"/>
          <w:szCs w:val="24"/>
        </w:rPr>
        <w:t>ommittee will provide written declarations</w:t>
      </w:r>
      <w:r w:rsidRPr="004F51D3">
        <w:rPr>
          <w:rFonts w:ascii="Times New Roman" w:hAnsi="Times New Roman" w:cs="Times New Roman"/>
          <w:sz w:val="24"/>
          <w:szCs w:val="24"/>
        </w:rPr>
        <w:t xml:space="preserve"> annually</w:t>
      </w:r>
      <w:r w:rsidR="00F61F3A" w:rsidRPr="004F51D3">
        <w:rPr>
          <w:rFonts w:ascii="Times New Roman" w:hAnsi="Times New Roman" w:cs="Times New Roman"/>
          <w:sz w:val="24"/>
          <w:szCs w:val="24"/>
        </w:rPr>
        <w:t xml:space="preserve">, through the Chair, to me, declaring any material personal interests they may have in relation to their responsibilities.  </w:t>
      </w:r>
      <w:r w:rsidRPr="004F51D3">
        <w:rPr>
          <w:rFonts w:ascii="Times New Roman" w:hAnsi="Times New Roman" w:cs="Times New Roman"/>
          <w:sz w:val="24"/>
          <w:szCs w:val="24"/>
        </w:rPr>
        <w:t>M</w:t>
      </w:r>
      <w:r w:rsidR="00F61F3A" w:rsidRPr="004F51D3">
        <w:rPr>
          <w:rFonts w:ascii="Times New Roman" w:hAnsi="Times New Roman" w:cs="Times New Roman"/>
          <w:sz w:val="24"/>
          <w:szCs w:val="24"/>
        </w:rPr>
        <w:t>embers should consider past employment, consultancy arrangements and related party issues</w:t>
      </w:r>
      <w:r w:rsidR="00460095" w:rsidRPr="004F51D3">
        <w:rPr>
          <w:rFonts w:ascii="Times New Roman" w:hAnsi="Times New Roman" w:cs="Times New Roman"/>
          <w:sz w:val="24"/>
          <w:szCs w:val="24"/>
        </w:rPr>
        <w:t xml:space="preserve"> in making these declarations. </w:t>
      </w:r>
      <w:r w:rsidR="00F61F3A" w:rsidRPr="004F51D3">
        <w:rPr>
          <w:rFonts w:ascii="Times New Roman" w:hAnsi="Times New Roman" w:cs="Times New Roman"/>
          <w:sz w:val="24"/>
          <w:szCs w:val="24"/>
        </w:rPr>
        <w:t xml:space="preserve">In consultation with the Chair, I should be satisfied that there are sufficient processes in place to manage any real or perceived conflict. </w:t>
      </w:r>
    </w:p>
    <w:p w14:paraId="08E369C5" w14:textId="13DA60C1" w:rsidR="00F61F3A" w:rsidRPr="004F51D3" w:rsidRDefault="00BB2C30"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At the beginning of each C</w:t>
      </w:r>
      <w:r w:rsidR="00F61F3A" w:rsidRPr="004F51D3">
        <w:rPr>
          <w:rFonts w:ascii="Times New Roman" w:hAnsi="Times New Roman" w:cs="Times New Roman"/>
          <w:sz w:val="24"/>
          <w:szCs w:val="24"/>
        </w:rPr>
        <w:t xml:space="preserve">ommittee meeting, members are required to declare any material personal interests that may apply to specific </w:t>
      </w:r>
      <w:r w:rsidR="00460095" w:rsidRPr="004F51D3">
        <w:rPr>
          <w:rFonts w:ascii="Times New Roman" w:hAnsi="Times New Roman" w:cs="Times New Roman"/>
          <w:sz w:val="24"/>
          <w:szCs w:val="24"/>
        </w:rPr>
        <w:t xml:space="preserve">matters on the meeting agenda. </w:t>
      </w:r>
      <w:r w:rsidR="00F61F3A" w:rsidRPr="004F51D3">
        <w:rPr>
          <w:rFonts w:ascii="Times New Roman" w:hAnsi="Times New Roman" w:cs="Times New Roman"/>
          <w:sz w:val="24"/>
          <w:szCs w:val="24"/>
        </w:rPr>
        <w:t xml:space="preserve">Where required by the Chair, the member will be excused from the meeting or from the </w:t>
      </w:r>
      <w:r w:rsidRPr="004F51D3">
        <w:rPr>
          <w:rFonts w:ascii="Times New Roman" w:hAnsi="Times New Roman" w:cs="Times New Roman"/>
          <w:sz w:val="24"/>
          <w:szCs w:val="24"/>
        </w:rPr>
        <w:t>C</w:t>
      </w:r>
      <w:r w:rsidR="00F61F3A" w:rsidRPr="004F51D3">
        <w:rPr>
          <w:rFonts w:ascii="Times New Roman" w:hAnsi="Times New Roman" w:cs="Times New Roman"/>
          <w:sz w:val="24"/>
          <w:szCs w:val="24"/>
        </w:rPr>
        <w:t xml:space="preserve">ommittee’s consideration of the relevant agenda item(s). </w:t>
      </w:r>
    </w:p>
    <w:p w14:paraId="175D6CCE" w14:textId="56B57AED"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Chair is also responsible for deciding, in consultation with me where appropriate, if they should excuse themselves from the meeting or fro</w:t>
      </w:r>
      <w:r w:rsidR="00BB2C30" w:rsidRPr="004F51D3">
        <w:rPr>
          <w:rFonts w:ascii="Times New Roman" w:hAnsi="Times New Roman" w:cs="Times New Roman"/>
          <w:sz w:val="24"/>
          <w:szCs w:val="24"/>
        </w:rPr>
        <w:t>m the C</w:t>
      </w:r>
      <w:r w:rsidRPr="004F51D3">
        <w:rPr>
          <w:rFonts w:ascii="Times New Roman" w:hAnsi="Times New Roman" w:cs="Times New Roman"/>
          <w:sz w:val="24"/>
          <w:szCs w:val="24"/>
        </w:rPr>
        <w:t xml:space="preserve">ommittee’s consideration of the relevant agenda item(s).  </w:t>
      </w:r>
    </w:p>
    <w:p w14:paraId="7623E430" w14:textId="77777777"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Details of any material personal interests declared by the Chair and other members, and actions taken, will be recorded appropriately in the minutes.</w:t>
      </w:r>
    </w:p>
    <w:p w14:paraId="59F5FEF8" w14:textId="5A7F84AE" w:rsidR="00F61F3A" w:rsidRPr="004F51D3" w:rsidRDefault="00BB2C30" w:rsidP="00DB2F84">
      <w:pPr>
        <w:pStyle w:val="Heading3"/>
      </w:pPr>
      <w:r w:rsidRPr="004F51D3">
        <w:t>Reviewing and assessing C</w:t>
      </w:r>
      <w:r w:rsidR="00F61F3A" w:rsidRPr="004F51D3">
        <w:t>ommittee performance</w:t>
      </w:r>
    </w:p>
    <w:p w14:paraId="4D4361E9" w14:textId="6B98A1C2"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The Chair, in consultation with me, will undertake a re</w:t>
      </w:r>
      <w:r w:rsidR="00BB2C30" w:rsidRPr="004F51D3">
        <w:rPr>
          <w:rFonts w:ascii="Times New Roman" w:hAnsi="Times New Roman" w:cs="Times New Roman"/>
          <w:sz w:val="24"/>
          <w:szCs w:val="24"/>
        </w:rPr>
        <w:t>view of the performance of the C</w:t>
      </w:r>
      <w:r w:rsidRPr="004F51D3">
        <w:rPr>
          <w:rFonts w:ascii="Times New Roman" w:hAnsi="Times New Roman" w:cs="Times New Roman"/>
          <w:sz w:val="24"/>
          <w:szCs w:val="24"/>
        </w:rPr>
        <w:t xml:space="preserve">ommittee </w:t>
      </w:r>
      <w:r w:rsidR="00460095" w:rsidRPr="004F51D3">
        <w:rPr>
          <w:rFonts w:ascii="Times New Roman" w:hAnsi="Times New Roman" w:cs="Times New Roman"/>
          <w:sz w:val="24"/>
          <w:szCs w:val="24"/>
        </w:rPr>
        <w:t xml:space="preserve">at least once every </w:t>
      </w:r>
      <w:r w:rsidR="000F26E3">
        <w:rPr>
          <w:rFonts w:ascii="Times New Roman" w:hAnsi="Times New Roman" w:cs="Times New Roman"/>
          <w:sz w:val="24"/>
          <w:szCs w:val="24"/>
        </w:rPr>
        <w:t xml:space="preserve">2 </w:t>
      </w:r>
      <w:r w:rsidR="00460095" w:rsidRPr="004F51D3">
        <w:rPr>
          <w:rFonts w:ascii="Times New Roman" w:hAnsi="Times New Roman" w:cs="Times New Roman"/>
          <w:sz w:val="24"/>
          <w:szCs w:val="24"/>
        </w:rPr>
        <w:t xml:space="preserve">years. </w:t>
      </w:r>
      <w:r w:rsidRPr="004F51D3">
        <w:rPr>
          <w:rFonts w:ascii="Times New Roman" w:hAnsi="Times New Roman" w:cs="Times New Roman"/>
          <w:sz w:val="24"/>
          <w:szCs w:val="24"/>
        </w:rPr>
        <w:t xml:space="preserve">The review will occur on a self-assessment basis with appropriate input sought from me, </w:t>
      </w:r>
      <w:r w:rsidR="00BB2C30" w:rsidRPr="004F51D3">
        <w:rPr>
          <w:rFonts w:ascii="Times New Roman" w:hAnsi="Times New Roman" w:cs="Times New Roman"/>
          <w:sz w:val="24"/>
          <w:szCs w:val="24"/>
        </w:rPr>
        <w:t>C</w:t>
      </w:r>
      <w:r w:rsidRPr="004F51D3">
        <w:rPr>
          <w:rFonts w:ascii="Times New Roman" w:hAnsi="Times New Roman" w:cs="Times New Roman"/>
          <w:sz w:val="24"/>
          <w:szCs w:val="24"/>
        </w:rPr>
        <w:t xml:space="preserve">ommittee members, senior management, internal audit, the </w:t>
      </w:r>
      <w:r w:rsidR="000F26E3">
        <w:rPr>
          <w:rFonts w:ascii="Times New Roman" w:hAnsi="Times New Roman" w:cs="Times New Roman"/>
          <w:sz w:val="24"/>
          <w:szCs w:val="24"/>
        </w:rPr>
        <w:t>ANAO</w:t>
      </w:r>
      <w:r w:rsidRPr="004F51D3">
        <w:rPr>
          <w:rFonts w:ascii="Times New Roman" w:hAnsi="Times New Roman" w:cs="Times New Roman"/>
          <w:sz w:val="24"/>
          <w:szCs w:val="24"/>
        </w:rPr>
        <w:t>, and any other relevant stakeholders.</w:t>
      </w:r>
    </w:p>
    <w:p w14:paraId="2D0FFE1D" w14:textId="77777777"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 xml:space="preserve">The Chair will provide advice to me on an external member’s performance where an extension of the member’s tenure is under consideration. </w:t>
      </w:r>
    </w:p>
    <w:p w14:paraId="5994698A" w14:textId="1C96E860" w:rsidR="00F61F3A" w:rsidRPr="004F51D3" w:rsidRDefault="00F61F3A" w:rsidP="00DB2F84">
      <w:pPr>
        <w:pStyle w:val="Heading3"/>
      </w:pPr>
      <w:r w:rsidRPr="004F51D3">
        <w:t xml:space="preserve">Review of </w:t>
      </w:r>
      <w:r w:rsidR="003E280B" w:rsidRPr="004F51D3">
        <w:t>C</w:t>
      </w:r>
      <w:r w:rsidRPr="004F51D3">
        <w:t>harter</w:t>
      </w:r>
    </w:p>
    <w:p w14:paraId="2DA1A628" w14:textId="551D73E4"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At l</w:t>
      </w:r>
      <w:r w:rsidR="00BB2C30" w:rsidRPr="004F51D3">
        <w:rPr>
          <w:rFonts w:ascii="Times New Roman" w:hAnsi="Times New Roman" w:cs="Times New Roman"/>
          <w:sz w:val="24"/>
          <w:szCs w:val="24"/>
        </w:rPr>
        <w:t>east once a year the C</w:t>
      </w:r>
      <w:r w:rsidRPr="004F51D3">
        <w:rPr>
          <w:rFonts w:ascii="Times New Roman" w:hAnsi="Times New Roman" w:cs="Times New Roman"/>
          <w:sz w:val="24"/>
          <w:szCs w:val="24"/>
        </w:rPr>
        <w:t xml:space="preserve">ommittee </w:t>
      </w:r>
      <w:r w:rsidR="00460095" w:rsidRPr="004F51D3">
        <w:rPr>
          <w:rFonts w:ascii="Times New Roman" w:hAnsi="Times New Roman" w:cs="Times New Roman"/>
          <w:sz w:val="24"/>
          <w:szCs w:val="24"/>
        </w:rPr>
        <w:t xml:space="preserve">will review this charter. </w:t>
      </w:r>
      <w:r w:rsidR="00BB2C30" w:rsidRPr="004F51D3">
        <w:rPr>
          <w:rFonts w:ascii="Times New Roman" w:hAnsi="Times New Roman" w:cs="Times New Roman"/>
          <w:sz w:val="24"/>
          <w:szCs w:val="24"/>
        </w:rPr>
        <w:t>The C</w:t>
      </w:r>
      <w:r w:rsidRPr="004F51D3">
        <w:rPr>
          <w:rFonts w:ascii="Times New Roman" w:hAnsi="Times New Roman" w:cs="Times New Roman"/>
          <w:sz w:val="24"/>
          <w:szCs w:val="24"/>
        </w:rPr>
        <w:t>ommittee will recommend any substantive changes to the charter for formal approval by me.</w:t>
      </w:r>
    </w:p>
    <w:p w14:paraId="2D7009E6" w14:textId="77777777" w:rsidR="00F61F3A" w:rsidRPr="004F51D3" w:rsidRDefault="00F61F3A" w:rsidP="00D923C0">
      <w:pPr>
        <w:pStyle w:val="Heading2"/>
      </w:pPr>
      <w:r w:rsidRPr="004F51D3">
        <w:t xml:space="preserve">Approval </w:t>
      </w:r>
    </w:p>
    <w:p w14:paraId="3E388D54" w14:textId="64790978" w:rsidR="00F61F3A" w:rsidRPr="004F51D3" w:rsidRDefault="00F61F3A" w:rsidP="00D923C0">
      <w:pPr>
        <w:spacing w:before="120" w:after="120" w:line="240" w:lineRule="auto"/>
        <w:rPr>
          <w:rFonts w:ascii="Times New Roman" w:hAnsi="Times New Roman" w:cs="Times New Roman"/>
          <w:sz w:val="24"/>
          <w:szCs w:val="24"/>
        </w:rPr>
      </w:pPr>
      <w:r w:rsidRPr="004F51D3">
        <w:rPr>
          <w:rFonts w:ascii="Times New Roman" w:hAnsi="Times New Roman" w:cs="Times New Roman"/>
          <w:sz w:val="24"/>
          <w:szCs w:val="24"/>
        </w:rPr>
        <w:t>As the accountable aut</w:t>
      </w:r>
      <w:r w:rsidR="0089044E" w:rsidRPr="004F51D3">
        <w:rPr>
          <w:rFonts w:ascii="Times New Roman" w:hAnsi="Times New Roman" w:cs="Times New Roman"/>
          <w:sz w:val="24"/>
          <w:szCs w:val="24"/>
        </w:rPr>
        <w:t xml:space="preserve">hority, I approve the Audit </w:t>
      </w:r>
      <w:r w:rsidR="006C3971" w:rsidRPr="004F51D3">
        <w:rPr>
          <w:rFonts w:ascii="Times New Roman" w:hAnsi="Times New Roman" w:cs="Times New Roman"/>
          <w:sz w:val="24"/>
          <w:szCs w:val="24"/>
        </w:rPr>
        <w:t xml:space="preserve">and Risk </w:t>
      </w:r>
      <w:r w:rsidRPr="004F51D3">
        <w:rPr>
          <w:rFonts w:ascii="Times New Roman" w:hAnsi="Times New Roman" w:cs="Times New Roman"/>
          <w:sz w:val="24"/>
          <w:szCs w:val="24"/>
        </w:rPr>
        <w:t>Committee Charter.</w:t>
      </w:r>
    </w:p>
    <w:p w14:paraId="1A92A204" w14:textId="77777777" w:rsidR="00F61F3A" w:rsidRPr="004F51D3" w:rsidRDefault="00F61F3A" w:rsidP="00D923C0">
      <w:pPr>
        <w:snapToGrid w:val="0"/>
        <w:spacing w:after="120"/>
        <w:rPr>
          <w:rFonts w:ascii="Times New Roman" w:hAnsi="Times New Roman" w:cs="Times New Roman"/>
        </w:rPr>
      </w:pPr>
    </w:p>
    <w:p w14:paraId="64F42B09" w14:textId="648BDA23" w:rsidR="00F61F3A" w:rsidRPr="004F51D3" w:rsidRDefault="004D3E5E" w:rsidP="00D923C0">
      <w:pPr>
        <w:snapToGrid w:val="0"/>
        <w:spacing w:after="120"/>
        <w:rPr>
          <w:rFonts w:ascii="Times New Roman" w:hAnsi="Times New Roman" w:cs="Times New Roman"/>
        </w:rPr>
      </w:pPr>
      <w:r w:rsidRPr="004D3E5E">
        <w:rPr>
          <w:rFonts w:ascii="Times New Roman" w:hAnsi="Times New Roman" w:cs="Times New Roman"/>
          <w:noProof/>
          <w:sz w:val="24"/>
          <w:szCs w:val="24"/>
        </w:rPr>
        <w:drawing>
          <wp:anchor distT="0" distB="0" distL="114300" distR="114300" simplePos="0" relativeHeight="251662336" behindDoc="0" locked="0" layoutInCell="1" allowOverlap="1" wp14:anchorId="612B14A3" wp14:editId="58516368">
            <wp:simplePos x="0" y="0"/>
            <wp:positionH relativeFrom="column">
              <wp:posOffset>888365</wp:posOffset>
            </wp:positionH>
            <wp:positionV relativeFrom="paragraph">
              <wp:posOffset>210346</wp:posOffset>
            </wp:positionV>
            <wp:extent cx="1752600" cy="1066800"/>
            <wp:effectExtent l="0" t="0" r="0" b="0"/>
            <wp:wrapNone/>
            <wp:docPr id="625348299" name="Picture 1" descr="Signature&#10;2/1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8299" name="Picture 1" descr="Signature&#10;2/12/15"/>
                    <pic:cNvPicPr/>
                  </pic:nvPicPr>
                  <pic:blipFill>
                    <a:blip r:embed="rId15">
                      <a:extLst>
                        <a:ext uri="{28A0092B-C50C-407E-A947-70E740481C1C}">
                          <a14:useLocalDpi xmlns:a14="http://schemas.microsoft.com/office/drawing/2010/main" val="0"/>
                        </a:ext>
                      </a:extLst>
                    </a:blip>
                    <a:stretch>
                      <a:fillRect/>
                    </a:stretch>
                  </pic:blipFill>
                  <pic:spPr>
                    <a:xfrm>
                      <a:off x="0" y="0"/>
                      <a:ext cx="1752600" cy="1066800"/>
                    </a:xfrm>
                    <a:prstGeom prst="rect">
                      <a:avLst/>
                    </a:prstGeom>
                  </pic:spPr>
                </pic:pic>
              </a:graphicData>
            </a:graphic>
            <wp14:sizeRelH relativeFrom="page">
              <wp14:pctWidth>0</wp14:pctWidth>
            </wp14:sizeRelH>
            <wp14:sizeRelV relativeFrom="page">
              <wp14:pctHeight>0</wp14:pctHeight>
            </wp14:sizeRelV>
          </wp:anchor>
        </w:drawing>
      </w:r>
    </w:p>
    <w:p w14:paraId="4EA68100" w14:textId="100D2D34" w:rsidR="00A46B12" w:rsidRPr="004F51D3" w:rsidRDefault="00A46B12" w:rsidP="00D923C0">
      <w:pPr>
        <w:snapToGrid w:val="0"/>
        <w:spacing w:after="120"/>
        <w:rPr>
          <w:rFonts w:ascii="Times New Roman" w:hAnsi="Times New Roman" w:cs="Times New Roman"/>
        </w:rPr>
      </w:pPr>
    </w:p>
    <w:p w14:paraId="0623EE83" w14:textId="77777777" w:rsidR="00F61F3A" w:rsidRPr="004F51D3" w:rsidRDefault="00F61F3A" w:rsidP="00D923C0">
      <w:pPr>
        <w:snapToGrid w:val="0"/>
        <w:spacing w:after="0"/>
        <w:rPr>
          <w:rFonts w:ascii="Times New Roman" w:hAnsi="Times New Roman" w:cs="Times New Roman"/>
          <w:sz w:val="24"/>
          <w:szCs w:val="24"/>
        </w:rPr>
      </w:pPr>
      <w:r w:rsidRPr="004F51D3">
        <w:rPr>
          <w:rFonts w:ascii="Times New Roman" w:hAnsi="Times New Roman" w:cs="Times New Roman"/>
          <w:sz w:val="24"/>
          <w:szCs w:val="24"/>
        </w:rPr>
        <w:t xml:space="preserve">Approved: </w:t>
      </w:r>
      <w:r w:rsidRPr="004F51D3">
        <w:rPr>
          <w:rFonts w:ascii="Times New Roman" w:hAnsi="Times New Roman" w:cs="Times New Roman"/>
          <w:sz w:val="24"/>
          <w:szCs w:val="24"/>
        </w:rPr>
        <w:tab/>
        <w:t>__________________</w:t>
      </w:r>
    </w:p>
    <w:p w14:paraId="2B81BCD5" w14:textId="33E98F23" w:rsidR="00F61F3A" w:rsidRPr="004F51D3" w:rsidRDefault="0089044E" w:rsidP="00D923C0">
      <w:pPr>
        <w:snapToGrid w:val="0"/>
        <w:spacing w:after="0"/>
        <w:rPr>
          <w:rFonts w:ascii="Times New Roman" w:hAnsi="Times New Roman" w:cs="Times New Roman"/>
          <w:sz w:val="24"/>
          <w:szCs w:val="24"/>
        </w:rPr>
      </w:pPr>
      <w:r w:rsidRPr="004F51D3">
        <w:rPr>
          <w:rFonts w:ascii="Times New Roman" w:hAnsi="Times New Roman" w:cs="Times New Roman"/>
          <w:sz w:val="24"/>
          <w:szCs w:val="24"/>
        </w:rPr>
        <w:tab/>
      </w:r>
      <w:r w:rsidRPr="004F51D3">
        <w:rPr>
          <w:rFonts w:ascii="Times New Roman" w:hAnsi="Times New Roman" w:cs="Times New Roman"/>
          <w:sz w:val="24"/>
          <w:szCs w:val="24"/>
        </w:rPr>
        <w:tab/>
      </w:r>
    </w:p>
    <w:p w14:paraId="2B35F56C" w14:textId="037F49B2" w:rsidR="00F61F3A" w:rsidRPr="004F51D3" w:rsidRDefault="00F61F3A" w:rsidP="00D923C0">
      <w:pPr>
        <w:snapToGrid w:val="0"/>
        <w:spacing w:after="0"/>
        <w:rPr>
          <w:rFonts w:ascii="Times New Roman" w:hAnsi="Times New Roman" w:cs="Times New Roman"/>
          <w:sz w:val="24"/>
          <w:szCs w:val="24"/>
        </w:rPr>
      </w:pPr>
      <w:r w:rsidRPr="004F51D3">
        <w:rPr>
          <w:rFonts w:ascii="Times New Roman" w:hAnsi="Times New Roman" w:cs="Times New Roman"/>
          <w:sz w:val="24"/>
          <w:szCs w:val="24"/>
        </w:rPr>
        <w:t xml:space="preserve">Date: </w:t>
      </w:r>
      <w:r w:rsidRPr="004F51D3">
        <w:rPr>
          <w:rFonts w:ascii="Times New Roman" w:hAnsi="Times New Roman" w:cs="Times New Roman"/>
          <w:sz w:val="24"/>
          <w:szCs w:val="24"/>
        </w:rPr>
        <w:tab/>
      </w:r>
      <w:r w:rsidR="000F26E3">
        <w:rPr>
          <w:rFonts w:ascii="Times New Roman" w:hAnsi="Times New Roman" w:cs="Times New Roman"/>
          <w:sz w:val="24"/>
          <w:szCs w:val="24"/>
        </w:rPr>
        <w:tab/>
        <w:t xml:space="preserve">      20</w:t>
      </w:r>
      <w:r w:rsidRPr="004F51D3">
        <w:rPr>
          <w:rFonts w:ascii="Times New Roman" w:hAnsi="Times New Roman" w:cs="Times New Roman"/>
          <w:sz w:val="24"/>
          <w:szCs w:val="24"/>
        </w:rPr>
        <w:tab/>
        <w:t xml:space="preserve">             </w:t>
      </w:r>
    </w:p>
    <w:p w14:paraId="2101E492" w14:textId="77777777" w:rsidR="00A46B12" w:rsidRPr="004F51D3" w:rsidRDefault="00A46B12" w:rsidP="00D923C0">
      <w:pPr>
        <w:spacing w:after="240"/>
        <w:rPr>
          <w:rFonts w:ascii="Times New Roman" w:hAnsi="Times New Roman" w:cs="Times New Roman"/>
          <w:b/>
          <w:bCs/>
          <w:sz w:val="24"/>
          <w:szCs w:val="24"/>
        </w:rPr>
      </w:pPr>
      <w:r w:rsidRPr="004F51D3">
        <w:rPr>
          <w:rFonts w:ascii="Times New Roman" w:hAnsi="Times New Roman" w:cs="Times New Roman"/>
          <w:b/>
          <w:bCs/>
          <w:sz w:val="24"/>
          <w:szCs w:val="24"/>
        </w:rPr>
        <w:br w:type="page"/>
      </w:r>
    </w:p>
    <w:p w14:paraId="42982A74" w14:textId="44053967" w:rsidR="006673F1" w:rsidRPr="00DB2F84" w:rsidRDefault="006673F1" w:rsidP="00D923C0">
      <w:pPr>
        <w:pStyle w:val="Heading2"/>
        <w:rPr>
          <w:color w:val="000000" w:themeColor="text1"/>
          <w:sz w:val="28"/>
          <w:szCs w:val="28"/>
        </w:rPr>
      </w:pPr>
      <w:r w:rsidRPr="00DB2F84">
        <w:rPr>
          <w:color w:val="000000" w:themeColor="text1"/>
          <w:sz w:val="28"/>
          <w:szCs w:val="28"/>
        </w:rPr>
        <w:lastRenderedPageBreak/>
        <w:t xml:space="preserve">Appendix A - </w:t>
      </w:r>
      <w:r w:rsidR="006733AC" w:rsidRPr="00DB2F84">
        <w:rPr>
          <w:color w:val="000000" w:themeColor="text1"/>
          <w:sz w:val="28"/>
          <w:szCs w:val="28"/>
        </w:rPr>
        <w:t>DSS Portfolio Audit and Risk Committee</w:t>
      </w:r>
      <w:r w:rsidR="007F6178" w:rsidRPr="00DB2F84">
        <w:rPr>
          <w:color w:val="000000" w:themeColor="text1"/>
          <w:sz w:val="28"/>
          <w:szCs w:val="28"/>
        </w:rPr>
        <w:t>:</w:t>
      </w:r>
      <w:r w:rsidR="006733AC" w:rsidRPr="00DB2F84">
        <w:rPr>
          <w:color w:val="000000" w:themeColor="text1"/>
          <w:sz w:val="28"/>
          <w:szCs w:val="28"/>
        </w:rPr>
        <w:t xml:space="preserve"> Sharing Arrangements</w:t>
      </w:r>
    </w:p>
    <w:p w14:paraId="5AAB7F33" w14:textId="77777777" w:rsidR="006733AC" w:rsidRPr="004F51D3" w:rsidRDefault="006733AC" w:rsidP="00D923C0">
      <w:p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0"/>
        <w:rPr>
          <w:rFonts w:ascii="Times New Roman" w:hAnsi="Times New Roman" w:cs="Times New Roman"/>
          <w:sz w:val="24"/>
          <w:szCs w:val="24"/>
          <w:lang w:val="en-US"/>
        </w:rPr>
      </w:pPr>
      <w:r w:rsidRPr="004F51D3">
        <w:rPr>
          <w:rFonts w:ascii="Times New Roman" w:hAnsi="Times New Roman" w:cs="Times New Roman"/>
          <w:sz w:val="24"/>
          <w:szCs w:val="24"/>
          <w:lang w:val="en-US"/>
        </w:rPr>
        <w:t xml:space="preserve">The </w:t>
      </w:r>
      <w:r w:rsidRPr="004F51D3">
        <w:rPr>
          <w:rFonts w:ascii="Times New Roman" w:hAnsi="Times New Roman" w:cs="Times New Roman"/>
          <w:i/>
          <w:sz w:val="24"/>
          <w:szCs w:val="24"/>
          <w:lang w:val="en-US"/>
        </w:rPr>
        <w:t xml:space="preserve">Public Governance, Performance and Accountability Rule 2014 </w:t>
      </w:r>
      <w:r w:rsidRPr="004F51D3">
        <w:rPr>
          <w:rFonts w:ascii="Times New Roman" w:hAnsi="Times New Roman" w:cs="Times New Roman"/>
          <w:sz w:val="24"/>
          <w:szCs w:val="24"/>
          <w:lang w:val="en-US"/>
        </w:rPr>
        <w:t>(the PGPA Rule) sets out the minimum requirements relating to an Audit Committee viz:</w:t>
      </w:r>
    </w:p>
    <w:p w14:paraId="5DA52162" w14:textId="6F16D9B9" w:rsidR="006733AC" w:rsidRPr="004F51D3" w:rsidRDefault="006733AC" w:rsidP="00D923C0">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40"/>
        <w:rPr>
          <w:rFonts w:ascii="Times New Roman" w:hAnsi="Times New Roman" w:cs="Times New Roman"/>
          <w:sz w:val="24"/>
          <w:szCs w:val="24"/>
          <w:lang w:val="en-US"/>
        </w:rPr>
      </w:pPr>
      <w:r w:rsidRPr="004F51D3">
        <w:rPr>
          <w:rFonts w:ascii="Times New Roman" w:hAnsi="Times New Roman" w:cs="Times New Roman"/>
          <w:sz w:val="24"/>
          <w:szCs w:val="24"/>
          <w:lang w:val="en-US"/>
        </w:rPr>
        <w:t>to review the appropriateness of the accountable authorities': financial reporting; performance reporting; system of risk oversight and management, and system of internal control.</w:t>
      </w:r>
    </w:p>
    <w:p w14:paraId="1C10E083" w14:textId="4EF58986" w:rsidR="006733AC" w:rsidRPr="004F51D3" w:rsidRDefault="006733AC" w:rsidP="00D923C0">
      <w:p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0"/>
        <w:rPr>
          <w:rFonts w:ascii="Times New Roman" w:hAnsi="Times New Roman" w:cs="Times New Roman"/>
          <w:sz w:val="24"/>
          <w:szCs w:val="24"/>
          <w:lang w:val="en-US"/>
        </w:rPr>
      </w:pPr>
      <w:r w:rsidRPr="004F51D3">
        <w:rPr>
          <w:rFonts w:ascii="Times New Roman" w:hAnsi="Times New Roman" w:cs="Times New Roman"/>
          <w:sz w:val="24"/>
          <w:szCs w:val="24"/>
          <w:lang w:val="en-US"/>
        </w:rPr>
        <w:t xml:space="preserve">The </w:t>
      </w:r>
      <w:r w:rsidRPr="004F51D3">
        <w:rPr>
          <w:rFonts w:ascii="Times New Roman" w:hAnsi="Times New Roman" w:cs="Times New Roman"/>
          <w:i/>
          <w:sz w:val="24"/>
          <w:szCs w:val="24"/>
          <w:lang w:val="en-US"/>
        </w:rPr>
        <w:t xml:space="preserve">Resource Management Guide </w:t>
      </w:r>
      <w:r w:rsidRPr="004F51D3">
        <w:rPr>
          <w:rFonts w:ascii="Times New Roman" w:hAnsi="Times New Roman" w:cs="Times New Roman"/>
          <w:sz w:val="24"/>
          <w:szCs w:val="24"/>
          <w:lang w:val="en-US"/>
        </w:rPr>
        <w:t>(RMG 202) for non-corporate Commonwealth entities on the Role of Audit Committees also notes viz:</w:t>
      </w:r>
    </w:p>
    <w:p w14:paraId="00F061B3" w14:textId="77777777" w:rsidR="006733AC" w:rsidRPr="004F51D3" w:rsidRDefault="006733AC" w:rsidP="00D923C0">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0"/>
        <w:rPr>
          <w:rFonts w:ascii="Times New Roman" w:hAnsi="Times New Roman" w:cs="Times New Roman"/>
          <w:sz w:val="24"/>
          <w:szCs w:val="24"/>
          <w:lang w:val="en-US"/>
        </w:rPr>
      </w:pPr>
      <w:r w:rsidRPr="004F51D3">
        <w:rPr>
          <w:rFonts w:ascii="Times New Roman" w:hAnsi="Times New Roman" w:cs="Times New Roman"/>
          <w:sz w:val="24"/>
          <w:szCs w:val="24"/>
          <w:lang w:val="en-US"/>
        </w:rPr>
        <w:t xml:space="preserve">Section 1.5 Additional functions of the Audit Committee; and </w:t>
      </w:r>
    </w:p>
    <w:p w14:paraId="671E1B8A" w14:textId="77777777" w:rsidR="006733AC" w:rsidRPr="004F51D3" w:rsidRDefault="006733AC" w:rsidP="00D923C0">
      <w:pPr>
        <w:pStyle w:val="ListParagraph"/>
        <w:numPr>
          <w:ilvl w:val="0"/>
          <w:numId w:val="23"/>
        </w:numPr>
        <w:pBdr>
          <w:top w:val="single" w:sz="4" w:space="1" w:color="auto"/>
          <w:left w:val="single" w:sz="4" w:space="4" w:color="auto"/>
          <w:bottom w:val="single" w:sz="4" w:space="1" w:color="auto"/>
          <w:right w:val="single" w:sz="4" w:space="4" w:color="auto"/>
        </w:pBdr>
        <w:shd w:val="clear" w:color="auto" w:fill="F2F2F2" w:themeFill="background1" w:themeFillShade="F2"/>
        <w:snapToGrid w:val="0"/>
        <w:spacing w:after="0"/>
        <w:rPr>
          <w:rFonts w:ascii="Times New Roman" w:hAnsi="Times New Roman" w:cs="Times New Roman"/>
          <w:sz w:val="24"/>
          <w:szCs w:val="24"/>
          <w:lang w:val="en-US"/>
        </w:rPr>
      </w:pPr>
      <w:r w:rsidRPr="004F51D3">
        <w:rPr>
          <w:rFonts w:ascii="Times New Roman" w:hAnsi="Times New Roman" w:cs="Times New Roman"/>
          <w:sz w:val="24"/>
          <w:szCs w:val="24"/>
          <w:lang w:val="en-US"/>
        </w:rPr>
        <w:t xml:space="preserve">Section 2.7 Shared Audit Committees, </w:t>
      </w:r>
    </w:p>
    <w:p w14:paraId="22FE99A0" w14:textId="6B2DB90C" w:rsidR="006733AC" w:rsidRPr="004F51D3" w:rsidRDefault="006733AC" w:rsidP="00D923C0">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rPr>
          <w:rFonts w:ascii="Times New Roman" w:hAnsi="Times New Roman" w:cs="Times New Roman"/>
          <w:sz w:val="24"/>
          <w:szCs w:val="24"/>
          <w:lang w:val="en-US"/>
        </w:rPr>
      </w:pPr>
      <w:r w:rsidRPr="004F51D3">
        <w:rPr>
          <w:rFonts w:ascii="Times New Roman" w:hAnsi="Times New Roman" w:cs="Times New Roman"/>
          <w:sz w:val="24"/>
          <w:szCs w:val="24"/>
          <w:lang w:val="en-US"/>
        </w:rPr>
        <w:t xml:space="preserve">that in some circumstances it can be useful for </w:t>
      </w:r>
      <w:r w:rsidR="001B5BAE">
        <w:rPr>
          <w:rFonts w:ascii="Times New Roman" w:hAnsi="Times New Roman" w:cs="Times New Roman"/>
          <w:sz w:val="24"/>
          <w:szCs w:val="24"/>
          <w:lang w:val="en-US"/>
        </w:rPr>
        <w:t>2</w:t>
      </w:r>
      <w:r w:rsidRPr="004F51D3">
        <w:rPr>
          <w:rFonts w:ascii="Times New Roman" w:hAnsi="Times New Roman" w:cs="Times New Roman"/>
          <w:sz w:val="24"/>
          <w:szCs w:val="24"/>
          <w:lang w:val="en-US"/>
        </w:rPr>
        <w:t xml:space="preserve"> or more entities to establish a shared Audit Committee</w:t>
      </w:r>
      <w:r w:rsidR="00CE24BC" w:rsidRPr="004F51D3">
        <w:rPr>
          <w:rFonts w:ascii="Times New Roman" w:hAnsi="Times New Roman" w:cs="Times New Roman"/>
          <w:sz w:val="24"/>
          <w:szCs w:val="24"/>
          <w:lang w:val="en-US"/>
        </w:rPr>
        <w:t xml:space="preserve"> arrangement</w:t>
      </w:r>
      <w:r w:rsidRPr="004F51D3">
        <w:rPr>
          <w:rFonts w:ascii="Times New Roman" w:hAnsi="Times New Roman" w:cs="Times New Roman"/>
          <w:sz w:val="24"/>
          <w:szCs w:val="24"/>
          <w:lang w:val="en-US"/>
        </w:rPr>
        <w:t>.</w:t>
      </w:r>
    </w:p>
    <w:p w14:paraId="5EF04E62" w14:textId="5420EB62" w:rsidR="006733AC" w:rsidRPr="004F51D3" w:rsidRDefault="006733AC" w:rsidP="00D923C0">
      <w:pPr>
        <w:snapToGrid w:val="0"/>
        <w:spacing w:after="60" w:line="240" w:lineRule="auto"/>
        <w:rPr>
          <w:rFonts w:ascii="Times New Roman" w:hAnsi="Times New Roman" w:cs="Times New Roman"/>
          <w:sz w:val="24"/>
          <w:szCs w:val="24"/>
          <w:lang w:val="en-US"/>
        </w:rPr>
      </w:pPr>
      <w:r w:rsidRPr="004F51D3">
        <w:rPr>
          <w:rFonts w:ascii="Times New Roman" w:hAnsi="Times New Roman" w:cs="Times New Roman"/>
          <w:sz w:val="24"/>
          <w:szCs w:val="24"/>
          <w:lang w:val="en-US"/>
        </w:rPr>
        <w:t>As</w:t>
      </w:r>
      <w:r w:rsidR="006673F1" w:rsidRPr="004F51D3">
        <w:rPr>
          <w:rFonts w:ascii="Times New Roman" w:hAnsi="Times New Roman" w:cs="Times New Roman"/>
          <w:sz w:val="24"/>
          <w:szCs w:val="24"/>
          <w:lang w:val="en-US"/>
        </w:rPr>
        <w:t xml:space="preserve"> Secretary of the Department of Social Services (the Department), and the accountable authority of the Department's Audit and Risk Committee, </w:t>
      </w:r>
      <w:r w:rsidRPr="004F51D3">
        <w:rPr>
          <w:rFonts w:ascii="Times New Roman" w:hAnsi="Times New Roman" w:cs="Times New Roman"/>
          <w:sz w:val="24"/>
          <w:szCs w:val="24"/>
          <w:lang w:val="en-US"/>
        </w:rPr>
        <w:t xml:space="preserve">I </w:t>
      </w:r>
      <w:r w:rsidR="006673F1" w:rsidRPr="004F51D3">
        <w:rPr>
          <w:rFonts w:ascii="Times New Roman" w:hAnsi="Times New Roman" w:cs="Times New Roman"/>
          <w:sz w:val="24"/>
          <w:szCs w:val="24"/>
          <w:lang w:val="en-US"/>
        </w:rPr>
        <w:t xml:space="preserve">support the </w:t>
      </w:r>
      <w:r w:rsidRPr="004F51D3">
        <w:rPr>
          <w:rFonts w:ascii="Times New Roman" w:hAnsi="Times New Roman" w:cs="Times New Roman"/>
          <w:sz w:val="24"/>
          <w:szCs w:val="24"/>
          <w:lang w:val="en-US"/>
        </w:rPr>
        <w:t xml:space="preserve">following Portfolio Agencies </w:t>
      </w:r>
      <w:r w:rsidR="002611FB" w:rsidRPr="004F51D3">
        <w:rPr>
          <w:rFonts w:ascii="Times New Roman" w:hAnsi="Times New Roman" w:cs="Times New Roman"/>
          <w:sz w:val="24"/>
          <w:szCs w:val="24"/>
          <w:lang w:val="en-US"/>
        </w:rPr>
        <w:t xml:space="preserve">(refer table) </w:t>
      </w:r>
      <w:r w:rsidR="00CE24BC" w:rsidRPr="004F51D3">
        <w:rPr>
          <w:rFonts w:ascii="Times New Roman" w:hAnsi="Times New Roman" w:cs="Times New Roman"/>
          <w:sz w:val="24"/>
          <w:szCs w:val="24"/>
          <w:lang w:val="en-US"/>
        </w:rPr>
        <w:t xml:space="preserve">in regards to establishing an </w:t>
      </w:r>
      <w:r w:rsidR="004624EC" w:rsidRPr="004F51D3">
        <w:rPr>
          <w:rFonts w:ascii="Times New Roman" w:hAnsi="Times New Roman" w:cs="Times New Roman"/>
          <w:sz w:val="24"/>
          <w:szCs w:val="24"/>
          <w:lang w:val="en-US"/>
        </w:rPr>
        <w:t>A</w:t>
      </w:r>
      <w:r w:rsidR="00CE24BC" w:rsidRPr="004F51D3">
        <w:rPr>
          <w:rFonts w:ascii="Times New Roman" w:hAnsi="Times New Roman" w:cs="Times New Roman"/>
          <w:sz w:val="24"/>
          <w:szCs w:val="24"/>
          <w:lang w:val="en-US"/>
        </w:rPr>
        <w:t xml:space="preserve">udit </w:t>
      </w:r>
      <w:r w:rsidR="004624EC" w:rsidRPr="004F51D3">
        <w:rPr>
          <w:rFonts w:ascii="Times New Roman" w:hAnsi="Times New Roman" w:cs="Times New Roman"/>
          <w:sz w:val="24"/>
          <w:szCs w:val="24"/>
          <w:lang w:val="en-US"/>
        </w:rPr>
        <w:t>and Risk C</w:t>
      </w:r>
      <w:r w:rsidR="00CE24BC" w:rsidRPr="004F51D3">
        <w:rPr>
          <w:rFonts w:ascii="Times New Roman" w:hAnsi="Times New Roman" w:cs="Times New Roman"/>
          <w:sz w:val="24"/>
          <w:szCs w:val="24"/>
          <w:lang w:val="en-US"/>
        </w:rPr>
        <w:t xml:space="preserve">ommittee </w:t>
      </w:r>
      <w:r w:rsidRPr="004F51D3">
        <w:rPr>
          <w:rFonts w:ascii="Times New Roman" w:hAnsi="Times New Roman" w:cs="Times New Roman"/>
          <w:sz w:val="24"/>
          <w:szCs w:val="24"/>
          <w:lang w:val="en-US"/>
        </w:rPr>
        <w:t xml:space="preserve">under a shared agreement arrangement for the purposes of the </w:t>
      </w:r>
      <w:r w:rsidRPr="004F51D3">
        <w:rPr>
          <w:rFonts w:ascii="Times New Roman" w:hAnsi="Times New Roman" w:cs="Times New Roman"/>
          <w:i/>
          <w:sz w:val="24"/>
          <w:szCs w:val="24"/>
          <w:lang w:val="en-US"/>
        </w:rPr>
        <w:t xml:space="preserve">Public Governance and Accountability Act 2013 </w:t>
      </w:r>
      <w:r w:rsidRPr="004F51D3">
        <w:rPr>
          <w:rFonts w:ascii="Times New Roman" w:hAnsi="Times New Roman" w:cs="Times New Roman"/>
          <w:sz w:val="24"/>
          <w:szCs w:val="24"/>
          <w:lang w:val="en-US"/>
        </w:rPr>
        <w:t>(PGPA Act).</w:t>
      </w:r>
    </w:p>
    <w:p w14:paraId="54FAB53E" w14:textId="05D7806C" w:rsidR="00A46B12" w:rsidRPr="004F51D3" w:rsidRDefault="006673F1" w:rsidP="00D923C0">
      <w:pPr>
        <w:snapToGrid w:val="0"/>
        <w:spacing w:after="60" w:line="240" w:lineRule="auto"/>
        <w:rPr>
          <w:rFonts w:ascii="Times New Roman" w:hAnsi="Times New Roman" w:cs="Times New Roman"/>
          <w:sz w:val="24"/>
          <w:szCs w:val="24"/>
          <w:lang w:val="en-US"/>
        </w:rPr>
      </w:pPr>
      <w:r w:rsidRPr="004F51D3">
        <w:rPr>
          <w:rFonts w:ascii="Times New Roman" w:hAnsi="Times New Roman" w:cs="Times New Roman"/>
          <w:sz w:val="24"/>
          <w:szCs w:val="24"/>
          <w:lang w:val="en-US"/>
        </w:rPr>
        <w:t xml:space="preserve">For this shared arrangement, the Department’s Audit and Risk Committee governance arrangements will be amended to ensure adequate mechanisms for input and oversight of </w:t>
      </w:r>
      <w:r w:rsidR="003E280B" w:rsidRPr="004F51D3">
        <w:rPr>
          <w:rFonts w:ascii="Times New Roman" w:hAnsi="Times New Roman" w:cs="Times New Roman"/>
          <w:sz w:val="24"/>
          <w:szCs w:val="24"/>
          <w:lang w:val="en-US"/>
        </w:rPr>
        <w:t>any</w:t>
      </w:r>
      <w:r w:rsidRPr="004F51D3">
        <w:rPr>
          <w:rFonts w:ascii="Times New Roman" w:hAnsi="Times New Roman" w:cs="Times New Roman"/>
          <w:sz w:val="24"/>
          <w:szCs w:val="24"/>
          <w:lang w:val="en-US"/>
        </w:rPr>
        <w:t xml:space="preserve"> </w:t>
      </w:r>
      <w:r w:rsidR="003E280B" w:rsidRPr="004F51D3">
        <w:rPr>
          <w:rFonts w:ascii="Times New Roman" w:hAnsi="Times New Roman" w:cs="Times New Roman"/>
          <w:sz w:val="24"/>
          <w:szCs w:val="24"/>
          <w:lang w:val="en-US"/>
        </w:rPr>
        <w:t>approved Portfolio Agency</w:t>
      </w:r>
      <w:r w:rsidRPr="004F51D3">
        <w:rPr>
          <w:rFonts w:ascii="Times New Roman" w:hAnsi="Times New Roman" w:cs="Times New Roman"/>
          <w:sz w:val="24"/>
          <w:szCs w:val="24"/>
          <w:lang w:val="en-US"/>
        </w:rPr>
        <w:t xml:space="preserve"> are included, </w:t>
      </w:r>
      <w:r w:rsidR="001B5BAE">
        <w:rPr>
          <w:rFonts w:ascii="Times New Roman" w:hAnsi="Times New Roman" w:cs="Times New Roman"/>
          <w:sz w:val="24"/>
          <w:szCs w:val="24"/>
          <w:lang w:val="en-US"/>
        </w:rPr>
        <w:t>consistent with</w:t>
      </w:r>
      <w:r w:rsidRPr="004F51D3">
        <w:rPr>
          <w:rFonts w:ascii="Times New Roman" w:hAnsi="Times New Roman" w:cs="Times New Roman"/>
          <w:sz w:val="24"/>
          <w:szCs w:val="24"/>
          <w:lang w:val="en-US"/>
        </w:rPr>
        <w:t xml:space="preserve"> the requirements of the PGPA Act</w:t>
      </w:r>
      <w:r w:rsidR="001B5BAE">
        <w:rPr>
          <w:rFonts w:ascii="Times New Roman" w:hAnsi="Times New Roman" w:cs="Times New Roman"/>
          <w:sz w:val="24"/>
          <w:szCs w:val="24"/>
          <w:lang w:val="en-US"/>
        </w:rPr>
        <w:t xml:space="preserve"> (including section 45)</w:t>
      </w:r>
      <w:r w:rsidRPr="004F51D3">
        <w:rPr>
          <w:rFonts w:ascii="Times New Roman" w:hAnsi="Times New Roman" w:cs="Times New Roman"/>
          <w:sz w:val="24"/>
          <w:szCs w:val="24"/>
          <w:lang w:val="en-US"/>
        </w:rPr>
        <w:t>, PGPA Rule and RMG 202.</w:t>
      </w:r>
      <w:r w:rsidR="00A46B12" w:rsidRPr="004F51D3">
        <w:rPr>
          <w:rFonts w:ascii="Times New Roman" w:hAnsi="Times New Roman" w:cs="Times New Roman"/>
          <w:sz w:val="24"/>
          <w:szCs w:val="24"/>
          <w:lang w:val="en-US"/>
        </w:rPr>
        <w:t xml:space="preserve"> </w:t>
      </w:r>
    </w:p>
    <w:p w14:paraId="0FB04527" w14:textId="4930E475" w:rsidR="00A30A41" w:rsidRPr="004F51D3" w:rsidRDefault="00A46B12" w:rsidP="00D923C0">
      <w:pPr>
        <w:snapToGrid w:val="0"/>
        <w:spacing w:after="60" w:line="240" w:lineRule="auto"/>
        <w:rPr>
          <w:rFonts w:ascii="Times New Roman" w:hAnsi="Times New Roman" w:cs="Times New Roman"/>
          <w:sz w:val="24"/>
          <w:szCs w:val="24"/>
          <w:lang w:val="en-US"/>
        </w:rPr>
      </w:pPr>
      <w:r w:rsidRPr="004F51D3">
        <w:rPr>
          <w:rFonts w:ascii="Times New Roman" w:hAnsi="Times New Roman" w:cs="Times New Roman"/>
          <w:sz w:val="24"/>
          <w:szCs w:val="24"/>
          <w:lang w:val="en-US"/>
        </w:rPr>
        <w:t xml:space="preserve">In particular, and for the removal of any doubt, the Committee’s Annual Report </w:t>
      </w:r>
      <w:r w:rsidR="00A30A41" w:rsidRPr="004F51D3">
        <w:rPr>
          <w:rFonts w:ascii="Times New Roman" w:hAnsi="Times New Roman" w:cs="Times New Roman"/>
          <w:sz w:val="24"/>
          <w:szCs w:val="24"/>
          <w:lang w:val="en-US"/>
        </w:rPr>
        <w:t xml:space="preserve">to me as Secretary of the Department of Social Services will also serve as the Committee’s Annual Report </w:t>
      </w:r>
      <w:r w:rsidR="001B5BAE">
        <w:rPr>
          <w:rFonts w:ascii="Times New Roman" w:hAnsi="Times New Roman" w:cs="Times New Roman"/>
          <w:sz w:val="24"/>
          <w:szCs w:val="24"/>
          <w:lang w:val="en-US"/>
        </w:rPr>
        <w:br/>
        <w:t>for the Portfolio Agencies</w:t>
      </w:r>
      <w:r w:rsidR="00A30A41" w:rsidRPr="004F51D3">
        <w:rPr>
          <w:rFonts w:ascii="Times New Roman" w:hAnsi="Times New Roman" w:cs="Times New Roman"/>
          <w:sz w:val="24"/>
          <w:szCs w:val="24"/>
          <w:lang w:val="en-US"/>
        </w:rPr>
        <w:t xml:space="preserve">. </w:t>
      </w:r>
    </w:p>
    <w:p w14:paraId="66E5C6B8" w14:textId="51B24713" w:rsidR="004624EC" w:rsidRPr="00D923C0" w:rsidRDefault="00A30A41" w:rsidP="00D923C0">
      <w:pPr>
        <w:snapToGrid w:val="0"/>
        <w:spacing w:after="60" w:line="240" w:lineRule="auto"/>
        <w:rPr>
          <w:rFonts w:ascii="Times New Roman" w:hAnsi="Times New Roman" w:cs="Times New Roman"/>
          <w:i/>
          <w:iCs/>
          <w:sz w:val="24"/>
          <w:szCs w:val="24"/>
          <w:lang w:val="en-US"/>
        </w:rPr>
      </w:pPr>
      <w:r w:rsidRPr="00D923C0">
        <w:rPr>
          <w:rFonts w:ascii="Times New Roman" w:hAnsi="Times New Roman" w:cs="Times New Roman"/>
          <w:i/>
          <w:iCs/>
          <w:sz w:val="24"/>
          <w:szCs w:val="24"/>
          <w:lang w:val="en-US"/>
        </w:rPr>
        <w:t>In this regard</w:t>
      </w:r>
      <w:r w:rsidR="00C06F30" w:rsidRPr="00D923C0">
        <w:rPr>
          <w:rFonts w:ascii="Times New Roman" w:hAnsi="Times New Roman" w:cs="Times New Roman"/>
          <w:i/>
          <w:iCs/>
          <w:sz w:val="24"/>
          <w:szCs w:val="24"/>
          <w:lang w:val="en-US"/>
        </w:rPr>
        <w:t xml:space="preserve"> -</w:t>
      </w:r>
      <w:r w:rsidRPr="00D923C0">
        <w:rPr>
          <w:rFonts w:ascii="Times New Roman" w:hAnsi="Times New Roman" w:cs="Times New Roman"/>
          <w:i/>
          <w:iCs/>
          <w:sz w:val="24"/>
          <w:szCs w:val="24"/>
          <w:lang w:val="en-US"/>
        </w:rPr>
        <w:t xml:space="preserve"> and in the context of the Department </w:t>
      </w:r>
      <w:r w:rsidR="00C06F30" w:rsidRPr="00D923C0">
        <w:rPr>
          <w:rFonts w:ascii="Times New Roman" w:hAnsi="Times New Roman" w:cs="Times New Roman"/>
          <w:i/>
          <w:iCs/>
          <w:sz w:val="24"/>
          <w:szCs w:val="24"/>
          <w:lang w:val="en-US"/>
        </w:rPr>
        <w:t xml:space="preserve">providing </w:t>
      </w:r>
      <w:r w:rsidRPr="00D923C0">
        <w:rPr>
          <w:rFonts w:ascii="Times New Roman" w:hAnsi="Times New Roman" w:cs="Times New Roman"/>
          <w:i/>
          <w:iCs/>
          <w:sz w:val="24"/>
          <w:szCs w:val="24"/>
          <w:lang w:val="en-US"/>
        </w:rPr>
        <w:t xml:space="preserve">supporting administrative arrangements for those </w:t>
      </w:r>
      <w:r w:rsidR="00C06F30" w:rsidRPr="00D923C0">
        <w:rPr>
          <w:rFonts w:ascii="Times New Roman" w:hAnsi="Times New Roman" w:cs="Times New Roman"/>
          <w:i/>
          <w:iCs/>
          <w:sz w:val="24"/>
          <w:szCs w:val="24"/>
          <w:lang w:val="en-US"/>
        </w:rPr>
        <w:t xml:space="preserve">Portfolio </w:t>
      </w:r>
      <w:r w:rsidRPr="00D923C0">
        <w:rPr>
          <w:rFonts w:ascii="Times New Roman" w:hAnsi="Times New Roman" w:cs="Times New Roman"/>
          <w:i/>
          <w:iCs/>
          <w:sz w:val="24"/>
          <w:szCs w:val="24"/>
          <w:lang w:val="en-US"/>
        </w:rPr>
        <w:t xml:space="preserve">Agencies who are </w:t>
      </w:r>
      <w:r w:rsidR="00C06F30" w:rsidRPr="00D923C0">
        <w:rPr>
          <w:rFonts w:ascii="Times New Roman" w:hAnsi="Times New Roman" w:cs="Times New Roman"/>
          <w:i/>
          <w:iCs/>
          <w:sz w:val="24"/>
          <w:szCs w:val="24"/>
          <w:lang w:val="en-US"/>
        </w:rPr>
        <w:t xml:space="preserve">choosing to participate in the </w:t>
      </w:r>
      <w:r w:rsidR="00C06F30" w:rsidRPr="00D923C0">
        <w:rPr>
          <w:rFonts w:ascii="Times New Roman" w:hAnsi="Times New Roman" w:cs="Times New Roman"/>
          <w:b/>
          <w:bCs/>
          <w:i/>
          <w:iCs/>
          <w:sz w:val="24"/>
          <w:szCs w:val="24"/>
        </w:rPr>
        <w:t>DSS Portfolio Audit and Risk Committee</w:t>
      </w:r>
      <w:r w:rsidR="007F6178" w:rsidRPr="00D923C0">
        <w:rPr>
          <w:rFonts w:ascii="Times New Roman" w:hAnsi="Times New Roman" w:cs="Times New Roman"/>
          <w:b/>
          <w:bCs/>
          <w:i/>
          <w:iCs/>
          <w:sz w:val="24"/>
          <w:szCs w:val="24"/>
        </w:rPr>
        <w:t>:</w:t>
      </w:r>
      <w:r w:rsidR="00C06F30" w:rsidRPr="00D923C0">
        <w:rPr>
          <w:rFonts w:ascii="Times New Roman" w:hAnsi="Times New Roman" w:cs="Times New Roman"/>
          <w:b/>
          <w:bCs/>
          <w:i/>
          <w:iCs/>
          <w:sz w:val="24"/>
          <w:szCs w:val="24"/>
        </w:rPr>
        <w:t xml:space="preserve"> Sharing Arrangements</w:t>
      </w:r>
      <w:r w:rsidR="00C06F30" w:rsidRPr="00D923C0">
        <w:rPr>
          <w:rFonts w:ascii="Times New Roman" w:hAnsi="Times New Roman" w:cs="Times New Roman"/>
          <w:i/>
          <w:iCs/>
          <w:sz w:val="24"/>
          <w:szCs w:val="24"/>
          <w:lang w:val="en-US"/>
        </w:rPr>
        <w:t xml:space="preserve"> - the written </w:t>
      </w:r>
      <w:r w:rsidR="00C06F30" w:rsidRPr="00D923C0">
        <w:rPr>
          <w:rFonts w:ascii="Times New Roman" w:hAnsi="Times New Roman" w:cs="Times New Roman"/>
          <w:b/>
          <w:bCs/>
          <w:i/>
          <w:iCs/>
          <w:sz w:val="24"/>
          <w:szCs w:val="24"/>
          <w:lang w:val="en-US"/>
        </w:rPr>
        <w:t>Statements of Advice</w:t>
      </w:r>
      <w:r w:rsidR="00C06F30" w:rsidRPr="00D923C0">
        <w:rPr>
          <w:rFonts w:ascii="Times New Roman" w:hAnsi="Times New Roman" w:cs="Times New Roman"/>
          <w:i/>
          <w:iCs/>
          <w:sz w:val="24"/>
          <w:szCs w:val="24"/>
          <w:lang w:val="en-US"/>
        </w:rPr>
        <w:t xml:space="preserve"> for both </w:t>
      </w:r>
      <w:r w:rsidR="00C06F30" w:rsidRPr="00D923C0">
        <w:rPr>
          <w:rFonts w:ascii="Times New Roman" w:hAnsi="Times New Roman" w:cs="Times New Roman"/>
          <w:b/>
          <w:bCs/>
          <w:i/>
          <w:iCs/>
          <w:sz w:val="24"/>
          <w:szCs w:val="24"/>
          <w:lang w:val="en-US"/>
        </w:rPr>
        <w:t>Systems of Risk Oversight and Management</w:t>
      </w:r>
      <w:r w:rsidR="00C06F30" w:rsidRPr="00D923C0">
        <w:rPr>
          <w:rFonts w:ascii="Times New Roman" w:hAnsi="Times New Roman" w:cs="Times New Roman"/>
          <w:i/>
          <w:iCs/>
          <w:sz w:val="24"/>
          <w:szCs w:val="24"/>
          <w:lang w:val="en-US"/>
        </w:rPr>
        <w:t xml:space="preserve"> and </w:t>
      </w:r>
      <w:r w:rsidR="00C06F30" w:rsidRPr="00D923C0">
        <w:rPr>
          <w:rFonts w:ascii="Times New Roman" w:hAnsi="Times New Roman" w:cs="Times New Roman"/>
          <w:b/>
          <w:bCs/>
          <w:i/>
          <w:iCs/>
          <w:sz w:val="24"/>
          <w:szCs w:val="24"/>
          <w:lang w:val="en-US"/>
        </w:rPr>
        <w:t>Systems of Internal Control</w:t>
      </w:r>
      <w:r w:rsidR="00C06F30" w:rsidRPr="00D923C0">
        <w:rPr>
          <w:rFonts w:ascii="Times New Roman" w:hAnsi="Times New Roman" w:cs="Times New Roman"/>
          <w:i/>
          <w:iCs/>
          <w:sz w:val="24"/>
          <w:szCs w:val="24"/>
          <w:lang w:val="en-US"/>
        </w:rPr>
        <w:t xml:space="preserve"> </w:t>
      </w:r>
      <w:r w:rsidR="004624EC" w:rsidRPr="00D923C0">
        <w:rPr>
          <w:rFonts w:ascii="Times New Roman" w:hAnsi="Times New Roman" w:cs="Times New Roman"/>
          <w:i/>
          <w:iCs/>
          <w:sz w:val="24"/>
          <w:szCs w:val="24"/>
          <w:lang w:val="en-US"/>
        </w:rPr>
        <w:t xml:space="preserve">provided in the Committee’s Annual Report </w:t>
      </w:r>
      <w:r w:rsidR="00C06F30" w:rsidRPr="00D923C0">
        <w:rPr>
          <w:rFonts w:ascii="Times New Roman" w:hAnsi="Times New Roman" w:cs="Times New Roman"/>
          <w:i/>
          <w:iCs/>
          <w:sz w:val="24"/>
          <w:szCs w:val="24"/>
          <w:lang w:val="en-US"/>
        </w:rPr>
        <w:t xml:space="preserve">will </w:t>
      </w:r>
      <w:r w:rsidR="004624EC" w:rsidRPr="00D923C0">
        <w:rPr>
          <w:rFonts w:ascii="Times New Roman" w:hAnsi="Times New Roman" w:cs="Times New Roman"/>
          <w:i/>
          <w:iCs/>
          <w:sz w:val="24"/>
          <w:szCs w:val="24"/>
          <w:lang w:val="en-US"/>
        </w:rPr>
        <w:t>apply to both the Department as well as to all participating Portfolio Agencies.</w:t>
      </w:r>
    </w:p>
    <w:p w14:paraId="4536A5E3" w14:textId="6C501ED5" w:rsidR="007F6178" w:rsidRPr="004F51D3" w:rsidRDefault="004624EC" w:rsidP="00D923C0">
      <w:pPr>
        <w:snapToGrid w:val="0"/>
        <w:spacing w:after="60" w:line="240" w:lineRule="auto"/>
        <w:rPr>
          <w:rFonts w:ascii="Times New Roman" w:hAnsi="Times New Roman" w:cs="Times New Roman"/>
          <w:sz w:val="24"/>
          <w:szCs w:val="24"/>
          <w:lang w:val="en-US"/>
        </w:rPr>
      </w:pPr>
      <w:r w:rsidRPr="004F51D3">
        <w:rPr>
          <w:rFonts w:ascii="Times New Roman" w:hAnsi="Times New Roman" w:cs="Times New Roman"/>
          <w:sz w:val="24"/>
          <w:szCs w:val="24"/>
          <w:lang w:val="en-US"/>
        </w:rPr>
        <w:t xml:space="preserve">Separate </w:t>
      </w:r>
      <w:r w:rsidRPr="004F51D3">
        <w:rPr>
          <w:rFonts w:ascii="Times New Roman" w:hAnsi="Times New Roman" w:cs="Times New Roman"/>
          <w:b/>
          <w:bCs/>
          <w:sz w:val="24"/>
          <w:szCs w:val="24"/>
          <w:lang w:val="en-US"/>
        </w:rPr>
        <w:t>Statements of Advice</w:t>
      </w:r>
      <w:r w:rsidRPr="004F51D3">
        <w:rPr>
          <w:rFonts w:ascii="Times New Roman" w:hAnsi="Times New Roman" w:cs="Times New Roman"/>
          <w:sz w:val="24"/>
          <w:szCs w:val="24"/>
          <w:lang w:val="en-US"/>
        </w:rPr>
        <w:t xml:space="preserve"> for </w:t>
      </w:r>
      <w:r w:rsidRPr="004F51D3">
        <w:rPr>
          <w:rFonts w:ascii="Times New Roman" w:hAnsi="Times New Roman" w:cs="Times New Roman"/>
          <w:i/>
          <w:iCs/>
          <w:sz w:val="24"/>
          <w:szCs w:val="24"/>
          <w:lang w:val="en-US"/>
        </w:rPr>
        <w:t>Financial Reporting</w:t>
      </w:r>
      <w:r w:rsidRPr="004F51D3">
        <w:rPr>
          <w:rFonts w:ascii="Times New Roman" w:hAnsi="Times New Roman" w:cs="Times New Roman"/>
          <w:sz w:val="24"/>
          <w:szCs w:val="24"/>
          <w:lang w:val="en-US"/>
        </w:rPr>
        <w:t xml:space="preserve"> and </w:t>
      </w:r>
      <w:r w:rsidRPr="004F51D3">
        <w:rPr>
          <w:rFonts w:ascii="Times New Roman" w:hAnsi="Times New Roman" w:cs="Times New Roman"/>
          <w:i/>
          <w:iCs/>
          <w:sz w:val="24"/>
          <w:szCs w:val="24"/>
          <w:lang w:val="en-US"/>
        </w:rPr>
        <w:t>Performance Reporting</w:t>
      </w:r>
      <w:r w:rsidRPr="004F51D3">
        <w:rPr>
          <w:rFonts w:ascii="Times New Roman" w:hAnsi="Times New Roman" w:cs="Times New Roman"/>
          <w:sz w:val="24"/>
          <w:szCs w:val="24"/>
          <w:lang w:val="en-US"/>
        </w:rPr>
        <w:t xml:space="preserve"> </w:t>
      </w:r>
      <w:r w:rsidR="007F6178" w:rsidRPr="004F51D3">
        <w:rPr>
          <w:rFonts w:ascii="Times New Roman" w:hAnsi="Times New Roman" w:cs="Times New Roman"/>
          <w:sz w:val="24"/>
          <w:szCs w:val="24"/>
          <w:lang w:val="en-US"/>
        </w:rPr>
        <w:t>are to</w:t>
      </w:r>
      <w:r w:rsidR="00393A51" w:rsidRPr="004F51D3">
        <w:rPr>
          <w:rFonts w:ascii="Times New Roman" w:hAnsi="Times New Roman" w:cs="Times New Roman"/>
          <w:sz w:val="24"/>
          <w:szCs w:val="24"/>
          <w:lang w:val="en-US"/>
        </w:rPr>
        <w:t xml:space="preserve"> </w:t>
      </w:r>
      <w:r w:rsidRPr="004F51D3">
        <w:rPr>
          <w:rFonts w:ascii="Times New Roman" w:hAnsi="Times New Roman" w:cs="Times New Roman"/>
          <w:sz w:val="24"/>
          <w:szCs w:val="24"/>
          <w:lang w:val="en-US"/>
        </w:rPr>
        <w:t xml:space="preserve">be provided </w:t>
      </w:r>
      <w:r w:rsidR="00393A51" w:rsidRPr="004F51D3">
        <w:rPr>
          <w:rFonts w:ascii="Times New Roman" w:hAnsi="Times New Roman" w:cs="Times New Roman"/>
          <w:sz w:val="24"/>
          <w:szCs w:val="24"/>
          <w:lang w:val="en-US"/>
        </w:rPr>
        <w:t xml:space="preserve">by the Committee </w:t>
      </w:r>
      <w:r w:rsidRPr="004F51D3">
        <w:rPr>
          <w:rFonts w:ascii="Times New Roman" w:hAnsi="Times New Roman" w:cs="Times New Roman"/>
          <w:sz w:val="24"/>
          <w:szCs w:val="24"/>
          <w:lang w:val="en-US"/>
        </w:rPr>
        <w:t xml:space="preserve">for </w:t>
      </w:r>
      <w:r w:rsidR="007F6178" w:rsidRPr="004F51D3">
        <w:rPr>
          <w:rFonts w:ascii="Times New Roman" w:hAnsi="Times New Roman" w:cs="Times New Roman"/>
          <w:sz w:val="24"/>
          <w:szCs w:val="24"/>
          <w:lang w:val="en-US"/>
        </w:rPr>
        <w:t xml:space="preserve">both </w:t>
      </w:r>
      <w:r w:rsidRPr="004F51D3">
        <w:rPr>
          <w:rFonts w:ascii="Times New Roman" w:hAnsi="Times New Roman" w:cs="Times New Roman"/>
          <w:sz w:val="24"/>
          <w:szCs w:val="24"/>
          <w:lang w:val="en-US"/>
        </w:rPr>
        <w:t xml:space="preserve">the Department and </w:t>
      </w:r>
      <w:r w:rsidR="007F6178" w:rsidRPr="004F51D3">
        <w:rPr>
          <w:rFonts w:ascii="Times New Roman" w:hAnsi="Times New Roman" w:cs="Times New Roman"/>
          <w:sz w:val="24"/>
          <w:szCs w:val="24"/>
          <w:lang w:val="en-US"/>
        </w:rPr>
        <w:t xml:space="preserve">for </w:t>
      </w:r>
      <w:r w:rsidRPr="004F51D3">
        <w:rPr>
          <w:rFonts w:ascii="Times New Roman" w:hAnsi="Times New Roman" w:cs="Times New Roman"/>
          <w:sz w:val="24"/>
          <w:szCs w:val="24"/>
          <w:lang w:val="en-US"/>
        </w:rPr>
        <w:t>each participating Portfolio Agency</w:t>
      </w:r>
      <w:r w:rsidR="00393A51" w:rsidRPr="004F51D3">
        <w:rPr>
          <w:rFonts w:ascii="Times New Roman" w:hAnsi="Times New Roman" w:cs="Times New Roman"/>
          <w:sz w:val="24"/>
          <w:szCs w:val="24"/>
          <w:lang w:val="en-US"/>
        </w:rPr>
        <w:t xml:space="preserve">. </w:t>
      </w:r>
      <w:r w:rsidR="0012245D" w:rsidRPr="004F51D3">
        <w:rPr>
          <w:rFonts w:ascii="Times New Roman" w:hAnsi="Times New Roman" w:cs="Times New Roman"/>
          <w:sz w:val="24"/>
          <w:szCs w:val="24"/>
          <w:lang w:val="en-US"/>
        </w:rPr>
        <w:t xml:space="preserve"> </w:t>
      </w:r>
    </w:p>
    <w:p w14:paraId="495F5420" w14:textId="0A229176" w:rsidR="006673F1" w:rsidRPr="004F51D3" w:rsidRDefault="00393A51" w:rsidP="00D923C0">
      <w:pPr>
        <w:snapToGrid w:val="0"/>
        <w:spacing w:after="60" w:line="240" w:lineRule="auto"/>
        <w:rPr>
          <w:rFonts w:ascii="Times New Roman" w:hAnsi="Times New Roman" w:cs="Times New Roman"/>
          <w:i/>
          <w:iCs/>
          <w:lang w:val="en-US"/>
        </w:rPr>
      </w:pPr>
      <w:r w:rsidRPr="004F51D3">
        <w:rPr>
          <w:rFonts w:ascii="Times New Roman" w:hAnsi="Times New Roman" w:cs="Times New Roman"/>
          <w:i/>
          <w:iCs/>
          <w:lang w:val="en-US"/>
        </w:rPr>
        <w:t xml:space="preserve">This </w:t>
      </w:r>
      <w:r w:rsidR="007F6178" w:rsidRPr="004F51D3">
        <w:rPr>
          <w:rFonts w:ascii="Times New Roman" w:hAnsi="Times New Roman" w:cs="Times New Roman"/>
          <w:i/>
          <w:iCs/>
          <w:lang w:val="en-US"/>
        </w:rPr>
        <w:t xml:space="preserve">Committee </w:t>
      </w:r>
      <w:r w:rsidRPr="004F51D3">
        <w:rPr>
          <w:rFonts w:ascii="Times New Roman" w:hAnsi="Times New Roman" w:cs="Times New Roman"/>
          <w:i/>
          <w:iCs/>
          <w:lang w:val="en-US"/>
        </w:rPr>
        <w:t xml:space="preserve">approach is commensurate </w:t>
      </w:r>
      <w:r w:rsidR="007F6178" w:rsidRPr="004F51D3">
        <w:rPr>
          <w:rFonts w:ascii="Times New Roman" w:hAnsi="Times New Roman" w:cs="Times New Roman"/>
          <w:i/>
          <w:iCs/>
          <w:lang w:val="en-US"/>
        </w:rPr>
        <w:t xml:space="preserve">with </w:t>
      </w:r>
      <w:r w:rsidRPr="004F51D3">
        <w:rPr>
          <w:rFonts w:ascii="Times New Roman" w:hAnsi="Times New Roman" w:cs="Times New Roman"/>
          <w:i/>
          <w:iCs/>
          <w:lang w:val="en-US"/>
        </w:rPr>
        <w:t xml:space="preserve">the requirement </w:t>
      </w:r>
      <w:r w:rsidR="007F6178" w:rsidRPr="004F51D3">
        <w:rPr>
          <w:rFonts w:ascii="Times New Roman" w:hAnsi="Times New Roman" w:cs="Times New Roman"/>
          <w:i/>
          <w:iCs/>
          <w:lang w:val="en-US"/>
        </w:rPr>
        <w:t xml:space="preserve">- </w:t>
      </w:r>
      <w:r w:rsidRPr="004F51D3">
        <w:rPr>
          <w:rFonts w:ascii="Times New Roman" w:hAnsi="Times New Roman" w:cs="Times New Roman"/>
          <w:i/>
          <w:iCs/>
          <w:lang w:val="en-US"/>
        </w:rPr>
        <w:t xml:space="preserve">explicit in those </w:t>
      </w:r>
      <w:r w:rsidR="007F6178" w:rsidRPr="004F51D3">
        <w:rPr>
          <w:rFonts w:ascii="Times New Roman" w:hAnsi="Times New Roman" w:cs="Times New Roman"/>
          <w:i/>
          <w:iCs/>
          <w:lang w:val="en-US"/>
        </w:rPr>
        <w:t xml:space="preserve">Financial and Performance </w:t>
      </w:r>
      <w:r w:rsidRPr="004F51D3">
        <w:rPr>
          <w:rFonts w:ascii="Times New Roman" w:hAnsi="Times New Roman" w:cs="Times New Roman"/>
          <w:i/>
          <w:iCs/>
          <w:lang w:val="en-US"/>
        </w:rPr>
        <w:t xml:space="preserve">Reports </w:t>
      </w:r>
      <w:r w:rsidR="007F6178" w:rsidRPr="004F51D3">
        <w:rPr>
          <w:rFonts w:ascii="Times New Roman" w:hAnsi="Times New Roman" w:cs="Times New Roman"/>
          <w:i/>
          <w:iCs/>
          <w:lang w:val="en-US"/>
        </w:rPr>
        <w:t xml:space="preserve">- </w:t>
      </w:r>
      <w:r w:rsidRPr="004F51D3">
        <w:rPr>
          <w:rFonts w:ascii="Times New Roman" w:hAnsi="Times New Roman" w:cs="Times New Roman"/>
          <w:i/>
          <w:iCs/>
          <w:lang w:val="en-US"/>
        </w:rPr>
        <w:t xml:space="preserve">that they be signed-off by the Accountable Authority of the </w:t>
      </w:r>
      <w:r w:rsidR="007F6178" w:rsidRPr="004F51D3">
        <w:rPr>
          <w:rFonts w:ascii="Times New Roman" w:hAnsi="Times New Roman" w:cs="Times New Roman"/>
          <w:i/>
          <w:iCs/>
          <w:lang w:val="en-US"/>
        </w:rPr>
        <w:t xml:space="preserve">Reporting </w:t>
      </w:r>
      <w:r w:rsidRPr="004F51D3">
        <w:rPr>
          <w:rFonts w:ascii="Times New Roman" w:hAnsi="Times New Roman" w:cs="Times New Roman"/>
          <w:i/>
          <w:iCs/>
          <w:lang w:val="en-US"/>
        </w:rPr>
        <w:t>Entity</w:t>
      </w:r>
      <w:r w:rsidR="004624EC" w:rsidRPr="004F51D3">
        <w:rPr>
          <w:rFonts w:ascii="Times New Roman" w:hAnsi="Times New Roman" w:cs="Times New Roman"/>
          <w:i/>
          <w:iCs/>
          <w:lang w:val="en-US"/>
        </w:rPr>
        <w:t>.</w:t>
      </w:r>
      <w:r w:rsidR="007F6178" w:rsidRPr="004F51D3">
        <w:rPr>
          <w:rFonts w:ascii="Times New Roman" w:hAnsi="Times New Roman" w:cs="Times New Roman"/>
          <w:i/>
          <w:iCs/>
          <w:lang w:val="en-US"/>
        </w:rPr>
        <w:t xml:space="preserve"> </w:t>
      </w:r>
    </w:p>
    <w:p w14:paraId="64FC4FA2" w14:textId="64CEEB62" w:rsidR="00CE24BC" w:rsidRPr="004F51D3" w:rsidRDefault="006673F1" w:rsidP="00D923C0">
      <w:pPr>
        <w:snapToGrid w:val="0"/>
        <w:spacing w:before="120" w:after="120" w:line="240" w:lineRule="auto"/>
        <w:rPr>
          <w:rFonts w:ascii="Times New Roman" w:hAnsi="Times New Roman" w:cs="Times New Roman"/>
          <w:sz w:val="24"/>
          <w:szCs w:val="24"/>
          <w:lang w:val="en-US"/>
        </w:rPr>
      </w:pPr>
      <w:r w:rsidRPr="004F51D3">
        <w:rPr>
          <w:rFonts w:ascii="Times New Roman" w:hAnsi="Times New Roman" w:cs="Times New Roman"/>
          <w:sz w:val="24"/>
          <w:szCs w:val="24"/>
          <w:lang w:val="en-US"/>
        </w:rPr>
        <w:t>This arrangement will be revised annually</w:t>
      </w:r>
      <w:r w:rsidR="00CE24BC" w:rsidRPr="004F51D3">
        <w:rPr>
          <w:rFonts w:ascii="Times New Roman" w:hAnsi="Times New Roman" w:cs="Times New Roman"/>
          <w:sz w:val="24"/>
          <w:szCs w:val="24"/>
          <w:lang w:val="en-US"/>
        </w:rPr>
        <w:t xml:space="preserve"> in accordance with the Review of the Charter</w:t>
      </w:r>
      <w:r w:rsidRPr="004F51D3">
        <w:rPr>
          <w:rFonts w:ascii="Times New Roman" w:hAnsi="Times New Roman" w:cs="Times New Roman"/>
          <w:sz w:val="24"/>
          <w:szCs w:val="24"/>
          <w:lang w:val="en-US"/>
        </w:rPr>
        <w:t>.</w:t>
      </w:r>
    </w:p>
    <w:tbl>
      <w:tblPr>
        <w:tblStyle w:val="GridTable4-Accent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2549"/>
        <w:gridCol w:w="1701"/>
      </w:tblGrid>
      <w:tr w:rsidR="003E280B" w:rsidRPr="004F51D3" w14:paraId="45EC0347" w14:textId="77777777" w:rsidTr="00F67E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7" w:type="dxa"/>
            <w:tcBorders>
              <w:top w:val="none" w:sz="0" w:space="0" w:color="auto"/>
              <w:left w:val="none" w:sz="0" w:space="0" w:color="auto"/>
              <w:bottom w:val="none" w:sz="0" w:space="0" w:color="auto"/>
              <w:right w:val="none" w:sz="0" w:space="0" w:color="auto"/>
            </w:tcBorders>
            <w:shd w:val="clear" w:color="auto" w:fill="auto"/>
          </w:tcPr>
          <w:p w14:paraId="170AA6F7" w14:textId="6B86C794" w:rsidR="00CE24BC" w:rsidRPr="00D923C0" w:rsidRDefault="00CE24BC" w:rsidP="00D923C0">
            <w:pPr>
              <w:snapToGrid w:val="0"/>
              <w:spacing w:before="120" w:after="60"/>
              <w:rPr>
                <w:rFonts w:cstheme="minorHAnsi"/>
                <w:color w:val="000000" w:themeColor="text1"/>
                <w:sz w:val="24"/>
                <w:szCs w:val="24"/>
                <w:lang w:val="en-US"/>
              </w:rPr>
            </w:pPr>
            <w:r w:rsidRPr="00D923C0">
              <w:rPr>
                <w:rFonts w:cstheme="minorHAnsi"/>
                <w:color w:val="000000" w:themeColor="text1"/>
                <w:sz w:val="24"/>
                <w:szCs w:val="24"/>
                <w:lang w:val="en-US"/>
              </w:rPr>
              <w:t>Name of Portfolio Agency</w:t>
            </w:r>
          </w:p>
        </w:tc>
        <w:tc>
          <w:tcPr>
            <w:tcW w:w="2549" w:type="dxa"/>
            <w:tcBorders>
              <w:top w:val="none" w:sz="0" w:space="0" w:color="auto"/>
              <w:left w:val="none" w:sz="0" w:space="0" w:color="auto"/>
              <w:bottom w:val="none" w:sz="0" w:space="0" w:color="auto"/>
              <w:right w:val="none" w:sz="0" w:space="0" w:color="auto"/>
            </w:tcBorders>
            <w:shd w:val="clear" w:color="auto" w:fill="auto"/>
          </w:tcPr>
          <w:p w14:paraId="0EB413BF" w14:textId="14C5A13A" w:rsidR="00CE24BC" w:rsidRPr="00D923C0" w:rsidRDefault="00CE24BC" w:rsidP="00D923C0">
            <w:pPr>
              <w:snapToGrid w:val="0"/>
              <w:spacing w:before="60" w:after="60"/>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lang w:val="en-US"/>
              </w:rPr>
            </w:pPr>
            <w:r w:rsidRPr="00D923C0">
              <w:rPr>
                <w:rFonts w:cstheme="minorHAnsi"/>
                <w:color w:val="000000" w:themeColor="text1"/>
                <w:sz w:val="24"/>
                <w:szCs w:val="24"/>
                <w:lang w:val="en-US"/>
              </w:rPr>
              <w:t>Accountable Authority Agreement / Approval</w:t>
            </w:r>
          </w:p>
        </w:tc>
        <w:tc>
          <w:tcPr>
            <w:tcW w:w="1701" w:type="dxa"/>
            <w:tcBorders>
              <w:top w:val="none" w:sz="0" w:space="0" w:color="auto"/>
              <w:left w:val="none" w:sz="0" w:space="0" w:color="auto"/>
              <w:bottom w:val="none" w:sz="0" w:space="0" w:color="auto"/>
              <w:right w:val="none" w:sz="0" w:space="0" w:color="auto"/>
            </w:tcBorders>
            <w:shd w:val="clear" w:color="auto" w:fill="auto"/>
          </w:tcPr>
          <w:p w14:paraId="2D663AD7" w14:textId="7DF6B427" w:rsidR="00CE24BC" w:rsidRPr="00D923C0" w:rsidRDefault="00CE24BC" w:rsidP="00D923C0">
            <w:pPr>
              <w:snapToGrid w:val="0"/>
              <w:spacing w:before="60" w:after="60"/>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lang w:val="en-US"/>
              </w:rPr>
            </w:pPr>
            <w:r w:rsidRPr="00D923C0">
              <w:rPr>
                <w:rFonts w:cstheme="minorHAnsi"/>
                <w:color w:val="000000" w:themeColor="text1"/>
                <w:sz w:val="24"/>
                <w:szCs w:val="24"/>
                <w:lang w:val="en-US"/>
              </w:rPr>
              <w:t>Date</w:t>
            </w:r>
          </w:p>
        </w:tc>
      </w:tr>
      <w:tr w:rsidR="00F67E6E" w:rsidRPr="004F51D3" w14:paraId="15E53864" w14:textId="77777777" w:rsidTr="00F67E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7" w:type="dxa"/>
            <w:shd w:val="clear" w:color="auto" w:fill="auto"/>
          </w:tcPr>
          <w:p w14:paraId="0A4684FA" w14:textId="113E73D9" w:rsidR="00F67E6E" w:rsidRPr="004F51D3" w:rsidRDefault="00F67E6E" w:rsidP="00D923C0">
            <w:pPr>
              <w:snapToGrid w:val="0"/>
              <w:spacing w:before="60" w:after="60"/>
              <w:rPr>
                <w:rFonts w:cstheme="minorHAnsi"/>
                <w:b w:val="0"/>
                <w:bCs w:val="0"/>
                <w:lang w:val="en-US"/>
              </w:rPr>
            </w:pPr>
            <w:r w:rsidRPr="004F51D3">
              <w:rPr>
                <w:rFonts w:cstheme="minorHAnsi"/>
                <w:b w:val="0"/>
                <w:bCs w:val="0"/>
                <w:lang w:val="en-US"/>
              </w:rPr>
              <w:t>Domestic Family &amp; Sexual Violence Commission</w:t>
            </w:r>
          </w:p>
        </w:tc>
        <w:tc>
          <w:tcPr>
            <w:tcW w:w="2549" w:type="dxa"/>
            <w:vMerge w:val="restart"/>
            <w:shd w:val="clear" w:color="auto" w:fill="auto"/>
          </w:tcPr>
          <w:p w14:paraId="4E68178D" w14:textId="5E7990E8" w:rsidR="00F67E6E" w:rsidRPr="004F51D3" w:rsidRDefault="00F67E6E" w:rsidP="00D923C0">
            <w:pPr>
              <w:snapToGrid w:val="0"/>
              <w:spacing w:before="60" w:after="60"/>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noProof/>
                <w:lang w:val="en-US"/>
              </w:rPr>
              <w:drawing>
                <wp:inline distT="0" distB="0" distL="0" distR="0" wp14:anchorId="04615626" wp14:editId="3DEE533F">
                  <wp:extent cx="835025" cy="640080"/>
                  <wp:effectExtent l="0" t="0" r="3175" b="7620"/>
                  <wp:docPr id="1098565855" name="Picture 11" descr="Sign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565855" name="Picture 11" descr="Signature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640080"/>
                          </a:xfrm>
                          <a:prstGeom prst="rect">
                            <a:avLst/>
                          </a:prstGeom>
                          <a:noFill/>
                        </pic:spPr>
                      </pic:pic>
                    </a:graphicData>
                  </a:graphic>
                </wp:inline>
              </w:drawing>
            </w:r>
          </w:p>
        </w:tc>
        <w:tc>
          <w:tcPr>
            <w:tcW w:w="1701" w:type="dxa"/>
            <w:shd w:val="clear" w:color="auto" w:fill="auto"/>
            <w:vAlign w:val="center"/>
          </w:tcPr>
          <w:p w14:paraId="0A5C66ED" w14:textId="5A2C3A00" w:rsidR="00F67E6E" w:rsidRPr="004F51D3" w:rsidRDefault="00F67E6E" w:rsidP="00D923C0">
            <w:pPr>
              <w:snapToGrid w:val="0"/>
              <w:spacing w:before="60" w:after="60"/>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23</w:t>
            </w:r>
            <w:r w:rsidRPr="004F51D3">
              <w:rPr>
                <w:rFonts w:cstheme="minorHAnsi"/>
                <w:lang w:val="en-US"/>
              </w:rPr>
              <w:t>/</w:t>
            </w:r>
            <w:r>
              <w:rPr>
                <w:rFonts w:cstheme="minorHAnsi"/>
                <w:lang w:val="en-US"/>
              </w:rPr>
              <w:t>05</w:t>
            </w:r>
            <w:r w:rsidRPr="004F51D3">
              <w:rPr>
                <w:rFonts w:cstheme="minorHAnsi"/>
                <w:lang w:val="en-US"/>
              </w:rPr>
              <w:t>/</w:t>
            </w:r>
            <w:r>
              <w:rPr>
                <w:rFonts w:cstheme="minorHAnsi"/>
                <w:lang w:val="en-US"/>
              </w:rPr>
              <w:t>2025</w:t>
            </w:r>
          </w:p>
        </w:tc>
      </w:tr>
      <w:tr w:rsidR="00F67E6E" w:rsidRPr="004F51D3" w14:paraId="74CC2FC3" w14:textId="77777777" w:rsidTr="00F67E6E">
        <w:tc>
          <w:tcPr>
            <w:cnfStyle w:val="001000000000" w:firstRow="0" w:lastRow="0" w:firstColumn="1" w:lastColumn="0" w:oddVBand="0" w:evenVBand="0" w:oddHBand="0" w:evenHBand="0" w:firstRowFirstColumn="0" w:firstRowLastColumn="0" w:lastRowFirstColumn="0" w:lastRowLastColumn="0"/>
            <w:tcW w:w="4817" w:type="dxa"/>
          </w:tcPr>
          <w:p w14:paraId="15B100D7" w14:textId="4C628E14" w:rsidR="00F67E6E" w:rsidRPr="004F51D3" w:rsidRDefault="00F67E6E" w:rsidP="00D923C0">
            <w:pPr>
              <w:snapToGrid w:val="0"/>
              <w:spacing w:before="60" w:after="60"/>
              <w:rPr>
                <w:rFonts w:cstheme="minorHAnsi"/>
                <w:b w:val="0"/>
                <w:bCs w:val="0"/>
                <w:lang w:val="en-US"/>
              </w:rPr>
            </w:pPr>
            <w:r w:rsidRPr="004F51D3">
              <w:rPr>
                <w:rFonts w:cstheme="minorHAnsi"/>
                <w:b w:val="0"/>
                <w:bCs w:val="0"/>
                <w:lang w:val="en-US"/>
              </w:rPr>
              <w:t>National Commission for Aboriginal and Torres Strait Islander Children and Young People</w:t>
            </w:r>
          </w:p>
        </w:tc>
        <w:tc>
          <w:tcPr>
            <w:tcW w:w="2549" w:type="dxa"/>
            <w:vMerge/>
          </w:tcPr>
          <w:p w14:paraId="4279E789" w14:textId="77777777" w:rsidR="00F67E6E" w:rsidRPr="004F51D3" w:rsidRDefault="00F67E6E" w:rsidP="00D923C0">
            <w:pPr>
              <w:snapToGrid w:val="0"/>
              <w:spacing w:before="60" w:after="60"/>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701" w:type="dxa"/>
            <w:vAlign w:val="center"/>
          </w:tcPr>
          <w:p w14:paraId="59B44BC8" w14:textId="50ADF917" w:rsidR="00F67E6E" w:rsidRPr="00F67E6E" w:rsidRDefault="00F67E6E" w:rsidP="00D923C0">
            <w:pPr>
              <w:snapToGrid w:val="0"/>
              <w:spacing w:before="60" w:after="60"/>
              <w:cnfStyle w:val="000000000000" w:firstRow="0" w:lastRow="0" w:firstColumn="0" w:lastColumn="0" w:oddVBand="0" w:evenVBand="0" w:oddHBand="0" w:evenHBand="0" w:firstRowFirstColumn="0" w:firstRowLastColumn="0" w:lastRowFirstColumn="0" w:lastRowLastColumn="0"/>
              <w:rPr>
                <w:rFonts w:cstheme="minorHAnsi"/>
                <w:i/>
                <w:iCs/>
                <w:lang w:val="en-US"/>
              </w:rPr>
            </w:pPr>
            <w:r w:rsidRPr="00F67E6E">
              <w:rPr>
                <w:rFonts w:cstheme="minorHAnsi"/>
                <w:i/>
                <w:iCs/>
                <w:lang w:val="en-US"/>
              </w:rPr>
              <w:t>28/05/2025</w:t>
            </w:r>
          </w:p>
        </w:tc>
      </w:tr>
    </w:tbl>
    <w:p w14:paraId="22413484" w14:textId="545F9857" w:rsidR="00F67E6E" w:rsidRPr="004F51D3" w:rsidRDefault="00F67E6E" w:rsidP="00D923C0">
      <w:pPr>
        <w:snapToGrid w:val="0"/>
        <w:spacing w:after="120"/>
        <w:rPr>
          <w:rFonts w:ascii="Times New Roman" w:hAnsi="Times New Roman" w:cs="Times New Roman"/>
        </w:rPr>
      </w:pPr>
      <w:r>
        <w:rPr>
          <w:noProof/>
        </w:rPr>
        <w:drawing>
          <wp:anchor distT="0" distB="0" distL="114300" distR="114300" simplePos="0" relativeHeight="251661312" behindDoc="0" locked="0" layoutInCell="1" allowOverlap="1" wp14:anchorId="5443982D" wp14:editId="1ACA021F">
            <wp:simplePos x="0" y="0"/>
            <wp:positionH relativeFrom="column">
              <wp:posOffset>914244</wp:posOffset>
            </wp:positionH>
            <wp:positionV relativeFrom="paragraph">
              <wp:posOffset>7620</wp:posOffset>
            </wp:positionV>
            <wp:extent cx="1536191" cy="890016"/>
            <wp:effectExtent l="0" t="0" r="0" b="0"/>
            <wp:wrapNone/>
            <wp:docPr id="1917644344" name="Image 23" descr="Signature&#10;Michael Lye, Secretary&#10;20/5/2025"/>
            <wp:cNvGraphicFramePr/>
            <a:graphic xmlns:a="http://schemas.openxmlformats.org/drawingml/2006/main">
              <a:graphicData uri="http://schemas.openxmlformats.org/drawingml/2006/picture">
                <pic:pic xmlns:pic="http://schemas.openxmlformats.org/drawingml/2006/picture">
                  <pic:nvPicPr>
                    <pic:cNvPr id="1917644344" name="Image 23" descr="Signature&#10;Michael Lye, Secretary&#10;20/5/2025"/>
                    <pic:cNvPicPr/>
                  </pic:nvPicPr>
                  <pic:blipFill>
                    <a:blip r:embed="rId17" cstate="print"/>
                    <a:stretch>
                      <a:fillRect/>
                    </a:stretch>
                  </pic:blipFill>
                  <pic:spPr>
                    <a:xfrm>
                      <a:off x="0" y="0"/>
                      <a:ext cx="1536191" cy="890016"/>
                    </a:xfrm>
                    <a:prstGeom prst="rect">
                      <a:avLst/>
                    </a:prstGeom>
                  </pic:spPr>
                </pic:pic>
              </a:graphicData>
            </a:graphic>
          </wp:anchor>
        </w:drawing>
      </w:r>
    </w:p>
    <w:p w14:paraId="3A886B0B" w14:textId="77777777" w:rsidR="00F67E6E" w:rsidRPr="004F51D3" w:rsidRDefault="00F67E6E" w:rsidP="00D923C0">
      <w:pPr>
        <w:snapToGrid w:val="0"/>
        <w:spacing w:after="0"/>
        <w:rPr>
          <w:rFonts w:ascii="Times New Roman" w:hAnsi="Times New Roman" w:cs="Times New Roman"/>
          <w:sz w:val="24"/>
          <w:szCs w:val="24"/>
        </w:rPr>
      </w:pPr>
      <w:r w:rsidRPr="004F51D3">
        <w:rPr>
          <w:rFonts w:ascii="Times New Roman" w:hAnsi="Times New Roman" w:cs="Times New Roman"/>
          <w:sz w:val="24"/>
          <w:szCs w:val="24"/>
        </w:rPr>
        <w:t xml:space="preserve">Approved: </w:t>
      </w:r>
      <w:r w:rsidRPr="004F51D3">
        <w:rPr>
          <w:rFonts w:ascii="Times New Roman" w:hAnsi="Times New Roman" w:cs="Times New Roman"/>
          <w:sz w:val="24"/>
          <w:szCs w:val="24"/>
        </w:rPr>
        <w:tab/>
        <w:t>__________________</w:t>
      </w:r>
    </w:p>
    <w:p w14:paraId="1E7F5C97" w14:textId="77777777" w:rsidR="00F67E6E" w:rsidRPr="004F51D3" w:rsidRDefault="00F67E6E" w:rsidP="00D923C0">
      <w:pPr>
        <w:snapToGrid w:val="0"/>
        <w:spacing w:after="0"/>
        <w:rPr>
          <w:rFonts w:ascii="Times New Roman" w:hAnsi="Times New Roman" w:cs="Times New Roman"/>
          <w:sz w:val="24"/>
          <w:szCs w:val="24"/>
        </w:rPr>
      </w:pPr>
      <w:r w:rsidRPr="004F51D3">
        <w:rPr>
          <w:rFonts w:ascii="Times New Roman" w:hAnsi="Times New Roman" w:cs="Times New Roman"/>
          <w:sz w:val="24"/>
          <w:szCs w:val="24"/>
        </w:rPr>
        <w:tab/>
      </w:r>
      <w:r w:rsidRPr="004F51D3">
        <w:rPr>
          <w:rFonts w:ascii="Times New Roman" w:hAnsi="Times New Roman" w:cs="Times New Roman"/>
          <w:sz w:val="24"/>
          <w:szCs w:val="24"/>
        </w:rPr>
        <w:tab/>
      </w:r>
    </w:p>
    <w:p w14:paraId="3BD877FC" w14:textId="72369A14" w:rsidR="00A46B12" w:rsidRDefault="00F67E6E" w:rsidP="00D923C0">
      <w:pPr>
        <w:snapToGrid w:val="0"/>
        <w:spacing w:after="0"/>
        <w:rPr>
          <w:rFonts w:ascii="Times New Roman" w:hAnsi="Times New Roman" w:cs="Times New Roman"/>
          <w:sz w:val="24"/>
          <w:szCs w:val="24"/>
        </w:rPr>
      </w:pPr>
      <w:r w:rsidRPr="004F51D3">
        <w:rPr>
          <w:rFonts w:ascii="Times New Roman" w:hAnsi="Times New Roman" w:cs="Times New Roman"/>
          <w:sz w:val="24"/>
          <w:szCs w:val="24"/>
        </w:rPr>
        <w:t xml:space="preserve">Date: </w:t>
      </w:r>
      <w:r w:rsidRPr="004F51D3">
        <w:rPr>
          <w:rFonts w:ascii="Times New Roman" w:hAnsi="Times New Roman" w:cs="Times New Roman"/>
          <w:sz w:val="24"/>
          <w:szCs w:val="24"/>
        </w:rPr>
        <w:tab/>
      </w:r>
      <w:r>
        <w:rPr>
          <w:rFonts w:ascii="Times New Roman" w:hAnsi="Times New Roman" w:cs="Times New Roman"/>
          <w:sz w:val="24"/>
          <w:szCs w:val="24"/>
        </w:rPr>
        <w:tab/>
        <w:t xml:space="preserve">      20</w:t>
      </w:r>
      <w:r w:rsidRPr="004F51D3">
        <w:rPr>
          <w:rFonts w:ascii="Times New Roman" w:hAnsi="Times New Roman" w:cs="Times New Roman"/>
          <w:sz w:val="24"/>
          <w:szCs w:val="24"/>
        </w:rPr>
        <w:tab/>
        <w:t xml:space="preserve">             </w:t>
      </w:r>
    </w:p>
    <w:sectPr w:rsidR="00A46B12" w:rsidSect="00A46B12">
      <w:headerReference w:type="default" r:id="rId18"/>
      <w:footerReference w:type="default" r:id="rId19"/>
      <w:headerReference w:type="first" r:id="rId20"/>
      <w:footerReference w:type="first" r:id="rId21"/>
      <w:pgSz w:w="11906" w:h="16838" w:code="9"/>
      <w:pgMar w:top="851" w:right="1276" w:bottom="725" w:left="1276" w:header="14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83DB" w14:textId="77777777" w:rsidR="00D637FD" w:rsidRDefault="00D637FD" w:rsidP="00A533CD">
      <w:pPr>
        <w:spacing w:after="0" w:line="240" w:lineRule="auto"/>
      </w:pPr>
      <w:r>
        <w:separator/>
      </w:r>
    </w:p>
  </w:endnote>
  <w:endnote w:type="continuationSeparator" w:id="0">
    <w:p w14:paraId="4BAF7712" w14:textId="77777777" w:rsidR="00D637FD" w:rsidRDefault="00D637FD" w:rsidP="00A5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D66FE3" w14:paraId="7AD4E2D5" w14:textId="77777777" w:rsidTr="00AC1202">
      <w:tc>
        <w:tcPr>
          <w:tcW w:w="3114" w:type="dxa"/>
        </w:tcPr>
        <w:p w14:paraId="6E534DF4" w14:textId="77777777" w:rsidR="00D66FE3" w:rsidRDefault="00D66FE3" w:rsidP="00D66FE3">
          <w:pPr>
            <w:pStyle w:val="Footer"/>
            <w:jc w:val="center"/>
            <w:rPr>
              <w:rFonts w:ascii="Times New Roman" w:hAnsi="Times New Roman" w:cs="Times New Roman"/>
              <w:caps/>
              <w:noProof/>
            </w:rPr>
          </w:pPr>
        </w:p>
      </w:tc>
      <w:tc>
        <w:tcPr>
          <w:tcW w:w="3115" w:type="dxa"/>
        </w:tcPr>
        <w:p w14:paraId="0CE28773" w14:textId="599BDB4C" w:rsidR="00D66FE3" w:rsidRDefault="00D66FE3" w:rsidP="00D66FE3">
          <w:pPr>
            <w:pStyle w:val="Footer"/>
            <w:jc w:val="center"/>
            <w:rPr>
              <w:rFonts w:ascii="Times New Roman" w:hAnsi="Times New Roman" w:cs="Times New Roman"/>
              <w:caps/>
              <w:noProof/>
            </w:rPr>
          </w:pPr>
          <w:r>
            <w:rPr>
              <w:rFonts w:ascii="Times New Roman" w:hAnsi="Times New Roman" w:cs="Times New Roman"/>
              <w:noProof/>
              <w:color w:val="FF0000"/>
              <w:lang w:eastAsia="en-AU"/>
            </w:rPr>
            <w:fldChar w:fldCharType="begin"/>
          </w:r>
          <w:r>
            <w:rPr>
              <w:rFonts w:ascii="Times New Roman" w:hAnsi="Times New Roman" w:cs="Times New Roman"/>
              <w:noProof/>
              <w:color w:val="FF0000"/>
              <w:lang w:eastAsia="en-AU"/>
            </w:rPr>
            <w:instrText xml:space="preserve"> DOCPROPERTY PM_DisplayValueSecClassificationWithQualifier \* MERGEFORMAT </w:instrText>
          </w:r>
          <w:r>
            <w:rPr>
              <w:rFonts w:ascii="Times New Roman" w:hAnsi="Times New Roman" w:cs="Times New Roman"/>
              <w:noProof/>
              <w:color w:val="FF0000"/>
              <w:lang w:eastAsia="en-AU"/>
            </w:rPr>
            <w:fldChar w:fldCharType="separate"/>
          </w:r>
          <w:r w:rsidR="000C742B">
            <w:rPr>
              <w:rFonts w:ascii="Times New Roman" w:hAnsi="Times New Roman" w:cs="Times New Roman"/>
              <w:noProof/>
              <w:color w:val="FF0000"/>
              <w:lang w:eastAsia="en-AU"/>
            </w:rPr>
            <w:t>OFFICIAL</w:t>
          </w:r>
          <w:r>
            <w:rPr>
              <w:rFonts w:ascii="Times New Roman" w:hAnsi="Times New Roman" w:cs="Times New Roman"/>
              <w:noProof/>
              <w:color w:val="FF0000"/>
              <w:lang w:eastAsia="en-AU"/>
            </w:rPr>
            <w:fldChar w:fldCharType="end"/>
          </w:r>
        </w:p>
      </w:tc>
      <w:tc>
        <w:tcPr>
          <w:tcW w:w="3115" w:type="dxa"/>
        </w:tcPr>
        <w:p w14:paraId="6972F95A" w14:textId="77777777" w:rsidR="00D66FE3" w:rsidRPr="00D66FE3" w:rsidRDefault="00385FDB" w:rsidP="00D66FE3">
          <w:pPr>
            <w:pStyle w:val="Footer"/>
            <w:ind w:left="720"/>
            <w:jc w:val="center"/>
            <w:rPr>
              <w:rFonts w:ascii="Times New Roman" w:hAnsi="Times New Roman" w:cs="Times New Roman"/>
              <w:caps/>
              <w:noProof/>
            </w:rPr>
          </w:pPr>
          <w:sdt>
            <w:sdtPr>
              <w:id w:val="1783377282"/>
              <w:docPartObj>
                <w:docPartGallery w:val="Page Numbers (Bottom of Page)"/>
                <w:docPartUnique/>
              </w:docPartObj>
            </w:sdtPr>
            <w:sdtEndPr/>
            <w:sdtContent>
              <w:sdt>
                <w:sdtPr>
                  <w:id w:val="700432716"/>
                  <w:docPartObj>
                    <w:docPartGallery w:val="Page Numbers (Top of Page)"/>
                    <w:docPartUnique/>
                  </w:docPartObj>
                </w:sdtPr>
                <w:sdtEndPr/>
                <w:sdtContent>
                  <w:r w:rsidR="00D66FE3" w:rsidRPr="00D66FE3">
                    <w:t xml:space="preserve">Page </w:t>
                  </w:r>
                  <w:r w:rsidR="00D66FE3" w:rsidRPr="00D66FE3">
                    <w:rPr>
                      <w:sz w:val="24"/>
                      <w:szCs w:val="24"/>
                    </w:rPr>
                    <w:fldChar w:fldCharType="begin"/>
                  </w:r>
                  <w:r w:rsidR="00D66FE3" w:rsidRPr="00D66FE3">
                    <w:instrText xml:space="preserve"> PAGE </w:instrText>
                  </w:r>
                  <w:r w:rsidR="00D66FE3" w:rsidRPr="00D66FE3">
                    <w:rPr>
                      <w:sz w:val="24"/>
                      <w:szCs w:val="24"/>
                    </w:rPr>
                    <w:fldChar w:fldCharType="separate"/>
                  </w:r>
                  <w:r w:rsidR="00D66FE3" w:rsidRPr="00D66FE3">
                    <w:rPr>
                      <w:sz w:val="24"/>
                      <w:szCs w:val="24"/>
                    </w:rPr>
                    <w:t>1</w:t>
                  </w:r>
                  <w:r w:rsidR="00D66FE3" w:rsidRPr="00D66FE3">
                    <w:rPr>
                      <w:sz w:val="24"/>
                      <w:szCs w:val="24"/>
                    </w:rPr>
                    <w:fldChar w:fldCharType="end"/>
                  </w:r>
                  <w:r w:rsidR="00D66FE3" w:rsidRPr="00D66FE3">
                    <w:t xml:space="preserve"> of </w:t>
                  </w:r>
                  <w:r w:rsidR="00D66FE3" w:rsidRPr="00D66FE3">
                    <w:rPr>
                      <w:sz w:val="24"/>
                      <w:szCs w:val="24"/>
                    </w:rPr>
                    <w:fldChar w:fldCharType="begin"/>
                  </w:r>
                  <w:r w:rsidR="00D66FE3" w:rsidRPr="00D66FE3">
                    <w:instrText xml:space="preserve"> NUMPAGES  </w:instrText>
                  </w:r>
                  <w:r w:rsidR="00D66FE3" w:rsidRPr="00D66FE3">
                    <w:rPr>
                      <w:sz w:val="24"/>
                      <w:szCs w:val="24"/>
                    </w:rPr>
                    <w:fldChar w:fldCharType="separate"/>
                  </w:r>
                  <w:r w:rsidR="00D66FE3" w:rsidRPr="00D66FE3">
                    <w:rPr>
                      <w:sz w:val="24"/>
                      <w:szCs w:val="24"/>
                    </w:rPr>
                    <w:t>7</w:t>
                  </w:r>
                  <w:r w:rsidR="00D66FE3" w:rsidRPr="00D66FE3">
                    <w:rPr>
                      <w:sz w:val="24"/>
                      <w:szCs w:val="24"/>
                    </w:rPr>
                    <w:fldChar w:fldCharType="end"/>
                  </w:r>
                </w:sdtContent>
              </w:sdt>
            </w:sdtContent>
          </w:sdt>
        </w:p>
      </w:tc>
    </w:tr>
  </w:tbl>
  <w:p w14:paraId="2865C501" w14:textId="6BF1C52D" w:rsidR="00A47D2B" w:rsidRPr="00D66FE3" w:rsidRDefault="00A47D2B" w:rsidP="00D66FE3">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ACAB9" w14:textId="4E9061E8" w:rsidR="0013693A" w:rsidRPr="00640387" w:rsidRDefault="0013693A" w:rsidP="0013693A">
    <w:pPr>
      <w:pStyle w:val="Footer"/>
      <w:rPr>
        <w:rFonts w:ascii="Times New Roman" w:hAnsi="Times New Roman" w:cs="Times New Roman"/>
        <w:caps/>
        <w:noProof/>
      </w:rPr>
    </w:pPr>
    <w:r>
      <w:rPr>
        <w:rFonts w:ascii="Times New Roman" w:hAnsi="Times New Roman" w:cs="Times New Roman"/>
        <w:noProof/>
        <w:color w:val="FF0000"/>
        <w:lang w:eastAsia="en-AU"/>
      </w:rPr>
      <w:tab/>
    </w:r>
    <w:r>
      <w:rPr>
        <w:rFonts w:ascii="Times New Roman" w:hAnsi="Times New Roman" w:cs="Times New Roman"/>
        <w:noProof/>
        <w:color w:val="FF0000"/>
        <w:lang w:eastAsia="en-AU"/>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13693A" w14:paraId="1F539180" w14:textId="77777777" w:rsidTr="0013693A">
      <w:tc>
        <w:tcPr>
          <w:tcW w:w="3114" w:type="dxa"/>
        </w:tcPr>
        <w:p w14:paraId="3F17342C" w14:textId="77777777" w:rsidR="0013693A" w:rsidRDefault="0013693A" w:rsidP="005115A0">
          <w:pPr>
            <w:pStyle w:val="Footer"/>
            <w:jc w:val="center"/>
            <w:rPr>
              <w:rFonts w:ascii="Times New Roman" w:hAnsi="Times New Roman" w:cs="Times New Roman"/>
              <w:caps/>
              <w:noProof/>
            </w:rPr>
          </w:pPr>
        </w:p>
      </w:tc>
      <w:tc>
        <w:tcPr>
          <w:tcW w:w="3115" w:type="dxa"/>
        </w:tcPr>
        <w:p w14:paraId="783948EF" w14:textId="7D2715A0" w:rsidR="0013693A" w:rsidRDefault="0013693A" w:rsidP="005115A0">
          <w:pPr>
            <w:pStyle w:val="Footer"/>
            <w:jc w:val="center"/>
            <w:rPr>
              <w:rFonts w:ascii="Times New Roman" w:hAnsi="Times New Roman" w:cs="Times New Roman"/>
              <w:caps/>
              <w:noProof/>
            </w:rPr>
          </w:pPr>
          <w:r>
            <w:rPr>
              <w:rFonts w:ascii="Times New Roman" w:hAnsi="Times New Roman" w:cs="Times New Roman"/>
              <w:noProof/>
              <w:color w:val="FF0000"/>
              <w:lang w:eastAsia="en-AU"/>
            </w:rPr>
            <w:fldChar w:fldCharType="begin"/>
          </w:r>
          <w:r>
            <w:rPr>
              <w:rFonts w:ascii="Times New Roman" w:hAnsi="Times New Roman" w:cs="Times New Roman"/>
              <w:noProof/>
              <w:color w:val="FF0000"/>
              <w:lang w:eastAsia="en-AU"/>
            </w:rPr>
            <w:instrText xml:space="preserve"> DOCPROPERTY PM_DisplayValueSecClassificationWithQualifier \* MERGEFORMAT </w:instrText>
          </w:r>
          <w:r>
            <w:rPr>
              <w:rFonts w:ascii="Times New Roman" w:hAnsi="Times New Roman" w:cs="Times New Roman"/>
              <w:noProof/>
              <w:color w:val="FF0000"/>
              <w:lang w:eastAsia="en-AU"/>
            </w:rPr>
            <w:fldChar w:fldCharType="separate"/>
          </w:r>
          <w:r w:rsidR="000C742B">
            <w:rPr>
              <w:rFonts w:ascii="Times New Roman" w:hAnsi="Times New Roman" w:cs="Times New Roman"/>
              <w:noProof/>
              <w:color w:val="FF0000"/>
              <w:lang w:eastAsia="en-AU"/>
            </w:rPr>
            <w:t>OFFICIAL</w:t>
          </w:r>
          <w:r>
            <w:rPr>
              <w:rFonts w:ascii="Times New Roman" w:hAnsi="Times New Roman" w:cs="Times New Roman"/>
              <w:noProof/>
              <w:color w:val="FF0000"/>
              <w:lang w:eastAsia="en-AU"/>
            </w:rPr>
            <w:fldChar w:fldCharType="end"/>
          </w:r>
        </w:p>
      </w:tc>
      <w:tc>
        <w:tcPr>
          <w:tcW w:w="3115" w:type="dxa"/>
        </w:tcPr>
        <w:p w14:paraId="48AFE791" w14:textId="35C2C40D" w:rsidR="0013693A" w:rsidRPr="00D66FE3" w:rsidRDefault="00385FDB" w:rsidP="0013693A">
          <w:pPr>
            <w:pStyle w:val="Footer"/>
            <w:ind w:left="720"/>
            <w:jc w:val="center"/>
            <w:rPr>
              <w:rFonts w:ascii="Times New Roman" w:hAnsi="Times New Roman" w:cs="Times New Roman"/>
              <w:caps/>
              <w:noProof/>
            </w:rPr>
          </w:pPr>
          <w:sdt>
            <w:sdtPr>
              <w:id w:val="-497962051"/>
              <w:docPartObj>
                <w:docPartGallery w:val="Page Numbers (Bottom of Page)"/>
                <w:docPartUnique/>
              </w:docPartObj>
            </w:sdtPr>
            <w:sdtEndPr/>
            <w:sdtContent>
              <w:sdt>
                <w:sdtPr>
                  <w:id w:val="-1769616900"/>
                  <w:docPartObj>
                    <w:docPartGallery w:val="Page Numbers (Top of Page)"/>
                    <w:docPartUnique/>
                  </w:docPartObj>
                </w:sdtPr>
                <w:sdtEndPr/>
                <w:sdtContent>
                  <w:r w:rsidR="0013693A" w:rsidRPr="00D66FE3">
                    <w:t xml:space="preserve">Page </w:t>
                  </w:r>
                  <w:r w:rsidR="0013693A" w:rsidRPr="00D66FE3">
                    <w:rPr>
                      <w:sz w:val="24"/>
                      <w:szCs w:val="24"/>
                    </w:rPr>
                    <w:fldChar w:fldCharType="begin"/>
                  </w:r>
                  <w:r w:rsidR="0013693A" w:rsidRPr="00D66FE3">
                    <w:instrText xml:space="preserve"> PAGE </w:instrText>
                  </w:r>
                  <w:r w:rsidR="0013693A" w:rsidRPr="00D66FE3">
                    <w:rPr>
                      <w:sz w:val="24"/>
                      <w:szCs w:val="24"/>
                    </w:rPr>
                    <w:fldChar w:fldCharType="separate"/>
                  </w:r>
                  <w:r w:rsidR="0013693A" w:rsidRPr="00D66FE3">
                    <w:rPr>
                      <w:sz w:val="24"/>
                      <w:szCs w:val="24"/>
                    </w:rPr>
                    <w:t>1</w:t>
                  </w:r>
                  <w:r w:rsidR="0013693A" w:rsidRPr="00D66FE3">
                    <w:rPr>
                      <w:sz w:val="24"/>
                      <w:szCs w:val="24"/>
                    </w:rPr>
                    <w:fldChar w:fldCharType="end"/>
                  </w:r>
                  <w:r w:rsidR="0013693A" w:rsidRPr="00D66FE3">
                    <w:t xml:space="preserve"> of </w:t>
                  </w:r>
                  <w:r w:rsidR="0013693A" w:rsidRPr="00D66FE3">
                    <w:rPr>
                      <w:sz w:val="24"/>
                      <w:szCs w:val="24"/>
                    </w:rPr>
                    <w:fldChar w:fldCharType="begin"/>
                  </w:r>
                  <w:r w:rsidR="0013693A" w:rsidRPr="00D66FE3">
                    <w:instrText xml:space="preserve"> NUMPAGES  </w:instrText>
                  </w:r>
                  <w:r w:rsidR="0013693A" w:rsidRPr="00D66FE3">
                    <w:rPr>
                      <w:sz w:val="24"/>
                      <w:szCs w:val="24"/>
                    </w:rPr>
                    <w:fldChar w:fldCharType="separate"/>
                  </w:r>
                  <w:r w:rsidR="0013693A" w:rsidRPr="00D66FE3">
                    <w:rPr>
                      <w:sz w:val="24"/>
                      <w:szCs w:val="24"/>
                    </w:rPr>
                    <w:t>7</w:t>
                  </w:r>
                  <w:r w:rsidR="0013693A" w:rsidRPr="00D66FE3">
                    <w:rPr>
                      <w:sz w:val="24"/>
                      <w:szCs w:val="24"/>
                    </w:rPr>
                    <w:fldChar w:fldCharType="end"/>
                  </w:r>
                </w:sdtContent>
              </w:sdt>
            </w:sdtContent>
          </w:sdt>
        </w:p>
      </w:tc>
    </w:tr>
  </w:tbl>
  <w:p w14:paraId="77F17737" w14:textId="7BE27621" w:rsidR="00F97DC5" w:rsidRPr="00640387" w:rsidRDefault="00F97DC5" w:rsidP="005115A0">
    <w:pPr>
      <w:pStyle w:val="Footer"/>
      <w:jc w:val="center"/>
      <w:rPr>
        <w:rFonts w:ascii="Times New Roman" w:hAnsi="Times New Roman" w:cs="Times New Roman"/>
        <w:caps/>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0B4A5" w14:textId="77777777" w:rsidR="00D637FD" w:rsidRDefault="00D637FD" w:rsidP="00A533CD">
      <w:pPr>
        <w:spacing w:after="0" w:line="240" w:lineRule="auto"/>
      </w:pPr>
      <w:r>
        <w:separator/>
      </w:r>
    </w:p>
  </w:footnote>
  <w:footnote w:type="continuationSeparator" w:id="0">
    <w:p w14:paraId="29CC4D4B" w14:textId="77777777" w:rsidR="00D637FD" w:rsidRDefault="00D637FD" w:rsidP="00A533CD">
      <w:pPr>
        <w:spacing w:after="0" w:line="240" w:lineRule="auto"/>
      </w:pPr>
      <w:r>
        <w:continuationSeparator/>
      </w:r>
    </w:p>
  </w:footnote>
  <w:footnote w:id="1">
    <w:p w14:paraId="38ED442A" w14:textId="77777777" w:rsidR="006673F1" w:rsidRDefault="006673F1" w:rsidP="006673F1">
      <w:pPr>
        <w:pStyle w:val="FootnoteText"/>
      </w:pPr>
      <w:r w:rsidRPr="000C4E23">
        <w:rPr>
          <w:rStyle w:val="FootnoteReference"/>
        </w:rPr>
        <w:footnoteRef/>
      </w:r>
      <w:r w:rsidRPr="000C4E23">
        <w:t xml:space="preserve"> Refer to the Resource Management Guide – Audit Committees (RMG 202) Section 1.5 Additional functions of the audit committee and Section 2.7 Shared Audit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336C" w14:textId="77777777" w:rsidR="005F06E3" w:rsidRDefault="005F06E3" w:rsidP="002B0157">
    <w:pPr>
      <w:pStyle w:val="Header"/>
      <w:tabs>
        <w:tab w:val="clear" w:pos="4513"/>
        <w:tab w:val="clear" w:pos="9026"/>
        <w:tab w:val="left" w:pos="2859"/>
      </w:tabs>
      <w:jc w:val="center"/>
      <w:rPr>
        <w:rFonts w:ascii="Times New Roman" w:hAnsi="Times New Roman" w:cs="Times New Roman"/>
        <w:b/>
        <w:noProof/>
        <w:color w:val="FF0000"/>
        <w:lang w:eastAsia="en-AU"/>
      </w:rPr>
    </w:pPr>
  </w:p>
  <w:p w14:paraId="643C5A3E" w14:textId="426E3686" w:rsidR="00A533CD" w:rsidRDefault="00385FDB" w:rsidP="0089044E">
    <w:pPr>
      <w:pStyle w:val="Header"/>
      <w:tabs>
        <w:tab w:val="clear" w:pos="4513"/>
        <w:tab w:val="clear" w:pos="9026"/>
        <w:tab w:val="left" w:pos="2859"/>
      </w:tabs>
      <w:jc w:val="center"/>
    </w:pPr>
    <w:sdt>
      <w:sdtPr>
        <w:id w:val="993521361"/>
        <w:docPartObj>
          <w:docPartGallery w:val="Page Numbers (Bottom of Page)"/>
          <w:docPartUnique/>
        </w:docPartObj>
      </w:sdtPr>
      <w:sdtEndPr/>
      <w:sdtContent>
        <w:sdt>
          <w:sdtPr>
            <w:id w:val="1204908136"/>
            <w:docPartObj>
              <w:docPartGallery w:val="Page Numbers (Top of Page)"/>
              <w:docPartUnique/>
            </w:docPartObj>
          </w:sdtPr>
          <w:sdtEndPr/>
          <w:sdtContent>
            <w:r w:rsidR="00D66FE3">
              <w:rPr>
                <w:rFonts w:ascii="Times New Roman" w:hAnsi="Times New Roman" w:cs="Times New Roman"/>
                <w:noProof/>
                <w:color w:val="FF0000"/>
                <w:lang w:eastAsia="en-AU"/>
              </w:rPr>
              <w:fldChar w:fldCharType="begin"/>
            </w:r>
            <w:r w:rsidR="00D66FE3">
              <w:rPr>
                <w:rFonts w:ascii="Times New Roman" w:hAnsi="Times New Roman" w:cs="Times New Roman"/>
                <w:noProof/>
                <w:color w:val="FF0000"/>
                <w:lang w:eastAsia="en-AU"/>
              </w:rPr>
              <w:instrText xml:space="preserve"> DOCPROPERTY PM_DisplayValueSecClassificationWithQualifier \* MERGEFORMAT </w:instrText>
            </w:r>
            <w:r w:rsidR="00D66FE3">
              <w:rPr>
                <w:rFonts w:ascii="Times New Roman" w:hAnsi="Times New Roman" w:cs="Times New Roman"/>
                <w:noProof/>
                <w:color w:val="FF0000"/>
                <w:lang w:eastAsia="en-AU"/>
              </w:rPr>
              <w:fldChar w:fldCharType="separate"/>
            </w:r>
            <w:r w:rsidR="000C742B">
              <w:rPr>
                <w:rFonts w:ascii="Times New Roman" w:hAnsi="Times New Roman" w:cs="Times New Roman"/>
                <w:noProof/>
                <w:color w:val="FF0000"/>
                <w:lang w:eastAsia="en-AU"/>
              </w:rPr>
              <w:t>OFFICIAL</w:t>
            </w:r>
            <w:r w:rsidR="00D66FE3">
              <w:rPr>
                <w:rFonts w:ascii="Times New Roman" w:hAnsi="Times New Roman" w:cs="Times New Roman"/>
                <w:noProof/>
                <w:color w:val="FF0000"/>
                <w:lang w:eastAsia="en-AU"/>
              </w:rPr>
              <w:fldChar w:fldCharType="end"/>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6ECF" w14:textId="5CB05970" w:rsidR="00E526E9" w:rsidRPr="0089044E" w:rsidRDefault="00163BFC" w:rsidP="00163BFC">
    <w:pPr>
      <w:pStyle w:val="Header"/>
      <w:tabs>
        <w:tab w:val="clear" w:pos="4513"/>
      </w:tabs>
      <w:jc w:val="center"/>
      <w:rPr>
        <w:rFonts w:ascii="Times New Roman" w:hAnsi="Times New Roman" w:cs="Times New Roman"/>
        <w:noProof/>
        <w:color w:val="FF0000"/>
        <w:lang w:eastAsia="en-AU"/>
      </w:rPr>
    </w:pPr>
    <w:r w:rsidRPr="0089044E">
      <w:rPr>
        <w:rFonts w:ascii="Times New Roman" w:hAnsi="Times New Roman" w:cs="Times New Roman"/>
        <w:noProof/>
        <w:color w:val="FF0000"/>
        <w:lang w:eastAsia="en-AU"/>
      </w:rPr>
      <w:drawing>
        <wp:anchor distT="0" distB="0" distL="114300" distR="114300" simplePos="0" relativeHeight="251659264" behindDoc="1" locked="0" layoutInCell="1" allowOverlap="1" wp14:anchorId="66164EB3" wp14:editId="5D9142AA">
          <wp:simplePos x="0" y="0"/>
          <wp:positionH relativeFrom="column">
            <wp:posOffset>-567074</wp:posOffset>
          </wp:positionH>
          <wp:positionV relativeFrom="paragraph">
            <wp:posOffset>4442</wp:posOffset>
          </wp:positionV>
          <wp:extent cx="3235960" cy="935990"/>
          <wp:effectExtent l="0" t="0" r="2540" b="0"/>
          <wp:wrapNone/>
          <wp:docPr id="30" name="Picture 30" descr="Australian Governmen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ustralian Government&#10;Department of Social Servic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5960" cy="935990"/>
                  </a:xfrm>
                  <a:prstGeom prst="rect">
                    <a:avLst/>
                  </a:prstGeom>
                </pic:spPr>
              </pic:pic>
            </a:graphicData>
          </a:graphic>
        </wp:anchor>
      </w:drawing>
    </w:r>
    <w:r w:rsidR="0013693A">
      <w:rPr>
        <w:rFonts w:ascii="Times New Roman" w:hAnsi="Times New Roman" w:cs="Times New Roman"/>
        <w:noProof/>
        <w:color w:val="FF0000"/>
        <w:lang w:eastAsia="en-AU"/>
      </w:rPr>
      <w:fldChar w:fldCharType="begin"/>
    </w:r>
    <w:r w:rsidR="0013693A">
      <w:rPr>
        <w:rFonts w:ascii="Times New Roman" w:hAnsi="Times New Roman" w:cs="Times New Roman"/>
        <w:noProof/>
        <w:color w:val="FF0000"/>
        <w:lang w:eastAsia="en-AU"/>
      </w:rPr>
      <w:instrText xml:space="preserve"> DOCPROPERTY PM_DisplayValueSecClassificationWithQualifier \* MERGEFORMAT </w:instrText>
    </w:r>
    <w:r w:rsidR="0013693A">
      <w:rPr>
        <w:rFonts w:ascii="Times New Roman" w:hAnsi="Times New Roman" w:cs="Times New Roman"/>
        <w:noProof/>
        <w:color w:val="FF0000"/>
        <w:lang w:eastAsia="en-AU"/>
      </w:rPr>
      <w:fldChar w:fldCharType="separate"/>
    </w:r>
    <w:r w:rsidR="000C742B">
      <w:rPr>
        <w:rFonts w:ascii="Times New Roman" w:hAnsi="Times New Roman" w:cs="Times New Roman"/>
        <w:noProof/>
        <w:color w:val="FF0000"/>
        <w:lang w:eastAsia="en-AU"/>
      </w:rPr>
      <w:t>OFFICIAL</w:t>
    </w:r>
    <w:r w:rsidR="0013693A">
      <w:rPr>
        <w:rFonts w:ascii="Times New Roman" w:hAnsi="Times New Roman" w:cs="Times New Roman"/>
        <w:noProof/>
        <w:color w:val="FF0000"/>
        <w:lang w:eastAsia="en-AU"/>
      </w:rPr>
      <w:fldChar w:fldCharType="end"/>
    </w:r>
  </w:p>
  <w:p w14:paraId="2FE5CED4" w14:textId="0055C113" w:rsidR="00163BFC" w:rsidRPr="00163BFC" w:rsidRDefault="00163BFC" w:rsidP="00163BFC">
    <w:pPr>
      <w:pStyle w:val="Header"/>
      <w:tabs>
        <w:tab w:val="clear" w:pos="4513"/>
      </w:tabs>
      <w:jc w:val="center"/>
      <w:rPr>
        <w:rFonts w:ascii="Times New Roman" w:hAnsi="Times New Roman" w:cs="Times New Roman"/>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7FDD"/>
    <w:multiLevelType w:val="hybridMultilevel"/>
    <w:tmpl w:val="0D9ECD96"/>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 w15:restartNumberingAfterBreak="0">
    <w:nsid w:val="0AF75C27"/>
    <w:multiLevelType w:val="hybridMultilevel"/>
    <w:tmpl w:val="140A2AA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2F5590"/>
    <w:multiLevelType w:val="hybridMultilevel"/>
    <w:tmpl w:val="7114732E"/>
    <w:lvl w:ilvl="0" w:tplc="476A07F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03659A"/>
    <w:multiLevelType w:val="hybridMultilevel"/>
    <w:tmpl w:val="10F27C20"/>
    <w:lvl w:ilvl="0" w:tplc="0C090001">
      <w:start w:val="1"/>
      <w:numFmt w:val="bullet"/>
      <w:lvlText w:val=""/>
      <w:lvlJc w:val="left"/>
      <w:pPr>
        <w:ind w:left="800" w:hanging="360"/>
      </w:pPr>
      <w:rPr>
        <w:rFonts w:ascii="Symbol" w:hAnsi="Symbol" w:hint="default"/>
      </w:rPr>
    </w:lvl>
    <w:lvl w:ilvl="1" w:tplc="0C090003" w:tentative="1">
      <w:start w:val="1"/>
      <w:numFmt w:val="bullet"/>
      <w:lvlText w:val="o"/>
      <w:lvlJc w:val="left"/>
      <w:pPr>
        <w:ind w:left="1520" w:hanging="360"/>
      </w:pPr>
      <w:rPr>
        <w:rFonts w:ascii="Courier New" w:hAnsi="Courier New" w:cs="Courier New" w:hint="default"/>
      </w:rPr>
    </w:lvl>
    <w:lvl w:ilvl="2" w:tplc="0C090005" w:tentative="1">
      <w:start w:val="1"/>
      <w:numFmt w:val="bullet"/>
      <w:lvlText w:val=""/>
      <w:lvlJc w:val="left"/>
      <w:pPr>
        <w:ind w:left="2240" w:hanging="360"/>
      </w:pPr>
      <w:rPr>
        <w:rFonts w:ascii="Wingdings" w:hAnsi="Wingdings" w:hint="default"/>
      </w:rPr>
    </w:lvl>
    <w:lvl w:ilvl="3" w:tplc="0C090001" w:tentative="1">
      <w:start w:val="1"/>
      <w:numFmt w:val="bullet"/>
      <w:lvlText w:val=""/>
      <w:lvlJc w:val="left"/>
      <w:pPr>
        <w:ind w:left="2960" w:hanging="360"/>
      </w:pPr>
      <w:rPr>
        <w:rFonts w:ascii="Symbol" w:hAnsi="Symbol" w:hint="default"/>
      </w:rPr>
    </w:lvl>
    <w:lvl w:ilvl="4" w:tplc="0C090003" w:tentative="1">
      <w:start w:val="1"/>
      <w:numFmt w:val="bullet"/>
      <w:lvlText w:val="o"/>
      <w:lvlJc w:val="left"/>
      <w:pPr>
        <w:ind w:left="3680" w:hanging="360"/>
      </w:pPr>
      <w:rPr>
        <w:rFonts w:ascii="Courier New" w:hAnsi="Courier New" w:cs="Courier New" w:hint="default"/>
      </w:rPr>
    </w:lvl>
    <w:lvl w:ilvl="5" w:tplc="0C090005" w:tentative="1">
      <w:start w:val="1"/>
      <w:numFmt w:val="bullet"/>
      <w:lvlText w:val=""/>
      <w:lvlJc w:val="left"/>
      <w:pPr>
        <w:ind w:left="4400" w:hanging="360"/>
      </w:pPr>
      <w:rPr>
        <w:rFonts w:ascii="Wingdings" w:hAnsi="Wingdings" w:hint="default"/>
      </w:rPr>
    </w:lvl>
    <w:lvl w:ilvl="6" w:tplc="0C090001" w:tentative="1">
      <w:start w:val="1"/>
      <w:numFmt w:val="bullet"/>
      <w:lvlText w:val=""/>
      <w:lvlJc w:val="left"/>
      <w:pPr>
        <w:ind w:left="5120" w:hanging="360"/>
      </w:pPr>
      <w:rPr>
        <w:rFonts w:ascii="Symbol" w:hAnsi="Symbol" w:hint="default"/>
      </w:rPr>
    </w:lvl>
    <w:lvl w:ilvl="7" w:tplc="0C090003" w:tentative="1">
      <w:start w:val="1"/>
      <w:numFmt w:val="bullet"/>
      <w:lvlText w:val="o"/>
      <w:lvlJc w:val="left"/>
      <w:pPr>
        <w:ind w:left="5840" w:hanging="360"/>
      </w:pPr>
      <w:rPr>
        <w:rFonts w:ascii="Courier New" w:hAnsi="Courier New" w:cs="Courier New" w:hint="default"/>
      </w:rPr>
    </w:lvl>
    <w:lvl w:ilvl="8" w:tplc="0C090005" w:tentative="1">
      <w:start w:val="1"/>
      <w:numFmt w:val="bullet"/>
      <w:lvlText w:val=""/>
      <w:lvlJc w:val="left"/>
      <w:pPr>
        <w:ind w:left="6560" w:hanging="360"/>
      </w:pPr>
      <w:rPr>
        <w:rFonts w:ascii="Wingdings" w:hAnsi="Wingdings" w:hint="default"/>
      </w:rPr>
    </w:lvl>
  </w:abstractNum>
  <w:abstractNum w:abstractNumId="4" w15:restartNumberingAfterBreak="0">
    <w:nsid w:val="219E5836"/>
    <w:multiLevelType w:val="hybridMultilevel"/>
    <w:tmpl w:val="ABF8EC62"/>
    <w:lvl w:ilvl="0" w:tplc="04090003">
      <w:start w:val="1"/>
      <w:numFmt w:val="bullet"/>
      <w:lvlText w:val="o"/>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4B3C11"/>
    <w:multiLevelType w:val="hybridMultilevel"/>
    <w:tmpl w:val="4008D64C"/>
    <w:lvl w:ilvl="0" w:tplc="0D76CF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BA1BB0"/>
    <w:multiLevelType w:val="hybridMultilevel"/>
    <w:tmpl w:val="C66E0C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D997008"/>
    <w:multiLevelType w:val="hybridMultilevel"/>
    <w:tmpl w:val="0A22F864"/>
    <w:lvl w:ilvl="0" w:tplc="C624F2B4">
      <w:start w:val="1"/>
      <w:numFmt w:val="upperLetter"/>
      <w:lvlText w:val="%1."/>
      <w:lvlJc w:val="left"/>
      <w:pPr>
        <w:tabs>
          <w:tab w:val="num" w:pos="-324"/>
        </w:tabs>
        <w:ind w:left="0" w:firstLine="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351365A1"/>
    <w:multiLevelType w:val="hybridMultilevel"/>
    <w:tmpl w:val="D9F4D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15786D"/>
    <w:multiLevelType w:val="hybridMultilevel"/>
    <w:tmpl w:val="E7C4094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C91807"/>
    <w:multiLevelType w:val="hybridMultilevel"/>
    <w:tmpl w:val="EEE0AEF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1" w15:restartNumberingAfterBreak="0">
    <w:nsid w:val="44A94248"/>
    <w:multiLevelType w:val="hybridMultilevel"/>
    <w:tmpl w:val="0A38797C"/>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12" w15:restartNumberingAfterBreak="0">
    <w:nsid w:val="480659C9"/>
    <w:multiLevelType w:val="hybridMultilevel"/>
    <w:tmpl w:val="71FEBB4C"/>
    <w:lvl w:ilvl="0" w:tplc="0D76CF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8616B9"/>
    <w:multiLevelType w:val="hybridMultilevel"/>
    <w:tmpl w:val="E63E832A"/>
    <w:lvl w:ilvl="0" w:tplc="0D76CF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7A000E"/>
    <w:multiLevelType w:val="hybridMultilevel"/>
    <w:tmpl w:val="A802ECE4"/>
    <w:lvl w:ilvl="0" w:tplc="476A07F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08C6103"/>
    <w:multiLevelType w:val="hybridMultilevel"/>
    <w:tmpl w:val="E6C48C42"/>
    <w:lvl w:ilvl="0" w:tplc="476A07F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637BDA"/>
    <w:multiLevelType w:val="hybridMultilevel"/>
    <w:tmpl w:val="6C50B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AF168C"/>
    <w:multiLevelType w:val="hybridMultilevel"/>
    <w:tmpl w:val="59EE5EA8"/>
    <w:lvl w:ilvl="0" w:tplc="0D76CF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1A0631"/>
    <w:multiLevelType w:val="hybridMultilevel"/>
    <w:tmpl w:val="49F00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A3090C"/>
    <w:multiLevelType w:val="hybridMultilevel"/>
    <w:tmpl w:val="D5CA2652"/>
    <w:lvl w:ilvl="0" w:tplc="476A07F0">
      <w:numFmt w:val="bullet"/>
      <w:lvlText w:val=""/>
      <w:lvlJc w:val="left"/>
      <w:pPr>
        <w:ind w:left="675" w:hanging="360"/>
      </w:pPr>
      <w:rPr>
        <w:rFonts w:ascii="Symbol" w:eastAsiaTheme="minorHAnsi" w:hAnsi="Symbol" w:cs="Times New Roman" w:hint="default"/>
      </w:rPr>
    </w:lvl>
    <w:lvl w:ilvl="1" w:tplc="0C090003" w:tentative="1">
      <w:start w:val="1"/>
      <w:numFmt w:val="bullet"/>
      <w:lvlText w:val="o"/>
      <w:lvlJc w:val="left"/>
      <w:pPr>
        <w:ind w:left="1395" w:hanging="360"/>
      </w:pPr>
      <w:rPr>
        <w:rFonts w:ascii="Courier New" w:hAnsi="Courier New" w:cs="Courier New" w:hint="default"/>
      </w:rPr>
    </w:lvl>
    <w:lvl w:ilvl="2" w:tplc="0C090005" w:tentative="1">
      <w:start w:val="1"/>
      <w:numFmt w:val="bullet"/>
      <w:lvlText w:val=""/>
      <w:lvlJc w:val="left"/>
      <w:pPr>
        <w:ind w:left="2115" w:hanging="360"/>
      </w:pPr>
      <w:rPr>
        <w:rFonts w:ascii="Wingdings" w:hAnsi="Wingdings" w:hint="default"/>
      </w:rPr>
    </w:lvl>
    <w:lvl w:ilvl="3" w:tplc="0C090001" w:tentative="1">
      <w:start w:val="1"/>
      <w:numFmt w:val="bullet"/>
      <w:lvlText w:val=""/>
      <w:lvlJc w:val="left"/>
      <w:pPr>
        <w:ind w:left="2835" w:hanging="360"/>
      </w:pPr>
      <w:rPr>
        <w:rFonts w:ascii="Symbol" w:hAnsi="Symbol" w:hint="default"/>
      </w:rPr>
    </w:lvl>
    <w:lvl w:ilvl="4" w:tplc="0C090003" w:tentative="1">
      <w:start w:val="1"/>
      <w:numFmt w:val="bullet"/>
      <w:lvlText w:val="o"/>
      <w:lvlJc w:val="left"/>
      <w:pPr>
        <w:ind w:left="3555" w:hanging="360"/>
      </w:pPr>
      <w:rPr>
        <w:rFonts w:ascii="Courier New" w:hAnsi="Courier New" w:cs="Courier New" w:hint="default"/>
      </w:rPr>
    </w:lvl>
    <w:lvl w:ilvl="5" w:tplc="0C090005" w:tentative="1">
      <w:start w:val="1"/>
      <w:numFmt w:val="bullet"/>
      <w:lvlText w:val=""/>
      <w:lvlJc w:val="left"/>
      <w:pPr>
        <w:ind w:left="4275" w:hanging="360"/>
      </w:pPr>
      <w:rPr>
        <w:rFonts w:ascii="Wingdings" w:hAnsi="Wingdings" w:hint="default"/>
      </w:rPr>
    </w:lvl>
    <w:lvl w:ilvl="6" w:tplc="0C090001" w:tentative="1">
      <w:start w:val="1"/>
      <w:numFmt w:val="bullet"/>
      <w:lvlText w:val=""/>
      <w:lvlJc w:val="left"/>
      <w:pPr>
        <w:ind w:left="4995" w:hanging="360"/>
      </w:pPr>
      <w:rPr>
        <w:rFonts w:ascii="Symbol" w:hAnsi="Symbol" w:hint="default"/>
      </w:rPr>
    </w:lvl>
    <w:lvl w:ilvl="7" w:tplc="0C090003" w:tentative="1">
      <w:start w:val="1"/>
      <w:numFmt w:val="bullet"/>
      <w:lvlText w:val="o"/>
      <w:lvlJc w:val="left"/>
      <w:pPr>
        <w:ind w:left="5715" w:hanging="360"/>
      </w:pPr>
      <w:rPr>
        <w:rFonts w:ascii="Courier New" w:hAnsi="Courier New" w:cs="Courier New" w:hint="default"/>
      </w:rPr>
    </w:lvl>
    <w:lvl w:ilvl="8" w:tplc="0C090005" w:tentative="1">
      <w:start w:val="1"/>
      <w:numFmt w:val="bullet"/>
      <w:lvlText w:val=""/>
      <w:lvlJc w:val="left"/>
      <w:pPr>
        <w:ind w:left="6435" w:hanging="360"/>
      </w:pPr>
      <w:rPr>
        <w:rFonts w:ascii="Wingdings" w:hAnsi="Wingdings" w:hint="default"/>
      </w:rPr>
    </w:lvl>
  </w:abstractNum>
  <w:abstractNum w:abstractNumId="20" w15:restartNumberingAfterBreak="0">
    <w:nsid w:val="6F487F98"/>
    <w:multiLevelType w:val="hybridMultilevel"/>
    <w:tmpl w:val="851CFF98"/>
    <w:lvl w:ilvl="0" w:tplc="0D76CFD2">
      <w:start w:val="1"/>
      <w:numFmt w:val="bullet"/>
      <w:lvlText w:val=""/>
      <w:lvlJc w:val="left"/>
      <w:pPr>
        <w:ind w:left="990" w:hanging="360"/>
      </w:pPr>
      <w:rPr>
        <w:rFonts w:ascii="Symbol" w:hAnsi="Symbol" w:hint="default"/>
      </w:rPr>
    </w:lvl>
    <w:lvl w:ilvl="1" w:tplc="0C090003" w:tentative="1">
      <w:start w:val="1"/>
      <w:numFmt w:val="bullet"/>
      <w:lvlText w:val="o"/>
      <w:lvlJc w:val="left"/>
      <w:pPr>
        <w:ind w:left="1710" w:hanging="360"/>
      </w:pPr>
      <w:rPr>
        <w:rFonts w:ascii="Courier New" w:hAnsi="Courier New" w:cs="Courier New" w:hint="default"/>
      </w:rPr>
    </w:lvl>
    <w:lvl w:ilvl="2" w:tplc="0C090005" w:tentative="1">
      <w:start w:val="1"/>
      <w:numFmt w:val="bullet"/>
      <w:lvlText w:val=""/>
      <w:lvlJc w:val="left"/>
      <w:pPr>
        <w:ind w:left="2430" w:hanging="360"/>
      </w:pPr>
      <w:rPr>
        <w:rFonts w:ascii="Wingdings" w:hAnsi="Wingdings" w:hint="default"/>
      </w:rPr>
    </w:lvl>
    <w:lvl w:ilvl="3" w:tplc="0C090001" w:tentative="1">
      <w:start w:val="1"/>
      <w:numFmt w:val="bullet"/>
      <w:lvlText w:val=""/>
      <w:lvlJc w:val="left"/>
      <w:pPr>
        <w:ind w:left="3150" w:hanging="360"/>
      </w:pPr>
      <w:rPr>
        <w:rFonts w:ascii="Symbol" w:hAnsi="Symbol" w:hint="default"/>
      </w:rPr>
    </w:lvl>
    <w:lvl w:ilvl="4" w:tplc="0C090003" w:tentative="1">
      <w:start w:val="1"/>
      <w:numFmt w:val="bullet"/>
      <w:lvlText w:val="o"/>
      <w:lvlJc w:val="left"/>
      <w:pPr>
        <w:ind w:left="3870" w:hanging="360"/>
      </w:pPr>
      <w:rPr>
        <w:rFonts w:ascii="Courier New" w:hAnsi="Courier New" w:cs="Courier New" w:hint="default"/>
      </w:rPr>
    </w:lvl>
    <w:lvl w:ilvl="5" w:tplc="0C090005" w:tentative="1">
      <w:start w:val="1"/>
      <w:numFmt w:val="bullet"/>
      <w:lvlText w:val=""/>
      <w:lvlJc w:val="left"/>
      <w:pPr>
        <w:ind w:left="4590" w:hanging="360"/>
      </w:pPr>
      <w:rPr>
        <w:rFonts w:ascii="Wingdings" w:hAnsi="Wingdings" w:hint="default"/>
      </w:rPr>
    </w:lvl>
    <w:lvl w:ilvl="6" w:tplc="0C090001" w:tentative="1">
      <w:start w:val="1"/>
      <w:numFmt w:val="bullet"/>
      <w:lvlText w:val=""/>
      <w:lvlJc w:val="left"/>
      <w:pPr>
        <w:ind w:left="5310" w:hanging="360"/>
      </w:pPr>
      <w:rPr>
        <w:rFonts w:ascii="Symbol" w:hAnsi="Symbol" w:hint="default"/>
      </w:rPr>
    </w:lvl>
    <w:lvl w:ilvl="7" w:tplc="0C090003" w:tentative="1">
      <w:start w:val="1"/>
      <w:numFmt w:val="bullet"/>
      <w:lvlText w:val="o"/>
      <w:lvlJc w:val="left"/>
      <w:pPr>
        <w:ind w:left="6030" w:hanging="360"/>
      </w:pPr>
      <w:rPr>
        <w:rFonts w:ascii="Courier New" w:hAnsi="Courier New" w:cs="Courier New" w:hint="default"/>
      </w:rPr>
    </w:lvl>
    <w:lvl w:ilvl="8" w:tplc="0C090005" w:tentative="1">
      <w:start w:val="1"/>
      <w:numFmt w:val="bullet"/>
      <w:lvlText w:val=""/>
      <w:lvlJc w:val="left"/>
      <w:pPr>
        <w:ind w:left="6750" w:hanging="360"/>
      </w:pPr>
      <w:rPr>
        <w:rFonts w:ascii="Wingdings" w:hAnsi="Wingdings" w:hint="default"/>
      </w:rPr>
    </w:lvl>
  </w:abstractNum>
  <w:abstractNum w:abstractNumId="21" w15:restartNumberingAfterBreak="0">
    <w:nsid w:val="776A784F"/>
    <w:multiLevelType w:val="hybridMultilevel"/>
    <w:tmpl w:val="90884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D2548AA"/>
    <w:multiLevelType w:val="hybridMultilevel"/>
    <w:tmpl w:val="F75881CE"/>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num w:numId="1" w16cid:durableId="831143058">
    <w:abstractNumId w:val="18"/>
  </w:num>
  <w:num w:numId="2" w16cid:durableId="181552750">
    <w:abstractNumId w:val="10"/>
  </w:num>
  <w:num w:numId="3" w16cid:durableId="2122531235">
    <w:abstractNumId w:val="20"/>
  </w:num>
  <w:num w:numId="4" w16cid:durableId="754329140">
    <w:abstractNumId w:val="13"/>
  </w:num>
  <w:num w:numId="5" w16cid:durableId="1957560925">
    <w:abstractNumId w:val="12"/>
  </w:num>
  <w:num w:numId="6" w16cid:durableId="632951539">
    <w:abstractNumId w:val="6"/>
  </w:num>
  <w:num w:numId="7" w16cid:durableId="900793989">
    <w:abstractNumId w:val="17"/>
  </w:num>
  <w:num w:numId="8" w16cid:durableId="888884946">
    <w:abstractNumId w:val="5"/>
  </w:num>
  <w:num w:numId="9" w16cid:durableId="73401673">
    <w:abstractNumId w:val="1"/>
  </w:num>
  <w:num w:numId="10" w16cid:durableId="1867134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3138589">
    <w:abstractNumId w:val="9"/>
  </w:num>
  <w:num w:numId="12" w16cid:durableId="87964846">
    <w:abstractNumId w:val="2"/>
  </w:num>
  <w:num w:numId="13" w16cid:durableId="1600680455">
    <w:abstractNumId w:val="19"/>
  </w:num>
  <w:num w:numId="14" w16cid:durableId="1984310476">
    <w:abstractNumId w:val="15"/>
  </w:num>
  <w:num w:numId="15" w16cid:durableId="585921165">
    <w:abstractNumId w:val="14"/>
  </w:num>
  <w:num w:numId="16" w16cid:durableId="581108158">
    <w:abstractNumId w:val="7"/>
  </w:num>
  <w:num w:numId="17" w16cid:durableId="136537103">
    <w:abstractNumId w:val="22"/>
  </w:num>
  <w:num w:numId="18" w16cid:durableId="284851468">
    <w:abstractNumId w:val="0"/>
  </w:num>
  <w:num w:numId="19" w16cid:durableId="249965985">
    <w:abstractNumId w:val="3"/>
  </w:num>
  <w:num w:numId="20" w16cid:durableId="239801580">
    <w:abstractNumId w:val="11"/>
  </w:num>
  <w:num w:numId="21" w16cid:durableId="1090276647">
    <w:abstractNumId w:val="16"/>
  </w:num>
  <w:num w:numId="22" w16cid:durableId="1724061681">
    <w:abstractNumId w:val="21"/>
  </w:num>
  <w:num w:numId="23" w16cid:durableId="1759013195">
    <w:abstractNumId w:val="8"/>
  </w:num>
  <w:num w:numId="24" w16cid:durableId="300811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6AF"/>
    <w:rsid w:val="00001341"/>
    <w:rsid w:val="0001054B"/>
    <w:rsid w:val="00017109"/>
    <w:rsid w:val="00040F22"/>
    <w:rsid w:val="00054092"/>
    <w:rsid w:val="00077153"/>
    <w:rsid w:val="000A609B"/>
    <w:rsid w:val="000B71B7"/>
    <w:rsid w:val="000B7C0B"/>
    <w:rsid w:val="000C3114"/>
    <w:rsid w:val="000C4E23"/>
    <w:rsid w:val="000C742B"/>
    <w:rsid w:val="000E2BD8"/>
    <w:rsid w:val="000E6A7E"/>
    <w:rsid w:val="000F0BE8"/>
    <w:rsid w:val="000F26E3"/>
    <w:rsid w:val="001071DE"/>
    <w:rsid w:val="0011248F"/>
    <w:rsid w:val="0012032F"/>
    <w:rsid w:val="0012245D"/>
    <w:rsid w:val="001237DE"/>
    <w:rsid w:val="00124BF2"/>
    <w:rsid w:val="001250C4"/>
    <w:rsid w:val="00130C93"/>
    <w:rsid w:val="001323FD"/>
    <w:rsid w:val="0013693A"/>
    <w:rsid w:val="001430D6"/>
    <w:rsid w:val="00163BFC"/>
    <w:rsid w:val="00164F1A"/>
    <w:rsid w:val="00175589"/>
    <w:rsid w:val="00180158"/>
    <w:rsid w:val="001A0CDA"/>
    <w:rsid w:val="001B5BAE"/>
    <w:rsid w:val="001F22D1"/>
    <w:rsid w:val="002026B7"/>
    <w:rsid w:val="0021027B"/>
    <w:rsid w:val="00212E86"/>
    <w:rsid w:val="0021436B"/>
    <w:rsid w:val="0021739B"/>
    <w:rsid w:val="002175A1"/>
    <w:rsid w:val="002443D3"/>
    <w:rsid w:val="0024487B"/>
    <w:rsid w:val="002464C0"/>
    <w:rsid w:val="00255061"/>
    <w:rsid w:val="00256A98"/>
    <w:rsid w:val="002611FB"/>
    <w:rsid w:val="00284C28"/>
    <w:rsid w:val="002A3C4D"/>
    <w:rsid w:val="002B0157"/>
    <w:rsid w:val="002C6782"/>
    <w:rsid w:val="002E3AEC"/>
    <w:rsid w:val="002F4C02"/>
    <w:rsid w:val="003030C5"/>
    <w:rsid w:val="003129A5"/>
    <w:rsid w:val="00313341"/>
    <w:rsid w:val="00314B13"/>
    <w:rsid w:val="0034131E"/>
    <w:rsid w:val="0037038F"/>
    <w:rsid w:val="003756AF"/>
    <w:rsid w:val="00385FDB"/>
    <w:rsid w:val="003923AF"/>
    <w:rsid w:val="00393A51"/>
    <w:rsid w:val="003A0E15"/>
    <w:rsid w:val="003B27F6"/>
    <w:rsid w:val="003B35CC"/>
    <w:rsid w:val="003C3E77"/>
    <w:rsid w:val="003E280B"/>
    <w:rsid w:val="003E3926"/>
    <w:rsid w:val="003E5EE6"/>
    <w:rsid w:val="003F3D6D"/>
    <w:rsid w:val="0040464E"/>
    <w:rsid w:val="00411AA6"/>
    <w:rsid w:val="0043186D"/>
    <w:rsid w:val="00434EE3"/>
    <w:rsid w:val="004507EC"/>
    <w:rsid w:val="004527DF"/>
    <w:rsid w:val="004535A0"/>
    <w:rsid w:val="00460095"/>
    <w:rsid w:val="004624EC"/>
    <w:rsid w:val="004635D8"/>
    <w:rsid w:val="004674D2"/>
    <w:rsid w:val="00471335"/>
    <w:rsid w:val="00483408"/>
    <w:rsid w:val="004838DD"/>
    <w:rsid w:val="00493E91"/>
    <w:rsid w:val="004A6DE1"/>
    <w:rsid w:val="004A7570"/>
    <w:rsid w:val="004D3E5E"/>
    <w:rsid w:val="004F51D3"/>
    <w:rsid w:val="005115A0"/>
    <w:rsid w:val="0052406C"/>
    <w:rsid w:val="00524CEF"/>
    <w:rsid w:val="00532106"/>
    <w:rsid w:val="00540184"/>
    <w:rsid w:val="00543653"/>
    <w:rsid w:val="0055368D"/>
    <w:rsid w:val="00556C60"/>
    <w:rsid w:val="00565A29"/>
    <w:rsid w:val="00574CC6"/>
    <w:rsid w:val="00594EBB"/>
    <w:rsid w:val="005A44F3"/>
    <w:rsid w:val="005A7C53"/>
    <w:rsid w:val="005B2F8D"/>
    <w:rsid w:val="005D646A"/>
    <w:rsid w:val="005D760B"/>
    <w:rsid w:val="005F06E3"/>
    <w:rsid w:val="005F1EE1"/>
    <w:rsid w:val="005F43E3"/>
    <w:rsid w:val="006069DD"/>
    <w:rsid w:val="00640387"/>
    <w:rsid w:val="00651A51"/>
    <w:rsid w:val="006673F1"/>
    <w:rsid w:val="006733AC"/>
    <w:rsid w:val="006B429F"/>
    <w:rsid w:val="006C3971"/>
    <w:rsid w:val="006D40E2"/>
    <w:rsid w:val="006D6C3B"/>
    <w:rsid w:val="007215D8"/>
    <w:rsid w:val="0072577F"/>
    <w:rsid w:val="00744DD3"/>
    <w:rsid w:val="00770578"/>
    <w:rsid w:val="00776959"/>
    <w:rsid w:val="0077715C"/>
    <w:rsid w:val="00780EB6"/>
    <w:rsid w:val="00786504"/>
    <w:rsid w:val="0079106E"/>
    <w:rsid w:val="00794DF5"/>
    <w:rsid w:val="007A0EA8"/>
    <w:rsid w:val="007A79E3"/>
    <w:rsid w:val="007B6049"/>
    <w:rsid w:val="007C1272"/>
    <w:rsid w:val="007F38E2"/>
    <w:rsid w:val="007F6178"/>
    <w:rsid w:val="0080457C"/>
    <w:rsid w:val="00821B3C"/>
    <w:rsid w:val="00826E56"/>
    <w:rsid w:val="008355EB"/>
    <w:rsid w:val="00867259"/>
    <w:rsid w:val="00867D4A"/>
    <w:rsid w:val="0089044E"/>
    <w:rsid w:val="00890DEC"/>
    <w:rsid w:val="008A2D1E"/>
    <w:rsid w:val="008D2AC8"/>
    <w:rsid w:val="008D57E1"/>
    <w:rsid w:val="008D6133"/>
    <w:rsid w:val="008E094E"/>
    <w:rsid w:val="008E3EAC"/>
    <w:rsid w:val="008F27A7"/>
    <w:rsid w:val="008F3AF7"/>
    <w:rsid w:val="008F5DB1"/>
    <w:rsid w:val="00902E06"/>
    <w:rsid w:val="00907E0F"/>
    <w:rsid w:val="00945DA5"/>
    <w:rsid w:val="0096203E"/>
    <w:rsid w:val="009710FD"/>
    <w:rsid w:val="00995BA0"/>
    <w:rsid w:val="009A3E59"/>
    <w:rsid w:val="009D0475"/>
    <w:rsid w:val="009D7435"/>
    <w:rsid w:val="009F2A83"/>
    <w:rsid w:val="00A01460"/>
    <w:rsid w:val="00A30A41"/>
    <w:rsid w:val="00A31C40"/>
    <w:rsid w:val="00A46B12"/>
    <w:rsid w:val="00A47D2B"/>
    <w:rsid w:val="00A533CD"/>
    <w:rsid w:val="00A630BA"/>
    <w:rsid w:val="00A66235"/>
    <w:rsid w:val="00A74FDB"/>
    <w:rsid w:val="00A80B52"/>
    <w:rsid w:val="00A92A58"/>
    <w:rsid w:val="00AA6935"/>
    <w:rsid w:val="00AB199E"/>
    <w:rsid w:val="00AB7262"/>
    <w:rsid w:val="00AB7350"/>
    <w:rsid w:val="00AC1431"/>
    <w:rsid w:val="00AC2CF9"/>
    <w:rsid w:val="00AD25F6"/>
    <w:rsid w:val="00AE4E7A"/>
    <w:rsid w:val="00B07332"/>
    <w:rsid w:val="00B138C9"/>
    <w:rsid w:val="00B154FB"/>
    <w:rsid w:val="00B15658"/>
    <w:rsid w:val="00B20DC0"/>
    <w:rsid w:val="00B227E6"/>
    <w:rsid w:val="00B36086"/>
    <w:rsid w:val="00B432DA"/>
    <w:rsid w:val="00B43E0A"/>
    <w:rsid w:val="00B675A0"/>
    <w:rsid w:val="00B71600"/>
    <w:rsid w:val="00B71822"/>
    <w:rsid w:val="00BA2325"/>
    <w:rsid w:val="00BB2C30"/>
    <w:rsid w:val="00BB72E1"/>
    <w:rsid w:val="00BC0A22"/>
    <w:rsid w:val="00C021CF"/>
    <w:rsid w:val="00C06F30"/>
    <w:rsid w:val="00C1502A"/>
    <w:rsid w:val="00C26243"/>
    <w:rsid w:val="00C3362E"/>
    <w:rsid w:val="00C63A59"/>
    <w:rsid w:val="00C85E6D"/>
    <w:rsid w:val="00C90061"/>
    <w:rsid w:val="00C9468E"/>
    <w:rsid w:val="00C96C55"/>
    <w:rsid w:val="00CB2007"/>
    <w:rsid w:val="00CC21E2"/>
    <w:rsid w:val="00CD5921"/>
    <w:rsid w:val="00CE24BC"/>
    <w:rsid w:val="00CF64A2"/>
    <w:rsid w:val="00D1401B"/>
    <w:rsid w:val="00D34986"/>
    <w:rsid w:val="00D37C1B"/>
    <w:rsid w:val="00D55C19"/>
    <w:rsid w:val="00D637FD"/>
    <w:rsid w:val="00D66FE3"/>
    <w:rsid w:val="00D732E5"/>
    <w:rsid w:val="00D7683A"/>
    <w:rsid w:val="00D923C0"/>
    <w:rsid w:val="00D96160"/>
    <w:rsid w:val="00D97BAD"/>
    <w:rsid w:val="00DA0E08"/>
    <w:rsid w:val="00DB2F84"/>
    <w:rsid w:val="00DB76F7"/>
    <w:rsid w:val="00DD4E0D"/>
    <w:rsid w:val="00DF45E5"/>
    <w:rsid w:val="00E246AE"/>
    <w:rsid w:val="00E357F8"/>
    <w:rsid w:val="00E43743"/>
    <w:rsid w:val="00E526E9"/>
    <w:rsid w:val="00E53138"/>
    <w:rsid w:val="00E55E0C"/>
    <w:rsid w:val="00E60E4E"/>
    <w:rsid w:val="00E736A7"/>
    <w:rsid w:val="00E937B1"/>
    <w:rsid w:val="00EB7E5C"/>
    <w:rsid w:val="00EE6714"/>
    <w:rsid w:val="00EF761F"/>
    <w:rsid w:val="00F021C6"/>
    <w:rsid w:val="00F1172E"/>
    <w:rsid w:val="00F12DD9"/>
    <w:rsid w:val="00F16985"/>
    <w:rsid w:val="00F34D96"/>
    <w:rsid w:val="00F46587"/>
    <w:rsid w:val="00F57F73"/>
    <w:rsid w:val="00F61F3A"/>
    <w:rsid w:val="00F67E6E"/>
    <w:rsid w:val="00F94CDE"/>
    <w:rsid w:val="00F97DC5"/>
    <w:rsid w:val="00FA53A8"/>
    <w:rsid w:val="00FA59B7"/>
    <w:rsid w:val="00FB4514"/>
    <w:rsid w:val="00FC0316"/>
    <w:rsid w:val="00FC69E7"/>
    <w:rsid w:val="00FC6ABB"/>
    <w:rsid w:val="00FD6FBB"/>
    <w:rsid w:val="00FE2E4C"/>
    <w:rsid w:val="00FE6BC9"/>
    <w:rsid w:val="00FE6DFF"/>
    <w:rsid w:val="00FE7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90FD7"/>
  <w15:chartTrackingRefBased/>
  <w15:docId w15:val="{8AF257C5-0A13-4DDD-8AE3-054C272E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2"/>
    <w:qFormat/>
    <w:rsid w:val="00D923C0"/>
    <w:pPr>
      <w:spacing w:before="120" w:after="120"/>
      <w:ind w:left="-91"/>
      <w:contextualSpacing w:val="0"/>
      <w:outlineLvl w:val="0"/>
    </w:pPr>
    <w:rPr>
      <w:rFonts w:ascii="Times New Roman" w:hAnsi="Times New Roman" w:cs="Times New Roman"/>
      <w:spacing w:val="0"/>
      <w:sz w:val="40"/>
      <w:szCs w:val="40"/>
    </w:rPr>
  </w:style>
  <w:style w:type="paragraph" w:styleId="Heading2">
    <w:name w:val="heading 2"/>
    <w:basedOn w:val="Heading1"/>
    <w:next w:val="Normal"/>
    <w:link w:val="Heading2Char"/>
    <w:uiPriority w:val="2"/>
    <w:unhideWhenUsed/>
    <w:qFormat/>
    <w:rsid w:val="00D923C0"/>
    <w:pPr>
      <w:outlineLvl w:val="1"/>
    </w:pPr>
    <w:rPr>
      <w:spacing w:val="4"/>
      <w:sz w:val="32"/>
    </w:rPr>
  </w:style>
  <w:style w:type="paragraph" w:styleId="Heading3">
    <w:name w:val="heading 3"/>
    <w:basedOn w:val="Normal"/>
    <w:next w:val="Normal"/>
    <w:link w:val="Heading3Char"/>
    <w:uiPriority w:val="9"/>
    <w:unhideWhenUsed/>
    <w:qFormat/>
    <w:rsid w:val="00D923C0"/>
    <w:pPr>
      <w:spacing w:before="120" w:after="120" w:line="240" w:lineRule="auto"/>
      <w:outlineLvl w:val="2"/>
    </w:pPr>
    <w:rPr>
      <w:rFonts w:ascii="Times New Roman" w:hAnsi="Times New Roman" w:cs="Times New Roman"/>
      <w:color w:val="24596E"/>
      <w:spacing w:val="4"/>
      <w:sz w:val="28"/>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756AF"/>
    <w:pPr>
      <w:ind w:left="720"/>
      <w:contextualSpacing/>
    </w:pPr>
  </w:style>
  <w:style w:type="paragraph" w:customStyle="1" w:styleId="Default">
    <w:name w:val="Default"/>
    <w:rsid w:val="00B227E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53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3CD"/>
  </w:style>
  <w:style w:type="paragraph" w:styleId="Footer">
    <w:name w:val="footer"/>
    <w:basedOn w:val="Normal"/>
    <w:link w:val="FooterChar"/>
    <w:uiPriority w:val="99"/>
    <w:unhideWhenUsed/>
    <w:rsid w:val="00A53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3CD"/>
  </w:style>
  <w:style w:type="character" w:styleId="Hyperlink">
    <w:name w:val="Hyperlink"/>
    <w:basedOn w:val="DefaultParagraphFont"/>
    <w:uiPriority w:val="99"/>
    <w:unhideWhenUsed/>
    <w:rsid w:val="00AD25F6"/>
    <w:rPr>
      <w:color w:val="0563C1" w:themeColor="hyperlink"/>
      <w:u w:val="single"/>
    </w:rPr>
  </w:style>
  <w:style w:type="paragraph" w:styleId="BalloonText">
    <w:name w:val="Balloon Text"/>
    <w:basedOn w:val="Normal"/>
    <w:link w:val="BalloonTextChar"/>
    <w:uiPriority w:val="99"/>
    <w:semiHidden/>
    <w:unhideWhenUsed/>
    <w:rsid w:val="003E5E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E6"/>
    <w:rPr>
      <w:rFonts w:ascii="Segoe UI" w:hAnsi="Segoe UI" w:cs="Segoe UI"/>
      <w:sz w:val="18"/>
      <w:szCs w:val="18"/>
    </w:rPr>
  </w:style>
  <w:style w:type="character" w:styleId="CommentReference">
    <w:name w:val="annotation reference"/>
    <w:basedOn w:val="DefaultParagraphFont"/>
    <w:uiPriority w:val="99"/>
    <w:semiHidden/>
    <w:unhideWhenUsed/>
    <w:rsid w:val="002C6782"/>
    <w:rPr>
      <w:sz w:val="16"/>
      <w:szCs w:val="16"/>
    </w:rPr>
  </w:style>
  <w:style w:type="paragraph" w:styleId="CommentText">
    <w:name w:val="annotation text"/>
    <w:basedOn w:val="Normal"/>
    <w:link w:val="CommentTextChar"/>
    <w:uiPriority w:val="99"/>
    <w:unhideWhenUsed/>
    <w:rsid w:val="002C6782"/>
    <w:pPr>
      <w:spacing w:line="240" w:lineRule="auto"/>
    </w:pPr>
    <w:rPr>
      <w:sz w:val="20"/>
      <w:szCs w:val="20"/>
    </w:rPr>
  </w:style>
  <w:style w:type="character" w:customStyle="1" w:styleId="CommentTextChar">
    <w:name w:val="Comment Text Char"/>
    <w:basedOn w:val="DefaultParagraphFont"/>
    <w:link w:val="CommentText"/>
    <w:uiPriority w:val="99"/>
    <w:rsid w:val="002C6782"/>
    <w:rPr>
      <w:sz w:val="20"/>
      <w:szCs w:val="20"/>
    </w:rPr>
  </w:style>
  <w:style w:type="paragraph" w:styleId="CommentSubject">
    <w:name w:val="annotation subject"/>
    <w:basedOn w:val="CommentText"/>
    <w:next w:val="CommentText"/>
    <w:link w:val="CommentSubjectChar"/>
    <w:uiPriority w:val="99"/>
    <w:semiHidden/>
    <w:unhideWhenUsed/>
    <w:rsid w:val="002C6782"/>
    <w:rPr>
      <w:b/>
      <w:bCs/>
    </w:rPr>
  </w:style>
  <w:style w:type="character" w:customStyle="1" w:styleId="CommentSubjectChar">
    <w:name w:val="Comment Subject Char"/>
    <w:basedOn w:val="CommentTextChar"/>
    <w:link w:val="CommentSubject"/>
    <w:uiPriority w:val="99"/>
    <w:semiHidden/>
    <w:rsid w:val="002C6782"/>
    <w:rPr>
      <w:b/>
      <w:bCs/>
      <w:sz w:val="20"/>
      <w:szCs w:val="20"/>
    </w:rPr>
  </w:style>
  <w:style w:type="paragraph" w:styleId="Revision">
    <w:name w:val="Revision"/>
    <w:hidden/>
    <w:uiPriority w:val="99"/>
    <w:semiHidden/>
    <w:rsid w:val="00CD5921"/>
    <w:pPr>
      <w:spacing w:after="0" w:line="240" w:lineRule="auto"/>
    </w:pPr>
  </w:style>
  <w:style w:type="character" w:customStyle="1" w:styleId="Heading1Char">
    <w:name w:val="Heading 1 Char"/>
    <w:basedOn w:val="DefaultParagraphFont"/>
    <w:link w:val="Heading1"/>
    <w:uiPriority w:val="2"/>
    <w:rsid w:val="00D923C0"/>
    <w:rPr>
      <w:rFonts w:ascii="Times New Roman" w:eastAsiaTheme="majorEastAsia" w:hAnsi="Times New Roman" w:cs="Times New Roman"/>
      <w:color w:val="24596E"/>
      <w:sz w:val="40"/>
      <w:szCs w:val="40"/>
      <w:lang w:eastAsia="en-AU"/>
    </w:rPr>
  </w:style>
  <w:style w:type="character" w:customStyle="1" w:styleId="Heading2Char">
    <w:name w:val="Heading 2 Char"/>
    <w:basedOn w:val="DefaultParagraphFont"/>
    <w:link w:val="Heading2"/>
    <w:uiPriority w:val="2"/>
    <w:rsid w:val="00D923C0"/>
    <w:rPr>
      <w:rFonts w:ascii="Times New Roman" w:eastAsiaTheme="majorEastAsia" w:hAnsi="Times New Roman" w:cs="Times New Roman"/>
      <w:color w:val="24596E"/>
      <w:spacing w:val="4"/>
      <w:sz w:val="32"/>
      <w:szCs w:val="40"/>
      <w:lang w:eastAsia="en-AU"/>
    </w:rPr>
  </w:style>
  <w:style w:type="paragraph" w:styleId="Title">
    <w:name w:val="Title"/>
    <w:basedOn w:val="Normal"/>
    <w:next w:val="Normal"/>
    <w:link w:val="TitleChar"/>
    <w:uiPriority w:val="10"/>
    <w:qFormat/>
    <w:rsid w:val="004674D2"/>
    <w:pPr>
      <w:spacing w:before="1440" w:after="180" w:line="240" w:lineRule="auto"/>
      <w:contextualSpacing/>
    </w:pPr>
    <w:rPr>
      <w:rFonts w:ascii="Georgia" w:eastAsiaTheme="majorEastAsia" w:hAnsi="Georgia" w:cstheme="majorBidi"/>
      <w:color w:val="24596E"/>
      <w:spacing w:val="5"/>
      <w:sz w:val="66"/>
      <w:szCs w:val="52"/>
      <w:lang w:eastAsia="en-AU"/>
    </w:rPr>
  </w:style>
  <w:style w:type="character" w:customStyle="1" w:styleId="TitleChar">
    <w:name w:val="Title Char"/>
    <w:basedOn w:val="DefaultParagraphFont"/>
    <w:link w:val="Title"/>
    <w:uiPriority w:val="10"/>
    <w:rsid w:val="004674D2"/>
    <w:rPr>
      <w:rFonts w:ascii="Georgia" w:eastAsiaTheme="majorEastAsia" w:hAnsi="Georgia" w:cstheme="majorBidi"/>
      <w:color w:val="24596E"/>
      <w:spacing w:val="5"/>
      <w:sz w:val="66"/>
      <w:szCs w:val="52"/>
      <w:lang w:eastAsia="en-AU"/>
    </w:rPr>
  </w:style>
  <w:style w:type="paragraph" w:customStyle="1" w:styleId="BodyNEW">
    <w:name w:val="Body NEW"/>
    <w:basedOn w:val="Normal"/>
    <w:uiPriority w:val="99"/>
    <w:rsid w:val="00F61F3A"/>
    <w:pPr>
      <w:autoSpaceDE w:val="0"/>
      <w:autoSpaceDN w:val="0"/>
      <w:adjustRightInd w:val="0"/>
      <w:spacing w:after="170" w:line="290" w:lineRule="atLeast"/>
      <w:jc w:val="both"/>
    </w:pPr>
    <w:rPr>
      <w:rFonts w:ascii="HelveticaNeueLT Std Lt" w:hAnsi="HelveticaNeueLT Std Lt" w:cs="HelveticaNeueLT Std Lt"/>
      <w:color w:val="000000"/>
      <w:sz w:val="20"/>
      <w:szCs w:val="20"/>
      <w:lang w:val="en-GB"/>
    </w:rPr>
  </w:style>
  <w:style w:type="paragraph" w:styleId="FootnoteText">
    <w:name w:val="footnote text"/>
    <w:basedOn w:val="Normal"/>
    <w:link w:val="FootnoteTextChar"/>
    <w:uiPriority w:val="99"/>
    <w:semiHidden/>
    <w:unhideWhenUsed/>
    <w:rsid w:val="00D961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6160"/>
    <w:rPr>
      <w:sz w:val="20"/>
      <w:szCs w:val="20"/>
    </w:rPr>
  </w:style>
  <w:style w:type="character" w:styleId="FootnoteReference">
    <w:name w:val="footnote reference"/>
    <w:basedOn w:val="DefaultParagraphFont"/>
    <w:uiPriority w:val="99"/>
    <w:semiHidden/>
    <w:unhideWhenUsed/>
    <w:rsid w:val="00D96160"/>
    <w:rPr>
      <w:vertAlign w:val="superscript"/>
    </w:rPr>
  </w:style>
  <w:style w:type="table" w:styleId="GridTable4-Accent3">
    <w:name w:val="Grid Table 4 Accent 3"/>
    <w:basedOn w:val="TableNormal"/>
    <w:uiPriority w:val="49"/>
    <w:rsid w:val="00CE24B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3E3926"/>
    <w:pPr>
      <w:widowControl w:val="0"/>
      <w:autoSpaceDE w:val="0"/>
      <w:autoSpaceDN w:val="0"/>
      <w:spacing w:after="0" w:line="240" w:lineRule="auto"/>
    </w:pPr>
    <w:rPr>
      <w:rFonts w:ascii="Arial" w:eastAsia="Arial" w:hAnsi="Arial" w:cs="Arial"/>
      <w:lang w:val="en-US"/>
    </w:rPr>
  </w:style>
  <w:style w:type="character" w:customStyle="1" w:styleId="Heading3Char">
    <w:name w:val="Heading 3 Char"/>
    <w:basedOn w:val="DefaultParagraphFont"/>
    <w:link w:val="Heading3"/>
    <w:uiPriority w:val="9"/>
    <w:rsid w:val="00D923C0"/>
    <w:rPr>
      <w:rFonts w:ascii="Times New Roman" w:hAnsi="Times New Roman" w:cs="Times New Roman"/>
      <w:color w:val="24596E"/>
      <w:spacing w:val="4"/>
      <w:sz w:val="2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44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gov.au/CrimeAndCorruption/FraudControl/Pages/FraudControlFramework.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finance.gov.au/comcover/risk-management/the-commonwealth-risk-management-policy/"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ance.gov.au/resource-management/performance/"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tectivesecurity.gov.au/Pages/default.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2E1D19FE3496A419725A14719CCF6B6" ma:contentTypeVersion="" ma:contentTypeDescription="PDMS Document Site Content Type" ma:contentTypeScope="" ma:versionID="286b844a2568187c8cc474b4c420fa8a">
  <xsd:schema xmlns:xsd="http://www.w3.org/2001/XMLSchema" xmlns:xs="http://www.w3.org/2001/XMLSchema" xmlns:p="http://schemas.microsoft.com/office/2006/metadata/properties" xmlns:ns2="FDFB1A17-9246-4A4E-8227-8AA7C71F95CE" targetNamespace="http://schemas.microsoft.com/office/2006/metadata/properties" ma:root="true" ma:fieldsID="ceae3dcb74662e9b77a4b24530dee154" ns2:_="">
    <xsd:import namespace="FDFB1A17-9246-4A4E-8227-8AA7C71F95C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1A17-9246-4A4E-8227-8AA7C71F95C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FDFB1A17-9246-4A4E-8227-8AA7C71F95CE" xsi:nil="true"/>
  </documentManagement>
</p:properties>
</file>

<file path=customXml/itemProps1.xml><?xml version="1.0" encoding="utf-8"?>
<ds:datastoreItem xmlns:ds="http://schemas.openxmlformats.org/officeDocument/2006/customXml" ds:itemID="{8AD10F54-F250-4840-822E-287D80AD2271}">
  <ds:schemaRefs>
    <ds:schemaRef ds:uri="http://schemas.microsoft.com/sharepoint/v3/contenttype/forms"/>
  </ds:schemaRefs>
</ds:datastoreItem>
</file>

<file path=customXml/itemProps2.xml><?xml version="1.0" encoding="utf-8"?>
<ds:datastoreItem xmlns:ds="http://schemas.openxmlformats.org/officeDocument/2006/customXml" ds:itemID="{EC0475D7-589B-4E1D-9571-E3C1078064CB}">
  <ds:schemaRefs>
    <ds:schemaRef ds:uri="http://schemas.openxmlformats.org/officeDocument/2006/bibliography"/>
  </ds:schemaRefs>
</ds:datastoreItem>
</file>

<file path=customXml/itemProps3.xml><?xml version="1.0" encoding="utf-8"?>
<ds:datastoreItem xmlns:ds="http://schemas.openxmlformats.org/officeDocument/2006/customXml" ds:itemID="{5861E17D-8812-4E29-8884-CEC1BDEA3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1A17-9246-4A4E-8227-8AA7C71F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F39C3-001B-412B-B948-C9E1C38C3F3B}">
  <ds:schemaRefs>
    <ds:schemaRef ds:uri="http://schemas.microsoft.com/office/2006/documentManagement/types"/>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 ds:uri="FDFB1A17-9246-4A4E-8227-8AA7C71F95C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7</Pages>
  <Words>2656</Words>
  <Characters>16047</Characters>
  <Application>Microsoft Office Word</Application>
  <DocSecurity>0</DocSecurity>
  <Lines>422</Lines>
  <Paragraphs>425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and Risk Committee Charter</dc:title>
  <dc:subject/>
  <dc:creator/>
  <cp:keywords>[SEC=OFFICIAL]</cp:keywords>
  <dc:description/>
  <cp:lastModifiedBy>MILLER, Vicky</cp:lastModifiedBy>
  <cp:revision>9</cp:revision>
  <cp:lastPrinted>2021-05-06T00:48:00Z</cp:lastPrinted>
  <dcterms:created xsi:type="dcterms:W3CDTF">2025-12-14T22:48:00Z</dcterms:created>
  <dcterms:modified xsi:type="dcterms:W3CDTF">2026-01-01T21:44:00Z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0x010100266966F133664895A6EE3632470D45F500B2E1D19FE3496A419725A14719CCF6B6</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335F6CCFABFB46E992DB129F2216EC35</vt:lpwstr>
  </property>
  <property fmtid="{D5CDD505-2E9C-101B-9397-08002B2CF9AE}" pid="10" name="PM_ProtectiveMarkingValue_Footer">
    <vt:lpwstr>OFFICIAL</vt:lpwstr>
  </property>
  <property fmtid="{D5CDD505-2E9C-101B-9397-08002B2CF9AE}" pid="11" name="PM_Originator_Hash_SHA1">
    <vt:lpwstr>0DD8ABEF265912D6621FF293CF3D7CFABEC45F40</vt:lpwstr>
  </property>
  <property fmtid="{D5CDD505-2E9C-101B-9397-08002B2CF9AE}" pid="12" name="PM_OriginationTimeStamp">
    <vt:lpwstr>2022-08-16T00:04:03Z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Display">
    <vt:lpwstr>OFFICIAL</vt:lpwstr>
  </property>
  <property fmtid="{D5CDD505-2E9C-101B-9397-08002B2CF9AE}" pid="20" name="PM_Hash_Version">
    <vt:lpwstr>2024.1</vt:lpwstr>
  </property>
  <property fmtid="{D5CDD505-2E9C-101B-9397-08002B2CF9AE}" pid="21" name="PM_Hash_Salt_Prev">
    <vt:lpwstr>79654929C8261CD9034D54F2FBFAF610</vt:lpwstr>
  </property>
  <property fmtid="{D5CDD505-2E9C-101B-9397-08002B2CF9AE}" pid="22" name="PM_Hash_Salt">
    <vt:lpwstr>84603E768123DDD83DCD30B2AB4EA415</vt:lpwstr>
  </property>
  <property fmtid="{D5CDD505-2E9C-101B-9397-08002B2CF9AE}" pid="23" name="PM_Hash_SHA1">
    <vt:lpwstr>43D2F011EE428427DEB4866BB849F5F4A11662D5</vt:lpwstr>
  </property>
  <property fmtid="{D5CDD505-2E9C-101B-9397-08002B2CF9AE}" pid="24" name="PM_OriginatorUserAccountName_SHA256">
    <vt:lpwstr>9871F6CFFBF84B5DD096BCB24488EABDE9250CEAA716568F68B24D42DED533FD</vt:lpwstr>
  </property>
  <property fmtid="{D5CDD505-2E9C-101B-9397-08002B2CF9AE}" pid="25" name="PM_OriginatorDomainName_SHA256">
    <vt:lpwstr>E83A2A66C4061446A7E3732E8D44762184B6B377D962B96C83DC624302585857</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PMHMAC">
    <vt:lpwstr>v=2024.1;a=SHA256;h=EA8A26992798A1727924E65D7E211010685AD0D3FE51CC9065746D10D6694D9D</vt:lpwstr>
  </property>
  <property fmtid="{D5CDD505-2E9C-101B-9397-08002B2CF9AE}" pid="29" name="MSIP_Label_eb34d90b-fc41-464d-af60-f74d721d0790_SetDate">
    <vt:lpwstr>2022-08-16T00:04:03Z</vt:lpwstr>
  </property>
  <property fmtid="{D5CDD505-2E9C-101B-9397-08002B2CF9AE}" pid="30" name="MSIP_Label_eb34d90b-fc41-464d-af60-f74d721d0790_Name">
    <vt:lpwstr>OFFICIAL</vt:lpwstr>
  </property>
  <property fmtid="{D5CDD505-2E9C-101B-9397-08002B2CF9AE}" pid="31" name="MSIP_Label_eb34d90b-fc41-464d-af60-f74d721d0790_SiteId">
    <vt:lpwstr>61e36dd1-ca6e-4d61-aa0a-2b4eb88317a3</vt:lpwstr>
  </property>
  <property fmtid="{D5CDD505-2E9C-101B-9397-08002B2CF9AE}" pid="32" name="MSIP_Label_eb34d90b-fc41-464d-af60-f74d721d0790_ContentBits">
    <vt:lpwstr>3</vt:lpwstr>
  </property>
  <property fmtid="{D5CDD505-2E9C-101B-9397-08002B2CF9AE}" pid="33" name="MSIP_Label_eb34d90b-fc41-464d-af60-f74d721d0790_Enabled">
    <vt:lpwstr>true</vt:lpwstr>
  </property>
  <property fmtid="{D5CDD505-2E9C-101B-9397-08002B2CF9AE}" pid="34" name="MSIP_Label_eb34d90b-fc41-464d-af60-f74d721d0790_Method">
    <vt:lpwstr>Privileged</vt:lpwstr>
  </property>
  <property fmtid="{D5CDD505-2E9C-101B-9397-08002B2CF9AE}" pid="35" name="MSIP_Label_eb34d90b-fc41-464d-af60-f74d721d0790_ActionId">
    <vt:lpwstr>1640a3f920c34042a1b5a1f0351e23e7</vt:lpwstr>
  </property>
  <property fmtid="{D5CDD505-2E9C-101B-9397-08002B2CF9AE}" pid="36" name="PMUuid">
    <vt:lpwstr>v=2022.2;d=gov.au;g=46DD6D7C-8107-577B-BC6E-F348953B2E44</vt:lpwstr>
  </property>
  <property fmtid="{D5CDD505-2E9C-101B-9397-08002B2CF9AE}" pid="37" name="PM_Expires">
    <vt:lpwstr/>
  </property>
  <property fmtid="{D5CDD505-2E9C-101B-9397-08002B2CF9AE}" pid="38" name="PM_DownTo">
    <vt:lpwstr/>
  </property>
  <property fmtid="{D5CDD505-2E9C-101B-9397-08002B2CF9AE}" pid="39" name="PM_DowngradeTo">
    <vt:lpwstr/>
  </property>
</Properties>
</file>