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AB9A" w14:textId="77777777" w:rsidR="00AD4D68" w:rsidRDefault="00AD4D68" w:rsidP="00B7052F">
      <w:pPr>
        <w:jc w:val="center"/>
      </w:pPr>
      <w:r w:rsidRPr="0034490A">
        <w:rPr>
          <w:noProof/>
        </w:rPr>
        <w:drawing>
          <wp:inline distT="0" distB="0" distL="0" distR="0" wp14:anchorId="5170EC85" wp14:editId="742E8B32">
            <wp:extent cx="2213375" cy="1181100"/>
            <wp:effectExtent l="0" t="0" r="0" b="0"/>
            <wp:docPr id="2" name="Picture 2" descr="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32" cy="118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9A6D2" w14:textId="77777777" w:rsidR="00B7052F" w:rsidRPr="00B7052F" w:rsidRDefault="00B7052F" w:rsidP="00CF5A02">
      <w:pPr>
        <w:pBdr>
          <w:bottom w:val="single" w:sz="12" w:space="1" w:color="auto"/>
        </w:pBdr>
        <w:spacing w:before="1920"/>
        <w:rPr>
          <w:b/>
        </w:rPr>
      </w:pPr>
    </w:p>
    <w:p w14:paraId="25C18CE0" w14:textId="77777777" w:rsidR="00B7052F" w:rsidRPr="00B7052F" w:rsidRDefault="00B7052F" w:rsidP="003D7ED5">
      <w:pPr>
        <w:rPr>
          <w:b/>
        </w:rPr>
      </w:pPr>
    </w:p>
    <w:p w14:paraId="0D4624E6" w14:textId="77777777" w:rsidR="007D2CA4" w:rsidRPr="00B0372A" w:rsidRDefault="007D2CA4" w:rsidP="00672259">
      <w:pPr>
        <w:pStyle w:val="Heading1"/>
        <w:numPr>
          <w:ilvl w:val="0"/>
          <w:numId w:val="0"/>
        </w:numPr>
        <w:jc w:val="center"/>
      </w:pPr>
      <w:bookmarkStart w:id="0" w:name="_Toc207282674"/>
      <w:r w:rsidRPr="00B0372A">
        <w:t>Operational Guidelines</w:t>
      </w:r>
      <w:bookmarkEnd w:id="0"/>
    </w:p>
    <w:p w14:paraId="570255E2" w14:textId="77777777" w:rsidR="007D2CA4" w:rsidRPr="00B0372A" w:rsidRDefault="007D2CA4" w:rsidP="00672259">
      <w:pPr>
        <w:pStyle w:val="Heading1"/>
        <w:numPr>
          <w:ilvl w:val="0"/>
          <w:numId w:val="0"/>
        </w:numPr>
        <w:jc w:val="center"/>
      </w:pPr>
      <w:bookmarkStart w:id="1" w:name="_Toc207282675"/>
      <w:r w:rsidRPr="00B0372A">
        <w:t>Individual Placement and Support Program</w:t>
      </w:r>
      <w:bookmarkEnd w:id="1"/>
    </w:p>
    <w:p w14:paraId="0FA5A023" w14:textId="77777777" w:rsidR="008C444C" w:rsidRPr="00B0372A" w:rsidRDefault="008C444C" w:rsidP="00672259">
      <w:pPr>
        <w:pStyle w:val="Heading1"/>
        <w:numPr>
          <w:ilvl w:val="0"/>
          <w:numId w:val="0"/>
        </w:numPr>
        <w:jc w:val="center"/>
      </w:pPr>
      <w:bookmarkStart w:id="2" w:name="_Toc207282676"/>
      <w:r w:rsidRPr="00B0372A">
        <w:t>Adult Mental Health Pilot</w:t>
      </w:r>
      <w:bookmarkEnd w:id="2"/>
    </w:p>
    <w:p w14:paraId="5FFD1ACE" w14:textId="5C6B0140" w:rsidR="00AD4D68" w:rsidRDefault="6A09053E" w:rsidP="00672259">
      <w:pPr>
        <w:pStyle w:val="Heading1"/>
        <w:numPr>
          <w:ilvl w:val="0"/>
          <w:numId w:val="0"/>
        </w:numPr>
        <w:jc w:val="center"/>
      </w:pPr>
      <w:bookmarkStart w:id="3" w:name="_Toc207282677"/>
      <w:r>
        <w:t>August</w:t>
      </w:r>
      <w:r w:rsidR="00F80F46">
        <w:t xml:space="preserve"> 2025</w:t>
      </w:r>
      <w:bookmarkEnd w:id="3"/>
    </w:p>
    <w:p w14:paraId="0BFA449B" w14:textId="77777777" w:rsidR="00B0372A" w:rsidRPr="00B7052F" w:rsidRDefault="00B0372A" w:rsidP="00B0372A">
      <w:pPr>
        <w:pBdr>
          <w:bottom w:val="single" w:sz="12" w:space="1" w:color="auto"/>
        </w:pBdr>
        <w:rPr>
          <w:b/>
        </w:rPr>
      </w:pPr>
    </w:p>
    <w:p w14:paraId="1B2693C6" w14:textId="77777777" w:rsidR="00B0372A" w:rsidRPr="00B7052F" w:rsidRDefault="00B0372A" w:rsidP="00B0372A">
      <w:pPr>
        <w:pStyle w:val="Titlepage"/>
        <w:jc w:val="left"/>
      </w:pPr>
    </w:p>
    <w:p w14:paraId="31FFE5E0" w14:textId="77777777" w:rsidR="00B7052F" w:rsidRPr="00B7052F" w:rsidRDefault="00B7052F" w:rsidP="00B7052F">
      <w:pPr>
        <w:jc w:val="center"/>
        <w:rPr>
          <w:b/>
        </w:rPr>
      </w:pPr>
    </w:p>
    <w:p w14:paraId="41229F23" w14:textId="77777777" w:rsidR="00AD4D68" w:rsidRPr="00207AD0" w:rsidRDefault="00AD4D68" w:rsidP="003D7ED5">
      <w:r w:rsidRPr="00B7052F">
        <w:rPr>
          <w:b/>
        </w:rPr>
        <w:br/>
      </w:r>
      <w:r w:rsidRPr="00A327BD">
        <w:t>DSS</w:t>
      </w:r>
      <w:r w:rsidRPr="00F1589E">
        <w:rPr>
          <w:highlight w:val="yellow"/>
        </w:rPr>
        <w:t xml:space="preserve"> </w:t>
      </w:r>
    </w:p>
    <w:p w14:paraId="683FD69B" w14:textId="77777777" w:rsidR="00AD4D68" w:rsidRPr="00E92EEC" w:rsidRDefault="00AD4D68" w:rsidP="003D7ED5"/>
    <w:p w14:paraId="7418F0CA" w14:textId="77777777" w:rsidR="00AD4D68" w:rsidRPr="0034490A" w:rsidRDefault="00AD4D68" w:rsidP="003D7ED5">
      <w:pPr>
        <w:sectPr w:rsidR="00AD4D68" w:rsidRPr="0034490A" w:rsidSect="00DC2313">
          <w:footerReference w:type="default" r:id="rId12"/>
          <w:pgSz w:w="11906" w:h="16838"/>
          <w:pgMar w:top="1440" w:right="1274" w:bottom="1440" w:left="1276" w:header="283" w:footer="0" w:gutter="0"/>
          <w:cols w:space="708"/>
          <w:titlePg/>
          <w:docGrid w:linePitch="360"/>
        </w:sectPr>
      </w:pPr>
    </w:p>
    <w:p w14:paraId="7BDA7894" w14:textId="77777777" w:rsidR="00AD4D68" w:rsidRPr="0034490A" w:rsidRDefault="00AD4D68" w:rsidP="00C85DEB">
      <w:pPr>
        <w:spacing w:before="5360" w:line="240" w:lineRule="auto"/>
        <w:jc w:val="center"/>
        <w:sectPr w:rsidR="00AD4D68" w:rsidRPr="0034490A" w:rsidSect="009C4B0A">
          <w:headerReference w:type="default" r:id="rId13"/>
          <w:footerReference w:type="first" r:id="rId14"/>
          <w:pgSz w:w="11906" w:h="16838"/>
          <w:pgMar w:top="1134" w:right="1133" w:bottom="1418" w:left="1134" w:header="284" w:footer="459" w:gutter="0"/>
          <w:pgNumType w:start="1"/>
          <w:cols w:space="708"/>
          <w:titlePg/>
          <w:docGrid w:linePitch="360"/>
        </w:sectPr>
      </w:pPr>
      <w:r w:rsidRPr="0034490A">
        <w:lastRenderedPageBreak/>
        <w:t>THIS PAGE HAS BEEN INTENTIONALLY LEFT BLANK</w:t>
      </w:r>
    </w:p>
    <w:p w14:paraId="0750C812" w14:textId="77777777" w:rsidR="00AD4D68" w:rsidRPr="00B0372A" w:rsidRDefault="00AD4D68" w:rsidP="00672259">
      <w:pPr>
        <w:pStyle w:val="Heading2"/>
        <w:numPr>
          <w:ilvl w:val="0"/>
          <w:numId w:val="0"/>
        </w:numPr>
      </w:pPr>
      <w:bookmarkStart w:id="4" w:name="_Toc207282678"/>
      <w:r w:rsidRPr="00B0372A">
        <w:lastRenderedPageBreak/>
        <w:t>Preface</w:t>
      </w:r>
      <w:bookmarkEnd w:id="4"/>
    </w:p>
    <w:p w14:paraId="41180938" w14:textId="37806BB2" w:rsidR="007D2CA4" w:rsidRPr="00375270" w:rsidRDefault="007D2CA4" w:rsidP="003D7ED5">
      <w:r w:rsidRPr="00BD2182">
        <w:t xml:space="preserve">The Australian Government Department of Social Services (the </w:t>
      </w:r>
      <w:r w:rsidR="00B8500A">
        <w:t>Department</w:t>
      </w:r>
      <w:r w:rsidRPr="00BD2182">
        <w:t xml:space="preserve">) has a suite </w:t>
      </w:r>
      <w:r>
        <w:t>of Program</w:t>
      </w:r>
      <w:r w:rsidRPr="00375270">
        <w:t xml:space="preserve"> Guidelines</w:t>
      </w:r>
      <w:r>
        <w:t>,</w:t>
      </w:r>
      <w:r w:rsidRPr="00375270">
        <w:t xml:space="preserve"> which provide </w:t>
      </w:r>
      <w:r>
        <w:t>information about each Program</w:t>
      </w:r>
      <w:r w:rsidRPr="00375270">
        <w:t xml:space="preserve"> that provides grants funding, and the Activities that</w:t>
      </w:r>
      <w:r>
        <w:t xml:space="preserve"> contribute to that Program</w:t>
      </w:r>
      <w:r w:rsidRPr="00375270">
        <w:t>. They provide the key starting point for parties considering wheth</w:t>
      </w:r>
      <w:r>
        <w:t>er to participate in a Program</w:t>
      </w:r>
      <w:r w:rsidRPr="00375270">
        <w:t xml:space="preserve"> and form the basis for the business</w:t>
      </w:r>
      <w:r>
        <w:t xml:space="preserve"> relationship between the </w:t>
      </w:r>
      <w:r w:rsidR="00B8500A">
        <w:t>Department</w:t>
      </w:r>
      <w:r w:rsidRPr="00375270">
        <w:t xml:space="preserve"> and the grant recipient.</w:t>
      </w:r>
    </w:p>
    <w:p w14:paraId="52268967" w14:textId="7E778A20" w:rsidR="007739FA" w:rsidRDefault="007D2CA4" w:rsidP="003D7ED5">
      <w:r>
        <w:t xml:space="preserve">These Operational Guidelines are to assist organisations delivering </w:t>
      </w:r>
      <w:r w:rsidR="4FF48885">
        <w:t xml:space="preserve">the </w:t>
      </w:r>
      <w:r>
        <w:t>Individual Placement and Support (IPS)</w:t>
      </w:r>
      <w:r w:rsidR="00BD2182">
        <w:t xml:space="preserve"> </w:t>
      </w:r>
      <w:r w:rsidR="00CB254F">
        <w:t xml:space="preserve">Adult Mental Health (AMH) pilot </w:t>
      </w:r>
      <w:r w:rsidR="00437CF2">
        <w:t>in</w:t>
      </w:r>
      <w:r w:rsidR="0054384E">
        <w:t xml:space="preserve"> </w:t>
      </w:r>
      <w:r w:rsidR="00976892">
        <w:t>Medicare Mental Health (MMH)</w:t>
      </w:r>
      <w:r w:rsidR="00365A6F">
        <w:t xml:space="preserve"> </w:t>
      </w:r>
      <w:r w:rsidR="00BD2182">
        <w:t>centres</w:t>
      </w:r>
      <w:r w:rsidR="007739FA">
        <w:t xml:space="preserve"> </w:t>
      </w:r>
      <w:r w:rsidR="00A864AC">
        <w:t>and</w:t>
      </w:r>
      <w:r w:rsidR="007739FA">
        <w:t xml:space="preserve"> contributes to Outcome 3 – Disability and Carers under Program 3.1 – Disability and Carers of the </w:t>
      </w:r>
      <w:r w:rsidR="00B8500A">
        <w:t>Department</w:t>
      </w:r>
      <w:r w:rsidR="007739FA">
        <w:t xml:space="preserve">’s Portfolio Budget Statement. </w:t>
      </w:r>
    </w:p>
    <w:p w14:paraId="2B720903" w14:textId="65EA5163" w:rsidR="007D2CA4" w:rsidRPr="00440C43" w:rsidRDefault="007D2CA4" w:rsidP="003D7ED5">
      <w:r w:rsidRPr="00BD2182">
        <w:t xml:space="preserve">This document and the Grant Agreement form the basis of the business relationship between the </w:t>
      </w:r>
      <w:r w:rsidR="00B8500A">
        <w:t>Department</w:t>
      </w:r>
      <w:r w:rsidRPr="00BD2182">
        <w:t xml:space="preserve"> and service providers.</w:t>
      </w:r>
      <w:r w:rsidRPr="00BA19AC">
        <w:t xml:space="preserve"> </w:t>
      </w:r>
      <w:r w:rsidRPr="00440C43">
        <w:t>The Operational Guidelines include:</w:t>
      </w:r>
    </w:p>
    <w:p w14:paraId="50D094B3" w14:textId="77777777" w:rsidR="00950901" w:rsidRDefault="003157EC" w:rsidP="00411004">
      <w:pPr>
        <w:pStyle w:val="ListParagraph"/>
        <w:numPr>
          <w:ilvl w:val="0"/>
          <w:numId w:val="5"/>
        </w:numPr>
      </w:pPr>
      <w:r>
        <w:t>a</w:t>
      </w:r>
      <w:r w:rsidR="00950901">
        <w:t>n overview of the IPS program</w:t>
      </w:r>
    </w:p>
    <w:p w14:paraId="6CE58458" w14:textId="77777777" w:rsidR="00365A6F" w:rsidRPr="00440C43" w:rsidRDefault="00365A6F" w:rsidP="00411004">
      <w:pPr>
        <w:pStyle w:val="ListParagraph"/>
        <w:numPr>
          <w:ilvl w:val="0"/>
          <w:numId w:val="5"/>
        </w:numPr>
      </w:pPr>
      <w:r>
        <w:t>the purpose of the AMH pilot</w:t>
      </w:r>
    </w:p>
    <w:p w14:paraId="3C1324B2" w14:textId="77777777" w:rsidR="007D2CA4" w:rsidRPr="00440C43" w:rsidRDefault="007D2CA4" w:rsidP="00411004">
      <w:pPr>
        <w:pStyle w:val="ListParagraph"/>
        <w:numPr>
          <w:ilvl w:val="0"/>
          <w:numId w:val="5"/>
        </w:numPr>
      </w:pPr>
      <w:r w:rsidRPr="00440C43">
        <w:t xml:space="preserve">the role and expectations of </w:t>
      </w:r>
      <w:r w:rsidR="0054384E">
        <w:t>organisations delivering IPS services through the AMH pilot</w:t>
      </w:r>
      <w:r w:rsidR="000906C8">
        <w:t xml:space="preserve"> (AMH providers)</w:t>
      </w:r>
      <w:r w:rsidR="00016632">
        <w:t>; and</w:t>
      </w:r>
      <w:r w:rsidR="0054384E">
        <w:t xml:space="preserve"> </w:t>
      </w:r>
    </w:p>
    <w:p w14:paraId="45739CE7" w14:textId="77777777" w:rsidR="007D2CA4" w:rsidRPr="00440C43" w:rsidRDefault="007D2CA4" w:rsidP="00411004">
      <w:pPr>
        <w:pStyle w:val="ListParagraph"/>
        <w:numPr>
          <w:ilvl w:val="0"/>
          <w:numId w:val="5"/>
        </w:numPr>
      </w:pPr>
      <w:r w:rsidRPr="00440C43">
        <w:t xml:space="preserve">information pertinent to the successful delivery of </w:t>
      </w:r>
      <w:r w:rsidR="003710F5">
        <w:t xml:space="preserve">IPS services through </w:t>
      </w:r>
      <w:r w:rsidRPr="00440C43">
        <w:t xml:space="preserve">the </w:t>
      </w:r>
      <w:r w:rsidR="00365A6F">
        <w:t>AMH pilot.</w:t>
      </w:r>
    </w:p>
    <w:p w14:paraId="7F571465" w14:textId="218585D3" w:rsidR="007D2CA4" w:rsidRDefault="007D2CA4" w:rsidP="00474238">
      <w:r w:rsidRPr="00440C43">
        <w:t xml:space="preserve">The Operational Guidelines are a living document. As additional issues arise and policy clarifications are developed, updates will be made to these Operational Guidelines. </w:t>
      </w:r>
      <w:r w:rsidR="00DB6313">
        <w:t xml:space="preserve"> </w:t>
      </w:r>
      <w:r w:rsidRPr="00440C43">
        <w:t>The</w:t>
      </w:r>
      <w:r>
        <w:t> </w:t>
      </w:r>
      <w:r w:rsidR="00B8500A">
        <w:t>Department</w:t>
      </w:r>
      <w:r w:rsidRPr="00440C43">
        <w:t xml:space="preserve"> reserves the right to amend the Operational Guidelines, by whatever means it</w:t>
      </w:r>
      <w:r>
        <w:t> </w:t>
      </w:r>
      <w:r w:rsidRPr="00440C43">
        <w:t>may determine in its absolute discretion and will provide reasonable notice of these amendments</w:t>
      </w:r>
      <w:r w:rsidR="00732BF0">
        <w:t xml:space="preserve"> where possible</w:t>
      </w:r>
      <w:r w:rsidRPr="00440C43">
        <w:t>.</w:t>
      </w:r>
    </w:p>
    <w:p w14:paraId="4AB655A9" w14:textId="77777777" w:rsidR="007D2CA4" w:rsidRPr="00440C43" w:rsidRDefault="007D2CA4" w:rsidP="003D7ED5">
      <w:r w:rsidRPr="00440C43">
        <w:t>The Operational Guidelines should be read in conjunction with the:</w:t>
      </w:r>
    </w:p>
    <w:p w14:paraId="50010EAF" w14:textId="77777777" w:rsidR="007D2CA4" w:rsidRPr="00440C43" w:rsidRDefault="007D2CA4" w:rsidP="00411004">
      <w:pPr>
        <w:pStyle w:val="ListParagraph"/>
        <w:numPr>
          <w:ilvl w:val="0"/>
          <w:numId w:val="5"/>
        </w:numPr>
      </w:pPr>
      <w:r w:rsidRPr="00440C43">
        <w:t>Grant Agreement (including Schedule 1)</w:t>
      </w:r>
    </w:p>
    <w:p w14:paraId="539D24B1" w14:textId="77777777" w:rsidR="007D2CA4" w:rsidRPr="00440C43" w:rsidRDefault="007D2CA4" w:rsidP="00411004">
      <w:pPr>
        <w:pStyle w:val="ListParagraph"/>
        <w:numPr>
          <w:ilvl w:val="0"/>
          <w:numId w:val="5"/>
        </w:numPr>
      </w:pPr>
      <w:r w:rsidRPr="00440C43">
        <w:t>Grant Opp</w:t>
      </w:r>
      <w:r>
        <w:t>ortunity Guidelines</w:t>
      </w:r>
      <w:r w:rsidR="00CB6BA0">
        <w:t>; and</w:t>
      </w:r>
    </w:p>
    <w:p w14:paraId="4E958154" w14:textId="2511B819" w:rsidR="007D2CA4" w:rsidRPr="00440C43" w:rsidRDefault="007D2CA4" w:rsidP="00411004">
      <w:pPr>
        <w:pStyle w:val="ListParagraph"/>
        <w:numPr>
          <w:ilvl w:val="0"/>
          <w:numId w:val="5"/>
        </w:numPr>
      </w:pPr>
      <w:r>
        <w:t>Data Exchange Protocols (for Commonwealth Agencies with program guidance)</w:t>
      </w:r>
      <w:r w:rsidR="00CB6BA0">
        <w:t>.</w:t>
      </w:r>
    </w:p>
    <w:p w14:paraId="588F43FD" w14:textId="77777777" w:rsidR="006005B5" w:rsidRDefault="007D2CA4" w:rsidP="003D7ED5">
      <w:r w:rsidRPr="00440C43">
        <w:t xml:space="preserve">It is the responsibility of each </w:t>
      </w:r>
      <w:r w:rsidR="007739FA">
        <w:t>AMH</w:t>
      </w:r>
      <w:r w:rsidR="004574F4">
        <w:t xml:space="preserve"> </w:t>
      </w:r>
      <w:r w:rsidRPr="00440C43">
        <w:t>provider to ensure they are familiar with the content and requirements of these Operational Guidelines.</w:t>
      </w:r>
    </w:p>
    <w:p w14:paraId="0B301DE6" w14:textId="77777777" w:rsidR="006005B5" w:rsidRPr="00B0372A" w:rsidRDefault="006005B5" w:rsidP="00672259">
      <w:pPr>
        <w:pStyle w:val="Heading2"/>
        <w:numPr>
          <w:ilvl w:val="0"/>
          <w:numId w:val="0"/>
        </w:numPr>
      </w:pPr>
      <w:bookmarkStart w:id="5" w:name="_Toc207282679"/>
      <w:r w:rsidRPr="00B0372A">
        <w:t xml:space="preserve">Further Information about the </w:t>
      </w:r>
      <w:r w:rsidR="007739FA" w:rsidRPr="00B0372A">
        <w:t>AMH pilot</w:t>
      </w:r>
      <w:bookmarkEnd w:id="5"/>
    </w:p>
    <w:p w14:paraId="4FF7C3FD" w14:textId="1FAA4BCC" w:rsidR="006005B5" w:rsidRDefault="006005B5" w:rsidP="006005B5">
      <w:pPr>
        <w:rPr>
          <w:lang w:val="en-GB"/>
        </w:rPr>
      </w:pPr>
      <w:r w:rsidRPr="4D0FA1A2">
        <w:rPr>
          <w:lang w:val="en-GB"/>
        </w:rPr>
        <w:t xml:space="preserve">The Funding Arrangement Managers are the first point of call for contact with the </w:t>
      </w:r>
      <w:r w:rsidR="00B8500A" w:rsidRPr="4D0FA1A2">
        <w:rPr>
          <w:lang w:val="en-GB"/>
        </w:rPr>
        <w:t>Department</w:t>
      </w:r>
      <w:r w:rsidRPr="4D0FA1A2">
        <w:rPr>
          <w:lang w:val="en-GB"/>
        </w:rPr>
        <w:t>. They will provide assistance with queries relating to the administration of grant agreements, delivery of services, data and reporting, or any new issues that arise under these Operational Guidelines.</w:t>
      </w:r>
    </w:p>
    <w:p w14:paraId="6F26AD07" w14:textId="4A28DF36" w:rsidR="006005B5" w:rsidRDefault="006005B5" w:rsidP="006005B5">
      <w:pPr>
        <w:rPr>
          <w:lang w:val="en-GB"/>
        </w:rPr>
      </w:pPr>
      <w:r w:rsidRPr="4D0FA1A2">
        <w:rPr>
          <w:lang w:val="en-GB"/>
        </w:rPr>
        <w:t>If you do not know the contact detail</w:t>
      </w:r>
      <w:r w:rsidR="00041830" w:rsidRPr="4D0FA1A2">
        <w:rPr>
          <w:lang w:val="en-GB"/>
        </w:rPr>
        <w:t>s</w:t>
      </w:r>
      <w:r w:rsidRPr="4D0FA1A2">
        <w:rPr>
          <w:lang w:val="en-GB"/>
        </w:rPr>
        <w:t xml:space="preserve"> for your Funding Agreement Manager—please contact the Community Grants Hub:</w:t>
      </w:r>
    </w:p>
    <w:p w14:paraId="39C8E9DE" w14:textId="77777777" w:rsidR="006005B5" w:rsidRPr="00EE7F7B" w:rsidRDefault="006005B5" w:rsidP="00411004">
      <w:pPr>
        <w:pStyle w:val="ListParagraph"/>
        <w:numPr>
          <w:ilvl w:val="0"/>
          <w:numId w:val="5"/>
        </w:numPr>
      </w:pPr>
      <w:r w:rsidRPr="00EE7F7B">
        <w:t xml:space="preserve">via telephone on </w:t>
      </w:r>
      <w:hyperlink r:id="rId15" w:history="1">
        <w:r w:rsidRPr="00D245E8">
          <w:rPr>
            <w:rStyle w:val="Hyperlink"/>
            <w:u w:val="none"/>
          </w:rPr>
          <w:t>1800 020 283</w:t>
        </w:r>
      </w:hyperlink>
      <w:r w:rsidRPr="00EE7F7B">
        <w:t xml:space="preserve"> (option 1) </w:t>
      </w:r>
    </w:p>
    <w:p w14:paraId="6BC0BB18" w14:textId="596DCF41" w:rsidR="006005B5" w:rsidRPr="00EE7F7B" w:rsidRDefault="006005B5" w:rsidP="00411004">
      <w:pPr>
        <w:pStyle w:val="ListParagraph"/>
        <w:numPr>
          <w:ilvl w:val="0"/>
          <w:numId w:val="5"/>
        </w:numPr>
      </w:pPr>
      <w:r w:rsidRPr="00EE7F7B">
        <w:t>via email to</w:t>
      </w:r>
      <w:r w:rsidR="00D245E8">
        <w:t>:</w:t>
      </w:r>
      <w:r w:rsidRPr="00EE7F7B">
        <w:t xml:space="preserve"> </w:t>
      </w:r>
      <w:hyperlink r:id="rId16" w:history="1">
        <w:r w:rsidR="00D245E8" w:rsidRPr="00FE3C61">
          <w:rPr>
            <w:rStyle w:val="Hyperlink"/>
          </w:rPr>
          <w:t>support@communitygrants.gov.au</w:t>
        </w:r>
      </w:hyperlink>
      <w:r w:rsidRPr="00EE7F7B">
        <w:t>.</w:t>
      </w:r>
    </w:p>
    <w:p w14:paraId="5BD67291" w14:textId="77777777" w:rsidR="00AD4D68" w:rsidRPr="007D2CA4" w:rsidRDefault="00AD4D68" w:rsidP="003D7ED5">
      <w:r w:rsidRPr="0034490A">
        <w:rPr>
          <w:sz w:val="20"/>
        </w:rPr>
        <w:br w:type="page"/>
      </w:r>
    </w:p>
    <w:sdt>
      <w:sdtPr>
        <w:rPr>
          <w:rFonts w:eastAsia="Times New Roman" w:cs="Arial"/>
          <w:b w:val="0"/>
          <w:bCs w:val="0"/>
          <w:color w:val="auto"/>
          <w:sz w:val="22"/>
          <w:szCs w:val="22"/>
          <w:lang w:bidi="ar-SA"/>
        </w:rPr>
        <w:id w:val="205041224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DC494A4" w14:textId="56A6190B" w:rsidR="00A12077" w:rsidRDefault="00A12077" w:rsidP="00A12077">
          <w:pPr>
            <w:pStyle w:val="TOCHeading"/>
            <w:numPr>
              <w:ilvl w:val="0"/>
              <w:numId w:val="0"/>
            </w:numPr>
            <w:ind w:left="567" w:hanging="567"/>
          </w:pPr>
          <w:r>
            <w:t>Contents</w:t>
          </w:r>
        </w:p>
        <w:p w14:paraId="5B51F097" w14:textId="5F97C10C" w:rsidR="00A12077" w:rsidRDefault="00A12077" w:rsidP="00A12077">
          <w:pPr>
            <w:pStyle w:val="TOC1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282680" w:history="1">
            <w:r w:rsidRPr="00684DF9">
              <w:rPr>
                <w:rStyle w:val="Hyperlink"/>
                <w:b/>
                <w:bCs/>
                <w:noProof/>
              </w:rPr>
              <w:t>1</w:t>
            </w:r>
            <w:r w:rsidR="00684DF9">
              <w:rPr>
                <w:rStyle w:val="Hyperlink"/>
                <w:b/>
                <w:bCs/>
                <w:noProof/>
              </w:rPr>
              <w:t xml:space="preserve">    </w:t>
            </w:r>
            <w:r w:rsidRPr="00E54949">
              <w:rPr>
                <w:rStyle w:val="Hyperlink"/>
                <w:noProof/>
              </w:rPr>
              <w:t>Individual Placement and Support (IPS) program - Adult Mental Health (AMH) pilot</w:t>
            </w:r>
            <w:r>
              <w:rPr>
                <w:noProof/>
                <w:webHidden/>
              </w:rPr>
              <w:tab/>
              <w:t>4</w:t>
            </w:r>
          </w:hyperlink>
        </w:p>
        <w:p w14:paraId="7187A4C6" w14:textId="5475D608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81" w:history="1">
            <w:r w:rsidRPr="00E54949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Overview of the IPS program delivered in headspace centres to young people</w:t>
            </w:r>
            <w:r>
              <w:rPr>
                <w:noProof/>
                <w:webHidden/>
              </w:rPr>
              <w:tab/>
              <w:t>4</w:t>
            </w:r>
          </w:hyperlink>
        </w:p>
        <w:p w14:paraId="7BC92A8D" w14:textId="01B68EB9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82" w:history="1">
            <w:r w:rsidRPr="00E54949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The AMH pilot</w:t>
            </w:r>
            <w:r>
              <w:rPr>
                <w:noProof/>
                <w:webHidden/>
              </w:rPr>
              <w:tab/>
              <w:t>4</w:t>
            </w:r>
          </w:hyperlink>
        </w:p>
        <w:p w14:paraId="6F724F57" w14:textId="2B5EC30B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83" w:history="1">
            <w:r w:rsidRPr="00E54949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Access to the AMH pilot</w:t>
            </w:r>
            <w:r>
              <w:rPr>
                <w:noProof/>
                <w:webHidden/>
              </w:rPr>
              <w:tab/>
              <w:t>5</w:t>
            </w:r>
          </w:hyperlink>
        </w:p>
        <w:p w14:paraId="0F5AC102" w14:textId="1292D07E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84" w:history="1">
            <w:r w:rsidRPr="00E54949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Working collaboratively with IPS program stakeholders</w:t>
            </w:r>
            <w:r>
              <w:rPr>
                <w:noProof/>
                <w:webHidden/>
              </w:rPr>
              <w:tab/>
              <w:t>5</w:t>
            </w:r>
          </w:hyperlink>
        </w:p>
        <w:p w14:paraId="27AB1BB5" w14:textId="5C5AC0CB" w:rsidR="00A12077" w:rsidRDefault="00A12077">
          <w:pPr>
            <w:pStyle w:val="TOC3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85" w:history="1">
            <w:r w:rsidRPr="00E54949">
              <w:rPr>
                <w:rStyle w:val="Hyperlink"/>
                <w:noProof/>
              </w:rPr>
              <w:t>1</w:t>
            </w:r>
            <w:r>
              <w:rPr>
                <w:rStyle w:val="Hyperlink"/>
                <w:noProof/>
              </w:rPr>
              <w:t xml:space="preserve">.5  </w:t>
            </w:r>
            <w:r>
              <w:rPr>
                <w:rStyle w:val="Hyperlink"/>
                <w:noProof/>
              </w:rPr>
              <w:tab/>
              <w:t xml:space="preserve">    F</w:t>
            </w:r>
            <w:r w:rsidRPr="00E54949">
              <w:rPr>
                <w:rStyle w:val="Hyperlink"/>
                <w:noProof/>
              </w:rPr>
              <w:t>idelity Review Provider (fidelity reviewer)</w:t>
            </w:r>
            <w:r>
              <w:rPr>
                <w:rStyle w:val="Hyperlink"/>
                <w:noProof/>
              </w:rPr>
              <w:tab/>
            </w:r>
            <w:r>
              <w:rPr>
                <w:noProof/>
                <w:webHidden/>
              </w:rPr>
              <w:t>5</w:t>
            </w:r>
          </w:hyperlink>
        </w:p>
        <w:p w14:paraId="6A52A826" w14:textId="350781D7" w:rsidR="00A12077" w:rsidRDefault="00A12077" w:rsidP="00684DF9">
          <w:pPr>
            <w:pStyle w:val="TOC2"/>
            <w:ind w:left="0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86" w:history="1">
            <w:r w:rsidRPr="00E54949">
              <w:rPr>
                <w:rStyle w:val="Hyperlink"/>
                <w:noProof/>
              </w:rPr>
              <w:t>2</w:t>
            </w:r>
            <w:r w:rsidR="00684DF9"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 xml:space="preserve">    </w:t>
            </w:r>
            <w:r w:rsidRPr="00684DF9">
              <w:rPr>
                <w:rStyle w:val="Hyperlink"/>
                <w:noProof/>
              </w:rPr>
              <w:t>Service Delivery</w:t>
            </w:r>
            <w:r>
              <w:rPr>
                <w:noProof/>
                <w:webHidden/>
              </w:rPr>
              <w:tab/>
              <w:t>6</w:t>
            </w:r>
          </w:hyperlink>
        </w:p>
        <w:p w14:paraId="000998E5" w14:textId="5B761847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87" w:history="1">
            <w:r w:rsidRPr="00E54949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Services to be delivered</w:t>
            </w:r>
            <w:r>
              <w:rPr>
                <w:noProof/>
                <w:webHidden/>
              </w:rPr>
              <w:tab/>
              <w:t>6</w:t>
            </w:r>
          </w:hyperlink>
        </w:p>
        <w:p w14:paraId="0B3B2990" w14:textId="598398CD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88" w:history="1">
            <w:r w:rsidRPr="00E54949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Cultural Competency and Diversity</w:t>
            </w:r>
            <w:r>
              <w:rPr>
                <w:noProof/>
                <w:webHidden/>
              </w:rPr>
              <w:tab/>
              <w:t>7</w:t>
            </w:r>
          </w:hyperlink>
        </w:p>
        <w:p w14:paraId="77B63EC5" w14:textId="4DCC1B10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89" w:history="1">
            <w:r w:rsidRPr="00E54949">
              <w:rPr>
                <w:rStyle w:val="Hyperlink"/>
                <w:rFonts w:eastAsiaTheme="minorHAnsi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Vocational Specialists</w:t>
            </w:r>
            <w:r>
              <w:rPr>
                <w:noProof/>
                <w:webHidden/>
              </w:rPr>
              <w:tab/>
              <w:t>8</w:t>
            </w:r>
          </w:hyperlink>
        </w:p>
        <w:p w14:paraId="259301AD" w14:textId="1F92B350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90" w:history="1">
            <w:r w:rsidRPr="00E54949">
              <w:rPr>
                <w:rStyle w:val="Hyperlink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Links and working with other agencies and services</w:t>
            </w:r>
            <w:r>
              <w:rPr>
                <w:noProof/>
                <w:webHidden/>
              </w:rPr>
              <w:tab/>
              <w:t>9</w:t>
            </w:r>
          </w:hyperlink>
        </w:p>
        <w:p w14:paraId="13B3FFB9" w14:textId="45A5773D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91" w:history="1">
            <w:r w:rsidRPr="00E54949">
              <w:rPr>
                <w:rStyle w:val="Hyperlink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Compliance with Relevant Legislation</w:t>
            </w:r>
            <w:r>
              <w:rPr>
                <w:noProof/>
                <w:webHidden/>
              </w:rPr>
              <w:tab/>
              <w:t>9</w:t>
            </w:r>
          </w:hyperlink>
        </w:p>
        <w:p w14:paraId="7B6626AF" w14:textId="33CF06E9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92" w:history="1">
            <w:r w:rsidRPr="00E54949">
              <w:rPr>
                <w:rStyle w:val="Hyperlink"/>
                <w:rFonts w:eastAsiaTheme="minorHAnsi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rFonts w:eastAsiaTheme="minorHAnsi"/>
                <w:noProof/>
              </w:rPr>
              <w:t>Confidentiality and Privacy</w:t>
            </w:r>
            <w:r>
              <w:rPr>
                <w:noProof/>
                <w:webHidden/>
              </w:rPr>
              <w:tab/>
              <w:t>10</w:t>
            </w:r>
          </w:hyperlink>
        </w:p>
        <w:p w14:paraId="18E6F68C" w14:textId="12DEE3C9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93" w:history="1">
            <w:r w:rsidRPr="00E54949">
              <w:rPr>
                <w:rStyle w:val="Hyperlink"/>
                <w:rFonts w:eastAsiaTheme="minorHAnsi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rFonts w:eastAsiaTheme="minorHAnsi"/>
                <w:noProof/>
              </w:rPr>
              <w:t>Consent</w:t>
            </w:r>
            <w:r>
              <w:rPr>
                <w:noProof/>
                <w:webHidden/>
              </w:rPr>
              <w:tab/>
              <w:t>10</w:t>
            </w:r>
          </w:hyperlink>
        </w:p>
        <w:p w14:paraId="6F8D0CC8" w14:textId="36D0ED48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94" w:history="1">
            <w:r w:rsidRPr="00E54949">
              <w:rPr>
                <w:rStyle w:val="Hyperlink"/>
                <w:rFonts w:eastAsiaTheme="minorHAnsi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rFonts w:eastAsiaTheme="minorHAnsi"/>
                <w:noProof/>
              </w:rPr>
              <w:t>Caseloads, duration and intensity of support</w:t>
            </w:r>
            <w:r>
              <w:rPr>
                <w:noProof/>
                <w:webHidden/>
              </w:rPr>
              <w:tab/>
              <w:t>10</w:t>
            </w:r>
          </w:hyperlink>
        </w:p>
        <w:p w14:paraId="11305024" w14:textId="3F08DA7B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95" w:history="1">
            <w:r w:rsidRPr="00E54949">
              <w:rPr>
                <w:rStyle w:val="Hyperlink"/>
                <w:rFonts w:eastAsiaTheme="minorHAnsi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rFonts w:eastAsiaTheme="minorHAnsi"/>
                <w:noProof/>
              </w:rPr>
              <w:t>Evaluation</w:t>
            </w:r>
            <w:r>
              <w:rPr>
                <w:noProof/>
                <w:webHidden/>
              </w:rPr>
              <w:tab/>
              <w:t>11</w:t>
            </w:r>
          </w:hyperlink>
        </w:p>
        <w:p w14:paraId="057F35BF" w14:textId="1625D0FF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96" w:history="1">
            <w:r w:rsidRPr="00E54949">
              <w:rPr>
                <w:rStyle w:val="Hyperlink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Service development and improvement</w:t>
            </w:r>
            <w:r>
              <w:rPr>
                <w:noProof/>
                <w:webHidden/>
              </w:rPr>
              <w:tab/>
              <w:t>11</w:t>
            </w:r>
          </w:hyperlink>
        </w:p>
        <w:p w14:paraId="7C3D8A7E" w14:textId="32A46820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Style w:val="Hyperlink"/>
              <w:noProof/>
            </w:rPr>
          </w:pPr>
          <w:hyperlink w:anchor="_Toc207282697" w:history="1">
            <w:r w:rsidRPr="00E54949">
              <w:rPr>
                <w:rStyle w:val="Hyperlink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What participants can expect</w:t>
            </w:r>
            <w:r>
              <w:rPr>
                <w:noProof/>
                <w:webHidden/>
              </w:rPr>
              <w:tab/>
              <w:t>11</w:t>
            </w:r>
          </w:hyperlink>
        </w:p>
        <w:p w14:paraId="490055A1" w14:textId="2828D4CF" w:rsidR="00A12077" w:rsidRDefault="00013A0A" w:rsidP="00013A0A">
          <w:pPr>
            <w:ind w:firstLine="720"/>
            <w:rPr>
              <w:rFonts w:eastAsiaTheme="minorEastAsia"/>
            </w:rPr>
          </w:pPr>
          <w:r>
            <w:rPr>
              <w:rFonts w:eastAsiaTheme="minorEastAsia"/>
            </w:rPr>
            <w:t>2.11.1 Fees……………………………………………………………………………………12</w:t>
          </w:r>
        </w:p>
        <w:p w14:paraId="54465857" w14:textId="14E4CC43" w:rsidR="00013A0A" w:rsidRDefault="00013A0A" w:rsidP="00013A0A">
          <w:pPr>
            <w:ind w:firstLine="720"/>
            <w:rPr>
              <w:rFonts w:eastAsiaTheme="minorEastAsia"/>
            </w:rPr>
          </w:pPr>
          <w:r>
            <w:rPr>
              <w:rFonts w:eastAsiaTheme="minorEastAsia"/>
            </w:rPr>
            <w:t>2.11.2 Participants rights and responsibilities……………………………………………12</w:t>
          </w:r>
        </w:p>
        <w:p w14:paraId="5C68EE4F" w14:textId="1CE8A7E7" w:rsidR="00013A0A" w:rsidRPr="00A12077" w:rsidRDefault="00013A0A" w:rsidP="00013A0A">
          <w:pPr>
            <w:ind w:firstLine="720"/>
            <w:rPr>
              <w:rFonts w:eastAsiaTheme="minorEastAsia"/>
            </w:rPr>
          </w:pPr>
          <w:r>
            <w:rPr>
              <w:rFonts w:eastAsiaTheme="minorEastAsia"/>
            </w:rPr>
            <w:t>2.11.3 Exiting a service……………………………………………………………………..</w:t>
          </w:r>
          <w:r w:rsidR="00684DF9">
            <w:rPr>
              <w:rFonts w:eastAsiaTheme="minorEastAsia"/>
            </w:rPr>
            <w:t>13</w:t>
          </w:r>
        </w:p>
        <w:p w14:paraId="5FF7071F" w14:textId="4A0A059B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Style w:val="Hyperlink"/>
              <w:noProof/>
            </w:rPr>
          </w:pPr>
          <w:hyperlink w:anchor="_Toc207282698" w:history="1">
            <w:r w:rsidRPr="00E54949">
              <w:rPr>
                <w:rStyle w:val="Hyperlink"/>
                <w:noProof/>
              </w:rPr>
              <w:t>2.12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Incident notification</w:t>
            </w:r>
            <w:r>
              <w:rPr>
                <w:noProof/>
                <w:webHidden/>
              </w:rPr>
              <w:tab/>
            </w:r>
            <w:r w:rsidR="00013A0A">
              <w:rPr>
                <w:noProof/>
                <w:webHidden/>
              </w:rPr>
              <w:t>13</w:t>
            </w:r>
          </w:hyperlink>
        </w:p>
        <w:p w14:paraId="527EC455" w14:textId="703EC83C" w:rsidR="00013A0A" w:rsidRDefault="00013A0A" w:rsidP="00013A0A">
          <w:pPr>
            <w:ind w:firstLine="720"/>
            <w:rPr>
              <w:rFonts w:eastAsiaTheme="minorEastAsia"/>
            </w:rPr>
          </w:pPr>
          <w:r>
            <w:rPr>
              <w:rFonts w:eastAsiaTheme="minorEastAsia"/>
            </w:rPr>
            <w:t>2.12.1 Reportable incident notification……………………………………………………13</w:t>
          </w:r>
        </w:p>
        <w:p w14:paraId="64FC8A6C" w14:textId="48A79DE3" w:rsidR="00013A0A" w:rsidRPr="00013A0A" w:rsidRDefault="00013A0A" w:rsidP="00013A0A">
          <w:pPr>
            <w:ind w:firstLine="720"/>
            <w:rPr>
              <w:rFonts w:eastAsiaTheme="minorEastAsia"/>
            </w:rPr>
          </w:pPr>
          <w:r>
            <w:rPr>
              <w:rFonts w:eastAsiaTheme="minorEastAsia"/>
            </w:rPr>
            <w:t>2.12.2 Serious incident notification………………………………………………………..13</w:t>
          </w:r>
        </w:p>
        <w:p w14:paraId="22D91A23" w14:textId="154921D5" w:rsidR="00A12077" w:rsidRDefault="00A12077" w:rsidP="00684DF9">
          <w:pPr>
            <w:pStyle w:val="TOC2"/>
            <w:ind w:left="0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699" w:history="1">
            <w:r w:rsidRPr="00E54949">
              <w:rPr>
                <w:rStyle w:val="Hyperlink"/>
                <w:noProof/>
              </w:rPr>
              <w:t>3.</w:t>
            </w:r>
            <w:r w:rsidR="00684DF9"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E54949">
              <w:rPr>
                <w:rStyle w:val="Hyperlink"/>
                <w:noProof/>
              </w:rPr>
              <w:t>Handling Complaints</w:t>
            </w:r>
            <w:r>
              <w:rPr>
                <w:noProof/>
                <w:webHidden/>
              </w:rPr>
              <w:tab/>
            </w:r>
            <w:r w:rsidR="00013A0A">
              <w:rPr>
                <w:noProof/>
                <w:webHidden/>
              </w:rPr>
              <w:t>14</w:t>
            </w:r>
          </w:hyperlink>
        </w:p>
        <w:p w14:paraId="7DCC7D70" w14:textId="4A858602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00" w:history="1">
            <w:r w:rsidRPr="00E54949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Complaints about the AMH provider</w:t>
            </w:r>
            <w:r>
              <w:rPr>
                <w:noProof/>
                <w:webHidden/>
              </w:rPr>
              <w:tab/>
            </w:r>
            <w:r w:rsidR="00013A0A">
              <w:rPr>
                <w:noProof/>
                <w:webHidden/>
              </w:rPr>
              <w:t>14</w:t>
            </w:r>
          </w:hyperlink>
        </w:p>
        <w:p w14:paraId="28F531E4" w14:textId="1A3954B4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01" w:history="1">
            <w:r w:rsidRPr="00E54949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Complaints about the Department</w:t>
            </w:r>
            <w:r>
              <w:rPr>
                <w:noProof/>
                <w:webHidden/>
              </w:rPr>
              <w:tab/>
            </w:r>
            <w:r w:rsidR="00013A0A">
              <w:rPr>
                <w:noProof/>
                <w:webHidden/>
              </w:rPr>
              <w:t>15</w:t>
            </w:r>
          </w:hyperlink>
        </w:p>
        <w:p w14:paraId="6187C993" w14:textId="50473630" w:rsidR="00A12077" w:rsidRDefault="00A12077" w:rsidP="00684DF9">
          <w:pPr>
            <w:pStyle w:val="TOC2"/>
            <w:ind w:left="0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02" w:history="1">
            <w:r w:rsidRPr="00E54949">
              <w:rPr>
                <w:rStyle w:val="Hyperlink"/>
                <w:noProof/>
              </w:rPr>
              <w:t>4.</w:t>
            </w:r>
            <w:r w:rsidR="00684DF9">
              <w:rPr>
                <w:rStyle w:val="Hyperlink"/>
                <w:noProof/>
              </w:rPr>
              <w:t xml:space="preserve">   </w:t>
            </w:r>
            <w:r w:rsidRPr="00E54949">
              <w:rPr>
                <w:rStyle w:val="Hyperlink"/>
                <w:noProof/>
              </w:rPr>
              <w:t>Funding for the Activity</w:t>
            </w:r>
            <w:r>
              <w:rPr>
                <w:noProof/>
                <w:webHidden/>
              </w:rPr>
              <w:tab/>
            </w:r>
            <w:r w:rsidR="00013A0A">
              <w:rPr>
                <w:noProof/>
                <w:webHidden/>
              </w:rPr>
              <w:t>15</w:t>
            </w:r>
          </w:hyperlink>
        </w:p>
        <w:p w14:paraId="314CECC3" w14:textId="2F28C40E" w:rsidR="00A12077" w:rsidRDefault="00A12077">
          <w:pPr>
            <w:pStyle w:val="TOC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03" w:history="1">
            <w:r w:rsidRPr="00E54949">
              <w:rPr>
                <w:rStyle w:val="Hyperlink"/>
                <w:noProof/>
              </w:rPr>
              <w:t xml:space="preserve">4.1   </w:t>
            </w:r>
            <w:r w:rsidR="00684DF9">
              <w:rPr>
                <w:rStyle w:val="Hyperlink"/>
                <w:noProof/>
              </w:rPr>
              <w:t xml:space="preserve">  </w:t>
            </w:r>
            <w:r w:rsidRPr="00E54949">
              <w:rPr>
                <w:rStyle w:val="Hyperlink"/>
                <w:noProof/>
              </w:rPr>
              <w:t xml:space="preserve"> Eligible grant activities</w:t>
            </w:r>
            <w:r>
              <w:rPr>
                <w:noProof/>
                <w:webHidden/>
              </w:rPr>
              <w:tab/>
            </w:r>
            <w:r w:rsidR="00013A0A">
              <w:rPr>
                <w:noProof/>
                <w:webHidden/>
              </w:rPr>
              <w:t>15</w:t>
            </w:r>
          </w:hyperlink>
        </w:p>
        <w:p w14:paraId="6F23BEF1" w14:textId="05AEC8BC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04" w:history="1">
            <w:r w:rsidRPr="00E54949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Ineligible grant activities</w:t>
            </w:r>
            <w:r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16</w:t>
            </w:r>
          </w:hyperlink>
        </w:p>
        <w:p w14:paraId="4961160A" w14:textId="593BA5AF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05" w:history="1">
            <w:r w:rsidRPr="00E54949">
              <w:rPr>
                <w:rStyle w:val="Hyperlink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Service agreements for brokering / subcontracting services</w:t>
            </w:r>
            <w:r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17</w:t>
            </w:r>
          </w:hyperlink>
        </w:p>
        <w:p w14:paraId="2C976C74" w14:textId="356912DC" w:rsidR="00A12077" w:rsidRDefault="00A12077">
          <w:pPr>
            <w:pStyle w:val="TOC3"/>
            <w:tabs>
              <w:tab w:val="left" w:pos="1100"/>
              <w:tab w:val="right" w:leader="dot" w:pos="9345"/>
            </w:tabs>
            <w:rPr>
              <w:rStyle w:val="Hyperlink"/>
              <w:noProof/>
            </w:rPr>
          </w:pPr>
          <w:hyperlink w:anchor="_Toc207282706" w:history="1">
            <w:r w:rsidRPr="00E54949">
              <w:rPr>
                <w:rStyle w:val="Hyperlink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Pr="00E54949">
              <w:rPr>
                <w:rStyle w:val="Hyperlink"/>
                <w:noProof/>
              </w:rPr>
              <w:t>Financial Reporting</w:t>
            </w:r>
            <w:r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18</w:t>
            </w:r>
          </w:hyperlink>
        </w:p>
        <w:p w14:paraId="3445800D" w14:textId="7206922F" w:rsidR="00E959DE" w:rsidRPr="00E959DE" w:rsidRDefault="00E959DE" w:rsidP="00E959DE">
          <w:pPr>
            <w:ind w:firstLine="720"/>
            <w:rPr>
              <w:rFonts w:eastAsiaTheme="minorEastAsia"/>
            </w:rPr>
          </w:pPr>
          <w:r>
            <w:rPr>
              <w:rFonts w:eastAsiaTheme="minorEastAsia"/>
            </w:rPr>
            <w:t>4.4.1 Financial acquittal reports……………………………………………………………18</w:t>
          </w:r>
        </w:p>
        <w:p w14:paraId="48286A6B" w14:textId="0258E8DE" w:rsidR="00A12077" w:rsidRDefault="00A12077">
          <w:pPr>
            <w:pStyle w:val="TOC1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07" w:history="1">
            <w:r w:rsidRPr="00E54949">
              <w:rPr>
                <w:rStyle w:val="Hyperlink"/>
                <w:noProof/>
              </w:rPr>
              <w:t>5.</w:t>
            </w:r>
            <w:r w:rsidR="00684DF9">
              <w:rPr>
                <w:rStyle w:val="Hyperlink"/>
                <w:noProof/>
              </w:rPr>
              <w:t xml:space="preserve">   </w:t>
            </w:r>
            <w:r w:rsidRPr="00E54949">
              <w:rPr>
                <w:rStyle w:val="Hyperlink"/>
                <w:noProof/>
              </w:rPr>
              <w:t>Communication and Promotion</w:t>
            </w:r>
            <w:r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18</w:t>
            </w:r>
          </w:hyperlink>
        </w:p>
        <w:p w14:paraId="51876143" w14:textId="066726EE" w:rsidR="00A12077" w:rsidRDefault="00A12077">
          <w:pPr>
            <w:pStyle w:val="TOC1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08" w:history="1">
            <w:r w:rsidRPr="00E54949">
              <w:rPr>
                <w:rStyle w:val="Hyperlink"/>
                <w:noProof/>
              </w:rPr>
              <w:t>6.</w:t>
            </w:r>
            <w:r w:rsidR="00684DF9"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E54949">
              <w:rPr>
                <w:rStyle w:val="Hyperlink"/>
                <w:noProof/>
              </w:rPr>
              <w:t>Performance and Reporting</w:t>
            </w:r>
            <w:r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18</w:t>
            </w:r>
          </w:hyperlink>
        </w:p>
        <w:p w14:paraId="26CBF9D4" w14:textId="502D80A1" w:rsidR="00A12077" w:rsidRDefault="00684DF9">
          <w:pPr>
            <w:pStyle w:val="TOC2"/>
            <w:rPr>
              <w:rStyle w:val="Hyperlink"/>
              <w:noProof/>
            </w:rPr>
          </w:pPr>
          <w:r>
            <w:t xml:space="preserve">    </w:t>
          </w:r>
          <w:hyperlink w:anchor="_Toc207282711" w:history="1">
            <w:r w:rsidR="00A12077" w:rsidRPr="00E54949">
              <w:rPr>
                <w:rStyle w:val="Hyperlink"/>
                <w:noProof/>
              </w:rPr>
              <w:t>6.1</w:t>
            </w:r>
            <w:r>
              <w:rPr>
                <w:rStyle w:val="Hyperlink"/>
                <w:noProof/>
              </w:rPr>
              <w:t xml:space="preserve">    </w:t>
            </w:r>
            <w:r w:rsidR="00A12077" w:rsidRPr="00E54949">
              <w:rPr>
                <w:rStyle w:val="Hyperlink"/>
                <w:noProof/>
              </w:rPr>
              <w:t>Data Exchange reporting</w:t>
            </w:r>
            <w:r w:rsidR="00E959DE">
              <w:rPr>
                <w:noProof/>
                <w:webHidden/>
              </w:rPr>
              <w:t>………………………………………………………………</w:t>
            </w:r>
            <w:r w:rsidR="001309A6">
              <w:rPr>
                <w:noProof/>
                <w:webHidden/>
              </w:rPr>
              <w:t>..</w:t>
            </w:r>
            <w:r w:rsidR="00E959DE">
              <w:rPr>
                <w:noProof/>
                <w:webHidden/>
              </w:rPr>
              <w:t>19</w:t>
            </w:r>
          </w:hyperlink>
        </w:p>
        <w:p w14:paraId="03C8E153" w14:textId="36A1E4B5" w:rsidR="00E959DE" w:rsidRDefault="00684DF9" w:rsidP="00E959DE">
          <w:pPr>
            <w:ind w:firstLine="720"/>
            <w:rPr>
              <w:rFonts w:eastAsiaTheme="minorEastAsia"/>
            </w:rPr>
          </w:pPr>
          <w:r>
            <w:rPr>
              <w:rFonts w:eastAsiaTheme="minorEastAsia"/>
            </w:rPr>
            <w:t xml:space="preserve"> </w:t>
          </w:r>
          <w:r w:rsidR="00E959DE">
            <w:rPr>
              <w:rFonts w:eastAsiaTheme="minorEastAsia"/>
            </w:rPr>
            <w:t>6.1.1 Partnership approach…………………………………………………………..…</w:t>
          </w:r>
          <w:r w:rsidR="001309A6">
            <w:rPr>
              <w:rFonts w:eastAsiaTheme="minorEastAsia"/>
            </w:rPr>
            <w:t>...</w:t>
          </w:r>
          <w:r w:rsidR="00E959DE">
            <w:rPr>
              <w:rFonts w:eastAsiaTheme="minorEastAsia"/>
            </w:rPr>
            <w:t xml:space="preserve"> 19</w:t>
          </w:r>
        </w:p>
        <w:p w14:paraId="6CFDD3CC" w14:textId="7B4F6B28" w:rsidR="00A12077" w:rsidRPr="00E959DE" w:rsidRDefault="00E959DE" w:rsidP="00E959DE">
          <w:pPr>
            <w:ind w:firstLine="720"/>
            <w:rPr>
              <w:rFonts w:eastAsiaTheme="minorEastAsia"/>
            </w:rPr>
          </w:pPr>
          <w:r>
            <w:rPr>
              <w:rFonts w:eastAsiaTheme="minorEastAsia"/>
            </w:rPr>
            <w:t>6.1.2 Extended data collection……………………………………………………………. 20</w:t>
          </w:r>
        </w:p>
        <w:p w14:paraId="60B336EA" w14:textId="628D901A" w:rsidR="00A12077" w:rsidRDefault="00E959DE" w:rsidP="00E959DE">
          <w:pPr>
            <w:pStyle w:val="TOC3"/>
            <w:tabs>
              <w:tab w:val="left" w:pos="1100"/>
              <w:tab w:val="right" w:leader="dot" w:pos="9345"/>
            </w:tabs>
            <w:ind w:left="0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r w:rsidRPr="00684DF9">
            <w:rPr>
              <w:rStyle w:val="Hyperlink"/>
              <w:noProof/>
              <w:u w:val="none"/>
            </w:rPr>
            <w:t xml:space="preserve">   </w:t>
          </w:r>
          <w:r w:rsidR="00684DF9" w:rsidRPr="00684DF9">
            <w:rPr>
              <w:rStyle w:val="Hyperlink"/>
              <w:noProof/>
              <w:u w:val="none"/>
            </w:rPr>
            <w:t xml:space="preserve">   </w:t>
          </w:r>
          <w:hyperlink w:anchor="_Toc207282714" w:history="1">
            <w:r w:rsidR="00A12077" w:rsidRPr="00E54949">
              <w:rPr>
                <w:rStyle w:val="Hyperlink"/>
                <w:noProof/>
              </w:rPr>
              <w:t>6.2</w:t>
            </w:r>
            <w:r w:rsidR="00A12077"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="00A12077" w:rsidRPr="00E54949">
              <w:rPr>
                <w:rStyle w:val="Hyperlink"/>
                <w:noProof/>
              </w:rPr>
              <w:t>Data Quality Checks</w:t>
            </w:r>
            <w:r w:rsidR="00A120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20</w:t>
            </w:r>
          </w:hyperlink>
        </w:p>
        <w:p w14:paraId="564E87F2" w14:textId="1F5D4032" w:rsidR="00A12077" w:rsidRDefault="00684DF9">
          <w:pPr>
            <w:pStyle w:val="TOC2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r>
            <w:t xml:space="preserve">   </w:t>
          </w:r>
          <w:hyperlink w:anchor="_Toc207282715" w:history="1">
            <w:r w:rsidR="00A12077" w:rsidRPr="00E54949">
              <w:rPr>
                <w:rStyle w:val="Hyperlink"/>
                <w:noProof/>
              </w:rPr>
              <w:t>6.3</w:t>
            </w:r>
            <w:r w:rsidR="00A12077"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 w:rsidR="00A12077" w:rsidRPr="00E54949">
              <w:rPr>
                <w:rStyle w:val="Hyperlink"/>
                <w:noProof/>
              </w:rPr>
              <w:t>Access to the Data Exchange</w:t>
            </w:r>
            <w:r w:rsidR="00A12077"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20</w:t>
            </w:r>
          </w:hyperlink>
        </w:p>
        <w:p w14:paraId="1DC2400F" w14:textId="2B9CEEDA" w:rsidR="00A12077" w:rsidRDefault="00A12077">
          <w:pPr>
            <w:pStyle w:val="TOC1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16" w:history="1">
            <w:r w:rsidRPr="00E54949">
              <w:rPr>
                <w:rStyle w:val="Hyperlink"/>
                <w:noProof/>
              </w:rPr>
              <w:t>7.</w:t>
            </w:r>
            <w:r w:rsidR="00684DF9">
              <w:rPr>
                <w:rStyle w:val="Hyperlink"/>
                <w:noProof/>
              </w:rPr>
              <w:t xml:space="preserve">   </w:t>
            </w:r>
            <w:r w:rsidRPr="00E54949">
              <w:rPr>
                <w:rStyle w:val="Hyperlink"/>
                <w:noProof/>
              </w:rPr>
              <w:t>Document versions</w:t>
            </w:r>
            <w:r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21</w:t>
            </w:r>
          </w:hyperlink>
        </w:p>
        <w:p w14:paraId="40203D91" w14:textId="57E2A101" w:rsidR="00A12077" w:rsidRDefault="00A12077">
          <w:pPr>
            <w:pStyle w:val="TOC1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17" w:history="1">
            <w:r w:rsidRPr="00E54949">
              <w:rPr>
                <w:rStyle w:val="Hyperlink"/>
                <w:noProof/>
              </w:rPr>
              <w:t>8.</w:t>
            </w:r>
            <w:r w:rsidR="00684DF9">
              <w:rPr>
                <w:rStyle w:val="Hyperlink"/>
                <w:noProof/>
              </w:rPr>
              <w:t xml:space="preserve">   </w:t>
            </w:r>
            <w:r w:rsidRPr="00E54949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21</w:t>
            </w:r>
          </w:hyperlink>
        </w:p>
        <w:p w14:paraId="2FE6AD68" w14:textId="4FEA3FF6" w:rsidR="00A12077" w:rsidRDefault="00A12077">
          <w:pPr>
            <w:pStyle w:val="TOC1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18" w:history="1">
            <w:r w:rsidRPr="00E54949">
              <w:rPr>
                <w:rStyle w:val="Hyperlink"/>
                <w:noProof/>
              </w:rPr>
              <w:t>Attachment A - Privacy Incident Management</w:t>
            </w:r>
            <w:r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24</w:t>
            </w:r>
          </w:hyperlink>
        </w:p>
        <w:p w14:paraId="206283EB" w14:textId="4CD4BBB0" w:rsidR="00A12077" w:rsidRDefault="00A12077">
          <w:pPr>
            <w:pStyle w:val="TOC1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27" w:history="1">
            <w:r w:rsidRPr="00E54949">
              <w:rPr>
                <w:rStyle w:val="Hyperlink"/>
                <w:noProof/>
              </w:rPr>
              <w:t>Attachment B - Provider Privacy Incident Report</w:t>
            </w:r>
            <w:r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26</w:t>
            </w:r>
          </w:hyperlink>
        </w:p>
        <w:p w14:paraId="7E6B91A7" w14:textId="2E0E0A17" w:rsidR="00A12077" w:rsidRDefault="00A12077">
          <w:pPr>
            <w:pStyle w:val="TOC1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28" w:history="1">
            <w:r w:rsidRPr="00E54949">
              <w:rPr>
                <w:rStyle w:val="Hyperlink"/>
                <w:noProof/>
              </w:rPr>
              <w:t>Attachment C - Incident Notification form</w:t>
            </w:r>
            <w:r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31</w:t>
            </w:r>
          </w:hyperlink>
        </w:p>
        <w:p w14:paraId="7BD26C8D" w14:textId="03E22500" w:rsidR="00A12077" w:rsidRDefault="00A12077">
          <w:pPr>
            <w:pStyle w:val="TOC1"/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7282732" w:history="1">
            <w:r w:rsidRPr="00E54949">
              <w:rPr>
                <w:rStyle w:val="Hyperlink"/>
                <w:noProof/>
              </w:rPr>
              <w:t>Attachment D - Data Exchange (DEX) information</w:t>
            </w:r>
            <w:r>
              <w:rPr>
                <w:noProof/>
                <w:webHidden/>
              </w:rPr>
              <w:tab/>
            </w:r>
            <w:r w:rsidR="00E959DE">
              <w:rPr>
                <w:noProof/>
                <w:webHidden/>
              </w:rPr>
              <w:t>33</w:t>
            </w:r>
          </w:hyperlink>
        </w:p>
        <w:p w14:paraId="698727F9" w14:textId="75F86E23" w:rsidR="00A12077" w:rsidRDefault="00A12077">
          <w:r>
            <w:rPr>
              <w:b/>
              <w:bCs/>
              <w:noProof/>
            </w:rPr>
            <w:fldChar w:fldCharType="end"/>
          </w:r>
        </w:p>
      </w:sdtContent>
    </w:sdt>
    <w:p w14:paraId="29ADEBFC" w14:textId="77777777" w:rsidR="007D2CA4" w:rsidRDefault="007D2CA4" w:rsidP="003D7ED5">
      <w:r>
        <w:br w:type="page"/>
      </w:r>
    </w:p>
    <w:p w14:paraId="1042DC3F" w14:textId="77777777" w:rsidR="00052740" w:rsidRPr="004A7CAD" w:rsidRDefault="00C74275" w:rsidP="003A7D25">
      <w:pPr>
        <w:pStyle w:val="Heading2"/>
        <w:numPr>
          <w:ilvl w:val="0"/>
          <w:numId w:val="43"/>
        </w:numPr>
        <w:ind w:left="584" w:hanging="357"/>
      </w:pPr>
      <w:bookmarkStart w:id="6" w:name="_Toc207282680"/>
      <w:r w:rsidRPr="00BB3DAD">
        <w:lastRenderedPageBreak/>
        <w:t>Individual</w:t>
      </w:r>
      <w:r>
        <w:t xml:space="preserve"> Placement and Support (IPS) </w:t>
      </w:r>
      <w:bookmarkStart w:id="7" w:name="_Toc78266507"/>
      <w:bookmarkStart w:id="8" w:name="_Toc78266508"/>
      <w:bookmarkStart w:id="9" w:name="_Toc78266509"/>
      <w:bookmarkStart w:id="10" w:name="_Toc78266510"/>
      <w:bookmarkStart w:id="11" w:name="_Toc78266511"/>
      <w:bookmarkStart w:id="12" w:name="_Toc78266512"/>
      <w:bookmarkEnd w:id="7"/>
      <w:bookmarkEnd w:id="8"/>
      <w:bookmarkEnd w:id="9"/>
      <w:bookmarkEnd w:id="10"/>
      <w:bookmarkEnd w:id="11"/>
      <w:bookmarkEnd w:id="12"/>
      <w:r w:rsidR="007739FA">
        <w:t xml:space="preserve">program - </w:t>
      </w:r>
      <w:r w:rsidR="00F36F13">
        <w:t>Adult Mental Health (AMH) pilot</w:t>
      </w:r>
      <w:bookmarkEnd w:id="6"/>
    </w:p>
    <w:p w14:paraId="70080B1D" w14:textId="77777777" w:rsidR="00F36F13" w:rsidRDefault="008A1910" w:rsidP="002720FA">
      <w:pPr>
        <w:pStyle w:val="Heading3"/>
        <w:numPr>
          <w:ilvl w:val="0"/>
          <w:numId w:val="39"/>
        </w:numPr>
      </w:pPr>
      <w:bookmarkStart w:id="13" w:name="_Toc75707324"/>
      <w:bookmarkStart w:id="14" w:name="_Toc75710977"/>
      <w:bookmarkStart w:id="15" w:name="_Toc78266514"/>
      <w:bookmarkStart w:id="16" w:name="_Toc207282681"/>
      <w:bookmarkEnd w:id="13"/>
      <w:bookmarkEnd w:id="14"/>
      <w:bookmarkEnd w:id="15"/>
      <w:r>
        <w:t>Overview of the</w:t>
      </w:r>
      <w:r w:rsidR="00F87C3E">
        <w:t xml:space="preserve"> </w:t>
      </w:r>
      <w:r w:rsidR="00F36F13">
        <w:t>IPS program</w:t>
      </w:r>
      <w:r w:rsidR="00F87C3E">
        <w:t xml:space="preserve"> delivered </w:t>
      </w:r>
      <w:r w:rsidR="006329ED">
        <w:t xml:space="preserve">in headspace centres </w:t>
      </w:r>
      <w:r w:rsidR="00F87C3E">
        <w:t>to young people</w:t>
      </w:r>
      <w:bookmarkEnd w:id="16"/>
    </w:p>
    <w:p w14:paraId="7F9F5A82" w14:textId="2885279D" w:rsidR="00F76B98" w:rsidRDefault="00D54A7A" w:rsidP="00D54A7A">
      <w:r>
        <w:t>The</w:t>
      </w:r>
      <w:r w:rsidR="00F76B98">
        <w:t xml:space="preserve"> </w:t>
      </w:r>
      <w:r w:rsidR="00F87C3E">
        <w:t xml:space="preserve">IPS </w:t>
      </w:r>
      <w:r w:rsidR="00F76B98">
        <w:t>program is funded by the</w:t>
      </w:r>
      <w:r>
        <w:t xml:space="preserve"> </w:t>
      </w:r>
      <w:r w:rsidR="00F1589E">
        <w:t xml:space="preserve">Department of Social Services (the </w:t>
      </w:r>
      <w:r w:rsidR="00B8500A">
        <w:t>Department</w:t>
      </w:r>
      <w:r w:rsidR="00F1589E">
        <w:t xml:space="preserve">) </w:t>
      </w:r>
      <w:r w:rsidR="00F87C3E">
        <w:t>and helps young people aged 12 to 25 years with mental ill</w:t>
      </w:r>
      <w:r w:rsidR="009123CE">
        <w:t xml:space="preserve"> health</w:t>
      </w:r>
      <w:r w:rsidR="00F87C3E">
        <w:t xml:space="preserve"> to enter or remain in education or employment.</w:t>
      </w:r>
    </w:p>
    <w:p w14:paraId="1F601A8D" w14:textId="77777777" w:rsidR="00F87C3E" w:rsidRDefault="00F87C3E" w:rsidP="00D54A7A">
      <w:r>
        <w:t xml:space="preserve">It is a voluntary program delivered by organisations operating headspace centres in 50 locations nationally. </w:t>
      </w:r>
    </w:p>
    <w:p w14:paraId="44E7474C" w14:textId="00159BCD" w:rsidR="00F87C3E" w:rsidRDefault="00F87C3E" w:rsidP="004E0D9D">
      <w:r>
        <w:t xml:space="preserve">The </w:t>
      </w:r>
      <w:r w:rsidRPr="00F36F13">
        <w:t>IPS program</w:t>
      </w:r>
      <w:r>
        <w:t xml:space="preserve"> uses an evidence</w:t>
      </w:r>
      <w:r w:rsidR="00CC2F20">
        <w:t>-</w:t>
      </w:r>
      <w:r>
        <w:t>based model, integrating</w:t>
      </w:r>
      <w:r w:rsidRPr="00F36F13">
        <w:t xml:space="preserve"> employment and vocational support with clinical mental health</w:t>
      </w:r>
      <w:r w:rsidR="003157EC">
        <w:t xml:space="preserve"> services</w:t>
      </w:r>
      <w:r w:rsidRPr="00F36F13">
        <w:t xml:space="preserve"> and </w:t>
      </w:r>
      <w:r>
        <w:t xml:space="preserve">other </w:t>
      </w:r>
      <w:r w:rsidRPr="00F36F13">
        <w:t>non-vocational support</w:t>
      </w:r>
      <w:r>
        <w:t>.</w:t>
      </w:r>
      <w:r w:rsidRPr="00D54A7A">
        <w:t xml:space="preserve"> </w:t>
      </w:r>
    </w:p>
    <w:p w14:paraId="77A711A9" w14:textId="77777777" w:rsidR="00C74275" w:rsidRPr="00E57636" w:rsidRDefault="00032F05" w:rsidP="002720FA">
      <w:pPr>
        <w:pStyle w:val="Heading3"/>
        <w:numPr>
          <w:ilvl w:val="0"/>
          <w:numId w:val="40"/>
        </w:numPr>
      </w:pPr>
      <w:bookmarkStart w:id="17" w:name="_Toc207282682"/>
      <w:r>
        <w:t>T</w:t>
      </w:r>
      <w:r w:rsidR="00C74275" w:rsidRPr="00E57636">
        <w:t xml:space="preserve">he </w:t>
      </w:r>
      <w:r w:rsidR="00F510BF">
        <w:t>AMH pilot</w:t>
      </w:r>
      <w:bookmarkEnd w:id="17"/>
    </w:p>
    <w:p w14:paraId="5F5D858A" w14:textId="0385DD2B" w:rsidR="00032F05" w:rsidRDefault="00032F05" w:rsidP="00032F05">
      <w:bookmarkStart w:id="18" w:name="_Toc417990572"/>
      <w:bookmarkStart w:id="19" w:name="_Toc418001957"/>
      <w:bookmarkStart w:id="20" w:name="_Toc418002436"/>
      <w:bookmarkStart w:id="21" w:name="_Toc418003721"/>
      <w:bookmarkStart w:id="22" w:name="_Toc418003762"/>
      <w:bookmarkStart w:id="23" w:name="_Toc418003809"/>
      <w:bookmarkStart w:id="24" w:name="_Toc418003905"/>
      <w:bookmarkStart w:id="25" w:name="_Toc418065478"/>
      <w:bookmarkStart w:id="26" w:name="_Toc418258045"/>
      <w:bookmarkStart w:id="27" w:name="_Toc414359439"/>
      <w:bookmarkStart w:id="28" w:name="_Toc414359698"/>
      <w:r>
        <w:t xml:space="preserve">As part of the 2021-22 Budget, funding was provided </w:t>
      </w:r>
      <w:r w:rsidR="00F75299">
        <w:t>to undertake the</w:t>
      </w:r>
      <w:r>
        <w:t xml:space="preserve"> AMH</w:t>
      </w:r>
      <w:r w:rsidRPr="00F36F13">
        <w:t xml:space="preserve"> </w:t>
      </w:r>
      <w:r>
        <w:t xml:space="preserve">pilot. The pilot will </w:t>
      </w:r>
      <w:r>
        <w:rPr>
          <w:bCs/>
        </w:rPr>
        <w:t>assess the feasibility of expanding the delivery of the IPS program to adults</w:t>
      </w:r>
      <w:r w:rsidR="009123CE">
        <w:rPr>
          <w:bCs/>
        </w:rPr>
        <w:t xml:space="preserve"> with mental ill health </w:t>
      </w:r>
      <w:r>
        <w:rPr>
          <w:bCs/>
        </w:rPr>
        <w:t xml:space="preserve">via </w:t>
      </w:r>
      <w:r w:rsidR="00E07EF1">
        <w:rPr>
          <w:bCs/>
        </w:rPr>
        <w:t>MMH</w:t>
      </w:r>
      <w:r>
        <w:rPr>
          <w:bCs/>
        </w:rPr>
        <w:t xml:space="preserve"> centres.</w:t>
      </w:r>
    </w:p>
    <w:p w14:paraId="21D8F6CC" w14:textId="1BF4BCA4" w:rsidR="0050638B" w:rsidRPr="00994B4F" w:rsidRDefault="00F36F13" w:rsidP="0050638B">
      <w:pPr>
        <w:spacing w:after="240"/>
      </w:pPr>
      <w:r>
        <w:t xml:space="preserve">The </w:t>
      </w:r>
      <w:r w:rsidR="00F1589E">
        <w:t xml:space="preserve">pilot will be delivered in </w:t>
      </w:r>
      <w:r w:rsidR="00A60310">
        <w:t>2 MMH centres</w:t>
      </w:r>
      <w:r w:rsidR="00732BF0">
        <w:t>, one</w:t>
      </w:r>
      <w:r w:rsidR="00032F05">
        <w:t xml:space="preserve"> in Perth and </w:t>
      </w:r>
      <w:r w:rsidR="00732BF0">
        <w:t xml:space="preserve">one in </w:t>
      </w:r>
      <w:r w:rsidR="00032F05">
        <w:t>Darwin</w:t>
      </w:r>
      <w:r w:rsidR="00E9572E">
        <w:t xml:space="preserve">, where </w:t>
      </w:r>
      <w:r w:rsidR="00A60310">
        <w:t>2</w:t>
      </w:r>
      <w:r w:rsidR="0050638B">
        <w:t xml:space="preserve"> Vocational Specialists </w:t>
      </w:r>
      <w:r w:rsidR="00E9572E">
        <w:t>will be engaged and</w:t>
      </w:r>
      <w:r w:rsidR="0050638B">
        <w:t xml:space="preserve"> </w:t>
      </w:r>
      <w:r w:rsidR="0050638B" w:rsidRPr="00D570A4">
        <w:t xml:space="preserve">fully integrated into </w:t>
      </w:r>
      <w:r w:rsidR="00732BF0">
        <w:t>each</w:t>
      </w:r>
      <w:r w:rsidR="004E0D9D">
        <w:t xml:space="preserve"> c</w:t>
      </w:r>
      <w:r w:rsidR="00732BF0">
        <w:t>entre</w:t>
      </w:r>
      <w:r w:rsidR="0050638B">
        <w:t xml:space="preserve">. The </w:t>
      </w:r>
      <w:r w:rsidR="00B64367">
        <w:t xml:space="preserve">Vocational Specialists </w:t>
      </w:r>
      <w:r w:rsidR="0050638B">
        <w:t xml:space="preserve">will work in tandem with </w:t>
      </w:r>
      <w:r w:rsidR="00A60310">
        <w:t>MMH</w:t>
      </w:r>
      <w:r w:rsidR="00CF2AB7" w:rsidRPr="00CF2AB7">
        <w:t xml:space="preserve"> </w:t>
      </w:r>
      <w:r w:rsidR="0050638B">
        <w:t>clinical teams, families and employers</w:t>
      </w:r>
      <w:r w:rsidR="00F75299">
        <w:t xml:space="preserve"> and education providers</w:t>
      </w:r>
      <w:r w:rsidR="0050638B">
        <w:t xml:space="preserve"> to achieve positive outcomes. </w:t>
      </w:r>
    </w:p>
    <w:p w14:paraId="1B80A6A9" w14:textId="77777777" w:rsidR="00D40DF8" w:rsidRDefault="00D40DF8" w:rsidP="005E033E">
      <w:r>
        <w:t>The</w:t>
      </w:r>
      <w:r w:rsidR="004E0D9D">
        <w:t xml:space="preserve"> intended outcome of the</w:t>
      </w:r>
      <w:r>
        <w:t xml:space="preserve"> pilot is to assist adults with mental ill</w:t>
      </w:r>
      <w:r w:rsidR="009123CE">
        <w:t xml:space="preserve"> health</w:t>
      </w:r>
      <w:r>
        <w:t xml:space="preserve"> to achieve and maintain sustainable participation in vocational education and</w:t>
      </w:r>
      <w:r w:rsidR="0050638B">
        <w:t>/or</w:t>
      </w:r>
      <w:r>
        <w:t xml:space="preserve"> competitive employment by: </w:t>
      </w:r>
    </w:p>
    <w:p w14:paraId="31865DDD" w14:textId="77777777" w:rsidR="00D40DF8" w:rsidRDefault="00D40DF8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achieving 4, 12 and 26 week employment placements, recognising a 26 week placement as a sustainable employment outcome</w:t>
      </w:r>
    </w:p>
    <w:p w14:paraId="0ACBB12B" w14:textId="77777777" w:rsidR="00D40DF8" w:rsidRDefault="00D40DF8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improving the health and wellbeing or participants</w:t>
      </w:r>
    </w:p>
    <w:p w14:paraId="435875D8" w14:textId="77777777" w:rsidR="00D40DF8" w:rsidRDefault="00D40DF8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establishing networks and partnerships with key local stakeholders</w:t>
      </w:r>
    </w:p>
    <w:p w14:paraId="33ADB44A" w14:textId="77777777" w:rsidR="00D40DF8" w:rsidRDefault="00D40DF8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maintaining a best practice caseload of </w:t>
      </w:r>
      <w:r w:rsidR="009465D7">
        <w:rPr>
          <w:rFonts w:ascii="Arial" w:hAnsi="Arial" w:cs="Arial"/>
          <w:bCs/>
        </w:rPr>
        <w:t xml:space="preserve">up to </w:t>
      </w:r>
      <w:r>
        <w:rPr>
          <w:rFonts w:ascii="Arial" w:hAnsi="Arial" w:cs="Arial"/>
          <w:bCs/>
        </w:rPr>
        <w:t>20 people at any time per Vocational Specialist</w:t>
      </w:r>
      <w:r w:rsidR="004B3B7C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 xml:space="preserve"> and </w:t>
      </w:r>
    </w:p>
    <w:p w14:paraId="29EA460A" w14:textId="77777777" w:rsidR="00D40DF8" w:rsidRDefault="00D40DF8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improving financial wellbeing of participants, with a reduced reliance on government welfare benefits.</w:t>
      </w:r>
    </w:p>
    <w:p w14:paraId="1B8DA83B" w14:textId="63BCB59E" w:rsidR="00B122AE" w:rsidRDefault="00B122AE" w:rsidP="00F813B4">
      <w:bookmarkStart w:id="29" w:name="_Toc75707326"/>
      <w:bookmarkStart w:id="30" w:name="_Toc75710979"/>
      <w:bookmarkStart w:id="31" w:name="_Toc78266516"/>
      <w:bookmarkStart w:id="32" w:name="_Toc78266681"/>
      <w:bookmarkStart w:id="33" w:name="_Toc75707327"/>
      <w:bookmarkStart w:id="34" w:name="_Toc75710980"/>
      <w:bookmarkStart w:id="35" w:name="_Toc78266517"/>
      <w:bookmarkStart w:id="36" w:name="_Toc78266682"/>
      <w:bookmarkStart w:id="37" w:name="_Toc75707328"/>
      <w:bookmarkStart w:id="38" w:name="_Toc75710981"/>
      <w:bookmarkStart w:id="39" w:name="_Toc78266518"/>
      <w:bookmarkStart w:id="40" w:name="_Toc78266683"/>
      <w:bookmarkStart w:id="41" w:name="_Toc75707330"/>
      <w:bookmarkStart w:id="42" w:name="_Toc75710983"/>
      <w:bookmarkStart w:id="43" w:name="_Toc78266520"/>
      <w:bookmarkStart w:id="44" w:name="_Toc78266685"/>
      <w:bookmarkStart w:id="45" w:name="_IPS_Practice_Principles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t>All</w:t>
      </w:r>
      <w:r w:rsidR="004D37F9">
        <w:t xml:space="preserve"> o</w:t>
      </w:r>
      <w:r w:rsidR="007D6E0A">
        <w:t xml:space="preserve">rganisations delivering </w:t>
      </w:r>
      <w:r w:rsidR="00C23B92">
        <w:t>IPS services</w:t>
      </w:r>
      <w:r w:rsidR="00474238">
        <w:t xml:space="preserve"> </w:t>
      </w:r>
      <w:r>
        <w:t xml:space="preserve">must subscribe to </w:t>
      </w:r>
      <w:r w:rsidR="00CD1904">
        <w:t>the core</w:t>
      </w:r>
      <w:r w:rsidR="007D6E0A">
        <w:t xml:space="preserve"> IPS</w:t>
      </w:r>
      <w:r>
        <w:t xml:space="preserve"> Practice Principles that underpin delivery of support to participants. </w:t>
      </w:r>
      <w:r w:rsidR="00CD1904">
        <w:t xml:space="preserve">IPS is a highly defined form of supported employment and has </w:t>
      </w:r>
      <w:r w:rsidR="00AE55B2">
        <w:t>8</w:t>
      </w:r>
      <w:r w:rsidR="00CD1904">
        <w:t xml:space="preserve"> core Practice Principles. A summary of the</w:t>
      </w:r>
      <w:r w:rsidR="00474238">
        <w:t xml:space="preserve"> </w:t>
      </w:r>
      <w:r>
        <w:t>Practice Principles</w:t>
      </w:r>
      <w:r w:rsidR="00474238">
        <w:t xml:space="preserve"> </w:t>
      </w:r>
      <w:proofErr w:type="gramStart"/>
      <w:r w:rsidR="00474238">
        <w:t>are</w:t>
      </w:r>
      <w:proofErr w:type="gramEnd"/>
      <w:r>
        <w:t>:</w:t>
      </w:r>
    </w:p>
    <w:p w14:paraId="247B948F" w14:textId="77777777" w:rsidR="00B122AE" w:rsidRDefault="00B122AE" w:rsidP="00411004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</w:pPr>
      <w:r w:rsidRPr="00C449B3">
        <w:rPr>
          <w:b/>
        </w:rPr>
        <w:t>Focus on Competitive Employment:</w:t>
      </w:r>
      <w:r>
        <w:t xml:space="preserve"> IPS services are committed to competitive employment as an attainable goal for participants with mental ill</w:t>
      </w:r>
      <w:r w:rsidR="009123CE">
        <w:t xml:space="preserve"> health</w:t>
      </w:r>
      <w:r>
        <w:t xml:space="preserve"> seeking employment. </w:t>
      </w:r>
    </w:p>
    <w:p w14:paraId="33FF0379" w14:textId="77777777" w:rsidR="00B122AE" w:rsidRDefault="00B122AE" w:rsidP="00411004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</w:pPr>
      <w:r w:rsidRPr="00C449B3">
        <w:rPr>
          <w:b/>
        </w:rPr>
        <w:t>Eligibility Based on Participants Choice:</w:t>
      </w:r>
      <w:r>
        <w:t xml:space="preserve"> Participants are not excluded from the IPS service on the basis of readiness, diagnoses, symptoms, substance use history, psychiatric hospitalisations, level of disability, or legal system involvement.</w:t>
      </w:r>
    </w:p>
    <w:p w14:paraId="59350469" w14:textId="77777777" w:rsidR="00B122AE" w:rsidRDefault="00B122AE" w:rsidP="00411004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</w:pPr>
      <w:r w:rsidRPr="00C449B3">
        <w:rPr>
          <w:b/>
        </w:rPr>
        <w:t xml:space="preserve">Integration of Rehabilitation and Mental Health Services: </w:t>
      </w:r>
      <w:r>
        <w:t>The IPS model is based on a close integration of mental health treatment teams, including clinical care.</w:t>
      </w:r>
    </w:p>
    <w:p w14:paraId="61F7069C" w14:textId="77777777" w:rsidR="00B122AE" w:rsidRDefault="00B122AE" w:rsidP="00411004">
      <w:pPr>
        <w:pStyle w:val="ListParagraph"/>
        <w:numPr>
          <w:ilvl w:val="0"/>
          <w:numId w:val="10"/>
        </w:numPr>
        <w:spacing w:after="240" w:line="240" w:lineRule="auto"/>
        <w:ind w:left="714" w:hanging="357"/>
        <w:contextualSpacing w:val="0"/>
      </w:pPr>
      <w:r w:rsidRPr="00C449B3">
        <w:rPr>
          <w:b/>
        </w:rPr>
        <w:t>Attention to Participant Preferences:</w:t>
      </w:r>
      <w:r>
        <w:t xml:space="preserve"> Services are based on participants’ preferences and choices, </w:t>
      </w:r>
      <w:r w:rsidR="00C23B92">
        <w:t xml:space="preserve">rather than </w:t>
      </w:r>
      <w:r w:rsidR="000D6BAE">
        <w:t xml:space="preserve">IPS provider </w:t>
      </w:r>
      <w:r>
        <w:t>judg</w:t>
      </w:r>
      <w:r w:rsidR="009E6324">
        <w:t>e</w:t>
      </w:r>
      <w:r>
        <w:t>ments.</w:t>
      </w:r>
    </w:p>
    <w:p w14:paraId="5CC58009" w14:textId="77777777" w:rsidR="00B122AE" w:rsidRDefault="00B122AE" w:rsidP="00411004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</w:pPr>
      <w:r w:rsidRPr="00C449B3">
        <w:rPr>
          <w:b/>
        </w:rPr>
        <w:lastRenderedPageBreak/>
        <w:t>Personalised Benefits Counselling:</w:t>
      </w:r>
      <w:r>
        <w:t xml:space="preserve"> </w:t>
      </w:r>
      <w:r w:rsidR="000D3E9C">
        <w:t xml:space="preserve">Vocational Specialists </w:t>
      </w:r>
      <w:r>
        <w:t>help participants obtain personalised, understandable, and accurate information about their government entitlements. (Fear of losing benefits is a major barrier to employment)</w:t>
      </w:r>
      <w:r w:rsidR="005B0CA2">
        <w:t>.</w:t>
      </w:r>
    </w:p>
    <w:p w14:paraId="1FCDD2A8" w14:textId="77777777" w:rsidR="00B122AE" w:rsidRDefault="00B122AE" w:rsidP="00411004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</w:pPr>
      <w:r w:rsidRPr="00C449B3">
        <w:rPr>
          <w:b/>
        </w:rPr>
        <w:t>Rapid Job Search:</w:t>
      </w:r>
      <w:r>
        <w:t xml:space="preserve"> The IPS model is based on a rapid job search approach to help participants obtain jobs directly, rather than providing lengthy </w:t>
      </w:r>
      <w:r w:rsidR="009E6324">
        <w:t>pre-employment</w:t>
      </w:r>
      <w:r>
        <w:t xml:space="preserve"> assessment, training, and counselling. </w:t>
      </w:r>
    </w:p>
    <w:p w14:paraId="36173466" w14:textId="77777777" w:rsidR="00B122AE" w:rsidRDefault="00B122AE" w:rsidP="00411004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</w:pPr>
      <w:r w:rsidRPr="00C449B3">
        <w:rPr>
          <w:b/>
        </w:rPr>
        <w:t>Systematic Job Development:</w:t>
      </w:r>
      <w:r>
        <w:t xml:space="preserve"> </w:t>
      </w:r>
      <w:r w:rsidR="000D3E9C">
        <w:t xml:space="preserve">Vocational Specialists </w:t>
      </w:r>
      <w:r>
        <w:t>build an employer network based on participants’ interests, developing relationships and partnerships with local employers.</w:t>
      </w:r>
    </w:p>
    <w:p w14:paraId="3341FDD4" w14:textId="77777777" w:rsidR="000C5C6F" w:rsidRDefault="00B122AE" w:rsidP="00411004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</w:pPr>
      <w:r w:rsidRPr="00CE74A2">
        <w:rPr>
          <w:b/>
        </w:rPr>
        <w:t>Time-Unlimited and Individualised Support:</w:t>
      </w:r>
      <w:r>
        <w:t xml:space="preserve"> Follow-along supports are individualised and are continued for as long as the participant wants and needs the support</w:t>
      </w:r>
      <w:r w:rsidR="0050638B">
        <w:t>.</w:t>
      </w:r>
    </w:p>
    <w:p w14:paraId="05B38084" w14:textId="0E814226" w:rsidR="2779E5E1" w:rsidRDefault="00CD1904" w:rsidP="00CC2F20">
      <w:pPr>
        <w:spacing w:after="240" w:line="240" w:lineRule="auto"/>
      </w:pPr>
      <w:r>
        <w:t>For more information on the core Practice Principles used by the IPS</w:t>
      </w:r>
      <w:r w:rsidR="009123CE">
        <w:t xml:space="preserve"> fidelity r</w:t>
      </w:r>
      <w:r w:rsidR="00732BF0">
        <w:t>eview</w:t>
      </w:r>
      <w:r w:rsidR="009123CE">
        <w:t>er</w:t>
      </w:r>
      <w:r w:rsidR="00732BF0">
        <w:t xml:space="preserve"> go to</w:t>
      </w:r>
      <w:r>
        <w:t>: IPS Core Practice Principles / IPS WAAMH.</w:t>
      </w:r>
    </w:p>
    <w:p w14:paraId="4C599815" w14:textId="54F588C5" w:rsidR="00CC2F20" w:rsidRPr="00D245E8" w:rsidRDefault="2779E5E1" w:rsidP="00CC2F20">
      <w:r w:rsidRPr="00D245E8">
        <w:rPr>
          <w:rFonts w:eastAsia="Arial"/>
        </w:rPr>
        <w:t>IPS providers must also support participants to achieve their vocational</w:t>
      </w:r>
      <w:r w:rsidR="00CC2F20" w:rsidRPr="00D245E8">
        <w:rPr>
          <w:rFonts w:eastAsia="Arial"/>
        </w:rPr>
        <w:t xml:space="preserve"> </w:t>
      </w:r>
      <w:r w:rsidRPr="00D245E8">
        <w:rPr>
          <w:rFonts w:eastAsia="Arial"/>
        </w:rPr>
        <w:t>education goals in line with the 8 IPS Core Practice Principles.</w:t>
      </w:r>
    </w:p>
    <w:p w14:paraId="5255FAE7" w14:textId="77777777" w:rsidR="00AE179B" w:rsidRPr="00EA3686" w:rsidRDefault="00AE179B" w:rsidP="002720FA">
      <w:pPr>
        <w:pStyle w:val="Heading3"/>
        <w:numPr>
          <w:ilvl w:val="0"/>
          <w:numId w:val="41"/>
        </w:numPr>
      </w:pPr>
      <w:bookmarkStart w:id="46" w:name="_Toc207282683"/>
      <w:r>
        <w:t>A</w:t>
      </w:r>
      <w:r w:rsidRPr="00EA3686">
        <w:t>ccess</w:t>
      </w:r>
      <w:r>
        <w:t xml:space="preserve"> to</w:t>
      </w:r>
      <w:r w:rsidRPr="00EA3686">
        <w:t xml:space="preserve"> the </w:t>
      </w:r>
      <w:r w:rsidR="00950901">
        <w:t xml:space="preserve">AMH </w:t>
      </w:r>
      <w:r w:rsidR="000D6BAE">
        <w:t>pilot</w:t>
      </w:r>
      <w:bookmarkEnd w:id="46"/>
    </w:p>
    <w:p w14:paraId="47875D8A" w14:textId="77777777" w:rsidR="00AE179B" w:rsidRPr="00EA3686" w:rsidRDefault="00AE179B" w:rsidP="00AE179B">
      <w:r w:rsidRPr="00EA3686">
        <w:t>To be elig</w:t>
      </w:r>
      <w:r>
        <w:t xml:space="preserve">ible to participate in the </w:t>
      </w:r>
      <w:r w:rsidR="00B4451A">
        <w:t>AMH pilot</w:t>
      </w:r>
      <w:r w:rsidRPr="00EA3686">
        <w:t xml:space="preserve">, </w:t>
      </w:r>
      <w:r w:rsidR="00E468B2">
        <w:t>a person</w:t>
      </w:r>
      <w:r w:rsidRPr="00EA3686">
        <w:t xml:space="preserve"> must:</w:t>
      </w:r>
    </w:p>
    <w:p w14:paraId="2F1C4702" w14:textId="77777777" w:rsidR="00AE179B" w:rsidRPr="00951E87" w:rsidRDefault="00AE179B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 w:rsidRPr="00B41B4F">
        <w:rPr>
          <w:rFonts w:ascii="Arial" w:hAnsi="Arial" w:cs="Arial"/>
          <w:bCs/>
        </w:rPr>
        <w:t>be a</w:t>
      </w:r>
      <w:r w:rsidR="00B4451A" w:rsidRPr="00B41B4F">
        <w:rPr>
          <w:rFonts w:ascii="Arial" w:hAnsi="Arial" w:cs="Arial"/>
          <w:bCs/>
        </w:rPr>
        <w:t>n adult</w:t>
      </w:r>
      <w:r w:rsidRPr="00B41B4F">
        <w:rPr>
          <w:rFonts w:ascii="Arial" w:hAnsi="Arial" w:cs="Arial"/>
          <w:bCs/>
        </w:rPr>
        <w:t xml:space="preserve"> with mental ill</w:t>
      </w:r>
      <w:r w:rsidR="009123CE">
        <w:rPr>
          <w:rFonts w:ascii="Arial" w:hAnsi="Arial" w:cs="Arial"/>
          <w:bCs/>
        </w:rPr>
        <w:t xml:space="preserve"> health</w:t>
      </w:r>
      <w:r w:rsidRPr="00B41B4F">
        <w:rPr>
          <w:rFonts w:ascii="Arial" w:hAnsi="Arial" w:cs="Arial"/>
          <w:bCs/>
        </w:rPr>
        <w:t xml:space="preserve"> </w:t>
      </w:r>
    </w:p>
    <w:p w14:paraId="6ADCE354" w14:textId="6B99D921" w:rsidR="00AE179B" w:rsidRPr="00951E87" w:rsidRDefault="00AE179B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 w:rsidRPr="00B41B4F">
        <w:rPr>
          <w:rFonts w:ascii="Arial" w:hAnsi="Arial" w:cs="Arial"/>
          <w:bCs/>
        </w:rPr>
        <w:t xml:space="preserve">be an eligible client of </w:t>
      </w:r>
      <w:r w:rsidR="00A60310">
        <w:rPr>
          <w:rFonts w:ascii="Arial" w:hAnsi="Arial" w:cs="Arial"/>
          <w:bCs/>
        </w:rPr>
        <w:t xml:space="preserve">participating </w:t>
      </w:r>
      <w:r w:rsidR="00A60310">
        <w:t>MMH</w:t>
      </w:r>
      <w:r w:rsidRPr="00B41B4F">
        <w:rPr>
          <w:rFonts w:ascii="Arial" w:hAnsi="Arial" w:cs="Arial"/>
          <w:bCs/>
        </w:rPr>
        <w:t xml:space="preserve"> </w:t>
      </w:r>
      <w:r w:rsidR="00B41B4F">
        <w:rPr>
          <w:rFonts w:ascii="Arial" w:hAnsi="Arial" w:cs="Arial"/>
          <w:bCs/>
        </w:rPr>
        <w:t>c</w:t>
      </w:r>
      <w:r w:rsidR="00083FD7" w:rsidRPr="00B41B4F">
        <w:rPr>
          <w:rFonts w:ascii="Arial" w:hAnsi="Arial" w:cs="Arial"/>
          <w:bCs/>
        </w:rPr>
        <w:t>entre</w:t>
      </w:r>
    </w:p>
    <w:p w14:paraId="3709F1EC" w14:textId="1DAF25A3" w:rsidR="004B66BC" w:rsidRPr="00951E87" w:rsidRDefault="004B66BC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 w:rsidRPr="00B41B4F">
        <w:rPr>
          <w:rFonts w:ascii="Arial" w:hAnsi="Arial" w:cs="Arial"/>
          <w:bCs/>
        </w:rPr>
        <w:t xml:space="preserve">be referred to the pilot by </w:t>
      </w:r>
      <w:r w:rsidR="00A60310">
        <w:t>MMH</w:t>
      </w:r>
      <w:r w:rsidR="00CF2AB7">
        <w:t xml:space="preserve"> </w:t>
      </w:r>
      <w:r w:rsidRPr="00B41B4F">
        <w:rPr>
          <w:rFonts w:ascii="Arial" w:hAnsi="Arial" w:cs="Arial"/>
          <w:bCs/>
        </w:rPr>
        <w:t>clinical staff</w:t>
      </w:r>
    </w:p>
    <w:p w14:paraId="1392AD80" w14:textId="77777777" w:rsidR="00AE179B" w:rsidRPr="00951E87" w:rsidRDefault="00AE179B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 w:rsidRPr="00B41B4F">
        <w:rPr>
          <w:rFonts w:ascii="Arial" w:hAnsi="Arial" w:cs="Arial"/>
          <w:bCs/>
        </w:rPr>
        <w:t>have employment, education or training goals and be facing ba</w:t>
      </w:r>
      <w:r w:rsidR="00984777" w:rsidRPr="00B41B4F">
        <w:rPr>
          <w:rFonts w:ascii="Arial" w:hAnsi="Arial" w:cs="Arial"/>
          <w:bCs/>
        </w:rPr>
        <w:t>rriers to achieving these goals</w:t>
      </w:r>
      <w:r w:rsidR="004B3B7C">
        <w:rPr>
          <w:rFonts w:ascii="Arial" w:hAnsi="Arial" w:cs="Arial"/>
          <w:bCs/>
        </w:rPr>
        <w:t>; and</w:t>
      </w:r>
    </w:p>
    <w:p w14:paraId="7D16B4E7" w14:textId="77777777" w:rsidR="00AE179B" w:rsidRPr="00951E87" w:rsidRDefault="00AE179B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 w:rsidRPr="00B41B4F">
        <w:rPr>
          <w:rFonts w:ascii="Arial" w:hAnsi="Arial" w:cs="Arial"/>
          <w:bCs/>
        </w:rPr>
        <w:t>be willing to participate in the service and able to make an informed decision to participate.</w:t>
      </w:r>
    </w:p>
    <w:p w14:paraId="6B2704F7" w14:textId="217774BF" w:rsidR="00AE179B" w:rsidRDefault="00AE179B" w:rsidP="00E57636">
      <w:r w:rsidRPr="3019AEBB">
        <w:rPr>
          <w:b/>
          <w:bCs/>
        </w:rPr>
        <w:t>*Note:</w:t>
      </w:r>
      <w:r>
        <w:t xml:space="preserve">  A formal diagnosis of mental illness is not required to participate in the </w:t>
      </w:r>
      <w:r w:rsidR="00B4451A">
        <w:t>AMH pilot</w:t>
      </w:r>
      <w:r>
        <w:t xml:space="preserve">. </w:t>
      </w:r>
      <w:r w:rsidR="00A60310">
        <w:t>MMH</w:t>
      </w:r>
      <w:r w:rsidR="00CF2AB7">
        <w:t xml:space="preserve"> </w:t>
      </w:r>
      <w:r w:rsidR="00C23B92">
        <w:t xml:space="preserve">clinical staff </w:t>
      </w:r>
      <w:r w:rsidR="005B0CA2">
        <w:t>can determine that a person has a mental illness</w:t>
      </w:r>
      <w:r>
        <w:t>.</w:t>
      </w:r>
    </w:p>
    <w:p w14:paraId="52F66C18" w14:textId="2EB1F763" w:rsidR="00EC3C1C" w:rsidRPr="00CF72B0" w:rsidRDefault="6CF65840" w:rsidP="002720FA">
      <w:pPr>
        <w:pStyle w:val="Heading3"/>
        <w:numPr>
          <w:ilvl w:val="0"/>
          <w:numId w:val="42"/>
        </w:numPr>
      </w:pPr>
      <w:bookmarkStart w:id="47" w:name="_Toc207282684"/>
      <w:r>
        <w:t xml:space="preserve">Working collaboratively with IPS </w:t>
      </w:r>
      <w:r w:rsidR="7DC3F35F">
        <w:t xml:space="preserve">program </w:t>
      </w:r>
      <w:r w:rsidR="576F2C61">
        <w:t>s</w:t>
      </w:r>
      <w:r w:rsidR="7DC3F35F">
        <w:t>takeholders</w:t>
      </w:r>
      <w:bookmarkEnd w:id="47"/>
      <w:r w:rsidR="58C5E694">
        <w:t xml:space="preserve"> </w:t>
      </w:r>
    </w:p>
    <w:p w14:paraId="5C07DDA5" w14:textId="19B98D68" w:rsidR="18B29990" w:rsidRDefault="18B29990">
      <w:pPr>
        <w:rPr>
          <w:rFonts w:eastAsia="Arial"/>
        </w:rPr>
      </w:pPr>
      <w:r w:rsidRPr="3EF5486A">
        <w:rPr>
          <w:rFonts w:eastAsia="Arial"/>
        </w:rPr>
        <w:t xml:space="preserve">IPS program </w:t>
      </w:r>
      <w:bookmarkStart w:id="48" w:name="_Int_a7wxEess"/>
      <w:r w:rsidRPr="3EF5486A">
        <w:rPr>
          <w:rFonts w:eastAsia="Arial"/>
        </w:rPr>
        <w:t>stakeholders</w:t>
      </w:r>
      <w:bookmarkEnd w:id="48"/>
      <w:r w:rsidRPr="3EF5486A">
        <w:rPr>
          <w:rFonts w:eastAsia="Arial"/>
        </w:rPr>
        <w:t xml:space="preserve"> support the IPS program and contribute to </w:t>
      </w:r>
      <w:r w:rsidR="2E021758" w:rsidRPr="3EF5486A">
        <w:rPr>
          <w:rFonts w:eastAsia="Arial"/>
        </w:rPr>
        <w:t xml:space="preserve">achieving </w:t>
      </w:r>
      <w:r w:rsidRPr="3EF5486A">
        <w:rPr>
          <w:rFonts w:eastAsia="Arial"/>
        </w:rPr>
        <w:t>program objective</w:t>
      </w:r>
      <w:r w:rsidR="24C3F8BF" w:rsidRPr="3EF5486A">
        <w:rPr>
          <w:rFonts w:eastAsia="Arial"/>
        </w:rPr>
        <w:t>s</w:t>
      </w:r>
      <w:r w:rsidRPr="3EF5486A">
        <w:rPr>
          <w:rFonts w:eastAsia="Arial"/>
        </w:rPr>
        <w:t xml:space="preserve">. </w:t>
      </w:r>
      <w:r w:rsidR="3CA8E2D6" w:rsidRPr="3EF5486A">
        <w:rPr>
          <w:rFonts w:eastAsia="Arial"/>
        </w:rPr>
        <w:t>AMH pilot</w:t>
      </w:r>
      <w:r w:rsidRPr="3EF5486A">
        <w:rPr>
          <w:rFonts w:eastAsia="Arial"/>
        </w:rPr>
        <w:t xml:space="preserve"> providers must work co-operatively</w:t>
      </w:r>
      <w:r w:rsidR="5460AB94" w:rsidRPr="3EF5486A">
        <w:rPr>
          <w:rFonts w:eastAsia="Arial"/>
        </w:rPr>
        <w:t xml:space="preserve"> with the stakeholders </w:t>
      </w:r>
      <w:r w:rsidR="0AC5B2F1" w:rsidRPr="3EF5486A">
        <w:rPr>
          <w:rFonts w:eastAsia="Arial"/>
        </w:rPr>
        <w:t>including</w:t>
      </w:r>
      <w:r w:rsidRPr="3EF5486A">
        <w:rPr>
          <w:rFonts w:eastAsia="Arial"/>
        </w:rPr>
        <w:t xml:space="preserve">: </w:t>
      </w:r>
    </w:p>
    <w:p w14:paraId="7DDB9934" w14:textId="29267253" w:rsidR="18B29990" w:rsidRDefault="18B29990" w:rsidP="00411004">
      <w:pPr>
        <w:pStyle w:val="ListParagraph"/>
        <w:numPr>
          <w:ilvl w:val="0"/>
          <w:numId w:val="2"/>
        </w:numPr>
        <w:spacing w:before="0" w:after="0"/>
        <w:rPr>
          <w:rFonts w:eastAsia="Arial"/>
        </w:rPr>
      </w:pPr>
      <w:r w:rsidRPr="3EF5486A">
        <w:rPr>
          <w:rFonts w:eastAsia="Arial"/>
        </w:rPr>
        <w:t xml:space="preserve">IPS Fidelity Review provider (fidelity reviewer) </w:t>
      </w:r>
    </w:p>
    <w:p w14:paraId="67D92629" w14:textId="5B3CFA48" w:rsidR="1DCCA6BF" w:rsidRDefault="1DCCA6BF" w:rsidP="00411004">
      <w:pPr>
        <w:pStyle w:val="ListParagraph"/>
        <w:numPr>
          <w:ilvl w:val="0"/>
          <w:numId w:val="2"/>
        </w:numPr>
        <w:spacing w:before="0" w:after="0"/>
        <w:rPr>
          <w:rFonts w:eastAsia="Arial"/>
        </w:rPr>
      </w:pPr>
      <w:r w:rsidRPr="3EF5486A">
        <w:rPr>
          <w:rFonts w:eastAsia="Arial"/>
        </w:rPr>
        <w:t xml:space="preserve">the Department, including </w:t>
      </w:r>
      <w:proofErr w:type="gramStart"/>
      <w:r w:rsidRPr="3EF5486A">
        <w:rPr>
          <w:rFonts w:eastAsia="Arial"/>
        </w:rPr>
        <w:t>the;</w:t>
      </w:r>
      <w:proofErr w:type="gramEnd"/>
    </w:p>
    <w:p w14:paraId="6F765048" w14:textId="4BA003A6" w:rsidR="1DCCA6BF" w:rsidRDefault="1DCCA6BF" w:rsidP="00E9014C">
      <w:pPr>
        <w:pStyle w:val="ListParagraph"/>
        <w:numPr>
          <w:ilvl w:val="0"/>
          <w:numId w:val="1"/>
        </w:numPr>
        <w:spacing w:before="0" w:after="0"/>
        <w:rPr>
          <w:rFonts w:eastAsia="Arial"/>
        </w:rPr>
      </w:pPr>
      <w:r w:rsidRPr="3EF5486A">
        <w:rPr>
          <w:rFonts w:eastAsia="Arial"/>
        </w:rPr>
        <w:t>IPS Policy team</w:t>
      </w:r>
    </w:p>
    <w:p w14:paraId="78810E54" w14:textId="52FB425B" w:rsidR="190F9548" w:rsidRDefault="190F9548" w:rsidP="00E9014C">
      <w:pPr>
        <w:pStyle w:val="ListParagraph"/>
        <w:numPr>
          <w:ilvl w:val="0"/>
          <w:numId w:val="1"/>
        </w:numPr>
        <w:spacing w:before="0" w:after="0"/>
        <w:rPr>
          <w:rFonts w:eastAsia="Arial"/>
        </w:rPr>
      </w:pPr>
      <w:r w:rsidRPr="3EF5486A">
        <w:rPr>
          <w:rFonts w:eastAsia="Arial"/>
        </w:rPr>
        <w:t>r</w:t>
      </w:r>
      <w:r w:rsidR="1DCCA6BF" w:rsidRPr="3EF5486A">
        <w:rPr>
          <w:rFonts w:eastAsia="Arial"/>
        </w:rPr>
        <w:t xml:space="preserve">elevant </w:t>
      </w:r>
      <w:r w:rsidR="00DF2085">
        <w:rPr>
          <w:rFonts w:eastAsia="Arial"/>
        </w:rPr>
        <w:t>Funding Arrangement Manager (FAM)</w:t>
      </w:r>
      <w:r w:rsidR="1DCCA6BF" w:rsidRPr="3EF5486A">
        <w:rPr>
          <w:rFonts w:eastAsia="Arial"/>
        </w:rPr>
        <w:t xml:space="preserve"> </w:t>
      </w:r>
    </w:p>
    <w:p w14:paraId="1581FA2C" w14:textId="2DC62EA0" w:rsidR="3EF5486A" w:rsidRPr="00A85B03" w:rsidRDefault="1DCCA6BF" w:rsidP="00E9014C">
      <w:pPr>
        <w:pStyle w:val="ListParagraph"/>
        <w:numPr>
          <w:ilvl w:val="0"/>
          <w:numId w:val="1"/>
        </w:numPr>
        <w:spacing w:before="0"/>
        <w:ind w:left="1077" w:hanging="357"/>
        <w:contextualSpacing w:val="0"/>
        <w:rPr>
          <w:rFonts w:eastAsia="Arial"/>
        </w:rPr>
      </w:pPr>
      <w:r w:rsidRPr="3EF5486A">
        <w:rPr>
          <w:rFonts w:eastAsia="Arial"/>
        </w:rPr>
        <w:t>the Community Grants Hub.</w:t>
      </w:r>
    </w:p>
    <w:p w14:paraId="0C09054D" w14:textId="3EF4A446" w:rsidR="18B29990" w:rsidRDefault="18B29990" w:rsidP="00E9014C">
      <w:pPr>
        <w:spacing w:before="0" w:after="0"/>
        <w:rPr>
          <w:rFonts w:eastAsia="Arial"/>
        </w:rPr>
      </w:pPr>
      <w:r w:rsidRPr="3EF5486A">
        <w:rPr>
          <w:rFonts w:eastAsia="Arial"/>
        </w:rPr>
        <w:t xml:space="preserve">Other organisations that may support the IPS program include reviewers and/or evaluators. These organisations may be engaged by the </w:t>
      </w:r>
      <w:r w:rsidR="505E5F70" w:rsidRPr="3EF5486A">
        <w:rPr>
          <w:rFonts w:eastAsia="Arial"/>
        </w:rPr>
        <w:t>Department</w:t>
      </w:r>
      <w:r w:rsidRPr="3EF5486A">
        <w:rPr>
          <w:rFonts w:eastAsia="Arial"/>
        </w:rPr>
        <w:t xml:space="preserve"> from time to time.</w:t>
      </w:r>
    </w:p>
    <w:p w14:paraId="17B52F2D" w14:textId="7107B11E" w:rsidR="64A1AFB6" w:rsidRDefault="64A1AFB6" w:rsidP="003A7D25">
      <w:pPr>
        <w:pStyle w:val="Heading3"/>
        <w:numPr>
          <w:ilvl w:val="0"/>
          <w:numId w:val="65"/>
        </w:numPr>
      </w:pPr>
      <w:bookmarkStart w:id="49" w:name="_Toc207282685"/>
      <w:r>
        <w:t xml:space="preserve">Fidelity Review </w:t>
      </w:r>
      <w:r w:rsidR="3C6D7145">
        <w:t>P</w:t>
      </w:r>
      <w:r>
        <w:t>rovider (fidelity reviewer)</w:t>
      </w:r>
      <w:bookmarkEnd w:id="49"/>
    </w:p>
    <w:p w14:paraId="529DB201" w14:textId="62D35387" w:rsidR="00A80FC8" w:rsidRPr="00CF72B0" w:rsidRDefault="00A80FC8" w:rsidP="008A1910">
      <w:r>
        <w:t xml:space="preserve">Fidelity reviews are used to measure the quality of IPS services provided. Research demonstrates that organisations with higher fidelity scores produce better competitive employment outcomes. </w:t>
      </w:r>
    </w:p>
    <w:p w14:paraId="06C2AFAD" w14:textId="480CB2D3" w:rsidR="00534711" w:rsidRPr="00CF72B0" w:rsidRDefault="00534711" w:rsidP="00260E56">
      <w:r w:rsidRPr="00CF72B0">
        <w:lastRenderedPageBreak/>
        <w:t xml:space="preserve">The </w:t>
      </w:r>
      <w:r w:rsidR="00B8500A">
        <w:t>Department</w:t>
      </w:r>
      <w:r w:rsidRPr="00CF72B0">
        <w:t xml:space="preserve"> has engaged the Western Australian Association for Mental Health (WAAMH) </w:t>
      </w:r>
      <w:r w:rsidR="00663D82" w:rsidRPr="00CF72B0">
        <w:t xml:space="preserve">as the fidelity reviewer to work collaboratively with the AMH </w:t>
      </w:r>
      <w:r w:rsidR="00A85B03">
        <w:t xml:space="preserve">pilot </w:t>
      </w:r>
      <w:r w:rsidR="00663D82" w:rsidRPr="00CF72B0">
        <w:t xml:space="preserve">provider. </w:t>
      </w:r>
      <w:r w:rsidRPr="00CF72B0">
        <w:t>IPS Works is a dedicated unit within WAAMH that undertakes the fidelity reviews.</w:t>
      </w:r>
    </w:p>
    <w:p w14:paraId="75DA351E" w14:textId="77777777" w:rsidR="00A80FC8" w:rsidRPr="00CF72B0" w:rsidRDefault="00A80FC8" w:rsidP="00260E56">
      <w:r w:rsidRPr="00CF72B0">
        <w:t xml:space="preserve">The fidelity reviewer is responsible for ensuring quality of service and </w:t>
      </w:r>
      <w:r w:rsidR="00EA322D" w:rsidRPr="00CF72B0">
        <w:t xml:space="preserve">provider </w:t>
      </w:r>
      <w:r w:rsidRPr="00CF72B0">
        <w:t>compliance to the IPS Practice Principles by monitoring and regularly assessing all AMH pilot sites against the Fidelity Scale.</w:t>
      </w:r>
      <w:r w:rsidR="00D96916" w:rsidRPr="00CF72B0">
        <w:t xml:space="preserve"> The fidelity reviewer will</w:t>
      </w:r>
      <w:r w:rsidRPr="00CF72B0">
        <w:t xml:space="preserve"> also provide ongoing training and support to the providers on matters related to fidelity and how to improve services. </w:t>
      </w:r>
    </w:p>
    <w:p w14:paraId="4F34C5B8" w14:textId="2AC0A0C3" w:rsidR="00777C63" w:rsidRPr="00CF72B0" w:rsidRDefault="00EC3C1C" w:rsidP="00260E56">
      <w:pPr>
        <w:rPr>
          <w:rFonts w:asciiTheme="minorHAnsi" w:eastAsiaTheme="minorHAnsi" w:hAnsiTheme="minorHAnsi"/>
          <w:color w:val="000000" w:themeColor="text1"/>
          <w:szCs w:val="20"/>
        </w:rPr>
      </w:pPr>
      <w:r w:rsidRPr="00CF72B0">
        <w:t xml:space="preserve">An approved </w:t>
      </w:r>
      <w:r w:rsidR="00531916">
        <w:t>F</w:t>
      </w:r>
      <w:r w:rsidRPr="00CF72B0">
        <w:t xml:space="preserve">idelity </w:t>
      </w:r>
      <w:r w:rsidR="00531916">
        <w:t>I</w:t>
      </w:r>
      <w:r w:rsidRPr="00CF72B0">
        <w:t xml:space="preserve">nstrument is used to monitor IPS providers. Adherence to the IPS model is measured using the 25-item </w:t>
      </w:r>
      <w:r w:rsidRPr="00CF72B0">
        <w:rPr>
          <w:rFonts w:asciiTheme="minorHAnsi" w:eastAsiaTheme="minorHAnsi" w:hAnsiTheme="minorHAnsi"/>
          <w:i/>
          <w:color w:val="000000" w:themeColor="text1"/>
          <w:szCs w:val="20"/>
        </w:rPr>
        <w:t xml:space="preserve">ANZ Supported Employment Fidelity Scale, </w:t>
      </w:r>
      <w:r w:rsidRPr="00CF72B0">
        <w:rPr>
          <w:rFonts w:asciiTheme="minorHAnsi" w:eastAsiaTheme="minorHAnsi" w:hAnsiTheme="minorHAnsi"/>
          <w:color w:val="000000" w:themeColor="text1"/>
          <w:szCs w:val="20"/>
        </w:rPr>
        <w:t>adapted by Waghorn &amp; Lintott (2011)</w:t>
      </w:r>
      <w:r w:rsidRPr="00CF72B0">
        <w:rPr>
          <w:rFonts w:asciiTheme="minorHAnsi" w:eastAsiaTheme="minorHAnsi" w:hAnsiTheme="minorHAnsi"/>
          <w:i/>
          <w:color w:val="000000" w:themeColor="text1"/>
          <w:szCs w:val="20"/>
        </w:rPr>
        <w:t>.</w:t>
      </w:r>
      <w:r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 </w:t>
      </w:r>
    </w:p>
    <w:p w14:paraId="36920D92" w14:textId="1E4B06E1" w:rsidR="00A91F8A" w:rsidRPr="00CF72B0" w:rsidRDefault="00EC3C1C" w:rsidP="00D00171">
      <w:pPr>
        <w:rPr>
          <w:rFonts w:asciiTheme="minorHAnsi" w:eastAsiaTheme="minorHAnsi" w:hAnsiTheme="minorHAnsi"/>
          <w:color w:val="000000" w:themeColor="text1"/>
          <w:szCs w:val="20"/>
        </w:rPr>
      </w:pPr>
      <w:r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The </w:t>
      </w:r>
      <w:r w:rsidR="0086006F" w:rsidRPr="00CF72B0">
        <w:rPr>
          <w:rFonts w:asciiTheme="minorHAnsi" w:eastAsiaTheme="minorHAnsi" w:hAnsiTheme="minorHAnsi"/>
          <w:color w:val="000000" w:themeColor="text1"/>
          <w:szCs w:val="20"/>
        </w:rPr>
        <w:t>25</w:t>
      </w:r>
      <w:r w:rsidR="003767B6" w:rsidRPr="00CF72B0">
        <w:rPr>
          <w:rFonts w:asciiTheme="minorHAnsi" w:eastAsiaTheme="minorHAnsi" w:hAnsiTheme="minorHAnsi"/>
          <w:color w:val="000000" w:themeColor="text1"/>
          <w:szCs w:val="20"/>
        </w:rPr>
        <w:t>-</w:t>
      </w:r>
      <w:r w:rsidR="0086006F" w:rsidRPr="00CF72B0">
        <w:rPr>
          <w:rFonts w:asciiTheme="minorHAnsi" w:eastAsiaTheme="minorHAnsi" w:hAnsiTheme="minorHAnsi"/>
          <w:color w:val="000000" w:themeColor="text1"/>
          <w:szCs w:val="20"/>
        </w:rPr>
        <w:t>item</w:t>
      </w:r>
      <w:r w:rsidR="00A91F8A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 Fidelity S</w:t>
      </w:r>
      <w:r w:rsidR="003767B6" w:rsidRPr="00CF72B0">
        <w:rPr>
          <w:rFonts w:asciiTheme="minorHAnsi" w:eastAsiaTheme="minorHAnsi" w:hAnsiTheme="minorHAnsi"/>
          <w:color w:val="000000" w:themeColor="text1"/>
          <w:szCs w:val="20"/>
        </w:rPr>
        <w:t>cale is</w:t>
      </w:r>
      <w:r w:rsidR="0086006F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 </w:t>
      </w:r>
      <w:r w:rsidR="008F3816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divided into </w:t>
      </w:r>
      <w:r w:rsidR="00AE55B2">
        <w:rPr>
          <w:rFonts w:asciiTheme="minorHAnsi" w:eastAsiaTheme="minorHAnsi" w:hAnsiTheme="minorHAnsi"/>
          <w:color w:val="000000" w:themeColor="text1"/>
          <w:szCs w:val="20"/>
        </w:rPr>
        <w:t>3</w:t>
      </w:r>
      <w:r w:rsidR="008F3816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 sections: Staffing, Organisation, and Services. Th</w:t>
      </w:r>
      <w:r w:rsidR="0086006F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e fidelity review </w:t>
      </w:r>
      <w:r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includes assessments of caseloads, number of and structure of the </w:t>
      </w:r>
      <w:r w:rsidR="00473A75" w:rsidRPr="00CF72B0">
        <w:rPr>
          <w:rFonts w:asciiTheme="minorHAnsi" w:eastAsiaTheme="minorHAnsi" w:hAnsiTheme="minorHAnsi"/>
          <w:color w:val="000000" w:themeColor="text1"/>
          <w:szCs w:val="20"/>
        </w:rPr>
        <w:t>V</w:t>
      </w:r>
      <w:r w:rsidR="008F3816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ocational </w:t>
      </w:r>
      <w:r w:rsidR="00473A75" w:rsidRPr="00CF72B0">
        <w:rPr>
          <w:rFonts w:asciiTheme="minorHAnsi" w:eastAsiaTheme="minorHAnsi" w:hAnsiTheme="minorHAnsi"/>
          <w:color w:val="000000" w:themeColor="text1"/>
          <w:szCs w:val="20"/>
        </w:rPr>
        <w:t>S</w:t>
      </w:r>
      <w:r w:rsidRPr="00CF72B0">
        <w:rPr>
          <w:rFonts w:asciiTheme="minorHAnsi" w:eastAsiaTheme="minorHAnsi" w:hAnsiTheme="minorHAnsi"/>
          <w:color w:val="000000" w:themeColor="text1"/>
          <w:szCs w:val="20"/>
        </w:rPr>
        <w:t>pecialists within the organisation,</w:t>
      </w:r>
      <w:r w:rsidR="008F3816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 number and</w:t>
      </w:r>
      <w:r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 </w:t>
      </w:r>
      <w:r w:rsidR="008F3816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quality of employer interactions, </w:t>
      </w:r>
      <w:r w:rsidRPr="00CF72B0">
        <w:rPr>
          <w:rFonts w:asciiTheme="minorHAnsi" w:eastAsiaTheme="minorHAnsi" w:hAnsiTheme="minorHAnsi"/>
          <w:color w:val="000000" w:themeColor="text1"/>
          <w:szCs w:val="20"/>
        </w:rPr>
        <w:t>time spent providing ongoing support, and the extent of service integration.</w:t>
      </w:r>
      <w:r w:rsidR="00D96916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 </w:t>
      </w:r>
    </w:p>
    <w:p w14:paraId="1C1F58D5" w14:textId="5711AE86" w:rsidR="00EA322D" w:rsidRPr="00CF72B0" w:rsidRDefault="00D00171" w:rsidP="00D00171">
      <w:pPr>
        <w:rPr>
          <w:rFonts w:asciiTheme="minorHAnsi" w:eastAsiaTheme="minorHAnsi" w:hAnsiTheme="minorHAnsi"/>
          <w:color w:val="000000" w:themeColor="text1"/>
          <w:szCs w:val="20"/>
        </w:rPr>
      </w:pPr>
      <w:r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The fidelity reviewer will </w:t>
      </w:r>
      <w:r w:rsidR="00A91F8A" w:rsidRPr="00CF72B0">
        <w:rPr>
          <w:rFonts w:asciiTheme="minorHAnsi" w:eastAsiaTheme="minorHAnsi" w:hAnsiTheme="minorHAnsi"/>
          <w:color w:val="000000" w:themeColor="text1"/>
          <w:szCs w:val="20"/>
        </w:rPr>
        <w:t>first review an</w:t>
      </w:r>
      <w:r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 AMH </w:t>
      </w:r>
      <w:r w:rsidR="00A60310">
        <w:rPr>
          <w:rFonts w:asciiTheme="minorHAnsi" w:eastAsiaTheme="minorHAnsi" w:hAnsiTheme="minorHAnsi"/>
          <w:color w:val="000000" w:themeColor="text1"/>
          <w:szCs w:val="20"/>
        </w:rPr>
        <w:t xml:space="preserve">pilot </w:t>
      </w:r>
      <w:r w:rsidR="00A91F8A" w:rsidRPr="00CF72B0">
        <w:rPr>
          <w:rFonts w:asciiTheme="minorHAnsi" w:eastAsiaTheme="minorHAnsi" w:hAnsiTheme="minorHAnsi"/>
          <w:color w:val="000000" w:themeColor="text1"/>
          <w:szCs w:val="20"/>
        </w:rPr>
        <w:t>provider within</w:t>
      </w:r>
      <w:r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 </w:t>
      </w:r>
      <w:r w:rsidR="00AE55B2">
        <w:rPr>
          <w:rFonts w:asciiTheme="minorHAnsi" w:eastAsiaTheme="minorHAnsi" w:hAnsiTheme="minorHAnsi"/>
          <w:color w:val="000000" w:themeColor="text1"/>
          <w:szCs w:val="20"/>
        </w:rPr>
        <w:t>6</w:t>
      </w:r>
      <w:r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 months </w:t>
      </w:r>
      <w:r w:rsidR="00A91F8A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of operation. The fidelity reviewer will return every </w:t>
      </w:r>
      <w:r w:rsidR="00AE55B2">
        <w:rPr>
          <w:rFonts w:asciiTheme="minorHAnsi" w:eastAsiaTheme="minorHAnsi" w:hAnsiTheme="minorHAnsi"/>
          <w:color w:val="000000" w:themeColor="text1"/>
          <w:szCs w:val="20"/>
        </w:rPr>
        <w:t>6</w:t>
      </w:r>
      <w:r w:rsidR="00A91F8A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 months until the AMH </w:t>
      </w:r>
      <w:r w:rsidR="00A60310">
        <w:rPr>
          <w:rFonts w:asciiTheme="minorHAnsi" w:eastAsiaTheme="minorHAnsi" w:hAnsiTheme="minorHAnsi"/>
          <w:color w:val="000000" w:themeColor="text1"/>
          <w:szCs w:val="20"/>
        </w:rPr>
        <w:t xml:space="preserve">pilot </w:t>
      </w:r>
      <w:r w:rsidR="00A91F8A" w:rsidRPr="00CF72B0">
        <w:rPr>
          <w:rFonts w:asciiTheme="minorHAnsi" w:eastAsiaTheme="minorHAnsi" w:hAnsiTheme="minorHAnsi"/>
          <w:color w:val="000000" w:themeColor="text1"/>
          <w:szCs w:val="20"/>
        </w:rPr>
        <w:t>provider has achieved good fidelity (a score of 100 or better)</w:t>
      </w:r>
      <w:r w:rsidR="00BA7588" w:rsidRPr="00CF72B0">
        <w:rPr>
          <w:rFonts w:asciiTheme="minorHAnsi" w:eastAsiaTheme="minorHAnsi" w:hAnsiTheme="minorHAnsi"/>
          <w:color w:val="000000" w:themeColor="text1"/>
          <w:szCs w:val="20"/>
        </w:rPr>
        <w:t xml:space="preserve">. </w:t>
      </w:r>
    </w:p>
    <w:p w14:paraId="799F9F18" w14:textId="7A67ACA8" w:rsidR="00D00171" w:rsidRPr="00CF72B0" w:rsidRDefault="00D00171" w:rsidP="00D00171">
      <w:pPr>
        <w:rPr>
          <w:rFonts w:eastAsia="Arial"/>
          <w:color w:val="000000"/>
          <w:szCs w:val="20"/>
        </w:rPr>
      </w:pPr>
      <w:r w:rsidRPr="00CF72B0">
        <w:rPr>
          <w:rFonts w:eastAsia="Arial"/>
          <w:color w:val="000000"/>
          <w:szCs w:val="20"/>
        </w:rPr>
        <w:t xml:space="preserve">The fidelity reviewer will develop a schedule of site visits and fidelity reviews with AMH </w:t>
      </w:r>
      <w:r w:rsidR="00A60310">
        <w:rPr>
          <w:rFonts w:eastAsia="Arial"/>
          <w:color w:val="000000"/>
          <w:szCs w:val="20"/>
        </w:rPr>
        <w:t xml:space="preserve">pilot </w:t>
      </w:r>
      <w:r w:rsidRPr="00CF72B0">
        <w:rPr>
          <w:rFonts w:eastAsia="Arial"/>
          <w:color w:val="000000"/>
          <w:szCs w:val="20"/>
        </w:rPr>
        <w:t xml:space="preserve">providers. AMH </w:t>
      </w:r>
      <w:r w:rsidR="00A60310">
        <w:rPr>
          <w:rFonts w:eastAsia="Arial"/>
          <w:color w:val="000000"/>
          <w:szCs w:val="20"/>
        </w:rPr>
        <w:t xml:space="preserve">pilot </w:t>
      </w:r>
      <w:r w:rsidRPr="00CF72B0">
        <w:rPr>
          <w:rFonts w:eastAsia="Arial"/>
          <w:color w:val="000000"/>
          <w:szCs w:val="20"/>
        </w:rPr>
        <w:t>providers will work co-operatively with the fidelity reviewer and ensure the following activities are undertaken:</w:t>
      </w:r>
    </w:p>
    <w:p w14:paraId="7BA75300" w14:textId="7FBEF296" w:rsidR="00D00171" w:rsidRPr="00CF72B0" w:rsidRDefault="00473A75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CF72B0">
        <w:rPr>
          <w:rFonts w:ascii="Arial" w:hAnsi="Arial" w:cs="Arial"/>
          <w:bCs/>
        </w:rPr>
        <w:t>p</w:t>
      </w:r>
      <w:r w:rsidR="002804EB" w:rsidRPr="00CF72B0">
        <w:rPr>
          <w:rFonts w:ascii="Arial" w:hAnsi="Arial" w:cs="Arial"/>
          <w:bCs/>
        </w:rPr>
        <w:t>ractitioner training and</w:t>
      </w:r>
      <w:r w:rsidR="00D00171" w:rsidRPr="00CF72B0">
        <w:rPr>
          <w:rFonts w:ascii="Arial" w:hAnsi="Arial" w:cs="Arial"/>
          <w:bCs/>
        </w:rPr>
        <w:t xml:space="preserve"> supervisor mentoring sessions</w:t>
      </w:r>
      <w:r w:rsidR="00BA7588" w:rsidRPr="00CF72B0">
        <w:rPr>
          <w:rFonts w:ascii="Arial" w:hAnsi="Arial" w:cs="Arial"/>
          <w:bCs/>
        </w:rPr>
        <w:t xml:space="preserve"> and online modules</w:t>
      </w:r>
      <w:r w:rsidR="00D00171" w:rsidRPr="00CF72B0">
        <w:rPr>
          <w:rFonts w:ascii="Arial" w:hAnsi="Arial" w:cs="Arial"/>
          <w:bCs/>
        </w:rPr>
        <w:t xml:space="preserve"> – within </w:t>
      </w:r>
      <w:r w:rsidR="00EA322D" w:rsidRPr="00CF72B0">
        <w:rPr>
          <w:rFonts w:ascii="Arial" w:hAnsi="Arial" w:cs="Arial"/>
          <w:bCs/>
        </w:rPr>
        <w:t>one month of a Vocational S</w:t>
      </w:r>
      <w:r w:rsidR="00D00171" w:rsidRPr="00CF72B0">
        <w:rPr>
          <w:rFonts w:ascii="Arial" w:hAnsi="Arial" w:cs="Arial"/>
          <w:bCs/>
        </w:rPr>
        <w:t>pecialist</w:t>
      </w:r>
      <w:r w:rsidR="00BA7588" w:rsidRPr="00CF72B0">
        <w:rPr>
          <w:rFonts w:ascii="Arial" w:hAnsi="Arial" w:cs="Arial"/>
          <w:bCs/>
        </w:rPr>
        <w:t xml:space="preserve">, supervisor and </w:t>
      </w:r>
      <w:r w:rsidR="00A60310">
        <w:t>MMH</w:t>
      </w:r>
      <w:r w:rsidR="00CF2AB7">
        <w:t xml:space="preserve"> c</w:t>
      </w:r>
      <w:r w:rsidR="00CF2AB7" w:rsidRPr="00F36F13">
        <w:t>entre</w:t>
      </w:r>
      <w:r w:rsidR="00BA7588" w:rsidRPr="00CF72B0">
        <w:rPr>
          <w:rFonts w:ascii="Arial" w:hAnsi="Arial" w:cs="Arial"/>
          <w:bCs/>
        </w:rPr>
        <w:t xml:space="preserve"> manager </w:t>
      </w:r>
      <w:r w:rsidR="00D00171" w:rsidRPr="00CF72B0">
        <w:rPr>
          <w:rFonts w:ascii="Arial" w:hAnsi="Arial" w:cs="Arial"/>
          <w:bCs/>
        </w:rPr>
        <w:t xml:space="preserve">commencing </w:t>
      </w:r>
      <w:r w:rsidR="002804EB" w:rsidRPr="00CF72B0">
        <w:rPr>
          <w:rFonts w:ascii="Arial" w:hAnsi="Arial" w:cs="Arial"/>
          <w:bCs/>
        </w:rPr>
        <w:t xml:space="preserve">in </w:t>
      </w:r>
      <w:r w:rsidR="00D00171" w:rsidRPr="00CF72B0">
        <w:rPr>
          <w:rFonts w:ascii="Arial" w:hAnsi="Arial" w:cs="Arial"/>
          <w:bCs/>
        </w:rPr>
        <w:t>their role</w:t>
      </w:r>
    </w:p>
    <w:p w14:paraId="5D282DCB" w14:textId="18961FDF" w:rsidR="00D00171" w:rsidRPr="00CF72B0" w:rsidRDefault="00473A75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CF72B0">
        <w:rPr>
          <w:rFonts w:ascii="Arial" w:hAnsi="Arial" w:cs="Arial"/>
          <w:bCs/>
        </w:rPr>
        <w:t>s</w:t>
      </w:r>
      <w:r w:rsidR="00D00171" w:rsidRPr="00CF72B0">
        <w:rPr>
          <w:rFonts w:ascii="Arial" w:hAnsi="Arial" w:cs="Arial"/>
          <w:bCs/>
        </w:rPr>
        <w:t>ite visits – twice yearly</w:t>
      </w:r>
      <w:r w:rsidR="00BA7588" w:rsidRPr="00CF72B0">
        <w:rPr>
          <w:rFonts w:ascii="Arial" w:hAnsi="Arial" w:cs="Arial"/>
          <w:bCs/>
        </w:rPr>
        <w:t xml:space="preserve"> until good fidelity is reached</w:t>
      </w:r>
      <w:r w:rsidR="00D00171" w:rsidRPr="00CF72B0">
        <w:rPr>
          <w:rFonts w:ascii="Arial" w:hAnsi="Arial" w:cs="Arial"/>
          <w:bCs/>
        </w:rPr>
        <w:t xml:space="preserve">, the first visit will be within </w:t>
      </w:r>
      <w:r w:rsidR="00AE55B2">
        <w:rPr>
          <w:rFonts w:ascii="Arial" w:hAnsi="Arial" w:cs="Arial"/>
          <w:bCs/>
        </w:rPr>
        <w:t>3</w:t>
      </w:r>
      <w:r w:rsidR="00D00171" w:rsidRPr="00CF72B0">
        <w:rPr>
          <w:rFonts w:ascii="Arial" w:hAnsi="Arial" w:cs="Arial"/>
          <w:bCs/>
        </w:rPr>
        <w:t xml:space="preserve"> months of the service commencing</w:t>
      </w:r>
    </w:p>
    <w:p w14:paraId="6971BC41" w14:textId="5FB89845" w:rsidR="00D00171" w:rsidRPr="00CF72B0" w:rsidRDefault="00473A75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CF72B0">
        <w:rPr>
          <w:rFonts w:ascii="Arial" w:hAnsi="Arial" w:cs="Arial"/>
          <w:bCs/>
        </w:rPr>
        <w:t>f</w:t>
      </w:r>
      <w:r w:rsidR="00D00171" w:rsidRPr="00CF72B0">
        <w:rPr>
          <w:rFonts w:ascii="Arial" w:hAnsi="Arial" w:cs="Arial"/>
          <w:bCs/>
        </w:rPr>
        <w:t xml:space="preserve">idelity self-assessment - </w:t>
      </w:r>
      <w:r w:rsidR="00AE55B2">
        <w:rPr>
          <w:rFonts w:ascii="Arial" w:hAnsi="Arial" w:cs="Arial"/>
          <w:bCs/>
        </w:rPr>
        <w:t>3</w:t>
      </w:r>
      <w:r w:rsidR="00D00171" w:rsidRPr="00CF72B0">
        <w:rPr>
          <w:rFonts w:ascii="Arial" w:hAnsi="Arial" w:cs="Arial"/>
          <w:bCs/>
        </w:rPr>
        <w:t xml:space="preserve"> months after the service commences, and quarterly thereafter; and</w:t>
      </w:r>
    </w:p>
    <w:p w14:paraId="4B4FFEF3" w14:textId="5B425ABE" w:rsidR="00BA7588" w:rsidRPr="00CF72B0" w:rsidRDefault="00BA7588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bookmarkStart w:id="50" w:name="_Principles"/>
      <w:bookmarkStart w:id="51" w:name="_Service_Delivery"/>
      <w:bookmarkEnd w:id="50"/>
      <w:bookmarkEnd w:id="51"/>
      <w:r w:rsidRPr="00CF72B0">
        <w:rPr>
          <w:rFonts w:ascii="Arial" w:hAnsi="Arial" w:cs="Arial"/>
          <w:bCs/>
        </w:rPr>
        <w:t xml:space="preserve">six-monthly fidelity reviews - the first review will be no later than </w:t>
      </w:r>
      <w:r w:rsidR="00AE55B2">
        <w:rPr>
          <w:rFonts w:ascii="Arial" w:hAnsi="Arial" w:cs="Arial"/>
          <w:bCs/>
        </w:rPr>
        <w:t>6</w:t>
      </w:r>
      <w:r w:rsidRPr="00CF72B0">
        <w:rPr>
          <w:rFonts w:ascii="Arial" w:hAnsi="Arial" w:cs="Arial"/>
          <w:bCs/>
        </w:rPr>
        <w:t xml:space="preserve"> months after the commencement of IPS services. Reviews will continue every </w:t>
      </w:r>
      <w:r w:rsidR="00AE55B2">
        <w:rPr>
          <w:rFonts w:ascii="Arial" w:hAnsi="Arial" w:cs="Arial"/>
          <w:bCs/>
        </w:rPr>
        <w:t>6</w:t>
      </w:r>
      <w:r w:rsidRPr="00CF72B0">
        <w:rPr>
          <w:rFonts w:ascii="Arial" w:hAnsi="Arial" w:cs="Arial"/>
          <w:bCs/>
        </w:rPr>
        <w:t xml:space="preserve"> months until good fidelity is achieved; and</w:t>
      </w:r>
    </w:p>
    <w:p w14:paraId="56F49B59" w14:textId="670E8B83" w:rsidR="00BA7588" w:rsidRPr="00CF72B0" w:rsidRDefault="00BA7588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 w:rsidRPr="00CF72B0">
        <w:rPr>
          <w:rFonts w:ascii="Arial" w:hAnsi="Arial" w:cs="Arial"/>
          <w:bCs/>
        </w:rPr>
        <w:t xml:space="preserve">annual fidelity reviews – once </w:t>
      </w:r>
      <w:r w:rsidR="00A60310">
        <w:rPr>
          <w:rFonts w:ascii="Arial" w:hAnsi="Arial" w:cs="Arial"/>
          <w:bCs/>
        </w:rPr>
        <w:t>AMH pilot</w:t>
      </w:r>
      <w:r w:rsidRPr="00CF72B0">
        <w:rPr>
          <w:rFonts w:ascii="Arial" w:hAnsi="Arial" w:cs="Arial"/>
          <w:bCs/>
        </w:rPr>
        <w:t xml:space="preserve"> providers achieve good fidelity they will undertake annual reviews. There may be some circumstances where providers will revert to </w:t>
      </w:r>
      <w:r w:rsidR="00AE55B2">
        <w:rPr>
          <w:rFonts w:ascii="Arial" w:hAnsi="Arial" w:cs="Arial"/>
          <w:bCs/>
        </w:rPr>
        <w:t>6</w:t>
      </w:r>
      <w:r w:rsidRPr="00CF72B0">
        <w:rPr>
          <w:rFonts w:ascii="Arial" w:hAnsi="Arial" w:cs="Arial"/>
          <w:bCs/>
        </w:rPr>
        <w:t>-monthly reviews. For example, a subsequent fidelity review or self-assessment score is below 100, or if there are significant staffing or performance changes within the IPS service.</w:t>
      </w:r>
    </w:p>
    <w:p w14:paraId="00F894D4" w14:textId="0EF22C23" w:rsidR="00BA7588" w:rsidRPr="00BA7588" w:rsidRDefault="00BA7588" w:rsidP="00A60310">
      <w:pPr>
        <w:pStyle w:val="ListBullet"/>
        <w:numPr>
          <w:ilvl w:val="0"/>
          <w:numId w:val="0"/>
        </w:numPr>
        <w:tabs>
          <w:tab w:val="clear" w:pos="170"/>
          <w:tab w:val="left" w:pos="142"/>
        </w:tabs>
      </w:pPr>
      <w:r w:rsidRPr="00CF72B0">
        <w:t xml:space="preserve">The fidelity reviewer will supply the </w:t>
      </w:r>
      <w:r w:rsidR="00A60310">
        <w:t>MMH</w:t>
      </w:r>
      <w:r w:rsidRPr="00CF72B0">
        <w:t xml:space="preserve"> centre with a completed fidelity</w:t>
      </w:r>
      <w:r w:rsidR="00A60310">
        <w:t xml:space="preserve"> </w:t>
      </w:r>
      <w:r w:rsidRPr="00CF72B0">
        <w:t>review.</w:t>
      </w:r>
    </w:p>
    <w:p w14:paraId="5B724748" w14:textId="77777777" w:rsidR="00C74275" w:rsidRDefault="003D28B8" w:rsidP="003A7D25">
      <w:pPr>
        <w:pStyle w:val="Heading2"/>
        <w:numPr>
          <w:ilvl w:val="0"/>
          <w:numId w:val="66"/>
        </w:numPr>
        <w:ind w:left="527" w:hanging="357"/>
      </w:pPr>
      <w:bookmarkStart w:id="52" w:name="_Toc207282686"/>
      <w:r>
        <w:t>Service Delivery</w:t>
      </w:r>
      <w:bookmarkEnd w:id="52"/>
    </w:p>
    <w:p w14:paraId="4A256CD3" w14:textId="77777777" w:rsidR="00E327E4" w:rsidRPr="00D570A4" w:rsidRDefault="00663D82" w:rsidP="003A7D25">
      <w:pPr>
        <w:pStyle w:val="Heading3"/>
        <w:numPr>
          <w:ilvl w:val="0"/>
          <w:numId w:val="54"/>
        </w:numPr>
      </w:pPr>
      <w:bookmarkStart w:id="53" w:name="_Toc207282687"/>
      <w:r>
        <w:t>S</w:t>
      </w:r>
      <w:r w:rsidR="00330938">
        <w:t>ervices to be delivered</w:t>
      </w:r>
      <w:bookmarkEnd w:id="53"/>
    </w:p>
    <w:p w14:paraId="18CCAD87" w14:textId="5A9D4DC6" w:rsidR="00005717" w:rsidRDefault="00005717" w:rsidP="004B66BC">
      <w:r>
        <w:t xml:space="preserve">The role of AMH </w:t>
      </w:r>
      <w:r w:rsidR="00A60310">
        <w:t xml:space="preserve">pilot </w:t>
      </w:r>
      <w:r>
        <w:t xml:space="preserve">providers is to contribute to the objective of the pilot by providing specialist vocational assistance that </w:t>
      </w:r>
      <w:r w:rsidR="00EA322D">
        <w:t>adheres</w:t>
      </w:r>
      <w:r>
        <w:t xml:space="preserve"> to the IPS principles, to people with mental ill health in participating </w:t>
      </w:r>
      <w:r w:rsidR="00A60310">
        <w:t>MMH</w:t>
      </w:r>
      <w:r w:rsidR="00CF2AB7">
        <w:t xml:space="preserve"> </w:t>
      </w:r>
      <w:r w:rsidR="00E51B6E">
        <w:t>c</w:t>
      </w:r>
      <w:r>
        <w:t>entres.</w:t>
      </w:r>
    </w:p>
    <w:p w14:paraId="716404BC" w14:textId="61CE5C7C" w:rsidR="002B24DB" w:rsidRDefault="002B24DB" w:rsidP="004B66BC">
      <w:r>
        <w:lastRenderedPageBreak/>
        <w:t xml:space="preserve">AMH pilot providers are encouraged to work with </w:t>
      </w:r>
      <w:r w:rsidR="005D395A">
        <w:t xml:space="preserve">participating </w:t>
      </w:r>
      <w:r>
        <w:t xml:space="preserve">MMH centres to </w:t>
      </w:r>
      <w:r w:rsidR="005D395A">
        <w:t>implement</w:t>
      </w:r>
      <w:r>
        <w:t xml:space="preserve"> the most </w:t>
      </w:r>
      <w:r w:rsidR="003845BB">
        <w:t xml:space="preserve">effective and accessible ways of delivering IPS services, including varied hours, phone or video appointments. AMH pilot providers must inform the </w:t>
      </w:r>
      <w:r w:rsidR="00B8500A">
        <w:t>Department</w:t>
      </w:r>
      <w:r w:rsidR="003845BB">
        <w:t xml:space="preserve"> if they change their hours or method of service delivery.</w:t>
      </w:r>
      <w:r>
        <w:t xml:space="preserve"> </w:t>
      </w:r>
    </w:p>
    <w:p w14:paraId="7F29C378" w14:textId="6A001503" w:rsidR="00436D64" w:rsidRDefault="00F01463" w:rsidP="004B66BC">
      <w:pPr>
        <w:rPr>
          <w:color w:val="000000"/>
        </w:rPr>
      </w:pPr>
      <w:r>
        <w:t xml:space="preserve">AMH </w:t>
      </w:r>
      <w:r w:rsidR="00A60310">
        <w:t xml:space="preserve">pilot </w:t>
      </w:r>
      <w:r w:rsidR="00330938">
        <w:t>providers will develop a service delivery</w:t>
      </w:r>
      <w:bookmarkStart w:id="54" w:name="_Toc75707335"/>
      <w:bookmarkStart w:id="55" w:name="_Toc75707340"/>
      <w:bookmarkStart w:id="56" w:name="_Toc75707341"/>
      <w:bookmarkStart w:id="57" w:name="_Toc75707342"/>
      <w:bookmarkStart w:id="58" w:name="_Toc75707343"/>
      <w:bookmarkStart w:id="59" w:name="_Toc75707344"/>
      <w:bookmarkStart w:id="60" w:name="_Toc75707345"/>
      <w:bookmarkStart w:id="61" w:name="_Toc75707346"/>
      <w:bookmarkStart w:id="62" w:name="_Toc75707347"/>
      <w:bookmarkStart w:id="63" w:name="_Toc418003731"/>
      <w:bookmarkStart w:id="64" w:name="_Toc418003772"/>
      <w:bookmarkStart w:id="65" w:name="_Toc418003915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="00436D64" w:rsidRPr="00375270">
        <w:rPr>
          <w:color w:val="000000"/>
        </w:rPr>
        <w:t xml:space="preserve"> </w:t>
      </w:r>
      <w:r w:rsidR="007C5E03">
        <w:rPr>
          <w:color w:val="000000"/>
        </w:rPr>
        <w:t xml:space="preserve">model </w:t>
      </w:r>
      <w:r w:rsidR="008C444C">
        <w:rPr>
          <w:color w:val="000000"/>
        </w:rPr>
        <w:t xml:space="preserve">that </w:t>
      </w:r>
      <w:r w:rsidR="00436D64" w:rsidRPr="00375270">
        <w:rPr>
          <w:color w:val="000000"/>
        </w:rPr>
        <w:t>operat</w:t>
      </w:r>
      <w:r w:rsidR="008C444C">
        <w:rPr>
          <w:color w:val="000000"/>
        </w:rPr>
        <w:t>es</w:t>
      </w:r>
      <w:r w:rsidR="00436D64" w:rsidRPr="00375270">
        <w:rPr>
          <w:color w:val="000000"/>
        </w:rPr>
        <w:t xml:space="preserve"> according to the</w:t>
      </w:r>
      <w:r w:rsidR="00436D64">
        <w:rPr>
          <w:color w:val="000000"/>
        </w:rPr>
        <w:t xml:space="preserve"> following: </w:t>
      </w:r>
    </w:p>
    <w:p w14:paraId="003CD1FA" w14:textId="77777777" w:rsidR="00436D64" w:rsidRPr="00D245E8" w:rsidRDefault="00436D64" w:rsidP="00005717">
      <w:pPr>
        <w:pStyle w:val="ListBullet"/>
        <w:numPr>
          <w:ilvl w:val="0"/>
          <w:numId w:val="0"/>
        </w:numPr>
        <w:tabs>
          <w:tab w:val="clear" w:pos="170"/>
          <w:tab w:val="left" w:pos="567"/>
        </w:tabs>
        <w:ind w:left="360" w:hanging="360"/>
        <w:rPr>
          <w:color w:val="000000"/>
        </w:rPr>
      </w:pPr>
      <w:hyperlink w:anchor="_IPS_Practice_Principles" w:history="1">
        <w:r w:rsidRPr="00D245E8">
          <w:rPr>
            <w:rStyle w:val="Hyperlink"/>
            <w:u w:val="none"/>
          </w:rPr>
          <w:t>IPS Practice Principles</w:t>
        </w:r>
      </w:hyperlink>
    </w:p>
    <w:p w14:paraId="38500F34" w14:textId="77777777" w:rsidR="00436D64" w:rsidRPr="00B41B4F" w:rsidRDefault="00436D64" w:rsidP="00411004">
      <w:pPr>
        <w:pStyle w:val="ListBullet"/>
        <w:numPr>
          <w:ilvl w:val="0"/>
          <w:numId w:val="16"/>
        </w:numPr>
        <w:tabs>
          <w:tab w:val="clear" w:pos="170"/>
          <w:tab w:val="left" w:pos="0"/>
        </w:tabs>
        <w:rPr>
          <w:rFonts w:asciiTheme="minorHAnsi" w:eastAsiaTheme="minorHAnsi" w:hAnsiTheme="minorHAnsi"/>
          <w:color w:val="000000" w:themeColor="text1"/>
        </w:rPr>
      </w:pPr>
      <w:r w:rsidRPr="00B41B4F">
        <w:rPr>
          <w:rFonts w:asciiTheme="minorHAnsi" w:eastAsiaTheme="minorHAnsi" w:hAnsiTheme="minorHAnsi"/>
          <w:color w:val="000000" w:themeColor="text1"/>
        </w:rPr>
        <w:t>Principles outlined in National Standards for Mental Health Services 2010 (available</w:t>
      </w:r>
      <w:r w:rsidR="00E85D2A">
        <w:rPr>
          <w:rFonts w:asciiTheme="minorHAnsi" w:eastAsiaTheme="minorHAnsi" w:hAnsiTheme="minorHAnsi"/>
          <w:color w:val="000000" w:themeColor="text1"/>
        </w:rPr>
        <w:t xml:space="preserve"> </w:t>
      </w:r>
      <w:r w:rsidR="00433904" w:rsidRPr="00B41B4F">
        <w:rPr>
          <w:rFonts w:asciiTheme="minorHAnsi" w:eastAsiaTheme="minorHAnsi" w:hAnsiTheme="minorHAnsi"/>
          <w:color w:val="000000" w:themeColor="text1"/>
        </w:rPr>
        <w:t>at </w:t>
      </w:r>
      <w:hyperlink r:id="rId17" w:history="1">
        <w:r w:rsidRPr="00F97CCB">
          <w:rPr>
            <w:rStyle w:val="Hyperlink"/>
            <w:rFonts w:asciiTheme="minorHAnsi" w:eastAsiaTheme="minorHAnsi" w:hAnsiTheme="minorHAnsi"/>
          </w:rPr>
          <w:t>www.health.gov.au</w:t>
        </w:r>
      </w:hyperlink>
      <w:r w:rsidRPr="00B41B4F">
        <w:rPr>
          <w:rFonts w:asciiTheme="minorHAnsi" w:eastAsiaTheme="minorHAnsi" w:hAnsiTheme="minorHAnsi"/>
          <w:color w:val="000000" w:themeColor="text1"/>
        </w:rPr>
        <w:t>)</w:t>
      </w:r>
    </w:p>
    <w:p w14:paraId="72641E3F" w14:textId="77777777" w:rsidR="00436D64" w:rsidRDefault="00436D64" w:rsidP="00411004">
      <w:pPr>
        <w:pStyle w:val="ListBullet"/>
        <w:numPr>
          <w:ilvl w:val="0"/>
          <w:numId w:val="16"/>
        </w:numPr>
        <w:tabs>
          <w:tab w:val="clear" w:pos="170"/>
          <w:tab w:val="left" w:pos="0"/>
        </w:tabs>
        <w:rPr>
          <w:rFonts w:asciiTheme="minorHAnsi" w:eastAsiaTheme="minorHAnsi" w:hAnsiTheme="minorHAnsi"/>
          <w:color w:val="000000" w:themeColor="text1"/>
        </w:rPr>
      </w:pPr>
      <w:r w:rsidRPr="00B41B4F">
        <w:rPr>
          <w:rFonts w:asciiTheme="minorHAnsi" w:eastAsiaTheme="minorHAnsi" w:hAnsiTheme="minorHAnsi"/>
          <w:color w:val="000000" w:themeColor="text1"/>
        </w:rPr>
        <w:t>Principles outline</w:t>
      </w:r>
      <w:r w:rsidR="00A4254B" w:rsidRPr="00B41B4F">
        <w:rPr>
          <w:rFonts w:asciiTheme="minorHAnsi" w:eastAsiaTheme="minorHAnsi" w:hAnsiTheme="minorHAnsi"/>
          <w:color w:val="000000" w:themeColor="text1"/>
        </w:rPr>
        <w:t>d</w:t>
      </w:r>
      <w:r w:rsidRPr="00B41B4F">
        <w:rPr>
          <w:rFonts w:asciiTheme="minorHAnsi" w:eastAsiaTheme="minorHAnsi" w:hAnsiTheme="minorHAnsi"/>
          <w:color w:val="000000" w:themeColor="text1"/>
        </w:rPr>
        <w:t xml:space="preserve"> in National Practice Standards for the Mental Health Workforce 2013 (available </w:t>
      </w:r>
      <w:r w:rsidR="00433904" w:rsidRPr="00B41B4F">
        <w:rPr>
          <w:rFonts w:asciiTheme="minorHAnsi" w:eastAsiaTheme="minorHAnsi" w:hAnsiTheme="minorHAnsi"/>
          <w:color w:val="000000" w:themeColor="text1"/>
        </w:rPr>
        <w:t>at </w:t>
      </w:r>
      <w:hyperlink r:id="rId18" w:history="1">
        <w:r w:rsidRPr="00F97CCB">
          <w:rPr>
            <w:rStyle w:val="Hyperlink"/>
            <w:rFonts w:asciiTheme="minorHAnsi" w:eastAsiaTheme="minorHAnsi" w:hAnsiTheme="minorHAnsi"/>
          </w:rPr>
          <w:t>www.health.gov.au</w:t>
        </w:r>
      </w:hyperlink>
      <w:r w:rsidRPr="00B41B4F">
        <w:rPr>
          <w:rFonts w:asciiTheme="minorHAnsi" w:eastAsiaTheme="minorHAnsi" w:hAnsiTheme="minorHAnsi"/>
          <w:color w:val="000000" w:themeColor="text1"/>
        </w:rPr>
        <w:t>)</w:t>
      </w:r>
    </w:p>
    <w:p w14:paraId="05E955BF" w14:textId="0E462535" w:rsidR="007C5E03" w:rsidRPr="00B41B4F" w:rsidRDefault="007C5E03" w:rsidP="00411004">
      <w:pPr>
        <w:pStyle w:val="ListBullet"/>
        <w:numPr>
          <w:ilvl w:val="0"/>
          <w:numId w:val="16"/>
        </w:numPr>
        <w:tabs>
          <w:tab w:val="clear" w:pos="170"/>
          <w:tab w:val="left" w:pos="0"/>
        </w:tabs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/>
          <w:color w:val="000000" w:themeColor="text1"/>
        </w:rPr>
        <w:t xml:space="preserve">Principles outlined in the Child Safety Framework (available at </w:t>
      </w:r>
      <w:hyperlink r:id="rId19" w:history="1">
        <w:r w:rsidR="00537C43" w:rsidRPr="00F97CCB">
          <w:rPr>
            <w:rStyle w:val="Hyperlink"/>
            <w:rFonts w:asciiTheme="minorHAnsi" w:eastAsiaTheme="minorHAnsi" w:hAnsiTheme="minorHAnsi"/>
          </w:rPr>
          <w:t>www.childsafety.pmc.gov.au</w:t>
        </w:r>
      </w:hyperlink>
      <w:r>
        <w:rPr>
          <w:rFonts w:asciiTheme="minorHAnsi" w:eastAsiaTheme="minorHAnsi" w:hAnsiTheme="minorHAnsi"/>
          <w:color w:val="000000" w:themeColor="text1"/>
        </w:rPr>
        <w:t>)</w:t>
      </w:r>
      <w:r w:rsidR="00537C43">
        <w:rPr>
          <w:rFonts w:asciiTheme="minorHAnsi" w:eastAsiaTheme="minorHAnsi" w:hAnsiTheme="minorHAnsi"/>
          <w:color w:val="000000" w:themeColor="text1"/>
        </w:rPr>
        <w:t xml:space="preserve"> and the </w:t>
      </w:r>
      <w:r w:rsidR="00B8500A">
        <w:rPr>
          <w:rFonts w:asciiTheme="minorHAnsi" w:eastAsiaTheme="minorHAnsi" w:hAnsiTheme="minorHAnsi"/>
          <w:color w:val="000000" w:themeColor="text1"/>
        </w:rPr>
        <w:t>Department</w:t>
      </w:r>
      <w:r w:rsidR="00537C43">
        <w:rPr>
          <w:rFonts w:asciiTheme="minorHAnsi" w:eastAsiaTheme="minorHAnsi" w:hAnsiTheme="minorHAnsi"/>
          <w:color w:val="000000" w:themeColor="text1"/>
        </w:rPr>
        <w:t>’s Child Safe Compliance process (</w:t>
      </w:r>
      <w:hyperlink r:id="rId20" w:history="1">
        <w:r w:rsidR="00537C43" w:rsidRPr="00F97CCB">
          <w:rPr>
            <w:rStyle w:val="Hyperlink"/>
            <w:rFonts w:asciiTheme="minorHAnsi" w:eastAsiaTheme="minorHAnsi" w:hAnsiTheme="minorHAnsi"/>
          </w:rPr>
          <w:t>https://www.dss.gov.au/child-safety-for-dss-funded-organisations</w:t>
        </w:r>
      </w:hyperlink>
      <w:r w:rsidR="00537C43">
        <w:rPr>
          <w:rFonts w:asciiTheme="minorHAnsi" w:eastAsiaTheme="minorHAnsi" w:hAnsiTheme="minorHAnsi"/>
          <w:color w:val="000000" w:themeColor="text1"/>
        </w:rPr>
        <w:t>)</w:t>
      </w:r>
    </w:p>
    <w:p w14:paraId="638B216E" w14:textId="77777777" w:rsidR="00332084" w:rsidRPr="00B41B4F" w:rsidRDefault="008A69AC" w:rsidP="00411004">
      <w:pPr>
        <w:pStyle w:val="ListBullet"/>
        <w:numPr>
          <w:ilvl w:val="0"/>
          <w:numId w:val="16"/>
        </w:numPr>
        <w:tabs>
          <w:tab w:val="clear" w:pos="170"/>
          <w:tab w:val="left" w:pos="0"/>
        </w:tabs>
        <w:rPr>
          <w:rFonts w:asciiTheme="minorHAnsi" w:eastAsiaTheme="minorHAnsi" w:hAnsiTheme="minorHAnsi"/>
          <w:color w:val="000000" w:themeColor="text1"/>
        </w:rPr>
      </w:pPr>
      <w:r w:rsidRPr="006A5039">
        <w:rPr>
          <w:rFonts w:asciiTheme="minorHAnsi" w:eastAsiaTheme="minorHAnsi" w:hAnsiTheme="minorHAnsi"/>
          <w:color w:val="000000" w:themeColor="text1"/>
        </w:rPr>
        <w:t>a</w:t>
      </w:r>
      <w:r w:rsidR="00436D64" w:rsidRPr="006A5039">
        <w:rPr>
          <w:rFonts w:asciiTheme="minorHAnsi" w:eastAsiaTheme="minorHAnsi" w:hAnsiTheme="minorHAnsi"/>
          <w:color w:val="000000" w:themeColor="text1"/>
        </w:rPr>
        <w:t>ccessibility and responsiveness</w:t>
      </w:r>
      <w:r w:rsidR="00534711" w:rsidRPr="006A5039">
        <w:rPr>
          <w:rFonts w:asciiTheme="minorHAnsi" w:eastAsiaTheme="minorHAnsi" w:hAnsiTheme="minorHAnsi"/>
          <w:color w:val="000000" w:themeColor="text1"/>
        </w:rPr>
        <w:t xml:space="preserve">: </w:t>
      </w:r>
      <w:r w:rsidR="00436D64" w:rsidRPr="006A5039">
        <w:rPr>
          <w:rFonts w:asciiTheme="minorHAnsi" w:eastAsiaTheme="minorHAnsi" w:hAnsiTheme="minorHAnsi"/>
          <w:color w:val="000000" w:themeColor="text1"/>
        </w:rPr>
        <w:t xml:space="preserve">services are accessible to individuals according </w:t>
      </w:r>
      <w:r w:rsidR="00433904" w:rsidRPr="006A5039">
        <w:rPr>
          <w:rFonts w:asciiTheme="minorHAnsi" w:eastAsiaTheme="minorHAnsi" w:hAnsiTheme="minorHAnsi"/>
          <w:color w:val="000000" w:themeColor="text1"/>
        </w:rPr>
        <w:t>to </w:t>
      </w:r>
      <w:r w:rsidR="00436D64" w:rsidRPr="006A5039">
        <w:rPr>
          <w:rFonts w:asciiTheme="minorHAnsi" w:eastAsiaTheme="minorHAnsi" w:hAnsiTheme="minorHAnsi"/>
          <w:color w:val="000000" w:themeColor="text1"/>
        </w:rPr>
        <w:t>their needs, provided in ways that reduce the stigma of mental illness, and are responsive to individual circumstances</w:t>
      </w:r>
      <w:r w:rsidR="004B3B7C" w:rsidRPr="006A5039">
        <w:rPr>
          <w:rFonts w:asciiTheme="minorHAnsi" w:eastAsiaTheme="minorHAnsi" w:hAnsiTheme="minorHAnsi"/>
          <w:color w:val="000000" w:themeColor="text1"/>
        </w:rPr>
        <w:t>; and</w:t>
      </w:r>
    </w:p>
    <w:p w14:paraId="6B8E56C5" w14:textId="77777777" w:rsidR="00332084" w:rsidRDefault="008A69AC" w:rsidP="00411004">
      <w:pPr>
        <w:pStyle w:val="ListBullet"/>
        <w:numPr>
          <w:ilvl w:val="0"/>
          <w:numId w:val="16"/>
        </w:numPr>
        <w:tabs>
          <w:tab w:val="clear" w:pos="170"/>
          <w:tab w:val="left" w:pos="0"/>
        </w:tabs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/>
          <w:color w:val="000000" w:themeColor="text1"/>
        </w:rPr>
        <w:t>l</w:t>
      </w:r>
      <w:r w:rsidR="00332084" w:rsidRPr="00B41B4F">
        <w:rPr>
          <w:rFonts w:asciiTheme="minorHAnsi" w:eastAsiaTheme="minorHAnsi" w:hAnsiTheme="minorHAnsi"/>
          <w:color w:val="000000" w:themeColor="text1"/>
        </w:rPr>
        <w:t>everaging existing relationships</w:t>
      </w:r>
      <w:r w:rsidR="00332084">
        <w:rPr>
          <w:rFonts w:asciiTheme="minorHAnsi" w:eastAsiaTheme="minorHAnsi" w:hAnsiTheme="minorHAnsi"/>
          <w:color w:val="000000" w:themeColor="text1"/>
        </w:rPr>
        <w:t xml:space="preserve"> with the local community</w:t>
      </w:r>
      <w:r w:rsidR="00332084" w:rsidRPr="00011CA5">
        <w:rPr>
          <w:rFonts w:asciiTheme="minorHAnsi" w:eastAsiaTheme="minorHAnsi" w:hAnsiTheme="minorHAnsi"/>
          <w:color w:val="000000" w:themeColor="text1"/>
        </w:rPr>
        <w:t xml:space="preserve"> </w:t>
      </w:r>
      <w:r w:rsidR="00332084">
        <w:rPr>
          <w:rFonts w:asciiTheme="minorHAnsi" w:eastAsiaTheme="minorHAnsi" w:hAnsiTheme="minorHAnsi"/>
          <w:color w:val="000000" w:themeColor="text1"/>
        </w:rPr>
        <w:t>and oth</w:t>
      </w:r>
      <w:r w:rsidR="007B767E">
        <w:rPr>
          <w:rFonts w:asciiTheme="minorHAnsi" w:eastAsiaTheme="minorHAnsi" w:hAnsiTheme="minorHAnsi"/>
          <w:color w:val="000000" w:themeColor="text1"/>
        </w:rPr>
        <w:t xml:space="preserve">er organisations to deliver the </w:t>
      </w:r>
      <w:r w:rsidR="00332084">
        <w:rPr>
          <w:rFonts w:asciiTheme="minorHAnsi" w:eastAsiaTheme="minorHAnsi" w:hAnsiTheme="minorHAnsi"/>
          <w:color w:val="000000" w:themeColor="text1"/>
        </w:rPr>
        <w:t>pilot</w:t>
      </w:r>
      <w:r w:rsidR="007B767E">
        <w:rPr>
          <w:rFonts w:asciiTheme="minorHAnsi" w:eastAsiaTheme="minorHAnsi" w:hAnsiTheme="minorHAnsi"/>
          <w:color w:val="000000" w:themeColor="text1"/>
        </w:rPr>
        <w:t>,</w:t>
      </w:r>
      <w:r w:rsidR="00332084">
        <w:rPr>
          <w:rFonts w:asciiTheme="minorHAnsi" w:eastAsiaTheme="minorHAnsi" w:hAnsiTheme="minorHAnsi"/>
          <w:color w:val="000000" w:themeColor="text1"/>
        </w:rPr>
        <w:t xml:space="preserve"> </w:t>
      </w:r>
      <w:r w:rsidR="00332084" w:rsidRPr="0037211B">
        <w:rPr>
          <w:rFonts w:asciiTheme="minorHAnsi" w:eastAsiaTheme="minorHAnsi" w:hAnsiTheme="minorHAnsi"/>
          <w:color w:val="000000" w:themeColor="text1"/>
        </w:rPr>
        <w:t>including clinical and non-clinical mental health services, community services, other employment services and employers.</w:t>
      </w:r>
      <w:r w:rsidR="00332084" w:rsidRPr="00B4547B">
        <w:rPr>
          <w:rFonts w:asciiTheme="minorHAnsi" w:eastAsiaTheme="minorHAnsi" w:hAnsiTheme="minorHAnsi"/>
          <w:color w:val="000000" w:themeColor="text1"/>
        </w:rPr>
        <w:t xml:space="preserve"> This approach </w:t>
      </w:r>
      <w:r w:rsidR="007B767E">
        <w:rPr>
          <w:rFonts w:asciiTheme="minorHAnsi" w:eastAsiaTheme="minorHAnsi" w:hAnsiTheme="minorHAnsi"/>
          <w:color w:val="000000" w:themeColor="text1"/>
        </w:rPr>
        <w:t>will</w:t>
      </w:r>
      <w:r w:rsidR="00332084" w:rsidRPr="00B4547B">
        <w:rPr>
          <w:rFonts w:asciiTheme="minorHAnsi" w:eastAsiaTheme="minorHAnsi" w:hAnsiTheme="minorHAnsi"/>
          <w:color w:val="000000" w:themeColor="text1"/>
        </w:rPr>
        <w:t xml:space="preserve"> build on existing arrangements and ensure services are coordinated to provide holistic and flexible support.</w:t>
      </w:r>
      <w:r w:rsidR="00332084">
        <w:rPr>
          <w:rFonts w:asciiTheme="minorHAnsi" w:eastAsiaTheme="minorHAnsi" w:hAnsiTheme="minorHAnsi"/>
          <w:color w:val="000000" w:themeColor="text1"/>
        </w:rPr>
        <w:t xml:space="preserve"> This may include:</w:t>
      </w:r>
    </w:p>
    <w:p w14:paraId="4EA3AD4A" w14:textId="77777777" w:rsidR="00332084" w:rsidRPr="00951E87" w:rsidRDefault="003320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bCs/>
        </w:rPr>
      </w:pPr>
      <w:r w:rsidRPr="00951E87">
        <w:rPr>
          <w:rFonts w:ascii="Arial" w:hAnsi="Arial" w:cs="Arial"/>
          <w:bCs/>
        </w:rPr>
        <w:t xml:space="preserve">developing referral processes and managing referrals </w:t>
      </w:r>
      <w:r w:rsidR="00534711" w:rsidRPr="00951E87">
        <w:rPr>
          <w:rFonts w:ascii="Arial" w:hAnsi="Arial" w:cs="Arial"/>
          <w:bCs/>
        </w:rPr>
        <w:t xml:space="preserve">to other services, including </w:t>
      </w:r>
      <w:r w:rsidRPr="00951E87">
        <w:rPr>
          <w:rFonts w:ascii="Arial" w:hAnsi="Arial" w:cs="Arial"/>
          <w:bCs/>
        </w:rPr>
        <w:t>housing support, employment and education, drug and alcohol rehabilitation, financial services, independent living skills courses, clinical services and other mental health and allied health services</w:t>
      </w:r>
    </w:p>
    <w:p w14:paraId="783BD51C" w14:textId="77777777" w:rsidR="00D96916" w:rsidRPr="006C4907" w:rsidRDefault="4EEF46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rFonts w:ascii="Arial" w:hAnsi="Arial"/>
        </w:rPr>
      </w:pPr>
      <w:r w:rsidRPr="7A2E7942">
        <w:rPr>
          <w:rFonts w:ascii="Arial" w:hAnsi="Arial" w:cs="Arial"/>
        </w:rPr>
        <w:t>participating in inter</w:t>
      </w:r>
      <w:r w:rsidRPr="7A2E7942">
        <w:rPr>
          <w:rFonts w:ascii="Cambria Math" w:hAnsi="Cambria Math" w:cs="Cambria Math"/>
        </w:rPr>
        <w:t>‐</w:t>
      </w:r>
      <w:r w:rsidRPr="7A2E7942">
        <w:rPr>
          <w:rFonts w:ascii="Arial" w:hAnsi="Arial" w:cs="Arial"/>
        </w:rPr>
        <w:t>agency meetings and other forums to ensure local service delivery and case coordination is well coordinated.</w:t>
      </w:r>
    </w:p>
    <w:p w14:paraId="6D0C2E2F" w14:textId="70543F81" w:rsidR="3C0FD268" w:rsidRPr="00F97CCB" w:rsidRDefault="3C0FD268" w:rsidP="006A5039">
      <w:pPr>
        <w:pStyle w:val="ListBullet"/>
        <w:numPr>
          <w:ilvl w:val="0"/>
          <w:numId w:val="0"/>
        </w:numPr>
      </w:pPr>
      <w:r w:rsidRPr="00F97CCB">
        <w:rPr>
          <w:rFonts w:eastAsia="Arial"/>
        </w:rPr>
        <w:t>IPS providers must deliver services in line with these Operational Guidelines, their Grant Agreement and Grant Conditions and Grant Supplementary Terms.</w:t>
      </w:r>
    </w:p>
    <w:p w14:paraId="2A6B7C39" w14:textId="77777777" w:rsidR="00B71837" w:rsidRDefault="00332084" w:rsidP="003A7D25">
      <w:pPr>
        <w:pStyle w:val="Heading3"/>
        <w:numPr>
          <w:ilvl w:val="0"/>
          <w:numId w:val="44"/>
        </w:numPr>
      </w:pPr>
      <w:bookmarkStart w:id="66" w:name="_Toc207282688"/>
      <w:r w:rsidRPr="00B41B4F">
        <w:t>Cultural Competency and Diversity</w:t>
      </w:r>
      <w:bookmarkEnd w:id="66"/>
      <w:r w:rsidR="00702E87" w:rsidRPr="00B41B4F">
        <w:t xml:space="preserve"> </w:t>
      </w:r>
    </w:p>
    <w:p w14:paraId="788963A8" w14:textId="15AAF0C9" w:rsidR="00332084" w:rsidRDefault="00332084" w:rsidP="00B41B4F">
      <w:pPr>
        <w:pStyle w:val="ListBullet"/>
        <w:numPr>
          <w:ilvl w:val="0"/>
          <w:numId w:val="0"/>
        </w:numPr>
        <w:tabs>
          <w:tab w:val="clear" w:pos="170"/>
          <w:tab w:val="left" w:pos="709"/>
        </w:tabs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/>
          <w:color w:val="000000" w:themeColor="text1"/>
        </w:rPr>
        <w:t xml:space="preserve">AMH </w:t>
      </w:r>
      <w:r w:rsidR="002C2B5B">
        <w:rPr>
          <w:rFonts w:asciiTheme="minorHAnsi" w:eastAsiaTheme="minorHAnsi" w:hAnsiTheme="minorHAnsi"/>
          <w:color w:val="000000" w:themeColor="text1"/>
        </w:rPr>
        <w:t xml:space="preserve">pilot </w:t>
      </w:r>
      <w:r w:rsidRPr="00F22B25">
        <w:rPr>
          <w:rFonts w:asciiTheme="minorHAnsi" w:eastAsiaTheme="minorHAnsi" w:hAnsiTheme="minorHAnsi"/>
          <w:color w:val="000000" w:themeColor="text1"/>
        </w:rPr>
        <w:t xml:space="preserve">providers </w:t>
      </w:r>
      <w:proofErr w:type="gramStart"/>
      <w:r w:rsidRPr="00F22B25">
        <w:rPr>
          <w:rFonts w:asciiTheme="minorHAnsi" w:eastAsiaTheme="minorHAnsi" w:hAnsiTheme="minorHAnsi"/>
          <w:color w:val="000000" w:themeColor="text1"/>
        </w:rPr>
        <w:t xml:space="preserve">have </w:t>
      </w:r>
      <w:r w:rsidR="007B767E">
        <w:rPr>
          <w:rFonts w:asciiTheme="minorHAnsi" w:eastAsiaTheme="minorHAnsi" w:hAnsiTheme="minorHAnsi"/>
          <w:color w:val="000000" w:themeColor="text1"/>
        </w:rPr>
        <w:t xml:space="preserve">the </w:t>
      </w:r>
      <w:r w:rsidRPr="00F22B25">
        <w:rPr>
          <w:rFonts w:asciiTheme="minorHAnsi" w:eastAsiaTheme="minorHAnsi" w:hAnsiTheme="minorHAnsi"/>
          <w:color w:val="000000" w:themeColor="text1"/>
        </w:rPr>
        <w:t>ability to</w:t>
      </w:r>
      <w:proofErr w:type="gramEnd"/>
      <w:r w:rsidRPr="00F22B25">
        <w:rPr>
          <w:rFonts w:asciiTheme="minorHAnsi" w:eastAsiaTheme="minorHAnsi" w:hAnsiTheme="minorHAnsi"/>
          <w:color w:val="000000" w:themeColor="text1"/>
        </w:rPr>
        <w:t xml:space="preserve"> interact effectively with people across different cultures</w:t>
      </w:r>
      <w:r>
        <w:rPr>
          <w:rFonts w:asciiTheme="minorHAnsi" w:eastAsiaTheme="minorHAnsi" w:hAnsiTheme="minorHAnsi"/>
          <w:color w:val="000000" w:themeColor="text1"/>
        </w:rPr>
        <w:t xml:space="preserve"> and diverse groups including but not limited to</w:t>
      </w:r>
      <w:r w:rsidR="00534711">
        <w:rPr>
          <w:rFonts w:asciiTheme="minorHAnsi" w:eastAsiaTheme="minorHAnsi" w:hAnsiTheme="minorHAnsi"/>
          <w:color w:val="000000" w:themeColor="text1"/>
        </w:rPr>
        <w:t xml:space="preserve"> people from </w:t>
      </w:r>
      <w:r>
        <w:rPr>
          <w:rFonts w:asciiTheme="minorHAnsi" w:eastAsiaTheme="minorHAnsi" w:hAnsiTheme="minorHAnsi"/>
          <w:color w:val="000000" w:themeColor="text1"/>
        </w:rPr>
        <w:t>Culturally and Linguistic</w:t>
      </w:r>
      <w:r w:rsidR="008A69AC">
        <w:rPr>
          <w:rFonts w:asciiTheme="minorHAnsi" w:eastAsiaTheme="minorHAnsi" w:hAnsiTheme="minorHAnsi"/>
          <w:color w:val="000000" w:themeColor="text1"/>
        </w:rPr>
        <w:t>ally</w:t>
      </w:r>
      <w:r>
        <w:rPr>
          <w:rFonts w:asciiTheme="minorHAnsi" w:eastAsiaTheme="minorHAnsi" w:hAnsiTheme="minorHAnsi"/>
          <w:color w:val="000000" w:themeColor="text1"/>
        </w:rPr>
        <w:t xml:space="preserve"> Diverse backgrounds (CALD),</w:t>
      </w:r>
      <w:r w:rsidR="00534711" w:rsidRPr="00534711">
        <w:rPr>
          <w:rFonts w:asciiTheme="minorHAnsi" w:eastAsiaTheme="minorHAnsi" w:hAnsiTheme="minorHAnsi"/>
          <w:color w:val="000000" w:themeColor="text1"/>
        </w:rPr>
        <w:t xml:space="preserve"> </w:t>
      </w:r>
      <w:r w:rsidR="00534711">
        <w:rPr>
          <w:rFonts w:asciiTheme="minorHAnsi" w:eastAsiaTheme="minorHAnsi" w:hAnsiTheme="minorHAnsi"/>
          <w:color w:val="000000" w:themeColor="text1"/>
        </w:rPr>
        <w:t xml:space="preserve">Aboriginal and Torres Strait Islander peoples, </w:t>
      </w:r>
      <w:r>
        <w:rPr>
          <w:rFonts w:asciiTheme="minorHAnsi" w:eastAsiaTheme="minorHAnsi" w:hAnsiTheme="minorHAnsi"/>
          <w:color w:val="000000" w:themeColor="text1"/>
        </w:rPr>
        <w:t>members of the LGBTIQA+ community and those in reg</w:t>
      </w:r>
      <w:r w:rsidR="00534711">
        <w:rPr>
          <w:rFonts w:asciiTheme="minorHAnsi" w:eastAsiaTheme="minorHAnsi" w:hAnsiTheme="minorHAnsi"/>
          <w:color w:val="000000" w:themeColor="text1"/>
        </w:rPr>
        <w:t xml:space="preserve">ional, rural and remote areas. </w:t>
      </w:r>
      <w:r w:rsidR="00950901">
        <w:rPr>
          <w:rFonts w:asciiTheme="minorHAnsi" w:eastAsiaTheme="minorHAnsi" w:hAnsiTheme="minorHAnsi"/>
          <w:color w:val="000000" w:themeColor="text1"/>
        </w:rPr>
        <w:t xml:space="preserve">AMH </w:t>
      </w:r>
      <w:r w:rsidR="002C2B5B">
        <w:rPr>
          <w:rFonts w:asciiTheme="minorHAnsi" w:eastAsiaTheme="minorHAnsi" w:hAnsiTheme="minorHAnsi"/>
          <w:color w:val="000000" w:themeColor="text1"/>
        </w:rPr>
        <w:t xml:space="preserve">pilot </w:t>
      </w:r>
      <w:r w:rsidR="00950901">
        <w:rPr>
          <w:rFonts w:asciiTheme="minorHAnsi" w:eastAsiaTheme="minorHAnsi" w:hAnsiTheme="minorHAnsi"/>
          <w:color w:val="000000" w:themeColor="text1"/>
        </w:rPr>
        <w:t>p</w:t>
      </w:r>
      <w:r w:rsidR="00534711">
        <w:rPr>
          <w:rFonts w:asciiTheme="minorHAnsi" w:eastAsiaTheme="minorHAnsi" w:hAnsiTheme="minorHAnsi"/>
          <w:color w:val="000000" w:themeColor="text1"/>
        </w:rPr>
        <w:t>roviders must ensure</w:t>
      </w:r>
      <w:r>
        <w:rPr>
          <w:rFonts w:asciiTheme="minorHAnsi" w:eastAsiaTheme="minorHAnsi" w:hAnsiTheme="minorHAnsi"/>
          <w:color w:val="000000" w:themeColor="text1"/>
        </w:rPr>
        <w:t xml:space="preserve"> that:</w:t>
      </w:r>
    </w:p>
    <w:p w14:paraId="49C112C6" w14:textId="1F71BDEC" w:rsidR="00332084" w:rsidRPr="002C502F" w:rsidRDefault="00534711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cultural competency</w:t>
      </w:r>
      <w:r w:rsidR="00332084" w:rsidRPr="002C502F">
        <w:rPr>
          <w:rFonts w:ascii="Arial" w:hAnsi="Arial" w:cs="Arial"/>
          <w:bCs/>
        </w:rPr>
        <w:t xml:space="preserve"> and diversity</w:t>
      </w:r>
      <w:r w:rsidR="007B767E" w:rsidRPr="002C502F">
        <w:rPr>
          <w:rFonts w:ascii="Arial" w:hAnsi="Arial" w:cs="Arial"/>
          <w:bCs/>
        </w:rPr>
        <w:t xml:space="preserve"> </w:t>
      </w:r>
      <w:proofErr w:type="gramStart"/>
      <w:r w:rsidR="007B767E" w:rsidRPr="002C502F">
        <w:rPr>
          <w:rFonts w:ascii="Arial" w:hAnsi="Arial" w:cs="Arial"/>
          <w:bCs/>
        </w:rPr>
        <w:t>is</w:t>
      </w:r>
      <w:proofErr w:type="gramEnd"/>
      <w:r w:rsidR="007B767E" w:rsidRPr="002C502F">
        <w:rPr>
          <w:rFonts w:ascii="Arial" w:hAnsi="Arial" w:cs="Arial"/>
          <w:bCs/>
        </w:rPr>
        <w:t xml:space="preserve"> embedded in the</w:t>
      </w:r>
      <w:r w:rsidR="00332084" w:rsidRPr="002C502F">
        <w:rPr>
          <w:rFonts w:ascii="Arial" w:hAnsi="Arial" w:cs="Arial"/>
          <w:bCs/>
        </w:rPr>
        <w:t xml:space="preserve"> philosophy, mission statement, policie</w:t>
      </w:r>
      <w:r w:rsidR="007B767E" w:rsidRPr="002C502F">
        <w:rPr>
          <w:rFonts w:ascii="Arial" w:hAnsi="Arial" w:cs="Arial"/>
          <w:bCs/>
        </w:rPr>
        <w:t xml:space="preserve">s and the key objectives of </w:t>
      </w:r>
      <w:r w:rsidR="002C2B5B">
        <w:rPr>
          <w:rFonts w:ascii="Arial" w:hAnsi="Arial" w:cs="Arial"/>
          <w:bCs/>
        </w:rPr>
        <w:t>MMH</w:t>
      </w:r>
      <w:r w:rsidR="00332084" w:rsidRPr="002C502F">
        <w:rPr>
          <w:rFonts w:ascii="Arial" w:hAnsi="Arial" w:cs="Arial"/>
          <w:bCs/>
        </w:rPr>
        <w:t xml:space="preserve"> </w:t>
      </w:r>
      <w:r w:rsidR="00702E87" w:rsidRPr="002C502F">
        <w:rPr>
          <w:rFonts w:ascii="Arial" w:hAnsi="Arial" w:cs="Arial"/>
          <w:bCs/>
        </w:rPr>
        <w:t>centres</w:t>
      </w:r>
      <w:r w:rsidR="008A69AC" w:rsidRPr="002C502F">
        <w:rPr>
          <w:rFonts w:ascii="Arial" w:hAnsi="Arial" w:cs="Arial"/>
          <w:bCs/>
        </w:rPr>
        <w:t xml:space="preserve"> the pilot is delivered from</w:t>
      </w:r>
    </w:p>
    <w:p w14:paraId="0EFA21C1" w14:textId="77777777" w:rsidR="00332084" w:rsidRPr="002C502F" w:rsidRDefault="00332084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they have a strong understanding of the cultural profile of their area and where possible, culturally and linguistically appropriate team members are employed</w:t>
      </w:r>
    </w:p>
    <w:p w14:paraId="2CEDAB34" w14:textId="77777777" w:rsidR="00332084" w:rsidRPr="002C502F" w:rsidRDefault="00E40E44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cultural competency</w:t>
      </w:r>
      <w:r w:rsidR="00332084" w:rsidRPr="002C502F">
        <w:rPr>
          <w:rFonts w:ascii="Arial" w:hAnsi="Arial" w:cs="Arial"/>
          <w:bCs/>
        </w:rPr>
        <w:t xml:space="preserve"> and diversity resour</w:t>
      </w:r>
      <w:r w:rsidR="007B767E" w:rsidRPr="002C502F">
        <w:rPr>
          <w:rFonts w:ascii="Arial" w:hAnsi="Arial" w:cs="Arial"/>
          <w:bCs/>
        </w:rPr>
        <w:t>ces are readily available to</w:t>
      </w:r>
      <w:r w:rsidR="00332084" w:rsidRPr="002C502F">
        <w:rPr>
          <w:rFonts w:ascii="Arial" w:hAnsi="Arial" w:cs="Arial"/>
          <w:bCs/>
        </w:rPr>
        <w:t xml:space="preserve"> employees in the workplace</w:t>
      </w:r>
    </w:p>
    <w:p w14:paraId="34CDA54F" w14:textId="77777777" w:rsidR="00332084" w:rsidRPr="002C502F" w:rsidRDefault="00332084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lastRenderedPageBreak/>
        <w:t>employees are encouraged to be flexible in their approach and seek information on specific cultural behaviours or understandings</w:t>
      </w:r>
      <w:r w:rsidR="004B3B7C" w:rsidRPr="002C502F">
        <w:rPr>
          <w:rFonts w:ascii="Arial" w:hAnsi="Arial" w:cs="Arial"/>
          <w:bCs/>
        </w:rPr>
        <w:t>; and</w:t>
      </w:r>
    </w:p>
    <w:p w14:paraId="504BA31C" w14:textId="77777777" w:rsidR="00D609FF" w:rsidRPr="002C502F" w:rsidRDefault="00332084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employees receive appropriate training for cultural competence and diversity.</w:t>
      </w:r>
    </w:p>
    <w:p w14:paraId="00BD5A18" w14:textId="74662BB8" w:rsidR="00D609FF" w:rsidRDefault="00D609FF" w:rsidP="006F05FE">
      <w:pPr>
        <w:spacing w:before="240" w:line="240" w:lineRule="auto"/>
      </w:pPr>
      <w:r>
        <w:t xml:space="preserve">Cultural competence is the ability to interact effectively with people across different cultures. It has </w:t>
      </w:r>
      <w:r w:rsidR="00AE55B2">
        <w:t>4</w:t>
      </w:r>
      <w:r>
        <w:t xml:space="preserve"> main components:</w:t>
      </w:r>
    </w:p>
    <w:p w14:paraId="7B35F3ED" w14:textId="77777777" w:rsidR="00D609FF" w:rsidRPr="002C502F" w:rsidRDefault="00D609FF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being aware of one’s own cultural worldview (one’s own assumptions and biases that could affect decision making and actions)</w:t>
      </w:r>
    </w:p>
    <w:p w14:paraId="5FDBC78E" w14:textId="77777777" w:rsidR="00D609FF" w:rsidRPr="002C502F" w:rsidRDefault="00D609FF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having a positive, respectful and accepting attitude towards cultural differences</w:t>
      </w:r>
    </w:p>
    <w:p w14:paraId="0D836CBA" w14:textId="77777777" w:rsidR="00D609FF" w:rsidRPr="002C502F" w:rsidRDefault="00D609FF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having knowledge of different cultural practices and world views</w:t>
      </w:r>
      <w:r w:rsidR="004B3B7C" w:rsidRPr="002C502F">
        <w:rPr>
          <w:rFonts w:ascii="Arial" w:hAnsi="Arial" w:cs="Arial"/>
          <w:bCs/>
        </w:rPr>
        <w:t>; and</w:t>
      </w:r>
    </w:p>
    <w:p w14:paraId="05EEE2C2" w14:textId="77777777" w:rsidR="00D609FF" w:rsidRPr="002C502F" w:rsidRDefault="00D609FF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having good cross-cultural communication skills.</w:t>
      </w:r>
    </w:p>
    <w:p w14:paraId="387DCF05" w14:textId="44AC8625" w:rsidR="00D609FF" w:rsidRDefault="00D609FF" w:rsidP="006F05FE">
      <w:pPr>
        <w:spacing w:before="240"/>
        <w:ind w:left="142"/>
      </w:pPr>
      <w:r>
        <w:t xml:space="preserve">In delivering culturally competent services, </w:t>
      </w:r>
      <w:r w:rsidR="00E11C20">
        <w:t xml:space="preserve">AMH </w:t>
      </w:r>
      <w:r w:rsidR="002C2B5B">
        <w:t xml:space="preserve">pilot </w:t>
      </w:r>
      <w:r>
        <w:t>providers should:</w:t>
      </w:r>
    </w:p>
    <w:p w14:paraId="4D7BC28A" w14:textId="77777777" w:rsidR="00D609FF" w:rsidRPr="002C502F" w:rsidRDefault="00E11C20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s</w:t>
      </w:r>
      <w:r w:rsidR="00D609FF" w:rsidRPr="002C502F">
        <w:rPr>
          <w:rFonts w:ascii="Arial" w:hAnsi="Arial" w:cs="Arial"/>
          <w:bCs/>
        </w:rPr>
        <w:t>eek to identify and understand the needs of specific special needs groups within the site</w:t>
      </w:r>
    </w:p>
    <w:p w14:paraId="1FE30C2A" w14:textId="77777777" w:rsidR="00D609FF" w:rsidRPr="002C502F" w:rsidRDefault="00E11C20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i</w:t>
      </w:r>
      <w:r w:rsidR="00D609FF" w:rsidRPr="002C502F">
        <w:rPr>
          <w:rFonts w:ascii="Arial" w:hAnsi="Arial" w:cs="Arial"/>
          <w:bCs/>
        </w:rPr>
        <w:t>nvestigate, understand and take into account a participant’s beliefs, practices or other culture-related factors in designing services</w:t>
      </w:r>
    </w:p>
    <w:p w14:paraId="64566D8A" w14:textId="77777777" w:rsidR="00D609FF" w:rsidRPr="002C502F" w:rsidRDefault="00E11C20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b</w:t>
      </w:r>
      <w:r w:rsidR="00D609FF" w:rsidRPr="002C502F">
        <w:rPr>
          <w:rFonts w:ascii="Arial" w:hAnsi="Arial" w:cs="Arial"/>
          <w:bCs/>
        </w:rPr>
        <w:t>e respectful of a participant’s cultural beliefs and values at all times</w:t>
      </w:r>
    </w:p>
    <w:p w14:paraId="62B52F82" w14:textId="77777777" w:rsidR="00D609FF" w:rsidRPr="002C502F" w:rsidRDefault="00E11C20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e</w:t>
      </w:r>
      <w:r w:rsidR="00D609FF" w:rsidRPr="002C502F">
        <w:rPr>
          <w:rFonts w:ascii="Arial" w:hAnsi="Arial" w:cs="Arial"/>
          <w:bCs/>
        </w:rPr>
        <w:t xml:space="preserve">nsure that the work environment and practices are culturally inviting and helpful </w:t>
      </w:r>
    </w:p>
    <w:p w14:paraId="5BEC690A" w14:textId="77777777" w:rsidR="00D609FF" w:rsidRPr="002C502F" w:rsidRDefault="00E11C20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e</w:t>
      </w:r>
      <w:r w:rsidR="00D609FF" w:rsidRPr="002C502F">
        <w:rPr>
          <w:rFonts w:ascii="Arial" w:hAnsi="Arial" w:cs="Arial"/>
          <w:bCs/>
        </w:rPr>
        <w:t xml:space="preserve">nsure that services are flexible and adapted to take account of the needs of specific special needs groups and individual participants </w:t>
      </w:r>
    </w:p>
    <w:p w14:paraId="1786842B" w14:textId="77777777" w:rsidR="00D609FF" w:rsidRPr="002C502F" w:rsidRDefault="00E11C20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p</w:t>
      </w:r>
      <w:r w:rsidR="00D609FF" w:rsidRPr="002C502F">
        <w:rPr>
          <w:rFonts w:ascii="Arial" w:hAnsi="Arial" w:cs="Arial"/>
          <w:bCs/>
        </w:rPr>
        <w:t>rovide access to culturally specific training and supports to improve team understanding of the local community groups and effective communication methods</w:t>
      </w:r>
    </w:p>
    <w:p w14:paraId="1E892FCD" w14:textId="77777777" w:rsidR="00D609FF" w:rsidRPr="002C502F" w:rsidRDefault="00E11C20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r</w:t>
      </w:r>
      <w:r w:rsidR="00D609FF" w:rsidRPr="002C502F">
        <w:rPr>
          <w:rFonts w:ascii="Arial" w:hAnsi="Arial" w:cs="Arial"/>
          <w:bCs/>
        </w:rPr>
        <w:t>egularly monitor and evaluate cultural competence of the service and staff (including obtaining input from participants and the community)</w:t>
      </w:r>
      <w:r w:rsidR="004B3B7C" w:rsidRPr="002C502F">
        <w:rPr>
          <w:rFonts w:ascii="Arial" w:hAnsi="Arial" w:cs="Arial"/>
          <w:bCs/>
        </w:rPr>
        <w:t>; and</w:t>
      </w:r>
    </w:p>
    <w:p w14:paraId="0FFB9E92" w14:textId="77777777" w:rsidR="00D609FF" w:rsidRPr="002C502F" w:rsidRDefault="00E11C20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u</w:t>
      </w:r>
      <w:r w:rsidR="00D609FF" w:rsidRPr="002C502F">
        <w:rPr>
          <w:rFonts w:ascii="Arial" w:hAnsi="Arial" w:cs="Arial"/>
          <w:bCs/>
        </w:rPr>
        <w:t>se information and data about specific special needs groups to inform planning, policy development, service delivery, operations, and implementation of services.</w:t>
      </w:r>
    </w:p>
    <w:p w14:paraId="42FF0B60" w14:textId="77777777" w:rsidR="00B41B4F" w:rsidRDefault="00332084" w:rsidP="003A7D25">
      <w:pPr>
        <w:pStyle w:val="Heading3"/>
        <w:numPr>
          <w:ilvl w:val="0"/>
          <w:numId w:val="45"/>
        </w:numPr>
        <w:rPr>
          <w:rFonts w:eastAsiaTheme="minorHAnsi" w:cs="Arial"/>
        </w:rPr>
      </w:pPr>
      <w:bookmarkStart w:id="67" w:name="_Toc207282689"/>
      <w:r w:rsidRPr="003A7745">
        <w:t>Vocational Specialists</w:t>
      </w:r>
      <w:bookmarkEnd w:id="67"/>
    </w:p>
    <w:p w14:paraId="15562C98" w14:textId="686468FD" w:rsidR="00B41B4F" w:rsidRPr="00131015" w:rsidRDefault="6031E5DC" w:rsidP="00131015">
      <w:pPr>
        <w:pStyle w:val="ListBullet"/>
        <w:numPr>
          <w:ilvl w:val="0"/>
          <w:numId w:val="0"/>
        </w:numPr>
        <w:tabs>
          <w:tab w:val="clear" w:pos="170"/>
        </w:tabs>
      </w:pPr>
      <w:r w:rsidRPr="3019AEBB">
        <w:rPr>
          <w:rFonts w:asciiTheme="minorHAnsi" w:eastAsiaTheme="minorEastAsia" w:hAnsiTheme="minorHAnsi"/>
          <w:color w:val="000000" w:themeColor="text2"/>
        </w:rPr>
        <w:t xml:space="preserve">Two full-time equivalent suitably qualified Vocational Specialists </w:t>
      </w:r>
      <w:r w:rsidR="31301AF1" w:rsidRPr="3019AEBB">
        <w:rPr>
          <w:rFonts w:asciiTheme="minorHAnsi" w:eastAsiaTheme="minorEastAsia" w:hAnsiTheme="minorHAnsi"/>
          <w:color w:val="000000" w:themeColor="text2"/>
        </w:rPr>
        <w:t>will be</w:t>
      </w:r>
      <w:r w:rsidRPr="3019AEBB">
        <w:rPr>
          <w:rFonts w:asciiTheme="minorHAnsi" w:eastAsiaTheme="minorEastAsia" w:hAnsiTheme="minorHAnsi"/>
          <w:color w:val="000000" w:themeColor="text2"/>
        </w:rPr>
        <w:t xml:space="preserve"> engaged to deliver the AMH pilot</w:t>
      </w:r>
      <w:r w:rsidR="29CFA96D" w:rsidRPr="3019AEBB">
        <w:rPr>
          <w:rFonts w:asciiTheme="minorHAnsi" w:eastAsiaTheme="minorEastAsia" w:hAnsiTheme="minorHAnsi"/>
          <w:color w:val="000000" w:themeColor="text2"/>
        </w:rPr>
        <w:t xml:space="preserve"> in each </w:t>
      </w:r>
      <w:r w:rsidR="28674657">
        <w:t>MMH</w:t>
      </w:r>
      <w:r w:rsidR="2D9ADE89">
        <w:t xml:space="preserve"> </w:t>
      </w:r>
      <w:r w:rsidR="30A129AD">
        <w:t>c</w:t>
      </w:r>
      <w:r w:rsidR="0D627564" w:rsidRPr="3019AEBB">
        <w:rPr>
          <w:rFonts w:asciiTheme="minorHAnsi" w:eastAsiaTheme="minorEastAsia" w:hAnsiTheme="minorHAnsi"/>
          <w:color w:val="000000" w:themeColor="text2"/>
        </w:rPr>
        <w:t>entre</w:t>
      </w:r>
      <w:r w:rsidRPr="3019AEBB">
        <w:rPr>
          <w:rFonts w:asciiTheme="minorHAnsi" w:eastAsiaTheme="minorEastAsia" w:hAnsiTheme="minorHAnsi"/>
          <w:color w:val="000000" w:themeColor="text2"/>
        </w:rPr>
        <w:t xml:space="preserve">. </w:t>
      </w:r>
      <w:r w:rsidR="6A49F63B" w:rsidRPr="00F97CCB">
        <w:rPr>
          <w:rFonts w:eastAsia="Arial"/>
        </w:rPr>
        <w:t xml:space="preserve">AMH pilot providers may choose to engage 1.8 FTE Vocational Specialists and </w:t>
      </w:r>
      <w:r w:rsidR="5825F43C" w:rsidRPr="00F97CCB">
        <w:rPr>
          <w:rFonts w:eastAsia="Arial"/>
        </w:rPr>
        <w:t xml:space="preserve">a </w:t>
      </w:r>
      <w:r w:rsidR="6A49F63B" w:rsidRPr="00F97CCB">
        <w:rPr>
          <w:rFonts w:eastAsia="Arial"/>
        </w:rPr>
        <w:t xml:space="preserve">0.2 FTE IPS Supervisor </w:t>
      </w:r>
      <w:r w:rsidR="00131015" w:rsidRPr="00F97CCB">
        <w:rPr>
          <w:rFonts w:eastAsia="Arial"/>
        </w:rPr>
        <w:t>per</w:t>
      </w:r>
      <w:r w:rsidR="0EFA059D" w:rsidRPr="00F97CCB">
        <w:rPr>
          <w:rFonts w:eastAsia="Arial"/>
        </w:rPr>
        <w:t xml:space="preserve"> 2 Vocational Specialists </w:t>
      </w:r>
      <w:r w:rsidR="6A49F63B" w:rsidRPr="00F97CCB">
        <w:rPr>
          <w:rFonts w:eastAsia="Arial"/>
        </w:rPr>
        <w:t xml:space="preserve">to deliver IPS services, however funding of an IPS Supervisor position greater than 0.2 FTE will require </w:t>
      </w:r>
      <w:r w:rsidR="00B8500A" w:rsidRPr="00F97CCB">
        <w:rPr>
          <w:rFonts w:eastAsia="Arial"/>
        </w:rPr>
        <w:t>Department</w:t>
      </w:r>
      <w:r w:rsidR="6A49F63B" w:rsidRPr="00F97CCB">
        <w:rPr>
          <w:rFonts w:eastAsia="Arial"/>
        </w:rPr>
        <w:t>al agreement.</w:t>
      </w:r>
    </w:p>
    <w:p w14:paraId="4D642E87" w14:textId="3C82865C" w:rsidR="00B41B4F" w:rsidRDefault="6031E5DC" w:rsidP="7A2E7942">
      <w:pPr>
        <w:pStyle w:val="ListBullet"/>
        <w:numPr>
          <w:ilvl w:val="0"/>
          <w:numId w:val="0"/>
        </w:numPr>
        <w:tabs>
          <w:tab w:val="clear" w:pos="170"/>
        </w:tabs>
        <w:spacing w:after="60"/>
        <w:rPr>
          <w:rFonts w:asciiTheme="minorHAnsi" w:eastAsiaTheme="minorEastAsia" w:hAnsiTheme="minorHAnsi"/>
          <w:color w:val="000000" w:themeColor="text1"/>
        </w:rPr>
      </w:pPr>
      <w:r w:rsidRPr="7A2E7942">
        <w:rPr>
          <w:rFonts w:asciiTheme="minorHAnsi" w:eastAsiaTheme="minorEastAsia" w:hAnsiTheme="minorHAnsi"/>
          <w:color w:val="000000" w:themeColor="text2"/>
        </w:rPr>
        <w:t xml:space="preserve">The Vocational Specialist will provide services in tandem with the delivery of clinical mental health services and non-vocational assistance delivered by staff </w:t>
      </w:r>
      <w:r w:rsidR="28674657">
        <w:t xml:space="preserve">working in the participating MMH </w:t>
      </w:r>
      <w:r w:rsidR="31301AF1" w:rsidRPr="7A2E7942">
        <w:rPr>
          <w:rFonts w:asciiTheme="minorHAnsi" w:eastAsiaTheme="minorEastAsia" w:hAnsiTheme="minorHAnsi"/>
          <w:color w:val="000000" w:themeColor="text2"/>
        </w:rPr>
        <w:t>c</w:t>
      </w:r>
      <w:r w:rsidRPr="7A2E7942">
        <w:rPr>
          <w:rFonts w:asciiTheme="minorHAnsi" w:eastAsiaTheme="minorEastAsia" w:hAnsiTheme="minorHAnsi"/>
          <w:color w:val="000000" w:themeColor="text2"/>
        </w:rPr>
        <w:t>entre</w:t>
      </w:r>
      <w:r w:rsidR="31301AF1" w:rsidRPr="7A2E7942">
        <w:rPr>
          <w:rFonts w:asciiTheme="minorHAnsi" w:eastAsiaTheme="minorEastAsia" w:hAnsiTheme="minorHAnsi"/>
          <w:color w:val="000000" w:themeColor="text2"/>
        </w:rPr>
        <w:t>.</w:t>
      </w:r>
    </w:p>
    <w:p w14:paraId="1759C3EB" w14:textId="77777777" w:rsidR="00332084" w:rsidRDefault="007B767E" w:rsidP="00D14BE6">
      <w:pPr>
        <w:pStyle w:val="ListBullet"/>
        <w:numPr>
          <w:ilvl w:val="0"/>
          <w:numId w:val="0"/>
        </w:numPr>
        <w:tabs>
          <w:tab w:val="clear" w:pos="170"/>
        </w:tabs>
        <w:spacing w:before="120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/>
          <w:color w:val="000000" w:themeColor="text1"/>
        </w:rPr>
        <w:t>Vocational S</w:t>
      </w:r>
      <w:r w:rsidR="00332084">
        <w:rPr>
          <w:rFonts w:asciiTheme="minorHAnsi" w:eastAsiaTheme="minorHAnsi" w:hAnsiTheme="minorHAnsi"/>
          <w:color w:val="000000" w:themeColor="text1"/>
        </w:rPr>
        <w:t>pecialists will have experience in managing caseloads of people with mental ill</w:t>
      </w:r>
      <w:r w:rsidR="00CF72B0">
        <w:rPr>
          <w:rFonts w:asciiTheme="minorHAnsi" w:eastAsiaTheme="minorHAnsi" w:hAnsiTheme="minorHAnsi"/>
          <w:color w:val="000000" w:themeColor="text1"/>
        </w:rPr>
        <w:t xml:space="preserve"> health</w:t>
      </w:r>
      <w:r w:rsidR="00332084">
        <w:rPr>
          <w:rFonts w:asciiTheme="minorHAnsi" w:eastAsiaTheme="minorHAnsi" w:hAnsiTheme="minorHAnsi"/>
          <w:color w:val="000000" w:themeColor="text1"/>
        </w:rPr>
        <w:t xml:space="preserve">, particularly in </w:t>
      </w:r>
      <w:r w:rsidR="00332084" w:rsidRPr="00011CA5">
        <w:rPr>
          <w:rFonts w:asciiTheme="minorHAnsi" w:eastAsiaTheme="minorHAnsi" w:hAnsiTheme="minorHAnsi"/>
          <w:color w:val="000000" w:themeColor="text1"/>
        </w:rPr>
        <w:t>liaising with clinical treatment teams, families and employers to achieve positive outcomes for participants.</w:t>
      </w:r>
      <w:r w:rsidR="00332084">
        <w:rPr>
          <w:rFonts w:asciiTheme="minorHAnsi" w:eastAsiaTheme="minorHAnsi" w:hAnsiTheme="minorHAnsi"/>
          <w:color w:val="000000" w:themeColor="text1"/>
        </w:rPr>
        <w:t xml:space="preserve"> This includes:</w:t>
      </w:r>
    </w:p>
    <w:p w14:paraId="69BDBDCC" w14:textId="77777777" w:rsidR="00332084" w:rsidRPr="002C502F" w:rsidRDefault="00332084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 xml:space="preserve">providing participants </w:t>
      </w:r>
      <w:r w:rsidR="007B767E" w:rsidRPr="002C502F">
        <w:rPr>
          <w:rFonts w:ascii="Arial" w:hAnsi="Arial" w:cs="Arial"/>
          <w:bCs/>
        </w:rPr>
        <w:t xml:space="preserve">with </w:t>
      </w:r>
      <w:r w:rsidRPr="002C502F">
        <w:rPr>
          <w:rFonts w:ascii="Arial" w:hAnsi="Arial" w:cs="Arial"/>
          <w:bCs/>
        </w:rPr>
        <w:t>assistance to obtain employment or training/education outcomes including:</w:t>
      </w:r>
    </w:p>
    <w:p w14:paraId="2F273A7D" w14:textId="77777777" w:rsidR="00332084" w:rsidRPr="002C502F" w:rsidRDefault="003320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bCs/>
        </w:rPr>
      </w:pPr>
      <w:r w:rsidRPr="002C502F">
        <w:rPr>
          <w:rFonts w:ascii="Arial" w:hAnsi="Arial" w:cs="Arial"/>
          <w:bCs/>
        </w:rPr>
        <w:t>job coaching, application assistance, interview techniques</w:t>
      </w:r>
    </w:p>
    <w:p w14:paraId="0EFB9F29" w14:textId="77777777" w:rsidR="00332084" w:rsidRPr="00F06B1C" w:rsidRDefault="003320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rFonts w:ascii="Arial" w:hAnsi="Arial"/>
          <w:bCs/>
        </w:rPr>
      </w:pPr>
      <w:r w:rsidRPr="002C502F">
        <w:rPr>
          <w:rFonts w:ascii="Arial" w:hAnsi="Arial" w:cs="Arial"/>
          <w:bCs/>
        </w:rPr>
        <w:lastRenderedPageBreak/>
        <w:t>assistance to navigate mental health and community support services</w:t>
      </w:r>
      <w:r w:rsidR="00BF2617">
        <w:rPr>
          <w:rFonts w:ascii="Arial" w:hAnsi="Arial" w:cs="Arial"/>
          <w:bCs/>
        </w:rPr>
        <w:t>;</w:t>
      </w:r>
      <w:r w:rsidR="00473A75">
        <w:rPr>
          <w:rFonts w:ascii="Arial" w:hAnsi="Arial" w:cs="Arial"/>
          <w:bCs/>
        </w:rPr>
        <w:t xml:space="preserve"> and</w:t>
      </w:r>
    </w:p>
    <w:p w14:paraId="6615A1E3" w14:textId="77777777" w:rsidR="00332084" w:rsidRPr="00F06B1C" w:rsidRDefault="003320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rFonts w:ascii="Arial" w:hAnsi="Arial"/>
          <w:bCs/>
        </w:rPr>
      </w:pPr>
      <w:r w:rsidRPr="00F06B1C">
        <w:rPr>
          <w:rFonts w:ascii="Arial" w:hAnsi="Arial" w:cs="Arial"/>
          <w:bCs/>
        </w:rPr>
        <w:t>assistance to use services and Centrelink systems, including accompanying participants and advocating for them at appointments and assessments.</w:t>
      </w:r>
    </w:p>
    <w:p w14:paraId="66F071EE" w14:textId="77777777" w:rsidR="00332084" w:rsidRDefault="00332084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</w:pPr>
      <w:r w:rsidRPr="00F06B1C">
        <w:rPr>
          <w:rFonts w:ascii="Arial" w:hAnsi="Arial" w:cs="Arial"/>
          <w:bCs/>
        </w:rPr>
        <w:t>working closely with each participant’s existing clinical support team to:</w:t>
      </w:r>
    </w:p>
    <w:p w14:paraId="314FA9F4" w14:textId="77777777" w:rsidR="00332084" w:rsidRPr="002C502F" w:rsidRDefault="003320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bCs/>
        </w:rPr>
      </w:pPr>
      <w:r w:rsidRPr="002C502F">
        <w:rPr>
          <w:rFonts w:ascii="Arial" w:hAnsi="Arial" w:cs="Arial"/>
          <w:bCs/>
        </w:rPr>
        <w:t>coordinate services to ensure roles are complementary and not duplicated</w:t>
      </w:r>
    </w:p>
    <w:p w14:paraId="5837BE18" w14:textId="77777777" w:rsidR="00332084" w:rsidRPr="002C502F" w:rsidRDefault="003320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bCs/>
        </w:rPr>
      </w:pPr>
      <w:r w:rsidRPr="002C502F">
        <w:rPr>
          <w:rFonts w:ascii="Arial" w:hAnsi="Arial" w:cs="Arial"/>
          <w:bCs/>
        </w:rPr>
        <w:t>ensure the clinical team is aware of the participant's goals and plans</w:t>
      </w:r>
    </w:p>
    <w:p w14:paraId="6D84915B" w14:textId="77777777" w:rsidR="00332084" w:rsidRPr="002C502F" w:rsidRDefault="003320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bCs/>
        </w:rPr>
      </w:pPr>
      <w:r w:rsidRPr="002C502F">
        <w:rPr>
          <w:rFonts w:ascii="Arial" w:hAnsi="Arial" w:cs="Arial"/>
          <w:bCs/>
        </w:rPr>
        <w:t>gather clinical input for the participant's employment or education/training plan</w:t>
      </w:r>
      <w:r w:rsidR="00BF2617">
        <w:rPr>
          <w:rFonts w:ascii="Arial" w:hAnsi="Arial" w:cs="Arial"/>
          <w:bCs/>
        </w:rPr>
        <w:t>;</w:t>
      </w:r>
      <w:r w:rsidR="00473A75">
        <w:rPr>
          <w:rFonts w:ascii="Arial" w:hAnsi="Arial" w:cs="Arial"/>
          <w:bCs/>
        </w:rPr>
        <w:t xml:space="preserve"> and</w:t>
      </w:r>
    </w:p>
    <w:p w14:paraId="11C94CD1" w14:textId="77777777" w:rsidR="00332084" w:rsidRPr="002C502F" w:rsidRDefault="003320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bCs/>
        </w:rPr>
      </w:pPr>
      <w:r w:rsidRPr="002C502F">
        <w:rPr>
          <w:rFonts w:ascii="Arial" w:hAnsi="Arial" w:cs="Arial"/>
          <w:bCs/>
        </w:rPr>
        <w:t>make appropriate referrals.</w:t>
      </w:r>
    </w:p>
    <w:p w14:paraId="7294B208" w14:textId="77777777" w:rsidR="00332084" w:rsidRPr="002C502F" w:rsidRDefault="00702E87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2C502F">
        <w:rPr>
          <w:rFonts w:ascii="Arial" w:hAnsi="Arial" w:cs="Arial"/>
          <w:bCs/>
        </w:rPr>
        <w:t>l</w:t>
      </w:r>
      <w:r w:rsidR="00332084" w:rsidRPr="002C502F">
        <w:rPr>
          <w:rFonts w:ascii="Arial" w:hAnsi="Arial" w:cs="Arial"/>
          <w:bCs/>
        </w:rPr>
        <w:t>iaising with employers and education/training providers to:</w:t>
      </w:r>
    </w:p>
    <w:p w14:paraId="4D7EE161" w14:textId="77777777" w:rsidR="00332084" w:rsidRPr="002C502F" w:rsidRDefault="003320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bCs/>
        </w:rPr>
      </w:pPr>
      <w:r w:rsidRPr="002C502F">
        <w:rPr>
          <w:rFonts w:ascii="Arial" w:hAnsi="Arial" w:cs="Arial"/>
          <w:bCs/>
        </w:rPr>
        <w:t>create real opportunities that align with the participant’s goals</w:t>
      </w:r>
    </w:p>
    <w:p w14:paraId="1799257A" w14:textId="77777777" w:rsidR="00332084" w:rsidRPr="002C502F" w:rsidRDefault="003320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bCs/>
        </w:rPr>
      </w:pPr>
      <w:r w:rsidRPr="002C502F">
        <w:rPr>
          <w:rFonts w:ascii="Arial" w:hAnsi="Arial" w:cs="Arial"/>
          <w:bCs/>
        </w:rPr>
        <w:t>provide on the job support to assist the participant to maintain their placement</w:t>
      </w:r>
      <w:r w:rsidR="00BF2617">
        <w:rPr>
          <w:rFonts w:ascii="Arial" w:hAnsi="Arial" w:cs="Arial"/>
          <w:bCs/>
        </w:rPr>
        <w:t>;</w:t>
      </w:r>
      <w:r w:rsidR="00473A75">
        <w:rPr>
          <w:rFonts w:ascii="Arial" w:hAnsi="Arial" w:cs="Arial"/>
          <w:bCs/>
        </w:rPr>
        <w:t xml:space="preserve"> and</w:t>
      </w:r>
    </w:p>
    <w:p w14:paraId="407748B4" w14:textId="46B31EC2" w:rsidR="00A61B9B" w:rsidRPr="00EA0A02" w:rsidRDefault="00332084" w:rsidP="00411004">
      <w:pPr>
        <w:pStyle w:val="BodyText"/>
        <w:numPr>
          <w:ilvl w:val="1"/>
          <w:numId w:val="17"/>
        </w:numPr>
        <w:spacing w:before="60" w:after="120" w:line="276" w:lineRule="auto"/>
        <w:rPr>
          <w:bCs/>
        </w:rPr>
      </w:pPr>
      <w:r w:rsidRPr="002C502F">
        <w:rPr>
          <w:rFonts w:ascii="Arial" w:hAnsi="Arial" w:cs="Arial"/>
          <w:bCs/>
        </w:rPr>
        <w:t>provide support to employers and educators/trainers and participants if circumstances change, such as if the person has an episode of their mental ill</w:t>
      </w:r>
      <w:r w:rsidR="00CF72B0">
        <w:rPr>
          <w:rFonts w:ascii="Arial" w:hAnsi="Arial" w:cs="Arial"/>
          <w:bCs/>
        </w:rPr>
        <w:t xml:space="preserve"> health</w:t>
      </w:r>
      <w:r w:rsidRPr="002C502F">
        <w:rPr>
          <w:rFonts w:ascii="Arial" w:hAnsi="Arial" w:cs="Arial"/>
          <w:bCs/>
        </w:rPr>
        <w:t>.</w:t>
      </w:r>
    </w:p>
    <w:p w14:paraId="3B2D0A97" w14:textId="77777777" w:rsidR="00286695" w:rsidRPr="00B41B4F" w:rsidRDefault="00332084" w:rsidP="003A7D25">
      <w:pPr>
        <w:pStyle w:val="Heading3"/>
        <w:numPr>
          <w:ilvl w:val="0"/>
          <w:numId w:val="46"/>
        </w:numPr>
        <w:spacing w:after="120"/>
        <w:ind w:left="714" w:hanging="357"/>
        <w:rPr>
          <w:szCs w:val="20"/>
        </w:rPr>
      </w:pPr>
      <w:bookmarkStart w:id="68" w:name="_Toc81922273"/>
      <w:bookmarkStart w:id="69" w:name="_Toc207282690"/>
      <w:r w:rsidRPr="00B41B4F">
        <w:t>Links and working with other agencies and services</w:t>
      </w:r>
      <w:bookmarkEnd w:id="68"/>
      <w:bookmarkEnd w:id="69"/>
    </w:p>
    <w:p w14:paraId="49FC1D98" w14:textId="2CD37B99" w:rsidR="00B41B4F" w:rsidRDefault="00B41B4F" w:rsidP="00E11C20">
      <w:pPr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zCs w:val="20"/>
        </w:rPr>
        <w:t xml:space="preserve">AMH </w:t>
      </w:r>
      <w:r w:rsidR="002954F0">
        <w:rPr>
          <w:rFonts w:cs="Times New Roman"/>
          <w:color w:val="000000" w:themeColor="text1"/>
          <w:szCs w:val="20"/>
        </w:rPr>
        <w:t xml:space="preserve">pilot </w:t>
      </w:r>
      <w:r>
        <w:rPr>
          <w:rFonts w:cs="Times New Roman"/>
          <w:color w:val="000000" w:themeColor="text1"/>
          <w:szCs w:val="20"/>
        </w:rPr>
        <w:t xml:space="preserve">providers are expected to form partnerships </w:t>
      </w:r>
      <w:r w:rsidRPr="006F63A3">
        <w:rPr>
          <w:rFonts w:cs="Times New Roman"/>
          <w:szCs w:val="20"/>
        </w:rPr>
        <w:t xml:space="preserve">and establish formal links with a range of local networks, services and other stakeholders. Where participants are already receiving assistance from employment service providers, including Disability Employment Services (DES) or </w:t>
      </w:r>
      <w:r w:rsidR="00E214AA">
        <w:rPr>
          <w:rFonts w:cs="Times New Roman"/>
          <w:szCs w:val="20"/>
        </w:rPr>
        <w:t>Workforce Australia</w:t>
      </w:r>
      <w:r w:rsidRPr="006F63A3">
        <w:rPr>
          <w:rFonts w:cs="Times New Roman"/>
          <w:szCs w:val="20"/>
        </w:rPr>
        <w:t>, the provider is expected to negotiate formal parallel servicing arrangements</w:t>
      </w:r>
      <w:r>
        <w:rPr>
          <w:rFonts w:cs="Times New Roman"/>
          <w:szCs w:val="20"/>
        </w:rPr>
        <w:t>.</w:t>
      </w:r>
    </w:p>
    <w:p w14:paraId="680828C8" w14:textId="77777777" w:rsidR="00332084" w:rsidRPr="00AF7E6C" w:rsidRDefault="00C33275" w:rsidP="00E11C20">
      <w:pPr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zCs w:val="20"/>
        </w:rPr>
        <w:t xml:space="preserve">Partnerships </w:t>
      </w:r>
      <w:r w:rsidR="00702E87">
        <w:rPr>
          <w:rFonts w:cs="Times New Roman"/>
          <w:color w:val="000000" w:themeColor="text1"/>
          <w:szCs w:val="20"/>
        </w:rPr>
        <w:t>could take the form of Memoranda of U</w:t>
      </w:r>
      <w:r w:rsidR="00332084" w:rsidRPr="00AF7E6C">
        <w:rPr>
          <w:rFonts w:cs="Times New Roman"/>
          <w:color w:val="000000" w:themeColor="text1"/>
          <w:szCs w:val="20"/>
        </w:rPr>
        <w:t>nderstand</w:t>
      </w:r>
      <w:r w:rsidR="006F05FE">
        <w:rPr>
          <w:rFonts w:cs="Times New Roman"/>
          <w:color w:val="000000" w:themeColor="text1"/>
          <w:szCs w:val="20"/>
        </w:rPr>
        <w:t xml:space="preserve">ing or an exchange of letters. </w:t>
      </w:r>
      <w:r w:rsidR="00332084" w:rsidRPr="00AF7E6C">
        <w:rPr>
          <w:rFonts w:cs="Times New Roman"/>
          <w:color w:val="000000" w:themeColor="text1"/>
          <w:szCs w:val="20"/>
        </w:rPr>
        <w:t>As a minimum, the following should be included:</w:t>
      </w:r>
    </w:p>
    <w:p w14:paraId="1C117552" w14:textId="77777777" w:rsidR="00332084" w:rsidRPr="00F06B1C" w:rsidRDefault="00332084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/>
          <w:bCs/>
        </w:rPr>
      </w:pPr>
      <w:r w:rsidRPr="00F06B1C">
        <w:rPr>
          <w:rFonts w:ascii="Arial" w:hAnsi="Arial" w:cs="Arial"/>
          <w:bCs/>
        </w:rPr>
        <w:t>roles and responsibilities of each party</w:t>
      </w:r>
    </w:p>
    <w:p w14:paraId="64CE9D82" w14:textId="77777777" w:rsidR="00332084" w:rsidRPr="00F06B1C" w:rsidRDefault="00332084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/>
          <w:bCs/>
        </w:rPr>
      </w:pPr>
      <w:r w:rsidRPr="00F06B1C">
        <w:rPr>
          <w:rFonts w:ascii="Arial" w:hAnsi="Arial" w:cs="Arial"/>
          <w:bCs/>
        </w:rPr>
        <w:t>how the arrangements will operate, including the process for managing referrals</w:t>
      </w:r>
      <w:r w:rsidR="004B3B7C" w:rsidRPr="00F06B1C">
        <w:rPr>
          <w:rFonts w:ascii="Arial" w:hAnsi="Arial" w:cs="Arial"/>
          <w:bCs/>
        </w:rPr>
        <w:t>; and</w:t>
      </w:r>
    </w:p>
    <w:p w14:paraId="657D7272" w14:textId="77777777" w:rsidR="00332084" w:rsidRPr="00F06B1C" w:rsidRDefault="00332084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/>
          <w:bCs/>
        </w:rPr>
      </w:pPr>
      <w:proofErr w:type="gramStart"/>
      <w:r w:rsidRPr="00F06B1C">
        <w:rPr>
          <w:rFonts w:ascii="Arial" w:hAnsi="Arial" w:cs="Arial"/>
          <w:bCs/>
        </w:rPr>
        <w:t>how</w:t>
      </w:r>
      <w:proofErr w:type="gramEnd"/>
      <w:r w:rsidRPr="00F06B1C">
        <w:rPr>
          <w:rFonts w:ascii="Arial" w:hAnsi="Arial" w:cs="Arial"/>
          <w:bCs/>
        </w:rPr>
        <w:t xml:space="preserve"> respective participant employment plans will be negotiated and jointly managed.</w:t>
      </w:r>
    </w:p>
    <w:p w14:paraId="189C60AC" w14:textId="77777777" w:rsidR="005A3B09" w:rsidRPr="00E468B2" w:rsidRDefault="00332084" w:rsidP="00E11C20">
      <w:pPr>
        <w:pStyle w:val="ListParagraph"/>
        <w:spacing w:before="240" w:after="200"/>
        <w:ind w:left="0"/>
        <w:contextualSpacing w:val="0"/>
        <w:rPr>
          <w:rFonts w:asciiTheme="minorHAnsi" w:eastAsiaTheme="minorHAnsi" w:hAnsiTheme="minorHAnsi"/>
          <w:color w:val="000000" w:themeColor="text1"/>
          <w:szCs w:val="20"/>
        </w:rPr>
      </w:pPr>
      <w:r w:rsidRPr="00AF7E6C">
        <w:rPr>
          <w:rFonts w:asciiTheme="minorHAnsi" w:eastAsiaTheme="minorHAnsi" w:hAnsiTheme="minorHAnsi"/>
          <w:color w:val="000000" w:themeColor="text1"/>
          <w:szCs w:val="20"/>
        </w:rPr>
        <w:t xml:space="preserve">It is not acceptable for </w:t>
      </w:r>
      <w:r w:rsidR="0085454B">
        <w:rPr>
          <w:rFonts w:asciiTheme="minorHAnsi" w:eastAsiaTheme="minorHAnsi" w:hAnsiTheme="minorHAnsi"/>
          <w:color w:val="000000" w:themeColor="text1"/>
          <w:szCs w:val="20"/>
        </w:rPr>
        <w:t>a provider</w:t>
      </w:r>
      <w:r w:rsidRPr="00AF7E6C">
        <w:rPr>
          <w:rFonts w:asciiTheme="minorHAnsi" w:eastAsiaTheme="minorHAnsi" w:hAnsiTheme="minorHAnsi"/>
          <w:color w:val="000000" w:themeColor="text1"/>
          <w:szCs w:val="20"/>
        </w:rPr>
        <w:t xml:space="preserve"> </w:t>
      </w:r>
      <w:r w:rsidR="00E40E44">
        <w:rPr>
          <w:rFonts w:asciiTheme="minorHAnsi" w:eastAsiaTheme="minorHAnsi" w:hAnsiTheme="minorHAnsi"/>
          <w:color w:val="000000" w:themeColor="text1"/>
          <w:szCs w:val="20"/>
        </w:rPr>
        <w:t>to have only</w:t>
      </w:r>
      <w:r w:rsidRPr="00AF7E6C">
        <w:rPr>
          <w:rFonts w:asciiTheme="minorHAnsi" w:eastAsiaTheme="minorHAnsi" w:hAnsiTheme="minorHAnsi"/>
          <w:color w:val="000000" w:themeColor="text1"/>
          <w:szCs w:val="20"/>
        </w:rPr>
        <w:t xml:space="preserve"> internal parallel servicing arrangements in place (for example, where IPS provider is also delivering an employment service such as </w:t>
      </w:r>
      <w:r w:rsidR="00E214AA" w:rsidRPr="00B97C7E">
        <w:rPr>
          <w:rFonts w:asciiTheme="minorHAnsi" w:eastAsiaTheme="minorHAnsi" w:hAnsiTheme="minorHAnsi"/>
          <w:color w:val="000000" w:themeColor="text1"/>
          <w:szCs w:val="20"/>
        </w:rPr>
        <w:t>Workforce Australia</w:t>
      </w:r>
      <w:r w:rsidR="00E214AA">
        <w:rPr>
          <w:rFonts w:asciiTheme="minorHAnsi" w:eastAsiaTheme="minorHAnsi" w:hAnsiTheme="minorHAnsi"/>
          <w:color w:val="000000" w:themeColor="text1"/>
          <w:szCs w:val="20"/>
        </w:rPr>
        <w:t xml:space="preserve"> </w:t>
      </w:r>
      <w:r>
        <w:rPr>
          <w:rFonts w:asciiTheme="minorHAnsi" w:eastAsiaTheme="minorHAnsi" w:hAnsiTheme="minorHAnsi"/>
          <w:color w:val="000000" w:themeColor="text1"/>
          <w:szCs w:val="20"/>
        </w:rPr>
        <w:t xml:space="preserve">or DES). </w:t>
      </w:r>
      <w:r w:rsidRPr="00AF7E6C">
        <w:rPr>
          <w:rFonts w:asciiTheme="minorHAnsi" w:eastAsiaTheme="minorHAnsi" w:hAnsiTheme="minorHAnsi"/>
          <w:color w:val="000000" w:themeColor="text1"/>
          <w:szCs w:val="20"/>
        </w:rPr>
        <w:t>Participants must be allowed to have a choice in service delivery, particularly where they are being referred to an employment provider.</w:t>
      </w:r>
    </w:p>
    <w:p w14:paraId="4235777B" w14:textId="77777777" w:rsidR="00B41B4F" w:rsidRPr="00893655" w:rsidRDefault="005A3B09" w:rsidP="003A7D25">
      <w:pPr>
        <w:pStyle w:val="Heading3"/>
        <w:numPr>
          <w:ilvl w:val="0"/>
          <w:numId w:val="47"/>
        </w:numPr>
        <w:ind w:left="714" w:hanging="357"/>
      </w:pPr>
      <w:bookmarkStart w:id="70" w:name="_Toc81922275"/>
      <w:bookmarkStart w:id="71" w:name="_Toc207282691"/>
      <w:r w:rsidRPr="00893655">
        <w:t>Compliance with Relevant Legislation</w:t>
      </w:r>
      <w:bookmarkEnd w:id="70"/>
      <w:bookmarkEnd w:id="71"/>
    </w:p>
    <w:p w14:paraId="18359116" w14:textId="5114EE0F" w:rsidR="00FE5D42" w:rsidRDefault="00B41B4F" w:rsidP="00893655">
      <w:pPr>
        <w:rPr>
          <w:rFonts w:eastAsiaTheme="minorHAnsi"/>
        </w:rPr>
      </w:pPr>
      <w:r>
        <w:rPr>
          <w:rFonts w:eastAsiaTheme="minorHAnsi"/>
        </w:rPr>
        <w:t xml:space="preserve">AMH </w:t>
      </w:r>
      <w:r w:rsidR="00CA7C00">
        <w:rPr>
          <w:rFonts w:eastAsiaTheme="minorHAnsi"/>
        </w:rPr>
        <w:t xml:space="preserve">pilot </w:t>
      </w:r>
      <w:r>
        <w:rPr>
          <w:rFonts w:eastAsiaTheme="minorHAnsi"/>
        </w:rPr>
        <w:t>provider</w:t>
      </w:r>
      <w:r w:rsidR="008A69AC">
        <w:rPr>
          <w:rFonts w:eastAsiaTheme="minorHAnsi"/>
        </w:rPr>
        <w:t>s</w:t>
      </w:r>
      <w:r>
        <w:rPr>
          <w:rFonts w:eastAsiaTheme="minorHAnsi"/>
        </w:rPr>
        <w:t xml:space="preserve"> are required to deliver services in accordance with relevant legislation and industry standards, including relevant legislation regarding police checks for staff working with vulnerable persons. </w:t>
      </w:r>
    </w:p>
    <w:p w14:paraId="5A0BC5F1" w14:textId="77777777" w:rsidR="00B41B4F" w:rsidRDefault="00B41B4F" w:rsidP="00893655">
      <w:pPr>
        <w:rPr>
          <w:rFonts w:asciiTheme="minorHAnsi" w:eastAsiaTheme="minorHAnsi" w:hAnsiTheme="minorHAnsi"/>
          <w:szCs w:val="20"/>
        </w:rPr>
      </w:pPr>
      <w:r w:rsidRPr="006F63A3">
        <w:rPr>
          <w:rFonts w:asciiTheme="minorHAnsi" w:eastAsiaTheme="minorHAnsi" w:hAnsiTheme="minorHAnsi"/>
          <w:szCs w:val="20"/>
        </w:rPr>
        <w:t>Providers should be aware of any case</w:t>
      </w:r>
      <w:r w:rsidRPr="006F63A3">
        <w:rPr>
          <w:rFonts w:ascii="Cambria Math" w:eastAsiaTheme="minorHAnsi" w:hAnsi="Cambria Math" w:cs="Cambria Math"/>
          <w:color w:val="000000" w:themeColor="text1"/>
          <w:szCs w:val="20"/>
        </w:rPr>
        <w:t>‐</w:t>
      </w:r>
      <w:r w:rsidRPr="006F63A3">
        <w:rPr>
          <w:rFonts w:asciiTheme="minorHAnsi" w:eastAsiaTheme="minorHAnsi" w:hAnsiTheme="minorHAnsi"/>
          <w:szCs w:val="20"/>
        </w:rPr>
        <w:t>based law that may apply or has an effect on their service delivery. They must ensure that the services meet health and safety requirements and all licence, certification and/or registration requirements in the area in which they are providing services.</w:t>
      </w:r>
    </w:p>
    <w:p w14:paraId="10B59D4C" w14:textId="77777777" w:rsidR="00DD1300" w:rsidRDefault="005A3B09" w:rsidP="003A7D25">
      <w:pPr>
        <w:pStyle w:val="Heading3"/>
        <w:numPr>
          <w:ilvl w:val="0"/>
          <w:numId w:val="48"/>
        </w:numPr>
        <w:rPr>
          <w:rFonts w:eastAsiaTheme="minorHAnsi"/>
        </w:rPr>
      </w:pPr>
      <w:bookmarkStart w:id="72" w:name="_Toc107234441"/>
      <w:bookmarkStart w:id="73" w:name="_Toc107235345"/>
      <w:bookmarkStart w:id="74" w:name="_Toc207282692"/>
      <w:bookmarkEnd w:id="72"/>
      <w:bookmarkEnd w:id="73"/>
      <w:r w:rsidRPr="00893655">
        <w:rPr>
          <w:rFonts w:eastAsiaTheme="minorHAnsi"/>
        </w:rPr>
        <w:lastRenderedPageBreak/>
        <w:t>Confidentiality and Privacy</w:t>
      </w:r>
      <w:bookmarkEnd w:id="74"/>
    </w:p>
    <w:p w14:paraId="226031EC" w14:textId="60A28EFB" w:rsidR="007B01D2" w:rsidRDefault="007B01D2" w:rsidP="00F14320">
      <w:pPr>
        <w:rPr>
          <w:rFonts w:eastAsiaTheme="minorHAnsi"/>
        </w:rPr>
      </w:pPr>
      <w:r>
        <w:rPr>
          <w:rFonts w:eastAsiaTheme="minorHAnsi"/>
        </w:rPr>
        <w:t xml:space="preserve">The </w:t>
      </w:r>
      <w:r w:rsidR="00B8500A">
        <w:rPr>
          <w:rFonts w:eastAsiaTheme="minorHAnsi"/>
        </w:rPr>
        <w:t>Department</w:t>
      </w:r>
      <w:r>
        <w:rPr>
          <w:rFonts w:eastAsiaTheme="minorHAnsi"/>
        </w:rPr>
        <w:t xml:space="preserve"> expects providers to meet their obligations under the </w:t>
      </w:r>
      <w:r w:rsidRPr="00BF2617">
        <w:rPr>
          <w:rFonts w:eastAsiaTheme="minorHAnsi"/>
          <w:i/>
        </w:rPr>
        <w:t>Privacy Act 1988</w:t>
      </w:r>
      <w:r>
        <w:rPr>
          <w:rFonts w:eastAsiaTheme="minorHAnsi"/>
        </w:rPr>
        <w:t xml:space="preserve">, the </w:t>
      </w:r>
      <w:hyperlink r:id="rId21" w:history="1">
        <w:r w:rsidRPr="00F97CCB">
          <w:rPr>
            <w:rStyle w:val="Hyperlink"/>
            <w:rFonts w:asciiTheme="minorHAnsi" w:eastAsiaTheme="minorHAnsi" w:hAnsiTheme="minorHAnsi"/>
          </w:rPr>
          <w:t>Australian Privacy Principles</w:t>
        </w:r>
      </w:hyperlink>
      <w:r>
        <w:rPr>
          <w:rFonts w:eastAsiaTheme="minorHAnsi"/>
        </w:rPr>
        <w:t xml:space="preserve"> and any other relevant state or territory legislation.</w:t>
      </w:r>
    </w:p>
    <w:p w14:paraId="5F67DEE2" w14:textId="5D899C38" w:rsidR="00F14320" w:rsidRDefault="00F14320" w:rsidP="00F14320">
      <w:pPr>
        <w:rPr>
          <w:rFonts w:asciiTheme="minorHAnsi" w:eastAsiaTheme="minorHAnsi" w:hAnsiTheme="minorHAnsi"/>
          <w:szCs w:val="20"/>
        </w:rPr>
      </w:pPr>
      <w:r>
        <w:rPr>
          <w:rFonts w:eastAsiaTheme="minorHAnsi"/>
        </w:rPr>
        <w:t xml:space="preserve">AMH </w:t>
      </w:r>
      <w:r w:rsidR="00CA7C00">
        <w:rPr>
          <w:rFonts w:eastAsiaTheme="minorHAnsi"/>
        </w:rPr>
        <w:t xml:space="preserve">pilot </w:t>
      </w:r>
      <w:r>
        <w:rPr>
          <w:rFonts w:eastAsiaTheme="minorHAnsi"/>
        </w:rPr>
        <w:t xml:space="preserve">providers will have access </w:t>
      </w:r>
      <w:r w:rsidRPr="00893655">
        <w:rPr>
          <w:rFonts w:asciiTheme="minorHAnsi" w:eastAsiaTheme="minorHAnsi" w:hAnsiTheme="minorHAnsi"/>
          <w:szCs w:val="20"/>
        </w:rPr>
        <w:t xml:space="preserve">to personal and sensitive information. Personal information should only be shared with other support services with the written consent of </w:t>
      </w:r>
      <w:proofErr w:type="gramStart"/>
      <w:r w:rsidRPr="00893655">
        <w:rPr>
          <w:rFonts w:asciiTheme="minorHAnsi" w:eastAsiaTheme="minorHAnsi" w:hAnsiTheme="minorHAnsi"/>
          <w:szCs w:val="20"/>
        </w:rPr>
        <w:t>participants, and</w:t>
      </w:r>
      <w:proofErr w:type="gramEnd"/>
      <w:r w:rsidRPr="00893655">
        <w:rPr>
          <w:rFonts w:asciiTheme="minorHAnsi" w:eastAsiaTheme="minorHAnsi" w:hAnsiTheme="minorHAnsi"/>
          <w:szCs w:val="20"/>
        </w:rPr>
        <w:t xml:space="preserve"> should be kept safe and secure from access by others. It is critical that providers understand and adhere to privacy and confidentiality obligations</w:t>
      </w:r>
      <w:r w:rsidR="006F05FE">
        <w:rPr>
          <w:rFonts w:asciiTheme="minorHAnsi" w:eastAsiaTheme="minorHAnsi" w:hAnsiTheme="minorHAnsi"/>
          <w:szCs w:val="20"/>
        </w:rPr>
        <w:t>.</w:t>
      </w:r>
    </w:p>
    <w:p w14:paraId="2EDE6E20" w14:textId="7DD14AC9" w:rsidR="007B01D2" w:rsidRDefault="00BD2182" w:rsidP="007B01D2">
      <w:pPr>
        <w:shd w:val="clear" w:color="auto" w:fill="FFFFFF"/>
        <w:spacing w:before="0" w:after="0" w:line="240" w:lineRule="auto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The AMH </w:t>
      </w:r>
      <w:r w:rsidR="00CA7C00">
        <w:rPr>
          <w:rFonts w:asciiTheme="minorHAnsi" w:eastAsiaTheme="minorHAnsi" w:hAnsiTheme="minorHAnsi"/>
          <w:szCs w:val="20"/>
        </w:rPr>
        <w:t xml:space="preserve">pilot </w:t>
      </w:r>
      <w:r>
        <w:rPr>
          <w:rFonts w:asciiTheme="minorHAnsi" w:eastAsiaTheme="minorHAnsi" w:hAnsiTheme="minorHAnsi"/>
          <w:szCs w:val="20"/>
        </w:rPr>
        <w:t>provider will recognise and respect e</w:t>
      </w:r>
      <w:r w:rsidR="007B01D2" w:rsidRPr="00BF2617">
        <w:rPr>
          <w:rFonts w:asciiTheme="minorHAnsi" w:eastAsiaTheme="minorHAnsi" w:hAnsiTheme="minorHAnsi"/>
          <w:szCs w:val="20"/>
        </w:rPr>
        <w:t>ach participant’s right to privacy, dignity and confidentiality in all aspects of life.</w:t>
      </w:r>
      <w:r>
        <w:rPr>
          <w:rFonts w:asciiTheme="minorHAnsi" w:eastAsiaTheme="minorHAnsi" w:hAnsiTheme="minorHAnsi"/>
          <w:szCs w:val="20"/>
        </w:rPr>
        <w:t xml:space="preserve"> </w:t>
      </w:r>
      <w:r w:rsidR="007B01D2" w:rsidRPr="00BF2617">
        <w:rPr>
          <w:rFonts w:asciiTheme="minorHAnsi" w:eastAsiaTheme="minorHAnsi" w:hAnsiTheme="minorHAnsi"/>
          <w:szCs w:val="20"/>
        </w:rPr>
        <w:t xml:space="preserve">The participant can expect that their </w:t>
      </w:r>
      <w:r w:rsidR="00CA7C00">
        <w:t>MMH centre</w:t>
      </w:r>
      <w:r w:rsidR="007B01D2" w:rsidRPr="00BF2617">
        <w:rPr>
          <w:rFonts w:asciiTheme="minorHAnsi" w:eastAsiaTheme="minorHAnsi" w:hAnsiTheme="minorHAnsi"/>
          <w:szCs w:val="20"/>
        </w:rPr>
        <w:t>:</w:t>
      </w:r>
    </w:p>
    <w:p w14:paraId="26339C4A" w14:textId="77777777" w:rsidR="00E85D2A" w:rsidRPr="00BF2617" w:rsidRDefault="00E85D2A" w:rsidP="007B01D2">
      <w:pPr>
        <w:shd w:val="clear" w:color="auto" w:fill="FFFFFF"/>
        <w:spacing w:before="0" w:after="0" w:line="240" w:lineRule="auto"/>
        <w:rPr>
          <w:rFonts w:asciiTheme="minorHAnsi" w:eastAsiaTheme="minorHAnsi" w:hAnsiTheme="minorHAnsi"/>
          <w:szCs w:val="20"/>
        </w:rPr>
      </w:pPr>
    </w:p>
    <w:p w14:paraId="24FF947B" w14:textId="77777777" w:rsidR="007B01D2" w:rsidRPr="00BF2617" w:rsidRDefault="007B01D2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 w:rsidRPr="00BF2617">
        <w:rPr>
          <w:rFonts w:ascii="Arial" w:hAnsi="Arial" w:cs="Arial"/>
          <w:bCs/>
        </w:rPr>
        <w:t>complies with the </w:t>
      </w:r>
      <w:r w:rsidRPr="00951E87">
        <w:rPr>
          <w:rFonts w:ascii="Arial" w:hAnsi="Arial" w:cs="Arial"/>
          <w:bCs/>
          <w:i/>
        </w:rPr>
        <w:t>Privacy Act 1988</w:t>
      </w:r>
      <w:r w:rsidRPr="00BF2617">
        <w:rPr>
          <w:rFonts w:ascii="Arial" w:hAnsi="Arial" w:cs="Arial"/>
          <w:bCs/>
        </w:rPr>
        <w:t> in order to protect and respect the rights of individual service recipients</w:t>
      </w:r>
    </w:p>
    <w:p w14:paraId="7BF0051A" w14:textId="77777777" w:rsidR="007B01D2" w:rsidRPr="00BF2617" w:rsidRDefault="007B01D2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 w:rsidRPr="00BF2617">
        <w:rPr>
          <w:rFonts w:ascii="Arial" w:hAnsi="Arial" w:cs="Arial"/>
          <w:bCs/>
        </w:rPr>
        <w:t>only collects necessary information and uses it for the purpose for which it was collected. Information is only released with the written consent of the participant</w:t>
      </w:r>
    </w:p>
    <w:p w14:paraId="4200AF28" w14:textId="77777777" w:rsidR="007B01D2" w:rsidRPr="00BF2617" w:rsidRDefault="007B01D2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 w:rsidRPr="00BF2617">
        <w:rPr>
          <w:rFonts w:ascii="Arial" w:hAnsi="Arial" w:cs="Arial"/>
          <w:bCs/>
        </w:rPr>
        <w:t>promotes tolerance and respect for each participant’s personal needs and circumstances</w:t>
      </w:r>
    </w:p>
    <w:p w14:paraId="2F4C5CFC" w14:textId="77777777" w:rsidR="007B01D2" w:rsidRPr="00BF2617" w:rsidRDefault="007B01D2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rFonts w:ascii="Arial" w:hAnsi="Arial" w:cs="Arial"/>
          <w:bCs/>
        </w:rPr>
      </w:pPr>
      <w:r w:rsidRPr="00BF2617">
        <w:rPr>
          <w:rFonts w:ascii="Arial" w:hAnsi="Arial" w:cs="Arial"/>
          <w:bCs/>
        </w:rPr>
        <w:t>ensures the protection of information and data from unauthorised access or revision, so that the information or data is not compromised thro</w:t>
      </w:r>
      <w:r w:rsidR="00BF2617">
        <w:rPr>
          <w:rFonts w:ascii="Arial" w:hAnsi="Arial" w:cs="Arial"/>
          <w:bCs/>
        </w:rPr>
        <w:t>ugh corruption or falsification;</w:t>
      </w:r>
      <w:r w:rsidRPr="00BF2617">
        <w:rPr>
          <w:rFonts w:ascii="Arial" w:hAnsi="Arial" w:cs="Arial"/>
          <w:bCs/>
        </w:rPr>
        <w:t xml:space="preserve"> and</w:t>
      </w:r>
    </w:p>
    <w:p w14:paraId="1F980604" w14:textId="77777777" w:rsidR="007B01D2" w:rsidRPr="00856DFE" w:rsidRDefault="007B01D2" w:rsidP="00411004">
      <w:pPr>
        <w:pStyle w:val="BodyText"/>
        <w:numPr>
          <w:ilvl w:val="0"/>
          <w:numId w:val="15"/>
        </w:numPr>
        <w:spacing w:before="60" w:after="120" w:line="276" w:lineRule="auto"/>
        <w:ind w:left="567" w:hanging="357"/>
        <w:rPr>
          <w:bCs/>
        </w:rPr>
      </w:pPr>
      <w:r w:rsidRPr="00BF2617">
        <w:rPr>
          <w:rFonts w:ascii="Arial" w:hAnsi="Arial" w:cs="Arial"/>
          <w:bCs/>
        </w:rPr>
        <w:t>stores information and records in a secure place and disposes of them in an appropriate manner.</w:t>
      </w:r>
    </w:p>
    <w:p w14:paraId="262B9275" w14:textId="3E36331C" w:rsidR="00614182" w:rsidRDefault="007D176A" w:rsidP="007D176A">
      <w:pPr>
        <w:pStyle w:val="ListParagraph"/>
        <w:spacing w:before="0"/>
        <w:ind w:left="0"/>
        <w:contextualSpacing w:val="0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/>
          <w:color w:val="000000" w:themeColor="text1"/>
        </w:rPr>
        <w:t xml:space="preserve">If </w:t>
      </w:r>
      <w:r w:rsidR="00BD2182">
        <w:rPr>
          <w:rFonts w:asciiTheme="minorHAnsi" w:eastAsiaTheme="minorHAnsi" w:hAnsiTheme="minorHAnsi"/>
          <w:color w:val="000000" w:themeColor="text1"/>
        </w:rPr>
        <w:t xml:space="preserve">AMH </w:t>
      </w:r>
      <w:r w:rsidR="00CA7C00">
        <w:rPr>
          <w:rFonts w:asciiTheme="minorHAnsi" w:eastAsiaTheme="minorHAnsi" w:hAnsiTheme="minorHAnsi"/>
          <w:color w:val="000000" w:themeColor="text1"/>
        </w:rPr>
        <w:t xml:space="preserve">pilot </w:t>
      </w:r>
      <w:r>
        <w:rPr>
          <w:rFonts w:asciiTheme="minorHAnsi" w:eastAsiaTheme="minorHAnsi" w:hAnsiTheme="minorHAnsi"/>
          <w:color w:val="000000" w:themeColor="text1"/>
        </w:rPr>
        <w:t xml:space="preserve">providers suspect a privacy incident </w:t>
      </w:r>
      <w:r w:rsidR="00491CF2">
        <w:rPr>
          <w:rFonts w:asciiTheme="minorHAnsi" w:eastAsiaTheme="minorHAnsi" w:hAnsiTheme="minorHAnsi"/>
          <w:color w:val="000000" w:themeColor="text1"/>
        </w:rPr>
        <w:t xml:space="preserve">has occurred, the incident </w:t>
      </w:r>
      <w:r>
        <w:rPr>
          <w:rFonts w:asciiTheme="minorHAnsi" w:eastAsiaTheme="minorHAnsi" w:hAnsiTheme="minorHAnsi"/>
          <w:color w:val="000000" w:themeColor="text1"/>
        </w:rPr>
        <w:t xml:space="preserve">must be reported to the </w:t>
      </w:r>
      <w:r w:rsidR="00B8500A">
        <w:rPr>
          <w:rFonts w:asciiTheme="minorHAnsi" w:eastAsiaTheme="minorHAnsi" w:hAnsiTheme="minorHAnsi"/>
          <w:color w:val="000000" w:themeColor="text1"/>
        </w:rPr>
        <w:t>Department</w:t>
      </w:r>
      <w:r>
        <w:rPr>
          <w:rFonts w:asciiTheme="minorHAnsi" w:eastAsiaTheme="minorHAnsi" w:hAnsiTheme="minorHAnsi"/>
          <w:color w:val="000000" w:themeColor="text1"/>
        </w:rPr>
        <w:t xml:space="preserve"> no more than one business day after the date of the privacy incident occurring. The Privacy Incident Management Fact Sheet is at </w:t>
      </w:r>
      <w:hyperlink w:anchor="_Attachment_A_-" w:history="1">
        <w:r w:rsidRPr="00F97CCB">
          <w:rPr>
            <w:rStyle w:val="Hyperlink"/>
            <w:rFonts w:asciiTheme="minorHAnsi" w:eastAsiaTheme="minorHAnsi" w:hAnsiTheme="minorHAnsi"/>
          </w:rPr>
          <w:t>Attachment A</w:t>
        </w:r>
      </w:hyperlink>
      <w:r>
        <w:rPr>
          <w:rFonts w:asciiTheme="minorHAnsi" w:eastAsiaTheme="minorHAnsi" w:hAnsiTheme="minorHAnsi"/>
          <w:color w:val="000000" w:themeColor="text1"/>
        </w:rPr>
        <w:t xml:space="preserve"> and t</w:t>
      </w:r>
      <w:r w:rsidR="00C42C1F" w:rsidRPr="00B3526B">
        <w:rPr>
          <w:rFonts w:asciiTheme="minorHAnsi" w:eastAsiaTheme="minorHAnsi" w:hAnsiTheme="minorHAnsi"/>
          <w:color w:val="000000" w:themeColor="text1"/>
        </w:rPr>
        <w:t xml:space="preserve">he Provider Privacy Incident Report is at </w:t>
      </w:r>
      <w:hyperlink w:anchor="_Attachment_B_-" w:history="1">
        <w:r w:rsidR="00C42C1F" w:rsidRPr="00F97CCB">
          <w:rPr>
            <w:rStyle w:val="Hyperlink"/>
            <w:rFonts w:asciiTheme="minorHAnsi" w:eastAsiaTheme="minorHAnsi" w:hAnsiTheme="minorHAnsi"/>
          </w:rPr>
          <w:t xml:space="preserve">Attachment </w:t>
        </w:r>
        <w:r w:rsidRPr="00F97CCB">
          <w:rPr>
            <w:rStyle w:val="Hyperlink"/>
            <w:rFonts w:asciiTheme="minorHAnsi" w:eastAsiaTheme="minorHAnsi" w:hAnsiTheme="minorHAnsi"/>
          </w:rPr>
          <w:t>B</w:t>
        </w:r>
      </w:hyperlink>
      <w:r w:rsidR="00C42C1F" w:rsidRPr="00B3526B">
        <w:rPr>
          <w:rFonts w:asciiTheme="minorHAnsi" w:eastAsiaTheme="minorHAnsi" w:hAnsiTheme="minorHAnsi"/>
          <w:color w:val="000000" w:themeColor="text1"/>
        </w:rPr>
        <w:t>.</w:t>
      </w:r>
    </w:p>
    <w:p w14:paraId="709E6586" w14:textId="77777777" w:rsidR="00893655" w:rsidRPr="00893655" w:rsidRDefault="005A3B09" w:rsidP="003A7D25">
      <w:pPr>
        <w:pStyle w:val="Heading3"/>
        <w:numPr>
          <w:ilvl w:val="0"/>
          <w:numId w:val="49"/>
        </w:numPr>
        <w:rPr>
          <w:rFonts w:eastAsiaTheme="minorHAnsi"/>
        </w:rPr>
      </w:pPr>
      <w:bookmarkStart w:id="75" w:name="_Toc107234446"/>
      <w:bookmarkStart w:id="76" w:name="_Toc107235350"/>
      <w:bookmarkStart w:id="77" w:name="_Toc207282693"/>
      <w:bookmarkEnd w:id="75"/>
      <w:bookmarkEnd w:id="76"/>
      <w:r w:rsidRPr="00893655">
        <w:rPr>
          <w:rFonts w:eastAsiaTheme="minorHAnsi"/>
        </w:rPr>
        <w:t>Consent</w:t>
      </w:r>
      <w:bookmarkEnd w:id="77"/>
    </w:p>
    <w:p w14:paraId="07A9A96A" w14:textId="171D80AF" w:rsidR="00893655" w:rsidRDefault="00893655" w:rsidP="00893655">
      <w:pPr>
        <w:pStyle w:val="ListBullet"/>
        <w:numPr>
          <w:ilvl w:val="0"/>
          <w:numId w:val="0"/>
        </w:numPr>
        <w:tabs>
          <w:tab w:val="clear" w:pos="170"/>
          <w:tab w:val="left" w:pos="567"/>
        </w:tabs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/>
          <w:color w:val="000000" w:themeColor="text1"/>
        </w:rPr>
        <w:t xml:space="preserve">AMH </w:t>
      </w:r>
      <w:r w:rsidR="00CA7C00">
        <w:rPr>
          <w:rFonts w:asciiTheme="minorHAnsi" w:eastAsiaTheme="minorHAnsi" w:hAnsiTheme="minorHAnsi"/>
          <w:color w:val="000000" w:themeColor="text1"/>
        </w:rPr>
        <w:t xml:space="preserve">pilot </w:t>
      </w:r>
      <w:r>
        <w:rPr>
          <w:rFonts w:asciiTheme="minorHAnsi" w:eastAsiaTheme="minorHAnsi" w:hAnsiTheme="minorHAnsi"/>
          <w:color w:val="000000" w:themeColor="text1"/>
        </w:rPr>
        <w:t xml:space="preserve">providers are required to gain written </w:t>
      </w:r>
      <w:r w:rsidRPr="006F63A3">
        <w:rPr>
          <w:rFonts w:asciiTheme="minorHAnsi" w:eastAsiaTheme="minorHAnsi" w:hAnsiTheme="minorHAnsi"/>
          <w:szCs w:val="20"/>
        </w:rPr>
        <w:t>consent from each participant for the collection of personal and/or sensitive information, and for the disclosure of this information, including (as a minimum):</w:t>
      </w:r>
    </w:p>
    <w:p w14:paraId="12D4F1FF" w14:textId="77777777" w:rsidR="005A3B09" w:rsidRPr="00211787" w:rsidRDefault="005A3B09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de-identified participant data/information</w:t>
      </w:r>
      <w:r w:rsidR="00E9572E" w:rsidRPr="00211787">
        <w:t xml:space="preserve"> disclosed</w:t>
      </w:r>
      <w:r w:rsidRPr="00211787">
        <w:t xml:space="preserve"> to their organisation</w:t>
      </w:r>
    </w:p>
    <w:p w14:paraId="0E5476BE" w14:textId="0E60E104" w:rsidR="005A3B09" w:rsidRPr="00211787" w:rsidRDefault="005A3B09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 xml:space="preserve">the release of de-identified participant data/information to the </w:t>
      </w:r>
      <w:r w:rsidR="00B8500A">
        <w:t>Department</w:t>
      </w:r>
      <w:r w:rsidRPr="00211787">
        <w:t xml:space="preserve">, and other organisations appointed by the </w:t>
      </w:r>
      <w:r w:rsidR="00B8500A">
        <w:t>Department</w:t>
      </w:r>
      <w:r w:rsidRPr="00211787">
        <w:t>, for the purposes of monitoring, reporting, research, and evaluation of the AMH pilot</w:t>
      </w:r>
      <w:r w:rsidR="004B3B7C" w:rsidRPr="00211787">
        <w:t>; and</w:t>
      </w:r>
    </w:p>
    <w:p w14:paraId="595C05DA" w14:textId="77777777" w:rsidR="00D96916" w:rsidRPr="00211787" w:rsidRDefault="005A3B09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the release of participant data/information to other organisations (if relevant).</w:t>
      </w:r>
    </w:p>
    <w:p w14:paraId="3A596A31" w14:textId="77777777" w:rsidR="00C74275" w:rsidRPr="001928CA" w:rsidRDefault="00C74275" w:rsidP="003A7D25">
      <w:pPr>
        <w:pStyle w:val="Heading3"/>
        <w:numPr>
          <w:ilvl w:val="0"/>
          <w:numId w:val="50"/>
        </w:numPr>
        <w:rPr>
          <w:rFonts w:eastAsiaTheme="minorHAnsi"/>
        </w:rPr>
      </w:pPr>
      <w:bookmarkStart w:id="78" w:name="_Cultural_Competency"/>
      <w:bookmarkStart w:id="79" w:name="_Toc75710989"/>
      <w:bookmarkStart w:id="80" w:name="_Toc78266526"/>
      <w:bookmarkStart w:id="81" w:name="_Toc78266691"/>
      <w:bookmarkStart w:id="82" w:name="_Toc75710990"/>
      <w:bookmarkStart w:id="83" w:name="_Toc78266527"/>
      <w:bookmarkStart w:id="84" w:name="_Toc78266692"/>
      <w:bookmarkStart w:id="85" w:name="_Toc75710991"/>
      <w:bookmarkStart w:id="86" w:name="_Toc78266528"/>
      <w:bookmarkStart w:id="87" w:name="_Toc78266693"/>
      <w:bookmarkStart w:id="88" w:name="_Toc75710992"/>
      <w:bookmarkStart w:id="89" w:name="_Toc78266529"/>
      <w:bookmarkStart w:id="90" w:name="_Toc78266694"/>
      <w:bookmarkStart w:id="91" w:name="_Toc78266534"/>
      <w:bookmarkStart w:id="92" w:name="_Toc78266699"/>
      <w:bookmarkStart w:id="93" w:name="_Toc75710996"/>
      <w:bookmarkStart w:id="94" w:name="_Toc78266535"/>
      <w:bookmarkStart w:id="95" w:name="_Toc78266700"/>
      <w:bookmarkStart w:id="96" w:name="_Toc75710997"/>
      <w:bookmarkStart w:id="97" w:name="_Toc78266536"/>
      <w:bookmarkStart w:id="98" w:name="_Toc78266701"/>
      <w:bookmarkStart w:id="99" w:name="_Toc75710998"/>
      <w:bookmarkStart w:id="100" w:name="_Toc78266537"/>
      <w:bookmarkStart w:id="101" w:name="_Toc78266702"/>
      <w:bookmarkStart w:id="102" w:name="_Toc75710999"/>
      <w:bookmarkStart w:id="103" w:name="_Toc78266538"/>
      <w:bookmarkStart w:id="104" w:name="_Toc78266703"/>
      <w:bookmarkStart w:id="105" w:name="_Toc75711000"/>
      <w:bookmarkStart w:id="106" w:name="_Toc78266539"/>
      <w:bookmarkStart w:id="107" w:name="_Toc78266704"/>
      <w:bookmarkStart w:id="108" w:name="_Toc75711001"/>
      <w:bookmarkStart w:id="109" w:name="_Toc78266540"/>
      <w:bookmarkStart w:id="110" w:name="_Toc78266705"/>
      <w:bookmarkStart w:id="111" w:name="_Toc75711002"/>
      <w:bookmarkStart w:id="112" w:name="_Toc78266541"/>
      <w:bookmarkStart w:id="113" w:name="_Toc78266706"/>
      <w:bookmarkStart w:id="114" w:name="_Toc75711003"/>
      <w:bookmarkStart w:id="115" w:name="_Toc78266542"/>
      <w:bookmarkStart w:id="116" w:name="_Toc78266707"/>
      <w:bookmarkStart w:id="117" w:name="_Toc75711004"/>
      <w:bookmarkStart w:id="118" w:name="_Toc78266543"/>
      <w:bookmarkStart w:id="119" w:name="_Toc78266708"/>
      <w:bookmarkStart w:id="120" w:name="_Toc75711005"/>
      <w:bookmarkStart w:id="121" w:name="_Toc78266544"/>
      <w:bookmarkStart w:id="122" w:name="_Toc78266709"/>
      <w:bookmarkStart w:id="123" w:name="_Toc75711006"/>
      <w:bookmarkStart w:id="124" w:name="_Toc78266545"/>
      <w:bookmarkStart w:id="125" w:name="_Toc78266710"/>
      <w:bookmarkStart w:id="126" w:name="_Toc75711007"/>
      <w:bookmarkStart w:id="127" w:name="_Toc78266546"/>
      <w:bookmarkStart w:id="128" w:name="_Toc78266711"/>
      <w:bookmarkStart w:id="129" w:name="_Toc75711008"/>
      <w:bookmarkStart w:id="130" w:name="_Toc78266547"/>
      <w:bookmarkStart w:id="131" w:name="_Toc78266712"/>
      <w:bookmarkStart w:id="132" w:name="_Toc75711009"/>
      <w:bookmarkStart w:id="133" w:name="_Toc78266548"/>
      <w:bookmarkStart w:id="134" w:name="_Toc78266713"/>
      <w:bookmarkStart w:id="135" w:name="_Toc75711010"/>
      <w:bookmarkStart w:id="136" w:name="_Toc78266549"/>
      <w:bookmarkStart w:id="137" w:name="_Toc78266714"/>
      <w:bookmarkStart w:id="138" w:name="_Toc75711011"/>
      <w:bookmarkStart w:id="139" w:name="_Toc78266550"/>
      <w:bookmarkStart w:id="140" w:name="_Toc78266715"/>
      <w:bookmarkStart w:id="141" w:name="_Toc75711012"/>
      <w:bookmarkStart w:id="142" w:name="_Toc78266551"/>
      <w:bookmarkStart w:id="143" w:name="_Toc78266716"/>
      <w:bookmarkStart w:id="144" w:name="_Toc75711013"/>
      <w:bookmarkStart w:id="145" w:name="_Toc78266552"/>
      <w:bookmarkStart w:id="146" w:name="_Toc78266717"/>
      <w:bookmarkStart w:id="147" w:name="_Toc448420054"/>
      <w:bookmarkStart w:id="148" w:name="_Toc448420105"/>
      <w:bookmarkStart w:id="149" w:name="_Toc66260876"/>
      <w:bookmarkStart w:id="150" w:name="_Toc207282694"/>
      <w:bookmarkEnd w:id="63"/>
      <w:bookmarkEnd w:id="64"/>
      <w:bookmarkEnd w:id="65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1928CA">
        <w:rPr>
          <w:rFonts w:eastAsiaTheme="minorHAnsi"/>
        </w:rPr>
        <w:t>Caseloads</w:t>
      </w:r>
      <w:r w:rsidR="00A42958" w:rsidRPr="001928CA">
        <w:rPr>
          <w:rFonts w:eastAsiaTheme="minorHAnsi"/>
        </w:rPr>
        <w:t xml:space="preserve">, </w:t>
      </w:r>
      <w:r w:rsidRPr="001928CA">
        <w:rPr>
          <w:rFonts w:eastAsiaTheme="minorHAnsi"/>
        </w:rPr>
        <w:t>duration and intensity of support</w:t>
      </w:r>
      <w:bookmarkEnd w:id="149"/>
      <w:bookmarkEnd w:id="150"/>
    </w:p>
    <w:p w14:paraId="134BA628" w14:textId="41055EC9" w:rsidR="003A07D8" w:rsidRDefault="000A7D83" w:rsidP="003A07D8">
      <w:pPr>
        <w:rPr>
          <w:bCs/>
        </w:rPr>
      </w:pPr>
      <w:r>
        <w:t>The approach to</w:t>
      </w:r>
      <w:r w:rsidR="00C74275" w:rsidRPr="004B6A01">
        <w:t xml:space="preserve"> caseloads</w:t>
      </w:r>
      <w:r w:rsidR="00C74275">
        <w:t xml:space="preserve">, service </w:t>
      </w:r>
      <w:r w:rsidR="00C74275" w:rsidRPr="004B6A01">
        <w:t>duration and intensity of</w:t>
      </w:r>
      <w:r w:rsidR="00420245">
        <w:t> </w:t>
      </w:r>
      <w:r w:rsidR="00C74275" w:rsidRPr="004B6A01">
        <w:t xml:space="preserve">support </w:t>
      </w:r>
      <w:r>
        <w:t xml:space="preserve">must be </w:t>
      </w:r>
      <w:r w:rsidR="00C74275" w:rsidRPr="004B6A01">
        <w:t xml:space="preserve">consistent with the </w:t>
      </w:r>
      <w:r w:rsidR="00AE55B2">
        <w:t>8</w:t>
      </w:r>
      <w:r w:rsidR="00C74275" w:rsidRPr="004B6A01">
        <w:t xml:space="preserve"> </w:t>
      </w:r>
      <w:proofErr w:type="gramStart"/>
      <w:r w:rsidR="00C74275" w:rsidRPr="004B6A01">
        <w:t>core</w:t>
      </w:r>
      <w:proofErr w:type="gramEnd"/>
      <w:r w:rsidR="00C74275" w:rsidRPr="004B6A01">
        <w:t xml:space="preserve"> </w:t>
      </w:r>
      <w:hyperlink w:anchor="_IPS_Practice_Principles" w:history="1">
        <w:r w:rsidR="00C74275" w:rsidRPr="00E4362B">
          <w:rPr>
            <w:rStyle w:val="Hyperlink"/>
          </w:rPr>
          <w:t>IPS</w:t>
        </w:r>
        <w:r w:rsidR="00420245" w:rsidRPr="00E4362B">
          <w:rPr>
            <w:rStyle w:val="Hyperlink"/>
          </w:rPr>
          <w:t> </w:t>
        </w:r>
        <w:r w:rsidR="00C74275" w:rsidRPr="00E4362B">
          <w:rPr>
            <w:rStyle w:val="Hyperlink"/>
          </w:rPr>
          <w:t>Practice Principles</w:t>
        </w:r>
      </w:hyperlink>
      <w:r w:rsidR="00C974D0">
        <w:t xml:space="preserve"> and Fidelity</w:t>
      </w:r>
      <w:r w:rsidR="00C74275" w:rsidRPr="004B6A01">
        <w:t xml:space="preserve">. While there is a high level of flexibility, </w:t>
      </w:r>
      <w:r w:rsidR="00137381">
        <w:t xml:space="preserve">the </w:t>
      </w:r>
      <w:r w:rsidR="00C74275" w:rsidRPr="004B6A01">
        <w:t>IPS</w:t>
      </w:r>
      <w:r w:rsidR="00137381">
        <w:t xml:space="preserve"> model</w:t>
      </w:r>
      <w:r w:rsidR="00420245">
        <w:rPr>
          <w:bCs/>
        </w:rPr>
        <w:t> </w:t>
      </w:r>
      <w:r w:rsidR="00C74275" w:rsidRPr="004B6A01">
        <w:rPr>
          <w:bCs/>
        </w:rPr>
        <w:t>is</w:t>
      </w:r>
      <w:r w:rsidR="00420245">
        <w:rPr>
          <w:bCs/>
        </w:rPr>
        <w:t> </w:t>
      </w:r>
      <w:r w:rsidR="00C74275" w:rsidRPr="004B6A01">
        <w:rPr>
          <w:bCs/>
        </w:rPr>
        <w:t xml:space="preserve">premised on the provision </w:t>
      </w:r>
      <w:r w:rsidR="00C74275" w:rsidRPr="00755E52">
        <w:rPr>
          <w:bCs/>
        </w:rPr>
        <w:t xml:space="preserve">of </w:t>
      </w:r>
      <w:r w:rsidR="00C74275" w:rsidRPr="00211787">
        <w:rPr>
          <w:bCs/>
        </w:rPr>
        <w:t>individualised</w:t>
      </w:r>
      <w:r w:rsidR="00C74275" w:rsidRPr="004B6A01">
        <w:rPr>
          <w:bCs/>
        </w:rPr>
        <w:t xml:space="preserve"> assistance tailored to each participant’s preferences, choices and goals. </w:t>
      </w:r>
      <w:r w:rsidR="003A07D8">
        <w:rPr>
          <w:bCs/>
        </w:rPr>
        <w:t xml:space="preserve"> </w:t>
      </w:r>
    </w:p>
    <w:p w14:paraId="58320387" w14:textId="679B7210" w:rsidR="003A07D8" w:rsidRDefault="000A7D83" w:rsidP="003A07D8">
      <w:pPr>
        <w:rPr>
          <w:bCs/>
        </w:rPr>
      </w:pPr>
      <w:r w:rsidRPr="00161666">
        <w:t xml:space="preserve">To meet the intent of the </w:t>
      </w:r>
      <w:r w:rsidR="005F7461">
        <w:t>AMH pilot</w:t>
      </w:r>
      <w:r w:rsidR="0062539D">
        <w:t xml:space="preserve"> and align with the Fidelity </w:t>
      </w:r>
      <w:r w:rsidR="005509C2">
        <w:t>I</w:t>
      </w:r>
      <w:r w:rsidR="0062539D">
        <w:t>nstrument</w:t>
      </w:r>
      <w:r w:rsidRPr="00161666">
        <w:t xml:space="preserve">, </w:t>
      </w:r>
      <w:r w:rsidR="000D3E9C">
        <w:t>Vocational Specialist</w:t>
      </w:r>
      <w:r w:rsidR="0062539D">
        <w:t>s</w:t>
      </w:r>
      <w:r w:rsidR="00991BA9">
        <w:t xml:space="preserve"> </w:t>
      </w:r>
      <w:r w:rsidR="0062539D">
        <w:t>are required to maintain a</w:t>
      </w:r>
      <w:r w:rsidRPr="00D34EC8">
        <w:t xml:space="preserve"> relatively small caseload</w:t>
      </w:r>
      <w:r w:rsidR="00137381">
        <w:t xml:space="preserve"> of </w:t>
      </w:r>
      <w:r w:rsidR="00414A4B">
        <w:t>1</w:t>
      </w:r>
      <w:r w:rsidR="0062539D">
        <w:t xml:space="preserve">8 to </w:t>
      </w:r>
      <w:r w:rsidRPr="00D34EC8">
        <w:t xml:space="preserve">20 </w:t>
      </w:r>
      <w:r w:rsidR="0062539D">
        <w:t>active participants</w:t>
      </w:r>
      <w:r w:rsidRPr="00D34EC8">
        <w:t xml:space="preserve"> at any one time</w:t>
      </w:r>
      <w:r w:rsidR="0062539D">
        <w:t xml:space="preserve"> when possible</w:t>
      </w:r>
      <w:r w:rsidRPr="00D34EC8">
        <w:t>.</w:t>
      </w:r>
      <w:r w:rsidR="003A07D8">
        <w:t xml:space="preserve"> </w:t>
      </w:r>
      <w:r w:rsidR="00414A4B">
        <w:t xml:space="preserve">The </w:t>
      </w:r>
      <w:r w:rsidR="00414A4B" w:rsidRPr="00161666">
        <w:t>caseload structure</w:t>
      </w:r>
      <w:r w:rsidR="00414A4B">
        <w:t xml:space="preserve"> should</w:t>
      </w:r>
      <w:r w:rsidR="00414A4B" w:rsidRPr="00161666">
        <w:t xml:space="preserve"> facilitate the maintenance of</w:t>
      </w:r>
      <w:r w:rsidR="00414A4B">
        <w:t> </w:t>
      </w:r>
      <w:r w:rsidR="00414A4B" w:rsidRPr="00161666">
        <w:t xml:space="preserve">high quality service delivery aligned with the intent of the IPS program. </w:t>
      </w:r>
      <w:r w:rsidR="00414A4B" w:rsidRPr="004B6A01">
        <w:rPr>
          <w:bCs/>
        </w:rPr>
        <w:t>Participants should be</w:t>
      </w:r>
      <w:r w:rsidR="00414A4B">
        <w:rPr>
          <w:bCs/>
        </w:rPr>
        <w:t> </w:t>
      </w:r>
      <w:r w:rsidR="00414A4B" w:rsidRPr="004B6A01">
        <w:rPr>
          <w:bCs/>
        </w:rPr>
        <w:t xml:space="preserve">able to identify their </w:t>
      </w:r>
      <w:r w:rsidR="00414A4B">
        <w:rPr>
          <w:bCs/>
        </w:rPr>
        <w:t xml:space="preserve">Vocational Specialist </w:t>
      </w:r>
      <w:r w:rsidR="00414A4B" w:rsidRPr="004B6A01">
        <w:rPr>
          <w:bCs/>
        </w:rPr>
        <w:t>worker.</w:t>
      </w:r>
      <w:r w:rsidRPr="00161666">
        <w:t xml:space="preserve"> </w:t>
      </w:r>
    </w:p>
    <w:p w14:paraId="11BE3853" w14:textId="5BD89B25" w:rsidR="003A07D8" w:rsidRDefault="00C74275" w:rsidP="003D7ED5">
      <w:bookmarkStart w:id="151" w:name="_Toc438135064"/>
      <w:bookmarkStart w:id="152" w:name="_Toc441055014"/>
      <w:r>
        <w:lastRenderedPageBreak/>
        <w:t xml:space="preserve">Another key IPS </w:t>
      </w:r>
      <w:r w:rsidR="00137381">
        <w:t>P</w:t>
      </w:r>
      <w:r w:rsidR="003A07D8">
        <w:t xml:space="preserve">ractice </w:t>
      </w:r>
      <w:r w:rsidR="00137381">
        <w:t>P</w:t>
      </w:r>
      <w:r>
        <w:t xml:space="preserve">rinciple is the provision of </w:t>
      </w:r>
      <w:r w:rsidR="5387D23C">
        <w:t>time unlimited</w:t>
      </w:r>
      <w:r>
        <w:t xml:space="preserve"> support.</w:t>
      </w:r>
      <w:r w:rsidR="003A07D8">
        <w:t xml:space="preserve"> </w:t>
      </w:r>
      <w:r>
        <w:t xml:space="preserve">The </w:t>
      </w:r>
      <w:r w:rsidR="00B8500A">
        <w:t>Department</w:t>
      </w:r>
      <w:r>
        <w:t xml:space="preserve"> expects that a flexible and sophisticated approach will be taken that accounts for the differing levels of support people will require</w:t>
      </w:r>
      <w:r w:rsidR="00137381">
        <w:t>. Some participants will need:</w:t>
      </w:r>
    </w:p>
    <w:p w14:paraId="4983794E" w14:textId="77777777" w:rsidR="003A07D8" w:rsidRPr="00211787" w:rsidRDefault="000A7D83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an </w:t>
      </w:r>
      <w:r w:rsidR="00C74275" w:rsidRPr="00211787">
        <w:t>assurance of ongoing support for the foreseeable future</w:t>
      </w:r>
    </w:p>
    <w:p w14:paraId="53D1852B" w14:textId="77777777" w:rsidR="003A07D8" w:rsidRPr="00211787" w:rsidRDefault="00C74275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 xml:space="preserve">a safety net </w:t>
      </w:r>
      <w:r w:rsidR="000A7D83" w:rsidRPr="00211787">
        <w:t>in </w:t>
      </w:r>
      <w:r w:rsidRPr="00211787">
        <w:t>times of crisis</w:t>
      </w:r>
      <w:r w:rsidR="004B3B7C" w:rsidRPr="00211787">
        <w:t>; and</w:t>
      </w:r>
    </w:p>
    <w:p w14:paraId="27EEA8AD" w14:textId="77777777" w:rsidR="00C74275" w:rsidRPr="00211787" w:rsidRDefault="0013738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 xml:space="preserve">to </w:t>
      </w:r>
      <w:r w:rsidR="00C74275" w:rsidRPr="00211787">
        <w:t>move on from</w:t>
      </w:r>
      <w:r w:rsidR="000A7D83" w:rsidRPr="00211787">
        <w:t xml:space="preserve"> the </w:t>
      </w:r>
      <w:r w:rsidR="005F7461" w:rsidRPr="00211787">
        <w:t>AMH pilot</w:t>
      </w:r>
      <w:r w:rsidR="00C74275" w:rsidRPr="00211787">
        <w:t xml:space="preserve"> and require </w:t>
      </w:r>
      <w:r w:rsidR="000A7D83" w:rsidRPr="00211787">
        <w:t>no </w:t>
      </w:r>
      <w:r w:rsidR="00C74275" w:rsidRPr="00211787">
        <w:t>ongoing support.</w:t>
      </w:r>
      <w:bookmarkEnd w:id="151"/>
      <w:bookmarkEnd w:id="152"/>
    </w:p>
    <w:p w14:paraId="09C9B776" w14:textId="5D10B5DB" w:rsidR="00C74275" w:rsidRPr="001928CA" w:rsidRDefault="001928CA" w:rsidP="003A7D25">
      <w:pPr>
        <w:pStyle w:val="Heading3"/>
        <w:numPr>
          <w:ilvl w:val="0"/>
          <w:numId w:val="51"/>
        </w:numPr>
        <w:rPr>
          <w:rFonts w:eastAsiaTheme="minorHAnsi"/>
        </w:rPr>
      </w:pPr>
      <w:bookmarkStart w:id="153" w:name="_Toc81920405"/>
      <w:bookmarkStart w:id="154" w:name="_Toc81920406"/>
      <w:bookmarkStart w:id="155" w:name="_Toc78266554"/>
      <w:bookmarkStart w:id="156" w:name="_Toc78266719"/>
      <w:bookmarkStart w:id="157" w:name="_Toc66260878"/>
      <w:bookmarkEnd w:id="153"/>
      <w:bookmarkEnd w:id="154"/>
      <w:bookmarkEnd w:id="155"/>
      <w:bookmarkEnd w:id="156"/>
      <w:r>
        <w:rPr>
          <w:rFonts w:eastAsiaTheme="minorHAnsi"/>
        </w:rPr>
        <w:t xml:space="preserve">   </w:t>
      </w:r>
      <w:bookmarkStart w:id="158" w:name="_Toc207282695"/>
      <w:r w:rsidR="00E54519" w:rsidRPr="001928CA">
        <w:rPr>
          <w:rFonts w:eastAsiaTheme="minorHAnsi"/>
        </w:rPr>
        <w:t>E</w:t>
      </w:r>
      <w:r w:rsidR="00C74275" w:rsidRPr="001928CA">
        <w:rPr>
          <w:rFonts w:eastAsiaTheme="minorHAnsi"/>
        </w:rPr>
        <w:t>valuation</w:t>
      </w:r>
      <w:bookmarkEnd w:id="157"/>
      <w:bookmarkEnd w:id="158"/>
      <w:r w:rsidR="00C74275" w:rsidRPr="001928CA">
        <w:rPr>
          <w:rFonts w:eastAsiaTheme="minorHAnsi"/>
        </w:rPr>
        <w:t xml:space="preserve"> </w:t>
      </w:r>
    </w:p>
    <w:p w14:paraId="1A8FEFB4" w14:textId="6EC40AA9" w:rsidR="00887E70" w:rsidRPr="003905FE" w:rsidRDefault="00887E70" w:rsidP="00BE7ECB">
      <w:pPr>
        <w:rPr>
          <w:b/>
        </w:rPr>
      </w:pPr>
      <w:r>
        <w:t xml:space="preserve">The </w:t>
      </w:r>
      <w:r w:rsidR="00B8500A">
        <w:t>Department</w:t>
      </w:r>
      <w:r>
        <w:t xml:space="preserve"> may engage other organisations to provide support for the AMH pilot evaluation.</w:t>
      </w:r>
    </w:p>
    <w:p w14:paraId="1EEB8AF5" w14:textId="77777777" w:rsidR="00C74275" w:rsidRDefault="00137381" w:rsidP="003D7ED5">
      <w:r>
        <w:t>AMH p</w:t>
      </w:r>
      <w:r w:rsidR="00C74275" w:rsidRPr="004353AA">
        <w:t>roviders are require</w:t>
      </w:r>
      <w:r w:rsidR="00714A9E" w:rsidRPr="004353AA">
        <w:t>d to actively participate in</w:t>
      </w:r>
      <w:r w:rsidR="00887E70">
        <w:t xml:space="preserve"> the</w:t>
      </w:r>
      <w:r w:rsidR="00714A9E" w:rsidRPr="004353AA">
        <w:t xml:space="preserve"> evaluation of the </w:t>
      </w:r>
      <w:r w:rsidR="00991BA9">
        <w:t>pilot</w:t>
      </w:r>
      <w:r w:rsidR="00714A9E" w:rsidRPr="004353AA">
        <w:t>, which may include providing data and information on its effectiveness, efficiency and outcomes.</w:t>
      </w:r>
    </w:p>
    <w:p w14:paraId="4D3EA62E" w14:textId="77777777" w:rsidR="00B459DF" w:rsidRPr="004353AA" w:rsidRDefault="00B459DF" w:rsidP="003D7ED5">
      <w:r>
        <w:rPr>
          <w:rFonts w:asciiTheme="minorHAnsi" w:eastAsiaTheme="minorHAnsi" w:hAnsiTheme="minorHAnsi"/>
          <w:color w:val="000000" w:themeColor="text1"/>
          <w:szCs w:val="20"/>
        </w:rPr>
        <w:t xml:space="preserve">Providers should review their obligations under the </w:t>
      </w:r>
      <w:r w:rsidRPr="00F46751">
        <w:rPr>
          <w:rFonts w:asciiTheme="minorHAnsi" w:eastAsiaTheme="minorHAnsi" w:hAnsiTheme="minorHAnsi"/>
          <w:i/>
          <w:color w:val="000000" w:themeColor="text1"/>
          <w:szCs w:val="20"/>
        </w:rPr>
        <w:t>Privacy Act 1988</w:t>
      </w:r>
      <w:r>
        <w:rPr>
          <w:rFonts w:asciiTheme="minorHAnsi" w:eastAsiaTheme="minorHAnsi" w:hAnsiTheme="minorHAnsi"/>
          <w:color w:val="000000" w:themeColor="text1"/>
          <w:szCs w:val="20"/>
        </w:rPr>
        <w:t xml:space="preserve"> and any other relevant state or territory privacy legislation before providing data.</w:t>
      </w:r>
    </w:p>
    <w:p w14:paraId="777A0FFE" w14:textId="77777777" w:rsidR="00A178E7" w:rsidRPr="002F27ED" w:rsidRDefault="00A178E7" w:rsidP="003A7D25">
      <w:pPr>
        <w:pStyle w:val="Heading3"/>
        <w:numPr>
          <w:ilvl w:val="0"/>
          <w:numId w:val="52"/>
        </w:numPr>
        <w:ind w:left="757"/>
      </w:pPr>
      <w:bookmarkStart w:id="159" w:name="_Toc78266567"/>
      <w:bookmarkStart w:id="160" w:name="_Toc78266732"/>
      <w:bookmarkStart w:id="161" w:name="_Toc78266569"/>
      <w:bookmarkStart w:id="162" w:name="_Toc78266734"/>
      <w:bookmarkStart w:id="163" w:name="_Toc78266585"/>
      <w:bookmarkStart w:id="164" w:name="_Toc78266750"/>
      <w:bookmarkStart w:id="165" w:name="_Toc78266586"/>
      <w:bookmarkStart w:id="166" w:name="_Toc78266751"/>
      <w:bookmarkStart w:id="167" w:name="_Toc78266587"/>
      <w:bookmarkStart w:id="168" w:name="_Toc78266752"/>
      <w:bookmarkStart w:id="169" w:name="_Toc429647844"/>
      <w:bookmarkStart w:id="170" w:name="_Toc66260880"/>
      <w:bookmarkStart w:id="171" w:name="_Toc207282696"/>
      <w:bookmarkStart w:id="172" w:name="_Toc422328801"/>
      <w:bookmarkStart w:id="173" w:name="_Toc429647862"/>
      <w:bookmarkStart w:id="174" w:name="_Toc66260892"/>
      <w:bookmarkStart w:id="175" w:name="_Toc66260891"/>
      <w:bookmarkStart w:id="176" w:name="_Toc66260882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 w:rsidRPr="002F27ED">
        <w:t xml:space="preserve">Service </w:t>
      </w:r>
      <w:r>
        <w:t>d</w:t>
      </w:r>
      <w:r w:rsidRPr="002F27ED">
        <w:t xml:space="preserve">evelopment and </w:t>
      </w:r>
      <w:r>
        <w:t>i</w:t>
      </w:r>
      <w:r w:rsidRPr="002F27ED">
        <w:t>mprovement</w:t>
      </w:r>
      <w:bookmarkEnd w:id="169"/>
      <w:bookmarkEnd w:id="170"/>
      <w:bookmarkEnd w:id="171"/>
      <w:r w:rsidRPr="002F27ED">
        <w:t xml:space="preserve"> </w:t>
      </w:r>
    </w:p>
    <w:p w14:paraId="20C488F3" w14:textId="354C4FF1" w:rsidR="00A178E7" w:rsidRPr="00EF2F87" w:rsidRDefault="00137381" w:rsidP="00A178E7">
      <w:r>
        <w:t xml:space="preserve">AMH </w:t>
      </w:r>
      <w:r w:rsidR="00A869E6">
        <w:t xml:space="preserve">pilot </w:t>
      </w:r>
      <w:r>
        <w:t>p</w:t>
      </w:r>
      <w:r w:rsidR="00A178E7">
        <w:t>roviders</w:t>
      </w:r>
      <w:r w:rsidR="00A178E7" w:rsidRPr="00EF2F87">
        <w:t xml:space="preserve"> </w:t>
      </w:r>
      <w:r w:rsidR="00A178E7">
        <w:t xml:space="preserve">must regularly review and revise their </w:t>
      </w:r>
      <w:r w:rsidR="00A178E7" w:rsidRPr="00EF2F87">
        <w:t>service delivery practices to meet the needs of</w:t>
      </w:r>
      <w:r w:rsidR="00A178E7">
        <w:t> </w:t>
      </w:r>
      <w:r w:rsidR="00A178E7" w:rsidRPr="00EF2F87">
        <w:t>participant</w:t>
      </w:r>
      <w:r w:rsidR="00A178E7">
        <w:t>s and ensure that:</w:t>
      </w:r>
    </w:p>
    <w:p w14:paraId="2EC6878E" w14:textId="77777777" w:rsidR="00A178E7" w:rsidRPr="00211787" w:rsidRDefault="00B776C8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p</w:t>
      </w:r>
      <w:r w:rsidR="00A178E7" w:rsidRPr="00211787">
        <w:t>articipants are aware of the procedure for complaints handling</w:t>
      </w:r>
    </w:p>
    <w:p w14:paraId="114B0BAF" w14:textId="3B629593" w:rsidR="00A178E7" w:rsidRPr="00211787" w:rsidRDefault="00B776C8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p</w:t>
      </w:r>
      <w:r w:rsidR="00A178E7" w:rsidRPr="00211787">
        <w:t xml:space="preserve">articipants are encouraged to raise, and have resolved without fear of retribution, any issues, dissatisfaction, complaints or disputes they may have about the </w:t>
      </w:r>
      <w:r w:rsidR="00A869E6">
        <w:t>MMH centre</w:t>
      </w:r>
      <w:r w:rsidR="00A178E7" w:rsidRPr="00211787">
        <w:t xml:space="preserve"> or the service they receive</w:t>
      </w:r>
      <w:r w:rsidR="004B3B7C" w:rsidRPr="00211787">
        <w:t>; and</w:t>
      </w:r>
    </w:p>
    <w:p w14:paraId="070BFBCA" w14:textId="77777777" w:rsidR="00A178E7" w:rsidRPr="00211787" w:rsidRDefault="00B776C8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c</w:t>
      </w:r>
      <w:r w:rsidR="00A178E7" w:rsidRPr="00211787">
        <w:t xml:space="preserve">omplaints and feedback are taken seriously by </w:t>
      </w:r>
      <w:r w:rsidR="00470848" w:rsidRPr="00211787">
        <w:t>the</w:t>
      </w:r>
      <w:r w:rsidR="00DE5496" w:rsidRPr="00211787">
        <w:t xml:space="preserve"> </w:t>
      </w:r>
      <w:r w:rsidR="00A178E7" w:rsidRPr="00211787">
        <w:t>provider, and are investigated, addressed and used to improve ongoing services.</w:t>
      </w:r>
      <w:r w:rsidR="00470848" w:rsidRPr="00211787">
        <w:t xml:space="preserve"> Further</w:t>
      </w:r>
      <w:r w:rsidR="00A178E7" w:rsidRPr="00211787">
        <w:t xml:space="preserve"> information about complaints can be found in </w:t>
      </w:r>
      <w:hyperlink w:anchor="_Privacy,_Consent_and" w:history="1">
        <w:r w:rsidR="00A178E7" w:rsidRPr="00211787">
          <w:t>Section 3</w:t>
        </w:r>
      </w:hyperlink>
      <w:r w:rsidR="00A178E7" w:rsidRPr="00211787">
        <w:t xml:space="preserve">.  </w:t>
      </w:r>
    </w:p>
    <w:p w14:paraId="71C7253C" w14:textId="52FA6A52" w:rsidR="00A178E7" w:rsidRPr="005343FE" w:rsidRDefault="00A178E7" w:rsidP="00470848">
      <w:pPr>
        <w:spacing w:before="240"/>
      </w:pPr>
      <w:r>
        <w:t xml:space="preserve">All </w:t>
      </w:r>
      <w:r w:rsidR="00991BA9">
        <w:t>AMH</w:t>
      </w:r>
      <w:r>
        <w:t xml:space="preserve"> </w:t>
      </w:r>
      <w:r w:rsidR="00A869E6">
        <w:t xml:space="preserve">pilot </w:t>
      </w:r>
      <w:r>
        <w:t xml:space="preserve">providers must: </w:t>
      </w:r>
    </w:p>
    <w:p w14:paraId="7FEC591E" w14:textId="77777777" w:rsidR="00A178E7" w:rsidRPr="00211787" w:rsidRDefault="00B776C8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h</w:t>
      </w:r>
      <w:r w:rsidR="00A178E7" w:rsidRPr="00211787">
        <w:t>ave quality management and financial systems in place to ensure standards of service and optimal outcomes for participants are met</w:t>
      </w:r>
    </w:p>
    <w:p w14:paraId="2923CA83" w14:textId="77777777" w:rsidR="00A178E7" w:rsidRPr="00211787" w:rsidRDefault="00B776C8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f</w:t>
      </w:r>
      <w:r w:rsidR="00A178E7" w:rsidRPr="00211787">
        <w:t>oster a flexible and learning culture to ensure improved outcomes for participants</w:t>
      </w:r>
    </w:p>
    <w:p w14:paraId="5D1CCBBF" w14:textId="77777777" w:rsidR="00A178E7" w:rsidRPr="00211787" w:rsidRDefault="00B776C8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u</w:t>
      </w:r>
      <w:r w:rsidR="00A178E7" w:rsidRPr="00211787">
        <w:t>nderstand the community and environment they service</w:t>
      </w:r>
    </w:p>
    <w:p w14:paraId="34C13528" w14:textId="77777777" w:rsidR="00A178E7" w:rsidRPr="00211787" w:rsidRDefault="00B776C8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i</w:t>
      </w:r>
      <w:r w:rsidR="00A178E7" w:rsidRPr="00211787">
        <w:t>dentify and address any issues and risks that might impact service delivery</w:t>
      </w:r>
    </w:p>
    <w:p w14:paraId="7321000B" w14:textId="77777777" w:rsidR="00A178E7" w:rsidRPr="00211787" w:rsidRDefault="00B776C8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h</w:t>
      </w:r>
      <w:r w:rsidR="00A178E7" w:rsidRPr="00211787">
        <w:t>ave mechanisms in place to plan future service delivery and set objectives or goals to improve service delivery</w:t>
      </w:r>
      <w:r w:rsidR="004B3B7C" w:rsidRPr="00211787">
        <w:t>; and</w:t>
      </w:r>
    </w:p>
    <w:p w14:paraId="540B8EE5" w14:textId="77777777" w:rsidR="00A178E7" w:rsidRPr="00211787" w:rsidRDefault="00B776C8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211787">
        <w:t>h</w:t>
      </w:r>
      <w:r w:rsidR="00A178E7" w:rsidRPr="00211787">
        <w:t>ave strong and effective leadership to provide strategic direction, uphold and exemplify the IPS values and standards.</w:t>
      </w:r>
    </w:p>
    <w:p w14:paraId="5A75CC6B" w14:textId="77777777" w:rsidR="00D570A4" w:rsidRPr="00EA3686" w:rsidRDefault="00D570A4" w:rsidP="003A7D25">
      <w:pPr>
        <w:pStyle w:val="Heading3"/>
        <w:numPr>
          <w:ilvl w:val="0"/>
          <w:numId w:val="53"/>
        </w:numPr>
        <w:ind w:left="814"/>
      </w:pPr>
      <w:bookmarkStart w:id="177" w:name="_Toc207282697"/>
      <w:bookmarkEnd w:id="172"/>
      <w:bookmarkEnd w:id="173"/>
      <w:bookmarkEnd w:id="174"/>
      <w:r w:rsidRPr="00EA3686">
        <w:t>What participants can expect</w:t>
      </w:r>
      <w:bookmarkEnd w:id="177"/>
    </w:p>
    <w:p w14:paraId="74300DEB" w14:textId="4F882CFD" w:rsidR="00D570A4" w:rsidRPr="003D7ED5" w:rsidRDefault="00D570A4" w:rsidP="006640A2">
      <w:r w:rsidRPr="003D7ED5">
        <w:t xml:space="preserve">Participants </w:t>
      </w:r>
      <w:r w:rsidR="00DE5496">
        <w:t xml:space="preserve">of the pilot </w:t>
      </w:r>
      <w:r w:rsidRPr="003D7ED5">
        <w:t xml:space="preserve">can expect to receive individually tailored employment </w:t>
      </w:r>
      <w:r w:rsidR="006E5484">
        <w:t xml:space="preserve">and educational </w:t>
      </w:r>
      <w:r w:rsidRPr="003D7ED5">
        <w:t>support</w:t>
      </w:r>
      <w:r w:rsidR="006E5484">
        <w:t xml:space="preserve"> from a Vocational Specialist trained in the delivery of the IPS model. </w:t>
      </w:r>
      <w:r w:rsidR="00470848">
        <w:t>This support will be</w:t>
      </w:r>
      <w:r w:rsidRPr="003D7ED5">
        <w:t xml:space="preserve"> delivered in tandem with clinical mental health </w:t>
      </w:r>
      <w:r w:rsidR="004D232C">
        <w:t>services</w:t>
      </w:r>
      <w:r w:rsidRPr="003D7ED5">
        <w:t xml:space="preserve"> and personal (non</w:t>
      </w:r>
      <w:r w:rsidRPr="003D7ED5">
        <w:noBreakHyphen/>
        <w:t xml:space="preserve">vocational) support provided </w:t>
      </w:r>
      <w:r w:rsidR="006E5484">
        <w:t xml:space="preserve">by staff </w:t>
      </w:r>
      <w:r w:rsidRPr="003D7ED5">
        <w:t xml:space="preserve">at </w:t>
      </w:r>
      <w:r w:rsidR="006E5484">
        <w:t>the</w:t>
      </w:r>
      <w:r w:rsidRPr="003D7ED5">
        <w:t xml:space="preserve"> participating </w:t>
      </w:r>
      <w:r w:rsidR="00A869E6">
        <w:t>MMH</w:t>
      </w:r>
      <w:r w:rsidR="00CF2AB7">
        <w:t xml:space="preserve"> </w:t>
      </w:r>
      <w:r w:rsidR="00A869E6">
        <w:t>c</w:t>
      </w:r>
      <w:r w:rsidR="00CF2AB7">
        <w:t>entre</w:t>
      </w:r>
      <w:r w:rsidR="00DE5496">
        <w:t>.</w:t>
      </w:r>
    </w:p>
    <w:p w14:paraId="7292E388" w14:textId="77777777" w:rsidR="00D570A4" w:rsidRPr="003D7ED5" w:rsidRDefault="00D570A4" w:rsidP="00D570A4">
      <w:r w:rsidRPr="003D7ED5">
        <w:lastRenderedPageBreak/>
        <w:t xml:space="preserve">To achieve this, the </w:t>
      </w:r>
      <w:r w:rsidR="000D3E9C">
        <w:t>Vocational Specialist</w:t>
      </w:r>
      <w:r w:rsidR="00B05D93">
        <w:t xml:space="preserve"> </w:t>
      </w:r>
      <w:r w:rsidRPr="003D7ED5">
        <w:t>will:</w:t>
      </w:r>
    </w:p>
    <w:p w14:paraId="082FDFA8" w14:textId="77777777" w:rsidR="00D570A4" w:rsidRPr="006C5CD9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 xml:space="preserve">adhere to the principles of IPS </w:t>
      </w:r>
      <w:r w:rsidR="00DE5496" w:rsidRPr="006C5CD9">
        <w:t xml:space="preserve">model </w:t>
      </w:r>
      <w:r w:rsidRPr="006C5CD9">
        <w:t>when providing voc</w:t>
      </w:r>
      <w:r w:rsidR="00B776C8" w:rsidRPr="006C5CD9">
        <w:t>ational support to participants</w:t>
      </w:r>
    </w:p>
    <w:p w14:paraId="2FA3DE43" w14:textId="77777777" w:rsidR="00D570A4" w:rsidRPr="006C5CD9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assist the participant to identify their e</w:t>
      </w:r>
      <w:r w:rsidR="00B776C8" w:rsidRPr="006C5CD9">
        <w:t>ducational and employment goals</w:t>
      </w:r>
    </w:p>
    <w:p w14:paraId="3C928CF4" w14:textId="77777777" w:rsidR="00D570A4" w:rsidRPr="006C5CD9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 xml:space="preserve">develop a career profile and individual employment plan for each participant, with input from the participant and </w:t>
      </w:r>
      <w:r w:rsidR="00B776C8" w:rsidRPr="006C5CD9">
        <w:t>the participant’s clinical team</w:t>
      </w:r>
    </w:p>
    <w:p w14:paraId="5D363399" w14:textId="77777777" w:rsidR="00D570A4" w:rsidRPr="006C5CD9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 xml:space="preserve">have formal procedures in place to work with </w:t>
      </w:r>
      <w:r w:rsidR="00B776C8" w:rsidRPr="006C5CD9">
        <w:t>the participant’s clinical team</w:t>
      </w:r>
    </w:p>
    <w:p w14:paraId="03664EF3" w14:textId="77777777" w:rsidR="00D570A4" w:rsidRPr="006C5CD9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 xml:space="preserve">conduct regular job development and job search </w:t>
      </w:r>
      <w:r w:rsidR="00B776C8" w:rsidRPr="006C5CD9">
        <w:t>activities with the participant</w:t>
      </w:r>
    </w:p>
    <w:p w14:paraId="06EF7601" w14:textId="77777777" w:rsidR="00D570A4" w:rsidRPr="006C5CD9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assist the participant to apply</w:t>
      </w:r>
      <w:r w:rsidR="00B776C8" w:rsidRPr="006C5CD9">
        <w:t xml:space="preserve"> for jobs and contact employers</w:t>
      </w:r>
    </w:p>
    <w:p w14:paraId="2B8EC0E8" w14:textId="77777777" w:rsidR="00FE5D42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 xml:space="preserve">liaise with the participant’s DES or </w:t>
      </w:r>
      <w:r w:rsidR="00E214AA" w:rsidRPr="006C5CD9">
        <w:t xml:space="preserve">Workforce Australia </w:t>
      </w:r>
      <w:r w:rsidRPr="006C5CD9">
        <w:t>provider, where applicable. This includes assisting participants to meet mut</w:t>
      </w:r>
      <w:r w:rsidR="00B776C8" w:rsidRPr="006C5CD9">
        <w:t>ual obligation requirements</w:t>
      </w:r>
      <w:r w:rsidR="004B3B7C" w:rsidRPr="006C5CD9">
        <w:t>; and</w:t>
      </w:r>
    </w:p>
    <w:p w14:paraId="1E8B5522" w14:textId="77777777" w:rsidR="00541248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 xml:space="preserve">develop a broad range of employer contacts to ensure there are job vacancies for </w:t>
      </w:r>
      <w:r w:rsidR="00DE5496" w:rsidRPr="006C5CD9">
        <w:t xml:space="preserve">AMH pilot </w:t>
      </w:r>
      <w:proofErr w:type="gramStart"/>
      <w:r w:rsidRPr="006C5CD9">
        <w:t>participants, and</w:t>
      </w:r>
      <w:proofErr w:type="gramEnd"/>
      <w:r w:rsidRPr="006C5CD9">
        <w:t xml:space="preserve"> provide employers </w:t>
      </w:r>
      <w:r w:rsidR="00DE5496" w:rsidRPr="006C5CD9">
        <w:t xml:space="preserve">with </w:t>
      </w:r>
      <w:r w:rsidRPr="006C5CD9">
        <w:t>appropriate education and support.</w:t>
      </w:r>
    </w:p>
    <w:p w14:paraId="624DAC73" w14:textId="7CF6144E" w:rsidR="00D570A4" w:rsidRPr="003D7ED5" w:rsidRDefault="00D570A4" w:rsidP="00D570A4">
      <w:r w:rsidRPr="003D7ED5">
        <w:t>Participants can expect respect, trust and understanding</w:t>
      </w:r>
      <w:r w:rsidR="00991BA9">
        <w:t>.</w:t>
      </w:r>
      <w:r w:rsidRPr="003D7ED5">
        <w:t xml:space="preserve"> </w:t>
      </w:r>
      <w:r w:rsidR="00991BA9">
        <w:t>E</w:t>
      </w:r>
      <w:r w:rsidRPr="003D7ED5">
        <w:t>ach participant will be supported to feel welcome, valued and treated with respect, dignity and understanding as a unique person.</w:t>
      </w:r>
      <w:r w:rsidR="00DE5496">
        <w:t xml:space="preserve"> </w:t>
      </w:r>
      <w:r w:rsidRPr="003D7ED5">
        <w:t>To achieve this</w:t>
      </w:r>
      <w:r w:rsidR="00DE5496">
        <w:t xml:space="preserve">, AMH </w:t>
      </w:r>
      <w:r w:rsidR="00A869E6">
        <w:t xml:space="preserve">pilot </w:t>
      </w:r>
      <w:r w:rsidR="00EC4840">
        <w:t>prov</w:t>
      </w:r>
      <w:r w:rsidR="00541248">
        <w:t>i</w:t>
      </w:r>
      <w:r w:rsidR="00EC4840">
        <w:t>ders</w:t>
      </w:r>
      <w:r w:rsidRPr="003D7ED5">
        <w:t xml:space="preserve"> will:</w:t>
      </w:r>
    </w:p>
    <w:p w14:paraId="58DDB355" w14:textId="0F2A2B0A" w:rsidR="00D570A4" w:rsidRPr="006C5CD9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 xml:space="preserve">have knowledge and understanding of mental </w:t>
      </w:r>
      <w:r w:rsidR="00EC4B17" w:rsidRPr="006C5CD9">
        <w:t>ill</w:t>
      </w:r>
      <w:r w:rsidR="00EC4B17">
        <w:t xml:space="preserve"> health</w:t>
      </w:r>
      <w:r w:rsidR="00EC4B17" w:rsidRPr="006C5CD9">
        <w:t xml:space="preserve"> </w:t>
      </w:r>
      <w:r w:rsidRPr="006C5CD9">
        <w:t>and the impact it has o</w:t>
      </w:r>
      <w:r w:rsidR="00B776C8" w:rsidRPr="006C5CD9">
        <w:t>n people’s behaviours and lives</w:t>
      </w:r>
    </w:p>
    <w:p w14:paraId="4C35B1E0" w14:textId="77777777" w:rsidR="00D570A4" w:rsidRPr="006C5CD9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 xml:space="preserve">engage professional </w:t>
      </w:r>
      <w:r w:rsidR="000D3E9C" w:rsidRPr="006C5CD9">
        <w:t>Vocational Specialist</w:t>
      </w:r>
      <w:r w:rsidR="00B05D93" w:rsidRPr="006C5CD9">
        <w:t xml:space="preserve"> </w:t>
      </w:r>
      <w:r w:rsidRPr="006C5CD9">
        <w:t>who are able to build meaningful relationships with participa</w:t>
      </w:r>
      <w:r w:rsidR="00B776C8" w:rsidRPr="006C5CD9">
        <w:t>nts based on openness and trust</w:t>
      </w:r>
      <w:r w:rsidR="004B3B7C" w:rsidRPr="006C5CD9">
        <w:t>; and</w:t>
      </w:r>
    </w:p>
    <w:p w14:paraId="42F5AABA" w14:textId="77777777" w:rsidR="00614182" w:rsidRPr="00A61B9B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take all practical and appropriate steps to prevent abuse and neglect of participants and to uphold participant legal and human rights.</w:t>
      </w:r>
    </w:p>
    <w:p w14:paraId="65A37EEE" w14:textId="24ABAD1C" w:rsidR="00ED19C0" w:rsidRPr="00536326" w:rsidRDefault="00FA2049" w:rsidP="00684DF9">
      <w:pPr>
        <w:pStyle w:val="Heading3"/>
      </w:pPr>
      <w:r>
        <w:t xml:space="preserve">2.11.1 </w:t>
      </w:r>
      <w:r w:rsidR="00B3526B" w:rsidRPr="00536326">
        <w:t>Fees</w:t>
      </w:r>
    </w:p>
    <w:p w14:paraId="4C4956BD" w14:textId="5C418B72" w:rsidR="00FE5D42" w:rsidRDefault="00B3526B" w:rsidP="00614182">
      <w:pPr>
        <w:spacing w:before="0" w:after="200"/>
        <w:rPr>
          <w:b/>
        </w:rPr>
      </w:pPr>
      <w:r w:rsidRPr="00893655">
        <w:t>Vocational</w:t>
      </w:r>
      <w:r w:rsidRPr="00893655">
        <w:rPr>
          <w:rFonts w:asciiTheme="minorHAnsi" w:eastAsiaTheme="minorHAnsi" w:hAnsiTheme="minorHAnsi"/>
          <w:color w:val="000000" w:themeColor="text1"/>
          <w:szCs w:val="20"/>
        </w:rPr>
        <w:t xml:space="preserve"> and employment related assistance provided </w:t>
      </w:r>
      <w:r w:rsidR="00A869E6">
        <w:rPr>
          <w:rFonts w:asciiTheme="minorHAnsi" w:eastAsiaTheme="minorHAnsi" w:hAnsiTheme="minorHAnsi"/>
          <w:color w:val="000000" w:themeColor="text1"/>
          <w:szCs w:val="20"/>
        </w:rPr>
        <w:t>through</w:t>
      </w:r>
      <w:r w:rsidR="00A869E6" w:rsidRPr="00893655">
        <w:rPr>
          <w:rFonts w:asciiTheme="minorHAnsi" w:eastAsiaTheme="minorHAnsi" w:hAnsiTheme="minorHAnsi"/>
          <w:color w:val="000000" w:themeColor="text1"/>
          <w:szCs w:val="20"/>
        </w:rPr>
        <w:t xml:space="preserve"> </w:t>
      </w:r>
      <w:r w:rsidRPr="00893655">
        <w:rPr>
          <w:rFonts w:asciiTheme="minorHAnsi" w:eastAsiaTheme="minorHAnsi" w:hAnsiTheme="minorHAnsi"/>
          <w:color w:val="000000" w:themeColor="text1"/>
          <w:szCs w:val="20"/>
        </w:rPr>
        <w:t>the AMH pilot will be provided free of any charge for participants</w:t>
      </w:r>
      <w:r w:rsidR="00402920">
        <w:rPr>
          <w:rFonts w:asciiTheme="minorHAnsi" w:eastAsiaTheme="minorHAnsi" w:hAnsiTheme="minorHAnsi"/>
          <w:color w:val="000000" w:themeColor="text1"/>
          <w:szCs w:val="20"/>
        </w:rPr>
        <w:t>,</w:t>
      </w:r>
      <w:r w:rsidRPr="00893655">
        <w:rPr>
          <w:rFonts w:asciiTheme="minorHAnsi" w:eastAsiaTheme="minorHAnsi" w:hAnsiTheme="minorHAnsi"/>
          <w:color w:val="000000" w:themeColor="text1"/>
          <w:szCs w:val="20"/>
        </w:rPr>
        <w:t xml:space="preserve"> employers</w:t>
      </w:r>
      <w:r w:rsidR="00402920">
        <w:rPr>
          <w:rFonts w:asciiTheme="minorHAnsi" w:eastAsiaTheme="minorHAnsi" w:hAnsiTheme="minorHAnsi"/>
          <w:color w:val="000000" w:themeColor="text1"/>
          <w:szCs w:val="20"/>
        </w:rPr>
        <w:t xml:space="preserve"> </w:t>
      </w:r>
      <w:r w:rsidR="001C775B">
        <w:rPr>
          <w:rFonts w:asciiTheme="minorHAnsi" w:eastAsiaTheme="minorHAnsi" w:hAnsiTheme="minorHAnsi"/>
          <w:color w:val="000000" w:themeColor="text1"/>
          <w:szCs w:val="20"/>
        </w:rPr>
        <w:t>and</w:t>
      </w:r>
      <w:r w:rsidR="00402920">
        <w:rPr>
          <w:rFonts w:asciiTheme="minorHAnsi" w:eastAsiaTheme="minorHAnsi" w:hAnsiTheme="minorHAnsi"/>
          <w:color w:val="000000" w:themeColor="text1"/>
          <w:szCs w:val="20"/>
        </w:rPr>
        <w:t xml:space="preserve"> education providers</w:t>
      </w:r>
      <w:r w:rsidRPr="00893655">
        <w:rPr>
          <w:rFonts w:asciiTheme="minorHAnsi" w:eastAsiaTheme="minorHAnsi" w:hAnsiTheme="minorHAnsi"/>
          <w:color w:val="000000" w:themeColor="text1"/>
          <w:szCs w:val="20"/>
        </w:rPr>
        <w:t>.</w:t>
      </w:r>
    </w:p>
    <w:p w14:paraId="3491682D" w14:textId="34104214" w:rsidR="00D570A4" w:rsidRPr="00536326" w:rsidRDefault="00FA2049" w:rsidP="00684DF9">
      <w:pPr>
        <w:pStyle w:val="Heading3"/>
      </w:pPr>
      <w:r>
        <w:t xml:space="preserve">2.11.2 </w:t>
      </w:r>
      <w:r w:rsidR="00D570A4" w:rsidRPr="00536326">
        <w:t>Participant</w:t>
      </w:r>
      <w:r w:rsidR="00263AE5" w:rsidRPr="00536326">
        <w:t>’</w:t>
      </w:r>
      <w:r w:rsidR="00D570A4" w:rsidRPr="00536326">
        <w:t>s rights and responsibilities</w:t>
      </w:r>
    </w:p>
    <w:p w14:paraId="4956662E" w14:textId="207F9C16" w:rsidR="00D570A4" w:rsidRPr="00BA667E" w:rsidRDefault="00D570A4" w:rsidP="00D570A4">
      <w:r w:rsidRPr="00BA667E">
        <w:t xml:space="preserve">Services are delivered in accordance with </w:t>
      </w:r>
      <w:r w:rsidR="00402920" w:rsidRPr="00B42ADC">
        <w:rPr>
          <w:b/>
          <w:bCs/>
        </w:rPr>
        <w:t>Section 2.1 Services to be delivered</w:t>
      </w:r>
      <w:r w:rsidR="00402920">
        <w:rPr>
          <w:i/>
        </w:rPr>
        <w:t>.</w:t>
      </w:r>
    </w:p>
    <w:p w14:paraId="129AD8C4" w14:textId="73CAA606" w:rsidR="00D570A4" w:rsidRPr="00BA667E" w:rsidRDefault="00D570A4" w:rsidP="00D570A4">
      <w:r w:rsidRPr="00536326">
        <w:rPr>
          <w:b/>
          <w:bCs/>
        </w:rPr>
        <w:t>Rights:</w:t>
      </w:r>
      <w:r w:rsidRPr="00BA667E">
        <w:t xml:space="preserve"> </w:t>
      </w:r>
      <w:r w:rsidRPr="00583F5A">
        <w:t>Standard 6 of the National Standards for Mental Health Services</w:t>
      </w:r>
      <w:r w:rsidRPr="00BA667E">
        <w:t xml:space="preserve"> </w:t>
      </w:r>
      <w:r w:rsidR="00583F5A">
        <w:t xml:space="preserve">2010 </w:t>
      </w:r>
      <w:r w:rsidRPr="00BA667E">
        <w:t xml:space="preserve">lists rights applying </w:t>
      </w:r>
      <w:r w:rsidRPr="00E90442">
        <w:t>to consumers of mental health services. They include that participants must:</w:t>
      </w:r>
    </w:p>
    <w:p w14:paraId="597A99D0" w14:textId="77777777" w:rsidR="00D570A4" w:rsidRPr="006C5CD9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be treated with respect</w:t>
      </w:r>
    </w:p>
    <w:p w14:paraId="4F6BACC2" w14:textId="6802D43E" w:rsidR="00D570A4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have their privacy protected</w:t>
      </w:r>
      <w:r w:rsidR="00495FE1">
        <w:t>; and</w:t>
      </w:r>
    </w:p>
    <w:p w14:paraId="70CF7367" w14:textId="77777777" w:rsidR="00D570A4" w:rsidRDefault="00D570A4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receive services appropriate to their needs in a safe and healthy environment.</w:t>
      </w:r>
    </w:p>
    <w:p w14:paraId="5E39F665" w14:textId="2D886B7C" w:rsidR="00CF02C9" w:rsidRDefault="00CF02C9" w:rsidP="00CF02C9">
      <w:pPr>
        <w:spacing w:before="60"/>
      </w:pPr>
      <w:r>
        <w:t>Participants can also expect to:</w:t>
      </w:r>
    </w:p>
    <w:p w14:paraId="756324BD" w14:textId="1397D13F" w:rsidR="00CF02C9" w:rsidRDefault="00CF02C9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>
        <w:t xml:space="preserve">be informed </w:t>
      </w:r>
      <w:r w:rsidR="00A2279A">
        <w:t xml:space="preserve">of </w:t>
      </w:r>
      <w:r>
        <w:t>how their information will be used, who it will be shared with and to request corrections if their information is inaccurate</w:t>
      </w:r>
    </w:p>
    <w:p w14:paraId="77855999" w14:textId="77777777" w:rsidR="00CF02C9" w:rsidRDefault="00CF02C9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>
        <w:t>be informed of their rights when collecting personal information</w:t>
      </w:r>
    </w:p>
    <w:p w14:paraId="3BF71A91" w14:textId="40790535" w:rsidR="00CF02C9" w:rsidRPr="006C5CD9" w:rsidRDefault="00CF02C9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>
        <w:t>be informed how to provide feedback and lodge a complaint.</w:t>
      </w:r>
    </w:p>
    <w:p w14:paraId="618B29F5" w14:textId="60B9DC8D" w:rsidR="00882516" w:rsidRPr="00B459DF" w:rsidRDefault="00D570A4" w:rsidP="00260E56">
      <w:r w:rsidRPr="003934A8">
        <w:rPr>
          <w:b/>
        </w:rPr>
        <w:lastRenderedPageBreak/>
        <w:t>Responsibilities</w:t>
      </w:r>
      <w:r w:rsidRPr="00BA667E">
        <w:rPr>
          <w:b/>
        </w:rPr>
        <w:t>:</w:t>
      </w:r>
      <w:r w:rsidRPr="00BA667E">
        <w:t xml:space="preserve"> Participants have a responsibility to provide accurate information about their needs and circumstances so they can receive quality </w:t>
      </w:r>
      <w:proofErr w:type="gramStart"/>
      <w:r w:rsidRPr="00BA667E">
        <w:t xml:space="preserve">services, </w:t>
      </w:r>
      <w:r>
        <w:t>and</w:t>
      </w:r>
      <w:proofErr w:type="gramEnd"/>
      <w:r>
        <w:t xml:space="preserve"> </w:t>
      </w:r>
      <w:r w:rsidRPr="00BA667E">
        <w:t>are required to comply with the rules and regulations for engaging with services and behave in a manner that does not compromise the health and safety or privacy of others.</w:t>
      </w:r>
    </w:p>
    <w:p w14:paraId="32D57971" w14:textId="4C904203" w:rsidR="00D570A4" w:rsidRPr="00536326" w:rsidRDefault="00FA2049" w:rsidP="00536326">
      <w:pPr>
        <w:rPr>
          <w:b/>
          <w:bCs/>
        </w:rPr>
      </w:pPr>
      <w:r>
        <w:rPr>
          <w:b/>
          <w:bCs/>
        </w:rPr>
        <w:t>2.11.3</w:t>
      </w:r>
      <w:r w:rsidR="00364EFA">
        <w:rPr>
          <w:b/>
          <w:bCs/>
        </w:rPr>
        <w:tab/>
        <w:t xml:space="preserve"> </w:t>
      </w:r>
      <w:r w:rsidR="00D570A4" w:rsidRPr="00536326">
        <w:rPr>
          <w:b/>
          <w:bCs/>
        </w:rPr>
        <w:t>Exiting a service</w:t>
      </w:r>
    </w:p>
    <w:p w14:paraId="42A0AAEF" w14:textId="31797169" w:rsidR="000A4AF2" w:rsidRDefault="00D570A4" w:rsidP="00260E56">
      <w:r w:rsidRPr="004353AA">
        <w:t xml:space="preserve">Participation is voluntary and participants may exit the service when they choose or as agreed with the </w:t>
      </w:r>
      <w:r w:rsidR="00740B2D">
        <w:t>AMH</w:t>
      </w:r>
      <w:r w:rsidR="00A869E6">
        <w:t xml:space="preserve"> pilot</w:t>
      </w:r>
      <w:r w:rsidR="00740B2D">
        <w:t xml:space="preserve"> </w:t>
      </w:r>
      <w:r w:rsidRPr="004353AA">
        <w:t xml:space="preserve">provider. </w:t>
      </w:r>
      <w:r w:rsidR="00740B2D">
        <w:t>Participants who are e</w:t>
      </w:r>
      <w:r w:rsidRPr="004353AA">
        <w:t xml:space="preserve">xiting </w:t>
      </w:r>
      <w:r w:rsidR="00740B2D">
        <w:t>the service</w:t>
      </w:r>
      <w:r w:rsidR="00740B2D" w:rsidRPr="004353AA">
        <w:t xml:space="preserve"> </w:t>
      </w:r>
      <w:r w:rsidRPr="004353AA">
        <w:t>may be asked to provide information on the reasons for exiting.</w:t>
      </w:r>
    </w:p>
    <w:p w14:paraId="28CA6639" w14:textId="77777777" w:rsidR="000A4AF2" w:rsidRPr="000A4AF2" w:rsidRDefault="000A4AF2" w:rsidP="003A7D25">
      <w:pPr>
        <w:pStyle w:val="Heading3"/>
        <w:numPr>
          <w:ilvl w:val="0"/>
          <w:numId w:val="55"/>
        </w:numPr>
        <w:spacing w:before="240"/>
        <w:ind w:left="811" w:hanging="357"/>
      </w:pPr>
      <w:bookmarkStart w:id="178" w:name="_Toc207282698"/>
      <w:r w:rsidRPr="000A4AF2">
        <w:t>Incident notification</w:t>
      </w:r>
      <w:bookmarkEnd w:id="178"/>
    </w:p>
    <w:p w14:paraId="77C0528C" w14:textId="77777777" w:rsidR="000A4AF2" w:rsidRDefault="000A4AF2" w:rsidP="000A4AF2">
      <w:r>
        <w:t xml:space="preserve">Providers must comply with relevant Commonwealth and state and territory laws if there is an incident in relation to delivering the </w:t>
      </w:r>
      <w:r w:rsidR="00740B2D">
        <w:t>AMH pilot</w:t>
      </w:r>
      <w:r>
        <w:t>.</w:t>
      </w:r>
    </w:p>
    <w:p w14:paraId="282BCDC1" w14:textId="77777777" w:rsidR="00260E56" w:rsidRDefault="000A4AF2" w:rsidP="00260E56">
      <w:pPr>
        <w:rPr>
          <w:lang w:val="en-GB"/>
        </w:rPr>
      </w:pPr>
      <w:r w:rsidRPr="00E22EC5">
        <w:rPr>
          <w:lang w:val="en-GB"/>
        </w:rPr>
        <w:t>Incident reporting can also contribute to service improvement through analysis of incidents to</w:t>
      </w:r>
      <w:r>
        <w:rPr>
          <w:lang w:val="en-GB"/>
        </w:rPr>
        <w:t> </w:t>
      </w:r>
      <w:r w:rsidRPr="00E22EC5">
        <w:rPr>
          <w:lang w:val="en-GB"/>
        </w:rPr>
        <w:t>inform the implementation of preventative measures and responses to adverse events.</w:t>
      </w:r>
    </w:p>
    <w:p w14:paraId="3381398F" w14:textId="4378FA50" w:rsidR="000A4AF2" w:rsidRPr="00536326" w:rsidRDefault="00FA2049" w:rsidP="00684DF9">
      <w:pPr>
        <w:pStyle w:val="Heading3"/>
        <w:rPr>
          <w:lang w:val="en-GB"/>
        </w:rPr>
      </w:pPr>
      <w:proofErr w:type="gramStart"/>
      <w:r>
        <w:t xml:space="preserve">2.12.1  </w:t>
      </w:r>
      <w:r w:rsidR="000A4AF2" w:rsidRPr="00536326">
        <w:t>Reportable</w:t>
      </w:r>
      <w:proofErr w:type="gramEnd"/>
      <w:r w:rsidR="000A4AF2" w:rsidRPr="00536326">
        <w:t xml:space="preserve"> incident notification</w:t>
      </w:r>
    </w:p>
    <w:p w14:paraId="7F89F19F" w14:textId="77777777" w:rsidR="000A4AF2" w:rsidRPr="00BD558A" w:rsidRDefault="000A4AF2" w:rsidP="000A4AF2">
      <w:r w:rsidRPr="00BD558A">
        <w:t>A reportable incident includes:</w:t>
      </w:r>
    </w:p>
    <w:p w14:paraId="6A075652" w14:textId="77777777" w:rsidR="000A4AF2" w:rsidRPr="006C5CD9" w:rsidRDefault="000A4AF2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the death of a client (regardless of cause)</w:t>
      </w:r>
    </w:p>
    <w:p w14:paraId="368787D8" w14:textId="77777777" w:rsidR="000A4AF2" w:rsidRPr="006C5CD9" w:rsidRDefault="000A4AF2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serious injury of a client</w:t>
      </w:r>
    </w:p>
    <w:p w14:paraId="08732D35" w14:textId="77777777" w:rsidR="000A4AF2" w:rsidRPr="006C5CD9" w:rsidRDefault="000A4AF2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abuse or neglect of a client</w:t>
      </w:r>
    </w:p>
    <w:p w14:paraId="459A0586" w14:textId="77777777" w:rsidR="000A4AF2" w:rsidRPr="006C5CD9" w:rsidRDefault="000A4AF2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unlawful sexual or physical contact with, or assault of, a client</w:t>
      </w:r>
    </w:p>
    <w:p w14:paraId="40D2B328" w14:textId="77777777" w:rsidR="000A4AF2" w:rsidRPr="006C5CD9" w:rsidRDefault="000A4AF2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sexual misconduct committed against, or in the presence of, a client, including grooming of the person for sexual activity</w:t>
      </w:r>
      <w:r w:rsidR="004B3B7C" w:rsidRPr="006C5CD9">
        <w:t>; and</w:t>
      </w:r>
    </w:p>
    <w:p w14:paraId="6E2FD853" w14:textId="77777777" w:rsidR="003905FE" w:rsidRPr="006C5CD9" w:rsidRDefault="000A4AF2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the use of a restrictive practice in relation to a client, other than where the use is</w:t>
      </w:r>
      <w:r w:rsidR="002003F0" w:rsidRPr="006C5CD9">
        <w:t> </w:t>
      </w:r>
      <w:r w:rsidRPr="006C5CD9">
        <w:t>in</w:t>
      </w:r>
      <w:r w:rsidR="002003F0" w:rsidRPr="006C5CD9">
        <w:t> </w:t>
      </w:r>
      <w:r w:rsidRPr="006C5CD9">
        <w:t>accordance with an authorisation (however described) of a State or Territory in</w:t>
      </w:r>
      <w:r w:rsidR="002003F0" w:rsidRPr="006C5CD9">
        <w:t> </w:t>
      </w:r>
      <w:r w:rsidRPr="006C5CD9">
        <w:t>relation to the person</w:t>
      </w:r>
      <w:r w:rsidR="00B776C8" w:rsidRPr="006C5CD9">
        <w:t>.</w:t>
      </w:r>
      <w:r w:rsidRPr="006C5CD9">
        <w:t xml:space="preserve"> </w:t>
      </w:r>
    </w:p>
    <w:p w14:paraId="3C8ADD57" w14:textId="5AA79DC5" w:rsidR="000A4AF2" w:rsidRPr="00BD558A" w:rsidRDefault="00740B2D" w:rsidP="004353AA">
      <w:pPr>
        <w:pStyle w:val="IntenseQuote"/>
        <w:ind w:left="567" w:right="708"/>
        <w:jc w:val="left"/>
        <w:rPr>
          <w:i w:val="0"/>
        </w:rPr>
      </w:pPr>
      <w:r>
        <w:rPr>
          <w:i w:val="0"/>
        </w:rPr>
        <w:t>P</w:t>
      </w:r>
      <w:r w:rsidR="000A4AF2" w:rsidRPr="00BD558A">
        <w:rPr>
          <w:i w:val="0"/>
        </w:rPr>
        <w:t xml:space="preserve">roviders must notify their </w:t>
      </w:r>
      <w:r w:rsidR="00EC7088">
        <w:rPr>
          <w:i w:val="0"/>
        </w:rPr>
        <w:t>FAM</w:t>
      </w:r>
      <w:r w:rsidR="000A4AF2" w:rsidRPr="00BD558A">
        <w:rPr>
          <w:i w:val="0"/>
        </w:rPr>
        <w:t xml:space="preserve"> of any reportable incident within 24 hours of personnel becoming aware of a reportable incident or allegation, using the Incident Notification Form at </w:t>
      </w:r>
      <w:hyperlink w:anchor="_Attachment_A_–_1" w:history="1">
        <w:r w:rsidR="008A2E1E" w:rsidRPr="00F97CCB">
          <w:rPr>
            <w:rStyle w:val="Hyperlink"/>
            <w:i w:val="0"/>
          </w:rPr>
          <w:t>Attachment C</w:t>
        </w:r>
      </w:hyperlink>
      <w:r w:rsidR="000A4AF2" w:rsidRPr="006B7814">
        <w:rPr>
          <w:i w:val="0"/>
        </w:rPr>
        <w:t>.</w:t>
      </w:r>
      <w:r w:rsidR="000A4AF2">
        <w:rPr>
          <w:i w:val="0"/>
        </w:rPr>
        <w:br/>
      </w:r>
      <w:r w:rsidR="000A4AF2" w:rsidRPr="00BD558A">
        <w:rPr>
          <w:i w:val="0"/>
        </w:rPr>
        <w:t xml:space="preserve">Updates should be provided within </w:t>
      </w:r>
      <w:r w:rsidR="00AE55B2">
        <w:rPr>
          <w:i w:val="0"/>
        </w:rPr>
        <w:t>5</w:t>
      </w:r>
      <w:r w:rsidR="000A4AF2" w:rsidRPr="00BD558A">
        <w:rPr>
          <w:i w:val="0"/>
        </w:rPr>
        <w:t xml:space="preserve"> days. </w:t>
      </w:r>
      <w:r w:rsidR="000A4AF2">
        <w:rPr>
          <w:i w:val="0"/>
        </w:rPr>
        <w:br/>
      </w:r>
      <w:r w:rsidR="000A4AF2" w:rsidRPr="00BD558A">
        <w:rPr>
          <w:i w:val="0"/>
        </w:rPr>
        <w:t xml:space="preserve">Information supplied to the </w:t>
      </w:r>
      <w:r w:rsidR="00B8500A">
        <w:rPr>
          <w:i w:val="0"/>
        </w:rPr>
        <w:t>Department</w:t>
      </w:r>
      <w:r w:rsidR="000A4AF2" w:rsidRPr="00BD558A">
        <w:rPr>
          <w:i w:val="0"/>
        </w:rPr>
        <w:t xml:space="preserve"> should be de-identified.</w:t>
      </w:r>
    </w:p>
    <w:p w14:paraId="365A2FBE" w14:textId="46B04158" w:rsidR="000A4AF2" w:rsidRPr="00536326" w:rsidRDefault="00FA2049" w:rsidP="00684DF9">
      <w:pPr>
        <w:pStyle w:val="Heading3"/>
      </w:pPr>
      <w:proofErr w:type="gramStart"/>
      <w:r>
        <w:t xml:space="preserve">2.12.2  </w:t>
      </w:r>
      <w:r w:rsidR="000A4AF2" w:rsidRPr="00536326">
        <w:t>Serious</w:t>
      </w:r>
      <w:proofErr w:type="gramEnd"/>
      <w:r w:rsidR="000A4AF2" w:rsidRPr="00536326">
        <w:t xml:space="preserve"> incident notification</w:t>
      </w:r>
    </w:p>
    <w:p w14:paraId="3CE65D65" w14:textId="77777777" w:rsidR="000A4AF2" w:rsidRDefault="000A4AF2" w:rsidP="000A4AF2">
      <w:r>
        <w:t>A serious incident is an event that disrupts service provision or threatens the safety of people or property. Examples of serious incidents include:</w:t>
      </w:r>
    </w:p>
    <w:p w14:paraId="6C99CF92" w14:textId="77777777" w:rsidR="000A4AF2" w:rsidRPr="00F973CB" w:rsidRDefault="000A4AF2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F973CB">
        <w:t xml:space="preserve">incidents involving fraud (including allegations) or misuse of </w:t>
      </w:r>
      <w:r w:rsidR="00755E52" w:rsidRPr="00F973CB">
        <w:t xml:space="preserve">AMH pilot </w:t>
      </w:r>
      <w:r w:rsidRPr="00F973CB">
        <w:t>funding</w:t>
      </w:r>
    </w:p>
    <w:p w14:paraId="63BCF2BF" w14:textId="77777777" w:rsidR="000A4AF2" w:rsidRPr="00F973CB" w:rsidRDefault="000A4AF2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F973CB">
        <w:t>incidents of alleged physical or sexual assault of a client committed by an employee</w:t>
      </w:r>
    </w:p>
    <w:p w14:paraId="62B97A01" w14:textId="77777777" w:rsidR="000A4AF2" w:rsidRPr="00F973CB" w:rsidRDefault="000A4AF2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F973CB">
        <w:t>incidents of alleged physical or sexual assault of a client committed by another client while in the care of the provider</w:t>
      </w:r>
    </w:p>
    <w:p w14:paraId="008A526E" w14:textId="77777777" w:rsidR="000A4AF2" w:rsidRPr="00F973CB" w:rsidRDefault="000103A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F973CB">
        <w:t>d</w:t>
      </w:r>
      <w:r w:rsidR="000A4AF2" w:rsidRPr="00F973CB">
        <w:t xml:space="preserve">eath, injury or abuse of staff/volunteers undertaking delivery of </w:t>
      </w:r>
      <w:r w:rsidR="00425232" w:rsidRPr="00F973CB">
        <w:t xml:space="preserve">the </w:t>
      </w:r>
      <w:r w:rsidR="005F7461" w:rsidRPr="00F973CB">
        <w:t>AMH pilot</w:t>
      </w:r>
    </w:p>
    <w:p w14:paraId="5589062C" w14:textId="77777777" w:rsidR="000A4AF2" w:rsidRPr="00F973CB" w:rsidRDefault="000103A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F973CB">
        <w:lastRenderedPageBreak/>
        <w:t>s</w:t>
      </w:r>
      <w:r w:rsidR="000A4AF2" w:rsidRPr="00F973CB">
        <w:t>ignificant damage to, or destruction of property impacting service delivery</w:t>
      </w:r>
    </w:p>
    <w:p w14:paraId="04BEB961" w14:textId="77777777" w:rsidR="000A4AF2" w:rsidRPr="00F973CB" w:rsidRDefault="000103A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F973CB">
        <w:t>a</w:t>
      </w:r>
      <w:r w:rsidR="000A4AF2" w:rsidRPr="00F973CB">
        <w:t xml:space="preserve">dverse community reaction to </w:t>
      </w:r>
      <w:r w:rsidR="00887E70" w:rsidRPr="00F973CB">
        <w:t>the</w:t>
      </w:r>
      <w:r w:rsidR="00740B2D" w:rsidRPr="00F973CB">
        <w:t xml:space="preserve"> AMH pilot </w:t>
      </w:r>
      <w:r w:rsidR="000A4AF2" w:rsidRPr="00F973CB">
        <w:t>activities</w:t>
      </w:r>
      <w:r w:rsidR="004B3B7C" w:rsidRPr="00F973CB">
        <w:t>; and</w:t>
      </w:r>
    </w:p>
    <w:p w14:paraId="23DA72B1" w14:textId="428C4026" w:rsidR="000A4AF2" w:rsidRPr="00F973CB" w:rsidRDefault="000A4AF2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F973CB">
        <w:t xml:space="preserve">negative media coverage that may adversely impact the delivery of services to participants or the reputation of the </w:t>
      </w:r>
      <w:r w:rsidR="00B8500A">
        <w:t>Department</w:t>
      </w:r>
      <w:r w:rsidR="00B776C8" w:rsidRPr="00F973CB">
        <w:t>.</w:t>
      </w:r>
    </w:p>
    <w:p w14:paraId="0E6EA979" w14:textId="6E705B6E" w:rsidR="000A4AF2" w:rsidRPr="00D43E61" w:rsidRDefault="00740B2D" w:rsidP="00177A43">
      <w:pPr>
        <w:pStyle w:val="IntenseQuote"/>
        <w:keepNext/>
        <w:keepLines/>
        <w:ind w:left="567" w:right="709"/>
        <w:jc w:val="left"/>
      </w:pPr>
      <w:r>
        <w:rPr>
          <w:i w:val="0"/>
        </w:rPr>
        <w:t>P</w:t>
      </w:r>
      <w:r w:rsidR="000A4AF2" w:rsidRPr="004353AA">
        <w:rPr>
          <w:i w:val="0"/>
        </w:rPr>
        <w:t xml:space="preserve">roviders must notify their </w:t>
      </w:r>
      <w:r w:rsidR="00EC7088">
        <w:rPr>
          <w:i w:val="0"/>
        </w:rPr>
        <w:t>FAM</w:t>
      </w:r>
      <w:r w:rsidR="000A4AF2" w:rsidRPr="004353AA">
        <w:rPr>
          <w:i w:val="0"/>
        </w:rPr>
        <w:t xml:space="preserve"> of any serious incident, particularly where they affect services to clients or a client’s wellbeing, within 72 hours of personnel becoming aware of a serious incident, using the Incident Notification Form at </w:t>
      </w:r>
      <w:hyperlink w:anchor="_Attachment_A_–_1" w:history="1">
        <w:r w:rsidR="00491CF2" w:rsidRPr="00F97CCB">
          <w:rPr>
            <w:rStyle w:val="Hyperlink"/>
            <w:i w:val="0"/>
          </w:rPr>
          <w:t>Attachment C</w:t>
        </w:r>
      </w:hyperlink>
      <w:r w:rsidR="000A4AF2" w:rsidRPr="004353AA">
        <w:rPr>
          <w:i w:val="0"/>
        </w:rPr>
        <w:t>.</w:t>
      </w:r>
      <w:r w:rsidR="000A4AF2" w:rsidRPr="004353AA">
        <w:rPr>
          <w:i w:val="0"/>
        </w:rPr>
        <w:br/>
        <w:t xml:space="preserve">Updates should be provided within </w:t>
      </w:r>
      <w:r w:rsidR="00AE55B2">
        <w:rPr>
          <w:i w:val="0"/>
        </w:rPr>
        <w:t>5</w:t>
      </w:r>
      <w:r w:rsidR="000A4AF2" w:rsidRPr="004353AA">
        <w:rPr>
          <w:i w:val="0"/>
        </w:rPr>
        <w:t xml:space="preserve"> days. </w:t>
      </w:r>
      <w:r w:rsidR="000A4AF2" w:rsidRPr="004353AA">
        <w:rPr>
          <w:i w:val="0"/>
        </w:rPr>
        <w:br/>
        <w:t xml:space="preserve">Information supplied to the </w:t>
      </w:r>
      <w:r w:rsidR="00B8500A">
        <w:rPr>
          <w:i w:val="0"/>
        </w:rPr>
        <w:t>Department</w:t>
      </w:r>
      <w:r w:rsidR="000A4AF2" w:rsidRPr="004353AA">
        <w:rPr>
          <w:i w:val="0"/>
        </w:rPr>
        <w:t xml:space="preserve"> should be de-identified.</w:t>
      </w:r>
    </w:p>
    <w:p w14:paraId="46685123" w14:textId="77777777" w:rsidR="00F94F71" w:rsidRPr="00536326" w:rsidRDefault="00F94F71" w:rsidP="00536326">
      <w:pPr>
        <w:pStyle w:val="Heading2"/>
        <w:ind w:left="584" w:hanging="357"/>
      </w:pPr>
      <w:bookmarkStart w:id="179" w:name="_Privacy,_Consent_and"/>
      <w:bookmarkStart w:id="180" w:name="_Toc207282699"/>
      <w:bookmarkEnd w:id="179"/>
      <w:r w:rsidRPr="00536326">
        <w:t>Handling Complaints</w:t>
      </w:r>
      <w:bookmarkEnd w:id="175"/>
      <w:bookmarkEnd w:id="180"/>
      <w:r w:rsidRPr="00536326">
        <w:t xml:space="preserve"> </w:t>
      </w:r>
    </w:p>
    <w:p w14:paraId="2AFD7ED0" w14:textId="55884055" w:rsidR="00F94F71" w:rsidRPr="00536326" w:rsidRDefault="00F94F71" w:rsidP="003A7D25">
      <w:pPr>
        <w:pStyle w:val="Heading3"/>
        <w:numPr>
          <w:ilvl w:val="0"/>
          <w:numId w:val="56"/>
        </w:numPr>
      </w:pPr>
      <w:bookmarkStart w:id="181" w:name="_Toc75711034"/>
      <w:bookmarkStart w:id="182" w:name="_Toc78266595"/>
      <w:bookmarkStart w:id="183" w:name="_Toc78266757"/>
      <w:bookmarkStart w:id="184" w:name="_Toc358795011"/>
      <w:bookmarkStart w:id="185" w:name="_Toc358795069"/>
      <w:bookmarkStart w:id="186" w:name="_Toc358795134"/>
      <w:bookmarkStart w:id="187" w:name="_Toc358796645"/>
      <w:bookmarkStart w:id="188" w:name="_Toc358796705"/>
      <w:bookmarkStart w:id="189" w:name="_Toc358815949"/>
      <w:bookmarkStart w:id="190" w:name="_Toc358816095"/>
      <w:bookmarkStart w:id="191" w:name="_Toc358884521"/>
      <w:bookmarkStart w:id="192" w:name="_Toc358884781"/>
      <w:bookmarkStart w:id="193" w:name="_Toc358885873"/>
      <w:bookmarkStart w:id="194" w:name="_Toc358886104"/>
      <w:bookmarkStart w:id="195" w:name="_Toc358886269"/>
      <w:bookmarkStart w:id="196" w:name="_Toc358886473"/>
      <w:bookmarkStart w:id="197" w:name="_Toc358886475"/>
      <w:bookmarkStart w:id="198" w:name="_Toc418003752"/>
      <w:bookmarkStart w:id="199" w:name="_Toc418003793"/>
      <w:bookmarkStart w:id="200" w:name="_Toc418003936"/>
      <w:bookmarkStart w:id="201" w:name="_Toc429647863"/>
      <w:bookmarkStart w:id="202" w:name="_Toc66260893"/>
      <w:bookmarkStart w:id="203" w:name="_Toc20728270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r w:rsidRPr="00536326">
        <w:t>Complaints</w:t>
      </w:r>
      <w:bookmarkEnd w:id="197"/>
      <w:bookmarkEnd w:id="198"/>
      <w:bookmarkEnd w:id="199"/>
      <w:bookmarkEnd w:id="200"/>
      <w:bookmarkEnd w:id="201"/>
      <w:bookmarkEnd w:id="202"/>
      <w:r w:rsidR="00A178E7" w:rsidRPr="00536326">
        <w:t xml:space="preserve"> about the </w:t>
      </w:r>
      <w:r w:rsidR="00244006" w:rsidRPr="00536326">
        <w:t>AMH</w:t>
      </w:r>
      <w:r w:rsidR="00740B2D" w:rsidRPr="00536326">
        <w:t xml:space="preserve"> </w:t>
      </w:r>
      <w:r w:rsidR="00A178E7" w:rsidRPr="00536326">
        <w:t>provider</w:t>
      </w:r>
      <w:bookmarkEnd w:id="203"/>
    </w:p>
    <w:p w14:paraId="59F6B5E5" w14:textId="5A21171F" w:rsidR="00B94F0D" w:rsidRPr="00B94F0D" w:rsidRDefault="00B94F0D" w:rsidP="00B94F0D">
      <w:r w:rsidRPr="00B94F0D">
        <w:t xml:space="preserve">Complaints, queries and feedback are considered a valuable opportunity for </w:t>
      </w:r>
      <w:r w:rsidR="00740B2D">
        <w:t xml:space="preserve">AMH </w:t>
      </w:r>
      <w:r w:rsidR="00A869E6">
        <w:t xml:space="preserve">pilot </w:t>
      </w:r>
      <w:r w:rsidRPr="00B94F0D">
        <w:t xml:space="preserve">providers and the </w:t>
      </w:r>
      <w:r w:rsidR="00B8500A">
        <w:t>Department</w:t>
      </w:r>
      <w:r w:rsidRPr="00B94F0D">
        <w:t xml:space="preserve"> to review and improve processes and the quality of services provided. </w:t>
      </w:r>
      <w:r w:rsidR="00C92670" w:rsidRPr="00B94F0D">
        <w:t>A</w:t>
      </w:r>
      <w:r w:rsidR="00C92670">
        <w:t> </w:t>
      </w:r>
      <w:r w:rsidRPr="00B94F0D">
        <w:t xml:space="preserve">complaint is defined as: “Any expression of dissatisfaction with a product or service offered or provided”. </w:t>
      </w:r>
    </w:p>
    <w:p w14:paraId="68AD0534" w14:textId="51FE0BF1" w:rsidR="00B94F0D" w:rsidRPr="00161666" w:rsidRDefault="00F94F71" w:rsidP="00F94F71">
      <w:pPr>
        <w:rPr>
          <w:color w:val="000000"/>
        </w:rPr>
      </w:pPr>
      <w:r w:rsidRPr="00B94F0D">
        <w:rPr>
          <w:color w:val="000000"/>
        </w:rPr>
        <w:t>Complaints are to be treated professionally and in a positive, timely and fair way.</w:t>
      </w:r>
      <w:r w:rsidR="00C92670">
        <w:rPr>
          <w:color w:val="000000"/>
        </w:rPr>
        <w:t xml:space="preserve"> </w:t>
      </w:r>
      <w:r w:rsidR="00C92670" w:rsidRPr="00B94F0D">
        <w:rPr>
          <w:color w:val="000000"/>
        </w:rPr>
        <w:t>In</w:t>
      </w:r>
      <w:r w:rsidR="00C92670">
        <w:rPr>
          <w:color w:val="000000"/>
        </w:rPr>
        <w:t> </w:t>
      </w:r>
      <w:r w:rsidRPr="00B94F0D">
        <w:rPr>
          <w:color w:val="000000"/>
        </w:rPr>
        <w:t xml:space="preserve">the first instance, complaints (from </w:t>
      </w:r>
      <w:r w:rsidR="00B94F0D" w:rsidRPr="00B94F0D">
        <w:rPr>
          <w:color w:val="000000"/>
        </w:rPr>
        <w:t>participants</w:t>
      </w:r>
      <w:r w:rsidRPr="00B94F0D">
        <w:rPr>
          <w:color w:val="000000"/>
        </w:rPr>
        <w:t xml:space="preserve"> or others) should be directed </w:t>
      </w:r>
      <w:r w:rsidR="00B94F0D" w:rsidRPr="00B94F0D">
        <w:rPr>
          <w:color w:val="000000"/>
        </w:rPr>
        <w:t>to</w:t>
      </w:r>
      <w:r w:rsidRPr="00B94F0D">
        <w:rPr>
          <w:color w:val="000000"/>
        </w:rPr>
        <w:t xml:space="preserve"> the </w:t>
      </w:r>
      <w:r w:rsidR="00740B2D">
        <w:rPr>
          <w:color w:val="000000"/>
        </w:rPr>
        <w:t xml:space="preserve">AMH </w:t>
      </w:r>
      <w:r w:rsidR="00A869E6">
        <w:rPr>
          <w:color w:val="000000"/>
        </w:rPr>
        <w:t xml:space="preserve">pilot </w:t>
      </w:r>
      <w:r w:rsidR="00740B2D">
        <w:rPr>
          <w:color w:val="000000"/>
        </w:rPr>
        <w:t>provider</w:t>
      </w:r>
      <w:r w:rsidRPr="00161666">
        <w:rPr>
          <w:color w:val="000000"/>
        </w:rPr>
        <w:t>.</w:t>
      </w:r>
      <w:r w:rsidR="00DD6076">
        <w:rPr>
          <w:color w:val="000000"/>
        </w:rPr>
        <w:t xml:space="preserve"> </w:t>
      </w:r>
      <w:r w:rsidR="007B2BB3" w:rsidRPr="00161666">
        <w:rPr>
          <w:color w:val="000000"/>
        </w:rPr>
        <w:t>T</w:t>
      </w:r>
      <w:r w:rsidR="007B2BB3" w:rsidRPr="004353AA">
        <w:rPr>
          <w:color w:val="000000"/>
        </w:rPr>
        <w:t xml:space="preserve">he provider should attempt to resolve the complaint amicably in accordance with their internal complaints resolution process and policies. </w:t>
      </w:r>
    </w:p>
    <w:p w14:paraId="50AD9520" w14:textId="50AB0A86" w:rsidR="00C92670" w:rsidRDefault="00EC4840" w:rsidP="00B94F0D">
      <w:pPr>
        <w:rPr>
          <w:color w:val="000000"/>
        </w:rPr>
      </w:pPr>
      <w:r>
        <w:t>AMH</w:t>
      </w:r>
      <w:r w:rsidR="00740B2D">
        <w:t xml:space="preserve"> </w:t>
      </w:r>
      <w:r w:rsidR="00A869E6">
        <w:t xml:space="preserve">pilot </w:t>
      </w:r>
      <w:r w:rsidR="00B94F0D" w:rsidRPr="00B94F0D">
        <w:t>providers must have an Internal Complaints Procedure (ICP) in place</w:t>
      </w:r>
      <w:r w:rsidR="00C92670">
        <w:t>,</w:t>
      </w:r>
      <w:r w:rsidR="00B94F0D" w:rsidRPr="00B94F0D">
        <w:t xml:space="preserve"> and p</w:t>
      </w:r>
      <w:r w:rsidR="00B94F0D" w:rsidRPr="00B94F0D">
        <w:rPr>
          <w:color w:val="000000"/>
        </w:rPr>
        <w:t xml:space="preserve">articipants </w:t>
      </w:r>
      <w:r w:rsidR="00F94F71" w:rsidRPr="00B94F0D">
        <w:rPr>
          <w:color w:val="000000"/>
        </w:rPr>
        <w:t>must be made aware of the avenues available to them to make a complaint</w:t>
      </w:r>
      <w:r w:rsidR="00DD6076">
        <w:rPr>
          <w:color w:val="000000"/>
        </w:rPr>
        <w:t>, such as</w:t>
      </w:r>
      <w:r w:rsidR="00F94F71" w:rsidRPr="00B94F0D">
        <w:rPr>
          <w:color w:val="000000"/>
        </w:rPr>
        <w:t xml:space="preserve">, </w:t>
      </w:r>
      <w:r w:rsidR="00DD6076" w:rsidRPr="00B94F0D">
        <w:rPr>
          <w:color w:val="000000"/>
        </w:rPr>
        <w:t>in</w:t>
      </w:r>
      <w:r w:rsidR="00DD6076">
        <w:rPr>
          <w:color w:val="000000"/>
        </w:rPr>
        <w:t> </w:t>
      </w:r>
      <w:r w:rsidR="00F94F71" w:rsidRPr="00B94F0D">
        <w:rPr>
          <w:color w:val="000000"/>
        </w:rPr>
        <w:t>person, in writing, over the phone, and via email.</w:t>
      </w:r>
      <w:r w:rsidR="00B94F0D" w:rsidRPr="00B94F0D">
        <w:rPr>
          <w:color w:val="000000"/>
        </w:rPr>
        <w:t xml:space="preserve"> </w:t>
      </w:r>
    </w:p>
    <w:p w14:paraId="2E3EC26B" w14:textId="77777777" w:rsidR="00B94F0D" w:rsidRPr="00B94F0D" w:rsidRDefault="00B94F0D" w:rsidP="00B94F0D">
      <w:r w:rsidRPr="00B94F0D">
        <w:t xml:space="preserve">The ICP should respect the participant’s confidentiality in order for issues to be raised </w:t>
      </w:r>
      <w:r w:rsidR="00C92670" w:rsidRPr="00B94F0D">
        <w:t>in</w:t>
      </w:r>
      <w:r w:rsidR="00C92670">
        <w:t> </w:t>
      </w:r>
      <w:r w:rsidR="00C92670" w:rsidRPr="00B94F0D">
        <w:t>a</w:t>
      </w:r>
      <w:r w:rsidR="00C92670">
        <w:t> </w:t>
      </w:r>
      <w:r w:rsidRPr="00B94F0D">
        <w:t xml:space="preserve">constructive and safe way without any fear of their issues affecting the support </w:t>
      </w:r>
      <w:r w:rsidR="00C92670" w:rsidRPr="00B94F0D">
        <w:t>or</w:t>
      </w:r>
      <w:r w:rsidR="00C92670">
        <w:t> </w:t>
      </w:r>
      <w:r w:rsidRPr="00B94F0D">
        <w:t>assistance they receive.</w:t>
      </w:r>
    </w:p>
    <w:p w14:paraId="38B55BE3" w14:textId="42F9C9B9" w:rsidR="00C92670" w:rsidRDefault="00C92670" w:rsidP="00F94F71">
      <w:pPr>
        <w:rPr>
          <w:color w:val="000000"/>
        </w:rPr>
      </w:pPr>
      <w:r>
        <w:rPr>
          <w:color w:val="000000"/>
        </w:rPr>
        <w:t>A</w:t>
      </w:r>
      <w:r w:rsidR="00F94F71" w:rsidRPr="00B94F0D">
        <w:rPr>
          <w:color w:val="000000"/>
        </w:rPr>
        <w:t xml:space="preserve"> formal register of complaints</w:t>
      </w:r>
      <w:r>
        <w:rPr>
          <w:color w:val="000000"/>
        </w:rPr>
        <w:t xml:space="preserve"> should be maintained</w:t>
      </w:r>
      <w:r w:rsidR="00755E52">
        <w:rPr>
          <w:color w:val="000000"/>
        </w:rPr>
        <w:t xml:space="preserve"> and</w:t>
      </w:r>
      <w:r w:rsidR="00755E52" w:rsidRPr="004353AA">
        <w:rPr>
          <w:color w:val="000000"/>
        </w:rPr>
        <w:t xml:space="preserve"> must </w:t>
      </w:r>
      <w:r w:rsidR="00A266AC">
        <w:rPr>
          <w:color w:val="000000"/>
        </w:rPr>
        <w:t xml:space="preserve">be </w:t>
      </w:r>
      <w:r w:rsidR="00755E52" w:rsidRPr="004353AA">
        <w:rPr>
          <w:color w:val="000000"/>
        </w:rPr>
        <w:t>provide</w:t>
      </w:r>
      <w:r w:rsidR="00A266AC">
        <w:rPr>
          <w:color w:val="000000"/>
        </w:rPr>
        <w:t>d</w:t>
      </w:r>
      <w:r w:rsidR="00755E52" w:rsidRPr="004353AA">
        <w:rPr>
          <w:color w:val="000000"/>
        </w:rPr>
        <w:t xml:space="preserve"> to</w:t>
      </w:r>
      <w:r w:rsidR="00A266AC">
        <w:rPr>
          <w:color w:val="000000"/>
        </w:rPr>
        <w:t xml:space="preserve"> the</w:t>
      </w:r>
      <w:r w:rsidR="00755E52" w:rsidRPr="004353AA">
        <w:rPr>
          <w:color w:val="000000"/>
        </w:rPr>
        <w:t xml:space="preserve"> </w:t>
      </w:r>
      <w:r w:rsidR="00B8500A">
        <w:rPr>
          <w:color w:val="000000"/>
        </w:rPr>
        <w:t>Department</w:t>
      </w:r>
      <w:r w:rsidR="00A266AC">
        <w:rPr>
          <w:color w:val="000000"/>
        </w:rPr>
        <w:t xml:space="preserve"> </w:t>
      </w:r>
      <w:r w:rsidR="00755E52" w:rsidRPr="004353AA">
        <w:rPr>
          <w:color w:val="000000"/>
        </w:rPr>
        <w:t>if requested.</w:t>
      </w:r>
      <w:r w:rsidR="00A266AC">
        <w:rPr>
          <w:color w:val="000000"/>
        </w:rPr>
        <w:t xml:space="preserve"> The register will </w:t>
      </w:r>
      <w:r>
        <w:rPr>
          <w:color w:val="000000"/>
        </w:rPr>
        <w:t>include the following information as a minimum:</w:t>
      </w:r>
    </w:p>
    <w:p w14:paraId="2092E537" w14:textId="77777777" w:rsidR="00C92670" w:rsidRPr="00F973CB" w:rsidRDefault="00177A43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F973CB">
        <w:t>t</w:t>
      </w:r>
      <w:r w:rsidR="00C92670" w:rsidRPr="00F973CB">
        <w:t>he complaint</w:t>
      </w:r>
      <w:r w:rsidR="00F94F71" w:rsidRPr="00F973CB">
        <w:t xml:space="preserve"> received, including the nature of the complaint and actions taken to resolve the </w:t>
      </w:r>
      <w:r w:rsidR="00C92670" w:rsidRPr="00F973CB">
        <w:t xml:space="preserve">participant’s </w:t>
      </w:r>
      <w:r w:rsidR="00F94F71" w:rsidRPr="00F973CB">
        <w:t>issues and concerns</w:t>
      </w:r>
      <w:r w:rsidR="004B3B7C" w:rsidRPr="00F973CB">
        <w:t>; and</w:t>
      </w:r>
    </w:p>
    <w:p w14:paraId="3E7028FA" w14:textId="77777777" w:rsidR="00C92670" w:rsidRPr="00F973CB" w:rsidRDefault="00177A43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F973CB">
        <w:t>h</w:t>
      </w:r>
      <w:r w:rsidR="00F94F71" w:rsidRPr="00F973CB">
        <w:t xml:space="preserve">ow </w:t>
      </w:r>
      <w:r w:rsidR="00C92670" w:rsidRPr="00F973CB">
        <w:t xml:space="preserve">the complaint </w:t>
      </w:r>
      <w:r w:rsidR="00F94F71" w:rsidRPr="00F973CB">
        <w:t>was resolved, including whether it was referred to another authority.</w:t>
      </w:r>
    </w:p>
    <w:p w14:paraId="6FE0C8EC" w14:textId="7204FDB8" w:rsidR="00F94F71" w:rsidRPr="00B94F0D" w:rsidRDefault="00EC4840" w:rsidP="00F94F71">
      <w:pPr>
        <w:rPr>
          <w:color w:val="000000"/>
        </w:rPr>
      </w:pPr>
      <w:r>
        <w:rPr>
          <w:color w:val="000000"/>
        </w:rPr>
        <w:t xml:space="preserve">AMH </w:t>
      </w:r>
      <w:r w:rsidR="00A869E6">
        <w:rPr>
          <w:color w:val="000000"/>
        </w:rPr>
        <w:t xml:space="preserve">pilot </w:t>
      </w:r>
      <w:r w:rsidR="00C92670">
        <w:rPr>
          <w:color w:val="000000"/>
        </w:rPr>
        <w:t>p</w:t>
      </w:r>
      <w:r w:rsidR="00F94F71" w:rsidRPr="00B94F0D">
        <w:rPr>
          <w:color w:val="000000"/>
        </w:rPr>
        <w:t>roviders should handle most complaints in the first instance</w:t>
      </w:r>
      <w:r w:rsidR="00A266AC">
        <w:rPr>
          <w:color w:val="000000"/>
        </w:rPr>
        <w:t xml:space="preserve">, </w:t>
      </w:r>
      <w:r w:rsidR="00F94F71" w:rsidRPr="00B94F0D">
        <w:rPr>
          <w:color w:val="000000"/>
        </w:rPr>
        <w:t xml:space="preserve">however particular complaints will require an external referral. These may be complaints of a serious or sensitive nature that cannot be handled by the </w:t>
      </w:r>
      <w:r>
        <w:rPr>
          <w:color w:val="000000"/>
        </w:rPr>
        <w:t>AMH</w:t>
      </w:r>
      <w:r w:rsidR="00740B2D">
        <w:rPr>
          <w:color w:val="000000"/>
        </w:rPr>
        <w:t xml:space="preserve"> </w:t>
      </w:r>
      <w:r w:rsidR="00A869E6">
        <w:rPr>
          <w:color w:val="000000"/>
        </w:rPr>
        <w:t xml:space="preserve">pilot </w:t>
      </w:r>
      <w:r w:rsidR="00F94F71" w:rsidRPr="00B94F0D">
        <w:rPr>
          <w:color w:val="000000"/>
        </w:rPr>
        <w:t>provider, or where a satisfactory resolution is not reached through the organisation’s internal complaints system. For example, allegations of assault or abuse and neglect should be referred to police.</w:t>
      </w:r>
    </w:p>
    <w:p w14:paraId="1D88F83A" w14:textId="3B328ED1" w:rsidR="00F94F71" w:rsidRPr="00B94F0D" w:rsidRDefault="00740B2D" w:rsidP="004353AA">
      <w:pPr>
        <w:pStyle w:val="IntenseQuote"/>
        <w:ind w:left="567" w:right="708"/>
        <w:jc w:val="left"/>
        <w:rPr>
          <w:i w:val="0"/>
        </w:rPr>
      </w:pPr>
      <w:r>
        <w:rPr>
          <w:i w:val="0"/>
        </w:rPr>
        <w:lastRenderedPageBreak/>
        <w:t>P</w:t>
      </w:r>
      <w:r w:rsidR="00F94F71" w:rsidRPr="00B94F0D">
        <w:rPr>
          <w:i w:val="0"/>
        </w:rPr>
        <w:t xml:space="preserve">roviders must immediately notify their </w:t>
      </w:r>
      <w:r w:rsidR="00EC7088">
        <w:rPr>
          <w:i w:val="0"/>
        </w:rPr>
        <w:t>FAM</w:t>
      </w:r>
      <w:r w:rsidR="00F94F71" w:rsidRPr="00B94F0D">
        <w:rPr>
          <w:i w:val="0"/>
        </w:rPr>
        <w:t xml:space="preserve"> about serious complaints, that is, those related to serious harm or misconduct, or serious injury to a client, and keep their </w:t>
      </w:r>
      <w:r w:rsidR="00EC7088">
        <w:rPr>
          <w:i w:val="0"/>
        </w:rPr>
        <w:t>FAM</w:t>
      </w:r>
      <w:r w:rsidR="00F94F71" w:rsidRPr="00B94F0D">
        <w:rPr>
          <w:i w:val="0"/>
        </w:rPr>
        <w:t xml:space="preserve"> informed of developments.</w:t>
      </w:r>
    </w:p>
    <w:p w14:paraId="2AA79187" w14:textId="24D36257" w:rsidR="00F94F71" w:rsidRPr="004353AA" w:rsidRDefault="00F94F71" w:rsidP="003A7D25">
      <w:pPr>
        <w:pStyle w:val="Heading3"/>
        <w:numPr>
          <w:ilvl w:val="0"/>
          <w:numId w:val="57"/>
        </w:numPr>
      </w:pPr>
      <w:bookmarkStart w:id="204" w:name="_Toc207282701"/>
      <w:r w:rsidRPr="004353AA">
        <w:t>Complaints about the Department</w:t>
      </w:r>
      <w:bookmarkEnd w:id="204"/>
    </w:p>
    <w:p w14:paraId="7986B451" w14:textId="520A0FBD" w:rsidR="00F94F71" w:rsidRPr="004353AA" w:rsidRDefault="00F94F71" w:rsidP="00F94F71">
      <w:pPr>
        <w:rPr>
          <w:color w:val="000000"/>
        </w:rPr>
      </w:pPr>
      <w:r w:rsidRPr="004353AA">
        <w:rPr>
          <w:color w:val="000000"/>
        </w:rPr>
        <w:t xml:space="preserve">Where there is a complaint about the </w:t>
      </w:r>
      <w:r w:rsidR="00B8500A">
        <w:rPr>
          <w:color w:val="000000"/>
        </w:rPr>
        <w:t>Department</w:t>
      </w:r>
      <w:r w:rsidRPr="004353AA">
        <w:rPr>
          <w:color w:val="000000"/>
        </w:rPr>
        <w:t xml:space="preserve"> made to a</w:t>
      </w:r>
      <w:r w:rsidR="007B2BB3" w:rsidRPr="004353AA">
        <w:rPr>
          <w:color w:val="000000"/>
        </w:rPr>
        <w:t xml:space="preserve">n </w:t>
      </w:r>
      <w:r w:rsidR="00A266AC">
        <w:rPr>
          <w:color w:val="000000"/>
        </w:rPr>
        <w:t>AMH</w:t>
      </w:r>
      <w:r w:rsidR="00A266AC" w:rsidRPr="004353AA">
        <w:rPr>
          <w:color w:val="000000"/>
        </w:rPr>
        <w:t xml:space="preserve"> </w:t>
      </w:r>
      <w:r w:rsidR="00A869E6">
        <w:rPr>
          <w:color w:val="000000"/>
        </w:rPr>
        <w:t xml:space="preserve">pilot </w:t>
      </w:r>
      <w:r w:rsidRPr="004353AA">
        <w:rPr>
          <w:color w:val="000000"/>
        </w:rPr>
        <w:t xml:space="preserve">provider, the </w:t>
      </w:r>
      <w:r w:rsidR="007B2BB3" w:rsidRPr="004353AA">
        <w:rPr>
          <w:color w:val="000000"/>
        </w:rPr>
        <w:t xml:space="preserve">person </w:t>
      </w:r>
      <w:r w:rsidRPr="004353AA">
        <w:rPr>
          <w:color w:val="000000"/>
        </w:rPr>
        <w:t xml:space="preserve">should </w:t>
      </w:r>
      <w:r w:rsidR="007B2BB3" w:rsidRPr="004353AA">
        <w:rPr>
          <w:color w:val="000000"/>
        </w:rPr>
        <w:t xml:space="preserve">be </w:t>
      </w:r>
      <w:r w:rsidRPr="004353AA">
        <w:rPr>
          <w:color w:val="000000"/>
        </w:rPr>
        <w:t>direct</w:t>
      </w:r>
      <w:r w:rsidR="007B2BB3" w:rsidRPr="004353AA">
        <w:rPr>
          <w:color w:val="000000"/>
        </w:rPr>
        <w:t>ed</w:t>
      </w:r>
      <w:r w:rsidRPr="004353AA">
        <w:rPr>
          <w:color w:val="000000"/>
        </w:rPr>
        <w:t xml:space="preserve"> to contact the </w:t>
      </w:r>
      <w:r w:rsidR="00B8500A">
        <w:rPr>
          <w:color w:val="000000"/>
        </w:rPr>
        <w:t>Department</w:t>
      </w:r>
      <w:r w:rsidRPr="004353AA">
        <w:rPr>
          <w:color w:val="000000"/>
        </w:rPr>
        <w:t>’s Feedback Coordination Team.</w:t>
      </w:r>
    </w:p>
    <w:p w14:paraId="3FC0842F" w14:textId="1908748E" w:rsidR="00F94F71" w:rsidRPr="004353AA" w:rsidRDefault="00F94F71" w:rsidP="00F94F71">
      <w:pPr>
        <w:rPr>
          <w:color w:val="000000"/>
        </w:rPr>
      </w:pPr>
      <w:r w:rsidRPr="004353AA">
        <w:rPr>
          <w:color w:val="000000"/>
        </w:rPr>
        <w:t xml:space="preserve">Any member of the public who is dissatisfied with the </w:t>
      </w:r>
      <w:r w:rsidR="00B8500A">
        <w:rPr>
          <w:color w:val="000000"/>
        </w:rPr>
        <w:t>Department</w:t>
      </w:r>
      <w:r w:rsidRPr="004353AA">
        <w:rPr>
          <w:color w:val="000000"/>
        </w:rPr>
        <w:t xml:space="preserve"> or the service of </w:t>
      </w:r>
      <w:r w:rsidR="007B2BB3" w:rsidRPr="004353AA">
        <w:rPr>
          <w:color w:val="000000"/>
        </w:rPr>
        <w:t>a </w:t>
      </w:r>
      <w:proofErr w:type="gramStart"/>
      <w:r w:rsidR="00B8500A">
        <w:rPr>
          <w:color w:val="000000"/>
        </w:rPr>
        <w:t>Department</w:t>
      </w:r>
      <w:proofErr w:type="gramEnd"/>
      <w:r w:rsidRPr="004353AA">
        <w:rPr>
          <w:color w:val="000000"/>
        </w:rPr>
        <w:t xml:space="preserve"> funded provider can make a complaint. The Feedback Coordination Team handles complaints about:</w:t>
      </w:r>
    </w:p>
    <w:p w14:paraId="579BC32F" w14:textId="77777777" w:rsidR="00F94F71" w:rsidRPr="006C5CD9" w:rsidRDefault="00F94F7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unreasonable delay</w:t>
      </w:r>
    </w:p>
    <w:p w14:paraId="0D9BC030" w14:textId="77777777" w:rsidR="00F94F71" w:rsidRPr="006C5CD9" w:rsidRDefault="00F94F7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inadequate service, explanation or reasons</w:t>
      </w:r>
    </w:p>
    <w:p w14:paraId="2B28AA4F" w14:textId="77777777" w:rsidR="00F94F71" w:rsidRPr="006C5CD9" w:rsidRDefault="00F94F7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legal error</w:t>
      </w:r>
    </w:p>
    <w:p w14:paraId="521A6D5E" w14:textId="77777777" w:rsidR="00F94F71" w:rsidRPr="006C5CD9" w:rsidRDefault="00F94F7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factual error in decision making process</w:t>
      </w:r>
    </w:p>
    <w:p w14:paraId="5AE292BA" w14:textId="77777777" w:rsidR="00F94F71" w:rsidRPr="006C5CD9" w:rsidRDefault="00F94F7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human error</w:t>
      </w:r>
    </w:p>
    <w:p w14:paraId="4123D2C5" w14:textId="77777777" w:rsidR="00A6749F" w:rsidRPr="006C5CD9" w:rsidRDefault="00F94F7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procedural deficiency</w:t>
      </w:r>
    </w:p>
    <w:p w14:paraId="1659AA4F" w14:textId="77777777" w:rsidR="00F94F71" w:rsidRPr="006C5CD9" w:rsidRDefault="00F94F7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unprofessional behaviour by an officer</w:t>
      </w:r>
    </w:p>
    <w:p w14:paraId="08E74AE8" w14:textId="77777777" w:rsidR="00F94F71" w:rsidRPr="006C5CD9" w:rsidRDefault="00F94F7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breach of duty/misconduct by an officer</w:t>
      </w:r>
    </w:p>
    <w:p w14:paraId="2C314E38" w14:textId="77777777" w:rsidR="00F94F71" w:rsidRPr="006C5CD9" w:rsidRDefault="00F94F7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discriminatory action or decision</w:t>
      </w:r>
    </w:p>
    <w:p w14:paraId="7A928D10" w14:textId="77777777" w:rsidR="00F94F71" w:rsidRPr="006C5CD9" w:rsidRDefault="00F94F7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flawed administrative process</w:t>
      </w:r>
      <w:r w:rsidR="004B3B7C" w:rsidRPr="006C5CD9">
        <w:t>; and</w:t>
      </w:r>
    </w:p>
    <w:p w14:paraId="633A8D08" w14:textId="77777777" w:rsidR="00F94F71" w:rsidRPr="006C5CD9" w:rsidRDefault="00F94F71" w:rsidP="00411004">
      <w:pPr>
        <w:pStyle w:val="ListParagraph"/>
        <w:numPr>
          <w:ilvl w:val="0"/>
          <w:numId w:val="18"/>
        </w:numPr>
        <w:spacing w:before="60"/>
        <w:ind w:left="714" w:hanging="357"/>
        <w:contextualSpacing w:val="0"/>
      </w:pPr>
      <w:r w:rsidRPr="006C5CD9">
        <w:t>inadequate knowledge/training of staff</w:t>
      </w:r>
      <w:r w:rsidR="000103A1" w:rsidRPr="006C5CD9">
        <w:t>.</w:t>
      </w:r>
      <w:r w:rsidRPr="006C5CD9">
        <w:t xml:space="preserve"> </w:t>
      </w:r>
    </w:p>
    <w:p w14:paraId="58414D3D" w14:textId="7F85E070" w:rsidR="00F94F71" w:rsidRPr="00844203" w:rsidRDefault="00F94F71" w:rsidP="00AC4022">
      <w:pPr>
        <w:rPr>
          <w:color w:val="000000"/>
        </w:rPr>
      </w:pPr>
      <w:r w:rsidRPr="00844203">
        <w:rPr>
          <w:color w:val="000000"/>
        </w:rPr>
        <w:t xml:space="preserve">As the purpose of the system is to assist in improving the </w:t>
      </w:r>
      <w:r w:rsidR="00B8500A">
        <w:rPr>
          <w:color w:val="000000"/>
        </w:rPr>
        <w:t>Department</w:t>
      </w:r>
      <w:r w:rsidRPr="00844203">
        <w:rPr>
          <w:color w:val="000000"/>
        </w:rPr>
        <w:t>’s processes</w:t>
      </w:r>
      <w:r w:rsidR="007B2BB3">
        <w:rPr>
          <w:color w:val="000000"/>
        </w:rPr>
        <w:t>,</w:t>
      </w:r>
      <w:r w:rsidRPr="00844203">
        <w:rPr>
          <w:color w:val="000000"/>
        </w:rPr>
        <w:t xml:space="preserve"> the system does not handle complaints about government policy, legislation, reviews over eligibility for </w:t>
      </w:r>
      <w:r w:rsidR="007B2BB3" w:rsidRPr="00844203">
        <w:rPr>
          <w:color w:val="000000"/>
        </w:rPr>
        <w:t>a</w:t>
      </w:r>
      <w:r w:rsidR="007B2BB3">
        <w:rPr>
          <w:color w:val="000000"/>
        </w:rPr>
        <w:t> </w:t>
      </w:r>
      <w:r w:rsidRPr="00844203">
        <w:rPr>
          <w:color w:val="000000"/>
        </w:rPr>
        <w:t xml:space="preserve">benefit or entitlement, ministerial correspondence, Freedom of Information requests, </w:t>
      </w:r>
      <w:r w:rsidR="00483124">
        <w:rPr>
          <w:color w:val="000000"/>
        </w:rPr>
        <w:t xml:space="preserve">or </w:t>
      </w:r>
      <w:r w:rsidRPr="00844203">
        <w:rPr>
          <w:color w:val="000000"/>
        </w:rPr>
        <w:t>complaints made to service providers (as these will be covered by their own complaints mechanisms required under the Grant Agreement).</w:t>
      </w:r>
    </w:p>
    <w:p w14:paraId="5C3CF520" w14:textId="595B1DD4" w:rsidR="00F94F71" w:rsidRPr="00844203" w:rsidRDefault="00F94F71" w:rsidP="00AC4022">
      <w:pPr>
        <w:rPr>
          <w:color w:val="000000"/>
        </w:rPr>
      </w:pPr>
      <w:r w:rsidRPr="00844203">
        <w:rPr>
          <w:color w:val="000000"/>
        </w:rPr>
        <w:t xml:space="preserve">Complaints can be lodged with the </w:t>
      </w:r>
      <w:r w:rsidR="00B8500A">
        <w:rPr>
          <w:color w:val="000000"/>
        </w:rPr>
        <w:t>Department</w:t>
      </w:r>
      <w:r w:rsidRPr="00844203">
        <w:rPr>
          <w:color w:val="000000"/>
        </w:rPr>
        <w:t xml:space="preserve"> through the following mechanisms:</w:t>
      </w:r>
    </w:p>
    <w:p w14:paraId="2994AFE8" w14:textId="77777777" w:rsidR="00F94F71" w:rsidRPr="00844203" w:rsidRDefault="00A6749F" w:rsidP="00A6749F">
      <w:pPr>
        <w:spacing w:before="0" w:after="0" w:line="240" w:lineRule="auto"/>
        <w:rPr>
          <w:color w:val="000000"/>
        </w:rPr>
      </w:pPr>
      <w:r w:rsidRPr="00844203">
        <w:rPr>
          <w:color w:val="000000"/>
        </w:rPr>
        <w:t>Phone:</w:t>
      </w:r>
      <w:r w:rsidRPr="00844203">
        <w:rPr>
          <w:color w:val="000000"/>
        </w:rPr>
        <w:tab/>
      </w:r>
      <w:hyperlink r:id="rId22" w:history="1">
        <w:r w:rsidR="00F94F71" w:rsidRPr="00F97CCB">
          <w:rPr>
            <w:rStyle w:val="Hyperlink"/>
            <w:u w:val="none"/>
          </w:rPr>
          <w:t>1800 634 035</w:t>
        </w:r>
      </w:hyperlink>
    </w:p>
    <w:p w14:paraId="482D249B" w14:textId="77777777" w:rsidR="00F94F71" w:rsidRPr="00844203" w:rsidRDefault="00F94F71" w:rsidP="00A6749F">
      <w:pPr>
        <w:spacing w:before="0" w:after="0" w:line="240" w:lineRule="auto"/>
        <w:rPr>
          <w:color w:val="000000"/>
        </w:rPr>
      </w:pPr>
      <w:r w:rsidRPr="00844203">
        <w:rPr>
          <w:color w:val="000000"/>
        </w:rPr>
        <w:t xml:space="preserve">Email: </w:t>
      </w:r>
      <w:r w:rsidR="00A6749F" w:rsidRPr="00844203">
        <w:rPr>
          <w:color w:val="000000"/>
        </w:rPr>
        <w:tab/>
      </w:r>
      <w:r w:rsidR="00A6749F" w:rsidRPr="00844203">
        <w:rPr>
          <w:color w:val="000000"/>
        </w:rPr>
        <w:tab/>
      </w:r>
      <w:hyperlink r:id="rId23" w:history="1">
        <w:r w:rsidR="00A60E84" w:rsidRPr="002C7988">
          <w:rPr>
            <w:rStyle w:val="Hyperlink"/>
          </w:rPr>
          <w:t>complaints@dss.gov.au</w:t>
        </w:r>
      </w:hyperlink>
      <w:r w:rsidR="00A60E84">
        <w:rPr>
          <w:color w:val="000000"/>
        </w:rPr>
        <w:t xml:space="preserve"> </w:t>
      </w:r>
    </w:p>
    <w:p w14:paraId="06E23989" w14:textId="77777777" w:rsidR="00F94F71" w:rsidRPr="00844203" w:rsidRDefault="00F94F71" w:rsidP="00A6749F">
      <w:pPr>
        <w:spacing w:before="0" w:after="0" w:line="240" w:lineRule="auto"/>
        <w:rPr>
          <w:color w:val="000000"/>
        </w:rPr>
      </w:pPr>
      <w:r w:rsidRPr="00844203">
        <w:rPr>
          <w:color w:val="000000"/>
        </w:rPr>
        <w:t xml:space="preserve">Post: </w:t>
      </w:r>
      <w:r w:rsidR="00A6749F" w:rsidRPr="00844203">
        <w:rPr>
          <w:color w:val="000000"/>
        </w:rPr>
        <w:tab/>
      </w:r>
      <w:r w:rsidR="00A6749F" w:rsidRPr="00844203">
        <w:rPr>
          <w:color w:val="000000"/>
        </w:rPr>
        <w:tab/>
      </w:r>
      <w:r w:rsidRPr="00844203">
        <w:rPr>
          <w:color w:val="000000"/>
        </w:rPr>
        <w:t>DSS Feedback, PO Box 9820, Canberra, ACT, 2601</w:t>
      </w:r>
      <w:r w:rsidR="00A6749F" w:rsidRPr="00844203">
        <w:rPr>
          <w:color w:val="000000"/>
        </w:rPr>
        <w:br/>
      </w:r>
    </w:p>
    <w:p w14:paraId="2FC5ED79" w14:textId="311D32F4" w:rsidR="00D96916" w:rsidRDefault="00F94F71" w:rsidP="00F94F71">
      <w:pPr>
        <w:rPr>
          <w:b/>
          <w:color w:val="000000"/>
        </w:rPr>
      </w:pPr>
      <w:r w:rsidRPr="00844203">
        <w:rPr>
          <w:color w:val="000000"/>
        </w:rPr>
        <w:t xml:space="preserve">If </w:t>
      </w:r>
      <w:r w:rsidR="005666C9" w:rsidRPr="00844203">
        <w:rPr>
          <w:color w:val="000000"/>
        </w:rPr>
        <w:t>participants</w:t>
      </w:r>
      <w:r w:rsidRPr="00844203">
        <w:rPr>
          <w:color w:val="000000"/>
        </w:rPr>
        <w:t xml:space="preserve"> or providers are dissatisfied at any time with the </w:t>
      </w:r>
      <w:r w:rsidR="00B8500A">
        <w:rPr>
          <w:color w:val="000000"/>
        </w:rPr>
        <w:t>Department</w:t>
      </w:r>
      <w:r w:rsidRPr="00844203">
        <w:rPr>
          <w:color w:val="000000"/>
        </w:rPr>
        <w:t>’s handling of their complaint, they</w:t>
      </w:r>
      <w:r w:rsidR="00A6749F" w:rsidRPr="00844203">
        <w:rPr>
          <w:color w:val="000000"/>
        </w:rPr>
        <w:t xml:space="preserve"> </w:t>
      </w:r>
      <w:r w:rsidRPr="00844203">
        <w:rPr>
          <w:color w:val="000000"/>
        </w:rPr>
        <w:t>can also contact the Commonwealth Ombudsm</w:t>
      </w:r>
      <w:r w:rsidR="005666C9" w:rsidRPr="00844203">
        <w:rPr>
          <w:color w:val="000000"/>
        </w:rPr>
        <w:t xml:space="preserve">an at </w:t>
      </w:r>
      <w:hyperlink r:id="rId24" w:history="1">
        <w:r w:rsidR="00A231F2" w:rsidRPr="00F97CCB">
          <w:rPr>
            <w:rStyle w:val="Hyperlink"/>
          </w:rPr>
          <w:t>www.ombudsman.gov.au</w:t>
        </w:r>
      </w:hyperlink>
    </w:p>
    <w:p w14:paraId="57341758" w14:textId="77777777" w:rsidR="00C74275" w:rsidRPr="002F27ED" w:rsidRDefault="00430C34" w:rsidP="00536326">
      <w:pPr>
        <w:pStyle w:val="Heading2"/>
        <w:ind w:left="584" w:hanging="357"/>
      </w:pPr>
      <w:bookmarkStart w:id="205" w:name="_Toc107234456"/>
      <w:bookmarkStart w:id="206" w:name="_Toc107235360"/>
      <w:bookmarkStart w:id="207" w:name="_Toc207282702"/>
      <w:bookmarkEnd w:id="205"/>
      <w:bookmarkEnd w:id="206"/>
      <w:r>
        <w:t>Funding for the Activity</w:t>
      </w:r>
      <w:bookmarkEnd w:id="176"/>
      <w:bookmarkEnd w:id="207"/>
    </w:p>
    <w:p w14:paraId="04706363" w14:textId="59747D6A" w:rsidR="00C74275" w:rsidRPr="002F27ED" w:rsidRDefault="00FA2049" w:rsidP="00536326">
      <w:pPr>
        <w:pStyle w:val="Heading3"/>
      </w:pPr>
      <w:bookmarkStart w:id="208" w:name="_Toc66260883"/>
      <w:bookmarkStart w:id="209" w:name="_Toc207282703"/>
      <w:r>
        <w:t xml:space="preserve">4.1    </w:t>
      </w:r>
      <w:r w:rsidR="00C74275" w:rsidRPr="002F27ED">
        <w:t xml:space="preserve">Eligible </w:t>
      </w:r>
      <w:r w:rsidR="00430C34">
        <w:t xml:space="preserve">grant </w:t>
      </w:r>
      <w:r w:rsidR="00C74275" w:rsidRPr="002F27ED">
        <w:t>activities</w:t>
      </w:r>
      <w:bookmarkEnd w:id="208"/>
      <w:bookmarkEnd w:id="209"/>
    </w:p>
    <w:p w14:paraId="66A18D54" w14:textId="7D4D929A" w:rsidR="00C74275" w:rsidRDefault="007277C1" w:rsidP="003D7ED5">
      <w:r w:rsidRPr="00BA368F">
        <w:t xml:space="preserve">Funding </w:t>
      </w:r>
      <w:r w:rsidR="00873FD8">
        <w:t xml:space="preserve">for this activity </w:t>
      </w:r>
      <w:r w:rsidRPr="00BA368F">
        <w:t>must only be used</w:t>
      </w:r>
      <w:r w:rsidRPr="00375270">
        <w:t xml:space="preserve"> for the purposes for which it was provided.</w:t>
      </w:r>
      <w:r>
        <w:t xml:space="preserve"> </w:t>
      </w:r>
      <w:r w:rsidR="00804C85">
        <w:t xml:space="preserve">The Grant Agreement Terms and Conditions provides further definitions </w:t>
      </w:r>
      <w:r w:rsidR="00D34AF7">
        <w:t>of eli</w:t>
      </w:r>
      <w:r w:rsidR="00804C85">
        <w:t xml:space="preserve">gible items at Section 21: Definitions. </w:t>
      </w:r>
      <w:r w:rsidR="00C74275" w:rsidRPr="005343FE">
        <w:t xml:space="preserve">Funding provided </w:t>
      </w:r>
      <w:r w:rsidR="00047406">
        <w:t xml:space="preserve">to </w:t>
      </w:r>
      <w:r w:rsidR="00D45F02">
        <w:t xml:space="preserve">AMH </w:t>
      </w:r>
      <w:r w:rsidR="00A869E6">
        <w:t xml:space="preserve">pilot </w:t>
      </w:r>
      <w:r w:rsidR="00873FD8">
        <w:t>providers</w:t>
      </w:r>
      <w:r w:rsidR="00C74275" w:rsidRPr="005343FE">
        <w:t xml:space="preserve"> may be used for:</w:t>
      </w:r>
    </w:p>
    <w:p w14:paraId="5EB7AA7A" w14:textId="77777777" w:rsidR="00AD40C8" w:rsidRPr="00893655" w:rsidRDefault="00047406" w:rsidP="00411004">
      <w:pPr>
        <w:pStyle w:val="ListBullet"/>
        <w:numPr>
          <w:ilvl w:val="0"/>
          <w:numId w:val="19"/>
        </w:numPr>
        <w:tabs>
          <w:tab w:val="clear" w:pos="170"/>
          <w:tab w:val="left" w:pos="567"/>
        </w:tabs>
        <w:rPr>
          <w:rFonts w:asciiTheme="minorHAnsi" w:eastAsiaTheme="minorHAnsi" w:hAnsiTheme="minorHAnsi"/>
          <w:color w:val="000000" w:themeColor="text1"/>
        </w:rPr>
      </w:pPr>
      <w:r w:rsidRPr="00893655">
        <w:rPr>
          <w:rFonts w:asciiTheme="minorHAnsi" w:eastAsiaTheme="minorHAnsi" w:hAnsiTheme="minorHAnsi"/>
          <w:color w:val="000000" w:themeColor="text1"/>
        </w:rPr>
        <w:lastRenderedPageBreak/>
        <w:t>establishment costs of the pilot</w:t>
      </w:r>
    </w:p>
    <w:p w14:paraId="4713F7CA" w14:textId="27B24191" w:rsidR="00AD40C8" w:rsidRPr="00893655" w:rsidRDefault="00047406" w:rsidP="00411004">
      <w:pPr>
        <w:pStyle w:val="ListBullet"/>
        <w:numPr>
          <w:ilvl w:val="0"/>
          <w:numId w:val="19"/>
        </w:numPr>
        <w:tabs>
          <w:tab w:val="clear" w:pos="170"/>
          <w:tab w:val="left" w:pos="567"/>
        </w:tabs>
        <w:rPr>
          <w:rFonts w:asciiTheme="minorHAnsi" w:eastAsiaTheme="minorHAnsi" w:hAnsiTheme="minorHAnsi"/>
          <w:color w:val="000000" w:themeColor="text1"/>
        </w:rPr>
      </w:pPr>
      <w:r w:rsidRPr="00893655">
        <w:rPr>
          <w:rFonts w:asciiTheme="minorHAnsi" w:eastAsiaTheme="minorHAnsi" w:hAnsiTheme="minorHAnsi"/>
          <w:color w:val="000000" w:themeColor="text1"/>
        </w:rPr>
        <w:t>s</w:t>
      </w:r>
      <w:r w:rsidR="00AD40C8" w:rsidRPr="00893655">
        <w:rPr>
          <w:rFonts w:asciiTheme="minorHAnsi" w:eastAsiaTheme="minorHAnsi" w:hAnsiTheme="minorHAnsi"/>
          <w:color w:val="000000" w:themeColor="text1"/>
        </w:rPr>
        <w:t xml:space="preserve">taff salaries and on-costs, which can be directly, attributed to delivery of the </w:t>
      </w:r>
      <w:r w:rsidR="00D45F02" w:rsidRPr="00893655">
        <w:rPr>
          <w:rFonts w:asciiTheme="minorHAnsi" w:eastAsiaTheme="minorHAnsi" w:hAnsiTheme="minorHAnsi"/>
          <w:color w:val="000000" w:themeColor="text1"/>
        </w:rPr>
        <w:t xml:space="preserve">AMH pilot in the identified </w:t>
      </w:r>
      <w:r w:rsidR="00A869E6">
        <w:rPr>
          <w:rFonts w:asciiTheme="minorHAnsi" w:eastAsiaTheme="minorHAnsi" w:hAnsiTheme="minorHAnsi"/>
          <w:color w:val="000000" w:themeColor="text1"/>
        </w:rPr>
        <w:t>MMH</w:t>
      </w:r>
      <w:r w:rsidR="00873FD8">
        <w:rPr>
          <w:rFonts w:asciiTheme="minorHAnsi" w:eastAsiaTheme="minorHAnsi" w:hAnsiTheme="minorHAnsi"/>
          <w:color w:val="000000" w:themeColor="text1"/>
        </w:rPr>
        <w:t xml:space="preserve"> centres</w:t>
      </w:r>
    </w:p>
    <w:p w14:paraId="6415E8AE" w14:textId="77777777" w:rsidR="00AD40C8" w:rsidRPr="00893655" w:rsidRDefault="00047406" w:rsidP="00411004">
      <w:pPr>
        <w:pStyle w:val="ListBullet"/>
        <w:numPr>
          <w:ilvl w:val="0"/>
          <w:numId w:val="19"/>
        </w:numPr>
        <w:tabs>
          <w:tab w:val="clear" w:pos="170"/>
          <w:tab w:val="left" w:pos="567"/>
        </w:tabs>
        <w:rPr>
          <w:rFonts w:asciiTheme="minorHAnsi" w:eastAsiaTheme="minorHAnsi" w:hAnsiTheme="minorHAnsi"/>
          <w:color w:val="000000" w:themeColor="text1"/>
        </w:rPr>
      </w:pPr>
      <w:r w:rsidRPr="00893655">
        <w:rPr>
          <w:rFonts w:asciiTheme="minorHAnsi" w:eastAsiaTheme="minorHAnsi" w:hAnsiTheme="minorHAnsi"/>
          <w:color w:val="000000" w:themeColor="text1"/>
        </w:rPr>
        <w:t>e</w:t>
      </w:r>
      <w:r w:rsidR="00AD40C8" w:rsidRPr="00893655">
        <w:rPr>
          <w:rFonts w:asciiTheme="minorHAnsi" w:eastAsiaTheme="minorHAnsi" w:hAnsiTheme="minorHAnsi"/>
          <w:color w:val="000000" w:themeColor="text1"/>
        </w:rPr>
        <w:t>mployee training for paid and unpaid staff, and Committee and Board members that are relevant, appropriate, and in line with the delivery of the</w:t>
      </w:r>
      <w:r w:rsidR="00D45F02" w:rsidRPr="00893655">
        <w:rPr>
          <w:rFonts w:asciiTheme="minorHAnsi" w:eastAsiaTheme="minorHAnsi" w:hAnsiTheme="minorHAnsi"/>
          <w:color w:val="000000" w:themeColor="text1"/>
        </w:rPr>
        <w:t xml:space="preserve"> </w:t>
      </w:r>
      <w:r w:rsidRPr="00893655">
        <w:rPr>
          <w:rFonts w:asciiTheme="minorHAnsi" w:eastAsiaTheme="minorHAnsi" w:hAnsiTheme="minorHAnsi"/>
          <w:color w:val="000000" w:themeColor="text1"/>
        </w:rPr>
        <w:t>pilot</w:t>
      </w:r>
      <w:r w:rsidR="00AD40C8" w:rsidRPr="00893655">
        <w:rPr>
          <w:rFonts w:asciiTheme="minorHAnsi" w:eastAsiaTheme="minorHAnsi" w:hAnsiTheme="minorHAnsi"/>
          <w:color w:val="000000" w:themeColor="text1"/>
        </w:rPr>
        <w:t xml:space="preserve"> </w:t>
      </w:r>
    </w:p>
    <w:p w14:paraId="378C556B" w14:textId="77777777" w:rsidR="00AD40C8" w:rsidRPr="00893655" w:rsidRDefault="00047406" w:rsidP="00411004">
      <w:pPr>
        <w:pStyle w:val="ListBullet"/>
        <w:numPr>
          <w:ilvl w:val="0"/>
          <w:numId w:val="19"/>
        </w:numPr>
        <w:tabs>
          <w:tab w:val="clear" w:pos="170"/>
          <w:tab w:val="left" w:pos="567"/>
        </w:tabs>
        <w:rPr>
          <w:rFonts w:asciiTheme="minorHAnsi" w:eastAsiaTheme="minorHAnsi" w:hAnsiTheme="minorHAnsi"/>
          <w:color w:val="000000" w:themeColor="text1"/>
        </w:rPr>
      </w:pPr>
      <w:r w:rsidRPr="00893655">
        <w:rPr>
          <w:rFonts w:asciiTheme="minorHAnsi" w:eastAsiaTheme="minorHAnsi" w:hAnsiTheme="minorHAnsi"/>
          <w:color w:val="000000" w:themeColor="text1"/>
        </w:rPr>
        <w:t>e</w:t>
      </w:r>
      <w:r w:rsidR="00AD40C8" w:rsidRPr="00893655">
        <w:rPr>
          <w:rFonts w:asciiTheme="minorHAnsi" w:eastAsiaTheme="minorHAnsi" w:hAnsiTheme="minorHAnsi"/>
          <w:color w:val="000000" w:themeColor="text1"/>
        </w:rPr>
        <w:t>ngaging people, organisations and/or state and territory stakeholders with relevant expertise to ensure organisational capacity to del</w:t>
      </w:r>
      <w:r w:rsidR="00D45F02" w:rsidRPr="00893655">
        <w:rPr>
          <w:rFonts w:asciiTheme="minorHAnsi" w:eastAsiaTheme="minorHAnsi" w:hAnsiTheme="minorHAnsi"/>
          <w:color w:val="000000" w:themeColor="text1"/>
        </w:rPr>
        <w:t xml:space="preserve">iver services including the </w:t>
      </w:r>
      <w:r w:rsidRPr="00893655">
        <w:rPr>
          <w:rFonts w:asciiTheme="minorHAnsi" w:eastAsiaTheme="minorHAnsi" w:hAnsiTheme="minorHAnsi"/>
          <w:color w:val="000000" w:themeColor="text1"/>
        </w:rPr>
        <w:t>Fidelity Review provider</w:t>
      </w:r>
    </w:p>
    <w:p w14:paraId="1DB5CD87" w14:textId="77777777" w:rsidR="00AD40C8" w:rsidRPr="00893655" w:rsidRDefault="00047406" w:rsidP="00411004">
      <w:pPr>
        <w:pStyle w:val="ListBullet"/>
        <w:numPr>
          <w:ilvl w:val="0"/>
          <w:numId w:val="19"/>
        </w:numPr>
        <w:tabs>
          <w:tab w:val="clear" w:pos="170"/>
          <w:tab w:val="left" w:pos="567"/>
        </w:tabs>
        <w:rPr>
          <w:rFonts w:asciiTheme="minorHAnsi" w:eastAsiaTheme="minorHAnsi" w:hAnsiTheme="minorHAnsi"/>
          <w:color w:val="000000" w:themeColor="text1"/>
        </w:rPr>
      </w:pPr>
      <w:r w:rsidRPr="00893655">
        <w:rPr>
          <w:rFonts w:asciiTheme="minorHAnsi" w:eastAsiaTheme="minorHAnsi" w:hAnsiTheme="minorHAnsi"/>
          <w:color w:val="000000" w:themeColor="text1"/>
        </w:rPr>
        <w:t>i</w:t>
      </w:r>
      <w:r w:rsidR="00AD40C8" w:rsidRPr="00893655">
        <w:rPr>
          <w:rFonts w:asciiTheme="minorHAnsi" w:eastAsiaTheme="minorHAnsi" w:hAnsiTheme="minorHAnsi"/>
          <w:color w:val="000000" w:themeColor="text1"/>
        </w:rPr>
        <w:t>ncidental expenses that will support participa</w:t>
      </w:r>
      <w:r w:rsidRPr="00893655">
        <w:rPr>
          <w:rFonts w:asciiTheme="minorHAnsi" w:eastAsiaTheme="minorHAnsi" w:hAnsiTheme="minorHAnsi"/>
          <w:color w:val="000000" w:themeColor="text1"/>
        </w:rPr>
        <w:t>nts to meet employment outcomes</w:t>
      </w:r>
    </w:p>
    <w:p w14:paraId="629A7DD8" w14:textId="77777777" w:rsidR="00AD40C8" w:rsidRPr="00893655" w:rsidRDefault="00047406" w:rsidP="00411004">
      <w:pPr>
        <w:pStyle w:val="ListBullet"/>
        <w:numPr>
          <w:ilvl w:val="0"/>
          <w:numId w:val="19"/>
        </w:numPr>
        <w:tabs>
          <w:tab w:val="clear" w:pos="170"/>
          <w:tab w:val="left" w:pos="567"/>
        </w:tabs>
        <w:rPr>
          <w:rFonts w:asciiTheme="minorHAnsi" w:eastAsiaTheme="minorHAnsi" w:hAnsiTheme="minorHAnsi"/>
          <w:color w:val="000000" w:themeColor="text1"/>
        </w:rPr>
      </w:pPr>
      <w:r w:rsidRPr="00893655">
        <w:rPr>
          <w:rFonts w:asciiTheme="minorHAnsi" w:eastAsiaTheme="minorHAnsi" w:hAnsiTheme="minorHAnsi"/>
          <w:color w:val="000000" w:themeColor="text1"/>
        </w:rPr>
        <w:t>a pilot evaluation</w:t>
      </w:r>
      <w:r w:rsidR="004B3B7C">
        <w:rPr>
          <w:rFonts w:asciiTheme="minorHAnsi" w:eastAsiaTheme="minorHAnsi" w:hAnsiTheme="minorHAnsi"/>
          <w:color w:val="000000" w:themeColor="text1"/>
        </w:rPr>
        <w:t>; and</w:t>
      </w:r>
      <w:r w:rsidR="00AD40C8" w:rsidRPr="00893655">
        <w:rPr>
          <w:rFonts w:asciiTheme="minorHAnsi" w:eastAsiaTheme="minorHAnsi" w:hAnsiTheme="minorHAnsi"/>
          <w:color w:val="000000" w:themeColor="text1"/>
        </w:rPr>
        <w:t xml:space="preserve"> </w:t>
      </w:r>
    </w:p>
    <w:p w14:paraId="5BDAC473" w14:textId="77777777" w:rsidR="00AD40C8" w:rsidRPr="00893655" w:rsidRDefault="00047406" w:rsidP="00411004">
      <w:pPr>
        <w:pStyle w:val="ListBullet"/>
        <w:numPr>
          <w:ilvl w:val="0"/>
          <w:numId w:val="19"/>
        </w:numPr>
        <w:tabs>
          <w:tab w:val="clear" w:pos="170"/>
          <w:tab w:val="left" w:pos="567"/>
        </w:tabs>
        <w:rPr>
          <w:rFonts w:asciiTheme="minorHAnsi" w:eastAsiaTheme="minorHAnsi" w:hAnsiTheme="minorHAnsi"/>
          <w:color w:val="000000" w:themeColor="text1"/>
        </w:rPr>
      </w:pPr>
      <w:r w:rsidRPr="00893655">
        <w:rPr>
          <w:rFonts w:asciiTheme="minorHAnsi" w:eastAsiaTheme="minorHAnsi" w:hAnsiTheme="minorHAnsi"/>
          <w:color w:val="000000" w:themeColor="text1"/>
        </w:rPr>
        <w:t>o</w:t>
      </w:r>
      <w:r w:rsidR="00AD40C8" w:rsidRPr="00893655">
        <w:rPr>
          <w:rFonts w:asciiTheme="minorHAnsi" w:eastAsiaTheme="minorHAnsi" w:hAnsiTheme="minorHAnsi"/>
          <w:color w:val="000000" w:themeColor="text1"/>
        </w:rPr>
        <w:t>perating and administration expenses directly rel</w:t>
      </w:r>
      <w:r w:rsidR="00D45F02" w:rsidRPr="00893655">
        <w:rPr>
          <w:rFonts w:asciiTheme="minorHAnsi" w:eastAsiaTheme="minorHAnsi" w:hAnsiTheme="minorHAnsi"/>
          <w:color w:val="000000" w:themeColor="text1"/>
        </w:rPr>
        <w:t xml:space="preserve">ated to the delivery of the </w:t>
      </w:r>
      <w:r w:rsidRPr="00893655">
        <w:rPr>
          <w:rFonts w:asciiTheme="minorHAnsi" w:eastAsiaTheme="minorHAnsi" w:hAnsiTheme="minorHAnsi"/>
          <w:color w:val="000000" w:themeColor="text1"/>
        </w:rPr>
        <w:t>pilot such as:</w:t>
      </w:r>
      <w:r w:rsidR="00AD40C8" w:rsidRPr="00893655">
        <w:rPr>
          <w:rFonts w:asciiTheme="minorHAnsi" w:eastAsiaTheme="minorHAnsi" w:hAnsiTheme="minorHAnsi"/>
          <w:color w:val="000000" w:themeColor="text1"/>
        </w:rPr>
        <w:t xml:space="preserve"> </w:t>
      </w:r>
    </w:p>
    <w:p w14:paraId="72AF48B7" w14:textId="77777777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materials and equipment directly relating to service delivery</w:t>
      </w:r>
    </w:p>
    <w:p w14:paraId="4985859F" w14:textId="77777777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marketing of services, including electronic promotion of services</w:t>
      </w:r>
    </w:p>
    <w:p w14:paraId="22640964" w14:textId="77777777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telephones</w:t>
      </w:r>
    </w:p>
    <w:p w14:paraId="72C918FE" w14:textId="77777777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rent and outgoings</w:t>
      </w:r>
    </w:p>
    <w:p w14:paraId="27D0B60C" w14:textId="77777777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computer/IT/website/software</w:t>
      </w:r>
    </w:p>
    <w:p w14:paraId="0CE4A1E2" w14:textId="77777777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insurance</w:t>
      </w:r>
    </w:p>
    <w:p w14:paraId="3A23256E" w14:textId="77777777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utilities</w:t>
      </w:r>
    </w:p>
    <w:p w14:paraId="715FCDFE" w14:textId="77777777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postage</w:t>
      </w:r>
    </w:p>
    <w:p w14:paraId="036E6BBC" w14:textId="77777777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stationery and printing</w:t>
      </w:r>
    </w:p>
    <w:p w14:paraId="3E27B27C" w14:textId="77777777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accounting and auditing</w:t>
      </w:r>
    </w:p>
    <w:p w14:paraId="13F718D0" w14:textId="0A832222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travel/accommodation costs</w:t>
      </w:r>
      <w:r w:rsidR="00B42ADC">
        <w:rPr>
          <w:rFonts w:asciiTheme="minorHAnsi" w:eastAsiaTheme="minorHAnsi" w:hAnsiTheme="minorHAnsi"/>
          <w:color w:val="000000" w:themeColor="text1"/>
        </w:rPr>
        <w:t xml:space="preserve"> for staff including vehicle hire</w:t>
      </w:r>
    </w:p>
    <w:p w14:paraId="097FAE45" w14:textId="77777777" w:rsidR="00AD40C8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aids, assistance or technology for people engaging with service</w:t>
      </w:r>
    </w:p>
    <w:p w14:paraId="024D4438" w14:textId="77777777" w:rsidR="00D45F02" w:rsidRPr="001436B8" w:rsidRDefault="00AD40C8" w:rsidP="00411004">
      <w:pPr>
        <w:pStyle w:val="ListBullet"/>
        <w:numPr>
          <w:ilvl w:val="1"/>
          <w:numId w:val="20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 xml:space="preserve">assets that can be reasonably attributed to delivery of the IPS AMH pilot. </w:t>
      </w:r>
    </w:p>
    <w:p w14:paraId="693EBFD4" w14:textId="77777777" w:rsidR="00C74275" w:rsidRPr="00F814D3" w:rsidRDefault="00C74275" w:rsidP="00873FD8">
      <w:pPr>
        <w:spacing w:before="240"/>
      </w:pPr>
      <w:r w:rsidRPr="004353AA">
        <w:t xml:space="preserve">The </w:t>
      </w:r>
      <w:r w:rsidR="00E16B71">
        <w:t xml:space="preserve">Grant Agreement </w:t>
      </w:r>
      <w:r w:rsidRPr="004353AA">
        <w:t xml:space="preserve">Terms and Conditions </w:t>
      </w:r>
      <w:r w:rsidR="00D45F02">
        <w:t xml:space="preserve">will </w:t>
      </w:r>
      <w:r w:rsidRPr="004353AA">
        <w:t>outline how funds must be spent, acquitted and repaid (if</w:t>
      </w:r>
      <w:r w:rsidR="00F814D3" w:rsidRPr="004353AA">
        <w:t> </w:t>
      </w:r>
      <w:r w:rsidRPr="004353AA">
        <w:t>necessary).</w:t>
      </w:r>
    </w:p>
    <w:p w14:paraId="27521DA8" w14:textId="77777777" w:rsidR="00C74275" w:rsidRPr="00985AE1" w:rsidRDefault="00C74275" w:rsidP="003A7D25">
      <w:pPr>
        <w:pStyle w:val="Heading3"/>
        <w:numPr>
          <w:ilvl w:val="0"/>
          <w:numId w:val="59"/>
        </w:numPr>
      </w:pPr>
      <w:bookmarkStart w:id="210" w:name="_Toc418003726"/>
      <w:bookmarkStart w:id="211" w:name="_Toc418003767"/>
      <w:bookmarkStart w:id="212" w:name="_Toc418003910"/>
      <w:bookmarkStart w:id="213" w:name="_Toc429647847"/>
      <w:bookmarkStart w:id="214" w:name="_Toc66260884"/>
      <w:bookmarkStart w:id="215" w:name="_Toc207282704"/>
      <w:r w:rsidRPr="00985AE1">
        <w:t xml:space="preserve">Ineligible </w:t>
      </w:r>
      <w:r w:rsidR="00430C34">
        <w:t xml:space="preserve">grant </w:t>
      </w:r>
      <w:r w:rsidRPr="00985AE1">
        <w:t>activities</w:t>
      </w:r>
      <w:bookmarkEnd w:id="210"/>
      <w:bookmarkEnd w:id="211"/>
      <w:bookmarkEnd w:id="212"/>
      <w:bookmarkEnd w:id="213"/>
      <w:bookmarkEnd w:id="214"/>
      <w:bookmarkEnd w:id="215"/>
    </w:p>
    <w:p w14:paraId="14488742" w14:textId="77777777" w:rsidR="00C74275" w:rsidRDefault="00C74275" w:rsidP="003D7ED5">
      <w:r w:rsidRPr="00375270">
        <w:t xml:space="preserve">The </w:t>
      </w:r>
      <w:r w:rsidR="00804C85">
        <w:t>grant funding cannot be used for the following</w:t>
      </w:r>
      <w:r w:rsidRPr="00375270">
        <w:t>:</w:t>
      </w:r>
    </w:p>
    <w:p w14:paraId="3D799E8E" w14:textId="77777777" w:rsidR="00AD40C8" w:rsidRPr="00804C85" w:rsidRDefault="00AD40C8" w:rsidP="00411004">
      <w:pPr>
        <w:pStyle w:val="ListBullet"/>
        <w:numPr>
          <w:ilvl w:val="0"/>
          <w:numId w:val="21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804C85">
        <w:rPr>
          <w:rFonts w:asciiTheme="minorHAnsi" w:eastAsiaTheme="minorHAnsi" w:hAnsiTheme="minorHAnsi" w:cstheme="minorHAnsi"/>
        </w:rPr>
        <w:t>activities conducted outside of Australia</w:t>
      </w:r>
    </w:p>
    <w:p w14:paraId="7DC49489" w14:textId="77777777" w:rsidR="00AD40C8" w:rsidRPr="00804C85" w:rsidRDefault="00AD40C8" w:rsidP="00411004">
      <w:pPr>
        <w:pStyle w:val="ListBullet"/>
        <w:numPr>
          <w:ilvl w:val="0"/>
          <w:numId w:val="21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804C85">
        <w:rPr>
          <w:rFonts w:asciiTheme="minorHAnsi" w:eastAsiaTheme="minorHAnsi" w:hAnsiTheme="minorHAnsi" w:cstheme="minorHAnsi"/>
        </w:rPr>
        <w:t>other</w:t>
      </w:r>
      <w:r w:rsidR="00804C85" w:rsidRPr="00804C85">
        <w:rPr>
          <w:rFonts w:asciiTheme="minorHAnsi" w:eastAsiaTheme="minorHAnsi" w:hAnsiTheme="minorHAnsi" w:cstheme="minorHAnsi"/>
        </w:rPr>
        <w:t xml:space="preserve"> Commonwealth funded activities</w:t>
      </w:r>
    </w:p>
    <w:p w14:paraId="79833BA2" w14:textId="77777777" w:rsidR="00AD40C8" w:rsidRPr="00893655" w:rsidRDefault="00AD40C8" w:rsidP="00411004">
      <w:pPr>
        <w:pStyle w:val="ListBullet"/>
        <w:numPr>
          <w:ilvl w:val="0"/>
          <w:numId w:val="21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893655">
        <w:rPr>
          <w:rFonts w:asciiTheme="minorHAnsi" w:eastAsiaTheme="minorHAnsi" w:hAnsiTheme="minorHAnsi" w:cstheme="minorHAnsi"/>
        </w:rPr>
        <w:t>purchase of land</w:t>
      </w:r>
    </w:p>
    <w:p w14:paraId="3A93BD66" w14:textId="31125AAE" w:rsidR="00AD40C8" w:rsidRPr="004A2F05" w:rsidRDefault="00AD40C8" w:rsidP="00411004">
      <w:pPr>
        <w:pStyle w:val="ListBullet"/>
        <w:numPr>
          <w:ilvl w:val="0"/>
          <w:numId w:val="21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4A2F05">
        <w:rPr>
          <w:rFonts w:asciiTheme="minorHAnsi" w:eastAsiaTheme="minorHAnsi" w:hAnsiTheme="minorHAnsi" w:cstheme="minorHAnsi"/>
        </w:rPr>
        <w:t>capital expenditure</w:t>
      </w:r>
    </w:p>
    <w:p w14:paraId="3E246963" w14:textId="1218345A" w:rsidR="224C8244" w:rsidRPr="004A2F05" w:rsidRDefault="00B13986" w:rsidP="00411004">
      <w:pPr>
        <w:pStyle w:val="ListBullet"/>
        <w:numPr>
          <w:ilvl w:val="0"/>
          <w:numId w:val="21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4A2F05">
        <w:rPr>
          <w:rFonts w:asciiTheme="minorHAnsi" w:eastAsiaTheme="minorHAnsi" w:hAnsiTheme="minorHAnsi" w:cstheme="minorHAnsi"/>
        </w:rPr>
        <w:t>p</w:t>
      </w:r>
      <w:r w:rsidR="224C8244" w:rsidRPr="004A2F05">
        <w:rPr>
          <w:rFonts w:asciiTheme="minorHAnsi" w:eastAsiaTheme="minorHAnsi" w:hAnsiTheme="minorHAnsi" w:cstheme="minorHAnsi"/>
        </w:rPr>
        <w:t>urchase of office equipment</w:t>
      </w:r>
    </w:p>
    <w:p w14:paraId="50D5BC28" w14:textId="77777777" w:rsidR="00AD40C8" w:rsidRPr="00893655" w:rsidRDefault="00AD40C8" w:rsidP="00411004">
      <w:pPr>
        <w:pStyle w:val="ListBullet"/>
        <w:numPr>
          <w:ilvl w:val="0"/>
          <w:numId w:val="21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893655">
        <w:rPr>
          <w:rFonts w:asciiTheme="minorHAnsi" w:eastAsiaTheme="minorHAnsi" w:hAnsiTheme="minorHAnsi" w:cstheme="minorHAnsi"/>
        </w:rPr>
        <w:t>the covering of retrospective costs</w:t>
      </w:r>
    </w:p>
    <w:p w14:paraId="32A03D06" w14:textId="77777777" w:rsidR="00AD40C8" w:rsidRPr="00893655" w:rsidRDefault="00AD40C8" w:rsidP="00411004">
      <w:pPr>
        <w:pStyle w:val="ListBullet"/>
        <w:numPr>
          <w:ilvl w:val="0"/>
          <w:numId w:val="22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893655">
        <w:rPr>
          <w:rFonts w:asciiTheme="minorHAnsi" w:eastAsiaTheme="minorHAnsi" w:hAnsiTheme="minorHAnsi" w:cstheme="minorHAnsi"/>
        </w:rPr>
        <w:t>costs incurred in the preparation of a grant application or related documentation</w:t>
      </w:r>
    </w:p>
    <w:p w14:paraId="4851D7A3" w14:textId="1296EB00" w:rsidR="00AD40C8" w:rsidRPr="004A2F05" w:rsidRDefault="00AD40C8" w:rsidP="00411004">
      <w:pPr>
        <w:pStyle w:val="ListBullet"/>
        <w:numPr>
          <w:ilvl w:val="0"/>
          <w:numId w:val="22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4A2F05">
        <w:rPr>
          <w:rFonts w:asciiTheme="minorHAnsi" w:eastAsiaTheme="minorHAnsi" w:hAnsiTheme="minorHAnsi" w:cstheme="minorHAnsi"/>
        </w:rPr>
        <w:t>construction/capital works</w:t>
      </w:r>
    </w:p>
    <w:p w14:paraId="06CA547F" w14:textId="77777777" w:rsidR="00AD40C8" w:rsidRPr="00893655" w:rsidRDefault="00AD40C8" w:rsidP="00411004">
      <w:pPr>
        <w:pStyle w:val="ListBullet"/>
        <w:numPr>
          <w:ilvl w:val="0"/>
          <w:numId w:val="22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893655">
        <w:rPr>
          <w:rFonts w:asciiTheme="minorHAnsi" w:eastAsiaTheme="minorHAnsi" w:hAnsiTheme="minorHAnsi" w:cstheme="minorHAnsi"/>
        </w:rPr>
        <w:lastRenderedPageBreak/>
        <w:t>overseas travel</w:t>
      </w:r>
      <w:r w:rsidR="004B3B7C">
        <w:rPr>
          <w:rFonts w:asciiTheme="minorHAnsi" w:eastAsiaTheme="minorHAnsi" w:hAnsiTheme="minorHAnsi" w:cstheme="minorHAnsi"/>
        </w:rPr>
        <w:t>; and</w:t>
      </w:r>
    </w:p>
    <w:p w14:paraId="1B183C2B" w14:textId="77777777" w:rsidR="00AD40C8" w:rsidRPr="00893655" w:rsidRDefault="00AD40C8" w:rsidP="00411004">
      <w:pPr>
        <w:pStyle w:val="ListBullet"/>
        <w:numPr>
          <w:ilvl w:val="0"/>
          <w:numId w:val="22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893655">
        <w:rPr>
          <w:rFonts w:asciiTheme="minorHAnsi" w:eastAsiaTheme="minorHAnsi" w:hAnsiTheme="minorHAnsi" w:cstheme="minorHAnsi"/>
        </w:rPr>
        <w:t xml:space="preserve">activities for which other Commonwealth, state, territory or local government bodies have primary responsibility. </w:t>
      </w:r>
    </w:p>
    <w:p w14:paraId="0BC901A9" w14:textId="5E1C3175" w:rsidR="00CD7A6C" w:rsidRPr="00E13ABF" w:rsidRDefault="00D45F02" w:rsidP="004353AA">
      <w:pPr>
        <w:pStyle w:val="IntenseQuote"/>
        <w:ind w:left="567" w:right="708"/>
        <w:jc w:val="left"/>
        <w:rPr>
          <w:i w:val="0"/>
        </w:rPr>
      </w:pPr>
      <w:bookmarkStart w:id="216" w:name="_Toc418003727"/>
      <w:bookmarkStart w:id="217" w:name="_Toc418003768"/>
      <w:bookmarkStart w:id="218" w:name="_Toc418003911"/>
      <w:r>
        <w:rPr>
          <w:i w:val="0"/>
        </w:rPr>
        <w:t>P</w:t>
      </w:r>
      <w:r w:rsidR="00CD7A6C" w:rsidRPr="00E13ABF">
        <w:rPr>
          <w:i w:val="0"/>
        </w:rPr>
        <w:t xml:space="preserve">roviders should contact their </w:t>
      </w:r>
      <w:r w:rsidR="00EC7088">
        <w:rPr>
          <w:i w:val="0"/>
        </w:rPr>
        <w:t>FAM</w:t>
      </w:r>
      <w:r w:rsidR="00CD7A6C" w:rsidRPr="00E13ABF">
        <w:rPr>
          <w:i w:val="0"/>
        </w:rPr>
        <w:t xml:space="preserve"> if they are unsure whether an expense is eligible or ineligible.</w:t>
      </w:r>
    </w:p>
    <w:p w14:paraId="3951612C" w14:textId="77777777" w:rsidR="003D7ED5" w:rsidRPr="00F657CA" w:rsidRDefault="003D7ED5" w:rsidP="003A7D25">
      <w:pPr>
        <w:pStyle w:val="Heading3"/>
        <w:numPr>
          <w:ilvl w:val="0"/>
          <w:numId w:val="60"/>
        </w:numPr>
      </w:pPr>
      <w:bookmarkStart w:id="219" w:name="_Toc66260887"/>
      <w:bookmarkStart w:id="220" w:name="_Toc207282705"/>
      <w:r>
        <w:t>Service agreements for brokering / subcontracting services</w:t>
      </w:r>
      <w:bookmarkEnd w:id="219"/>
      <w:bookmarkEnd w:id="220"/>
    </w:p>
    <w:p w14:paraId="0209B858" w14:textId="4C0E5EAE" w:rsidR="00AF0890" w:rsidRDefault="00AF0890" w:rsidP="003D7ED5">
      <w:r>
        <w:t xml:space="preserve">The </w:t>
      </w:r>
      <w:r w:rsidR="00B8500A">
        <w:t>Department</w:t>
      </w:r>
      <w:r>
        <w:t xml:space="preserve"> considers any parts of the activity not directly delivered by the grant recipient and are instead delivered by a third party, pursuant to an agreement between the grant recipient and the third party, to be subcontracting. Examples of agreements between the grant recipient and the third party which the </w:t>
      </w:r>
      <w:r w:rsidR="00B8500A">
        <w:t>Department</w:t>
      </w:r>
      <w:r>
        <w:t xml:space="preserve"> considers to be subcontracts include: </w:t>
      </w:r>
    </w:p>
    <w:p w14:paraId="49F1B5E6" w14:textId="77777777" w:rsidR="00AF0890" w:rsidRPr="00893655" w:rsidRDefault="00AF0890" w:rsidP="00411004">
      <w:pPr>
        <w:pStyle w:val="ListBullet"/>
        <w:numPr>
          <w:ilvl w:val="0"/>
          <w:numId w:val="23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893655">
        <w:rPr>
          <w:rFonts w:asciiTheme="minorHAnsi" w:eastAsiaTheme="minorHAnsi" w:hAnsiTheme="minorHAnsi" w:cstheme="minorHAnsi"/>
        </w:rPr>
        <w:t>operating as a consortium</w:t>
      </w:r>
    </w:p>
    <w:p w14:paraId="58DC1FA8" w14:textId="77777777" w:rsidR="00AF0890" w:rsidRPr="00893655" w:rsidRDefault="00AF0890" w:rsidP="00411004">
      <w:pPr>
        <w:pStyle w:val="ListBullet"/>
        <w:numPr>
          <w:ilvl w:val="0"/>
          <w:numId w:val="23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893655">
        <w:rPr>
          <w:rFonts w:asciiTheme="minorHAnsi" w:eastAsiaTheme="minorHAnsi" w:hAnsiTheme="minorHAnsi" w:cstheme="minorHAnsi"/>
        </w:rPr>
        <w:t>brokerage arrangements</w:t>
      </w:r>
    </w:p>
    <w:p w14:paraId="0FB75E7B" w14:textId="77777777" w:rsidR="00AF0890" w:rsidRPr="00893655" w:rsidRDefault="00AF0890" w:rsidP="00411004">
      <w:pPr>
        <w:pStyle w:val="ListBullet"/>
        <w:numPr>
          <w:ilvl w:val="0"/>
          <w:numId w:val="23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893655">
        <w:rPr>
          <w:rFonts w:asciiTheme="minorHAnsi" w:eastAsiaTheme="minorHAnsi" w:hAnsiTheme="minorHAnsi" w:cstheme="minorHAnsi"/>
        </w:rPr>
        <w:t>fee for service arrangements</w:t>
      </w:r>
      <w:r w:rsidR="004B3B7C">
        <w:rPr>
          <w:rFonts w:asciiTheme="minorHAnsi" w:eastAsiaTheme="minorHAnsi" w:hAnsiTheme="minorHAnsi" w:cstheme="minorHAnsi"/>
        </w:rPr>
        <w:t>; and</w:t>
      </w:r>
    </w:p>
    <w:p w14:paraId="08B03E1F" w14:textId="77777777" w:rsidR="00AF0890" w:rsidRPr="00893655" w:rsidRDefault="00047406" w:rsidP="00411004">
      <w:pPr>
        <w:pStyle w:val="ListBullet"/>
        <w:numPr>
          <w:ilvl w:val="0"/>
          <w:numId w:val="23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893655">
        <w:rPr>
          <w:rFonts w:asciiTheme="minorHAnsi" w:eastAsiaTheme="minorHAnsi" w:hAnsiTheme="minorHAnsi" w:cstheme="minorHAnsi"/>
        </w:rPr>
        <w:t>Memoranda of U</w:t>
      </w:r>
      <w:r w:rsidR="00AF0890" w:rsidRPr="00893655">
        <w:rPr>
          <w:rFonts w:asciiTheme="minorHAnsi" w:eastAsiaTheme="minorHAnsi" w:hAnsiTheme="minorHAnsi" w:cstheme="minorHAnsi"/>
        </w:rPr>
        <w:t>nderstanding</w:t>
      </w:r>
      <w:r w:rsidR="00F973CB">
        <w:rPr>
          <w:rFonts w:asciiTheme="minorHAnsi" w:eastAsiaTheme="minorHAnsi" w:hAnsiTheme="minorHAnsi" w:cstheme="minorHAnsi"/>
        </w:rPr>
        <w:t>.</w:t>
      </w:r>
      <w:r w:rsidR="00AF0890" w:rsidRPr="00893655">
        <w:rPr>
          <w:rFonts w:asciiTheme="minorHAnsi" w:eastAsiaTheme="minorHAnsi" w:hAnsiTheme="minorHAnsi" w:cstheme="minorHAnsi"/>
        </w:rPr>
        <w:t xml:space="preserve"> </w:t>
      </w:r>
    </w:p>
    <w:p w14:paraId="6C4BEFE5" w14:textId="77777777" w:rsidR="00AF0890" w:rsidRDefault="00AF0890" w:rsidP="00AC4022">
      <w:r>
        <w:t>The provider using the services of a subcontractor must ensure that all services delivered by the subcontractor are in line with the Grant Agreement, these Guidelines and prescribed on the provider’s approved fee schedule.</w:t>
      </w:r>
    </w:p>
    <w:p w14:paraId="383F0CB8" w14:textId="280B9189" w:rsidR="00AF0890" w:rsidRDefault="00AF0890" w:rsidP="00AC4022">
      <w:r>
        <w:t xml:space="preserve">In line with the Grant Agreement, the </w:t>
      </w:r>
      <w:r w:rsidR="00B8500A">
        <w:t>Department</w:t>
      </w:r>
      <w:r>
        <w:t xml:space="preserve"> must provide prior written consent before a provider </w:t>
      </w:r>
      <w:proofErr w:type="gramStart"/>
      <w:r>
        <w:t>enters into</w:t>
      </w:r>
      <w:proofErr w:type="gramEnd"/>
      <w:r>
        <w:t xml:space="preserve"> any subcontracting arrangement, and the </w:t>
      </w:r>
      <w:r w:rsidR="00B8500A">
        <w:t>Department</w:t>
      </w:r>
      <w:r>
        <w:t xml:space="preserve"> may impose any conditions it considers reasonable and appropriate when giving consent. The </w:t>
      </w:r>
      <w:r w:rsidR="00B8500A">
        <w:t>Department</w:t>
      </w:r>
      <w:r>
        <w:t xml:space="preserve"> may request a copy of the agreement between the provider and the subcontractor. </w:t>
      </w:r>
    </w:p>
    <w:p w14:paraId="65D7B14E" w14:textId="02D5EC70" w:rsidR="00AF0890" w:rsidRDefault="00AF0890" w:rsidP="00AC4022">
      <w:r>
        <w:t xml:space="preserve">Reporting requirements for subcontracted services is the responsibility of the provider that the </w:t>
      </w:r>
      <w:r w:rsidR="00B8500A">
        <w:t>Department</w:t>
      </w:r>
      <w:r>
        <w:t xml:space="preserve"> has the Grant Agreement with, unless otherwise agreed by the </w:t>
      </w:r>
      <w:r w:rsidR="00B8500A">
        <w:t>Department</w:t>
      </w:r>
      <w:r>
        <w:t xml:space="preserve">. </w:t>
      </w:r>
    </w:p>
    <w:p w14:paraId="1EB9DB99" w14:textId="405D1DB1" w:rsidR="00AF0890" w:rsidRPr="004353AA" w:rsidRDefault="00D45F02" w:rsidP="004353AA">
      <w:pPr>
        <w:pStyle w:val="IntenseQuote"/>
        <w:ind w:left="567" w:right="708"/>
        <w:jc w:val="left"/>
        <w:rPr>
          <w:i w:val="0"/>
        </w:rPr>
      </w:pPr>
      <w:r>
        <w:rPr>
          <w:i w:val="0"/>
        </w:rPr>
        <w:t>P</w:t>
      </w:r>
      <w:r w:rsidR="00AF0890" w:rsidRPr="004353AA">
        <w:rPr>
          <w:i w:val="0"/>
        </w:rPr>
        <w:t xml:space="preserve">roviders must seek prior written consent from the </w:t>
      </w:r>
      <w:r w:rsidR="00B8500A">
        <w:rPr>
          <w:i w:val="0"/>
        </w:rPr>
        <w:t>Department</w:t>
      </w:r>
      <w:r w:rsidR="00AF0890" w:rsidRPr="004353AA">
        <w:rPr>
          <w:i w:val="0"/>
        </w:rPr>
        <w:t xml:space="preserve"> before </w:t>
      </w:r>
      <w:proofErr w:type="gramStart"/>
      <w:r w:rsidR="00AF0890" w:rsidRPr="004353AA">
        <w:rPr>
          <w:i w:val="0"/>
        </w:rPr>
        <w:t>entering into</w:t>
      </w:r>
      <w:proofErr w:type="gramEnd"/>
      <w:r w:rsidR="00AF0890" w:rsidRPr="004353AA">
        <w:rPr>
          <w:i w:val="0"/>
        </w:rPr>
        <w:t xml:space="preserve"> any subcontracting arrangement by contacting their </w:t>
      </w:r>
      <w:r w:rsidR="00EC7088">
        <w:rPr>
          <w:i w:val="0"/>
        </w:rPr>
        <w:t>FAM</w:t>
      </w:r>
      <w:r w:rsidR="00AF0890" w:rsidRPr="004353AA">
        <w:rPr>
          <w:i w:val="0"/>
        </w:rPr>
        <w:t xml:space="preserve">. </w:t>
      </w:r>
      <w:r w:rsidR="00DB3782">
        <w:rPr>
          <w:i w:val="0"/>
        </w:rPr>
        <w:t>AMH</w:t>
      </w:r>
      <w:r w:rsidR="00DB3782" w:rsidRPr="004353AA">
        <w:rPr>
          <w:i w:val="0"/>
        </w:rPr>
        <w:t xml:space="preserve"> </w:t>
      </w:r>
      <w:r w:rsidR="00A43036">
        <w:rPr>
          <w:i w:val="0"/>
        </w:rPr>
        <w:t xml:space="preserve">pilot </w:t>
      </w:r>
      <w:r w:rsidR="00576C21" w:rsidRPr="004353AA">
        <w:rPr>
          <w:i w:val="0"/>
        </w:rPr>
        <w:t>p</w:t>
      </w:r>
      <w:r w:rsidR="00AF0890" w:rsidRPr="004353AA">
        <w:rPr>
          <w:i w:val="0"/>
        </w:rPr>
        <w:t>roviders should provide the d</w:t>
      </w:r>
      <w:r w:rsidR="00AC062B">
        <w:rPr>
          <w:i w:val="0"/>
        </w:rPr>
        <w:t xml:space="preserve">etails of the subcontractor, as </w:t>
      </w:r>
      <w:r w:rsidR="00AF0890" w:rsidRPr="004353AA">
        <w:rPr>
          <w:i w:val="0"/>
        </w:rPr>
        <w:t xml:space="preserve">well </w:t>
      </w:r>
      <w:r w:rsidR="00E41CD6" w:rsidRPr="004353AA">
        <w:rPr>
          <w:i w:val="0"/>
        </w:rPr>
        <w:t>as</w:t>
      </w:r>
      <w:r w:rsidR="00E41CD6">
        <w:rPr>
          <w:i w:val="0"/>
        </w:rPr>
        <w:t> </w:t>
      </w:r>
      <w:r w:rsidR="00AF0890" w:rsidRPr="004353AA">
        <w:rPr>
          <w:i w:val="0"/>
        </w:rPr>
        <w:t>what services the subcontractor will be providing. Details include:</w:t>
      </w:r>
    </w:p>
    <w:p w14:paraId="5B2A4363" w14:textId="77777777" w:rsidR="00AF0890" w:rsidRPr="004353AA" w:rsidRDefault="00AF0890" w:rsidP="004353AA">
      <w:pPr>
        <w:pStyle w:val="IntenseQuote"/>
        <w:ind w:left="567" w:right="708"/>
        <w:jc w:val="left"/>
        <w:rPr>
          <w:i w:val="0"/>
        </w:rPr>
      </w:pPr>
      <w:r w:rsidRPr="004353AA">
        <w:rPr>
          <w:i w:val="0"/>
        </w:rPr>
        <w:t>- legal name of the organisation or individual, and any trading names</w:t>
      </w:r>
      <w:r w:rsidRPr="004353AA">
        <w:rPr>
          <w:i w:val="0"/>
        </w:rPr>
        <w:br/>
        <w:t>- Australian Business Number (ABN)</w:t>
      </w:r>
      <w:r w:rsidRPr="004353AA">
        <w:rPr>
          <w:i w:val="0"/>
        </w:rPr>
        <w:br/>
        <w:t>- full name of the head of the organisation</w:t>
      </w:r>
      <w:r w:rsidRPr="004353AA">
        <w:rPr>
          <w:i w:val="0"/>
        </w:rPr>
        <w:br/>
        <w:t>- address</w:t>
      </w:r>
      <w:r w:rsidRPr="004353AA">
        <w:rPr>
          <w:i w:val="0"/>
        </w:rPr>
        <w:br/>
        <w:t>- contact details</w:t>
      </w:r>
      <w:r w:rsidRPr="004353AA">
        <w:rPr>
          <w:i w:val="0"/>
        </w:rPr>
        <w:br/>
        <w:t xml:space="preserve">- schedule of fees </w:t>
      </w:r>
    </w:p>
    <w:p w14:paraId="7F681FC0" w14:textId="5507E904" w:rsidR="00AF0890" w:rsidRDefault="00D45F02" w:rsidP="004353AA">
      <w:pPr>
        <w:pStyle w:val="IntenseQuote"/>
        <w:ind w:left="567" w:right="708"/>
        <w:jc w:val="left"/>
        <w:rPr>
          <w:i w:val="0"/>
        </w:rPr>
      </w:pPr>
      <w:r>
        <w:rPr>
          <w:i w:val="0"/>
        </w:rPr>
        <w:t>P</w:t>
      </w:r>
      <w:r w:rsidR="00AF0890" w:rsidRPr="004353AA">
        <w:rPr>
          <w:i w:val="0"/>
        </w:rPr>
        <w:t xml:space="preserve">roviders must also notify their </w:t>
      </w:r>
      <w:r w:rsidR="00EC7088">
        <w:rPr>
          <w:i w:val="0"/>
        </w:rPr>
        <w:t>FAM</w:t>
      </w:r>
      <w:r w:rsidR="00AF0890" w:rsidRPr="004353AA">
        <w:rPr>
          <w:i w:val="0"/>
        </w:rPr>
        <w:t xml:space="preserve"> </w:t>
      </w:r>
      <w:r w:rsidR="00E41CD6" w:rsidRPr="004353AA">
        <w:rPr>
          <w:i w:val="0"/>
        </w:rPr>
        <w:t>if</w:t>
      </w:r>
      <w:r w:rsidR="00E41CD6">
        <w:rPr>
          <w:i w:val="0"/>
        </w:rPr>
        <w:t> </w:t>
      </w:r>
      <w:r w:rsidR="00AF0890" w:rsidRPr="004353AA">
        <w:rPr>
          <w:i w:val="0"/>
        </w:rPr>
        <w:t xml:space="preserve">subcontracting arrangements change. </w:t>
      </w:r>
    </w:p>
    <w:p w14:paraId="58971371" w14:textId="77777777" w:rsidR="007277C1" w:rsidRDefault="007277C1" w:rsidP="003A7D25">
      <w:pPr>
        <w:pStyle w:val="Heading3"/>
        <w:numPr>
          <w:ilvl w:val="0"/>
          <w:numId w:val="61"/>
        </w:numPr>
      </w:pPr>
      <w:bookmarkStart w:id="221" w:name="_Toc207282706"/>
      <w:bookmarkStart w:id="222" w:name="_Toc66260885"/>
      <w:r>
        <w:lastRenderedPageBreak/>
        <w:t>Financial Reporting</w:t>
      </w:r>
      <w:bookmarkEnd w:id="221"/>
    </w:p>
    <w:p w14:paraId="36D1B848" w14:textId="74558D12" w:rsidR="007277C1" w:rsidRDefault="00D45F02" w:rsidP="007277C1">
      <w:r>
        <w:t xml:space="preserve">AMH </w:t>
      </w:r>
      <w:r w:rsidR="00A43036">
        <w:t xml:space="preserve">pilot </w:t>
      </w:r>
      <w:r>
        <w:t>p</w:t>
      </w:r>
      <w:r w:rsidR="007277C1" w:rsidRPr="004353AA">
        <w:t>roviders must ensure the efficient and eff</w:t>
      </w:r>
      <w:r w:rsidR="00047406">
        <w:t>ective use of public monies, that is</w:t>
      </w:r>
      <w:r w:rsidR="007277C1" w:rsidRPr="004353AA">
        <w:t> consistent wi</w:t>
      </w:r>
      <w:r w:rsidR="00047406">
        <w:t xml:space="preserve">th the </w:t>
      </w:r>
      <w:r w:rsidR="005D0C64">
        <w:t>G</w:t>
      </w:r>
      <w:r w:rsidR="00047406">
        <w:t xml:space="preserve">rant </w:t>
      </w:r>
      <w:r w:rsidR="005D0C64">
        <w:t>A</w:t>
      </w:r>
      <w:r w:rsidR="00047406">
        <w:t xml:space="preserve">greement, </w:t>
      </w:r>
      <w:r w:rsidR="007277C1" w:rsidRPr="004353AA">
        <w:t>aim</w:t>
      </w:r>
      <w:r w:rsidR="00047406">
        <w:t>s</w:t>
      </w:r>
      <w:r w:rsidR="007277C1" w:rsidRPr="004353AA">
        <w:t xml:space="preserve"> to maintain viable services and act to prevent fraud upon the Commonwealth.</w:t>
      </w:r>
    </w:p>
    <w:p w14:paraId="26978104" w14:textId="5F1B8B50" w:rsidR="00D45F02" w:rsidRPr="00CA1F14" w:rsidRDefault="00FA2049" w:rsidP="00684DF9">
      <w:pPr>
        <w:pStyle w:val="Heading3"/>
      </w:pPr>
      <w:proofErr w:type="gramStart"/>
      <w:r>
        <w:t xml:space="preserve">4.4.1  </w:t>
      </w:r>
      <w:r w:rsidR="00D45F02" w:rsidRPr="00CA1F14">
        <w:t>Financial</w:t>
      </w:r>
      <w:proofErr w:type="gramEnd"/>
      <w:r w:rsidR="00D45F02" w:rsidRPr="00CA1F14">
        <w:t xml:space="preserve"> acquittal reports</w:t>
      </w:r>
    </w:p>
    <w:p w14:paraId="1D3D4EA5" w14:textId="3A97F5C1" w:rsidR="00D45F02" w:rsidRPr="00AC4022" w:rsidRDefault="00A266AC" w:rsidP="00D45F02">
      <w:pPr>
        <w:spacing w:before="40"/>
      </w:pPr>
      <w:r>
        <w:t xml:space="preserve">AMH </w:t>
      </w:r>
      <w:r w:rsidR="00A43036">
        <w:t xml:space="preserve">pilot </w:t>
      </w:r>
      <w:r>
        <w:t>providers</w:t>
      </w:r>
      <w:r w:rsidRPr="00AC4022">
        <w:t xml:space="preserve"> </w:t>
      </w:r>
      <w:r w:rsidR="00D45F02" w:rsidRPr="00AC4022">
        <w:t>must submit a</w:t>
      </w:r>
      <w:r w:rsidR="00835607">
        <w:t xml:space="preserve"> non-audited</w:t>
      </w:r>
      <w:r w:rsidR="00D45F02" w:rsidRPr="00AC4022">
        <w:t xml:space="preserve"> </w:t>
      </w:r>
      <w:r w:rsidR="00B42ADC">
        <w:t>F</w:t>
      </w:r>
      <w:r w:rsidR="00D45F02" w:rsidRPr="00AC4022">
        <w:t xml:space="preserve">inancial </w:t>
      </w:r>
      <w:r w:rsidR="00B42ADC">
        <w:t>A</w:t>
      </w:r>
      <w:r w:rsidR="00D45F02" w:rsidRPr="00AC4022">
        <w:t xml:space="preserve">cquittal </w:t>
      </w:r>
      <w:r w:rsidR="00B42ADC">
        <w:t>R</w:t>
      </w:r>
      <w:r w:rsidR="00D45F02" w:rsidRPr="00AC4022">
        <w:t xml:space="preserve">eport certified by the CEO, Board or authorised officer. A financial acquittal report will verify that the grant </w:t>
      </w:r>
      <w:r w:rsidR="00047406">
        <w:t xml:space="preserve">was spent </w:t>
      </w:r>
      <w:r w:rsidR="00D45F02" w:rsidRPr="00AC4022">
        <w:t xml:space="preserve">in accordance with the </w:t>
      </w:r>
      <w:r w:rsidR="005D0C64">
        <w:t>G</w:t>
      </w:r>
      <w:r w:rsidR="00D45F02" w:rsidRPr="00AC4022">
        <w:t xml:space="preserve">rant </w:t>
      </w:r>
      <w:r w:rsidR="005D0C64">
        <w:t>A</w:t>
      </w:r>
      <w:r w:rsidR="00D45F02" w:rsidRPr="00AC4022">
        <w:t xml:space="preserve">greement and </w:t>
      </w:r>
      <w:r w:rsidR="00047406">
        <w:t xml:space="preserve">will </w:t>
      </w:r>
      <w:r w:rsidR="00D45F02" w:rsidRPr="00AC4022">
        <w:t xml:space="preserve">declare unspent funds. </w:t>
      </w:r>
    </w:p>
    <w:p w14:paraId="53FEE1C3" w14:textId="77777777" w:rsidR="00D45F02" w:rsidRPr="00AC4022" w:rsidRDefault="00DB3782" w:rsidP="00D45F02">
      <w:pPr>
        <w:spacing w:before="40"/>
      </w:pPr>
      <w:r>
        <w:t>AMH providers</w:t>
      </w:r>
      <w:r w:rsidR="00D45F02" w:rsidRPr="00AC4022" w:rsidDel="00D505A5">
        <w:t xml:space="preserve"> </w:t>
      </w:r>
      <w:r w:rsidR="00D45F02" w:rsidRPr="00AC4022">
        <w:t>will also be</w:t>
      </w:r>
      <w:r w:rsidR="00D45F02" w:rsidRPr="00AC4022" w:rsidDel="00D505A5">
        <w:t xml:space="preserve"> responsible for:</w:t>
      </w:r>
    </w:p>
    <w:p w14:paraId="7427DD2A" w14:textId="77777777" w:rsidR="00D45F02" w:rsidRPr="001436B8" w:rsidDel="00D505A5" w:rsidRDefault="00D45F02" w:rsidP="00411004">
      <w:pPr>
        <w:pStyle w:val="ListBullet"/>
        <w:numPr>
          <w:ilvl w:val="1"/>
          <w:numId w:val="24"/>
        </w:numPr>
        <w:tabs>
          <w:tab w:val="clear" w:pos="170"/>
          <w:tab w:val="left" w:pos="567"/>
        </w:tabs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meeting</w:t>
      </w:r>
      <w:r w:rsidRPr="001436B8" w:rsidDel="00D505A5">
        <w:rPr>
          <w:rFonts w:asciiTheme="minorHAnsi" w:eastAsiaTheme="minorHAnsi" w:hAnsiTheme="minorHAnsi"/>
          <w:color w:val="000000" w:themeColor="text1"/>
        </w:rPr>
        <w:t xml:space="preserve"> the terms and conditions of the </w:t>
      </w:r>
      <w:r w:rsidR="005D0C64">
        <w:rPr>
          <w:rFonts w:asciiTheme="minorHAnsi" w:eastAsiaTheme="minorHAnsi" w:hAnsiTheme="minorHAnsi"/>
          <w:color w:val="000000" w:themeColor="text1"/>
        </w:rPr>
        <w:t>G</w:t>
      </w:r>
      <w:r w:rsidRPr="001436B8" w:rsidDel="00D505A5">
        <w:rPr>
          <w:rFonts w:asciiTheme="minorHAnsi" w:eastAsiaTheme="minorHAnsi" w:hAnsiTheme="minorHAnsi"/>
          <w:color w:val="000000" w:themeColor="text1"/>
        </w:rPr>
        <w:t xml:space="preserve">rant </w:t>
      </w:r>
      <w:r w:rsidR="005D0C64">
        <w:rPr>
          <w:rFonts w:asciiTheme="minorHAnsi" w:eastAsiaTheme="minorHAnsi" w:hAnsiTheme="minorHAnsi"/>
          <w:color w:val="000000" w:themeColor="text1"/>
        </w:rPr>
        <w:t>A</w:t>
      </w:r>
      <w:r w:rsidRPr="001436B8" w:rsidDel="00D505A5">
        <w:rPr>
          <w:rFonts w:asciiTheme="minorHAnsi" w:eastAsiaTheme="minorHAnsi" w:hAnsiTheme="minorHAnsi"/>
          <w:color w:val="000000" w:themeColor="text1"/>
        </w:rPr>
        <w:t xml:space="preserve">greement </w:t>
      </w:r>
      <w:r w:rsidRPr="001436B8">
        <w:rPr>
          <w:rFonts w:asciiTheme="minorHAnsi" w:eastAsiaTheme="minorHAnsi" w:hAnsiTheme="minorHAnsi"/>
          <w:color w:val="000000" w:themeColor="text1"/>
        </w:rPr>
        <w:t>and managing the</w:t>
      </w:r>
      <w:r w:rsidRPr="001436B8" w:rsidDel="00D505A5">
        <w:rPr>
          <w:rFonts w:asciiTheme="minorHAnsi" w:eastAsiaTheme="minorHAnsi" w:hAnsiTheme="minorHAnsi"/>
          <w:color w:val="000000" w:themeColor="text1"/>
        </w:rPr>
        <w:t xml:space="preserve"> </w:t>
      </w:r>
      <w:r w:rsidRPr="001436B8">
        <w:rPr>
          <w:rFonts w:asciiTheme="minorHAnsi" w:eastAsiaTheme="minorHAnsi" w:hAnsiTheme="minorHAnsi"/>
          <w:color w:val="000000" w:themeColor="text1"/>
        </w:rPr>
        <w:t xml:space="preserve">grant </w:t>
      </w:r>
      <w:r w:rsidRPr="001436B8" w:rsidDel="00D505A5">
        <w:rPr>
          <w:rFonts w:asciiTheme="minorHAnsi" w:eastAsiaTheme="minorHAnsi" w:hAnsiTheme="minorHAnsi"/>
          <w:color w:val="000000" w:themeColor="text1"/>
        </w:rPr>
        <w:t>activity efficient</w:t>
      </w:r>
      <w:r w:rsidRPr="001436B8">
        <w:rPr>
          <w:rFonts w:asciiTheme="minorHAnsi" w:eastAsiaTheme="minorHAnsi" w:hAnsiTheme="minorHAnsi"/>
          <w:color w:val="000000" w:themeColor="text1"/>
        </w:rPr>
        <w:t>ly</w:t>
      </w:r>
      <w:r w:rsidRPr="001436B8" w:rsidDel="00D505A5">
        <w:rPr>
          <w:rFonts w:asciiTheme="minorHAnsi" w:eastAsiaTheme="minorHAnsi" w:hAnsiTheme="minorHAnsi"/>
          <w:color w:val="000000" w:themeColor="text1"/>
        </w:rPr>
        <w:t xml:space="preserve"> and effective</w:t>
      </w:r>
      <w:r w:rsidRPr="001436B8">
        <w:rPr>
          <w:rFonts w:asciiTheme="minorHAnsi" w:eastAsiaTheme="minorHAnsi" w:hAnsiTheme="minorHAnsi"/>
          <w:color w:val="000000" w:themeColor="text1"/>
        </w:rPr>
        <w:t>ly</w:t>
      </w:r>
      <w:r w:rsidR="004B3B7C">
        <w:rPr>
          <w:rFonts w:asciiTheme="minorHAnsi" w:eastAsiaTheme="minorHAnsi" w:hAnsiTheme="minorHAnsi"/>
          <w:color w:val="000000" w:themeColor="text1"/>
        </w:rPr>
        <w:t>; and</w:t>
      </w:r>
    </w:p>
    <w:p w14:paraId="385C809B" w14:textId="77777777" w:rsidR="00D45F02" w:rsidRPr="001436B8" w:rsidRDefault="00D45F02" w:rsidP="00411004">
      <w:pPr>
        <w:pStyle w:val="ListBullet"/>
        <w:numPr>
          <w:ilvl w:val="1"/>
          <w:numId w:val="24"/>
        </w:numPr>
        <w:tabs>
          <w:tab w:val="clear" w:pos="170"/>
          <w:tab w:val="left" w:pos="567"/>
        </w:tabs>
        <w:rPr>
          <w:rFonts w:asciiTheme="minorHAnsi" w:eastAsiaTheme="minorHAnsi" w:hAnsiTheme="minorHAnsi"/>
          <w:color w:val="000000" w:themeColor="text1"/>
        </w:rPr>
      </w:pPr>
      <w:r w:rsidRPr="001436B8" w:rsidDel="00D505A5">
        <w:rPr>
          <w:rFonts w:asciiTheme="minorHAnsi" w:eastAsiaTheme="minorHAnsi" w:hAnsiTheme="minorHAnsi"/>
          <w:color w:val="000000" w:themeColor="text1"/>
        </w:rPr>
        <w:t xml:space="preserve">complying with record keeping, reporting and acquittal requirements </w:t>
      </w:r>
      <w:r w:rsidRPr="001436B8">
        <w:rPr>
          <w:rFonts w:asciiTheme="minorHAnsi" w:eastAsiaTheme="minorHAnsi" w:hAnsiTheme="minorHAnsi"/>
          <w:color w:val="000000" w:themeColor="text1"/>
        </w:rPr>
        <w:t xml:space="preserve">as set out in the </w:t>
      </w:r>
      <w:r w:rsidR="005D0C64">
        <w:rPr>
          <w:rFonts w:asciiTheme="minorHAnsi" w:eastAsiaTheme="minorHAnsi" w:hAnsiTheme="minorHAnsi"/>
          <w:color w:val="000000" w:themeColor="text1"/>
        </w:rPr>
        <w:t>G</w:t>
      </w:r>
      <w:r w:rsidRPr="001436B8">
        <w:rPr>
          <w:rFonts w:asciiTheme="minorHAnsi" w:eastAsiaTheme="minorHAnsi" w:hAnsiTheme="minorHAnsi"/>
          <w:color w:val="000000" w:themeColor="text1"/>
        </w:rPr>
        <w:t xml:space="preserve">rant </w:t>
      </w:r>
      <w:r w:rsidR="005D0C64">
        <w:rPr>
          <w:rFonts w:asciiTheme="minorHAnsi" w:eastAsiaTheme="minorHAnsi" w:hAnsiTheme="minorHAnsi"/>
          <w:color w:val="000000" w:themeColor="text1"/>
        </w:rPr>
        <w:t>A</w:t>
      </w:r>
      <w:r w:rsidRPr="001436B8">
        <w:rPr>
          <w:rFonts w:asciiTheme="minorHAnsi" w:eastAsiaTheme="minorHAnsi" w:hAnsiTheme="minorHAnsi"/>
          <w:color w:val="000000" w:themeColor="text1"/>
        </w:rPr>
        <w:t>greement</w:t>
      </w:r>
      <w:r w:rsidR="00A266AC">
        <w:rPr>
          <w:rFonts w:asciiTheme="minorHAnsi" w:eastAsiaTheme="minorHAnsi" w:hAnsiTheme="minorHAnsi"/>
          <w:color w:val="000000" w:themeColor="text1"/>
        </w:rPr>
        <w:t>.</w:t>
      </w:r>
    </w:p>
    <w:p w14:paraId="4FBE86F6" w14:textId="77777777" w:rsidR="00C47F7B" w:rsidRDefault="00D42479" w:rsidP="001309A6">
      <w:pPr>
        <w:pStyle w:val="Heading2"/>
      </w:pPr>
      <w:bookmarkStart w:id="223" w:name="_Toc207282707"/>
      <w:bookmarkEnd w:id="222"/>
      <w:r w:rsidRPr="00793B9F">
        <w:t>Communication and Promotion</w:t>
      </w:r>
      <w:bookmarkEnd w:id="223"/>
    </w:p>
    <w:p w14:paraId="5B4C5E3D" w14:textId="5F01C819" w:rsidR="00C47F7B" w:rsidRDefault="00491CF2" w:rsidP="003D7ED5">
      <w:r>
        <w:t>AMH</w:t>
      </w:r>
      <w:r w:rsidR="00A43036">
        <w:t xml:space="preserve"> pilot</w:t>
      </w:r>
      <w:r>
        <w:t xml:space="preserve"> providers are free to name</w:t>
      </w:r>
      <w:r w:rsidR="00312601">
        <w:t xml:space="preserve"> or brand the IPS program in a way that is relevant and welcoming for people in their local area. </w:t>
      </w:r>
      <w:r w:rsidR="00777C63">
        <w:t xml:space="preserve">The </w:t>
      </w:r>
      <w:r w:rsidR="00B8500A">
        <w:t>Department</w:t>
      </w:r>
      <w:r w:rsidR="00777C63">
        <w:t xml:space="preserve"> expects AMH </w:t>
      </w:r>
      <w:r w:rsidR="00A43036">
        <w:t xml:space="preserve">pilot </w:t>
      </w:r>
      <w:r w:rsidR="00777C63">
        <w:t xml:space="preserve">providers to collaborate and jointly agree a consistent approach to branding the </w:t>
      </w:r>
      <w:r w:rsidR="00A266AC">
        <w:t>AMH pilot</w:t>
      </w:r>
      <w:r w:rsidR="00777C63">
        <w:t xml:space="preserve">. </w:t>
      </w:r>
      <w:r w:rsidR="00312601">
        <w:t xml:space="preserve">Any branding will need to be </w:t>
      </w:r>
      <w:r w:rsidR="00777C63">
        <w:t>approved</w:t>
      </w:r>
      <w:r w:rsidR="00182005">
        <w:t xml:space="preserve"> </w:t>
      </w:r>
      <w:r w:rsidR="00312601">
        <w:t xml:space="preserve">by the </w:t>
      </w:r>
      <w:r w:rsidR="00B8500A">
        <w:t>Department</w:t>
      </w:r>
      <w:r w:rsidR="00312601">
        <w:t>.</w:t>
      </w:r>
    </w:p>
    <w:p w14:paraId="1BC81FF5" w14:textId="2D56F26E" w:rsidR="00B50644" w:rsidRDefault="007B2476" w:rsidP="003D7ED5">
      <w:r>
        <w:t xml:space="preserve">A description of the </w:t>
      </w:r>
      <w:r w:rsidR="00A266AC">
        <w:t>AMH pilot</w:t>
      </w:r>
      <w:r>
        <w:t xml:space="preserve"> should be</w:t>
      </w:r>
      <w:r w:rsidR="00C74275" w:rsidRPr="00AF5752">
        <w:t xml:space="preserve"> </w:t>
      </w:r>
      <w:r w:rsidR="00414970">
        <w:t>included on the</w:t>
      </w:r>
      <w:r w:rsidR="00893655">
        <w:t xml:space="preserve"> </w:t>
      </w:r>
      <w:r w:rsidR="00887E70">
        <w:t>provider</w:t>
      </w:r>
      <w:r w:rsidR="00873FD8">
        <w:t>’</w:t>
      </w:r>
      <w:r w:rsidR="00887E70">
        <w:t xml:space="preserve">s </w:t>
      </w:r>
      <w:r>
        <w:t>website</w:t>
      </w:r>
      <w:r w:rsidR="00570A25">
        <w:t xml:space="preserve"> </w:t>
      </w:r>
      <w:r w:rsidR="00312601">
        <w:t>and t</w:t>
      </w:r>
      <w:r w:rsidR="00B50644">
        <w:t>he following wording used to acknowledge the financial support of </w:t>
      </w:r>
      <w:r w:rsidR="00312601">
        <w:t xml:space="preserve">the </w:t>
      </w:r>
      <w:r w:rsidR="00B8500A">
        <w:t>Department</w:t>
      </w:r>
      <w:r w:rsidR="00791B12">
        <w:t xml:space="preserve"> </w:t>
      </w:r>
      <w:r w:rsidR="00B50644">
        <w:t xml:space="preserve">in all </w:t>
      </w:r>
      <w:r w:rsidR="00A266AC">
        <w:t>AMH pilot</w:t>
      </w:r>
      <w:r w:rsidR="00B50644">
        <w:t xml:space="preserve"> material published by providers</w:t>
      </w:r>
      <w:r w:rsidR="00312601">
        <w:t>:</w:t>
      </w:r>
      <w:r w:rsidR="00B50644">
        <w:br/>
      </w:r>
    </w:p>
    <w:p w14:paraId="677EACA7" w14:textId="3EEBCCEB" w:rsidR="00B50644" w:rsidRDefault="00F14F64" w:rsidP="00B50644">
      <w:pPr>
        <w:ind w:firstLine="720"/>
        <w:rPr>
          <w:i/>
        </w:rPr>
      </w:pPr>
      <w:r>
        <w:rPr>
          <w:i/>
        </w:rPr>
        <w:t>F</w:t>
      </w:r>
      <w:r w:rsidR="00B50644" w:rsidRPr="00B50644">
        <w:rPr>
          <w:i/>
        </w:rPr>
        <w:t>unded by the Australian Government Department of Social Services.</w:t>
      </w:r>
    </w:p>
    <w:p w14:paraId="01B27AC8" w14:textId="77777777" w:rsidR="00C74275" w:rsidRPr="004353AA" w:rsidRDefault="00C74275" w:rsidP="001309A6">
      <w:pPr>
        <w:pStyle w:val="Heading2"/>
      </w:pPr>
      <w:bookmarkStart w:id="224" w:name="_Toc66260889"/>
      <w:bookmarkStart w:id="225" w:name="_Toc207282708"/>
      <w:r w:rsidRPr="004353AA">
        <w:t>Performance and Reporting</w:t>
      </w:r>
      <w:bookmarkEnd w:id="224"/>
      <w:bookmarkEnd w:id="225"/>
    </w:p>
    <w:p w14:paraId="371D04A7" w14:textId="06030B9F" w:rsidR="00EF1251" w:rsidRPr="00286350" w:rsidRDefault="00D45F02" w:rsidP="00286350">
      <w:r>
        <w:t>AMH</w:t>
      </w:r>
      <w:r w:rsidR="00A43036">
        <w:t xml:space="preserve"> pilot</w:t>
      </w:r>
      <w:r w:rsidR="00DD591D">
        <w:t xml:space="preserve"> p</w:t>
      </w:r>
      <w:r w:rsidR="00C74275" w:rsidRPr="00E826DA">
        <w:t>roviders must meet their data collection and reporting obligations</w:t>
      </w:r>
      <w:r w:rsidR="00DD591D">
        <w:t xml:space="preserve"> as ou</w:t>
      </w:r>
      <w:r w:rsidR="00047406">
        <w:t xml:space="preserve">tlined in their Grant Agreement and </w:t>
      </w:r>
      <w:r w:rsidR="00EB0530" w:rsidRPr="00BA19AC">
        <w:t>must have information technology systems in place to allow them to meet their data collection and reporti</w:t>
      </w:r>
      <w:r w:rsidR="00EB0530" w:rsidRPr="00D7747A">
        <w:t>ng obligations.</w:t>
      </w:r>
      <w:r w:rsidR="00286350">
        <w:t xml:space="preserve"> Reporting obligations include the submission of:</w:t>
      </w:r>
    </w:p>
    <w:p w14:paraId="6F4844C6" w14:textId="77777777" w:rsidR="00ED5BA8" w:rsidRPr="00791B12" w:rsidRDefault="00ED5BA8" w:rsidP="00411004">
      <w:pPr>
        <w:pStyle w:val="ListBullet"/>
        <w:numPr>
          <w:ilvl w:val="0"/>
          <w:numId w:val="25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791B12">
        <w:rPr>
          <w:rFonts w:asciiTheme="minorHAnsi" w:eastAsiaTheme="minorHAnsi" w:hAnsiTheme="minorHAnsi" w:cstheme="minorHAnsi"/>
        </w:rPr>
        <w:t>financial reports</w:t>
      </w:r>
    </w:p>
    <w:p w14:paraId="4283430F" w14:textId="77777777" w:rsidR="00EF1251" w:rsidRPr="00791B12" w:rsidRDefault="00ED5BA8" w:rsidP="00411004">
      <w:pPr>
        <w:pStyle w:val="ListBullet"/>
        <w:numPr>
          <w:ilvl w:val="0"/>
          <w:numId w:val="25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791B12">
        <w:rPr>
          <w:rFonts w:asciiTheme="minorHAnsi" w:eastAsiaTheme="minorHAnsi" w:hAnsiTheme="minorHAnsi" w:cstheme="minorHAnsi"/>
        </w:rPr>
        <w:t>Activit</w:t>
      </w:r>
      <w:r w:rsidR="00286350" w:rsidRPr="00791B12">
        <w:rPr>
          <w:rFonts w:asciiTheme="minorHAnsi" w:eastAsiaTheme="minorHAnsi" w:hAnsiTheme="minorHAnsi" w:cstheme="minorHAnsi"/>
        </w:rPr>
        <w:t>y Work Plan r</w:t>
      </w:r>
      <w:r w:rsidRPr="00791B12">
        <w:rPr>
          <w:rFonts w:asciiTheme="minorHAnsi" w:eastAsiaTheme="minorHAnsi" w:hAnsiTheme="minorHAnsi" w:cstheme="minorHAnsi"/>
        </w:rPr>
        <w:t>eports</w:t>
      </w:r>
    </w:p>
    <w:p w14:paraId="40B07C47" w14:textId="77777777" w:rsidR="00286350" w:rsidRPr="00791B12" w:rsidRDefault="004B3B7C" w:rsidP="00411004">
      <w:pPr>
        <w:pStyle w:val="ListBullet"/>
        <w:numPr>
          <w:ilvl w:val="0"/>
          <w:numId w:val="25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</w:t>
      </w:r>
      <w:r w:rsidR="00286350" w:rsidRPr="00791B12">
        <w:rPr>
          <w:rFonts w:asciiTheme="minorHAnsi" w:eastAsiaTheme="minorHAnsi" w:hAnsiTheme="minorHAnsi" w:cstheme="minorHAnsi"/>
        </w:rPr>
        <w:t>rogress reports</w:t>
      </w:r>
      <w:r>
        <w:rPr>
          <w:rFonts w:asciiTheme="minorHAnsi" w:eastAsiaTheme="minorHAnsi" w:hAnsiTheme="minorHAnsi" w:cstheme="minorHAnsi"/>
        </w:rPr>
        <w:t>; and</w:t>
      </w:r>
    </w:p>
    <w:p w14:paraId="4D9C83DD" w14:textId="77777777" w:rsidR="00286350" w:rsidRPr="00F264A0" w:rsidRDefault="004B3B7C" w:rsidP="00411004">
      <w:pPr>
        <w:pStyle w:val="ListBullet"/>
        <w:numPr>
          <w:ilvl w:val="0"/>
          <w:numId w:val="25"/>
        </w:numPr>
        <w:tabs>
          <w:tab w:val="clear" w:pos="170"/>
        </w:tabs>
        <w:spacing w:before="40" w:after="240" w:line="280" w:lineRule="atLeast"/>
        <w:rPr>
          <w:rFonts w:cstheme="minorHAnsi"/>
          <w:lang w:val="en-GB"/>
        </w:rPr>
      </w:pPr>
      <w:r>
        <w:rPr>
          <w:rFonts w:asciiTheme="minorHAnsi" w:eastAsiaTheme="minorHAnsi" w:hAnsiTheme="minorHAnsi" w:cstheme="minorHAnsi"/>
        </w:rPr>
        <w:t>f</w:t>
      </w:r>
      <w:r w:rsidR="00286350" w:rsidRPr="00791B12">
        <w:rPr>
          <w:rFonts w:asciiTheme="minorHAnsi" w:eastAsiaTheme="minorHAnsi" w:hAnsiTheme="minorHAnsi" w:cstheme="minorHAnsi"/>
        </w:rPr>
        <w:t>inal report</w:t>
      </w:r>
      <w:r w:rsidR="00EF1251" w:rsidRPr="00791B12">
        <w:rPr>
          <w:rFonts w:asciiTheme="minorHAnsi" w:eastAsiaTheme="minorHAnsi" w:hAnsiTheme="minorHAnsi" w:cstheme="minorHAnsi"/>
        </w:rPr>
        <w:t>.</w:t>
      </w:r>
    </w:p>
    <w:p w14:paraId="087B877C" w14:textId="05726E99" w:rsidR="00EF1251" w:rsidRPr="00DB3782" w:rsidRDefault="00EF1251" w:rsidP="00DB3782">
      <w:pPr>
        <w:spacing w:after="240"/>
      </w:pPr>
      <w:r w:rsidRPr="00AC4022">
        <w:rPr>
          <w:rFonts w:cstheme="minorHAnsi"/>
          <w:lang w:val="en-GB"/>
        </w:rPr>
        <w:t xml:space="preserve">The amount of detail </w:t>
      </w:r>
      <w:r w:rsidR="00236A27">
        <w:rPr>
          <w:rFonts w:cstheme="minorHAnsi"/>
          <w:lang w:val="en-GB"/>
        </w:rPr>
        <w:t xml:space="preserve">the AMH </w:t>
      </w:r>
      <w:r w:rsidR="00A43036">
        <w:rPr>
          <w:rFonts w:cstheme="minorHAnsi"/>
          <w:lang w:val="en-GB"/>
        </w:rPr>
        <w:t xml:space="preserve">pilot </w:t>
      </w:r>
      <w:r w:rsidR="00236A27">
        <w:rPr>
          <w:rFonts w:cstheme="minorHAnsi"/>
          <w:lang w:val="en-GB"/>
        </w:rPr>
        <w:t xml:space="preserve">provider </w:t>
      </w:r>
      <w:r w:rsidRPr="00AC4022">
        <w:rPr>
          <w:rFonts w:cstheme="minorHAnsi"/>
          <w:lang w:val="en-GB"/>
        </w:rPr>
        <w:t xml:space="preserve">reports should be relative to the size and complexity of the grant and the grant amount. </w:t>
      </w:r>
      <w:r w:rsidR="00236A27">
        <w:t>AMH</w:t>
      </w:r>
      <w:r w:rsidR="004B3B7C">
        <w:t xml:space="preserve"> </w:t>
      </w:r>
      <w:r w:rsidR="00A43036">
        <w:t xml:space="preserve">pilot </w:t>
      </w:r>
      <w:r w:rsidR="004B3B7C">
        <w:t>p</w:t>
      </w:r>
      <w:r w:rsidR="004B3B7C" w:rsidRPr="00E826DA">
        <w:t xml:space="preserve">roviders must inform their </w:t>
      </w:r>
      <w:r w:rsidR="00EC7088">
        <w:t>FAM</w:t>
      </w:r>
      <w:r w:rsidR="004B3B7C">
        <w:t xml:space="preserve"> of any reporting delays as soon as they become aware of them.</w:t>
      </w:r>
    </w:p>
    <w:p w14:paraId="06095D7E" w14:textId="2AA15FB5" w:rsidR="00EF1251" w:rsidRPr="00AC4022" w:rsidRDefault="00236A27" w:rsidP="00EF1251">
      <w:pPr>
        <w:spacing w:before="4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</w:t>
      </w:r>
      <w:r w:rsidR="00B8500A">
        <w:rPr>
          <w:rFonts w:cstheme="minorHAnsi"/>
          <w:lang w:val="en-GB"/>
        </w:rPr>
        <w:t>Department</w:t>
      </w:r>
      <w:r w:rsidRPr="00AC4022">
        <w:rPr>
          <w:rFonts w:cstheme="minorHAnsi"/>
          <w:lang w:val="en-GB"/>
        </w:rPr>
        <w:t xml:space="preserve"> </w:t>
      </w:r>
      <w:r w:rsidR="00EF1251" w:rsidRPr="00AC4022">
        <w:rPr>
          <w:rFonts w:cstheme="minorHAnsi"/>
          <w:lang w:val="en-GB"/>
        </w:rPr>
        <w:t>will monitor progress by assessing reports submit</w:t>
      </w:r>
      <w:r>
        <w:rPr>
          <w:rFonts w:cstheme="minorHAnsi"/>
          <w:lang w:val="en-GB"/>
        </w:rPr>
        <w:t xml:space="preserve">ted by AMH </w:t>
      </w:r>
      <w:r w:rsidR="00A43036">
        <w:rPr>
          <w:rFonts w:cstheme="minorHAnsi"/>
          <w:lang w:val="en-GB"/>
        </w:rPr>
        <w:t xml:space="preserve">pilot </w:t>
      </w:r>
      <w:r>
        <w:rPr>
          <w:rFonts w:cstheme="minorHAnsi"/>
          <w:lang w:val="en-GB"/>
        </w:rPr>
        <w:t>providers</w:t>
      </w:r>
      <w:r w:rsidR="00EF1251" w:rsidRPr="00AC4022">
        <w:rPr>
          <w:rFonts w:cstheme="minorHAnsi"/>
          <w:lang w:val="en-GB"/>
        </w:rPr>
        <w:t xml:space="preserve"> and may request records to confirm details of </w:t>
      </w:r>
      <w:r w:rsidR="00DB3782">
        <w:rPr>
          <w:rFonts w:cstheme="minorHAnsi"/>
          <w:lang w:val="en-GB"/>
        </w:rPr>
        <w:t>the</w:t>
      </w:r>
      <w:r w:rsidR="00DB3782" w:rsidRPr="00AC4022">
        <w:rPr>
          <w:rFonts w:cstheme="minorHAnsi"/>
          <w:lang w:val="en-GB"/>
        </w:rPr>
        <w:t xml:space="preserve"> </w:t>
      </w:r>
      <w:r w:rsidR="00EF1251" w:rsidRPr="00AC4022">
        <w:rPr>
          <w:rFonts w:cstheme="minorHAnsi"/>
          <w:lang w:val="en-GB"/>
        </w:rPr>
        <w:t xml:space="preserve">reports if necessary. Occasionally </w:t>
      </w:r>
      <w:r w:rsidR="00A266AC">
        <w:rPr>
          <w:rFonts w:cstheme="minorHAnsi"/>
          <w:lang w:val="en-GB"/>
        </w:rPr>
        <w:t xml:space="preserve">the </w:t>
      </w:r>
      <w:r w:rsidR="00B8500A">
        <w:rPr>
          <w:rFonts w:cstheme="minorHAnsi"/>
          <w:lang w:val="en-GB"/>
        </w:rPr>
        <w:t>Department</w:t>
      </w:r>
      <w:r w:rsidR="00A266AC">
        <w:rPr>
          <w:rFonts w:cstheme="minorHAnsi"/>
          <w:lang w:val="en-GB"/>
        </w:rPr>
        <w:t xml:space="preserve"> </w:t>
      </w:r>
      <w:r w:rsidR="00EF1251" w:rsidRPr="00AC4022">
        <w:rPr>
          <w:rFonts w:cstheme="minorHAnsi"/>
          <w:lang w:val="en-GB"/>
        </w:rPr>
        <w:t xml:space="preserve">may need to re-examine claims, ask for more information or request an independent audit of claims and payments. </w:t>
      </w:r>
    </w:p>
    <w:p w14:paraId="30545C27" w14:textId="43FFC63A" w:rsidR="00EF1251" w:rsidRPr="004D368F" w:rsidRDefault="00EF1251" w:rsidP="003934A8">
      <w:pPr>
        <w:pStyle w:val="Heading3"/>
      </w:pPr>
      <w:bookmarkStart w:id="226" w:name="_Toc207282709"/>
      <w:r w:rsidRPr="004D368F">
        <w:lastRenderedPageBreak/>
        <w:t>Activity Work Plan</w:t>
      </w:r>
      <w:bookmarkEnd w:id="226"/>
    </w:p>
    <w:p w14:paraId="2F60128B" w14:textId="37874DE3" w:rsidR="00EF1251" w:rsidRPr="00AC4022" w:rsidRDefault="00286350" w:rsidP="00EF1251">
      <w:pPr>
        <w:spacing w:before="40"/>
        <w:rPr>
          <w:rFonts w:cstheme="minorHAnsi"/>
          <w:lang w:val="en-GB"/>
        </w:rPr>
      </w:pPr>
      <w:bookmarkStart w:id="227" w:name="_Toc468693655"/>
      <w:bookmarkStart w:id="228" w:name="_Toc509838910"/>
      <w:r>
        <w:rPr>
          <w:rFonts w:cstheme="minorHAnsi"/>
          <w:lang w:val="en-GB"/>
        </w:rPr>
        <w:t xml:space="preserve">AMH </w:t>
      </w:r>
      <w:r w:rsidR="00A43036">
        <w:rPr>
          <w:rFonts w:cstheme="minorHAnsi"/>
          <w:lang w:val="en-GB"/>
        </w:rPr>
        <w:t xml:space="preserve">pilot </w:t>
      </w:r>
      <w:r>
        <w:rPr>
          <w:rFonts w:cstheme="minorHAnsi"/>
          <w:lang w:val="en-GB"/>
        </w:rPr>
        <w:t xml:space="preserve">providers </w:t>
      </w:r>
      <w:r w:rsidR="00EF1251" w:rsidRPr="00AC4022">
        <w:rPr>
          <w:rFonts w:cstheme="minorHAnsi"/>
          <w:lang w:val="en-GB"/>
        </w:rPr>
        <w:t xml:space="preserve">will be required to work with the </w:t>
      </w:r>
      <w:r w:rsidR="00B8500A">
        <w:rPr>
          <w:rFonts w:cstheme="minorHAnsi"/>
          <w:lang w:val="en-GB"/>
        </w:rPr>
        <w:t>Department</w:t>
      </w:r>
      <w:r w:rsidR="00EF1251" w:rsidRPr="00AC4022">
        <w:rPr>
          <w:rFonts w:cstheme="minorHAnsi"/>
          <w:lang w:val="en-GB"/>
        </w:rPr>
        <w:t xml:space="preserve"> to complete an Activity Work Plan on the template provided by </w:t>
      </w:r>
      <w:r w:rsidR="00A266AC">
        <w:rPr>
          <w:rFonts w:cstheme="minorHAnsi"/>
          <w:lang w:val="en-GB"/>
        </w:rPr>
        <w:t xml:space="preserve">the </w:t>
      </w:r>
      <w:r w:rsidR="00B8500A">
        <w:rPr>
          <w:rFonts w:cstheme="minorHAnsi"/>
          <w:lang w:val="en-GB"/>
        </w:rPr>
        <w:t>Department</w:t>
      </w:r>
      <w:r w:rsidR="00EF1251" w:rsidRPr="00AC4022">
        <w:rPr>
          <w:rFonts w:cstheme="minorHAnsi"/>
          <w:lang w:val="en-GB"/>
        </w:rPr>
        <w:t xml:space="preserve">. An Activity Work Plan will be used to outline the specific grant requirements. The Activity Work Plan </w:t>
      </w:r>
      <w:r w:rsidR="00D45F02" w:rsidRPr="00AC4022">
        <w:rPr>
          <w:rFonts w:cstheme="minorHAnsi"/>
          <w:lang w:val="en-GB"/>
        </w:rPr>
        <w:t>will document</w:t>
      </w:r>
      <w:r w:rsidR="00EF1251" w:rsidRPr="00AC4022">
        <w:rPr>
          <w:rFonts w:cstheme="minorHAnsi"/>
          <w:lang w:val="en-GB"/>
        </w:rPr>
        <w:t xml:space="preserve"> planned deliverables, milestones and outputs for the funded project as well as risk management and community engagement relevant to the funded project.</w:t>
      </w:r>
    </w:p>
    <w:p w14:paraId="13B43830" w14:textId="77777777" w:rsidR="00EF1251" w:rsidRPr="00AC4022" w:rsidRDefault="00286350" w:rsidP="00EF1251">
      <w:pPr>
        <w:spacing w:before="40"/>
        <w:rPr>
          <w:rFonts w:cstheme="minorHAnsi"/>
          <w:lang w:val="en-GB"/>
        </w:rPr>
      </w:pPr>
      <w:r>
        <w:rPr>
          <w:rFonts w:cstheme="minorHAnsi"/>
          <w:lang w:val="en-GB"/>
        </w:rPr>
        <w:t>P</w:t>
      </w:r>
      <w:r w:rsidR="00BD0560" w:rsidRPr="00AC4022">
        <w:rPr>
          <w:rFonts w:cstheme="minorHAnsi"/>
          <w:lang w:val="en-GB"/>
        </w:rPr>
        <w:t xml:space="preserve">rogress of outcomes will be monitored </w:t>
      </w:r>
      <w:r w:rsidR="00EF1251" w:rsidRPr="00AC4022">
        <w:rPr>
          <w:rFonts w:cstheme="minorHAnsi"/>
          <w:lang w:val="en-GB"/>
        </w:rPr>
        <w:t xml:space="preserve">against the Activity Work Plan throughout the grant </w:t>
      </w:r>
      <w:r w:rsidR="00BD0560" w:rsidRPr="00AC4022">
        <w:rPr>
          <w:rFonts w:cstheme="minorHAnsi"/>
          <w:lang w:val="en-GB"/>
        </w:rPr>
        <w:t xml:space="preserve">activity </w:t>
      </w:r>
      <w:r w:rsidR="00EF1251" w:rsidRPr="00AC4022">
        <w:rPr>
          <w:rFonts w:cstheme="minorHAnsi"/>
          <w:lang w:val="en-GB"/>
        </w:rPr>
        <w:t xml:space="preserve">through regular reports. </w:t>
      </w:r>
    </w:p>
    <w:p w14:paraId="03DC4D2D" w14:textId="13275EF6" w:rsidR="00EF1251" w:rsidRPr="004D368F" w:rsidRDefault="00EF1251" w:rsidP="003934A8">
      <w:pPr>
        <w:pStyle w:val="Heading3"/>
      </w:pPr>
      <w:bookmarkStart w:id="229" w:name="_Toc207282710"/>
      <w:r w:rsidRPr="004D368F">
        <w:t>Progress reports</w:t>
      </w:r>
      <w:bookmarkEnd w:id="227"/>
      <w:bookmarkEnd w:id="229"/>
      <w:r w:rsidRPr="004D368F">
        <w:t xml:space="preserve"> </w:t>
      </w:r>
      <w:bookmarkEnd w:id="228"/>
    </w:p>
    <w:p w14:paraId="3589729E" w14:textId="77777777" w:rsidR="00EF1251" w:rsidRPr="00AC4022" w:rsidRDefault="00EF1251" w:rsidP="00EF1251">
      <w:pPr>
        <w:spacing w:before="40"/>
        <w:rPr>
          <w:rFonts w:cstheme="minorHAnsi"/>
          <w:lang w:val="en-GB"/>
        </w:rPr>
      </w:pPr>
      <w:r w:rsidRPr="00AC4022">
        <w:rPr>
          <w:rFonts w:cstheme="minorHAnsi"/>
          <w:lang w:val="en-GB"/>
        </w:rPr>
        <w:t>Progress reports must:</w:t>
      </w:r>
    </w:p>
    <w:p w14:paraId="74FEE4DF" w14:textId="77777777" w:rsidR="00EF1251" w:rsidRPr="00791B12" w:rsidRDefault="00EF1251" w:rsidP="00411004">
      <w:pPr>
        <w:pStyle w:val="ListBullet"/>
        <w:numPr>
          <w:ilvl w:val="0"/>
          <w:numId w:val="26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791B12">
        <w:rPr>
          <w:rFonts w:asciiTheme="minorHAnsi" w:eastAsiaTheme="minorHAnsi" w:hAnsiTheme="minorHAnsi" w:cstheme="minorHAnsi"/>
        </w:rPr>
        <w:t>include evidence of progress toward completion of agreed activities and outcomes</w:t>
      </w:r>
    </w:p>
    <w:p w14:paraId="719F382B" w14:textId="77777777" w:rsidR="00EF1251" w:rsidRPr="00791B12" w:rsidRDefault="00EF1251" w:rsidP="00411004">
      <w:pPr>
        <w:pStyle w:val="ListBullet"/>
        <w:numPr>
          <w:ilvl w:val="0"/>
          <w:numId w:val="26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791B12">
        <w:rPr>
          <w:rFonts w:asciiTheme="minorHAnsi" w:eastAsiaTheme="minorHAnsi" w:hAnsiTheme="minorHAnsi" w:cstheme="minorHAnsi"/>
        </w:rPr>
        <w:t>show the total eligible expenditure incurred to date</w:t>
      </w:r>
      <w:r w:rsidR="004B3B7C">
        <w:rPr>
          <w:rFonts w:asciiTheme="minorHAnsi" w:eastAsiaTheme="minorHAnsi" w:hAnsiTheme="minorHAnsi" w:cstheme="minorHAnsi"/>
        </w:rPr>
        <w:t>; and</w:t>
      </w:r>
    </w:p>
    <w:p w14:paraId="043ABEE3" w14:textId="77777777" w:rsidR="00EF1251" w:rsidRPr="00791B12" w:rsidRDefault="00EF1251" w:rsidP="00411004">
      <w:pPr>
        <w:pStyle w:val="ListBullet"/>
        <w:numPr>
          <w:ilvl w:val="0"/>
          <w:numId w:val="26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791B12">
        <w:rPr>
          <w:rFonts w:asciiTheme="minorHAnsi" w:eastAsiaTheme="minorHAnsi" w:hAnsiTheme="minorHAnsi" w:cstheme="minorHAnsi"/>
        </w:rPr>
        <w:t xml:space="preserve">be submitted by the report due date (reports </w:t>
      </w:r>
      <w:r w:rsidR="00DB3782">
        <w:rPr>
          <w:rFonts w:asciiTheme="minorHAnsi" w:eastAsiaTheme="minorHAnsi" w:hAnsiTheme="minorHAnsi" w:cstheme="minorHAnsi"/>
        </w:rPr>
        <w:t xml:space="preserve">can be submitted </w:t>
      </w:r>
      <w:r w:rsidRPr="00791B12">
        <w:rPr>
          <w:rFonts w:asciiTheme="minorHAnsi" w:eastAsiaTheme="minorHAnsi" w:hAnsiTheme="minorHAnsi" w:cstheme="minorHAnsi"/>
        </w:rPr>
        <w:t>ahead of time if relevant activities</w:t>
      </w:r>
      <w:r w:rsidR="00DB3782">
        <w:rPr>
          <w:rFonts w:asciiTheme="minorHAnsi" w:eastAsiaTheme="minorHAnsi" w:hAnsiTheme="minorHAnsi" w:cstheme="minorHAnsi"/>
        </w:rPr>
        <w:t xml:space="preserve"> have been completed</w:t>
      </w:r>
      <w:r w:rsidRPr="00791B12">
        <w:rPr>
          <w:rFonts w:asciiTheme="minorHAnsi" w:eastAsiaTheme="minorHAnsi" w:hAnsiTheme="minorHAnsi" w:cstheme="minorHAnsi"/>
        </w:rPr>
        <w:t>).</w:t>
      </w:r>
    </w:p>
    <w:p w14:paraId="5CB9C847" w14:textId="7235BCCA" w:rsidR="00EF1251" w:rsidRPr="00AC4022" w:rsidRDefault="00DB3782" w:rsidP="00AC4022">
      <w:pPr>
        <w:spacing w:before="4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</w:t>
      </w:r>
      <w:r w:rsidR="00B8500A">
        <w:rPr>
          <w:rFonts w:cstheme="minorHAnsi"/>
          <w:lang w:val="en-GB"/>
        </w:rPr>
        <w:t>Department</w:t>
      </w:r>
      <w:r w:rsidRPr="00AC4022">
        <w:rPr>
          <w:rFonts w:cstheme="minorHAnsi"/>
          <w:lang w:val="en-GB"/>
        </w:rPr>
        <w:t xml:space="preserve"> </w:t>
      </w:r>
      <w:r w:rsidR="00EF1251" w:rsidRPr="00AC4022">
        <w:rPr>
          <w:rFonts w:cstheme="minorHAnsi"/>
          <w:lang w:val="en-GB"/>
        </w:rPr>
        <w:t>will only make grant payments when satisfactory progress reports</w:t>
      </w:r>
      <w:r>
        <w:rPr>
          <w:rFonts w:cstheme="minorHAnsi"/>
          <w:lang w:val="en-GB"/>
        </w:rPr>
        <w:t xml:space="preserve"> have been received</w:t>
      </w:r>
      <w:r w:rsidR="00EF1251" w:rsidRPr="00AC4022">
        <w:rPr>
          <w:rFonts w:cstheme="minorHAnsi"/>
          <w:lang w:val="en-GB"/>
        </w:rPr>
        <w:t>.</w:t>
      </w:r>
      <w:r w:rsidR="00873FD8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 xml:space="preserve">AMH </w:t>
      </w:r>
      <w:r w:rsidR="00A43036">
        <w:rPr>
          <w:rFonts w:cstheme="minorHAnsi"/>
          <w:lang w:val="en-GB"/>
        </w:rPr>
        <w:t xml:space="preserve">pilot </w:t>
      </w:r>
      <w:r>
        <w:rPr>
          <w:rFonts w:cstheme="minorHAnsi"/>
          <w:lang w:val="en-GB"/>
        </w:rPr>
        <w:t>providers</w:t>
      </w:r>
      <w:r w:rsidRPr="00AC4022">
        <w:rPr>
          <w:rFonts w:cstheme="minorHAnsi"/>
          <w:lang w:val="en-GB"/>
        </w:rPr>
        <w:t xml:space="preserve"> </w:t>
      </w:r>
      <w:r w:rsidR="00EF1251" w:rsidRPr="00AC4022">
        <w:rPr>
          <w:rFonts w:cstheme="minorHAnsi"/>
          <w:lang w:val="en-GB"/>
        </w:rPr>
        <w:t xml:space="preserve">must </w:t>
      </w:r>
      <w:r>
        <w:rPr>
          <w:rFonts w:cstheme="minorHAnsi"/>
          <w:lang w:val="en-GB"/>
        </w:rPr>
        <w:t xml:space="preserve">inform the </w:t>
      </w:r>
      <w:r w:rsidR="00B8500A">
        <w:rPr>
          <w:rFonts w:cstheme="minorHAnsi"/>
          <w:lang w:val="en-GB"/>
        </w:rPr>
        <w:t>Department</w:t>
      </w:r>
      <w:r w:rsidR="00EF1251" w:rsidRPr="00AC4022">
        <w:rPr>
          <w:rFonts w:cstheme="minorHAnsi"/>
          <w:lang w:val="en-GB"/>
        </w:rPr>
        <w:t xml:space="preserve"> of any reporting delays as soon as </w:t>
      </w:r>
      <w:r>
        <w:rPr>
          <w:rFonts w:cstheme="minorHAnsi"/>
          <w:lang w:val="en-GB"/>
        </w:rPr>
        <w:t>they are apparent</w:t>
      </w:r>
      <w:r w:rsidR="00AC4022">
        <w:rPr>
          <w:rFonts w:cstheme="minorHAnsi"/>
          <w:lang w:val="en-GB"/>
        </w:rPr>
        <w:t>.</w:t>
      </w:r>
    </w:p>
    <w:p w14:paraId="5E454660" w14:textId="0EEDFCE7" w:rsidR="00A61B9B" w:rsidRPr="00FA0487" w:rsidRDefault="00286350" w:rsidP="00ED5BA8">
      <w:r>
        <w:t>P</w:t>
      </w:r>
      <w:r w:rsidR="00C74275" w:rsidRPr="00E826DA">
        <w:t xml:space="preserve">roviders must inform their </w:t>
      </w:r>
      <w:r w:rsidR="00EC7088">
        <w:t>FAM</w:t>
      </w:r>
      <w:r w:rsidR="00C74275">
        <w:t xml:space="preserve"> of any reporting delays as soon as they </w:t>
      </w:r>
      <w:r w:rsidR="00AD3380">
        <w:t>are apparent</w:t>
      </w:r>
      <w:r w:rsidR="00FA0487">
        <w:t>.</w:t>
      </w:r>
    </w:p>
    <w:p w14:paraId="22A9B103" w14:textId="7350069C" w:rsidR="00ED5BA8" w:rsidRPr="00AC4022" w:rsidRDefault="00ED5BA8" w:rsidP="00ED5BA8">
      <w:pPr>
        <w:rPr>
          <w:rFonts w:eastAsiaTheme="majorEastAsia" w:cstheme="majorBidi"/>
          <w:b/>
          <w:bCs/>
          <w:color w:val="000000" w:themeColor="text1"/>
          <w:szCs w:val="26"/>
        </w:rPr>
      </w:pPr>
      <w:r w:rsidRPr="00AC4022">
        <w:rPr>
          <w:rFonts w:eastAsiaTheme="majorEastAsia" w:cstheme="majorBidi"/>
          <w:b/>
          <w:bCs/>
          <w:color w:val="000000" w:themeColor="text1"/>
          <w:szCs w:val="26"/>
        </w:rPr>
        <w:t>Final report</w:t>
      </w:r>
    </w:p>
    <w:p w14:paraId="62F8754A" w14:textId="77777777" w:rsidR="00ED5BA8" w:rsidRPr="00AC4022" w:rsidRDefault="00ED5BA8" w:rsidP="00ED5BA8">
      <w:pPr>
        <w:spacing w:before="40"/>
      </w:pPr>
      <w:r w:rsidRPr="00AC4022">
        <w:t xml:space="preserve">When the </w:t>
      </w:r>
      <w:r w:rsidR="00873FD8">
        <w:t>activity</w:t>
      </w:r>
      <w:r w:rsidR="00AD3380">
        <w:t xml:space="preserve"> is complete</w:t>
      </w:r>
      <w:r w:rsidRPr="00AC4022">
        <w:t>, a final report</w:t>
      </w:r>
      <w:r w:rsidR="00AD3380">
        <w:t xml:space="preserve"> must be submitted</w:t>
      </w:r>
      <w:r w:rsidRPr="00AC4022">
        <w:t>.</w:t>
      </w:r>
    </w:p>
    <w:p w14:paraId="70B8705F" w14:textId="77777777" w:rsidR="00ED5BA8" w:rsidRPr="00AC4022" w:rsidRDefault="00ED5BA8" w:rsidP="00ED5BA8">
      <w:pPr>
        <w:spacing w:before="40"/>
      </w:pPr>
      <w:r w:rsidRPr="00AC4022">
        <w:t>The final report must:</w:t>
      </w:r>
    </w:p>
    <w:p w14:paraId="6EBBDA34" w14:textId="77777777" w:rsidR="00ED5BA8" w:rsidRPr="00791B12" w:rsidRDefault="00ED5BA8" w:rsidP="00411004">
      <w:pPr>
        <w:pStyle w:val="ListBullet"/>
        <w:numPr>
          <w:ilvl w:val="0"/>
          <w:numId w:val="27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791B12">
        <w:rPr>
          <w:rFonts w:asciiTheme="minorHAnsi" w:eastAsiaTheme="minorHAnsi" w:hAnsiTheme="minorHAnsi" w:cstheme="minorHAnsi"/>
        </w:rPr>
        <w:t>identify if and how outcomes have been achieved</w:t>
      </w:r>
    </w:p>
    <w:p w14:paraId="37AEFA19" w14:textId="77777777" w:rsidR="00ED5BA8" w:rsidRPr="00791B12" w:rsidRDefault="00ED5BA8" w:rsidP="00411004">
      <w:pPr>
        <w:pStyle w:val="ListBullet"/>
        <w:numPr>
          <w:ilvl w:val="0"/>
          <w:numId w:val="27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791B12">
        <w:rPr>
          <w:rFonts w:asciiTheme="minorHAnsi" w:eastAsiaTheme="minorHAnsi" w:hAnsiTheme="minorHAnsi" w:cstheme="minorHAnsi"/>
        </w:rPr>
        <w:t xml:space="preserve">include the agreed evidence as specified in the </w:t>
      </w:r>
      <w:r w:rsidR="005D0C64">
        <w:rPr>
          <w:rFonts w:asciiTheme="minorHAnsi" w:eastAsiaTheme="minorHAnsi" w:hAnsiTheme="minorHAnsi" w:cstheme="minorHAnsi"/>
        </w:rPr>
        <w:t>G</w:t>
      </w:r>
      <w:r w:rsidRPr="00791B12">
        <w:rPr>
          <w:rFonts w:asciiTheme="minorHAnsi" w:eastAsiaTheme="minorHAnsi" w:hAnsiTheme="minorHAnsi" w:cstheme="minorHAnsi"/>
        </w:rPr>
        <w:t xml:space="preserve">rant </w:t>
      </w:r>
      <w:r w:rsidR="005D0C64">
        <w:rPr>
          <w:rFonts w:asciiTheme="minorHAnsi" w:eastAsiaTheme="minorHAnsi" w:hAnsiTheme="minorHAnsi" w:cstheme="minorHAnsi"/>
        </w:rPr>
        <w:t>A</w:t>
      </w:r>
      <w:r w:rsidRPr="00791B12">
        <w:rPr>
          <w:rFonts w:asciiTheme="minorHAnsi" w:eastAsiaTheme="minorHAnsi" w:hAnsiTheme="minorHAnsi" w:cstheme="minorHAnsi"/>
        </w:rPr>
        <w:t>greement</w:t>
      </w:r>
    </w:p>
    <w:p w14:paraId="4EBD58A3" w14:textId="77777777" w:rsidR="00ED5BA8" w:rsidRPr="00791B12" w:rsidRDefault="00ED5BA8" w:rsidP="00411004">
      <w:pPr>
        <w:pStyle w:val="ListBullet"/>
        <w:numPr>
          <w:ilvl w:val="0"/>
          <w:numId w:val="27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791B12">
        <w:rPr>
          <w:rFonts w:asciiTheme="minorHAnsi" w:eastAsiaTheme="minorHAnsi" w:hAnsiTheme="minorHAnsi" w:cstheme="minorHAnsi"/>
        </w:rPr>
        <w:t>identify the total eligible expenditure incurred</w:t>
      </w:r>
      <w:r w:rsidR="004B3B7C">
        <w:rPr>
          <w:rFonts w:asciiTheme="minorHAnsi" w:eastAsiaTheme="minorHAnsi" w:hAnsiTheme="minorHAnsi" w:cstheme="minorHAnsi"/>
        </w:rPr>
        <w:t>; and</w:t>
      </w:r>
    </w:p>
    <w:p w14:paraId="50FE50F6" w14:textId="77777777" w:rsidR="00207729" w:rsidRPr="00AC062B" w:rsidRDefault="00ED5BA8" w:rsidP="00411004">
      <w:pPr>
        <w:pStyle w:val="ListBullet"/>
        <w:numPr>
          <w:ilvl w:val="0"/>
          <w:numId w:val="27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791B12">
        <w:rPr>
          <w:rFonts w:asciiTheme="minorHAnsi" w:eastAsiaTheme="minorHAnsi" w:hAnsiTheme="minorHAnsi" w:cstheme="minorHAnsi"/>
        </w:rPr>
        <w:t xml:space="preserve">be submitted by the due date and in the format provided in the </w:t>
      </w:r>
      <w:r w:rsidR="005D0C64">
        <w:rPr>
          <w:rFonts w:asciiTheme="minorHAnsi" w:eastAsiaTheme="minorHAnsi" w:hAnsiTheme="minorHAnsi" w:cstheme="minorHAnsi"/>
        </w:rPr>
        <w:t>G</w:t>
      </w:r>
      <w:r w:rsidRPr="00791B12">
        <w:rPr>
          <w:rFonts w:asciiTheme="minorHAnsi" w:eastAsiaTheme="minorHAnsi" w:hAnsiTheme="minorHAnsi" w:cstheme="minorHAnsi"/>
        </w:rPr>
        <w:t xml:space="preserve">rant </w:t>
      </w:r>
      <w:r w:rsidR="005D0C64">
        <w:rPr>
          <w:rFonts w:asciiTheme="minorHAnsi" w:eastAsiaTheme="minorHAnsi" w:hAnsiTheme="minorHAnsi" w:cstheme="minorHAnsi"/>
        </w:rPr>
        <w:t>A</w:t>
      </w:r>
      <w:r w:rsidRPr="00791B12">
        <w:rPr>
          <w:rFonts w:asciiTheme="minorHAnsi" w:eastAsiaTheme="minorHAnsi" w:hAnsiTheme="minorHAnsi" w:cstheme="minorHAnsi"/>
        </w:rPr>
        <w:t>greement.</w:t>
      </w:r>
    </w:p>
    <w:p w14:paraId="4774CED9" w14:textId="0EA2B889" w:rsidR="00C74275" w:rsidRPr="00EE3257" w:rsidRDefault="00FA2049" w:rsidP="003A7D25">
      <w:pPr>
        <w:pStyle w:val="Heading2"/>
        <w:numPr>
          <w:ilvl w:val="1"/>
          <w:numId w:val="62"/>
        </w:numPr>
        <w:spacing w:before="360"/>
        <w:ind w:left="357" w:hanging="357"/>
      </w:pPr>
      <w:r>
        <w:t xml:space="preserve">  </w:t>
      </w:r>
      <w:bookmarkStart w:id="230" w:name="_Toc207282711"/>
      <w:r w:rsidR="00C74275" w:rsidRPr="00EE3257">
        <w:t>Data Exchange</w:t>
      </w:r>
      <w:r w:rsidR="004F62A3">
        <w:t xml:space="preserve"> </w:t>
      </w:r>
      <w:r w:rsidR="00C74275" w:rsidRPr="00EE3257">
        <w:t>reporting</w:t>
      </w:r>
      <w:bookmarkEnd w:id="230"/>
    </w:p>
    <w:p w14:paraId="673040BC" w14:textId="7F7F397F" w:rsidR="00AC062B" w:rsidRDefault="00EF1251" w:rsidP="003D7ED5">
      <w:r>
        <w:t xml:space="preserve">AMH </w:t>
      </w:r>
      <w:r w:rsidR="00A43036">
        <w:t xml:space="preserve">pilot </w:t>
      </w:r>
      <w:r w:rsidR="00934012" w:rsidRPr="00C00BE3">
        <w:t>providers are expected to use</w:t>
      </w:r>
      <w:r>
        <w:t xml:space="preserve"> DEX</w:t>
      </w:r>
      <w:r w:rsidR="00934012" w:rsidRPr="00C00BE3">
        <w:t xml:space="preserve"> </w:t>
      </w:r>
      <w:r>
        <w:t xml:space="preserve">to </w:t>
      </w:r>
      <w:r w:rsidR="00934012" w:rsidRPr="00C00BE3">
        <w:t xml:space="preserve">collect participant </w:t>
      </w:r>
      <w:r w:rsidR="00FD5A9D">
        <w:t>data</w:t>
      </w:r>
      <w:r w:rsidR="00BE7ECB">
        <w:t xml:space="preserve"> in line with the reporting requirements in the </w:t>
      </w:r>
      <w:r w:rsidR="0008657D">
        <w:t>Grant</w:t>
      </w:r>
      <w:r w:rsidR="00BE7ECB">
        <w:t xml:space="preserve"> Agreement, Activity Work Plan, DEX Protocols and </w:t>
      </w:r>
      <w:r w:rsidR="00207729">
        <w:t xml:space="preserve">AMH pilot </w:t>
      </w:r>
      <w:r w:rsidR="0008657D">
        <w:t>Program Specific Guidance</w:t>
      </w:r>
      <w:r w:rsidR="00934012" w:rsidRPr="00C00BE3">
        <w:t xml:space="preserve">. </w:t>
      </w:r>
    </w:p>
    <w:p w14:paraId="41304756" w14:textId="033C38E0" w:rsidR="00C74275" w:rsidRDefault="00C00BE3" w:rsidP="003D7ED5">
      <w:r w:rsidRPr="004F62A3">
        <w:t xml:space="preserve">By entering the required data into </w:t>
      </w:r>
      <w:r w:rsidR="00EF1251">
        <w:t>DEX</w:t>
      </w:r>
      <w:r w:rsidR="00FD5A9D">
        <w:t xml:space="preserve">, </w:t>
      </w:r>
      <w:r w:rsidR="00873FD8">
        <w:t xml:space="preserve">AMH </w:t>
      </w:r>
      <w:r w:rsidR="00A43036">
        <w:t xml:space="preserve">pilot </w:t>
      </w:r>
      <w:r w:rsidRPr="004F62A3">
        <w:t xml:space="preserve">providers will be meeting their reporting obligations under the agreement. </w:t>
      </w:r>
      <w:r w:rsidR="00F36FDF">
        <w:t>DEX</w:t>
      </w:r>
      <w:r w:rsidR="00C74275">
        <w:t xml:space="preserve"> Protocols </w:t>
      </w:r>
      <w:r w:rsidR="00F36FDF">
        <w:t xml:space="preserve">are </w:t>
      </w:r>
      <w:r w:rsidR="00C74275">
        <w:t xml:space="preserve">available at </w:t>
      </w:r>
      <w:r w:rsidR="00C74275" w:rsidRPr="007B53AC">
        <w:rPr>
          <w:b/>
        </w:rPr>
        <w:t>dex.dss.gov.au</w:t>
      </w:r>
      <w:r w:rsidR="00C74275">
        <w:t>.</w:t>
      </w:r>
    </w:p>
    <w:p w14:paraId="742D7C51" w14:textId="315E5E53" w:rsidR="00721276" w:rsidRPr="00AC4022" w:rsidRDefault="00FA2049" w:rsidP="003934A8">
      <w:pPr>
        <w:pStyle w:val="Heading3"/>
      </w:pPr>
      <w:bookmarkStart w:id="231" w:name="_Toc207282712"/>
      <w:r>
        <w:t xml:space="preserve">6.1.1 </w:t>
      </w:r>
      <w:r w:rsidR="00721276" w:rsidRPr="00AC4022">
        <w:t>Partnership Approach</w:t>
      </w:r>
      <w:bookmarkEnd w:id="231"/>
    </w:p>
    <w:p w14:paraId="1007139C" w14:textId="7BBBAF3D" w:rsidR="00430ECD" w:rsidRPr="004353AA" w:rsidRDefault="00430ECD" w:rsidP="004353AA">
      <w:pPr>
        <w:spacing w:line="240" w:lineRule="auto"/>
        <w:rPr>
          <w:spacing w:val="0"/>
        </w:rPr>
      </w:pPr>
      <w:r w:rsidRPr="004353AA">
        <w:rPr>
          <w:spacing w:val="0"/>
        </w:rPr>
        <w:t xml:space="preserve">Participation in the ‘partnership approach’ under </w:t>
      </w:r>
      <w:r w:rsidR="00F36FDF">
        <w:rPr>
          <w:spacing w:val="0"/>
        </w:rPr>
        <w:t>DEX</w:t>
      </w:r>
      <w:r w:rsidRPr="004353AA">
        <w:rPr>
          <w:spacing w:val="0"/>
        </w:rPr>
        <w:t xml:space="preserve"> is a requirement of funding. By participating, </w:t>
      </w:r>
      <w:r w:rsidR="00996122">
        <w:rPr>
          <w:spacing w:val="0"/>
        </w:rPr>
        <w:t>AMH</w:t>
      </w:r>
      <w:r w:rsidR="00996122" w:rsidRPr="004353AA">
        <w:rPr>
          <w:spacing w:val="0"/>
        </w:rPr>
        <w:t xml:space="preserve"> </w:t>
      </w:r>
      <w:r w:rsidR="001D50A4">
        <w:rPr>
          <w:spacing w:val="0"/>
        </w:rPr>
        <w:t xml:space="preserve">pilot </w:t>
      </w:r>
      <w:r w:rsidRPr="004353AA">
        <w:rPr>
          <w:spacing w:val="0"/>
        </w:rPr>
        <w:t>providers agree to provide some additional information in exchange for the receipt of regular and relevant reports.</w:t>
      </w:r>
    </w:p>
    <w:p w14:paraId="7A87F59A" w14:textId="6CA26043" w:rsidR="006434D1" w:rsidRDefault="00044247" w:rsidP="006434D1">
      <w:r>
        <w:t>Providers</w:t>
      </w:r>
      <w:r w:rsidR="006434D1" w:rsidRPr="00F82F29">
        <w:t xml:space="preserve"> </w:t>
      </w:r>
      <w:r w:rsidR="00F36FDF">
        <w:t>must</w:t>
      </w:r>
      <w:r w:rsidR="006434D1" w:rsidRPr="00F82F29">
        <w:t xml:space="preserve"> collect the Standard Client/Community Outcome Reporting (SCORE) information for as many participants as </w:t>
      </w:r>
      <w:r w:rsidR="006434D1" w:rsidRPr="00B4643B">
        <w:t>practical</w:t>
      </w:r>
      <w:r w:rsidR="00F36FDF">
        <w:t xml:space="preserve"> </w:t>
      </w:r>
      <w:r w:rsidR="00F36FDF" w:rsidRPr="00B13919">
        <w:t>(</w:t>
      </w:r>
      <w:r w:rsidR="00A2782B">
        <w:t>95-100</w:t>
      </w:r>
      <w:r w:rsidR="00F36FDF" w:rsidRPr="00B13919">
        <w:t>%)</w:t>
      </w:r>
      <w:r w:rsidR="006434D1" w:rsidRPr="00B13919">
        <w:t>,</w:t>
      </w:r>
      <w:r w:rsidR="006434D1" w:rsidRPr="00B4643B">
        <w:t xml:space="preserve"> </w:t>
      </w:r>
      <w:r w:rsidR="006434D1" w:rsidRPr="004353AA">
        <w:t>noting that providers must take into consideration the vulnerability of participants when gathering the information used for SCORE, including whether gathering the information will cause harm to the participant.</w:t>
      </w:r>
    </w:p>
    <w:p w14:paraId="4CE5FC0C" w14:textId="2795F1EB" w:rsidR="006434D1" w:rsidRDefault="006434D1" w:rsidP="006434D1">
      <w:r w:rsidRPr="005B05C0">
        <w:lastRenderedPageBreak/>
        <w:t xml:space="preserve">The priority for gathering the data is to get an accurate reflection of where the </w:t>
      </w:r>
      <w:r w:rsidR="007E187B">
        <w:t>participant</w:t>
      </w:r>
      <w:r w:rsidR="007E187B" w:rsidRPr="005B05C0">
        <w:t xml:space="preserve"> </w:t>
      </w:r>
      <w:r w:rsidRPr="005B05C0">
        <w:t>is at, which may include a negative or no progress outcome. Due to the nature of mental illness and</w:t>
      </w:r>
      <w:r w:rsidR="00965A06">
        <w:t> </w:t>
      </w:r>
      <w:r w:rsidRPr="005B05C0">
        <w:t xml:space="preserve">the journey of individuals, the </w:t>
      </w:r>
      <w:r w:rsidR="00B8500A">
        <w:t>Department</w:t>
      </w:r>
      <w:r w:rsidRPr="005B05C0">
        <w:t xml:space="preserve"> recognises that this does not necessarily mean failure of the services.</w:t>
      </w:r>
      <w:r>
        <w:t xml:space="preserve"> </w:t>
      </w:r>
    </w:p>
    <w:p w14:paraId="2E032FCD" w14:textId="13254B5D" w:rsidR="006434D1" w:rsidRDefault="00F36FDF" w:rsidP="003207B3">
      <w:r>
        <w:t>DEX</w:t>
      </w:r>
      <w:r w:rsidR="003207B3">
        <w:t xml:space="preserve"> has </w:t>
      </w:r>
      <w:r w:rsidR="00AE55B2">
        <w:t>2</w:t>
      </w:r>
      <w:r w:rsidR="003207B3">
        <w:t xml:space="preserve"> standardised </w:t>
      </w:r>
      <w:r w:rsidR="00AE55B2">
        <w:t>6</w:t>
      </w:r>
      <w:r w:rsidR="003207B3">
        <w:t xml:space="preserve"> monthly performance reporting periods each year, which run from 1 July to 31 December and from 1 January to 30 June, with a 30-day close off period after each of these. No further changes can be made to the data once the close-off period is completed.</w:t>
      </w:r>
      <w:r w:rsidR="006434D1">
        <w:t xml:space="preserve"> </w:t>
      </w:r>
      <w:r w:rsidR="003207B3">
        <w:t xml:space="preserve"> </w:t>
      </w:r>
    </w:p>
    <w:p w14:paraId="4B4DA456" w14:textId="77777777" w:rsidR="0017082F" w:rsidRDefault="0017082F" w:rsidP="0017082F">
      <w:pPr>
        <w:rPr>
          <w:b/>
        </w:rPr>
      </w:pPr>
      <w:r>
        <w:t xml:space="preserve">Further information on </w:t>
      </w:r>
      <w:r w:rsidR="00962BC2">
        <w:t xml:space="preserve">training and resources available about </w:t>
      </w:r>
      <w:r w:rsidR="00F36FDF">
        <w:t>DEX</w:t>
      </w:r>
      <w:r w:rsidR="007606A4">
        <w:t xml:space="preserve"> is included at</w:t>
      </w:r>
      <w:r w:rsidR="00207729">
        <w:t xml:space="preserve"> </w:t>
      </w:r>
      <w:hyperlink w:anchor="_Attachment_D_-" w:history="1">
        <w:r w:rsidR="00C42C1F" w:rsidRPr="00F97CCB">
          <w:rPr>
            <w:rStyle w:val="Hyperlink"/>
          </w:rPr>
          <w:t xml:space="preserve">Attachment </w:t>
        </w:r>
        <w:r w:rsidR="00817945" w:rsidRPr="00F97CCB">
          <w:rPr>
            <w:rStyle w:val="Hyperlink"/>
          </w:rPr>
          <w:t>D</w:t>
        </w:r>
      </w:hyperlink>
      <w:r w:rsidR="007606A4">
        <w:rPr>
          <w:b/>
        </w:rPr>
        <w:t>.</w:t>
      </w:r>
    </w:p>
    <w:p w14:paraId="7CA6616A" w14:textId="65593F8E" w:rsidR="00996122" w:rsidRPr="007319C9" w:rsidRDefault="00FA2049" w:rsidP="003934A8">
      <w:pPr>
        <w:pStyle w:val="Heading3"/>
      </w:pPr>
      <w:bookmarkStart w:id="232" w:name="_Toc207282713"/>
      <w:r>
        <w:t xml:space="preserve">6.1.2 </w:t>
      </w:r>
      <w:r w:rsidR="00996122" w:rsidRPr="007319C9">
        <w:t>Extended Data collection</w:t>
      </w:r>
      <w:bookmarkEnd w:id="232"/>
    </w:p>
    <w:p w14:paraId="15F4081C" w14:textId="5F69AC5B" w:rsidR="007319C9" w:rsidRDefault="00873FD8" w:rsidP="007319C9">
      <w:r>
        <w:t>For this</w:t>
      </w:r>
      <w:r w:rsidR="007319C9" w:rsidRPr="009814B3">
        <w:t xml:space="preserve"> activity, it is expected </w:t>
      </w:r>
      <w:r>
        <w:t xml:space="preserve">AMH </w:t>
      </w:r>
      <w:r w:rsidR="001D50A4">
        <w:t xml:space="preserve">pilot </w:t>
      </w:r>
      <w:r w:rsidR="00286350">
        <w:t>providers will</w:t>
      </w:r>
      <w:r w:rsidR="007319C9" w:rsidRPr="009814B3">
        <w:t xml:space="preserve"> collect and record </w:t>
      </w:r>
      <w:r w:rsidR="00D4076D">
        <w:t xml:space="preserve">extended data which may include </w:t>
      </w:r>
      <w:r w:rsidR="007319C9" w:rsidRPr="009814B3">
        <w:t xml:space="preserve">the following: </w:t>
      </w:r>
    </w:p>
    <w:p w14:paraId="4DE7E387" w14:textId="77777777" w:rsidR="007319C9" w:rsidRPr="00F14320" w:rsidRDefault="007319C9" w:rsidP="00411004">
      <w:pPr>
        <w:pStyle w:val="ListBullet"/>
        <w:numPr>
          <w:ilvl w:val="0"/>
          <w:numId w:val="28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</w:rPr>
        <w:t>employment status</w:t>
      </w:r>
    </w:p>
    <w:p w14:paraId="54108536" w14:textId="77777777" w:rsidR="007319C9" w:rsidRPr="00F14320" w:rsidRDefault="007319C9" w:rsidP="00411004">
      <w:pPr>
        <w:pStyle w:val="ListBullet"/>
        <w:numPr>
          <w:ilvl w:val="0"/>
          <w:numId w:val="28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</w:rPr>
        <w:t>highest level of education / qualification</w:t>
      </w:r>
    </w:p>
    <w:p w14:paraId="18D35A49" w14:textId="77777777" w:rsidR="007319C9" w:rsidRPr="00F14320" w:rsidRDefault="007319C9" w:rsidP="00411004">
      <w:pPr>
        <w:pStyle w:val="ListBullet"/>
        <w:numPr>
          <w:ilvl w:val="0"/>
          <w:numId w:val="28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</w:rPr>
        <w:t>main source of income</w:t>
      </w:r>
    </w:p>
    <w:p w14:paraId="7F3B6B0C" w14:textId="77777777" w:rsidR="007319C9" w:rsidRPr="00F14320" w:rsidRDefault="007319C9" w:rsidP="00411004">
      <w:pPr>
        <w:pStyle w:val="ListBullet"/>
        <w:numPr>
          <w:ilvl w:val="0"/>
          <w:numId w:val="28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</w:rPr>
        <w:t>referral out (type and purpose)</w:t>
      </w:r>
    </w:p>
    <w:p w14:paraId="2586A4F8" w14:textId="77777777" w:rsidR="007319C9" w:rsidRPr="00F14320" w:rsidRDefault="007319C9" w:rsidP="00411004">
      <w:pPr>
        <w:pStyle w:val="ListBullet"/>
        <w:numPr>
          <w:ilvl w:val="0"/>
          <w:numId w:val="28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</w:rPr>
        <w:t>service setting</w:t>
      </w:r>
      <w:r w:rsidR="004B3B7C">
        <w:rPr>
          <w:rFonts w:asciiTheme="minorHAnsi" w:eastAsiaTheme="minorHAnsi" w:hAnsiTheme="minorHAnsi" w:cstheme="minorHAnsi"/>
        </w:rPr>
        <w:t>; and</w:t>
      </w:r>
    </w:p>
    <w:p w14:paraId="39739071" w14:textId="77777777" w:rsidR="00AC062B" w:rsidRPr="007319C9" w:rsidRDefault="007319C9" w:rsidP="00411004">
      <w:pPr>
        <w:pStyle w:val="ListBullet"/>
        <w:numPr>
          <w:ilvl w:val="0"/>
          <w:numId w:val="28"/>
        </w:numPr>
        <w:tabs>
          <w:tab w:val="clear" w:pos="170"/>
        </w:tabs>
        <w:spacing w:before="40" w:after="240" w:line="280" w:lineRule="atLeast"/>
      </w:pPr>
      <w:r w:rsidRPr="00F14320">
        <w:rPr>
          <w:rFonts w:asciiTheme="minorHAnsi" w:eastAsiaTheme="minorHAnsi" w:hAnsiTheme="minorHAnsi" w:cstheme="minorHAnsi"/>
        </w:rPr>
        <w:t>referral in (source and reason for seeking assistance).</w:t>
      </w:r>
    </w:p>
    <w:p w14:paraId="21790A6E" w14:textId="77777777" w:rsidR="00210A26" w:rsidRDefault="00207729" w:rsidP="003A7D25">
      <w:pPr>
        <w:pStyle w:val="Heading3"/>
        <w:numPr>
          <w:ilvl w:val="0"/>
          <w:numId w:val="63"/>
        </w:numPr>
      </w:pPr>
      <w:bookmarkStart w:id="233" w:name="_Toc207282714"/>
      <w:r>
        <w:t>Data Quality C</w:t>
      </w:r>
      <w:r w:rsidR="00210A26">
        <w:t>hecks</w:t>
      </w:r>
      <w:bookmarkEnd w:id="233"/>
    </w:p>
    <w:p w14:paraId="3B91ED76" w14:textId="4E91A805" w:rsidR="00210A26" w:rsidRDefault="007E187B" w:rsidP="004353AA">
      <w:r>
        <w:t xml:space="preserve">AMH </w:t>
      </w:r>
      <w:r w:rsidR="001D50A4">
        <w:t xml:space="preserve">pilot </w:t>
      </w:r>
      <w:r w:rsidR="00210A26">
        <w:t>providers are expected to undertake checks to ensure the accuracy of the data collected</w:t>
      </w:r>
      <w:r w:rsidR="00904E98">
        <w:t>, and to troubleshoot any discrepancies or inconsistencie</w:t>
      </w:r>
      <w:r w:rsidR="00210A26">
        <w:t>s with the data</w:t>
      </w:r>
      <w:r w:rsidR="00904E98">
        <w:t xml:space="preserve">, </w:t>
      </w:r>
      <w:r w:rsidR="00E85571">
        <w:t>such as</w:t>
      </w:r>
      <w:r w:rsidR="00904E98">
        <w:t>:</w:t>
      </w:r>
    </w:p>
    <w:p w14:paraId="684F96FD" w14:textId="77777777" w:rsidR="00904E98" w:rsidRPr="00F14320" w:rsidRDefault="00BA37BC" w:rsidP="00411004">
      <w:pPr>
        <w:pStyle w:val="ListBullet"/>
        <w:numPr>
          <w:ilvl w:val="0"/>
          <w:numId w:val="29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</w:rPr>
        <w:t>l</w:t>
      </w:r>
      <w:r w:rsidR="00904E98" w:rsidRPr="00F14320">
        <w:rPr>
          <w:rFonts w:asciiTheme="minorHAnsi" w:eastAsiaTheme="minorHAnsi" w:hAnsiTheme="minorHAnsi" w:cstheme="minorHAnsi"/>
        </w:rPr>
        <w:t xml:space="preserve">ooking at missing information, for example looking at nil, zero or unknown entries where there should be data </w:t>
      </w:r>
    </w:p>
    <w:p w14:paraId="506060EB" w14:textId="77777777" w:rsidR="00904E98" w:rsidRPr="00F14320" w:rsidRDefault="00BA37BC" w:rsidP="00411004">
      <w:pPr>
        <w:pStyle w:val="ListBullet"/>
        <w:numPr>
          <w:ilvl w:val="0"/>
          <w:numId w:val="29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</w:rPr>
        <w:t>l</w:t>
      </w:r>
      <w:r w:rsidR="00904E98" w:rsidRPr="00F14320">
        <w:rPr>
          <w:rFonts w:asciiTheme="minorHAnsi" w:eastAsiaTheme="minorHAnsi" w:hAnsiTheme="minorHAnsi" w:cstheme="minorHAnsi"/>
        </w:rPr>
        <w:t xml:space="preserve">ooking at the minimum and maximum values of the data to find out if values are within the correct range </w:t>
      </w:r>
    </w:p>
    <w:p w14:paraId="1C72FEA0" w14:textId="77777777" w:rsidR="00904E98" w:rsidRPr="00F14320" w:rsidRDefault="00BA37BC" w:rsidP="00411004">
      <w:pPr>
        <w:pStyle w:val="ListBullet"/>
        <w:numPr>
          <w:ilvl w:val="0"/>
          <w:numId w:val="29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</w:rPr>
        <w:t>c</w:t>
      </w:r>
      <w:r w:rsidR="00164836" w:rsidRPr="00F14320">
        <w:rPr>
          <w:rFonts w:asciiTheme="minorHAnsi" w:eastAsiaTheme="minorHAnsi" w:hAnsiTheme="minorHAnsi" w:cstheme="minorHAnsi"/>
        </w:rPr>
        <w:t xml:space="preserve">hecking to see that fields add </w:t>
      </w:r>
      <w:r w:rsidR="00904E98" w:rsidRPr="00F14320">
        <w:rPr>
          <w:rFonts w:asciiTheme="minorHAnsi" w:eastAsiaTheme="minorHAnsi" w:hAnsiTheme="minorHAnsi" w:cstheme="minorHAnsi"/>
        </w:rPr>
        <w:t>up to the totals indicated</w:t>
      </w:r>
      <w:r w:rsidR="004B3B7C">
        <w:rPr>
          <w:rFonts w:asciiTheme="minorHAnsi" w:eastAsiaTheme="minorHAnsi" w:hAnsiTheme="minorHAnsi" w:cstheme="minorHAnsi"/>
        </w:rPr>
        <w:t>; and</w:t>
      </w:r>
    </w:p>
    <w:p w14:paraId="029EFF25" w14:textId="77777777" w:rsidR="00D96916" w:rsidRPr="00207729" w:rsidRDefault="00BA37BC" w:rsidP="00411004">
      <w:pPr>
        <w:pStyle w:val="ListBullet"/>
        <w:numPr>
          <w:ilvl w:val="0"/>
          <w:numId w:val="29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</w:rPr>
        <w:t>r</w:t>
      </w:r>
      <w:r w:rsidR="00904E98" w:rsidRPr="00F14320">
        <w:rPr>
          <w:rFonts w:asciiTheme="minorHAnsi" w:eastAsiaTheme="minorHAnsi" w:hAnsiTheme="minorHAnsi" w:cstheme="minorHAnsi"/>
        </w:rPr>
        <w:t xml:space="preserve">eviewing comparative data, </w:t>
      </w:r>
      <w:r w:rsidR="00E85571" w:rsidRPr="00F14320">
        <w:rPr>
          <w:rFonts w:asciiTheme="minorHAnsi" w:eastAsiaTheme="minorHAnsi" w:hAnsiTheme="minorHAnsi" w:cstheme="minorHAnsi"/>
        </w:rPr>
        <w:t>for example,</w:t>
      </w:r>
      <w:r w:rsidR="00904E98" w:rsidRPr="00F14320">
        <w:rPr>
          <w:rFonts w:asciiTheme="minorHAnsi" w:eastAsiaTheme="minorHAnsi" w:hAnsiTheme="minorHAnsi" w:cstheme="minorHAnsi"/>
        </w:rPr>
        <w:t xml:space="preserve"> previous months, to ascertain if the amount exceeds or falls short of expectations</w:t>
      </w:r>
      <w:r w:rsidRPr="00F14320">
        <w:rPr>
          <w:rFonts w:asciiTheme="minorHAnsi" w:eastAsiaTheme="minorHAnsi" w:hAnsiTheme="minorHAnsi" w:cstheme="minorHAnsi"/>
        </w:rPr>
        <w:t>.</w:t>
      </w:r>
    </w:p>
    <w:p w14:paraId="28AED8B4" w14:textId="0D3045BF" w:rsidR="004678D7" w:rsidRPr="00010090" w:rsidRDefault="00032977" w:rsidP="003A7D25">
      <w:pPr>
        <w:pStyle w:val="Heading2"/>
        <w:numPr>
          <w:ilvl w:val="1"/>
          <w:numId w:val="64"/>
        </w:numPr>
        <w:ind w:left="357" w:hanging="357"/>
      </w:pPr>
      <w:r>
        <w:t xml:space="preserve">     </w:t>
      </w:r>
      <w:bookmarkStart w:id="234" w:name="_Toc207282715"/>
      <w:r w:rsidR="004678D7" w:rsidRPr="00010090">
        <w:t xml:space="preserve">Access to </w:t>
      </w:r>
      <w:r w:rsidR="004678D7">
        <w:t xml:space="preserve">the </w:t>
      </w:r>
      <w:r w:rsidR="004678D7" w:rsidRPr="00010090">
        <w:t>Data Exchange</w:t>
      </w:r>
      <w:bookmarkEnd w:id="234"/>
    </w:p>
    <w:p w14:paraId="56BC35F4" w14:textId="04B160BC" w:rsidR="004678D7" w:rsidRPr="00BB0654" w:rsidRDefault="00987D06" w:rsidP="004678D7">
      <w:r>
        <w:t xml:space="preserve">AMH </w:t>
      </w:r>
      <w:r w:rsidR="001D50A4">
        <w:t xml:space="preserve">pilot </w:t>
      </w:r>
      <w:r w:rsidR="00576C21">
        <w:t>p</w:t>
      </w:r>
      <w:r w:rsidR="004678D7">
        <w:t xml:space="preserve">roviders </w:t>
      </w:r>
      <w:r w:rsidR="004678D7" w:rsidRPr="00BB0654">
        <w:t xml:space="preserve">should </w:t>
      </w:r>
      <w:r w:rsidR="004678D7">
        <w:t>ensure appropriate personnel have</w:t>
      </w:r>
      <w:r w:rsidR="004678D7" w:rsidRPr="00BB0654">
        <w:t xml:space="preserve"> </w:t>
      </w:r>
      <w:r w:rsidR="004678D7">
        <w:t xml:space="preserve">a </w:t>
      </w:r>
      <w:r w:rsidR="00F36FDF">
        <w:t>DEX</w:t>
      </w:r>
      <w:r w:rsidR="004678D7">
        <w:t xml:space="preserve"> user account. This is required to access </w:t>
      </w:r>
      <w:r w:rsidR="00F36FDF">
        <w:t>DEX</w:t>
      </w:r>
      <w:r w:rsidR="004678D7">
        <w:t>.</w:t>
      </w:r>
      <w:r w:rsidR="000715BE">
        <w:t xml:space="preserve"> </w:t>
      </w:r>
      <w:r w:rsidR="004678D7" w:rsidRPr="00BB0654">
        <w:t>Before requesti</w:t>
      </w:r>
      <w:r w:rsidR="004678D7">
        <w:t xml:space="preserve">ng a </w:t>
      </w:r>
      <w:r w:rsidR="00F36FDF">
        <w:t>DEX</w:t>
      </w:r>
      <w:r w:rsidR="004678D7">
        <w:t xml:space="preserve"> user account,</w:t>
      </w:r>
      <w:r w:rsidR="004678D7" w:rsidRPr="00BB0654">
        <w:t xml:space="preserve"> </w:t>
      </w:r>
      <w:r w:rsidR="004678D7">
        <w:t>your o</w:t>
      </w:r>
      <w:r w:rsidR="004678D7" w:rsidRPr="00BB0654">
        <w:t>rganisatio</w:t>
      </w:r>
      <w:r w:rsidR="004678D7">
        <w:t>n must be</w:t>
      </w:r>
      <w:r w:rsidR="005D69E7">
        <w:t> </w:t>
      </w:r>
      <w:r w:rsidR="004678D7" w:rsidRPr="00BB0654">
        <w:t>registered with </w:t>
      </w:r>
      <w:hyperlink r:id="rId25" w:history="1">
        <w:r w:rsidR="004678D7" w:rsidRPr="00BB0654">
          <w:t>Relationship Authorisation Manager (RAM)</w:t>
        </w:r>
      </w:hyperlink>
      <w:r w:rsidR="004678D7">
        <w:t>,</w:t>
      </w:r>
      <w:r w:rsidR="004678D7" w:rsidRPr="00BB0654">
        <w:t xml:space="preserve"> and individuals </w:t>
      </w:r>
      <w:r w:rsidR="004678D7">
        <w:t xml:space="preserve">(the appropriate personnel) </w:t>
      </w:r>
      <w:r w:rsidR="004678D7" w:rsidRPr="00BB0654">
        <w:t>must have a </w:t>
      </w:r>
      <w:proofErr w:type="spellStart"/>
      <w:r w:rsidR="004678D7">
        <w:fldChar w:fldCharType="begin"/>
      </w:r>
      <w:r w:rsidR="004678D7">
        <w:instrText>HYPERLINK "https://www.mygovid.gov.au/"</w:instrText>
      </w:r>
      <w:r w:rsidR="004678D7">
        <w:fldChar w:fldCharType="separate"/>
      </w:r>
      <w:r w:rsidR="004678D7" w:rsidRPr="00BB0654">
        <w:t>myGovID</w:t>
      </w:r>
      <w:proofErr w:type="spellEnd"/>
      <w:r w:rsidR="004678D7">
        <w:fldChar w:fldCharType="end"/>
      </w:r>
      <w:r w:rsidR="004678D7">
        <w:t> account.</w:t>
      </w:r>
    </w:p>
    <w:p w14:paraId="0D6EA3D7" w14:textId="77777777" w:rsidR="004678D7" w:rsidRPr="00F14320" w:rsidRDefault="007319C9" w:rsidP="00411004">
      <w:pPr>
        <w:pStyle w:val="ListBullet"/>
        <w:numPr>
          <w:ilvl w:val="0"/>
          <w:numId w:val="30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</w:rPr>
        <w:t>i</w:t>
      </w:r>
      <w:r w:rsidR="004678D7" w:rsidRPr="00F14320">
        <w:rPr>
          <w:rFonts w:asciiTheme="minorHAnsi" w:eastAsiaTheme="minorHAnsi" w:hAnsiTheme="minorHAnsi" w:cstheme="minorHAnsi"/>
        </w:rPr>
        <w:t xml:space="preserve">nstructions for registering organisations with RAM can be found at the Relationship Authorisation Manager website </w:t>
      </w:r>
      <w:r w:rsidR="007606A4" w:rsidRPr="00F14320">
        <w:rPr>
          <w:rFonts w:asciiTheme="minorHAnsi" w:eastAsiaTheme="minorHAnsi" w:hAnsiTheme="minorHAnsi" w:cstheme="minorHAnsi"/>
        </w:rPr>
        <w:t xml:space="preserve">(see details below) </w:t>
      </w:r>
      <w:r w:rsidR="004678D7" w:rsidRPr="00F14320">
        <w:rPr>
          <w:rFonts w:asciiTheme="minorHAnsi" w:eastAsiaTheme="minorHAnsi" w:hAnsiTheme="minorHAnsi" w:cstheme="minorHAnsi"/>
        </w:rPr>
        <w:t>and include:</w:t>
      </w:r>
    </w:p>
    <w:p w14:paraId="68902C8B" w14:textId="77777777" w:rsidR="004678D7" w:rsidRPr="001436B8" w:rsidRDefault="007319C9" w:rsidP="00411004">
      <w:pPr>
        <w:pStyle w:val="ListBullet"/>
        <w:numPr>
          <w:ilvl w:val="1"/>
          <w:numId w:val="32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g</w:t>
      </w:r>
      <w:r w:rsidR="004678D7" w:rsidRPr="001436B8">
        <w:rPr>
          <w:rFonts w:asciiTheme="minorHAnsi" w:eastAsiaTheme="minorHAnsi" w:hAnsiTheme="minorHAnsi"/>
          <w:color w:val="000000" w:themeColor="text1"/>
        </w:rPr>
        <w:t>etting your digital identity</w:t>
      </w:r>
    </w:p>
    <w:p w14:paraId="7E09CE99" w14:textId="77777777" w:rsidR="004678D7" w:rsidRPr="001436B8" w:rsidRDefault="007319C9" w:rsidP="00411004">
      <w:pPr>
        <w:pStyle w:val="ListBullet"/>
        <w:numPr>
          <w:ilvl w:val="1"/>
          <w:numId w:val="32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s</w:t>
      </w:r>
      <w:r w:rsidR="004678D7" w:rsidRPr="001436B8">
        <w:rPr>
          <w:rFonts w:asciiTheme="minorHAnsi" w:eastAsiaTheme="minorHAnsi" w:hAnsiTheme="minorHAnsi"/>
          <w:color w:val="000000" w:themeColor="text1"/>
        </w:rPr>
        <w:t>etting up your business</w:t>
      </w:r>
      <w:r w:rsidR="00207729">
        <w:rPr>
          <w:rFonts w:asciiTheme="minorHAnsi" w:eastAsiaTheme="minorHAnsi" w:hAnsiTheme="minorHAnsi"/>
          <w:color w:val="000000" w:themeColor="text1"/>
        </w:rPr>
        <w:t>, and</w:t>
      </w:r>
    </w:p>
    <w:p w14:paraId="5947B852" w14:textId="77777777" w:rsidR="004678D7" w:rsidRPr="001436B8" w:rsidRDefault="007319C9" w:rsidP="00411004">
      <w:pPr>
        <w:pStyle w:val="ListBullet"/>
        <w:numPr>
          <w:ilvl w:val="1"/>
          <w:numId w:val="32"/>
        </w:numPr>
        <w:tabs>
          <w:tab w:val="clear" w:pos="170"/>
          <w:tab w:val="left" w:pos="567"/>
        </w:tabs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a</w:t>
      </w:r>
      <w:r w:rsidR="004678D7" w:rsidRPr="001436B8">
        <w:rPr>
          <w:rFonts w:asciiTheme="minorHAnsi" w:eastAsiaTheme="minorHAnsi" w:hAnsiTheme="minorHAnsi"/>
          <w:color w:val="000000" w:themeColor="text1"/>
        </w:rPr>
        <w:t>uthorising others to act online for your business</w:t>
      </w:r>
      <w:r w:rsidRPr="001436B8">
        <w:rPr>
          <w:rFonts w:asciiTheme="minorHAnsi" w:eastAsiaTheme="minorHAnsi" w:hAnsiTheme="minorHAnsi"/>
          <w:color w:val="000000" w:themeColor="text1"/>
        </w:rPr>
        <w:t>.</w:t>
      </w:r>
    </w:p>
    <w:p w14:paraId="2F76FBA1" w14:textId="77777777" w:rsidR="004678D7" w:rsidRPr="00F14320" w:rsidRDefault="007319C9" w:rsidP="00411004">
      <w:pPr>
        <w:pStyle w:val="ListBullet"/>
        <w:numPr>
          <w:ilvl w:val="0"/>
          <w:numId w:val="31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</w:rPr>
        <w:lastRenderedPageBreak/>
        <w:t>i</w:t>
      </w:r>
      <w:r w:rsidR="004678D7" w:rsidRPr="00F14320">
        <w:rPr>
          <w:rFonts w:asciiTheme="minorHAnsi" w:eastAsiaTheme="minorHAnsi" w:hAnsiTheme="minorHAnsi" w:cstheme="minorHAnsi"/>
        </w:rPr>
        <w:t xml:space="preserve">nstructions for setting up a </w:t>
      </w:r>
      <w:proofErr w:type="spellStart"/>
      <w:r w:rsidR="004678D7" w:rsidRPr="00F14320">
        <w:rPr>
          <w:rFonts w:asciiTheme="minorHAnsi" w:eastAsiaTheme="minorHAnsi" w:hAnsiTheme="minorHAnsi" w:cstheme="minorHAnsi"/>
        </w:rPr>
        <w:t>myGovID</w:t>
      </w:r>
      <w:proofErr w:type="spellEnd"/>
      <w:r w:rsidR="004678D7" w:rsidRPr="00F14320">
        <w:rPr>
          <w:rFonts w:asciiTheme="minorHAnsi" w:eastAsiaTheme="minorHAnsi" w:hAnsiTheme="minorHAnsi" w:cstheme="minorHAnsi"/>
        </w:rPr>
        <w:t xml:space="preserve"> account can be found on the </w:t>
      </w:r>
      <w:proofErr w:type="spellStart"/>
      <w:r w:rsidR="004678D7" w:rsidRPr="00F14320">
        <w:rPr>
          <w:rFonts w:asciiTheme="minorHAnsi" w:eastAsiaTheme="minorHAnsi" w:hAnsiTheme="minorHAnsi" w:cstheme="minorHAnsi"/>
        </w:rPr>
        <w:t>myGovID</w:t>
      </w:r>
      <w:proofErr w:type="spellEnd"/>
      <w:r w:rsidR="004678D7" w:rsidRPr="00F14320">
        <w:rPr>
          <w:rFonts w:asciiTheme="minorHAnsi" w:eastAsiaTheme="minorHAnsi" w:hAnsiTheme="minorHAnsi" w:cstheme="minorHAnsi"/>
        </w:rPr>
        <w:t xml:space="preserve"> website. </w:t>
      </w:r>
    </w:p>
    <w:p w14:paraId="02A0212A" w14:textId="77777777" w:rsidR="00286350" w:rsidRPr="001436B8" w:rsidRDefault="007319C9" w:rsidP="00411004">
      <w:pPr>
        <w:pStyle w:val="ListBullet"/>
        <w:numPr>
          <w:ilvl w:val="1"/>
          <w:numId w:val="33"/>
        </w:numPr>
        <w:tabs>
          <w:tab w:val="clear" w:pos="170"/>
          <w:tab w:val="left" w:pos="567"/>
        </w:tabs>
        <w:spacing w:after="60"/>
        <w:rPr>
          <w:rFonts w:asciiTheme="minorHAnsi" w:eastAsiaTheme="minorHAnsi" w:hAnsiTheme="minorHAnsi"/>
          <w:color w:val="000000" w:themeColor="text1"/>
        </w:rPr>
      </w:pPr>
      <w:r w:rsidRPr="001436B8">
        <w:rPr>
          <w:rFonts w:asciiTheme="minorHAnsi" w:eastAsiaTheme="minorHAnsi" w:hAnsiTheme="minorHAnsi"/>
          <w:color w:val="000000" w:themeColor="text1"/>
        </w:rPr>
        <w:t>o</w:t>
      </w:r>
      <w:r w:rsidR="004678D7" w:rsidRPr="001436B8">
        <w:rPr>
          <w:rFonts w:asciiTheme="minorHAnsi" w:eastAsiaTheme="minorHAnsi" w:hAnsiTheme="minorHAnsi"/>
          <w:color w:val="000000" w:themeColor="text1"/>
        </w:rPr>
        <w:t xml:space="preserve">nce individuals have a </w:t>
      </w:r>
      <w:proofErr w:type="spellStart"/>
      <w:r w:rsidR="004678D7" w:rsidRPr="001436B8">
        <w:rPr>
          <w:rFonts w:asciiTheme="minorHAnsi" w:eastAsiaTheme="minorHAnsi" w:hAnsiTheme="minorHAnsi"/>
          <w:color w:val="000000" w:themeColor="text1"/>
        </w:rPr>
        <w:t>myGovID</w:t>
      </w:r>
      <w:proofErr w:type="spellEnd"/>
      <w:r w:rsidR="004678D7" w:rsidRPr="001436B8">
        <w:rPr>
          <w:rFonts w:asciiTheme="minorHAnsi" w:eastAsiaTheme="minorHAnsi" w:hAnsiTheme="minorHAnsi"/>
          <w:color w:val="000000" w:themeColor="text1"/>
        </w:rPr>
        <w:t xml:space="preserve"> account, they can fill in the Data Exchange System User Access Request Form at the </w:t>
      </w:r>
      <w:r w:rsidR="00F36FDF" w:rsidRPr="001436B8">
        <w:rPr>
          <w:rFonts w:asciiTheme="minorHAnsi" w:eastAsiaTheme="minorHAnsi" w:hAnsiTheme="minorHAnsi"/>
          <w:color w:val="000000" w:themeColor="text1"/>
        </w:rPr>
        <w:t>DEX</w:t>
      </w:r>
      <w:r w:rsidR="004678D7" w:rsidRPr="001436B8">
        <w:rPr>
          <w:rFonts w:asciiTheme="minorHAnsi" w:eastAsiaTheme="minorHAnsi" w:hAnsiTheme="minorHAnsi"/>
          <w:color w:val="000000" w:themeColor="text1"/>
        </w:rPr>
        <w:t xml:space="preserve"> website, submit the form to their manager for approval, then submit it to </w:t>
      </w:r>
      <w:r w:rsidR="00F36FDF" w:rsidRPr="001436B8">
        <w:rPr>
          <w:rFonts w:asciiTheme="minorHAnsi" w:eastAsiaTheme="minorHAnsi" w:hAnsiTheme="minorHAnsi"/>
          <w:color w:val="000000" w:themeColor="text1"/>
        </w:rPr>
        <w:t>DEX</w:t>
      </w:r>
      <w:r w:rsidR="004678D7" w:rsidRPr="001436B8">
        <w:rPr>
          <w:rFonts w:asciiTheme="minorHAnsi" w:eastAsiaTheme="minorHAnsi" w:hAnsiTheme="minorHAnsi"/>
          <w:color w:val="000000" w:themeColor="text1"/>
        </w:rPr>
        <w:t xml:space="preserve"> for processing (remember, organisations must be registered with RAM before requesting access to the </w:t>
      </w:r>
      <w:r w:rsidR="00F36FDF" w:rsidRPr="001436B8">
        <w:rPr>
          <w:rFonts w:asciiTheme="minorHAnsi" w:eastAsiaTheme="minorHAnsi" w:hAnsiTheme="minorHAnsi"/>
          <w:color w:val="000000" w:themeColor="text1"/>
        </w:rPr>
        <w:t>DEX</w:t>
      </w:r>
      <w:r w:rsidR="004678D7" w:rsidRPr="001436B8">
        <w:rPr>
          <w:rFonts w:asciiTheme="minorHAnsi" w:eastAsiaTheme="minorHAnsi" w:hAnsiTheme="minorHAnsi"/>
          <w:color w:val="000000" w:themeColor="text1"/>
        </w:rPr>
        <w:t>).</w:t>
      </w:r>
    </w:p>
    <w:p w14:paraId="5424FB48" w14:textId="5F916D45" w:rsidR="00286350" w:rsidRDefault="004678D7" w:rsidP="00286350">
      <w:pPr>
        <w:spacing w:before="0" w:after="200"/>
      </w:pPr>
      <w:r w:rsidRPr="004353AA">
        <w:t xml:space="preserve">If you have questions about </w:t>
      </w:r>
      <w:r w:rsidR="009B1848">
        <w:t>DEX</w:t>
      </w:r>
      <w:r w:rsidRPr="004353AA">
        <w:t xml:space="preserve">, </w:t>
      </w:r>
      <w:proofErr w:type="spellStart"/>
      <w:r w:rsidRPr="004353AA">
        <w:t>myGovID</w:t>
      </w:r>
      <w:proofErr w:type="spellEnd"/>
      <w:r w:rsidRPr="004353AA">
        <w:t xml:space="preserve"> or RAM, you may find the following useful:</w:t>
      </w:r>
    </w:p>
    <w:p w14:paraId="29C8EDC0" w14:textId="77777777" w:rsidR="00286350" w:rsidRPr="00207729" w:rsidRDefault="004678D7" w:rsidP="00411004">
      <w:pPr>
        <w:pStyle w:val="ListBullet"/>
        <w:numPr>
          <w:ilvl w:val="0"/>
          <w:numId w:val="30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207729">
        <w:rPr>
          <w:rFonts w:asciiTheme="minorHAnsi" w:eastAsiaTheme="minorHAnsi" w:hAnsiTheme="minorHAnsi" w:cstheme="minorHAnsi"/>
        </w:rPr>
        <w:t>Data Exchange Helpdesk</w:t>
      </w:r>
    </w:p>
    <w:p w14:paraId="1C559B25" w14:textId="77777777" w:rsidR="00286350" w:rsidRPr="00F14320" w:rsidRDefault="004678D7" w:rsidP="00411004">
      <w:pPr>
        <w:pStyle w:val="ListBullet"/>
        <w:numPr>
          <w:ilvl w:val="1"/>
          <w:numId w:val="33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  <w:b/>
        </w:rPr>
        <w:t>Email:</w:t>
      </w:r>
      <w:r w:rsidRPr="00F14320">
        <w:rPr>
          <w:rFonts w:asciiTheme="minorHAnsi" w:eastAsiaTheme="minorHAnsi" w:hAnsiTheme="minorHAnsi" w:cstheme="minorHAnsi"/>
        </w:rPr>
        <w:t> </w:t>
      </w:r>
      <w:hyperlink r:id="rId26" w:history="1">
        <w:r w:rsidR="00286350" w:rsidRPr="00CF1C2B">
          <w:rPr>
            <w:rFonts w:asciiTheme="minorHAnsi" w:eastAsiaTheme="minorHAnsi" w:hAnsiTheme="minorHAnsi" w:cstheme="minorHAnsi"/>
            <w:u w:val="single"/>
          </w:rPr>
          <w:t>dssdataexchange.helpdesk@dss.gov.au</w:t>
        </w:r>
      </w:hyperlink>
    </w:p>
    <w:p w14:paraId="1B2D9D5B" w14:textId="77777777" w:rsidR="00286350" w:rsidRPr="00F14320" w:rsidRDefault="004678D7" w:rsidP="00411004">
      <w:pPr>
        <w:pStyle w:val="ListBullet"/>
        <w:numPr>
          <w:ilvl w:val="1"/>
          <w:numId w:val="33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  <w:b/>
        </w:rPr>
        <w:t>Phone:</w:t>
      </w:r>
      <w:r w:rsidRPr="00F14320">
        <w:rPr>
          <w:rFonts w:asciiTheme="minorHAnsi" w:eastAsiaTheme="minorHAnsi" w:hAnsiTheme="minorHAnsi" w:cstheme="minorHAnsi"/>
        </w:rPr>
        <w:t> </w:t>
      </w:r>
      <w:hyperlink r:id="rId27" w:history="1">
        <w:r w:rsidRPr="00F97CCB">
          <w:rPr>
            <w:rStyle w:val="Hyperlink"/>
            <w:rFonts w:asciiTheme="minorHAnsi" w:eastAsiaTheme="minorHAnsi" w:hAnsiTheme="minorHAnsi" w:cstheme="minorHAnsi"/>
            <w:u w:val="none"/>
          </w:rPr>
          <w:t>1800 020 283</w:t>
        </w:r>
      </w:hyperlink>
      <w:r w:rsidRPr="00F14320">
        <w:rPr>
          <w:rFonts w:asciiTheme="minorHAnsi" w:eastAsiaTheme="minorHAnsi" w:hAnsiTheme="minorHAnsi" w:cstheme="minorHAnsi"/>
        </w:rPr>
        <w:t xml:space="preserve"> (between 08.30am–5.30pm Monday to Friday</w:t>
      </w:r>
    </w:p>
    <w:p w14:paraId="3FFA6767" w14:textId="77777777" w:rsidR="00F264A0" w:rsidRPr="00873FD8" w:rsidRDefault="004678D7" w:rsidP="00411004">
      <w:pPr>
        <w:pStyle w:val="ListBullet"/>
        <w:numPr>
          <w:ilvl w:val="1"/>
          <w:numId w:val="33"/>
        </w:numPr>
        <w:tabs>
          <w:tab w:val="clear" w:pos="170"/>
        </w:tabs>
        <w:spacing w:before="40" w:line="280" w:lineRule="atLeast"/>
        <w:rPr>
          <w:rFonts w:asciiTheme="minorHAnsi" w:eastAsiaTheme="minorHAnsi" w:hAnsiTheme="minorHAnsi" w:cstheme="minorHAnsi"/>
        </w:rPr>
      </w:pPr>
      <w:r w:rsidRPr="00F14320">
        <w:rPr>
          <w:rFonts w:asciiTheme="minorHAnsi" w:eastAsiaTheme="minorHAnsi" w:hAnsiTheme="minorHAnsi" w:cstheme="minorHAnsi"/>
          <w:b/>
        </w:rPr>
        <w:t>Website:</w:t>
      </w:r>
      <w:r w:rsidRPr="00F14320">
        <w:rPr>
          <w:rFonts w:asciiTheme="minorHAnsi" w:eastAsiaTheme="minorHAnsi" w:hAnsiTheme="minorHAnsi" w:cstheme="minorHAnsi"/>
        </w:rPr>
        <w:t xml:space="preserve"> </w:t>
      </w:r>
      <w:hyperlink r:id="rId28" w:history="1">
        <w:r w:rsidR="006B5B38" w:rsidRPr="00FA0487">
          <w:rPr>
            <w:rStyle w:val="Hyperlink"/>
            <w:rFonts w:asciiTheme="minorHAnsi" w:eastAsiaTheme="minorHAnsi" w:hAnsiTheme="minorHAnsi" w:cstheme="minorHAnsi"/>
          </w:rPr>
          <w:t>dex.dss.gov.au</w:t>
        </w:r>
      </w:hyperlink>
    </w:p>
    <w:p w14:paraId="045DAEDE" w14:textId="77777777" w:rsidR="00286350" w:rsidRDefault="00286350" w:rsidP="00411004">
      <w:pPr>
        <w:pStyle w:val="ListParagraph"/>
        <w:numPr>
          <w:ilvl w:val="0"/>
          <w:numId w:val="30"/>
        </w:numPr>
        <w:spacing w:before="0"/>
      </w:pPr>
      <w:proofErr w:type="spellStart"/>
      <w:r>
        <w:t>myGovID</w:t>
      </w:r>
      <w:proofErr w:type="spellEnd"/>
    </w:p>
    <w:p w14:paraId="190A22F6" w14:textId="77777777" w:rsidR="00286350" w:rsidRPr="006C5CD9" w:rsidRDefault="004678D7" w:rsidP="002A6769">
      <w:pPr>
        <w:pStyle w:val="ListBullet"/>
        <w:tabs>
          <w:tab w:val="clear" w:pos="170"/>
          <w:tab w:val="clear" w:pos="2345"/>
        </w:tabs>
        <w:spacing w:before="40" w:line="280" w:lineRule="atLeast"/>
        <w:ind w:left="1134" w:hanging="425"/>
        <w:rPr>
          <w:rFonts w:asciiTheme="minorHAnsi" w:eastAsiaTheme="minorEastAsia" w:hAnsiTheme="minorHAnsi" w:cstheme="minorBidi"/>
        </w:rPr>
      </w:pPr>
      <w:r w:rsidRPr="4D0FA1A2">
        <w:rPr>
          <w:rFonts w:asciiTheme="minorHAnsi" w:eastAsiaTheme="minorEastAsia" w:hAnsiTheme="minorHAnsi" w:cstheme="minorBidi"/>
          <w:b/>
          <w:bCs/>
        </w:rPr>
        <w:t>Website</w:t>
      </w:r>
      <w:r w:rsidRPr="4D0FA1A2">
        <w:rPr>
          <w:rFonts w:asciiTheme="minorHAnsi" w:eastAsiaTheme="minorEastAsia" w:hAnsiTheme="minorHAnsi" w:cstheme="minorBidi"/>
        </w:rPr>
        <w:t xml:space="preserve">: </w:t>
      </w:r>
      <w:hyperlink r:id="rId29">
        <w:r w:rsidR="00FA0487" w:rsidRPr="4D0FA1A2">
          <w:rPr>
            <w:rStyle w:val="Hyperlink"/>
            <w:rFonts w:asciiTheme="minorHAnsi" w:eastAsiaTheme="minorEastAsia" w:hAnsiTheme="minorHAnsi" w:cstheme="minorBidi"/>
          </w:rPr>
          <w:t>https://www.mygovid.gov.au/</w:t>
        </w:r>
      </w:hyperlink>
    </w:p>
    <w:p w14:paraId="34EC0691" w14:textId="77777777" w:rsidR="00286350" w:rsidRDefault="00286350" w:rsidP="00411004">
      <w:pPr>
        <w:pStyle w:val="ListParagraph"/>
        <w:numPr>
          <w:ilvl w:val="0"/>
          <w:numId w:val="30"/>
        </w:numPr>
        <w:spacing w:before="0"/>
      </w:pPr>
      <w:r>
        <w:t>RAM</w:t>
      </w:r>
    </w:p>
    <w:p w14:paraId="5DC4C24A" w14:textId="77777777" w:rsidR="00483785" w:rsidRPr="00A61B9B" w:rsidRDefault="004678D7" w:rsidP="00411004">
      <w:pPr>
        <w:pStyle w:val="ListBullet"/>
        <w:numPr>
          <w:ilvl w:val="0"/>
          <w:numId w:val="37"/>
        </w:numPr>
        <w:tabs>
          <w:tab w:val="clear" w:pos="170"/>
        </w:tabs>
        <w:spacing w:before="40" w:line="280" w:lineRule="atLeast"/>
        <w:ind w:left="993" w:hanging="284"/>
        <w:rPr>
          <w:rFonts w:asciiTheme="minorHAnsi" w:eastAsiaTheme="minorHAnsi" w:hAnsiTheme="minorHAnsi" w:cstheme="minorHAnsi"/>
        </w:rPr>
      </w:pPr>
      <w:r w:rsidRPr="006C5CD9">
        <w:rPr>
          <w:rFonts w:asciiTheme="minorHAnsi" w:eastAsiaTheme="minorHAnsi" w:hAnsiTheme="minorHAnsi" w:cstheme="minorHAnsi"/>
          <w:b/>
        </w:rPr>
        <w:t>Website</w:t>
      </w:r>
      <w:r w:rsidRPr="006C5CD9">
        <w:rPr>
          <w:rFonts w:asciiTheme="minorHAnsi" w:eastAsiaTheme="minorHAnsi" w:hAnsiTheme="minorHAnsi" w:cstheme="minorHAnsi"/>
        </w:rPr>
        <w:t xml:space="preserve">: </w:t>
      </w:r>
      <w:hyperlink r:id="rId30" w:history="1">
        <w:r w:rsidRPr="00FA0487">
          <w:rPr>
            <w:rStyle w:val="Hyperlink"/>
            <w:rFonts w:asciiTheme="minorHAnsi" w:eastAsiaTheme="minorHAnsi" w:hAnsiTheme="minorHAnsi" w:cstheme="minorHAnsi"/>
          </w:rPr>
          <w:t>info.authorisationmanager.gov.au</w:t>
        </w:r>
      </w:hyperlink>
    </w:p>
    <w:p w14:paraId="605E7403" w14:textId="77777777" w:rsidR="00AD4D68" w:rsidRPr="00EA3686" w:rsidRDefault="00AD4D68" w:rsidP="001309A6">
      <w:pPr>
        <w:pStyle w:val="Heading2"/>
      </w:pPr>
      <w:bookmarkStart w:id="235" w:name="_Toc78266616"/>
      <w:bookmarkStart w:id="236" w:name="_Toc78266778"/>
      <w:bookmarkStart w:id="237" w:name="_Toc78266618"/>
      <w:bookmarkStart w:id="238" w:name="_Toc78266780"/>
      <w:bookmarkStart w:id="239" w:name="_Toc207282716"/>
      <w:bookmarkEnd w:id="216"/>
      <w:bookmarkEnd w:id="217"/>
      <w:bookmarkEnd w:id="218"/>
      <w:bookmarkEnd w:id="235"/>
      <w:bookmarkEnd w:id="236"/>
      <w:bookmarkEnd w:id="237"/>
      <w:bookmarkEnd w:id="238"/>
      <w:r w:rsidRPr="00EA3686">
        <w:t>Document versions</w:t>
      </w:r>
      <w:bookmarkEnd w:id="239"/>
    </w:p>
    <w:tbl>
      <w:tblPr>
        <w:tblStyle w:val="TableGrid"/>
        <w:tblW w:w="9776" w:type="dxa"/>
        <w:tblLook w:val="04A0" w:firstRow="1" w:lastRow="0" w:firstColumn="1" w:lastColumn="0" w:noHBand="0" w:noVBand="1"/>
        <w:tblCaption w:val="Document version table"/>
      </w:tblPr>
      <w:tblGrid>
        <w:gridCol w:w="1129"/>
        <w:gridCol w:w="1983"/>
        <w:gridCol w:w="3404"/>
        <w:gridCol w:w="3260"/>
      </w:tblGrid>
      <w:tr w:rsidR="00CF1460" w:rsidRPr="0034490A" w14:paraId="7F6B06AB" w14:textId="77777777" w:rsidTr="006C5CD9">
        <w:trPr>
          <w:tblHeader/>
        </w:trPr>
        <w:tc>
          <w:tcPr>
            <w:tcW w:w="1129" w:type="dxa"/>
            <w:shd w:val="clear" w:color="auto" w:fill="005A70" w:themeFill="accent1"/>
          </w:tcPr>
          <w:p w14:paraId="22957CD8" w14:textId="77777777" w:rsidR="00CF1460" w:rsidRPr="004353AA" w:rsidRDefault="00CF1460" w:rsidP="003D7ED5">
            <w:pPr>
              <w:rPr>
                <w:b/>
                <w:color w:val="FFFFFF" w:themeColor="background1"/>
              </w:rPr>
            </w:pPr>
            <w:r w:rsidRPr="004353AA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1983" w:type="dxa"/>
            <w:shd w:val="clear" w:color="auto" w:fill="005A70" w:themeFill="accent1"/>
          </w:tcPr>
          <w:p w14:paraId="5BE33792" w14:textId="77777777" w:rsidR="00CF1460" w:rsidRPr="004353AA" w:rsidRDefault="00CF1460" w:rsidP="003D7ED5">
            <w:pPr>
              <w:rPr>
                <w:b/>
                <w:color w:val="FFFFFF" w:themeColor="background1"/>
              </w:rPr>
            </w:pPr>
            <w:r w:rsidRPr="004353AA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404" w:type="dxa"/>
            <w:shd w:val="clear" w:color="auto" w:fill="005A70" w:themeFill="accent1"/>
          </w:tcPr>
          <w:p w14:paraId="36D7B25B" w14:textId="77777777" w:rsidR="00CF1460" w:rsidRPr="004353AA" w:rsidRDefault="00CF1460" w:rsidP="003D7ED5">
            <w:pPr>
              <w:rPr>
                <w:b/>
                <w:color w:val="FFFFFF" w:themeColor="background1"/>
              </w:rPr>
            </w:pPr>
            <w:r w:rsidRPr="004353AA"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260" w:type="dxa"/>
            <w:shd w:val="clear" w:color="auto" w:fill="005A70" w:themeFill="accent1"/>
          </w:tcPr>
          <w:p w14:paraId="0BE2307E" w14:textId="77777777" w:rsidR="00CF1460" w:rsidRPr="008F48BE" w:rsidRDefault="00CF1460" w:rsidP="003D7ED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Author</w:t>
            </w:r>
          </w:p>
        </w:tc>
      </w:tr>
      <w:tr w:rsidR="00A96C9D" w14:paraId="75D96352" w14:textId="77777777" w:rsidTr="006C5CD9">
        <w:tc>
          <w:tcPr>
            <w:tcW w:w="1129" w:type="dxa"/>
          </w:tcPr>
          <w:p w14:paraId="74F5BCCD" w14:textId="51FCB9AC" w:rsidR="00A96C9D" w:rsidRDefault="00A96C9D" w:rsidP="00ED5C4E">
            <w:r>
              <w:t>V</w:t>
            </w:r>
            <w:r w:rsidR="00F579B3">
              <w:t>1</w:t>
            </w:r>
            <w:r>
              <w:t>.0</w:t>
            </w:r>
          </w:p>
        </w:tc>
        <w:tc>
          <w:tcPr>
            <w:tcW w:w="1983" w:type="dxa"/>
          </w:tcPr>
          <w:p w14:paraId="1258EC67" w14:textId="743ACBB1" w:rsidR="00A96C9D" w:rsidRDefault="00A96C9D" w:rsidP="00ED5C4E">
            <w:r>
              <w:t>July 2022</w:t>
            </w:r>
          </w:p>
        </w:tc>
        <w:tc>
          <w:tcPr>
            <w:tcW w:w="3404" w:type="dxa"/>
          </w:tcPr>
          <w:p w14:paraId="7871DC7E" w14:textId="51E2F56E" w:rsidR="00A96C9D" w:rsidRDefault="00F579B3" w:rsidP="00ED5C4E">
            <w:r>
              <w:t>Approved O</w:t>
            </w:r>
            <w:r w:rsidR="00A96C9D">
              <w:t>perational guidelines</w:t>
            </w:r>
          </w:p>
        </w:tc>
        <w:tc>
          <w:tcPr>
            <w:tcW w:w="3260" w:type="dxa"/>
          </w:tcPr>
          <w:p w14:paraId="4324CD00" w14:textId="47F240AD" w:rsidR="00A96C9D" w:rsidRDefault="00A96C9D" w:rsidP="00ED5C4E">
            <w:r>
              <w:t>Disability Employment and Carers Branch</w:t>
            </w:r>
          </w:p>
        </w:tc>
      </w:tr>
      <w:tr w:rsidR="00A96C9D" w14:paraId="1A778DC1" w14:textId="77777777" w:rsidTr="006C5CD9">
        <w:tc>
          <w:tcPr>
            <w:tcW w:w="1129" w:type="dxa"/>
          </w:tcPr>
          <w:p w14:paraId="72249FF5" w14:textId="182427EF" w:rsidR="00A96C9D" w:rsidRDefault="00A96C9D" w:rsidP="00ED5C4E">
            <w:r>
              <w:t>V</w:t>
            </w:r>
            <w:r w:rsidR="00F579B3">
              <w:t>2</w:t>
            </w:r>
            <w:r>
              <w:t>.0</w:t>
            </w:r>
          </w:p>
        </w:tc>
        <w:tc>
          <w:tcPr>
            <w:tcW w:w="1983" w:type="dxa"/>
          </w:tcPr>
          <w:p w14:paraId="021972F1" w14:textId="6AB096A3" w:rsidR="00A96C9D" w:rsidRDefault="00A96C9D" w:rsidP="00ED5C4E">
            <w:r>
              <w:t>October 2022</w:t>
            </w:r>
          </w:p>
        </w:tc>
        <w:tc>
          <w:tcPr>
            <w:tcW w:w="3404" w:type="dxa"/>
          </w:tcPr>
          <w:p w14:paraId="255B419F" w14:textId="0781C409" w:rsidR="00A96C9D" w:rsidRDefault="00F579B3" w:rsidP="00ED5C4E">
            <w:r>
              <w:t>Approved</w:t>
            </w:r>
            <w:r w:rsidR="00676BF0">
              <w:t xml:space="preserve"> </w:t>
            </w:r>
            <w:r w:rsidR="00A96C9D">
              <w:t>Operational Guidelines</w:t>
            </w:r>
          </w:p>
        </w:tc>
        <w:tc>
          <w:tcPr>
            <w:tcW w:w="3260" w:type="dxa"/>
          </w:tcPr>
          <w:p w14:paraId="38F141D6" w14:textId="0BBFFA87" w:rsidR="00A96C9D" w:rsidRDefault="00A96C9D" w:rsidP="00ED5C4E">
            <w:r>
              <w:t>Disability Employment and Carers Branch</w:t>
            </w:r>
          </w:p>
        </w:tc>
      </w:tr>
      <w:tr w:rsidR="000668FC" w14:paraId="7AD8EA37" w14:textId="77777777" w:rsidTr="006C5CD9">
        <w:tc>
          <w:tcPr>
            <w:tcW w:w="1129" w:type="dxa"/>
          </w:tcPr>
          <w:p w14:paraId="3BEE46A2" w14:textId="2B61979D" w:rsidR="000668FC" w:rsidRDefault="000668FC" w:rsidP="00ED5C4E">
            <w:r>
              <w:t>V</w:t>
            </w:r>
            <w:r w:rsidR="00F579B3">
              <w:t>3</w:t>
            </w:r>
            <w:r>
              <w:t>.0</w:t>
            </w:r>
          </w:p>
        </w:tc>
        <w:tc>
          <w:tcPr>
            <w:tcW w:w="1983" w:type="dxa"/>
          </w:tcPr>
          <w:p w14:paraId="3F188DA4" w14:textId="03E22B03" w:rsidR="000668FC" w:rsidRDefault="00DF2085" w:rsidP="00ED5C4E">
            <w:r>
              <w:t>August</w:t>
            </w:r>
            <w:r w:rsidR="000668FC">
              <w:t xml:space="preserve"> 2025</w:t>
            </w:r>
          </w:p>
        </w:tc>
        <w:tc>
          <w:tcPr>
            <w:tcW w:w="3404" w:type="dxa"/>
          </w:tcPr>
          <w:p w14:paraId="2BFEAFC9" w14:textId="59F9A084" w:rsidR="000668FC" w:rsidRDefault="009E4C49" w:rsidP="00ED5C4E">
            <w:r>
              <w:t xml:space="preserve">Approved </w:t>
            </w:r>
            <w:r w:rsidR="000668FC">
              <w:t>Operational Guidelines</w:t>
            </w:r>
          </w:p>
        </w:tc>
        <w:tc>
          <w:tcPr>
            <w:tcW w:w="3260" w:type="dxa"/>
          </w:tcPr>
          <w:p w14:paraId="64AA7860" w14:textId="45D16EBC" w:rsidR="000668FC" w:rsidRDefault="000668FC" w:rsidP="00ED5C4E">
            <w:r>
              <w:t>Disability Employment Policy Branch</w:t>
            </w:r>
          </w:p>
        </w:tc>
      </w:tr>
    </w:tbl>
    <w:p w14:paraId="7785E4E0" w14:textId="77777777" w:rsidR="00822751" w:rsidRPr="0034490A" w:rsidRDefault="00822751" w:rsidP="003D7ED5">
      <w:pPr>
        <w:rPr>
          <w:highlight w:val="yellow"/>
        </w:rPr>
      </w:pPr>
    </w:p>
    <w:p w14:paraId="66AA5551" w14:textId="77777777" w:rsidR="00AD4D68" w:rsidRPr="00A405B2" w:rsidRDefault="00AD4D68" w:rsidP="001309A6">
      <w:pPr>
        <w:pStyle w:val="Heading2"/>
      </w:pPr>
      <w:bookmarkStart w:id="240" w:name="_Toc207282717"/>
      <w:r w:rsidRPr="00A405B2">
        <w:t>Glossary</w:t>
      </w:r>
      <w:bookmarkEnd w:id="240"/>
    </w:p>
    <w:tbl>
      <w:tblPr>
        <w:tblStyle w:val="ListTable3-Accent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Glossary"/>
      </w:tblPr>
      <w:tblGrid>
        <w:gridCol w:w="2519"/>
        <w:gridCol w:w="7257"/>
      </w:tblGrid>
      <w:tr w:rsidR="00AD4D68" w:rsidRPr="00507032" w14:paraId="30B5AF46" w14:textId="77777777" w:rsidTr="00244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9" w:type="dxa"/>
            <w:shd w:val="clear" w:color="auto" w:fill="005A70" w:themeFill="accent1"/>
          </w:tcPr>
          <w:p w14:paraId="2F97ECA7" w14:textId="77777777" w:rsidR="00AD4D68" w:rsidRPr="00507032" w:rsidRDefault="00AD4D68" w:rsidP="003D7ED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Term</w:t>
            </w:r>
          </w:p>
        </w:tc>
        <w:tc>
          <w:tcPr>
            <w:tcW w:w="7257" w:type="dxa"/>
            <w:shd w:val="clear" w:color="auto" w:fill="005A70" w:themeFill="accent1"/>
          </w:tcPr>
          <w:p w14:paraId="725E8F8B" w14:textId="77777777" w:rsidR="00AD4D68" w:rsidRPr="00507032" w:rsidRDefault="00AD4D68" w:rsidP="003D7E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Definition or use</w:t>
            </w:r>
          </w:p>
        </w:tc>
      </w:tr>
      <w:tr w:rsidR="00AD4D68" w:rsidRPr="00507032" w14:paraId="0FCD8948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4511D9EF" w14:textId="77777777" w:rsidR="00AD4D68" w:rsidRPr="00507032" w:rsidRDefault="00AD4D68" w:rsidP="003D7E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Access</w:t>
            </w:r>
          </w:p>
        </w:tc>
        <w:tc>
          <w:tcPr>
            <w:tcW w:w="7257" w:type="dxa"/>
          </w:tcPr>
          <w:p w14:paraId="58E286EE" w14:textId="77777777" w:rsidR="00AD4D68" w:rsidRPr="00507032" w:rsidRDefault="00AD4D68" w:rsidP="00AD4D68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Australian Government policy is aimed at ensuring that government services: </w:t>
            </w:r>
          </w:p>
          <w:p w14:paraId="055F41E4" w14:textId="77777777" w:rsidR="00AD4D68" w:rsidRPr="00507032" w:rsidRDefault="00AD4D68" w:rsidP="00411004">
            <w:pPr>
              <w:pStyle w:val="Default"/>
              <w:numPr>
                <w:ilvl w:val="3"/>
                <w:numId w:val="7"/>
              </w:numPr>
              <w:spacing w:before="120" w:after="120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are available to everyone who is entitled to them </w:t>
            </w:r>
          </w:p>
          <w:p w14:paraId="326F6ABF" w14:textId="77777777" w:rsidR="00AD4D68" w:rsidRPr="00507032" w:rsidRDefault="00AD4D68" w:rsidP="00411004">
            <w:pPr>
              <w:pStyle w:val="Default"/>
              <w:numPr>
                <w:ilvl w:val="3"/>
                <w:numId w:val="7"/>
              </w:numPr>
              <w:spacing w:before="120" w:after="120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are free of discrimination including discrimination of a person’s country of birth, language, gender, disability, culture, race or religion </w:t>
            </w:r>
          </w:p>
          <w:p w14:paraId="775EED96" w14:textId="77777777" w:rsidR="00AD4D68" w:rsidRPr="00507032" w:rsidRDefault="00AD4D68" w:rsidP="00411004">
            <w:pPr>
              <w:pStyle w:val="Default"/>
              <w:numPr>
                <w:ilvl w:val="3"/>
                <w:numId w:val="7"/>
              </w:numPr>
              <w:spacing w:before="120" w:after="120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take into account the needs and differences of clients </w:t>
            </w:r>
          </w:p>
        </w:tc>
      </w:tr>
      <w:tr w:rsidR="00793FB7" w:rsidRPr="00507032" w14:paraId="42541FE0" w14:textId="77777777" w:rsidTr="0024424A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48087768" w14:textId="396DDA4D" w:rsidR="00793FB7" w:rsidDel="001D50A4" w:rsidRDefault="00793FB7" w:rsidP="00793F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Adult Mental Health pilot</w:t>
            </w:r>
          </w:p>
        </w:tc>
        <w:tc>
          <w:tcPr>
            <w:tcW w:w="7257" w:type="dxa"/>
          </w:tcPr>
          <w:p w14:paraId="07D99C76" w14:textId="1DB2B921" w:rsidR="00793FB7" w:rsidRPr="002A424B" w:rsidDel="001D50A4" w:rsidRDefault="00793FB7" w:rsidP="00793FB7">
            <w:pPr>
              <w:shd w:val="clear" w:color="auto" w:fill="FFFFFF"/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</w:pPr>
            <w:r w:rsidRPr="002A424B">
              <w:rPr>
                <w:sz w:val="20"/>
                <w:szCs w:val="20"/>
              </w:rPr>
              <w:t>A pilot funded by Department</w:t>
            </w:r>
            <w:r w:rsidR="006E4DF7">
              <w:rPr>
                <w:sz w:val="20"/>
                <w:szCs w:val="20"/>
              </w:rPr>
              <w:t xml:space="preserve"> </w:t>
            </w:r>
            <w:r w:rsidRPr="002A424B">
              <w:rPr>
                <w:sz w:val="20"/>
                <w:szCs w:val="20"/>
              </w:rPr>
              <w:t xml:space="preserve">of Social Services to </w:t>
            </w:r>
            <w:r w:rsidRPr="002A424B">
              <w:rPr>
                <w:bCs/>
                <w:sz w:val="20"/>
                <w:szCs w:val="20"/>
              </w:rPr>
              <w:t>assess the feasibility of expanding the delivery of the IPS program to adults with mental ill health in M</w:t>
            </w:r>
            <w:r w:rsidR="00437CF2" w:rsidRPr="002A424B">
              <w:rPr>
                <w:bCs/>
                <w:sz w:val="20"/>
                <w:szCs w:val="20"/>
              </w:rPr>
              <w:t xml:space="preserve">edicare </w:t>
            </w:r>
            <w:r w:rsidRPr="002A424B">
              <w:rPr>
                <w:bCs/>
                <w:sz w:val="20"/>
                <w:szCs w:val="20"/>
              </w:rPr>
              <w:t>M</w:t>
            </w:r>
            <w:r w:rsidR="00437CF2" w:rsidRPr="002A424B">
              <w:rPr>
                <w:bCs/>
                <w:sz w:val="20"/>
                <w:szCs w:val="20"/>
              </w:rPr>
              <w:t xml:space="preserve">ental </w:t>
            </w:r>
            <w:r w:rsidRPr="002A424B">
              <w:rPr>
                <w:bCs/>
                <w:sz w:val="20"/>
                <w:szCs w:val="20"/>
              </w:rPr>
              <w:t>H</w:t>
            </w:r>
            <w:r w:rsidR="00437CF2" w:rsidRPr="002A424B">
              <w:rPr>
                <w:bCs/>
                <w:sz w:val="20"/>
                <w:szCs w:val="20"/>
              </w:rPr>
              <w:t>ealth</w:t>
            </w:r>
            <w:r w:rsidRPr="002A424B">
              <w:rPr>
                <w:bCs/>
                <w:sz w:val="20"/>
                <w:szCs w:val="20"/>
              </w:rPr>
              <w:t xml:space="preserve"> centres.</w:t>
            </w:r>
          </w:p>
        </w:tc>
      </w:tr>
      <w:tr w:rsidR="00793FB7" w:rsidRPr="00507032" w14:paraId="2FDE54B3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3C9A14CD" w14:textId="77777777" w:rsidR="00793FB7" w:rsidRPr="00507032" w:rsidRDefault="00793FB7" w:rsidP="00793F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Brokerage</w:t>
            </w:r>
          </w:p>
        </w:tc>
        <w:tc>
          <w:tcPr>
            <w:tcW w:w="7257" w:type="dxa"/>
          </w:tcPr>
          <w:p w14:paraId="7E1CBF28" w14:textId="77777777" w:rsidR="00793FB7" w:rsidRPr="00507032" w:rsidRDefault="00793FB7" w:rsidP="00793FB7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When a service provider pays for the services or goods of another organisation or individual to assist a client with particular needs.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br/>
              <w:t>Brokerage is considered a form of subcontracting.</w:t>
            </w:r>
          </w:p>
        </w:tc>
      </w:tr>
      <w:tr w:rsidR="00793FB7" w:rsidRPr="00507032" w14:paraId="103BEAE2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7F64118B" w14:textId="77777777" w:rsidR="00793FB7" w:rsidRPr="00507032" w:rsidRDefault="00793FB7" w:rsidP="00793F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Caseload</w:t>
            </w:r>
          </w:p>
        </w:tc>
        <w:tc>
          <w:tcPr>
            <w:tcW w:w="7257" w:type="dxa"/>
          </w:tcPr>
          <w:p w14:paraId="3D01FC61" w14:textId="77777777" w:rsidR="00793FB7" w:rsidRPr="00507032" w:rsidRDefault="00793FB7" w:rsidP="00793FB7">
            <w:pPr>
              <w:pStyle w:val="Defaul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number of 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participants</w:t>
            </w:r>
            <w:r w:rsidRPr="005070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that each Vocational Specialist may be providing intensive support to at any given time.</w:t>
            </w:r>
          </w:p>
        </w:tc>
      </w:tr>
      <w:tr w:rsidR="00793FB7" w:rsidRPr="00507032" w14:paraId="3EEAFBA3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65AEAB2E" w14:textId="77777777" w:rsidR="00793FB7" w:rsidRPr="00507032" w:rsidRDefault="00793FB7" w:rsidP="00793F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Cultural Competence</w:t>
            </w:r>
          </w:p>
        </w:tc>
        <w:tc>
          <w:tcPr>
            <w:tcW w:w="7257" w:type="dxa"/>
          </w:tcPr>
          <w:p w14:paraId="78E9DDB2" w14:textId="77777777" w:rsidR="00793FB7" w:rsidRPr="00507032" w:rsidRDefault="00793FB7" w:rsidP="00793FB7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The ability to interact effectively with people of different cultures, particularly in the context of non-profit organisations and government agencies whose </w:t>
            </w:r>
            <w:r w:rsidRPr="00507032">
              <w:rPr>
                <w:rFonts w:asciiTheme="minorHAnsi" w:hAnsiTheme="minorHAnsi" w:cstheme="minorHAnsi"/>
                <w:bCs/>
                <w:sz w:val="20"/>
                <w:szCs w:val="20"/>
              </w:rPr>
              <w:t>employees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 work with persons from different cultural/ethnic backgrounds.</w:t>
            </w:r>
          </w:p>
        </w:tc>
      </w:tr>
      <w:tr w:rsidR="00793FB7" w:rsidRPr="00507032" w14:paraId="2CC7988D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57C46D5C" w14:textId="77777777" w:rsidR="00793FB7" w:rsidRPr="00507032" w:rsidRDefault="00793FB7" w:rsidP="00793F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7257" w:type="dxa"/>
          </w:tcPr>
          <w:p w14:paraId="25A457C3" w14:textId="77777777" w:rsidR="00793FB7" w:rsidRPr="00507032" w:rsidRDefault="00793FB7" w:rsidP="00793FB7">
            <w:pPr>
              <w:pStyle w:val="Defaul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Information collected for a specific purpose. </w:t>
            </w:r>
          </w:p>
        </w:tc>
      </w:tr>
      <w:tr w:rsidR="00793FB7" w:rsidRPr="00507032" w14:paraId="621D36D1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0034225B" w14:textId="77777777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Data Exchange (DEX) </w:t>
            </w:r>
          </w:p>
        </w:tc>
        <w:tc>
          <w:tcPr>
            <w:tcW w:w="7257" w:type="dxa"/>
          </w:tcPr>
          <w:p w14:paraId="6B16BB52" w14:textId="79DA7CB1" w:rsidR="00793FB7" w:rsidRPr="00507032" w:rsidRDefault="009B1848" w:rsidP="00793FB7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DEX</w:t>
            </w:r>
            <w:r w:rsidR="00793FB7"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 is the program performance reporting solution developed by the Department of Social Services in consultation with organisations and clients, in response to the Australian Government’s commitment to empower civil society organisations. </w:t>
            </w:r>
            <w:r w:rsidR="00793FB7" w:rsidRPr="00507032">
              <w:rPr>
                <w:rFonts w:asciiTheme="minorHAnsi" w:hAnsiTheme="minorHAnsi" w:cstheme="minorHAnsi"/>
                <w:sz w:val="20"/>
                <w:szCs w:val="20"/>
              </w:rPr>
              <w:br/>
              <w:t>For more information visit the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r w:rsidR="00793FB7"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 website at </w:t>
            </w:r>
            <w:hyperlink r:id="rId31" w:history="1">
              <w:r w:rsidR="00793FB7" w:rsidRPr="00F97CC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dex.dss.gov.au</w:t>
              </w:r>
            </w:hyperlink>
          </w:p>
        </w:tc>
      </w:tr>
      <w:tr w:rsidR="00793FB7" w:rsidRPr="00507032" w14:paraId="4BCA1DB0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bottom w:val="single" w:sz="4" w:space="0" w:color="auto"/>
            </w:tcBorders>
          </w:tcPr>
          <w:p w14:paraId="15CCEC16" w14:textId="77777777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Funding</w:t>
            </w:r>
          </w:p>
        </w:tc>
        <w:tc>
          <w:tcPr>
            <w:tcW w:w="7257" w:type="dxa"/>
            <w:tcBorders>
              <w:bottom w:val="single" w:sz="4" w:space="0" w:color="auto"/>
            </w:tcBorders>
          </w:tcPr>
          <w:p w14:paraId="7189BAA4" w14:textId="77777777" w:rsidR="00793FB7" w:rsidRPr="00507032" w:rsidRDefault="00793FB7" w:rsidP="00793FB7">
            <w:pPr>
              <w:pStyle w:val="Defaul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Public money given to a service provider delivering the service outlined in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rant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greement and includes interest earned on the money. </w:t>
            </w:r>
          </w:p>
        </w:tc>
      </w:tr>
      <w:tr w:rsidR="00793FB7" w:rsidRPr="00507032" w14:paraId="4C90CC7F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auto"/>
              <w:bottom w:val="single" w:sz="4" w:space="0" w:color="auto"/>
            </w:tcBorders>
          </w:tcPr>
          <w:p w14:paraId="23E1C95F" w14:textId="77777777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Funding Arrangement Manager (FAM)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14:paraId="27F71296" w14:textId="4DEE8B02" w:rsidR="00793FB7" w:rsidRPr="00507032" w:rsidRDefault="00793FB7" w:rsidP="00793FB7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B8500A">
              <w:rPr>
                <w:rFonts w:asciiTheme="minorHAnsi" w:hAnsiTheme="minorHAnsi" w:cstheme="minorHAnsi"/>
                <w:sz w:val="20"/>
                <w:szCs w:val="20"/>
              </w:rPr>
              <w:t>Department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al officer responsible for the ongoing management of the grantee (the IPS provider) and their compliance with the Grant Agreement.</w:t>
            </w:r>
          </w:p>
        </w:tc>
      </w:tr>
      <w:tr w:rsidR="00793FB7" w:rsidRPr="00507032" w14:paraId="0679C1B5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auto"/>
            </w:tcBorders>
          </w:tcPr>
          <w:p w14:paraId="6A021354" w14:textId="77777777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Grant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14:paraId="6CAC6CA2" w14:textId="77777777" w:rsidR="00793FB7" w:rsidRPr="00507032" w:rsidRDefault="00793FB7" w:rsidP="00793FB7">
            <w:pPr>
              <w:pStyle w:val="Defaul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An arrangement for the provision of financial assistance by the Commonwealth or on behalf of the Commonwealth:</w:t>
            </w:r>
          </w:p>
          <w:p w14:paraId="2DD06B01" w14:textId="77777777" w:rsidR="00793FB7" w:rsidRPr="00507032" w:rsidRDefault="00793FB7" w:rsidP="00411004">
            <w:pPr>
              <w:pStyle w:val="Default"/>
              <w:numPr>
                <w:ilvl w:val="3"/>
                <w:numId w:val="7"/>
              </w:numPr>
              <w:spacing w:before="120" w:after="120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Under which relevant money or other Commonwealth Resource Fund money is to be paid to a grantee other than the Commonwealth</w:t>
            </w:r>
          </w:p>
          <w:p w14:paraId="2FA5CB6C" w14:textId="77777777" w:rsidR="00793FB7" w:rsidRPr="00507032" w:rsidRDefault="00793FB7" w:rsidP="00411004">
            <w:pPr>
              <w:pStyle w:val="Default"/>
              <w:numPr>
                <w:ilvl w:val="3"/>
                <w:numId w:val="7"/>
              </w:numPr>
              <w:spacing w:before="120" w:after="120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Which is intended to help address one or more of the Australian Government’s policy outcomes while assisting the grantee achieve its objectives.</w:t>
            </w:r>
          </w:p>
        </w:tc>
      </w:tr>
      <w:tr w:rsidR="00793FB7" w:rsidRPr="00507032" w14:paraId="4E2F5ABC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bottom w:val="single" w:sz="4" w:space="0" w:color="auto"/>
            </w:tcBorders>
          </w:tcPr>
          <w:p w14:paraId="0808FD92" w14:textId="77777777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Grant agreement</w:t>
            </w:r>
          </w:p>
        </w:tc>
        <w:tc>
          <w:tcPr>
            <w:tcW w:w="7257" w:type="dxa"/>
            <w:tcBorders>
              <w:bottom w:val="single" w:sz="4" w:space="0" w:color="auto"/>
            </w:tcBorders>
          </w:tcPr>
          <w:p w14:paraId="5BF48216" w14:textId="522E560D" w:rsidR="00793FB7" w:rsidRPr="00507032" w:rsidRDefault="00793FB7" w:rsidP="00793FB7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The legal contract between the Department and the auspice body/service provider that outlines service delivery, accountability and reporting requirements. </w:t>
            </w:r>
          </w:p>
        </w:tc>
      </w:tr>
      <w:tr w:rsidR="00793FB7" w:rsidRPr="00507032" w14:paraId="784234F8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auto"/>
              <w:bottom w:val="nil"/>
            </w:tcBorders>
          </w:tcPr>
          <w:p w14:paraId="09B8C8D9" w14:textId="77777777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Individual Placement and Support (IPS)</w:t>
            </w:r>
          </w:p>
        </w:tc>
        <w:tc>
          <w:tcPr>
            <w:tcW w:w="7257" w:type="dxa"/>
            <w:tcBorders>
              <w:top w:val="single" w:sz="4" w:space="0" w:color="auto"/>
              <w:bottom w:val="nil"/>
            </w:tcBorders>
          </w:tcPr>
          <w:p w14:paraId="10FDEB8D" w14:textId="77777777" w:rsidR="00793FB7" w:rsidRPr="00507032" w:rsidRDefault="00793FB7" w:rsidP="00793FB7">
            <w:pPr>
              <w:pStyle w:val="Defaul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An evidence-based, supported employment model to assist people with mental ill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health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 to seek and obtain employment.</w:t>
            </w:r>
          </w:p>
        </w:tc>
      </w:tr>
      <w:tr w:rsidR="00793FB7" w:rsidRPr="00507032" w14:paraId="2079496B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nil"/>
            </w:tcBorders>
          </w:tcPr>
          <w:p w14:paraId="1EF70981" w14:textId="77777777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IPS program provider</w:t>
            </w:r>
          </w:p>
        </w:tc>
        <w:tc>
          <w:tcPr>
            <w:tcW w:w="7257" w:type="dxa"/>
            <w:tcBorders>
              <w:top w:val="nil"/>
            </w:tcBorders>
          </w:tcPr>
          <w:p w14:paraId="063453A3" w14:textId="77777777" w:rsidR="00793FB7" w:rsidRPr="00507032" w:rsidRDefault="00793FB7" w:rsidP="00793FB7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The organisation funded by the Australian Government to provide the IPS program service in accordance with an executed grant agreement. </w:t>
            </w:r>
          </w:p>
        </w:tc>
      </w:tr>
      <w:tr w:rsidR="00793FB7" w:rsidRPr="00507032" w14:paraId="674C1EB8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68023FFF" w14:textId="77777777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IPS Vocational Specialist</w:t>
            </w:r>
          </w:p>
        </w:tc>
        <w:tc>
          <w:tcPr>
            <w:tcW w:w="7257" w:type="dxa"/>
          </w:tcPr>
          <w:p w14:paraId="395E0755" w14:textId="77777777" w:rsidR="00793FB7" w:rsidRPr="00507032" w:rsidRDefault="00793FB7" w:rsidP="00793F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7032">
              <w:rPr>
                <w:rFonts w:asciiTheme="minorHAnsi" w:hAnsiTheme="minorHAnsi" w:cstheme="minorHAnsi"/>
                <w:bCs/>
                <w:sz w:val="20"/>
                <w:szCs w:val="20"/>
              </w:rPr>
              <w:t>A specialist IPS worker employed to assist people with mental ill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health</w:t>
            </w:r>
            <w:r w:rsidRPr="005070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who are willing to engage with employment services or educational training and take part in the IPS program.</w:t>
            </w:r>
          </w:p>
        </w:tc>
      </w:tr>
      <w:tr w:rsidR="00793FB7" w:rsidRPr="00507032" w14:paraId="3BBD1C29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6E4366B0" w14:textId="3216BA09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2AB7">
              <w:rPr>
                <w:rFonts w:asciiTheme="minorHAnsi" w:hAnsiTheme="minorHAnsi" w:cstheme="minorHAnsi"/>
                <w:sz w:val="20"/>
                <w:szCs w:val="20"/>
              </w:rPr>
              <w:t>Medicare Mental Health</w:t>
            </w:r>
            <w:r w:rsidR="00C3116E">
              <w:rPr>
                <w:rFonts w:asciiTheme="minorHAnsi" w:hAnsiTheme="minorHAnsi" w:cstheme="minorHAnsi"/>
                <w:sz w:val="20"/>
                <w:szCs w:val="20"/>
              </w:rPr>
              <w:t xml:space="preserve"> (MMH)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centre</w:t>
            </w:r>
          </w:p>
        </w:tc>
        <w:tc>
          <w:tcPr>
            <w:tcW w:w="7257" w:type="dxa"/>
          </w:tcPr>
          <w:p w14:paraId="787F745C" w14:textId="60FFF739" w:rsidR="00793FB7" w:rsidRPr="0096104B" w:rsidRDefault="00C3116E" w:rsidP="00793FB7">
            <w:pPr>
              <w:shd w:val="clear" w:color="auto" w:fill="FFFFFF"/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>MMH</w:t>
            </w:r>
            <w:r w:rsidR="00793FB7" w:rsidRPr="00CF2AB7"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 xml:space="preserve"> </w:t>
            </w:r>
            <w:r w:rsidR="00793FB7" w:rsidRPr="0096104B"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 xml:space="preserve">centres provide a space for people, their family and friends, who may be in distress or crisis, or need help finding the right mental health services for their individual needs. </w:t>
            </w:r>
          </w:p>
          <w:p w14:paraId="2AC752B8" w14:textId="56ED4D39" w:rsidR="00793FB7" w:rsidRPr="00507032" w:rsidRDefault="00B42ADC" w:rsidP="0079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>MMH centres</w:t>
            </w:r>
            <w:r w:rsidR="00793FB7" w:rsidRPr="00CF2AB7"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>are</w:t>
            </w:r>
            <w:r w:rsidR="00793FB7" w:rsidRPr="0096104B"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 xml:space="preserve"> an Australian Government initiative delivered in 202</w:t>
            </w:r>
            <w:r w:rsidR="00DC5E3E"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>1 formerly as Adult Mental Health centres,</w:t>
            </w:r>
            <w:r w:rsidR="00793FB7" w:rsidRPr="0096104B"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 xml:space="preserve"> to establish a community mental health services network to provide multiple entry pathways (website, phone and face-to-face through physical centres and satellites) into mental health services</w:t>
            </w:r>
            <w:r w:rsidR="003D422E"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 xml:space="preserve"> for adults</w:t>
            </w:r>
            <w:r w:rsidR="00793FB7" w:rsidRPr="0096104B"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>.</w:t>
            </w:r>
          </w:p>
        </w:tc>
      </w:tr>
      <w:tr w:rsidR="00AE5134" w:rsidRPr="00507032" w14:paraId="793E0FB1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043DA0DD" w14:textId="6AD31195" w:rsidR="00AE5134" w:rsidRDefault="00AE5134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Mental</w:t>
            </w:r>
            <w:r w:rsidR="006E4EB2">
              <w:rPr>
                <w:rFonts w:asciiTheme="minorHAnsi" w:hAnsiTheme="minorHAnsi" w:cstheme="minorHAnsi"/>
                <w:sz w:val="20"/>
                <w:szCs w:val="20"/>
              </w:rPr>
              <w:t xml:space="preserve"> ill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4EB2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ealth</w:t>
            </w:r>
          </w:p>
        </w:tc>
        <w:tc>
          <w:tcPr>
            <w:tcW w:w="7257" w:type="dxa"/>
          </w:tcPr>
          <w:p w14:paraId="4B50E3C0" w14:textId="2E686FE4" w:rsidR="00AE5134" w:rsidRPr="00507032" w:rsidRDefault="00AE5134" w:rsidP="00793F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5134"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 xml:space="preserve">A </w:t>
            </w:r>
            <w:r w:rsidR="00232D03"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 xml:space="preserve">broad term encompassing mental distress and other mental </w:t>
            </w:r>
            <w:r w:rsidR="004B4588">
              <w:rPr>
                <w:rFonts w:asciiTheme="minorHAnsi" w:eastAsiaTheme="minorHAnsi" w:hAnsiTheme="minorHAnsi" w:cstheme="minorHAnsi"/>
                <w:color w:val="000000"/>
                <w:spacing w:val="0"/>
                <w:sz w:val="20"/>
                <w:szCs w:val="20"/>
                <w:lang w:eastAsia="en-US"/>
              </w:rPr>
              <w:t xml:space="preserve">health conditions that significantly affect a person’s thinking, feeling and behaviour, which can impact their ability to cope with daily life, work and relationships. </w:t>
            </w:r>
          </w:p>
        </w:tc>
      </w:tr>
      <w:tr w:rsidR="00793FB7" w:rsidRPr="00507032" w14:paraId="0A4E1D3E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60EE1707" w14:textId="01003F5B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Mental ill</w:t>
            </w:r>
            <w:r w:rsidR="00AE5134">
              <w:rPr>
                <w:rFonts w:asciiTheme="minorHAnsi" w:hAnsiTheme="minorHAnsi" w:cstheme="minorHAnsi"/>
                <w:sz w:val="20"/>
                <w:szCs w:val="20"/>
              </w:rPr>
              <w:t>ness</w:t>
            </w:r>
          </w:p>
        </w:tc>
        <w:tc>
          <w:tcPr>
            <w:tcW w:w="7257" w:type="dxa"/>
          </w:tcPr>
          <w:p w14:paraId="28F641FC" w14:textId="77777777" w:rsidR="00793FB7" w:rsidRPr="00507032" w:rsidRDefault="00793FB7" w:rsidP="00793F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A diagnosable disorder that significantly interferes with an individual's cognitive, emotional or social abilities. Under this program, participants do not require a formal diagnosis. </w:t>
            </w:r>
          </w:p>
        </w:tc>
      </w:tr>
      <w:tr w:rsidR="00793FB7" w:rsidRPr="00507032" w14:paraId="67F4D8A8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71C48BF1" w14:textId="77777777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Organisation </w:t>
            </w:r>
          </w:p>
        </w:tc>
        <w:tc>
          <w:tcPr>
            <w:tcW w:w="7257" w:type="dxa"/>
          </w:tcPr>
          <w:p w14:paraId="1C399424" w14:textId="77777777" w:rsidR="00793FB7" w:rsidRPr="00507032" w:rsidRDefault="00793FB7" w:rsidP="00793FB7">
            <w:pPr>
              <w:pStyle w:val="Defaul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Legal entity in the non-government sector.</w:t>
            </w:r>
          </w:p>
        </w:tc>
      </w:tr>
      <w:tr w:rsidR="00793FB7" w:rsidRPr="00507032" w14:paraId="6FCE2FD4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37288BFC" w14:textId="77777777" w:rsidR="00793FB7" w:rsidRPr="00507032" w:rsidRDefault="00793FB7" w:rsidP="00793FB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Participant</w:t>
            </w:r>
          </w:p>
        </w:tc>
        <w:tc>
          <w:tcPr>
            <w:tcW w:w="7257" w:type="dxa"/>
          </w:tcPr>
          <w:p w14:paraId="298F0C0E" w14:textId="77777777" w:rsidR="00793FB7" w:rsidRPr="00507032" w:rsidRDefault="00793FB7" w:rsidP="00793F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A person receiving IPS services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through the AMH pilot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93FB7" w:rsidRPr="00507032" w14:paraId="0381C9F5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540DC170" w14:textId="77777777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Partnership approach</w:t>
            </w:r>
          </w:p>
        </w:tc>
        <w:tc>
          <w:tcPr>
            <w:tcW w:w="7257" w:type="dxa"/>
          </w:tcPr>
          <w:p w14:paraId="2EC2D568" w14:textId="37261128" w:rsidR="00793FB7" w:rsidRPr="00507032" w:rsidRDefault="00793FB7" w:rsidP="00793FB7">
            <w:pPr>
              <w:pStyle w:val="Defaul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The partnership approach is an extended data set that providers share with the Department, intended as a genuine collaboration between government and the sector to exchange knowledge and share resources to inform service delivery. </w:t>
            </w:r>
          </w:p>
        </w:tc>
      </w:tr>
      <w:tr w:rsidR="00793FB7" w:rsidRPr="00507032" w14:paraId="1437A4AA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252D60F2" w14:textId="77777777" w:rsidR="00793FB7" w:rsidRPr="00507032" w:rsidRDefault="00793FB7" w:rsidP="00793FB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Performance</w:t>
            </w:r>
          </w:p>
        </w:tc>
        <w:tc>
          <w:tcPr>
            <w:tcW w:w="7257" w:type="dxa"/>
          </w:tcPr>
          <w:p w14:paraId="58ECEC72" w14:textId="77777777" w:rsidR="00793FB7" w:rsidRPr="00507032" w:rsidRDefault="00793FB7" w:rsidP="00793FB7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The extent to which objectives or targets are achieved, the efficiency with which resources are allocated and the probity, equity and fairness with which outcomes are achieved. </w:t>
            </w:r>
          </w:p>
        </w:tc>
      </w:tr>
      <w:tr w:rsidR="00793FB7" w:rsidRPr="00507032" w14:paraId="4965CA07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35B4B9AB" w14:textId="77777777" w:rsidR="00793FB7" w:rsidRPr="00507032" w:rsidRDefault="00793FB7" w:rsidP="00793F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Risk</w:t>
            </w:r>
          </w:p>
        </w:tc>
        <w:tc>
          <w:tcPr>
            <w:tcW w:w="7257" w:type="dxa"/>
          </w:tcPr>
          <w:p w14:paraId="71439987" w14:textId="77777777" w:rsidR="00793FB7" w:rsidRPr="00507032" w:rsidRDefault="00793FB7" w:rsidP="00793FB7">
            <w:pPr>
              <w:pStyle w:val="Defaul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The chance of something happening that will have an impact on objectives, measured in terms of consequences and likelihood. </w:t>
            </w:r>
          </w:p>
        </w:tc>
      </w:tr>
      <w:tr w:rsidR="00793FB7" w:rsidRPr="00507032" w14:paraId="560A8400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bottom w:val="single" w:sz="4" w:space="0" w:color="auto"/>
            </w:tcBorders>
          </w:tcPr>
          <w:p w14:paraId="61043D4A" w14:textId="77777777" w:rsidR="00793FB7" w:rsidRPr="00507032" w:rsidRDefault="00793FB7" w:rsidP="00793F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Stakeholders</w:t>
            </w:r>
          </w:p>
        </w:tc>
        <w:tc>
          <w:tcPr>
            <w:tcW w:w="7257" w:type="dxa"/>
            <w:tcBorders>
              <w:bottom w:val="single" w:sz="4" w:space="0" w:color="auto"/>
            </w:tcBorders>
          </w:tcPr>
          <w:p w14:paraId="7AB03C69" w14:textId="77777777" w:rsidR="00793FB7" w:rsidRPr="00507032" w:rsidRDefault="00793FB7" w:rsidP="00793FB7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Individuals, organisations or networks that have, or potentially have, a relationship or interest in the work undertaken by providers.</w:t>
            </w:r>
          </w:p>
        </w:tc>
      </w:tr>
      <w:tr w:rsidR="00793FB7" w:rsidRPr="00507032" w14:paraId="26313A59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auto"/>
              <w:bottom w:val="single" w:sz="4" w:space="0" w:color="auto"/>
            </w:tcBorders>
          </w:tcPr>
          <w:p w14:paraId="6C76D794" w14:textId="77777777" w:rsidR="00793FB7" w:rsidRPr="00507032" w:rsidRDefault="00793FB7" w:rsidP="00793F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Supported Employment Fidelity Scale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14:paraId="263931F8" w14:textId="77777777" w:rsidR="00793FB7" w:rsidRPr="00507032" w:rsidRDefault="00793FB7" w:rsidP="00793F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A 25-point scale used to ensure fidelity to the IPS model.  The Australia and New Zealand Version 2.0, 28 October 2011, is a slight adaptation of The Dartmouth Supported Employment Fidelity Scale.</w:t>
            </w:r>
          </w:p>
          <w:p w14:paraId="7B3EAB77" w14:textId="77777777" w:rsidR="00793FB7" w:rsidRPr="00507032" w:rsidRDefault="00793FB7" w:rsidP="00793F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See </w:t>
            </w:r>
            <w:hyperlink r:id="rId32" w:history="1">
              <w:r w:rsidRPr="00FA048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http://www.waamh.org.au/assets/documents/ips/supported-employment-fidelity-scale.pdf</w:t>
              </w:r>
            </w:hyperlink>
          </w:p>
          <w:p w14:paraId="2E44F329" w14:textId="77777777" w:rsidR="00793FB7" w:rsidRPr="00507032" w:rsidRDefault="00793FB7" w:rsidP="00793F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Also known as the IPS Model Fidelity Scale.</w:t>
            </w:r>
          </w:p>
        </w:tc>
      </w:tr>
      <w:tr w:rsidR="00793FB7" w:rsidRPr="00507032" w14:paraId="6842D973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auto"/>
            </w:tcBorders>
          </w:tcPr>
          <w:p w14:paraId="499822A0" w14:textId="77777777" w:rsidR="00793FB7" w:rsidRPr="00507032" w:rsidRDefault="00793FB7" w:rsidP="00793F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Sustainable Employment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14:paraId="6C753A1A" w14:textId="77995617" w:rsidR="00793FB7" w:rsidRPr="00507032" w:rsidRDefault="00793FB7" w:rsidP="00793F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Sustainable employed is considered to be employment for a minimum of 26 weeks. This is captured in </w:t>
            </w:r>
            <w:r w:rsidR="009B1848">
              <w:rPr>
                <w:rFonts w:asciiTheme="minorHAnsi" w:hAnsiTheme="minorHAnsi" w:cstheme="minorHAnsi"/>
                <w:sz w:val="20"/>
                <w:szCs w:val="20"/>
              </w:rPr>
              <w:t>DEX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 reporting. </w:t>
            </w:r>
          </w:p>
        </w:tc>
      </w:tr>
      <w:tr w:rsidR="00793FB7" w:rsidRPr="00507032" w14:paraId="65A58020" w14:textId="77777777" w:rsidTr="00244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bottom w:val="single" w:sz="4" w:space="0" w:color="auto"/>
            </w:tcBorders>
          </w:tcPr>
          <w:p w14:paraId="679D0118" w14:textId="4E78DC74" w:rsidR="00793FB7" w:rsidRPr="00507032" w:rsidRDefault="00793FB7" w:rsidP="00793F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gramStart"/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Department )</w:t>
            </w:r>
            <w:proofErr w:type="gramEnd"/>
          </w:p>
        </w:tc>
        <w:tc>
          <w:tcPr>
            <w:tcW w:w="7257" w:type="dxa"/>
            <w:tcBorders>
              <w:bottom w:val="single" w:sz="4" w:space="0" w:color="auto"/>
            </w:tcBorders>
          </w:tcPr>
          <w:p w14:paraId="0D3FDA47" w14:textId="0E78A3B3" w:rsidR="00793FB7" w:rsidRPr="00507032" w:rsidRDefault="00793FB7" w:rsidP="00793FB7">
            <w:pPr>
              <w:pStyle w:val="Defaul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The Australian Government Department of Social Services. </w:t>
            </w:r>
          </w:p>
        </w:tc>
      </w:tr>
      <w:tr w:rsidR="00793FB7" w:rsidRPr="00507032" w14:paraId="73279935" w14:textId="77777777" w:rsidTr="0024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auto"/>
              <w:bottom w:val="single" w:sz="4" w:space="0" w:color="auto"/>
            </w:tcBorders>
          </w:tcPr>
          <w:p w14:paraId="19313D85" w14:textId="77777777" w:rsidR="00793FB7" w:rsidRPr="00507032" w:rsidRDefault="00793FB7" w:rsidP="00793F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>Terms and Conditions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14:paraId="1111CE64" w14:textId="0DAE1D32" w:rsidR="00793FB7" w:rsidRPr="00507032" w:rsidRDefault="00793FB7" w:rsidP="00793F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The terms and conditions of the standard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rant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greement between the </w:t>
            </w:r>
            <w:r w:rsidR="00B8500A">
              <w:rPr>
                <w:rFonts w:asciiTheme="minorHAnsi" w:hAnsiTheme="minorHAnsi" w:cstheme="minorHAnsi"/>
                <w:sz w:val="20"/>
                <w:szCs w:val="20"/>
              </w:rPr>
              <w:t>Department</w:t>
            </w:r>
            <w:r w:rsidRPr="00507032">
              <w:rPr>
                <w:rFonts w:asciiTheme="minorHAnsi" w:hAnsiTheme="minorHAnsi" w:cstheme="minorHAnsi"/>
                <w:sz w:val="20"/>
                <w:szCs w:val="20"/>
              </w:rPr>
              <w:t xml:space="preserve"> and grantees.</w:t>
            </w:r>
          </w:p>
        </w:tc>
      </w:tr>
    </w:tbl>
    <w:p w14:paraId="512D8003" w14:textId="77777777" w:rsidR="00EA1DBE" w:rsidRDefault="00EA1DBE">
      <w:pPr>
        <w:spacing w:before="0" w:after="200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</w:p>
    <w:p w14:paraId="5994D35F" w14:textId="77777777" w:rsidR="00570A25" w:rsidRDefault="00570A25">
      <w:pPr>
        <w:spacing w:before="0" w:after="200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14:paraId="3D7DCD03" w14:textId="77777777" w:rsidR="00817945" w:rsidRPr="006C5CD9" w:rsidRDefault="00817945" w:rsidP="006C5CD9">
      <w:pPr>
        <w:pStyle w:val="Heading1"/>
        <w:numPr>
          <w:ilvl w:val="0"/>
          <w:numId w:val="0"/>
        </w:numPr>
        <w:rPr>
          <w:b w:val="0"/>
        </w:rPr>
      </w:pPr>
      <w:bookmarkStart w:id="241" w:name="_Attachment_A_-"/>
      <w:bookmarkStart w:id="242" w:name="_Toc207282718"/>
      <w:bookmarkEnd w:id="241"/>
      <w:r w:rsidRPr="006C5CD9">
        <w:rPr>
          <w:b w:val="0"/>
        </w:rPr>
        <w:lastRenderedPageBreak/>
        <w:t>Attachment A</w:t>
      </w:r>
      <w:r w:rsidR="006C5CD9" w:rsidRPr="006C5CD9">
        <w:rPr>
          <w:b w:val="0"/>
        </w:rPr>
        <w:t xml:space="preserve"> - </w:t>
      </w:r>
      <w:r w:rsidRPr="006C5CD9">
        <w:rPr>
          <w:b w:val="0"/>
        </w:rPr>
        <w:t>Privacy Incident Management</w:t>
      </w:r>
      <w:bookmarkEnd w:id="242"/>
    </w:p>
    <w:p w14:paraId="1E2EBC57" w14:textId="31545399" w:rsidR="00817945" w:rsidRDefault="00817945" w:rsidP="00450EA4">
      <w:pPr>
        <w:spacing w:before="240" w:after="288"/>
      </w:pPr>
      <w:r w:rsidRPr="0058059E">
        <w:t xml:space="preserve">This fact sheet contains </w:t>
      </w:r>
      <w:r>
        <w:t xml:space="preserve">guidance for </w:t>
      </w:r>
      <w:r w:rsidR="00AD3380">
        <w:t>AMH</w:t>
      </w:r>
      <w:r w:rsidR="000715BE">
        <w:t xml:space="preserve"> </w:t>
      </w:r>
      <w:r w:rsidR="009139B1">
        <w:t xml:space="preserve">pilot </w:t>
      </w:r>
      <w:r w:rsidRPr="0058059E">
        <w:t>provide</w:t>
      </w:r>
      <w:r>
        <w:t>rs on how to respond to a privacy data breach</w:t>
      </w:r>
      <w:r w:rsidR="00182005">
        <w:t xml:space="preserve"> or incident</w:t>
      </w:r>
      <w:r>
        <w:t xml:space="preserve"> involving the personal information of </w:t>
      </w:r>
      <w:r w:rsidR="000715BE">
        <w:t xml:space="preserve">AMH pilot </w:t>
      </w:r>
      <w:r>
        <w:t xml:space="preserve">participants. </w:t>
      </w:r>
    </w:p>
    <w:p w14:paraId="01FC1DB1" w14:textId="77777777" w:rsidR="00817945" w:rsidRDefault="00817945" w:rsidP="00817945">
      <w:pPr>
        <w:spacing w:after="288"/>
      </w:pPr>
      <w:r w:rsidRPr="008D03D1">
        <w:t xml:space="preserve">Providers </w:t>
      </w:r>
      <w:r>
        <w:t>must</w:t>
      </w:r>
      <w:r w:rsidRPr="008D03D1">
        <w:t xml:space="preserve"> comply with the </w:t>
      </w:r>
      <w:r w:rsidRPr="00595611">
        <w:rPr>
          <w:i/>
        </w:rPr>
        <w:t>Privacy Act 1988</w:t>
      </w:r>
      <w:r w:rsidRPr="008D03D1">
        <w:t xml:space="preserve"> and the </w:t>
      </w:r>
      <w:hyperlink r:id="rId33" w:history="1">
        <w:r w:rsidRPr="008D03D1">
          <w:rPr>
            <w:rStyle w:val="Hyperlink"/>
            <w:rFonts w:eastAsiaTheme="majorEastAsia"/>
          </w:rPr>
          <w:t>Australian Privacy Principles (APPs)</w:t>
        </w:r>
      </w:hyperlink>
      <w:r>
        <w:rPr>
          <w:rStyle w:val="Hyperlink"/>
          <w:rFonts w:eastAsiaTheme="majorEastAsia"/>
        </w:rPr>
        <w:t>.</w:t>
      </w:r>
      <w:r w:rsidRPr="008D03D1">
        <w:t xml:space="preserve"> </w:t>
      </w:r>
    </w:p>
    <w:p w14:paraId="400BB8BD" w14:textId="77777777" w:rsidR="00817945" w:rsidRPr="008D03D1" w:rsidRDefault="00817945" w:rsidP="00817945">
      <w:pPr>
        <w:spacing w:after="288"/>
      </w:pPr>
      <w:r w:rsidRPr="008D03D1">
        <w:t xml:space="preserve">There is no single method for responding to a data breach. Data breaches should be handled on a case-by-case basis, by undertaking an investigation of facts and circumstances, assessing risk, and using that risk assessment to decide the appropriate course of action. </w:t>
      </w:r>
    </w:p>
    <w:p w14:paraId="1CBAEF4D" w14:textId="77777777" w:rsidR="00817945" w:rsidRPr="0058059E" w:rsidRDefault="00817945" w:rsidP="00817945">
      <w:pPr>
        <w:spacing w:after="288"/>
      </w:pPr>
      <w:r w:rsidRPr="008D03D1">
        <w:t xml:space="preserve">Refer to the Office of the Australian Information Commissioner (OAIC) </w:t>
      </w:r>
      <w:hyperlink r:id="rId34" w:history="1">
        <w:r w:rsidRPr="008D03D1">
          <w:rPr>
            <w:rStyle w:val="Hyperlink"/>
            <w:rFonts w:eastAsiaTheme="majorEastAsia"/>
          </w:rPr>
          <w:t>Guide to Data Breach Preparation and Response</w:t>
        </w:r>
      </w:hyperlink>
      <w:r w:rsidRPr="008D03D1">
        <w:t>.</w:t>
      </w:r>
    </w:p>
    <w:p w14:paraId="4A7B0FC6" w14:textId="47376881" w:rsidR="00817945" w:rsidRPr="006C5CD9" w:rsidRDefault="000715BE" w:rsidP="003934A8">
      <w:pPr>
        <w:pStyle w:val="Heading2"/>
        <w:numPr>
          <w:ilvl w:val="0"/>
          <w:numId w:val="0"/>
        </w:numPr>
      </w:pPr>
      <w:bookmarkStart w:id="243" w:name="_Toc207282719"/>
      <w:r w:rsidRPr="006C5CD9">
        <w:t>AMH</w:t>
      </w:r>
      <w:r w:rsidR="00817945" w:rsidRPr="006C5CD9">
        <w:t xml:space="preserve"> </w:t>
      </w:r>
      <w:r w:rsidR="009139B1">
        <w:t xml:space="preserve">pilot </w:t>
      </w:r>
      <w:r w:rsidR="00817945" w:rsidRPr="006C5CD9">
        <w:t>provider experiences suspected data breach</w:t>
      </w:r>
      <w:bookmarkEnd w:id="243"/>
      <w:r w:rsidR="00817945" w:rsidRPr="006C5CD9">
        <w:t xml:space="preserve"> </w:t>
      </w:r>
    </w:p>
    <w:p w14:paraId="6E18FE9C" w14:textId="77777777" w:rsidR="00817945" w:rsidRDefault="00344135" w:rsidP="00817945">
      <w:pPr>
        <w:spacing w:after="0"/>
      </w:pPr>
      <w:r>
        <w:t>The</w:t>
      </w:r>
      <w:r w:rsidR="00817945" w:rsidRPr="008D03D1">
        <w:t xml:space="preserve"> first step should always be to </w:t>
      </w:r>
      <w:r w:rsidR="00817945" w:rsidRPr="00CC1AC4">
        <w:rPr>
          <w:b/>
        </w:rPr>
        <w:t>contain a suspected or known breach</w:t>
      </w:r>
      <w:r w:rsidR="00817945" w:rsidRPr="008D03D1">
        <w:t xml:space="preserve"> where possible, by taking immediate steps to limit any further access or distribution of the affected personal information.</w:t>
      </w:r>
      <w:r w:rsidR="00817945">
        <w:t xml:space="preserve"> I</w:t>
      </w:r>
      <w:r w:rsidR="00817945" w:rsidRPr="008D03D1">
        <w:t xml:space="preserve">nform your </w:t>
      </w:r>
      <w:r w:rsidR="00817945">
        <w:t>m</w:t>
      </w:r>
      <w:r w:rsidR="00817945" w:rsidRPr="008D03D1">
        <w:t>anager of the suspected breach as soon as possible, including the following details:</w:t>
      </w:r>
    </w:p>
    <w:p w14:paraId="4FECA526" w14:textId="77777777" w:rsidR="00817945" w:rsidRPr="008D03D1" w:rsidRDefault="00817945" w:rsidP="00817945">
      <w:pPr>
        <w:spacing w:before="0" w:after="0"/>
        <w:ind w:left="1286" w:hanging="283"/>
      </w:pPr>
      <w:r w:rsidRPr="008D03D1">
        <w:t>a.</w:t>
      </w:r>
      <w:r w:rsidRPr="008D03D1">
        <w:tab/>
        <w:t>Time and date the suspected breach was discovered</w:t>
      </w:r>
      <w:r w:rsidR="00AD3380">
        <w:t>.</w:t>
      </w:r>
    </w:p>
    <w:p w14:paraId="44889405" w14:textId="77777777" w:rsidR="00817945" w:rsidRPr="008D03D1" w:rsidRDefault="00817945" w:rsidP="00817945">
      <w:pPr>
        <w:spacing w:before="0" w:after="0"/>
        <w:ind w:left="1286" w:hanging="283"/>
      </w:pPr>
      <w:r w:rsidRPr="008D03D1">
        <w:t>b.</w:t>
      </w:r>
      <w:r w:rsidRPr="008D03D1">
        <w:tab/>
        <w:t>Type of personal information involved</w:t>
      </w:r>
      <w:r w:rsidR="00AD3380">
        <w:t>.</w:t>
      </w:r>
    </w:p>
    <w:p w14:paraId="46A36F43" w14:textId="77777777" w:rsidR="00817945" w:rsidRPr="008D03D1" w:rsidRDefault="00817945" w:rsidP="00817945">
      <w:pPr>
        <w:spacing w:before="0" w:after="0"/>
        <w:ind w:left="1286" w:hanging="283"/>
      </w:pPr>
      <w:r w:rsidRPr="008D03D1">
        <w:t>c.</w:t>
      </w:r>
      <w:r w:rsidRPr="008D03D1">
        <w:tab/>
        <w:t>Suspected cause and extent of the breach</w:t>
      </w:r>
      <w:r w:rsidR="00AD3380">
        <w:t>.</w:t>
      </w:r>
      <w:r w:rsidRPr="008D03D1">
        <w:t xml:space="preserve"> </w:t>
      </w:r>
    </w:p>
    <w:p w14:paraId="06F04951" w14:textId="77777777" w:rsidR="00817945" w:rsidRPr="008D03D1" w:rsidRDefault="00817945" w:rsidP="00817945">
      <w:pPr>
        <w:spacing w:before="0" w:after="0"/>
        <w:ind w:left="1286" w:hanging="283"/>
      </w:pPr>
      <w:r w:rsidRPr="008D03D1">
        <w:t>d.</w:t>
      </w:r>
      <w:r w:rsidRPr="008D03D1">
        <w:tab/>
        <w:t>Context of the affected information and the breach</w:t>
      </w:r>
      <w:r w:rsidR="00AD3380">
        <w:t>.</w:t>
      </w:r>
    </w:p>
    <w:p w14:paraId="4B395216" w14:textId="77777777" w:rsidR="00817945" w:rsidRPr="008D03D1" w:rsidRDefault="00817945" w:rsidP="00817945">
      <w:pPr>
        <w:spacing w:before="0" w:after="0"/>
        <w:ind w:left="1286" w:hanging="283"/>
      </w:pPr>
      <w:r w:rsidRPr="008D03D1">
        <w:t>e.</w:t>
      </w:r>
      <w:r w:rsidRPr="008D03D1">
        <w:tab/>
        <w:t>Involvement of an external stakeholder, if any.</w:t>
      </w:r>
    </w:p>
    <w:p w14:paraId="710EEF87" w14:textId="34435786" w:rsidR="00817945" w:rsidRDefault="00817945" w:rsidP="00817945">
      <w:pPr>
        <w:spacing w:after="288"/>
      </w:pPr>
      <w:r w:rsidRPr="008D03D1">
        <w:t xml:space="preserve">The </w:t>
      </w:r>
      <w:r>
        <w:t xml:space="preserve">provider </w:t>
      </w:r>
      <w:r w:rsidRPr="008F01C7">
        <w:rPr>
          <w:b/>
        </w:rPr>
        <w:t>must notify</w:t>
      </w:r>
      <w:r w:rsidR="00AD3380">
        <w:t xml:space="preserve"> the </w:t>
      </w:r>
      <w:r w:rsidR="00B8500A">
        <w:t>Department</w:t>
      </w:r>
      <w:r>
        <w:t xml:space="preserve"> </w:t>
      </w:r>
      <w:r w:rsidRPr="008D03D1">
        <w:t xml:space="preserve">of an actual or suspected breach by completing </w:t>
      </w:r>
      <w:r w:rsidRPr="00CC1AC4">
        <w:rPr>
          <w:b/>
        </w:rPr>
        <w:t xml:space="preserve">Part 1 of the </w:t>
      </w:r>
      <w:r w:rsidRPr="00CC1AC4">
        <w:rPr>
          <w:b/>
          <w:i/>
        </w:rPr>
        <w:t>Provider Privacy Incident Report</w:t>
      </w:r>
      <w:r w:rsidRPr="008D03D1">
        <w:t xml:space="preserve"> </w:t>
      </w:r>
      <w:r>
        <w:t xml:space="preserve">(PIR) </w:t>
      </w:r>
      <w:r w:rsidRPr="008D03D1">
        <w:t>within one Business Day after the date of the privacy incident</w:t>
      </w:r>
      <w:r>
        <w:t xml:space="preserve">. The PIR template is available at </w:t>
      </w:r>
      <w:hyperlink w:anchor="_Attachment_B_-" w:history="1">
        <w:r w:rsidRPr="00F97CCB">
          <w:rPr>
            <w:rStyle w:val="Hyperlink"/>
          </w:rPr>
          <w:t>Attachment B</w:t>
        </w:r>
      </w:hyperlink>
      <w:r>
        <w:t>.</w:t>
      </w:r>
    </w:p>
    <w:p w14:paraId="65081091" w14:textId="77777777" w:rsidR="00817945" w:rsidRPr="006C5CD9" w:rsidRDefault="00817945" w:rsidP="003934A8">
      <w:pPr>
        <w:pStyle w:val="Heading2"/>
        <w:numPr>
          <w:ilvl w:val="0"/>
          <w:numId w:val="0"/>
        </w:numPr>
      </w:pPr>
      <w:bookmarkStart w:id="244" w:name="_Toc207282720"/>
      <w:r w:rsidRPr="006C5CD9">
        <w:t>Responding to a suspected Privacy Incident</w:t>
      </w:r>
      <w:bookmarkEnd w:id="244"/>
    </w:p>
    <w:p w14:paraId="017074B4" w14:textId="77777777" w:rsidR="00817945" w:rsidRPr="00344135" w:rsidRDefault="00817945" w:rsidP="003934A8">
      <w:pPr>
        <w:pStyle w:val="Heading3"/>
      </w:pPr>
      <w:bookmarkStart w:id="245" w:name="_Toc207282721"/>
      <w:r w:rsidRPr="00344135">
        <w:t>What actions must you take?</w:t>
      </w:r>
      <w:bookmarkEnd w:id="245"/>
    </w:p>
    <w:p w14:paraId="5239D1B1" w14:textId="5B10D6F1" w:rsidR="00817945" w:rsidRDefault="00817945" w:rsidP="00817945">
      <w:pPr>
        <w:spacing w:after="0"/>
      </w:pPr>
      <w:r w:rsidRPr="001E26E8">
        <w:t xml:space="preserve">There are </w:t>
      </w:r>
      <w:r w:rsidR="00AE55B2">
        <w:rPr>
          <w:b/>
        </w:rPr>
        <w:t>4</w:t>
      </w:r>
      <w:r w:rsidRPr="004B7F59">
        <w:rPr>
          <w:b/>
        </w:rPr>
        <w:t xml:space="preserve"> key steps</w:t>
      </w:r>
      <w:r w:rsidRPr="001E26E8">
        <w:t xml:space="preserve"> </w:t>
      </w:r>
      <w:r w:rsidRPr="004B7F59">
        <w:rPr>
          <w:b/>
        </w:rPr>
        <w:t>to consider</w:t>
      </w:r>
      <w:r w:rsidRPr="001E26E8">
        <w:t xml:space="preserve"> when responding to a breach or suspected breach. </w:t>
      </w:r>
    </w:p>
    <w:p w14:paraId="7D160970" w14:textId="76C061EF" w:rsidR="006C5CD9" w:rsidRDefault="00817945" w:rsidP="006C5CD9">
      <w:pPr>
        <w:contextualSpacing/>
      </w:pPr>
      <w:r w:rsidRPr="001E26E8">
        <w:t>Ideally, steps 1, 2 and 3 should be undertaken either simultaneously or in quick succession, taking remedial action wherever possible</w:t>
      </w:r>
      <w:r w:rsidR="006C5CD9">
        <w:t>.</w:t>
      </w:r>
    </w:p>
    <w:p w14:paraId="5174FE61" w14:textId="77777777" w:rsidR="00817945" w:rsidRPr="006C5CD9" w:rsidRDefault="00817945" w:rsidP="003934A8">
      <w:pPr>
        <w:pStyle w:val="Heading3"/>
      </w:pPr>
      <w:bookmarkStart w:id="246" w:name="_Toc207282722"/>
      <w:r w:rsidRPr="006C5CD9">
        <w:t>S</w:t>
      </w:r>
      <w:r w:rsidR="00A04270">
        <w:t>tep</w:t>
      </w:r>
      <w:r w:rsidRPr="006C5CD9">
        <w:t xml:space="preserve"> 1: Contain the breach</w:t>
      </w:r>
      <w:bookmarkEnd w:id="246"/>
      <w:r w:rsidRPr="006C5CD9">
        <w:t xml:space="preserve"> </w:t>
      </w:r>
    </w:p>
    <w:p w14:paraId="5C2A2985" w14:textId="4C9E7A23" w:rsidR="00A04270" w:rsidRPr="001E26E8" w:rsidRDefault="00817945" w:rsidP="00817945">
      <w:pPr>
        <w:spacing w:after="0"/>
        <w:contextualSpacing/>
      </w:pPr>
      <w:r>
        <w:t>Immediately take action to limit the breach. At this point, you may suspect an ‘</w:t>
      </w:r>
      <w:hyperlink r:id="rId35" w:anchor="identifying-eligible-data-breaches" w:history="1">
        <w:r w:rsidRPr="00595611">
          <w:rPr>
            <w:rStyle w:val="Hyperlink"/>
            <w:rFonts w:eastAsiaTheme="majorEastAsia"/>
          </w:rPr>
          <w:t>eligible data breach</w:t>
        </w:r>
      </w:hyperlink>
      <w:r>
        <w:t xml:space="preserve">’ under the </w:t>
      </w:r>
      <w:hyperlink r:id="rId36" w:history="1">
        <w:r w:rsidRPr="00595611">
          <w:rPr>
            <w:rStyle w:val="Hyperlink"/>
            <w:rFonts w:eastAsiaTheme="majorEastAsia"/>
          </w:rPr>
          <w:t>Notifiable Data Breach (NDB) Scheme</w:t>
        </w:r>
      </w:hyperlink>
      <w:r>
        <w:t xml:space="preserve"> has occurred, which would trigger assessment obligations.</w:t>
      </w:r>
    </w:p>
    <w:p w14:paraId="5887C714" w14:textId="77777777" w:rsidR="00817945" w:rsidRPr="006C5CD9" w:rsidRDefault="00817945" w:rsidP="003934A8">
      <w:pPr>
        <w:pStyle w:val="Heading3"/>
      </w:pPr>
      <w:bookmarkStart w:id="247" w:name="_Toc207282723"/>
      <w:r w:rsidRPr="006C5CD9">
        <w:t>S</w:t>
      </w:r>
      <w:r w:rsidR="00A04270">
        <w:t>tep</w:t>
      </w:r>
      <w:r w:rsidRPr="006C5CD9">
        <w:t xml:space="preserve"> 2: Assess the data breach and risk of serious harm to individuals</w:t>
      </w:r>
      <w:bookmarkEnd w:id="247"/>
      <w:r w:rsidRPr="006C5CD9">
        <w:t xml:space="preserve">  </w:t>
      </w:r>
    </w:p>
    <w:p w14:paraId="07352774" w14:textId="5B905F22" w:rsidR="00A04270" w:rsidRPr="0089079A" w:rsidRDefault="00817945" w:rsidP="0089079A">
      <w:pPr>
        <w:spacing w:after="0"/>
        <w:contextualSpacing/>
      </w:pPr>
      <w:r w:rsidRPr="001E26E8">
        <w:t xml:space="preserve">Quickly gather relevant information about the suspected breach including, for example, what personal information is affected, who may have had access to the information and the likely impacts. </w:t>
      </w:r>
      <w:r>
        <w:t xml:space="preserve">By gathering as much information as possible, you will better understand the risk of harm to affected </w:t>
      </w:r>
      <w:proofErr w:type="gramStart"/>
      <w:r>
        <w:t>individuals, and</w:t>
      </w:r>
      <w:proofErr w:type="gramEnd"/>
      <w:r>
        <w:t xml:space="preserve"> be able to identify and take all appropriate steps to limit the </w:t>
      </w:r>
      <w:r>
        <w:lastRenderedPageBreak/>
        <w:t xml:space="preserve">impact of the data breach. This assessment </w:t>
      </w:r>
      <w:r w:rsidRPr="004B7F59">
        <w:rPr>
          <w:b/>
        </w:rPr>
        <w:t>must be completed</w:t>
      </w:r>
      <w:r>
        <w:t xml:space="preserve"> and sent to the </w:t>
      </w:r>
      <w:r w:rsidR="00B8500A">
        <w:t>Department</w:t>
      </w:r>
      <w:r>
        <w:t xml:space="preserve"> within 15 business days</w:t>
      </w:r>
      <w:r w:rsidRPr="00432493">
        <w:t>.</w:t>
      </w:r>
    </w:p>
    <w:p w14:paraId="1D37439E" w14:textId="77777777" w:rsidR="00817945" w:rsidRPr="006C5CD9" w:rsidRDefault="00817945" w:rsidP="003934A8">
      <w:pPr>
        <w:pStyle w:val="Heading3"/>
      </w:pPr>
      <w:bookmarkStart w:id="248" w:name="_Toc207282724"/>
      <w:r w:rsidRPr="006C5CD9">
        <w:t>S</w:t>
      </w:r>
      <w:r w:rsidR="00A04270">
        <w:t>tep</w:t>
      </w:r>
      <w:r w:rsidRPr="006C5CD9">
        <w:t xml:space="preserve"> 3: Notify the OAIC and/or affected individuals (if required)</w:t>
      </w:r>
      <w:bookmarkEnd w:id="248"/>
    </w:p>
    <w:p w14:paraId="17CD7A8F" w14:textId="49870324" w:rsidR="00A04270" w:rsidRPr="0089079A" w:rsidRDefault="00817945" w:rsidP="0089079A">
      <w:pPr>
        <w:spacing w:after="0"/>
        <w:contextualSpacing/>
      </w:pPr>
      <w:r w:rsidRPr="001E26E8">
        <w:t xml:space="preserve">Make a decision, based on the investigation about whether the identified breach is an eligible data breach (see </w:t>
      </w:r>
      <w:hyperlink r:id="rId37" w:anchor="identifying-eligible-data-breaches" w:history="1">
        <w:r w:rsidRPr="001E26E8">
          <w:rPr>
            <w:rStyle w:val="Hyperlink"/>
            <w:rFonts w:eastAsiaTheme="majorEastAsia"/>
          </w:rPr>
          <w:t>Identifying Eligible Data Breaches</w:t>
        </w:r>
      </w:hyperlink>
      <w:r w:rsidRPr="001E26E8">
        <w:t>).</w:t>
      </w:r>
    </w:p>
    <w:p w14:paraId="40E376DF" w14:textId="77777777" w:rsidR="00817945" w:rsidRPr="006C5CD9" w:rsidRDefault="00817945" w:rsidP="003934A8">
      <w:pPr>
        <w:pStyle w:val="Heading3"/>
      </w:pPr>
      <w:bookmarkStart w:id="249" w:name="_Toc207282725"/>
      <w:r w:rsidRPr="006C5CD9">
        <w:t>S</w:t>
      </w:r>
      <w:r w:rsidR="00A04270">
        <w:t>tep</w:t>
      </w:r>
      <w:r w:rsidRPr="006C5CD9">
        <w:t xml:space="preserve"> 4: Review the incident and take action to prevent future breaches</w:t>
      </w:r>
      <w:bookmarkEnd w:id="249"/>
    </w:p>
    <w:p w14:paraId="449BAD6D" w14:textId="12405845" w:rsidR="00D42479" w:rsidRDefault="00817945" w:rsidP="006C5CD9">
      <w:pPr>
        <w:spacing w:after="288"/>
        <w:contextualSpacing/>
      </w:pPr>
      <w:r>
        <w:t xml:space="preserve">Once steps 1 to 3 have been completed, you should review and learn from the data breach incident to improve your personal information handling practices. </w:t>
      </w:r>
    </w:p>
    <w:p w14:paraId="23590E22" w14:textId="77777777" w:rsidR="00817945" w:rsidRPr="006C5CD9" w:rsidRDefault="00817945" w:rsidP="003934A8">
      <w:pPr>
        <w:pStyle w:val="Heading2"/>
        <w:numPr>
          <w:ilvl w:val="0"/>
          <w:numId w:val="0"/>
        </w:numPr>
      </w:pPr>
      <w:bookmarkStart w:id="250" w:name="_Toc207282726"/>
      <w:r w:rsidRPr="006C5CD9">
        <w:t>Notifiable Date Breach: Reporting</w:t>
      </w:r>
      <w:bookmarkEnd w:id="250"/>
    </w:p>
    <w:p w14:paraId="2A7FF888" w14:textId="3701C231" w:rsidR="00817945" w:rsidRPr="00595611" w:rsidRDefault="00817945" w:rsidP="00817945">
      <w:pPr>
        <w:spacing w:after="0"/>
      </w:pPr>
      <w:r w:rsidRPr="00595611">
        <w:t xml:space="preserve">You must complete </w:t>
      </w:r>
      <w:r w:rsidRPr="00AF6707">
        <w:rPr>
          <w:b/>
        </w:rPr>
        <w:t>Part 2 of the PIR</w:t>
      </w:r>
      <w:r w:rsidRPr="00AF6707">
        <w:t xml:space="preserve"> and</w:t>
      </w:r>
      <w:r w:rsidRPr="00595611">
        <w:t xml:space="preserve"> submit to the </w:t>
      </w:r>
      <w:r w:rsidR="00B8500A">
        <w:t>Department</w:t>
      </w:r>
      <w:r w:rsidRPr="00595611">
        <w:t xml:space="preserve"> within </w:t>
      </w:r>
      <w:r>
        <w:t>15 business d</w:t>
      </w:r>
      <w:r w:rsidRPr="00595611">
        <w:t xml:space="preserve">ays after the privacy incident. If through your investigation, you determine that there has been an </w:t>
      </w:r>
      <w:r w:rsidRPr="00AF6707">
        <w:t>eligible data breach</w:t>
      </w:r>
      <w:r>
        <w:t>’</w:t>
      </w:r>
      <w:r w:rsidRPr="00595611">
        <w:t xml:space="preserve">, as defined under the </w:t>
      </w:r>
      <w:r w:rsidRPr="00AF6707">
        <w:t>NDB</w:t>
      </w:r>
      <w:r>
        <w:t xml:space="preserve"> Scheme</w:t>
      </w:r>
      <w:r w:rsidRPr="00595611">
        <w:t>, you must notify affected individuals, and the OAIC a</w:t>
      </w:r>
      <w:r>
        <w:t xml:space="preserve">bout the breach and inform the </w:t>
      </w:r>
      <w:r w:rsidR="00B8500A">
        <w:t>Department</w:t>
      </w:r>
      <w:r w:rsidRPr="00595611">
        <w:t>.</w:t>
      </w:r>
    </w:p>
    <w:p w14:paraId="0A6E4C81" w14:textId="38CC28CC" w:rsidR="00817945" w:rsidRPr="004649E2" w:rsidRDefault="00817945" w:rsidP="00817945">
      <w:pPr>
        <w:spacing w:after="0"/>
      </w:pPr>
      <w:r>
        <w:t xml:space="preserve">If the </w:t>
      </w:r>
      <w:r w:rsidR="00B8500A">
        <w:t>Department</w:t>
      </w:r>
      <w:r w:rsidRPr="00595611">
        <w:t xml:space="preserve"> holds a different view about </w:t>
      </w:r>
      <w:proofErr w:type="gramStart"/>
      <w:r w:rsidRPr="00595611">
        <w:t>whether or not</w:t>
      </w:r>
      <w:proofErr w:type="gramEnd"/>
      <w:r w:rsidRPr="00595611">
        <w:t xml:space="preserve"> the privacy incident is reportable under the NDB Scheme, the </w:t>
      </w:r>
      <w:r w:rsidR="00B8500A">
        <w:t>Department</w:t>
      </w:r>
      <w:r w:rsidRPr="00595611">
        <w:t xml:space="preserve"> will seek advice from our Privacy </w:t>
      </w:r>
      <w:proofErr w:type="gramStart"/>
      <w:r w:rsidRPr="00595611">
        <w:t>Officer</w:t>
      </w:r>
      <w:proofErr w:type="gramEnd"/>
      <w:r w:rsidRPr="00595611">
        <w:t xml:space="preserve"> and your Funding Arrangement </w:t>
      </w:r>
      <w:r w:rsidR="00F94D42">
        <w:t>Manager</w:t>
      </w:r>
      <w:r w:rsidRPr="00595611">
        <w:t xml:space="preserve"> will contact you in these circumstances</w:t>
      </w:r>
      <w:r>
        <w:t>.</w:t>
      </w:r>
    </w:p>
    <w:p w14:paraId="4479B533" w14:textId="77777777" w:rsidR="00817945" w:rsidRPr="00817945" w:rsidRDefault="00817945" w:rsidP="006C5CD9"/>
    <w:p w14:paraId="0C29322F" w14:textId="77777777" w:rsidR="00817945" w:rsidRDefault="00817945">
      <w:pPr>
        <w:spacing w:before="0" w:after="200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14:paraId="2376E195" w14:textId="77777777" w:rsidR="00C05184" w:rsidRPr="006C5CD9" w:rsidRDefault="004D3E12" w:rsidP="006C5CD9">
      <w:pPr>
        <w:pStyle w:val="Heading1"/>
        <w:numPr>
          <w:ilvl w:val="0"/>
          <w:numId w:val="0"/>
        </w:numPr>
        <w:rPr>
          <w:b w:val="0"/>
        </w:rPr>
      </w:pPr>
      <w:bookmarkStart w:id="251" w:name="_Attachment_B_-"/>
      <w:bookmarkStart w:id="252" w:name="_Toc207282727"/>
      <w:bookmarkEnd w:id="251"/>
      <w:r w:rsidRPr="006C5CD9">
        <w:rPr>
          <w:b w:val="0"/>
        </w:rPr>
        <w:lastRenderedPageBreak/>
        <w:t xml:space="preserve">Attachment </w:t>
      </w:r>
      <w:r w:rsidR="00817945" w:rsidRPr="006C5CD9">
        <w:rPr>
          <w:b w:val="0"/>
        </w:rPr>
        <w:t>B</w:t>
      </w:r>
      <w:r w:rsidR="006C5CD9" w:rsidRPr="006C5CD9">
        <w:rPr>
          <w:b w:val="0"/>
        </w:rPr>
        <w:t xml:space="preserve"> - </w:t>
      </w:r>
      <w:r w:rsidR="00A04270" w:rsidRPr="006C5CD9">
        <w:rPr>
          <w:b w:val="0"/>
        </w:rPr>
        <w:t>Provider Privacy Incident Report</w:t>
      </w:r>
      <w:bookmarkEnd w:id="252"/>
    </w:p>
    <w:p w14:paraId="22B8E6ED" w14:textId="4360993E" w:rsidR="00C05184" w:rsidRDefault="00C05184" w:rsidP="00C05184">
      <w:pPr>
        <w:rPr>
          <w:rFonts w:cstheme="minorHAnsi"/>
          <w:lang w:val="en"/>
        </w:rPr>
      </w:pPr>
      <w:r>
        <w:rPr>
          <w:rFonts w:cstheme="minorHAnsi"/>
          <w:lang w:val="en"/>
        </w:rPr>
        <w:t>Use this form to report to the Department of Social Services (the Department) data incidents that involve personal information and records held by a</w:t>
      </w:r>
      <w:r w:rsidR="00344135">
        <w:rPr>
          <w:rFonts w:cstheme="minorHAnsi"/>
          <w:lang w:val="en"/>
        </w:rPr>
        <w:t>n AMH</w:t>
      </w:r>
      <w:r>
        <w:rPr>
          <w:rFonts w:cstheme="minorHAnsi"/>
          <w:lang w:val="en"/>
        </w:rPr>
        <w:t xml:space="preserve"> </w:t>
      </w:r>
      <w:r w:rsidR="009139B1">
        <w:rPr>
          <w:rFonts w:cstheme="minorHAnsi"/>
          <w:lang w:val="en"/>
        </w:rPr>
        <w:t>pilot p</w:t>
      </w:r>
      <w:r>
        <w:rPr>
          <w:rFonts w:cstheme="minorHAnsi"/>
          <w:lang w:val="en"/>
        </w:rPr>
        <w:t xml:space="preserve">rovider. </w:t>
      </w:r>
    </w:p>
    <w:p w14:paraId="2A7FC4C0" w14:textId="77777777" w:rsidR="00C05184" w:rsidRPr="00997BDB" w:rsidRDefault="00C05184" w:rsidP="6476DD6E">
      <w:pPr>
        <w:rPr>
          <w:rFonts w:cstheme="minorBidi"/>
          <w:lang w:val="en-US"/>
        </w:rPr>
      </w:pPr>
      <w:r w:rsidRPr="6476DD6E">
        <w:rPr>
          <w:rFonts w:cstheme="minorBidi"/>
          <w:lang w:val="en-US"/>
        </w:rPr>
        <w:t xml:space="preserve">Privacy incidents may involve any </w:t>
      </w:r>
      <w:proofErr w:type="spellStart"/>
      <w:r w:rsidRPr="6476DD6E">
        <w:rPr>
          <w:rFonts w:cstheme="minorBidi"/>
          <w:lang w:val="en-US"/>
        </w:rPr>
        <w:t>unauthorised</w:t>
      </w:r>
      <w:proofErr w:type="spellEnd"/>
      <w:r w:rsidRPr="6476DD6E">
        <w:rPr>
          <w:rFonts w:cstheme="minorBidi"/>
          <w:lang w:val="en-US"/>
        </w:rPr>
        <w:t xml:space="preserve"> access, disclosure or loss of personal information, including damaged, destroyed or stolen records. </w:t>
      </w:r>
    </w:p>
    <w:p w14:paraId="02ABCB80" w14:textId="24FB5E41" w:rsidR="00C05184" w:rsidRDefault="00C05184" w:rsidP="00C05184">
      <w:pPr>
        <w:rPr>
          <w:rFonts w:cstheme="minorHAnsi"/>
          <w:lang w:val="en"/>
        </w:rPr>
      </w:pPr>
      <w:r>
        <w:rPr>
          <w:rFonts w:cstheme="minorHAnsi"/>
          <w:lang w:val="en"/>
        </w:rPr>
        <w:t xml:space="preserve">This form is in </w:t>
      </w:r>
      <w:r w:rsidR="00AE55B2">
        <w:rPr>
          <w:rFonts w:cstheme="minorHAnsi"/>
          <w:lang w:val="en"/>
        </w:rPr>
        <w:t>2</w:t>
      </w:r>
      <w:r>
        <w:rPr>
          <w:rFonts w:cstheme="minorHAnsi"/>
          <w:lang w:val="en"/>
        </w:rPr>
        <w:t xml:space="preserve"> parts, (1) initial incident reporting and (2) detailed reporting, and is designed to be progressively updated and submitted, as details of the incident</w:t>
      </w:r>
      <w:r w:rsidRPr="007F68D8">
        <w:rPr>
          <w:rFonts w:cstheme="minorHAnsi"/>
          <w:lang w:val="en"/>
        </w:rPr>
        <w:t xml:space="preserve"> become</w:t>
      </w:r>
      <w:r>
        <w:rPr>
          <w:rFonts w:cstheme="minorHAnsi"/>
          <w:lang w:val="en"/>
        </w:rPr>
        <w:t xml:space="preserve"> </w:t>
      </w:r>
      <w:r w:rsidRPr="007F68D8">
        <w:rPr>
          <w:rFonts w:cstheme="minorHAnsi"/>
          <w:lang w:val="en"/>
        </w:rPr>
        <w:t>known</w:t>
      </w:r>
      <w:r>
        <w:rPr>
          <w:rFonts w:cstheme="minorHAnsi"/>
          <w:lang w:val="en"/>
        </w:rPr>
        <w:t xml:space="preserve"> </w:t>
      </w:r>
      <w:r w:rsidRPr="007F68D8">
        <w:rPr>
          <w:rFonts w:cstheme="minorHAnsi"/>
          <w:lang w:val="en"/>
        </w:rPr>
        <w:t xml:space="preserve">over the </w:t>
      </w:r>
      <w:r>
        <w:rPr>
          <w:rFonts w:cstheme="minorHAnsi"/>
          <w:lang w:val="en"/>
        </w:rPr>
        <w:t>investigation</w:t>
      </w:r>
      <w:r w:rsidRPr="007F68D8">
        <w:rPr>
          <w:rFonts w:cstheme="minorHAnsi"/>
          <w:lang w:val="en"/>
        </w:rPr>
        <w:t>, assessment and notification process</w:t>
      </w:r>
      <w:r>
        <w:rPr>
          <w:rFonts w:cstheme="minorHAnsi"/>
          <w:lang w:val="en"/>
        </w:rPr>
        <w:t>es.</w:t>
      </w:r>
      <w:r>
        <w:rPr>
          <w:rFonts w:cstheme="minorHAnsi"/>
          <w:lang w:val="en"/>
        </w:rPr>
        <w:br/>
      </w:r>
    </w:p>
    <w:p w14:paraId="13AAA77F" w14:textId="543F9D80" w:rsidR="00C05184" w:rsidRDefault="00C05184" w:rsidP="00411004">
      <w:pPr>
        <w:pStyle w:val="ListParagraph"/>
        <w:numPr>
          <w:ilvl w:val="0"/>
          <w:numId w:val="14"/>
        </w:numPr>
        <w:spacing w:before="0" w:after="0" w:line="240" w:lineRule="auto"/>
        <w:ind w:left="567" w:hanging="352"/>
        <w:contextualSpacing w:val="0"/>
        <w:rPr>
          <w:rFonts w:cstheme="minorHAnsi"/>
        </w:rPr>
      </w:pPr>
      <w:r w:rsidRPr="00BE3A2B">
        <w:rPr>
          <w:rFonts w:cstheme="minorHAnsi"/>
          <w:b/>
          <w:lang w:val="en"/>
        </w:rPr>
        <w:t>Part 1</w:t>
      </w:r>
      <w:r w:rsidRPr="002F0D04">
        <w:rPr>
          <w:rFonts w:cstheme="minorHAnsi"/>
          <w:lang w:val="en"/>
        </w:rPr>
        <w:t xml:space="preserve"> must be completed and submitted to the Department </w:t>
      </w:r>
      <w:r w:rsidRPr="00466BEC">
        <w:rPr>
          <w:rFonts w:cstheme="minorHAnsi"/>
          <w:i/>
        </w:rPr>
        <w:t xml:space="preserve">no later </w:t>
      </w:r>
      <w:r w:rsidRPr="00466BEC">
        <w:rPr>
          <w:rFonts w:cstheme="minorHAnsi"/>
          <w:b/>
        </w:rPr>
        <w:t>than one Business Day</w:t>
      </w:r>
      <w:r w:rsidRPr="00466BEC">
        <w:rPr>
          <w:rFonts w:cstheme="minorHAnsi"/>
          <w:i/>
        </w:rPr>
        <w:t xml:space="preserve"> </w:t>
      </w:r>
      <w:r w:rsidRPr="00466BEC">
        <w:rPr>
          <w:rFonts w:cstheme="minorHAnsi"/>
        </w:rPr>
        <w:t>after the date</w:t>
      </w:r>
      <w:r>
        <w:rPr>
          <w:rFonts w:cstheme="minorHAnsi"/>
        </w:rPr>
        <w:t xml:space="preserve"> of a</w:t>
      </w:r>
      <w:r w:rsidRPr="002F0D04">
        <w:rPr>
          <w:rFonts w:cstheme="minorHAnsi"/>
        </w:rPr>
        <w:t xml:space="preserve"> </w:t>
      </w:r>
      <w:proofErr w:type="gramStart"/>
      <w:r w:rsidRPr="002F0D04">
        <w:rPr>
          <w:rFonts w:cstheme="minorHAnsi"/>
        </w:rPr>
        <w:t>privacy</w:t>
      </w:r>
      <w:proofErr w:type="gramEnd"/>
      <w:r w:rsidRPr="002F0D04">
        <w:rPr>
          <w:rFonts w:cstheme="minorHAnsi"/>
        </w:rPr>
        <w:t xml:space="preserve"> incident</w:t>
      </w:r>
      <w:r>
        <w:rPr>
          <w:rFonts w:cstheme="minorHAnsi"/>
        </w:rPr>
        <w:t xml:space="preserve"> or (if different) when the incident is first discovered</w:t>
      </w:r>
      <w:r w:rsidRPr="002F0D04">
        <w:rPr>
          <w:rFonts w:cstheme="minorHAnsi"/>
        </w:rPr>
        <w:t xml:space="preserve">. </w:t>
      </w:r>
    </w:p>
    <w:p w14:paraId="14E87D3F" w14:textId="77777777" w:rsidR="00C05184" w:rsidRDefault="00C05184" w:rsidP="00C05184">
      <w:pPr>
        <w:pStyle w:val="ListParagraph"/>
        <w:spacing w:before="0"/>
        <w:ind w:left="567"/>
        <w:contextualSpacing w:val="0"/>
        <w:rPr>
          <w:rFonts w:cstheme="minorHAnsi"/>
        </w:rPr>
      </w:pPr>
    </w:p>
    <w:p w14:paraId="361996A8" w14:textId="1DC8C280" w:rsidR="00C05184" w:rsidRDefault="00C05184" w:rsidP="00411004">
      <w:pPr>
        <w:pStyle w:val="ListParagraph"/>
        <w:numPr>
          <w:ilvl w:val="0"/>
          <w:numId w:val="14"/>
        </w:numPr>
        <w:spacing w:before="0" w:line="240" w:lineRule="auto"/>
        <w:ind w:left="567" w:hanging="352"/>
        <w:contextualSpacing w:val="0"/>
        <w:rPr>
          <w:rFonts w:cstheme="minorHAnsi"/>
        </w:rPr>
      </w:pPr>
      <w:r w:rsidRPr="00BE3A2B">
        <w:rPr>
          <w:rFonts w:cstheme="minorHAnsi"/>
          <w:b/>
        </w:rPr>
        <w:t>Part 2</w:t>
      </w:r>
      <w:r w:rsidRPr="002F0D04">
        <w:rPr>
          <w:rFonts w:cstheme="minorHAnsi"/>
        </w:rPr>
        <w:t xml:space="preserve"> must </w:t>
      </w:r>
      <w:r>
        <w:rPr>
          <w:rFonts w:cstheme="minorHAnsi"/>
        </w:rPr>
        <w:t xml:space="preserve">be completed and submitted to the Department </w:t>
      </w:r>
      <w:r w:rsidRPr="002F0D04">
        <w:rPr>
          <w:rFonts w:cstheme="minorHAnsi"/>
        </w:rPr>
        <w:t xml:space="preserve">within </w:t>
      </w:r>
      <w:r>
        <w:rPr>
          <w:rFonts w:cstheme="minorHAnsi"/>
        </w:rPr>
        <w:t>15 business days (</w:t>
      </w:r>
      <w:r w:rsidRPr="00450E6A">
        <w:rPr>
          <w:rFonts w:cstheme="minorHAnsi"/>
        </w:rPr>
        <w:t>21 calendar days</w:t>
      </w:r>
      <w:r>
        <w:rPr>
          <w:rFonts w:cstheme="minorHAnsi"/>
        </w:rPr>
        <w:t>)</w:t>
      </w:r>
      <w:r w:rsidRPr="002F0D04">
        <w:rPr>
          <w:rFonts w:cstheme="minorHAnsi"/>
        </w:rPr>
        <w:t xml:space="preserve"> of the</w:t>
      </w:r>
      <w:r>
        <w:rPr>
          <w:rFonts w:cstheme="minorHAnsi"/>
        </w:rPr>
        <w:t xml:space="preserve"> privacy</w:t>
      </w:r>
      <w:r w:rsidRPr="002F0D04">
        <w:rPr>
          <w:rFonts w:cstheme="minorHAnsi"/>
        </w:rPr>
        <w:t xml:space="preserve"> incident (and earlier wherever possible). </w:t>
      </w:r>
    </w:p>
    <w:p w14:paraId="60C07E55" w14:textId="361C202C" w:rsidR="00C05184" w:rsidRPr="00D30881" w:rsidRDefault="00C05184" w:rsidP="00D30881">
      <w:pPr>
        <w:rPr>
          <w:rFonts w:cstheme="minorHAnsi"/>
          <w:lang w:val="en"/>
        </w:rPr>
      </w:pPr>
      <w:r>
        <w:rPr>
          <w:rFonts w:cstheme="minorHAnsi"/>
        </w:rPr>
        <w:t>The form may also be used by Providers to undertake mandatory reporting of ‘</w:t>
      </w:r>
      <w:hyperlink r:id="rId38" w:history="1">
        <w:r w:rsidRPr="008E367E">
          <w:rPr>
            <w:rStyle w:val="Hyperlink"/>
            <w:rFonts w:cstheme="minorHAnsi"/>
          </w:rPr>
          <w:t>eligible data breaches</w:t>
        </w:r>
      </w:hyperlink>
      <w:r>
        <w:rPr>
          <w:rFonts w:cstheme="minorHAnsi"/>
        </w:rPr>
        <w:t xml:space="preserve">’ to the Office of the Australian Information Commissioner (OAIC), in accordance the Notifiable Data Breaches (NDB) Scheme. </w:t>
      </w:r>
      <w:r>
        <w:rPr>
          <w:rFonts w:cstheme="minorHAnsi"/>
          <w:lang w:val="en"/>
        </w:rPr>
        <w:t>It is</w:t>
      </w:r>
      <w:r w:rsidRPr="007F68D8">
        <w:rPr>
          <w:rFonts w:cstheme="minorHAnsi"/>
          <w:lang w:val="en"/>
        </w:rPr>
        <w:t xml:space="preserve"> recommend</w:t>
      </w:r>
      <w:r>
        <w:rPr>
          <w:rFonts w:cstheme="minorHAnsi"/>
          <w:lang w:val="en"/>
        </w:rPr>
        <w:t>ed</w:t>
      </w:r>
      <w:r w:rsidRPr="007F68D8">
        <w:rPr>
          <w:rFonts w:cstheme="minorHAnsi"/>
          <w:lang w:val="en"/>
        </w:rPr>
        <w:t xml:space="preserve"> that you read </w:t>
      </w:r>
      <w:r>
        <w:rPr>
          <w:rFonts w:cstheme="minorHAnsi"/>
          <w:lang w:val="en"/>
        </w:rPr>
        <w:t>the</w:t>
      </w:r>
      <w:r w:rsidRPr="007F68D8">
        <w:rPr>
          <w:rFonts w:cstheme="minorHAnsi"/>
          <w:lang w:val="en"/>
        </w:rPr>
        <w:t xml:space="preserve"> resource</w:t>
      </w:r>
      <w:r>
        <w:rPr>
          <w:rFonts w:cstheme="minorHAnsi"/>
          <w:lang w:val="en"/>
        </w:rPr>
        <w:t xml:space="preserve">s provided by the OAIC about the </w:t>
      </w:r>
      <w:hyperlink r:id="rId39" w:history="1">
        <w:r w:rsidRPr="008E367E">
          <w:rPr>
            <w:rStyle w:val="Hyperlink"/>
            <w:rFonts w:cstheme="minorHAnsi"/>
            <w:lang w:val="en"/>
          </w:rPr>
          <w:t>NDB Scheme</w:t>
        </w:r>
      </w:hyperlink>
      <w:r>
        <w:rPr>
          <w:rFonts w:cstheme="minorHAnsi"/>
          <w:lang w:val="en"/>
        </w:rPr>
        <w:t xml:space="preserve"> and guidance on </w:t>
      </w:r>
      <w:hyperlink r:id="rId40" w:history="1">
        <w:r w:rsidRPr="005537D3">
          <w:rPr>
            <w:rStyle w:val="Hyperlink"/>
            <w:rFonts w:cstheme="minorHAnsi"/>
            <w:lang w:val="en"/>
          </w:rPr>
          <w:t>reporting a data breach</w:t>
        </w:r>
      </w:hyperlink>
      <w:r>
        <w:rPr>
          <w:rFonts w:cstheme="minorHAnsi"/>
          <w:lang w:val="en"/>
        </w:rPr>
        <w:t xml:space="preserve">. </w:t>
      </w:r>
    </w:p>
    <w:p w14:paraId="53BB7F8F" w14:textId="0126A6F4" w:rsidR="003C131E" w:rsidRDefault="006079CA">
      <w:bookmarkStart w:id="253" w:name="_Hlk208482999"/>
      <w:r w:rsidRPr="00301510">
        <w:rPr>
          <w:rFonts w:cstheme="minorHAnsi"/>
          <w:b/>
          <w:sz w:val="24"/>
          <w:szCs w:val="24"/>
        </w:rPr>
        <w:t>Part 1A – Provider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  <w:tblDescription w:val="Part 1A – Provider Information form to include Provider Name, Name of person completing Report, Phone, Provider Org Code, Position, Email. Feilds are left blank for completion.&#10;"/>
      </w:tblPr>
      <w:tblGrid>
        <w:gridCol w:w="4956"/>
        <w:gridCol w:w="4395"/>
      </w:tblGrid>
      <w:tr w:rsidR="00C05184" w:rsidRPr="00301510" w14:paraId="5F0407ED" w14:textId="77777777" w:rsidTr="00ED19C0">
        <w:tc>
          <w:tcPr>
            <w:tcW w:w="4956" w:type="dxa"/>
          </w:tcPr>
          <w:p w14:paraId="1BC03B94" w14:textId="77777777" w:rsidR="00C05184" w:rsidRPr="00301510" w:rsidRDefault="00C05184" w:rsidP="00ED19C0">
            <w:pPr>
              <w:spacing w:line="276" w:lineRule="auto"/>
              <w:rPr>
                <w:rFonts w:cstheme="minorHAnsi"/>
              </w:rPr>
            </w:pPr>
            <w:r w:rsidRPr="00301510">
              <w:rPr>
                <w:rFonts w:cstheme="minorHAnsi"/>
              </w:rPr>
              <w:t xml:space="preserve">Provider </w:t>
            </w:r>
            <w:r w:rsidRPr="00301510">
              <w:rPr>
                <w:rFonts w:cstheme="minorHAnsi"/>
                <w:noProof/>
              </w:rPr>
              <w:t>Name</w:t>
            </w:r>
          </w:p>
        </w:tc>
        <w:tc>
          <w:tcPr>
            <w:tcW w:w="4395" w:type="dxa"/>
          </w:tcPr>
          <w:p w14:paraId="38BA52B7" w14:textId="77777777" w:rsidR="00C05184" w:rsidRPr="00301510" w:rsidRDefault="00C05184" w:rsidP="00ED19C0">
            <w:pPr>
              <w:rPr>
                <w:rFonts w:cstheme="minorHAnsi"/>
              </w:rPr>
            </w:pPr>
          </w:p>
        </w:tc>
      </w:tr>
      <w:tr w:rsidR="00C05184" w:rsidRPr="00301510" w14:paraId="3834867E" w14:textId="77777777" w:rsidTr="00ED19C0">
        <w:tc>
          <w:tcPr>
            <w:tcW w:w="4956" w:type="dxa"/>
          </w:tcPr>
          <w:p w14:paraId="38B0F9F2" w14:textId="77777777" w:rsidR="00C05184" w:rsidRPr="00301510" w:rsidRDefault="00C05184" w:rsidP="00ED19C0">
            <w:pPr>
              <w:spacing w:line="276" w:lineRule="auto"/>
              <w:rPr>
                <w:rFonts w:cstheme="minorHAnsi"/>
              </w:rPr>
            </w:pPr>
            <w:r w:rsidRPr="00301510">
              <w:rPr>
                <w:rFonts w:cstheme="minorHAnsi"/>
                <w:noProof/>
              </w:rPr>
              <w:t>Provider Org Code</w:t>
            </w:r>
          </w:p>
        </w:tc>
        <w:tc>
          <w:tcPr>
            <w:tcW w:w="4395" w:type="dxa"/>
          </w:tcPr>
          <w:p w14:paraId="78719380" w14:textId="77777777" w:rsidR="00C05184" w:rsidRPr="00301510" w:rsidRDefault="00C05184" w:rsidP="00ED19C0">
            <w:pPr>
              <w:rPr>
                <w:rFonts w:cstheme="minorHAnsi"/>
              </w:rPr>
            </w:pPr>
          </w:p>
        </w:tc>
      </w:tr>
      <w:tr w:rsidR="00C05184" w:rsidRPr="00301510" w14:paraId="3A012EF4" w14:textId="77777777" w:rsidTr="00ED19C0">
        <w:tc>
          <w:tcPr>
            <w:tcW w:w="4956" w:type="dxa"/>
          </w:tcPr>
          <w:p w14:paraId="52186651" w14:textId="77777777" w:rsidR="00C05184" w:rsidRPr="00301510" w:rsidRDefault="00C05184" w:rsidP="00ED19C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Site Name and Site Cod</w:t>
            </w:r>
            <w:r w:rsidR="00AD1704">
              <w:rPr>
                <w:rFonts w:cstheme="minorHAnsi"/>
              </w:rPr>
              <w:t>e</w:t>
            </w:r>
          </w:p>
        </w:tc>
        <w:tc>
          <w:tcPr>
            <w:tcW w:w="4395" w:type="dxa"/>
          </w:tcPr>
          <w:p w14:paraId="0D1A0367" w14:textId="77777777" w:rsidR="00C05184" w:rsidRPr="00301510" w:rsidRDefault="00C05184" w:rsidP="00ED19C0">
            <w:pPr>
              <w:rPr>
                <w:rFonts w:cstheme="minorHAnsi"/>
              </w:rPr>
            </w:pPr>
          </w:p>
        </w:tc>
      </w:tr>
      <w:tr w:rsidR="00C05184" w:rsidRPr="00301510" w14:paraId="7FA78777" w14:textId="77777777" w:rsidTr="00ED19C0">
        <w:tc>
          <w:tcPr>
            <w:tcW w:w="4956" w:type="dxa"/>
          </w:tcPr>
          <w:p w14:paraId="5A732ABE" w14:textId="77777777" w:rsidR="00C05184" w:rsidRPr="00301510" w:rsidRDefault="00C05184" w:rsidP="00ED19C0">
            <w:pPr>
              <w:spacing w:line="276" w:lineRule="auto"/>
              <w:rPr>
                <w:rFonts w:cstheme="minorHAnsi"/>
              </w:rPr>
            </w:pPr>
            <w:r w:rsidRPr="00301510">
              <w:rPr>
                <w:rFonts w:cstheme="minorHAnsi"/>
              </w:rPr>
              <w:t xml:space="preserve">Name of person </w:t>
            </w:r>
            <w:r w:rsidRPr="00301510">
              <w:rPr>
                <w:rFonts w:cstheme="minorHAnsi"/>
                <w:noProof/>
              </w:rPr>
              <w:t>completing report</w:t>
            </w:r>
          </w:p>
        </w:tc>
        <w:tc>
          <w:tcPr>
            <w:tcW w:w="4395" w:type="dxa"/>
          </w:tcPr>
          <w:p w14:paraId="0F3BAEA4" w14:textId="77777777" w:rsidR="00C05184" w:rsidRPr="00301510" w:rsidRDefault="00C05184" w:rsidP="00ED19C0">
            <w:pPr>
              <w:rPr>
                <w:rFonts w:cstheme="minorHAnsi"/>
              </w:rPr>
            </w:pPr>
          </w:p>
        </w:tc>
      </w:tr>
      <w:tr w:rsidR="00C05184" w:rsidRPr="00301510" w14:paraId="332208EE" w14:textId="77777777" w:rsidTr="00ED19C0">
        <w:tc>
          <w:tcPr>
            <w:tcW w:w="4956" w:type="dxa"/>
          </w:tcPr>
          <w:p w14:paraId="5904E1C8" w14:textId="77777777" w:rsidR="00C05184" w:rsidRPr="00301510" w:rsidRDefault="00C05184" w:rsidP="00ED19C0">
            <w:pPr>
              <w:spacing w:line="276" w:lineRule="auto"/>
              <w:rPr>
                <w:rFonts w:cstheme="minorHAnsi"/>
                <w:noProof/>
              </w:rPr>
            </w:pPr>
            <w:r w:rsidRPr="00301510">
              <w:rPr>
                <w:rFonts w:cstheme="minorHAnsi"/>
                <w:noProof/>
              </w:rPr>
              <w:t>Position</w:t>
            </w:r>
          </w:p>
        </w:tc>
        <w:tc>
          <w:tcPr>
            <w:tcW w:w="4395" w:type="dxa"/>
          </w:tcPr>
          <w:p w14:paraId="2B5691BF" w14:textId="77777777" w:rsidR="00C05184" w:rsidRPr="00301510" w:rsidRDefault="00C05184" w:rsidP="00ED19C0">
            <w:pPr>
              <w:rPr>
                <w:rFonts w:cstheme="minorHAnsi"/>
              </w:rPr>
            </w:pPr>
          </w:p>
        </w:tc>
      </w:tr>
      <w:tr w:rsidR="00C05184" w:rsidRPr="00301510" w14:paraId="33F4CB74" w14:textId="77777777" w:rsidTr="00ED19C0">
        <w:tc>
          <w:tcPr>
            <w:tcW w:w="4956" w:type="dxa"/>
          </w:tcPr>
          <w:p w14:paraId="3BBD634F" w14:textId="77777777" w:rsidR="00C05184" w:rsidRPr="00301510" w:rsidRDefault="00C05184" w:rsidP="00ED19C0">
            <w:pPr>
              <w:spacing w:line="276" w:lineRule="auto"/>
              <w:rPr>
                <w:rFonts w:cstheme="minorHAnsi"/>
                <w:noProof/>
              </w:rPr>
            </w:pPr>
            <w:r w:rsidRPr="00301510">
              <w:rPr>
                <w:rFonts w:cstheme="minorHAnsi"/>
                <w:noProof/>
              </w:rPr>
              <w:t>Phone / Email</w:t>
            </w:r>
          </w:p>
        </w:tc>
        <w:tc>
          <w:tcPr>
            <w:tcW w:w="4395" w:type="dxa"/>
          </w:tcPr>
          <w:p w14:paraId="6B97A729" w14:textId="77777777" w:rsidR="00C05184" w:rsidRPr="00301510" w:rsidRDefault="00C05184" w:rsidP="00ED19C0">
            <w:pPr>
              <w:rPr>
                <w:rFonts w:cstheme="minorHAnsi"/>
              </w:rPr>
            </w:pPr>
          </w:p>
        </w:tc>
      </w:tr>
      <w:tr w:rsidR="00C05184" w:rsidRPr="00301510" w14:paraId="6EEED168" w14:textId="77777777" w:rsidTr="00ED19C0">
        <w:tc>
          <w:tcPr>
            <w:tcW w:w="4956" w:type="dxa"/>
            <w:tcBorders>
              <w:bottom w:val="single" w:sz="4" w:space="0" w:color="auto"/>
            </w:tcBorders>
          </w:tcPr>
          <w:p w14:paraId="512DE8D9" w14:textId="3C3AE0F3" w:rsidR="00C05184" w:rsidRPr="00301510" w:rsidRDefault="00C05184" w:rsidP="00ED19C0">
            <w:pPr>
              <w:spacing w:line="276" w:lineRule="auto"/>
              <w:rPr>
                <w:rFonts w:cstheme="minorHAnsi"/>
                <w:noProof/>
              </w:rPr>
            </w:pPr>
            <w:r w:rsidRPr="00301510">
              <w:rPr>
                <w:rFonts w:cstheme="minorHAnsi"/>
                <w:noProof/>
              </w:rPr>
              <w:t>Date of submission to the Department</w:t>
            </w:r>
          </w:p>
        </w:tc>
        <w:tc>
          <w:tcPr>
            <w:tcW w:w="4395" w:type="dxa"/>
          </w:tcPr>
          <w:p w14:paraId="694AA026" w14:textId="77777777" w:rsidR="00C05184" w:rsidRPr="00301510" w:rsidRDefault="00C05184" w:rsidP="00ED19C0">
            <w:pPr>
              <w:rPr>
                <w:rFonts w:cstheme="minorHAnsi"/>
              </w:rPr>
            </w:pPr>
          </w:p>
        </w:tc>
      </w:tr>
    </w:tbl>
    <w:p w14:paraId="2CA4A419" w14:textId="641208BC" w:rsidR="006079CA" w:rsidRDefault="006079CA" w:rsidP="006079CA">
      <w:r w:rsidRPr="00301510">
        <w:rPr>
          <w:rFonts w:cstheme="minorHAnsi"/>
          <w:b/>
          <w:sz w:val="24"/>
          <w:szCs w:val="24"/>
        </w:rPr>
        <w:t>Part 1B – Details of the Incident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6"/>
        <w:gridCol w:w="4395"/>
      </w:tblGrid>
      <w:tr w:rsidR="006079CA" w:rsidRPr="00301510" w14:paraId="1A9C589B" w14:textId="77777777" w:rsidTr="00A67FE0">
        <w:trPr>
          <w:trHeight w:val="386"/>
        </w:trPr>
        <w:tc>
          <w:tcPr>
            <w:tcW w:w="4956" w:type="dxa"/>
            <w:tcBorders>
              <w:right w:val="single" w:sz="4" w:space="0" w:color="auto"/>
            </w:tcBorders>
          </w:tcPr>
          <w:p w14:paraId="10D093AE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>Date of privacy incident</w:t>
            </w:r>
          </w:p>
          <w:p w14:paraId="2CBE23B9" w14:textId="77777777" w:rsidR="006079CA" w:rsidRPr="00AD1704" w:rsidRDefault="006079CA" w:rsidP="00A67FE0">
            <w:pPr>
              <w:spacing w:after="60"/>
              <w:rPr>
                <w:rFonts w:cstheme="minorHAnsi"/>
              </w:rPr>
            </w:pPr>
            <w:r w:rsidRPr="00AD1704">
              <w:rPr>
                <w:rFonts w:cstheme="minorHAnsi"/>
              </w:rPr>
              <w:t>(if different, the date when incident was first detected)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156D3BD0" w14:textId="77777777" w:rsidR="006079CA" w:rsidRPr="00301510" w:rsidRDefault="006079CA" w:rsidP="00A67FE0">
            <w:pPr>
              <w:rPr>
                <w:rFonts w:cstheme="minorHAnsi"/>
                <w:noProof/>
              </w:rPr>
            </w:pPr>
          </w:p>
        </w:tc>
      </w:tr>
      <w:tr w:rsidR="006079CA" w:rsidRPr="00301510" w14:paraId="1B0B39DB" w14:textId="77777777" w:rsidTr="00A67FE0">
        <w:trPr>
          <w:trHeight w:val="1827"/>
        </w:trPr>
        <w:tc>
          <w:tcPr>
            <w:tcW w:w="4956" w:type="dxa"/>
            <w:tcBorders>
              <w:right w:val="single" w:sz="4" w:space="0" w:color="auto"/>
            </w:tcBorders>
          </w:tcPr>
          <w:p w14:paraId="7AFFF511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  <w:r w:rsidRPr="00301510">
              <w:rPr>
                <w:rFonts w:cstheme="minorHAnsi"/>
              </w:rPr>
              <w:t>Provide a description of the incident.</w:t>
            </w:r>
          </w:p>
          <w:p w14:paraId="4869874F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  <w:r w:rsidRPr="00301510">
              <w:rPr>
                <w:rFonts w:cstheme="minorHAnsi"/>
              </w:rPr>
              <w:t xml:space="preserve">Include what operational systems were or may be affected and how the unauthorised </w:t>
            </w:r>
            <w:r>
              <w:rPr>
                <w:rFonts w:cstheme="minorHAnsi"/>
              </w:rPr>
              <w:t>access, loss or theft occurred.</w:t>
            </w:r>
          </w:p>
          <w:p w14:paraId="1378BE8A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  <w:r w:rsidRPr="00301510">
              <w:rPr>
                <w:rFonts w:cstheme="minorHAnsi"/>
              </w:rPr>
              <w:t>If relevant, why were the Records vulnerable?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1A3269A2" w14:textId="77777777" w:rsidR="006079CA" w:rsidRPr="00301510" w:rsidRDefault="006079CA" w:rsidP="00A67FE0">
            <w:pPr>
              <w:rPr>
                <w:rFonts w:cstheme="minorHAnsi"/>
                <w:noProof/>
              </w:rPr>
            </w:pPr>
          </w:p>
        </w:tc>
      </w:tr>
      <w:tr w:rsidR="006079CA" w:rsidRPr="00301510" w14:paraId="5FA16005" w14:textId="77777777" w:rsidTr="00A67FE0">
        <w:trPr>
          <w:trHeight w:val="974"/>
        </w:trPr>
        <w:tc>
          <w:tcPr>
            <w:tcW w:w="4956" w:type="dxa"/>
          </w:tcPr>
          <w:p w14:paraId="18B73D69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  <w:r w:rsidRPr="00301510">
              <w:rPr>
                <w:rFonts w:cstheme="minorHAnsi"/>
              </w:rPr>
              <w:lastRenderedPageBreak/>
              <w:t>How was the incident discovered?</w:t>
            </w:r>
          </w:p>
        </w:tc>
        <w:tc>
          <w:tcPr>
            <w:tcW w:w="4395" w:type="dxa"/>
          </w:tcPr>
          <w:p w14:paraId="48BB971F" w14:textId="77777777" w:rsidR="006079CA" w:rsidRPr="00301510" w:rsidRDefault="006079CA" w:rsidP="00A67FE0">
            <w:pPr>
              <w:rPr>
                <w:rFonts w:cstheme="minorHAnsi"/>
              </w:rPr>
            </w:pPr>
          </w:p>
        </w:tc>
      </w:tr>
      <w:tr w:rsidR="006079CA" w:rsidRPr="00301510" w14:paraId="42B30E20" w14:textId="77777777" w:rsidTr="00A67FE0">
        <w:trPr>
          <w:trHeight w:val="386"/>
        </w:trPr>
        <w:tc>
          <w:tcPr>
            <w:tcW w:w="4956" w:type="dxa"/>
          </w:tcPr>
          <w:p w14:paraId="4CED7EE6" w14:textId="77777777" w:rsidR="006079CA" w:rsidRPr="00301510" w:rsidRDefault="006079CA" w:rsidP="00A67FE0">
            <w:pPr>
              <w:spacing w:after="60"/>
              <w:rPr>
                <w:rFonts w:cstheme="minorHAnsi"/>
                <w:noProof/>
              </w:rPr>
            </w:pPr>
            <w:r w:rsidRPr="00301510">
              <w:rPr>
                <w:rFonts w:cstheme="minorHAnsi"/>
                <w:noProof/>
              </w:rPr>
              <w:t>What type of information</w:t>
            </w:r>
            <w:r>
              <w:rPr>
                <w:rFonts w:cstheme="minorHAnsi"/>
                <w:noProof/>
              </w:rPr>
              <w:t xml:space="preserve"> was involved in the incident? </w:t>
            </w:r>
            <w:r w:rsidRPr="00301510">
              <w:rPr>
                <w:rFonts w:cstheme="minorHAnsi"/>
                <w:noProof/>
              </w:rPr>
              <w:t>(e.g. financial details, TFN, identity information, contact information, health or other sensitive information).</w:t>
            </w:r>
          </w:p>
        </w:tc>
        <w:tc>
          <w:tcPr>
            <w:tcW w:w="4395" w:type="dxa"/>
          </w:tcPr>
          <w:p w14:paraId="4E2A2AA6" w14:textId="77777777" w:rsidR="006079CA" w:rsidRPr="00301510" w:rsidRDefault="006079CA" w:rsidP="00A67FE0">
            <w:pPr>
              <w:rPr>
                <w:rFonts w:cstheme="minorHAnsi"/>
                <w:noProof/>
              </w:rPr>
            </w:pPr>
          </w:p>
        </w:tc>
      </w:tr>
      <w:tr w:rsidR="006079CA" w:rsidRPr="00301510" w14:paraId="1EB340FD" w14:textId="77777777" w:rsidTr="00A67FE0">
        <w:trPr>
          <w:trHeight w:val="386"/>
        </w:trPr>
        <w:tc>
          <w:tcPr>
            <w:tcW w:w="4956" w:type="dxa"/>
          </w:tcPr>
          <w:p w14:paraId="6A31CA13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  <w:r w:rsidRPr="00301510">
              <w:rPr>
                <w:rFonts w:cstheme="minorHAnsi"/>
              </w:rPr>
              <w:t>Has anyone (or is anyone likely to have) obtained access to the information?</w:t>
            </w:r>
          </w:p>
        </w:tc>
        <w:tc>
          <w:tcPr>
            <w:tcW w:w="4395" w:type="dxa"/>
          </w:tcPr>
          <w:p w14:paraId="13221CB0" w14:textId="77777777" w:rsidR="006079CA" w:rsidRPr="00301510" w:rsidRDefault="006079CA" w:rsidP="00A67FE0">
            <w:pPr>
              <w:rPr>
                <w:rFonts w:cstheme="minorHAnsi"/>
                <w:noProof/>
              </w:rPr>
            </w:pPr>
          </w:p>
        </w:tc>
      </w:tr>
      <w:tr w:rsidR="006079CA" w:rsidRPr="00301510" w14:paraId="7AD8DCED" w14:textId="77777777" w:rsidTr="00A67FE0">
        <w:trPr>
          <w:trHeight w:val="386"/>
        </w:trPr>
        <w:tc>
          <w:tcPr>
            <w:tcW w:w="4956" w:type="dxa"/>
          </w:tcPr>
          <w:p w14:paraId="5DD0F476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  <w:r w:rsidRPr="00301510">
              <w:rPr>
                <w:rFonts w:cstheme="minorHAnsi"/>
              </w:rPr>
              <w:t>Was the incident considered deliberate or inadvertent?</w:t>
            </w:r>
          </w:p>
        </w:tc>
        <w:tc>
          <w:tcPr>
            <w:tcW w:w="4395" w:type="dxa"/>
          </w:tcPr>
          <w:p w14:paraId="343F48CE" w14:textId="77777777" w:rsidR="006079CA" w:rsidRPr="00301510" w:rsidRDefault="006079CA" w:rsidP="00A67FE0">
            <w:pPr>
              <w:tabs>
                <w:tab w:val="left" w:pos="1290"/>
              </w:tabs>
              <w:rPr>
                <w:rFonts w:cstheme="minorHAnsi"/>
              </w:rPr>
            </w:pPr>
          </w:p>
        </w:tc>
      </w:tr>
      <w:tr w:rsidR="006079CA" w:rsidRPr="00301510" w14:paraId="0682265C" w14:textId="77777777" w:rsidTr="00A67FE0">
        <w:trPr>
          <w:trHeight w:val="386"/>
        </w:trPr>
        <w:tc>
          <w:tcPr>
            <w:tcW w:w="4956" w:type="dxa"/>
          </w:tcPr>
          <w:p w14:paraId="6CA064FC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  <w:r w:rsidRPr="00301510">
              <w:rPr>
                <w:rFonts w:cstheme="minorHAnsi"/>
              </w:rPr>
              <w:t>Was anyone else notified or a witness to the incident?</w:t>
            </w:r>
          </w:p>
          <w:p w14:paraId="604EFF2C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  <w:r w:rsidRPr="00301510">
              <w:rPr>
                <w:rFonts w:cstheme="minorHAnsi"/>
              </w:rPr>
              <w:t>If yes, provide details.</w:t>
            </w:r>
          </w:p>
        </w:tc>
        <w:tc>
          <w:tcPr>
            <w:tcW w:w="4395" w:type="dxa"/>
          </w:tcPr>
          <w:p w14:paraId="51A01CEA" w14:textId="77777777" w:rsidR="006079CA" w:rsidRPr="00301510" w:rsidRDefault="006079CA" w:rsidP="00A67FE0">
            <w:pPr>
              <w:rPr>
                <w:rFonts w:cstheme="minorHAnsi"/>
                <w:noProof/>
              </w:rPr>
            </w:pPr>
          </w:p>
        </w:tc>
      </w:tr>
      <w:tr w:rsidR="006079CA" w:rsidRPr="003934A8" w14:paraId="6A22277D" w14:textId="77777777" w:rsidTr="00A67FE0">
        <w:trPr>
          <w:trHeight w:val="2676"/>
        </w:trPr>
        <w:tc>
          <w:tcPr>
            <w:tcW w:w="4956" w:type="dxa"/>
          </w:tcPr>
          <w:p w14:paraId="4A0659BC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  <w:r w:rsidRPr="00301510">
              <w:rPr>
                <w:rFonts w:cstheme="minorHAnsi"/>
              </w:rPr>
              <w:t xml:space="preserve">Has the incident been assessed in accordance </w:t>
            </w:r>
            <w:r w:rsidRPr="003934A8">
              <w:rPr>
                <w:rFonts w:cstheme="minorHAnsi"/>
              </w:rPr>
              <w:t xml:space="preserve">with the NDB Scheme and is it considered an </w:t>
            </w:r>
            <w:r w:rsidRPr="003934A8">
              <w:rPr>
                <w:rFonts w:cstheme="minorHAnsi"/>
                <w:b/>
              </w:rPr>
              <w:t>‘eligible data breach</w:t>
            </w:r>
            <w:r>
              <w:rPr>
                <w:rFonts w:cstheme="minorHAnsi"/>
              </w:rPr>
              <w:t>’?</w:t>
            </w:r>
          </w:p>
          <w:p w14:paraId="70AD519E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</w:p>
          <w:p w14:paraId="44210FD0" w14:textId="77777777" w:rsidR="006079CA" w:rsidRPr="00301510" w:rsidRDefault="006079CA" w:rsidP="00A67FE0">
            <w:pPr>
              <w:spacing w:after="60"/>
              <w:rPr>
                <w:rFonts w:cstheme="minorHAnsi"/>
              </w:rPr>
            </w:pPr>
            <w:r w:rsidRPr="00301510">
              <w:rPr>
                <w:rFonts w:cstheme="minorHAnsi"/>
              </w:rPr>
              <w:t>Please explain w</w:t>
            </w:r>
            <w:r>
              <w:rPr>
                <w:rFonts w:cstheme="minorHAnsi"/>
              </w:rPr>
              <w:t>hy/why not and provide reasons.</w:t>
            </w:r>
          </w:p>
          <w:p w14:paraId="43686A51" w14:textId="77777777" w:rsidR="006079CA" w:rsidRDefault="006079CA" w:rsidP="00A67FE0">
            <w:pPr>
              <w:spacing w:after="60"/>
              <w:rPr>
                <w:rFonts w:cstheme="minorHAnsi"/>
              </w:rPr>
            </w:pPr>
          </w:p>
          <w:p w14:paraId="17C37168" w14:textId="77777777" w:rsidR="006079CA" w:rsidRPr="00CF1C2B" w:rsidRDefault="006079CA" w:rsidP="00A67FE0">
            <w:pPr>
              <w:rPr>
                <w:rFonts w:cstheme="minorHAnsi"/>
                <w:noProof/>
                <w:sz w:val="20"/>
                <w:szCs w:val="20"/>
              </w:rPr>
            </w:pPr>
            <w:r w:rsidRPr="003934A8">
              <w:rPr>
                <w:rFonts w:cstheme="minorHAnsi"/>
                <w:noProof/>
                <w:sz w:val="20"/>
                <w:szCs w:val="20"/>
              </w:rPr>
              <w:t>Note: if the answer is unknown at the time of submitting this report, state this. Part 1 is due no later than one Business Day after the date of the privacy incident.</w:t>
            </w:r>
          </w:p>
        </w:tc>
        <w:tc>
          <w:tcPr>
            <w:tcW w:w="4395" w:type="dxa"/>
          </w:tcPr>
          <w:p w14:paraId="3FE25D4D" w14:textId="77777777" w:rsidR="006079CA" w:rsidRPr="003934A8" w:rsidRDefault="006079CA" w:rsidP="00A67FE0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08467159" w14:textId="22E5FEA0" w:rsidR="00C05184" w:rsidRDefault="006079CA">
      <w:pPr>
        <w:spacing w:before="0" w:after="200"/>
      </w:pPr>
      <w:r>
        <w:t xml:space="preserve"> </w:t>
      </w:r>
    </w:p>
    <w:p w14:paraId="11772A38" w14:textId="77777777" w:rsidR="00C05184" w:rsidRPr="00466BEC" w:rsidRDefault="00C05184" w:rsidP="00C05184">
      <w:pPr>
        <w:rPr>
          <w:b/>
          <w:sz w:val="28"/>
          <w:szCs w:val="32"/>
        </w:rPr>
      </w:pPr>
      <w:r w:rsidRPr="00466BEC">
        <w:rPr>
          <w:b/>
          <w:sz w:val="28"/>
          <w:szCs w:val="32"/>
        </w:rPr>
        <w:t>Part 2 – Detailed Reporting</w:t>
      </w:r>
    </w:p>
    <w:p w14:paraId="239B5361" w14:textId="77777777" w:rsidR="00C05184" w:rsidRDefault="00C05184" w:rsidP="00C05184">
      <w:pPr>
        <w:rPr>
          <w:b/>
          <w:sz w:val="24"/>
          <w:szCs w:val="24"/>
        </w:rPr>
      </w:pPr>
      <w:r w:rsidRPr="003934A8">
        <w:rPr>
          <w:b/>
          <w:sz w:val="24"/>
          <w:szCs w:val="24"/>
        </w:rPr>
        <w:t>Note:</w:t>
      </w:r>
      <w:r w:rsidRPr="003934A8">
        <w:rPr>
          <w:sz w:val="24"/>
          <w:szCs w:val="24"/>
        </w:rPr>
        <w:t xml:space="preserve"> Depending on the nature of the privacy breach or incident, not all questions/sections may be relevant. Please note ‘N/A’ accordingly. If details previously provided in Part 1 remain accurate and fulsome, feel free to refer to those relevant sections in completing Part 2.</w:t>
      </w:r>
      <w:r w:rsidRPr="003934A8">
        <w:rPr>
          <w:b/>
          <w:sz w:val="24"/>
          <w:szCs w:val="24"/>
        </w:rPr>
        <w:t xml:space="preserve"> </w:t>
      </w:r>
    </w:p>
    <w:p w14:paraId="46D0BDA2" w14:textId="5107C51F" w:rsidR="00975E9F" w:rsidRDefault="00975E9F" w:rsidP="00C05184">
      <w:pPr>
        <w:rPr>
          <w:b/>
          <w:sz w:val="24"/>
          <w:szCs w:val="32"/>
        </w:rPr>
      </w:pPr>
      <w:r w:rsidRPr="00BE3A2B">
        <w:rPr>
          <w:b/>
          <w:sz w:val="24"/>
          <w:szCs w:val="32"/>
        </w:rPr>
        <w:t>P</w:t>
      </w:r>
      <w:r>
        <w:rPr>
          <w:b/>
          <w:sz w:val="24"/>
          <w:szCs w:val="32"/>
        </w:rPr>
        <w:t>art</w:t>
      </w:r>
      <w:r w:rsidRPr="00BE3A2B">
        <w:rPr>
          <w:b/>
          <w:sz w:val="24"/>
          <w:szCs w:val="32"/>
        </w:rPr>
        <w:t xml:space="preserve"> 2A </w:t>
      </w:r>
      <w:r>
        <w:rPr>
          <w:b/>
          <w:sz w:val="24"/>
          <w:szCs w:val="32"/>
        </w:rPr>
        <w:t>–</w:t>
      </w:r>
      <w:r w:rsidRPr="00BE3A2B">
        <w:rPr>
          <w:b/>
          <w:sz w:val="24"/>
          <w:szCs w:val="32"/>
        </w:rPr>
        <w:t xml:space="preserve"> </w:t>
      </w:r>
      <w:r>
        <w:rPr>
          <w:b/>
          <w:sz w:val="24"/>
          <w:szCs w:val="32"/>
        </w:rPr>
        <w:t>Investigation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2077" w14:paraId="4BCB7FB5" w14:textId="77777777">
        <w:tc>
          <w:tcPr>
            <w:tcW w:w="4672" w:type="dxa"/>
          </w:tcPr>
          <w:p w14:paraId="79452E25" w14:textId="4774869F" w:rsidR="00A12077" w:rsidRDefault="00A12077" w:rsidP="00F90F90">
            <w:pPr>
              <w:spacing w:after="480"/>
              <w:rPr>
                <w:b/>
                <w:sz w:val="24"/>
                <w:szCs w:val="24"/>
              </w:rPr>
            </w:pPr>
            <w:r w:rsidRPr="00301510">
              <w:t>Describe the investigation undertaken and the evidence and findings. (Evidence of the breach and remedial action must be preserved)</w:t>
            </w:r>
          </w:p>
        </w:tc>
        <w:tc>
          <w:tcPr>
            <w:tcW w:w="4673" w:type="dxa"/>
          </w:tcPr>
          <w:p w14:paraId="6E08344E" w14:textId="77777777" w:rsidR="00A12077" w:rsidRDefault="00A12077" w:rsidP="00CF5A02">
            <w:pPr>
              <w:spacing w:before="0" w:after="1400"/>
              <w:rPr>
                <w:b/>
                <w:sz w:val="24"/>
                <w:szCs w:val="24"/>
              </w:rPr>
            </w:pPr>
          </w:p>
        </w:tc>
      </w:tr>
    </w:tbl>
    <w:p w14:paraId="30191049" w14:textId="1011752A" w:rsidR="00A12077" w:rsidRDefault="00A12077" w:rsidP="00C05184">
      <w:p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Part 2B – </w:t>
      </w:r>
      <w:r w:rsidRPr="00A44E62">
        <w:rPr>
          <w:b/>
          <w:sz w:val="24"/>
          <w:szCs w:val="32"/>
        </w:rPr>
        <w:t>Rectification</w:t>
      </w:r>
      <w:r>
        <w:rPr>
          <w:b/>
          <w:sz w:val="24"/>
          <w:szCs w:val="32"/>
        </w:rPr>
        <w:t xml:space="preserve">/Remediation </w:t>
      </w:r>
      <w:r w:rsidRPr="00A44E62">
        <w:rPr>
          <w:b/>
          <w:sz w:val="24"/>
          <w:szCs w:val="32"/>
        </w:rPr>
        <w:t>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2077" w14:paraId="713E1195" w14:textId="77777777">
        <w:tc>
          <w:tcPr>
            <w:tcW w:w="4672" w:type="dxa"/>
          </w:tcPr>
          <w:p w14:paraId="34764E37" w14:textId="77777777" w:rsidR="00A12077" w:rsidRPr="00301510" w:rsidRDefault="00A12077" w:rsidP="00CF5A02">
            <w:pPr>
              <w:spacing w:after="240"/>
            </w:pPr>
            <w:r w:rsidRPr="00301510">
              <w:t>Describe the actions taken to address the privacy incident and prevent harm to affected parties.</w:t>
            </w:r>
          </w:p>
          <w:p w14:paraId="2FDE1CB9" w14:textId="39A36B59" w:rsidR="00A12077" w:rsidRDefault="00A12077" w:rsidP="00A7600B">
            <w:pPr>
              <w:spacing w:after="600"/>
              <w:rPr>
                <w:b/>
                <w:sz w:val="24"/>
                <w:szCs w:val="24"/>
              </w:rPr>
            </w:pPr>
            <w:r w:rsidRPr="00301510">
              <w:lastRenderedPageBreak/>
              <w:t>(E.g. retrieval of records etc.)</w:t>
            </w:r>
          </w:p>
        </w:tc>
        <w:tc>
          <w:tcPr>
            <w:tcW w:w="4673" w:type="dxa"/>
          </w:tcPr>
          <w:p w14:paraId="7700B574" w14:textId="77777777" w:rsidR="00A12077" w:rsidRDefault="00A12077" w:rsidP="00F90F90">
            <w:pPr>
              <w:spacing w:before="0" w:after="840"/>
              <w:rPr>
                <w:b/>
                <w:sz w:val="24"/>
                <w:szCs w:val="24"/>
              </w:rPr>
            </w:pPr>
          </w:p>
        </w:tc>
      </w:tr>
      <w:tr w:rsidR="00A12077" w14:paraId="5FDC3881" w14:textId="77777777">
        <w:tc>
          <w:tcPr>
            <w:tcW w:w="4672" w:type="dxa"/>
          </w:tcPr>
          <w:p w14:paraId="136A1A03" w14:textId="73EAB565" w:rsidR="00A12077" w:rsidRPr="00301510" w:rsidRDefault="00A12077" w:rsidP="00A12077">
            <w:r w:rsidRPr="00301510">
              <w:rPr>
                <w:color w:val="000000" w:themeColor="text1"/>
              </w:rPr>
              <w:t>Have steps been taken to prevent the breach from occurring again?</w:t>
            </w:r>
          </w:p>
        </w:tc>
        <w:tc>
          <w:tcPr>
            <w:tcW w:w="4673" w:type="dxa"/>
          </w:tcPr>
          <w:p w14:paraId="6874B1F7" w14:textId="77777777" w:rsidR="00A12077" w:rsidRDefault="00A12077" w:rsidP="00CF5A02">
            <w:pPr>
              <w:spacing w:after="1440"/>
              <w:rPr>
                <w:b/>
                <w:sz w:val="24"/>
                <w:szCs w:val="24"/>
              </w:rPr>
            </w:pPr>
          </w:p>
        </w:tc>
      </w:tr>
      <w:tr w:rsidR="00A12077" w14:paraId="66FB32C4" w14:textId="77777777">
        <w:tc>
          <w:tcPr>
            <w:tcW w:w="4672" w:type="dxa"/>
          </w:tcPr>
          <w:p w14:paraId="0A84662B" w14:textId="0E3DE073" w:rsidR="00A12077" w:rsidRPr="00301510" w:rsidRDefault="00A12077" w:rsidP="00A12077">
            <w:r w:rsidRPr="00301510">
              <w:rPr>
                <w:color w:val="000000" w:themeColor="text1"/>
              </w:rPr>
              <w:t>Is there any other further action proposed?</w:t>
            </w:r>
          </w:p>
        </w:tc>
        <w:tc>
          <w:tcPr>
            <w:tcW w:w="4673" w:type="dxa"/>
          </w:tcPr>
          <w:p w14:paraId="14504888" w14:textId="77777777" w:rsidR="00A12077" w:rsidRDefault="00A12077" w:rsidP="00F90F90">
            <w:pPr>
              <w:spacing w:after="1320"/>
              <w:rPr>
                <w:b/>
                <w:sz w:val="24"/>
                <w:szCs w:val="24"/>
              </w:rPr>
            </w:pPr>
          </w:p>
        </w:tc>
      </w:tr>
    </w:tbl>
    <w:p w14:paraId="63651D8D" w14:textId="5B69012C" w:rsidR="00A12077" w:rsidRDefault="00A12077" w:rsidP="00C05184">
      <w:pPr>
        <w:rPr>
          <w:b/>
          <w:sz w:val="24"/>
          <w:szCs w:val="32"/>
        </w:rPr>
      </w:pPr>
      <w:r w:rsidRPr="00BE3A2B">
        <w:rPr>
          <w:b/>
          <w:sz w:val="24"/>
          <w:szCs w:val="32"/>
        </w:rPr>
        <w:t>P</w:t>
      </w:r>
      <w:r>
        <w:rPr>
          <w:b/>
          <w:sz w:val="24"/>
          <w:szCs w:val="32"/>
        </w:rPr>
        <w:t>art</w:t>
      </w:r>
      <w:r w:rsidRPr="00BE3A2B">
        <w:rPr>
          <w:b/>
          <w:sz w:val="24"/>
          <w:szCs w:val="32"/>
        </w:rPr>
        <w:t xml:space="preserve"> 2</w:t>
      </w:r>
      <w:r>
        <w:rPr>
          <w:b/>
          <w:sz w:val="24"/>
          <w:szCs w:val="32"/>
        </w:rPr>
        <w:t>C</w:t>
      </w:r>
      <w:r w:rsidRPr="00BE3A2B">
        <w:rPr>
          <w:b/>
          <w:sz w:val="24"/>
          <w:szCs w:val="32"/>
        </w:rPr>
        <w:t xml:space="preserve"> – Eligible Data Breach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2077" w14:paraId="02CC0A28" w14:textId="77777777">
        <w:tc>
          <w:tcPr>
            <w:tcW w:w="4672" w:type="dxa"/>
          </w:tcPr>
          <w:p w14:paraId="432C9FAC" w14:textId="11C00F5B" w:rsidR="00A12077" w:rsidRDefault="00A12077" w:rsidP="00A7600B">
            <w:pPr>
              <w:spacing w:after="60"/>
              <w:rPr>
                <w:b/>
                <w:sz w:val="24"/>
                <w:szCs w:val="24"/>
              </w:rPr>
            </w:pPr>
            <w:r w:rsidRPr="00404598">
              <w:t>Has the incident been assessed in accordance with the NDB Scheme and is it considered an ‘eligible data breach’?</w:t>
            </w:r>
          </w:p>
        </w:tc>
        <w:tc>
          <w:tcPr>
            <w:tcW w:w="4673" w:type="dxa"/>
          </w:tcPr>
          <w:p w14:paraId="21F65949" w14:textId="77777777" w:rsidR="00A12077" w:rsidRDefault="00A12077" w:rsidP="00A7600B">
            <w:pPr>
              <w:spacing w:after="1200"/>
              <w:rPr>
                <w:b/>
                <w:sz w:val="24"/>
                <w:szCs w:val="24"/>
              </w:rPr>
            </w:pPr>
          </w:p>
        </w:tc>
      </w:tr>
      <w:tr w:rsidR="00A12077" w14:paraId="60212604" w14:textId="77777777">
        <w:tc>
          <w:tcPr>
            <w:tcW w:w="4672" w:type="dxa"/>
          </w:tcPr>
          <w:p w14:paraId="68AE62B1" w14:textId="174FC05B" w:rsidR="00A12077" w:rsidRDefault="00A12077" w:rsidP="00C05184">
            <w:pPr>
              <w:rPr>
                <w:b/>
                <w:sz w:val="24"/>
                <w:szCs w:val="24"/>
              </w:rPr>
            </w:pPr>
            <w:r w:rsidRPr="00404598">
              <w:t>Have affected individuals and the Office of the Australian Information Commissioner been notified of the breach and when?</w:t>
            </w:r>
            <w:r w:rsidRPr="00404598">
              <w:rPr>
                <w:rFonts w:cstheme="minorHAnsi"/>
              </w:rPr>
              <w:t xml:space="preserve"> (Please describe how affected individuals will be or were informed about the breach of their personal information).</w:t>
            </w:r>
          </w:p>
        </w:tc>
        <w:tc>
          <w:tcPr>
            <w:tcW w:w="4673" w:type="dxa"/>
          </w:tcPr>
          <w:p w14:paraId="050D090F" w14:textId="77777777" w:rsidR="00A12077" w:rsidRDefault="00A12077" w:rsidP="00F90F90">
            <w:pPr>
              <w:spacing w:after="1320"/>
              <w:rPr>
                <w:b/>
                <w:sz w:val="24"/>
                <w:szCs w:val="24"/>
              </w:rPr>
            </w:pPr>
          </w:p>
        </w:tc>
      </w:tr>
      <w:tr w:rsidR="00A12077" w14:paraId="4A9C9AEB" w14:textId="77777777">
        <w:tc>
          <w:tcPr>
            <w:tcW w:w="4672" w:type="dxa"/>
          </w:tcPr>
          <w:p w14:paraId="72BC4FAD" w14:textId="6EC265BB" w:rsidR="00A12077" w:rsidRDefault="00A12077" w:rsidP="00C05184">
            <w:pPr>
              <w:rPr>
                <w:b/>
                <w:sz w:val="24"/>
                <w:szCs w:val="24"/>
              </w:rPr>
            </w:pPr>
            <w:r w:rsidRPr="00404598">
              <w:rPr>
                <w:rFonts w:cstheme="minorHAnsi"/>
              </w:rPr>
              <w:t xml:space="preserve">If you do not intend to notify individuals because of an exception, please provide your reasons, including details about a relevant exception under the </w:t>
            </w:r>
            <w:r w:rsidRPr="00404598">
              <w:rPr>
                <w:rFonts w:cstheme="minorHAnsi"/>
                <w:i/>
              </w:rPr>
              <w:t>Privacy Act 1988</w:t>
            </w:r>
            <w:r w:rsidRPr="00404598">
              <w:rPr>
                <w:rFonts w:cstheme="minorHAnsi"/>
              </w:rPr>
              <w:t>.</w:t>
            </w:r>
          </w:p>
        </w:tc>
        <w:tc>
          <w:tcPr>
            <w:tcW w:w="4673" w:type="dxa"/>
          </w:tcPr>
          <w:p w14:paraId="3D499316" w14:textId="77777777" w:rsidR="00A12077" w:rsidRDefault="00A12077" w:rsidP="00F90F90">
            <w:pPr>
              <w:spacing w:after="1320"/>
              <w:rPr>
                <w:b/>
                <w:sz w:val="24"/>
                <w:szCs w:val="24"/>
              </w:rPr>
            </w:pPr>
          </w:p>
        </w:tc>
      </w:tr>
      <w:tr w:rsidR="00A12077" w14:paraId="14DC49F5" w14:textId="77777777">
        <w:tc>
          <w:tcPr>
            <w:tcW w:w="4672" w:type="dxa"/>
          </w:tcPr>
          <w:p w14:paraId="74F000BC" w14:textId="7D8FC1F4" w:rsidR="00A12077" w:rsidRDefault="00A12077" w:rsidP="00C05184">
            <w:pPr>
              <w:rPr>
                <w:b/>
                <w:sz w:val="24"/>
                <w:szCs w:val="24"/>
              </w:rPr>
            </w:pPr>
            <w:r w:rsidRPr="00466BEC">
              <w:rPr>
                <w:rFonts w:cstheme="minorHAnsi"/>
                <w:b/>
              </w:rPr>
              <w:t>Additional Information?</w:t>
            </w:r>
            <w:r>
              <w:rPr>
                <w:rFonts w:cstheme="minorHAnsi"/>
              </w:rPr>
              <w:t xml:space="preserve"> (Please include any relevant information that you believe is important)</w:t>
            </w:r>
          </w:p>
        </w:tc>
        <w:tc>
          <w:tcPr>
            <w:tcW w:w="4673" w:type="dxa"/>
          </w:tcPr>
          <w:p w14:paraId="3659248F" w14:textId="77777777" w:rsidR="00A12077" w:rsidRDefault="00A12077" w:rsidP="00A7600B">
            <w:pPr>
              <w:spacing w:after="1200"/>
              <w:rPr>
                <w:b/>
                <w:sz w:val="24"/>
                <w:szCs w:val="24"/>
              </w:rPr>
            </w:pPr>
          </w:p>
        </w:tc>
      </w:tr>
    </w:tbl>
    <w:p w14:paraId="6BC7AE20" w14:textId="77777777" w:rsidR="00C05184" w:rsidRDefault="00C05184" w:rsidP="003905FE"/>
    <w:p w14:paraId="666FF8D5" w14:textId="77777777" w:rsidR="00C05184" w:rsidRPr="00301510" w:rsidRDefault="00C05184" w:rsidP="00C05184">
      <w:pPr>
        <w:ind w:left="142" w:right="142"/>
        <w:rPr>
          <w:sz w:val="24"/>
          <w:szCs w:val="24"/>
        </w:rPr>
      </w:pPr>
      <w:r w:rsidRPr="003934A8">
        <w:rPr>
          <w:rStyle w:val="Strong"/>
          <w:sz w:val="24"/>
          <w:szCs w:val="24"/>
        </w:rPr>
        <w:t>**If applicable, please provide a s</w:t>
      </w:r>
      <w:r w:rsidRPr="003934A8">
        <w:rPr>
          <w:b/>
          <w:sz w:val="24"/>
          <w:szCs w:val="24"/>
        </w:rPr>
        <w:t>tatutory declaration for Part 2</w:t>
      </w:r>
      <w:r w:rsidRPr="00301510">
        <w:rPr>
          <w:sz w:val="24"/>
          <w:szCs w:val="24"/>
        </w:rPr>
        <w:t>, stating the Records are damaged beyond salvage or were lost or stolen.</w:t>
      </w:r>
    </w:p>
    <w:p w14:paraId="70AA0347" w14:textId="77777777" w:rsidR="00C05184" w:rsidRDefault="00C05184" w:rsidP="003905FE"/>
    <w:p w14:paraId="454CBD51" w14:textId="77777777" w:rsidR="00CF1C2B" w:rsidRPr="00CF1C2B" w:rsidRDefault="00CF1C2B" w:rsidP="00411004">
      <w:pPr>
        <w:pStyle w:val="ListParagraph"/>
        <w:numPr>
          <w:ilvl w:val="0"/>
          <w:numId w:val="38"/>
        </w:numPr>
        <w:spacing w:after="60"/>
        <w:rPr>
          <w:b/>
          <w:bCs/>
        </w:rPr>
      </w:pPr>
      <w:r w:rsidRPr="00404598">
        <w:rPr>
          <w:rStyle w:val="Strong"/>
        </w:rPr>
        <w:t xml:space="preserve">I confirm the details and attachments provided in this </w:t>
      </w:r>
      <w:r w:rsidRPr="00466BEC">
        <w:rPr>
          <w:rStyle w:val="Strong"/>
        </w:rPr>
        <w:t>final version of the report (Parts 1 and 2)</w:t>
      </w:r>
      <w:r w:rsidRPr="00404598">
        <w:rPr>
          <w:rStyle w:val="Strong"/>
        </w:rPr>
        <w:t xml:space="preserve"> are accurate and correct and the CEO (or equivalent) </w:t>
      </w:r>
      <w:r w:rsidRPr="003934A8">
        <w:rPr>
          <w:rStyle w:val="Strong"/>
        </w:rPr>
        <w:t>has been informed of this data breach</w:t>
      </w:r>
      <w:r w:rsidRPr="00404598">
        <w:rPr>
          <w:rStyle w:val="Strong"/>
        </w:rPr>
        <w:t>.</w:t>
      </w:r>
    </w:p>
    <w:tbl>
      <w:tblPr>
        <w:tblStyle w:val="TableGrid1"/>
        <w:tblW w:w="9493" w:type="dxa"/>
        <w:shd w:val="clear" w:color="auto" w:fill="FFFFFF" w:themeFill="background1"/>
        <w:tblLook w:val="04A0" w:firstRow="1" w:lastRow="0" w:firstColumn="1" w:lastColumn="0" w:noHBand="0" w:noVBand="1"/>
        <w:tblDescription w:val="Confirm the details and attachments provided in this final version of the report (Parts 1 and 2) are accurate and correct and the CEO (or equivalent) has been informed of this data breach."/>
      </w:tblPr>
      <w:tblGrid>
        <w:gridCol w:w="3114"/>
        <w:gridCol w:w="6379"/>
      </w:tblGrid>
      <w:tr w:rsidR="00AD1704" w:rsidRPr="00404598" w14:paraId="79BBA4A5" w14:textId="77777777" w:rsidTr="00CF1C2B">
        <w:trPr>
          <w:trHeight w:val="851"/>
        </w:trPr>
        <w:tc>
          <w:tcPr>
            <w:tcW w:w="3114" w:type="dxa"/>
            <w:shd w:val="clear" w:color="auto" w:fill="FFFFFF" w:themeFill="background1"/>
          </w:tcPr>
          <w:p w14:paraId="2C07B673" w14:textId="77777777" w:rsidR="00AD1704" w:rsidRPr="00AD1704" w:rsidRDefault="00CF1C2B" w:rsidP="00AD1704">
            <w:pPr>
              <w:spacing w:after="60"/>
              <w:rPr>
                <w:rFonts w:cstheme="minorHAnsi"/>
                <w:b/>
              </w:rPr>
            </w:pPr>
            <w:r>
              <w:rPr>
                <w:rStyle w:val="Strong"/>
                <w:b w:val="0"/>
              </w:rPr>
              <w:lastRenderedPageBreak/>
              <w:t>Name of CEO</w:t>
            </w:r>
          </w:p>
        </w:tc>
        <w:tc>
          <w:tcPr>
            <w:tcW w:w="6379" w:type="dxa"/>
            <w:shd w:val="clear" w:color="auto" w:fill="FFFFFF" w:themeFill="background1"/>
          </w:tcPr>
          <w:p w14:paraId="3EEF3471" w14:textId="77777777" w:rsidR="00AD1704" w:rsidRPr="00404598" w:rsidRDefault="00AD1704" w:rsidP="00AD1704">
            <w:pPr>
              <w:rPr>
                <w:noProof/>
              </w:rPr>
            </w:pPr>
          </w:p>
        </w:tc>
      </w:tr>
      <w:tr w:rsidR="00AD1704" w:rsidRPr="00404598" w14:paraId="1B0B45C0" w14:textId="77777777" w:rsidTr="00CF1C2B">
        <w:trPr>
          <w:trHeight w:val="851"/>
        </w:trPr>
        <w:tc>
          <w:tcPr>
            <w:tcW w:w="3114" w:type="dxa"/>
            <w:shd w:val="clear" w:color="auto" w:fill="FFFFFF" w:themeFill="background1"/>
          </w:tcPr>
          <w:p w14:paraId="2EA846BA" w14:textId="77777777" w:rsidR="00AD1704" w:rsidRPr="00AD1704" w:rsidRDefault="00CF1C2B" w:rsidP="00AD1704">
            <w:pPr>
              <w:spacing w:after="6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08AE1FEC" w14:textId="77777777" w:rsidR="00AD1704" w:rsidRPr="00404598" w:rsidRDefault="00AD1704" w:rsidP="00AD1704">
            <w:pPr>
              <w:rPr>
                <w:noProof/>
              </w:rPr>
            </w:pPr>
          </w:p>
        </w:tc>
      </w:tr>
      <w:tr w:rsidR="00AD1704" w:rsidRPr="00404598" w14:paraId="2B299986" w14:textId="77777777" w:rsidTr="00CF1C2B">
        <w:trPr>
          <w:trHeight w:val="851"/>
        </w:trPr>
        <w:tc>
          <w:tcPr>
            <w:tcW w:w="3114" w:type="dxa"/>
            <w:shd w:val="clear" w:color="auto" w:fill="FFFFFF" w:themeFill="background1"/>
          </w:tcPr>
          <w:p w14:paraId="1A7FA640" w14:textId="77777777" w:rsidR="00AD1704" w:rsidRPr="00AD1704" w:rsidRDefault="00CF1C2B" w:rsidP="00AD1704">
            <w:pPr>
              <w:spacing w:after="6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Title</w:t>
            </w:r>
          </w:p>
        </w:tc>
        <w:tc>
          <w:tcPr>
            <w:tcW w:w="6379" w:type="dxa"/>
            <w:shd w:val="clear" w:color="auto" w:fill="FFFFFF" w:themeFill="background1"/>
          </w:tcPr>
          <w:p w14:paraId="2E19B460" w14:textId="77777777" w:rsidR="00AD1704" w:rsidRPr="00404598" w:rsidRDefault="00AD1704" w:rsidP="00AD1704">
            <w:pPr>
              <w:rPr>
                <w:noProof/>
              </w:rPr>
            </w:pPr>
          </w:p>
        </w:tc>
      </w:tr>
      <w:tr w:rsidR="00AD1704" w:rsidRPr="00404598" w14:paraId="01C343CA" w14:textId="77777777" w:rsidTr="00CF1C2B">
        <w:trPr>
          <w:trHeight w:val="851"/>
        </w:trPr>
        <w:tc>
          <w:tcPr>
            <w:tcW w:w="3114" w:type="dxa"/>
            <w:shd w:val="clear" w:color="auto" w:fill="FFFFFF" w:themeFill="background1"/>
          </w:tcPr>
          <w:p w14:paraId="75F36A91" w14:textId="77777777" w:rsidR="00AD1704" w:rsidRPr="00AD1704" w:rsidRDefault="00CF1C2B" w:rsidP="00AD1704">
            <w:pPr>
              <w:spacing w:after="6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Date</w:t>
            </w:r>
          </w:p>
        </w:tc>
        <w:tc>
          <w:tcPr>
            <w:tcW w:w="6379" w:type="dxa"/>
            <w:shd w:val="clear" w:color="auto" w:fill="FFFFFF" w:themeFill="background1"/>
          </w:tcPr>
          <w:p w14:paraId="164C220E" w14:textId="77777777" w:rsidR="00AD1704" w:rsidRPr="00404598" w:rsidRDefault="00AD1704" w:rsidP="00AD1704">
            <w:pPr>
              <w:rPr>
                <w:noProof/>
              </w:rPr>
            </w:pPr>
          </w:p>
        </w:tc>
      </w:tr>
      <w:bookmarkEnd w:id="253"/>
    </w:tbl>
    <w:p w14:paraId="3B0C418C" w14:textId="77777777" w:rsidR="00C449B3" w:rsidRPr="00F14320" w:rsidRDefault="00EA1DBE" w:rsidP="00F14320">
      <w:pPr>
        <w:spacing w:before="0" w:after="200"/>
        <w:rPr>
          <w:rFonts w:eastAsiaTheme="majorEastAsia" w:cstheme="majorBidi"/>
          <w:b/>
          <w:bCs/>
          <w:color w:val="000000" w:themeColor="text1"/>
          <w:sz w:val="28"/>
          <w:szCs w:val="28"/>
        </w:rPr>
        <w:sectPr w:rsidR="00C449B3" w:rsidRPr="00F14320" w:rsidSect="00EE7F7B">
          <w:headerReference w:type="default" r:id="rId41"/>
          <w:headerReference w:type="first" r:id="rId42"/>
          <w:footerReference w:type="first" r:id="rId43"/>
          <w:pgSz w:w="11906" w:h="16838"/>
          <w:pgMar w:top="1134" w:right="1133" w:bottom="1418" w:left="1418" w:header="284" w:footer="459" w:gutter="0"/>
          <w:pgNumType w:start="1"/>
          <w:cols w:space="708"/>
          <w:titlePg/>
          <w:docGrid w:linePitch="360"/>
        </w:sectPr>
      </w:pPr>
      <w:r>
        <w:br w:type="page"/>
      </w:r>
    </w:p>
    <w:p w14:paraId="603B754C" w14:textId="77777777" w:rsidR="001D164B" w:rsidRPr="00042EE7" w:rsidRDefault="00042EE7" w:rsidP="00042EE7">
      <w:pPr>
        <w:pStyle w:val="Heading1"/>
        <w:numPr>
          <w:ilvl w:val="0"/>
          <w:numId w:val="0"/>
        </w:numPr>
        <w:ind w:left="432" w:hanging="432"/>
        <w:rPr>
          <w:b w:val="0"/>
        </w:rPr>
      </w:pPr>
      <w:bookmarkStart w:id="254" w:name="_Attachment_A_–_1"/>
      <w:bookmarkStart w:id="255" w:name="_Toc207282728"/>
      <w:bookmarkStart w:id="256" w:name="_Hlk208483154"/>
      <w:bookmarkEnd w:id="254"/>
      <w:r w:rsidRPr="006C5CD9">
        <w:rPr>
          <w:b w:val="0"/>
        </w:rPr>
        <w:lastRenderedPageBreak/>
        <w:t xml:space="preserve">Attachment </w:t>
      </w:r>
      <w:r>
        <w:rPr>
          <w:b w:val="0"/>
        </w:rPr>
        <w:t>C</w:t>
      </w:r>
      <w:r w:rsidRPr="006C5CD9">
        <w:rPr>
          <w:b w:val="0"/>
        </w:rPr>
        <w:t xml:space="preserve"> - </w:t>
      </w:r>
      <w:r w:rsidR="001D164B" w:rsidRPr="00042EE7">
        <w:rPr>
          <w:b w:val="0"/>
        </w:rPr>
        <w:t>Incident Notification form</w:t>
      </w:r>
      <w:bookmarkEnd w:id="255"/>
    </w:p>
    <w:p w14:paraId="640FC27E" w14:textId="77777777" w:rsidR="001D164B" w:rsidRPr="00FA0487" w:rsidRDefault="001D164B" w:rsidP="00FA0487">
      <w:pPr>
        <w:pStyle w:val="Heading1"/>
        <w:numPr>
          <w:ilvl w:val="0"/>
          <w:numId w:val="0"/>
        </w:numPr>
        <w:rPr>
          <w:sz w:val="22"/>
          <w:szCs w:val="22"/>
        </w:rPr>
      </w:pPr>
      <w:bookmarkStart w:id="257" w:name="_Toc207282729"/>
      <w:r w:rsidRPr="00FA0487">
        <w:rPr>
          <w:sz w:val="22"/>
          <w:szCs w:val="22"/>
        </w:rPr>
        <w:t>Who should use this form</w:t>
      </w:r>
      <w:bookmarkEnd w:id="257"/>
    </w:p>
    <w:p w14:paraId="4BA54C77" w14:textId="5A5BBA01" w:rsidR="001D164B" w:rsidRPr="003D7ED5" w:rsidRDefault="001D164B" w:rsidP="001D164B">
      <w:pPr>
        <w:rPr>
          <w:b/>
          <w:sz w:val="20"/>
          <w:szCs w:val="20"/>
        </w:rPr>
      </w:pPr>
      <w:r w:rsidRPr="003D7ED5">
        <w:rPr>
          <w:sz w:val="20"/>
          <w:szCs w:val="20"/>
        </w:rPr>
        <w:t>This template is provided for the use of providers of the Individual Placement and Support (IPS) program</w:t>
      </w:r>
      <w:r>
        <w:rPr>
          <w:sz w:val="20"/>
          <w:szCs w:val="20"/>
        </w:rPr>
        <w:t xml:space="preserve"> through the Adult Mental Health pilot</w:t>
      </w:r>
      <w:r w:rsidRPr="003D7ED5">
        <w:rPr>
          <w:sz w:val="20"/>
          <w:szCs w:val="20"/>
        </w:rPr>
        <w:t>. Providers are funded by the Department of S</w:t>
      </w:r>
      <w:r>
        <w:rPr>
          <w:sz w:val="20"/>
          <w:szCs w:val="20"/>
        </w:rPr>
        <w:t xml:space="preserve">ocial Services (the </w:t>
      </w:r>
      <w:r w:rsidR="00B8500A">
        <w:rPr>
          <w:sz w:val="20"/>
          <w:szCs w:val="20"/>
        </w:rPr>
        <w:t>Department</w:t>
      </w:r>
      <w:r>
        <w:rPr>
          <w:sz w:val="20"/>
          <w:szCs w:val="20"/>
        </w:rPr>
        <w:t>).</w:t>
      </w:r>
    </w:p>
    <w:p w14:paraId="1F735244" w14:textId="77777777" w:rsidR="001D164B" w:rsidRPr="00507032" w:rsidRDefault="001D164B" w:rsidP="00FA0487">
      <w:pPr>
        <w:pStyle w:val="Heading2"/>
        <w:numPr>
          <w:ilvl w:val="0"/>
          <w:numId w:val="0"/>
        </w:numPr>
      </w:pPr>
      <w:bookmarkStart w:id="258" w:name="_Toc207282730"/>
      <w:r w:rsidRPr="00507032">
        <w:t>When to use this form</w:t>
      </w:r>
      <w:bookmarkEnd w:id="258"/>
    </w:p>
    <w:p w14:paraId="2627B6CC" w14:textId="09097D4B" w:rsidR="001D164B" w:rsidRPr="00A66068" w:rsidRDefault="001D164B" w:rsidP="001D164B">
      <w:pPr>
        <w:rPr>
          <w:sz w:val="20"/>
          <w:szCs w:val="24"/>
        </w:rPr>
      </w:pPr>
      <w:r w:rsidRPr="003D7ED5">
        <w:rPr>
          <w:sz w:val="20"/>
        </w:rPr>
        <w:t xml:space="preserve">Providers should use this form when notifying the </w:t>
      </w:r>
      <w:r w:rsidR="00B8500A">
        <w:rPr>
          <w:sz w:val="20"/>
        </w:rPr>
        <w:t>Department</w:t>
      </w:r>
      <w:r w:rsidRPr="003D7ED5">
        <w:rPr>
          <w:sz w:val="20"/>
        </w:rPr>
        <w:t xml:space="preserve"> of a serious or reportable incident, as outlined in the Operational Guidelines. Providers should submit a completed form to their Funding Arrangement Manager within the timeframes outlined in the Operational Guidelines, while updates on incidents should be provided within </w:t>
      </w:r>
      <w:r w:rsidR="00AE55B2">
        <w:rPr>
          <w:sz w:val="20"/>
        </w:rPr>
        <w:t>5</w:t>
      </w:r>
      <w:r w:rsidRPr="003D7ED5">
        <w:rPr>
          <w:sz w:val="20"/>
        </w:rPr>
        <w:t xml:space="preserve"> </w:t>
      </w:r>
      <w:r w:rsidRPr="00A66068">
        <w:rPr>
          <w:sz w:val="20"/>
        </w:rPr>
        <w:t xml:space="preserve">days. Providers should report incidents to their DSS </w:t>
      </w:r>
      <w:r w:rsidR="009D3149">
        <w:rPr>
          <w:sz w:val="20"/>
        </w:rPr>
        <w:t>Funding Arrangement</w:t>
      </w:r>
      <w:r w:rsidRPr="00A66068">
        <w:rPr>
          <w:sz w:val="20"/>
        </w:rPr>
        <w:t xml:space="preserve"> Manager within 24 hours of occurrence/discovery.  Reportable incidents include:</w:t>
      </w:r>
    </w:p>
    <w:p w14:paraId="5C9C7D82" w14:textId="77777777" w:rsidR="001D164B" w:rsidRPr="00A66068" w:rsidRDefault="001D164B" w:rsidP="001D164B">
      <w:pPr>
        <w:pStyle w:val="ListBullet"/>
        <w:spacing w:before="0" w:after="0" w:line="240" w:lineRule="auto"/>
        <w:ind w:left="357" w:hanging="357"/>
        <w:rPr>
          <w:sz w:val="20"/>
        </w:rPr>
      </w:pPr>
      <w:r w:rsidRPr="00A66068">
        <w:rPr>
          <w:sz w:val="20"/>
        </w:rPr>
        <w:t>Death, injury or abuse of a participant while in the program, or of staff/volunteers undertaking delivery of IPS</w:t>
      </w:r>
    </w:p>
    <w:p w14:paraId="7A87D66A" w14:textId="77777777" w:rsidR="001D164B" w:rsidRPr="00A66068" w:rsidRDefault="001D164B" w:rsidP="001D164B">
      <w:pPr>
        <w:pStyle w:val="ListBullet"/>
        <w:spacing w:before="0" w:after="0" w:line="240" w:lineRule="auto"/>
        <w:ind w:left="357" w:hanging="357"/>
        <w:rPr>
          <w:sz w:val="20"/>
        </w:rPr>
      </w:pPr>
      <w:r w:rsidRPr="00A66068">
        <w:rPr>
          <w:sz w:val="20"/>
        </w:rPr>
        <w:t xml:space="preserve">Inappropriate conduct between a participant, especially a child or young person, and employee </w:t>
      </w:r>
    </w:p>
    <w:p w14:paraId="483999D1" w14:textId="77777777" w:rsidR="001D164B" w:rsidRPr="00A66068" w:rsidRDefault="001D164B" w:rsidP="001D164B">
      <w:pPr>
        <w:pStyle w:val="ListBullet"/>
        <w:spacing w:before="0" w:after="0" w:line="240" w:lineRule="auto"/>
        <w:ind w:left="357" w:hanging="357"/>
        <w:rPr>
          <w:sz w:val="20"/>
        </w:rPr>
      </w:pPr>
      <w:r w:rsidRPr="00A66068">
        <w:rPr>
          <w:sz w:val="20"/>
        </w:rPr>
        <w:t>Significant damage to or destruction of property impacting service delivery</w:t>
      </w:r>
    </w:p>
    <w:p w14:paraId="64CEC3C3" w14:textId="77777777" w:rsidR="001D164B" w:rsidRPr="00A66068" w:rsidRDefault="001D164B" w:rsidP="001D164B">
      <w:pPr>
        <w:pStyle w:val="ListBullet"/>
        <w:spacing w:before="0" w:after="0" w:line="240" w:lineRule="auto"/>
        <w:ind w:left="357" w:hanging="357"/>
        <w:rPr>
          <w:sz w:val="20"/>
        </w:rPr>
      </w:pPr>
      <w:r w:rsidRPr="00A66068">
        <w:rPr>
          <w:sz w:val="20"/>
        </w:rPr>
        <w:t>Adverse community reaction to the IPS activities</w:t>
      </w:r>
    </w:p>
    <w:p w14:paraId="6B38EBB3" w14:textId="77777777" w:rsidR="001D164B" w:rsidRPr="00A66068" w:rsidRDefault="001D164B" w:rsidP="001D164B">
      <w:pPr>
        <w:pStyle w:val="ListBullet"/>
        <w:spacing w:before="0" w:after="0" w:line="240" w:lineRule="auto"/>
        <w:ind w:left="357" w:hanging="357"/>
        <w:rPr>
          <w:sz w:val="20"/>
        </w:rPr>
      </w:pPr>
      <w:r w:rsidRPr="00A66068">
        <w:rPr>
          <w:sz w:val="20"/>
        </w:rPr>
        <w:t>Misuse of the IPS funding.</w:t>
      </w:r>
    </w:p>
    <w:p w14:paraId="01B72665" w14:textId="77777777" w:rsidR="001D164B" w:rsidRPr="0034490A" w:rsidRDefault="001D164B" w:rsidP="00FA0487">
      <w:pPr>
        <w:pStyle w:val="Heading3"/>
      </w:pPr>
      <w:bookmarkStart w:id="259" w:name="_Toc207282731"/>
      <w:r w:rsidRPr="0034490A">
        <w:t>Organisation details</w:t>
      </w:r>
      <w:bookmarkEnd w:id="259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Organisation details"/>
      </w:tblPr>
      <w:tblGrid>
        <w:gridCol w:w="5098"/>
        <w:gridCol w:w="5098"/>
      </w:tblGrid>
      <w:tr w:rsidR="00AD1704" w14:paraId="0DCD4F9D" w14:textId="77777777" w:rsidTr="00AD1704">
        <w:tc>
          <w:tcPr>
            <w:tcW w:w="5098" w:type="dxa"/>
          </w:tcPr>
          <w:p w14:paraId="6A48A79D" w14:textId="77777777" w:rsidR="00AD1704" w:rsidRDefault="00AD1704" w:rsidP="001D164B">
            <w:pPr>
              <w:rPr>
                <w:szCs w:val="20"/>
              </w:rPr>
            </w:pPr>
            <w:r>
              <w:rPr>
                <w:szCs w:val="20"/>
              </w:rPr>
              <w:t>Organisation</w:t>
            </w:r>
          </w:p>
        </w:tc>
        <w:tc>
          <w:tcPr>
            <w:tcW w:w="5098" w:type="dxa"/>
          </w:tcPr>
          <w:p w14:paraId="0053115A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1470E7F7" w14:textId="77777777" w:rsidTr="00AD1704">
        <w:tc>
          <w:tcPr>
            <w:tcW w:w="5098" w:type="dxa"/>
          </w:tcPr>
          <w:p w14:paraId="1873EA12" w14:textId="77777777" w:rsidR="00AD1704" w:rsidRDefault="00AD1704" w:rsidP="001D164B">
            <w:pPr>
              <w:rPr>
                <w:szCs w:val="20"/>
              </w:rPr>
            </w:pPr>
            <w:r>
              <w:rPr>
                <w:szCs w:val="20"/>
              </w:rPr>
              <w:t>Site details</w:t>
            </w:r>
          </w:p>
        </w:tc>
        <w:tc>
          <w:tcPr>
            <w:tcW w:w="5098" w:type="dxa"/>
          </w:tcPr>
          <w:p w14:paraId="31E76094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254FF111" w14:textId="77777777" w:rsidTr="00AD1704">
        <w:tc>
          <w:tcPr>
            <w:tcW w:w="5098" w:type="dxa"/>
          </w:tcPr>
          <w:p w14:paraId="4A7F9E62" w14:textId="77777777" w:rsidR="00AD1704" w:rsidRDefault="00AD1704" w:rsidP="001D164B">
            <w:pPr>
              <w:rPr>
                <w:szCs w:val="20"/>
              </w:rPr>
            </w:pPr>
            <w:r>
              <w:rPr>
                <w:szCs w:val="20"/>
              </w:rPr>
              <w:t>Name of site manager</w:t>
            </w:r>
          </w:p>
        </w:tc>
        <w:tc>
          <w:tcPr>
            <w:tcW w:w="5098" w:type="dxa"/>
          </w:tcPr>
          <w:p w14:paraId="1CEC0386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594AB7D7" w14:textId="77777777" w:rsidTr="00AD1704">
        <w:tc>
          <w:tcPr>
            <w:tcW w:w="5098" w:type="dxa"/>
          </w:tcPr>
          <w:p w14:paraId="06DFD44C" w14:textId="77777777" w:rsidR="00AD1704" w:rsidRDefault="00AD1704" w:rsidP="001D164B">
            <w:pPr>
              <w:rPr>
                <w:szCs w:val="20"/>
              </w:rPr>
            </w:pPr>
            <w:r>
              <w:rPr>
                <w:szCs w:val="20"/>
              </w:rPr>
              <w:t>Signature of site manager</w:t>
            </w:r>
          </w:p>
        </w:tc>
        <w:tc>
          <w:tcPr>
            <w:tcW w:w="5098" w:type="dxa"/>
          </w:tcPr>
          <w:p w14:paraId="53E02726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6E17B811" w14:textId="77777777" w:rsidTr="00AD1704">
        <w:tc>
          <w:tcPr>
            <w:tcW w:w="5098" w:type="dxa"/>
          </w:tcPr>
          <w:p w14:paraId="227BA78C" w14:textId="77777777" w:rsidR="00AD1704" w:rsidRDefault="00AD1704" w:rsidP="001D164B">
            <w:pPr>
              <w:rPr>
                <w:szCs w:val="20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5098" w:type="dxa"/>
          </w:tcPr>
          <w:p w14:paraId="7CD763AC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298CD0B4" w14:textId="77777777" w:rsidTr="00AD1704">
        <w:tc>
          <w:tcPr>
            <w:tcW w:w="5098" w:type="dxa"/>
          </w:tcPr>
          <w:p w14:paraId="1EFD4450" w14:textId="77777777" w:rsidR="00AD1704" w:rsidRDefault="00AD1704" w:rsidP="001D164B">
            <w:pPr>
              <w:rPr>
                <w:szCs w:val="20"/>
              </w:rPr>
            </w:pPr>
            <w:r>
              <w:rPr>
                <w:szCs w:val="20"/>
              </w:rPr>
              <w:t>Details of incident</w:t>
            </w:r>
          </w:p>
        </w:tc>
        <w:tc>
          <w:tcPr>
            <w:tcW w:w="5098" w:type="dxa"/>
          </w:tcPr>
          <w:p w14:paraId="75326655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56CCEDFF" w14:textId="77777777" w:rsidTr="00AD1704">
        <w:tc>
          <w:tcPr>
            <w:tcW w:w="5098" w:type="dxa"/>
          </w:tcPr>
          <w:p w14:paraId="1A2F4CC1" w14:textId="77777777" w:rsidR="00AD1704" w:rsidRDefault="00AD1704" w:rsidP="001D164B">
            <w:pPr>
              <w:rPr>
                <w:szCs w:val="20"/>
              </w:rPr>
            </w:pPr>
            <w:r>
              <w:rPr>
                <w:szCs w:val="20"/>
              </w:rPr>
              <w:t>Type of incident (serious or reportable)</w:t>
            </w:r>
          </w:p>
        </w:tc>
        <w:tc>
          <w:tcPr>
            <w:tcW w:w="5098" w:type="dxa"/>
          </w:tcPr>
          <w:p w14:paraId="23A046E8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7D5DBEB1" w14:textId="77777777" w:rsidTr="00AD1704">
        <w:tc>
          <w:tcPr>
            <w:tcW w:w="5098" w:type="dxa"/>
          </w:tcPr>
          <w:p w14:paraId="0ED346ED" w14:textId="77777777" w:rsidR="00AD1704" w:rsidRDefault="00AD1704" w:rsidP="001D164B">
            <w:pPr>
              <w:rPr>
                <w:szCs w:val="20"/>
              </w:rPr>
            </w:pPr>
            <w:r w:rsidRPr="0034490A">
              <w:rPr>
                <w:szCs w:val="20"/>
              </w:rPr>
              <w:t>Date of incident</w:t>
            </w:r>
          </w:p>
        </w:tc>
        <w:tc>
          <w:tcPr>
            <w:tcW w:w="5098" w:type="dxa"/>
          </w:tcPr>
          <w:p w14:paraId="5A54AC2A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793A890C" w14:textId="77777777" w:rsidTr="00AD1704">
        <w:tc>
          <w:tcPr>
            <w:tcW w:w="5098" w:type="dxa"/>
          </w:tcPr>
          <w:p w14:paraId="10697AAC" w14:textId="77777777" w:rsidR="00AD1704" w:rsidRPr="0034490A" w:rsidRDefault="00AD1704" w:rsidP="001D164B">
            <w:pPr>
              <w:rPr>
                <w:szCs w:val="20"/>
              </w:rPr>
            </w:pPr>
            <w:r w:rsidRPr="0034490A">
              <w:rPr>
                <w:szCs w:val="20"/>
              </w:rPr>
              <w:t>Time of incident</w:t>
            </w:r>
          </w:p>
        </w:tc>
        <w:tc>
          <w:tcPr>
            <w:tcW w:w="5098" w:type="dxa"/>
          </w:tcPr>
          <w:p w14:paraId="3993E164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0A8147F1" w14:textId="77777777" w:rsidTr="00AD1704">
        <w:tc>
          <w:tcPr>
            <w:tcW w:w="5098" w:type="dxa"/>
          </w:tcPr>
          <w:p w14:paraId="55A89BC0" w14:textId="77777777" w:rsidR="00AD1704" w:rsidRPr="0034490A" w:rsidRDefault="00AD1704" w:rsidP="001D164B">
            <w:pPr>
              <w:rPr>
                <w:szCs w:val="20"/>
              </w:rPr>
            </w:pPr>
            <w:r w:rsidRPr="0034490A">
              <w:t>No. of individuals involved</w:t>
            </w:r>
          </w:p>
        </w:tc>
        <w:tc>
          <w:tcPr>
            <w:tcW w:w="5098" w:type="dxa"/>
          </w:tcPr>
          <w:p w14:paraId="406C0179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7224D9F6" w14:textId="77777777" w:rsidTr="00AD1704">
        <w:tc>
          <w:tcPr>
            <w:tcW w:w="5098" w:type="dxa"/>
          </w:tcPr>
          <w:p w14:paraId="1CB198E2" w14:textId="77777777" w:rsidR="00AD1704" w:rsidRPr="0034490A" w:rsidRDefault="00AD1704" w:rsidP="001D164B">
            <w:pPr>
              <w:rPr>
                <w:szCs w:val="20"/>
              </w:rPr>
            </w:pPr>
            <w:r w:rsidRPr="0034490A">
              <w:rPr>
                <w:szCs w:val="20"/>
              </w:rPr>
              <w:t>Gender of individuals</w:t>
            </w:r>
          </w:p>
        </w:tc>
        <w:tc>
          <w:tcPr>
            <w:tcW w:w="5098" w:type="dxa"/>
          </w:tcPr>
          <w:p w14:paraId="6442CFA5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4F5F5128" w14:textId="77777777" w:rsidTr="00AD1704">
        <w:tc>
          <w:tcPr>
            <w:tcW w:w="5098" w:type="dxa"/>
          </w:tcPr>
          <w:p w14:paraId="0ACA9739" w14:textId="77777777" w:rsidR="00AD1704" w:rsidRPr="0034490A" w:rsidRDefault="00AD1704" w:rsidP="001D164B">
            <w:pPr>
              <w:rPr>
                <w:szCs w:val="20"/>
              </w:rPr>
            </w:pPr>
            <w:r w:rsidRPr="0034490A">
              <w:t>Age/s of individuals involved</w:t>
            </w:r>
          </w:p>
        </w:tc>
        <w:tc>
          <w:tcPr>
            <w:tcW w:w="5098" w:type="dxa"/>
          </w:tcPr>
          <w:p w14:paraId="19182C11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7AD6C80D" w14:textId="77777777" w:rsidTr="00AD1704">
        <w:tc>
          <w:tcPr>
            <w:tcW w:w="5098" w:type="dxa"/>
          </w:tcPr>
          <w:p w14:paraId="16B9423A" w14:textId="77777777" w:rsidR="00AD1704" w:rsidRPr="0034490A" w:rsidRDefault="00AD1704" w:rsidP="001D164B">
            <w:r w:rsidRPr="0034490A">
              <w:rPr>
                <w:szCs w:val="20"/>
              </w:rPr>
              <w:t>Status of individuals</w:t>
            </w:r>
          </w:p>
        </w:tc>
        <w:tc>
          <w:tcPr>
            <w:tcW w:w="5098" w:type="dxa"/>
          </w:tcPr>
          <w:p w14:paraId="5C2E649D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55C84BD1" w14:textId="77777777" w:rsidTr="00AD1704">
        <w:tc>
          <w:tcPr>
            <w:tcW w:w="5098" w:type="dxa"/>
          </w:tcPr>
          <w:p w14:paraId="1CC5A5F1" w14:textId="77777777" w:rsidR="00CF1C2B" w:rsidRDefault="00CF1C2B" w:rsidP="001D164B">
            <w:r>
              <w:t>Location of incident</w:t>
            </w:r>
          </w:p>
          <w:p w14:paraId="657BD4E8" w14:textId="77777777" w:rsidR="00AD1704" w:rsidRPr="0034490A" w:rsidRDefault="00AD1704" w:rsidP="001D164B">
            <w:pPr>
              <w:rPr>
                <w:szCs w:val="20"/>
              </w:rPr>
            </w:pPr>
            <w:r w:rsidRPr="0034490A">
              <w:t>(Address and location)</w:t>
            </w:r>
          </w:p>
        </w:tc>
        <w:tc>
          <w:tcPr>
            <w:tcW w:w="5098" w:type="dxa"/>
          </w:tcPr>
          <w:p w14:paraId="5AA3B7A0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2C9EDF7E" w14:textId="77777777" w:rsidTr="00AD1704">
        <w:tc>
          <w:tcPr>
            <w:tcW w:w="5098" w:type="dxa"/>
          </w:tcPr>
          <w:p w14:paraId="001170D7" w14:textId="77777777" w:rsidR="00CF1C2B" w:rsidRDefault="00CF1C2B" w:rsidP="00CF1C2B">
            <w:r>
              <w:t>Incident details</w:t>
            </w:r>
          </w:p>
          <w:p w14:paraId="38228866" w14:textId="77777777" w:rsidR="00AD1704" w:rsidRPr="0034490A" w:rsidRDefault="00AD1704" w:rsidP="00CF1C2B">
            <w:r w:rsidRPr="0034490A">
              <w:t>(Describe what occurred, including what led up to the incident, if applicable. Where there is more than one individual involved, you may refer to the individuals involved as Sta</w:t>
            </w:r>
            <w:r w:rsidR="00CF1C2B">
              <w:t>ff1, Client1, if needed)</w:t>
            </w:r>
          </w:p>
        </w:tc>
        <w:tc>
          <w:tcPr>
            <w:tcW w:w="5098" w:type="dxa"/>
          </w:tcPr>
          <w:p w14:paraId="1FD795E9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779F3F69" w14:textId="77777777" w:rsidTr="00AD1704">
        <w:tc>
          <w:tcPr>
            <w:tcW w:w="5098" w:type="dxa"/>
          </w:tcPr>
          <w:p w14:paraId="65F0A210" w14:textId="77777777" w:rsidR="00CF1C2B" w:rsidRDefault="00CF1C2B" w:rsidP="00AD1704">
            <w:r>
              <w:lastRenderedPageBreak/>
              <w:t>Response to the incident</w:t>
            </w:r>
          </w:p>
          <w:p w14:paraId="5B862FFB" w14:textId="77777777" w:rsidR="00AD1704" w:rsidRPr="0034490A" w:rsidRDefault="00AD1704" w:rsidP="00AD1704">
            <w:r w:rsidRPr="0034490A">
              <w:t>(What actions were taken as a res</w:t>
            </w:r>
            <w:r w:rsidR="00CF1C2B">
              <w:t>ult of the incident occurring)</w:t>
            </w:r>
          </w:p>
        </w:tc>
        <w:tc>
          <w:tcPr>
            <w:tcW w:w="5098" w:type="dxa"/>
          </w:tcPr>
          <w:p w14:paraId="45EB86CD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1B3ABB5E" w14:textId="77777777" w:rsidTr="00AD1704">
        <w:tc>
          <w:tcPr>
            <w:tcW w:w="5098" w:type="dxa"/>
          </w:tcPr>
          <w:p w14:paraId="3350904A" w14:textId="77777777" w:rsidR="00CF1C2B" w:rsidRDefault="00CF1C2B" w:rsidP="00AD1704">
            <w:r>
              <w:t>Preventative action</w:t>
            </w:r>
          </w:p>
          <w:p w14:paraId="34BC2526" w14:textId="77777777" w:rsidR="00AD1704" w:rsidRPr="0034490A" w:rsidRDefault="00AD1704" w:rsidP="00AD1704">
            <w:r w:rsidRPr="0034490A">
              <w:t xml:space="preserve">(What has been implemented, or will be, in order to prevent the </w:t>
            </w:r>
            <w:r w:rsidR="00CF1C2B">
              <w:t>incident from happening again)</w:t>
            </w:r>
          </w:p>
        </w:tc>
        <w:tc>
          <w:tcPr>
            <w:tcW w:w="5098" w:type="dxa"/>
          </w:tcPr>
          <w:p w14:paraId="30E9FA79" w14:textId="77777777" w:rsidR="00AD1704" w:rsidRDefault="00AD1704" w:rsidP="001D164B">
            <w:pPr>
              <w:rPr>
                <w:szCs w:val="20"/>
              </w:rPr>
            </w:pPr>
          </w:p>
        </w:tc>
      </w:tr>
      <w:tr w:rsidR="00AD1704" w14:paraId="65147178" w14:textId="77777777" w:rsidTr="00AD1704">
        <w:tc>
          <w:tcPr>
            <w:tcW w:w="5098" w:type="dxa"/>
          </w:tcPr>
          <w:p w14:paraId="3732BC99" w14:textId="77777777" w:rsidR="00CF1C2B" w:rsidRDefault="00CF1C2B" w:rsidP="00AD1704">
            <w:r>
              <w:t>Media coverage</w:t>
            </w:r>
          </w:p>
          <w:p w14:paraId="3079FCF2" w14:textId="77777777" w:rsidR="00AD1704" w:rsidRPr="0034490A" w:rsidRDefault="00AD1704" w:rsidP="00AD1704">
            <w:r w:rsidRPr="00D42479">
              <w:t>(Outline whet</w:t>
            </w:r>
            <w:r w:rsidR="00CF1C2B">
              <w:t>her media coverage is likely)</w:t>
            </w:r>
          </w:p>
        </w:tc>
        <w:tc>
          <w:tcPr>
            <w:tcW w:w="5098" w:type="dxa"/>
          </w:tcPr>
          <w:p w14:paraId="52E98EB4" w14:textId="77777777" w:rsidR="00AD1704" w:rsidRDefault="00AD1704" w:rsidP="001D164B">
            <w:pPr>
              <w:rPr>
                <w:szCs w:val="20"/>
              </w:rPr>
            </w:pPr>
          </w:p>
        </w:tc>
      </w:tr>
    </w:tbl>
    <w:p w14:paraId="2C34D80F" w14:textId="7D1ADF14" w:rsidR="00737179" w:rsidRDefault="00042EE7" w:rsidP="00D30881">
      <w:pPr>
        <w:pStyle w:val="Heading1"/>
        <w:numPr>
          <w:ilvl w:val="0"/>
          <w:numId w:val="0"/>
        </w:numPr>
        <w:spacing w:before="11160"/>
      </w:pPr>
      <w:bookmarkStart w:id="260" w:name="_Attachment_D_-"/>
      <w:bookmarkStart w:id="261" w:name="_Toc207282732"/>
      <w:bookmarkEnd w:id="260"/>
      <w:bookmarkEnd w:id="256"/>
      <w:r w:rsidRPr="006C5CD9">
        <w:rPr>
          <w:b w:val="0"/>
        </w:rPr>
        <w:lastRenderedPageBreak/>
        <w:t xml:space="preserve">Attachment </w:t>
      </w:r>
      <w:r>
        <w:rPr>
          <w:b w:val="0"/>
        </w:rPr>
        <w:t>D</w:t>
      </w:r>
      <w:r w:rsidRPr="006C5CD9">
        <w:rPr>
          <w:b w:val="0"/>
        </w:rPr>
        <w:t xml:space="preserve"> - </w:t>
      </w:r>
      <w:r w:rsidR="00737179" w:rsidRPr="00042EE7">
        <w:rPr>
          <w:b w:val="0"/>
        </w:rPr>
        <w:t xml:space="preserve">Data Exchange </w:t>
      </w:r>
      <w:r w:rsidR="009B1848">
        <w:rPr>
          <w:b w:val="0"/>
        </w:rPr>
        <w:t xml:space="preserve">(DEX) </w:t>
      </w:r>
      <w:r w:rsidR="00737179" w:rsidRPr="00042EE7">
        <w:rPr>
          <w:b w:val="0"/>
        </w:rPr>
        <w:t>information</w:t>
      </w:r>
      <w:bookmarkEnd w:id="261"/>
    </w:p>
    <w:p w14:paraId="02517F76" w14:textId="77777777" w:rsidR="00737179" w:rsidRPr="00D43756" w:rsidRDefault="00737179" w:rsidP="00737179"/>
    <w:p w14:paraId="0B937456" w14:textId="0E1F3F09" w:rsidR="00737179" w:rsidRDefault="00737179" w:rsidP="00737179">
      <w:pPr>
        <w:rPr>
          <w:b/>
        </w:rPr>
      </w:pPr>
      <w:r>
        <w:t xml:space="preserve">There is a range of information about </w:t>
      </w:r>
      <w:r w:rsidR="009B1848">
        <w:t>DEX</w:t>
      </w:r>
      <w:r>
        <w:t xml:space="preserve">, including training resources and policy guidance, available on the </w:t>
      </w:r>
      <w:r w:rsidR="009B1848">
        <w:t>DEX</w:t>
      </w:r>
      <w:r>
        <w:t xml:space="preserve"> web-portal at </w:t>
      </w:r>
      <w:bookmarkStart w:id="262" w:name="_Hlk208483175"/>
      <w:r>
        <w:fldChar w:fldCharType="begin"/>
      </w:r>
      <w:r>
        <w:instrText>HYPERLINK "https://dex.dss.gov.au/"</w:instrText>
      </w:r>
      <w:r>
        <w:fldChar w:fldCharType="separate"/>
      </w:r>
      <w:r w:rsidRPr="00CF1C2B">
        <w:rPr>
          <w:rStyle w:val="Hyperlink"/>
          <w:b/>
        </w:rPr>
        <w:t>dex.dss.gov.au</w:t>
      </w:r>
      <w:r>
        <w:fldChar w:fldCharType="end"/>
      </w:r>
      <w:bookmarkEnd w:id="262"/>
    </w:p>
    <w:p w14:paraId="32E2D000" w14:textId="77777777" w:rsidR="00737179" w:rsidRDefault="00737179" w:rsidP="00737179">
      <w:r>
        <w:t>You can search ‘training resources’ to find fact sheets and step-by-step task cards, or search the following to find other useful resources:</w:t>
      </w:r>
    </w:p>
    <w:p w14:paraId="425268C8" w14:textId="77777777" w:rsidR="00737179" w:rsidRPr="009C327C" w:rsidRDefault="00737179" w:rsidP="00411004">
      <w:pPr>
        <w:pStyle w:val="ListParagraph"/>
        <w:numPr>
          <w:ilvl w:val="0"/>
          <w:numId w:val="11"/>
        </w:numPr>
      </w:pPr>
      <w:r w:rsidRPr="009C327C">
        <w:t>Getting Started:</w:t>
      </w:r>
    </w:p>
    <w:p w14:paraId="6E8A949C" w14:textId="77777777" w:rsidR="00737179" w:rsidRPr="009C327C" w:rsidRDefault="00737179" w:rsidP="00411004">
      <w:pPr>
        <w:pStyle w:val="ListParagraph"/>
        <w:numPr>
          <w:ilvl w:val="1"/>
          <w:numId w:val="34"/>
        </w:numPr>
        <w:spacing w:before="0" w:after="200"/>
      </w:pPr>
      <w:r w:rsidRPr="0074154B">
        <w:t>Quick Start Guide</w:t>
      </w:r>
    </w:p>
    <w:p w14:paraId="557425FF" w14:textId="16941C1B" w:rsidR="00737179" w:rsidRPr="009C327C" w:rsidRDefault="00737179" w:rsidP="00411004">
      <w:pPr>
        <w:pStyle w:val="ListParagraph"/>
        <w:numPr>
          <w:ilvl w:val="1"/>
          <w:numId w:val="34"/>
        </w:numPr>
        <w:spacing w:before="0" w:after="200"/>
      </w:pPr>
      <w:r w:rsidRPr="0074154B">
        <w:t xml:space="preserve">Log in to the </w:t>
      </w:r>
      <w:r>
        <w:t>D</w:t>
      </w:r>
      <w:r w:rsidR="009B1848">
        <w:t>EX</w:t>
      </w:r>
      <w:r>
        <w:t xml:space="preserve"> </w:t>
      </w:r>
      <w:r w:rsidRPr="0074154B">
        <w:t>web</w:t>
      </w:r>
      <w:r>
        <w:t>-</w:t>
      </w:r>
      <w:r w:rsidRPr="0074154B">
        <w:t>based portal</w:t>
      </w:r>
    </w:p>
    <w:p w14:paraId="63E29541" w14:textId="77777777" w:rsidR="00737179" w:rsidRPr="009C327C" w:rsidRDefault="00737179" w:rsidP="00411004">
      <w:pPr>
        <w:pStyle w:val="ListParagraph"/>
        <w:numPr>
          <w:ilvl w:val="0"/>
          <w:numId w:val="12"/>
        </w:numPr>
      </w:pPr>
      <w:r w:rsidRPr="009C327C">
        <w:t>Organisation Administration:</w:t>
      </w:r>
    </w:p>
    <w:p w14:paraId="0684D4DB" w14:textId="77777777" w:rsidR="00737179" w:rsidRPr="0074154B" w:rsidRDefault="00737179" w:rsidP="00411004">
      <w:pPr>
        <w:pStyle w:val="ListParagraph"/>
        <w:numPr>
          <w:ilvl w:val="0"/>
          <w:numId w:val="35"/>
        </w:numPr>
        <w:spacing w:before="0" w:after="200"/>
      </w:pPr>
      <w:r w:rsidRPr="0074154B">
        <w:t>Overview of the My Organisation section</w:t>
      </w:r>
    </w:p>
    <w:p w14:paraId="30E67ACD" w14:textId="77777777" w:rsidR="00737179" w:rsidRPr="009C327C" w:rsidRDefault="00737179" w:rsidP="00411004">
      <w:pPr>
        <w:pStyle w:val="ListParagraph"/>
        <w:numPr>
          <w:ilvl w:val="0"/>
          <w:numId w:val="35"/>
        </w:numPr>
        <w:spacing w:before="0" w:after="200"/>
      </w:pPr>
      <w:r w:rsidRPr="0074154B">
        <w:t>Setting up the structure of your</w:t>
      </w:r>
      <w:r>
        <w:t xml:space="preserve"> organisation</w:t>
      </w:r>
    </w:p>
    <w:p w14:paraId="1501C884" w14:textId="77777777" w:rsidR="00737179" w:rsidRPr="009C327C" w:rsidRDefault="00737179" w:rsidP="00411004">
      <w:pPr>
        <w:pStyle w:val="ListParagraph"/>
        <w:numPr>
          <w:ilvl w:val="0"/>
          <w:numId w:val="35"/>
        </w:numPr>
        <w:spacing w:before="0" w:after="200"/>
      </w:pPr>
      <w:r>
        <w:t>Create and m</w:t>
      </w:r>
      <w:r w:rsidRPr="0074154B">
        <w:t>anage outlets</w:t>
      </w:r>
    </w:p>
    <w:p w14:paraId="007632B8" w14:textId="77777777" w:rsidR="00737179" w:rsidRPr="009C327C" w:rsidRDefault="00737179" w:rsidP="00411004">
      <w:pPr>
        <w:pStyle w:val="ListParagraph"/>
        <w:numPr>
          <w:ilvl w:val="0"/>
          <w:numId w:val="35"/>
        </w:numPr>
        <w:spacing w:before="0" w:after="200"/>
      </w:pPr>
      <w:r w:rsidRPr="0074154B">
        <w:t>Add and edit a user</w:t>
      </w:r>
    </w:p>
    <w:p w14:paraId="51846A40" w14:textId="77777777" w:rsidR="00737179" w:rsidRDefault="00737179" w:rsidP="00411004">
      <w:pPr>
        <w:pStyle w:val="ListParagraph"/>
        <w:numPr>
          <w:ilvl w:val="0"/>
          <w:numId w:val="35"/>
        </w:numPr>
        <w:spacing w:before="0" w:after="200"/>
      </w:pPr>
      <w:r w:rsidRPr="0074154B">
        <w:t>Update participation in the partnership approach</w:t>
      </w:r>
    </w:p>
    <w:p w14:paraId="5FECF5F0" w14:textId="6D504390" w:rsidR="00737179" w:rsidRDefault="00737179" w:rsidP="00411004">
      <w:pPr>
        <w:pStyle w:val="ListParagraph"/>
        <w:numPr>
          <w:ilvl w:val="0"/>
          <w:numId w:val="12"/>
        </w:numPr>
        <w:spacing w:before="0" w:after="200"/>
      </w:pPr>
      <w:r>
        <w:t>D</w:t>
      </w:r>
      <w:r w:rsidR="009B1848">
        <w:t>EX</w:t>
      </w:r>
      <w:r>
        <w:t xml:space="preserve"> Reports:</w:t>
      </w:r>
    </w:p>
    <w:p w14:paraId="20A3D194" w14:textId="77777777" w:rsidR="00737179" w:rsidRDefault="00737179" w:rsidP="00411004">
      <w:pPr>
        <w:pStyle w:val="ListParagraph"/>
        <w:numPr>
          <w:ilvl w:val="1"/>
          <w:numId w:val="36"/>
        </w:numPr>
        <w:spacing w:before="0" w:after="200"/>
      </w:pPr>
      <w:r>
        <w:t>Report Structure</w:t>
      </w:r>
    </w:p>
    <w:p w14:paraId="47ABE8FE" w14:textId="77777777" w:rsidR="00737179" w:rsidRPr="00D43756" w:rsidRDefault="00737179" w:rsidP="00411004">
      <w:pPr>
        <w:pStyle w:val="ListParagraph"/>
        <w:numPr>
          <w:ilvl w:val="1"/>
          <w:numId w:val="36"/>
        </w:numPr>
        <w:spacing w:before="0" w:after="200"/>
      </w:pPr>
      <w:r>
        <w:t>Quick guide to using reports</w:t>
      </w:r>
    </w:p>
    <w:p w14:paraId="29162407" w14:textId="77777777" w:rsidR="0063451E" w:rsidRPr="003D7ED5" w:rsidRDefault="0063451E" w:rsidP="004A2F1C">
      <w:pPr>
        <w:rPr>
          <w:szCs w:val="20"/>
        </w:rPr>
      </w:pPr>
      <w:bookmarkStart w:id="263" w:name="_Attachment_A_–"/>
      <w:bookmarkStart w:id="264" w:name="_Attachment_B_–"/>
      <w:bookmarkEnd w:id="263"/>
      <w:bookmarkEnd w:id="264"/>
    </w:p>
    <w:sectPr w:rsidR="0063451E" w:rsidRPr="003D7ED5" w:rsidSect="0026581B">
      <w:headerReference w:type="first" r:id="rId44"/>
      <w:footerReference w:type="first" r:id="rId45"/>
      <w:pgSz w:w="11906" w:h="16838"/>
      <w:pgMar w:top="1135" w:right="849" w:bottom="568" w:left="851" w:header="284" w:footer="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44C2" w14:textId="77777777" w:rsidR="00F276B6" w:rsidRDefault="00F276B6" w:rsidP="003D7ED5">
      <w:r>
        <w:separator/>
      </w:r>
    </w:p>
  </w:endnote>
  <w:endnote w:type="continuationSeparator" w:id="0">
    <w:p w14:paraId="17364D24" w14:textId="77777777" w:rsidR="00F276B6" w:rsidRDefault="00F276B6" w:rsidP="003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844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C83D6" w14:textId="7B3E7A3B" w:rsidR="00AD1704" w:rsidRDefault="00AD1704" w:rsidP="003D7ED5">
        <w:pPr>
          <w:pStyle w:val="Footer"/>
        </w:pPr>
        <w:r w:rsidRPr="00AF6EFE">
          <w:t xml:space="preserve">Operational Guidelines for </w:t>
        </w:r>
        <w:r>
          <w:t>IPS</w:t>
        </w:r>
        <w:r w:rsidR="00A43036">
          <w:t xml:space="preserve"> AMH Pilot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695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0C0A5F38" w14:textId="77777777" w:rsidR="00AD1704" w:rsidRDefault="00AD1704" w:rsidP="003D7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C72E" w14:textId="77777777" w:rsidR="00AD1704" w:rsidRDefault="00AD1704" w:rsidP="003D7ED5">
    <w:pPr>
      <w:pStyle w:val="Footer"/>
    </w:pPr>
    <w:r w:rsidRPr="00AF6EFE">
      <w:rPr>
        <w:sz w:val="20"/>
      </w:rPr>
      <w:t xml:space="preserve"> </w:t>
    </w:r>
    <w:r>
      <w:rPr>
        <w:sz w:val="20"/>
      </w:rPr>
      <w:tab/>
    </w:r>
    <w:sdt>
      <w:sdtPr>
        <w:id w:val="953030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  <w:p w14:paraId="54B6E91B" w14:textId="77777777" w:rsidR="00AD1704" w:rsidRDefault="00AD1704" w:rsidP="003D7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8422" w14:textId="77777777" w:rsidR="00AD1704" w:rsidRDefault="00AD1704" w:rsidP="003D7ED5">
    <w:pPr>
      <w:pStyle w:val="Footer"/>
    </w:pPr>
    <w:r w:rsidRPr="00AF6EFE">
      <w:t xml:space="preserve">Operational Guidelines for </w:t>
    </w:r>
    <w:r>
      <w:t>Individual Placement and Support (IPS) program</w:t>
    </w:r>
    <w:r>
      <w:tab/>
    </w:r>
    <w:r>
      <w:tab/>
    </w:r>
    <w:sdt>
      <w:sdtPr>
        <w:id w:val="12604097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C2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EE2FD45" w14:textId="77777777" w:rsidR="00AD1704" w:rsidRDefault="00AD1704" w:rsidP="003D7E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115B" w14:textId="77777777" w:rsidR="00AD1704" w:rsidRDefault="00AD1704" w:rsidP="003D7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1A45" w14:textId="77777777" w:rsidR="00F276B6" w:rsidRDefault="00F276B6" w:rsidP="003D7ED5">
      <w:r>
        <w:separator/>
      </w:r>
    </w:p>
  </w:footnote>
  <w:footnote w:type="continuationSeparator" w:id="0">
    <w:p w14:paraId="163BA820" w14:textId="77777777" w:rsidR="00F276B6" w:rsidRDefault="00F276B6" w:rsidP="003D7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D879" w14:textId="77777777" w:rsidR="00AD1704" w:rsidRPr="00B0372A" w:rsidRDefault="00AD1704" w:rsidP="00C449B3">
    <w:pPr>
      <w:tabs>
        <w:tab w:val="left" w:pos="5676"/>
      </w:tabs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0AEC" w14:textId="77777777" w:rsidR="00AD1704" w:rsidRPr="003905FE" w:rsidRDefault="00AD1704" w:rsidP="00C449B3">
    <w:pPr>
      <w:tabs>
        <w:tab w:val="left" w:pos="5676"/>
      </w:tabs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8F09" w14:textId="77777777" w:rsidR="00AD1704" w:rsidRDefault="00AD1704" w:rsidP="003D7ED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DCAD" w14:textId="77777777" w:rsidR="00AD1704" w:rsidRPr="00F14320" w:rsidRDefault="00AD1704" w:rsidP="00A32215">
    <w:pPr>
      <w:ind w:left="7200" w:firstLine="720"/>
      <w:rPr>
        <w:b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7wxEess" int2:invalidationBookmarkName="" int2:hashCode="d4ZX/6k2XVJ7ib" int2:id="AwFOrGtU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63D"/>
    <w:multiLevelType w:val="multilevel"/>
    <w:tmpl w:val="F1C0E5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BA60DD"/>
    <w:multiLevelType w:val="hybridMultilevel"/>
    <w:tmpl w:val="980ECCE2"/>
    <w:lvl w:ilvl="0" w:tplc="3CE0F012">
      <w:start w:val="6"/>
      <w:numFmt w:val="decimal"/>
      <w:lvlText w:val="%1.2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0242"/>
    <w:multiLevelType w:val="hybridMultilevel"/>
    <w:tmpl w:val="812CD8BE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7030A0"/>
      </w:rPr>
    </w:lvl>
    <w:lvl w:ilvl="1" w:tplc="1D7A530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CFFFC"/>
    <w:multiLevelType w:val="hybridMultilevel"/>
    <w:tmpl w:val="3000B976"/>
    <w:lvl w:ilvl="0" w:tplc="58425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A3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46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A9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C4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CCA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E1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62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88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408D"/>
    <w:multiLevelType w:val="hybridMultilevel"/>
    <w:tmpl w:val="380C85B4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7030A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537F"/>
    <w:multiLevelType w:val="hybridMultilevel"/>
    <w:tmpl w:val="5A48F09E"/>
    <w:lvl w:ilvl="0" w:tplc="85D00AA2">
      <w:start w:val="1"/>
      <w:numFmt w:val="bullet"/>
      <w:pStyle w:val="ListBullet"/>
      <w:lvlText w:val="•"/>
      <w:lvlJc w:val="left"/>
      <w:pPr>
        <w:tabs>
          <w:tab w:val="num" w:pos="2345"/>
        </w:tabs>
        <w:ind w:left="2345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1D42FCF"/>
    <w:multiLevelType w:val="hybridMultilevel"/>
    <w:tmpl w:val="1BDABAC6"/>
    <w:lvl w:ilvl="0" w:tplc="091A6E6C">
      <w:start w:val="4"/>
      <w:numFmt w:val="decimal"/>
      <w:lvlText w:val="%1.4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C377D"/>
    <w:multiLevelType w:val="hybridMultilevel"/>
    <w:tmpl w:val="E458AED6"/>
    <w:lvl w:ilvl="0" w:tplc="5A944F16">
      <w:start w:val="2"/>
      <w:numFmt w:val="decimal"/>
      <w:lvlText w:val="%1.3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A9D"/>
    <w:multiLevelType w:val="hybridMultilevel"/>
    <w:tmpl w:val="E96E9E3E"/>
    <w:lvl w:ilvl="0" w:tplc="D212845C">
      <w:start w:val="1"/>
      <w:numFmt w:val="decimal"/>
      <w:lvlText w:val="%1.2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344E4"/>
    <w:multiLevelType w:val="hybridMultilevel"/>
    <w:tmpl w:val="69AC6EFA"/>
    <w:lvl w:ilvl="0" w:tplc="915C20C4">
      <w:start w:val="2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D11DD"/>
    <w:multiLevelType w:val="hybridMultilevel"/>
    <w:tmpl w:val="499A2250"/>
    <w:lvl w:ilvl="0" w:tplc="3148F694">
      <w:start w:val="4"/>
      <w:numFmt w:val="decimal"/>
      <w:lvlText w:val="%1.2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F67F3"/>
    <w:multiLevelType w:val="hybridMultilevel"/>
    <w:tmpl w:val="33ACA8D2"/>
    <w:lvl w:ilvl="0" w:tplc="AA88B340">
      <w:start w:val="2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0428C"/>
    <w:multiLevelType w:val="hybridMultilevel"/>
    <w:tmpl w:val="80A6C5DE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7030A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205E2"/>
    <w:multiLevelType w:val="multilevel"/>
    <w:tmpl w:val="56AA12A2"/>
    <w:lvl w:ilvl="0">
      <w:start w:val="5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97010CA"/>
    <w:multiLevelType w:val="hybridMultilevel"/>
    <w:tmpl w:val="5BEE354E"/>
    <w:lvl w:ilvl="0" w:tplc="8A9040F2">
      <w:start w:val="2"/>
      <w:numFmt w:val="decimal"/>
      <w:lvlText w:val="%1.4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651569"/>
    <w:multiLevelType w:val="hybridMultilevel"/>
    <w:tmpl w:val="0F9C50E2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00A4E"/>
    <w:multiLevelType w:val="hybridMultilevel"/>
    <w:tmpl w:val="151C4EA8"/>
    <w:lvl w:ilvl="0" w:tplc="04E8A4C0">
      <w:start w:val="1"/>
      <w:numFmt w:val="decimal"/>
      <w:lvlText w:val="%1.3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33BFD"/>
    <w:multiLevelType w:val="hybridMultilevel"/>
    <w:tmpl w:val="3A8462EE"/>
    <w:lvl w:ilvl="0" w:tplc="455670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B1B1B"/>
        <w:sz w:val="29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D5B1E"/>
    <w:multiLevelType w:val="hybridMultilevel"/>
    <w:tmpl w:val="D388A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66FF3"/>
    <w:multiLevelType w:val="hybridMultilevel"/>
    <w:tmpl w:val="39DC30E8"/>
    <w:lvl w:ilvl="0" w:tplc="455670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B1B1B"/>
        <w:sz w:val="29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F240DC"/>
    <w:multiLevelType w:val="hybridMultilevel"/>
    <w:tmpl w:val="E1CE504A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D7D65"/>
    <w:multiLevelType w:val="hybridMultilevel"/>
    <w:tmpl w:val="F092BC98"/>
    <w:lvl w:ilvl="0" w:tplc="4C6C422A">
      <w:start w:val="3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10254"/>
    <w:multiLevelType w:val="hybridMultilevel"/>
    <w:tmpl w:val="D8C6D222"/>
    <w:lvl w:ilvl="0" w:tplc="1D7A530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D7A53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30E328"/>
    <w:multiLevelType w:val="hybridMultilevel"/>
    <w:tmpl w:val="705CED4C"/>
    <w:lvl w:ilvl="0" w:tplc="09C407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CE0E2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7263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28EC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6AB7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D874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A4A2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4457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3C240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7743A9"/>
    <w:multiLevelType w:val="hybridMultilevel"/>
    <w:tmpl w:val="FB28E052"/>
    <w:lvl w:ilvl="0" w:tplc="9714840E">
      <w:start w:val="2"/>
      <w:numFmt w:val="decimal"/>
      <w:lvlText w:val="%1.5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338B"/>
    <w:multiLevelType w:val="hybridMultilevel"/>
    <w:tmpl w:val="1A88596C"/>
    <w:lvl w:ilvl="0" w:tplc="00E6C24A">
      <w:start w:val="2"/>
      <w:numFmt w:val="decimal"/>
      <w:lvlText w:val="%1.7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54CC5"/>
    <w:multiLevelType w:val="hybridMultilevel"/>
    <w:tmpl w:val="2B48E254"/>
    <w:lvl w:ilvl="0" w:tplc="8968F42E">
      <w:start w:val="2"/>
      <w:numFmt w:val="decimal"/>
      <w:lvlText w:val="%1.8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637FA"/>
    <w:multiLevelType w:val="hybridMultilevel"/>
    <w:tmpl w:val="678CBF52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7030A0"/>
      </w:rPr>
    </w:lvl>
    <w:lvl w:ilvl="1" w:tplc="1D7A530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2048D"/>
    <w:multiLevelType w:val="hybridMultilevel"/>
    <w:tmpl w:val="A48AB570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7030A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AD449B"/>
    <w:multiLevelType w:val="hybridMultilevel"/>
    <w:tmpl w:val="3EE8A152"/>
    <w:lvl w:ilvl="0" w:tplc="1D7A530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6F2343"/>
    <w:multiLevelType w:val="hybridMultilevel"/>
    <w:tmpl w:val="09DEE4F8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7030A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944CC"/>
    <w:multiLevelType w:val="hybridMultilevel"/>
    <w:tmpl w:val="0D5CF70A"/>
    <w:lvl w:ilvl="0" w:tplc="455670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B1B1B"/>
        <w:sz w:val="29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F7177"/>
    <w:multiLevelType w:val="hybridMultilevel"/>
    <w:tmpl w:val="655E6452"/>
    <w:lvl w:ilvl="0" w:tplc="8A1E0234">
      <w:start w:val="2"/>
      <w:numFmt w:val="decimal"/>
      <w:lvlText w:val="%1.12"/>
      <w:lvlJc w:val="righ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F6E8B"/>
    <w:multiLevelType w:val="hybridMultilevel"/>
    <w:tmpl w:val="A3825D9A"/>
    <w:lvl w:ilvl="0" w:tplc="9F121716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90049"/>
    <w:multiLevelType w:val="hybridMultilevel"/>
    <w:tmpl w:val="9AC057E0"/>
    <w:lvl w:ilvl="0" w:tplc="7BA6F9FE">
      <w:start w:val="3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D66191"/>
    <w:multiLevelType w:val="hybridMultilevel"/>
    <w:tmpl w:val="17684896"/>
    <w:lvl w:ilvl="0" w:tplc="32D0A9AA">
      <w:start w:val="1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0E30F9"/>
    <w:multiLevelType w:val="hybridMultilevel"/>
    <w:tmpl w:val="09A8B446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6B2672"/>
    <w:multiLevelType w:val="hybridMultilevel"/>
    <w:tmpl w:val="53066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125CF"/>
    <w:multiLevelType w:val="hybridMultilevel"/>
    <w:tmpl w:val="4E8CB7EE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7030A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283861"/>
    <w:multiLevelType w:val="hybridMultilevel"/>
    <w:tmpl w:val="022E07E4"/>
    <w:lvl w:ilvl="0" w:tplc="8EC2475A">
      <w:start w:val="1"/>
      <w:numFmt w:val="decimal"/>
      <w:lvlText w:val="%1.4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DC3200"/>
    <w:multiLevelType w:val="hybridMultilevel"/>
    <w:tmpl w:val="DFECFF2E"/>
    <w:lvl w:ilvl="0" w:tplc="455670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B1B1B"/>
        <w:sz w:val="29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6F351C"/>
    <w:multiLevelType w:val="hybridMultilevel"/>
    <w:tmpl w:val="0EDC6772"/>
    <w:lvl w:ilvl="0" w:tplc="696E2A96">
      <w:start w:val="2"/>
      <w:numFmt w:val="decimal"/>
      <w:lvlText w:val="%1.2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E41EC"/>
    <w:multiLevelType w:val="hybridMultilevel"/>
    <w:tmpl w:val="89E22278"/>
    <w:lvl w:ilvl="0" w:tplc="4A5064E4">
      <w:start w:val="2"/>
      <w:numFmt w:val="decimal"/>
      <w:lvlText w:val="%1.10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67338CD"/>
    <w:multiLevelType w:val="multilevel"/>
    <w:tmpl w:val="7E54DA50"/>
    <w:lvl w:ilvl="0">
      <w:start w:val="1"/>
      <w:numFmt w:val="decimal"/>
      <w:pStyle w:val="Heading2w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w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44" w15:restartNumberingAfterBreak="0">
    <w:nsid w:val="58B67CC4"/>
    <w:multiLevelType w:val="hybridMultilevel"/>
    <w:tmpl w:val="73EEFADA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7030A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B7311"/>
    <w:multiLevelType w:val="hybridMultilevel"/>
    <w:tmpl w:val="AB8CAA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5E7514"/>
    <w:multiLevelType w:val="hybridMultilevel"/>
    <w:tmpl w:val="A2648216"/>
    <w:lvl w:ilvl="0" w:tplc="2F3ECCC8">
      <w:start w:val="2"/>
      <w:numFmt w:val="decimal"/>
      <w:lvlText w:val="%1.11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FE07051"/>
    <w:multiLevelType w:val="hybridMultilevel"/>
    <w:tmpl w:val="580C4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E87413"/>
    <w:multiLevelType w:val="hybridMultilevel"/>
    <w:tmpl w:val="E112FA3A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7030A0"/>
      </w:rPr>
    </w:lvl>
    <w:lvl w:ilvl="1" w:tplc="1D7A530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A049D8"/>
    <w:multiLevelType w:val="hybridMultilevel"/>
    <w:tmpl w:val="756C3C00"/>
    <w:lvl w:ilvl="0" w:tplc="1D7A530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D7A53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1B1B1B"/>
        <w:sz w:val="29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4931A2E"/>
    <w:multiLevelType w:val="hybridMultilevel"/>
    <w:tmpl w:val="1CE0FC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81D5C35"/>
    <w:multiLevelType w:val="hybridMultilevel"/>
    <w:tmpl w:val="54A2238A"/>
    <w:lvl w:ilvl="0" w:tplc="1D7A530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ACB2B00"/>
    <w:multiLevelType w:val="hybridMultilevel"/>
    <w:tmpl w:val="A260DD06"/>
    <w:lvl w:ilvl="0" w:tplc="0C090001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992157"/>
    <w:multiLevelType w:val="hybridMultilevel"/>
    <w:tmpl w:val="0D421B8A"/>
    <w:lvl w:ilvl="0" w:tplc="900EFDEA">
      <w:start w:val="1"/>
      <w:numFmt w:val="decimal"/>
      <w:lvlText w:val="%1.5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AF6C50"/>
    <w:multiLevelType w:val="hybridMultilevel"/>
    <w:tmpl w:val="47062C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7275BEA"/>
    <w:multiLevelType w:val="hybridMultilevel"/>
    <w:tmpl w:val="968A9568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4739D1"/>
    <w:multiLevelType w:val="hybridMultilevel"/>
    <w:tmpl w:val="D0DE6572"/>
    <w:lvl w:ilvl="0" w:tplc="60868506">
      <w:start w:val="4"/>
      <w:numFmt w:val="decimal"/>
      <w:lvlText w:val="%1.3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5555D7"/>
    <w:multiLevelType w:val="hybridMultilevel"/>
    <w:tmpl w:val="BFC8E3F8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7030A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5B2115"/>
    <w:multiLevelType w:val="hybridMultilevel"/>
    <w:tmpl w:val="DD1AF1A4"/>
    <w:lvl w:ilvl="0" w:tplc="9F60AF18">
      <w:start w:val="3"/>
      <w:numFmt w:val="decimal"/>
      <w:lvlText w:val="%1.2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AA7EBB"/>
    <w:multiLevelType w:val="hybridMultilevel"/>
    <w:tmpl w:val="5A26BAD6"/>
    <w:lvl w:ilvl="0" w:tplc="1D7A5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D90E6D"/>
    <w:multiLevelType w:val="multilevel"/>
    <w:tmpl w:val="11B8344A"/>
    <w:lvl w:ilvl="0">
      <w:start w:val="1"/>
      <w:numFmt w:val="decimal"/>
      <w:pStyle w:val="TOC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88C5250"/>
    <w:multiLevelType w:val="hybridMultilevel"/>
    <w:tmpl w:val="61F08CBA"/>
    <w:lvl w:ilvl="0" w:tplc="A3C8A058">
      <w:start w:val="2"/>
      <w:numFmt w:val="decimal"/>
      <w:lvlText w:val="%1.9"/>
      <w:lvlJc w:val="righ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7AF44898"/>
    <w:multiLevelType w:val="hybridMultilevel"/>
    <w:tmpl w:val="7D06CC8A"/>
    <w:lvl w:ilvl="0" w:tplc="F10C024C">
      <w:start w:val="2"/>
      <w:numFmt w:val="decimal"/>
      <w:lvlText w:val="%1.6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727836"/>
    <w:multiLevelType w:val="hybridMultilevel"/>
    <w:tmpl w:val="04A68DDC"/>
    <w:lvl w:ilvl="0" w:tplc="29EEE73C">
      <w:start w:val="1"/>
      <w:numFmt w:val="bullet"/>
      <w:pStyle w:val="guideline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EBB8AED6">
      <w:numFmt w:val="bullet"/>
      <w:lvlText w:val="-"/>
      <w:lvlJc w:val="left"/>
      <w:pPr>
        <w:ind w:left="-1800" w:hanging="360"/>
      </w:pPr>
      <w:rPr>
        <w:rFonts w:ascii="Garamond" w:eastAsiaTheme="minorHAnsi" w:hAnsi="Garamond" w:cs="Garamond" w:hint="default"/>
      </w:rPr>
    </w:lvl>
    <w:lvl w:ilvl="2" w:tplc="0C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4" w15:restartNumberingAfterBreak="0">
    <w:nsid w:val="7C761386"/>
    <w:multiLevelType w:val="multilevel"/>
    <w:tmpl w:val="4CC0DA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7F8C0301"/>
    <w:multiLevelType w:val="hybridMultilevel"/>
    <w:tmpl w:val="5C7EBBBE"/>
    <w:lvl w:ilvl="0" w:tplc="1D7A530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171455">
    <w:abstractNumId w:val="23"/>
  </w:num>
  <w:num w:numId="2" w16cid:durableId="990523921">
    <w:abstractNumId w:val="3"/>
  </w:num>
  <w:num w:numId="3" w16cid:durableId="1462453028">
    <w:abstractNumId w:val="5"/>
  </w:num>
  <w:num w:numId="4" w16cid:durableId="298847226">
    <w:abstractNumId w:val="43"/>
  </w:num>
  <w:num w:numId="5" w16cid:durableId="1945111983">
    <w:abstractNumId w:val="55"/>
  </w:num>
  <w:num w:numId="6" w16cid:durableId="1619217248">
    <w:abstractNumId w:val="52"/>
  </w:num>
  <w:num w:numId="7" w16cid:durableId="981230437">
    <w:abstractNumId w:val="37"/>
  </w:num>
  <w:num w:numId="8" w16cid:durableId="1825774510">
    <w:abstractNumId w:val="13"/>
  </w:num>
  <w:num w:numId="9" w16cid:durableId="918489267">
    <w:abstractNumId w:val="60"/>
  </w:num>
  <w:num w:numId="10" w16cid:durableId="670060764">
    <w:abstractNumId w:val="45"/>
  </w:num>
  <w:num w:numId="11" w16cid:durableId="7030272">
    <w:abstractNumId w:val="19"/>
  </w:num>
  <w:num w:numId="12" w16cid:durableId="1692956119">
    <w:abstractNumId w:val="17"/>
  </w:num>
  <w:num w:numId="13" w16cid:durableId="1438020154">
    <w:abstractNumId w:val="63"/>
  </w:num>
  <w:num w:numId="14" w16cid:durableId="54284563">
    <w:abstractNumId w:val="47"/>
  </w:num>
  <w:num w:numId="15" w16cid:durableId="681014574">
    <w:abstractNumId w:val="15"/>
  </w:num>
  <w:num w:numId="16" w16cid:durableId="474371350">
    <w:abstractNumId w:val="36"/>
  </w:num>
  <w:num w:numId="17" w16cid:durableId="297297251">
    <w:abstractNumId w:val="20"/>
  </w:num>
  <w:num w:numId="18" w16cid:durableId="785777094">
    <w:abstractNumId w:val="59"/>
  </w:num>
  <w:num w:numId="19" w16cid:durableId="1348870404">
    <w:abstractNumId w:val="49"/>
  </w:num>
  <w:num w:numId="20" w16cid:durableId="1282570031">
    <w:abstractNumId w:val="29"/>
  </w:num>
  <w:num w:numId="21" w16cid:durableId="942374784">
    <w:abstractNumId w:val="27"/>
  </w:num>
  <w:num w:numId="22" w16cid:durableId="1423377362">
    <w:abstractNumId w:val="30"/>
  </w:num>
  <w:num w:numId="23" w16cid:durableId="1077705921">
    <w:abstractNumId w:val="4"/>
  </w:num>
  <w:num w:numId="24" w16cid:durableId="1197309893">
    <w:abstractNumId w:val="22"/>
  </w:num>
  <w:num w:numId="25" w16cid:durableId="534541235">
    <w:abstractNumId w:val="12"/>
  </w:num>
  <w:num w:numId="26" w16cid:durableId="1669359011">
    <w:abstractNumId w:val="57"/>
  </w:num>
  <w:num w:numId="27" w16cid:durableId="282853594">
    <w:abstractNumId w:val="44"/>
  </w:num>
  <w:num w:numId="28" w16cid:durableId="441416942">
    <w:abstractNumId w:val="38"/>
  </w:num>
  <w:num w:numId="29" w16cid:durableId="214510007">
    <w:abstractNumId w:val="28"/>
  </w:num>
  <w:num w:numId="30" w16cid:durableId="1026717635">
    <w:abstractNumId w:val="2"/>
  </w:num>
  <w:num w:numId="31" w16cid:durableId="1909025829">
    <w:abstractNumId w:val="48"/>
  </w:num>
  <w:num w:numId="32" w16cid:durableId="1584144847">
    <w:abstractNumId w:val="51"/>
  </w:num>
  <w:num w:numId="33" w16cid:durableId="804737599">
    <w:abstractNumId w:val="65"/>
  </w:num>
  <w:num w:numId="34" w16cid:durableId="387269127">
    <w:abstractNumId w:val="40"/>
  </w:num>
  <w:num w:numId="35" w16cid:durableId="544175425">
    <w:abstractNumId w:val="50"/>
  </w:num>
  <w:num w:numId="36" w16cid:durableId="700597439">
    <w:abstractNumId w:val="31"/>
  </w:num>
  <w:num w:numId="37" w16cid:durableId="808324862">
    <w:abstractNumId w:val="54"/>
  </w:num>
  <w:num w:numId="38" w16cid:durableId="131215689">
    <w:abstractNumId w:val="18"/>
  </w:num>
  <w:num w:numId="39" w16cid:durableId="11156158">
    <w:abstractNumId w:val="35"/>
  </w:num>
  <w:num w:numId="40" w16cid:durableId="1953394849">
    <w:abstractNumId w:val="8"/>
  </w:num>
  <w:num w:numId="41" w16cid:durableId="1045720748">
    <w:abstractNumId w:val="16"/>
  </w:num>
  <w:num w:numId="42" w16cid:durableId="674571160">
    <w:abstractNumId w:val="39"/>
  </w:num>
  <w:num w:numId="43" w16cid:durableId="1404984240">
    <w:abstractNumId w:val="33"/>
  </w:num>
  <w:num w:numId="44" w16cid:durableId="1700818653">
    <w:abstractNumId w:val="41"/>
  </w:num>
  <w:num w:numId="45" w16cid:durableId="29192268">
    <w:abstractNumId w:val="7"/>
  </w:num>
  <w:num w:numId="46" w16cid:durableId="1277713759">
    <w:abstractNumId w:val="14"/>
  </w:num>
  <w:num w:numId="47" w16cid:durableId="1638487705">
    <w:abstractNumId w:val="24"/>
  </w:num>
  <w:num w:numId="48" w16cid:durableId="663969558">
    <w:abstractNumId w:val="62"/>
  </w:num>
  <w:num w:numId="49" w16cid:durableId="383452398">
    <w:abstractNumId w:val="25"/>
  </w:num>
  <w:num w:numId="50" w16cid:durableId="1752501713">
    <w:abstractNumId w:val="26"/>
  </w:num>
  <w:num w:numId="51" w16cid:durableId="2131244168">
    <w:abstractNumId w:val="61"/>
  </w:num>
  <w:num w:numId="52" w16cid:durableId="955604194">
    <w:abstractNumId w:val="42"/>
  </w:num>
  <w:num w:numId="53" w16cid:durableId="1093818163">
    <w:abstractNumId w:val="46"/>
  </w:num>
  <w:num w:numId="54" w16cid:durableId="689989966">
    <w:abstractNumId w:val="11"/>
  </w:num>
  <w:num w:numId="55" w16cid:durableId="684327835">
    <w:abstractNumId w:val="32"/>
  </w:num>
  <w:num w:numId="56" w16cid:durableId="391776648">
    <w:abstractNumId w:val="34"/>
  </w:num>
  <w:num w:numId="57" w16cid:durableId="1462839770">
    <w:abstractNumId w:val="58"/>
  </w:num>
  <w:num w:numId="58" w16cid:durableId="1895774936">
    <w:abstractNumId w:val="21"/>
  </w:num>
  <w:num w:numId="59" w16cid:durableId="1177426318">
    <w:abstractNumId w:val="10"/>
  </w:num>
  <w:num w:numId="60" w16cid:durableId="1485853632">
    <w:abstractNumId w:val="56"/>
  </w:num>
  <w:num w:numId="61" w16cid:durableId="1660647212">
    <w:abstractNumId w:val="6"/>
  </w:num>
  <w:num w:numId="62" w16cid:durableId="21590673">
    <w:abstractNumId w:val="64"/>
  </w:num>
  <w:num w:numId="63" w16cid:durableId="10685230">
    <w:abstractNumId w:val="1"/>
  </w:num>
  <w:num w:numId="64" w16cid:durableId="312222614">
    <w:abstractNumId w:val="0"/>
  </w:num>
  <w:num w:numId="65" w16cid:durableId="184440636">
    <w:abstractNumId w:val="53"/>
  </w:num>
  <w:num w:numId="66" w16cid:durableId="408230455">
    <w:abstractNumId w:val="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44C"/>
    <w:rsid w:val="00002F3B"/>
    <w:rsid w:val="00003D2B"/>
    <w:rsid w:val="00004735"/>
    <w:rsid w:val="000047D1"/>
    <w:rsid w:val="00004E9F"/>
    <w:rsid w:val="00005717"/>
    <w:rsid w:val="000057A0"/>
    <w:rsid w:val="00005C61"/>
    <w:rsid w:val="000063EC"/>
    <w:rsid w:val="00006BF0"/>
    <w:rsid w:val="00007020"/>
    <w:rsid w:val="00007974"/>
    <w:rsid w:val="000103A1"/>
    <w:rsid w:val="000104A8"/>
    <w:rsid w:val="00010E97"/>
    <w:rsid w:val="000116C6"/>
    <w:rsid w:val="0001183E"/>
    <w:rsid w:val="000128E2"/>
    <w:rsid w:val="00012D98"/>
    <w:rsid w:val="00013248"/>
    <w:rsid w:val="00013A0A"/>
    <w:rsid w:val="00013DD1"/>
    <w:rsid w:val="000140B8"/>
    <w:rsid w:val="0001420E"/>
    <w:rsid w:val="00015416"/>
    <w:rsid w:val="00015835"/>
    <w:rsid w:val="00015CDF"/>
    <w:rsid w:val="0001604C"/>
    <w:rsid w:val="00016536"/>
    <w:rsid w:val="00016632"/>
    <w:rsid w:val="00016AEF"/>
    <w:rsid w:val="00021EE0"/>
    <w:rsid w:val="00022E6F"/>
    <w:rsid w:val="000236AD"/>
    <w:rsid w:val="00023B57"/>
    <w:rsid w:val="0002438C"/>
    <w:rsid w:val="00024B16"/>
    <w:rsid w:val="00024BAA"/>
    <w:rsid w:val="000262F2"/>
    <w:rsid w:val="000264F9"/>
    <w:rsid w:val="000266E1"/>
    <w:rsid w:val="00026C0B"/>
    <w:rsid w:val="0002707A"/>
    <w:rsid w:val="000276F5"/>
    <w:rsid w:val="0002773E"/>
    <w:rsid w:val="00030D35"/>
    <w:rsid w:val="00031CEE"/>
    <w:rsid w:val="0003231B"/>
    <w:rsid w:val="0003237B"/>
    <w:rsid w:val="000324B7"/>
    <w:rsid w:val="00032977"/>
    <w:rsid w:val="00032F05"/>
    <w:rsid w:val="00033522"/>
    <w:rsid w:val="0003359C"/>
    <w:rsid w:val="00034885"/>
    <w:rsid w:val="000357FE"/>
    <w:rsid w:val="00036039"/>
    <w:rsid w:val="00037C1F"/>
    <w:rsid w:val="0004079B"/>
    <w:rsid w:val="00041529"/>
    <w:rsid w:val="00041830"/>
    <w:rsid w:val="00042923"/>
    <w:rsid w:val="00042EE7"/>
    <w:rsid w:val="000432AF"/>
    <w:rsid w:val="00044247"/>
    <w:rsid w:val="00044B15"/>
    <w:rsid w:val="00045F48"/>
    <w:rsid w:val="00046F97"/>
    <w:rsid w:val="000471B3"/>
    <w:rsid w:val="00047406"/>
    <w:rsid w:val="00047BC2"/>
    <w:rsid w:val="00047D50"/>
    <w:rsid w:val="00047E4C"/>
    <w:rsid w:val="00050B75"/>
    <w:rsid w:val="00050D4C"/>
    <w:rsid w:val="00051016"/>
    <w:rsid w:val="0005168F"/>
    <w:rsid w:val="00051FB7"/>
    <w:rsid w:val="00052025"/>
    <w:rsid w:val="00052740"/>
    <w:rsid w:val="00053845"/>
    <w:rsid w:val="0005597F"/>
    <w:rsid w:val="000560E2"/>
    <w:rsid w:val="000564C5"/>
    <w:rsid w:val="000564E1"/>
    <w:rsid w:val="00056D91"/>
    <w:rsid w:val="000572BA"/>
    <w:rsid w:val="0005799C"/>
    <w:rsid w:val="00057FB9"/>
    <w:rsid w:val="00060BC8"/>
    <w:rsid w:val="00060CD9"/>
    <w:rsid w:val="00061667"/>
    <w:rsid w:val="00061991"/>
    <w:rsid w:val="00061CF0"/>
    <w:rsid w:val="00062017"/>
    <w:rsid w:val="0006306C"/>
    <w:rsid w:val="000630BE"/>
    <w:rsid w:val="00063AA2"/>
    <w:rsid w:val="000641EE"/>
    <w:rsid w:val="0006599A"/>
    <w:rsid w:val="00065EA8"/>
    <w:rsid w:val="0006639C"/>
    <w:rsid w:val="000668FC"/>
    <w:rsid w:val="0006691A"/>
    <w:rsid w:val="00066D6C"/>
    <w:rsid w:val="000671B3"/>
    <w:rsid w:val="00067D13"/>
    <w:rsid w:val="00067F73"/>
    <w:rsid w:val="000701F9"/>
    <w:rsid w:val="000702FC"/>
    <w:rsid w:val="000703E2"/>
    <w:rsid w:val="00070EA8"/>
    <w:rsid w:val="000715BE"/>
    <w:rsid w:val="0007230F"/>
    <w:rsid w:val="000737BC"/>
    <w:rsid w:val="00073BE3"/>
    <w:rsid w:val="00074A03"/>
    <w:rsid w:val="00074C75"/>
    <w:rsid w:val="00074D6D"/>
    <w:rsid w:val="00075880"/>
    <w:rsid w:val="00075888"/>
    <w:rsid w:val="00075FEC"/>
    <w:rsid w:val="00076062"/>
    <w:rsid w:val="0007651D"/>
    <w:rsid w:val="000775AF"/>
    <w:rsid w:val="000778AD"/>
    <w:rsid w:val="000807F7"/>
    <w:rsid w:val="00081042"/>
    <w:rsid w:val="00081610"/>
    <w:rsid w:val="00081F71"/>
    <w:rsid w:val="00082C2F"/>
    <w:rsid w:val="00083AC9"/>
    <w:rsid w:val="00083FD7"/>
    <w:rsid w:val="0008489C"/>
    <w:rsid w:val="00084A01"/>
    <w:rsid w:val="0008612D"/>
    <w:rsid w:val="0008657D"/>
    <w:rsid w:val="00087088"/>
    <w:rsid w:val="00087525"/>
    <w:rsid w:val="000904E0"/>
    <w:rsid w:val="000906C8"/>
    <w:rsid w:val="0009208B"/>
    <w:rsid w:val="00092D0F"/>
    <w:rsid w:val="00093360"/>
    <w:rsid w:val="00093637"/>
    <w:rsid w:val="00093C2C"/>
    <w:rsid w:val="00094814"/>
    <w:rsid w:val="00094CA4"/>
    <w:rsid w:val="00096140"/>
    <w:rsid w:val="00096AB4"/>
    <w:rsid w:val="00097368"/>
    <w:rsid w:val="000A0B0F"/>
    <w:rsid w:val="000A0CE3"/>
    <w:rsid w:val="000A158B"/>
    <w:rsid w:val="000A1A68"/>
    <w:rsid w:val="000A1EF1"/>
    <w:rsid w:val="000A226D"/>
    <w:rsid w:val="000A2FF5"/>
    <w:rsid w:val="000A3EFB"/>
    <w:rsid w:val="000A4AF2"/>
    <w:rsid w:val="000A4E43"/>
    <w:rsid w:val="000A50CE"/>
    <w:rsid w:val="000A577D"/>
    <w:rsid w:val="000A5856"/>
    <w:rsid w:val="000A77CC"/>
    <w:rsid w:val="000A7D83"/>
    <w:rsid w:val="000B0F95"/>
    <w:rsid w:val="000B283B"/>
    <w:rsid w:val="000B2E7C"/>
    <w:rsid w:val="000B33C5"/>
    <w:rsid w:val="000B3928"/>
    <w:rsid w:val="000B4608"/>
    <w:rsid w:val="000B4BD7"/>
    <w:rsid w:val="000B4BD9"/>
    <w:rsid w:val="000B5ABD"/>
    <w:rsid w:val="000B6D09"/>
    <w:rsid w:val="000B7755"/>
    <w:rsid w:val="000B7BE6"/>
    <w:rsid w:val="000C0568"/>
    <w:rsid w:val="000C0C3E"/>
    <w:rsid w:val="000C17EB"/>
    <w:rsid w:val="000C1828"/>
    <w:rsid w:val="000C1CFA"/>
    <w:rsid w:val="000C1E70"/>
    <w:rsid w:val="000C1F19"/>
    <w:rsid w:val="000C214A"/>
    <w:rsid w:val="000C2F1C"/>
    <w:rsid w:val="000C374E"/>
    <w:rsid w:val="000C4203"/>
    <w:rsid w:val="000C5B75"/>
    <w:rsid w:val="000C5C6F"/>
    <w:rsid w:val="000C722F"/>
    <w:rsid w:val="000C73FE"/>
    <w:rsid w:val="000C7908"/>
    <w:rsid w:val="000D0072"/>
    <w:rsid w:val="000D24CC"/>
    <w:rsid w:val="000D250C"/>
    <w:rsid w:val="000D2A84"/>
    <w:rsid w:val="000D332F"/>
    <w:rsid w:val="000D3534"/>
    <w:rsid w:val="000D3E9C"/>
    <w:rsid w:val="000D4103"/>
    <w:rsid w:val="000D4287"/>
    <w:rsid w:val="000D5BC1"/>
    <w:rsid w:val="000D6AAD"/>
    <w:rsid w:val="000D6BAE"/>
    <w:rsid w:val="000D77E7"/>
    <w:rsid w:val="000E07BF"/>
    <w:rsid w:val="000E195A"/>
    <w:rsid w:val="000E275D"/>
    <w:rsid w:val="000E3042"/>
    <w:rsid w:val="000E3424"/>
    <w:rsid w:val="000E3752"/>
    <w:rsid w:val="000E3A57"/>
    <w:rsid w:val="000E545D"/>
    <w:rsid w:val="000E59CB"/>
    <w:rsid w:val="000E5C0D"/>
    <w:rsid w:val="000E62D9"/>
    <w:rsid w:val="000E64D5"/>
    <w:rsid w:val="000E65CA"/>
    <w:rsid w:val="000E6E43"/>
    <w:rsid w:val="000E705B"/>
    <w:rsid w:val="000F0AB7"/>
    <w:rsid w:val="000F15A3"/>
    <w:rsid w:val="000F21C0"/>
    <w:rsid w:val="000F2477"/>
    <w:rsid w:val="000F391F"/>
    <w:rsid w:val="000F3F85"/>
    <w:rsid w:val="000F4016"/>
    <w:rsid w:val="000F44FA"/>
    <w:rsid w:val="000F4CAB"/>
    <w:rsid w:val="000F4D1E"/>
    <w:rsid w:val="000F59A7"/>
    <w:rsid w:val="000F5CCF"/>
    <w:rsid w:val="000F7560"/>
    <w:rsid w:val="000F7B12"/>
    <w:rsid w:val="001001AB"/>
    <w:rsid w:val="00100550"/>
    <w:rsid w:val="00100C8F"/>
    <w:rsid w:val="00100D49"/>
    <w:rsid w:val="00101401"/>
    <w:rsid w:val="0010145F"/>
    <w:rsid w:val="00101E25"/>
    <w:rsid w:val="00102075"/>
    <w:rsid w:val="001025F0"/>
    <w:rsid w:val="00102912"/>
    <w:rsid w:val="00102965"/>
    <w:rsid w:val="00102FDF"/>
    <w:rsid w:val="001030CE"/>
    <w:rsid w:val="001031C2"/>
    <w:rsid w:val="00103753"/>
    <w:rsid w:val="0010384C"/>
    <w:rsid w:val="00103874"/>
    <w:rsid w:val="00103AD1"/>
    <w:rsid w:val="00103C8A"/>
    <w:rsid w:val="001044BB"/>
    <w:rsid w:val="00105037"/>
    <w:rsid w:val="001056C9"/>
    <w:rsid w:val="00105DB6"/>
    <w:rsid w:val="00106836"/>
    <w:rsid w:val="00106A29"/>
    <w:rsid w:val="00106BA8"/>
    <w:rsid w:val="001073C7"/>
    <w:rsid w:val="0010740B"/>
    <w:rsid w:val="00107D6D"/>
    <w:rsid w:val="0011371B"/>
    <w:rsid w:val="00114907"/>
    <w:rsid w:val="00115263"/>
    <w:rsid w:val="0011555B"/>
    <w:rsid w:val="00115AFD"/>
    <w:rsid w:val="00115CE1"/>
    <w:rsid w:val="001163B2"/>
    <w:rsid w:val="00120076"/>
    <w:rsid w:val="00120286"/>
    <w:rsid w:val="00121410"/>
    <w:rsid w:val="00121423"/>
    <w:rsid w:val="00121AFA"/>
    <w:rsid w:val="00121B3D"/>
    <w:rsid w:val="00122D79"/>
    <w:rsid w:val="00123733"/>
    <w:rsid w:val="001241A9"/>
    <w:rsid w:val="00124669"/>
    <w:rsid w:val="00125A82"/>
    <w:rsid w:val="00126A33"/>
    <w:rsid w:val="00126EAC"/>
    <w:rsid w:val="00126ED5"/>
    <w:rsid w:val="001302AA"/>
    <w:rsid w:val="00130737"/>
    <w:rsid w:val="001309A6"/>
    <w:rsid w:val="00131015"/>
    <w:rsid w:val="0013166C"/>
    <w:rsid w:val="00131B37"/>
    <w:rsid w:val="00132E52"/>
    <w:rsid w:val="00133738"/>
    <w:rsid w:val="001337E3"/>
    <w:rsid w:val="00133CDC"/>
    <w:rsid w:val="00134C8F"/>
    <w:rsid w:val="00135534"/>
    <w:rsid w:val="00136504"/>
    <w:rsid w:val="00136648"/>
    <w:rsid w:val="00137381"/>
    <w:rsid w:val="00137387"/>
    <w:rsid w:val="00137BB9"/>
    <w:rsid w:val="00137D54"/>
    <w:rsid w:val="00137F48"/>
    <w:rsid w:val="00140F44"/>
    <w:rsid w:val="00141493"/>
    <w:rsid w:val="0014149B"/>
    <w:rsid w:val="0014182D"/>
    <w:rsid w:val="00141D2A"/>
    <w:rsid w:val="001436B8"/>
    <w:rsid w:val="001440CA"/>
    <w:rsid w:val="00144487"/>
    <w:rsid w:val="001447E4"/>
    <w:rsid w:val="00144AE3"/>
    <w:rsid w:val="00145AC6"/>
    <w:rsid w:val="00145E68"/>
    <w:rsid w:val="00145EAE"/>
    <w:rsid w:val="001462C0"/>
    <w:rsid w:val="00146731"/>
    <w:rsid w:val="001467F1"/>
    <w:rsid w:val="0014743E"/>
    <w:rsid w:val="00150BEB"/>
    <w:rsid w:val="001510D7"/>
    <w:rsid w:val="0015199E"/>
    <w:rsid w:val="00151CB4"/>
    <w:rsid w:val="00152349"/>
    <w:rsid w:val="001523CF"/>
    <w:rsid w:val="00152911"/>
    <w:rsid w:val="001550B4"/>
    <w:rsid w:val="00156173"/>
    <w:rsid w:val="00156276"/>
    <w:rsid w:val="001566F1"/>
    <w:rsid w:val="00156996"/>
    <w:rsid w:val="001573D2"/>
    <w:rsid w:val="00157BBD"/>
    <w:rsid w:val="00160094"/>
    <w:rsid w:val="00161666"/>
    <w:rsid w:val="001621E2"/>
    <w:rsid w:val="00164836"/>
    <w:rsid w:val="001653B9"/>
    <w:rsid w:val="00165C02"/>
    <w:rsid w:val="00165E0F"/>
    <w:rsid w:val="00166449"/>
    <w:rsid w:val="001665EC"/>
    <w:rsid w:val="0016685F"/>
    <w:rsid w:val="00166BC7"/>
    <w:rsid w:val="00166D41"/>
    <w:rsid w:val="001674C6"/>
    <w:rsid w:val="001679FE"/>
    <w:rsid w:val="001707C4"/>
    <w:rsid w:val="0017082F"/>
    <w:rsid w:val="00170956"/>
    <w:rsid w:val="001709F1"/>
    <w:rsid w:val="0017104F"/>
    <w:rsid w:val="00171D69"/>
    <w:rsid w:val="0017264D"/>
    <w:rsid w:val="00172D4B"/>
    <w:rsid w:val="00172D50"/>
    <w:rsid w:val="00172EAD"/>
    <w:rsid w:val="00172F98"/>
    <w:rsid w:val="00173254"/>
    <w:rsid w:val="0017332C"/>
    <w:rsid w:val="001746D5"/>
    <w:rsid w:val="00175237"/>
    <w:rsid w:val="00175E68"/>
    <w:rsid w:val="00176187"/>
    <w:rsid w:val="0017792F"/>
    <w:rsid w:val="00177A37"/>
    <w:rsid w:val="00177A43"/>
    <w:rsid w:val="00180C2B"/>
    <w:rsid w:val="00180D12"/>
    <w:rsid w:val="00180DF9"/>
    <w:rsid w:val="001813A6"/>
    <w:rsid w:val="00181563"/>
    <w:rsid w:val="001818DC"/>
    <w:rsid w:val="00181CE9"/>
    <w:rsid w:val="00182005"/>
    <w:rsid w:val="00183BAC"/>
    <w:rsid w:val="00184077"/>
    <w:rsid w:val="001843E8"/>
    <w:rsid w:val="001849AD"/>
    <w:rsid w:val="0018525A"/>
    <w:rsid w:val="00186344"/>
    <w:rsid w:val="00186EDA"/>
    <w:rsid w:val="00187C0E"/>
    <w:rsid w:val="00190190"/>
    <w:rsid w:val="00190502"/>
    <w:rsid w:val="00191886"/>
    <w:rsid w:val="00192288"/>
    <w:rsid w:val="001923F0"/>
    <w:rsid w:val="001928CA"/>
    <w:rsid w:val="00192B26"/>
    <w:rsid w:val="00193102"/>
    <w:rsid w:val="001936A2"/>
    <w:rsid w:val="0019427F"/>
    <w:rsid w:val="00195059"/>
    <w:rsid w:val="001951A5"/>
    <w:rsid w:val="00195503"/>
    <w:rsid w:val="00195A40"/>
    <w:rsid w:val="001963DB"/>
    <w:rsid w:val="001965D3"/>
    <w:rsid w:val="00196630"/>
    <w:rsid w:val="001967F0"/>
    <w:rsid w:val="00196847"/>
    <w:rsid w:val="001970A5"/>
    <w:rsid w:val="00197B16"/>
    <w:rsid w:val="001A0CEC"/>
    <w:rsid w:val="001A10A6"/>
    <w:rsid w:val="001A30DF"/>
    <w:rsid w:val="001A35D2"/>
    <w:rsid w:val="001A3D73"/>
    <w:rsid w:val="001A5E25"/>
    <w:rsid w:val="001A675D"/>
    <w:rsid w:val="001A7461"/>
    <w:rsid w:val="001A7B08"/>
    <w:rsid w:val="001B0998"/>
    <w:rsid w:val="001B0B98"/>
    <w:rsid w:val="001B12CC"/>
    <w:rsid w:val="001B1598"/>
    <w:rsid w:val="001B1B94"/>
    <w:rsid w:val="001B2AEC"/>
    <w:rsid w:val="001B32DE"/>
    <w:rsid w:val="001B5642"/>
    <w:rsid w:val="001B568B"/>
    <w:rsid w:val="001B56F2"/>
    <w:rsid w:val="001B5CF2"/>
    <w:rsid w:val="001B5D0A"/>
    <w:rsid w:val="001B6B00"/>
    <w:rsid w:val="001B750C"/>
    <w:rsid w:val="001B769F"/>
    <w:rsid w:val="001B7FF5"/>
    <w:rsid w:val="001C1DF1"/>
    <w:rsid w:val="001C1E03"/>
    <w:rsid w:val="001C22F9"/>
    <w:rsid w:val="001C23AF"/>
    <w:rsid w:val="001C2CDB"/>
    <w:rsid w:val="001C3039"/>
    <w:rsid w:val="001C3496"/>
    <w:rsid w:val="001C428F"/>
    <w:rsid w:val="001C52B4"/>
    <w:rsid w:val="001C5502"/>
    <w:rsid w:val="001C5D05"/>
    <w:rsid w:val="001C5D97"/>
    <w:rsid w:val="001C775B"/>
    <w:rsid w:val="001C7FE7"/>
    <w:rsid w:val="001D0EBA"/>
    <w:rsid w:val="001D10C5"/>
    <w:rsid w:val="001D164B"/>
    <w:rsid w:val="001D1BC8"/>
    <w:rsid w:val="001D2778"/>
    <w:rsid w:val="001D29DE"/>
    <w:rsid w:val="001D2DF2"/>
    <w:rsid w:val="001D30AC"/>
    <w:rsid w:val="001D3D52"/>
    <w:rsid w:val="001D43B6"/>
    <w:rsid w:val="001D45E7"/>
    <w:rsid w:val="001D47A9"/>
    <w:rsid w:val="001D50A4"/>
    <w:rsid w:val="001D5779"/>
    <w:rsid w:val="001D6A03"/>
    <w:rsid w:val="001D729A"/>
    <w:rsid w:val="001D785F"/>
    <w:rsid w:val="001D7B5C"/>
    <w:rsid w:val="001E01F8"/>
    <w:rsid w:val="001E04CA"/>
    <w:rsid w:val="001E05DC"/>
    <w:rsid w:val="001E124C"/>
    <w:rsid w:val="001E14A8"/>
    <w:rsid w:val="001E1B58"/>
    <w:rsid w:val="001E1BD2"/>
    <w:rsid w:val="001E1C58"/>
    <w:rsid w:val="001E23EB"/>
    <w:rsid w:val="001E3819"/>
    <w:rsid w:val="001E49C0"/>
    <w:rsid w:val="001E49CD"/>
    <w:rsid w:val="001E5385"/>
    <w:rsid w:val="001E55B5"/>
    <w:rsid w:val="001E5623"/>
    <w:rsid w:val="001E630D"/>
    <w:rsid w:val="001E6B23"/>
    <w:rsid w:val="001E719F"/>
    <w:rsid w:val="001E7689"/>
    <w:rsid w:val="001E7BA2"/>
    <w:rsid w:val="001F0017"/>
    <w:rsid w:val="001F29C4"/>
    <w:rsid w:val="001F2A70"/>
    <w:rsid w:val="001F2E09"/>
    <w:rsid w:val="001F3B46"/>
    <w:rsid w:val="001F4C4A"/>
    <w:rsid w:val="001F4CD6"/>
    <w:rsid w:val="001F512D"/>
    <w:rsid w:val="001F5260"/>
    <w:rsid w:val="001F5426"/>
    <w:rsid w:val="001F6D53"/>
    <w:rsid w:val="001F6F0A"/>
    <w:rsid w:val="001F731B"/>
    <w:rsid w:val="0020031D"/>
    <w:rsid w:val="002003E9"/>
    <w:rsid w:val="002003F0"/>
    <w:rsid w:val="002011FE"/>
    <w:rsid w:val="00201429"/>
    <w:rsid w:val="0020213F"/>
    <w:rsid w:val="00202CD9"/>
    <w:rsid w:val="00202D09"/>
    <w:rsid w:val="0020335E"/>
    <w:rsid w:val="00204713"/>
    <w:rsid w:val="002075CD"/>
    <w:rsid w:val="00207729"/>
    <w:rsid w:val="00207AD0"/>
    <w:rsid w:val="00210A26"/>
    <w:rsid w:val="00211486"/>
    <w:rsid w:val="0021170F"/>
    <w:rsid w:val="00211787"/>
    <w:rsid w:val="00211D85"/>
    <w:rsid w:val="00212201"/>
    <w:rsid w:val="0021251D"/>
    <w:rsid w:val="00212E81"/>
    <w:rsid w:val="00213017"/>
    <w:rsid w:val="002137A9"/>
    <w:rsid w:val="002156C1"/>
    <w:rsid w:val="00216585"/>
    <w:rsid w:val="00217AC4"/>
    <w:rsid w:val="0022009A"/>
    <w:rsid w:val="00220874"/>
    <w:rsid w:val="00220D1B"/>
    <w:rsid w:val="00221547"/>
    <w:rsid w:val="00222026"/>
    <w:rsid w:val="0022218B"/>
    <w:rsid w:val="002239B2"/>
    <w:rsid w:val="002243D6"/>
    <w:rsid w:val="00224B67"/>
    <w:rsid w:val="002253E4"/>
    <w:rsid w:val="002256A6"/>
    <w:rsid w:val="002258C6"/>
    <w:rsid w:val="00225BAD"/>
    <w:rsid w:val="002266FB"/>
    <w:rsid w:val="00226B8D"/>
    <w:rsid w:val="00226E1C"/>
    <w:rsid w:val="00227247"/>
    <w:rsid w:val="00227595"/>
    <w:rsid w:val="0022764A"/>
    <w:rsid w:val="00227796"/>
    <w:rsid w:val="00227D21"/>
    <w:rsid w:val="00230071"/>
    <w:rsid w:val="00231938"/>
    <w:rsid w:val="00231C00"/>
    <w:rsid w:val="00231CE3"/>
    <w:rsid w:val="00232D03"/>
    <w:rsid w:val="00232E8F"/>
    <w:rsid w:val="00234299"/>
    <w:rsid w:val="00234485"/>
    <w:rsid w:val="002347CB"/>
    <w:rsid w:val="00234841"/>
    <w:rsid w:val="00234EFC"/>
    <w:rsid w:val="00235AF8"/>
    <w:rsid w:val="00235B9B"/>
    <w:rsid w:val="0023654C"/>
    <w:rsid w:val="00236962"/>
    <w:rsid w:val="00236A27"/>
    <w:rsid w:val="00236C73"/>
    <w:rsid w:val="0023747F"/>
    <w:rsid w:val="00241AEE"/>
    <w:rsid w:val="00241E32"/>
    <w:rsid w:val="00242E3C"/>
    <w:rsid w:val="002431A7"/>
    <w:rsid w:val="00243BF5"/>
    <w:rsid w:val="00244006"/>
    <w:rsid w:val="0024424A"/>
    <w:rsid w:val="0024481F"/>
    <w:rsid w:val="0024521D"/>
    <w:rsid w:val="002454F3"/>
    <w:rsid w:val="00245624"/>
    <w:rsid w:val="00245683"/>
    <w:rsid w:val="00246DE6"/>
    <w:rsid w:val="00246DFA"/>
    <w:rsid w:val="00246E45"/>
    <w:rsid w:val="002507D4"/>
    <w:rsid w:val="002514F4"/>
    <w:rsid w:val="002517AC"/>
    <w:rsid w:val="0025280E"/>
    <w:rsid w:val="0025293D"/>
    <w:rsid w:val="00252D14"/>
    <w:rsid w:val="002535B4"/>
    <w:rsid w:val="00253C3A"/>
    <w:rsid w:val="00257772"/>
    <w:rsid w:val="00260B87"/>
    <w:rsid w:val="00260E56"/>
    <w:rsid w:val="00261719"/>
    <w:rsid w:val="0026171D"/>
    <w:rsid w:val="00263AE5"/>
    <w:rsid w:val="00263DAD"/>
    <w:rsid w:val="00264360"/>
    <w:rsid w:val="002646A0"/>
    <w:rsid w:val="0026581B"/>
    <w:rsid w:val="002658D0"/>
    <w:rsid w:val="00265907"/>
    <w:rsid w:val="0026629B"/>
    <w:rsid w:val="0026668B"/>
    <w:rsid w:val="002666AA"/>
    <w:rsid w:val="002705D9"/>
    <w:rsid w:val="00271307"/>
    <w:rsid w:val="002720FA"/>
    <w:rsid w:val="00272395"/>
    <w:rsid w:val="00272957"/>
    <w:rsid w:val="00272DBC"/>
    <w:rsid w:val="00272EF1"/>
    <w:rsid w:val="00273058"/>
    <w:rsid w:val="00273348"/>
    <w:rsid w:val="00273820"/>
    <w:rsid w:val="00274F8B"/>
    <w:rsid w:val="00275182"/>
    <w:rsid w:val="002751CF"/>
    <w:rsid w:val="0027539B"/>
    <w:rsid w:val="0027556E"/>
    <w:rsid w:val="002760EF"/>
    <w:rsid w:val="0027632C"/>
    <w:rsid w:val="002770D0"/>
    <w:rsid w:val="00277463"/>
    <w:rsid w:val="0028031E"/>
    <w:rsid w:val="002804EB"/>
    <w:rsid w:val="00280C96"/>
    <w:rsid w:val="00280D4E"/>
    <w:rsid w:val="00281DFB"/>
    <w:rsid w:val="002820ED"/>
    <w:rsid w:val="00282C92"/>
    <w:rsid w:val="00283B86"/>
    <w:rsid w:val="00284907"/>
    <w:rsid w:val="00284B6F"/>
    <w:rsid w:val="00285525"/>
    <w:rsid w:val="00286026"/>
    <w:rsid w:val="00286109"/>
    <w:rsid w:val="00286350"/>
    <w:rsid w:val="00286695"/>
    <w:rsid w:val="00287434"/>
    <w:rsid w:val="002876BD"/>
    <w:rsid w:val="00287E44"/>
    <w:rsid w:val="00291EC7"/>
    <w:rsid w:val="00292006"/>
    <w:rsid w:val="00292D3E"/>
    <w:rsid w:val="0029396D"/>
    <w:rsid w:val="002941C3"/>
    <w:rsid w:val="00294867"/>
    <w:rsid w:val="002954F0"/>
    <w:rsid w:val="002958E4"/>
    <w:rsid w:val="002A09D9"/>
    <w:rsid w:val="002A0F4F"/>
    <w:rsid w:val="002A126D"/>
    <w:rsid w:val="002A14AB"/>
    <w:rsid w:val="002A18AF"/>
    <w:rsid w:val="002A2041"/>
    <w:rsid w:val="002A2407"/>
    <w:rsid w:val="002A243F"/>
    <w:rsid w:val="002A246E"/>
    <w:rsid w:val="002A313D"/>
    <w:rsid w:val="002A3A69"/>
    <w:rsid w:val="002A3DA5"/>
    <w:rsid w:val="002A424B"/>
    <w:rsid w:val="002A49EF"/>
    <w:rsid w:val="002A50BA"/>
    <w:rsid w:val="002A5238"/>
    <w:rsid w:val="002A5270"/>
    <w:rsid w:val="002A5820"/>
    <w:rsid w:val="002A5F9D"/>
    <w:rsid w:val="002A6769"/>
    <w:rsid w:val="002A67E7"/>
    <w:rsid w:val="002A70E8"/>
    <w:rsid w:val="002A7178"/>
    <w:rsid w:val="002A749C"/>
    <w:rsid w:val="002A7649"/>
    <w:rsid w:val="002A79A0"/>
    <w:rsid w:val="002A7C41"/>
    <w:rsid w:val="002B015B"/>
    <w:rsid w:val="002B0DF3"/>
    <w:rsid w:val="002B11E2"/>
    <w:rsid w:val="002B13F3"/>
    <w:rsid w:val="002B225A"/>
    <w:rsid w:val="002B24DB"/>
    <w:rsid w:val="002B3490"/>
    <w:rsid w:val="002B3CC6"/>
    <w:rsid w:val="002B3FF9"/>
    <w:rsid w:val="002B5923"/>
    <w:rsid w:val="002B5D2A"/>
    <w:rsid w:val="002B5DE4"/>
    <w:rsid w:val="002B5EC1"/>
    <w:rsid w:val="002B6BC6"/>
    <w:rsid w:val="002B7456"/>
    <w:rsid w:val="002B7848"/>
    <w:rsid w:val="002B7C19"/>
    <w:rsid w:val="002C0073"/>
    <w:rsid w:val="002C01FA"/>
    <w:rsid w:val="002C066C"/>
    <w:rsid w:val="002C0B0A"/>
    <w:rsid w:val="002C124E"/>
    <w:rsid w:val="002C12B1"/>
    <w:rsid w:val="002C192D"/>
    <w:rsid w:val="002C1E15"/>
    <w:rsid w:val="002C2362"/>
    <w:rsid w:val="002C2779"/>
    <w:rsid w:val="002C28BE"/>
    <w:rsid w:val="002C2955"/>
    <w:rsid w:val="002C2B5A"/>
    <w:rsid w:val="002C2B5B"/>
    <w:rsid w:val="002C33B0"/>
    <w:rsid w:val="002C348D"/>
    <w:rsid w:val="002C36C8"/>
    <w:rsid w:val="002C502F"/>
    <w:rsid w:val="002C54A5"/>
    <w:rsid w:val="002C5B48"/>
    <w:rsid w:val="002C61D4"/>
    <w:rsid w:val="002C6273"/>
    <w:rsid w:val="002C6695"/>
    <w:rsid w:val="002C6794"/>
    <w:rsid w:val="002C68CD"/>
    <w:rsid w:val="002C6B1B"/>
    <w:rsid w:val="002C7B18"/>
    <w:rsid w:val="002C7DDA"/>
    <w:rsid w:val="002D0517"/>
    <w:rsid w:val="002D12CE"/>
    <w:rsid w:val="002D1B5D"/>
    <w:rsid w:val="002D1FB9"/>
    <w:rsid w:val="002D2429"/>
    <w:rsid w:val="002D2922"/>
    <w:rsid w:val="002D3424"/>
    <w:rsid w:val="002D4414"/>
    <w:rsid w:val="002D4C33"/>
    <w:rsid w:val="002D4DEA"/>
    <w:rsid w:val="002D54A8"/>
    <w:rsid w:val="002D661F"/>
    <w:rsid w:val="002D6A15"/>
    <w:rsid w:val="002D7975"/>
    <w:rsid w:val="002D7BB4"/>
    <w:rsid w:val="002E079F"/>
    <w:rsid w:val="002E12FA"/>
    <w:rsid w:val="002E156A"/>
    <w:rsid w:val="002E181B"/>
    <w:rsid w:val="002E186D"/>
    <w:rsid w:val="002E199F"/>
    <w:rsid w:val="002E1B3F"/>
    <w:rsid w:val="002E2611"/>
    <w:rsid w:val="002E279A"/>
    <w:rsid w:val="002E2F19"/>
    <w:rsid w:val="002E3075"/>
    <w:rsid w:val="002E30BE"/>
    <w:rsid w:val="002E4237"/>
    <w:rsid w:val="002E4D96"/>
    <w:rsid w:val="002E510F"/>
    <w:rsid w:val="002E51D5"/>
    <w:rsid w:val="002E6717"/>
    <w:rsid w:val="002E695A"/>
    <w:rsid w:val="002E6E79"/>
    <w:rsid w:val="002E7BE1"/>
    <w:rsid w:val="002E7D48"/>
    <w:rsid w:val="002F06E5"/>
    <w:rsid w:val="002F155E"/>
    <w:rsid w:val="002F320E"/>
    <w:rsid w:val="002F32A2"/>
    <w:rsid w:val="002F39E8"/>
    <w:rsid w:val="002F451E"/>
    <w:rsid w:val="002F5C8A"/>
    <w:rsid w:val="002F60BD"/>
    <w:rsid w:val="002F6C01"/>
    <w:rsid w:val="0030043B"/>
    <w:rsid w:val="003009EB"/>
    <w:rsid w:val="00300D6B"/>
    <w:rsid w:val="0030101C"/>
    <w:rsid w:val="003011DF"/>
    <w:rsid w:val="00301B89"/>
    <w:rsid w:val="00301F7D"/>
    <w:rsid w:val="00302631"/>
    <w:rsid w:val="003029F0"/>
    <w:rsid w:val="00303594"/>
    <w:rsid w:val="003046F1"/>
    <w:rsid w:val="00304899"/>
    <w:rsid w:val="003048FB"/>
    <w:rsid w:val="00307021"/>
    <w:rsid w:val="0031042A"/>
    <w:rsid w:val="00311016"/>
    <w:rsid w:val="00311303"/>
    <w:rsid w:val="003118B3"/>
    <w:rsid w:val="00311AAC"/>
    <w:rsid w:val="00311D31"/>
    <w:rsid w:val="00311FC7"/>
    <w:rsid w:val="003124E9"/>
    <w:rsid w:val="00312601"/>
    <w:rsid w:val="00312D84"/>
    <w:rsid w:val="00313587"/>
    <w:rsid w:val="00314036"/>
    <w:rsid w:val="0031438A"/>
    <w:rsid w:val="00314CD0"/>
    <w:rsid w:val="00314DE7"/>
    <w:rsid w:val="003157EC"/>
    <w:rsid w:val="00315D2C"/>
    <w:rsid w:val="00316AC9"/>
    <w:rsid w:val="0031718B"/>
    <w:rsid w:val="003200EF"/>
    <w:rsid w:val="00320656"/>
    <w:rsid w:val="003207B3"/>
    <w:rsid w:val="00320FCD"/>
    <w:rsid w:val="00321297"/>
    <w:rsid w:val="0032287D"/>
    <w:rsid w:val="0032517C"/>
    <w:rsid w:val="003258D7"/>
    <w:rsid w:val="00325900"/>
    <w:rsid w:val="00325925"/>
    <w:rsid w:val="00325B75"/>
    <w:rsid w:val="00325DFD"/>
    <w:rsid w:val="0032786A"/>
    <w:rsid w:val="003303B6"/>
    <w:rsid w:val="00330449"/>
    <w:rsid w:val="00330820"/>
    <w:rsid w:val="00330938"/>
    <w:rsid w:val="00330CDC"/>
    <w:rsid w:val="003311C3"/>
    <w:rsid w:val="0033125E"/>
    <w:rsid w:val="00332084"/>
    <w:rsid w:val="003326BF"/>
    <w:rsid w:val="00332872"/>
    <w:rsid w:val="00332E0D"/>
    <w:rsid w:val="00333612"/>
    <w:rsid w:val="0033418A"/>
    <w:rsid w:val="0033437D"/>
    <w:rsid w:val="00334B2A"/>
    <w:rsid w:val="003353D6"/>
    <w:rsid w:val="0033544B"/>
    <w:rsid w:val="00335949"/>
    <w:rsid w:val="00335D95"/>
    <w:rsid w:val="00336EBE"/>
    <w:rsid w:val="00337A37"/>
    <w:rsid w:val="003409D1"/>
    <w:rsid w:val="00340ADE"/>
    <w:rsid w:val="00341115"/>
    <w:rsid w:val="003418F3"/>
    <w:rsid w:val="0034205F"/>
    <w:rsid w:val="00343AAA"/>
    <w:rsid w:val="00344135"/>
    <w:rsid w:val="0034490A"/>
    <w:rsid w:val="00345746"/>
    <w:rsid w:val="0034631A"/>
    <w:rsid w:val="003467B6"/>
    <w:rsid w:val="0034722B"/>
    <w:rsid w:val="003473E5"/>
    <w:rsid w:val="003474B5"/>
    <w:rsid w:val="00347E16"/>
    <w:rsid w:val="00350571"/>
    <w:rsid w:val="003506E5"/>
    <w:rsid w:val="003510CF"/>
    <w:rsid w:val="00351A76"/>
    <w:rsid w:val="0035202C"/>
    <w:rsid w:val="003520FF"/>
    <w:rsid w:val="003526DF"/>
    <w:rsid w:val="00352D34"/>
    <w:rsid w:val="00355113"/>
    <w:rsid w:val="003551ED"/>
    <w:rsid w:val="00355356"/>
    <w:rsid w:val="00355413"/>
    <w:rsid w:val="00355ACB"/>
    <w:rsid w:val="00355E14"/>
    <w:rsid w:val="0035752C"/>
    <w:rsid w:val="00360A11"/>
    <w:rsid w:val="00360B69"/>
    <w:rsid w:val="00360D35"/>
    <w:rsid w:val="00361B32"/>
    <w:rsid w:val="00361FC7"/>
    <w:rsid w:val="0036242D"/>
    <w:rsid w:val="00363E38"/>
    <w:rsid w:val="00364EFA"/>
    <w:rsid w:val="0036551E"/>
    <w:rsid w:val="003656BE"/>
    <w:rsid w:val="00365987"/>
    <w:rsid w:val="00365A6F"/>
    <w:rsid w:val="003664E1"/>
    <w:rsid w:val="003667BE"/>
    <w:rsid w:val="00366AB7"/>
    <w:rsid w:val="00367436"/>
    <w:rsid w:val="00367BD4"/>
    <w:rsid w:val="00370023"/>
    <w:rsid w:val="00370DEB"/>
    <w:rsid w:val="003710F5"/>
    <w:rsid w:val="00373422"/>
    <w:rsid w:val="00373C69"/>
    <w:rsid w:val="00373E5F"/>
    <w:rsid w:val="00374587"/>
    <w:rsid w:val="003748AD"/>
    <w:rsid w:val="0037670D"/>
    <w:rsid w:val="003767B6"/>
    <w:rsid w:val="00376F30"/>
    <w:rsid w:val="00377714"/>
    <w:rsid w:val="003778B2"/>
    <w:rsid w:val="0038044C"/>
    <w:rsid w:val="003806B3"/>
    <w:rsid w:val="00380D33"/>
    <w:rsid w:val="00381F29"/>
    <w:rsid w:val="0038260A"/>
    <w:rsid w:val="00382AF5"/>
    <w:rsid w:val="00383441"/>
    <w:rsid w:val="003845BB"/>
    <w:rsid w:val="0038473B"/>
    <w:rsid w:val="00384BAE"/>
    <w:rsid w:val="00384F1D"/>
    <w:rsid w:val="00384FC6"/>
    <w:rsid w:val="00385B4B"/>
    <w:rsid w:val="0038612A"/>
    <w:rsid w:val="003873A0"/>
    <w:rsid w:val="00387BA5"/>
    <w:rsid w:val="00387CBD"/>
    <w:rsid w:val="003905FE"/>
    <w:rsid w:val="00390BB7"/>
    <w:rsid w:val="003913E1"/>
    <w:rsid w:val="00392308"/>
    <w:rsid w:val="00392556"/>
    <w:rsid w:val="003926C4"/>
    <w:rsid w:val="003932CE"/>
    <w:rsid w:val="003933EB"/>
    <w:rsid w:val="003934A8"/>
    <w:rsid w:val="0039564C"/>
    <w:rsid w:val="00395D81"/>
    <w:rsid w:val="00396273"/>
    <w:rsid w:val="003969A8"/>
    <w:rsid w:val="00397515"/>
    <w:rsid w:val="00397789"/>
    <w:rsid w:val="003A01AE"/>
    <w:rsid w:val="003A0202"/>
    <w:rsid w:val="003A068D"/>
    <w:rsid w:val="003A07D8"/>
    <w:rsid w:val="003A1EAB"/>
    <w:rsid w:val="003A2E35"/>
    <w:rsid w:val="003A36C5"/>
    <w:rsid w:val="003A37A4"/>
    <w:rsid w:val="003A3B5F"/>
    <w:rsid w:val="003A4090"/>
    <w:rsid w:val="003A68F7"/>
    <w:rsid w:val="003A6946"/>
    <w:rsid w:val="003A6FD0"/>
    <w:rsid w:val="003A7240"/>
    <w:rsid w:val="003A7745"/>
    <w:rsid w:val="003A7D25"/>
    <w:rsid w:val="003B11C0"/>
    <w:rsid w:val="003B13EE"/>
    <w:rsid w:val="003B1FFF"/>
    <w:rsid w:val="003B2192"/>
    <w:rsid w:val="003B2241"/>
    <w:rsid w:val="003B293A"/>
    <w:rsid w:val="003B2BB8"/>
    <w:rsid w:val="003B2CA8"/>
    <w:rsid w:val="003B2E97"/>
    <w:rsid w:val="003B3298"/>
    <w:rsid w:val="003B3327"/>
    <w:rsid w:val="003B3AAE"/>
    <w:rsid w:val="003B4196"/>
    <w:rsid w:val="003B5942"/>
    <w:rsid w:val="003B5C46"/>
    <w:rsid w:val="003B5E53"/>
    <w:rsid w:val="003B69DC"/>
    <w:rsid w:val="003B6C25"/>
    <w:rsid w:val="003C0109"/>
    <w:rsid w:val="003C051D"/>
    <w:rsid w:val="003C0827"/>
    <w:rsid w:val="003C0891"/>
    <w:rsid w:val="003C131E"/>
    <w:rsid w:val="003C1525"/>
    <w:rsid w:val="003C16C0"/>
    <w:rsid w:val="003C283C"/>
    <w:rsid w:val="003C2BCA"/>
    <w:rsid w:val="003C3092"/>
    <w:rsid w:val="003C319F"/>
    <w:rsid w:val="003C35A7"/>
    <w:rsid w:val="003C3815"/>
    <w:rsid w:val="003C38ED"/>
    <w:rsid w:val="003C3A66"/>
    <w:rsid w:val="003C41E9"/>
    <w:rsid w:val="003C433C"/>
    <w:rsid w:val="003C588C"/>
    <w:rsid w:val="003C5E13"/>
    <w:rsid w:val="003C5EE4"/>
    <w:rsid w:val="003C63CC"/>
    <w:rsid w:val="003C65B8"/>
    <w:rsid w:val="003C661F"/>
    <w:rsid w:val="003C6BC6"/>
    <w:rsid w:val="003C6DCE"/>
    <w:rsid w:val="003C708D"/>
    <w:rsid w:val="003C70ED"/>
    <w:rsid w:val="003C7B90"/>
    <w:rsid w:val="003C7F8F"/>
    <w:rsid w:val="003D22E7"/>
    <w:rsid w:val="003D2351"/>
    <w:rsid w:val="003D28B8"/>
    <w:rsid w:val="003D2943"/>
    <w:rsid w:val="003D29C3"/>
    <w:rsid w:val="003D2D56"/>
    <w:rsid w:val="003D34B9"/>
    <w:rsid w:val="003D34FF"/>
    <w:rsid w:val="003D422E"/>
    <w:rsid w:val="003D42EE"/>
    <w:rsid w:val="003D5483"/>
    <w:rsid w:val="003D5569"/>
    <w:rsid w:val="003D5D51"/>
    <w:rsid w:val="003D6095"/>
    <w:rsid w:val="003D6203"/>
    <w:rsid w:val="003D641E"/>
    <w:rsid w:val="003D6B22"/>
    <w:rsid w:val="003D7132"/>
    <w:rsid w:val="003D7ED5"/>
    <w:rsid w:val="003E0013"/>
    <w:rsid w:val="003E0CDA"/>
    <w:rsid w:val="003E1613"/>
    <w:rsid w:val="003E2AE8"/>
    <w:rsid w:val="003E2B62"/>
    <w:rsid w:val="003E3036"/>
    <w:rsid w:val="003E31E8"/>
    <w:rsid w:val="003E3748"/>
    <w:rsid w:val="003E3CE5"/>
    <w:rsid w:val="003E55DD"/>
    <w:rsid w:val="003E640A"/>
    <w:rsid w:val="003E66EB"/>
    <w:rsid w:val="003E71C9"/>
    <w:rsid w:val="003F05E8"/>
    <w:rsid w:val="003F17F3"/>
    <w:rsid w:val="003F2C1B"/>
    <w:rsid w:val="003F330E"/>
    <w:rsid w:val="003F3CDB"/>
    <w:rsid w:val="003F3E70"/>
    <w:rsid w:val="003F478E"/>
    <w:rsid w:val="003F64E0"/>
    <w:rsid w:val="003F7CE8"/>
    <w:rsid w:val="00401B81"/>
    <w:rsid w:val="00402920"/>
    <w:rsid w:val="00402B21"/>
    <w:rsid w:val="004034A3"/>
    <w:rsid w:val="00404BE6"/>
    <w:rsid w:val="0040579D"/>
    <w:rsid w:val="00407104"/>
    <w:rsid w:val="004072F2"/>
    <w:rsid w:val="00407F4F"/>
    <w:rsid w:val="00410B96"/>
    <w:rsid w:val="00411004"/>
    <w:rsid w:val="0041147B"/>
    <w:rsid w:val="004132D7"/>
    <w:rsid w:val="004137C8"/>
    <w:rsid w:val="00413FCB"/>
    <w:rsid w:val="004144F4"/>
    <w:rsid w:val="004145E5"/>
    <w:rsid w:val="00414970"/>
    <w:rsid w:val="00414A4B"/>
    <w:rsid w:val="00415AAD"/>
    <w:rsid w:val="00415E26"/>
    <w:rsid w:val="00416B31"/>
    <w:rsid w:val="00420245"/>
    <w:rsid w:val="00420A74"/>
    <w:rsid w:val="00421FE4"/>
    <w:rsid w:val="004223C9"/>
    <w:rsid w:val="004227E8"/>
    <w:rsid w:val="0042303E"/>
    <w:rsid w:val="00423AB0"/>
    <w:rsid w:val="004241B7"/>
    <w:rsid w:val="004249A9"/>
    <w:rsid w:val="00425232"/>
    <w:rsid w:val="0042537F"/>
    <w:rsid w:val="004270D0"/>
    <w:rsid w:val="004274A5"/>
    <w:rsid w:val="00427613"/>
    <w:rsid w:val="00427D5F"/>
    <w:rsid w:val="00430C34"/>
    <w:rsid w:val="00430ECD"/>
    <w:rsid w:val="00431C74"/>
    <w:rsid w:val="0043296C"/>
    <w:rsid w:val="004331BB"/>
    <w:rsid w:val="0043342C"/>
    <w:rsid w:val="00433823"/>
    <w:rsid w:val="004338ED"/>
    <w:rsid w:val="00433904"/>
    <w:rsid w:val="00433992"/>
    <w:rsid w:val="00434218"/>
    <w:rsid w:val="00434512"/>
    <w:rsid w:val="00434F5A"/>
    <w:rsid w:val="00435109"/>
    <w:rsid w:val="004353AA"/>
    <w:rsid w:val="00435DBB"/>
    <w:rsid w:val="00435FC5"/>
    <w:rsid w:val="00436D64"/>
    <w:rsid w:val="00437CF2"/>
    <w:rsid w:val="00437F60"/>
    <w:rsid w:val="0044095E"/>
    <w:rsid w:val="00440CB8"/>
    <w:rsid w:val="00441376"/>
    <w:rsid w:val="0044159B"/>
    <w:rsid w:val="00441D0A"/>
    <w:rsid w:val="00442280"/>
    <w:rsid w:val="00442DC6"/>
    <w:rsid w:val="0044321B"/>
    <w:rsid w:val="00443CC4"/>
    <w:rsid w:val="00444287"/>
    <w:rsid w:val="00444ADF"/>
    <w:rsid w:val="00444E0A"/>
    <w:rsid w:val="00446F18"/>
    <w:rsid w:val="00447DB0"/>
    <w:rsid w:val="0045096F"/>
    <w:rsid w:val="00450EA4"/>
    <w:rsid w:val="00450EF0"/>
    <w:rsid w:val="00451C08"/>
    <w:rsid w:val="00452632"/>
    <w:rsid w:val="004537B0"/>
    <w:rsid w:val="0045389F"/>
    <w:rsid w:val="00453EF2"/>
    <w:rsid w:val="004540CB"/>
    <w:rsid w:val="0045464B"/>
    <w:rsid w:val="00454AC2"/>
    <w:rsid w:val="00454BDD"/>
    <w:rsid w:val="00455691"/>
    <w:rsid w:val="004565B5"/>
    <w:rsid w:val="004574F4"/>
    <w:rsid w:val="004605BD"/>
    <w:rsid w:val="00460710"/>
    <w:rsid w:val="00463702"/>
    <w:rsid w:val="004637CA"/>
    <w:rsid w:val="00463A2C"/>
    <w:rsid w:val="00464A80"/>
    <w:rsid w:val="00464FF6"/>
    <w:rsid w:val="004668AB"/>
    <w:rsid w:val="00466C31"/>
    <w:rsid w:val="004678D7"/>
    <w:rsid w:val="00470560"/>
    <w:rsid w:val="00470848"/>
    <w:rsid w:val="004717B2"/>
    <w:rsid w:val="004718A1"/>
    <w:rsid w:val="0047260D"/>
    <w:rsid w:val="00472A26"/>
    <w:rsid w:val="00472C6B"/>
    <w:rsid w:val="00473A75"/>
    <w:rsid w:val="00474238"/>
    <w:rsid w:val="00475589"/>
    <w:rsid w:val="00476CEE"/>
    <w:rsid w:val="00477158"/>
    <w:rsid w:val="00477798"/>
    <w:rsid w:val="00477BED"/>
    <w:rsid w:val="004813F4"/>
    <w:rsid w:val="00481521"/>
    <w:rsid w:val="00482822"/>
    <w:rsid w:val="00483124"/>
    <w:rsid w:val="00483554"/>
    <w:rsid w:val="00483785"/>
    <w:rsid w:val="00483991"/>
    <w:rsid w:val="00484DB7"/>
    <w:rsid w:val="0048513A"/>
    <w:rsid w:val="0048742B"/>
    <w:rsid w:val="0049057A"/>
    <w:rsid w:val="004918FB"/>
    <w:rsid w:val="00491B1A"/>
    <w:rsid w:val="00491CF2"/>
    <w:rsid w:val="00491FE3"/>
    <w:rsid w:val="00492C0C"/>
    <w:rsid w:val="00492C14"/>
    <w:rsid w:val="004934C1"/>
    <w:rsid w:val="00493D62"/>
    <w:rsid w:val="00494382"/>
    <w:rsid w:val="00494906"/>
    <w:rsid w:val="00495512"/>
    <w:rsid w:val="00495FE1"/>
    <w:rsid w:val="0049640E"/>
    <w:rsid w:val="0049688F"/>
    <w:rsid w:val="004A034D"/>
    <w:rsid w:val="004A0B59"/>
    <w:rsid w:val="004A2D5F"/>
    <w:rsid w:val="004A2F05"/>
    <w:rsid w:val="004A2F1C"/>
    <w:rsid w:val="004A2FF3"/>
    <w:rsid w:val="004A4AF6"/>
    <w:rsid w:val="004A4C4D"/>
    <w:rsid w:val="004A4F81"/>
    <w:rsid w:val="004A5136"/>
    <w:rsid w:val="004A68A2"/>
    <w:rsid w:val="004A6DC3"/>
    <w:rsid w:val="004A7A43"/>
    <w:rsid w:val="004A7CAD"/>
    <w:rsid w:val="004B02B6"/>
    <w:rsid w:val="004B2264"/>
    <w:rsid w:val="004B22EE"/>
    <w:rsid w:val="004B2E6A"/>
    <w:rsid w:val="004B3328"/>
    <w:rsid w:val="004B38BA"/>
    <w:rsid w:val="004B3B7C"/>
    <w:rsid w:val="004B3FF2"/>
    <w:rsid w:val="004B4421"/>
    <w:rsid w:val="004B4588"/>
    <w:rsid w:val="004B4AE1"/>
    <w:rsid w:val="004B5183"/>
    <w:rsid w:val="004B5413"/>
    <w:rsid w:val="004B54CA"/>
    <w:rsid w:val="004B5799"/>
    <w:rsid w:val="004B57EB"/>
    <w:rsid w:val="004B580F"/>
    <w:rsid w:val="004B5D29"/>
    <w:rsid w:val="004B66BC"/>
    <w:rsid w:val="004B6AAC"/>
    <w:rsid w:val="004B7148"/>
    <w:rsid w:val="004B79B6"/>
    <w:rsid w:val="004C00A2"/>
    <w:rsid w:val="004C0D50"/>
    <w:rsid w:val="004C16F4"/>
    <w:rsid w:val="004C1751"/>
    <w:rsid w:val="004C189F"/>
    <w:rsid w:val="004C24D4"/>
    <w:rsid w:val="004C27A7"/>
    <w:rsid w:val="004C394A"/>
    <w:rsid w:val="004C3EFA"/>
    <w:rsid w:val="004C410F"/>
    <w:rsid w:val="004C485E"/>
    <w:rsid w:val="004C49E3"/>
    <w:rsid w:val="004C4D4A"/>
    <w:rsid w:val="004C4EF7"/>
    <w:rsid w:val="004C5361"/>
    <w:rsid w:val="004C61FC"/>
    <w:rsid w:val="004C65A5"/>
    <w:rsid w:val="004C6CD0"/>
    <w:rsid w:val="004C7012"/>
    <w:rsid w:val="004C7938"/>
    <w:rsid w:val="004D044C"/>
    <w:rsid w:val="004D067A"/>
    <w:rsid w:val="004D133A"/>
    <w:rsid w:val="004D18F0"/>
    <w:rsid w:val="004D1924"/>
    <w:rsid w:val="004D2104"/>
    <w:rsid w:val="004D232C"/>
    <w:rsid w:val="004D349E"/>
    <w:rsid w:val="004D3640"/>
    <w:rsid w:val="004D37F9"/>
    <w:rsid w:val="004D3E12"/>
    <w:rsid w:val="004D4B95"/>
    <w:rsid w:val="004D6C1C"/>
    <w:rsid w:val="004D6F17"/>
    <w:rsid w:val="004E0562"/>
    <w:rsid w:val="004E05D4"/>
    <w:rsid w:val="004E0972"/>
    <w:rsid w:val="004E0D9D"/>
    <w:rsid w:val="004E10CE"/>
    <w:rsid w:val="004E1519"/>
    <w:rsid w:val="004E1649"/>
    <w:rsid w:val="004E1CB6"/>
    <w:rsid w:val="004E1F3D"/>
    <w:rsid w:val="004E2185"/>
    <w:rsid w:val="004E262E"/>
    <w:rsid w:val="004E2C8A"/>
    <w:rsid w:val="004E3315"/>
    <w:rsid w:val="004E4C3C"/>
    <w:rsid w:val="004E5785"/>
    <w:rsid w:val="004E5AC1"/>
    <w:rsid w:val="004E5CBF"/>
    <w:rsid w:val="004E6A4C"/>
    <w:rsid w:val="004E75BD"/>
    <w:rsid w:val="004E7601"/>
    <w:rsid w:val="004E79E2"/>
    <w:rsid w:val="004E7E91"/>
    <w:rsid w:val="004F02EB"/>
    <w:rsid w:val="004F0503"/>
    <w:rsid w:val="004F1678"/>
    <w:rsid w:val="004F1811"/>
    <w:rsid w:val="004F330C"/>
    <w:rsid w:val="004F45A0"/>
    <w:rsid w:val="004F45DA"/>
    <w:rsid w:val="004F4E94"/>
    <w:rsid w:val="004F532E"/>
    <w:rsid w:val="004F56AB"/>
    <w:rsid w:val="004F62A3"/>
    <w:rsid w:val="004F691E"/>
    <w:rsid w:val="004F7443"/>
    <w:rsid w:val="004F77F4"/>
    <w:rsid w:val="00500BBD"/>
    <w:rsid w:val="00500E9E"/>
    <w:rsid w:val="00501247"/>
    <w:rsid w:val="00501DB4"/>
    <w:rsid w:val="0050236A"/>
    <w:rsid w:val="0050273B"/>
    <w:rsid w:val="00502F5D"/>
    <w:rsid w:val="00503154"/>
    <w:rsid w:val="00503493"/>
    <w:rsid w:val="00504505"/>
    <w:rsid w:val="005046C7"/>
    <w:rsid w:val="0050471D"/>
    <w:rsid w:val="00504F0A"/>
    <w:rsid w:val="00504F8C"/>
    <w:rsid w:val="00505303"/>
    <w:rsid w:val="00505819"/>
    <w:rsid w:val="0050593A"/>
    <w:rsid w:val="00505B0B"/>
    <w:rsid w:val="0050638B"/>
    <w:rsid w:val="00507032"/>
    <w:rsid w:val="00507D95"/>
    <w:rsid w:val="005117DC"/>
    <w:rsid w:val="00511FFA"/>
    <w:rsid w:val="005125B7"/>
    <w:rsid w:val="00512AE3"/>
    <w:rsid w:val="005146CE"/>
    <w:rsid w:val="0051501A"/>
    <w:rsid w:val="00516CCC"/>
    <w:rsid w:val="005177CB"/>
    <w:rsid w:val="00517950"/>
    <w:rsid w:val="00517AE4"/>
    <w:rsid w:val="00517C87"/>
    <w:rsid w:val="00521339"/>
    <w:rsid w:val="005215BD"/>
    <w:rsid w:val="005227B0"/>
    <w:rsid w:val="0052366B"/>
    <w:rsid w:val="00524017"/>
    <w:rsid w:val="0052458E"/>
    <w:rsid w:val="00525171"/>
    <w:rsid w:val="005252C5"/>
    <w:rsid w:val="0052548B"/>
    <w:rsid w:val="00526E07"/>
    <w:rsid w:val="00526EA3"/>
    <w:rsid w:val="005272BC"/>
    <w:rsid w:val="0052730F"/>
    <w:rsid w:val="005317E0"/>
    <w:rsid w:val="00531916"/>
    <w:rsid w:val="00531AC1"/>
    <w:rsid w:val="00531CDF"/>
    <w:rsid w:val="00532E47"/>
    <w:rsid w:val="0053359B"/>
    <w:rsid w:val="005337D9"/>
    <w:rsid w:val="00533EE6"/>
    <w:rsid w:val="00534711"/>
    <w:rsid w:val="00535927"/>
    <w:rsid w:val="00535C4F"/>
    <w:rsid w:val="00536326"/>
    <w:rsid w:val="005364FD"/>
    <w:rsid w:val="00537C43"/>
    <w:rsid w:val="00537F84"/>
    <w:rsid w:val="00540471"/>
    <w:rsid w:val="00540972"/>
    <w:rsid w:val="00541248"/>
    <w:rsid w:val="00541670"/>
    <w:rsid w:val="00541754"/>
    <w:rsid w:val="00541840"/>
    <w:rsid w:val="0054188F"/>
    <w:rsid w:val="00542056"/>
    <w:rsid w:val="00542670"/>
    <w:rsid w:val="00542F9E"/>
    <w:rsid w:val="0054349C"/>
    <w:rsid w:val="00543632"/>
    <w:rsid w:val="0054373A"/>
    <w:rsid w:val="0054384E"/>
    <w:rsid w:val="005440C7"/>
    <w:rsid w:val="005443E8"/>
    <w:rsid w:val="005444F0"/>
    <w:rsid w:val="00544C37"/>
    <w:rsid w:val="00545310"/>
    <w:rsid w:val="00545744"/>
    <w:rsid w:val="0054584F"/>
    <w:rsid w:val="005459B8"/>
    <w:rsid w:val="00545CA1"/>
    <w:rsid w:val="0054622D"/>
    <w:rsid w:val="005462F8"/>
    <w:rsid w:val="00546901"/>
    <w:rsid w:val="00546EA2"/>
    <w:rsid w:val="0054713E"/>
    <w:rsid w:val="0054729C"/>
    <w:rsid w:val="005477B3"/>
    <w:rsid w:val="005509C2"/>
    <w:rsid w:val="00550AA0"/>
    <w:rsid w:val="00551D92"/>
    <w:rsid w:val="00552190"/>
    <w:rsid w:val="00552807"/>
    <w:rsid w:val="0055283A"/>
    <w:rsid w:val="005536E5"/>
    <w:rsid w:val="00555518"/>
    <w:rsid w:val="00557E28"/>
    <w:rsid w:val="00562E71"/>
    <w:rsid w:val="00562F84"/>
    <w:rsid w:val="005656E2"/>
    <w:rsid w:val="00565A13"/>
    <w:rsid w:val="005666C9"/>
    <w:rsid w:val="0056681C"/>
    <w:rsid w:val="00566BBE"/>
    <w:rsid w:val="00566C97"/>
    <w:rsid w:val="00567053"/>
    <w:rsid w:val="005672C2"/>
    <w:rsid w:val="00567330"/>
    <w:rsid w:val="005674BD"/>
    <w:rsid w:val="00570A25"/>
    <w:rsid w:val="00570EDF"/>
    <w:rsid w:val="00570F3D"/>
    <w:rsid w:val="00570FD0"/>
    <w:rsid w:val="005714B1"/>
    <w:rsid w:val="00571C58"/>
    <w:rsid w:val="00572860"/>
    <w:rsid w:val="005728E1"/>
    <w:rsid w:val="005728E9"/>
    <w:rsid w:val="00572C13"/>
    <w:rsid w:val="00573CD0"/>
    <w:rsid w:val="00573E7C"/>
    <w:rsid w:val="005741A6"/>
    <w:rsid w:val="005742DC"/>
    <w:rsid w:val="0057484B"/>
    <w:rsid w:val="005753C2"/>
    <w:rsid w:val="00576515"/>
    <w:rsid w:val="00576C21"/>
    <w:rsid w:val="00577129"/>
    <w:rsid w:val="00577751"/>
    <w:rsid w:val="0057782A"/>
    <w:rsid w:val="00577B58"/>
    <w:rsid w:val="00577EBC"/>
    <w:rsid w:val="005804B0"/>
    <w:rsid w:val="005813D0"/>
    <w:rsid w:val="005835DC"/>
    <w:rsid w:val="0058398F"/>
    <w:rsid w:val="00583BC8"/>
    <w:rsid w:val="00583F5A"/>
    <w:rsid w:val="005840D3"/>
    <w:rsid w:val="005843C9"/>
    <w:rsid w:val="00584452"/>
    <w:rsid w:val="00584E9F"/>
    <w:rsid w:val="00584FC1"/>
    <w:rsid w:val="00585129"/>
    <w:rsid w:val="00585379"/>
    <w:rsid w:val="00585556"/>
    <w:rsid w:val="00585CAB"/>
    <w:rsid w:val="00586246"/>
    <w:rsid w:val="005871AE"/>
    <w:rsid w:val="005872A7"/>
    <w:rsid w:val="005877DC"/>
    <w:rsid w:val="00587B6D"/>
    <w:rsid w:val="00587CE8"/>
    <w:rsid w:val="0059032D"/>
    <w:rsid w:val="005903B4"/>
    <w:rsid w:val="005906EE"/>
    <w:rsid w:val="00590A9D"/>
    <w:rsid w:val="00591FD0"/>
    <w:rsid w:val="0059280D"/>
    <w:rsid w:val="00592D0D"/>
    <w:rsid w:val="00592EA3"/>
    <w:rsid w:val="005941DF"/>
    <w:rsid w:val="00594E69"/>
    <w:rsid w:val="005962C2"/>
    <w:rsid w:val="005965BD"/>
    <w:rsid w:val="00597FB2"/>
    <w:rsid w:val="005A0F3A"/>
    <w:rsid w:val="005A15F5"/>
    <w:rsid w:val="005A1E1F"/>
    <w:rsid w:val="005A2539"/>
    <w:rsid w:val="005A3B09"/>
    <w:rsid w:val="005A42D9"/>
    <w:rsid w:val="005A4F74"/>
    <w:rsid w:val="005A5161"/>
    <w:rsid w:val="005A548C"/>
    <w:rsid w:val="005A58AC"/>
    <w:rsid w:val="005A61D7"/>
    <w:rsid w:val="005B0351"/>
    <w:rsid w:val="005B05C0"/>
    <w:rsid w:val="005B0C0F"/>
    <w:rsid w:val="005B0CA2"/>
    <w:rsid w:val="005B0FF0"/>
    <w:rsid w:val="005B116A"/>
    <w:rsid w:val="005B1F2B"/>
    <w:rsid w:val="005B20DC"/>
    <w:rsid w:val="005B25E6"/>
    <w:rsid w:val="005B3358"/>
    <w:rsid w:val="005B404B"/>
    <w:rsid w:val="005B41A1"/>
    <w:rsid w:val="005B4769"/>
    <w:rsid w:val="005B4A99"/>
    <w:rsid w:val="005B636B"/>
    <w:rsid w:val="005B6F42"/>
    <w:rsid w:val="005B7711"/>
    <w:rsid w:val="005B7799"/>
    <w:rsid w:val="005B7A9D"/>
    <w:rsid w:val="005C06C9"/>
    <w:rsid w:val="005C2BDE"/>
    <w:rsid w:val="005C2BF2"/>
    <w:rsid w:val="005C2E13"/>
    <w:rsid w:val="005C2FF8"/>
    <w:rsid w:val="005C3723"/>
    <w:rsid w:val="005C3AA9"/>
    <w:rsid w:val="005C3BAF"/>
    <w:rsid w:val="005C4865"/>
    <w:rsid w:val="005C4906"/>
    <w:rsid w:val="005C4EA8"/>
    <w:rsid w:val="005C524F"/>
    <w:rsid w:val="005C5837"/>
    <w:rsid w:val="005C7518"/>
    <w:rsid w:val="005C75F2"/>
    <w:rsid w:val="005C7C4D"/>
    <w:rsid w:val="005D0A82"/>
    <w:rsid w:val="005D0C64"/>
    <w:rsid w:val="005D1E2C"/>
    <w:rsid w:val="005D203C"/>
    <w:rsid w:val="005D26BC"/>
    <w:rsid w:val="005D395A"/>
    <w:rsid w:val="005D54F7"/>
    <w:rsid w:val="005D5AAE"/>
    <w:rsid w:val="005D622C"/>
    <w:rsid w:val="005D69E7"/>
    <w:rsid w:val="005D6E85"/>
    <w:rsid w:val="005D7211"/>
    <w:rsid w:val="005E033E"/>
    <w:rsid w:val="005E1AAF"/>
    <w:rsid w:val="005E20B8"/>
    <w:rsid w:val="005E2912"/>
    <w:rsid w:val="005E292D"/>
    <w:rsid w:val="005E3354"/>
    <w:rsid w:val="005E4508"/>
    <w:rsid w:val="005E5987"/>
    <w:rsid w:val="005E6E04"/>
    <w:rsid w:val="005E7313"/>
    <w:rsid w:val="005E743B"/>
    <w:rsid w:val="005F0C79"/>
    <w:rsid w:val="005F0D2D"/>
    <w:rsid w:val="005F0F69"/>
    <w:rsid w:val="005F4453"/>
    <w:rsid w:val="005F4601"/>
    <w:rsid w:val="005F4948"/>
    <w:rsid w:val="005F534A"/>
    <w:rsid w:val="005F580F"/>
    <w:rsid w:val="005F7461"/>
    <w:rsid w:val="006005B5"/>
    <w:rsid w:val="0060086B"/>
    <w:rsid w:val="00600DD8"/>
    <w:rsid w:val="0060131D"/>
    <w:rsid w:val="006014E9"/>
    <w:rsid w:val="00602A45"/>
    <w:rsid w:val="00603498"/>
    <w:rsid w:val="0060635B"/>
    <w:rsid w:val="0060647E"/>
    <w:rsid w:val="00606B41"/>
    <w:rsid w:val="006079CA"/>
    <w:rsid w:val="00610E63"/>
    <w:rsid w:val="0061113C"/>
    <w:rsid w:val="00611879"/>
    <w:rsid w:val="00611C9B"/>
    <w:rsid w:val="006133F8"/>
    <w:rsid w:val="00613B7F"/>
    <w:rsid w:val="006140B1"/>
    <w:rsid w:val="00614182"/>
    <w:rsid w:val="006154FD"/>
    <w:rsid w:val="006167D1"/>
    <w:rsid w:val="0062128C"/>
    <w:rsid w:val="0062205A"/>
    <w:rsid w:val="00622CF2"/>
    <w:rsid w:val="006231D0"/>
    <w:rsid w:val="00623F3B"/>
    <w:rsid w:val="006248ED"/>
    <w:rsid w:val="00624A50"/>
    <w:rsid w:val="0062539D"/>
    <w:rsid w:val="00625659"/>
    <w:rsid w:val="00627269"/>
    <w:rsid w:val="0062777D"/>
    <w:rsid w:val="00627E3A"/>
    <w:rsid w:val="00630861"/>
    <w:rsid w:val="006309BA"/>
    <w:rsid w:val="00631A73"/>
    <w:rsid w:val="006329ED"/>
    <w:rsid w:val="00632A89"/>
    <w:rsid w:val="00632E1D"/>
    <w:rsid w:val="006335F1"/>
    <w:rsid w:val="00633F46"/>
    <w:rsid w:val="006343CE"/>
    <w:rsid w:val="0063451E"/>
    <w:rsid w:val="00634979"/>
    <w:rsid w:val="00635121"/>
    <w:rsid w:val="00635AE5"/>
    <w:rsid w:val="00635E86"/>
    <w:rsid w:val="00636856"/>
    <w:rsid w:val="006374C1"/>
    <w:rsid w:val="00640536"/>
    <w:rsid w:val="00641789"/>
    <w:rsid w:val="00642C9D"/>
    <w:rsid w:val="00642EFC"/>
    <w:rsid w:val="00642FE1"/>
    <w:rsid w:val="00643118"/>
    <w:rsid w:val="006434D1"/>
    <w:rsid w:val="00644832"/>
    <w:rsid w:val="00644CC5"/>
    <w:rsid w:val="00644DF6"/>
    <w:rsid w:val="006457A1"/>
    <w:rsid w:val="00645BE3"/>
    <w:rsid w:val="00645C14"/>
    <w:rsid w:val="006462DD"/>
    <w:rsid w:val="006468FD"/>
    <w:rsid w:val="0064696B"/>
    <w:rsid w:val="00646D50"/>
    <w:rsid w:val="0064733D"/>
    <w:rsid w:val="00650087"/>
    <w:rsid w:val="00650B64"/>
    <w:rsid w:val="0065167D"/>
    <w:rsid w:val="0065221D"/>
    <w:rsid w:val="006527FD"/>
    <w:rsid w:val="00652CC1"/>
    <w:rsid w:val="0065505D"/>
    <w:rsid w:val="00655291"/>
    <w:rsid w:val="00655535"/>
    <w:rsid w:val="00655CCD"/>
    <w:rsid w:val="00656268"/>
    <w:rsid w:val="00656645"/>
    <w:rsid w:val="00656833"/>
    <w:rsid w:val="00657384"/>
    <w:rsid w:val="006602B4"/>
    <w:rsid w:val="006602D5"/>
    <w:rsid w:val="006607E9"/>
    <w:rsid w:val="00660A5A"/>
    <w:rsid w:val="00660B06"/>
    <w:rsid w:val="00660C42"/>
    <w:rsid w:val="006610CC"/>
    <w:rsid w:val="00661385"/>
    <w:rsid w:val="006613AB"/>
    <w:rsid w:val="0066147C"/>
    <w:rsid w:val="00661A25"/>
    <w:rsid w:val="00662390"/>
    <w:rsid w:val="00662413"/>
    <w:rsid w:val="00662D41"/>
    <w:rsid w:val="00663D82"/>
    <w:rsid w:val="006640A2"/>
    <w:rsid w:val="00664FE1"/>
    <w:rsid w:val="00665A9B"/>
    <w:rsid w:val="00666183"/>
    <w:rsid w:val="00666A94"/>
    <w:rsid w:val="0066719C"/>
    <w:rsid w:val="00667207"/>
    <w:rsid w:val="006675A2"/>
    <w:rsid w:val="00667A1D"/>
    <w:rsid w:val="0067002F"/>
    <w:rsid w:val="0067007E"/>
    <w:rsid w:val="0067092A"/>
    <w:rsid w:val="00670BE3"/>
    <w:rsid w:val="00671A65"/>
    <w:rsid w:val="00672259"/>
    <w:rsid w:val="00672D2F"/>
    <w:rsid w:val="00672D63"/>
    <w:rsid w:val="0067351A"/>
    <w:rsid w:val="0067356A"/>
    <w:rsid w:val="00673732"/>
    <w:rsid w:val="0067545B"/>
    <w:rsid w:val="00675706"/>
    <w:rsid w:val="00675F3F"/>
    <w:rsid w:val="00675FBB"/>
    <w:rsid w:val="00676BF0"/>
    <w:rsid w:val="00676DCA"/>
    <w:rsid w:val="0067753A"/>
    <w:rsid w:val="006803E4"/>
    <w:rsid w:val="00681464"/>
    <w:rsid w:val="006826EA"/>
    <w:rsid w:val="0068317A"/>
    <w:rsid w:val="0068322B"/>
    <w:rsid w:val="0068387B"/>
    <w:rsid w:val="00684132"/>
    <w:rsid w:val="00684DF9"/>
    <w:rsid w:val="00685D4B"/>
    <w:rsid w:val="006862C6"/>
    <w:rsid w:val="00686AA6"/>
    <w:rsid w:val="00687775"/>
    <w:rsid w:val="00687E0B"/>
    <w:rsid w:val="00687EC5"/>
    <w:rsid w:val="00687F7B"/>
    <w:rsid w:val="00691E31"/>
    <w:rsid w:val="0069204A"/>
    <w:rsid w:val="006936B0"/>
    <w:rsid w:val="00693F8B"/>
    <w:rsid w:val="00694296"/>
    <w:rsid w:val="00694993"/>
    <w:rsid w:val="00697153"/>
    <w:rsid w:val="006A02AE"/>
    <w:rsid w:val="006A0815"/>
    <w:rsid w:val="006A0B13"/>
    <w:rsid w:val="006A0B9D"/>
    <w:rsid w:val="006A128D"/>
    <w:rsid w:val="006A1CB3"/>
    <w:rsid w:val="006A2807"/>
    <w:rsid w:val="006A3D36"/>
    <w:rsid w:val="006A425B"/>
    <w:rsid w:val="006A4CE7"/>
    <w:rsid w:val="006A502C"/>
    <w:rsid w:val="006A5039"/>
    <w:rsid w:val="006A6646"/>
    <w:rsid w:val="006A7FD2"/>
    <w:rsid w:val="006B0ECD"/>
    <w:rsid w:val="006B15CA"/>
    <w:rsid w:val="006B4094"/>
    <w:rsid w:val="006B4824"/>
    <w:rsid w:val="006B497E"/>
    <w:rsid w:val="006B4E4E"/>
    <w:rsid w:val="006B51AD"/>
    <w:rsid w:val="006B57D2"/>
    <w:rsid w:val="006B5B38"/>
    <w:rsid w:val="006B69E7"/>
    <w:rsid w:val="006B6D3A"/>
    <w:rsid w:val="006B7228"/>
    <w:rsid w:val="006B73E0"/>
    <w:rsid w:val="006B7814"/>
    <w:rsid w:val="006B7FD4"/>
    <w:rsid w:val="006C07FE"/>
    <w:rsid w:val="006C0A13"/>
    <w:rsid w:val="006C0EEB"/>
    <w:rsid w:val="006C19E7"/>
    <w:rsid w:val="006C260B"/>
    <w:rsid w:val="006C381E"/>
    <w:rsid w:val="006C4907"/>
    <w:rsid w:val="006C4EFC"/>
    <w:rsid w:val="006C5CD9"/>
    <w:rsid w:val="006C5CDF"/>
    <w:rsid w:val="006C6743"/>
    <w:rsid w:val="006C774A"/>
    <w:rsid w:val="006C7904"/>
    <w:rsid w:val="006D03B2"/>
    <w:rsid w:val="006D0516"/>
    <w:rsid w:val="006D07AC"/>
    <w:rsid w:val="006D10DE"/>
    <w:rsid w:val="006D1D5D"/>
    <w:rsid w:val="006D2879"/>
    <w:rsid w:val="006D38E0"/>
    <w:rsid w:val="006D4845"/>
    <w:rsid w:val="006D4900"/>
    <w:rsid w:val="006D57BE"/>
    <w:rsid w:val="006D5AF4"/>
    <w:rsid w:val="006D5F75"/>
    <w:rsid w:val="006D73D1"/>
    <w:rsid w:val="006D7AC7"/>
    <w:rsid w:val="006D7D38"/>
    <w:rsid w:val="006D7FFD"/>
    <w:rsid w:val="006E1625"/>
    <w:rsid w:val="006E20EA"/>
    <w:rsid w:val="006E422F"/>
    <w:rsid w:val="006E4DF7"/>
    <w:rsid w:val="006E4EB2"/>
    <w:rsid w:val="006E5484"/>
    <w:rsid w:val="006E5E47"/>
    <w:rsid w:val="006E6000"/>
    <w:rsid w:val="006E621A"/>
    <w:rsid w:val="006E79F8"/>
    <w:rsid w:val="006E7FFD"/>
    <w:rsid w:val="006F039C"/>
    <w:rsid w:val="006F0554"/>
    <w:rsid w:val="006F05FE"/>
    <w:rsid w:val="006F0BF0"/>
    <w:rsid w:val="006F0CCD"/>
    <w:rsid w:val="006F0EB0"/>
    <w:rsid w:val="006F1CB3"/>
    <w:rsid w:val="006F24E2"/>
    <w:rsid w:val="006F2C21"/>
    <w:rsid w:val="006F3770"/>
    <w:rsid w:val="006F3CA2"/>
    <w:rsid w:val="006F3D4F"/>
    <w:rsid w:val="006F402F"/>
    <w:rsid w:val="006F4537"/>
    <w:rsid w:val="006F4D02"/>
    <w:rsid w:val="006F5064"/>
    <w:rsid w:val="006F5C76"/>
    <w:rsid w:val="006F651A"/>
    <w:rsid w:val="006F6D11"/>
    <w:rsid w:val="00700506"/>
    <w:rsid w:val="007006A3"/>
    <w:rsid w:val="007006DA"/>
    <w:rsid w:val="00700AD8"/>
    <w:rsid w:val="00700C2A"/>
    <w:rsid w:val="007013FD"/>
    <w:rsid w:val="00701516"/>
    <w:rsid w:val="0070189B"/>
    <w:rsid w:val="00702109"/>
    <w:rsid w:val="007024E3"/>
    <w:rsid w:val="007026B6"/>
    <w:rsid w:val="00702B99"/>
    <w:rsid w:val="00702E87"/>
    <w:rsid w:val="007038D9"/>
    <w:rsid w:val="00703920"/>
    <w:rsid w:val="00703AA4"/>
    <w:rsid w:val="00704099"/>
    <w:rsid w:val="0070464B"/>
    <w:rsid w:val="00704D45"/>
    <w:rsid w:val="007065F3"/>
    <w:rsid w:val="00707B63"/>
    <w:rsid w:val="007106A8"/>
    <w:rsid w:val="00713BFD"/>
    <w:rsid w:val="00713E44"/>
    <w:rsid w:val="00713FDF"/>
    <w:rsid w:val="00714A9E"/>
    <w:rsid w:val="00714BAF"/>
    <w:rsid w:val="0071508D"/>
    <w:rsid w:val="00715B0A"/>
    <w:rsid w:val="00715F91"/>
    <w:rsid w:val="007163BB"/>
    <w:rsid w:val="007163D1"/>
    <w:rsid w:val="007167E5"/>
    <w:rsid w:val="00716E6B"/>
    <w:rsid w:val="007200B8"/>
    <w:rsid w:val="00720358"/>
    <w:rsid w:val="007207AD"/>
    <w:rsid w:val="007208EA"/>
    <w:rsid w:val="0072096D"/>
    <w:rsid w:val="00720EA6"/>
    <w:rsid w:val="00721276"/>
    <w:rsid w:val="00721959"/>
    <w:rsid w:val="00721E89"/>
    <w:rsid w:val="007226A5"/>
    <w:rsid w:val="00723B51"/>
    <w:rsid w:val="00723D86"/>
    <w:rsid w:val="00724201"/>
    <w:rsid w:val="0072583A"/>
    <w:rsid w:val="00726742"/>
    <w:rsid w:val="00726E33"/>
    <w:rsid w:val="00726E78"/>
    <w:rsid w:val="007277C1"/>
    <w:rsid w:val="00730118"/>
    <w:rsid w:val="0073034A"/>
    <w:rsid w:val="0073070E"/>
    <w:rsid w:val="007307BD"/>
    <w:rsid w:val="007315E3"/>
    <w:rsid w:val="007319C9"/>
    <w:rsid w:val="00731E80"/>
    <w:rsid w:val="00732BF0"/>
    <w:rsid w:val="00732C31"/>
    <w:rsid w:val="00732D5B"/>
    <w:rsid w:val="0073320E"/>
    <w:rsid w:val="00734B1A"/>
    <w:rsid w:val="0073503A"/>
    <w:rsid w:val="00735257"/>
    <w:rsid w:val="007360E2"/>
    <w:rsid w:val="00736464"/>
    <w:rsid w:val="00736E73"/>
    <w:rsid w:val="00737179"/>
    <w:rsid w:val="00740B2D"/>
    <w:rsid w:val="00741508"/>
    <w:rsid w:val="0074154B"/>
    <w:rsid w:val="00741598"/>
    <w:rsid w:val="007419C2"/>
    <w:rsid w:val="007422F6"/>
    <w:rsid w:val="00742EEB"/>
    <w:rsid w:val="007431A5"/>
    <w:rsid w:val="007442F9"/>
    <w:rsid w:val="00744D38"/>
    <w:rsid w:val="007450CE"/>
    <w:rsid w:val="007453E0"/>
    <w:rsid w:val="0074542D"/>
    <w:rsid w:val="00745780"/>
    <w:rsid w:val="007457F4"/>
    <w:rsid w:val="007475F6"/>
    <w:rsid w:val="007478A8"/>
    <w:rsid w:val="00750852"/>
    <w:rsid w:val="00750E2F"/>
    <w:rsid w:val="007510AA"/>
    <w:rsid w:val="007510C7"/>
    <w:rsid w:val="00751CC4"/>
    <w:rsid w:val="007523F1"/>
    <w:rsid w:val="00752AD7"/>
    <w:rsid w:val="00752E38"/>
    <w:rsid w:val="007534D0"/>
    <w:rsid w:val="00754AAB"/>
    <w:rsid w:val="00754DF0"/>
    <w:rsid w:val="00754E9D"/>
    <w:rsid w:val="00755E52"/>
    <w:rsid w:val="00756B8F"/>
    <w:rsid w:val="007606A4"/>
    <w:rsid w:val="00760FE4"/>
    <w:rsid w:val="0076194D"/>
    <w:rsid w:val="00761C27"/>
    <w:rsid w:val="00761E1A"/>
    <w:rsid w:val="007628C1"/>
    <w:rsid w:val="00762987"/>
    <w:rsid w:val="007635C4"/>
    <w:rsid w:val="00763C51"/>
    <w:rsid w:val="00763C97"/>
    <w:rsid w:val="00764002"/>
    <w:rsid w:val="007643C8"/>
    <w:rsid w:val="0076535C"/>
    <w:rsid w:val="00765BE2"/>
    <w:rsid w:val="007671CA"/>
    <w:rsid w:val="00771564"/>
    <w:rsid w:val="00771FBC"/>
    <w:rsid w:val="00773038"/>
    <w:rsid w:val="007739FA"/>
    <w:rsid w:val="00774270"/>
    <w:rsid w:val="00775407"/>
    <w:rsid w:val="00775798"/>
    <w:rsid w:val="00777C63"/>
    <w:rsid w:val="00777D58"/>
    <w:rsid w:val="007804C3"/>
    <w:rsid w:val="00780C3D"/>
    <w:rsid w:val="00780E4D"/>
    <w:rsid w:val="007813AB"/>
    <w:rsid w:val="007816FE"/>
    <w:rsid w:val="00781EEF"/>
    <w:rsid w:val="007822B9"/>
    <w:rsid w:val="007824F3"/>
    <w:rsid w:val="00782D50"/>
    <w:rsid w:val="00783EF2"/>
    <w:rsid w:val="00783F16"/>
    <w:rsid w:val="00784181"/>
    <w:rsid w:val="00784313"/>
    <w:rsid w:val="00784C22"/>
    <w:rsid w:val="00785261"/>
    <w:rsid w:val="00787A80"/>
    <w:rsid w:val="00787ED6"/>
    <w:rsid w:val="007905E3"/>
    <w:rsid w:val="00790AD9"/>
    <w:rsid w:val="007915F8"/>
    <w:rsid w:val="00791B12"/>
    <w:rsid w:val="00791B2F"/>
    <w:rsid w:val="00791DC1"/>
    <w:rsid w:val="007927E9"/>
    <w:rsid w:val="00793336"/>
    <w:rsid w:val="00793B9F"/>
    <w:rsid w:val="00793FB7"/>
    <w:rsid w:val="00794474"/>
    <w:rsid w:val="0079466B"/>
    <w:rsid w:val="007948BC"/>
    <w:rsid w:val="00794C69"/>
    <w:rsid w:val="007952A9"/>
    <w:rsid w:val="007959E7"/>
    <w:rsid w:val="00795F5A"/>
    <w:rsid w:val="00796AB9"/>
    <w:rsid w:val="007A0B50"/>
    <w:rsid w:val="007A1A48"/>
    <w:rsid w:val="007A1C9C"/>
    <w:rsid w:val="007A219A"/>
    <w:rsid w:val="007A31C0"/>
    <w:rsid w:val="007A36E8"/>
    <w:rsid w:val="007A3C03"/>
    <w:rsid w:val="007A3CB9"/>
    <w:rsid w:val="007A3D86"/>
    <w:rsid w:val="007A4F35"/>
    <w:rsid w:val="007A6330"/>
    <w:rsid w:val="007A6584"/>
    <w:rsid w:val="007A6C08"/>
    <w:rsid w:val="007A6E3F"/>
    <w:rsid w:val="007A7A4A"/>
    <w:rsid w:val="007A7EB2"/>
    <w:rsid w:val="007B01D2"/>
    <w:rsid w:val="007B0256"/>
    <w:rsid w:val="007B0BF7"/>
    <w:rsid w:val="007B0D75"/>
    <w:rsid w:val="007B1725"/>
    <w:rsid w:val="007B1C90"/>
    <w:rsid w:val="007B2476"/>
    <w:rsid w:val="007B2776"/>
    <w:rsid w:val="007B2B92"/>
    <w:rsid w:val="007B2BB3"/>
    <w:rsid w:val="007B2C28"/>
    <w:rsid w:val="007B300F"/>
    <w:rsid w:val="007B53AC"/>
    <w:rsid w:val="007B5469"/>
    <w:rsid w:val="007B5802"/>
    <w:rsid w:val="007B5DD5"/>
    <w:rsid w:val="007B61AB"/>
    <w:rsid w:val="007B767E"/>
    <w:rsid w:val="007B7B56"/>
    <w:rsid w:val="007C0155"/>
    <w:rsid w:val="007C18CB"/>
    <w:rsid w:val="007C2376"/>
    <w:rsid w:val="007C3FFD"/>
    <w:rsid w:val="007C4775"/>
    <w:rsid w:val="007C4893"/>
    <w:rsid w:val="007C4ECF"/>
    <w:rsid w:val="007C56BB"/>
    <w:rsid w:val="007C5E03"/>
    <w:rsid w:val="007C5E53"/>
    <w:rsid w:val="007C66D2"/>
    <w:rsid w:val="007C6C6B"/>
    <w:rsid w:val="007C7053"/>
    <w:rsid w:val="007C7414"/>
    <w:rsid w:val="007C759F"/>
    <w:rsid w:val="007D0003"/>
    <w:rsid w:val="007D0C27"/>
    <w:rsid w:val="007D0FFC"/>
    <w:rsid w:val="007D13B1"/>
    <w:rsid w:val="007D176A"/>
    <w:rsid w:val="007D1F76"/>
    <w:rsid w:val="007D2694"/>
    <w:rsid w:val="007D26DD"/>
    <w:rsid w:val="007D2CA4"/>
    <w:rsid w:val="007D3B40"/>
    <w:rsid w:val="007D4062"/>
    <w:rsid w:val="007D43E3"/>
    <w:rsid w:val="007D487B"/>
    <w:rsid w:val="007D5410"/>
    <w:rsid w:val="007D5D16"/>
    <w:rsid w:val="007D66B3"/>
    <w:rsid w:val="007D6E0A"/>
    <w:rsid w:val="007D7447"/>
    <w:rsid w:val="007D7FC4"/>
    <w:rsid w:val="007E081C"/>
    <w:rsid w:val="007E0FC3"/>
    <w:rsid w:val="007E147F"/>
    <w:rsid w:val="007E15B6"/>
    <w:rsid w:val="007E187B"/>
    <w:rsid w:val="007E1AC5"/>
    <w:rsid w:val="007E24BE"/>
    <w:rsid w:val="007E2603"/>
    <w:rsid w:val="007E2B95"/>
    <w:rsid w:val="007E2E16"/>
    <w:rsid w:val="007E2EF0"/>
    <w:rsid w:val="007E309C"/>
    <w:rsid w:val="007E3CC6"/>
    <w:rsid w:val="007E6AAF"/>
    <w:rsid w:val="007E749F"/>
    <w:rsid w:val="007E76BB"/>
    <w:rsid w:val="007E7DE5"/>
    <w:rsid w:val="007E7E4F"/>
    <w:rsid w:val="007F011A"/>
    <w:rsid w:val="007F022C"/>
    <w:rsid w:val="007F0688"/>
    <w:rsid w:val="007F09FE"/>
    <w:rsid w:val="007F22D7"/>
    <w:rsid w:val="007F2651"/>
    <w:rsid w:val="007F2C47"/>
    <w:rsid w:val="007F3238"/>
    <w:rsid w:val="007F3297"/>
    <w:rsid w:val="007F3927"/>
    <w:rsid w:val="007F3B1F"/>
    <w:rsid w:val="007F42FB"/>
    <w:rsid w:val="007F433D"/>
    <w:rsid w:val="007F4C55"/>
    <w:rsid w:val="007F6894"/>
    <w:rsid w:val="007F761A"/>
    <w:rsid w:val="007F7B6D"/>
    <w:rsid w:val="00801DBF"/>
    <w:rsid w:val="00801E5B"/>
    <w:rsid w:val="008039F0"/>
    <w:rsid w:val="00803ABB"/>
    <w:rsid w:val="008042A7"/>
    <w:rsid w:val="00804C85"/>
    <w:rsid w:val="00806A60"/>
    <w:rsid w:val="00807196"/>
    <w:rsid w:val="00810615"/>
    <w:rsid w:val="00811216"/>
    <w:rsid w:val="00811B16"/>
    <w:rsid w:val="00812F11"/>
    <w:rsid w:val="00813868"/>
    <w:rsid w:val="008138FF"/>
    <w:rsid w:val="00813AAB"/>
    <w:rsid w:val="0081686F"/>
    <w:rsid w:val="00816A2E"/>
    <w:rsid w:val="00817449"/>
    <w:rsid w:val="00817945"/>
    <w:rsid w:val="00821522"/>
    <w:rsid w:val="00821686"/>
    <w:rsid w:val="00822751"/>
    <w:rsid w:val="0082298E"/>
    <w:rsid w:val="00823A46"/>
    <w:rsid w:val="00823FD5"/>
    <w:rsid w:val="0082407B"/>
    <w:rsid w:val="008255AD"/>
    <w:rsid w:val="0082742F"/>
    <w:rsid w:val="0082785D"/>
    <w:rsid w:val="00827A20"/>
    <w:rsid w:val="00830A14"/>
    <w:rsid w:val="00830A26"/>
    <w:rsid w:val="0083107D"/>
    <w:rsid w:val="008315C7"/>
    <w:rsid w:val="0083166F"/>
    <w:rsid w:val="008318C4"/>
    <w:rsid w:val="00831F72"/>
    <w:rsid w:val="00833826"/>
    <w:rsid w:val="00833D79"/>
    <w:rsid w:val="00834A2A"/>
    <w:rsid w:val="008350D3"/>
    <w:rsid w:val="008354FF"/>
    <w:rsid w:val="00835607"/>
    <w:rsid w:val="00835FED"/>
    <w:rsid w:val="00836366"/>
    <w:rsid w:val="0083709E"/>
    <w:rsid w:val="00837131"/>
    <w:rsid w:val="0083762C"/>
    <w:rsid w:val="00837822"/>
    <w:rsid w:val="008378D3"/>
    <w:rsid w:val="00837ED1"/>
    <w:rsid w:val="0084002E"/>
    <w:rsid w:val="0084025C"/>
    <w:rsid w:val="00840DDE"/>
    <w:rsid w:val="008417CC"/>
    <w:rsid w:val="00841845"/>
    <w:rsid w:val="0084227C"/>
    <w:rsid w:val="0084252F"/>
    <w:rsid w:val="00842797"/>
    <w:rsid w:val="008431F5"/>
    <w:rsid w:val="008433B4"/>
    <w:rsid w:val="008433E3"/>
    <w:rsid w:val="00843F4C"/>
    <w:rsid w:val="00844046"/>
    <w:rsid w:val="00844203"/>
    <w:rsid w:val="00844A7E"/>
    <w:rsid w:val="0084614D"/>
    <w:rsid w:val="0084614F"/>
    <w:rsid w:val="00846164"/>
    <w:rsid w:val="00846D70"/>
    <w:rsid w:val="00846EE5"/>
    <w:rsid w:val="00850F2C"/>
    <w:rsid w:val="008513EB"/>
    <w:rsid w:val="00851A5E"/>
    <w:rsid w:val="00851DCC"/>
    <w:rsid w:val="0085208F"/>
    <w:rsid w:val="00852B26"/>
    <w:rsid w:val="00852E21"/>
    <w:rsid w:val="0085375D"/>
    <w:rsid w:val="00853A7B"/>
    <w:rsid w:val="0085401D"/>
    <w:rsid w:val="0085454B"/>
    <w:rsid w:val="00854CF9"/>
    <w:rsid w:val="00855472"/>
    <w:rsid w:val="00855DFF"/>
    <w:rsid w:val="008565DF"/>
    <w:rsid w:val="00856CBB"/>
    <w:rsid w:val="00856DFE"/>
    <w:rsid w:val="0085710F"/>
    <w:rsid w:val="0086006F"/>
    <w:rsid w:val="008601CE"/>
    <w:rsid w:val="0086090C"/>
    <w:rsid w:val="00860E28"/>
    <w:rsid w:val="0086153A"/>
    <w:rsid w:val="008625F1"/>
    <w:rsid w:val="00863156"/>
    <w:rsid w:val="00863AFD"/>
    <w:rsid w:val="0086418E"/>
    <w:rsid w:val="00864AF2"/>
    <w:rsid w:val="00864FF3"/>
    <w:rsid w:val="008662F9"/>
    <w:rsid w:val="008666F1"/>
    <w:rsid w:val="00866914"/>
    <w:rsid w:val="00867735"/>
    <w:rsid w:val="00867E75"/>
    <w:rsid w:val="00870D82"/>
    <w:rsid w:val="00871A2B"/>
    <w:rsid w:val="00871CD0"/>
    <w:rsid w:val="00872B7D"/>
    <w:rsid w:val="00873270"/>
    <w:rsid w:val="008733AA"/>
    <w:rsid w:val="00873FD8"/>
    <w:rsid w:val="00874054"/>
    <w:rsid w:val="00874F9C"/>
    <w:rsid w:val="008750CA"/>
    <w:rsid w:val="008755F8"/>
    <w:rsid w:val="0087600D"/>
    <w:rsid w:val="0087635C"/>
    <w:rsid w:val="0087652A"/>
    <w:rsid w:val="008766A6"/>
    <w:rsid w:val="00876CA6"/>
    <w:rsid w:val="00877018"/>
    <w:rsid w:val="00877428"/>
    <w:rsid w:val="008775C7"/>
    <w:rsid w:val="0087786F"/>
    <w:rsid w:val="0088008D"/>
    <w:rsid w:val="0088061C"/>
    <w:rsid w:val="008812C2"/>
    <w:rsid w:val="008813DC"/>
    <w:rsid w:val="008814D2"/>
    <w:rsid w:val="00881875"/>
    <w:rsid w:val="00881B3C"/>
    <w:rsid w:val="00881E01"/>
    <w:rsid w:val="00882516"/>
    <w:rsid w:val="00882C86"/>
    <w:rsid w:val="00882D20"/>
    <w:rsid w:val="00882FDD"/>
    <w:rsid w:val="008830B4"/>
    <w:rsid w:val="00883D11"/>
    <w:rsid w:val="00883F60"/>
    <w:rsid w:val="008843AC"/>
    <w:rsid w:val="008852C4"/>
    <w:rsid w:val="008857E5"/>
    <w:rsid w:val="00885D5B"/>
    <w:rsid w:val="00886229"/>
    <w:rsid w:val="00886C2C"/>
    <w:rsid w:val="00886EF6"/>
    <w:rsid w:val="008870F7"/>
    <w:rsid w:val="00887E70"/>
    <w:rsid w:val="008901FE"/>
    <w:rsid w:val="008905D9"/>
    <w:rsid w:val="0089079A"/>
    <w:rsid w:val="008907ED"/>
    <w:rsid w:val="00890916"/>
    <w:rsid w:val="00890FA6"/>
    <w:rsid w:val="008911C8"/>
    <w:rsid w:val="0089123E"/>
    <w:rsid w:val="00891F79"/>
    <w:rsid w:val="0089311C"/>
    <w:rsid w:val="008933DE"/>
    <w:rsid w:val="00893655"/>
    <w:rsid w:val="008948DB"/>
    <w:rsid w:val="00894C31"/>
    <w:rsid w:val="00895C39"/>
    <w:rsid w:val="00895DFC"/>
    <w:rsid w:val="0089712A"/>
    <w:rsid w:val="008A1723"/>
    <w:rsid w:val="008A1910"/>
    <w:rsid w:val="008A1F44"/>
    <w:rsid w:val="008A2692"/>
    <w:rsid w:val="008A2E1E"/>
    <w:rsid w:val="008A4719"/>
    <w:rsid w:val="008A4885"/>
    <w:rsid w:val="008A560D"/>
    <w:rsid w:val="008A5D12"/>
    <w:rsid w:val="008A6093"/>
    <w:rsid w:val="008A62D8"/>
    <w:rsid w:val="008A6812"/>
    <w:rsid w:val="008A69AC"/>
    <w:rsid w:val="008A6C46"/>
    <w:rsid w:val="008A776F"/>
    <w:rsid w:val="008B091A"/>
    <w:rsid w:val="008B0DD7"/>
    <w:rsid w:val="008B11D1"/>
    <w:rsid w:val="008B1E08"/>
    <w:rsid w:val="008B27B9"/>
    <w:rsid w:val="008B3087"/>
    <w:rsid w:val="008B3BB3"/>
    <w:rsid w:val="008B411E"/>
    <w:rsid w:val="008B495C"/>
    <w:rsid w:val="008B53EE"/>
    <w:rsid w:val="008B565B"/>
    <w:rsid w:val="008B6991"/>
    <w:rsid w:val="008B7169"/>
    <w:rsid w:val="008B7313"/>
    <w:rsid w:val="008B776C"/>
    <w:rsid w:val="008B7ECC"/>
    <w:rsid w:val="008C006A"/>
    <w:rsid w:val="008C0270"/>
    <w:rsid w:val="008C0B48"/>
    <w:rsid w:val="008C0D10"/>
    <w:rsid w:val="008C1D88"/>
    <w:rsid w:val="008C242A"/>
    <w:rsid w:val="008C243F"/>
    <w:rsid w:val="008C3512"/>
    <w:rsid w:val="008C3A8A"/>
    <w:rsid w:val="008C444C"/>
    <w:rsid w:val="008C4623"/>
    <w:rsid w:val="008C48BF"/>
    <w:rsid w:val="008C524A"/>
    <w:rsid w:val="008C52DC"/>
    <w:rsid w:val="008C532B"/>
    <w:rsid w:val="008C5FA4"/>
    <w:rsid w:val="008C611B"/>
    <w:rsid w:val="008C6E74"/>
    <w:rsid w:val="008C7311"/>
    <w:rsid w:val="008D1248"/>
    <w:rsid w:val="008D1DF0"/>
    <w:rsid w:val="008D1FD0"/>
    <w:rsid w:val="008D32D8"/>
    <w:rsid w:val="008D3329"/>
    <w:rsid w:val="008D3EA3"/>
    <w:rsid w:val="008D4A45"/>
    <w:rsid w:val="008D4E99"/>
    <w:rsid w:val="008D55A0"/>
    <w:rsid w:val="008D5A57"/>
    <w:rsid w:val="008D61CC"/>
    <w:rsid w:val="008D6D04"/>
    <w:rsid w:val="008D6EBC"/>
    <w:rsid w:val="008E09B1"/>
    <w:rsid w:val="008E0B9C"/>
    <w:rsid w:val="008E0D98"/>
    <w:rsid w:val="008E0FB1"/>
    <w:rsid w:val="008E28E2"/>
    <w:rsid w:val="008E32D4"/>
    <w:rsid w:val="008E3490"/>
    <w:rsid w:val="008E35C7"/>
    <w:rsid w:val="008E4A55"/>
    <w:rsid w:val="008E4C65"/>
    <w:rsid w:val="008E5052"/>
    <w:rsid w:val="008E56F4"/>
    <w:rsid w:val="008E622B"/>
    <w:rsid w:val="008E6A42"/>
    <w:rsid w:val="008E7AA9"/>
    <w:rsid w:val="008F0B86"/>
    <w:rsid w:val="008F3023"/>
    <w:rsid w:val="008F3816"/>
    <w:rsid w:val="008F48BE"/>
    <w:rsid w:val="008F4BD9"/>
    <w:rsid w:val="008F674C"/>
    <w:rsid w:val="009014FD"/>
    <w:rsid w:val="009023C8"/>
    <w:rsid w:val="009027AE"/>
    <w:rsid w:val="00902D93"/>
    <w:rsid w:val="0090332D"/>
    <w:rsid w:val="0090353E"/>
    <w:rsid w:val="009039C0"/>
    <w:rsid w:val="00903A8A"/>
    <w:rsid w:val="00904E98"/>
    <w:rsid w:val="009056B6"/>
    <w:rsid w:val="0090602D"/>
    <w:rsid w:val="0090636A"/>
    <w:rsid w:val="00906A14"/>
    <w:rsid w:val="00906C23"/>
    <w:rsid w:val="00906C63"/>
    <w:rsid w:val="00906E14"/>
    <w:rsid w:val="00911DD4"/>
    <w:rsid w:val="009121C8"/>
    <w:rsid w:val="009123CE"/>
    <w:rsid w:val="0091257E"/>
    <w:rsid w:val="009129F9"/>
    <w:rsid w:val="009139B1"/>
    <w:rsid w:val="00913F34"/>
    <w:rsid w:val="00914032"/>
    <w:rsid w:val="0091465D"/>
    <w:rsid w:val="00914A58"/>
    <w:rsid w:val="00915268"/>
    <w:rsid w:val="00916D13"/>
    <w:rsid w:val="0091767E"/>
    <w:rsid w:val="00917E25"/>
    <w:rsid w:val="009203F8"/>
    <w:rsid w:val="0092040B"/>
    <w:rsid w:val="00920D79"/>
    <w:rsid w:val="00920ECB"/>
    <w:rsid w:val="009212EB"/>
    <w:rsid w:val="009212F3"/>
    <w:rsid w:val="00921C9F"/>
    <w:rsid w:val="00922018"/>
    <w:rsid w:val="009225F0"/>
    <w:rsid w:val="00922E88"/>
    <w:rsid w:val="009238E8"/>
    <w:rsid w:val="00923FF9"/>
    <w:rsid w:val="0092444E"/>
    <w:rsid w:val="00924930"/>
    <w:rsid w:val="00924A31"/>
    <w:rsid w:val="00926FBC"/>
    <w:rsid w:val="0092731C"/>
    <w:rsid w:val="00927615"/>
    <w:rsid w:val="00927DFB"/>
    <w:rsid w:val="00927DFF"/>
    <w:rsid w:val="00930345"/>
    <w:rsid w:val="00930A93"/>
    <w:rsid w:val="009327BB"/>
    <w:rsid w:val="00932A1A"/>
    <w:rsid w:val="0093335C"/>
    <w:rsid w:val="00934012"/>
    <w:rsid w:val="00935F9D"/>
    <w:rsid w:val="0093615A"/>
    <w:rsid w:val="00936FFC"/>
    <w:rsid w:val="00937116"/>
    <w:rsid w:val="00940FB5"/>
    <w:rsid w:val="009420A8"/>
    <w:rsid w:val="00942175"/>
    <w:rsid w:val="0094281C"/>
    <w:rsid w:val="00943B8A"/>
    <w:rsid w:val="0094448A"/>
    <w:rsid w:val="009444E6"/>
    <w:rsid w:val="0094563F"/>
    <w:rsid w:val="009465D7"/>
    <w:rsid w:val="00950901"/>
    <w:rsid w:val="00951023"/>
    <w:rsid w:val="00951E87"/>
    <w:rsid w:val="00952E8F"/>
    <w:rsid w:val="009539FE"/>
    <w:rsid w:val="0095494B"/>
    <w:rsid w:val="00954A49"/>
    <w:rsid w:val="00954D99"/>
    <w:rsid w:val="00954F1A"/>
    <w:rsid w:val="009558F9"/>
    <w:rsid w:val="00955959"/>
    <w:rsid w:val="00956535"/>
    <w:rsid w:val="00956ADB"/>
    <w:rsid w:val="00957221"/>
    <w:rsid w:val="0096104B"/>
    <w:rsid w:val="0096264E"/>
    <w:rsid w:val="00962BC2"/>
    <w:rsid w:val="00962F4A"/>
    <w:rsid w:val="00964EAE"/>
    <w:rsid w:val="00965A06"/>
    <w:rsid w:val="00965EB3"/>
    <w:rsid w:val="00966A75"/>
    <w:rsid w:val="009707F0"/>
    <w:rsid w:val="009710C2"/>
    <w:rsid w:val="009721EB"/>
    <w:rsid w:val="00972290"/>
    <w:rsid w:val="0097229A"/>
    <w:rsid w:val="009725AC"/>
    <w:rsid w:val="00973704"/>
    <w:rsid w:val="00974346"/>
    <w:rsid w:val="00974740"/>
    <w:rsid w:val="00974AB8"/>
    <w:rsid w:val="00974F7B"/>
    <w:rsid w:val="00975BD0"/>
    <w:rsid w:val="00975E9F"/>
    <w:rsid w:val="00976892"/>
    <w:rsid w:val="00977A2A"/>
    <w:rsid w:val="00977C7E"/>
    <w:rsid w:val="00977D6E"/>
    <w:rsid w:val="00980045"/>
    <w:rsid w:val="0098148E"/>
    <w:rsid w:val="0098210B"/>
    <w:rsid w:val="009831E9"/>
    <w:rsid w:val="009836A6"/>
    <w:rsid w:val="00983768"/>
    <w:rsid w:val="00983E22"/>
    <w:rsid w:val="00984777"/>
    <w:rsid w:val="00984B14"/>
    <w:rsid w:val="00984BB5"/>
    <w:rsid w:val="00984CAD"/>
    <w:rsid w:val="00985164"/>
    <w:rsid w:val="00986611"/>
    <w:rsid w:val="00986629"/>
    <w:rsid w:val="0098697C"/>
    <w:rsid w:val="009877AB"/>
    <w:rsid w:val="00987D06"/>
    <w:rsid w:val="00990C48"/>
    <w:rsid w:val="009915B8"/>
    <w:rsid w:val="00991BA9"/>
    <w:rsid w:val="00992853"/>
    <w:rsid w:val="00992AD9"/>
    <w:rsid w:val="00992F92"/>
    <w:rsid w:val="00993036"/>
    <w:rsid w:val="00993839"/>
    <w:rsid w:val="009938F8"/>
    <w:rsid w:val="00994164"/>
    <w:rsid w:val="009946D3"/>
    <w:rsid w:val="00994883"/>
    <w:rsid w:val="00994B4F"/>
    <w:rsid w:val="009950A1"/>
    <w:rsid w:val="009953CA"/>
    <w:rsid w:val="009954BC"/>
    <w:rsid w:val="009954CA"/>
    <w:rsid w:val="009955F9"/>
    <w:rsid w:val="00995E89"/>
    <w:rsid w:val="00996122"/>
    <w:rsid w:val="00997900"/>
    <w:rsid w:val="00997932"/>
    <w:rsid w:val="009A0793"/>
    <w:rsid w:val="009A1100"/>
    <w:rsid w:val="009A1E4F"/>
    <w:rsid w:val="009A331A"/>
    <w:rsid w:val="009A3573"/>
    <w:rsid w:val="009A3A33"/>
    <w:rsid w:val="009A4BEC"/>
    <w:rsid w:val="009A55DA"/>
    <w:rsid w:val="009A5EA3"/>
    <w:rsid w:val="009A61A1"/>
    <w:rsid w:val="009A627E"/>
    <w:rsid w:val="009A6E25"/>
    <w:rsid w:val="009A7874"/>
    <w:rsid w:val="009A7BA3"/>
    <w:rsid w:val="009B02E0"/>
    <w:rsid w:val="009B0589"/>
    <w:rsid w:val="009B13A9"/>
    <w:rsid w:val="009B1848"/>
    <w:rsid w:val="009B1C85"/>
    <w:rsid w:val="009B2493"/>
    <w:rsid w:val="009B28B7"/>
    <w:rsid w:val="009B2917"/>
    <w:rsid w:val="009B2BF1"/>
    <w:rsid w:val="009B2D1B"/>
    <w:rsid w:val="009B482D"/>
    <w:rsid w:val="009B4FE7"/>
    <w:rsid w:val="009B5E19"/>
    <w:rsid w:val="009B5EBE"/>
    <w:rsid w:val="009B6013"/>
    <w:rsid w:val="009B66B3"/>
    <w:rsid w:val="009B76F0"/>
    <w:rsid w:val="009B7778"/>
    <w:rsid w:val="009C06CD"/>
    <w:rsid w:val="009C18A6"/>
    <w:rsid w:val="009C19B3"/>
    <w:rsid w:val="009C1D3D"/>
    <w:rsid w:val="009C2127"/>
    <w:rsid w:val="009C229A"/>
    <w:rsid w:val="009C287E"/>
    <w:rsid w:val="009C3B1A"/>
    <w:rsid w:val="009C3F75"/>
    <w:rsid w:val="009C42BC"/>
    <w:rsid w:val="009C466E"/>
    <w:rsid w:val="009C4B0A"/>
    <w:rsid w:val="009C60BA"/>
    <w:rsid w:val="009C7F5E"/>
    <w:rsid w:val="009D0340"/>
    <w:rsid w:val="009D1FBF"/>
    <w:rsid w:val="009D225A"/>
    <w:rsid w:val="009D3091"/>
    <w:rsid w:val="009D3149"/>
    <w:rsid w:val="009D34CB"/>
    <w:rsid w:val="009D3CCB"/>
    <w:rsid w:val="009D43AC"/>
    <w:rsid w:val="009D67CE"/>
    <w:rsid w:val="009D6CD8"/>
    <w:rsid w:val="009D6DFB"/>
    <w:rsid w:val="009E0261"/>
    <w:rsid w:val="009E0282"/>
    <w:rsid w:val="009E0722"/>
    <w:rsid w:val="009E09E8"/>
    <w:rsid w:val="009E0F25"/>
    <w:rsid w:val="009E1B96"/>
    <w:rsid w:val="009E1C34"/>
    <w:rsid w:val="009E24E4"/>
    <w:rsid w:val="009E25E5"/>
    <w:rsid w:val="009E2741"/>
    <w:rsid w:val="009E3067"/>
    <w:rsid w:val="009E4105"/>
    <w:rsid w:val="009E4C49"/>
    <w:rsid w:val="009E53DE"/>
    <w:rsid w:val="009E6114"/>
    <w:rsid w:val="009E6324"/>
    <w:rsid w:val="009E6849"/>
    <w:rsid w:val="009E7907"/>
    <w:rsid w:val="009F01E4"/>
    <w:rsid w:val="009F1950"/>
    <w:rsid w:val="009F2CEA"/>
    <w:rsid w:val="009F3A33"/>
    <w:rsid w:val="009F4084"/>
    <w:rsid w:val="009F54F5"/>
    <w:rsid w:val="009F560D"/>
    <w:rsid w:val="009F6062"/>
    <w:rsid w:val="009F6B9F"/>
    <w:rsid w:val="009F6CF2"/>
    <w:rsid w:val="00A008EA"/>
    <w:rsid w:val="00A0240A"/>
    <w:rsid w:val="00A037CB"/>
    <w:rsid w:val="00A04270"/>
    <w:rsid w:val="00A051C3"/>
    <w:rsid w:val="00A0603E"/>
    <w:rsid w:val="00A07677"/>
    <w:rsid w:val="00A10EF6"/>
    <w:rsid w:val="00A10FB1"/>
    <w:rsid w:val="00A11783"/>
    <w:rsid w:val="00A11B5A"/>
    <w:rsid w:val="00A11CF5"/>
    <w:rsid w:val="00A11F10"/>
    <w:rsid w:val="00A12077"/>
    <w:rsid w:val="00A120E1"/>
    <w:rsid w:val="00A124BD"/>
    <w:rsid w:val="00A12980"/>
    <w:rsid w:val="00A129CE"/>
    <w:rsid w:val="00A13549"/>
    <w:rsid w:val="00A13C17"/>
    <w:rsid w:val="00A161C7"/>
    <w:rsid w:val="00A16F93"/>
    <w:rsid w:val="00A1774E"/>
    <w:rsid w:val="00A178E7"/>
    <w:rsid w:val="00A20497"/>
    <w:rsid w:val="00A205F2"/>
    <w:rsid w:val="00A20B3A"/>
    <w:rsid w:val="00A21323"/>
    <w:rsid w:val="00A22790"/>
    <w:rsid w:val="00A2279A"/>
    <w:rsid w:val="00A22F18"/>
    <w:rsid w:val="00A22FF2"/>
    <w:rsid w:val="00A231F2"/>
    <w:rsid w:val="00A239C2"/>
    <w:rsid w:val="00A23DB4"/>
    <w:rsid w:val="00A23DDF"/>
    <w:rsid w:val="00A24C19"/>
    <w:rsid w:val="00A24D4B"/>
    <w:rsid w:val="00A2565B"/>
    <w:rsid w:val="00A25D32"/>
    <w:rsid w:val="00A265B4"/>
    <w:rsid w:val="00A266AC"/>
    <w:rsid w:val="00A271C7"/>
    <w:rsid w:val="00A2724F"/>
    <w:rsid w:val="00A2782B"/>
    <w:rsid w:val="00A27BE8"/>
    <w:rsid w:val="00A30400"/>
    <w:rsid w:val="00A31188"/>
    <w:rsid w:val="00A31846"/>
    <w:rsid w:val="00A32027"/>
    <w:rsid w:val="00A32215"/>
    <w:rsid w:val="00A327BD"/>
    <w:rsid w:val="00A32C39"/>
    <w:rsid w:val="00A32E75"/>
    <w:rsid w:val="00A33331"/>
    <w:rsid w:val="00A33F4E"/>
    <w:rsid w:val="00A3403D"/>
    <w:rsid w:val="00A353D7"/>
    <w:rsid w:val="00A357A4"/>
    <w:rsid w:val="00A35837"/>
    <w:rsid w:val="00A35BFB"/>
    <w:rsid w:val="00A36738"/>
    <w:rsid w:val="00A370AF"/>
    <w:rsid w:val="00A405B2"/>
    <w:rsid w:val="00A40621"/>
    <w:rsid w:val="00A40A77"/>
    <w:rsid w:val="00A41632"/>
    <w:rsid w:val="00A41D5D"/>
    <w:rsid w:val="00A423A5"/>
    <w:rsid w:val="00A4254B"/>
    <w:rsid w:val="00A42928"/>
    <w:rsid w:val="00A42958"/>
    <w:rsid w:val="00A43036"/>
    <w:rsid w:val="00A43150"/>
    <w:rsid w:val="00A4379E"/>
    <w:rsid w:val="00A43E66"/>
    <w:rsid w:val="00A440F9"/>
    <w:rsid w:val="00A4462B"/>
    <w:rsid w:val="00A44A87"/>
    <w:rsid w:val="00A458FA"/>
    <w:rsid w:val="00A466AB"/>
    <w:rsid w:val="00A4685C"/>
    <w:rsid w:val="00A47BD2"/>
    <w:rsid w:val="00A505AD"/>
    <w:rsid w:val="00A5078C"/>
    <w:rsid w:val="00A50BDF"/>
    <w:rsid w:val="00A50C97"/>
    <w:rsid w:val="00A50F13"/>
    <w:rsid w:val="00A51105"/>
    <w:rsid w:val="00A51CC7"/>
    <w:rsid w:val="00A537A4"/>
    <w:rsid w:val="00A539DD"/>
    <w:rsid w:val="00A56532"/>
    <w:rsid w:val="00A56B2D"/>
    <w:rsid w:val="00A5766F"/>
    <w:rsid w:val="00A57E97"/>
    <w:rsid w:val="00A57EC7"/>
    <w:rsid w:val="00A60310"/>
    <w:rsid w:val="00A60E84"/>
    <w:rsid w:val="00A610E9"/>
    <w:rsid w:val="00A616B2"/>
    <w:rsid w:val="00A61B9B"/>
    <w:rsid w:val="00A62A2C"/>
    <w:rsid w:val="00A63FEC"/>
    <w:rsid w:val="00A64762"/>
    <w:rsid w:val="00A64C7C"/>
    <w:rsid w:val="00A65171"/>
    <w:rsid w:val="00A655FE"/>
    <w:rsid w:val="00A65633"/>
    <w:rsid w:val="00A65E58"/>
    <w:rsid w:val="00A65EFF"/>
    <w:rsid w:val="00A66068"/>
    <w:rsid w:val="00A660B5"/>
    <w:rsid w:val="00A6683D"/>
    <w:rsid w:val="00A66A11"/>
    <w:rsid w:val="00A66F56"/>
    <w:rsid w:val="00A6749F"/>
    <w:rsid w:val="00A70791"/>
    <w:rsid w:val="00A716B6"/>
    <w:rsid w:val="00A72155"/>
    <w:rsid w:val="00A72991"/>
    <w:rsid w:val="00A74210"/>
    <w:rsid w:val="00A74769"/>
    <w:rsid w:val="00A74917"/>
    <w:rsid w:val="00A74A5F"/>
    <w:rsid w:val="00A74F40"/>
    <w:rsid w:val="00A7600B"/>
    <w:rsid w:val="00A76119"/>
    <w:rsid w:val="00A76130"/>
    <w:rsid w:val="00A76171"/>
    <w:rsid w:val="00A76AF7"/>
    <w:rsid w:val="00A76ED1"/>
    <w:rsid w:val="00A7758D"/>
    <w:rsid w:val="00A777EF"/>
    <w:rsid w:val="00A77BA8"/>
    <w:rsid w:val="00A80BBC"/>
    <w:rsid w:val="00A80FC8"/>
    <w:rsid w:val="00A82D08"/>
    <w:rsid w:val="00A8308A"/>
    <w:rsid w:val="00A844A0"/>
    <w:rsid w:val="00A852FB"/>
    <w:rsid w:val="00A85B03"/>
    <w:rsid w:val="00A85C21"/>
    <w:rsid w:val="00A864AC"/>
    <w:rsid w:val="00A869E6"/>
    <w:rsid w:val="00A86AE7"/>
    <w:rsid w:val="00A86EFF"/>
    <w:rsid w:val="00A87374"/>
    <w:rsid w:val="00A87D33"/>
    <w:rsid w:val="00A87FAD"/>
    <w:rsid w:val="00A905EA"/>
    <w:rsid w:val="00A91B64"/>
    <w:rsid w:val="00A91F8A"/>
    <w:rsid w:val="00A9260E"/>
    <w:rsid w:val="00A927AA"/>
    <w:rsid w:val="00A928BC"/>
    <w:rsid w:val="00A92BE9"/>
    <w:rsid w:val="00A9354F"/>
    <w:rsid w:val="00A94159"/>
    <w:rsid w:val="00A94DEA"/>
    <w:rsid w:val="00A94F3A"/>
    <w:rsid w:val="00A96116"/>
    <w:rsid w:val="00A961ED"/>
    <w:rsid w:val="00A96C27"/>
    <w:rsid w:val="00A96C9D"/>
    <w:rsid w:val="00A96FF6"/>
    <w:rsid w:val="00A9763C"/>
    <w:rsid w:val="00A97715"/>
    <w:rsid w:val="00A97FF7"/>
    <w:rsid w:val="00AA05CC"/>
    <w:rsid w:val="00AA09BD"/>
    <w:rsid w:val="00AA0A66"/>
    <w:rsid w:val="00AA0F9A"/>
    <w:rsid w:val="00AA19D9"/>
    <w:rsid w:val="00AA26BA"/>
    <w:rsid w:val="00AA3D40"/>
    <w:rsid w:val="00AA3E73"/>
    <w:rsid w:val="00AA4AFD"/>
    <w:rsid w:val="00AA54ED"/>
    <w:rsid w:val="00AA5BED"/>
    <w:rsid w:val="00AA662B"/>
    <w:rsid w:val="00AA76F1"/>
    <w:rsid w:val="00AA797A"/>
    <w:rsid w:val="00AA7D52"/>
    <w:rsid w:val="00AB1985"/>
    <w:rsid w:val="00AB2085"/>
    <w:rsid w:val="00AB2E5A"/>
    <w:rsid w:val="00AB4885"/>
    <w:rsid w:val="00AB4C50"/>
    <w:rsid w:val="00AB4D30"/>
    <w:rsid w:val="00AB5773"/>
    <w:rsid w:val="00AB6189"/>
    <w:rsid w:val="00AB6463"/>
    <w:rsid w:val="00AB69B9"/>
    <w:rsid w:val="00AB72F3"/>
    <w:rsid w:val="00AB781D"/>
    <w:rsid w:val="00AB7D3E"/>
    <w:rsid w:val="00AB7F7C"/>
    <w:rsid w:val="00AB7F99"/>
    <w:rsid w:val="00AC03FF"/>
    <w:rsid w:val="00AC062B"/>
    <w:rsid w:val="00AC0A02"/>
    <w:rsid w:val="00AC1144"/>
    <w:rsid w:val="00AC1A9E"/>
    <w:rsid w:val="00AC338B"/>
    <w:rsid w:val="00AC350E"/>
    <w:rsid w:val="00AC4022"/>
    <w:rsid w:val="00AC53F4"/>
    <w:rsid w:val="00AC5960"/>
    <w:rsid w:val="00AC5CA1"/>
    <w:rsid w:val="00AC5DFE"/>
    <w:rsid w:val="00AC6A21"/>
    <w:rsid w:val="00AD0071"/>
    <w:rsid w:val="00AD079D"/>
    <w:rsid w:val="00AD0983"/>
    <w:rsid w:val="00AD1704"/>
    <w:rsid w:val="00AD18CC"/>
    <w:rsid w:val="00AD1EEE"/>
    <w:rsid w:val="00AD2243"/>
    <w:rsid w:val="00AD2B34"/>
    <w:rsid w:val="00AD2E64"/>
    <w:rsid w:val="00AD2F28"/>
    <w:rsid w:val="00AD3380"/>
    <w:rsid w:val="00AD40C8"/>
    <w:rsid w:val="00AD4803"/>
    <w:rsid w:val="00AD4CFA"/>
    <w:rsid w:val="00AD4D68"/>
    <w:rsid w:val="00AD4F0D"/>
    <w:rsid w:val="00AD5EA3"/>
    <w:rsid w:val="00AD7D06"/>
    <w:rsid w:val="00AE0EC3"/>
    <w:rsid w:val="00AE179B"/>
    <w:rsid w:val="00AE17D2"/>
    <w:rsid w:val="00AE23A2"/>
    <w:rsid w:val="00AE292A"/>
    <w:rsid w:val="00AE2E70"/>
    <w:rsid w:val="00AE30CD"/>
    <w:rsid w:val="00AE31B4"/>
    <w:rsid w:val="00AE3C26"/>
    <w:rsid w:val="00AE4D41"/>
    <w:rsid w:val="00AE5134"/>
    <w:rsid w:val="00AE5533"/>
    <w:rsid w:val="00AE55B2"/>
    <w:rsid w:val="00AE6440"/>
    <w:rsid w:val="00AE69F8"/>
    <w:rsid w:val="00AE7105"/>
    <w:rsid w:val="00AE7247"/>
    <w:rsid w:val="00AE7FE5"/>
    <w:rsid w:val="00AF00B3"/>
    <w:rsid w:val="00AF0890"/>
    <w:rsid w:val="00AF0D50"/>
    <w:rsid w:val="00AF124E"/>
    <w:rsid w:val="00AF129A"/>
    <w:rsid w:val="00AF2287"/>
    <w:rsid w:val="00AF2863"/>
    <w:rsid w:val="00AF331B"/>
    <w:rsid w:val="00AF37C6"/>
    <w:rsid w:val="00AF3A76"/>
    <w:rsid w:val="00AF4677"/>
    <w:rsid w:val="00AF4FBD"/>
    <w:rsid w:val="00AF50B2"/>
    <w:rsid w:val="00AF521C"/>
    <w:rsid w:val="00AF6747"/>
    <w:rsid w:val="00AF6EFE"/>
    <w:rsid w:val="00B0060B"/>
    <w:rsid w:val="00B00E1C"/>
    <w:rsid w:val="00B012F4"/>
    <w:rsid w:val="00B01808"/>
    <w:rsid w:val="00B01C7F"/>
    <w:rsid w:val="00B01D8B"/>
    <w:rsid w:val="00B020D0"/>
    <w:rsid w:val="00B022B0"/>
    <w:rsid w:val="00B0372A"/>
    <w:rsid w:val="00B04255"/>
    <w:rsid w:val="00B04EC4"/>
    <w:rsid w:val="00B056B5"/>
    <w:rsid w:val="00B05D93"/>
    <w:rsid w:val="00B05E52"/>
    <w:rsid w:val="00B068D2"/>
    <w:rsid w:val="00B070D1"/>
    <w:rsid w:val="00B07E04"/>
    <w:rsid w:val="00B10EB1"/>
    <w:rsid w:val="00B11CBC"/>
    <w:rsid w:val="00B12029"/>
    <w:rsid w:val="00B122AE"/>
    <w:rsid w:val="00B12A1F"/>
    <w:rsid w:val="00B13919"/>
    <w:rsid w:val="00B13986"/>
    <w:rsid w:val="00B140AA"/>
    <w:rsid w:val="00B145BA"/>
    <w:rsid w:val="00B14A06"/>
    <w:rsid w:val="00B14F28"/>
    <w:rsid w:val="00B154F0"/>
    <w:rsid w:val="00B15B02"/>
    <w:rsid w:val="00B15C14"/>
    <w:rsid w:val="00B16017"/>
    <w:rsid w:val="00B160CE"/>
    <w:rsid w:val="00B168C3"/>
    <w:rsid w:val="00B174CC"/>
    <w:rsid w:val="00B17B00"/>
    <w:rsid w:val="00B20EA6"/>
    <w:rsid w:val="00B21F3E"/>
    <w:rsid w:val="00B225B0"/>
    <w:rsid w:val="00B2371F"/>
    <w:rsid w:val="00B23DF6"/>
    <w:rsid w:val="00B241C2"/>
    <w:rsid w:val="00B24631"/>
    <w:rsid w:val="00B24858"/>
    <w:rsid w:val="00B25125"/>
    <w:rsid w:val="00B25B0C"/>
    <w:rsid w:val="00B26B00"/>
    <w:rsid w:val="00B27449"/>
    <w:rsid w:val="00B279F2"/>
    <w:rsid w:val="00B27A4A"/>
    <w:rsid w:val="00B3053D"/>
    <w:rsid w:val="00B30B2B"/>
    <w:rsid w:val="00B3125B"/>
    <w:rsid w:val="00B3285A"/>
    <w:rsid w:val="00B33486"/>
    <w:rsid w:val="00B335C2"/>
    <w:rsid w:val="00B3468E"/>
    <w:rsid w:val="00B348DA"/>
    <w:rsid w:val="00B34F41"/>
    <w:rsid w:val="00B35037"/>
    <w:rsid w:val="00B3526B"/>
    <w:rsid w:val="00B35CC3"/>
    <w:rsid w:val="00B3619C"/>
    <w:rsid w:val="00B3670B"/>
    <w:rsid w:val="00B3714B"/>
    <w:rsid w:val="00B37CAE"/>
    <w:rsid w:val="00B40184"/>
    <w:rsid w:val="00B40C54"/>
    <w:rsid w:val="00B41B4F"/>
    <w:rsid w:val="00B41C2B"/>
    <w:rsid w:val="00B41FE4"/>
    <w:rsid w:val="00B429CF"/>
    <w:rsid w:val="00B42ADC"/>
    <w:rsid w:val="00B42D64"/>
    <w:rsid w:val="00B42F7B"/>
    <w:rsid w:val="00B432D3"/>
    <w:rsid w:val="00B43A6E"/>
    <w:rsid w:val="00B4451A"/>
    <w:rsid w:val="00B459DF"/>
    <w:rsid w:val="00B45F6A"/>
    <w:rsid w:val="00B46330"/>
    <w:rsid w:val="00B4643B"/>
    <w:rsid w:val="00B46B5F"/>
    <w:rsid w:val="00B50644"/>
    <w:rsid w:val="00B51151"/>
    <w:rsid w:val="00B511CD"/>
    <w:rsid w:val="00B5134B"/>
    <w:rsid w:val="00B51399"/>
    <w:rsid w:val="00B5167A"/>
    <w:rsid w:val="00B522D2"/>
    <w:rsid w:val="00B5232A"/>
    <w:rsid w:val="00B52C06"/>
    <w:rsid w:val="00B52C27"/>
    <w:rsid w:val="00B53515"/>
    <w:rsid w:val="00B53D55"/>
    <w:rsid w:val="00B5402B"/>
    <w:rsid w:val="00B551A9"/>
    <w:rsid w:val="00B56226"/>
    <w:rsid w:val="00B5754E"/>
    <w:rsid w:val="00B57C1B"/>
    <w:rsid w:val="00B57C2D"/>
    <w:rsid w:val="00B604CF"/>
    <w:rsid w:val="00B613CB"/>
    <w:rsid w:val="00B62359"/>
    <w:rsid w:val="00B62D03"/>
    <w:rsid w:val="00B62EAD"/>
    <w:rsid w:val="00B64361"/>
    <w:rsid w:val="00B64367"/>
    <w:rsid w:val="00B6459E"/>
    <w:rsid w:val="00B651FA"/>
    <w:rsid w:val="00B65324"/>
    <w:rsid w:val="00B654B8"/>
    <w:rsid w:val="00B6584A"/>
    <w:rsid w:val="00B65B1D"/>
    <w:rsid w:val="00B65F21"/>
    <w:rsid w:val="00B663D2"/>
    <w:rsid w:val="00B6650F"/>
    <w:rsid w:val="00B66D2F"/>
    <w:rsid w:val="00B672A4"/>
    <w:rsid w:val="00B67796"/>
    <w:rsid w:val="00B70195"/>
    <w:rsid w:val="00B7052F"/>
    <w:rsid w:val="00B71563"/>
    <w:rsid w:val="00B716C6"/>
    <w:rsid w:val="00B71837"/>
    <w:rsid w:val="00B71ACE"/>
    <w:rsid w:val="00B72193"/>
    <w:rsid w:val="00B7234E"/>
    <w:rsid w:val="00B7334C"/>
    <w:rsid w:val="00B746FB"/>
    <w:rsid w:val="00B74957"/>
    <w:rsid w:val="00B755F0"/>
    <w:rsid w:val="00B757A2"/>
    <w:rsid w:val="00B76938"/>
    <w:rsid w:val="00B76F99"/>
    <w:rsid w:val="00B77458"/>
    <w:rsid w:val="00B776C8"/>
    <w:rsid w:val="00B77A4A"/>
    <w:rsid w:val="00B77A9E"/>
    <w:rsid w:val="00B77C26"/>
    <w:rsid w:val="00B77CA8"/>
    <w:rsid w:val="00B804BE"/>
    <w:rsid w:val="00B80D13"/>
    <w:rsid w:val="00B81827"/>
    <w:rsid w:val="00B81B03"/>
    <w:rsid w:val="00B83852"/>
    <w:rsid w:val="00B83B7F"/>
    <w:rsid w:val="00B8443D"/>
    <w:rsid w:val="00B84515"/>
    <w:rsid w:val="00B8452E"/>
    <w:rsid w:val="00B84A5F"/>
    <w:rsid w:val="00B8500A"/>
    <w:rsid w:val="00B85391"/>
    <w:rsid w:val="00B85ECA"/>
    <w:rsid w:val="00B8704A"/>
    <w:rsid w:val="00B87463"/>
    <w:rsid w:val="00B8760F"/>
    <w:rsid w:val="00B87C44"/>
    <w:rsid w:val="00B87E45"/>
    <w:rsid w:val="00B9034B"/>
    <w:rsid w:val="00B908CA"/>
    <w:rsid w:val="00B90D59"/>
    <w:rsid w:val="00B91332"/>
    <w:rsid w:val="00B91C78"/>
    <w:rsid w:val="00B93406"/>
    <w:rsid w:val="00B93766"/>
    <w:rsid w:val="00B93A50"/>
    <w:rsid w:val="00B93F9B"/>
    <w:rsid w:val="00B940CE"/>
    <w:rsid w:val="00B949A0"/>
    <w:rsid w:val="00B94C35"/>
    <w:rsid w:val="00B94F0D"/>
    <w:rsid w:val="00B94FFD"/>
    <w:rsid w:val="00B95922"/>
    <w:rsid w:val="00B9638E"/>
    <w:rsid w:val="00B963CC"/>
    <w:rsid w:val="00B969D7"/>
    <w:rsid w:val="00B97C7E"/>
    <w:rsid w:val="00BA02EC"/>
    <w:rsid w:val="00BA0C51"/>
    <w:rsid w:val="00BA1228"/>
    <w:rsid w:val="00BA2DB9"/>
    <w:rsid w:val="00BA2FFB"/>
    <w:rsid w:val="00BA3370"/>
    <w:rsid w:val="00BA368F"/>
    <w:rsid w:val="00BA37BC"/>
    <w:rsid w:val="00BA43F1"/>
    <w:rsid w:val="00BA46D9"/>
    <w:rsid w:val="00BA6B98"/>
    <w:rsid w:val="00BA6BC3"/>
    <w:rsid w:val="00BA7588"/>
    <w:rsid w:val="00BA786A"/>
    <w:rsid w:val="00BB0350"/>
    <w:rsid w:val="00BB08BE"/>
    <w:rsid w:val="00BB093A"/>
    <w:rsid w:val="00BB0A3F"/>
    <w:rsid w:val="00BB0D64"/>
    <w:rsid w:val="00BB1907"/>
    <w:rsid w:val="00BB2646"/>
    <w:rsid w:val="00BB28BF"/>
    <w:rsid w:val="00BB2ABA"/>
    <w:rsid w:val="00BB3DAD"/>
    <w:rsid w:val="00BB3E53"/>
    <w:rsid w:val="00BB3F50"/>
    <w:rsid w:val="00BB541F"/>
    <w:rsid w:val="00BB556E"/>
    <w:rsid w:val="00BB605B"/>
    <w:rsid w:val="00BB6125"/>
    <w:rsid w:val="00BB7360"/>
    <w:rsid w:val="00BB76C5"/>
    <w:rsid w:val="00BC02C0"/>
    <w:rsid w:val="00BC0431"/>
    <w:rsid w:val="00BC2983"/>
    <w:rsid w:val="00BC2DF3"/>
    <w:rsid w:val="00BC2F17"/>
    <w:rsid w:val="00BC51CA"/>
    <w:rsid w:val="00BC6F3B"/>
    <w:rsid w:val="00BC79E2"/>
    <w:rsid w:val="00BC7C16"/>
    <w:rsid w:val="00BC7C22"/>
    <w:rsid w:val="00BC7E2A"/>
    <w:rsid w:val="00BD0560"/>
    <w:rsid w:val="00BD0BEB"/>
    <w:rsid w:val="00BD0E8D"/>
    <w:rsid w:val="00BD2182"/>
    <w:rsid w:val="00BD391D"/>
    <w:rsid w:val="00BD5247"/>
    <w:rsid w:val="00BD558A"/>
    <w:rsid w:val="00BD5D12"/>
    <w:rsid w:val="00BD5F7F"/>
    <w:rsid w:val="00BD6783"/>
    <w:rsid w:val="00BD6B34"/>
    <w:rsid w:val="00BD6E92"/>
    <w:rsid w:val="00BD741D"/>
    <w:rsid w:val="00BD7440"/>
    <w:rsid w:val="00BD7778"/>
    <w:rsid w:val="00BE0C83"/>
    <w:rsid w:val="00BE0DBF"/>
    <w:rsid w:val="00BE1DFA"/>
    <w:rsid w:val="00BE30BD"/>
    <w:rsid w:val="00BE368C"/>
    <w:rsid w:val="00BE4119"/>
    <w:rsid w:val="00BE5B49"/>
    <w:rsid w:val="00BE64D2"/>
    <w:rsid w:val="00BE6FDF"/>
    <w:rsid w:val="00BE7148"/>
    <w:rsid w:val="00BE7509"/>
    <w:rsid w:val="00BE78F8"/>
    <w:rsid w:val="00BE7962"/>
    <w:rsid w:val="00BE7C10"/>
    <w:rsid w:val="00BE7D2E"/>
    <w:rsid w:val="00BE7ECB"/>
    <w:rsid w:val="00BF0996"/>
    <w:rsid w:val="00BF0ED4"/>
    <w:rsid w:val="00BF1687"/>
    <w:rsid w:val="00BF1D82"/>
    <w:rsid w:val="00BF1E9F"/>
    <w:rsid w:val="00BF1F2D"/>
    <w:rsid w:val="00BF2617"/>
    <w:rsid w:val="00BF29C7"/>
    <w:rsid w:val="00BF2CE2"/>
    <w:rsid w:val="00BF3221"/>
    <w:rsid w:val="00BF3541"/>
    <w:rsid w:val="00BF4E00"/>
    <w:rsid w:val="00BF522F"/>
    <w:rsid w:val="00BF64AD"/>
    <w:rsid w:val="00BF7098"/>
    <w:rsid w:val="00BF768B"/>
    <w:rsid w:val="00C003E7"/>
    <w:rsid w:val="00C00BE3"/>
    <w:rsid w:val="00C0118C"/>
    <w:rsid w:val="00C0153B"/>
    <w:rsid w:val="00C01657"/>
    <w:rsid w:val="00C0201E"/>
    <w:rsid w:val="00C0227F"/>
    <w:rsid w:val="00C02406"/>
    <w:rsid w:val="00C027B8"/>
    <w:rsid w:val="00C02A60"/>
    <w:rsid w:val="00C02EEC"/>
    <w:rsid w:val="00C0358D"/>
    <w:rsid w:val="00C03B1A"/>
    <w:rsid w:val="00C042F0"/>
    <w:rsid w:val="00C04DBA"/>
    <w:rsid w:val="00C05184"/>
    <w:rsid w:val="00C0524A"/>
    <w:rsid w:val="00C05281"/>
    <w:rsid w:val="00C05868"/>
    <w:rsid w:val="00C06D14"/>
    <w:rsid w:val="00C06DC2"/>
    <w:rsid w:val="00C103E2"/>
    <w:rsid w:val="00C108FF"/>
    <w:rsid w:val="00C10DC4"/>
    <w:rsid w:val="00C10E06"/>
    <w:rsid w:val="00C11F55"/>
    <w:rsid w:val="00C127D4"/>
    <w:rsid w:val="00C12871"/>
    <w:rsid w:val="00C1308A"/>
    <w:rsid w:val="00C13376"/>
    <w:rsid w:val="00C13D77"/>
    <w:rsid w:val="00C1449E"/>
    <w:rsid w:val="00C14619"/>
    <w:rsid w:val="00C158EE"/>
    <w:rsid w:val="00C165D7"/>
    <w:rsid w:val="00C16E67"/>
    <w:rsid w:val="00C17508"/>
    <w:rsid w:val="00C179B5"/>
    <w:rsid w:val="00C17AEA"/>
    <w:rsid w:val="00C20179"/>
    <w:rsid w:val="00C21497"/>
    <w:rsid w:val="00C21BEA"/>
    <w:rsid w:val="00C23008"/>
    <w:rsid w:val="00C2344D"/>
    <w:rsid w:val="00C23893"/>
    <w:rsid w:val="00C23B92"/>
    <w:rsid w:val="00C247A0"/>
    <w:rsid w:val="00C24C35"/>
    <w:rsid w:val="00C25289"/>
    <w:rsid w:val="00C2757E"/>
    <w:rsid w:val="00C30AF5"/>
    <w:rsid w:val="00C3116E"/>
    <w:rsid w:val="00C31AE9"/>
    <w:rsid w:val="00C31D5B"/>
    <w:rsid w:val="00C33275"/>
    <w:rsid w:val="00C33716"/>
    <w:rsid w:val="00C339AA"/>
    <w:rsid w:val="00C3485B"/>
    <w:rsid w:val="00C3611E"/>
    <w:rsid w:val="00C36500"/>
    <w:rsid w:val="00C3652F"/>
    <w:rsid w:val="00C37216"/>
    <w:rsid w:val="00C40569"/>
    <w:rsid w:val="00C40880"/>
    <w:rsid w:val="00C40E97"/>
    <w:rsid w:val="00C41705"/>
    <w:rsid w:val="00C42253"/>
    <w:rsid w:val="00C42C1F"/>
    <w:rsid w:val="00C4351D"/>
    <w:rsid w:val="00C4396A"/>
    <w:rsid w:val="00C449B3"/>
    <w:rsid w:val="00C44E7B"/>
    <w:rsid w:val="00C46CD5"/>
    <w:rsid w:val="00C47F7B"/>
    <w:rsid w:val="00C527A7"/>
    <w:rsid w:val="00C53338"/>
    <w:rsid w:val="00C53906"/>
    <w:rsid w:val="00C53A59"/>
    <w:rsid w:val="00C53BC0"/>
    <w:rsid w:val="00C54A8B"/>
    <w:rsid w:val="00C55F12"/>
    <w:rsid w:val="00C55F56"/>
    <w:rsid w:val="00C55FC4"/>
    <w:rsid w:val="00C562FA"/>
    <w:rsid w:val="00C5639B"/>
    <w:rsid w:val="00C5662C"/>
    <w:rsid w:val="00C57001"/>
    <w:rsid w:val="00C57972"/>
    <w:rsid w:val="00C57C2D"/>
    <w:rsid w:val="00C60586"/>
    <w:rsid w:val="00C6095F"/>
    <w:rsid w:val="00C60F40"/>
    <w:rsid w:val="00C62844"/>
    <w:rsid w:val="00C62A42"/>
    <w:rsid w:val="00C6469D"/>
    <w:rsid w:val="00C65916"/>
    <w:rsid w:val="00C67B18"/>
    <w:rsid w:val="00C71307"/>
    <w:rsid w:val="00C71631"/>
    <w:rsid w:val="00C72B8E"/>
    <w:rsid w:val="00C72DEC"/>
    <w:rsid w:val="00C73074"/>
    <w:rsid w:val="00C74275"/>
    <w:rsid w:val="00C75035"/>
    <w:rsid w:val="00C75405"/>
    <w:rsid w:val="00C76D48"/>
    <w:rsid w:val="00C76FC0"/>
    <w:rsid w:val="00C77716"/>
    <w:rsid w:val="00C777A1"/>
    <w:rsid w:val="00C8014B"/>
    <w:rsid w:val="00C80A74"/>
    <w:rsid w:val="00C81103"/>
    <w:rsid w:val="00C812B3"/>
    <w:rsid w:val="00C8298A"/>
    <w:rsid w:val="00C82FE5"/>
    <w:rsid w:val="00C8303A"/>
    <w:rsid w:val="00C83D5F"/>
    <w:rsid w:val="00C846C2"/>
    <w:rsid w:val="00C84ED1"/>
    <w:rsid w:val="00C85103"/>
    <w:rsid w:val="00C854A5"/>
    <w:rsid w:val="00C85DEB"/>
    <w:rsid w:val="00C86DD6"/>
    <w:rsid w:val="00C87801"/>
    <w:rsid w:val="00C902A9"/>
    <w:rsid w:val="00C902FD"/>
    <w:rsid w:val="00C90E05"/>
    <w:rsid w:val="00C91FC8"/>
    <w:rsid w:val="00C9201E"/>
    <w:rsid w:val="00C92670"/>
    <w:rsid w:val="00C933A9"/>
    <w:rsid w:val="00C952D2"/>
    <w:rsid w:val="00C95B6F"/>
    <w:rsid w:val="00C95F5A"/>
    <w:rsid w:val="00C96024"/>
    <w:rsid w:val="00C96324"/>
    <w:rsid w:val="00C9647D"/>
    <w:rsid w:val="00C974D0"/>
    <w:rsid w:val="00C97A9E"/>
    <w:rsid w:val="00CA1F14"/>
    <w:rsid w:val="00CA2D6E"/>
    <w:rsid w:val="00CA3723"/>
    <w:rsid w:val="00CA431C"/>
    <w:rsid w:val="00CA4CC5"/>
    <w:rsid w:val="00CA58D8"/>
    <w:rsid w:val="00CA59E3"/>
    <w:rsid w:val="00CA69B8"/>
    <w:rsid w:val="00CA7C00"/>
    <w:rsid w:val="00CB2203"/>
    <w:rsid w:val="00CB254F"/>
    <w:rsid w:val="00CB2B36"/>
    <w:rsid w:val="00CB35A1"/>
    <w:rsid w:val="00CB3B03"/>
    <w:rsid w:val="00CB400B"/>
    <w:rsid w:val="00CB42EA"/>
    <w:rsid w:val="00CB56ED"/>
    <w:rsid w:val="00CB5A19"/>
    <w:rsid w:val="00CB5E40"/>
    <w:rsid w:val="00CB6BA0"/>
    <w:rsid w:val="00CB6E86"/>
    <w:rsid w:val="00CB7004"/>
    <w:rsid w:val="00CB714D"/>
    <w:rsid w:val="00CB73CA"/>
    <w:rsid w:val="00CB76EA"/>
    <w:rsid w:val="00CC0142"/>
    <w:rsid w:val="00CC1459"/>
    <w:rsid w:val="00CC16FA"/>
    <w:rsid w:val="00CC2035"/>
    <w:rsid w:val="00CC2F20"/>
    <w:rsid w:val="00CC3420"/>
    <w:rsid w:val="00CC3EA3"/>
    <w:rsid w:val="00CC4708"/>
    <w:rsid w:val="00CC4AC0"/>
    <w:rsid w:val="00CC4AFA"/>
    <w:rsid w:val="00CC5106"/>
    <w:rsid w:val="00CC5B1E"/>
    <w:rsid w:val="00CC5E95"/>
    <w:rsid w:val="00CC66EE"/>
    <w:rsid w:val="00CD093D"/>
    <w:rsid w:val="00CD0AE6"/>
    <w:rsid w:val="00CD0D4F"/>
    <w:rsid w:val="00CD159C"/>
    <w:rsid w:val="00CD1856"/>
    <w:rsid w:val="00CD1904"/>
    <w:rsid w:val="00CD488D"/>
    <w:rsid w:val="00CD4D72"/>
    <w:rsid w:val="00CD6A23"/>
    <w:rsid w:val="00CD6C5A"/>
    <w:rsid w:val="00CD740C"/>
    <w:rsid w:val="00CD7A6C"/>
    <w:rsid w:val="00CD7EB4"/>
    <w:rsid w:val="00CE0563"/>
    <w:rsid w:val="00CE195D"/>
    <w:rsid w:val="00CE1CB4"/>
    <w:rsid w:val="00CE1E35"/>
    <w:rsid w:val="00CE3C0B"/>
    <w:rsid w:val="00CE3EC0"/>
    <w:rsid w:val="00CE44B5"/>
    <w:rsid w:val="00CE45DE"/>
    <w:rsid w:val="00CE4EC4"/>
    <w:rsid w:val="00CE74A2"/>
    <w:rsid w:val="00CE7592"/>
    <w:rsid w:val="00CE788A"/>
    <w:rsid w:val="00CF02C9"/>
    <w:rsid w:val="00CF1460"/>
    <w:rsid w:val="00CF1C2B"/>
    <w:rsid w:val="00CF2AB7"/>
    <w:rsid w:val="00CF3AB3"/>
    <w:rsid w:val="00CF3E70"/>
    <w:rsid w:val="00CF4FD3"/>
    <w:rsid w:val="00CF5407"/>
    <w:rsid w:val="00CF549A"/>
    <w:rsid w:val="00CF5A02"/>
    <w:rsid w:val="00CF5D79"/>
    <w:rsid w:val="00CF5DEA"/>
    <w:rsid w:val="00CF7177"/>
    <w:rsid w:val="00CF72B0"/>
    <w:rsid w:val="00D000AD"/>
    <w:rsid w:val="00D00171"/>
    <w:rsid w:val="00D0039D"/>
    <w:rsid w:val="00D00CD9"/>
    <w:rsid w:val="00D01B45"/>
    <w:rsid w:val="00D0203C"/>
    <w:rsid w:val="00D02D9A"/>
    <w:rsid w:val="00D031C6"/>
    <w:rsid w:val="00D039F6"/>
    <w:rsid w:val="00D043B5"/>
    <w:rsid w:val="00D052C6"/>
    <w:rsid w:val="00D05769"/>
    <w:rsid w:val="00D05FF3"/>
    <w:rsid w:val="00D06345"/>
    <w:rsid w:val="00D06AF2"/>
    <w:rsid w:val="00D07095"/>
    <w:rsid w:val="00D10A24"/>
    <w:rsid w:val="00D10BB1"/>
    <w:rsid w:val="00D1161F"/>
    <w:rsid w:val="00D135CC"/>
    <w:rsid w:val="00D1375C"/>
    <w:rsid w:val="00D1377C"/>
    <w:rsid w:val="00D1384E"/>
    <w:rsid w:val="00D14BE6"/>
    <w:rsid w:val="00D14F7E"/>
    <w:rsid w:val="00D15273"/>
    <w:rsid w:val="00D158F3"/>
    <w:rsid w:val="00D17268"/>
    <w:rsid w:val="00D174F8"/>
    <w:rsid w:val="00D17791"/>
    <w:rsid w:val="00D21187"/>
    <w:rsid w:val="00D21F86"/>
    <w:rsid w:val="00D22A8A"/>
    <w:rsid w:val="00D22D4A"/>
    <w:rsid w:val="00D24531"/>
    <w:rsid w:val="00D245E8"/>
    <w:rsid w:val="00D24EFC"/>
    <w:rsid w:val="00D25FE4"/>
    <w:rsid w:val="00D26BA0"/>
    <w:rsid w:val="00D26D58"/>
    <w:rsid w:val="00D26F51"/>
    <w:rsid w:val="00D27042"/>
    <w:rsid w:val="00D27592"/>
    <w:rsid w:val="00D27FDE"/>
    <w:rsid w:val="00D301B1"/>
    <w:rsid w:val="00D30881"/>
    <w:rsid w:val="00D3101E"/>
    <w:rsid w:val="00D31321"/>
    <w:rsid w:val="00D31AA4"/>
    <w:rsid w:val="00D32013"/>
    <w:rsid w:val="00D32AF5"/>
    <w:rsid w:val="00D334C0"/>
    <w:rsid w:val="00D3372F"/>
    <w:rsid w:val="00D33913"/>
    <w:rsid w:val="00D33C58"/>
    <w:rsid w:val="00D34077"/>
    <w:rsid w:val="00D3444A"/>
    <w:rsid w:val="00D348FF"/>
    <w:rsid w:val="00D349A3"/>
    <w:rsid w:val="00D34AF7"/>
    <w:rsid w:val="00D34BCA"/>
    <w:rsid w:val="00D34D27"/>
    <w:rsid w:val="00D34EC8"/>
    <w:rsid w:val="00D35617"/>
    <w:rsid w:val="00D36D13"/>
    <w:rsid w:val="00D3752D"/>
    <w:rsid w:val="00D379F0"/>
    <w:rsid w:val="00D4076D"/>
    <w:rsid w:val="00D40DF8"/>
    <w:rsid w:val="00D414A2"/>
    <w:rsid w:val="00D41D8B"/>
    <w:rsid w:val="00D423DA"/>
    <w:rsid w:val="00D42479"/>
    <w:rsid w:val="00D429C9"/>
    <w:rsid w:val="00D4338E"/>
    <w:rsid w:val="00D433CB"/>
    <w:rsid w:val="00D4364F"/>
    <w:rsid w:val="00D4366F"/>
    <w:rsid w:val="00D43756"/>
    <w:rsid w:val="00D437A2"/>
    <w:rsid w:val="00D43E61"/>
    <w:rsid w:val="00D4409D"/>
    <w:rsid w:val="00D442C1"/>
    <w:rsid w:val="00D45F02"/>
    <w:rsid w:val="00D46F88"/>
    <w:rsid w:val="00D508D8"/>
    <w:rsid w:val="00D50A98"/>
    <w:rsid w:val="00D51476"/>
    <w:rsid w:val="00D54839"/>
    <w:rsid w:val="00D54A7A"/>
    <w:rsid w:val="00D551A0"/>
    <w:rsid w:val="00D55515"/>
    <w:rsid w:val="00D55DDA"/>
    <w:rsid w:val="00D570A4"/>
    <w:rsid w:val="00D570FA"/>
    <w:rsid w:val="00D5720C"/>
    <w:rsid w:val="00D5741F"/>
    <w:rsid w:val="00D57A1A"/>
    <w:rsid w:val="00D57A55"/>
    <w:rsid w:val="00D604C6"/>
    <w:rsid w:val="00D609FF"/>
    <w:rsid w:val="00D611A1"/>
    <w:rsid w:val="00D61EF8"/>
    <w:rsid w:val="00D62EED"/>
    <w:rsid w:val="00D62F7B"/>
    <w:rsid w:val="00D639F6"/>
    <w:rsid w:val="00D63AC7"/>
    <w:rsid w:val="00D648C8"/>
    <w:rsid w:val="00D64ABC"/>
    <w:rsid w:val="00D64F73"/>
    <w:rsid w:val="00D655FB"/>
    <w:rsid w:val="00D656D1"/>
    <w:rsid w:val="00D65D0D"/>
    <w:rsid w:val="00D67369"/>
    <w:rsid w:val="00D71E67"/>
    <w:rsid w:val="00D73816"/>
    <w:rsid w:val="00D74096"/>
    <w:rsid w:val="00D744E8"/>
    <w:rsid w:val="00D74641"/>
    <w:rsid w:val="00D74BCB"/>
    <w:rsid w:val="00D74C8F"/>
    <w:rsid w:val="00D75B04"/>
    <w:rsid w:val="00D75EBE"/>
    <w:rsid w:val="00D76581"/>
    <w:rsid w:val="00D773F1"/>
    <w:rsid w:val="00D81668"/>
    <w:rsid w:val="00D81D71"/>
    <w:rsid w:val="00D82ECF"/>
    <w:rsid w:val="00D84E3D"/>
    <w:rsid w:val="00D86057"/>
    <w:rsid w:val="00D873E3"/>
    <w:rsid w:val="00D9095D"/>
    <w:rsid w:val="00D90D3C"/>
    <w:rsid w:val="00D914F4"/>
    <w:rsid w:val="00D93167"/>
    <w:rsid w:val="00D93667"/>
    <w:rsid w:val="00D94D9C"/>
    <w:rsid w:val="00D95BE3"/>
    <w:rsid w:val="00D96916"/>
    <w:rsid w:val="00D97D2E"/>
    <w:rsid w:val="00DA1209"/>
    <w:rsid w:val="00DA124D"/>
    <w:rsid w:val="00DA24D7"/>
    <w:rsid w:val="00DA3356"/>
    <w:rsid w:val="00DA36EF"/>
    <w:rsid w:val="00DA3A2A"/>
    <w:rsid w:val="00DA412D"/>
    <w:rsid w:val="00DA51A0"/>
    <w:rsid w:val="00DA6BE9"/>
    <w:rsid w:val="00DA7466"/>
    <w:rsid w:val="00DB0E62"/>
    <w:rsid w:val="00DB113C"/>
    <w:rsid w:val="00DB1252"/>
    <w:rsid w:val="00DB1C6B"/>
    <w:rsid w:val="00DB242A"/>
    <w:rsid w:val="00DB2ABA"/>
    <w:rsid w:val="00DB2DDB"/>
    <w:rsid w:val="00DB3782"/>
    <w:rsid w:val="00DB3929"/>
    <w:rsid w:val="00DB3F2B"/>
    <w:rsid w:val="00DB42FC"/>
    <w:rsid w:val="00DB5212"/>
    <w:rsid w:val="00DB6313"/>
    <w:rsid w:val="00DB7294"/>
    <w:rsid w:val="00DB75FF"/>
    <w:rsid w:val="00DC048A"/>
    <w:rsid w:val="00DC0664"/>
    <w:rsid w:val="00DC0714"/>
    <w:rsid w:val="00DC2313"/>
    <w:rsid w:val="00DC2C62"/>
    <w:rsid w:val="00DC47F6"/>
    <w:rsid w:val="00DC482D"/>
    <w:rsid w:val="00DC4DDB"/>
    <w:rsid w:val="00DC4E0E"/>
    <w:rsid w:val="00DC548E"/>
    <w:rsid w:val="00DC5975"/>
    <w:rsid w:val="00DC59EF"/>
    <w:rsid w:val="00DC5E3E"/>
    <w:rsid w:val="00DC6394"/>
    <w:rsid w:val="00DC7950"/>
    <w:rsid w:val="00DC796F"/>
    <w:rsid w:val="00DD1300"/>
    <w:rsid w:val="00DD169F"/>
    <w:rsid w:val="00DD1FC5"/>
    <w:rsid w:val="00DD213E"/>
    <w:rsid w:val="00DD236D"/>
    <w:rsid w:val="00DD2934"/>
    <w:rsid w:val="00DD2D54"/>
    <w:rsid w:val="00DD306F"/>
    <w:rsid w:val="00DD36CC"/>
    <w:rsid w:val="00DD415F"/>
    <w:rsid w:val="00DD58B7"/>
    <w:rsid w:val="00DD591D"/>
    <w:rsid w:val="00DD6076"/>
    <w:rsid w:val="00DD708D"/>
    <w:rsid w:val="00DD79D4"/>
    <w:rsid w:val="00DD7DC5"/>
    <w:rsid w:val="00DE015B"/>
    <w:rsid w:val="00DE048C"/>
    <w:rsid w:val="00DE11BE"/>
    <w:rsid w:val="00DE138B"/>
    <w:rsid w:val="00DE1600"/>
    <w:rsid w:val="00DE1685"/>
    <w:rsid w:val="00DE16AF"/>
    <w:rsid w:val="00DE181C"/>
    <w:rsid w:val="00DE1BA0"/>
    <w:rsid w:val="00DE256C"/>
    <w:rsid w:val="00DE25E4"/>
    <w:rsid w:val="00DE2A82"/>
    <w:rsid w:val="00DE2AAF"/>
    <w:rsid w:val="00DE3179"/>
    <w:rsid w:val="00DE4532"/>
    <w:rsid w:val="00DE4680"/>
    <w:rsid w:val="00DE4779"/>
    <w:rsid w:val="00DE47A8"/>
    <w:rsid w:val="00DE4BD8"/>
    <w:rsid w:val="00DE5496"/>
    <w:rsid w:val="00DE7377"/>
    <w:rsid w:val="00DF0BFC"/>
    <w:rsid w:val="00DF2085"/>
    <w:rsid w:val="00DF2AA7"/>
    <w:rsid w:val="00DF3C0A"/>
    <w:rsid w:val="00DF41CF"/>
    <w:rsid w:val="00DF4850"/>
    <w:rsid w:val="00DF5C6F"/>
    <w:rsid w:val="00DF6D11"/>
    <w:rsid w:val="00DF7E24"/>
    <w:rsid w:val="00E0086E"/>
    <w:rsid w:val="00E0126C"/>
    <w:rsid w:val="00E01C17"/>
    <w:rsid w:val="00E01F96"/>
    <w:rsid w:val="00E02071"/>
    <w:rsid w:val="00E02086"/>
    <w:rsid w:val="00E0213D"/>
    <w:rsid w:val="00E03B1A"/>
    <w:rsid w:val="00E03E27"/>
    <w:rsid w:val="00E04537"/>
    <w:rsid w:val="00E04840"/>
    <w:rsid w:val="00E05495"/>
    <w:rsid w:val="00E0639B"/>
    <w:rsid w:val="00E0687F"/>
    <w:rsid w:val="00E0741F"/>
    <w:rsid w:val="00E07712"/>
    <w:rsid w:val="00E07EF1"/>
    <w:rsid w:val="00E10186"/>
    <w:rsid w:val="00E10275"/>
    <w:rsid w:val="00E1031B"/>
    <w:rsid w:val="00E104C6"/>
    <w:rsid w:val="00E10EEA"/>
    <w:rsid w:val="00E11105"/>
    <w:rsid w:val="00E11847"/>
    <w:rsid w:val="00E11C20"/>
    <w:rsid w:val="00E11F11"/>
    <w:rsid w:val="00E13ABF"/>
    <w:rsid w:val="00E1458A"/>
    <w:rsid w:val="00E15539"/>
    <w:rsid w:val="00E1647F"/>
    <w:rsid w:val="00E16B71"/>
    <w:rsid w:val="00E16E6A"/>
    <w:rsid w:val="00E17300"/>
    <w:rsid w:val="00E20A96"/>
    <w:rsid w:val="00E2108F"/>
    <w:rsid w:val="00E214AA"/>
    <w:rsid w:val="00E21916"/>
    <w:rsid w:val="00E227E5"/>
    <w:rsid w:val="00E229CC"/>
    <w:rsid w:val="00E22EC5"/>
    <w:rsid w:val="00E22F40"/>
    <w:rsid w:val="00E23458"/>
    <w:rsid w:val="00E23A49"/>
    <w:rsid w:val="00E23A97"/>
    <w:rsid w:val="00E2410C"/>
    <w:rsid w:val="00E24315"/>
    <w:rsid w:val="00E247CD"/>
    <w:rsid w:val="00E2671B"/>
    <w:rsid w:val="00E26FA1"/>
    <w:rsid w:val="00E27CAF"/>
    <w:rsid w:val="00E27F7E"/>
    <w:rsid w:val="00E32197"/>
    <w:rsid w:val="00E327E4"/>
    <w:rsid w:val="00E32BD2"/>
    <w:rsid w:val="00E33050"/>
    <w:rsid w:val="00E33494"/>
    <w:rsid w:val="00E3382A"/>
    <w:rsid w:val="00E33BCC"/>
    <w:rsid w:val="00E347C3"/>
    <w:rsid w:val="00E35ACA"/>
    <w:rsid w:val="00E3634D"/>
    <w:rsid w:val="00E37280"/>
    <w:rsid w:val="00E37547"/>
    <w:rsid w:val="00E3765E"/>
    <w:rsid w:val="00E37F74"/>
    <w:rsid w:val="00E40E44"/>
    <w:rsid w:val="00E413C3"/>
    <w:rsid w:val="00E41CD6"/>
    <w:rsid w:val="00E42B34"/>
    <w:rsid w:val="00E42F4A"/>
    <w:rsid w:val="00E4362B"/>
    <w:rsid w:val="00E43AE1"/>
    <w:rsid w:val="00E4469A"/>
    <w:rsid w:val="00E453F0"/>
    <w:rsid w:val="00E4551B"/>
    <w:rsid w:val="00E45972"/>
    <w:rsid w:val="00E461D0"/>
    <w:rsid w:val="00E4644B"/>
    <w:rsid w:val="00E4647F"/>
    <w:rsid w:val="00E465E3"/>
    <w:rsid w:val="00E468B2"/>
    <w:rsid w:val="00E46AAA"/>
    <w:rsid w:val="00E47059"/>
    <w:rsid w:val="00E47F83"/>
    <w:rsid w:val="00E5104C"/>
    <w:rsid w:val="00E51B6E"/>
    <w:rsid w:val="00E52135"/>
    <w:rsid w:val="00E525E7"/>
    <w:rsid w:val="00E543AE"/>
    <w:rsid w:val="00E544D6"/>
    <w:rsid w:val="00E54519"/>
    <w:rsid w:val="00E54D2C"/>
    <w:rsid w:val="00E558E4"/>
    <w:rsid w:val="00E55EAB"/>
    <w:rsid w:val="00E56D4E"/>
    <w:rsid w:val="00E573E8"/>
    <w:rsid w:val="00E57636"/>
    <w:rsid w:val="00E6065E"/>
    <w:rsid w:val="00E614D6"/>
    <w:rsid w:val="00E623A2"/>
    <w:rsid w:val="00E628D3"/>
    <w:rsid w:val="00E62AED"/>
    <w:rsid w:val="00E630F4"/>
    <w:rsid w:val="00E637E3"/>
    <w:rsid w:val="00E638A0"/>
    <w:rsid w:val="00E63FB9"/>
    <w:rsid w:val="00E6430D"/>
    <w:rsid w:val="00E6487A"/>
    <w:rsid w:val="00E64BDC"/>
    <w:rsid w:val="00E64D49"/>
    <w:rsid w:val="00E64F0C"/>
    <w:rsid w:val="00E65CE4"/>
    <w:rsid w:val="00E66019"/>
    <w:rsid w:val="00E66159"/>
    <w:rsid w:val="00E6644A"/>
    <w:rsid w:val="00E67034"/>
    <w:rsid w:val="00E6726D"/>
    <w:rsid w:val="00E67D40"/>
    <w:rsid w:val="00E7029E"/>
    <w:rsid w:val="00E706A6"/>
    <w:rsid w:val="00E707B8"/>
    <w:rsid w:val="00E708BB"/>
    <w:rsid w:val="00E729C0"/>
    <w:rsid w:val="00E737A5"/>
    <w:rsid w:val="00E73B2B"/>
    <w:rsid w:val="00E74201"/>
    <w:rsid w:val="00E74391"/>
    <w:rsid w:val="00E74AE8"/>
    <w:rsid w:val="00E74B22"/>
    <w:rsid w:val="00E75540"/>
    <w:rsid w:val="00E75C57"/>
    <w:rsid w:val="00E76093"/>
    <w:rsid w:val="00E76855"/>
    <w:rsid w:val="00E76856"/>
    <w:rsid w:val="00E768D9"/>
    <w:rsid w:val="00E772E8"/>
    <w:rsid w:val="00E815C9"/>
    <w:rsid w:val="00E81D87"/>
    <w:rsid w:val="00E824EC"/>
    <w:rsid w:val="00E826DA"/>
    <w:rsid w:val="00E84892"/>
    <w:rsid w:val="00E84E04"/>
    <w:rsid w:val="00E85571"/>
    <w:rsid w:val="00E85B64"/>
    <w:rsid w:val="00E85D2A"/>
    <w:rsid w:val="00E86318"/>
    <w:rsid w:val="00E866B6"/>
    <w:rsid w:val="00E872A7"/>
    <w:rsid w:val="00E87A46"/>
    <w:rsid w:val="00E9014C"/>
    <w:rsid w:val="00E90373"/>
    <w:rsid w:val="00E91039"/>
    <w:rsid w:val="00E9159B"/>
    <w:rsid w:val="00E91BDB"/>
    <w:rsid w:val="00E92D68"/>
    <w:rsid w:val="00E92E7B"/>
    <w:rsid w:val="00E92EEC"/>
    <w:rsid w:val="00E937B4"/>
    <w:rsid w:val="00E9424B"/>
    <w:rsid w:val="00E949DB"/>
    <w:rsid w:val="00E94AA5"/>
    <w:rsid w:val="00E9572E"/>
    <w:rsid w:val="00E959DE"/>
    <w:rsid w:val="00E95C97"/>
    <w:rsid w:val="00E96B65"/>
    <w:rsid w:val="00E974E2"/>
    <w:rsid w:val="00E97C95"/>
    <w:rsid w:val="00EA038E"/>
    <w:rsid w:val="00EA0A02"/>
    <w:rsid w:val="00EA0FB4"/>
    <w:rsid w:val="00EA12A2"/>
    <w:rsid w:val="00EA19F9"/>
    <w:rsid w:val="00EA1DBE"/>
    <w:rsid w:val="00EA322D"/>
    <w:rsid w:val="00EA3686"/>
    <w:rsid w:val="00EA40AB"/>
    <w:rsid w:val="00EA4908"/>
    <w:rsid w:val="00EA5203"/>
    <w:rsid w:val="00EA5264"/>
    <w:rsid w:val="00EA55BD"/>
    <w:rsid w:val="00EA70E4"/>
    <w:rsid w:val="00EA729A"/>
    <w:rsid w:val="00EA7ECD"/>
    <w:rsid w:val="00EB0530"/>
    <w:rsid w:val="00EB110B"/>
    <w:rsid w:val="00EB12D9"/>
    <w:rsid w:val="00EB1B0B"/>
    <w:rsid w:val="00EB1EDB"/>
    <w:rsid w:val="00EB25BB"/>
    <w:rsid w:val="00EB25DE"/>
    <w:rsid w:val="00EB2B43"/>
    <w:rsid w:val="00EB31A7"/>
    <w:rsid w:val="00EB35D7"/>
    <w:rsid w:val="00EB3733"/>
    <w:rsid w:val="00EB56AB"/>
    <w:rsid w:val="00EB7760"/>
    <w:rsid w:val="00EB7C26"/>
    <w:rsid w:val="00EB7ECA"/>
    <w:rsid w:val="00EC1225"/>
    <w:rsid w:val="00EC1769"/>
    <w:rsid w:val="00EC1D37"/>
    <w:rsid w:val="00EC275B"/>
    <w:rsid w:val="00EC3219"/>
    <w:rsid w:val="00EC353B"/>
    <w:rsid w:val="00EC35F0"/>
    <w:rsid w:val="00EC3B00"/>
    <w:rsid w:val="00EC3C1C"/>
    <w:rsid w:val="00EC421E"/>
    <w:rsid w:val="00EC422C"/>
    <w:rsid w:val="00EC4840"/>
    <w:rsid w:val="00EC4B17"/>
    <w:rsid w:val="00EC5909"/>
    <w:rsid w:val="00EC6333"/>
    <w:rsid w:val="00EC6BBD"/>
    <w:rsid w:val="00EC6DF8"/>
    <w:rsid w:val="00EC7088"/>
    <w:rsid w:val="00EC7D22"/>
    <w:rsid w:val="00ED03B3"/>
    <w:rsid w:val="00ED0D17"/>
    <w:rsid w:val="00ED1311"/>
    <w:rsid w:val="00ED171E"/>
    <w:rsid w:val="00ED19C0"/>
    <w:rsid w:val="00ED25AF"/>
    <w:rsid w:val="00ED3AC2"/>
    <w:rsid w:val="00ED5205"/>
    <w:rsid w:val="00ED5BA8"/>
    <w:rsid w:val="00ED5C4E"/>
    <w:rsid w:val="00ED622A"/>
    <w:rsid w:val="00ED6286"/>
    <w:rsid w:val="00ED6E4B"/>
    <w:rsid w:val="00ED755A"/>
    <w:rsid w:val="00ED7705"/>
    <w:rsid w:val="00EE04F6"/>
    <w:rsid w:val="00EE09AD"/>
    <w:rsid w:val="00EE10FB"/>
    <w:rsid w:val="00EE26A2"/>
    <w:rsid w:val="00EE2EE7"/>
    <w:rsid w:val="00EE3351"/>
    <w:rsid w:val="00EE35BB"/>
    <w:rsid w:val="00EE3619"/>
    <w:rsid w:val="00EE3834"/>
    <w:rsid w:val="00EE3D28"/>
    <w:rsid w:val="00EE6142"/>
    <w:rsid w:val="00EE6CC0"/>
    <w:rsid w:val="00EE6D50"/>
    <w:rsid w:val="00EE797D"/>
    <w:rsid w:val="00EE7F7B"/>
    <w:rsid w:val="00EF1251"/>
    <w:rsid w:val="00EF1C8C"/>
    <w:rsid w:val="00EF231C"/>
    <w:rsid w:val="00EF2ACD"/>
    <w:rsid w:val="00EF3A26"/>
    <w:rsid w:val="00EF3F34"/>
    <w:rsid w:val="00EF54F4"/>
    <w:rsid w:val="00EF59DE"/>
    <w:rsid w:val="00EF5D88"/>
    <w:rsid w:val="00EF5FC9"/>
    <w:rsid w:val="00EF6B1E"/>
    <w:rsid w:val="00EF74D5"/>
    <w:rsid w:val="00EF7D20"/>
    <w:rsid w:val="00EF7D82"/>
    <w:rsid w:val="00F01358"/>
    <w:rsid w:val="00F01463"/>
    <w:rsid w:val="00F025BA"/>
    <w:rsid w:val="00F02FC2"/>
    <w:rsid w:val="00F03499"/>
    <w:rsid w:val="00F0571B"/>
    <w:rsid w:val="00F06B1C"/>
    <w:rsid w:val="00F073FB"/>
    <w:rsid w:val="00F07ED6"/>
    <w:rsid w:val="00F11669"/>
    <w:rsid w:val="00F1189C"/>
    <w:rsid w:val="00F1258D"/>
    <w:rsid w:val="00F1329D"/>
    <w:rsid w:val="00F14320"/>
    <w:rsid w:val="00F14B54"/>
    <w:rsid w:val="00F14E3E"/>
    <w:rsid w:val="00F14F64"/>
    <w:rsid w:val="00F15301"/>
    <w:rsid w:val="00F1589E"/>
    <w:rsid w:val="00F158EF"/>
    <w:rsid w:val="00F15D74"/>
    <w:rsid w:val="00F15E50"/>
    <w:rsid w:val="00F16205"/>
    <w:rsid w:val="00F1625E"/>
    <w:rsid w:val="00F16558"/>
    <w:rsid w:val="00F16ADA"/>
    <w:rsid w:val="00F2020C"/>
    <w:rsid w:val="00F2072C"/>
    <w:rsid w:val="00F20853"/>
    <w:rsid w:val="00F20FE3"/>
    <w:rsid w:val="00F214F6"/>
    <w:rsid w:val="00F21FEC"/>
    <w:rsid w:val="00F2207E"/>
    <w:rsid w:val="00F22D25"/>
    <w:rsid w:val="00F24365"/>
    <w:rsid w:val="00F243E6"/>
    <w:rsid w:val="00F25297"/>
    <w:rsid w:val="00F2541D"/>
    <w:rsid w:val="00F2552E"/>
    <w:rsid w:val="00F264A0"/>
    <w:rsid w:val="00F276B6"/>
    <w:rsid w:val="00F30908"/>
    <w:rsid w:val="00F3091A"/>
    <w:rsid w:val="00F30C63"/>
    <w:rsid w:val="00F30DCA"/>
    <w:rsid w:val="00F32058"/>
    <w:rsid w:val="00F320B1"/>
    <w:rsid w:val="00F32115"/>
    <w:rsid w:val="00F321E7"/>
    <w:rsid w:val="00F321EE"/>
    <w:rsid w:val="00F32D73"/>
    <w:rsid w:val="00F32F63"/>
    <w:rsid w:val="00F33217"/>
    <w:rsid w:val="00F3344A"/>
    <w:rsid w:val="00F34548"/>
    <w:rsid w:val="00F350E0"/>
    <w:rsid w:val="00F355E5"/>
    <w:rsid w:val="00F35CD0"/>
    <w:rsid w:val="00F35D1C"/>
    <w:rsid w:val="00F36F13"/>
    <w:rsid w:val="00F36FDF"/>
    <w:rsid w:val="00F37025"/>
    <w:rsid w:val="00F377F2"/>
    <w:rsid w:val="00F37BED"/>
    <w:rsid w:val="00F37EDE"/>
    <w:rsid w:val="00F37F1D"/>
    <w:rsid w:val="00F41235"/>
    <w:rsid w:val="00F41D94"/>
    <w:rsid w:val="00F41FA1"/>
    <w:rsid w:val="00F4282D"/>
    <w:rsid w:val="00F4293C"/>
    <w:rsid w:val="00F4337F"/>
    <w:rsid w:val="00F44A06"/>
    <w:rsid w:val="00F44CC3"/>
    <w:rsid w:val="00F44FB0"/>
    <w:rsid w:val="00F45AD9"/>
    <w:rsid w:val="00F460F2"/>
    <w:rsid w:val="00F46819"/>
    <w:rsid w:val="00F47988"/>
    <w:rsid w:val="00F47EA6"/>
    <w:rsid w:val="00F50FAF"/>
    <w:rsid w:val="00F510BF"/>
    <w:rsid w:val="00F521EF"/>
    <w:rsid w:val="00F5266D"/>
    <w:rsid w:val="00F52E4A"/>
    <w:rsid w:val="00F53443"/>
    <w:rsid w:val="00F54CD7"/>
    <w:rsid w:val="00F54E2E"/>
    <w:rsid w:val="00F55362"/>
    <w:rsid w:val="00F554C0"/>
    <w:rsid w:val="00F5555A"/>
    <w:rsid w:val="00F55BB6"/>
    <w:rsid w:val="00F56627"/>
    <w:rsid w:val="00F579B3"/>
    <w:rsid w:val="00F57C35"/>
    <w:rsid w:val="00F57C65"/>
    <w:rsid w:val="00F60AC8"/>
    <w:rsid w:val="00F610F7"/>
    <w:rsid w:val="00F62784"/>
    <w:rsid w:val="00F62D77"/>
    <w:rsid w:val="00F630D3"/>
    <w:rsid w:val="00F6319D"/>
    <w:rsid w:val="00F64C0D"/>
    <w:rsid w:val="00F64D7C"/>
    <w:rsid w:val="00F65295"/>
    <w:rsid w:val="00F65AE3"/>
    <w:rsid w:val="00F702F2"/>
    <w:rsid w:val="00F706EC"/>
    <w:rsid w:val="00F73A13"/>
    <w:rsid w:val="00F7422E"/>
    <w:rsid w:val="00F748C5"/>
    <w:rsid w:val="00F748E6"/>
    <w:rsid w:val="00F74F76"/>
    <w:rsid w:val="00F75299"/>
    <w:rsid w:val="00F753F2"/>
    <w:rsid w:val="00F757FD"/>
    <w:rsid w:val="00F76B98"/>
    <w:rsid w:val="00F76F04"/>
    <w:rsid w:val="00F76FCF"/>
    <w:rsid w:val="00F77C69"/>
    <w:rsid w:val="00F80F46"/>
    <w:rsid w:val="00F81320"/>
    <w:rsid w:val="00F813B4"/>
    <w:rsid w:val="00F814D3"/>
    <w:rsid w:val="00F815D1"/>
    <w:rsid w:val="00F8271F"/>
    <w:rsid w:val="00F82F29"/>
    <w:rsid w:val="00F8309A"/>
    <w:rsid w:val="00F83168"/>
    <w:rsid w:val="00F84513"/>
    <w:rsid w:val="00F84B23"/>
    <w:rsid w:val="00F85669"/>
    <w:rsid w:val="00F86145"/>
    <w:rsid w:val="00F8683E"/>
    <w:rsid w:val="00F869CB"/>
    <w:rsid w:val="00F87287"/>
    <w:rsid w:val="00F87C3E"/>
    <w:rsid w:val="00F90530"/>
    <w:rsid w:val="00F90983"/>
    <w:rsid w:val="00F90F90"/>
    <w:rsid w:val="00F91128"/>
    <w:rsid w:val="00F91356"/>
    <w:rsid w:val="00F913F7"/>
    <w:rsid w:val="00F91B0E"/>
    <w:rsid w:val="00F91E6C"/>
    <w:rsid w:val="00F92B27"/>
    <w:rsid w:val="00F93639"/>
    <w:rsid w:val="00F939AE"/>
    <w:rsid w:val="00F93E75"/>
    <w:rsid w:val="00F941B2"/>
    <w:rsid w:val="00F9425A"/>
    <w:rsid w:val="00F9436D"/>
    <w:rsid w:val="00F946AA"/>
    <w:rsid w:val="00F94D42"/>
    <w:rsid w:val="00F94F5B"/>
    <w:rsid w:val="00F94F71"/>
    <w:rsid w:val="00F954AE"/>
    <w:rsid w:val="00F959BF"/>
    <w:rsid w:val="00F95A1C"/>
    <w:rsid w:val="00F97157"/>
    <w:rsid w:val="00F973CB"/>
    <w:rsid w:val="00F97CCB"/>
    <w:rsid w:val="00F97ECF"/>
    <w:rsid w:val="00FA0487"/>
    <w:rsid w:val="00FA0855"/>
    <w:rsid w:val="00FA0F48"/>
    <w:rsid w:val="00FA1196"/>
    <w:rsid w:val="00FA1D49"/>
    <w:rsid w:val="00FA2049"/>
    <w:rsid w:val="00FA220F"/>
    <w:rsid w:val="00FA2427"/>
    <w:rsid w:val="00FA33BF"/>
    <w:rsid w:val="00FA385B"/>
    <w:rsid w:val="00FA3946"/>
    <w:rsid w:val="00FA3FCF"/>
    <w:rsid w:val="00FA4845"/>
    <w:rsid w:val="00FA4E0B"/>
    <w:rsid w:val="00FA6104"/>
    <w:rsid w:val="00FA6466"/>
    <w:rsid w:val="00FA74EB"/>
    <w:rsid w:val="00FA79DD"/>
    <w:rsid w:val="00FA7D0F"/>
    <w:rsid w:val="00FA7E95"/>
    <w:rsid w:val="00FB0C1D"/>
    <w:rsid w:val="00FB0E7C"/>
    <w:rsid w:val="00FB1C66"/>
    <w:rsid w:val="00FB2578"/>
    <w:rsid w:val="00FB289B"/>
    <w:rsid w:val="00FB2B26"/>
    <w:rsid w:val="00FB37E8"/>
    <w:rsid w:val="00FB429F"/>
    <w:rsid w:val="00FB440F"/>
    <w:rsid w:val="00FB47F6"/>
    <w:rsid w:val="00FB4D7A"/>
    <w:rsid w:val="00FB5235"/>
    <w:rsid w:val="00FB54C6"/>
    <w:rsid w:val="00FB5806"/>
    <w:rsid w:val="00FB6436"/>
    <w:rsid w:val="00FB6594"/>
    <w:rsid w:val="00FB6C51"/>
    <w:rsid w:val="00FB784F"/>
    <w:rsid w:val="00FC0076"/>
    <w:rsid w:val="00FC0BE1"/>
    <w:rsid w:val="00FC143A"/>
    <w:rsid w:val="00FC1669"/>
    <w:rsid w:val="00FC2B04"/>
    <w:rsid w:val="00FC2BAE"/>
    <w:rsid w:val="00FC35D3"/>
    <w:rsid w:val="00FC49DE"/>
    <w:rsid w:val="00FC4F5B"/>
    <w:rsid w:val="00FC753F"/>
    <w:rsid w:val="00FD0072"/>
    <w:rsid w:val="00FD0703"/>
    <w:rsid w:val="00FD0DC9"/>
    <w:rsid w:val="00FD1549"/>
    <w:rsid w:val="00FD16AA"/>
    <w:rsid w:val="00FD181D"/>
    <w:rsid w:val="00FD2507"/>
    <w:rsid w:val="00FD2A05"/>
    <w:rsid w:val="00FD35FF"/>
    <w:rsid w:val="00FD3AE6"/>
    <w:rsid w:val="00FD3CFB"/>
    <w:rsid w:val="00FD419B"/>
    <w:rsid w:val="00FD4343"/>
    <w:rsid w:val="00FD4B4E"/>
    <w:rsid w:val="00FD53A2"/>
    <w:rsid w:val="00FD5A9D"/>
    <w:rsid w:val="00FD5B7C"/>
    <w:rsid w:val="00FD71A9"/>
    <w:rsid w:val="00FD734A"/>
    <w:rsid w:val="00FD7566"/>
    <w:rsid w:val="00FD7694"/>
    <w:rsid w:val="00FE03D9"/>
    <w:rsid w:val="00FE06FF"/>
    <w:rsid w:val="00FE0AE5"/>
    <w:rsid w:val="00FE0B5B"/>
    <w:rsid w:val="00FE0D1F"/>
    <w:rsid w:val="00FE18D9"/>
    <w:rsid w:val="00FE1A59"/>
    <w:rsid w:val="00FE1DE2"/>
    <w:rsid w:val="00FE3C56"/>
    <w:rsid w:val="00FE5171"/>
    <w:rsid w:val="00FE5D42"/>
    <w:rsid w:val="00FE66EB"/>
    <w:rsid w:val="00FE6777"/>
    <w:rsid w:val="00FE755C"/>
    <w:rsid w:val="00FF0230"/>
    <w:rsid w:val="00FF02D8"/>
    <w:rsid w:val="00FF0D47"/>
    <w:rsid w:val="00FF0DBB"/>
    <w:rsid w:val="00FF0E3B"/>
    <w:rsid w:val="00FF125E"/>
    <w:rsid w:val="00FF15BC"/>
    <w:rsid w:val="00FF21FD"/>
    <w:rsid w:val="00FF30B8"/>
    <w:rsid w:val="00FF37A8"/>
    <w:rsid w:val="00FF3B04"/>
    <w:rsid w:val="00FF3CA9"/>
    <w:rsid w:val="00FF4724"/>
    <w:rsid w:val="00FF4912"/>
    <w:rsid w:val="00FF4BC5"/>
    <w:rsid w:val="00FF4CCC"/>
    <w:rsid w:val="00FF60A3"/>
    <w:rsid w:val="00FF6111"/>
    <w:rsid w:val="00FF6FF9"/>
    <w:rsid w:val="00FF7739"/>
    <w:rsid w:val="00FF78EF"/>
    <w:rsid w:val="01228EC8"/>
    <w:rsid w:val="0670A20E"/>
    <w:rsid w:val="068A7307"/>
    <w:rsid w:val="07C6B0E1"/>
    <w:rsid w:val="08ED0E84"/>
    <w:rsid w:val="099A57DA"/>
    <w:rsid w:val="0AC5B2F1"/>
    <w:rsid w:val="0AD6123D"/>
    <w:rsid w:val="0D627564"/>
    <w:rsid w:val="0EFA059D"/>
    <w:rsid w:val="1187BFA2"/>
    <w:rsid w:val="119242F0"/>
    <w:rsid w:val="18B29990"/>
    <w:rsid w:val="190F9548"/>
    <w:rsid w:val="1DCCA6BF"/>
    <w:rsid w:val="21ED5141"/>
    <w:rsid w:val="224C8244"/>
    <w:rsid w:val="23ED947C"/>
    <w:rsid w:val="24C3F8BF"/>
    <w:rsid w:val="26F658A4"/>
    <w:rsid w:val="2779E5E1"/>
    <w:rsid w:val="28674657"/>
    <w:rsid w:val="29019F5C"/>
    <w:rsid w:val="29A77FED"/>
    <w:rsid w:val="29CFA96D"/>
    <w:rsid w:val="2D9ADE89"/>
    <w:rsid w:val="2E021758"/>
    <w:rsid w:val="2FFCBA50"/>
    <w:rsid w:val="3019AEBB"/>
    <w:rsid w:val="30A129AD"/>
    <w:rsid w:val="31301AF1"/>
    <w:rsid w:val="313FD4C1"/>
    <w:rsid w:val="347E459C"/>
    <w:rsid w:val="36247B29"/>
    <w:rsid w:val="36D88360"/>
    <w:rsid w:val="39BDE3E0"/>
    <w:rsid w:val="3C0FD268"/>
    <w:rsid w:val="3C6D7145"/>
    <w:rsid w:val="3C75A284"/>
    <w:rsid w:val="3CA8E2D6"/>
    <w:rsid w:val="3E4E7443"/>
    <w:rsid w:val="3EF5486A"/>
    <w:rsid w:val="3F752BE6"/>
    <w:rsid w:val="3FCFE824"/>
    <w:rsid w:val="43B0F308"/>
    <w:rsid w:val="47EAAFCB"/>
    <w:rsid w:val="4818ADC2"/>
    <w:rsid w:val="4D0FA1A2"/>
    <w:rsid w:val="4EEF4684"/>
    <w:rsid w:val="4F1F4C04"/>
    <w:rsid w:val="4FF48885"/>
    <w:rsid w:val="505E5F70"/>
    <w:rsid w:val="5387D23C"/>
    <w:rsid w:val="5460AB94"/>
    <w:rsid w:val="576F2C61"/>
    <w:rsid w:val="5825F43C"/>
    <w:rsid w:val="58408DA1"/>
    <w:rsid w:val="58A7E762"/>
    <w:rsid w:val="58C5E694"/>
    <w:rsid w:val="5F924341"/>
    <w:rsid w:val="6031E5DC"/>
    <w:rsid w:val="63484047"/>
    <w:rsid w:val="6476DD6E"/>
    <w:rsid w:val="64A1AFB6"/>
    <w:rsid w:val="6A09053E"/>
    <w:rsid w:val="6A49F63B"/>
    <w:rsid w:val="6CF65840"/>
    <w:rsid w:val="6D2D47A6"/>
    <w:rsid w:val="71923835"/>
    <w:rsid w:val="72CB8978"/>
    <w:rsid w:val="75836B60"/>
    <w:rsid w:val="764786E4"/>
    <w:rsid w:val="79B1A469"/>
    <w:rsid w:val="7A2E7942"/>
    <w:rsid w:val="7DC3F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7036D"/>
  <w15:docId w15:val="{E9D25ACF-72F5-404F-8798-D15C5351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ED5"/>
    <w:pPr>
      <w:spacing w:before="120" w:after="120"/>
    </w:pPr>
    <w:rPr>
      <w:rFonts w:ascii="Arial" w:eastAsia="Times New Roman" w:hAnsi="Arial" w:cs="Arial"/>
      <w:spacing w:val="4"/>
      <w:lang w:eastAsia="en-AU"/>
    </w:rPr>
  </w:style>
  <w:style w:type="paragraph" w:styleId="Heading1">
    <w:name w:val="heading 1"/>
    <w:basedOn w:val="Normal"/>
    <w:next w:val="Normal"/>
    <w:link w:val="Heading1Char"/>
    <w:uiPriority w:val="2"/>
    <w:qFormat/>
    <w:rsid w:val="00793B9F"/>
    <w:pPr>
      <w:numPr>
        <w:numId w:val="8"/>
      </w:numPr>
      <w:spacing w:before="36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33544B"/>
    <w:pPr>
      <w:numPr>
        <w:numId w:val="58"/>
      </w:numPr>
      <w:spacing w:before="24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4A8"/>
    <w:pPr>
      <w:spacing w:before="200" w:after="0" w:line="271" w:lineRule="auto"/>
      <w:outlineLvl w:val="2"/>
    </w:pPr>
    <w:rPr>
      <w:rFonts w:asciiTheme="minorHAnsi" w:eastAsiaTheme="majorEastAsia" w:hAnsiTheme="minorHAnsi" w:cstheme="min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24F3"/>
    <w:pPr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13E"/>
    <w:pPr>
      <w:numPr>
        <w:ilvl w:val="4"/>
        <w:numId w:val="8"/>
      </w:numPr>
      <w:spacing w:before="200" w:after="0"/>
      <w:outlineLvl w:val="4"/>
    </w:pPr>
    <w:rPr>
      <w:rFonts w:eastAsiaTheme="majorEastAsia" w:cstheme="majorBidi"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713E"/>
    <w:pPr>
      <w:numPr>
        <w:ilvl w:val="5"/>
        <w:numId w:val="8"/>
      </w:numPr>
      <w:spacing w:after="0" w:line="271" w:lineRule="auto"/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713E"/>
    <w:pPr>
      <w:numPr>
        <w:ilvl w:val="6"/>
        <w:numId w:val="8"/>
      </w:num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numPr>
        <w:ilvl w:val="7"/>
        <w:numId w:val="8"/>
      </w:num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4713E"/>
    <w:pPr>
      <w:numPr>
        <w:ilvl w:val="8"/>
        <w:numId w:val="8"/>
      </w:num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93B9F"/>
    <w:rPr>
      <w:rFonts w:ascii="Arial" w:eastAsiaTheme="majorEastAsia" w:hAnsi="Arial" w:cstheme="majorBidi"/>
      <w:b/>
      <w:bCs/>
      <w:color w:val="000000" w:themeColor="text1"/>
      <w:spacing w:val="4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33544B"/>
    <w:rPr>
      <w:rFonts w:ascii="Arial" w:eastAsiaTheme="majorEastAsia" w:hAnsi="Arial" w:cstheme="majorBidi"/>
      <w:b/>
      <w:bCs/>
      <w:color w:val="000000" w:themeColor="text1"/>
      <w:spacing w:val="4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934A8"/>
    <w:rPr>
      <w:rFonts w:eastAsiaTheme="majorEastAsia" w:cstheme="minorHAnsi"/>
      <w:b/>
      <w:bCs/>
      <w:spacing w:val="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4713E"/>
    <w:rPr>
      <w:rFonts w:ascii="Arial" w:eastAsiaTheme="majorEastAsia" w:hAnsi="Arial" w:cstheme="majorBidi"/>
      <w:b/>
      <w:bCs/>
      <w:iCs/>
      <w:spacing w:val="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4713E"/>
    <w:rPr>
      <w:rFonts w:ascii="Arial" w:eastAsiaTheme="majorEastAsia" w:hAnsi="Arial" w:cstheme="majorBidi"/>
      <w:bCs/>
      <w:spacing w:val="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54713E"/>
    <w:rPr>
      <w:rFonts w:ascii="Arial" w:eastAsiaTheme="majorEastAsia" w:hAnsi="Arial" w:cstheme="majorBidi"/>
      <w:bCs/>
      <w:iCs/>
      <w:spacing w:val="4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54713E"/>
    <w:rPr>
      <w:rFonts w:ascii="Arial" w:eastAsiaTheme="majorEastAsia" w:hAnsi="Arial" w:cstheme="majorBidi"/>
      <w:iCs/>
      <w:spacing w:val="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pacing w:val="4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54713E"/>
    <w:rPr>
      <w:rFonts w:ascii="Arial" w:eastAsiaTheme="majorEastAsia" w:hAnsi="Arial" w:cstheme="majorBidi"/>
      <w:iCs/>
      <w:spacing w:val="5"/>
      <w:szCs w:val="20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1F512D"/>
    <w:pPr>
      <w:spacing w:before="1440" w:line="240" w:lineRule="auto"/>
      <w:contextualSpacing/>
    </w:pPr>
    <w:rPr>
      <w:rFonts w:ascii="Georgia" w:eastAsiaTheme="majorEastAsia" w:hAnsi="Georgia" w:cstheme="majorBidi"/>
      <w:color w:val="24596E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1F512D"/>
    <w:rPr>
      <w:rFonts w:ascii="Georgia" w:eastAsiaTheme="majorEastAsia" w:hAnsi="Georgia" w:cstheme="majorBidi"/>
      <w:color w:val="24596E"/>
      <w:spacing w:val="5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1F512D"/>
    <w:pPr>
      <w:spacing w:before="240" w:after="600" w:line="240" w:lineRule="auto"/>
    </w:pPr>
    <w:rPr>
      <w:rFonts w:ascii="Georgia" w:eastAsiaTheme="majorEastAsia" w:hAnsi="Georgia" w:cstheme="majorBidi"/>
      <w:iCs/>
      <w:spacing w:val="6"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1F512D"/>
    <w:rPr>
      <w:rFonts w:ascii="Georgia" w:eastAsiaTheme="majorEastAsia" w:hAnsi="Georgia" w:cstheme="majorBidi"/>
      <w:iCs/>
      <w:spacing w:val="6"/>
      <w:sz w:val="36"/>
      <w:szCs w:val="24"/>
      <w:lang w:eastAsia="en-AU"/>
    </w:rPr>
  </w:style>
  <w:style w:type="character" w:styleId="SubtleEmphasis">
    <w:name w:val="Subtle Emphasis"/>
    <w:uiPriority w:val="19"/>
    <w:qFormat/>
    <w:rsid w:val="00C55F56"/>
    <w:rPr>
      <w:sz w:val="20"/>
      <w:szCs w:val="20"/>
    </w:rPr>
  </w:style>
  <w:style w:type="character" w:styleId="Strong">
    <w:name w:val="Strong"/>
    <w:aliases w:val="Bold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,Recommendation,List Paragraph11,L,Bullet Point,Bullet points,Content descriptions,Bullet point,List Paragraph Number,Bulleted Para,NFP GP Bulleted List,bullet point list,List Bullet Cab,Dot Point Lvl 1,List Paragraph111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Bullet Point Char,Bullet points Char,Content descriptions Char,Bullet point Char,List Paragraph Number Char,Bulleted Para Char,NFP GP Bulleted List Char"/>
    <w:basedOn w:val="DefaultParagraphFont"/>
    <w:link w:val="ListParagraph"/>
    <w:uiPriority w:val="34"/>
    <w:qFormat/>
    <w:locked/>
    <w:rsid w:val="00B91332"/>
    <w:rPr>
      <w:rFonts w:ascii="Arial" w:eastAsia="Times New Roman" w:hAnsi="Arial" w:cs="Times New Roman"/>
      <w:spacing w:val="4"/>
      <w:sz w:val="24"/>
      <w:szCs w:val="24"/>
      <w:lang w:eastAsia="en-AU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customStyle="1" w:styleId="Titlepage">
    <w:name w:val="Title page"/>
    <w:basedOn w:val="Normal"/>
    <w:qFormat/>
    <w:rsid w:val="00B0372A"/>
    <w:pPr>
      <w:jc w:val="center"/>
    </w:pPr>
    <w:rPr>
      <w:b/>
      <w:sz w:val="24"/>
    </w:rPr>
  </w:style>
  <w:style w:type="paragraph" w:styleId="Caption">
    <w:name w:val="caption"/>
    <w:aliases w:val="table title"/>
    <w:basedOn w:val="Normal"/>
    <w:next w:val="Normal"/>
    <w:uiPriority w:val="35"/>
    <w:unhideWhenUsed/>
    <w:rsid w:val="00781EEF"/>
    <w:rPr>
      <w:b/>
      <w:bCs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B54CA"/>
    <w:pPr>
      <w:numPr>
        <w:numId w:val="9"/>
      </w:numPr>
      <w:ind w:left="567" w:hanging="567"/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C143A"/>
    <w:pPr>
      <w:pBdr>
        <w:bottom w:val="single" w:sz="18" w:space="1" w:color="24596E"/>
      </w:pBdr>
      <w:tabs>
        <w:tab w:val="center" w:pos="4513"/>
        <w:tab w:val="right" w:pos="9026"/>
      </w:tabs>
      <w:spacing w:before="600" w:after="720" w:line="240" w:lineRule="auto"/>
    </w:pPr>
    <w:rPr>
      <w:rFonts w:ascii="Georgia" w:hAnsi="Georgia"/>
      <w:color w:val="24596E"/>
    </w:rPr>
  </w:style>
  <w:style w:type="character" w:customStyle="1" w:styleId="HeaderChar">
    <w:name w:val="Header Char"/>
    <w:basedOn w:val="DefaultParagraphFont"/>
    <w:link w:val="Header"/>
    <w:uiPriority w:val="99"/>
    <w:rsid w:val="00FC143A"/>
    <w:rPr>
      <w:rFonts w:ascii="Georgia" w:eastAsia="Times New Roman" w:hAnsi="Georgia" w:cs="Times New Roman"/>
      <w:color w:val="24596E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F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2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2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"/>
    <w:qFormat/>
    <w:rsid w:val="0050273B"/>
    <w:pPr>
      <w:numPr>
        <w:numId w:val="3"/>
      </w:numPr>
      <w:tabs>
        <w:tab w:val="left" w:pos="170"/>
      </w:tabs>
      <w:spacing w:before="60"/>
    </w:pPr>
  </w:style>
  <w:style w:type="paragraph" w:customStyle="1" w:styleId="Pullouttext">
    <w:name w:val="Pullout text"/>
    <w:next w:val="Normal"/>
    <w:link w:val="PullouttextChar"/>
    <w:uiPriority w:val="3"/>
    <w:qFormat/>
    <w:rsid w:val="001F512D"/>
    <w:pPr>
      <w:spacing w:before="120" w:after="120" w:line="280" w:lineRule="atLeast"/>
      <w:ind w:left="397"/>
      <w:contextualSpacing/>
    </w:pPr>
    <w:rPr>
      <w:rFonts w:ascii="Georgia" w:eastAsia="Times New Roman" w:hAnsi="Georgia" w:cs="Arial"/>
      <w:bCs/>
      <w:iCs/>
      <w:color w:val="24596E"/>
      <w:sz w:val="24"/>
      <w:szCs w:val="28"/>
      <w:lang w:eastAsia="en-AU"/>
    </w:rPr>
  </w:style>
  <w:style w:type="character" w:customStyle="1" w:styleId="PullouttextChar">
    <w:name w:val="Pullout text Char"/>
    <w:basedOn w:val="Heading2Char"/>
    <w:link w:val="Pullouttext"/>
    <w:uiPriority w:val="3"/>
    <w:rsid w:val="001F512D"/>
    <w:rPr>
      <w:rFonts w:ascii="Georgia" w:eastAsia="Times New Roman" w:hAnsi="Georgia" w:cs="Arial"/>
      <w:b/>
      <w:bCs/>
      <w:iCs/>
      <w:color w:val="24596E"/>
      <w:spacing w:val="4"/>
      <w:sz w:val="24"/>
      <w:szCs w:val="28"/>
      <w:lang w:eastAsia="en-AU"/>
    </w:rPr>
  </w:style>
  <w:style w:type="character" w:styleId="Hyperlink">
    <w:name w:val="Hyperlink"/>
    <w:basedOn w:val="DefaultParagraphFont"/>
    <w:uiPriority w:val="99"/>
    <w:rsid w:val="00D22A8A"/>
    <w:rPr>
      <w:rFonts w:ascii="Arial" w:hAnsi="Arial"/>
      <w:b w:val="0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876CA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F14320"/>
    <w:pPr>
      <w:tabs>
        <w:tab w:val="left" w:pos="851"/>
        <w:tab w:val="right" w:leader="dot" w:pos="934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75706"/>
    <w:pPr>
      <w:tabs>
        <w:tab w:val="left" w:pos="1134"/>
        <w:tab w:val="right" w:leader="dot" w:pos="9344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76CA6"/>
    <w:pPr>
      <w:spacing w:after="100"/>
      <w:ind w:left="400"/>
    </w:pPr>
  </w:style>
  <w:style w:type="paragraph" w:customStyle="1" w:styleId="Smalltext">
    <w:name w:val="Small text"/>
    <w:basedOn w:val="Normal"/>
    <w:rsid w:val="0054713E"/>
    <w:pPr>
      <w:spacing w:before="480" w:line="240" w:lineRule="auto"/>
    </w:pPr>
    <w:rPr>
      <w:sz w:val="12"/>
      <w:szCs w:val="16"/>
      <w:lang w:val="en-US"/>
    </w:rPr>
  </w:style>
  <w:style w:type="table" w:customStyle="1" w:styleId="DSSDatatablestyle">
    <w:name w:val="DSS Data table style"/>
    <w:basedOn w:val="TableNormal"/>
    <w:uiPriority w:val="99"/>
    <w:rsid w:val="001F512D"/>
    <w:pPr>
      <w:spacing w:after="0" w:line="240" w:lineRule="auto"/>
    </w:pPr>
    <w:rPr>
      <w:rFonts w:ascii="Arial" w:hAnsi="Arial"/>
      <w:sz w:val="24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005A70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F5F5F5"/>
      </w:tcPr>
    </w:tblStylePr>
  </w:style>
  <w:style w:type="table" w:customStyle="1" w:styleId="DSSTableStyleB">
    <w:name w:val="DSS Table Style B"/>
    <w:basedOn w:val="TableNormal"/>
    <w:uiPriority w:val="99"/>
    <w:rsid w:val="009B66B3"/>
    <w:pPr>
      <w:spacing w:after="0" w:line="240" w:lineRule="auto"/>
    </w:pPr>
    <w:rPr>
      <w:rFonts w:ascii="Arial" w:hAnsi="Arial"/>
      <w:sz w:val="24"/>
    </w:rPr>
    <w:tblPr>
      <w:tblStyleRowBandSize w:val="1"/>
      <w:tblInd w:w="113" w:type="dxa"/>
    </w:tbl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B1E4E3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78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73B"/>
    <w:rPr>
      <w:color w:val="000000" w:themeColor="followedHyperlink"/>
      <w:u w:val="single"/>
    </w:rPr>
  </w:style>
  <w:style w:type="table" w:styleId="GridTable4-Accent2">
    <w:name w:val="Grid Table 4 Accent 2"/>
    <w:basedOn w:val="TableNormal"/>
    <w:uiPriority w:val="49"/>
    <w:rsid w:val="003311C3"/>
    <w:pPr>
      <w:spacing w:after="0" w:line="240" w:lineRule="auto"/>
    </w:pPr>
    <w:tblPr>
      <w:tblStyleRowBandSize w:val="1"/>
      <w:tblStyleColBandSize w:val="1"/>
      <w:tblBorders>
        <w:top w:val="single" w:sz="4" w:space="0" w:color="3CF5FF" w:themeColor="accent2" w:themeTint="99"/>
        <w:left w:val="single" w:sz="4" w:space="0" w:color="3CF5FF" w:themeColor="accent2" w:themeTint="99"/>
        <w:bottom w:val="single" w:sz="4" w:space="0" w:color="3CF5FF" w:themeColor="accent2" w:themeTint="99"/>
        <w:right w:val="single" w:sz="4" w:space="0" w:color="3CF5FF" w:themeColor="accent2" w:themeTint="99"/>
        <w:insideH w:val="single" w:sz="4" w:space="0" w:color="3CF5FF" w:themeColor="accent2" w:themeTint="99"/>
        <w:insideV w:val="single" w:sz="4" w:space="0" w:color="3CF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B9" w:themeColor="accent2"/>
          <w:left w:val="single" w:sz="4" w:space="0" w:color="00B0B9" w:themeColor="accent2"/>
          <w:bottom w:val="single" w:sz="4" w:space="0" w:color="00B0B9" w:themeColor="accent2"/>
          <w:right w:val="single" w:sz="4" w:space="0" w:color="00B0B9" w:themeColor="accent2"/>
          <w:insideH w:val="nil"/>
          <w:insideV w:val="nil"/>
        </w:tcBorders>
        <w:shd w:val="clear" w:color="auto" w:fill="00B0B9" w:themeFill="accent2"/>
      </w:tcPr>
    </w:tblStylePr>
    <w:tblStylePr w:type="lastRow">
      <w:rPr>
        <w:b/>
        <w:bCs/>
      </w:rPr>
      <w:tblPr/>
      <w:tcPr>
        <w:tcBorders>
          <w:top w:val="double" w:sz="4" w:space="0" w:color="00B0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BFF" w:themeFill="accent2" w:themeFillTint="33"/>
      </w:tcPr>
    </w:tblStylePr>
    <w:tblStylePr w:type="band1Horz">
      <w:tblPr/>
      <w:tcPr>
        <w:shd w:val="clear" w:color="auto" w:fill="BEFBFF" w:themeFill="accent2" w:themeFillTint="33"/>
      </w:tcPr>
    </w:tblStylePr>
  </w:style>
  <w:style w:type="paragraph" w:customStyle="1" w:styleId="Default">
    <w:name w:val="Default"/>
    <w:rsid w:val="005F49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ing2w">
    <w:name w:val="Heading 2 w"/>
    <w:basedOn w:val="Heading2"/>
    <w:link w:val="Heading2wChar"/>
    <w:rsid w:val="002E3075"/>
    <w:pPr>
      <w:numPr>
        <w:numId w:val="4"/>
      </w:numPr>
    </w:pPr>
  </w:style>
  <w:style w:type="character" w:customStyle="1" w:styleId="Heading2wChar">
    <w:name w:val="Heading 2 w Char"/>
    <w:basedOn w:val="Heading2Char"/>
    <w:link w:val="Heading2w"/>
    <w:rsid w:val="002E3075"/>
    <w:rPr>
      <w:rFonts w:ascii="Arial" w:eastAsiaTheme="majorEastAsia" w:hAnsi="Arial" w:cstheme="majorBidi"/>
      <w:b/>
      <w:bCs/>
      <w:color w:val="000000" w:themeColor="text1"/>
      <w:spacing w:val="4"/>
      <w:szCs w:val="26"/>
      <w:lang w:eastAsia="en-AU"/>
    </w:rPr>
  </w:style>
  <w:style w:type="table" w:styleId="ListTable3-Accent2">
    <w:name w:val="List Table 3 Accent 2"/>
    <w:basedOn w:val="TableNormal"/>
    <w:uiPriority w:val="48"/>
    <w:rsid w:val="003D22E7"/>
    <w:pPr>
      <w:spacing w:after="0" w:line="240" w:lineRule="auto"/>
    </w:pPr>
    <w:tblPr>
      <w:tblStyleRowBandSize w:val="1"/>
      <w:tblStyleColBandSize w:val="1"/>
      <w:tblBorders>
        <w:top w:val="single" w:sz="4" w:space="0" w:color="00B0B9" w:themeColor="accent2"/>
        <w:left w:val="single" w:sz="4" w:space="0" w:color="00B0B9" w:themeColor="accent2"/>
        <w:bottom w:val="single" w:sz="4" w:space="0" w:color="00B0B9" w:themeColor="accent2"/>
        <w:right w:val="single" w:sz="4" w:space="0" w:color="00B0B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0B9" w:themeFill="accent2"/>
      </w:tcPr>
    </w:tblStylePr>
    <w:tblStylePr w:type="lastRow">
      <w:rPr>
        <w:b/>
        <w:bCs/>
      </w:rPr>
      <w:tblPr/>
      <w:tcPr>
        <w:tcBorders>
          <w:top w:val="double" w:sz="4" w:space="0" w:color="00B0B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0B9" w:themeColor="accent2"/>
          <w:right w:val="single" w:sz="4" w:space="0" w:color="00B0B9" w:themeColor="accent2"/>
        </w:tcBorders>
      </w:tcPr>
    </w:tblStylePr>
    <w:tblStylePr w:type="band1Horz">
      <w:tblPr/>
      <w:tcPr>
        <w:tcBorders>
          <w:top w:val="single" w:sz="4" w:space="0" w:color="00B0B9" w:themeColor="accent2"/>
          <w:bottom w:val="single" w:sz="4" w:space="0" w:color="00B0B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0B9" w:themeColor="accent2"/>
          <w:left w:val="nil"/>
        </w:tcBorders>
      </w:tcPr>
    </w:tblStylePr>
    <w:tblStylePr w:type="swCell">
      <w:tblPr/>
      <w:tcPr>
        <w:tcBorders>
          <w:top w:val="double" w:sz="4" w:space="0" w:color="00B0B9" w:themeColor="accent2"/>
          <w:right w:val="nil"/>
        </w:tcBorders>
      </w:tcPr>
    </w:tblStylePr>
  </w:style>
  <w:style w:type="paragraph" w:customStyle="1" w:styleId="StyleCenteredBefore3ptAfter0pt">
    <w:name w:val="Style Centered Before:  3 pt After:  0 pt"/>
    <w:basedOn w:val="Normal"/>
    <w:rsid w:val="00B84515"/>
    <w:pPr>
      <w:keepLines/>
      <w:spacing w:line="240" w:lineRule="auto"/>
      <w:jc w:val="center"/>
    </w:pPr>
    <w:rPr>
      <w:spacing w:val="0"/>
      <w:szCs w:val="20"/>
      <w:lang w:eastAsia="en-US"/>
    </w:rPr>
  </w:style>
  <w:style w:type="character" w:styleId="BookTitle">
    <w:name w:val="Book Title"/>
    <w:uiPriority w:val="33"/>
    <w:qFormat/>
    <w:rsid w:val="005A58AC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90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3B4"/>
    <w:rPr>
      <w:rFonts w:ascii="Arial" w:eastAsia="Times New Roman" w:hAnsi="Arial" w:cs="Times New Roman"/>
      <w:spacing w:val="4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3B4"/>
    <w:rPr>
      <w:rFonts w:ascii="Arial" w:eastAsia="Times New Roman" w:hAnsi="Arial" w:cs="Times New Roman"/>
      <w:b/>
      <w:bCs/>
      <w:spacing w:val="4"/>
      <w:sz w:val="20"/>
      <w:szCs w:val="20"/>
      <w:lang w:eastAsia="en-AU"/>
    </w:rPr>
  </w:style>
  <w:style w:type="paragraph" w:customStyle="1" w:styleId="Sub-headings1">
    <w:name w:val="Sub-headings1"/>
    <w:basedOn w:val="ListNumber"/>
    <w:link w:val="Sub-headings1Char"/>
    <w:qFormat/>
    <w:rsid w:val="00517950"/>
    <w:pPr>
      <w:numPr>
        <w:numId w:val="0"/>
      </w:numPr>
      <w:spacing w:after="0" w:line="240" w:lineRule="auto"/>
      <w:ind w:right="-425"/>
      <w:contextualSpacing w:val="0"/>
    </w:pPr>
    <w:rPr>
      <w:b/>
      <w:i/>
      <w:spacing w:val="0"/>
      <w:u w:val="single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17950"/>
    <w:pPr>
      <w:numPr>
        <w:numId w:val="6"/>
      </w:numPr>
      <w:contextualSpacing/>
    </w:pPr>
  </w:style>
  <w:style w:type="character" w:customStyle="1" w:styleId="Sub-headings1Char">
    <w:name w:val="Sub-headings1 Char"/>
    <w:basedOn w:val="DefaultParagraphFont"/>
    <w:link w:val="Sub-headings1"/>
    <w:rsid w:val="00517950"/>
    <w:rPr>
      <w:rFonts w:ascii="Arial" w:eastAsia="Times New Roman" w:hAnsi="Arial" w:cs="Arial"/>
      <w:b/>
      <w:i/>
      <w:u w:val="single"/>
    </w:rPr>
  </w:style>
  <w:style w:type="paragraph" w:customStyle="1" w:styleId="Pa0">
    <w:name w:val="Pa0"/>
    <w:basedOn w:val="Default"/>
    <w:next w:val="Default"/>
    <w:uiPriority w:val="99"/>
    <w:rsid w:val="000C1E70"/>
    <w:pPr>
      <w:spacing w:line="241" w:lineRule="atLeast"/>
    </w:pPr>
    <w:rPr>
      <w:color w:val="auto"/>
    </w:rPr>
  </w:style>
  <w:style w:type="paragraph" w:styleId="TOC4">
    <w:name w:val="toc 4"/>
    <w:basedOn w:val="Normal"/>
    <w:next w:val="Normal"/>
    <w:autoRedefine/>
    <w:uiPriority w:val="39"/>
    <w:unhideWhenUsed/>
    <w:rsid w:val="009C19B3"/>
    <w:pPr>
      <w:spacing w:after="100" w:line="259" w:lineRule="auto"/>
      <w:ind w:left="660"/>
    </w:pPr>
    <w:rPr>
      <w:rFonts w:asciiTheme="minorHAnsi" w:eastAsiaTheme="minorEastAsia" w:hAnsiTheme="minorHAnsi" w:cstheme="minorBidi"/>
      <w:spacing w:val="0"/>
    </w:rPr>
  </w:style>
  <w:style w:type="paragraph" w:styleId="TOC5">
    <w:name w:val="toc 5"/>
    <w:basedOn w:val="Normal"/>
    <w:next w:val="Normal"/>
    <w:autoRedefine/>
    <w:uiPriority w:val="39"/>
    <w:unhideWhenUsed/>
    <w:rsid w:val="009C19B3"/>
    <w:pPr>
      <w:spacing w:after="100" w:line="259" w:lineRule="auto"/>
      <w:ind w:left="880"/>
    </w:pPr>
    <w:rPr>
      <w:rFonts w:asciiTheme="minorHAnsi" w:eastAsiaTheme="minorEastAsia" w:hAnsiTheme="minorHAnsi" w:cstheme="minorBidi"/>
      <w:spacing w:val="0"/>
    </w:rPr>
  </w:style>
  <w:style w:type="paragraph" w:styleId="TOC6">
    <w:name w:val="toc 6"/>
    <w:basedOn w:val="Normal"/>
    <w:next w:val="Normal"/>
    <w:autoRedefine/>
    <w:uiPriority w:val="39"/>
    <w:unhideWhenUsed/>
    <w:rsid w:val="009C19B3"/>
    <w:pPr>
      <w:spacing w:after="100" w:line="259" w:lineRule="auto"/>
      <w:ind w:left="1100"/>
    </w:pPr>
    <w:rPr>
      <w:rFonts w:asciiTheme="minorHAnsi" w:eastAsiaTheme="minorEastAsia" w:hAnsiTheme="minorHAnsi" w:cstheme="minorBidi"/>
      <w:spacing w:val="0"/>
    </w:rPr>
  </w:style>
  <w:style w:type="paragraph" w:styleId="TOC7">
    <w:name w:val="toc 7"/>
    <w:basedOn w:val="Normal"/>
    <w:next w:val="Normal"/>
    <w:autoRedefine/>
    <w:uiPriority w:val="39"/>
    <w:unhideWhenUsed/>
    <w:rsid w:val="009C19B3"/>
    <w:pPr>
      <w:spacing w:after="100" w:line="259" w:lineRule="auto"/>
      <w:ind w:left="1320"/>
    </w:pPr>
    <w:rPr>
      <w:rFonts w:asciiTheme="minorHAnsi" w:eastAsiaTheme="minorEastAsia" w:hAnsiTheme="minorHAnsi" w:cstheme="minorBidi"/>
      <w:spacing w:val="0"/>
    </w:rPr>
  </w:style>
  <w:style w:type="paragraph" w:styleId="TOC8">
    <w:name w:val="toc 8"/>
    <w:basedOn w:val="Normal"/>
    <w:next w:val="Normal"/>
    <w:autoRedefine/>
    <w:uiPriority w:val="39"/>
    <w:unhideWhenUsed/>
    <w:rsid w:val="009C19B3"/>
    <w:pPr>
      <w:spacing w:after="100" w:line="259" w:lineRule="auto"/>
      <w:ind w:left="1540"/>
    </w:pPr>
    <w:rPr>
      <w:rFonts w:asciiTheme="minorHAnsi" w:eastAsiaTheme="minorEastAsia" w:hAnsiTheme="minorHAnsi" w:cstheme="minorBidi"/>
      <w:spacing w:val="0"/>
    </w:rPr>
  </w:style>
  <w:style w:type="paragraph" w:styleId="TOC9">
    <w:name w:val="toc 9"/>
    <w:basedOn w:val="Normal"/>
    <w:next w:val="Normal"/>
    <w:autoRedefine/>
    <w:uiPriority w:val="39"/>
    <w:unhideWhenUsed/>
    <w:rsid w:val="009C19B3"/>
    <w:pPr>
      <w:spacing w:after="100" w:line="259" w:lineRule="auto"/>
      <w:ind w:left="1760"/>
    </w:pPr>
    <w:rPr>
      <w:rFonts w:asciiTheme="minorHAnsi" w:eastAsiaTheme="minorEastAsia" w:hAnsiTheme="minorHAnsi" w:cstheme="minorBidi"/>
      <w:spacing w:val="0"/>
    </w:rPr>
  </w:style>
  <w:style w:type="paragraph" w:customStyle="1" w:styleId="H1Style1">
    <w:name w:val="H1 Style1"/>
    <w:basedOn w:val="Heading2w"/>
    <w:link w:val="H1Style1Char"/>
    <w:rsid w:val="00272DBC"/>
    <w:pPr>
      <w:numPr>
        <w:numId w:val="0"/>
      </w:numPr>
    </w:pPr>
    <w:rPr>
      <w:sz w:val="32"/>
    </w:rPr>
  </w:style>
  <w:style w:type="paragraph" w:customStyle="1" w:styleId="H2Style1">
    <w:name w:val="H2 Style1"/>
    <w:basedOn w:val="H1Style1"/>
    <w:link w:val="H2Style1Char"/>
    <w:rsid w:val="00272DBC"/>
  </w:style>
  <w:style w:type="character" w:customStyle="1" w:styleId="H1Style1Char">
    <w:name w:val="H1 Style1 Char"/>
    <w:basedOn w:val="Heading2wChar"/>
    <w:link w:val="H1Style1"/>
    <w:rsid w:val="00272DBC"/>
    <w:rPr>
      <w:rFonts w:ascii="Arial" w:eastAsiaTheme="majorEastAsia" w:hAnsi="Arial" w:cstheme="majorBidi"/>
      <w:b/>
      <w:bCs/>
      <w:color w:val="000000" w:themeColor="text1"/>
      <w:spacing w:val="4"/>
      <w:sz w:val="32"/>
      <w:szCs w:val="26"/>
      <w:lang w:eastAsia="en-AU"/>
    </w:rPr>
  </w:style>
  <w:style w:type="character" w:customStyle="1" w:styleId="H2Style1Char">
    <w:name w:val="H2 Style1 Char"/>
    <w:basedOn w:val="Heading2Char"/>
    <w:link w:val="H2Style1"/>
    <w:rsid w:val="005A548C"/>
    <w:rPr>
      <w:rFonts w:ascii="Arial" w:eastAsiaTheme="majorEastAsia" w:hAnsi="Arial" w:cstheme="majorBidi"/>
      <w:b/>
      <w:bCs/>
      <w:color w:val="000000" w:themeColor="text1"/>
      <w:spacing w:val="4"/>
      <w:sz w:val="32"/>
      <w:szCs w:val="26"/>
      <w:lang w:eastAsia="en-AU"/>
    </w:rPr>
  </w:style>
  <w:style w:type="table" w:styleId="ListTable3-Accent6">
    <w:name w:val="List Table 3 Accent 6"/>
    <w:basedOn w:val="TableNormal"/>
    <w:uiPriority w:val="48"/>
    <w:rsid w:val="002C192D"/>
    <w:pPr>
      <w:spacing w:after="0" w:line="240" w:lineRule="auto"/>
    </w:pPr>
    <w:tblPr>
      <w:tblStyleRowBandSize w:val="1"/>
      <w:tblStyleColBandSize w:val="1"/>
      <w:tblBorders>
        <w:top w:val="single" w:sz="4" w:space="0" w:color="B1E4E3" w:themeColor="accent6"/>
        <w:left w:val="single" w:sz="4" w:space="0" w:color="B1E4E3" w:themeColor="accent6"/>
        <w:bottom w:val="single" w:sz="4" w:space="0" w:color="B1E4E3" w:themeColor="accent6"/>
        <w:right w:val="single" w:sz="4" w:space="0" w:color="B1E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E4E3" w:themeFill="accent6"/>
      </w:tcPr>
    </w:tblStylePr>
    <w:tblStylePr w:type="lastRow">
      <w:rPr>
        <w:b/>
        <w:bCs/>
      </w:rPr>
      <w:tblPr/>
      <w:tcPr>
        <w:tcBorders>
          <w:top w:val="double" w:sz="4" w:space="0" w:color="B1E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E4E3" w:themeColor="accent6"/>
          <w:right w:val="single" w:sz="4" w:space="0" w:color="B1E4E3" w:themeColor="accent6"/>
        </w:tcBorders>
      </w:tcPr>
    </w:tblStylePr>
    <w:tblStylePr w:type="band1Horz">
      <w:tblPr/>
      <w:tcPr>
        <w:tcBorders>
          <w:top w:val="single" w:sz="4" w:space="0" w:color="B1E4E3" w:themeColor="accent6"/>
          <w:bottom w:val="single" w:sz="4" w:space="0" w:color="B1E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E4E3" w:themeColor="accent6"/>
          <w:left w:val="nil"/>
        </w:tcBorders>
      </w:tcPr>
    </w:tblStylePr>
    <w:tblStylePr w:type="swCell">
      <w:tblPr/>
      <w:tcPr>
        <w:tcBorders>
          <w:top w:val="double" w:sz="4" w:space="0" w:color="B1E4E3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192D"/>
    <w:pPr>
      <w:spacing w:after="0" w:line="240" w:lineRule="auto"/>
    </w:pPr>
    <w:tblPr>
      <w:tblStyleRowBandSize w:val="1"/>
      <w:tblStyleColBandSize w:val="1"/>
      <w:tblBorders>
        <w:top w:val="single" w:sz="4" w:space="0" w:color="B1E4E3" w:themeColor="accent3"/>
        <w:left w:val="single" w:sz="4" w:space="0" w:color="B1E4E3" w:themeColor="accent3"/>
        <w:bottom w:val="single" w:sz="4" w:space="0" w:color="B1E4E3" w:themeColor="accent3"/>
        <w:right w:val="single" w:sz="4" w:space="0" w:color="B1E4E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E4E3" w:themeFill="accent3"/>
      </w:tcPr>
    </w:tblStylePr>
    <w:tblStylePr w:type="lastRow">
      <w:rPr>
        <w:b/>
        <w:bCs/>
      </w:rPr>
      <w:tblPr/>
      <w:tcPr>
        <w:tcBorders>
          <w:top w:val="double" w:sz="4" w:space="0" w:color="B1E4E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E4E3" w:themeColor="accent3"/>
          <w:right w:val="single" w:sz="4" w:space="0" w:color="B1E4E3" w:themeColor="accent3"/>
        </w:tcBorders>
      </w:tcPr>
    </w:tblStylePr>
    <w:tblStylePr w:type="band1Horz">
      <w:tblPr/>
      <w:tcPr>
        <w:tcBorders>
          <w:top w:val="single" w:sz="4" w:space="0" w:color="B1E4E3" w:themeColor="accent3"/>
          <w:bottom w:val="single" w:sz="4" w:space="0" w:color="B1E4E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E4E3" w:themeColor="accent3"/>
          <w:left w:val="nil"/>
        </w:tcBorders>
      </w:tcPr>
    </w:tblStylePr>
    <w:tblStylePr w:type="swCell">
      <w:tblPr/>
      <w:tcPr>
        <w:tcBorders>
          <w:top w:val="double" w:sz="4" w:space="0" w:color="B1E4E3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2C192D"/>
    <w:pPr>
      <w:spacing w:after="0" w:line="240" w:lineRule="auto"/>
    </w:pPr>
    <w:tblPr>
      <w:tblStyleRowBandSize w:val="1"/>
      <w:tblStyleColBandSize w:val="1"/>
      <w:tblBorders>
        <w:top w:val="single" w:sz="4" w:space="0" w:color="D0EEEE" w:themeColor="accent3" w:themeTint="99"/>
        <w:left w:val="single" w:sz="4" w:space="0" w:color="D0EEEE" w:themeColor="accent3" w:themeTint="99"/>
        <w:bottom w:val="single" w:sz="4" w:space="0" w:color="D0EEEE" w:themeColor="accent3" w:themeTint="99"/>
        <w:right w:val="single" w:sz="4" w:space="0" w:color="D0EEEE" w:themeColor="accent3" w:themeTint="99"/>
        <w:insideH w:val="single" w:sz="4" w:space="0" w:color="D0EEEE" w:themeColor="accent3" w:themeTint="99"/>
        <w:insideV w:val="single" w:sz="4" w:space="0" w:color="D0EE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E4E3" w:themeColor="accent3"/>
          <w:left w:val="single" w:sz="4" w:space="0" w:color="B1E4E3" w:themeColor="accent3"/>
          <w:bottom w:val="single" w:sz="4" w:space="0" w:color="B1E4E3" w:themeColor="accent3"/>
          <w:right w:val="single" w:sz="4" w:space="0" w:color="B1E4E3" w:themeColor="accent3"/>
          <w:insideH w:val="nil"/>
          <w:insideV w:val="nil"/>
        </w:tcBorders>
        <w:shd w:val="clear" w:color="auto" w:fill="B1E4E3" w:themeFill="accent3"/>
      </w:tcPr>
    </w:tblStylePr>
    <w:tblStylePr w:type="lastRow">
      <w:rPr>
        <w:b/>
        <w:bCs/>
      </w:rPr>
      <w:tblPr/>
      <w:tcPr>
        <w:tcBorders>
          <w:top w:val="double" w:sz="4" w:space="0" w:color="B1E4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9F9" w:themeFill="accent3" w:themeFillTint="33"/>
      </w:tcPr>
    </w:tblStylePr>
    <w:tblStylePr w:type="band1Horz">
      <w:tblPr/>
      <w:tcPr>
        <w:shd w:val="clear" w:color="auto" w:fill="EFF9F9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C532B"/>
    <w:rPr>
      <w:color w:val="808080"/>
    </w:rPr>
  </w:style>
  <w:style w:type="paragraph" w:customStyle="1" w:styleId="notepara">
    <w:name w:val="notepara"/>
    <w:basedOn w:val="Normal"/>
    <w:rsid w:val="00821522"/>
    <w:pPr>
      <w:spacing w:before="100" w:beforeAutospacing="1" w:after="100" w:afterAutospacing="1" w:line="240" w:lineRule="auto"/>
    </w:pPr>
    <w:rPr>
      <w:rFonts w:ascii="Times New Roman" w:hAnsi="Times New Roman"/>
      <w:spacing w:val="0"/>
    </w:rPr>
  </w:style>
  <w:style w:type="paragraph" w:customStyle="1" w:styleId="notetext">
    <w:name w:val="notetext"/>
    <w:basedOn w:val="Normal"/>
    <w:rsid w:val="00B25B0C"/>
    <w:pPr>
      <w:spacing w:before="100" w:beforeAutospacing="1" w:after="100" w:afterAutospacing="1" w:line="240" w:lineRule="auto"/>
    </w:pPr>
    <w:rPr>
      <w:rFonts w:ascii="Times New Roman" w:hAnsi="Times New Roman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F56"/>
    <w:pPr>
      <w:pBdr>
        <w:top w:val="single" w:sz="4" w:space="10" w:color="005A70" w:themeColor="accent1"/>
        <w:bottom w:val="single" w:sz="4" w:space="10" w:color="005A70" w:themeColor="accent1"/>
      </w:pBdr>
      <w:spacing w:before="360" w:after="360"/>
      <w:ind w:left="864" w:right="864"/>
      <w:jc w:val="center"/>
    </w:pPr>
    <w:rPr>
      <w:i/>
      <w:iCs/>
      <w:color w:val="00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F56"/>
    <w:rPr>
      <w:rFonts w:ascii="Arial" w:eastAsia="Times New Roman" w:hAnsi="Arial" w:cs="Times New Roman"/>
      <w:i/>
      <w:iCs/>
      <w:color w:val="005A70" w:themeColor="accent1"/>
      <w:spacing w:val="4"/>
      <w:sz w:val="24"/>
      <w:szCs w:val="24"/>
      <w:lang w:eastAsia="en-AU"/>
    </w:rPr>
  </w:style>
  <w:style w:type="character" w:customStyle="1" w:styleId="list-unstyled">
    <w:name w:val="list-unstyled"/>
    <w:basedOn w:val="DefaultParagraphFont"/>
    <w:rsid w:val="00052740"/>
  </w:style>
  <w:style w:type="paragraph" w:styleId="BodyText">
    <w:name w:val="Body Text"/>
    <w:link w:val="BodyTextChar"/>
    <w:unhideWhenUsed/>
    <w:qFormat/>
    <w:rsid w:val="00904E98"/>
    <w:pPr>
      <w:spacing w:before="120" w:after="140" w:line="280" w:lineRule="atLeast"/>
    </w:pPr>
    <w:rPr>
      <w:rFonts w:cs="Times New Roman"/>
      <w:color w:val="000000" w:themeColor="text1"/>
      <w:szCs w:val="20"/>
    </w:rPr>
  </w:style>
  <w:style w:type="character" w:customStyle="1" w:styleId="BodyTextChar">
    <w:name w:val="Body Text Char"/>
    <w:basedOn w:val="DefaultParagraphFont"/>
    <w:link w:val="BodyText"/>
    <w:rsid w:val="00904E98"/>
    <w:rPr>
      <w:rFonts w:cs="Times New Roman"/>
      <w:color w:val="000000" w:themeColor="text1"/>
      <w:szCs w:val="20"/>
    </w:rPr>
  </w:style>
  <w:style w:type="paragraph" w:styleId="Revision">
    <w:name w:val="Revision"/>
    <w:hidden/>
    <w:uiPriority w:val="99"/>
    <w:semiHidden/>
    <w:rsid w:val="00DE5496"/>
    <w:pPr>
      <w:spacing w:after="0" w:line="240" w:lineRule="auto"/>
    </w:pPr>
    <w:rPr>
      <w:rFonts w:ascii="Arial" w:eastAsia="Times New Roman" w:hAnsi="Arial" w:cs="Arial"/>
      <w:spacing w:val="4"/>
      <w:lang w:eastAsia="en-AU"/>
    </w:rPr>
  </w:style>
  <w:style w:type="paragraph" w:customStyle="1" w:styleId="guidelinebullet">
    <w:name w:val="guideline bullet"/>
    <w:basedOn w:val="ListParagraph"/>
    <w:qFormat/>
    <w:rsid w:val="00DB3929"/>
    <w:pPr>
      <w:numPr>
        <w:numId w:val="13"/>
      </w:numPr>
      <w:spacing w:before="60" w:after="0" w:line="240" w:lineRule="auto"/>
      <w:ind w:left="1797" w:hanging="357"/>
      <w:contextualSpacing w:val="0"/>
    </w:pPr>
    <w:rPr>
      <w:rFonts w:asciiTheme="minorHAnsi" w:eastAsiaTheme="minorHAnsi" w:hAnsiTheme="minorHAnsi" w:cstheme="minorBidi"/>
      <w:spacing w:val="0"/>
      <w:lang w:eastAsia="en-US"/>
    </w:rPr>
  </w:style>
  <w:style w:type="table" w:customStyle="1" w:styleId="TableGrid1">
    <w:name w:val="Table Grid1"/>
    <w:basedOn w:val="TableNormal"/>
    <w:next w:val="TableGrid"/>
    <w:rsid w:val="00C0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5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7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0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0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4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13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8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78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98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7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87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8253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5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967936">
                                                      <w:marLeft w:val="537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2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7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3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0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83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42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www.health.gov.au" TargetMode="External"/><Relationship Id="rId26" Type="http://schemas.openxmlformats.org/officeDocument/2006/relationships/hyperlink" Target="mailto:dssdataexchange.helpdesk@dss.gov.au" TargetMode="External"/><Relationship Id="rId39" Type="http://schemas.openxmlformats.org/officeDocument/2006/relationships/hyperlink" Target="https://www.oaic.gov.au/privacy/notifiable-data-breaches/" TargetMode="External"/><Relationship Id="rId21" Type="http://schemas.openxmlformats.org/officeDocument/2006/relationships/hyperlink" Target="ttps://www.bing.com/search?q=australian+privacy+principles&amp;cvid=04fff9a95f0945da932e1eee66c747a3&amp;aqs=edge.0.0l9.9621j0j4&amp;FORM=ANAB01&amp;PC=U531" TargetMode="External"/><Relationship Id="rId34" Type="http://schemas.openxmlformats.org/officeDocument/2006/relationships/hyperlink" Target="https://www.oaic.gov.au/privacy/guidance-and-advice/data-breach-preparation-and-response/part-4-notifiable-data-breach-ndb-scheme/" TargetMode="External"/><Relationship Id="rId42" Type="http://schemas.openxmlformats.org/officeDocument/2006/relationships/header" Target="header3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support@communitygrants.gov.au" TargetMode="External"/><Relationship Id="rId29" Type="http://schemas.openxmlformats.org/officeDocument/2006/relationships/hyperlink" Target="https://www.mygovid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://www.ombudsman.gov.au" TargetMode="External"/><Relationship Id="rId32" Type="http://schemas.openxmlformats.org/officeDocument/2006/relationships/hyperlink" Target="http://www.waamh.org.au/assets/documents/ips/supported-employment-fidelity-scale.pdf" TargetMode="External"/><Relationship Id="rId37" Type="http://schemas.openxmlformats.org/officeDocument/2006/relationships/hyperlink" Target="https://www.oaic.gov.au/privacy/guidance-and-advice/data-breach-preparation-and-response/part-4-notifiable-data-breach-ndb-scheme/" TargetMode="External"/><Relationship Id="rId40" Type="http://schemas.openxmlformats.org/officeDocument/2006/relationships/hyperlink" Target="https://www.oaic.gov.au/privacy/notifiable-data-breaches/report-a-data-breach/" TargetMode="External"/><Relationship Id="rId45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tel:1800020283" TargetMode="External"/><Relationship Id="rId23" Type="http://schemas.openxmlformats.org/officeDocument/2006/relationships/hyperlink" Target="mailto:complaints@dss.gov.au" TargetMode="External"/><Relationship Id="rId28" Type="http://schemas.openxmlformats.org/officeDocument/2006/relationships/hyperlink" Target="https://dex.dss.gov.au" TargetMode="External"/><Relationship Id="rId36" Type="http://schemas.openxmlformats.org/officeDocument/2006/relationships/hyperlink" Target="https://www.oaic.gov.au/privacy/data-breaches/what-is-a-notifiable-data-breach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hildsafety.pmc.gov.au" TargetMode="External"/><Relationship Id="rId31" Type="http://schemas.openxmlformats.org/officeDocument/2006/relationships/hyperlink" Target="https://dex.dss.gov.au" TargetMode="External"/><Relationship Id="rId44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tel:1800634035" TargetMode="External"/><Relationship Id="rId27" Type="http://schemas.openxmlformats.org/officeDocument/2006/relationships/hyperlink" Target="tel:1800020283" TargetMode="External"/><Relationship Id="rId30" Type="http://schemas.openxmlformats.org/officeDocument/2006/relationships/hyperlink" Target="https://info.authorisationmanager.gov.au/" TargetMode="External"/><Relationship Id="rId35" Type="http://schemas.openxmlformats.org/officeDocument/2006/relationships/hyperlink" Target="https://www.oaic.gov.au/privacy/guidance-and-advice/data-breach-preparation-and-response/part-4-notifiable-data-breach-ndb-scheme/" TargetMode="External"/><Relationship Id="rId43" Type="http://schemas.openxmlformats.org/officeDocument/2006/relationships/footer" Target="footer3.xml"/><Relationship Id="rId48" Type="http://schemas.microsoft.com/office/2020/10/relationships/intelligence" Target="intelligence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://www.health.gov.au" TargetMode="External"/><Relationship Id="rId25" Type="http://schemas.openxmlformats.org/officeDocument/2006/relationships/hyperlink" Target="https://info.authorisationmanager.gov.au/" TargetMode="External"/><Relationship Id="rId33" Type="http://schemas.openxmlformats.org/officeDocument/2006/relationships/hyperlink" Target="https://www.oaic.gov.au/privacy/australian-privacy-principles/" TargetMode="External"/><Relationship Id="rId38" Type="http://schemas.openxmlformats.org/officeDocument/2006/relationships/hyperlink" Target="https://www.oaic.gov.au/privacy-law/privacy-act/notifiable-data-breaches-scheme/identifying-eligible-data-breache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dss.gov.au/child-safety-for-dss-funded-organisations" TargetMode="External"/><Relationship Id="rId41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DSS%20Templates\DSS%20Long%20Report%20Template%20Blue.dotx" TargetMode="External"/></Relationships>
</file>

<file path=word/theme/theme1.xml><?xml version="1.0" encoding="utf-8"?>
<a:theme xmlns:a="http://schemas.openxmlformats.org/drawingml/2006/main" name="DSS Blue">
  <a:themeElements>
    <a:clrScheme name="DSS Blu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005A70"/>
      </a:accent4>
      <a:accent5>
        <a:srgbClr val="00B0B9"/>
      </a:accent5>
      <a:accent6>
        <a:srgbClr val="B1E4E3"/>
      </a:accent6>
      <a:hlink>
        <a:srgbClr val="0000FF"/>
      </a:hlink>
      <a:folHlink>
        <a:srgbClr val="000000"/>
      </a:folHlink>
    </a:clrScheme>
    <a:fontScheme name="Stronger Relationship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90524-c058-48b3-b8ac-eeddbd7c10f0">
      <Terms xmlns="http://schemas.microsoft.com/office/infopath/2007/PartnerControls"/>
    </lcf76f155ced4ddcb4097134ff3c332f>
    <TaxCatchAll xmlns="065f2040-f353-4b2a-9ae5-aa69f6c672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A2B29C4F5CD4284D5E64448ED4B11" ma:contentTypeVersion="14" ma:contentTypeDescription="Create a new document." ma:contentTypeScope="" ma:versionID="923a8075014206a192b9291686079950">
  <xsd:schema xmlns:xsd="http://www.w3.org/2001/XMLSchema" xmlns:xs="http://www.w3.org/2001/XMLSchema" xmlns:p="http://schemas.microsoft.com/office/2006/metadata/properties" xmlns:ns2="7f090524-c058-48b3-b8ac-eeddbd7c10f0" xmlns:ns3="065f2040-f353-4b2a-9ae5-aa69f6c672f5" targetNamespace="http://schemas.microsoft.com/office/2006/metadata/properties" ma:root="true" ma:fieldsID="f7de6daa4de36fe7a6f59e4bb290678c" ns2:_="" ns3:_="">
    <xsd:import namespace="7f090524-c058-48b3-b8ac-eeddbd7c10f0"/>
    <xsd:import namespace="065f2040-f353-4b2a-9ae5-aa69f6c6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90524-c058-48b3-b8ac-eeddbd7c1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f2040-f353-4b2a-9ae5-aa69f6c6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9dae8d-f4d5-463c-93b2-aa7bebc5748b}" ma:internalName="TaxCatchAll" ma:showField="CatchAllData" ma:web="065f2040-f353-4b2a-9ae5-aa69f6c67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9C0F8-C3E0-4B79-9936-3319F55A3905}">
  <ds:schemaRefs>
    <ds:schemaRef ds:uri="http://schemas.microsoft.com/office/2006/metadata/properties"/>
    <ds:schemaRef ds:uri="http://schemas.microsoft.com/office/infopath/2007/PartnerControls"/>
    <ds:schemaRef ds:uri="7f090524-c058-48b3-b8ac-eeddbd7c10f0"/>
    <ds:schemaRef ds:uri="065f2040-f353-4b2a-9ae5-aa69f6c672f5"/>
  </ds:schemaRefs>
</ds:datastoreItem>
</file>

<file path=customXml/itemProps2.xml><?xml version="1.0" encoding="utf-8"?>
<ds:datastoreItem xmlns:ds="http://schemas.openxmlformats.org/officeDocument/2006/customXml" ds:itemID="{5DE9244C-E3BA-47D8-B3DE-B6FE9CACA7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D8F91-28B5-4F8F-AE4C-5C744CEDA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199B8-4E6E-45FE-9DEC-90604F39B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90524-c058-48b3-b8ac-eeddbd7c10f0"/>
    <ds:schemaRef ds:uri="065f2040-f353-4b2a-9ae5-aa69f6c6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 Long Report Template Blue.dotx</Template>
  <TotalTime>44</TotalTime>
  <Pages>34</Pages>
  <Words>9626</Words>
  <Characters>54571</Characters>
  <Application>Microsoft Office Word</Application>
  <DocSecurity>0</DocSecurity>
  <Lines>1203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Guidelines Individual Placement and Support Program Adult Mental Health Pilot October 2022</vt:lpstr>
    </vt:vector>
  </TitlesOfParts>
  <Company>Department of Social Services</Company>
  <LinksUpToDate>false</LinksUpToDate>
  <CharactersWithSpaces>63796</CharactersWithSpaces>
  <SharedDoc>false</SharedDoc>
  <HLinks>
    <vt:vector size="444" baseType="variant">
      <vt:variant>
        <vt:i4>3342395</vt:i4>
      </vt:variant>
      <vt:variant>
        <vt:i4>333</vt:i4>
      </vt:variant>
      <vt:variant>
        <vt:i4>0</vt:i4>
      </vt:variant>
      <vt:variant>
        <vt:i4>5</vt:i4>
      </vt:variant>
      <vt:variant>
        <vt:lpwstr>https://dex.dss.gov.au/</vt:lpwstr>
      </vt:variant>
      <vt:variant>
        <vt:lpwstr/>
      </vt:variant>
      <vt:variant>
        <vt:i4>3866742</vt:i4>
      </vt:variant>
      <vt:variant>
        <vt:i4>330</vt:i4>
      </vt:variant>
      <vt:variant>
        <vt:i4>0</vt:i4>
      </vt:variant>
      <vt:variant>
        <vt:i4>5</vt:i4>
      </vt:variant>
      <vt:variant>
        <vt:lpwstr>https://www.oaic.gov.au/privacy/notifiable-data-breaches/report-a-data-breach/</vt:lpwstr>
      </vt:variant>
      <vt:variant>
        <vt:lpwstr/>
      </vt:variant>
      <vt:variant>
        <vt:i4>0</vt:i4>
      </vt:variant>
      <vt:variant>
        <vt:i4>327</vt:i4>
      </vt:variant>
      <vt:variant>
        <vt:i4>0</vt:i4>
      </vt:variant>
      <vt:variant>
        <vt:i4>5</vt:i4>
      </vt:variant>
      <vt:variant>
        <vt:lpwstr>https://www.oaic.gov.au/privacy/notifiable-data-breaches/</vt:lpwstr>
      </vt:variant>
      <vt:variant>
        <vt:lpwstr/>
      </vt:variant>
      <vt:variant>
        <vt:i4>7536756</vt:i4>
      </vt:variant>
      <vt:variant>
        <vt:i4>324</vt:i4>
      </vt:variant>
      <vt:variant>
        <vt:i4>0</vt:i4>
      </vt:variant>
      <vt:variant>
        <vt:i4>5</vt:i4>
      </vt:variant>
      <vt:variant>
        <vt:lpwstr>https://www.oaic.gov.au/privacy-law/privacy-act/notifiable-data-breaches-scheme/identifying-eligible-data-breaches</vt:lpwstr>
      </vt:variant>
      <vt:variant>
        <vt:lpwstr/>
      </vt:variant>
      <vt:variant>
        <vt:i4>5373983</vt:i4>
      </vt:variant>
      <vt:variant>
        <vt:i4>321</vt:i4>
      </vt:variant>
      <vt:variant>
        <vt:i4>0</vt:i4>
      </vt:variant>
      <vt:variant>
        <vt:i4>5</vt:i4>
      </vt:variant>
      <vt:variant>
        <vt:lpwstr>https://www.oaic.gov.au/privacy/guidance-and-advice/data-breach-preparation-and-response/part-4-notifiable-data-breach-ndb-scheme/</vt:lpwstr>
      </vt:variant>
      <vt:variant>
        <vt:lpwstr>identifying-eligible-data-breaches</vt:lpwstr>
      </vt:variant>
      <vt:variant>
        <vt:i4>2621561</vt:i4>
      </vt:variant>
      <vt:variant>
        <vt:i4>318</vt:i4>
      </vt:variant>
      <vt:variant>
        <vt:i4>0</vt:i4>
      </vt:variant>
      <vt:variant>
        <vt:i4>5</vt:i4>
      </vt:variant>
      <vt:variant>
        <vt:lpwstr>https://www.oaic.gov.au/privacy/data-breaches/what-is-a-notifiable-data-breach/</vt:lpwstr>
      </vt:variant>
      <vt:variant>
        <vt:lpwstr/>
      </vt:variant>
      <vt:variant>
        <vt:i4>5373983</vt:i4>
      </vt:variant>
      <vt:variant>
        <vt:i4>315</vt:i4>
      </vt:variant>
      <vt:variant>
        <vt:i4>0</vt:i4>
      </vt:variant>
      <vt:variant>
        <vt:i4>5</vt:i4>
      </vt:variant>
      <vt:variant>
        <vt:lpwstr>https://www.oaic.gov.au/privacy/guidance-and-advice/data-breach-preparation-and-response/part-4-notifiable-data-breach-ndb-scheme/</vt:lpwstr>
      </vt:variant>
      <vt:variant>
        <vt:lpwstr>identifying-eligible-data-breaches</vt:lpwstr>
      </vt:variant>
      <vt:variant>
        <vt:i4>7667793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_Attachment_B_-</vt:lpwstr>
      </vt:variant>
      <vt:variant>
        <vt:i4>3276842</vt:i4>
      </vt:variant>
      <vt:variant>
        <vt:i4>309</vt:i4>
      </vt:variant>
      <vt:variant>
        <vt:i4>0</vt:i4>
      </vt:variant>
      <vt:variant>
        <vt:i4>5</vt:i4>
      </vt:variant>
      <vt:variant>
        <vt:lpwstr>https://www.oaic.gov.au/privacy/guidance-and-advice/data-breach-preparation-and-response/part-4-notifiable-data-breach-ndb-scheme/</vt:lpwstr>
      </vt:variant>
      <vt:variant>
        <vt:lpwstr/>
      </vt:variant>
      <vt:variant>
        <vt:i4>8060989</vt:i4>
      </vt:variant>
      <vt:variant>
        <vt:i4>306</vt:i4>
      </vt:variant>
      <vt:variant>
        <vt:i4>0</vt:i4>
      </vt:variant>
      <vt:variant>
        <vt:i4>5</vt:i4>
      </vt:variant>
      <vt:variant>
        <vt:lpwstr>https://www.oaic.gov.au/privacy/australian-privacy-principles/</vt:lpwstr>
      </vt:variant>
      <vt:variant>
        <vt:lpwstr/>
      </vt:variant>
      <vt:variant>
        <vt:i4>5111885</vt:i4>
      </vt:variant>
      <vt:variant>
        <vt:i4>303</vt:i4>
      </vt:variant>
      <vt:variant>
        <vt:i4>0</vt:i4>
      </vt:variant>
      <vt:variant>
        <vt:i4>5</vt:i4>
      </vt:variant>
      <vt:variant>
        <vt:lpwstr>http://www.waamh.org.au/assets/documents/ips/supported-employment-fidelity-scale.pdf</vt:lpwstr>
      </vt:variant>
      <vt:variant>
        <vt:lpwstr/>
      </vt:variant>
      <vt:variant>
        <vt:i4>3342395</vt:i4>
      </vt:variant>
      <vt:variant>
        <vt:i4>300</vt:i4>
      </vt:variant>
      <vt:variant>
        <vt:i4>0</vt:i4>
      </vt:variant>
      <vt:variant>
        <vt:i4>5</vt:i4>
      </vt:variant>
      <vt:variant>
        <vt:lpwstr>https://dex.dss.gov.au/</vt:lpwstr>
      </vt:variant>
      <vt:variant>
        <vt:lpwstr/>
      </vt:variant>
      <vt:variant>
        <vt:i4>1703936</vt:i4>
      </vt:variant>
      <vt:variant>
        <vt:i4>297</vt:i4>
      </vt:variant>
      <vt:variant>
        <vt:i4>0</vt:i4>
      </vt:variant>
      <vt:variant>
        <vt:i4>5</vt:i4>
      </vt:variant>
      <vt:variant>
        <vt:lpwstr>https://info.authorisationmanager.gov.au/</vt:lpwstr>
      </vt:variant>
      <vt:variant>
        <vt:lpwstr/>
      </vt:variant>
      <vt:variant>
        <vt:i4>2949160</vt:i4>
      </vt:variant>
      <vt:variant>
        <vt:i4>294</vt:i4>
      </vt:variant>
      <vt:variant>
        <vt:i4>0</vt:i4>
      </vt:variant>
      <vt:variant>
        <vt:i4>5</vt:i4>
      </vt:variant>
      <vt:variant>
        <vt:lpwstr>https://www.mygovid.gov.au/</vt:lpwstr>
      </vt:variant>
      <vt:variant>
        <vt:lpwstr/>
      </vt:variant>
      <vt:variant>
        <vt:i4>3342395</vt:i4>
      </vt:variant>
      <vt:variant>
        <vt:i4>291</vt:i4>
      </vt:variant>
      <vt:variant>
        <vt:i4>0</vt:i4>
      </vt:variant>
      <vt:variant>
        <vt:i4>5</vt:i4>
      </vt:variant>
      <vt:variant>
        <vt:lpwstr>https://dex.dss.gov.au/</vt:lpwstr>
      </vt:variant>
      <vt:variant>
        <vt:lpwstr/>
      </vt:variant>
      <vt:variant>
        <vt:i4>6553633</vt:i4>
      </vt:variant>
      <vt:variant>
        <vt:i4>288</vt:i4>
      </vt:variant>
      <vt:variant>
        <vt:i4>0</vt:i4>
      </vt:variant>
      <vt:variant>
        <vt:i4>5</vt:i4>
      </vt:variant>
      <vt:variant>
        <vt:lpwstr>tel:1800020283</vt:lpwstr>
      </vt:variant>
      <vt:variant>
        <vt:lpwstr/>
      </vt:variant>
      <vt:variant>
        <vt:i4>5505147</vt:i4>
      </vt:variant>
      <vt:variant>
        <vt:i4>285</vt:i4>
      </vt:variant>
      <vt:variant>
        <vt:i4>0</vt:i4>
      </vt:variant>
      <vt:variant>
        <vt:i4>5</vt:i4>
      </vt:variant>
      <vt:variant>
        <vt:lpwstr>mailto:dssdataexchange.helpdesk@dss.gov.au</vt:lpwstr>
      </vt:variant>
      <vt:variant>
        <vt:lpwstr/>
      </vt:variant>
      <vt:variant>
        <vt:i4>2949160</vt:i4>
      </vt:variant>
      <vt:variant>
        <vt:i4>282</vt:i4>
      </vt:variant>
      <vt:variant>
        <vt:i4>0</vt:i4>
      </vt:variant>
      <vt:variant>
        <vt:i4>5</vt:i4>
      </vt:variant>
      <vt:variant>
        <vt:lpwstr>https://www.mygovid.gov.au/</vt:lpwstr>
      </vt:variant>
      <vt:variant>
        <vt:lpwstr/>
      </vt:variant>
      <vt:variant>
        <vt:i4>1703936</vt:i4>
      </vt:variant>
      <vt:variant>
        <vt:i4>279</vt:i4>
      </vt:variant>
      <vt:variant>
        <vt:i4>0</vt:i4>
      </vt:variant>
      <vt:variant>
        <vt:i4>5</vt:i4>
      </vt:variant>
      <vt:variant>
        <vt:lpwstr>https://info.authorisationmanager.gov.au/</vt:lpwstr>
      </vt:variant>
      <vt:variant>
        <vt:lpwstr/>
      </vt:variant>
      <vt:variant>
        <vt:i4>7667799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_Attachment_D_-</vt:lpwstr>
      </vt:variant>
      <vt:variant>
        <vt:i4>1966144</vt:i4>
      </vt:variant>
      <vt:variant>
        <vt:i4>273</vt:i4>
      </vt:variant>
      <vt:variant>
        <vt:i4>0</vt:i4>
      </vt:variant>
      <vt:variant>
        <vt:i4>5</vt:i4>
      </vt:variant>
      <vt:variant>
        <vt:lpwstr>http://www.ombudsman.gov.au/</vt:lpwstr>
      </vt:variant>
      <vt:variant>
        <vt:lpwstr/>
      </vt:variant>
      <vt:variant>
        <vt:i4>3407950</vt:i4>
      </vt:variant>
      <vt:variant>
        <vt:i4>270</vt:i4>
      </vt:variant>
      <vt:variant>
        <vt:i4>0</vt:i4>
      </vt:variant>
      <vt:variant>
        <vt:i4>5</vt:i4>
      </vt:variant>
      <vt:variant>
        <vt:lpwstr>mailto:complaints@dss.gov.au</vt:lpwstr>
      </vt:variant>
      <vt:variant>
        <vt:lpwstr/>
      </vt:variant>
      <vt:variant>
        <vt:i4>6357032</vt:i4>
      </vt:variant>
      <vt:variant>
        <vt:i4>267</vt:i4>
      </vt:variant>
      <vt:variant>
        <vt:i4>0</vt:i4>
      </vt:variant>
      <vt:variant>
        <vt:i4>5</vt:i4>
      </vt:variant>
      <vt:variant>
        <vt:lpwstr>tel:1800634035</vt:lpwstr>
      </vt:variant>
      <vt:variant>
        <vt:lpwstr/>
      </vt:variant>
      <vt:variant>
        <vt:i4>2760769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_Attachment_A_–_1</vt:lpwstr>
      </vt:variant>
      <vt:variant>
        <vt:i4>2760769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_Attachment_A_–_1</vt:lpwstr>
      </vt:variant>
      <vt:variant>
        <vt:i4>1900649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_Privacy,_Consent_and</vt:lpwstr>
      </vt:variant>
      <vt:variant>
        <vt:i4>2686978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_IPS_Practice_Principles</vt:lpwstr>
      </vt:variant>
      <vt:variant>
        <vt:i4>7667793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_Attachment_B_-</vt:lpwstr>
      </vt:variant>
      <vt:variant>
        <vt:i4>7667794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_Attachment_A_-</vt:lpwstr>
      </vt:variant>
      <vt:variant>
        <vt:i4>1376275</vt:i4>
      </vt:variant>
      <vt:variant>
        <vt:i4>246</vt:i4>
      </vt:variant>
      <vt:variant>
        <vt:i4>0</vt:i4>
      </vt:variant>
      <vt:variant>
        <vt:i4>5</vt:i4>
      </vt:variant>
      <vt:variant>
        <vt:lpwstr>ttps://www.bing.com/search?q=australian+privacy+principles&amp;cvid=04fff9a95f0945da932e1eee66c747a3&amp;aqs=edge.0.0l9.9621j0j4&amp;FORM=ANAB01&amp;PC=U531</vt:lpwstr>
      </vt:variant>
      <vt:variant>
        <vt:lpwstr/>
      </vt:variant>
      <vt:variant>
        <vt:i4>1507331</vt:i4>
      </vt:variant>
      <vt:variant>
        <vt:i4>243</vt:i4>
      </vt:variant>
      <vt:variant>
        <vt:i4>0</vt:i4>
      </vt:variant>
      <vt:variant>
        <vt:i4>5</vt:i4>
      </vt:variant>
      <vt:variant>
        <vt:lpwstr>https://www.dss.gov.au/child-safety-for-dss-funded-organisations</vt:lpwstr>
      </vt:variant>
      <vt:variant>
        <vt:lpwstr/>
      </vt:variant>
      <vt:variant>
        <vt:i4>7602284</vt:i4>
      </vt:variant>
      <vt:variant>
        <vt:i4>240</vt:i4>
      </vt:variant>
      <vt:variant>
        <vt:i4>0</vt:i4>
      </vt:variant>
      <vt:variant>
        <vt:i4>5</vt:i4>
      </vt:variant>
      <vt:variant>
        <vt:lpwstr>http://www.childsafety.pmc.gov.au/</vt:lpwstr>
      </vt:variant>
      <vt:variant>
        <vt:lpwstr/>
      </vt:variant>
      <vt:variant>
        <vt:i4>4980801</vt:i4>
      </vt:variant>
      <vt:variant>
        <vt:i4>237</vt:i4>
      </vt:variant>
      <vt:variant>
        <vt:i4>0</vt:i4>
      </vt:variant>
      <vt:variant>
        <vt:i4>5</vt:i4>
      </vt:variant>
      <vt:variant>
        <vt:lpwstr>http://www.health.gov.au/</vt:lpwstr>
      </vt:variant>
      <vt:variant>
        <vt:lpwstr/>
      </vt:variant>
      <vt:variant>
        <vt:i4>4980801</vt:i4>
      </vt:variant>
      <vt:variant>
        <vt:i4>234</vt:i4>
      </vt:variant>
      <vt:variant>
        <vt:i4>0</vt:i4>
      </vt:variant>
      <vt:variant>
        <vt:i4>5</vt:i4>
      </vt:variant>
      <vt:variant>
        <vt:lpwstr>http://www.health.gov.au/</vt:lpwstr>
      </vt:variant>
      <vt:variant>
        <vt:lpwstr/>
      </vt:variant>
      <vt:variant>
        <vt:i4>2686978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_IPS_Practice_Principles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_Toc113631173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_Toc113631172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_Toc113631171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_Toc113631170</vt:lpwstr>
      </vt:variant>
      <vt:variant>
        <vt:i4>1507376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_Toc113631169</vt:lpwstr>
      </vt:variant>
      <vt:variant>
        <vt:i4>1507376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_Toc113631168</vt:lpwstr>
      </vt:variant>
      <vt:variant>
        <vt:i4>1507376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_Toc113631167</vt:lpwstr>
      </vt:variant>
      <vt:variant>
        <vt:i4>1507376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_Toc113631166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_Toc113631165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_Toc113631164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_Toc113631163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_Toc113631162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_Toc113631161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_Toc113631160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_Toc113631159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_Toc113631158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_Toc113631157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_Toc113631156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_Toc113631155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_Toc113631154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_Toc113631153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_Toc113631152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_Toc113631151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_Toc113631150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_Toc113631149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_Toc113631148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_Toc113631147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_Toc113631146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_Toc113631145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_Toc113631144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_Toc113631143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_Toc113631142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_Toc113631141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_Toc113631140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_Toc113631139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_Toc113631138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_Toc113631137</vt:lpwstr>
      </vt:variant>
      <vt:variant>
        <vt:i4>917624</vt:i4>
      </vt:variant>
      <vt:variant>
        <vt:i4>3</vt:i4>
      </vt:variant>
      <vt:variant>
        <vt:i4>0</vt:i4>
      </vt:variant>
      <vt:variant>
        <vt:i4>5</vt:i4>
      </vt:variant>
      <vt:variant>
        <vt:lpwstr>mailto:support@communitygrants.gov.au</vt:lpwstr>
      </vt:variant>
      <vt:variant>
        <vt:lpwstr/>
      </vt:variant>
      <vt:variant>
        <vt:i4>6553633</vt:i4>
      </vt:variant>
      <vt:variant>
        <vt:i4>0</vt:i4>
      </vt:variant>
      <vt:variant>
        <vt:i4>0</vt:i4>
      </vt:variant>
      <vt:variant>
        <vt:i4>5</vt:i4>
      </vt:variant>
      <vt:variant>
        <vt:lpwstr>tel:1800020283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Guidelines Individual Placement and Support Program Adult Mental Health Pilot October 2022</dc:title>
  <dc:subject/>
  <dc:creator>POTTS, Amy</dc:creator>
  <cp:keywords>[SEC=UNOFFICIAL]</cp:keywords>
  <cp:lastModifiedBy>LAMBERTH, Craig</cp:lastModifiedBy>
  <cp:revision>8</cp:revision>
  <cp:lastPrinted>2025-08-29T02:21:00Z</cp:lastPrinted>
  <dcterms:created xsi:type="dcterms:W3CDTF">2025-08-29T02:20:00Z</dcterms:created>
  <dcterms:modified xsi:type="dcterms:W3CDTF">2025-09-14T22:17:00Z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UNOFFICIAL</vt:lpwstr>
  </property>
  <property fmtid="{D5CDD505-2E9C-101B-9397-08002B2CF9AE}" pid="5" name="PM_Qualifier">
    <vt:lpwstr/>
  </property>
  <property fmtid="{D5CDD505-2E9C-101B-9397-08002B2CF9AE}" pid="6" name="PM_SecurityClassification">
    <vt:lpwstr>UNOFFICIAL</vt:lpwstr>
  </property>
  <property fmtid="{D5CDD505-2E9C-101B-9397-08002B2CF9AE}" pid="7" name="PM_InsertionValue">
    <vt:lpwstr>UNOFFICIAL</vt:lpwstr>
  </property>
  <property fmtid="{D5CDD505-2E9C-101B-9397-08002B2CF9AE}" pid="8" name="PM_Originating_FileId">
    <vt:lpwstr>6BB347FA56DB4253BC9217E135BD6E94</vt:lpwstr>
  </property>
  <property fmtid="{D5CDD505-2E9C-101B-9397-08002B2CF9AE}" pid="9" name="PM_ProtectiveMarkingValue_Footer">
    <vt:lpwstr>UNOFFICIAL</vt:lpwstr>
  </property>
  <property fmtid="{D5CDD505-2E9C-101B-9397-08002B2CF9AE}" pid="10" name="PM_Originator_Hash_SHA1">
    <vt:lpwstr>DC3EAC6FB4874D452CD0D6E554940955B9FF8C9D</vt:lpwstr>
  </property>
  <property fmtid="{D5CDD505-2E9C-101B-9397-08002B2CF9AE}" pid="11" name="PM_OriginationTimeStamp">
    <vt:lpwstr>2023-12-13T21:16:42Z</vt:lpwstr>
  </property>
  <property fmtid="{D5CDD505-2E9C-101B-9397-08002B2CF9AE}" pid="12" name="PM_ProtectiveMarkingValue_Header">
    <vt:lpwstr>UNOFFICIAL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2024.1</vt:lpwstr>
  </property>
  <property fmtid="{D5CDD505-2E9C-101B-9397-08002B2CF9AE}" pid="19" name="PM_Hash_Salt_Prev">
    <vt:lpwstr>3C485BA0F5CD2B6DBDCCE66D1462B29A</vt:lpwstr>
  </property>
  <property fmtid="{D5CDD505-2E9C-101B-9397-08002B2CF9AE}" pid="20" name="PM_Hash_Salt">
    <vt:lpwstr>3663B8D6E6F27CC4D3AD9A7FBD6CB4A4</vt:lpwstr>
  </property>
  <property fmtid="{D5CDD505-2E9C-101B-9397-08002B2CF9AE}" pid="21" name="PM_Hash_SHA1">
    <vt:lpwstr>6E7A5D973438B7131E0FC584968623E4274F4E32</vt:lpwstr>
  </property>
  <property fmtid="{D5CDD505-2E9C-101B-9397-08002B2CF9AE}" pid="22" name="PM_SecurityClassification_Prev">
    <vt:lpwstr>UNOFFICIAL</vt:lpwstr>
  </property>
  <property fmtid="{D5CDD505-2E9C-101B-9397-08002B2CF9AE}" pid="23" name="PM_Qualifier_Prev">
    <vt:lpwstr/>
  </property>
  <property fmtid="{D5CDD505-2E9C-101B-9397-08002B2CF9AE}" pid="24" name="PM_Display">
    <vt:lpwstr>UNOFFICIAL</vt:lpwstr>
  </property>
  <property fmtid="{D5CDD505-2E9C-101B-9397-08002B2CF9AE}" pid="25" name="PM_OriginatorUserAccountName_SHA256">
    <vt:lpwstr>56084DE7D87471392F5BD2235C8043EAEC8018D05D094D5A8468DE8533D8A2CE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HMAC">
    <vt:lpwstr>v=2024.1;a=SHA256;h=A6D6C50C7A09DFA218125350A716BA089A6D689B87A96F7E45C1377BF9469F18</vt:lpwstr>
  </property>
  <property fmtid="{D5CDD505-2E9C-101B-9397-08002B2CF9AE}" pid="28" name="MSIP_Label_48c3c0a9-12dd-4b95-92ca-a006af7b6583_ContentBits">
    <vt:lpwstr>3</vt:lpwstr>
  </property>
  <property fmtid="{D5CDD505-2E9C-101B-9397-08002B2CF9AE}" pid="29" name="MSIP_Label_48c3c0a9-12dd-4b95-92ca-a006af7b6583_SetDate">
    <vt:lpwstr>2023-12-13T21:16:42Z</vt:lpwstr>
  </property>
  <property fmtid="{D5CDD505-2E9C-101B-9397-08002B2CF9AE}" pid="30" name="MSIP_Label_48c3c0a9-12dd-4b95-92ca-a006af7b6583_Method">
    <vt:lpwstr>Privileged</vt:lpwstr>
  </property>
  <property fmtid="{D5CDD505-2E9C-101B-9397-08002B2CF9AE}" pid="31" name="MSIP_Label_48c3c0a9-12dd-4b95-92ca-a006af7b6583_Name">
    <vt:lpwstr>UNOFFICIAL</vt:lpwstr>
  </property>
  <property fmtid="{D5CDD505-2E9C-101B-9397-08002B2CF9AE}" pid="32" name="MSIP_Label_48c3c0a9-12dd-4b95-92ca-a006af7b6583_SiteId">
    <vt:lpwstr>61e36dd1-ca6e-4d61-aa0a-2b4eb88317a3</vt:lpwstr>
  </property>
  <property fmtid="{D5CDD505-2E9C-101B-9397-08002B2CF9AE}" pid="33" name="MSIP_Label_48c3c0a9-12dd-4b95-92ca-a006af7b6583_Enabled">
    <vt:lpwstr>true</vt:lpwstr>
  </property>
  <property fmtid="{D5CDD505-2E9C-101B-9397-08002B2CF9AE}" pid="34" name="MSIP_Label_48c3c0a9-12dd-4b95-92ca-a006af7b6583_ActionId">
    <vt:lpwstr>30b1118ae1a14ad8963e9d5e15e9f0ef</vt:lpwstr>
  </property>
  <property fmtid="{D5CDD505-2E9C-101B-9397-08002B2CF9AE}" pid="35" name="PMUuid">
    <vt:lpwstr>v=2022.2;d=gov.au;g=65417EFE-F3B9-5E66-BD91-1E689FEC2EA6</vt:lpwstr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ContentTypeId">
    <vt:lpwstr>0x010100611A2B29C4F5CD4284D5E64448ED4B11</vt:lpwstr>
  </property>
  <property fmtid="{D5CDD505-2E9C-101B-9397-08002B2CF9AE}" pid="39" name="MediaServiceImageTags">
    <vt:lpwstr/>
  </property>
  <property fmtid="{D5CDD505-2E9C-101B-9397-08002B2CF9AE}" pid="40" name="PM_DowngradeTo">
    <vt:lpwstr/>
  </property>
</Properties>
</file>