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2A1A103" w:rsidR="00220EA5" w:rsidRPr="00AE5FC1" w:rsidRDefault="0087442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ASURIA PEOPLE SERVICES PTY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921922E" w:rsidR="00220EA5" w:rsidRPr="00AE5FC1" w:rsidRDefault="0087442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25BD40C0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87442D">
        <w:rPr>
          <w:rFonts w:ascii="Tahoma" w:hAnsi="Tahoma" w:cs="Tahoma"/>
          <w:b/>
          <w:bCs/>
        </w:rPr>
        <w:t>ASURIA PEOPLE SERVICES PTY LIMITED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869C690" w:rsidR="00B755F3" w:rsidRPr="00AE5FC1" w:rsidRDefault="0087442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CF360B9" wp14:editId="5FD26DF3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36572C5" w:rsidR="00B755F3" w:rsidRPr="00AE5FC1" w:rsidRDefault="0087442D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75F0D65D" wp14:editId="335CB615">
                  <wp:extent cx="1190625" cy="1181100"/>
                  <wp:effectExtent l="0" t="0" r="9525" b="0"/>
                  <wp:docPr id="2139950789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DE9BF92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E0FC447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7F1B09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74E17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052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7442D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1058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VVCH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2025-07-09T02:20:00Z</dcterms:created>
  <dcterms:modified xsi:type="dcterms:W3CDTF">2025-07-09T02:20:00Z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v=2022.1;a=SHA256;h=EF9C46A8857D9198BD9FE9E78A16B2C30BA49138D7B248A396B4BA02839D0113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c283b678a4d14441bfdeb0cd2419f7f8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130EEF49B589C62A880D5C052064D679</vt:lpwstr>
  </property>
  <property fmtid="{D5CDD505-2E9C-101B-9397-08002B2CF9AE}" pid="33" name="PM_Hash_SHA1">
    <vt:lpwstr>B306DFCB0620243BBA9EB1E6473216D599D4766D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