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84E60B7" w:rsidR="00220EA5" w:rsidRPr="00AE5FC1" w:rsidRDefault="000B009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STEPS GROUP AUSTRALIA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E42081D" w:rsidR="00220EA5" w:rsidRPr="00AE5FC1" w:rsidRDefault="000B009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E257FA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B0092">
        <w:rPr>
          <w:rFonts w:ascii="Tahoma" w:hAnsi="Tahoma" w:cs="Tahoma"/>
          <w:b/>
          <w:bCs/>
        </w:rPr>
        <w:t>STEPS GROUP AUSTRALIA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300C407" w:rsidR="00B755F3" w:rsidRPr="00AE5FC1" w:rsidRDefault="000B009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F6D191C" wp14:editId="57691579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8DCFDBB" w:rsidR="00B755F3" w:rsidRPr="00AE5FC1" w:rsidRDefault="000B009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0FEF594" wp14:editId="60201857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03543D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F3F734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CB9CEC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092"/>
    <w:rsid w:val="000B0C39"/>
    <w:rsid w:val="000B3A1D"/>
    <w:rsid w:val="000B43A1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1051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SSAD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2025-07-07T04:55:00Z</dcterms:created>
  <dcterms:modified xsi:type="dcterms:W3CDTF">2025-07-07T04:55:00Z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v=2022.1;a=SHA256;h=9A6E3B9ED44612838EC0082BBE2B4B18F75EBB7E2372910D11FEE53E59E408D2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c5c70492f78f4c52920b61015dbf59aa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9D291656F080C0240E9C39E32BC0A3FF</vt:lpwstr>
  </property>
  <property fmtid="{D5CDD505-2E9C-101B-9397-08002B2CF9AE}" pid="33" name="PM_Hash_SHA1">
    <vt:lpwstr>87F58861420FD494256B17FA8A9AE2932EB77354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